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6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2160"/>
        <w:gridCol w:w="1440"/>
        <w:gridCol w:w="1620"/>
      </w:tblGrid>
      <w:tr w:rsidR="0084008D" w:rsidRPr="00482021" w:rsidTr="0084008D">
        <w:trPr>
          <w:cantSplit/>
          <w:trHeight w:val="1080"/>
        </w:trPr>
        <w:tc>
          <w:tcPr>
            <w:tcW w:w="6588" w:type="dxa"/>
            <w:gridSpan w:val="2"/>
            <w:tcBorders>
              <w:top w:val="nil"/>
              <w:left w:val="nil"/>
              <w:bottom w:val="single" w:sz="12" w:space="0" w:color="auto"/>
              <w:right w:val="nil"/>
            </w:tcBorders>
          </w:tcPr>
          <w:p w:rsidR="0084008D" w:rsidRPr="00B55747" w:rsidRDefault="0084008D" w:rsidP="00B55747">
            <w:pPr>
              <w:bidi w:val="0"/>
              <w:spacing w:before="120"/>
              <w:rPr>
                <w:rFonts w:ascii="Univers" w:hAnsi="Univers"/>
                <w:b/>
                <w:sz w:val="32"/>
                <w:szCs w:val="32"/>
                <w:lang w:val="en-CA"/>
              </w:rPr>
            </w:pPr>
            <w:r w:rsidRPr="00B55747">
              <w:rPr>
                <w:rFonts w:ascii="Univers" w:hAnsi="Univers"/>
                <w:b/>
                <w:iCs/>
                <w:sz w:val="32"/>
                <w:szCs w:val="32"/>
              </w:rPr>
              <w:t>CBD</w:t>
            </w:r>
          </w:p>
        </w:tc>
        <w:tc>
          <w:tcPr>
            <w:tcW w:w="1440" w:type="dxa"/>
            <w:tcBorders>
              <w:top w:val="nil"/>
              <w:left w:val="nil"/>
              <w:bottom w:val="single" w:sz="12" w:space="0" w:color="auto"/>
              <w:right w:val="nil"/>
            </w:tcBorders>
          </w:tcPr>
          <w:p w:rsidR="0084008D" w:rsidRPr="00482021" w:rsidRDefault="007B18D9" w:rsidP="00B55747">
            <w:pPr>
              <w:rPr>
                <w:b/>
                <w:bCs/>
                <w:rtl/>
              </w:rPr>
            </w:pPr>
            <w:r w:rsidRPr="007B18D9">
              <w:rPr>
                <w:rFonts w:ascii="Univers" w:hAnsi="Univers"/>
                <w:bCs/>
                <w:iCs/>
                <w:noProof/>
                <w:sz w:val="32"/>
                <w:szCs w:val="32"/>
                <w:rtl/>
                <w:lang w:val="en-CA" w:eastAsia="en-CA"/>
              </w:rPr>
              <w:pict>
                <v:group id="_x0000_s1029" style="position:absolute;left:0;text-align:left;margin-left:38.85pt;margin-top:6.55pt;width:95.85pt;height:36pt;z-index:251657728;mso-position-horizontal-relative:text;mso-position-vertical-relative:text" coordorigin="9029,891" coordsize="1917,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Macintosh HD:Users:bilodeau:Desktop:logos:template 2017:unep-old.emf" style="position:absolute;left:9029;top:891;width:610;height:720;visibility:visible;mso-position-horizontal-relative:margin;mso-position-vertical-relative:margin">
                    <v:imagedata r:id="rId8" o:title="unep-old"/>
                  </v:shape>
                  <v:shape id="Picture 1" o:spid="_x0000_s1031" type="#_x0000_t75" alt="Macintosh HD:Users:bilodeau:Desktop:logos:template 2017:un.emf" style="position:absolute;left:10194;top:891;width:752;height:634;visibility:visible;mso-position-horizontal-relative:margin;mso-position-vertical-relative:margin">
                    <v:imagedata r:id="rId9" o:title="un"/>
                  </v:shape>
                </v:group>
              </w:pict>
            </w:r>
          </w:p>
        </w:tc>
        <w:tc>
          <w:tcPr>
            <w:tcW w:w="1620" w:type="dxa"/>
            <w:tcBorders>
              <w:top w:val="nil"/>
              <w:left w:val="nil"/>
              <w:bottom w:val="single" w:sz="12" w:space="0" w:color="auto"/>
              <w:right w:val="nil"/>
            </w:tcBorders>
          </w:tcPr>
          <w:p w:rsidR="0084008D" w:rsidRPr="00482021" w:rsidRDefault="0084008D" w:rsidP="00B55747"/>
          <w:p w:rsidR="0084008D" w:rsidRPr="00482021" w:rsidRDefault="0084008D" w:rsidP="00B55747"/>
        </w:tc>
      </w:tr>
      <w:tr w:rsidR="0084008D" w:rsidRPr="00482021" w:rsidTr="004E2D13">
        <w:trPr>
          <w:cantSplit/>
          <w:trHeight w:val="2134"/>
        </w:trPr>
        <w:tc>
          <w:tcPr>
            <w:tcW w:w="4428" w:type="dxa"/>
            <w:tcBorders>
              <w:top w:val="nil"/>
              <w:left w:val="nil"/>
              <w:bottom w:val="single" w:sz="24" w:space="0" w:color="auto"/>
              <w:right w:val="nil"/>
            </w:tcBorders>
          </w:tcPr>
          <w:p w:rsidR="0084008D" w:rsidRPr="00FC32BA" w:rsidRDefault="0084008D" w:rsidP="00FC19E4">
            <w:pPr>
              <w:bidi w:val="0"/>
              <w:spacing w:after="0" w:line="240" w:lineRule="auto"/>
              <w:rPr>
                <w:szCs w:val="22"/>
              </w:rPr>
            </w:pPr>
            <w:r w:rsidRPr="00FC32BA">
              <w:rPr>
                <w:szCs w:val="22"/>
              </w:rPr>
              <w:t>Distr.</w:t>
            </w:r>
          </w:p>
          <w:p w:rsidR="0084008D" w:rsidRPr="00FC32BA" w:rsidRDefault="00FC19E4" w:rsidP="00FC19E4">
            <w:pPr>
              <w:bidi w:val="0"/>
              <w:spacing w:after="0" w:line="240" w:lineRule="auto"/>
              <w:rPr>
                <w:szCs w:val="22"/>
              </w:rPr>
            </w:pPr>
            <w:r>
              <w:rPr>
                <w:szCs w:val="22"/>
              </w:rPr>
              <w:t>GENERAL</w:t>
            </w:r>
          </w:p>
          <w:p w:rsidR="0084008D" w:rsidRPr="00FC32BA" w:rsidRDefault="0084008D" w:rsidP="00FC19E4">
            <w:pPr>
              <w:pStyle w:val="Heading3"/>
              <w:bidi w:val="0"/>
              <w:spacing w:before="0" w:after="0" w:line="240" w:lineRule="auto"/>
              <w:jc w:val="left"/>
              <w:rPr>
                <w:sz w:val="22"/>
                <w:szCs w:val="22"/>
                <w:lang w:val="en-US"/>
              </w:rPr>
            </w:pPr>
          </w:p>
          <w:p w:rsidR="0084008D" w:rsidRDefault="0084008D" w:rsidP="00FC19E4">
            <w:pPr>
              <w:bidi w:val="0"/>
              <w:spacing w:after="0" w:line="240" w:lineRule="auto"/>
              <w:rPr>
                <w:szCs w:val="22"/>
              </w:rPr>
            </w:pPr>
            <w:r w:rsidRPr="00FC32BA">
              <w:rPr>
                <w:szCs w:val="22"/>
              </w:rPr>
              <w:t>CBD/</w:t>
            </w:r>
            <w:r w:rsidR="005F39CD">
              <w:rPr>
                <w:szCs w:val="22"/>
              </w:rPr>
              <w:t>COP/14/</w:t>
            </w:r>
            <w:r w:rsidR="00FC19E4">
              <w:rPr>
                <w:szCs w:val="22"/>
              </w:rPr>
              <w:t>14</w:t>
            </w:r>
          </w:p>
          <w:p w:rsidR="00D67361" w:rsidRPr="00FC32BA" w:rsidRDefault="00C525BD" w:rsidP="00FC19E4">
            <w:pPr>
              <w:bidi w:val="0"/>
              <w:spacing w:after="0" w:line="240" w:lineRule="auto"/>
              <w:jc w:val="left"/>
              <w:rPr>
                <w:rFonts w:eastAsia="MS Mincho"/>
                <w:szCs w:val="22"/>
                <w:lang w:eastAsia="ja-JP"/>
              </w:rPr>
            </w:pPr>
            <w:r>
              <w:rPr>
                <w:szCs w:val="22"/>
              </w:rPr>
              <w:t>20 March 2019</w:t>
            </w:r>
          </w:p>
          <w:p w:rsidR="0084008D" w:rsidRPr="00FC32BA" w:rsidRDefault="0084008D" w:rsidP="00FC19E4">
            <w:pPr>
              <w:pStyle w:val="Heading5"/>
              <w:tabs>
                <w:tab w:val="left" w:pos="-720"/>
              </w:tabs>
              <w:suppressAutoHyphens/>
              <w:bidi w:val="0"/>
              <w:spacing w:before="0" w:after="0"/>
              <w:rPr>
                <w:rFonts w:ascii="Times New Roman" w:hAnsi="Times New Roman" w:cs="Times New Roman"/>
                <w:b w:val="0"/>
                <w:bCs w:val="0"/>
                <w:szCs w:val="22"/>
                <w:lang w:eastAsia="en-US"/>
              </w:rPr>
            </w:pPr>
          </w:p>
          <w:p w:rsidR="0084008D" w:rsidRPr="00FC32BA" w:rsidRDefault="0084008D" w:rsidP="00FC19E4">
            <w:pPr>
              <w:pStyle w:val="Heading5"/>
              <w:tabs>
                <w:tab w:val="left" w:pos="-720"/>
              </w:tabs>
              <w:suppressAutoHyphens/>
              <w:bidi w:val="0"/>
              <w:spacing w:before="0" w:after="0"/>
              <w:rPr>
                <w:rFonts w:ascii="Times New Roman" w:hAnsi="Times New Roman" w:cs="Times New Roman"/>
                <w:b w:val="0"/>
                <w:bCs w:val="0"/>
                <w:szCs w:val="22"/>
                <w:lang w:eastAsia="en-US"/>
              </w:rPr>
            </w:pPr>
            <w:r w:rsidRPr="00FC32BA">
              <w:rPr>
                <w:rFonts w:ascii="Times New Roman" w:hAnsi="Times New Roman" w:cs="Times New Roman"/>
                <w:b w:val="0"/>
                <w:bCs w:val="0"/>
                <w:szCs w:val="22"/>
                <w:lang w:eastAsia="en-US"/>
              </w:rPr>
              <w:t>ARABIC</w:t>
            </w:r>
          </w:p>
          <w:p w:rsidR="0084008D" w:rsidRPr="00FC32BA" w:rsidRDefault="0084008D" w:rsidP="00FC19E4">
            <w:pPr>
              <w:tabs>
                <w:tab w:val="left" w:pos="-720"/>
              </w:tabs>
              <w:suppressAutoHyphens/>
              <w:bidi w:val="0"/>
              <w:spacing w:after="0" w:line="240" w:lineRule="auto"/>
              <w:rPr>
                <w:szCs w:val="22"/>
              </w:rPr>
            </w:pPr>
            <w:r w:rsidRPr="00FC32BA">
              <w:rPr>
                <w:szCs w:val="22"/>
              </w:rPr>
              <w:t xml:space="preserve">ORIGINAL: ENGLISH </w:t>
            </w:r>
          </w:p>
        </w:tc>
        <w:tc>
          <w:tcPr>
            <w:tcW w:w="5220" w:type="dxa"/>
            <w:gridSpan w:val="3"/>
            <w:tcBorders>
              <w:top w:val="nil"/>
              <w:left w:val="nil"/>
              <w:bottom w:val="single" w:sz="24" w:space="0" w:color="auto"/>
              <w:right w:val="nil"/>
            </w:tcBorders>
          </w:tcPr>
          <w:p w:rsidR="0084008D" w:rsidRPr="00482021" w:rsidRDefault="00A62236" w:rsidP="0084008D">
            <w:pPr>
              <w:tabs>
                <w:tab w:val="left" w:pos="-720"/>
              </w:tabs>
              <w:suppressAutoHyphens/>
              <w:spacing w:before="120"/>
              <w:rPr>
                <w:rtl/>
              </w:rPr>
            </w:pPr>
            <w:r>
              <w:rPr>
                <w:b/>
                <w:bCs/>
                <w:noProof/>
                <w:sz w:val="36"/>
                <w:szCs w:val="36"/>
                <w:rtl/>
                <w:lang w:eastAsia="zh-CN" w:bidi="ar-SA"/>
              </w:rPr>
              <w:drawing>
                <wp:inline distT="0" distB="0" distL="0" distR="0">
                  <wp:extent cx="2562860" cy="1023620"/>
                  <wp:effectExtent l="19050" t="0" r="8890" b="0"/>
                  <wp:docPr id="1" name="Picture 1" descr="CBD_logo_ar-CMYK-black  Conve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ar-CMYK-black  Converted "/>
                          <pic:cNvPicPr>
                            <a:picLocks noChangeAspect="1" noChangeArrowheads="1"/>
                          </pic:cNvPicPr>
                        </pic:nvPicPr>
                        <pic:blipFill>
                          <a:blip r:embed="rId10" cstate="print"/>
                          <a:srcRect/>
                          <a:stretch>
                            <a:fillRect/>
                          </a:stretch>
                        </pic:blipFill>
                        <pic:spPr bwMode="auto">
                          <a:xfrm>
                            <a:off x="0" y="0"/>
                            <a:ext cx="2562860" cy="1023620"/>
                          </a:xfrm>
                          <a:prstGeom prst="rect">
                            <a:avLst/>
                          </a:prstGeom>
                          <a:noFill/>
                          <a:ln w="9525">
                            <a:noFill/>
                            <a:miter lim="800000"/>
                            <a:headEnd/>
                            <a:tailEnd/>
                          </a:ln>
                        </pic:spPr>
                      </pic:pic>
                    </a:graphicData>
                  </a:graphic>
                </wp:inline>
              </w:drawing>
            </w:r>
          </w:p>
        </w:tc>
      </w:tr>
    </w:tbl>
    <w:p w:rsidR="002B6FB4" w:rsidRPr="00BC478C" w:rsidRDefault="002B6FB4" w:rsidP="00461566">
      <w:pPr>
        <w:spacing w:before="60" w:after="0" w:line="197" w:lineRule="auto"/>
        <w:rPr>
          <w:b/>
          <w:bCs/>
          <w:sz w:val="24"/>
          <w:rtl/>
        </w:rPr>
      </w:pPr>
      <w:r w:rsidRPr="00BC478C">
        <w:rPr>
          <w:b/>
          <w:bCs/>
          <w:sz w:val="24"/>
          <w:rtl/>
        </w:rPr>
        <w:t>مؤتمر الأطراف في الاتفاقية</w:t>
      </w:r>
      <w:r w:rsidR="00461566">
        <w:rPr>
          <w:rFonts w:hint="cs"/>
          <w:b/>
          <w:bCs/>
          <w:sz w:val="24"/>
          <w:rtl/>
        </w:rPr>
        <w:t xml:space="preserve"> </w:t>
      </w:r>
      <w:r w:rsidRPr="00BC478C">
        <w:rPr>
          <w:b/>
          <w:bCs/>
          <w:sz w:val="24"/>
          <w:rtl/>
        </w:rPr>
        <w:t>المتعلقة بالتنوع البيولوجي</w:t>
      </w:r>
    </w:p>
    <w:p w:rsidR="002B6FB4" w:rsidRPr="00BC478C" w:rsidRDefault="002B6FB4" w:rsidP="00461566">
      <w:pPr>
        <w:spacing w:after="0"/>
        <w:rPr>
          <w:sz w:val="24"/>
          <w:rtl/>
        </w:rPr>
      </w:pPr>
      <w:r w:rsidRPr="00BC478C">
        <w:rPr>
          <w:rFonts w:hint="cs"/>
          <w:sz w:val="24"/>
          <w:rtl/>
        </w:rPr>
        <w:t>الاجتماع ال</w:t>
      </w:r>
      <w:r>
        <w:rPr>
          <w:rFonts w:hint="cs"/>
          <w:sz w:val="24"/>
          <w:rtl/>
        </w:rPr>
        <w:t>رابع</w:t>
      </w:r>
      <w:r w:rsidRPr="00BC478C">
        <w:rPr>
          <w:rFonts w:hint="cs"/>
          <w:sz w:val="24"/>
          <w:rtl/>
        </w:rPr>
        <w:t xml:space="preserve"> عشر</w:t>
      </w:r>
    </w:p>
    <w:p w:rsidR="002B6FB4" w:rsidRPr="007873F4" w:rsidRDefault="002B6FB4" w:rsidP="008A3D47">
      <w:pPr>
        <w:spacing w:after="0"/>
        <w:rPr>
          <w:sz w:val="24"/>
          <w:rtl/>
        </w:rPr>
      </w:pPr>
      <w:r>
        <w:rPr>
          <w:rFonts w:hint="cs"/>
          <w:sz w:val="24"/>
          <w:rtl/>
        </w:rPr>
        <w:t xml:space="preserve">شرم الشيخ، مصر، </w:t>
      </w:r>
      <w:r w:rsidR="008A3D47">
        <w:rPr>
          <w:sz w:val="24"/>
        </w:rPr>
        <w:t>17</w:t>
      </w:r>
      <w:r>
        <w:rPr>
          <w:rFonts w:hint="cs"/>
          <w:sz w:val="24"/>
          <w:rtl/>
        </w:rPr>
        <w:t>-</w:t>
      </w:r>
      <w:r w:rsidR="008A3D47">
        <w:rPr>
          <w:sz w:val="24"/>
        </w:rPr>
        <w:t>29</w:t>
      </w:r>
      <w:r>
        <w:rPr>
          <w:rFonts w:hint="cs"/>
          <w:sz w:val="24"/>
          <w:rtl/>
        </w:rPr>
        <w:t xml:space="preserve"> نوفمبر/تشرين الثاني 2018</w:t>
      </w:r>
    </w:p>
    <w:p w:rsidR="0008758D" w:rsidRPr="00482021" w:rsidRDefault="0008758D" w:rsidP="00984F88">
      <w:pPr>
        <w:spacing w:line="120" w:lineRule="auto"/>
      </w:pPr>
    </w:p>
    <w:p w:rsidR="005F39CD" w:rsidRDefault="00FC19E4" w:rsidP="00FC19E4">
      <w:pPr>
        <w:jc w:val="center"/>
        <w:rPr>
          <w:b/>
          <w:bCs/>
          <w:sz w:val="28"/>
          <w:szCs w:val="28"/>
        </w:rPr>
      </w:pPr>
      <w:r>
        <w:rPr>
          <w:rFonts w:hint="cs"/>
          <w:b/>
          <w:bCs/>
          <w:sz w:val="28"/>
          <w:szCs w:val="28"/>
          <w:rtl/>
        </w:rPr>
        <w:t>تقرير مؤتمر الأطراف في ا</w:t>
      </w:r>
      <w:r w:rsidR="0045279C">
        <w:rPr>
          <w:rFonts w:hint="cs"/>
          <w:b/>
          <w:bCs/>
          <w:sz w:val="28"/>
          <w:szCs w:val="28"/>
          <w:rtl/>
        </w:rPr>
        <w:t>لا</w:t>
      </w:r>
      <w:r>
        <w:rPr>
          <w:rFonts w:hint="cs"/>
          <w:b/>
          <w:bCs/>
          <w:sz w:val="28"/>
          <w:szCs w:val="28"/>
          <w:rtl/>
        </w:rPr>
        <w:t xml:space="preserve">تفاقية </w:t>
      </w:r>
      <w:r w:rsidR="0045279C">
        <w:rPr>
          <w:rFonts w:hint="cs"/>
          <w:b/>
          <w:bCs/>
          <w:sz w:val="28"/>
          <w:szCs w:val="28"/>
          <w:rtl/>
        </w:rPr>
        <w:t>المتعلقة ب</w:t>
      </w:r>
      <w:r>
        <w:rPr>
          <w:rFonts w:hint="cs"/>
          <w:b/>
          <w:bCs/>
          <w:sz w:val="28"/>
          <w:szCs w:val="28"/>
          <w:rtl/>
        </w:rPr>
        <w:t xml:space="preserve">التنوع البيولوجي عن </w:t>
      </w:r>
      <w:r w:rsidR="001445C7">
        <w:rPr>
          <w:rFonts w:hint="cs"/>
          <w:b/>
          <w:bCs/>
          <w:sz w:val="28"/>
          <w:szCs w:val="28"/>
          <w:rtl/>
        </w:rPr>
        <w:t>اجتماع</w:t>
      </w:r>
      <w:r>
        <w:rPr>
          <w:rFonts w:hint="cs"/>
          <w:b/>
          <w:bCs/>
          <w:sz w:val="28"/>
          <w:szCs w:val="28"/>
          <w:rtl/>
        </w:rPr>
        <w:t>ه الرابع عشر</w:t>
      </w:r>
    </w:p>
    <w:p w:rsidR="001445C7" w:rsidRDefault="001445C7" w:rsidP="00563808">
      <w:pPr>
        <w:jc w:val="center"/>
        <w:rPr>
          <w:sz w:val="24"/>
          <w:rtl/>
        </w:rPr>
      </w:pPr>
    </w:p>
    <w:p w:rsidR="00C858FF" w:rsidRDefault="00C858FF" w:rsidP="006828ED">
      <w:pPr>
        <w:pBdr>
          <w:top w:val="single" w:sz="4" w:space="1" w:color="auto"/>
          <w:left w:val="single" w:sz="4" w:space="4" w:color="auto"/>
          <w:bottom w:val="single" w:sz="4" w:space="5" w:color="auto"/>
          <w:right w:val="single" w:sz="4" w:space="4" w:color="auto"/>
        </w:pBdr>
        <w:spacing w:before="120"/>
        <w:ind w:firstLine="720"/>
        <w:rPr>
          <w:sz w:val="24"/>
          <w:rtl/>
        </w:rPr>
      </w:pPr>
      <w:r>
        <w:rPr>
          <w:rFonts w:hint="cs"/>
          <w:sz w:val="24"/>
          <w:rtl/>
        </w:rPr>
        <w:t>عقد مؤتمر الأطراف في الاتفاقية المتعلقة بالتنوع البيولوجي اجتماعه الرابع عشر في شرم الشيخ، مصر، من 17 إلى 29 نوفمبر/تشرين الثاني 2018. واعتمد 38 مقررا، ترد في القسم الأول من التقرير.</w:t>
      </w:r>
    </w:p>
    <w:p w:rsidR="009326F9" w:rsidRDefault="006828ED" w:rsidP="006822FE">
      <w:pPr>
        <w:pBdr>
          <w:top w:val="single" w:sz="4" w:space="1" w:color="auto"/>
          <w:left w:val="single" w:sz="4" w:space="4" w:color="auto"/>
          <w:bottom w:val="single" w:sz="4" w:space="5" w:color="auto"/>
          <w:right w:val="single" w:sz="4" w:space="4" w:color="auto"/>
        </w:pBdr>
        <w:ind w:firstLine="720"/>
        <w:rPr>
          <w:sz w:val="24"/>
          <w:rtl/>
        </w:rPr>
      </w:pPr>
      <w:r>
        <w:rPr>
          <w:rFonts w:hint="cs"/>
          <w:sz w:val="24"/>
          <w:rtl/>
        </w:rPr>
        <w:t>و</w:t>
      </w:r>
      <w:r w:rsidR="00C923BA">
        <w:rPr>
          <w:rFonts w:hint="cs"/>
          <w:sz w:val="24"/>
          <w:rtl/>
        </w:rPr>
        <w:t>تتعلق</w:t>
      </w:r>
      <w:r>
        <w:rPr>
          <w:rFonts w:hint="cs"/>
          <w:sz w:val="24"/>
          <w:rtl/>
        </w:rPr>
        <w:t xml:space="preserve"> المقررات المعتمدة</w:t>
      </w:r>
      <w:r w:rsidR="00C923BA">
        <w:rPr>
          <w:rFonts w:hint="cs"/>
          <w:sz w:val="24"/>
          <w:rtl/>
        </w:rPr>
        <w:t xml:space="preserve"> بأمور</w:t>
      </w:r>
      <w:r>
        <w:rPr>
          <w:rFonts w:hint="cs"/>
          <w:sz w:val="24"/>
          <w:rtl/>
        </w:rPr>
        <w:t xml:space="preserve"> </w:t>
      </w:r>
      <w:r w:rsidR="00C923BA">
        <w:rPr>
          <w:rFonts w:hint="cs"/>
          <w:sz w:val="24"/>
          <w:rtl/>
        </w:rPr>
        <w:t>من بينها</w:t>
      </w:r>
      <w:r>
        <w:rPr>
          <w:rFonts w:hint="cs"/>
          <w:sz w:val="24"/>
          <w:rtl/>
        </w:rPr>
        <w:t xml:space="preserve"> </w:t>
      </w:r>
      <w:r w:rsidR="00C923BA">
        <w:rPr>
          <w:rFonts w:hint="cs"/>
          <w:sz w:val="24"/>
          <w:rtl/>
        </w:rPr>
        <w:t xml:space="preserve">استعراض للتقدم المحرز نحو تحقيق أهداف أيشي للتنوع البيولوجي؛ وعملية </w:t>
      </w:r>
      <w:r>
        <w:rPr>
          <w:rFonts w:hint="cs"/>
          <w:sz w:val="24"/>
          <w:rtl/>
        </w:rPr>
        <w:t>التحضير للإطار العالمي لل</w:t>
      </w:r>
      <w:r w:rsidR="00C923BA">
        <w:rPr>
          <w:rFonts w:hint="cs"/>
          <w:sz w:val="24"/>
          <w:rtl/>
        </w:rPr>
        <w:t>تنوع البيولوجي لما بعد عام 2020 و</w:t>
      </w:r>
      <w:r w:rsidR="009326F9">
        <w:rPr>
          <w:rFonts w:hint="cs"/>
          <w:sz w:val="24"/>
          <w:rtl/>
        </w:rPr>
        <w:t>ل</w:t>
      </w:r>
      <w:r w:rsidR="00C923BA">
        <w:rPr>
          <w:rFonts w:hint="cs"/>
          <w:sz w:val="24"/>
          <w:rtl/>
        </w:rPr>
        <w:t xml:space="preserve">نشرة </w:t>
      </w:r>
      <w:r w:rsidR="009326F9" w:rsidRPr="009326F9">
        <w:rPr>
          <w:rFonts w:hint="cs"/>
          <w:i/>
          <w:iCs/>
          <w:sz w:val="24"/>
          <w:rtl/>
        </w:rPr>
        <w:t>التوقعات العالمية للتنوع البيولوجي</w:t>
      </w:r>
      <w:r w:rsidR="009326F9">
        <w:rPr>
          <w:rFonts w:hint="cs"/>
          <w:sz w:val="24"/>
          <w:rtl/>
        </w:rPr>
        <w:t>؛</w:t>
      </w:r>
      <w:r>
        <w:rPr>
          <w:rFonts w:hint="cs"/>
          <w:sz w:val="24"/>
          <w:rtl/>
        </w:rPr>
        <w:t xml:space="preserve"> </w:t>
      </w:r>
      <w:r w:rsidR="009326F9">
        <w:rPr>
          <w:rFonts w:hint="cs"/>
          <w:sz w:val="24"/>
          <w:rtl/>
        </w:rPr>
        <w:t>وتعزيز التكامل في إطار الاتفاقية وبروتوكوليها، بما في ذلك بخصوص المادة 8(ي) والأحكام المتصلة بها؛ وبناء القدرات؛ وحشد الموارد؛ والإبلاغ وآليات الاستعراض؛ والتعاون. وتم معالجة عدد من المسائل التقنية، بما فيها: سيناريوهات لرؤية عام 2050؛ والتعميم</w:t>
      </w:r>
      <w:r w:rsidR="006822FE">
        <w:rPr>
          <w:rFonts w:hint="cs"/>
          <w:sz w:val="24"/>
          <w:rtl/>
        </w:rPr>
        <w:t>؛</w:t>
      </w:r>
      <w:r w:rsidR="009326F9">
        <w:rPr>
          <w:rFonts w:hint="cs"/>
          <w:sz w:val="24"/>
          <w:rtl/>
        </w:rPr>
        <w:t xml:space="preserve"> ومراعاة الاعتبارات الجنسانية؛ والروابط بين الصحة وتغير المناخ؛ والملحقات؛ وإدارة الأحياء البرية؛ والمناطق المحمية؛ والتنوع البيولوجي البحري والساحلي؛ والأنواع الغريبة الغازية؛</w:t>
      </w:r>
      <w:r>
        <w:rPr>
          <w:rFonts w:hint="cs"/>
          <w:sz w:val="24"/>
          <w:rtl/>
        </w:rPr>
        <w:t xml:space="preserve"> </w:t>
      </w:r>
      <w:r w:rsidR="009326F9">
        <w:rPr>
          <w:rFonts w:hint="cs"/>
          <w:sz w:val="24"/>
          <w:rtl/>
        </w:rPr>
        <w:t>و</w:t>
      </w:r>
      <w:r>
        <w:rPr>
          <w:rFonts w:hint="cs"/>
          <w:sz w:val="24"/>
          <w:rtl/>
        </w:rPr>
        <w:t>معلومات التسلس</w:t>
      </w:r>
      <w:r w:rsidR="00EF2416">
        <w:rPr>
          <w:rFonts w:hint="cs"/>
          <w:sz w:val="24"/>
          <w:rtl/>
        </w:rPr>
        <w:t>ل</w:t>
      </w:r>
      <w:r>
        <w:rPr>
          <w:rFonts w:hint="cs"/>
          <w:sz w:val="24"/>
          <w:rtl/>
        </w:rPr>
        <w:t xml:space="preserve"> الرقمي</w:t>
      </w:r>
      <w:r w:rsidR="009326F9">
        <w:rPr>
          <w:rFonts w:hint="cs"/>
          <w:sz w:val="24"/>
          <w:rtl/>
        </w:rPr>
        <w:t>؛</w:t>
      </w:r>
      <w:r>
        <w:rPr>
          <w:rFonts w:hint="cs"/>
          <w:sz w:val="24"/>
          <w:rtl/>
        </w:rPr>
        <w:t xml:space="preserve"> والبيولوجيا التركيبية</w:t>
      </w:r>
      <w:r w:rsidR="009326F9">
        <w:rPr>
          <w:rFonts w:hint="cs"/>
          <w:sz w:val="24"/>
          <w:rtl/>
        </w:rPr>
        <w:t>؛</w:t>
      </w:r>
      <w:r>
        <w:rPr>
          <w:rFonts w:hint="cs"/>
          <w:sz w:val="24"/>
          <w:rtl/>
        </w:rPr>
        <w:t xml:space="preserve"> والمعارف التقليدية</w:t>
      </w:r>
      <w:r w:rsidR="009326F9">
        <w:rPr>
          <w:rFonts w:hint="cs"/>
          <w:sz w:val="24"/>
          <w:rtl/>
        </w:rPr>
        <w:t>؛</w:t>
      </w:r>
      <w:r>
        <w:rPr>
          <w:rFonts w:hint="cs"/>
          <w:sz w:val="24"/>
          <w:rtl/>
        </w:rPr>
        <w:t xml:space="preserve"> والمسؤولية والجبر التعويضي</w:t>
      </w:r>
      <w:r w:rsidR="009326F9">
        <w:rPr>
          <w:rFonts w:hint="cs"/>
          <w:sz w:val="24"/>
          <w:rtl/>
        </w:rPr>
        <w:t>.</w:t>
      </w:r>
      <w:r>
        <w:rPr>
          <w:rFonts w:hint="cs"/>
          <w:sz w:val="24"/>
          <w:rtl/>
        </w:rPr>
        <w:t xml:space="preserve"> وفي الختام، هناك مقررات بشأن المسائل الإجرائية والت</w:t>
      </w:r>
      <w:r w:rsidR="009326F9">
        <w:rPr>
          <w:rFonts w:hint="cs"/>
          <w:sz w:val="24"/>
          <w:rtl/>
        </w:rPr>
        <w:t>نظيمية.</w:t>
      </w:r>
    </w:p>
    <w:p w:rsidR="00C858FF" w:rsidRDefault="006828ED" w:rsidP="009326F9">
      <w:pPr>
        <w:pBdr>
          <w:top w:val="single" w:sz="4" w:space="1" w:color="auto"/>
          <w:left w:val="single" w:sz="4" w:space="4" w:color="auto"/>
          <w:bottom w:val="single" w:sz="4" w:space="5" w:color="auto"/>
          <w:right w:val="single" w:sz="4" w:space="4" w:color="auto"/>
        </w:pBdr>
        <w:ind w:firstLine="720"/>
        <w:rPr>
          <w:sz w:val="24"/>
          <w:rtl/>
        </w:rPr>
      </w:pPr>
      <w:r>
        <w:rPr>
          <w:rFonts w:hint="cs"/>
          <w:sz w:val="24"/>
          <w:rtl/>
        </w:rPr>
        <w:t>وجمع الجزء الرفيع المستوى الوزراء المسؤولين عن قطاعات البنية التحتية، والصناعات التحويلية والتجهيز، والطاقة والتعدين والصحة وركز على تعميم حفظ التنوع البيولوجي واستخدامه المستدام في تلك القطاعات.</w:t>
      </w:r>
    </w:p>
    <w:p w:rsidR="00C858FF" w:rsidRPr="00C858FF" w:rsidRDefault="00C858FF" w:rsidP="006822FE">
      <w:pPr>
        <w:pBdr>
          <w:top w:val="single" w:sz="4" w:space="1" w:color="auto"/>
          <w:left w:val="single" w:sz="4" w:space="4" w:color="auto"/>
          <w:bottom w:val="single" w:sz="4" w:space="5" w:color="auto"/>
          <w:right w:val="single" w:sz="4" w:space="4" w:color="auto"/>
        </w:pBdr>
        <w:ind w:firstLine="720"/>
        <w:rPr>
          <w:sz w:val="24"/>
          <w:rtl/>
        </w:rPr>
      </w:pPr>
      <w:r w:rsidRPr="00582D15">
        <w:rPr>
          <w:rFonts w:hint="cs"/>
          <w:sz w:val="24"/>
          <w:rtl/>
        </w:rPr>
        <w:t xml:space="preserve">وترد مداولات الاجتماع في القسم </w:t>
      </w:r>
      <w:r w:rsidR="004E2D13">
        <w:rPr>
          <w:rFonts w:hint="cs"/>
          <w:sz w:val="24"/>
          <w:rtl/>
        </w:rPr>
        <w:t>الثاني</w:t>
      </w:r>
      <w:r w:rsidRPr="00582D15">
        <w:rPr>
          <w:rFonts w:hint="cs"/>
          <w:sz w:val="24"/>
          <w:rtl/>
        </w:rPr>
        <w:t xml:space="preserve"> من التقرير. وي</w:t>
      </w:r>
      <w:r>
        <w:rPr>
          <w:rFonts w:hint="cs"/>
          <w:sz w:val="24"/>
          <w:rtl/>
        </w:rPr>
        <w:t>حتوي</w:t>
      </w:r>
      <w:r w:rsidRPr="00582D15">
        <w:rPr>
          <w:rFonts w:hint="cs"/>
          <w:sz w:val="24"/>
          <w:rtl/>
        </w:rPr>
        <w:t xml:space="preserve"> المرفق الأول </w:t>
      </w:r>
      <w:r>
        <w:rPr>
          <w:rFonts w:hint="cs"/>
          <w:sz w:val="24"/>
          <w:rtl/>
        </w:rPr>
        <w:t xml:space="preserve">على </w:t>
      </w:r>
      <w:r w:rsidR="009326F9" w:rsidRPr="00582D15">
        <w:rPr>
          <w:rFonts w:hint="cs"/>
          <w:sz w:val="24"/>
          <w:rtl/>
        </w:rPr>
        <w:t>قائمة بالمنظمات الممثلة في الاجتماع</w:t>
      </w:r>
      <w:r w:rsidR="009326F9">
        <w:rPr>
          <w:rFonts w:hint="cs"/>
          <w:sz w:val="24"/>
          <w:rtl/>
        </w:rPr>
        <w:t>. وبحتو</w:t>
      </w:r>
      <w:r w:rsidR="006822FE">
        <w:rPr>
          <w:rFonts w:hint="cs"/>
          <w:sz w:val="24"/>
          <w:rtl/>
        </w:rPr>
        <w:t>ي</w:t>
      </w:r>
      <w:r w:rsidR="009326F9">
        <w:rPr>
          <w:rFonts w:hint="cs"/>
          <w:sz w:val="24"/>
          <w:rtl/>
        </w:rPr>
        <w:t xml:space="preserve"> المرفق الثاني على</w:t>
      </w:r>
      <w:r w:rsidR="009326F9" w:rsidRPr="00582D15">
        <w:rPr>
          <w:rFonts w:hint="cs"/>
          <w:sz w:val="24"/>
          <w:rtl/>
        </w:rPr>
        <w:t xml:space="preserve"> </w:t>
      </w:r>
      <w:r w:rsidRPr="00582D15">
        <w:rPr>
          <w:rFonts w:hint="cs"/>
          <w:sz w:val="24"/>
          <w:rtl/>
        </w:rPr>
        <w:t>موجزا</w:t>
      </w:r>
      <w:r>
        <w:rPr>
          <w:rFonts w:hint="cs"/>
          <w:sz w:val="24"/>
          <w:rtl/>
        </w:rPr>
        <w:t>ت</w:t>
      </w:r>
      <w:r w:rsidRPr="00582D15">
        <w:rPr>
          <w:rFonts w:hint="cs"/>
          <w:sz w:val="24"/>
          <w:rtl/>
        </w:rPr>
        <w:t xml:space="preserve"> </w:t>
      </w:r>
      <w:r>
        <w:rPr>
          <w:rFonts w:hint="cs"/>
          <w:sz w:val="24"/>
          <w:rtl/>
        </w:rPr>
        <w:t xml:space="preserve">للبيانات التي أدلي بها </w:t>
      </w:r>
      <w:r w:rsidRPr="00582D15">
        <w:rPr>
          <w:rFonts w:hint="cs"/>
          <w:sz w:val="24"/>
          <w:rtl/>
        </w:rPr>
        <w:t xml:space="preserve">خلال </w:t>
      </w:r>
      <w:r>
        <w:rPr>
          <w:rFonts w:hint="cs"/>
          <w:sz w:val="24"/>
          <w:rtl/>
        </w:rPr>
        <w:t>افتتاح</w:t>
      </w:r>
      <w:r w:rsidR="0045279C">
        <w:rPr>
          <w:rFonts w:hint="cs"/>
          <w:sz w:val="24"/>
          <w:rtl/>
        </w:rPr>
        <w:t xml:space="preserve"> الاجتماع</w:t>
      </w:r>
      <w:r w:rsidRPr="00582D15">
        <w:rPr>
          <w:rFonts w:hint="cs"/>
          <w:sz w:val="24"/>
          <w:rtl/>
        </w:rPr>
        <w:t>. وي</w:t>
      </w:r>
      <w:r>
        <w:rPr>
          <w:rFonts w:hint="cs"/>
          <w:sz w:val="24"/>
          <w:rtl/>
        </w:rPr>
        <w:t>حتوي</w:t>
      </w:r>
      <w:r w:rsidRPr="00582D15">
        <w:rPr>
          <w:rFonts w:hint="cs"/>
          <w:sz w:val="24"/>
          <w:rtl/>
        </w:rPr>
        <w:t xml:space="preserve"> المرفق الثا</w:t>
      </w:r>
      <w:r w:rsidR="009326F9">
        <w:rPr>
          <w:rFonts w:hint="cs"/>
          <w:sz w:val="24"/>
          <w:rtl/>
        </w:rPr>
        <w:t>لث</w:t>
      </w:r>
      <w:r w:rsidRPr="00582D15">
        <w:rPr>
          <w:rFonts w:hint="cs"/>
          <w:sz w:val="24"/>
          <w:rtl/>
        </w:rPr>
        <w:t xml:space="preserve"> </w:t>
      </w:r>
      <w:r>
        <w:rPr>
          <w:rFonts w:hint="cs"/>
          <w:sz w:val="24"/>
          <w:rtl/>
        </w:rPr>
        <w:t>على موجز للحوار</w:t>
      </w:r>
      <w:r w:rsidR="009326F9">
        <w:rPr>
          <w:rFonts w:hint="cs"/>
          <w:sz w:val="24"/>
          <w:rtl/>
        </w:rPr>
        <w:t xml:space="preserve"> التفاعلي، ويحتوي المرفق الرابع على الأحداث الجانبية</w:t>
      </w:r>
      <w:r>
        <w:rPr>
          <w:rFonts w:hint="cs"/>
          <w:sz w:val="24"/>
          <w:rtl/>
        </w:rPr>
        <w:t>.</w:t>
      </w:r>
    </w:p>
    <w:p w:rsidR="00FC19E4" w:rsidRDefault="00FC19E4">
      <w:pPr>
        <w:bidi w:val="0"/>
        <w:spacing w:after="0" w:line="240" w:lineRule="auto"/>
        <w:jc w:val="left"/>
        <w:rPr>
          <w:b/>
          <w:bCs/>
          <w:sz w:val="28"/>
          <w:szCs w:val="28"/>
          <w:rtl/>
        </w:rPr>
      </w:pPr>
      <w:r>
        <w:rPr>
          <w:b/>
          <w:bCs/>
          <w:sz w:val="28"/>
          <w:szCs w:val="28"/>
          <w:rtl/>
        </w:rPr>
        <w:br w:type="page"/>
      </w:r>
    </w:p>
    <w:p w:rsidR="00FC19E4" w:rsidRDefault="00FC19E4" w:rsidP="0044570B">
      <w:pPr>
        <w:spacing w:after="0" w:line="240" w:lineRule="auto"/>
        <w:jc w:val="center"/>
        <w:rPr>
          <w:b/>
          <w:bCs/>
          <w:sz w:val="24"/>
          <w:rtl/>
        </w:rPr>
      </w:pPr>
      <w:r w:rsidRPr="00FC19E4">
        <w:rPr>
          <w:rFonts w:hint="cs"/>
          <w:b/>
          <w:bCs/>
          <w:sz w:val="24"/>
          <w:rtl/>
        </w:rPr>
        <w:lastRenderedPageBreak/>
        <w:t>المحتويات</w:t>
      </w:r>
    </w:p>
    <w:p w:rsidR="00683FD0" w:rsidRPr="00683FD0" w:rsidRDefault="007B18D9" w:rsidP="00E04F06">
      <w:pPr>
        <w:pStyle w:val="TOC1"/>
        <w:ind w:hanging="900"/>
        <w:rPr>
          <w:rFonts w:asciiTheme="minorHAnsi" w:hAnsiTheme="minorHAnsi"/>
          <w:sz w:val="22"/>
        </w:rPr>
      </w:pPr>
      <w:r>
        <w:rPr>
          <w:rtl/>
          <w:lang w:bidi="ar-SA"/>
        </w:rPr>
        <w:fldChar w:fldCharType="begin"/>
      </w:r>
      <w:r w:rsidR="00683FD0">
        <w:rPr>
          <w:rtl/>
          <w:lang w:bidi="ar-SA"/>
        </w:rPr>
        <w:instrText xml:space="preserve"> </w:instrText>
      </w:r>
      <w:r w:rsidR="00683FD0">
        <w:rPr>
          <w:lang w:bidi="ar-SA"/>
        </w:rPr>
        <w:instrText>TOC</w:instrText>
      </w:r>
      <w:r w:rsidR="00683FD0">
        <w:rPr>
          <w:rtl/>
          <w:lang w:bidi="ar-SA"/>
        </w:rPr>
        <w:instrText xml:space="preserve"> \</w:instrText>
      </w:r>
      <w:r w:rsidR="00683FD0">
        <w:rPr>
          <w:lang w:bidi="ar-SA"/>
        </w:rPr>
        <w:instrText>o "1-3" \h \z \u</w:instrText>
      </w:r>
      <w:r w:rsidR="00683FD0">
        <w:rPr>
          <w:rtl/>
          <w:lang w:bidi="ar-SA"/>
        </w:rPr>
        <w:instrText xml:space="preserve"> </w:instrText>
      </w:r>
      <w:r>
        <w:rPr>
          <w:rtl/>
          <w:lang w:bidi="ar-SA"/>
        </w:rPr>
        <w:fldChar w:fldCharType="separate"/>
      </w:r>
      <w:hyperlink w:anchor="_Toc6139961" w:history="1">
        <w:r w:rsidR="00683FD0" w:rsidRPr="00683FD0">
          <w:rPr>
            <w:rStyle w:val="Hyperlink"/>
            <w:rFonts w:hint="eastAsia"/>
            <w:b/>
            <w:bCs/>
            <w:u w:val="none"/>
            <w:rtl/>
          </w:rPr>
          <w:t>أولا</w:t>
        </w:r>
        <w:r w:rsidR="00683FD0" w:rsidRPr="00683FD0">
          <w:rPr>
            <w:rStyle w:val="Hyperlink"/>
            <w:b/>
            <w:bCs/>
            <w:u w:val="none"/>
            <w:rtl/>
          </w:rPr>
          <w:t xml:space="preserve"> –</w:t>
        </w:r>
        <w:r w:rsidR="00683FD0" w:rsidRPr="00683FD0">
          <w:rPr>
            <w:rFonts w:asciiTheme="minorHAnsi" w:hAnsiTheme="minorHAnsi"/>
            <w:b/>
            <w:bCs/>
            <w:sz w:val="22"/>
          </w:rPr>
          <w:tab/>
        </w:r>
        <w:r w:rsidR="00683FD0" w:rsidRPr="00683FD0">
          <w:rPr>
            <w:rStyle w:val="Hyperlink"/>
            <w:rFonts w:hint="eastAsia"/>
            <w:b/>
            <w:bCs/>
            <w:u w:val="none"/>
            <w:rtl/>
          </w:rPr>
          <w:t>المقررات</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_Toc6139961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5</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2" w:history="1">
        <w:r w:rsidR="00683FD0" w:rsidRPr="00683FD0">
          <w:rPr>
            <w:rStyle w:val="Hyperlink"/>
            <w:noProof/>
            <w:rtl/>
          </w:rPr>
          <w:t>14/1</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تقييم</w:t>
        </w:r>
        <w:r w:rsidR="00683FD0" w:rsidRPr="00683FD0">
          <w:rPr>
            <w:rStyle w:val="Hyperlink"/>
            <w:noProof/>
            <w:rtl/>
          </w:rPr>
          <w:t xml:space="preserve"> </w:t>
        </w:r>
        <w:r w:rsidR="00683FD0" w:rsidRPr="00683FD0">
          <w:rPr>
            <w:rStyle w:val="Hyperlink"/>
            <w:rFonts w:hint="eastAsia"/>
            <w:noProof/>
            <w:rtl/>
          </w:rPr>
          <w:t>مُحدث</w:t>
        </w:r>
        <w:r w:rsidR="00683FD0" w:rsidRPr="00683FD0">
          <w:rPr>
            <w:rStyle w:val="Hyperlink"/>
            <w:noProof/>
            <w:rtl/>
          </w:rPr>
          <w:t xml:space="preserve"> </w:t>
        </w:r>
        <w:r w:rsidR="00683FD0" w:rsidRPr="00683FD0">
          <w:rPr>
            <w:rStyle w:val="Hyperlink"/>
            <w:rFonts w:hint="eastAsia"/>
            <w:noProof/>
            <w:rtl/>
          </w:rPr>
          <w:t>للتقدم</w:t>
        </w:r>
        <w:r w:rsidR="00683FD0" w:rsidRPr="00683FD0">
          <w:rPr>
            <w:rStyle w:val="Hyperlink"/>
            <w:noProof/>
            <w:rtl/>
          </w:rPr>
          <w:t xml:space="preserve"> </w:t>
        </w:r>
        <w:r w:rsidR="00683FD0" w:rsidRPr="00683FD0">
          <w:rPr>
            <w:rStyle w:val="Hyperlink"/>
            <w:rFonts w:hint="eastAsia"/>
            <w:noProof/>
            <w:rtl/>
          </w:rPr>
          <w:t>المُحرز</w:t>
        </w:r>
        <w:r w:rsidR="00683FD0" w:rsidRPr="00683FD0">
          <w:rPr>
            <w:rStyle w:val="Hyperlink"/>
            <w:noProof/>
            <w:rtl/>
          </w:rPr>
          <w:t xml:space="preserve"> </w:t>
        </w:r>
        <w:r w:rsidR="00683FD0" w:rsidRPr="00683FD0">
          <w:rPr>
            <w:rStyle w:val="Hyperlink"/>
            <w:rFonts w:hint="eastAsia"/>
            <w:noProof/>
            <w:rtl/>
          </w:rPr>
          <w:t>صوب</w:t>
        </w:r>
        <w:r w:rsidR="00683FD0" w:rsidRPr="00683FD0">
          <w:rPr>
            <w:rStyle w:val="Hyperlink"/>
            <w:noProof/>
            <w:rtl/>
          </w:rPr>
          <w:t xml:space="preserve"> </w:t>
        </w:r>
        <w:r w:rsidR="00683FD0" w:rsidRPr="00683FD0">
          <w:rPr>
            <w:rStyle w:val="Hyperlink"/>
            <w:rFonts w:hint="eastAsia"/>
            <w:noProof/>
            <w:rtl/>
          </w:rPr>
          <w:t>أهداف</w:t>
        </w:r>
        <w:r w:rsidR="00683FD0" w:rsidRPr="00683FD0">
          <w:rPr>
            <w:rStyle w:val="Hyperlink"/>
            <w:noProof/>
            <w:rtl/>
          </w:rPr>
          <w:t xml:space="preserve"> </w:t>
        </w:r>
        <w:r w:rsidR="00683FD0" w:rsidRPr="00683FD0">
          <w:rPr>
            <w:rStyle w:val="Hyperlink"/>
            <w:rFonts w:hint="eastAsia"/>
            <w:noProof/>
            <w:rtl/>
          </w:rPr>
          <w:t>أيشي</w:t>
        </w:r>
        <w:r w:rsidR="00683FD0" w:rsidRPr="00683FD0">
          <w:rPr>
            <w:rStyle w:val="Hyperlink"/>
            <w:noProof/>
            <w:rtl/>
          </w:rPr>
          <w:t xml:space="preserve"> </w:t>
        </w:r>
        <w:r w:rsidR="00683FD0" w:rsidRPr="00683FD0">
          <w:rPr>
            <w:rStyle w:val="Hyperlink"/>
            <w:rFonts w:hint="eastAsia"/>
            <w:noProof/>
            <w:rtl/>
          </w:rPr>
          <w:t>للتنوع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w:t>
        </w:r>
        <w:r w:rsidR="00683FD0" w:rsidRPr="00683FD0">
          <w:rPr>
            <w:rStyle w:val="Hyperlink"/>
            <w:rFonts w:hint="eastAsia"/>
            <w:noProof/>
            <w:rtl/>
          </w:rPr>
          <w:t>المنتقاة</w:t>
        </w:r>
        <w:r w:rsidR="00683FD0" w:rsidRPr="00683FD0">
          <w:rPr>
            <w:rStyle w:val="Hyperlink"/>
            <w:noProof/>
            <w:rtl/>
          </w:rPr>
          <w:t xml:space="preserve"> </w:t>
        </w:r>
        <w:r w:rsidR="00683FD0" w:rsidRPr="00683FD0">
          <w:rPr>
            <w:rStyle w:val="Hyperlink"/>
            <w:rFonts w:hint="eastAsia"/>
            <w:noProof/>
            <w:rtl/>
          </w:rPr>
          <w:t>وخيارات لإسراع وتيرة التقدم</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3" w:history="1">
        <w:r w:rsidR="00683FD0" w:rsidRPr="00683FD0">
          <w:rPr>
            <w:rStyle w:val="Hyperlink"/>
            <w:noProof/>
            <w:rtl/>
            <w:lang w:val="en-CA"/>
          </w:rPr>
          <w:t>14/2 -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سيناريوهات</w:t>
        </w:r>
        <w:r w:rsidR="00683FD0" w:rsidRPr="00683FD0">
          <w:rPr>
            <w:rStyle w:val="Hyperlink"/>
            <w:noProof/>
            <w:rtl/>
          </w:rPr>
          <w:t xml:space="preserve"> </w:t>
        </w:r>
        <w:r w:rsidR="00683FD0" w:rsidRPr="00683FD0">
          <w:rPr>
            <w:rStyle w:val="Hyperlink"/>
            <w:rFonts w:hint="eastAsia"/>
            <w:noProof/>
            <w:rtl/>
          </w:rPr>
          <w:t>لرؤية</w:t>
        </w:r>
        <w:r w:rsidR="00683FD0" w:rsidRPr="00683FD0">
          <w:rPr>
            <w:rStyle w:val="Hyperlink"/>
            <w:noProof/>
            <w:rtl/>
          </w:rPr>
          <w:t xml:space="preserve"> </w:t>
        </w:r>
        <w:r w:rsidR="00683FD0" w:rsidRPr="00683FD0">
          <w:rPr>
            <w:rStyle w:val="Hyperlink"/>
            <w:rFonts w:hint="eastAsia"/>
            <w:noProof/>
            <w:rtl/>
          </w:rPr>
          <w:t>عام</w:t>
        </w:r>
        <w:r w:rsidR="00683FD0" w:rsidRPr="00683FD0">
          <w:rPr>
            <w:rStyle w:val="Hyperlink"/>
            <w:noProof/>
            <w:rtl/>
          </w:rPr>
          <w:t xml:space="preserve"> 2050 </w:t>
        </w:r>
        <w:r w:rsidR="00683FD0" w:rsidRPr="00683FD0">
          <w:rPr>
            <w:rStyle w:val="Hyperlink"/>
            <w:rFonts w:hint="eastAsia"/>
            <w:noProof/>
            <w:rtl/>
          </w:rPr>
          <w:t>للتنوع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4" w:history="1">
        <w:r w:rsidR="00683FD0" w:rsidRPr="00683FD0">
          <w:rPr>
            <w:rStyle w:val="Hyperlink"/>
            <w:noProof/>
            <w:rtl/>
          </w:rPr>
          <w:t>14/3</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تعميم</w:t>
        </w:r>
        <w:r w:rsidR="00683FD0" w:rsidRPr="00683FD0">
          <w:rPr>
            <w:rStyle w:val="Hyperlink"/>
            <w:noProof/>
            <w:rtl/>
          </w:rPr>
          <w:t xml:space="preserve"> </w:t>
        </w:r>
        <w:r w:rsidR="00683FD0" w:rsidRPr="00683FD0">
          <w:rPr>
            <w:rStyle w:val="Hyperlink"/>
            <w:rFonts w:hint="eastAsia"/>
            <w:noProof/>
            <w:rtl/>
          </w:rPr>
          <w:t>التنوع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w:t>
        </w:r>
        <w:r w:rsidR="00683FD0" w:rsidRPr="00683FD0">
          <w:rPr>
            <w:rStyle w:val="Hyperlink"/>
            <w:rFonts w:hint="eastAsia"/>
            <w:noProof/>
            <w:rtl/>
          </w:rPr>
          <w:t>في</w:t>
        </w:r>
        <w:r w:rsidR="00683FD0" w:rsidRPr="00683FD0">
          <w:rPr>
            <w:rStyle w:val="Hyperlink"/>
            <w:noProof/>
            <w:rtl/>
          </w:rPr>
          <w:t xml:space="preserve"> </w:t>
        </w:r>
        <w:r w:rsidR="00683FD0" w:rsidRPr="00683FD0">
          <w:rPr>
            <w:rStyle w:val="Hyperlink"/>
            <w:rFonts w:hint="eastAsia"/>
            <w:noProof/>
            <w:rtl/>
          </w:rPr>
          <w:t>قطاعات</w:t>
        </w:r>
        <w:r w:rsidR="00683FD0" w:rsidRPr="00683FD0">
          <w:rPr>
            <w:rStyle w:val="Hyperlink"/>
            <w:noProof/>
            <w:rtl/>
          </w:rPr>
          <w:t xml:space="preserve"> </w:t>
        </w:r>
        <w:r w:rsidR="00683FD0" w:rsidRPr="00683FD0">
          <w:rPr>
            <w:rStyle w:val="Hyperlink"/>
            <w:rFonts w:hint="eastAsia"/>
            <w:noProof/>
            <w:rtl/>
          </w:rPr>
          <w:t>الطاقة</w:t>
        </w:r>
        <w:r w:rsidR="00683FD0" w:rsidRPr="00683FD0">
          <w:rPr>
            <w:rStyle w:val="Hyperlink"/>
            <w:noProof/>
            <w:rtl/>
          </w:rPr>
          <w:t xml:space="preserve"> </w:t>
        </w:r>
        <w:r w:rsidR="00683FD0" w:rsidRPr="00683FD0">
          <w:rPr>
            <w:rStyle w:val="Hyperlink"/>
            <w:rFonts w:hint="eastAsia"/>
            <w:noProof/>
            <w:rtl/>
          </w:rPr>
          <w:t>والتعدين،</w:t>
        </w:r>
        <w:r w:rsidR="00683FD0" w:rsidRPr="00683FD0">
          <w:rPr>
            <w:rStyle w:val="Hyperlink"/>
            <w:noProof/>
            <w:rtl/>
          </w:rPr>
          <w:t xml:space="preserve"> </w:t>
        </w:r>
        <w:r w:rsidR="00683FD0" w:rsidRPr="00683FD0">
          <w:rPr>
            <w:rStyle w:val="Hyperlink"/>
            <w:rFonts w:hint="eastAsia"/>
            <w:noProof/>
            <w:rtl/>
          </w:rPr>
          <w:t>والبنية</w:t>
        </w:r>
        <w:r w:rsidR="00683FD0" w:rsidRPr="00683FD0">
          <w:rPr>
            <w:rStyle w:val="Hyperlink"/>
            <w:noProof/>
            <w:rtl/>
          </w:rPr>
          <w:t xml:space="preserve"> </w:t>
        </w:r>
        <w:r w:rsidR="00683FD0" w:rsidRPr="00683FD0">
          <w:rPr>
            <w:rStyle w:val="Hyperlink"/>
            <w:rFonts w:hint="eastAsia"/>
            <w:noProof/>
            <w:rtl/>
          </w:rPr>
          <w:t>التحتية،</w:t>
        </w:r>
        <w:r w:rsidR="00683FD0" w:rsidRPr="00683FD0">
          <w:rPr>
            <w:rStyle w:val="Hyperlink"/>
            <w:noProof/>
            <w:rtl/>
          </w:rPr>
          <w:t xml:space="preserve"> </w:t>
        </w:r>
        <w:r w:rsidR="00683FD0" w:rsidRPr="00683FD0">
          <w:rPr>
            <w:rStyle w:val="Hyperlink"/>
            <w:rFonts w:hint="eastAsia"/>
            <w:noProof/>
            <w:rtl/>
          </w:rPr>
          <w:t>والصناعات</w:t>
        </w:r>
        <w:r w:rsidR="00683FD0" w:rsidRPr="00683FD0">
          <w:rPr>
            <w:rStyle w:val="Hyperlink"/>
            <w:noProof/>
            <w:rtl/>
          </w:rPr>
          <w:t xml:space="preserve"> </w:t>
        </w:r>
        <w:r w:rsidR="00683FD0" w:rsidRPr="00683FD0">
          <w:rPr>
            <w:rStyle w:val="Hyperlink"/>
            <w:rFonts w:hint="eastAsia"/>
            <w:noProof/>
            <w:rtl/>
          </w:rPr>
          <w:t>التحويلية</w:t>
        </w:r>
        <w:r w:rsidR="00683FD0" w:rsidRPr="00683FD0">
          <w:rPr>
            <w:rStyle w:val="Hyperlink"/>
            <w:noProof/>
            <w:rtl/>
          </w:rPr>
          <w:t xml:space="preserve"> </w:t>
        </w:r>
        <w:r w:rsidR="00683FD0" w:rsidRPr="00683FD0">
          <w:rPr>
            <w:rStyle w:val="Hyperlink"/>
            <w:rFonts w:hint="eastAsia"/>
            <w:noProof/>
            <w:rtl/>
          </w:rPr>
          <w:t>والتجهيز</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5" w:history="1">
        <w:r w:rsidR="00683FD0" w:rsidRPr="00683FD0">
          <w:rPr>
            <w:rStyle w:val="Hyperlink"/>
            <w:noProof/>
            <w:rtl/>
          </w:rPr>
          <w:t>14/4</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الصحة</w:t>
        </w:r>
        <w:r w:rsidR="00683FD0" w:rsidRPr="00683FD0">
          <w:rPr>
            <w:rStyle w:val="Hyperlink"/>
            <w:noProof/>
            <w:rtl/>
          </w:rPr>
          <w:t xml:space="preserve"> </w:t>
        </w:r>
        <w:r w:rsidR="00683FD0" w:rsidRPr="00683FD0">
          <w:rPr>
            <w:rStyle w:val="Hyperlink"/>
            <w:rFonts w:hint="eastAsia"/>
            <w:noProof/>
            <w:rtl/>
          </w:rPr>
          <w:t>والتنوع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24</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6" w:history="1">
        <w:r w:rsidR="00683FD0" w:rsidRPr="00683FD0">
          <w:rPr>
            <w:rStyle w:val="Hyperlink"/>
            <w:noProof/>
            <w:rtl/>
          </w:rPr>
          <w:t>14/5</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w:t>
        </w:r>
        <w:r w:rsidR="00683FD0" w:rsidRPr="00683FD0">
          <w:rPr>
            <w:rStyle w:val="Hyperlink"/>
            <w:rFonts w:hint="eastAsia"/>
            <w:noProof/>
            <w:rtl/>
          </w:rPr>
          <w:t>وتغير</w:t>
        </w:r>
        <w:r w:rsidR="00683FD0" w:rsidRPr="00683FD0">
          <w:rPr>
            <w:rStyle w:val="Hyperlink"/>
            <w:noProof/>
            <w:rtl/>
          </w:rPr>
          <w:t xml:space="preserve"> </w:t>
        </w:r>
        <w:r w:rsidR="00683FD0" w:rsidRPr="00683FD0">
          <w:rPr>
            <w:rStyle w:val="Hyperlink"/>
            <w:rFonts w:hint="eastAsia"/>
            <w:noProof/>
            <w:rtl/>
          </w:rPr>
          <w:t>المناخ</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7" w:history="1">
        <w:r w:rsidR="00683FD0" w:rsidRPr="00683FD0">
          <w:rPr>
            <w:rStyle w:val="Hyperlink"/>
            <w:noProof/>
            <w:rtl/>
          </w:rPr>
          <w:t>14/6</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حفظ</w:t>
        </w:r>
        <w:r w:rsidR="00683FD0" w:rsidRPr="00683FD0">
          <w:rPr>
            <w:rStyle w:val="Hyperlink"/>
            <w:noProof/>
            <w:rtl/>
          </w:rPr>
          <w:t xml:space="preserve"> </w:t>
        </w:r>
        <w:r w:rsidR="00683FD0" w:rsidRPr="00683FD0">
          <w:rPr>
            <w:rStyle w:val="Hyperlink"/>
            <w:rFonts w:hint="eastAsia"/>
            <w:noProof/>
            <w:rtl/>
          </w:rPr>
          <w:t>الملقحات</w:t>
        </w:r>
        <w:r w:rsidR="00683FD0" w:rsidRPr="00683FD0">
          <w:rPr>
            <w:rStyle w:val="Hyperlink"/>
            <w:noProof/>
            <w:rtl/>
          </w:rPr>
          <w:t xml:space="preserve"> </w:t>
        </w:r>
        <w:r w:rsidR="00683FD0" w:rsidRPr="00683FD0">
          <w:rPr>
            <w:rStyle w:val="Hyperlink"/>
            <w:rFonts w:hint="eastAsia"/>
            <w:noProof/>
            <w:rtl/>
          </w:rPr>
          <w:t>واستخدامها</w:t>
        </w:r>
        <w:r w:rsidR="00683FD0" w:rsidRPr="00683FD0">
          <w:rPr>
            <w:rStyle w:val="Hyperlink"/>
            <w:noProof/>
            <w:rtl/>
          </w:rPr>
          <w:t xml:space="preserve"> </w:t>
        </w:r>
        <w:r w:rsidR="00683FD0" w:rsidRPr="00683FD0">
          <w:rPr>
            <w:rStyle w:val="Hyperlink"/>
            <w:rFonts w:hint="eastAsia"/>
            <w:noProof/>
            <w:rtl/>
          </w:rPr>
          <w:t>المستدام</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55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8" w:history="1">
        <w:r w:rsidR="00683FD0" w:rsidRPr="00683FD0">
          <w:rPr>
            <w:rStyle w:val="Hyperlink"/>
            <w:noProof/>
            <w:rtl/>
          </w:rPr>
          <w:t>14/7</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الإدارة</w:t>
        </w:r>
        <w:r w:rsidR="00683FD0" w:rsidRPr="00683FD0">
          <w:rPr>
            <w:rStyle w:val="Hyperlink"/>
            <w:noProof/>
            <w:rtl/>
          </w:rPr>
          <w:t xml:space="preserve"> </w:t>
        </w:r>
        <w:r w:rsidR="00683FD0" w:rsidRPr="00683FD0">
          <w:rPr>
            <w:rStyle w:val="Hyperlink"/>
            <w:rFonts w:hint="eastAsia"/>
            <w:noProof/>
            <w:rtl/>
          </w:rPr>
          <w:t>المستدامة</w:t>
        </w:r>
        <w:r w:rsidR="00683FD0" w:rsidRPr="00683FD0">
          <w:rPr>
            <w:rStyle w:val="Hyperlink"/>
            <w:noProof/>
            <w:rtl/>
          </w:rPr>
          <w:t xml:space="preserve"> </w:t>
        </w:r>
        <w:r w:rsidR="00683FD0" w:rsidRPr="00683FD0">
          <w:rPr>
            <w:rStyle w:val="Hyperlink"/>
            <w:rFonts w:hint="eastAsia"/>
            <w:noProof/>
            <w:rtl/>
          </w:rPr>
          <w:t>للأحياء</w:t>
        </w:r>
        <w:r w:rsidR="00683FD0" w:rsidRPr="00683FD0">
          <w:rPr>
            <w:rStyle w:val="Hyperlink"/>
            <w:noProof/>
            <w:rtl/>
          </w:rPr>
          <w:t xml:space="preserve"> </w:t>
        </w:r>
        <w:r w:rsidR="00683FD0" w:rsidRPr="00683FD0">
          <w:rPr>
            <w:rStyle w:val="Hyperlink"/>
            <w:rFonts w:hint="eastAsia"/>
            <w:noProof/>
            <w:rtl/>
          </w:rPr>
          <w:t>البرية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72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69" w:history="1">
        <w:r w:rsidR="00683FD0" w:rsidRPr="00683FD0">
          <w:rPr>
            <w:rStyle w:val="Hyperlink"/>
            <w:noProof/>
            <w:rtl/>
          </w:rPr>
          <w:t>14/8</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المناطق</w:t>
        </w:r>
        <w:r w:rsidR="00683FD0" w:rsidRPr="00683FD0">
          <w:rPr>
            <w:rStyle w:val="Hyperlink"/>
            <w:noProof/>
            <w:rtl/>
          </w:rPr>
          <w:t xml:space="preserve"> </w:t>
        </w:r>
        <w:r w:rsidR="00683FD0" w:rsidRPr="00683FD0">
          <w:rPr>
            <w:rStyle w:val="Hyperlink"/>
            <w:rFonts w:hint="eastAsia"/>
            <w:noProof/>
            <w:rtl/>
          </w:rPr>
          <w:t>المحمية</w:t>
        </w:r>
        <w:r w:rsidR="00683FD0" w:rsidRPr="00683FD0">
          <w:rPr>
            <w:rStyle w:val="Hyperlink"/>
            <w:noProof/>
            <w:rtl/>
          </w:rPr>
          <w:t xml:space="preserve"> </w:t>
        </w:r>
        <w:r w:rsidR="00683FD0" w:rsidRPr="00683FD0">
          <w:rPr>
            <w:rStyle w:val="Hyperlink"/>
            <w:rFonts w:hint="eastAsia"/>
            <w:noProof/>
            <w:rtl/>
          </w:rPr>
          <w:t>وتدابير</w:t>
        </w:r>
        <w:r w:rsidR="00683FD0" w:rsidRPr="00683FD0">
          <w:rPr>
            <w:rStyle w:val="Hyperlink"/>
            <w:noProof/>
            <w:rtl/>
          </w:rPr>
          <w:t xml:space="preserve"> </w:t>
        </w:r>
        <w:r w:rsidR="00683FD0" w:rsidRPr="00683FD0">
          <w:rPr>
            <w:rStyle w:val="Hyperlink"/>
            <w:rFonts w:hint="eastAsia"/>
            <w:noProof/>
            <w:rtl/>
          </w:rPr>
          <w:t>الحفظ</w:t>
        </w:r>
        <w:r w:rsidR="00683FD0" w:rsidRPr="00683FD0">
          <w:rPr>
            <w:rStyle w:val="Hyperlink"/>
            <w:noProof/>
            <w:rtl/>
          </w:rPr>
          <w:t xml:space="preserve"> </w:t>
        </w:r>
        <w:r w:rsidR="00683FD0" w:rsidRPr="00683FD0">
          <w:rPr>
            <w:rStyle w:val="Hyperlink"/>
            <w:rFonts w:hint="eastAsia"/>
            <w:noProof/>
            <w:rtl/>
          </w:rPr>
          <w:t>الفعالة</w:t>
        </w:r>
        <w:r w:rsidR="00683FD0" w:rsidRPr="00683FD0">
          <w:rPr>
            <w:rStyle w:val="Hyperlink"/>
            <w:noProof/>
            <w:rtl/>
          </w:rPr>
          <w:t xml:space="preserve"> </w:t>
        </w:r>
        <w:r w:rsidR="00683FD0" w:rsidRPr="00683FD0">
          <w:rPr>
            <w:rStyle w:val="Hyperlink"/>
            <w:rFonts w:hint="eastAsia"/>
            <w:noProof/>
            <w:rtl/>
          </w:rPr>
          <w:t>الأخرى</w:t>
        </w:r>
        <w:r w:rsidR="00683FD0" w:rsidRPr="00683FD0">
          <w:rPr>
            <w:rStyle w:val="Hyperlink"/>
            <w:noProof/>
            <w:rtl/>
          </w:rPr>
          <w:t xml:space="preserve"> </w:t>
        </w:r>
        <w:r w:rsidR="00683FD0" w:rsidRPr="00683FD0">
          <w:rPr>
            <w:rStyle w:val="Hyperlink"/>
            <w:rFonts w:hint="eastAsia"/>
            <w:noProof/>
            <w:rtl/>
          </w:rPr>
          <w:t>القائمة</w:t>
        </w:r>
        <w:r w:rsidR="00683FD0" w:rsidRPr="00683FD0">
          <w:rPr>
            <w:rStyle w:val="Hyperlink"/>
            <w:noProof/>
            <w:rtl/>
          </w:rPr>
          <w:t xml:space="preserve"> </w:t>
        </w:r>
        <w:r w:rsidR="00683FD0" w:rsidRPr="00683FD0">
          <w:rPr>
            <w:rStyle w:val="Hyperlink"/>
            <w:rFonts w:hint="eastAsia"/>
            <w:noProof/>
            <w:rtl/>
          </w:rPr>
          <w:t>على</w:t>
        </w:r>
        <w:r w:rsidR="00683FD0" w:rsidRPr="00683FD0">
          <w:rPr>
            <w:rStyle w:val="Hyperlink"/>
            <w:noProof/>
            <w:rtl/>
          </w:rPr>
          <w:t xml:space="preserve"> </w:t>
        </w:r>
        <w:r w:rsidR="00683FD0" w:rsidRPr="00683FD0">
          <w:rPr>
            <w:rStyle w:val="Hyperlink"/>
            <w:rFonts w:hint="eastAsia"/>
            <w:noProof/>
            <w:rtl/>
          </w:rPr>
          <w:t>أساس</w:t>
        </w:r>
        <w:r w:rsidR="00683FD0" w:rsidRPr="00683FD0">
          <w:rPr>
            <w:rStyle w:val="Hyperlink"/>
            <w:noProof/>
            <w:rtl/>
          </w:rPr>
          <w:t xml:space="preserve"> </w:t>
        </w:r>
        <w:r w:rsidR="00683FD0" w:rsidRPr="00683FD0">
          <w:rPr>
            <w:rStyle w:val="Hyperlink"/>
            <w:rFonts w:hint="eastAsia"/>
            <w:noProof/>
            <w:rtl/>
          </w:rPr>
          <w:t>المناطق</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_Toc6139969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89</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0" w:history="1">
        <w:r w:rsidR="00683FD0" w:rsidRPr="00683FD0">
          <w:rPr>
            <w:rStyle w:val="Hyperlink"/>
            <w:noProof/>
            <w:rtl/>
          </w:rPr>
          <w:t>14/9</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w:t>
        </w:r>
        <w:r w:rsidR="00683FD0" w:rsidRPr="00683FD0">
          <w:rPr>
            <w:rStyle w:val="Hyperlink"/>
            <w:rFonts w:hint="eastAsia"/>
            <w:noProof/>
            <w:rtl/>
          </w:rPr>
          <w:t>البحري</w:t>
        </w:r>
        <w:r w:rsidR="00683FD0" w:rsidRPr="00683FD0">
          <w:rPr>
            <w:rStyle w:val="Hyperlink"/>
            <w:noProof/>
            <w:rtl/>
          </w:rPr>
          <w:t xml:space="preserve"> </w:t>
        </w:r>
        <w:r w:rsidR="00683FD0" w:rsidRPr="00683FD0">
          <w:rPr>
            <w:rStyle w:val="Hyperlink"/>
            <w:rFonts w:hint="eastAsia"/>
            <w:noProof/>
            <w:rtl/>
          </w:rPr>
          <w:t>والساحلي</w:t>
        </w:r>
        <w:r w:rsidR="00683FD0" w:rsidRPr="00683FD0">
          <w:rPr>
            <w:rStyle w:val="Hyperlink"/>
            <w:noProof/>
            <w:rtl/>
          </w:rPr>
          <w:t xml:space="preserve">: </w:t>
        </w:r>
        <w:r w:rsidR="00683FD0" w:rsidRPr="00683FD0">
          <w:rPr>
            <w:rStyle w:val="Hyperlink"/>
            <w:rFonts w:hint="eastAsia"/>
            <w:noProof/>
            <w:rtl/>
          </w:rPr>
          <w:t>المناطق</w:t>
        </w:r>
        <w:r w:rsidR="00683FD0" w:rsidRPr="00683FD0">
          <w:rPr>
            <w:rStyle w:val="Hyperlink"/>
            <w:noProof/>
            <w:rtl/>
          </w:rPr>
          <w:t xml:space="preserve"> </w:t>
        </w:r>
        <w:r w:rsidR="00683FD0" w:rsidRPr="00683FD0">
          <w:rPr>
            <w:rStyle w:val="Hyperlink"/>
            <w:rFonts w:hint="eastAsia"/>
            <w:noProof/>
            <w:rtl/>
          </w:rPr>
          <w:t>البحرية</w:t>
        </w:r>
        <w:r w:rsidR="00683FD0" w:rsidRPr="00683FD0">
          <w:rPr>
            <w:rStyle w:val="Hyperlink"/>
            <w:noProof/>
            <w:rtl/>
          </w:rPr>
          <w:t xml:space="preserve"> </w:t>
        </w:r>
        <w:r w:rsidR="00683FD0" w:rsidRPr="00683FD0">
          <w:rPr>
            <w:rStyle w:val="Hyperlink"/>
            <w:rFonts w:hint="eastAsia"/>
            <w:noProof/>
            <w:rtl/>
          </w:rPr>
          <w:t>المهمة</w:t>
        </w:r>
        <w:r w:rsidR="00683FD0" w:rsidRPr="00683FD0">
          <w:rPr>
            <w:rStyle w:val="Hyperlink"/>
            <w:noProof/>
            <w:rtl/>
          </w:rPr>
          <w:t xml:space="preserve"> </w:t>
        </w:r>
        <w:r w:rsidR="00683FD0" w:rsidRPr="00683FD0">
          <w:rPr>
            <w:rStyle w:val="Hyperlink"/>
            <w:rFonts w:hint="eastAsia"/>
            <w:noProof/>
            <w:rtl/>
          </w:rPr>
          <w:t>إيكولوجياً</w:t>
        </w:r>
        <w:r w:rsidR="00683FD0" w:rsidRPr="00683FD0">
          <w:rPr>
            <w:rStyle w:val="Hyperlink"/>
            <w:noProof/>
            <w:rtl/>
          </w:rPr>
          <w:t xml:space="preserve"> </w:t>
        </w:r>
        <w:r w:rsidR="00683FD0" w:rsidRPr="00683FD0">
          <w:rPr>
            <w:rStyle w:val="Hyperlink"/>
            <w:rFonts w:hint="eastAsia"/>
            <w:noProof/>
            <w:rtl/>
          </w:rPr>
          <w:t>أو</w:t>
        </w:r>
        <w:r w:rsidR="00683FD0" w:rsidRPr="00683FD0">
          <w:rPr>
            <w:rStyle w:val="Hyperlink"/>
            <w:noProof/>
            <w:rtl/>
          </w:rPr>
          <w:t xml:space="preserve"> </w:t>
        </w:r>
        <w:r w:rsidR="00683FD0" w:rsidRPr="00683FD0">
          <w:rPr>
            <w:rStyle w:val="Hyperlink"/>
            <w:rFonts w:hint="eastAsia"/>
            <w:noProof/>
            <w:rtl/>
          </w:rPr>
          <w:t>بيولوجياً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109</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1" w:history="1">
        <w:r w:rsidR="00683FD0" w:rsidRPr="00683FD0">
          <w:rPr>
            <w:rStyle w:val="Hyperlink"/>
            <w:rFonts w:ascii="Simplified Arabic" w:hAnsi="Simplified Arabic"/>
            <w:noProof/>
            <w:rtl/>
            <w:lang w:val="en-GB"/>
          </w:rPr>
          <w:t>14/10</w:t>
        </w:r>
        <w:r w:rsidR="00683FD0" w:rsidRPr="00683FD0">
          <w:rPr>
            <w:rFonts w:asciiTheme="minorHAnsi" w:eastAsiaTheme="minorEastAsia" w:hAnsiTheme="minorHAnsi" w:cstheme="minorBidi"/>
            <w:noProof/>
            <w:kern w:val="0"/>
            <w:szCs w:val="22"/>
            <w:lang w:bidi="ar-SA"/>
          </w:rPr>
          <w:tab/>
        </w:r>
        <w:r w:rsidR="00683FD0" w:rsidRPr="00683FD0">
          <w:rPr>
            <w:rStyle w:val="Hyperlink"/>
            <w:rFonts w:ascii="Simplified Arabic" w:hAnsi="Simplified Arabic" w:hint="eastAsia"/>
            <w:noProof/>
            <w:rtl/>
            <w:lang w:val="en-GB"/>
          </w:rPr>
          <w:t>المسائل</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الأخرى</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ذات</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الصلة</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بالتنوع</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البيولوجي</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البحري</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والساحلي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138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2" w:history="1">
        <w:r w:rsidR="00683FD0" w:rsidRPr="00683FD0">
          <w:rPr>
            <w:rStyle w:val="Hyperlink"/>
            <w:rFonts w:ascii="Simplified Arabic" w:hAnsi="Simplified Arabic"/>
            <w:noProof/>
            <w:rtl/>
          </w:rPr>
          <w:t>14/11</w:t>
        </w:r>
        <w:r w:rsidR="00683FD0" w:rsidRPr="00683FD0">
          <w:rPr>
            <w:rFonts w:asciiTheme="minorHAnsi" w:eastAsiaTheme="minorEastAsia" w:hAnsiTheme="minorHAnsi" w:cstheme="minorBidi"/>
            <w:noProof/>
            <w:kern w:val="0"/>
            <w:szCs w:val="22"/>
            <w:lang w:bidi="ar-SA"/>
          </w:rPr>
          <w:tab/>
        </w:r>
        <w:r w:rsidR="00683FD0" w:rsidRPr="00683FD0">
          <w:rPr>
            <w:rStyle w:val="Hyperlink"/>
            <w:rFonts w:ascii="Simplified Arabic" w:hAnsi="Simplified Arabic" w:hint="eastAsia"/>
            <w:noProof/>
            <w:rtl/>
          </w:rPr>
          <w:t>الأنواع</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الغريبة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الغازية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140</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3" w:history="1">
        <w:r w:rsidR="00683FD0" w:rsidRPr="00683FD0">
          <w:rPr>
            <w:rStyle w:val="Hyperlink"/>
            <w:rFonts w:ascii="Simplified Arabic" w:hAnsi="Simplified Arabic"/>
            <w:noProof/>
            <w:rtl/>
          </w:rPr>
          <w:t>14/12</w:t>
        </w:r>
        <w:r w:rsidR="00683FD0" w:rsidRPr="00683FD0">
          <w:rPr>
            <w:rFonts w:asciiTheme="minorHAnsi" w:eastAsiaTheme="minorEastAsia" w:hAnsiTheme="minorHAnsi" w:cstheme="minorBidi"/>
            <w:noProof/>
            <w:kern w:val="0"/>
            <w:szCs w:val="22"/>
            <w:lang w:bidi="ar-SA"/>
          </w:rPr>
          <w:tab/>
        </w:r>
        <w:r w:rsidR="00683FD0" w:rsidRPr="00683FD0">
          <w:rPr>
            <w:rStyle w:val="Hyperlink"/>
            <w:rFonts w:ascii="Simplified Arabic" w:hAnsi="Simplified Arabic" w:hint="eastAsia"/>
            <w:noProof/>
            <w:rtl/>
          </w:rPr>
          <w:t>المبادئ</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التوجيهية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الطوعية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روتسوليهيرساجيك</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لإعادة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توطين</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المعارف</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التقليدية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للشعوب</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الأصلية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والمجتمعات</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المحلية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ذات</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الصلة</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بحفظ</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التنوع</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البيولوجي</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واستخدامه</w:t>
        </w:r>
        <w:r w:rsidR="00683FD0" w:rsidRPr="00683FD0">
          <w:rPr>
            <w:rStyle w:val="Hyperlink"/>
            <w:rFonts w:ascii="Simplified Arabic" w:hAnsi="Simplified Arabic"/>
            <w:noProof/>
            <w:rtl/>
          </w:rPr>
          <w:t xml:space="preserve"> </w:t>
        </w:r>
        <w:r w:rsidR="00683FD0" w:rsidRPr="00683FD0">
          <w:rPr>
            <w:rStyle w:val="Hyperlink"/>
            <w:rFonts w:ascii="Simplified Arabic" w:hAnsi="Simplified Arabic" w:hint="eastAsia"/>
            <w:noProof/>
            <w:rtl/>
          </w:rPr>
          <w:t>المستدام</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148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4" w:history="1">
        <w:r w:rsidR="00683FD0" w:rsidRPr="00683FD0">
          <w:rPr>
            <w:rStyle w:val="Hyperlink"/>
            <w:rFonts w:ascii="Simplified Arabic" w:hAnsi="Simplified Arabic"/>
            <w:noProof/>
            <w:rtl/>
            <w:lang w:val="en-GB"/>
          </w:rPr>
          <w:t>14/13</w:t>
        </w:r>
        <w:r w:rsidR="00683FD0" w:rsidRPr="00683FD0">
          <w:rPr>
            <w:rFonts w:asciiTheme="minorHAnsi" w:eastAsiaTheme="minorEastAsia" w:hAnsiTheme="minorHAnsi" w:cstheme="minorBidi"/>
            <w:noProof/>
            <w:kern w:val="0"/>
            <w:szCs w:val="22"/>
            <w:lang w:bidi="ar-SA"/>
          </w:rPr>
          <w:tab/>
        </w:r>
        <w:r w:rsidR="00683FD0" w:rsidRPr="00683FD0">
          <w:rPr>
            <w:rStyle w:val="Hyperlink"/>
            <w:rFonts w:ascii="Simplified Arabic" w:hAnsi="Simplified Arabic" w:hint="eastAsia"/>
            <w:noProof/>
            <w:rtl/>
            <w:lang w:val="en-GB"/>
          </w:rPr>
          <w:t>مسرد</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المصطلحات</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والمفاهيم</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الرئيسية</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ذات</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الصلة</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في</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سياق</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المادة</w:t>
        </w:r>
        <w:r w:rsidR="00683FD0" w:rsidRPr="00683FD0">
          <w:rPr>
            <w:rStyle w:val="Hyperlink"/>
            <w:rFonts w:ascii="Simplified Arabic" w:hAnsi="Simplified Arabic"/>
            <w:noProof/>
            <w:rtl/>
            <w:lang w:val="en-GB"/>
          </w:rPr>
          <w:t xml:space="preserve"> 8(</w:t>
        </w:r>
        <w:r w:rsidR="00683FD0" w:rsidRPr="00683FD0">
          <w:rPr>
            <w:rStyle w:val="Hyperlink"/>
            <w:rFonts w:ascii="Simplified Arabic" w:hAnsi="Simplified Arabic" w:hint="eastAsia"/>
            <w:noProof/>
            <w:rtl/>
            <w:lang w:val="en-GB"/>
          </w:rPr>
          <w:t>ي</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والأحكام</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المتصلة</w:t>
        </w:r>
        <w:r w:rsidR="00683FD0" w:rsidRPr="00683FD0">
          <w:rPr>
            <w:rStyle w:val="Hyperlink"/>
            <w:rFonts w:ascii="Simplified Arabic" w:hAnsi="Simplified Arabic"/>
            <w:noProof/>
            <w:rtl/>
            <w:lang w:val="en-GB"/>
          </w:rPr>
          <w:t xml:space="preserve"> </w:t>
        </w:r>
        <w:r w:rsidR="00683FD0" w:rsidRPr="00683FD0">
          <w:rPr>
            <w:rStyle w:val="Hyperlink"/>
            <w:rFonts w:ascii="Simplified Arabic" w:hAnsi="Simplified Arabic" w:hint="eastAsia"/>
            <w:noProof/>
            <w:rtl/>
            <w:lang w:val="en-GB"/>
          </w:rPr>
          <w:t>بها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161</w:t>
        </w:r>
        <w:r w:rsidRPr="009E0EBA">
          <w:rPr>
            <w:rStyle w:val="Hyperlink"/>
            <w:rFonts w:cs="Times New Roman"/>
            <w:noProof/>
            <w:szCs w:val="22"/>
          </w:rPr>
          <w:fldChar w:fldCharType="end"/>
        </w:r>
      </w:hyperlink>
    </w:p>
    <w:p w:rsidR="00683FD0" w:rsidRPr="00683FD0" w:rsidRDefault="007B18D9" w:rsidP="00E04F06">
      <w:pPr>
        <w:pStyle w:val="TOC1"/>
        <w:rPr>
          <w:rFonts w:asciiTheme="minorHAnsi" w:hAnsiTheme="minorHAnsi"/>
          <w:sz w:val="22"/>
        </w:rPr>
      </w:pPr>
      <w:hyperlink w:anchor="_Toc6139975" w:history="1">
        <w:r w:rsidR="00683FD0" w:rsidRPr="00683FD0">
          <w:rPr>
            <w:rStyle w:val="Hyperlink"/>
            <w:rFonts w:eastAsia="Malgun Gothic"/>
            <w:rtl/>
            <w:lang w:val="en-GB"/>
          </w:rPr>
          <w:t>14/14</w:t>
        </w:r>
        <w:r w:rsidR="00683FD0" w:rsidRPr="00683FD0">
          <w:rPr>
            <w:rFonts w:asciiTheme="minorHAnsi" w:hAnsiTheme="minorHAnsi"/>
            <w:sz w:val="22"/>
          </w:rPr>
          <w:tab/>
        </w:r>
        <w:r w:rsidR="00683FD0" w:rsidRPr="00683FD0">
          <w:rPr>
            <w:rStyle w:val="Hyperlink"/>
            <w:rFonts w:eastAsia="Malgun Gothic" w:hint="eastAsia"/>
            <w:rtl/>
            <w:lang w:val="en-GB"/>
          </w:rPr>
          <w:t>المسائل</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الأخرى</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ذات</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الصلة</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بالمادة</w:t>
        </w:r>
        <w:r w:rsidR="00683FD0" w:rsidRPr="00683FD0">
          <w:rPr>
            <w:rStyle w:val="Hyperlink"/>
            <w:rFonts w:eastAsia="Malgun Gothic"/>
            <w:rtl/>
            <w:lang w:val="en-GB"/>
          </w:rPr>
          <w:t xml:space="preserve"> 8(</w:t>
        </w:r>
        <w:r w:rsidR="00683FD0" w:rsidRPr="00683FD0">
          <w:rPr>
            <w:rStyle w:val="Hyperlink"/>
            <w:rFonts w:eastAsia="Malgun Gothic" w:hint="eastAsia"/>
            <w:rtl/>
            <w:lang w:val="en-GB"/>
          </w:rPr>
          <w:t>ي</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والأحكام</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المتصلة</w:t>
        </w:r>
        <w:r w:rsidR="00683FD0" w:rsidRPr="00683FD0">
          <w:rPr>
            <w:rStyle w:val="Hyperlink"/>
            <w:rFonts w:eastAsia="Malgun Gothic"/>
            <w:rtl/>
            <w:lang w:val="en-GB"/>
          </w:rPr>
          <w:t xml:space="preserve"> </w:t>
        </w:r>
        <w:r w:rsidR="00683FD0" w:rsidRPr="00683FD0">
          <w:rPr>
            <w:rStyle w:val="Hyperlink"/>
            <w:rFonts w:eastAsia="Malgun Gothic" w:hint="eastAsia"/>
            <w:rtl/>
            <w:lang w:val="en-GB"/>
          </w:rPr>
          <w:t>بها</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_Toc6139975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167</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1"/>
        <w:rPr>
          <w:rFonts w:asciiTheme="minorHAnsi" w:hAnsiTheme="minorHAnsi"/>
          <w:sz w:val="22"/>
        </w:rPr>
      </w:pPr>
      <w:hyperlink w:anchor="_Toc6139976" w:history="1">
        <w:r w:rsidR="00683FD0" w:rsidRPr="00683FD0">
          <w:rPr>
            <w:rStyle w:val="Hyperlink"/>
            <w:rtl/>
          </w:rPr>
          <w:t>14/15</w:t>
        </w:r>
        <w:r w:rsidR="00683FD0" w:rsidRPr="00683FD0">
          <w:rPr>
            <w:rFonts w:asciiTheme="minorHAnsi" w:hAnsiTheme="minorHAnsi"/>
            <w:sz w:val="22"/>
          </w:rPr>
          <w:tab/>
        </w:r>
        <w:r w:rsidR="00683FD0" w:rsidRPr="00683FD0">
          <w:rPr>
            <w:rStyle w:val="Hyperlink"/>
            <w:rFonts w:hint="eastAsia"/>
            <w:rtl/>
          </w:rPr>
          <w:t>الضمانات</w:t>
        </w:r>
        <w:r w:rsidR="00683FD0" w:rsidRPr="00683FD0">
          <w:rPr>
            <w:rStyle w:val="Hyperlink"/>
            <w:rtl/>
          </w:rPr>
          <w:t xml:space="preserve"> </w:t>
        </w:r>
        <w:r w:rsidR="00683FD0" w:rsidRPr="00683FD0">
          <w:rPr>
            <w:rStyle w:val="Hyperlink"/>
            <w:rFonts w:hint="eastAsia"/>
            <w:rtl/>
          </w:rPr>
          <w:t>في</w:t>
        </w:r>
        <w:r w:rsidR="00683FD0" w:rsidRPr="00683FD0">
          <w:rPr>
            <w:rStyle w:val="Hyperlink"/>
            <w:rtl/>
          </w:rPr>
          <w:t xml:space="preserve"> </w:t>
        </w:r>
        <w:r w:rsidR="00683FD0" w:rsidRPr="00683FD0">
          <w:rPr>
            <w:rStyle w:val="Hyperlink"/>
            <w:rFonts w:hint="eastAsia"/>
            <w:rtl/>
          </w:rPr>
          <w:t>آليات</w:t>
        </w:r>
        <w:r w:rsidR="00683FD0" w:rsidRPr="00683FD0">
          <w:rPr>
            <w:rStyle w:val="Hyperlink"/>
            <w:rtl/>
          </w:rPr>
          <w:t xml:space="preserve"> </w:t>
        </w:r>
        <w:r w:rsidR="00683FD0" w:rsidRPr="00683FD0">
          <w:rPr>
            <w:rStyle w:val="Hyperlink"/>
            <w:rFonts w:hint="eastAsia"/>
            <w:rtl/>
          </w:rPr>
          <w:t>تمويل</w:t>
        </w:r>
        <w:r w:rsidR="00683FD0" w:rsidRPr="00683FD0">
          <w:rPr>
            <w:rStyle w:val="Hyperlink"/>
            <w:rtl/>
          </w:rPr>
          <w:t xml:space="preserve"> </w:t>
        </w:r>
        <w:r w:rsidR="00683FD0" w:rsidRPr="00683FD0">
          <w:rPr>
            <w:rStyle w:val="Hyperlink"/>
            <w:rFonts w:hint="eastAsia"/>
            <w:rtl/>
          </w:rPr>
          <w:t>التنوع</w:t>
        </w:r>
        <w:r w:rsidR="00683FD0" w:rsidRPr="00683FD0">
          <w:rPr>
            <w:rStyle w:val="Hyperlink"/>
            <w:rtl/>
          </w:rPr>
          <w:t xml:space="preserve"> </w:t>
        </w:r>
        <w:r w:rsidR="00683FD0" w:rsidRPr="00683FD0">
          <w:rPr>
            <w:rStyle w:val="Hyperlink"/>
            <w:rFonts w:hint="eastAsia"/>
            <w:rtl/>
          </w:rPr>
          <w:t>البيولوجي</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_Toc6139976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168</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1"/>
        <w:rPr>
          <w:rFonts w:asciiTheme="minorHAnsi" w:hAnsiTheme="minorHAnsi"/>
          <w:sz w:val="22"/>
        </w:rPr>
      </w:pPr>
      <w:hyperlink w:anchor="_Toc6139977" w:history="1">
        <w:r w:rsidR="00683FD0" w:rsidRPr="00683FD0">
          <w:rPr>
            <w:rStyle w:val="Hyperlink"/>
            <w:rtl/>
          </w:rPr>
          <w:t>14/16</w:t>
        </w:r>
        <w:r w:rsidR="00683FD0" w:rsidRPr="00683FD0">
          <w:rPr>
            <w:rFonts w:asciiTheme="minorHAnsi" w:hAnsiTheme="minorHAnsi"/>
            <w:sz w:val="22"/>
          </w:rPr>
          <w:tab/>
        </w:r>
        <w:r w:rsidR="00683FD0" w:rsidRPr="00683FD0">
          <w:rPr>
            <w:rStyle w:val="Hyperlink"/>
            <w:rFonts w:hint="eastAsia"/>
            <w:rtl/>
          </w:rPr>
          <w:t>الإرشادات</w:t>
        </w:r>
        <w:r w:rsidR="00683FD0" w:rsidRPr="00683FD0">
          <w:rPr>
            <w:rStyle w:val="Hyperlink"/>
            <w:rtl/>
          </w:rPr>
          <w:t xml:space="preserve"> </w:t>
        </w:r>
        <w:r w:rsidR="00683FD0" w:rsidRPr="00683FD0">
          <w:rPr>
            <w:rStyle w:val="Hyperlink"/>
            <w:rFonts w:hint="eastAsia"/>
            <w:rtl/>
          </w:rPr>
          <w:t>المنهجية</w:t>
        </w:r>
        <w:r w:rsidR="00683FD0" w:rsidRPr="00683FD0">
          <w:rPr>
            <w:rStyle w:val="Hyperlink"/>
            <w:rtl/>
          </w:rPr>
          <w:t xml:space="preserve"> </w:t>
        </w:r>
        <w:r w:rsidR="00683FD0" w:rsidRPr="00683FD0">
          <w:rPr>
            <w:rStyle w:val="Hyperlink"/>
            <w:rFonts w:hint="eastAsia"/>
            <w:rtl/>
          </w:rPr>
          <w:t>المتعلقة</w:t>
        </w:r>
        <w:r w:rsidR="00683FD0" w:rsidRPr="00683FD0">
          <w:rPr>
            <w:rStyle w:val="Hyperlink"/>
            <w:rtl/>
          </w:rPr>
          <w:t xml:space="preserve"> </w:t>
        </w:r>
        <w:r w:rsidR="00683FD0" w:rsidRPr="00683FD0">
          <w:rPr>
            <w:rStyle w:val="Hyperlink"/>
            <w:rFonts w:hint="eastAsia"/>
            <w:rtl/>
          </w:rPr>
          <w:t>بمساهمات</w:t>
        </w:r>
        <w:r w:rsidR="00683FD0" w:rsidRPr="00683FD0">
          <w:rPr>
            <w:rStyle w:val="Hyperlink"/>
            <w:rtl/>
          </w:rPr>
          <w:t xml:space="preserve"> </w:t>
        </w:r>
        <w:r w:rsidR="00683FD0" w:rsidRPr="00683FD0">
          <w:rPr>
            <w:rStyle w:val="Hyperlink"/>
            <w:rFonts w:hint="eastAsia"/>
            <w:rtl/>
          </w:rPr>
          <w:t>الشعوب</w:t>
        </w:r>
        <w:r w:rsidR="00683FD0" w:rsidRPr="00683FD0">
          <w:rPr>
            <w:rStyle w:val="Hyperlink"/>
            <w:rtl/>
          </w:rPr>
          <w:t xml:space="preserve"> </w:t>
        </w:r>
        <w:r w:rsidR="00683FD0" w:rsidRPr="00683FD0">
          <w:rPr>
            <w:rStyle w:val="Hyperlink"/>
            <w:rFonts w:hint="eastAsia"/>
            <w:rtl/>
          </w:rPr>
          <w:t>الأصلية</w:t>
        </w:r>
        <w:r w:rsidR="00683FD0" w:rsidRPr="00683FD0">
          <w:rPr>
            <w:rStyle w:val="Hyperlink"/>
            <w:rtl/>
          </w:rPr>
          <w:t xml:space="preserve"> </w:t>
        </w:r>
        <w:r w:rsidR="00683FD0" w:rsidRPr="00683FD0">
          <w:rPr>
            <w:rStyle w:val="Hyperlink"/>
            <w:rFonts w:hint="eastAsia"/>
            <w:rtl/>
          </w:rPr>
          <w:t>والمجتمعات</w:t>
        </w:r>
        <w:r w:rsidR="00683FD0" w:rsidRPr="00683FD0">
          <w:rPr>
            <w:rStyle w:val="Hyperlink"/>
            <w:rtl/>
          </w:rPr>
          <w:t xml:space="preserve"> </w:t>
        </w:r>
        <w:r w:rsidR="00683FD0" w:rsidRPr="00683FD0">
          <w:rPr>
            <w:rStyle w:val="Hyperlink"/>
            <w:rFonts w:hint="eastAsia"/>
            <w:rtl/>
          </w:rPr>
          <w:t>الم</w:t>
        </w:r>
        <w:r w:rsidR="00683FD0" w:rsidRPr="00683FD0">
          <w:rPr>
            <w:rStyle w:val="Hyperlink"/>
            <w:rFonts w:hint="eastAsia"/>
            <w:kern w:val="22"/>
            <w:rtl/>
          </w:rPr>
          <w:t>حلية</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_Toc6139977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171</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8" w:history="1">
        <w:r w:rsidR="00683FD0" w:rsidRPr="00683FD0">
          <w:rPr>
            <w:rStyle w:val="Hyperlink"/>
            <w:noProof/>
            <w:rtl/>
          </w:rPr>
          <w:t>14/17</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إدراج</w:t>
        </w:r>
        <w:r w:rsidR="00683FD0" w:rsidRPr="00683FD0">
          <w:rPr>
            <w:rStyle w:val="Hyperlink"/>
            <w:noProof/>
            <w:rtl/>
          </w:rPr>
          <w:t xml:space="preserve"> </w:t>
        </w:r>
        <w:r w:rsidR="00683FD0" w:rsidRPr="00683FD0">
          <w:rPr>
            <w:rStyle w:val="Hyperlink"/>
            <w:rFonts w:hint="eastAsia"/>
            <w:noProof/>
            <w:rtl/>
          </w:rPr>
          <w:t>المادة</w:t>
        </w:r>
        <w:r w:rsidR="00683FD0" w:rsidRPr="00683FD0">
          <w:rPr>
            <w:rStyle w:val="Hyperlink"/>
            <w:noProof/>
            <w:rtl/>
          </w:rPr>
          <w:t xml:space="preserve"> 8(</w:t>
        </w:r>
        <w:r w:rsidR="00683FD0" w:rsidRPr="00683FD0">
          <w:rPr>
            <w:rStyle w:val="Hyperlink"/>
            <w:rFonts w:hint="eastAsia"/>
            <w:noProof/>
            <w:rtl/>
          </w:rPr>
          <w:t>ي</w:t>
        </w:r>
        <w:r w:rsidR="00683FD0" w:rsidRPr="00683FD0">
          <w:rPr>
            <w:rStyle w:val="Hyperlink"/>
            <w:noProof/>
            <w:rtl/>
          </w:rPr>
          <w:t xml:space="preserve">) </w:t>
        </w:r>
        <w:r w:rsidR="00683FD0" w:rsidRPr="00683FD0">
          <w:rPr>
            <w:rStyle w:val="Hyperlink"/>
            <w:rFonts w:hint="eastAsia"/>
            <w:noProof/>
            <w:rtl/>
          </w:rPr>
          <w:t>والأحكام</w:t>
        </w:r>
        <w:r w:rsidR="00683FD0" w:rsidRPr="00683FD0">
          <w:rPr>
            <w:rStyle w:val="Hyperlink"/>
            <w:noProof/>
            <w:rtl/>
          </w:rPr>
          <w:t xml:space="preserve"> </w:t>
        </w:r>
        <w:r w:rsidR="00683FD0" w:rsidRPr="00683FD0">
          <w:rPr>
            <w:rStyle w:val="Hyperlink"/>
            <w:rFonts w:hint="eastAsia"/>
            <w:noProof/>
            <w:rtl/>
          </w:rPr>
          <w:t>المتصلة</w:t>
        </w:r>
        <w:r w:rsidR="00683FD0" w:rsidRPr="00683FD0">
          <w:rPr>
            <w:rStyle w:val="Hyperlink"/>
            <w:noProof/>
            <w:rtl/>
          </w:rPr>
          <w:t xml:space="preserve"> </w:t>
        </w:r>
        <w:r w:rsidR="00683FD0" w:rsidRPr="00683FD0">
          <w:rPr>
            <w:rStyle w:val="Hyperlink"/>
            <w:rFonts w:hint="eastAsia"/>
            <w:noProof/>
            <w:rtl/>
          </w:rPr>
          <w:t>بالشعوب</w:t>
        </w:r>
        <w:r w:rsidR="00683FD0" w:rsidRPr="00683FD0">
          <w:rPr>
            <w:rStyle w:val="Hyperlink"/>
            <w:noProof/>
            <w:rtl/>
          </w:rPr>
          <w:t xml:space="preserve"> </w:t>
        </w:r>
        <w:r w:rsidR="00683FD0" w:rsidRPr="00683FD0">
          <w:rPr>
            <w:rStyle w:val="Hyperlink"/>
            <w:rFonts w:hint="eastAsia"/>
            <w:noProof/>
            <w:rtl/>
          </w:rPr>
          <w:t>الأصلية</w:t>
        </w:r>
        <w:r w:rsidR="00683FD0" w:rsidRPr="00683FD0">
          <w:rPr>
            <w:rStyle w:val="Hyperlink"/>
            <w:noProof/>
            <w:rtl/>
          </w:rPr>
          <w:t xml:space="preserve"> </w:t>
        </w:r>
        <w:r w:rsidR="00683FD0" w:rsidRPr="00683FD0">
          <w:rPr>
            <w:rStyle w:val="Hyperlink"/>
            <w:rFonts w:hint="eastAsia"/>
            <w:noProof/>
            <w:rtl/>
          </w:rPr>
          <w:t>والمجتمعات</w:t>
        </w:r>
        <w:r w:rsidR="00683FD0" w:rsidRPr="00683FD0">
          <w:rPr>
            <w:rStyle w:val="Hyperlink"/>
            <w:noProof/>
            <w:rtl/>
          </w:rPr>
          <w:t xml:space="preserve"> </w:t>
        </w:r>
        <w:r w:rsidR="00683FD0" w:rsidRPr="00683FD0">
          <w:rPr>
            <w:rStyle w:val="Hyperlink"/>
            <w:rFonts w:hint="eastAsia"/>
            <w:noProof/>
            <w:rtl/>
          </w:rPr>
          <w:t>المحلية</w:t>
        </w:r>
        <w:r w:rsidR="00683FD0" w:rsidRPr="00683FD0">
          <w:rPr>
            <w:rStyle w:val="Hyperlink"/>
            <w:noProof/>
            <w:rtl/>
          </w:rPr>
          <w:t xml:space="preserve"> </w:t>
        </w:r>
        <w:r w:rsidR="00683FD0" w:rsidRPr="00683FD0">
          <w:rPr>
            <w:rStyle w:val="Hyperlink"/>
            <w:rFonts w:hint="eastAsia"/>
            <w:noProof/>
            <w:rtl/>
          </w:rPr>
          <w:t>في</w:t>
        </w:r>
        <w:r w:rsidR="00683FD0" w:rsidRPr="00683FD0">
          <w:rPr>
            <w:rStyle w:val="Hyperlink"/>
            <w:noProof/>
            <w:rtl/>
          </w:rPr>
          <w:t xml:space="preserve"> </w:t>
        </w:r>
        <w:r w:rsidR="00683FD0" w:rsidRPr="00683FD0">
          <w:rPr>
            <w:rStyle w:val="Hyperlink"/>
            <w:rFonts w:hint="eastAsia"/>
            <w:noProof/>
            <w:rtl/>
          </w:rPr>
          <w:t>عمل</w:t>
        </w:r>
        <w:r w:rsidR="00683FD0" w:rsidRPr="00683FD0">
          <w:rPr>
            <w:rStyle w:val="Hyperlink"/>
            <w:noProof/>
            <w:rtl/>
          </w:rPr>
          <w:t xml:space="preserve"> </w:t>
        </w:r>
        <w:r w:rsidR="00683FD0" w:rsidRPr="00683FD0">
          <w:rPr>
            <w:rStyle w:val="Hyperlink"/>
            <w:rFonts w:hint="eastAsia"/>
            <w:noProof/>
            <w:rtl/>
          </w:rPr>
          <w:t>الاتفاقية</w:t>
        </w:r>
        <w:r w:rsidR="00683FD0" w:rsidRPr="00683FD0">
          <w:rPr>
            <w:rStyle w:val="Hyperlink"/>
            <w:noProof/>
            <w:rtl/>
          </w:rPr>
          <w:t xml:space="preserve"> </w:t>
        </w:r>
        <w:r w:rsidR="00683FD0" w:rsidRPr="00683FD0">
          <w:rPr>
            <w:rStyle w:val="Hyperlink"/>
            <w:rFonts w:hint="eastAsia"/>
            <w:noProof/>
            <w:rtl/>
          </w:rPr>
          <w:t>وبروتوكوليها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174</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79" w:history="1">
        <w:r w:rsidR="00683FD0" w:rsidRPr="00683FD0">
          <w:rPr>
            <w:rStyle w:val="Hyperlink"/>
            <w:noProof/>
            <w:rtl/>
          </w:rPr>
          <w:t>14/18</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خطة</w:t>
        </w:r>
        <w:r w:rsidR="00683FD0" w:rsidRPr="00683FD0">
          <w:rPr>
            <w:rStyle w:val="Hyperlink"/>
            <w:noProof/>
            <w:rtl/>
          </w:rPr>
          <w:t xml:space="preserve"> </w:t>
        </w:r>
        <w:r w:rsidR="00683FD0" w:rsidRPr="00683FD0">
          <w:rPr>
            <w:rStyle w:val="Hyperlink"/>
            <w:rFonts w:hint="eastAsia"/>
            <w:noProof/>
            <w:rtl/>
          </w:rPr>
          <w:t>عمل</w:t>
        </w:r>
        <w:r w:rsidR="00683FD0" w:rsidRPr="00683FD0">
          <w:rPr>
            <w:rStyle w:val="Hyperlink"/>
            <w:noProof/>
            <w:rtl/>
          </w:rPr>
          <w:t xml:space="preserve"> </w:t>
        </w:r>
        <w:r w:rsidR="00683FD0" w:rsidRPr="00683FD0">
          <w:rPr>
            <w:rStyle w:val="Hyperlink"/>
            <w:rFonts w:hint="eastAsia"/>
            <w:noProof/>
            <w:rtl/>
          </w:rPr>
          <w:t>الاعتبارات</w:t>
        </w:r>
        <w:r w:rsidR="00683FD0" w:rsidRPr="00683FD0">
          <w:rPr>
            <w:rStyle w:val="Hyperlink"/>
            <w:noProof/>
            <w:rtl/>
          </w:rPr>
          <w:t xml:space="preserve"> </w:t>
        </w:r>
        <w:r w:rsidR="00683FD0" w:rsidRPr="00683FD0">
          <w:rPr>
            <w:rStyle w:val="Hyperlink"/>
            <w:rFonts w:hint="eastAsia"/>
            <w:noProof/>
            <w:rtl/>
          </w:rPr>
          <w:t>الجنسانية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_Toc6139979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178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0" w:history="1">
        <w:r w:rsidR="00683FD0" w:rsidRPr="00683FD0">
          <w:rPr>
            <w:rStyle w:val="Hyperlink"/>
            <w:noProof/>
            <w:rtl/>
          </w:rPr>
          <w:t>14/19</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البيولوجيا</w:t>
        </w:r>
        <w:r w:rsidR="00683FD0" w:rsidRPr="00683FD0">
          <w:rPr>
            <w:rStyle w:val="Hyperlink"/>
            <w:noProof/>
            <w:rtl/>
          </w:rPr>
          <w:t xml:space="preserve"> </w:t>
        </w:r>
        <w:r w:rsidR="00683FD0" w:rsidRPr="00683FD0">
          <w:rPr>
            <w:rStyle w:val="Hyperlink"/>
            <w:rFonts w:hint="eastAsia"/>
            <w:noProof/>
            <w:rtl/>
          </w:rPr>
          <w:t>التركيبية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179</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1" w:history="1">
        <w:r w:rsidR="00683FD0" w:rsidRPr="00683FD0">
          <w:rPr>
            <w:rStyle w:val="Hyperlink"/>
            <w:noProof/>
            <w:rtl/>
          </w:rPr>
          <w:t>14/20</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معلومات</w:t>
        </w:r>
        <w:r w:rsidR="00683FD0" w:rsidRPr="00683FD0">
          <w:rPr>
            <w:rStyle w:val="Hyperlink"/>
            <w:noProof/>
            <w:rtl/>
          </w:rPr>
          <w:t xml:space="preserve"> </w:t>
        </w:r>
        <w:r w:rsidR="00683FD0" w:rsidRPr="00683FD0">
          <w:rPr>
            <w:rStyle w:val="Hyperlink"/>
            <w:rFonts w:hint="eastAsia"/>
            <w:noProof/>
            <w:rtl/>
          </w:rPr>
          <w:t>التسلسل</w:t>
        </w:r>
        <w:r w:rsidR="00683FD0" w:rsidRPr="00683FD0">
          <w:rPr>
            <w:rStyle w:val="Hyperlink"/>
            <w:noProof/>
            <w:rtl/>
          </w:rPr>
          <w:t xml:space="preserve"> </w:t>
        </w:r>
        <w:r w:rsidR="00683FD0" w:rsidRPr="00683FD0">
          <w:rPr>
            <w:rStyle w:val="Hyperlink"/>
            <w:rFonts w:hint="eastAsia"/>
            <w:noProof/>
            <w:rtl/>
          </w:rPr>
          <w:t>الرقمي</w:t>
        </w:r>
        <w:r w:rsidR="00683FD0" w:rsidRPr="00683FD0">
          <w:rPr>
            <w:rStyle w:val="Hyperlink"/>
            <w:noProof/>
            <w:rtl/>
          </w:rPr>
          <w:t xml:space="preserve"> </w:t>
        </w:r>
        <w:r w:rsidR="00683FD0" w:rsidRPr="00683FD0">
          <w:rPr>
            <w:rStyle w:val="Hyperlink"/>
            <w:rFonts w:hint="eastAsia"/>
            <w:noProof/>
            <w:rtl/>
          </w:rPr>
          <w:t>بشأن</w:t>
        </w:r>
        <w:r w:rsidR="00683FD0" w:rsidRPr="00683FD0">
          <w:rPr>
            <w:rStyle w:val="Hyperlink"/>
            <w:noProof/>
            <w:rtl/>
          </w:rPr>
          <w:t xml:space="preserve"> </w:t>
        </w:r>
        <w:r w:rsidR="00683FD0" w:rsidRPr="00683FD0">
          <w:rPr>
            <w:rStyle w:val="Hyperlink"/>
            <w:rFonts w:hint="eastAsia"/>
            <w:noProof/>
            <w:rtl/>
          </w:rPr>
          <w:t>الموارد</w:t>
        </w:r>
        <w:r w:rsidR="00683FD0" w:rsidRPr="00683FD0">
          <w:rPr>
            <w:rStyle w:val="Hyperlink"/>
            <w:noProof/>
            <w:rtl/>
          </w:rPr>
          <w:t xml:space="preserve"> </w:t>
        </w:r>
        <w:r w:rsidR="00683FD0" w:rsidRPr="00683FD0">
          <w:rPr>
            <w:rStyle w:val="Hyperlink"/>
            <w:rFonts w:hint="eastAsia"/>
            <w:noProof/>
            <w:rtl/>
          </w:rPr>
          <w:t>الجينية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183</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2" w:history="1">
        <w:r w:rsidR="00683FD0" w:rsidRPr="00683FD0">
          <w:rPr>
            <w:rStyle w:val="Hyperlink"/>
            <w:noProof/>
            <w:rtl/>
          </w:rPr>
          <w:t>14/21</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المسؤولية</w:t>
        </w:r>
        <w:r w:rsidR="00683FD0" w:rsidRPr="00683FD0">
          <w:rPr>
            <w:rStyle w:val="Hyperlink"/>
            <w:noProof/>
            <w:rtl/>
          </w:rPr>
          <w:t xml:space="preserve"> </w:t>
        </w:r>
        <w:r w:rsidR="00683FD0" w:rsidRPr="00683FD0">
          <w:rPr>
            <w:rStyle w:val="Hyperlink"/>
            <w:rFonts w:hint="eastAsia"/>
            <w:noProof/>
            <w:rtl/>
          </w:rPr>
          <w:t>والجبر</w:t>
        </w:r>
        <w:r w:rsidR="00683FD0" w:rsidRPr="00683FD0">
          <w:rPr>
            <w:rStyle w:val="Hyperlink"/>
            <w:noProof/>
            <w:rtl/>
          </w:rPr>
          <w:t xml:space="preserve"> </w:t>
        </w:r>
        <w:r w:rsidR="00683FD0" w:rsidRPr="00683FD0">
          <w:rPr>
            <w:rStyle w:val="Hyperlink"/>
            <w:rFonts w:hint="eastAsia"/>
            <w:noProof/>
            <w:rtl/>
          </w:rPr>
          <w:t>التعويضي</w:t>
        </w:r>
        <w:r w:rsidR="00683FD0" w:rsidRPr="00683FD0">
          <w:rPr>
            <w:rStyle w:val="Hyperlink"/>
            <w:noProof/>
            <w:rtl/>
          </w:rPr>
          <w:t xml:space="preserve"> (</w:t>
        </w:r>
        <w:r w:rsidR="00683FD0" w:rsidRPr="00683FD0">
          <w:rPr>
            <w:rStyle w:val="Hyperlink"/>
            <w:rFonts w:hint="eastAsia"/>
            <w:noProof/>
            <w:rtl/>
          </w:rPr>
          <w:t>المادة</w:t>
        </w:r>
        <w:r w:rsidR="00683FD0" w:rsidRPr="00683FD0">
          <w:rPr>
            <w:rStyle w:val="Hyperlink"/>
            <w:noProof/>
            <w:rtl/>
          </w:rPr>
          <w:t xml:space="preserve"> 14</w:t>
        </w:r>
        <w:r w:rsidR="00683FD0" w:rsidRPr="00683FD0">
          <w:rPr>
            <w:rStyle w:val="Hyperlink"/>
            <w:rFonts w:hint="eastAsia"/>
            <w:noProof/>
            <w:rtl/>
          </w:rPr>
          <w:t>،</w:t>
        </w:r>
        <w:r w:rsidR="00683FD0" w:rsidRPr="00683FD0">
          <w:rPr>
            <w:rStyle w:val="Hyperlink"/>
            <w:noProof/>
            <w:rtl/>
          </w:rPr>
          <w:t xml:space="preserve"> </w:t>
        </w:r>
        <w:r w:rsidR="00683FD0" w:rsidRPr="00683FD0">
          <w:rPr>
            <w:rStyle w:val="Hyperlink"/>
            <w:rFonts w:hint="eastAsia"/>
            <w:noProof/>
            <w:rtl/>
          </w:rPr>
          <w:t>الفقرة</w:t>
        </w:r>
        <w:r w:rsidR="00683FD0" w:rsidRPr="00683FD0">
          <w:rPr>
            <w:rStyle w:val="Hyperlink"/>
            <w:noProof/>
            <w:rtl/>
          </w:rPr>
          <w:t xml:space="preserve"> 2)</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186</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3" w:history="1">
        <w:r w:rsidR="00683FD0" w:rsidRPr="00683FD0">
          <w:rPr>
            <w:rStyle w:val="Hyperlink"/>
            <w:noProof/>
            <w:rtl/>
          </w:rPr>
          <w:t>14/22</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حشد</w:t>
        </w:r>
        <w:r w:rsidR="00683FD0" w:rsidRPr="00683FD0">
          <w:rPr>
            <w:rStyle w:val="Hyperlink"/>
            <w:noProof/>
            <w:rtl/>
          </w:rPr>
          <w:t xml:space="preserve"> </w:t>
        </w:r>
        <w:r w:rsidR="00683FD0" w:rsidRPr="00683FD0">
          <w:rPr>
            <w:rStyle w:val="Hyperlink"/>
            <w:rFonts w:hint="eastAsia"/>
            <w:noProof/>
            <w:rtl/>
          </w:rPr>
          <w:t>الموارد</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187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4" w:history="1">
        <w:r w:rsidR="00683FD0" w:rsidRPr="00683FD0">
          <w:rPr>
            <w:rStyle w:val="Hyperlink"/>
            <w:noProof/>
            <w:rtl/>
          </w:rPr>
          <w:t>14/23</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الآلية</w:t>
        </w:r>
        <w:r w:rsidR="00683FD0" w:rsidRPr="00683FD0">
          <w:rPr>
            <w:rStyle w:val="Hyperlink"/>
            <w:noProof/>
            <w:rtl/>
          </w:rPr>
          <w:t xml:space="preserve"> </w:t>
        </w:r>
        <w:r w:rsidR="00683FD0" w:rsidRPr="00683FD0">
          <w:rPr>
            <w:rStyle w:val="Hyperlink"/>
            <w:rFonts w:hint="eastAsia"/>
            <w:noProof/>
            <w:rtl/>
          </w:rPr>
          <w:t>المالية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190</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5" w:history="1">
        <w:r w:rsidR="00683FD0" w:rsidRPr="00683FD0">
          <w:rPr>
            <w:rStyle w:val="Hyperlink"/>
            <w:noProof/>
            <w:rtl/>
          </w:rPr>
          <w:t>14/24</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بناء</w:t>
        </w:r>
        <w:r w:rsidR="00683FD0" w:rsidRPr="00683FD0">
          <w:rPr>
            <w:rStyle w:val="Hyperlink"/>
            <w:noProof/>
            <w:rtl/>
          </w:rPr>
          <w:t xml:space="preserve"> </w:t>
        </w:r>
        <w:r w:rsidR="00683FD0" w:rsidRPr="00683FD0">
          <w:rPr>
            <w:rStyle w:val="Hyperlink"/>
            <w:rFonts w:hint="eastAsia"/>
            <w:noProof/>
            <w:rtl/>
          </w:rPr>
          <w:t>القدرات</w:t>
        </w:r>
        <w:r w:rsidR="00683FD0" w:rsidRPr="00683FD0">
          <w:rPr>
            <w:rStyle w:val="Hyperlink"/>
            <w:noProof/>
            <w:rtl/>
          </w:rPr>
          <w:t xml:space="preserve"> </w:t>
        </w:r>
        <w:r w:rsidR="00683FD0" w:rsidRPr="00683FD0">
          <w:rPr>
            <w:rStyle w:val="Hyperlink"/>
            <w:rFonts w:hint="eastAsia"/>
            <w:noProof/>
            <w:rtl/>
          </w:rPr>
          <w:t>والتعاون</w:t>
        </w:r>
        <w:r w:rsidR="00683FD0" w:rsidRPr="00683FD0">
          <w:rPr>
            <w:rStyle w:val="Hyperlink"/>
            <w:noProof/>
            <w:rtl/>
          </w:rPr>
          <w:t xml:space="preserve"> </w:t>
        </w:r>
        <w:r w:rsidR="00683FD0" w:rsidRPr="00683FD0">
          <w:rPr>
            <w:rStyle w:val="Hyperlink"/>
            <w:rFonts w:hint="eastAsia"/>
            <w:noProof/>
            <w:rtl/>
          </w:rPr>
          <w:t>التقني</w:t>
        </w:r>
        <w:r w:rsidR="00683FD0" w:rsidRPr="00683FD0">
          <w:rPr>
            <w:rStyle w:val="Hyperlink"/>
            <w:noProof/>
            <w:rtl/>
          </w:rPr>
          <w:t xml:space="preserve"> </w:t>
        </w:r>
        <w:r w:rsidR="00683FD0" w:rsidRPr="00683FD0">
          <w:rPr>
            <w:rStyle w:val="Hyperlink"/>
            <w:rFonts w:hint="eastAsia"/>
            <w:noProof/>
            <w:rtl/>
          </w:rPr>
          <w:t>والعلمي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195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6" w:history="1">
        <w:r w:rsidR="00683FD0" w:rsidRPr="00683FD0">
          <w:rPr>
            <w:rStyle w:val="Hyperlink"/>
            <w:noProof/>
            <w:rtl/>
          </w:rPr>
          <w:t>14/25</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إدارة</w:t>
        </w:r>
        <w:r w:rsidR="00683FD0" w:rsidRPr="00683FD0">
          <w:rPr>
            <w:rStyle w:val="Hyperlink"/>
            <w:noProof/>
            <w:rtl/>
          </w:rPr>
          <w:t xml:space="preserve"> </w:t>
        </w:r>
        <w:r w:rsidR="00683FD0" w:rsidRPr="00683FD0">
          <w:rPr>
            <w:rStyle w:val="Hyperlink"/>
            <w:rFonts w:hint="eastAsia"/>
            <w:noProof/>
            <w:rtl/>
          </w:rPr>
          <w:t>المعارف</w:t>
        </w:r>
        <w:r w:rsidR="00683FD0" w:rsidRPr="00683FD0">
          <w:rPr>
            <w:rStyle w:val="Hyperlink"/>
            <w:noProof/>
            <w:rtl/>
          </w:rPr>
          <w:t xml:space="preserve"> </w:t>
        </w:r>
        <w:r w:rsidR="00683FD0" w:rsidRPr="00683FD0">
          <w:rPr>
            <w:rStyle w:val="Hyperlink"/>
            <w:rFonts w:hint="eastAsia"/>
            <w:noProof/>
            <w:rtl/>
          </w:rPr>
          <w:t>في</w:t>
        </w:r>
        <w:r w:rsidR="00683FD0" w:rsidRPr="00683FD0">
          <w:rPr>
            <w:rStyle w:val="Hyperlink"/>
            <w:noProof/>
            <w:rtl/>
          </w:rPr>
          <w:t xml:space="preserve"> </w:t>
        </w:r>
        <w:r w:rsidR="00683FD0" w:rsidRPr="00683FD0">
          <w:rPr>
            <w:rStyle w:val="Hyperlink"/>
            <w:rFonts w:hint="eastAsia"/>
            <w:noProof/>
            <w:rtl/>
          </w:rPr>
          <w:t>إطار</w:t>
        </w:r>
        <w:r w:rsidR="00683FD0" w:rsidRPr="00683FD0">
          <w:rPr>
            <w:rStyle w:val="Hyperlink"/>
            <w:noProof/>
            <w:rtl/>
          </w:rPr>
          <w:t xml:space="preserve"> </w:t>
        </w:r>
        <w:r w:rsidR="00683FD0" w:rsidRPr="00683FD0">
          <w:rPr>
            <w:rStyle w:val="Hyperlink"/>
            <w:rFonts w:hint="eastAsia"/>
            <w:noProof/>
            <w:rtl/>
          </w:rPr>
          <w:t>الاتفاقية</w:t>
        </w:r>
        <w:r w:rsidR="00683FD0" w:rsidRPr="00683FD0">
          <w:rPr>
            <w:rStyle w:val="Hyperlink"/>
            <w:noProof/>
            <w:rtl/>
          </w:rPr>
          <w:t xml:space="preserve"> </w:t>
        </w:r>
        <w:r w:rsidR="00683FD0" w:rsidRPr="00683FD0">
          <w:rPr>
            <w:rStyle w:val="Hyperlink"/>
            <w:rFonts w:hint="eastAsia"/>
            <w:noProof/>
            <w:rtl/>
          </w:rPr>
          <w:t>وبروتوكولي</w:t>
        </w:r>
        <w:r w:rsidR="00683FD0" w:rsidRPr="00683FD0">
          <w:rPr>
            <w:rStyle w:val="Hyperlink"/>
            <w:rFonts w:hint="eastAsia"/>
            <w:caps/>
            <w:noProof/>
            <w:kern w:val="22"/>
            <w:rtl/>
          </w:rPr>
          <w:t>ها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202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7" w:history="1">
        <w:r w:rsidR="00683FD0" w:rsidRPr="00683FD0">
          <w:rPr>
            <w:rStyle w:val="Hyperlink"/>
            <w:noProof/>
            <w:rtl/>
          </w:rPr>
          <w:t>14/26</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الاتصالات</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205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8" w:history="1">
        <w:r w:rsidR="00683FD0" w:rsidRPr="00683FD0">
          <w:rPr>
            <w:rStyle w:val="Hyperlink"/>
            <w:noProof/>
            <w:rtl/>
          </w:rPr>
          <w:t>14/27</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عملية</w:t>
        </w:r>
        <w:r w:rsidR="00683FD0" w:rsidRPr="00683FD0">
          <w:rPr>
            <w:rStyle w:val="Hyperlink"/>
            <w:noProof/>
            <w:rtl/>
          </w:rPr>
          <w:t xml:space="preserve"> </w:t>
        </w:r>
        <w:r w:rsidR="00683FD0" w:rsidRPr="00683FD0">
          <w:rPr>
            <w:rStyle w:val="Hyperlink"/>
            <w:rFonts w:hint="eastAsia"/>
            <w:noProof/>
            <w:rtl/>
          </w:rPr>
          <w:t>لتحقيق</w:t>
        </w:r>
        <w:r w:rsidR="00683FD0" w:rsidRPr="00683FD0">
          <w:rPr>
            <w:rStyle w:val="Hyperlink"/>
            <w:noProof/>
            <w:rtl/>
          </w:rPr>
          <w:t xml:space="preserve"> </w:t>
        </w:r>
        <w:r w:rsidR="00683FD0" w:rsidRPr="00683FD0">
          <w:rPr>
            <w:rStyle w:val="Hyperlink"/>
            <w:rFonts w:hint="eastAsia"/>
            <w:noProof/>
            <w:rtl/>
          </w:rPr>
          <w:t>توافق</w:t>
        </w:r>
        <w:r w:rsidR="00683FD0" w:rsidRPr="00683FD0">
          <w:rPr>
            <w:rStyle w:val="Hyperlink"/>
            <w:noProof/>
            <w:rtl/>
          </w:rPr>
          <w:t xml:space="preserve"> </w:t>
        </w:r>
        <w:r w:rsidR="00683FD0" w:rsidRPr="00683FD0">
          <w:rPr>
            <w:rStyle w:val="Hyperlink"/>
            <w:rFonts w:hint="eastAsia"/>
            <w:noProof/>
            <w:rtl/>
          </w:rPr>
          <w:t>الإبلاغ</w:t>
        </w:r>
        <w:r w:rsidR="00683FD0" w:rsidRPr="00683FD0">
          <w:rPr>
            <w:rStyle w:val="Hyperlink"/>
            <w:noProof/>
            <w:rtl/>
          </w:rPr>
          <w:t xml:space="preserve"> </w:t>
        </w:r>
        <w:r w:rsidR="00683FD0" w:rsidRPr="00683FD0">
          <w:rPr>
            <w:rStyle w:val="Hyperlink"/>
            <w:rFonts w:hint="eastAsia"/>
            <w:noProof/>
            <w:rtl/>
          </w:rPr>
          <w:t>الوطني</w:t>
        </w:r>
        <w:r w:rsidR="00683FD0" w:rsidRPr="00683FD0">
          <w:rPr>
            <w:rStyle w:val="Hyperlink"/>
            <w:noProof/>
            <w:rtl/>
          </w:rPr>
          <w:t xml:space="preserve"> </w:t>
        </w:r>
        <w:r w:rsidR="00683FD0" w:rsidRPr="00683FD0">
          <w:rPr>
            <w:rStyle w:val="Hyperlink"/>
            <w:rFonts w:hint="eastAsia"/>
            <w:noProof/>
            <w:rtl/>
          </w:rPr>
          <w:t>والتقييم</w:t>
        </w:r>
        <w:r w:rsidR="00683FD0" w:rsidRPr="00683FD0">
          <w:rPr>
            <w:rStyle w:val="Hyperlink"/>
            <w:noProof/>
            <w:rtl/>
          </w:rPr>
          <w:t xml:space="preserve"> </w:t>
        </w:r>
        <w:r w:rsidR="00683FD0" w:rsidRPr="00683FD0">
          <w:rPr>
            <w:rStyle w:val="Hyperlink"/>
            <w:rFonts w:hint="eastAsia"/>
            <w:noProof/>
            <w:rtl/>
          </w:rPr>
          <w:t>والاستعراض</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206</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89" w:history="1">
        <w:r w:rsidR="00683FD0" w:rsidRPr="00683FD0">
          <w:rPr>
            <w:rStyle w:val="Hyperlink"/>
            <w:rFonts w:eastAsia="Malgun Gothic"/>
            <w:noProof/>
            <w:rtl/>
            <w:lang w:val="en-GB"/>
          </w:rPr>
          <w:t>14/28</w:t>
        </w:r>
        <w:r w:rsidR="00683FD0" w:rsidRPr="00683FD0">
          <w:rPr>
            <w:rFonts w:asciiTheme="minorHAnsi" w:eastAsiaTheme="minorEastAsia" w:hAnsiTheme="minorHAnsi" w:cstheme="minorBidi"/>
            <w:noProof/>
            <w:kern w:val="0"/>
            <w:szCs w:val="22"/>
            <w:lang w:bidi="ar-SA"/>
          </w:rPr>
          <w:tab/>
        </w:r>
        <w:r w:rsidR="00683FD0" w:rsidRPr="00683FD0">
          <w:rPr>
            <w:rStyle w:val="Hyperlink"/>
            <w:rFonts w:eastAsia="Malgun Gothic" w:hint="eastAsia"/>
            <w:noProof/>
            <w:rtl/>
            <w:lang w:val="en-GB"/>
          </w:rPr>
          <w:t>أدوات</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لتقييم</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فاعلية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أدوات</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السياسات</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لتنفيذ</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الخطة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الاستراتيجية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للتنوع</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البيولوجي</w:t>
        </w:r>
        <w:r w:rsidR="00683FD0" w:rsidRPr="00683FD0">
          <w:rPr>
            <w:rStyle w:val="Hyperlink"/>
            <w:rFonts w:eastAsia="Malgun Gothic"/>
            <w:noProof/>
            <w:rtl/>
            <w:lang w:val="en-GB"/>
          </w:rPr>
          <w:t xml:space="preserve"> 2011-2020</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_Toc6139989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208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0" w:history="1">
        <w:r w:rsidR="00683FD0" w:rsidRPr="00683FD0">
          <w:rPr>
            <w:rStyle w:val="Hyperlink"/>
            <w:noProof/>
            <w:rtl/>
          </w:rPr>
          <w:t>14/29</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آليات</w:t>
        </w:r>
        <w:r w:rsidR="00683FD0" w:rsidRPr="00683FD0">
          <w:rPr>
            <w:rStyle w:val="Hyperlink"/>
            <w:noProof/>
            <w:rtl/>
          </w:rPr>
          <w:t xml:space="preserve"> </w:t>
        </w:r>
        <w:r w:rsidR="00683FD0" w:rsidRPr="00683FD0">
          <w:rPr>
            <w:rStyle w:val="Hyperlink"/>
            <w:rFonts w:hint="eastAsia"/>
            <w:noProof/>
            <w:rtl/>
          </w:rPr>
          <w:t>الاستعراض</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209</w:t>
        </w:r>
        <w:r w:rsidRPr="009E0EBA">
          <w:rPr>
            <w:rStyle w:val="Hyperlink"/>
            <w:rFonts w:cs="Times New Roman"/>
            <w:noProof/>
            <w:szCs w:val="22"/>
          </w:rPr>
          <w:fldChar w:fldCharType="end"/>
        </w:r>
      </w:hyperlink>
    </w:p>
    <w:p w:rsidR="00683FD0" w:rsidRPr="00683FD0" w:rsidRDefault="007B18D9" w:rsidP="00E04F06">
      <w:pPr>
        <w:pStyle w:val="TOC1"/>
        <w:rPr>
          <w:rFonts w:asciiTheme="minorHAnsi" w:hAnsiTheme="minorHAnsi"/>
          <w:sz w:val="22"/>
        </w:rPr>
      </w:pPr>
      <w:hyperlink w:anchor="_Toc6139991" w:history="1">
        <w:r w:rsidR="00683FD0" w:rsidRPr="00683FD0">
          <w:rPr>
            <w:rStyle w:val="Hyperlink"/>
            <w:rtl/>
            <w:lang w:val="en-GB"/>
          </w:rPr>
          <w:t>14/30</w:t>
        </w:r>
        <w:r w:rsidR="00683FD0" w:rsidRPr="00683FD0">
          <w:rPr>
            <w:rFonts w:asciiTheme="minorHAnsi" w:hAnsiTheme="minorHAnsi"/>
            <w:sz w:val="22"/>
          </w:rPr>
          <w:tab/>
        </w:r>
        <w:r w:rsidR="00683FD0" w:rsidRPr="00683FD0">
          <w:rPr>
            <w:rStyle w:val="Hyperlink"/>
            <w:rFonts w:hint="eastAsia"/>
            <w:rtl/>
            <w:lang w:val="en-GB"/>
          </w:rPr>
          <w:t>التعاون</w:t>
        </w:r>
        <w:r w:rsidR="00683FD0" w:rsidRPr="00683FD0">
          <w:rPr>
            <w:rStyle w:val="Hyperlink"/>
            <w:rtl/>
            <w:lang w:val="en-GB"/>
          </w:rPr>
          <w:t xml:space="preserve"> </w:t>
        </w:r>
        <w:r w:rsidR="00683FD0" w:rsidRPr="00683FD0">
          <w:rPr>
            <w:rStyle w:val="Hyperlink"/>
            <w:rFonts w:hint="eastAsia"/>
            <w:rtl/>
            <w:lang w:val="en-GB"/>
          </w:rPr>
          <w:t>مع</w:t>
        </w:r>
        <w:r w:rsidR="00683FD0" w:rsidRPr="00683FD0">
          <w:rPr>
            <w:rStyle w:val="Hyperlink"/>
            <w:rtl/>
            <w:lang w:val="en-GB"/>
          </w:rPr>
          <w:t xml:space="preserve"> </w:t>
        </w:r>
        <w:r w:rsidR="00683FD0" w:rsidRPr="00683FD0">
          <w:rPr>
            <w:rStyle w:val="Hyperlink"/>
            <w:rFonts w:hint="eastAsia"/>
            <w:rtl/>
            <w:lang w:val="en-GB"/>
          </w:rPr>
          <w:t>الاتفاقيات</w:t>
        </w:r>
        <w:r w:rsidR="00683FD0" w:rsidRPr="00683FD0">
          <w:rPr>
            <w:rStyle w:val="Hyperlink"/>
            <w:rtl/>
            <w:lang w:val="en-GB"/>
          </w:rPr>
          <w:t xml:space="preserve"> </w:t>
        </w:r>
        <w:r w:rsidR="00683FD0" w:rsidRPr="00683FD0">
          <w:rPr>
            <w:rStyle w:val="Hyperlink"/>
            <w:rFonts w:hint="eastAsia"/>
            <w:rtl/>
            <w:lang w:val="en-GB"/>
          </w:rPr>
          <w:t>والمنظمات</w:t>
        </w:r>
        <w:r w:rsidR="00683FD0" w:rsidRPr="00683FD0">
          <w:rPr>
            <w:rStyle w:val="Hyperlink"/>
            <w:rtl/>
            <w:lang w:val="en-GB"/>
          </w:rPr>
          <w:t xml:space="preserve"> </w:t>
        </w:r>
        <w:r w:rsidR="00683FD0" w:rsidRPr="00683FD0">
          <w:rPr>
            <w:rStyle w:val="Hyperlink"/>
            <w:rFonts w:hint="eastAsia"/>
            <w:rtl/>
            <w:lang w:val="en-GB"/>
          </w:rPr>
          <w:t>والمبادرات</w:t>
        </w:r>
        <w:r w:rsidR="00683FD0" w:rsidRPr="00683FD0">
          <w:rPr>
            <w:rStyle w:val="Hyperlink"/>
            <w:rtl/>
            <w:lang w:val="en-GB"/>
          </w:rPr>
          <w:t xml:space="preserve"> </w:t>
        </w:r>
        <w:r w:rsidR="00683FD0" w:rsidRPr="00683FD0">
          <w:rPr>
            <w:rStyle w:val="Hyperlink"/>
            <w:rFonts w:hint="eastAsia"/>
            <w:rtl/>
            <w:lang w:val="en-GB"/>
          </w:rPr>
          <w:t>الدولية</w:t>
        </w:r>
        <w:r w:rsidR="00683FD0" w:rsidRPr="00683FD0">
          <w:rPr>
            <w:rStyle w:val="Hyperlink"/>
            <w:rtl/>
            <w:lang w:val="en-GB"/>
          </w:rPr>
          <w:t xml:space="preserve"> </w:t>
        </w:r>
        <w:r w:rsidR="00683FD0" w:rsidRPr="00683FD0">
          <w:rPr>
            <w:rStyle w:val="Hyperlink"/>
            <w:rFonts w:hint="eastAsia"/>
            <w:rtl/>
            <w:lang w:val="en-GB"/>
          </w:rPr>
          <w:t>الأخرى</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_Toc6139991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211</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2" w:history="1">
        <w:r w:rsidR="00683FD0" w:rsidRPr="00683FD0">
          <w:rPr>
            <w:rStyle w:val="Hyperlink"/>
            <w:rFonts w:eastAsia="Malgun Gothic"/>
            <w:noProof/>
            <w:rtl/>
            <w:lang w:val="en-GB"/>
          </w:rPr>
          <w:t>14/31</w:t>
        </w:r>
        <w:r w:rsidR="00683FD0" w:rsidRPr="00683FD0">
          <w:rPr>
            <w:rFonts w:asciiTheme="minorHAnsi" w:eastAsiaTheme="minorEastAsia" w:hAnsiTheme="minorHAnsi" w:cstheme="minorBidi"/>
            <w:noProof/>
            <w:kern w:val="0"/>
            <w:szCs w:val="22"/>
            <w:lang w:bidi="ar-SA"/>
          </w:rPr>
          <w:tab/>
        </w:r>
        <w:r w:rsidR="00683FD0" w:rsidRPr="00683FD0">
          <w:rPr>
            <w:rStyle w:val="Hyperlink"/>
            <w:rFonts w:eastAsia="Malgun Gothic" w:hint="eastAsia"/>
            <w:noProof/>
            <w:rtl/>
            <w:lang w:val="en-GB"/>
          </w:rPr>
          <w:t>تعزيز</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التكامل</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في</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إطار</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الاتفاقية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وبروتوكوليها</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فيما</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يتعلق</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بالأحكام</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المتصلة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بالسلامة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الأحيائية</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وبالحصول</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وتقاسم</w:t>
        </w:r>
        <w:r w:rsidR="00683FD0" w:rsidRPr="00683FD0">
          <w:rPr>
            <w:rStyle w:val="Hyperlink"/>
            <w:rFonts w:eastAsia="Malgun Gothic"/>
            <w:noProof/>
            <w:rtl/>
            <w:lang w:val="en-GB"/>
          </w:rPr>
          <w:t xml:space="preserve"> </w:t>
        </w:r>
        <w:r w:rsidR="00683FD0" w:rsidRPr="00683FD0">
          <w:rPr>
            <w:rStyle w:val="Hyperlink"/>
            <w:rFonts w:eastAsia="Malgun Gothic" w:hint="eastAsia"/>
            <w:noProof/>
            <w:rtl/>
            <w:lang w:val="en-GB"/>
          </w:rPr>
          <w:t>المنافع</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217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3" w:history="1">
        <w:r w:rsidR="00683FD0" w:rsidRPr="00683FD0">
          <w:rPr>
            <w:rStyle w:val="Hyperlink"/>
            <w:rFonts w:eastAsia="PMingLiU"/>
            <w:noProof/>
            <w:rtl/>
            <w:lang w:val="fr-CA" w:eastAsia="ar-SA"/>
          </w:rPr>
          <w:t>14/32</w:t>
        </w:r>
        <w:r w:rsidR="00683FD0" w:rsidRPr="00683FD0">
          <w:rPr>
            <w:rFonts w:asciiTheme="minorHAnsi" w:eastAsiaTheme="minorEastAsia" w:hAnsiTheme="minorHAnsi" w:cstheme="minorBidi"/>
            <w:noProof/>
            <w:kern w:val="0"/>
            <w:szCs w:val="22"/>
            <w:lang w:bidi="ar-SA"/>
          </w:rPr>
          <w:tab/>
        </w:r>
        <w:r w:rsidR="00683FD0" w:rsidRPr="00683FD0">
          <w:rPr>
            <w:rStyle w:val="Hyperlink"/>
            <w:rFonts w:eastAsia="PMingLiU" w:hint="eastAsia"/>
            <w:noProof/>
            <w:rtl/>
            <w:lang w:val="fr-CA" w:eastAsia="ar-SA"/>
          </w:rPr>
          <w:t>استعراض</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تجربة</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عقد</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اجتماع</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مؤتمر</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الأطراف</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في</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الاتفاقية</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بالتزامن</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مع</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مؤتمر</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الأطراف</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العامل</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كاجتماع</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للأطراف</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في</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بروتوكول</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قرطاجنة،</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ومؤتمر</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الأطراف</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العامل</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كاجتماع</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للأطراف</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في</w:t>
        </w:r>
        <w:r w:rsidR="00683FD0" w:rsidRPr="00683FD0">
          <w:rPr>
            <w:rStyle w:val="Hyperlink"/>
            <w:rFonts w:eastAsia="PMingLiU"/>
            <w:noProof/>
            <w:rtl/>
            <w:lang w:val="fr-CA" w:eastAsia="ar-SA"/>
          </w:rPr>
          <w:t xml:space="preserve"> </w:t>
        </w:r>
        <w:r w:rsidR="00683FD0" w:rsidRPr="00683FD0">
          <w:rPr>
            <w:rStyle w:val="Hyperlink"/>
            <w:rFonts w:eastAsia="PMingLiU" w:hint="eastAsia"/>
            <w:noProof/>
            <w:rtl/>
            <w:lang w:val="fr-CA" w:eastAsia="ar-SA"/>
          </w:rPr>
          <w:t>بروتوكول</w:t>
        </w:r>
        <w:r w:rsidR="00683FD0" w:rsidRPr="00683FD0">
          <w:rPr>
            <w:rStyle w:val="Hyperlink"/>
            <w:rFonts w:ascii="Simplified Arabic" w:hAnsi="Simplified Arabic"/>
            <w:noProof/>
            <w:kern w:val="22"/>
            <w:rtl/>
          </w:rPr>
          <w:t xml:space="preserve"> </w:t>
        </w:r>
        <w:r w:rsidR="00683FD0" w:rsidRPr="00683FD0">
          <w:rPr>
            <w:rStyle w:val="Hyperlink"/>
            <w:rFonts w:ascii="Simplified Arabic" w:hAnsi="Simplified Arabic" w:hint="eastAsia"/>
            <w:noProof/>
            <w:kern w:val="22"/>
            <w:rtl/>
          </w:rPr>
          <w:t>ناغويا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219</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4" w:history="1">
        <w:r w:rsidR="00683FD0" w:rsidRPr="00683FD0">
          <w:rPr>
            <w:rStyle w:val="Hyperlink"/>
            <w:rFonts w:ascii="Simplified Arabic" w:hAnsi="Simplified Arabic"/>
            <w:noProof/>
            <w:kern w:val="22"/>
            <w:u w:val="none"/>
            <w:rtl/>
            <w:lang w:val="en-GB"/>
          </w:rPr>
          <w:t>14/33</w:t>
        </w:r>
        <w:r w:rsidR="00683FD0" w:rsidRPr="00683FD0">
          <w:rPr>
            <w:rFonts w:asciiTheme="minorHAnsi" w:eastAsiaTheme="minorEastAsia" w:hAnsiTheme="minorHAnsi" w:cstheme="minorBidi"/>
            <w:noProof/>
            <w:kern w:val="0"/>
            <w:szCs w:val="22"/>
            <w:lang w:bidi="ar-SA"/>
          </w:rPr>
          <w:tab/>
        </w:r>
        <w:r w:rsidR="00683FD0" w:rsidRPr="00683FD0">
          <w:rPr>
            <w:rStyle w:val="Hyperlink"/>
            <w:rFonts w:ascii="Simplified Arabic" w:hAnsi="Simplified Arabic" w:hint="eastAsia"/>
            <w:noProof/>
            <w:kern w:val="22"/>
            <w:u w:val="none"/>
            <w:rtl/>
            <w:lang w:val="en-GB"/>
          </w:rPr>
          <w:t>إجراء</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تجنب</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تضارب</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المصالح</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أو</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إدارتها</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في</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أفرقة</w:t>
        </w:r>
        <w:r w:rsidR="00683FD0" w:rsidRPr="00683FD0">
          <w:rPr>
            <w:rStyle w:val="Hyperlink"/>
            <w:rFonts w:ascii="Simplified Arabic" w:hAnsi="Simplified Arabic"/>
            <w:noProof/>
            <w:kern w:val="22"/>
            <w:u w:val="none"/>
            <w:rtl/>
            <w:lang w:val="en-GB"/>
          </w:rPr>
          <w:t xml:space="preserve"> </w:t>
        </w:r>
        <w:r w:rsidR="00683FD0" w:rsidRPr="00683FD0">
          <w:rPr>
            <w:rStyle w:val="Hyperlink"/>
            <w:rFonts w:ascii="Simplified Arabic" w:hAnsi="Simplified Arabic" w:hint="eastAsia"/>
            <w:noProof/>
            <w:kern w:val="22"/>
            <w:u w:val="none"/>
            <w:rtl/>
            <w:lang w:val="en-GB"/>
          </w:rPr>
          <w:t>الخبراء</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220</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5" w:history="1">
        <w:r w:rsidR="00683FD0" w:rsidRPr="00683FD0">
          <w:rPr>
            <w:rStyle w:val="Hyperlink"/>
            <w:noProof/>
            <w:rtl/>
          </w:rPr>
          <w:t>14/34</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مقترحات</w:t>
        </w:r>
        <w:r w:rsidR="00683FD0" w:rsidRPr="00683FD0">
          <w:rPr>
            <w:rStyle w:val="Hyperlink"/>
            <w:noProof/>
            <w:rtl/>
          </w:rPr>
          <w:t xml:space="preserve"> </w:t>
        </w:r>
        <w:r w:rsidR="00683FD0" w:rsidRPr="00683FD0">
          <w:rPr>
            <w:rStyle w:val="Hyperlink"/>
            <w:rFonts w:hint="eastAsia"/>
            <w:noProof/>
            <w:rtl/>
          </w:rPr>
          <w:t>لعملية</w:t>
        </w:r>
        <w:r w:rsidR="00683FD0" w:rsidRPr="00683FD0">
          <w:rPr>
            <w:rStyle w:val="Hyperlink"/>
            <w:noProof/>
            <w:rtl/>
          </w:rPr>
          <w:t xml:space="preserve"> </w:t>
        </w:r>
        <w:r w:rsidR="00683FD0" w:rsidRPr="00683FD0">
          <w:rPr>
            <w:rStyle w:val="Hyperlink"/>
            <w:rFonts w:hint="eastAsia"/>
            <w:noProof/>
            <w:rtl/>
          </w:rPr>
          <w:t>شاملة</w:t>
        </w:r>
        <w:r w:rsidR="00683FD0" w:rsidRPr="00683FD0">
          <w:rPr>
            <w:rStyle w:val="Hyperlink"/>
            <w:noProof/>
            <w:rtl/>
          </w:rPr>
          <w:t xml:space="preserve"> </w:t>
        </w:r>
        <w:r w:rsidR="00683FD0" w:rsidRPr="00683FD0">
          <w:rPr>
            <w:rStyle w:val="Hyperlink"/>
            <w:rFonts w:hint="eastAsia"/>
            <w:noProof/>
            <w:rtl/>
          </w:rPr>
          <w:t>وتشاركية</w:t>
        </w:r>
        <w:r w:rsidR="00683FD0" w:rsidRPr="00683FD0">
          <w:rPr>
            <w:rStyle w:val="Hyperlink"/>
            <w:noProof/>
            <w:rtl/>
          </w:rPr>
          <w:t xml:space="preserve"> </w:t>
        </w:r>
        <w:r w:rsidR="00683FD0" w:rsidRPr="00683FD0">
          <w:rPr>
            <w:rStyle w:val="Hyperlink"/>
            <w:rFonts w:hint="eastAsia"/>
            <w:noProof/>
            <w:rtl/>
          </w:rPr>
          <w:t>للتحضير</w:t>
        </w:r>
        <w:r w:rsidR="00683FD0" w:rsidRPr="00683FD0">
          <w:rPr>
            <w:rStyle w:val="Hyperlink"/>
            <w:noProof/>
            <w:rtl/>
          </w:rPr>
          <w:t xml:space="preserve"> </w:t>
        </w:r>
        <w:r w:rsidR="00683FD0" w:rsidRPr="00683FD0">
          <w:rPr>
            <w:rStyle w:val="Hyperlink"/>
            <w:rFonts w:hint="eastAsia"/>
            <w:noProof/>
            <w:rtl/>
          </w:rPr>
          <w:t>للإطار</w:t>
        </w:r>
        <w:r w:rsidR="00683FD0" w:rsidRPr="00683FD0">
          <w:rPr>
            <w:rStyle w:val="Hyperlink"/>
            <w:noProof/>
            <w:rtl/>
          </w:rPr>
          <w:t xml:space="preserve"> </w:t>
        </w:r>
        <w:r w:rsidR="00683FD0" w:rsidRPr="00683FD0">
          <w:rPr>
            <w:rStyle w:val="Hyperlink"/>
            <w:rFonts w:hint="eastAsia"/>
            <w:noProof/>
            <w:rtl/>
          </w:rPr>
          <w:t>العالمي</w:t>
        </w:r>
        <w:r w:rsidR="00683FD0" w:rsidRPr="00683FD0">
          <w:rPr>
            <w:rStyle w:val="Hyperlink"/>
            <w:noProof/>
            <w:rtl/>
          </w:rPr>
          <w:t xml:space="preserve"> </w:t>
        </w:r>
        <w:r w:rsidR="00683FD0" w:rsidRPr="00683FD0">
          <w:rPr>
            <w:rStyle w:val="Hyperlink"/>
            <w:rFonts w:hint="eastAsia"/>
            <w:noProof/>
            <w:rtl/>
          </w:rPr>
          <w:t>للتنوع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w:t>
        </w:r>
        <w:r w:rsidR="00683FD0" w:rsidRPr="00683FD0">
          <w:rPr>
            <w:rStyle w:val="Hyperlink"/>
            <w:rFonts w:hint="eastAsia"/>
            <w:noProof/>
            <w:rtl/>
          </w:rPr>
          <w:t>لما</w:t>
        </w:r>
        <w:r w:rsidR="00683FD0" w:rsidRPr="00683FD0">
          <w:rPr>
            <w:rStyle w:val="Hyperlink"/>
            <w:noProof/>
            <w:rtl/>
          </w:rPr>
          <w:t xml:space="preserve"> </w:t>
        </w:r>
        <w:r w:rsidR="00683FD0" w:rsidRPr="00683FD0">
          <w:rPr>
            <w:rStyle w:val="Hyperlink"/>
            <w:rFonts w:hint="eastAsia"/>
            <w:noProof/>
            <w:rtl/>
          </w:rPr>
          <w:t>بعد</w:t>
        </w:r>
        <w:r w:rsidR="00683FD0" w:rsidRPr="00683FD0">
          <w:rPr>
            <w:rStyle w:val="Hyperlink"/>
            <w:noProof/>
            <w:rtl/>
          </w:rPr>
          <w:t xml:space="preserve"> </w:t>
        </w:r>
        <w:r w:rsidR="00683FD0" w:rsidRPr="00683FD0">
          <w:rPr>
            <w:rStyle w:val="Hyperlink"/>
            <w:rFonts w:hint="eastAsia"/>
            <w:noProof/>
            <w:rtl/>
          </w:rPr>
          <w:t>عام</w:t>
        </w:r>
        <w:r w:rsidR="00683FD0" w:rsidRPr="00683FD0">
          <w:rPr>
            <w:rStyle w:val="Hyperlink"/>
            <w:noProof/>
            <w:rtl/>
          </w:rPr>
          <w:t xml:space="preserve"> 2020</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226</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6" w:history="1">
        <w:r w:rsidR="00683FD0" w:rsidRPr="00683FD0">
          <w:rPr>
            <w:rStyle w:val="Hyperlink"/>
            <w:noProof/>
            <w:rtl/>
          </w:rPr>
          <w:t>14/35</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التوقعات</w:t>
        </w:r>
        <w:r w:rsidR="00683FD0" w:rsidRPr="00683FD0">
          <w:rPr>
            <w:rStyle w:val="Hyperlink"/>
            <w:noProof/>
            <w:rtl/>
          </w:rPr>
          <w:t xml:space="preserve"> </w:t>
        </w:r>
        <w:r w:rsidR="00683FD0" w:rsidRPr="00683FD0">
          <w:rPr>
            <w:rStyle w:val="Hyperlink"/>
            <w:rFonts w:hint="eastAsia"/>
            <w:noProof/>
            <w:rtl/>
          </w:rPr>
          <w:t>العالمية</w:t>
        </w:r>
        <w:r w:rsidR="00683FD0" w:rsidRPr="00683FD0">
          <w:rPr>
            <w:rStyle w:val="Hyperlink"/>
            <w:noProof/>
            <w:rtl/>
          </w:rPr>
          <w:t xml:space="preserve"> </w:t>
        </w:r>
        <w:r w:rsidR="00683FD0" w:rsidRPr="00683FD0">
          <w:rPr>
            <w:rStyle w:val="Hyperlink"/>
            <w:rFonts w:hint="eastAsia"/>
            <w:noProof/>
            <w:rtl/>
          </w:rPr>
          <w:t>للتنوع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235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7" w:history="1">
        <w:r w:rsidR="00683FD0" w:rsidRPr="00683FD0">
          <w:rPr>
            <w:rStyle w:val="Hyperlink"/>
            <w:noProof/>
            <w:rtl/>
            <w:lang w:val="en-GB"/>
          </w:rPr>
          <w:t>14/36</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lang w:val="en-GB"/>
          </w:rPr>
          <w:t>برنامج</w:t>
        </w:r>
        <w:r w:rsidR="00683FD0" w:rsidRPr="00683FD0">
          <w:rPr>
            <w:rStyle w:val="Hyperlink"/>
            <w:noProof/>
            <w:rtl/>
            <w:lang w:val="en-GB"/>
          </w:rPr>
          <w:t xml:space="preserve"> </w:t>
        </w:r>
        <w:r w:rsidR="00683FD0" w:rsidRPr="00683FD0">
          <w:rPr>
            <w:rStyle w:val="Hyperlink"/>
            <w:rFonts w:hint="eastAsia"/>
            <w:noProof/>
            <w:rtl/>
            <w:lang w:val="en-GB"/>
          </w:rPr>
          <w:t>العمل</w:t>
        </w:r>
        <w:r w:rsidR="00683FD0" w:rsidRPr="00683FD0">
          <w:rPr>
            <w:rStyle w:val="Hyperlink"/>
            <w:noProof/>
            <w:rtl/>
            <w:lang w:val="en-GB"/>
          </w:rPr>
          <w:t xml:space="preserve"> </w:t>
        </w:r>
        <w:r w:rsidR="00683FD0" w:rsidRPr="00683FD0">
          <w:rPr>
            <w:rStyle w:val="Hyperlink"/>
            <w:rFonts w:hint="eastAsia"/>
            <w:noProof/>
            <w:rtl/>
            <w:lang w:val="en-GB"/>
          </w:rPr>
          <w:t>الثاني</w:t>
        </w:r>
        <w:r w:rsidR="00683FD0" w:rsidRPr="00683FD0">
          <w:rPr>
            <w:rStyle w:val="Hyperlink"/>
            <w:noProof/>
            <w:rtl/>
            <w:lang w:val="en-GB"/>
          </w:rPr>
          <w:t xml:space="preserve"> </w:t>
        </w:r>
        <w:r w:rsidR="00683FD0" w:rsidRPr="00683FD0">
          <w:rPr>
            <w:rStyle w:val="Hyperlink"/>
            <w:rFonts w:hint="eastAsia"/>
            <w:noProof/>
            <w:rtl/>
            <w:lang w:val="en-GB"/>
          </w:rPr>
          <w:t>للمنبر</w:t>
        </w:r>
        <w:r w:rsidR="00683FD0" w:rsidRPr="00683FD0">
          <w:rPr>
            <w:rStyle w:val="Hyperlink"/>
            <w:noProof/>
            <w:rtl/>
            <w:lang w:val="en-GB"/>
          </w:rPr>
          <w:t xml:space="preserve"> </w:t>
        </w:r>
        <w:r w:rsidR="00683FD0" w:rsidRPr="00683FD0">
          <w:rPr>
            <w:rStyle w:val="Hyperlink"/>
            <w:rFonts w:hint="eastAsia"/>
            <w:noProof/>
            <w:rtl/>
            <w:lang w:val="en-GB"/>
          </w:rPr>
          <w:t>الحكومي</w:t>
        </w:r>
        <w:r w:rsidR="00683FD0" w:rsidRPr="00683FD0">
          <w:rPr>
            <w:rStyle w:val="Hyperlink"/>
            <w:noProof/>
            <w:rtl/>
            <w:lang w:val="en-GB"/>
          </w:rPr>
          <w:t xml:space="preserve"> </w:t>
        </w:r>
        <w:r w:rsidR="00683FD0" w:rsidRPr="00683FD0">
          <w:rPr>
            <w:rStyle w:val="Hyperlink"/>
            <w:rFonts w:hint="eastAsia"/>
            <w:noProof/>
            <w:rtl/>
            <w:lang w:val="en-GB"/>
          </w:rPr>
          <w:t>الدولي</w:t>
        </w:r>
        <w:r w:rsidR="00683FD0" w:rsidRPr="00683FD0">
          <w:rPr>
            <w:rStyle w:val="Hyperlink"/>
            <w:noProof/>
            <w:rtl/>
            <w:lang w:val="en-GB"/>
          </w:rPr>
          <w:t xml:space="preserve"> </w:t>
        </w:r>
        <w:r w:rsidR="00683FD0" w:rsidRPr="00683FD0">
          <w:rPr>
            <w:rStyle w:val="Hyperlink"/>
            <w:rFonts w:hint="eastAsia"/>
            <w:noProof/>
            <w:rtl/>
            <w:lang w:val="en-GB"/>
          </w:rPr>
          <w:t>للعلوم</w:t>
        </w:r>
        <w:r w:rsidR="00683FD0" w:rsidRPr="00683FD0">
          <w:rPr>
            <w:rStyle w:val="Hyperlink"/>
            <w:noProof/>
            <w:rtl/>
            <w:lang w:val="en-GB"/>
          </w:rPr>
          <w:t xml:space="preserve"> </w:t>
        </w:r>
        <w:r w:rsidR="00683FD0" w:rsidRPr="00683FD0">
          <w:rPr>
            <w:rStyle w:val="Hyperlink"/>
            <w:rFonts w:hint="eastAsia"/>
            <w:noProof/>
            <w:rtl/>
            <w:lang w:val="en-GB"/>
          </w:rPr>
          <w:t>والسياسات</w:t>
        </w:r>
        <w:r w:rsidR="00683FD0" w:rsidRPr="00683FD0">
          <w:rPr>
            <w:rStyle w:val="Hyperlink"/>
            <w:noProof/>
            <w:rtl/>
            <w:lang w:val="en-GB"/>
          </w:rPr>
          <w:t xml:space="preserve"> </w:t>
        </w:r>
        <w:r w:rsidR="00683FD0" w:rsidRPr="00683FD0">
          <w:rPr>
            <w:rStyle w:val="Hyperlink"/>
            <w:rFonts w:hint="eastAsia"/>
            <w:noProof/>
            <w:rtl/>
            <w:lang w:val="en-GB"/>
          </w:rPr>
          <w:t>في</w:t>
        </w:r>
        <w:r w:rsidR="00683FD0" w:rsidRPr="00683FD0">
          <w:rPr>
            <w:rStyle w:val="Hyperlink"/>
            <w:noProof/>
            <w:rtl/>
            <w:lang w:val="en-GB"/>
          </w:rPr>
          <w:t xml:space="preserve"> </w:t>
        </w:r>
        <w:r w:rsidR="00683FD0" w:rsidRPr="00683FD0">
          <w:rPr>
            <w:rStyle w:val="Hyperlink"/>
            <w:rFonts w:hint="eastAsia"/>
            <w:noProof/>
            <w:rtl/>
            <w:lang w:val="en-GB"/>
          </w:rPr>
          <w:t>مجال</w:t>
        </w:r>
        <w:r w:rsidR="00683FD0" w:rsidRPr="00683FD0">
          <w:rPr>
            <w:rStyle w:val="Hyperlink"/>
            <w:noProof/>
            <w:rtl/>
            <w:lang w:val="en-GB"/>
          </w:rPr>
          <w:t xml:space="preserve"> </w:t>
        </w:r>
        <w:r w:rsidR="00683FD0" w:rsidRPr="00683FD0">
          <w:rPr>
            <w:rStyle w:val="Hyperlink"/>
            <w:rFonts w:hint="eastAsia"/>
            <w:noProof/>
            <w:rtl/>
            <w:lang w:val="en-GB"/>
          </w:rPr>
          <w:t>التنوع</w:t>
        </w:r>
        <w:r w:rsidR="00683FD0" w:rsidRPr="00683FD0">
          <w:rPr>
            <w:rStyle w:val="Hyperlink"/>
            <w:noProof/>
            <w:rtl/>
            <w:lang w:val="en-GB"/>
          </w:rPr>
          <w:t xml:space="preserve"> </w:t>
        </w:r>
        <w:r w:rsidR="00683FD0" w:rsidRPr="00683FD0">
          <w:rPr>
            <w:rStyle w:val="Hyperlink"/>
            <w:rFonts w:hint="eastAsia"/>
            <w:noProof/>
            <w:rtl/>
            <w:lang w:val="en-GB"/>
          </w:rPr>
          <w:t>البيولوجي</w:t>
        </w:r>
        <w:r w:rsidR="00683FD0" w:rsidRPr="00683FD0">
          <w:rPr>
            <w:rStyle w:val="Hyperlink"/>
            <w:noProof/>
            <w:rtl/>
            <w:lang w:val="en-GB"/>
          </w:rPr>
          <w:t xml:space="preserve"> </w:t>
        </w:r>
        <w:r w:rsidR="00683FD0" w:rsidRPr="00683FD0">
          <w:rPr>
            <w:rStyle w:val="Hyperlink"/>
            <w:rFonts w:hint="eastAsia"/>
            <w:noProof/>
            <w:rtl/>
            <w:lang w:val="en-GB"/>
          </w:rPr>
          <w:t>وخدمات</w:t>
        </w:r>
        <w:r w:rsidR="00683FD0" w:rsidRPr="00683FD0">
          <w:rPr>
            <w:rStyle w:val="Hyperlink"/>
            <w:noProof/>
            <w:rtl/>
            <w:lang w:val="en-GB"/>
          </w:rPr>
          <w:t xml:space="preserve"> </w:t>
        </w:r>
        <w:r w:rsidR="00683FD0" w:rsidRPr="00683FD0">
          <w:rPr>
            <w:rStyle w:val="Hyperlink"/>
            <w:rFonts w:hint="eastAsia"/>
            <w:noProof/>
            <w:rtl/>
            <w:lang w:val="en-GB"/>
          </w:rPr>
          <w:t>النظم</w:t>
        </w:r>
        <w:r w:rsidR="00683FD0" w:rsidRPr="00683FD0">
          <w:rPr>
            <w:rStyle w:val="Hyperlink"/>
            <w:noProof/>
            <w:rtl/>
            <w:lang w:val="en-GB"/>
          </w:rPr>
          <w:t xml:space="preserve"> </w:t>
        </w:r>
        <w:r w:rsidR="00683FD0" w:rsidRPr="00683FD0">
          <w:rPr>
            <w:rStyle w:val="Hyperlink"/>
            <w:rFonts w:hint="eastAsia"/>
            <w:noProof/>
            <w:rtl/>
            <w:lang w:val="en-GB"/>
          </w:rPr>
          <w:t>الإيكولوجية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237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8" w:history="1">
        <w:r w:rsidR="00683FD0" w:rsidRPr="00683FD0">
          <w:rPr>
            <w:rStyle w:val="Hyperlink"/>
            <w:noProof/>
            <w:rtl/>
          </w:rPr>
          <w:t>14/37</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برنامج</w:t>
        </w:r>
        <w:r w:rsidR="00683FD0" w:rsidRPr="00683FD0">
          <w:rPr>
            <w:rStyle w:val="Hyperlink"/>
            <w:noProof/>
            <w:rtl/>
          </w:rPr>
          <w:t xml:space="preserve"> </w:t>
        </w:r>
        <w:r w:rsidR="00683FD0" w:rsidRPr="00683FD0">
          <w:rPr>
            <w:rStyle w:val="Hyperlink"/>
            <w:rFonts w:hint="eastAsia"/>
            <w:noProof/>
            <w:rtl/>
          </w:rPr>
          <w:t>العمل</w:t>
        </w:r>
        <w:r w:rsidR="00683FD0" w:rsidRPr="00683FD0">
          <w:rPr>
            <w:rStyle w:val="Hyperlink"/>
            <w:noProof/>
            <w:rtl/>
          </w:rPr>
          <w:t xml:space="preserve"> </w:t>
        </w:r>
        <w:r w:rsidR="00683FD0" w:rsidRPr="00683FD0">
          <w:rPr>
            <w:rStyle w:val="Hyperlink"/>
            <w:rFonts w:hint="eastAsia"/>
            <w:noProof/>
            <w:rtl/>
          </w:rPr>
          <w:t>المتكامل</w:t>
        </w:r>
        <w:r w:rsidR="00683FD0" w:rsidRPr="00683FD0">
          <w:rPr>
            <w:rStyle w:val="Hyperlink"/>
            <w:noProof/>
            <w:rtl/>
          </w:rPr>
          <w:t xml:space="preserve"> </w:t>
        </w:r>
        <w:r w:rsidR="00683FD0" w:rsidRPr="00683FD0">
          <w:rPr>
            <w:rStyle w:val="Hyperlink"/>
            <w:rFonts w:hint="eastAsia"/>
            <w:noProof/>
            <w:rtl/>
          </w:rPr>
          <w:t>والميزانية</w:t>
        </w:r>
        <w:r w:rsidR="00683FD0" w:rsidRPr="00683FD0">
          <w:rPr>
            <w:rStyle w:val="Hyperlink"/>
            <w:noProof/>
            <w:rtl/>
          </w:rPr>
          <w:t xml:space="preserve"> </w:t>
        </w:r>
        <w:r w:rsidR="00683FD0" w:rsidRPr="00683FD0">
          <w:rPr>
            <w:rStyle w:val="Hyperlink"/>
            <w:rFonts w:hint="eastAsia"/>
            <w:noProof/>
            <w:rtl/>
          </w:rPr>
          <w:t>المتكاملة</w:t>
        </w:r>
        <w:r w:rsidR="00683FD0" w:rsidRPr="00683FD0">
          <w:rPr>
            <w:rStyle w:val="Hyperlink"/>
            <w:noProof/>
            <w:rtl/>
          </w:rPr>
          <w:t xml:space="preserve"> </w:t>
        </w:r>
        <w:r w:rsidR="00683FD0" w:rsidRPr="00683FD0">
          <w:rPr>
            <w:rStyle w:val="Hyperlink"/>
            <w:rFonts w:hint="eastAsia"/>
            <w:noProof/>
            <w:rtl/>
          </w:rPr>
          <w:t>للاتفاقية</w:t>
        </w:r>
        <w:r w:rsidR="00683FD0" w:rsidRPr="00683FD0">
          <w:rPr>
            <w:rStyle w:val="Hyperlink"/>
            <w:noProof/>
            <w:rtl/>
          </w:rPr>
          <w:t xml:space="preserve"> </w:t>
        </w:r>
        <w:r w:rsidR="00683FD0" w:rsidRPr="00683FD0">
          <w:rPr>
            <w:rStyle w:val="Hyperlink"/>
            <w:rFonts w:hint="eastAsia"/>
            <w:noProof/>
            <w:rtl/>
          </w:rPr>
          <w:t>وبروتوكوليها</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240</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39999" w:history="1">
        <w:r w:rsidR="00683FD0" w:rsidRPr="00683FD0">
          <w:rPr>
            <w:rStyle w:val="Hyperlink"/>
            <w:noProof/>
            <w:rtl/>
          </w:rPr>
          <w:t>14/38</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تاريخ</w:t>
        </w:r>
        <w:r w:rsidR="00683FD0" w:rsidRPr="00683FD0">
          <w:rPr>
            <w:rStyle w:val="Hyperlink"/>
            <w:noProof/>
            <w:rtl/>
          </w:rPr>
          <w:t xml:space="preserve"> </w:t>
        </w:r>
        <w:r w:rsidR="00683FD0" w:rsidRPr="00683FD0">
          <w:rPr>
            <w:rStyle w:val="Hyperlink"/>
            <w:rFonts w:hint="eastAsia"/>
            <w:noProof/>
            <w:rtl/>
          </w:rPr>
          <w:t>ومكان</w:t>
        </w:r>
        <w:r w:rsidR="00683FD0" w:rsidRPr="00683FD0">
          <w:rPr>
            <w:rStyle w:val="Hyperlink"/>
            <w:noProof/>
            <w:rtl/>
          </w:rPr>
          <w:t xml:space="preserve"> </w:t>
        </w:r>
        <w:r w:rsidR="00683FD0" w:rsidRPr="00683FD0">
          <w:rPr>
            <w:rStyle w:val="Hyperlink"/>
            <w:rFonts w:hint="eastAsia"/>
            <w:noProof/>
            <w:rtl/>
          </w:rPr>
          <w:t>الاجتماعات</w:t>
        </w:r>
        <w:r w:rsidR="00683FD0" w:rsidRPr="00683FD0">
          <w:rPr>
            <w:rStyle w:val="Hyperlink"/>
            <w:noProof/>
            <w:rtl/>
          </w:rPr>
          <w:t xml:space="preserve"> </w:t>
        </w:r>
        <w:r w:rsidR="00683FD0" w:rsidRPr="00683FD0">
          <w:rPr>
            <w:rStyle w:val="Hyperlink"/>
            <w:rFonts w:hint="eastAsia"/>
            <w:noProof/>
            <w:rtl/>
          </w:rPr>
          <w:t>القادمة</w:t>
        </w:r>
        <w:r w:rsidR="00683FD0" w:rsidRPr="00683FD0">
          <w:rPr>
            <w:rStyle w:val="Hyperlink"/>
            <w:noProof/>
            <w:rtl/>
          </w:rPr>
          <w:t xml:space="preserve"> </w:t>
        </w:r>
        <w:r w:rsidR="00683FD0" w:rsidRPr="00683FD0">
          <w:rPr>
            <w:rStyle w:val="Hyperlink"/>
            <w:rFonts w:hint="eastAsia"/>
            <w:noProof/>
            <w:rtl/>
          </w:rPr>
          <w:t>لمؤتمر</w:t>
        </w:r>
        <w:r w:rsidR="00683FD0" w:rsidRPr="00683FD0">
          <w:rPr>
            <w:rStyle w:val="Hyperlink"/>
            <w:noProof/>
            <w:rtl/>
          </w:rPr>
          <w:t xml:space="preserve"> </w:t>
        </w:r>
        <w:r w:rsidR="00683FD0" w:rsidRPr="00683FD0">
          <w:rPr>
            <w:rStyle w:val="Hyperlink"/>
            <w:rFonts w:hint="eastAsia"/>
            <w:noProof/>
            <w:rtl/>
          </w:rPr>
          <w:t>الأطراف</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_Toc6139999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264</w:t>
        </w:r>
        <w:r w:rsidRPr="009E0EBA">
          <w:rPr>
            <w:rStyle w:val="Hyperlink"/>
            <w:rFonts w:cs="Times New Roman"/>
            <w:noProof/>
            <w:szCs w:val="22"/>
          </w:rPr>
          <w:fldChar w:fldCharType="end"/>
        </w:r>
      </w:hyperlink>
    </w:p>
    <w:p w:rsidR="00683FD0" w:rsidRPr="00683FD0" w:rsidRDefault="007B18D9" w:rsidP="0018031C">
      <w:pPr>
        <w:pStyle w:val="TOC1"/>
        <w:ind w:hanging="900"/>
        <w:rPr>
          <w:rFonts w:asciiTheme="minorHAnsi" w:hAnsiTheme="minorHAnsi"/>
          <w:sz w:val="22"/>
        </w:rPr>
      </w:pPr>
      <w:hyperlink w:anchor="_Toc6140000" w:history="1">
        <w:r w:rsidR="00683FD0" w:rsidRPr="00683FD0">
          <w:rPr>
            <w:rStyle w:val="Hyperlink"/>
            <w:rFonts w:hint="eastAsia"/>
            <w:b/>
            <w:bCs/>
            <w:u w:val="none"/>
            <w:rtl/>
          </w:rPr>
          <w:t>ثانيا</w:t>
        </w:r>
        <w:r w:rsidR="00683FD0" w:rsidRPr="00683FD0">
          <w:rPr>
            <w:rStyle w:val="Hyperlink"/>
            <w:b/>
            <w:bCs/>
            <w:u w:val="none"/>
            <w:rtl/>
          </w:rPr>
          <w:t xml:space="preserve"> -</w:t>
        </w:r>
        <w:r w:rsidR="00683FD0" w:rsidRPr="00683FD0">
          <w:rPr>
            <w:rFonts w:asciiTheme="minorHAnsi" w:hAnsiTheme="minorHAnsi"/>
            <w:b/>
            <w:bCs/>
            <w:sz w:val="22"/>
          </w:rPr>
          <w:tab/>
        </w:r>
        <w:r w:rsidR="00683FD0" w:rsidRPr="00683FD0">
          <w:rPr>
            <w:rStyle w:val="Hyperlink"/>
            <w:rFonts w:hint="eastAsia"/>
            <w:b/>
            <w:bCs/>
            <w:u w:val="none"/>
            <w:rtl/>
          </w:rPr>
          <w:t>مداولات</w:t>
        </w:r>
        <w:r w:rsidR="00683FD0" w:rsidRPr="00683FD0">
          <w:rPr>
            <w:rStyle w:val="Hyperlink"/>
            <w:b/>
            <w:bCs/>
            <w:u w:val="none"/>
            <w:rtl/>
          </w:rPr>
          <w:t xml:space="preserve"> </w:t>
        </w:r>
        <w:r w:rsidR="00683FD0" w:rsidRPr="00683FD0">
          <w:rPr>
            <w:rStyle w:val="Hyperlink"/>
            <w:rFonts w:hint="eastAsia"/>
            <w:b/>
            <w:bCs/>
            <w:u w:val="none"/>
            <w:rtl/>
          </w:rPr>
          <w:t>الاجتماع</w:t>
        </w:r>
        <w:r w:rsidR="00683FD0" w:rsidRPr="009E0EBA">
          <w:rPr>
            <w:rFonts w:ascii="Times New Roman" w:hAnsi="Times New Roman" w:cs="Times New Roman"/>
            <w:webHidden/>
            <w:sz w:val="22"/>
            <w:szCs w:val="22"/>
          </w:rPr>
          <w:tab/>
        </w:r>
        <w:r w:rsidRPr="009E0EBA">
          <w:rPr>
            <w:rStyle w:val="Hyperlink"/>
            <w:rFonts w:ascii="Times New Roman" w:hAnsi="Times New Roman" w:cs="Times New Roman"/>
            <w:sz w:val="22"/>
            <w:szCs w:val="22"/>
          </w:rPr>
          <w:fldChar w:fldCharType="begin"/>
        </w:r>
        <w:r w:rsidR="00683FD0" w:rsidRPr="009E0EBA">
          <w:rPr>
            <w:rFonts w:ascii="Times New Roman" w:hAnsi="Times New Roman" w:cs="Times New Roman"/>
            <w:webHidden/>
            <w:sz w:val="22"/>
            <w:szCs w:val="22"/>
          </w:rPr>
          <w:instrText xml:space="preserve"> PAGEREF _Toc6140000 \h </w:instrText>
        </w:r>
        <w:r w:rsidRPr="009E0EBA">
          <w:rPr>
            <w:rStyle w:val="Hyperlink"/>
            <w:rFonts w:ascii="Times New Roman" w:hAnsi="Times New Roman" w:cs="Times New Roman"/>
            <w:sz w:val="22"/>
            <w:szCs w:val="22"/>
          </w:rPr>
        </w:r>
        <w:r w:rsidRPr="009E0EBA">
          <w:rPr>
            <w:rStyle w:val="Hyperlink"/>
            <w:rFonts w:ascii="Times New Roman" w:hAnsi="Times New Roman" w:cs="Times New Roman"/>
            <w:sz w:val="22"/>
            <w:szCs w:val="22"/>
          </w:rPr>
          <w:fldChar w:fldCharType="separate"/>
        </w:r>
        <w:r w:rsidR="005E46F0">
          <w:rPr>
            <w:rFonts w:ascii="Times New Roman" w:hAnsi="Times New Roman" w:cs="Times New Roman"/>
            <w:webHidden/>
            <w:sz w:val="22"/>
            <w:szCs w:val="22"/>
          </w:rPr>
          <w:t>265</w:t>
        </w:r>
        <w:r w:rsidRPr="009E0EBA">
          <w:rPr>
            <w:rStyle w:val="Hyperlink"/>
            <w:rFonts w:ascii="Times New Roman" w:hAnsi="Times New Roman" w:cs="Times New Roman"/>
            <w:sz w:val="22"/>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1" w:history="1">
        <w:r w:rsidR="00683FD0" w:rsidRPr="00683FD0">
          <w:rPr>
            <w:rStyle w:val="Hyperlink"/>
            <w:rFonts w:hint="eastAsia"/>
            <w:noProof/>
            <w:rtl/>
          </w:rPr>
          <w:t>ألف</w:t>
        </w:r>
        <w:r w:rsidR="00683FD0" w:rsidRPr="00683FD0">
          <w:rPr>
            <w:rStyle w:val="Hyperlink"/>
            <w:noProof/>
            <w:rtl/>
          </w:rPr>
          <w:t xml:space="preserve">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معلومات</w:t>
        </w:r>
        <w:r w:rsidR="00683FD0" w:rsidRPr="00683FD0">
          <w:rPr>
            <w:rStyle w:val="Hyperlink"/>
            <w:noProof/>
            <w:rtl/>
          </w:rPr>
          <w:t xml:space="preserve"> </w:t>
        </w:r>
        <w:r w:rsidR="00683FD0" w:rsidRPr="00683FD0">
          <w:rPr>
            <w:rStyle w:val="Hyperlink"/>
            <w:rFonts w:hint="eastAsia"/>
            <w:noProof/>
            <w:rtl/>
          </w:rPr>
          <w:t>أساسية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2" w:history="1">
        <w:r w:rsidR="00683FD0" w:rsidRPr="00683FD0">
          <w:rPr>
            <w:rStyle w:val="Hyperlink"/>
            <w:rFonts w:hint="eastAsia"/>
            <w:noProof/>
            <w:rtl/>
          </w:rPr>
          <w:t>باء</w:t>
        </w:r>
        <w:r w:rsidR="00683FD0" w:rsidRPr="00683FD0">
          <w:rPr>
            <w:rStyle w:val="Hyperlink"/>
            <w:noProof/>
            <w:rtl/>
          </w:rPr>
          <w:t xml:space="preserve">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الحضور</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3" w:history="1">
        <w:r w:rsidR="00683FD0" w:rsidRPr="00683FD0">
          <w:rPr>
            <w:rStyle w:val="Hyperlink"/>
            <w:rFonts w:hint="eastAsia"/>
            <w:noProof/>
            <w:rtl/>
          </w:rPr>
          <w:t>جيم</w:t>
        </w:r>
        <w:r w:rsidR="00683FD0" w:rsidRPr="00683FD0">
          <w:rPr>
            <w:rStyle w:val="Hyperlink"/>
            <w:noProof/>
            <w:rtl/>
          </w:rPr>
          <w:t xml:space="preserve">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المسائل</w:t>
        </w:r>
        <w:r w:rsidR="00683FD0" w:rsidRPr="00683FD0">
          <w:rPr>
            <w:rStyle w:val="Hyperlink"/>
            <w:noProof/>
            <w:rtl/>
          </w:rPr>
          <w:t xml:space="preserve"> </w:t>
        </w:r>
        <w:r w:rsidR="00683FD0" w:rsidRPr="00683FD0">
          <w:rPr>
            <w:rStyle w:val="Hyperlink"/>
            <w:rFonts w:hint="eastAsia"/>
            <w:noProof/>
            <w:rtl/>
          </w:rPr>
          <w:t>التنظيمية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4" w:history="1">
        <w:r w:rsidR="00683FD0" w:rsidRPr="00683FD0">
          <w:rPr>
            <w:rStyle w:val="Hyperlink"/>
            <w:rFonts w:hint="eastAsia"/>
            <w:noProof/>
            <w:rtl/>
          </w:rPr>
          <w:t>البند</w:t>
        </w:r>
        <w:r w:rsidR="00683FD0" w:rsidRPr="00683FD0">
          <w:rPr>
            <w:rStyle w:val="Hyperlink"/>
            <w:noProof/>
            <w:rtl/>
          </w:rPr>
          <w:t xml:space="preserve"> 1 -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افتتاح</w:t>
        </w:r>
        <w:r w:rsidR="00683FD0" w:rsidRPr="00683FD0">
          <w:rPr>
            <w:rStyle w:val="Hyperlink"/>
            <w:noProof/>
            <w:rtl/>
          </w:rPr>
          <w:t xml:space="preserve"> </w:t>
        </w:r>
        <w:r w:rsidR="00683FD0" w:rsidRPr="00683FD0">
          <w:rPr>
            <w:rStyle w:val="Hyperlink"/>
            <w:rFonts w:hint="eastAsia"/>
            <w:noProof/>
            <w:rtl/>
          </w:rPr>
          <w:t>الاجتماع</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5" w:history="1">
        <w:r w:rsidR="00683FD0" w:rsidRPr="00683FD0">
          <w:rPr>
            <w:rStyle w:val="Hyperlink"/>
            <w:rFonts w:hint="eastAsia"/>
            <w:noProof/>
            <w:rtl/>
          </w:rPr>
          <w:t>البند</w:t>
        </w:r>
        <w:r w:rsidR="00683FD0" w:rsidRPr="00683FD0">
          <w:rPr>
            <w:rStyle w:val="Hyperlink"/>
            <w:noProof/>
            <w:rtl/>
          </w:rPr>
          <w:t xml:space="preserve"> 2 -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إقرار</w:t>
        </w:r>
        <w:r w:rsidR="00683FD0" w:rsidRPr="00683FD0">
          <w:rPr>
            <w:rStyle w:val="Hyperlink"/>
            <w:noProof/>
            <w:rtl/>
          </w:rPr>
          <w:t xml:space="preserve"> </w:t>
        </w:r>
        <w:r w:rsidR="00683FD0" w:rsidRPr="00683FD0">
          <w:rPr>
            <w:rStyle w:val="Hyperlink"/>
            <w:rFonts w:hint="eastAsia"/>
            <w:noProof/>
            <w:rtl/>
          </w:rPr>
          <w:t>جدول</w:t>
        </w:r>
        <w:r w:rsidR="00683FD0" w:rsidRPr="00683FD0">
          <w:rPr>
            <w:rStyle w:val="Hyperlink"/>
            <w:noProof/>
            <w:rtl/>
          </w:rPr>
          <w:t xml:space="preserve"> </w:t>
        </w:r>
        <w:r w:rsidR="00683FD0" w:rsidRPr="00683FD0">
          <w:rPr>
            <w:rStyle w:val="Hyperlink"/>
            <w:rFonts w:hint="eastAsia"/>
            <w:noProof/>
            <w:rtl/>
          </w:rPr>
          <w:t>الأعمال</w:t>
        </w:r>
        <w:r w:rsidR="00683FD0" w:rsidRPr="00683FD0">
          <w:rPr>
            <w:rStyle w:val="Hyperlink"/>
            <w:noProof/>
            <w:rtl/>
          </w:rPr>
          <w:t xml:space="preserve"> </w:t>
        </w:r>
        <w:r w:rsidR="00683FD0" w:rsidRPr="00683FD0">
          <w:rPr>
            <w:rStyle w:val="Hyperlink"/>
            <w:rFonts w:hint="eastAsia"/>
            <w:noProof/>
            <w:rtl/>
          </w:rPr>
          <w:t>وتنظيم</w:t>
        </w:r>
        <w:r w:rsidR="00683FD0" w:rsidRPr="00683FD0">
          <w:rPr>
            <w:rStyle w:val="Hyperlink"/>
            <w:noProof/>
            <w:rtl/>
          </w:rPr>
          <w:t xml:space="preserve"> </w:t>
        </w:r>
        <w:r w:rsidR="00683FD0" w:rsidRPr="00683FD0">
          <w:rPr>
            <w:rStyle w:val="Hyperlink"/>
            <w:rFonts w:hint="eastAsia"/>
            <w:noProof/>
            <w:rtl/>
          </w:rPr>
          <w:t>العمل</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267</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6" w:history="1">
        <w:r w:rsidR="00683FD0" w:rsidRPr="00683FD0">
          <w:rPr>
            <w:rStyle w:val="Hyperlink"/>
            <w:rFonts w:hint="eastAsia"/>
            <w:noProof/>
            <w:u w:val="none"/>
            <w:rtl/>
          </w:rPr>
          <w:t>البند</w:t>
        </w:r>
        <w:r w:rsidR="00683FD0" w:rsidRPr="00683FD0">
          <w:rPr>
            <w:rStyle w:val="Hyperlink"/>
            <w:noProof/>
            <w:u w:val="none"/>
            <w:rtl/>
          </w:rPr>
          <w:t xml:space="preserve"> 3 -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u w:val="none"/>
            <w:rtl/>
          </w:rPr>
          <w:t>تقرير</w:t>
        </w:r>
        <w:r w:rsidR="00683FD0" w:rsidRPr="00683FD0">
          <w:rPr>
            <w:rStyle w:val="Hyperlink"/>
            <w:noProof/>
            <w:u w:val="none"/>
            <w:rtl/>
          </w:rPr>
          <w:t xml:space="preserve"> </w:t>
        </w:r>
        <w:r w:rsidR="00683FD0" w:rsidRPr="00683FD0">
          <w:rPr>
            <w:rStyle w:val="Hyperlink"/>
            <w:rFonts w:hint="eastAsia"/>
            <w:noProof/>
            <w:u w:val="none"/>
            <w:rtl/>
          </w:rPr>
          <w:t>عن</w:t>
        </w:r>
        <w:r w:rsidR="00683FD0" w:rsidRPr="00683FD0">
          <w:rPr>
            <w:rStyle w:val="Hyperlink"/>
            <w:noProof/>
            <w:u w:val="none"/>
            <w:rtl/>
          </w:rPr>
          <w:t xml:space="preserve"> </w:t>
        </w:r>
        <w:r w:rsidR="00683FD0" w:rsidRPr="00683FD0">
          <w:rPr>
            <w:rStyle w:val="Hyperlink"/>
            <w:rFonts w:hint="eastAsia"/>
            <w:noProof/>
            <w:u w:val="none"/>
            <w:rtl/>
          </w:rPr>
          <w:t>وثائق</w:t>
        </w:r>
        <w:r w:rsidR="00683FD0" w:rsidRPr="00683FD0">
          <w:rPr>
            <w:rStyle w:val="Hyperlink"/>
            <w:noProof/>
            <w:u w:val="none"/>
            <w:rtl/>
          </w:rPr>
          <w:t xml:space="preserve"> </w:t>
        </w:r>
        <w:r w:rsidR="00683FD0" w:rsidRPr="00683FD0">
          <w:rPr>
            <w:rStyle w:val="Hyperlink"/>
            <w:rFonts w:hint="eastAsia"/>
            <w:noProof/>
            <w:u w:val="none"/>
            <w:rtl/>
          </w:rPr>
          <w:t>تفويض</w:t>
        </w:r>
        <w:r w:rsidR="00683FD0" w:rsidRPr="00683FD0">
          <w:rPr>
            <w:rStyle w:val="Hyperlink"/>
            <w:noProof/>
            <w:u w:val="none"/>
            <w:rtl/>
          </w:rPr>
          <w:t xml:space="preserve"> </w:t>
        </w:r>
        <w:r w:rsidR="00683FD0" w:rsidRPr="00683FD0">
          <w:rPr>
            <w:rStyle w:val="Hyperlink"/>
            <w:rFonts w:hint="eastAsia"/>
            <w:noProof/>
            <w:u w:val="none"/>
            <w:rtl/>
          </w:rPr>
          <w:t>الممثلين</w:t>
        </w:r>
        <w:r w:rsidR="00683FD0" w:rsidRPr="00683FD0">
          <w:rPr>
            <w:rStyle w:val="Hyperlink"/>
            <w:noProof/>
            <w:u w:val="none"/>
            <w:rtl/>
          </w:rPr>
          <w:t xml:space="preserve"> </w:t>
        </w:r>
        <w:r w:rsidR="00683FD0" w:rsidRPr="00683FD0">
          <w:rPr>
            <w:rStyle w:val="Hyperlink"/>
            <w:rFonts w:hint="eastAsia"/>
            <w:noProof/>
            <w:u w:val="none"/>
            <w:rtl/>
          </w:rPr>
          <w:t>إلى</w:t>
        </w:r>
        <w:r w:rsidR="00683FD0" w:rsidRPr="00683FD0">
          <w:rPr>
            <w:rStyle w:val="Hyperlink"/>
            <w:noProof/>
            <w:u w:val="none"/>
            <w:rtl/>
          </w:rPr>
          <w:t xml:space="preserve"> </w:t>
        </w:r>
        <w:r w:rsidR="00683FD0" w:rsidRPr="00683FD0">
          <w:rPr>
            <w:rStyle w:val="Hyperlink"/>
            <w:rFonts w:hint="eastAsia"/>
            <w:noProof/>
            <w:u w:val="none"/>
            <w:rtl/>
          </w:rPr>
          <w:t>الاجتماع</w:t>
        </w:r>
        <w:r w:rsidR="00683FD0" w:rsidRPr="00683FD0">
          <w:rPr>
            <w:rStyle w:val="Hyperlink"/>
            <w:noProof/>
            <w:u w:val="none"/>
            <w:rtl/>
          </w:rPr>
          <w:t xml:space="preserve"> </w:t>
        </w:r>
        <w:r w:rsidR="00683FD0" w:rsidRPr="00683FD0">
          <w:rPr>
            <w:rStyle w:val="Hyperlink"/>
            <w:rFonts w:hint="eastAsia"/>
            <w:noProof/>
            <w:u w:val="none"/>
            <w:rtl/>
          </w:rPr>
          <w:t>الرابع</w:t>
        </w:r>
        <w:r w:rsidR="00683FD0" w:rsidRPr="00683FD0">
          <w:rPr>
            <w:rStyle w:val="Hyperlink"/>
            <w:noProof/>
            <w:u w:val="none"/>
            <w:rtl/>
          </w:rPr>
          <w:t xml:space="preserve"> </w:t>
        </w:r>
        <w:r w:rsidR="00683FD0" w:rsidRPr="00683FD0">
          <w:rPr>
            <w:rStyle w:val="Hyperlink"/>
            <w:rFonts w:hint="eastAsia"/>
            <w:noProof/>
            <w:u w:val="none"/>
            <w:rtl/>
          </w:rPr>
          <w:t>عشر</w:t>
        </w:r>
        <w:r w:rsidR="00683FD0" w:rsidRPr="00683FD0">
          <w:rPr>
            <w:rStyle w:val="Hyperlink"/>
            <w:noProof/>
            <w:u w:val="none"/>
            <w:rtl/>
          </w:rPr>
          <w:t xml:space="preserve"> </w:t>
        </w:r>
        <w:r w:rsidR="00683FD0" w:rsidRPr="00683FD0">
          <w:rPr>
            <w:rStyle w:val="Hyperlink"/>
            <w:rFonts w:hint="eastAsia"/>
            <w:noProof/>
            <w:u w:val="none"/>
            <w:rtl/>
          </w:rPr>
          <w:t>لمؤتمر</w:t>
        </w:r>
        <w:r w:rsidR="00683FD0" w:rsidRPr="00683FD0">
          <w:rPr>
            <w:rStyle w:val="Hyperlink"/>
            <w:noProof/>
            <w:u w:val="none"/>
            <w:rtl/>
          </w:rPr>
          <w:t xml:space="preserve"> </w:t>
        </w:r>
        <w:r w:rsidR="00683FD0" w:rsidRPr="00683FD0">
          <w:rPr>
            <w:rStyle w:val="Hyperlink"/>
            <w:rFonts w:hint="eastAsia"/>
            <w:noProof/>
            <w:u w:val="none"/>
            <w:rtl/>
          </w:rPr>
          <w:t>الأطراف</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270</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7" w:history="1">
        <w:r w:rsidR="00683FD0" w:rsidRPr="00683FD0">
          <w:rPr>
            <w:rStyle w:val="Hyperlink"/>
            <w:rFonts w:hint="eastAsia"/>
            <w:noProof/>
            <w:rtl/>
          </w:rPr>
          <w:t>البند</w:t>
        </w:r>
        <w:r w:rsidR="00683FD0" w:rsidRPr="00683FD0">
          <w:rPr>
            <w:rStyle w:val="Hyperlink"/>
            <w:noProof/>
            <w:rtl/>
          </w:rPr>
          <w:t xml:space="preserve"> 4 -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القضايا</w:t>
        </w:r>
        <w:r w:rsidR="00683FD0" w:rsidRPr="00683FD0">
          <w:rPr>
            <w:rStyle w:val="Hyperlink"/>
            <w:noProof/>
            <w:rtl/>
          </w:rPr>
          <w:t xml:space="preserve"> </w:t>
        </w:r>
        <w:r w:rsidR="00683FD0" w:rsidRPr="00683FD0">
          <w:rPr>
            <w:rStyle w:val="Hyperlink"/>
            <w:rFonts w:hint="eastAsia"/>
            <w:noProof/>
            <w:rtl/>
          </w:rPr>
          <w:t>المعلقة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271</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8" w:history="1">
        <w:r w:rsidR="00683FD0" w:rsidRPr="00683FD0">
          <w:rPr>
            <w:rStyle w:val="Hyperlink"/>
            <w:rFonts w:hint="eastAsia"/>
            <w:noProof/>
            <w:rtl/>
          </w:rPr>
          <w:t>البند</w:t>
        </w:r>
        <w:r w:rsidR="00683FD0" w:rsidRPr="00683FD0">
          <w:rPr>
            <w:rStyle w:val="Hyperlink"/>
            <w:noProof/>
            <w:rtl/>
          </w:rPr>
          <w:t xml:space="preserve"> 5-</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تاريخ</w:t>
        </w:r>
        <w:r w:rsidR="00683FD0" w:rsidRPr="00683FD0">
          <w:rPr>
            <w:rStyle w:val="Hyperlink"/>
            <w:noProof/>
            <w:rtl/>
          </w:rPr>
          <w:t xml:space="preserve"> </w:t>
        </w:r>
        <w:r w:rsidR="00683FD0" w:rsidRPr="00683FD0">
          <w:rPr>
            <w:rStyle w:val="Hyperlink"/>
            <w:rFonts w:hint="eastAsia"/>
            <w:noProof/>
            <w:rtl/>
          </w:rPr>
          <w:t>ومكان</w:t>
        </w:r>
        <w:r w:rsidR="00683FD0" w:rsidRPr="00683FD0">
          <w:rPr>
            <w:rStyle w:val="Hyperlink"/>
            <w:noProof/>
            <w:rtl/>
          </w:rPr>
          <w:t xml:space="preserve"> </w:t>
        </w:r>
        <w:r w:rsidR="00683FD0" w:rsidRPr="00683FD0">
          <w:rPr>
            <w:rStyle w:val="Hyperlink"/>
            <w:rFonts w:hint="eastAsia"/>
            <w:noProof/>
            <w:rtl/>
          </w:rPr>
          <w:t>الاجتماعات</w:t>
        </w:r>
        <w:r w:rsidR="00683FD0" w:rsidRPr="00683FD0">
          <w:rPr>
            <w:rStyle w:val="Hyperlink"/>
            <w:noProof/>
            <w:rtl/>
          </w:rPr>
          <w:t xml:space="preserve"> </w:t>
        </w:r>
        <w:r w:rsidR="00683FD0" w:rsidRPr="00683FD0">
          <w:rPr>
            <w:rStyle w:val="Hyperlink"/>
            <w:rFonts w:hint="eastAsia"/>
            <w:noProof/>
            <w:rtl/>
          </w:rPr>
          <w:t>القادمة</w:t>
        </w:r>
        <w:r w:rsidR="00683FD0" w:rsidRPr="00683FD0">
          <w:rPr>
            <w:rStyle w:val="Hyperlink"/>
            <w:noProof/>
            <w:rtl/>
          </w:rPr>
          <w:t xml:space="preserve"> </w:t>
        </w:r>
        <w:r w:rsidR="00683FD0" w:rsidRPr="00683FD0">
          <w:rPr>
            <w:rStyle w:val="Hyperlink"/>
            <w:rFonts w:hint="eastAsia"/>
            <w:noProof/>
            <w:rtl/>
          </w:rPr>
          <w:t>لمؤتمر</w:t>
        </w:r>
        <w:r w:rsidR="00683FD0" w:rsidRPr="00683FD0">
          <w:rPr>
            <w:rStyle w:val="Hyperlink"/>
            <w:noProof/>
            <w:rtl/>
          </w:rPr>
          <w:t xml:space="preserve"> </w:t>
        </w:r>
        <w:r w:rsidR="00683FD0" w:rsidRPr="00683FD0">
          <w:rPr>
            <w:rStyle w:val="Hyperlink"/>
            <w:rFonts w:hint="eastAsia"/>
            <w:noProof/>
            <w:rtl/>
          </w:rPr>
          <w:t>الأطراف</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09" w:history="1">
        <w:r w:rsidR="00683FD0" w:rsidRPr="00683FD0">
          <w:rPr>
            <w:rStyle w:val="Hyperlink"/>
            <w:rFonts w:hint="eastAsia"/>
            <w:noProof/>
            <w:rtl/>
            <w:lang w:val="en-GB"/>
          </w:rPr>
          <w:t>البند</w:t>
        </w:r>
        <w:r w:rsidR="00683FD0" w:rsidRPr="00683FD0">
          <w:rPr>
            <w:rStyle w:val="Hyperlink"/>
            <w:noProof/>
            <w:rtl/>
            <w:lang w:val="en-GB"/>
          </w:rPr>
          <w:t xml:space="preserve"> 6 -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تقارير</w:t>
        </w:r>
        <w:r w:rsidR="00683FD0" w:rsidRPr="00683FD0">
          <w:rPr>
            <w:rStyle w:val="Hyperlink"/>
            <w:noProof/>
            <w:rtl/>
          </w:rPr>
          <w:t xml:space="preserve"> </w:t>
        </w:r>
        <w:r w:rsidR="00683FD0" w:rsidRPr="00683FD0">
          <w:rPr>
            <w:rStyle w:val="Hyperlink"/>
            <w:rFonts w:hint="eastAsia"/>
            <w:noProof/>
            <w:rtl/>
          </w:rPr>
          <w:t>عن</w:t>
        </w:r>
        <w:r w:rsidR="00683FD0" w:rsidRPr="00683FD0">
          <w:rPr>
            <w:rStyle w:val="Hyperlink"/>
            <w:noProof/>
            <w:rtl/>
          </w:rPr>
          <w:t xml:space="preserve"> </w:t>
        </w:r>
        <w:r w:rsidR="00683FD0" w:rsidRPr="00683FD0">
          <w:rPr>
            <w:rStyle w:val="Hyperlink"/>
            <w:rFonts w:hint="eastAsia"/>
            <w:noProof/>
            <w:rtl/>
          </w:rPr>
          <w:t>الاجتماعات</w:t>
        </w:r>
        <w:r w:rsidR="00683FD0" w:rsidRPr="00683FD0">
          <w:rPr>
            <w:rStyle w:val="Hyperlink"/>
            <w:noProof/>
            <w:rtl/>
          </w:rPr>
          <w:t xml:space="preserve"> </w:t>
        </w:r>
        <w:r w:rsidR="00683FD0" w:rsidRPr="00683FD0">
          <w:rPr>
            <w:rStyle w:val="Hyperlink"/>
            <w:rFonts w:hint="eastAsia"/>
            <w:noProof/>
            <w:rtl/>
          </w:rPr>
          <w:t>المنعقدة</w:t>
        </w:r>
        <w:r w:rsidR="00683FD0" w:rsidRPr="00683FD0">
          <w:rPr>
            <w:rStyle w:val="Hyperlink"/>
            <w:noProof/>
            <w:rtl/>
          </w:rPr>
          <w:t xml:space="preserve"> </w:t>
        </w:r>
        <w:r w:rsidR="00683FD0" w:rsidRPr="00683FD0">
          <w:rPr>
            <w:rStyle w:val="Hyperlink"/>
            <w:rFonts w:hint="eastAsia"/>
            <w:noProof/>
            <w:rtl/>
          </w:rPr>
          <w:t>بين</w:t>
        </w:r>
        <w:r w:rsidR="00683FD0" w:rsidRPr="00683FD0">
          <w:rPr>
            <w:rStyle w:val="Hyperlink"/>
            <w:noProof/>
            <w:rtl/>
          </w:rPr>
          <w:t xml:space="preserve"> </w:t>
        </w:r>
        <w:r w:rsidR="00683FD0" w:rsidRPr="00683FD0">
          <w:rPr>
            <w:rStyle w:val="Hyperlink"/>
            <w:rFonts w:hint="eastAsia"/>
            <w:noProof/>
            <w:rtl/>
          </w:rPr>
          <w:t>الدورات</w:t>
        </w:r>
        <w:r w:rsidR="00683FD0" w:rsidRPr="00683FD0">
          <w:rPr>
            <w:rStyle w:val="Hyperlink"/>
            <w:noProof/>
            <w:rtl/>
          </w:rPr>
          <w:t xml:space="preserve"> </w:t>
        </w:r>
        <w:r w:rsidR="00683FD0" w:rsidRPr="00683FD0">
          <w:rPr>
            <w:rStyle w:val="Hyperlink"/>
            <w:rFonts w:hint="eastAsia"/>
            <w:noProof/>
            <w:rtl/>
          </w:rPr>
          <w:t>والاجتماعات</w:t>
        </w:r>
        <w:r w:rsidR="00683FD0" w:rsidRPr="00683FD0">
          <w:rPr>
            <w:rStyle w:val="Hyperlink"/>
            <w:noProof/>
            <w:rtl/>
          </w:rPr>
          <w:t xml:space="preserve"> </w:t>
        </w:r>
        <w:r w:rsidR="00683FD0" w:rsidRPr="00683FD0">
          <w:rPr>
            <w:rStyle w:val="Hyperlink"/>
            <w:rFonts w:hint="eastAsia"/>
            <w:noProof/>
            <w:rtl/>
          </w:rPr>
          <w:t>التحضيرية</w:t>
        </w:r>
        <w:r w:rsidR="00683FD0" w:rsidRPr="00683FD0">
          <w:rPr>
            <w:rStyle w:val="Hyperlink"/>
            <w:noProof/>
            <w:rtl/>
          </w:rPr>
          <w:t xml:space="preserve"> </w:t>
        </w:r>
        <w:r w:rsidR="00683FD0" w:rsidRPr="00683FD0">
          <w:rPr>
            <w:rStyle w:val="Hyperlink"/>
            <w:rFonts w:hint="eastAsia"/>
            <w:noProof/>
            <w:rtl/>
          </w:rPr>
          <w:t>الإقليمية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_Toc6140009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10" w:history="1">
        <w:r w:rsidR="00683FD0" w:rsidRPr="00683FD0">
          <w:rPr>
            <w:rStyle w:val="Hyperlink"/>
            <w:rFonts w:hint="eastAsia"/>
            <w:noProof/>
            <w:rtl/>
          </w:rPr>
          <w:t>البند</w:t>
        </w:r>
        <w:r w:rsidR="00683FD0" w:rsidRPr="00683FD0">
          <w:rPr>
            <w:rStyle w:val="Hyperlink"/>
            <w:noProof/>
            <w:rtl/>
          </w:rPr>
          <w:t xml:space="preserve"> 7 -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إدارة</w:t>
        </w:r>
        <w:r w:rsidR="00683FD0" w:rsidRPr="00683FD0">
          <w:rPr>
            <w:rStyle w:val="Hyperlink"/>
            <w:noProof/>
            <w:rtl/>
          </w:rPr>
          <w:t xml:space="preserve"> </w:t>
        </w:r>
        <w:r w:rsidR="00683FD0" w:rsidRPr="00683FD0">
          <w:rPr>
            <w:rStyle w:val="Hyperlink"/>
            <w:rFonts w:hint="eastAsia"/>
            <w:noProof/>
            <w:rtl/>
          </w:rPr>
          <w:t>الاتفاقية</w:t>
        </w:r>
        <w:r w:rsidR="00683FD0" w:rsidRPr="00683FD0">
          <w:rPr>
            <w:rStyle w:val="Hyperlink"/>
            <w:noProof/>
            <w:rtl/>
          </w:rPr>
          <w:t xml:space="preserve"> </w:t>
        </w:r>
        <w:r w:rsidR="00683FD0" w:rsidRPr="00683FD0">
          <w:rPr>
            <w:rStyle w:val="Hyperlink"/>
            <w:rFonts w:hint="eastAsia"/>
            <w:noProof/>
            <w:rtl/>
          </w:rPr>
          <w:t>وميزانية</w:t>
        </w:r>
        <w:r w:rsidR="00683FD0" w:rsidRPr="00683FD0">
          <w:rPr>
            <w:rStyle w:val="Hyperlink"/>
            <w:noProof/>
            <w:rtl/>
          </w:rPr>
          <w:t xml:space="preserve"> </w:t>
        </w:r>
        <w:r w:rsidR="00683FD0" w:rsidRPr="00683FD0">
          <w:rPr>
            <w:rStyle w:val="Hyperlink"/>
            <w:rFonts w:hint="eastAsia"/>
            <w:noProof/>
            <w:rtl/>
          </w:rPr>
          <w:t>الصناديق</w:t>
        </w:r>
        <w:r w:rsidR="00683FD0" w:rsidRPr="00683FD0">
          <w:rPr>
            <w:rStyle w:val="Hyperlink"/>
            <w:noProof/>
            <w:rtl/>
          </w:rPr>
          <w:t xml:space="preserve"> </w:t>
        </w:r>
        <w:r w:rsidR="00683FD0" w:rsidRPr="00683FD0">
          <w:rPr>
            <w:rStyle w:val="Hyperlink"/>
            <w:rFonts w:hint="eastAsia"/>
            <w:noProof/>
            <w:rtl/>
          </w:rPr>
          <w:t>الاستئمانية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272</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11" w:history="1">
        <w:r w:rsidR="00683FD0" w:rsidRPr="00683FD0">
          <w:rPr>
            <w:rStyle w:val="Hyperlink"/>
            <w:rFonts w:hint="eastAsia"/>
            <w:noProof/>
            <w:rtl/>
          </w:rPr>
          <w:t>البند</w:t>
        </w:r>
        <w:r w:rsidR="00683FD0" w:rsidRPr="00683FD0">
          <w:rPr>
            <w:rStyle w:val="Hyperlink"/>
            <w:noProof/>
            <w:rtl/>
          </w:rPr>
          <w:t xml:space="preserve"> 8 -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استعراض</w:t>
        </w:r>
        <w:r w:rsidR="00683FD0" w:rsidRPr="00683FD0">
          <w:rPr>
            <w:rStyle w:val="Hyperlink"/>
            <w:noProof/>
            <w:rtl/>
          </w:rPr>
          <w:t xml:space="preserve"> </w:t>
        </w:r>
        <w:r w:rsidR="00683FD0" w:rsidRPr="00683FD0">
          <w:rPr>
            <w:rStyle w:val="Hyperlink"/>
            <w:rFonts w:hint="eastAsia"/>
            <w:noProof/>
            <w:rtl/>
          </w:rPr>
          <w:t>التقدم</w:t>
        </w:r>
        <w:r w:rsidR="00683FD0" w:rsidRPr="00683FD0">
          <w:rPr>
            <w:rStyle w:val="Hyperlink"/>
            <w:noProof/>
            <w:rtl/>
          </w:rPr>
          <w:t xml:space="preserve"> </w:t>
        </w:r>
        <w:r w:rsidR="00683FD0" w:rsidRPr="00683FD0">
          <w:rPr>
            <w:rStyle w:val="Hyperlink"/>
            <w:rFonts w:hint="eastAsia"/>
            <w:noProof/>
            <w:rtl/>
          </w:rPr>
          <w:t>المحرز</w:t>
        </w:r>
        <w:r w:rsidR="00683FD0" w:rsidRPr="00683FD0">
          <w:rPr>
            <w:rStyle w:val="Hyperlink"/>
            <w:noProof/>
            <w:rtl/>
          </w:rPr>
          <w:t xml:space="preserve"> </w:t>
        </w:r>
        <w:r w:rsidR="00683FD0" w:rsidRPr="00683FD0">
          <w:rPr>
            <w:rStyle w:val="Hyperlink"/>
            <w:rFonts w:hint="eastAsia"/>
            <w:noProof/>
            <w:rtl/>
          </w:rPr>
          <w:t>في</w:t>
        </w:r>
        <w:r w:rsidR="00683FD0" w:rsidRPr="00683FD0">
          <w:rPr>
            <w:rStyle w:val="Hyperlink"/>
            <w:noProof/>
            <w:rtl/>
          </w:rPr>
          <w:t xml:space="preserve"> </w:t>
        </w:r>
        <w:r w:rsidR="00683FD0" w:rsidRPr="00683FD0">
          <w:rPr>
            <w:rStyle w:val="Hyperlink"/>
            <w:rFonts w:hint="eastAsia"/>
            <w:noProof/>
            <w:rtl/>
          </w:rPr>
          <w:t>تنفيذ</w:t>
        </w:r>
        <w:r w:rsidR="00683FD0" w:rsidRPr="00683FD0">
          <w:rPr>
            <w:rStyle w:val="Hyperlink"/>
            <w:noProof/>
            <w:rtl/>
          </w:rPr>
          <w:t xml:space="preserve"> </w:t>
        </w:r>
        <w:r w:rsidR="00683FD0" w:rsidRPr="00683FD0">
          <w:rPr>
            <w:rStyle w:val="Hyperlink"/>
            <w:rFonts w:hint="eastAsia"/>
            <w:noProof/>
            <w:rtl/>
          </w:rPr>
          <w:t>الاتفاقية</w:t>
        </w:r>
        <w:r w:rsidR="00683FD0" w:rsidRPr="00683FD0">
          <w:rPr>
            <w:rStyle w:val="Hyperlink"/>
            <w:noProof/>
            <w:rtl/>
          </w:rPr>
          <w:t xml:space="preserve"> </w:t>
        </w:r>
        <w:r w:rsidR="00683FD0" w:rsidRPr="00683FD0">
          <w:rPr>
            <w:rStyle w:val="Hyperlink"/>
            <w:rFonts w:hint="eastAsia"/>
            <w:noProof/>
            <w:rtl/>
          </w:rPr>
          <w:t>والخطة</w:t>
        </w:r>
        <w:r w:rsidR="00683FD0" w:rsidRPr="00683FD0">
          <w:rPr>
            <w:rStyle w:val="Hyperlink"/>
            <w:noProof/>
            <w:rtl/>
          </w:rPr>
          <w:t xml:space="preserve"> </w:t>
        </w:r>
        <w:r w:rsidR="00683FD0" w:rsidRPr="00683FD0">
          <w:rPr>
            <w:rStyle w:val="Hyperlink"/>
            <w:rFonts w:hint="eastAsia"/>
            <w:noProof/>
            <w:rtl/>
          </w:rPr>
          <w:t>الاستراتيجية</w:t>
        </w:r>
        <w:r w:rsidR="00683FD0" w:rsidRPr="00683FD0">
          <w:rPr>
            <w:rStyle w:val="Hyperlink"/>
            <w:noProof/>
            <w:rtl/>
          </w:rPr>
          <w:t xml:space="preserve"> </w:t>
        </w:r>
        <w:r w:rsidR="00683FD0" w:rsidRPr="00683FD0">
          <w:rPr>
            <w:rStyle w:val="Hyperlink"/>
            <w:rFonts w:hint="eastAsia"/>
            <w:noProof/>
            <w:rtl/>
          </w:rPr>
          <w:t>للتنوع</w:t>
        </w:r>
        <w:r w:rsidR="00683FD0" w:rsidRPr="00683FD0">
          <w:rPr>
            <w:rStyle w:val="Hyperlink"/>
            <w:noProof/>
            <w:rtl/>
          </w:rPr>
          <w:t xml:space="preserve"> </w:t>
        </w:r>
        <w:r w:rsidR="00683FD0" w:rsidRPr="00683FD0">
          <w:rPr>
            <w:rStyle w:val="Hyperlink"/>
            <w:rFonts w:hint="eastAsia"/>
            <w:noProof/>
            <w:rtl/>
          </w:rPr>
          <w:t>البيولوجي</w:t>
        </w:r>
        <w:r w:rsidR="00683FD0" w:rsidRPr="00683FD0">
          <w:rPr>
            <w:rStyle w:val="Hyperlink"/>
            <w:noProof/>
            <w:rtl/>
          </w:rPr>
          <w:t xml:space="preserve"> 2011-2020</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273</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b/>
          <w:bCs/>
          <w:noProof/>
          <w:kern w:val="0"/>
          <w:szCs w:val="22"/>
          <w:lang w:bidi="ar-SA"/>
        </w:rPr>
      </w:pPr>
      <w:hyperlink w:anchor="_Toc6140012" w:history="1">
        <w:r w:rsidR="00683FD0" w:rsidRPr="00683FD0">
          <w:rPr>
            <w:rStyle w:val="Hyperlink"/>
            <w:rFonts w:hint="eastAsia"/>
            <w:noProof/>
            <w:rtl/>
          </w:rPr>
          <w:t>البند</w:t>
        </w:r>
        <w:r w:rsidR="00683FD0" w:rsidRPr="00683FD0">
          <w:rPr>
            <w:rStyle w:val="Hyperlink"/>
            <w:noProof/>
            <w:rtl/>
          </w:rPr>
          <w:t xml:space="preserve"> 9 -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حشد</w:t>
        </w:r>
        <w:r w:rsidR="00683FD0" w:rsidRPr="00683FD0">
          <w:rPr>
            <w:rStyle w:val="Hyperlink"/>
            <w:noProof/>
            <w:rtl/>
          </w:rPr>
          <w:t xml:space="preserve"> </w:t>
        </w:r>
        <w:r w:rsidR="00683FD0" w:rsidRPr="00683FD0">
          <w:rPr>
            <w:rStyle w:val="Hyperlink"/>
            <w:rFonts w:hint="eastAsia"/>
            <w:noProof/>
            <w:rtl/>
          </w:rPr>
          <w:t>الموارد</w:t>
        </w:r>
        <w:r w:rsidR="00683FD0" w:rsidRPr="00683FD0">
          <w:rPr>
            <w:rStyle w:val="Hyperlink"/>
            <w:noProof/>
            <w:rtl/>
          </w:rPr>
          <w:t xml:space="preserve"> </w:t>
        </w:r>
        <w:r w:rsidR="00683FD0" w:rsidRPr="00683FD0">
          <w:rPr>
            <w:rStyle w:val="Hyperlink"/>
            <w:rFonts w:hint="eastAsia"/>
            <w:noProof/>
            <w:rtl/>
          </w:rPr>
          <w:t>والآلية</w:t>
        </w:r>
        <w:r w:rsidR="00683FD0" w:rsidRPr="00683FD0">
          <w:rPr>
            <w:rStyle w:val="Hyperlink"/>
            <w:noProof/>
            <w:rtl/>
          </w:rPr>
          <w:t xml:space="preserve"> </w:t>
        </w:r>
        <w:r w:rsidR="00683FD0" w:rsidRPr="00683FD0">
          <w:rPr>
            <w:rStyle w:val="Hyperlink"/>
            <w:rFonts w:hint="eastAsia"/>
            <w:noProof/>
            <w:rtl/>
          </w:rPr>
          <w:t>المالية</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275</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13" w:history="1">
        <w:r w:rsidR="00683FD0" w:rsidRPr="00683FD0">
          <w:rPr>
            <w:rStyle w:val="Hyperlink"/>
            <w:rFonts w:hint="eastAsia"/>
            <w:noProof/>
            <w:rtl/>
          </w:rPr>
          <w:t>البند</w:t>
        </w:r>
        <w:r w:rsidR="00683FD0" w:rsidRPr="00683FD0">
          <w:rPr>
            <w:rStyle w:val="Hyperlink"/>
            <w:noProof/>
            <w:rtl/>
          </w:rPr>
          <w:t xml:space="preserve"> 10 -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بناء</w:t>
        </w:r>
        <w:r w:rsidR="00683FD0" w:rsidRPr="00683FD0">
          <w:rPr>
            <w:rStyle w:val="Hyperlink"/>
            <w:noProof/>
            <w:rtl/>
          </w:rPr>
          <w:t xml:space="preserve"> </w:t>
        </w:r>
        <w:r w:rsidR="00683FD0" w:rsidRPr="00683FD0">
          <w:rPr>
            <w:rStyle w:val="Hyperlink"/>
            <w:rFonts w:hint="eastAsia"/>
            <w:noProof/>
            <w:rtl/>
          </w:rPr>
          <w:t>القدرات</w:t>
        </w:r>
        <w:r w:rsidR="00683FD0" w:rsidRPr="00683FD0">
          <w:rPr>
            <w:rStyle w:val="Hyperlink"/>
            <w:noProof/>
            <w:rtl/>
          </w:rPr>
          <w:t xml:space="preserve"> </w:t>
        </w:r>
        <w:r w:rsidR="00683FD0" w:rsidRPr="00683FD0">
          <w:rPr>
            <w:rStyle w:val="Hyperlink"/>
            <w:rFonts w:hint="eastAsia"/>
            <w:noProof/>
            <w:rtl/>
          </w:rPr>
          <w:t>والتعاون</w:t>
        </w:r>
        <w:r w:rsidR="00683FD0" w:rsidRPr="00683FD0">
          <w:rPr>
            <w:rStyle w:val="Hyperlink"/>
            <w:noProof/>
            <w:rtl/>
          </w:rPr>
          <w:t xml:space="preserve"> </w:t>
        </w:r>
        <w:r w:rsidR="00683FD0" w:rsidRPr="00683FD0">
          <w:rPr>
            <w:rStyle w:val="Hyperlink"/>
            <w:rFonts w:hint="eastAsia"/>
            <w:noProof/>
            <w:rtl/>
          </w:rPr>
          <w:t>التقني</w:t>
        </w:r>
        <w:r w:rsidR="00683FD0" w:rsidRPr="00683FD0">
          <w:rPr>
            <w:rStyle w:val="Hyperlink"/>
            <w:noProof/>
            <w:rtl/>
          </w:rPr>
          <w:t xml:space="preserve"> </w:t>
        </w:r>
        <w:r w:rsidR="00683FD0" w:rsidRPr="00683FD0">
          <w:rPr>
            <w:rStyle w:val="Hyperlink"/>
            <w:rFonts w:hint="eastAsia"/>
            <w:noProof/>
            <w:rtl/>
          </w:rPr>
          <w:t>والعلمي</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278</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14" w:history="1">
        <w:r w:rsidR="00683FD0" w:rsidRPr="00683FD0">
          <w:rPr>
            <w:rStyle w:val="Hyperlink"/>
            <w:rFonts w:hint="eastAsia"/>
            <w:noProof/>
            <w:rtl/>
          </w:rPr>
          <w:t>البند</w:t>
        </w:r>
        <w:r w:rsidR="00683FD0" w:rsidRPr="00683FD0">
          <w:rPr>
            <w:rStyle w:val="Hyperlink"/>
            <w:noProof/>
            <w:rtl/>
          </w:rPr>
          <w:t xml:space="preserve"> 11 -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إدارة</w:t>
        </w:r>
        <w:r w:rsidR="00683FD0" w:rsidRPr="00683FD0">
          <w:rPr>
            <w:rStyle w:val="Hyperlink"/>
            <w:noProof/>
            <w:rtl/>
          </w:rPr>
          <w:t xml:space="preserve"> </w:t>
        </w:r>
        <w:r w:rsidR="00683FD0" w:rsidRPr="00683FD0">
          <w:rPr>
            <w:rStyle w:val="Hyperlink"/>
            <w:rFonts w:hint="eastAsia"/>
            <w:noProof/>
            <w:rtl/>
          </w:rPr>
          <w:t>المعارف</w:t>
        </w:r>
        <w:r w:rsidR="00683FD0" w:rsidRPr="00683FD0">
          <w:rPr>
            <w:rStyle w:val="Hyperlink"/>
            <w:noProof/>
            <w:rtl/>
          </w:rPr>
          <w:t xml:space="preserve"> </w:t>
        </w:r>
        <w:r w:rsidR="00683FD0" w:rsidRPr="00683FD0">
          <w:rPr>
            <w:rStyle w:val="Hyperlink"/>
            <w:rFonts w:hint="eastAsia"/>
            <w:noProof/>
            <w:rtl/>
          </w:rPr>
          <w:t>والاتصال</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279</w:t>
        </w:r>
        <w:r w:rsidRPr="009E0EBA">
          <w:rPr>
            <w:rStyle w:val="Hyperlink"/>
            <w:rFonts w:cs="Times New Roman"/>
            <w:noProof/>
            <w:szCs w:val="22"/>
          </w:rPr>
          <w:fldChar w:fldCharType="end"/>
        </w:r>
      </w:hyperlink>
    </w:p>
    <w:p w:rsidR="00683FD0" w:rsidRPr="00683FD0" w:rsidRDefault="007B18D9" w:rsidP="00E04F06">
      <w:pPr>
        <w:pStyle w:val="TOC2"/>
        <w:rPr>
          <w:rFonts w:asciiTheme="minorHAnsi" w:eastAsiaTheme="minorEastAsia" w:hAnsiTheme="minorHAnsi" w:cstheme="minorBidi"/>
          <w:noProof/>
          <w:kern w:val="0"/>
          <w:szCs w:val="22"/>
          <w:lang w:bidi="ar-SA"/>
        </w:rPr>
      </w:pPr>
      <w:hyperlink w:anchor="_Toc6140015" w:history="1">
        <w:r w:rsidR="00683FD0" w:rsidRPr="00683FD0">
          <w:rPr>
            <w:rStyle w:val="Hyperlink"/>
            <w:rFonts w:hint="eastAsia"/>
            <w:noProof/>
            <w:rtl/>
          </w:rPr>
          <w:t>البند</w:t>
        </w:r>
        <w:r w:rsidR="00683FD0" w:rsidRPr="00683FD0">
          <w:rPr>
            <w:rStyle w:val="Hyperlink"/>
            <w:noProof/>
            <w:rtl/>
          </w:rPr>
          <w:t xml:space="preserve"> 12 -</w:t>
        </w:r>
        <w:r w:rsidR="00683FD0" w:rsidRPr="00683FD0">
          <w:rPr>
            <w:rFonts w:asciiTheme="minorHAnsi" w:eastAsiaTheme="minorEastAsia" w:hAnsiTheme="minorHAnsi" w:cstheme="minorBidi"/>
            <w:noProof/>
            <w:kern w:val="0"/>
            <w:szCs w:val="22"/>
            <w:lang w:bidi="ar-SA"/>
          </w:rPr>
          <w:tab/>
        </w:r>
        <w:r w:rsidR="00683FD0" w:rsidRPr="00683FD0">
          <w:rPr>
            <w:rStyle w:val="Hyperlink"/>
            <w:rFonts w:hint="eastAsia"/>
            <w:noProof/>
            <w:rtl/>
          </w:rPr>
          <w:t>آليات</w:t>
        </w:r>
        <w:r w:rsidR="00683FD0" w:rsidRPr="00683FD0">
          <w:rPr>
            <w:rStyle w:val="Hyperlink"/>
            <w:noProof/>
            <w:rtl/>
          </w:rPr>
          <w:t xml:space="preserve"> </w:t>
        </w:r>
        <w:r w:rsidR="00683FD0" w:rsidRPr="00683FD0">
          <w:rPr>
            <w:rStyle w:val="Hyperlink"/>
            <w:rFonts w:hint="eastAsia"/>
            <w:noProof/>
            <w:rtl/>
          </w:rPr>
          <w:t>للإبلاغ</w:t>
        </w:r>
        <w:r w:rsidR="00683FD0" w:rsidRPr="00683FD0">
          <w:rPr>
            <w:rStyle w:val="Hyperlink"/>
            <w:noProof/>
            <w:rtl/>
          </w:rPr>
          <w:t xml:space="preserve"> </w:t>
        </w:r>
        <w:r w:rsidR="00683FD0" w:rsidRPr="00683FD0">
          <w:rPr>
            <w:rStyle w:val="Hyperlink"/>
            <w:rFonts w:hint="eastAsia"/>
            <w:noProof/>
            <w:rtl/>
          </w:rPr>
          <w:t>الوطني،</w:t>
        </w:r>
        <w:r w:rsidR="00683FD0" w:rsidRPr="00683FD0">
          <w:rPr>
            <w:rStyle w:val="Hyperlink"/>
            <w:noProof/>
            <w:rtl/>
          </w:rPr>
          <w:t xml:space="preserve"> </w:t>
        </w:r>
        <w:r w:rsidR="00683FD0" w:rsidRPr="00683FD0">
          <w:rPr>
            <w:rStyle w:val="Hyperlink"/>
            <w:rFonts w:hint="eastAsia"/>
            <w:noProof/>
            <w:rtl/>
          </w:rPr>
          <w:t>والتقييم</w:t>
        </w:r>
        <w:r w:rsidR="00683FD0" w:rsidRPr="00683FD0">
          <w:rPr>
            <w:rStyle w:val="Hyperlink"/>
            <w:noProof/>
            <w:rtl/>
          </w:rPr>
          <w:t xml:space="preserve"> </w:t>
        </w:r>
        <w:r w:rsidR="00683FD0" w:rsidRPr="00683FD0">
          <w:rPr>
            <w:rStyle w:val="Hyperlink"/>
            <w:rFonts w:hint="eastAsia"/>
            <w:noProof/>
            <w:rtl/>
          </w:rPr>
          <w:t>والاستعراض</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280</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16" w:history="1">
        <w:r w:rsidR="00683FD0" w:rsidRPr="00D934A8">
          <w:rPr>
            <w:rStyle w:val="Hyperlink"/>
            <w:rFonts w:hint="eastAsia"/>
            <w:noProof/>
            <w:rtl/>
          </w:rPr>
          <w:t>البند</w:t>
        </w:r>
        <w:r w:rsidR="00683FD0" w:rsidRPr="00D934A8">
          <w:rPr>
            <w:rStyle w:val="Hyperlink"/>
            <w:noProof/>
            <w:rtl/>
          </w:rPr>
          <w:t xml:space="preserve"> 13 -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تعزيز</w:t>
        </w:r>
        <w:r w:rsidR="00683FD0" w:rsidRPr="00D934A8">
          <w:rPr>
            <w:rStyle w:val="Hyperlink"/>
            <w:noProof/>
            <w:rtl/>
          </w:rPr>
          <w:t xml:space="preserve"> </w:t>
        </w:r>
        <w:r w:rsidR="00683FD0" w:rsidRPr="00D934A8">
          <w:rPr>
            <w:rStyle w:val="Hyperlink"/>
            <w:rFonts w:hint="eastAsia"/>
            <w:noProof/>
            <w:rtl/>
          </w:rPr>
          <w:t>التكامل</w:t>
        </w:r>
        <w:r w:rsidR="00683FD0" w:rsidRPr="00D934A8">
          <w:rPr>
            <w:rStyle w:val="Hyperlink"/>
            <w:noProof/>
            <w:rtl/>
          </w:rPr>
          <w:t xml:space="preserve">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إطار</w:t>
        </w:r>
        <w:r w:rsidR="00683FD0" w:rsidRPr="00D934A8">
          <w:rPr>
            <w:rStyle w:val="Hyperlink"/>
            <w:noProof/>
            <w:rtl/>
          </w:rPr>
          <w:t xml:space="preserve"> </w:t>
        </w:r>
        <w:r w:rsidR="00683FD0" w:rsidRPr="00D934A8">
          <w:rPr>
            <w:rStyle w:val="Hyperlink"/>
            <w:rFonts w:hint="eastAsia"/>
            <w:noProof/>
            <w:rtl/>
          </w:rPr>
          <w:t>الاتفاقية</w:t>
        </w:r>
        <w:r w:rsidR="00683FD0" w:rsidRPr="00D934A8">
          <w:rPr>
            <w:rStyle w:val="Hyperlink"/>
            <w:noProof/>
            <w:rtl/>
          </w:rPr>
          <w:t xml:space="preserve"> </w:t>
        </w:r>
        <w:r w:rsidR="00683FD0" w:rsidRPr="00D934A8">
          <w:rPr>
            <w:rStyle w:val="Hyperlink"/>
            <w:rFonts w:hint="eastAsia"/>
            <w:noProof/>
            <w:rtl/>
          </w:rPr>
          <w:t>وبروتوكوليها</w:t>
        </w:r>
        <w:r w:rsidR="00683FD0" w:rsidRPr="00D934A8">
          <w:rPr>
            <w:rStyle w:val="Hyperlink"/>
            <w:noProof/>
            <w:rtl/>
          </w:rPr>
          <w:t xml:space="preserve"> </w:t>
        </w:r>
        <w:r w:rsidR="00683FD0" w:rsidRPr="00D934A8">
          <w:rPr>
            <w:rStyle w:val="Hyperlink"/>
            <w:rFonts w:hint="eastAsia"/>
            <w:noProof/>
            <w:rtl/>
          </w:rPr>
          <w:t>فيما</w:t>
        </w:r>
        <w:r w:rsidR="00683FD0" w:rsidRPr="00D934A8">
          <w:rPr>
            <w:rStyle w:val="Hyperlink"/>
            <w:noProof/>
            <w:rtl/>
          </w:rPr>
          <w:t xml:space="preserve"> </w:t>
        </w:r>
        <w:r w:rsidR="00683FD0" w:rsidRPr="00D934A8">
          <w:rPr>
            <w:rStyle w:val="Hyperlink"/>
            <w:rFonts w:hint="eastAsia"/>
            <w:noProof/>
            <w:rtl/>
          </w:rPr>
          <w:t>يتعلق</w:t>
        </w:r>
        <w:r w:rsidR="00683FD0" w:rsidRPr="00D934A8">
          <w:rPr>
            <w:rStyle w:val="Hyperlink"/>
            <w:noProof/>
            <w:rtl/>
          </w:rPr>
          <w:t xml:space="preserve"> </w:t>
        </w:r>
        <w:r w:rsidR="00683FD0" w:rsidRPr="00D934A8">
          <w:rPr>
            <w:rStyle w:val="Hyperlink"/>
            <w:rFonts w:hint="eastAsia"/>
            <w:noProof/>
            <w:rtl/>
          </w:rPr>
          <w:t>بالأحكام</w:t>
        </w:r>
        <w:r w:rsidR="00683FD0" w:rsidRPr="00D934A8">
          <w:rPr>
            <w:rStyle w:val="Hyperlink"/>
            <w:noProof/>
            <w:rtl/>
          </w:rPr>
          <w:t xml:space="preserve"> </w:t>
        </w:r>
        <w:r w:rsidR="00683FD0" w:rsidRPr="00D934A8">
          <w:rPr>
            <w:rStyle w:val="Hyperlink"/>
            <w:rFonts w:hint="eastAsia"/>
            <w:noProof/>
            <w:rtl/>
          </w:rPr>
          <w:t>المتصلة</w:t>
        </w:r>
        <w:r w:rsidR="00683FD0" w:rsidRPr="00D934A8">
          <w:rPr>
            <w:rStyle w:val="Hyperlink"/>
            <w:noProof/>
            <w:rtl/>
          </w:rPr>
          <w:t xml:space="preserve"> </w:t>
        </w:r>
        <w:r w:rsidR="00683FD0" w:rsidRPr="00D934A8">
          <w:rPr>
            <w:rStyle w:val="Hyperlink"/>
            <w:rFonts w:hint="eastAsia"/>
            <w:noProof/>
            <w:rtl/>
          </w:rPr>
          <w:t>بالحصول</w:t>
        </w:r>
        <w:r w:rsidR="00683FD0" w:rsidRPr="00D934A8">
          <w:rPr>
            <w:rStyle w:val="Hyperlink"/>
            <w:noProof/>
            <w:rtl/>
          </w:rPr>
          <w:t xml:space="preserve"> </w:t>
        </w:r>
        <w:r w:rsidR="00683FD0" w:rsidRPr="00D934A8">
          <w:rPr>
            <w:rStyle w:val="Hyperlink"/>
            <w:rFonts w:hint="eastAsia"/>
            <w:noProof/>
            <w:rtl/>
          </w:rPr>
          <w:t>وتقاسم</w:t>
        </w:r>
        <w:r w:rsidR="00683FD0" w:rsidRPr="00D934A8">
          <w:rPr>
            <w:rStyle w:val="Hyperlink"/>
            <w:noProof/>
            <w:rtl/>
          </w:rPr>
          <w:t xml:space="preserve"> </w:t>
        </w:r>
        <w:r w:rsidR="00683FD0" w:rsidRPr="00D934A8">
          <w:rPr>
            <w:rStyle w:val="Hyperlink"/>
            <w:rFonts w:hint="eastAsia"/>
            <w:noProof/>
            <w:rtl/>
          </w:rPr>
          <w:t>المنافع،</w:t>
        </w:r>
        <w:r w:rsidR="00683FD0" w:rsidRPr="00D934A8">
          <w:rPr>
            <w:rStyle w:val="Hyperlink"/>
            <w:noProof/>
            <w:rtl/>
          </w:rPr>
          <w:t xml:space="preserve"> </w:t>
        </w:r>
        <w:r w:rsidR="00683FD0" w:rsidRPr="00D934A8">
          <w:rPr>
            <w:rStyle w:val="Hyperlink"/>
            <w:rFonts w:hint="eastAsia"/>
            <w:noProof/>
            <w:rtl/>
          </w:rPr>
          <w:t>والسلامة</w:t>
        </w:r>
        <w:r w:rsidR="00683FD0" w:rsidRPr="00D934A8">
          <w:rPr>
            <w:rStyle w:val="Hyperlink"/>
            <w:noProof/>
            <w:rtl/>
          </w:rPr>
          <w:t xml:space="preserve"> </w:t>
        </w:r>
        <w:r w:rsidR="00683FD0" w:rsidRPr="00D934A8">
          <w:rPr>
            <w:rStyle w:val="Hyperlink"/>
            <w:rFonts w:hint="eastAsia"/>
            <w:noProof/>
            <w:rtl/>
          </w:rPr>
          <w:t>الأحيائية،</w:t>
        </w:r>
        <w:r w:rsidR="00683FD0" w:rsidRPr="00D934A8">
          <w:rPr>
            <w:rStyle w:val="Hyperlink"/>
            <w:noProof/>
            <w:rtl/>
          </w:rPr>
          <w:t xml:space="preserve"> </w:t>
        </w:r>
        <w:r w:rsidR="00683FD0" w:rsidRPr="00D934A8">
          <w:rPr>
            <w:rStyle w:val="Hyperlink"/>
            <w:rFonts w:hint="eastAsia"/>
            <w:noProof/>
            <w:rtl/>
          </w:rPr>
          <w:t>والمادة</w:t>
        </w:r>
        <w:r w:rsidR="00683FD0" w:rsidRPr="00D934A8">
          <w:rPr>
            <w:rStyle w:val="Hyperlink"/>
            <w:noProof/>
            <w:rtl/>
          </w:rPr>
          <w:t xml:space="preserve"> 8(</w:t>
        </w:r>
        <w:r w:rsidR="00683FD0" w:rsidRPr="00D934A8">
          <w:rPr>
            <w:rStyle w:val="Hyperlink"/>
            <w:rFonts w:hint="eastAsia"/>
            <w:noProof/>
            <w:rtl/>
          </w:rPr>
          <w:t>ي</w:t>
        </w:r>
        <w:r w:rsidR="00683FD0" w:rsidRPr="00D934A8">
          <w:rPr>
            <w:rStyle w:val="Hyperlink"/>
            <w:noProof/>
            <w:rtl/>
          </w:rPr>
          <w:t xml:space="preserve">) </w:t>
        </w:r>
        <w:r w:rsidR="00683FD0" w:rsidRPr="00D934A8">
          <w:rPr>
            <w:rStyle w:val="Hyperlink"/>
            <w:rFonts w:hint="eastAsia"/>
            <w:noProof/>
            <w:rtl/>
          </w:rPr>
          <w:t>والأحكام</w:t>
        </w:r>
        <w:r w:rsidR="00683FD0" w:rsidRPr="00D934A8">
          <w:rPr>
            <w:rStyle w:val="Hyperlink"/>
            <w:noProof/>
            <w:rtl/>
          </w:rPr>
          <w:t xml:space="preserve"> </w:t>
        </w:r>
        <w:r w:rsidR="00683FD0" w:rsidRPr="00D934A8">
          <w:rPr>
            <w:rStyle w:val="Hyperlink"/>
            <w:rFonts w:hint="eastAsia"/>
            <w:noProof/>
            <w:rtl/>
          </w:rPr>
          <w:t>المتصلة</w:t>
        </w:r>
        <w:r w:rsidR="00683FD0" w:rsidRPr="00D934A8">
          <w:rPr>
            <w:rStyle w:val="Hyperlink"/>
            <w:noProof/>
            <w:rtl/>
          </w:rPr>
          <w:t xml:space="preserve"> </w:t>
        </w:r>
        <w:r w:rsidR="00683FD0" w:rsidRPr="00D934A8">
          <w:rPr>
            <w:rStyle w:val="Hyperlink"/>
            <w:rFonts w:hint="eastAsia"/>
            <w:noProof/>
            <w:rtl/>
          </w:rPr>
          <w:t>بها</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281</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17" w:history="1">
        <w:r w:rsidR="00683FD0" w:rsidRPr="00D934A8">
          <w:rPr>
            <w:rStyle w:val="Hyperlink"/>
            <w:rFonts w:hint="eastAsia"/>
            <w:noProof/>
            <w:rtl/>
          </w:rPr>
          <w:t>البند</w:t>
        </w:r>
        <w:r w:rsidR="00683FD0" w:rsidRPr="00D934A8">
          <w:rPr>
            <w:rStyle w:val="Hyperlink"/>
            <w:noProof/>
            <w:rtl/>
          </w:rPr>
          <w:t xml:space="preserve"> 14 -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التعاون</w:t>
        </w:r>
        <w:r w:rsidR="00683FD0" w:rsidRPr="00D934A8">
          <w:rPr>
            <w:rStyle w:val="Hyperlink"/>
            <w:noProof/>
            <w:rtl/>
          </w:rPr>
          <w:t xml:space="preserve"> </w:t>
        </w:r>
        <w:r w:rsidR="00683FD0" w:rsidRPr="00D934A8">
          <w:rPr>
            <w:rStyle w:val="Hyperlink"/>
            <w:rFonts w:hint="eastAsia"/>
            <w:noProof/>
            <w:rtl/>
          </w:rPr>
          <w:t>مع</w:t>
        </w:r>
        <w:r w:rsidR="00683FD0" w:rsidRPr="00D934A8">
          <w:rPr>
            <w:rStyle w:val="Hyperlink"/>
            <w:noProof/>
            <w:rtl/>
          </w:rPr>
          <w:t xml:space="preserve"> </w:t>
        </w:r>
        <w:r w:rsidR="00683FD0" w:rsidRPr="00D934A8">
          <w:rPr>
            <w:rStyle w:val="Hyperlink"/>
            <w:rFonts w:hint="eastAsia"/>
            <w:noProof/>
            <w:rtl/>
          </w:rPr>
          <w:t>الاتفاقيات</w:t>
        </w:r>
        <w:r w:rsidR="00683FD0" w:rsidRPr="00D934A8">
          <w:rPr>
            <w:rStyle w:val="Hyperlink"/>
            <w:noProof/>
            <w:rtl/>
          </w:rPr>
          <w:t xml:space="preserve"> </w:t>
        </w:r>
        <w:r w:rsidR="00683FD0" w:rsidRPr="00D934A8">
          <w:rPr>
            <w:rStyle w:val="Hyperlink"/>
            <w:rFonts w:hint="eastAsia"/>
            <w:noProof/>
            <w:rtl/>
          </w:rPr>
          <w:t>والمنظمات</w:t>
        </w:r>
        <w:r w:rsidR="00683FD0" w:rsidRPr="00D934A8">
          <w:rPr>
            <w:rStyle w:val="Hyperlink"/>
            <w:noProof/>
            <w:rtl/>
          </w:rPr>
          <w:t xml:space="preserve"> </w:t>
        </w:r>
        <w:r w:rsidR="00683FD0" w:rsidRPr="00D934A8">
          <w:rPr>
            <w:rStyle w:val="Hyperlink"/>
            <w:rFonts w:hint="eastAsia"/>
            <w:noProof/>
            <w:rtl/>
          </w:rPr>
          <w:t>والمبادرات</w:t>
        </w:r>
        <w:r w:rsidR="00683FD0" w:rsidRPr="00D934A8">
          <w:rPr>
            <w:rStyle w:val="Hyperlink"/>
            <w:noProof/>
            <w:rtl/>
          </w:rPr>
          <w:t xml:space="preserve"> </w:t>
        </w:r>
        <w:r w:rsidR="00683FD0" w:rsidRPr="00D934A8">
          <w:rPr>
            <w:rStyle w:val="Hyperlink"/>
            <w:rFonts w:hint="eastAsia"/>
            <w:noProof/>
            <w:rtl/>
          </w:rPr>
          <w:t>الدولية</w:t>
        </w:r>
        <w:r w:rsidR="00683FD0" w:rsidRPr="00D934A8">
          <w:rPr>
            <w:rStyle w:val="Hyperlink"/>
            <w:noProof/>
            <w:rtl/>
          </w:rPr>
          <w:t xml:space="preserve"> </w:t>
        </w:r>
        <w:r w:rsidR="00683FD0" w:rsidRPr="00D934A8">
          <w:rPr>
            <w:rStyle w:val="Hyperlink"/>
            <w:rFonts w:hint="eastAsia"/>
            <w:noProof/>
            <w:rtl/>
          </w:rPr>
          <w:t>الأخرى</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282</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18" w:history="1">
        <w:r w:rsidR="00683FD0" w:rsidRPr="00D934A8">
          <w:rPr>
            <w:rStyle w:val="Hyperlink"/>
            <w:rFonts w:hint="eastAsia"/>
            <w:noProof/>
            <w:rtl/>
          </w:rPr>
          <w:t>البند</w:t>
        </w:r>
        <w:r w:rsidR="00683FD0" w:rsidRPr="00D934A8">
          <w:rPr>
            <w:rStyle w:val="Hyperlink"/>
            <w:noProof/>
            <w:rtl/>
          </w:rPr>
          <w:t xml:space="preserve"> 15 -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استعراض</w:t>
        </w:r>
        <w:r w:rsidR="00683FD0" w:rsidRPr="00D934A8">
          <w:rPr>
            <w:rStyle w:val="Hyperlink"/>
            <w:noProof/>
            <w:rtl/>
          </w:rPr>
          <w:t xml:space="preserve"> </w:t>
        </w:r>
        <w:r w:rsidR="00683FD0" w:rsidRPr="00D934A8">
          <w:rPr>
            <w:rStyle w:val="Hyperlink"/>
            <w:rFonts w:hint="eastAsia"/>
            <w:noProof/>
            <w:rtl/>
          </w:rPr>
          <w:t>فاعلية</w:t>
        </w:r>
        <w:r w:rsidR="00683FD0" w:rsidRPr="00D934A8">
          <w:rPr>
            <w:rStyle w:val="Hyperlink"/>
            <w:noProof/>
            <w:rtl/>
          </w:rPr>
          <w:t xml:space="preserve"> </w:t>
        </w:r>
        <w:r w:rsidR="00683FD0" w:rsidRPr="00D934A8">
          <w:rPr>
            <w:rStyle w:val="Hyperlink"/>
            <w:rFonts w:hint="eastAsia"/>
            <w:noProof/>
            <w:rtl/>
          </w:rPr>
          <w:t>العمليات</w:t>
        </w:r>
        <w:r w:rsidR="00683FD0" w:rsidRPr="00D934A8">
          <w:rPr>
            <w:rStyle w:val="Hyperlink"/>
            <w:noProof/>
            <w:rtl/>
          </w:rPr>
          <w:t xml:space="preserve">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إطار</w:t>
        </w:r>
        <w:r w:rsidR="00683FD0" w:rsidRPr="00D934A8">
          <w:rPr>
            <w:rStyle w:val="Hyperlink"/>
            <w:noProof/>
            <w:rtl/>
          </w:rPr>
          <w:t xml:space="preserve"> </w:t>
        </w:r>
        <w:r w:rsidR="00683FD0" w:rsidRPr="00D934A8">
          <w:rPr>
            <w:rStyle w:val="Hyperlink"/>
            <w:rFonts w:hint="eastAsia"/>
            <w:noProof/>
            <w:rtl/>
          </w:rPr>
          <w:t>الاتفاقية</w:t>
        </w:r>
        <w:r w:rsidR="00683FD0" w:rsidRPr="00D934A8">
          <w:rPr>
            <w:rStyle w:val="Hyperlink"/>
            <w:noProof/>
            <w:rtl/>
          </w:rPr>
          <w:t xml:space="preserve"> </w:t>
        </w:r>
        <w:r w:rsidR="00683FD0" w:rsidRPr="00D934A8">
          <w:rPr>
            <w:rStyle w:val="Hyperlink"/>
            <w:rFonts w:hint="eastAsia"/>
            <w:noProof/>
            <w:rtl/>
          </w:rPr>
          <w:t>وبروتوكوليها</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284</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19" w:history="1">
        <w:r w:rsidR="00683FD0" w:rsidRPr="00D934A8">
          <w:rPr>
            <w:rStyle w:val="Hyperlink"/>
            <w:rFonts w:hint="eastAsia"/>
            <w:noProof/>
            <w:rtl/>
          </w:rPr>
          <w:t>البند</w:t>
        </w:r>
        <w:r w:rsidR="00683FD0" w:rsidRPr="00D934A8">
          <w:rPr>
            <w:rStyle w:val="Hyperlink"/>
            <w:noProof/>
            <w:rtl/>
          </w:rPr>
          <w:t xml:space="preserve"> 16 -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برنامج</w:t>
        </w:r>
        <w:r w:rsidR="00683FD0" w:rsidRPr="00D934A8">
          <w:rPr>
            <w:rStyle w:val="Hyperlink"/>
            <w:noProof/>
            <w:rtl/>
          </w:rPr>
          <w:t xml:space="preserve"> </w:t>
        </w:r>
        <w:r w:rsidR="00683FD0" w:rsidRPr="00D934A8">
          <w:rPr>
            <w:rStyle w:val="Hyperlink"/>
            <w:rFonts w:hint="eastAsia"/>
            <w:noProof/>
            <w:rtl/>
          </w:rPr>
          <w:t>العمل</w:t>
        </w:r>
        <w:r w:rsidR="00683FD0" w:rsidRPr="00D934A8">
          <w:rPr>
            <w:rStyle w:val="Hyperlink"/>
            <w:noProof/>
            <w:rtl/>
          </w:rPr>
          <w:t xml:space="preserve"> </w:t>
        </w:r>
        <w:r w:rsidR="00683FD0" w:rsidRPr="00D934A8">
          <w:rPr>
            <w:rStyle w:val="Hyperlink"/>
            <w:rFonts w:hint="eastAsia"/>
            <w:noProof/>
            <w:rtl/>
          </w:rPr>
          <w:t>الثاني</w:t>
        </w:r>
        <w:r w:rsidR="00683FD0" w:rsidRPr="00D934A8">
          <w:rPr>
            <w:rStyle w:val="Hyperlink"/>
            <w:noProof/>
            <w:rtl/>
          </w:rPr>
          <w:t xml:space="preserve"> </w:t>
        </w:r>
        <w:r w:rsidR="00683FD0" w:rsidRPr="00D934A8">
          <w:rPr>
            <w:rStyle w:val="Hyperlink"/>
            <w:rFonts w:hint="eastAsia"/>
            <w:noProof/>
            <w:rtl/>
          </w:rPr>
          <w:t>للمنبر</w:t>
        </w:r>
        <w:r w:rsidR="00683FD0" w:rsidRPr="00D934A8">
          <w:rPr>
            <w:rStyle w:val="Hyperlink"/>
            <w:noProof/>
            <w:rtl/>
          </w:rPr>
          <w:t xml:space="preserve"> </w:t>
        </w:r>
        <w:r w:rsidR="00683FD0" w:rsidRPr="00D934A8">
          <w:rPr>
            <w:rStyle w:val="Hyperlink"/>
            <w:rFonts w:hint="eastAsia"/>
            <w:noProof/>
            <w:rtl/>
          </w:rPr>
          <w:t>الحكومي</w:t>
        </w:r>
        <w:r w:rsidR="00683FD0" w:rsidRPr="00D934A8">
          <w:rPr>
            <w:rStyle w:val="Hyperlink"/>
            <w:noProof/>
            <w:rtl/>
          </w:rPr>
          <w:t xml:space="preserve"> </w:t>
        </w:r>
        <w:r w:rsidR="00683FD0" w:rsidRPr="00D934A8">
          <w:rPr>
            <w:rStyle w:val="Hyperlink"/>
            <w:rFonts w:hint="eastAsia"/>
            <w:noProof/>
            <w:rtl/>
          </w:rPr>
          <w:t>الدولي</w:t>
        </w:r>
        <w:r w:rsidR="00683FD0" w:rsidRPr="00D934A8">
          <w:rPr>
            <w:rStyle w:val="Hyperlink"/>
            <w:noProof/>
            <w:rtl/>
          </w:rPr>
          <w:t xml:space="preserve"> </w:t>
        </w:r>
        <w:r w:rsidR="00792EE7">
          <w:rPr>
            <w:rStyle w:val="Hyperlink"/>
            <w:rFonts w:hint="cs"/>
            <w:noProof/>
            <w:rtl/>
          </w:rPr>
          <w:t xml:space="preserve">للعلوم والسياسات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مجال</w:t>
        </w:r>
        <w:r w:rsidR="00683FD0" w:rsidRPr="00D934A8">
          <w:rPr>
            <w:rStyle w:val="Hyperlink"/>
            <w:noProof/>
            <w:rtl/>
          </w:rPr>
          <w:t xml:space="preserve"> </w:t>
        </w:r>
        <w:r w:rsidR="00683FD0" w:rsidRPr="00D934A8">
          <w:rPr>
            <w:rStyle w:val="Hyperlink"/>
            <w:rFonts w:hint="eastAsia"/>
            <w:noProof/>
            <w:rtl/>
          </w:rPr>
          <w:t>التنوع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وخدمات</w:t>
        </w:r>
        <w:r w:rsidR="00683FD0" w:rsidRPr="00D934A8">
          <w:rPr>
            <w:rStyle w:val="Hyperlink"/>
            <w:noProof/>
            <w:rtl/>
          </w:rPr>
          <w:t xml:space="preserve"> </w:t>
        </w:r>
        <w:r w:rsidR="00683FD0" w:rsidRPr="00D934A8">
          <w:rPr>
            <w:rStyle w:val="Hyperlink"/>
            <w:rFonts w:hint="eastAsia"/>
            <w:noProof/>
            <w:rtl/>
          </w:rPr>
          <w:t>النظم</w:t>
        </w:r>
        <w:r w:rsidR="00683FD0" w:rsidRPr="00D934A8">
          <w:rPr>
            <w:rStyle w:val="Hyperlink"/>
            <w:noProof/>
            <w:rtl/>
          </w:rPr>
          <w:t xml:space="preserve"> </w:t>
        </w:r>
        <w:r w:rsidR="00683FD0" w:rsidRPr="00D934A8">
          <w:rPr>
            <w:rStyle w:val="Hyperlink"/>
            <w:rFonts w:hint="eastAsia"/>
            <w:noProof/>
            <w:rtl/>
          </w:rPr>
          <w:t>الإيكولوجية</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_Toc6140019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285</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0" w:history="1">
        <w:r w:rsidR="00683FD0" w:rsidRPr="00D934A8">
          <w:rPr>
            <w:rStyle w:val="Hyperlink"/>
            <w:rFonts w:hint="eastAsia"/>
            <w:noProof/>
            <w:rtl/>
            <w:lang w:val="en-GB"/>
          </w:rPr>
          <w:t>البند</w:t>
        </w:r>
        <w:r w:rsidR="00683FD0" w:rsidRPr="00D934A8">
          <w:rPr>
            <w:rStyle w:val="Hyperlink"/>
            <w:noProof/>
            <w:rtl/>
            <w:lang w:val="en-GB"/>
          </w:rPr>
          <w:t xml:space="preserve"> 17 -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التوجهات</w:t>
        </w:r>
        <w:r w:rsidR="00683FD0" w:rsidRPr="00D934A8">
          <w:rPr>
            <w:rStyle w:val="Hyperlink"/>
            <w:noProof/>
            <w:rtl/>
          </w:rPr>
          <w:t xml:space="preserve"> </w:t>
        </w:r>
        <w:r w:rsidR="00683FD0" w:rsidRPr="00D934A8">
          <w:rPr>
            <w:rStyle w:val="Hyperlink"/>
            <w:rFonts w:hint="eastAsia"/>
            <w:noProof/>
            <w:rtl/>
          </w:rPr>
          <w:t>الاستراتيجية</w:t>
        </w:r>
        <w:r w:rsidR="00683FD0" w:rsidRPr="00D934A8">
          <w:rPr>
            <w:rStyle w:val="Hyperlink"/>
            <w:noProof/>
            <w:rtl/>
          </w:rPr>
          <w:t xml:space="preserve"> </w:t>
        </w:r>
        <w:r w:rsidR="00683FD0" w:rsidRPr="00D934A8">
          <w:rPr>
            <w:rStyle w:val="Hyperlink"/>
            <w:rFonts w:hint="eastAsia"/>
            <w:noProof/>
            <w:rtl/>
          </w:rPr>
          <w:t>طويلة</w:t>
        </w:r>
        <w:r w:rsidR="00683FD0" w:rsidRPr="00D934A8">
          <w:rPr>
            <w:rStyle w:val="Hyperlink"/>
            <w:noProof/>
            <w:rtl/>
          </w:rPr>
          <w:t xml:space="preserve"> </w:t>
        </w:r>
        <w:r w:rsidR="00683FD0" w:rsidRPr="00D934A8">
          <w:rPr>
            <w:rStyle w:val="Hyperlink"/>
            <w:rFonts w:hint="eastAsia"/>
            <w:noProof/>
            <w:rtl/>
          </w:rPr>
          <w:t>الأجل</w:t>
        </w:r>
        <w:r w:rsidR="00683FD0" w:rsidRPr="00D934A8">
          <w:rPr>
            <w:rStyle w:val="Hyperlink"/>
            <w:noProof/>
            <w:rtl/>
          </w:rPr>
          <w:t xml:space="preserve"> </w:t>
        </w:r>
        <w:r w:rsidR="00683FD0" w:rsidRPr="00D934A8">
          <w:rPr>
            <w:rStyle w:val="Hyperlink"/>
            <w:rFonts w:hint="eastAsia"/>
            <w:noProof/>
            <w:rtl/>
          </w:rPr>
          <w:t>لرؤية</w:t>
        </w:r>
        <w:r w:rsidR="00683FD0" w:rsidRPr="00D934A8">
          <w:rPr>
            <w:rStyle w:val="Hyperlink"/>
            <w:noProof/>
            <w:rtl/>
          </w:rPr>
          <w:t xml:space="preserve"> </w:t>
        </w:r>
        <w:r w:rsidR="00683FD0" w:rsidRPr="00D934A8">
          <w:rPr>
            <w:rStyle w:val="Hyperlink"/>
            <w:rFonts w:hint="eastAsia"/>
            <w:noProof/>
            <w:rtl/>
          </w:rPr>
          <w:t>عام</w:t>
        </w:r>
        <w:r w:rsidR="00683FD0" w:rsidRPr="00D934A8">
          <w:rPr>
            <w:rStyle w:val="Hyperlink"/>
            <w:noProof/>
            <w:rtl/>
          </w:rPr>
          <w:t xml:space="preserve"> 2050 </w:t>
        </w:r>
        <w:r w:rsidR="00683FD0" w:rsidRPr="00D934A8">
          <w:rPr>
            <w:rStyle w:val="Hyperlink"/>
            <w:rFonts w:hint="eastAsia"/>
            <w:noProof/>
            <w:rtl/>
          </w:rPr>
          <w:t>للتنوع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ونُهج</w:t>
        </w:r>
        <w:r w:rsidR="00683FD0" w:rsidRPr="00D934A8">
          <w:rPr>
            <w:rStyle w:val="Hyperlink"/>
            <w:noProof/>
            <w:rtl/>
          </w:rPr>
          <w:t xml:space="preserve"> </w:t>
        </w:r>
        <w:r w:rsidR="00683FD0" w:rsidRPr="00D934A8">
          <w:rPr>
            <w:rStyle w:val="Hyperlink"/>
            <w:rFonts w:hint="eastAsia"/>
            <w:noProof/>
            <w:rtl/>
          </w:rPr>
          <w:t>الحياة</w:t>
        </w:r>
        <w:r w:rsidR="00683FD0" w:rsidRPr="00D934A8">
          <w:rPr>
            <w:rStyle w:val="Hyperlink"/>
            <w:noProof/>
            <w:rtl/>
          </w:rPr>
          <w:t xml:space="preserve">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تناغم</w:t>
        </w:r>
        <w:r w:rsidR="00683FD0" w:rsidRPr="00D934A8">
          <w:rPr>
            <w:rStyle w:val="Hyperlink"/>
            <w:noProof/>
            <w:rtl/>
          </w:rPr>
          <w:t xml:space="preserve"> </w:t>
        </w:r>
        <w:r w:rsidR="00683FD0" w:rsidRPr="00D934A8">
          <w:rPr>
            <w:rStyle w:val="Hyperlink"/>
            <w:rFonts w:hint="eastAsia"/>
            <w:noProof/>
            <w:rtl/>
          </w:rPr>
          <w:t>مع</w:t>
        </w:r>
        <w:r w:rsidR="00683FD0" w:rsidRPr="00D934A8">
          <w:rPr>
            <w:rStyle w:val="Hyperlink"/>
            <w:noProof/>
            <w:rtl/>
          </w:rPr>
          <w:t xml:space="preserve"> </w:t>
        </w:r>
        <w:r w:rsidR="00683FD0" w:rsidRPr="00D934A8">
          <w:rPr>
            <w:rStyle w:val="Hyperlink"/>
            <w:rFonts w:hint="eastAsia"/>
            <w:noProof/>
            <w:rtl/>
          </w:rPr>
          <w:t>الطبيعة</w:t>
        </w:r>
        <w:r w:rsidR="00683FD0" w:rsidRPr="00D934A8">
          <w:rPr>
            <w:rStyle w:val="Hyperlink"/>
            <w:noProof/>
            <w:rtl/>
          </w:rPr>
          <w:t xml:space="preserve"> </w:t>
        </w:r>
        <w:r w:rsidR="00683FD0" w:rsidRPr="00D934A8">
          <w:rPr>
            <w:rStyle w:val="Hyperlink"/>
            <w:rFonts w:hint="eastAsia"/>
            <w:noProof/>
            <w:rtl/>
          </w:rPr>
          <w:t>والتحضير</w:t>
        </w:r>
        <w:r w:rsidR="00683FD0" w:rsidRPr="00D934A8">
          <w:rPr>
            <w:rStyle w:val="Hyperlink"/>
            <w:noProof/>
            <w:rtl/>
          </w:rPr>
          <w:t xml:space="preserve"> </w:t>
        </w:r>
        <w:r w:rsidR="00683FD0" w:rsidRPr="00D934A8">
          <w:rPr>
            <w:rStyle w:val="Hyperlink"/>
            <w:rFonts w:hint="eastAsia"/>
            <w:noProof/>
            <w:rtl/>
          </w:rPr>
          <w:t>للإطار</w:t>
        </w:r>
        <w:r w:rsidR="00683FD0" w:rsidRPr="00D934A8">
          <w:rPr>
            <w:rStyle w:val="Hyperlink"/>
            <w:noProof/>
            <w:rtl/>
          </w:rPr>
          <w:t xml:space="preserve"> </w:t>
        </w:r>
        <w:r w:rsidR="00683FD0" w:rsidRPr="00D934A8">
          <w:rPr>
            <w:rStyle w:val="Hyperlink"/>
            <w:rFonts w:hint="eastAsia"/>
            <w:noProof/>
            <w:rtl/>
          </w:rPr>
          <w:t>العالمي</w:t>
        </w:r>
        <w:r w:rsidR="00683FD0" w:rsidRPr="00D934A8">
          <w:rPr>
            <w:rStyle w:val="Hyperlink"/>
            <w:noProof/>
            <w:rtl/>
          </w:rPr>
          <w:t xml:space="preserve"> </w:t>
        </w:r>
        <w:r w:rsidR="00683FD0" w:rsidRPr="00D934A8">
          <w:rPr>
            <w:rStyle w:val="Hyperlink"/>
            <w:rFonts w:hint="eastAsia"/>
            <w:noProof/>
            <w:rtl/>
          </w:rPr>
          <w:t>للتنوع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لما</w:t>
        </w:r>
        <w:r w:rsidR="00683FD0" w:rsidRPr="00D934A8">
          <w:rPr>
            <w:rStyle w:val="Hyperlink"/>
            <w:noProof/>
            <w:rtl/>
          </w:rPr>
          <w:t xml:space="preserve"> </w:t>
        </w:r>
        <w:r w:rsidR="00683FD0" w:rsidRPr="00D934A8">
          <w:rPr>
            <w:rStyle w:val="Hyperlink"/>
            <w:rFonts w:hint="eastAsia"/>
            <w:noProof/>
            <w:rtl/>
          </w:rPr>
          <w:t>بعد</w:t>
        </w:r>
        <w:r w:rsidR="00683FD0" w:rsidRPr="00D934A8">
          <w:rPr>
            <w:rStyle w:val="Hyperlink"/>
            <w:noProof/>
            <w:rtl/>
          </w:rPr>
          <w:t xml:space="preserve"> </w:t>
        </w:r>
        <w:r w:rsidR="00683FD0" w:rsidRPr="00D934A8">
          <w:rPr>
            <w:rStyle w:val="Hyperlink"/>
            <w:rFonts w:hint="eastAsia"/>
            <w:noProof/>
            <w:rtl/>
          </w:rPr>
          <w:t>عام</w:t>
        </w:r>
        <w:r w:rsidR="00683FD0" w:rsidRPr="00D934A8">
          <w:rPr>
            <w:rStyle w:val="Hyperlink"/>
            <w:noProof/>
            <w:rtl/>
          </w:rPr>
          <w:t xml:space="preserve"> 2020</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286</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1" w:history="1">
        <w:r w:rsidR="00683FD0" w:rsidRPr="00D934A8">
          <w:rPr>
            <w:rStyle w:val="Hyperlink"/>
            <w:rFonts w:hint="eastAsia"/>
            <w:noProof/>
            <w:rtl/>
          </w:rPr>
          <w:t>البند</w:t>
        </w:r>
        <w:r w:rsidR="00683FD0" w:rsidRPr="00D934A8">
          <w:rPr>
            <w:rStyle w:val="Hyperlink"/>
            <w:noProof/>
            <w:rtl/>
          </w:rPr>
          <w:t xml:space="preserve"> 18 -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معلومات</w:t>
        </w:r>
        <w:r w:rsidR="00683FD0" w:rsidRPr="00D934A8">
          <w:rPr>
            <w:rStyle w:val="Hyperlink"/>
            <w:noProof/>
            <w:rtl/>
          </w:rPr>
          <w:t xml:space="preserve"> </w:t>
        </w:r>
        <w:r w:rsidR="00683FD0" w:rsidRPr="00D934A8">
          <w:rPr>
            <w:rStyle w:val="Hyperlink"/>
            <w:rFonts w:hint="eastAsia"/>
            <w:noProof/>
            <w:rtl/>
          </w:rPr>
          <w:t>التسلسل</w:t>
        </w:r>
        <w:r w:rsidR="00683FD0" w:rsidRPr="00D934A8">
          <w:rPr>
            <w:rStyle w:val="Hyperlink"/>
            <w:noProof/>
            <w:rtl/>
          </w:rPr>
          <w:t xml:space="preserve"> </w:t>
        </w:r>
        <w:r w:rsidR="00683FD0" w:rsidRPr="00D934A8">
          <w:rPr>
            <w:rStyle w:val="Hyperlink"/>
            <w:rFonts w:hint="eastAsia"/>
            <w:noProof/>
            <w:rtl/>
          </w:rPr>
          <w:t>الرقمي</w:t>
        </w:r>
        <w:r w:rsidR="00683FD0" w:rsidRPr="00D934A8">
          <w:rPr>
            <w:rStyle w:val="Hyperlink"/>
            <w:noProof/>
            <w:rtl/>
          </w:rPr>
          <w:t xml:space="preserve"> </w:t>
        </w:r>
        <w:r w:rsidR="00683FD0" w:rsidRPr="00D934A8">
          <w:rPr>
            <w:rStyle w:val="Hyperlink"/>
            <w:rFonts w:hint="eastAsia"/>
            <w:noProof/>
            <w:rtl/>
          </w:rPr>
          <w:t>بشأن</w:t>
        </w:r>
        <w:r w:rsidR="00683FD0" w:rsidRPr="00D934A8">
          <w:rPr>
            <w:rStyle w:val="Hyperlink"/>
            <w:noProof/>
            <w:rtl/>
          </w:rPr>
          <w:t xml:space="preserve"> </w:t>
        </w:r>
        <w:r w:rsidR="00683FD0" w:rsidRPr="00D934A8">
          <w:rPr>
            <w:rStyle w:val="Hyperlink"/>
            <w:rFonts w:hint="eastAsia"/>
            <w:noProof/>
            <w:rtl/>
          </w:rPr>
          <w:t>الموارد</w:t>
        </w:r>
        <w:r w:rsidR="00683FD0" w:rsidRPr="00D934A8">
          <w:rPr>
            <w:rStyle w:val="Hyperlink"/>
            <w:noProof/>
            <w:rtl/>
          </w:rPr>
          <w:t xml:space="preserve"> </w:t>
        </w:r>
        <w:r w:rsidR="00683FD0" w:rsidRPr="00D934A8">
          <w:rPr>
            <w:rStyle w:val="Hyperlink"/>
            <w:rFonts w:hint="eastAsia"/>
            <w:noProof/>
            <w:rtl/>
          </w:rPr>
          <w:t>الجينية</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289</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2" w:history="1">
        <w:r w:rsidR="00683FD0" w:rsidRPr="00D934A8">
          <w:rPr>
            <w:rStyle w:val="Hyperlink"/>
            <w:rFonts w:hint="eastAsia"/>
            <w:noProof/>
            <w:rtl/>
          </w:rPr>
          <w:t>البند</w:t>
        </w:r>
        <w:r w:rsidR="00683FD0" w:rsidRPr="00D934A8">
          <w:rPr>
            <w:rStyle w:val="Hyperlink"/>
            <w:noProof/>
            <w:rtl/>
          </w:rPr>
          <w:t xml:space="preserve"> 19 -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المادة</w:t>
        </w:r>
        <w:r w:rsidR="00683FD0" w:rsidRPr="00D934A8">
          <w:rPr>
            <w:rStyle w:val="Hyperlink"/>
            <w:noProof/>
            <w:rtl/>
          </w:rPr>
          <w:t xml:space="preserve"> 8(</w:t>
        </w:r>
        <w:r w:rsidR="00683FD0" w:rsidRPr="00D934A8">
          <w:rPr>
            <w:rStyle w:val="Hyperlink"/>
            <w:rFonts w:hint="eastAsia"/>
            <w:noProof/>
            <w:rtl/>
          </w:rPr>
          <w:t>ي</w:t>
        </w:r>
        <w:r w:rsidR="00683FD0" w:rsidRPr="00D934A8">
          <w:rPr>
            <w:rStyle w:val="Hyperlink"/>
            <w:noProof/>
            <w:rtl/>
          </w:rPr>
          <w:t xml:space="preserve">) </w:t>
        </w:r>
        <w:r w:rsidR="00683FD0" w:rsidRPr="00D934A8">
          <w:rPr>
            <w:rStyle w:val="Hyperlink"/>
            <w:rFonts w:hint="eastAsia"/>
            <w:noProof/>
            <w:rtl/>
          </w:rPr>
          <w:t>والأحكام</w:t>
        </w:r>
        <w:r w:rsidR="00683FD0" w:rsidRPr="00D934A8">
          <w:rPr>
            <w:rStyle w:val="Hyperlink"/>
            <w:noProof/>
            <w:rtl/>
          </w:rPr>
          <w:t xml:space="preserve"> </w:t>
        </w:r>
        <w:r w:rsidR="00683FD0" w:rsidRPr="00D934A8">
          <w:rPr>
            <w:rStyle w:val="Hyperlink"/>
            <w:rFonts w:hint="eastAsia"/>
            <w:noProof/>
            <w:rtl/>
          </w:rPr>
          <w:t>المتصلة</w:t>
        </w:r>
        <w:r w:rsidR="00683FD0" w:rsidRPr="00D934A8">
          <w:rPr>
            <w:rStyle w:val="Hyperlink"/>
            <w:noProof/>
            <w:rtl/>
          </w:rPr>
          <w:t xml:space="preserve"> </w:t>
        </w:r>
        <w:r w:rsidR="00683FD0" w:rsidRPr="00D934A8">
          <w:rPr>
            <w:rStyle w:val="Hyperlink"/>
            <w:rFonts w:hint="eastAsia"/>
            <w:noProof/>
            <w:rtl/>
          </w:rPr>
          <w:t>بها</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290</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3" w:history="1">
        <w:r w:rsidR="00683FD0" w:rsidRPr="00D934A8">
          <w:rPr>
            <w:rStyle w:val="Hyperlink"/>
            <w:rFonts w:hint="eastAsia"/>
            <w:noProof/>
            <w:rtl/>
          </w:rPr>
          <w:t>البند</w:t>
        </w:r>
        <w:r w:rsidR="00683FD0" w:rsidRPr="00D934A8">
          <w:rPr>
            <w:rStyle w:val="Hyperlink"/>
            <w:noProof/>
            <w:rtl/>
          </w:rPr>
          <w:t xml:space="preserve"> 20 -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الإدارة</w:t>
        </w:r>
        <w:r w:rsidR="00683FD0" w:rsidRPr="00D934A8">
          <w:rPr>
            <w:rStyle w:val="Hyperlink"/>
            <w:noProof/>
            <w:rtl/>
          </w:rPr>
          <w:t xml:space="preserve"> </w:t>
        </w:r>
        <w:r w:rsidR="00683FD0" w:rsidRPr="00D934A8">
          <w:rPr>
            <w:rStyle w:val="Hyperlink"/>
            <w:rFonts w:hint="eastAsia"/>
            <w:noProof/>
            <w:rtl/>
          </w:rPr>
          <w:t>المستدامة</w:t>
        </w:r>
        <w:r w:rsidR="00683FD0" w:rsidRPr="00D934A8">
          <w:rPr>
            <w:rStyle w:val="Hyperlink"/>
            <w:noProof/>
            <w:rtl/>
          </w:rPr>
          <w:t xml:space="preserve"> </w:t>
        </w:r>
        <w:r w:rsidR="00683FD0" w:rsidRPr="00D934A8">
          <w:rPr>
            <w:rStyle w:val="Hyperlink"/>
            <w:rFonts w:hint="eastAsia"/>
            <w:noProof/>
            <w:rtl/>
          </w:rPr>
          <w:t>للأحياء</w:t>
        </w:r>
        <w:r w:rsidR="00683FD0" w:rsidRPr="00D934A8">
          <w:rPr>
            <w:rStyle w:val="Hyperlink"/>
            <w:noProof/>
            <w:rtl/>
          </w:rPr>
          <w:t xml:space="preserve"> </w:t>
        </w:r>
        <w:r w:rsidR="00683FD0" w:rsidRPr="00D934A8">
          <w:rPr>
            <w:rStyle w:val="Hyperlink"/>
            <w:rFonts w:hint="eastAsia"/>
            <w:noProof/>
            <w:rtl/>
          </w:rPr>
          <w:t>البرية</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_Toc6140023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292</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4" w:history="1">
        <w:r w:rsidR="00683FD0" w:rsidRPr="00D934A8">
          <w:rPr>
            <w:rStyle w:val="Hyperlink"/>
            <w:rFonts w:hint="eastAsia"/>
            <w:noProof/>
            <w:rtl/>
          </w:rPr>
          <w:t>البند</w:t>
        </w:r>
        <w:r w:rsidR="00683FD0" w:rsidRPr="00D934A8">
          <w:rPr>
            <w:rStyle w:val="Hyperlink"/>
            <w:noProof/>
            <w:rtl/>
          </w:rPr>
          <w:t xml:space="preserve"> 21 -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وتغير</w:t>
        </w:r>
        <w:r w:rsidR="00683FD0" w:rsidRPr="00D934A8">
          <w:rPr>
            <w:rStyle w:val="Hyperlink"/>
            <w:noProof/>
            <w:rtl/>
          </w:rPr>
          <w:t xml:space="preserve"> </w:t>
        </w:r>
        <w:r w:rsidR="00683FD0" w:rsidRPr="00D934A8">
          <w:rPr>
            <w:rStyle w:val="Hyperlink"/>
            <w:rFonts w:hint="eastAsia"/>
            <w:noProof/>
            <w:rtl/>
          </w:rPr>
          <w:t>المناخ</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292</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5" w:history="1">
        <w:r w:rsidR="00683FD0" w:rsidRPr="00D934A8">
          <w:rPr>
            <w:rStyle w:val="Hyperlink"/>
            <w:rFonts w:hint="eastAsia"/>
            <w:noProof/>
            <w:rtl/>
          </w:rPr>
          <w:t>البند</w:t>
        </w:r>
        <w:r w:rsidR="00683FD0" w:rsidRPr="00D934A8">
          <w:rPr>
            <w:rStyle w:val="Hyperlink"/>
            <w:noProof/>
            <w:rtl/>
          </w:rPr>
          <w:t xml:space="preserve"> 22 -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تعميم</w:t>
        </w:r>
        <w:r w:rsidR="00683FD0" w:rsidRPr="00D934A8">
          <w:rPr>
            <w:rStyle w:val="Hyperlink"/>
            <w:noProof/>
            <w:rtl/>
          </w:rPr>
          <w:t xml:space="preserve"> </w:t>
        </w:r>
        <w:r w:rsidR="00683FD0" w:rsidRPr="00D934A8">
          <w:rPr>
            <w:rStyle w:val="Hyperlink"/>
            <w:rFonts w:hint="eastAsia"/>
            <w:noProof/>
            <w:rtl/>
          </w:rPr>
          <w:t>التنوع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داخل</w:t>
        </w:r>
        <w:r w:rsidR="00683FD0" w:rsidRPr="00D934A8">
          <w:rPr>
            <w:rStyle w:val="Hyperlink"/>
            <w:noProof/>
            <w:rtl/>
          </w:rPr>
          <w:t xml:space="preserve"> </w:t>
        </w:r>
        <w:r w:rsidR="00683FD0" w:rsidRPr="00D934A8">
          <w:rPr>
            <w:rStyle w:val="Hyperlink"/>
            <w:rFonts w:hint="eastAsia"/>
            <w:noProof/>
            <w:rtl/>
          </w:rPr>
          <w:t>القطاعات</w:t>
        </w:r>
        <w:r w:rsidR="00683FD0" w:rsidRPr="00D934A8">
          <w:rPr>
            <w:rStyle w:val="Hyperlink"/>
            <w:noProof/>
            <w:rtl/>
          </w:rPr>
          <w:t xml:space="preserve"> </w:t>
        </w:r>
        <w:r w:rsidR="00683FD0" w:rsidRPr="00D934A8">
          <w:rPr>
            <w:rStyle w:val="Hyperlink"/>
            <w:rFonts w:hint="eastAsia"/>
            <w:noProof/>
            <w:rtl/>
          </w:rPr>
          <w:t>وعبرها</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_Toc6140025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294</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6" w:history="1">
        <w:r w:rsidR="00683FD0" w:rsidRPr="00D934A8">
          <w:rPr>
            <w:rStyle w:val="Hyperlink"/>
            <w:rFonts w:hint="eastAsia"/>
            <w:noProof/>
            <w:rtl/>
          </w:rPr>
          <w:t>البند</w:t>
        </w:r>
        <w:r w:rsidR="00683FD0" w:rsidRPr="00D934A8">
          <w:rPr>
            <w:rStyle w:val="Hyperlink"/>
            <w:noProof/>
            <w:rtl/>
          </w:rPr>
          <w:t xml:space="preserve"> 23 -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حفظ</w:t>
        </w:r>
        <w:r w:rsidR="00683FD0" w:rsidRPr="00D934A8">
          <w:rPr>
            <w:rStyle w:val="Hyperlink"/>
            <w:noProof/>
            <w:rtl/>
          </w:rPr>
          <w:t xml:space="preserve"> </w:t>
        </w:r>
        <w:r w:rsidR="00683FD0" w:rsidRPr="00D934A8">
          <w:rPr>
            <w:rStyle w:val="Hyperlink"/>
            <w:rFonts w:hint="eastAsia"/>
            <w:noProof/>
            <w:rtl/>
          </w:rPr>
          <w:t>الملقحات</w:t>
        </w:r>
        <w:r w:rsidR="00683FD0" w:rsidRPr="00D934A8">
          <w:rPr>
            <w:rStyle w:val="Hyperlink"/>
            <w:noProof/>
            <w:rtl/>
          </w:rPr>
          <w:t xml:space="preserve"> </w:t>
        </w:r>
        <w:r w:rsidR="00683FD0" w:rsidRPr="00D934A8">
          <w:rPr>
            <w:rStyle w:val="Hyperlink"/>
            <w:rFonts w:hint="eastAsia"/>
            <w:noProof/>
            <w:rtl/>
          </w:rPr>
          <w:t>واستخدامها</w:t>
        </w:r>
        <w:r w:rsidR="00683FD0" w:rsidRPr="00D934A8">
          <w:rPr>
            <w:rStyle w:val="Hyperlink"/>
            <w:noProof/>
            <w:rtl/>
          </w:rPr>
          <w:t xml:space="preserve"> </w:t>
        </w:r>
        <w:r w:rsidR="00683FD0" w:rsidRPr="00D934A8">
          <w:rPr>
            <w:rStyle w:val="Hyperlink"/>
            <w:rFonts w:hint="eastAsia"/>
            <w:noProof/>
            <w:rtl/>
          </w:rPr>
          <w:t>المستدام</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_Toc6140026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295</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7" w:history="1">
        <w:r w:rsidR="00683FD0" w:rsidRPr="00D934A8">
          <w:rPr>
            <w:rStyle w:val="Hyperlink"/>
            <w:rFonts w:hint="eastAsia"/>
            <w:noProof/>
            <w:rtl/>
          </w:rPr>
          <w:t>البند</w:t>
        </w:r>
        <w:r w:rsidR="00683FD0" w:rsidRPr="00D934A8">
          <w:rPr>
            <w:rStyle w:val="Hyperlink"/>
            <w:noProof/>
            <w:rtl/>
          </w:rPr>
          <w:t xml:space="preserve"> 24 -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التخطيط</w:t>
        </w:r>
        <w:r w:rsidR="00683FD0" w:rsidRPr="00D934A8">
          <w:rPr>
            <w:rStyle w:val="Hyperlink"/>
            <w:noProof/>
            <w:rtl/>
          </w:rPr>
          <w:t xml:space="preserve"> </w:t>
        </w:r>
        <w:r w:rsidR="00683FD0" w:rsidRPr="00D934A8">
          <w:rPr>
            <w:rStyle w:val="Hyperlink"/>
            <w:rFonts w:hint="eastAsia"/>
            <w:noProof/>
            <w:rtl/>
          </w:rPr>
          <w:t>المكاني،</w:t>
        </w:r>
        <w:r w:rsidR="00683FD0" w:rsidRPr="00D934A8">
          <w:rPr>
            <w:rStyle w:val="Hyperlink"/>
            <w:noProof/>
            <w:rtl/>
          </w:rPr>
          <w:t xml:space="preserve"> </w:t>
        </w:r>
        <w:r w:rsidR="00683FD0" w:rsidRPr="00D934A8">
          <w:rPr>
            <w:rStyle w:val="Hyperlink"/>
            <w:rFonts w:hint="eastAsia"/>
            <w:noProof/>
            <w:rtl/>
          </w:rPr>
          <w:t>والمناطق</w:t>
        </w:r>
        <w:r w:rsidR="00683FD0" w:rsidRPr="00D934A8">
          <w:rPr>
            <w:rStyle w:val="Hyperlink"/>
            <w:noProof/>
            <w:rtl/>
          </w:rPr>
          <w:t xml:space="preserve"> </w:t>
        </w:r>
        <w:r w:rsidR="00683FD0" w:rsidRPr="00D934A8">
          <w:rPr>
            <w:rStyle w:val="Hyperlink"/>
            <w:rFonts w:hint="eastAsia"/>
            <w:noProof/>
            <w:rtl/>
          </w:rPr>
          <w:t>المحمية</w:t>
        </w:r>
        <w:r w:rsidR="00683FD0" w:rsidRPr="00D934A8">
          <w:rPr>
            <w:rStyle w:val="Hyperlink"/>
            <w:noProof/>
            <w:rtl/>
          </w:rPr>
          <w:t xml:space="preserve"> </w:t>
        </w:r>
        <w:r w:rsidR="00683FD0" w:rsidRPr="00D934A8">
          <w:rPr>
            <w:rStyle w:val="Hyperlink"/>
            <w:rFonts w:hint="eastAsia"/>
            <w:noProof/>
            <w:rtl/>
          </w:rPr>
          <w:t>وتدابير</w:t>
        </w:r>
        <w:r w:rsidR="00683FD0" w:rsidRPr="00D934A8">
          <w:rPr>
            <w:rStyle w:val="Hyperlink"/>
            <w:noProof/>
            <w:rtl/>
          </w:rPr>
          <w:t xml:space="preserve"> </w:t>
        </w:r>
        <w:r w:rsidR="00683FD0" w:rsidRPr="00D934A8">
          <w:rPr>
            <w:rStyle w:val="Hyperlink"/>
            <w:rFonts w:hint="eastAsia"/>
            <w:noProof/>
            <w:rtl/>
          </w:rPr>
          <w:t>الحفظ</w:t>
        </w:r>
        <w:r w:rsidR="00683FD0" w:rsidRPr="00D934A8">
          <w:rPr>
            <w:rStyle w:val="Hyperlink"/>
            <w:noProof/>
            <w:rtl/>
          </w:rPr>
          <w:t xml:space="preserve"> </w:t>
        </w:r>
        <w:r w:rsidR="00683FD0" w:rsidRPr="00D934A8">
          <w:rPr>
            <w:rStyle w:val="Hyperlink"/>
            <w:rFonts w:hint="eastAsia"/>
            <w:noProof/>
            <w:rtl/>
          </w:rPr>
          <w:t>الفعالة</w:t>
        </w:r>
        <w:r w:rsidR="00683FD0" w:rsidRPr="00D934A8">
          <w:rPr>
            <w:rStyle w:val="Hyperlink"/>
            <w:noProof/>
            <w:rtl/>
          </w:rPr>
          <w:t xml:space="preserve"> </w:t>
        </w:r>
        <w:r w:rsidR="00683FD0" w:rsidRPr="00D934A8">
          <w:rPr>
            <w:rStyle w:val="Hyperlink"/>
            <w:rFonts w:hint="eastAsia"/>
            <w:noProof/>
            <w:rtl/>
          </w:rPr>
          <w:t>الأخرى</w:t>
        </w:r>
        <w:r w:rsidR="00683FD0" w:rsidRPr="00D934A8">
          <w:rPr>
            <w:rStyle w:val="Hyperlink"/>
            <w:noProof/>
            <w:rtl/>
          </w:rPr>
          <w:t xml:space="preserve"> </w:t>
        </w:r>
        <w:r w:rsidR="00683FD0" w:rsidRPr="00D934A8">
          <w:rPr>
            <w:rStyle w:val="Hyperlink"/>
            <w:rFonts w:hint="eastAsia"/>
            <w:noProof/>
            <w:rtl/>
          </w:rPr>
          <w:t>القائمة</w:t>
        </w:r>
        <w:r w:rsidR="00683FD0" w:rsidRPr="00D934A8">
          <w:rPr>
            <w:rStyle w:val="Hyperlink"/>
            <w:noProof/>
            <w:rtl/>
          </w:rPr>
          <w:t xml:space="preserve"> </w:t>
        </w:r>
        <w:r w:rsidR="00683FD0" w:rsidRPr="00D934A8">
          <w:rPr>
            <w:rStyle w:val="Hyperlink"/>
            <w:rFonts w:hint="eastAsia"/>
            <w:noProof/>
            <w:rtl/>
          </w:rPr>
          <w:t>على</w:t>
        </w:r>
        <w:r w:rsidR="00683FD0" w:rsidRPr="00D934A8">
          <w:rPr>
            <w:rStyle w:val="Hyperlink"/>
            <w:noProof/>
            <w:rtl/>
          </w:rPr>
          <w:t xml:space="preserve"> </w:t>
        </w:r>
        <w:r w:rsidR="00683FD0" w:rsidRPr="00D934A8">
          <w:rPr>
            <w:rStyle w:val="Hyperlink"/>
            <w:rFonts w:hint="eastAsia"/>
            <w:noProof/>
            <w:rtl/>
          </w:rPr>
          <w:t>أساس</w:t>
        </w:r>
        <w:r w:rsidR="00683FD0" w:rsidRPr="00D934A8">
          <w:rPr>
            <w:rStyle w:val="Hyperlink"/>
            <w:noProof/>
            <w:rtl/>
          </w:rPr>
          <w:t xml:space="preserve"> </w:t>
        </w:r>
        <w:r w:rsidR="00683FD0" w:rsidRPr="00D934A8">
          <w:rPr>
            <w:rStyle w:val="Hyperlink"/>
            <w:rFonts w:hint="eastAsia"/>
            <w:noProof/>
            <w:rtl/>
          </w:rPr>
          <w:t>المناطق</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_Toc6140027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297</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8" w:history="1">
        <w:r w:rsidR="00683FD0" w:rsidRPr="00D934A8">
          <w:rPr>
            <w:rStyle w:val="Hyperlink"/>
            <w:rFonts w:hint="eastAsia"/>
            <w:noProof/>
            <w:rtl/>
          </w:rPr>
          <w:t>البند</w:t>
        </w:r>
        <w:r w:rsidR="00683FD0" w:rsidRPr="00D934A8">
          <w:rPr>
            <w:rStyle w:val="Hyperlink"/>
            <w:noProof/>
            <w:rtl/>
          </w:rPr>
          <w:t xml:space="preserve"> 25 -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التنوع</w:t>
        </w:r>
        <w:r w:rsidR="00683FD0" w:rsidRPr="00D934A8">
          <w:rPr>
            <w:rStyle w:val="Hyperlink"/>
            <w:noProof/>
            <w:rtl/>
          </w:rPr>
          <w:t xml:space="preserve"> </w:t>
        </w:r>
        <w:r w:rsidR="00683FD0" w:rsidRPr="00D934A8">
          <w:rPr>
            <w:rStyle w:val="Hyperlink"/>
            <w:rFonts w:hint="eastAsia"/>
            <w:noProof/>
            <w:rtl/>
          </w:rPr>
          <w:t>البيولوجي</w:t>
        </w:r>
        <w:r w:rsidR="00683FD0" w:rsidRPr="00D934A8">
          <w:rPr>
            <w:rStyle w:val="Hyperlink"/>
            <w:noProof/>
            <w:rtl/>
          </w:rPr>
          <w:t xml:space="preserve"> </w:t>
        </w:r>
        <w:r w:rsidR="00683FD0" w:rsidRPr="00D934A8">
          <w:rPr>
            <w:rStyle w:val="Hyperlink"/>
            <w:rFonts w:hint="eastAsia"/>
            <w:noProof/>
            <w:rtl/>
          </w:rPr>
          <w:t>البحري</w:t>
        </w:r>
        <w:r w:rsidR="00683FD0" w:rsidRPr="00D934A8">
          <w:rPr>
            <w:rStyle w:val="Hyperlink"/>
            <w:noProof/>
            <w:rtl/>
          </w:rPr>
          <w:t xml:space="preserve"> </w:t>
        </w:r>
        <w:r w:rsidR="00683FD0" w:rsidRPr="00D934A8">
          <w:rPr>
            <w:rStyle w:val="Hyperlink"/>
            <w:rFonts w:hint="eastAsia"/>
            <w:noProof/>
            <w:rtl/>
          </w:rPr>
          <w:t>والساحلي</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297</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29" w:history="1">
        <w:r w:rsidR="00683FD0" w:rsidRPr="00D934A8">
          <w:rPr>
            <w:rStyle w:val="Hyperlink"/>
            <w:rFonts w:hint="eastAsia"/>
            <w:noProof/>
            <w:rtl/>
          </w:rPr>
          <w:t>البند</w:t>
        </w:r>
        <w:r w:rsidR="00683FD0" w:rsidRPr="00D934A8">
          <w:rPr>
            <w:rStyle w:val="Hyperlink"/>
            <w:noProof/>
            <w:rtl/>
          </w:rPr>
          <w:t xml:space="preserve"> 26 -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الأنواع</w:t>
        </w:r>
        <w:r w:rsidR="00683FD0" w:rsidRPr="00D934A8">
          <w:rPr>
            <w:rStyle w:val="Hyperlink"/>
            <w:noProof/>
            <w:rtl/>
          </w:rPr>
          <w:t xml:space="preserve"> </w:t>
        </w:r>
        <w:r w:rsidR="00683FD0" w:rsidRPr="00D934A8">
          <w:rPr>
            <w:rStyle w:val="Hyperlink"/>
            <w:rFonts w:hint="eastAsia"/>
            <w:noProof/>
            <w:rtl/>
          </w:rPr>
          <w:t>الغريبة</w:t>
        </w:r>
        <w:r w:rsidR="00683FD0" w:rsidRPr="00D934A8">
          <w:rPr>
            <w:rStyle w:val="Hyperlink"/>
            <w:noProof/>
            <w:rtl/>
          </w:rPr>
          <w:t xml:space="preserve"> </w:t>
        </w:r>
        <w:r w:rsidR="00683FD0" w:rsidRPr="00D934A8">
          <w:rPr>
            <w:rStyle w:val="Hyperlink"/>
            <w:rFonts w:hint="eastAsia"/>
            <w:noProof/>
            <w:rtl/>
          </w:rPr>
          <w:t>الغازية</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_Toc6140029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300</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rtl/>
        </w:rPr>
      </w:pPr>
      <w:hyperlink w:anchor="_Toc6140030" w:history="1">
        <w:r w:rsidR="00683FD0" w:rsidRPr="00D934A8">
          <w:rPr>
            <w:rStyle w:val="Hyperlink"/>
            <w:rFonts w:hint="eastAsia"/>
            <w:noProof/>
            <w:rtl/>
          </w:rPr>
          <w:t>البند</w:t>
        </w:r>
        <w:r w:rsidR="00683FD0" w:rsidRPr="00D934A8">
          <w:rPr>
            <w:rStyle w:val="Hyperlink"/>
            <w:noProof/>
            <w:rtl/>
          </w:rPr>
          <w:t xml:space="preserve"> 27 -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البيولوجيا</w:t>
        </w:r>
        <w:r w:rsidR="00683FD0" w:rsidRPr="00D934A8">
          <w:rPr>
            <w:rStyle w:val="Hyperlink"/>
            <w:noProof/>
            <w:rtl/>
          </w:rPr>
          <w:t xml:space="preserve"> </w:t>
        </w:r>
        <w:r w:rsidR="00683FD0" w:rsidRPr="00D934A8">
          <w:rPr>
            <w:rStyle w:val="Hyperlink"/>
            <w:rFonts w:hint="eastAsia"/>
            <w:noProof/>
            <w:rtl/>
          </w:rPr>
          <w:t>التركيبية</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_Toc6140030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301</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31" w:history="1">
        <w:r w:rsidR="00683FD0" w:rsidRPr="00D934A8">
          <w:rPr>
            <w:rStyle w:val="Hyperlink"/>
            <w:rFonts w:hint="eastAsia"/>
            <w:noProof/>
            <w:rtl/>
          </w:rPr>
          <w:t>البند</w:t>
        </w:r>
        <w:r w:rsidR="00683FD0" w:rsidRPr="00D934A8">
          <w:rPr>
            <w:rStyle w:val="Hyperlink"/>
            <w:noProof/>
            <w:rtl/>
          </w:rPr>
          <w:t xml:space="preserve"> 28 -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المسؤولية</w:t>
        </w:r>
        <w:r w:rsidR="00683FD0" w:rsidRPr="00D934A8">
          <w:rPr>
            <w:rStyle w:val="Hyperlink"/>
            <w:noProof/>
            <w:rtl/>
          </w:rPr>
          <w:t xml:space="preserve"> </w:t>
        </w:r>
        <w:r w:rsidR="00683FD0" w:rsidRPr="00D934A8">
          <w:rPr>
            <w:rStyle w:val="Hyperlink"/>
            <w:rFonts w:hint="eastAsia"/>
            <w:noProof/>
            <w:rtl/>
          </w:rPr>
          <w:t>والجبر</w:t>
        </w:r>
        <w:r w:rsidR="00683FD0" w:rsidRPr="00D934A8">
          <w:rPr>
            <w:rStyle w:val="Hyperlink"/>
            <w:noProof/>
            <w:rtl/>
          </w:rPr>
          <w:t xml:space="preserve"> </w:t>
        </w:r>
        <w:r w:rsidR="00683FD0" w:rsidRPr="00D934A8">
          <w:rPr>
            <w:rStyle w:val="Hyperlink"/>
            <w:rFonts w:hint="eastAsia"/>
            <w:noProof/>
            <w:rtl/>
          </w:rPr>
          <w:t>التعويضي</w:t>
        </w:r>
        <w:r w:rsidR="00683FD0" w:rsidRPr="00D934A8">
          <w:rPr>
            <w:rStyle w:val="Hyperlink"/>
            <w:noProof/>
            <w:rtl/>
          </w:rPr>
          <w:t xml:space="preserve"> (</w:t>
        </w:r>
        <w:r w:rsidR="00683FD0" w:rsidRPr="00D934A8">
          <w:rPr>
            <w:rStyle w:val="Hyperlink"/>
            <w:rFonts w:hint="eastAsia"/>
            <w:noProof/>
            <w:rtl/>
          </w:rPr>
          <w:t>المادة</w:t>
        </w:r>
        <w:r w:rsidR="00683FD0" w:rsidRPr="00D934A8">
          <w:rPr>
            <w:rStyle w:val="Hyperlink"/>
            <w:noProof/>
            <w:rtl/>
          </w:rPr>
          <w:t xml:space="preserve"> 14</w:t>
        </w:r>
        <w:r w:rsidR="00683FD0" w:rsidRPr="00D934A8">
          <w:rPr>
            <w:rStyle w:val="Hyperlink"/>
            <w:rFonts w:hint="eastAsia"/>
            <w:noProof/>
            <w:rtl/>
          </w:rPr>
          <w:t>،</w:t>
        </w:r>
        <w:r w:rsidR="00683FD0" w:rsidRPr="00D934A8">
          <w:rPr>
            <w:rStyle w:val="Hyperlink"/>
            <w:noProof/>
            <w:rtl/>
          </w:rPr>
          <w:t xml:space="preserve"> </w:t>
        </w:r>
        <w:r w:rsidR="00683FD0" w:rsidRPr="00D934A8">
          <w:rPr>
            <w:rStyle w:val="Hyperlink"/>
            <w:rFonts w:hint="eastAsia"/>
            <w:noProof/>
            <w:rtl/>
          </w:rPr>
          <w:t>الفقرة</w:t>
        </w:r>
        <w:r w:rsidR="00683FD0" w:rsidRPr="00D934A8">
          <w:rPr>
            <w:rStyle w:val="Hyperlink"/>
            <w:noProof/>
            <w:rtl/>
          </w:rPr>
          <w:t xml:space="preserve"> 2)</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_Toc6140031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302</w:t>
        </w:r>
        <w:r w:rsidRPr="009E0EBA">
          <w:rPr>
            <w:rStyle w:val="Hyperlink"/>
            <w:rFonts w:cs="Times New Roman"/>
            <w:noProof/>
            <w:szCs w:val="22"/>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32" w:history="1">
        <w:r w:rsidR="00683FD0" w:rsidRPr="00D934A8">
          <w:rPr>
            <w:rStyle w:val="Hyperlink"/>
            <w:rFonts w:hint="eastAsia"/>
            <w:noProof/>
            <w:rtl/>
          </w:rPr>
          <w:t>البند</w:t>
        </w:r>
        <w:r w:rsidR="00683FD0" w:rsidRPr="00D934A8">
          <w:rPr>
            <w:rStyle w:val="Hyperlink"/>
            <w:noProof/>
            <w:rtl/>
          </w:rPr>
          <w:t xml:space="preserve"> 29 -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مسائل</w:t>
        </w:r>
        <w:r w:rsidR="00683FD0" w:rsidRPr="00D934A8">
          <w:rPr>
            <w:rStyle w:val="Hyperlink"/>
            <w:noProof/>
            <w:rtl/>
          </w:rPr>
          <w:t xml:space="preserve"> </w:t>
        </w:r>
        <w:r w:rsidR="00683FD0" w:rsidRPr="00D934A8">
          <w:rPr>
            <w:rStyle w:val="Hyperlink"/>
            <w:rFonts w:hint="eastAsia"/>
            <w:noProof/>
            <w:rtl/>
          </w:rPr>
          <w:t>أخرى</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_Toc6140032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303</w:t>
        </w:r>
        <w:r w:rsidRPr="009E0EBA">
          <w:rPr>
            <w:rStyle w:val="Hyperlink"/>
            <w:rFonts w:cs="Times New Roman"/>
            <w:noProof/>
            <w:szCs w:val="22"/>
          </w:rPr>
          <w:fldChar w:fldCharType="end"/>
        </w:r>
      </w:hyperlink>
    </w:p>
    <w:p w:rsidR="00683FD0" w:rsidRPr="00683FD0" w:rsidRDefault="007B18D9" w:rsidP="00E04F06">
      <w:pPr>
        <w:pStyle w:val="TOC3"/>
      </w:pPr>
      <w:hyperlink w:anchor="_Toc6140033" w:history="1">
        <w:r w:rsidR="00683FD0" w:rsidRPr="00683FD0">
          <w:rPr>
            <w:rStyle w:val="Hyperlink"/>
            <w:rFonts w:hint="eastAsia"/>
            <w:b w:val="0"/>
            <w:bCs w:val="0"/>
            <w:rtl/>
          </w:rPr>
          <w:t>البند</w:t>
        </w:r>
        <w:r w:rsidR="00683FD0" w:rsidRPr="00683FD0">
          <w:rPr>
            <w:rStyle w:val="Hyperlink"/>
            <w:b w:val="0"/>
            <w:bCs w:val="0"/>
            <w:rtl/>
          </w:rPr>
          <w:t xml:space="preserve"> 30 -</w:t>
        </w:r>
        <w:r w:rsidR="00683FD0" w:rsidRPr="00683FD0">
          <w:tab/>
        </w:r>
        <w:r w:rsidR="00683FD0" w:rsidRPr="00481CD4">
          <w:rPr>
            <w:rStyle w:val="Hyperlink"/>
            <w:rFonts w:hint="eastAsia"/>
            <w:b w:val="0"/>
            <w:bCs w:val="0"/>
            <w:sz w:val="24"/>
            <w:szCs w:val="24"/>
            <w:rtl/>
          </w:rPr>
          <w:t>اعتماد</w:t>
        </w:r>
        <w:r w:rsidR="00683FD0" w:rsidRPr="00481CD4">
          <w:rPr>
            <w:rStyle w:val="Hyperlink"/>
            <w:b w:val="0"/>
            <w:bCs w:val="0"/>
            <w:sz w:val="24"/>
            <w:szCs w:val="24"/>
            <w:rtl/>
          </w:rPr>
          <w:t xml:space="preserve"> </w:t>
        </w:r>
        <w:r w:rsidR="00683FD0" w:rsidRPr="00481CD4">
          <w:rPr>
            <w:rStyle w:val="Hyperlink"/>
            <w:rFonts w:hint="eastAsia"/>
            <w:b w:val="0"/>
            <w:bCs w:val="0"/>
            <w:sz w:val="24"/>
            <w:szCs w:val="24"/>
            <w:rtl/>
          </w:rPr>
          <w:t>التقرير</w:t>
        </w:r>
        <w:r w:rsidR="00E04F06" w:rsidRPr="009E0EBA">
          <w:rPr>
            <w:rStyle w:val="Hyperlink"/>
            <w:rFonts w:ascii="Times New Roman" w:hAnsi="Times New Roman" w:cs="Times New Roman"/>
            <w:b w:val="0"/>
            <w:bCs w:val="0"/>
            <w:u w:val="none"/>
            <w:rtl/>
          </w:rPr>
          <w:tab/>
        </w:r>
        <w:r w:rsidRPr="009E0EBA">
          <w:rPr>
            <w:rStyle w:val="Hyperlink"/>
            <w:rFonts w:ascii="Times New Roman" w:hAnsi="Times New Roman" w:cs="Times New Roman"/>
            <w:b w:val="0"/>
            <w:bCs w:val="0"/>
          </w:rPr>
          <w:fldChar w:fldCharType="begin"/>
        </w:r>
        <w:r w:rsidR="00683FD0" w:rsidRPr="009E0EBA">
          <w:rPr>
            <w:rFonts w:ascii="Times New Roman" w:hAnsi="Times New Roman" w:cs="Times New Roman"/>
            <w:b w:val="0"/>
            <w:bCs w:val="0"/>
            <w:webHidden/>
          </w:rPr>
          <w:instrText xml:space="preserve"> PAGEREF _Toc6140033 \h </w:instrText>
        </w:r>
        <w:r w:rsidRPr="009E0EBA">
          <w:rPr>
            <w:rStyle w:val="Hyperlink"/>
            <w:rFonts w:ascii="Times New Roman" w:hAnsi="Times New Roman" w:cs="Times New Roman"/>
            <w:b w:val="0"/>
            <w:bCs w:val="0"/>
          </w:rPr>
        </w:r>
        <w:r w:rsidRPr="009E0EBA">
          <w:rPr>
            <w:rStyle w:val="Hyperlink"/>
            <w:rFonts w:ascii="Times New Roman" w:hAnsi="Times New Roman" w:cs="Times New Roman"/>
            <w:b w:val="0"/>
            <w:bCs w:val="0"/>
          </w:rPr>
          <w:fldChar w:fldCharType="separate"/>
        </w:r>
        <w:r w:rsidR="005E46F0">
          <w:rPr>
            <w:rFonts w:ascii="Times New Roman" w:hAnsi="Times New Roman" w:cs="Times New Roman"/>
            <w:b w:val="0"/>
            <w:bCs w:val="0"/>
            <w:webHidden/>
          </w:rPr>
          <w:t>303</w:t>
        </w:r>
        <w:r w:rsidRPr="009E0EBA">
          <w:rPr>
            <w:rStyle w:val="Hyperlink"/>
            <w:rFonts w:ascii="Times New Roman" w:hAnsi="Times New Roman" w:cs="Times New Roman"/>
            <w:b w:val="0"/>
            <w:bCs w:val="0"/>
          </w:rPr>
          <w:fldChar w:fldCharType="end"/>
        </w:r>
      </w:hyperlink>
    </w:p>
    <w:p w:rsidR="00683FD0" w:rsidRDefault="007B18D9" w:rsidP="00E04F06">
      <w:pPr>
        <w:pStyle w:val="TOC2"/>
        <w:rPr>
          <w:rFonts w:asciiTheme="minorHAnsi" w:eastAsiaTheme="minorEastAsia" w:hAnsiTheme="minorHAnsi" w:cstheme="minorBidi"/>
          <w:noProof/>
          <w:kern w:val="0"/>
          <w:szCs w:val="22"/>
          <w:lang w:bidi="ar-SA"/>
        </w:rPr>
      </w:pPr>
      <w:hyperlink w:anchor="_Toc6140034" w:history="1">
        <w:r w:rsidR="00683FD0" w:rsidRPr="00D934A8">
          <w:rPr>
            <w:rStyle w:val="Hyperlink"/>
            <w:rFonts w:hint="eastAsia"/>
            <w:noProof/>
            <w:rtl/>
          </w:rPr>
          <w:t>البند</w:t>
        </w:r>
        <w:r w:rsidR="00683FD0" w:rsidRPr="00D934A8">
          <w:rPr>
            <w:rStyle w:val="Hyperlink"/>
            <w:noProof/>
            <w:rtl/>
          </w:rPr>
          <w:t xml:space="preserve"> 31 -</w:t>
        </w:r>
        <w:r w:rsidR="00683FD0">
          <w:rPr>
            <w:rFonts w:asciiTheme="minorHAnsi" w:eastAsiaTheme="minorEastAsia" w:hAnsiTheme="minorHAnsi" w:cstheme="minorBidi"/>
            <w:noProof/>
            <w:kern w:val="0"/>
            <w:szCs w:val="22"/>
            <w:lang w:bidi="ar-SA"/>
          </w:rPr>
          <w:tab/>
        </w:r>
        <w:r w:rsidR="00683FD0" w:rsidRPr="00D934A8">
          <w:rPr>
            <w:rStyle w:val="Hyperlink"/>
            <w:rFonts w:hint="eastAsia"/>
            <w:noProof/>
            <w:rtl/>
          </w:rPr>
          <w:t>اختتام</w:t>
        </w:r>
        <w:r w:rsidR="00683FD0" w:rsidRPr="00D934A8">
          <w:rPr>
            <w:rStyle w:val="Hyperlink"/>
            <w:noProof/>
            <w:rtl/>
          </w:rPr>
          <w:t xml:space="preserve"> </w:t>
        </w:r>
        <w:r w:rsidR="00683FD0" w:rsidRPr="00D934A8">
          <w:rPr>
            <w:rStyle w:val="Hyperlink"/>
            <w:rFonts w:hint="eastAsia"/>
            <w:noProof/>
            <w:rtl/>
          </w:rPr>
          <w:t>الاجتماع</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_Toc6140034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303</w:t>
        </w:r>
        <w:r w:rsidRPr="009E0EBA">
          <w:rPr>
            <w:rStyle w:val="Hyperlink"/>
            <w:rFonts w:cs="Times New Roman"/>
            <w:noProof/>
            <w:szCs w:val="22"/>
          </w:rPr>
          <w:fldChar w:fldCharType="end"/>
        </w:r>
      </w:hyperlink>
    </w:p>
    <w:p w:rsidR="00683FD0" w:rsidRPr="00683FD0" w:rsidRDefault="007B18D9" w:rsidP="00527267">
      <w:pPr>
        <w:pStyle w:val="TOC1"/>
        <w:tabs>
          <w:tab w:val="clear" w:pos="1080"/>
          <w:tab w:val="left" w:pos="1260"/>
        </w:tabs>
        <w:ind w:left="1260" w:hanging="1260"/>
      </w:pPr>
      <w:hyperlink w:anchor="_Toc6140035" w:history="1">
        <w:r w:rsidR="00683FD0" w:rsidRPr="00527267">
          <w:rPr>
            <w:rStyle w:val="Hyperlink"/>
            <w:rtl/>
          </w:rPr>
          <w:t>المرفق الأول</w:t>
        </w:r>
      </w:hyperlink>
      <w:r w:rsidR="00E04F06" w:rsidRPr="00E04F06">
        <w:rPr>
          <w:rStyle w:val="Hyperlink"/>
          <w:u w:val="none"/>
        </w:rPr>
        <w:tab/>
      </w:r>
      <w:hyperlink w:anchor="_Toc6140036" w:history="1">
        <w:r w:rsidR="00683FD0" w:rsidRPr="00683FD0">
          <w:rPr>
            <w:rStyle w:val="Hyperlink"/>
            <w:u w:val="none"/>
            <w:rtl/>
          </w:rPr>
          <w:t>المنظمات الممثلة في الاجتماع الرابع عشر لمؤتمر الأطراف، والاجتماع التاسع لمؤتمر الأطراف العامل كاجتماع للأطراف في بروتوكول قرطاجنة للسلامة الأحيائية والاجتماع الثالث لمؤتمر الأطراف العامل كاجتماع للأطراف في بروتوكول ناغويا بشأن الحصول وتقاسم المنافع</w:t>
        </w:r>
        <w:r w:rsidR="00683FD0" w:rsidRPr="009E0EBA">
          <w:rPr>
            <w:rFonts w:ascii="Times New Roman" w:hAnsi="Times New Roman" w:cs="Times New Roman"/>
            <w:webHidden/>
            <w:sz w:val="22"/>
            <w:szCs w:val="22"/>
          </w:rPr>
          <w:tab/>
        </w:r>
        <w:r w:rsidRPr="00683FD0">
          <w:rPr>
            <w:rStyle w:val="Hyperlink"/>
            <w:rFonts w:ascii="Times New Roman" w:hAnsi="Times New Roman" w:cs="Times New Roman"/>
            <w:i/>
            <w:iCs/>
            <w:sz w:val="22"/>
            <w:szCs w:val="22"/>
          </w:rPr>
          <w:fldChar w:fldCharType="begin"/>
        </w:r>
        <w:r w:rsidR="00683FD0" w:rsidRPr="00683FD0">
          <w:rPr>
            <w:rFonts w:ascii="Times New Roman" w:hAnsi="Times New Roman" w:cs="Times New Roman"/>
            <w:webHidden/>
            <w:sz w:val="22"/>
            <w:szCs w:val="22"/>
          </w:rPr>
          <w:instrText xml:space="preserve"> PAGEREF _Toc6140036 \h </w:instrText>
        </w:r>
        <w:r w:rsidRPr="00683FD0">
          <w:rPr>
            <w:rStyle w:val="Hyperlink"/>
            <w:rFonts w:ascii="Times New Roman" w:hAnsi="Times New Roman" w:cs="Times New Roman"/>
            <w:i/>
            <w:iCs/>
            <w:sz w:val="22"/>
            <w:szCs w:val="22"/>
          </w:rPr>
        </w:r>
        <w:r w:rsidRPr="00683FD0">
          <w:rPr>
            <w:rStyle w:val="Hyperlink"/>
            <w:rFonts w:ascii="Times New Roman" w:hAnsi="Times New Roman" w:cs="Times New Roman"/>
            <w:i/>
            <w:iCs/>
            <w:sz w:val="22"/>
            <w:szCs w:val="22"/>
          </w:rPr>
          <w:fldChar w:fldCharType="separate"/>
        </w:r>
        <w:r w:rsidR="005E46F0">
          <w:rPr>
            <w:rFonts w:ascii="Times New Roman" w:hAnsi="Times New Roman" w:cs="Times New Roman"/>
            <w:webHidden/>
            <w:sz w:val="22"/>
            <w:szCs w:val="22"/>
          </w:rPr>
          <w:t>304</w:t>
        </w:r>
        <w:r w:rsidRPr="00683FD0">
          <w:rPr>
            <w:rStyle w:val="Hyperlink"/>
            <w:rFonts w:ascii="Times New Roman" w:hAnsi="Times New Roman" w:cs="Times New Roman"/>
            <w:i/>
            <w:iCs/>
            <w:sz w:val="22"/>
            <w:szCs w:val="22"/>
          </w:rPr>
          <w:fldChar w:fldCharType="end"/>
        </w:r>
      </w:hyperlink>
    </w:p>
    <w:p w:rsidR="00683FD0" w:rsidRDefault="007B18D9" w:rsidP="00527267">
      <w:pPr>
        <w:pStyle w:val="TOC2"/>
        <w:tabs>
          <w:tab w:val="clear" w:pos="1080"/>
          <w:tab w:val="left" w:pos="1260"/>
        </w:tabs>
        <w:ind w:left="1260" w:hanging="1260"/>
        <w:rPr>
          <w:rFonts w:asciiTheme="minorHAnsi" w:eastAsiaTheme="minorEastAsia" w:hAnsiTheme="minorHAnsi" w:cstheme="minorBidi"/>
          <w:noProof/>
          <w:kern w:val="0"/>
          <w:szCs w:val="22"/>
          <w:rtl/>
        </w:rPr>
      </w:pPr>
      <w:hyperlink w:anchor="_Toc6140037" w:history="1">
        <w:r w:rsidR="00683FD0" w:rsidRPr="00527267">
          <w:rPr>
            <w:rStyle w:val="Hyperlink"/>
            <w:rFonts w:hint="eastAsia"/>
            <w:noProof/>
            <w:rtl/>
          </w:rPr>
          <w:t>المرفق</w:t>
        </w:r>
        <w:r w:rsidR="00683FD0" w:rsidRPr="00527267">
          <w:rPr>
            <w:rStyle w:val="Hyperlink"/>
            <w:noProof/>
            <w:rtl/>
          </w:rPr>
          <w:t xml:space="preserve"> </w:t>
        </w:r>
        <w:r w:rsidR="00683FD0" w:rsidRPr="00527267">
          <w:rPr>
            <w:rStyle w:val="Hyperlink"/>
            <w:rFonts w:hint="eastAsia"/>
            <w:noProof/>
            <w:rtl/>
          </w:rPr>
          <w:t>الثاني</w:t>
        </w:r>
      </w:hyperlink>
      <w:r w:rsidR="00E04F06">
        <w:rPr>
          <w:rStyle w:val="Hyperlink"/>
          <w:rFonts w:hint="cs"/>
          <w:noProof/>
          <w:u w:val="none"/>
          <w:rtl/>
        </w:rPr>
        <w:tab/>
      </w:r>
      <w:hyperlink w:anchor="_Toc6140038" w:history="1">
        <w:r w:rsidR="00683FD0" w:rsidRPr="00D934A8">
          <w:rPr>
            <w:rStyle w:val="Hyperlink"/>
            <w:rFonts w:hint="eastAsia"/>
            <w:noProof/>
            <w:rtl/>
          </w:rPr>
          <w:t>البيانات</w:t>
        </w:r>
        <w:r w:rsidR="00683FD0" w:rsidRPr="00D934A8">
          <w:rPr>
            <w:rStyle w:val="Hyperlink"/>
            <w:noProof/>
            <w:rtl/>
          </w:rPr>
          <w:t xml:space="preserve"> </w:t>
        </w:r>
        <w:r w:rsidR="00683FD0" w:rsidRPr="00D934A8">
          <w:rPr>
            <w:rStyle w:val="Hyperlink"/>
            <w:rFonts w:hint="eastAsia"/>
            <w:noProof/>
            <w:rtl/>
          </w:rPr>
          <w:t>المدلى</w:t>
        </w:r>
        <w:r w:rsidR="00683FD0" w:rsidRPr="00D934A8">
          <w:rPr>
            <w:rStyle w:val="Hyperlink"/>
            <w:noProof/>
            <w:rtl/>
          </w:rPr>
          <w:t xml:space="preserve"> </w:t>
        </w:r>
        <w:r w:rsidR="00683FD0" w:rsidRPr="00D934A8">
          <w:rPr>
            <w:rStyle w:val="Hyperlink"/>
            <w:rFonts w:hint="eastAsia"/>
            <w:noProof/>
            <w:rtl/>
          </w:rPr>
          <w:t>بها</w:t>
        </w:r>
        <w:r w:rsidR="00683FD0" w:rsidRPr="00D934A8">
          <w:rPr>
            <w:rStyle w:val="Hyperlink"/>
            <w:noProof/>
            <w:rtl/>
          </w:rPr>
          <w:t xml:space="preserve"> </w:t>
        </w:r>
        <w:r w:rsidR="00683FD0" w:rsidRPr="00D934A8">
          <w:rPr>
            <w:rStyle w:val="Hyperlink"/>
            <w:rFonts w:hint="eastAsia"/>
            <w:noProof/>
            <w:rtl/>
          </w:rPr>
          <w:t>خلال</w:t>
        </w:r>
        <w:r w:rsidR="00683FD0" w:rsidRPr="00D934A8">
          <w:rPr>
            <w:rStyle w:val="Hyperlink"/>
            <w:noProof/>
            <w:rtl/>
          </w:rPr>
          <w:t xml:space="preserve"> </w:t>
        </w:r>
        <w:r w:rsidR="00683FD0" w:rsidRPr="00D934A8">
          <w:rPr>
            <w:rStyle w:val="Hyperlink"/>
            <w:rFonts w:hint="eastAsia"/>
            <w:noProof/>
            <w:rtl/>
          </w:rPr>
          <w:t>الاجتماع</w:t>
        </w:r>
        <w:r w:rsidR="00683FD0" w:rsidRPr="00D934A8">
          <w:rPr>
            <w:rStyle w:val="Hyperlink"/>
            <w:noProof/>
            <w:rtl/>
          </w:rPr>
          <w:t xml:space="preserve"> </w:t>
        </w:r>
        <w:r w:rsidR="00683FD0" w:rsidRPr="00D934A8">
          <w:rPr>
            <w:rStyle w:val="Hyperlink"/>
            <w:rFonts w:hint="eastAsia"/>
            <w:noProof/>
            <w:rtl/>
          </w:rPr>
          <w:t>الرابع</w:t>
        </w:r>
        <w:r w:rsidR="00683FD0" w:rsidRPr="00D934A8">
          <w:rPr>
            <w:rStyle w:val="Hyperlink"/>
            <w:noProof/>
            <w:rtl/>
          </w:rPr>
          <w:t xml:space="preserve"> </w:t>
        </w:r>
        <w:r w:rsidR="00683FD0" w:rsidRPr="00D934A8">
          <w:rPr>
            <w:rStyle w:val="Hyperlink"/>
            <w:rFonts w:hint="eastAsia"/>
            <w:noProof/>
            <w:rtl/>
          </w:rPr>
          <w:t>عشر</w:t>
        </w:r>
        <w:r w:rsidR="00683FD0" w:rsidRPr="00D934A8">
          <w:rPr>
            <w:rStyle w:val="Hyperlink"/>
            <w:noProof/>
            <w:rtl/>
          </w:rPr>
          <w:t xml:space="preserve"> </w:t>
        </w:r>
        <w:r w:rsidR="00683FD0" w:rsidRPr="00D934A8">
          <w:rPr>
            <w:rStyle w:val="Hyperlink"/>
            <w:rFonts w:hint="eastAsia"/>
            <w:noProof/>
            <w:rtl/>
          </w:rPr>
          <w:t>لمؤتمر</w:t>
        </w:r>
        <w:r w:rsidR="00683FD0" w:rsidRPr="00D934A8">
          <w:rPr>
            <w:rStyle w:val="Hyperlink"/>
            <w:noProof/>
            <w:rtl/>
          </w:rPr>
          <w:t xml:space="preserve"> </w:t>
        </w:r>
        <w:r w:rsidR="00683FD0" w:rsidRPr="00D934A8">
          <w:rPr>
            <w:rStyle w:val="Hyperlink"/>
            <w:rFonts w:hint="eastAsia"/>
            <w:noProof/>
            <w:rtl/>
          </w:rPr>
          <w:t>الأطراف</w:t>
        </w:r>
        <w:r w:rsidR="00683FD0" w:rsidRPr="00D934A8">
          <w:rPr>
            <w:rStyle w:val="Hyperlink"/>
            <w:noProof/>
            <w:rtl/>
          </w:rPr>
          <w:t xml:space="preserve">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اتفاقية</w:t>
        </w:r>
        <w:r w:rsidR="00683FD0" w:rsidRPr="00D934A8">
          <w:rPr>
            <w:rStyle w:val="Hyperlink"/>
            <w:noProof/>
            <w:rtl/>
          </w:rPr>
          <w:t xml:space="preserve"> </w:t>
        </w:r>
        <w:r w:rsidR="00683FD0" w:rsidRPr="00D934A8">
          <w:rPr>
            <w:rStyle w:val="Hyperlink"/>
            <w:rFonts w:hint="eastAsia"/>
            <w:noProof/>
            <w:rtl/>
          </w:rPr>
          <w:t>التنوع</w:t>
        </w:r>
        <w:r w:rsidR="00683FD0" w:rsidRPr="00D934A8">
          <w:rPr>
            <w:rStyle w:val="Hyperlink"/>
            <w:noProof/>
            <w:rtl/>
          </w:rPr>
          <w:t xml:space="preserve"> </w:t>
        </w:r>
        <w:r w:rsidR="00683FD0" w:rsidRPr="00D934A8">
          <w:rPr>
            <w:rStyle w:val="Hyperlink"/>
            <w:rFonts w:hint="eastAsia"/>
            <w:noProof/>
            <w:rtl/>
          </w:rPr>
          <w:t>البيولوجي</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_Toc6140038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310</w:t>
        </w:r>
        <w:r w:rsidRPr="009E0EBA">
          <w:rPr>
            <w:rStyle w:val="Hyperlink"/>
            <w:rFonts w:cs="Times New Roman"/>
            <w:noProof/>
            <w:szCs w:val="22"/>
          </w:rPr>
          <w:fldChar w:fldCharType="end"/>
        </w:r>
      </w:hyperlink>
    </w:p>
    <w:p w:rsidR="00683FD0" w:rsidRDefault="007B18D9" w:rsidP="00527267">
      <w:pPr>
        <w:pStyle w:val="TOC2"/>
        <w:tabs>
          <w:tab w:val="clear" w:pos="1080"/>
          <w:tab w:val="left" w:pos="1260"/>
        </w:tabs>
        <w:ind w:left="1260" w:hanging="1260"/>
        <w:rPr>
          <w:rFonts w:asciiTheme="minorHAnsi" w:eastAsiaTheme="minorEastAsia" w:hAnsiTheme="minorHAnsi" w:cstheme="minorBidi"/>
          <w:noProof/>
          <w:kern w:val="0"/>
          <w:szCs w:val="22"/>
          <w:lang w:bidi="ar-SA"/>
        </w:rPr>
      </w:pPr>
      <w:hyperlink w:anchor="_Toc6140039" w:history="1">
        <w:r w:rsidR="00683FD0" w:rsidRPr="00527267">
          <w:rPr>
            <w:rStyle w:val="Hyperlink"/>
            <w:rFonts w:hint="eastAsia"/>
            <w:noProof/>
            <w:rtl/>
          </w:rPr>
          <w:t>المرفق</w:t>
        </w:r>
        <w:r w:rsidR="00683FD0" w:rsidRPr="00527267">
          <w:rPr>
            <w:rStyle w:val="Hyperlink"/>
            <w:noProof/>
            <w:rtl/>
          </w:rPr>
          <w:t xml:space="preserve"> </w:t>
        </w:r>
        <w:r w:rsidR="00683FD0" w:rsidRPr="00527267">
          <w:rPr>
            <w:rStyle w:val="Hyperlink"/>
            <w:rFonts w:hint="eastAsia"/>
            <w:noProof/>
            <w:rtl/>
          </w:rPr>
          <w:t>الثالث</w:t>
        </w:r>
        <w:r w:rsidR="00683FD0">
          <w:rPr>
            <w:noProof/>
            <w:webHidden/>
          </w:rPr>
          <w:tab/>
        </w:r>
      </w:hyperlink>
      <w:hyperlink w:anchor="_Toc6140040" w:history="1">
        <w:r w:rsidR="00683FD0" w:rsidRPr="00D934A8">
          <w:rPr>
            <w:rStyle w:val="Hyperlink"/>
            <w:rFonts w:hint="eastAsia"/>
            <w:noProof/>
            <w:rtl/>
          </w:rPr>
          <w:t>حوار</w:t>
        </w:r>
        <w:r w:rsidR="00683FD0" w:rsidRPr="00D934A8">
          <w:rPr>
            <w:rStyle w:val="Hyperlink"/>
            <w:noProof/>
            <w:rtl/>
          </w:rPr>
          <w:t xml:space="preserve"> </w:t>
        </w:r>
        <w:r w:rsidR="00683FD0" w:rsidRPr="00D934A8">
          <w:rPr>
            <w:rStyle w:val="Hyperlink"/>
            <w:rFonts w:hint="eastAsia"/>
            <w:noProof/>
            <w:rtl/>
          </w:rPr>
          <w:t>تفاعلي</w:t>
        </w:r>
        <w:r w:rsidR="00683FD0" w:rsidRPr="00D934A8">
          <w:rPr>
            <w:rStyle w:val="Hyperlink"/>
            <w:noProof/>
            <w:rtl/>
          </w:rPr>
          <w:t xml:space="preserve"> </w:t>
        </w:r>
        <w:r w:rsidR="00683FD0" w:rsidRPr="00D934A8">
          <w:rPr>
            <w:rStyle w:val="Hyperlink"/>
            <w:rFonts w:hint="eastAsia"/>
            <w:noProof/>
            <w:rtl/>
          </w:rPr>
          <w:t>بشأن</w:t>
        </w:r>
        <w:r w:rsidR="00683FD0" w:rsidRPr="00D934A8">
          <w:rPr>
            <w:rStyle w:val="Hyperlink"/>
            <w:noProof/>
            <w:rtl/>
          </w:rPr>
          <w:t xml:space="preserve"> "</w:t>
        </w:r>
        <w:r w:rsidR="00683FD0" w:rsidRPr="00D934A8">
          <w:rPr>
            <w:rStyle w:val="Hyperlink"/>
            <w:rFonts w:hint="eastAsia"/>
            <w:noProof/>
            <w:rtl/>
          </w:rPr>
          <w:t>نُهج</w:t>
        </w:r>
        <w:r w:rsidR="00683FD0" w:rsidRPr="00D934A8">
          <w:rPr>
            <w:rStyle w:val="Hyperlink"/>
            <w:noProof/>
            <w:rtl/>
          </w:rPr>
          <w:t xml:space="preserve"> </w:t>
        </w:r>
        <w:r w:rsidR="00683FD0" w:rsidRPr="00D934A8">
          <w:rPr>
            <w:rStyle w:val="Hyperlink"/>
            <w:rFonts w:hint="eastAsia"/>
            <w:noProof/>
            <w:rtl/>
          </w:rPr>
          <w:t>الحياة</w:t>
        </w:r>
        <w:r w:rsidR="00683FD0" w:rsidRPr="00D934A8">
          <w:rPr>
            <w:rStyle w:val="Hyperlink"/>
            <w:noProof/>
            <w:rtl/>
          </w:rPr>
          <w:t xml:space="preserve"> </w:t>
        </w:r>
        <w:r w:rsidR="00683FD0" w:rsidRPr="00D934A8">
          <w:rPr>
            <w:rStyle w:val="Hyperlink"/>
            <w:rFonts w:hint="eastAsia"/>
            <w:noProof/>
            <w:rtl/>
          </w:rPr>
          <w:t>في</w:t>
        </w:r>
        <w:r w:rsidR="00683FD0" w:rsidRPr="00D934A8">
          <w:rPr>
            <w:rStyle w:val="Hyperlink"/>
            <w:noProof/>
            <w:rtl/>
          </w:rPr>
          <w:t xml:space="preserve"> </w:t>
        </w:r>
        <w:r w:rsidR="00683FD0" w:rsidRPr="00D934A8">
          <w:rPr>
            <w:rStyle w:val="Hyperlink"/>
            <w:rFonts w:hint="eastAsia"/>
            <w:noProof/>
            <w:rtl/>
          </w:rPr>
          <w:t>تناغم</w:t>
        </w:r>
        <w:r w:rsidR="00683FD0" w:rsidRPr="00D934A8">
          <w:rPr>
            <w:rStyle w:val="Hyperlink"/>
            <w:noProof/>
            <w:rtl/>
          </w:rPr>
          <w:t xml:space="preserve"> </w:t>
        </w:r>
        <w:r w:rsidR="00683FD0" w:rsidRPr="00D934A8">
          <w:rPr>
            <w:rStyle w:val="Hyperlink"/>
            <w:rFonts w:hint="eastAsia"/>
            <w:noProof/>
            <w:rtl/>
          </w:rPr>
          <w:t>مع</w:t>
        </w:r>
        <w:r w:rsidR="00683FD0" w:rsidRPr="00D934A8">
          <w:rPr>
            <w:rStyle w:val="Hyperlink"/>
            <w:noProof/>
            <w:rtl/>
          </w:rPr>
          <w:t xml:space="preserve"> </w:t>
        </w:r>
        <w:r w:rsidR="00683FD0" w:rsidRPr="00D934A8">
          <w:rPr>
            <w:rStyle w:val="Hyperlink"/>
            <w:rFonts w:hint="eastAsia"/>
            <w:noProof/>
            <w:rtl/>
          </w:rPr>
          <w:t>الطبيعة</w:t>
        </w:r>
        <w:r w:rsidR="00683FD0" w:rsidRPr="00D934A8">
          <w:rPr>
            <w:rStyle w:val="Hyperlink"/>
            <w:noProof/>
            <w:rtl/>
          </w:rPr>
          <w:t>"</w:t>
        </w:r>
        <w:r w:rsid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_Toc6140040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317</w:t>
        </w:r>
        <w:r w:rsidRPr="009E0EBA">
          <w:rPr>
            <w:rStyle w:val="Hyperlink"/>
            <w:rFonts w:cs="Times New Roman"/>
            <w:noProof/>
            <w:szCs w:val="22"/>
          </w:rPr>
          <w:fldChar w:fldCharType="end"/>
        </w:r>
      </w:hyperlink>
    </w:p>
    <w:p w:rsidR="00683FD0" w:rsidRDefault="007B18D9" w:rsidP="00527267">
      <w:pPr>
        <w:pStyle w:val="TOC2"/>
        <w:tabs>
          <w:tab w:val="clear" w:pos="1080"/>
          <w:tab w:val="left" w:pos="1260"/>
        </w:tabs>
        <w:ind w:left="1260" w:hanging="1260"/>
        <w:rPr>
          <w:rFonts w:asciiTheme="minorHAnsi" w:eastAsiaTheme="minorEastAsia" w:hAnsiTheme="minorHAnsi" w:cstheme="minorBidi"/>
          <w:noProof/>
          <w:kern w:val="0"/>
          <w:szCs w:val="22"/>
          <w:lang w:bidi="ar-SA"/>
        </w:rPr>
      </w:pPr>
      <w:hyperlink w:anchor="_Toc6140041" w:history="1">
        <w:r w:rsidR="00683FD0" w:rsidRPr="00527267">
          <w:rPr>
            <w:rStyle w:val="Hyperlink"/>
            <w:rFonts w:hint="eastAsia"/>
            <w:noProof/>
            <w:rtl/>
          </w:rPr>
          <w:t>المرفق</w:t>
        </w:r>
        <w:r w:rsidR="00683FD0" w:rsidRPr="00527267">
          <w:rPr>
            <w:rStyle w:val="Hyperlink"/>
            <w:noProof/>
            <w:rtl/>
          </w:rPr>
          <w:t xml:space="preserve"> </w:t>
        </w:r>
        <w:r w:rsidR="00683FD0" w:rsidRPr="00527267">
          <w:rPr>
            <w:rStyle w:val="Hyperlink"/>
            <w:rFonts w:hint="eastAsia"/>
            <w:noProof/>
            <w:rtl/>
          </w:rPr>
          <w:t>الرابع</w:t>
        </w:r>
        <w:r w:rsidR="00683FD0" w:rsidRPr="00527267">
          <w:rPr>
            <w:noProof/>
            <w:webHidden/>
          </w:rPr>
          <w:tab/>
        </w:r>
      </w:hyperlink>
      <w:hyperlink w:anchor="_Toc6140042" w:history="1">
        <w:r w:rsidR="00683FD0" w:rsidRPr="00683FD0">
          <w:rPr>
            <w:rStyle w:val="Hyperlink"/>
            <w:rFonts w:hint="eastAsia"/>
            <w:noProof/>
            <w:u w:val="none"/>
            <w:rtl/>
          </w:rPr>
          <w:t>الأحداث</w:t>
        </w:r>
        <w:r w:rsidR="00683FD0" w:rsidRPr="00683FD0">
          <w:rPr>
            <w:rStyle w:val="Hyperlink"/>
            <w:noProof/>
            <w:u w:val="none"/>
            <w:rtl/>
          </w:rPr>
          <w:t xml:space="preserve"> </w:t>
        </w:r>
        <w:r w:rsidR="00683FD0" w:rsidRPr="00683FD0">
          <w:rPr>
            <w:rStyle w:val="Hyperlink"/>
            <w:rFonts w:hint="eastAsia"/>
            <w:noProof/>
            <w:u w:val="none"/>
            <w:rtl/>
          </w:rPr>
          <w:t>الجانبية</w:t>
        </w:r>
        <w:r w:rsidR="00683FD0" w:rsidRPr="00683FD0">
          <w:rPr>
            <w:rStyle w:val="Hyperlink"/>
            <w:noProof/>
            <w:u w:val="none"/>
            <w:rtl/>
          </w:rPr>
          <w:t xml:space="preserve"> </w:t>
        </w:r>
        <w:r w:rsidR="00683FD0" w:rsidRPr="00683FD0">
          <w:rPr>
            <w:rStyle w:val="Hyperlink"/>
            <w:rFonts w:hint="eastAsia"/>
            <w:noProof/>
            <w:u w:val="none"/>
            <w:rtl/>
          </w:rPr>
          <w:t>والجوائز</w:t>
        </w:r>
        <w:r w:rsidR="00683FD0" w:rsidRPr="00683FD0">
          <w:rPr>
            <w:noProof/>
            <w:webHidden/>
          </w:rPr>
          <w:tab/>
        </w:r>
        <w:r w:rsidRPr="009E0EBA">
          <w:rPr>
            <w:rStyle w:val="Hyperlink"/>
            <w:rFonts w:cs="Times New Roman"/>
            <w:noProof/>
            <w:szCs w:val="22"/>
          </w:rPr>
          <w:fldChar w:fldCharType="begin"/>
        </w:r>
        <w:r w:rsidR="00683FD0" w:rsidRPr="009E0EBA">
          <w:rPr>
            <w:rFonts w:cs="Times New Roman"/>
            <w:noProof/>
            <w:webHidden/>
            <w:szCs w:val="22"/>
          </w:rPr>
          <w:instrText xml:space="preserve"> PAGEREF _Toc6140042 \h </w:instrText>
        </w:r>
        <w:r w:rsidRPr="009E0EBA">
          <w:rPr>
            <w:rStyle w:val="Hyperlink"/>
            <w:rFonts w:cs="Times New Roman"/>
            <w:noProof/>
            <w:szCs w:val="22"/>
          </w:rPr>
        </w:r>
        <w:r w:rsidRPr="009E0EBA">
          <w:rPr>
            <w:rStyle w:val="Hyperlink"/>
            <w:rFonts w:cs="Times New Roman"/>
            <w:noProof/>
            <w:szCs w:val="22"/>
          </w:rPr>
          <w:fldChar w:fldCharType="separate"/>
        </w:r>
        <w:r w:rsidR="005E46F0">
          <w:rPr>
            <w:rFonts w:cs="Times New Roman"/>
            <w:noProof/>
            <w:webHidden/>
            <w:szCs w:val="22"/>
          </w:rPr>
          <w:t>322</w:t>
        </w:r>
        <w:r w:rsidRPr="009E0EBA">
          <w:rPr>
            <w:rStyle w:val="Hyperlink"/>
            <w:rFonts w:cs="Times New Roman"/>
            <w:noProof/>
            <w:szCs w:val="22"/>
          </w:rPr>
          <w:fldChar w:fldCharType="end"/>
        </w:r>
      </w:hyperlink>
    </w:p>
    <w:p w:rsidR="0044570B" w:rsidRDefault="007B18D9" w:rsidP="00E04F06">
      <w:pPr>
        <w:tabs>
          <w:tab w:val="left" w:pos="1260"/>
          <w:tab w:val="left" w:pos="9000"/>
          <w:tab w:val="right" w:leader="dot" w:pos="9270"/>
        </w:tabs>
        <w:spacing w:after="0" w:line="240" w:lineRule="auto"/>
        <w:jc w:val="left"/>
        <w:rPr>
          <w:b/>
          <w:bCs/>
          <w:sz w:val="24"/>
        </w:rPr>
      </w:pPr>
      <w:r>
        <w:rPr>
          <w:rFonts w:ascii="Simplified Arabic" w:eastAsiaTheme="minorEastAsia" w:hAnsi="Simplified Arabic"/>
          <w:kern w:val="0"/>
          <w:sz w:val="24"/>
          <w:rtl/>
          <w:lang w:bidi="ar-SA"/>
        </w:rPr>
        <w:fldChar w:fldCharType="end"/>
      </w:r>
      <w:r w:rsidR="00FC19E4" w:rsidRPr="00FC19E4">
        <w:rPr>
          <w:b/>
          <w:bCs/>
          <w:sz w:val="24"/>
          <w:rtl/>
        </w:rPr>
        <w:br w:type="page"/>
      </w:r>
    </w:p>
    <w:p w:rsidR="0044570B" w:rsidRPr="00B55747" w:rsidRDefault="0044570B" w:rsidP="00B55747">
      <w:pPr>
        <w:pStyle w:val="Heading1"/>
        <w:rPr>
          <w:sz w:val="28"/>
          <w:rtl/>
        </w:rPr>
      </w:pPr>
      <w:bookmarkStart w:id="0" w:name="_Toc6139961"/>
      <w:r w:rsidRPr="00B55747">
        <w:rPr>
          <w:rFonts w:hint="cs"/>
          <w:sz w:val="28"/>
          <w:rtl/>
        </w:rPr>
        <w:lastRenderedPageBreak/>
        <w:t xml:space="preserve">أولا </w:t>
      </w:r>
      <w:r w:rsidRPr="00B55747">
        <w:rPr>
          <w:sz w:val="28"/>
          <w:rtl/>
        </w:rPr>
        <w:t>–</w:t>
      </w:r>
      <w:r w:rsidR="00B55747" w:rsidRPr="00B55747">
        <w:rPr>
          <w:rFonts w:hint="cs"/>
          <w:sz w:val="28"/>
          <w:rtl/>
        </w:rPr>
        <w:tab/>
      </w:r>
      <w:r w:rsidRPr="00B55747">
        <w:rPr>
          <w:rFonts w:hint="cs"/>
          <w:sz w:val="28"/>
          <w:rtl/>
        </w:rPr>
        <w:t>المقررات</w:t>
      </w:r>
      <w:bookmarkEnd w:id="0"/>
    </w:p>
    <w:p w:rsidR="0044570B" w:rsidRPr="00FB521B" w:rsidRDefault="0044570B" w:rsidP="00B55747">
      <w:pPr>
        <w:pStyle w:val="Heading2"/>
        <w:ind w:left="2430" w:hanging="1350"/>
        <w:jc w:val="left"/>
        <w:rPr>
          <w:rtl/>
        </w:rPr>
      </w:pPr>
      <w:bookmarkStart w:id="1" w:name="_Toc6071543"/>
      <w:bookmarkStart w:id="2" w:name="_Toc6139962"/>
      <w:r w:rsidRPr="00FB521B">
        <w:rPr>
          <w:rFonts w:hint="cs"/>
          <w:rtl/>
        </w:rPr>
        <w:t>المقرر 14/1</w:t>
      </w:r>
      <w:r w:rsidRPr="00FB521B">
        <w:rPr>
          <w:rFonts w:hint="cs"/>
          <w:rtl/>
        </w:rPr>
        <w:tab/>
        <w:t>تقييم مُحدث للتقدم المُحرز صوب أهداف أيشي للتنوع البيولوجي المنتقاة وخيارات لإسراع وتيرة التقدم</w:t>
      </w:r>
      <w:bookmarkEnd w:id="1"/>
      <w:bookmarkEnd w:id="2"/>
    </w:p>
    <w:p w:rsidR="0044570B" w:rsidRPr="00FF662B" w:rsidRDefault="0044570B" w:rsidP="0044570B">
      <w:pPr>
        <w:spacing w:after="100" w:line="204" w:lineRule="auto"/>
        <w:ind w:firstLine="720"/>
        <w:rPr>
          <w:i/>
          <w:iCs/>
          <w:rtl/>
          <w:lang w:val="en-GB"/>
        </w:rPr>
      </w:pPr>
      <w:r w:rsidRPr="00FF662B">
        <w:rPr>
          <w:rFonts w:hint="cs"/>
          <w:i/>
          <w:iCs/>
          <w:rtl/>
          <w:lang w:val="en-GB"/>
        </w:rPr>
        <w:t>إن مؤتمر الأطراف،</w:t>
      </w:r>
    </w:p>
    <w:p w:rsidR="0044570B" w:rsidRPr="00FF662B" w:rsidRDefault="0044570B" w:rsidP="0044570B">
      <w:pPr>
        <w:spacing w:after="100" w:line="204" w:lineRule="auto"/>
        <w:ind w:firstLine="720"/>
        <w:rPr>
          <w:rtl/>
          <w:lang w:val="en-GB"/>
        </w:rPr>
      </w:pPr>
      <w:r w:rsidRPr="00FF662B">
        <w:rPr>
          <w:rFonts w:hint="cs"/>
          <w:i/>
          <w:iCs/>
          <w:rtl/>
          <w:lang w:val="en-GB"/>
        </w:rPr>
        <w:t xml:space="preserve">إذ يشير </w:t>
      </w:r>
      <w:r w:rsidRPr="00FF662B">
        <w:rPr>
          <w:rFonts w:hint="cs"/>
          <w:rtl/>
          <w:lang w:val="en-GB"/>
        </w:rPr>
        <w:t>إلى المقررات 13/5 و13/8 و1</w:t>
      </w:r>
      <w:r>
        <w:rPr>
          <w:rFonts w:hint="cs"/>
          <w:rtl/>
          <w:lang w:val="en-GB"/>
        </w:rPr>
        <w:t>3</w:t>
      </w:r>
      <w:r w:rsidRPr="00FF662B">
        <w:rPr>
          <w:rFonts w:hint="cs"/>
          <w:rtl/>
          <w:lang w:val="en-GB"/>
        </w:rPr>
        <w:t>/29،</w:t>
      </w:r>
    </w:p>
    <w:p w:rsidR="0044570B" w:rsidRPr="00FF662B" w:rsidRDefault="0044570B" w:rsidP="0044570B">
      <w:pPr>
        <w:spacing w:after="100" w:line="204" w:lineRule="auto"/>
        <w:ind w:firstLine="720"/>
        <w:rPr>
          <w:rtl/>
          <w:lang w:val="en-GB"/>
        </w:rPr>
      </w:pPr>
      <w:r>
        <w:rPr>
          <w:rFonts w:hint="cs"/>
          <w:i/>
          <w:iCs/>
          <w:rtl/>
          <w:lang w:val="en-GB"/>
        </w:rPr>
        <w:t>و</w:t>
      </w:r>
      <w:r w:rsidRPr="00FF662B">
        <w:rPr>
          <w:i/>
          <w:iCs/>
          <w:rtl/>
          <w:lang w:val="en-GB"/>
        </w:rPr>
        <w:t>إذ يشير</w:t>
      </w:r>
      <w:r w:rsidRPr="00FF662B">
        <w:rPr>
          <w:rtl/>
          <w:lang w:val="en-GB"/>
        </w:rPr>
        <w:t xml:space="preserve"> </w:t>
      </w:r>
      <w:r w:rsidRPr="008D30BE">
        <w:rPr>
          <w:rFonts w:hint="cs"/>
          <w:i/>
          <w:iCs/>
          <w:rtl/>
          <w:lang w:val="en-GB"/>
        </w:rPr>
        <w:t>أيضا</w:t>
      </w:r>
      <w:r>
        <w:rPr>
          <w:rFonts w:hint="cs"/>
          <w:rtl/>
          <w:lang w:val="en-GB"/>
        </w:rPr>
        <w:t xml:space="preserve"> </w:t>
      </w:r>
      <w:r w:rsidRPr="00FF662B">
        <w:rPr>
          <w:rtl/>
          <w:lang w:val="en-GB"/>
        </w:rPr>
        <w:t>إلى المقرر 13/1، و</w:t>
      </w:r>
      <w:r w:rsidRPr="00FF662B">
        <w:rPr>
          <w:rFonts w:hint="cs"/>
          <w:rtl/>
          <w:lang w:val="en-GB"/>
        </w:rPr>
        <w:t>لا سيما</w:t>
      </w:r>
      <w:r w:rsidRPr="00FF662B">
        <w:rPr>
          <w:rtl/>
          <w:lang w:val="en-GB"/>
        </w:rPr>
        <w:t xml:space="preserve"> الفقر</w:t>
      </w:r>
      <w:r w:rsidRPr="00FF662B">
        <w:rPr>
          <w:rFonts w:hint="cs"/>
          <w:rtl/>
          <w:lang w:val="en-GB"/>
        </w:rPr>
        <w:t>تان</w:t>
      </w:r>
      <w:r w:rsidRPr="00FF662B">
        <w:rPr>
          <w:rtl/>
          <w:lang w:val="en-GB"/>
        </w:rPr>
        <w:t xml:space="preserve"> 12 و19،</w:t>
      </w:r>
    </w:p>
    <w:p w:rsidR="0044570B" w:rsidRPr="00FF662B" w:rsidRDefault="0044570B" w:rsidP="0044570B">
      <w:pPr>
        <w:ind w:firstLine="720"/>
        <w:rPr>
          <w:vertAlign w:val="superscript"/>
          <w:rtl/>
        </w:rPr>
      </w:pPr>
      <w:r>
        <w:rPr>
          <w:rFonts w:hint="cs"/>
          <w:i/>
          <w:iCs/>
          <w:rtl/>
        </w:rPr>
        <w:t>و</w:t>
      </w:r>
      <w:r w:rsidRPr="00FF662B">
        <w:rPr>
          <w:rFonts w:hint="cs"/>
          <w:i/>
          <w:iCs/>
          <w:rtl/>
        </w:rPr>
        <w:t>إذ يساوره بالغ القلق</w:t>
      </w:r>
      <w:r w:rsidRPr="00FF662B">
        <w:rPr>
          <w:rFonts w:hint="cs"/>
          <w:rtl/>
        </w:rPr>
        <w:t>، بأنه على الرغم من الإجراءات الإيجابية التي تتخذها الأطراف وآخرون، فإن معظم أهداف أيشي للتنوع البيولوجي ليست على المسار الصحيح لتحقيقها بحلول عام 2020، مما سيعرض للخطر، في غياب المزيد من التقدم الكبير، تحقيق هدف ورؤية الخطة الاستراتيجية للتنوع البيولوجي 2011-2020</w:t>
      </w:r>
      <w:r>
        <w:rPr>
          <w:rFonts w:hint="cs"/>
          <w:rtl/>
        </w:rPr>
        <w:t>،</w:t>
      </w:r>
      <w:r w:rsidRPr="00FF662B">
        <w:rPr>
          <w:vertAlign w:val="superscript"/>
          <w:rtl/>
        </w:rPr>
        <w:footnoteReference w:id="1"/>
      </w:r>
      <w:r w:rsidRPr="00FF662B">
        <w:rPr>
          <w:rFonts w:hint="cs"/>
          <w:vertAlign w:val="superscript"/>
          <w:rtl/>
        </w:rPr>
        <w:t xml:space="preserve"> </w:t>
      </w:r>
      <w:r w:rsidRPr="00FF662B">
        <w:rPr>
          <w:rFonts w:hint="cs"/>
          <w:rtl/>
        </w:rPr>
        <w:t>وأهداف التنمية المستدامة،</w:t>
      </w:r>
      <w:r w:rsidRPr="00FF662B">
        <w:rPr>
          <w:vertAlign w:val="superscript"/>
          <w:rtl/>
        </w:rPr>
        <w:footnoteReference w:id="2"/>
      </w:r>
      <w:r>
        <w:rPr>
          <w:rFonts w:hint="cs"/>
          <w:rtl/>
        </w:rPr>
        <w:t xml:space="preserve"> وفي نهاية المطاف أنظمة دعم حياة الكوكب؛</w:t>
      </w:r>
    </w:p>
    <w:p w:rsidR="0044570B" w:rsidRPr="00FF662B" w:rsidRDefault="0044570B" w:rsidP="00FF7FA5">
      <w:pPr>
        <w:numPr>
          <w:ilvl w:val="0"/>
          <w:numId w:val="14"/>
        </w:numPr>
        <w:ind w:left="0" w:firstLine="720"/>
        <w:rPr>
          <w:lang w:val="en-GB"/>
        </w:rPr>
      </w:pPr>
      <w:r w:rsidRPr="00FF662B">
        <w:rPr>
          <w:i/>
          <w:iCs/>
          <w:rtl/>
          <w:lang w:val="en-GB"/>
        </w:rPr>
        <w:t>يرحب</w:t>
      </w:r>
      <w:r w:rsidRPr="00FF662B">
        <w:rPr>
          <w:rtl/>
          <w:lang w:val="en-GB"/>
        </w:rPr>
        <w:t xml:space="preserve"> بالتحليل المحدث </w:t>
      </w:r>
      <w:r>
        <w:rPr>
          <w:rFonts w:hint="cs"/>
          <w:rtl/>
          <w:lang w:val="en-GB"/>
        </w:rPr>
        <w:t>للتقدم المحرز في تنفيذ الاتفاقية والخطة الاستراتيجية للتنوع البيولوجي 2011-2020 ونحو تحقيق أهداف أيشي للتنوع البيولوجي، بما في ذلك التحديث للتقدم المحرز في مراجعة/تحديث وتنفيذ ا</w:t>
      </w:r>
      <w:r w:rsidRPr="00FF662B">
        <w:rPr>
          <w:rtl/>
          <w:lang w:val="en-GB"/>
        </w:rPr>
        <w:t>لاستراتيجيات وخطط العمل الوطنية للتنوع البيولوجي</w:t>
      </w:r>
      <w:r>
        <w:rPr>
          <w:rFonts w:hint="cs"/>
          <w:rtl/>
          <w:lang w:val="en-GB"/>
        </w:rPr>
        <w:t>، بما في ذلك الأهداف الوطنية</w:t>
      </w:r>
      <w:r w:rsidRPr="00FF662B">
        <w:rPr>
          <w:rtl/>
          <w:lang w:val="en-GB"/>
        </w:rPr>
        <w:t xml:space="preserve"> والتقارير الوطنية، و</w:t>
      </w:r>
      <w:r>
        <w:rPr>
          <w:rFonts w:hint="cs"/>
          <w:rtl/>
          <w:lang w:val="en-GB"/>
        </w:rPr>
        <w:t xml:space="preserve">بتحليل مساهمة الأه\اف التي حددتها الأطراف والتقدم المحرز نحو تحقيق أهداف أيشي </w:t>
      </w:r>
      <w:bookmarkStart w:id="3" w:name="_Hlk518971495"/>
      <w:r>
        <w:rPr>
          <w:rtl/>
          <w:lang w:val="en-GB"/>
        </w:rPr>
        <w:t>للتنوع البيولوجي</w:t>
      </w:r>
      <w:r>
        <w:rPr>
          <w:rFonts w:hint="cs"/>
          <w:rtl/>
          <w:lang w:val="en-GB"/>
        </w:rPr>
        <w:t>؛</w:t>
      </w:r>
      <w:r w:rsidRPr="00FF662B">
        <w:rPr>
          <w:rFonts w:ascii="Simplified Arabic" w:hAnsi="Simplified Arabic"/>
          <w:vertAlign w:val="superscript"/>
          <w:lang w:val="en-GB"/>
        </w:rPr>
        <w:footnoteReference w:id="3"/>
      </w:r>
      <w:bookmarkEnd w:id="3"/>
    </w:p>
    <w:p w:rsidR="0044570B" w:rsidRPr="00FF662B" w:rsidRDefault="0044570B" w:rsidP="00FF7FA5">
      <w:pPr>
        <w:numPr>
          <w:ilvl w:val="0"/>
          <w:numId w:val="14"/>
        </w:numPr>
        <w:ind w:left="0" w:firstLine="720"/>
        <w:rPr>
          <w:rFonts w:ascii="Simplified Arabic" w:hAnsi="Simplified Arabic"/>
          <w:lang w:val="en-GB"/>
        </w:rPr>
      </w:pPr>
      <w:r w:rsidRPr="00FF662B">
        <w:rPr>
          <w:i/>
          <w:iCs/>
          <w:rtl/>
          <w:lang w:val="en-GB"/>
        </w:rPr>
        <w:t>يرحب</w:t>
      </w:r>
      <w:r w:rsidRPr="00FF662B">
        <w:rPr>
          <w:rFonts w:ascii="Simplified Arabic" w:eastAsia="Malgun Gothic" w:hAnsi="Simplified Arabic"/>
          <w:i/>
          <w:iCs/>
          <w:rtl/>
          <w:lang w:val="en-GB"/>
        </w:rPr>
        <w:t xml:space="preserve"> مع التقدير</w:t>
      </w:r>
      <w:r w:rsidRPr="00FF662B">
        <w:rPr>
          <w:rFonts w:ascii="Simplified Arabic" w:eastAsia="Malgun Gothic" w:hAnsi="Simplified Arabic"/>
          <w:rtl/>
          <w:lang w:val="en-GB"/>
        </w:rPr>
        <w:t xml:space="preserve"> بالتقييمات الإقليمية للتنوع البيولوجي وخدمات النظم الإيكولوجية لأفريقيا، والأمريكتين، وآسيا والمحيط الهادئ، وأوروبا وآسيا الوسطى</w:t>
      </w:r>
      <w:r>
        <w:rPr>
          <w:rFonts w:ascii="Simplified Arabic" w:eastAsia="Malgun Gothic" w:hAnsi="Simplified Arabic" w:hint="cs"/>
          <w:rtl/>
          <w:lang w:val="en-GB"/>
        </w:rPr>
        <w:t>،</w:t>
      </w:r>
      <w:r w:rsidRPr="00FF662B">
        <w:rPr>
          <w:rFonts w:ascii="Simplified Arabic" w:eastAsia="Malgun Gothic" w:hAnsi="Simplified Arabic"/>
          <w:rtl/>
          <w:lang w:val="en-GB"/>
        </w:rPr>
        <w:t xml:space="preserve"> والتقي</w:t>
      </w:r>
      <w:r>
        <w:rPr>
          <w:rFonts w:ascii="Simplified Arabic" w:eastAsia="Malgun Gothic" w:hAnsi="Simplified Arabic"/>
          <w:rtl/>
          <w:lang w:val="en-GB"/>
        </w:rPr>
        <w:t>يم المواضيعي لتدهور الأراضي وا</w:t>
      </w:r>
      <w:r>
        <w:rPr>
          <w:rFonts w:ascii="Simplified Arabic" w:eastAsia="Malgun Gothic" w:hAnsi="Simplified Arabic" w:hint="cs"/>
          <w:rtl/>
          <w:lang w:val="en-GB"/>
        </w:rPr>
        <w:t>ست</w:t>
      </w:r>
      <w:r w:rsidRPr="00FF662B">
        <w:rPr>
          <w:rFonts w:ascii="Simplified Arabic" w:eastAsia="Malgun Gothic" w:hAnsi="Simplified Arabic"/>
          <w:rtl/>
          <w:lang w:val="en-GB"/>
        </w:rPr>
        <w:t>صلاحها الصادرة عن المنبر الحكومي الدولي للعلوم والسياسات في مجال التنوع البيولوجي وخدمات النظم الإيكولوجية؛</w:t>
      </w:r>
    </w:p>
    <w:p w:rsidR="0044570B" w:rsidRPr="00FF662B" w:rsidRDefault="0044570B" w:rsidP="00FF7FA5">
      <w:pPr>
        <w:numPr>
          <w:ilvl w:val="0"/>
          <w:numId w:val="14"/>
        </w:numPr>
        <w:ind w:left="0" w:firstLine="720"/>
        <w:rPr>
          <w:lang w:val="en-GB"/>
        </w:rPr>
      </w:pPr>
      <w:r w:rsidRPr="00FF662B">
        <w:rPr>
          <w:i/>
          <w:iCs/>
          <w:rtl/>
          <w:lang w:val="en-GB"/>
        </w:rPr>
        <w:t>ي</w:t>
      </w:r>
      <w:r w:rsidRPr="00FF662B">
        <w:rPr>
          <w:rFonts w:ascii="Simplified Arabic" w:eastAsia="Malgun Gothic" w:hAnsi="Simplified Arabic"/>
          <w:i/>
          <w:iCs/>
          <w:rtl/>
          <w:lang w:val="en-GB"/>
        </w:rPr>
        <w:t>رحب</w:t>
      </w:r>
      <w:r w:rsidRPr="00FF662B">
        <w:rPr>
          <w:rFonts w:ascii="Simplified Arabic" w:eastAsia="Malgun Gothic" w:hAnsi="Simplified Arabic"/>
          <w:rtl/>
          <w:lang w:val="en-GB"/>
        </w:rPr>
        <w:t xml:space="preserve"> باستعراض المعلومات العلمية المحدّثة،</w:t>
      </w:r>
      <w:r w:rsidRPr="00FF662B">
        <w:rPr>
          <w:rFonts w:ascii="Simplified Arabic" w:eastAsia="Malgun Gothic" w:hAnsi="Simplified Arabic"/>
          <w:vertAlign w:val="superscript"/>
          <w:lang w:val="en-GB"/>
        </w:rPr>
        <w:footnoteReference w:id="4"/>
      </w:r>
      <w:r w:rsidRPr="00FF662B">
        <w:rPr>
          <w:rFonts w:ascii="Simplified Arabic" w:eastAsia="Malgun Gothic" w:hAnsi="Simplified Arabic"/>
          <w:rtl/>
          <w:lang w:val="en-GB"/>
        </w:rPr>
        <w:t xml:space="preserve"> بما في ذلك استنتاجاتها وفجوات المعلومات </w:t>
      </w:r>
      <w:r>
        <w:rPr>
          <w:rFonts w:ascii="Simplified Arabic" w:eastAsia="Malgun Gothic" w:hAnsi="Simplified Arabic" w:hint="cs"/>
          <w:rtl/>
          <w:lang w:val="en-GB"/>
        </w:rPr>
        <w:t xml:space="preserve">المحددة، </w:t>
      </w:r>
      <w:r w:rsidRPr="00FF662B">
        <w:rPr>
          <w:rFonts w:ascii="Simplified Arabic" w:eastAsia="Malgun Gothic" w:hAnsi="Simplified Arabic"/>
          <w:rtl/>
          <w:lang w:val="en-GB"/>
        </w:rPr>
        <w:t>والخيارات الممكنة للإسراع بوتيرة التقدم المحرز صوب تحقيق أهداف أيشي للتنوع البيولوجي</w:t>
      </w:r>
      <w:r w:rsidRPr="00FF662B">
        <w:rPr>
          <w:rFonts w:ascii="Simplified Arabic" w:eastAsia="Malgun Gothic" w:hAnsi="Simplified Arabic" w:hint="cs"/>
          <w:rtl/>
          <w:lang w:val="en-GB"/>
        </w:rPr>
        <w:t xml:space="preserve"> الواردة في المرفق بهذا المقرر</w:t>
      </w:r>
      <w:r w:rsidRPr="00FF662B">
        <w:rPr>
          <w:rFonts w:ascii="Simplified Arabic" w:eastAsia="Malgun Gothic" w:hAnsi="Simplified Arabic"/>
          <w:rtl/>
          <w:lang w:val="en-GB"/>
        </w:rPr>
        <w:t>؛</w:t>
      </w:r>
    </w:p>
    <w:p w:rsidR="0044570B" w:rsidRPr="00FF662B" w:rsidRDefault="0044570B" w:rsidP="00FF7FA5">
      <w:pPr>
        <w:numPr>
          <w:ilvl w:val="0"/>
          <w:numId w:val="14"/>
        </w:numPr>
        <w:ind w:left="0" w:firstLine="720"/>
        <w:rPr>
          <w:rFonts w:ascii="Simplified Arabic" w:hAnsi="Simplified Arabic"/>
          <w:lang w:val="en-GB"/>
        </w:rPr>
      </w:pPr>
      <w:r w:rsidRPr="00FF662B">
        <w:rPr>
          <w:rFonts w:ascii="Simplified Arabic" w:eastAsia="Malgun Gothic" w:hAnsi="Simplified Arabic"/>
          <w:i/>
          <w:iCs/>
          <w:rtl/>
          <w:lang w:val="en-GB"/>
        </w:rPr>
        <w:t xml:space="preserve">يرحب أيضا </w:t>
      </w:r>
      <w:r w:rsidRPr="00FF662B">
        <w:rPr>
          <w:rFonts w:ascii="Simplified Arabic" w:eastAsia="Malgun Gothic" w:hAnsi="Simplified Arabic"/>
          <w:rtl/>
          <w:lang w:val="en-GB"/>
        </w:rPr>
        <w:t>بالمؤشرات الإضافية التي تسنى تحديدها وتلك التي تتضمن نقاط بيانات محدّثة</w:t>
      </w:r>
      <w:r>
        <w:rPr>
          <w:rFonts w:ascii="Simplified Arabic" w:eastAsia="Malgun Gothic" w:hAnsi="Simplified Arabic" w:hint="cs"/>
          <w:rtl/>
          <w:lang w:val="en-GB"/>
        </w:rPr>
        <w:t>،</w:t>
      </w:r>
      <w:r w:rsidRPr="00FF662B">
        <w:rPr>
          <w:rFonts w:ascii="Simplified Arabic" w:eastAsia="Malgun Gothic" w:hAnsi="Simplified Arabic"/>
          <w:vertAlign w:val="superscript"/>
          <w:rtl/>
          <w:lang w:val="en-GB"/>
        </w:rPr>
        <w:footnoteReference w:id="5"/>
      </w:r>
      <w:r w:rsidRPr="00FF662B">
        <w:rPr>
          <w:rFonts w:ascii="Simplified Arabic" w:eastAsia="Malgun Gothic" w:hAnsi="Simplified Arabic"/>
          <w:rtl/>
          <w:lang w:val="en-GB"/>
        </w:rPr>
        <w:t xml:space="preserve"> </w:t>
      </w:r>
      <w:r w:rsidRPr="00FF662B">
        <w:rPr>
          <w:rFonts w:ascii="Simplified Arabic" w:eastAsia="Malgun Gothic" w:hAnsi="Simplified Arabic"/>
          <w:i/>
          <w:iCs/>
          <w:rtl/>
          <w:lang w:val="en-GB"/>
        </w:rPr>
        <w:t>ويسلم</w:t>
      </w:r>
      <w:r w:rsidRPr="00FF662B">
        <w:rPr>
          <w:rFonts w:ascii="Simplified Arabic" w:eastAsia="Malgun Gothic" w:hAnsi="Simplified Arabic"/>
          <w:rtl/>
          <w:lang w:val="en-GB"/>
        </w:rPr>
        <w:t xml:space="preserve"> بمساهمة الشراكة المعنية بمؤشرات التنوع البيولوجي في إحداث تقدم في العمل بشأن المؤشرات ذات الصلة بالخطة الاستراتيجية للتنوع البيولوجي 2011-2020؛</w:t>
      </w:r>
    </w:p>
    <w:p w:rsidR="0044570B" w:rsidRPr="00FF662B" w:rsidRDefault="0044570B" w:rsidP="00FF7FA5">
      <w:pPr>
        <w:numPr>
          <w:ilvl w:val="0"/>
          <w:numId w:val="14"/>
        </w:numPr>
        <w:ind w:left="0" w:firstLine="720"/>
        <w:rPr>
          <w:rtl/>
          <w:lang w:val="en-GB"/>
        </w:rPr>
      </w:pPr>
      <w:r w:rsidRPr="00FF662B">
        <w:rPr>
          <w:rFonts w:hint="cs"/>
          <w:i/>
          <w:iCs/>
          <w:rtl/>
          <w:lang w:val="en-GB"/>
        </w:rPr>
        <w:t>يُقّر</w:t>
      </w:r>
      <w:r w:rsidRPr="00FF662B">
        <w:rPr>
          <w:rtl/>
          <w:lang w:val="en-GB"/>
        </w:rPr>
        <w:t xml:space="preserve"> بالجهود التي </w:t>
      </w:r>
      <w:r w:rsidRPr="00FF662B">
        <w:rPr>
          <w:rFonts w:ascii="Simplified Arabic" w:eastAsia="Malgun Gothic" w:hAnsi="Simplified Arabic"/>
          <w:rtl/>
          <w:lang w:val="en-GB"/>
        </w:rPr>
        <w:t>تبذلها</w:t>
      </w:r>
      <w:r w:rsidRPr="00FF662B">
        <w:rPr>
          <w:rtl/>
          <w:lang w:val="en-GB"/>
        </w:rPr>
        <w:t xml:space="preserve"> الأطراف لترجمة أهداف أيشي للتنوع البيولوجي إلى التزامات وإجراءات وطنية</w:t>
      </w:r>
      <w:r w:rsidRPr="00FF662B">
        <w:rPr>
          <w:rFonts w:hint="cs"/>
          <w:rtl/>
          <w:lang w:val="en-GB"/>
        </w:rPr>
        <w:t>،</w:t>
      </w:r>
      <w:r w:rsidRPr="00FF662B">
        <w:rPr>
          <w:rtl/>
          <w:lang w:val="en-GB"/>
        </w:rPr>
        <w:t xml:space="preserve"> ولكنه </w:t>
      </w:r>
      <w:r w:rsidRPr="00FF662B">
        <w:rPr>
          <w:rFonts w:hint="cs"/>
          <w:i/>
          <w:iCs/>
          <w:rtl/>
          <w:lang w:val="en-GB"/>
        </w:rPr>
        <w:t>ي</w:t>
      </w:r>
      <w:r w:rsidRPr="00FF662B">
        <w:rPr>
          <w:i/>
          <w:iCs/>
          <w:rtl/>
          <w:lang w:val="en-GB"/>
        </w:rPr>
        <w:t>لاحظ</w:t>
      </w:r>
      <w:r w:rsidRPr="00FF662B">
        <w:rPr>
          <w:rtl/>
          <w:lang w:val="en-GB"/>
        </w:rPr>
        <w:t xml:space="preserve"> </w:t>
      </w:r>
      <w:r w:rsidRPr="00FF662B">
        <w:rPr>
          <w:i/>
          <w:iCs/>
          <w:rtl/>
          <w:lang w:val="en-GB"/>
        </w:rPr>
        <w:t>بقلق</w:t>
      </w:r>
      <w:r w:rsidRPr="00FF662B">
        <w:rPr>
          <w:rtl/>
          <w:lang w:val="en-GB"/>
        </w:rPr>
        <w:t xml:space="preserve"> نتائج التقييم المحدث للتقدم المحرز</w:t>
      </w:r>
      <w:r>
        <w:rPr>
          <w:rFonts w:hint="cs"/>
          <w:rtl/>
          <w:lang w:val="en-GB"/>
        </w:rPr>
        <w:t>،</w:t>
      </w:r>
      <w:r w:rsidRPr="00FF662B">
        <w:rPr>
          <w:vertAlign w:val="superscript"/>
          <w:lang w:val="en-GB"/>
        </w:rPr>
        <w:footnoteReference w:id="6"/>
      </w:r>
      <w:r w:rsidRPr="00FF662B">
        <w:rPr>
          <w:rtl/>
          <w:lang w:val="en-GB"/>
        </w:rPr>
        <w:t xml:space="preserve"> </w:t>
      </w:r>
      <w:r>
        <w:rPr>
          <w:rFonts w:hint="cs"/>
          <w:rtl/>
          <w:lang w:val="en-GB"/>
        </w:rPr>
        <w:t>و</w:t>
      </w:r>
      <w:r w:rsidRPr="00FF662B">
        <w:rPr>
          <w:rtl/>
          <w:lang w:val="en-GB"/>
        </w:rPr>
        <w:t>لا سيما</w:t>
      </w:r>
      <w:r w:rsidRPr="00FF662B">
        <w:rPr>
          <w:rFonts w:hint="cs"/>
          <w:rtl/>
          <w:lang w:val="en-GB"/>
        </w:rPr>
        <w:t xml:space="preserve"> ما يلي</w:t>
      </w:r>
      <w:r w:rsidRPr="00FF662B">
        <w:rPr>
          <w:rtl/>
          <w:lang w:val="en-GB"/>
        </w:rPr>
        <w:t>:</w:t>
      </w:r>
    </w:p>
    <w:p w:rsidR="0044570B" w:rsidRPr="00FF662B" w:rsidRDefault="0044570B" w:rsidP="0044570B">
      <w:pPr>
        <w:spacing w:after="100" w:line="204" w:lineRule="auto"/>
        <w:ind w:firstLine="720"/>
        <w:rPr>
          <w:rtl/>
          <w:lang w:val="en-GB"/>
        </w:rPr>
      </w:pPr>
      <w:r w:rsidRPr="00FF662B">
        <w:rPr>
          <w:rFonts w:hint="cs"/>
          <w:rtl/>
          <w:lang w:val="en-GB"/>
        </w:rPr>
        <w:t>(أ)</w:t>
      </w:r>
      <w:r w:rsidRPr="00FF662B">
        <w:rPr>
          <w:rtl/>
          <w:lang w:val="en-GB"/>
        </w:rPr>
        <w:tab/>
      </w:r>
      <w:r w:rsidRPr="00FF662B">
        <w:rPr>
          <w:rFonts w:hint="cs"/>
          <w:rtl/>
          <w:lang w:val="en-GB"/>
        </w:rPr>
        <w:t xml:space="preserve">أُحرز تقدم محدود </w:t>
      </w:r>
      <w:r w:rsidRPr="00FF662B">
        <w:rPr>
          <w:rtl/>
          <w:lang w:val="en-GB"/>
        </w:rPr>
        <w:t xml:space="preserve">بالنسبة لمعظم أهداف أيشي للتنوع البيولوجي، </w:t>
      </w:r>
      <w:r w:rsidRPr="00FF662B">
        <w:rPr>
          <w:rFonts w:hint="cs"/>
          <w:rtl/>
          <w:lang w:val="en-GB"/>
        </w:rPr>
        <w:t>ولم يُحرز تقدم عام</w:t>
      </w:r>
      <w:r w:rsidRPr="00FF662B">
        <w:rPr>
          <w:rtl/>
          <w:lang w:val="en-GB"/>
        </w:rPr>
        <w:t xml:space="preserve"> بالنسبة لبعض الأهداف؛</w:t>
      </w:r>
    </w:p>
    <w:p w:rsidR="0044570B" w:rsidRPr="00FF662B" w:rsidRDefault="0044570B" w:rsidP="0044570B">
      <w:pPr>
        <w:spacing w:after="100" w:line="204" w:lineRule="auto"/>
        <w:ind w:firstLine="720"/>
        <w:rPr>
          <w:rtl/>
          <w:lang w:val="en-GB"/>
        </w:rPr>
      </w:pPr>
      <w:r w:rsidRPr="00FF662B">
        <w:rPr>
          <w:rFonts w:hint="cs"/>
          <w:rtl/>
          <w:lang w:val="en-GB"/>
        </w:rPr>
        <w:t>(ب)</w:t>
      </w:r>
      <w:r w:rsidRPr="00FF662B">
        <w:rPr>
          <w:rtl/>
          <w:lang w:val="en-GB"/>
        </w:rPr>
        <w:tab/>
        <w:t>اعتمد</w:t>
      </w:r>
      <w:r w:rsidRPr="00FF662B">
        <w:rPr>
          <w:rFonts w:hint="cs"/>
          <w:rtl/>
          <w:lang w:val="en-GB"/>
        </w:rPr>
        <w:t xml:space="preserve"> عدد </w:t>
      </w:r>
      <w:r>
        <w:rPr>
          <w:rFonts w:hint="cs"/>
          <w:rtl/>
          <w:lang w:val="en-GB"/>
        </w:rPr>
        <w:t>محدود</w:t>
      </w:r>
      <w:r w:rsidRPr="00FF662B">
        <w:rPr>
          <w:rtl/>
          <w:lang w:val="en-GB"/>
        </w:rPr>
        <w:t xml:space="preserve"> فقط من الأطراف استراتيجياته</w:t>
      </w:r>
      <w:r>
        <w:rPr>
          <w:rFonts w:hint="cs"/>
          <w:rtl/>
          <w:lang w:val="en-GB"/>
        </w:rPr>
        <w:t>ا</w:t>
      </w:r>
      <w:r w:rsidRPr="00FF662B">
        <w:rPr>
          <w:rtl/>
          <w:lang w:val="en-GB"/>
        </w:rPr>
        <w:t xml:space="preserve"> وخطط عمله</w:t>
      </w:r>
      <w:r>
        <w:rPr>
          <w:rFonts w:hint="cs"/>
          <w:rtl/>
          <w:lang w:val="en-GB"/>
        </w:rPr>
        <w:t>ا</w:t>
      </w:r>
      <w:r w:rsidRPr="00FF662B">
        <w:rPr>
          <w:rtl/>
          <w:lang w:val="en-GB"/>
        </w:rPr>
        <w:t xml:space="preserve"> الوطنية للتنوع البيولوجي كأدوات </w:t>
      </w:r>
      <w:r w:rsidRPr="00FF662B">
        <w:rPr>
          <w:rFonts w:hint="cs"/>
          <w:rtl/>
          <w:lang w:val="en-GB"/>
        </w:rPr>
        <w:t>سياساتية</w:t>
      </w:r>
      <w:r w:rsidRPr="00FF662B">
        <w:rPr>
          <w:rtl/>
          <w:lang w:val="en-GB"/>
        </w:rPr>
        <w:t xml:space="preserve"> للحكومة</w:t>
      </w:r>
      <w:r w:rsidRPr="00FF662B">
        <w:rPr>
          <w:rFonts w:hint="cs"/>
          <w:rtl/>
          <w:lang w:val="en-GB"/>
        </w:rPr>
        <w:t xml:space="preserve"> بأسرها؛</w:t>
      </w:r>
    </w:p>
    <w:p w:rsidR="0044570B" w:rsidRPr="00FF662B" w:rsidRDefault="0044570B" w:rsidP="0044570B">
      <w:pPr>
        <w:spacing w:after="100" w:line="204" w:lineRule="auto"/>
        <w:ind w:firstLine="720"/>
        <w:rPr>
          <w:rtl/>
          <w:lang w:val="en-GB"/>
        </w:rPr>
      </w:pPr>
      <w:r w:rsidRPr="00FF662B">
        <w:rPr>
          <w:rFonts w:hint="cs"/>
          <w:rtl/>
          <w:lang w:val="en-GB"/>
        </w:rPr>
        <w:lastRenderedPageBreak/>
        <w:t>(ج)</w:t>
      </w:r>
      <w:r w:rsidRPr="00FF662B">
        <w:rPr>
          <w:rtl/>
          <w:lang w:val="en-GB"/>
        </w:rPr>
        <w:tab/>
      </w:r>
      <w:r w:rsidRPr="00FF662B">
        <w:rPr>
          <w:rFonts w:hint="cs"/>
          <w:rtl/>
          <w:lang w:val="en-GB"/>
        </w:rPr>
        <w:t>يتضمن</w:t>
      </w:r>
      <w:r w:rsidRPr="00FF662B">
        <w:rPr>
          <w:rtl/>
          <w:lang w:val="en-GB"/>
        </w:rPr>
        <w:t xml:space="preserve"> </w:t>
      </w:r>
      <w:r w:rsidRPr="00FF662B">
        <w:rPr>
          <w:rFonts w:hint="cs"/>
          <w:rtl/>
          <w:lang w:val="en-GB"/>
        </w:rPr>
        <w:t xml:space="preserve">عدد </w:t>
      </w:r>
      <w:r>
        <w:rPr>
          <w:rFonts w:hint="cs"/>
          <w:rtl/>
          <w:lang w:val="en-GB"/>
        </w:rPr>
        <w:t>محدود</w:t>
      </w:r>
      <w:r w:rsidRPr="00FF662B">
        <w:rPr>
          <w:rFonts w:hint="cs"/>
          <w:rtl/>
          <w:lang w:val="en-GB"/>
        </w:rPr>
        <w:t xml:space="preserve"> فقط من</w:t>
      </w:r>
      <w:r w:rsidRPr="00FF662B">
        <w:rPr>
          <w:rtl/>
          <w:lang w:val="en-GB"/>
        </w:rPr>
        <w:t xml:space="preserve"> الاستراتيجيات وخطط العمل الوطنية للتنوع البيولوجي استراتيجيات ل</w:t>
      </w:r>
      <w:r>
        <w:rPr>
          <w:rFonts w:hint="cs"/>
          <w:rtl/>
          <w:lang w:val="en-GB"/>
        </w:rPr>
        <w:t>حشد</w:t>
      </w:r>
      <w:r w:rsidRPr="00FF662B">
        <w:rPr>
          <w:rtl/>
          <w:lang w:val="en-GB"/>
        </w:rPr>
        <w:t xml:space="preserve"> الموارد، </w:t>
      </w:r>
      <w:r w:rsidRPr="00FF662B">
        <w:rPr>
          <w:rFonts w:hint="cs"/>
          <w:rtl/>
          <w:lang w:val="en-GB"/>
        </w:rPr>
        <w:t xml:space="preserve">أو </w:t>
      </w:r>
      <w:r w:rsidRPr="00FF662B">
        <w:rPr>
          <w:rtl/>
          <w:lang w:val="en-GB"/>
        </w:rPr>
        <w:t xml:space="preserve">استراتيجيات للاتصال والتوعية العامة، أو استراتيجيات لتنمية القدرات، </w:t>
      </w:r>
      <w:r w:rsidRPr="00FF662B">
        <w:rPr>
          <w:rFonts w:hint="cs"/>
          <w:rtl/>
          <w:lang w:val="en-GB"/>
        </w:rPr>
        <w:t>على نحو ما تشير إليه الإرشادات المتعلقة</w:t>
      </w:r>
      <w:r w:rsidRPr="00FF662B">
        <w:rPr>
          <w:rtl/>
          <w:lang w:val="en-GB"/>
        </w:rPr>
        <w:t xml:space="preserve"> </w:t>
      </w:r>
      <w:r w:rsidRPr="00FF662B">
        <w:rPr>
          <w:rFonts w:hint="cs"/>
          <w:rtl/>
          <w:lang w:val="en-GB"/>
        </w:rPr>
        <w:t>بال</w:t>
      </w:r>
      <w:r w:rsidRPr="00FF662B">
        <w:rPr>
          <w:rtl/>
          <w:lang w:val="en-GB"/>
        </w:rPr>
        <w:t xml:space="preserve">استراتيجيات وخطط </w:t>
      </w:r>
      <w:r w:rsidRPr="00FF662B">
        <w:rPr>
          <w:rFonts w:hint="cs"/>
          <w:rtl/>
          <w:lang w:val="en-GB"/>
        </w:rPr>
        <w:t>ال</w:t>
      </w:r>
      <w:r w:rsidRPr="00FF662B">
        <w:rPr>
          <w:rtl/>
          <w:lang w:val="en-GB"/>
        </w:rPr>
        <w:t xml:space="preserve">عمل الوطنية </w:t>
      </w:r>
      <w:r w:rsidRPr="00FF662B">
        <w:rPr>
          <w:rFonts w:hint="cs"/>
          <w:rtl/>
          <w:lang w:val="en-GB"/>
        </w:rPr>
        <w:t>ل</w:t>
      </w:r>
      <w:r w:rsidRPr="00FF662B">
        <w:rPr>
          <w:rtl/>
          <w:lang w:val="en-GB"/>
        </w:rPr>
        <w:t>لتنوع البيولوجي</w:t>
      </w:r>
      <w:r w:rsidRPr="00FF662B">
        <w:rPr>
          <w:rFonts w:hint="cs"/>
          <w:rtl/>
          <w:lang w:val="en-GB"/>
        </w:rPr>
        <w:t>؛</w:t>
      </w:r>
    </w:p>
    <w:p w:rsidR="0044570B" w:rsidRPr="00FF662B" w:rsidRDefault="0044570B" w:rsidP="0044570B">
      <w:pPr>
        <w:spacing w:after="100" w:line="204" w:lineRule="auto"/>
        <w:ind w:firstLine="720"/>
        <w:rPr>
          <w:rtl/>
        </w:rPr>
      </w:pPr>
      <w:r w:rsidRPr="00FF662B">
        <w:rPr>
          <w:rFonts w:hint="cs"/>
          <w:rtl/>
          <w:lang w:val="en-GB"/>
        </w:rPr>
        <w:t>(د)</w:t>
      </w:r>
      <w:r w:rsidRPr="00FF662B">
        <w:rPr>
          <w:rtl/>
          <w:lang w:val="en-GB"/>
        </w:rPr>
        <w:tab/>
      </w:r>
      <w:r w:rsidRPr="00FF662B">
        <w:rPr>
          <w:rFonts w:hint="cs"/>
          <w:rtl/>
          <w:lang w:val="en-GB"/>
        </w:rPr>
        <w:t xml:space="preserve">يبيّن عدد </w:t>
      </w:r>
      <w:r>
        <w:rPr>
          <w:rFonts w:hint="cs"/>
          <w:rtl/>
          <w:lang w:val="en-GB"/>
        </w:rPr>
        <w:t>محدود</w:t>
      </w:r>
      <w:r w:rsidRPr="00FF662B">
        <w:rPr>
          <w:rtl/>
          <w:lang w:val="en-GB"/>
        </w:rPr>
        <w:t xml:space="preserve"> فقط من الاستراتيجيات وخطط العمل الوطنية للتنوع البيولوجي أن التنوع البيولوجي يجري تعميمه بشكل كبير في الخطط والسياسات المشتركة بين القطاعات</w:t>
      </w:r>
      <w:r w:rsidRPr="00FF662B">
        <w:rPr>
          <w:rFonts w:hint="cs"/>
          <w:rtl/>
          <w:lang w:val="en-GB"/>
        </w:rPr>
        <w:t>،</w:t>
      </w:r>
      <w:r w:rsidRPr="00FF662B">
        <w:rPr>
          <w:rtl/>
          <w:lang w:val="en-GB"/>
        </w:rPr>
        <w:t xml:space="preserve"> وسياسات القضاء على الفقر</w:t>
      </w:r>
      <w:r w:rsidRPr="00FF662B">
        <w:rPr>
          <w:rFonts w:hint="cs"/>
          <w:rtl/>
          <w:lang w:val="en-GB"/>
        </w:rPr>
        <w:t>،</w:t>
      </w:r>
      <w:r w:rsidRPr="00FF662B">
        <w:rPr>
          <w:rtl/>
          <w:lang w:val="en-GB"/>
        </w:rPr>
        <w:t xml:space="preserve"> و/أو خطط التنمية المستدامة</w:t>
      </w:r>
      <w:r w:rsidRPr="00FF662B">
        <w:rPr>
          <w:rFonts w:hint="cs"/>
          <w:rtl/>
          <w:lang w:val="en-GB"/>
        </w:rPr>
        <w:t>؛</w:t>
      </w:r>
    </w:p>
    <w:p w:rsidR="0044570B" w:rsidRPr="00FF662B" w:rsidRDefault="0044570B" w:rsidP="00FF7FA5">
      <w:pPr>
        <w:numPr>
          <w:ilvl w:val="0"/>
          <w:numId w:val="14"/>
        </w:numPr>
        <w:ind w:left="0" w:firstLine="720"/>
        <w:rPr>
          <w:rtl/>
          <w:lang w:val="en-GB"/>
        </w:rPr>
      </w:pPr>
      <w:r w:rsidRPr="00FF662B">
        <w:rPr>
          <w:rFonts w:hint="cs"/>
          <w:i/>
          <w:iCs/>
          <w:rtl/>
          <w:lang w:val="en-GB"/>
        </w:rPr>
        <w:t>ي</w:t>
      </w:r>
      <w:r w:rsidRPr="00FF662B">
        <w:rPr>
          <w:i/>
          <w:iCs/>
          <w:rtl/>
          <w:lang w:val="en-GB"/>
        </w:rPr>
        <w:t>لاحظ</w:t>
      </w:r>
      <w:r w:rsidRPr="00FF662B">
        <w:rPr>
          <w:rtl/>
          <w:lang w:val="en-GB"/>
        </w:rPr>
        <w:t xml:space="preserve"> أن بعض الأطراف قد أد</w:t>
      </w:r>
      <w:r w:rsidRPr="00FF662B">
        <w:rPr>
          <w:rFonts w:hint="cs"/>
          <w:rtl/>
          <w:lang w:val="en-GB"/>
        </w:rPr>
        <w:t xml:space="preserve">مجت </w:t>
      </w:r>
      <w:r w:rsidRPr="00FF662B">
        <w:rPr>
          <w:rtl/>
          <w:lang w:val="en-GB"/>
        </w:rPr>
        <w:t xml:space="preserve">استراتيجياتها وخطط عملها الوطنية للتنوع البيولوجي في </w:t>
      </w:r>
      <w:r w:rsidRPr="00FF662B">
        <w:rPr>
          <w:rFonts w:ascii="Simplified Arabic" w:eastAsia="Malgun Gothic" w:hAnsi="Simplified Arabic"/>
          <w:rtl/>
          <w:lang w:val="en-GB"/>
        </w:rPr>
        <w:t>استراتيجيات</w:t>
      </w:r>
      <w:r w:rsidRPr="00FF662B">
        <w:rPr>
          <w:rtl/>
          <w:lang w:val="en-GB"/>
        </w:rPr>
        <w:t xml:space="preserve"> بيئية وإنمائية وطنية أخرى، وأن </w:t>
      </w:r>
      <w:r w:rsidRPr="00FF662B">
        <w:rPr>
          <w:rFonts w:hint="cs"/>
          <w:rtl/>
          <w:lang w:val="en-GB"/>
        </w:rPr>
        <w:t>ذلك</w:t>
      </w:r>
      <w:r w:rsidRPr="00FF662B">
        <w:rPr>
          <w:rtl/>
          <w:lang w:val="en-GB"/>
        </w:rPr>
        <w:t xml:space="preserve"> يمكن أن ييسر</w:t>
      </w:r>
      <w:r w:rsidRPr="00FF662B">
        <w:rPr>
          <w:rFonts w:hint="cs"/>
          <w:rtl/>
          <w:lang w:val="en-GB"/>
        </w:rPr>
        <w:t xml:space="preserve"> تحقيق قدر أكبر من الفعالية في</w:t>
      </w:r>
      <w:r w:rsidRPr="00FF662B">
        <w:rPr>
          <w:rtl/>
          <w:lang w:val="en-GB"/>
        </w:rPr>
        <w:t xml:space="preserve"> </w:t>
      </w:r>
      <w:r>
        <w:rPr>
          <w:rFonts w:hint="cs"/>
          <w:rtl/>
          <w:lang w:val="en-GB"/>
        </w:rPr>
        <w:t>حشد</w:t>
      </w:r>
      <w:r w:rsidRPr="00FF662B">
        <w:rPr>
          <w:rtl/>
          <w:lang w:val="en-GB"/>
        </w:rPr>
        <w:t xml:space="preserve"> </w:t>
      </w:r>
      <w:r w:rsidRPr="00FF662B">
        <w:rPr>
          <w:rFonts w:hint="cs"/>
          <w:rtl/>
          <w:lang w:val="en-GB"/>
        </w:rPr>
        <w:t>الموارد والاتصال</w:t>
      </w:r>
      <w:r w:rsidRPr="00FF662B">
        <w:rPr>
          <w:rtl/>
          <w:lang w:val="en-GB"/>
        </w:rPr>
        <w:t>؛</w:t>
      </w:r>
    </w:p>
    <w:p w:rsidR="0044570B" w:rsidRPr="00FF662B" w:rsidRDefault="0044570B" w:rsidP="00FF7FA5">
      <w:pPr>
        <w:numPr>
          <w:ilvl w:val="0"/>
          <w:numId w:val="14"/>
        </w:numPr>
        <w:ind w:left="0" w:firstLine="720"/>
        <w:rPr>
          <w:rtl/>
          <w:lang w:val="en-GB"/>
        </w:rPr>
      </w:pPr>
      <w:r w:rsidRPr="00FF662B">
        <w:rPr>
          <w:i/>
          <w:iCs/>
          <w:rtl/>
          <w:lang w:val="en-GB"/>
        </w:rPr>
        <w:t>يدعو</w:t>
      </w:r>
      <w:r w:rsidRPr="00FF662B">
        <w:rPr>
          <w:rtl/>
          <w:lang w:val="en-GB"/>
        </w:rPr>
        <w:t xml:space="preserve"> الأطراف التي اعتمدت استراتيجياتها وخطط عملها الوطنية للتنوع البيولوجي كأدوات </w:t>
      </w:r>
      <w:r w:rsidRPr="00FF662B">
        <w:rPr>
          <w:rFonts w:hint="cs"/>
          <w:rtl/>
          <w:lang w:val="en-GB"/>
        </w:rPr>
        <w:t>سياساتية</w:t>
      </w:r>
      <w:r w:rsidRPr="00FF662B">
        <w:rPr>
          <w:rtl/>
          <w:lang w:val="en-GB"/>
        </w:rPr>
        <w:t xml:space="preserve"> للحكومة</w:t>
      </w:r>
      <w:r w:rsidRPr="00FF662B">
        <w:rPr>
          <w:rFonts w:hint="cs"/>
          <w:rtl/>
          <w:lang w:val="en-GB"/>
        </w:rPr>
        <w:t xml:space="preserve"> بأسرها</w:t>
      </w:r>
      <w:r w:rsidRPr="00FF662B">
        <w:rPr>
          <w:rtl/>
          <w:lang w:val="en-GB"/>
        </w:rPr>
        <w:t xml:space="preserve"> </w:t>
      </w:r>
      <w:r w:rsidRPr="00FF662B">
        <w:rPr>
          <w:rFonts w:hint="cs"/>
          <w:rtl/>
          <w:lang w:val="en-GB"/>
        </w:rPr>
        <w:t>إلى أن ت</w:t>
      </w:r>
      <w:r w:rsidRPr="00FF662B">
        <w:rPr>
          <w:rtl/>
          <w:lang w:val="en-GB"/>
        </w:rPr>
        <w:t>تبادل</w:t>
      </w:r>
      <w:r w:rsidRPr="00FF662B">
        <w:rPr>
          <w:rFonts w:hint="cs"/>
          <w:rtl/>
          <w:lang w:val="en-GB"/>
        </w:rPr>
        <w:t>، عند</w:t>
      </w:r>
      <w:r w:rsidRPr="00FF662B">
        <w:rPr>
          <w:rtl/>
          <w:lang w:val="en-GB"/>
        </w:rPr>
        <w:t xml:space="preserve"> القيام بذلك، </w:t>
      </w:r>
      <w:r w:rsidRPr="00FF662B">
        <w:rPr>
          <w:rFonts w:hint="cs"/>
          <w:rtl/>
          <w:lang w:val="en-GB"/>
        </w:rPr>
        <w:t xml:space="preserve">بما في ذلك من خلال آلية غرفة تبادل المعلومات التابعة للاتفاقية، </w:t>
      </w:r>
      <w:r w:rsidRPr="00FF662B">
        <w:rPr>
          <w:rtl/>
          <w:lang w:val="en-GB"/>
        </w:rPr>
        <w:t xml:space="preserve">خبراتها وأفضل </w:t>
      </w:r>
      <w:r w:rsidRPr="00FF662B">
        <w:rPr>
          <w:rFonts w:hint="cs"/>
          <w:rtl/>
          <w:lang w:val="en-GB"/>
        </w:rPr>
        <w:t>ممارساتها،</w:t>
      </w:r>
      <w:r w:rsidRPr="00FF662B">
        <w:rPr>
          <w:rtl/>
          <w:lang w:val="en-GB"/>
        </w:rPr>
        <w:t xml:space="preserve"> بما في ذلك التحديات </w:t>
      </w:r>
      <w:r w:rsidRPr="00FF662B">
        <w:rPr>
          <w:rFonts w:hint="cs"/>
          <w:rtl/>
          <w:lang w:val="en-GB"/>
        </w:rPr>
        <w:t>التي اعترضتها؛</w:t>
      </w:r>
    </w:p>
    <w:p w:rsidR="0044570B" w:rsidRPr="00FF662B" w:rsidRDefault="0044570B" w:rsidP="00FF7FA5">
      <w:pPr>
        <w:numPr>
          <w:ilvl w:val="0"/>
          <w:numId w:val="14"/>
        </w:numPr>
        <w:ind w:left="0" w:firstLine="720"/>
        <w:rPr>
          <w:rtl/>
          <w:lang w:val="en-GB"/>
        </w:rPr>
      </w:pPr>
      <w:r w:rsidRPr="00FF662B">
        <w:rPr>
          <w:i/>
          <w:iCs/>
          <w:rtl/>
          <w:lang w:val="en-GB"/>
        </w:rPr>
        <w:t>يحث</w:t>
      </w:r>
      <w:r w:rsidRPr="00FF662B">
        <w:rPr>
          <w:rtl/>
          <w:lang w:val="en-GB"/>
        </w:rPr>
        <w:t xml:space="preserve"> الأطراف على </w:t>
      </w:r>
      <w:r w:rsidRPr="00FF662B">
        <w:rPr>
          <w:rFonts w:hint="cs"/>
          <w:rtl/>
          <w:lang w:val="en-GB"/>
        </w:rPr>
        <w:t>أن تعجل بصورة كبيرة الجهود التي تبذلها</w:t>
      </w:r>
      <w:r w:rsidRPr="00FF662B">
        <w:rPr>
          <w:rtl/>
          <w:lang w:val="en-GB"/>
        </w:rPr>
        <w:t xml:space="preserve"> لتنفيذ الخطة الاستراتيجية للتنوع البيولوجي 2011-2020، </w:t>
      </w:r>
      <w:r w:rsidRPr="00FF662B">
        <w:rPr>
          <w:rFonts w:hint="cs"/>
          <w:rtl/>
          <w:lang w:val="en-GB"/>
        </w:rPr>
        <w:t>وخصوصا</w:t>
      </w:r>
      <w:r w:rsidRPr="00FF662B">
        <w:rPr>
          <w:rtl/>
          <w:lang w:val="en-GB"/>
        </w:rPr>
        <w:t xml:space="preserve"> </w:t>
      </w:r>
      <w:r w:rsidRPr="00FF662B">
        <w:rPr>
          <w:rFonts w:hint="cs"/>
          <w:rtl/>
          <w:lang w:val="en-GB"/>
        </w:rPr>
        <w:t>سد أية</w:t>
      </w:r>
      <w:r w:rsidRPr="00FF662B">
        <w:rPr>
          <w:rtl/>
          <w:lang w:val="en-GB"/>
        </w:rPr>
        <w:t xml:space="preserve"> ثغرات</w:t>
      </w:r>
      <w:r w:rsidRPr="00FF662B">
        <w:rPr>
          <w:rFonts w:hint="cs"/>
          <w:rtl/>
          <w:lang w:val="en-GB"/>
        </w:rPr>
        <w:t xml:space="preserve"> قائمة</w:t>
      </w:r>
      <w:r w:rsidRPr="00FF662B">
        <w:rPr>
          <w:rtl/>
          <w:lang w:val="en-GB"/>
        </w:rPr>
        <w:t xml:space="preserve"> بين التطلعات </w:t>
      </w:r>
      <w:r w:rsidRPr="00FF662B">
        <w:rPr>
          <w:rFonts w:hint="cs"/>
          <w:rtl/>
          <w:lang w:val="en-GB"/>
        </w:rPr>
        <w:t>المتضمنة</w:t>
      </w:r>
      <w:r w:rsidRPr="00FF662B">
        <w:rPr>
          <w:rtl/>
          <w:lang w:val="en-GB"/>
        </w:rPr>
        <w:t xml:space="preserve"> في استراتيجياتها وخطط عملها الوطنية للتنوع البيولوجي والإجراءات المتخذة لتنفيذها</w:t>
      </w:r>
      <w:r w:rsidRPr="00FF662B">
        <w:rPr>
          <w:rFonts w:hint="cs"/>
          <w:rtl/>
          <w:lang w:val="en-GB"/>
        </w:rPr>
        <w:t>؛</w:t>
      </w:r>
    </w:p>
    <w:p w:rsidR="0044570B" w:rsidRPr="00FF662B" w:rsidRDefault="0044570B" w:rsidP="00FF7FA5">
      <w:pPr>
        <w:numPr>
          <w:ilvl w:val="0"/>
          <w:numId w:val="14"/>
        </w:numPr>
        <w:ind w:left="0" w:firstLine="720"/>
        <w:rPr>
          <w:rtl/>
          <w:lang w:val="en-GB"/>
        </w:rPr>
      </w:pPr>
      <w:r w:rsidRPr="00FF662B">
        <w:rPr>
          <w:i/>
          <w:iCs/>
          <w:rtl/>
          <w:lang w:val="en-GB"/>
        </w:rPr>
        <w:t>يدعو</w:t>
      </w:r>
      <w:r w:rsidRPr="00FF662B">
        <w:rPr>
          <w:rtl/>
          <w:lang w:val="en-GB"/>
        </w:rPr>
        <w:t xml:space="preserve"> الأطراف إلى</w:t>
      </w:r>
      <w:r>
        <w:rPr>
          <w:rFonts w:hint="cs"/>
          <w:rtl/>
          <w:lang w:val="en-GB"/>
        </w:rPr>
        <w:t xml:space="preserve"> تعزيز</w:t>
      </w:r>
      <w:r w:rsidRPr="00FF662B">
        <w:rPr>
          <w:rtl/>
          <w:lang w:val="en-GB"/>
        </w:rPr>
        <w:t xml:space="preserve"> التعاون مع الشعوب الأصلية والمجتمعات المحلية ومنظمات المجتمع المدني وال</w:t>
      </w:r>
      <w:r w:rsidRPr="00FF662B">
        <w:rPr>
          <w:rFonts w:hint="cs"/>
          <w:rtl/>
          <w:lang w:val="en-GB"/>
        </w:rPr>
        <w:t>جماعات</w:t>
      </w:r>
      <w:r w:rsidRPr="00FF662B">
        <w:rPr>
          <w:rtl/>
          <w:lang w:val="en-GB"/>
        </w:rPr>
        <w:t xml:space="preserve"> النسائية</w:t>
      </w:r>
      <w:r>
        <w:rPr>
          <w:rFonts w:hint="cs"/>
          <w:rtl/>
          <w:lang w:val="en-GB"/>
        </w:rPr>
        <w:t>، والشباب،</w:t>
      </w:r>
      <w:r w:rsidRPr="00FF662B">
        <w:rPr>
          <w:rtl/>
          <w:lang w:val="en-GB"/>
        </w:rPr>
        <w:t xml:space="preserve"> وأصحاب المصلحة </w:t>
      </w:r>
      <w:r>
        <w:rPr>
          <w:rFonts w:hint="cs"/>
          <w:rtl/>
          <w:lang w:val="en-GB"/>
        </w:rPr>
        <w:t xml:space="preserve">المعنيين </w:t>
      </w:r>
      <w:r w:rsidRPr="00FF662B">
        <w:rPr>
          <w:rtl/>
          <w:lang w:val="en-GB"/>
        </w:rPr>
        <w:t>الآخرين</w:t>
      </w:r>
      <w:r>
        <w:rPr>
          <w:rFonts w:hint="cs"/>
          <w:rtl/>
          <w:lang w:val="en-GB"/>
        </w:rPr>
        <w:t>، بما في ذلك القطاع الخاص،</w:t>
      </w:r>
      <w:r w:rsidRPr="00FF662B">
        <w:rPr>
          <w:rtl/>
          <w:lang w:val="en-GB"/>
        </w:rPr>
        <w:t xml:space="preserve"> </w:t>
      </w:r>
      <w:r>
        <w:rPr>
          <w:rFonts w:hint="cs"/>
          <w:rtl/>
          <w:lang w:val="en-GB"/>
        </w:rPr>
        <w:t>من أجل تنفيذ الخطة الاستراتيجية للتنوع البيولوجي 2011-2020 بطريقة فعالة</w:t>
      </w:r>
      <w:r w:rsidRPr="00FF662B">
        <w:rPr>
          <w:rFonts w:hint="cs"/>
          <w:rtl/>
          <w:lang w:val="en-GB"/>
        </w:rPr>
        <w:t>؛</w:t>
      </w:r>
    </w:p>
    <w:p w:rsidR="0044570B" w:rsidRPr="00FF662B" w:rsidRDefault="0044570B" w:rsidP="00FF7FA5">
      <w:pPr>
        <w:numPr>
          <w:ilvl w:val="0"/>
          <w:numId w:val="14"/>
        </w:numPr>
        <w:ind w:left="0" w:firstLine="720"/>
        <w:rPr>
          <w:lang w:val="en-GB"/>
        </w:rPr>
      </w:pPr>
      <w:r w:rsidRPr="00FF662B">
        <w:rPr>
          <w:i/>
          <w:iCs/>
          <w:rtl/>
          <w:lang w:val="en-GB"/>
        </w:rPr>
        <w:t>يدعو</w:t>
      </w:r>
      <w:r w:rsidRPr="00FF662B">
        <w:rPr>
          <w:rtl/>
          <w:lang w:val="en-GB"/>
        </w:rPr>
        <w:t xml:space="preserve"> الأطراف وغيرها</w:t>
      </w:r>
      <w:r w:rsidRPr="00FF662B">
        <w:rPr>
          <w:rFonts w:hint="cs"/>
          <w:rtl/>
          <w:lang w:val="en-GB"/>
        </w:rPr>
        <w:t xml:space="preserve"> من الجهات</w:t>
      </w:r>
      <w:r w:rsidRPr="00FF662B">
        <w:rPr>
          <w:rtl/>
          <w:lang w:val="en-GB"/>
        </w:rPr>
        <w:t xml:space="preserve"> إلى الانضمام إلى الشراكات والائتلافات والتحالفات والمساهمة في</w:t>
      </w:r>
      <w:r>
        <w:rPr>
          <w:rFonts w:hint="cs"/>
          <w:rtl/>
          <w:lang w:val="en-GB"/>
        </w:rPr>
        <w:t>ها</w:t>
      </w:r>
      <w:r w:rsidRPr="00FF662B">
        <w:rPr>
          <w:rFonts w:hint="cs"/>
          <w:rtl/>
          <w:lang w:val="en-GB"/>
        </w:rPr>
        <w:t xml:space="preserve"> التي أنشئت</w:t>
      </w:r>
      <w:r w:rsidRPr="00FF662B">
        <w:rPr>
          <w:rtl/>
          <w:lang w:val="en-GB"/>
        </w:rPr>
        <w:t xml:space="preserve"> </w:t>
      </w:r>
      <w:r w:rsidRPr="00FF662B">
        <w:rPr>
          <w:rFonts w:hint="cs"/>
          <w:rtl/>
          <w:lang w:val="en-GB"/>
        </w:rPr>
        <w:t>لدعم تنفيذ</w:t>
      </w:r>
      <w:r w:rsidRPr="00FF662B">
        <w:rPr>
          <w:rtl/>
          <w:lang w:val="en-GB"/>
        </w:rPr>
        <w:t xml:space="preserve"> الخطة الاستراتيجية و</w:t>
      </w:r>
      <w:r w:rsidRPr="00FF662B">
        <w:rPr>
          <w:rFonts w:hint="cs"/>
          <w:rtl/>
          <w:lang w:val="en-GB"/>
        </w:rPr>
        <w:t xml:space="preserve">تحقيق </w:t>
      </w:r>
      <w:r w:rsidRPr="00FF662B">
        <w:rPr>
          <w:rtl/>
          <w:lang w:val="en-GB"/>
        </w:rPr>
        <w:t>أهداف أيشي للتنوع البيولوجي</w:t>
      </w:r>
      <w:r w:rsidRPr="00FF662B">
        <w:rPr>
          <w:rFonts w:hint="cs"/>
          <w:rtl/>
          <w:lang w:val="en-GB"/>
        </w:rPr>
        <w:t>؛</w:t>
      </w:r>
    </w:p>
    <w:p w:rsidR="0044570B" w:rsidRPr="00FF662B" w:rsidRDefault="0044570B" w:rsidP="00FF7FA5">
      <w:pPr>
        <w:numPr>
          <w:ilvl w:val="0"/>
          <w:numId w:val="14"/>
        </w:numPr>
        <w:ind w:left="0" w:firstLine="720"/>
      </w:pPr>
      <w:r w:rsidRPr="00FF662B">
        <w:rPr>
          <w:rFonts w:hint="cs"/>
          <w:i/>
          <w:iCs/>
          <w:rtl/>
        </w:rPr>
        <w:t>يشجع</w:t>
      </w:r>
      <w:r w:rsidRPr="00FF662B">
        <w:rPr>
          <w:rtl/>
        </w:rPr>
        <w:t xml:space="preserve"> </w:t>
      </w:r>
      <w:r w:rsidRPr="00FF662B">
        <w:rPr>
          <w:rtl/>
          <w:lang w:val="en-GB"/>
        </w:rPr>
        <w:t>الأطراف</w:t>
      </w:r>
      <w:r w:rsidRPr="00FF662B">
        <w:rPr>
          <w:rtl/>
        </w:rPr>
        <w:t xml:space="preserve"> </w:t>
      </w:r>
      <w:r w:rsidRPr="00FF662B">
        <w:rPr>
          <w:i/>
          <w:iCs/>
          <w:rtl/>
        </w:rPr>
        <w:t>ويدعو</w:t>
      </w:r>
      <w:r w:rsidRPr="00FF662B">
        <w:rPr>
          <w:rtl/>
        </w:rPr>
        <w:t xml:space="preserve"> الحكومات الأخرى</w:t>
      </w:r>
      <w:r w:rsidRPr="00FF662B">
        <w:rPr>
          <w:rFonts w:hint="cs"/>
          <w:rtl/>
        </w:rPr>
        <w:t>، بغية إرشاد الإجراءات على المستوى الوطني، إلى الاستفادة مما يلي، حسب الاقتضاء:</w:t>
      </w:r>
    </w:p>
    <w:p w:rsidR="0044570B" w:rsidRPr="00FF662B" w:rsidRDefault="0044570B" w:rsidP="0044570B">
      <w:pPr>
        <w:ind w:firstLine="720"/>
        <w:rPr>
          <w:rtl/>
        </w:rPr>
      </w:pPr>
      <w:r w:rsidRPr="00FF662B">
        <w:rPr>
          <w:rFonts w:hint="cs"/>
          <w:rtl/>
        </w:rPr>
        <w:t>(أ)</w:t>
      </w:r>
      <w:r w:rsidRPr="00FF662B">
        <w:rPr>
          <w:rFonts w:hint="cs"/>
          <w:rtl/>
        </w:rPr>
        <w:tab/>
        <w:t xml:space="preserve">التقييمات الإقليمية للتنوع البيولوجي وخدمات النظم الإيكولوجية </w:t>
      </w:r>
      <w:r w:rsidRPr="00FF662B">
        <w:rPr>
          <w:rtl/>
        </w:rPr>
        <w:t>لأفريقيا</w:t>
      </w:r>
      <w:r w:rsidRPr="00FF662B">
        <w:rPr>
          <w:rFonts w:hint="cs"/>
          <w:rtl/>
        </w:rPr>
        <w:t>،</w:t>
      </w:r>
      <w:r w:rsidRPr="00FF662B">
        <w:rPr>
          <w:rtl/>
        </w:rPr>
        <w:t xml:space="preserve"> والأمريكتين</w:t>
      </w:r>
      <w:r w:rsidRPr="00FF662B">
        <w:rPr>
          <w:rFonts w:hint="cs"/>
          <w:rtl/>
        </w:rPr>
        <w:t>،</w:t>
      </w:r>
      <w:r w:rsidRPr="00FF662B">
        <w:rPr>
          <w:rtl/>
        </w:rPr>
        <w:t xml:space="preserve"> وآسيا والمحيط الهادئ</w:t>
      </w:r>
      <w:r w:rsidRPr="00FF662B">
        <w:rPr>
          <w:rFonts w:hint="cs"/>
          <w:rtl/>
        </w:rPr>
        <w:t>،</w:t>
      </w:r>
      <w:r w:rsidRPr="00FF662B">
        <w:rPr>
          <w:rtl/>
        </w:rPr>
        <w:t xml:space="preserve"> وأوروبا وآسيا الوسطى</w:t>
      </w:r>
      <w:r>
        <w:rPr>
          <w:rFonts w:hint="cs"/>
          <w:rtl/>
        </w:rPr>
        <w:t>،</w:t>
      </w:r>
      <w:r w:rsidRPr="00FF662B">
        <w:rPr>
          <w:rtl/>
        </w:rPr>
        <w:t xml:space="preserve"> والتقييم المواضيعي لتدهور الأراضي </w:t>
      </w:r>
      <w:r w:rsidRPr="00FF662B">
        <w:rPr>
          <w:rFonts w:hint="cs"/>
          <w:rtl/>
        </w:rPr>
        <w:t>و</w:t>
      </w:r>
      <w:r>
        <w:rPr>
          <w:rFonts w:hint="cs"/>
          <w:rtl/>
        </w:rPr>
        <w:t>است</w:t>
      </w:r>
      <w:r w:rsidRPr="00FF662B">
        <w:rPr>
          <w:rFonts w:hint="cs"/>
          <w:rtl/>
        </w:rPr>
        <w:t>صلاحها الصادرة عن</w:t>
      </w:r>
      <w:r w:rsidRPr="00FF662B">
        <w:rPr>
          <w:rtl/>
        </w:rPr>
        <w:t xml:space="preserve"> المنبر الحكومي الدولي للعلوم والسياسات في مجال التنوع البيولوجي وخدمات النظم الإيكولوجية</w:t>
      </w:r>
      <w:r w:rsidRPr="00FF662B">
        <w:rPr>
          <w:rFonts w:hint="cs"/>
          <w:rtl/>
        </w:rPr>
        <w:t>؛</w:t>
      </w:r>
    </w:p>
    <w:p w:rsidR="0044570B" w:rsidRPr="00FF662B" w:rsidRDefault="0044570B" w:rsidP="0044570B">
      <w:pPr>
        <w:ind w:firstLine="720"/>
        <w:rPr>
          <w:rtl/>
        </w:rPr>
      </w:pPr>
      <w:r w:rsidRPr="00FF662B">
        <w:rPr>
          <w:rFonts w:hint="cs"/>
          <w:rtl/>
        </w:rPr>
        <w:t>(ب)</w:t>
      </w:r>
      <w:r w:rsidRPr="00FF662B">
        <w:rPr>
          <w:rFonts w:hint="cs"/>
          <w:rtl/>
        </w:rPr>
        <w:tab/>
      </w:r>
      <w:r w:rsidRPr="00FF662B">
        <w:rPr>
          <w:rtl/>
        </w:rPr>
        <w:t>استعراض المعلومات العلمية المحد</w:t>
      </w:r>
      <w:r w:rsidRPr="00FF662B">
        <w:rPr>
          <w:rFonts w:hint="cs"/>
          <w:rtl/>
        </w:rPr>
        <w:t>ّ</w:t>
      </w:r>
      <w:r w:rsidRPr="00FF662B">
        <w:rPr>
          <w:rtl/>
        </w:rPr>
        <w:t xml:space="preserve">ثة، بما في ذلك </w:t>
      </w:r>
      <w:r w:rsidRPr="00FF662B">
        <w:rPr>
          <w:rFonts w:hint="cs"/>
          <w:rtl/>
        </w:rPr>
        <w:t>استنتاجاتها، وفجوات المعلومات و</w:t>
      </w:r>
      <w:r w:rsidRPr="00FF662B">
        <w:rPr>
          <w:rtl/>
        </w:rPr>
        <w:t xml:space="preserve">الخيارات الممكنة </w:t>
      </w:r>
      <w:r w:rsidRPr="00FF662B">
        <w:rPr>
          <w:rFonts w:hint="cs"/>
          <w:rtl/>
        </w:rPr>
        <w:t>للإسراع بوتيرة التقدم</w:t>
      </w:r>
      <w:r w:rsidRPr="00FF662B">
        <w:rPr>
          <w:rtl/>
        </w:rPr>
        <w:t xml:space="preserve"> المحرز </w:t>
      </w:r>
      <w:r w:rsidRPr="00FF662B">
        <w:rPr>
          <w:rFonts w:hint="cs"/>
          <w:rtl/>
        </w:rPr>
        <w:t>صوب</w:t>
      </w:r>
      <w:r w:rsidRPr="00FF662B">
        <w:rPr>
          <w:rtl/>
        </w:rPr>
        <w:t xml:space="preserve"> تحقيق أهداف أيشي للتنوع البيولوجي</w:t>
      </w:r>
      <w:r w:rsidRPr="00FF662B">
        <w:rPr>
          <w:rFonts w:hint="cs"/>
          <w:rtl/>
        </w:rPr>
        <w:t>؛</w:t>
      </w:r>
      <w:r w:rsidRPr="00FF662B">
        <w:rPr>
          <w:vertAlign w:val="superscript"/>
          <w:rtl/>
        </w:rPr>
        <w:footnoteReference w:id="7"/>
      </w:r>
    </w:p>
    <w:p w:rsidR="0044570B" w:rsidRPr="00FF662B" w:rsidRDefault="0044570B" w:rsidP="0044570B">
      <w:pPr>
        <w:ind w:firstLine="720"/>
      </w:pPr>
      <w:r w:rsidRPr="00FF662B">
        <w:rPr>
          <w:rFonts w:hint="cs"/>
          <w:rtl/>
        </w:rPr>
        <w:t>(ج)</w:t>
      </w:r>
      <w:r w:rsidRPr="00FF662B">
        <w:rPr>
          <w:rFonts w:hint="cs"/>
          <w:rtl/>
        </w:rPr>
        <w:tab/>
        <w:t xml:space="preserve">المؤشرات </w:t>
      </w:r>
      <w:r w:rsidRPr="00FF662B">
        <w:rPr>
          <w:rtl/>
        </w:rPr>
        <w:t xml:space="preserve">الإضافية </w:t>
      </w:r>
      <w:r w:rsidRPr="00FF662B">
        <w:rPr>
          <w:rFonts w:hint="cs"/>
          <w:rtl/>
        </w:rPr>
        <w:t xml:space="preserve">ذات الصلة بالخطة الاستراتيجية للتنوع البيولوجي 2011-2020 </w:t>
      </w:r>
      <w:r w:rsidRPr="00FF662B">
        <w:rPr>
          <w:rtl/>
        </w:rPr>
        <w:t xml:space="preserve">التي </w:t>
      </w:r>
      <w:r w:rsidRPr="00FF662B">
        <w:rPr>
          <w:rFonts w:hint="cs"/>
          <w:rtl/>
        </w:rPr>
        <w:t>تم</w:t>
      </w:r>
      <w:r w:rsidRPr="00FF662B">
        <w:rPr>
          <w:rtl/>
        </w:rPr>
        <w:t xml:space="preserve"> تحديدها وتلك التي </w:t>
      </w:r>
      <w:r w:rsidRPr="00FF662B">
        <w:rPr>
          <w:rFonts w:hint="cs"/>
          <w:rtl/>
        </w:rPr>
        <w:t>تتضمن</w:t>
      </w:r>
      <w:r w:rsidRPr="00FF662B">
        <w:rPr>
          <w:rtl/>
        </w:rPr>
        <w:t xml:space="preserve"> نقاط بيانات م</w:t>
      </w:r>
      <w:r w:rsidRPr="00FF662B">
        <w:rPr>
          <w:rFonts w:hint="cs"/>
          <w:rtl/>
        </w:rPr>
        <w:t>حدّثة؛</w:t>
      </w:r>
      <w:r w:rsidRPr="00FF662B">
        <w:rPr>
          <w:vertAlign w:val="superscript"/>
        </w:rPr>
        <w:footnoteReference w:id="8"/>
      </w:r>
    </w:p>
    <w:p w:rsidR="0044570B" w:rsidRPr="00FF662B" w:rsidRDefault="0044570B" w:rsidP="00FF7FA5">
      <w:pPr>
        <w:numPr>
          <w:ilvl w:val="0"/>
          <w:numId w:val="14"/>
        </w:numPr>
        <w:ind w:left="0" w:firstLine="720"/>
      </w:pPr>
      <w:r w:rsidRPr="00FF662B">
        <w:rPr>
          <w:i/>
          <w:iCs/>
          <w:rtl/>
        </w:rPr>
        <w:t>ي</w:t>
      </w:r>
      <w:r w:rsidRPr="00FF662B">
        <w:rPr>
          <w:rFonts w:hint="cs"/>
          <w:i/>
          <w:iCs/>
          <w:rtl/>
        </w:rPr>
        <w:t>حث</w:t>
      </w:r>
      <w:r w:rsidRPr="00FF662B">
        <w:rPr>
          <w:rtl/>
        </w:rPr>
        <w:t xml:space="preserve"> الأطراف </w:t>
      </w:r>
      <w:r w:rsidRPr="00FF662B">
        <w:rPr>
          <w:i/>
          <w:iCs/>
          <w:rtl/>
        </w:rPr>
        <w:t>و</w:t>
      </w:r>
      <w:r w:rsidRPr="00FF662B">
        <w:rPr>
          <w:rFonts w:hint="cs"/>
          <w:i/>
          <w:iCs/>
          <w:rtl/>
        </w:rPr>
        <w:t>يدعو</w:t>
      </w:r>
      <w:r w:rsidRPr="00FF662B">
        <w:rPr>
          <w:rFonts w:hint="cs"/>
          <w:rtl/>
        </w:rPr>
        <w:t xml:space="preserve"> </w:t>
      </w:r>
      <w:r w:rsidRPr="00FF662B">
        <w:rPr>
          <w:rtl/>
        </w:rPr>
        <w:t>الحكومات الأخرى</w:t>
      </w:r>
      <w:r w:rsidRPr="00FF662B">
        <w:rPr>
          <w:rFonts w:hint="cs"/>
          <w:rtl/>
        </w:rPr>
        <w:t>، حسب الاقتضاء،</w:t>
      </w:r>
      <w:r w:rsidRPr="00FF662B">
        <w:rPr>
          <w:rtl/>
        </w:rPr>
        <w:t xml:space="preserve"> </w:t>
      </w:r>
      <w:r w:rsidRPr="00FF662B">
        <w:rPr>
          <w:rFonts w:hint="cs"/>
          <w:rtl/>
        </w:rPr>
        <w:t>إ</w:t>
      </w:r>
      <w:r w:rsidRPr="00FF662B">
        <w:rPr>
          <w:rtl/>
        </w:rPr>
        <w:t xml:space="preserve">لى </w:t>
      </w:r>
      <w:r w:rsidRPr="00FF662B">
        <w:rPr>
          <w:rFonts w:hint="cs"/>
          <w:rtl/>
        </w:rPr>
        <w:t xml:space="preserve">النظر في إجراء تقييمات وطنية للتنوع البيولوجي </w:t>
      </w:r>
      <w:r>
        <w:rPr>
          <w:rFonts w:hint="cs"/>
          <w:rtl/>
        </w:rPr>
        <w:t xml:space="preserve">ووظائف </w:t>
      </w:r>
      <w:r w:rsidRPr="00FF662B">
        <w:rPr>
          <w:rFonts w:hint="cs"/>
          <w:rtl/>
        </w:rPr>
        <w:t>وخدمات النظم الإيكولوجية؛</w:t>
      </w:r>
    </w:p>
    <w:p w:rsidR="0044570B" w:rsidRPr="00FF662B" w:rsidRDefault="0044570B" w:rsidP="00FF7FA5">
      <w:pPr>
        <w:numPr>
          <w:ilvl w:val="0"/>
          <w:numId w:val="14"/>
        </w:numPr>
        <w:ind w:left="0" w:firstLine="720"/>
      </w:pPr>
      <w:r w:rsidRPr="00FF662B">
        <w:rPr>
          <w:rFonts w:hint="cs"/>
          <w:i/>
          <w:iCs/>
          <w:rtl/>
        </w:rPr>
        <w:t xml:space="preserve">يدعو </w:t>
      </w:r>
      <w:r w:rsidRPr="00FF662B">
        <w:rPr>
          <w:rFonts w:hint="cs"/>
          <w:rtl/>
        </w:rPr>
        <w:t>المنظمات ذات الصلة وشركاء التنمية إلى دعم الأطراف في إجراء تقييمات وطنية للتنوع البيولوجي ووظائف وخدمات النظم الإيكولوجية،</w:t>
      </w:r>
      <w:r>
        <w:rPr>
          <w:rFonts w:hint="cs"/>
          <w:rtl/>
        </w:rPr>
        <w:t xml:space="preserve"> بما في ذلك من خلال توفير الموارد التقنية والمالية الملائمة،</w:t>
      </w:r>
      <w:r w:rsidRPr="00FF662B">
        <w:rPr>
          <w:rFonts w:hint="cs"/>
          <w:rtl/>
        </w:rPr>
        <w:t xml:space="preserve"> مع ملاحظة العمل الجاري </w:t>
      </w:r>
      <w:r w:rsidRPr="00FF662B">
        <w:rPr>
          <w:rFonts w:hint="cs"/>
          <w:rtl/>
        </w:rPr>
        <w:lastRenderedPageBreak/>
        <w:t xml:space="preserve">في هذا الصدد المضطلع به في سياق شبكة التنوع البيولوجي وخدمات النظم الإيكولوجية </w:t>
      </w:r>
      <w:r w:rsidRPr="00FF662B">
        <w:t>(BES-Net)</w:t>
      </w:r>
      <w:r w:rsidRPr="00FF662B">
        <w:rPr>
          <w:rFonts w:hint="cs"/>
          <w:rtl/>
        </w:rPr>
        <w:t xml:space="preserve"> بدعم تقني من المركز العالمي لرصد الحفظ التابع لبرنامج الأمم المتحدة للبيئة؛</w:t>
      </w:r>
      <w:r w:rsidRPr="00FF662B">
        <w:rPr>
          <w:vertAlign w:val="superscript"/>
        </w:rPr>
        <w:footnoteReference w:id="9"/>
      </w:r>
    </w:p>
    <w:p w:rsidR="0044570B" w:rsidRPr="00FF662B" w:rsidRDefault="0044570B" w:rsidP="00FF7FA5">
      <w:pPr>
        <w:numPr>
          <w:ilvl w:val="0"/>
          <w:numId w:val="14"/>
        </w:numPr>
        <w:ind w:left="0" w:firstLine="720"/>
      </w:pPr>
      <w:r>
        <w:rPr>
          <w:rFonts w:hint="cs"/>
          <w:i/>
          <w:iCs/>
          <w:rtl/>
        </w:rPr>
        <w:t xml:space="preserve">وإذ يشير إلى </w:t>
      </w:r>
      <w:r>
        <w:rPr>
          <w:rFonts w:hint="cs"/>
          <w:rtl/>
        </w:rPr>
        <w:t xml:space="preserve">ضرورة تعزيز الدعم السياسي والتقني والمالي، ونقل التكنولوجيا وبناء القدرات، </w:t>
      </w:r>
      <w:r w:rsidRPr="00FF662B">
        <w:rPr>
          <w:rFonts w:hint="cs"/>
          <w:i/>
          <w:iCs/>
          <w:rtl/>
        </w:rPr>
        <w:t>يحث</w:t>
      </w:r>
      <w:r w:rsidRPr="00FF662B">
        <w:rPr>
          <w:rtl/>
        </w:rPr>
        <w:t xml:space="preserve"> الأطراف </w:t>
      </w:r>
      <w:r w:rsidRPr="00FF662B">
        <w:rPr>
          <w:i/>
          <w:iCs/>
          <w:rtl/>
        </w:rPr>
        <w:t>و</w:t>
      </w:r>
      <w:r w:rsidRPr="00FF662B">
        <w:rPr>
          <w:rFonts w:hint="cs"/>
          <w:i/>
          <w:iCs/>
          <w:rtl/>
        </w:rPr>
        <w:t xml:space="preserve">يدعو </w:t>
      </w:r>
      <w:r w:rsidRPr="00FF662B">
        <w:rPr>
          <w:rtl/>
        </w:rPr>
        <w:t xml:space="preserve">الحكومات الأخرى، </w:t>
      </w:r>
      <w:r w:rsidRPr="00FF662B">
        <w:rPr>
          <w:rFonts w:hint="cs"/>
          <w:rtl/>
        </w:rPr>
        <w:t xml:space="preserve">وفقا للظروف الوطنية، </w:t>
      </w:r>
      <w:r w:rsidRPr="00FF662B">
        <w:rPr>
          <w:rFonts w:hint="cs"/>
          <w:i/>
          <w:iCs/>
          <w:rtl/>
        </w:rPr>
        <w:t>ويدعو</w:t>
      </w:r>
      <w:r>
        <w:rPr>
          <w:rtl/>
        </w:rPr>
        <w:t xml:space="preserve"> </w:t>
      </w:r>
      <w:r w:rsidRPr="00FF662B">
        <w:rPr>
          <w:rtl/>
        </w:rPr>
        <w:t>الشعوب الأصلية والمجتمعات المحلية</w:t>
      </w:r>
      <w:r>
        <w:rPr>
          <w:rFonts w:hint="cs"/>
          <w:rtl/>
        </w:rPr>
        <w:t>، والمنظمات ذات الصلة، بما في ذلك من القطاع الخاص،</w:t>
      </w:r>
      <w:r w:rsidRPr="00FF662B">
        <w:rPr>
          <w:rtl/>
        </w:rPr>
        <w:t xml:space="preserve"> وأصحاب المصلحة</w:t>
      </w:r>
      <w:r w:rsidRPr="00FF662B">
        <w:rPr>
          <w:rFonts w:hint="cs"/>
          <w:rtl/>
        </w:rPr>
        <w:t xml:space="preserve"> </w:t>
      </w:r>
      <w:r>
        <w:rPr>
          <w:rFonts w:hint="cs"/>
          <w:rtl/>
        </w:rPr>
        <w:t xml:space="preserve">المعنيين الآخرين </w:t>
      </w:r>
      <w:r w:rsidRPr="00FF662B">
        <w:rPr>
          <w:rFonts w:hint="cs"/>
          <w:rtl/>
        </w:rPr>
        <w:t>إلى اتخاذ إجراءات عاجلة بحلول عام 2020 بشأن أهداف أيشي للتنوع البيولوجي، أو عناصرها، التي يتعين الإسراع في إحراز تقدم بشأنها، من خلال القيام بما يلي، ضمن جملة أمور، حسب الاقتضاء:</w:t>
      </w:r>
    </w:p>
    <w:p w:rsidR="0044570B" w:rsidRPr="00FF662B" w:rsidRDefault="0044570B" w:rsidP="0044570B">
      <w:pPr>
        <w:ind w:firstLine="720"/>
        <w:rPr>
          <w:rtl/>
        </w:rPr>
      </w:pPr>
      <w:r w:rsidRPr="00FF662B">
        <w:rPr>
          <w:rFonts w:hint="cs"/>
          <w:rtl/>
        </w:rPr>
        <w:t>(أ)</w:t>
      </w:r>
      <w:r w:rsidRPr="00FF662B">
        <w:rPr>
          <w:rFonts w:hint="cs"/>
          <w:rtl/>
        </w:rPr>
        <w:tab/>
        <w:t>بالنسبة للهدف 1، إعداد استراتيجيات الاتصالات وأدوات للتعلم وزيادة التوعية ذات الصلة بالتنوع البيولوجي كوسيلة للنهوض بالتغير السلوكي</w:t>
      </w:r>
      <w:r>
        <w:rPr>
          <w:rFonts w:hint="cs"/>
          <w:rtl/>
        </w:rPr>
        <w:t xml:space="preserve"> من أجل حفظ التنوع البيولوجي واستخدامه المستدام، بما في ذلك</w:t>
      </w:r>
      <w:r w:rsidRPr="00FF662B">
        <w:rPr>
          <w:rFonts w:hint="cs"/>
          <w:rtl/>
        </w:rPr>
        <w:t xml:space="preserve"> </w:t>
      </w:r>
      <w:r>
        <w:rPr>
          <w:rFonts w:hint="cs"/>
          <w:rtl/>
        </w:rPr>
        <w:t>الإنتاج والاستهلاك المستدامين</w:t>
      </w:r>
      <w:r w:rsidRPr="00FF662B">
        <w:rPr>
          <w:rFonts w:hint="cs"/>
          <w:rtl/>
        </w:rPr>
        <w:t>، مع ملاحظة أن</w:t>
      </w:r>
      <w:r>
        <w:rPr>
          <w:rFonts w:hint="cs"/>
          <w:rtl/>
        </w:rPr>
        <w:t>ه</w:t>
      </w:r>
      <w:r w:rsidRPr="00FF662B">
        <w:rPr>
          <w:rFonts w:hint="cs"/>
          <w:rtl/>
        </w:rPr>
        <w:t xml:space="preserve"> على الرغم من إتاحة المزيد من المعلومات ذات الصلة بالتنوع البيولوجي، فإنها لم تصل إلى عامة الجمهور؛</w:t>
      </w:r>
    </w:p>
    <w:p w:rsidR="0044570B" w:rsidRDefault="0044570B" w:rsidP="0044570B">
      <w:pPr>
        <w:ind w:firstLine="720"/>
        <w:rPr>
          <w:rtl/>
        </w:rPr>
      </w:pPr>
      <w:r w:rsidRPr="00FF662B">
        <w:rPr>
          <w:rFonts w:hint="cs"/>
          <w:rtl/>
        </w:rPr>
        <w:t>(ب)</w:t>
      </w:r>
      <w:r w:rsidRPr="00FF662B">
        <w:rPr>
          <w:rFonts w:hint="cs"/>
          <w:rtl/>
        </w:rPr>
        <w:tab/>
        <w:t xml:space="preserve">بالنسبة للهدف 3، إزالة، أو إجراء تخفيض تدريجي أو إصلاح الحوافز الضارة التي تؤدي إلى تدهور التنوع البيولوجي </w:t>
      </w:r>
      <w:r>
        <w:rPr>
          <w:rFonts w:hint="cs"/>
          <w:rtl/>
        </w:rPr>
        <w:t>وإعداد وتطبيق</w:t>
      </w:r>
      <w:r w:rsidRPr="00FF662B">
        <w:rPr>
          <w:rFonts w:hint="cs"/>
          <w:rtl/>
        </w:rPr>
        <w:t xml:space="preserve"> حوافز إيجابية تكافئ اعتماد الممارسات المستدامة</w:t>
      </w:r>
      <w:r>
        <w:rPr>
          <w:rFonts w:hint="cs"/>
          <w:rtl/>
        </w:rPr>
        <w:t>، بما يتجانس مع الاتفاقية والالتزامات الدولية الأخرى، مع مراعاة الظروف الاجتماعية الاقتصادية الوطنية</w:t>
      </w:r>
      <w:r w:rsidRPr="00FF662B">
        <w:rPr>
          <w:rFonts w:hint="cs"/>
          <w:rtl/>
        </w:rPr>
        <w:t>؛</w:t>
      </w:r>
    </w:p>
    <w:p w:rsidR="0044570B" w:rsidRPr="00FF662B" w:rsidRDefault="0044570B" w:rsidP="0044570B">
      <w:pPr>
        <w:ind w:firstLine="720"/>
        <w:rPr>
          <w:rtl/>
        </w:rPr>
      </w:pPr>
      <w:r w:rsidRPr="00FF662B">
        <w:rPr>
          <w:rFonts w:hint="cs"/>
          <w:rtl/>
        </w:rPr>
        <w:t>(ج)</w:t>
      </w:r>
      <w:r w:rsidRPr="00FF662B">
        <w:rPr>
          <w:rFonts w:hint="cs"/>
          <w:rtl/>
        </w:rPr>
        <w:tab/>
        <w:t xml:space="preserve">بالنسبة للهدف 5، مع ملاحظة أنه بينما قد تم خفض المعدل السنوي للخسارة الصافية في الغابات إلى النصف، لا تزال هناك حاجة إلى مزيد من الجهود للتصدي لتدهور الغابات وإزالة الغابات </w:t>
      </w:r>
      <w:r>
        <w:rPr>
          <w:rFonts w:hint="cs"/>
          <w:rtl/>
        </w:rPr>
        <w:t>على</w:t>
      </w:r>
      <w:r w:rsidRPr="00FF662B">
        <w:rPr>
          <w:rFonts w:hint="cs"/>
          <w:rtl/>
        </w:rPr>
        <w:t xml:space="preserve"> المستوى الإقليمي</w:t>
      </w:r>
      <w:r>
        <w:rPr>
          <w:rFonts w:hint="cs"/>
          <w:rtl/>
        </w:rPr>
        <w:t xml:space="preserve"> ويتعين مواصلة الجهود للحد من فقدان وتدهور النظم الإيكولوجية الأخرى</w:t>
      </w:r>
      <w:r w:rsidRPr="00FF662B">
        <w:rPr>
          <w:rFonts w:hint="cs"/>
          <w:rtl/>
        </w:rPr>
        <w:t>؛</w:t>
      </w:r>
    </w:p>
    <w:p w:rsidR="0044570B" w:rsidRPr="00FF662B" w:rsidRDefault="0044570B" w:rsidP="0044570B">
      <w:pPr>
        <w:ind w:firstLine="720"/>
        <w:rPr>
          <w:rtl/>
        </w:rPr>
      </w:pPr>
      <w:r w:rsidRPr="00FF662B">
        <w:rPr>
          <w:rFonts w:hint="cs"/>
          <w:rtl/>
        </w:rPr>
        <w:t>(د)</w:t>
      </w:r>
      <w:r w:rsidRPr="00FF662B">
        <w:rPr>
          <w:rFonts w:hint="cs"/>
          <w:rtl/>
        </w:rPr>
        <w:tab/>
        <w:t>بالنسبة للهدف 6، تعزيز الجهود الرامية إلى عكس مسار التدهور في استدامة مصايد الأسماك في العالم؛</w:t>
      </w:r>
    </w:p>
    <w:p w:rsidR="0044570B" w:rsidRPr="00FF662B" w:rsidRDefault="0044570B" w:rsidP="0044570B">
      <w:pPr>
        <w:ind w:firstLine="720"/>
        <w:rPr>
          <w:rtl/>
        </w:rPr>
      </w:pPr>
      <w:r w:rsidRPr="00FF662B">
        <w:rPr>
          <w:rFonts w:hint="cs"/>
          <w:rtl/>
        </w:rPr>
        <w:t>(ﻫ)</w:t>
      </w:r>
      <w:r w:rsidRPr="00FF662B">
        <w:rPr>
          <w:rFonts w:hint="cs"/>
          <w:rtl/>
        </w:rPr>
        <w:tab/>
        <w:t>بالنسبة للهدف 7، التشجيع على حفظ التنوع البيولوجي للتربة واستخدامها المستدام، مثلا عن طريق المساهمة في المبادرة الدولية لحفظ التنوع البيولوجي للتربة واستخدامها المستدام التي تنسقها منظمة الأغذية والزراعة للأمم المتحدة،</w:t>
      </w:r>
      <w:r w:rsidRPr="00FF662B">
        <w:rPr>
          <w:vertAlign w:val="superscript"/>
          <w:rtl/>
        </w:rPr>
        <w:footnoteReference w:id="10"/>
      </w:r>
      <w:r w:rsidRPr="00FF662B">
        <w:rPr>
          <w:rFonts w:hint="cs"/>
          <w:rtl/>
        </w:rPr>
        <w:t xml:space="preserve"> وتحسين إنفاذ ورصد الإدارة المستدامة للغابات</w:t>
      </w:r>
      <w:r>
        <w:rPr>
          <w:rFonts w:hint="cs"/>
          <w:rtl/>
        </w:rPr>
        <w:t xml:space="preserve"> واستدامة تجارة الأخشاب</w:t>
      </w:r>
      <w:r w:rsidRPr="00FF662B">
        <w:rPr>
          <w:rFonts w:hint="cs"/>
          <w:rtl/>
        </w:rPr>
        <w:t>، وخصوصا في البلدان النامية وفي المناطق المدارية؛</w:t>
      </w:r>
    </w:p>
    <w:p w:rsidR="0044570B" w:rsidRPr="00FF662B" w:rsidRDefault="0044570B" w:rsidP="0044570B">
      <w:pPr>
        <w:ind w:firstLine="720"/>
        <w:rPr>
          <w:rtl/>
        </w:rPr>
      </w:pPr>
      <w:r w:rsidRPr="00FF662B">
        <w:rPr>
          <w:rFonts w:hint="cs"/>
          <w:rtl/>
        </w:rPr>
        <w:t>(و)</w:t>
      </w:r>
      <w:r w:rsidRPr="00FF662B">
        <w:rPr>
          <w:rFonts w:hint="cs"/>
          <w:rtl/>
        </w:rPr>
        <w:tab/>
        <w:t>بالنسبة للهدف 8، زيادة الإجراءات للحد من التلوث، بما في ذلك من المغذيات المفرطة؛</w:t>
      </w:r>
    </w:p>
    <w:p w:rsidR="0044570B" w:rsidRPr="00FF662B" w:rsidRDefault="0044570B" w:rsidP="0044570B">
      <w:pPr>
        <w:ind w:firstLine="720"/>
        <w:rPr>
          <w:rtl/>
        </w:rPr>
      </w:pPr>
      <w:r w:rsidRPr="00FF662B">
        <w:rPr>
          <w:rFonts w:hint="cs"/>
          <w:rtl/>
        </w:rPr>
        <w:t>(ز)</w:t>
      </w:r>
      <w:r w:rsidRPr="00FF662B">
        <w:rPr>
          <w:rFonts w:hint="cs"/>
          <w:rtl/>
        </w:rPr>
        <w:tab/>
        <w:t>بالنسبة للهدف 9، وضع تركيز أكبر على منع انتشار الأنواع الغريبة الغازية والقضاء على تلك الموجودة بالفعل؛</w:t>
      </w:r>
    </w:p>
    <w:p w:rsidR="0044570B" w:rsidRPr="00FF662B" w:rsidRDefault="0044570B" w:rsidP="0044570B">
      <w:pPr>
        <w:ind w:firstLine="720"/>
        <w:rPr>
          <w:rtl/>
        </w:rPr>
      </w:pPr>
      <w:r w:rsidRPr="00FF662B">
        <w:rPr>
          <w:rFonts w:hint="cs"/>
          <w:rtl/>
        </w:rPr>
        <w:t>(ح)</w:t>
      </w:r>
      <w:r w:rsidRPr="00FF662B">
        <w:rPr>
          <w:rFonts w:hint="cs"/>
          <w:rtl/>
        </w:rPr>
        <w:tab/>
        <w:t xml:space="preserve">بالنسبة للهدف 10، تعزيز الجهود الرامية إلى منع الانخفاض المستمر في أنحاء </w:t>
      </w:r>
      <w:r w:rsidRPr="006828ED">
        <w:rPr>
          <w:rFonts w:hint="cs"/>
          <w:spacing w:val="-10"/>
          <w:rtl/>
        </w:rPr>
        <w:t>العالم لغطاء الشعاب الحية</w:t>
      </w:r>
      <w:r w:rsidRPr="00FF662B">
        <w:rPr>
          <w:rFonts w:hint="cs"/>
          <w:rtl/>
        </w:rPr>
        <w:t>؛</w:t>
      </w:r>
    </w:p>
    <w:p w:rsidR="0044570B" w:rsidRPr="00FF662B" w:rsidRDefault="0044570B" w:rsidP="0044570B">
      <w:pPr>
        <w:ind w:firstLine="720"/>
        <w:rPr>
          <w:rtl/>
        </w:rPr>
      </w:pPr>
      <w:r w:rsidRPr="00FF662B">
        <w:rPr>
          <w:rFonts w:hint="cs"/>
          <w:rtl/>
        </w:rPr>
        <w:t>(ط)</w:t>
      </w:r>
      <w:r w:rsidRPr="00FF662B">
        <w:rPr>
          <w:rFonts w:hint="cs"/>
          <w:rtl/>
        </w:rPr>
        <w:tab/>
        <w:t xml:space="preserve">بالنسبة للهدفين 11 و12، مع ملاحظة أن جميع المناطق الإيكولوجية في العالم ليست مشمولة على نحو كاف بالمناطق المحمية، وأن معظم المناطق المحمية ليست مترابطة على نحو جيد، وأن معظم الأطراف لم تجر تقييما لفعالية الإدارة لغالبية مناطقها المحمية، وأن الوقاية العالمية لخسارة الأنواع ينبغي أن تركز على مناطق معينة في العالم حيث يوجد </w:t>
      </w:r>
      <w:r w:rsidRPr="00FF662B">
        <w:rPr>
          <w:rFonts w:hint="cs"/>
          <w:rtl/>
        </w:rPr>
        <w:lastRenderedPageBreak/>
        <w:t xml:space="preserve">فيها معظم التنوع في الأنواع و/أو حيث تكون الأكثر عرضة للانقراض، مع التركيز على حماية وإدارة وحفظ أكثر المناطق أهمية للتنوع البيولوجي، مثلا من خلال مبادرات </w:t>
      </w:r>
      <w:r w:rsidRPr="00FF662B">
        <w:rPr>
          <w:rtl/>
        </w:rPr>
        <w:t>التحالف من أجل المنع المطلق للانقراض</w:t>
      </w:r>
      <w:r w:rsidRPr="00FF662B">
        <w:rPr>
          <w:rFonts w:hint="cs"/>
          <w:rtl/>
        </w:rPr>
        <w:t xml:space="preserve"> وغيرها من المبادرات،</w:t>
      </w:r>
      <w:r w:rsidRPr="00FF662B">
        <w:rPr>
          <w:vertAlign w:val="superscript"/>
          <w:rtl/>
        </w:rPr>
        <w:footnoteReference w:id="11"/>
      </w:r>
      <w:r w:rsidRPr="00FF662B">
        <w:rPr>
          <w:rFonts w:hint="cs"/>
          <w:rtl/>
        </w:rPr>
        <w:t xml:space="preserve"> من خلال المناطق المحمية، وتدابير الحفظ الفعالة الأخرى القائمة على أساس المناطق وتدابير حفظ أنواع معينة؛</w:t>
      </w:r>
    </w:p>
    <w:p w:rsidR="0044570B" w:rsidRPr="00FF662B" w:rsidRDefault="0044570B" w:rsidP="0044570B">
      <w:pPr>
        <w:ind w:firstLine="720"/>
        <w:rPr>
          <w:rtl/>
        </w:rPr>
      </w:pPr>
      <w:r w:rsidRPr="00FF662B">
        <w:rPr>
          <w:rFonts w:hint="cs"/>
          <w:rtl/>
        </w:rPr>
        <w:t>(ي)</w:t>
      </w:r>
      <w:r w:rsidRPr="00FF662B">
        <w:rPr>
          <w:rFonts w:hint="cs"/>
          <w:rtl/>
        </w:rPr>
        <w:tab/>
        <w:t>بالنسبة للهدف 13، مع ملاحظة أن عدد الموارد الوراثية النباتية للأغذية والزراعة المصانة في مرافق الحفظ</w:t>
      </w:r>
      <w:r>
        <w:rPr>
          <w:rFonts w:hint="cs"/>
          <w:rtl/>
        </w:rPr>
        <w:t xml:space="preserve"> خارج الموقع الطبيعي</w:t>
      </w:r>
      <w:r w:rsidRPr="00FF662B">
        <w:rPr>
          <w:rFonts w:hint="cs"/>
          <w:rtl/>
        </w:rPr>
        <w:t xml:space="preserve"> يبين زيادة، تعزيز الإجراءات لتجنب المزيد من الانخفاض في التنوع الجيني بين سلالات الحيوانات المدجنة والمستأنسة</w:t>
      </w:r>
      <w:r>
        <w:rPr>
          <w:rFonts w:hint="cs"/>
          <w:rtl/>
        </w:rPr>
        <w:t>، وتعزيز الحفظ داخل الموقع الطبيعي في مراكز المنشأ والتنوع الجيني</w:t>
      </w:r>
      <w:r w:rsidRPr="00FF662B">
        <w:rPr>
          <w:rFonts w:hint="cs"/>
          <w:rtl/>
        </w:rPr>
        <w:t>؛</w:t>
      </w:r>
    </w:p>
    <w:p w:rsidR="0044570B" w:rsidRPr="00FF662B" w:rsidRDefault="0044570B" w:rsidP="0044570B">
      <w:pPr>
        <w:ind w:firstLine="720"/>
        <w:rPr>
          <w:rtl/>
        </w:rPr>
      </w:pPr>
      <w:r w:rsidRPr="00FF662B">
        <w:rPr>
          <w:rFonts w:hint="cs"/>
          <w:rtl/>
        </w:rPr>
        <w:t>(ك)</w:t>
      </w:r>
      <w:r w:rsidRPr="00FF662B">
        <w:rPr>
          <w:rFonts w:hint="cs"/>
          <w:rtl/>
        </w:rPr>
        <w:tab/>
        <w:t>بالنسبة للهدفين 14 و15، الإسراع في تنفيذ خطة العمل قصيرة الأجل المتعلقة باستعادة النظم الإيكولوجية،</w:t>
      </w:r>
      <w:r w:rsidRPr="00FF662B">
        <w:rPr>
          <w:vertAlign w:val="superscript"/>
          <w:rtl/>
        </w:rPr>
        <w:footnoteReference w:id="12"/>
      </w:r>
      <w:r w:rsidRPr="00FF662B">
        <w:rPr>
          <w:rFonts w:hint="cs"/>
          <w:rtl/>
        </w:rPr>
        <w:t xml:space="preserve"> استنادا إلى نتائج التقييم المواضيعي لتدهور الأراضي واستصلاحها الذي أجراه </w:t>
      </w:r>
      <w:r w:rsidRPr="00FF662B">
        <w:rPr>
          <w:rtl/>
        </w:rPr>
        <w:t>المنبر الحكومي الدولي للعلوم والسياسات في مجال التنوع البيولوجي وخدمات النظم الإيكولوجية</w:t>
      </w:r>
      <w:r>
        <w:rPr>
          <w:rFonts w:hint="cs"/>
          <w:rtl/>
        </w:rPr>
        <w:t xml:space="preserve"> ومع الإشارة إلى خطة العمل الأفريقية بشأن استعادة النظم الإيكولوجية من أجل تعزيز القدرة على الصمود</w:t>
      </w:r>
      <w:r>
        <w:rPr>
          <w:rStyle w:val="FootnoteReference"/>
          <w:rtl/>
        </w:rPr>
        <w:footnoteReference w:id="13"/>
      </w:r>
      <w:r>
        <w:rPr>
          <w:rFonts w:hint="cs"/>
          <w:rtl/>
        </w:rPr>
        <w:t xml:space="preserve"> المعتمدة في القمة الوزارية الأفريقية للتنوع البيولوجي 2018</w:t>
      </w:r>
      <w:r w:rsidRPr="00FF662B">
        <w:rPr>
          <w:rFonts w:hint="cs"/>
          <w:rtl/>
        </w:rPr>
        <w:t>؛</w:t>
      </w:r>
      <w:r>
        <w:rPr>
          <w:rStyle w:val="FootnoteReference"/>
          <w:rtl/>
        </w:rPr>
        <w:footnoteReference w:id="14"/>
      </w:r>
    </w:p>
    <w:p w:rsidR="0044570B" w:rsidRDefault="0044570B" w:rsidP="0044570B">
      <w:pPr>
        <w:ind w:firstLine="720"/>
        <w:rPr>
          <w:rtl/>
        </w:rPr>
      </w:pPr>
      <w:r w:rsidRPr="00FF662B">
        <w:rPr>
          <w:rFonts w:hint="cs"/>
          <w:rtl/>
        </w:rPr>
        <w:t>(ل)</w:t>
      </w:r>
      <w:r w:rsidRPr="00FF662B">
        <w:rPr>
          <w:rFonts w:hint="cs"/>
          <w:rtl/>
        </w:rPr>
        <w:tab/>
        <w:t xml:space="preserve">بالنسبة للهدف 18، زيادة الجهود الرامية إلى حماية واحترام المعارف التقليدية والاستفادة من المعلومات الواردة في </w:t>
      </w:r>
      <w:r w:rsidRPr="00FF662B">
        <w:rPr>
          <w:rFonts w:hint="cs"/>
          <w:i/>
          <w:iCs/>
          <w:rtl/>
        </w:rPr>
        <w:t>التوقعات المحلية للتنوع البيولوجي</w:t>
      </w:r>
      <w:r w:rsidRPr="00FF662B">
        <w:rPr>
          <w:rFonts w:hint="cs"/>
          <w:rtl/>
        </w:rPr>
        <w:t>،</w:t>
      </w:r>
      <w:r w:rsidRPr="00FF662B">
        <w:rPr>
          <w:vertAlign w:val="superscript"/>
          <w:rtl/>
        </w:rPr>
        <w:footnoteReference w:id="15"/>
      </w:r>
      <w:r w:rsidRPr="00FF662B">
        <w:rPr>
          <w:rFonts w:hint="cs"/>
          <w:rtl/>
        </w:rPr>
        <w:t xml:space="preserve"> ضمن جملة أمور، بشأن الاستخدام المألوف المستدام من جانب الشعوب الأصلية والمجتمعات المحلية</w:t>
      </w:r>
      <w:r>
        <w:rPr>
          <w:rFonts w:hint="cs"/>
          <w:rtl/>
        </w:rPr>
        <w:t>،</w:t>
      </w:r>
      <w:r w:rsidRPr="00FF662B">
        <w:rPr>
          <w:rFonts w:hint="cs"/>
          <w:rtl/>
        </w:rPr>
        <w:t xml:space="preserve"> للمساهمة في الإبلاغ المحدث عن التقدم المحرز في تنفيذ أهداف أيشي للتنوع البيولوجي؛</w:t>
      </w:r>
    </w:p>
    <w:p w:rsidR="0044570B" w:rsidRPr="00FF662B" w:rsidRDefault="0044570B" w:rsidP="0044570B">
      <w:pPr>
        <w:ind w:firstLine="720"/>
        <w:rPr>
          <w:rtl/>
        </w:rPr>
      </w:pPr>
      <w:r>
        <w:rPr>
          <w:rFonts w:hint="cs"/>
          <w:rtl/>
        </w:rPr>
        <w:t>(م)</w:t>
      </w:r>
      <w:r>
        <w:rPr>
          <w:rFonts w:hint="cs"/>
          <w:rtl/>
        </w:rPr>
        <w:tab/>
        <w:t>بالنسبة للهدف 19، مواصلة تعزيز وتيسير حشد البيانات والمعلومات المتعلقة بالتنوع البيولوجي والمتاحة للجمهور، مع مراعاة الإرشادات الطوعية لتيسير الحصول على بيانات ومعلومات التنوع البيولوجي؛</w:t>
      </w:r>
      <w:r>
        <w:rPr>
          <w:rStyle w:val="FootnoteReference"/>
          <w:rtl/>
        </w:rPr>
        <w:footnoteReference w:id="16"/>
      </w:r>
    </w:p>
    <w:p w:rsidR="0044570B" w:rsidRPr="00FF662B" w:rsidRDefault="0044570B" w:rsidP="00FF7FA5">
      <w:pPr>
        <w:numPr>
          <w:ilvl w:val="0"/>
          <w:numId w:val="14"/>
        </w:numPr>
        <w:ind w:left="0" w:firstLine="720"/>
        <w:rPr>
          <w:rFonts w:ascii="Simplified Arabic" w:eastAsia="Malgun Gothic" w:hAnsi="Simplified Arabic"/>
          <w:rtl/>
          <w:lang w:val="en-GB"/>
        </w:rPr>
      </w:pPr>
      <w:r w:rsidRPr="00FF662B">
        <w:rPr>
          <w:rFonts w:ascii="Simplified Arabic" w:eastAsia="Malgun Gothic" w:hAnsi="Simplified Arabic"/>
          <w:i/>
          <w:iCs/>
          <w:rtl/>
          <w:lang w:val="en-GB"/>
        </w:rPr>
        <w:t>يحث</w:t>
      </w:r>
      <w:r w:rsidRPr="00FF662B">
        <w:rPr>
          <w:rFonts w:ascii="Simplified Arabic" w:eastAsia="Malgun Gothic" w:hAnsi="Simplified Arabic"/>
          <w:rtl/>
          <w:lang w:val="en-GB"/>
        </w:rPr>
        <w:t xml:space="preserve"> </w:t>
      </w:r>
      <w:r w:rsidRPr="00FF662B">
        <w:rPr>
          <w:rtl/>
        </w:rPr>
        <w:t>الأطراف</w:t>
      </w:r>
      <w:r w:rsidRPr="00FF662B">
        <w:rPr>
          <w:rFonts w:ascii="Simplified Arabic" w:eastAsia="Malgun Gothic" w:hAnsi="Simplified Arabic"/>
          <w:rtl/>
          <w:lang w:val="en-GB"/>
        </w:rPr>
        <w:t xml:space="preserve"> </w:t>
      </w:r>
      <w:r w:rsidRPr="00FF662B">
        <w:rPr>
          <w:rFonts w:ascii="Simplified Arabic" w:eastAsia="Malgun Gothic" w:hAnsi="Simplified Arabic"/>
          <w:i/>
          <w:iCs/>
          <w:rtl/>
          <w:lang w:val="en-GB"/>
        </w:rPr>
        <w:t>ويدعو</w:t>
      </w:r>
      <w:r w:rsidRPr="00FF662B">
        <w:rPr>
          <w:rFonts w:ascii="Simplified Arabic" w:eastAsia="Malgun Gothic" w:hAnsi="Simplified Arabic"/>
          <w:rtl/>
          <w:lang w:val="en-GB"/>
        </w:rPr>
        <w:t xml:space="preserve"> الحكومات الأخرى، والمنظمات ذات الصلة إلى القيام بما يلي:</w:t>
      </w:r>
    </w:p>
    <w:p w:rsidR="0044570B" w:rsidRPr="00FF662B" w:rsidRDefault="0044570B" w:rsidP="0044570B">
      <w:pPr>
        <w:ind w:firstLine="720"/>
        <w:rPr>
          <w:rFonts w:ascii="Simplified Arabic" w:hAnsi="Simplified Arabic"/>
          <w:rtl/>
        </w:rPr>
      </w:pPr>
      <w:r w:rsidRPr="00FF662B">
        <w:rPr>
          <w:rFonts w:ascii="Simplified Arabic" w:hAnsi="Simplified Arabic"/>
          <w:rtl/>
        </w:rPr>
        <w:t>(أ)</w:t>
      </w:r>
      <w:r w:rsidRPr="00FF662B">
        <w:rPr>
          <w:rFonts w:ascii="Simplified Arabic" w:hAnsi="Simplified Arabic"/>
          <w:rtl/>
        </w:rPr>
        <w:tab/>
        <w:t xml:space="preserve">تعزيز قدرات نقاط الاتصال الوطنية لاتفاقية التنوع البيولوجي وصناع القرار للاستفادة بشكل فعال من نتائج التقييمات التي </w:t>
      </w:r>
      <w:r>
        <w:rPr>
          <w:rFonts w:ascii="Simplified Arabic" w:hAnsi="Simplified Arabic" w:hint="cs"/>
          <w:rtl/>
        </w:rPr>
        <w:t>أ</w:t>
      </w:r>
      <w:r w:rsidRPr="00FF662B">
        <w:rPr>
          <w:rFonts w:ascii="Simplified Arabic" w:hAnsi="Simplified Arabic"/>
          <w:rtl/>
        </w:rPr>
        <w:t>جر</w:t>
      </w:r>
      <w:r>
        <w:rPr>
          <w:rFonts w:ascii="Simplified Arabic" w:hAnsi="Simplified Arabic" w:hint="cs"/>
          <w:rtl/>
        </w:rPr>
        <w:t>ا</w:t>
      </w:r>
      <w:r w:rsidRPr="00FF662B">
        <w:rPr>
          <w:rFonts w:ascii="Simplified Arabic" w:hAnsi="Simplified Arabic"/>
          <w:rtl/>
        </w:rPr>
        <w:t>ها المنبر الحكومي الدولي للعلوم والسياسات في مجال التنوع البيولوجي وخدمات النظم الإيكولوجية؛</w:t>
      </w:r>
    </w:p>
    <w:p w:rsidR="0044570B" w:rsidRPr="00FF662B" w:rsidRDefault="0044570B" w:rsidP="0044570B">
      <w:pPr>
        <w:ind w:firstLine="720"/>
        <w:rPr>
          <w:rFonts w:ascii="Simplified Arabic" w:hAnsi="Simplified Arabic"/>
          <w:rtl/>
        </w:rPr>
      </w:pPr>
      <w:r w:rsidRPr="00FF662B">
        <w:rPr>
          <w:rFonts w:ascii="Simplified Arabic" w:hAnsi="Simplified Arabic"/>
          <w:rtl/>
        </w:rPr>
        <w:t>(ب)</w:t>
      </w:r>
      <w:r w:rsidRPr="00FF662B">
        <w:rPr>
          <w:rFonts w:ascii="Simplified Arabic" w:hAnsi="Simplified Arabic"/>
          <w:rtl/>
        </w:rPr>
        <w:tab/>
        <w:t xml:space="preserve">تيسير النُهج المتكاملة لبحوث التنوع البيولوجي، بما في ذلك بشأن التفاعلات بين الدوافع غير المباشرة والدوافع المباشرة لفقدان التنوع البيولوجي وآثارها على التنوع البيولوجي، ووظائف وخدمات النظم الإيكولوجية </w:t>
      </w:r>
      <w:r>
        <w:rPr>
          <w:rFonts w:ascii="Simplified Arabic" w:hAnsi="Simplified Arabic" w:hint="cs"/>
          <w:rtl/>
        </w:rPr>
        <w:t xml:space="preserve">ومساهمتها في تحقيق </w:t>
      </w:r>
      <w:r w:rsidRPr="00FF662B">
        <w:rPr>
          <w:rFonts w:ascii="Simplified Arabic" w:hAnsi="Simplified Arabic"/>
          <w:rtl/>
        </w:rPr>
        <w:t>رفاه الإنسان؛</w:t>
      </w:r>
    </w:p>
    <w:p w:rsidR="0044570B" w:rsidRPr="00FF662B" w:rsidRDefault="0044570B" w:rsidP="00FF7FA5">
      <w:pPr>
        <w:numPr>
          <w:ilvl w:val="0"/>
          <w:numId w:val="14"/>
        </w:numPr>
        <w:ind w:left="0" w:firstLine="720"/>
        <w:rPr>
          <w:rFonts w:eastAsia="Malgun Gothic"/>
          <w:lang w:val="en-GB"/>
        </w:rPr>
      </w:pPr>
      <w:r w:rsidRPr="00FF662B">
        <w:rPr>
          <w:rFonts w:ascii="Simplified Arabic" w:eastAsia="Malgun Gothic" w:hAnsi="Simplified Arabic"/>
          <w:i/>
          <w:iCs/>
          <w:rtl/>
          <w:lang w:val="en-GB"/>
        </w:rPr>
        <w:t xml:space="preserve">يقر </w:t>
      </w:r>
      <w:r w:rsidRPr="00FF662B">
        <w:rPr>
          <w:rFonts w:ascii="Simplified Arabic" w:eastAsia="Malgun Gothic" w:hAnsi="Simplified Arabic"/>
          <w:rtl/>
          <w:lang w:val="en-GB"/>
        </w:rPr>
        <w:t>بأن هناك حاجة</w:t>
      </w:r>
      <w:r w:rsidRPr="00FF662B">
        <w:rPr>
          <w:rFonts w:ascii="Simplified Arabic" w:eastAsia="Malgun Gothic" w:hAnsi="Simplified Arabic"/>
          <w:i/>
          <w:iCs/>
          <w:rtl/>
          <w:lang w:val="en-GB"/>
        </w:rPr>
        <w:t xml:space="preserve"> </w:t>
      </w:r>
      <w:r w:rsidRPr="00FF662B">
        <w:rPr>
          <w:rFonts w:ascii="Simplified Arabic" w:eastAsia="Malgun Gothic" w:hAnsi="Simplified Arabic"/>
          <w:rtl/>
          <w:lang w:val="en-GB"/>
        </w:rPr>
        <w:t xml:space="preserve">إلى الاستخدام الأكثر فعالية ومنهجية لآليات الدعم المحددة في الخطة الاستراتيجية للتنوع </w:t>
      </w:r>
      <w:r w:rsidRPr="00FF662B">
        <w:rPr>
          <w:rtl/>
        </w:rPr>
        <w:t>البيولوجي</w:t>
      </w:r>
      <w:r w:rsidRPr="00FF662B">
        <w:rPr>
          <w:rFonts w:ascii="Simplified Arabic" w:eastAsia="Malgun Gothic" w:hAnsi="Simplified Arabic"/>
          <w:rtl/>
          <w:lang w:val="en-GB"/>
        </w:rPr>
        <w:t xml:space="preserve"> 2011-2020،</w:t>
      </w:r>
      <w:r w:rsidRPr="00FF662B">
        <w:rPr>
          <w:rFonts w:ascii="Simplified Arabic" w:eastAsia="Malgun Gothic" w:hAnsi="Simplified Arabic"/>
          <w:vertAlign w:val="superscript"/>
          <w:rtl/>
          <w:lang w:val="en-GB"/>
        </w:rPr>
        <w:footnoteReference w:id="17"/>
      </w:r>
      <w:r w:rsidRPr="00FF662B">
        <w:rPr>
          <w:rFonts w:ascii="Simplified Arabic" w:eastAsia="Malgun Gothic" w:hAnsi="Simplified Arabic"/>
          <w:rtl/>
          <w:lang w:val="en-GB"/>
        </w:rPr>
        <w:t xml:space="preserve"> من أجل تيسير الإجراءات بشأن المسائل المحددة في الفقرات</w:t>
      </w:r>
      <w:r w:rsidRPr="00FF662B">
        <w:rPr>
          <w:rFonts w:eastAsia="Malgun Gothic" w:hint="cs"/>
          <w:rtl/>
          <w:lang w:val="en-GB"/>
        </w:rPr>
        <w:t xml:space="preserve"> 11 و12 و13؛</w:t>
      </w:r>
    </w:p>
    <w:p w:rsidR="0044570B" w:rsidRPr="00FF662B" w:rsidRDefault="0044570B" w:rsidP="00FF7FA5">
      <w:pPr>
        <w:numPr>
          <w:ilvl w:val="0"/>
          <w:numId w:val="14"/>
        </w:numPr>
        <w:ind w:left="0" w:firstLine="720"/>
        <w:rPr>
          <w:lang w:val="en-GB"/>
        </w:rPr>
      </w:pPr>
      <w:r w:rsidRPr="00FF662B">
        <w:rPr>
          <w:rFonts w:hint="cs"/>
          <w:i/>
          <w:iCs/>
          <w:rtl/>
          <w:lang w:val="en-GB"/>
        </w:rPr>
        <w:t>يحث</w:t>
      </w:r>
      <w:r w:rsidRPr="00FF662B">
        <w:rPr>
          <w:rFonts w:hint="cs"/>
          <w:rtl/>
          <w:lang w:val="en-GB"/>
        </w:rPr>
        <w:t xml:space="preserve"> الأطراف </w:t>
      </w:r>
      <w:r w:rsidRPr="00FF662B">
        <w:rPr>
          <w:rFonts w:hint="cs"/>
          <w:i/>
          <w:iCs/>
          <w:rtl/>
          <w:lang w:val="en-GB"/>
        </w:rPr>
        <w:t>ويدعو</w:t>
      </w:r>
      <w:r w:rsidRPr="00FF662B">
        <w:rPr>
          <w:rFonts w:hint="cs"/>
          <w:rtl/>
          <w:lang w:val="en-GB"/>
        </w:rPr>
        <w:t xml:space="preserve"> الحكومات الأخرى، وفقا للظروف</w:t>
      </w:r>
      <w:r>
        <w:rPr>
          <w:rFonts w:hint="cs"/>
          <w:rtl/>
          <w:lang w:val="en-GB"/>
        </w:rPr>
        <w:t xml:space="preserve"> والأولويات</w:t>
      </w:r>
      <w:r w:rsidRPr="00FF662B">
        <w:rPr>
          <w:rFonts w:hint="cs"/>
          <w:rtl/>
          <w:lang w:val="en-GB"/>
        </w:rPr>
        <w:t xml:space="preserve"> الوطنية، </w:t>
      </w:r>
      <w:r w:rsidRPr="00FF662B">
        <w:rPr>
          <w:rFonts w:hint="cs"/>
          <w:i/>
          <w:iCs/>
          <w:rtl/>
          <w:lang w:val="en-GB"/>
        </w:rPr>
        <w:t>ويدعو</w:t>
      </w:r>
      <w:r w:rsidRPr="00FF662B">
        <w:rPr>
          <w:rFonts w:hint="cs"/>
          <w:rtl/>
          <w:lang w:val="en-GB"/>
        </w:rPr>
        <w:t xml:space="preserve"> المنظمات</w:t>
      </w:r>
      <w:r>
        <w:rPr>
          <w:rFonts w:hint="cs"/>
          <w:rtl/>
          <w:lang w:val="en-GB"/>
        </w:rPr>
        <w:t xml:space="preserve"> الأخرى</w:t>
      </w:r>
      <w:r w:rsidRPr="00FF662B">
        <w:rPr>
          <w:rFonts w:hint="cs"/>
          <w:rtl/>
          <w:lang w:val="en-GB"/>
        </w:rPr>
        <w:t xml:space="preserve"> ذات الصلة، </w:t>
      </w:r>
      <w:r w:rsidRPr="00FF662B">
        <w:rPr>
          <w:rFonts w:hint="cs"/>
          <w:rtl/>
        </w:rPr>
        <w:t>والشعوب</w:t>
      </w:r>
      <w:r w:rsidRPr="00FF662B">
        <w:rPr>
          <w:rFonts w:hint="cs"/>
          <w:rtl/>
          <w:lang w:val="en-GB"/>
        </w:rPr>
        <w:t xml:space="preserve"> الأصلية والمجتمعات المحلية وأصحاب المصلحة إلى استخدام الخيارات الواردة في المرفق بهذا المقرر، حسب الاقتضاء؛</w:t>
      </w:r>
    </w:p>
    <w:p w:rsidR="0044570B" w:rsidRPr="00FF662B" w:rsidRDefault="0044570B" w:rsidP="00FF7FA5">
      <w:pPr>
        <w:numPr>
          <w:ilvl w:val="0"/>
          <w:numId w:val="14"/>
        </w:numPr>
        <w:ind w:left="0" w:firstLine="720"/>
        <w:rPr>
          <w:rFonts w:eastAsia="Malgun Gothic"/>
          <w:lang w:val="en-GB"/>
        </w:rPr>
      </w:pPr>
      <w:r w:rsidRPr="00FF662B">
        <w:rPr>
          <w:rFonts w:eastAsia="Malgun Gothic" w:hint="cs"/>
          <w:i/>
          <w:iCs/>
          <w:rtl/>
          <w:lang w:val="en-GB"/>
        </w:rPr>
        <w:lastRenderedPageBreak/>
        <w:t xml:space="preserve">يطلب </w:t>
      </w:r>
      <w:r w:rsidRPr="00FF662B">
        <w:rPr>
          <w:rFonts w:eastAsia="Malgun Gothic" w:hint="cs"/>
          <w:rtl/>
          <w:lang w:val="en-GB"/>
        </w:rPr>
        <w:t>إلى الأمينة التنفيذية أن تبلغ، من خلال منظومة الأمم المتحدة، بما في ذلك المنتدى السياسي الرفيع المستوى المعني بالتنمية المستدامة والاتفاقات البيئية المتعددة الأطراف ذات الصلة، بأن الفشل في تحقيق الخطة الاستراتيجية للتنوع البيولوجي 2011-2020 يعرض للخطر تحقيق خطة التنمية المستدامة لعام 2030 وبالتالي، يقتضي الأمر اتخاذ إجراءات عاجلة</w:t>
      </w:r>
      <w:r>
        <w:rPr>
          <w:rFonts w:eastAsia="Malgun Gothic" w:hint="cs"/>
          <w:rtl/>
          <w:lang w:val="en-GB"/>
        </w:rPr>
        <w:t>، بما في ذلك تحقيق أهداف حشد الموارد،</w:t>
      </w:r>
      <w:r>
        <w:rPr>
          <w:rStyle w:val="FootnoteReference"/>
          <w:rFonts w:eastAsia="Malgun Gothic"/>
          <w:rtl/>
          <w:lang w:val="en-GB"/>
        </w:rPr>
        <w:footnoteReference w:id="18"/>
      </w:r>
      <w:r w:rsidRPr="00FF662B">
        <w:rPr>
          <w:rFonts w:eastAsia="Malgun Gothic" w:hint="cs"/>
          <w:rtl/>
          <w:lang w:val="en-GB"/>
        </w:rPr>
        <w:t xml:space="preserve"> لتحقيق أهداف أيشي للتنوع البيولوجي</w:t>
      </w:r>
      <w:r>
        <w:rPr>
          <w:rFonts w:eastAsia="Malgun Gothic" w:hint="cs"/>
          <w:rtl/>
          <w:lang w:val="en-GB"/>
        </w:rPr>
        <w:t xml:space="preserve"> ولحماية نظم دعم حياة الكوكب</w:t>
      </w:r>
      <w:r w:rsidRPr="00FF662B">
        <w:rPr>
          <w:rFonts w:eastAsia="Malgun Gothic" w:hint="cs"/>
          <w:rtl/>
          <w:lang w:val="en-GB"/>
        </w:rPr>
        <w:t>؛</w:t>
      </w:r>
    </w:p>
    <w:p w:rsidR="0044570B" w:rsidRPr="00FF662B" w:rsidRDefault="0044570B" w:rsidP="00FF7FA5">
      <w:pPr>
        <w:numPr>
          <w:ilvl w:val="0"/>
          <w:numId w:val="14"/>
        </w:numPr>
        <w:ind w:left="0" w:firstLine="720"/>
        <w:rPr>
          <w:rFonts w:eastAsia="Malgun Gothic"/>
          <w:lang w:val="en-GB"/>
        </w:rPr>
      </w:pPr>
      <w:r w:rsidRPr="00FF662B">
        <w:rPr>
          <w:rFonts w:eastAsia="Malgun Gothic" w:hint="cs"/>
          <w:i/>
          <w:iCs/>
          <w:rtl/>
          <w:lang w:val="en-GB"/>
        </w:rPr>
        <w:t>يطلب</w:t>
      </w:r>
      <w:r>
        <w:rPr>
          <w:rFonts w:eastAsia="Malgun Gothic" w:hint="cs"/>
          <w:i/>
          <w:iCs/>
          <w:rtl/>
          <w:lang w:val="en-GB"/>
        </w:rPr>
        <w:t xml:space="preserve"> أيضا</w:t>
      </w:r>
      <w:r w:rsidRPr="00FF662B">
        <w:rPr>
          <w:rFonts w:eastAsia="Malgun Gothic" w:hint="cs"/>
          <w:i/>
          <w:iCs/>
          <w:rtl/>
          <w:lang w:val="en-GB"/>
        </w:rPr>
        <w:t xml:space="preserve"> إلى</w:t>
      </w:r>
      <w:r w:rsidRPr="00FF662B">
        <w:rPr>
          <w:rFonts w:eastAsia="Malgun Gothic" w:hint="cs"/>
          <w:rtl/>
          <w:lang w:val="en-GB"/>
        </w:rPr>
        <w:t xml:space="preserve"> الأمينة التنفيذية، رهنا بتوافر الموارد، أن تستخدم وتجري تحليلا لاستعراض المعلومات العلمية ونتائج جميع منتجات المنبر الحكومي الدولي للعلوم والسياسات في مجال التنوع البيولوجي وخدمات النظم الإيكولوجية</w:t>
      </w:r>
      <w:r>
        <w:rPr>
          <w:rFonts w:eastAsia="Malgun Gothic" w:hint="cs"/>
          <w:rtl/>
          <w:lang w:val="en-GB"/>
        </w:rPr>
        <w:t>،</w:t>
      </w:r>
      <w:r w:rsidRPr="00FF662B">
        <w:rPr>
          <w:rFonts w:eastAsia="Malgun Gothic" w:hint="cs"/>
          <w:rtl/>
          <w:lang w:val="en-GB"/>
        </w:rPr>
        <w:t xml:space="preserve"> بما في ذلك التقييمات الإقليمية للتنوع البيولوجي وخدمات النظم الإيكولوجية والتقييم المواضيعي لتدهور الأراضي واستصلاحها</w:t>
      </w:r>
      <w:r>
        <w:rPr>
          <w:rFonts w:eastAsia="Malgun Gothic" w:hint="cs"/>
          <w:rtl/>
          <w:lang w:val="en-GB"/>
        </w:rPr>
        <w:t>،</w:t>
      </w:r>
      <w:r w:rsidRPr="00FF662B">
        <w:rPr>
          <w:rFonts w:eastAsia="Malgun Gothic" w:hint="cs"/>
          <w:rtl/>
          <w:lang w:val="en-GB"/>
        </w:rPr>
        <w:t xml:space="preserve"> عند إعداد الإطار العالمي للتنوع البيولوجي لما بعد عام 2020 في إطار الاتفاقية</w:t>
      </w:r>
      <w:r>
        <w:rPr>
          <w:rFonts w:eastAsia="Malgun Gothic" w:hint="cs"/>
          <w:rtl/>
          <w:lang w:val="en-GB"/>
        </w:rPr>
        <w:t>،</w:t>
      </w:r>
      <w:r w:rsidRPr="00FF662B">
        <w:rPr>
          <w:rFonts w:eastAsia="Malgun Gothic" w:hint="cs"/>
          <w:rtl/>
          <w:lang w:val="en-GB"/>
        </w:rPr>
        <w:t xml:space="preserve"> وأن تقدم نتائج تلك الاعتبارات إلى </w:t>
      </w:r>
      <w:r>
        <w:rPr>
          <w:rFonts w:eastAsia="Malgun Gothic" w:hint="cs"/>
          <w:rtl/>
          <w:lang w:val="en-GB"/>
        </w:rPr>
        <w:t>ا</w:t>
      </w:r>
      <w:r w:rsidRPr="00FF662B">
        <w:rPr>
          <w:rFonts w:eastAsia="Malgun Gothic" w:hint="cs"/>
          <w:rtl/>
          <w:lang w:val="en-GB"/>
        </w:rPr>
        <w:t>لهيئة الفرعية للمشورة العلمية والتقنية والتكنولوجية</w:t>
      </w:r>
      <w:r>
        <w:rPr>
          <w:rFonts w:eastAsia="Malgun Gothic" w:hint="cs"/>
          <w:rtl/>
          <w:lang w:val="en-GB"/>
        </w:rPr>
        <w:t xml:space="preserve"> في اجتماع</w:t>
      </w:r>
      <w:r w:rsidRPr="00FF662B">
        <w:rPr>
          <w:rFonts w:eastAsia="Malgun Gothic" w:hint="cs"/>
          <w:rtl/>
          <w:lang w:val="en-GB"/>
        </w:rPr>
        <w:t xml:space="preserve"> ي</w:t>
      </w:r>
      <w:r>
        <w:rPr>
          <w:rFonts w:eastAsia="Malgun Gothic" w:hint="cs"/>
          <w:rtl/>
          <w:lang w:val="en-GB"/>
        </w:rPr>
        <w:t>ُ</w:t>
      </w:r>
      <w:r w:rsidRPr="00FF662B">
        <w:rPr>
          <w:rFonts w:eastAsia="Malgun Gothic" w:hint="cs"/>
          <w:rtl/>
          <w:lang w:val="en-GB"/>
        </w:rPr>
        <w:t>عقد قبل الاجتماع الخامس عشر لمؤتمر الأطراف؛</w:t>
      </w:r>
    </w:p>
    <w:p w:rsidR="0044570B" w:rsidRPr="00FF662B" w:rsidRDefault="0044570B" w:rsidP="00FF7FA5">
      <w:pPr>
        <w:numPr>
          <w:ilvl w:val="0"/>
          <w:numId w:val="14"/>
        </w:numPr>
        <w:ind w:left="0" w:firstLine="720"/>
        <w:rPr>
          <w:lang w:val="en-GB"/>
        </w:rPr>
      </w:pPr>
      <w:r w:rsidRPr="00FF662B">
        <w:rPr>
          <w:i/>
          <w:iCs/>
          <w:rtl/>
          <w:lang w:val="en-GB"/>
        </w:rPr>
        <w:t>يطلب</w:t>
      </w:r>
      <w:r>
        <w:rPr>
          <w:rFonts w:hint="cs"/>
          <w:i/>
          <w:iCs/>
          <w:rtl/>
          <w:lang w:val="en-GB"/>
        </w:rPr>
        <w:t xml:space="preserve"> كذلك</w:t>
      </w:r>
      <w:r w:rsidRPr="00FF662B">
        <w:rPr>
          <w:i/>
          <w:iCs/>
          <w:rtl/>
          <w:lang w:val="en-GB"/>
        </w:rPr>
        <w:t xml:space="preserve"> إلى</w:t>
      </w:r>
      <w:r w:rsidRPr="00FF662B">
        <w:rPr>
          <w:rtl/>
          <w:lang w:val="en-GB"/>
        </w:rPr>
        <w:t xml:space="preserve"> الأمين</w:t>
      </w:r>
      <w:r w:rsidRPr="00FF662B">
        <w:rPr>
          <w:rFonts w:hint="cs"/>
          <w:rtl/>
          <w:lang w:val="en-GB"/>
        </w:rPr>
        <w:t>ة</w:t>
      </w:r>
      <w:r w:rsidRPr="00FF662B">
        <w:rPr>
          <w:rtl/>
          <w:lang w:val="en-GB"/>
        </w:rPr>
        <w:t xml:space="preserve"> التنفيذي</w:t>
      </w:r>
      <w:r w:rsidRPr="00FF662B">
        <w:rPr>
          <w:rFonts w:hint="cs"/>
          <w:rtl/>
          <w:lang w:val="en-GB"/>
        </w:rPr>
        <w:t>ة</w:t>
      </w:r>
      <w:r w:rsidRPr="00FF662B">
        <w:rPr>
          <w:rtl/>
          <w:lang w:val="en-GB"/>
        </w:rPr>
        <w:t xml:space="preserve"> </w:t>
      </w:r>
      <w:r w:rsidRPr="00FF662B">
        <w:rPr>
          <w:rFonts w:hint="cs"/>
          <w:rtl/>
          <w:lang w:val="en-GB"/>
        </w:rPr>
        <w:t>أن تواصل</w:t>
      </w:r>
      <w:r w:rsidRPr="00FF662B">
        <w:rPr>
          <w:rtl/>
          <w:lang w:val="en-GB"/>
        </w:rPr>
        <w:t>، بالتعاون مع الأطراف، تحديث</w:t>
      </w:r>
      <w:r w:rsidRPr="00FF662B">
        <w:rPr>
          <w:rFonts w:hint="cs"/>
          <w:rtl/>
          <w:lang w:val="en-GB"/>
        </w:rPr>
        <w:t xml:space="preserve"> التحليل المتعلق</w:t>
      </w:r>
      <w:r w:rsidRPr="00FF662B">
        <w:rPr>
          <w:rtl/>
          <w:lang w:val="en-GB"/>
        </w:rPr>
        <w:t xml:space="preserve"> </w:t>
      </w:r>
      <w:r w:rsidRPr="00FF662B">
        <w:rPr>
          <w:rFonts w:hint="cs"/>
          <w:rtl/>
          <w:lang w:val="en-GB"/>
        </w:rPr>
        <w:t>ب</w:t>
      </w:r>
      <w:r w:rsidRPr="00FF662B">
        <w:rPr>
          <w:rtl/>
          <w:lang w:val="en-GB"/>
        </w:rPr>
        <w:t xml:space="preserve">الاستراتيجيات </w:t>
      </w:r>
      <w:r w:rsidRPr="00FF662B">
        <w:rPr>
          <w:rFonts w:eastAsia="Malgun Gothic"/>
          <w:rtl/>
          <w:lang w:val="en-GB"/>
        </w:rPr>
        <w:t>وخطط</w:t>
      </w:r>
      <w:r w:rsidRPr="00FF662B">
        <w:rPr>
          <w:rtl/>
          <w:lang w:val="en-GB"/>
        </w:rPr>
        <w:t xml:space="preserve"> العمل الوطنية للتنوع البيولوجي والأهداف الوطنية وأن </w:t>
      </w:r>
      <w:r w:rsidRPr="00FF662B">
        <w:rPr>
          <w:rFonts w:hint="cs"/>
          <w:rtl/>
          <w:lang w:val="en-GB"/>
        </w:rPr>
        <w:t>ت</w:t>
      </w:r>
      <w:r w:rsidRPr="00FF662B">
        <w:rPr>
          <w:rtl/>
          <w:lang w:val="en-GB"/>
        </w:rPr>
        <w:t>تيح هذه المعلومات من خلال آلية غرفة تبادل المعلومات التابعة للاتفاقية</w:t>
      </w:r>
      <w:r w:rsidRPr="00FF662B">
        <w:rPr>
          <w:rFonts w:hint="cs"/>
          <w:rtl/>
          <w:lang w:val="en-GB"/>
        </w:rPr>
        <w:t>؛</w:t>
      </w:r>
    </w:p>
    <w:p w:rsidR="0044570B" w:rsidRPr="00FF662B" w:rsidRDefault="0044570B" w:rsidP="00FF7FA5">
      <w:pPr>
        <w:numPr>
          <w:ilvl w:val="0"/>
          <w:numId w:val="14"/>
        </w:numPr>
        <w:ind w:left="0" w:firstLine="720"/>
        <w:rPr>
          <w:lang w:val="en-GB"/>
        </w:rPr>
      </w:pPr>
      <w:r w:rsidRPr="00FF662B">
        <w:rPr>
          <w:rFonts w:hint="cs"/>
          <w:i/>
          <w:iCs/>
          <w:rtl/>
          <w:lang w:val="en-GB"/>
        </w:rPr>
        <w:t xml:space="preserve">يشجع </w:t>
      </w:r>
      <w:r w:rsidRPr="00FF662B">
        <w:rPr>
          <w:rFonts w:hint="cs"/>
          <w:rtl/>
          <w:lang w:val="en-GB"/>
        </w:rPr>
        <w:t xml:space="preserve">الأطراف على </w:t>
      </w:r>
      <w:r w:rsidRPr="00FF662B">
        <w:rPr>
          <w:rFonts w:eastAsia="Malgun Gothic" w:hint="cs"/>
          <w:rtl/>
          <w:lang w:val="en-GB"/>
        </w:rPr>
        <w:t>تقديم</w:t>
      </w:r>
      <w:r w:rsidRPr="00FF662B">
        <w:rPr>
          <w:rFonts w:hint="cs"/>
          <w:rtl/>
          <w:lang w:val="en-GB"/>
        </w:rPr>
        <w:t xml:space="preserve"> التقرير الوطني السادس بطريقة آنية، </w:t>
      </w:r>
      <w:r w:rsidRPr="00FF662B">
        <w:rPr>
          <w:rFonts w:hint="cs"/>
          <w:i/>
          <w:iCs/>
          <w:rtl/>
          <w:lang w:val="en-GB"/>
        </w:rPr>
        <w:t xml:space="preserve">ويطلب </w:t>
      </w:r>
      <w:r w:rsidRPr="005E4B94">
        <w:rPr>
          <w:rFonts w:hint="cs"/>
          <w:i/>
          <w:iCs/>
          <w:rtl/>
          <w:lang w:val="en-GB"/>
        </w:rPr>
        <w:t>إلى</w:t>
      </w:r>
      <w:r w:rsidRPr="00FF662B">
        <w:rPr>
          <w:rFonts w:hint="cs"/>
          <w:rtl/>
          <w:lang w:val="en-GB"/>
        </w:rPr>
        <w:t xml:space="preserve"> الأمينة التنفيذية أن تواصل تحديث تحليل التقدم المحرز نحو تنفيذ الخطة الاستراتيجية للتنوع البيولوجي 2011-2020 على أساس المعلومات الواردة في التقارير الوطنية السادسة، ال</w:t>
      </w:r>
      <w:r>
        <w:rPr>
          <w:rFonts w:hint="cs"/>
          <w:rtl/>
          <w:lang w:val="en-GB"/>
        </w:rPr>
        <w:t>ت</w:t>
      </w:r>
      <w:r w:rsidRPr="00FF662B">
        <w:rPr>
          <w:rFonts w:hint="cs"/>
          <w:rtl/>
          <w:lang w:val="en-GB"/>
        </w:rPr>
        <w:t>ي ينبغي تقديمه</w:t>
      </w:r>
      <w:r>
        <w:rPr>
          <w:rFonts w:hint="cs"/>
          <w:rtl/>
          <w:lang w:val="en-GB"/>
        </w:rPr>
        <w:t>ا</w:t>
      </w:r>
      <w:r w:rsidRPr="00FF662B">
        <w:rPr>
          <w:rFonts w:hint="cs"/>
          <w:rtl/>
          <w:lang w:val="en-GB"/>
        </w:rPr>
        <w:t xml:space="preserve"> بحلول 31 ديسمبر/كانون الأول 2018، وأن تجعل التحليل المحدث متاحا لنظر الهيئة الفرعية للتنفيذ في اجتماعها الثالث؛</w:t>
      </w:r>
    </w:p>
    <w:p w:rsidR="0044570B" w:rsidRPr="00FF662B" w:rsidRDefault="0044570B" w:rsidP="00FF7FA5">
      <w:pPr>
        <w:numPr>
          <w:ilvl w:val="0"/>
          <w:numId w:val="14"/>
        </w:numPr>
        <w:ind w:left="0" w:firstLine="720"/>
        <w:rPr>
          <w:lang w:val="en-GB"/>
        </w:rPr>
      </w:pPr>
      <w:r w:rsidRPr="00FF662B">
        <w:rPr>
          <w:i/>
          <w:iCs/>
          <w:rtl/>
          <w:lang w:val="en-GB"/>
        </w:rPr>
        <w:t>يطلب إلى</w:t>
      </w:r>
      <w:r w:rsidRPr="00FF662B">
        <w:rPr>
          <w:rtl/>
          <w:lang w:val="en-GB"/>
        </w:rPr>
        <w:t xml:space="preserve"> الأمين</w:t>
      </w:r>
      <w:r w:rsidRPr="00FF662B">
        <w:rPr>
          <w:rFonts w:hint="cs"/>
          <w:rtl/>
          <w:lang w:val="en-GB"/>
        </w:rPr>
        <w:t>ة</w:t>
      </w:r>
      <w:r w:rsidRPr="00FF662B">
        <w:rPr>
          <w:rtl/>
          <w:lang w:val="en-GB"/>
        </w:rPr>
        <w:t xml:space="preserve"> التنفيذي</w:t>
      </w:r>
      <w:r w:rsidRPr="00FF662B">
        <w:rPr>
          <w:rFonts w:hint="cs"/>
          <w:rtl/>
          <w:lang w:val="en-GB"/>
        </w:rPr>
        <w:t>ة أن تجري</w:t>
      </w:r>
      <w:r w:rsidRPr="00FF662B">
        <w:rPr>
          <w:rtl/>
          <w:lang w:val="en-GB"/>
        </w:rPr>
        <w:t>، بالت</w:t>
      </w:r>
      <w:r w:rsidRPr="00FF662B">
        <w:rPr>
          <w:rFonts w:hint="cs"/>
          <w:rtl/>
          <w:lang w:val="en-GB"/>
        </w:rPr>
        <w:t>شاور</w:t>
      </w:r>
      <w:r w:rsidRPr="00FF662B">
        <w:rPr>
          <w:rtl/>
          <w:lang w:val="en-GB"/>
        </w:rPr>
        <w:t xml:space="preserve"> مع الأطراف وأمانة مرفق البيئة العالمية وبرنامج الأمم المتحدة </w:t>
      </w:r>
      <w:r w:rsidRPr="00FF662B">
        <w:rPr>
          <w:rFonts w:eastAsia="Malgun Gothic"/>
          <w:rtl/>
          <w:lang w:val="en-GB"/>
        </w:rPr>
        <w:t>الإنمائي</w:t>
      </w:r>
      <w:r w:rsidRPr="00FF662B">
        <w:rPr>
          <w:rtl/>
          <w:lang w:val="en-GB"/>
        </w:rPr>
        <w:t xml:space="preserve"> وبرنامج الأمم المتحدة للبيئة، تحليل</w:t>
      </w:r>
      <w:r w:rsidRPr="00FF662B">
        <w:rPr>
          <w:rFonts w:hint="cs"/>
          <w:rtl/>
          <w:lang w:val="en-GB"/>
        </w:rPr>
        <w:t>اً</w:t>
      </w:r>
      <w:r w:rsidRPr="00FF662B">
        <w:rPr>
          <w:rtl/>
          <w:lang w:val="en-GB"/>
        </w:rPr>
        <w:t xml:space="preserve"> </w:t>
      </w:r>
      <w:r w:rsidRPr="00FF662B">
        <w:rPr>
          <w:rFonts w:hint="cs"/>
          <w:rtl/>
          <w:lang w:val="en-GB"/>
        </w:rPr>
        <w:t>ل</w:t>
      </w:r>
      <w:r w:rsidRPr="00FF662B">
        <w:rPr>
          <w:rtl/>
          <w:lang w:val="en-GB"/>
        </w:rPr>
        <w:t xml:space="preserve">حالة اعتماد </w:t>
      </w:r>
      <w:r w:rsidRPr="00FF662B">
        <w:rPr>
          <w:rFonts w:hint="cs"/>
          <w:rtl/>
          <w:lang w:val="en-GB"/>
        </w:rPr>
        <w:t xml:space="preserve">الأطراف </w:t>
      </w:r>
      <w:r>
        <w:rPr>
          <w:rFonts w:hint="cs"/>
          <w:rtl/>
          <w:lang w:val="en-GB"/>
        </w:rPr>
        <w:t xml:space="preserve">المؤهلة </w:t>
      </w:r>
      <w:r w:rsidRPr="00FF662B">
        <w:rPr>
          <w:rFonts w:hint="cs"/>
          <w:rtl/>
          <w:lang w:val="en-GB"/>
        </w:rPr>
        <w:t>للاستراتيجيات</w:t>
      </w:r>
      <w:r w:rsidRPr="00FF662B">
        <w:rPr>
          <w:rtl/>
          <w:lang w:val="en-GB"/>
        </w:rPr>
        <w:t xml:space="preserve"> وخطط العمل الوطنية للتنوع البيولوجي </w:t>
      </w:r>
      <w:r w:rsidRPr="00FF662B">
        <w:rPr>
          <w:rFonts w:hint="cs"/>
          <w:rtl/>
          <w:lang w:val="en-GB"/>
        </w:rPr>
        <w:t>وأن تواصل</w:t>
      </w:r>
      <w:r w:rsidRPr="00FF662B">
        <w:rPr>
          <w:rtl/>
          <w:lang w:val="en-GB"/>
        </w:rPr>
        <w:t xml:space="preserve"> رصد </w:t>
      </w:r>
      <w:r w:rsidRPr="00FF662B">
        <w:rPr>
          <w:rFonts w:hint="cs"/>
          <w:rtl/>
          <w:lang w:val="en-GB"/>
        </w:rPr>
        <w:t>دمج</w:t>
      </w:r>
      <w:r w:rsidRPr="00FF662B">
        <w:rPr>
          <w:rtl/>
          <w:lang w:val="en-GB"/>
        </w:rPr>
        <w:t xml:space="preserve"> التنوع البيولوجي في خطط التنمية المستدامة واستراتيجيات القضاء على الفقر</w:t>
      </w:r>
      <w:r>
        <w:rPr>
          <w:rFonts w:hint="cs"/>
          <w:rtl/>
          <w:lang w:val="en-GB"/>
        </w:rPr>
        <w:t>؛</w:t>
      </w:r>
    </w:p>
    <w:p w:rsidR="0044570B" w:rsidRPr="00FF662B" w:rsidRDefault="0044570B" w:rsidP="0044570B">
      <w:pPr>
        <w:jc w:val="center"/>
        <w:rPr>
          <w:i/>
          <w:iCs/>
          <w:sz w:val="20"/>
          <w:rtl/>
        </w:rPr>
      </w:pPr>
      <w:r w:rsidRPr="00FF662B">
        <w:rPr>
          <w:rFonts w:hint="cs"/>
          <w:i/>
          <w:iCs/>
          <w:sz w:val="20"/>
          <w:rtl/>
        </w:rPr>
        <w:t>المرفق</w:t>
      </w:r>
    </w:p>
    <w:p w:rsidR="0044570B" w:rsidRPr="00FF662B" w:rsidRDefault="0044570B" w:rsidP="0044570B">
      <w:pPr>
        <w:jc w:val="center"/>
        <w:rPr>
          <w:b/>
          <w:bCs/>
          <w:sz w:val="20"/>
          <w:rtl/>
        </w:rPr>
      </w:pPr>
      <w:r w:rsidRPr="00FF662B">
        <w:rPr>
          <w:rFonts w:hint="cs"/>
          <w:b/>
          <w:bCs/>
          <w:sz w:val="20"/>
          <w:rtl/>
        </w:rPr>
        <w:t>الخيارات الممكنة لتسريع وتيرة التقدم</w:t>
      </w:r>
      <w:r w:rsidRPr="00FF662B">
        <w:rPr>
          <w:rFonts w:hint="cs"/>
          <w:b/>
          <w:bCs/>
          <w:i/>
          <w:iCs/>
          <w:sz w:val="20"/>
          <w:rtl/>
        </w:rPr>
        <w:t xml:space="preserve"> </w:t>
      </w:r>
      <w:r w:rsidRPr="00FF662B">
        <w:rPr>
          <w:rFonts w:hint="cs"/>
          <w:b/>
          <w:bCs/>
          <w:sz w:val="20"/>
          <w:rtl/>
        </w:rPr>
        <w:t>صوب تحقيق أهداف أيشي للتنوع البيولوجي</w:t>
      </w:r>
    </w:p>
    <w:p w:rsidR="0044570B" w:rsidRPr="00FF662B" w:rsidRDefault="0044570B" w:rsidP="0044570B">
      <w:pPr>
        <w:rPr>
          <w:sz w:val="20"/>
          <w:rtl/>
        </w:rPr>
      </w:pPr>
      <w:r w:rsidRPr="00FF662B">
        <w:rPr>
          <w:sz w:val="20"/>
          <w:rtl/>
        </w:rPr>
        <w:t>1-</w:t>
      </w:r>
      <w:r w:rsidRPr="00FF662B">
        <w:rPr>
          <w:sz w:val="20"/>
          <w:rtl/>
        </w:rPr>
        <w:tab/>
        <w:t xml:space="preserve">يتضمن هذا المرفق معلومات عن الإجراءات الممكنة التي يمكن اتخاذها، </w:t>
      </w:r>
      <w:r w:rsidRPr="00FF662B">
        <w:rPr>
          <w:rFonts w:hint="cs"/>
          <w:sz w:val="20"/>
          <w:rtl/>
        </w:rPr>
        <w:t>وفقاً</w:t>
      </w:r>
      <w:r w:rsidRPr="00FF662B">
        <w:rPr>
          <w:sz w:val="20"/>
          <w:rtl/>
        </w:rPr>
        <w:t xml:space="preserve"> للظروف والأولويات الوطنية، لتيسير تحقيق أهداف أيشي للتنوع البيولوجي.</w:t>
      </w:r>
    </w:p>
    <w:p w:rsidR="0044570B" w:rsidRPr="00FF662B" w:rsidRDefault="0044570B" w:rsidP="0044570B">
      <w:pPr>
        <w:rPr>
          <w:sz w:val="20"/>
          <w:rtl/>
        </w:rPr>
      </w:pPr>
      <w:r w:rsidRPr="00FF662B">
        <w:rPr>
          <w:sz w:val="20"/>
          <w:rtl/>
        </w:rPr>
        <w:t>2-</w:t>
      </w:r>
      <w:r w:rsidRPr="00FF662B">
        <w:rPr>
          <w:sz w:val="20"/>
          <w:rtl/>
        </w:rPr>
        <w:tab/>
        <w:t>وت</w:t>
      </w:r>
      <w:r w:rsidRPr="00FF662B">
        <w:rPr>
          <w:rFonts w:hint="cs"/>
          <w:sz w:val="20"/>
          <w:rtl/>
        </w:rPr>
        <w:t>تضمن</w:t>
      </w:r>
      <w:r w:rsidRPr="00FF662B">
        <w:rPr>
          <w:sz w:val="20"/>
          <w:rtl/>
        </w:rPr>
        <w:t xml:space="preserve"> الإجراءات الممكنة</w:t>
      </w:r>
      <w:r w:rsidRPr="00FF662B">
        <w:rPr>
          <w:rFonts w:hint="cs"/>
          <w:sz w:val="20"/>
          <w:rtl/>
        </w:rPr>
        <w:t xml:space="preserve"> التي تستند</w:t>
      </w:r>
      <w:r w:rsidRPr="00FF662B">
        <w:rPr>
          <w:sz w:val="20"/>
          <w:rtl/>
        </w:rPr>
        <w:t xml:space="preserve"> إلى </w:t>
      </w:r>
      <w:r w:rsidRPr="00FF662B">
        <w:rPr>
          <w:rFonts w:hint="cs"/>
          <w:sz w:val="20"/>
          <w:rtl/>
        </w:rPr>
        <w:t>نتائج</w:t>
      </w:r>
      <w:r w:rsidRPr="00FF662B">
        <w:rPr>
          <w:sz w:val="20"/>
          <w:rtl/>
        </w:rPr>
        <w:t xml:space="preserve"> التقييمات الإقليمية والمواضيعية </w:t>
      </w:r>
      <w:r w:rsidRPr="00FF662B">
        <w:rPr>
          <w:rFonts w:hint="cs"/>
          <w:sz w:val="20"/>
          <w:rtl/>
        </w:rPr>
        <w:t xml:space="preserve">الصادرة عن </w:t>
      </w:r>
      <w:r w:rsidRPr="00FF662B">
        <w:rPr>
          <w:sz w:val="20"/>
          <w:rtl/>
        </w:rPr>
        <w:t xml:space="preserve">المنبر الحكومي الدولي للعلوم والسياسات في مجال التنوع البيولوجي وخدمات النظم الإيكولوجية وإلى الاستنتاجات </w:t>
      </w:r>
      <w:r w:rsidRPr="00FF662B">
        <w:rPr>
          <w:rFonts w:hint="cs"/>
          <w:sz w:val="20"/>
          <w:rtl/>
        </w:rPr>
        <w:t>المستخلصة</w:t>
      </w:r>
      <w:r w:rsidRPr="00FF662B">
        <w:rPr>
          <w:sz w:val="20"/>
          <w:rtl/>
        </w:rPr>
        <w:t xml:space="preserve"> من ال</w:t>
      </w:r>
      <w:r w:rsidRPr="00FF662B">
        <w:rPr>
          <w:rFonts w:hint="cs"/>
          <w:sz w:val="20"/>
          <w:rtl/>
        </w:rPr>
        <w:t>مؤلفات</w:t>
      </w:r>
      <w:r w:rsidRPr="00FF662B">
        <w:rPr>
          <w:sz w:val="20"/>
          <w:rtl/>
        </w:rPr>
        <w:t xml:space="preserve"> العلمية</w:t>
      </w:r>
      <w:r w:rsidRPr="00FF662B">
        <w:rPr>
          <w:rFonts w:hint="cs"/>
          <w:sz w:val="20"/>
          <w:rtl/>
        </w:rPr>
        <w:t>،</w:t>
      </w:r>
      <w:r w:rsidRPr="00FF662B">
        <w:rPr>
          <w:sz w:val="20"/>
          <w:vertAlign w:val="superscript"/>
          <w:rtl/>
        </w:rPr>
        <w:footnoteReference w:id="19"/>
      </w:r>
      <w:r w:rsidRPr="00FF662B">
        <w:rPr>
          <w:rFonts w:hint="cs"/>
          <w:sz w:val="20"/>
          <w:rtl/>
        </w:rPr>
        <w:t xml:space="preserve"> ما يلي:</w:t>
      </w:r>
    </w:p>
    <w:p w:rsidR="0044570B" w:rsidRPr="00FF662B" w:rsidRDefault="0044570B" w:rsidP="0044570B">
      <w:pPr>
        <w:spacing w:after="60"/>
        <w:ind w:firstLine="720"/>
        <w:rPr>
          <w:sz w:val="20"/>
          <w:rtl/>
        </w:rPr>
      </w:pPr>
      <w:r w:rsidRPr="00FF662B">
        <w:rPr>
          <w:rFonts w:hint="cs"/>
          <w:sz w:val="20"/>
          <w:rtl/>
        </w:rPr>
        <w:t>(أ)</w:t>
      </w:r>
      <w:r w:rsidRPr="00FF662B">
        <w:rPr>
          <w:rFonts w:hint="cs"/>
          <w:sz w:val="20"/>
          <w:rtl/>
        </w:rPr>
        <w:tab/>
        <w:t>الاستفادة بقدر أكبر من</w:t>
      </w:r>
      <w:r w:rsidRPr="00FF662B">
        <w:rPr>
          <w:sz w:val="20"/>
          <w:rtl/>
        </w:rPr>
        <w:t xml:space="preserve"> العلوم الاجتماعية</w:t>
      </w:r>
      <w:r w:rsidRPr="00FF662B">
        <w:rPr>
          <w:rFonts w:hint="cs"/>
          <w:sz w:val="20"/>
          <w:rtl/>
        </w:rPr>
        <w:t>،</w:t>
      </w:r>
      <w:r>
        <w:rPr>
          <w:rFonts w:hint="cs"/>
          <w:sz w:val="20"/>
          <w:rtl/>
        </w:rPr>
        <w:t xml:space="preserve"> مع مراعاة الرؤى ونظم المعارف المختلفة،</w:t>
      </w:r>
      <w:r w:rsidRPr="00FF662B">
        <w:rPr>
          <w:rFonts w:hint="cs"/>
          <w:sz w:val="20"/>
          <w:rtl/>
        </w:rPr>
        <w:t xml:space="preserve"> وتشجيع البحوث بشأن المسائل الثقافية وبشأن المسائل المرتبطة بنوعية حياة البشر، والقيم غير المادية للتنوع البيولوجي، و</w:t>
      </w:r>
      <w:r w:rsidRPr="00FF662B">
        <w:rPr>
          <w:sz w:val="20"/>
          <w:rtl/>
        </w:rPr>
        <w:t>احتياجات</w:t>
      </w:r>
      <w:r>
        <w:rPr>
          <w:rFonts w:hint="cs"/>
          <w:sz w:val="20"/>
          <w:rtl/>
        </w:rPr>
        <w:t xml:space="preserve"> الشعوب الأصلية والمجتمعات المحلية،</w:t>
      </w:r>
      <w:r w:rsidRPr="00FF662B">
        <w:rPr>
          <w:sz w:val="20"/>
          <w:rtl/>
        </w:rPr>
        <w:t xml:space="preserve"> </w:t>
      </w:r>
      <w:r>
        <w:rPr>
          <w:rFonts w:hint="cs"/>
          <w:sz w:val="20"/>
          <w:rtl/>
        </w:rPr>
        <w:t>و</w:t>
      </w:r>
      <w:r w:rsidRPr="00FF662B">
        <w:rPr>
          <w:sz w:val="20"/>
          <w:rtl/>
        </w:rPr>
        <w:t>النساء</w:t>
      </w:r>
      <w:r>
        <w:rPr>
          <w:rFonts w:hint="cs"/>
          <w:sz w:val="20"/>
          <w:rtl/>
        </w:rPr>
        <w:t>، والشباب</w:t>
      </w:r>
      <w:r w:rsidRPr="00FF662B">
        <w:rPr>
          <w:sz w:val="20"/>
          <w:rtl/>
        </w:rPr>
        <w:t xml:space="preserve"> والفقراء</w:t>
      </w:r>
      <w:r>
        <w:rPr>
          <w:rFonts w:hint="cs"/>
          <w:sz w:val="20"/>
          <w:rtl/>
        </w:rPr>
        <w:t>،</w:t>
      </w:r>
      <w:r w:rsidRPr="00FF662B">
        <w:rPr>
          <w:sz w:val="20"/>
          <w:rtl/>
        </w:rPr>
        <w:t xml:space="preserve"> </w:t>
      </w:r>
      <w:r>
        <w:rPr>
          <w:rFonts w:hint="cs"/>
          <w:sz w:val="20"/>
          <w:rtl/>
        </w:rPr>
        <w:t>والضعفاء؛</w:t>
      </w:r>
    </w:p>
    <w:p w:rsidR="0044570B" w:rsidRPr="00FF662B" w:rsidRDefault="0044570B" w:rsidP="0044570B">
      <w:pPr>
        <w:spacing w:after="60"/>
        <w:ind w:firstLine="720"/>
        <w:rPr>
          <w:sz w:val="20"/>
          <w:rtl/>
        </w:rPr>
      </w:pPr>
      <w:r w:rsidRPr="00FF662B">
        <w:rPr>
          <w:rFonts w:hint="cs"/>
          <w:sz w:val="20"/>
          <w:rtl/>
        </w:rPr>
        <w:lastRenderedPageBreak/>
        <w:t>(ب)</w:t>
      </w:r>
      <w:r w:rsidRPr="00FF662B">
        <w:rPr>
          <w:rFonts w:hint="cs"/>
          <w:sz w:val="20"/>
          <w:rtl/>
        </w:rPr>
        <w:tab/>
      </w:r>
      <w:r w:rsidRPr="00FF662B">
        <w:rPr>
          <w:sz w:val="20"/>
          <w:rtl/>
        </w:rPr>
        <w:t xml:space="preserve">زيادة </w:t>
      </w:r>
      <w:r w:rsidRPr="00FF662B">
        <w:rPr>
          <w:rFonts w:hint="cs"/>
          <w:sz w:val="20"/>
          <w:rtl/>
        </w:rPr>
        <w:t>توليد المعلومات المتعلقة بالتنوع البيولوجي، وفرص الحصول عليها،</w:t>
      </w:r>
      <w:r w:rsidRPr="00FF662B">
        <w:rPr>
          <w:sz w:val="20"/>
          <w:rtl/>
        </w:rPr>
        <w:t xml:space="preserve"> بما في ذلك </w:t>
      </w:r>
      <w:r w:rsidRPr="00FF662B">
        <w:rPr>
          <w:rFonts w:hint="cs"/>
          <w:sz w:val="20"/>
          <w:rtl/>
        </w:rPr>
        <w:t xml:space="preserve">عن طريق </w:t>
      </w:r>
      <w:r w:rsidRPr="00FF662B">
        <w:rPr>
          <w:sz w:val="20"/>
          <w:rtl/>
        </w:rPr>
        <w:t>ت</w:t>
      </w:r>
      <w:r w:rsidRPr="00FF662B">
        <w:rPr>
          <w:rFonts w:hint="cs"/>
          <w:sz w:val="20"/>
          <w:rtl/>
        </w:rPr>
        <w:t>شجيع إجراء</w:t>
      </w:r>
      <w:r w:rsidRPr="00FF662B">
        <w:rPr>
          <w:sz w:val="20"/>
          <w:rtl/>
        </w:rPr>
        <w:t xml:space="preserve"> البحوث بشأن التنوع البيولوجي</w:t>
      </w:r>
      <w:r w:rsidRPr="00FF662B">
        <w:rPr>
          <w:rFonts w:hint="cs"/>
          <w:sz w:val="20"/>
          <w:rtl/>
        </w:rPr>
        <w:t xml:space="preserve"> ووظائف وخدمات النظم الإيكولوجية</w:t>
      </w:r>
      <w:r w:rsidRPr="00FF662B">
        <w:rPr>
          <w:sz w:val="20"/>
          <w:rtl/>
        </w:rPr>
        <w:t>، و</w:t>
      </w:r>
      <w:r w:rsidRPr="00FF662B">
        <w:rPr>
          <w:rFonts w:hint="cs"/>
          <w:sz w:val="20"/>
          <w:rtl/>
        </w:rPr>
        <w:t>وضع</w:t>
      </w:r>
      <w:r w:rsidRPr="00FF662B">
        <w:rPr>
          <w:sz w:val="20"/>
          <w:rtl/>
        </w:rPr>
        <w:t xml:space="preserve"> مجموعات البيانات التي يمكن تصنيفها ل</w:t>
      </w:r>
      <w:r w:rsidRPr="00FF662B">
        <w:rPr>
          <w:rFonts w:hint="cs"/>
          <w:sz w:val="20"/>
          <w:rtl/>
        </w:rPr>
        <w:t>نظم</w:t>
      </w:r>
      <w:r w:rsidRPr="00FF662B">
        <w:rPr>
          <w:sz w:val="20"/>
          <w:rtl/>
        </w:rPr>
        <w:t xml:space="preserve"> إيكولوجية مختلفة وعلى مستويات جغرافية مختلفة، </w:t>
      </w:r>
      <w:r w:rsidRPr="00FF662B">
        <w:rPr>
          <w:rFonts w:hint="cs"/>
          <w:sz w:val="20"/>
          <w:rtl/>
        </w:rPr>
        <w:t>ووضع</w:t>
      </w:r>
      <w:r w:rsidRPr="00FF662B">
        <w:rPr>
          <w:sz w:val="20"/>
          <w:rtl/>
        </w:rPr>
        <w:t xml:space="preserve"> وتعزيز آليات لتبادل المعلومات المتعلقة بالتنوع البيولوجي على نحو أكثر فعالية</w:t>
      </w:r>
      <w:r w:rsidRPr="00FF662B">
        <w:rPr>
          <w:rFonts w:hint="cs"/>
          <w:sz w:val="20"/>
          <w:rtl/>
        </w:rPr>
        <w:t>؛</w:t>
      </w:r>
    </w:p>
    <w:p w:rsidR="0044570B" w:rsidRPr="00FF662B" w:rsidRDefault="0044570B" w:rsidP="0044570B">
      <w:pPr>
        <w:spacing w:after="60"/>
        <w:ind w:firstLine="720"/>
        <w:rPr>
          <w:sz w:val="20"/>
          <w:rtl/>
        </w:rPr>
      </w:pPr>
      <w:r w:rsidRPr="00FF662B">
        <w:rPr>
          <w:rFonts w:hint="cs"/>
          <w:sz w:val="20"/>
          <w:rtl/>
        </w:rPr>
        <w:t>(ج)</w:t>
      </w:r>
      <w:r w:rsidRPr="00FF662B">
        <w:rPr>
          <w:rFonts w:hint="cs"/>
          <w:sz w:val="20"/>
          <w:rtl/>
        </w:rPr>
        <w:tab/>
        <w:t>تعزيز رصد جميع جوانب التنوع البيولوجي وخدمات النظم الإيكولوجية، بما في ذلك عن طريق الاستفادة بقدر أكبر من نظم الرصد عن بعد ونظم المعلومات الجغرافية فضلا عن استخدام التكنولوجيا لتحديد هوية الأنواع وتوليد معلومات عن التنوع البيولوجي؛</w:t>
      </w:r>
    </w:p>
    <w:p w:rsidR="0044570B" w:rsidRPr="00FF662B" w:rsidRDefault="0044570B" w:rsidP="0044570B">
      <w:pPr>
        <w:spacing w:after="60"/>
        <w:ind w:firstLine="720"/>
        <w:rPr>
          <w:sz w:val="20"/>
          <w:rtl/>
        </w:rPr>
      </w:pPr>
      <w:r w:rsidRPr="00FF662B">
        <w:rPr>
          <w:rFonts w:hint="cs"/>
          <w:sz w:val="20"/>
          <w:rtl/>
        </w:rPr>
        <w:t>(د)</w:t>
      </w:r>
      <w:r w:rsidRPr="00FF662B">
        <w:rPr>
          <w:rFonts w:hint="cs"/>
          <w:sz w:val="20"/>
          <w:rtl/>
        </w:rPr>
        <w:tab/>
      </w:r>
      <w:r w:rsidRPr="00FF662B">
        <w:rPr>
          <w:sz w:val="20"/>
          <w:rtl/>
        </w:rPr>
        <w:t>تشجيع استخدام و</w:t>
      </w:r>
      <w:r w:rsidRPr="00FF662B">
        <w:rPr>
          <w:rFonts w:hint="cs"/>
          <w:sz w:val="20"/>
          <w:rtl/>
        </w:rPr>
        <w:t>وضع</w:t>
      </w:r>
      <w:r w:rsidRPr="00FF662B">
        <w:rPr>
          <w:sz w:val="20"/>
          <w:rtl/>
        </w:rPr>
        <w:t xml:space="preserve"> السيناريوهات التي تدمج اعتبارات التنوع البيولوجي مع الأهداف المجتمعية </w:t>
      </w:r>
      <w:r w:rsidRPr="00FF662B">
        <w:rPr>
          <w:rFonts w:hint="cs"/>
          <w:sz w:val="20"/>
          <w:rtl/>
        </w:rPr>
        <w:t xml:space="preserve">والثقافية </w:t>
      </w:r>
      <w:r w:rsidRPr="00FF662B">
        <w:rPr>
          <w:sz w:val="20"/>
          <w:rtl/>
        </w:rPr>
        <w:t>الأخرى</w:t>
      </w:r>
      <w:r w:rsidRPr="00FF662B">
        <w:rPr>
          <w:rFonts w:hint="cs"/>
          <w:sz w:val="20"/>
          <w:rtl/>
        </w:rPr>
        <w:t>،</w:t>
      </w:r>
      <w:r w:rsidRPr="00FF662B">
        <w:rPr>
          <w:sz w:val="20"/>
          <w:rtl/>
        </w:rPr>
        <w:t xml:space="preserve"> بما في ذلك</w:t>
      </w:r>
      <w:r>
        <w:rPr>
          <w:rFonts w:hint="cs"/>
          <w:sz w:val="20"/>
          <w:rtl/>
        </w:rPr>
        <w:t xml:space="preserve"> القضاء على </w:t>
      </w:r>
      <w:r w:rsidRPr="00FF662B">
        <w:rPr>
          <w:sz w:val="20"/>
          <w:rtl/>
        </w:rPr>
        <w:t xml:space="preserve">الفقر </w:t>
      </w:r>
      <w:r>
        <w:rPr>
          <w:rFonts w:hint="cs"/>
          <w:sz w:val="20"/>
          <w:rtl/>
        </w:rPr>
        <w:t>و</w:t>
      </w:r>
      <w:r w:rsidRPr="00FF662B">
        <w:rPr>
          <w:sz w:val="20"/>
          <w:rtl/>
        </w:rPr>
        <w:t xml:space="preserve">التخفيف من حدة الجوع والتكيف مع تغير المناخ وتخفيف </w:t>
      </w:r>
      <w:r w:rsidRPr="00FF662B">
        <w:rPr>
          <w:rFonts w:hint="cs"/>
          <w:sz w:val="20"/>
          <w:rtl/>
        </w:rPr>
        <w:t>آثاره،</w:t>
      </w:r>
      <w:r w:rsidRPr="00FF662B">
        <w:rPr>
          <w:sz w:val="20"/>
          <w:rtl/>
        </w:rPr>
        <w:t xml:space="preserve"> و</w:t>
      </w:r>
      <w:r w:rsidRPr="00FF662B">
        <w:rPr>
          <w:rFonts w:hint="cs"/>
          <w:sz w:val="20"/>
          <w:rtl/>
        </w:rPr>
        <w:t>التي تأخذ في الاعتبار الدوافع المتعددة المباشرة وغير المباشرة وراء فقدان التنوع البيولوجي وتعكس على نحو أفضل وظائف وخدمات النظم الإيكولوجية؛</w:t>
      </w:r>
    </w:p>
    <w:p w:rsidR="0044570B" w:rsidRPr="00FF662B" w:rsidRDefault="0044570B" w:rsidP="0044570B">
      <w:pPr>
        <w:spacing w:after="60"/>
        <w:ind w:firstLine="720"/>
        <w:rPr>
          <w:sz w:val="20"/>
          <w:rtl/>
        </w:rPr>
      </w:pPr>
      <w:r w:rsidRPr="00FF662B">
        <w:rPr>
          <w:rFonts w:hint="cs"/>
          <w:sz w:val="20"/>
          <w:rtl/>
        </w:rPr>
        <w:t>(ﻫ)</w:t>
      </w:r>
      <w:r w:rsidRPr="00FF662B">
        <w:rPr>
          <w:rFonts w:hint="cs"/>
          <w:sz w:val="20"/>
          <w:rtl/>
        </w:rPr>
        <w:tab/>
      </w:r>
      <w:r w:rsidRPr="00FF662B">
        <w:rPr>
          <w:sz w:val="20"/>
          <w:rtl/>
        </w:rPr>
        <w:t xml:space="preserve">تحسين </w:t>
      </w:r>
      <w:r w:rsidRPr="00FF662B">
        <w:rPr>
          <w:rFonts w:hint="cs"/>
          <w:sz w:val="20"/>
          <w:rtl/>
        </w:rPr>
        <w:t>دمج</w:t>
      </w:r>
      <w:r w:rsidRPr="00FF662B">
        <w:rPr>
          <w:sz w:val="20"/>
          <w:rtl/>
        </w:rPr>
        <w:t xml:space="preserve"> أو تعميم </w:t>
      </w:r>
      <w:r>
        <w:rPr>
          <w:rFonts w:hint="cs"/>
          <w:sz w:val="20"/>
          <w:rtl/>
        </w:rPr>
        <w:t>قضايا</w:t>
      </w:r>
      <w:r w:rsidRPr="00FF662B">
        <w:rPr>
          <w:sz w:val="20"/>
          <w:rtl/>
        </w:rPr>
        <w:t xml:space="preserve"> التنوع البيولوجي في جميع قطاعات المجتمع </w:t>
      </w:r>
      <w:r w:rsidRPr="00FF662B">
        <w:rPr>
          <w:rFonts w:hint="cs"/>
          <w:sz w:val="20"/>
          <w:rtl/>
        </w:rPr>
        <w:t xml:space="preserve">وعبرها، بما في ذلك في التخطيط الوطني والعمليات الإنمائية والسياسات الإنمائية، </w:t>
      </w:r>
      <w:r w:rsidRPr="00FF662B">
        <w:rPr>
          <w:sz w:val="20"/>
          <w:rtl/>
        </w:rPr>
        <w:t xml:space="preserve">من أجل </w:t>
      </w:r>
      <w:r w:rsidRPr="00FF662B">
        <w:rPr>
          <w:rFonts w:hint="cs"/>
          <w:sz w:val="20"/>
          <w:rtl/>
        </w:rPr>
        <w:t>تحسين مراعاة آثار</w:t>
      </w:r>
      <w:r w:rsidRPr="00FF662B">
        <w:rPr>
          <w:sz w:val="20"/>
          <w:rtl/>
        </w:rPr>
        <w:t xml:space="preserve"> </w:t>
      </w:r>
      <w:r w:rsidRPr="00FF662B">
        <w:rPr>
          <w:rFonts w:hint="cs"/>
          <w:sz w:val="20"/>
          <w:rtl/>
        </w:rPr>
        <w:t>التسربات</w:t>
      </w:r>
      <w:r w:rsidRPr="00FF662B">
        <w:rPr>
          <w:sz w:val="20"/>
          <w:rtl/>
        </w:rPr>
        <w:t xml:space="preserve"> السياسات</w:t>
      </w:r>
      <w:r w:rsidRPr="00FF662B">
        <w:rPr>
          <w:rFonts w:hint="cs"/>
          <w:sz w:val="20"/>
          <w:rtl/>
        </w:rPr>
        <w:t>ية</w:t>
      </w:r>
      <w:r w:rsidRPr="00FF662B">
        <w:rPr>
          <w:sz w:val="20"/>
          <w:rtl/>
        </w:rPr>
        <w:t xml:space="preserve"> والآثار</w:t>
      </w:r>
      <w:r>
        <w:rPr>
          <w:rFonts w:hint="cs"/>
          <w:sz w:val="20"/>
          <w:rtl/>
        </w:rPr>
        <w:t xml:space="preserve"> السلبية</w:t>
      </w:r>
      <w:r w:rsidRPr="00FF662B">
        <w:rPr>
          <w:rFonts w:hint="cs"/>
          <w:sz w:val="20"/>
          <w:rtl/>
        </w:rPr>
        <w:t xml:space="preserve"> غير المباشرة</w:t>
      </w:r>
      <w:r w:rsidRPr="00FF662B">
        <w:rPr>
          <w:sz w:val="20"/>
          <w:rtl/>
        </w:rPr>
        <w:t xml:space="preserve"> في عملية </w:t>
      </w:r>
      <w:r>
        <w:rPr>
          <w:rFonts w:hint="cs"/>
          <w:sz w:val="20"/>
          <w:rtl/>
        </w:rPr>
        <w:t>صنع القرار</w:t>
      </w:r>
      <w:r w:rsidRPr="00FF662B">
        <w:rPr>
          <w:sz w:val="20"/>
          <w:rtl/>
        </w:rPr>
        <w:t xml:space="preserve"> وال</w:t>
      </w:r>
      <w:r w:rsidRPr="00FF662B">
        <w:rPr>
          <w:rFonts w:hint="cs"/>
          <w:sz w:val="20"/>
          <w:rtl/>
        </w:rPr>
        <w:t>تأثيرات</w:t>
      </w:r>
      <w:r>
        <w:rPr>
          <w:rFonts w:hint="cs"/>
          <w:sz w:val="20"/>
          <w:rtl/>
        </w:rPr>
        <w:t xml:space="preserve"> السلبية غير المقصودة</w:t>
      </w:r>
      <w:r w:rsidRPr="00FF662B">
        <w:rPr>
          <w:sz w:val="20"/>
          <w:rtl/>
        </w:rPr>
        <w:t xml:space="preserve"> </w:t>
      </w:r>
      <w:r w:rsidRPr="00FF662B">
        <w:rPr>
          <w:rFonts w:hint="cs"/>
          <w:sz w:val="20"/>
          <w:rtl/>
        </w:rPr>
        <w:t>ل</w:t>
      </w:r>
      <w:r w:rsidRPr="00FF662B">
        <w:rPr>
          <w:sz w:val="20"/>
          <w:rtl/>
        </w:rPr>
        <w:t>لقرارات السياس</w:t>
      </w:r>
      <w:r w:rsidRPr="00FF662B">
        <w:rPr>
          <w:rFonts w:hint="cs"/>
          <w:sz w:val="20"/>
          <w:rtl/>
        </w:rPr>
        <w:t>اتية؛</w:t>
      </w:r>
    </w:p>
    <w:p w:rsidR="0044570B" w:rsidRPr="00FF662B" w:rsidRDefault="0044570B" w:rsidP="0044570B">
      <w:pPr>
        <w:spacing w:after="60"/>
        <w:ind w:firstLine="720"/>
        <w:rPr>
          <w:sz w:val="20"/>
          <w:rtl/>
        </w:rPr>
      </w:pPr>
      <w:r w:rsidRPr="00FF662B">
        <w:rPr>
          <w:rFonts w:hint="cs"/>
          <w:sz w:val="20"/>
          <w:rtl/>
        </w:rPr>
        <w:t>(و)</w:t>
      </w:r>
      <w:r w:rsidRPr="00FF662B">
        <w:rPr>
          <w:rFonts w:hint="cs"/>
          <w:sz w:val="20"/>
          <w:rtl/>
        </w:rPr>
        <w:tab/>
        <w:t>مراعاة أفضل للتأثيرات المباشرة وغير المباشرة للسياسات، وأنماط الإنتاج والاستهلاك،</w:t>
      </w:r>
      <w:r>
        <w:rPr>
          <w:rFonts w:hint="cs"/>
          <w:sz w:val="20"/>
          <w:rtl/>
        </w:rPr>
        <w:t xml:space="preserve"> على التنوع البيولوجي، ول</w:t>
      </w:r>
      <w:r w:rsidRPr="00FF662B">
        <w:rPr>
          <w:rFonts w:hint="cs"/>
          <w:sz w:val="20"/>
          <w:rtl/>
        </w:rPr>
        <w:t>لتفاعلات السببية بين الأماكن البعيدة والنظم الإيكولوجية، وتأثيراتها عليها، ومعالجة أفضل لآثار القرارات السياساتية والإنتاج والاستهلاك على التنوع البيولوجي، داخل وخارج الحدود الوطنية على السواء؛</w:t>
      </w:r>
    </w:p>
    <w:p w:rsidR="0044570B" w:rsidRPr="00FF662B" w:rsidRDefault="0044570B" w:rsidP="0044570B">
      <w:pPr>
        <w:spacing w:after="60"/>
        <w:ind w:firstLine="720"/>
        <w:rPr>
          <w:sz w:val="20"/>
          <w:rtl/>
        </w:rPr>
      </w:pPr>
      <w:r w:rsidRPr="00FF662B">
        <w:rPr>
          <w:rFonts w:hint="cs"/>
          <w:sz w:val="20"/>
          <w:rtl/>
        </w:rPr>
        <w:t>(ز)</w:t>
      </w:r>
      <w:r w:rsidRPr="00FF662B">
        <w:rPr>
          <w:rFonts w:hint="cs"/>
          <w:sz w:val="20"/>
          <w:rtl/>
        </w:rPr>
        <w:tab/>
      </w:r>
      <w:r w:rsidRPr="00FF662B">
        <w:rPr>
          <w:sz w:val="20"/>
          <w:rtl/>
        </w:rPr>
        <w:t>التشجيع على استخدام</w:t>
      </w:r>
      <w:r w:rsidRPr="00FF662B">
        <w:rPr>
          <w:rFonts w:hint="cs"/>
          <w:sz w:val="20"/>
          <w:rtl/>
        </w:rPr>
        <w:t xml:space="preserve"> أكبر لتقنيات التخطيط المكاني في حفظ التنوع البيولوجي وإدارته؛</w:t>
      </w:r>
    </w:p>
    <w:p w:rsidR="0044570B" w:rsidRPr="00FF662B" w:rsidRDefault="0044570B" w:rsidP="0044570B">
      <w:pPr>
        <w:spacing w:after="60"/>
        <w:ind w:firstLine="720"/>
        <w:rPr>
          <w:sz w:val="20"/>
          <w:rtl/>
        </w:rPr>
      </w:pPr>
      <w:r w:rsidRPr="00FF662B">
        <w:rPr>
          <w:rFonts w:hint="cs"/>
          <w:sz w:val="20"/>
          <w:rtl/>
        </w:rPr>
        <w:t>(ح)</w:t>
      </w:r>
      <w:r w:rsidRPr="00FF662B">
        <w:rPr>
          <w:rFonts w:hint="cs"/>
          <w:sz w:val="20"/>
          <w:rtl/>
        </w:rPr>
        <w:tab/>
      </w:r>
      <w:r w:rsidRPr="00FF662B">
        <w:rPr>
          <w:sz w:val="20"/>
          <w:rtl/>
        </w:rPr>
        <w:t>تعزيز و</w:t>
      </w:r>
      <w:r w:rsidRPr="00FF662B">
        <w:rPr>
          <w:rFonts w:hint="cs"/>
          <w:sz w:val="20"/>
          <w:rtl/>
        </w:rPr>
        <w:t>وضع</w:t>
      </w:r>
      <w:r w:rsidRPr="00FF662B">
        <w:rPr>
          <w:sz w:val="20"/>
          <w:rtl/>
        </w:rPr>
        <w:t xml:space="preserve"> نظم </w:t>
      </w:r>
      <w:r w:rsidRPr="00FF662B">
        <w:rPr>
          <w:rFonts w:hint="cs"/>
          <w:sz w:val="20"/>
          <w:rtl/>
        </w:rPr>
        <w:t>حوكمة</w:t>
      </w:r>
      <w:r w:rsidRPr="00FF662B">
        <w:rPr>
          <w:sz w:val="20"/>
          <w:rtl/>
        </w:rPr>
        <w:t xml:space="preserve"> تعالج </w:t>
      </w:r>
      <w:r>
        <w:rPr>
          <w:rFonts w:hint="cs"/>
          <w:sz w:val="20"/>
          <w:rtl/>
        </w:rPr>
        <w:t>قضايا</w:t>
      </w:r>
      <w:r w:rsidRPr="00FF662B">
        <w:rPr>
          <w:sz w:val="20"/>
          <w:rtl/>
        </w:rPr>
        <w:t xml:space="preserve"> التنوع البيولوجي بطريقة أكثر </w:t>
      </w:r>
      <w:r w:rsidRPr="00FF662B">
        <w:rPr>
          <w:rFonts w:hint="cs"/>
          <w:sz w:val="20"/>
          <w:rtl/>
        </w:rPr>
        <w:t>اتساقاً</w:t>
      </w:r>
      <w:r w:rsidRPr="00FF662B">
        <w:rPr>
          <w:sz w:val="20"/>
          <w:rtl/>
        </w:rPr>
        <w:t xml:space="preserve"> وتحسين </w:t>
      </w:r>
      <w:r w:rsidRPr="00FF662B">
        <w:rPr>
          <w:rFonts w:hint="cs"/>
          <w:sz w:val="20"/>
          <w:rtl/>
        </w:rPr>
        <w:t>إدماج</w:t>
      </w:r>
      <w:r w:rsidRPr="00FF662B">
        <w:rPr>
          <w:sz w:val="20"/>
          <w:rtl/>
        </w:rPr>
        <w:t xml:space="preserve"> الالتزامات العالمية للتنوع البيولوجي</w:t>
      </w:r>
      <w:r w:rsidRPr="00FF662B">
        <w:rPr>
          <w:rFonts w:hint="cs"/>
          <w:sz w:val="20"/>
          <w:rtl/>
        </w:rPr>
        <w:t xml:space="preserve">، بما في ذلك عن طريق </w:t>
      </w:r>
      <w:r w:rsidRPr="00FF662B">
        <w:rPr>
          <w:sz w:val="20"/>
          <w:rtl/>
        </w:rPr>
        <w:t xml:space="preserve">تحسين </w:t>
      </w:r>
      <w:r w:rsidRPr="00FF662B">
        <w:rPr>
          <w:rFonts w:hint="cs"/>
          <w:sz w:val="20"/>
          <w:rtl/>
        </w:rPr>
        <w:t>دمج</w:t>
      </w:r>
      <w:r w:rsidRPr="00FF662B">
        <w:rPr>
          <w:sz w:val="20"/>
          <w:rtl/>
        </w:rPr>
        <w:t xml:space="preserve"> </w:t>
      </w:r>
      <w:r w:rsidRPr="00FF662B">
        <w:rPr>
          <w:rFonts w:hint="cs"/>
          <w:sz w:val="20"/>
          <w:rtl/>
        </w:rPr>
        <w:t>ال</w:t>
      </w:r>
      <w:r w:rsidRPr="00FF662B">
        <w:rPr>
          <w:sz w:val="20"/>
          <w:rtl/>
        </w:rPr>
        <w:t>معارف</w:t>
      </w:r>
      <w:r w:rsidRPr="00FF662B">
        <w:rPr>
          <w:rFonts w:hint="cs"/>
          <w:sz w:val="20"/>
          <w:rtl/>
        </w:rPr>
        <w:t xml:space="preserve"> </w:t>
      </w:r>
      <w:r w:rsidRPr="00FF662B">
        <w:rPr>
          <w:sz w:val="20"/>
          <w:rtl/>
        </w:rPr>
        <w:t xml:space="preserve">الأصلية والمحلية </w:t>
      </w:r>
      <w:r w:rsidRPr="00FF662B">
        <w:rPr>
          <w:rFonts w:hint="cs"/>
          <w:sz w:val="20"/>
          <w:rtl/>
        </w:rPr>
        <w:t xml:space="preserve">وتعددية القيم </w:t>
      </w:r>
      <w:r w:rsidRPr="00FF662B">
        <w:rPr>
          <w:sz w:val="20"/>
          <w:rtl/>
        </w:rPr>
        <w:t xml:space="preserve">في عمليات </w:t>
      </w:r>
      <w:r w:rsidRPr="00FF662B">
        <w:rPr>
          <w:rFonts w:hint="cs"/>
          <w:sz w:val="20"/>
          <w:rtl/>
        </w:rPr>
        <w:t>الحوكمة</w:t>
      </w:r>
      <w:r w:rsidRPr="00FF662B">
        <w:rPr>
          <w:sz w:val="20"/>
          <w:rtl/>
        </w:rPr>
        <w:t xml:space="preserve">، </w:t>
      </w:r>
      <w:r w:rsidRPr="00FF662B">
        <w:rPr>
          <w:rFonts w:hint="cs"/>
          <w:sz w:val="20"/>
          <w:rtl/>
        </w:rPr>
        <w:t>وعن طريق مراعاة</w:t>
      </w:r>
      <w:r w:rsidRPr="00FF662B">
        <w:rPr>
          <w:sz w:val="20"/>
          <w:rtl/>
        </w:rPr>
        <w:t xml:space="preserve"> </w:t>
      </w:r>
      <w:r w:rsidRPr="00FF662B">
        <w:rPr>
          <w:rFonts w:hint="cs"/>
          <w:sz w:val="20"/>
          <w:rtl/>
        </w:rPr>
        <w:t>أفضل ل</w:t>
      </w:r>
      <w:r w:rsidRPr="00FF662B">
        <w:rPr>
          <w:sz w:val="20"/>
          <w:rtl/>
        </w:rPr>
        <w:t>أوجه التآزر الممكنة</w:t>
      </w:r>
      <w:r w:rsidRPr="00FF662B">
        <w:rPr>
          <w:rFonts w:hint="cs"/>
          <w:sz w:val="20"/>
          <w:rtl/>
        </w:rPr>
        <w:t xml:space="preserve"> لدى</w:t>
      </w:r>
      <w:r w:rsidRPr="00FF662B">
        <w:rPr>
          <w:sz w:val="20"/>
          <w:rtl/>
        </w:rPr>
        <w:t xml:space="preserve"> تنفيذ الاتفاقات الثنائية و</w:t>
      </w:r>
      <w:r w:rsidRPr="00FF662B">
        <w:rPr>
          <w:rFonts w:hint="cs"/>
          <w:sz w:val="20"/>
          <w:rtl/>
        </w:rPr>
        <w:t>ال</w:t>
      </w:r>
      <w:r w:rsidRPr="00FF662B">
        <w:rPr>
          <w:sz w:val="20"/>
          <w:rtl/>
        </w:rPr>
        <w:t>متعددة الأطراف</w:t>
      </w:r>
      <w:r w:rsidRPr="00FF662B">
        <w:rPr>
          <w:rFonts w:hint="cs"/>
          <w:sz w:val="20"/>
          <w:rtl/>
        </w:rPr>
        <w:t>،</w:t>
      </w:r>
      <w:r w:rsidRPr="00FF662B">
        <w:rPr>
          <w:sz w:val="20"/>
          <w:rtl/>
        </w:rPr>
        <w:t xml:space="preserve"> وأهداف التنمية المستدامة</w:t>
      </w:r>
      <w:r w:rsidRPr="00FF662B">
        <w:rPr>
          <w:rFonts w:hint="cs"/>
          <w:sz w:val="20"/>
          <w:rtl/>
        </w:rPr>
        <w:t>،</w:t>
      </w:r>
      <w:r w:rsidRPr="00FF662B">
        <w:rPr>
          <w:sz w:val="20"/>
          <w:rtl/>
        </w:rPr>
        <w:t xml:space="preserve"> والمبادرات الدولية والإقليمية الأخرى</w:t>
      </w:r>
      <w:r w:rsidRPr="00FF662B">
        <w:rPr>
          <w:rFonts w:hint="cs"/>
          <w:sz w:val="20"/>
          <w:rtl/>
        </w:rPr>
        <w:t xml:space="preserve"> </w:t>
      </w:r>
      <w:r w:rsidRPr="00FF662B">
        <w:rPr>
          <w:sz w:val="20"/>
          <w:rtl/>
        </w:rPr>
        <w:t>على المستوى الوطني</w:t>
      </w:r>
      <w:r w:rsidRPr="00FF662B">
        <w:rPr>
          <w:rFonts w:hint="cs"/>
          <w:sz w:val="20"/>
          <w:rtl/>
        </w:rPr>
        <w:t>؛</w:t>
      </w:r>
    </w:p>
    <w:p w:rsidR="0044570B" w:rsidRPr="00FF662B" w:rsidRDefault="0044570B" w:rsidP="0044570B">
      <w:pPr>
        <w:spacing w:after="60"/>
        <w:ind w:firstLine="720"/>
        <w:rPr>
          <w:sz w:val="20"/>
          <w:rtl/>
        </w:rPr>
      </w:pPr>
      <w:r w:rsidRPr="00FF662B">
        <w:rPr>
          <w:rFonts w:hint="cs"/>
          <w:sz w:val="20"/>
          <w:rtl/>
        </w:rPr>
        <w:t>(ط)</w:t>
      </w:r>
      <w:r w:rsidRPr="00FF662B">
        <w:rPr>
          <w:rFonts w:hint="cs"/>
          <w:sz w:val="20"/>
          <w:rtl/>
        </w:rPr>
        <w:tab/>
      </w:r>
      <w:r w:rsidRPr="00FF662B">
        <w:rPr>
          <w:sz w:val="20"/>
          <w:rtl/>
        </w:rPr>
        <w:t>تشجيع استخدام الن</w:t>
      </w:r>
      <w:r w:rsidRPr="00FF662B">
        <w:rPr>
          <w:rFonts w:hint="cs"/>
          <w:sz w:val="20"/>
          <w:rtl/>
        </w:rPr>
        <w:t>ُ</w:t>
      </w:r>
      <w:r w:rsidRPr="00FF662B">
        <w:rPr>
          <w:sz w:val="20"/>
          <w:rtl/>
        </w:rPr>
        <w:t xml:space="preserve">هج التشاركية في إدارة التنوع البيولوجي، </w:t>
      </w:r>
      <w:r w:rsidRPr="00FF662B">
        <w:rPr>
          <w:rFonts w:hint="cs"/>
          <w:sz w:val="20"/>
          <w:rtl/>
        </w:rPr>
        <w:t>بما في ذلك من خلال المشاركة الفعالة للشعوب الأصلية والمجتمعات المحلية، وبسبل منها</w:t>
      </w:r>
      <w:r w:rsidRPr="00FF662B">
        <w:rPr>
          <w:sz w:val="20"/>
          <w:rtl/>
        </w:rPr>
        <w:t xml:space="preserve"> </w:t>
      </w:r>
      <w:r>
        <w:rPr>
          <w:rFonts w:hint="cs"/>
          <w:sz w:val="20"/>
          <w:rtl/>
        </w:rPr>
        <w:t>تعزيز</w:t>
      </w:r>
      <w:r w:rsidRPr="00FF662B">
        <w:rPr>
          <w:sz w:val="20"/>
          <w:rtl/>
        </w:rPr>
        <w:t xml:space="preserve"> قدرات أصحاب المصلحة ليكونوا قادرين على المشاركة </w:t>
      </w:r>
      <w:r w:rsidRPr="00FF662B">
        <w:rPr>
          <w:rFonts w:hint="cs"/>
          <w:sz w:val="20"/>
          <w:rtl/>
        </w:rPr>
        <w:t>بصورة مجدية</w:t>
      </w:r>
      <w:r w:rsidRPr="00FF662B">
        <w:rPr>
          <w:sz w:val="20"/>
          <w:rtl/>
        </w:rPr>
        <w:t xml:space="preserve"> في عمليات </w:t>
      </w:r>
      <w:r w:rsidRPr="00FF662B">
        <w:rPr>
          <w:rFonts w:hint="cs"/>
          <w:sz w:val="20"/>
          <w:rtl/>
        </w:rPr>
        <w:t>صنع القرار؛</w:t>
      </w:r>
    </w:p>
    <w:p w:rsidR="0044570B" w:rsidRPr="00FF662B" w:rsidRDefault="0044570B" w:rsidP="0044570B">
      <w:pPr>
        <w:spacing w:after="60"/>
        <w:ind w:firstLine="720"/>
        <w:rPr>
          <w:sz w:val="20"/>
          <w:rtl/>
        </w:rPr>
      </w:pPr>
      <w:r w:rsidRPr="00FF662B">
        <w:rPr>
          <w:rFonts w:hint="cs"/>
          <w:sz w:val="20"/>
          <w:rtl/>
        </w:rPr>
        <w:t>(ي)</w:t>
      </w:r>
      <w:r w:rsidRPr="00FF662B">
        <w:rPr>
          <w:rFonts w:hint="cs"/>
          <w:sz w:val="20"/>
          <w:rtl/>
        </w:rPr>
        <w:tab/>
      </w:r>
      <w:r w:rsidRPr="00FF662B">
        <w:rPr>
          <w:sz w:val="20"/>
          <w:rtl/>
        </w:rPr>
        <w:t xml:space="preserve">العمل </w:t>
      </w:r>
      <w:r w:rsidRPr="00FF662B">
        <w:rPr>
          <w:rFonts w:hint="cs"/>
          <w:sz w:val="20"/>
          <w:rtl/>
        </w:rPr>
        <w:t>بمزيد من الفعالية</w:t>
      </w:r>
      <w:r w:rsidRPr="00FF662B">
        <w:rPr>
          <w:sz w:val="20"/>
          <w:rtl/>
        </w:rPr>
        <w:t xml:space="preserve"> مع صغار </w:t>
      </w:r>
      <w:r w:rsidRPr="00FF662B">
        <w:rPr>
          <w:rFonts w:hint="cs"/>
          <w:sz w:val="20"/>
          <w:rtl/>
        </w:rPr>
        <w:t>ملاك الأراضي</w:t>
      </w:r>
      <w:r w:rsidRPr="00FF662B">
        <w:rPr>
          <w:sz w:val="20"/>
          <w:rtl/>
        </w:rPr>
        <w:t xml:space="preserve"> ل</w:t>
      </w:r>
      <w:r w:rsidRPr="00FF662B">
        <w:rPr>
          <w:rFonts w:hint="cs"/>
          <w:sz w:val="20"/>
          <w:rtl/>
        </w:rPr>
        <w:t>اعتماد</w:t>
      </w:r>
      <w:r w:rsidRPr="00FF662B">
        <w:rPr>
          <w:sz w:val="20"/>
          <w:rtl/>
        </w:rPr>
        <w:t xml:space="preserve"> ممارسات</w:t>
      </w:r>
      <w:r>
        <w:rPr>
          <w:rFonts w:hint="cs"/>
          <w:sz w:val="20"/>
          <w:rtl/>
        </w:rPr>
        <w:t xml:space="preserve"> مستدامة</w:t>
      </w:r>
      <w:r w:rsidRPr="00FF662B">
        <w:rPr>
          <w:sz w:val="20"/>
          <w:rtl/>
        </w:rPr>
        <w:t xml:space="preserve"> </w:t>
      </w:r>
      <w:r w:rsidRPr="00FF662B">
        <w:rPr>
          <w:rFonts w:hint="cs"/>
          <w:sz w:val="20"/>
          <w:rtl/>
        </w:rPr>
        <w:t>تتسم بفعالية أكبر وتراعي</w:t>
      </w:r>
      <w:r w:rsidRPr="00FF662B">
        <w:rPr>
          <w:sz w:val="20"/>
          <w:rtl/>
        </w:rPr>
        <w:t xml:space="preserve"> </w:t>
      </w:r>
      <w:r w:rsidRPr="00FF662B">
        <w:rPr>
          <w:rFonts w:hint="cs"/>
          <w:sz w:val="20"/>
          <w:rtl/>
        </w:rPr>
        <w:t>ا</w:t>
      </w:r>
      <w:r w:rsidRPr="00FF662B">
        <w:rPr>
          <w:sz w:val="20"/>
          <w:rtl/>
        </w:rPr>
        <w:t xml:space="preserve">لتنوع البيولوجي، </w:t>
      </w:r>
      <w:r w:rsidRPr="00FF662B">
        <w:rPr>
          <w:rFonts w:hint="cs"/>
          <w:sz w:val="20"/>
          <w:rtl/>
        </w:rPr>
        <w:t>و</w:t>
      </w:r>
      <w:r w:rsidRPr="00FF662B">
        <w:rPr>
          <w:sz w:val="20"/>
          <w:rtl/>
        </w:rPr>
        <w:t>تعزيز التعاون والشراكات مع الشعوب الأصلية</w:t>
      </w:r>
      <w:r w:rsidRPr="00FF662B">
        <w:rPr>
          <w:rFonts w:hint="cs"/>
          <w:sz w:val="20"/>
          <w:rtl/>
        </w:rPr>
        <w:t xml:space="preserve"> </w:t>
      </w:r>
      <w:r w:rsidRPr="00FF662B">
        <w:rPr>
          <w:sz w:val="20"/>
          <w:rtl/>
        </w:rPr>
        <w:t>والمجتمعات المحلية</w:t>
      </w:r>
      <w:r w:rsidRPr="00FF662B">
        <w:rPr>
          <w:rFonts w:hint="cs"/>
          <w:sz w:val="20"/>
          <w:rtl/>
        </w:rPr>
        <w:t>،</w:t>
      </w:r>
      <w:r w:rsidRPr="00FF662B">
        <w:rPr>
          <w:sz w:val="20"/>
          <w:rtl/>
        </w:rPr>
        <w:t xml:space="preserve"> والمنظمات غير الحكومية</w:t>
      </w:r>
      <w:r w:rsidRPr="00FF662B">
        <w:rPr>
          <w:rFonts w:hint="cs"/>
          <w:sz w:val="20"/>
          <w:rtl/>
        </w:rPr>
        <w:t>،</w:t>
      </w:r>
      <w:r w:rsidRPr="00FF662B">
        <w:rPr>
          <w:sz w:val="20"/>
          <w:rtl/>
        </w:rPr>
        <w:t xml:space="preserve"> والقطاع الخاص والأفراد</w:t>
      </w:r>
      <w:r w:rsidRPr="00FF662B">
        <w:rPr>
          <w:rFonts w:hint="cs"/>
          <w:sz w:val="20"/>
          <w:rtl/>
        </w:rPr>
        <w:t>؛</w:t>
      </w:r>
    </w:p>
    <w:p w:rsidR="0044570B" w:rsidRPr="00FF662B" w:rsidRDefault="0044570B" w:rsidP="0044570B">
      <w:pPr>
        <w:spacing w:after="60"/>
        <w:ind w:firstLine="720"/>
        <w:rPr>
          <w:b/>
          <w:sz w:val="20"/>
          <w:rtl/>
        </w:rPr>
      </w:pPr>
      <w:r w:rsidRPr="00FF662B">
        <w:rPr>
          <w:rFonts w:hint="cs"/>
          <w:sz w:val="20"/>
          <w:rtl/>
        </w:rPr>
        <w:t>(ك)</w:t>
      </w:r>
      <w:r w:rsidRPr="00FF662B">
        <w:rPr>
          <w:rFonts w:hint="cs"/>
          <w:sz w:val="20"/>
          <w:rtl/>
        </w:rPr>
        <w:tab/>
      </w:r>
      <w:r w:rsidRPr="00FF662B">
        <w:rPr>
          <w:b/>
          <w:sz w:val="20"/>
          <w:rtl/>
        </w:rPr>
        <w:t>ت</w:t>
      </w:r>
      <w:r w:rsidRPr="00FF662B">
        <w:rPr>
          <w:rFonts w:hint="cs"/>
          <w:b/>
          <w:sz w:val="20"/>
          <w:rtl/>
        </w:rPr>
        <w:t>حسين</w:t>
      </w:r>
      <w:r w:rsidRPr="00FF662B">
        <w:rPr>
          <w:b/>
          <w:sz w:val="20"/>
          <w:rtl/>
        </w:rPr>
        <w:t xml:space="preserve"> </w:t>
      </w:r>
      <w:r w:rsidRPr="00FF662B">
        <w:rPr>
          <w:rFonts w:hint="cs"/>
          <w:b/>
          <w:sz w:val="20"/>
          <w:rtl/>
        </w:rPr>
        <w:t>الوعي</w:t>
      </w:r>
      <w:r w:rsidRPr="00FF662B">
        <w:rPr>
          <w:b/>
          <w:sz w:val="20"/>
          <w:rtl/>
        </w:rPr>
        <w:t xml:space="preserve"> </w:t>
      </w:r>
      <w:r w:rsidRPr="00FF662B">
        <w:rPr>
          <w:rFonts w:hint="cs"/>
          <w:b/>
          <w:sz w:val="20"/>
          <w:rtl/>
        </w:rPr>
        <w:t>ب</w:t>
      </w:r>
      <w:r w:rsidRPr="00FF662B">
        <w:rPr>
          <w:b/>
          <w:sz w:val="20"/>
          <w:rtl/>
        </w:rPr>
        <w:t xml:space="preserve">التنوع البيولوجي </w:t>
      </w:r>
      <w:r w:rsidRPr="00FF662B">
        <w:rPr>
          <w:rFonts w:hint="cs"/>
          <w:b/>
          <w:sz w:val="20"/>
          <w:rtl/>
        </w:rPr>
        <w:t>والتفاعلات بين الدوافع غير المباشرة والدوافع المباشرة وراء فقدان التنوع البيولوجي وآثارها على التنوع البيولوجي، ووظائف وخدمات النظم الإيكولوجية ورفاه الإنسان من خلال تعزيز الاتصال والتثقيف والتوعية العامة واتخاذ إجراءات لإحداث تغير في السلوك وفي السياسات؛</w:t>
      </w:r>
    </w:p>
    <w:p w:rsidR="0044570B" w:rsidRDefault="0044570B" w:rsidP="0044570B">
      <w:pPr>
        <w:spacing w:after="60"/>
        <w:ind w:firstLine="720"/>
        <w:rPr>
          <w:sz w:val="20"/>
          <w:rtl/>
        </w:rPr>
      </w:pPr>
      <w:r w:rsidRPr="00FF662B">
        <w:rPr>
          <w:rFonts w:hint="cs"/>
          <w:sz w:val="20"/>
          <w:rtl/>
        </w:rPr>
        <w:t>(ل)</w:t>
      </w:r>
      <w:r w:rsidRPr="00FF662B">
        <w:rPr>
          <w:rFonts w:hint="cs"/>
          <w:sz w:val="20"/>
          <w:rtl/>
        </w:rPr>
        <w:tab/>
      </w:r>
      <w:r>
        <w:rPr>
          <w:rFonts w:hint="cs"/>
          <w:sz w:val="20"/>
          <w:rtl/>
        </w:rPr>
        <w:t>تحسين</w:t>
      </w:r>
      <w:r w:rsidRPr="00FF662B">
        <w:rPr>
          <w:sz w:val="20"/>
          <w:rtl/>
        </w:rPr>
        <w:t xml:space="preserve"> </w:t>
      </w:r>
      <w:r w:rsidRPr="00FF662B">
        <w:rPr>
          <w:rFonts w:hint="cs"/>
          <w:sz w:val="20"/>
          <w:rtl/>
        </w:rPr>
        <w:t xml:space="preserve">تدفق </w:t>
      </w:r>
      <w:r w:rsidRPr="00FF662B">
        <w:rPr>
          <w:sz w:val="20"/>
          <w:rtl/>
        </w:rPr>
        <w:t xml:space="preserve">الموارد المالية </w:t>
      </w:r>
      <w:r>
        <w:rPr>
          <w:rFonts w:hint="cs"/>
          <w:sz w:val="20"/>
          <w:rtl/>
        </w:rPr>
        <w:t xml:space="preserve">والتكنولوجية </w:t>
      </w:r>
      <w:r w:rsidRPr="00FF662B">
        <w:rPr>
          <w:sz w:val="20"/>
          <w:rtl/>
        </w:rPr>
        <w:t>و</w:t>
      </w:r>
      <w:r>
        <w:rPr>
          <w:rFonts w:hint="cs"/>
          <w:sz w:val="20"/>
          <w:rtl/>
        </w:rPr>
        <w:t xml:space="preserve">تيسير الوصول إليها </w:t>
      </w:r>
      <w:r w:rsidRPr="00FF662B">
        <w:rPr>
          <w:rFonts w:hint="cs"/>
          <w:sz w:val="20"/>
          <w:rtl/>
        </w:rPr>
        <w:t>لحفظ</w:t>
      </w:r>
      <w:r w:rsidRPr="00FF662B">
        <w:rPr>
          <w:sz w:val="20"/>
          <w:rtl/>
        </w:rPr>
        <w:t xml:space="preserve"> التنوع البيولوجي واستخدامه المستدام</w:t>
      </w:r>
      <w:r w:rsidRPr="00FF662B">
        <w:rPr>
          <w:rFonts w:hint="cs"/>
          <w:sz w:val="20"/>
          <w:rtl/>
        </w:rPr>
        <w:t>؛</w:t>
      </w:r>
    </w:p>
    <w:p w:rsidR="0044570B" w:rsidRPr="00FF662B" w:rsidRDefault="0044570B" w:rsidP="0044570B">
      <w:pPr>
        <w:spacing w:after="60"/>
        <w:ind w:firstLine="720"/>
        <w:rPr>
          <w:sz w:val="20"/>
          <w:rtl/>
        </w:rPr>
      </w:pPr>
      <w:r w:rsidRPr="00FF662B">
        <w:rPr>
          <w:rFonts w:hint="cs"/>
          <w:sz w:val="20"/>
          <w:rtl/>
        </w:rPr>
        <w:t>(م)</w:t>
      </w:r>
      <w:r w:rsidRPr="00FF662B">
        <w:rPr>
          <w:rFonts w:hint="cs"/>
          <w:sz w:val="20"/>
          <w:rtl/>
        </w:rPr>
        <w:tab/>
      </w:r>
      <w:r w:rsidRPr="00FF662B">
        <w:rPr>
          <w:sz w:val="20"/>
          <w:rtl/>
        </w:rPr>
        <w:t xml:space="preserve">تعزيز الإجراءات التي تعالج الأسباب الكامنة وراء </w:t>
      </w:r>
      <w:r w:rsidRPr="00FF662B">
        <w:rPr>
          <w:rFonts w:hint="cs"/>
          <w:sz w:val="20"/>
          <w:rtl/>
        </w:rPr>
        <w:t xml:space="preserve">فقدان </w:t>
      </w:r>
      <w:r w:rsidRPr="00FF662B">
        <w:rPr>
          <w:sz w:val="20"/>
          <w:rtl/>
        </w:rPr>
        <w:t xml:space="preserve">التنوع البيولوجي والتي </w:t>
      </w:r>
      <w:r w:rsidRPr="00FF662B">
        <w:rPr>
          <w:rFonts w:hint="cs"/>
          <w:sz w:val="20"/>
          <w:rtl/>
        </w:rPr>
        <w:t>س</w:t>
      </w:r>
      <w:r w:rsidRPr="00FF662B">
        <w:rPr>
          <w:sz w:val="20"/>
          <w:rtl/>
        </w:rPr>
        <w:t>تس</w:t>
      </w:r>
      <w:r w:rsidRPr="00FF662B">
        <w:rPr>
          <w:rFonts w:hint="cs"/>
          <w:sz w:val="20"/>
          <w:rtl/>
        </w:rPr>
        <w:t>ا</w:t>
      </w:r>
      <w:r w:rsidRPr="00FF662B">
        <w:rPr>
          <w:sz w:val="20"/>
          <w:rtl/>
        </w:rPr>
        <w:t>هم في تحقيق أهداف أيشي المتعددة للتنوع البيولوجي</w:t>
      </w:r>
      <w:r w:rsidRPr="00FF662B">
        <w:rPr>
          <w:rFonts w:hint="cs"/>
          <w:sz w:val="20"/>
          <w:rtl/>
        </w:rPr>
        <w:t>؛</w:t>
      </w:r>
    </w:p>
    <w:p w:rsidR="0044570B" w:rsidRPr="00FF662B" w:rsidRDefault="0044570B" w:rsidP="0044570B">
      <w:pPr>
        <w:spacing w:after="60"/>
        <w:ind w:firstLine="720"/>
        <w:rPr>
          <w:sz w:val="20"/>
          <w:rtl/>
        </w:rPr>
      </w:pPr>
      <w:r w:rsidRPr="00FF662B">
        <w:rPr>
          <w:rFonts w:hint="cs"/>
          <w:sz w:val="20"/>
          <w:rtl/>
        </w:rPr>
        <w:t>(ن)</w:t>
      </w:r>
      <w:r w:rsidRPr="00FF662B">
        <w:rPr>
          <w:rFonts w:hint="cs"/>
          <w:sz w:val="20"/>
          <w:rtl/>
        </w:rPr>
        <w:tab/>
        <w:t>التشجيع على الن</w:t>
      </w:r>
      <w:r>
        <w:rPr>
          <w:rFonts w:hint="cs"/>
          <w:sz w:val="20"/>
          <w:rtl/>
        </w:rPr>
        <w:t>ُ</w:t>
      </w:r>
      <w:r w:rsidRPr="00FF662B">
        <w:rPr>
          <w:rFonts w:hint="cs"/>
          <w:sz w:val="20"/>
          <w:rtl/>
        </w:rPr>
        <w:t>هج المتعددة، بما في ذلك النُهج غير النقدية، لتقدير قيم التنوع البيولوجي ووظائف وخدمات النظم الإيكولوجية؛</w:t>
      </w:r>
    </w:p>
    <w:p w:rsidR="0044570B" w:rsidRPr="00FF662B" w:rsidRDefault="0044570B" w:rsidP="0044570B">
      <w:pPr>
        <w:spacing w:after="60"/>
        <w:ind w:firstLine="720"/>
        <w:rPr>
          <w:sz w:val="20"/>
          <w:rtl/>
        </w:rPr>
      </w:pPr>
      <w:r w:rsidRPr="00FF662B">
        <w:rPr>
          <w:rFonts w:hint="cs"/>
          <w:sz w:val="20"/>
          <w:rtl/>
        </w:rPr>
        <w:lastRenderedPageBreak/>
        <w:t>(س)</w:t>
      </w:r>
      <w:r w:rsidRPr="00FF662B">
        <w:rPr>
          <w:rFonts w:hint="cs"/>
          <w:sz w:val="20"/>
          <w:rtl/>
        </w:rPr>
        <w:tab/>
        <w:t>مراعاة أفضل للأثر</w:t>
      </w:r>
      <w:r w:rsidRPr="00FF662B">
        <w:rPr>
          <w:sz w:val="20"/>
          <w:rtl/>
        </w:rPr>
        <w:t xml:space="preserve"> الكامل ل</w:t>
      </w:r>
      <w:r w:rsidRPr="00FF662B">
        <w:rPr>
          <w:rFonts w:hint="cs"/>
          <w:sz w:val="20"/>
          <w:rtl/>
        </w:rPr>
        <w:t>عملي</w:t>
      </w:r>
      <w:r w:rsidRPr="00FF662B">
        <w:rPr>
          <w:sz w:val="20"/>
          <w:rtl/>
        </w:rPr>
        <w:t xml:space="preserve">ات </w:t>
      </w:r>
      <w:r w:rsidRPr="00FF662B">
        <w:rPr>
          <w:rFonts w:hint="cs"/>
          <w:sz w:val="20"/>
          <w:rtl/>
        </w:rPr>
        <w:t>الإنتاج و</w:t>
      </w:r>
      <w:r w:rsidRPr="00FF662B">
        <w:rPr>
          <w:sz w:val="20"/>
          <w:rtl/>
        </w:rPr>
        <w:t xml:space="preserve">الاستهلاك على </w:t>
      </w:r>
      <w:r w:rsidRPr="00FF662B">
        <w:rPr>
          <w:rFonts w:hint="cs"/>
          <w:sz w:val="20"/>
          <w:rtl/>
        </w:rPr>
        <w:t>طول سلاسل الإمداد بأكملها ودورة عمر المنتج على التنوع البيولوجي؛</w:t>
      </w:r>
    </w:p>
    <w:p w:rsidR="0044570B" w:rsidRPr="00FF662B" w:rsidRDefault="0044570B" w:rsidP="0044570B">
      <w:pPr>
        <w:spacing w:after="60"/>
        <w:ind w:firstLine="720"/>
        <w:rPr>
          <w:sz w:val="20"/>
          <w:rtl/>
        </w:rPr>
      </w:pPr>
      <w:r w:rsidRPr="00FF662B">
        <w:rPr>
          <w:rFonts w:hint="cs"/>
          <w:sz w:val="20"/>
          <w:rtl/>
        </w:rPr>
        <w:t>(ع)</w:t>
      </w:r>
      <w:r w:rsidRPr="00FF662B">
        <w:rPr>
          <w:rFonts w:hint="cs"/>
          <w:sz w:val="20"/>
          <w:rtl/>
        </w:rPr>
        <w:tab/>
      </w:r>
      <w:r w:rsidRPr="00FF662B">
        <w:rPr>
          <w:b/>
          <w:sz w:val="20"/>
          <w:rtl/>
        </w:rPr>
        <w:t xml:space="preserve">القضاء على الحوافز الضارة التي </w:t>
      </w:r>
      <w:r w:rsidRPr="00FF662B">
        <w:rPr>
          <w:rFonts w:hint="cs"/>
          <w:b/>
          <w:sz w:val="20"/>
          <w:rtl/>
        </w:rPr>
        <w:t>تؤدي إلى</w:t>
      </w:r>
      <w:r w:rsidRPr="00FF662B">
        <w:rPr>
          <w:b/>
          <w:sz w:val="20"/>
          <w:rtl/>
        </w:rPr>
        <w:t xml:space="preserve"> تدهور </w:t>
      </w:r>
      <w:r w:rsidRPr="00FF662B">
        <w:rPr>
          <w:rFonts w:hint="cs"/>
          <w:b/>
          <w:sz w:val="20"/>
          <w:rtl/>
        </w:rPr>
        <w:t xml:space="preserve">التنوع البيولوجي </w:t>
      </w:r>
      <w:r w:rsidRPr="00FF662B">
        <w:rPr>
          <w:b/>
          <w:sz w:val="20"/>
          <w:rtl/>
        </w:rPr>
        <w:t>و</w:t>
      </w:r>
      <w:r w:rsidRPr="00FF662B">
        <w:rPr>
          <w:rFonts w:hint="cs"/>
          <w:b/>
          <w:sz w:val="20"/>
          <w:rtl/>
        </w:rPr>
        <w:t>وضع</w:t>
      </w:r>
      <w:r w:rsidRPr="00FF662B">
        <w:rPr>
          <w:b/>
          <w:sz w:val="20"/>
          <w:rtl/>
        </w:rPr>
        <w:t xml:space="preserve"> حوافز إيجابية تكافئ اعتماد الممارسات المستدامة</w:t>
      </w:r>
      <w:r w:rsidRPr="00FF662B">
        <w:rPr>
          <w:rFonts w:hint="cs"/>
          <w:b/>
          <w:sz w:val="20"/>
          <w:rtl/>
        </w:rPr>
        <w:t>؛</w:t>
      </w:r>
    </w:p>
    <w:p w:rsidR="0044570B" w:rsidRPr="00FF662B" w:rsidRDefault="0044570B" w:rsidP="0044570B">
      <w:pPr>
        <w:spacing w:after="60"/>
        <w:ind w:firstLine="720"/>
        <w:rPr>
          <w:sz w:val="20"/>
          <w:rtl/>
          <w:lang w:val="fr-CH"/>
        </w:rPr>
      </w:pPr>
      <w:r w:rsidRPr="00FF662B">
        <w:rPr>
          <w:rFonts w:hint="cs"/>
          <w:sz w:val="20"/>
          <w:rtl/>
        </w:rPr>
        <w:t>(ف)</w:t>
      </w:r>
      <w:r w:rsidRPr="00FF662B">
        <w:rPr>
          <w:rFonts w:hint="cs"/>
          <w:sz w:val="20"/>
          <w:rtl/>
        </w:rPr>
        <w:tab/>
        <w:t xml:space="preserve">التشجيع على الاستثمار في إعداد واستخدام </w:t>
      </w:r>
      <w:r w:rsidRPr="00FF662B">
        <w:rPr>
          <w:sz w:val="20"/>
          <w:rtl/>
        </w:rPr>
        <w:t xml:space="preserve">الحلول </w:t>
      </w:r>
      <w:r w:rsidRPr="00FF662B">
        <w:rPr>
          <w:rFonts w:hint="cs"/>
          <w:sz w:val="20"/>
          <w:rtl/>
        </w:rPr>
        <w:t xml:space="preserve">القائمة على </w:t>
      </w:r>
      <w:r w:rsidRPr="00FF662B">
        <w:rPr>
          <w:sz w:val="20"/>
          <w:rtl/>
        </w:rPr>
        <w:t xml:space="preserve">الطبيعة، </w:t>
      </w:r>
      <w:r w:rsidRPr="00FF662B">
        <w:rPr>
          <w:rFonts w:hint="cs"/>
          <w:sz w:val="20"/>
          <w:rtl/>
        </w:rPr>
        <w:t xml:space="preserve">من أجل مواجهة التحديات المجتمعية، بما في ذلك من خلال </w:t>
      </w:r>
      <w:r w:rsidRPr="00FF662B">
        <w:rPr>
          <w:sz w:val="20"/>
          <w:rtl/>
        </w:rPr>
        <w:t xml:space="preserve">استعادة </w:t>
      </w:r>
      <w:r w:rsidRPr="00FF662B">
        <w:rPr>
          <w:rFonts w:hint="cs"/>
          <w:sz w:val="20"/>
          <w:rtl/>
        </w:rPr>
        <w:t>النظم الإيكولوجية وإعادة تأهيل النظم الزراعية،</w:t>
      </w:r>
      <w:r w:rsidRPr="00FF662B">
        <w:rPr>
          <w:sz w:val="20"/>
          <w:rtl/>
        </w:rPr>
        <w:t xml:space="preserve"> </w:t>
      </w:r>
      <w:r w:rsidRPr="00FF662B">
        <w:rPr>
          <w:rFonts w:hint="cs"/>
          <w:sz w:val="20"/>
          <w:rtl/>
        </w:rPr>
        <w:t>ونُهج التكيف والتخفيف القائمة على النظام الإيكولوجي، والنُهج القائمة على النظام الإيكولوجي للحد من مخاطر الكوارث؛</w:t>
      </w:r>
    </w:p>
    <w:p w:rsidR="0044570B" w:rsidRPr="00FF662B" w:rsidRDefault="0044570B" w:rsidP="0044570B">
      <w:pPr>
        <w:spacing w:after="60"/>
        <w:ind w:firstLine="720"/>
        <w:rPr>
          <w:sz w:val="20"/>
          <w:rtl/>
          <w:lang w:val="fr-CH"/>
        </w:rPr>
      </w:pPr>
      <w:r w:rsidRPr="00FF662B">
        <w:rPr>
          <w:rFonts w:hint="cs"/>
          <w:sz w:val="20"/>
          <w:rtl/>
          <w:lang w:val="fr-CH"/>
        </w:rPr>
        <w:t>(ص)</w:t>
      </w:r>
      <w:r w:rsidRPr="00FF662B">
        <w:rPr>
          <w:rFonts w:hint="cs"/>
          <w:sz w:val="20"/>
          <w:rtl/>
          <w:lang w:val="fr-CH"/>
        </w:rPr>
        <w:tab/>
        <w:t>اتخاذ تدابير مناسبة لحماية تنوع الملحقات واستعادتها، وتوافرها وصحتها؛</w:t>
      </w:r>
    </w:p>
    <w:p w:rsidR="0044570B" w:rsidRPr="00FF662B" w:rsidRDefault="0044570B" w:rsidP="0044570B">
      <w:pPr>
        <w:spacing w:after="60"/>
        <w:ind w:firstLine="720"/>
        <w:rPr>
          <w:sz w:val="20"/>
          <w:rtl/>
          <w:lang w:val="fr-CH"/>
        </w:rPr>
      </w:pPr>
      <w:r w:rsidRPr="00FF662B">
        <w:rPr>
          <w:rFonts w:hint="cs"/>
          <w:sz w:val="20"/>
          <w:rtl/>
          <w:lang w:val="fr-CH"/>
        </w:rPr>
        <w:t>(ق)</w:t>
      </w:r>
      <w:r w:rsidRPr="00FF662B">
        <w:rPr>
          <w:rFonts w:hint="cs"/>
          <w:sz w:val="20"/>
          <w:rtl/>
          <w:lang w:val="fr-CH"/>
        </w:rPr>
        <w:tab/>
        <w:t>الحد من تكاليف التصديق على الممارسات المستدامة والحواجز الأخرى لتسويق المنتجات من الإنتاج المستدام؛</w:t>
      </w:r>
    </w:p>
    <w:p w:rsidR="0044570B" w:rsidRPr="00FF662B" w:rsidRDefault="0044570B" w:rsidP="0044570B">
      <w:pPr>
        <w:spacing w:after="60"/>
        <w:ind w:firstLine="720"/>
        <w:rPr>
          <w:sz w:val="20"/>
          <w:rtl/>
          <w:lang w:val="fr-CH"/>
        </w:rPr>
      </w:pPr>
      <w:r w:rsidRPr="00FF662B">
        <w:rPr>
          <w:rFonts w:hint="cs"/>
          <w:sz w:val="20"/>
          <w:rtl/>
          <w:lang w:val="fr-CH"/>
        </w:rPr>
        <w:t>(ر)</w:t>
      </w:r>
      <w:r w:rsidRPr="00FF662B">
        <w:rPr>
          <w:rFonts w:hint="cs"/>
          <w:sz w:val="20"/>
          <w:rtl/>
          <w:lang w:val="fr-CH"/>
        </w:rPr>
        <w:tab/>
        <w:t>تحسين الجهود لمنع تدهور الأراضي واستصلاح الأراضي المتدهورة؛</w:t>
      </w:r>
    </w:p>
    <w:p w:rsidR="0044570B" w:rsidRDefault="0044570B" w:rsidP="0044570B">
      <w:pPr>
        <w:ind w:firstLine="720"/>
        <w:rPr>
          <w:rtl/>
          <w:lang w:val="en-GB"/>
        </w:rPr>
      </w:pPr>
      <w:r w:rsidRPr="00FF662B">
        <w:rPr>
          <w:rFonts w:hint="cs"/>
          <w:sz w:val="20"/>
          <w:rtl/>
          <w:lang w:val="fr-CH"/>
        </w:rPr>
        <w:t>(ش)</w:t>
      </w:r>
      <w:r w:rsidRPr="00FF662B">
        <w:rPr>
          <w:rFonts w:hint="cs"/>
          <w:sz w:val="20"/>
          <w:rtl/>
          <w:lang w:val="fr-CH"/>
        </w:rPr>
        <w:tab/>
        <w:t>زيادة الجهود لتحقيق تغير تحو</w:t>
      </w:r>
      <w:r>
        <w:rPr>
          <w:rFonts w:hint="cs"/>
          <w:sz w:val="20"/>
          <w:rtl/>
          <w:lang w:val="fr-CH"/>
        </w:rPr>
        <w:t>ي</w:t>
      </w:r>
      <w:r w:rsidRPr="00FF662B">
        <w:rPr>
          <w:rFonts w:hint="cs"/>
          <w:sz w:val="20"/>
          <w:rtl/>
          <w:lang w:val="fr-CH"/>
        </w:rPr>
        <w:t>لي في علاقة المجتمع بالتنوع البيولوجي.</w:t>
      </w:r>
    </w:p>
    <w:p w:rsidR="0044570B" w:rsidRDefault="0044570B" w:rsidP="0044570B">
      <w:pPr>
        <w:jc w:val="left"/>
        <w:rPr>
          <w:sz w:val="24"/>
          <w:rtl/>
        </w:rPr>
      </w:pPr>
    </w:p>
    <w:p w:rsidR="0044570B" w:rsidRDefault="0044570B">
      <w:pPr>
        <w:bidi w:val="0"/>
        <w:spacing w:after="0" w:line="240" w:lineRule="auto"/>
        <w:jc w:val="left"/>
        <w:rPr>
          <w:sz w:val="24"/>
          <w:rtl/>
        </w:rPr>
      </w:pPr>
      <w:r>
        <w:rPr>
          <w:sz w:val="24"/>
          <w:rtl/>
        </w:rPr>
        <w:br w:type="page"/>
      </w:r>
    </w:p>
    <w:p w:rsidR="0044570B" w:rsidRDefault="0044570B" w:rsidP="00B55747">
      <w:pPr>
        <w:pStyle w:val="Heading2"/>
        <w:rPr>
          <w:sz w:val="28"/>
          <w:rtl/>
        </w:rPr>
      </w:pPr>
      <w:bookmarkStart w:id="4" w:name="_Toc6071544"/>
      <w:bookmarkStart w:id="5" w:name="_Toc6139963"/>
      <w:r w:rsidRPr="00C32968">
        <w:rPr>
          <w:rtl/>
          <w:lang w:val="en-CA"/>
        </w:rPr>
        <w:lastRenderedPageBreak/>
        <w:t>المقرر 1</w:t>
      </w:r>
      <w:r>
        <w:rPr>
          <w:rFonts w:hint="cs"/>
          <w:rtl/>
          <w:lang w:val="en-CA"/>
        </w:rPr>
        <w:t>4</w:t>
      </w:r>
      <w:r w:rsidRPr="00C32968">
        <w:rPr>
          <w:rtl/>
          <w:lang w:val="en-CA"/>
        </w:rPr>
        <w:t>/</w:t>
      </w:r>
      <w:r>
        <w:rPr>
          <w:rFonts w:hint="cs"/>
          <w:rtl/>
          <w:lang w:val="en-CA"/>
        </w:rPr>
        <w:t>2</w:t>
      </w:r>
      <w:r w:rsidRPr="00C32968">
        <w:rPr>
          <w:rtl/>
          <w:lang w:val="en-CA"/>
        </w:rPr>
        <w:t xml:space="preserve"> -</w:t>
      </w:r>
      <w:r w:rsidRPr="00C32968">
        <w:rPr>
          <w:rtl/>
          <w:lang w:val="en-CA"/>
        </w:rPr>
        <w:tab/>
      </w:r>
      <w:r w:rsidRPr="00C32968">
        <w:rPr>
          <w:rFonts w:hint="cs"/>
          <w:rtl/>
        </w:rPr>
        <w:t>سيناريوهات لرؤية عام 2050 للتنوع البيولوجي</w:t>
      </w:r>
      <w:bookmarkEnd w:id="4"/>
      <w:bookmarkEnd w:id="5"/>
    </w:p>
    <w:p w:rsidR="0044570B" w:rsidRPr="00C32968" w:rsidRDefault="0044570B" w:rsidP="0044570B">
      <w:pPr>
        <w:ind w:firstLine="720"/>
        <w:rPr>
          <w:rFonts w:eastAsia="Malgun Gothic"/>
          <w:i/>
          <w:iCs/>
          <w:rtl/>
          <w:lang w:val="en-GB"/>
        </w:rPr>
      </w:pPr>
      <w:r w:rsidRPr="00C32968">
        <w:rPr>
          <w:rFonts w:eastAsia="Malgun Gothic"/>
          <w:i/>
          <w:iCs/>
          <w:rtl/>
          <w:lang w:val="en-GB"/>
        </w:rPr>
        <w:t>إن مؤتمر</w:t>
      </w:r>
      <w:r w:rsidRPr="005C4526">
        <w:rPr>
          <w:rFonts w:eastAsia="Malgun Gothic"/>
          <w:i/>
          <w:iCs/>
          <w:rtl/>
          <w:lang w:val="en-GB"/>
        </w:rPr>
        <w:t xml:space="preserve"> الأطراف</w:t>
      </w:r>
    </w:p>
    <w:p w:rsidR="0044570B" w:rsidRPr="00C32968" w:rsidRDefault="0044570B" w:rsidP="0044570B">
      <w:pPr>
        <w:ind w:firstLine="720"/>
        <w:rPr>
          <w:rFonts w:eastAsia="Malgun Gothic"/>
          <w:rtl/>
          <w:lang w:val="en-GB"/>
        </w:rPr>
      </w:pPr>
      <w:r w:rsidRPr="00C32968">
        <w:rPr>
          <w:rFonts w:eastAsia="Malgun Gothic"/>
          <w:rtl/>
        </w:rPr>
        <w:t>1-</w:t>
      </w:r>
      <w:r w:rsidRPr="00C32968">
        <w:rPr>
          <w:rFonts w:eastAsia="Malgun Gothic"/>
          <w:rtl/>
        </w:rPr>
        <w:tab/>
      </w:r>
      <w:r w:rsidRPr="00C32968">
        <w:rPr>
          <w:rFonts w:eastAsia="Malgun Gothic" w:hint="cs"/>
          <w:i/>
          <w:iCs/>
          <w:rtl/>
          <w:lang w:val="en-GB"/>
        </w:rPr>
        <w:t>يرحب</w:t>
      </w:r>
      <w:r w:rsidRPr="00C32968">
        <w:rPr>
          <w:rFonts w:eastAsia="Malgun Gothic"/>
          <w:rtl/>
          <w:lang w:val="en-GB"/>
        </w:rPr>
        <w:t xml:space="preserve"> باستنتاجات الهيئة الفرعية للمشورة العلمية والتقنية والتكنولوجية فيما يتعلق بسيناريوهات رؤية عام 2050 للتنوع البيولوجي الواردة في المرفق بهذا المقرر</w:t>
      </w:r>
      <w:r w:rsidRPr="00C32968">
        <w:rPr>
          <w:rFonts w:eastAsia="Malgun Gothic" w:hint="cs"/>
          <w:rtl/>
          <w:lang w:val="en-GB"/>
        </w:rPr>
        <w:t>، و</w:t>
      </w:r>
      <w:r w:rsidRPr="00C32968">
        <w:rPr>
          <w:rFonts w:eastAsia="Malgun Gothic" w:hint="cs"/>
          <w:i/>
          <w:iCs/>
          <w:rtl/>
          <w:lang w:val="en-GB"/>
        </w:rPr>
        <w:t>يحيط علما</w:t>
      </w:r>
      <w:r w:rsidRPr="00C32968">
        <w:rPr>
          <w:rFonts w:eastAsia="Malgun Gothic"/>
          <w:i/>
          <w:iCs/>
          <w:rtl/>
          <w:lang w:val="en-GB"/>
        </w:rPr>
        <w:t xml:space="preserve"> </w:t>
      </w:r>
      <w:r w:rsidRPr="00C32968">
        <w:rPr>
          <w:rFonts w:eastAsia="Malgun Gothic" w:hint="cs"/>
          <w:rtl/>
          <w:lang w:val="en-GB"/>
        </w:rPr>
        <w:t>ب</w:t>
      </w:r>
      <w:r w:rsidRPr="00C32968">
        <w:rPr>
          <w:rFonts w:eastAsia="Malgun Gothic"/>
          <w:rtl/>
          <w:lang w:val="en-GB"/>
        </w:rPr>
        <w:t xml:space="preserve">المعلومات الواردة في مذكرات الأمينة التنفيذية </w:t>
      </w:r>
      <w:r w:rsidRPr="00C32968">
        <w:rPr>
          <w:rFonts w:eastAsia="Malgun Gothic"/>
          <w:i/>
          <w:iCs/>
          <w:rtl/>
          <w:lang w:val="en-GB"/>
        </w:rPr>
        <w:t>ووثائق</w:t>
      </w:r>
      <w:r w:rsidRPr="00C32968">
        <w:rPr>
          <w:rFonts w:eastAsia="Malgun Gothic"/>
          <w:rtl/>
          <w:lang w:val="en-GB"/>
        </w:rPr>
        <w:t xml:space="preserve"> المعلومات المؤيدة،</w:t>
      </w:r>
      <w:r w:rsidRPr="00C32968">
        <w:rPr>
          <w:rFonts w:eastAsia="Malgun Gothic"/>
          <w:kern w:val="22"/>
          <w:vertAlign w:val="superscript"/>
          <w:lang w:val="en-GB"/>
        </w:rPr>
        <w:footnoteReference w:id="20"/>
      </w:r>
      <w:r w:rsidRPr="00C32968">
        <w:rPr>
          <w:rFonts w:eastAsia="Malgun Gothic"/>
          <w:rtl/>
          <w:lang w:val="en-GB"/>
        </w:rPr>
        <w:t xml:space="preserve"> </w:t>
      </w:r>
      <w:r w:rsidRPr="00C32968">
        <w:rPr>
          <w:rFonts w:eastAsia="Malgun Gothic" w:hint="cs"/>
          <w:rtl/>
          <w:lang w:val="en-GB"/>
        </w:rPr>
        <w:t xml:space="preserve">واستنتاجات </w:t>
      </w:r>
      <w:r w:rsidRPr="00C32968">
        <w:rPr>
          <w:rFonts w:eastAsia="Malgun Gothic" w:hint="cs"/>
          <w:i/>
          <w:iCs/>
          <w:rtl/>
          <w:lang w:val="en-GB"/>
        </w:rPr>
        <w:t xml:space="preserve">تقرير التقييم بشأن سيناريوهات ونماذج التنوع البيولوجي وخدمات النظم الإيكولوجية </w:t>
      </w:r>
      <w:r w:rsidRPr="00C32968">
        <w:rPr>
          <w:rFonts w:eastAsia="Malgun Gothic" w:hint="cs"/>
          <w:rtl/>
          <w:lang w:val="en-GB"/>
        </w:rPr>
        <w:t>الصادر عن المنبر الحكومي الدولي للعلوم والسياسات في مجال التنوع البيولوجي وخدمات النظم الإيكولوجية،</w:t>
      </w:r>
      <w:r w:rsidRPr="00C32968">
        <w:rPr>
          <w:rStyle w:val="FootnoteReference"/>
          <w:rFonts w:eastAsia="Malgun Gothic"/>
          <w:rtl/>
          <w:lang w:val="en-GB"/>
        </w:rPr>
        <w:footnoteReference w:id="21"/>
      </w:r>
      <w:r w:rsidRPr="00C32968">
        <w:rPr>
          <w:rFonts w:eastAsia="Malgun Gothic" w:hint="cs"/>
          <w:rtl/>
          <w:lang w:val="en-GB"/>
        </w:rPr>
        <w:t xml:space="preserve"> </w:t>
      </w:r>
      <w:r w:rsidRPr="00C32968">
        <w:rPr>
          <w:rFonts w:eastAsia="Malgun Gothic"/>
          <w:rtl/>
          <w:lang w:val="en-GB"/>
        </w:rPr>
        <w:t>مُشيرا إلى صلتها الوثيقة بالمناقشات الخاصة بالتوجهات الاستراتيجية الطويلة الأجل لرؤية 2050 للتنوع البيولوجي، والنُهج الخاصة للعيش في تجانس مع الطبيعة وعملي</w:t>
      </w:r>
      <w:r>
        <w:rPr>
          <w:rFonts w:eastAsia="Malgun Gothic" w:hint="cs"/>
          <w:rtl/>
          <w:lang w:val="en-GB"/>
        </w:rPr>
        <w:t>ة</w:t>
      </w:r>
      <w:r w:rsidRPr="00C32968">
        <w:rPr>
          <w:rFonts w:eastAsia="Malgun Gothic"/>
          <w:rtl/>
          <w:lang w:val="en-GB"/>
        </w:rPr>
        <w:t xml:space="preserve"> </w:t>
      </w:r>
      <w:r>
        <w:rPr>
          <w:rFonts w:eastAsia="Malgun Gothic" w:hint="cs"/>
          <w:rtl/>
          <w:lang w:val="en-GB"/>
        </w:rPr>
        <w:t>إعداد</w:t>
      </w:r>
      <w:r w:rsidRPr="00C32968">
        <w:rPr>
          <w:rFonts w:eastAsia="Malgun Gothic"/>
          <w:rtl/>
          <w:lang w:val="en-GB"/>
        </w:rPr>
        <w:t xml:space="preserve"> إطار عالمي للتنوع البيولوجي لما بعد عام 2020</w:t>
      </w:r>
      <w:r w:rsidRPr="00C32968">
        <w:rPr>
          <w:rFonts w:eastAsia="Malgun Gothic" w:hint="cs"/>
          <w:rtl/>
          <w:lang w:val="en-GB"/>
        </w:rPr>
        <w:t>؛</w:t>
      </w:r>
    </w:p>
    <w:p w:rsidR="0044570B" w:rsidRPr="00C32968" w:rsidRDefault="0044570B" w:rsidP="0044570B">
      <w:pPr>
        <w:ind w:firstLine="720"/>
        <w:rPr>
          <w:rFonts w:eastAsia="Malgun Gothic"/>
          <w:rtl/>
          <w:lang w:val="en-GB"/>
        </w:rPr>
      </w:pPr>
      <w:r w:rsidRPr="00C32968">
        <w:rPr>
          <w:rFonts w:eastAsia="Malgun Gothic" w:hint="cs"/>
          <w:rtl/>
          <w:lang w:val="en-GB"/>
        </w:rPr>
        <w:t>2-</w:t>
      </w:r>
      <w:r w:rsidRPr="00C32968">
        <w:rPr>
          <w:rFonts w:eastAsia="Malgun Gothic" w:hint="cs"/>
          <w:rtl/>
          <w:lang w:val="en-GB"/>
        </w:rPr>
        <w:tab/>
      </w:r>
      <w:r w:rsidRPr="00C32968">
        <w:rPr>
          <w:rFonts w:eastAsia="Malgun Gothic" w:hint="cs"/>
          <w:i/>
          <w:iCs/>
          <w:rtl/>
          <w:lang w:val="en-GB"/>
        </w:rPr>
        <w:t>يدعو</w:t>
      </w:r>
      <w:r w:rsidRPr="00C32968">
        <w:rPr>
          <w:rFonts w:eastAsia="Malgun Gothic"/>
          <w:rtl/>
          <w:lang w:val="en-GB"/>
        </w:rPr>
        <w:t xml:space="preserve"> الدوائر العلمية وغيرها من الدوائر</w:t>
      </w:r>
      <w:r w:rsidRPr="00C32968">
        <w:rPr>
          <w:rFonts w:eastAsia="Malgun Gothic" w:hint="cs"/>
          <w:rtl/>
          <w:lang w:val="en-GB"/>
        </w:rPr>
        <w:t xml:space="preserve"> ذات الصلة</w:t>
      </w:r>
      <w:r w:rsidRPr="00C32968">
        <w:rPr>
          <w:rFonts w:eastAsia="Malgun Gothic"/>
          <w:rtl/>
          <w:lang w:val="en-GB"/>
        </w:rPr>
        <w:t xml:space="preserve"> العاملة في مجال السيناريوهات وعمليات التقييم ذات الصلة إلى أن تأخذ في الاعتبار ال</w:t>
      </w:r>
      <w:r>
        <w:rPr>
          <w:rFonts w:eastAsia="Malgun Gothic" w:hint="cs"/>
          <w:rtl/>
          <w:lang w:val="en-GB"/>
        </w:rPr>
        <w:t>مسائل</w:t>
      </w:r>
      <w:r w:rsidRPr="00C32968">
        <w:rPr>
          <w:rFonts w:eastAsia="Malgun Gothic"/>
          <w:rtl/>
          <w:lang w:val="en-GB"/>
        </w:rPr>
        <w:t xml:space="preserve"> التالية ذات الصلة </w:t>
      </w:r>
      <w:r>
        <w:rPr>
          <w:rFonts w:eastAsia="Malgun Gothic" w:hint="cs"/>
          <w:rtl/>
          <w:lang w:val="en-GB"/>
        </w:rPr>
        <w:t>بإعداد</w:t>
      </w:r>
      <w:r w:rsidRPr="00C32968">
        <w:rPr>
          <w:rFonts w:eastAsia="Malgun Gothic"/>
          <w:rtl/>
          <w:lang w:val="en-GB"/>
        </w:rPr>
        <w:t xml:space="preserve"> الإطار العالمي للتنوع البيولوجي لما بعد 2020</w:t>
      </w:r>
      <w:r w:rsidRPr="00C32968">
        <w:rPr>
          <w:rFonts w:eastAsia="Malgun Gothic" w:hint="cs"/>
          <w:rtl/>
          <w:lang w:val="en-GB"/>
        </w:rPr>
        <w:t>:</w:t>
      </w:r>
    </w:p>
    <w:p w:rsidR="0044570B" w:rsidRPr="00C32968" w:rsidRDefault="0044570B" w:rsidP="0044570B">
      <w:pPr>
        <w:ind w:firstLine="720"/>
        <w:rPr>
          <w:rFonts w:eastAsia="Malgun Gothic"/>
          <w:rtl/>
          <w:lang w:val="en-GB"/>
        </w:rPr>
      </w:pPr>
      <w:r w:rsidRPr="00C32968">
        <w:rPr>
          <w:rFonts w:eastAsia="Malgun Gothic"/>
          <w:rtl/>
          <w:lang w:val="en-GB"/>
        </w:rPr>
        <w:t>(أ)</w:t>
      </w:r>
      <w:r w:rsidRPr="00C32968">
        <w:rPr>
          <w:rFonts w:eastAsia="Malgun Gothic"/>
          <w:rtl/>
          <w:lang w:val="en-GB"/>
        </w:rPr>
        <w:tab/>
        <w:t>النطاق العريض للدوافع وال</w:t>
      </w:r>
      <w:r>
        <w:rPr>
          <w:rFonts w:eastAsia="Malgun Gothic" w:hint="cs"/>
          <w:rtl/>
          <w:lang w:val="en-GB"/>
        </w:rPr>
        <w:t>مسائل</w:t>
      </w:r>
      <w:r w:rsidRPr="00C32968">
        <w:rPr>
          <w:rFonts w:eastAsia="Malgun Gothic"/>
          <w:rtl/>
          <w:lang w:val="en-GB"/>
        </w:rPr>
        <w:t xml:space="preserve"> المنظمة والهيكلية ذات الصلة بفقدان التنوع البيولوجي؛</w:t>
      </w:r>
    </w:p>
    <w:p w:rsidR="0044570B" w:rsidRPr="00C32968" w:rsidRDefault="0044570B" w:rsidP="0044570B">
      <w:pPr>
        <w:ind w:firstLine="720"/>
        <w:rPr>
          <w:rFonts w:eastAsia="Malgun Gothic"/>
          <w:rtl/>
          <w:lang w:val="en-GB"/>
        </w:rPr>
      </w:pPr>
      <w:r w:rsidRPr="00C32968">
        <w:rPr>
          <w:rFonts w:eastAsia="Malgun Gothic"/>
          <w:rtl/>
          <w:lang w:val="en-GB"/>
        </w:rPr>
        <w:t>(ب)</w:t>
      </w:r>
      <w:r w:rsidRPr="00C32968">
        <w:rPr>
          <w:rFonts w:eastAsia="Malgun Gothic"/>
          <w:rtl/>
          <w:lang w:val="en-GB"/>
        </w:rPr>
        <w:tab/>
        <w:t xml:space="preserve">توليفات النُهج </w:t>
      </w:r>
      <w:r>
        <w:rPr>
          <w:rFonts w:eastAsia="Malgun Gothic" w:hint="cs"/>
          <w:rtl/>
          <w:lang w:val="en-GB"/>
        </w:rPr>
        <w:t xml:space="preserve">السياساتية </w:t>
      </w:r>
      <w:r w:rsidRPr="00C32968">
        <w:rPr>
          <w:rFonts w:eastAsia="Malgun Gothic"/>
          <w:rtl/>
          <w:lang w:val="en-GB"/>
        </w:rPr>
        <w:t>على مستويات متعددة وفي إطار السيناريوهات المختلفة؛</w:t>
      </w:r>
    </w:p>
    <w:p w:rsidR="0044570B" w:rsidRPr="00C32968" w:rsidRDefault="0044570B" w:rsidP="0044570B">
      <w:pPr>
        <w:ind w:firstLine="720"/>
        <w:rPr>
          <w:rFonts w:eastAsia="Malgun Gothic"/>
          <w:rtl/>
          <w:lang w:val="en-GB"/>
        </w:rPr>
      </w:pPr>
      <w:r w:rsidRPr="00C32968">
        <w:rPr>
          <w:rFonts w:eastAsia="Malgun Gothic"/>
          <w:rtl/>
          <w:lang w:val="en-GB"/>
        </w:rPr>
        <w:t>(ج)</w:t>
      </w:r>
      <w:r w:rsidRPr="00C32968">
        <w:rPr>
          <w:rFonts w:eastAsia="Malgun Gothic"/>
          <w:rtl/>
          <w:lang w:val="en-GB"/>
        </w:rPr>
        <w:tab/>
        <w:t>تحديد أوجه التآزر، والمبادلات والقيود المحتملة ذات الصلة بالتنوع البيولوجي والتي ينبغي مراعاتها لوضع سياسات وتدابير فعالة بهدف التمكين من تحقيق أهداف التنمية المستدامة؛</w:t>
      </w:r>
    </w:p>
    <w:p w:rsidR="0044570B" w:rsidRPr="00C32968" w:rsidRDefault="0044570B" w:rsidP="0044570B">
      <w:pPr>
        <w:ind w:firstLine="720"/>
        <w:rPr>
          <w:rFonts w:eastAsia="Malgun Gothic"/>
          <w:rtl/>
          <w:lang w:val="en-GB"/>
        </w:rPr>
      </w:pPr>
      <w:r w:rsidRPr="00C32968">
        <w:rPr>
          <w:rFonts w:eastAsia="Malgun Gothic"/>
          <w:rtl/>
          <w:lang w:val="en-GB"/>
        </w:rPr>
        <w:t>(د)</w:t>
      </w:r>
      <w:r w:rsidRPr="00C32968">
        <w:rPr>
          <w:rFonts w:eastAsia="Malgun Gothic"/>
          <w:rtl/>
          <w:lang w:val="en-GB"/>
        </w:rPr>
        <w:tab/>
        <w:t>مساهمات العمل الجماعي للشعوب الأصلية والمجتمعات المحلية في حفظ التنوع البيولوج</w:t>
      </w:r>
      <w:r>
        <w:rPr>
          <w:rFonts w:eastAsia="Malgun Gothic"/>
          <w:rtl/>
          <w:lang w:val="en-GB"/>
        </w:rPr>
        <w:t>ي والاستخدام المستدام لمكوناته؛</w:t>
      </w:r>
    </w:p>
    <w:p w:rsidR="0044570B" w:rsidRPr="00C32968" w:rsidRDefault="0044570B" w:rsidP="0044570B">
      <w:pPr>
        <w:ind w:firstLine="720"/>
        <w:rPr>
          <w:rFonts w:eastAsia="Malgun Gothic"/>
          <w:rtl/>
          <w:lang w:val="en-GB"/>
        </w:rPr>
      </w:pPr>
      <w:r w:rsidRPr="00C32968">
        <w:rPr>
          <w:rFonts w:eastAsia="Malgun Gothic"/>
          <w:rtl/>
          <w:lang w:val="en-GB"/>
        </w:rPr>
        <w:t>(</w:t>
      </w:r>
      <w:r w:rsidRPr="00C32968">
        <w:rPr>
          <w:rFonts w:eastAsia="Malgun Gothic" w:hint="cs"/>
          <w:rtl/>
          <w:lang w:val="en-GB"/>
        </w:rPr>
        <w:t>ﻫ</w:t>
      </w:r>
      <w:r w:rsidRPr="00C32968">
        <w:rPr>
          <w:rFonts w:eastAsia="Malgun Gothic"/>
          <w:rtl/>
          <w:lang w:val="en-GB"/>
        </w:rPr>
        <w:t>)</w:t>
      </w:r>
      <w:r w:rsidRPr="00C32968">
        <w:rPr>
          <w:rFonts w:eastAsia="Malgun Gothic"/>
          <w:rtl/>
          <w:lang w:val="en-GB"/>
        </w:rPr>
        <w:tab/>
        <w:t>نتائج السيناريوهات البديلة للاستخدام ال</w:t>
      </w:r>
      <w:r>
        <w:rPr>
          <w:rFonts w:eastAsia="Malgun Gothic" w:hint="cs"/>
          <w:rtl/>
          <w:lang w:val="en-GB"/>
        </w:rPr>
        <w:t>مألوف</w:t>
      </w:r>
      <w:r w:rsidRPr="00C32968">
        <w:rPr>
          <w:rFonts w:eastAsia="Malgun Gothic"/>
          <w:rtl/>
          <w:lang w:val="en-GB"/>
        </w:rPr>
        <w:t xml:space="preserve"> المستدام للتنوع البيولوجي بواسطة الش</w:t>
      </w:r>
      <w:r>
        <w:rPr>
          <w:rFonts w:eastAsia="Malgun Gothic"/>
          <w:rtl/>
          <w:lang w:val="en-GB"/>
        </w:rPr>
        <w:t>عوب الأصلية والمجتمعات المحلية؛</w:t>
      </w:r>
    </w:p>
    <w:p w:rsidR="0044570B" w:rsidRPr="00C32968" w:rsidRDefault="0044570B" w:rsidP="0044570B">
      <w:pPr>
        <w:ind w:firstLine="720"/>
        <w:rPr>
          <w:rFonts w:eastAsia="Malgun Gothic"/>
          <w:rtl/>
          <w:lang w:val="en-GB"/>
        </w:rPr>
      </w:pPr>
      <w:r w:rsidRPr="00C32968">
        <w:rPr>
          <w:rFonts w:eastAsia="Malgun Gothic"/>
          <w:rtl/>
          <w:lang w:val="en-GB"/>
        </w:rPr>
        <w:t>(و)</w:t>
      </w:r>
      <w:r w:rsidRPr="00C32968">
        <w:rPr>
          <w:rFonts w:eastAsia="Malgun Gothic"/>
          <w:rtl/>
          <w:lang w:val="en-GB"/>
        </w:rPr>
        <w:tab/>
        <w:t>تحليلات السيناريوهات بشأن تمويل الإطار العالمي للتنوع البيولوجي لما بعد 2020 وتحقيق رؤية 2050 للتنوع البيولوجي</w:t>
      </w:r>
      <w:r w:rsidRPr="00C32968">
        <w:rPr>
          <w:rFonts w:eastAsia="Malgun Gothic" w:hint="cs"/>
          <w:rtl/>
          <w:lang w:val="en-GB"/>
        </w:rPr>
        <w:t>، مع أخذ المادة 20 من الاتفاقية بعين الاعتبار</w:t>
      </w:r>
      <w:r w:rsidRPr="00C32968">
        <w:rPr>
          <w:rFonts w:eastAsia="Malgun Gothic"/>
          <w:rtl/>
          <w:lang w:val="en-GB"/>
        </w:rPr>
        <w:t>؛</w:t>
      </w:r>
    </w:p>
    <w:p w:rsidR="0044570B" w:rsidRPr="00C32968" w:rsidRDefault="0044570B" w:rsidP="0044570B">
      <w:pPr>
        <w:ind w:firstLine="720"/>
        <w:rPr>
          <w:rFonts w:eastAsia="Malgun Gothic"/>
          <w:rtl/>
          <w:lang w:val="en-GB"/>
        </w:rPr>
      </w:pPr>
      <w:r w:rsidRPr="00C32968">
        <w:rPr>
          <w:rFonts w:eastAsia="Malgun Gothic" w:hint="cs"/>
          <w:rtl/>
          <w:lang w:val="en-GB"/>
        </w:rPr>
        <w:t>(ز)</w:t>
      </w:r>
      <w:r w:rsidRPr="00C32968">
        <w:rPr>
          <w:rFonts w:eastAsia="Malgun Gothic" w:hint="cs"/>
          <w:rtl/>
          <w:lang w:val="en-GB"/>
        </w:rPr>
        <w:tab/>
        <w:t>تحليلات السيناريو</w:t>
      </w:r>
      <w:r>
        <w:rPr>
          <w:rFonts w:eastAsia="Malgun Gothic" w:hint="cs"/>
          <w:rtl/>
          <w:lang w:val="en-GB"/>
        </w:rPr>
        <w:t>هات</w:t>
      </w:r>
      <w:r w:rsidRPr="00C32968">
        <w:rPr>
          <w:rFonts w:eastAsia="Malgun Gothic" w:hint="cs"/>
          <w:rtl/>
          <w:lang w:val="en-GB"/>
        </w:rPr>
        <w:t xml:space="preserve"> بشأن التقاسم والعادل والمنصف للمنافع الناشئة عن استخدام الموارد الجينية وفقا للاتفاقية وبروتوكول ناغويا، بما في ذلك المنافع النقدية وغير النقدية الناشئة عن استخدامها غير التجاري والتجاري، و</w:t>
      </w:r>
      <w:r>
        <w:rPr>
          <w:rFonts w:eastAsia="Malgun Gothic" w:hint="cs"/>
          <w:rtl/>
          <w:lang w:val="en-GB"/>
        </w:rPr>
        <w:t>إمكانية</w:t>
      </w:r>
      <w:r w:rsidRPr="00C32968">
        <w:rPr>
          <w:rFonts w:eastAsia="Malgun Gothic" w:hint="cs"/>
          <w:rtl/>
          <w:lang w:val="en-GB"/>
        </w:rPr>
        <w:t xml:space="preserve"> تقاسم المنافع </w:t>
      </w:r>
      <w:r>
        <w:rPr>
          <w:rFonts w:eastAsia="Malgun Gothic" w:hint="cs"/>
          <w:rtl/>
          <w:lang w:val="en-GB"/>
        </w:rPr>
        <w:t xml:space="preserve">من أجل </w:t>
      </w:r>
      <w:r w:rsidRPr="00C32968">
        <w:rPr>
          <w:rFonts w:eastAsia="Malgun Gothic" w:hint="cs"/>
          <w:rtl/>
          <w:lang w:val="en-GB"/>
        </w:rPr>
        <w:t>تعزيز حفظ التنوع البيولوجي واستخدامه المستدام؛</w:t>
      </w:r>
    </w:p>
    <w:p w:rsidR="0044570B" w:rsidRPr="00C32968" w:rsidRDefault="0044570B" w:rsidP="0044570B">
      <w:pPr>
        <w:ind w:firstLine="720"/>
        <w:rPr>
          <w:rFonts w:eastAsia="Malgun Gothic"/>
          <w:rtl/>
          <w:lang w:val="en-GB"/>
        </w:rPr>
      </w:pPr>
      <w:r w:rsidRPr="00C32968">
        <w:rPr>
          <w:rFonts w:eastAsia="Malgun Gothic" w:hint="cs"/>
          <w:rtl/>
          <w:lang w:val="en-GB"/>
        </w:rPr>
        <w:t>(ح)</w:t>
      </w:r>
      <w:r w:rsidRPr="00C32968">
        <w:rPr>
          <w:rFonts w:eastAsia="Malgun Gothic" w:hint="cs"/>
          <w:rtl/>
          <w:lang w:val="en-GB"/>
        </w:rPr>
        <w:tab/>
        <w:t>منظور جنساني عند إعداد الإطار العالمي للتنوع البيولوجي لما بعد عام 2020 وتنفيذه ورصده؛</w:t>
      </w:r>
    </w:p>
    <w:p w:rsidR="0044570B" w:rsidRPr="00C32968" w:rsidRDefault="0044570B" w:rsidP="0044570B">
      <w:pPr>
        <w:ind w:firstLine="720"/>
        <w:rPr>
          <w:rFonts w:eastAsia="Malgun Gothic"/>
          <w:rtl/>
          <w:lang w:val="en-GB"/>
        </w:rPr>
      </w:pPr>
      <w:r w:rsidRPr="00C32968">
        <w:rPr>
          <w:rFonts w:eastAsia="Malgun Gothic"/>
          <w:rtl/>
          <w:lang w:val="en-GB"/>
        </w:rPr>
        <w:t>(</w:t>
      </w:r>
      <w:r w:rsidRPr="00C32968">
        <w:rPr>
          <w:rFonts w:eastAsia="Malgun Gothic" w:hint="cs"/>
          <w:rtl/>
          <w:lang w:val="en-GB"/>
        </w:rPr>
        <w:t>ط</w:t>
      </w:r>
      <w:r w:rsidRPr="00C32968">
        <w:rPr>
          <w:rFonts w:eastAsia="Malgun Gothic"/>
          <w:rtl/>
          <w:lang w:val="en-GB"/>
        </w:rPr>
        <w:t>)</w:t>
      </w:r>
      <w:r w:rsidRPr="00C32968">
        <w:rPr>
          <w:rFonts w:eastAsia="Malgun Gothic"/>
          <w:rtl/>
          <w:lang w:val="en-GB"/>
        </w:rPr>
        <w:tab/>
        <w:t>الآثار الإيجابية والسلبية المحتملة للقطاعات الإنتاجية</w:t>
      </w:r>
      <w:r w:rsidRPr="00C32968">
        <w:rPr>
          <w:rFonts w:eastAsia="Malgun Gothic" w:hint="cs"/>
          <w:rtl/>
          <w:lang w:val="en-GB"/>
        </w:rPr>
        <w:t xml:space="preserve"> </w:t>
      </w:r>
      <w:r>
        <w:rPr>
          <w:rFonts w:eastAsia="Malgun Gothic" w:hint="cs"/>
          <w:rtl/>
          <w:lang w:val="en-GB"/>
        </w:rPr>
        <w:t xml:space="preserve">على </w:t>
      </w:r>
      <w:r w:rsidRPr="00C32968">
        <w:rPr>
          <w:rFonts w:eastAsia="Malgun Gothic" w:hint="cs"/>
          <w:rtl/>
          <w:lang w:val="en-GB"/>
        </w:rPr>
        <w:t>التنوع البيولوجي،</w:t>
      </w:r>
      <w:r w:rsidRPr="00C32968">
        <w:rPr>
          <w:rFonts w:eastAsia="Malgun Gothic"/>
          <w:rtl/>
          <w:lang w:val="en-GB"/>
        </w:rPr>
        <w:t xml:space="preserve"> مثل</w:t>
      </w:r>
      <w:r w:rsidRPr="00C32968">
        <w:rPr>
          <w:rFonts w:eastAsia="Malgun Gothic" w:hint="cs"/>
          <w:rtl/>
          <w:lang w:val="en-GB"/>
        </w:rPr>
        <w:t xml:space="preserve"> </w:t>
      </w:r>
      <w:r w:rsidRPr="00C32968">
        <w:rPr>
          <w:rFonts w:eastAsia="Malgun Gothic"/>
          <w:rtl/>
          <w:lang w:val="en-GB"/>
        </w:rPr>
        <w:t>الزراعة والحراجة ومصايد الأسماك</w:t>
      </w:r>
      <w:r w:rsidRPr="00C32968">
        <w:rPr>
          <w:rFonts w:eastAsia="Malgun Gothic" w:hint="cs"/>
          <w:rtl/>
          <w:lang w:val="en-GB"/>
        </w:rPr>
        <w:t>؛</w:t>
      </w:r>
    </w:p>
    <w:p w:rsidR="0044570B" w:rsidRPr="00C32968" w:rsidRDefault="0044570B" w:rsidP="0044570B">
      <w:pPr>
        <w:ind w:firstLine="720"/>
        <w:rPr>
          <w:rFonts w:eastAsia="Malgun Gothic"/>
          <w:rtl/>
          <w:lang w:val="en-GB"/>
        </w:rPr>
      </w:pPr>
      <w:r w:rsidRPr="00C32968">
        <w:rPr>
          <w:rFonts w:eastAsia="Malgun Gothic" w:hint="cs"/>
          <w:rtl/>
          <w:lang w:val="en-GB"/>
        </w:rPr>
        <w:t>(ي)</w:t>
      </w:r>
      <w:r w:rsidRPr="00C32968">
        <w:rPr>
          <w:rFonts w:eastAsia="Malgun Gothic" w:hint="cs"/>
          <w:rtl/>
          <w:lang w:val="en-GB"/>
        </w:rPr>
        <w:tab/>
        <w:t>التطورات التكنولوجية، من قبيل</w:t>
      </w:r>
      <w:r w:rsidRPr="00C32968">
        <w:rPr>
          <w:rFonts w:eastAsia="Malgun Gothic"/>
          <w:lang w:val="en-GB"/>
        </w:rPr>
        <w:t xml:space="preserve"> </w:t>
      </w:r>
      <w:r w:rsidRPr="00C32968">
        <w:rPr>
          <w:rFonts w:eastAsia="Malgun Gothic" w:hint="cs"/>
          <w:rtl/>
          <w:lang w:val="en-GB"/>
        </w:rPr>
        <w:t xml:space="preserve">التقدم في تحليلات المعلومات، ومعلومات التسلسل الرقمي بشأن الموارد الجينية، وأنواع جديدة من الكائنات الحية المحورة والبيولوجيا التركيبية، التي </w:t>
      </w:r>
      <w:r>
        <w:rPr>
          <w:rFonts w:eastAsia="Malgun Gothic" w:hint="cs"/>
          <w:rtl/>
          <w:lang w:val="en-GB"/>
        </w:rPr>
        <w:t>يحتمل</w:t>
      </w:r>
      <w:r w:rsidRPr="00C32968">
        <w:rPr>
          <w:rFonts w:eastAsia="Malgun Gothic" w:hint="cs"/>
          <w:rtl/>
          <w:lang w:val="en-GB"/>
        </w:rPr>
        <w:t xml:space="preserve"> أن يكون لها </w:t>
      </w:r>
      <w:r>
        <w:rPr>
          <w:rFonts w:eastAsia="Malgun Gothic" w:hint="cs"/>
          <w:rtl/>
          <w:lang w:val="en-GB"/>
        </w:rPr>
        <w:t>آثار</w:t>
      </w:r>
      <w:r w:rsidRPr="00C32968">
        <w:rPr>
          <w:rFonts w:eastAsia="Malgun Gothic" w:hint="cs"/>
          <w:rtl/>
          <w:lang w:val="en-GB"/>
        </w:rPr>
        <w:t xml:space="preserve"> إيجابي</w:t>
      </w:r>
      <w:r>
        <w:rPr>
          <w:rFonts w:eastAsia="Malgun Gothic" w:hint="cs"/>
          <w:rtl/>
          <w:lang w:val="en-GB"/>
        </w:rPr>
        <w:t>ة</w:t>
      </w:r>
      <w:r w:rsidRPr="00C32968">
        <w:rPr>
          <w:rFonts w:eastAsia="Malgun Gothic" w:hint="cs"/>
          <w:rtl/>
          <w:lang w:val="en-GB"/>
        </w:rPr>
        <w:t xml:space="preserve"> أو سلبي</w:t>
      </w:r>
      <w:r>
        <w:rPr>
          <w:rFonts w:eastAsia="Malgun Gothic" w:hint="cs"/>
          <w:rtl/>
          <w:lang w:val="en-GB"/>
        </w:rPr>
        <w:t>ة</w:t>
      </w:r>
      <w:r w:rsidRPr="00C32968">
        <w:rPr>
          <w:rFonts w:eastAsia="Malgun Gothic" w:hint="cs"/>
          <w:rtl/>
          <w:lang w:val="en-GB"/>
        </w:rPr>
        <w:t xml:space="preserve"> على تحقيق الأهداف الثلاثة للاتفاقية وكذلك على سبل العيش والمعارف التقليدية للشعوب الأصلية والمجتمعات المحلية؛</w:t>
      </w:r>
    </w:p>
    <w:p w:rsidR="0044570B" w:rsidRPr="00C32968" w:rsidRDefault="0044570B" w:rsidP="0044570B">
      <w:pPr>
        <w:ind w:firstLine="720"/>
        <w:rPr>
          <w:rFonts w:eastAsia="Malgun Gothic"/>
          <w:rtl/>
          <w:lang w:val="en-GB"/>
        </w:rPr>
      </w:pPr>
      <w:r w:rsidRPr="00C32968">
        <w:rPr>
          <w:rFonts w:eastAsia="Malgun Gothic" w:hint="cs"/>
          <w:rtl/>
          <w:lang w:val="en-GB"/>
        </w:rPr>
        <w:lastRenderedPageBreak/>
        <w:t>(ك)</w:t>
      </w:r>
      <w:r w:rsidRPr="00C32968">
        <w:rPr>
          <w:rFonts w:eastAsia="Malgun Gothic" w:hint="cs"/>
          <w:rtl/>
          <w:lang w:val="en-GB"/>
        </w:rPr>
        <w:tab/>
        <w:t>أهمية إذكاء الوعي بالقيم المتعددة للتنوع البيولوجي وعواقب فقدان</w:t>
      </w:r>
      <w:r>
        <w:rPr>
          <w:rFonts w:eastAsia="Malgun Gothic" w:hint="cs"/>
          <w:rtl/>
          <w:lang w:val="en-GB"/>
        </w:rPr>
        <w:t xml:space="preserve"> التنوع البيولوجي</w:t>
      </w:r>
      <w:r w:rsidRPr="00C32968">
        <w:rPr>
          <w:rFonts w:eastAsia="Malgun Gothic" w:hint="cs"/>
          <w:rtl/>
          <w:lang w:val="en-GB"/>
        </w:rPr>
        <w:t xml:space="preserve"> من خلال تعزيز الاتصال؛</w:t>
      </w:r>
    </w:p>
    <w:p w:rsidR="0044570B" w:rsidRPr="00C32968" w:rsidRDefault="0044570B" w:rsidP="0044570B">
      <w:pPr>
        <w:ind w:firstLine="720"/>
        <w:rPr>
          <w:rFonts w:eastAsia="Malgun Gothic"/>
          <w:rtl/>
          <w:lang w:val="en-GB"/>
        </w:rPr>
      </w:pPr>
      <w:r w:rsidRPr="00C32968">
        <w:rPr>
          <w:rFonts w:eastAsia="Malgun Gothic" w:hint="cs"/>
          <w:rtl/>
          <w:lang w:val="en-GB"/>
        </w:rPr>
        <w:t>(ل)</w:t>
      </w:r>
      <w:r w:rsidRPr="00C32968">
        <w:rPr>
          <w:rFonts w:eastAsia="Malgun Gothic" w:hint="cs"/>
          <w:rtl/>
          <w:lang w:val="en-GB"/>
        </w:rPr>
        <w:tab/>
        <w:t>كيف يمكن الاسترشاد بالسيناريوهات والتقييمات ذات الصلة في تحديد المعالم البارزة ذات الأجل القصير والمتوسط سعيا إلى تحقيق ال</w:t>
      </w:r>
      <w:r>
        <w:rPr>
          <w:rFonts w:eastAsia="Malgun Gothic" w:hint="cs"/>
          <w:rtl/>
          <w:lang w:val="en-GB"/>
        </w:rPr>
        <w:t>هدف الطويل</w:t>
      </w:r>
      <w:r w:rsidRPr="00C32968">
        <w:rPr>
          <w:rFonts w:eastAsia="Malgun Gothic" w:hint="cs"/>
          <w:rtl/>
          <w:lang w:val="en-GB"/>
        </w:rPr>
        <w:t xml:space="preserve"> الأجل؛</w:t>
      </w:r>
    </w:p>
    <w:p w:rsidR="0044570B" w:rsidRPr="00C32968" w:rsidRDefault="0044570B" w:rsidP="0044570B">
      <w:pPr>
        <w:ind w:firstLine="720"/>
        <w:rPr>
          <w:rFonts w:eastAsia="Malgun Gothic"/>
          <w:rtl/>
          <w:lang w:val="en-GB"/>
        </w:rPr>
      </w:pPr>
      <w:r w:rsidRPr="00C32968">
        <w:rPr>
          <w:rFonts w:eastAsia="Malgun Gothic"/>
          <w:rtl/>
          <w:lang w:val="en-GB"/>
        </w:rPr>
        <w:t>3-</w:t>
      </w:r>
      <w:r w:rsidRPr="00C32968">
        <w:rPr>
          <w:rFonts w:eastAsia="Malgun Gothic"/>
          <w:rtl/>
          <w:lang w:val="en-GB"/>
        </w:rPr>
        <w:tab/>
      </w:r>
      <w:r w:rsidRPr="00C32968">
        <w:rPr>
          <w:rFonts w:eastAsia="Malgun Gothic" w:hint="cs"/>
          <w:i/>
          <w:iCs/>
          <w:rtl/>
          <w:lang w:val="en-GB"/>
        </w:rPr>
        <w:t xml:space="preserve">يطلب إلى </w:t>
      </w:r>
      <w:r w:rsidRPr="00C32968">
        <w:rPr>
          <w:rFonts w:eastAsia="Malgun Gothic" w:hint="cs"/>
          <w:rtl/>
          <w:lang w:val="en-GB"/>
        </w:rPr>
        <w:t xml:space="preserve">الأمينة التنفيذية أن تقوم، بالتعاون مع الشركاء المعنيين، بتيسير أنشطة </w:t>
      </w:r>
      <w:r w:rsidRPr="00C32968">
        <w:rPr>
          <w:rFonts w:eastAsia="Malgun Gothic"/>
          <w:rtl/>
          <w:lang w:val="en-GB"/>
        </w:rPr>
        <w:t>بناء القدرات</w:t>
      </w:r>
      <w:r w:rsidRPr="00C32968">
        <w:rPr>
          <w:rFonts w:eastAsia="Malgun Gothic" w:hint="cs"/>
          <w:rtl/>
          <w:lang w:val="en-GB"/>
        </w:rPr>
        <w:t xml:space="preserve"> وفقا </w:t>
      </w:r>
      <w:hyperlink r:id="rId11" w:history="1">
        <w:r w:rsidRPr="00C32968">
          <w:rPr>
            <w:rFonts w:eastAsia="Malgun Gothic" w:hint="cs"/>
            <w:color w:val="0000FF"/>
            <w:u w:val="single"/>
            <w:rtl/>
            <w:lang w:val="en-GB"/>
          </w:rPr>
          <w:t>للمقرر 13/23</w:t>
        </w:r>
      </w:hyperlink>
      <w:r w:rsidRPr="00C32968">
        <w:rPr>
          <w:rFonts w:eastAsia="Malgun Gothic"/>
          <w:rtl/>
          <w:lang w:val="en-GB"/>
        </w:rPr>
        <w:t xml:space="preserve">، </w:t>
      </w:r>
      <w:r w:rsidRPr="00C32968">
        <w:rPr>
          <w:rFonts w:eastAsia="Malgun Gothic" w:hint="cs"/>
          <w:rtl/>
          <w:lang w:val="en-GB"/>
        </w:rPr>
        <w:t>وخاصة</w:t>
      </w:r>
      <w:r w:rsidRPr="00C32968">
        <w:rPr>
          <w:rFonts w:eastAsia="Malgun Gothic"/>
          <w:rtl/>
          <w:lang w:val="en-GB"/>
        </w:rPr>
        <w:t xml:space="preserve"> بالنسبة للبلدان النامية والبلدان التي تمر اقتصاداتها بمرحلة انتقالية، ولاسيما أقل البلدان نموا والدول الجزرية الصغيرة النامية، بغية تمكين جميع البلدان من المشاركة في وضع سيناريوهات وتطبيقها</w:t>
      </w:r>
      <w:r>
        <w:rPr>
          <w:rFonts w:eastAsia="Malgun Gothic" w:hint="cs"/>
          <w:rtl/>
          <w:lang w:val="en-GB"/>
        </w:rPr>
        <w:t>؛</w:t>
      </w:r>
    </w:p>
    <w:p w:rsidR="0044570B" w:rsidRPr="00C32968" w:rsidRDefault="0044570B" w:rsidP="0044570B">
      <w:pPr>
        <w:ind w:firstLine="720"/>
        <w:rPr>
          <w:rFonts w:eastAsia="Malgun Gothic"/>
          <w:rtl/>
          <w:lang w:val="en-GB"/>
        </w:rPr>
      </w:pPr>
      <w:r w:rsidRPr="00C32968">
        <w:rPr>
          <w:rFonts w:eastAsia="Malgun Gothic" w:hint="cs"/>
          <w:rtl/>
          <w:lang w:val="en-GB"/>
        </w:rPr>
        <w:t>4-</w:t>
      </w:r>
      <w:r w:rsidRPr="00C32968">
        <w:rPr>
          <w:rFonts w:eastAsia="Malgun Gothic" w:hint="cs"/>
          <w:rtl/>
          <w:lang w:val="en-GB"/>
        </w:rPr>
        <w:tab/>
      </w:r>
      <w:r w:rsidRPr="00C32968">
        <w:rPr>
          <w:rFonts w:eastAsia="Malgun Gothic" w:hint="cs"/>
          <w:i/>
          <w:iCs/>
          <w:rtl/>
          <w:lang w:val="en-GB"/>
        </w:rPr>
        <w:t xml:space="preserve">يطلب أيضا إلى </w:t>
      </w:r>
      <w:r w:rsidRPr="00C32968">
        <w:rPr>
          <w:rFonts w:eastAsia="Malgun Gothic" w:hint="cs"/>
          <w:rtl/>
          <w:lang w:val="en-GB"/>
        </w:rPr>
        <w:t>الأمين</w:t>
      </w:r>
      <w:r>
        <w:rPr>
          <w:rFonts w:eastAsia="Malgun Gothic" w:hint="cs"/>
          <w:rtl/>
          <w:lang w:val="en-GB"/>
        </w:rPr>
        <w:t>ة</w:t>
      </w:r>
      <w:r w:rsidRPr="00C32968">
        <w:rPr>
          <w:rFonts w:eastAsia="Malgun Gothic" w:hint="cs"/>
          <w:rtl/>
          <w:lang w:val="en-GB"/>
        </w:rPr>
        <w:t xml:space="preserve"> التنفيذية، عملا</w:t>
      </w:r>
      <w:r w:rsidRPr="00C32968">
        <w:rPr>
          <w:rFonts w:eastAsia="Malgun Gothic" w:hint="cs"/>
          <w:i/>
          <w:iCs/>
          <w:rtl/>
          <w:lang w:val="en-GB"/>
        </w:rPr>
        <w:t xml:space="preserve"> </w:t>
      </w:r>
      <w:hyperlink r:id="rId12" w:history="1">
        <w:r w:rsidRPr="00C32968">
          <w:rPr>
            <w:rFonts w:eastAsia="Malgun Gothic" w:hint="cs"/>
            <w:color w:val="0000FF"/>
            <w:u w:val="single"/>
            <w:rtl/>
            <w:lang w:val="en-GB"/>
          </w:rPr>
          <w:t>بالمقرر 13/22</w:t>
        </w:r>
      </w:hyperlink>
      <w:r w:rsidRPr="00C32968">
        <w:rPr>
          <w:rFonts w:eastAsia="Malgun Gothic" w:hint="cs"/>
          <w:rtl/>
          <w:lang w:val="en-GB"/>
        </w:rPr>
        <w:t xml:space="preserve"> بشأن إطار لاستراتيجية اتصال، أن تشجع استخدام السيناريوهات كأداة اتصال لزيادة الوعي العام، وأن تعزز مشاركة وانخراط جميع أصحاب المصلحة، ولاسيما الأوساط الأكاديمية، والدوائر العلمية، </w:t>
      </w:r>
      <w:r>
        <w:rPr>
          <w:rFonts w:eastAsia="Malgun Gothic" w:hint="cs"/>
          <w:rtl/>
          <w:lang w:val="en-GB"/>
        </w:rPr>
        <w:t>و</w:t>
      </w:r>
      <w:r w:rsidRPr="00C32968">
        <w:rPr>
          <w:rFonts w:eastAsia="Malgun Gothic" w:hint="cs"/>
          <w:rtl/>
          <w:lang w:val="en-GB"/>
        </w:rPr>
        <w:t xml:space="preserve">توسيع نطاق الدعم العالمي للشواغل المتعلقة بالتنوع البيولوجي، بما في ذلك من خلال إشراك الشخصيات المرموقة </w:t>
      </w:r>
      <w:r>
        <w:rPr>
          <w:rFonts w:eastAsia="Malgun Gothic" w:hint="cs"/>
          <w:rtl/>
          <w:lang w:val="en-GB"/>
        </w:rPr>
        <w:t>ك</w:t>
      </w:r>
      <w:r w:rsidRPr="00C32968">
        <w:rPr>
          <w:rFonts w:eastAsia="Malgun Gothic" w:hint="cs"/>
          <w:rtl/>
          <w:lang w:val="en-GB"/>
        </w:rPr>
        <w:t>سفراء التنوع البيولوجي من جميع المناطق، والذين سيمثلون الأصوات التي تدافع عن التنوع البيولوجي</w:t>
      </w:r>
      <w:r>
        <w:rPr>
          <w:rFonts w:eastAsia="Malgun Gothic" w:hint="cs"/>
          <w:rtl/>
          <w:lang w:val="en-GB"/>
        </w:rPr>
        <w:t>.</w:t>
      </w:r>
    </w:p>
    <w:p w:rsidR="0044570B" w:rsidRPr="00C32968" w:rsidRDefault="0044570B" w:rsidP="0044570B">
      <w:pPr>
        <w:jc w:val="center"/>
        <w:rPr>
          <w:b/>
          <w:bCs/>
          <w:i/>
          <w:iCs/>
          <w:rtl/>
        </w:rPr>
      </w:pPr>
      <w:r w:rsidRPr="00C32968">
        <w:rPr>
          <w:i/>
          <w:iCs/>
          <w:rtl/>
        </w:rPr>
        <w:t>المرفق</w:t>
      </w:r>
    </w:p>
    <w:p w:rsidR="0044570B" w:rsidRPr="00C32968" w:rsidRDefault="0044570B" w:rsidP="0044570B">
      <w:pPr>
        <w:ind w:left="2970" w:right="1710" w:hanging="1080"/>
        <w:rPr>
          <w:b/>
          <w:bCs/>
        </w:rPr>
      </w:pPr>
      <w:r w:rsidRPr="00C32968">
        <w:rPr>
          <w:b/>
          <w:bCs/>
          <w:rtl/>
        </w:rPr>
        <w:t>استنتاجات الهيئة الفرعية للمشورة العلمية والتقنية والتكنولوجية فيما يتعلق بسيناريوهات رؤية عام 2050 للتنوع البيولوجي</w:t>
      </w:r>
    </w:p>
    <w:p w:rsidR="0044570B" w:rsidRPr="00C32968" w:rsidRDefault="0044570B" w:rsidP="00FF7FA5">
      <w:pPr>
        <w:numPr>
          <w:ilvl w:val="0"/>
          <w:numId w:val="3"/>
        </w:numPr>
        <w:ind w:left="0" w:firstLine="0"/>
        <w:jc w:val="lowKashida"/>
        <w:rPr>
          <w:rtl/>
        </w:rPr>
      </w:pPr>
      <w:r w:rsidRPr="00C32968">
        <w:rPr>
          <w:i/>
          <w:iCs/>
          <w:rtl/>
        </w:rPr>
        <w:t xml:space="preserve">لا تزال رؤية الخطة </w:t>
      </w:r>
      <w:r w:rsidRPr="00C32968">
        <w:rPr>
          <w:rtl/>
        </w:rPr>
        <w:t>الاستراتيجية</w:t>
      </w:r>
      <w:r w:rsidRPr="00C32968">
        <w:rPr>
          <w:i/>
          <w:iCs/>
          <w:rtl/>
        </w:rPr>
        <w:t xml:space="preserve"> لعام 2050 ذات صلة وينبغي وضعها في الاعتبار في أي متابعة للخطة الاستراتيجية للتنوع البيولوجي 2011-2020. </w:t>
      </w:r>
      <w:r w:rsidRPr="00C32968">
        <w:rPr>
          <w:rtl/>
        </w:rPr>
        <w:t xml:space="preserve">إن رؤية عام 2050 ("العيش في تجانس مع الطبيعة" حيث يتم "بحلول عام 2050 تقدير التنوع البيولوجي وحفظه وتخزينه واستخدامه بحكمة والمحافظة على خدمات النُظم الإيكولوجية، وتدعيم كوكب سليم وتقديم المنافع الضرورية لجميع السكان") تحتوي على عناصر يمكن ترجمتها إلى هدف طويل الأجل للتنوع البيولوجي وتوفر سياقا للمناقشات المتعلقة بأهداف التنوع البيولوجي الممكنة لعام 2030 كجزء من </w:t>
      </w:r>
      <w:r>
        <w:rPr>
          <w:rFonts w:hint="cs"/>
          <w:rtl/>
        </w:rPr>
        <w:t>ال</w:t>
      </w:r>
      <w:r w:rsidRPr="00C32968">
        <w:rPr>
          <w:rtl/>
        </w:rPr>
        <w:t>إطار ا</w:t>
      </w:r>
      <w:r>
        <w:rPr>
          <w:rFonts w:hint="cs"/>
          <w:rtl/>
        </w:rPr>
        <w:t>لعالمي ل</w:t>
      </w:r>
      <w:r w:rsidRPr="00C32968">
        <w:rPr>
          <w:rtl/>
        </w:rPr>
        <w:t>لتنوع البيولوجي لما بعد عام 2020</w:t>
      </w:r>
      <w:r w:rsidRPr="00C32968">
        <w:rPr>
          <w:rFonts w:hint="cs"/>
          <w:rtl/>
        </w:rPr>
        <w:t>.</w:t>
      </w:r>
    </w:p>
    <w:p w:rsidR="0044570B" w:rsidRPr="00C32968" w:rsidRDefault="0044570B" w:rsidP="00FF7FA5">
      <w:pPr>
        <w:numPr>
          <w:ilvl w:val="0"/>
          <w:numId w:val="3"/>
        </w:numPr>
        <w:ind w:left="0" w:firstLine="0"/>
        <w:jc w:val="lowKashida"/>
      </w:pPr>
      <w:r w:rsidRPr="00C32968">
        <w:rPr>
          <w:i/>
          <w:iCs/>
          <w:rtl/>
        </w:rPr>
        <w:t>توضح الاتجاهات الحالية أو سيناريوهات "العمل كالمعتاد" استمرار فقدان التنوع البيولوجي</w:t>
      </w:r>
      <w:r w:rsidRPr="00C32968">
        <w:rPr>
          <w:rtl/>
        </w:rPr>
        <w:t>، مع ما يترتب على ذلك م</w:t>
      </w:r>
      <w:r>
        <w:rPr>
          <w:rtl/>
        </w:rPr>
        <w:t>ن انعكاسات سلبية كبيرة على رفاه</w:t>
      </w:r>
      <w:r w:rsidRPr="00C32968">
        <w:rPr>
          <w:rtl/>
        </w:rPr>
        <w:t xml:space="preserve"> الإنسان، بما في ذلك التغييرات التي قد لا يمكن عكس اتجاهها. ولذلك لا يزال العمل العاجل بشأن التنوع البيولوجي قضية مجتمعية عالمية ملحة</w:t>
      </w:r>
      <w:r w:rsidRPr="00C32968">
        <w:rPr>
          <w:rFonts w:hint="cs"/>
          <w:rtl/>
        </w:rPr>
        <w:t>.</w:t>
      </w:r>
    </w:p>
    <w:p w:rsidR="0044570B" w:rsidRPr="00023979" w:rsidRDefault="0044570B" w:rsidP="00FF7FA5">
      <w:pPr>
        <w:numPr>
          <w:ilvl w:val="0"/>
          <w:numId w:val="3"/>
        </w:numPr>
        <w:ind w:left="0" w:firstLine="0"/>
        <w:jc w:val="lowKashida"/>
        <w:rPr>
          <w:spacing w:val="-10"/>
          <w:rtl/>
        </w:rPr>
      </w:pPr>
      <w:r w:rsidRPr="00C32968">
        <w:rPr>
          <w:i/>
          <w:iCs/>
          <w:rtl/>
        </w:rPr>
        <w:t>تظهر سيناريوهات التنمية الاجتماعية والاقتصادية في المستقبل أن هناك مجموعة واسعة من التصورات المستقبلية المعقولة</w:t>
      </w:r>
      <w:r w:rsidRPr="00C32968">
        <w:rPr>
          <w:rtl/>
        </w:rPr>
        <w:t xml:space="preserve"> فيما يتعلق بالنمو السكاني والتعليم والت</w:t>
      </w:r>
      <w:r>
        <w:rPr>
          <w:rFonts w:hint="cs"/>
          <w:rtl/>
        </w:rPr>
        <w:t>وسع الحضري</w:t>
      </w:r>
      <w:r w:rsidRPr="00C32968">
        <w:rPr>
          <w:rtl/>
        </w:rPr>
        <w:t xml:space="preserve"> والنمو الاقتصادي والتطور التكنولوجي ونُهج التجارة الدولية، من بين عوامل أخرى، التي تؤدي إلى مستويات متفاوتة لمحركات </w:t>
      </w:r>
      <w:r w:rsidRPr="00C32968">
        <w:rPr>
          <w:rFonts w:hint="cs"/>
          <w:rtl/>
        </w:rPr>
        <w:t>ا</w:t>
      </w:r>
      <w:r w:rsidRPr="00C32968">
        <w:rPr>
          <w:rtl/>
        </w:rPr>
        <w:t xml:space="preserve">لتغير في </w:t>
      </w:r>
      <w:r w:rsidRPr="00C32968">
        <w:rPr>
          <w:rFonts w:hint="cs"/>
          <w:rtl/>
        </w:rPr>
        <w:t>النظم الإيكولوجية و</w:t>
      </w:r>
      <w:r w:rsidRPr="00C32968">
        <w:rPr>
          <w:rtl/>
        </w:rPr>
        <w:t>التنوع البيولوجي</w:t>
      </w:r>
      <w:r w:rsidRPr="00C32968">
        <w:rPr>
          <w:rFonts w:hint="cs"/>
          <w:rtl/>
        </w:rPr>
        <w:t xml:space="preserve">، من قبيل </w:t>
      </w:r>
      <w:r w:rsidRPr="00C32968">
        <w:rPr>
          <w:rtl/>
        </w:rPr>
        <w:t xml:space="preserve">تغير المناخ، </w:t>
      </w:r>
      <w:r w:rsidRPr="00C32968">
        <w:rPr>
          <w:rFonts w:hint="cs"/>
          <w:rtl/>
        </w:rPr>
        <w:t>والإفراط في الاستغلال</w:t>
      </w:r>
      <w:r>
        <w:rPr>
          <w:rFonts w:hint="cs"/>
          <w:rtl/>
        </w:rPr>
        <w:t>،</w:t>
      </w:r>
      <w:r w:rsidRPr="00C32968">
        <w:rPr>
          <w:rFonts w:hint="cs"/>
          <w:rtl/>
        </w:rPr>
        <w:t xml:space="preserve"> والتلوث</w:t>
      </w:r>
      <w:r>
        <w:rPr>
          <w:rFonts w:hint="cs"/>
          <w:rtl/>
        </w:rPr>
        <w:t>،</w:t>
      </w:r>
      <w:r w:rsidRPr="00C32968">
        <w:rPr>
          <w:rFonts w:hint="cs"/>
          <w:rtl/>
        </w:rPr>
        <w:t xml:space="preserve"> والأنواع الغربية الغازية وفقدان الموائل، بما في ذلك التغير في استخدام الأراضي</w:t>
      </w:r>
      <w:r w:rsidRPr="00C32968">
        <w:rPr>
          <w:rtl/>
        </w:rPr>
        <w:t xml:space="preserve">. ويوفر هذا النطاق من التصورات المستقبلية المعقولة مجالا لوضع تدابير سياساتية لتحقيق </w:t>
      </w:r>
      <w:r w:rsidRPr="00023979">
        <w:rPr>
          <w:spacing w:val="-10"/>
          <w:rtl/>
        </w:rPr>
        <w:t>رؤية عام 2050 وأهداف عالمية أخرى</w:t>
      </w:r>
      <w:r w:rsidRPr="00023979">
        <w:rPr>
          <w:rFonts w:hint="cs"/>
          <w:spacing w:val="-10"/>
          <w:rtl/>
        </w:rPr>
        <w:t>.</w:t>
      </w:r>
    </w:p>
    <w:p w:rsidR="0044570B" w:rsidRPr="00C32968" w:rsidRDefault="0044570B" w:rsidP="00FF7FA5">
      <w:pPr>
        <w:numPr>
          <w:ilvl w:val="0"/>
          <w:numId w:val="3"/>
        </w:numPr>
        <w:ind w:left="0" w:firstLine="0"/>
        <w:jc w:val="lowKashida"/>
        <w:rPr>
          <w:rtl/>
        </w:rPr>
      </w:pPr>
      <w:r w:rsidRPr="00C32968">
        <w:rPr>
          <w:i/>
          <w:iCs/>
          <w:rtl/>
        </w:rPr>
        <w:t>يمكن بلوغ أهداف التنوع البيولوجي التي تنعكس في رؤية عام 2050 وتحقيق أهداف اجتماعية واقتصادية أوسع نطاقا عن طريق نشر مجموعة من التدابير</w:t>
      </w:r>
      <w:r w:rsidRPr="00C32968">
        <w:rPr>
          <w:rtl/>
        </w:rPr>
        <w:t xml:space="preserve"> تشمل تدابير: (أ) لزيادة</w:t>
      </w:r>
      <w:r w:rsidRPr="00C32968">
        <w:rPr>
          <w:rFonts w:hint="cs"/>
          <w:rtl/>
        </w:rPr>
        <w:t xml:space="preserve"> استدامة</w:t>
      </w:r>
      <w:r w:rsidRPr="00C32968">
        <w:rPr>
          <w:rtl/>
        </w:rPr>
        <w:t xml:space="preserve"> </w:t>
      </w:r>
      <w:r w:rsidRPr="00C32968">
        <w:rPr>
          <w:rFonts w:hint="cs"/>
          <w:rtl/>
        </w:rPr>
        <w:t>و</w:t>
      </w:r>
      <w:r w:rsidRPr="00C32968">
        <w:rPr>
          <w:rtl/>
        </w:rPr>
        <w:t xml:space="preserve">إنتاجية الزراعة، </w:t>
      </w:r>
      <w:r w:rsidRPr="00C32968">
        <w:rPr>
          <w:rFonts w:hint="cs"/>
          <w:rtl/>
        </w:rPr>
        <w:t>وزيادة استخدام</w:t>
      </w:r>
      <w:r w:rsidRPr="00C32968">
        <w:rPr>
          <w:rtl/>
        </w:rPr>
        <w:t xml:space="preserve"> </w:t>
      </w:r>
      <w:r w:rsidRPr="00C32968">
        <w:rPr>
          <w:rFonts w:hint="cs"/>
          <w:rtl/>
        </w:rPr>
        <w:t>ا</w:t>
      </w:r>
      <w:r w:rsidRPr="00C32968">
        <w:rPr>
          <w:rtl/>
        </w:rPr>
        <w:t>لتنوع البيولوجي</w:t>
      </w:r>
      <w:r w:rsidRPr="00C32968">
        <w:rPr>
          <w:rFonts w:hint="cs"/>
          <w:rtl/>
        </w:rPr>
        <w:t xml:space="preserve"> واستخدامه</w:t>
      </w:r>
      <w:r w:rsidRPr="00C32968">
        <w:rPr>
          <w:rtl/>
        </w:rPr>
        <w:t xml:space="preserve"> </w:t>
      </w:r>
      <w:r>
        <w:rPr>
          <w:rFonts w:hint="cs"/>
          <w:rtl/>
        </w:rPr>
        <w:t xml:space="preserve">على نحو أفضل </w:t>
      </w:r>
      <w:r w:rsidRPr="00C32968">
        <w:rPr>
          <w:rtl/>
        </w:rPr>
        <w:t>في النظم الإيكولوجية الزراعية للمس</w:t>
      </w:r>
      <w:r>
        <w:rPr>
          <w:rtl/>
        </w:rPr>
        <w:t>اهمة في زيادات الإنتاج المستدام</w:t>
      </w:r>
      <w:r w:rsidRPr="00C32968">
        <w:rPr>
          <w:rtl/>
        </w:rPr>
        <w:t xml:space="preserve">؛ (ب) والحد من تدهور النظم الإيكولوجية وتجزؤها والحفاظ على التنوع البيولوجي </w:t>
      </w:r>
      <w:r w:rsidRPr="00C32968">
        <w:rPr>
          <w:rFonts w:hint="cs"/>
          <w:rtl/>
        </w:rPr>
        <w:t>ووظائف</w:t>
      </w:r>
      <w:r w:rsidRPr="00C32968">
        <w:rPr>
          <w:rtl/>
        </w:rPr>
        <w:t xml:space="preserve"> </w:t>
      </w:r>
      <w:r w:rsidRPr="00C32968">
        <w:rPr>
          <w:rFonts w:hint="cs"/>
          <w:rtl/>
        </w:rPr>
        <w:t>و</w:t>
      </w:r>
      <w:r w:rsidRPr="00C32968">
        <w:rPr>
          <w:rtl/>
        </w:rPr>
        <w:t xml:space="preserve">خدمات النظم الإيكولوجية </w:t>
      </w:r>
      <w:r w:rsidRPr="00C32968">
        <w:rPr>
          <w:rFonts w:hint="cs"/>
          <w:rtl/>
        </w:rPr>
        <w:t xml:space="preserve">بما في ذلك </w:t>
      </w:r>
      <w:r w:rsidRPr="00C32968">
        <w:rPr>
          <w:rtl/>
        </w:rPr>
        <w:t>من خلال التخطيط المكاني الاستباقي</w:t>
      </w:r>
      <w:r>
        <w:rPr>
          <w:rFonts w:hint="cs"/>
          <w:rtl/>
        </w:rPr>
        <w:t>،</w:t>
      </w:r>
      <w:r w:rsidRPr="00C32968">
        <w:rPr>
          <w:rtl/>
        </w:rPr>
        <w:t xml:space="preserve"> واستعادة الأراضي</w:t>
      </w:r>
      <w:r w:rsidRPr="00C32968">
        <w:rPr>
          <w:rFonts w:hint="cs"/>
          <w:rtl/>
        </w:rPr>
        <w:t xml:space="preserve"> والنظم الإيكولوجية</w:t>
      </w:r>
      <w:r w:rsidRPr="00C32968">
        <w:rPr>
          <w:rtl/>
        </w:rPr>
        <w:t xml:space="preserve"> المتدهورة والتوسع الاستراتيجي للمناطق المحمية؛ (ج) والحد من الإفراط في استغلال مصا</w:t>
      </w:r>
      <w:r>
        <w:rPr>
          <w:rFonts w:hint="cs"/>
          <w:rtl/>
        </w:rPr>
        <w:t>ي</w:t>
      </w:r>
      <w:r w:rsidRPr="00C32968">
        <w:rPr>
          <w:rtl/>
        </w:rPr>
        <w:t xml:space="preserve">د الأسماك والموارد البيولوجية الأخرى؛ (د) </w:t>
      </w:r>
      <w:r>
        <w:rPr>
          <w:rFonts w:hint="cs"/>
          <w:rtl/>
        </w:rPr>
        <w:t>و</w:t>
      </w:r>
      <w:r w:rsidRPr="00C32968">
        <w:rPr>
          <w:rtl/>
        </w:rPr>
        <w:t xml:space="preserve">مكافحة الأنواع الغريبة الغازية؛ (ه) </w:t>
      </w:r>
      <w:r>
        <w:rPr>
          <w:rFonts w:hint="cs"/>
          <w:rtl/>
        </w:rPr>
        <w:t>و</w:t>
      </w:r>
      <w:r w:rsidRPr="00C32968">
        <w:rPr>
          <w:rFonts w:hint="cs"/>
          <w:rtl/>
        </w:rPr>
        <w:t>التكيف مع</w:t>
      </w:r>
      <w:r w:rsidRPr="00C32968">
        <w:rPr>
          <w:rtl/>
        </w:rPr>
        <w:t xml:space="preserve"> تغير المناخ</w:t>
      </w:r>
      <w:r w:rsidRPr="00C32968">
        <w:rPr>
          <w:rFonts w:hint="cs"/>
          <w:rtl/>
        </w:rPr>
        <w:t xml:space="preserve"> والتخفيف من حدته</w:t>
      </w:r>
      <w:r w:rsidRPr="00C32968">
        <w:rPr>
          <w:rtl/>
        </w:rPr>
        <w:t xml:space="preserve">، (و) </w:t>
      </w:r>
      <w:r>
        <w:rPr>
          <w:rFonts w:hint="cs"/>
          <w:rtl/>
        </w:rPr>
        <w:t>و</w:t>
      </w:r>
      <w:r w:rsidRPr="00C32968">
        <w:rPr>
          <w:rtl/>
        </w:rPr>
        <w:t>الحد من الهدر والاستهلاك المفرط</w:t>
      </w:r>
      <w:r w:rsidRPr="00C32968">
        <w:rPr>
          <w:rFonts w:hint="cs"/>
          <w:rtl/>
        </w:rPr>
        <w:t>.</w:t>
      </w:r>
    </w:p>
    <w:p w:rsidR="0044570B" w:rsidRPr="00C32968" w:rsidRDefault="0044570B" w:rsidP="00FF7FA5">
      <w:pPr>
        <w:numPr>
          <w:ilvl w:val="0"/>
          <w:numId w:val="3"/>
        </w:numPr>
        <w:ind w:left="0" w:firstLine="0"/>
        <w:jc w:val="lowKashida"/>
        <w:rPr>
          <w:rtl/>
        </w:rPr>
      </w:pPr>
      <w:r w:rsidRPr="00C32968">
        <w:rPr>
          <w:i/>
          <w:iCs/>
          <w:rtl/>
        </w:rPr>
        <w:lastRenderedPageBreak/>
        <w:t xml:space="preserve">يمكن وضع هذه التدابير في </w:t>
      </w:r>
      <w:r>
        <w:rPr>
          <w:i/>
          <w:iCs/>
          <w:rtl/>
        </w:rPr>
        <w:t>"مزيج مختلف من السياسات" حسب ا</w:t>
      </w:r>
      <w:r w:rsidRPr="00C32968">
        <w:rPr>
          <w:i/>
          <w:iCs/>
          <w:rtl/>
        </w:rPr>
        <w:t xml:space="preserve">حتياجات </w:t>
      </w:r>
      <w:r w:rsidRPr="00C32968">
        <w:rPr>
          <w:rFonts w:hint="cs"/>
          <w:i/>
          <w:iCs/>
          <w:rtl/>
        </w:rPr>
        <w:t>وأولويات</w:t>
      </w:r>
      <w:r w:rsidRPr="00C32968">
        <w:rPr>
          <w:i/>
          <w:iCs/>
          <w:rtl/>
        </w:rPr>
        <w:t xml:space="preserve"> البلدان وأصحاب المصلحة.</w:t>
      </w:r>
      <w:r w:rsidRPr="00C32968">
        <w:rPr>
          <w:rtl/>
        </w:rPr>
        <w:t xml:space="preserve"> </w:t>
      </w:r>
      <w:r w:rsidRPr="00C32968">
        <w:rPr>
          <w:rFonts w:hint="cs"/>
          <w:rtl/>
        </w:rPr>
        <w:t>ف</w:t>
      </w:r>
      <w:r w:rsidRPr="00C32968">
        <w:rPr>
          <w:rtl/>
        </w:rPr>
        <w:t xml:space="preserve">على سبيل المثال، يمكن أن </w:t>
      </w:r>
      <w:r w:rsidRPr="00C32968">
        <w:rPr>
          <w:rFonts w:hint="cs"/>
          <w:rtl/>
        </w:rPr>
        <w:t>تختلف توليفة التدابير السياساتية المشار إليها في الفقرة 4 أعلاه</w:t>
      </w:r>
      <w:r w:rsidRPr="00C32968">
        <w:rPr>
          <w:rtl/>
        </w:rPr>
        <w:t xml:space="preserve"> فيما يتعلق بالتركيز على التغييرات في الإنتاج والاستهلاك</w:t>
      </w:r>
      <w:r w:rsidRPr="00C32968">
        <w:rPr>
          <w:rFonts w:hint="cs"/>
          <w:rtl/>
        </w:rPr>
        <w:t>،</w:t>
      </w:r>
      <w:r w:rsidRPr="00C32968">
        <w:rPr>
          <w:rtl/>
        </w:rPr>
        <w:t xml:space="preserve"> ودرجة الاعتماد على التكنولوجيات الجديدة والتجارة الدولية و</w:t>
      </w:r>
      <w:r w:rsidRPr="00C32968">
        <w:rPr>
          <w:rFonts w:hint="cs"/>
          <w:rtl/>
        </w:rPr>
        <w:t xml:space="preserve">مستوى </w:t>
      </w:r>
      <w:r w:rsidRPr="00C32968">
        <w:rPr>
          <w:rtl/>
        </w:rPr>
        <w:t xml:space="preserve">التنسيق العالمي </w:t>
      </w:r>
      <w:r w:rsidRPr="00C32968">
        <w:rPr>
          <w:rFonts w:hint="cs"/>
          <w:rtl/>
        </w:rPr>
        <w:t>و</w:t>
      </w:r>
      <w:r w:rsidRPr="00C32968">
        <w:rPr>
          <w:rtl/>
        </w:rPr>
        <w:t>التنسيق المحلي</w:t>
      </w:r>
      <w:r w:rsidRPr="00C32968">
        <w:rPr>
          <w:rFonts w:hint="cs"/>
          <w:rtl/>
        </w:rPr>
        <w:t xml:space="preserve"> كما هو موضح في المسارات الثلاثة المحددة في الإصدار الرابع من نشرة </w:t>
      </w:r>
      <w:r w:rsidRPr="006F0FC8">
        <w:rPr>
          <w:rFonts w:hint="cs"/>
          <w:i/>
          <w:iCs/>
          <w:rtl/>
        </w:rPr>
        <w:t>التوقعات العالمية للتنوع البيولوجي</w:t>
      </w:r>
      <w:r>
        <w:rPr>
          <w:rFonts w:hint="cs"/>
          <w:rtl/>
        </w:rPr>
        <w:t>.</w:t>
      </w:r>
      <w:r w:rsidRPr="00C32968">
        <w:rPr>
          <w:vertAlign w:val="superscript"/>
          <w:rtl/>
        </w:rPr>
        <w:footnoteReference w:id="22"/>
      </w:r>
      <w:r w:rsidRPr="00C32968">
        <w:rPr>
          <w:rtl/>
        </w:rPr>
        <w:t xml:space="preserve"> وهناك حاجة إلى مزيد من عمليات وضع الرؤى، على نطاقات متعددة وبمشاركة قوية من أصحاب المصلحة، لمواصلة توضيح الخيارات وتعزيز العمل</w:t>
      </w:r>
      <w:r w:rsidRPr="00C32968">
        <w:rPr>
          <w:rFonts w:hint="cs"/>
          <w:rtl/>
        </w:rPr>
        <w:t>.</w:t>
      </w:r>
    </w:p>
    <w:p w:rsidR="0044570B" w:rsidRPr="00C32968" w:rsidRDefault="0044570B" w:rsidP="00FF7FA5">
      <w:pPr>
        <w:numPr>
          <w:ilvl w:val="0"/>
          <w:numId w:val="3"/>
        </w:numPr>
        <w:ind w:left="0" w:firstLine="0"/>
        <w:jc w:val="lowKashida"/>
        <w:rPr>
          <w:rtl/>
        </w:rPr>
      </w:pPr>
      <w:r w:rsidRPr="00C32968">
        <w:rPr>
          <w:rFonts w:hint="cs"/>
          <w:i/>
          <w:iCs/>
          <w:rtl/>
        </w:rPr>
        <w:t>بالرغم من</w:t>
      </w:r>
      <w:r w:rsidRPr="00C32968">
        <w:rPr>
          <w:i/>
          <w:iCs/>
          <w:rtl/>
        </w:rPr>
        <w:t xml:space="preserve"> أن المسارات نحو المستقبل المستدام معقولة، فإنها تتطلب تغيرا تحوليا</w:t>
      </w:r>
      <w:r w:rsidRPr="00C32968">
        <w:rPr>
          <w:rtl/>
        </w:rPr>
        <w:t>، بما في ذلك تغيرات في السلوك على مستوى المنتجين والمستهلكين</w:t>
      </w:r>
      <w:r>
        <w:rPr>
          <w:rFonts w:hint="cs"/>
          <w:rtl/>
        </w:rPr>
        <w:t>،</w:t>
      </w:r>
      <w:r w:rsidRPr="00C32968">
        <w:rPr>
          <w:rtl/>
        </w:rPr>
        <w:t xml:space="preserve"> والحكومات و</w:t>
      </w:r>
      <w:r>
        <w:rPr>
          <w:rFonts w:hint="cs"/>
          <w:rtl/>
        </w:rPr>
        <w:t>الأعمال التجارية</w:t>
      </w:r>
      <w:r w:rsidRPr="00C32968">
        <w:rPr>
          <w:rtl/>
        </w:rPr>
        <w:t xml:space="preserve">. وستكون هناك حاجة إلى مزيد من الجهود لفهم العوامل الحافزة وتيسير التغيير. ويمكن أن تؤدي التطورات الاجتماعية والتكنولوجية المثيرة للاضطرابات إلى عمليات انتقال يمكن أن تسهم في الاستدامة </w:t>
      </w:r>
      <w:r w:rsidRPr="00C32968">
        <w:rPr>
          <w:rFonts w:hint="cs"/>
          <w:rtl/>
        </w:rPr>
        <w:t xml:space="preserve">وتحقيق أهداف الاتفاقية الثلاثة </w:t>
      </w:r>
      <w:r w:rsidRPr="00C32968">
        <w:rPr>
          <w:rtl/>
        </w:rPr>
        <w:t xml:space="preserve">أو عكسها. </w:t>
      </w:r>
      <w:r w:rsidRPr="00C32968">
        <w:rPr>
          <w:rFonts w:hint="cs"/>
          <w:rtl/>
        </w:rPr>
        <w:t xml:space="preserve">وقد </w:t>
      </w:r>
      <w:r w:rsidRPr="00C32968">
        <w:rPr>
          <w:rtl/>
        </w:rPr>
        <w:t>تؤدي الحكومات والمؤسسات الدولية دورا حاسما في تهيئة بيئة تمكينية لتعزيز التغير الإيجابي. ويلزم القيام بمزيد من العمل لتحديد السبل والوسائل التي يمكن بها للاتفاقية و</w:t>
      </w:r>
      <w:r>
        <w:rPr>
          <w:rFonts w:hint="cs"/>
          <w:rtl/>
        </w:rPr>
        <w:t>ال</w:t>
      </w:r>
      <w:r w:rsidRPr="00C32968">
        <w:rPr>
          <w:rtl/>
        </w:rPr>
        <w:t>إطار ا</w:t>
      </w:r>
      <w:r>
        <w:rPr>
          <w:rFonts w:hint="cs"/>
          <w:rtl/>
        </w:rPr>
        <w:t>لعالمي ل</w:t>
      </w:r>
      <w:r w:rsidRPr="00C32968">
        <w:rPr>
          <w:rtl/>
        </w:rPr>
        <w:t>لتنوع البيولوجي لما بعد عام 2020 أن يساعدا في تحقيق هذا التغير</w:t>
      </w:r>
      <w:r w:rsidRPr="00C32968">
        <w:rPr>
          <w:rFonts w:hint="cs"/>
          <w:rtl/>
        </w:rPr>
        <w:t>.</w:t>
      </w:r>
    </w:p>
    <w:p w:rsidR="0044570B" w:rsidRPr="00023979" w:rsidRDefault="0044570B" w:rsidP="00FF7FA5">
      <w:pPr>
        <w:numPr>
          <w:ilvl w:val="0"/>
          <w:numId w:val="3"/>
        </w:numPr>
        <w:ind w:left="0" w:firstLine="0"/>
        <w:jc w:val="lowKashida"/>
        <w:rPr>
          <w:spacing w:val="-10"/>
          <w:rtl/>
        </w:rPr>
      </w:pPr>
      <w:r w:rsidRPr="00C32968">
        <w:rPr>
          <w:i/>
          <w:iCs/>
          <w:rtl/>
        </w:rPr>
        <w:t>هناك حاجة إلى نهج متماسك بشأن التنوع البيولوجي وتغير المناخ</w:t>
      </w:r>
      <w:r w:rsidRPr="00C32968">
        <w:rPr>
          <w:rtl/>
        </w:rPr>
        <w:t xml:space="preserve"> لضمان خفض آثار تغير المناخ على التنوع البيولوجي، وأن يكون بوسع التنوع البيولوجي والنظم الإيكولوجية المساهمة بحلول </w:t>
      </w:r>
      <w:r>
        <w:rPr>
          <w:rFonts w:hint="cs"/>
          <w:rtl/>
        </w:rPr>
        <w:t>تتعلق با</w:t>
      </w:r>
      <w:r w:rsidRPr="00C32968">
        <w:rPr>
          <w:rtl/>
        </w:rPr>
        <w:t xml:space="preserve">لتكيف مع تغير المناخ والتخفيف من آثاره، وألا تؤثر تدابير </w:t>
      </w:r>
      <w:r w:rsidRPr="00C32968">
        <w:rPr>
          <w:rFonts w:hint="cs"/>
          <w:rtl/>
        </w:rPr>
        <w:t>التكيف مع</w:t>
      </w:r>
      <w:r w:rsidRPr="00C32968">
        <w:rPr>
          <w:rtl/>
        </w:rPr>
        <w:t xml:space="preserve"> تغير المناخ</w:t>
      </w:r>
      <w:r w:rsidRPr="00C32968">
        <w:rPr>
          <w:rFonts w:hint="cs"/>
          <w:rtl/>
        </w:rPr>
        <w:t xml:space="preserve"> </w:t>
      </w:r>
      <w:r w:rsidRPr="00023979">
        <w:rPr>
          <w:rFonts w:hint="cs"/>
          <w:spacing w:val="-10"/>
          <w:rtl/>
        </w:rPr>
        <w:t>والتخفيف من آثاره</w:t>
      </w:r>
      <w:r w:rsidRPr="00023979">
        <w:rPr>
          <w:spacing w:val="-10"/>
          <w:rtl/>
        </w:rPr>
        <w:t xml:space="preserve"> تأثيرا سلبيا على</w:t>
      </w:r>
      <w:r w:rsidRPr="00C32968">
        <w:rPr>
          <w:rtl/>
        </w:rPr>
        <w:t xml:space="preserve"> </w:t>
      </w:r>
      <w:r w:rsidRPr="00023979">
        <w:rPr>
          <w:spacing w:val="-10"/>
          <w:rtl/>
        </w:rPr>
        <w:t xml:space="preserve">التنوع البيولوجي من خلال </w:t>
      </w:r>
      <w:r w:rsidRPr="00023979">
        <w:rPr>
          <w:rFonts w:hint="cs"/>
          <w:spacing w:val="-10"/>
          <w:rtl/>
        </w:rPr>
        <w:t>ال</w:t>
      </w:r>
      <w:r w:rsidRPr="00023979">
        <w:rPr>
          <w:spacing w:val="-10"/>
          <w:rtl/>
        </w:rPr>
        <w:t xml:space="preserve">تغيير </w:t>
      </w:r>
      <w:r w:rsidRPr="00023979">
        <w:rPr>
          <w:rFonts w:hint="cs"/>
          <w:spacing w:val="-10"/>
          <w:rtl/>
        </w:rPr>
        <w:t>في إدارة</w:t>
      </w:r>
      <w:r w:rsidRPr="00023979">
        <w:rPr>
          <w:spacing w:val="-10"/>
          <w:rtl/>
        </w:rPr>
        <w:t xml:space="preserve"> الأراضي</w:t>
      </w:r>
      <w:r w:rsidRPr="00023979">
        <w:rPr>
          <w:rFonts w:hint="cs"/>
          <w:spacing w:val="-10"/>
          <w:rtl/>
        </w:rPr>
        <w:t>.</w:t>
      </w:r>
    </w:p>
    <w:p w:rsidR="0044570B" w:rsidRPr="00023979" w:rsidRDefault="0044570B" w:rsidP="00FF7FA5">
      <w:pPr>
        <w:numPr>
          <w:ilvl w:val="0"/>
          <w:numId w:val="3"/>
        </w:numPr>
        <w:ind w:left="0" w:firstLine="0"/>
        <w:jc w:val="lowKashida"/>
        <w:rPr>
          <w:spacing w:val="-10"/>
          <w:rtl/>
        </w:rPr>
      </w:pPr>
      <w:r w:rsidRPr="00C32968">
        <w:rPr>
          <w:i/>
          <w:iCs/>
          <w:rtl/>
        </w:rPr>
        <w:t>تتسق رؤية عام 2050 مع خطة التنمية المستدامة لعام 2030 والأهداف الدولية الأخرى.</w:t>
      </w:r>
      <w:r w:rsidRPr="00C32968">
        <w:rPr>
          <w:rtl/>
        </w:rPr>
        <w:t xml:space="preserve"> ومن شأن التقدم نحو خطة التنمية المستدامة لعام 2030 أن يساعد على معالجة العديد من محركات فقدان التنوع البيولوجي وأن يدعم أيضا أهداف التنوع البيولوجي من خلال تهيئة بيئة تمكينية مواتية. والطابع </w:t>
      </w:r>
      <w:r w:rsidRPr="00C32968">
        <w:rPr>
          <w:rFonts w:hint="cs"/>
          <w:rtl/>
        </w:rPr>
        <w:t>المتكامل و</w:t>
      </w:r>
      <w:r w:rsidRPr="00C32968">
        <w:rPr>
          <w:rtl/>
        </w:rPr>
        <w:t>غير القابل للتجزئة للخطة يعني أن تحقيق جميع الأهداف ضروري</w:t>
      </w:r>
      <w:r>
        <w:rPr>
          <w:rFonts w:hint="cs"/>
          <w:rtl/>
        </w:rPr>
        <w:t>،</w:t>
      </w:r>
      <w:r w:rsidRPr="00C32968">
        <w:rPr>
          <w:rtl/>
        </w:rPr>
        <w:t xml:space="preserve"> </w:t>
      </w:r>
      <w:r w:rsidRPr="00C32968">
        <w:rPr>
          <w:rFonts w:hint="cs"/>
          <w:rtl/>
        </w:rPr>
        <w:t>ويمكن الاسترشاد بالسيناريوهات والنماذج في</w:t>
      </w:r>
      <w:r w:rsidRPr="00C32968">
        <w:rPr>
          <w:rtl/>
        </w:rPr>
        <w:t xml:space="preserve"> اختيار </w:t>
      </w:r>
      <w:r w:rsidRPr="00C32968">
        <w:rPr>
          <w:rFonts w:hint="cs"/>
          <w:rtl/>
        </w:rPr>
        <w:t>السياسات والتدابير</w:t>
      </w:r>
      <w:r w:rsidRPr="00C32968">
        <w:rPr>
          <w:rtl/>
        </w:rPr>
        <w:t xml:space="preserve"> </w:t>
      </w:r>
      <w:r w:rsidRPr="00023979">
        <w:rPr>
          <w:rFonts w:hint="cs"/>
          <w:spacing w:val="-10"/>
          <w:rtl/>
        </w:rPr>
        <w:t xml:space="preserve">وقيودها، </w:t>
      </w:r>
      <w:r w:rsidRPr="00023979">
        <w:rPr>
          <w:spacing w:val="-10"/>
          <w:rtl/>
        </w:rPr>
        <w:t>مما يبرز الحاجة إلى اتساق السياسات</w:t>
      </w:r>
      <w:r w:rsidRPr="00023979">
        <w:rPr>
          <w:rFonts w:hint="cs"/>
          <w:spacing w:val="-10"/>
          <w:rtl/>
        </w:rPr>
        <w:t>.</w:t>
      </w:r>
    </w:p>
    <w:p w:rsidR="0044570B" w:rsidRPr="00C32968" w:rsidRDefault="0044570B" w:rsidP="00FF7FA5">
      <w:pPr>
        <w:numPr>
          <w:ilvl w:val="0"/>
          <w:numId w:val="3"/>
        </w:numPr>
        <w:ind w:left="0" w:firstLine="0"/>
        <w:jc w:val="lowKashida"/>
      </w:pPr>
      <w:r w:rsidRPr="00C32968">
        <w:rPr>
          <w:i/>
          <w:iCs/>
          <w:rtl/>
        </w:rPr>
        <w:t xml:space="preserve">قد تكون السيناريوهات والنماذج مفيدة في إرشاد عملية وضع وتنفيذ </w:t>
      </w:r>
      <w:r>
        <w:rPr>
          <w:rFonts w:hint="cs"/>
          <w:i/>
          <w:iCs/>
          <w:rtl/>
        </w:rPr>
        <w:t>ال</w:t>
      </w:r>
      <w:r w:rsidRPr="00C32968">
        <w:rPr>
          <w:i/>
          <w:iCs/>
          <w:rtl/>
        </w:rPr>
        <w:t>إطار ا</w:t>
      </w:r>
      <w:r>
        <w:rPr>
          <w:rFonts w:hint="cs"/>
          <w:i/>
          <w:iCs/>
          <w:rtl/>
        </w:rPr>
        <w:t>لعالمي ل</w:t>
      </w:r>
      <w:r w:rsidRPr="00C32968">
        <w:rPr>
          <w:i/>
          <w:iCs/>
          <w:rtl/>
        </w:rPr>
        <w:t>لتنوع البيولوجي لما بعد عام 2020.</w:t>
      </w:r>
      <w:r w:rsidRPr="00C32968">
        <w:rPr>
          <w:rtl/>
        </w:rPr>
        <w:t xml:space="preserve"> فقد استُرشد في وضع الخطة الاستراتيجية الحالية للتنوع البيولوجي 2011-2020 بسيناريوهات التنوع البيولوجي بما في ذلك تلك التي وضعت للإصدار الثالث من </w:t>
      </w:r>
      <w:r w:rsidRPr="00C32968">
        <w:rPr>
          <w:i/>
          <w:iCs/>
          <w:rtl/>
        </w:rPr>
        <w:t>التوقعات العالمية للتنوع البيولوجي</w:t>
      </w:r>
      <w:r w:rsidRPr="00C32968">
        <w:rPr>
          <w:rtl/>
        </w:rPr>
        <w:t>. وهناك أيضا إمكانية أن تستخدم السيناريوهات، التي وضعت على مستويات مناسبة، لإرشاد عملية صنع السياسات وتنفيذها على المستو</w:t>
      </w:r>
      <w:r>
        <w:rPr>
          <w:rFonts w:hint="cs"/>
          <w:rtl/>
        </w:rPr>
        <w:t>ى</w:t>
      </w:r>
      <w:r>
        <w:rPr>
          <w:rtl/>
        </w:rPr>
        <w:t xml:space="preserve"> الوطني</w:t>
      </w:r>
      <w:r w:rsidRPr="00C32968">
        <w:rPr>
          <w:rtl/>
        </w:rPr>
        <w:t>.</w:t>
      </w:r>
    </w:p>
    <w:p w:rsidR="0044570B" w:rsidRPr="00023979" w:rsidRDefault="0044570B" w:rsidP="00023979">
      <w:pPr>
        <w:numPr>
          <w:ilvl w:val="0"/>
          <w:numId w:val="3"/>
        </w:numPr>
        <w:ind w:left="0" w:firstLine="0"/>
        <w:jc w:val="lowKashida"/>
        <w:rPr>
          <w:rtl/>
        </w:rPr>
      </w:pPr>
      <w:r w:rsidRPr="00C32968">
        <w:rPr>
          <w:i/>
          <w:iCs/>
          <w:rtl/>
        </w:rPr>
        <w:t>توفر تحليلات السيناريو</w:t>
      </w:r>
      <w:r>
        <w:rPr>
          <w:rFonts w:hint="cs"/>
          <w:i/>
          <w:iCs/>
          <w:rtl/>
        </w:rPr>
        <w:t>هات</w:t>
      </w:r>
      <w:r w:rsidRPr="00C32968">
        <w:rPr>
          <w:i/>
          <w:iCs/>
          <w:rtl/>
        </w:rPr>
        <w:t xml:space="preserve"> الملائمة للظروف الإقليمية والوطنية أو المحلية معلومات للإدراج في التخطيط الاستراتيجي لحفظ التنوع البيولوجي واستخدامه المستدام.</w:t>
      </w:r>
      <w:r w:rsidRPr="00C32968">
        <w:rPr>
          <w:rtl/>
        </w:rPr>
        <w:t xml:space="preserve"> ولذا فإن في</w:t>
      </w:r>
      <w:r>
        <w:rPr>
          <w:rFonts w:hint="cs"/>
          <w:rtl/>
        </w:rPr>
        <w:t xml:space="preserve"> </w:t>
      </w:r>
      <w:r w:rsidRPr="00C32968">
        <w:rPr>
          <w:rtl/>
        </w:rPr>
        <w:t xml:space="preserve">إمكانها أن </w:t>
      </w:r>
      <w:r>
        <w:rPr>
          <w:rFonts w:hint="cs"/>
          <w:rtl/>
        </w:rPr>
        <w:t>ت</w:t>
      </w:r>
      <w:r w:rsidRPr="00C32968">
        <w:rPr>
          <w:rtl/>
        </w:rPr>
        <w:t xml:space="preserve">دعم بصورة مباشرة وضع الاستراتيجيات وخطط العمل </w:t>
      </w:r>
      <w:r>
        <w:rPr>
          <w:rFonts w:hint="cs"/>
          <w:rtl/>
        </w:rPr>
        <w:t>الوطنية ل</w:t>
      </w:r>
      <w:r w:rsidRPr="00C32968">
        <w:rPr>
          <w:rtl/>
        </w:rPr>
        <w:t>لتنوع البيولوجي. وعلاوة على ذلك</w:t>
      </w:r>
      <w:r>
        <w:rPr>
          <w:rFonts w:hint="cs"/>
          <w:rtl/>
        </w:rPr>
        <w:t>،</w:t>
      </w:r>
      <w:r w:rsidRPr="00C32968">
        <w:rPr>
          <w:rtl/>
        </w:rPr>
        <w:t xml:space="preserve"> فإن إدراج النُهج التشاركية في تحليل السيناريو يمثل أداة قيمة في بناء القدرة على اتخاذ القرار، الذي يركز على </w:t>
      </w:r>
      <w:r w:rsidRPr="00C32968">
        <w:rPr>
          <w:rFonts w:hint="cs"/>
          <w:rtl/>
        </w:rPr>
        <w:t>حفظ</w:t>
      </w:r>
      <w:r w:rsidRPr="00C32968">
        <w:rPr>
          <w:rtl/>
        </w:rPr>
        <w:t xml:space="preserve"> التنوع البيولوجي</w:t>
      </w:r>
      <w:r w:rsidRPr="00C32968">
        <w:rPr>
          <w:rFonts w:hint="cs"/>
          <w:rtl/>
        </w:rPr>
        <w:t xml:space="preserve"> واستخدامه المستدام</w:t>
      </w:r>
      <w:r w:rsidRPr="00C32968">
        <w:rPr>
          <w:rtl/>
        </w:rPr>
        <w:t xml:space="preserve">. ويمكنها أن </w:t>
      </w:r>
      <w:r>
        <w:rPr>
          <w:rFonts w:hint="cs"/>
          <w:rtl/>
        </w:rPr>
        <w:t>ت</w:t>
      </w:r>
      <w:r w:rsidRPr="00C32968">
        <w:rPr>
          <w:rtl/>
        </w:rPr>
        <w:t>حقق ذلك من خلال تمكين أصحاب المصلحة من الاعتراف بالصلات بين التنوع البيولوجي والقطاعات الأخرى</w:t>
      </w:r>
      <w:r>
        <w:rPr>
          <w:rFonts w:hint="cs"/>
          <w:rtl/>
        </w:rPr>
        <w:t>،</w:t>
      </w:r>
      <w:r w:rsidRPr="00C32968">
        <w:rPr>
          <w:rtl/>
        </w:rPr>
        <w:t xml:space="preserve"> وكيف يمكن أن يؤدي تعزيز المنافع إلى زيادة رفاه البشر.</w:t>
      </w:r>
      <w:r w:rsidRPr="00023979">
        <w:rPr>
          <w:b/>
          <w:bCs/>
          <w:sz w:val="24"/>
          <w:rtl/>
        </w:rPr>
        <w:br w:type="page"/>
      </w:r>
    </w:p>
    <w:p w:rsidR="0044570B" w:rsidRPr="00AD5D6F" w:rsidRDefault="0044570B" w:rsidP="00B55747">
      <w:pPr>
        <w:pStyle w:val="Heading2"/>
        <w:ind w:left="2700" w:right="1440" w:hanging="1440"/>
        <w:jc w:val="left"/>
      </w:pPr>
      <w:bookmarkStart w:id="6" w:name="_Toc6071545"/>
      <w:bookmarkStart w:id="7" w:name="_Toc6139964"/>
      <w:r w:rsidRPr="00B9561A">
        <w:rPr>
          <w:rFonts w:hint="cs"/>
          <w:rtl/>
        </w:rPr>
        <w:lastRenderedPageBreak/>
        <w:t>المقرر 14/3</w:t>
      </w:r>
      <w:r w:rsidRPr="00B9561A">
        <w:rPr>
          <w:rFonts w:hint="cs"/>
          <w:rtl/>
        </w:rPr>
        <w:tab/>
      </w:r>
      <w:r w:rsidRPr="00B9561A">
        <w:rPr>
          <w:rtl/>
        </w:rPr>
        <w:t>تعميم التنوع البيولوجي في قطاعات الطاقة والتعدين، والبنية التحتية، والصناعات التحويلية والت</w:t>
      </w:r>
      <w:r w:rsidRPr="00B9561A">
        <w:rPr>
          <w:rFonts w:hint="cs"/>
          <w:rtl/>
        </w:rPr>
        <w:t>جهيز</w:t>
      </w:r>
      <w:bookmarkEnd w:id="6"/>
      <w:bookmarkEnd w:id="7"/>
    </w:p>
    <w:p w:rsidR="0044570B" w:rsidRPr="00366E36" w:rsidRDefault="0044570B" w:rsidP="0044570B">
      <w:pPr>
        <w:ind w:firstLine="720"/>
        <w:rPr>
          <w:rFonts w:ascii="Simplified Arabic" w:eastAsiaTheme="minorHAnsi" w:hAnsi="Simplified Arabic"/>
          <w:i/>
          <w:iCs/>
          <w:sz w:val="24"/>
          <w:lang w:val="fr-CA"/>
        </w:rPr>
      </w:pPr>
      <w:r w:rsidRPr="00B9561A">
        <w:rPr>
          <w:rFonts w:ascii="Simplified Arabic" w:eastAsiaTheme="minorHAnsi" w:hAnsi="Simplified Arabic"/>
          <w:i/>
          <w:iCs/>
          <w:sz w:val="24"/>
          <w:rtl/>
        </w:rPr>
        <w:t>إن مؤتمر الأطراف،</w:t>
      </w:r>
    </w:p>
    <w:p w:rsidR="0044570B" w:rsidRPr="00366E36" w:rsidRDefault="0044570B" w:rsidP="0044570B">
      <w:pPr>
        <w:ind w:firstLine="720"/>
        <w:rPr>
          <w:rFonts w:ascii="Simplified Arabic" w:eastAsiaTheme="minorHAnsi" w:hAnsi="Simplified Arabic"/>
          <w:sz w:val="24"/>
          <w:lang w:val="fr-CA"/>
        </w:rPr>
      </w:pPr>
      <w:r w:rsidRPr="00B9561A">
        <w:rPr>
          <w:rFonts w:ascii="Simplified Arabic" w:eastAsiaTheme="minorHAnsi" w:hAnsi="Simplified Arabic"/>
          <w:i/>
          <w:iCs/>
          <w:sz w:val="24"/>
          <w:rtl/>
        </w:rPr>
        <w:t>إذ يشير</w:t>
      </w:r>
      <w:r w:rsidRPr="00B9561A">
        <w:rPr>
          <w:rFonts w:ascii="Simplified Arabic" w:eastAsiaTheme="minorHAnsi" w:hAnsi="Simplified Arabic"/>
          <w:sz w:val="24"/>
          <w:rtl/>
        </w:rPr>
        <w:t xml:space="preserve"> إلى المقرر </w:t>
      </w:r>
      <w:r w:rsidRPr="00AD5D6F">
        <w:rPr>
          <w:rFonts w:ascii="Simplified Arabic" w:eastAsiaTheme="minorHAnsi" w:hAnsi="Simplified Arabic"/>
          <w:sz w:val="24"/>
          <w:rtl/>
        </w:rPr>
        <w:t>13/3</w:t>
      </w:r>
      <w:r w:rsidRPr="00B9561A">
        <w:rPr>
          <w:rFonts w:ascii="Simplified Arabic" w:eastAsiaTheme="minorHAnsi" w:hAnsi="Simplified Arabic"/>
          <w:sz w:val="24"/>
          <w:rtl/>
        </w:rPr>
        <w:t>، الذي نظر فيه في تعميم التنوع البيولوجي في قطاعات الزراعة، والحراجة، ومصايد الأسماك والسياحة، فضلا عن المسائل الشاملة، والذي قرر فيه أن يتناول، في اجتماعه الرابع عشر، تعميم التنوع البيولوجي في قطاعات الطاقة والتعدين، والبنية التحتية، والصناعات التحويلية والتجهيز، والصحة،</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i/>
          <w:iCs/>
          <w:sz w:val="24"/>
          <w:rtl/>
        </w:rPr>
        <w:t>وإذ يشير أيضا</w:t>
      </w:r>
      <w:r w:rsidRPr="00B9561A">
        <w:rPr>
          <w:rFonts w:ascii="Simplified Arabic" w:eastAsiaTheme="minorHAnsi" w:hAnsi="Simplified Arabic"/>
          <w:sz w:val="24"/>
          <w:rtl/>
        </w:rPr>
        <w:t xml:space="preserve"> إلى إعلان كانكون بشأن تعميم حفظ التنوع البيولوجي واستخدامه المستدام من أجل الرفاه، الذي اعتُمد خلال الجزء الرفيع المستوى</w:t>
      </w:r>
      <w:r w:rsidRPr="00B9561A">
        <w:rPr>
          <w:rFonts w:ascii="Simplified Arabic" w:eastAsiaTheme="minorHAnsi" w:hAnsi="Simplified Arabic" w:hint="cs"/>
          <w:sz w:val="24"/>
          <w:rtl/>
        </w:rPr>
        <w:t xml:space="preserve"> للاجتماع الثالث عشر المعقود في </w:t>
      </w:r>
      <w:r w:rsidRPr="00B9561A">
        <w:rPr>
          <w:rFonts w:ascii="Simplified Arabic" w:eastAsiaTheme="minorHAnsi" w:hAnsi="Simplified Arabic"/>
          <w:sz w:val="24"/>
          <w:rtl/>
        </w:rPr>
        <w:t>كانكون، المكسيك، في 3 ديسمبر/كانون الأول 2016،</w:t>
      </w:r>
      <w:r w:rsidRPr="00B9561A">
        <w:rPr>
          <w:rStyle w:val="FootnoteReference"/>
          <w:rFonts w:ascii="Simplified Arabic" w:eastAsiaTheme="minorHAnsi" w:hAnsi="Simplified Arabic"/>
          <w:sz w:val="24"/>
          <w:rtl/>
        </w:rPr>
        <w:footnoteReference w:id="23"/>
      </w:r>
      <w:r w:rsidRPr="00B9561A">
        <w:rPr>
          <w:rFonts w:ascii="Simplified Arabic" w:eastAsiaTheme="minorHAnsi" w:hAnsi="Simplified Arabic"/>
          <w:sz w:val="24"/>
          <w:rtl/>
        </w:rPr>
        <w:t xml:space="preserve"> فضلا عن إعلان شرم الشيخ، المعتمد خلال الجزء رفيع المستوى</w:t>
      </w:r>
      <w:r w:rsidRPr="00B9561A">
        <w:rPr>
          <w:rFonts w:ascii="Simplified Arabic" w:eastAsiaTheme="minorHAnsi" w:hAnsi="Simplified Arabic" w:hint="cs"/>
          <w:sz w:val="24"/>
          <w:rtl/>
        </w:rPr>
        <w:t xml:space="preserve"> للاجتماع الرابع عشر المعقود</w:t>
      </w:r>
      <w:r w:rsidRPr="00B9561A">
        <w:rPr>
          <w:rFonts w:ascii="Simplified Arabic" w:eastAsiaTheme="minorHAnsi" w:hAnsi="Simplified Arabic"/>
          <w:sz w:val="24"/>
          <w:rtl/>
        </w:rPr>
        <w:t xml:space="preserve"> في شرم الشيخ</w:t>
      </w:r>
      <w:r w:rsidRPr="00B9561A">
        <w:rPr>
          <w:rFonts w:ascii="Simplified Arabic" w:eastAsiaTheme="minorHAnsi" w:hAnsi="Simplified Arabic" w:hint="cs"/>
          <w:sz w:val="24"/>
          <w:rtl/>
        </w:rPr>
        <w:t>، مصر،</w:t>
      </w:r>
      <w:r w:rsidRPr="00B9561A">
        <w:rPr>
          <w:rFonts w:ascii="Simplified Arabic" w:eastAsiaTheme="minorHAnsi" w:hAnsi="Simplified Arabic"/>
          <w:sz w:val="24"/>
          <w:rtl/>
        </w:rPr>
        <w:t xml:space="preserve"> في 15 نوفمبر/تشرين الثاني 2018؛</w:t>
      </w:r>
      <w:r w:rsidRPr="00B9561A">
        <w:rPr>
          <w:rStyle w:val="FootnoteReference"/>
          <w:rFonts w:ascii="Simplified Arabic" w:eastAsiaTheme="minorHAnsi" w:hAnsi="Simplified Arabic"/>
          <w:sz w:val="24"/>
          <w:rtl/>
        </w:rPr>
        <w:footnoteReference w:id="24"/>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يشير كذلك</w:t>
      </w:r>
      <w:r w:rsidRPr="00B9561A">
        <w:rPr>
          <w:rFonts w:ascii="Simplified Arabic" w:eastAsiaTheme="minorHAnsi" w:hAnsi="Simplified Arabic"/>
          <w:sz w:val="24"/>
          <w:rtl/>
        </w:rPr>
        <w:t xml:space="preserve"> إلى المقرر 8/28 بشأن المبادئ التوجيهية الطوعية لتقييم الأثر الشامل للتنوع البيولوجي،</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يدرك</w:t>
      </w:r>
      <w:r w:rsidRPr="00B9561A">
        <w:rPr>
          <w:rFonts w:ascii="Simplified Arabic" w:eastAsiaTheme="minorHAnsi" w:hAnsi="Simplified Arabic"/>
          <w:sz w:val="24"/>
          <w:rtl/>
        </w:rPr>
        <w:t xml:space="preserve"> أن قطاعات الطاقة والتعدين، والبنية التحتية، والصناعات التحويلية والتجهيز، من ناحية، تعتمد على التنوع البيولوجي و</w:t>
      </w:r>
      <w:r>
        <w:rPr>
          <w:rFonts w:ascii="Simplified Arabic" w:eastAsiaTheme="minorHAnsi" w:hAnsi="Simplified Arabic" w:hint="cs"/>
          <w:sz w:val="24"/>
          <w:rtl/>
        </w:rPr>
        <w:t>وظائف و</w:t>
      </w:r>
      <w:r w:rsidRPr="00B9561A">
        <w:rPr>
          <w:rFonts w:ascii="Simplified Arabic" w:eastAsiaTheme="minorHAnsi" w:hAnsi="Simplified Arabic"/>
          <w:sz w:val="24"/>
          <w:rtl/>
        </w:rPr>
        <w:t>خدمات النظم الإيكولوجية التي يدعمها التنوع البيولوجي</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وأن فقدان التنوع البيولوجي يمكن أن يؤثر سلبا على هذه القطاعات، ومن الناحية الأخرى، أن هذه القطاعات لها آثار محتملة على التنوع البيولوجي يمكن أن تهدد توفير وظائف وخدمات النظم الإيكولوجية التي تعتبر حيوية للإنسانية</w:t>
      </w:r>
      <w:r w:rsidRPr="00B9561A">
        <w:rPr>
          <w:rFonts w:ascii="Simplified Arabic" w:eastAsiaTheme="minorHAnsi" w:hAnsi="Simplified Arabic" w:hint="cs"/>
          <w:sz w:val="24"/>
          <w:rtl/>
        </w:rPr>
        <w:t xml:space="preserve"> والحياة على كوكب الأرض</w:t>
      </w:r>
      <w:r w:rsidRPr="00B9561A">
        <w:rPr>
          <w:rFonts w:ascii="Simplified Arabic" w:eastAsiaTheme="minorHAnsi" w:hAnsi="Simplified Arabic"/>
          <w:sz w:val="24"/>
          <w:rtl/>
        </w:rPr>
        <w:t>،</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يشدد</w:t>
      </w:r>
      <w:r w:rsidRPr="00B9561A">
        <w:rPr>
          <w:rFonts w:ascii="Simplified Arabic" w:eastAsiaTheme="minorHAnsi" w:hAnsi="Simplified Arabic"/>
          <w:sz w:val="24"/>
          <w:rtl/>
        </w:rPr>
        <w:t xml:space="preserve"> على أن تعميم التنوع البيولوجي في قطاعات الطاقة والتعدين، والبنية التحتية، والصناعات التحويلية والتجهيز</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أمر ضروري لوقف فقدان التنوع البيولوجي و</w:t>
      </w:r>
      <w:r w:rsidRPr="00B9561A">
        <w:rPr>
          <w:rFonts w:ascii="Simplified Arabic" w:eastAsiaTheme="minorHAnsi" w:hAnsi="Simplified Arabic" w:hint="cs"/>
          <w:sz w:val="24"/>
          <w:rtl/>
        </w:rPr>
        <w:t>ل</w:t>
      </w:r>
      <w:r w:rsidRPr="00B9561A">
        <w:rPr>
          <w:rFonts w:ascii="Simplified Arabic" w:eastAsiaTheme="minorHAnsi" w:hAnsi="Simplified Arabic"/>
          <w:sz w:val="24"/>
          <w:rtl/>
        </w:rPr>
        <w:t>تحقيق الخطة الاستراتيجية للتنوع البيولوجي 2011-2020</w:t>
      </w:r>
      <w:r w:rsidRPr="00B9561A">
        <w:rPr>
          <w:rStyle w:val="FootnoteReference"/>
          <w:rFonts w:ascii="Simplified Arabic" w:eastAsiaTheme="minorHAnsi" w:hAnsi="Simplified Arabic"/>
          <w:sz w:val="24"/>
          <w:rtl/>
        </w:rPr>
        <w:footnoteReference w:id="25"/>
      </w:r>
      <w:r w:rsidRPr="00B9561A">
        <w:rPr>
          <w:rFonts w:ascii="Simplified Arabic" w:eastAsiaTheme="minorHAnsi" w:hAnsi="Simplified Arabic"/>
          <w:sz w:val="24"/>
          <w:rtl/>
        </w:rPr>
        <w:t xml:space="preserve"> وأهداف وغايات مختلف الاتفاقات المتعددة الأطراف والعمليات الدولية، بما في ذلك خطة التنمية المستدامة لعام 2030،</w:t>
      </w:r>
      <w:bookmarkStart w:id="8" w:name="وأهداف"/>
      <w:r w:rsidRPr="00B9561A">
        <w:rPr>
          <w:rStyle w:val="FootnoteReference"/>
          <w:rFonts w:ascii="Simplified Arabic" w:eastAsiaTheme="minorHAnsi" w:hAnsi="Simplified Arabic"/>
          <w:sz w:val="24"/>
          <w:rtl/>
        </w:rPr>
        <w:footnoteReference w:id="26"/>
      </w:r>
      <w:bookmarkEnd w:id="8"/>
      <w:r w:rsidRPr="00B9561A">
        <w:rPr>
          <w:rFonts w:ascii="Simplified Arabic" w:eastAsiaTheme="minorHAnsi" w:hAnsi="Simplified Arabic"/>
          <w:sz w:val="24"/>
          <w:rtl/>
        </w:rPr>
        <w:t xml:space="preserve"> وأهداف التنمية المستدامة،</w:t>
      </w:r>
      <w:r w:rsidRPr="00B9561A">
        <w:rPr>
          <w:rFonts w:ascii="Simplified Arabic" w:eastAsiaTheme="minorHAnsi" w:hAnsi="Simplified Arabic" w:hint="cs"/>
          <w:sz w:val="24"/>
          <w:rtl/>
        </w:rPr>
        <w:t xml:space="preserve"> واتفاق باريس،</w:t>
      </w:r>
      <w:r w:rsidRPr="00B9561A">
        <w:rPr>
          <w:rStyle w:val="FootnoteReference"/>
          <w:rFonts w:ascii="Simplified Arabic" w:eastAsiaTheme="minorHAnsi" w:hAnsi="Simplified Arabic"/>
          <w:sz w:val="24"/>
          <w:rtl/>
        </w:rPr>
        <w:footnoteReference w:id="27"/>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يشدد</w:t>
      </w:r>
      <w:r w:rsidRPr="00B9561A">
        <w:rPr>
          <w:rFonts w:ascii="Simplified Arabic" w:eastAsiaTheme="minorHAnsi" w:hAnsi="Simplified Arabic"/>
          <w:sz w:val="24"/>
          <w:rtl/>
        </w:rPr>
        <w:t xml:space="preserve"> على الدور الهام لقطاع الأعمال والقطاع المالي، والشعوب الأصلية والمجتمعات المحلية، والمجتمع المدني، والحكومات المحلية ودون الوطنية، والأوساط الأكاديمية، فضلا عن النساء والشباب وأصحاب المصلحة الآخرين المعنيين، في تعزيز وتنفيذ تعميم التنوع البيولوجي،</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يدرك</w:t>
      </w:r>
      <w:r w:rsidRPr="00B9561A">
        <w:rPr>
          <w:rFonts w:ascii="Simplified Arabic" w:eastAsiaTheme="minorHAnsi" w:hAnsi="Simplified Arabic"/>
          <w:sz w:val="24"/>
          <w:rtl/>
        </w:rPr>
        <w:t xml:space="preserve"> عمل مختلف المنظمات الدولية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w:t>
      </w:r>
      <w:r w:rsidRPr="00B9561A">
        <w:rPr>
          <w:rFonts w:ascii="Simplified Arabic" w:eastAsiaTheme="minorHAnsi" w:hAnsi="Simplified Arabic" w:hint="cs"/>
          <w:sz w:val="24"/>
          <w:rtl/>
        </w:rPr>
        <w:t>منظم</w:t>
      </w:r>
      <w:r w:rsidRPr="00B9561A">
        <w:rPr>
          <w:rFonts w:ascii="Simplified Arabic" w:eastAsiaTheme="minorHAnsi" w:hAnsi="Simplified Arabic"/>
          <w:sz w:val="24"/>
          <w:rtl/>
        </w:rPr>
        <w:t xml:space="preserve">ات الشريكة </w:t>
      </w:r>
      <w:r w:rsidRPr="00B9561A">
        <w:rPr>
          <w:rFonts w:ascii="Simplified Arabic" w:eastAsiaTheme="minorHAnsi" w:hAnsi="Simplified Arabic" w:hint="cs"/>
          <w:sz w:val="24"/>
          <w:rtl/>
        </w:rPr>
        <w:t xml:space="preserve">والمبادرات </w:t>
      </w:r>
      <w:r w:rsidRPr="00B9561A">
        <w:rPr>
          <w:rFonts w:ascii="Simplified Arabic" w:eastAsiaTheme="minorHAnsi" w:hAnsi="Simplified Arabic"/>
          <w:sz w:val="24"/>
          <w:rtl/>
        </w:rPr>
        <w:t>ذات الصلة الرامية إلى تعزيز ممارسات الشركات المتعلقة بالتنوع البيولوجي، مثل تلك الخاصة ببرنامج الأمم المتحدة للبيئة، وشبكة كوكب واحد، والميثاق العالمي للأمم المتحدة، وشعبة الإحصاءات بالأمم المتحدة، واتفاقية الأنواع المهاجرة وفرقة المهام المتعددة أصحاب المصلحة والمعنية بالطاقة التابعة لها،</w:t>
      </w:r>
      <w:r w:rsidRPr="00B9561A">
        <w:rPr>
          <w:rFonts w:ascii="Simplified Arabic" w:eastAsiaTheme="minorHAnsi" w:hAnsi="Simplified Arabic" w:hint="cs"/>
          <w:sz w:val="24"/>
          <w:rtl/>
        </w:rPr>
        <w:t xml:space="preserve"> و</w:t>
      </w:r>
      <w:r w:rsidRPr="00B9561A">
        <w:rPr>
          <w:rFonts w:hint="cs"/>
          <w:sz w:val="24"/>
          <w:rtl/>
        </w:rPr>
        <w:t>مؤتمر الأمم المتحدة للتجارة والتنمية ومبادرته المعنية بالتجارة البيولوجية،</w:t>
      </w:r>
      <w:r w:rsidRPr="00B9561A">
        <w:rPr>
          <w:rFonts w:ascii="Simplified Arabic" w:eastAsiaTheme="minorHAnsi" w:hAnsi="Simplified Arabic"/>
          <w:sz w:val="24"/>
          <w:rtl/>
        </w:rPr>
        <w:t xml:space="preserve"> والاتحاد الدولي لحفظ الطبيعة، والمجلس الدولي للإبلاغ المتكامل، ومعهد كامبريدج لاستدامة القيادة، وتحالف رأس المال الطبيعي والفريق العامل التابع له المعني بالتنوع البيولوجي، ومبادرة الإبلاغ العالمية، ضمن غيرها،</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lastRenderedPageBreak/>
        <w:t>وإذ يحيط علما</w:t>
      </w:r>
      <w:r w:rsidRPr="00B9561A">
        <w:rPr>
          <w:rFonts w:ascii="Simplified Arabic" w:eastAsiaTheme="minorHAnsi" w:hAnsi="Simplified Arabic"/>
          <w:sz w:val="24"/>
          <w:rtl/>
        </w:rPr>
        <w:t xml:space="preserve"> بتقرير </w:t>
      </w:r>
      <w:r w:rsidRPr="00B9561A">
        <w:rPr>
          <w:rFonts w:ascii="Simplified Arabic" w:eastAsiaTheme="minorHAnsi" w:hAnsi="Simplified Arabic"/>
          <w:i/>
          <w:iCs/>
          <w:sz w:val="24"/>
          <w:rtl/>
        </w:rPr>
        <w:t>توقعات المدن والتنوع البيولوجي</w:t>
      </w:r>
      <w:r w:rsidRPr="00B9561A">
        <w:rPr>
          <w:rStyle w:val="FootnoteReference"/>
          <w:rFonts w:ascii="Simplified Arabic" w:eastAsiaTheme="minorHAnsi" w:hAnsi="Simplified Arabic"/>
          <w:i/>
          <w:iCs/>
          <w:sz w:val="24"/>
          <w:rtl/>
        </w:rPr>
        <w:footnoteReference w:id="28"/>
      </w:r>
      <w:r w:rsidRPr="00B9561A">
        <w:rPr>
          <w:rFonts w:ascii="Simplified Arabic" w:eastAsiaTheme="minorHAnsi" w:hAnsi="Simplified Arabic"/>
          <w:sz w:val="24"/>
          <w:rtl/>
        </w:rPr>
        <w:t xml:space="preserve"> وإعلان كيتو بشأن المدن المستدامة والمستوطنات للجميع</w:t>
      </w:r>
      <w:r w:rsidRPr="00B9561A">
        <w:rPr>
          <w:rStyle w:val="FootnoteReference"/>
          <w:rFonts w:ascii="Simplified Arabic" w:eastAsiaTheme="minorHAnsi" w:hAnsi="Simplified Arabic"/>
          <w:sz w:val="24"/>
          <w:rtl/>
        </w:rPr>
        <w:footnoteReference w:id="29"/>
      </w:r>
      <w:r w:rsidRPr="00B9561A">
        <w:rPr>
          <w:rFonts w:ascii="Simplified Arabic" w:eastAsiaTheme="minorHAnsi" w:hAnsi="Simplified Arabic"/>
          <w:sz w:val="24"/>
          <w:rtl/>
        </w:rPr>
        <w:t xml:space="preserve"> وتقرير </w:t>
      </w:r>
      <w:r>
        <w:rPr>
          <w:rFonts w:ascii="Simplified Arabic" w:eastAsiaTheme="minorHAnsi" w:hAnsi="Simplified Arabic" w:hint="cs"/>
          <w:sz w:val="24"/>
          <w:rtl/>
        </w:rPr>
        <w:t>ال</w:t>
      </w:r>
      <w:r w:rsidRPr="00B9561A">
        <w:rPr>
          <w:rFonts w:ascii="Simplified Arabic" w:eastAsiaTheme="minorHAnsi" w:hAnsi="Simplified Arabic"/>
          <w:sz w:val="24"/>
          <w:rtl/>
        </w:rPr>
        <w:t>فريق ا</w:t>
      </w:r>
      <w:r>
        <w:rPr>
          <w:rFonts w:ascii="Simplified Arabic" w:eastAsiaTheme="minorHAnsi" w:hAnsi="Simplified Arabic" w:hint="cs"/>
          <w:sz w:val="24"/>
          <w:rtl/>
        </w:rPr>
        <w:t>لدولي المعني با</w:t>
      </w:r>
      <w:r w:rsidRPr="00B9561A">
        <w:rPr>
          <w:rFonts w:ascii="Simplified Arabic" w:eastAsiaTheme="minorHAnsi" w:hAnsi="Simplified Arabic"/>
          <w:sz w:val="24"/>
          <w:rtl/>
        </w:rPr>
        <w:t>لموارد،</w:t>
      </w:r>
      <w:r w:rsidRPr="00B9561A">
        <w:rPr>
          <w:rStyle w:val="FootnoteReference"/>
          <w:rFonts w:ascii="Simplified Arabic" w:eastAsiaTheme="minorHAnsi" w:hAnsi="Simplified Arabic"/>
          <w:sz w:val="24"/>
          <w:rtl/>
        </w:rPr>
        <w:footnoteReference w:id="30"/>
      </w:r>
      <w:r w:rsidRPr="00B9561A">
        <w:rPr>
          <w:rFonts w:ascii="Simplified Arabic" w:eastAsiaTheme="minorHAnsi" w:hAnsi="Simplified Arabic"/>
          <w:sz w:val="24"/>
          <w:rtl/>
        </w:rPr>
        <w:t xml:space="preserve"> ورسائلها الرئيسية بشأن الحاجة إلى تعميم التنوع البيولوجي على مستوى المدن،</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i/>
          <w:iCs/>
          <w:sz w:val="24"/>
          <w:rtl/>
        </w:rPr>
        <w:t>وإذ يدرك</w:t>
      </w:r>
      <w:r w:rsidRPr="00B9561A">
        <w:rPr>
          <w:rFonts w:ascii="Simplified Arabic" w:eastAsiaTheme="minorHAnsi" w:hAnsi="Simplified Arabic"/>
          <w:sz w:val="24"/>
          <w:rtl/>
        </w:rPr>
        <w:t xml:space="preserve"> أن التعميم أمر بالغ الأهمية لتحقيق أهداف الاتفاقية والخطة الاستراتيجية للتنوع البيولوجي 2011-2020 وأهداف أيشي للتنوع البيولوجي</w:t>
      </w:r>
      <w:r w:rsidRPr="00B9561A">
        <w:rPr>
          <w:rFonts w:ascii="Simplified Arabic" w:eastAsiaTheme="minorHAnsi" w:hAnsi="Simplified Arabic" w:hint="cs"/>
          <w:sz w:val="24"/>
          <w:rtl/>
        </w:rPr>
        <w:t xml:space="preserve"> الواردة فيها،</w:t>
      </w:r>
      <w:r w:rsidRPr="00B9561A">
        <w:rPr>
          <w:rFonts w:ascii="Simplified Arabic" w:eastAsiaTheme="minorHAnsi" w:hAnsi="Simplified Arabic"/>
          <w:sz w:val="24"/>
          <w:rtl/>
        </w:rPr>
        <w:t xml:space="preserve"> ورؤية عام 2050 للتنوع البيولوجي، وأنه ينبغي أن يكون أحد العناصر الرئيسية للإطار </w:t>
      </w:r>
      <w:r w:rsidRPr="00B9561A">
        <w:rPr>
          <w:rFonts w:ascii="Simplified Arabic" w:eastAsiaTheme="minorHAnsi" w:hAnsi="Simplified Arabic" w:hint="cs"/>
          <w:sz w:val="24"/>
          <w:rtl/>
        </w:rPr>
        <w:t>ال</w:t>
      </w:r>
      <w:r>
        <w:rPr>
          <w:rFonts w:ascii="Simplified Arabic" w:eastAsiaTheme="minorHAnsi" w:hAnsi="Simplified Arabic" w:hint="cs"/>
          <w:sz w:val="24"/>
          <w:rtl/>
        </w:rPr>
        <w:t>عالم</w:t>
      </w:r>
      <w:r w:rsidRPr="00B9561A">
        <w:rPr>
          <w:rFonts w:ascii="Simplified Arabic" w:eastAsiaTheme="minorHAnsi" w:hAnsi="Simplified Arabic" w:hint="cs"/>
          <w:sz w:val="24"/>
          <w:rtl/>
        </w:rPr>
        <w:t>ي</w:t>
      </w:r>
      <w:r w:rsidRPr="00B9561A">
        <w:rPr>
          <w:rFonts w:ascii="Simplified Arabic" w:eastAsiaTheme="minorHAnsi" w:hAnsi="Simplified Arabic"/>
          <w:sz w:val="24"/>
          <w:rtl/>
        </w:rPr>
        <w:t xml:space="preserve"> للتنوع البيولوجي لما بعد</w:t>
      </w:r>
      <w:r w:rsidRPr="00B9561A">
        <w:rPr>
          <w:rFonts w:ascii="Simplified Arabic" w:eastAsiaTheme="minorHAnsi" w:hAnsi="Simplified Arabic" w:hint="cs"/>
          <w:sz w:val="24"/>
          <w:rtl/>
        </w:rPr>
        <w:t xml:space="preserve"> عام</w:t>
      </w:r>
      <w:r w:rsidRPr="00B9561A">
        <w:rPr>
          <w:rFonts w:ascii="Simplified Arabic" w:eastAsiaTheme="minorHAnsi" w:hAnsi="Simplified Arabic"/>
          <w:sz w:val="24"/>
          <w:rtl/>
        </w:rPr>
        <w:t xml:space="preserve"> 2020 من أجل تحقيق التغيير التحولي المطلوب في المجتمع والاقتصادات، بما في ذلك التغييرات في السلوك وصنع القرار على جميع المستويات،</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يرحب</w:t>
      </w:r>
      <w:r w:rsidRPr="00B9561A">
        <w:rPr>
          <w:rFonts w:ascii="Simplified Arabic" w:eastAsiaTheme="minorHAnsi" w:hAnsi="Simplified Arabic"/>
          <w:sz w:val="24"/>
          <w:rtl/>
        </w:rPr>
        <w:t xml:space="preserve"> بتقرير حلقة عمل الخبراء الدولية المعنية بتعميم التنوع البيولوجي "المسار الذي نواجهه: التقدم المحرز في تعميم التنوع البيولوجي من أجل الرفاه"؛</w:t>
      </w:r>
      <w:r w:rsidRPr="00B9561A">
        <w:rPr>
          <w:rStyle w:val="FootnoteReference"/>
          <w:rFonts w:ascii="Simplified Arabic" w:eastAsiaTheme="minorHAnsi" w:hAnsi="Simplified Arabic"/>
          <w:sz w:val="24"/>
          <w:rtl/>
        </w:rPr>
        <w:footnoteReference w:id="31"/>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يرحب أيضا</w:t>
      </w:r>
      <w:r w:rsidRPr="00B9561A">
        <w:rPr>
          <w:rFonts w:ascii="Simplified Arabic" w:eastAsiaTheme="minorHAnsi" w:hAnsi="Simplified Arabic"/>
          <w:sz w:val="24"/>
          <w:rtl/>
        </w:rPr>
        <w:t xml:space="preserve"> بالموجز التنفيذي لتقرير حلقة عمل الخبراء الدولية المعنية بالتعميم في قطاعات الطاقة والتعدين والبنية التحتية والصناعات التحويلية والتجهيز؛</w:t>
      </w:r>
      <w:r w:rsidRPr="00B9561A">
        <w:rPr>
          <w:rStyle w:val="FootnoteReference"/>
          <w:rFonts w:ascii="Simplified Arabic" w:eastAsiaTheme="minorHAnsi" w:hAnsi="Simplified Arabic"/>
          <w:sz w:val="24"/>
          <w:rtl/>
        </w:rPr>
        <w:footnoteReference w:id="32"/>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 xml:space="preserve">يلاحظ </w:t>
      </w:r>
      <w:r w:rsidRPr="00B9561A">
        <w:rPr>
          <w:rFonts w:ascii="Simplified Arabic" w:eastAsiaTheme="minorHAnsi" w:hAnsi="Simplified Arabic"/>
          <w:sz w:val="24"/>
          <w:rtl/>
        </w:rPr>
        <w:t>أهمية استعراض فعالية ت</w:t>
      </w:r>
      <w:r w:rsidRPr="00B9561A">
        <w:rPr>
          <w:rFonts w:ascii="Simplified Arabic" w:eastAsiaTheme="minorHAnsi" w:hAnsi="Simplified Arabic" w:hint="cs"/>
          <w:sz w:val="24"/>
          <w:rtl/>
        </w:rPr>
        <w:t>ع</w:t>
      </w:r>
      <w:r w:rsidRPr="00B9561A">
        <w:rPr>
          <w:rFonts w:ascii="Simplified Arabic" w:eastAsiaTheme="minorHAnsi" w:hAnsi="Simplified Arabic"/>
          <w:sz w:val="24"/>
          <w:rtl/>
        </w:rPr>
        <w:t>ميم التنوع البيولوجي ومواجهة العقبات والتصدي للتحديات التي تواجهه، بما في ذلك، الحاجة إلى بناء القدرات، ونقل التكنولوجيا، و</w:t>
      </w:r>
      <w:r>
        <w:rPr>
          <w:rFonts w:ascii="Simplified Arabic" w:eastAsiaTheme="minorHAnsi" w:hAnsi="Simplified Arabic" w:hint="cs"/>
          <w:sz w:val="24"/>
          <w:rtl/>
        </w:rPr>
        <w:t>حشد</w:t>
      </w:r>
      <w:r w:rsidRPr="00B9561A">
        <w:rPr>
          <w:rFonts w:ascii="Simplified Arabic" w:eastAsiaTheme="minorHAnsi" w:hAnsi="Simplified Arabic"/>
          <w:sz w:val="24"/>
          <w:rtl/>
        </w:rPr>
        <w:t xml:space="preserve"> وتوفير الموارد المالية، بما في ذلك من خلال الآليات الثنائية والإقليمية والمتعددة الأطراف القائمة</w:t>
      </w:r>
      <w:r w:rsidRPr="00B9561A">
        <w:rPr>
          <w:rFonts w:ascii="Simplified Arabic" w:eastAsiaTheme="minorHAnsi" w:hAnsi="Simplified Arabic" w:hint="cs"/>
          <w:sz w:val="24"/>
          <w:rtl/>
        </w:rPr>
        <w:t>؛</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hint="cs"/>
          <w:i/>
          <w:iCs/>
          <w:sz w:val="24"/>
          <w:rtl/>
        </w:rPr>
        <w:t>يلاحظ</w:t>
      </w:r>
      <w:r w:rsidRPr="00B9561A">
        <w:rPr>
          <w:rFonts w:ascii="Simplified Arabic" w:eastAsiaTheme="minorHAnsi" w:hAnsi="Simplified Arabic" w:hint="cs"/>
          <w:sz w:val="24"/>
          <w:rtl/>
        </w:rPr>
        <w:t xml:space="preserve"> </w:t>
      </w:r>
      <w:r w:rsidRPr="00430011">
        <w:rPr>
          <w:rFonts w:ascii="Simplified Arabic" w:eastAsiaTheme="minorHAnsi" w:hAnsi="Simplified Arabic" w:hint="cs"/>
          <w:i/>
          <w:iCs/>
          <w:sz w:val="24"/>
          <w:rtl/>
        </w:rPr>
        <w:t>أيضا</w:t>
      </w:r>
      <w:r w:rsidRPr="00B9561A">
        <w:rPr>
          <w:rFonts w:ascii="Simplified Arabic" w:eastAsiaTheme="minorHAnsi" w:hAnsi="Simplified Arabic" w:hint="cs"/>
          <w:sz w:val="24"/>
          <w:rtl/>
        </w:rPr>
        <w:t xml:space="preserve"> أهمية تمكين مبادرات </w:t>
      </w:r>
      <w:r>
        <w:rPr>
          <w:rFonts w:ascii="Simplified Arabic" w:eastAsiaTheme="minorHAnsi" w:hAnsi="Simplified Arabic" w:hint="cs"/>
          <w:sz w:val="24"/>
          <w:rtl/>
        </w:rPr>
        <w:t>قطاع</w:t>
      </w:r>
      <w:r w:rsidRPr="00B9561A">
        <w:rPr>
          <w:rFonts w:ascii="Simplified Arabic" w:eastAsiaTheme="minorHAnsi" w:hAnsi="Simplified Arabic" w:hint="cs"/>
          <w:sz w:val="24"/>
          <w:rtl/>
        </w:rPr>
        <w:t xml:space="preserve"> الأعمال لدعم تعميم التنوع البيولوجي؛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يرحب</w:t>
      </w:r>
      <w:r w:rsidRPr="00B9561A">
        <w:rPr>
          <w:rFonts w:ascii="Simplified Arabic" w:eastAsiaTheme="minorHAnsi" w:hAnsi="Simplified Arabic"/>
          <w:sz w:val="24"/>
          <w:rtl/>
        </w:rPr>
        <w:t xml:space="preserve"> بالتصنيف المنقح لإجراءات الإبلاغ عن التنوع البيولوجي والإرشادات ذات الصلة التي أعدتها الأمينة التنفيذية؛</w:t>
      </w:r>
      <w:r w:rsidRPr="00B9561A">
        <w:rPr>
          <w:rStyle w:val="FootnoteReference"/>
          <w:rFonts w:ascii="Simplified Arabic" w:eastAsiaTheme="minorHAnsi" w:hAnsi="Simplified Arabic"/>
          <w:sz w:val="24"/>
          <w:rtl/>
        </w:rPr>
        <w:footnoteReference w:id="33"/>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يقر</w:t>
      </w:r>
      <w:r w:rsidRPr="00B9561A">
        <w:rPr>
          <w:rFonts w:ascii="Simplified Arabic" w:eastAsiaTheme="minorHAnsi" w:hAnsi="Simplified Arabic"/>
          <w:sz w:val="24"/>
          <w:rtl/>
        </w:rPr>
        <w:t xml:space="preserve"> بأنه في حين توجد سياسات وأدوات لمعالجة حفظ التنوع البيولوجي واستخدامه المستدام، لا تزال هناك فرص لتعميم التنوع البيولوجي في قطاعات الطاقة والتعدين، والبنية التحتية، والصناعات التحويلية والتجهيز، بما في ذلك فيما يتعلق بالتخطيط </w:t>
      </w:r>
      <w:r w:rsidRPr="00B9561A">
        <w:rPr>
          <w:rFonts w:ascii="Simplified Arabic" w:eastAsiaTheme="minorHAnsi" w:hAnsi="Simplified Arabic" w:hint="cs"/>
          <w:sz w:val="24"/>
          <w:rtl/>
        </w:rPr>
        <w:t>المكاني و</w:t>
      </w:r>
      <w:r w:rsidRPr="00B9561A">
        <w:rPr>
          <w:rFonts w:ascii="Simplified Arabic" w:eastAsiaTheme="minorHAnsi" w:hAnsi="Simplified Arabic"/>
          <w:sz w:val="24"/>
          <w:rtl/>
        </w:rPr>
        <w:t>الاستراتيجي</w:t>
      </w:r>
      <w:r w:rsidRPr="00B9561A">
        <w:rPr>
          <w:rFonts w:ascii="Simplified Arabic" w:eastAsiaTheme="minorHAnsi" w:hAnsi="Simplified Arabic" w:hint="cs"/>
          <w:sz w:val="24"/>
          <w:rtl/>
        </w:rPr>
        <w:t xml:space="preserve"> المتكامل، وتصميم المشاريع،</w:t>
      </w:r>
      <w:r w:rsidRPr="00B9561A">
        <w:rPr>
          <w:rFonts w:ascii="Simplified Arabic" w:eastAsiaTheme="minorHAnsi" w:hAnsi="Simplified Arabic"/>
          <w:sz w:val="24"/>
          <w:rtl/>
        </w:rPr>
        <w:t xml:space="preserve"> وصنع القرار والسياسات على نطاق الاقتصاد بأكمله والقطاعات بأكملها</w:t>
      </w:r>
      <w:r w:rsidRPr="00B9561A">
        <w:rPr>
          <w:rFonts w:ascii="Simplified Arabic" w:eastAsiaTheme="minorHAnsi" w:hAnsi="Simplified Arabic" w:hint="cs"/>
          <w:sz w:val="24"/>
          <w:rtl/>
        </w:rPr>
        <w:t xml:space="preserve">، </w:t>
      </w:r>
      <w:r w:rsidRPr="00B9561A">
        <w:rPr>
          <w:rFonts w:hint="cs"/>
          <w:sz w:val="24"/>
          <w:rtl/>
        </w:rPr>
        <w:t>بما في ذلك التدابير الحافزة وفقاً للهدف 3 من أهداف أيشي للتنوع البيولوجي؛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hint="cs"/>
          <w:i/>
          <w:iCs/>
          <w:sz w:val="24"/>
          <w:rtl/>
        </w:rPr>
        <w:t>يسلم</w:t>
      </w:r>
      <w:r w:rsidRPr="00B9561A">
        <w:rPr>
          <w:rFonts w:hint="cs"/>
          <w:sz w:val="24"/>
          <w:rtl/>
        </w:rPr>
        <w:t xml:space="preserve"> بالدور الحاسم الذي يمكن أن تلعبه </w:t>
      </w:r>
      <w:r>
        <w:rPr>
          <w:rFonts w:hint="cs"/>
          <w:sz w:val="24"/>
          <w:rtl/>
        </w:rPr>
        <w:t>مصارف</w:t>
      </w:r>
      <w:r w:rsidRPr="00B9561A">
        <w:rPr>
          <w:rFonts w:hint="cs"/>
          <w:sz w:val="24"/>
          <w:rtl/>
        </w:rPr>
        <w:t xml:space="preserve"> التنمية المتعددة الأطراف، وشركات التأمين، وقطاع الأعمال والمؤسسات المالية، وغيرها من مصادر الاستثمار المالي في تعميم الضمانات البيئية والاجتماعية وأفضل الممارسات لتفادي إلحاق ضرر لا يمكن إصلاحه بالتنوع البيولوجي وبنيته ال</w:t>
      </w:r>
      <w:r>
        <w:rPr>
          <w:rFonts w:hint="cs"/>
          <w:sz w:val="24"/>
          <w:rtl/>
        </w:rPr>
        <w:t>تحت</w:t>
      </w:r>
      <w:r w:rsidRPr="00B9561A">
        <w:rPr>
          <w:rFonts w:hint="cs"/>
          <w:sz w:val="24"/>
          <w:rtl/>
        </w:rPr>
        <w:t>ية الإيكولوجية؛</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يقر أيضا</w:t>
      </w:r>
      <w:r w:rsidRPr="00B9561A">
        <w:rPr>
          <w:rFonts w:ascii="Simplified Arabic" w:eastAsiaTheme="minorHAnsi" w:hAnsi="Simplified Arabic"/>
          <w:sz w:val="24"/>
          <w:rtl/>
        </w:rPr>
        <w:t xml:space="preserve"> بالفرص المتاحة للتطبيق الأوسع نطاقا لتقييمات </w:t>
      </w:r>
      <w:r>
        <w:rPr>
          <w:rFonts w:ascii="Simplified Arabic" w:eastAsiaTheme="minorHAnsi" w:hAnsi="Simplified Arabic"/>
          <w:sz w:val="24"/>
          <w:rtl/>
        </w:rPr>
        <w:t>الأثر الشامل للتنوع البيولوجي ودم</w:t>
      </w:r>
      <w:r w:rsidRPr="00B9561A">
        <w:rPr>
          <w:rFonts w:ascii="Simplified Arabic" w:eastAsiaTheme="minorHAnsi" w:hAnsi="Simplified Arabic"/>
          <w:sz w:val="24"/>
          <w:rtl/>
        </w:rPr>
        <w:t>ج اعتبارات التنوع البيولوجي في</w:t>
      </w:r>
      <w:r w:rsidRPr="00B9561A">
        <w:rPr>
          <w:rFonts w:ascii="Simplified Arabic" w:eastAsiaTheme="minorHAnsi" w:hAnsi="Simplified Arabic" w:hint="cs"/>
          <w:sz w:val="24"/>
          <w:rtl/>
        </w:rPr>
        <w:t xml:space="preserve"> دراسات الجدوى و</w:t>
      </w:r>
      <w:r w:rsidRPr="00B9561A">
        <w:rPr>
          <w:rFonts w:ascii="Simplified Arabic" w:eastAsiaTheme="minorHAnsi" w:hAnsi="Simplified Arabic"/>
          <w:sz w:val="24"/>
          <w:rtl/>
        </w:rPr>
        <w:t>تقييمات المخاطر والإبلاغ عن المخاطر، ولا سيما التقييم البيئي الاستراتيجي للسياسات والخطط والبرامج واستخدام التخطيط المكاني على المستويين الوطني والإقليمي</w:t>
      </w:r>
      <w:r w:rsidRPr="00B9561A">
        <w:rPr>
          <w:rFonts w:ascii="Simplified Arabic" w:eastAsiaTheme="minorHAnsi" w:hAnsi="Simplified Arabic" w:hint="cs"/>
          <w:sz w:val="24"/>
          <w:rtl/>
        </w:rPr>
        <w:t xml:space="preserve">، </w:t>
      </w:r>
      <w:r w:rsidRPr="00B9561A">
        <w:rPr>
          <w:rFonts w:hint="cs"/>
          <w:sz w:val="24"/>
          <w:rtl/>
        </w:rPr>
        <w:t xml:space="preserve">وكذلك تعديل الأطر التنظيمية </w:t>
      </w:r>
      <w:r>
        <w:rPr>
          <w:rFonts w:hint="cs"/>
          <w:sz w:val="24"/>
          <w:rtl/>
        </w:rPr>
        <w:t>ل</w:t>
      </w:r>
      <w:r w:rsidRPr="00B9561A">
        <w:rPr>
          <w:rFonts w:hint="cs"/>
          <w:sz w:val="24"/>
          <w:rtl/>
        </w:rPr>
        <w:t xml:space="preserve">لتشجيع </w:t>
      </w:r>
      <w:r>
        <w:rPr>
          <w:rFonts w:hint="cs"/>
          <w:sz w:val="24"/>
          <w:rtl/>
        </w:rPr>
        <w:t xml:space="preserve">على </w:t>
      </w:r>
      <w:r w:rsidRPr="00B9561A">
        <w:rPr>
          <w:rFonts w:hint="cs"/>
          <w:sz w:val="24"/>
          <w:rtl/>
        </w:rPr>
        <w:t>تقييم المخاطر المالية والإفصاح عنها من فقدان التنوع البيولوجي المرتبط بالمستثمرين والشركات؛</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يرحب</w:t>
      </w:r>
      <w:r w:rsidRPr="00B9561A">
        <w:rPr>
          <w:rFonts w:ascii="Simplified Arabic" w:eastAsiaTheme="minorHAnsi" w:hAnsi="Simplified Arabic"/>
          <w:sz w:val="24"/>
          <w:rtl/>
        </w:rPr>
        <w:t xml:space="preserve"> بقرار جمعية الأمم المتحدة للبيئة </w:t>
      </w:r>
      <w:hyperlink r:id="rId13" w:history="1">
        <w:r w:rsidRPr="00B9561A">
          <w:rPr>
            <w:rStyle w:val="Hyperlink"/>
            <w:rFonts w:ascii="Simplified Arabic" w:eastAsiaTheme="minorHAnsi" w:hAnsi="Simplified Arabic"/>
            <w:sz w:val="24"/>
            <w:rtl/>
          </w:rPr>
          <w:t>3/2</w:t>
        </w:r>
      </w:hyperlink>
      <w:r w:rsidRPr="00B9561A">
        <w:rPr>
          <w:rFonts w:ascii="Simplified Arabic" w:eastAsiaTheme="minorHAnsi" w:hAnsi="Simplified Arabic"/>
          <w:sz w:val="24"/>
          <w:rtl/>
        </w:rPr>
        <w:t xml:space="preserve"> بشأن </w:t>
      </w:r>
      <w:r>
        <w:rPr>
          <w:rFonts w:ascii="Simplified Arabic" w:eastAsiaTheme="minorHAnsi" w:hAnsi="Simplified Arabic" w:hint="cs"/>
          <w:sz w:val="24"/>
          <w:rtl/>
        </w:rPr>
        <w:t>تخفيف حدة</w:t>
      </w:r>
      <w:r w:rsidRPr="00B9561A">
        <w:rPr>
          <w:rFonts w:ascii="Simplified Arabic" w:eastAsiaTheme="minorHAnsi" w:hAnsi="Simplified Arabic"/>
          <w:sz w:val="24"/>
          <w:rtl/>
        </w:rPr>
        <w:t xml:space="preserve"> التلوث </w:t>
      </w:r>
      <w:r>
        <w:rPr>
          <w:rFonts w:ascii="Simplified Arabic" w:eastAsiaTheme="minorHAnsi" w:hAnsi="Simplified Arabic" w:hint="cs"/>
          <w:sz w:val="24"/>
          <w:rtl/>
        </w:rPr>
        <w:t>من خلال</w:t>
      </w:r>
      <w:r w:rsidRPr="00B9561A">
        <w:rPr>
          <w:rFonts w:ascii="Simplified Arabic" w:eastAsiaTheme="minorHAnsi" w:hAnsi="Simplified Arabic"/>
          <w:sz w:val="24"/>
          <w:rtl/>
        </w:rPr>
        <w:t xml:space="preserve"> تعميم </w:t>
      </w:r>
      <w:r>
        <w:rPr>
          <w:rFonts w:ascii="Simplified Arabic" w:eastAsiaTheme="minorHAnsi" w:hAnsi="Simplified Arabic" w:hint="cs"/>
          <w:sz w:val="24"/>
          <w:rtl/>
        </w:rPr>
        <w:t xml:space="preserve">مراعاة </w:t>
      </w:r>
      <w:r w:rsidRPr="00B9561A">
        <w:rPr>
          <w:rFonts w:ascii="Simplified Arabic" w:eastAsiaTheme="minorHAnsi" w:hAnsi="Simplified Arabic"/>
          <w:sz w:val="24"/>
          <w:rtl/>
        </w:rPr>
        <w:t>التنوع البيولوجي في القطاعات الرئيسية؛</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lastRenderedPageBreak/>
        <w:t xml:space="preserve">يرحب أيضا </w:t>
      </w:r>
      <w:r w:rsidRPr="00B9561A">
        <w:rPr>
          <w:rFonts w:ascii="Simplified Arabic" w:eastAsiaTheme="minorHAnsi" w:hAnsi="Simplified Arabic"/>
          <w:sz w:val="24"/>
          <w:rtl/>
        </w:rPr>
        <w:t>بالقرار الذي اتخذه مؤتمر منظم</w:t>
      </w:r>
      <w:r>
        <w:rPr>
          <w:rFonts w:ascii="Simplified Arabic" w:eastAsiaTheme="minorHAnsi" w:hAnsi="Simplified Arabic" w:hint="cs"/>
          <w:sz w:val="24"/>
          <w:rtl/>
        </w:rPr>
        <w:t>ة</w:t>
      </w:r>
      <w:r w:rsidRPr="00B9561A">
        <w:rPr>
          <w:rFonts w:ascii="Simplified Arabic" w:eastAsiaTheme="minorHAnsi" w:hAnsi="Simplified Arabic"/>
          <w:sz w:val="24"/>
          <w:rtl/>
        </w:rPr>
        <w:t xml:space="preserve"> الأغذية والزراعة للأمم المتحدة في عام 2017 والذي يفيد بأن تعمل منظمة الأغذية والزراعة كمنصة لتعميم التنوع البيولوجي في القطاعات الزراعية ونتائج حوار أصحاب المصلحة المتعددين بشأن تعميم التنوع البيولوجي عبر القطاعات الزراعية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ال</w:t>
      </w:r>
      <w:r>
        <w:rPr>
          <w:rFonts w:ascii="Simplified Arabic" w:eastAsiaTheme="minorHAnsi" w:hAnsi="Simplified Arabic" w:hint="cs"/>
          <w:sz w:val="24"/>
          <w:rtl/>
        </w:rPr>
        <w:t>ذ</w:t>
      </w:r>
      <w:r w:rsidRPr="00B9561A">
        <w:rPr>
          <w:rFonts w:ascii="Simplified Arabic" w:eastAsiaTheme="minorHAnsi" w:hAnsi="Simplified Arabic"/>
          <w:sz w:val="24"/>
          <w:rtl/>
        </w:rPr>
        <w:t>ي نظمته منظمة الأغذية والزراعة وأمانة اتفاقية التنوع البيولوجي من 29 إلى 31 مايو/أيار 2018؛</w:t>
      </w:r>
      <w:r w:rsidRPr="00B9561A">
        <w:rPr>
          <w:rStyle w:val="FootnoteReference"/>
          <w:rFonts w:ascii="Simplified Arabic" w:eastAsiaTheme="minorHAnsi" w:hAnsi="Simplified Arabic"/>
          <w:sz w:val="24"/>
          <w:rtl/>
        </w:rPr>
        <w:footnoteReference w:id="34"/>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يرحب</w:t>
      </w:r>
      <w:r w:rsidRPr="00B9561A">
        <w:rPr>
          <w:rFonts w:ascii="Simplified Arabic" w:eastAsiaTheme="minorHAnsi" w:hAnsi="Simplified Arabic"/>
          <w:sz w:val="24"/>
          <w:rtl/>
        </w:rPr>
        <w:t xml:space="preserve"> بقرارات </w:t>
      </w:r>
      <w:r w:rsidRPr="00B9561A">
        <w:rPr>
          <w:rFonts w:ascii="Simplified Arabic" w:eastAsiaTheme="minorHAnsi" w:hAnsi="Simplified Arabic" w:hint="cs"/>
          <w:sz w:val="24"/>
          <w:rtl/>
        </w:rPr>
        <w:t>الدورة</w:t>
      </w:r>
      <w:r w:rsidRPr="00B9561A">
        <w:rPr>
          <w:rFonts w:ascii="Simplified Arabic" w:eastAsiaTheme="minorHAnsi" w:hAnsi="Simplified Arabic"/>
          <w:sz w:val="24"/>
          <w:rtl/>
        </w:rPr>
        <w:t xml:space="preserve"> الثاني</w:t>
      </w:r>
      <w:r w:rsidRPr="00B9561A">
        <w:rPr>
          <w:rFonts w:ascii="Simplified Arabic" w:eastAsiaTheme="minorHAnsi" w:hAnsi="Simplified Arabic" w:hint="cs"/>
          <w:sz w:val="24"/>
          <w:rtl/>
        </w:rPr>
        <w:t>ة</w:t>
      </w:r>
      <w:r w:rsidRPr="00B9561A">
        <w:rPr>
          <w:rFonts w:ascii="Simplified Arabic" w:eastAsiaTheme="minorHAnsi" w:hAnsi="Simplified Arabic"/>
          <w:sz w:val="24"/>
          <w:rtl/>
        </w:rPr>
        <w:t xml:space="preserve"> عشر</w:t>
      </w:r>
      <w:r w:rsidRPr="00B9561A">
        <w:rPr>
          <w:rFonts w:ascii="Simplified Arabic" w:eastAsiaTheme="minorHAnsi" w:hAnsi="Simplified Arabic" w:hint="cs"/>
          <w:sz w:val="24"/>
          <w:rtl/>
        </w:rPr>
        <w:t>ة</w:t>
      </w:r>
      <w:r w:rsidRPr="00B9561A">
        <w:rPr>
          <w:rFonts w:ascii="Simplified Arabic" w:eastAsiaTheme="minorHAnsi" w:hAnsi="Simplified Arabic"/>
          <w:sz w:val="24"/>
          <w:rtl/>
        </w:rPr>
        <w:t xml:space="preserve"> ل</w:t>
      </w:r>
      <w:r w:rsidRPr="00B9561A">
        <w:rPr>
          <w:rFonts w:ascii="Simplified Arabic" w:eastAsiaTheme="minorHAnsi" w:hAnsi="Simplified Arabic" w:hint="cs"/>
          <w:sz w:val="24"/>
          <w:rtl/>
        </w:rPr>
        <w:t>مؤتمر ا</w:t>
      </w:r>
      <w:r w:rsidRPr="00B9561A">
        <w:rPr>
          <w:rFonts w:ascii="Simplified Arabic" w:eastAsiaTheme="minorHAnsi" w:hAnsi="Simplified Arabic"/>
          <w:sz w:val="24"/>
          <w:rtl/>
        </w:rPr>
        <w:t xml:space="preserve">لأطراف في </w:t>
      </w:r>
      <w:r w:rsidRPr="00B9561A">
        <w:rPr>
          <w:rFonts w:ascii="Simplified Arabic" w:eastAsiaTheme="minorHAnsi" w:hAnsi="Simplified Arabic" w:hint="cs"/>
          <w:sz w:val="24"/>
          <w:rtl/>
        </w:rPr>
        <w:t xml:space="preserve">اتفاقية </w:t>
      </w:r>
      <w:r w:rsidRPr="00B9561A">
        <w:rPr>
          <w:rFonts w:hint="cs"/>
          <w:sz w:val="24"/>
          <w:rtl/>
        </w:rPr>
        <w:t>الأنواع المهاجرة من الحيوانات الفطرية</w:t>
      </w:r>
      <w:r w:rsidRPr="00B9561A">
        <w:rPr>
          <w:rFonts w:ascii="Simplified Arabic" w:eastAsiaTheme="minorHAnsi" w:hAnsi="Simplified Arabic"/>
          <w:sz w:val="24"/>
          <w:rtl/>
        </w:rPr>
        <w:t xml:space="preserve"> التي تدعم تعميم التنوع البيولوجي في قطاع الطاقة،</w:t>
      </w:r>
      <w:r w:rsidRPr="00B9561A">
        <w:rPr>
          <w:rStyle w:val="FootnoteReference"/>
          <w:rFonts w:ascii="Simplified Arabic" w:eastAsiaTheme="minorHAnsi" w:hAnsi="Simplified Arabic"/>
          <w:sz w:val="24"/>
          <w:rtl/>
        </w:rPr>
        <w:footnoteReference w:id="35"/>
      </w:r>
      <w:r w:rsidRPr="00B9561A">
        <w:rPr>
          <w:rFonts w:ascii="Simplified Arabic" w:eastAsiaTheme="minorHAnsi" w:hAnsi="Simplified Arabic"/>
          <w:sz w:val="24"/>
          <w:rtl/>
        </w:rPr>
        <w:t xml:space="preserve"> ولاسيما في تطوير الطاقة المتجددة التي تراعي تقييمات الأثر البيئي ومعلومات الرصد الناجمة عنها، وتبادل المعلومات المقدمة من خلال عمليات التخطيط المكاني الأوسع نطاقا، </w:t>
      </w:r>
      <w:r w:rsidRPr="00B9561A">
        <w:rPr>
          <w:rFonts w:ascii="Simplified Arabic" w:eastAsiaTheme="minorHAnsi" w:hAnsi="Simplified Arabic"/>
          <w:i/>
          <w:iCs/>
          <w:sz w:val="24"/>
          <w:rtl/>
        </w:rPr>
        <w:t xml:space="preserve">ويرحب أيضا </w:t>
      </w:r>
      <w:r w:rsidRPr="00B9561A">
        <w:rPr>
          <w:rFonts w:ascii="Simplified Arabic" w:eastAsiaTheme="minorHAnsi" w:hAnsi="Simplified Arabic"/>
          <w:sz w:val="24"/>
          <w:rtl/>
        </w:rPr>
        <w:t>بالعمل الذي اضطلعت به اتفاقية الأنواع المهاجرة وفرقة المهام المتعددة أصحاب المصلحة والمعنية بالطاقة التابعة لها من أجل النهوض بالممارسات المراعية للتنوع البيولوجي في قطاع الطاقة؛</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يحث</w:t>
      </w:r>
      <w:r w:rsidRPr="00B9561A">
        <w:rPr>
          <w:rFonts w:ascii="Simplified Arabic" w:eastAsiaTheme="minorHAnsi" w:hAnsi="Simplified Arabic"/>
          <w:sz w:val="24"/>
          <w:rtl/>
        </w:rPr>
        <w:t xml:space="preserve"> الأطراف، </w:t>
      </w:r>
      <w:r w:rsidRPr="00B9561A">
        <w:rPr>
          <w:rFonts w:ascii="Simplified Arabic" w:eastAsiaTheme="minorHAnsi" w:hAnsi="Simplified Arabic"/>
          <w:i/>
          <w:iCs/>
          <w:sz w:val="24"/>
          <w:rtl/>
        </w:rPr>
        <w:t xml:space="preserve">ويدعو </w:t>
      </w:r>
      <w:r w:rsidRPr="00B9561A">
        <w:rPr>
          <w:rFonts w:ascii="Simplified Arabic" w:eastAsiaTheme="minorHAnsi" w:hAnsi="Simplified Arabic"/>
          <w:sz w:val="24"/>
          <w:rtl/>
        </w:rPr>
        <w:t>الحكومات الأخرى والشركاء وأصحاب المصلحة المعنيين إلى تنفيذ مقررات مؤتمر الأطراف السابقة ذات الصلة بتعميم التنوع البيولوجي؛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يشجع</w:t>
      </w:r>
      <w:r w:rsidRPr="00B9561A">
        <w:rPr>
          <w:rFonts w:ascii="Simplified Arabic" w:eastAsiaTheme="minorHAnsi" w:hAnsi="Simplified Arabic"/>
          <w:sz w:val="24"/>
          <w:rtl/>
        </w:rPr>
        <w:t xml:space="preserve"> الأطراف</w:t>
      </w:r>
      <w:r>
        <w:rPr>
          <w:rFonts w:ascii="Simplified Arabic" w:eastAsiaTheme="minorHAnsi" w:hAnsi="Simplified Arabic" w:hint="cs"/>
          <w:sz w:val="24"/>
          <w:rtl/>
        </w:rPr>
        <w:t>،</w:t>
      </w:r>
      <w:r w:rsidRPr="00B9561A">
        <w:rPr>
          <w:rFonts w:ascii="Simplified Arabic" w:eastAsiaTheme="minorHAnsi" w:hAnsi="Simplified Arabic"/>
          <w:sz w:val="24"/>
          <w:rtl/>
        </w:rPr>
        <w:t xml:space="preserve"> </w:t>
      </w:r>
      <w:r w:rsidRPr="00B9561A">
        <w:rPr>
          <w:rFonts w:ascii="Simplified Arabic" w:eastAsiaTheme="minorHAnsi" w:hAnsi="Simplified Arabic"/>
          <w:i/>
          <w:iCs/>
          <w:sz w:val="24"/>
          <w:rtl/>
        </w:rPr>
        <w:t>و</w:t>
      </w:r>
      <w:r w:rsidRPr="00B9561A">
        <w:rPr>
          <w:rFonts w:ascii="Simplified Arabic" w:eastAsiaTheme="minorHAnsi" w:hAnsi="Simplified Arabic" w:hint="cs"/>
          <w:i/>
          <w:iCs/>
          <w:sz w:val="24"/>
          <w:rtl/>
        </w:rPr>
        <w:t>يدعو</w:t>
      </w:r>
      <w:r w:rsidRPr="00B9561A">
        <w:rPr>
          <w:rFonts w:ascii="Simplified Arabic" w:eastAsiaTheme="minorHAnsi" w:hAnsi="Simplified Arabic" w:hint="cs"/>
          <w:sz w:val="24"/>
          <w:rtl/>
        </w:rPr>
        <w:t xml:space="preserve"> </w:t>
      </w:r>
      <w:r w:rsidRPr="00B9561A">
        <w:rPr>
          <w:rFonts w:ascii="Simplified Arabic" w:eastAsiaTheme="minorHAnsi" w:hAnsi="Simplified Arabic"/>
          <w:sz w:val="24"/>
          <w:rtl/>
        </w:rPr>
        <w:t>الحكومات الأخ</w:t>
      </w:r>
      <w:r>
        <w:rPr>
          <w:rFonts w:ascii="Simplified Arabic" w:eastAsiaTheme="minorHAnsi" w:hAnsi="Simplified Arabic"/>
          <w:sz w:val="24"/>
          <w:rtl/>
        </w:rPr>
        <w:t>رى وأصحاب المصلحة المعنيين، ولا</w:t>
      </w:r>
      <w:r w:rsidRPr="00B9561A">
        <w:rPr>
          <w:rFonts w:ascii="Simplified Arabic" w:eastAsiaTheme="minorHAnsi" w:hAnsi="Simplified Arabic"/>
          <w:sz w:val="24"/>
          <w:rtl/>
        </w:rPr>
        <w:t>سيما الكيانات العامة والخاصة التي تعمل في قطاعات الطاقة والتعدين</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والبنية التحتية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والصناعات التحويلي</w:t>
      </w:r>
      <w:r>
        <w:rPr>
          <w:rFonts w:ascii="Simplified Arabic" w:eastAsiaTheme="minorHAnsi" w:hAnsi="Simplified Arabic"/>
          <w:sz w:val="24"/>
          <w:rtl/>
        </w:rPr>
        <w:t xml:space="preserve">ة والتجهيز، حسب الاقتضاء، وفقا </w:t>
      </w:r>
      <w:r w:rsidRPr="00B9561A">
        <w:rPr>
          <w:rFonts w:ascii="Simplified Arabic" w:eastAsiaTheme="minorHAnsi" w:hAnsi="Simplified Arabic"/>
          <w:sz w:val="24"/>
          <w:rtl/>
        </w:rPr>
        <w:t>لقدرات</w:t>
      </w:r>
      <w:r>
        <w:rPr>
          <w:rFonts w:ascii="Simplified Arabic" w:eastAsiaTheme="minorHAnsi" w:hAnsi="Simplified Arabic" w:hint="cs"/>
          <w:sz w:val="24"/>
          <w:rtl/>
        </w:rPr>
        <w:t>ها</w:t>
      </w:r>
      <w:r>
        <w:rPr>
          <w:rFonts w:ascii="Simplified Arabic" w:eastAsiaTheme="minorHAnsi" w:hAnsi="Simplified Arabic"/>
          <w:sz w:val="24"/>
          <w:rtl/>
        </w:rPr>
        <w:t xml:space="preserve"> و</w:t>
      </w:r>
      <w:r w:rsidRPr="00B9561A">
        <w:rPr>
          <w:rFonts w:ascii="Simplified Arabic" w:eastAsiaTheme="minorHAnsi" w:hAnsi="Simplified Arabic"/>
          <w:sz w:val="24"/>
          <w:rtl/>
        </w:rPr>
        <w:t>ظروف</w:t>
      </w:r>
      <w:r>
        <w:rPr>
          <w:rFonts w:ascii="Simplified Arabic" w:eastAsiaTheme="minorHAnsi" w:hAnsi="Simplified Arabic" w:hint="cs"/>
          <w:sz w:val="24"/>
          <w:rtl/>
        </w:rPr>
        <w:t>ها</w:t>
      </w:r>
      <w:r>
        <w:rPr>
          <w:rFonts w:ascii="Simplified Arabic" w:eastAsiaTheme="minorHAnsi" w:hAnsi="Simplified Arabic"/>
          <w:sz w:val="24"/>
          <w:rtl/>
        </w:rPr>
        <w:t xml:space="preserve"> و</w:t>
      </w:r>
      <w:r w:rsidRPr="00B9561A">
        <w:rPr>
          <w:rFonts w:ascii="Simplified Arabic" w:eastAsiaTheme="minorHAnsi" w:hAnsi="Simplified Arabic"/>
          <w:sz w:val="24"/>
          <w:rtl/>
        </w:rPr>
        <w:t>أولويات</w:t>
      </w:r>
      <w:r>
        <w:rPr>
          <w:rFonts w:ascii="Simplified Arabic" w:eastAsiaTheme="minorHAnsi" w:hAnsi="Simplified Arabic" w:hint="cs"/>
          <w:sz w:val="24"/>
          <w:rtl/>
        </w:rPr>
        <w:t>ها</w:t>
      </w:r>
      <w:r>
        <w:rPr>
          <w:rFonts w:ascii="Simplified Arabic" w:eastAsiaTheme="minorHAnsi" w:hAnsi="Simplified Arabic"/>
          <w:sz w:val="24"/>
          <w:rtl/>
        </w:rPr>
        <w:t xml:space="preserve"> و</w:t>
      </w:r>
      <w:r w:rsidRPr="00B9561A">
        <w:rPr>
          <w:rFonts w:ascii="Simplified Arabic" w:eastAsiaTheme="minorHAnsi" w:hAnsi="Simplified Arabic"/>
          <w:sz w:val="24"/>
          <w:rtl/>
        </w:rPr>
        <w:t>لوائح</w:t>
      </w:r>
      <w:r>
        <w:rPr>
          <w:rFonts w:ascii="Simplified Arabic" w:eastAsiaTheme="minorHAnsi" w:hAnsi="Simplified Arabic" w:hint="cs"/>
          <w:sz w:val="24"/>
          <w:rtl/>
        </w:rPr>
        <w:t>ها</w:t>
      </w:r>
      <w:r w:rsidRPr="00B9561A">
        <w:rPr>
          <w:rFonts w:ascii="Simplified Arabic" w:eastAsiaTheme="minorHAnsi" w:hAnsi="Simplified Arabic"/>
          <w:sz w:val="24"/>
          <w:rtl/>
        </w:rPr>
        <w:t xml:space="preserve"> الوطنية على ما يلي:</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(أ)</w:t>
      </w:r>
      <w:r w:rsidRPr="00B9561A">
        <w:rPr>
          <w:rFonts w:ascii="Simplified Arabic" w:eastAsiaTheme="minorHAnsi" w:hAnsi="Simplified Arabic"/>
          <w:sz w:val="24"/>
          <w:rtl/>
        </w:rPr>
        <w:tab/>
        <w:t>الإحاطة علما بالاتجاهات في القطاعات المعنية فيما يتعلق بآثارها وتبعياتها المحتملة على التنوع البيولوجي بغية تحديد</w:t>
      </w:r>
      <w:r>
        <w:rPr>
          <w:rFonts w:ascii="Simplified Arabic" w:eastAsiaTheme="minorHAnsi" w:hAnsi="Simplified Arabic"/>
          <w:sz w:val="24"/>
          <w:rtl/>
        </w:rPr>
        <w:t xml:space="preserve"> الفرص لتعميم التنوع البيولوجي؛</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(ب)</w:t>
      </w:r>
      <w:r w:rsidRPr="00B9561A">
        <w:rPr>
          <w:rFonts w:ascii="Simplified Arabic" w:eastAsiaTheme="minorHAnsi" w:hAnsi="Simplified Arabic"/>
          <w:sz w:val="24"/>
          <w:rtl/>
        </w:rPr>
        <w:tab/>
        <w:t>إدراج نُهج لحفظ التنوع البيولوجي ووظائف وخدمات النظم الإيكولوجية وتعزيزه واستخدامه المستدام في القرارات المتخذة في المراحل الأولية من الاستثمار في هذه القطاعات، من خلال الأدوات المتاحة مثل التقييمات البيئية الاستراتيجية، والتخطيط المكاني المتكامل، بما في ذلك تقييم بدائل لهذه الاستثمارات؛</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(ج)</w:t>
      </w:r>
      <w:r w:rsidRPr="007645E7">
        <w:rPr>
          <w:rFonts w:ascii="Simplified Arabic" w:eastAsiaTheme="minorHAnsi" w:hAnsi="Simplified Arabic"/>
          <w:sz w:val="24"/>
          <w:rtl/>
        </w:rPr>
        <w:tab/>
        <w:t xml:space="preserve">تطبيق أفضل الممارسات </w:t>
      </w:r>
      <w:r w:rsidRPr="00B9561A">
        <w:rPr>
          <w:rFonts w:ascii="Simplified Arabic" w:eastAsiaTheme="minorHAnsi" w:hAnsi="Simplified Arabic"/>
          <w:sz w:val="24"/>
          <w:rtl/>
        </w:rPr>
        <w:t>بشأن تقييمات الأثر البيئي</w:t>
      </w:r>
      <w:r w:rsidRPr="00B9561A">
        <w:rPr>
          <w:rStyle w:val="FootnoteReference"/>
          <w:rFonts w:ascii="Simplified Arabic" w:eastAsiaTheme="minorHAnsi" w:hAnsi="Simplified Arabic"/>
          <w:sz w:val="24"/>
          <w:rtl/>
        </w:rPr>
        <w:footnoteReference w:id="36"/>
      </w:r>
      <w:r w:rsidRPr="00B9561A">
        <w:rPr>
          <w:rFonts w:ascii="Simplified Arabic" w:eastAsiaTheme="minorHAnsi" w:hAnsi="Simplified Arabic"/>
          <w:sz w:val="24"/>
          <w:rtl/>
        </w:rPr>
        <w:t xml:space="preserve"> وتعميم التنوع البيولوجي في القرارات، بما في ذلك القرارات الخاصة بالمؤسسات المالية العامة والخاصة، المتعلقة بالموافقة على المشاريع والاستثمارات في هذه القطاعات؛</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(د)</w:t>
      </w:r>
      <w:r w:rsidRPr="00B9561A">
        <w:rPr>
          <w:rFonts w:ascii="Simplified Arabic" w:eastAsiaTheme="minorHAnsi" w:hAnsi="Simplified Arabic"/>
          <w:sz w:val="24"/>
          <w:rtl/>
        </w:rPr>
        <w:tab/>
        <w:t>تطبيق التسلسل الهرمي لتخفيف الأثر عند تخطيط وتصميم مشاريع وخطط جديدة؛</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sidRPr="00B9561A">
        <w:rPr>
          <w:rFonts w:ascii="Simplified Arabic" w:eastAsiaTheme="minorHAnsi" w:hAnsi="Simplified Arabic" w:hint="cs"/>
          <w:sz w:val="24"/>
          <w:rtl/>
        </w:rPr>
        <w:t>ه</w:t>
      </w:r>
      <w:r w:rsidRPr="00B9561A">
        <w:rPr>
          <w:rFonts w:ascii="Simplified Arabic" w:eastAsiaTheme="minorHAnsi" w:hAnsi="Simplified Arabic"/>
          <w:sz w:val="24"/>
          <w:rtl/>
        </w:rPr>
        <w:t>)</w:t>
      </w:r>
      <w:r w:rsidRPr="00B9561A">
        <w:rPr>
          <w:rFonts w:ascii="Simplified Arabic" w:eastAsiaTheme="minorHAnsi" w:hAnsi="Simplified Arabic"/>
          <w:sz w:val="24"/>
          <w:rtl/>
        </w:rPr>
        <w:tab/>
        <w:t>استعراض الأطر والسياسات والممارسات القانونية، وحسب الاقتضاء تحديثها، لتعزيز تعميم التنوع البيولوجي في قطاعات الطاقة والتعدين، والبنية التحتية، وال</w:t>
      </w:r>
      <w:r w:rsidRPr="00B9561A">
        <w:rPr>
          <w:rFonts w:ascii="Simplified Arabic" w:eastAsiaTheme="minorHAnsi" w:hAnsi="Simplified Arabic" w:hint="cs"/>
          <w:sz w:val="24"/>
          <w:rtl/>
        </w:rPr>
        <w:t>صناعات التحويلية</w:t>
      </w:r>
      <w:r w:rsidRPr="00B9561A">
        <w:rPr>
          <w:rFonts w:ascii="Simplified Arabic" w:eastAsiaTheme="minorHAnsi" w:hAnsi="Simplified Arabic"/>
          <w:sz w:val="24"/>
          <w:rtl/>
        </w:rPr>
        <w:t xml:space="preserve"> والتجهيز، بما في ذلك</w:t>
      </w:r>
      <w:r w:rsidRPr="00B9561A">
        <w:rPr>
          <w:rFonts w:ascii="Simplified Arabic" w:eastAsiaTheme="minorHAnsi" w:hAnsi="Simplified Arabic" w:hint="cs"/>
          <w:sz w:val="24"/>
          <w:rtl/>
        </w:rPr>
        <w:t xml:space="preserve"> من خلال تدابير</w:t>
      </w:r>
      <w:r w:rsidRPr="00B9561A">
        <w:rPr>
          <w:rFonts w:ascii="Simplified Arabic" w:eastAsiaTheme="minorHAnsi" w:hAnsi="Simplified Arabic"/>
          <w:sz w:val="24"/>
          <w:rtl/>
        </w:rPr>
        <w:t xml:space="preserve"> الضمانات</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w:t>
      </w:r>
      <w:r w:rsidRPr="00B9561A">
        <w:rPr>
          <w:rFonts w:ascii="Simplified Arabic" w:eastAsiaTheme="minorHAnsi" w:hAnsi="Simplified Arabic" w:hint="cs"/>
          <w:sz w:val="24"/>
          <w:rtl/>
        </w:rPr>
        <w:t xml:space="preserve">والرصد </w:t>
      </w:r>
      <w:r w:rsidRPr="00B9561A">
        <w:rPr>
          <w:rFonts w:ascii="Simplified Arabic" w:eastAsiaTheme="minorHAnsi" w:hAnsi="Simplified Arabic"/>
          <w:sz w:val="24"/>
          <w:rtl/>
        </w:rPr>
        <w:t>والإشراف،</w:t>
      </w:r>
      <w:r w:rsidRPr="00B9561A">
        <w:rPr>
          <w:rFonts w:ascii="Simplified Arabic" w:eastAsiaTheme="minorHAnsi" w:hAnsi="Simplified Arabic" w:hint="cs"/>
          <w:sz w:val="24"/>
          <w:rtl/>
        </w:rPr>
        <w:t xml:space="preserve"> </w:t>
      </w:r>
      <w:r w:rsidRPr="00B9561A">
        <w:rPr>
          <w:rFonts w:hint="cs"/>
          <w:sz w:val="24"/>
          <w:rtl/>
        </w:rPr>
        <w:t>وتشجيع المشاركة الكاملة والفعالة للقطاعات المعنية</w:t>
      </w:r>
      <w:r>
        <w:rPr>
          <w:rFonts w:hint="cs"/>
          <w:sz w:val="24"/>
          <w:rtl/>
        </w:rPr>
        <w:t>، والشعوب الأصلية والمجتمعات المحلية،</w:t>
      </w:r>
      <w:r w:rsidRPr="00B9561A">
        <w:rPr>
          <w:rFonts w:hint="cs"/>
          <w:sz w:val="24"/>
          <w:rtl/>
        </w:rPr>
        <w:t xml:space="preserve"> والأوساط الأكاديمية</w:t>
      </w:r>
      <w:r>
        <w:rPr>
          <w:rFonts w:hint="cs"/>
          <w:sz w:val="24"/>
          <w:rtl/>
        </w:rPr>
        <w:t>،</w:t>
      </w:r>
      <w:r w:rsidRPr="00B9561A">
        <w:rPr>
          <w:rFonts w:hint="cs"/>
          <w:sz w:val="24"/>
          <w:rtl/>
        </w:rPr>
        <w:t xml:space="preserve"> والنساء والشباب</w:t>
      </w:r>
      <w:r>
        <w:rPr>
          <w:rFonts w:hint="cs"/>
          <w:sz w:val="24"/>
          <w:rtl/>
        </w:rPr>
        <w:t>،</w:t>
      </w:r>
      <w:r w:rsidRPr="00B9561A">
        <w:rPr>
          <w:rFonts w:hint="cs"/>
          <w:sz w:val="24"/>
          <w:rtl/>
        </w:rPr>
        <w:t xml:space="preserve"> وغيرهم من أصحاب المصلحة المعنيين، حيثما ينطبق ذلك من خلال المشاورات مع الشعوب الأصلية والمجتمعات المحلية بهدف</w:t>
      </w:r>
      <w:r w:rsidRPr="00B9561A">
        <w:rPr>
          <w:rFonts w:ascii="Simplified Arabic" w:eastAsiaTheme="minorHAnsi" w:hAnsi="Simplified Arabic" w:hint="cs"/>
          <w:sz w:val="24"/>
          <w:rtl/>
        </w:rPr>
        <w:t xml:space="preserve"> الحصول على موافقة حرة ومسبقة ومستنيرة</w:t>
      </w:r>
      <w:r w:rsidRPr="00B9561A">
        <w:rPr>
          <w:rFonts w:hint="cs"/>
          <w:sz w:val="24"/>
          <w:rtl/>
        </w:rPr>
        <w:t>، بما يتفق مع الاتفاقات الدولية ويتسق مع السياسات واللوائح والظروف الوطنية؛</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w:t>
      </w:r>
      <w:r>
        <w:rPr>
          <w:rFonts w:ascii="Simplified Arabic" w:eastAsiaTheme="minorHAnsi" w:hAnsi="Simplified Arabic" w:hint="cs"/>
          <w:sz w:val="24"/>
          <w:rtl/>
        </w:rPr>
        <w:t>و</w:t>
      </w:r>
      <w:r w:rsidRPr="00B9561A">
        <w:rPr>
          <w:rFonts w:ascii="Simplified Arabic" w:eastAsiaTheme="minorHAnsi" w:hAnsi="Simplified Arabic"/>
          <w:sz w:val="24"/>
          <w:rtl/>
        </w:rPr>
        <w:t>)</w:t>
      </w:r>
      <w:r w:rsidRPr="00B9561A">
        <w:rPr>
          <w:rFonts w:ascii="Simplified Arabic" w:eastAsiaTheme="minorHAnsi" w:hAnsi="Simplified Arabic" w:hint="cs"/>
          <w:sz w:val="24"/>
          <w:rtl/>
        </w:rPr>
        <w:tab/>
      </w:r>
      <w:r w:rsidRPr="00B9561A">
        <w:rPr>
          <w:rFonts w:ascii="Simplified Arabic" w:eastAsiaTheme="minorHAnsi" w:hAnsi="Simplified Arabic"/>
          <w:sz w:val="24"/>
          <w:rtl/>
        </w:rPr>
        <w:t xml:space="preserve">تقديم، حسب الاقتضاء، </w:t>
      </w:r>
      <w:r w:rsidRPr="00B9561A">
        <w:rPr>
          <w:rFonts w:ascii="Simplified Arabic" w:eastAsiaTheme="minorHAnsi" w:hAnsi="Simplified Arabic" w:hint="cs"/>
          <w:sz w:val="24"/>
          <w:rtl/>
        </w:rPr>
        <w:t>حوافز</w:t>
      </w:r>
      <w:r w:rsidRPr="00B9561A">
        <w:rPr>
          <w:rFonts w:ascii="Simplified Arabic" w:eastAsiaTheme="minorHAnsi" w:hAnsi="Simplified Arabic"/>
          <w:sz w:val="24"/>
          <w:rtl/>
        </w:rPr>
        <w:t xml:space="preserve"> فعالة </w:t>
      </w:r>
      <w:r w:rsidRPr="00B9561A">
        <w:rPr>
          <w:rFonts w:hint="cs"/>
          <w:sz w:val="24"/>
          <w:rtl/>
        </w:rPr>
        <w:t>وآليات حوكمة مناسبة التي تعزز أفضل الممارسات وأفضل التقنيات المتاحة والمبتكرة</w:t>
      </w:r>
      <w:r>
        <w:rPr>
          <w:rFonts w:hint="cs"/>
          <w:sz w:val="24"/>
          <w:rtl/>
        </w:rPr>
        <w:t>،</w:t>
      </w:r>
      <w:r w:rsidRPr="00B9561A">
        <w:rPr>
          <w:rFonts w:hint="cs"/>
          <w:sz w:val="24"/>
          <w:rtl/>
        </w:rPr>
        <w:t xml:space="preserve"> بما في ذلك بشأن الاستهلاك والإنتاج المستدامين لتعميم التنوع البيولوجي في</w:t>
      </w:r>
      <w:r w:rsidRPr="00B9561A">
        <w:rPr>
          <w:rFonts w:ascii="Simplified Arabic" w:eastAsiaTheme="minorHAnsi" w:hAnsi="Simplified Arabic"/>
          <w:sz w:val="24"/>
          <w:rtl/>
        </w:rPr>
        <w:t xml:space="preserve"> قطاعات الطاقة والتعدين، والبنية التحتية، والصناعات التحويلية والتجهيز، بما يتماشى مع الالتزامات الدولية</w:t>
      </w:r>
      <w:r>
        <w:rPr>
          <w:rFonts w:ascii="Simplified Arabic" w:eastAsiaTheme="minorHAnsi" w:hAnsi="Simplified Arabic" w:hint="cs"/>
          <w:sz w:val="24"/>
          <w:rtl/>
        </w:rPr>
        <w:t>؛</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lastRenderedPageBreak/>
        <w:t>(</w:t>
      </w:r>
      <w:r>
        <w:rPr>
          <w:rFonts w:ascii="Simplified Arabic" w:eastAsiaTheme="minorHAnsi" w:hAnsi="Simplified Arabic" w:hint="cs"/>
          <w:sz w:val="24"/>
          <w:rtl/>
        </w:rPr>
        <w:t>ز</w:t>
      </w:r>
      <w:r w:rsidRPr="00B9561A">
        <w:rPr>
          <w:rFonts w:ascii="Simplified Arabic" w:eastAsiaTheme="minorHAnsi" w:hAnsi="Simplified Arabic" w:hint="cs"/>
          <w:sz w:val="24"/>
          <w:rtl/>
        </w:rPr>
        <w:t>)</w:t>
      </w:r>
      <w:r w:rsidRPr="00B9561A">
        <w:rPr>
          <w:rFonts w:ascii="Simplified Arabic" w:eastAsiaTheme="minorHAnsi" w:hAnsi="Simplified Arabic" w:hint="cs"/>
          <w:sz w:val="24"/>
          <w:rtl/>
        </w:rPr>
        <w:tab/>
      </w:r>
      <w:r w:rsidRPr="00B9561A">
        <w:rPr>
          <w:rFonts w:ascii="Simplified Arabic" w:eastAsiaTheme="minorHAnsi" w:hAnsi="Simplified Arabic"/>
          <w:sz w:val="24"/>
          <w:rtl/>
        </w:rPr>
        <w:t xml:space="preserve">تشجيع وتعزيز أفضل الممارسات بشأن الاستهلاك والإنتاج المستدامين </w:t>
      </w:r>
      <w:r>
        <w:rPr>
          <w:rFonts w:ascii="Simplified Arabic" w:eastAsiaTheme="minorHAnsi" w:hAnsi="Simplified Arabic" w:hint="cs"/>
          <w:sz w:val="24"/>
          <w:rtl/>
        </w:rPr>
        <w:t xml:space="preserve">المنفذة </w:t>
      </w:r>
      <w:r w:rsidRPr="00B9561A">
        <w:rPr>
          <w:rFonts w:ascii="Simplified Arabic" w:eastAsiaTheme="minorHAnsi" w:hAnsi="Simplified Arabic"/>
          <w:sz w:val="24"/>
          <w:rtl/>
        </w:rPr>
        <w:t xml:space="preserve">في قطاعات الطاقة والتعدين، </w:t>
      </w:r>
      <w:r w:rsidRPr="00A16DFA">
        <w:rPr>
          <w:rFonts w:ascii="Simplified Arabic" w:eastAsiaTheme="minorHAnsi" w:hAnsi="Simplified Arabic"/>
          <w:spacing w:val="-8"/>
          <w:sz w:val="24"/>
          <w:rtl/>
        </w:rPr>
        <w:t>والبنية التحتية، والصناعات التحويلية والتجهيز</w:t>
      </w:r>
      <w:r w:rsidRPr="00A16DFA">
        <w:rPr>
          <w:rFonts w:ascii="Simplified Arabic" w:eastAsiaTheme="minorHAnsi" w:hAnsi="Simplified Arabic" w:hint="cs"/>
          <w:spacing w:val="-8"/>
          <w:sz w:val="24"/>
          <w:rtl/>
        </w:rPr>
        <w:t>،</w:t>
      </w:r>
      <w:r w:rsidRPr="00A16DFA">
        <w:rPr>
          <w:rFonts w:ascii="Simplified Arabic" w:eastAsiaTheme="minorHAnsi" w:hAnsi="Simplified Arabic"/>
          <w:spacing w:val="-8"/>
          <w:sz w:val="24"/>
          <w:rtl/>
        </w:rPr>
        <w:t xml:space="preserve"> والقطاعات الأخرى التي تعمل لصالح حفظ التنوع البيولوجي واستخدامه المستدام؛</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ح</w:t>
      </w:r>
      <w:r w:rsidRPr="00B9561A">
        <w:rPr>
          <w:rFonts w:ascii="Simplified Arabic" w:eastAsiaTheme="minorHAnsi" w:hAnsi="Simplified Arabic"/>
          <w:sz w:val="24"/>
          <w:rtl/>
        </w:rPr>
        <w:t>)</w:t>
      </w:r>
      <w:r w:rsidRPr="00B9561A">
        <w:rPr>
          <w:rFonts w:ascii="Simplified Arabic" w:eastAsiaTheme="minorHAnsi" w:hAnsi="Simplified Arabic"/>
          <w:sz w:val="24"/>
          <w:rtl/>
        </w:rPr>
        <w:tab/>
        <w:t xml:space="preserve">استعراض </w:t>
      </w:r>
      <w:r>
        <w:rPr>
          <w:rFonts w:ascii="Simplified Arabic" w:eastAsiaTheme="minorHAnsi" w:hAnsi="Simplified Arabic" w:hint="cs"/>
          <w:sz w:val="24"/>
          <w:rtl/>
        </w:rPr>
        <w:t xml:space="preserve">واستخدام، حسب الاقتضاء، </w:t>
      </w:r>
      <w:r w:rsidRPr="00B9561A">
        <w:rPr>
          <w:rFonts w:ascii="Simplified Arabic" w:eastAsiaTheme="minorHAnsi" w:hAnsi="Simplified Arabic"/>
          <w:sz w:val="24"/>
          <w:rtl/>
        </w:rPr>
        <w:t xml:space="preserve">الأدوات الحالية، بما في ذلك السياسات الموجهة لتخطيط الأعمال والتصميم والإمداد وسلاسل القيمة والمشتريات المستدامة والاستهلاك </w:t>
      </w:r>
      <w:r w:rsidRPr="00B9561A">
        <w:rPr>
          <w:rFonts w:ascii="Simplified Arabic" w:eastAsiaTheme="minorHAnsi" w:hAnsi="Simplified Arabic" w:hint="cs"/>
          <w:sz w:val="24"/>
          <w:rtl/>
        </w:rPr>
        <w:t xml:space="preserve">المستدام </w:t>
      </w:r>
      <w:r w:rsidRPr="00B9561A">
        <w:rPr>
          <w:rFonts w:ascii="Simplified Arabic" w:eastAsiaTheme="minorHAnsi" w:hAnsi="Simplified Arabic"/>
          <w:sz w:val="24"/>
          <w:rtl/>
        </w:rPr>
        <w:t>والسياسات المماثلة، لتعزيز الإنتاج والاستهلاك المستدامين والمتعلقين بالتنوع البيولوجي في قطاعات الطاقة والتعدين</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والبنية التحتية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والصناعات التحويلية والتجهيز</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لتحويل الأسواق نحو الاستهلاك والإنتاج والابتكار الأكثر استدامة، فضلا عن مواصلة التعاون ووضع وتنفيذ السياسات والتدابير الأخرى</w:t>
      </w:r>
      <w:r w:rsidRPr="00B9561A">
        <w:rPr>
          <w:rFonts w:ascii="Simplified Arabic" w:eastAsiaTheme="minorHAnsi" w:hAnsi="Simplified Arabic" w:hint="cs"/>
          <w:sz w:val="24"/>
          <w:rtl/>
        </w:rPr>
        <w:t xml:space="preserve"> للشركات</w:t>
      </w:r>
      <w:r w:rsidRPr="00B9561A">
        <w:rPr>
          <w:rFonts w:ascii="Simplified Arabic" w:eastAsiaTheme="minorHAnsi" w:hAnsi="Simplified Arabic"/>
          <w:sz w:val="24"/>
          <w:rtl/>
        </w:rPr>
        <w:t>؛</w:t>
      </w:r>
    </w:p>
    <w:p w:rsidR="0044570B" w:rsidRPr="00A16DFA" w:rsidRDefault="0044570B" w:rsidP="0044570B">
      <w:pPr>
        <w:ind w:firstLine="720"/>
        <w:rPr>
          <w:rFonts w:ascii="Simplified Arabic" w:eastAsiaTheme="minorHAnsi" w:hAnsi="Simplified Arabic"/>
          <w:spacing w:val="-8"/>
          <w:sz w:val="24"/>
          <w:rtl/>
        </w:rPr>
      </w:pPr>
      <w:r w:rsidRPr="00B9561A">
        <w:rPr>
          <w:rFonts w:ascii="Simplified Arabic" w:eastAsiaTheme="minorHAnsi" w:hAnsi="Simplified Arabic"/>
          <w:sz w:val="24"/>
          <w:rtl/>
        </w:rPr>
        <w:t>(</w:t>
      </w:r>
      <w:r>
        <w:rPr>
          <w:rFonts w:ascii="Simplified Arabic" w:eastAsiaTheme="minorHAnsi" w:hAnsi="Simplified Arabic" w:hint="cs"/>
          <w:sz w:val="24"/>
          <w:rtl/>
        </w:rPr>
        <w:t>ط</w:t>
      </w:r>
      <w:r w:rsidRPr="00B9561A">
        <w:rPr>
          <w:rFonts w:ascii="Simplified Arabic" w:eastAsiaTheme="minorHAnsi" w:hAnsi="Simplified Arabic"/>
          <w:sz w:val="24"/>
          <w:rtl/>
        </w:rPr>
        <w:t>)</w:t>
      </w:r>
      <w:r w:rsidRPr="00B9561A">
        <w:rPr>
          <w:rFonts w:ascii="Simplified Arabic" w:eastAsiaTheme="minorHAnsi" w:hAnsi="Simplified Arabic"/>
          <w:sz w:val="24"/>
          <w:rtl/>
        </w:rPr>
        <w:tab/>
        <w:t xml:space="preserve">استعراض وتحديث، حسب الاقتضاء، الأطر القانونية والسياسات والممارسات لتعزيز تعميم حفظ التنوع البيولوجي واستخدامه المستدام في السياسات الاجتماعية الاقتصادية وسياسات </w:t>
      </w:r>
      <w:r w:rsidRPr="00B9561A">
        <w:rPr>
          <w:rFonts w:ascii="Simplified Arabic" w:eastAsiaTheme="minorHAnsi" w:hAnsi="Simplified Arabic" w:hint="cs"/>
          <w:sz w:val="24"/>
          <w:rtl/>
        </w:rPr>
        <w:t>قطاع</w:t>
      </w:r>
      <w:r w:rsidRPr="00B9561A">
        <w:rPr>
          <w:rFonts w:ascii="Simplified Arabic" w:eastAsiaTheme="minorHAnsi" w:hAnsi="Simplified Arabic"/>
          <w:sz w:val="24"/>
          <w:rtl/>
        </w:rPr>
        <w:t xml:space="preserve"> الأعمال والتخطيط، بما في ذلك من خلال الحوافز لأفضل الممارسات في سلاسل الإمداد، والإنتاج والاستهلاك </w:t>
      </w:r>
      <w:r>
        <w:rPr>
          <w:rFonts w:ascii="Simplified Arabic" w:eastAsiaTheme="minorHAnsi" w:hAnsi="Simplified Arabic"/>
          <w:sz w:val="24"/>
          <w:rtl/>
        </w:rPr>
        <w:t xml:space="preserve">المستدامين والتدابير على نطاق </w:t>
      </w:r>
      <w:r w:rsidRPr="00B9561A">
        <w:rPr>
          <w:rFonts w:ascii="Simplified Arabic" w:eastAsiaTheme="minorHAnsi" w:hAnsi="Simplified Arabic"/>
          <w:sz w:val="24"/>
          <w:rtl/>
        </w:rPr>
        <w:t xml:space="preserve">مواقع أو مصانع الإنتاج، </w:t>
      </w:r>
      <w:r w:rsidRPr="00B9561A">
        <w:rPr>
          <w:rFonts w:ascii="Simplified Arabic" w:eastAsiaTheme="minorHAnsi" w:hAnsi="Simplified Arabic" w:hint="cs"/>
          <w:sz w:val="24"/>
          <w:rtl/>
        </w:rPr>
        <w:t xml:space="preserve">التي تتطلب الإبلاغ من قبل </w:t>
      </w:r>
      <w:r w:rsidRPr="00B9561A">
        <w:rPr>
          <w:rFonts w:ascii="Simplified Arabic" w:eastAsiaTheme="minorHAnsi" w:hAnsi="Simplified Arabic"/>
          <w:sz w:val="24"/>
          <w:rtl/>
        </w:rPr>
        <w:t>الشركات عن تبعيات التنوع البيولوجي والآثار عليه،</w:t>
      </w:r>
      <w:r w:rsidRPr="00B9561A">
        <w:rPr>
          <w:rFonts w:hint="cs"/>
          <w:sz w:val="24"/>
          <w:rtl/>
        </w:rPr>
        <w:t xml:space="preserve"> و</w:t>
      </w:r>
      <w:r w:rsidRPr="00B9561A">
        <w:rPr>
          <w:rStyle w:val="shorttext"/>
          <w:rFonts w:hint="cs"/>
          <w:sz w:val="24"/>
          <w:rtl/>
        </w:rPr>
        <w:t xml:space="preserve">تعزيز </w:t>
      </w:r>
      <w:r>
        <w:rPr>
          <w:rStyle w:val="shorttext"/>
          <w:rFonts w:hint="cs"/>
          <w:sz w:val="24"/>
          <w:rtl/>
        </w:rPr>
        <w:t>الإفصاح</w:t>
      </w:r>
      <w:r w:rsidRPr="00B9561A">
        <w:rPr>
          <w:rStyle w:val="shorttext"/>
          <w:rFonts w:hint="cs"/>
          <w:sz w:val="24"/>
          <w:rtl/>
        </w:rPr>
        <w:t xml:space="preserve"> الطوعي،</w:t>
      </w:r>
      <w:r w:rsidRPr="00B9561A">
        <w:rPr>
          <w:rFonts w:ascii="Simplified Arabic" w:eastAsiaTheme="minorHAnsi" w:hAnsi="Simplified Arabic"/>
          <w:sz w:val="24"/>
          <w:rtl/>
        </w:rPr>
        <w:t xml:space="preserve"> واعتماد أو تحديث القوانين المتعلقة بالمشتريات المستدامة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والسياسات المماثلة </w:t>
      </w:r>
      <w:r w:rsidRPr="00A16DFA">
        <w:rPr>
          <w:rFonts w:ascii="Simplified Arabic" w:eastAsiaTheme="minorHAnsi" w:hAnsi="Simplified Arabic"/>
          <w:spacing w:val="-8"/>
          <w:sz w:val="24"/>
          <w:rtl/>
        </w:rPr>
        <w:t>لتحويل الأسواق نحو منتجات وتكنولوجيات أكثر استدامة؛</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ي</w:t>
      </w:r>
      <w:r w:rsidRPr="00B9561A">
        <w:rPr>
          <w:rFonts w:ascii="Simplified Arabic" w:eastAsiaTheme="minorHAnsi" w:hAnsi="Simplified Arabic"/>
          <w:sz w:val="24"/>
          <w:rtl/>
        </w:rPr>
        <w:t>)</w:t>
      </w:r>
      <w:r w:rsidRPr="00B9561A">
        <w:rPr>
          <w:rFonts w:ascii="Simplified Arabic" w:eastAsiaTheme="minorHAnsi" w:hAnsi="Simplified Arabic"/>
          <w:sz w:val="24"/>
          <w:rtl/>
        </w:rPr>
        <w:tab/>
        <w:t>تصميم وتنفيذ، حسب الاقتضاء، تدابير لتشجيع استثمارات قطاع الأعمال والقطاع المالي لتعميم التنوع البيولوجي في جميع القطاعات، بما في ذلك تدابير لتشجيع ال</w:t>
      </w:r>
      <w:r>
        <w:rPr>
          <w:rFonts w:ascii="Simplified Arabic" w:eastAsiaTheme="minorHAnsi" w:hAnsi="Simplified Arabic" w:hint="cs"/>
          <w:sz w:val="24"/>
          <w:rtl/>
        </w:rPr>
        <w:t>إفصاح</w:t>
      </w:r>
      <w:r w:rsidRPr="00B9561A">
        <w:rPr>
          <w:rFonts w:ascii="Simplified Arabic" w:eastAsiaTheme="minorHAnsi" w:hAnsi="Simplified Arabic"/>
          <w:sz w:val="24"/>
          <w:rtl/>
        </w:rPr>
        <w:t xml:space="preserve"> العلني عن أنشطة الشركات ذات الصلة بالتنوع البيولوجي وتشجيع القطاع المالي على وضع نُهج لتعميم</w:t>
      </w:r>
      <w:r w:rsidRPr="00B9561A">
        <w:rPr>
          <w:rFonts w:ascii="Simplified Arabic" w:eastAsiaTheme="minorHAnsi" w:hAnsi="Simplified Arabic" w:hint="cs"/>
          <w:sz w:val="24"/>
          <w:rtl/>
        </w:rPr>
        <w:t xml:space="preserve"> قيم</w:t>
      </w:r>
      <w:r w:rsidRPr="00B9561A">
        <w:rPr>
          <w:rFonts w:ascii="Simplified Arabic" w:eastAsiaTheme="minorHAnsi" w:hAnsi="Simplified Arabic"/>
          <w:sz w:val="24"/>
          <w:rtl/>
        </w:rPr>
        <w:t xml:space="preserve"> التنوع البيولوجي </w:t>
      </w:r>
      <w:r w:rsidRPr="00B9561A">
        <w:rPr>
          <w:rFonts w:ascii="Simplified Arabic" w:eastAsiaTheme="minorHAnsi" w:hAnsi="Simplified Arabic" w:hint="cs"/>
          <w:sz w:val="24"/>
          <w:rtl/>
        </w:rPr>
        <w:t xml:space="preserve">والنظم الإيكولوجية </w:t>
      </w:r>
      <w:r w:rsidRPr="00B9561A">
        <w:rPr>
          <w:rFonts w:ascii="Simplified Arabic" w:eastAsiaTheme="minorHAnsi" w:hAnsi="Simplified Arabic"/>
          <w:sz w:val="24"/>
          <w:rtl/>
        </w:rPr>
        <w:t>في التمويل والاستثمار</w:t>
      </w:r>
      <w:r w:rsidRPr="00B9561A">
        <w:rPr>
          <w:rFonts w:ascii="Simplified Arabic" w:eastAsiaTheme="minorHAnsi" w:hAnsi="Simplified Arabic" w:hint="cs"/>
          <w:sz w:val="24"/>
          <w:rtl/>
        </w:rPr>
        <w:t xml:space="preserve"> وفقا للفقرة 9(ب)(2) من المقرر 10/3</w:t>
      </w:r>
      <w:r w:rsidRPr="00B9561A">
        <w:rPr>
          <w:rFonts w:ascii="Simplified Arabic" w:eastAsiaTheme="minorHAnsi" w:hAnsi="Simplified Arabic"/>
          <w:sz w:val="24"/>
          <w:rtl/>
        </w:rPr>
        <w:t>؛</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ك</w:t>
      </w:r>
      <w:r w:rsidRPr="00B9561A">
        <w:rPr>
          <w:rFonts w:ascii="Simplified Arabic" w:eastAsiaTheme="minorHAnsi" w:hAnsi="Simplified Arabic"/>
          <w:sz w:val="24"/>
          <w:rtl/>
        </w:rPr>
        <w:t>)</w:t>
      </w:r>
      <w:r w:rsidRPr="00B9561A">
        <w:rPr>
          <w:rFonts w:ascii="Simplified Arabic" w:eastAsiaTheme="minorHAnsi" w:hAnsi="Simplified Arabic"/>
          <w:sz w:val="24"/>
          <w:rtl/>
        </w:rPr>
        <w:tab/>
        <w:t xml:space="preserve">تشجيع تطبيق التكنولوجيا والبحث والتطوير والابتكار فيما يتعلق بتعميم </w:t>
      </w:r>
      <w:r w:rsidRPr="00B9561A">
        <w:rPr>
          <w:rFonts w:ascii="Simplified Arabic" w:eastAsiaTheme="minorHAnsi" w:hAnsi="Simplified Arabic" w:hint="cs"/>
          <w:sz w:val="24"/>
          <w:rtl/>
        </w:rPr>
        <w:t xml:space="preserve">التنوع البيولوجي </w:t>
      </w:r>
      <w:r w:rsidRPr="00B9561A">
        <w:rPr>
          <w:rFonts w:ascii="Simplified Arabic" w:eastAsiaTheme="minorHAnsi" w:hAnsi="Simplified Arabic"/>
          <w:sz w:val="24"/>
          <w:rtl/>
        </w:rPr>
        <w:t>في قطاعات الطاقة والتعدين</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والبنية التحتية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والصناعات التحويلية والتجهيز؛</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ل</w:t>
      </w:r>
      <w:r w:rsidRPr="00B9561A">
        <w:rPr>
          <w:rFonts w:ascii="Simplified Arabic" w:eastAsiaTheme="minorHAnsi" w:hAnsi="Simplified Arabic"/>
          <w:sz w:val="24"/>
          <w:rtl/>
        </w:rPr>
        <w:t>)</w:t>
      </w:r>
      <w:r w:rsidRPr="00B9561A">
        <w:rPr>
          <w:rFonts w:ascii="Simplified Arabic" w:eastAsiaTheme="minorHAnsi" w:hAnsi="Simplified Arabic"/>
          <w:sz w:val="24"/>
          <w:rtl/>
        </w:rPr>
        <w:tab/>
        <w:t>تقييم الفرص المتاحة للاستفادة من النُهج القائمة على النظم الإيكولوجية في قطاع</w:t>
      </w:r>
      <w:r w:rsidRPr="00B9561A">
        <w:rPr>
          <w:rFonts w:ascii="Simplified Arabic" w:eastAsiaTheme="minorHAnsi" w:hAnsi="Simplified Arabic" w:hint="cs"/>
          <w:sz w:val="24"/>
          <w:rtl/>
        </w:rPr>
        <w:t>ات</w:t>
      </w:r>
      <w:r w:rsidRPr="00B9561A">
        <w:rPr>
          <w:rFonts w:ascii="Simplified Arabic" w:eastAsiaTheme="minorHAnsi" w:hAnsi="Simplified Arabic"/>
          <w:sz w:val="24"/>
          <w:rtl/>
        </w:rPr>
        <w:t xml:space="preserve"> الطاقة والتعدين</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والبنية التحتية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والصناعات التحويلية والتجهيز، حسب الاقتضاء؛</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م</w:t>
      </w:r>
      <w:r w:rsidRPr="00B9561A">
        <w:rPr>
          <w:rFonts w:ascii="Simplified Arabic" w:eastAsiaTheme="minorHAnsi" w:hAnsi="Simplified Arabic"/>
          <w:sz w:val="24"/>
          <w:rtl/>
        </w:rPr>
        <w:t>)</w:t>
      </w:r>
      <w:r w:rsidRPr="00B9561A">
        <w:rPr>
          <w:rFonts w:ascii="Simplified Arabic" w:eastAsiaTheme="minorHAnsi" w:hAnsi="Simplified Arabic"/>
          <w:sz w:val="24"/>
          <w:rtl/>
        </w:rPr>
        <w:tab/>
        <w:t xml:space="preserve">إدماج التنوع البيولوجي ووظائف وخدمات النظم الإيكولوجية في تخطيط المدن وتطويرها، </w:t>
      </w:r>
      <w:r w:rsidRPr="00B9561A">
        <w:rPr>
          <w:rFonts w:ascii="Simplified Arabic" w:eastAsiaTheme="minorHAnsi" w:hAnsi="Simplified Arabic" w:hint="cs"/>
          <w:sz w:val="24"/>
          <w:rtl/>
        </w:rPr>
        <w:t>بما في ذلك</w:t>
      </w:r>
      <w:r w:rsidRPr="00B9561A">
        <w:rPr>
          <w:rFonts w:ascii="Simplified Arabic" w:eastAsiaTheme="minorHAnsi" w:hAnsi="Simplified Arabic"/>
          <w:sz w:val="24"/>
          <w:rtl/>
        </w:rPr>
        <w:t xml:space="preserve"> نُهُج لحفظ التنوع البيولوجي ووظائف وخدمات النظم الإيكولوجية وتعزيزها واستعادتها واستخدامها على نحو مستدام في التخطيط المكاني عبر المدن والمناظر الطبيعية البرية والبحرية؛</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ن</w:t>
      </w:r>
      <w:r w:rsidRPr="00B9561A">
        <w:rPr>
          <w:rFonts w:ascii="Simplified Arabic" w:eastAsiaTheme="minorHAnsi" w:hAnsi="Simplified Arabic"/>
          <w:sz w:val="24"/>
          <w:rtl/>
        </w:rPr>
        <w:t>)</w:t>
      </w:r>
      <w:r w:rsidRPr="00B9561A">
        <w:rPr>
          <w:rFonts w:ascii="Simplified Arabic" w:eastAsiaTheme="minorHAnsi" w:hAnsi="Simplified Arabic"/>
          <w:sz w:val="24"/>
          <w:rtl/>
        </w:rPr>
        <w:tab/>
        <w:t>العمل مع الشعوب الأصلية والمجتمعات المحلية وجميع أصحاب المصلحة المعنيين عبر القطاعات العامة والخاصة والمجتمع المدني من أجل إنشاء وتعزيز آليات تنسيق لتيسير معالجة الأسباب الكامنة وراء فقدان التنوع البيولوجي وتعزيز تعميم التنوع البيولوجي في جميع القطاعات؛</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س</w:t>
      </w:r>
      <w:r w:rsidRPr="00B9561A">
        <w:rPr>
          <w:rFonts w:ascii="Simplified Arabic" w:eastAsiaTheme="minorHAnsi" w:hAnsi="Simplified Arabic"/>
          <w:sz w:val="24"/>
          <w:rtl/>
        </w:rPr>
        <w:t>)</w:t>
      </w:r>
      <w:r w:rsidRPr="00B9561A">
        <w:rPr>
          <w:rFonts w:ascii="Simplified Arabic" w:eastAsiaTheme="minorHAnsi" w:hAnsi="Simplified Arabic"/>
          <w:sz w:val="24"/>
          <w:rtl/>
        </w:rPr>
        <w:tab/>
        <w:t>إنشاء آليات تنسيق حكومية، وآليات لانخراط أصحاب المصلحة وإشراكهم، ومنصات معرفة متعددة أصحاب المصلحة، ومؤسسات المراجعة أو التقييم الحكومية المستقلة لتعزيز تعميم التنوع البيولوجي وتعزيز التنفيذ على المستوى الوطني؛</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Pr>
          <w:rFonts w:ascii="Simplified Arabic" w:eastAsiaTheme="minorHAnsi" w:hAnsi="Simplified Arabic" w:hint="cs"/>
          <w:sz w:val="24"/>
          <w:rtl/>
        </w:rPr>
        <w:t>ع</w:t>
      </w:r>
      <w:r w:rsidRPr="00B9561A">
        <w:rPr>
          <w:rFonts w:ascii="Simplified Arabic" w:eastAsiaTheme="minorHAnsi" w:hAnsi="Simplified Arabic"/>
          <w:sz w:val="24"/>
          <w:rtl/>
        </w:rPr>
        <w:t>)</w:t>
      </w:r>
      <w:r w:rsidRPr="00B9561A">
        <w:rPr>
          <w:rFonts w:ascii="Simplified Arabic" w:eastAsiaTheme="minorHAnsi" w:hAnsi="Simplified Arabic"/>
          <w:sz w:val="24"/>
          <w:rtl/>
        </w:rPr>
        <w:tab/>
        <w:t>إنشاء منصات معرفة لجمع الوكالات الحكومية على مختلف المستويات</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وقطاع الأعمال</w:t>
      </w:r>
      <w:r>
        <w:rPr>
          <w:rFonts w:ascii="Simplified Arabic" w:eastAsiaTheme="minorHAnsi" w:hAnsi="Simplified Arabic" w:hint="cs"/>
          <w:sz w:val="24"/>
          <w:rtl/>
        </w:rPr>
        <w:t>،</w:t>
      </w:r>
      <w:r w:rsidRPr="00B9561A">
        <w:rPr>
          <w:rFonts w:ascii="Simplified Arabic" w:eastAsiaTheme="minorHAnsi" w:hAnsi="Simplified Arabic"/>
          <w:sz w:val="24"/>
          <w:rtl/>
        </w:rPr>
        <w:t xml:space="preserve"> والشعوب الأصلية والمجتمعات المحلية وأصحاب المصلحة لمعالجة القضايا التقنية فيما يتعلق بتعميم التنوع البيولوجي، مع مراعاة المسائل المتعلقة بالإشراف البيئي والمسؤولية الاجتماعية </w:t>
      </w:r>
      <w:r w:rsidRPr="00B9561A">
        <w:rPr>
          <w:rFonts w:ascii="Simplified Arabic" w:eastAsiaTheme="minorHAnsi" w:hAnsi="Simplified Arabic" w:hint="cs"/>
          <w:sz w:val="24"/>
          <w:rtl/>
        </w:rPr>
        <w:t>للشركات</w:t>
      </w:r>
      <w:r w:rsidRPr="00B9561A">
        <w:rPr>
          <w:rFonts w:ascii="Simplified Arabic" w:eastAsiaTheme="minorHAnsi" w:hAnsi="Simplified Arabic"/>
          <w:sz w:val="24"/>
          <w:rtl/>
        </w:rPr>
        <w:t>؛</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w:t>
      </w:r>
      <w:r>
        <w:rPr>
          <w:rFonts w:ascii="Simplified Arabic" w:eastAsiaTheme="minorHAnsi" w:hAnsi="Simplified Arabic" w:hint="cs"/>
          <w:sz w:val="24"/>
          <w:rtl/>
        </w:rPr>
        <w:t>ف</w:t>
      </w:r>
      <w:r w:rsidRPr="00B9561A">
        <w:rPr>
          <w:rFonts w:ascii="Simplified Arabic" w:eastAsiaTheme="minorHAnsi" w:hAnsi="Simplified Arabic"/>
          <w:sz w:val="24"/>
          <w:rtl/>
        </w:rPr>
        <w:t>)</w:t>
      </w:r>
      <w:r w:rsidRPr="00B9561A">
        <w:rPr>
          <w:rFonts w:ascii="Simplified Arabic" w:eastAsiaTheme="minorHAnsi" w:hAnsi="Simplified Arabic"/>
          <w:sz w:val="24"/>
          <w:rtl/>
        </w:rPr>
        <w:tab/>
        <w:t>بناء القدرات وتعزيز بناء القدرات من أجل التعميم الفعال للتنوع البيولوجي؛</w:t>
      </w:r>
    </w:p>
    <w:p w:rsidR="0044570B" w:rsidRPr="00B9561A" w:rsidRDefault="0044570B" w:rsidP="00BF5B24">
      <w:pPr>
        <w:ind w:firstLine="720"/>
        <w:rPr>
          <w:rFonts w:ascii="Simplified Arabic" w:eastAsiaTheme="minorHAnsi" w:hAnsi="Simplified Arabic"/>
          <w:sz w:val="24"/>
        </w:rPr>
      </w:pPr>
      <w:r w:rsidRPr="00B9561A">
        <w:rPr>
          <w:rFonts w:ascii="Simplified Arabic" w:eastAsiaTheme="minorHAnsi" w:hAnsi="Simplified Arabic" w:hint="cs"/>
          <w:sz w:val="24"/>
          <w:rtl/>
        </w:rPr>
        <w:lastRenderedPageBreak/>
        <w:t>(</w:t>
      </w:r>
      <w:r>
        <w:rPr>
          <w:rFonts w:ascii="Simplified Arabic" w:eastAsiaTheme="minorHAnsi" w:hAnsi="Simplified Arabic" w:hint="cs"/>
          <w:sz w:val="24"/>
          <w:rtl/>
        </w:rPr>
        <w:t>ص</w:t>
      </w:r>
      <w:r w:rsidRPr="00B9561A">
        <w:rPr>
          <w:rFonts w:ascii="Simplified Arabic" w:eastAsiaTheme="minorHAnsi" w:hAnsi="Simplified Arabic" w:hint="cs"/>
          <w:sz w:val="24"/>
          <w:rtl/>
        </w:rPr>
        <w:t>)</w:t>
      </w:r>
      <w:r>
        <w:rPr>
          <w:rFonts w:ascii="Simplified Arabic" w:eastAsiaTheme="minorHAnsi" w:hAnsi="Simplified Arabic" w:hint="cs"/>
          <w:sz w:val="24"/>
          <w:rtl/>
        </w:rPr>
        <w:tab/>
      </w:r>
      <w:r w:rsidRPr="00B9561A">
        <w:rPr>
          <w:rFonts w:ascii="Simplified Arabic" w:eastAsiaTheme="minorHAnsi" w:hAnsi="Simplified Arabic" w:hint="cs"/>
          <w:sz w:val="24"/>
          <w:rtl/>
        </w:rPr>
        <w:t>تعزيز صياغة السياسات وخطط العمل والإجراءات الملموسة فيما بين الوزارات والوكالات والهيئات الأخرى المسؤولة عن التنوع البيولوجي وقطاعات الطاقة والتعدين</w:t>
      </w:r>
      <w:r>
        <w:rPr>
          <w:rFonts w:ascii="Simplified Arabic" w:eastAsiaTheme="minorHAnsi" w:hAnsi="Simplified Arabic" w:hint="cs"/>
          <w:sz w:val="24"/>
          <w:rtl/>
        </w:rPr>
        <w:t>،</w:t>
      </w:r>
      <w:r w:rsidRPr="00B9561A">
        <w:rPr>
          <w:rFonts w:ascii="Simplified Arabic" w:eastAsiaTheme="minorHAnsi" w:hAnsi="Simplified Arabic" w:hint="cs"/>
          <w:sz w:val="24"/>
          <w:rtl/>
        </w:rPr>
        <w:t xml:space="preserve"> والبنية التحتية</w:t>
      </w:r>
      <w:r>
        <w:rPr>
          <w:rFonts w:ascii="Simplified Arabic" w:eastAsiaTheme="minorHAnsi" w:hAnsi="Simplified Arabic" w:hint="cs"/>
          <w:sz w:val="24"/>
          <w:rtl/>
        </w:rPr>
        <w:t>،</w:t>
      </w:r>
      <w:r w:rsidRPr="00B9561A">
        <w:rPr>
          <w:rFonts w:ascii="Simplified Arabic" w:eastAsiaTheme="minorHAnsi" w:hAnsi="Simplified Arabic" w:hint="cs"/>
          <w:sz w:val="24"/>
          <w:rtl/>
        </w:rPr>
        <w:t xml:space="preserve"> </w:t>
      </w:r>
      <w:r>
        <w:rPr>
          <w:rFonts w:ascii="Simplified Arabic" w:eastAsiaTheme="minorHAnsi" w:hAnsi="Simplified Arabic" w:hint="cs"/>
          <w:sz w:val="24"/>
          <w:rtl/>
        </w:rPr>
        <w:t>والصناعات التحويلية والتجهيز</w:t>
      </w:r>
      <w:r w:rsidRPr="00B9561A">
        <w:rPr>
          <w:rFonts w:ascii="Simplified Arabic" w:eastAsiaTheme="minorHAnsi" w:hAnsi="Simplified Arabic" w:hint="cs"/>
          <w:sz w:val="24"/>
          <w:rtl/>
        </w:rPr>
        <w:t>، لتيسير تعميم التنوع البيولوجي في هذه القطاعات، ضمن إطار الخطة الاستراتيجية للتنوع البيولوجي 2011-2020 وخطة التنمية المستدامة لعام 2030</w:t>
      </w:r>
      <w:r w:rsidRPr="00B9561A">
        <w:rPr>
          <w:rFonts w:hint="cs"/>
          <w:sz w:val="24"/>
          <w:rtl/>
        </w:rPr>
        <w:t>،</w:t>
      </w:r>
      <w:r w:rsidR="00BF5B24">
        <w:rPr>
          <w:rFonts w:hint="cs"/>
          <w:sz w:val="24"/>
          <w:vertAlign w:val="superscript"/>
          <w:rtl/>
        </w:rPr>
        <w:t>26</w:t>
      </w:r>
      <w:r w:rsidRPr="00B9561A">
        <w:rPr>
          <w:rFonts w:hint="cs"/>
          <w:sz w:val="24"/>
          <w:rtl/>
        </w:rPr>
        <w:t xml:space="preserve"> وإدراج هذه السياسات وخطط العمل والإجراءات الملموسة في استراتيجياتها وخطط عملها الوطنية للتنوع البيولوجي، حسب الاقتضاء؛</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يدعو</w:t>
      </w:r>
      <w:r w:rsidRPr="00B9561A">
        <w:rPr>
          <w:rFonts w:ascii="Simplified Arabic" w:eastAsiaTheme="minorHAnsi" w:hAnsi="Simplified Arabic"/>
          <w:sz w:val="24"/>
          <w:rtl/>
        </w:rPr>
        <w:t xml:space="preserve"> الشركات إلى استخدام التصنيف المنقح لإجراءات الإبلاغ عن أنشطة الشركات المتعلقة بالتنوع البيولوجي، والإرشادات ذات الصلة التي أعدتها الأمينة التنفيذية</w:t>
      </w:r>
      <w:r w:rsidRPr="00B9561A">
        <w:rPr>
          <w:rFonts w:ascii="Simplified Arabic" w:eastAsiaTheme="minorHAnsi" w:hAnsi="Simplified Arabic" w:hint="cs"/>
          <w:sz w:val="24"/>
          <w:rtl/>
        </w:rPr>
        <w:t xml:space="preserve">، بما في ذلك لغرض </w:t>
      </w:r>
      <w:r w:rsidRPr="00B9561A">
        <w:rPr>
          <w:rFonts w:hint="cs"/>
          <w:sz w:val="24"/>
          <w:rtl/>
        </w:rPr>
        <w:t>تحسين توافر معلومات قابلة للمقارنة عن أداء التنوع البيولوجي للشركات لجميع أصحاب المصلحة، بما في ذلك المستثمرين والمجتمع المدني؛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يدعو</w:t>
      </w:r>
      <w:r w:rsidRPr="00B9561A">
        <w:rPr>
          <w:rFonts w:ascii="Simplified Arabic" w:eastAsiaTheme="minorHAnsi" w:hAnsi="Simplified Arabic"/>
          <w:sz w:val="24"/>
          <w:rtl/>
        </w:rPr>
        <w:t xml:space="preserve"> مصارف التنمية متعددة الأطراف وشركات التأمين و</w:t>
      </w:r>
      <w:r w:rsidRPr="00B9561A">
        <w:rPr>
          <w:rFonts w:ascii="Simplified Arabic" w:eastAsiaTheme="minorHAnsi" w:hAnsi="Simplified Arabic" w:hint="cs"/>
          <w:sz w:val="24"/>
          <w:rtl/>
        </w:rPr>
        <w:t xml:space="preserve">قطاع الأعمال، </w:t>
      </w:r>
      <w:r w:rsidRPr="00B9561A">
        <w:rPr>
          <w:rFonts w:ascii="Simplified Arabic" w:eastAsiaTheme="minorHAnsi" w:hAnsi="Simplified Arabic"/>
          <w:sz w:val="24"/>
          <w:rtl/>
        </w:rPr>
        <w:t>والمؤسسات المالية وغيرها من مصادر الاستثمار المالي إلى زيادة وتحسين</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حسب الاقتضاء</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تنفيذ </w:t>
      </w:r>
      <w:r w:rsidRPr="00B9561A">
        <w:rPr>
          <w:rFonts w:ascii="Simplified Arabic" w:eastAsiaTheme="minorHAnsi" w:hAnsi="Simplified Arabic" w:hint="cs"/>
          <w:sz w:val="24"/>
          <w:rtl/>
        </w:rPr>
        <w:t>أفضل ال</w:t>
      </w:r>
      <w:r w:rsidRPr="00B9561A">
        <w:rPr>
          <w:rFonts w:ascii="Simplified Arabic" w:eastAsiaTheme="minorHAnsi" w:hAnsi="Simplified Arabic"/>
          <w:sz w:val="24"/>
          <w:rtl/>
        </w:rPr>
        <w:t xml:space="preserve">ممارسات </w:t>
      </w:r>
      <w:r w:rsidRPr="00B9561A">
        <w:rPr>
          <w:rFonts w:ascii="Simplified Arabic" w:eastAsiaTheme="minorHAnsi" w:hAnsi="Simplified Arabic" w:hint="cs"/>
          <w:sz w:val="24"/>
          <w:rtl/>
        </w:rPr>
        <w:t>ل</w:t>
      </w:r>
      <w:r w:rsidRPr="00B9561A">
        <w:rPr>
          <w:rFonts w:ascii="Simplified Arabic" w:eastAsiaTheme="minorHAnsi" w:hAnsi="Simplified Arabic"/>
          <w:sz w:val="24"/>
          <w:rtl/>
        </w:rPr>
        <w:t>حفظ التنوع البيولوجي واستخدامه المستدام</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والضمانات الاجتماعية والبيئية على القرارات المتعلقة بالاستثمارات في هذه القطاعات</w:t>
      </w:r>
      <w:r w:rsidRPr="00B9561A">
        <w:rPr>
          <w:rFonts w:ascii="Simplified Arabic" w:eastAsiaTheme="minorHAnsi" w:hAnsi="Simplified Arabic" w:hint="cs"/>
          <w:sz w:val="24"/>
          <w:rtl/>
        </w:rPr>
        <w:t xml:space="preserve">، </w:t>
      </w:r>
      <w:r w:rsidRPr="00B9561A">
        <w:rPr>
          <w:rFonts w:hint="cs"/>
          <w:sz w:val="24"/>
          <w:rtl/>
        </w:rPr>
        <w:t xml:space="preserve">بحيث تكون على علم ودراية بأفضل المعارف </w:t>
      </w:r>
      <w:r>
        <w:rPr>
          <w:rFonts w:hint="cs"/>
          <w:sz w:val="24"/>
          <w:rtl/>
        </w:rPr>
        <w:t>العلمية والممارسات</w:t>
      </w:r>
      <w:r w:rsidRPr="00B9561A">
        <w:rPr>
          <w:rFonts w:hint="cs"/>
          <w:sz w:val="24"/>
          <w:rtl/>
        </w:rPr>
        <w:t>؛</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يدعو</w:t>
      </w:r>
      <w:r w:rsidRPr="00B9561A">
        <w:rPr>
          <w:rFonts w:ascii="Simplified Arabic" w:eastAsiaTheme="minorHAnsi" w:hAnsi="Simplified Arabic"/>
          <w:sz w:val="24"/>
          <w:rtl/>
        </w:rPr>
        <w:t xml:space="preserve"> المنظمات والمبادرات ذات الصلة إلى مواصلة تكثيف عملها لتحديد العناصر الرئيسية لتصميم وتعزيز وتنفيذ تعميم التنوع البيولوجي من قبل قطاع الأعمال والقطاع المالي، وتعزيز تبادل المعلومات والتعاون، وعلى وجه الخصوص من أجل</w:t>
      </w:r>
      <w:r w:rsidRPr="00B9561A">
        <w:rPr>
          <w:rFonts w:ascii="Simplified Arabic" w:eastAsiaTheme="minorHAnsi" w:hAnsi="Simplified Arabic"/>
          <w:sz w:val="24"/>
        </w:rPr>
        <w:t>:</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(أ)</w:t>
      </w:r>
      <w:r w:rsidRPr="00B9561A">
        <w:rPr>
          <w:rFonts w:ascii="Simplified Arabic" w:eastAsiaTheme="minorHAnsi" w:hAnsi="Simplified Arabic"/>
          <w:sz w:val="24"/>
          <w:rtl/>
        </w:rPr>
        <w:tab/>
        <w:t>تحسين إدراج الشركات لأهمي</w:t>
      </w:r>
      <w:r w:rsidRPr="00B9561A">
        <w:rPr>
          <w:rFonts w:ascii="Simplified Arabic" w:eastAsiaTheme="minorHAnsi" w:hAnsi="Simplified Arabic" w:hint="cs"/>
          <w:sz w:val="24"/>
          <w:rtl/>
        </w:rPr>
        <w:t>ة و</w:t>
      </w:r>
      <w:r w:rsidRPr="00B9561A">
        <w:rPr>
          <w:rFonts w:ascii="Simplified Arabic" w:eastAsiaTheme="minorHAnsi" w:hAnsi="Simplified Arabic"/>
          <w:sz w:val="24"/>
          <w:rtl/>
        </w:rPr>
        <w:t>قيمة التنوع البيولوجي</w:t>
      </w:r>
      <w:r w:rsidRPr="00B9561A">
        <w:rPr>
          <w:rFonts w:ascii="Simplified Arabic" w:eastAsiaTheme="minorHAnsi" w:hAnsi="Simplified Arabic" w:hint="cs"/>
          <w:sz w:val="24"/>
          <w:rtl/>
        </w:rPr>
        <w:t xml:space="preserve"> على النحو المنصوص عليه في الفقرة 1</w:t>
      </w:r>
      <w:r>
        <w:rPr>
          <w:rFonts w:ascii="Simplified Arabic" w:eastAsiaTheme="minorHAnsi" w:hAnsi="Simplified Arabic" w:hint="cs"/>
          <w:sz w:val="24"/>
          <w:rtl/>
        </w:rPr>
        <w:t>3</w:t>
      </w:r>
      <w:r w:rsidRPr="00B9561A">
        <w:rPr>
          <w:rFonts w:ascii="Simplified Arabic" w:eastAsiaTheme="minorHAnsi" w:hAnsi="Simplified Arabic" w:hint="cs"/>
          <w:sz w:val="24"/>
          <w:rtl/>
        </w:rPr>
        <w:t>(</w:t>
      </w:r>
      <w:r>
        <w:rPr>
          <w:rFonts w:ascii="Simplified Arabic" w:eastAsiaTheme="minorHAnsi" w:hAnsi="Simplified Arabic" w:hint="cs"/>
          <w:sz w:val="24"/>
          <w:rtl/>
        </w:rPr>
        <w:t>ح</w:t>
      </w:r>
      <w:r w:rsidRPr="00B9561A">
        <w:rPr>
          <w:rFonts w:ascii="Simplified Arabic" w:eastAsiaTheme="minorHAnsi" w:hAnsi="Simplified Arabic" w:hint="cs"/>
          <w:sz w:val="24"/>
          <w:rtl/>
        </w:rPr>
        <w:t>) أعلاه في القطاعات و</w:t>
      </w:r>
      <w:r w:rsidRPr="00B9561A">
        <w:rPr>
          <w:rFonts w:ascii="Simplified Arabic" w:eastAsiaTheme="minorHAnsi" w:hAnsi="Simplified Arabic"/>
          <w:sz w:val="24"/>
          <w:rtl/>
        </w:rPr>
        <w:t>تيسير تبادل الخبرات والممارسات الجيدة؛</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(ب)</w:t>
      </w:r>
      <w:r w:rsidRPr="00B9561A">
        <w:rPr>
          <w:rFonts w:ascii="Simplified Arabic" w:eastAsiaTheme="minorHAnsi" w:hAnsi="Simplified Arabic"/>
          <w:sz w:val="24"/>
          <w:rtl/>
        </w:rPr>
        <w:tab/>
        <w:t xml:space="preserve">وضع </w:t>
      </w:r>
      <w:r>
        <w:rPr>
          <w:rFonts w:ascii="Simplified Arabic" w:eastAsiaTheme="minorHAnsi" w:hAnsi="Simplified Arabic" w:hint="cs"/>
          <w:sz w:val="24"/>
          <w:rtl/>
        </w:rPr>
        <w:t xml:space="preserve">وتحسين </w:t>
      </w:r>
      <w:r w:rsidRPr="00B9561A">
        <w:rPr>
          <w:rFonts w:ascii="Simplified Arabic" w:eastAsiaTheme="minorHAnsi" w:hAnsi="Simplified Arabic"/>
          <w:sz w:val="24"/>
          <w:rtl/>
        </w:rPr>
        <w:t>قياسات ومؤشرات وخطوط أساس وأدوات أخرى لقياس تبعيات التنوع البيولوجي في هذه القطاعات وأثرها على التنوع البيولوجي لتزويد مديري الأعمال</w:t>
      </w:r>
      <w:r w:rsidRPr="00B9561A">
        <w:rPr>
          <w:rFonts w:ascii="Simplified Arabic" w:eastAsiaTheme="minorHAnsi" w:hAnsi="Simplified Arabic" w:hint="cs"/>
          <w:sz w:val="24"/>
          <w:rtl/>
        </w:rPr>
        <w:t>، والمستثمرين</w:t>
      </w:r>
      <w:r w:rsidRPr="00B9561A">
        <w:rPr>
          <w:rFonts w:ascii="Simplified Arabic" w:eastAsiaTheme="minorHAnsi" w:hAnsi="Simplified Arabic"/>
          <w:sz w:val="24"/>
          <w:rtl/>
        </w:rPr>
        <w:t xml:space="preserve"> بمعلومات موثوقة وذات مصداقية ويمكن التصرف على أساسها لتحسين صنع القرار</w:t>
      </w:r>
      <w:r w:rsidRPr="00B9561A">
        <w:rPr>
          <w:rFonts w:hint="cs"/>
          <w:sz w:val="24"/>
          <w:rtl/>
        </w:rPr>
        <w:t xml:space="preserve"> وتعزيز الاستثمارات البيئية والاجتماعية والحوكمة</w:t>
      </w:r>
      <w:r w:rsidRPr="00B9561A">
        <w:rPr>
          <w:rFonts w:ascii="Simplified Arabic" w:eastAsiaTheme="minorHAnsi" w:hAnsi="Simplified Arabic"/>
          <w:sz w:val="24"/>
          <w:rtl/>
        </w:rPr>
        <w:t>؛</w:t>
      </w:r>
    </w:p>
    <w:p w:rsidR="0044570B" w:rsidRPr="00597C65"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(ج)</w:t>
      </w:r>
      <w:r w:rsidRPr="00B9561A">
        <w:rPr>
          <w:rFonts w:ascii="Simplified Arabic" w:eastAsiaTheme="minorHAnsi" w:hAnsi="Simplified Arabic"/>
          <w:sz w:val="24"/>
          <w:rtl/>
        </w:rPr>
        <w:tab/>
      </w:r>
      <w:r w:rsidRPr="00EB65A7">
        <w:rPr>
          <w:rFonts w:ascii="Simplified Arabic" w:eastAsiaTheme="minorHAnsi" w:hAnsi="Simplified Arabic"/>
          <w:sz w:val="24"/>
          <w:rtl/>
        </w:rPr>
        <w:t>وضع إرشادات محددة</w:t>
      </w:r>
      <w:r w:rsidRPr="00B9561A">
        <w:rPr>
          <w:rFonts w:ascii="Simplified Arabic" w:eastAsiaTheme="minorHAnsi" w:hAnsi="Simplified Arabic"/>
          <w:sz w:val="24"/>
          <w:rtl/>
        </w:rPr>
        <w:t xml:space="preserve"> بشأن كيفية تعزيز مكونات آثار وتبعيات النظم الإيكولوجية والتنوع البيولوجي للإبلاغ الذي تقوم به الشركات مقابل خطة التنمية المستدامة لعام 2030 وأهداف التنمية المستدامة</w:t>
      </w:r>
      <w:r>
        <w:rPr>
          <w:rFonts w:ascii="Simplified Arabic" w:eastAsiaTheme="minorHAnsi" w:hAnsi="Simplified Arabic" w:hint="cs"/>
          <w:sz w:val="24"/>
          <w:rtl/>
        </w:rPr>
        <w:t xml:space="preserve"> المذكورة فيها</w:t>
      </w:r>
      <w:r w:rsidRPr="00B9561A">
        <w:rPr>
          <w:rFonts w:ascii="Simplified Arabic" w:eastAsiaTheme="minorHAnsi" w:hAnsi="Simplified Arabic"/>
          <w:sz w:val="24"/>
          <w:rtl/>
        </w:rPr>
        <w:t>؛</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(د)</w:t>
      </w:r>
      <w:r w:rsidRPr="00B9561A">
        <w:rPr>
          <w:rFonts w:ascii="Simplified Arabic" w:eastAsiaTheme="minorHAnsi" w:hAnsi="Simplified Arabic"/>
          <w:sz w:val="24"/>
          <w:rtl/>
        </w:rPr>
        <w:tab/>
        <w:t xml:space="preserve">تعزيز، حسب الاقتضاء، الروابط بين </w:t>
      </w:r>
      <w:r>
        <w:rPr>
          <w:rFonts w:ascii="Simplified Arabic" w:eastAsiaTheme="minorHAnsi" w:hAnsi="Simplified Arabic" w:hint="cs"/>
          <w:sz w:val="24"/>
          <w:rtl/>
        </w:rPr>
        <w:t>نظام</w:t>
      </w:r>
      <w:r w:rsidRPr="00B9561A">
        <w:rPr>
          <w:rFonts w:ascii="Simplified Arabic" w:eastAsiaTheme="minorHAnsi" w:hAnsi="Simplified Arabic"/>
          <w:sz w:val="24"/>
          <w:rtl/>
        </w:rPr>
        <w:t xml:space="preserve"> الأمم المتحدة للمحاسبة البيئية </w:t>
      </w:r>
      <w:r>
        <w:rPr>
          <w:rFonts w:ascii="Simplified Arabic" w:eastAsiaTheme="minorHAnsi" w:hAnsi="Simplified Arabic" w:hint="cs"/>
          <w:sz w:val="24"/>
          <w:rtl/>
        </w:rPr>
        <w:t xml:space="preserve">- </w:t>
      </w:r>
      <w:r w:rsidRPr="00B9561A">
        <w:rPr>
          <w:rFonts w:ascii="Simplified Arabic" w:eastAsiaTheme="minorHAnsi" w:hAnsi="Simplified Arabic"/>
          <w:sz w:val="24"/>
          <w:rtl/>
        </w:rPr>
        <w:t>الاقتصادية وأطر المحاسبة للتنوع البيولوجي والنظم الإيكولوجية التي يستخدمها قطاع الأعمال والقطاع المالي؛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يقرر</w:t>
      </w:r>
      <w:r w:rsidRPr="00B9561A">
        <w:rPr>
          <w:rFonts w:ascii="Simplified Arabic" w:eastAsiaTheme="minorHAnsi" w:hAnsi="Simplified Arabic"/>
          <w:sz w:val="24"/>
          <w:rtl/>
        </w:rPr>
        <w:t xml:space="preserve"> وضع نهج استراتيجي طويل الأجل لتعميم التنوع البيولوجي؛</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يقرر أيضا</w:t>
      </w:r>
      <w:r w:rsidRPr="00B9561A">
        <w:rPr>
          <w:rFonts w:ascii="Simplified Arabic" w:eastAsiaTheme="minorHAnsi" w:hAnsi="Simplified Arabic"/>
          <w:sz w:val="24"/>
          <w:rtl/>
        </w:rPr>
        <w:t xml:space="preserve"> إنشاء فريق استشاري غير رسمي معني بتعميم التنوع البيولوجي، لإسداء المشورة للأمينة التنفيذية والمكتب بشأن مواصلة إعداد مقترح لنهج طويل الأجل لتعميم التنوع البيولوجي، بالاختصاصات الواردة في المرفق الثاني، بما في ذلك بشأن سُبل إدماج التعميم بشكل مناسب في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إطار</w:t>
      </w:r>
      <w:r w:rsidRPr="00B9561A">
        <w:rPr>
          <w:rFonts w:ascii="Simplified Arabic" w:eastAsiaTheme="minorHAnsi" w:hAnsi="Simplified Arabic" w:hint="cs"/>
          <w:sz w:val="24"/>
          <w:rtl/>
        </w:rPr>
        <w:t xml:space="preserve"> العالمي للتنوع </w:t>
      </w:r>
      <w:r w:rsidRPr="00B9561A">
        <w:rPr>
          <w:rFonts w:ascii="Simplified Arabic" w:eastAsiaTheme="minorHAnsi" w:hAnsi="Simplified Arabic"/>
          <w:sz w:val="24"/>
          <w:rtl/>
        </w:rPr>
        <w:t>البيولوجي لما بعد عام 2020، المقرر تقديمه إلى الهيئة الفرعية للتنفيذ للنظر فيه في اجتماعها الثالث؛</w:t>
      </w:r>
    </w:p>
    <w:p w:rsidR="0044570B" w:rsidRPr="00B9561A" w:rsidRDefault="0044570B" w:rsidP="00FF7FA5">
      <w:pPr>
        <w:numPr>
          <w:ilvl w:val="0"/>
          <w:numId w:val="15"/>
        </w:numPr>
        <w:ind w:left="0" w:firstLine="720"/>
        <w:rPr>
          <w:rFonts w:ascii="Simplified Arabic" w:eastAsiaTheme="minorHAnsi" w:hAnsi="Simplified Arabic"/>
          <w:sz w:val="24"/>
        </w:rPr>
      </w:pPr>
      <w:r w:rsidRPr="00B9561A">
        <w:rPr>
          <w:rFonts w:ascii="Simplified Arabic" w:eastAsiaTheme="minorHAnsi" w:hAnsi="Simplified Arabic"/>
          <w:i/>
          <w:iCs/>
          <w:sz w:val="24"/>
          <w:rtl/>
        </w:rPr>
        <w:t>يطلب</w:t>
      </w:r>
      <w:r w:rsidRPr="00B9561A">
        <w:rPr>
          <w:rFonts w:ascii="Simplified Arabic" w:eastAsiaTheme="minorHAnsi" w:hAnsi="Simplified Arabic"/>
          <w:sz w:val="24"/>
          <w:rtl/>
        </w:rPr>
        <w:t xml:space="preserve"> إلى الأمينة التنفيذية، رهنا بتوافر الموارد المالية، القيام بما يلي</w:t>
      </w:r>
      <w:r w:rsidRPr="00B9561A">
        <w:rPr>
          <w:rFonts w:ascii="Simplified Arabic" w:eastAsiaTheme="minorHAnsi" w:hAnsi="Simplified Arabic"/>
          <w:sz w:val="24"/>
        </w:rPr>
        <w:t>:</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(أ)</w:t>
      </w:r>
      <w:r w:rsidRPr="00B9561A">
        <w:rPr>
          <w:rFonts w:ascii="Simplified Arabic" w:eastAsiaTheme="minorHAnsi" w:hAnsi="Simplified Arabic"/>
          <w:sz w:val="24"/>
          <w:rtl/>
        </w:rPr>
        <w:tab/>
        <w:t>الاضطلاع بأنشطة لدعم تنفيذ هذا المقرر ومواصلة دعم الجهود المتعلقة بتعميم التنوع البيولوجي، على النحو المطلوب في المقررات السابقة الصادرة عن مؤتمر الأطراف؛</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lastRenderedPageBreak/>
        <w:t>(ب)</w:t>
      </w:r>
      <w:r w:rsidRPr="00B9561A">
        <w:rPr>
          <w:rFonts w:ascii="Simplified Arabic" w:eastAsiaTheme="minorHAnsi" w:hAnsi="Simplified Arabic"/>
          <w:sz w:val="24"/>
          <w:rtl/>
        </w:rPr>
        <w:tab/>
        <w:t xml:space="preserve">ضمان دمج المناقشات والمدخلات المتعلقة </w:t>
      </w:r>
      <w:r w:rsidRPr="00B9561A">
        <w:rPr>
          <w:rFonts w:ascii="Simplified Arabic" w:eastAsiaTheme="minorHAnsi" w:hAnsi="Simplified Arabic" w:hint="cs"/>
          <w:sz w:val="24"/>
          <w:rtl/>
        </w:rPr>
        <w:t>بتعميم التنوع البيولوجي</w:t>
      </w:r>
      <w:r w:rsidRPr="00B9561A">
        <w:rPr>
          <w:rFonts w:ascii="Simplified Arabic" w:eastAsiaTheme="minorHAnsi" w:hAnsi="Simplified Arabic"/>
          <w:sz w:val="24"/>
          <w:rtl/>
        </w:rPr>
        <w:t xml:space="preserve"> بشكل مناسب في وضع </w:t>
      </w:r>
      <w:r>
        <w:rPr>
          <w:rFonts w:ascii="Simplified Arabic" w:eastAsiaTheme="minorHAnsi" w:hAnsi="Simplified Arabic" w:hint="cs"/>
          <w:sz w:val="24"/>
          <w:rtl/>
        </w:rPr>
        <w:t>ال</w:t>
      </w:r>
      <w:r w:rsidRPr="00B9561A">
        <w:rPr>
          <w:rFonts w:ascii="Simplified Arabic" w:eastAsiaTheme="minorHAnsi" w:hAnsi="Simplified Arabic"/>
          <w:sz w:val="24"/>
          <w:rtl/>
        </w:rPr>
        <w:t>إطار ا</w:t>
      </w:r>
      <w:r>
        <w:rPr>
          <w:rFonts w:ascii="Simplified Arabic" w:eastAsiaTheme="minorHAnsi" w:hAnsi="Simplified Arabic" w:hint="cs"/>
          <w:sz w:val="24"/>
          <w:rtl/>
        </w:rPr>
        <w:t>لعالمي ل</w:t>
      </w:r>
      <w:r w:rsidRPr="00B9561A">
        <w:rPr>
          <w:rFonts w:ascii="Simplified Arabic" w:eastAsiaTheme="minorHAnsi" w:hAnsi="Simplified Arabic"/>
          <w:sz w:val="24"/>
          <w:rtl/>
        </w:rPr>
        <w:t>لتنوع البيولوجي لما بعد</w:t>
      </w:r>
      <w:r w:rsidRPr="00B9561A">
        <w:rPr>
          <w:rFonts w:ascii="Simplified Arabic" w:eastAsiaTheme="minorHAnsi" w:hAnsi="Simplified Arabic" w:hint="cs"/>
          <w:sz w:val="24"/>
          <w:rtl/>
        </w:rPr>
        <w:t xml:space="preserve"> عام</w:t>
      </w:r>
      <w:r w:rsidRPr="00B9561A">
        <w:rPr>
          <w:rFonts w:ascii="Simplified Arabic" w:eastAsiaTheme="minorHAnsi" w:hAnsi="Simplified Arabic"/>
          <w:sz w:val="24"/>
          <w:rtl/>
        </w:rPr>
        <w:t xml:space="preserve"> 2020، بما في ذلك المناقشات التقنية والمتعلقة بالسياسات فضلا عن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مدخلات من مختلف أصحاب المصلحة والشركاء؛</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(ج)</w:t>
      </w:r>
      <w:r w:rsidRPr="00B9561A">
        <w:rPr>
          <w:rFonts w:ascii="Simplified Arabic" w:eastAsiaTheme="minorHAnsi" w:hAnsi="Simplified Arabic"/>
          <w:sz w:val="24"/>
          <w:rtl/>
        </w:rPr>
        <w:tab/>
        <w:t>العمل مع الفريق الاستشاري غير الرسمي</w:t>
      </w:r>
      <w:r w:rsidRPr="00B9561A">
        <w:rPr>
          <w:rFonts w:ascii="Simplified Arabic" w:eastAsiaTheme="minorHAnsi" w:hAnsi="Simplified Arabic" w:hint="cs"/>
          <w:sz w:val="24"/>
          <w:rtl/>
        </w:rPr>
        <w:t xml:space="preserve"> المشار إليه في الفقرة 1</w:t>
      </w:r>
      <w:r>
        <w:rPr>
          <w:rFonts w:ascii="Simplified Arabic" w:eastAsiaTheme="minorHAnsi" w:hAnsi="Simplified Arabic" w:hint="cs"/>
          <w:sz w:val="24"/>
          <w:rtl/>
        </w:rPr>
        <w:t>8</w:t>
      </w:r>
      <w:r w:rsidRPr="00B9561A">
        <w:rPr>
          <w:rFonts w:ascii="Simplified Arabic" w:eastAsiaTheme="minorHAnsi" w:hAnsi="Simplified Arabic" w:hint="cs"/>
          <w:sz w:val="24"/>
          <w:rtl/>
        </w:rPr>
        <w:t xml:space="preserve"> أعلاه</w:t>
      </w:r>
      <w:r w:rsidRPr="00B9561A">
        <w:rPr>
          <w:rFonts w:ascii="Simplified Arabic" w:eastAsiaTheme="minorHAnsi" w:hAnsi="Simplified Arabic"/>
          <w:sz w:val="24"/>
          <w:rtl/>
        </w:rPr>
        <w:t xml:space="preserve"> والأطراف المهتمة لمواصلة وضع نهج استراتيجي طويل الأجل لتعميم التنوع البيولوجي، استنادا إلى المقترح الوارد في الم</w:t>
      </w:r>
      <w:r w:rsidRPr="00B9561A">
        <w:rPr>
          <w:rFonts w:ascii="Simplified Arabic" w:eastAsiaTheme="minorHAnsi" w:hAnsi="Simplified Arabic" w:hint="cs"/>
          <w:sz w:val="24"/>
          <w:rtl/>
        </w:rPr>
        <w:t>رف</w:t>
      </w:r>
      <w:r w:rsidRPr="00B9561A">
        <w:rPr>
          <w:rFonts w:ascii="Simplified Arabic" w:eastAsiaTheme="minorHAnsi" w:hAnsi="Simplified Arabic"/>
          <w:sz w:val="24"/>
          <w:rtl/>
        </w:rPr>
        <w:t xml:space="preserve">ق الأول </w:t>
      </w:r>
      <w:r w:rsidRPr="00B9561A">
        <w:rPr>
          <w:rFonts w:ascii="Simplified Arabic" w:eastAsiaTheme="minorHAnsi" w:hAnsi="Simplified Arabic" w:hint="cs"/>
          <w:sz w:val="24"/>
          <w:rtl/>
        </w:rPr>
        <w:t>أدناه</w:t>
      </w:r>
      <w:r w:rsidRPr="00B9561A">
        <w:rPr>
          <w:rFonts w:ascii="Simplified Arabic" w:eastAsiaTheme="minorHAnsi" w:hAnsi="Simplified Arabic"/>
          <w:sz w:val="24"/>
          <w:rtl/>
        </w:rPr>
        <w:t xml:space="preserve"> والذي يدعمه الفريق الاستشاري غير الرسمي المشار إليها في الفقرة </w:t>
      </w:r>
      <w:r w:rsidRPr="00B9561A">
        <w:rPr>
          <w:rFonts w:ascii="Simplified Arabic" w:eastAsiaTheme="minorHAnsi" w:hAnsi="Simplified Arabic" w:hint="cs"/>
          <w:sz w:val="24"/>
          <w:rtl/>
        </w:rPr>
        <w:t>1</w:t>
      </w:r>
      <w:r>
        <w:rPr>
          <w:rFonts w:ascii="Simplified Arabic" w:eastAsiaTheme="minorHAnsi" w:hAnsi="Simplified Arabic" w:hint="cs"/>
          <w:sz w:val="24"/>
          <w:rtl/>
        </w:rPr>
        <w:t>8</w:t>
      </w:r>
      <w:r w:rsidRPr="00B9561A">
        <w:rPr>
          <w:rFonts w:ascii="Simplified Arabic" w:eastAsiaTheme="minorHAnsi" w:hAnsi="Simplified Arabic"/>
          <w:sz w:val="24"/>
          <w:rtl/>
        </w:rPr>
        <w:t xml:space="preserve"> أعلاه؛</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(د)</w:t>
      </w:r>
      <w:r w:rsidRPr="00B9561A">
        <w:rPr>
          <w:rFonts w:ascii="Simplified Arabic" w:eastAsiaTheme="minorHAnsi" w:hAnsi="Simplified Arabic"/>
          <w:sz w:val="24"/>
          <w:rtl/>
        </w:rPr>
        <w:tab/>
        <w:t>الاضطلاع بعمل إضافي لتيسير الإفصاح والإبلاغ عن آثار الشركات على التنوع البيولوجي وتبعياتها</w:t>
      </w:r>
      <w:r w:rsidRPr="00B9561A">
        <w:rPr>
          <w:rFonts w:ascii="Simplified Arabic" w:eastAsiaTheme="minorHAnsi" w:hAnsi="Simplified Arabic" w:hint="cs"/>
          <w:sz w:val="24"/>
          <w:rtl/>
        </w:rPr>
        <w:t xml:space="preserve"> على التنوع البيولوجي</w:t>
      </w:r>
      <w:r w:rsidRPr="00B9561A">
        <w:rPr>
          <w:rFonts w:ascii="Simplified Arabic" w:eastAsiaTheme="minorHAnsi" w:hAnsi="Simplified Arabic"/>
          <w:sz w:val="24"/>
          <w:rtl/>
        </w:rPr>
        <w:t>، بالتعاون مع المنظمات والمبادرات ذات الصلة، بما في ذلك لدعم الأهداف ال</w:t>
      </w:r>
      <w:r w:rsidRPr="00B9561A">
        <w:rPr>
          <w:rFonts w:ascii="Simplified Arabic" w:eastAsiaTheme="minorHAnsi" w:hAnsi="Simplified Arabic" w:hint="cs"/>
          <w:sz w:val="24"/>
          <w:rtl/>
        </w:rPr>
        <w:t>مذكور</w:t>
      </w:r>
      <w:r w:rsidRPr="00B9561A">
        <w:rPr>
          <w:rFonts w:ascii="Simplified Arabic" w:eastAsiaTheme="minorHAnsi" w:hAnsi="Simplified Arabic"/>
          <w:sz w:val="24"/>
          <w:rtl/>
        </w:rPr>
        <w:t>ة في الفقرة 1</w:t>
      </w:r>
      <w:r>
        <w:rPr>
          <w:rFonts w:ascii="Simplified Arabic" w:eastAsiaTheme="minorHAnsi" w:hAnsi="Simplified Arabic" w:hint="cs"/>
          <w:sz w:val="24"/>
          <w:rtl/>
        </w:rPr>
        <w:t>6</w:t>
      </w:r>
      <w:r w:rsidRPr="00B9561A">
        <w:rPr>
          <w:rFonts w:ascii="Simplified Arabic" w:eastAsiaTheme="minorHAnsi" w:hAnsi="Simplified Arabic"/>
          <w:sz w:val="24"/>
          <w:rtl/>
        </w:rPr>
        <w:t xml:space="preserve"> أعلاه؛ </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(ه)</w:t>
      </w:r>
      <w:r w:rsidRPr="00B9561A">
        <w:rPr>
          <w:rFonts w:ascii="Simplified Arabic" w:eastAsiaTheme="minorHAnsi" w:hAnsi="Simplified Arabic" w:hint="cs"/>
          <w:sz w:val="24"/>
          <w:rtl/>
        </w:rPr>
        <w:tab/>
      </w:r>
      <w:r w:rsidRPr="00B9561A">
        <w:rPr>
          <w:rFonts w:ascii="Simplified Arabic" w:eastAsiaTheme="minorHAnsi" w:hAnsi="Simplified Arabic"/>
          <w:sz w:val="24"/>
          <w:rtl/>
        </w:rPr>
        <w:t xml:space="preserve">الاضطلاع </w:t>
      </w:r>
      <w:r w:rsidRPr="00B9561A">
        <w:rPr>
          <w:rFonts w:ascii="Simplified Arabic" w:eastAsiaTheme="minorHAnsi" w:hAnsi="Simplified Arabic" w:hint="cs"/>
          <w:sz w:val="24"/>
          <w:rtl/>
        </w:rPr>
        <w:t>بعمل</w:t>
      </w:r>
      <w:r w:rsidRPr="00B9561A">
        <w:rPr>
          <w:rFonts w:ascii="Simplified Arabic" w:eastAsiaTheme="minorHAnsi" w:hAnsi="Simplified Arabic"/>
          <w:sz w:val="24"/>
          <w:rtl/>
        </w:rPr>
        <w:t xml:space="preserve"> إضافي لبحث دور الشعوب الأصلية والمج</w:t>
      </w:r>
      <w:r w:rsidRPr="00B9561A">
        <w:rPr>
          <w:rFonts w:ascii="Simplified Arabic" w:eastAsiaTheme="minorHAnsi" w:hAnsi="Simplified Arabic" w:hint="cs"/>
          <w:sz w:val="24"/>
          <w:rtl/>
        </w:rPr>
        <w:t>ت</w:t>
      </w:r>
      <w:r w:rsidRPr="00B9561A">
        <w:rPr>
          <w:rFonts w:ascii="Simplified Arabic" w:eastAsiaTheme="minorHAnsi" w:hAnsi="Simplified Arabic"/>
          <w:sz w:val="24"/>
          <w:rtl/>
        </w:rPr>
        <w:t>معات المحلية في تعميم التنوع البيولوجي؛</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sidRPr="00B9561A">
        <w:rPr>
          <w:rFonts w:ascii="Simplified Arabic" w:eastAsiaTheme="minorHAnsi" w:hAnsi="Simplified Arabic" w:hint="cs"/>
          <w:sz w:val="24"/>
          <w:rtl/>
        </w:rPr>
        <w:t>و</w:t>
      </w:r>
      <w:r w:rsidRPr="00B9561A">
        <w:rPr>
          <w:rFonts w:ascii="Simplified Arabic" w:eastAsiaTheme="minorHAnsi" w:hAnsi="Simplified Arabic"/>
          <w:sz w:val="24"/>
          <w:rtl/>
        </w:rPr>
        <w:t>)</w:t>
      </w:r>
      <w:r w:rsidRPr="00B9561A">
        <w:rPr>
          <w:rFonts w:ascii="Simplified Arabic" w:eastAsiaTheme="minorHAnsi" w:hAnsi="Simplified Arabic"/>
          <w:sz w:val="24"/>
          <w:rtl/>
        </w:rPr>
        <w:tab/>
        <w:t>تقديم تقرير عن التقدم المحرز بشأن الإجراءات المذكورة أعلاه إلى الهيئة الفرعية للتنفيذ في اجتماعها الثالث لينظر فيها في وقت لاحق مؤتمر الأطراف في اجتماعه الخامس عشر؛</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sz w:val="24"/>
          <w:rtl/>
        </w:rPr>
        <w:t>(</w:t>
      </w:r>
      <w:r w:rsidRPr="00B9561A">
        <w:rPr>
          <w:rFonts w:ascii="Simplified Arabic" w:eastAsiaTheme="minorHAnsi" w:hAnsi="Simplified Arabic" w:hint="cs"/>
          <w:sz w:val="24"/>
          <w:rtl/>
        </w:rPr>
        <w:t>ز</w:t>
      </w:r>
      <w:r w:rsidRPr="00B9561A">
        <w:rPr>
          <w:rFonts w:ascii="Simplified Arabic" w:eastAsiaTheme="minorHAnsi" w:hAnsi="Simplified Arabic"/>
          <w:sz w:val="24"/>
          <w:rtl/>
        </w:rPr>
        <w:t>)</w:t>
      </w:r>
      <w:r w:rsidRPr="00B9561A">
        <w:rPr>
          <w:rFonts w:ascii="Simplified Arabic" w:eastAsiaTheme="minorHAnsi" w:hAnsi="Simplified Arabic"/>
          <w:sz w:val="24"/>
          <w:rtl/>
        </w:rPr>
        <w:tab/>
        <w:t xml:space="preserve">مواصلة تنظيم، بالتعاون مع المنظمات </w:t>
      </w:r>
      <w:r w:rsidRPr="00B9561A">
        <w:rPr>
          <w:rFonts w:ascii="Simplified Arabic" w:eastAsiaTheme="minorHAnsi" w:hAnsi="Simplified Arabic" w:hint="cs"/>
          <w:sz w:val="24"/>
          <w:rtl/>
        </w:rPr>
        <w:t xml:space="preserve">ذات الصلة </w:t>
      </w:r>
      <w:r w:rsidRPr="00B9561A">
        <w:rPr>
          <w:rFonts w:ascii="Simplified Arabic" w:eastAsiaTheme="minorHAnsi" w:hAnsi="Simplified Arabic"/>
          <w:sz w:val="24"/>
          <w:rtl/>
        </w:rPr>
        <w:t>وأصحاب المصلحة المعنيين، وبالتزامن مع الأنشطة الأخرى ال</w:t>
      </w:r>
      <w:r>
        <w:rPr>
          <w:rFonts w:ascii="Simplified Arabic" w:eastAsiaTheme="minorHAnsi" w:hAnsi="Simplified Arabic" w:hint="cs"/>
          <w:sz w:val="24"/>
          <w:rtl/>
        </w:rPr>
        <w:t>خاص</w:t>
      </w:r>
      <w:r w:rsidRPr="00B9561A">
        <w:rPr>
          <w:rFonts w:ascii="Simplified Arabic" w:eastAsiaTheme="minorHAnsi" w:hAnsi="Simplified Arabic"/>
          <w:sz w:val="24"/>
          <w:rtl/>
        </w:rPr>
        <w:t>ة ببناء القدرات، منتديات للمناقشة وتبادل الخبرات فيما يتعلق بتعميم التنوع البيولوجي في القطاعات الرئيسية، بما في ذلك على أساس إقليمي؛</w:t>
      </w:r>
    </w:p>
    <w:p w:rsidR="0044570B" w:rsidRPr="00B9561A" w:rsidRDefault="0044570B" w:rsidP="0044570B">
      <w:pPr>
        <w:ind w:firstLine="720"/>
        <w:rPr>
          <w:rFonts w:ascii="Simplified Arabic" w:eastAsiaTheme="minorHAnsi" w:hAnsi="Simplified Arabic"/>
          <w:sz w:val="24"/>
          <w:rtl/>
        </w:rPr>
      </w:pPr>
      <w:r w:rsidRPr="00B9561A">
        <w:rPr>
          <w:rFonts w:ascii="Simplified Arabic" w:eastAsiaTheme="minorHAnsi" w:hAnsi="Simplified Arabic"/>
          <w:sz w:val="24"/>
          <w:rtl/>
        </w:rPr>
        <w:t>(</w:t>
      </w:r>
      <w:r w:rsidRPr="00B9561A">
        <w:rPr>
          <w:rFonts w:ascii="Simplified Arabic" w:eastAsiaTheme="minorHAnsi" w:hAnsi="Simplified Arabic" w:hint="cs"/>
          <w:sz w:val="24"/>
          <w:rtl/>
        </w:rPr>
        <w:t>ح</w:t>
      </w:r>
      <w:r w:rsidRPr="00B9561A">
        <w:rPr>
          <w:rFonts w:ascii="Simplified Arabic" w:eastAsiaTheme="minorHAnsi" w:hAnsi="Simplified Arabic"/>
          <w:sz w:val="24"/>
          <w:rtl/>
        </w:rPr>
        <w:t>)</w:t>
      </w:r>
      <w:r w:rsidRPr="00B9561A">
        <w:rPr>
          <w:rFonts w:ascii="Simplified Arabic" w:eastAsiaTheme="minorHAnsi" w:hAnsi="Simplified Arabic"/>
          <w:sz w:val="24"/>
          <w:rtl/>
        </w:rPr>
        <w:tab/>
        <w:t>تطوير التعاون والشراكات مع أمانات الاتفاقات المتعددة الأطراف والمنظمات الدولية ذات الصلة فيما يتعلق بتعميم التنوع البيولوجي؛</w:t>
      </w:r>
    </w:p>
    <w:p w:rsidR="0044570B" w:rsidRPr="00B9561A" w:rsidRDefault="0044570B" w:rsidP="0044570B">
      <w:pPr>
        <w:ind w:firstLine="720"/>
        <w:rPr>
          <w:rFonts w:ascii="Simplified Arabic" w:eastAsiaTheme="minorHAnsi" w:hAnsi="Simplified Arabic"/>
          <w:sz w:val="24"/>
        </w:rPr>
      </w:pPr>
      <w:r w:rsidRPr="00B9561A">
        <w:rPr>
          <w:rFonts w:ascii="Simplified Arabic" w:eastAsiaTheme="minorHAnsi" w:hAnsi="Simplified Arabic" w:hint="cs"/>
          <w:sz w:val="24"/>
          <w:rtl/>
        </w:rPr>
        <w:t>(ط)</w:t>
      </w:r>
      <w:r>
        <w:rPr>
          <w:rFonts w:ascii="Simplified Arabic" w:eastAsiaTheme="minorHAnsi" w:hAnsi="Simplified Arabic" w:hint="cs"/>
          <w:sz w:val="24"/>
          <w:rtl/>
        </w:rPr>
        <w:tab/>
      </w:r>
      <w:r w:rsidRPr="00B9561A">
        <w:rPr>
          <w:rFonts w:hint="cs"/>
          <w:sz w:val="24"/>
          <w:rtl/>
        </w:rPr>
        <w:t xml:space="preserve">مواصلة تطوير، بالتعاون مع شراكة مؤشرات التنوع البيولوجي وغيرها من الشراكات وأصحاب المصلحة، حسب الاقتضاء، أدوات قياس من أجل قياس نجاح التعميم الذي سيوفر الأساس </w:t>
      </w:r>
      <w:r>
        <w:rPr>
          <w:rFonts w:hint="cs"/>
          <w:sz w:val="24"/>
          <w:rtl/>
        </w:rPr>
        <w:t>لدم</w:t>
      </w:r>
      <w:r w:rsidRPr="00B9561A">
        <w:rPr>
          <w:rFonts w:hint="cs"/>
          <w:sz w:val="24"/>
          <w:rtl/>
        </w:rPr>
        <w:t>ج تعميم التنوع البيولوجي على نحو ملائم في الإطار العالمي للتنوع البيولوجي لما بعد 2020.</w:t>
      </w:r>
    </w:p>
    <w:p w:rsidR="0044570B" w:rsidRPr="00B9561A" w:rsidRDefault="0044570B" w:rsidP="0044570B">
      <w:pPr>
        <w:jc w:val="center"/>
        <w:rPr>
          <w:rFonts w:ascii="Simplified Arabic" w:eastAsiaTheme="minorHAnsi" w:hAnsi="Simplified Arabic"/>
          <w:i/>
          <w:iCs/>
          <w:sz w:val="24"/>
        </w:rPr>
      </w:pPr>
      <w:r w:rsidRPr="00B9561A">
        <w:rPr>
          <w:rFonts w:ascii="Simplified Arabic" w:eastAsiaTheme="minorHAnsi" w:hAnsi="Simplified Arabic"/>
          <w:i/>
          <w:iCs/>
          <w:sz w:val="24"/>
          <w:rtl/>
        </w:rPr>
        <w:t>المرفق الأول</w:t>
      </w:r>
    </w:p>
    <w:p w:rsidR="0044570B" w:rsidRPr="00B9561A" w:rsidRDefault="0044570B" w:rsidP="0044570B">
      <w:pPr>
        <w:jc w:val="center"/>
        <w:rPr>
          <w:rFonts w:ascii="Simplified Arabic" w:eastAsiaTheme="minorHAnsi" w:hAnsi="Simplified Arabic"/>
          <w:b/>
          <w:bCs/>
          <w:sz w:val="24"/>
        </w:rPr>
      </w:pPr>
      <w:r w:rsidRPr="00B9561A">
        <w:rPr>
          <w:rFonts w:ascii="Simplified Arabic" w:eastAsiaTheme="minorHAnsi" w:hAnsi="Simplified Arabic"/>
          <w:b/>
          <w:bCs/>
          <w:sz w:val="24"/>
          <w:rtl/>
        </w:rPr>
        <w:t>مقترح لنهج استراتيجي طويل الأجل لتعميم التنوع البيولوجي</w:t>
      </w:r>
    </w:p>
    <w:p w:rsidR="0044570B" w:rsidRPr="00B9561A" w:rsidRDefault="0044570B" w:rsidP="0044570B">
      <w:pPr>
        <w:jc w:val="center"/>
        <w:rPr>
          <w:rFonts w:ascii="Simplified Arabic" w:eastAsiaTheme="minorHAnsi" w:hAnsi="Simplified Arabic"/>
          <w:b/>
          <w:bCs/>
          <w:sz w:val="24"/>
        </w:rPr>
      </w:pPr>
      <w:r w:rsidRPr="00B9561A">
        <w:rPr>
          <w:rFonts w:ascii="Simplified Arabic" w:eastAsiaTheme="minorHAnsi" w:hAnsi="Simplified Arabic"/>
          <w:b/>
          <w:bCs/>
          <w:sz w:val="24"/>
          <w:rtl/>
        </w:rPr>
        <w:t>أولا-</w:t>
      </w:r>
      <w:r w:rsidRPr="00B9561A">
        <w:rPr>
          <w:rFonts w:ascii="Simplified Arabic" w:eastAsiaTheme="minorHAnsi" w:hAnsi="Simplified Arabic"/>
          <w:b/>
          <w:bCs/>
          <w:sz w:val="24"/>
          <w:rtl/>
        </w:rPr>
        <w:tab/>
        <w:t>مقدمة</w:t>
      </w:r>
    </w:p>
    <w:p w:rsidR="0044570B" w:rsidRPr="00B9561A" w:rsidRDefault="0044570B" w:rsidP="00FF7FA5">
      <w:pPr>
        <w:numPr>
          <w:ilvl w:val="0"/>
          <w:numId w:val="16"/>
        </w:numPr>
        <w:ind w:left="0" w:firstLine="0"/>
        <w:rPr>
          <w:rFonts w:ascii="Simplified Arabic" w:eastAsiaTheme="minorHAnsi" w:hAnsi="Simplified Arabic"/>
          <w:sz w:val="24"/>
        </w:rPr>
      </w:pPr>
      <w:r w:rsidRPr="00B9561A">
        <w:rPr>
          <w:rFonts w:ascii="Simplified Arabic" w:eastAsiaTheme="minorHAnsi" w:hAnsi="Simplified Arabic"/>
          <w:sz w:val="24"/>
          <w:rtl/>
        </w:rPr>
        <w:t>يعد تعميم التنوع البيولوجي أحد النُهج الرئيسية لتحقي</w:t>
      </w:r>
      <w:r>
        <w:rPr>
          <w:rFonts w:ascii="Simplified Arabic" w:eastAsiaTheme="minorHAnsi" w:hAnsi="Simplified Arabic"/>
          <w:sz w:val="24"/>
          <w:rtl/>
        </w:rPr>
        <w:t>ق أهداف الاتفاقية. وبينما اتُخذ</w:t>
      </w:r>
      <w:r>
        <w:rPr>
          <w:rFonts w:ascii="Simplified Arabic" w:eastAsiaTheme="minorHAnsi" w:hAnsi="Simplified Arabic" w:hint="cs"/>
          <w:sz w:val="24"/>
          <w:rtl/>
        </w:rPr>
        <w:t>ت</w:t>
      </w:r>
      <w:r w:rsidRPr="00B9561A">
        <w:rPr>
          <w:rFonts w:ascii="Simplified Arabic" w:eastAsiaTheme="minorHAnsi" w:hAnsi="Simplified Arabic"/>
          <w:sz w:val="24"/>
          <w:rtl/>
        </w:rPr>
        <w:t xml:space="preserve"> إجراءات </w:t>
      </w:r>
      <w:r>
        <w:rPr>
          <w:rFonts w:ascii="Simplified Arabic" w:eastAsiaTheme="minorHAnsi" w:hAnsi="Simplified Arabic" w:hint="cs"/>
          <w:sz w:val="24"/>
          <w:rtl/>
        </w:rPr>
        <w:t xml:space="preserve">ومقررات عديدة </w:t>
      </w:r>
      <w:r w:rsidRPr="00B9561A">
        <w:rPr>
          <w:rFonts w:ascii="Simplified Arabic" w:eastAsiaTheme="minorHAnsi" w:hAnsi="Simplified Arabic"/>
          <w:sz w:val="24"/>
          <w:rtl/>
        </w:rPr>
        <w:t>لتعميم التنوع البيولوجي في القطاعات الرئيسية، ولاسيما تلك التي نُظر فيها خلال الاجتماعين الثالث عشر والرابع عشر لمؤتمر الأطراف، وفي السياسات الشاملة، فإن هناك حاجة إلى نهج استراتيجي طويل الأجل ضمن الإطار العالمي للتنوع البيولوجي لما بعد عام 2020 من أجل الاضطلاع بإجراءات التعميم على نحو أكثر فعالية في القطاعات وعبرها وتيسير التنسيق بين القطاعات.</w:t>
      </w:r>
    </w:p>
    <w:p w:rsidR="0044570B" w:rsidRPr="00B9561A" w:rsidRDefault="0044570B" w:rsidP="00FF7FA5">
      <w:pPr>
        <w:numPr>
          <w:ilvl w:val="0"/>
          <w:numId w:val="16"/>
        </w:numPr>
        <w:ind w:left="0" w:firstLine="0"/>
        <w:rPr>
          <w:rFonts w:ascii="Simplified Arabic" w:eastAsiaTheme="minorHAnsi" w:hAnsi="Simplified Arabic"/>
          <w:sz w:val="24"/>
        </w:rPr>
      </w:pPr>
      <w:r w:rsidRPr="00B9561A">
        <w:rPr>
          <w:rFonts w:ascii="Simplified Arabic" w:eastAsiaTheme="minorHAnsi" w:hAnsi="Simplified Arabic"/>
          <w:sz w:val="24"/>
          <w:rtl/>
        </w:rPr>
        <w:t>وينبغي أن يكون الهدف من هذا النهج هو وضع أولويات للإجراءات القائمة على الأدلة العلمية للآثار والمنافع المحتملة</w:t>
      </w:r>
      <w:r w:rsidRPr="00B9561A">
        <w:rPr>
          <w:rFonts w:ascii="Simplified Arabic" w:eastAsiaTheme="minorHAnsi" w:hAnsi="Simplified Arabic" w:hint="cs"/>
          <w:sz w:val="24"/>
          <w:rtl/>
        </w:rPr>
        <w:t xml:space="preserve">، </w:t>
      </w:r>
      <w:r w:rsidRPr="00B9561A">
        <w:rPr>
          <w:rFonts w:hint="cs"/>
          <w:sz w:val="24"/>
          <w:rtl/>
        </w:rPr>
        <w:t>وفقا للقدرات والظروف الوطنية للأطراف،</w:t>
      </w:r>
      <w:r w:rsidRPr="00B9561A">
        <w:rPr>
          <w:rFonts w:ascii="Simplified Arabic" w:eastAsiaTheme="minorHAnsi" w:hAnsi="Simplified Arabic"/>
          <w:sz w:val="24"/>
          <w:rtl/>
        </w:rPr>
        <w:t xml:space="preserve"> فضلا عن تحديد الجهات الفاعلة الرئيسية التي يتعين إشراكها في تنفيذ هذه الإجراءات والآليات المناسبة للقيام بذلك، مع التركيز في المقام الأول على تنفيذ المقررات السابقة </w:t>
      </w:r>
      <w:r>
        <w:rPr>
          <w:rFonts w:ascii="Simplified Arabic" w:eastAsiaTheme="minorHAnsi" w:hAnsi="Simplified Arabic" w:hint="cs"/>
          <w:sz w:val="24"/>
          <w:rtl/>
        </w:rPr>
        <w:t xml:space="preserve">الصادرة عن </w:t>
      </w:r>
      <w:r w:rsidRPr="00B9561A">
        <w:rPr>
          <w:rFonts w:ascii="Simplified Arabic" w:eastAsiaTheme="minorHAnsi" w:hAnsi="Simplified Arabic"/>
          <w:sz w:val="24"/>
          <w:rtl/>
        </w:rPr>
        <w:t>مؤتمر الأطراف ذات الصلة بالتعميم. وينبغي أن ييسر كذلك تقييم ورصد الفجوات والتقدم المحرز. وينبغي أن يُبقي مؤتمر الأطراف النهج طويل الأجل قيد الاستعراض وأن يكون مرنا بما فيه الكفاية للاستجابة للتغييرات ذات الصلة.</w:t>
      </w:r>
    </w:p>
    <w:p w:rsidR="0044570B" w:rsidRPr="00B9561A" w:rsidRDefault="0044570B" w:rsidP="00FF7FA5">
      <w:pPr>
        <w:numPr>
          <w:ilvl w:val="0"/>
          <w:numId w:val="16"/>
        </w:numPr>
        <w:ind w:left="0" w:firstLine="0"/>
        <w:rPr>
          <w:rFonts w:ascii="Simplified Arabic" w:eastAsiaTheme="minorHAnsi" w:hAnsi="Simplified Arabic"/>
          <w:sz w:val="24"/>
        </w:rPr>
      </w:pPr>
      <w:r w:rsidRPr="00B9561A">
        <w:rPr>
          <w:rFonts w:ascii="Simplified Arabic" w:eastAsiaTheme="minorHAnsi" w:hAnsi="Simplified Arabic"/>
          <w:sz w:val="24"/>
          <w:rtl/>
        </w:rPr>
        <w:lastRenderedPageBreak/>
        <w:t xml:space="preserve">ولإعداد نهج استراتيجي مثل هذا، ستقوم الأمينة التنفيذية، بدعم من الفريق الاستشاري غير الرسمي وبمشورة من المكتب، بدعم المناقشات التقنية </w:t>
      </w:r>
      <w:r>
        <w:rPr>
          <w:rFonts w:ascii="Simplified Arabic" w:eastAsiaTheme="minorHAnsi" w:hAnsi="Simplified Arabic"/>
          <w:sz w:val="24"/>
          <w:rtl/>
        </w:rPr>
        <w:t xml:space="preserve">والسياساتية على حد سواء، </w:t>
      </w:r>
      <w:r>
        <w:rPr>
          <w:rFonts w:ascii="Simplified Arabic" w:eastAsiaTheme="minorHAnsi" w:hAnsi="Simplified Arabic" w:hint="cs"/>
          <w:sz w:val="24"/>
          <w:rtl/>
        </w:rPr>
        <w:t>فضلا عن</w:t>
      </w:r>
      <w:r w:rsidRPr="00B9561A">
        <w:rPr>
          <w:rFonts w:ascii="Simplified Arabic" w:eastAsiaTheme="minorHAnsi" w:hAnsi="Simplified Arabic"/>
          <w:sz w:val="24"/>
          <w:rtl/>
        </w:rPr>
        <w:t xml:space="preserve"> </w:t>
      </w:r>
      <w:r>
        <w:rPr>
          <w:rFonts w:ascii="Simplified Arabic" w:eastAsiaTheme="minorHAnsi" w:hAnsi="Simplified Arabic" w:hint="cs"/>
          <w:sz w:val="24"/>
          <w:rtl/>
        </w:rPr>
        <w:t>ال</w:t>
      </w:r>
      <w:r w:rsidRPr="00B9561A">
        <w:rPr>
          <w:rFonts w:ascii="Simplified Arabic" w:eastAsiaTheme="minorHAnsi" w:hAnsi="Simplified Arabic"/>
          <w:sz w:val="24"/>
          <w:rtl/>
        </w:rPr>
        <w:t>مدخلات من مختلف أصحاب المصلحة والشركاء.</w:t>
      </w:r>
    </w:p>
    <w:p w:rsidR="0044570B" w:rsidRPr="00B9561A" w:rsidRDefault="0044570B" w:rsidP="0044570B">
      <w:pPr>
        <w:pStyle w:val="ListParagraph"/>
        <w:bidi/>
        <w:spacing w:line="216" w:lineRule="auto"/>
        <w:ind w:left="0"/>
        <w:jc w:val="center"/>
        <w:rPr>
          <w:rFonts w:ascii="Simplified Arabic" w:eastAsiaTheme="minorHAnsi" w:hAnsi="Simplified Arabic" w:cs="Simplified Arabic"/>
          <w:b/>
          <w:bCs/>
          <w:sz w:val="24"/>
        </w:rPr>
      </w:pPr>
      <w:r>
        <w:rPr>
          <w:rFonts w:ascii="Simplified Arabic" w:eastAsiaTheme="minorHAnsi" w:hAnsi="Simplified Arabic" w:cs="Simplified Arabic" w:hint="cs"/>
          <w:b/>
          <w:bCs/>
          <w:sz w:val="24"/>
          <w:rtl/>
        </w:rPr>
        <w:t>ثانيا</w:t>
      </w:r>
      <w:r w:rsidRPr="00B9561A">
        <w:rPr>
          <w:rFonts w:ascii="Simplified Arabic" w:eastAsiaTheme="minorHAnsi" w:hAnsi="Simplified Arabic" w:cs="Simplified Arabic"/>
          <w:b/>
          <w:bCs/>
          <w:sz w:val="24"/>
          <w:rtl/>
        </w:rPr>
        <w:t>-</w:t>
      </w:r>
      <w:r w:rsidRPr="00B9561A">
        <w:rPr>
          <w:rFonts w:ascii="Simplified Arabic" w:eastAsiaTheme="minorHAnsi" w:hAnsi="Simplified Arabic" w:cs="Simplified Arabic"/>
          <w:b/>
          <w:bCs/>
          <w:sz w:val="24"/>
          <w:rtl/>
        </w:rPr>
        <w:tab/>
        <w:t xml:space="preserve">المجالات المتاحة لوضع نهج استراتيجي طويل الأجل </w:t>
      </w:r>
      <w:r w:rsidRPr="00B9561A">
        <w:rPr>
          <w:rFonts w:ascii="Simplified Arabic" w:eastAsiaTheme="minorHAnsi" w:hAnsi="Simplified Arabic" w:cs="Simplified Arabic" w:hint="cs"/>
          <w:b/>
          <w:bCs/>
          <w:sz w:val="24"/>
          <w:rtl/>
        </w:rPr>
        <w:t>لتعميم التنوع البيولوجي</w:t>
      </w:r>
    </w:p>
    <w:p w:rsidR="0044570B" w:rsidRPr="00B9561A" w:rsidRDefault="0044570B" w:rsidP="00FF7FA5">
      <w:pPr>
        <w:numPr>
          <w:ilvl w:val="0"/>
          <w:numId w:val="16"/>
        </w:numPr>
        <w:ind w:left="0" w:firstLine="0"/>
        <w:rPr>
          <w:rFonts w:ascii="Simplified Arabic" w:eastAsiaTheme="minorHAnsi" w:hAnsi="Simplified Arabic"/>
          <w:sz w:val="24"/>
        </w:rPr>
      </w:pPr>
      <w:r w:rsidRPr="00B9561A">
        <w:rPr>
          <w:rFonts w:ascii="Simplified Arabic" w:eastAsiaTheme="minorHAnsi" w:hAnsi="Simplified Arabic"/>
          <w:sz w:val="24"/>
          <w:rtl/>
        </w:rPr>
        <w:t>سيكون هناك عدد من الإجراءات المهمة لوضع نهج طويل الأجل لتعميم التنوع البيولوجي، بما في ذلك الإجراءات التي تتخذها الحكومات ودوائر الأعمال</w:t>
      </w:r>
      <w:r w:rsidRPr="00B9561A">
        <w:rPr>
          <w:rFonts w:ascii="Simplified Arabic" w:eastAsiaTheme="minorHAnsi" w:hAnsi="Simplified Arabic" w:hint="cs"/>
          <w:sz w:val="24"/>
          <w:rtl/>
        </w:rPr>
        <w:t>، و</w:t>
      </w:r>
      <w:r w:rsidRPr="00B9561A">
        <w:rPr>
          <w:rFonts w:hint="cs"/>
          <w:sz w:val="24"/>
          <w:rtl/>
        </w:rPr>
        <w:t>الشعوب الأصلية والمجتمعات المحلية</w:t>
      </w:r>
      <w:r>
        <w:rPr>
          <w:rFonts w:hint="cs"/>
          <w:sz w:val="24"/>
          <w:rtl/>
        </w:rPr>
        <w:t>،</w:t>
      </w:r>
      <w:r w:rsidRPr="00B9561A">
        <w:rPr>
          <w:rFonts w:hint="cs"/>
          <w:sz w:val="24"/>
          <w:rtl/>
        </w:rPr>
        <w:t xml:space="preserve"> </w:t>
      </w:r>
      <w:r w:rsidRPr="00B9561A">
        <w:rPr>
          <w:rFonts w:ascii="Simplified Arabic" w:eastAsiaTheme="minorHAnsi" w:hAnsi="Simplified Arabic"/>
          <w:sz w:val="24"/>
          <w:rtl/>
        </w:rPr>
        <w:t>و</w:t>
      </w:r>
      <w:r>
        <w:rPr>
          <w:rFonts w:ascii="Simplified Arabic" w:eastAsiaTheme="minorHAnsi" w:hAnsi="Simplified Arabic" w:hint="cs"/>
          <w:sz w:val="24"/>
          <w:rtl/>
        </w:rPr>
        <w:t xml:space="preserve">غيرهم من </w:t>
      </w:r>
      <w:r w:rsidRPr="00B9561A">
        <w:rPr>
          <w:rFonts w:ascii="Simplified Arabic" w:eastAsiaTheme="minorHAnsi" w:hAnsi="Simplified Arabic"/>
          <w:sz w:val="24"/>
          <w:rtl/>
        </w:rPr>
        <w:t>الشركاء وأصحاب المصلحة. كما أن هناك حاجة إلى أنشطة على المستويات الدولية والوطنية والمحلية ودون الوطنية</w:t>
      </w:r>
      <w:r w:rsidRPr="00B9561A">
        <w:rPr>
          <w:rFonts w:ascii="Simplified Arabic" w:eastAsiaTheme="minorHAnsi" w:hAnsi="Simplified Arabic" w:hint="cs"/>
          <w:sz w:val="24"/>
          <w:rtl/>
        </w:rPr>
        <w:t xml:space="preserve">، </w:t>
      </w:r>
      <w:r w:rsidRPr="00B9561A">
        <w:rPr>
          <w:rFonts w:hint="cs"/>
          <w:sz w:val="24"/>
          <w:rtl/>
        </w:rPr>
        <w:t xml:space="preserve">كما هو الحال بالنسبة </w:t>
      </w:r>
      <w:r>
        <w:rPr>
          <w:rFonts w:hint="cs"/>
          <w:sz w:val="24"/>
          <w:rtl/>
        </w:rPr>
        <w:t>للإجراءات الوثيقة الصلة بقطاعات</w:t>
      </w:r>
      <w:r w:rsidRPr="00B9561A">
        <w:rPr>
          <w:rFonts w:hint="cs"/>
          <w:sz w:val="24"/>
          <w:rtl/>
        </w:rPr>
        <w:t xml:space="preserve"> </w:t>
      </w:r>
      <w:r>
        <w:rPr>
          <w:rFonts w:hint="cs"/>
          <w:sz w:val="24"/>
          <w:rtl/>
        </w:rPr>
        <w:t xml:space="preserve">محددة </w:t>
      </w:r>
      <w:r w:rsidRPr="00B9561A">
        <w:rPr>
          <w:rFonts w:hint="cs"/>
          <w:sz w:val="24"/>
          <w:rtl/>
        </w:rPr>
        <w:t xml:space="preserve">أو قطاعات </w:t>
      </w:r>
      <w:r>
        <w:rPr>
          <w:rFonts w:hint="cs"/>
          <w:sz w:val="24"/>
          <w:rtl/>
        </w:rPr>
        <w:t xml:space="preserve">فرعية </w:t>
      </w:r>
      <w:r w:rsidRPr="00B9561A">
        <w:rPr>
          <w:rFonts w:hint="cs"/>
          <w:sz w:val="24"/>
          <w:rtl/>
        </w:rPr>
        <w:t xml:space="preserve">محددة، </w:t>
      </w:r>
      <w:r>
        <w:rPr>
          <w:rFonts w:hint="cs"/>
          <w:sz w:val="24"/>
          <w:rtl/>
        </w:rPr>
        <w:t xml:space="preserve">التي </w:t>
      </w:r>
      <w:r w:rsidRPr="00B9561A">
        <w:rPr>
          <w:rFonts w:hint="cs"/>
          <w:sz w:val="24"/>
          <w:rtl/>
        </w:rPr>
        <w:t xml:space="preserve">تعكس </w:t>
      </w:r>
      <w:r>
        <w:rPr>
          <w:rFonts w:hint="cs"/>
          <w:sz w:val="24"/>
          <w:rtl/>
        </w:rPr>
        <w:t>ا</w:t>
      </w:r>
      <w:r w:rsidRPr="00B9561A">
        <w:rPr>
          <w:rFonts w:hint="cs"/>
          <w:sz w:val="24"/>
          <w:rtl/>
        </w:rPr>
        <w:t>لأوضاع والظروف الوطنية.</w:t>
      </w:r>
    </w:p>
    <w:p w:rsidR="0044570B" w:rsidRPr="00B9561A" w:rsidRDefault="0044570B" w:rsidP="00FF7FA5">
      <w:pPr>
        <w:numPr>
          <w:ilvl w:val="0"/>
          <w:numId w:val="16"/>
        </w:numPr>
        <w:ind w:left="0" w:firstLine="0"/>
        <w:rPr>
          <w:rFonts w:ascii="Simplified Arabic" w:eastAsiaTheme="minorHAnsi" w:hAnsi="Simplified Arabic"/>
          <w:sz w:val="24"/>
        </w:rPr>
      </w:pPr>
      <w:r w:rsidRPr="00B9561A">
        <w:rPr>
          <w:rFonts w:ascii="Simplified Arabic" w:eastAsiaTheme="minorHAnsi" w:hAnsi="Simplified Arabic"/>
          <w:sz w:val="24"/>
          <w:rtl/>
        </w:rPr>
        <w:t>وينبغي أن تقوم الأمينة التنفيذية بما يلي:</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(أ)</w:t>
      </w:r>
      <w:r w:rsidRPr="00B9561A">
        <w:rPr>
          <w:rFonts w:ascii="Simplified Arabic" w:eastAsiaTheme="minorHAnsi" w:hAnsi="Simplified Arabic"/>
          <w:sz w:val="24"/>
          <w:rtl/>
        </w:rPr>
        <w:tab/>
        <w:t>تحديد الممارسات، والمبادئ التوجيهية، والمنهجيات، والخبرات والأدوات القائمة ذات الصلة بتعميم التنوع البيولوجي، والإجراءات الاستراتيجية الأخرى، ولاسيما بموجب أحكام ومقررات اتفاقية التنوع البيولوجي، في التخطيط وصنع القرار في هذه القطاعات</w:t>
      </w:r>
      <w:r>
        <w:rPr>
          <w:rFonts w:ascii="Simplified Arabic" w:eastAsiaTheme="minorHAnsi" w:hAnsi="Simplified Arabic" w:hint="cs"/>
          <w:sz w:val="24"/>
          <w:rtl/>
        </w:rPr>
        <w:t>؛</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(ب)</w:t>
      </w:r>
      <w:r w:rsidRPr="00B9561A">
        <w:rPr>
          <w:rFonts w:ascii="Simplified Arabic" w:eastAsiaTheme="minorHAnsi" w:hAnsi="Simplified Arabic"/>
          <w:sz w:val="24"/>
          <w:rtl/>
        </w:rPr>
        <w:tab/>
        <w:t>النظر في الطريقة التي يمكن أن تسهم بها البرامج القائمة لاتفاقية التنوع البيولوجي</w:t>
      </w:r>
      <w:r>
        <w:rPr>
          <w:rFonts w:ascii="Simplified Arabic" w:eastAsiaTheme="minorHAnsi" w:hAnsi="Simplified Arabic" w:hint="cs"/>
          <w:sz w:val="24"/>
          <w:rtl/>
        </w:rPr>
        <w:t>،</w:t>
      </w:r>
      <w:r w:rsidRPr="00B9561A">
        <w:rPr>
          <w:rFonts w:ascii="Simplified Arabic" w:eastAsiaTheme="minorHAnsi" w:hAnsi="Simplified Arabic"/>
          <w:sz w:val="24"/>
          <w:rtl/>
        </w:rPr>
        <w:t xml:space="preserve"> </w:t>
      </w:r>
      <w:r w:rsidRPr="00B9561A">
        <w:rPr>
          <w:rFonts w:ascii="Simplified Arabic" w:eastAsiaTheme="minorHAnsi" w:hAnsi="Simplified Arabic" w:hint="cs"/>
          <w:sz w:val="24"/>
          <w:rtl/>
        </w:rPr>
        <w:t>وتلك</w:t>
      </w:r>
      <w:r w:rsidRPr="00B9561A">
        <w:rPr>
          <w:rFonts w:ascii="Simplified Arabic" w:eastAsiaTheme="minorHAnsi" w:hAnsi="Simplified Arabic"/>
          <w:sz w:val="24"/>
          <w:rtl/>
        </w:rPr>
        <w:t xml:space="preserve"> الخاصة بالمنظمات والمبادرات الشريكة الأخرى </w:t>
      </w:r>
      <w:r>
        <w:rPr>
          <w:rFonts w:ascii="Simplified Arabic" w:eastAsiaTheme="minorHAnsi" w:hAnsi="Simplified Arabic" w:hint="cs"/>
          <w:sz w:val="24"/>
          <w:rtl/>
        </w:rPr>
        <w:t xml:space="preserve">ذات الصلة، </w:t>
      </w:r>
      <w:r w:rsidRPr="00B9561A">
        <w:rPr>
          <w:rFonts w:ascii="Simplified Arabic" w:eastAsiaTheme="minorHAnsi" w:hAnsi="Simplified Arabic"/>
          <w:sz w:val="24"/>
          <w:rtl/>
        </w:rPr>
        <w:t>بشكل أفضل في هذا النهج الاستراتيجي طويل الأجل فيما يتعلق ببناء القدرات، من بين أمور أخرى، وتحديد الفجوات القائمة في مجالات العمل التي تعتبر مهمة لتعميم التنوع البيولوجي؛</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(ج)</w:t>
      </w:r>
      <w:r w:rsidRPr="00B9561A">
        <w:rPr>
          <w:rFonts w:ascii="Simplified Arabic" w:eastAsiaTheme="minorHAnsi" w:hAnsi="Simplified Arabic"/>
          <w:sz w:val="24"/>
          <w:rtl/>
        </w:rPr>
        <w:tab/>
        <w:t>مواصلة المشاركة في العمليات الدولية الرئيسية، بما في ذلك خطة التنمية المستدامة لعام 2030.</w:t>
      </w:r>
    </w:p>
    <w:p w:rsidR="0044570B" w:rsidRPr="00B9561A" w:rsidRDefault="0044570B" w:rsidP="00FF7FA5">
      <w:pPr>
        <w:numPr>
          <w:ilvl w:val="0"/>
          <w:numId w:val="16"/>
        </w:numPr>
        <w:ind w:left="0" w:firstLine="0"/>
        <w:rPr>
          <w:rFonts w:ascii="Simplified Arabic" w:eastAsiaTheme="minorHAnsi" w:hAnsi="Simplified Arabic"/>
          <w:sz w:val="24"/>
          <w:rtl/>
        </w:rPr>
      </w:pPr>
      <w:r w:rsidRPr="00B9561A">
        <w:rPr>
          <w:rFonts w:ascii="Simplified Arabic" w:eastAsiaTheme="minorHAnsi" w:hAnsi="Simplified Arabic" w:hint="cs"/>
          <w:sz w:val="24"/>
          <w:rtl/>
        </w:rPr>
        <w:t>و</w:t>
      </w:r>
      <w:r w:rsidRPr="00B9561A">
        <w:rPr>
          <w:rFonts w:ascii="Simplified Arabic" w:eastAsiaTheme="minorHAnsi" w:hAnsi="Simplified Arabic"/>
          <w:sz w:val="24"/>
          <w:rtl/>
        </w:rPr>
        <w:t>ينبغي أن تقوم الأمينة التنفيذية أيضا، مع الأخذ في الاعتبار الفقرة 5 أعلاه</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وبناء على مشورة من الفريق الاستشاري غير الرسمي المعني بتعميم التنوع البيولوجي</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والمكتب، بصياغة هذا النهج الاستراتيجي طويل الأجل لتعميم التنوع البيولوجي، كعنصر رئيسي في إطار التنوع البيولوجي لما بعد عام 2020، الذي سيتضمن المجالات والإجراءات التالية، من بين مجالات وإجراءات أخرى:</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(أ)</w:t>
      </w:r>
      <w:r w:rsidRPr="00B9561A">
        <w:rPr>
          <w:rFonts w:ascii="Simplified Arabic" w:eastAsiaTheme="minorHAnsi" w:hAnsi="Simplified Arabic"/>
          <w:sz w:val="24"/>
          <w:rtl/>
        </w:rPr>
        <w:tab/>
        <w:t xml:space="preserve">استعراض فعالية ممارسات التعميم المختلفة التي استخدمت، </w:t>
      </w:r>
      <w:r w:rsidRPr="00B9561A">
        <w:rPr>
          <w:rFonts w:ascii="Simplified Arabic" w:eastAsiaTheme="minorHAnsi" w:hAnsi="Simplified Arabic" w:hint="cs"/>
          <w:sz w:val="24"/>
          <w:rtl/>
        </w:rPr>
        <w:t xml:space="preserve">فضلا عن </w:t>
      </w:r>
      <w:r w:rsidRPr="00B9561A">
        <w:rPr>
          <w:rFonts w:ascii="Simplified Arabic" w:eastAsiaTheme="minorHAnsi" w:hAnsi="Simplified Arabic"/>
          <w:sz w:val="24"/>
          <w:rtl/>
        </w:rPr>
        <w:t>الخطوات اللازمة لتوسيع نطاق استخدامها، بما في ذلك التثقيف</w:t>
      </w:r>
      <w:r w:rsidRPr="00B9561A">
        <w:rPr>
          <w:rFonts w:ascii="Simplified Arabic" w:eastAsiaTheme="minorHAnsi" w:hAnsi="Simplified Arabic" w:hint="cs"/>
          <w:sz w:val="24"/>
          <w:rtl/>
        </w:rPr>
        <w:t xml:space="preserve"> الصحي</w:t>
      </w:r>
      <w:r w:rsidRPr="00B9561A">
        <w:rPr>
          <w:rFonts w:ascii="Simplified Arabic" w:eastAsiaTheme="minorHAnsi" w:hAnsi="Simplified Arabic"/>
          <w:sz w:val="24"/>
          <w:rtl/>
        </w:rPr>
        <w:t>، والتشريعات والسياسات الوطنية، من بين أدوات استراتيجية أخرى؛</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(ب)</w:t>
      </w:r>
      <w:r w:rsidRPr="00B9561A">
        <w:rPr>
          <w:rFonts w:ascii="Simplified Arabic" w:eastAsiaTheme="minorHAnsi" w:hAnsi="Simplified Arabic"/>
          <w:sz w:val="24"/>
          <w:rtl/>
        </w:rPr>
        <w:tab/>
        <w:t xml:space="preserve">إجراء بحث وتحليل </w:t>
      </w:r>
      <w:r w:rsidRPr="00B9561A">
        <w:rPr>
          <w:rFonts w:ascii="Simplified Arabic" w:eastAsiaTheme="minorHAnsi" w:hAnsi="Simplified Arabic" w:hint="cs"/>
          <w:sz w:val="24"/>
          <w:rtl/>
        </w:rPr>
        <w:t>ل</w:t>
      </w:r>
      <w:r w:rsidRPr="00B9561A">
        <w:rPr>
          <w:rFonts w:ascii="Simplified Arabic" w:eastAsiaTheme="minorHAnsi" w:hAnsi="Simplified Arabic"/>
          <w:sz w:val="24"/>
          <w:rtl/>
        </w:rPr>
        <w:t>مدى استخدام الأطراف لنُهج التعميم، وتحديد الفجوات والعقبات والتحديات الرئيسية؛</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(ج)</w:t>
      </w:r>
      <w:r w:rsidRPr="00B9561A">
        <w:rPr>
          <w:rFonts w:ascii="Simplified Arabic" w:eastAsiaTheme="minorHAnsi" w:hAnsi="Simplified Arabic"/>
          <w:sz w:val="24"/>
          <w:rtl/>
        </w:rPr>
        <w:tab/>
        <w:t xml:space="preserve">المساهمة في الجهود فيما يتعلق بإدراج أهمية </w:t>
      </w:r>
      <w:r w:rsidRPr="00B9561A">
        <w:rPr>
          <w:rFonts w:ascii="Simplified Arabic" w:eastAsiaTheme="minorHAnsi" w:hAnsi="Simplified Arabic" w:hint="cs"/>
          <w:sz w:val="24"/>
          <w:rtl/>
        </w:rPr>
        <w:t>و</w:t>
      </w:r>
      <w:r w:rsidRPr="00B9561A">
        <w:rPr>
          <w:rFonts w:ascii="Simplified Arabic" w:eastAsiaTheme="minorHAnsi" w:hAnsi="Simplified Arabic"/>
          <w:sz w:val="24"/>
          <w:rtl/>
        </w:rPr>
        <w:t>قيم</w:t>
      </w:r>
      <w:r w:rsidRPr="00B9561A">
        <w:rPr>
          <w:rFonts w:ascii="Simplified Arabic" w:eastAsiaTheme="minorHAnsi" w:hAnsi="Simplified Arabic" w:hint="cs"/>
          <w:sz w:val="24"/>
          <w:rtl/>
        </w:rPr>
        <w:t xml:space="preserve"> التنوع البيولوجي</w:t>
      </w:r>
      <w:r w:rsidRPr="00B9561A">
        <w:rPr>
          <w:rFonts w:ascii="Simplified Arabic" w:eastAsiaTheme="minorHAnsi" w:hAnsi="Simplified Arabic"/>
          <w:sz w:val="24"/>
          <w:rtl/>
        </w:rPr>
        <w:t xml:space="preserve"> </w:t>
      </w:r>
      <w:r w:rsidRPr="00B9561A">
        <w:rPr>
          <w:rFonts w:ascii="Simplified Arabic" w:eastAsiaTheme="minorHAnsi" w:hAnsi="Simplified Arabic" w:hint="cs"/>
          <w:sz w:val="24"/>
          <w:rtl/>
        </w:rPr>
        <w:t>و</w:t>
      </w:r>
      <w:r w:rsidRPr="00B9561A">
        <w:rPr>
          <w:rFonts w:ascii="Simplified Arabic" w:eastAsiaTheme="minorHAnsi" w:hAnsi="Simplified Arabic"/>
          <w:sz w:val="24"/>
          <w:rtl/>
        </w:rPr>
        <w:t>وظائف وخدمات النظم الإيكولوجية</w:t>
      </w:r>
      <w:r>
        <w:rPr>
          <w:rFonts w:ascii="Simplified Arabic" w:eastAsiaTheme="minorHAnsi" w:hAnsi="Simplified Arabic" w:hint="cs"/>
          <w:sz w:val="24"/>
          <w:rtl/>
        </w:rPr>
        <w:t>، وفقا للفقرة 9</w:t>
      </w:r>
      <w:r w:rsidRPr="00B9561A">
        <w:rPr>
          <w:rFonts w:ascii="Simplified Arabic" w:eastAsiaTheme="minorHAnsi" w:hAnsi="Simplified Arabic" w:hint="cs"/>
          <w:sz w:val="24"/>
          <w:rtl/>
        </w:rPr>
        <w:t>(ب)(2) من المقرر 10/3</w:t>
      </w:r>
      <w:r w:rsidRPr="00B9561A">
        <w:rPr>
          <w:rFonts w:ascii="Simplified Arabic" w:eastAsiaTheme="minorHAnsi" w:hAnsi="Simplified Arabic"/>
          <w:sz w:val="24"/>
          <w:rtl/>
        </w:rPr>
        <w:t>؛</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(د)</w:t>
      </w:r>
      <w:r w:rsidRPr="00B9561A">
        <w:rPr>
          <w:rFonts w:ascii="Simplified Arabic" w:eastAsiaTheme="minorHAnsi" w:hAnsi="Simplified Arabic"/>
          <w:sz w:val="24"/>
          <w:rtl/>
        </w:rPr>
        <w:tab/>
        <w:t>المساهمة في الجهود الرامية إلى وضع مؤشرات قائمة على العلم بشأن نُهج التعميم وتطبيقها؛</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(ه)</w:t>
      </w:r>
      <w:r w:rsidRPr="00B9561A">
        <w:rPr>
          <w:rFonts w:ascii="Simplified Arabic" w:eastAsiaTheme="minorHAnsi" w:hAnsi="Simplified Arabic"/>
          <w:sz w:val="24"/>
          <w:rtl/>
        </w:rPr>
        <w:tab/>
        <w:t xml:space="preserve">تحديد احتياجات بناء القدرات والتدريب من أجل تعميم التنوع البيولوجي </w:t>
      </w:r>
      <w:r w:rsidRPr="00B9561A">
        <w:rPr>
          <w:rFonts w:hint="cs"/>
          <w:sz w:val="24"/>
          <w:rtl/>
        </w:rPr>
        <w:t xml:space="preserve">على المستويات الإقليمية ودون الإقليمية والوطنية ودون الوطنية والمحلية، </w:t>
      </w:r>
      <w:r>
        <w:rPr>
          <w:rFonts w:hint="cs"/>
          <w:sz w:val="24"/>
          <w:rtl/>
        </w:rPr>
        <w:t>فضلا عن</w:t>
      </w:r>
      <w:r w:rsidRPr="00B9561A">
        <w:rPr>
          <w:rFonts w:hint="cs"/>
          <w:sz w:val="24"/>
          <w:rtl/>
        </w:rPr>
        <w:t xml:space="preserve"> المتعلقة بقطاعات </w:t>
      </w:r>
      <w:r>
        <w:rPr>
          <w:rFonts w:hint="cs"/>
          <w:sz w:val="24"/>
          <w:rtl/>
        </w:rPr>
        <w:t xml:space="preserve">اقتصادية أو </w:t>
      </w:r>
      <w:r w:rsidRPr="00B9561A">
        <w:rPr>
          <w:rFonts w:hint="cs"/>
          <w:sz w:val="24"/>
          <w:rtl/>
        </w:rPr>
        <w:t>فرعية محددة؛</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(و)</w:t>
      </w:r>
      <w:r w:rsidRPr="00B9561A">
        <w:rPr>
          <w:rFonts w:ascii="Simplified Arabic" w:eastAsiaTheme="minorHAnsi" w:hAnsi="Simplified Arabic"/>
          <w:sz w:val="24"/>
          <w:rtl/>
        </w:rPr>
        <w:tab/>
        <w:t>تحديد الفرص المتاحة لتيسير التعاون التقني والعلمي في مجال التعميم</w:t>
      </w:r>
      <w:r>
        <w:rPr>
          <w:rFonts w:ascii="Simplified Arabic" w:eastAsiaTheme="minorHAnsi" w:hAnsi="Simplified Arabic" w:hint="cs"/>
          <w:sz w:val="24"/>
          <w:rtl/>
        </w:rPr>
        <w:t>،</w:t>
      </w:r>
      <w:r w:rsidRPr="00B9561A">
        <w:rPr>
          <w:rFonts w:ascii="Simplified Arabic" w:eastAsiaTheme="minorHAnsi" w:hAnsi="Simplified Arabic"/>
          <w:sz w:val="24"/>
          <w:rtl/>
        </w:rPr>
        <w:t xml:space="preserve"> والدعم المالي ونقل التكنولوجيا؛</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(ز)</w:t>
      </w:r>
      <w:r w:rsidRPr="00B9561A">
        <w:rPr>
          <w:rFonts w:ascii="Simplified Arabic" w:eastAsiaTheme="minorHAnsi" w:hAnsi="Simplified Arabic"/>
          <w:sz w:val="24"/>
          <w:rtl/>
        </w:rPr>
        <w:tab/>
        <w:t>تحديد الفرص المتاحة لإقامة شراكات جديدة وتعزيز الشراكات القائمة</w:t>
      </w:r>
      <w:r w:rsidRPr="00B9561A">
        <w:rPr>
          <w:rFonts w:ascii="Simplified Arabic" w:eastAsiaTheme="minorHAnsi" w:hAnsi="Simplified Arabic" w:hint="cs"/>
          <w:sz w:val="24"/>
          <w:rtl/>
        </w:rPr>
        <w:t>، بما في ذلك مع المدن والحكومات دون الوطنية،</w:t>
      </w:r>
      <w:r w:rsidRPr="00B9561A">
        <w:rPr>
          <w:rFonts w:ascii="Simplified Arabic" w:eastAsiaTheme="minorHAnsi" w:hAnsi="Simplified Arabic"/>
          <w:sz w:val="24"/>
          <w:rtl/>
        </w:rPr>
        <w:t xml:space="preserve"> لإحراز مزيد من التقدم في تعميم التنوع البيولوجي؛</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(ح)</w:t>
      </w:r>
      <w:r w:rsidRPr="00B9561A">
        <w:rPr>
          <w:rFonts w:ascii="Simplified Arabic" w:eastAsiaTheme="minorHAnsi" w:hAnsi="Simplified Arabic"/>
          <w:sz w:val="24"/>
          <w:rtl/>
        </w:rPr>
        <w:tab/>
        <w:t>تحديد الآليات الم</w:t>
      </w:r>
      <w:r>
        <w:rPr>
          <w:rFonts w:ascii="Simplified Arabic" w:eastAsiaTheme="minorHAnsi" w:hAnsi="Simplified Arabic" w:hint="cs"/>
          <w:sz w:val="24"/>
          <w:rtl/>
        </w:rPr>
        <w:t>مكن</w:t>
      </w:r>
      <w:r w:rsidRPr="00B9561A">
        <w:rPr>
          <w:rFonts w:ascii="Simplified Arabic" w:eastAsiaTheme="minorHAnsi" w:hAnsi="Simplified Arabic"/>
          <w:sz w:val="24"/>
          <w:rtl/>
        </w:rPr>
        <w:t xml:space="preserve">ة لرصد تنفيذ الإجراءات الرامية إلى المضي قدما بتعميم التنوع البيولوجي </w:t>
      </w:r>
      <w:r w:rsidRPr="00B9561A">
        <w:rPr>
          <w:rFonts w:hint="cs"/>
          <w:sz w:val="24"/>
          <w:rtl/>
        </w:rPr>
        <w:t xml:space="preserve">على المستويات الوطنية ودون الوطنية والمحلية، </w:t>
      </w:r>
      <w:r>
        <w:rPr>
          <w:rFonts w:hint="cs"/>
          <w:sz w:val="24"/>
          <w:rtl/>
        </w:rPr>
        <w:t xml:space="preserve">مثلا، </w:t>
      </w:r>
      <w:r w:rsidRPr="00B9561A">
        <w:rPr>
          <w:rFonts w:hint="cs"/>
          <w:sz w:val="24"/>
          <w:rtl/>
        </w:rPr>
        <w:t>على المستوى المحلي، مؤشر سنغافورة بشأن التنوع البيولوجي للمدن؛</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lastRenderedPageBreak/>
        <w:t>(ط)</w:t>
      </w:r>
      <w:r w:rsidRPr="00B9561A">
        <w:rPr>
          <w:rFonts w:ascii="Simplified Arabic" w:eastAsiaTheme="minorHAnsi" w:hAnsi="Simplified Arabic"/>
          <w:sz w:val="24"/>
          <w:rtl/>
        </w:rPr>
        <w:tab/>
        <w:t xml:space="preserve">تصميم استراتيجية لتعزيز </w:t>
      </w:r>
      <w:r>
        <w:rPr>
          <w:rFonts w:ascii="Simplified Arabic" w:eastAsiaTheme="minorHAnsi" w:hAnsi="Simplified Arabic" w:hint="cs"/>
          <w:sz w:val="24"/>
          <w:rtl/>
        </w:rPr>
        <w:t>إشراك قطاعي الأعمال والتمويل</w:t>
      </w:r>
      <w:r w:rsidRPr="00B9561A">
        <w:rPr>
          <w:rFonts w:ascii="Simplified Arabic" w:eastAsiaTheme="minorHAnsi" w:hAnsi="Simplified Arabic"/>
          <w:sz w:val="24"/>
          <w:rtl/>
        </w:rPr>
        <w:t xml:space="preserve"> </w:t>
      </w:r>
      <w:r>
        <w:rPr>
          <w:rFonts w:ascii="Simplified Arabic" w:eastAsiaTheme="minorHAnsi" w:hAnsi="Simplified Arabic" w:hint="cs"/>
          <w:sz w:val="24"/>
          <w:rtl/>
        </w:rPr>
        <w:t>في</w:t>
      </w:r>
      <w:r w:rsidRPr="00B9561A">
        <w:rPr>
          <w:rFonts w:ascii="Simplified Arabic" w:eastAsiaTheme="minorHAnsi" w:hAnsi="Simplified Arabic"/>
          <w:sz w:val="24"/>
          <w:rtl/>
        </w:rPr>
        <w:t xml:space="preserve"> ت</w:t>
      </w:r>
      <w:r>
        <w:rPr>
          <w:rFonts w:ascii="Simplified Arabic" w:eastAsiaTheme="minorHAnsi" w:hAnsi="Simplified Arabic"/>
          <w:sz w:val="24"/>
          <w:rtl/>
        </w:rPr>
        <w:t>عميم التنوع البيولوجي</w:t>
      </w:r>
      <w:r w:rsidRPr="00B9561A">
        <w:rPr>
          <w:rFonts w:ascii="Simplified Arabic" w:eastAsiaTheme="minorHAnsi" w:hAnsi="Simplified Arabic"/>
          <w:sz w:val="24"/>
          <w:rtl/>
        </w:rPr>
        <w:t>؛</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(ي)</w:t>
      </w:r>
      <w:r w:rsidRPr="00B9561A">
        <w:rPr>
          <w:rFonts w:ascii="Simplified Arabic" w:eastAsiaTheme="minorHAnsi" w:hAnsi="Simplified Arabic"/>
          <w:sz w:val="24"/>
          <w:rtl/>
        </w:rPr>
        <w:tab/>
        <w:t>تحديد الممارسات والمبادئ التوجيهية والمنهجيات والتجارب والأدوات الفعالة من حيث التكلفة وذات الصلة بتعميم التنوع البيولوجي، وغيرها من الإجراءات الاستراتيجية، من أجل تعزيز تنفيذ الاتفاقية؛</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(ك)</w:t>
      </w:r>
      <w:r w:rsidRPr="00B9561A">
        <w:rPr>
          <w:rFonts w:ascii="Simplified Arabic" w:eastAsiaTheme="minorHAnsi" w:hAnsi="Simplified Arabic"/>
          <w:sz w:val="24"/>
          <w:rtl/>
        </w:rPr>
        <w:tab/>
        <w:t>تحديد العقبات التي تعترض تعميم التنوع البيولوجي في اللوائح والعمليات والسياسات والبرامج على المستو</w:t>
      </w:r>
      <w:r w:rsidRPr="00B9561A">
        <w:rPr>
          <w:rFonts w:ascii="Simplified Arabic" w:eastAsiaTheme="minorHAnsi" w:hAnsi="Simplified Arabic" w:hint="cs"/>
          <w:sz w:val="24"/>
          <w:rtl/>
        </w:rPr>
        <w:t>يات</w:t>
      </w:r>
      <w:r w:rsidRPr="00B9561A">
        <w:rPr>
          <w:rFonts w:ascii="Simplified Arabic" w:eastAsiaTheme="minorHAnsi" w:hAnsi="Simplified Arabic"/>
          <w:sz w:val="24"/>
          <w:rtl/>
        </w:rPr>
        <w:t xml:space="preserve"> الوطني</w:t>
      </w:r>
      <w:r w:rsidRPr="00B9561A">
        <w:rPr>
          <w:rFonts w:ascii="Simplified Arabic" w:eastAsiaTheme="minorHAnsi" w:hAnsi="Simplified Arabic" w:hint="cs"/>
          <w:sz w:val="24"/>
          <w:rtl/>
        </w:rPr>
        <w:t>ة ودون الوطنية والمحلية</w:t>
      </w:r>
      <w:r w:rsidRPr="00B9561A">
        <w:rPr>
          <w:rFonts w:ascii="Simplified Arabic" w:eastAsiaTheme="minorHAnsi" w:hAnsi="Simplified Arabic"/>
          <w:sz w:val="24"/>
          <w:rtl/>
        </w:rPr>
        <w:t>؛</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(ل)</w:t>
      </w:r>
      <w:r w:rsidRPr="00B9561A">
        <w:rPr>
          <w:rFonts w:ascii="Simplified Arabic" w:eastAsiaTheme="minorHAnsi" w:hAnsi="Simplified Arabic"/>
          <w:sz w:val="24"/>
          <w:rtl/>
        </w:rPr>
        <w:tab/>
        <w:t xml:space="preserve">تحديد الخيارات والحلول للتغلب على </w:t>
      </w:r>
      <w:r w:rsidRPr="00B9561A">
        <w:rPr>
          <w:rFonts w:ascii="Simplified Arabic" w:eastAsiaTheme="minorHAnsi" w:hAnsi="Simplified Arabic" w:hint="cs"/>
          <w:sz w:val="24"/>
          <w:rtl/>
        </w:rPr>
        <w:t xml:space="preserve">هذه </w:t>
      </w:r>
      <w:r w:rsidRPr="00B9561A">
        <w:rPr>
          <w:rFonts w:ascii="Simplified Arabic" w:eastAsiaTheme="minorHAnsi" w:hAnsi="Simplified Arabic"/>
          <w:sz w:val="24"/>
          <w:rtl/>
        </w:rPr>
        <w:t>العقبات التي تعترض تعميم التنوع البيولوجي؛</w:t>
      </w:r>
    </w:p>
    <w:p w:rsidR="0044570B" w:rsidRPr="00B9561A" w:rsidRDefault="0044570B" w:rsidP="0044570B">
      <w:pPr>
        <w:ind w:left="4" w:firstLine="709"/>
        <w:rPr>
          <w:rFonts w:ascii="Simplified Arabic" w:eastAsiaTheme="minorHAnsi" w:hAnsi="Simplified Arabic"/>
          <w:sz w:val="24"/>
          <w:rtl/>
        </w:rPr>
      </w:pPr>
      <w:r w:rsidRPr="00B9561A">
        <w:rPr>
          <w:rFonts w:ascii="Simplified Arabic" w:eastAsiaTheme="minorHAnsi" w:hAnsi="Simplified Arabic"/>
          <w:sz w:val="24"/>
          <w:rtl/>
        </w:rPr>
        <w:t>(م)</w:t>
      </w:r>
      <w:r w:rsidRPr="00B9561A">
        <w:rPr>
          <w:rFonts w:ascii="Simplified Arabic" w:eastAsiaTheme="minorHAnsi" w:hAnsi="Simplified Arabic"/>
          <w:sz w:val="24"/>
          <w:rtl/>
        </w:rPr>
        <w:tab/>
        <w:t>تحديد المهام الرئيسية فضلا عن التحديات والفجوات في تنفيذ هذه الإجراءات؛</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(ن)</w:t>
      </w:r>
      <w:r w:rsidRPr="00B9561A">
        <w:rPr>
          <w:rFonts w:ascii="Simplified Arabic" w:eastAsiaTheme="minorHAnsi" w:hAnsi="Simplified Arabic"/>
          <w:sz w:val="24"/>
          <w:rtl/>
        </w:rPr>
        <w:tab/>
        <w:t>اقتراح الإجراءات ذات الأولوية والجداول الزمنية والجهات الفاعلة ذات الصلة؛</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(س)</w:t>
      </w:r>
      <w:r w:rsidRPr="00B9561A">
        <w:rPr>
          <w:rFonts w:ascii="Simplified Arabic" w:eastAsiaTheme="minorHAnsi" w:hAnsi="Simplified Arabic"/>
          <w:sz w:val="24"/>
          <w:rtl/>
        </w:rPr>
        <w:tab/>
        <w:t>تحديد المجالات التي يكون فيها العمل الإضافي مرغوبا فيه من أجل تحقيق المزيد من التقدم في التعميم بموجب الاتفاقية؛</w:t>
      </w:r>
    </w:p>
    <w:p w:rsidR="0044570B" w:rsidRPr="00B9561A" w:rsidRDefault="0044570B" w:rsidP="0044570B">
      <w:pPr>
        <w:ind w:left="4" w:firstLine="709"/>
        <w:rPr>
          <w:rFonts w:ascii="Simplified Arabic" w:eastAsiaTheme="minorHAnsi" w:hAnsi="Simplified Arabic"/>
          <w:sz w:val="24"/>
        </w:rPr>
      </w:pPr>
      <w:r w:rsidRPr="00B9561A">
        <w:rPr>
          <w:rFonts w:ascii="Simplified Arabic" w:eastAsiaTheme="minorHAnsi" w:hAnsi="Simplified Arabic"/>
          <w:sz w:val="24"/>
          <w:rtl/>
        </w:rPr>
        <w:t>(ع)</w:t>
      </w:r>
      <w:r w:rsidRPr="00B9561A">
        <w:rPr>
          <w:rFonts w:ascii="Simplified Arabic" w:eastAsiaTheme="minorHAnsi" w:hAnsi="Simplified Arabic"/>
          <w:sz w:val="24"/>
          <w:rtl/>
        </w:rPr>
        <w:tab/>
        <w:t>تقديم أي مشورة أخرى ذات صلة، بما في ذلك بشأن المبادرات أو التطورات الأخرى، والاجتماعات والفرص الأخرى للمساعدة في المضي قدما بهذا العمل.</w:t>
      </w:r>
    </w:p>
    <w:p w:rsidR="0044570B" w:rsidRPr="00B9561A" w:rsidRDefault="0044570B" w:rsidP="0044570B">
      <w:pPr>
        <w:jc w:val="center"/>
        <w:rPr>
          <w:rFonts w:ascii="Simplified Arabic" w:eastAsiaTheme="minorHAnsi" w:hAnsi="Simplified Arabic"/>
          <w:i/>
          <w:iCs/>
          <w:sz w:val="24"/>
        </w:rPr>
      </w:pPr>
      <w:r w:rsidRPr="00B9561A">
        <w:rPr>
          <w:rFonts w:ascii="Simplified Arabic" w:eastAsiaTheme="minorHAnsi" w:hAnsi="Simplified Arabic"/>
          <w:i/>
          <w:iCs/>
          <w:sz w:val="24"/>
          <w:rtl/>
        </w:rPr>
        <w:t>المرفق الثاني</w:t>
      </w:r>
    </w:p>
    <w:p w:rsidR="0044570B" w:rsidRPr="00B9561A" w:rsidRDefault="0044570B" w:rsidP="0044570B">
      <w:pPr>
        <w:jc w:val="center"/>
        <w:rPr>
          <w:rFonts w:ascii="Simplified Arabic" w:eastAsiaTheme="minorHAnsi" w:hAnsi="Simplified Arabic"/>
          <w:b/>
          <w:bCs/>
          <w:sz w:val="24"/>
        </w:rPr>
      </w:pPr>
      <w:r w:rsidRPr="00B9561A">
        <w:rPr>
          <w:rFonts w:ascii="Simplified Arabic" w:eastAsiaTheme="minorHAnsi" w:hAnsi="Simplified Arabic"/>
          <w:b/>
          <w:bCs/>
          <w:sz w:val="24"/>
          <w:rtl/>
        </w:rPr>
        <w:t xml:space="preserve">اختصاصات </w:t>
      </w:r>
      <w:r w:rsidRPr="00B9561A">
        <w:rPr>
          <w:rFonts w:ascii="Simplified Arabic" w:eastAsiaTheme="minorHAnsi" w:hAnsi="Simplified Arabic" w:hint="cs"/>
          <w:b/>
          <w:bCs/>
          <w:sz w:val="24"/>
          <w:rtl/>
        </w:rPr>
        <w:t>ال</w:t>
      </w:r>
      <w:r w:rsidRPr="00B9561A">
        <w:rPr>
          <w:rFonts w:ascii="Simplified Arabic" w:eastAsiaTheme="minorHAnsi" w:hAnsi="Simplified Arabic"/>
          <w:b/>
          <w:bCs/>
          <w:sz w:val="24"/>
          <w:rtl/>
        </w:rPr>
        <w:t>فريق الاستشاري غير الرسمي المعني بتعميم التنوع البيولوجي</w:t>
      </w:r>
    </w:p>
    <w:p w:rsidR="0044570B" w:rsidRPr="00B9561A" w:rsidRDefault="0044570B" w:rsidP="00FF7FA5">
      <w:pPr>
        <w:numPr>
          <w:ilvl w:val="0"/>
          <w:numId w:val="17"/>
        </w:numPr>
        <w:ind w:left="0" w:firstLine="0"/>
        <w:rPr>
          <w:rFonts w:ascii="Simplified Arabic" w:eastAsiaTheme="minorHAnsi" w:hAnsi="Simplified Arabic"/>
          <w:sz w:val="24"/>
        </w:rPr>
      </w:pPr>
      <w:r w:rsidRPr="00B9561A">
        <w:rPr>
          <w:rFonts w:ascii="Simplified Arabic" w:eastAsiaTheme="minorHAnsi" w:hAnsi="Simplified Arabic"/>
          <w:sz w:val="24"/>
          <w:rtl/>
        </w:rPr>
        <w:t xml:space="preserve">سيتألف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فريق الاستشاري غير الرسمي المعني بتعميم التنوع البيولوجي من خبراء من أصحاب الخبرة في الميادين ذات الصلة بتعميم التنوع البيولوجي، ترشحهم الأطراف، مع إيلاء الاعتبار الواجب للتمثيل الإقليمي والتوازن بين الجنسين والظروف الخاصة للبلدان النامية، ولا سيما أقل البلدان نموا والدول الجزرية الصغيرة النامية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والبلدان التي تمر اقتصاداتها بمرحلة انتقالية، فضلا عن خبراء من القطاعين العام والخاص، بما في ذلك </w:t>
      </w:r>
      <w:r>
        <w:rPr>
          <w:rFonts w:ascii="Simplified Arabic" w:eastAsiaTheme="minorHAnsi" w:hAnsi="Simplified Arabic" w:hint="cs"/>
          <w:sz w:val="24"/>
          <w:rtl/>
        </w:rPr>
        <w:t>المدن والحكومات دون الوطنية، و</w:t>
      </w:r>
      <w:r w:rsidRPr="00B9561A">
        <w:rPr>
          <w:rFonts w:ascii="Simplified Arabic" w:eastAsiaTheme="minorHAnsi" w:hAnsi="Simplified Arabic"/>
          <w:sz w:val="24"/>
          <w:rtl/>
        </w:rPr>
        <w:t>المجتمع المدني، والأوساط الأكاديمية، وقادة الأعمال، فضلا عن الشعوب الأصلية والمجتمعات المحلية والمنظمات ذات الصلة، بما في ذلك</w:t>
      </w:r>
      <w:r w:rsidRPr="00B9561A">
        <w:rPr>
          <w:rFonts w:ascii="Simplified Arabic" w:eastAsiaTheme="minorHAnsi" w:hAnsi="Simplified Arabic" w:hint="cs"/>
          <w:sz w:val="24"/>
          <w:rtl/>
        </w:rPr>
        <w:t xml:space="preserve"> </w:t>
      </w:r>
      <w:r w:rsidRPr="00B9561A">
        <w:rPr>
          <w:rFonts w:ascii="Simplified Arabic" w:eastAsiaTheme="minorHAnsi" w:hAnsi="Simplified Arabic"/>
          <w:sz w:val="24"/>
          <w:rtl/>
        </w:rPr>
        <w:t>المنظمات الدولية ذات الصلة، والمنظمات غير الحكومية والرابطات الصناعية. ويجب ألا يتجاوز عدد الخبراء من المنظمات عدد الخبراء الذين ترشحهم الأطراف.</w:t>
      </w:r>
    </w:p>
    <w:p w:rsidR="0044570B" w:rsidRPr="00B9561A" w:rsidRDefault="0044570B" w:rsidP="00FF7FA5">
      <w:pPr>
        <w:numPr>
          <w:ilvl w:val="0"/>
          <w:numId w:val="17"/>
        </w:numPr>
        <w:ind w:left="0" w:firstLine="0"/>
        <w:rPr>
          <w:rFonts w:ascii="Simplified Arabic" w:eastAsiaTheme="minorHAnsi" w:hAnsi="Simplified Arabic"/>
          <w:sz w:val="24"/>
        </w:rPr>
      </w:pPr>
      <w:r w:rsidRPr="00B9561A">
        <w:rPr>
          <w:rFonts w:ascii="Simplified Arabic" w:eastAsiaTheme="minorHAnsi" w:hAnsi="Simplified Arabic"/>
          <w:sz w:val="24"/>
          <w:rtl/>
        </w:rPr>
        <w:t xml:space="preserve">ومع وضع في الاعتبار مقررات مؤتمر الأطراف بشأن تعميم التنوع البيولوجي في قطاعات بعينها وفي عدة قطاعات، وكذلك عمل العمليات والمنظمات الدولية الأخرى ذات الصلة، بما في ذلك خطة التنمية المستدامة لعام 2030، ومنظمة الأغذية والزراعة للأمم المتحدة، وبرنامج الأمم المتحدة الإنمائي، وبرنامج الأمم المتحدة للبيئة، ومنظمة الأمم المتحدة للتنمية الصناعية، ومنظمة التجارة العالمية، والبنك الدولي، </w:t>
      </w:r>
      <w:r w:rsidRPr="00B9561A">
        <w:rPr>
          <w:rFonts w:ascii="Simplified Arabic" w:eastAsiaTheme="minorHAnsi" w:hAnsi="Simplified Arabic" w:hint="cs"/>
          <w:sz w:val="24"/>
          <w:rtl/>
        </w:rPr>
        <w:t xml:space="preserve">ومنظمة الصحة العالمية، </w:t>
      </w:r>
      <w:r w:rsidRPr="00B9561A">
        <w:rPr>
          <w:rFonts w:ascii="Simplified Arabic" w:eastAsiaTheme="minorHAnsi" w:hAnsi="Simplified Arabic"/>
          <w:sz w:val="24"/>
          <w:rtl/>
        </w:rPr>
        <w:t>ومؤتمر الأمم المتحدة للتجارة والتنمية ومنظمة العمل الدولية</w:t>
      </w:r>
      <w:r w:rsidRPr="00B9561A">
        <w:rPr>
          <w:rFonts w:ascii="Simplified Arabic" w:eastAsiaTheme="minorHAnsi" w:hAnsi="Simplified Arabic" w:hint="cs"/>
          <w:sz w:val="24"/>
          <w:rtl/>
        </w:rPr>
        <w:t>،</w:t>
      </w:r>
      <w:r w:rsidRPr="00B9561A">
        <w:rPr>
          <w:rFonts w:ascii="Simplified Arabic" w:eastAsiaTheme="minorHAnsi" w:hAnsi="Simplified Arabic"/>
          <w:sz w:val="24"/>
          <w:rtl/>
        </w:rPr>
        <w:t xml:space="preserve"> ضمن غيرها، والاستفادة من المعلومات المتاحة، بما في ذلك </w:t>
      </w:r>
      <w:r>
        <w:rPr>
          <w:rFonts w:ascii="Simplified Arabic" w:eastAsiaTheme="minorHAnsi" w:hAnsi="Simplified Arabic" w:hint="cs"/>
          <w:sz w:val="24"/>
          <w:rtl/>
        </w:rPr>
        <w:t>المعلومات</w:t>
      </w:r>
      <w:r w:rsidRPr="00B9561A">
        <w:rPr>
          <w:rFonts w:ascii="Simplified Arabic" w:eastAsiaTheme="minorHAnsi" w:hAnsi="Simplified Arabic"/>
          <w:sz w:val="24"/>
          <w:rtl/>
        </w:rPr>
        <w:t xml:space="preserve"> في غرفة تبادل المعلومات التابعة للاتفاقية، سيقدم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 xml:space="preserve">فريق الاستشاري غير الرسمي إلى الأمينة التنفيذية والمكتب المشورة بشأن وضع نهج استراتيجي طويل الأجل لتعميم التنوع البيولوجي. وسيقدم الفريق الاستشاري غير الرسمي </w:t>
      </w:r>
      <w:r w:rsidRPr="00B9561A">
        <w:rPr>
          <w:rFonts w:ascii="Simplified Arabic" w:eastAsiaTheme="minorHAnsi" w:hAnsi="Simplified Arabic" w:hint="cs"/>
          <w:sz w:val="24"/>
          <w:rtl/>
        </w:rPr>
        <w:t xml:space="preserve">والمكتب </w:t>
      </w:r>
      <w:r w:rsidRPr="00B9561A">
        <w:rPr>
          <w:rFonts w:ascii="Simplified Arabic" w:eastAsiaTheme="minorHAnsi" w:hAnsi="Simplified Arabic"/>
          <w:sz w:val="24"/>
          <w:rtl/>
        </w:rPr>
        <w:t>المشورة بشأن جميع جوانب النهج الاستراتيجي طويل الأجل.</w:t>
      </w:r>
    </w:p>
    <w:p w:rsidR="0044570B" w:rsidRPr="00B9561A" w:rsidRDefault="0044570B" w:rsidP="00FF7FA5">
      <w:pPr>
        <w:numPr>
          <w:ilvl w:val="0"/>
          <w:numId w:val="17"/>
        </w:numPr>
        <w:ind w:left="0" w:firstLine="0"/>
        <w:rPr>
          <w:rFonts w:ascii="Simplified Arabic" w:eastAsiaTheme="minorHAnsi" w:hAnsi="Simplified Arabic"/>
          <w:sz w:val="24"/>
        </w:rPr>
      </w:pPr>
      <w:r w:rsidRPr="00B9561A">
        <w:rPr>
          <w:rFonts w:ascii="Simplified Arabic" w:eastAsiaTheme="minorHAnsi" w:hAnsi="Simplified Arabic"/>
          <w:sz w:val="24"/>
          <w:rtl/>
        </w:rPr>
        <w:t xml:space="preserve">وستدعم الأمينة التنفيذية عمل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فريق الاستشاري غير الرسمي.</w:t>
      </w:r>
    </w:p>
    <w:p w:rsidR="0044570B" w:rsidRPr="00B9561A" w:rsidRDefault="0044570B" w:rsidP="00B55747">
      <w:pPr>
        <w:rPr>
          <w:rFonts w:ascii="Simplified Arabic" w:eastAsiaTheme="minorHAnsi" w:hAnsi="Simplified Arabic"/>
          <w:b/>
          <w:bCs/>
          <w:sz w:val="24"/>
        </w:rPr>
      </w:pPr>
      <w:r w:rsidRPr="00B9561A">
        <w:rPr>
          <w:rFonts w:ascii="Simplified Arabic" w:eastAsiaTheme="minorHAnsi" w:hAnsi="Simplified Arabic"/>
          <w:b/>
          <w:bCs/>
          <w:sz w:val="24"/>
          <w:rtl/>
        </w:rPr>
        <w:t>طريقة التشغيل</w:t>
      </w:r>
    </w:p>
    <w:p w:rsidR="0044570B" w:rsidRPr="00B9561A" w:rsidRDefault="0044570B" w:rsidP="00FF7FA5">
      <w:pPr>
        <w:numPr>
          <w:ilvl w:val="0"/>
          <w:numId w:val="17"/>
        </w:numPr>
        <w:ind w:left="0" w:firstLine="0"/>
        <w:rPr>
          <w:rFonts w:ascii="Simplified Arabic" w:eastAsiaTheme="minorHAnsi" w:hAnsi="Simplified Arabic"/>
          <w:sz w:val="24"/>
        </w:rPr>
      </w:pPr>
      <w:r w:rsidRPr="00B9561A">
        <w:rPr>
          <w:rFonts w:ascii="Simplified Arabic" w:eastAsiaTheme="minorHAnsi" w:hAnsi="Simplified Arabic"/>
          <w:sz w:val="24"/>
          <w:rtl/>
        </w:rPr>
        <w:t xml:space="preserve">سوف يجتمع الفريق </w:t>
      </w:r>
      <w:r w:rsidRPr="00B9561A">
        <w:rPr>
          <w:rFonts w:ascii="Simplified Arabic" w:eastAsiaTheme="minorHAnsi" w:hAnsi="Simplified Arabic" w:hint="cs"/>
          <w:sz w:val="24"/>
          <w:rtl/>
        </w:rPr>
        <w:t xml:space="preserve">الاستشاري غير الرسمي، بقدر ما يكون ذلك عمليا، </w:t>
      </w:r>
      <w:r w:rsidRPr="00B9561A">
        <w:rPr>
          <w:rFonts w:ascii="Simplified Arabic" w:eastAsiaTheme="minorHAnsi" w:hAnsi="Simplified Arabic"/>
          <w:sz w:val="24"/>
          <w:rtl/>
        </w:rPr>
        <w:t>من خلال وسائل افتراضية، بما في ذلك مؤتمرات الفيديو. وستُعقد الاجتماعات الفعلية مرة واحدة على الأقل كل عام، رهنا بتوافر الموارد.</w:t>
      </w:r>
    </w:p>
    <w:p w:rsidR="0044570B" w:rsidRPr="00B9561A" w:rsidRDefault="0044570B" w:rsidP="0044570B">
      <w:pPr>
        <w:rPr>
          <w:rFonts w:ascii="Simplified Arabic" w:eastAsiaTheme="minorHAnsi" w:hAnsi="Simplified Arabic"/>
          <w:b/>
          <w:bCs/>
          <w:sz w:val="24"/>
        </w:rPr>
      </w:pPr>
      <w:r w:rsidRPr="00B9561A">
        <w:rPr>
          <w:rFonts w:ascii="Simplified Arabic" w:eastAsiaTheme="minorHAnsi" w:hAnsi="Simplified Arabic"/>
          <w:b/>
          <w:bCs/>
          <w:sz w:val="24"/>
          <w:rtl/>
        </w:rPr>
        <w:lastRenderedPageBreak/>
        <w:t>بدء العمل واستعراضه</w:t>
      </w:r>
    </w:p>
    <w:p w:rsidR="0044570B" w:rsidRPr="00B9561A" w:rsidRDefault="0044570B" w:rsidP="00FF7FA5">
      <w:pPr>
        <w:numPr>
          <w:ilvl w:val="0"/>
          <w:numId w:val="17"/>
        </w:numPr>
        <w:ind w:left="0" w:firstLine="0"/>
        <w:rPr>
          <w:rFonts w:ascii="Simplified Arabic" w:hAnsi="Simplified Arabic"/>
          <w:sz w:val="24"/>
          <w:lang w:val="en-GB"/>
        </w:rPr>
      </w:pPr>
      <w:r w:rsidRPr="00B9561A">
        <w:rPr>
          <w:rFonts w:ascii="Simplified Arabic" w:eastAsiaTheme="minorHAnsi" w:hAnsi="Simplified Arabic"/>
          <w:sz w:val="24"/>
          <w:rtl/>
        </w:rPr>
        <w:t xml:space="preserve">ينبغي الشروع في عمل </w:t>
      </w:r>
      <w:r w:rsidRPr="00B9561A">
        <w:rPr>
          <w:rFonts w:ascii="Simplified Arabic" w:eastAsiaTheme="minorHAnsi" w:hAnsi="Simplified Arabic" w:hint="cs"/>
          <w:sz w:val="24"/>
          <w:rtl/>
        </w:rPr>
        <w:t>ال</w:t>
      </w:r>
      <w:r w:rsidRPr="00B9561A">
        <w:rPr>
          <w:rFonts w:ascii="Simplified Arabic" w:eastAsiaTheme="minorHAnsi" w:hAnsi="Simplified Arabic"/>
          <w:sz w:val="24"/>
          <w:rtl/>
        </w:rPr>
        <w:t>فريق الاستشاري غير الرسمي فور موافقة مؤتمر الأطراف في اجتماعه الرابع عشر على الاختصاصات.</w:t>
      </w:r>
    </w:p>
    <w:p w:rsidR="0044570B" w:rsidRPr="00B9561A" w:rsidRDefault="0044570B" w:rsidP="00FF7FA5">
      <w:pPr>
        <w:numPr>
          <w:ilvl w:val="0"/>
          <w:numId w:val="17"/>
        </w:numPr>
        <w:ind w:left="0" w:firstLine="0"/>
        <w:rPr>
          <w:rFonts w:ascii="Simplified Arabic" w:eastAsiaTheme="minorHAnsi" w:hAnsi="Simplified Arabic"/>
          <w:sz w:val="24"/>
        </w:rPr>
      </w:pPr>
      <w:r w:rsidRPr="00B9561A">
        <w:rPr>
          <w:rFonts w:ascii="Simplified Arabic" w:eastAsiaTheme="minorHAnsi" w:hAnsi="Simplified Arabic"/>
          <w:sz w:val="24"/>
          <w:rtl/>
        </w:rPr>
        <w:t>وسيتم استعراض ولاية وتكوين الفريق الاستشاري غير الرسمي من قبل الهيئة الفرعية للتنفيذ في اجتماعها الثالث بعد النظر في تقرير مرحلي تقدمه الأمينة التنفيذية.</w:t>
      </w:r>
    </w:p>
    <w:p w:rsidR="0044570B" w:rsidRDefault="0044570B">
      <w:pPr>
        <w:bidi w:val="0"/>
        <w:spacing w:after="0" w:line="240" w:lineRule="auto"/>
        <w:jc w:val="left"/>
        <w:rPr>
          <w:b/>
          <w:bCs/>
          <w:sz w:val="24"/>
          <w:rtl/>
        </w:rPr>
      </w:pPr>
      <w:r>
        <w:rPr>
          <w:b/>
          <w:bCs/>
          <w:sz w:val="24"/>
          <w:rtl/>
        </w:rPr>
        <w:br w:type="page"/>
      </w:r>
    </w:p>
    <w:p w:rsidR="00BF5B24" w:rsidRPr="00BD6F94" w:rsidRDefault="00BF5B24" w:rsidP="00B55747">
      <w:pPr>
        <w:pStyle w:val="Heading2"/>
      </w:pPr>
      <w:bookmarkStart w:id="9" w:name="_Toc6071546"/>
      <w:bookmarkStart w:id="10" w:name="_Toc6139965"/>
      <w:r>
        <w:rPr>
          <w:rFonts w:hint="cs"/>
          <w:rtl/>
        </w:rPr>
        <w:lastRenderedPageBreak/>
        <w:t>المقرر 14/4</w:t>
      </w:r>
      <w:r>
        <w:rPr>
          <w:rFonts w:hint="cs"/>
          <w:rtl/>
        </w:rPr>
        <w:tab/>
      </w:r>
      <w:r w:rsidRPr="00BD6F94">
        <w:rPr>
          <w:rFonts w:hint="cs"/>
          <w:rtl/>
        </w:rPr>
        <w:t>الصحة والتنوع البيولوجي</w:t>
      </w:r>
      <w:bookmarkEnd w:id="9"/>
      <w:bookmarkEnd w:id="10"/>
    </w:p>
    <w:p w:rsidR="00BF5B24" w:rsidRDefault="00BF5B24" w:rsidP="00BF5B24">
      <w:pPr>
        <w:ind w:firstLine="720"/>
        <w:rPr>
          <w:rFonts w:ascii="Simplified Arabic" w:hAnsi="Simplified Arabic"/>
          <w:i/>
          <w:iCs/>
          <w:rtl/>
        </w:rPr>
      </w:pPr>
      <w:r w:rsidRPr="002F573E">
        <w:rPr>
          <w:rFonts w:ascii="Simplified Arabic" w:hAnsi="Simplified Arabic"/>
          <w:i/>
          <w:iCs/>
          <w:rtl/>
        </w:rPr>
        <w:t xml:space="preserve">إن </w:t>
      </w:r>
      <w:r>
        <w:rPr>
          <w:rFonts w:ascii="Simplified Arabic" w:hAnsi="Simplified Arabic" w:hint="cs"/>
          <w:i/>
          <w:iCs/>
          <w:rtl/>
        </w:rPr>
        <w:t>مؤتمر الأطراف،</w:t>
      </w:r>
    </w:p>
    <w:p w:rsidR="00BF5B24" w:rsidRPr="00801428" w:rsidRDefault="00BF5B24" w:rsidP="00BF5B24">
      <w:pPr>
        <w:spacing w:after="100" w:line="204" w:lineRule="auto"/>
        <w:ind w:firstLine="720"/>
        <w:rPr>
          <w:rFonts w:ascii="Simplified Arabic" w:eastAsiaTheme="minorHAnsi" w:hAnsi="Simplified Arabic"/>
          <w:rtl/>
        </w:rPr>
      </w:pPr>
      <w:r>
        <w:rPr>
          <w:rFonts w:ascii="Simplified Arabic" w:eastAsiaTheme="minorHAnsi" w:hAnsi="Simplified Arabic" w:hint="cs"/>
          <w:i/>
          <w:iCs/>
          <w:rtl/>
        </w:rPr>
        <w:t xml:space="preserve">إذ يشير </w:t>
      </w:r>
      <w:r>
        <w:rPr>
          <w:rFonts w:ascii="Simplified Arabic" w:eastAsiaTheme="minorHAnsi" w:hAnsi="Simplified Arabic" w:hint="cs"/>
          <w:rtl/>
        </w:rPr>
        <w:t xml:space="preserve">إلى المقرر </w:t>
      </w:r>
      <w:r w:rsidRPr="007B0360">
        <w:rPr>
          <w:rFonts w:ascii="Simplified Arabic" w:eastAsiaTheme="minorHAnsi" w:hAnsi="Simplified Arabic" w:hint="cs"/>
          <w:rtl/>
        </w:rPr>
        <w:t>12/21</w:t>
      </w:r>
      <w:r>
        <w:rPr>
          <w:rFonts w:ascii="Simplified Arabic" w:eastAsiaTheme="minorHAnsi" w:hAnsi="Simplified Arabic" w:hint="cs"/>
          <w:rtl/>
        </w:rPr>
        <w:t xml:space="preserve"> بشأن الصحة والتنوع البيولوجي،</w:t>
      </w:r>
    </w:p>
    <w:p w:rsidR="00BF5B24" w:rsidRPr="005E4A5F" w:rsidRDefault="00BF5B24" w:rsidP="00BF5B24">
      <w:pPr>
        <w:spacing w:after="100" w:line="204" w:lineRule="auto"/>
        <w:ind w:firstLine="720"/>
        <w:rPr>
          <w:rFonts w:ascii="Simplified Arabic" w:eastAsiaTheme="minorHAnsi" w:hAnsi="Simplified Arabic"/>
          <w:rtl/>
        </w:rPr>
      </w:pPr>
      <w:r>
        <w:rPr>
          <w:rFonts w:ascii="Simplified Arabic" w:eastAsiaTheme="minorHAnsi" w:hAnsi="Simplified Arabic" w:hint="cs"/>
          <w:i/>
          <w:iCs/>
          <w:rtl/>
        </w:rPr>
        <w:t>و</w:t>
      </w:r>
      <w:r w:rsidRPr="005E4A5F">
        <w:rPr>
          <w:rFonts w:ascii="Simplified Arabic" w:eastAsiaTheme="minorHAnsi" w:hAnsi="Simplified Arabic"/>
          <w:i/>
          <w:iCs/>
          <w:rtl/>
        </w:rPr>
        <w:t xml:space="preserve">إذ يشير إلى </w:t>
      </w:r>
      <w:r w:rsidRPr="005E4A5F">
        <w:rPr>
          <w:rFonts w:ascii="Simplified Arabic" w:eastAsiaTheme="minorHAnsi" w:hAnsi="Simplified Arabic"/>
          <w:rtl/>
        </w:rPr>
        <w:t xml:space="preserve">المقرر </w:t>
      </w:r>
      <w:r w:rsidRPr="007B0360">
        <w:rPr>
          <w:rFonts w:ascii="Simplified Arabic" w:eastAsiaTheme="minorHAnsi" w:hAnsi="Simplified Arabic"/>
          <w:rtl/>
        </w:rPr>
        <w:t>13/3</w:t>
      </w:r>
      <w:r w:rsidRPr="005E4A5F">
        <w:rPr>
          <w:rFonts w:ascii="Simplified Arabic" w:eastAsiaTheme="minorHAnsi" w:hAnsi="Simplified Arabic"/>
          <w:rtl/>
        </w:rPr>
        <w:t xml:space="preserve">، الذي نظر فيه في قضية تعميم التنوع البيولوجي في قطاعات الزراعة، والحراجة، ومصايد الأسماك والسياحة فضلا عن قضايا شاملة، وقرر فيه أن يقوم، في اجتماعه الرابع عشر، بتناول قضية تعميم التنوع البيولوجي في قطاعات الطاقة والتعدين، والبنية التحتية، </w:t>
      </w:r>
      <w:r>
        <w:rPr>
          <w:rFonts w:ascii="Simplified Arabic" w:eastAsiaTheme="minorHAnsi" w:hAnsi="Simplified Arabic" w:hint="cs"/>
          <w:rtl/>
        </w:rPr>
        <w:t xml:space="preserve">والصناعات التحويلية </w:t>
      </w:r>
      <w:r w:rsidRPr="005E4A5F">
        <w:rPr>
          <w:rFonts w:ascii="Simplified Arabic" w:eastAsiaTheme="minorHAnsi" w:hAnsi="Simplified Arabic"/>
          <w:rtl/>
        </w:rPr>
        <w:t>والتجهيز</w:t>
      </w:r>
      <w:r>
        <w:rPr>
          <w:rFonts w:ascii="Simplified Arabic" w:eastAsiaTheme="minorHAnsi" w:hAnsi="Simplified Arabic" w:hint="cs"/>
          <w:rtl/>
        </w:rPr>
        <w:t>،</w:t>
      </w:r>
      <w:r w:rsidRPr="005E4A5F">
        <w:rPr>
          <w:rFonts w:ascii="Simplified Arabic" w:eastAsiaTheme="minorHAnsi" w:hAnsi="Simplified Arabic"/>
          <w:rtl/>
        </w:rPr>
        <w:t xml:space="preserve"> والصحة،</w:t>
      </w:r>
    </w:p>
    <w:p w:rsidR="00BF5B24" w:rsidRPr="005E4A5F"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i/>
          <w:iCs/>
          <w:rtl/>
        </w:rPr>
        <w:t xml:space="preserve">وإذ يقر </w:t>
      </w:r>
      <w:r w:rsidRPr="005E4A5F">
        <w:rPr>
          <w:rFonts w:ascii="Simplified Arabic" w:eastAsiaTheme="minorHAnsi" w:hAnsi="Simplified Arabic"/>
          <w:rtl/>
        </w:rPr>
        <w:t xml:space="preserve">بأن قطاع الصحة يعتمد من جهة على التنوع البيولوجي ووظائف وخدمات النظم الإيكولوجية التي يعتمد عليها التنوع البيولوجي، وأن فقدان التنوع البيولوجي يمكن أن يؤثر بالسلب على قطاع الصحة، ومن جهة أخرى </w:t>
      </w:r>
      <w:r>
        <w:rPr>
          <w:rFonts w:ascii="Simplified Arabic" w:eastAsiaTheme="minorHAnsi" w:hAnsi="Simplified Arabic" w:hint="cs"/>
          <w:rtl/>
        </w:rPr>
        <w:t xml:space="preserve">فإن قطاع الصحة له </w:t>
      </w:r>
      <w:r w:rsidRPr="005E4A5F">
        <w:rPr>
          <w:rFonts w:ascii="Simplified Arabic" w:eastAsiaTheme="minorHAnsi" w:hAnsi="Simplified Arabic"/>
          <w:rtl/>
        </w:rPr>
        <w:t>آثار محتملة على التنوع البيولوجي قد تهدد تقديم وظائف وخدمات النظم الإيكولوجية التي تعتبر حيوية بالنسبة للبشر،</w:t>
      </w:r>
    </w:p>
    <w:p w:rsidR="00BF5B24" w:rsidRPr="005E4A5F"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i/>
          <w:iCs/>
          <w:rtl/>
        </w:rPr>
        <w:t xml:space="preserve">وإذ يشدد على </w:t>
      </w:r>
      <w:r w:rsidRPr="005E4A5F">
        <w:rPr>
          <w:rFonts w:ascii="Simplified Arabic" w:eastAsiaTheme="minorHAnsi" w:hAnsi="Simplified Arabic"/>
          <w:rtl/>
        </w:rPr>
        <w:t>أن تعميم التنوع البيولوجي في قطاع الصحة أمر ضروري لوقف فقدان التنوع البيولوجي ومن أجل تحقيق الخطة الاستراتيجية للتنوع البيولوجي 2011-2020</w:t>
      </w:r>
      <w:r>
        <w:rPr>
          <w:rStyle w:val="FootnoteReference"/>
          <w:rFonts w:ascii="Simplified Arabic" w:eastAsiaTheme="minorHAnsi" w:hAnsi="Simplified Arabic"/>
          <w:rtl/>
        </w:rPr>
        <w:footnoteReference w:id="37"/>
      </w:r>
      <w:r w:rsidRPr="005E4A5F">
        <w:rPr>
          <w:rFonts w:ascii="Simplified Arabic" w:eastAsiaTheme="minorHAnsi" w:hAnsi="Simplified Arabic"/>
          <w:rtl/>
        </w:rPr>
        <w:t xml:space="preserve"> وأهداف وغايات مختلف الاتفاقات المتعددة الأطراف والعمليات الدولية، بما في ذلك خطة التنمية المستدامة لعام 2030</w:t>
      </w:r>
      <w:r>
        <w:rPr>
          <w:rFonts w:ascii="Simplified Arabic" w:eastAsiaTheme="minorHAnsi" w:hAnsi="Simplified Arabic" w:hint="cs"/>
          <w:rtl/>
        </w:rPr>
        <w:t>،</w:t>
      </w:r>
      <w:r w:rsidRPr="005E4A5F">
        <w:rPr>
          <w:rFonts w:ascii="Simplified Arabic" w:eastAsiaTheme="minorHAnsi" w:hAnsi="Simplified Arabic"/>
          <w:rtl/>
        </w:rPr>
        <w:t xml:space="preserve"> وأهداف التنمية المستدامة،</w:t>
      </w:r>
      <w:r>
        <w:rPr>
          <w:rStyle w:val="FootnoteReference"/>
          <w:rFonts w:ascii="Simplified Arabic" w:eastAsiaTheme="minorHAnsi" w:hAnsi="Simplified Arabic"/>
          <w:rtl/>
        </w:rPr>
        <w:footnoteReference w:id="38"/>
      </w:r>
    </w:p>
    <w:p w:rsidR="00BF5B24" w:rsidRPr="005E4A5F"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i/>
          <w:iCs/>
          <w:rtl/>
        </w:rPr>
        <w:t xml:space="preserve">وإذ يقر </w:t>
      </w:r>
      <w:r w:rsidRPr="005E4A5F">
        <w:rPr>
          <w:rFonts w:ascii="Simplified Arabic" w:eastAsiaTheme="minorHAnsi" w:hAnsi="Simplified Arabic"/>
          <w:rtl/>
        </w:rPr>
        <w:t>بأنه في حين توجد سياسات وأدوات لمعالجة حفظ التنوع البيولوجي واستخدامه المستدام، لا تزال هناك فرص ل</w:t>
      </w:r>
      <w:r>
        <w:rPr>
          <w:rFonts w:ascii="Simplified Arabic" w:eastAsiaTheme="minorHAnsi" w:hAnsi="Simplified Arabic"/>
          <w:rtl/>
        </w:rPr>
        <w:t>تعميم التنوع البيولوجي في قطاع</w:t>
      </w:r>
      <w:r w:rsidRPr="005E4A5F">
        <w:rPr>
          <w:rFonts w:ascii="Simplified Arabic" w:eastAsiaTheme="minorHAnsi" w:hAnsi="Simplified Arabic"/>
          <w:rtl/>
        </w:rPr>
        <w:t xml:space="preserve"> الصحة، بما في ذلك فيما يتعلق بالتخطيط الاستراتيجي</w:t>
      </w:r>
      <w:r>
        <w:rPr>
          <w:rFonts w:ascii="Simplified Arabic" w:eastAsiaTheme="minorHAnsi" w:hAnsi="Simplified Arabic" w:hint="cs"/>
          <w:rtl/>
        </w:rPr>
        <w:t>،</w:t>
      </w:r>
      <w:r w:rsidRPr="005E4A5F">
        <w:rPr>
          <w:rFonts w:ascii="Simplified Arabic" w:eastAsiaTheme="minorHAnsi" w:hAnsi="Simplified Arabic"/>
          <w:rtl/>
        </w:rPr>
        <w:t xml:space="preserve"> وصنع القرار</w:t>
      </w:r>
      <w:r>
        <w:rPr>
          <w:rFonts w:ascii="Simplified Arabic" w:eastAsiaTheme="minorHAnsi" w:hAnsi="Simplified Arabic" w:hint="cs"/>
          <w:rtl/>
        </w:rPr>
        <w:t>،</w:t>
      </w:r>
      <w:r w:rsidRPr="005E4A5F">
        <w:rPr>
          <w:rFonts w:ascii="Simplified Arabic" w:eastAsiaTheme="minorHAnsi" w:hAnsi="Simplified Arabic"/>
          <w:rtl/>
        </w:rPr>
        <w:t xml:space="preserve"> والسياسات على نطاق الاقتصاد بأكمله والقطاعات بأكملها؛</w:t>
      </w:r>
    </w:p>
    <w:p w:rsidR="00BF5B24" w:rsidRPr="001E7D95" w:rsidRDefault="00BF5B24" w:rsidP="00BF5B24">
      <w:pPr>
        <w:ind w:firstLine="720"/>
        <w:rPr>
          <w:rFonts w:ascii="Simplified Arabic" w:hAnsi="Simplified Arabic"/>
          <w:rtl/>
        </w:rPr>
      </w:pPr>
      <w:r w:rsidRPr="005E4A5F">
        <w:rPr>
          <w:rFonts w:ascii="Simplified Arabic" w:eastAsiaTheme="minorHAnsi" w:hAnsi="Simplified Arabic"/>
          <w:i/>
          <w:iCs/>
          <w:rtl/>
        </w:rPr>
        <w:t>وإذ يشير</w:t>
      </w:r>
      <w:r w:rsidRPr="005E4A5F">
        <w:rPr>
          <w:rFonts w:ascii="Simplified Arabic" w:eastAsiaTheme="minorHAnsi" w:hAnsi="Simplified Arabic"/>
          <w:rtl/>
        </w:rPr>
        <w:t xml:space="preserve"> إلى المقرر </w:t>
      </w:r>
      <w:r w:rsidRPr="004E42D0">
        <w:rPr>
          <w:rFonts w:ascii="Simplified Arabic" w:eastAsiaTheme="minorHAnsi" w:hAnsi="Simplified Arabic"/>
          <w:rtl/>
        </w:rPr>
        <w:t>13/6</w:t>
      </w:r>
      <w:r w:rsidRPr="005E4A5F">
        <w:rPr>
          <w:rFonts w:ascii="Simplified Arabic" w:eastAsiaTheme="minorHAnsi" w:hAnsi="Simplified Arabic"/>
          <w:rtl/>
        </w:rPr>
        <w:t xml:space="preserve"> بشأن الصحة والتنوع البيولوجي وأهمية هذا المقرر لتنفيذ خطة التنمية المستدامة لعام 2030</w:t>
      </w:r>
      <w:r w:rsidRPr="005E4A5F">
        <w:rPr>
          <w:rFonts w:ascii="Simplified Arabic" w:eastAsiaTheme="minorHAnsi" w:hAnsi="Simplified Arabic"/>
        </w:rPr>
        <w:t xml:space="preserve"> </w:t>
      </w:r>
      <w:r w:rsidRPr="005E4A5F">
        <w:rPr>
          <w:rFonts w:ascii="Simplified Arabic" w:eastAsiaTheme="minorHAnsi" w:hAnsi="Simplified Arabic"/>
          <w:rtl/>
        </w:rPr>
        <w:t>وتحقيق أهداف التنمية المستدامة،</w:t>
      </w:r>
    </w:p>
    <w:p w:rsidR="00BF5B24" w:rsidRDefault="00BF5B24" w:rsidP="00BF5B24">
      <w:pPr>
        <w:ind w:firstLine="720"/>
        <w:rPr>
          <w:rFonts w:ascii="Simplified Arabic" w:hAnsi="Simplified Arabic"/>
          <w:rtl/>
        </w:rPr>
      </w:pPr>
      <w:r>
        <w:rPr>
          <w:rFonts w:ascii="Simplified Arabic" w:hAnsi="Simplified Arabic" w:hint="cs"/>
          <w:i/>
          <w:iCs/>
          <w:rtl/>
        </w:rPr>
        <w:t xml:space="preserve">وإذ </w:t>
      </w:r>
      <w:r w:rsidRPr="00771CC6">
        <w:rPr>
          <w:rFonts w:ascii="Simplified Arabic" w:hAnsi="Simplified Arabic"/>
          <w:i/>
          <w:iCs/>
          <w:rtl/>
        </w:rPr>
        <w:t>يرحب</w:t>
      </w:r>
      <w:r w:rsidRPr="00771CC6">
        <w:rPr>
          <w:rFonts w:ascii="Simplified Arabic" w:hAnsi="Simplified Arabic"/>
          <w:rtl/>
        </w:rPr>
        <w:t xml:space="preserve"> بقرار جمعية الأمم المتحدة للبيئة </w:t>
      </w:r>
      <w:hyperlink r:id="rId14" w:history="1">
        <w:r w:rsidRPr="00122D3E">
          <w:rPr>
            <w:rStyle w:val="Hyperlink"/>
            <w:rFonts w:cs="Times New Roman"/>
            <w:sz w:val="24"/>
          </w:rPr>
          <w:t>/</w:t>
        </w:r>
        <w:r>
          <w:rPr>
            <w:rStyle w:val="Hyperlink"/>
            <w:rFonts w:cs="Times New Roman"/>
            <w:sz w:val="24"/>
          </w:rPr>
          <w:t>3</w:t>
        </w:r>
        <w:r>
          <w:rPr>
            <w:rStyle w:val="Hyperlink"/>
            <w:rFonts w:cs="Times New Roman" w:hint="cs"/>
            <w:sz w:val="24"/>
            <w:rtl/>
          </w:rPr>
          <w:t>4</w:t>
        </w:r>
      </w:hyperlink>
      <w:r w:rsidRPr="00FE32D4">
        <w:rPr>
          <w:rFonts w:ascii="Simplified Arabic" w:hAnsi="Simplified Arabic" w:hint="cs"/>
          <w:sz w:val="24"/>
          <w:rtl/>
        </w:rPr>
        <w:t xml:space="preserve"> </w:t>
      </w:r>
      <w:r w:rsidRPr="00771CC6">
        <w:rPr>
          <w:rFonts w:ascii="Simplified Arabic" w:hAnsi="Simplified Arabic"/>
          <w:rtl/>
        </w:rPr>
        <w:t>بشأن البيئة والصحة،</w:t>
      </w:r>
    </w:p>
    <w:p w:rsidR="00BF5B24" w:rsidRDefault="00BF5B24" w:rsidP="00BF5B24">
      <w:pPr>
        <w:ind w:firstLine="720"/>
        <w:rPr>
          <w:rFonts w:ascii="Simplified Arabic" w:hAnsi="Simplified Arabic"/>
          <w:rtl/>
        </w:rPr>
      </w:pPr>
      <w:r w:rsidRPr="00771CC6">
        <w:rPr>
          <w:rFonts w:ascii="Simplified Arabic" w:hAnsi="Simplified Arabic"/>
          <w:i/>
          <w:iCs/>
          <w:rtl/>
        </w:rPr>
        <w:t xml:space="preserve">وإذ </w:t>
      </w:r>
      <w:r>
        <w:rPr>
          <w:rFonts w:ascii="Simplified Arabic" w:hAnsi="Simplified Arabic" w:hint="cs"/>
          <w:i/>
          <w:iCs/>
          <w:rtl/>
        </w:rPr>
        <w:t>يلاحظ</w:t>
      </w:r>
      <w:r>
        <w:rPr>
          <w:rFonts w:ascii="Simplified Arabic" w:hAnsi="Simplified Arabic"/>
          <w:rtl/>
        </w:rPr>
        <w:t xml:space="preserve"> </w:t>
      </w:r>
      <w:r w:rsidRPr="00771CC6">
        <w:rPr>
          <w:rFonts w:ascii="Simplified Arabic" w:hAnsi="Simplified Arabic"/>
          <w:rtl/>
        </w:rPr>
        <w:t xml:space="preserve">التقارير الصادرة </w:t>
      </w:r>
      <w:r>
        <w:rPr>
          <w:rFonts w:ascii="Simplified Arabic" w:hAnsi="Simplified Arabic" w:hint="cs"/>
          <w:rtl/>
        </w:rPr>
        <w:t>عن المكتب الإقليمي</w:t>
      </w:r>
      <w:r w:rsidRPr="00771CC6">
        <w:rPr>
          <w:rFonts w:ascii="Simplified Arabic" w:hAnsi="Simplified Arabic" w:hint="cs"/>
          <w:rtl/>
        </w:rPr>
        <w:t xml:space="preserve"> </w:t>
      </w:r>
      <w:r>
        <w:rPr>
          <w:rFonts w:ascii="Simplified Arabic" w:hAnsi="Simplified Arabic" w:hint="cs"/>
          <w:rtl/>
        </w:rPr>
        <w:t xml:space="preserve">لأوروبا التابع </w:t>
      </w:r>
      <w:r w:rsidRPr="00771CC6">
        <w:rPr>
          <w:rFonts w:ascii="Simplified Arabic" w:hAnsi="Simplified Arabic" w:hint="cs"/>
          <w:rtl/>
        </w:rPr>
        <w:t xml:space="preserve">لمنظمة الصحة العالمية </w:t>
      </w:r>
      <w:r>
        <w:rPr>
          <w:rFonts w:ascii="Simplified Arabic" w:hAnsi="Simplified Arabic" w:hint="cs"/>
          <w:rtl/>
        </w:rPr>
        <w:t>بعنوان</w:t>
      </w:r>
      <w:r w:rsidRPr="00771CC6">
        <w:rPr>
          <w:rFonts w:ascii="Simplified Arabic" w:hAnsi="Simplified Arabic" w:hint="cs"/>
          <w:rtl/>
        </w:rPr>
        <w:t xml:space="preserve"> </w:t>
      </w:r>
      <w:r w:rsidRPr="004E42D0">
        <w:rPr>
          <w:rFonts w:ascii="Simplified Arabic" w:hAnsi="Simplified Arabic" w:hint="cs"/>
          <w:i/>
          <w:iCs/>
          <w:rtl/>
        </w:rPr>
        <w:t>المساحات الحضرية الخضراء والصحة: استعراض للأدلة</w:t>
      </w:r>
      <w:r w:rsidRPr="00981E1B">
        <w:rPr>
          <w:rFonts w:ascii="Simplified Arabic" w:hAnsi="Simplified Arabic" w:hint="cs"/>
          <w:rtl/>
        </w:rPr>
        <w:t xml:space="preserve"> (2016) </w:t>
      </w:r>
      <w:r w:rsidRPr="00CE5379">
        <w:rPr>
          <w:rFonts w:ascii="Simplified Arabic" w:hAnsi="Simplified Arabic"/>
          <w:rtl/>
        </w:rPr>
        <w:t>و</w:t>
      </w:r>
      <w:r w:rsidRPr="004E42D0">
        <w:rPr>
          <w:rFonts w:ascii="Simplified Arabic" w:hAnsi="Simplified Arabic"/>
          <w:i/>
          <w:iCs/>
          <w:rtl/>
        </w:rPr>
        <w:t xml:space="preserve">التدخلات الحضرية في </w:t>
      </w:r>
      <w:r w:rsidRPr="004E42D0">
        <w:rPr>
          <w:rFonts w:ascii="Simplified Arabic" w:hAnsi="Simplified Arabic" w:hint="cs"/>
          <w:i/>
          <w:iCs/>
          <w:rtl/>
        </w:rPr>
        <w:t xml:space="preserve">المساحات الخضراء </w:t>
      </w:r>
      <w:r w:rsidRPr="004E42D0">
        <w:rPr>
          <w:rFonts w:ascii="Simplified Arabic" w:hAnsi="Simplified Arabic"/>
          <w:i/>
          <w:iCs/>
          <w:rtl/>
        </w:rPr>
        <w:t>والصحة: استعراض للآثار والفعالية</w:t>
      </w:r>
      <w:r w:rsidRPr="00981E1B">
        <w:rPr>
          <w:rFonts w:ascii="Simplified Arabic" w:hAnsi="Simplified Arabic"/>
          <w:rtl/>
        </w:rPr>
        <w:t xml:space="preserve"> (</w:t>
      </w:r>
      <w:r w:rsidRPr="00771CC6">
        <w:rPr>
          <w:rFonts w:ascii="Simplified Arabic" w:hAnsi="Simplified Arabic"/>
          <w:rtl/>
        </w:rPr>
        <w:t>2017)</w:t>
      </w:r>
      <w:r>
        <w:rPr>
          <w:rFonts w:ascii="Simplified Arabic" w:hAnsi="Simplified Arabic" w:hint="cs"/>
          <w:rtl/>
        </w:rPr>
        <w:t>،</w:t>
      </w:r>
    </w:p>
    <w:p w:rsidR="00BF5B24" w:rsidRDefault="00BF5B24" w:rsidP="00BF5B24">
      <w:pPr>
        <w:ind w:firstLine="720"/>
        <w:rPr>
          <w:rFonts w:ascii="Simplified Arabic" w:hAnsi="Simplified Arabic"/>
          <w:rtl/>
        </w:rPr>
      </w:pPr>
      <w:r w:rsidRPr="00815E73">
        <w:rPr>
          <w:rFonts w:ascii="Simplified Arabic" w:hAnsi="Simplified Arabic"/>
          <w:i/>
          <w:iCs/>
          <w:rtl/>
        </w:rPr>
        <w:t xml:space="preserve">وإذ </w:t>
      </w:r>
      <w:r>
        <w:rPr>
          <w:rFonts w:ascii="Simplified Arabic" w:hAnsi="Simplified Arabic" w:hint="cs"/>
          <w:i/>
          <w:iCs/>
          <w:rtl/>
        </w:rPr>
        <w:t>يقر</w:t>
      </w:r>
      <w:r w:rsidRPr="00815E73">
        <w:rPr>
          <w:rFonts w:ascii="Simplified Arabic" w:hAnsi="Simplified Arabic"/>
          <w:rtl/>
        </w:rPr>
        <w:t xml:space="preserve"> </w:t>
      </w:r>
      <w:r>
        <w:rPr>
          <w:rFonts w:ascii="Simplified Arabic" w:hAnsi="Simplified Arabic" w:hint="cs"/>
          <w:rtl/>
        </w:rPr>
        <w:t>ب</w:t>
      </w:r>
      <w:r w:rsidRPr="00815E73">
        <w:rPr>
          <w:rFonts w:ascii="Simplified Arabic" w:hAnsi="Simplified Arabic"/>
          <w:rtl/>
        </w:rPr>
        <w:t xml:space="preserve">أن النظر في الروابط بين </w:t>
      </w:r>
      <w:r>
        <w:rPr>
          <w:rFonts w:ascii="Simplified Arabic" w:hAnsi="Simplified Arabic" w:hint="cs"/>
          <w:rtl/>
        </w:rPr>
        <w:t>الصحة و</w:t>
      </w:r>
      <w:r w:rsidRPr="00815E73">
        <w:rPr>
          <w:rFonts w:ascii="Simplified Arabic" w:hAnsi="Simplified Arabic"/>
          <w:rtl/>
        </w:rPr>
        <w:t>التنوع البيولوجي يمكن أن يسهم في تحسين جوانب عديدة من صحة الإنسان ورفاهه، بما في ذلك من خلال الوقاية من الأمراض المعدية وغير المعدية والحد منها، و</w:t>
      </w:r>
      <w:r>
        <w:rPr>
          <w:rFonts w:ascii="Simplified Arabic" w:hAnsi="Simplified Arabic" w:hint="cs"/>
          <w:rtl/>
        </w:rPr>
        <w:t xml:space="preserve">عن طريق </w:t>
      </w:r>
      <w:r>
        <w:rPr>
          <w:rFonts w:ascii="Simplified Arabic" w:hAnsi="Simplified Arabic"/>
          <w:rtl/>
        </w:rPr>
        <w:t>دعم التغذية والنظ</w:t>
      </w:r>
      <w:r w:rsidRPr="00815E73">
        <w:rPr>
          <w:rFonts w:ascii="Simplified Arabic" w:hAnsi="Simplified Arabic"/>
          <w:rtl/>
        </w:rPr>
        <w:t>م الغذائي</w:t>
      </w:r>
      <w:r>
        <w:rPr>
          <w:rFonts w:ascii="Simplified Arabic" w:hAnsi="Simplified Arabic" w:hint="cs"/>
          <w:rtl/>
        </w:rPr>
        <w:t>ة</w:t>
      </w:r>
      <w:r w:rsidRPr="00815E73">
        <w:rPr>
          <w:rFonts w:ascii="Simplified Arabic" w:hAnsi="Simplified Arabic"/>
          <w:rtl/>
        </w:rPr>
        <w:t xml:space="preserve"> الصحي</w:t>
      </w:r>
      <w:r>
        <w:rPr>
          <w:rFonts w:ascii="Simplified Arabic" w:hAnsi="Simplified Arabic" w:hint="cs"/>
          <w:rtl/>
        </w:rPr>
        <w:t>ة</w:t>
      </w:r>
      <w:r w:rsidRPr="00815E73">
        <w:rPr>
          <w:rFonts w:ascii="Simplified Arabic" w:hAnsi="Simplified Arabic"/>
          <w:rtl/>
        </w:rPr>
        <w:t>،</w:t>
      </w:r>
    </w:p>
    <w:p w:rsidR="00BF5B24" w:rsidRDefault="00BF5B24" w:rsidP="00BF5B24">
      <w:pPr>
        <w:ind w:firstLine="720"/>
        <w:rPr>
          <w:rFonts w:ascii="Simplified Arabic" w:hAnsi="Simplified Arabic"/>
          <w:rtl/>
        </w:rPr>
      </w:pPr>
      <w:r w:rsidRPr="00815E73">
        <w:rPr>
          <w:rFonts w:ascii="Simplified Arabic" w:hAnsi="Simplified Arabic"/>
          <w:i/>
          <w:iCs/>
          <w:rtl/>
        </w:rPr>
        <w:t xml:space="preserve">وإذ </w:t>
      </w:r>
      <w:r w:rsidRPr="00815E73">
        <w:rPr>
          <w:rFonts w:ascii="Simplified Arabic" w:hAnsi="Simplified Arabic" w:hint="cs"/>
          <w:i/>
          <w:iCs/>
          <w:rtl/>
        </w:rPr>
        <w:t>يقر</w:t>
      </w:r>
      <w:r w:rsidRPr="00815E73">
        <w:rPr>
          <w:rFonts w:ascii="Simplified Arabic" w:hAnsi="Simplified Arabic"/>
          <w:rtl/>
        </w:rPr>
        <w:t xml:space="preserve"> </w:t>
      </w:r>
      <w:r w:rsidRPr="00CE5379">
        <w:rPr>
          <w:rFonts w:ascii="Simplified Arabic" w:hAnsi="Simplified Arabic" w:hint="cs"/>
          <w:i/>
          <w:iCs/>
          <w:rtl/>
        </w:rPr>
        <w:t>أيضا</w:t>
      </w:r>
      <w:r>
        <w:rPr>
          <w:rFonts w:ascii="Simplified Arabic" w:hAnsi="Simplified Arabic" w:hint="cs"/>
          <w:rtl/>
        </w:rPr>
        <w:t xml:space="preserve"> </w:t>
      </w:r>
      <w:r w:rsidRPr="00815E73">
        <w:rPr>
          <w:rFonts w:ascii="Simplified Arabic" w:hAnsi="Simplified Arabic"/>
          <w:rtl/>
        </w:rPr>
        <w:t>بأ</w:t>
      </w:r>
      <w:r>
        <w:rPr>
          <w:rFonts w:ascii="Simplified Arabic" w:hAnsi="Simplified Arabic" w:hint="cs"/>
          <w:rtl/>
        </w:rPr>
        <w:t>همية حفظ التنوع البيولوجي واستخدامه المستدام وبالمعارف التقليدية من أجل صحة</w:t>
      </w:r>
      <w:r w:rsidRPr="00815E73">
        <w:rPr>
          <w:rFonts w:ascii="Simplified Arabic" w:hAnsi="Simplified Arabic"/>
          <w:rtl/>
        </w:rPr>
        <w:t xml:space="preserve"> </w:t>
      </w:r>
      <w:r>
        <w:rPr>
          <w:rFonts w:ascii="Simplified Arabic" w:hAnsi="Simplified Arabic" w:hint="cs"/>
          <w:rtl/>
        </w:rPr>
        <w:t>ا</w:t>
      </w:r>
      <w:r w:rsidRPr="00815E73">
        <w:rPr>
          <w:rFonts w:ascii="Simplified Arabic" w:hAnsi="Simplified Arabic"/>
          <w:rtl/>
        </w:rPr>
        <w:t>ل</w:t>
      </w:r>
      <w:r>
        <w:rPr>
          <w:rFonts w:ascii="Simplified Arabic" w:hAnsi="Simplified Arabic"/>
          <w:rtl/>
        </w:rPr>
        <w:t>شعوب الأصلية والمجتمعات المحلية</w:t>
      </w:r>
      <w:r w:rsidRPr="00815E73">
        <w:rPr>
          <w:rFonts w:ascii="Simplified Arabic" w:hAnsi="Simplified Arabic"/>
          <w:rtl/>
        </w:rPr>
        <w:t>،</w:t>
      </w:r>
    </w:p>
    <w:p w:rsidR="00BF5B24" w:rsidRDefault="00BF5B24" w:rsidP="00BF5B24">
      <w:pPr>
        <w:ind w:firstLine="720"/>
        <w:rPr>
          <w:rFonts w:ascii="Simplified Arabic" w:hAnsi="Simplified Arabic"/>
          <w:rtl/>
        </w:rPr>
      </w:pPr>
      <w:r w:rsidRPr="00815E73">
        <w:rPr>
          <w:rFonts w:ascii="Simplified Arabic" w:hAnsi="Simplified Arabic"/>
          <w:i/>
          <w:iCs/>
          <w:rtl/>
        </w:rPr>
        <w:t xml:space="preserve">وإذ </w:t>
      </w:r>
      <w:r w:rsidRPr="00815E73">
        <w:rPr>
          <w:rFonts w:ascii="Simplified Arabic" w:hAnsi="Simplified Arabic" w:hint="cs"/>
          <w:i/>
          <w:iCs/>
          <w:rtl/>
        </w:rPr>
        <w:t>يسلم</w:t>
      </w:r>
      <w:r w:rsidRPr="00815E73">
        <w:rPr>
          <w:rFonts w:ascii="Simplified Arabic" w:hAnsi="Simplified Arabic"/>
          <w:rtl/>
        </w:rPr>
        <w:t xml:space="preserve"> بأهمية الميكروبيوم البشري </w:t>
      </w:r>
      <w:r>
        <w:rPr>
          <w:rFonts w:ascii="Simplified Arabic" w:hAnsi="Simplified Arabic" w:hint="cs"/>
          <w:rtl/>
        </w:rPr>
        <w:t>بالنسبة ل</w:t>
      </w:r>
      <w:r w:rsidRPr="00815E73">
        <w:rPr>
          <w:rFonts w:ascii="Simplified Arabic" w:hAnsi="Simplified Arabic"/>
          <w:rtl/>
        </w:rPr>
        <w:t>صحة الإنسان</w:t>
      </w:r>
      <w:r>
        <w:rPr>
          <w:rFonts w:ascii="Simplified Arabic" w:hAnsi="Simplified Arabic" w:hint="cs"/>
          <w:rtl/>
        </w:rPr>
        <w:t>،</w:t>
      </w:r>
      <w:r w:rsidRPr="00815E73">
        <w:rPr>
          <w:rFonts w:ascii="Simplified Arabic" w:hAnsi="Simplified Arabic"/>
          <w:rtl/>
        </w:rPr>
        <w:t xml:space="preserve"> و</w:t>
      </w:r>
      <w:r>
        <w:rPr>
          <w:rFonts w:ascii="Simplified Arabic" w:hAnsi="Simplified Arabic" w:hint="cs"/>
          <w:rtl/>
        </w:rPr>
        <w:t>أهمي</w:t>
      </w:r>
      <w:r w:rsidRPr="00815E73">
        <w:rPr>
          <w:rFonts w:ascii="Simplified Arabic" w:hAnsi="Simplified Arabic"/>
          <w:rtl/>
        </w:rPr>
        <w:t>ة المساحات الخضراء ذات التنوع البيولوجي في البيئات الحضرية والمناطق المحمية و</w:t>
      </w:r>
      <w:r>
        <w:rPr>
          <w:rFonts w:ascii="Simplified Arabic" w:hAnsi="Simplified Arabic"/>
          <w:rtl/>
        </w:rPr>
        <w:t>منافعها الفسيولوجية والنفسية، و</w:t>
      </w:r>
      <w:r>
        <w:rPr>
          <w:rFonts w:ascii="Simplified Arabic" w:hAnsi="Simplified Arabic" w:hint="cs"/>
          <w:rtl/>
        </w:rPr>
        <w:t>إذ ي</w:t>
      </w:r>
      <w:r w:rsidRPr="00815E73">
        <w:rPr>
          <w:rFonts w:ascii="Simplified Arabic" w:hAnsi="Simplified Arabic"/>
          <w:rtl/>
        </w:rPr>
        <w:t xml:space="preserve">سلط الضوء كذلك على أهمية </w:t>
      </w:r>
      <w:r>
        <w:rPr>
          <w:rFonts w:ascii="Simplified Arabic" w:hAnsi="Simplified Arabic" w:hint="cs"/>
          <w:rtl/>
        </w:rPr>
        <w:t>النُهج</w:t>
      </w:r>
      <w:r w:rsidRPr="00815E73">
        <w:rPr>
          <w:rFonts w:ascii="Simplified Arabic" w:hAnsi="Simplified Arabic"/>
          <w:rtl/>
        </w:rPr>
        <w:t xml:space="preserve"> القائمة على النظم الإيكولوجية من أجل تحقيق فوائد متعددة،</w:t>
      </w:r>
    </w:p>
    <w:p w:rsidR="00BF5B24" w:rsidRDefault="00BF5B24" w:rsidP="00BF5B24">
      <w:pPr>
        <w:ind w:firstLine="720"/>
        <w:rPr>
          <w:rFonts w:ascii="Simplified Arabic" w:hAnsi="Simplified Arabic"/>
          <w:rtl/>
        </w:rPr>
      </w:pPr>
      <w:r>
        <w:rPr>
          <w:rFonts w:hint="cs"/>
          <w:i/>
          <w:iCs/>
          <w:rtl/>
        </w:rPr>
        <w:t>وإذ يقر</w:t>
      </w:r>
      <w:r>
        <w:rPr>
          <w:rFonts w:hint="cs"/>
          <w:rtl/>
        </w:rPr>
        <w:t xml:space="preserve"> بأن المساحات الخضراء ذات التنوع البيولوجي التي يمكن الوصول إليها يمكن أن تعزز منافع صحة الإنسان عن طريق توفير الاتصال بالطبيعة، بما في ذلك للأطفال وكبار السن،</w:t>
      </w:r>
    </w:p>
    <w:p w:rsidR="00BF5B24" w:rsidRDefault="00BF5B24" w:rsidP="00BF5B24">
      <w:pPr>
        <w:ind w:firstLine="720"/>
        <w:rPr>
          <w:rFonts w:ascii="Simplified Arabic" w:hAnsi="Simplified Arabic"/>
          <w:rtl/>
        </w:rPr>
      </w:pPr>
      <w:r w:rsidRPr="00815E73">
        <w:rPr>
          <w:rFonts w:ascii="Simplified Arabic" w:hAnsi="Simplified Arabic"/>
          <w:i/>
          <w:iCs/>
          <w:rtl/>
        </w:rPr>
        <w:lastRenderedPageBreak/>
        <w:t xml:space="preserve">وإذ </w:t>
      </w:r>
      <w:r w:rsidRPr="00815E73">
        <w:rPr>
          <w:rFonts w:ascii="Simplified Arabic" w:hAnsi="Simplified Arabic" w:hint="cs"/>
          <w:i/>
          <w:iCs/>
          <w:rtl/>
        </w:rPr>
        <w:t>يلاحظ</w:t>
      </w:r>
      <w:r w:rsidRPr="00815E73">
        <w:rPr>
          <w:rFonts w:ascii="Simplified Arabic" w:hAnsi="Simplified Arabic"/>
          <w:rtl/>
        </w:rPr>
        <w:t xml:space="preserve"> الفرص المتاحة للإسهام في تحقيق أهداف أيشي للتنوع البيولوجي، ولا سيما الهدف 14، وخطة التنمية المستدامة لعام 2030 وأهداف التنمية المستدامة، من خلال تعميم الروابط بين الصحة والتنوع البيولوجي في القطاعات والمبادرات ذات الصلة، بما في ذلك تلك المتعلقة بالصحة، والبيئة، والزراعة، والمالية،</w:t>
      </w:r>
      <w:r>
        <w:rPr>
          <w:rFonts w:ascii="Simplified Arabic" w:hAnsi="Simplified Arabic" w:hint="cs"/>
          <w:rtl/>
        </w:rPr>
        <w:t xml:space="preserve"> </w:t>
      </w:r>
      <w:r w:rsidRPr="00815E73">
        <w:rPr>
          <w:rFonts w:ascii="Simplified Arabic" w:hAnsi="Simplified Arabic"/>
          <w:rtl/>
        </w:rPr>
        <w:t>والتغذية والأمن الغذائي، وسلامة الأغذية، والتخطيط (بما في ذلك التخطيط الحضري)، والتخفيف من آثار تغير المناخ والتكيف معه، والحد من مخاطر الكوارث،</w:t>
      </w:r>
    </w:p>
    <w:p w:rsidR="00BF5B24" w:rsidRDefault="00BF5B24" w:rsidP="00BF5B24">
      <w:pPr>
        <w:ind w:firstLine="720"/>
        <w:rPr>
          <w:rFonts w:ascii="Simplified Arabic" w:hAnsi="Simplified Arabic"/>
          <w:rtl/>
        </w:rPr>
      </w:pPr>
      <w:r>
        <w:rPr>
          <w:rFonts w:ascii="Simplified Arabic" w:hAnsi="Simplified Arabic"/>
          <w:i/>
          <w:iCs/>
          <w:rtl/>
        </w:rPr>
        <w:t xml:space="preserve">وإذ </w:t>
      </w:r>
      <w:r>
        <w:rPr>
          <w:rFonts w:ascii="Simplified Arabic" w:hAnsi="Simplified Arabic" w:hint="cs"/>
          <w:i/>
          <w:iCs/>
          <w:rtl/>
        </w:rPr>
        <w:t>يسلط الضوء</w:t>
      </w:r>
      <w:r w:rsidRPr="00565925">
        <w:rPr>
          <w:rFonts w:ascii="Simplified Arabic" w:hAnsi="Simplified Arabic"/>
          <w:rtl/>
        </w:rPr>
        <w:t xml:space="preserve">، في هذا الصدد، </w:t>
      </w:r>
      <w:r>
        <w:rPr>
          <w:rFonts w:ascii="Simplified Arabic" w:hAnsi="Simplified Arabic" w:hint="cs"/>
          <w:rtl/>
        </w:rPr>
        <w:t xml:space="preserve">على </w:t>
      </w:r>
      <w:r w:rsidRPr="00565925">
        <w:rPr>
          <w:rFonts w:ascii="Simplified Arabic" w:hAnsi="Simplified Arabic"/>
          <w:rtl/>
        </w:rPr>
        <w:t>أهمية جميع أبعاد ومكونات التنوع البيولوجي، بما في ذلك النباتات والحيوانات والكائنات الدقيقة، والتفاعلات فيما بينها، فضلا عن مواردها الجينية والنظم الإيكولوجية التي تشكل جزءا منها،</w:t>
      </w:r>
    </w:p>
    <w:p w:rsidR="00BF5B24" w:rsidRPr="00801428" w:rsidRDefault="00BF5B24" w:rsidP="00FF7FA5">
      <w:pPr>
        <w:numPr>
          <w:ilvl w:val="0"/>
          <w:numId w:val="4"/>
        </w:numPr>
        <w:ind w:left="0" w:firstLine="720"/>
        <w:jc w:val="lowKashida"/>
        <w:rPr>
          <w:rFonts w:ascii="Simplified Arabic" w:hAnsi="Simplified Arabic"/>
        </w:rPr>
      </w:pPr>
      <w:r w:rsidRPr="005E4A5F">
        <w:rPr>
          <w:rFonts w:ascii="Simplified Arabic" w:eastAsiaTheme="minorHAnsi" w:hAnsi="Simplified Arabic"/>
          <w:i/>
          <w:iCs/>
          <w:rtl/>
        </w:rPr>
        <w:t>يرحب</w:t>
      </w:r>
      <w:r>
        <w:rPr>
          <w:rFonts w:ascii="Simplified Arabic" w:eastAsiaTheme="minorHAnsi" w:hAnsi="Simplified Arabic"/>
          <w:rtl/>
        </w:rPr>
        <w:t xml:space="preserve"> بالنظر في الروابط بين </w:t>
      </w:r>
      <w:r w:rsidRPr="005E4A5F">
        <w:rPr>
          <w:rFonts w:ascii="Simplified Arabic" w:eastAsiaTheme="minorHAnsi" w:hAnsi="Simplified Arabic"/>
          <w:rtl/>
        </w:rPr>
        <w:t xml:space="preserve">صحة </w:t>
      </w:r>
      <w:r>
        <w:rPr>
          <w:rFonts w:ascii="Simplified Arabic" w:eastAsiaTheme="minorHAnsi" w:hAnsi="Simplified Arabic" w:hint="cs"/>
          <w:rtl/>
        </w:rPr>
        <w:t>الإنسان</w:t>
      </w:r>
      <w:r w:rsidRPr="005E4A5F">
        <w:rPr>
          <w:rFonts w:ascii="Simplified Arabic" w:eastAsiaTheme="minorHAnsi" w:hAnsi="Simplified Arabic"/>
          <w:rtl/>
        </w:rPr>
        <w:t xml:space="preserve"> والتنوع البيولوجي من جانب جمعية الصحة العالمية الحادية والسبعين؛</w:t>
      </w:r>
      <w:r>
        <w:rPr>
          <w:rStyle w:val="FootnoteReference"/>
          <w:rFonts w:ascii="Simplified Arabic" w:hAnsi="Simplified Arabic"/>
        </w:rPr>
        <w:footnoteReference w:id="39"/>
      </w:r>
    </w:p>
    <w:p w:rsidR="00BF5B24" w:rsidRPr="00D3186C" w:rsidRDefault="00BF5B24" w:rsidP="00FF7FA5">
      <w:pPr>
        <w:numPr>
          <w:ilvl w:val="0"/>
          <w:numId w:val="4"/>
        </w:numPr>
        <w:ind w:left="0" w:firstLine="720"/>
        <w:jc w:val="lowKashida"/>
        <w:rPr>
          <w:rFonts w:ascii="Simplified Arabic" w:hAnsi="Simplified Arabic"/>
        </w:rPr>
      </w:pPr>
      <w:r>
        <w:rPr>
          <w:rFonts w:ascii="Simplified Arabic" w:hAnsi="Simplified Arabic" w:hint="cs"/>
          <w:i/>
          <w:iCs/>
          <w:rtl/>
        </w:rPr>
        <w:t xml:space="preserve">يرحب </w:t>
      </w:r>
      <w:r w:rsidRPr="0020191B">
        <w:rPr>
          <w:rFonts w:ascii="Simplified Arabic" w:hAnsi="Simplified Arabic"/>
          <w:rtl/>
        </w:rPr>
        <w:t>بالتوجيهات المتعلقة ب</w:t>
      </w:r>
      <w:r>
        <w:rPr>
          <w:rFonts w:ascii="Simplified Arabic" w:hAnsi="Simplified Arabic"/>
          <w:rtl/>
        </w:rPr>
        <w:t>دم</w:t>
      </w:r>
      <w:r w:rsidRPr="0020191B">
        <w:rPr>
          <w:rFonts w:ascii="Simplified Arabic" w:hAnsi="Simplified Arabic"/>
          <w:rtl/>
        </w:rPr>
        <w:t>ج اعتبارات التنوع البيولوجي في ن</w:t>
      </w:r>
      <w:r>
        <w:rPr>
          <w:rFonts w:ascii="Simplified Arabic" w:hAnsi="Simplified Arabic" w:hint="cs"/>
          <w:rtl/>
        </w:rPr>
        <w:t>ُ</w:t>
      </w:r>
      <w:r w:rsidRPr="0020191B">
        <w:rPr>
          <w:rFonts w:ascii="Simplified Arabic" w:hAnsi="Simplified Arabic"/>
          <w:rtl/>
        </w:rPr>
        <w:t xml:space="preserve">هج </w:t>
      </w:r>
      <w:r>
        <w:rPr>
          <w:rFonts w:ascii="Simplified Arabic" w:hAnsi="Simplified Arabic" w:hint="cs"/>
          <w:rtl/>
        </w:rPr>
        <w:t>الصحة ال</w:t>
      </w:r>
      <w:r w:rsidRPr="0020191B">
        <w:rPr>
          <w:rFonts w:ascii="Simplified Arabic" w:hAnsi="Simplified Arabic"/>
          <w:rtl/>
        </w:rPr>
        <w:t>واحدة</w:t>
      </w:r>
      <w:r>
        <w:rPr>
          <w:rFonts w:ascii="Simplified Arabic" w:hAnsi="Simplified Arabic" w:hint="cs"/>
          <w:rtl/>
        </w:rPr>
        <w:t>، من بين النُهج الكاملة الأخرى،</w:t>
      </w:r>
      <w:r>
        <w:rPr>
          <w:rFonts w:ascii="Simplified Arabic" w:hAnsi="Simplified Arabic"/>
          <w:rtl/>
        </w:rPr>
        <w:t xml:space="preserve"> </w:t>
      </w:r>
      <w:r w:rsidRPr="0077123C">
        <w:rPr>
          <w:rFonts w:ascii="Simplified Arabic" w:hAnsi="Simplified Arabic"/>
          <w:i/>
          <w:iCs/>
          <w:rtl/>
        </w:rPr>
        <w:t>و</w:t>
      </w:r>
      <w:r w:rsidRPr="0077123C">
        <w:rPr>
          <w:rFonts w:ascii="Simplified Arabic" w:hAnsi="Simplified Arabic" w:hint="cs"/>
          <w:i/>
          <w:iCs/>
          <w:rtl/>
        </w:rPr>
        <w:t>ي</w:t>
      </w:r>
      <w:r w:rsidRPr="0077123C">
        <w:rPr>
          <w:rFonts w:ascii="Simplified Arabic" w:hAnsi="Simplified Arabic"/>
          <w:i/>
          <w:iCs/>
          <w:rtl/>
        </w:rPr>
        <w:t>سلم</w:t>
      </w:r>
      <w:r w:rsidRPr="0020191B">
        <w:rPr>
          <w:rFonts w:ascii="Simplified Arabic" w:hAnsi="Simplified Arabic"/>
          <w:rtl/>
        </w:rPr>
        <w:t xml:space="preserve"> بأهمية ال</w:t>
      </w:r>
      <w:r>
        <w:rPr>
          <w:rFonts w:ascii="Simplified Arabic" w:hAnsi="Simplified Arabic" w:hint="cs"/>
          <w:rtl/>
        </w:rPr>
        <w:t>نُهج</w:t>
      </w:r>
      <w:r w:rsidRPr="0020191B">
        <w:rPr>
          <w:rFonts w:ascii="Simplified Arabic" w:hAnsi="Simplified Arabic"/>
          <w:rtl/>
        </w:rPr>
        <w:t xml:space="preserve"> القائمة على النظم الإيكولوجية من أجل تحقيق </w:t>
      </w:r>
      <w:r>
        <w:rPr>
          <w:rFonts w:ascii="Simplified Arabic" w:hAnsi="Simplified Arabic" w:hint="cs"/>
          <w:rtl/>
        </w:rPr>
        <w:t>منافع</w:t>
      </w:r>
      <w:r w:rsidRPr="0020191B">
        <w:rPr>
          <w:rFonts w:ascii="Simplified Arabic" w:hAnsi="Simplified Arabic"/>
          <w:rtl/>
        </w:rPr>
        <w:t xml:space="preserve"> متعددة للصحة والرفاه، </w:t>
      </w:r>
      <w:r>
        <w:rPr>
          <w:rFonts w:ascii="Simplified Arabic" w:hAnsi="Simplified Arabic" w:hint="cs"/>
          <w:i/>
          <w:iCs/>
          <w:rtl/>
        </w:rPr>
        <w:t>وي</w:t>
      </w:r>
      <w:r w:rsidRPr="0077123C">
        <w:rPr>
          <w:rFonts w:ascii="Simplified Arabic" w:hAnsi="Simplified Arabic"/>
          <w:i/>
          <w:iCs/>
          <w:rtl/>
        </w:rPr>
        <w:t>شجع</w:t>
      </w:r>
      <w:r w:rsidRPr="0020191B">
        <w:rPr>
          <w:rFonts w:ascii="Simplified Arabic" w:hAnsi="Simplified Arabic"/>
          <w:rtl/>
        </w:rPr>
        <w:t xml:space="preserve"> الأطراف</w:t>
      </w:r>
      <w:r>
        <w:rPr>
          <w:rFonts w:ascii="Simplified Arabic" w:hAnsi="Simplified Arabic" w:hint="cs"/>
          <w:rtl/>
        </w:rPr>
        <w:t>،</w:t>
      </w:r>
      <w:r w:rsidRPr="0020191B">
        <w:rPr>
          <w:rFonts w:ascii="Simplified Arabic" w:hAnsi="Simplified Arabic"/>
          <w:rtl/>
        </w:rPr>
        <w:t xml:space="preserve"> </w:t>
      </w:r>
      <w:r w:rsidRPr="001C55EE">
        <w:rPr>
          <w:rFonts w:ascii="Simplified Arabic" w:hAnsi="Simplified Arabic"/>
          <w:i/>
          <w:iCs/>
          <w:rtl/>
        </w:rPr>
        <w:t>و</w:t>
      </w:r>
      <w:r w:rsidRPr="001C55EE">
        <w:rPr>
          <w:rFonts w:ascii="Simplified Arabic" w:hAnsi="Simplified Arabic" w:hint="cs"/>
          <w:i/>
          <w:iCs/>
          <w:rtl/>
        </w:rPr>
        <w:t>يدعو</w:t>
      </w:r>
      <w:r>
        <w:rPr>
          <w:rFonts w:ascii="Simplified Arabic" w:hAnsi="Simplified Arabic" w:hint="cs"/>
          <w:rtl/>
        </w:rPr>
        <w:t xml:space="preserve"> </w:t>
      </w:r>
      <w:r w:rsidRPr="0020191B">
        <w:rPr>
          <w:rFonts w:ascii="Simplified Arabic" w:hAnsi="Simplified Arabic"/>
          <w:rtl/>
        </w:rPr>
        <w:t xml:space="preserve">الحكومات الأخرى والمنظمات ذات الصلة </w:t>
      </w:r>
      <w:r>
        <w:rPr>
          <w:rFonts w:ascii="Simplified Arabic" w:hAnsi="Simplified Arabic" w:hint="cs"/>
          <w:rtl/>
        </w:rPr>
        <w:t>إ</w:t>
      </w:r>
      <w:r w:rsidRPr="0020191B">
        <w:rPr>
          <w:rFonts w:ascii="Simplified Arabic" w:hAnsi="Simplified Arabic"/>
          <w:rtl/>
        </w:rPr>
        <w:t xml:space="preserve">لى أن </w:t>
      </w:r>
      <w:r>
        <w:rPr>
          <w:rFonts w:ascii="Simplified Arabic" w:hAnsi="Simplified Arabic" w:hint="cs"/>
          <w:rtl/>
        </w:rPr>
        <w:t xml:space="preserve">تستخدم </w:t>
      </w:r>
      <w:r w:rsidRPr="0020191B">
        <w:rPr>
          <w:rFonts w:ascii="Simplified Arabic" w:hAnsi="Simplified Arabic"/>
          <w:rtl/>
        </w:rPr>
        <w:t>التوجيهات، وفقا للظروف الوطنية؛</w:t>
      </w:r>
    </w:p>
    <w:p w:rsidR="00BF5B24" w:rsidRDefault="00BF5B24" w:rsidP="00FF7FA5">
      <w:pPr>
        <w:numPr>
          <w:ilvl w:val="0"/>
          <w:numId w:val="4"/>
        </w:numPr>
        <w:ind w:left="0" w:firstLine="720"/>
        <w:jc w:val="lowKashida"/>
        <w:rPr>
          <w:rFonts w:ascii="Simplified Arabic" w:hAnsi="Simplified Arabic"/>
        </w:rPr>
      </w:pPr>
      <w:r w:rsidRPr="0020191B">
        <w:rPr>
          <w:rFonts w:ascii="Simplified Arabic" w:hAnsi="Simplified Arabic" w:hint="cs"/>
          <w:i/>
          <w:iCs/>
          <w:rtl/>
        </w:rPr>
        <w:t>يدعو</w:t>
      </w:r>
      <w:r w:rsidRPr="0020191B">
        <w:rPr>
          <w:rFonts w:ascii="Simplified Arabic" w:hAnsi="Simplified Arabic"/>
          <w:rtl/>
        </w:rPr>
        <w:t xml:space="preserve"> الأطراف</w:t>
      </w:r>
      <w:r>
        <w:rPr>
          <w:rFonts w:ascii="Simplified Arabic" w:hAnsi="Simplified Arabic"/>
          <w:rtl/>
        </w:rPr>
        <w:t xml:space="preserve"> والحكومات الأخرى إلى النظر في دم</w:t>
      </w:r>
      <w:r w:rsidRPr="0020191B">
        <w:rPr>
          <w:rFonts w:ascii="Simplified Arabic" w:hAnsi="Simplified Arabic"/>
          <w:rtl/>
        </w:rPr>
        <w:t xml:space="preserve">ج سياسات وخطط ومشاريع </w:t>
      </w:r>
      <w:r>
        <w:rPr>
          <w:rFonts w:ascii="Simplified Arabic" w:hAnsi="Simplified Arabic" w:hint="cs"/>
          <w:rtl/>
        </w:rPr>
        <w:t>ال</w:t>
      </w:r>
      <w:r>
        <w:rPr>
          <w:rFonts w:ascii="Simplified Arabic" w:hAnsi="Simplified Arabic"/>
          <w:rtl/>
        </w:rPr>
        <w:t>صح</w:t>
      </w:r>
      <w:r w:rsidRPr="0020191B">
        <w:rPr>
          <w:rFonts w:ascii="Simplified Arabic" w:hAnsi="Simplified Arabic"/>
          <w:rtl/>
        </w:rPr>
        <w:t xml:space="preserve">ة </w:t>
      </w:r>
      <w:r>
        <w:rPr>
          <w:rFonts w:ascii="Simplified Arabic" w:hAnsi="Simplified Arabic" w:hint="cs"/>
          <w:rtl/>
        </w:rPr>
        <w:t>ال</w:t>
      </w:r>
      <w:r w:rsidRPr="0020191B">
        <w:rPr>
          <w:rFonts w:ascii="Simplified Arabic" w:hAnsi="Simplified Arabic"/>
          <w:rtl/>
        </w:rPr>
        <w:t>واحدة</w:t>
      </w:r>
      <w:r>
        <w:rPr>
          <w:rFonts w:ascii="Simplified Arabic" w:hAnsi="Simplified Arabic" w:hint="cs"/>
          <w:rtl/>
        </w:rPr>
        <w:t>، من بين</w:t>
      </w:r>
      <w:r w:rsidRPr="0020191B">
        <w:rPr>
          <w:rFonts w:ascii="Simplified Arabic" w:hAnsi="Simplified Arabic"/>
          <w:rtl/>
        </w:rPr>
        <w:t xml:space="preserve"> </w:t>
      </w:r>
      <w:r>
        <w:rPr>
          <w:rFonts w:ascii="Simplified Arabic" w:hAnsi="Simplified Arabic" w:hint="cs"/>
          <w:rtl/>
        </w:rPr>
        <w:t xml:space="preserve">النُهج الكاملة الأخرى، </w:t>
      </w:r>
      <w:r w:rsidRPr="0020191B">
        <w:rPr>
          <w:rFonts w:ascii="Simplified Arabic" w:hAnsi="Simplified Arabic"/>
          <w:rtl/>
        </w:rPr>
        <w:t>في استراتيجياتها وخطط عملها الوطنية للتنوع البيولوجي</w:t>
      </w:r>
      <w:r>
        <w:rPr>
          <w:rFonts w:ascii="Simplified Arabic" w:hAnsi="Simplified Arabic" w:hint="cs"/>
          <w:rtl/>
        </w:rPr>
        <w:t>، وحسب الاقتضاء،</w:t>
      </w:r>
      <w:r w:rsidRPr="0020191B">
        <w:rPr>
          <w:rFonts w:ascii="Simplified Arabic" w:hAnsi="Simplified Arabic"/>
          <w:rtl/>
        </w:rPr>
        <w:t xml:space="preserve"> </w:t>
      </w:r>
      <w:r>
        <w:rPr>
          <w:rFonts w:ascii="Simplified Arabic" w:hAnsi="Simplified Arabic" w:hint="cs"/>
          <w:rtl/>
        </w:rPr>
        <w:t xml:space="preserve">في </w:t>
      </w:r>
      <w:r>
        <w:rPr>
          <w:rFonts w:ascii="Simplified Arabic" w:hAnsi="Simplified Arabic"/>
          <w:rtl/>
        </w:rPr>
        <w:t>خطط الصح</w:t>
      </w:r>
      <w:r w:rsidRPr="0020191B">
        <w:rPr>
          <w:rFonts w:ascii="Simplified Arabic" w:hAnsi="Simplified Arabic"/>
          <w:rtl/>
        </w:rPr>
        <w:t xml:space="preserve">ة الوطنية وغيرها من </w:t>
      </w:r>
      <w:r>
        <w:rPr>
          <w:rFonts w:ascii="Simplified Arabic" w:hAnsi="Simplified Arabic" w:hint="cs"/>
          <w:rtl/>
        </w:rPr>
        <w:t>الأدوات</w:t>
      </w:r>
      <w:r w:rsidRPr="0020191B">
        <w:rPr>
          <w:rFonts w:ascii="Simplified Arabic" w:hAnsi="Simplified Arabic"/>
          <w:rtl/>
        </w:rPr>
        <w:t xml:space="preserve">، بما في ذلك تلك الواردة في اتفاقية الأمم المتحدة الإطارية بشأن تغير المناخ والاستراتيجية الدولية </w:t>
      </w:r>
      <w:r>
        <w:rPr>
          <w:rFonts w:ascii="Simplified Arabic" w:hAnsi="Simplified Arabic" w:hint="cs"/>
          <w:rtl/>
        </w:rPr>
        <w:t>للحد من مخاطر</w:t>
      </w:r>
      <w:r>
        <w:rPr>
          <w:rFonts w:ascii="Simplified Arabic" w:hAnsi="Simplified Arabic"/>
          <w:rtl/>
        </w:rPr>
        <w:t xml:space="preserve"> الكوارث</w:t>
      </w:r>
      <w:r>
        <w:rPr>
          <w:rFonts w:ascii="Simplified Arabic" w:hAnsi="Simplified Arabic" w:hint="cs"/>
          <w:rtl/>
        </w:rPr>
        <w:t xml:space="preserve">، لتقديم </w:t>
      </w:r>
      <w:r w:rsidRPr="0020191B">
        <w:rPr>
          <w:rFonts w:ascii="Simplified Arabic" w:hAnsi="Simplified Arabic"/>
          <w:rtl/>
        </w:rPr>
        <w:t xml:space="preserve">الدعم المشترك لتنفيذ الاتفاقية </w:t>
      </w:r>
      <w:r w:rsidRPr="00041012">
        <w:rPr>
          <w:rFonts w:ascii="Simplified Arabic" w:hAnsi="Simplified Arabic"/>
          <w:rtl/>
        </w:rPr>
        <w:t>وخطة التنمية المستدامة لعام 2030</w:t>
      </w:r>
      <w:r w:rsidRPr="00041012">
        <w:rPr>
          <w:rFonts w:ascii="Simplified Arabic" w:hAnsi="Simplified Arabic" w:hint="cs"/>
          <w:rtl/>
        </w:rPr>
        <w:t xml:space="preserve">، </w:t>
      </w:r>
      <w:r w:rsidRPr="0020191B">
        <w:rPr>
          <w:rFonts w:ascii="Simplified Arabic" w:hAnsi="Simplified Arabic"/>
          <w:rtl/>
        </w:rPr>
        <w:t>والالتزامات العالمية الأخرى ذات الصلة؛</w:t>
      </w:r>
    </w:p>
    <w:p w:rsidR="00BF5B24" w:rsidRDefault="00BF5B24" w:rsidP="00FF7FA5">
      <w:pPr>
        <w:numPr>
          <w:ilvl w:val="0"/>
          <w:numId w:val="4"/>
        </w:numPr>
        <w:ind w:left="0" w:firstLine="720"/>
        <w:jc w:val="lowKashida"/>
        <w:rPr>
          <w:rFonts w:ascii="Simplified Arabic" w:hAnsi="Simplified Arabic"/>
        </w:rPr>
      </w:pPr>
      <w:r w:rsidRPr="0020191B">
        <w:rPr>
          <w:rFonts w:ascii="Simplified Arabic" w:hAnsi="Simplified Arabic" w:hint="cs"/>
          <w:i/>
          <w:iCs/>
          <w:rtl/>
        </w:rPr>
        <w:t>يدعو</w:t>
      </w:r>
      <w:r w:rsidRPr="0020191B">
        <w:rPr>
          <w:rFonts w:ascii="Simplified Arabic" w:hAnsi="Simplified Arabic"/>
          <w:rtl/>
        </w:rPr>
        <w:t xml:space="preserve"> الأطراف</w:t>
      </w:r>
      <w:r>
        <w:rPr>
          <w:rFonts w:ascii="Simplified Arabic" w:hAnsi="Simplified Arabic" w:hint="cs"/>
          <w:rtl/>
        </w:rPr>
        <w:t>،</w:t>
      </w:r>
      <w:r w:rsidRPr="0020191B">
        <w:rPr>
          <w:rFonts w:ascii="Simplified Arabic" w:hAnsi="Simplified Arabic"/>
          <w:rtl/>
        </w:rPr>
        <w:t xml:space="preserve"> والحكومات الأخرى وسائر أصحاب المصلحة المعنيين إلى النظر في الآثار والاستجابات المتباينة بين ا</w:t>
      </w:r>
      <w:r>
        <w:rPr>
          <w:rFonts w:ascii="Simplified Arabic" w:hAnsi="Simplified Arabic"/>
          <w:rtl/>
        </w:rPr>
        <w:t>لجنسين في دم</w:t>
      </w:r>
      <w:r w:rsidRPr="0020191B">
        <w:rPr>
          <w:rFonts w:ascii="Simplified Arabic" w:hAnsi="Simplified Arabic"/>
          <w:rtl/>
        </w:rPr>
        <w:t>ج الروابط بين التنوع البيولوجي والصحة في سياساتها وخططها وإجراءاتها؛</w:t>
      </w:r>
    </w:p>
    <w:p w:rsidR="00BF5B24" w:rsidRDefault="00BF5B24" w:rsidP="00FF7FA5">
      <w:pPr>
        <w:numPr>
          <w:ilvl w:val="0"/>
          <w:numId w:val="4"/>
        </w:numPr>
        <w:ind w:left="0" w:firstLine="720"/>
        <w:jc w:val="lowKashida"/>
        <w:rPr>
          <w:rFonts w:ascii="Simplified Arabic" w:hAnsi="Simplified Arabic"/>
        </w:rPr>
      </w:pPr>
      <w:r w:rsidRPr="0020191B">
        <w:rPr>
          <w:rFonts w:ascii="Simplified Arabic" w:hAnsi="Simplified Arabic" w:hint="cs"/>
          <w:i/>
          <w:iCs/>
          <w:rtl/>
        </w:rPr>
        <w:t>يدعو</w:t>
      </w:r>
      <w:r w:rsidRPr="0020191B">
        <w:rPr>
          <w:rFonts w:ascii="Simplified Arabic" w:hAnsi="Simplified Arabic"/>
          <w:rtl/>
        </w:rPr>
        <w:t xml:space="preserve"> الأطراف</w:t>
      </w:r>
      <w:r>
        <w:rPr>
          <w:rFonts w:ascii="Simplified Arabic" w:hAnsi="Simplified Arabic" w:hint="cs"/>
          <w:rtl/>
        </w:rPr>
        <w:t>،</w:t>
      </w:r>
      <w:r w:rsidRPr="0020191B">
        <w:rPr>
          <w:rFonts w:ascii="Simplified Arabic" w:hAnsi="Simplified Arabic"/>
          <w:rtl/>
        </w:rPr>
        <w:t xml:space="preserve"> والحكومات الأخرى والمنظمات ووكالات التعاون </w:t>
      </w:r>
      <w:r>
        <w:rPr>
          <w:rFonts w:ascii="Simplified Arabic" w:hAnsi="Simplified Arabic" w:hint="cs"/>
          <w:rtl/>
        </w:rPr>
        <w:t xml:space="preserve">ذات الصلة </w:t>
      </w:r>
      <w:r w:rsidRPr="0020191B">
        <w:rPr>
          <w:rFonts w:ascii="Simplified Arabic" w:hAnsi="Simplified Arabic"/>
          <w:rtl/>
        </w:rPr>
        <w:t xml:space="preserve">إلى دعم بناء القدرات من أجل </w:t>
      </w:r>
      <w:r>
        <w:rPr>
          <w:rFonts w:ascii="Simplified Arabic" w:hAnsi="Simplified Arabic" w:hint="cs"/>
          <w:rtl/>
        </w:rPr>
        <w:t>استخدام</w:t>
      </w:r>
      <w:r w:rsidRPr="0020191B">
        <w:rPr>
          <w:rFonts w:ascii="Simplified Arabic" w:hAnsi="Simplified Arabic"/>
          <w:rtl/>
        </w:rPr>
        <w:t xml:space="preserve"> التوجيهات </w:t>
      </w:r>
      <w:r>
        <w:rPr>
          <w:rFonts w:ascii="Simplified Arabic" w:hAnsi="Simplified Arabic" w:hint="cs"/>
          <w:rtl/>
        </w:rPr>
        <w:t xml:space="preserve">المتعلقة </w:t>
      </w:r>
      <w:r w:rsidRPr="0020191B">
        <w:rPr>
          <w:rFonts w:ascii="Simplified Arabic" w:hAnsi="Simplified Arabic"/>
          <w:rtl/>
        </w:rPr>
        <w:t>ب</w:t>
      </w:r>
      <w:r>
        <w:rPr>
          <w:rFonts w:ascii="Simplified Arabic" w:hAnsi="Simplified Arabic"/>
          <w:rtl/>
        </w:rPr>
        <w:t>دم</w:t>
      </w:r>
      <w:r w:rsidRPr="0020191B">
        <w:rPr>
          <w:rFonts w:ascii="Simplified Arabic" w:hAnsi="Simplified Arabic"/>
          <w:rtl/>
        </w:rPr>
        <w:t>ج اعتبارات التنوع البيولوجي في ن</w:t>
      </w:r>
      <w:r>
        <w:rPr>
          <w:rFonts w:ascii="Simplified Arabic" w:hAnsi="Simplified Arabic" w:hint="cs"/>
          <w:rtl/>
        </w:rPr>
        <w:t>ُ</w:t>
      </w:r>
      <w:r w:rsidRPr="0020191B">
        <w:rPr>
          <w:rFonts w:ascii="Simplified Arabic" w:hAnsi="Simplified Arabic"/>
          <w:rtl/>
        </w:rPr>
        <w:t xml:space="preserve">هج </w:t>
      </w:r>
      <w:r>
        <w:rPr>
          <w:rFonts w:ascii="Simplified Arabic" w:hAnsi="Simplified Arabic" w:hint="cs"/>
          <w:rtl/>
        </w:rPr>
        <w:t>الصحة ال</w:t>
      </w:r>
      <w:r w:rsidRPr="0020191B">
        <w:rPr>
          <w:rFonts w:ascii="Simplified Arabic" w:hAnsi="Simplified Arabic"/>
          <w:rtl/>
        </w:rPr>
        <w:t>واحدة</w:t>
      </w:r>
      <w:r>
        <w:rPr>
          <w:rFonts w:ascii="Simplified Arabic" w:hAnsi="Simplified Arabic" w:hint="cs"/>
          <w:rtl/>
        </w:rPr>
        <w:t>،</w:t>
      </w:r>
      <w:r w:rsidRPr="009D5F8B">
        <w:rPr>
          <w:rFonts w:ascii="Simplified Arabic" w:hAnsi="Simplified Arabic" w:hint="cs"/>
          <w:rtl/>
        </w:rPr>
        <w:t xml:space="preserve"> </w:t>
      </w:r>
      <w:r>
        <w:rPr>
          <w:rFonts w:ascii="Simplified Arabic" w:hAnsi="Simplified Arabic" w:hint="cs"/>
          <w:rtl/>
        </w:rPr>
        <w:t>من بين</w:t>
      </w:r>
      <w:r w:rsidRPr="0020191B">
        <w:rPr>
          <w:rFonts w:ascii="Simplified Arabic" w:hAnsi="Simplified Arabic"/>
          <w:rtl/>
        </w:rPr>
        <w:t xml:space="preserve"> </w:t>
      </w:r>
      <w:r>
        <w:rPr>
          <w:rFonts w:ascii="Simplified Arabic" w:hAnsi="Simplified Arabic" w:hint="cs"/>
          <w:rtl/>
        </w:rPr>
        <w:t xml:space="preserve">النُهج الكاملة الأخرى، </w:t>
      </w:r>
      <w:r w:rsidRPr="0020191B">
        <w:rPr>
          <w:rFonts w:ascii="Simplified Arabic" w:hAnsi="Simplified Arabic"/>
          <w:rtl/>
        </w:rPr>
        <w:t>بكفاءة وفعالية؛</w:t>
      </w:r>
    </w:p>
    <w:p w:rsidR="00BF5B24" w:rsidRDefault="00BF5B24" w:rsidP="005216E4">
      <w:pPr>
        <w:numPr>
          <w:ilvl w:val="0"/>
          <w:numId w:val="4"/>
        </w:numPr>
        <w:ind w:left="0" w:firstLine="720"/>
        <w:jc w:val="lowKashida"/>
        <w:rPr>
          <w:rFonts w:ascii="Simplified Arabic" w:hAnsi="Simplified Arabic"/>
        </w:rPr>
      </w:pPr>
      <w:r w:rsidRPr="0020191B">
        <w:rPr>
          <w:rFonts w:ascii="Simplified Arabic" w:hAnsi="Simplified Arabic" w:hint="cs"/>
          <w:i/>
          <w:iCs/>
          <w:rtl/>
        </w:rPr>
        <w:t>يشجع</w:t>
      </w:r>
      <w:r w:rsidRPr="0020191B">
        <w:rPr>
          <w:rFonts w:ascii="Simplified Arabic" w:hAnsi="Simplified Arabic"/>
          <w:rtl/>
        </w:rPr>
        <w:t xml:space="preserve"> الأطراف على تعزيز الحوار بين الوزارات والوكالات المسؤولة عن قطاعات الصحة (بما في ذلك الصحة الحيوانية و</w:t>
      </w:r>
      <w:r>
        <w:rPr>
          <w:rFonts w:ascii="Simplified Arabic" w:hAnsi="Simplified Arabic" w:hint="cs"/>
          <w:rtl/>
        </w:rPr>
        <w:t>الأحياء</w:t>
      </w:r>
      <w:r w:rsidRPr="0020191B">
        <w:rPr>
          <w:rFonts w:ascii="Simplified Arabic" w:hAnsi="Simplified Arabic"/>
          <w:rtl/>
        </w:rPr>
        <w:t xml:space="preserve"> البرية</w:t>
      </w:r>
      <w:r>
        <w:rPr>
          <w:rFonts w:ascii="Simplified Arabic" w:hAnsi="Simplified Arabic" w:hint="cs"/>
          <w:rtl/>
        </w:rPr>
        <w:t xml:space="preserve"> المحلية</w:t>
      </w:r>
      <w:r w:rsidRPr="0020191B">
        <w:rPr>
          <w:rFonts w:ascii="Simplified Arabic" w:hAnsi="Simplified Arabic"/>
          <w:rtl/>
        </w:rPr>
        <w:t>)</w:t>
      </w:r>
      <w:r>
        <w:rPr>
          <w:rFonts w:ascii="Simplified Arabic" w:hAnsi="Simplified Arabic" w:hint="cs"/>
          <w:rtl/>
        </w:rPr>
        <w:t>،</w:t>
      </w:r>
      <w:r>
        <w:rPr>
          <w:rFonts w:ascii="Simplified Arabic" w:hAnsi="Simplified Arabic"/>
          <w:rtl/>
        </w:rPr>
        <w:t xml:space="preserve"> والبيئة</w:t>
      </w:r>
      <w:r>
        <w:rPr>
          <w:rFonts w:ascii="Simplified Arabic" w:hAnsi="Simplified Arabic" w:hint="cs"/>
          <w:rtl/>
        </w:rPr>
        <w:t xml:space="preserve">، والتلوث (مثل الحطام البلاستيكي البحري)، </w:t>
      </w:r>
      <w:r w:rsidRPr="001C55EE">
        <w:rPr>
          <w:rFonts w:ascii="Simplified Arabic" w:hAnsi="Simplified Arabic"/>
          <w:rtl/>
        </w:rPr>
        <w:t>ومبيدات الآفات</w:t>
      </w:r>
      <w:r>
        <w:rPr>
          <w:rFonts w:ascii="Simplified Arabic" w:hAnsi="Simplified Arabic" w:hint="cs"/>
          <w:rtl/>
        </w:rPr>
        <w:t>،</w:t>
      </w:r>
      <w:r w:rsidRPr="001C55EE">
        <w:rPr>
          <w:rFonts w:ascii="Simplified Arabic" w:hAnsi="Simplified Arabic"/>
          <w:rtl/>
        </w:rPr>
        <w:t xml:space="preserve"> ومقاومة مضادات الميكروبات،</w:t>
      </w:r>
      <w:r w:rsidRPr="0020191B">
        <w:rPr>
          <w:rFonts w:ascii="Simplified Arabic" w:hAnsi="Simplified Arabic"/>
          <w:rtl/>
        </w:rPr>
        <w:t xml:space="preserve"> </w:t>
      </w:r>
      <w:r>
        <w:rPr>
          <w:rFonts w:ascii="Simplified Arabic" w:hAnsi="Simplified Arabic" w:hint="cs"/>
          <w:rtl/>
        </w:rPr>
        <w:t xml:space="preserve">والزراعة، </w:t>
      </w:r>
      <w:r w:rsidRPr="0020191B">
        <w:rPr>
          <w:rFonts w:ascii="Simplified Arabic" w:hAnsi="Simplified Arabic"/>
          <w:rtl/>
        </w:rPr>
        <w:t>والتغذية والأمن الغذائي</w:t>
      </w:r>
      <w:r>
        <w:rPr>
          <w:rFonts w:ascii="Simplified Arabic" w:hAnsi="Simplified Arabic" w:hint="cs"/>
          <w:rtl/>
        </w:rPr>
        <w:t>،</w:t>
      </w:r>
      <w:r w:rsidRPr="0020191B">
        <w:rPr>
          <w:rFonts w:ascii="Simplified Arabic" w:hAnsi="Simplified Arabic"/>
          <w:rtl/>
        </w:rPr>
        <w:t xml:space="preserve"> وسلامة الأغذية</w:t>
      </w:r>
      <w:r>
        <w:rPr>
          <w:rFonts w:ascii="Simplified Arabic" w:hAnsi="Simplified Arabic" w:hint="cs"/>
          <w:rtl/>
        </w:rPr>
        <w:t>،</w:t>
      </w:r>
      <w:r w:rsidRPr="0020191B">
        <w:rPr>
          <w:rFonts w:ascii="Simplified Arabic" w:hAnsi="Simplified Arabic"/>
          <w:rtl/>
        </w:rPr>
        <w:t xml:space="preserve"> والتخطيط (بما في ذلك التخطيط الحضري)</w:t>
      </w:r>
      <w:r>
        <w:rPr>
          <w:rFonts w:ascii="Simplified Arabic" w:hAnsi="Simplified Arabic" w:hint="cs"/>
          <w:rtl/>
        </w:rPr>
        <w:t>،</w:t>
      </w:r>
      <w:r w:rsidRPr="0020191B">
        <w:rPr>
          <w:rFonts w:ascii="Simplified Arabic" w:hAnsi="Simplified Arabic"/>
          <w:rtl/>
        </w:rPr>
        <w:t xml:space="preserve"> والتكيف مع تغير المناخ </w:t>
      </w:r>
      <w:r>
        <w:rPr>
          <w:rFonts w:ascii="Simplified Arabic" w:hAnsi="Simplified Arabic" w:hint="cs"/>
          <w:rtl/>
        </w:rPr>
        <w:t xml:space="preserve">وتخفيف أثره </w:t>
      </w:r>
      <w:r w:rsidRPr="0020191B">
        <w:rPr>
          <w:rFonts w:ascii="Simplified Arabic" w:hAnsi="Simplified Arabic"/>
          <w:rtl/>
        </w:rPr>
        <w:t>والحد من مخاطر الكوارث، لتعزيز الن</w:t>
      </w:r>
      <w:r>
        <w:rPr>
          <w:rFonts w:ascii="Simplified Arabic" w:hAnsi="Simplified Arabic" w:hint="cs"/>
          <w:rtl/>
        </w:rPr>
        <w:t>ُ</w:t>
      </w:r>
      <w:r w:rsidRPr="0020191B">
        <w:rPr>
          <w:rFonts w:ascii="Simplified Arabic" w:hAnsi="Simplified Arabic"/>
          <w:rtl/>
        </w:rPr>
        <w:t>هج المتكاملة، بغية تعزيز تنفيذ الخطة الاستراتيجية للتنوع البيولوجي 2011-</w:t>
      </w:r>
      <w:r w:rsidR="005216E4">
        <w:rPr>
          <w:rFonts w:ascii="Simplified Arabic" w:hAnsi="Simplified Arabic" w:hint="cs"/>
          <w:vertAlign w:val="superscript"/>
          <w:rtl/>
        </w:rPr>
        <w:t>37</w:t>
      </w:r>
      <w:r>
        <w:rPr>
          <w:rFonts w:ascii="Simplified Arabic" w:hAnsi="Simplified Arabic" w:hint="cs"/>
          <w:rtl/>
        </w:rPr>
        <w:t>2020</w:t>
      </w:r>
      <w:r w:rsidRPr="0020191B">
        <w:rPr>
          <w:rFonts w:ascii="Simplified Arabic" w:hAnsi="Simplified Arabic"/>
          <w:rtl/>
        </w:rPr>
        <w:t xml:space="preserve"> وخطة التنمية المستدامة لعام 2030، بما في ذلك عن طريق تعميم </w:t>
      </w:r>
      <w:r>
        <w:rPr>
          <w:rFonts w:ascii="Simplified Arabic" w:hAnsi="Simplified Arabic" w:hint="cs"/>
          <w:rtl/>
        </w:rPr>
        <w:t xml:space="preserve">الروابط بين </w:t>
      </w:r>
      <w:r w:rsidRPr="0020191B">
        <w:rPr>
          <w:rFonts w:ascii="Simplified Arabic" w:hAnsi="Simplified Arabic"/>
          <w:rtl/>
        </w:rPr>
        <w:t xml:space="preserve">التنوع البيولوجي </w:t>
      </w:r>
      <w:r>
        <w:rPr>
          <w:rFonts w:ascii="Simplified Arabic" w:hAnsi="Simplified Arabic" w:hint="cs"/>
          <w:rtl/>
        </w:rPr>
        <w:t>و</w:t>
      </w:r>
      <w:r>
        <w:rPr>
          <w:rFonts w:ascii="Simplified Arabic" w:hAnsi="Simplified Arabic"/>
          <w:rtl/>
        </w:rPr>
        <w:t>الصح</w:t>
      </w:r>
      <w:r w:rsidRPr="0020191B">
        <w:rPr>
          <w:rFonts w:ascii="Simplified Arabic" w:hAnsi="Simplified Arabic"/>
          <w:rtl/>
        </w:rPr>
        <w:t xml:space="preserve">ة </w:t>
      </w:r>
      <w:r>
        <w:rPr>
          <w:rFonts w:ascii="Simplified Arabic" w:hAnsi="Simplified Arabic" w:hint="cs"/>
          <w:rtl/>
        </w:rPr>
        <w:t xml:space="preserve">مثل تلك الواردة في المرفق بالمقرر 13/6 </w:t>
      </w:r>
      <w:r w:rsidRPr="0020191B">
        <w:rPr>
          <w:rFonts w:ascii="Simplified Arabic" w:hAnsi="Simplified Arabic"/>
          <w:rtl/>
        </w:rPr>
        <w:t>في السياسات والخطط والاستراتيجيات القائمة</w:t>
      </w:r>
      <w:r>
        <w:rPr>
          <w:rFonts w:ascii="Simplified Arabic" w:hAnsi="Simplified Arabic" w:hint="cs"/>
          <w:rtl/>
        </w:rPr>
        <w:t xml:space="preserve"> والمستقبلية</w:t>
      </w:r>
      <w:r w:rsidRPr="0020191B">
        <w:rPr>
          <w:rFonts w:ascii="Simplified Arabic" w:hAnsi="Simplified Arabic"/>
          <w:rtl/>
        </w:rPr>
        <w:t>، حسب الاقتضاء؛</w:t>
      </w:r>
    </w:p>
    <w:p w:rsidR="00BF5B24" w:rsidRDefault="00BF5B24" w:rsidP="00FF7FA5">
      <w:pPr>
        <w:numPr>
          <w:ilvl w:val="0"/>
          <w:numId w:val="4"/>
        </w:numPr>
        <w:ind w:left="0" w:firstLine="720"/>
        <w:jc w:val="lowKashida"/>
        <w:rPr>
          <w:rFonts w:ascii="Simplified Arabic" w:hAnsi="Simplified Arabic"/>
        </w:rPr>
      </w:pPr>
      <w:r w:rsidRPr="005F4F89">
        <w:rPr>
          <w:rFonts w:ascii="Simplified Arabic" w:hAnsi="Simplified Arabic"/>
          <w:i/>
          <w:iCs/>
          <w:rtl/>
        </w:rPr>
        <w:t>يشجع</w:t>
      </w:r>
      <w:r w:rsidRPr="005F4F89">
        <w:rPr>
          <w:rFonts w:ascii="Simplified Arabic" w:hAnsi="Simplified Arabic"/>
          <w:rtl/>
        </w:rPr>
        <w:t xml:space="preserve"> الأطراف، </w:t>
      </w:r>
      <w:r w:rsidRPr="000C46C6">
        <w:rPr>
          <w:rFonts w:ascii="Simplified Arabic" w:hAnsi="Simplified Arabic"/>
          <w:i/>
          <w:iCs/>
          <w:rtl/>
        </w:rPr>
        <w:t>ويدعو</w:t>
      </w:r>
      <w:r w:rsidRPr="005F4F89">
        <w:rPr>
          <w:rFonts w:ascii="Simplified Arabic" w:hAnsi="Simplified Arabic"/>
          <w:rtl/>
        </w:rPr>
        <w:t xml:space="preserve"> الحكومات الأخرى والمنظمات ذات الصلة إلى تبادل خبراتها </w:t>
      </w:r>
      <w:r>
        <w:rPr>
          <w:rFonts w:ascii="Simplified Arabic" w:hAnsi="Simplified Arabic"/>
          <w:rtl/>
        </w:rPr>
        <w:t>بشأن تنفيذ التوجيهات المتعلقة بدم</w:t>
      </w:r>
      <w:r w:rsidRPr="005F4F89">
        <w:rPr>
          <w:rFonts w:ascii="Simplified Arabic" w:hAnsi="Simplified Arabic"/>
          <w:rtl/>
        </w:rPr>
        <w:t>ج اعتبارات التنوع البيولوجي في ن</w:t>
      </w:r>
      <w:r>
        <w:rPr>
          <w:rFonts w:ascii="Simplified Arabic" w:hAnsi="Simplified Arabic" w:hint="cs"/>
          <w:rtl/>
        </w:rPr>
        <w:t>ُ</w:t>
      </w:r>
      <w:r w:rsidRPr="005F4F89">
        <w:rPr>
          <w:rFonts w:ascii="Simplified Arabic" w:hAnsi="Simplified Arabic"/>
          <w:rtl/>
        </w:rPr>
        <w:t>هج الصحة الواحدة،</w:t>
      </w:r>
      <w:r>
        <w:rPr>
          <w:rFonts w:ascii="Simplified Arabic" w:hAnsi="Simplified Arabic" w:hint="cs"/>
          <w:rtl/>
        </w:rPr>
        <w:t xml:space="preserve"> من بين النُهج الكاملة الأخرى،</w:t>
      </w:r>
      <w:r w:rsidRPr="005F4F89">
        <w:rPr>
          <w:rFonts w:ascii="Simplified Arabic" w:hAnsi="Simplified Arabic"/>
          <w:rtl/>
        </w:rPr>
        <w:t xml:space="preserve"> بما في ذلك من خلال آلية غرفة تبادل المعلومات؛</w:t>
      </w:r>
    </w:p>
    <w:p w:rsidR="00BF5B24" w:rsidRDefault="00BF5B24" w:rsidP="00FF7FA5">
      <w:pPr>
        <w:numPr>
          <w:ilvl w:val="0"/>
          <w:numId w:val="4"/>
        </w:numPr>
        <w:spacing w:after="100" w:line="204" w:lineRule="auto"/>
        <w:ind w:left="0" w:firstLine="720"/>
        <w:rPr>
          <w:rFonts w:ascii="Simplified Arabic" w:eastAsiaTheme="minorHAnsi" w:hAnsi="Simplified Arabic"/>
        </w:rPr>
      </w:pPr>
      <w:r w:rsidRPr="005E4A5F">
        <w:rPr>
          <w:rFonts w:ascii="Simplified Arabic" w:eastAsiaTheme="minorHAnsi" w:hAnsi="Simplified Arabic"/>
          <w:i/>
          <w:iCs/>
          <w:rtl/>
        </w:rPr>
        <w:lastRenderedPageBreak/>
        <w:t>يدعو</w:t>
      </w:r>
      <w:r w:rsidRPr="005E4A5F">
        <w:rPr>
          <w:rFonts w:ascii="Simplified Arabic" w:eastAsiaTheme="minorHAnsi" w:hAnsi="Simplified Arabic"/>
          <w:rtl/>
        </w:rPr>
        <w:t xml:space="preserve"> الأطراف والحكومات الأخرى</w:t>
      </w:r>
      <w:r>
        <w:rPr>
          <w:rFonts w:ascii="Simplified Arabic" w:eastAsiaTheme="minorHAnsi" w:hAnsi="Simplified Arabic" w:hint="cs"/>
          <w:rtl/>
        </w:rPr>
        <w:t>،</w:t>
      </w:r>
      <w:r w:rsidRPr="005E4A5F">
        <w:rPr>
          <w:rFonts w:ascii="Simplified Arabic" w:eastAsiaTheme="minorHAnsi" w:hAnsi="Simplified Arabic"/>
          <w:rtl/>
        </w:rPr>
        <w:t xml:space="preserve"> والمنظمات ذات الصلة إلى مواصلة إعداد أدوات الاتصال والتثقيف والتوعية العامة المتعلقة ب</w:t>
      </w:r>
      <w:r>
        <w:rPr>
          <w:rFonts w:ascii="Simplified Arabic" w:eastAsiaTheme="minorHAnsi" w:hAnsi="Simplified Arabic" w:hint="cs"/>
          <w:rtl/>
        </w:rPr>
        <w:t>أهمي</w:t>
      </w:r>
      <w:r w:rsidRPr="005E4A5F">
        <w:rPr>
          <w:rFonts w:ascii="Simplified Arabic" w:eastAsiaTheme="minorHAnsi" w:hAnsi="Simplified Arabic"/>
          <w:rtl/>
        </w:rPr>
        <w:t xml:space="preserve">ة حفظ التنوع البيولوجي واستخدامه المستدام والنُهج القائمة على النظم الإيكولوجية من أجل الصحة العامة، بهدف تعميم التنوع البيولوجي ووضع سياسات وخطط وبرامج </w:t>
      </w:r>
      <w:r>
        <w:rPr>
          <w:rFonts w:ascii="Simplified Arabic" w:eastAsiaTheme="minorHAnsi" w:hAnsi="Simplified Arabic" w:hint="cs"/>
          <w:rtl/>
        </w:rPr>
        <w:t>الصحة</w:t>
      </w:r>
      <w:r w:rsidRPr="005E4A5F">
        <w:rPr>
          <w:rFonts w:ascii="Simplified Arabic" w:eastAsiaTheme="minorHAnsi" w:hAnsi="Simplified Arabic"/>
          <w:rtl/>
        </w:rPr>
        <w:t xml:space="preserve"> </w:t>
      </w:r>
      <w:r>
        <w:rPr>
          <w:rFonts w:ascii="Simplified Arabic" w:eastAsiaTheme="minorHAnsi" w:hAnsi="Simplified Arabic" w:hint="cs"/>
          <w:rtl/>
        </w:rPr>
        <w:t xml:space="preserve">الواحدة </w:t>
      </w:r>
      <w:r w:rsidRPr="005E4A5F">
        <w:rPr>
          <w:rFonts w:ascii="Simplified Arabic" w:eastAsiaTheme="minorHAnsi" w:hAnsi="Simplified Arabic"/>
          <w:rtl/>
        </w:rPr>
        <w:t>الشاملة للتنوع البيولوجي</w:t>
      </w:r>
      <w:r>
        <w:rPr>
          <w:rFonts w:ascii="Simplified Arabic" w:eastAsiaTheme="minorHAnsi" w:hAnsi="Simplified Arabic" w:hint="cs"/>
          <w:rtl/>
        </w:rPr>
        <w:t>، من بين النُهج الكاملة الأخرى،</w:t>
      </w:r>
      <w:r w:rsidRPr="005E4A5F">
        <w:rPr>
          <w:rFonts w:ascii="Simplified Arabic" w:eastAsiaTheme="minorHAnsi" w:hAnsi="Simplified Arabic"/>
          <w:rtl/>
        </w:rPr>
        <w:t xml:space="preserve"> بما يتفق مع أهداف خطة التنمية المستدامة لعام 2030؛</w:t>
      </w:r>
    </w:p>
    <w:p w:rsidR="00BF5B24" w:rsidRPr="00582656" w:rsidRDefault="00BF5B24" w:rsidP="00FF7FA5">
      <w:pPr>
        <w:numPr>
          <w:ilvl w:val="0"/>
          <w:numId w:val="4"/>
        </w:numPr>
        <w:spacing w:after="100" w:line="204" w:lineRule="auto"/>
        <w:ind w:left="0" w:firstLine="720"/>
        <w:rPr>
          <w:rFonts w:ascii="Simplified Arabic" w:eastAsiaTheme="minorHAnsi" w:hAnsi="Simplified Arabic"/>
          <w:rtl/>
        </w:rPr>
      </w:pPr>
      <w:r w:rsidRPr="00582656">
        <w:rPr>
          <w:rFonts w:ascii="Simplified Arabic" w:eastAsiaTheme="minorHAnsi" w:hAnsi="Simplified Arabic"/>
          <w:i/>
          <w:iCs/>
          <w:rtl/>
        </w:rPr>
        <w:t xml:space="preserve">يشجع </w:t>
      </w:r>
      <w:r w:rsidRPr="00582656">
        <w:rPr>
          <w:rFonts w:ascii="Simplified Arabic" w:eastAsiaTheme="minorHAnsi" w:hAnsi="Simplified Arabic"/>
          <w:rtl/>
        </w:rPr>
        <w:t>الأطراف والحكومات الأخرى وأصحاب المصلحة المعنيين، بما يتماشى مع القدرات والظروف الوطنية والأولويات واللوائح، على ما يلي:</w:t>
      </w:r>
    </w:p>
    <w:p w:rsidR="00BF5B24" w:rsidRPr="005E4A5F"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rtl/>
        </w:rPr>
        <w:t>(أ)</w:t>
      </w:r>
      <w:r w:rsidRPr="005E4A5F">
        <w:rPr>
          <w:rFonts w:ascii="Simplified Arabic" w:eastAsiaTheme="minorHAnsi" w:hAnsi="Simplified Arabic"/>
          <w:rtl/>
        </w:rPr>
        <w:tab/>
        <w:t xml:space="preserve">تقديم، حسب الاقتضاء، </w:t>
      </w:r>
      <w:r>
        <w:rPr>
          <w:rFonts w:ascii="Simplified Arabic" w:eastAsiaTheme="minorHAnsi" w:hAnsi="Simplified Arabic" w:hint="cs"/>
          <w:rtl/>
        </w:rPr>
        <w:t>حوافز</w:t>
      </w:r>
      <w:r w:rsidRPr="005E4A5F">
        <w:rPr>
          <w:rFonts w:ascii="Simplified Arabic" w:eastAsiaTheme="minorHAnsi" w:hAnsi="Simplified Arabic"/>
          <w:rtl/>
        </w:rPr>
        <w:t xml:space="preserve"> فعالة لتعميم التنوع البيولوجي في قطاع الصحة، بما يتماشى مع الالتزامات الدولية</w:t>
      </w:r>
      <w:r>
        <w:rPr>
          <w:rFonts w:ascii="Simplified Arabic" w:eastAsiaTheme="minorHAnsi" w:hAnsi="Simplified Arabic" w:hint="cs"/>
          <w:rtl/>
        </w:rPr>
        <w:t>؛</w:t>
      </w:r>
    </w:p>
    <w:p w:rsidR="00BF5B24"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rtl/>
        </w:rPr>
        <w:t>(ب)</w:t>
      </w:r>
      <w:r w:rsidRPr="005E4A5F">
        <w:rPr>
          <w:rFonts w:ascii="Simplified Arabic" w:eastAsiaTheme="minorHAnsi" w:hAnsi="Simplified Arabic"/>
          <w:rtl/>
        </w:rPr>
        <w:tab/>
        <w:t xml:space="preserve">تشجيع وتعزيز أفضل الممارسات بشأن الاستهلاك والإنتاج المستدامين في قطاعات </w:t>
      </w:r>
      <w:r>
        <w:rPr>
          <w:rFonts w:ascii="Simplified Arabic" w:eastAsiaTheme="minorHAnsi" w:hAnsi="Simplified Arabic" w:hint="cs"/>
          <w:rtl/>
        </w:rPr>
        <w:t>الصحة</w:t>
      </w:r>
      <w:r w:rsidRPr="005E4A5F">
        <w:rPr>
          <w:rFonts w:ascii="Simplified Arabic" w:eastAsiaTheme="minorHAnsi" w:hAnsi="Simplified Arabic"/>
          <w:rtl/>
        </w:rPr>
        <w:t>، التي تعمل لصالح حفظ التنوع البيولوجي واستخدامه المستدام؛</w:t>
      </w:r>
    </w:p>
    <w:p w:rsidR="00BF5B24" w:rsidRDefault="00BF5B24" w:rsidP="00BF5B24">
      <w:pPr>
        <w:spacing w:after="100" w:line="204" w:lineRule="auto"/>
        <w:ind w:firstLine="720"/>
        <w:rPr>
          <w:rFonts w:ascii="Simplified Arabic" w:eastAsiaTheme="minorHAnsi" w:hAnsi="Simplified Arabic"/>
          <w:rtl/>
        </w:rPr>
      </w:pPr>
      <w:r>
        <w:rPr>
          <w:rFonts w:ascii="Simplified Arabic" w:eastAsiaTheme="minorHAnsi" w:hAnsi="Simplified Arabic" w:hint="cs"/>
          <w:rtl/>
        </w:rPr>
        <w:t>(ج)</w:t>
      </w:r>
      <w:r>
        <w:rPr>
          <w:rFonts w:ascii="Simplified Arabic" w:eastAsiaTheme="minorHAnsi" w:hAnsi="Simplified Arabic" w:hint="cs"/>
          <w:rtl/>
        </w:rPr>
        <w:tab/>
        <w:t>بذل الجهود لاستعراض وتعديل وتحسين الروابط بين التنوع البيولوجي والصحة في التقييم البيئي للمشاريع ذات الصلة؛</w:t>
      </w:r>
    </w:p>
    <w:p w:rsidR="00BF5B24" w:rsidRDefault="00BF5B24" w:rsidP="00FF7FA5">
      <w:pPr>
        <w:numPr>
          <w:ilvl w:val="0"/>
          <w:numId w:val="4"/>
        </w:numPr>
        <w:ind w:left="0" w:firstLine="720"/>
        <w:jc w:val="lowKashida"/>
        <w:rPr>
          <w:rFonts w:ascii="Simplified Arabic" w:hAnsi="Simplified Arabic"/>
        </w:rPr>
      </w:pPr>
      <w:r w:rsidRPr="005F4F89">
        <w:rPr>
          <w:rFonts w:ascii="Simplified Arabic" w:hAnsi="Simplified Arabic" w:hint="cs"/>
          <w:i/>
          <w:iCs/>
          <w:rtl/>
        </w:rPr>
        <w:t>يدعو</w:t>
      </w:r>
      <w:r w:rsidRPr="005F4F89">
        <w:rPr>
          <w:rFonts w:ascii="Simplified Arabic" w:hAnsi="Simplified Arabic"/>
          <w:rtl/>
        </w:rPr>
        <w:t xml:space="preserve"> منظمة الصحة العالمية </w:t>
      </w:r>
      <w:r>
        <w:rPr>
          <w:rFonts w:ascii="Simplified Arabic" w:hAnsi="Simplified Arabic" w:hint="cs"/>
          <w:rtl/>
        </w:rPr>
        <w:t xml:space="preserve">والمنظمة العالمية لصحة الحيوان ومنظمة الأغذية والزراعة للأمم المتحدة وغيرها من المنظمات ذات الصلة </w:t>
      </w:r>
      <w:r w:rsidRPr="005F4F89">
        <w:rPr>
          <w:rFonts w:ascii="Simplified Arabic" w:hAnsi="Simplified Arabic"/>
          <w:rtl/>
        </w:rPr>
        <w:t>إلى النظر في الن</w:t>
      </w:r>
      <w:r>
        <w:rPr>
          <w:rFonts w:ascii="Simplified Arabic" w:hAnsi="Simplified Arabic" w:hint="cs"/>
          <w:rtl/>
        </w:rPr>
        <w:t>ُ</w:t>
      </w:r>
      <w:r w:rsidRPr="005F4F89">
        <w:rPr>
          <w:rFonts w:ascii="Simplified Arabic" w:hAnsi="Simplified Arabic"/>
          <w:rtl/>
        </w:rPr>
        <w:t xml:space="preserve">هج القائمة على النظم الإيكولوجية في جهودها الرامية إلى تعزيز الوقاية من </w:t>
      </w:r>
      <w:r>
        <w:rPr>
          <w:rFonts w:ascii="Simplified Arabic" w:hAnsi="Simplified Arabic" w:hint="cs"/>
          <w:rtl/>
        </w:rPr>
        <w:t>اعتلال</w:t>
      </w:r>
      <w:r w:rsidRPr="005F4F89">
        <w:rPr>
          <w:rFonts w:ascii="Simplified Arabic" w:hAnsi="Simplified Arabic"/>
          <w:rtl/>
        </w:rPr>
        <w:t xml:space="preserve"> الصحة؛</w:t>
      </w:r>
    </w:p>
    <w:p w:rsidR="00BF5B24" w:rsidRPr="005E4A5F" w:rsidRDefault="00BF5B24" w:rsidP="00FF7FA5">
      <w:pPr>
        <w:numPr>
          <w:ilvl w:val="0"/>
          <w:numId w:val="4"/>
        </w:numPr>
        <w:spacing w:after="100" w:line="204" w:lineRule="auto"/>
        <w:ind w:left="0" w:firstLine="720"/>
        <w:rPr>
          <w:rFonts w:ascii="Simplified Arabic" w:eastAsiaTheme="minorHAnsi" w:hAnsi="Simplified Arabic"/>
        </w:rPr>
      </w:pPr>
      <w:r w:rsidRPr="005E4A5F">
        <w:rPr>
          <w:rFonts w:ascii="Simplified Arabic" w:eastAsiaTheme="minorHAnsi" w:hAnsi="Simplified Arabic"/>
          <w:i/>
          <w:iCs/>
          <w:rtl/>
        </w:rPr>
        <w:t>يدعو</w:t>
      </w:r>
      <w:r w:rsidRPr="005E4A5F">
        <w:rPr>
          <w:rFonts w:ascii="Simplified Arabic" w:eastAsiaTheme="minorHAnsi" w:hAnsi="Simplified Arabic"/>
          <w:rtl/>
        </w:rPr>
        <w:t xml:space="preserve"> منظمة الصحة العالمية</w:t>
      </w:r>
      <w:r>
        <w:rPr>
          <w:rFonts w:ascii="Simplified Arabic" w:eastAsiaTheme="minorHAnsi" w:hAnsi="Simplified Arabic" w:hint="cs"/>
          <w:rtl/>
        </w:rPr>
        <w:t xml:space="preserve">، </w:t>
      </w:r>
      <w:r w:rsidRPr="005E4A5F">
        <w:rPr>
          <w:rFonts w:ascii="Simplified Arabic" w:eastAsiaTheme="minorHAnsi" w:hAnsi="Simplified Arabic"/>
          <w:rtl/>
        </w:rPr>
        <w:t>إلى ما يلي:</w:t>
      </w:r>
    </w:p>
    <w:p w:rsidR="00BF5B24" w:rsidRPr="005E4A5F" w:rsidRDefault="00BF5B24" w:rsidP="00BF5B24">
      <w:pPr>
        <w:spacing w:after="100" w:line="204" w:lineRule="auto"/>
        <w:ind w:firstLine="720"/>
        <w:rPr>
          <w:rFonts w:ascii="Simplified Arabic" w:eastAsiaTheme="minorHAnsi" w:hAnsi="Simplified Arabic"/>
          <w:rtl/>
        </w:rPr>
      </w:pPr>
      <w:r w:rsidRPr="005E4A5F">
        <w:rPr>
          <w:rFonts w:ascii="Simplified Arabic" w:eastAsiaTheme="minorHAnsi" w:hAnsi="Simplified Arabic"/>
          <w:rtl/>
        </w:rPr>
        <w:t>(أ)</w:t>
      </w:r>
      <w:r w:rsidRPr="005E4A5F">
        <w:rPr>
          <w:rFonts w:ascii="Simplified Arabic" w:eastAsiaTheme="minorHAnsi" w:hAnsi="Simplified Arabic"/>
          <w:rtl/>
        </w:rPr>
        <w:tab/>
        <w:t>دعم تنفيذ هذا المقرر والمقرر 13/6 بالتعاون مع الشركاء الآخرين المعنين؛</w:t>
      </w:r>
    </w:p>
    <w:p w:rsidR="00BF5B24" w:rsidRPr="005E4A5F" w:rsidRDefault="00BF5B24" w:rsidP="00BF5B24">
      <w:pPr>
        <w:spacing w:after="100" w:line="204" w:lineRule="auto"/>
        <w:ind w:firstLine="720"/>
        <w:rPr>
          <w:rFonts w:ascii="Simplified Arabic" w:eastAsiaTheme="minorHAnsi" w:hAnsi="Simplified Arabic"/>
        </w:rPr>
      </w:pPr>
      <w:r w:rsidRPr="005E4A5F">
        <w:rPr>
          <w:rFonts w:ascii="Simplified Arabic" w:eastAsiaTheme="minorHAnsi" w:hAnsi="Simplified Arabic"/>
          <w:rtl/>
        </w:rPr>
        <w:t>(ب)</w:t>
      </w:r>
      <w:r w:rsidRPr="005E4A5F">
        <w:rPr>
          <w:rFonts w:ascii="Simplified Arabic" w:eastAsiaTheme="minorHAnsi" w:hAnsi="Simplified Arabic"/>
          <w:rtl/>
        </w:rPr>
        <w:tab/>
        <w:t>مواصلة دعم وضع وتنفيذ التدابير والإرشادات والأدوات لتعزيز ودعم تعميم الروابط بين التنوع البيولوجي والصحة في قطاع الصحة، والنظر في إنشاء آلية إبلاغ منتظم عن التقدم المحرز في الأنشطة المتعلقة بالتنوع البيولوجي والصحة بموجب برنامج العمل المشترك بين اتفاقية التنوع ا</w:t>
      </w:r>
      <w:r>
        <w:rPr>
          <w:rFonts w:ascii="Simplified Arabic" w:eastAsiaTheme="minorHAnsi" w:hAnsi="Simplified Arabic"/>
          <w:rtl/>
        </w:rPr>
        <w:t>لبيولوجي ومنظمة الصحة العالمية؛</w:t>
      </w:r>
    </w:p>
    <w:p w:rsidR="00BF5B24" w:rsidRPr="005E4A5F" w:rsidRDefault="00BF5B24" w:rsidP="00FF7FA5">
      <w:pPr>
        <w:numPr>
          <w:ilvl w:val="0"/>
          <w:numId w:val="4"/>
        </w:numPr>
        <w:spacing w:after="100" w:line="204" w:lineRule="auto"/>
        <w:ind w:left="0" w:firstLine="720"/>
        <w:rPr>
          <w:rFonts w:ascii="Simplified Arabic" w:eastAsiaTheme="minorHAnsi" w:hAnsi="Simplified Arabic"/>
        </w:rPr>
      </w:pPr>
      <w:r w:rsidRPr="005E4A5F">
        <w:rPr>
          <w:rFonts w:ascii="Simplified Arabic" w:eastAsiaTheme="minorHAnsi" w:hAnsi="Simplified Arabic"/>
          <w:i/>
          <w:iCs/>
          <w:rtl/>
        </w:rPr>
        <w:t>يدعو</w:t>
      </w:r>
      <w:r w:rsidRPr="005E4A5F">
        <w:rPr>
          <w:rFonts w:ascii="Simplified Arabic" w:eastAsiaTheme="minorHAnsi" w:hAnsi="Simplified Arabic"/>
          <w:rtl/>
        </w:rPr>
        <w:t xml:space="preserve"> الوكالات المانحة ووكالات التمويل التي تكون في وضع يسمح لها بذلك إلى تقديم مساعدة مالية إلى المشاريع القطرية التي تتناول التعميم متعدد القطاعات للتنوع البيولوجي والصحة عندما تطلب ذلك الأطراف من البلدان النامية</w:t>
      </w:r>
      <w:r>
        <w:rPr>
          <w:rFonts w:ascii="Simplified Arabic" w:eastAsiaTheme="minorHAnsi" w:hAnsi="Simplified Arabic" w:hint="cs"/>
          <w:rtl/>
        </w:rPr>
        <w:t>،</w:t>
      </w:r>
      <w:r w:rsidRPr="005E4A5F">
        <w:rPr>
          <w:rFonts w:ascii="Simplified Arabic" w:eastAsiaTheme="minorHAnsi" w:hAnsi="Simplified Arabic"/>
          <w:rtl/>
        </w:rPr>
        <w:t xml:space="preserve"> ولا سيما أقل البلدان نموا من بينها، بما في ذلك الدول الجزرية الصغيرة النامية</w:t>
      </w:r>
      <w:r>
        <w:rPr>
          <w:rFonts w:ascii="Simplified Arabic" w:eastAsiaTheme="minorHAnsi" w:hAnsi="Simplified Arabic" w:hint="cs"/>
          <w:rtl/>
        </w:rPr>
        <w:t>،</w:t>
      </w:r>
      <w:r w:rsidRPr="005E4A5F">
        <w:rPr>
          <w:rFonts w:ascii="Simplified Arabic" w:eastAsiaTheme="minorHAnsi" w:hAnsi="Simplified Arabic"/>
          <w:rtl/>
        </w:rPr>
        <w:t xml:space="preserve"> والبلدان التي تمر اقتصاداتها بمرحلة انتقالية</w:t>
      </w:r>
      <w:r>
        <w:rPr>
          <w:rFonts w:ascii="Simplified Arabic" w:eastAsiaTheme="minorHAnsi" w:hAnsi="Simplified Arabic"/>
          <w:rtl/>
        </w:rPr>
        <w:t>؛</w:t>
      </w:r>
    </w:p>
    <w:p w:rsidR="00BF5B24" w:rsidRPr="005E4A5F" w:rsidRDefault="00BF5B24" w:rsidP="00FF7FA5">
      <w:pPr>
        <w:numPr>
          <w:ilvl w:val="0"/>
          <w:numId w:val="4"/>
        </w:numPr>
        <w:spacing w:after="100" w:line="204" w:lineRule="auto"/>
        <w:ind w:left="0" w:firstLine="720"/>
        <w:rPr>
          <w:rFonts w:ascii="Simplified Arabic" w:eastAsiaTheme="minorHAnsi" w:hAnsi="Simplified Arabic"/>
        </w:rPr>
      </w:pPr>
      <w:r w:rsidRPr="005E4A5F">
        <w:rPr>
          <w:rFonts w:ascii="Simplified Arabic" w:eastAsiaTheme="minorHAnsi" w:hAnsi="Simplified Arabic"/>
          <w:i/>
          <w:iCs/>
          <w:rtl/>
        </w:rPr>
        <w:t>يطلب</w:t>
      </w:r>
      <w:r w:rsidRPr="005E4A5F">
        <w:rPr>
          <w:rFonts w:ascii="Simplified Arabic" w:eastAsiaTheme="minorHAnsi" w:hAnsi="Simplified Arabic"/>
          <w:rtl/>
        </w:rPr>
        <w:t xml:space="preserve"> إلى الأمينة التنفيذية، رهنا بتوافر الموارد المالية، </w:t>
      </w:r>
      <w:r w:rsidRPr="005E4A5F">
        <w:rPr>
          <w:rFonts w:ascii="Simplified Arabic" w:eastAsiaTheme="minorHAnsi" w:hAnsi="Simplified Arabic"/>
          <w:i/>
          <w:iCs/>
          <w:rtl/>
        </w:rPr>
        <w:t xml:space="preserve">ويدعو </w:t>
      </w:r>
      <w:r w:rsidRPr="005E4A5F">
        <w:rPr>
          <w:rFonts w:ascii="Simplified Arabic" w:eastAsiaTheme="minorHAnsi" w:hAnsi="Simplified Arabic"/>
          <w:rtl/>
        </w:rPr>
        <w:t>منظمة الصحة العالمية، بالتعاون</w:t>
      </w:r>
      <w:r>
        <w:rPr>
          <w:rFonts w:ascii="Simplified Arabic" w:eastAsiaTheme="minorHAnsi" w:hAnsi="Simplified Arabic" w:hint="cs"/>
          <w:rtl/>
        </w:rPr>
        <w:t>، حسب الاقتضاء،</w:t>
      </w:r>
      <w:r>
        <w:rPr>
          <w:rFonts w:ascii="Simplified Arabic" w:eastAsiaTheme="minorHAnsi" w:hAnsi="Simplified Arabic"/>
          <w:rtl/>
        </w:rPr>
        <w:t xml:space="preserve"> مع الأعضاء الآخرين </w:t>
      </w:r>
      <w:r w:rsidRPr="005E4A5F">
        <w:rPr>
          <w:rFonts w:ascii="Simplified Arabic" w:eastAsiaTheme="minorHAnsi" w:hAnsi="Simplified Arabic"/>
          <w:rtl/>
        </w:rPr>
        <w:t xml:space="preserve">لفريق </w:t>
      </w:r>
      <w:r>
        <w:rPr>
          <w:rFonts w:ascii="Simplified Arabic" w:eastAsiaTheme="minorHAnsi" w:hAnsi="Simplified Arabic" w:hint="cs"/>
          <w:rtl/>
        </w:rPr>
        <w:t xml:space="preserve">الاتصال </w:t>
      </w:r>
      <w:r w:rsidRPr="005E4A5F">
        <w:rPr>
          <w:rFonts w:ascii="Simplified Arabic" w:eastAsiaTheme="minorHAnsi" w:hAnsi="Simplified Arabic"/>
          <w:rtl/>
        </w:rPr>
        <w:t>المشترك المعني بالتنوع البيولوجي والصحة فضلا عن الشركاء الآخرين إلى القيام بما يلي</w:t>
      </w:r>
      <w:r w:rsidRPr="005E4A5F">
        <w:rPr>
          <w:rFonts w:ascii="Simplified Arabic" w:eastAsiaTheme="minorHAnsi" w:hAnsi="Simplified Arabic"/>
        </w:rPr>
        <w:t>:</w:t>
      </w:r>
    </w:p>
    <w:p w:rsidR="00BF5B24" w:rsidRPr="005E4A5F" w:rsidRDefault="00BF5B24" w:rsidP="00BF5B24">
      <w:pPr>
        <w:spacing w:after="100" w:line="204" w:lineRule="auto"/>
        <w:ind w:firstLine="720"/>
        <w:rPr>
          <w:rFonts w:ascii="Simplified Arabic" w:eastAsiaTheme="minorHAnsi" w:hAnsi="Simplified Arabic"/>
        </w:rPr>
      </w:pPr>
      <w:r w:rsidRPr="005E4A5F">
        <w:rPr>
          <w:rFonts w:ascii="Simplified Arabic" w:eastAsiaTheme="minorHAnsi" w:hAnsi="Simplified Arabic"/>
          <w:rtl/>
        </w:rPr>
        <w:t>(أ)</w:t>
      </w:r>
      <w:r w:rsidRPr="005E4A5F">
        <w:rPr>
          <w:rFonts w:ascii="Simplified Arabic" w:eastAsiaTheme="minorHAnsi" w:hAnsi="Simplified Arabic"/>
          <w:rtl/>
        </w:rPr>
        <w:tab/>
        <w:t xml:space="preserve">إعداد مؤشرات وقياسات وأدوات </w:t>
      </w:r>
      <w:r>
        <w:rPr>
          <w:rFonts w:ascii="Simplified Arabic" w:eastAsiaTheme="minorHAnsi" w:hAnsi="Simplified Arabic" w:hint="cs"/>
          <w:rtl/>
        </w:rPr>
        <w:t xml:space="preserve">متكاملة </w:t>
      </w:r>
      <w:r w:rsidRPr="005E4A5F">
        <w:rPr>
          <w:rFonts w:ascii="Simplified Arabic" w:eastAsiaTheme="minorHAnsi" w:hAnsi="Simplified Arabic"/>
          <w:rtl/>
        </w:rPr>
        <w:t xml:space="preserve">قائمة على العلم لقياس التقدم </w:t>
      </w:r>
      <w:r>
        <w:rPr>
          <w:rFonts w:ascii="Simplified Arabic" w:eastAsiaTheme="minorHAnsi" w:hAnsi="Simplified Arabic"/>
          <w:rtl/>
        </w:rPr>
        <w:t>بشأن التنوع البيولوجي والصحة؛</w:t>
      </w:r>
    </w:p>
    <w:p w:rsidR="00BF5B24" w:rsidRPr="005E4A5F" w:rsidRDefault="00BF5B24" w:rsidP="00BF5B24">
      <w:pPr>
        <w:spacing w:after="100" w:line="204" w:lineRule="auto"/>
        <w:ind w:firstLine="720"/>
        <w:rPr>
          <w:rFonts w:ascii="Simplified Arabic" w:eastAsiaTheme="minorHAnsi" w:hAnsi="Simplified Arabic"/>
        </w:rPr>
      </w:pPr>
      <w:r w:rsidRPr="005E4A5F">
        <w:rPr>
          <w:rFonts w:ascii="Simplified Arabic" w:eastAsiaTheme="minorHAnsi" w:hAnsi="Simplified Arabic"/>
          <w:rtl/>
        </w:rPr>
        <w:t>(ب)</w:t>
      </w:r>
      <w:r w:rsidRPr="005E4A5F">
        <w:rPr>
          <w:rFonts w:ascii="Simplified Arabic" w:eastAsiaTheme="minorHAnsi" w:hAnsi="Simplified Arabic"/>
          <w:rtl/>
        </w:rPr>
        <w:tab/>
        <w:t xml:space="preserve">وضع نُهج لتوجيه رسائل مستهدفة عن تعميم التنوع البيولوجي لقطاع الصحة، بما في ذلك كجزء من تنفيذ استراتيجية الاتصال العالمية ونُهج توجيه الرسائل على النحو المبين في المقرر </w:t>
      </w:r>
      <w:hyperlink r:id="rId15" w:history="1">
        <w:r w:rsidRPr="005E4A5F">
          <w:rPr>
            <w:rStyle w:val="Hyperlink"/>
            <w:rFonts w:ascii="Simplified Arabic" w:eastAsiaTheme="minorHAnsi" w:hAnsi="Simplified Arabic"/>
            <w:rtl/>
          </w:rPr>
          <w:t>12/2</w:t>
        </w:r>
      </w:hyperlink>
      <w:r>
        <w:rPr>
          <w:rFonts w:ascii="Simplified Arabic" w:eastAsiaTheme="minorHAnsi" w:hAnsi="Simplified Arabic"/>
          <w:rtl/>
        </w:rPr>
        <w:t>؛</w:t>
      </w:r>
    </w:p>
    <w:p w:rsidR="00BF5B24" w:rsidRPr="002467FD" w:rsidRDefault="00BF5B24" w:rsidP="00BF5B24">
      <w:pPr>
        <w:spacing w:after="100" w:line="204" w:lineRule="auto"/>
        <w:ind w:firstLine="720"/>
        <w:rPr>
          <w:rFonts w:ascii="Simplified Arabic" w:eastAsiaTheme="minorHAnsi" w:hAnsi="Simplified Arabic"/>
        </w:rPr>
      </w:pPr>
      <w:r w:rsidRPr="005E4A5F">
        <w:rPr>
          <w:rFonts w:ascii="Simplified Arabic" w:eastAsiaTheme="minorHAnsi" w:hAnsi="Simplified Arabic"/>
          <w:rtl/>
        </w:rPr>
        <w:t>(ج)</w:t>
      </w:r>
      <w:r w:rsidRPr="005E4A5F">
        <w:rPr>
          <w:rFonts w:ascii="Simplified Arabic" w:eastAsiaTheme="minorHAnsi" w:hAnsi="Simplified Arabic"/>
          <w:rtl/>
        </w:rPr>
        <w:tab/>
        <w:t xml:space="preserve">إعداد مشروع خطة عمل عالمية لتعميم الروابط بين التنوع البيولوجي والصحة في السياسات والاستراتيجيات والبرامج </w:t>
      </w:r>
      <w:r>
        <w:rPr>
          <w:rFonts w:ascii="Simplified Arabic" w:eastAsiaTheme="minorHAnsi" w:hAnsi="Simplified Arabic" w:hint="cs"/>
          <w:rtl/>
        </w:rPr>
        <w:t xml:space="preserve">الوطنية </w:t>
      </w:r>
      <w:r w:rsidRPr="005E4A5F">
        <w:rPr>
          <w:rFonts w:ascii="Simplified Arabic" w:eastAsiaTheme="minorHAnsi" w:hAnsi="Simplified Arabic"/>
          <w:rtl/>
        </w:rPr>
        <w:t>والحسابات ال</w:t>
      </w:r>
      <w:r>
        <w:rPr>
          <w:rFonts w:ascii="Simplified Arabic" w:eastAsiaTheme="minorHAnsi" w:hAnsi="Simplified Arabic" w:hint="cs"/>
          <w:rtl/>
        </w:rPr>
        <w:t>قوم</w:t>
      </w:r>
      <w:r w:rsidRPr="005E4A5F">
        <w:rPr>
          <w:rFonts w:ascii="Simplified Arabic" w:eastAsiaTheme="minorHAnsi" w:hAnsi="Simplified Arabic"/>
          <w:rtl/>
        </w:rPr>
        <w:t>ية، من أجل مواصلة دعم الأطراف في تعميم الروابط بين التنوع البيولوجي والصحة، استنادا إلى المقرر 13/</w:t>
      </w:r>
      <w:r>
        <w:rPr>
          <w:rFonts w:ascii="Simplified Arabic" w:eastAsiaTheme="minorHAnsi" w:hAnsi="Simplified Arabic" w:hint="cs"/>
          <w:rtl/>
        </w:rPr>
        <w:t>6</w:t>
      </w:r>
      <w:r>
        <w:rPr>
          <w:rFonts w:ascii="Simplified Arabic" w:eastAsiaTheme="minorHAnsi" w:hAnsi="Simplified Arabic"/>
          <w:rtl/>
        </w:rPr>
        <w:t xml:space="preserve"> والإرشادات المتعلقة بدم</w:t>
      </w:r>
      <w:r w:rsidRPr="005E4A5F">
        <w:rPr>
          <w:rFonts w:ascii="Simplified Arabic" w:eastAsiaTheme="minorHAnsi" w:hAnsi="Simplified Arabic"/>
          <w:rtl/>
        </w:rPr>
        <w:t>ج اعتبارات التنوع البيولوجي في نُهج الصحة</w:t>
      </w:r>
      <w:r>
        <w:rPr>
          <w:rFonts w:ascii="Simplified Arabic" w:eastAsiaTheme="minorHAnsi" w:hAnsi="Simplified Arabic" w:hint="cs"/>
          <w:rtl/>
        </w:rPr>
        <w:t xml:space="preserve"> الواحدة، من بين النُهج الكاملة الأخرى؛</w:t>
      </w:r>
      <w:r>
        <w:rPr>
          <w:rStyle w:val="FootnoteReference"/>
          <w:rFonts w:ascii="Simplified Arabic" w:eastAsiaTheme="minorHAnsi" w:hAnsi="Simplified Arabic"/>
          <w:rtl/>
        </w:rPr>
        <w:footnoteReference w:id="40"/>
      </w:r>
    </w:p>
    <w:p w:rsidR="00BF5B24" w:rsidRPr="007E1720" w:rsidRDefault="00BF5B24" w:rsidP="00FF7FA5">
      <w:pPr>
        <w:numPr>
          <w:ilvl w:val="0"/>
          <w:numId w:val="4"/>
        </w:numPr>
        <w:ind w:left="0" w:firstLine="720"/>
        <w:jc w:val="lowKashida"/>
        <w:rPr>
          <w:rFonts w:ascii="Simplified Arabic" w:hAnsi="Simplified Arabic"/>
          <w:spacing w:val="-8"/>
        </w:rPr>
      </w:pPr>
      <w:r w:rsidRPr="005F4F89">
        <w:rPr>
          <w:rFonts w:ascii="Simplified Arabic" w:hAnsi="Simplified Arabic"/>
          <w:i/>
          <w:iCs/>
          <w:rtl/>
        </w:rPr>
        <w:lastRenderedPageBreak/>
        <w:t>يطلب</w:t>
      </w:r>
      <w:r w:rsidRPr="005F4F89">
        <w:rPr>
          <w:rFonts w:ascii="Simplified Arabic" w:hAnsi="Simplified Arabic"/>
          <w:rtl/>
        </w:rPr>
        <w:t xml:space="preserve"> إلى الأمين</w:t>
      </w:r>
      <w:r>
        <w:rPr>
          <w:rFonts w:ascii="Simplified Arabic" w:hAnsi="Simplified Arabic" w:hint="cs"/>
          <w:rtl/>
        </w:rPr>
        <w:t>ة</w:t>
      </w:r>
      <w:r w:rsidRPr="005F4F89">
        <w:rPr>
          <w:rFonts w:ascii="Simplified Arabic" w:hAnsi="Simplified Arabic"/>
          <w:rtl/>
        </w:rPr>
        <w:t xml:space="preserve"> التنفيذي</w:t>
      </w:r>
      <w:r>
        <w:rPr>
          <w:rFonts w:ascii="Simplified Arabic" w:hAnsi="Simplified Arabic" w:hint="cs"/>
          <w:rtl/>
        </w:rPr>
        <w:t>ة</w:t>
      </w:r>
      <w:r w:rsidRPr="005F4F89">
        <w:rPr>
          <w:rFonts w:ascii="Simplified Arabic" w:hAnsi="Simplified Arabic"/>
          <w:rtl/>
        </w:rPr>
        <w:t xml:space="preserve">، </w:t>
      </w:r>
      <w:r w:rsidRPr="00457C8B">
        <w:rPr>
          <w:rFonts w:ascii="Simplified Arabic" w:hAnsi="Simplified Arabic" w:hint="cs"/>
          <w:rtl/>
        </w:rPr>
        <w:t>رهنا بتوافر الموارد،</w:t>
      </w:r>
      <w:r>
        <w:rPr>
          <w:rFonts w:ascii="Simplified Arabic" w:hAnsi="Simplified Arabic" w:hint="cs"/>
          <w:i/>
          <w:iCs/>
          <w:rtl/>
        </w:rPr>
        <w:t xml:space="preserve"> </w:t>
      </w:r>
      <w:r w:rsidRPr="008D4C75">
        <w:rPr>
          <w:rFonts w:ascii="Simplified Arabic" w:hAnsi="Simplified Arabic" w:hint="cs"/>
          <w:i/>
          <w:iCs/>
          <w:rtl/>
        </w:rPr>
        <w:t>ويدعو</w:t>
      </w:r>
      <w:r>
        <w:rPr>
          <w:rFonts w:ascii="Simplified Arabic" w:hAnsi="Simplified Arabic" w:hint="cs"/>
          <w:rtl/>
        </w:rPr>
        <w:t xml:space="preserve"> منظمة الصحة العالمية والأعضاء الآخرين في </w:t>
      </w:r>
      <w:r w:rsidRPr="005F4F89">
        <w:rPr>
          <w:rFonts w:ascii="Simplified Arabic" w:hAnsi="Simplified Arabic"/>
          <w:rtl/>
        </w:rPr>
        <w:t xml:space="preserve">فريق الاتصال المشترك بين الوكالات المعني بالتنوع البيولوجي والصحة، </w:t>
      </w:r>
      <w:r w:rsidRPr="007E1720">
        <w:rPr>
          <w:rFonts w:ascii="Simplified Arabic" w:hAnsi="Simplified Arabic"/>
          <w:spacing w:val="-8"/>
          <w:rtl/>
        </w:rPr>
        <w:t xml:space="preserve">والشركاء الآخرين، حسب الاقتضاء، </w:t>
      </w:r>
      <w:r w:rsidRPr="007E1720">
        <w:rPr>
          <w:rFonts w:ascii="Simplified Arabic" w:hAnsi="Simplified Arabic" w:hint="cs"/>
          <w:spacing w:val="-8"/>
          <w:rtl/>
        </w:rPr>
        <w:t>إلى التعاون على:</w:t>
      </w:r>
    </w:p>
    <w:p w:rsidR="00BF5B24" w:rsidRDefault="00BF5B24" w:rsidP="00FF7FA5">
      <w:pPr>
        <w:pStyle w:val="ListParagraph"/>
        <w:numPr>
          <w:ilvl w:val="0"/>
          <w:numId w:val="5"/>
        </w:numPr>
        <w:bidi/>
        <w:spacing w:line="216" w:lineRule="auto"/>
        <w:ind w:left="0" w:firstLine="720"/>
        <w:jc w:val="lowKashida"/>
        <w:rPr>
          <w:rFonts w:ascii="Simplified Arabic" w:hAnsi="Simplified Arabic" w:cs="Simplified Arabic"/>
        </w:rPr>
      </w:pPr>
      <w:r w:rsidRPr="00565925">
        <w:rPr>
          <w:rFonts w:ascii="Simplified Arabic" w:hAnsi="Simplified Arabic" w:cs="Simplified Arabic"/>
          <w:rtl/>
        </w:rPr>
        <w:t>تشجيع وتسهيل إجراء حوارات بشأن الن</w:t>
      </w:r>
      <w:r>
        <w:rPr>
          <w:rFonts w:ascii="Simplified Arabic" w:hAnsi="Simplified Arabic" w:cs="Simplified Arabic" w:hint="cs"/>
          <w:rtl/>
        </w:rPr>
        <w:t>ُ</w:t>
      </w:r>
      <w:r w:rsidRPr="00565925">
        <w:rPr>
          <w:rFonts w:ascii="Simplified Arabic" w:hAnsi="Simplified Arabic" w:cs="Simplified Arabic"/>
          <w:rtl/>
        </w:rPr>
        <w:t xml:space="preserve">هج المتعلقة بالتنوع البيولوجي والصحة مع أصحاب المصلحة المعنيين على الأصعدة الوطنية والإقليمية ودون الإقليمية، </w:t>
      </w:r>
      <w:r>
        <w:rPr>
          <w:rFonts w:ascii="Simplified Arabic" w:hAnsi="Simplified Arabic" w:cs="Simplified Arabic" w:hint="cs"/>
          <w:rtl/>
        </w:rPr>
        <w:t xml:space="preserve">والمنظمات، </w:t>
      </w:r>
      <w:r w:rsidRPr="00565925">
        <w:rPr>
          <w:rFonts w:ascii="Simplified Arabic" w:hAnsi="Simplified Arabic" w:cs="Simplified Arabic"/>
          <w:rtl/>
        </w:rPr>
        <w:t xml:space="preserve">حسب الاقتضاء، من أجل مساعدة الأطراف على وضع استراتيجيات لتعميم الروابط بين التنوع البيولوجي والصحة بشكل فعال، </w:t>
      </w:r>
      <w:r>
        <w:rPr>
          <w:rFonts w:ascii="Simplified Arabic" w:hAnsi="Simplified Arabic" w:cs="Simplified Arabic" w:hint="cs"/>
          <w:rtl/>
        </w:rPr>
        <w:t>من خلال</w:t>
      </w:r>
      <w:r w:rsidRPr="00565925">
        <w:rPr>
          <w:rFonts w:ascii="Simplified Arabic" w:hAnsi="Simplified Arabic" w:cs="Simplified Arabic"/>
          <w:rtl/>
        </w:rPr>
        <w:t xml:space="preserve"> </w:t>
      </w:r>
      <w:r>
        <w:rPr>
          <w:rFonts w:ascii="Simplified Arabic" w:hAnsi="Simplified Arabic" w:cs="Simplified Arabic" w:hint="cs"/>
          <w:rtl/>
        </w:rPr>
        <w:t>ال</w:t>
      </w:r>
      <w:r w:rsidRPr="00565925">
        <w:rPr>
          <w:rFonts w:ascii="Simplified Arabic" w:hAnsi="Simplified Arabic" w:cs="Simplified Arabic"/>
          <w:rtl/>
        </w:rPr>
        <w:t>ن</w:t>
      </w:r>
      <w:r>
        <w:rPr>
          <w:rFonts w:ascii="Simplified Arabic" w:hAnsi="Simplified Arabic" w:cs="Simplified Arabic" w:hint="cs"/>
          <w:rtl/>
        </w:rPr>
        <w:t>ُ</w:t>
      </w:r>
      <w:r w:rsidRPr="00565925">
        <w:rPr>
          <w:rFonts w:ascii="Simplified Arabic" w:hAnsi="Simplified Arabic" w:cs="Simplified Arabic"/>
          <w:rtl/>
        </w:rPr>
        <w:t>هج ال</w:t>
      </w:r>
      <w:r>
        <w:rPr>
          <w:rFonts w:ascii="Simplified Arabic" w:hAnsi="Simplified Arabic" w:cs="Simplified Arabic" w:hint="cs"/>
          <w:rtl/>
        </w:rPr>
        <w:t>ك</w:t>
      </w:r>
      <w:r w:rsidRPr="00565925">
        <w:rPr>
          <w:rFonts w:ascii="Simplified Arabic" w:hAnsi="Simplified Arabic" w:cs="Simplified Arabic"/>
          <w:rtl/>
        </w:rPr>
        <w:t>املة؛</w:t>
      </w:r>
    </w:p>
    <w:p w:rsidR="00BF5B24" w:rsidRDefault="00BF5B24" w:rsidP="00FF7FA5">
      <w:pPr>
        <w:pStyle w:val="ListParagraph"/>
        <w:numPr>
          <w:ilvl w:val="0"/>
          <w:numId w:val="5"/>
        </w:numPr>
        <w:bidi/>
        <w:spacing w:line="216" w:lineRule="auto"/>
        <w:ind w:left="0" w:firstLine="720"/>
        <w:jc w:val="lowKashida"/>
        <w:rPr>
          <w:rFonts w:ascii="Simplified Arabic" w:hAnsi="Simplified Arabic" w:cs="Simplified Arabic"/>
        </w:rPr>
      </w:pPr>
      <w:r w:rsidRPr="00565925">
        <w:rPr>
          <w:rFonts w:ascii="Simplified Arabic" w:hAnsi="Simplified Arabic" w:cs="Simplified Arabic"/>
          <w:rtl/>
        </w:rPr>
        <w:t xml:space="preserve">عقد </w:t>
      </w:r>
      <w:r>
        <w:rPr>
          <w:rFonts w:ascii="Simplified Arabic" w:hAnsi="Simplified Arabic" w:cs="Simplified Arabic" w:hint="cs"/>
          <w:rtl/>
        </w:rPr>
        <w:t xml:space="preserve">مزيد من </w:t>
      </w:r>
      <w:r w:rsidRPr="00565925">
        <w:rPr>
          <w:rFonts w:ascii="Simplified Arabic" w:hAnsi="Simplified Arabic" w:cs="Simplified Arabic"/>
          <w:rtl/>
        </w:rPr>
        <w:t xml:space="preserve">حلقات </w:t>
      </w:r>
      <w:r>
        <w:rPr>
          <w:rFonts w:ascii="Simplified Arabic" w:hAnsi="Simplified Arabic" w:cs="Simplified Arabic" w:hint="cs"/>
          <w:rtl/>
        </w:rPr>
        <w:t>ال</w:t>
      </w:r>
      <w:r w:rsidRPr="00565925">
        <w:rPr>
          <w:rFonts w:ascii="Simplified Arabic" w:hAnsi="Simplified Arabic" w:cs="Simplified Arabic"/>
          <w:rtl/>
        </w:rPr>
        <w:t xml:space="preserve">عمل </w:t>
      </w:r>
      <w:r>
        <w:rPr>
          <w:rFonts w:ascii="Simplified Arabic" w:hAnsi="Simplified Arabic" w:cs="Simplified Arabic" w:hint="cs"/>
          <w:rtl/>
        </w:rPr>
        <w:t>ال</w:t>
      </w:r>
      <w:r w:rsidRPr="00565925">
        <w:rPr>
          <w:rFonts w:ascii="Simplified Arabic" w:hAnsi="Simplified Arabic" w:cs="Simplified Arabic"/>
          <w:rtl/>
        </w:rPr>
        <w:t xml:space="preserve">إقليمية ودون </w:t>
      </w:r>
      <w:r>
        <w:rPr>
          <w:rFonts w:ascii="Simplified Arabic" w:hAnsi="Simplified Arabic" w:cs="Simplified Arabic" w:hint="cs"/>
          <w:rtl/>
        </w:rPr>
        <w:t>ال</w:t>
      </w:r>
      <w:r w:rsidRPr="00565925">
        <w:rPr>
          <w:rFonts w:ascii="Simplified Arabic" w:hAnsi="Simplified Arabic" w:cs="Simplified Arabic"/>
          <w:rtl/>
        </w:rPr>
        <w:t>إقليمية</w:t>
      </w:r>
      <w:r>
        <w:rPr>
          <w:rFonts w:ascii="Simplified Arabic" w:hAnsi="Simplified Arabic" w:cs="Simplified Arabic"/>
          <w:rtl/>
        </w:rPr>
        <w:t xml:space="preserve"> لبناء القدرات </w:t>
      </w:r>
      <w:r>
        <w:rPr>
          <w:rFonts w:ascii="Simplified Arabic" w:hAnsi="Simplified Arabic" w:cs="Simplified Arabic" w:hint="cs"/>
          <w:rtl/>
        </w:rPr>
        <w:t xml:space="preserve">بشأن المسائل المتعلقة بالصحة والتنوع البيولوجي </w:t>
      </w:r>
      <w:r>
        <w:rPr>
          <w:rFonts w:ascii="Simplified Arabic" w:hAnsi="Simplified Arabic" w:cs="Simplified Arabic"/>
          <w:rtl/>
        </w:rPr>
        <w:t>في جميع المناطق</w:t>
      </w:r>
      <w:r w:rsidRPr="00565925">
        <w:rPr>
          <w:rFonts w:ascii="Simplified Arabic" w:hAnsi="Simplified Arabic" w:cs="Simplified Arabic"/>
          <w:rtl/>
        </w:rPr>
        <w:t>؛</w:t>
      </w:r>
    </w:p>
    <w:p w:rsidR="00BF5B24" w:rsidRDefault="00BF5B24" w:rsidP="00FF7FA5">
      <w:pPr>
        <w:pStyle w:val="ListParagraph"/>
        <w:numPr>
          <w:ilvl w:val="0"/>
          <w:numId w:val="5"/>
        </w:numPr>
        <w:bidi/>
        <w:spacing w:line="216" w:lineRule="auto"/>
        <w:ind w:left="0" w:firstLine="720"/>
        <w:jc w:val="lowKashida"/>
        <w:rPr>
          <w:rFonts w:ascii="Simplified Arabic" w:hAnsi="Simplified Arabic" w:cs="Simplified Arabic"/>
        </w:rPr>
      </w:pPr>
      <w:r w:rsidRPr="00565925">
        <w:rPr>
          <w:rFonts w:ascii="Simplified Arabic" w:hAnsi="Simplified Arabic" w:cs="Simplified Arabic"/>
          <w:rtl/>
        </w:rPr>
        <w:t xml:space="preserve">تجميع المعلومات عن البحوث والخبرات وأفضل الممارسات ذات الصلة في </w:t>
      </w:r>
      <w:r>
        <w:rPr>
          <w:rFonts w:ascii="Simplified Arabic" w:hAnsi="Simplified Arabic" w:cs="Simplified Arabic" w:hint="cs"/>
          <w:rtl/>
        </w:rPr>
        <w:t xml:space="preserve">مجال الميكروبيوم البشري وصحة الإنسان، وعن </w:t>
      </w:r>
      <w:r w:rsidRPr="00565925">
        <w:rPr>
          <w:rFonts w:ascii="Simplified Arabic" w:hAnsi="Simplified Arabic" w:cs="Simplified Arabic"/>
          <w:rtl/>
        </w:rPr>
        <w:t xml:space="preserve">تصميم </w:t>
      </w:r>
      <w:r>
        <w:rPr>
          <w:rFonts w:ascii="Simplified Arabic" w:hAnsi="Simplified Arabic" w:cs="Simplified Arabic" w:hint="cs"/>
          <w:rtl/>
        </w:rPr>
        <w:t xml:space="preserve">وإدارة وتنفيذ </w:t>
      </w:r>
      <w:r w:rsidRPr="00565925">
        <w:rPr>
          <w:rFonts w:ascii="Simplified Arabic" w:hAnsi="Simplified Arabic" w:cs="Simplified Arabic"/>
          <w:rtl/>
        </w:rPr>
        <w:t>نظم الإنتاج القائمة على الحفظ والاست</w:t>
      </w:r>
      <w:r>
        <w:rPr>
          <w:rFonts w:ascii="Simplified Arabic" w:hAnsi="Simplified Arabic" w:cs="Simplified Arabic" w:hint="cs"/>
          <w:rtl/>
        </w:rPr>
        <w:t>خدام</w:t>
      </w:r>
      <w:r w:rsidRPr="00565925">
        <w:rPr>
          <w:rFonts w:ascii="Simplified Arabic" w:hAnsi="Simplified Arabic" w:cs="Simplified Arabic"/>
          <w:rtl/>
        </w:rPr>
        <w:t xml:space="preserve"> المستدام للتنوع البيولوجي </w:t>
      </w:r>
      <w:r>
        <w:rPr>
          <w:rFonts w:ascii="Simplified Arabic" w:hAnsi="Simplified Arabic" w:cs="Simplified Arabic" w:hint="cs"/>
          <w:rtl/>
        </w:rPr>
        <w:t>و</w:t>
      </w:r>
      <w:r w:rsidRPr="00565925">
        <w:rPr>
          <w:rFonts w:ascii="Simplified Arabic" w:hAnsi="Simplified Arabic" w:cs="Simplified Arabic"/>
          <w:rtl/>
        </w:rPr>
        <w:t xml:space="preserve">المعارف التقليدية وما يقابل ذلك من </w:t>
      </w:r>
      <w:r>
        <w:rPr>
          <w:rFonts w:ascii="Simplified Arabic" w:hAnsi="Simplified Arabic" w:cs="Simplified Arabic" w:hint="cs"/>
          <w:rtl/>
        </w:rPr>
        <w:t>منافع</w:t>
      </w:r>
      <w:r w:rsidRPr="00565925">
        <w:rPr>
          <w:rFonts w:ascii="Simplified Arabic" w:hAnsi="Simplified Arabic" w:cs="Simplified Arabic"/>
          <w:rtl/>
        </w:rPr>
        <w:t xml:space="preserve"> </w:t>
      </w:r>
      <w:r>
        <w:rPr>
          <w:rFonts w:ascii="Simplified Arabic" w:hAnsi="Simplified Arabic" w:cs="Simplified Arabic" w:hint="cs"/>
          <w:rtl/>
        </w:rPr>
        <w:t>بشأن</w:t>
      </w:r>
      <w:r w:rsidRPr="00565925">
        <w:rPr>
          <w:rFonts w:ascii="Simplified Arabic" w:hAnsi="Simplified Arabic" w:cs="Simplified Arabic"/>
          <w:rtl/>
        </w:rPr>
        <w:t xml:space="preserve"> التغذية و</w:t>
      </w:r>
      <w:r>
        <w:rPr>
          <w:rFonts w:ascii="Simplified Arabic" w:hAnsi="Simplified Arabic" w:cs="Simplified Arabic"/>
          <w:rtl/>
        </w:rPr>
        <w:t>النظم الغذائية الصحية، ولا سيما</w:t>
      </w:r>
      <w:r w:rsidRPr="00565925">
        <w:rPr>
          <w:rFonts w:ascii="Simplified Arabic" w:hAnsi="Simplified Arabic" w:cs="Simplified Arabic"/>
          <w:rtl/>
        </w:rPr>
        <w:t>، على سبيل المثال لا الحصر، القطاعات الضعيفة والمهمشة؛</w:t>
      </w:r>
    </w:p>
    <w:p w:rsidR="00BF5B24" w:rsidRDefault="00BF5B24" w:rsidP="00FF7FA5">
      <w:pPr>
        <w:pStyle w:val="ListParagraph"/>
        <w:numPr>
          <w:ilvl w:val="0"/>
          <w:numId w:val="5"/>
        </w:numPr>
        <w:bidi/>
        <w:spacing w:line="216" w:lineRule="auto"/>
        <w:ind w:left="0" w:firstLine="720"/>
        <w:jc w:val="lowKashida"/>
        <w:rPr>
          <w:rFonts w:ascii="Simplified Arabic" w:hAnsi="Simplified Arabic" w:cs="Simplified Arabic"/>
        </w:rPr>
      </w:pPr>
      <w:r>
        <w:rPr>
          <w:rFonts w:ascii="Simplified Arabic" w:hAnsi="Simplified Arabic" w:cs="Simplified Arabic" w:hint="cs"/>
          <w:rtl/>
        </w:rPr>
        <w:t xml:space="preserve">استكشاف آلية من شأنها أن تيسر الحصول على </w:t>
      </w:r>
      <w:r w:rsidRPr="00565925">
        <w:rPr>
          <w:rFonts w:ascii="Simplified Arabic" w:hAnsi="Simplified Arabic" w:cs="Simplified Arabic"/>
          <w:rtl/>
        </w:rPr>
        <w:t xml:space="preserve">المؤلفات العلمية </w:t>
      </w:r>
      <w:r>
        <w:rPr>
          <w:rFonts w:ascii="Simplified Arabic" w:hAnsi="Simplified Arabic" w:cs="Simplified Arabic" w:hint="cs"/>
          <w:rtl/>
        </w:rPr>
        <w:t>والتقارير الأخرى عن الصحة و</w:t>
      </w:r>
      <w:r w:rsidRPr="00565925">
        <w:rPr>
          <w:rFonts w:ascii="Simplified Arabic" w:hAnsi="Simplified Arabic" w:cs="Simplified Arabic"/>
          <w:rtl/>
        </w:rPr>
        <w:t>التنوع البيولوجي</w:t>
      </w:r>
      <w:r>
        <w:rPr>
          <w:rFonts w:ascii="Simplified Arabic" w:hAnsi="Simplified Arabic" w:cs="Simplified Arabic" w:hint="cs"/>
          <w:rtl/>
        </w:rPr>
        <w:t xml:space="preserve"> وتحديثها بانتظام،</w:t>
      </w:r>
      <w:r w:rsidRPr="00565925">
        <w:rPr>
          <w:rFonts w:ascii="Simplified Arabic" w:hAnsi="Simplified Arabic" w:cs="Simplified Arabic"/>
          <w:rtl/>
        </w:rPr>
        <w:t xml:space="preserve"> </w:t>
      </w:r>
      <w:r>
        <w:rPr>
          <w:rFonts w:ascii="Simplified Arabic" w:hAnsi="Simplified Arabic" w:cs="Simplified Arabic" w:hint="cs"/>
          <w:rtl/>
        </w:rPr>
        <w:t>وتجميعها ونشرها، بغية دعم إعداد توجيهات الممارسات الجيدة؛</w:t>
      </w:r>
    </w:p>
    <w:p w:rsidR="00BF5B24" w:rsidRDefault="00BF5B24" w:rsidP="00BF5B24">
      <w:pPr>
        <w:pStyle w:val="ListParagraph"/>
        <w:bidi/>
        <w:spacing w:line="216" w:lineRule="auto"/>
        <w:ind w:left="0" w:firstLine="720"/>
        <w:jc w:val="lowKashida"/>
        <w:rPr>
          <w:rFonts w:ascii="Simplified Arabic" w:hAnsi="Simplified Arabic" w:cs="Simplified Arabic"/>
          <w:rtl/>
        </w:rPr>
      </w:pPr>
      <w:r>
        <w:rPr>
          <w:rFonts w:ascii="Simplified Arabic" w:hAnsi="Simplified Arabic" w:cs="Simplified Arabic" w:hint="cs"/>
          <w:rtl/>
        </w:rPr>
        <w:t>15-</w:t>
      </w:r>
      <w:r>
        <w:rPr>
          <w:rFonts w:ascii="Simplified Arabic" w:hAnsi="Simplified Arabic" w:cs="Simplified Arabic" w:hint="cs"/>
          <w:rtl/>
        </w:rPr>
        <w:tab/>
      </w:r>
      <w:r w:rsidRPr="007E1720">
        <w:rPr>
          <w:rFonts w:ascii="Simplified Arabic" w:hAnsi="Simplified Arabic" w:cs="Simplified Arabic" w:hint="cs"/>
          <w:i/>
          <w:iCs/>
          <w:rtl/>
        </w:rPr>
        <w:t>يطلب إلى</w:t>
      </w:r>
      <w:r>
        <w:rPr>
          <w:rFonts w:ascii="Simplified Arabic" w:hAnsi="Simplified Arabic" w:cs="Simplified Arabic" w:hint="cs"/>
          <w:rtl/>
        </w:rPr>
        <w:t xml:space="preserve"> الأمينة التنفيذية أن ترفع تقريرا </w:t>
      </w:r>
      <w:r w:rsidRPr="00565925">
        <w:rPr>
          <w:rFonts w:ascii="Simplified Arabic" w:hAnsi="Simplified Arabic" w:cs="Simplified Arabic"/>
          <w:rtl/>
        </w:rPr>
        <w:t xml:space="preserve">عن التقدم المحرز إلى الهيئة الفرعية للمشورة العلمية والتقنية والتكنولوجية في </w:t>
      </w:r>
      <w:r>
        <w:rPr>
          <w:rFonts w:ascii="Simplified Arabic" w:hAnsi="Simplified Arabic" w:cs="Simplified Arabic" w:hint="cs"/>
          <w:rtl/>
        </w:rPr>
        <w:t>اجتماعها الثالث والعشرين وإلى الهيئة الفرعية للتنفيذ في اجتماعها الثالث</w:t>
      </w:r>
      <w:r w:rsidRPr="00565925">
        <w:rPr>
          <w:rFonts w:ascii="Simplified Arabic" w:hAnsi="Simplified Arabic" w:cs="Simplified Arabic"/>
          <w:rtl/>
        </w:rPr>
        <w:t>.</w:t>
      </w:r>
    </w:p>
    <w:p w:rsidR="0044570B" w:rsidRDefault="0044570B" w:rsidP="0044570B">
      <w:pPr>
        <w:spacing w:after="0" w:line="240" w:lineRule="auto"/>
        <w:jc w:val="left"/>
        <w:rPr>
          <w:sz w:val="24"/>
          <w:rtl/>
        </w:rPr>
      </w:pPr>
    </w:p>
    <w:p w:rsidR="00BB5C54" w:rsidRDefault="00BB5C54">
      <w:pPr>
        <w:bidi w:val="0"/>
        <w:spacing w:after="0" w:line="240" w:lineRule="auto"/>
        <w:jc w:val="left"/>
        <w:rPr>
          <w:sz w:val="24"/>
          <w:rtl/>
        </w:rPr>
      </w:pPr>
      <w:r>
        <w:rPr>
          <w:sz w:val="24"/>
          <w:rtl/>
        </w:rPr>
        <w:br w:type="page"/>
      </w:r>
    </w:p>
    <w:p w:rsidR="00023979" w:rsidRPr="008477DA" w:rsidRDefault="00023979" w:rsidP="00B55747">
      <w:pPr>
        <w:pStyle w:val="Heading2"/>
      </w:pPr>
      <w:bookmarkStart w:id="11" w:name="_Toc6071547"/>
      <w:bookmarkStart w:id="12" w:name="_Toc6139966"/>
      <w:r w:rsidRPr="008477DA">
        <w:rPr>
          <w:rFonts w:hint="cs"/>
          <w:rtl/>
        </w:rPr>
        <w:lastRenderedPageBreak/>
        <w:t>المقرر 14/5</w:t>
      </w:r>
      <w:r w:rsidRPr="008477DA">
        <w:rPr>
          <w:rFonts w:hint="cs"/>
          <w:rtl/>
        </w:rPr>
        <w:tab/>
        <w:t>التنوع البيولوجي وتغير المناخ</w:t>
      </w:r>
      <w:bookmarkEnd w:id="11"/>
      <w:bookmarkEnd w:id="12"/>
    </w:p>
    <w:p w:rsidR="00023979" w:rsidRPr="000B3A37" w:rsidRDefault="00023979" w:rsidP="00023979">
      <w:pPr>
        <w:spacing w:after="100" w:line="204" w:lineRule="auto"/>
        <w:ind w:firstLine="720"/>
        <w:rPr>
          <w:i/>
          <w:iCs/>
          <w:rtl/>
        </w:rPr>
      </w:pPr>
      <w:r w:rsidRPr="000B3A37">
        <w:rPr>
          <w:rFonts w:hint="cs"/>
          <w:i/>
          <w:iCs/>
          <w:rtl/>
        </w:rPr>
        <w:t>إن مؤتمر الأطراف،</w:t>
      </w:r>
    </w:p>
    <w:p w:rsidR="00023979" w:rsidRDefault="00023979" w:rsidP="00023979">
      <w:pPr>
        <w:spacing w:after="100" w:line="204" w:lineRule="auto"/>
        <w:ind w:firstLine="720"/>
        <w:rPr>
          <w:rtl/>
        </w:rPr>
      </w:pPr>
      <w:r w:rsidRPr="000B3A37">
        <w:rPr>
          <w:rFonts w:hint="cs"/>
          <w:i/>
          <w:iCs/>
          <w:rtl/>
        </w:rPr>
        <w:t xml:space="preserve">إذ يقر </w:t>
      </w:r>
      <w:r w:rsidRPr="000B3A37">
        <w:rPr>
          <w:rFonts w:hint="cs"/>
          <w:rtl/>
        </w:rPr>
        <w:t>بالدور الحيوي للتنوع البيولوجي ووظائف وخدمات النظم الإيكولوجية بالنسبة لرفاه الإنسان،</w:t>
      </w:r>
    </w:p>
    <w:p w:rsidR="00023979" w:rsidRPr="000B3A37" w:rsidRDefault="00023979" w:rsidP="00023979">
      <w:pPr>
        <w:spacing w:after="100" w:line="204" w:lineRule="auto"/>
        <w:ind w:firstLine="720"/>
        <w:rPr>
          <w:rtl/>
        </w:rPr>
      </w:pPr>
      <w:r w:rsidRPr="00A90638">
        <w:rPr>
          <w:rFonts w:hint="cs"/>
          <w:i/>
          <w:iCs/>
          <w:rtl/>
        </w:rPr>
        <w:t>وإذ يشير</w:t>
      </w:r>
      <w:r>
        <w:rPr>
          <w:rFonts w:hint="cs"/>
          <w:rtl/>
        </w:rPr>
        <w:t xml:space="preserve"> إلى المادة 2 من اتفاق باريس،</w:t>
      </w:r>
      <w:r>
        <w:rPr>
          <w:rStyle w:val="FootnoteReference"/>
          <w:rtl/>
        </w:rPr>
        <w:footnoteReference w:id="41"/>
      </w:r>
    </w:p>
    <w:p w:rsidR="00023979" w:rsidRDefault="00023979" w:rsidP="00023979">
      <w:pPr>
        <w:spacing w:after="100" w:line="204" w:lineRule="auto"/>
        <w:ind w:firstLine="720"/>
        <w:rPr>
          <w:rtl/>
        </w:rPr>
      </w:pPr>
      <w:r w:rsidRPr="000B3A37">
        <w:rPr>
          <w:rFonts w:hint="cs"/>
          <w:i/>
          <w:iCs/>
          <w:rtl/>
        </w:rPr>
        <w:t>وإذ يشعر ببالغ القلق</w:t>
      </w:r>
      <w:r w:rsidRPr="000B3A37">
        <w:rPr>
          <w:rFonts w:hint="cs"/>
          <w:rtl/>
        </w:rPr>
        <w:t xml:space="preserve"> بأن الفشل في الحد من الزيادة في درجة الحرارة العالمية إلى أقل من 2 درج</w:t>
      </w:r>
      <w:r>
        <w:rPr>
          <w:rFonts w:hint="cs"/>
          <w:rtl/>
        </w:rPr>
        <w:t>ات</w:t>
      </w:r>
      <w:r w:rsidRPr="000B3A37">
        <w:rPr>
          <w:rFonts w:hint="cs"/>
          <w:rtl/>
        </w:rPr>
        <w:t xml:space="preserve"> مئوية فوق مستويات ما قبل الحقبة الصناعية سيضع الكثير من الأنواع والنظم الإيكولوجية، ذات القدرات التكيفية المحدودة،</w:t>
      </w:r>
      <w:r>
        <w:rPr>
          <w:rFonts w:hint="cs"/>
          <w:rtl/>
        </w:rPr>
        <w:t xml:space="preserve"> وكذلك</w:t>
      </w:r>
      <w:r w:rsidRPr="00A90638">
        <w:rPr>
          <w:rtl/>
        </w:rPr>
        <w:t xml:space="preserve"> الأشخاص الذين يعتمدون على وظائفه</w:t>
      </w:r>
      <w:r>
        <w:rPr>
          <w:rFonts w:hint="cs"/>
          <w:rtl/>
        </w:rPr>
        <w:t>ا</w:t>
      </w:r>
      <w:r w:rsidRPr="00A90638">
        <w:rPr>
          <w:rtl/>
        </w:rPr>
        <w:t xml:space="preserve"> وخدماته</w:t>
      </w:r>
      <w:r>
        <w:rPr>
          <w:rFonts w:hint="cs"/>
          <w:rtl/>
        </w:rPr>
        <w:t>ا</w:t>
      </w:r>
      <w:r w:rsidRPr="00A90638">
        <w:rPr>
          <w:rtl/>
        </w:rPr>
        <w:t xml:space="preserve">، لا سيما </w:t>
      </w:r>
      <w:r>
        <w:rPr>
          <w:rFonts w:hint="cs"/>
          <w:rtl/>
        </w:rPr>
        <w:t>الشعوب</w:t>
      </w:r>
      <w:r w:rsidRPr="00A90638">
        <w:rPr>
          <w:rtl/>
        </w:rPr>
        <w:t xml:space="preserve"> الأصلي</w:t>
      </w:r>
      <w:r>
        <w:rPr>
          <w:rFonts w:hint="cs"/>
          <w:rtl/>
        </w:rPr>
        <w:t>ة</w:t>
      </w:r>
      <w:r w:rsidRPr="00A90638">
        <w:rPr>
          <w:rtl/>
        </w:rPr>
        <w:t xml:space="preserve"> </w:t>
      </w:r>
      <w:r w:rsidRPr="00A90638">
        <w:rPr>
          <w:rFonts w:ascii="Simplified Arabic" w:hAnsi="Simplified Arabic" w:hint="cs"/>
          <w:rtl/>
        </w:rPr>
        <w:t>واﻟﻤﺠﺘﻤﻌﺎت</w:t>
      </w:r>
      <w:r w:rsidRPr="00A90638">
        <w:rPr>
          <w:rtl/>
        </w:rPr>
        <w:t xml:space="preserve"> </w:t>
      </w:r>
      <w:r w:rsidRPr="00A90638">
        <w:rPr>
          <w:rFonts w:ascii="Simplified Arabic" w:hAnsi="Simplified Arabic" w:hint="cs"/>
          <w:rtl/>
        </w:rPr>
        <w:t>اﻟﻤﺤﻠﻴﺔ</w:t>
      </w:r>
      <w:r w:rsidRPr="00A90638">
        <w:rPr>
          <w:rtl/>
        </w:rPr>
        <w:t xml:space="preserve"> </w:t>
      </w:r>
      <w:r w:rsidRPr="00A90638">
        <w:rPr>
          <w:rFonts w:ascii="Simplified Arabic" w:hAnsi="Simplified Arabic" w:hint="cs"/>
          <w:rtl/>
        </w:rPr>
        <w:t>واﻟﻨﺴﺎء</w:t>
      </w:r>
      <w:r w:rsidRPr="00A90638">
        <w:rPr>
          <w:rtl/>
        </w:rPr>
        <w:t xml:space="preserve"> </w:t>
      </w:r>
      <w:r>
        <w:rPr>
          <w:rFonts w:hint="cs"/>
          <w:rtl/>
        </w:rPr>
        <w:t xml:space="preserve">في </w:t>
      </w:r>
      <w:r w:rsidRPr="00A90638">
        <w:rPr>
          <w:rFonts w:ascii="Simplified Arabic" w:hAnsi="Simplified Arabic" w:hint="cs"/>
          <w:rtl/>
        </w:rPr>
        <w:t>اﻟ</w:t>
      </w:r>
      <w:r w:rsidRPr="00A90638">
        <w:rPr>
          <w:rFonts w:hint="cs"/>
          <w:rtl/>
        </w:rPr>
        <w:t>ﺮ</w:t>
      </w:r>
      <w:r w:rsidRPr="00A90638">
        <w:rPr>
          <w:rFonts w:ascii="Simplified Arabic" w:hAnsi="Simplified Arabic" w:hint="cs"/>
          <w:rtl/>
        </w:rPr>
        <w:t>ﻳ</w:t>
      </w:r>
      <w:r>
        <w:rPr>
          <w:rFonts w:ascii="Simplified Arabic" w:hAnsi="Simplified Arabic" w:hint="cs"/>
          <w:rtl/>
        </w:rPr>
        <w:t>ف</w:t>
      </w:r>
      <w:r>
        <w:rPr>
          <w:rFonts w:hint="cs"/>
          <w:rtl/>
        </w:rPr>
        <w:t>،</w:t>
      </w:r>
      <w:r w:rsidRPr="000B3A37">
        <w:rPr>
          <w:rFonts w:hint="cs"/>
          <w:rtl/>
        </w:rPr>
        <w:t xml:space="preserve"> تحت مخاطر عالية جدا</w:t>
      </w:r>
      <w:r>
        <w:rPr>
          <w:rFonts w:hint="cs"/>
          <w:rtl/>
        </w:rPr>
        <w:t>،</w:t>
      </w:r>
    </w:p>
    <w:p w:rsidR="00023979" w:rsidRDefault="00023979" w:rsidP="00023979">
      <w:pPr>
        <w:spacing w:after="100" w:line="204" w:lineRule="auto"/>
        <w:ind w:firstLine="720"/>
        <w:rPr>
          <w:rtl/>
        </w:rPr>
      </w:pPr>
      <w:r w:rsidRPr="001F1A45">
        <w:rPr>
          <w:rFonts w:hint="cs"/>
          <w:i/>
          <w:iCs/>
          <w:rtl/>
        </w:rPr>
        <w:t>وإذ يشعر ببالغ القلق</w:t>
      </w:r>
      <w:r>
        <w:rPr>
          <w:rFonts w:hint="cs"/>
          <w:rtl/>
        </w:rPr>
        <w:t xml:space="preserve"> </w:t>
      </w:r>
      <w:r w:rsidRPr="0015428B">
        <w:rPr>
          <w:rFonts w:hint="cs"/>
          <w:i/>
          <w:iCs/>
          <w:rtl/>
        </w:rPr>
        <w:t>أيضا</w:t>
      </w:r>
      <w:r>
        <w:rPr>
          <w:rFonts w:hint="cs"/>
          <w:rtl/>
        </w:rPr>
        <w:t xml:space="preserve"> بأن </w:t>
      </w:r>
      <w:r w:rsidRPr="00163A64">
        <w:rPr>
          <w:rtl/>
        </w:rPr>
        <w:t>التدمير المتصاعد وتدهور النظم ال</w:t>
      </w:r>
      <w:r>
        <w:rPr>
          <w:rFonts w:hint="cs"/>
          <w:rtl/>
        </w:rPr>
        <w:t>إيكولوج</w:t>
      </w:r>
      <w:r w:rsidRPr="00163A64">
        <w:rPr>
          <w:rtl/>
        </w:rPr>
        <w:t>ية و</w:t>
      </w:r>
      <w:r>
        <w:rPr>
          <w:rFonts w:hint="cs"/>
          <w:rtl/>
        </w:rPr>
        <w:t>تجزُّئها</w:t>
      </w:r>
      <w:r w:rsidRPr="00163A64">
        <w:rPr>
          <w:rtl/>
        </w:rPr>
        <w:t xml:space="preserve"> </w:t>
      </w:r>
      <w:r>
        <w:rPr>
          <w:rFonts w:hint="cs"/>
          <w:rtl/>
        </w:rPr>
        <w:t xml:space="preserve">سيقلل من قدرة النظم الإيكولوجية على تخزين الكربون ويؤدي إلى </w:t>
      </w:r>
      <w:r w:rsidRPr="00163A64">
        <w:rPr>
          <w:rtl/>
        </w:rPr>
        <w:t>زيادة انبعاثات غازات الدفيئة</w:t>
      </w:r>
      <w:r>
        <w:rPr>
          <w:rFonts w:hint="cs"/>
          <w:rtl/>
        </w:rPr>
        <w:t>،</w:t>
      </w:r>
      <w:r w:rsidRPr="00163A64">
        <w:rPr>
          <w:rtl/>
        </w:rPr>
        <w:t xml:space="preserve"> </w:t>
      </w:r>
      <w:r>
        <w:rPr>
          <w:rFonts w:hint="cs"/>
          <w:rtl/>
        </w:rPr>
        <w:t>وتقليل قدرتها على الصمود</w:t>
      </w:r>
      <w:r w:rsidRPr="00163A64">
        <w:rPr>
          <w:rtl/>
        </w:rPr>
        <w:t xml:space="preserve"> </w:t>
      </w:r>
      <w:r>
        <w:rPr>
          <w:rFonts w:hint="cs"/>
          <w:rtl/>
        </w:rPr>
        <w:t>وعلى استقرار النظم الإيكولوجية، ويجعل أزمة تغير المناخ أكثر تحديا،</w:t>
      </w:r>
    </w:p>
    <w:p w:rsidR="00023979" w:rsidRPr="000B3A37" w:rsidRDefault="00023979" w:rsidP="00023979">
      <w:pPr>
        <w:spacing w:after="100" w:line="204" w:lineRule="auto"/>
        <w:ind w:firstLine="720"/>
        <w:rPr>
          <w:rtl/>
        </w:rPr>
      </w:pPr>
      <w:r w:rsidRPr="001F1A45">
        <w:rPr>
          <w:rFonts w:hint="cs"/>
          <w:i/>
          <w:iCs/>
          <w:rtl/>
        </w:rPr>
        <w:t>وإذ يقر</w:t>
      </w:r>
      <w:r>
        <w:rPr>
          <w:rFonts w:hint="cs"/>
          <w:rtl/>
        </w:rPr>
        <w:t xml:space="preserve"> بأن تغير المناخ يمثل المحرك الرئيسي والمتزايد وراء </w:t>
      </w:r>
      <w:r w:rsidRPr="001F1A45">
        <w:rPr>
          <w:rtl/>
        </w:rPr>
        <w:t>فقدان التنوع البيولوجي، وأن التنوع البيولوجي و</w:t>
      </w:r>
      <w:r>
        <w:rPr>
          <w:rFonts w:hint="cs"/>
          <w:rtl/>
        </w:rPr>
        <w:t xml:space="preserve">وظائف وخدمات </w:t>
      </w:r>
      <w:r>
        <w:rPr>
          <w:rtl/>
        </w:rPr>
        <w:t>النظ</w:t>
      </w:r>
      <w:r w:rsidRPr="001F1A45">
        <w:rPr>
          <w:rtl/>
        </w:rPr>
        <w:t>م الإيكولوجي</w:t>
      </w:r>
      <w:r>
        <w:rPr>
          <w:rFonts w:hint="cs"/>
          <w:rtl/>
        </w:rPr>
        <w:t>ة</w:t>
      </w:r>
      <w:r w:rsidRPr="001F1A45">
        <w:rPr>
          <w:rtl/>
        </w:rPr>
        <w:t xml:space="preserve">، </w:t>
      </w:r>
      <w:r>
        <w:rPr>
          <w:rFonts w:hint="cs"/>
          <w:rtl/>
        </w:rPr>
        <w:t>ب</w:t>
      </w:r>
      <w:r>
        <w:rPr>
          <w:rtl/>
        </w:rPr>
        <w:t>س</w:t>
      </w:r>
      <w:r w:rsidRPr="001F1A45">
        <w:rPr>
          <w:rtl/>
        </w:rPr>
        <w:t>هم</w:t>
      </w:r>
      <w:r>
        <w:rPr>
          <w:rFonts w:hint="cs"/>
          <w:rtl/>
        </w:rPr>
        <w:t>ان</w:t>
      </w:r>
      <w:r w:rsidRPr="001F1A45">
        <w:rPr>
          <w:rtl/>
        </w:rPr>
        <w:t xml:space="preserve"> بشكل كبير في الت</w:t>
      </w:r>
      <w:r>
        <w:rPr>
          <w:rFonts w:hint="cs"/>
          <w:rtl/>
        </w:rPr>
        <w:t>ك</w:t>
      </w:r>
      <w:r w:rsidRPr="001F1A45">
        <w:rPr>
          <w:rtl/>
        </w:rPr>
        <w:t xml:space="preserve">يف </w:t>
      </w:r>
      <w:r>
        <w:rPr>
          <w:rFonts w:hint="cs"/>
          <w:rtl/>
        </w:rPr>
        <w:t xml:space="preserve">مع </w:t>
      </w:r>
      <w:r>
        <w:rPr>
          <w:rtl/>
        </w:rPr>
        <w:t>تغير المناخ</w:t>
      </w:r>
      <w:r w:rsidRPr="001F1A45">
        <w:rPr>
          <w:rtl/>
        </w:rPr>
        <w:t xml:space="preserve"> وال</w:t>
      </w:r>
      <w:r>
        <w:rPr>
          <w:rFonts w:hint="cs"/>
          <w:rtl/>
        </w:rPr>
        <w:t>تخفيف من حدته والحد من مخاطر الكوارث</w:t>
      </w:r>
      <w:r w:rsidRPr="001F1A45">
        <w:rPr>
          <w:rtl/>
        </w:rPr>
        <w:t>،</w:t>
      </w:r>
    </w:p>
    <w:p w:rsidR="00023979" w:rsidRPr="000B3A37" w:rsidRDefault="00023979" w:rsidP="00023979">
      <w:pPr>
        <w:spacing w:after="100" w:line="204" w:lineRule="auto"/>
        <w:ind w:firstLine="720"/>
        <w:rPr>
          <w:rtl/>
        </w:rPr>
      </w:pPr>
      <w:r w:rsidRPr="000B3A37">
        <w:rPr>
          <w:rFonts w:hint="cs"/>
          <w:i/>
          <w:iCs/>
          <w:rtl/>
        </w:rPr>
        <w:t>وإذ يقر</w:t>
      </w:r>
      <w:r w:rsidRPr="000B3A37">
        <w:rPr>
          <w:rFonts w:hint="cs"/>
          <w:rtl/>
        </w:rPr>
        <w:t xml:space="preserve"> بأن الحد من زيادة متوسط درجة الحرارة العالمية إلى 1</w:t>
      </w:r>
      <w:r>
        <w:rPr>
          <w:rFonts w:hint="cs"/>
          <w:rtl/>
        </w:rPr>
        <w:t>,</w:t>
      </w:r>
      <w:r w:rsidRPr="000B3A37">
        <w:rPr>
          <w:rFonts w:hint="cs"/>
          <w:rtl/>
        </w:rPr>
        <w:t>5 درجة مئوية بالمقارنة مع 2 درج</w:t>
      </w:r>
      <w:r>
        <w:rPr>
          <w:rFonts w:hint="cs"/>
          <w:rtl/>
        </w:rPr>
        <w:t>ات</w:t>
      </w:r>
      <w:r w:rsidRPr="000B3A37">
        <w:rPr>
          <w:rFonts w:hint="cs"/>
          <w:rtl/>
        </w:rPr>
        <w:t xml:space="preserve"> مئوية فوق مستويات ما قبل الحقبة الصناعية، </w:t>
      </w:r>
      <w:r>
        <w:rPr>
          <w:rFonts w:hint="cs"/>
          <w:rtl/>
        </w:rPr>
        <w:t>من شأنه</w:t>
      </w:r>
      <w:r w:rsidRPr="000B3A37">
        <w:rPr>
          <w:rFonts w:hint="cs"/>
          <w:rtl/>
        </w:rPr>
        <w:t xml:space="preserve"> أن يخفض الآثار السلبية على التنوع البيولوجي</w:t>
      </w:r>
      <w:r>
        <w:rPr>
          <w:rFonts w:hint="cs"/>
          <w:rtl/>
        </w:rPr>
        <w:t xml:space="preserve"> وعلى الأشخاص الذين يعتمدون على وظائف وخدمات النظم الأيكولوجية، خاصة ا</w:t>
      </w:r>
      <w:r w:rsidRPr="001F1A45">
        <w:rPr>
          <w:rtl/>
        </w:rPr>
        <w:t xml:space="preserve">لشعوب الأصلية والمجتمعات المحلية </w:t>
      </w:r>
      <w:r>
        <w:rPr>
          <w:rFonts w:hint="cs"/>
          <w:rtl/>
        </w:rPr>
        <w:t>والنساء في الريف</w:t>
      </w:r>
      <w:r w:rsidRPr="000B3A37">
        <w:rPr>
          <w:rFonts w:hint="cs"/>
          <w:rtl/>
        </w:rPr>
        <w:t>، ولا</w:t>
      </w:r>
      <w:r>
        <w:rPr>
          <w:rFonts w:hint="cs"/>
          <w:rtl/>
        </w:rPr>
        <w:t xml:space="preserve"> </w:t>
      </w:r>
      <w:r w:rsidRPr="000B3A37">
        <w:rPr>
          <w:rFonts w:hint="cs"/>
          <w:rtl/>
        </w:rPr>
        <w:t xml:space="preserve">سيما في النظم الإيكولوجية </w:t>
      </w:r>
      <w:r>
        <w:rPr>
          <w:rFonts w:hint="cs"/>
          <w:rtl/>
        </w:rPr>
        <w:t>الأكثر ضعفا</w:t>
      </w:r>
      <w:r w:rsidRPr="000B3A37">
        <w:rPr>
          <w:rFonts w:hint="cs"/>
          <w:rtl/>
        </w:rPr>
        <w:t xml:space="preserve">، من قبيل </w:t>
      </w:r>
      <w:r>
        <w:rPr>
          <w:rFonts w:hint="cs"/>
          <w:rtl/>
        </w:rPr>
        <w:t>الأراضي الرطبة، والجزر الصغيرة، والنظم الإيكولوجية</w:t>
      </w:r>
      <w:r w:rsidRPr="000B3A37">
        <w:rPr>
          <w:rFonts w:hint="cs"/>
          <w:rtl/>
        </w:rPr>
        <w:t xml:space="preserve"> </w:t>
      </w:r>
      <w:r>
        <w:rPr>
          <w:rFonts w:hint="cs"/>
          <w:rtl/>
        </w:rPr>
        <w:t xml:space="preserve">الساحلية والبحرية، </w:t>
      </w:r>
      <w:r w:rsidRPr="000B3A37">
        <w:rPr>
          <w:rFonts w:hint="cs"/>
          <w:rtl/>
        </w:rPr>
        <w:t>والنظم الإيكولوجية في القطب الشمالي؛</w:t>
      </w:r>
    </w:p>
    <w:p w:rsidR="00023979" w:rsidRPr="000B3A37" w:rsidRDefault="00023979" w:rsidP="00CD26C5">
      <w:pPr>
        <w:numPr>
          <w:ilvl w:val="0"/>
          <w:numId w:val="100"/>
        </w:numPr>
        <w:spacing w:after="100" w:line="204" w:lineRule="auto"/>
        <w:ind w:left="0" w:firstLine="720"/>
      </w:pPr>
      <w:r>
        <w:rPr>
          <w:rFonts w:hint="cs"/>
          <w:i/>
          <w:iCs/>
          <w:rtl/>
        </w:rPr>
        <w:t>يعتمد</w:t>
      </w:r>
      <w:r w:rsidRPr="000B3A37">
        <w:rPr>
          <w:rFonts w:hint="cs"/>
          <w:i/>
          <w:iCs/>
          <w:rtl/>
        </w:rPr>
        <w:t xml:space="preserve"> </w:t>
      </w:r>
      <w:r w:rsidRPr="000B3A37">
        <w:rPr>
          <w:rFonts w:hint="cs"/>
          <w:rtl/>
        </w:rPr>
        <w:t>المبادئ التوجيهية الطوعية لتصميم النُهج القائمة على النظم الإيكولوجية بشأن التكيف مع تغير المناخ والحد من مخاطر الكوارث وتنفيذها الفعال، الواردة في المرفق بهذا المقرر؛</w:t>
      </w:r>
    </w:p>
    <w:p w:rsidR="00023979" w:rsidRPr="000B3A37" w:rsidRDefault="00023979" w:rsidP="00CD26C5">
      <w:pPr>
        <w:numPr>
          <w:ilvl w:val="0"/>
          <w:numId w:val="100"/>
        </w:numPr>
        <w:spacing w:after="100" w:line="204" w:lineRule="auto"/>
        <w:ind w:left="0" w:firstLine="720"/>
      </w:pPr>
      <w:r w:rsidRPr="000B3A37">
        <w:rPr>
          <w:rFonts w:hint="cs"/>
          <w:i/>
          <w:iCs/>
          <w:rtl/>
        </w:rPr>
        <w:t xml:space="preserve">يشجع </w:t>
      </w:r>
      <w:r w:rsidRPr="000B3A37">
        <w:rPr>
          <w:rFonts w:hint="cs"/>
          <w:rtl/>
        </w:rPr>
        <w:t>الأطراف، والحكومات الأخرى والمنظمات ذات الصلة، مع مراعاة الأولويات والظروف والقدرات المحلية، على الاستفادة من المبادئ التوجيهية الطوعية، بما يتماشى مع نهج النظام الإيكولوجي،</w:t>
      </w:r>
      <w:r w:rsidRPr="000B3A37">
        <w:rPr>
          <w:vertAlign w:val="superscript"/>
          <w:rtl/>
        </w:rPr>
        <w:footnoteReference w:id="42"/>
      </w:r>
      <w:r w:rsidRPr="000B3A37">
        <w:rPr>
          <w:rFonts w:hint="cs"/>
          <w:rtl/>
        </w:rPr>
        <w:t xml:space="preserve"> عند تصميم وتنفيذ النُهج القائمة على النظم الإيكولوجية بشأن التكيف مع تغير المناخ والحد من مخاطر الكوارث، مع الإقرار بأن هذا قد يسهم أيضا</w:t>
      </w:r>
      <w:r>
        <w:rPr>
          <w:rFonts w:hint="cs"/>
          <w:rtl/>
        </w:rPr>
        <w:t xml:space="preserve"> بشكل مشترك</w:t>
      </w:r>
      <w:r w:rsidRPr="000B3A37">
        <w:rPr>
          <w:rFonts w:hint="cs"/>
          <w:rtl/>
        </w:rPr>
        <w:t xml:space="preserve"> في التخفيف من آثار تغير المناخ؛</w:t>
      </w:r>
    </w:p>
    <w:p w:rsidR="00023979" w:rsidRPr="000B3A37" w:rsidRDefault="00023979" w:rsidP="00CD26C5">
      <w:pPr>
        <w:numPr>
          <w:ilvl w:val="0"/>
          <w:numId w:val="100"/>
        </w:numPr>
        <w:spacing w:after="100" w:line="204" w:lineRule="auto"/>
        <w:ind w:left="0" w:firstLine="720"/>
      </w:pPr>
      <w:r w:rsidRPr="000B3A37">
        <w:rPr>
          <w:rFonts w:hint="cs"/>
          <w:i/>
          <w:iCs/>
          <w:rtl/>
        </w:rPr>
        <w:t xml:space="preserve">يشجع أيضا </w:t>
      </w:r>
      <w:r w:rsidRPr="000B3A37">
        <w:rPr>
          <w:rFonts w:hint="cs"/>
          <w:rtl/>
        </w:rPr>
        <w:t>الأطراف، والحكومات الأخرى والمنظمات ذات الصلة على القيام بما يلي عند تصميم وتنفيذ ورصد النُهج القائمة على النظم الإيكولوجية بشأن التكيف مع تغير المناخ والحد من مخاطر الكوارث:</w:t>
      </w:r>
    </w:p>
    <w:p w:rsidR="00023979" w:rsidRPr="000714A8" w:rsidRDefault="00023979" w:rsidP="00CD26C5">
      <w:pPr>
        <w:pStyle w:val="ListParagraph"/>
        <w:numPr>
          <w:ilvl w:val="0"/>
          <w:numId w:val="107"/>
        </w:numPr>
        <w:bidi/>
        <w:spacing w:after="100" w:line="204" w:lineRule="auto"/>
        <w:ind w:left="-36" w:firstLine="756"/>
        <w:rPr>
          <w:rFonts w:eastAsia="YouYuan" w:cs="Simplified Arabic"/>
          <w:kern w:val="2"/>
          <w:sz w:val="24"/>
          <w:rtl/>
        </w:rPr>
      </w:pPr>
      <w:r w:rsidRPr="000714A8">
        <w:rPr>
          <w:rFonts w:eastAsia="YouYuan" w:cs="Simplified Arabic" w:hint="cs"/>
          <w:kern w:val="2"/>
          <w:sz w:val="24"/>
          <w:rtl/>
        </w:rPr>
        <w:t xml:space="preserve">تنفيذ مثل هذه الأنشطة، </w:t>
      </w:r>
      <w:r w:rsidRPr="000714A8">
        <w:rPr>
          <w:rFonts w:eastAsia="YouYuan" w:cs="Simplified Arabic"/>
          <w:kern w:val="2"/>
          <w:sz w:val="24"/>
          <w:rtl/>
        </w:rPr>
        <w:t xml:space="preserve">مع الاعتراف </w:t>
      </w:r>
      <w:r>
        <w:rPr>
          <w:rFonts w:eastAsia="YouYuan" w:cs="Simplified Arabic" w:hint="cs"/>
          <w:kern w:val="2"/>
          <w:sz w:val="24"/>
          <w:rtl/>
        </w:rPr>
        <w:t xml:space="preserve">بأن </w:t>
      </w:r>
      <w:r w:rsidRPr="000714A8">
        <w:rPr>
          <w:rFonts w:eastAsia="YouYuan" w:cs="Simplified Arabic"/>
          <w:kern w:val="2"/>
          <w:sz w:val="24"/>
          <w:rtl/>
        </w:rPr>
        <w:t>آثار تغير المناخ</w:t>
      </w:r>
      <w:r>
        <w:rPr>
          <w:rFonts w:eastAsia="YouYuan" w:cs="Simplified Arabic" w:hint="cs"/>
          <w:kern w:val="2"/>
          <w:sz w:val="24"/>
          <w:rtl/>
        </w:rPr>
        <w:t xml:space="preserve"> غير متناسبة</w:t>
      </w:r>
      <w:r w:rsidRPr="000714A8">
        <w:rPr>
          <w:rFonts w:eastAsia="YouYuan" w:cs="Simplified Arabic" w:hint="cs"/>
          <w:kern w:val="2"/>
          <w:sz w:val="24"/>
          <w:rtl/>
        </w:rPr>
        <w:t>،</w:t>
      </w:r>
      <w:r w:rsidRPr="000714A8">
        <w:rPr>
          <w:rFonts w:eastAsia="YouYuan" w:cs="Simplified Arabic"/>
          <w:kern w:val="2"/>
          <w:sz w:val="24"/>
          <w:rtl/>
        </w:rPr>
        <w:t xml:space="preserve"> </w:t>
      </w:r>
      <w:r w:rsidRPr="000714A8">
        <w:rPr>
          <w:rFonts w:eastAsia="YouYuan" w:cs="Simplified Arabic" w:hint="cs"/>
          <w:kern w:val="2"/>
          <w:sz w:val="24"/>
          <w:rtl/>
        </w:rPr>
        <w:t>و</w:t>
      </w:r>
      <w:r>
        <w:rPr>
          <w:rFonts w:eastAsia="YouYuan" w:cs="Simplified Arabic" w:hint="cs"/>
          <w:kern w:val="2"/>
          <w:sz w:val="24"/>
          <w:rtl/>
        </w:rPr>
        <w:t xml:space="preserve">مع </w:t>
      </w:r>
      <w:r w:rsidRPr="000714A8">
        <w:rPr>
          <w:rFonts w:eastAsia="YouYuan" w:cs="Simplified Arabic" w:hint="cs"/>
          <w:kern w:val="2"/>
          <w:sz w:val="24"/>
          <w:rtl/>
        </w:rPr>
        <w:t xml:space="preserve">المشاركة الكاملة والفعالة للشعوب الأصلية والمجتمعات المحلية، والنساء والشباب </w:t>
      </w:r>
      <w:r>
        <w:rPr>
          <w:rFonts w:eastAsia="YouYuan" w:cs="Simplified Arabic" w:hint="cs"/>
          <w:kern w:val="2"/>
          <w:sz w:val="24"/>
          <w:rtl/>
        </w:rPr>
        <w:t>والشيوخ</w:t>
      </w:r>
      <w:r w:rsidRPr="000714A8">
        <w:rPr>
          <w:rFonts w:eastAsia="YouYuan" w:cs="Simplified Arabic" w:hint="cs"/>
          <w:kern w:val="2"/>
          <w:sz w:val="24"/>
          <w:rtl/>
        </w:rPr>
        <w:t>، مع الاعتراف بشكل مناسب بأهمية حوكمة وإدارة وحفظ أراضي ومناطق الشعوب الأصلية والمجتمعات المحلية ودعمها</w:t>
      </w:r>
      <w:r>
        <w:rPr>
          <w:rFonts w:eastAsia="YouYuan" w:cs="Simplified Arabic" w:hint="cs"/>
          <w:kern w:val="2"/>
          <w:sz w:val="24"/>
          <w:rtl/>
        </w:rPr>
        <w:t>، و</w:t>
      </w:r>
      <w:r w:rsidRPr="000714A8">
        <w:rPr>
          <w:rFonts w:eastAsia="YouYuan" w:cs="Simplified Arabic"/>
          <w:kern w:val="2"/>
          <w:sz w:val="24"/>
          <w:rtl/>
        </w:rPr>
        <w:t>بالتنسيق مع منتدى ال</w:t>
      </w:r>
      <w:r>
        <w:rPr>
          <w:rFonts w:eastAsia="YouYuan" w:cs="Simplified Arabic"/>
          <w:kern w:val="2"/>
          <w:sz w:val="24"/>
          <w:rtl/>
        </w:rPr>
        <w:t>مجتمعات المحلية والشعوب الأصلية</w:t>
      </w:r>
      <w:r>
        <w:rPr>
          <w:rFonts w:eastAsia="YouYuan" w:cs="Simplified Arabic" w:hint="cs"/>
          <w:kern w:val="2"/>
          <w:sz w:val="24"/>
          <w:rtl/>
        </w:rPr>
        <w:t>،</w:t>
      </w:r>
      <w:r>
        <w:rPr>
          <w:rStyle w:val="FootnoteReference"/>
          <w:sz w:val="24"/>
          <w:rtl/>
        </w:rPr>
        <w:footnoteReference w:id="43"/>
      </w:r>
      <w:r>
        <w:rPr>
          <w:rFonts w:eastAsia="YouYuan" w:cs="Simplified Arabic" w:hint="cs"/>
          <w:kern w:val="2"/>
          <w:sz w:val="24"/>
          <w:rtl/>
        </w:rPr>
        <w:t xml:space="preserve"> عند الاقتضاء</w:t>
      </w:r>
      <w:r w:rsidRPr="000714A8">
        <w:rPr>
          <w:rFonts w:eastAsia="YouYuan" w:cs="Simplified Arabic"/>
          <w:kern w:val="2"/>
          <w:sz w:val="24"/>
          <w:rtl/>
        </w:rPr>
        <w:t>؛</w:t>
      </w:r>
      <w:r w:rsidRPr="000714A8">
        <w:rPr>
          <w:rFonts w:eastAsia="YouYuan" w:cs="Simplified Arabic" w:hint="cs"/>
          <w:kern w:val="2"/>
          <w:sz w:val="24"/>
          <w:rtl/>
        </w:rPr>
        <w:t xml:space="preserve"> </w:t>
      </w:r>
    </w:p>
    <w:p w:rsidR="00023979" w:rsidRPr="000714A8" w:rsidRDefault="00023979" w:rsidP="00CD26C5">
      <w:pPr>
        <w:pStyle w:val="ListParagraph"/>
        <w:numPr>
          <w:ilvl w:val="0"/>
          <w:numId w:val="107"/>
        </w:numPr>
        <w:bidi/>
        <w:spacing w:after="100" w:line="204" w:lineRule="auto"/>
        <w:ind w:left="-36" w:firstLine="756"/>
        <w:rPr>
          <w:rFonts w:eastAsia="YouYuan" w:cs="Simplified Arabic"/>
          <w:kern w:val="2"/>
          <w:sz w:val="24"/>
          <w:rtl/>
        </w:rPr>
      </w:pPr>
      <w:r w:rsidRPr="000714A8">
        <w:rPr>
          <w:rFonts w:eastAsia="YouYuan" w:cs="Simplified Arabic" w:hint="cs"/>
          <w:kern w:val="2"/>
          <w:sz w:val="24"/>
          <w:rtl/>
        </w:rPr>
        <w:lastRenderedPageBreak/>
        <w:t>تشجيع الأنشطة على المستوى المحلي التي تقودها الشعوب الأصلية والمجتمعات المحلية</w:t>
      </w:r>
      <w:r>
        <w:rPr>
          <w:rFonts w:eastAsia="YouYuan" w:cs="Simplified Arabic" w:hint="cs"/>
          <w:kern w:val="2"/>
          <w:sz w:val="24"/>
          <w:rtl/>
        </w:rPr>
        <w:t>،</w:t>
      </w:r>
      <w:r w:rsidRPr="000714A8">
        <w:rPr>
          <w:rFonts w:eastAsia="YouYuan" w:cs="Simplified Arabic" w:hint="cs"/>
          <w:kern w:val="2"/>
          <w:sz w:val="24"/>
          <w:rtl/>
        </w:rPr>
        <w:t xml:space="preserve"> </w:t>
      </w:r>
      <w:r>
        <w:rPr>
          <w:rFonts w:eastAsia="YouYuan" w:cs="Simplified Arabic" w:hint="cs"/>
          <w:kern w:val="2"/>
          <w:sz w:val="24"/>
          <w:rtl/>
        </w:rPr>
        <w:t xml:space="preserve">بما في ذلك </w:t>
      </w:r>
      <w:r w:rsidRPr="000714A8">
        <w:rPr>
          <w:rFonts w:eastAsia="YouYuan" w:cs="Simplified Arabic" w:hint="cs"/>
          <w:kern w:val="2"/>
          <w:sz w:val="24"/>
          <w:rtl/>
        </w:rPr>
        <w:t>إيلاء الاعتبار للمعارف والممارسات</w:t>
      </w:r>
      <w:r>
        <w:rPr>
          <w:rFonts w:eastAsia="YouYuan" w:cs="Simplified Arabic" w:hint="cs"/>
          <w:kern w:val="2"/>
          <w:sz w:val="24"/>
          <w:rtl/>
        </w:rPr>
        <w:t xml:space="preserve"> والخطط</w:t>
      </w:r>
      <w:r w:rsidRPr="000714A8">
        <w:rPr>
          <w:rFonts w:eastAsia="YouYuan" w:cs="Simplified Arabic" w:hint="cs"/>
          <w:kern w:val="2"/>
          <w:sz w:val="24"/>
          <w:rtl/>
        </w:rPr>
        <w:t xml:space="preserve"> والمؤسسات الأصلية والتقليدية ودمجها</w:t>
      </w:r>
      <w:r>
        <w:rPr>
          <w:rFonts w:eastAsia="YouYuan" w:cs="Simplified Arabic" w:hint="cs"/>
          <w:kern w:val="2"/>
          <w:sz w:val="24"/>
          <w:rtl/>
        </w:rPr>
        <w:t>؛</w:t>
      </w:r>
      <w:r w:rsidRPr="000714A8">
        <w:rPr>
          <w:rFonts w:eastAsia="YouYuan" w:cs="Simplified Arabic" w:hint="cs"/>
          <w:kern w:val="2"/>
          <w:sz w:val="24"/>
          <w:rtl/>
        </w:rPr>
        <w:t xml:space="preserve"> رهنا بالموافقة الحرة والمسبقة </w:t>
      </w:r>
      <w:r>
        <w:rPr>
          <w:rFonts w:eastAsia="YouYuan" w:cs="Simplified Arabic" w:hint="cs"/>
          <w:kern w:val="2"/>
          <w:sz w:val="24"/>
          <w:rtl/>
        </w:rPr>
        <w:t>عن علم</w:t>
      </w:r>
      <w:r w:rsidRPr="000714A8">
        <w:rPr>
          <w:rFonts w:eastAsia="YouYuan" w:cs="Simplified Arabic" w:hint="cs"/>
          <w:kern w:val="2"/>
          <w:sz w:val="24"/>
          <w:rtl/>
        </w:rPr>
        <w:t xml:space="preserve"> للشعوب الأصلية والمجتمعات المحلية، حسب الاقتضاء، وبما ي</w:t>
      </w:r>
      <w:r>
        <w:rPr>
          <w:rFonts w:eastAsia="YouYuan" w:cs="Simplified Arabic" w:hint="cs"/>
          <w:kern w:val="2"/>
          <w:sz w:val="24"/>
          <w:rtl/>
        </w:rPr>
        <w:t>تسق</w:t>
      </w:r>
      <w:r w:rsidRPr="000714A8">
        <w:rPr>
          <w:rFonts w:eastAsia="YouYuan" w:cs="Simplified Arabic" w:hint="cs"/>
          <w:kern w:val="2"/>
          <w:sz w:val="24"/>
          <w:rtl/>
        </w:rPr>
        <w:t xml:space="preserve"> مع السياسات واللوائح والظروف الوطنية؛</w:t>
      </w:r>
    </w:p>
    <w:p w:rsidR="00023979" w:rsidRPr="000B3A37" w:rsidRDefault="00023979" w:rsidP="00023979">
      <w:pPr>
        <w:spacing w:after="100" w:line="204" w:lineRule="auto"/>
        <w:ind w:firstLine="756"/>
        <w:rPr>
          <w:rtl/>
        </w:rPr>
      </w:pPr>
      <w:r w:rsidRPr="000B3A37">
        <w:rPr>
          <w:rFonts w:hint="cs"/>
          <w:rtl/>
        </w:rPr>
        <w:t>(</w:t>
      </w:r>
      <w:r>
        <w:rPr>
          <w:rFonts w:hint="cs"/>
          <w:rtl/>
        </w:rPr>
        <w:t>ج</w:t>
      </w:r>
      <w:r w:rsidRPr="000B3A37">
        <w:rPr>
          <w:rFonts w:hint="cs"/>
          <w:rtl/>
        </w:rPr>
        <w:t>)</w:t>
      </w:r>
      <w:r w:rsidRPr="000B3A37">
        <w:rPr>
          <w:rFonts w:hint="cs"/>
          <w:rtl/>
        </w:rPr>
        <w:tab/>
        <w:t xml:space="preserve">ضمان أن الأنشطة لا تسهم في </w:t>
      </w:r>
      <w:r>
        <w:rPr>
          <w:rFonts w:hint="cs"/>
          <w:rtl/>
        </w:rPr>
        <w:t xml:space="preserve">الدوافع وراء فقدان </w:t>
      </w:r>
      <w:r w:rsidRPr="000B3A37">
        <w:rPr>
          <w:rFonts w:hint="cs"/>
          <w:rtl/>
        </w:rPr>
        <w:t xml:space="preserve">التنوع البيولوجي </w:t>
      </w:r>
      <w:r>
        <w:rPr>
          <w:rFonts w:hint="cs"/>
          <w:rtl/>
        </w:rPr>
        <w:t>أ</w:t>
      </w:r>
      <w:r w:rsidRPr="000B3A37">
        <w:rPr>
          <w:rFonts w:hint="cs"/>
          <w:rtl/>
        </w:rPr>
        <w:t>و</w:t>
      </w:r>
      <w:r>
        <w:rPr>
          <w:rFonts w:hint="cs"/>
          <w:rtl/>
        </w:rPr>
        <w:t xml:space="preserve"> في تدهور النظم الإيكولوجية</w:t>
      </w:r>
      <w:r w:rsidRPr="000B3A37">
        <w:rPr>
          <w:rFonts w:hint="cs"/>
          <w:rtl/>
        </w:rPr>
        <w:t xml:space="preserve">، </w:t>
      </w:r>
      <w:r>
        <w:rPr>
          <w:rFonts w:hint="cs"/>
          <w:rtl/>
        </w:rPr>
        <w:t xml:space="preserve">ولا </w:t>
      </w:r>
      <w:r w:rsidRPr="00AE3204">
        <w:rPr>
          <w:rtl/>
        </w:rPr>
        <w:t xml:space="preserve">تؤثر </w:t>
      </w:r>
      <w:r>
        <w:rPr>
          <w:rFonts w:hint="cs"/>
          <w:rtl/>
        </w:rPr>
        <w:t xml:space="preserve">سلبيا </w:t>
      </w:r>
      <w:r w:rsidRPr="00AE3204">
        <w:rPr>
          <w:rtl/>
        </w:rPr>
        <w:t xml:space="preserve">على </w:t>
      </w:r>
      <w:r>
        <w:rPr>
          <w:rFonts w:hint="cs"/>
          <w:rtl/>
        </w:rPr>
        <w:t>الشعوب الأصلية و</w:t>
      </w:r>
      <w:r w:rsidRPr="00AE3204">
        <w:rPr>
          <w:rtl/>
        </w:rPr>
        <w:t>المجتمعات المحلية التي تعتمد على وظائف وخدمات النظم ال</w:t>
      </w:r>
      <w:r>
        <w:rPr>
          <w:rFonts w:hint="cs"/>
          <w:rtl/>
        </w:rPr>
        <w:t>إيكولوج</w:t>
      </w:r>
      <w:r w:rsidRPr="00AE3204">
        <w:rPr>
          <w:rtl/>
        </w:rPr>
        <w:t>ي</w:t>
      </w:r>
      <w:r>
        <w:rPr>
          <w:rFonts w:hint="cs"/>
          <w:rtl/>
        </w:rPr>
        <w:t>ة</w:t>
      </w:r>
      <w:r w:rsidRPr="000B3A37">
        <w:rPr>
          <w:rFonts w:hint="cs"/>
          <w:rtl/>
        </w:rPr>
        <w:t>؛</w:t>
      </w:r>
    </w:p>
    <w:p w:rsidR="00023979" w:rsidRPr="000B3A37" w:rsidRDefault="00023979" w:rsidP="00023979">
      <w:pPr>
        <w:spacing w:after="100" w:line="204" w:lineRule="auto"/>
        <w:ind w:firstLine="756"/>
        <w:rPr>
          <w:rtl/>
        </w:rPr>
      </w:pPr>
      <w:r w:rsidRPr="000B3A37">
        <w:rPr>
          <w:rFonts w:hint="cs"/>
          <w:rtl/>
        </w:rPr>
        <w:t>(</w:t>
      </w:r>
      <w:r>
        <w:rPr>
          <w:rFonts w:hint="cs"/>
          <w:rtl/>
        </w:rPr>
        <w:t>د</w:t>
      </w:r>
      <w:r w:rsidRPr="000B3A37">
        <w:rPr>
          <w:rFonts w:hint="cs"/>
          <w:rtl/>
        </w:rPr>
        <w:t>)</w:t>
      </w:r>
      <w:r w:rsidRPr="000B3A37">
        <w:rPr>
          <w:rFonts w:hint="cs"/>
          <w:rtl/>
        </w:rPr>
        <w:tab/>
        <w:t>مراعاة النُهج العابرة للحدود على المستوى الإقليمي؛</w:t>
      </w:r>
    </w:p>
    <w:p w:rsidR="00023979" w:rsidRPr="000B3A37" w:rsidRDefault="00023979" w:rsidP="00023979">
      <w:pPr>
        <w:spacing w:after="100" w:line="204" w:lineRule="auto"/>
        <w:ind w:firstLine="756"/>
        <w:rPr>
          <w:rtl/>
        </w:rPr>
      </w:pPr>
      <w:r w:rsidRPr="000B3A37">
        <w:rPr>
          <w:rFonts w:hint="cs"/>
          <w:rtl/>
        </w:rPr>
        <w:t>(</w:t>
      </w:r>
      <w:r>
        <w:rPr>
          <w:rFonts w:hint="cs"/>
          <w:rtl/>
        </w:rPr>
        <w:t>ه</w:t>
      </w:r>
      <w:r w:rsidRPr="000B3A37">
        <w:rPr>
          <w:rFonts w:hint="cs"/>
          <w:rtl/>
        </w:rPr>
        <w:t>)</w:t>
      </w:r>
      <w:r w:rsidRPr="000B3A37">
        <w:rPr>
          <w:rFonts w:hint="cs"/>
          <w:rtl/>
        </w:rPr>
        <w:tab/>
        <w:t>تعزيز أوجه التآزر بين مختلف السياسات واستراتيجيات التنفيذ؛</w:t>
      </w:r>
    </w:p>
    <w:p w:rsidR="00023979" w:rsidRPr="000B3A37" w:rsidRDefault="00023979" w:rsidP="00023979">
      <w:pPr>
        <w:spacing w:after="100" w:line="204" w:lineRule="auto"/>
        <w:ind w:firstLine="756"/>
        <w:rPr>
          <w:rtl/>
        </w:rPr>
      </w:pPr>
      <w:r w:rsidRPr="000B3A37">
        <w:rPr>
          <w:rFonts w:hint="cs"/>
          <w:rtl/>
        </w:rPr>
        <w:t>(</w:t>
      </w:r>
      <w:r>
        <w:rPr>
          <w:rFonts w:hint="cs"/>
          <w:rtl/>
        </w:rPr>
        <w:t>و</w:t>
      </w:r>
      <w:r w:rsidRPr="000B3A37">
        <w:rPr>
          <w:rFonts w:hint="cs"/>
          <w:rtl/>
        </w:rPr>
        <w:t>)</w:t>
      </w:r>
      <w:r w:rsidRPr="000B3A37">
        <w:rPr>
          <w:rFonts w:hint="cs"/>
          <w:rtl/>
        </w:rPr>
        <w:tab/>
        <w:t>المشاركة على نطاق واسع مع منظمات المجتمع المدني، والقطاع الخاص والجهات الفاعلة الرئيسية الأخرى؛</w:t>
      </w:r>
    </w:p>
    <w:p w:rsidR="00023979" w:rsidRDefault="00023979" w:rsidP="00023979">
      <w:pPr>
        <w:spacing w:after="100" w:line="204" w:lineRule="auto"/>
        <w:ind w:firstLine="756"/>
        <w:rPr>
          <w:rtl/>
        </w:rPr>
      </w:pPr>
      <w:r w:rsidRPr="000B3A37">
        <w:rPr>
          <w:rFonts w:hint="cs"/>
          <w:rtl/>
        </w:rPr>
        <w:t>(</w:t>
      </w:r>
      <w:r>
        <w:rPr>
          <w:rFonts w:hint="cs"/>
          <w:rtl/>
        </w:rPr>
        <w:t>ز</w:t>
      </w:r>
      <w:r w:rsidRPr="000B3A37">
        <w:rPr>
          <w:rFonts w:hint="cs"/>
          <w:rtl/>
        </w:rPr>
        <w:t>)</w:t>
      </w:r>
      <w:r w:rsidRPr="000B3A37">
        <w:rPr>
          <w:rFonts w:hint="cs"/>
          <w:rtl/>
        </w:rPr>
        <w:tab/>
        <w:t>تشجيع، حسب الاقتضاء، الأنشطة على المستوى المحلي، التي تدعم الفئات الهشة، بما في ذلك النساء والشباب وكبار السن؛</w:t>
      </w:r>
    </w:p>
    <w:p w:rsidR="00023979" w:rsidRDefault="00023979" w:rsidP="00023979">
      <w:pPr>
        <w:spacing w:after="100" w:line="204" w:lineRule="auto"/>
        <w:ind w:firstLine="756"/>
        <w:rPr>
          <w:rtl/>
        </w:rPr>
      </w:pPr>
      <w:r>
        <w:rPr>
          <w:rFonts w:hint="cs"/>
          <w:rtl/>
        </w:rPr>
        <w:t>(ح)</w:t>
      </w:r>
      <w:r>
        <w:rPr>
          <w:rFonts w:hint="cs"/>
          <w:rtl/>
        </w:rPr>
        <w:tab/>
      </w:r>
      <w:r w:rsidRPr="00AE3204">
        <w:rPr>
          <w:rtl/>
        </w:rPr>
        <w:t xml:space="preserve">تعزيز فعالية </w:t>
      </w:r>
      <w:r>
        <w:rPr>
          <w:rFonts w:hint="cs"/>
          <w:rtl/>
        </w:rPr>
        <w:t xml:space="preserve">إدارة </w:t>
      </w:r>
      <w:r w:rsidRPr="00AE3204">
        <w:rPr>
          <w:rtl/>
        </w:rPr>
        <w:t>المناطق المحمية والحفاظ على النظم ال</w:t>
      </w:r>
      <w:r>
        <w:rPr>
          <w:rFonts w:hint="cs"/>
          <w:rtl/>
        </w:rPr>
        <w:t>إيكولوج</w:t>
      </w:r>
      <w:r w:rsidRPr="00AE3204">
        <w:rPr>
          <w:rtl/>
        </w:rPr>
        <w:t>ية الطبيعية</w:t>
      </w:r>
      <w:r>
        <w:rPr>
          <w:rFonts w:hint="cs"/>
          <w:rtl/>
        </w:rPr>
        <w:t>، بما في ذلك نُهج حفظ التنوع البيولوجي لدى الشعوب الأصلية والمجتمعات المحلية؛</w:t>
      </w:r>
    </w:p>
    <w:p w:rsidR="00023979" w:rsidRDefault="00023979" w:rsidP="00023979">
      <w:pPr>
        <w:spacing w:after="100" w:line="204" w:lineRule="auto"/>
        <w:ind w:firstLine="756"/>
        <w:rPr>
          <w:rtl/>
        </w:rPr>
      </w:pPr>
      <w:r>
        <w:rPr>
          <w:rFonts w:hint="cs"/>
          <w:rtl/>
        </w:rPr>
        <w:t>(ط)</w:t>
      </w:r>
      <w:r>
        <w:rPr>
          <w:rFonts w:hint="cs"/>
          <w:rtl/>
        </w:rPr>
        <w:tab/>
      </w:r>
      <w:r w:rsidRPr="00EE6999">
        <w:rPr>
          <w:rtl/>
        </w:rPr>
        <w:t xml:space="preserve">النظر في الرسائل الرئيسية المحددة في </w:t>
      </w:r>
      <w:r>
        <w:rPr>
          <w:rFonts w:hint="cs"/>
          <w:rtl/>
        </w:rPr>
        <w:t xml:space="preserve">المرفق الأول من </w:t>
      </w:r>
      <w:r w:rsidRPr="00EE6999">
        <w:rPr>
          <w:rtl/>
        </w:rPr>
        <w:t xml:space="preserve">تقرير </w:t>
      </w:r>
      <w:r>
        <w:rPr>
          <w:rFonts w:hint="cs"/>
          <w:rtl/>
        </w:rPr>
        <w:t>حلقة</w:t>
      </w:r>
      <w:r w:rsidRPr="00EE6999">
        <w:rPr>
          <w:rtl/>
        </w:rPr>
        <w:t xml:space="preserve"> العمل بشأن "التنوع البيولوجي وتغير المناخ: العلوم المتكاملة لسياسة متماسكة</w:t>
      </w:r>
      <w:r>
        <w:rPr>
          <w:rFonts w:hint="cs"/>
          <w:rtl/>
        </w:rPr>
        <w:t>"،</w:t>
      </w:r>
      <w:r w:rsidRPr="00156F8E">
        <w:rPr>
          <w:rStyle w:val="FootnoteReference"/>
        </w:rPr>
        <w:footnoteReference w:id="44"/>
      </w:r>
    </w:p>
    <w:p w:rsidR="00023979" w:rsidRPr="000B3A37" w:rsidRDefault="00023979" w:rsidP="00023979">
      <w:pPr>
        <w:spacing w:after="100" w:line="204" w:lineRule="auto"/>
        <w:ind w:firstLine="756"/>
      </w:pPr>
      <w:r>
        <w:rPr>
          <w:rFonts w:hint="cs"/>
          <w:rtl/>
        </w:rPr>
        <w:t>(ي)</w:t>
      </w:r>
      <w:r>
        <w:rPr>
          <w:rFonts w:hint="cs"/>
          <w:rtl/>
        </w:rPr>
        <w:tab/>
        <w:t>تعزيز سلامة النظم الإيكولوجية من أجل حفظ النظم الإيكولوجية الطبيعية؛</w:t>
      </w:r>
    </w:p>
    <w:p w:rsidR="00023979" w:rsidRPr="000B3A37" w:rsidRDefault="00023979" w:rsidP="00CD26C5">
      <w:pPr>
        <w:numPr>
          <w:ilvl w:val="0"/>
          <w:numId w:val="100"/>
        </w:numPr>
        <w:spacing w:after="100" w:line="204" w:lineRule="auto"/>
        <w:ind w:left="0" w:firstLine="720"/>
      </w:pPr>
      <w:r w:rsidRPr="000B3A37">
        <w:rPr>
          <w:rFonts w:hint="cs"/>
          <w:i/>
          <w:iCs/>
          <w:rtl/>
        </w:rPr>
        <w:t xml:space="preserve">يشجع </w:t>
      </w:r>
      <w:r w:rsidRPr="000B3A37">
        <w:rPr>
          <w:rFonts w:hint="cs"/>
          <w:rtl/>
        </w:rPr>
        <w:t xml:space="preserve">الأطراف، عملا بالمقررات </w:t>
      </w:r>
      <w:hyperlink r:id="rId16" w:history="1">
        <w:r w:rsidRPr="000B3A37">
          <w:rPr>
            <w:rFonts w:hint="cs"/>
            <w:color w:val="0000FF"/>
            <w:u w:val="single"/>
            <w:rtl/>
          </w:rPr>
          <w:t>9/16</w:t>
        </w:r>
      </w:hyperlink>
      <w:r w:rsidRPr="000B3A37">
        <w:rPr>
          <w:rFonts w:hint="cs"/>
          <w:rtl/>
        </w:rPr>
        <w:t xml:space="preserve"> و</w:t>
      </w:r>
      <w:hyperlink r:id="rId17" w:history="1">
        <w:r w:rsidRPr="000B3A37">
          <w:rPr>
            <w:rFonts w:hint="cs"/>
            <w:color w:val="0000FF"/>
            <w:u w:val="single"/>
            <w:rtl/>
          </w:rPr>
          <w:t>10/33</w:t>
        </w:r>
      </w:hyperlink>
      <w:r w:rsidRPr="000B3A37">
        <w:rPr>
          <w:rFonts w:hint="cs"/>
          <w:rtl/>
        </w:rPr>
        <w:t xml:space="preserve"> و</w:t>
      </w:r>
      <w:hyperlink r:id="rId18" w:history="1">
        <w:r w:rsidRPr="000B3A37">
          <w:rPr>
            <w:rFonts w:hint="cs"/>
            <w:color w:val="0000FF"/>
            <w:u w:val="single"/>
            <w:rtl/>
          </w:rPr>
          <w:t>12/20</w:t>
        </w:r>
      </w:hyperlink>
      <w:r w:rsidRPr="000B3A37">
        <w:rPr>
          <w:rFonts w:hint="cs"/>
          <w:rtl/>
        </w:rPr>
        <w:t>، و</w:t>
      </w:r>
      <w:hyperlink r:id="rId19" w:history="1">
        <w:r w:rsidRPr="000B3A37">
          <w:rPr>
            <w:rFonts w:hint="cs"/>
            <w:color w:val="0000FF"/>
            <w:u w:val="single"/>
            <w:rtl/>
          </w:rPr>
          <w:t>13/4</w:t>
        </w:r>
      </w:hyperlink>
      <w:r w:rsidRPr="000B3A37">
        <w:rPr>
          <w:rFonts w:hint="cs"/>
          <w:rtl/>
        </w:rPr>
        <w:t xml:space="preserve"> و</w:t>
      </w:r>
      <w:hyperlink r:id="rId20" w:history="1">
        <w:r w:rsidRPr="000B3A37">
          <w:rPr>
            <w:rFonts w:hint="cs"/>
            <w:color w:val="0000FF"/>
            <w:u w:val="single"/>
            <w:rtl/>
          </w:rPr>
          <w:t>13/5</w:t>
        </w:r>
      </w:hyperlink>
      <w:r w:rsidRPr="000B3A37">
        <w:rPr>
          <w:rFonts w:hint="cs"/>
          <w:rtl/>
        </w:rPr>
        <w:t>، على مواصلة تعزيز جهودها الرامية إلى:</w:t>
      </w:r>
    </w:p>
    <w:p w:rsidR="00023979" w:rsidRPr="000B3A37" w:rsidRDefault="00023979" w:rsidP="00023979">
      <w:pPr>
        <w:spacing w:after="100" w:line="204" w:lineRule="auto"/>
        <w:ind w:firstLine="756"/>
        <w:rPr>
          <w:rtl/>
        </w:rPr>
      </w:pPr>
      <w:r w:rsidRPr="000B3A37">
        <w:rPr>
          <w:rFonts w:hint="cs"/>
          <w:rtl/>
        </w:rPr>
        <w:t>(أ)</w:t>
      </w:r>
      <w:r w:rsidRPr="000B3A37">
        <w:rPr>
          <w:rFonts w:hint="cs"/>
          <w:rtl/>
        </w:rPr>
        <w:tab/>
        <w:t>تحديد المناطق، والنظم الإيكولوجية ومكونات التنوع البيولوجي الضعيفة أو التي ستصبح ضعيفة أمام تغير المناخ</w:t>
      </w:r>
      <w:r>
        <w:rPr>
          <w:rFonts w:hint="cs"/>
          <w:rtl/>
        </w:rPr>
        <w:t xml:space="preserve"> على النطاق الجغرافي</w:t>
      </w:r>
      <w:r w:rsidRPr="000B3A37">
        <w:rPr>
          <w:rFonts w:hint="cs"/>
          <w:rtl/>
        </w:rPr>
        <w:t xml:space="preserve">، وتقييم </w:t>
      </w:r>
      <w:r>
        <w:rPr>
          <w:rFonts w:hint="cs"/>
          <w:rtl/>
        </w:rPr>
        <w:t>المخاطر</w:t>
      </w:r>
      <w:r w:rsidRPr="000B3A37">
        <w:rPr>
          <w:rFonts w:hint="cs"/>
          <w:rtl/>
        </w:rPr>
        <w:t xml:space="preserve"> </w:t>
      </w:r>
      <w:r>
        <w:rPr>
          <w:rFonts w:hint="cs"/>
          <w:rtl/>
        </w:rPr>
        <w:t xml:space="preserve">والآثار </w:t>
      </w:r>
      <w:r w:rsidRPr="000B3A37">
        <w:rPr>
          <w:rFonts w:hint="cs"/>
          <w:rtl/>
        </w:rPr>
        <w:t>الحالية والمستقبلية على التنوع البيولوجي وسبل العيش القائمة على التنوع البيولوجي</w:t>
      </w:r>
      <w:r>
        <w:rPr>
          <w:rFonts w:hint="cs"/>
          <w:rtl/>
        </w:rPr>
        <w:t xml:space="preserve">، </w:t>
      </w:r>
      <w:r w:rsidRPr="00091905">
        <w:rPr>
          <w:rtl/>
        </w:rPr>
        <w:t xml:space="preserve">مع الأخذ في الاعتبار استخدام </w:t>
      </w:r>
      <w:r>
        <w:rPr>
          <w:rFonts w:hint="cs"/>
          <w:rtl/>
        </w:rPr>
        <w:t>نماذج و</w:t>
      </w:r>
      <w:r w:rsidRPr="00091905">
        <w:rPr>
          <w:rtl/>
        </w:rPr>
        <w:t>سيناريوهات التنوع البيولوجي، حسب الاقتضاء</w:t>
      </w:r>
      <w:r>
        <w:rPr>
          <w:rFonts w:hint="cs"/>
          <w:rtl/>
        </w:rPr>
        <w:t>،</w:t>
      </w:r>
      <w:r w:rsidRPr="00091905">
        <w:rPr>
          <w:rtl/>
        </w:rPr>
        <w:t xml:space="preserve"> </w:t>
      </w:r>
      <w:r>
        <w:rPr>
          <w:rFonts w:hint="cs"/>
          <w:rtl/>
        </w:rPr>
        <w:t>مع مراعاة مساهم</w:t>
      </w:r>
      <w:r w:rsidRPr="000B3A37">
        <w:rPr>
          <w:rFonts w:hint="cs"/>
          <w:rtl/>
        </w:rPr>
        <w:t>تها الهامة في التكيف مع تغير المناخ والحد من مخاطر الكوارث؛</w:t>
      </w:r>
    </w:p>
    <w:p w:rsidR="00023979" w:rsidRPr="000B3A37" w:rsidRDefault="00023979" w:rsidP="00023979">
      <w:pPr>
        <w:spacing w:after="100" w:line="204" w:lineRule="auto"/>
        <w:ind w:firstLine="756"/>
        <w:rPr>
          <w:rtl/>
        </w:rPr>
      </w:pPr>
      <w:r w:rsidRPr="000B3A37">
        <w:rPr>
          <w:rFonts w:hint="cs"/>
          <w:rtl/>
        </w:rPr>
        <w:t>(ب)</w:t>
      </w:r>
      <w:r w:rsidRPr="000B3A37">
        <w:rPr>
          <w:rFonts w:hint="cs"/>
          <w:rtl/>
        </w:rPr>
        <w:tab/>
        <w:t>دمج ال</w:t>
      </w:r>
      <w:r>
        <w:rPr>
          <w:rFonts w:hint="cs"/>
          <w:rtl/>
        </w:rPr>
        <w:t>مسائل</w:t>
      </w:r>
      <w:r w:rsidRPr="000B3A37">
        <w:rPr>
          <w:rFonts w:hint="cs"/>
          <w:rtl/>
        </w:rPr>
        <w:t xml:space="preserve"> المتعلقة بتغير المناخ والأولويات الوطنية ذات الصلة في الاستراتيجيات وخطط العمل الوطنية للتنوع البيولوجي، ودمج اعتبارات التنوع البيولوجي</w:t>
      </w:r>
      <w:r>
        <w:rPr>
          <w:rFonts w:hint="cs"/>
          <w:rtl/>
        </w:rPr>
        <w:t xml:space="preserve"> وسلامة النظم الإيكولوجية</w:t>
      </w:r>
      <w:r w:rsidRPr="000B3A37">
        <w:rPr>
          <w:rFonts w:hint="cs"/>
          <w:rtl/>
        </w:rPr>
        <w:t xml:space="preserve"> في السياسات والاستراتيجيات والخطط الوطنية بشأن تغير المناخ</w:t>
      </w:r>
      <w:r>
        <w:rPr>
          <w:rFonts w:hint="cs"/>
          <w:rtl/>
        </w:rPr>
        <w:t xml:space="preserve">، مثل </w:t>
      </w:r>
      <w:r w:rsidRPr="00091905">
        <w:rPr>
          <w:rtl/>
        </w:rPr>
        <w:t>المساهمات المحددة وطنيا</w:t>
      </w:r>
      <w:r>
        <w:rPr>
          <w:rFonts w:hint="cs"/>
          <w:rtl/>
        </w:rPr>
        <w:t>، حسب الاقتضاء،</w:t>
      </w:r>
      <w:r w:rsidRPr="00091905">
        <w:rPr>
          <w:rtl/>
        </w:rPr>
        <w:t xml:space="preserve"> والتخطيط الوطني للتكيف مع تغير المناخ، بصفتها أدوات وطنية لتحديد </w:t>
      </w:r>
      <w:r>
        <w:rPr>
          <w:rtl/>
        </w:rPr>
        <w:t xml:space="preserve">أولويات إجراءات </w:t>
      </w:r>
      <w:r>
        <w:rPr>
          <w:rFonts w:hint="cs"/>
          <w:rtl/>
        </w:rPr>
        <w:t>التخفيف و</w:t>
      </w:r>
      <w:r>
        <w:rPr>
          <w:rtl/>
        </w:rPr>
        <w:t>التكيف</w:t>
      </w:r>
      <w:r w:rsidRPr="000B3A37">
        <w:rPr>
          <w:rFonts w:hint="cs"/>
          <w:rtl/>
        </w:rPr>
        <w:t>؛</w:t>
      </w:r>
    </w:p>
    <w:p w:rsidR="00023979" w:rsidRPr="000B3A37" w:rsidRDefault="00023979" w:rsidP="00023979">
      <w:pPr>
        <w:spacing w:after="100" w:line="204" w:lineRule="auto"/>
        <w:ind w:firstLine="756"/>
        <w:rPr>
          <w:rtl/>
        </w:rPr>
      </w:pPr>
      <w:r w:rsidRPr="000B3A37">
        <w:rPr>
          <w:rFonts w:hint="cs"/>
          <w:rtl/>
        </w:rPr>
        <w:t>(ج)</w:t>
      </w:r>
      <w:r w:rsidRPr="000B3A37">
        <w:rPr>
          <w:rFonts w:hint="cs"/>
          <w:rtl/>
        </w:rPr>
        <w:tab/>
        <w:t>تعزيز استعادة النظم الإيكولوجية والإدارة المستدامة لما بعد الاستعادة؛</w:t>
      </w:r>
    </w:p>
    <w:p w:rsidR="00023979" w:rsidRDefault="00023979" w:rsidP="00023979">
      <w:pPr>
        <w:spacing w:after="100" w:line="204" w:lineRule="auto"/>
        <w:ind w:firstLine="756"/>
        <w:rPr>
          <w:rtl/>
        </w:rPr>
      </w:pPr>
      <w:r w:rsidRPr="000B3A37">
        <w:rPr>
          <w:rFonts w:hint="cs"/>
          <w:rtl/>
        </w:rPr>
        <w:t>(د)</w:t>
      </w:r>
      <w:r w:rsidRPr="000B3A37">
        <w:rPr>
          <w:rFonts w:hint="cs"/>
          <w:rtl/>
        </w:rPr>
        <w:tab/>
        <w:t>اتخاذ إجراءات ملائمة لمعالجة الآثار السلبية لتغير المناخ والحد منها</w:t>
      </w:r>
      <w:r>
        <w:rPr>
          <w:rFonts w:hint="cs"/>
          <w:rtl/>
        </w:rPr>
        <w:t>؛</w:t>
      </w:r>
    </w:p>
    <w:p w:rsidR="00023979" w:rsidRPr="000B3A37" w:rsidRDefault="00023979" w:rsidP="00023979">
      <w:pPr>
        <w:spacing w:after="100" w:line="204" w:lineRule="auto"/>
        <w:ind w:firstLine="756"/>
        <w:rPr>
          <w:rtl/>
        </w:rPr>
      </w:pPr>
      <w:r>
        <w:rPr>
          <w:rFonts w:hint="cs"/>
          <w:rtl/>
        </w:rPr>
        <w:t>(ه)</w:t>
      </w:r>
      <w:r>
        <w:rPr>
          <w:rFonts w:hint="cs"/>
          <w:rtl/>
        </w:rPr>
        <w:tab/>
      </w:r>
      <w:r w:rsidRPr="000B3A37">
        <w:rPr>
          <w:rFonts w:hint="cs"/>
          <w:rtl/>
        </w:rPr>
        <w:t>تعزيز الآثار الإيجابية لأنشطة التخفيف من آثار تغير المناخ والتكيف معه وتقليل الآثار السلبية إلى أدنى حد على وظائف وخدمات النظم الإيكولوجية، والتنوع البيولوجي وسبل العيش القائمة على التنوع البيولوجي؛</w:t>
      </w:r>
    </w:p>
    <w:p w:rsidR="00023979" w:rsidRPr="000B3A37" w:rsidRDefault="00023979" w:rsidP="00023979">
      <w:pPr>
        <w:spacing w:after="100" w:line="204" w:lineRule="auto"/>
        <w:ind w:firstLine="756"/>
        <w:rPr>
          <w:rtl/>
        </w:rPr>
      </w:pPr>
      <w:r w:rsidRPr="000B3A37">
        <w:rPr>
          <w:rFonts w:hint="cs"/>
          <w:rtl/>
        </w:rPr>
        <w:t>(</w:t>
      </w:r>
      <w:r>
        <w:rPr>
          <w:rFonts w:hint="cs"/>
          <w:rtl/>
        </w:rPr>
        <w:t>و</w:t>
      </w:r>
      <w:r w:rsidRPr="000B3A37">
        <w:rPr>
          <w:rFonts w:hint="cs"/>
          <w:rtl/>
        </w:rPr>
        <w:t>)</w:t>
      </w:r>
      <w:r w:rsidRPr="000B3A37">
        <w:rPr>
          <w:rFonts w:hint="cs"/>
          <w:rtl/>
        </w:rPr>
        <w:tab/>
        <w:t>وضع نظم و/أو أدوات لرصد وتقييم</w:t>
      </w:r>
      <w:r>
        <w:rPr>
          <w:rFonts w:hint="cs"/>
          <w:rtl/>
        </w:rPr>
        <w:t xml:space="preserve"> </w:t>
      </w:r>
      <w:r w:rsidRPr="000B3A37">
        <w:rPr>
          <w:rFonts w:hint="cs"/>
          <w:rtl/>
        </w:rPr>
        <w:t>آثار تغير المناخ على التنوع البيولوجي وسبل العيش القائمة على التنوع البيولوجي، ولا</w:t>
      </w:r>
      <w:r>
        <w:rPr>
          <w:rFonts w:hint="cs"/>
          <w:rtl/>
        </w:rPr>
        <w:t xml:space="preserve"> </w:t>
      </w:r>
      <w:r w:rsidRPr="000B3A37">
        <w:rPr>
          <w:rFonts w:hint="cs"/>
          <w:rtl/>
        </w:rPr>
        <w:t xml:space="preserve">سيما سبل العيش الخاصة بالشعوب الأصلية والمجتمعات المحلية، بالإضافة إلى تقييم فعالية النُهج القائمة على النظم الإيكولوجية بشأن التكيف </w:t>
      </w:r>
      <w:r>
        <w:rPr>
          <w:rFonts w:hint="cs"/>
          <w:rtl/>
        </w:rPr>
        <w:t xml:space="preserve">والتخفيف </w:t>
      </w:r>
      <w:r w:rsidRPr="000B3A37">
        <w:rPr>
          <w:rFonts w:hint="cs"/>
          <w:rtl/>
        </w:rPr>
        <w:t>والحد من مخاطر الكوارث؛</w:t>
      </w:r>
    </w:p>
    <w:p w:rsidR="00023979" w:rsidRPr="000B3A37" w:rsidRDefault="00023979" w:rsidP="00023979">
      <w:pPr>
        <w:spacing w:after="100" w:line="204" w:lineRule="auto"/>
        <w:ind w:firstLine="756"/>
        <w:rPr>
          <w:rtl/>
        </w:rPr>
      </w:pPr>
      <w:r w:rsidRPr="000B3A37">
        <w:rPr>
          <w:rFonts w:hint="cs"/>
          <w:rtl/>
        </w:rPr>
        <w:t>(</w:t>
      </w:r>
      <w:r>
        <w:rPr>
          <w:rFonts w:hint="cs"/>
          <w:rtl/>
        </w:rPr>
        <w:t>ز</w:t>
      </w:r>
      <w:r w:rsidRPr="000B3A37">
        <w:rPr>
          <w:rFonts w:hint="cs"/>
          <w:rtl/>
        </w:rPr>
        <w:t>)</w:t>
      </w:r>
      <w:r w:rsidRPr="000B3A37">
        <w:rPr>
          <w:rFonts w:hint="cs"/>
          <w:rtl/>
        </w:rPr>
        <w:tab/>
        <w:t>إدراج معلومات عما ورد أعلاه في تقاريرها المقدمة إلى الاتفاقية؛</w:t>
      </w:r>
    </w:p>
    <w:p w:rsidR="00023979" w:rsidRPr="000B3A37" w:rsidRDefault="00023979" w:rsidP="00CD26C5">
      <w:pPr>
        <w:numPr>
          <w:ilvl w:val="0"/>
          <w:numId w:val="100"/>
        </w:numPr>
        <w:spacing w:after="100" w:line="204" w:lineRule="auto"/>
        <w:ind w:left="0" w:firstLine="720"/>
      </w:pPr>
      <w:r w:rsidRPr="000B3A37">
        <w:rPr>
          <w:rFonts w:hint="cs"/>
          <w:i/>
          <w:iCs/>
          <w:rtl/>
        </w:rPr>
        <w:lastRenderedPageBreak/>
        <w:t>يشجع أيضا</w:t>
      </w:r>
      <w:r w:rsidRPr="000B3A37">
        <w:rPr>
          <w:rFonts w:hint="cs"/>
          <w:rtl/>
        </w:rPr>
        <w:t xml:space="preserve"> الأطراف والحكومات الأخرى على:</w:t>
      </w:r>
    </w:p>
    <w:p w:rsidR="00023979" w:rsidRPr="000B3A37" w:rsidRDefault="00023979" w:rsidP="00023979">
      <w:pPr>
        <w:spacing w:after="100" w:line="204" w:lineRule="auto"/>
        <w:ind w:firstLine="720"/>
        <w:rPr>
          <w:rtl/>
        </w:rPr>
      </w:pPr>
      <w:r w:rsidRPr="000B3A37">
        <w:rPr>
          <w:rFonts w:hint="cs"/>
          <w:rtl/>
        </w:rPr>
        <w:t>(أ)</w:t>
      </w:r>
      <w:r w:rsidRPr="000B3A37">
        <w:rPr>
          <w:rFonts w:hint="cs"/>
          <w:rtl/>
        </w:rPr>
        <w:tab/>
        <w:t xml:space="preserve">دعم التنفيذ المتسق والمتكامل والمفيد للإجراءات بموجب </w:t>
      </w:r>
      <w:r>
        <w:rPr>
          <w:rFonts w:hint="cs"/>
          <w:rtl/>
        </w:rPr>
        <w:t>اتفاقية الأمم المتحدة الإطارية بشأن تغير المناخ و</w:t>
      </w:r>
      <w:r w:rsidRPr="000B3A37">
        <w:rPr>
          <w:rFonts w:hint="cs"/>
          <w:rtl/>
        </w:rPr>
        <w:t>اتفاق باريس</w:t>
      </w:r>
      <w:r>
        <w:rPr>
          <w:rFonts w:hint="cs"/>
          <w:rtl/>
        </w:rPr>
        <w:t xml:space="preserve"> التابع لها</w:t>
      </w:r>
      <w:r w:rsidRPr="000B3A37">
        <w:rPr>
          <w:rFonts w:hint="cs"/>
          <w:rtl/>
        </w:rPr>
        <w:t>،</w:t>
      </w:r>
      <w:r w:rsidRPr="000B3A37">
        <w:rPr>
          <w:vertAlign w:val="superscript"/>
          <w:rtl/>
        </w:rPr>
        <w:footnoteReference w:id="45"/>
      </w:r>
      <w:r w:rsidRPr="000B3A37">
        <w:rPr>
          <w:rFonts w:hint="cs"/>
          <w:rtl/>
        </w:rPr>
        <w:t xml:space="preserve"> وخطة التنمية المستدامة لعام 2030،</w:t>
      </w:r>
      <w:r w:rsidRPr="000B3A37">
        <w:rPr>
          <w:vertAlign w:val="superscript"/>
          <w:rtl/>
        </w:rPr>
        <w:footnoteReference w:id="46"/>
      </w:r>
      <w:r w:rsidRPr="000B3A37">
        <w:rPr>
          <w:rFonts w:hint="cs"/>
          <w:rtl/>
        </w:rPr>
        <w:t xml:space="preserve"> واتفاقية التنوع البيولوجي، بما في ذلك الخطة الاستراتيجية للتنوع البيولوجي 2011-2020</w:t>
      </w:r>
      <w:r w:rsidRPr="000B3A37">
        <w:rPr>
          <w:vertAlign w:val="superscript"/>
          <w:rtl/>
        </w:rPr>
        <w:footnoteReference w:id="47"/>
      </w:r>
      <w:r w:rsidRPr="000B3A37">
        <w:rPr>
          <w:rFonts w:hint="cs"/>
          <w:rtl/>
        </w:rPr>
        <w:t xml:space="preserve"> والإطار العالمي القادم للتنوع البيولوجي لما بعد عام 2020</w:t>
      </w:r>
      <w:r>
        <w:rPr>
          <w:rFonts w:hint="cs"/>
          <w:rtl/>
        </w:rPr>
        <w:t xml:space="preserve"> واتفاقية الأمم المتحدة ل</w:t>
      </w:r>
      <w:r w:rsidRPr="0079530F">
        <w:rPr>
          <w:rtl/>
        </w:rPr>
        <w:t xml:space="preserve">مكافحة التصحر، </w:t>
      </w:r>
      <w:r>
        <w:rPr>
          <w:rtl/>
        </w:rPr>
        <w:t>والأطر الدولية الأخرى ذات الصلة، مثل إطار س</w:t>
      </w:r>
      <w:r w:rsidRPr="0079530F">
        <w:rPr>
          <w:rtl/>
        </w:rPr>
        <w:t>نداي للحد من مخاطر الكوارث 2015-2030</w:t>
      </w:r>
      <w:r>
        <w:rPr>
          <w:rFonts w:hint="cs"/>
          <w:rtl/>
        </w:rPr>
        <w:t>،</w:t>
      </w:r>
      <w:r>
        <w:rPr>
          <w:rStyle w:val="FootnoteReference"/>
          <w:rtl/>
        </w:rPr>
        <w:footnoteReference w:id="48"/>
      </w:r>
      <w:r>
        <w:rPr>
          <w:rFonts w:hint="cs"/>
          <w:rtl/>
        </w:rPr>
        <w:t xml:space="preserve"> حسب الاقتضاء</w:t>
      </w:r>
      <w:r w:rsidRPr="000B3A37">
        <w:rPr>
          <w:rFonts w:hint="cs"/>
          <w:rtl/>
        </w:rPr>
        <w:t>؛</w:t>
      </w:r>
    </w:p>
    <w:p w:rsidR="00023979" w:rsidRDefault="00023979" w:rsidP="00023979">
      <w:pPr>
        <w:spacing w:after="100" w:line="204" w:lineRule="auto"/>
        <w:ind w:firstLine="720"/>
        <w:rPr>
          <w:rtl/>
        </w:rPr>
      </w:pPr>
      <w:r w:rsidRPr="000B3A37">
        <w:rPr>
          <w:rFonts w:hint="cs"/>
          <w:rtl/>
        </w:rPr>
        <w:t>(ب)</w:t>
      </w:r>
      <w:r w:rsidRPr="000B3A37">
        <w:rPr>
          <w:rFonts w:hint="cs"/>
          <w:rtl/>
        </w:rPr>
        <w:tab/>
        <w:t>دمج النُهج القائمة على النظم الإيكولوجية عند تحديث مساهماتها المحددة وطنيا والقيام، حسب الاقتضاء، بتنفيذ إجراءاتها المحلية للمناخ بموجب اتفاق باريس، مع مراعاة أهمية ضمان سلامة جميع النظم الإيكولوجية وقدرتها على القيام بوظائفها، بما فيها المحيطات، وحماية التنوع البيولوجي؛</w:t>
      </w:r>
    </w:p>
    <w:p w:rsidR="00023979" w:rsidRPr="000B3A37" w:rsidRDefault="00023979" w:rsidP="00023979">
      <w:pPr>
        <w:spacing w:after="100" w:line="204" w:lineRule="auto"/>
        <w:ind w:firstLine="720"/>
        <w:rPr>
          <w:rtl/>
        </w:rPr>
      </w:pPr>
      <w:r>
        <w:rPr>
          <w:rFonts w:hint="cs"/>
          <w:rtl/>
        </w:rPr>
        <w:t>(ج)</w:t>
      </w:r>
      <w:r>
        <w:rPr>
          <w:rFonts w:hint="cs"/>
          <w:rtl/>
        </w:rPr>
        <w:tab/>
        <w:t>الأخذ في الحسبان عند تصميم أدوات التكيف القائمة على النظم الإيكولوجية والحد من مخاطر الكوارث، الاحتياجات والاهتمامات الاستراتيجية للمجموعات الضعيفة، مثل النساء، والشيوخ، والشعوب الأصلية والجتمعات المحلية، ضمن مجموعات أخرى؛</w:t>
      </w:r>
    </w:p>
    <w:p w:rsidR="00023979" w:rsidRDefault="00023979" w:rsidP="00CD26C5">
      <w:pPr>
        <w:numPr>
          <w:ilvl w:val="0"/>
          <w:numId w:val="100"/>
        </w:numPr>
        <w:spacing w:after="100" w:line="204" w:lineRule="auto"/>
        <w:ind w:left="0" w:firstLine="720"/>
      </w:pPr>
      <w:r w:rsidRPr="008E390B">
        <w:rPr>
          <w:rFonts w:hint="cs"/>
          <w:i/>
          <w:iCs/>
          <w:rtl/>
        </w:rPr>
        <w:t>يرحب</w:t>
      </w:r>
      <w:r w:rsidRPr="008E390B">
        <w:rPr>
          <w:rFonts w:hint="cs"/>
          <w:rtl/>
        </w:rPr>
        <w:t xml:space="preserve"> بالتقييم الذي أجراه المنبر</w:t>
      </w:r>
      <w:r w:rsidRPr="000B3A37">
        <w:rPr>
          <w:rFonts w:hint="cs"/>
          <w:rtl/>
        </w:rPr>
        <w:t xml:space="preserve"> الحكومي الدولي للعلوم والسياسات في مجال التنوع البيولوجي وخدمات النظم الإيكولوجية بشأن تدهور الأراضي واستصلاحها</w:t>
      </w:r>
      <w:r>
        <w:rPr>
          <w:rFonts w:hint="cs"/>
          <w:rtl/>
        </w:rPr>
        <w:t xml:space="preserve">، </w:t>
      </w:r>
      <w:r w:rsidRPr="002668DA">
        <w:rPr>
          <w:rtl/>
        </w:rPr>
        <w:t>وتقييمات</w:t>
      </w:r>
      <w:r>
        <w:rPr>
          <w:rFonts w:hint="cs"/>
          <w:rtl/>
        </w:rPr>
        <w:t>ه</w:t>
      </w:r>
      <w:r w:rsidRPr="002668DA">
        <w:rPr>
          <w:rtl/>
        </w:rPr>
        <w:t xml:space="preserve"> الإقليمية للتنوع البيولوجي وخدمات النظم الإيكولوجية</w:t>
      </w:r>
      <w:r>
        <w:rPr>
          <w:rFonts w:hint="cs"/>
          <w:rtl/>
        </w:rPr>
        <w:t>،</w:t>
      </w:r>
      <w:r w:rsidRPr="000B3A37">
        <w:rPr>
          <w:rFonts w:hint="cs"/>
          <w:rtl/>
        </w:rPr>
        <w:t xml:space="preserve"> </w:t>
      </w:r>
      <w:r w:rsidRPr="00CF2D9E">
        <w:rPr>
          <w:rFonts w:hint="cs"/>
          <w:i/>
          <w:iCs/>
          <w:rtl/>
        </w:rPr>
        <w:t>ويؤيد</w:t>
      </w:r>
      <w:r w:rsidRPr="000B3A37">
        <w:rPr>
          <w:rFonts w:hint="cs"/>
          <w:rtl/>
        </w:rPr>
        <w:t xml:space="preserve"> الرسائل الرئيسية الواردة فيه التي تدعم</w:t>
      </w:r>
      <w:r>
        <w:rPr>
          <w:rFonts w:hint="cs"/>
          <w:rtl/>
        </w:rPr>
        <w:t xml:space="preserve"> ت</w:t>
      </w:r>
      <w:r w:rsidRPr="002668DA">
        <w:rPr>
          <w:rtl/>
        </w:rPr>
        <w:t>حقيق أهداف التنمية المستدامة، من خلال استخدام</w:t>
      </w:r>
      <w:r w:rsidRPr="000B3A37">
        <w:rPr>
          <w:rFonts w:hint="cs"/>
          <w:rtl/>
        </w:rPr>
        <w:t xml:space="preserve"> النُهج القائمة على النظم الإيكولوجية بشأن التكيف مع تغير المناخ والتخفيف</w:t>
      </w:r>
      <w:r>
        <w:rPr>
          <w:rFonts w:hint="cs"/>
          <w:rtl/>
        </w:rPr>
        <w:t xml:space="preserve">، والحد </w:t>
      </w:r>
      <w:r w:rsidRPr="000B3A37">
        <w:rPr>
          <w:rFonts w:hint="cs"/>
          <w:rtl/>
        </w:rPr>
        <w:t xml:space="preserve">من </w:t>
      </w:r>
      <w:r w:rsidRPr="002668DA">
        <w:rPr>
          <w:rtl/>
        </w:rPr>
        <w:t>مخاطر الكوارث</w:t>
      </w:r>
      <w:r>
        <w:rPr>
          <w:rFonts w:hint="cs"/>
          <w:rtl/>
        </w:rPr>
        <w:t>،</w:t>
      </w:r>
      <w:r w:rsidRPr="002668DA">
        <w:rPr>
          <w:rtl/>
        </w:rPr>
        <w:t xml:space="preserve"> ومكافحة تدهور الأراضي</w:t>
      </w:r>
      <w:r>
        <w:rPr>
          <w:rFonts w:hint="cs"/>
          <w:rtl/>
        </w:rPr>
        <w:t>، التي تظهر بوضوح كيفية اعتماد تحقيق أهداف التنمية المستدامة، والخطة الاستراتيجية للتنوع البيولوجي 2011-2020 واتفاق باريس، على البيئة بجميع تنوعها وتعقدها</w:t>
      </w:r>
      <w:r w:rsidRPr="000B3A37">
        <w:rPr>
          <w:rFonts w:hint="cs"/>
          <w:rtl/>
        </w:rPr>
        <w:t>؛</w:t>
      </w:r>
    </w:p>
    <w:p w:rsidR="00023979" w:rsidRPr="000B3A37" w:rsidRDefault="00023979" w:rsidP="00CD26C5">
      <w:pPr>
        <w:numPr>
          <w:ilvl w:val="0"/>
          <w:numId w:val="100"/>
        </w:numPr>
        <w:spacing w:after="100" w:line="204" w:lineRule="auto"/>
        <w:ind w:left="0" w:firstLine="720"/>
      </w:pPr>
      <w:r>
        <w:rPr>
          <w:rFonts w:hint="cs"/>
          <w:i/>
          <w:iCs/>
          <w:rtl/>
        </w:rPr>
        <w:t>يحيط علما مع القلق</w:t>
      </w:r>
      <w:r w:rsidRPr="002668DA">
        <w:rPr>
          <w:rtl/>
        </w:rPr>
        <w:t xml:space="preserve"> </w:t>
      </w:r>
      <w:r>
        <w:rPr>
          <w:rFonts w:hint="cs"/>
          <w:rtl/>
        </w:rPr>
        <w:t xml:space="preserve">بنتائج </w:t>
      </w:r>
      <w:r w:rsidRPr="002668DA">
        <w:rPr>
          <w:rtl/>
        </w:rPr>
        <w:t xml:space="preserve">التقرير المعنون </w:t>
      </w:r>
      <w:r w:rsidRPr="006B0D65">
        <w:rPr>
          <w:i/>
          <w:iCs/>
          <w:rtl/>
        </w:rPr>
        <w:t>الاحترار العالمي البالغ 1</w:t>
      </w:r>
      <w:r>
        <w:rPr>
          <w:rFonts w:hint="cs"/>
          <w:i/>
          <w:iCs/>
          <w:rtl/>
        </w:rPr>
        <w:t>,</w:t>
      </w:r>
      <w:r w:rsidRPr="006B0D65">
        <w:rPr>
          <w:i/>
          <w:iCs/>
          <w:rtl/>
        </w:rPr>
        <w:t xml:space="preserve">5 درجة مئوية، تقرير خاص </w:t>
      </w:r>
      <w:r w:rsidRPr="006B0D65">
        <w:rPr>
          <w:rFonts w:hint="cs"/>
          <w:i/>
          <w:iCs/>
          <w:rtl/>
        </w:rPr>
        <w:t>با</w:t>
      </w:r>
      <w:r w:rsidRPr="006B0D65">
        <w:rPr>
          <w:i/>
          <w:iCs/>
          <w:rtl/>
        </w:rPr>
        <w:t xml:space="preserve">لهيئة الحكومية الدولية المعنية بتغير المناخ عن آثار الاحترار العالمي </w:t>
      </w:r>
      <w:r w:rsidRPr="006B0D65">
        <w:rPr>
          <w:rFonts w:hint="cs"/>
          <w:i/>
          <w:iCs/>
          <w:rtl/>
        </w:rPr>
        <w:t>لدرجة حرارة أعلى من مستويات ما قبل الحقبة الصناعية بمقدار 1.5 درجة مئوية ومسارات انبعاثات غازات الاحتباس الحراري العالمية ذات الصلة</w:t>
      </w:r>
      <w:r w:rsidRPr="006B0D65">
        <w:rPr>
          <w:i/>
          <w:iCs/>
          <w:rtl/>
        </w:rPr>
        <w:t>، في سياق تعزيز الاستجابة العالمية لتهديد تغير المناخ، والتنمية المستدامة، والجهود المبذولة للقضاء على الفقر</w:t>
      </w:r>
      <w:r w:rsidRPr="002668DA">
        <w:rPr>
          <w:rtl/>
        </w:rPr>
        <w:t>،</w:t>
      </w:r>
      <w:r>
        <w:rPr>
          <w:rStyle w:val="FootnoteReference"/>
          <w:rtl/>
        </w:rPr>
        <w:footnoteReference w:id="49"/>
      </w:r>
      <w:r w:rsidRPr="002668DA">
        <w:rPr>
          <w:rtl/>
        </w:rPr>
        <w:t xml:space="preserve"> </w:t>
      </w:r>
      <w:r w:rsidRPr="00CF2D9E">
        <w:rPr>
          <w:i/>
          <w:iCs/>
          <w:rtl/>
        </w:rPr>
        <w:t>و</w:t>
      </w:r>
      <w:r>
        <w:rPr>
          <w:rFonts w:hint="cs"/>
          <w:i/>
          <w:iCs/>
          <w:rtl/>
        </w:rPr>
        <w:t>ي</w:t>
      </w:r>
      <w:r w:rsidRPr="00CF2D9E">
        <w:rPr>
          <w:i/>
          <w:iCs/>
          <w:rtl/>
        </w:rPr>
        <w:t xml:space="preserve">شجع </w:t>
      </w:r>
      <w:r w:rsidRPr="002668DA">
        <w:rPr>
          <w:rtl/>
        </w:rPr>
        <w:t xml:space="preserve">الأطراف على </w:t>
      </w:r>
      <w:r>
        <w:rPr>
          <w:rFonts w:hint="cs"/>
          <w:rtl/>
        </w:rPr>
        <w:t>مراعاة</w:t>
      </w:r>
      <w:r w:rsidRPr="002668DA">
        <w:rPr>
          <w:rtl/>
        </w:rPr>
        <w:t xml:space="preserve"> النتائج الرئيسية التي تدعم الن</w:t>
      </w:r>
      <w:r>
        <w:rPr>
          <w:rFonts w:hint="cs"/>
          <w:rtl/>
        </w:rPr>
        <w:t>ُ</w:t>
      </w:r>
      <w:r w:rsidRPr="002668DA">
        <w:rPr>
          <w:rtl/>
        </w:rPr>
        <w:t>هج القائمة على النظم الإيكولوجي</w:t>
      </w:r>
      <w:r>
        <w:rPr>
          <w:rFonts w:hint="cs"/>
          <w:rtl/>
        </w:rPr>
        <w:t>ة</w:t>
      </w:r>
      <w:r w:rsidRPr="002668DA">
        <w:rPr>
          <w:rtl/>
        </w:rPr>
        <w:t xml:space="preserve"> للتكيف مع تغير المناخ</w:t>
      </w:r>
      <w:r>
        <w:rPr>
          <w:rFonts w:hint="cs"/>
          <w:rtl/>
        </w:rPr>
        <w:t xml:space="preserve"> والتخفيف من حدته</w:t>
      </w:r>
      <w:r w:rsidRPr="002668DA">
        <w:rPr>
          <w:rtl/>
        </w:rPr>
        <w:t xml:space="preserve"> والحد من مخاطر الكوارث؛</w:t>
      </w:r>
      <w:r>
        <w:t xml:space="preserve"> </w:t>
      </w:r>
    </w:p>
    <w:p w:rsidR="00023979" w:rsidRPr="000B3A37" w:rsidRDefault="00023979" w:rsidP="00CD26C5">
      <w:pPr>
        <w:numPr>
          <w:ilvl w:val="0"/>
          <w:numId w:val="100"/>
        </w:numPr>
        <w:spacing w:after="100" w:line="204" w:lineRule="auto"/>
        <w:ind w:left="0" w:firstLine="720"/>
      </w:pPr>
      <w:r w:rsidRPr="000B3A37">
        <w:rPr>
          <w:rFonts w:hint="cs"/>
          <w:i/>
          <w:iCs/>
          <w:rtl/>
        </w:rPr>
        <w:t>يشجع</w:t>
      </w:r>
      <w:r w:rsidRPr="000B3A37">
        <w:rPr>
          <w:rFonts w:hint="cs"/>
          <w:rtl/>
        </w:rPr>
        <w:t xml:space="preserve"> الأطراف على التعاون في مجال حفظ الأراضي الرطبة واستعادتها واستخدامها الرشيد/المستدام، للاعتراف بأهميتها في سياق تغير المناخ والحد من مخاطر الكوارث</w:t>
      </w:r>
      <w:r>
        <w:rPr>
          <w:rFonts w:hint="cs"/>
          <w:rtl/>
        </w:rPr>
        <w:t>،</w:t>
      </w:r>
      <w:r w:rsidRPr="000B3A37">
        <w:rPr>
          <w:rFonts w:hint="cs"/>
          <w:rtl/>
        </w:rPr>
        <w:t xml:space="preserve"> و</w:t>
      </w:r>
      <w:r>
        <w:rPr>
          <w:rFonts w:hint="cs"/>
          <w:rtl/>
        </w:rPr>
        <w:t xml:space="preserve">على </w:t>
      </w:r>
      <w:r w:rsidRPr="000B3A37">
        <w:rPr>
          <w:rFonts w:hint="cs"/>
          <w:rtl/>
        </w:rPr>
        <w:t xml:space="preserve">دعم </w:t>
      </w:r>
      <w:r>
        <w:rPr>
          <w:rFonts w:hint="cs"/>
          <w:rtl/>
        </w:rPr>
        <w:t>العملية من أجل وضع</w:t>
      </w:r>
      <w:r w:rsidRPr="000B3A37">
        <w:rPr>
          <w:rFonts w:hint="cs"/>
          <w:rtl/>
        </w:rPr>
        <w:t xml:space="preserve"> إعلان مشترك</w:t>
      </w:r>
      <w:r>
        <w:rPr>
          <w:rFonts w:hint="cs"/>
          <w:rtl/>
        </w:rPr>
        <w:t xml:space="preserve"> </w:t>
      </w:r>
      <w:r w:rsidRPr="009837BE">
        <w:rPr>
          <w:rtl/>
        </w:rPr>
        <w:t>للاتفاقات البيئية متعددة الأطراف</w:t>
      </w:r>
      <w:r w:rsidRPr="000B3A37">
        <w:rPr>
          <w:rFonts w:hint="cs"/>
          <w:rtl/>
        </w:rPr>
        <w:t xml:space="preserve"> </w:t>
      </w:r>
      <w:r>
        <w:rPr>
          <w:rFonts w:hint="cs"/>
          <w:rtl/>
        </w:rPr>
        <w:t>فيما يتعلق</w:t>
      </w:r>
      <w:r w:rsidRPr="000B3A37">
        <w:rPr>
          <w:rFonts w:hint="cs"/>
          <w:rtl/>
        </w:rPr>
        <w:t xml:space="preserve"> </w:t>
      </w:r>
      <w:r>
        <w:rPr>
          <w:rFonts w:hint="cs"/>
          <w:rtl/>
        </w:rPr>
        <w:t>ب</w:t>
      </w:r>
      <w:r w:rsidRPr="000B3A37">
        <w:rPr>
          <w:rFonts w:hint="cs"/>
          <w:rtl/>
        </w:rPr>
        <w:t>حفظ الأراضي الخثية، واستعادتها واستخدامها الرشيد</w:t>
      </w:r>
      <w:r>
        <w:rPr>
          <w:rFonts w:ascii="Arial" w:hAnsi="Arial" w:cs="Arial" w:hint="cs"/>
          <w:color w:val="222222"/>
          <w:rtl/>
        </w:rPr>
        <w:t>،</w:t>
      </w:r>
      <w:r w:rsidRPr="009837BE">
        <w:rPr>
          <w:rFonts w:ascii="Arial" w:hAnsi="Arial" w:cs="Arial"/>
          <w:color w:val="222222"/>
          <w:rtl/>
        </w:rPr>
        <w:t xml:space="preserve"> </w:t>
      </w:r>
      <w:r w:rsidRPr="009837BE">
        <w:rPr>
          <w:rtl/>
        </w:rPr>
        <w:t>وبالتالي حما</w:t>
      </w:r>
      <w:r>
        <w:rPr>
          <w:rtl/>
        </w:rPr>
        <w:t>ية المنافع المتعددة لأراضي الخث</w:t>
      </w:r>
      <w:r w:rsidRPr="009837BE">
        <w:rPr>
          <w:rtl/>
        </w:rPr>
        <w:t>، بما في ذلك الأراضي الخثية المستعادة و</w:t>
      </w:r>
      <w:r>
        <w:rPr>
          <w:rFonts w:hint="cs"/>
          <w:rtl/>
        </w:rPr>
        <w:t>التي تساهم</w:t>
      </w:r>
      <w:r w:rsidRPr="009837BE">
        <w:rPr>
          <w:rtl/>
        </w:rPr>
        <w:t xml:space="preserve"> في تحقيق أهداف التنمية المستدامة</w:t>
      </w:r>
      <w:r w:rsidRPr="000B3A37">
        <w:rPr>
          <w:rFonts w:hint="cs"/>
          <w:rtl/>
        </w:rPr>
        <w:t>؛</w:t>
      </w:r>
    </w:p>
    <w:p w:rsidR="00023979" w:rsidRPr="000B3A37" w:rsidRDefault="00023979" w:rsidP="00CD26C5">
      <w:pPr>
        <w:numPr>
          <w:ilvl w:val="0"/>
          <w:numId w:val="100"/>
        </w:numPr>
        <w:spacing w:after="100" w:line="204" w:lineRule="auto"/>
        <w:ind w:left="0" w:firstLine="720"/>
      </w:pPr>
      <w:r w:rsidRPr="000B3A37">
        <w:rPr>
          <w:rFonts w:hint="cs"/>
          <w:i/>
          <w:iCs/>
          <w:rtl/>
        </w:rPr>
        <w:t xml:space="preserve">يدعو </w:t>
      </w:r>
      <w:r w:rsidRPr="000B3A37">
        <w:rPr>
          <w:rFonts w:hint="cs"/>
          <w:rtl/>
        </w:rPr>
        <w:t>الأطراف إلى أن تقدم</w:t>
      </w:r>
      <w:r>
        <w:rPr>
          <w:rFonts w:hint="cs"/>
          <w:rtl/>
        </w:rPr>
        <w:t xml:space="preserve"> </w:t>
      </w:r>
      <w:r w:rsidRPr="000B3A37">
        <w:rPr>
          <w:rFonts w:hint="cs"/>
          <w:rtl/>
        </w:rPr>
        <w:t>معلومات عن الأنشطة المضطلع بها لتنفيذ المبادئ التوجيهية الطوعية لتصميم النُهج القائمة على النظم الإيكولوجية بشأن التكيف مع تغير المناخ والحد من مخاطر الكوارث</w:t>
      </w:r>
      <w:r>
        <w:rPr>
          <w:rFonts w:hint="cs"/>
          <w:rtl/>
        </w:rPr>
        <w:t>،</w:t>
      </w:r>
      <w:r w:rsidRPr="000B3A37">
        <w:rPr>
          <w:rFonts w:hint="cs"/>
          <w:rtl/>
        </w:rPr>
        <w:t xml:space="preserve"> وتنفيذها الفعال والنتائج التي تحققت، وأن تتيح هذه المعلومات من خلال آلية غرفة تبادل المعلومات، ومنابر أخرى ذات صلة؛</w:t>
      </w:r>
    </w:p>
    <w:p w:rsidR="00023979" w:rsidRPr="000B3A37" w:rsidRDefault="00023979" w:rsidP="00CD26C5">
      <w:pPr>
        <w:numPr>
          <w:ilvl w:val="0"/>
          <w:numId w:val="100"/>
        </w:numPr>
        <w:spacing w:after="100" w:line="204" w:lineRule="auto"/>
        <w:ind w:left="0" w:firstLine="720"/>
      </w:pPr>
      <w:r w:rsidRPr="000B3A37">
        <w:rPr>
          <w:rFonts w:hint="cs"/>
          <w:i/>
          <w:iCs/>
          <w:rtl/>
        </w:rPr>
        <w:t>يدعو</w:t>
      </w:r>
      <w:r w:rsidRPr="000B3A37">
        <w:rPr>
          <w:rFonts w:hint="cs"/>
          <w:rtl/>
        </w:rPr>
        <w:t xml:space="preserve"> </w:t>
      </w:r>
      <w:r>
        <w:rPr>
          <w:rFonts w:hint="cs"/>
          <w:rtl/>
        </w:rPr>
        <w:t xml:space="preserve">المنظمات، بما في ذلك </w:t>
      </w:r>
      <w:r w:rsidRPr="000B3A37">
        <w:rPr>
          <w:rFonts w:hint="cs"/>
          <w:rtl/>
        </w:rPr>
        <w:t xml:space="preserve">شبكة أصدقاء التكيف القائم على النظم الإيكولوجية والشراكة من أجل النهوض بالبيئة والحد من مخاطر الكوارث، والأعضاء في كل منهما، إلى مواصلة دعم الأطراف في جهودها الرامية إلى تعزيز </w:t>
      </w:r>
      <w:r w:rsidRPr="000B3A37">
        <w:rPr>
          <w:rFonts w:hint="cs"/>
          <w:rtl/>
        </w:rPr>
        <w:lastRenderedPageBreak/>
        <w:t>النُهج القائمة على النظم الإيكولوجية بشأن التكيف مع تغير المناخ والحد من مخاطر الكوارث</w:t>
      </w:r>
      <w:r>
        <w:rPr>
          <w:rFonts w:hint="cs"/>
          <w:rtl/>
        </w:rPr>
        <w:t>، و</w:t>
      </w:r>
      <w:r w:rsidRPr="000B3A37">
        <w:rPr>
          <w:rFonts w:hint="cs"/>
          <w:rtl/>
        </w:rPr>
        <w:t xml:space="preserve">النُهج القائمة على النظم الإيكولوجية بشأن التكيف مع تغير المناخ والحد من مخاطر الكوارث </w:t>
      </w:r>
      <w:r>
        <w:rPr>
          <w:rFonts w:hint="cs"/>
          <w:rtl/>
        </w:rPr>
        <w:t>لدى الشعوب الأصلية والمجتمعات المحلية</w:t>
      </w:r>
      <w:r w:rsidRPr="000B3A37">
        <w:rPr>
          <w:rFonts w:hint="cs"/>
          <w:rtl/>
        </w:rPr>
        <w:t>؛</w:t>
      </w:r>
    </w:p>
    <w:p w:rsidR="00023979" w:rsidRPr="000B3A37" w:rsidRDefault="00023979" w:rsidP="00CD26C5">
      <w:pPr>
        <w:numPr>
          <w:ilvl w:val="0"/>
          <w:numId w:val="100"/>
        </w:numPr>
        <w:spacing w:after="100" w:line="204" w:lineRule="auto"/>
        <w:ind w:left="0" w:firstLine="720"/>
      </w:pPr>
      <w:r w:rsidRPr="000B3A37">
        <w:rPr>
          <w:rFonts w:hint="cs"/>
          <w:i/>
          <w:iCs/>
          <w:rtl/>
        </w:rPr>
        <w:t xml:space="preserve">يطلب </w:t>
      </w:r>
      <w:r w:rsidRPr="000B3A37">
        <w:rPr>
          <w:rFonts w:hint="cs"/>
          <w:rtl/>
        </w:rPr>
        <w:t>إلى</w:t>
      </w:r>
      <w:r w:rsidRPr="000B3A37">
        <w:rPr>
          <w:rFonts w:hint="cs"/>
          <w:i/>
          <w:iCs/>
          <w:rtl/>
        </w:rPr>
        <w:t xml:space="preserve"> </w:t>
      </w:r>
      <w:r w:rsidRPr="000B3A37">
        <w:rPr>
          <w:rFonts w:hint="cs"/>
          <w:rtl/>
        </w:rPr>
        <w:t xml:space="preserve">الأمينة التنفيذية أن تقوم، رهنا بتوافر الموارد، </w:t>
      </w:r>
      <w:r w:rsidRPr="000B3A37">
        <w:rPr>
          <w:rFonts w:hint="cs"/>
          <w:i/>
          <w:iCs/>
          <w:rtl/>
        </w:rPr>
        <w:t>ويدعو</w:t>
      </w:r>
      <w:r w:rsidRPr="000B3A37">
        <w:rPr>
          <w:rFonts w:hint="cs"/>
          <w:rtl/>
        </w:rPr>
        <w:t xml:space="preserve"> الأطراف، والحكومات الأخرى والمنظمات الدولية التي هي في وضع يسمح لها القيام بذلك، بدعم الأطراف في الاضطلاع بالنُهج القائمة على النظم الإيكولوجية بشأن التكيف مع تغير المناخ والحد من مخاطر الكوارث من خلال الاستفادة، ضمن جملة أمور، من المبادئ التوجيهية الطوعية لتصميم النُهج القائمة على النظم الإيكولوجية بشأن التكيف مع تغير المناخ والحد من مخاطر الكوارث وتنفيذها الفعال على جميع المستويات ذات الصلة ومن خلال ما يلي، ضمن جملة أمور:</w:t>
      </w:r>
    </w:p>
    <w:p w:rsidR="00023979" w:rsidRPr="000B3A37" w:rsidRDefault="00023979" w:rsidP="00CD26C5">
      <w:pPr>
        <w:numPr>
          <w:ilvl w:val="0"/>
          <w:numId w:val="105"/>
        </w:numPr>
        <w:spacing w:after="100" w:line="204" w:lineRule="auto"/>
        <w:ind w:left="0" w:firstLine="720"/>
        <w:rPr>
          <w:rFonts w:ascii="Simplified Arabic" w:eastAsia="Malgun Gothic" w:hAnsi="Simplified Arabic"/>
          <w:rtl/>
          <w:lang w:val="en-GB"/>
        </w:rPr>
      </w:pPr>
      <w:r w:rsidRPr="000B3A37">
        <w:rPr>
          <w:rFonts w:ascii="Simplified Arabic" w:eastAsia="Malgun Gothic" w:hAnsi="Simplified Arabic"/>
          <w:rtl/>
          <w:lang w:val="en-GB"/>
        </w:rPr>
        <w:t>توفير بناء القدرات</w:t>
      </w:r>
      <w:r>
        <w:rPr>
          <w:rFonts w:ascii="Simplified Arabic" w:eastAsia="Malgun Gothic" w:hAnsi="Simplified Arabic" w:hint="cs"/>
          <w:rtl/>
          <w:lang w:val="en-GB"/>
        </w:rPr>
        <w:t xml:space="preserve"> وتيسير الحصول على التكنولوجيا، عند الاقتضاء</w:t>
      </w:r>
      <w:r w:rsidRPr="000B3A37">
        <w:rPr>
          <w:rFonts w:ascii="Simplified Arabic" w:eastAsia="Malgun Gothic" w:hAnsi="Simplified Arabic"/>
          <w:rtl/>
          <w:lang w:val="en-GB"/>
        </w:rPr>
        <w:t>؛</w:t>
      </w:r>
    </w:p>
    <w:p w:rsidR="00023979" w:rsidRPr="000B3A37" w:rsidRDefault="00023979" w:rsidP="00CD26C5">
      <w:pPr>
        <w:numPr>
          <w:ilvl w:val="0"/>
          <w:numId w:val="105"/>
        </w:numPr>
        <w:spacing w:after="100" w:line="204" w:lineRule="auto"/>
        <w:ind w:left="0" w:firstLine="720"/>
        <w:rPr>
          <w:rFonts w:ascii="Simplified Arabic" w:eastAsia="Malgun Gothic" w:hAnsi="Simplified Arabic"/>
          <w:lang w:val="en-GB"/>
        </w:rPr>
      </w:pPr>
      <w:r w:rsidRPr="000B3A37">
        <w:rPr>
          <w:rFonts w:ascii="Simplified Arabic" w:eastAsia="Malgun Gothic" w:hAnsi="Simplified Arabic"/>
          <w:rtl/>
          <w:lang w:val="en-GB"/>
        </w:rPr>
        <w:t xml:space="preserve">تعزيز </w:t>
      </w:r>
      <w:r>
        <w:rPr>
          <w:rFonts w:ascii="Simplified Arabic" w:eastAsia="Malgun Gothic" w:hAnsi="Simplified Arabic" w:hint="cs"/>
          <w:rtl/>
          <w:lang w:val="en-GB"/>
        </w:rPr>
        <w:t xml:space="preserve">زيادة </w:t>
      </w:r>
      <w:r w:rsidRPr="000B3A37">
        <w:rPr>
          <w:rFonts w:ascii="Simplified Arabic" w:eastAsia="Malgun Gothic" w:hAnsi="Simplified Arabic"/>
          <w:rtl/>
          <w:lang w:val="en-GB"/>
        </w:rPr>
        <w:t>التوعية؛</w:t>
      </w:r>
    </w:p>
    <w:p w:rsidR="00023979" w:rsidRPr="000B3A37" w:rsidRDefault="00023979" w:rsidP="00023979">
      <w:pPr>
        <w:spacing w:after="100" w:line="204" w:lineRule="auto"/>
        <w:ind w:firstLine="720"/>
        <w:rPr>
          <w:rFonts w:ascii="Simplified Arabic" w:eastAsia="Malgun Gothic" w:hAnsi="Simplified Arabic"/>
          <w:rtl/>
          <w:lang w:val="en-GB"/>
        </w:rPr>
      </w:pPr>
      <w:r w:rsidRPr="000B3A37">
        <w:rPr>
          <w:rFonts w:ascii="Simplified Arabic" w:eastAsia="Malgun Gothic" w:hAnsi="Simplified Arabic"/>
          <w:rtl/>
          <w:lang w:val="en-GB"/>
        </w:rPr>
        <w:t>(ج)</w:t>
      </w:r>
      <w:r w:rsidRPr="000B3A37">
        <w:rPr>
          <w:rFonts w:ascii="Simplified Arabic" w:eastAsia="Malgun Gothic" w:hAnsi="Simplified Arabic"/>
          <w:rtl/>
          <w:lang w:val="en-GB"/>
        </w:rPr>
        <w:tab/>
        <w:t>دعم استخدام الأدوات، بما في ذلك نظم الرصد والمعلومات المجتمعية للشعوب الأصلية والمجتمعات المحلية؛</w:t>
      </w:r>
    </w:p>
    <w:p w:rsidR="00023979" w:rsidRDefault="00023979" w:rsidP="00023979">
      <w:pPr>
        <w:spacing w:after="100" w:line="204" w:lineRule="auto"/>
        <w:ind w:firstLine="720"/>
        <w:rPr>
          <w:rtl/>
        </w:rPr>
      </w:pPr>
      <w:r w:rsidRPr="000B3A37">
        <w:rPr>
          <w:rFonts w:hint="cs"/>
          <w:rtl/>
        </w:rPr>
        <w:t>(د)</w:t>
      </w:r>
      <w:r w:rsidRPr="000B3A37">
        <w:rPr>
          <w:rFonts w:hint="cs"/>
          <w:rtl/>
        </w:rPr>
        <w:tab/>
        <w:t>دعم، بشكل خاص البلدان النامية، ولا سيما أقل البلدان نموا، والدول الجزرية الصغيرة النامية، مع مراعاة احتياجات البلدان الأكثر ضعفا أمام تغير المناخ؛</w:t>
      </w:r>
    </w:p>
    <w:p w:rsidR="00023979" w:rsidRPr="000B3A37" w:rsidRDefault="00023979" w:rsidP="00023979">
      <w:pPr>
        <w:spacing w:after="100" w:line="204" w:lineRule="auto"/>
        <w:ind w:firstLine="720"/>
        <w:rPr>
          <w:rtl/>
        </w:rPr>
      </w:pPr>
      <w:r>
        <w:rPr>
          <w:rFonts w:hint="cs"/>
          <w:rtl/>
        </w:rPr>
        <w:t>(ه)</w:t>
      </w:r>
      <w:r>
        <w:rPr>
          <w:rFonts w:hint="cs"/>
          <w:rtl/>
        </w:rPr>
        <w:tab/>
      </w:r>
      <w:r w:rsidRPr="003374B0">
        <w:rPr>
          <w:rtl/>
        </w:rPr>
        <w:t xml:space="preserve">دعم تطوير </w:t>
      </w:r>
      <w:r>
        <w:rPr>
          <w:rFonts w:hint="cs"/>
          <w:rtl/>
        </w:rPr>
        <w:t xml:space="preserve">وتنفيذ </w:t>
      </w:r>
      <w:r w:rsidRPr="003374B0">
        <w:rPr>
          <w:rtl/>
        </w:rPr>
        <w:t>المشاريع التجريبية</w:t>
      </w:r>
      <w:r>
        <w:rPr>
          <w:rFonts w:hint="cs"/>
          <w:rtl/>
        </w:rPr>
        <w:t xml:space="preserve"> وزيادة المشروعات القائمة؛</w:t>
      </w:r>
    </w:p>
    <w:p w:rsidR="00023979" w:rsidRPr="000B3A37" w:rsidRDefault="00023979" w:rsidP="00CD26C5">
      <w:pPr>
        <w:numPr>
          <w:ilvl w:val="0"/>
          <w:numId w:val="100"/>
        </w:numPr>
        <w:spacing w:after="100" w:line="204" w:lineRule="auto"/>
        <w:ind w:left="0" w:firstLine="720"/>
      </w:pPr>
      <w:r w:rsidRPr="000B3A37">
        <w:rPr>
          <w:rFonts w:hint="cs"/>
          <w:i/>
          <w:iCs/>
          <w:rtl/>
        </w:rPr>
        <w:t>يطلب</w:t>
      </w:r>
      <w:r w:rsidRPr="000B3A37">
        <w:rPr>
          <w:rFonts w:hint="cs"/>
          <w:rtl/>
        </w:rPr>
        <w:t xml:space="preserve"> إلى الأمينة التنفيذية أن تقوم بما يلي، بالتعاون مع الأطراف، والحكومات الأخرى، وأمانات الاتفاقات البيئية المتعددة الأطراف الأخرى ذا</w:t>
      </w:r>
      <w:r w:rsidRPr="000B3A37">
        <w:rPr>
          <w:rtl/>
        </w:rPr>
        <w:t>ت</w:t>
      </w:r>
      <w:r w:rsidRPr="000B3A37">
        <w:rPr>
          <w:rFonts w:hint="cs"/>
          <w:rtl/>
        </w:rPr>
        <w:t xml:space="preserve"> الصلة، والمنظمات الأخرى:</w:t>
      </w:r>
    </w:p>
    <w:p w:rsidR="00023979" w:rsidRPr="000B3A37" w:rsidRDefault="00023979" w:rsidP="00023979">
      <w:pPr>
        <w:spacing w:after="100" w:line="204" w:lineRule="auto"/>
        <w:ind w:firstLine="720"/>
        <w:rPr>
          <w:rtl/>
        </w:rPr>
      </w:pPr>
      <w:r w:rsidRPr="000B3A37">
        <w:rPr>
          <w:rFonts w:hint="cs"/>
          <w:rtl/>
        </w:rPr>
        <w:t>(أ)</w:t>
      </w:r>
      <w:r w:rsidRPr="000B3A37">
        <w:rPr>
          <w:rFonts w:hint="cs"/>
          <w:rtl/>
        </w:rPr>
        <w:tab/>
        <w:t>تحديث الإرشادات والأدوات والمعلومات عن المبادرات المتاحة في المبادئ التوجيهية الطوعية لتصميم النُهج القائمة على النظم الإيكولوجية بشأن التكيف مع تغير المناخ والحد من مخاطر الكوارث وتنفيذها الفعال،</w:t>
      </w:r>
      <w:r w:rsidRPr="000B3A37">
        <w:rPr>
          <w:vertAlign w:val="superscript"/>
          <w:rtl/>
        </w:rPr>
        <w:footnoteReference w:id="50"/>
      </w:r>
      <w:r w:rsidRPr="000B3A37">
        <w:rPr>
          <w:rFonts w:hint="cs"/>
          <w:rtl/>
        </w:rPr>
        <w:t xml:space="preserve"> حسب الضرورة، واستنادا إلى المعلومات التي تقدمها الأطراف وفقا للفقرة </w:t>
      </w:r>
      <w:r>
        <w:rPr>
          <w:rFonts w:hint="cs"/>
          <w:rtl/>
        </w:rPr>
        <w:t>9 أعلاه</w:t>
      </w:r>
      <w:r w:rsidRPr="000B3A37">
        <w:rPr>
          <w:rFonts w:hint="cs"/>
          <w:rtl/>
        </w:rPr>
        <w:t>؛</w:t>
      </w:r>
    </w:p>
    <w:p w:rsidR="00023979" w:rsidRPr="000B3A37" w:rsidRDefault="00023979" w:rsidP="00023979">
      <w:pPr>
        <w:spacing w:after="100" w:line="204" w:lineRule="auto"/>
        <w:ind w:firstLine="720"/>
        <w:rPr>
          <w:rtl/>
        </w:rPr>
      </w:pPr>
      <w:r w:rsidRPr="000B3A37">
        <w:rPr>
          <w:rFonts w:hint="cs"/>
          <w:rtl/>
        </w:rPr>
        <w:t>(ب)</w:t>
      </w:r>
      <w:r w:rsidRPr="000B3A37">
        <w:rPr>
          <w:rFonts w:hint="cs"/>
          <w:rtl/>
        </w:rPr>
        <w:tab/>
        <w:t>تجميع دراسات الحالة على المستو</w:t>
      </w:r>
      <w:r>
        <w:rPr>
          <w:rFonts w:hint="cs"/>
          <w:rtl/>
        </w:rPr>
        <w:t>يات</w:t>
      </w:r>
      <w:r w:rsidRPr="000B3A37">
        <w:rPr>
          <w:rFonts w:hint="cs"/>
          <w:rtl/>
        </w:rPr>
        <w:t xml:space="preserve"> الوطني والإقليمي والدولي بشأن تنفيذ النُهج القائمة على النظم الإيكولوجية بشأن التكيف مع تغير المناخ والحد من مخاطر الكوارث؛</w:t>
      </w:r>
    </w:p>
    <w:p w:rsidR="00023979" w:rsidRPr="000B3A37" w:rsidRDefault="00023979" w:rsidP="00023979">
      <w:pPr>
        <w:spacing w:after="100" w:line="204" w:lineRule="auto"/>
        <w:ind w:firstLine="720"/>
        <w:rPr>
          <w:rtl/>
        </w:rPr>
      </w:pPr>
      <w:r w:rsidRPr="000B3A37">
        <w:rPr>
          <w:rFonts w:hint="cs"/>
          <w:rtl/>
        </w:rPr>
        <w:t>(ج)</w:t>
      </w:r>
      <w:r w:rsidRPr="000B3A37">
        <w:rPr>
          <w:rFonts w:hint="cs"/>
          <w:rtl/>
        </w:rPr>
        <w:tab/>
        <w:t>إتاحة ما ورد أعلاه من خلال آلية غرفة تبادل المعلومات؛</w:t>
      </w:r>
    </w:p>
    <w:p w:rsidR="00023979" w:rsidRPr="000B3A37" w:rsidRDefault="00023979" w:rsidP="00CD26C5">
      <w:pPr>
        <w:numPr>
          <w:ilvl w:val="0"/>
          <w:numId w:val="100"/>
        </w:numPr>
        <w:spacing w:after="100" w:line="204" w:lineRule="auto"/>
        <w:ind w:left="0" w:firstLine="720"/>
      </w:pPr>
      <w:r w:rsidRPr="000B3A37">
        <w:rPr>
          <w:rFonts w:hint="cs"/>
          <w:i/>
          <w:iCs/>
          <w:rtl/>
        </w:rPr>
        <w:t>يطلب أيضا</w:t>
      </w:r>
      <w:r w:rsidRPr="000B3A37">
        <w:rPr>
          <w:rFonts w:hint="cs"/>
          <w:rtl/>
        </w:rPr>
        <w:t xml:space="preserve"> إلى الأمينة التنفيذية</w:t>
      </w:r>
      <w:r>
        <w:rPr>
          <w:rFonts w:hint="cs"/>
          <w:rtl/>
        </w:rPr>
        <w:t>، بالتشاور مع الهيئة</w:t>
      </w:r>
      <w:r w:rsidRPr="003374B0">
        <w:rPr>
          <w:rtl/>
        </w:rPr>
        <w:t xml:space="preserve"> الحكومي</w:t>
      </w:r>
      <w:r>
        <w:rPr>
          <w:rFonts w:hint="cs"/>
          <w:rtl/>
        </w:rPr>
        <w:t>ة</w:t>
      </w:r>
      <w:r w:rsidRPr="003374B0">
        <w:rPr>
          <w:rtl/>
        </w:rPr>
        <w:t xml:space="preserve"> الدولي</w:t>
      </w:r>
      <w:r>
        <w:rPr>
          <w:rFonts w:hint="cs"/>
          <w:rtl/>
        </w:rPr>
        <w:t>ة</w:t>
      </w:r>
      <w:r w:rsidRPr="003374B0">
        <w:rPr>
          <w:rtl/>
        </w:rPr>
        <w:t xml:space="preserve"> المعني</w:t>
      </w:r>
      <w:r>
        <w:rPr>
          <w:rFonts w:hint="cs"/>
          <w:rtl/>
        </w:rPr>
        <w:t>ة</w:t>
      </w:r>
      <w:r w:rsidRPr="003374B0">
        <w:rPr>
          <w:rtl/>
        </w:rPr>
        <w:t xml:space="preserve"> بتغير المناخ</w:t>
      </w:r>
      <w:r w:rsidRPr="000B3A37">
        <w:rPr>
          <w:rFonts w:hint="cs"/>
          <w:rtl/>
        </w:rPr>
        <w:t xml:space="preserve"> القيام بما يلي، رهنا بتوافر الموارد:</w:t>
      </w:r>
    </w:p>
    <w:p w:rsidR="00023979" w:rsidRPr="003374B0" w:rsidRDefault="00023979" w:rsidP="00CD26C5">
      <w:pPr>
        <w:pStyle w:val="ListParagraph"/>
        <w:numPr>
          <w:ilvl w:val="0"/>
          <w:numId w:val="108"/>
        </w:numPr>
        <w:bidi/>
        <w:spacing w:after="100" w:line="204" w:lineRule="auto"/>
        <w:ind w:left="0" w:firstLine="720"/>
        <w:rPr>
          <w:rFonts w:eastAsia="YouYuan" w:cs="Simplified Arabic"/>
          <w:kern w:val="2"/>
          <w:sz w:val="24"/>
          <w:rtl/>
        </w:rPr>
      </w:pPr>
      <w:r w:rsidRPr="003374B0">
        <w:rPr>
          <w:rFonts w:eastAsia="YouYuan" w:cs="Simplified Arabic" w:hint="cs"/>
          <w:kern w:val="2"/>
          <w:sz w:val="24"/>
          <w:rtl/>
        </w:rPr>
        <w:t xml:space="preserve">استعراض المعلومات العلمية والتقنية الجديدة، </w:t>
      </w:r>
      <w:r w:rsidRPr="003374B0">
        <w:rPr>
          <w:rFonts w:eastAsia="YouYuan" w:cs="Simplified Arabic"/>
          <w:kern w:val="2"/>
          <w:sz w:val="24"/>
          <w:rtl/>
        </w:rPr>
        <w:t>بما في ذلك عن طريق مراعاة المعارف التقليدية ونتائج</w:t>
      </w:r>
      <w:r w:rsidRPr="003374B0">
        <w:rPr>
          <w:rFonts w:eastAsia="YouYuan" w:cs="Simplified Arabic" w:hint="cs"/>
          <w:kern w:val="2"/>
          <w:sz w:val="24"/>
          <w:rtl/>
        </w:rPr>
        <w:t xml:space="preserve"> </w:t>
      </w:r>
      <w:r w:rsidRPr="003374B0">
        <w:rPr>
          <w:rFonts w:eastAsia="YouYuan" w:cs="Simplified Arabic"/>
          <w:kern w:val="2"/>
          <w:sz w:val="24"/>
          <w:rtl/>
        </w:rPr>
        <w:t>"</w:t>
      </w:r>
      <w:r w:rsidRPr="003374B0">
        <w:rPr>
          <w:rFonts w:eastAsia="YouYuan" w:cs="Simplified Arabic"/>
          <w:i/>
          <w:iCs/>
          <w:kern w:val="2"/>
          <w:sz w:val="24"/>
          <w:rtl/>
        </w:rPr>
        <w:t>الاحترار العالمي البالغ 1</w:t>
      </w:r>
      <w:r>
        <w:rPr>
          <w:rFonts w:eastAsia="YouYuan" w:cs="Simplified Arabic" w:hint="cs"/>
          <w:i/>
          <w:iCs/>
          <w:kern w:val="2"/>
          <w:sz w:val="24"/>
          <w:rtl/>
        </w:rPr>
        <w:t>,5</w:t>
      </w:r>
      <w:r w:rsidRPr="003374B0">
        <w:rPr>
          <w:rFonts w:eastAsia="YouYuan" w:cs="Simplified Arabic"/>
          <w:i/>
          <w:iCs/>
          <w:kern w:val="2"/>
          <w:sz w:val="24"/>
          <w:rtl/>
        </w:rPr>
        <w:t xml:space="preserve"> درجة مئوية، تقرير خاص </w:t>
      </w:r>
      <w:r w:rsidRPr="003374B0">
        <w:rPr>
          <w:rFonts w:eastAsia="YouYuan" w:cs="Simplified Arabic" w:hint="cs"/>
          <w:i/>
          <w:iCs/>
          <w:kern w:val="2"/>
          <w:sz w:val="24"/>
          <w:rtl/>
        </w:rPr>
        <w:t>با</w:t>
      </w:r>
      <w:r w:rsidRPr="003374B0">
        <w:rPr>
          <w:rFonts w:eastAsia="YouYuan" w:cs="Simplified Arabic"/>
          <w:i/>
          <w:iCs/>
          <w:kern w:val="2"/>
          <w:sz w:val="24"/>
          <w:rtl/>
        </w:rPr>
        <w:t xml:space="preserve">لهيئة الحكومية الدولية المعنية بتغير المناخ عن آثار الاحترار العالمي </w:t>
      </w:r>
      <w:r w:rsidRPr="006B0D65">
        <w:rPr>
          <w:rFonts w:eastAsia="YouYuan" w:cs="Simplified Arabic" w:hint="cs"/>
          <w:i/>
          <w:iCs/>
          <w:kern w:val="2"/>
          <w:sz w:val="24"/>
          <w:rtl/>
        </w:rPr>
        <w:t>لدرجة حرارة أعلى من مستويات ما قبل الحقبة الصناعية بمقدار 1.5 درجة مئوية ومسارات انبعاثات غازات الاحتباس الحراري العالمية ذات الصلة</w:t>
      </w:r>
      <w:r w:rsidRPr="003374B0">
        <w:rPr>
          <w:rFonts w:eastAsia="YouYuan" w:cs="Simplified Arabic"/>
          <w:i/>
          <w:iCs/>
          <w:kern w:val="2"/>
          <w:sz w:val="24"/>
          <w:rtl/>
        </w:rPr>
        <w:t>، في سياق تعزيز الاستجابة العالمية لتهديد تغير المناخ، والتنمية المستدامة، والجهود المبذولة للقضاء على الفقر</w:t>
      </w:r>
      <w:r>
        <w:rPr>
          <w:rFonts w:eastAsia="YouYuan" w:cs="Simplified Arabic" w:hint="cs"/>
          <w:kern w:val="2"/>
          <w:sz w:val="24"/>
          <w:rtl/>
        </w:rPr>
        <w:t>،</w:t>
      </w:r>
      <w:r>
        <w:rPr>
          <w:rFonts w:eastAsia="YouYuan" w:cs="Simplified Arabic" w:hint="cs"/>
          <w:kern w:val="2"/>
          <w:sz w:val="24"/>
          <w:vertAlign w:val="superscript"/>
          <w:rtl/>
        </w:rPr>
        <w:t>9</w:t>
      </w:r>
      <w:r w:rsidRPr="003374B0">
        <w:rPr>
          <w:rFonts w:eastAsia="YouYuan" w:cs="Simplified Arabic" w:hint="cs"/>
          <w:kern w:val="2"/>
          <w:sz w:val="24"/>
          <w:rtl/>
        </w:rPr>
        <w:t xml:space="preserve"> فيما يتعلق بما يلي:</w:t>
      </w:r>
    </w:p>
    <w:p w:rsidR="00023979" w:rsidRDefault="00023979" w:rsidP="00CD26C5">
      <w:pPr>
        <w:pStyle w:val="ListParagraph"/>
        <w:numPr>
          <w:ilvl w:val="0"/>
          <w:numId w:val="109"/>
        </w:numPr>
        <w:bidi/>
        <w:spacing w:after="100" w:line="204" w:lineRule="auto"/>
        <w:ind w:left="1440" w:hanging="720"/>
        <w:rPr>
          <w:rFonts w:eastAsia="YouYuan" w:cs="Simplified Arabic"/>
          <w:kern w:val="2"/>
          <w:sz w:val="24"/>
        </w:rPr>
      </w:pPr>
      <w:r w:rsidRPr="006B0D65">
        <w:rPr>
          <w:rFonts w:eastAsia="YouYuan" w:cs="Simplified Arabic" w:hint="cs"/>
          <w:kern w:val="2"/>
          <w:sz w:val="24"/>
          <w:rtl/>
        </w:rPr>
        <w:t>آثار تغير المناخ على التنوع البيولوجي</w:t>
      </w:r>
      <w:r>
        <w:rPr>
          <w:rFonts w:eastAsia="YouYuan" w:cs="Simplified Arabic" w:hint="cs"/>
          <w:kern w:val="2"/>
          <w:sz w:val="24"/>
          <w:rtl/>
        </w:rPr>
        <w:t xml:space="preserve"> والمجتمعات التي تعتمد على خدمات ووظائف النظم الإيكولوجية، ولا سيما الشعوب الأصلية والمجتمعات المحلية؛</w:t>
      </w:r>
    </w:p>
    <w:p w:rsidR="00023979" w:rsidRPr="00C6215F" w:rsidRDefault="00023979" w:rsidP="00CD26C5">
      <w:pPr>
        <w:pStyle w:val="ListParagraph"/>
        <w:numPr>
          <w:ilvl w:val="0"/>
          <w:numId w:val="109"/>
        </w:numPr>
        <w:bidi/>
        <w:spacing w:after="100" w:line="204" w:lineRule="auto"/>
        <w:ind w:left="1440" w:hanging="720"/>
        <w:rPr>
          <w:rFonts w:eastAsia="YouYuan" w:cs="Simplified Arabic"/>
          <w:kern w:val="2"/>
          <w:sz w:val="24"/>
          <w:rtl/>
        </w:rPr>
      </w:pPr>
      <w:r w:rsidRPr="00C6215F">
        <w:rPr>
          <w:rFonts w:eastAsia="YouYuan" w:cs="Simplified Arabic" w:hint="cs"/>
          <w:kern w:val="2"/>
          <w:sz w:val="24"/>
          <w:rtl/>
        </w:rPr>
        <w:t xml:space="preserve">دور النظم الإيكولوجية وسلامتها </w:t>
      </w:r>
      <w:r>
        <w:rPr>
          <w:rFonts w:eastAsia="YouYuan" w:cs="Simplified Arabic" w:hint="cs"/>
          <w:kern w:val="2"/>
          <w:sz w:val="24"/>
          <w:rtl/>
        </w:rPr>
        <w:t xml:space="preserve">بالنسبة </w:t>
      </w:r>
      <w:r w:rsidRPr="00C6215F">
        <w:rPr>
          <w:rFonts w:eastAsia="YouYuan" w:cs="Simplified Arabic" w:hint="cs"/>
          <w:kern w:val="2"/>
          <w:sz w:val="24"/>
          <w:rtl/>
        </w:rPr>
        <w:t>للتكيف مع تغير المناخ والتخفيف من آثاره والحد من مخاطر الكوارث، واستعادة النظم الإيكولوجية والإدارة المستدامة للأراضي</w:t>
      </w:r>
      <w:r>
        <w:rPr>
          <w:rFonts w:eastAsia="YouYuan" w:cs="Simplified Arabic" w:hint="cs"/>
          <w:kern w:val="2"/>
          <w:sz w:val="24"/>
          <w:rtl/>
        </w:rPr>
        <w:t>؛</w:t>
      </w:r>
    </w:p>
    <w:p w:rsidR="00023979" w:rsidRPr="00FE2176" w:rsidRDefault="00023979" w:rsidP="00CD26C5">
      <w:pPr>
        <w:pStyle w:val="ListParagraph"/>
        <w:numPr>
          <w:ilvl w:val="0"/>
          <w:numId w:val="108"/>
        </w:numPr>
        <w:bidi/>
        <w:spacing w:after="100" w:line="204" w:lineRule="auto"/>
        <w:ind w:left="0" w:firstLine="720"/>
        <w:rPr>
          <w:rFonts w:eastAsia="YouYuan" w:cs="Simplified Arabic"/>
          <w:kern w:val="2"/>
          <w:sz w:val="24"/>
          <w:rtl/>
        </w:rPr>
      </w:pPr>
      <w:r w:rsidRPr="00FE2176">
        <w:rPr>
          <w:rFonts w:eastAsia="YouYuan" w:cs="Simplified Arabic" w:hint="cs"/>
          <w:kern w:val="2"/>
          <w:sz w:val="24"/>
          <w:rtl/>
        </w:rPr>
        <w:lastRenderedPageBreak/>
        <w:t>إعداد تقرير عن الانعكاسات المحتملة لما ورد أعلاه على عمل الاتفاقية لكي تنظر فيه الهيئة الفرعية للمشورة العلمية والتقنية والتكنولوجية في اجتماع يعقد قبل الاجتماع الخامس عشر لمؤتمر الأطراف؛</w:t>
      </w:r>
    </w:p>
    <w:p w:rsidR="00023979" w:rsidRPr="00FE2176" w:rsidRDefault="00023979" w:rsidP="00CD26C5">
      <w:pPr>
        <w:pStyle w:val="ListParagraph"/>
        <w:numPr>
          <w:ilvl w:val="0"/>
          <w:numId w:val="108"/>
        </w:numPr>
        <w:bidi/>
        <w:spacing w:after="100" w:line="204" w:lineRule="auto"/>
        <w:ind w:left="0" w:firstLine="720"/>
        <w:rPr>
          <w:rFonts w:eastAsia="YouYuan" w:cs="Simplified Arabic"/>
          <w:kern w:val="2"/>
          <w:sz w:val="24"/>
        </w:rPr>
      </w:pPr>
      <w:r w:rsidRPr="00FE2176">
        <w:rPr>
          <w:rFonts w:eastAsia="YouYuan" w:cs="Simplified Arabic" w:hint="cs"/>
          <w:kern w:val="2"/>
          <w:sz w:val="24"/>
          <w:rtl/>
        </w:rPr>
        <w:t>إ</w:t>
      </w:r>
      <w:r w:rsidRPr="00FE2176">
        <w:rPr>
          <w:rFonts w:eastAsia="YouYuan" w:cs="Simplified Arabic"/>
          <w:kern w:val="2"/>
          <w:sz w:val="24"/>
          <w:rtl/>
        </w:rPr>
        <w:t xml:space="preserve">عداد رسائل مستهدفة حول كيفية مساهمة </w:t>
      </w:r>
      <w:r>
        <w:rPr>
          <w:rFonts w:eastAsia="YouYuan" w:cs="Simplified Arabic"/>
          <w:kern w:val="2"/>
          <w:sz w:val="24"/>
          <w:rtl/>
        </w:rPr>
        <w:t>التنوع البيولوجي و</w:t>
      </w:r>
      <w:r>
        <w:rPr>
          <w:rFonts w:eastAsia="YouYuan" w:cs="Simplified Arabic" w:hint="cs"/>
          <w:kern w:val="2"/>
          <w:sz w:val="24"/>
          <w:rtl/>
        </w:rPr>
        <w:t xml:space="preserve">سلامة </w:t>
      </w:r>
      <w:r>
        <w:rPr>
          <w:rFonts w:eastAsia="YouYuan" w:cs="Simplified Arabic"/>
          <w:kern w:val="2"/>
          <w:sz w:val="24"/>
          <w:rtl/>
        </w:rPr>
        <w:t>النظ</w:t>
      </w:r>
      <w:r w:rsidRPr="00FE2176">
        <w:rPr>
          <w:rFonts w:eastAsia="YouYuan" w:cs="Simplified Arabic"/>
          <w:kern w:val="2"/>
          <w:sz w:val="24"/>
          <w:rtl/>
        </w:rPr>
        <w:t>م الإيكولوجي</w:t>
      </w:r>
      <w:r>
        <w:rPr>
          <w:rFonts w:eastAsia="YouYuan" w:cs="Simplified Arabic" w:hint="cs"/>
          <w:kern w:val="2"/>
          <w:sz w:val="24"/>
          <w:rtl/>
        </w:rPr>
        <w:t>ة</w:t>
      </w:r>
      <w:r w:rsidRPr="00FE2176">
        <w:rPr>
          <w:rFonts w:eastAsia="YouYuan" w:cs="Simplified Arabic"/>
          <w:kern w:val="2"/>
          <w:sz w:val="24"/>
          <w:rtl/>
        </w:rPr>
        <w:t xml:space="preserve"> </w:t>
      </w:r>
      <w:r>
        <w:rPr>
          <w:rFonts w:eastAsia="YouYuan" w:cs="Simplified Arabic" w:hint="cs"/>
          <w:kern w:val="2"/>
          <w:sz w:val="24"/>
          <w:rtl/>
        </w:rPr>
        <w:t xml:space="preserve">ووظائفها وخدماتها </w:t>
      </w:r>
      <w:r w:rsidRPr="00FE2176">
        <w:rPr>
          <w:rFonts w:eastAsia="YouYuan" w:cs="Simplified Arabic"/>
          <w:kern w:val="2"/>
          <w:sz w:val="24"/>
          <w:rtl/>
        </w:rPr>
        <w:t xml:space="preserve">في </w:t>
      </w:r>
      <w:r>
        <w:rPr>
          <w:rFonts w:eastAsia="YouYuan" w:cs="Simplified Arabic" w:hint="cs"/>
          <w:kern w:val="2"/>
          <w:sz w:val="24"/>
          <w:rtl/>
        </w:rPr>
        <w:t>التصدي للتحديات المتعلقة ب</w:t>
      </w:r>
      <w:r w:rsidRPr="00FE2176">
        <w:rPr>
          <w:rFonts w:eastAsia="YouYuan" w:cs="Simplified Arabic"/>
          <w:kern w:val="2"/>
          <w:sz w:val="24"/>
          <w:rtl/>
        </w:rPr>
        <w:t>تغير المناخ</w:t>
      </w:r>
      <w:r>
        <w:rPr>
          <w:rFonts w:eastAsia="YouYuan" w:cs="Simplified Arabic" w:hint="cs"/>
          <w:kern w:val="2"/>
          <w:sz w:val="24"/>
          <w:rtl/>
        </w:rPr>
        <w:t>؛</w:t>
      </w:r>
    </w:p>
    <w:p w:rsidR="00023979" w:rsidRDefault="00023979" w:rsidP="00CD26C5">
      <w:pPr>
        <w:numPr>
          <w:ilvl w:val="0"/>
          <w:numId w:val="100"/>
        </w:numPr>
        <w:spacing w:after="100" w:line="204" w:lineRule="auto"/>
        <w:ind w:left="0" w:firstLine="720"/>
      </w:pPr>
      <w:r w:rsidRPr="000B3A37">
        <w:rPr>
          <w:rFonts w:hint="cs"/>
          <w:i/>
          <w:iCs/>
          <w:rtl/>
        </w:rPr>
        <w:t>يطلب كذلك</w:t>
      </w:r>
      <w:r w:rsidRPr="000B3A37">
        <w:rPr>
          <w:rFonts w:hint="cs"/>
          <w:rtl/>
        </w:rPr>
        <w:t xml:space="preserve"> إلى الأمينة التنفيذية أن</w:t>
      </w:r>
      <w:r>
        <w:rPr>
          <w:rFonts w:hint="cs"/>
          <w:rtl/>
        </w:rPr>
        <w:t>:</w:t>
      </w:r>
    </w:p>
    <w:p w:rsidR="00023979" w:rsidRPr="00FE2176" w:rsidRDefault="00023979" w:rsidP="00CD26C5">
      <w:pPr>
        <w:pStyle w:val="ListParagraph"/>
        <w:numPr>
          <w:ilvl w:val="0"/>
          <w:numId w:val="110"/>
        </w:numPr>
        <w:bidi/>
        <w:spacing w:after="100" w:line="204" w:lineRule="auto"/>
        <w:ind w:left="0" w:firstLine="720"/>
        <w:rPr>
          <w:rFonts w:eastAsia="YouYuan" w:cs="Simplified Arabic"/>
          <w:kern w:val="2"/>
          <w:sz w:val="24"/>
        </w:rPr>
      </w:pPr>
      <w:r w:rsidRPr="00FE2176">
        <w:rPr>
          <w:rFonts w:eastAsia="YouYuan" w:cs="Simplified Arabic" w:hint="cs"/>
          <w:kern w:val="2"/>
          <w:sz w:val="24"/>
          <w:rtl/>
        </w:rPr>
        <w:t>تراعي الروابط</w:t>
      </w:r>
      <w:r>
        <w:rPr>
          <w:rFonts w:eastAsia="YouYuan" w:cs="Simplified Arabic" w:hint="cs"/>
          <w:kern w:val="2"/>
          <w:sz w:val="24"/>
          <w:rtl/>
        </w:rPr>
        <w:t xml:space="preserve"> والترابط</w:t>
      </w:r>
      <w:r w:rsidRPr="00FE2176">
        <w:rPr>
          <w:rFonts w:eastAsia="YouYuan" w:cs="Simplified Arabic" w:hint="cs"/>
          <w:kern w:val="2"/>
          <w:sz w:val="24"/>
          <w:rtl/>
        </w:rPr>
        <w:t xml:space="preserve"> بين التنوع البيولوجي وتغير المناخ عند إعداد الإطار العالمي للتنوع البيولوجي لما بعد عام 2020</w:t>
      </w:r>
      <w:r>
        <w:rPr>
          <w:rFonts w:eastAsia="YouYuan" w:cs="Simplified Arabic" w:hint="cs"/>
          <w:kern w:val="2"/>
          <w:sz w:val="24"/>
          <w:rtl/>
        </w:rPr>
        <w:t>، ا</w:t>
      </w:r>
      <w:r w:rsidRPr="00FE2176">
        <w:rPr>
          <w:rFonts w:eastAsia="YouYuan" w:cs="Simplified Arabic"/>
          <w:kern w:val="2"/>
          <w:sz w:val="24"/>
          <w:rtl/>
        </w:rPr>
        <w:t>ستن</w:t>
      </w:r>
      <w:r>
        <w:rPr>
          <w:rFonts w:eastAsia="YouYuan" w:cs="Simplified Arabic" w:hint="cs"/>
          <w:kern w:val="2"/>
          <w:sz w:val="24"/>
          <w:rtl/>
        </w:rPr>
        <w:t>ا</w:t>
      </w:r>
      <w:r w:rsidRPr="00FE2176">
        <w:rPr>
          <w:rFonts w:eastAsia="YouYuan" w:cs="Simplified Arabic"/>
          <w:kern w:val="2"/>
          <w:sz w:val="24"/>
          <w:rtl/>
        </w:rPr>
        <w:t>د</w:t>
      </w:r>
      <w:r>
        <w:rPr>
          <w:rFonts w:eastAsia="YouYuan" w:cs="Simplified Arabic" w:hint="cs"/>
          <w:kern w:val="2"/>
          <w:sz w:val="24"/>
          <w:rtl/>
        </w:rPr>
        <w:t>ا</w:t>
      </w:r>
      <w:r w:rsidRPr="00FE2176">
        <w:rPr>
          <w:rFonts w:eastAsia="YouYuan" w:cs="Simplified Arabic"/>
          <w:kern w:val="2"/>
          <w:sz w:val="24"/>
          <w:rtl/>
        </w:rPr>
        <w:t xml:space="preserve"> إل</w:t>
      </w:r>
      <w:r>
        <w:rPr>
          <w:rFonts w:eastAsia="YouYuan" w:cs="Simplified Arabic" w:hint="cs"/>
          <w:kern w:val="2"/>
          <w:sz w:val="24"/>
          <w:rtl/>
        </w:rPr>
        <w:t>ى</w:t>
      </w:r>
      <w:r w:rsidRPr="00FE2176">
        <w:rPr>
          <w:rFonts w:eastAsia="YouYuan" w:cs="Simplified Arabic"/>
          <w:kern w:val="2"/>
          <w:sz w:val="24"/>
          <w:rtl/>
        </w:rPr>
        <w:t xml:space="preserve"> تقارير وتق</w:t>
      </w:r>
      <w:r>
        <w:rPr>
          <w:rFonts w:eastAsia="YouYuan" w:cs="Simplified Arabic" w:hint="cs"/>
          <w:kern w:val="2"/>
          <w:sz w:val="24"/>
          <w:rtl/>
        </w:rPr>
        <w:t>ييم</w:t>
      </w:r>
      <w:r w:rsidRPr="00FE2176">
        <w:rPr>
          <w:rFonts w:eastAsia="YouYuan" w:cs="Simplified Arabic"/>
          <w:kern w:val="2"/>
          <w:sz w:val="24"/>
          <w:rtl/>
        </w:rPr>
        <w:t>ات ال</w:t>
      </w:r>
      <w:r>
        <w:rPr>
          <w:rFonts w:eastAsia="YouYuan" w:cs="Simplified Arabic" w:hint="cs"/>
          <w:kern w:val="2"/>
          <w:sz w:val="24"/>
          <w:rtl/>
        </w:rPr>
        <w:t>هيئة</w:t>
      </w:r>
      <w:r w:rsidRPr="00FE2176">
        <w:rPr>
          <w:rFonts w:eastAsia="YouYuan" w:cs="Simplified Arabic"/>
          <w:kern w:val="2"/>
          <w:sz w:val="24"/>
          <w:rtl/>
        </w:rPr>
        <w:t xml:space="preserve"> الحكومي</w:t>
      </w:r>
      <w:r>
        <w:rPr>
          <w:rFonts w:eastAsia="YouYuan" w:cs="Simplified Arabic" w:hint="cs"/>
          <w:kern w:val="2"/>
          <w:sz w:val="24"/>
          <w:rtl/>
        </w:rPr>
        <w:t>ة</w:t>
      </w:r>
      <w:r w:rsidRPr="00FE2176">
        <w:rPr>
          <w:rFonts w:eastAsia="YouYuan" w:cs="Simplified Arabic"/>
          <w:kern w:val="2"/>
          <w:sz w:val="24"/>
          <w:rtl/>
        </w:rPr>
        <w:t xml:space="preserve"> الدولي</w:t>
      </w:r>
      <w:r>
        <w:rPr>
          <w:rFonts w:eastAsia="YouYuan" w:cs="Simplified Arabic" w:hint="cs"/>
          <w:kern w:val="2"/>
          <w:sz w:val="24"/>
          <w:rtl/>
        </w:rPr>
        <w:t>ة</w:t>
      </w:r>
      <w:r w:rsidRPr="00FE2176">
        <w:rPr>
          <w:rFonts w:eastAsia="YouYuan" w:cs="Simplified Arabic"/>
          <w:kern w:val="2"/>
          <w:sz w:val="24"/>
          <w:rtl/>
        </w:rPr>
        <w:t xml:space="preserve"> المعني</w:t>
      </w:r>
      <w:r>
        <w:rPr>
          <w:rFonts w:eastAsia="YouYuan" w:cs="Simplified Arabic" w:hint="cs"/>
          <w:kern w:val="2"/>
          <w:sz w:val="24"/>
          <w:rtl/>
        </w:rPr>
        <w:t>ة</w:t>
      </w:r>
      <w:r w:rsidRPr="00FE2176">
        <w:rPr>
          <w:rFonts w:eastAsia="YouYuan" w:cs="Simplified Arabic"/>
          <w:kern w:val="2"/>
          <w:sz w:val="24"/>
          <w:rtl/>
        </w:rPr>
        <w:t xml:space="preserve"> بتغير المناخ والمنبر الحكومي الدولي للعلوم والسياسات في مجال التنوع البيولوجي</w:t>
      </w:r>
      <w:r>
        <w:rPr>
          <w:rFonts w:eastAsia="YouYuan" w:cs="Simplified Arabic"/>
          <w:kern w:val="2"/>
          <w:sz w:val="24"/>
          <w:rtl/>
        </w:rPr>
        <w:t xml:space="preserve"> وخدمات النظام الإيكولوجي دون ا</w:t>
      </w:r>
      <w:r>
        <w:rPr>
          <w:rFonts w:eastAsia="YouYuan" w:cs="Simplified Arabic" w:hint="cs"/>
          <w:kern w:val="2"/>
          <w:sz w:val="24"/>
          <w:rtl/>
        </w:rPr>
        <w:t>لإخلال</w:t>
      </w:r>
      <w:r w:rsidRPr="00FE2176">
        <w:rPr>
          <w:rFonts w:eastAsia="YouYuan" w:cs="Simplified Arabic"/>
          <w:kern w:val="2"/>
          <w:sz w:val="24"/>
          <w:rtl/>
        </w:rPr>
        <w:t xml:space="preserve"> </w:t>
      </w:r>
      <w:r>
        <w:rPr>
          <w:rFonts w:eastAsia="YouYuan" w:cs="Simplified Arabic" w:hint="cs"/>
          <w:kern w:val="2"/>
          <w:sz w:val="24"/>
          <w:rtl/>
        </w:rPr>
        <w:t>ب</w:t>
      </w:r>
      <w:r w:rsidRPr="00FE2176">
        <w:rPr>
          <w:rFonts w:eastAsia="YouYuan" w:cs="Simplified Arabic"/>
          <w:kern w:val="2"/>
          <w:sz w:val="24"/>
          <w:rtl/>
        </w:rPr>
        <w:t xml:space="preserve">عملية تطوير </w:t>
      </w:r>
      <w:r>
        <w:rPr>
          <w:rFonts w:eastAsia="YouYuan" w:cs="Simplified Arabic" w:hint="cs"/>
          <w:kern w:val="2"/>
          <w:sz w:val="24"/>
          <w:rtl/>
        </w:rPr>
        <w:t>ال</w:t>
      </w:r>
      <w:r w:rsidRPr="00FE2176">
        <w:rPr>
          <w:rFonts w:eastAsia="YouYuan" w:cs="Simplified Arabic"/>
          <w:kern w:val="2"/>
          <w:sz w:val="24"/>
          <w:rtl/>
        </w:rPr>
        <w:t>إطار ا</w:t>
      </w:r>
      <w:r>
        <w:rPr>
          <w:rFonts w:eastAsia="YouYuan" w:cs="Simplified Arabic" w:hint="cs"/>
          <w:kern w:val="2"/>
          <w:sz w:val="24"/>
          <w:rtl/>
        </w:rPr>
        <w:t>لعالمي ل</w:t>
      </w:r>
      <w:r w:rsidRPr="00FE2176">
        <w:rPr>
          <w:rFonts w:eastAsia="YouYuan" w:cs="Simplified Arabic"/>
          <w:kern w:val="2"/>
          <w:sz w:val="24"/>
          <w:rtl/>
        </w:rPr>
        <w:t>لتنوع البيولوجي لما بعد</w:t>
      </w:r>
      <w:r>
        <w:rPr>
          <w:rFonts w:eastAsia="YouYuan" w:cs="Simplified Arabic" w:hint="cs"/>
          <w:kern w:val="2"/>
          <w:sz w:val="24"/>
          <w:rtl/>
        </w:rPr>
        <w:t xml:space="preserve"> عام</w:t>
      </w:r>
      <w:r w:rsidRPr="00FE2176">
        <w:rPr>
          <w:rFonts w:eastAsia="YouYuan" w:cs="Simplified Arabic"/>
          <w:kern w:val="2"/>
          <w:sz w:val="24"/>
          <w:rtl/>
        </w:rPr>
        <w:t xml:space="preserve"> 2020، و</w:t>
      </w:r>
      <w:r>
        <w:rPr>
          <w:rFonts w:eastAsia="YouYuan" w:cs="Simplified Arabic" w:hint="cs"/>
          <w:kern w:val="2"/>
          <w:sz w:val="24"/>
          <w:rtl/>
        </w:rPr>
        <w:t xml:space="preserve">مع </w:t>
      </w:r>
      <w:r w:rsidRPr="00FE2176">
        <w:rPr>
          <w:rFonts w:eastAsia="YouYuan" w:cs="Simplified Arabic"/>
          <w:kern w:val="2"/>
          <w:sz w:val="24"/>
          <w:rtl/>
        </w:rPr>
        <w:t>احترام ولايات اتفاقية التنوع البيولوجي واتفاقية الأمم المتحدة الإطارية بشأن تغير المناخ</w:t>
      </w:r>
      <w:r w:rsidRPr="00FE2176">
        <w:rPr>
          <w:rFonts w:eastAsia="YouYuan" w:cs="Simplified Arabic" w:hint="cs"/>
          <w:kern w:val="2"/>
          <w:sz w:val="24"/>
          <w:rtl/>
        </w:rPr>
        <w:t>؛</w:t>
      </w:r>
    </w:p>
    <w:p w:rsidR="00023979" w:rsidRPr="000B3A37" w:rsidRDefault="00023979" w:rsidP="00CD26C5">
      <w:pPr>
        <w:numPr>
          <w:ilvl w:val="0"/>
          <w:numId w:val="110"/>
        </w:numPr>
        <w:spacing w:after="100" w:line="204" w:lineRule="auto"/>
        <w:ind w:left="0" w:firstLine="720"/>
      </w:pPr>
      <w:r w:rsidRPr="000B3A37">
        <w:rPr>
          <w:rFonts w:hint="cs"/>
          <w:rtl/>
        </w:rPr>
        <w:t xml:space="preserve">تتواصل مع أمانات الاتفاقات البيئية المتعددة الأطراف ذات الصلة، بما في ذلك </w:t>
      </w:r>
      <w:r>
        <w:rPr>
          <w:rFonts w:hint="cs"/>
          <w:rtl/>
        </w:rPr>
        <w:t>الآليات المالية المتعددة الأطراف ذات الصلة، و</w:t>
      </w:r>
      <w:r w:rsidRPr="000B3A37">
        <w:rPr>
          <w:rFonts w:hint="cs"/>
          <w:rtl/>
        </w:rPr>
        <w:t>فريق الاتصال المشترك لاتفاقيات ريو وفريق الاتصال للاتفاقيات المتعلقة بالتنوع البيولوجي، من أجل النهوض بأوجه التآزر وتنسيق الأنشطة المتصلة بالتكيف مع تغير المناخ والتخفيف من آثاره</w:t>
      </w:r>
      <w:r>
        <w:rPr>
          <w:rFonts w:hint="cs"/>
          <w:rtl/>
        </w:rPr>
        <w:t xml:space="preserve"> والحد من مخاطر الكوارث</w:t>
      </w:r>
      <w:r w:rsidRPr="000B3A37">
        <w:rPr>
          <w:rFonts w:hint="cs"/>
          <w:rtl/>
        </w:rPr>
        <w:t>، مثل تنظيم الاجتماعات المتعاقبة والأنشطة المشتركة، حسب الاقتضاء؛</w:t>
      </w:r>
    </w:p>
    <w:p w:rsidR="00023979" w:rsidRPr="00DD63DA" w:rsidRDefault="00023979" w:rsidP="00CD26C5">
      <w:pPr>
        <w:pStyle w:val="ListParagraph"/>
        <w:numPr>
          <w:ilvl w:val="0"/>
          <w:numId w:val="100"/>
        </w:numPr>
        <w:bidi/>
        <w:spacing w:after="100" w:line="204" w:lineRule="auto"/>
        <w:ind w:left="0" w:firstLine="720"/>
        <w:rPr>
          <w:rFonts w:eastAsia="YouYuan" w:cs="Simplified Arabic"/>
          <w:kern w:val="2"/>
          <w:sz w:val="24"/>
        </w:rPr>
      </w:pPr>
      <w:r w:rsidRPr="00DD63DA">
        <w:rPr>
          <w:rFonts w:eastAsia="YouYuan" w:cs="Simplified Arabic" w:hint="cs"/>
          <w:i/>
          <w:iCs/>
          <w:kern w:val="2"/>
          <w:sz w:val="24"/>
          <w:rtl/>
        </w:rPr>
        <w:t>يدعو</w:t>
      </w:r>
      <w:r w:rsidRPr="00DD63DA">
        <w:rPr>
          <w:rFonts w:eastAsia="YouYuan" w:cs="Simplified Arabic" w:hint="cs"/>
          <w:kern w:val="2"/>
          <w:sz w:val="24"/>
          <w:rtl/>
        </w:rPr>
        <w:t xml:space="preserve"> الأطراف، والحكومات الأخرى، ومنظمات التمويل والمنظمات ذات الصلة التي هي في وضع يسمح لها القيام بذلك، إلى تقديم الدعم للأنشطة ذات الصلة بالنُهج القائمة على النظم الإيكولوجية بشأن التكيف مع تغير المناخ والحد من مخاطر الكوارث.</w:t>
      </w:r>
    </w:p>
    <w:p w:rsidR="00023979" w:rsidRPr="000B3A37" w:rsidRDefault="00023979" w:rsidP="00023979">
      <w:pPr>
        <w:spacing w:after="100" w:line="204" w:lineRule="auto"/>
        <w:jc w:val="center"/>
        <w:rPr>
          <w:i/>
          <w:iCs/>
          <w:sz w:val="20"/>
          <w:rtl/>
        </w:rPr>
      </w:pPr>
      <w:r w:rsidRPr="000B3A37">
        <w:rPr>
          <w:rFonts w:hint="cs"/>
          <w:i/>
          <w:iCs/>
          <w:sz w:val="20"/>
          <w:rtl/>
        </w:rPr>
        <w:t>المرفق</w:t>
      </w:r>
    </w:p>
    <w:p w:rsidR="00023979" w:rsidRPr="000B3A37" w:rsidRDefault="00023979" w:rsidP="00023979">
      <w:pPr>
        <w:spacing w:after="100" w:line="204" w:lineRule="auto"/>
        <w:ind w:left="2700" w:right="1530" w:hanging="1620"/>
        <w:jc w:val="lowKashida"/>
        <w:rPr>
          <w:b/>
          <w:bCs/>
          <w:rtl/>
        </w:rPr>
      </w:pPr>
      <w:r w:rsidRPr="000B3A37">
        <w:rPr>
          <w:rFonts w:hint="cs"/>
          <w:b/>
          <w:bCs/>
          <w:rtl/>
        </w:rPr>
        <w:t>المبادئ التوجيهية الطوعية لتصميم النُهج القائمة على النظم الإيكولوجية بشأن التكيف مع تغير المناخ والحد من مخاطر الكوارث وتنفيذها الفعال</w:t>
      </w:r>
    </w:p>
    <w:p w:rsidR="00023979" w:rsidRPr="00C6215F" w:rsidRDefault="00023979" w:rsidP="008477DA">
      <w:pPr>
        <w:spacing w:after="80" w:line="199" w:lineRule="auto"/>
        <w:rPr>
          <w:b/>
          <w:bCs/>
          <w:rtl/>
        </w:rPr>
      </w:pPr>
      <w:r w:rsidRPr="00C6215F">
        <w:rPr>
          <w:rFonts w:hint="cs"/>
          <w:b/>
          <w:bCs/>
          <w:rtl/>
        </w:rPr>
        <w:t>جدول المحتويات</w:t>
      </w:r>
    </w:p>
    <w:p w:rsidR="00023979" w:rsidRPr="00C6215F" w:rsidRDefault="00023979" w:rsidP="008477DA">
      <w:pPr>
        <w:spacing w:after="80" w:line="199" w:lineRule="auto"/>
        <w:ind w:left="360" w:hanging="360"/>
        <w:rPr>
          <w:b/>
          <w:bCs/>
          <w:rtl/>
        </w:rPr>
      </w:pPr>
      <w:r w:rsidRPr="00C6215F">
        <w:rPr>
          <w:rFonts w:hint="cs"/>
          <w:b/>
          <w:bCs/>
          <w:rtl/>
        </w:rPr>
        <w:t>1-</w:t>
      </w:r>
      <w:r w:rsidRPr="00C6215F">
        <w:rPr>
          <w:rFonts w:hint="cs"/>
          <w:b/>
          <w:bCs/>
          <w:rtl/>
        </w:rPr>
        <w:tab/>
        <w:t>مقدمة</w:t>
      </w:r>
    </w:p>
    <w:p w:rsidR="00023979" w:rsidRPr="00C6215F" w:rsidRDefault="00023979" w:rsidP="00CD26C5">
      <w:pPr>
        <w:pStyle w:val="ListParagraph"/>
        <w:numPr>
          <w:ilvl w:val="1"/>
          <w:numId w:val="104"/>
        </w:numPr>
        <w:bidi/>
        <w:spacing w:after="80" w:line="199" w:lineRule="auto"/>
        <w:contextualSpacing/>
        <w:jc w:val="left"/>
        <w:rPr>
          <w:rFonts w:cs="Simplified Arabic"/>
          <w:b/>
          <w:bCs/>
          <w:rtl/>
        </w:rPr>
      </w:pPr>
      <w:r w:rsidRPr="00C6215F">
        <w:rPr>
          <w:rFonts w:cs="Simplified Arabic" w:hint="cs"/>
          <w:b/>
          <w:bCs/>
          <w:rtl/>
        </w:rPr>
        <w:t>نظرة عامة على المبادئ التوجيهية الطوعية</w:t>
      </w:r>
    </w:p>
    <w:p w:rsidR="00023979" w:rsidRPr="00C6215F" w:rsidRDefault="00023979" w:rsidP="00CD26C5">
      <w:pPr>
        <w:pStyle w:val="ListParagraph"/>
        <w:numPr>
          <w:ilvl w:val="1"/>
          <w:numId w:val="104"/>
        </w:numPr>
        <w:bidi/>
        <w:spacing w:after="80" w:line="199" w:lineRule="auto"/>
        <w:jc w:val="left"/>
        <w:rPr>
          <w:rFonts w:cs="Simplified Arabic"/>
          <w:b/>
          <w:bCs/>
          <w:rtl/>
        </w:rPr>
      </w:pPr>
      <w:r w:rsidRPr="00C6215F">
        <w:rPr>
          <w:rFonts w:cs="Simplified Arabic" w:hint="cs"/>
          <w:b/>
          <w:bCs/>
          <w:rtl/>
        </w:rPr>
        <w:t>ما هي النُهج القائمة على النظم الإيكولوجية بشأن التكيف مع تغير المناخ والحد من مخاطر الكوارث؟</w:t>
      </w:r>
    </w:p>
    <w:p w:rsidR="00023979" w:rsidRPr="00C6215F" w:rsidRDefault="00023979" w:rsidP="008477DA">
      <w:pPr>
        <w:spacing w:after="80" w:line="199" w:lineRule="auto"/>
        <w:ind w:left="360" w:hanging="360"/>
        <w:rPr>
          <w:b/>
          <w:bCs/>
          <w:rtl/>
        </w:rPr>
      </w:pPr>
      <w:r w:rsidRPr="00C6215F">
        <w:rPr>
          <w:rFonts w:hint="cs"/>
          <w:b/>
          <w:bCs/>
          <w:rtl/>
        </w:rPr>
        <w:t>2-</w:t>
      </w:r>
      <w:r w:rsidRPr="00C6215F">
        <w:rPr>
          <w:rFonts w:hint="cs"/>
          <w:b/>
          <w:bCs/>
          <w:rtl/>
        </w:rPr>
        <w:tab/>
        <w:t>المبادئ والضمانات</w:t>
      </w:r>
    </w:p>
    <w:p w:rsidR="00023979" w:rsidRDefault="00023979" w:rsidP="008477DA">
      <w:pPr>
        <w:spacing w:after="80" w:line="199" w:lineRule="auto"/>
        <w:ind w:left="360" w:firstLine="360"/>
        <w:rPr>
          <w:b/>
          <w:bCs/>
          <w:rtl/>
        </w:rPr>
      </w:pPr>
      <w:r w:rsidRPr="00C6215F">
        <w:rPr>
          <w:rFonts w:hint="cs"/>
          <w:b/>
          <w:bCs/>
          <w:rtl/>
        </w:rPr>
        <w:t>2-1</w:t>
      </w:r>
      <w:r w:rsidRPr="00C6215F">
        <w:rPr>
          <w:rFonts w:hint="cs"/>
          <w:b/>
          <w:bCs/>
          <w:rtl/>
        </w:rPr>
        <w:tab/>
        <w:t>المبادئ</w:t>
      </w:r>
    </w:p>
    <w:p w:rsidR="00023979" w:rsidRPr="00C6215F" w:rsidRDefault="00023979" w:rsidP="008477DA">
      <w:pPr>
        <w:spacing w:after="80" w:line="199" w:lineRule="auto"/>
        <w:ind w:left="360" w:firstLine="360"/>
        <w:rPr>
          <w:b/>
          <w:bCs/>
          <w:rtl/>
        </w:rPr>
      </w:pPr>
      <w:r>
        <w:rPr>
          <w:rFonts w:hint="cs"/>
          <w:b/>
          <w:bCs/>
          <w:rtl/>
        </w:rPr>
        <w:t>2-2</w:t>
      </w:r>
      <w:r>
        <w:rPr>
          <w:rFonts w:hint="cs"/>
          <w:b/>
          <w:bCs/>
          <w:rtl/>
        </w:rPr>
        <w:tab/>
        <w:t>الضمانات</w:t>
      </w:r>
    </w:p>
    <w:p w:rsidR="00023979" w:rsidRPr="00C6215F" w:rsidRDefault="00023979" w:rsidP="008477DA">
      <w:pPr>
        <w:spacing w:after="80" w:line="199" w:lineRule="auto"/>
        <w:ind w:left="360" w:hanging="360"/>
        <w:rPr>
          <w:b/>
          <w:bCs/>
          <w:rtl/>
        </w:rPr>
      </w:pPr>
      <w:r w:rsidRPr="00C6215F">
        <w:rPr>
          <w:rFonts w:hint="cs"/>
          <w:b/>
          <w:bCs/>
          <w:rtl/>
        </w:rPr>
        <w:t>3-</w:t>
      </w:r>
      <w:r w:rsidRPr="00C6215F">
        <w:rPr>
          <w:rFonts w:hint="cs"/>
          <w:b/>
          <w:bCs/>
          <w:rtl/>
        </w:rPr>
        <w:tab/>
        <w:t>الاعتبارات الشاملة بشأن تصميم وتنفيذ النُهج القائمة على النظم الإيكولوجية بشأن التكيف مع تغير المناخ والحد من مخاطر الكوارث</w:t>
      </w:r>
    </w:p>
    <w:p w:rsidR="00023979" w:rsidRPr="00C6215F" w:rsidRDefault="00023979" w:rsidP="008477DA">
      <w:pPr>
        <w:spacing w:after="80" w:line="199" w:lineRule="auto"/>
        <w:ind w:left="1440" w:hanging="720"/>
        <w:rPr>
          <w:b/>
          <w:bCs/>
          <w:rtl/>
        </w:rPr>
      </w:pPr>
      <w:r w:rsidRPr="00C6215F">
        <w:rPr>
          <w:rFonts w:hint="cs"/>
          <w:b/>
          <w:bCs/>
          <w:rtl/>
        </w:rPr>
        <w:t>3-1</w:t>
      </w:r>
      <w:r w:rsidRPr="00C6215F">
        <w:rPr>
          <w:rFonts w:hint="cs"/>
          <w:b/>
          <w:bCs/>
          <w:rtl/>
        </w:rPr>
        <w:tab/>
        <w:t>دمج معارف وتكنولوجيات وممارسات وجهود الشعوب الأصلية والمجتمعات المحلية</w:t>
      </w:r>
    </w:p>
    <w:p w:rsidR="00023979" w:rsidRPr="00C6215F" w:rsidRDefault="00023979" w:rsidP="008477DA">
      <w:pPr>
        <w:spacing w:after="80" w:line="199" w:lineRule="auto"/>
        <w:ind w:left="1440" w:hanging="720"/>
        <w:rPr>
          <w:b/>
          <w:bCs/>
          <w:rtl/>
        </w:rPr>
      </w:pPr>
      <w:r w:rsidRPr="00C6215F">
        <w:rPr>
          <w:rFonts w:hint="cs"/>
          <w:b/>
          <w:bCs/>
          <w:rtl/>
        </w:rPr>
        <w:t>3-2</w:t>
      </w:r>
      <w:r w:rsidRPr="00C6215F">
        <w:rPr>
          <w:rFonts w:hint="cs"/>
          <w:b/>
          <w:bCs/>
          <w:rtl/>
        </w:rPr>
        <w:tab/>
        <w:t>تعميم النُهج القائمة على النظم الإيكولوجية بشأن التكيف مع تغير المناخ والحد من مخاطر الكوارث</w:t>
      </w:r>
    </w:p>
    <w:p w:rsidR="00023979" w:rsidRPr="00C6215F" w:rsidRDefault="00023979" w:rsidP="008477DA">
      <w:pPr>
        <w:spacing w:after="80" w:line="199" w:lineRule="auto"/>
        <w:ind w:left="1440" w:hanging="720"/>
        <w:rPr>
          <w:b/>
          <w:bCs/>
          <w:rtl/>
        </w:rPr>
      </w:pPr>
      <w:r w:rsidRPr="00C6215F">
        <w:rPr>
          <w:rFonts w:hint="cs"/>
          <w:b/>
          <w:bCs/>
          <w:rtl/>
        </w:rPr>
        <w:t>3-3</w:t>
      </w:r>
      <w:r w:rsidRPr="00C6215F">
        <w:rPr>
          <w:rFonts w:hint="cs"/>
          <w:b/>
          <w:bCs/>
          <w:rtl/>
        </w:rPr>
        <w:tab/>
        <w:t>زيادة الوعي وبناء القدرات</w:t>
      </w:r>
    </w:p>
    <w:p w:rsidR="00023979" w:rsidRPr="00C6215F" w:rsidRDefault="00023979" w:rsidP="008477DA">
      <w:pPr>
        <w:spacing w:after="80" w:line="199" w:lineRule="auto"/>
        <w:ind w:left="360" w:hanging="360"/>
        <w:rPr>
          <w:b/>
          <w:bCs/>
          <w:rtl/>
        </w:rPr>
      </w:pPr>
      <w:r w:rsidRPr="00C6215F">
        <w:rPr>
          <w:rFonts w:hint="cs"/>
          <w:b/>
          <w:bCs/>
          <w:rtl/>
        </w:rPr>
        <w:t>4-</w:t>
      </w:r>
      <w:r w:rsidRPr="00C6215F">
        <w:rPr>
          <w:rFonts w:hint="cs"/>
          <w:b/>
          <w:bCs/>
          <w:rtl/>
        </w:rPr>
        <w:tab/>
        <w:t>نهج متدرج لتصميم وتنفيذ نُهج فعالة قائمة على النظم الإيكولوجية بشأن التكيف مع تغير المناخ والحد من مخاطر الكوارث</w:t>
      </w:r>
    </w:p>
    <w:p w:rsidR="00023979" w:rsidRPr="00C6215F" w:rsidRDefault="00023979" w:rsidP="008477DA">
      <w:pPr>
        <w:spacing w:after="80" w:line="199" w:lineRule="auto"/>
        <w:ind w:left="1980" w:hanging="1260"/>
        <w:rPr>
          <w:b/>
          <w:bCs/>
          <w:rtl/>
        </w:rPr>
      </w:pPr>
      <w:r w:rsidRPr="00C6215F">
        <w:rPr>
          <w:rFonts w:hint="cs"/>
          <w:b/>
          <w:bCs/>
          <w:rtl/>
        </w:rPr>
        <w:t>الخطوة ألف -</w:t>
      </w:r>
      <w:r w:rsidRPr="00C6215F">
        <w:rPr>
          <w:rFonts w:hint="cs"/>
          <w:b/>
          <w:bCs/>
          <w:rtl/>
        </w:rPr>
        <w:tab/>
        <w:t>فهم النظام الاجتماعي الإيكولوجي</w:t>
      </w:r>
    </w:p>
    <w:p w:rsidR="00023979" w:rsidRPr="00C6215F" w:rsidRDefault="00023979" w:rsidP="008477DA">
      <w:pPr>
        <w:spacing w:after="80" w:line="199" w:lineRule="auto"/>
        <w:ind w:left="1980" w:hanging="1260"/>
        <w:rPr>
          <w:b/>
          <w:bCs/>
          <w:rtl/>
        </w:rPr>
      </w:pPr>
      <w:r w:rsidRPr="00C6215F">
        <w:rPr>
          <w:rFonts w:hint="cs"/>
          <w:b/>
          <w:bCs/>
          <w:rtl/>
        </w:rPr>
        <w:t>الخطوة باء -</w:t>
      </w:r>
      <w:r w:rsidRPr="00C6215F">
        <w:rPr>
          <w:rFonts w:hint="cs"/>
          <w:b/>
          <w:bCs/>
          <w:rtl/>
        </w:rPr>
        <w:tab/>
        <w:t>تقييم هشاشة الأوضاع والمخاطر</w:t>
      </w:r>
    </w:p>
    <w:p w:rsidR="00023979" w:rsidRPr="00C6215F" w:rsidRDefault="00023979" w:rsidP="008477DA">
      <w:pPr>
        <w:spacing w:after="80" w:line="199" w:lineRule="auto"/>
        <w:ind w:left="1980" w:hanging="1260"/>
        <w:rPr>
          <w:b/>
          <w:bCs/>
          <w:rtl/>
        </w:rPr>
      </w:pPr>
      <w:r w:rsidRPr="00C6215F">
        <w:rPr>
          <w:rFonts w:hint="cs"/>
          <w:b/>
          <w:bCs/>
          <w:rtl/>
        </w:rPr>
        <w:lastRenderedPageBreak/>
        <w:t>الخطوة جيم -</w:t>
      </w:r>
      <w:r w:rsidRPr="00C6215F">
        <w:rPr>
          <w:rFonts w:hint="cs"/>
          <w:b/>
          <w:bCs/>
          <w:rtl/>
        </w:rPr>
        <w:tab/>
        <w:t>تحديد خيارات النُهج القائمة على النظم الإيكولوجية بشأن التكيف مع تغير المناخ والحد من مخاطر الكوارث</w:t>
      </w:r>
    </w:p>
    <w:p w:rsidR="00023979" w:rsidRPr="00C6215F" w:rsidRDefault="00023979" w:rsidP="008477DA">
      <w:pPr>
        <w:spacing w:after="80" w:line="199" w:lineRule="auto"/>
        <w:ind w:left="1980" w:hanging="1260"/>
        <w:rPr>
          <w:b/>
          <w:bCs/>
          <w:rtl/>
        </w:rPr>
      </w:pPr>
      <w:r w:rsidRPr="00C6215F">
        <w:rPr>
          <w:rFonts w:hint="cs"/>
          <w:b/>
          <w:bCs/>
          <w:rtl/>
        </w:rPr>
        <w:t>الخطوة دال -</w:t>
      </w:r>
      <w:r w:rsidRPr="00C6215F">
        <w:rPr>
          <w:rFonts w:hint="cs"/>
          <w:b/>
          <w:bCs/>
          <w:rtl/>
        </w:rPr>
        <w:tab/>
        <w:t>ترتيب خيارات النُهج القائمة على النظم الإيكولوجية بشأن التكيف مع تغير المناخ والحد من مخاطر الكوارث حسب الأولوية، وتقييمها واختيارها</w:t>
      </w:r>
    </w:p>
    <w:p w:rsidR="00023979" w:rsidRPr="00C6215F" w:rsidRDefault="00023979" w:rsidP="008477DA">
      <w:pPr>
        <w:spacing w:after="80" w:line="199" w:lineRule="auto"/>
        <w:ind w:left="1980" w:hanging="1260"/>
        <w:rPr>
          <w:b/>
          <w:bCs/>
          <w:rtl/>
        </w:rPr>
      </w:pPr>
      <w:r w:rsidRPr="00C6215F">
        <w:rPr>
          <w:rFonts w:hint="cs"/>
          <w:b/>
          <w:bCs/>
          <w:rtl/>
        </w:rPr>
        <w:t>الخطوة هاء -</w:t>
      </w:r>
      <w:r w:rsidRPr="00C6215F">
        <w:rPr>
          <w:rFonts w:hint="cs"/>
          <w:b/>
          <w:bCs/>
          <w:rtl/>
        </w:rPr>
        <w:tab/>
        <w:t>تصميم وتنفيذ المشروع</w:t>
      </w:r>
    </w:p>
    <w:p w:rsidR="00023979" w:rsidRPr="00C6215F" w:rsidRDefault="00023979" w:rsidP="008477DA">
      <w:pPr>
        <w:spacing w:after="80" w:line="199" w:lineRule="auto"/>
        <w:ind w:left="1980" w:hanging="1260"/>
        <w:rPr>
          <w:b/>
          <w:bCs/>
          <w:rtl/>
        </w:rPr>
      </w:pPr>
      <w:r w:rsidRPr="00C6215F">
        <w:rPr>
          <w:rFonts w:hint="cs"/>
          <w:b/>
          <w:bCs/>
          <w:rtl/>
        </w:rPr>
        <w:t>الخطوة واو -</w:t>
      </w:r>
      <w:r w:rsidRPr="00C6215F">
        <w:rPr>
          <w:rFonts w:hint="cs"/>
          <w:b/>
          <w:bCs/>
          <w:rtl/>
        </w:rPr>
        <w:tab/>
        <w:t>رصد وتقييم النُهج القائمة على النظم الإيكولوجية بشأن التكيف مع تغير المناخ والحد من مخاطر الكوارث</w:t>
      </w:r>
    </w:p>
    <w:p w:rsidR="00023979" w:rsidRPr="00C6215F" w:rsidRDefault="00023979" w:rsidP="00023979">
      <w:pPr>
        <w:spacing w:after="100" w:line="204" w:lineRule="auto"/>
        <w:rPr>
          <w:b/>
          <w:bCs/>
          <w:rtl/>
        </w:rPr>
      </w:pPr>
      <w:r w:rsidRPr="00C6215F">
        <w:rPr>
          <w:rFonts w:hint="cs"/>
          <w:b/>
          <w:bCs/>
          <w:rtl/>
        </w:rPr>
        <w:t>1-</w:t>
      </w:r>
      <w:r w:rsidRPr="00C6215F">
        <w:rPr>
          <w:rFonts w:hint="cs"/>
          <w:b/>
          <w:bCs/>
          <w:rtl/>
        </w:rPr>
        <w:tab/>
        <w:t>مقدمة</w:t>
      </w:r>
    </w:p>
    <w:p w:rsidR="00023979" w:rsidRPr="00C6215F" w:rsidRDefault="00023979" w:rsidP="00023979">
      <w:pPr>
        <w:spacing w:after="100" w:line="204" w:lineRule="auto"/>
        <w:rPr>
          <w:rtl/>
        </w:rPr>
      </w:pPr>
      <w:r w:rsidRPr="00C6215F">
        <w:rPr>
          <w:rFonts w:hint="cs"/>
          <w:rtl/>
        </w:rPr>
        <w:t>1-</w:t>
      </w:r>
      <w:r w:rsidRPr="00C6215F">
        <w:rPr>
          <w:rFonts w:hint="cs"/>
          <w:rtl/>
        </w:rPr>
        <w:tab/>
        <w:t>تعتبر النُهج القائمة على النظم الإيكولوجية بشأن التكيف مع تغير المناخ والحد من مخاطر الكوارث نُهجا شاملة تستخدم التنوع البيولوجي ووظائف وخدمات النظم الإيكولوجية لإدارة مخاطر الآثار والكوارث المتعلقة بالمناخ. والتكيف القائم على النظم الإيكولوجية هو استخدام التنوع البيولوجي ووظائف وخدمات النظم الأيكولوجية كجزء من استراتيجية تكيف شاملة، تسهم في رفاهية المجتمعات، بما في ذلك الشعوب الأصلية والمجتمعات المحلية، وتساعد الناس على التكيف مع الآثار الضارة لتغير المناخ. ويهدف التكيف القائم على النظم الإيكولوجية إلى الحفاظ على قدرة النظم الإيكولوجية والشعوب على الصمود والحد من هشاشة الأوضاع فيها في مواجهة الآثار الضارة لتغير المناخ.</w:t>
      </w:r>
      <w:r w:rsidRPr="00C6215F">
        <w:rPr>
          <w:vertAlign w:val="superscript"/>
          <w:rtl/>
        </w:rPr>
        <w:footnoteReference w:id="51"/>
      </w:r>
    </w:p>
    <w:p w:rsidR="00023979" w:rsidRPr="00C6215F" w:rsidRDefault="00023979" w:rsidP="00023979">
      <w:pPr>
        <w:spacing w:after="100" w:line="204" w:lineRule="auto"/>
        <w:rPr>
          <w:rtl/>
        </w:rPr>
      </w:pPr>
      <w:r w:rsidRPr="00C6215F">
        <w:rPr>
          <w:rFonts w:hint="cs"/>
          <w:rtl/>
        </w:rPr>
        <w:t>2-</w:t>
      </w:r>
      <w:r w:rsidRPr="00C6215F">
        <w:rPr>
          <w:rFonts w:hint="cs"/>
          <w:rtl/>
        </w:rPr>
        <w:tab/>
        <w:t>والحد من مخاطر الكوارث القائم على النظم الإيكولوجية هو الإدارة الشاملة والمستدامة للنظم الإيكولوجية، وحفظها واستعادتها للحد من مخاطر الكوارث، بهدف تحقيق التنمية المستدامة التي تتسم بالقدرة على الصمود.</w:t>
      </w:r>
      <w:r w:rsidRPr="00C6215F">
        <w:rPr>
          <w:vertAlign w:val="superscript"/>
          <w:rtl/>
        </w:rPr>
        <w:footnoteReference w:id="52"/>
      </w:r>
    </w:p>
    <w:p w:rsidR="00023979" w:rsidRPr="00C6215F" w:rsidRDefault="00023979" w:rsidP="00023979">
      <w:pPr>
        <w:spacing w:after="100" w:line="204" w:lineRule="auto"/>
        <w:rPr>
          <w:rtl/>
        </w:rPr>
      </w:pPr>
      <w:r w:rsidRPr="00C6215F">
        <w:rPr>
          <w:rFonts w:hint="cs"/>
          <w:rtl/>
        </w:rPr>
        <w:t>3-</w:t>
      </w:r>
      <w:r w:rsidRPr="00C6215F">
        <w:rPr>
          <w:rFonts w:hint="cs"/>
          <w:rtl/>
        </w:rPr>
        <w:tab/>
        <w:t xml:space="preserve">وتم إعداد هذه المبادئ التوجيهية الطوعية لتصميم النُهج القائمة على النظم الإيكولوجية بشأن التكيف مع تغير المناخ والحد من مخاطر الكوارث وتنفيذها الفعال عملا بالفقرة 10 من </w:t>
      </w:r>
      <w:hyperlink r:id="rId21" w:history="1">
        <w:r w:rsidRPr="00055F07">
          <w:rPr>
            <w:rStyle w:val="Hyperlink"/>
            <w:rFonts w:hint="cs"/>
            <w:rtl/>
          </w:rPr>
          <w:t xml:space="preserve">المقرر </w:t>
        </w:r>
        <w:r w:rsidRPr="00055F07">
          <w:rPr>
            <w:rStyle w:val="Hyperlink"/>
            <w:rFonts w:ascii="Simplified Arabic" w:hAnsi="Simplified Arabic"/>
            <w:rtl/>
          </w:rPr>
          <w:t>13/4</w:t>
        </w:r>
      </w:hyperlink>
      <w:r w:rsidRPr="00C6215F">
        <w:rPr>
          <w:rFonts w:hint="cs"/>
          <w:rtl/>
        </w:rPr>
        <w:t>. والغرض من هذه المبادئ التوجيهية الطوعية هو استخدامها من جانب الأطراف، والحكومات الأخرى، والمنظمات ذات الصلة، والشعوب الأصلية والمجتمعات المحلية، وشركات الأعمال التجارية، والقطاع الخاص والمجتمع المدني كإطار مرن لتخطيط وتنفيذ النُهج القائمة على النظم الإيكولوجية بشأن التكيف مع تغير المناخ والحد من مخاطر الكوارث. ويمكن أن تسهم أيضا المبادئ التوجيهية الطوعية في هدف المبادئ التوجيهية لخطط التكيف الوطنية في إطار اتفاقية الأمم المتحدة الإطارية بشأن تغير المناخ للتقليل من الضعف أمام آثار تغير المناخ، وذلك عن طريق بناء القدرة على الصمود والتكيف.</w:t>
      </w:r>
    </w:p>
    <w:p w:rsidR="00023979" w:rsidRPr="00C6215F" w:rsidRDefault="00023979" w:rsidP="00023979">
      <w:pPr>
        <w:spacing w:after="100" w:line="204" w:lineRule="auto"/>
        <w:ind w:left="758"/>
        <w:rPr>
          <w:b/>
          <w:bCs/>
          <w:rtl/>
        </w:rPr>
      </w:pPr>
      <w:r w:rsidRPr="00C6215F">
        <w:rPr>
          <w:rFonts w:hint="cs"/>
          <w:b/>
          <w:bCs/>
          <w:rtl/>
        </w:rPr>
        <w:t>1-1</w:t>
      </w:r>
      <w:r w:rsidRPr="00C6215F">
        <w:rPr>
          <w:rFonts w:hint="cs"/>
          <w:b/>
          <w:bCs/>
          <w:rtl/>
        </w:rPr>
        <w:tab/>
        <w:t>نظرة عامة على المبادئ التوجيهية الطوعية</w:t>
      </w:r>
    </w:p>
    <w:p w:rsidR="00023979" w:rsidRPr="008477DA" w:rsidRDefault="00023979" w:rsidP="00023979">
      <w:pPr>
        <w:spacing w:after="100" w:line="204" w:lineRule="auto"/>
        <w:rPr>
          <w:spacing w:val="-8"/>
          <w:rtl/>
        </w:rPr>
      </w:pPr>
      <w:r w:rsidRPr="00C6215F">
        <w:rPr>
          <w:rFonts w:hint="cs"/>
          <w:rtl/>
        </w:rPr>
        <w:t>4-</w:t>
      </w:r>
      <w:r w:rsidRPr="00C6215F">
        <w:rPr>
          <w:rFonts w:hint="cs"/>
          <w:rtl/>
        </w:rPr>
        <w:tab/>
        <w:t>تبدأ المبادئ التوجيهية بمقدمة عامة لولاية النُهج القائمة على النظم الإيكولوجية بشأن التكيف مع تغير المناخ والحد من مخاطر الكوارث والمصطلحات الرئيسية الواردة فيها. ويعرض القسم 2 مبادئ وضمانات تقدم معايير وتدابير توضع في الاعتبار في جميع خطوات التخطيط والتنفيذ الواردة في القسم 4. ويعرض القسم 3 اعتبارات شاملة وهامة أخرى بشأن: دمج معارف، وتكنولوجيات، وممارسات، وجهود الشعوب الأصلية والمجتمعات المحلية، والتعميم، وزيادة الوعي وبناء القدرات. وينبغي أن تؤخذ هذه الاعتبارات الشاملة في الحسبان عند الاضطلاع بخطوات التخطيط والتنفيذ الواردة في القسم 4. ويعرض القسم 4 نهجا متدرجا يهدف إلى العمل بصورة تكرارية من أجل تخطيط وتنفيذ النُهج القائمة على النظم الإيكولوجية بشأن التكيف مع تغير المناخ والحد من مخاطر الكوارث بالإضافة إلى إجراءات عملية مقترحة. وتُتاح أيضا مذكرة تكميلية</w:t>
      </w:r>
      <w:r w:rsidRPr="00C6215F">
        <w:rPr>
          <w:rStyle w:val="FootnoteReference"/>
          <w:rtl/>
        </w:rPr>
        <w:footnoteReference w:id="53"/>
      </w:r>
      <w:r w:rsidRPr="00C6215F">
        <w:rPr>
          <w:rFonts w:hint="cs"/>
          <w:rtl/>
        </w:rPr>
        <w:t xml:space="preserve"> تتضمن مرشدا لصانعي السياسات، وأدوات ترتبط بالعملية المتدرجة، وإجراءات مفصلة أخرى، وإحاطات للدعوة من أجل زيادة فعالية </w:t>
      </w:r>
      <w:r w:rsidRPr="00C6215F">
        <w:rPr>
          <w:rFonts w:hint="cs"/>
          <w:rtl/>
        </w:rPr>
        <w:lastRenderedPageBreak/>
        <w:t xml:space="preserve">عملية الترويج داخل القطاعات، فضلا عن مراجع داعمة، ومسرد مصطلحات، وقوائم سياسات وغير ذلك من المبادئ التوجيهية ذات الصلة. وتحتوي </w:t>
      </w:r>
      <w:r w:rsidRPr="008477DA">
        <w:rPr>
          <w:rFonts w:hint="cs"/>
          <w:spacing w:val="-8"/>
          <w:rtl/>
        </w:rPr>
        <w:t>أيضا على رسم وجدول لبيان كيف تعمل معا</w:t>
      </w:r>
      <w:r w:rsidRPr="00C6215F">
        <w:rPr>
          <w:rFonts w:hint="cs"/>
          <w:rtl/>
        </w:rPr>
        <w:t xml:space="preserve"> المبادئ </w:t>
      </w:r>
      <w:r w:rsidRPr="008477DA">
        <w:rPr>
          <w:rFonts w:hint="cs"/>
          <w:spacing w:val="-8"/>
          <w:rtl/>
        </w:rPr>
        <w:t>والضمانات والاعتبارات الشاملة، والنهج التدريجي.</w:t>
      </w:r>
    </w:p>
    <w:p w:rsidR="00023979" w:rsidRPr="00C6215F" w:rsidRDefault="00023979" w:rsidP="00023979">
      <w:pPr>
        <w:spacing w:after="100" w:line="204" w:lineRule="auto"/>
        <w:ind w:left="758"/>
        <w:rPr>
          <w:b/>
          <w:bCs/>
          <w:rtl/>
        </w:rPr>
      </w:pPr>
      <w:r w:rsidRPr="00C6215F">
        <w:rPr>
          <w:rFonts w:hint="cs"/>
          <w:b/>
          <w:bCs/>
          <w:rtl/>
        </w:rPr>
        <w:t>1-2</w:t>
      </w:r>
      <w:r w:rsidRPr="00C6215F">
        <w:rPr>
          <w:rFonts w:hint="cs"/>
          <w:b/>
          <w:bCs/>
          <w:rtl/>
        </w:rPr>
        <w:tab/>
        <w:t>ما هي النُهج القائمة على النظم الإيكولوجية بشأن التكيف مع تغير المناخ والحد من مخاطر الكوارث؟</w:t>
      </w:r>
    </w:p>
    <w:p w:rsidR="00023979" w:rsidRPr="00C6215F" w:rsidRDefault="00023979" w:rsidP="00023979">
      <w:pPr>
        <w:spacing w:after="100" w:line="204" w:lineRule="auto"/>
        <w:rPr>
          <w:rtl/>
        </w:rPr>
      </w:pPr>
      <w:r w:rsidRPr="00C6215F">
        <w:rPr>
          <w:rFonts w:hint="cs"/>
          <w:rtl/>
        </w:rPr>
        <w:t>5-</w:t>
      </w:r>
      <w:r w:rsidRPr="00C6215F">
        <w:rPr>
          <w:rFonts w:hint="cs"/>
          <w:rtl/>
        </w:rPr>
        <w:tab/>
        <w:t>نشرت اتفاقية التنوع البيولوجي سلسلة المنشورات التقنية رقم 85</w:t>
      </w:r>
      <w:r w:rsidRPr="00C6215F">
        <w:rPr>
          <w:vertAlign w:val="superscript"/>
          <w:rtl/>
        </w:rPr>
        <w:footnoteReference w:id="54"/>
      </w:r>
      <w:r w:rsidRPr="00C6215F">
        <w:rPr>
          <w:rFonts w:hint="cs"/>
          <w:rtl/>
        </w:rPr>
        <w:t xml:space="preserve"> التي تقدم تقريرا توليفيا عن تجارب تنفيذ النُهج القائمة على النظم الإيكولوجية بشأن التكيف مع تغير المناخ والحد من مخاطر الكوارث. وتقدم السلسلة التقنية معلومات مفصلة عن تجارب الأطر السياساتية والتشريعية، والتعميم، ودمج الاعتبارات الجنسانية ومساهمة الشعوب الأصلية والمجتمعات المحلية. وترد في الجدول أدناه أمثلة إضافية على الأنشطة التي تُتبع فيها النُهج القائمة على النظم الإيكولوجية بشأن التكيف مع تغير المناخ والحد من مخاطر الكوارث.</w:t>
      </w:r>
    </w:p>
    <w:p w:rsidR="00023979" w:rsidRPr="00C6215F" w:rsidRDefault="00023979" w:rsidP="008477DA">
      <w:pPr>
        <w:spacing w:after="100" w:line="204" w:lineRule="auto"/>
        <w:jc w:val="center"/>
        <w:rPr>
          <w:b/>
          <w:bCs/>
          <w:rtl/>
        </w:rPr>
      </w:pPr>
      <w:r w:rsidRPr="00C6215F">
        <w:rPr>
          <w:rFonts w:hint="cs"/>
          <w:b/>
          <w:bCs/>
          <w:rtl/>
        </w:rPr>
        <w:t>جدول: أمثلة على تدخلات ونتائج النُهج القائمة على النظم الإيكولوجية بشأن التكيف مع تغير المناخ والحد من مخاطر الكوارث</w:t>
      </w:r>
      <w:r w:rsidRPr="00C6215F">
        <w:rPr>
          <w:b/>
          <w:bCs/>
          <w:vertAlign w:val="superscript"/>
          <w:rtl/>
        </w:rPr>
        <w:footnoteReference w:id="55"/>
      </w:r>
    </w:p>
    <w:tbl>
      <w:tblPr>
        <w:bidiVisual/>
        <w:tblW w:w="9939"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1350"/>
        <w:gridCol w:w="3885"/>
        <w:gridCol w:w="2607"/>
      </w:tblGrid>
      <w:tr w:rsidR="00023979" w:rsidRPr="00DD7895" w:rsidTr="00023979">
        <w:trPr>
          <w:cantSplit/>
          <w:jc w:val="center"/>
        </w:trPr>
        <w:tc>
          <w:tcPr>
            <w:tcW w:w="2097" w:type="dxa"/>
          </w:tcPr>
          <w:p w:rsidR="00023979" w:rsidRPr="00DD7895" w:rsidRDefault="00023979" w:rsidP="00023979">
            <w:pPr>
              <w:spacing w:after="60" w:line="192" w:lineRule="auto"/>
              <w:jc w:val="center"/>
              <w:rPr>
                <w:b/>
                <w:i/>
                <w:iCs/>
              </w:rPr>
            </w:pPr>
            <w:r w:rsidRPr="00DD7895">
              <w:rPr>
                <w:b/>
                <w:i/>
                <w:iCs/>
                <w:rtl/>
              </w:rPr>
              <w:t>الخطر/</w:t>
            </w:r>
            <w:r w:rsidRPr="00DD7895">
              <w:rPr>
                <w:rFonts w:hint="cs"/>
                <w:b/>
                <w:i/>
                <w:iCs/>
                <w:rtl/>
              </w:rPr>
              <w:t>أثر</w:t>
            </w:r>
            <w:r w:rsidRPr="00DD7895">
              <w:rPr>
                <w:b/>
                <w:i/>
                <w:iCs/>
                <w:rtl/>
              </w:rPr>
              <w:t xml:space="preserve"> تغير المناخ</w:t>
            </w:r>
          </w:p>
        </w:tc>
        <w:tc>
          <w:tcPr>
            <w:tcW w:w="1350" w:type="dxa"/>
          </w:tcPr>
          <w:p w:rsidR="00023979" w:rsidRPr="00DD7895" w:rsidRDefault="00023979" w:rsidP="00023979">
            <w:pPr>
              <w:spacing w:after="60" w:line="192" w:lineRule="auto"/>
              <w:jc w:val="center"/>
              <w:rPr>
                <w:b/>
                <w:i/>
                <w:iCs/>
              </w:rPr>
            </w:pPr>
            <w:r w:rsidRPr="00DD7895">
              <w:rPr>
                <w:b/>
                <w:i/>
                <w:iCs/>
                <w:rtl/>
              </w:rPr>
              <w:t xml:space="preserve">نوع </w:t>
            </w:r>
            <w:r w:rsidRPr="00DD7895">
              <w:rPr>
                <w:rFonts w:hint="cs"/>
                <w:b/>
                <w:i/>
                <w:iCs/>
                <w:rtl/>
              </w:rPr>
              <w:t>النظام</w:t>
            </w:r>
            <w:r w:rsidRPr="00DD7895">
              <w:rPr>
                <w:b/>
                <w:i/>
                <w:iCs/>
                <w:rtl/>
              </w:rPr>
              <w:t xml:space="preserve"> الإيكولوجي</w:t>
            </w:r>
          </w:p>
        </w:tc>
        <w:tc>
          <w:tcPr>
            <w:tcW w:w="3885" w:type="dxa"/>
          </w:tcPr>
          <w:p w:rsidR="00023979" w:rsidRPr="00DD7895" w:rsidRDefault="00023979" w:rsidP="00023979">
            <w:pPr>
              <w:spacing w:after="60" w:line="192" w:lineRule="auto"/>
              <w:jc w:val="center"/>
              <w:rPr>
                <w:b/>
                <w:i/>
                <w:iCs/>
              </w:rPr>
            </w:pPr>
            <w:r w:rsidRPr="00DD7895">
              <w:rPr>
                <w:rFonts w:hint="cs"/>
                <w:b/>
                <w:i/>
                <w:iCs/>
                <w:rtl/>
              </w:rPr>
              <w:t xml:space="preserve">خيارات </w:t>
            </w:r>
            <w:r w:rsidRPr="00DD7895">
              <w:rPr>
                <w:b/>
                <w:i/>
                <w:iCs/>
                <w:rtl/>
              </w:rPr>
              <w:t xml:space="preserve">النُهج القائمة على النظم الإيكولوجية بشأن التكيف مع تغير المناخ </w:t>
            </w:r>
            <w:r w:rsidRPr="00DD7895">
              <w:rPr>
                <w:rFonts w:hint="cs"/>
                <w:b/>
                <w:i/>
                <w:iCs/>
                <w:rtl/>
              </w:rPr>
              <w:t xml:space="preserve">أو </w:t>
            </w:r>
            <w:r w:rsidRPr="00DD7895">
              <w:rPr>
                <w:b/>
                <w:i/>
                <w:iCs/>
                <w:rtl/>
              </w:rPr>
              <w:t>الحد من مخاطر الكوارث</w:t>
            </w:r>
          </w:p>
        </w:tc>
        <w:tc>
          <w:tcPr>
            <w:tcW w:w="2607" w:type="dxa"/>
          </w:tcPr>
          <w:p w:rsidR="00023979" w:rsidRPr="00DD7895" w:rsidRDefault="00023979" w:rsidP="00023979">
            <w:pPr>
              <w:spacing w:after="60" w:line="192" w:lineRule="auto"/>
              <w:jc w:val="center"/>
              <w:rPr>
                <w:b/>
                <w:i/>
                <w:iCs/>
              </w:rPr>
            </w:pPr>
            <w:r w:rsidRPr="00DD7895">
              <w:rPr>
                <w:rFonts w:hint="cs"/>
                <w:b/>
                <w:i/>
                <w:iCs/>
                <w:rtl/>
              </w:rPr>
              <w:t>النتيجة</w:t>
            </w:r>
          </w:p>
        </w:tc>
      </w:tr>
      <w:tr w:rsidR="00023979" w:rsidRPr="00DD7895" w:rsidTr="00023979">
        <w:trPr>
          <w:cantSplit/>
          <w:jc w:val="center"/>
        </w:trPr>
        <w:tc>
          <w:tcPr>
            <w:tcW w:w="2097" w:type="dxa"/>
            <w:vMerge w:val="restart"/>
          </w:tcPr>
          <w:p w:rsidR="00023979" w:rsidRPr="00DD7895" w:rsidRDefault="00023979" w:rsidP="00023979">
            <w:pPr>
              <w:spacing w:after="60" w:line="192" w:lineRule="auto"/>
              <w:rPr>
                <w:b/>
              </w:rPr>
            </w:pPr>
            <w:r w:rsidRPr="00DD7895">
              <w:rPr>
                <w:rFonts w:hint="cs"/>
                <w:b/>
                <w:rtl/>
              </w:rPr>
              <w:t>الجفاف</w:t>
            </w:r>
          </w:p>
          <w:p w:rsidR="00023979" w:rsidRPr="00DD7895" w:rsidRDefault="00023979" w:rsidP="00023979">
            <w:pPr>
              <w:spacing w:after="60" w:line="192" w:lineRule="auto"/>
              <w:rPr>
                <w:b/>
              </w:rPr>
            </w:pPr>
            <w:r w:rsidRPr="00DD7895">
              <w:rPr>
                <w:rFonts w:hint="cs"/>
                <w:b/>
                <w:rtl/>
              </w:rPr>
              <w:t>تآكل التربة</w:t>
            </w:r>
          </w:p>
          <w:p w:rsidR="00023979" w:rsidRPr="00DD7895" w:rsidRDefault="00023979" w:rsidP="00023979">
            <w:pPr>
              <w:spacing w:after="60" w:line="192" w:lineRule="auto"/>
              <w:rPr>
                <w:b/>
              </w:rPr>
            </w:pPr>
            <w:r w:rsidRPr="00DD7895">
              <w:rPr>
                <w:rFonts w:hint="cs"/>
                <w:b/>
                <w:rtl/>
              </w:rPr>
              <w:t>عدم انتظام هطول الأمطار</w:t>
            </w:r>
          </w:p>
        </w:tc>
        <w:tc>
          <w:tcPr>
            <w:tcW w:w="1350" w:type="dxa"/>
            <w:vMerge w:val="restart"/>
          </w:tcPr>
          <w:p w:rsidR="00023979" w:rsidRPr="00DD7895" w:rsidRDefault="00023979" w:rsidP="00023979">
            <w:pPr>
              <w:spacing w:after="60" w:line="192" w:lineRule="auto"/>
              <w:rPr>
                <w:b/>
              </w:rPr>
            </w:pPr>
            <w:r w:rsidRPr="00DD7895">
              <w:rPr>
                <w:rFonts w:hint="cs"/>
                <w:b/>
                <w:rtl/>
              </w:rPr>
              <w:t>الجبال والغابات</w:t>
            </w:r>
          </w:p>
        </w:tc>
        <w:tc>
          <w:tcPr>
            <w:tcW w:w="3885" w:type="dxa"/>
          </w:tcPr>
          <w:p w:rsidR="00023979" w:rsidRPr="00DD7895" w:rsidRDefault="00023979" w:rsidP="00023979">
            <w:pPr>
              <w:spacing w:after="60" w:line="192" w:lineRule="auto"/>
              <w:rPr>
                <w:b/>
              </w:rPr>
            </w:pPr>
            <w:r w:rsidRPr="00DD7895">
              <w:rPr>
                <w:rFonts w:hint="cs"/>
                <w:b/>
                <w:rtl/>
              </w:rPr>
              <w:t>الإدارة المستدامة للأراضي الرطبة على الجبال</w:t>
            </w:r>
          </w:p>
        </w:tc>
        <w:tc>
          <w:tcPr>
            <w:tcW w:w="2607" w:type="dxa"/>
            <w:vMerge w:val="restart"/>
          </w:tcPr>
          <w:p w:rsidR="00023979" w:rsidRPr="00DD7895" w:rsidRDefault="00023979" w:rsidP="00023979">
            <w:pPr>
              <w:spacing w:after="60" w:line="192" w:lineRule="auto"/>
              <w:rPr>
                <w:b/>
              </w:rPr>
            </w:pPr>
            <w:r w:rsidRPr="00DD7895">
              <w:rPr>
                <w:rFonts w:hint="cs"/>
                <w:b/>
                <w:rtl/>
              </w:rPr>
              <w:t>تحسين مراقبة المياه</w:t>
            </w:r>
          </w:p>
          <w:p w:rsidR="00023979" w:rsidRPr="00DD7895" w:rsidRDefault="00023979" w:rsidP="00023979">
            <w:pPr>
              <w:spacing w:after="60" w:line="192" w:lineRule="auto"/>
              <w:rPr>
                <w:b/>
              </w:rPr>
            </w:pPr>
            <w:r w:rsidRPr="00DD7895">
              <w:rPr>
                <w:rFonts w:hint="cs"/>
                <w:b/>
                <w:rtl/>
              </w:rPr>
              <w:t>الحد من التآكل</w:t>
            </w:r>
          </w:p>
          <w:p w:rsidR="00023979" w:rsidRPr="00DD7895" w:rsidRDefault="00023979" w:rsidP="00023979">
            <w:pPr>
              <w:spacing w:after="60" w:line="192" w:lineRule="auto"/>
              <w:rPr>
                <w:bCs/>
              </w:rPr>
            </w:pPr>
            <w:r w:rsidRPr="00DD7895">
              <w:rPr>
                <w:rFonts w:hint="cs"/>
                <w:b/>
                <w:rtl/>
              </w:rPr>
              <w:t>تعزيز القدرة على تخزين المياه</w:t>
            </w:r>
          </w:p>
        </w:tc>
      </w:tr>
      <w:tr w:rsidR="00023979" w:rsidRPr="00DD7895" w:rsidTr="00023979">
        <w:trPr>
          <w:cantSplit/>
          <w:jc w:val="center"/>
        </w:trPr>
        <w:tc>
          <w:tcPr>
            <w:tcW w:w="2097" w:type="dxa"/>
            <w:vMerge/>
          </w:tcPr>
          <w:p w:rsidR="00023979" w:rsidRPr="00DD7895" w:rsidRDefault="00023979" w:rsidP="00023979">
            <w:pPr>
              <w:spacing w:after="60" w:line="192" w:lineRule="auto"/>
              <w:rPr>
                <w:bCs/>
              </w:rPr>
            </w:pPr>
          </w:p>
        </w:tc>
        <w:tc>
          <w:tcPr>
            <w:tcW w:w="1350" w:type="dxa"/>
            <w:vMerge/>
          </w:tcPr>
          <w:p w:rsidR="00023979" w:rsidRPr="00DD7895" w:rsidRDefault="00023979" w:rsidP="00023979">
            <w:pPr>
              <w:spacing w:after="60" w:line="192" w:lineRule="auto"/>
              <w:rPr>
                <w:bCs/>
              </w:rPr>
            </w:pPr>
          </w:p>
        </w:tc>
        <w:tc>
          <w:tcPr>
            <w:tcW w:w="3885" w:type="dxa"/>
          </w:tcPr>
          <w:p w:rsidR="00023979" w:rsidRPr="00DD7895" w:rsidRDefault="00023979" w:rsidP="00023979">
            <w:pPr>
              <w:spacing w:after="60" w:line="192" w:lineRule="auto"/>
              <w:rPr>
                <w:b/>
              </w:rPr>
            </w:pPr>
            <w:r w:rsidRPr="00DD7895">
              <w:rPr>
                <w:rFonts w:hint="cs"/>
                <w:b/>
                <w:rtl/>
              </w:rPr>
              <w:t>ترميم الغابات والمراعي</w:t>
            </w:r>
          </w:p>
        </w:tc>
        <w:tc>
          <w:tcPr>
            <w:tcW w:w="2607" w:type="dxa"/>
            <w:vMerge/>
          </w:tcPr>
          <w:p w:rsidR="00023979" w:rsidRPr="00DD7895" w:rsidRDefault="00023979" w:rsidP="00023979">
            <w:pPr>
              <w:spacing w:after="60" w:line="192" w:lineRule="auto"/>
              <w:rPr>
                <w:bCs/>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Cs/>
              </w:rPr>
            </w:pPr>
          </w:p>
        </w:tc>
        <w:tc>
          <w:tcPr>
            <w:tcW w:w="1350" w:type="dxa"/>
            <w:vMerge/>
          </w:tcPr>
          <w:p w:rsidR="00023979" w:rsidRPr="00DD7895" w:rsidRDefault="00023979" w:rsidP="00023979">
            <w:pPr>
              <w:spacing w:after="60" w:line="192" w:lineRule="auto"/>
              <w:rPr>
                <w:bCs/>
              </w:rPr>
            </w:pPr>
          </w:p>
        </w:tc>
        <w:tc>
          <w:tcPr>
            <w:tcW w:w="3885" w:type="dxa"/>
          </w:tcPr>
          <w:p w:rsidR="008477DA" w:rsidRPr="00DD7895" w:rsidRDefault="00023979" w:rsidP="00B55747">
            <w:pPr>
              <w:spacing w:after="60" w:line="192" w:lineRule="auto"/>
              <w:rPr>
                <w:b/>
              </w:rPr>
            </w:pPr>
            <w:r w:rsidRPr="00DD7895">
              <w:rPr>
                <w:rFonts w:hint="cs"/>
                <w:b/>
                <w:rtl/>
              </w:rPr>
              <w:t>ترميم المراعي التي توجد بها أنواع أصلية لها جذور راسخة</w:t>
            </w:r>
          </w:p>
        </w:tc>
        <w:tc>
          <w:tcPr>
            <w:tcW w:w="2607" w:type="dxa"/>
            <w:vMerge/>
          </w:tcPr>
          <w:p w:rsidR="00023979" w:rsidRPr="00DD7895" w:rsidRDefault="00023979" w:rsidP="00023979">
            <w:pPr>
              <w:spacing w:after="60" w:line="192" w:lineRule="auto"/>
              <w:rPr>
                <w:bCs/>
              </w:rPr>
            </w:pPr>
          </w:p>
        </w:tc>
      </w:tr>
      <w:tr w:rsidR="00023979" w:rsidRPr="00DD7895" w:rsidTr="00023979">
        <w:trPr>
          <w:cantSplit/>
          <w:jc w:val="center"/>
        </w:trPr>
        <w:tc>
          <w:tcPr>
            <w:tcW w:w="2097" w:type="dxa"/>
            <w:vMerge w:val="restart"/>
          </w:tcPr>
          <w:p w:rsidR="00023979" w:rsidRPr="00DD7895" w:rsidRDefault="00023979" w:rsidP="00023979">
            <w:pPr>
              <w:spacing w:after="60" w:line="192" w:lineRule="auto"/>
              <w:rPr>
                <w:b/>
              </w:rPr>
            </w:pPr>
            <w:r w:rsidRPr="00DD7895">
              <w:rPr>
                <w:rFonts w:hint="cs"/>
                <w:b/>
                <w:rtl/>
              </w:rPr>
              <w:t>عدم انتظام هطول الأمطار</w:t>
            </w:r>
          </w:p>
          <w:p w:rsidR="00023979" w:rsidRPr="00DD7895" w:rsidRDefault="00023979" w:rsidP="00023979">
            <w:pPr>
              <w:spacing w:after="60" w:line="192" w:lineRule="auto"/>
              <w:rPr>
                <w:b/>
                <w:rtl/>
              </w:rPr>
            </w:pPr>
            <w:r w:rsidRPr="00DD7895">
              <w:rPr>
                <w:rFonts w:hint="cs"/>
                <w:b/>
                <w:rtl/>
              </w:rPr>
              <w:t>الفيضانان</w:t>
            </w:r>
          </w:p>
          <w:p w:rsidR="00023979" w:rsidRPr="00DD7895" w:rsidRDefault="00023979" w:rsidP="00023979">
            <w:pPr>
              <w:spacing w:after="60" w:line="192" w:lineRule="auto"/>
              <w:rPr>
                <w:b/>
              </w:rPr>
            </w:pPr>
            <w:r w:rsidRPr="00DD7895">
              <w:rPr>
                <w:rFonts w:hint="cs"/>
                <w:b/>
                <w:rtl/>
              </w:rPr>
              <w:t>الجفاف</w:t>
            </w:r>
          </w:p>
        </w:tc>
        <w:tc>
          <w:tcPr>
            <w:tcW w:w="1350" w:type="dxa"/>
            <w:vMerge w:val="restart"/>
          </w:tcPr>
          <w:p w:rsidR="00023979" w:rsidRPr="00DD7895" w:rsidRDefault="00023979" w:rsidP="00023979">
            <w:pPr>
              <w:spacing w:after="60" w:line="192" w:lineRule="auto"/>
              <w:rPr>
                <w:b/>
              </w:rPr>
            </w:pPr>
            <w:r w:rsidRPr="00DD7895">
              <w:rPr>
                <w:rFonts w:hint="cs"/>
                <w:b/>
                <w:rtl/>
              </w:rPr>
              <w:t>المياه الداخلية</w:t>
            </w:r>
          </w:p>
        </w:tc>
        <w:tc>
          <w:tcPr>
            <w:tcW w:w="3885" w:type="dxa"/>
          </w:tcPr>
          <w:p w:rsidR="00023979" w:rsidRPr="00DD7895" w:rsidRDefault="00023979" w:rsidP="00023979">
            <w:pPr>
              <w:spacing w:after="60" w:line="192" w:lineRule="auto"/>
              <w:rPr>
                <w:b/>
              </w:rPr>
            </w:pPr>
            <w:r w:rsidRPr="00DD7895">
              <w:rPr>
                <w:rFonts w:hint="cs"/>
                <w:b/>
                <w:rtl/>
              </w:rPr>
              <w:t>حفظ الأراضي الرطبة والأراضي الخثية</w:t>
            </w:r>
          </w:p>
        </w:tc>
        <w:tc>
          <w:tcPr>
            <w:tcW w:w="2607" w:type="dxa"/>
            <w:vMerge w:val="restart"/>
          </w:tcPr>
          <w:p w:rsidR="00023979" w:rsidRPr="00DD7895" w:rsidRDefault="00023979" w:rsidP="00023979">
            <w:pPr>
              <w:spacing w:after="60" w:line="192" w:lineRule="auto"/>
              <w:rPr>
                <w:b/>
              </w:rPr>
            </w:pPr>
            <w:r w:rsidRPr="00DD7895">
              <w:rPr>
                <w:rFonts w:hint="cs"/>
                <w:b/>
                <w:rtl/>
              </w:rPr>
              <w:t>تعزيز القدرة على تخزين المياه</w:t>
            </w:r>
          </w:p>
          <w:p w:rsidR="00023979" w:rsidRPr="00DD7895" w:rsidRDefault="00023979" w:rsidP="00023979">
            <w:pPr>
              <w:spacing w:after="60" w:line="192" w:lineRule="auto"/>
              <w:rPr>
                <w:b/>
              </w:rPr>
            </w:pPr>
            <w:r w:rsidRPr="00DD7895">
              <w:rPr>
                <w:rFonts w:hint="cs"/>
                <w:b/>
                <w:rtl/>
              </w:rPr>
              <w:t>الحد من مخاطر الفيضانات</w:t>
            </w:r>
          </w:p>
          <w:p w:rsidR="00023979" w:rsidRPr="00DD7895" w:rsidRDefault="00023979" w:rsidP="00023979">
            <w:pPr>
              <w:spacing w:after="60" w:line="192" w:lineRule="auto"/>
              <w:rPr>
                <w:b/>
              </w:rPr>
            </w:pPr>
            <w:r w:rsidRPr="00DD7895">
              <w:rPr>
                <w:rFonts w:hint="cs"/>
                <w:b/>
                <w:rtl/>
              </w:rPr>
              <w:t>تحسين إمدادات المياه</w:t>
            </w: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ترميم أحواض الأنهار</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8477DA" w:rsidRPr="00DD7895" w:rsidRDefault="00023979" w:rsidP="00B55747">
            <w:pPr>
              <w:spacing w:after="60" w:line="192" w:lineRule="auto"/>
              <w:rPr>
                <w:b/>
              </w:rPr>
            </w:pPr>
            <w:r w:rsidRPr="00DD7895">
              <w:rPr>
                <w:rFonts w:hint="cs"/>
                <w:b/>
                <w:rtl/>
              </w:rPr>
              <w:t>حوكمة المياه العابرة للحدود واستعادة النظم الإيكولوجية</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val="restart"/>
          </w:tcPr>
          <w:p w:rsidR="00023979" w:rsidRPr="00DD7895" w:rsidRDefault="00023979" w:rsidP="00023979">
            <w:pPr>
              <w:spacing w:after="60" w:line="192" w:lineRule="auto"/>
              <w:rPr>
                <w:b/>
              </w:rPr>
            </w:pPr>
            <w:r w:rsidRPr="00DD7895">
              <w:rPr>
                <w:rFonts w:hint="cs"/>
                <w:b/>
                <w:rtl/>
              </w:rPr>
              <w:t>عدم انتظام هطول الأمطار</w:t>
            </w:r>
          </w:p>
          <w:p w:rsidR="00023979" w:rsidRPr="00DD7895" w:rsidRDefault="00023979" w:rsidP="00023979">
            <w:pPr>
              <w:spacing w:after="60" w:line="192" w:lineRule="auto"/>
              <w:rPr>
                <w:b/>
              </w:rPr>
            </w:pPr>
            <w:r w:rsidRPr="00DD7895">
              <w:rPr>
                <w:rFonts w:hint="cs"/>
                <w:b/>
                <w:rtl/>
              </w:rPr>
              <w:t>ارتفاع درجات الحرارة</w:t>
            </w:r>
          </w:p>
          <w:p w:rsidR="00023979" w:rsidRPr="00DD7895" w:rsidRDefault="00023979" w:rsidP="00023979">
            <w:pPr>
              <w:spacing w:after="60" w:line="192" w:lineRule="auto"/>
              <w:rPr>
                <w:b/>
              </w:rPr>
            </w:pPr>
            <w:r w:rsidRPr="00DD7895">
              <w:rPr>
                <w:rFonts w:hint="cs"/>
                <w:b/>
                <w:rtl/>
              </w:rPr>
              <w:t>تبدل الفصول</w:t>
            </w:r>
          </w:p>
          <w:p w:rsidR="00023979" w:rsidRPr="00DD7895" w:rsidRDefault="00023979" w:rsidP="00023979">
            <w:pPr>
              <w:spacing w:after="60" w:line="192" w:lineRule="auto"/>
              <w:rPr>
                <w:b/>
              </w:rPr>
            </w:pPr>
            <w:r w:rsidRPr="00DD7895">
              <w:rPr>
                <w:rFonts w:hint="cs"/>
                <w:b/>
                <w:rtl/>
              </w:rPr>
              <w:t>الجفاف</w:t>
            </w:r>
          </w:p>
        </w:tc>
        <w:tc>
          <w:tcPr>
            <w:tcW w:w="1350" w:type="dxa"/>
            <w:vMerge w:val="restart"/>
          </w:tcPr>
          <w:p w:rsidR="00023979" w:rsidRPr="00DD7895" w:rsidRDefault="00023979" w:rsidP="00023979">
            <w:pPr>
              <w:spacing w:after="60" w:line="192" w:lineRule="auto"/>
              <w:rPr>
                <w:b/>
              </w:rPr>
            </w:pPr>
            <w:r w:rsidRPr="00DD7895">
              <w:rPr>
                <w:rFonts w:hint="cs"/>
                <w:b/>
                <w:rtl/>
              </w:rPr>
              <w:t>الزراعة والأراضي الجافة</w:t>
            </w:r>
          </w:p>
        </w:tc>
        <w:tc>
          <w:tcPr>
            <w:tcW w:w="3885" w:type="dxa"/>
          </w:tcPr>
          <w:p w:rsidR="00023979" w:rsidRPr="00DD7895" w:rsidRDefault="00023979" w:rsidP="00023979">
            <w:pPr>
              <w:spacing w:after="60" w:line="192" w:lineRule="auto"/>
              <w:rPr>
                <w:b/>
              </w:rPr>
            </w:pPr>
            <w:r w:rsidRPr="00DD7895">
              <w:rPr>
                <w:rFonts w:hint="cs"/>
                <w:b/>
                <w:rtl/>
              </w:rPr>
              <w:t>استعادة النظم الإيكولوجية والحراجة الزراعية</w:t>
            </w:r>
          </w:p>
        </w:tc>
        <w:tc>
          <w:tcPr>
            <w:tcW w:w="2607" w:type="dxa"/>
            <w:vMerge w:val="restart"/>
          </w:tcPr>
          <w:p w:rsidR="00023979" w:rsidRPr="00DD7895" w:rsidRDefault="00023979" w:rsidP="00023979">
            <w:pPr>
              <w:spacing w:after="60" w:line="192" w:lineRule="auto"/>
              <w:rPr>
                <w:b/>
              </w:rPr>
            </w:pPr>
            <w:r w:rsidRPr="00DD7895">
              <w:rPr>
                <w:rFonts w:hint="cs"/>
                <w:b/>
                <w:rtl/>
              </w:rPr>
              <w:t>تعزيز القدرة على تخزين المياه</w:t>
            </w:r>
          </w:p>
          <w:p w:rsidR="00023979" w:rsidRPr="00DD7895" w:rsidRDefault="00023979" w:rsidP="00023979">
            <w:pPr>
              <w:spacing w:after="60" w:line="192" w:lineRule="auto"/>
              <w:rPr>
                <w:b/>
              </w:rPr>
            </w:pPr>
            <w:r w:rsidRPr="00DD7895">
              <w:rPr>
                <w:rFonts w:hint="cs"/>
                <w:b/>
                <w:rtl/>
              </w:rPr>
              <w:t>التكيف مع درجات الحرارة المرتفعة</w:t>
            </w:r>
          </w:p>
          <w:p w:rsidR="00023979" w:rsidRPr="00DD7895" w:rsidRDefault="00023979" w:rsidP="00023979">
            <w:pPr>
              <w:spacing w:after="60" w:line="192" w:lineRule="auto"/>
              <w:rPr>
                <w:b/>
              </w:rPr>
            </w:pPr>
            <w:r w:rsidRPr="00DD7895">
              <w:rPr>
                <w:rFonts w:hint="cs"/>
                <w:b/>
                <w:rtl/>
              </w:rPr>
              <w:t>التكيف مع تبدل الفصول</w:t>
            </w:r>
          </w:p>
          <w:p w:rsidR="00023979" w:rsidRPr="00DD7895" w:rsidRDefault="00023979" w:rsidP="00023979">
            <w:pPr>
              <w:spacing w:after="60" w:line="192" w:lineRule="auto"/>
              <w:rPr>
                <w:b/>
              </w:rPr>
            </w:pPr>
            <w:r w:rsidRPr="00DD7895">
              <w:rPr>
                <w:rFonts w:hint="cs"/>
                <w:b/>
                <w:rtl/>
              </w:rPr>
              <w:t>تحسين إمدادات المياه</w:t>
            </w: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الزراعة البينية للأنواع المتأقلمة</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استخدام الأشجار للتكيف مع مواسم الجفاف المتغيرة</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الإدارة المستدامة للثروة الحيوانية وترميم المراعي</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8477DA" w:rsidRPr="00DD7895" w:rsidRDefault="00023979" w:rsidP="00B55747">
            <w:pPr>
              <w:spacing w:after="60" w:line="192" w:lineRule="auto"/>
              <w:rPr>
                <w:b/>
              </w:rPr>
            </w:pPr>
            <w:r w:rsidRPr="00DD7895">
              <w:rPr>
                <w:rFonts w:hint="cs"/>
                <w:b/>
                <w:rtl/>
              </w:rPr>
              <w:t>تعزيز القدرة على الصمود أمام الجفاف من خلال الإدارة المستدامة للأراضي الجافة</w:t>
            </w:r>
          </w:p>
        </w:tc>
        <w:tc>
          <w:tcPr>
            <w:tcW w:w="2607" w:type="dxa"/>
            <w:vMerge/>
          </w:tcPr>
          <w:p w:rsidR="00023979" w:rsidRPr="00DD7895" w:rsidRDefault="00023979" w:rsidP="00023979">
            <w:pPr>
              <w:spacing w:after="60" w:line="192" w:lineRule="auto"/>
              <w:rPr>
                <w:b/>
              </w:rPr>
            </w:pPr>
          </w:p>
        </w:tc>
      </w:tr>
      <w:tr w:rsidR="00023979" w:rsidRPr="00DD7895" w:rsidTr="00023979">
        <w:trPr>
          <w:cantSplit/>
          <w:trHeight w:val="256"/>
          <w:jc w:val="center"/>
        </w:trPr>
        <w:tc>
          <w:tcPr>
            <w:tcW w:w="2097" w:type="dxa"/>
            <w:vMerge w:val="restart"/>
          </w:tcPr>
          <w:p w:rsidR="00023979" w:rsidRPr="00DD7895" w:rsidRDefault="00023979" w:rsidP="00023979">
            <w:pPr>
              <w:spacing w:after="60" w:line="192" w:lineRule="auto"/>
              <w:rPr>
                <w:b/>
              </w:rPr>
            </w:pPr>
            <w:r w:rsidRPr="00DD7895">
              <w:rPr>
                <w:rFonts w:hint="cs"/>
                <w:b/>
                <w:rtl/>
              </w:rPr>
              <w:t>الحرارة الشديدة</w:t>
            </w:r>
          </w:p>
          <w:p w:rsidR="00023979" w:rsidRPr="00DD7895" w:rsidRDefault="00023979" w:rsidP="00023979">
            <w:pPr>
              <w:spacing w:after="60" w:line="192" w:lineRule="auto"/>
              <w:rPr>
                <w:b/>
              </w:rPr>
            </w:pPr>
            <w:r w:rsidRPr="00DD7895">
              <w:rPr>
                <w:rFonts w:hint="cs"/>
                <w:b/>
                <w:rtl/>
              </w:rPr>
              <w:t>ارتفاع درجات الحرارة</w:t>
            </w:r>
          </w:p>
          <w:p w:rsidR="00023979" w:rsidRPr="00DD7895" w:rsidRDefault="00023979" w:rsidP="00023979">
            <w:pPr>
              <w:spacing w:after="60" w:line="192" w:lineRule="auto"/>
              <w:rPr>
                <w:b/>
              </w:rPr>
            </w:pPr>
            <w:r w:rsidRPr="00DD7895">
              <w:rPr>
                <w:rFonts w:hint="cs"/>
                <w:b/>
                <w:rtl/>
              </w:rPr>
              <w:t>الفيضانات</w:t>
            </w:r>
          </w:p>
          <w:p w:rsidR="00023979" w:rsidRPr="00DD7895" w:rsidRDefault="00023979" w:rsidP="00023979">
            <w:pPr>
              <w:spacing w:after="60" w:line="192" w:lineRule="auto"/>
              <w:rPr>
                <w:b/>
              </w:rPr>
            </w:pPr>
            <w:r w:rsidRPr="00DD7895">
              <w:rPr>
                <w:rFonts w:hint="cs"/>
                <w:b/>
                <w:rtl/>
              </w:rPr>
              <w:t>عدم انتظام هطول الأمطار</w:t>
            </w:r>
          </w:p>
        </w:tc>
        <w:tc>
          <w:tcPr>
            <w:tcW w:w="1350" w:type="dxa"/>
            <w:vMerge w:val="restart"/>
          </w:tcPr>
          <w:p w:rsidR="00023979" w:rsidRPr="00DD7895" w:rsidRDefault="00023979" w:rsidP="00023979">
            <w:pPr>
              <w:spacing w:after="60" w:line="192" w:lineRule="auto"/>
              <w:rPr>
                <w:b/>
              </w:rPr>
            </w:pPr>
            <w:r w:rsidRPr="00DD7895">
              <w:rPr>
                <w:rFonts w:hint="cs"/>
                <w:b/>
                <w:rtl/>
              </w:rPr>
              <w:t>الحضري</w:t>
            </w:r>
          </w:p>
        </w:tc>
        <w:tc>
          <w:tcPr>
            <w:tcW w:w="3885" w:type="dxa"/>
          </w:tcPr>
          <w:p w:rsidR="00023979" w:rsidRPr="00DD7895" w:rsidRDefault="00023979" w:rsidP="00023979">
            <w:pPr>
              <w:spacing w:after="60" w:line="192" w:lineRule="auto"/>
              <w:rPr>
                <w:b/>
              </w:rPr>
            </w:pPr>
            <w:r w:rsidRPr="00DD7895">
              <w:rPr>
                <w:rFonts w:hint="cs"/>
                <w:b/>
                <w:rtl/>
              </w:rPr>
              <w:t>ممرات التهوية الخضراء في المدن</w:t>
            </w:r>
          </w:p>
        </w:tc>
        <w:tc>
          <w:tcPr>
            <w:tcW w:w="2607" w:type="dxa"/>
            <w:vMerge w:val="restart"/>
          </w:tcPr>
          <w:p w:rsidR="00023979" w:rsidRPr="00DD7895" w:rsidRDefault="00023979" w:rsidP="00023979">
            <w:pPr>
              <w:spacing w:after="60" w:line="192" w:lineRule="auto"/>
              <w:rPr>
                <w:b/>
              </w:rPr>
            </w:pPr>
            <w:r w:rsidRPr="00DD7895">
              <w:rPr>
                <w:rFonts w:hint="cs"/>
                <w:b/>
                <w:rtl/>
              </w:rPr>
              <w:t>تخفيف الموجات الحارة</w:t>
            </w:r>
          </w:p>
          <w:p w:rsidR="00023979" w:rsidRPr="00DD7895" w:rsidRDefault="00023979" w:rsidP="00023979">
            <w:pPr>
              <w:spacing w:after="60" w:line="192" w:lineRule="auto"/>
              <w:rPr>
                <w:b/>
              </w:rPr>
            </w:pPr>
            <w:r w:rsidRPr="00DD7895">
              <w:rPr>
                <w:rFonts w:hint="cs"/>
                <w:b/>
                <w:rtl/>
              </w:rPr>
              <w:t>التكيف مع درجات الحرارة المرتفعة</w:t>
            </w:r>
          </w:p>
          <w:p w:rsidR="00023979" w:rsidRPr="00DD7895" w:rsidRDefault="00023979" w:rsidP="00023979">
            <w:pPr>
              <w:spacing w:after="60" w:line="192" w:lineRule="auto"/>
              <w:rPr>
                <w:b/>
              </w:rPr>
            </w:pPr>
            <w:r w:rsidRPr="00DD7895">
              <w:rPr>
                <w:rFonts w:hint="cs"/>
                <w:b/>
                <w:rtl/>
              </w:rPr>
              <w:t>الحد من مخاطر الفيضانات</w:t>
            </w:r>
          </w:p>
          <w:p w:rsidR="00023979" w:rsidRPr="00DD7895" w:rsidRDefault="00023979" w:rsidP="00023979">
            <w:pPr>
              <w:spacing w:after="60" w:line="192" w:lineRule="auto"/>
              <w:rPr>
                <w:b/>
              </w:rPr>
            </w:pPr>
            <w:r w:rsidRPr="00DD7895">
              <w:rPr>
                <w:rFonts w:hint="cs"/>
                <w:b/>
                <w:rtl/>
              </w:rPr>
              <w:t>تحسين مراقبة المياه</w:t>
            </w:r>
          </w:p>
        </w:tc>
      </w:tr>
      <w:tr w:rsidR="00023979" w:rsidRPr="00DD7895" w:rsidTr="00023979">
        <w:trPr>
          <w:cantSplit/>
          <w:trHeight w:val="107"/>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إدارة مياه العواصف عن طريق المساحات الخضراء</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ترميم الأنهار في المناطق الحضرية</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واجهات خضراء للمباني</w:t>
            </w:r>
          </w:p>
        </w:tc>
        <w:tc>
          <w:tcPr>
            <w:tcW w:w="2607" w:type="dxa"/>
            <w:vMerge/>
          </w:tcPr>
          <w:p w:rsidR="00023979" w:rsidRPr="00DD7895" w:rsidRDefault="00023979" w:rsidP="00023979">
            <w:pPr>
              <w:spacing w:after="60" w:line="192" w:lineRule="auto"/>
              <w:rPr>
                <w:b/>
              </w:rPr>
            </w:pPr>
          </w:p>
        </w:tc>
      </w:tr>
      <w:tr w:rsidR="00023979" w:rsidRPr="00DD7895" w:rsidTr="00023979">
        <w:trPr>
          <w:cantSplit/>
          <w:jc w:val="center"/>
        </w:trPr>
        <w:tc>
          <w:tcPr>
            <w:tcW w:w="2097" w:type="dxa"/>
            <w:vMerge w:val="restart"/>
          </w:tcPr>
          <w:p w:rsidR="00023979" w:rsidRPr="00DD7895" w:rsidRDefault="00023979" w:rsidP="00023979">
            <w:pPr>
              <w:spacing w:after="60" w:line="192" w:lineRule="auto"/>
              <w:rPr>
                <w:b/>
              </w:rPr>
            </w:pPr>
            <w:r w:rsidRPr="00DD7895">
              <w:rPr>
                <w:rFonts w:hint="cs"/>
                <w:b/>
                <w:rtl/>
              </w:rPr>
              <w:lastRenderedPageBreak/>
              <w:t>عرام العواصف</w:t>
            </w:r>
          </w:p>
          <w:p w:rsidR="00023979" w:rsidRPr="00DD7895" w:rsidRDefault="00023979" w:rsidP="00023979">
            <w:pPr>
              <w:spacing w:after="60" w:line="192" w:lineRule="auto"/>
              <w:rPr>
                <w:b/>
              </w:rPr>
            </w:pPr>
            <w:r w:rsidRPr="00DD7895">
              <w:rPr>
                <w:rFonts w:hint="cs"/>
                <w:b/>
                <w:rtl/>
              </w:rPr>
              <w:t>الأعاصير</w:t>
            </w:r>
          </w:p>
          <w:p w:rsidR="00023979" w:rsidRPr="00DD7895" w:rsidRDefault="00023979" w:rsidP="00023979">
            <w:pPr>
              <w:spacing w:after="60" w:line="192" w:lineRule="auto"/>
              <w:rPr>
                <w:b/>
              </w:rPr>
            </w:pPr>
            <w:r w:rsidRPr="00DD7895">
              <w:rPr>
                <w:rFonts w:hint="cs"/>
                <w:b/>
                <w:rtl/>
              </w:rPr>
              <w:t>ارتفاع مستوى سطح البحر</w:t>
            </w:r>
          </w:p>
          <w:p w:rsidR="00023979" w:rsidRPr="00DD7895" w:rsidRDefault="00023979" w:rsidP="00023979">
            <w:pPr>
              <w:spacing w:after="60" w:line="192" w:lineRule="auto"/>
              <w:rPr>
                <w:b/>
              </w:rPr>
            </w:pPr>
            <w:r w:rsidRPr="00DD7895">
              <w:rPr>
                <w:rFonts w:hint="cs"/>
                <w:b/>
                <w:rtl/>
              </w:rPr>
              <w:t>التملح</w:t>
            </w:r>
          </w:p>
          <w:p w:rsidR="00023979" w:rsidRPr="00DD7895" w:rsidRDefault="00023979" w:rsidP="00023979">
            <w:pPr>
              <w:spacing w:after="60" w:line="192" w:lineRule="auto"/>
              <w:rPr>
                <w:b/>
                <w:rtl/>
              </w:rPr>
            </w:pPr>
            <w:r w:rsidRPr="00DD7895">
              <w:rPr>
                <w:rFonts w:hint="cs"/>
                <w:b/>
                <w:rtl/>
              </w:rPr>
              <w:t>ارتفاع درجات الحرارة</w:t>
            </w:r>
          </w:p>
          <w:p w:rsidR="00023979" w:rsidRPr="00DD7895" w:rsidRDefault="00023979" w:rsidP="00023979">
            <w:pPr>
              <w:spacing w:after="60" w:line="192" w:lineRule="auto"/>
              <w:rPr>
                <w:b/>
              </w:rPr>
            </w:pPr>
            <w:r w:rsidRPr="00DD7895">
              <w:rPr>
                <w:rFonts w:hint="cs"/>
                <w:b/>
                <w:rtl/>
              </w:rPr>
              <w:t>تحمض المحيطات</w:t>
            </w:r>
          </w:p>
        </w:tc>
        <w:tc>
          <w:tcPr>
            <w:tcW w:w="1350" w:type="dxa"/>
            <w:vMerge w:val="restart"/>
          </w:tcPr>
          <w:p w:rsidR="00023979" w:rsidRPr="00DD7895" w:rsidRDefault="00023979" w:rsidP="00023979">
            <w:pPr>
              <w:spacing w:after="60" w:line="192" w:lineRule="auto"/>
              <w:rPr>
                <w:b/>
              </w:rPr>
            </w:pPr>
            <w:r w:rsidRPr="00DD7895">
              <w:rPr>
                <w:rFonts w:hint="cs"/>
                <w:b/>
                <w:rtl/>
              </w:rPr>
              <w:t>البحري والساحلي</w:t>
            </w:r>
          </w:p>
        </w:tc>
        <w:tc>
          <w:tcPr>
            <w:tcW w:w="3885" w:type="dxa"/>
          </w:tcPr>
          <w:p w:rsidR="00023979" w:rsidRPr="00DD7895" w:rsidRDefault="00023979" w:rsidP="00023979">
            <w:pPr>
              <w:spacing w:after="60" w:line="192" w:lineRule="auto"/>
              <w:rPr>
                <w:b/>
              </w:rPr>
            </w:pPr>
            <w:r w:rsidRPr="00DD7895">
              <w:rPr>
                <w:rFonts w:hint="cs"/>
                <w:b/>
                <w:rtl/>
              </w:rPr>
              <w:t>استعادة المنغروف وحماية السواحل</w:t>
            </w:r>
          </w:p>
        </w:tc>
        <w:tc>
          <w:tcPr>
            <w:tcW w:w="2607" w:type="dxa"/>
            <w:vMerge w:val="restart"/>
          </w:tcPr>
          <w:p w:rsidR="00023979" w:rsidRPr="00DD7895" w:rsidRDefault="00023979" w:rsidP="00023979">
            <w:pPr>
              <w:spacing w:after="60" w:line="192" w:lineRule="auto"/>
              <w:rPr>
                <w:b/>
              </w:rPr>
            </w:pPr>
            <w:r w:rsidRPr="00DD7895">
              <w:rPr>
                <w:rFonts w:hint="cs"/>
                <w:b/>
                <w:rtl/>
              </w:rPr>
              <w:t>الحد من مخاطر العواصف والأعاصير</w:t>
            </w:r>
          </w:p>
          <w:p w:rsidR="00023979" w:rsidRPr="00DD7895" w:rsidRDefault="00023979" w:rsidP="00023979">
            <w:pPr>
              <w:spacing w:after="60" w:line="192" w:lineRule="auto"/>
              <w:rPr>
                <w:b/>
              </w:rPr>
            </w:pPr>
            <w:r w:rsidRPr="00DD7895">
              <w:rPr>
                <w:rFonts w:hint="cs"/>
                <w:b/>
                <w:rtl/>
              </w:rPr>
              <w:t>الحد من مخاطر الفيضانات</w:t>
            </w:r>
          </w:p>
          <w:p w:rsidR="00023979" w:rsidRPr="00DD7895" w:rsidRDefault="00023979" w:rsidP="00023979">
            <w:pPr>
              <w:spacing w:after="60" w:line="192" w:lineRule="auto"/>
              <w:rPr>
                <w:b/>
              </w:rPr>
            </w:pPr>
            <w:r w:rsidRPr="00DD7895">
              <w:rPr>
                <w:rFonts w:hint="cs"/>
                <w:b/>
                <w:rtl/>
              </w:rPr>
              <w:t>تحسين جودة المياه</w:t>
            </w:r>
          </w:p>
          <w:p w:rsidR="00023979" w:rsidRPr="00DD7895" w:rsidRDefault="00023979" w:rsidP="00023979">
            <w:pPr>
              <w:spacing w:after="60" w:line="192" w:lineRule="auto"/>
              <w:rPr>
                <w:b/>
              </w:rPr>
            </w:pPr>
            <w:r w:rsidRPr="00DD7895">
              <w:rPr>
                <w:rFonts w:hint="cs"/>
                <w:b/>
                <w:rtl/>
              </w:rPr>
              <w:t>التكيف مع درجات الحرارة المرتفعة</w:t>
            </w:r>
          </w:p>
        </w:tc>
      </w:tr>
      <w:tr w:rsidR="00023979" w:rsidRPr="00DD7895" w:rsidTr="00023979">
        <w:trPr>
          <w:cantSplit/>
          <w:trHeight w:val="268"/>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إعادة تنظيم السواحل</w:t>
            </w:r>
          </w:p>
        </w:tc>
        <w:tc>
          <w:tcPr>
            <w:tcW w:w="2607" w:type="dxa"/>
            <w:vMerge/>
          </w:tcPr>
          <w:p w:rsidR="00023979" w:rsidRPr="00DD7895" w:rsidRDefault="00023979" w:rsidP="00023979">
            <w:pPr>
              <w:spacing w:after="60" w:line="192" w:lineRule="auto"/>
              <w:rPr>
                <w:bCs/>
              </w:rPr>
            </w:pPr>
          </w:p>
        </w:tc>
      </w:tr>
      <w:tr w:rsidR="00023979" w:rsidRPr="00DD7895" w:rsidTr="00023979">
        <w:trPr>
          <w:cantSplit/>
          <w:trHeight w:val="530"/>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صيد الأسماك المستدام وإعادة تأهيل المنغروف</w:t>
            </w:r>
          </w:p>
        </w:tc>
        <w:tc>
          <w:tcPr>
            <w:tcW w:w="2607" w:type="dxa"/>
            <w:vMerge/>
          </w:tcPr>
          <w:p w:rsidR="00023979" w:rsidRPr="00DD7895" w:rsidRDefault="00023979" w:rsidP="00023979">
            <w:pPr>
              <w:spacing w:after="60" w:line="192" w:lineRule="auto"/>
              <w:rPr>
                <w:bCs/>
              </w:rPr>
            </w:pPr>
          </w:p>
        </w:tc>
      </w:tr>
      <w:tr w:rsidR="00023979" w:rsidRPr="00DD7895" w:rsidTr="00023979">
        <w:trPr>
          <w:cantSplit/>
          <w:jc w:val="center"/>
        </w:trPr>
        <w:tc>
          <w:tcPr>
            <w:tcW w:w="2097" w:type="dxa"/>
            <w:vMerge/>
          </w:tcPr>
          <w:p w:rsidR="00023979" w:rsidRPr="00DD7895" w:rsidRDefault="00023979" w:rsidP="00023979">
            <w:pPr>
              <w:spacing w:after="60" w:line="192" w:lineRule="auto"/>
              <w:rPr>
                <w:b/>
              </w:rPr>
            </w:pPr>
          </w:p>
        </w:tc>
        <w:tc>
          <w:tcPr>
            <w:tcW w:w="1350" w:type="dxa"/>
            <w:vMerge/>
          </w:tcPr>
          <w:p w:rsidR="00023979" w:rsidRPr="00DD7895" w:rsidRDefault="00023979" w:rsidP="00023979">
            <w:pPr>
              <w:spacing w:after="60" w:line="192" w:lineRule="auto"/>
              <w:rPr>
                <w:b/>
              </w:rPr>
            </w:pPr>
          </w:p>
        </w:tc>
        <w:tc>
          <w:tcPr>
            <w:tcW w:w="3885" w:type="dxa"/>
          </w:tcPr>
          <w:p w:rsidR="00023979" w:rsidRPr="00DD7895" w:rsidRDefault="00023979" w:rsidP="00023979">
            <w:pPr>
              <w:spacing w:after="60" w:line="192" w:lineRule="auto"/>
              <w:rPr>
                <w:b/>
              </w:rPr>
            </w:pPr>
            <w:r w:rsidRPr="00DD7895">
              <w:rPr>
                <w:rFonts w:hint="cs"/>
                <w:b/>
                <w:rtl/>
              </w:rPr>
              <w:t>استعادة الشعاب المرجانية</w:t>
            </w:r>
          </w:p>
        </w:tc>
        <w:tc>
          <w:tcPr>
            <w:tcW w:w="2607" w:type="dxa"/>
            <w:vMerge/>
          </w:tcPr>
          <w:p w:rsidR="00023979" w:rsidRPr="00DD7895" w:rsidRDefault="00023979" w:rsidP="00023979">
            <w:pPr>
              <w:spacing w:after="60" w:line="192" w:lineRule="auto"/>
              <w:rPr>
                <w:bCs/>
              </w:rPr>
            </w:pPr>
          </w:p>
        </w:tc>
      </w:tr>
    </w:tbl>
    <w:p w:rsidR="00023979" w:rsidRPr="00C6215F" w:rsidRDefault="00023979" w:rsidP="00023979">
      <w:pPr>
        <w:spacing w:before="240" w:after="100" w:line="204" w:lineRule="auto"/>
        <w:rPr>
          <w:rtl/>
        </w:rPr>
      </w:pPr>
      <w:r w:rsidRPr="00C6215F">
        <w:rPr>
          <w:rFonts w:hint="cs"/>
          <w:rtl/>
        </w:rPr>
        <w:t>6-</w:t>
      </w:r>
      <w:r w:rsidRPr="00C6215F">
        <w:rPr>
          <w:rFonts w:hint="cs"/>
          <w:rtl/>
        </w:rPr>
        <w:tab/>
        <w:t>وتتسم النُهج القائمة على النظم الإيكولوجية بشأن التكيف مع تغير المناخ والحد من مخاطر الكوارث بالخصائص التالية:</w:t>
      </w:r>
    </w:p>
    <w:p w:rsidR="00023979" w:rsidRPr="00C6215F" w:rsidRDefault="00023979" w:rsidP="00023979">
      <w:pPr>
        <w:spacing w:after="100" w:line="204" w:lineRule="auto"/>
        <w:ind w:firstLine="720"/>
        <w:rPr>
          <w:rtl/>
        </w:rPr>
      </w:pPr>
      <w:r w:rsidRPr="00C6215F">
        <w:rPr>
          <w:rFonts w:hint="cs"/>
          <w:rtl/>
        </w:rPr>
        <w:t>(أ)</w:t>
      </w:r>
      <w:r w:rsidRPr="00C6215F">
        <w:rPr>
          <w:rFonts w:hint="cs"/>
          <w:rtl/>
        </w:rPr>
        <w:tab/>
        <w:t>تعزز القدرة على الصمود والتكيف وتقلل مواطن الضعف الاجتماعية والبيئية في مواجهة المخاطر المرتبطة بآثار تغير المناخ، مما يسهم في تحقيق عملية تصاعدية وتحولية للتكيف والحد من مخاطر الكوارث؛</w:t>
      </w:r>
    </w:p>
    <w:p w:rsidR="00023979" w:rsidRPr="00C6215F" w:rsidRDefault="00023979" w:rsidP="00023979">
      <w:pPr>
        <w:spacing w:after="100" w:line="204" w:lineRule="auto"/>
        <w:ind w:firstLine="720"/>
        <w:rPr>
          <w:rtl/>
        </w:rPr>
      </w:pPr>
      <w:r w:rsidRPr="00C6215F">
        <w:rPr>
          <w:rFonts w:hint="cs"/>
          <w:rtl/>
        </w:rPr>
        <w:t>(ب)</w:t>
      </w:r>
      <w:r w:rsidRPr="00C6215F">
        <w:rPr>
          <w:rFonts w:hint="cs"/>
          <w:rtl/>
        </w:rPr>
        <w:tab/>
        <w:t>تولد منافع مجتمعية، مما يسهم في التنمية المستدامة التي تتسم بالقدرة على الصمود باستخدام نُهج منصفة، وشفافة وتشاركية؛</w:t>
      </w:r>
    </w:p>
    <w:p w:rsidR="00023979" w:rsidRPr="00C6215F" w:rsidRDefault="00023979" w:rsidP="00023979">
      <w:pPr>
        <w:spacing w:after="100" w:line="204" w:lineRule="auto"/>
        <w:ind w:firstLine="720"/>
        <w:rPr>
          <w:rtl/>
        </w:rPr>
      </w:pPr>
      <w:r w:rsidRPr="00C6215F">
        <w:rPr>
          <w:rFonts w:hint="cs"/>
          <w:rtl/>
        </w:rPr>
        <w:t>(ج)</w:t>
      </w:r>
      <w:r w:rsidRPr="00C6215F">
        <w:rPr>
          <w:rFonts w:hint="cs"/>
          <w:rtl/>
        </w:rPr>
        <w:tab/>
        <w:t>تستفيد من التنوع البيولوجي ووظائف وخدمات النظم الإيكولوجية من خلال إدارة النظم الإيكولوجية وحفظها واستعادتها على نحو مستدام؛</w:t>
      </w:r>
    </w:p>
    <w:p w:rsidR="00023979" w:rsidRPr="00C6215F" w:rsidRDefault="00023979" w:rsidP="00023979">
      <w:pPr>
        <w:spacing w:after="100" w:line="204" w:lineRule="auto"/>
        <w:ind w:firstLine="720"/>
        <w:rPr>
          <w:rtl/>
        </w:rPr>
      </w:pPr>
      <w:r w:rsidRPr="00C6215F">
        <w:rPr>
          <w:rFonts w:hint="cs"/>
          <w:rtl/>
        </w:rPr>
        <w:t>(د)</w:t>
      </w:r>
      <w:r w:rsidRPr="00C6215F">
        <w:rPr>
          <w:rFonts w:hint="cs"/>
          <w:rtl/>
        </w:rPr>
        <w:tab/>
        <w:t>تشكل جزءا من الاستراتيجيات العامة للتكيف والحد من مخاطر الكوارث التي تدعمها السياسات على مستويات عديدة، وتشجع الحوكمة المنصفة بجانب تعزيز القدرات.</w:t>
      </w:r>
    </w:p>
    <w:p w:rsidR="00023979" w:rsidRPr="00C6215F" w:rsidRDefault="00023979" w:rsidP="00023979">
      <w:pPr>
        <w:spacing w:after="100" w:line="204" w:lineRule="auto"/>
        <w:rPr>
          <w:b/>
          <w:bCs/>
          <w:lang w:val="en-GB"/>
        </w:rPr>
      </w:pPr>
      <w:r w:rsidRPr="00C6215F">
        <w:rPr>
          <w:rFonts w:hint="cs"/>
          <w:b/>
          <w:bCs/>
          <w:rtl/>
        </w:rPr>
        <w:t>2-</w:t>
      </w:r>
      <w:r w:rsidRPr="00C6215F">
        <w:rPr>
          <w:rFonts w:hint="cs"/>
          <w:b/>
          <w:bCs/>
          <w:rtl/>
        </w:rPr>
        <w:tab/>
        <w:t>المبادئ والضمانات</w:t>
      </w:r>
    </w:p>
    <w:p w:rsidR="00023979" w:rsidRDefault="00023979" w:rsidP="00023979">
      <w:pPr>
        <w:spacing w:after="100" w:line="204" w:lineRule="auto"/>
        <w:rPr>
          <w:rtl/>
        </w:rPr>
      </w:pPr>
      <w:r w:rsidRPr="00C6215F">
        <w:rPr>
          <w:rFonts w:hint="cs"/>
          <w:rtl/>
        </w:rPr>
        <w:t>7-</w:t>
      </w:r>
      <w:r w:rsidRPr="00C6215F">
        <w:rPr>
          <w:rFonts w:hint="cs"/>
          <w:rtl/>
        </w:rPr>
        <w:tab/>
        <w:t>المبادئ التوجيهية الطوعية تدعمها مبادئ وضمانات أُعدت بموجب استعراض المؤلفات والمبادئ التوجيهية القائمة بشأن النُهج القائمة على النظم الإيكولوجية بشأن التكيف مع تغير المناخ والحد من مخاطر الكوارث</w:t>
      </w:r>
      <w:r w:rsidRPr="00C6215F">
        <w:rPr>
          <w:vertAlign w:val="superscript"/>
          <w:rtl/>
        </w:rPr>
        <w:footnoteReference w:id="56"/>
      </w:r>
      <w:r w:rsidRPr="00C6215F">
        <w:rPr>
          <w:rFonts w:hint="cs"/>
          <w:rtl/>
        </w:rPr>
        <w:t xml:space="preserve"> وتكمل المبادئ والإرشادات الأخرى</w:t>
      </w:r>
      <w:r w:rsidRPr="00C6215F">
        <w:rPr>
          <w:vertAlign w:val="superscript"/>
          <w:rtl/>
        </w:rPr>
        <w:footnoteReference w:id="57"/>
      </w:r>
      <w:r w:rsidRPr="00C6215F">
        <w:rPr>
          <w:rFonts w:hint="cs"/>
          <w:rtl/>
        </w:rPr>
        <w:t xml:space="preserve"> المعدّة بموجب الاتفاقية أو تحت إشراف الهيئات الأخرى. وهذه الضمانات عبارة عن تدابير اجتماعية وبيئية لتجنب العواقب غير المقصودة للُنهج القائمة على النظم الإيكولوجية بشأن التكيف مع تغير المناخ والحد من مخاطر الكوارث على الشعوب، والنظم الإيكولوجية والتنوع البيولوجي؛ كما أنها تيسر الشفافية عبر جميع مراحل التخطيط والتنفيذ، وتعزز تحقيق الفوائد.</w:t>
      </w:r>
    </w:p>
    <w:p w:rsidR="00B55747" w:rsidRPr="00C6215F" w:rsidRDefault="00B55747" w:rsidP="000C66C6">
      <w:pPr>
        <w:spacing w:after="0" w:line="204" w:lineRule="auto"/>
        <w:rPr>
          <w:rtl/>
        </w:rPr>
      </w:pPr>
    </w:p>
    <w:p w:rsidR="00023979" w:rsidRPr="00C6215F" w:rsidRDefault="00023979" w:rsidP="00B55747">
      <w:pPr>
        <w:spacing w:after="100" w:line="204" w:lineRule="auto"/>
        <w:ind w:firstLine="547"/>
        <w:rPr>
          <w:b/>
          <w:bCs/>
          <w:rtl/>
        </w:rPr>
      </w:pPr>
      <w:r w:rsidRPr="00C6215F">
        <w:rPr>
          <w:rFonts w:hint="cs"/>
          <w:b/>
          <w:bCs/>
          <w:rtl/>
        </w:rPr>
        <w:t>2-1</w:t>
      </w:r>
      <w:r w:rsidRPr="00C6215F">
        <w:rPr>
          <w:rFonts w:hint="cs"/>
          <w:b/>
          <w:bCs/>
          <w:rtl/>
        </w:rPr>
        <w:tab/>
        <w:t>المبادئ</w:t>
      </w:r>
    </w:p>
    <w:p w:rsidR="00023979" w:rsidRPr="00C6215F" w:rsidRDefault="00023979" w:rsidP="00023979">
      <w:pPr>
        <w:spacing w:after="100" w:line="204" w:lineRule="auto"/>
        <w:rPr>
          <w:rtl/>
        </w:rPr>
      </w:pPr>
      <w:r w:rsidRPr="00C6215F">
        <w:rPr>
          <w:rFonts w:hint="cs"/>
          <w:rtl/>
        </w:rPr>
        <w:t>8-</w:t>
      </w:r>
      <w:r w:rsidRPr="00C6215F">
        <w:rPr>
          <w:rFonts w:hint="cs"/>
          <w:rtl/>
        </w:rPr>
        <w:tab/>
        <w:t>تدمج هذه المبادئ عناصر ممارسات النُهج القائمة على النظم الإيكولوجية بشأن التكيف مع تغير المناخ والحد من مخاطر الكوارث وتعمل كمعايير رفيعة المستوى لتوجيه التخطيط والتنفيذ. وهي تُصنف إلى مواضيع: بناء القدرة على الصمود وتعزيز القدرة التكيفية، والشمولية والإنصاف، ومراعاة نطاقات متعددة، والفعالية والكفاءة. وتقدم المبادئ التوجيهية الواردة في القسم 3 اقتراحات لخطوات ومنهجيات وأدوات ذات صلة لتنفيذ الإجراءات المتعلقة بالنُهج القائمة على النظم الإيكولوجية بشأن التكيف مع تغير المناخ والحد من مخاطر الكوارث وفقا للمبادئ والضمانات.</w:t>
      </w:r>
    </w:p>
    <w:p w:rsidR="00023979" w:rsidRDefault="00023979" w:rsidP="00023979">
      <w:r>
        <w:rPr>
          <w:rtl/>
        </w:rPr>
        <w:br w:type="page"/>
      </w:r>
    </w:p>
    <w:p w:rsidR="00023979" w:rsidRPr="00C6215F" w:rsidRDefault="00023979" w:rsidP="00023979">
      <w:pPr>
        <w:spacing w:after="100" w:line="204" w:lineRule="auto"/>
        <w:rPr>
          <w:rtl/>
        </w:rPr>
      </w:pPr>
    </w:p>
    <w:tbl>
      <w:tblPr>
        <w:bidiVisual/>
        <w:tblW w:w="98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16"/>
        <w:gridCol w:w="9112"/>
      </w:tblGrid>
      <w:tr w:rsidR="00023979" w:rsidRPr="00C6215F" w:rsidTr="00023979">
        <w:trPr>
          <w:jc w:val="center"/>
        </w:trPr>
        <w:tc>
          <w:tcPr>
            <w:tcW w:w="9828" w:type="dxa"/>
            <w:gridSpan w:val="2"/>
            <w:tcBorders>
              <w:top w:val="single" w:sz="4" w:space="0" w:color="auto"/>
              <w:bottom w:val="nil"/>
            </w:tcBorders>
            <w:shd w:val="clear" w:color="auto" w:fill="auto"/>
          </w:tcPr>
          <w:p w:rsidR="00023979" w:rsidRPr="00C6215F" w:rsidRDefault="00023979" w:rsidP="00023979">
            <w:pPr>
              <w:spacing w:after="60" w:line="192" w:lineRule="auto"/>
              <w:rPr>
                <w:bCs/>
              </w:rPr>
            </w:pPr>
            <w:r w:rsidRPr="00C6215F">
              <w:rPr>
                <w:rFonts w:hint="cs"/>
                <w:bCs/>
                <w:rtl/>
              </w:rPr>
              <w:t>مبادئ لبناء القدرة على الصمود وتعزيز القدرة التكيفية من خلال النُهج القائمة على النظم الإيكولوجية بشأن التكيف مع تغير المناخ والحد من مخاطر الكوارث</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1</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النظر في نطاق كامل للنُهج القائمة على النظم الإيكولوجية لتعزيز قدرة النظم الإيكولوجية الاجتماعية على الصمود في إطار الاستراتيجيات العامة للتكيف والحد من مخاطر الكوارث.</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2</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استخدام الاستجابة للكوارث كفرصة لإعادة البناء بصورة أفضل من أجل تعزيز القدرة على التأقلم والصمود</w:t>
            </w:r>
            <w:r w:rsidRPr="00C6215F">
              <w:rPr>
                <w:vertAlign w:val="superscript"/>
                <w:rtl/>
              </w:rPr>
              <w:footnoteReference w:id="58"/>
            </w:r>
            <w:r w:rsidRPr="00C6215F">
              <w:rPr>
                <w:rFonts w:hint="cs"/>
                <w:rtl/>
              </w:rPr>
              <w:t xml:space="preserve"> ودمج اعتبارات النظم الإيكولوجية عبر جميع مراحل إدارة الكوارث.</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3</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تطبيق نهج تحوطي</w:t>
            </w:r>
            <w:r w:rsidRPr="00C6215F">
              <w:rPr>
                <w:vertAlign w:val="superscript"/>
                <w:rtl/>
              </w:rPr>
              <w:footnoteReference w:id="59"/>
            </w:r>
            <w:r w:rsidRPr="00C6215F">
              <w:rPr>
                <w:rFonts w:hint="cs"/>
                <w:rtl/>
              </w:rPr>
              <w:t xml:space="preserve"> في تخطيط وتنفيذ تدخلات النُهج القائمة على النظم الإيكولوجية بشأن التكيف مع تغير المناخ والحد من مخاطر الكوارث.</w:t>
            </w:r>
          </w:p>
        </w:tc>
      </w:tr>
      <w:tr w:rsidR="00023979" w:rsidRPr="00C6215F" w:rsidTr="00023979">
        <w:trPr>
          <w:jc w:val="center"/>
        </w:trPr>
        <w:tc>
          <w:tcPr>
            <w:tcW w:w="9828" w:type="dxa"/>
            <w:gridSpan w:val="2"/>
            <w:tcBorders>
              <w:top w:val="nil"/>
              <w:bottom w:val="nil"/>
            </w:tcBorders>
            <w:shd w:val="clear" w:color="auto" w:fill="auto"/>
          </w:tcPr>
          <w:p w:rsidR="00023979" w:rsidRPr="00C6215F" w:rsidRDefault="00023979" w:rsidP="00023979">
            <w:pPr>
              <w:spacing w:after="60" w:line="192" w:lineRule="auto"/>
              <w:rPr>
                <w:bCs/>
              </w:rPr>
            </w:pPr>
            <w:r w:rsidRPr="00C6215F">
              <w:rPr>
                <w:rFonts w:hint="cs"/>
                <w:bCs/>
                <w:rtl/>
              </w:rPr>
              <w:t>مبادئ لضمان الشمولية والإنصاف في التخطيط والتنفيذ</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4</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تخطيط وتنفيذ تدخلات النُهج القائمة على النظم الإيكولوجية بشأن التكيف مع تغير المناخ والحد من مخاطر الكوارث من أجل منع وتجنب الآثار غير المتناسبة لتغير المناخ والحد من مخاطر الكوارث على النظم الإيكولوجية وكذلك على الفئات الضعيفة، والشعوب الأصلية والمجتمعات المحلية والنساء والبنات.</w:t>
            </w:r>
          </w:p>
        </w:tc>
      </w:tr>
      <w:tr w:rsidR="00023979" w:rsidRPr="00C6215F" w:rsidTr="00023979">
        <w:trPr>
          <w:jc w:val="center"/>
        </w:trPr>
        <w:tc>
          <w:tcPr>
            <w:tcW w:w="9828" w:type="dxa"/>
            <w:gridSpan w:val="2"/>
            <w:tcBorders>
              <w:top w:val="nil"/>
              <w:bottom w:val="nil"/>
            </w:tcBorders>
            <w:shd w:val="clear" w:color="auto" w:fill="auto"/>
          </w:tcPr>
          <w:p w:rsidR="00023979" w:rsidRPr="00C6215F" w:rsidRDefault="00023979" w:rsidP="00023979">
            <w:pPr>
              <w:spacing w:after="60" w:line="192" w:lineRule="auto"/>
              <w:rPr>
                <w:bCs/>
              </w:rPr>
            </w:pPr>
            <w:r w:rsidRPr="00C6215F">
              <w:rPr>
                <w:rFonts w:hint="cs"/>
                <w:bCs/>
                <w:rtl/>
              </w:rPr>
              <w:t>مبادئ لتنفيذ النُهج القائمة على النظم الإيكولوجية بشأن التكيف مع تغير المناخ والحد من مخاطر الكوارث على نطاقات متعددة</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5</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تصميم تدخلات النُهج القائمة على النظم الإيكولوجية بشأن التكيف مع تغير المناخ والحد من مخاطر الكوارث على نطاقات مناسبة، مع إدراك أن بعض فوائد هذه النُهج لا تظهر إلا في نطاقات زمنية ومكانية أكبر.</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6</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ضمان أن تكون النُهج القائمة على النظم الإيكولوجية بشأن التكيف مع تغير المناخ والحد من مخاطر الكوارث شاملة لجميع القطاعات وتتضمن التعاون، والتنسيق والمشاركة من قبل أصحاب المصلحة وأصحاب الحقوق.</w:t>
            </w:r>
          </w:p>
        </w:tc>
      </w:tr>
      <w:tr w:rsidR="00023979" w:rsidRPr="00C6215F" w:rsidTr="00023979">
        <w:trPr>
          <w:jc w:val="center"/>
        </w:trPr>
        <w:tc>
          <w:tcPr>
            <w:tcW w:w="9828" w:type="dxa"/>
            <w:gridSpan w:val="2"/>
            <w:tcBorders>
              <w:top w:val="nil"/>
              <w:bottom w:val="nil"/>
            </w:tcBorders>
            <w:shd w:val="clear" w:color="auto" w:fill="auto"/>
          </w:tcPr>
          <w:p w:rsidR="00023979" w:rsidRPr="00C6215F" w:rsidRDefault="00023979" w:rsidP="00023979">
            <w:pPr>
              <w:spacing w:after="60" w:line="192" w:lineRule="auto"/>
              <w:rPr>
                <w:bCs/>
              </w:rPr>
            </w:pPr>
            <w:r w:rsidRPr="00C6215F">
              <w:rPr>
                <w:rFonts w:hint="cs"/>
                <w:bCs/>
                <w:rtl/>
              </w:rPr>
              <w:t>مبادئ لتحقيق الفعالية والكفاءة للنُهج القائمة على النظم الإيكولوجية بشأن التكيف مع تغير المناخ والحد من مخاطر الكوارث</w:t>
            </w:r>
          </w:p>
        </w:tc>
      </w:tr>
      <w:tr w:rsidR="00023979" w:rsidRPr="00C6215F" w:rsidTr="00023979">
        <w:trPr>
          <w:jc w:val="center"/>
        </w:trPr>
        <w:tc>
          <w:tcPr>
            <w:tcW w:w="716" w:type="dxa"/>
            <w:tcBorders>
              <w:top w:val="nil"/>
              <w:bottom w:val="nil"/>
            </w:tcBorders>
            <w:shd w:val="clear" w:color="auto" w:fill="auto"/>
          </w:tcPr>
          <w:p w:rsidR="00023979" w:rsidRPr="00C6215F" w:rsidRDefault="00023979" w:rsidP="00023979">
            <w:pPr>
              <w:spacing w:before="60" w:line="192" w:lineRule="auto"/>
              <w:jc w:val="center"/>
            </w:pPr>
            <w:r w:rsidRPr="00C6215F">
              <w:t>7</w:t>
            </w:r>
          </w:p>
        </w:tc>
        <w:tc>
          <w:tcPr>
            <w:tcW w:w="9112" w:type="dxa"/>
            <w:tcBorders>
              <w:top w:val="nil"/>
              <w:bottom w:val="nil"/>
            </w:tcBorders>
            <w:shd w:val="clear" w:color="auto" w:fill="auto"/>
          </w:tcPr>
          <w:p w:rsidR="00023979" w:rsidRPr="00C6215F" w:rsidRDefault="00023979" w:rsidP="00023979">
            <w:pPr>
              <w:spacing w:after="60" w:line="192" w:lineRule="auto"/>
            </w:pPr>
            <w:r w:rsidRPr="00C6215F">
              <w:rPr>
                <w:rFonts w:hint="cs"/>
                <w:rtl/>
              </w:rPr>
              <w:t>ضمان أن تكون تدخلات النُهج القائمة على النظم الإيكولوجية بشأن التكيف مع تغير المناخ والحد من مخاطر الكوارث قائمة على الأدلة، وأنها تدمج المعارف الأصلية والتقليدية، متى وُجدت، وأنها مدعومة من أفضل العلوم والبحوث والبيانات والتجارب العملية ونظم المعارف المختلفة المتاحة.</w:t>
            </w:r>
          </w:p>
        </w:tc>
      </w:tr>
      <w:tr w:rsidR="00023979" w:rsidRPr="00C6215F" w:rsidTr="00023979">
        <w:trPr>
          <w:jc w:val="center"/>
        </w:trPr>
        <w:tc>
          <w:tcPr>
            <w:tcW w:w="716" w:type="dxa"/>
            <w:tcBorders>
              <w:top w:val="nil"/>
            </w:tcBorders>
          </w:tcPr>
          <w:p w:rsidR="00023979" w:rsidRPr="00C6215F" w:rsidRDefault="00023979" w:rsidP="00023979">
            <w:pPr>
              <w:spacing w:before="60" w:line="192" w:lineRule="auto"/>
              <w:jc w:val="center"/>
            </w:pPr>
            <w:r w:rsidRPr="00C6215F">
              <w:t>8</w:t>
            </w:r>
          </w:p>
        </w:tc>
        <w:tc>
          <w:tcPr>
            <w:tcW w:w="9112" w:type="dxa"/>
            <w:tcBorders>
              <w:top w:val="nil"/>
            </w:tcBorders>
          </w:tcPr>
          <w:p w:rsidR="00023979" w:rsidRPr="00C6215F" w:rsidRDefault="00023979" w:rsidP="00023979">
            <w:pPr>
              <w:spacing w:after="60" w:line="192" w:lineRule="auto"/>
            </w:pPr>
            <w:r w:rsidRPr="00C6215F">
              <w:rPr>
                <w:rFonts w:hint="cs"/>
                <w:rtl/>
              </w:rPr>
              <w:t>إدراج آليات من شأنها أن تيسر الإدارة التكيفية والتعلم النشط في النُهج القائمة على النظم الإيكولوجية بشأن التكيف مع تغير المناخ والحد من مخاطر الكوارث، بما في ذلك استمرار الرصد والتقييم في جميع مراحل التخطيط والتنفيذ.</w:t>
            </w:r>
          </w:p>
        </w:tc>
      </w:tr>
      <w:tr w:rsidR="00023979" w:rsidRPr="00C6215F" w:rsidTr="00023979">
        <w:trPr>
          <w:jc w:val="center"/>
        </w:trPr>
        <w:tc>
          <w:tcPr>
            <w:tcW w:w="716" w:type="dxa"/>
          </w:tcPr>
          <w:p w:rsidR="00023979" w:rsidRPr="00C6215F" w:rsidRDefault="00023979" w:rsidP="00023979">
            <w:pPr>
              <w:spacing w:before="60" w:line="192" w:lineRule="auto"/>
              <w:jc w:val="center"/>
            </w:pPr>
            <w:r w:rsidRPr="00C6215F">
              <w:t>9</w:t>
            </w:r>
          </w:p>
        </w:tc>
        <w:tc>
          <w:tcPr>
            <w:tcW w:w="9112" w:type="dxa"/>
          </w:tcPr>
          <w:p w:rsidR="00023979" w:rsidRPr="00C6215F" w:rsidRDefault="00023979" w:rsidP="00023979">
            <w:pPr>
              <w:spacing w:after="60" w:line="192" w:lineRule="auto"/>
            </w:pPr>
            <w:r w:rsidRPr="00C6215F">
              <w:rPr>
                <w:rFonts w:hint="cs"/>
                <w:rtl/>
              </w:rPr>
              <w:t>تحديد وتقييم القيود وتقليل المفاضلات المحتملة لتدخلات النُهج القائمة على النظم الإيكولوجية بشأن التكيف مع تغير المناخ والحد من مخاطر الكوارث إلى أدنى حد.</w:t>
            </w:r>
          </w:p>
        </w:tc>
      </w:tr>
      <w:tr w:rsidR="00023979" w:rsidRPr="00C6215F" w:rsidTr="00023979">
        <w:trPr>
          <w:jc w:val="center"/>
        </w:trPr>
        <w:tc>
          <w:tcPr>
            <w:tcW w:w="716" w:type="dxa"/>
          </w:tcPr>
          <w:p w:rsidR="00023979" w:rsidRPr="00C6215F" w:rsidRDefault="00023979" w:rsidP="00023979">
            <w:pPr>
              <w:spacing w:before="60" w:line="192" w:lineRule="auto"/>
              <w:jc w:val="center"/>
            </w:pPr>
            <w:r w:rsidRPr="00C6215F">
              <w:t>10</w:t>
            </w:r>
          </w:p>
        </w:tc>
        <w:tc>
          <w:tcPr>
            <w:tcW w:w="9112" w:type="dxa"/>
          </w:tcPr>
          <w:p w:rsidR="00023979" w:rsidRPr="00C6215F" w:rsidRDefault="00023979" w:rsidP="00023979">
            <w:pPr>
              <w:spacing w:after="60" w:line="192" w:lineRule="auto"/>
            </w:pPr>
            <w:r w:rsidRPr="00C6215F">
              <w:rPr>
                <w:rFonts w:hint="cs"/>
                <w:rtl/>
              </w:rPr>
              <w:t>زيادة أوجه التآزر إلى أقصى حد في تحقيق منافع متعددة، بما في ذلك للتنوع البيولوجي، والحفظ، والتنمية المستدامة، والمساواة بين الجنسين، والصحة، والتكيف، والحد من مخاطر الكوارث.</w:t>
            </w:r>
          </w:p>
        </w:tc>
      </w:tr>
    </w:tbl>
    <w:p w:rsidR="00023979" w:rsidRDefault="00023979" w:rsidP="00023979">
      <w:pPr>
        <w:spacing w:after="100" w:line="204" w:lineRule="auto"/>
        <w:rPr>
          <w:rtl/>
        </w:rPr>
      </w:pPr>
    </w:p>
    <w:p w:rsidR="00023979" w:rsidRPr="00BC0A26" w:rsidRDefault="00023979" w:rsidP="008477DA">
      <w:pPr>
        <w:keepNext/>
        <w:spacing w:after="100" w:line="204" w:lineRule="auto"/>
        <w:ind w:firstLine="720"/>
        <w:rPr>
          <w:b/>
          <w:bCs/>
          <w:rtl/>
        </w:rPr>
      </w:pPr>
      <w:r w:rsidRPr="00BC0A26">
        <w:rPr>
          <w:rFonts w:hint="cs"/>
          <w:b/>
          <w:bCs/>
          <w:rtl/>
        </w:rPr>
        <w:lastRenderedPageBreak/>
        <w:t>2-2</w:t>
      </w:r>
      <w:r w:rsidRPr="00BC0A26">
        <w:rPr>
          <w:rFonts w:hint="cs"/>
          <w:b/>
          <w:bCs/>
          <w:rtl/>
        </w:rPr>
        <w:tab/>
        <w:t>الضمانات</w:t>
      </w:r>
    </w:p>
    <w:tbl>
      <w:tblPr>
        <w:bidiVisual/>
        <w:tblW w:w="10467" w:type="dxa"/>
        <w:jc w:val="center"/>
        <w:tblInd w:w="-456" w:type="dxa"/>
        <w:tblBorders>
          <w:top w:val="single" w:sz="6" w:space="0" w:color="auto"/>
          <w:left w:val="single" w:sz="6" w:space="0" w:color="auto"/>
          <w:bottom w:val="single" w:sz="6" w:space="0" w:color="auto"/>
          <w:right w:val="single" w:sz="6" w:space="0" w:color="auto"/>
        </w:tblBorders>
        <w:tblLayout w:type="fixed"/>
        <w:tblLook w:val="04A0"/>
      </w:tblPr>
      <w:tblGrid>
        <w:gridCol w:w="3110"/>
        <w:gridCol w:w="7357"/>
      </w:tblGrid>
      <w:tr w:rsidR="00023979" w:rsidRPr="00C6215F" w:rsidTr="008477DA">
        <w:trPr>
          <w:cantSplit/>
          <w:jc w:val="center"/>
        </w:trPr>
        <w:tc>
          <w:tcPr>
            <w:tcW w:w="10467" w:type="dxa"/>
            <w:gridSpan w:val="2"/>
            <w:shd w:val="clear" w:color="auto" w:fill="auto"/>
          </w:tcPr>
          <w:p w:rsidR="00023979" w:rsidRPr="00C6215F" w:rsidRDefault="00023979" w:rsidP="00023979">
            <w:pPr>
              <w:spacing w:after="40" w:line="192" w:lineRule="auto"/>
              <w:ind w:left="837" w:right="601"/>
              <w:jc w:val="center"/>
              <w:rPr>
                <w:bCs/>
              </w:rPr>
            </w:pPr>
            <w:r w:rsidRPr="00C6215F">
              <w:rPr>
                <w:rFonts w:hint="cs"/>
                <w:bCs/>
                <w:rtl/>
              </w:rPr>
              <w:t>ضمانات من أجل التخطيط والتنفيذ الفعالين للنُهج القائمة على النظم الإيكولوجية بشأن التكيف مع تغير المناخ والحد من مخاطر الكوارث</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tl/>
              </w:rPr>
            </w:pPr>
            <w:r w:rsidRPr="00C6215F">
              <w:rPr>
                <w:rFonts w:hint="cs"/>
                <w:iCs/>
                <w:rtl/>
              </w:rPr>
              <w:t>تطبيق تقييمات الأثر البيئي ونظام صارم للرصد والتقييم</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أن تخضع النُهج القائمة على النظم الإيكولوجية بشأن التكيف مع تغير المناخ والحد من مخاطر الكوارث، حسب الاقتضاء، لتقييمات الأثر البيئي بما في ذلك التقييمات الاجتماعية والثقافية (بالرجوع إلى مبادئ أغواي: غو التوجيهية) في المرحلة المبكرة لتصميم المشروع، وأن تخضع لنظم صارمة للرصد والتقييم.</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الحد من نقل المخاطر والآثار</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أن تتجنب النُهج القائمة على النظم الإيكولوجية بشأن التكيف مع تغير المناخ والحد من مخاطر الكوارث وقوع آثار ضارة على التنوع البيولوجي أو الشعوب، وينبغي ألا تؤدي إلى انتقال المخاطر أو الآثار من منطقة أو فئة إلى أخرى.</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الحيلولة دون إلحاق الضرر بالتنوع البيولوجي، والنظم الإيكولوجية ووظائف وخدمات النظم الإيكولوجية</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أن تتجنب النُهج القائمة على النظم الإيكولوجية بشأن التكيف مع تغير المناخ والحد من مخاطر الكوارث، بما في ذلك الاستجابة للكوارث وتدابير الإنعاش والتعمير، حدوث تدهور الموائل الطبيعية، أو فقدان التنوع البيولوجي أو إدخال أنواع غازية، وينبغي ألا تؤدي إلى ظهور أو تفاقم مواطن ضعف عند وقوع الكوارث في المستقبل.</w:t>
            </w:r>
          </w:p>
          <w:p w:rsidR="00023979" w:rsidRPr="00C6215F" w:rsidRDefault="00023979" w:rsidP="00CD26C5">
            <w:pPr>
              <w:numPr>
                <w:ilvl w:val="0"/>
                <w:numId w:val="101"/>
              </w:numPr>
              <w:spacing w:after="40" w:line="192" w:lineRule="auto"/>
              <w:ind w:left="0" w:firstLine="0"/>
              <w:jc w:val="left"/>
            </w:pPr>
            <w:r w:rsidRPr="00C6215F">
              <w:rPr>
                <w:rFonts w:hint="cs"/>
                <w:rtl/>
              </w:rPr>
              <w:t>ينبغي أن تشجع النُهج القائمة على النظم الإيكولوجية بشأن التكيف مع تغير المناخ والحد من مخاطر الكوارث وتعزز التنوع البيولوجي ووظائف وخدمات النظم الإيكولوجية، بما في ذلك من خلال إعادة التأهيل/الاستعادة وتدابير الحفظ في إطار تقييم الاحتياجات والإنعاش وخطط التعمير بعد الكوارث.</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الاستخدام المستدام للموارد</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ألا تؤدي النُهج القائمة على النظم الإيكولوجية بشأن التكيف مع تغير المناخ والحد من مخاطر الكوارث إلى استخدام الموارد بشكل غير مستدام وألا تعزز العوامل الدافعة لتغير المناخ ومخاطر الكوارث، وينبغي أن تسعى إلى زيادة كفاءة الطاقة إلى أقصى حد وتقليل استخدام الموارد المادية إلى أدنى حد.</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تعزيز المشاركة الكاملة، والفعالة والشاملة</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أن تضمن النُهج القائمة على النظم الإيكولوجية بشأن التكيف مع تغير المناخ والحد من مخاطر الكوارث المشاركة الكاملة والفعالة للشعوب المعنية، بما في ذلك الشعوب الأصلية والمجتمعات المحلية، والنساء، والأقليات، وأكثر الفئات ضعفا، بما في ذلك توفير فرص كافية للمشاركة المستنيرة.</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الحصول العادل والمنصف على المنافع</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تعزز النُهج القائمة على النظم الإيكولوجية بشأن التكيف مع تغير المناخ والحد من مخاطر الكوارث سبل الحصول العادل والمنصف على المنافع ولا تؤدي إلى تفاقم حالات عدم المساواة القائمة، لا سيما فيما يتعلق بالفئات المهمشة أو الضعيفة. وينبغي لتدخلات النُهج القائمة على النظم الإيكولوجية بشأن التكيف مع تغير المناخ والحد من مخاطر الكوارث أن تستوفي معايير العمل الوطنية، بطريقة تحمي المشاركين من الممارسات الاستغلالية، والتمييز والعمل الذي يشكل خطرا على رفاههم.</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الحوكمة الشفافة والحصول على المعلومات</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ينبغي أن تعزز النُهج القائمة على النظم الإيكولوجية بشأن التكيف مع تغير المناخ والحد من مخاطر الكوارث الحوكمة الشفافة من خلال دعم حقوق الحصول على المعلومات، وتزويد جميع أصحاب المصلحة وأصحاب الحقوق، وخاصة الشعوب الأصلية والمجتمعات المحلية، بالمعلومات في الوقت المناسب، ودعم مواصلة جمع ونشر المعارف.</w:t>
            </w:r>
          </w:p>
        </w:tc>
      </w:tr>
      <w:tr w:rsidR="00023979" w:rsidRPr="00C6215F" w:rsidTr="008477DA">
        <w:trPr>
          <w:cantSplit/>
          <w:jc w:val="center"/>
        </w:trPr>
        <w:tc>
          <w:tcPr>
            <w:tcW w:w="3110" w:type="dxa"/>
            <w:shd w:val="clear" w:color="auto" w:fill="auto"/>
          </w:tcPr>
          <w:p w:rsidR="00023979" w:rsidRPr="00C6215F" w:rsidRDefault="00023979" w:rsidP="00023979">
            <w:pPr>
              <w:spacing w:after="40" w:line="192" w:lineRule="auto"/>
              <w:rPr>
                <w:iCs/>
              </w:rPr>
            </w:pPr>
            <w:r w:rsidRPr="00C6215F">
              <w:rPr>
                <w:rFonts w:hint="cs"/>
                <w:iCs/>
                <w:rtl/>
              </w:rPr>
              <w:t>احترام حقوق النساء والرجال من الشعوب الأصلية والمجتمعات المحلية</w:t>
            </w:r>
          </w:p>
        </w:tc>
        <w:tc>
          <w:tcPr>
            <w:tcW w:w="7357" w:type="dxa"/>
            <w:shd w:val="clear" w:color="auto" w:fill="auto"/>
          </w:tcPr>
          <w:p w:rsidR="00023979" w:rsidRPr="00C6215F" w:rsidRDefault="00023979" w:rsidP="00CD26C5">
            <w:pPr>
              <w:numPr>
                <w:ilvl w:val="0"/>
                <w:numId w:val="101"/>
              </w:numPr>
              <w:spacing w:after="40" w:line="192" w:lineRule="auto"/>
              <w:ind w:left="0" w:firstLine="0"/>
              <w:jc w:val="left"/>
            </w:pPr>
            <w:r w:rsidRPr="00C6215F">
              <w:rPr>
                <w:rFonts w:hint="cs"/>
                <w:rtl/>
              </w:rPr>
              <w:t>تحترم تدابير النُهج القائمة على النظم الإيكولوجية بشأن التكيف مع تغير المناخ والحد من مخاطر الكوارث حقوق النساء والرجال من الشعوب الأصلية والمجتمعات المحلية، بما في ذلك الحصول على التراث المادي والثقافي واستخدامه.</w:t>
            </w:r>
          </w:p>
        </w:tc>
      </w:tr>
    </w:tbl>
    <w:p w:rsidR="000C66C6" w:rsidRDefault="000C66C6" w:rsidP="008477DA">
      <w:pPr>
        <w:spacing w:after="100" w:line="204" w:lineRule="auto"/>
        <w:rPr>
          <w:b/>
          <w:bCs/>
          <w:rtl/>
        </w:rPr>
      </w:pPr>
    </w:p>
    <w:p w:rsidR="00023979" w:rsidRPr="00C6215F" w:rsidRDefault="00023979" w:rsidP="008477DA">
      <w:pPr>
        <w:spacing w:after="100" w:line="204" w:lineRule="auto"/>
        <w:rPr>
          <w:b/>
          <w:bCs/>
          <w:rtl/>
        </w:rPr>
      </w:pPr>
      <w:r w:rsidRPr="00C6215F">
        <w:rPr>
          <w:rFonts w:hint="cs"/>
          <w:b/>
          <w:bCs/>
          <w:rtl/>
        </w:rPr>
        <w:lastRenderedPageBreak/>
        <w:t>3-</w:t>
      </w:r>
      <w:r w:rsidRPr="00C6215F">
        <w:rPr>
          <w:rFonts w:hint="cs"/>
          <w:b/>
          <w:bCs/>
          <w:rtl/>
        </w:rPr>
        <w:tab/>
        <w:t>الاعتبارات الشاملة بشأن تصميم وتنفيذ النُهج القائمة على النظم الإيكولوجية بشأن التكيف مع تغير المناخ والحد من مخاطر الكوارث</w:t>
      </w:r>
    </w:p>
    <w:p w:rsidR="00023979" w:rsidRPr="00C6215F" w:rsidRDefault="00023979" w:rsidP="00023979">
      <w:pPr>
        <w:spacing w:after="100" w:line="204" w:lineRule="auto"/>
        <w:rPr>
          <w:rtl/>
        </w:rPr>
      </w:pPr>
      <w:r w:rsidRPr="00C6215F">
        <w:rPr>
          <w:rFonts w:hint="cs"/>
          <w:rtl/>
        </w:rPr>
        <w:t>9-</w:t>
      </w:r>
      <w:r w:rsidRPr="00C6215F">
        <w:rPr>
          <w:rFonts w:hint="cs"/>
          <w:rtl/>
        </w:rPr>
        <w:tab/>
        <w:t>عند الاضطلاع بالعملية المتدرجة لتخطيط وتنفيذ النُهج القائمة على النظم الإيكولوجية بشأن التكيف مع تغير المناخ والحد من مخاطر الكوارث الواردة في القسم 4، هناك ثلاثة اعتبارات شاملة رئيسية يجب أن تؤخذ بعين الاعتبار في كل خطوة: دمج معارف وتكنولوجيات وممارسات وجهود الشعوب الأصلية والمجتمعات المحلية؛ وتعميم النُهج القائمة على النظم الإيكولوجية بشأن التكيف مع تغير المناخ والحد من مخاطر الكوارث؛ وزيادة الوعي وبناء القدرات. ويمكن لمراعاة هذه الإجراءات أن تعزز استيعاب هذه النُهج، وأن تحسّن الفعالية والكفاءة، مما يمكّن من تحقيق نتائج أكثر وأفضل من التدخلات.</w:t>
      </w:r>
    </w:p>
    <w:p w:rsidR="00023979" w:rsidRPr="00C6215F" w:rsidRDefault="00023979" w:rsidP="00023979">
      <w:pPr>
        <w:spacing w:after="100" w:line="204" w:lineRule="auto"/>
        <w:ind w:firstLine="720"/>
        <w:rPr>
          <w:b/>
          <w:bCs/>
          <w:rtl/>
        </w:rPr>
      </w:pPr>
      <w:r w:rsidRPr="00C6215F">
        <w:rPr>
          <w:rFonts w:hint="cs"/>
          <w:b/>
          <w:bCs/>
          <w:rtl/>
        </w:rPr>
        <w:t>3-1</w:t>
      </w:r>
      <w:r w:rsidRPr="00C6215F">
        <w:rPr>
          <w:rFonts w:hint="cs"/>
          <w:b/>
          <w:bCs/>
          <w:rtl/>
        </w:rPr>
        <w:tab/>
        <w:t>دمج معارف وتكنولوجيات وممارسات وجهود الشعوب الأصلية والمجتمعات المحلية</w:t>
      </w:r>
    </w:p>
    <w:p w:rsidR="00023979" w:rsidRPr="00C6215F" w:rsidRDefault="00023979" w:rsidP="00023979">
      <w:pPr>
        <w:spacing w:after="100" w:line="204" w:lineRule="auto"/>
        <w:rPr>
          <w:rtl/>
        </w:rPr>
      </w:pPr>
      <w:r w:rsidRPr="00C6215F">
        <w:rPr>
          <w:rFonts w:hint="cs"/>
          <w:rtl/>
        </w:rPr>
        <w:t>10-</w:t>
      </w:r>
      <w:r w:rsidRPr="00C6215F">
        <w:rPr>
          <w:rFonts w:hint="cs"/>
          <w:rtl/>
        </w:rPr>
        <w:tab/>
        <w:t xml:space="preserve">تولت الشعوب الأصلية والمجتمعات المحلية إدارة التقلبية، وعدم التيقن والتغير عبر تاريخ متعدد الأجيال من التفاعل مع البيئة. وبالتالي، يمكن للمعارف الأصلية والتقليدية واستراتيجيات التأقلم أن تشكل أساسا هاما للاستجابات المتعلقة بتغير المناخ والحد من مخاطر الكوارث، واستكمال الأدلة الراسخة، وسد الثغرات في المعلومات. ويمكن لنظم المعارف الأصلية والتقليدية والمحلية </w:t>
      </w:r>
      <w:r w:rsidRPr="00C6215F">
        <w:rPr>
          <w:rtl/>
        </w:rPr>
        <w:t>–</w:t>
      </w:r>
      <w:r w:rsidRPr="00C6215F">
        <w:rPr>
          <w:rFonts w:hint="cs"/>
          <w:rtl/>
        </w:rPr>
        <w:t xml:space="preserve"> وأشكال التحليل والوثائق، من قبيل رسم خرائط المجتمعات </w:t>
      </w:r>
      <w:r w:rsidRPr="00C6215F">
        <w:rPr>
          <w:rtl/>
        </w:rPr>
        <w:t>–</w:t>
      </w:r>
      <w:r w:rsidRPr="00C6215F">
        <w:rPr>
          <w:rFonts w:hint="cs"/>
          <w:rtl/>
        </w:rPr>
        <w:t xml:space="preserve"> أن تؤدي دورا كبيرا، على نحو مماثل لنظم الإنذار المبكر، في تحديد التغيرات في المناخ والطقس والتنوع البيولوجي والمخاطر الطبيعية الوشيكة ورصدها. ويمكن للنُهج القائمة على النظم الإيكولوجية أن تعمل لاستعادة ممارسات مهجورة، مثل الممارسات الزراعية الأصلية والتقليدية. ويتضمن دمج معارف الشعوب الأصلية والمجتمعات المحلية أيضا تقديرا </w:t>
      </w:r>
      <w:r w:rsidRPr="00C6215F">
        <w:rPr>
          <w:rFonts w:hint="cs"/>
          <w:i/>
          <w:iCs/>
          <w:rtl/>
        </w:rPr>
        <w:t xml:space="preserve">لرؤيتها العالمية </w:t>
      </w:r>
      <w:r w:rsidRPr="00C6215F">
        <w:rPr>
          <w:i/>
          <w:iCs/>
          <w:lang w:val="es-ES"/>
        </w:rPr>
        <w:t>cosmovisión</w:t>
      </w:r>
      <w:r w:rsidRPr="00C6215F">
        <w:rPr>
          <w:i/>
          <w:iCs/>
          <w:vertAlign w:val="superscript"/>
          <w:rtl/>
        </w:rPr>
        <w:footnoteReference w:id="60"/>
      </w:r>
      <w:r w:rsidRPr="00C6215F">
        <w:rPr>
          <w:rFonts w:hint="cs"/>
          <w:i/>
          <w:iCs/>
          <w:rtl/>
        </w:rPr>
        <w:t xml:space="preserve"> </w:t>
      </w:r>
      <w:r w:rsidRPr="00C6215F">
        <w:rPr>
          <w:rFonts w:hint="cs"/>
          <w:rtl/>
        </w:rPr>
        <w:t>واعترافا بدورها كأصحاب للمعارف وأصحاب للحقوق. وهناك طرائق لإدراج المعارف والممارسات الأصلية والتقليدية في تخطيط وتنفيذ النُهج القائمة على النظم الإيكولوجية بشأن التكيف مع تغير المناخ والحد من مخاطر الكوارث عبر جميع مراحل التخطيط والتنفيذ تشمل ما يلي:</w:t>
      </w:r>
    </w:p>
    <w:p w:rsidR="00023979" w:rsidRPr="00C6215F" w:rsidRDefault="00023979" w:rsidP="00023979">
      <w:pPr>
        <w:spacing w:after="100" w:line="204" w:lineRule="auto"/>
        <w:ind w:firstLine="540"/>
        <w:rPr>
          <w:b/>
          <w:bCs/>
          <w:rtl/>
        </w:rPr>
      </w:pPr>
      <w:r w:rsidRPr="00C6215F">
        <w:rPr>
          <w:rFonts w:hint="cs"/>
          <w:b/>
          <w:bCs/>
          <w:rtl/>
        </w:rPr>
        <w:t>الإجراءات الرئيسية</w:t>
      </w:r>
    </w:p>
    <w:p w:rsidR="00023979" w:rsidRPr="00C6215F" w:rsidRDefault="00023979" w:rsidP="00B55747">
      <w:pPr>
        <w:spacing w:after="60" w:line="204" w:lineRule="auto"/>
        <w:ind w:firstLine="720"/>
        <w:rPr>
          <w:rtl/>
        </w:rPr>
      </w:pPr>
      <w:r w:rsidRPr="00C6215F">
        <w:rPr>
          <w:rFonts w:hint="cs"/>
          <w:rtl/>
        </w:rPr>
        <w:t>(أ)</w:t>
      </w:r>
      <w:r w:rsidRPr="00C6215F">
        <w:rPr>
          <w:rFonts w:hint="cs"/>
          <w:rtl/>
        </w:rPr>
        <w:tab/>
        <w:t>استكشاف روابط بين الممارسات والمعارف المحلية والأصلية والتقليدية وغايات وأهداف التكيف مع تغير المناخ والحد من مخاطر الكوارث وتوثيق هذه الروابط؛</w:t>
      </w:r>
    </w:p>
    <w:p w:rsidR="00023979" w:rsidRPr="00C6215F" w:rsidRDefault="00023979" w:rsidP="00023979">
      <w:pPr>
        <w:spacing w:after="60" w:line="204" w:lineRule="auto"/>
        <w:ind w:firstLine="720"/>
        <w:rPr>
          <w:rtl/>
        </w:rPr>
      </w:pPr>
      <w:r w:rsidRPr="00C6215F">
        <w:rPr>
          <w:rFonts w:hint="cs"/>
          <w:rtl/>
        </w:rPr>
        <w:t>(ب)</w:t>
      </w:r>
      <w:r w:rsidRPr="00C6215F">
        <w:rPr>
          <w:rFonts w:hint="cs"/>
          <w:rtl/>
        </w:rPr>
        <w:tab/>
        <w:t>استشارة الأفرقة العاملة المتعددة أصحاب المصلحة وخصوصا الشعوب الأصلية والمجتمعات المحلية لتيسير تقاسم المعارف عبر القطاعات بشأن دور النظم الإيكولوجية في التكيف والحد من مخاطر الكوارث؛</w:t>
      </w:r>
    </w:p>
    <w:p w:rsidR="00023979" w:rsidRPr="00C6215F" w:rsidRDefault="00023979" w:rsidP="00023979">
      <w:pPr>
        <w:spacing w:after="60" w:line="204" w:lineRule="auto"/>
        <w:ind w:firstLine="720"/>
        <w:rPr>
          <w:rtl/>
        </w:rPr>
      </w:pPr>
      <w:r w:rsidRPr="00C6215F">
        <w:rPr>
          <w:rFonts w:hint="cs"/>
          <w:rtl/>
        </w:rPr>
        <w:t>(ج)</w:t>
      </w:r>
      <w:r w:rsidRPr="00C6215F">
        <w:rPr>
          <w:rFonts w:hint="cs"/>
          <w:rtl/>
        </w:rPr>
        <w:tab/>
        <w:t>إنشاء آليات تشاركية وشفافة فعالة للحصول على أفضل الأدلة المتاحة؛</w:t>
      </w:r>
    </w:p>
    <w:p w:rsidR="00023979" w:rsidRPr="00C6215F" w:rsidRDefault="00023979" w:rsidP="00023979">
      <w:pPr>
        <w:spacing w:after="100" w:line="204" w:lineRule="auto"/>
        <w:ind w:firstLine="720"/>
        <w:rPr>
          <w:rtl/>
        </w:rPr>
      </w:pPr>
      <w:r w:rsidRPr="00C6215F">
        <w:rPr>
          <w:rFonts w:hint="cs"/>
          <w:rtl/>
        </w:rPr>
        <w:t>(د)</w:t>
      </w:r>
      <w:r w:rsidRPr="00C6215F">
        <w:rPr>
          <w:rFonts w:hint="cs"/>
          <w:rtl/>
        </w:rPr>
        <w:tab/>
        <w:t>دمج معارف الشعوب الأصلية والمجتمعات المحلية في التقييمات بعد الحصول على الموافقة الحرة المسبقة والمستنيرة.</w:t>
      </w:r>
    </w:p>
    <w:p w:rsidR="00023979" w:rsidRPr="00C6215F" w:rsidRDefault="00023979" w:rsidP="00023979">
      <w:pPr>
        <w:spacing w:after="100" w:line="204" w:lineRule="auto"/>
        <w:jc w:val="center"/>
        <w:rPr>
          <w:b/>
          <w:bCs/>
          <w:rtl/>
        </w:rPr>
      </w:pPr>
      <w:r w:rsidRPr="00C6215F">
        <w:rPr>
          <w:rFonts w:hint="cs"/>
          <w:b/>
          <w:bCs/>
          <w:rtl/>
        </w:rPr>
        <w:t>3-2</w:t>
      </w:r>
      <w:r w:rsidRPr="00C6215F">
        <w:rPr>
          <w:rFonts w:hint="cs"/>
          <w:b/>
          <w:bCs/>
          <w:rtl/>
        </w:rPr>
        <w:tab/>
        <w:t>تعميم النُهج القائمة على النظم الإيكولوجية بشأن التكيف مع تغير المناخ والحد من مخاطر الكوارث</w:t>
      </w:r>
    </w:p>
    <w:p w:rsidR="00023979" w:rsidRPr="00C6215F" w:rsidRDefault="00023979" w:rsidP="00023979">
      <w:pPr>
        <w:spacing w:after="100" w:line="204" w:lineRule="auto"/>
        <w:rPr>
          <w:b/>
          <w:bCs/>
          <w:rtl/>
        </w:rPr>
      </w:pPr>
      <w:r w:rsidRPr="00C6215F">
        <w:rPr>
          <w:rFonts w:hint="cs"/>
          <w:b/>
          <w:bCs/>
          <w:rtl/>
        </w:rPr>
        <w:t>الغرض</w:t>
      </w:r>
    </w:p>
    <w:p w:rsidR="00023979" w:rsidRPr="00C6215F" w:rsidRDefault="00023979" w:rsidP="00023979">
      <w:pPr>
        <w:spacing w:after="100" w:line="204" w:lineRule="auto"/>
        <w:rPr>
          <w:rtl/>
        </w:rPr>
      </w:pPr>
      <w:r w:rsidRPr="00C6215F">
        <w:rPr>
          <w:rFonts w:hint="cs"/>
          <w:rtl/>
        </w:rPr>
        <w:t>11-</w:t>
      </w:r>
      <w:r w:rsidRPr="00C6215F">
        <w:rPr>
          <w:rFonts w:hint="cs"/>
          <w:rtl/>
        </w:rPr>
        <w:tab/>
        <w:t xml:space="preserve">تعميم النُهج القائمة على النظم الإيكولوجية بشأن التكيف مع تغير المناخ والحد من مخاطر الكوارث هو دمج النُهج القائمة على النظم الإيكولوجية ضمن عمليات التخطيط وصنع القرار المراعية للمناخ ومخاطر الكوارث على جميع المستويات. وقد يبدأ التعميم بدمج اعتبارات النظم الإيكولوجية ضمن أهداف أو استراتيجيات أو سياسات أو تدابير أو عمليات التكيف والحد من مخاطر الكوارث حتى تصبح جزءا من السياسات والعمليات والميزانيات الخاصة بالتنمية الوطنية والإقليمية على جميع المستويات وفي جميع المراحل. ويعزز التعميم فعالية مبادرات النُهج القائمة على النظم الإيكولوجية بشأن التكيف مع تغير المناخ والحد من مخاطر الكوارث وكفاءتها ودوامها من خلال غرس مبادئها في السياسات والتخطيط والتقييمات والتمويل والتدريب وحملات التوعية، من بين أدوات أخرى تتعلق بالسياسات، على المستوى المحلي والداخلي والوطني. ويتمثل الهدف </w:t>
      </w:r>
      <w:r w:rsidRPr="00C6215F">
        <w:rPr>
          <w:rFonts w:hint="cs"/>
          <w:rtl/>
        </w:rPr>
        <w:lastRenderedPageBreak/>
        <w:t>العام في تعزيز دعم وتنفيذ النُهج القائمة على النظم الإيكولوجية بشأن التكيف مع تغير المناخ والحد من مخاطر الكوارث متى تثبت فعاليتها.</w:t>
      </w:r>
    </w:p>
    <w:p w:rsidR="00023979" w:rsidRPr="00C6215F" w:rsidRDefault="00023979" w:rsidP="00023979">
      <w:pPr>
        <w:spacing w:after="100" w:line="204" w:lineRule="auto"/>
        <w:rPr>
          <w:rtl/>
        </w:rPr>
      </w:pPr>
      <w:r w:rsidRPr="00C6215F">
        <w:rPr>
          <w:rFonts w:hint="cs"/>
          <w:rtl/>
        </w:rPr>
        <w:t>12-</w:t>
      </w:r>
      <w:r w:rsidRPr="00C6215F">
        <w:rPr>
          <w:rFonts w:hint="cs"/>
          <w:rtl/>
        </w:rPr>
        <w:tab/>
        <w:t>ويجري التعميم بصورة مستمرة عبر جميع مراحل تخطيط وتنفيذ النُهج القائمة على النظم الإيكولوجية بشأن التكيف مع تغير المناخ والحد من مخاطر الكوارث. وتبدأ العملية في الخطوة ألف بتحقيق فهم واسع النطاق لعملية الإعداد السياسي والمؤسسي للنظام المستهدف، وهو ما يمكّن من تحديد نقاط الانطلاق المحتملة للتعميم. وهناك عناصر رئيسية أخرى للتعميم تشمل الترويج القطاعي، وزيادة التوعية، وبناء القدرات.</w:t>
      </w:r>
    </w:p>
    <w:p w:rsidR="00023979" w:rsidRPr="00C6215F" w:rsidRDefault="00023979" w:rsidP="00023979">
      <w:pPr>
        <w:spacing w:after="100" w:line="204" w:lineRule="auto"/>
        <w:rPr>
          <w:rtl/>
        </w:rPr>
      </w:pPr>
      <w:r w:rsidRPr="00C6215F">
        <w:rPr>
          <w:rFonts w:hint="cs"/>
          <w:rtl/>
        </w:rPr>
        <w:t>13-</w:t>
      </w:r>
      <w:r w:rsidRPr="00C6215F">
        <w:rPr>
          <w:rFonts w:hint="cs"/>
          <w:rtl/>
        </w:rPr>
        <w:tab/>
        <w:t xml:space="preserve">وعند تعميم النُهج القائمة على النظم الإيكولوجية بشأن التكيف مع تغير المناخ والحد من مخاطر الكوارث، من المهم التوافق مع الأطر الإنمائية الوطنية ودون الوطنية والتعميم في الخطط والسياسات والممارسات ذات الصلة على نطاقات متعددة بغية تعزيز الاستدامة طويلة الأجل واحتماليات التمويل (الشكل 1 والإطار 1). ومن المهم أيضا التوافق مع الأطر والاتفاقيات الدولية، مثل أهداف التنمية المستدامة </w:t>
      </w:r>
      <w:hyperlink r:id="rId22" w:history="1">
        <w:r w:rsidRPr="00BC0A26">
          <w:rPr>
            <w:rStyle w:val="Hyperlink"/>
            <w:rFonts w:ascii="Simplified Arabic" w:hAnsi="Simplified Arabic"/>
            <w:rtl/>
          </w:rPr>
          <w:t>والخطة الاستراتيجية للتنوع البيولوجي 2011-2020</w:t>
        </w:r>
      </w:hyperlink>
      <w:r w:rsidRPr="00C6215F">
        <w:rPr>
          <w:rFonts w:hint="cs"/>
          <w:rtl/>
        </w:rPr>
        <w:t>. ومن المهم كذلك إدراج نظرة بشأن المناخ والحد من مخاطر الكوارث والمخاطر المناخية عند تنفيذ تقييمات الأثر البيئي والتقييمات البيئية الاستراتيجية للحيلولة دون وقوع آثار غير مقصودة قد تؤدي إلى تفاقم المخاطر، ولتعزيز تدابير النُهج القائمة على النظم الإيكولوجية بشأن التكيف مع تغير المناخ والحد من مخاطر الكوارث.</w:t>
      </w:r>
    </w:p>
    <w:p w:rsidR="00023979" w:rsidRPr="00C6215F" w:rsidRDefault="00023979" w:rsidP="00023979">
      <w:pPr>
        <w:spacing w:after="100" w:line="204" w:lineRule="auto"/>
        <w:rPr>
          <w:rtl/>
        </w:rPr>
      </w:pPr>
      <w:r w:rsidRPr="00C6215F">
        <w:rPr>
          <w:rFonts w:hint="cs"/>
          <w:rtl/>
        </w:rPr>
        <w:t>14-</w:t>
      </w:r>
      <w:r w:rsidRPr="00C6215F">
        <w:rPr>
          <w:rFonts w:hint="cs"/>
          <w:rtl/>
        </w:rPr>
        <w:tab/>
        <w:t>ويعرض الشكل 1 إطارا بسيطا للتعميم. وتُتاح أدوات وإجراءات مفصلة أخرى تصاحب هذه الخطوة كمعلومات تكميلية في "صندوق أدوات لتعميم التكيف والحد من مخاطر الكوارث".</w:t>
      </w:r>
      <w:r w:rsidRPr="00C6215F">
        <w:rPr>
          <w:vertAlign w:val="superscript"/>
          <w:rtl/>
        </w:rPr>
        <w:footnoteReference w:id="61"/>
      </w:r>
    </w:p>
    <w:p w:rsidR="00023979" w:rsidRDefault="00023979" w:rsidP="00023979">
      <w:pPr>
        <w:spacing w:line="204" w:lineRule="auto"/>
        <w:rPr>
          <w:b/>
          <w:bCs/>
          <w:rtl/>
        </w:rPr>
      </w:pPr>
      <w:r w:rsidRPr="00C6215F">
        <w:rPr>
          <w:rFonts w:hint="cs"/>
          <w:b/>
          <w:bCs/>
          <w:rtl/>
        </w:rPr>
        <w:t>الشكل 1- مثال لإطار تعميم النُهج القائمة على النظم الإيكولوجية بشأن التكيف مع تغير المناخ والحد من مخاطر الكوارث في التخطيط الإنمائي</w:t>
      </w:r>
    </w:p>
    <w:p w:rsidR="00023979" w:rsidRPr="00C6215F" w:rsidRDefault="007B18D9" w:rsidP="00023979">
      <w:pPr>
        <w:spacing w:line="204" w:lineRule="auto"/>
      </w:pPr>
      <w:r>
        <w:rPr>
          <w:noProof/>
        </w:rPr>
        <w:pict>
          <v:group id="_x0000_s1045" style="position:absolute;left:0;text-align:left;margin-left:3.15pt;margin-top:8.7pt;width:459.6pt;height:183.9pt;z-index:251666432" coordorigin="1503,1996" coordsize="9192,3678">
            <v:shapetype id="_x0000_t202" coordsize="21600,21600" o:spt="202" path="m,l,21600r21600,l21600,xe">
              <v:stroke joinstyle="miter"/>
              <v:path gradientshapeok="t" o:connecttype="rect"/>
            </v:shapetype>
            <v:shape id="_x0000_s1046" type="#_x0000_t202" style="position:absolute;left:1503;top:1996;width:2890;height:3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" filled="f" stroked="f" strokeweight="1pt">
              <v:textbox style="mso-next-textbox:#_x0000_s1046">
                <w:txbxContent>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تعزيز نظم رصد النُهج القائمة على النظم الإيكولوجية بشأن التكيف مع تغير المناخ والحد من مخاطر الكوارث</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تشجيع الاستثمارات في النُهج القائمة على النظم الإيكولوجية بشأن التكيف مع تغير المناخ والحد من مخاطر الكوارث</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تعزيز التدابير السياساتية الداعمة على المستوى الوطني ودون الوطني والقطاعي</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تعزيز المؤسسات والقدرات: التعميم كممارسة معيارية</w:t>
                    </w:r>
                  </w:p>
                </w:txbxContent>
              </v:textbox>
            </v:shape>
            <v:shape id="_x0000_s1047" type="#_x0000_t202" style="position:absolute;left:4698;top:1996;width:2817;height:33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" filled="f" stroked="f">
              <v:textbox style="mso-next-textbox:#_x0000_s1047">
                <w:txbxContent>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 xml:space="preserve">تقييمات المخاطر وهشاشة الأوضاع، وتحليلات اجتماعية واقتصادية </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 xml:space="preserve">التأثير في العمليات والتخطيط السياساتي على المستوى الوطني ودون الوطني والقطاعي </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إنشاء آليات سياساتية تمكينية بشأن النُهج القائمة على النظم الإيكولوجية بشأن التكيف مع تغير المناخ والحد من مخاطر الكوارث</w:t>
                    </w:r>
                  </w:p>
                  <w:p w:rsidR="000C66C6" w:rsidRPr="009E50C1"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sidRPr="009E50C1">
                      <w:rPr>
                        <w:rFonts w:ascii="Simplified Arabic" w:hAnsi="Simplified Arabic" w:cs="Simplified Arabic" w:hint="cs"/>
                        <w:sz w:val="18"/>
                        <w:szCs w:val="18"/>
                        <w:rtl/>
                      </w:rPr>
                      <w:t>تعزيز المؤسسات والقدرات؛ التعلم بالممارسة</w:t>
                    </w:r>
                  </w:p>
                </w:txbxContent>
              </v:textbox>
            </v:shape>
            <v:shape id="_x0000_s1048" type="#_x0000_t202" style="position:absolute;left:7878;top:2145;width:2817;height:352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" filled="f" stroked="f">
              <v:textbox style="mso-next-textbox:#_x0000_s1048">
                <w:txbxContent>
                  <w:p w:rsidR="000C66C6" w:rsidRPr="00101EB3" w:rsidRDefault="000C66C6" w:rsidP="00CD26C5">
                    <w:pPr>
                      <w:pStyle w:val="ListParagraph"/>
                      <w:numPr>
                        <w:ilvl w:val="0"/>
                        <w:numId w:val="102"/>
                      </w:numPr>
                      <w:bidi/>
                      <w:spacing w:after="0"/>
                      <w:ind w:left="284" w:hanging="284"/>
                      <w:contextualSpacing/>
                      <w:jc w:val="left"/>
                      <w:rPr>
                        <w:rFonts w:ascii="Simplified Arabic" w:hAnsi="Simplified Arabic" w:cs="Simplified Arabic"/>
                        <w:sz w:val="18"/>
                        <w:szCs w:val="18"/>
                      </w:rPr>
                    </w:pPr>
                    <w:r>
                      <w:rPr>
                        <w:rFonts w:ascii="Simplified Arabic" w:hAnsi="Simplified Arabic" w:cs="Simplified Arabic" w:hint="cs"/>
                        <w:sz w:val="18"/>
                        <w:szCs w:val="18"/>
                        <w:rtl/>
                      </w:rPr>
                      <w:t>فهم النظم الإيكولوجية الاجتماعية ودمج معارف وتكنولوجيات وممارسات وجهود الشعوب الأصلية والمجتمعات المحلية</w:t>
                    </w:r>
                  </w:p>
                  <w:p w:rsidR="000C66C6" w:rsidRPr="00101EB3" w:rsidRDefault="000C66C6" w:rsidP="00CD26C5">
                    <w:pPr>
                      <w:pStyle w:val="ListParagraph"/>
                      <w:numPr>
                        <w:ilvl w:val="0"/>
                        <w:numId w:val="102"/>
                      </w:numPr>
                      <w:bidi/>
                      <w:spacing w:after="0"/>
                      <w:ind w:left="284" w:hanging="284"/>
                      <w:contextualSpacing/>
                      <w:jc w:val="left"/>
                      <w:rPr>
                        <w:rFonts w:ascii="Simplified Arabic" w:hAnsi="Simplified Arabic" w:cs="Simplified Arabic"/>
                        <w:sz w:val="18"/>
                        <w:szCs w:val="18"/>
                      </w:rPr>
                    </w:pPr>
                    <w:r>
                      <w:rPr>
                        <w:rFonts w:ascii="Simplified Arabic" w:hAnsi="Simplified Arabic" w:cs="Simplified Arabic" w:hint="cs"/>
                        <w:sz w:val="18"/>
                        <w:szCs w:val="18"/>
                        <w:rtl/>
                      </w:rPr>
                      <w:t>فهم السياقات السياسية، والحكومية والمؤسسية</w:t>
                    </w:r>
                  </w:p>
                  <w:p w:rsidR="000C66C6" w:rsidRPr="00101EB3" w:rsidRDefault="000C66C6" w:rsidP="00CD26C5">
                    <w:pPr>
                      <w:pStyle w:val="ListParagraph"/>
                      <w:numPr>
                        <w:ilvl w:val="0"/>
                        <w:numId w:val="102"/>
                      </w:numPr>
                      <w:bidi/>
                      <w:spacing w:after="0"/>
                      <w:ind w:left="284" w:hanging="284"/>
                      <w:contextualSpacing/>
                      <w:jc w:val="left"/>
                      <w:rPr>
                        <w:rFonts w:ascii="Simplified Arabic" w:hAnsi="Simplified Arabic" w:cs="Simplified Arabic"/>
                        <w:sz w:val="18"/>
                        <w:szCs w:val="18"/>
                      </w:rPr>
                    </w:pPr>
                    <w:r>
                      <w:rPr>
                        <w:rFonts w:ascii="Simplified Arabic" w:hAnsi="Simplified Arabic" w:cs="Simplified Arabic" w:hint="cs"/>
                        <w:sz w:val="18"/>
                        <w:szCs w:val="18"/>
                        <w:rtl/>
                      </w:rPr>
                      <w:t>زيادة الوعي وبناء شراكات</w:t>
                    </w:r>
                  </w:p>
                  <w:p w:rsidR="000C66C6" w:rsidRPr="002A4B4C" w:rsidRDefault="000C66C6" w:rsidP="00CD26C5">
                    <w:pPr>
                      <w:pStyle w:val="ListParagraph"/>
                      <w:numPr>
                        <w:ilvl w:val="0"/>
                        <w:numId w:val="102"/>
                      </w:numPr>
                      <w:bidi/>
                      <w:spacing w:after="0"/>
                      <w:ind w:left="284" w:hanging="284"/>
                      <w:jc w:val="left"/>
                      <w:rPr>
                        <w:rFonts w:ascii="Simplified Arabic" w:hAnsi="Simplified Arabic" w:cs="Simplified Arabic"/>
                        <w:sz w:val="18"/>
                        <w:szCs w:val="18"/>
                      </w:rPr>
                    </w:pPr>
                    <w:r>
                      <w:rPr>
                        <w:rFonts w:ascii="Simplified Arabic" w:hAnsi="Simplified Arabic" w:cs="Simplified Arabic" w:hint="cs"/>
                        <w:sz w:val="18"/>
                        <w:szCs w:val="18"/>
                        <w:rtl/>
                      </w:rPr>
                      <w:t>تقييم الاحتياجات المؤسسية والاحتياجات من القدرات</w:t>
                    </w:r>
                  </w:p>
                </w:txbxContent>
              </v:textbox>
            </v:shape>
          </v:group>
        </w:pict>
      </w:r>
      <w:r w:rsidRPr="007B18D9">
        <w:rPr>
          <w:noProof/>
          <w:lang w:val="en-CA" w:eastAsia="en-CA"/>
        </w:rPr>
        <w:pict>
          <v:roundrect id="Rectangle: Rounded Corners 12" o:spid="_x0000_s1044" style="position:absolute;left:0;text-align:left;margin-left:316pt;margin-top:8.7pt;width:140.85pt;height:174.6pt;z-index:251665408;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" strokecolor="#ffc000" strokeweight="1pt">
            <v:stroke joinstyle="miter"/>
          </v:roundrect>
        </w:pict>
      </w:r>
      <w:r w:rsidRPr="007B18D9">
        <w:rPr>
          <w:noProof/>
          <w:lang w:val="en-CA" w:eastAsia="en-CA"/>
        </w:rPr>
        <w:pict>
          <v:roundrect id="Rectangle: Rounded Corners 11" o:spid="_x0000_s1042" style="position:absolute;left:0;text-align:left;margin-left:162.9pt;margin-top:12pt;width:140.85pt;height:169.5pt;z-index:251663360;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" strokecolor="#ffc000" strokeweight="1pt">
            <v:stroke joinstyle="miter"/>
          </v:roundrect>
        </w:pict>
      </w:r>
      <w:r w:rsidRPr="007B18D9">
        <w:rPr>
          <w:noProof/>
          <w:lang w:val="en-CA" w:eastAsia="en-CA"/>
        </w:rPr>
        <w:pict>
          <v:roundrect id="Rectangle: Rounded Corners 10" o:spid="_x0000_s1041" style="position:absolute;left:0;text-align:left;margin-left:3.15pt;margin-top:8.7pt;width:140.85pt;height:174.6pt;z-index:251662336;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" strokecolor="#ffc000" strokeweight="1pt">
            <v:stroke joinstyle="miter"/>
          </v:roundrect>
        </w:pict>
      </w:r>
      <w:r w:rsidRPr="007B18D9">
        <w:rPr>
          <w:noProof/>
          <w:lang w:val="en-CA" w:eastAsia="en-CA"/>
        </w:rPr>
        <w:pict>
          <v:shape id="_x0000_s1043" type="#_x0000_t202" style="position:absolute;left:0;text-align:left;margin-left:47.25pt;margin-top:236.85pt;width:368.85pt;height:26.2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" filled="f" stroked="f">
            <v:textbox style="mso-next-textbox:#_x0000_s1043">
              <w:txbxContent>
                <w:p w:rsidR="000C66C6" w:rsidRPr="007A2E28" w:rsidRDefault="000C66C6" w:rsidP="00023979">
                  <w:pPr>
                    <w:jc w:val="center"/>
                    <w:rPr>
                      <w:rFonts w:ascii="Simplified Arabic" w:hAnsi="Simplified Arabic"/>
                      <w:bCs/>
                      <w:sz w:val="28"/>
                      <w:szCs w:val="28"/>
                    </w:rPr>
                  </w:pPr>
                  <w:r w:rsidRPr="007A2E28">
                    <w:rPr>
                      <w:rFonts w:ascii="Simplified Arabic" w:hAnsi="Simplified Arabic" w:hint="cs"/>
                      <w:bCs/>
                      <w:sz w:val="28"/>
                      <w:szCs w:val="28"/>
                      <w:rtl/>
                    </w:rPr>
                    <w:t xml:space="preserve">المشاركة </w:t>
                  </w:r>
                  <w:r>
                    <w:rPr>
                      <w:rFonts w:ascii="Simplified Arabic" w:hAnsi="Simplified Arabic" w:hint="cs"/>
                      <w:bCs/>
                      <w:sz w:val="28"/>
                      <w:szCs w:val="28"/>
                      <w:rtl/>
                    </w:rPr>
                    <w:t>ال</w:t>
                  </w:r>
                  <w:r w:rsidRPr="007A2E28">
                    <w:rPr>
                      <w:rFonts w:ascii="Simplified Arabic" w:hAnsi="Simplified Arabic" w:hint="cs"/>
                      <w:bCs/>
                      <w:sz w:val="28"/>
                      <w:szCs w:val="28"/>
                      <w:rtl/>
                    </w:rPr>
                    <w:t>متعددة أصحاب المصلحة و</w:t>
                  </w:r>
                  <w:r>
                    <w:rPr>
                      <w:rFonts w:ascii="Simplified Arabic" w:hAnsi="Simplified Arabic" w:hint="cs"/>
                      <w:bCs/>
                      <w:sz w:val="28"/>
                      <w:szCs w:val="28"/>
                      <w:rtl/>
                    </w:rPr>
                    <w:t>ال</w:t>
                  </w:r>
                  <w:r w:rsidRPr="007A2E28">
                    <w:rPr>
                      <w:rFonts w:ascii="Simplified Arabic" w:hAnsi="Simplified Arabic" w:hint="cs"/>
                      <w:bCs/>
                      <w:sz w:val="28"/>
                      <w:szCs w:val="28"/>
                      <w:rtl/>
                    </w:rPr>
                    <w:t>متعددة القطاعات</w:t>
                  </w:r>
                </w:p>
              </w:txbxContent>
            </v:textbox>
          </v:shape>
        </w:pict>
      </w:r>
      <w:r w:rsidR="00023979" w:rsidRPr="00C6215F">
        <w:rPr>
          <w:noProof/>
          <w:lang w:eastAsia="zh-CN" w:bidi="ar-SA"/>
        </w:rPr>
        <w:drawing>
          <wp:inline distT="0" distB="0" distL="0" distR="0">
            <wp:extent cx="5925820" cy="3512820"/>
            <wp:effectExtent l="38100" t="0" r="17780" b="0"/>
            <wp:docPr id="6"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23979" w:rsidRPr="008477DA" w:rsidRDefault="00023979" w:rsidP="00023979">
      <w:pPr>
        <w:spacing w:after="240" w:line="204" w:lineRule="auto"/>
        <w:rPr>
          <w:i/>
          <w:iCs/>
          <w:szCs w:val="22"/>
          <w:rtl/>
        </w:rPr>
      </w:pPr>
      <w:r w:rsidRPr="008477DA">
        <w:rPr>
          <w:rFonts w:hint="cs"/>
          <w:i/>
          <w:iCs/>
          <w:szCs w:val="22"/>
          <w:rtl/>
        </w:rPr>
        <w:t>ملحوظة:</w:t>
      </w:r>
      <w:r w:rsidRPr="008477DA">
        <w:rPr>
          <w:rFonts w:hint="cs"/>
          <w:szCs w:val="22"/>
          <w:rtl/>
        </w:rPr>
        <w:t xml:space="preserve"> مقتبس من الصندوق العالمي للحياة البرية (2013)، </w:t>
      </w:r>
      <w:hyperlink r:id="rId28" w:history="1">
        <w:r w:rsidRPr="008477DA">
          <w:rPr>
            <w:rStyle w:val="Hyperlink"/>
            <w:rFonts w:hint="cs"/>
            <w:i/>
            <w:iCs/>
            <w:szCs w:val="22"/>
            <w:rtl/>
          </w:rPr>
          <w:t>الإطار التشغيلي للتكيف القائم على النظم الإيكولوجية: تنفيذ وتعميم استجابات التكيف القائم على النظم الإيكولوجية في منطقة الميكونغ الكبرى دون الإقليمية</w:t>
        </w:r>
      </w:hyperlink>
      <w:r w:rsidRPr="008477DA">
        <w:rPr>
          <w:rFonts w:hint="cs"/>
          <w:i/>
          <w:iCs/>
          <w:szCs w:val="22"/>
          <w:rtl/>
        </w:rPr>
        <w:t>؛</w:t>
      </w:r>
      <w:r w:rsidRPr="008477DA">
        <w:rPr>
          <w:rFonts w:hint="cs"/>
          <w:szCs w:val="22"/>
          <w:rtl/>
        </w:rPr>
        <w:t xml:space="preserve"> وبرنامج الأمم المتحدة الإنمائي </w:t>
      </w:r>
      <w:r w:rsidRPr="008477DA">
        <w:rPr>
          <w:szCs w:val="22"/>
          <w:rtl/>
        </w:rPr>
        <w:t>–</w:t>
      </w:r>
      <w:r w:rsidRPr="008477DA">
        <w:rPr>
          <w:rFonts w:hint="cs"/>
          <w:szCs w:val="22"/>
          <w:rtl/>
        </w:rPr>
        <w:t xml:space="preserve"> برنامج الأمم المتحدة للبيئة (2011)، </w:t>
      </w:r>
      <w:hyperlink r:id="rId29" w:history="1">
        <w:r w:rsidRPr="008477DA">
          <w:rPr>
            <w:rStyle w:val="Hyperlink"/>
            <w:rFonts w:hint="cs"/>
            <w:i/>
            <w:iCs/>
            <w:szCs w:val="22"/>
            <w:rtl/>
          </w:rPr>
          <w:t>تعميم التكيف مع تغير المناخ ضمن التخطيط للتنمية: دليل للممارسي</w:t>
        </w:r>
        <w:r w:rsidRPr="008477DA">
          <w:rPr>
            <w:rStyle w:val="Hyperlink"/>
            <w:i/>
            <w:iCs/>
            <w:szCs w:val="22"/>
            <w:rtl/>
          </w:rPr>
          <w:t>ن</w:t>
        </w:r>
      </w:hyperlink>
      <w:r w:rsidRPr="008477DA">
        <w:rPr>
          <w:rFonts w:hint="cs"/>
          <w:i/>
          <w:iCs/>
          <w:szCs w:val="22"/>
          <w:rtl/>
        </w:rPr>
        <w:t>.</w:t>
      </w:r>
    </w:p>
    <w:p w:rsidR="00023979" w:rsidRPr="00C6215F" w:rsidRDefault="00023979" w:rsidP="00023979">
      <w:pPr>
        <w:spacing w:after="100" w:line="204" w:lineRule="auto"/>
        <w:rPr>
          <w:rtl/>
        </w:rPr>
      </w:pPr>
      <w:r w:rsidRPr="00C6215F">
        <w:rPr>
          <w:rFonts w:hint="cs"/>
          <w:rtl/>
        </w:rPr>
        <w:lastRenderedPageBreak/>
        <w:t>15-</w:t>
      </w:r>
      <w:r w:rsidRPr="00C6215F">
        <w:rPr>
          <w:rFonts w:hint="cs"/>
          <w:rtl/>
        </w:rPr>
        <w:tab/>
        <w:t>ومن أحد الجوانب الرئيسية للتعميم إيجاد نقاط الانطلاق المناسبة لدمج النُهج القائمة على النظم الإيكولوجية بشأن التكيف مع تغير المناخ والحد من مخاطر الكوارث في أطر ملموسة، ولكن غالبا ما تكون معقدة، للسياسات والتخطيط وعمليات صنع القرار. وقد تكون نقاط الانطلاق دينامية، وفقا لجوانب رئيسية ثلاثة:</w:t>
      </w:r>
    </w:p>
    <w:p w:rsidR="00023979" w:rsidRPr="00C6215F" w:rsidRDefault="00023979" w:rsidP="00023979">
      <w:pPr>
        <w:spacing w:after="100" w:line="204" w:lineRule="auto"/>
        <w:ind w:firstLine="720"/>
        <w:rPr>
          <w:rtl/>
        </w:rPr>
      </w:pPr>
      <w:r w:rsidRPr="00C6215F">
        <w:rPr>
          <w:rFonts w:hint="cs"/>
          <w:rtl/>
        </w:rPr>
        <w:t>(أ)</w:t>
      </w:r>
      <w:r w:rsidRPr="00C6215F">
        <w:rPr>
          <w:rFonts w:hint="cs"/>
          <w:rtl/>
        </w:rPr>
        <w:tab/>
        <w:t>وعي أصحاب المصلحة بمشكلة قائمة، أو تحد أو خطر قائم؛</w:t>
      </w:r>
    </w:p>
    <w:p w:rsidR="00023979" w:rsidRPr="00C6215F" w:rsidRDefault="00023979" w:rsidP="00023979">
      <w:pPr>
        <w:spacing w:after="100" w:line="204" w:lineRule="auto"/>
        <w:ind w:firstLine="720"/>
        <w:rPr>
          <w:rtl/>
        </w:rPr>
      </w:pPr>
      <w:r w:rsidRPr="00C6215F">
        <w:rPr>
          <w:rFonts w:hint="cs"/>
          <w:rtl/>
        </w:rPr>
        <w:t>(ب)</w:t>
      </w:r>
      <w:r w:rsidRPr="00C6215F">
        <w:rPr>
          <w:rFonts w:hint="cs"/>
          <w:rtl/>
        </w:rPr>
        <w:tab/>
        <w:t>الحلول والمقترحات والأدوات والمعارف المتاحة؛</w:t>
      </w:r>
    </w:p>
    <w:p w:rsidR="00023979" w:rsidRPr="00C6215F" w:rsidRDefault="00023979" w:rsidP="00023979">
      <w:pPr>
        <w:spacing w:after="100" w:line="204" w:lineRule="auto"/>
        <w:ind w:firstLine="720"/>
        <w:rPr>
          <w:rtl/>
        </w:rPr>
      </w:pPr>
      <w:r w:rsidRPr="00C6215F">
        <w:rPr>
          <w:rFonts w:hint="cs"/>
          <w:rtl/>
        </w:rPr>
        <w:t>(ج)</w:t>
      </w:r>
      <w:r w:rsidRPr="00C6215F">
        <w:rPr>
          <w:rFonts w:hint="cs"/>
          <w:rtl/>
        </w:rPr>
        <w:tab/>
        <w:t>الإرادة السياسية على العمل، والولايات والأدوار.</w:t>
      </w:r>
    </w:p>
    <w:p w:rsidR="00023979" w:rsidRPr="00C6215F" w:rsidRDefault="00023979" w:rsidP="00023979">
      <w:pPr>
        <w:spacing w:after="100" w:line="204" w:lineRule="auto"/>
        <w:rPr>
          <w:rtl/>
        </w:rPr>
      </w:pPr>
      <w:r w:rsidRPr="00C6215F">
        <w:rPr>
          <w:rFonts w:hint="cs"/>
          <w:rtl/>
        </w:rPr>
        <w:t>16</w:t>
      </w:r>
      <w:r w:rsidRPr="00C6215F">
        <w:rPr>
          <w:rFonts w:hint="cs"/>
          <w:rtl/>
        </w:rPr>
        <w:tab/>
        <w:t>وإذا اجتمعت جميع الجوانب الثلاثة معا بطريقة مواتية، ستكون لدينا "قوة دافعة" لتغيير السياسات. وفي حالات الكوارث وحالات الطوارئ، هناك انفتاح بوجه عام نحو احتياجات أصحاب المصلحة، وأدواتهم ونُهجهم الابتكارية، وبحوثهم المشتركة لإيجاد أفضل الحلول المتاحة، واستعداد للاستثمار و(إعادة) البناء بصورة أفضل. وتعتبر هذه فرص هامة لإدراج جوانب التكيف القائم على النظم الإيكولوجية أو الحد من مخاطر الكوارث القائم على النظم الإيكولوجية. وقد تظهر نقاط الانطلاق في جميع مستويات الحكومة، وقد تنطوي على مستويات مختلفة من الحوكمة، أو التعاون مع القطاع الخاص.</w:t>
      </w:r>
    </w:p>
    <w:p w:rsidR="00023979" w:rsidRPr="00C6215F" w:rsidRDefault="00023979" w:rsidP="00023979">
      <w:pPr>
        <w:spacing w:after="100" w:line="204" w:lineRule="auto"/>
        <w:rPr>
          <w:rtl/>
        </w:rPr>
      </w:pPr>
      <w:r w:rsidRPr="00C6215F">
        <w:rPr>
          <w:rFonts w:hint="cs"/>
          <w:rtl/>
        </w:rPr>
        <w:t>17-</w:t>
      </w:r>
      <w:r w:rsidRPr="00C6215F">
        <w:rPr>
          <w:rFonts w:hint="cs"/>
          <w:rtl/>
        </w:rPr>
        <w:tab/>
        <w:t>وبوجه عام، يمكن إيجاد نقاط الانطلاق الخاصة بالتعميم فيما يلي:</w:t>
      </w:r>
    </w:p>
    <w:p w:rsidR="00023979" w:rsidRPr="00C6215F" w:rsidRDefault="00023979" w:rsidP="00023979">
      <w:pPr>
        <w:spacing w:after="100" w:line="204" w:lineRule="auto"/>
        <w:ind w:firstLine="720"/>
        <w:rPr>
          <w:rtl/>
        </w:rPr>
      </w:pPr>
      <w:r w:rsidRPr="00C6215F">
        <w:rPr>
          <w:rFonts w:hint="cs"/>
          <w:rtl/>
        </w:rPr>
        <w:t>(أ)</w:t>
      </w:r>
      <w:r w:rsidRPr="00C6215F">
        <w:rPr>
          <w:rFonts w:hint="cs"/>
          <w:rtl/>
        </w:rPr>
        <w:tab/>
        <w:t xml:space="preserve">إعداد أو تنقيح السياسات والخطط، مثل الخطط الإنمائية أو القطاعية، والمساهمات المحددة وطنيا، </w:t>
      </w:r>
      <w:r>
        <w:rPr>
          <w:rFonts w:hint="cs"/>
          <w:rtl/>
        </w:rPr>
        <w:t xml:space="preserve">عند الاقتضاء، </w:t>
      </w:r>
      <w:r w:rsidRPr="00C6215F">
        <w:rPr>
          <w:rFonts w:hint="cs"/>
          <w:rtl/>
        </w:rPr>
        <w:t>وخطط التكيف الوطنية، والاستراتيجيات وخطط العمل الوطنية للتنوع البيولوجي، والتقييمات البيئية الاستراتيجية، وخطط استخدام الأراضي؛</w:t>
      </w:r>
    </w:p>
    <w:p w:rsidR="00023979" w:rsidRPr="00C6215F" w:rsidRDefault="00023979" w:rsidP="00023979">
      <w:pPr>
        <w:spacing w:after="100" w:line="204" w:lineRule="auto"/>
        <w:ind w:firstLine="720"/>
        <w:rPr>
          <w:rtl/>
        </w:rPr>
      </w:pPr>
      <w:r w:rsidRPr="00C6215F">
        <w:rPr>
          <w:rFonts w:hint="cs"/>
          <w:rtl/>
        </w:rPr>
        <w:t>(ب)</w:t>
      </w:r>
      <w:r w:rsidRPr="00C6215F">
        <w:rPr>
          <w:rFonts w:hint="cs"/>
          <w:rtl/>
        </w:rPr>
        <w:tab/>
        <w:t>أدوات القيادة والتحكم، مثل القوانين والمعايير المتعلقة بتغير المناخ والبيئة، وتقييمات الأثر البيئي، وإدارة مخاطر الكوارث؛</w:t>
      </w:r>
    </w:p>
    <w:p w:rsidR="00023979" w:rsidRPr="00C6215F" w:rsidRDefault="00023979" w:rsidP="00023979">
      <w:pPr>
        <w:spacing w:after="100" w:line="204" w:lineRule="auto"/>
        <w:ind w:firstLine="720"/>
        <w:rPr>
          <w:rtl/>
        </w:rPr>
      </w:pPr>
      <w:r w:rsidRPr="00C6215F">
        <w:rPr>
          <w:rFonts w:hint="cs"/>
          <w:rtl/>
        </w:rPr>
        <w:t>(ج)</w:t>
      </w:r>
      <w:r w:rsidRPr="00C6215F">
        <w:rPr>
          <w:rFonts w:hint="cs"/>
          <w:rtl/>
        </w:rPr>
        <w:tab/>
        <w:t>أدوات اقتصادية ومالية، مثل برامج الاستثمار، والصناديق، والإعانات، والضرائب، والرسوم؛</w:t>
      </w:r>
    </w:p>
    <w:p w:rsidR="00023979" w:rsidRPr="00C6215F" w:rsidRDefault="00023979" w:rsidP="00023979">
      <w:pPr>
        <w:spacing w:after="100" w:line="204" w:lineRule="auto"/>
        <w:ind w:firstLine="720"/>
        <w:rPr>
          <w:rtl/>
        </w:rPr>
      </w:pPr>
      <w:r w:rsidRPr="00C6215F">
        <w:rPr>
          <w:rFonts w:hint="cs"/>
          <w:rtl/>
        </w:rPr>
        <w:t>(د)</w:t>
      </w:r>
      <w:r w:rsidRPr="00C6215F">
        <w:rPr>
          <w:rFonts w:hint="cs"/>
          <w:rtl/>
        </w:rPr>
        <w:tab/>
        <w:t>تدابير للتثقيف وزيادة الوعي، مثل التثقيف البيئي، وبرامج الإرشاد، والمهن التقنية والمناهج الجامعية؛</w:t>
      </w:r>
    </w:p>
    <w:p w:rsidR="00023979" w:rsidRPr="00C6215F" w:rsidRDefault="00023979" w:rsidP="00023979">
      <w:pPr>
        <w:spacing w:after="100" w:line="204" w:lineRule="auto"/>
        <w:ind w:firstLine="720"/>
        <w:rPr>
          <w:rtl/>
        </w:rPr>
      </w:pPr>
      <w:r w:rsidRPr="00C6215F">
        <w:rPr>
          <w:rFonts w:hint="cs"/>
          <w:rtl/>
        </w:rPr>
        <w:t>(ﻫ)</w:t>
      </w:r>
      <w:r w:rsidRPr="00C6215F">
        <w:rPr>
          <w:rFonts w:hint="cs"/>
          <w:rtl/>
        </w:rPr>
        <w:tab/>
        <w:t>تدابير طوعية، مثل الاتفاقات البيئية مع ملاك الأراضي من القطاع الخاص، أو تعريف المعايير؛</w:t>
      </w:r>
    </w:p>
    <w:p w:rsidR="00023979" w:rsidRPr="00C6215F" w:rsidRDefault="00023979" w:rsidP="00023979">
      <w:pPr>
        <w:spacing w:after="100" w:line="204" w:lineRule="auto"/>
        <w:ind w:firstLine="720"/>
        <w:rPr>
          <w:rtl/>
        </w:rPr>
      </w:pPr>
      <w:r w:rsidRPr="00C6215F">
        <w:rPr>
          <w:rFonts w:hint="cs"/>
          <w:rtl/>
        </w:rPr>
        <w:t>(و)</w:t>
      </w:r>
      <w:r w:rsidRPr="00C6215F">
        <w:rPr>
          <w:rFonts w:hint="cs"/>
          <w:rtl/>
        </w:rPr>
        <w:tab/>
        <w:t>تدابير لضمان الموافقة الحرة والمسبقة والمستنيرة للشعوب الأصلية، عند الاقتضاء؛</w:t>
      </w:r>
    </w:p>
    <w:p w:rsidR="00023979" w:rsidRPr="00C6215F" w:rsidRDefault="00023979" w:rsidP="00023979">
      <w:pPr>
        <w:spacing w:after="100" w:line="204" w:lineRule="auto"/>
        <w:ind w:firstLine="720"/>
        <w:rPr>
          <w:rtl/>
        </w:rPr>
      </w:pPr>
      <w:r w:rsidRPr="00C6215F">
        <w:rPr>
          <w:rFonts w:hint="cs"/>
          <w:rtl/>
        </w:rPr>
        <w:t>(ز)</w:t>
      </w:r>
      <w:r w:rsidRPr="00C6215F">
        <w:rPr>
          <w:rFonts w:hint="cs"/>
          <w:rtl/>
        </w:rPr>
        <w:tab/>
        <w:t>الشراكات التي تمكّن المشاركة الكاملة والفعالة لمنظمات المجتمع المدني، والشعوب الأصلية والمجتمعات المحلية، والنساء والشباب.</w:t>
      </w:r>
    </w:p>
    <w:p w:rsidR="00023979" w:rsidRPr="00C6215F" w:rsidRDefault="00023979" w:rsidP="00023979">
      <w:pPr>
        <w:spacing w:after="100" w:line="204" w:lineRule="auto"/>
        <w:ind w:firstLine="720"/>
        <w:rPr>
          <w:rtl/>
        </w:rPr>
      </w:pPr>
      <w:r w:rsidRPr="00C6215F">
        <w:rPr>
          <w:rFonts w:hint="cs"/>
          <w:rtl/>
        </w:rPr>
        <w:t>18-</w:t>
      </w:r>
      <w:r w:rsidRPr="00C6215F">
        <w:rPr>
          <w:rFonts w:hint="cs"/>
          <w:rtl/>
        </w:rPr>
        <w:tab/>
        <w:t>وكما تم التأكيد عليه عبر جميع مراحل عملية تخطيط وتنفيذ النُهج القائمة على النظم الإيكولوجية بشأن التكيف مع تغير المناخ والحد من مخاطر الكوارث، يعد الوصول إلى القطاعات عنصرا أساسيا لزيادة الوعي بالخطط القطاعية والتخطيط الوطني وإدراج هذه النُهج فيها، ولتشجيع التعاون بين القطاعات من أجل التنفيذ المشترك.</w:t>
      </w:r>
    </w:p>
    <w:p w:rsidR="00023979" w:rsidRPr="00C6215F" w:rsidRDefault="00023979" w:rsidP="00023979">
      <w:pPr>
        <w:spacing w:after="100" w:line="204" w:lineRule="auto"/>
        <w:ind w:firstLine="720"/>
        <w:rPr>
          <w:rtl/>
        </w:rPr>
      </w:pPr>
    </w:p>
    <w:p w:rsidR="00023979" w:rsidRPr="00C6215F" w:rsidRDefault="00023979" w:rsidP="00023979">
      <w:pPr>
        <w:spacing w:after="100" w:line="204" w:lineRule="auto"/>
        <w:ind w:firstLine="720"/>
        <w:rPr>
          <w:rtl/>
        </w:rPr>
      </w:pPr>
    </w:p>
    <w:p w:rsidR="00023979" w:rsidRPr="00C6215F" w:rsidRDefault="007B18D9" w:rsidP="00023979">
      <w:pPr>
        <w:spacing w:line="204" w:lineRule="auto"/>
        <w:rPr>
          <w:rtl/>
        </w:rPr>
      </w:pPr>
      <w:r w:rsidRPr="007B18D9">
        <w:rPr>
          <w:rFonts w:eastAsia="Calibri"/>
          <w:noProof/>
          <w:snapToGrid w:val="0"/>
          <w:kern w:val="22"/>
          <w:rtl/>
          <w:lang w:val="en-CA" w:eastAsia="en-CA"/>
        </w:rPr>
      </w:r>
      <w:r w:rsidRPr="007B18D9">
        <w:rPr>
          <w:rFonts w:eastAsia="Calibri"/>
          <w:noProof/>
          <w:snapToGrid w:val="0"/>
          <w:kern w:val="22"/>
          <w:lang w:val="en-CA" w:eastAsia="en-CA"/>
        </w:rPr>
        <w:pict>
          <v:shape id="Casella di testo 2" o:spid="_x0000_s1053" type="#_x0000_t202" style="width:494.4pt;height:486.8pt;visibility:visible;mso-left-percent:-10001;mso-top-percent:-10001;mso-position-horizontal:absolute;mso-position-horizontal-relative:char;mso-position-vertical:absolute;mso-position-vertical-relative:line;mso-left-percent:-10001;mso-top-percent:-10001" filled="f" strokecolor="#595959">
            <v:textbox style="mso-next-textbox:#Casella di testo 2">
              <w:txbxContent>
                <w:p w:rsidR="000C66C6" w:rsidRPr="00CE00DC" w:rsidRDefault="000C66C6" w:rsidP="00023979">
                  <w:pPr>
                    <w:keepNext/>
                    <w:ind w:left="1701" w:hanging="992"/>
                    <w:rPr>
                      <w:rFonts w:ascii="Simplified Arabic" w:hAnsi="Simplified Arabic"/>
                      <w:b/>
                      <w:bCs/>
                      <w:color w:val="4F81BD"/>
                      <w:szCs w:val="22"/>
                    </w:rPr>
                  </w:pPr>
                  <w:r w:rsidRPr="00EA475C">
                    <w:rPr>
                      <w:rFonts w:hint="cs"/>
                      <w:b/>
                      <w:bCs/>
                      <w:color w:val="4F81BD"/>
                      <w:rtl/>
                    </w:rPr>
                    <w:t>الإطار 1-</w:t>
                  </w:r>
                  <w:r w:rsidRPr="00EA475C">
                    <w:rPr>
                      <w:rFonts w:hint="cs"/>
                      <w:b/>
                      <w:bCs/>
                      <w:color w:val="4F81BD"/>
                      <w:rtl/>
                    </w:rPr>
                    <w:tab/>
                  </w:r>
                  <w:r w:rsidRPr="00CE00DC">
                    <w:rPr>
                      <w:rFonts w:ascii="Simplified Arabic" w:hAnsi="Simplified Arabic"/>
                      <w:b/>
                      <w:bCs/>
                      <w:color w:val="4F81BD"/>
                      <w:szCs w:val="22"/>
                      <w:rtl/>
                    </w:rPr>
                    <w:t>فرص لتعميم النُهج القائمة على النظم الإيكولوجية بشأن التكيف مع تغير المناخ والحد من مخاطر الكوارث في أولويات التمويل</w:t>
                  </w:r>
                </w:p>
                <w:p w:rsidR="000C66C6" w:rsidRPr="00CE00DC" w:rsidRDefault="000C66C6" w:rsidP="00023979">
                  <w:pPr>
                    <w:spacing w:after="60" w:line="204" w:lineRule="auto"/>
                    <w:rPr>
                      <w:rFonts w:ascii="Simplified Arabic" w:eastAsia="BatangChe" w:hAnsi="Simplified Arabic"/>
                      <w:szCs w:val="22"/>
                    </w:rPr>
                  </w:pPr>
                  <w:r w:rsidRPr="00CE00DC">
                    <w:rPr>
                      <w:rFonts w:ascii="Simplified Arabic" w:eastAsia="BatangChe" w:hAnsi="Simplified Arabic"/>
                      <w:szCs w:val="22"/>
                      <w:rtl/>
                    </w:rPr>
                    <w:t>تسهم النُهج القائمة على النظم الإيكولوجية بشأن التكيف مع تغير المناخ والحد من مخاطر الكوارث في تحقيق أهداف متعددة بما في ذلك التنمية، ومخاطر الكوارث، والتكيف، والتخفيف، والأمن الغذائي والمائي، وفي ضمان الاستثمارات الواعية بالمخاطر. ويمكن للنُهج التي تشمل جميع القطاعات والمتعددة التخصصات للتكيف مع تغير المناخ القائم على النظم الإيكولوجية والحد من مخاطر الكوارث القائم على النظم الإيكولوجية، وإمكانية تحقيق منافع متعددة، أن توفر فرصا عديدة لجذب/تعزيز التمويل.</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تشجيع حوافز مالية جديدة للاستثمارات في الإدارة المستدامة للنظم الإيكولوجية التي تركز على النظم الإيكولوجية كجزء من التخطيط بشأن التكيف ومخاطر الكوارث. والأمثلة على ذلك تتضمن إعداد برامج تحفيزية للمزارعين من أجل تنفيذ الممارسات التي تسهم في الحفاظ على النظم الإيكولوجية القوية، من قبيل الحراجة الزراعية والحرث المحافظ على الأراضي.</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ضخ استثمارات جديدة للنُهج القائمة على النظم الإيكولوجية بشأن التكيف مع تغير المناخ والحد من مخاطر الكوارث من خلال تحصين حافظات الاستثمارات القائمة من العوامل المناخية.</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 xml:space="preserve">العمل مع القطاع الخاص (بما في ذلك قطاعات التأمين، والسياحة، والزراعة والمياه) لتسخير تجاربها ومواردها وشبكاتها. ويساعد ذلك في تشجيع الاستثمارات في النُهج القائمة على النظم الإيكولوجية بشأن التكيف مع تغير المناخ والحد من مخاطر الكوارث وتوسيع نطاقها، وإرساء شراكات بين القطاعين العام والخاص. </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إشراك هيئات تنظيمية حكومية لدعم واعتماد استثمارات القطاع الخاص في البنية الأساسية الطبيعية والنُهج القائمة على النظم الإيكولوجية بشأن التكيف مع تغير المناخ والحد من مخاطر الكوارث.</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إرساء شراكات مع الرابطات الصناعية التي يمكنها أن تساعد في تحديد المخاطر والأثار المناخية واستراتيجيات التكيف معها. والأمثلة على ذلك تشمل إعداد أدوات لتقييم المخاطر المناخية لكي يستخدمها مستثمرو القطاع الخاص وشركات التأمين، واعتماد خدمات لمعلومات الأرصاد الجوية المائية والمعلومات المناخية، والعمل مع المطورين من أجل تحسين تخطيط استخدام الأراضي، بما في ذلك أنشطة النُهج القائمة على النظم الإيكولوجية بشأن التكيف مع تغير المناخ والحد من مخاطر الكوارث من قبيل استعادة النظم الإيكولوجية.</w:t>
                  </w:r>
                </w:p>
                <w:p w:rsidR="000C66C6" w:rsidRPr="00CE00DC" w:rsidRDefault="000C66C6" w:rsidP="00CD26C5">
                  <w:pPr>
                    <w:pStyle w:val="ListParagraph"/>
                    <w:numPr>
                      <w:ilvl w:val="0"/>
                      <w:numId w:val="103"/>
                    </w:numPr>
                    <w:bidi/>
                    <w:spacing w:after="60" w:line="204" w:lineRule="auto"/>
                    <w:jc w:val="lowKashida"/>
                    <w:rPr>
                      <w:rFonts w:ascii="Simplified Arabic" w:eastAsia="BatangChe" w:hAnsi="Simplified Arabic" w:cs="Simplified Arabic"/>
                    </w:rPr>
                  </w:pPr>
                  <w:r w:rsidRPr="00CE00DC">
                    <w:rPr>
                      <w:rFonts w:ascii="Simplified Arabic" w:eastAsia="BatangChe" w:hAnsi="Simplified Arabic" w:cs="Simplified Arabic"/>
                      <w:rtl/>
                    </w:rPr>
                    <w:t>بناء هياكل تحفيزية على المستوى الوطني للنُهج القائمة على النظم الإيكولوجية بشأن التكيف مع تغير المناخ والحد من مخاطر الكوارث، خاصة لملاك الأراضي والشركات من القطاع الخاص.</w:t>
                  </w:r>
                </w:p>
                <w:p w:rsidR="000C66C6" w:rsidRPr="00CE00DC" w:rsidRDefault="000C66C6" w:rsidP="00023979">
                  <w:pPr>
                    <w:spacing w:after="60" w:line="204" w:lineRule="auto"/>
                    <w:rPr>
                      <w:rFonts w:ascii="Simplified Arabic" w:eastAsia="BatangChe" w:hAnsi="Simplified Arabic"/>
                      <w:szCs w:val="22"/>
                    </w:rPr>
                  </w:pPr>
                  <w:r w:rsidRPr="00CE00DC">
                    <w:rPr>
                      <w:rFonts w:ascii="Simplified Arabic" w:eastAsia="BatangChe" w:hAnsi="Simplified Arabic"/>
                      <w:szCs w:val="22"/>
                      <w:rtl/>
                    </w:rPr>
                    <w:t>ينبغي لتعميم النُهج القائمة على النظم الإيكولوجية بشأن التكيف مع تغير المناخ والحد من مخاطر الكوارث في أولويات التمويل أن يضمن التزام المبادرات بمبادئ وضمانات هذه النُهج مع وجود نوايا واضحة لتحقيق تعزيز القدرة الاجتماعية والإيكولوجية على الصمود أمام آثار تغير المناخ والكوارث.</w:t>
                  </w:r>
                </w:p>
              </w:txbxContent>
            </v:textbox>
            <w10:wrap type="none"/>
            <w10:anchorlock/>
          </v:shape>
        </w:pict>
      </w:r>
    </w:p>
    <w:p w:rsidR="00023979" w:rsidRPr="00C6215F" w:rsidRDefault="00023979" w:rsidP="00023979">
      <w:pPr>
        <w:spacing w:line="204" w:lineRule="auto"/>
        <w:rPr>
          <w:rtl/>
        </w:rPr>
      </w:pPr>
    </w:p>
    <w:p w:rsidR="00023979" w:rsidRPr="00C6215F" w:rsidRDefault="00023979" w:rsidP="00023979">
      <w:pPr>
        <w:spacing w:line="192" w:lineRule="auto"/>
        <w:rPr>
          <w:rFonts w:eastAsia="BatangChe"/>
          <w:rtl/>
        </w:rPr>
      </w:pPr>
      <w:r w:rsidRPr="00C6215F">
        <w:rPr>
          <w:rFonts w:hint="cs"/>
          <w:rtl/>
        </w:rPr>
        <w:t>19-</w:t>
      </w:r>
      <w:r w:rsidRPr="00C6215F">
        <w:rPr>
          <w:rFonts w:hint="cs"/>
          <w:rtl/>
        </w:rPr>
        <w:tab/>
        <w:t>وهناك إجراء رئيسي في هذا الشأن يتمثل في مراعاة دمج النُهج القائمة</w:t>
      </w:r>
      <w:r w:rsidRPr="00C6215F">
        <w:rPr>
          <w:rFonts w:eastAsia="BatangChe" w:hint="cs"/>
          <w:rtl/>
        </w:rPr>
        <w:t xml:space="preserve"> على النظم الإيكولوجية بشأن التكيف مع تغير المناخ والحد من مخاطر الكوارث في خطط التنمية القطاعية على نطاقات محلية ووطنية وإقليمية، على سبيل المثال في استخدام الأراضي وإدارة المياه، في السياقين الريفي والحضري على حد سواء. وترد إجراءات مفصلة إضافية، بالإضافة إلى إحاطات لدعم الممارسين في مجال</w:t>
      </w:r>
      <w:r w:rsidRPr="00C6215F">
        <w:rPr>
          <w:rFonts w:hint="cs"/>
          <w:rtl/>
        </w:rPr>
        <w:t xml:space="preserve"> النُهج القائمة</w:t>
      </w:r>
      <w:r w:rsidRPr="00C6215F">
        <w:rPr>
          <w:rFonts w:eastAsia="BatangChe" w:hint="cs"/>
          <w:rtl/>
        </w:rPr>
        <w:t xml:space="preserve"> على النظم الإيكولوجية بشأن التكيف مع تغير المناخ والحد من مخاطر الكوارث لتنفيذ الترويج في القطاعات، كأدوات للمعلومات التكميلية.</w:t>
      </w:r>
      <w:r w:rsidRPr="00C6215F">
        <w:rPr>
          <w:rStyle w:val="FootnoteReference"/>
          <w:rFonts w:eastAsia="BatangChe"/>
          <w:rtl/>
        </w:rPr>
        <w:footnoteReference w:id="62"/>
      </w:r>
    </w:p>
    <w:p w:rsidR="00023979" w:rsidRPr="00C6215F" w:rsidRDefault="00023979" w:rsidP="00023979">
      <w:pPr>
        <w:spacing w:line="192" w:lineRule="auto"/>
        <w:rPr>
          <w:rFonts w:eastAsia="BatangChe"/>
          <w:rtl/>
        </w:rPr>
      </w:pPr>
      <w:r w:rsidRPr="00C6215F">
        <w:rPr>
          <w:rFonts w:eastAsia="BatangChe" w:hint="cs"/>
          <w:rtl/>
        </w:rPr>
        <w:t>20-</w:t>
      </w:r>
      <w:r w:rsidRPr="00C6215F">
        <w:rPr>
          <w:rFonts w:eastAsia="BatangChe" w:hint="cs"/>
          <w:rtl/>
        </w:rPr>
        <w:tab/>
        <w:t xml:space="preserve">وفي ضوء المعلومات الواردة أعلاه، يُعرض في الشكل 2 إطار بسيط لتعميم النُهج </w:t>
      </w:r>
      <w:r w:rsidRPr="00C6215F">
        <w:rPr>
          <w:rFonts w:hint="cs"/>
          <w:rtl/>
        </w:rPr>
        <w:t>القائمة</w:t>
      </w:r>
      <w:r w:rsidRPr="00C6215F">
        <w:rPr>
          <w:rFonts w:eastAsia="BatangChe" w:hint="cs"/>
          <w:rtl/>
        </w:rPr>
        <w:t xml:space="preserve"> على النظم الإيكولوجية بشأن التكيف مع تغير المناخ والحد من مخاطر الكوارث في خطط التنمية والخطط القطاعية كمعلومات تكميلية.</w:t>
      </w:r>
      <w:r w:rsidRPr="00C6215F">
        <w:rPr>
          <w:rStyle w:val="FootnoteReference"/>
          <w:rFonts w:eastAsia="BatangChe"/>
          <w:rtl/>
        </w:rPr>
        <w:footnoteReference w:id="63"/>
      </w:r>
    </w:p>
    <w:p w:rsidR="00023979" w:rsidRPr="00C6215F" w:rsidRDefault="00023979" w:rsidP="00A56B7F">
      <w:pPr>
        <w:spacing w:after="240" w:line="192" w:lineRule="auto"/>
        <w:ind w:left="1008" w:hanging="1008"/>
        <w:rPr>
          <w:b/>
          <w:bCs/>
          <w:rtl/>
        </w:rPr>
      </w:pPr>
      <w:r w:rsidRPr="00C6215F">
        <w:rPr>
          <w:rFonts w:hint="cs"/>
          <w:b/>
          <w:bCs/>
          <w:rtl/>
        </w:rPr>
        <w:lastRenderedPageBreak/>
        <w:t>الشكل 2-</w:t>
      </w:r>
      <w:r w:rsidRPr="00C6215F">
        <w:rPr>
          <w:rFonts w:hint="cs"/>
          <w:b/>
          <w:bCs/>
          <w:rtl/>
        </w:rPr>
        <w:tab/>
        <w:t>نقاط الانطلاق لتعميم النُهج القائمة على النظم الإيكولوجية بشأن التكيف مع تغير المناخ والحد من مخاطر الكوارث في الاستراتيجيات الإنمائية والقطاعية الرئيسية من خلال إدراج النُهج القائمة على النظم الإيكولوجية في الأدوات والوسائل القائمة، واختيار مؤشرات مناسبة للرصد والتقييم، مما يضمن تحقيق التأثير الناجح من خلال إعداد نظرية للتغيير</w:t>
      </w:r>
    </w:p>
    <w:p w:rsidR="00023979" w:rsidRDefault="00023979" w:rsidP="00023979">
      <w:pPr>
        <w:ind w:left="1009" w:hanging="1009"/>
        <w:rPr>
          <w:rStyle w:val="hps"/>
          <w:b/>
          <w:bCs/>
          <w:rtl/>
        </w:rPr>
      </w:pPr>
      <w:r>
        <w:rPr>
          <w:rFonts w:hint="cs"/>
          <w:b/>
          <w:bCs/>
          <w:noProof/>
          <w:rtl/>
          <w:lang w:eastAsia="zh-CN" w:bidi="ar-SA"/>
        </w:rPr>
        <w:drawing>
          <wp:inline distT="0" distB="0" distL="0" distR="0">
            <wp:extent cx="5029200" cy="35655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565525"/>
                    </a:xfrm>
                    <a:prstGeom prst="rect">
                      <a:avLst/>
                    </a:prstGeom>
                    <a:noFill/>
                    <a:ln>
                      <a:noFill/>
                    </a:ln>
                  </pic:spPr>
                </pic:pic>
              </a:graphicData>
            </a:graphic>
          </wp:inline>
        </w:drawing>
      </w:r>
    </w:p>
    <w:p w:rsidR="00023979" w:rsidRPr="00C6215F" w:rsidRDefault="00023979" w:rsidP="00023979">
      <w:pPr>
        <w:tabs>
          <w:tab w:val="left" w:pos="1620"/>
        </w:tabs>
        <w:spacing w:before="240"/>
        <w:ind w:left="1627" w:hanging="907"/>
        <w:rPr>
          <w:rStyle w:val="hps"/>
          <w:b/>
          <w:bCs/>
          <w:rtl/>
        </w:rPr>
      </w:pPr>
      <w:r w:rsidRPr="00C6215F">
        <w:rPr>
          <w:rStyle w:val="hps"/>
          <w:rFonts w:hint="cs"/>
          <w:b/>
          <w:bCs/>
          <w:rtl/>
        </w:rPr>
        <w:t>3-3</w:t>
      </w:r>
      <w:r w:rsidRPr="00C6215F">
        <w:rPr>
          <w:rStyle w:val="hps"/>
          <w:rFonts w:hint="cs"/>
          <w:b/>
          <w:bCs/>
          <w:rtl/>
        </w:rPr>
        <w:tab/>
        <w:t>زيادة الوعي وبناء القدرات</w:t>
      </w:r>
    </w:p>
    <w:p w:rsidR="00023979" w:rsidRPr="00C6215F" w:rsidRDefault="00023979" w:rsidP="00023979">
      <w:pPr>
        <w:spacing w:line="192" w:lineRule="auto"/>
        <w:rPr>
          <w:rtl/>
        </w:rPr>
      </w:pPr>
      <w:r w:rsidRPr="00C6215F">
        <w:rPr>
          <w:rFonts w:hint="cs"/>
          <w:rtl/>
        </w:rPr>
        <w:t>21-</w:t>
      </w:r>
      <w:r w:rsidRPr="00C6215F">
        <w:rPr>
          <w:rFonts w:hint="cs"/>
          <w:rtl/>
        </w:rPr>
        <w:tab/>
        <w:t>يعد نشر المنافع المتعددة للنُهج القائمة على النظم الإيكولوجية بشأن التكيف مع تغير المناخ والحد من مخاطر الكوارث عبر القطاعات ومجتمعات الممارسة والتخصصات أمرا في غاية الأهمية لتحسين تنفيذ المبادرات واستدامتها، بالإضافة إلى فتح مصادر للتمويل. وتوفر الاتفاقات الوطنية والدولية بشأن السياسات فرصة لسد الثغرة بين مجتمعات الممارسة المختلفة. وتبرز جميع الروابط المتداخلة بين إدارة النظم الإيكولوجية، وتغير المناخ والحد من مخاطر الكوارث في الغايات المختلفة في إطار أهداف التنمية المستدامة، وإطار سِنداي للحد من مخاطر الكوارث، واتفاق باريس بشأن تغير المناخ، ومقررات الأطراف في اتفاقيات ريو، وقرارات الأطراف في اتفاقية رامسار.</w:t>
      </w:r>
      <w:r w:rsidRPr="00C6215F">
        <w:rPr>
          <w:rStyle w:val="FootnoteReference"/>
          <w:rtl/>
        </w:rPr>
        <w:footnoteReference w:id="64"/>
      </w:r>
    </w:p>
    <w:p w:rsidR="00023979" w:rsidRPr="00C6215F" w:rsidRDefault="00023979" w:rsidP="00023979">
      <w:pPr>
        <w:spacing w:line="192" w:lineRule="auto"/>
        <w:rPr>
          <w:rtl/>
        </w:rPr>
      </w:pPr>
      <w:r w:rsidRPr="00C6215F">
        <w:rPr>
          <w:rFonts w:hint="cs"/>
          <w:rtl/>
        </w:rPr>
        <w:t>22-</w:t>
      </w:r>
      <w:r w:rsidRPr="00C6215F">
        <w:rPr>
          <w:rFonts w:hint="cs"/>
          <w:rtl/>
        </w:rPr>
        <w:tab/>
        <w:t>وترد قائمة مفصلة للإجراءات المقترحة لزيادة الوعي وبناء القدرات كمعلومات تكميلية.</w:t>
      </w:r>
      <w:r w:rsidRPr="00C6215F">
        <w:rPr>
          <w:rStyle w:val="FootnoteReference"/>
          <w:rtl/>
        </w:rPr>
        <w:footnoteReference w:id="65"/>
      </w:r>
      <w:r w:rsidRPr="00C6215F">
        <w:rPr>
          <w:rFonts w:hint="cs"/>
          <w:rtl/>
        </w:rPr>
        <w:t xml:space="preserve"> ومن بين الإجراءات الرئيسية إجراء تقييمات خط الأساس لما يلي: (أ) المهارات والقدرات القائمة لصانعي السياسات لسد الثغرات وتلبية الاحتياجات؛ (ب) القدرات المؤسسية وآليات التنسيق القائمة لتحديد الاحتياجات من أجل تعميم وتنفيذ النُهج القائمة على النظم الإيكولوجية بشأن التكيف مع تغير المناخ والحد من مخاطر الكوارث بصورة مستدامة. ومن المفيد أيضا النظر في الاحتياجات المختلفة من المعلومات والاتصالات لمجموعات أصحاب المصلحة بغية إعداد عملية فعالة للترويج، وبناء قاعدة معارف مشتركة والبحث عن لغة مشتركة بين أصحاب المصلحة لدعم التعاون فيما بينهم. وهناك العديد من الشبكات المتاحة لدعم هذه الجهود وتوفر هذه الشبكات منصات لتقاسم المعلومات والخبرات.</w:t>
      </w:r>
      <w:r w:rsidRPr="00C6215F">
        <w:rPr>
          <w:rStyle w:val="FootnoteReference"/>
          <w:rtl/>
        </w:rPr>
        <w:footnoteReference w:id="66"/>
      </w:r>
    </w:p>
    <w:p w:rsidR="00023979" w:rsidRPr="00C6215F" w:rsidRDefault="00023979" w:rsidP="00023979">
      <w:pPr>
        <w:spacing w:line="192" w:lineRule="auto"/>
        <w:ind w:left="720" w:hanging="720"/>
        <w:rPr>
          <w:rStyle w:val="hps"/>
          <w:b/>
          <w:bCs/>
          <w:rtl/>
        </w:rPr>
      </w:pPr>
      <w:r w:rsidRPr="00C6215F">
        <w:rPr>
          <w:rStyle w:val="hps"/>
          <w:rFonts w:hint="cs"/>
          <w:b/>
          <w:bCs/>
          <w:rtl/>
        </w:rPr>
        <w:lastRenderedPageBreak/>
        <w:t>4-</w:t>
      </w:r>
      <w:r w:rsidRPr="00C6215F">
        <w:rPr>
          <w:rStyle w:val="hps"/>
          <w:rFonts w:hint="cs"/>
          <w:b/>
          <w:bCs/>
          <w:rtl/>
        </w:rPr>
        <w:tab/>
        <w:t>نهج متدرج لتصميم وتنفيذ نُهج فعالة قائمة على النظم الإيكولوجية بشأن التكيف مع تغير المناخ والحد من مخاطر الكوارث</w:t>
      </w:r>
    </w:p>
    <w:p w:rsidR="00023979" w:rsidRPr="00C6215F" w:rsidRDefault="00023979" w:rsidP="00023979">
      <w:pPr>
        <w:spacing w:line="192" w:lineRule="auto"/>
        <w:rPr>
          <w:rtl/>
        </w:rPr>
      </w:pPr>
      <w:r w:rsidRPr="00C6215F">
        <w:rPr>
          <w:rFonts w:hint="cs"/>
          <w:rtl/>
        </w:rPr>
        <w:t>23-</w:t>
      </w:r>
      <w:r w:rsidRPr="00C6215F">
        <w:rPr>
          <w:rtl/>
        </w:rPr>
        <w:tab/>
      </w:r>
      <w:r w:rsidRPr="00C6215F">
        <w:rPr>
          <w:rFonts w:hint="cs"/>
          <w:rtl/>
        </w:rPr>
        <w:t>عند إعداد إطار مفاهيمي لهذه المبادئ التوجيهية، تُراعى مختلف عمليات التكيف مع تغير المناخ والحد من مخاطر الكوارث، بالإضافة إلى نُهج أوسع نطاقا لحل المشاكل من قبيل أطر نهج النظم والمناظر الطبيعية.</w:t>
      </w:r>
      <w:r w:rsidRPr="00C6215F">
        <w:rPr>
          <w:rStyle w:val="FootnoteReference"/>
          <w:rtl/>
        </w:rPr>
        <w:footnoteReference w:id="67"/>
      </w:r>
      <w:r w:rsidRPr="00C6215F">
        <w:rPr>
          <w:rFonts w:hint="cs"/>
          <w:vertAlign w:val="superscript"/>
          <w:rtl/>
        </w:rPr>
        <w:t xml:space="preserve">، </w:t>
      </w:r>
      <w:r w:rsidRPr="00C6215F">
        <w:rPr>
          <w:rStyle w:val="FootnoteReference"/>
          <w:rtl/>
        </w:rPr>
        <w:footnoteReference w:id="68"/>
      </w:r>
      <w:r w:rsidRPr="00C6215F">
        <w:rPr>
          <w:rFonts w:hint="cs"/>
          <w:rtl/>
        </w:rPr>
        <w:t xml:space="preserve"> وتستخدم هذه المبادئ التوجيهية منظورا واسعا بشأن جميع النظم الإيكولوجية وتشمل اعتبارات لتعميم النُهج القائمة على النظم الإيكولوجية بشأن التكيف مع تغير المناخ والحد من مخاطر الكوارث. وتدمج المبادئ التوجيهية هذه النُهج في سلسلة من الخطوات التكرارية. وتهدف العملية إلى أن تكون مرنة وقابلة للتعديل وفقا لاحتياجات أي مشروع، أو برنامج أو بلد أو منطقة أو مناظر طبيعية أرضية/بحرية. وتعتبر المبادئ والضمانات الخاصة بالنُهج القائمة على النظم الإيكولوجية بشأن التكيف مع تغير المناخ والحد من مخاطر الكوارث أمرا محوريا في عملية التخطيط والتنفيذ، وتُقدم الاعتبارات العامة لتحسين الفعالية والكفاءة. وترتبط الخطوات بصندوق أدوات يقدم عملية اختيار غير شاملة لإرشادات وأدوات أخرى تُتاح كمعلومات تكميلية.</w:t>
      </w:r>
      <w:r w:rsidRPr="00C6215F">
        <w:rPr>
          <w:rStyle w:val="FootnoteReference"/>
          <w:rtl/>
        </w:rPr>
        <w:footnoteReference w:id="69"/>
      </w:r>
      <w:r w:rsidRPr="00C6215F">
        <w:rPr>
          <w:rFonts w:hint="cs"/>
          <w:rtl/>
        </w:rPr>
        <w:t xml:space="preserve"> وينبغي إجراء عمليات مشاركة أصحاب المصلحة، والتعميم، وبناء القدرات، والرصد عبر جميع مراحل العملية.</w:t>
      </w:r>
    </w:p>
    <w:p w:rsidR="00023979" w:rsidRPr="00C6215F" w:rsidRDefault="00023979" w:rsidP="00023979">
      <w:pPr>
        <w:spacing w:line="192" w:lineRule="auto"/>
        <w:rPr>
          <w:b/>
          <w:bCs/>
          <w:rtl/>
        </w:rPr>
      </w:pPr>
      <w:r w:rsidRPr="00C6215F">
        <w:rPr>
          <w:rFonts w:hint="cs"/>
          <w:b/>
          <w:bCs/>
          <w:rtl/>
        </w:rPr>
        <w:t>الخطوة ألف-</w:t>
      </w:r>
      <w:r w:rsidRPr="00C6215F">
        <w:rPr>
          <w:rFonts w:hint="cs"/>
          <w:b/>
          <w:bCs/>
          <w:rtl/>
        </w:rPr>
        <w:tab/>
        <w:t>فهم النظام الاجتماعي الإيكولوجي</w:t>
      </w:r>
    </w:p>
    <w:p w:rsidR="00023979" w:rsidRPr="00C6215F" w:rsidRDefault="00023979" w:rsidP="00023979">
      <w:pPr>
        <w:spacing w:line="192" w:lineRule="auto"/>
        <w:rPr>
          <w:b/>
          <w:bCs/>
          <w:rtl/>
        </w:rPr>
      </w:pPr>
      <w:r w:rsidRPr="00C6215F">
        <w:rPr>
          <w:rFonts w:hint="cs"/>
          <w:b/>
          <w:bCs/>
          <w:rtl/>
        </w:rPr>
        <w:t>الغرض</w:t>
      </w:r>
    </w:p>
    <w:p w:rsidR="00023979" w:rsidRPr="00C6215F" w:rsidRDefault="00023979" w:rsidP="00023979">
      <w:pPr>
        <w:spacing w:line="192" w:lineRule="auto"/>
        <w:rPr>
          <w:rtl/>
        </w:rPr>
      </w:pPr>
      <w:r w:rsidRPr="00C6215F">
        <w:rPr>
          <w:rFonts w:hint="cs"/>
          <w:rtl/>
        </w:rPr>
        <w:t>24-</w:t>
      </w:r>
      <w:r w:rsidRPr="00C6215F">
        <w:rPr>
          <w:rFonts w:hint="cs"/>
          <w:rtl/>
        </w:rPr>
        <w:tab/>
        <w:t>تهدف هذه الخطوة الاستكشافية إلى تحسين فهم النظام الاجتماعي الإيكولوجي المستهدف لتدخلات التكيف مع تغير المناخ وإدارة مخاطر الكوارث. ويشمل ذلك تحديد السمات الرئيسية للنظام الإيكولوجي/المناظر الطبيعية، بما في ذلك التنوع البيولوجي ووظائف وخدمات النظم الإيكولوجية، والروابط المتداخلة مع الشعوب. وتمكّن الخطوة ألف من تناول الأسباب الجذرية للمخاطر عند التعامل مع الآثار الحالية والمستقبلي</w:t>
      </w:r>
      <w:r w:rsidRPr="00C6215F">
        <w:rPr>
          <w:rtl/>
        </w:rPr>
        <w:t>ة</w:t>
      </w:r>
      <w:r w:rsidRPr="00C6215F">
        <w:rPr>
          <w:rFonts w:hint="cs"/>
          <w:rtl/>
        </w:rPr>
        <w:t xml:space="preserve"> لتغير المناخ. وبالإضافة إلى ذلك، فهي توفر معلومات خط الأساس لضمان أن تتوافق تدابير النُهج القائمة على النظم الإيكولوجية بشأن التكيف مع تغير المناخ والحد من مخاطر الكوارث مع احتياجات الحفظ والتنمية وأنها لا تضر التنوع البيولوجي، أو التنوع الثقافي، أو وظائف وخدمات النظم الإيكولوجية أو الشعوب وسبل العيش التي تعتمد على هذه الوظائف والخدمات، بما يتماشى مع المبادئ والضمانات.</w:t>
      </w:r>
    </w:p>
    <w:p w:rsidR="00023979" w:rsidRPr="00C6215F" w:rsidRDefault="00023979" w:rsidP="00023979">
      <w:pPr>
        <w:spacing w:line="192" w:lineRule="auto"/>
        <w:rPr>
          <w:rtl/>
        </w:rPr>
      </w:pPr>
      <w:r w:rsidRPr="00C6215F">
        <w:rPr>
          <w:rFonts w:hint="cs"/>
          <w:rtl/>
        </w:rPr>
        <w:t>25-</w:t>
      </w:r>
      <w:r w:rsidRPr="00C6215F">
        <w:rPr>
          <w:rFonts w:hint="cs"/>
          <w:rtl/>
        </w:rPr>
        <w:tab/>
        <w:t>وعلاوة على ذلك، تتضمن الخطوة ألف تحليلا متعمقا لأصحاب المصلحة وعمليات تشاركية متعددة أصحاب المصلحة تدعم الخطوات اللاحقة، ولذلك تُعرض إجراءات أكثر تفصيلا لإجراء هذه التحليلات (الإطار 2).</w:t>
      </w:r>
    </w:p>
    <w:p w:rsidR="00023979" w:rsidRPr="00C6215F" w:rsidRDefault="00023979" w:rsidP="00023979">
      <w:pPr>
        <w:spacing w:line="192" w:lineRule="auto"/>
        <w:rPr>
          <w:b/>
          <w:bCs/>
          <w:rtl/>
        </w:rPr>
      </w:pPr>
      <w:r w:rsidRPr="00C6215F">
        <w:rPr>
          <w:rFonts w:hint="cs"/>
          <w:b/>
          <w:bCs/>
          <w:rtl/>
        </w:rPr>
        <w:t>النتائج</w:t>
      </w:r>
    </w:p>
    <w:p w:rsidR="00023979" w:rsidRPr="00C6215F" w:rsidRDefault="00023979" w:rsidP="00023979">
      <w:pPr>
        <w:spacing w:line="192" w:lineRule="auto"/>
        <w:ind w:firstLine="720"/>
        <w:rPr>
          <w:rtl/>
        </w:rPr>
      </w:pPr>
      <w:r w:rsidRPr="00C6215F">
        <w:rPr>
          <w:rFonts w:hint="cs"/>
          <w:rtl/>
        </w:rPr>
        <w:t>(أ)</w:t>
      </w:r>
      <w:r w:rsidRPr="00C6215F">
        <w:rPr>
          <w:rFonts w:hint="cs"/>
          <w:rtl/>
        </w:rPr>
        <w:tab/>
        <w:t xml:space="preserve">تحديد </w:t>
      </w:r>
      <w:r w:rsidR="008477DA">
        <w:rPr>
          <w:rFonts w:hint="cs"/>
          <w:rtl/>
        </w:rPr>
        <w:t xml:space="preserve">نظام إيكولوجي اجتماعي معد لغرض </w:t>
      </w:r>
      <w:r w:rsidRPr="00C6215F">
        <w:rPr>
          <w:rFonts w:hint="cs"/>
          <w:rtl/>
        </w:rPr>
        <w:t>معين (التنوع البيولوجي، وخدمات النظم الإيكولوجية، والخصائص والتبعيات الاجتماعية الاقتصادية) والغايات والأهداف ذات الصلة بشأن التكيف والحد من مخاطر الكوارث؛</w:t>
      </w:r>
    </w:p>
    <w:p w:rsidR="00023979" w:rsidRPr="00C6215F" w:rsidRDefault="00023979" w:rsidP="00023979">
      <w:pPr>
        <w:spacing w:line="192" w:lineRule="auto"/>
        <w:ind w:firstLine="720"/>
        <w:rPr>
          <w:rtl/>
        </w:rPr>
      </w:pPr>
      <w:r w:rsidRPr="00C6215F">
        <w:rPr>
          <w:rFonts w:hint="cs"/>
          <w:rtl/>
        </w:rPr>
        <w:t>(ب)</w:t>
      </w:r>
      <w:r w:rsidRPr="00C6215F">
        <w:rPr>
          <w:rFonts w:hint="cs"/>
          <w:rtl/>
        </w:rPr>
        <w:tab/>
        <w:t>تحديد أصحاب المصلحة وأصحاب الحقوق؛</w:t>
      </w:r>
    </w:p>
    <w:p w:rsidR="00023979" w:rsidRPr="00C6215F" w:rsidRDefault="00023979" w:rsidP="00023979">
      <w:pPr>
        <w:spacing w:line="192" w:lineRule="auto"/>
        <w:ind w:firstLine="720"/>
        <w:rPr>
          <w:rtl/>
        </w:rPr>
      </w:pPr>
      <w:r w:rsidRPr="00C6215F">
        <w:rPr>
          <w:rFonts w:hint="cs"/>
          <w:rtl/>
        </w:rPr>
        <w:t>(ج)</w:t>
      </w:r>
      <w:r w:rsidRPr="00C6215F">
        <w:rPr>
          <w:rFonts w:hint="cs"/>
          <w:rtl/>
        </w:rPr>
        <w:tab/>
        <w:t>تحديد نقاط الانطلاق السياسية والمؤسسية للنُهج القائمة على النظم الإيكولوجية بشأن التكيف مع تغير المناخ والحد من مخاطر الكوارث في النظام.</w:t>
      </w:r>
    </w:p>
    <w:p w:rsidR="00023979" w:rsidRPr="00C6215F" w:rsidRDefault="00023979" w:rsidP="00023979">
      <w:pPr>
        <w:spacing w:line="192" w:lineRule="auto"/>
        <w:rPr>
          <w:b/>
          <w:bCs/>
          <w:rtl/>
        </w:rPr>
      </w:pPr>
      <w:r w:rsidRPr="00C6215F">
        <w:rPr>
          <w:rFonts w:hint="cs"/>
          <w:b/>
          <w:bCs/>
          <w:rtl/>
        </w:rPr>
        <w:t>الإجراءات الرئيسية</w:t>
      </w:r>
    </w:p>
    <w:p w:rsidR="00023979" w:rsidRPr="00C6215F" w:rsidRDefault="00023979" w:rsidP="00023979">
      <w:pPr>
        <w:spacing w:line="192" w:lineRule="auto"/>
        <w:ind w:firstLine="720"/>
        <w:rPr>
          <w:rtl/>
        </w:rPr>
      </w:pPr>
      <w:r w:rsidRPr="00C6215F">
        <w:rPr>
          <w:rFonts w:hint="cs"/>
          <w:rtl/>
        </w:rPr>
        <w:lastRenderedPageBreak/>
        <w:t>(أ)</w:t>
      </w:r>
      <w:r w:rsidRPr="00C6215F">
        <w:rPr>
          <w:rFonts w:hint="cs"/>
          <w:rtl/>
        </w:rPr>
        <w:tab/>
        <w:t>إجراء تقييم ذاتي تنظيمي لفهم نقاط القوة، ومواطن الضعف والقدرات (بما في ذلك القدرات التقنية والمالية) وفرص إرساء شراكات بشأن النُهج القائمة على النظم الإيكولوجية بشأن التكيف مع تغير المناخ والحد من مخاطر الكوارث. واستنادا إلى هذا الأمر، تُشكل فرقة متعددة التخصصات (تضم على سبيل الذكر لا الحصر الشعوب الأصلية والمجتمعات المحلية، وخبراء آخرين، وممثلين من القطاعات والهيئات الحكومية ذات الصلة) لتخطيط وتنفيذ هذه النُهج؛</w:t>
      </w:r>
    </w:p>
    <w:p w:rsidR="00023979" w:rsidRPr="00C6215F" w:rsidRDefault="00023979" w:rsidP="00023979">
      <w:pPr>
        <w:spacing w:line="192" w:lineRule="auto"/>
        <w:ind w:firstLine="720"/>
        <w:rPr>
          <w:rtl/>
        </w:rPr>
      </w:pPr>
      <w:r w:rsidRPr="00C6215F">
        <w:rPr>
          <w:rFonts w:hint="cs"/>
          <w:rtl/>
        </w:rPr>
        <w:t>(ب)</w:t>
      </w:r>
      <w:r w:rsidRPr="00C6215F">
        <w:rPr>
          <w:rFonts w:hint="cs"/>
          <w:rtl/>
        </w:rPr>
        <w:tab/>
        <w:t>تحديد وتعريف النظام الاجتماعي الإيكولوجي المعد لغرض معين (على سبيل المثال، مستجمع مياه، أو قطاع أو سياسة)؛</w:t>
      </w:r>
    </w:p>
    <w:p w:rsidR="00023979" w:rsidRPr="00C6215F" w:rsidRDefault="00023979" w:rsidP="00023979">
      <w:pPr>
        <w:spacing w:line="192" w:lineRule="auto"/>
        <w:ind w:firstLine="720"/>
        <w:rPr>
          <w:rtl/>
        </w:rPr>
      </w:pPr>
      <w:r w:rsidRPr="00C6215F">
        <w:rPr>
          <w:rFonts w:hint="cs"/>
          <w:rtl/>
        </w:rPr>
        <w:t>(ج)</w:t>
      </w:r>
      <w:r w:rsidRPr="00C6215F">
        <w:rPr>
          <w:rFonts w:hint="cs"/>
          <w:rtl/>
        </w:rPr>
        <w:tab/>
        <w:t>إجراء تحليلات ومشاورات، والاستفادة من الفرقة المتعددة التخصصات، بغية فهم العوامل الدافعة للمخاطر، وقدرات وأصول المجموعات، والمجتمعات والاقتصادات، والبيئة الاجتماعية والطبيعية الأوسع؛</w:t>
      </w:r>
    </w:p>
    <w:p w:rsidR="00023979" w:rsidRPr="00C6215F" w:rsidRDefault="00023979" w:rsidP="00023979">
      <w:pPr>
        <w:spacing w:line="192" w:lineRule="auto"/>
        <w:ind w:firstLine="720"/>
        <w:rPr>
          <w:rtl/>
        </w:rPr>
      </w:pPr>
      <w:r w:rsidRPr="00C6215F">
        <w:rPr>
          <w:rFonts w:hint="cs"/>
          <w:rtl/>
        </w:rPr>
        <w:t>(د)</w:t>
      </w:r>
      <w:r w:rsidRPr="00C6215F">
        <w:rPr>
          <w:rFonts w:hint="cs"/>
          <w:rtl/>
        </w:rPr>
        <w:tab/>
        <w:t>تحليل المشكلة، وتحديد نطاقها (الجغرافي والزمني) عن طريق تحديد حدود النظام (انظر الإرشادات الداعمة في صندوق الأدوات ذي الصلة</w:t>
      </w:r>
      <w:r w:rsidRPr="00C6215F">
        <w:rPr>
          <w:rStyle w:val="FootnoteReference"/>
          <w:rtl/>
        </w:rPr>
        <w:footnoteReference w:id="70"/>
      </w:r>
      <w:r w:rsidRPr="00C6215F">
        <w:rPr>
          <w:rFonts w:hint="cs"/>
          <w:rtl/>
        </w:rPr>
        <w:t>) ووضع غايات أهداف بشأن التكيف والحد من مخاطر الكوارث دون إلحاق الضرر بالتنوع البيولوجي أو وظائف وخدمات النظم الإيكولوجية. وينبغي للنطاق المكاني لإدارة المخاطر المرتبطة بآثار تغير المناخ أن يكون واسعا بدرجة تكفي لمعالجة الأسباب الجذرية للخطر ولتقديم وظائف متعددة لأصحاب المصلحة ممن لهم مصالح مختلفة، وأن يكون صغيرا بشكل يجعل تنفيذه ممكنا؛</w:t>
      </w:r>
    </w:p>
    <w:p w:rsidR="00023979" w:rsidRPr="00C6215F" w:rsidRDefault="00023979" w:rsidP="00023979">
      <w:pPr>
        <w:spacing w:line="192" w:lineRule="auto"/>
        <w:ind w:firstLine="720"/>
        <w:rPr>
          <w:rtl/>
        </w:rPr>
      </w:pPr>
      <w:r w:rsidRPr="00C6215F">
        <w:rPr>
          <w:rFonts w:hint="cs"/>
          <w:rtl/>
        </w:rPr>
        <w:t>(ﻫ)</w:t>
      </w:r>
      <w:r w:rsidRPr="00C6215F">
        <w:rPr>
          <w:rFonts w:hint="cs"/>
          <w:rtl/>
        </w:rPr>
        <w:tab/>
        <w:t>تحديد خدمات الإمداد والتنظيم والدعم والخدمات الثقافية الرئيسية في النظام التي تسهم في تعزيز القدرة على الصمود ووضع خرائط لها. ونظرا لأن 90 في المائة من الكوارث تتعلق بالمياه، بما في ذلك الجفاف أو الفيضانات، فإن فهم هيدرولوجيا المناظر الطبيعية يعد أمرا في غاية الأهمية من أجل تحديد نطاق تدخلات النُهج القائمة على النظم الإيكولوجية بشأن التكيف مع تغير المناخ والحد من مخاطر الكوارث وتصميمها؛</w:t>
      </w:r>
    </w:p>
    <w:p w:rsidR="00023979" w:rsidRPr="00C6215F" w:rsidRDefault="00023979" w:rsidP="00023979">
      <w:pPr>
        <w:spacing w:line="192" w:lineRule="auto"/>
        <w:ind w:firstLine="720"/>
        <w:rPr>
          <w:rtl/>
        </w:rPr>
      </w:pPr>
      <w:r w:rsidRPr="00C6215F">
        <w:rPr>
          <w:rFonts w:hint="cs"/>
          <w:rtl/>
        </w:rPr>
        <w:t>(و)</w:t>
      </w:r>
      <w:r w:rsidRPr="00C6215F">
        <w:rPr>
          <w:rFonts w:hint="cs"/>
          <w:rtl/>
        </w:rPr>
        <w:tab/>
        <w:t>تحديد نقاط انطلاق أولية لتدخلات النُهج القائمة على النظم الإيكولوجية بشأن التكيف مع تغير المناخ والحد من مخاطر الكوارث؛</w:t>
      </w:r>
    </w:p>
    <w:p w:rsidR="00023979" w:rsidRPr="00C6215F" w:rsidRDefault="00023979" w:rsidP="00023979">
      <w:pPr>
        <w:spacing w:line="192" w:lineRule="auto"/>
        <w:ind w:firstLine="720"/>
        <w:rPr>
          <w:rtl/>
        </w:rPr>
      </w:pPr>
      <w:r w:rsidRPr="00C6215F">
        <w:rPr>
          <w:rFonts w:hint="cs"/>
          <w:rtl/>
        </w:rPr>
        <w:t>(ز)</w:t>
      </w:r>
      <w:r w:rsidRPr="00C6215F">
        <w:rPr>
          <w:rFonts w:hint="cs"/>
          <w:rtl/>
        </w:rPr>
        <w:tab/>
        <w:t>البحث عن نقاط انطلاق ذات صلة للنُهج القائمة على النظم الإيكولوجية بشأن التكيف مع تغير المناخ والحد من مخاطر الكوارث، خاصة في دورة تتعلق بالسياسة أو التخطيط أو وضع الميزانية على نطاقات ومستويات مختلفة حيثما يمكن إدراج اعتبارات مخاطر تغير المناخ والتكيف؛</w:t>
      </w:r>
    </w:p>
    <w:p w:rsidR="00023979" w:rsidRPr="00C6215F" w:rsidRDefault="00023979" w:rsidP="00023979">
      <w:pPr>
        <w:spacing w:line="192" w:lineRule="auto"/>
        <w:ind w:firstLine="720"/>
        <w:rPr>
          <w:rtl/>
        </w:rPr>
      </w:pPr>
      <w:r w:rsidRPr="00C6215F">
        <w:rPr>
          <w:rFonts w:hint="cs"/>
          <w:rtl/>
        </w:rPr>
        <w:t>(ح)</w:t>
      </w:r>
      <w:r w:rsidRPr="00C6215F">
        <w:rPr>
          <w:rFonts w:hint="cs"/>
          <w:rtl/>
        </w:rPr>
        <w:tab/>
        <w:t>تحديد المسؤوليات المؤسسية عن أشكال التداخل الخاصة بالتنمية، والحفظ، والحد من مخاطر الكوارث والتكيف مع تغير المناخ، بما في ذلك القطاعات ذات الصلة؛</w:t>
      </w:r>
    </w:p>
    <w:p w:rsidR="00023979" w:rsidRPr="00C6215F" w:rsidRDefault="00023979" w:rsidP="00023979">
      <w:pPr>
        <w:spacing w:after="240" w:line="192" w:lineRule="auto"/>
        <w:ind w:firstLine="720"/>
        <w:rPr>
          <w:rtl/>
        </w:rPr>
      </w:pPr>
      <w:r w:rsidRPr="00C6215F">
        <w:rPr>
          <w:rFonts w:hint="cs"/>
          <w:rtl/>
        </w:rPr>
        <w:t>(ط)</w:t>
      </w:r>
      <w:r w:rsidRPr="00C6215F">
        <w:rPr>
          <w:rFonts w:hint="cs"/>
          <w:rtl/>
        </w:rPr>
        <w:tab/>
        <w:t>إجراء تحليل متعمق لأصحاب المصلحة (الإطار 2).</w:t>
      </w:r>
    </w:p>
    <w:p w:rsidR="00023979" w:rsidRPr="00C6215F" w:rsidRDefault="00023979" w:rsidP="00023979">
      <w:pPr>
        <w:spacing w:after="240" w:line="192" w:lineRule="auto"/>
        <w:rPr>
          <w:rtl/>
        </w:rPr>
      </w:pPr>
    </w:p>
    <w:p w:rsidR="00023979" w:rsidRPr="00C6215F" w:rsidRDefault="007B18D9" w:rsidP="00023979">
      <w:pPr>
        <w:spacing w:line="192" w:lineRule="auto"/>
        <w:ind w:firstLine="4"/>
      </w:pPr>
      <w:r w:rsidRPr="007B18D9">
        <w:rPr>
          <w:rFonts w:eastAsia="Calibri"/>
          <w:noProof/>
          <w:snapToGrid w:val="0"/>
          <w:kern w:val="22"/>
          <w:lang w:val="en-CA" w:eastAsia="en-CA"/>
        </w:rPr>
      </w:r>
      <w:r w:rsidRPr="007B18D9">
        <w:rPr>
          <w:rFonts w:eastAsia="Calibri"/>
          <w:noProof/>
          <w:snapToGrid w:val="0"/>
          <w:kern w:val="22"/>
          <w:lang w:val="en-CA" w:eastAsia="en-CA"/>
        </w:rPr>
        <w:pict>
          <v:shape id="Text Box 2" o:spid="_x0000_s1052" type="#_x0000_t202" style="width:468pt;height:342.5pt;visibility:visible;mso-left-percent:-10001;mso-top-percent:-10001;mso-position-horizontal:absolute;mso-position-horizontal-relative:char;mso-position-vertical:absolute;mso-position-vertical-relative:line;mso-left-percent:-10001;mso-top-percent:-10001">
            <v:textbox style="mso-next-textbox:#Text Box 2">
              <w:txbxContent>
                <w:p w:rsidR="000C66C6" w:rsidRPr="00CE00DC" w:rsidRDefault="000C66C6" w:rsidP="00023979">
                  <w:pPr>
                    <w:spacing w:line="204" w:lineRule="auto"/>
                    <w:jc w:val="center"/>
                    <w:rPr>
                      <w:b/>
                      <w:bCs/>
                      <w:color w:val="4F81BD"/>
                      <w:sz w:val="20"/>
                      <w:szCs w:val="22"/>
                    </w:rPr>
                  </w:pPr>
                  <w:r w:rsidRPr="00CE00DC">
                    <w:rPr>
                      <w:rFonts w:hint="cs"/>
                      <w:b/>
                      <w:bCs/>
                      <w:color w:val="4F81BD"/>
                      <w:sz w:val="20"/>
                      <w:szCs w:val="22"/>
                      <w:rtl/>
                    </w:rPr>
                    <w:t>الإطار 2-</w:t>
                  </w:r>
                  <w:r>
                    <w:rPr>
                      <w:rFonts w:hint="cs"/>
                      <w:b/>
                      <w:bCs/>
                      <w:color w:val="4F81BD"/>
                      <w:sz w:val="20"/>
                      <w:szCs w:val="22"/>
                      <w:rtl/>
                    </w:rPr>
                    <w:t xml:space="preserve"> </w:t>
                  </w:r>
                  <w:r w:rsidRPr="00CE00DC">
                    <w:rPr>
                      <w:rFonts w:hint="cs"/>
                      <w:b/>
                      <w:bCs/>
                      <w:color w:val="4F81BD"/>
                      <w:sz w:val="20"/>
                      <w:szCs w:val="22"/>
                      <w:rtl/>
                    </w:rPr>
                    <w:tab/>
                    <w:t>تحليل أصحاب المصلحة وأصحاب الحقوق وإنشاء آليات تشاركية</w:t>
                  </w:r>
                </w:p>
                <w:p w:rsidR="000C66C6" w:rsidRPr="00CE00DC" w:rsidRDefault="000C66C6" w:rsidP="00023979">
                  <w:pPr>
                    <w:spacing w:after="60" w:line="204" w:lineRule="auto"/>
                    <w:rPr>
                      <w:rFonts w:eastAsia="BatangChe"/>
                      <w:sz w:val="20"/>
                      <w:szCs w:val="22"/>
                      <w:rtl/>
                    </w:rPr>
                  </w:pPr>
                  <w:r w:rsidRPr="00CE00DC">
                    <w:rPr>
                      <w:rFonts w:eastAsia="BatangChe" w:hint="cs"/>
                      <w:sz w:val="20"/>
                      <w:szCs w:val="22"/>
                      <w:rtl/>
                    </w:rPr>
                    <w:t>من شأن إجراء تقييم للنظام أو المناظر الطبيعية أن يساعد في تحليل المشكلة، وأن يحدد حدود تدخلات التكيف مع تغير المناخ والحد من مخاطر الكوارث، وأن يبحث عن نقاط انطلاق للنُهج القائمة على النظم الإيكولوجية بشأن التكيف مع تغير المناخ والحد من مخاطر الكوارث. وينبغي أن تغذي هذه المعلومات تحليلا متعمقا لأصحاب المصلحة قبل إشراكهم في جميع مراحل عملية التكيف/الحد من مخاطر الكوارث، كما تستفيد أيضا من المعلومات الواردة من أصحاب المصلحة. ومن شأن المشاركة المسبقة والمستنيرة لأصحاب المصلحة وأصحاب الحقوق أن تعزز حقوق الملكية وتزيد أيضا احتمالية نجاح أي تدخل بشأن التكيف/الحد من مخاطر الكوارث. ويعتبر التحليل المتعمق لأصحاب المصلحة وإعداد عمليات متعددة أصحاب المصلحة وآليات تشاركية أمورا أساسية في الوفاء بالمبادئ المعنية بالإنصاف والشمولية والضمانات ذات الصلة. وتحدد الخطوط الإرشادية الطوعية أغواي:</w:t>
                  </w:r>
                  <w:r w:rsidRPr="00CE00DC">
                    <w:rPr>
                      <w:rFonts w:eastAsia="BatangChe" w:hint="eastAsia"/>
                      <w:sz w:val="20"/>
                      <w:szCs w:val="22"/>
                      <w:rtl/>
                    </w:rPr>
                    <w:t> </w:t>
                  </w:r>
                  <w:r w:rsidRPr="00CE00DC">
                    <w:rPr>
                      <w:rFonts w:eastAsia="BatangChe" w:hint="cs"/>
                      <w:sz w:val="20"/>
                      <w:szCs w:val="22"/>
                      <w:rtl/>
                    </w:rPr>
                    <w:t>غو (</w:t>
                  </w:r>
                  <w:hyperlink r:id="rId31" w:history="1">
                    <w:r w:rsidRPr="007D00E0">
                      <w:rPr>
                        <w:rStyle w:val="Hyperlink"/>
                        <w:sz w:val="20"/>
                        <w:szCs w:val="22"/>
                      </w:rPr>
                      <w:t>https://www.cbd.int/traditional/guidelines.shtml</w:t>
                    </w:r>
                  </w:hyperlink>
                  <w:r w:rsidRPr="00CE00DC">
                    <w:rPr>
                      <w:rFonts w:eastAsia="BatangChe" w:hint="cs"/>
                      <w:sz w:val="20"/>
                      <w:szCs w:val="22"/>
                      <w:rtl/>
                    </w:rPr>
                    <w:t>) اعتبارات إجرائية بشأن إجراء تقييمات للأثر الثقافي والبيئي والاجتماعي، تُطبق على نطاق واسع في النُهج القائمة على النظم الإيكولوجية بشأن التكيف مع تغير المناخ والحد من مخاطر الكوارث.</w:t>
                  </w:r>
                </w:p>
                <w:p w:rsidR="000C66C6" w:rsidRPr="00CE00DC" w:rsidRDefault="000C66C6" w:rsidP="00023979">
                  <w:pPr>
                    <w:spacing w:after="60" w:line="204" w:lineRule="auto"/>
                    <w:rPr>
                      <w:rFonts w:eastAsia="BatangChe"/>
                      <w:b/>
                      <w:bCs/>
                      <w:color w:val="2F5496"/>
                      <w:sz w:val="20"/>
                      <w:szCs w:val="22"/>
                    </w:rPr>
                  </w:pPr>
                  <w:r w:rsidRPr="00CE00DC">
                    <w:rPr>
                      <w:rFonts w:eastAsia="BatangChe" w:hint="cs"/>
                      <w:b/>
                      <w:bCs/>
                      <w:color w:val="2F5496"/>
                      <w:sz w:val="20"/>
                      <w:szCs w:val="22"/>
                      <w:rtl/>
                    </w:rPr>
                    <w:t>الإجراءات الرئيسية</w:t>
                  </w:r>
                </w:p>
                <w:p w:rsidR="000C66C6" w:rsidRPr="00CE00DC" w:rsidRDefault="000C66C6" w:rsidP="00CD26C5">
                  <w:pPr>
                    <w:pStyle w:val="ListParagraph"/>
                    <w:numPr>
                      <w:ilvl w:val="0"/>
                      <w:numId w:val="103"/>
                    </w:numPr>
                    <w:bidi/>
                    <w:spacing w:after="60" w:line="204" w:lineRule="auto"/>
                    <w:rPr>
                      <w:rFonts w:eastAsia="BatangChe" w:cs="Simplified Arabic"/>
                      <w:sz w:val="20"/>
                    </w:rPr>
                  </w:pPr>
                  <w:r w:rsidRPr="00CE00DC">
                    <w:rPr>
                      <w:rFonts w:eastAsia="BatangChe" w:cs="Simplified Arabic" w:hint="cs"/>
                      <w:sz w:val="20"/>
                      <w:rtl/>
                    </w:rPr>
                    <w:t>تحديد الشعوب الأصلية والمجتمعات المحلية، وأصحاب المصلحة وأصحاب الحقوق المعرضين للتأثر بتدخلات النُهج القائمة على النظم الإيكولوجية بشأن التكيف مع تغير المناخ والحد من مخاطر الكوارث، وتحديد الشعوب والمنظمات والقطاعات التي تؤثر على عملية التخطيط والتنفيذ، من خلال الاستعانة بعمليات تشاركية شفافة.</w:t>
                  </w:r>
                </w:p>
                <w:p w:rsidR="000C66C6" w:rsidRPr="00CE00DC" w:rsidRDefault="000C66C6" w:rsidP="00CD26C5">
                  <w:pPr>
                    <w:pStyle w:val="ListParagraph"/>
                    <w:numPr>
                      <w:ilvl w:val="0"/>
                      <w:numId w:val="103"/>
                    </w:numPr>
                    <w:bidi/>
                    <w:spacing w:after="60" w:line="204" w:lineRule="auto"/>
                    <w:rPr>
                      <w:rFonts w:eastAsia="BatangChe" w:cs="Simplified Arabic"/>
                      <w:sz w:val="20"/>
                    </w:rPr>
                  </w:pPr>
                  <w:r w:rsidRPr="00CE00DC">
                    <w:rPr>
                      <w:rFonts w:eastAsia="BatangChe" w:cs="Simplified Arabic" w:hint="cs"/>
                      <w:sz w:val="20"/>
                      <w:rtl/>
                    </w:rPr>
                    <w:t>ضمان المشاركة الكاملة والفعالة لجميع أصحاب المصلحة وأصحاب الحقوق المعنيين، بما في ذلك الشعوب الأصلية والمجتمعات المحلية، والفقراء والنساء والشباب وكبار السن، مع ضمان أن يكون لديهم قدرات وموارد بشرية وتقنية ومالية وتشريعية كافية للقيام بذلك (بما يتماشى مع الضمانات).</w:t>
                  </w:r>
                </w:p>
                <w:p w:rsidR="000C66C6" w:rsidRPr="00CE00DC" w:rsidRDefault="000C66C6" w:rsidP="00CD26C5">
                  <w:pPr>
                    <w:pStyle w:val="ListParagraph"/>
                    <w:numPr>
                      <w:ilvl w:val="0"/>
                      <w:numId w:val="103"/>
                    </w:numPr>
                    <w:bidi/>
                    <w:spacing w:after="60" w:line="204" w:lineRule="auto"/>
                    <w:rPr>
                      <w:rFonts w:eastAsia="BatangChe" w:cs="Simplified Arabic"/>
                      <w:sz w:val="20"/>
                    </w:rPr>
                  </w:pPr>
                  <w:r w:rsidRPr="00CE00DC">
                    <w:rPr>
                      <w:rFonts w:eastAsia="BatangChe" w:cs="Simplified Arabic" w:hint="cs"/>
                      <w:sz w:val="20"/>
                      <w:rtl/>
                    </w:rPr>
                    <w:t xml:space="preserve">الاشتراك مع منظمات المجتمع المدني و/أو المنظمات المجتمعية لتمكين مشاركتها الفعالة. </w:t>
                  </w:r>
                </w:p>
                <w:p w:rsidR="000C66C6" w:rsidRPr="00CE00DC" w:rsidRDefault="000C66C6" w:rsidP="00CD26C5">
                  <w:pPr>
                    <w:pStyle w:val="ListParagraph"/>
                    <w:numPr>
                      <w:ilvl w:val="0"/>
                      <w:numId w:val="103"/>
                    </w:numPr>
                    <w:bidi/>
                    <w:spacing w:after="60" w:line="204" w:lineRule="auto"/>
                    <w:rPr>
                      <w:rFonts w:eastAsia="BatangChe" w:cs="Simplified Arabic"/>
                      <w:sz w:val="20"/>
                    </w:rPr>
                  </w:pPr>
                  <w:r w:rsidRPr="00CE00DC">
                    <w:rPr>
                      <w:rFonts w:eastAsia="BatangChe" w:cs="Simplified Arabic" w:hint="cs"/>
                      <w:sz w:val="20"/>
                      <w:rtl/>
                    </w:rPr>
                    <w:t>القيام، عند الاقتضاء، بتحديد وحماية حقوق ملكية مناطق استخدام الموارد البيولوجية وحقوق الدخول إليها.</w:t>
                  </w:r>
                </w:p>
              </w:txbxContent>
            </v:textbox>
            <w10:wrap type="none"/>
            <w10:anchorlock/>
          </v:shape>
        </w:pict>
      </w:r>
    </w:p>
    <w:p w:rsidR="00023979" w:rsidRPr="00C6215F" w:rsidRDefault="00023979" w:rsidP="00023979">
      <w:pPr>
        <w:spacing w:before="240" w:line="192" w:lineRule="auto"/>
        <w:rPr>
          <w:b/>
          <w:bCs/>
          <w:rtl/>
        </w:rPr>
      </w:pPr>
      <w:r w:rsidRPr="00C6215F">
        <w:rPr>
          <w:rFonts w:hint="cs"/>
          <w:b/>
          <w:bCs/>
          <w:rtl/>
        </w:rPr>
        <w:t>الخطوة باء-</w:t>
      </w:r>
      <w:r w:rsidRPr="00C6215F">
        <w:rPr>
          <w:rFonts w:hint="cs"/>
          <w:b/>
          <w:bCs/>
          <w:rtl/>
        </w:rPr>
        <w:tab/>
        <w:t>تقييم هشاشة الأوضاع والمخاطر</w:t>
      </w:r>
    </w:p>
    <w:p w:rsidR="00023979" w:rsidRPr="00C6215F" w:rsidRDefault="00023979" w:rsidP="00023979">
      <w:pPr>
        <w:spacing w:line="192" w:lineRule="auto"/>
        <w:rPr>
          <w:b/>
          <w:bCs/>
          <w:rtl/>
        </w:rPr>
      </w:pPr>
      <w:r w:rsidRPr="00C6215F">
        <w:rPr>
          <w:rFonts w:hint="cs"/>
          <w:b/>
          <w:bCs/>
          <w:rtl/>
        </w:rPr>
        <w:t>الغرض</w:t>
      </w:r>
    </w:p>
    <w:p w:rsidR="00023979" w:rsidRPr="00C6215F" w:rsidRDefault="00023979" w:rsidP="00023979">
      <w:pPr>
        <w:spacing w:line="192" w:lineRule="auto"/>
        <w:rPr>
          <w:rtl/>
        </w:rPr>
      </w:pPr>
      <w:r w:rsidRPr="00C6215F">
        <w:rPr>
          <w:rFonts w:hint="cs"/>
          <w:rtl/>
        </w:rPr>
        <w:t>26-</w:t>
      </w:r>
      <w:r w:rsidRPr="00C6215F">
        <w:rPr>
          <w:rFonts w:hint="cs"/>
          <w:rtl/>
        </w:rPr>
        <w:tab/>
        <w:t>تُجرى تقييمات هشاشة الأوضاع والمخاطر لتحديد المخاطر والآثار الرئيسية لتغير المناخ والكوارث على النظام الاجتماعي الإيكولوجي المعد لغرض معين، مثل تقييم معلومات التنوع البيولوجي وخدمات النظم الإيكولوجية لتحديد الأنواع أو النظم الإيكولوجية الضعيفة بشكل خاص أمام الآثار السلبية لتغير المناخ. وتُستخدم التقييمات بعد ذلك لتحديد التدخلات المستهدفة بشأن التكيف والحد من مخاطر الكوارث في التخطيط والتصميم وتقييمها واختيارها. كما تساعد تقييمات المخاطر وهشاشة الأوضاع في تخصيص الموارد للمجالات التي في أمس الحاجة إليها، ووضع خطوط أساس لرصد نجاح التدخلات.</w:t>
      </w:r>
    </w:p>
    <w:p w:rsidR="00023979" w:rsidRPr="00C6215F" w:rsidRDefault="00023979" w:rsidP="00023979">
      <w:pPr>
        <w:spacing w:line="192" w:lineRule="auto"/>
        <w:rPr>
          <w:rtl/>
        </w:rPr>
      </w:pPr>
      <w:r w:rsidRPr="00C6215F">
        <w:rPr>
          <w:rFonts w:hint="cs"/>
          <w:rtl/>
        </w:rPr>
        <w:t>27-</w:t>
      </w:r>
      <w:r w:rsidRPr="00C6215F">
        <w:rPr>
          <w:rFonts w:hint="cs"/>
          <w:rtl/>
        </w:rPr>
        <w:tab/>
        <w:t>وتعرّف هشاشة الأوضاع على أنها استعداد أو قابلية للتعرض للآثار الضارة. وتضمن هشاشة الأوضاع مجموعة من المفاهيم والعناصر أو القابلية للتعرض للأذى وعدم القدرة على التعامل والتكيف معها.</w:t>
      </w:r>
      <w:r w:rsidRPr="00C6215F">
        <w:rPr>
          <w:rStyle w:val="FootnoteReference"/>
          <w:rtl/>
        </w:rPr>
        <w:footnoteReference w:id="71"/>
      </w:r>
      <w:r w:rsidRPr="00C6215F">
        <w:rPr>
          <w:rFonts w:hint="cs"/>
          <w:rtl/>
        </w:rPr>
        <w:t xml:space="preserve"> ويحدد الضعف والتعرض والأخطار معا مخاطر الآثار المتصلة بالمناخ (الشكل 3). وبالرغم من أن لهذه المصطلحات تعاريف مختلفة وافتراضات كامنة، فإن تقييمات كل من المخاطر وهشاشة الأوضاع تتبع منطقا مماثلا.</w:t>
      </w:r>
    </w:p>
    <w:p w:rsidR="00023979" w:rsidRPr="00C6215F" w:rsidRDefault="00023979" w:rsidP="00023979">
      <w:pPr>
        <w:rPr>
          <w:b/>
          <w:bCs/>
          <w:rtl/>
        </w:rPr>
      </w:pPr>
      <w:r w:rsidRPr="00C6215F">
        <w:rPr>
          <w:b/>
          <w:bCs/>
          <w:rtl/>
        </w:rPr>
        <w:br w:type="page"/>
      </w:r>
    </w:p>
    <w:p w:rsidR="00023979" w:rsidRPr="00C6215F" w:rsidRDefault="00023979" w:rsidP="00023979">
      <w:pPr>
        <w:spacing w:line="192" w:lineRule="auto"/>
        <w:ind w:left="1008" w:hanging="1008"/>
        <w:rPr>
          <w:b/>
          <w:bCs/>
          <w:rtl/>
        </w:rPr>
      </w:pPr>
      <w:r w:rsidRPr="00C6215F">
        <w:rPr>
          <w:rFonts w:hint="cs"/>
          <w:b/>
          <w:bCs/>
          <w:rtl/>
        </w:rPr>
        <w:lastRenderedPageBreak/>
        <w:t>الشكل 3-</w:t>
      </w:r>
      <w:r w:rsidRPr="00C6215F">
        <w:rPr>
          <w:rFonts w:hint="cs"/>
          <w:b/>
          <w:bCs/>
          <w:rtl/>
        </w:rPr>
        <w:tab/>
        <w:t>توضيح المفاهيم الأساسية لمساهمة الفريق العامل الثاني في تقرير التقييم الخامس للهيئة الحكومية الدولية المعنية بتغير المناخ</w:t>
      </w:r>
    </w:p>
    <w:p w:rsidR="00023979" w:rsidRPr="00C6215F" w:rsidRDefault="00023979" w:rsidP="00023979">
      <w:pPr>
        <w:spacing w:line="192" w:lineRule="auto"/>
        <w:jc w:val="center"/>
        <w:rPr>
          <w:rtl/>
        </w:rPr>
      </w:pPr>
      <w:r w:rsidRPr="00C6215F">
        <w:rPr>
          <w:noProof/>
          <w:lang w:eastAsia="zh-CN" w:bidi="ar-SA"/>
        </w:rPr>
        <w:drawing>
          <wp:inline distT="0" distB="0" distL="0" distR="0">
            <wp:extent cx="4499081" cy="27432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9081" cy="2743200"/>
                    </a:xfrm>
                    <a:prstGeom prst="rect">
                      <a:avLst/>
                    </a:prstGeom>
                    <a:noFill/>
                    <a:ln>
                      <a:noFill/>
                    </a:ln>
                  </pic:spPr>
                </pic:pic>
              </a:graphicData>
            </a:graphic>
          </wp:inline>
        </w:drawing>
      </w:r>
    </w:p>
    <w:p w:rsidR="00023979" w:rsidRPr="00A56B7F" w:rsidRDefault="00023979" w:rsidP="008477DA">
      <w:pPr>
        <w:spacing w:after="240" w:line="192" w:lineRule="auto"/>
        <w:rPr>
          <w:szCs w:val="22"/>
          <w:rtl/>
        </w:rPr>
      </w:pPr>
      <w:r w:rsidRPr="00A56B7F">
        <w:rPr>
          <w:rFonts w:hint="cs"/>
          <w:i/>
          <w:iCs/>
          <w:szCs w:val="22"/>
          <w:rtl/>
        </w:rPr>
        <w:t>ملحوظة</w:t>
      </w:r>
      <w:r w:rsidRPr="00A56B7F">
        <w:rPr>
          <w:rFonts w:hint="cs"/>
          <w:szCs w:val="22"/>
          <w:rtl/>
        </w:rPr>
        <w:t>: تنجم مخاطر الآثار المتصلة بالمناخ من تفاعل الأخطار المتصلة بالمناخ (بما في ذلك الظواهر والاتجاهات الخطرة) مع هشاشة أوضاع النظم البشرية والطبيعية وتعرضها. والتغيرات التي تحدث في كل من النظام المناخي (على اليسار) والعمليات الاجتماعية الاقتصادية بما في ذلك التكيف والتخفيف (على اليمين) هي العوامل الدافعة للأخطار والتعرض وهشاشة الأوضاع، (ا</w:t>
      </w:r>
      <w:r w:rsidRPr="00A56B7F">
        <w:rPr>
          <w:szCs w:val="22"/>
          <w:rtl/>
        </w:rPr>
        <w:t>لهيئة الحكومية الدولية المعنية بتغير المناخ</w:t>
      </w:r>
      <w:r w:rsidRPr="00A56B7F">
        <w:rPr>
          <w:rFonts w:hint="cs"/>
          <w:szCs w:val="22"/>
          <w:rtl/>
        </w:rPr>
        <w:t xml:space="preserve">، </w:t>
      </w:r>
      <w:hyperlink r:id="rId33" w:history="1">
        <w:r w:rsidRPr="00A56B7F">
          <w:rPr>
            <w:rStyle w:val="Hyperlink"/>
            <w:rFonts w:ascii="Simplified Arabic" w:hAnsi="Simplified Arabic"/>
            <w:i/>
            <w:iCs/>
            <w:szCs w:val="22"/>
            <w:rtl/>
          </w:rPr>
          <w:t>تغير المناخ 2014: الآثار، والتكيف، وهشاشة الأوضاع</w:t>
        </w:r>
      </w:hyperlink>
      <w:r w:rsidRPr="00A56B7F">
        <w:rPr>
          <w:rFonts w:hint="cs"/>
          <w:i/>
          <w:iCs/>
          <w:szCs w:val="22"/>
          <w:rtl/>
        </w:rPr>
        <w:t>،</w:t>
      </w:r>
      <w:r w:rsidRPr="00A56B7F">
        <w:rPr>
          <w:rFonts w:hint="cs"/>
          <w:szCs w:val="22"/>
          <w:rtl/>
        </w:rPr>
        <w:t xml:space="preserve"> 2014).</w:t>
      </w:r>
    </w:p>
    <w:p w:rsidR="00023979" w:rsidRPr="00C6215F" w:rsidRDefault="00023979" w:rsidP="00023979">
      <w:pPr>
        <w:spacing w:line="192" w:lineRule="auto"/>
        <w:rPr>
          <w:rtl/>
        </w:rPr>
      </w:pPr>
      <w:r w:rsidRPr="00C6215F">
        <w:rPr>
          <w:rFonts w:hint="cs"/>
          <w:rtl/>
        </w:rPr>
        <w:t>28-</w:t>
      </w:r>
      <w:r w:rsidRPr="00C6215F">
        <w:rPr>
          <w:rFonts w:hint="cs"/>
          <w:rtl/>
        </w:rPr>
        <w:tab/>
        <w:t xml:space="preserve">وتتكون تقييمات المخاطر عموما من ثلاث خطوات: تحديد الخطر (إيجاده، والتعرف عليه ووصفه)؛ وتحليل الخطر (تقدير احتمالية حدوثه وشدة آثاره المحتملة)؛ وتقييم الخطر (مقارنة مستوى الخطر مع معايير الخطر لتحديد ما إذا كان الخطر و/أو حجمه محتملا). وتأخذ هذه الخطوات في الاعتبار العوامل المناخية </w:t>
      </w:r>
      <w:r w:rsidRPr="00FF1A1B">
        <w:rPr>
          <w:rFonts w:hint="cs"/>
          <w:spacing w:val="-6"/>
          <w:rtl/>
        </w:rPr>
        <w:t>وغير المناخية التي تولد خطرا مناخيا أو كارثيا.</w:t>
      </w:r>
    </w:p>
    <w:p w:rsidR="00023979" w:rsidRPr="00C6215F" w:rsidRDefault="00023979" w:rsidP="00023979">
      <w:pPr>
        <w:spacing w:line="192" w:lineRule="auto"/>
        <w:rPr>
          <w:rtl/>
        </w:rPr>
      </w:pPr>
      <w:r w:rsidRPr="00C6215F">
        <w:rPr>
          <w:rFonts w:hint="cs"/>
          <w:rtl/>
        </w:rPr>
        <w:t>29-</w:t>
      </w:r>
      <w:r w:rsidRPr="00C6215F">
        <w:rPr>
          <w:rFonts w:hint="cs"/>
          <w:rtl/>
        </w:rPr>
        <w:tab/>
        <w:t>وتكمن ميزة اتباع نهج متكامل لتقييم المخاطر وهشاشة الأوضاع، مقابل تقييم هشاشة الأوضاع فقط، في أنه يتناول النسبة الكبيرة من الآثار التي تنجم عن الظواهر الخطرة، فضلا عن دمج نُهج التكيف مع تغير المناخ والحد من مخاطر الكوارث على حد سواء. وهناك ممارسات جديدة نسبيا تنتقل من نُهج الخطر الواحد إلى تقييمات متعددة الأخطار/متعددة المخاطر. فيمكن لهذا النهج أن يُظهر المناطق أو فئات الكائنات المعرضة للأخطار المتعددة (مثل العواصف والفيضانات)، والتأثيرات المتتالية، التي يؤدي فيها خطر إلى حدوث آخر.</w:t>
      </w:r>
    </w:p>
    <w:p w:rsidR="00023979" w:rsidRPr="00C6215F" w:rsidRDefault="00023979" w:rsidP="00023979">
      <w:pPr>
        <w:spacing w:line="192" w:lineRule="auto"/>
        <w:rPr>
          <w:rtl/>
        </w:rPr>
      </w:pPr>
      <w:r w:rsidRPr="00C6215F">
        <w:rPr>
          <w:rFonts w:hint="cs"/>
          <w:rtl/>
        </w:rPr>
        <w:t>30-</w:t>
      </w:r>
      <w:r w:rsidRPr="00C6215F">
        <w:rPr>
          <w:rFonts w:hint="cs"/>
          <w:rtl/>
        </w:rPr>
        <w:tab/>
        <w:t>وتُناقش أدناه اعتبارات رئيسية وأنشطة عامة للاضطلاع بتقييمات المخاطر وهشاشة الأوضاع. وترد أدوات وأمثلة وإرشادات متدرجة مفصلة أخرى في صندوق أدوات الخطوة باء: إجراء تقييمات المخاطر وهشاشة الأوضاع، وتُتاح كمعلومات تكميلية.</w:t>
      </w:r>
      <w:r w:rsidRPr="00C6215F">
        <w:rPr>
          <w:rStyle w:val="FootnoteReference"/>
          <w:rtl/>
        </w:rPr>
        <w:footnoteReference w:id="72"/>
      </w:r>
    </w:p>
    <w:p w:rsidR="00023979" w:rsidRPr="00C6215F" w:rsidRDefault="00023979" w:rsidP="00023979">
      <w:pPr>
        <w:spacing w:line="192" w:lineRule="auto"/>
        <w:rPr>
          <w:b/>
          <w:bCs/>
          <w:rtl/>
        </w:rPr>
      </w:pPr>
      <w:r w:rsidRPr="00C6215F">
        <w:rPr>
          <w:rFonts w:hint="cs"/>
          <w:b/>
          <w:bCs/>
          <w:rtl/>
        </w:rPr>
        <w:t>النتائج</w:t>
      </w:r>
    </w:p>
    <w:p w:rsidR="00023979" w:rsidRPr="00C6215F" w:rsidRDefault="00023979" w:rsidP="00023979">
      <w:pPr>
        <w:spacing w:line="192" w:lineRule="auto"/>
        <w:ind w:firstLine="720"/>
        <w:rPr>
          <w:rtl/>
        </w:rPr>
      </w:pPr>
      <w:r w:rsidRPr="00C6215F">
        <w:rPr>
          <w:rFonts w:hint="cs"/>
          <w:rtl/>
        </w:rPr>
        <w:t>(أ)</w:t>
      </w:r>
      <w:r w:rsidRPr="00C6215F">
        <w:rPr>
          <w:rFonts w:hint="cs"/>
          <w:rtl/>
        </w:rPr>
        <w:tab/>
        <w:t>موجز للمخاطر وهشاشة الأوضاع في السيناريوهات المناخية الحالية والمستقبلية للنظام الاجتماعي الإيكولوجي الذي يغطي الأخطار، والتعرض، ومواطن الضعف (بما في ذلك الحساسيات والقدرات التكيفية)؛</w:t>
      </w:r>
    </w:p>
    <w:p w:rsidR="00023979" w:rsidRPr="00C6215F" w:rsidRDefault="00023979" w:rsidP="00023979">
      <w:pPr>
        <w:spacing w:line="192" w:lineRule="auto"/>
        <w:ind w:firstLine="720"/>
        <w:rPr>
          <w:rtl/>
        </w:rPr>
      </w:pPr>
      <w:r w:rsidRPr="00C6215F">
        <w:rPr>
          <w:rFonts w:hint="cs"/>
          <w:rtl/>
        </w:rPr>
        <w:t>(ب)</w:t>
      </w:r>
      <w:r w:rsidRPr="00C6215F">
        <w:rPr>
          <w:rFonts w:hint="cs"/>
          <w:rtl/>
        </w:rPr>
        <w:tab/>
        <w:t>العوامل الدافعة الرئيسية للمخاطر والأسباب الكامنة.</w:t>
      </w:r>
    </w:p>
    <w:p w:rsidR="00023979" w:rsidRPr="00C6215F" w:rsidRDefault="00023979" w:rsidP="00A56B7F">
      <w:pPr>
        <w:keepNext/>
        <w:spacing w:line="192" w:lineRule="auto"/>
        <w:rPr>
          <w:b/>
          <w:bCs/>
          <w:rtl/>
        </w:rPr>
      </w:pPr>
      <w:r w:rsidRPr="00C6215F">
        <w:rPr>
          <w:rFonts w:hint="cs"/>
          <w:b/>
          <w:bCs/>
          <w:rtl/>
        </w:rPr>
        <w:t>الإجراءات الرئيسية</w:t>
      </w:r>
    </w:p>
    <w:p w:rsidR="00023979" w:rsidRPr="00C6215F" w:rsidRDefault="00023979" w:rsidP="00023979">
      <w:pPr>
        <w:spacing w:line="192" w:lineRule="auto"/>
        <w:ind w:firstLine="720"/>
        <w:rPr>
          <w:rtl/>
        </w:rPr>
      </w:pPr>
      <w:r w:rsidRPr="00C6215F">
        <w:rPr>
          <w:rFonts w:hint="cs"/>
          <w:rtl/>
        </w:rPr>
        <w:t>(أ)</w:t>
      </w:r>
      <w:r w:rsidRPr="00C6215F">
        <w:rPr>
          <w:rFonts w:hint="cs"/>
          <w:rtl/>
        </w:rPr>
        <w:tab/>
        <w:t>وضع أطر ومفاهيم تقر بالروابط بين الشعوب والنظم الإيكولوجية باعتبارها نظما اجتماعية إيكولوجية متكاملة بدلا من النظر إلى التكيف والحد من المخاطر من منظور بشري فقط، أو الاستفادة من هذه الأطر والمفاهيم؛</w:t>
      </w:r>
    </w:p>
    <w:p w:rsidR="00023979" w:rsidRPr="00C6215F" w:rsidRDefault="00023979" w:rsidP="00023979">
      <w:pPr>
        <w:spacing w:line="192" w:lineRule="auto"/>
        <w:ind w:firstLine="720"/>
        <w:rPr>
          <w:rtl/>
        </w:rPr>
      </w:pPr>
      <w:r w:rsidRPr="00C6215F">
        <w:rPr>
          <w:rFonts w:hint="cs"/>
          <w:rtl/>
        </w:rPr>
        <w:lastRenderedPageBreak/>
        <w:t>(ب)</w:t>
      </w:r>
      <w:r w:rsidRPr="00C6215F">
        <w:rPr>
          <w:rFonts w:hint="cs"/>
          <w:rtl/>
        </w:rPr>
        <w:tab/>
        <w:t>تقييم المخاطر المناخية وغير المناخية السابقة والحالية على النظام الاجتماعي الإيكولوجي في ظل معايير مرنة تتناول الروابط بين النظم البشرية والبيئية:</w:t>
      </w:r>
    </w:p>
    <w:p w:rsidR="00023979" w:rsidRPr="00C6215F" w:rsidRDefault="00023979" w:rsidP="00023979">
      <w:pPr>
        <w:spacing w:line="192" w:lineRule="auto"/>
        <w:ind w:left="1440" w:hanging="720"/>
        <w:rPr>
          <w:rtl/>
        </w:rPr>
      </w:pPr>
      <w:r w:rsidRPr="00C6215F">
        <w:rPr>
          <w:rFonts w:hint="cs"/>
          <w:rtl/>
        </w:rPr>
        <w:t>(1)</w:t>
      </w:r>
      <w:r w:rsidRPr="00C6215F">
        <w:rPr>
          <w:rFonts w:hint="cs"/>
          <w:rtl/>
        </w:rPr>
        <w:tab/>
        <w:t>استشارة التقييمات السابقة لآثار تغير المناخ على التنوع البيولوجي ووظائف وخدمات النظم الإيكولوجية؛ مثل تقييمات وطنية للأثر وهشاشة الأوضاع تم إعدادها بموجب اتفاقية الأمم المتحدة الإطارية بشأن تغير المناخ، أو تقييمات هشاشة الأوضاع من قطاعات الغابات، أو الزراعة، أو مصايد الأسماك وغيرها من القطاعات ذات الصلة؛</w:t>
      </w:r>
    </w:p>
    <w:p w:rsidR="00023979" w:rsidRPr="00C6215F" w:rsidRDefault="00023979" w:rsidP="00023979">
      <w:pPr>
        <w:spacing w:line="192" w:lineRule="auto"/>
        <w:ind w:left="1440" w:hanging="720"/>
        <w:rPr>
          <w:rtl/>
        </w:rPr>
      </w:pPr>
      <w:r w:rsidRPr="00C6215F">
        <w:rPr>
          <w:rFonts w:hint="cs"/>
          <w:rtl/>
        </w:rPr>
        <w:t>(2)</w:t>
      </w:r>
      <w:r w:rsidRPr="00C6215F">
        <w:rPr>
          <w:rFonts w:hint="cs"/>
          <w:rtl/>
        </w:rPr>
        <w:tab/>
        <w:t>إجراء عمليات مسح للميدان الاقتصادي الاجتماعي والإيكولوجي لتحديد مواطن الضعف في كل من المجتمعات والنظم الإيكولوجية (بما في ذلك النظم الإيكولوجية التي تقدم وظائف وخدمات حرجة للتكيف مع تغير المناخ أو الحد من مخاطر الكوارث) (انظر المعلومات التكميلية لمزيد من التفاصيل</w:t>
      </w:r>
      <w:r w:rsidRPr="00C6215F">
        <w:rPr>
          <w:rStyle w:val="FootnoteReference"/>
          <w:rtl/>
        </w:rPr>
        <w:footnoteReference w:id="73"/>
      </w:r>
      <w:r w:rsidRPr="00C6215F">
        <w:rPr>
          <w:rFonts w:hint="cs"/>
          <w:rtl/>
        </w:rPr>
        <w:t>)؛</w:t>
      </w:r>
    </w:p>
    <w:p w:rsidR="00023979" w:rsidRPr="00C6215F" w:rsidRDefault="00023979" w:rsidP="00023979">
      <w:pPr>
        <w:spacing w:line="192" w:lineRule="auto"/>
        <w:ind w:left="1440" w:hanging="720"/>
        <w:rPr>
          <w:rtl/>
        </w:rPr>
      </w:pPr>
      <w:r w:rsidRPr="00C6215F">
        <w:rPr>
          <w:rFonts w:hint="cs"/>
          <w:rtl/>
        </w:rPr>
        <w:t>(3)</w:t>
      </w:r>
      <w:r w:rsidRPr="00C6215F">
        <w:rPr>
          <w:rFonts w:hint="cs"/>
          <w:rtl/>
        </w:rPr>
        <w:tab/>
        <w:t>تقييم جميع العوامل الدافعة وهشاشة الأوضاع وإن أمكن المخاطر المستقبلية استنادا إلى توقعات أو سيناريوهات تغير المناخ التي تحدث في نطاق مناسب، مثل التي يُقلص نطاقها إلى المستوى المحلي، حسب الاقتضاء؛</w:t>
      </w:r>
    </w:p>
    <w:p w:rsidR="00023979" w:rsidRPr="00FF1A1B" w:rsidRDefault="00023979" w:rsidP="00023979">
      <w:pPr>
        <w:spacing w:line="192" w:lineRule="auto"/>
        <w:ind w:firstLine="720"/>
        <w:rPr>
          <w:spacing w:val="-6"/>
          <w:rtl/>
        </w:rPr>
      </w:pPr>
      <w:r w:rsidRPr="00C6215F">
        <w:rPr>
          <w:rFonts w:hint="cs"/>
          <w:rtl/>
        </w:rPr>
        <w:t>(ج)</w:t>
      </w:r>
      <w:r w:rsidRPr="00C6215F">
        <w:rPr>
          <w:rFonts w:hint="cs"/>
          <w:rtl/>
        </w:rPr>
        <w:tab/>
        <w:t xml:space="preserve">دمج النُهج الكمية (التي تعتمد على نماذج علمية) والنُهج النوعية التي تستند إلى حكم الخبراء والمعارف الأصلية والتقليدية (ترد أدناه بمزيد من التفاصيل). مثل استخدام تقييمات ريفية تشاركية </w:t>
      </w:r>
      <w:r w:rsidRPr="00FF1A1B">
        <w:rPr>
          <w:rFonts w:hint="cs"/>
          <w:spacing w:val="-6"/>
          <w:rtl/>
        </w:rPr>
        <w:t>لفهم التصورات المحلية والخبرات السابقة؛</w:t>
      </w:r>
    </w:p>
    <w:p w:rsidR="00023979" w:rsidRPr="00C6215F" w:rsidRDefault="00023979" w:rsidP="00023979">
      <w:pPr>
        <w:spacing w:line="192" w:lineRule="auto"/>
        <w:ind w:firstLine="720"/>
        <w:rPr>
          <w:rtl/>
        </w:rPr>
      </w:pPr>
      <w:r w:rsidRPr="00C6215F">
        <w:rPr>
          <w:rFonts w:hint="cs"/>
          <w:rtl/>
        </w:rPr>
        <w:t>(د)</w:t>
      </w:r>
      <w:r w:rsidRPr="00C6215F">
        <w:rPr>
          <w:rFonts w:hint="cs"/>
          <w:rtl/>
        </w:rPr>
        <w:tab/>
        <w:t>إعداد خرائط للأخطار والمخاطر، على سبيل المثال من خلال استخدام نمذجة تشاركية ثلاثية الأبعاد للمخاطر.</w:t>
      </w:r>
    </w:p>
    <w:p w:rsidR="00023979" w:rsidRPr="00FF1A1B" w:rsidRDefault="00023979" w:rsidP="00023979">
      <w:pPr>
        <w:spacing w:line="192" w:lineRule="auto"/>
        <w:rPr>
          <w:b/>
          <w:bCs/>
          <w:spacing w:val="-6"/>
          <w:rtl/>
        </w:rPr>
      </w:pPr>
      <w:r w:rsidRPr="00C6215F">
        <w:rPr>
          <w:rFonts w:hint="cs"/>
          <w:b/>
          <w:bCs/>
          <w:rtl/>
        </w:rPr>
        <w:t>الخطوة جيم-</w:t>
      </w:r>
      <w:r w:rsidRPr="00C6215F">
        <w:rPr>
          <w:rFonts w:hint="cs"/>
          <w:b/>
          <w:bCs/>
          <w:rtl/>
        </w:rPr>
        <w:tab/>
        <w:t xml:space="preserve">تحديد خيارات النُهج القائمة على النظم الإيكولوجية بشأن التكيف </w:t>
      </w:r>
      <w:r w:rsidRPr="00FF1A1B">
        <w:rPr>
          <w:rFonts w:hint="cs"/>
          <w:b/>
          <w:bCs/>
          <w:spacing w:val="-6"/>
          <w:rtl/>
        </w:rPr>
        <w:t>مع تغير المناخ والحد من مخاطر الكوارث</w:t>
      </w:r>
    </w:p>
    <w:p w:rsidR="00023979" w:rsidRPr="00C6215F" w:rsidRDefault="00023979" w:rsidP="00023979">
      <w:pPr>
        <w:spacing w:line="192" w:lineRule="auto"/>
        <w:rPr>
          <w:b/>
          <w:bCs/>
          <w:rtl/>
        </w:rPr>
      </w:pPr>
      <w:r w:rsidRPr="00C6215F">
        <w:rPr>
          <w:rFonts w:hint="cs"/>
          <w:b/>
          <w:bCs/>
          <w:rtl/>
        </w:rPr>
        <w:t>الغرض</w:t>
      </w:r>
    </w:p>
    <w:p w:rsidR="00023979" w:rsidRPr="00C6215F" w:rsidRDefault="00023979" w:rsidP="00023979">
      <w:pPr>
        <w:spacing w:line="192" w:lineRule="auto"/>
        <w:rPr>
          <w:rtl/>
        </w:rPr>
      </w:pPr>
      <w:r w:rsidRPr="00C6215F">
        <w:rPr>
          <w:rFonts w:hint="cs"/>
          <w:rtl/>
        </w:rPr>
        <w:t>31-</w:t>
      </w:r>
      <w:r w:rsidRPr="00C6215F">
        <w:rPr>
          <w:rFonts w:hint="cs"/>
          <w:rtl/>
        </w:rPr>
        <w:tab/>
        <w:t>بعد تحديد حدود النظام الاجتماعي الإيكولوجي/المناظر الطبيعية وتحديد نقاط الانطلاق الأولية للنُهج القائمة على النظم الإيكولوجية بشأن التكيف مع تغير المناخ والحد من مخاطر الكوارث وكذلك مواطن الضعف والمخاطر (الخطوة ألف)، يحدد الفريق المتعدد أصحاب المصلحة الخيارات المحتملة في إطار استراتيجية شاملة للتكيف مع تغير المناخ والحد من مخاطر الكوارث. وترد قائمة بالأدوات ذات الصلة التي ترتبط بهذه الخطوة في صندوق أدوات الخطوة جيم: تحديد استراتيجيات النُهج القائمة على النظم الإيكولوجية بشأن التكيف مع تغير المناخ والحد من مخاطر الكوارث، وتُتاح كمعلومات تكميلية.</w:t>
      </w:r>
      <w:r w:rsidRPr="00C6215F">
        <w:rPr>
          <w:rStyle w:val="FootnoteReference"/>
          <w:rtl/>
        </w:rPr>
        <w:footnoteReference w:id="74"/>
      </w:r>
    </w:p>
    <w:p w:rsidR="00023979" w:rsidRPr="00C6215F" w:rsidRDefault="00023979" w:rsidP="00023979">
      <w:pPr>
        <w:spacing w:line="192" w:lineRule="auto"/>
        <w:rPr>
          <w:b/>
          <w:bCs/>
          <w:rtl/>
        </w:rPr>
      </w:pPr>
      <w:r w:rsidRPr="00C6215F">
        <w:rPr>
          <w:rFonts w:hint="cs"/>
          <w:b/>
          <w:bCs/>
          <w:rtl/>
        </w:rPr>
        <w:t>النتائج</w:t>
      </w:r>
    </w:p>
    <w:p w:rsidR="00023979" w:rsidRPr="00C6215F" w:rsidRDefault="00023979" w:rsidP="00023979">
      <w:pPr>
        <w:spacing w:line="192" w:lineRule="auto"/>
        <w:ind w:firstLine="720"/>
        <w:rPr>
          <w:rtl/>
        </w:rPr>
      </w:pPr>
      <w:r w:rsidRPr="00C6215F">
        <w:rPr>
          <w:rFonts w:hint="cs"/>
          <w:rtl/>
        </w:rPr>
        <w:t>قائمة بالاستراتيجيات والخيارات المتاحة للحد من التعرض وحساسية النظم الاجتماعية الإيكولوجية للأخطار المناخية وتعزيز القدرة التكيفية.</w:t>
      </w:r>
    </w:p>
    <w:p w:rsidR="00023979" w:rsidRPr="00C6215F" w:rsidRDefault="00023979" w:rsidP="00023979">
      <w:pPr>
        <w:spacing w:line="192" w:lineRule="auto"/>
        <w:rPr>
          <w:b/>
          <w:bCs/>
          <w:rtl/>
        </w:rPr>
      </w:pPr>
      <w:r w:rsidRPr="00C6215F">
        <w:rPr>
          <w:rFonts w:hint="cs"/>
          <w:b/>
          <w:bCs/>
          <w:rtl/>
        </w:rPr>
        <w:t>الإجراءات الرئيسية</w:t>
      </w:r>
    </w:p>
    <w:p w:rsidR="00023979" w:rsidRPr="00C6215F" w:rsidRDefault="00023979" w:rsidP="00023979">
      <w:pPr>
        <w:spacing w:line="192" w:lineRule="auto"/>
        <w:ind w:firstLine="720"/>
        <w:rPr>
          <w:rtl/>
        </w:rPr>
      </w:pPr>
      <w:r w:rsidRPr="00C6215F">
        <w:rPr>
          <w:rFonts w:hint="cs"/>
          <w:rtl/>
        </w:rPr>
        <w:t>(أ)</w:t>
      </w:r>
      <w:r w:rsidRPr="00C6215F">
        <w:rPr>
          <w:rFonts w:hint="cs"/>
          <w:rtl/>
        </w:rPr>
        <w:tab/>
        <w:t>تحديد استراتيجيات التأقلم والاستجابات القائمة لمعالجة مخاطر آثار تغير المناخ ومخاطر الكوارث، و/أو تلك المستخدمة لمعالجة تقلبات المناخ الحالية والضغوط الاجتماعية الاقتصادية على النظم الإيكولوجية والمجتمعات، وتحليل القدرة على البقاء أمام المخاطر والآثار المناخية في المستقبل؛</w:t>
      </w:r>
    </w:p>
    <w:p w:rsidR="00023979" w:rsidRPr="00C6215F" w:rsidRDefault="00023979" w:rsidP="00023979">
      <w:pPr>
        <w:spacing w:line="192" w:lineRule="auto"/>
        <w:ind w:firstLine="720"/>
        <w:rPr>
          <w:rtl/>
        </w:rPr>
      </w:pPr>
      <w:r w:rsidRPr="00C6215F">
        <w:rPr>
          <w:rFonts w:hint="cs"/>
          <w:rtl/>
        </w:rPr>
        <w:t>(ب)</w:t>
      </w:r>
      <w:r w:rsidRPr="00C6215F">
        <w:rPr>
          <w:rFonts w:hint="cs"/>
          <w:rtl/>
        </w:rPr>
        <w:tab/>
        <w:t>تنقيح نقاط الانطلاق الأولية المحددة للنُهج القائمة على النظم الإيكولوجية بشأن التكيف مع تغير المناخ والحد من مخاطر الكوارث. وتتضمن معايير اختيار نقاط الانطلاق ما يلي:</w:t>
      </w:r>
    </w:p>
    <w:p w:rsidR="00023979" w:rsidRPr="00C6215F" w:rsidRDefault="00023979" w:rsidP="00023979">
      <w:pPr>
        <w:spacing w:line="192" w:lineRule="auto"/>
        <w:ind w:left="1440" w:hanging="720"/>
        <w:rPr>
          <w:rtl/>
        </w:rPr>
      </w:pPr>
      <w:r w:rsidRPr="00C6215F">
        <w:rPr>
          <w:rFonts w:hint="cs"/>
          <w:rtl/>
        </w:rPr>
        <w:t>(1)</w:t>
      </w:r>
      <w:r w:rsidRPr="00C6215F">
        <w:rPr>
          <w:rFonts w:hint="cs"/>
          <w:rtl/>
        </w:rPr>
        <w:tab/>
        <w:t>احتمال كبير للفعالية من الخبرات السابقة في أوضاع اجتماعية إيكولوجية مماثلة؛</w:t>
      </w:r>
    </w:p>
    <w:p w:rsidR="00023979" w:rsidRPr="00C6215F" w:rsidRDefault="00023979" w:rsidP="00023979">
      <w:pPr>
        <w:spacing w:line="192" w:lineRule="auto"/>
        <w:ind w:left="1440" w:hanging="720"/>
        <w:rPr>
          <w:rtl/>
        </w:rPr>
      </w:pPr>
      <w:r w:rsidRPr="00C6215F">
        <w:rPr>
          <w:rFonts w:hint="cs"/>
          <w:rtl/>
        </w:rPr>
        <w:t>(2)</w:t>
      </w:r>
      <w:r w:rsidRPr="00C6215F">
        <w:rPr>
          <w:rFonts w:hint="cs"/>
          <w:rtl/>
        </w:rPr>
        <w:tab/>
        <w:t>دعم قوي من أصحاب المصلحة؛</w:t>
      </w:r>
    </w:p>
    <w:p w:rsidR="00023979" w:rsidRPr="00C6215F" w:rsidRDefault="00023979" w:rsidP="00023979">
      <w:pPr>
        <w:spacing w:line="192" w:lineRule="auto"/>
        <w:ind w:firstLine="720"/>
        <w:rPr>
          <w:rtl/>
        </w:rPr>
      </w:pPr>
      <w:r w:rsidRPr="00C6215F">
        <w:rPr>
          <w:rFonts w:hint="cs"/>
          <w:rtl/>
        </w:rPr>
        <w:lastRenderedPageBreak/>
        <w:t>(ج)</w:t>
      </w:r>
      <w:r w:rsidRPr="00C6215F">
        <w:rPr>
          <w:rFonts w:hint="cs"/>
          <w:rtl/>
        </w:rPr>
        <w:tab/>
        <w:t>القيام، بالتعاون مع الأفرقة المتعددة أصحاب المصلحة التي تضم أصحاب مصلحة وأصحاب حقوق وخبراء، بصياغة استراتيجيات ملائمة في إطار استراتيجية تكيف شاملة لتناول المخاطر ومواطن الضعف المحددة في الخطوة باء؛</w:t>
      </w:r>
    </w:p>
    <w:p w:rsidR="00023979" w:rsidRPr="00C6215F" w:rsidRDefault="00023979" w:rsidP="00023979">
      <w:pPr>
        <w:spacing w:line="192" w:lineRule="auto"/>
        <w:ind w:firstLine="720"/>
        <w:rPr>
          <w:rtl/>
        </w:rPr>
      </w:pPr>
      <w:r w:rsidRPr="00C6215F">
        <w:rPr>
          <w:rFonts w:hint="cs"/>
          <w:rtl/>
        </w:rPr>
        <w:t>(د)</w:t>
      </w:r>
      <w:r w:rsidRPr="00C6215F">
        <w:rPr>
          <w:rFonts w:hint="cs"/>
          <w:rtl/>
        </w:rPr>
        <w:tab/>
        <w:t>تقييم قضايا وأولويات محددة للمجموعات والقطاعات والنظم الإيكولوجية الضعيفة؛</w:t>
      </w:r>
    </w:p>
    <w:p w:rsidR="00023979" w:rsidRPr="00C6215F" w:rsidRDefault="00023979" w:rsidP="00023979">
      <w:pPr>
        <w:spacing w:line="192" w:lineRule="auto"/>
        <w:ind w:firstLine="720"/>
        <w:rPr>
          <w:rtl/>
        </w:rPr>
      </w:pPr>
      <w:r w:rsidRPr="00C6215F">
        <w:rPr>
          <w:rFonts w:hint="cs"/>
          <w:rtl/>
        </w:rPr>
        <w:t>(ﻫ)</w:t>
      </w:r>
      <w:r w:rsidRPr="00C6215F">
        <w:rPr>
          <w:rFonts w:hint="cs"/>
          <w:rtl/>
        </w:rPr>
        <w:tab/>
        <w:t>ضمان تخطيط النُهج القائمة على النظم الإيكولوجية بشأن التكيف مع تغير المناخ والحد من مخاطر الكوارث على المستوى المحلي ومستوى المجتمعات والأسر، وعلى مستوى المناظر الطبيعية أو المستجمعات، حسب الاقتضاء؛</w:t>
      </w:r>
    </w:p>
    <w:p w:rsidR="00023979" w:rsidRPr="00C6215F" w:rsidRDefault="00023979" w:rsidP="00023979">
      <w:pPr>
        <w:spacing w:line="192" w:lineRule="auto"/>
        <w:ind w:firstLine="720"/>
        <w:rPr>
          <w:rtl/>
        </w:rPr>
      </w:pPr>
      <w:r w:rsidRPr="00C6215F">
        <w:rPr>
          <w:rFonts w:hint="cs"/>
          <w:rtl/>
        </w:rPr>
        <w:t>(و)</w:t>
      </w:r>
      <w:r w:rsidRPr="00C6215F">
        <w:rPr>
          <w:rFonts w:hint="cs"/>
          <w:rtl/>
        </w:rPr>
        <w:tab/>
        <w:t>تحديد استراتيجيات النُهج القائمة على النظم الإيكولوجية بشأن التكيف مع تغير المناخ والحد من مخاطر الكوارث التي تحقق الأهداف المحددة في الخطوة ألف، وتلتزم بعناصرها الأساسية؛</w:t>
      </w:r>
    </w:p>
    <w:p w:rsidR="00023979" w:rsidRPr="00C6215F" w:rsidRDefault="00023979" w:rsidP="00023979">
      <w:pPr>
        <w:spacing w:line="192" w:lineRule="auto"/>
        <w:ind w:firstLine="720"/>
        <w:rPr>
          <w:rtl/>
        </w:rPr>
      </w:pPr>
      <w:r w:rsidRPr="00C6215F">
        <w:rPr>
          <w:rFonts w:hint="cs"/>
          <w:rtl/>
        </w:rPr>
        <w:t>(ز)</w:t>
      </w:r>
      <w:r w:rsidRPr="00C6215F">
        <w:rPr>
          <w:rFonts w:hint="cs"/>
          <w:rtl/>
        </w:rPr>
        <w:tab/>
        <w:t>مراعاة معايير ومقاييس التأهيل الخاصة بالتكيف القائم على النظم الإيكولوجية.</w:t>
      </w:r>
      <w:r w:rsidRPr="00C6215F">
        <w:rPr>
          <w:rStyle w:val="FootnoteReference"/>
          <w:rtl/>
        </w:rPr>
        <w:footnoteReference w:id="75"/>
      </w:r>
    </w:p>
    <w:p w:rsidR="00023979" w:rsidRPr="00C6215F" w:rsidRDefault="00023979" w:rsidP="00023979">
      <w:pPr>
        <w:spacing w:line="192" w:lineRule="auto"/>
        <w:rPr>
          <w:b/>
          <w:bCs/>
          <w:rtl/>
        </w:rPr>
      </w:pPr>
      <w:r w:rsidRPr="00C6215F">
        <w:rPr>
          <w:rFonts w:hint="cs"/>
          <w:b/>
          <w:bCs/>
          <w:rtl/>
        </w:rPr>
        <w:t>الخطوة دال-</w:t>
      </w:r>
      <w:r w:rsidRPr="00C6215F">
        <w:rPr>
          <w:rFonts w:hint="cs"/>
          <w:b/>
          <w:bCs/>
          <w:rtl/>
        </w:rPr>
        <w:tab/>
        <w:t>ترتيب خيارات النُهج القائمة على النظم الإيكولوجية بشأن التكيف مع تغير المناخ والحد من مخاطر الكوارث حسب الأولوية، وتقييمها واختيارها</w:t>
      </w:r>
    </w:p>
    <w:p w:rsidR="00023979" w:rsidRPr="00C6215F" w:rsidRDefault="00023979" w:rsidP="00023979">
      <w:pPr>
        <w:spacing w:line="192" w:lineRule="auto"/>
        <w:rPr>
          <w:b/>
          <w:bCs/>
          <w:rtl/>
        </w:rPr>
      </w:pPr>
      <w:r w:rsidRPr="00C6215F">
        <w:rPr>
          <w:rFonts w:hint="cs"/>
          <w:b/>
          <w:bCs/>
          <w:rtl/>
        </w:rPr>
        <w:t>الغرض</w:t>
      </w:r>
    </w:p>
    <w:p w:rsidR="00023979" w:rsidRPr="00C6215F" w:rsidRDefault="00023979" w:rsidP="00023979">
      <w:pPr>
        <w:spacing w:line="192" w:lineRule="auto"/>
        <w:rPr>
          <w:rtl/>
        </w:rPr>
      </w:pPr>
      <w:r w:rsidRPr="00C6215F">
        <w:rPr>
          <w:rFonts w:hint="cs"/>
          <w:rtl/>
        </w:rPr>
        <w:t>32-</w:t>
      </w:r>
      <w:r w:rsidRPr="00C6215F">
        <w:rPr>
          <w:rFonts w:hint="cs"/>
          <w:rtl/>
        </w:rPr>
        <w:tab/>
        <w:t>في هذه الخطوة، يتم ترتيب الخيارات المحددة في الخطوة جيم للنُهج القائمة على النظم الإيكولوجية بشأن التكيف مع تغير المناخ والحد من مخاطر الكوارث حسب الأولوية، وتقييمها واختيارها لتحقيق الأهداف المحددة في الخطوة ألف، في إطار استراتيجية شاملة للتكيف والحد من مخاطر الكوارث للنظام المعد لغرض معين. وترد قائمة بالأدوات ذات الصلة كمعلومات تكميلية</w:t>
      </w:r>
      <w:r w:rsidRPr="00C6215F">
        <w:rPr>
          <w:rStyle w:val="FootnoteReference"/>
          <w:rtl/>
        </w:rPr>
        <w:footnoteReference w:id="76"/>
      </w:r>
      <w:r w:rsidRPr="00C6215F">
        <w:rPr>
          <w:rFonts w:hint="cs"/>
          <w:rtl/>
        </w:rPr>
        <w:t xml:space="preserve"> في صندوق أدوات الخطوة دال: ترتيب خيارات النُهج القائمة على النظم الإيكولوجية بشأن التكيف مع تغير المناخ والحد من مخاطر الكوارث حسب الأولوية، وتقييمها واختيارها.</w:t>
      </w:r>
    </w:p>
    <w:p w:rsidR="00023979" w:rsidRPr="00C6215F" w:rsidRDefault="00023979" w:rsidP="00023979">
      <w:pPr>
        <w:spacing w:line="192" w:lineRule="auto"/>
        <w:rPr>
          <w:rtl/>
        </w:rPr>
      </w:pPr>
      <w:r w:rsidRPr="00C6215F">
        <w:rPr>
          <w:rFonts w:hint="cs"/>
          <w:rtl/>
        </w:rPr>
        <w:t>33-</w:t>
      </w:r>
      <w:r w:rsidRPr="00C6215F">
        <w:rPr>
          <w:rFonts w:hint="cs"/>
          <w:rtl/>
        </w:rPr>
        <w:tab/>
        <w:t>ونظرا لأهمية تقييم المفاضلات والقيود، تُعرض المزيد من الإجراءات المفصلة (الإطار 3). وتُتاح أدوات ذات صلة في صندوق أدوات الخطوة دال: ترتيب خيارات التكيف والحد من مخاطر الكوارث حسب الأولوية، وتقييمها واختيارها وتحديد المفاضلات، وتُتاح كمعلومات تكميلية.</w:t>
      </w:r>
      <w:r w:rsidRPr="00C6215F">
        <w:rPr>
          <w:rStyle w:val="FootnoteReference"/>
          <w:rtl/>
        </w:rPr>
        <w:footnoteReference w:id="77"/>
      </w:r>
      <w:r w:rsidRPr="00C6215F">
        <w:rPr>
          <w:rFonts w:hint="cs"/>
          <w:rtl/>
        </w:rPr>
        <w:t xml:space="preserve"> كما ترد معلومات عن سبل زيادة المعارف العلمية والتقنية للنُهج القائمة على النظم الإيكولوجية بشأن التكيف مع تغير المناخ والحد من مخاطر الكوارث في إطار معلومات تكميلية.</w:t>
      </w:r>
      <w:r w:rsidRPr="00C6215F">
        <w:rPr>
          <w:rStyle w:val="FootnoteReference"/>
          <w:rtl/>
        </w:rPr>
        <w:footnoteReference w:id="78"/>
      </w:r>
    </w:p>
    <w:p w:rsidR="00023979" w:rsidRPr="00C6215F" w:rsidRDefault="00023979" w:rsidP="00023979">
      <w:pPr>
        <w:spacing w:line="192" w:lineRule="auto"/>
        <w:rPr>
          <w:b/>
          <w:bCs/>
          <w:rtl/>
        </w:rPr>
      </w:pPr>
      <w:r w:rsidRPr="00C6215F">
        <w:rPr>
          <w:rFonts w:hint="cs"/>
          <w:b/>
          <w:bCs/>
          <w:rtl/>
        </w:rPr>
        <w:t>النتائج</w:t>
      </w:r>
    </w:p>
    <w:p w:rsidR="00023979" w:rsidRPr="00C6215F" w:rsidRDefault="00023979" w:rsidP="00023979">
      <w:pPr>
        <w:spacing w:line="192" w:lineRule="auto"/>
        <w:ind w:firstLine="720"/>
        <w:rPr>
          <w:rtl/>
        </w:rPr>
      </w:pPr>
      <w:r w:rsidRPr="00C6215F">
        <w:rPr>
          <w:rFonts w:hint="cs"/>
          <w:rtl/>
        </w:rPr>
        <w:t>(أ)</w:t>
      </w:r>
      <w:r w:rsidRPr="00C6215F">
        <w:rPr>
          <w:rFonts w:hint="cs"/>
          <w:rtl/>
        </w:rPr>
        <w:tab/>
        <w:t>قائمة بخيارات مرتبة حسب الأولوية تستند إلى معايير منتقاة؛</w:t>
      </w:r>
    </w:p>
    <w:p w:rsidR="00023979" w:rsidRPr="00C6215F" w:rsidRDefault="00023979" w:rsidP="00023979">
      <w:pPr>
        <w:spacing w:line="192" w:lineRule="auto"/>
        <w:ind w:firstLine="720"/>
        <w:rPr>
          <w:rtl/>
        </w:rPr>
      </w:pPr>
      <w:r w:rsidRPr="00C6215F">
        <w:rPr>
          <w:rFonts w:hint="cs"/>
          <w:rtl/>
        </w:rPr>
        <w:t>(ب)</w:t>
      </w:r>
      <w:r w:rsidRPr="00C6215F">
        <w:rPr>
          <w:rFonts w:hint="cs"/>
          <w:rtl/>
        </w:rPr>
        <w:tab/>
        <w:t>انتقاء خيارات نهائية للتنفيذ.</w:t>
      </w:r>
    </w:p>
    <w:p w:rsidR="00023979" w:rsidRPr="00C6215F" w:rsidRDefault="00023979" w:rsidP="004969DC">
      <w:pPr>
        <w:spacing w:line="192" w:lineRule="auto"/>
        <w:rPr>
          <w:b/>
          <w:bCs/>
          <w:rtl/>
        </w:rPr>
      </w:pPr>
      <w:r w:rsidRPr="00C6215F">
        <w:rPr>
          <w:rFonts w:hint="cs"/>
          <w:b/>
          <w:bCs/>
          <w:rtl/>
        </w:rPr>
        <w:t>الإجراءات الرئيسية</w:t>
      </w:r>
    </w:p>
    <w:p w:rsidR="00023979" w:rsidRPr="00C6215F" w:rsidRDefault="00023979" w:rsidP="00023979">
      <w:pPr>
        <w:spacing w:line="192" w:lineRule="auto"/>
        <w:ind w:firstLine="720"/>
        <w:rPr>
          <w:rtl/>
        </w:rPr>
      </w:pPr>
      <w:r w:rsidRPr="00C6215F">
        <w:rPr>
          <w:rFonts w:hint="cs"/>
          <w:rtl/>
        </w:rPr>
        <w:t>(أ)</w:t>
      </w:r>
      <w:r w:rsidRPr="00C6215F">
        <w:rPr>
          <w:rFonts w:hint="cs"/>
          <w:rtl/>
        </w:rPr>
        <w:tab/>
        <w:t>استخدام نُهج تشاركية (الخطوة ألف)، وتحديد معايير/مؤشرات تُستخدم لترتيب خيارات النُهج القائمة على النظم الإيكولوجية بشأن التكيف مع تغير المناخ والحد من مخاطر الكوارث المحددة في الخطوة جيم حسب الأولوية وتقييمها. مثل استخدام تحليل متعدد المعايير أو الفعالية من حيث التكلفة لتقييم خيارات التكيف؛</w:t>
      </w:r>
      <w:r w:rsidRPr="00C6215F">
        <w:rPr>
          <w:rStyle w:val="FootnoteReference"/>
          <w:rtl/>
        </w:rPr>
        <w:footnoteReference w:id="79"/>
      </w:r>
    </w:p>
    <w:p w:rsidR="00023979" w:rsidRPr="00C6215F" w:rsidRDefault="00023979" w:rsidP="00023979">
      <w:pPr>
        <w:spacing w:line="192" w:lineRule="auto"/>
        <w:ind w:firstLine="720"/>
        <w:rPr>
          <w:rtl/>
        </w:rPr>
      </w:pPr>
      <w:r w:rsidRPr="00C6215F">
        <w:rPr>
          <w:rFonts w:hint="cs"/>
          <w:rtl/>
        </w:rPr>
        <w:lastRenderedPageBreak/>
        <w:t>(ب)</w:t>
      </w:r>
      <w:r w:rsidRPr="00C6215F">
        <w:rPr>
          <w:rFonts w:hint="cs"/>
          <w:rtl/>
        </w:rPr>
        <w:tab/>
        <w:t>ضمان أن تكون مفاضلات وقيود الخيارات جزءا من عملية التقييم (الإطار 3)، وأن تشمل النظر في حلول خضراء أو هجينة قبل الحلول الرمادية متى كانت أكثر فعالية؛</w:t>
      </w:r>
    </w:p>
    <w:p w:rsidR="00023979" w:rsidRPr="00C6215F" w:rsidRDefault="00023979" w:rsidP="00023979">
      <w:pPr>
        <w:spacing w:line="192" w:lineRule="auto"/>
        <w:ind w:firstLine="720"/>
        <w:rPr>
          <w:rtl/>
        </w:rPr>
      </w:pPr>
      <w:r w:rsidRPr="00C6215F">
        <w:rPr>
          <w:rFonts w:hint="cs"/>
          <w:rtl/>
        </w:rPr>
        <w:t>(ج)</w:t>
      </w:r>
      <w:r w:rsidRPr="00C6215F">
        <w:rPr>
          <w:rFonts w:hint="cs"/>
          <w:rtl/>
        </w:rPr>
        <w:tab/>
        <w:t>مراعاة القيم والمزايا المتعددة، بما في ذلك غير النقدية، لتحقيق القيمة الكاملة لمختلف خيارات النُهج القائمة على النظم الإيكولوجية بشأن التكيف مع تغير المناخ والحد من مخاطر الكوارث؛</w:t>
      </w:r>
    </w:p>
    <w:p w:rsidR="00023979" w:rsidRPr="00C6215F" w:rsidRDefault="00023979" w:rsidP="00023979">
      <w:pPr>
        <w:spacing w:line="192" w:lineRule="auto"/>
        <w:ind w:firstLine="720"/>
        <w:rPr>
          <w:rtl/>
        </w:rPr>
      </w:pPr>
      <w:r w:rsidRPr="00C6215F">
        <w:rPr>
          <w:rFonts w:hint="cs"/>
          <w:rtl/>
        </w:rPr>
        <w:t>(د)</w:t>
      </w:r>
      <w:r w:rsidRPr="00C6215F">
        <w:rPr>
          <w:rFonts w:hint="cs"/>
          <w:rtl/>
        </w:rPr>
        <w:tab/>
        <w:t>تحديد أوزان للمعايير المقترحة، واستخدام المعايير لتصنيف خيارات النُهج القائمة على النظم الإيكولوجية بشأن التكيف مع تغير المناخ والحد من مخاطر الكوارث؛</w:t>
      </w:r>
    </w:p>
    <w:p w:rsidR="00023979" w:rsidRPr="00C6215F" w:rsidRDefault="00023979" w:rsidP="00023979">
      <w:pPr>
        <w:spacing w:line="192" w:lineRule="auto"/>
        <w:ind w:firstLine="720"/>
        <w:rPr>
          <w:rtl/>
        </w:rPr>
      </w:pPr>
      <w:r w:rsidRPr="00C6215F">
        <w:rPr>
          <w:rFonts w:hint="cs"/>
          <w:rtl/>
        </w:rPr>
        <w:t>(ﻫ)</w:t>
      </w:r>
      <w:r w:rsidRPr="00C6215F">
        <w:rPr>
          <w:rFonts w:hint="cs"/>
          <w:rtl/>
        </w:rPr>
        <w:tab/>
        <w:t>ترتيب خيارات النُهج القائمة على النظم الإيكولوجية بشأن التكيف مع تغير المناخ والحد من مخاطر الكوارث حسب الأولوية وحصرها في قائمة قصيرة وفقا للمعايير المتفق عليها؛</w:t>
      </w:r>
    </w:p>
    <w:p w:rsidR="00023979" w:rsidRPr="00C6215F" w:rsidRDefault="00023979" w:rsidP="00023979">
      <w:pPr>
        <w:spacing w:line="192" w:lineRule="auto"/>
        <w:ind w:firstLine="720"/>
        <w:rPr>
          <w:rtl/>
        </w:rPr>
      </w:pPr>
      <w:r w:rsidRPr="00C6215F">
        <w:rPr>
          <w:rFonts w:hint="cs"/>
          <w:rtl/>
        </w:rPr>
        <w:t>(و)</w:t>
      </w:r>
      <w:r w:rsidRPr="00C6215F">
        <w:rPr>
          <w:rFonts w:hint="cs"/>
          <w:rtl/>
        </w:rPr>
        <w:tab/>
        <w:t>الاستفادة من الفريق المتعدد أصحاب المصلحة واستشارة أصحاب الحقوق الآخرين لتحديد أفضل الخيارات وإعداد دراسة جدوى؛</w:t>
      </w:r>
    </w:p>
    <w:p w:rsidR="00023979" w:rsidRPr="00C6215F" w:rsidRDefault="00023979" w:rsidP="00023979">
      <w:pPr>
        <w:spacing w:line="192" w:lineRule="auto"/>
        <w:ind w:firstLine="720"/>
        <w:rPr>
          <w:rtl/>
        </w:rPr>
      </w:pPr>
      <w:r w:rsidRPr="00C6215F">
        <w:rPr>
          <w:rFonts w:hint="cs"/>
          <w:rtl/>
        </w:rPr>
        <w:t>(ز)</w:t>
      </w:r>
      <w:r w:rsidRPr="00C6215F">
        <w:rPr>
          <w:rFonts w:hint="cs"/>
          <w:rtl/>
        </w:rPr>
        <w:tab/>
        <w:t>تحليل التكاليف، والمنافع، والآثار والمفاضلات الخاصة بالسيناريوهات المختلفة لإدارة المخاطر، وتكاليف التقاعس، لمعرفة المكاسب أو الخسائر في تقديم وظائف وخدمات النظم الإيكولوجية التي لها أثر على التكيف والحد من مخاطر الكوارث والقدرة على الصمود (على سبيل المثال النظر في قضية الأراضي الرطبة)؛</w:t>
      </w:r>
    </w:p>
    <w:p w:rsidR="00023979" w:rsidRPr="00C6215F" w:rsidRDefault="00023979" w:rsidP="00023979">
      <w:pPr>
        <w:spacing w:line="192" w:lineRule="auto"/>
        <w:ind w:firstLine="720"/>
        <w:rPr>
          <w:rtl/>
        </w:rPr>
      </w:pPr>
      <w:r w:rsidRPr="00C6215F">
        <w:rPr>
          <w:rFonts w:hint="cs"/>
          <w:rtl/>
        </w:rPr>
        <w:t>(ح)</w:t>
      </w:r>
      <w:r w:rsidRPr="00C6215F">
        <w:rPr>
          <w:rFonts w:hint="cs"/>
          <w:rtl/>
        </w:rPr>
        <w:tab/>
        <w:t>النظر في الاستخدام المستدام للنظم الإيكولوجية و/أو الخدمات و/أو المواد المحلية في خيارات النُهج القائمة على النظم الإيكولوجية بشأن التكيف مع تغير المناخ والحد من مخاطر الكوارث والتي قد تحقق منافع محلية إضافية وتقلل انبعاثات الكربون الصادرة من وسائل النقل، بدلا من الاستعانة بعمالة ومواد من مصادر خارجية؛</w:t>
      </w:r>
    </w:p>
    <w:p w:rsidR="00023979" w:rsidRPr="00C6215F" w:rsidRDefault="00023979" w:rsidP="00023979">
      <w:pPr>
        <w:spacing w:line="192" w:lineRule="auto"/>
        <w:ind w:firstLine="720"/>
        <w:rPr>
          <w:rtl/>
        </w:rPr>
      </w:pPr>
      <w:r w:rsidRPr="00C6215F">
        <w:rPr>
          <w:rFonts w:hint="cs"/>
          <w:rtl/>
        </w:rPr>
        <w:t>(ط)</w:t>
      </w:r>
      <w:r w:rsidRPr="00C6215F">
        <w:rPr>
          <w:rFonts w:hint="cs"/>
          <w:rtl/>
        </w:rPr>
        <w:tab/>
        <w:t>النظر، عند تقييم الخيارات، في تكاليف ومزايا التدخلات على الأجل الطويل، نظرا لأهمية الفترة الزمنية في المقارنة الاقتصادية للخيارات المختلفة، والنظر في التكاليف الأولية لكل من رأس المال والصيانة طويلة الأجل. فعلى سبيل المثال، يمكن للهياكل الهندسية مثل الخنادق أن تكون منخفضة التكلفة نسبيا على مستوى الاستثمار ولكن ترتفع تكاليف صيانتها، بينما النُهج القائمة على النظم الإيكولوجية مثل إصلاح الأراضي الرطبة قد تكون أقل تكلفة على الأجل الطويل وتقدم منافع متعددة؛</w:t>
      </w:r>
    </w:p>
    <w:p w:rsidR="00023979" w:rsidRDefault="00023979" w:rsidP="00023979">
      <w:pPr>
        <w:spacing w:line="192" w:lineRule="auto"/>
        <w:ind w:firstLine="720"/>
        <w:rPr>
          <w:rtl/>
        </w:rPr>
      </w:pPr>
      <w:r w:rsidRPr="00C6215F">
        <w:rPr>
          <w:rFonts w:hint="cs"/>
          <w:rtl/>
        </w:rPr>
        <w:t>(ي)</w:t>
      </w:r>
      <w:r w:rsidRPr="00C6215F">
        <w:rPr>
          <w:rFonts w:hint="cs"/>
          <w:rtl/>
        </w:rPr>
        <w:tab/>
        <w:t>تقييم قوة التدابير المقترحة للنُهج القائمة على النظم الإيكولوجية بشأن التكيف مع تغير المناخ والحد من مخاطر الكوارث من خلال البحث في مدى التزامها بالعناصر والمبادئ والضمانات، مع مراعاة معايير ومقاييس التأهيل المتاحة؛</w:t>
      </w:r>
    </w:p>
    <w:p w:rsidR="00023979" w:rsidRDefault="00023979" w:rsidP="00023979">
      <w:pPr>
        <w:spacing w:line="192" w:lineRule="auto"/>
        <w:rPr>
          <w:rtl/>
        </w:rPr>
      </w:pPr>
      <w:r w:rsidRPr="00C6215F">
        <w:rPr>
          <w:rFonts w:hint="cs"/>
          <w:rtl/>
        </w:rPr>
        <w:t>(ك)</w:t>
      </w:r>
      <w:r w:rsidRPr="00C6215F">
        <w:rPr>
          <w:rFonts w:hint="cs"/>
          <w:rtl/>
        </w:rPr>
        <w:tab/>
        <w:t>القيام، قبل تصميم وتنفيذ المشاريع المنتقاة (الخطوة هاء)، بإجراء تقييمات الأثر البيئي للخيارات الموصى بها، مع ضمان ما يلي: (1) أن تُحدد بوضوح الآثار الاجتماعية والبيئية الممكنة وأن يتم تقييمها؛ (2) أن تُتخذ تدابير ملائمة لتجنب المخاطر، أو تخفيفها إذا تعذر تجنبها؛ (3) أن تُرصد نفس التدابير المتخذة لتجنب/تخفيف المخاطر وأن يُبلغ عنها على مدار دورات حياة المشاريع. وينبغي لتقييمات الأثر البيئي أن تتضمن موجزا للتوصيات المستمدة من المشاريع والبرامج السابقة والجارية والمزمعة في إطار الولاية القضائية ذات الصلة.</w:t>
      </w:r>
    </w:p>
    <w:p w:rsidR="00023979" w:rsidRDefault="00023979" w:rsidP="00023979">
      <w:pPr>
        <w:spacing w:line="192" w:lineRule="auto"/>
        <w:rPr>
          <w:rtl/>
        </w:rPr>
      </w:pPr>
    </w:p>
    <w:p w:rsidR="00023979" w:rsidRDefault="00023979" w:rsidP="00023979">
      <w:pPr>
        <w:spacing w:line="192" w:lineRule="auto"/>
        <w:rPr>
          <w:rtl/>
        </w:rPr>
      </w:pPr>
    </w:p>
    <w:p w:rsidR="00023979" w:rsidRPr="00C6215F" w:rsidRDefault="007B18D9" w:rsidP="00023979">
      <w:pPr>
        <w:spacing w:line="192" w:lineRule="auto"/>
        <w:rPr>
          <w:rtl/>
        </w:rPr>
      </w:pPr>
      <w:r>
        <w:rPr>
          <w:rtl/>
        </w:rPr>
      </w:r>
      <w:r>
        <w:pict>
          <v:shape id="Text Box 6" o:spid="_x0000_s1051" type="#_x0000_t202" style="width:496.1pt;height:494.8pt;visibility:visible;mso-left-percent:-10001;mso-top-percent:-10001;mso-wrap-distance-top:3.6pt;mso-wrap-distance-bottom:3.6pt;mso-position-horizontal:absolute;mso-position-horizontal-relative:char;mso-position-vertical:absolute;mso-position-vertical-relative:line;mso-left-percent:-10001;mso-top-percent:-10001;mso-width-relative:margin;mso-height-relative:margin">
            <v:textbox style="mso-next-textbox:#Text Box 6">
              <w:txbxContent>
                <w:p w:rsidR="000C66C6" w:rsidRPr="00CE00DC" w:rsidRDefault="000C66C6" w:rsidP="00023979">
                  <w:pPr>
                    <w:keepNext/>
                    <w:spacing w:line="204" w:lineRule="auto"/>
                    <w:jc w:val="center"/>
                    <w:rPr>
                      <w:b/>
                      <w:bCs/>
                      <w:color w:val="4F81BD"/>
                      <w:sz w:val="32"/>
                    </w:rPr>
                  </w:pPr>
                  <w:r w:rsidRPr="00CE00DC">
                    <w:rPr>
                      <w:rFonts w:hint="cs"/>
                      <w:b/>
                      <w:bCs/>
                      <w:color w:val="4F81BD"/>
                      <w:sz w:val="32"/>
                      <w:rtl/>
                    </w:rPr>
                    <w:t>الإطار 3-</w:t>
                  </w:r>
                  <w:r w:rsidRPr="00CE00DC">
                    <w:rPr>
                      <w:rFonts w:hint="cs"/>
                      <w:b/>
                      <w:bCs/>
                      <w:color w:val="4F81BD"/>
                      <w:sz w:val="32"/>
                      <w:rtl/>
                    </w:rPr>
                    <w:tab/>
                    <w:t>تقييم المفاضلات والقيود</w:t>
                  </w:r>
                </w:p>
                <w:p w:rsidR="000C66C6" w:rsidRPr="00CE00DC" w:rsidRDefault="000C66C6" w:rsidP="00023979">
                  <w:pPr>
                    <w:spacing w:after="60" w:line="204" w:lineRule="auto"/>
                    <w:rPr>
                      <w:rFonts w:eastAsia="BatangChe"/>
                      <w:szCs w:val="22"/>
                      <w:rtl/>
                    </w:rPr>
                  </w:pPr>
                  <w:r w:rsidRPr="00CE00DC">
                    <w:rPr>
                      <w:rFonts w:eastAsia="BatangChe" w:hint="cs"/>
                      <w:szCs w:val="22"/>
                      <w:rtl/>
                    </w:rPr>
                    <w:t>يعتبر تحديد المفاضلات المحتملة وتقييمها جزءا من عملية ترتيب خيارات التكيف/الحد من مخاطر الكوارث حسب الأولوية وتقييمها واختيارها. فقد تنشأ المفاضلات عندما يحمي مشروع مجموعة من الأشخاص على حساب مجموعة أخرى، أو يفضل خدمة معينة من خدمات النظم الإيكولوجية على حساب خدمة أخرى. وتظهر بعض المفاضلات نتيجة اتخاذ قرارات متعمّدة؛ وقد تحدث مفاضلات أخرى دون علم أو وعي. فعلى سبيل المثال، فإن تنفيذ إجراءات التكيف عند المنبع قد يكون له تأثيرات على المجتمعات عند المصب، وذلك في أوقات مختلفة. فالنظم الإيكولوجية عرضة للتأثر بتغير المناخ، وبالتالي ينبغي تصميم النُهج القائمة على النظم الإيكولوجية بشأن التكيف مع تغير المناخ والحد من مخاطر الكوارث وغيرها من الممارسات التي تستخدم النُهج القائمة على النظم الإيكولوجية على أن تكون قوية في مواجهة الآثار الحالية والمتوقعة لتغير المناخ. وينبغي مراعاة المفاضلات والقيود ودمجها ضمن عملية التخطيط الشاملة للتكيف والحد من مخاطر الكوارث ومواءمتها مع السياسات والاستراتيجيات الوطنية. وينبغي أيضا أن تُنفذ جنبا إلى جنب مع التدابير الأخرى للحد من المخاطر، بما في ذلك تجنب المناطق المحفوفة بالمخاطر، وتحسين لوائح البناء، وإجراءات الإنذار المبكر والإخلاء. ويمكن لتحليل المفاضلات عبر جميع النطاقات والنظر في تحقيق منافع متعددة أن يساعد في تفضيل خيارات النُهج القائمة على النظم الإيكولوجية بشأن التكيف مع تغير المناخ والحد من مخاطر الكوارث.</w:t>
                  </w:r>
                </w:p>
                <w:p w:rsidR="000C66C6" w:rsidRPr="00CE00DC" w:rsidRDefault="000C66C6" w:rsidP="00023979">
                  <w:pPr>
                    <w:spacing w:after="60" w:line="204" w:lineRule="auto"/>
                    <w:rPr>
                      <w:rFonts w:eastAsia="BatangChe"/>
                      <w:b/>
                      <w:bCs/>
                      <w:color w:val="2F5496"/>
                      <w:szCs w:val="22"/>
                    </w:rPr>
                  </w:pPr>
                  <w:r w:rsidRPr="00CE00DC">
                    <w:rPr>
                      <w:rFonts w:eastAsia="BatangChe" w:hint="cs"/>
                      <w:b/>
                      <w:bCs/>
                      <w:color w:val="2F5496"/>
                      <w:szCs w:val="22"/>
                      <w:rtl/>
                    </w:rPr>
                    <w:t>الإجراءات الرئيسية</w:t>
                  </w:r>
                </w:p>
                <w:p w:rsidR="000C66C6" w:rsidRPr="00CE00DC" w:rsidRDefault="000C66C6" w:rsidP="00CD26C5">
                  <w:pPr>
                    <w:pStyle w:val="ListParagraph"/>
                    <w:numPr>
                      <w:ilvl w:val="0"/>
                      <w:numId w:val="103"/>
                    </w:numPr>
                    <w:bidi/>
                    <w:spacing w:after="60" w:line="204" w:lineRule="auto"/>
                    <w:rPr>
                      <w:rFonts w:eastAsia="BatangChe" w:cs="Simplified Arabic"/>
                    </w:rPr>
                  </w:pPr>
                  <w:r w:rsidRPr="00CE00DC">
                    <w:rPr>
                      <w:rFonts w:eastAsia="BatangChe" w:cs="Simplified Arabic" w:hint="cs"/>
                      <w:rtl/>
                    </w:rPr>
                    <w:t>وضع مؤشرات للتغيرات قصيرة الأجل وطويلة الأجل عبر نطاقات مكانية مختلفة للكشف عن مفاضلات وقيود محتملة للنُهج القائمة على النظم الإيكولوجية بشأن التكيف مع تغير المناخ والحد من مخاطر الكوارث (انظر الخطوة واو لمزيد من التفاصيل).</w:t>
                  </w:r>
                </w:p>
                <w:p w:rsidR="000C66C6" w:rsidRPr="00CE00DC" w:rsidRDefault="000C66C6" w:rsidP="00CD26C5">
                  <w:pPr>
                    <w:pStyle w:val="ListParagraph"/>
                    <w:numPr>
                      <w:ilvl w:val="0"/>
                      <w:numId w:val="103"/>
                    </w:numPr>
                    <w:bidi/>
                    <w:spacing w:after="60" w:line="204" w:lineRule="auto"/>
                    <w:rPr>
                      <w:rFonts w:eastAsia="BatangChe" w:cs="Simplified Arabic"/>
                    </w:rPr>
                  </w:pPr>
                  <w:r w:rsidRPr="00CE00DC">
                    <w:rPr>
                      <w:rFonts w:eastAsia="BatangChe" w:cs="Simplified Arabic" w:hint="cs"/>
                      <w:rtl/>
                    </w:rPr>
                    <w:t xml:space="preserve">استخدام بيانات ونماذج جغرافية مكانية (مثل تلك التي تُتاح في نماذج </w:t>
                  </w:r>
                  <w:r w:rsidRPr="00CE00DC">
                    <w:rPr>
                      <w:rFonts w:eastAsia="Calibri" w:cs="Simplified Arabic"/>
                      <w:spacing w:val="-8"/>
                      <w:kern w:val="20"/>
                      <w:sz w:val="20"/>
                      <w:szCs w:val="20"/>
                    </w:rPr>
                    <w:t>InVEST</w:t>
                  </w:r>
                  <w:r w:rsidRPr="00CE00DC">
                    <w:rPr>
                      <w:rFonts w:eastAsia="BatangChe" w:cs="Simplified Arabic" w:hint="cs"/>
                      <w:rtl/>
                    </w:rPr>
                    <w:t xml:space="preserve"> </w:t>
                  </w:r>
                  <w:r>
                    <w:rPr>
                      <w:rFonts w:eastAsia="BatangChe" w:cs="Simplified Arabic" w:hint="cs"/>
                      <w:rtl/>
                    </w:rPr>
                    <w:t>(</w:t>
                  </w:r>
                  <w:hyperlink r:id="rId34" w:history="1">
                    <w:r w:rsidRPr="001373CD">
                      <w:rPr>
                        <w:rStyle w:val="Hyperlink"/>
                        <w:rFonts w:eastAsia="Calibri" w:cs="Simplified Arabic"/>
                        <w:spacing w:val="-8"/>
                        <w:kern w:val="20"/>
                        <w:sz w:val="20"/>
                        <w:szCs w:val="20"/>
                      </w:rPr>
                      <w:t>https://www.naturalcapitalproject.org/invest</w:t>
                    </w:r>
                  </w:hyperlink>
                  <w:r w:rsidRPr="00CE00DC">
                    <w:rPr>
                      <w:rFonts w:eastAsia="BatangChe" w:cs="Simplified Arabic" w:hint="cs"/>
                      <w:rtl/>
                    </w:rPr>
                    <w:t>) مدى تأثير التغيرات في هيكل النظام الإيكولوجي ووظيفته نتيجة تدخلات التكيف أو الحد من مخاطر الكوارث على وظائف وخدمات النظم الإيكولوجية عبر منظر طبيعي أرضي أو بحري.</w:t>
                  </w:r>
                </w:p>
                <w:p w:rsidR="000C66C6" w:rsidRPr="00CE00DC" w:rsidRDefault="000C66C6" w:rsidP="00CD26C5">
                  <w:pPr>
                    <w:pStyle w:val="ListParagraph"/>
                    <w:numPr>
                      <w:ilvl w:val="0"/>
                      <w:numId w:val="103"/>
                    </w:numPr>
                    <w:bidi/>
                    <w:spacing w:after="60" w:line="204" w:lineRule="auto"/>
                    <w:rPr>
                      <w:rFonts w:eastAsia="BatangChe" w:cs="Simplified Arabic"/>
                    </w:rPr>
                  </w:pPr>
                  <w:r w:rsidRPr="00CE00DC">
                    <w:rPr>
                      <w:rFonts w:eastAsia="BatangChe" w:cs="Simplified Arabic" w:hint="cs"/>
                      <w:rtl/>
                    </w:rPr>
                    <w:t>النظر في مجموعة كاملة من خيارات البنية الأساسية تندرج من "خضراء" إلى "هجينة" إلى "قاسية" ومدى ملاءمتها، إقرارا بالتركيبات المختلفة اللازمة في المواقف المختلفة.</w:t>
                  </w:r>
                </w:p>
                <w:p w:rsidR="000C66C6" w:rsidRPr="00CE00DC" w:rsidRDefault="000C66C6" w:rsidP="00CD26C5">
                  <w:pPr>
                    <w:pStyle w:val="ListParagraph"/>
                    <w:numPr>
                      <w:ilvl w:val="0"/>
                      <w:numId w:val="103"/>
                    </w:numPr>
                    <w:bidi/>
                    <w:spacing w:after="60" w:line="204" w:lineRule="auto"/>
                    <w:rPr>
                      <w:rFonts w:eastAsia="BatangChe" w:cs="Simplified Arabic"/>
                    </w:rPr>
                  </w:pPr>
                  <w:r w:rsidRPr="00CE00DC">
                    <w:rPr>
                      <w:rFonts w:eastAsia="BatangChe" w:cs="Simplified Arabic" w:hint="cs"/>
                      <w:rtl/>
                    </w:rPr>
                    <w:t>ضمان أن تسترشد النُهج القائمة على النظم الإيكولوجية بشأن التكيف مع تغير المناخ والحد من مخاطر الكوارث بأفضل العلوم والمعارف الأصلية والتقليدية المتاحة لكي تتعامل بشكل كامل مع المفاضلات والقيود المحتملة.</w:t>
                  </w:r>
                </w:p>
                <w:p w:rsidR="000C66C6" w:rsidRPr="00CE00DC" w:rsidRDefault="000C66C6" w:rsidP="00CD26C5">
                  <w:pPr>
                    <w:pStyle w:val="ListParagraph"/>
                    <w:numPr>
                      <w:ilvl w:val="0"/>
                      <w:numId w:val="103"/>
                    </w:numPr>
                    <w:bidi/>
                    <w:spacing w:after="60" w:line="204" w:lineRule="auto"/>
                    <w:rPr>
                      <w:rFonts w:eastAsia="BatangChe" w:cs="Simplified Arabic"/>
                    </w:rPr>
                  </w:pPr>
                  <w:r w:rsidRPr="00CE00DC">
                    <w:rPr>
                      <w:rFonts w:eastAsia="BatangChe" w:cs="Simplified Arabic" w:hint="cs"/>
                      <w:rtl/>
                    </w:rPr>
                    <w:t xml:space="preserve">ضمان إدراج النُهج القائمة على النظم الإيكولوجية بشأن التكيف مع تغير المناخ والحد من مخاطر الكوارث ضمن استراتيجيات شاملة للتكيف أو الحد من مخاطر الكوارث، إقرارا بالمنافع المتعددة والقيود المحتملة للنُهج القائمة على </w:t>
                  </w:r>
                </w:p>
                <w:p w:rsidR="000C66C6" w:rsidRPr="00CE00DC" w:rsidRDefault="000C66C6" w:rsidP="00CD26C5">
                  <w:pPr>
                    <w:pStyle w:val="ListParagraph"/>
                    <w:numPr>
                      <w:ilvl w:val="0"/>
                      <w:numId w:val="103"/>
                    </w:numPr>
                    <w:bidi/>
                    <w:spacing w:after="60" w:line="204" w:lineRule="auto"/>
                    <w:rPr>
                      <w:rFonts w:eastAsia="BatangChe" w:cs="Simplified Arabic"/>
                      <w:rtl/>
                    </w:rPr>
                  </w:pPr>
                  <w:r w:rsidRPr="00CE00DC">
                    <w:rPr>
                      <w:rFonts w:eastAsia="BatangChe" w:cs="Simplified Arabic" w:hint="cs"/>
                      <w:rtl/>
                    </w:rPr>
                    <w:t>تعظيم المنافع المتعددة والنظر في المفاضلات أو العواقب غير المقصودة للنُهج القائمة على النظم الإيكولوجية بشأن التكيف مع تغير المناخ والحد من مخاطر الكوارث وتقليلها إلى أدنى حد في جميع مراحل التخطيط والتنفيذ، بما في ذلك مواجهة حالات عدم التيقن في التوقعات المناخية ومواجهة السيناريوهات المختلفة.</w:t>
                  </w:r>
                </w:p>
              </w:txbxContent>
            </v:textbox>
            <w10:wrap type="none" anchorx="margin" anchory="margin"/>
            <w10:anchorlock/>
          </v:shape>
        </w:pict>
      </w:r>
    </w:p>
    <w:p w:rsidR="00023979" w:rsidRDefault="00023979" w:rsidP="00023979">
      <w:pPr>
        <w:rPr>
          <w:b/>
          <w:bCs/>
          <w:rtl/>
        </w:rPr>
      </w:pPr>
      <w:r>
        <w:rPr>
          <w:b/>
          <w:bCs/>
          <w:rtl/>
        </w:rPr>
        <w:br w:type="page"/>
      </w:r>
    </w:p>
    <w:p w:rsidR="00023979" w:rsidRDefault="00023979" w:rsidP="00023979">
      <w:pPr>
        <w:spacing w:before="120" w:line="204" w:lineRule="auto"/>
        <w:rPr>
          <w:b/>
          <w:bCs/>
          <w:rtl/>
        </w:rPr>
      </w:pPr>
      <w:r w:rsidRPr="00C6215F">
        <w:rPr>
          <w:rFonts w:hint="cs"/>
          <w:b/>
          <w:bCs/>
          <w:rtl/>
        </w:rPr>
        <w:lastRenderedPageBreak/>
        <w:t>ا</w:t>
      </w:r>
      <w:r>
        <w:rPr>
          <w:rFonts w:hint="cs"/>
          <w:b/>
          <w:bCs/>
          <w:rtl/>
        </w:rPr>
        <w:t>لخطوة هاء-</w:t>
      </w:r>
      <w:r>
        <w:rPr>
          <w:rFonts w:hint="cs"/>
          <w:b/>
          <w:bCs/>
          <w:rtl/>
        </w:rPr>
        <w:tab/>
        <w:t>تصميم وتنفيذ المشروع</w:t>
      </w:r>
    </w:p>
    <w:p w:rsidR="00023979" w:rsidRPr="00C6215F" w:rsidRDefault="00023979" w:rsidP="00023979">
      <w:pPr>
        <w:spacing w:line="204" w:lineRule="auto"/>
        <w:rPr>
          <w:b/>
          <w:bCs/>
          <w:rtl/>
        </w:rPr>
      </w:pPr>
      <w:r w:rsidRPr="00C6215F">
        <w:rPr>
          <w:rFonts w:hint="cs"/>
          <w:b/>
          <w:bCs/>
          <w:rtl/>
        </w:rPr>
        <w:t>الغرض</w:t>
      </w:r>
    </w:p>
    <w:p w:rsidR="00023979" w:rsidRPr="00C6215F" w:rsidRDefault="00023979" w:rsidP="00023979">
      <w:pPr>
        <w:spacing w:after="100" w:line="204" w:lineRule="auto"/>
        <w:rPr>
          <w:rtl/>
        </w:rPr>
      </w:pPr>
      <w:r w:rsidRPr="00C6215F">
        <w:rPr>
          <w:rFonts w:hint="cs"/>
          <w:rtl/>
        </w:rPr>
        <w:t>34-</w:t>
      </w:r>
      <w:r w:rsidRPr="00C6215F">
        <w:rPr>
          <w:rFonts w:hint="cs"/>
          <w:rtl/>
        </w:rPr>
        <w:tab/>
        <w:t>في هذه الخطوة، يتم تصميم وتنفيذ التدخلات المنتقاة في الخطوة دال وفقا للمبادئ والضمانات. وعلى مدار عملية التصميم والتنفيذ، من المهم إعادة النظر بشكل مستمر في المبادئ والضمانات وضمان المشاركة المستمرة لأصحاب المصلحة، وبناء القدرات، والتعميم والرصد.</w:t>
      </w:r>
    </w:p>
    <w:p w:rsidR="00023979" w:rsidRPr="00C6215F" w:rsidRDefault="00023979" w:rsidP="00023979">
      <w:pPr>
        <w:spacing w:after="100" w:line="204" w:lineRule="auto"/>
        <w:rPr>
          <w:rtl/>
        </w:rPr>
      </w:pPr>
      <w:r w:rsidRPr="00C6215F">
        <w:rPr>
          <w:rFonts w:hint="cs"/>
          <w:rtl/>
        </w:rPr>
        <w:t>35-</w:t>
      </w:r>
      <w:r w:rsidRPr="00C6215F">
        <w:rPr>
          <w:rFonts w:hint="cs"/>
          <w:rtl/>
        </w:rPr>
        <w:tab/>
        <w:t>ونظرا للأهمية المضافة لإجراءات التعاون والتنسيق والسياسات العابرة للحدود والتي تشمل جميع القطاعات، تُعرض إجراءات مفصلة أخرى (انظر الإطار 4). وترد أدوات ذات صلة في صندوق أدوات الخطوة هاء: تصميم وتنفيذ المشروع، وتُتاح كمعلومات تكميلية.</w:t>
      </w:r>
      <w:r w:rsidRPr="00C6215F">
        <w:rPr>
          <w:rStyle w:val="FootnoteReference"/>
          <w:rtl/>
        </w:rPr>
        <w:footnoteReference w:id="80"/>
      </w:r>
    </w:p>
    <w:p w:rsidR="00023979" w:rsidRPr="00C6215F" w:rsidRDefault="00023979" w:rsidP="00023979">
      <w:pPr>
        <w:spacing w:after="100" w:line="204" w:lineRule="auto"/>
        <w:rPr>
          <w:b/>
          <w:bCs/>
          <w:rtl/>
        </w:rPr>
      </w:pPr>
      <w:r w:rsidRPr="00C6215F">
        <w:rPr>
          <w:rFonts w:hint="cs"/>
          <w:b/>
          <w:bCs/>
          <w:rtl/>
        </w:rPr>
        <w:t>النتائج</w:t>
      </w:r>
    </w:p>
    <w:p w:rsidR="00023979" w:rsidRPr="00C6215F" w:rsidRDefault="00023979" w:rsidP="00023979">
      <w:pPr>
        <w:spacing w:after="100" w:line="204" w:lineRule="auto"/>
        <w:ind w:firstLine="720"/>
        <w:rPr>
          <w:rtl/>
        </w:rPr>
      </w:pPr>
      <w:r w:rsidRPr="00C6215F">
        <w:rPr>
          <w:rFonts w:hint="cs"/>
          <w:rtl/>
        </w:rPr>
        <w:t>خطة لتصميم وتنفيذ المشروع (بما في ذلك استراتيجية مالية، واستراتيجية لتنمية القدرات، وإجراءات محددة للتدابير المؤسسية وتدابير الدعم التقني)</w:t>
      </w:r>
    </w:p>
    <w:p w:rsidR="00023979" w:rsidRPr="00C6215F" w:rsidRDefault="00023979" w:rsidP="00023979">
      <w:pPr>
        <w:spacing w:after="100" w:line="204" w:lineRule="auto"/>
        <w:rPr>
          <w:b/>
          <w:bCs/>
          <w:rtl/>
        </w:rPr>
      </w:pPr>
      <w:r w:rsidRPr="00C6215F">
        <w:rPr>
          <w:rFonts w:hint="cs"/>
          <w:b/>
          <w:bCs/>
          <w:rtl/>
        </w:rPr>
        <w:t>الإجراءات الرئيسية</w:t>
      </w:r>
    </w:p>
    <w:p w:rsidR="00023979" w:rsidRPr="00C6215F" w:rsidRDefault="00023979" w:rsidP="00023979">
      <w:pPr>
        <w:spacing w:after="60" w:line="204" w:lineRule="auto"/>
        <w:ind w:firstLine="720"/>
        <w:rPr>
          <w:rtl/>
        </w:rPr>
      </w:pPr>
      <w:r w:rsidRPr="00C6215F">
        <w:rPr>
          <w:rFonts w:hint="cs"/>
          <w:rtl/>
        </w:rPr>
        <w:t>(أ)</w:t>
      </w:r>
      <w:r w:rsidRPr="00C6215F">
        <w:rPr>
          <w:rFonts w:hint="cs"/>
          <w:rtl/>
        </w:rPr>
        <w:tab/>
        <w:t>مراعاة العناصر والمبادئ والضمانات الخاصة بالنُهج القائمة على النظم الإيكولوجية بشأن التكيف مع تغير المناخ والحد من مخاطر الكوارث على مدار عملية التصميم والتنفيذ (انظر الخطوة باء)؛</w:t>
      </w:r>
    </w:p>
    <w:p w:rsidR="00023979" w:rsidRPr="00C6215F" w:rsidRDefault="00023979" w:rsidP="00023979">
      <w:pPr>
        <w:spacing w:after="60" w:line="204" w:lineRule="auto"/>
        <w:ind w:firstLine="720"/>
        <w:rPr>
          <w:rtl/>
        </w:rPr>
      </w:pPr>
      <w:r w:rsidRPr="00C6215F">
        <w:rPr>
          <w:rFonts w:hint="cs"/>
          <w:rtl/>
        </w:rPr>
        <w:t>(ب)</w:t>
      </w:r>
      <w:r w:rsidRPr="00C6215F">
        <w:rPr>
          <w:rFonts w:hint="cs"/>
          <w:rtl/>
        </w:rPr>
        <w:tab/>
        <w:t>مراعاة معايير ومقاييس التأهيل بشأن التكيف القائم على النظم الإيكولوجية؛</w:t>
      </w:r>
    </w:p>
    <w:p w:rsidR="00023979" w:rsidRPr="00C6215F" w:rsidRDefault="00023979" w:rsidP="00023979">
      <w:pPr>
        <w:spacing w:after="60" w:line="204" w:lineRule="auto"/>
        <w:ind w:firstLine="720"/>
        <w:rPr>
          <w:rtl/>
        </w:rPr>
      </w:pPr>
      <w:r w:rsidRPr="00C6215F">
        <w:rPr>
          <w:rFonts w:hint="cs"/>
          <w:rtl/>
        </w:rPr>
        <w:t>(ج)</w:t>
      </w:r>
      <w:r w:rsidRPr="00C6215F">
        <w:rPr>
          <w:rFonts w:hint="cs"/>
          <w:rtl/>
        </w:rPr>
        <w:tab/>
        <w:t>تصميم تدخلات على النطاق المناسب من أجل تحقيق الأهداف المحددة في الخطوة ألف؛</w:t>
      </w:r>
    </w:p>
    <w:p w:rsidR="00023979" w:rsidRPr="00C6215F" w:rsidRDefault="00023979" w:rsidP="00023979">
      <w:pPr>
        <w:spacing w:after="60" w:line="204" w:lineRule="auto"/>
        <w:ind w:firstLine="720"/>
        <w:rPr>
          <w:rtl/>
        </w:rPr>
      </w:pPr>
      <w:r w:rsidRPr="00C6215F">
        <w:rPr>
          <w:rFonts w:hint="cs"/>
          <w:rtl/>
        </w:rPr>
        <w:t>(د)</w:t>
      </w:r>
      <w:r w:rsidRPr="00C6215F">
        <w:rPr>
          <w:rFonts w:hint="cs"/>
          <w:rtl/>
        </w:rPr>
        <w:tab/>
        <w:t>إشراك الخبراء ذوي الصلة، وتعزيز الروابط بين المجتمع العلمي ومنفذي المشروع لضمان الاستخدام الأمثل والملائم للنظم الإيكولوجية فيما يتعلق بالتكيف والحد من مخاطر الكوارث؛</w:t>
      </w:r>
    </w:p>
    <w:p w:rsidR="00023979" w:rsidRPr="00C6215F" w:rsidRDefault="00023979" w:rsidP="00023979">
      <w:pPr>
        <w:spacing w:after="60" w:line="204" w:lineRule="auto"/>
        <w:ind w:firstLine="720"/>
        <w:rPr>
          <w:rtl/>
        </w:rPr>
      </w:pPr>
      <w:r w:rsidRPr="00C6215F">
        <w:rPr>
          <w:rFonts w:hint="cs"/>
          <w:rtl/>
        </w:rPr>
        <w:t>(ﻫ)</w:t>
      </w:r>
      <w:r w:rsidRPr="00C6215F">
        <w:rPr>
          <w:rFonts w:hint="cs"/>
          <w:rtl/>
        </w:rPr>
        <w:tab/>
        <w:t>اختيار أدوات ملائمة، والتخطيط، إذا لزم الأمر، لإعداد منهجيات جديدة؛</w:t>
      </w:r>
    </w:p>
    <w:p w:rsidR="00023979" w:rsidRPr="00C6215F" w:rsidRDefault="00023979" w:rsidP="00023979">
      <w:pPr>
        <w:spacing w:after="60" w:line="204" w:lineRule="auto"/>
        <w:ind w:firstLine="720"/>
        <w:rPr>
          <w:rtl/>
        </w:rPr>
      </w:pPr>
      <w:r w:rsidRPr="00C6215F">
        <w:rPr>
          <w:rFonts w:hint="cs"/>
          <w:rtl/>
        </w:rPr>
        <w:t>(و)</w:t>
      </w:r>
      <w:r w:rsidRPr="00C6215F">
        <w:rPr>
          <w:rFonts w:hint="cs"/>
          <w:rtl/>
        </w:rPr>
        <w:tab/>
        <w:t>تحديد المتطلبات التقنية والمالية وإعداد ميزانية وفقا لهذه المتطلبات؛</w:t>
      </w:r>
    </w:p>
    <w:p w:rsidR="00023979" w:rsidRPr="00C6215F" w:rsidRDefault="00023979" w:rsidP="00023979">
      <w:pPr>
        <w:spacing w:after="60" w:line="204" w:lineRule="auto"/>
        <w:ind w:firstLine="720"/>
        <w:rPr>
          <w:rtl/>
        </w:rPr>
      </w:pPr>
      <w:r w:rsidRPr="00C6215F">
        <w:rPr>
          <w:rFonts w:hint="cs"/>
          <w:rtl/>
        </w:rPr>
        <w:t>(ز)</w:t>
      </w:r>
      <w:r w:rsidRPr="00C6215F">
        <w:rPr>
          <w:rFonts w:hint="cs"/>
          <w:rtl/>
        </w:rPr>
        <w:tab/>
        <w:t xml:space="preserve">إعداد خطة عمل، بما في ذلك الأطر الزمنية للأنشطة، والمراحل الهامة المراد تنفيذها، والمشاورات اللازمة المتعددة أصحاب المصلحة، وتحديد المهام والمسؤوليات؛ </w:t>
      </w:r>
    </w:p>
    <w:p w:rsidR="00023979" w:rsidRPr="00C6215F" w:rsidRDefault="00023979" w:rsidP="00023979">
      <w:pPr>
        <w:spacing w:after="60" w:line="204" w:lineRule="auto"/>
        <w:ind w:firstLine="720"/>
        <w:rPr>
          <w:rtl/>
        </w:rPr>
      </w:pPr>
      <w:r w:rsidRPr="00C6215F">
        <w:rPr>
          <w:rFonts w:hint="cs"/>
          <w:rtl/>
        </w:rPr>
        <w:t>(ح)</w:t>
      </w:r>
      <w:r w:rsidRPr="00C6215F">
        <w:rPr>
          <w:rFonts w:hint="cs"/>
          <w:rtl/>
        </w:rPr>
        <w:tab/>
        <w:t>وضع استراتيجيات لتقليل المخاطر والمفاضلات المحددة وتعزيز أوجه التآزر (انظر الخطوة دال)؛</w:t>
      </w:r>
    </w:p>
    <w:p w:rsidR="00023979" w:rsidRPr="00C6215F" w:rsidRDefault="00023979" w:rsidP="00023979">
      <w:pPr>
        <w:spacing w:after="60" w:line="204" w:lineRule="auto"/>
        <w:ind w:firstLine="720"/>
        <w:rPr>
          <w:rtl/>
        </w:rPr>
      </w:pPr>
      <w:r w:rsidRPr="00C6215F">
        <w:rPr>
          <w:rFonts w:hint="cs"/>
          <w:rtl/>
        </w:rPr>
        <w:t>(ط)</w:t>
      </w:r>
      <w:r w:rsidRPr="00C6215F">
        <w:rPr>
          <w:rFonts w:hint="cs"/>
          <w:rtl/>
        </w:rPr>
        <w:tab/>
        <w:t>إنشاء روابط بين المشروع وخطط واستراتيجيات وسياسات التنمية الوطنية و/أو دون الوطنية و/أو المحلية؛</w:t>
      </w:r>
    </w:p>
    <w:p w:rsidR="00023979" w:rsidRDefault="00023979" w:rsidP="00023979">
      <w:pPr>
        <w:spacing w:after="60" w:line="204" w:lineRule="auto"/>
        <w:ind w:firstLine="720"/>
        <w:rPr>
          <w:rtl/>
        </w:rPr>
      </w:pPr>
      <w:r w:rsidRPr="00C6215F">
        <w:rPr>
          <w:rFonts w:hint="cs"/>
          <w:rtl/>
        </w:rPr>
        <w:t>(ي)</w:t>
      </w:r>
      <w:r w:rsidRPr="00C6215F">
        <w:rPr>
          <w:rFonts w:hint="cs"/>
          <w:rtl/>
        </w:rPr>
        <w:tab/>
        <w:t>مراعاة مبادئ بناء القدرة على الصمود والقدرة على التأقلم في النظم الاجتماعية الإيكولوجية (انظر الإطار 5).</w:t>
      </w:r>
    </w:p>
    <w:p w:rsidR="00023979" w:rsidRPr="00A83755" w:rsidRDefault="00023979" w:rsidP="00023979">
      <w:pPr>
        <w:spacing w:after="60" w:line="204" w:lineRule="auto"/>
        <w:ind w:firstLine="720"/>
        <w:rPr>
          <w:rtl/>
        </w:rPr>
      </w:pPr>
    </w:p>
    <w:p w:rsidR="00023979" w:rsidRPr="00C6215F" w:rsidRDefault="007B18D9" w:rsidP="00023979">
      <w:pPr>
        <w:rPr>
          <w:rtl/>
        </w:rPr>
      </w:pPr>
      <w:r w:rsidRPr="007B18D9">
        <w:rPr>
          <w:noProof/>
          <w:rtl/>
          <w:lang w:val="en-CA" w:eastAsia="en-CA"/>
        </w:rPr>
        <w:lastRenderedPageBreak/>
        <w:pict>
          <v:shape id="Text Box 4" o:spid="_x0000_s1049" type="#_x0000_t202" style="position:absolute;left:0;text-align:left;margin-left:.75pt;margin-top:8.25pt;width:467.55pt;height:490.6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">
            <v:textbox style="mso-next-textbox:#Text Box 4">
              <w:txbxContent>
                <w:p w:rsidR="000C66C6" w:rsidRPr="004E6237" w:rsidRDefault="000C66C6" w:rsidP="00023979">
                  <w:pPr>
                    <w:spacing w:line="204" w:lineRule="auto"/>
                    <w:jc w:val="center"/>
                    <w:rPr>
                      <w:b/>
                      <w:bCs/>
                      <w:color w:val="4F81BD"/>
                    </w:rPr>
                  </w:pPr>
                  <w:r w:rsidRPr="004E6237">
                    <w:rPr>
                      <w:rFonts w:hint="cs"/>
                      <w:b/>
                      <w:bCs/>
                      <w:color w:val="4F81BD"/>
                      <w:rtl/>
                    </w:rPr>
                    <w:t>الإطار 4-</w:t>
                  </w:r>
                  <w:r w:rsidRPr="004E6237">
                    <w:rPr>
                      <w:rFonts w:hint="cs"/>
                      <w:b/>
                      <w:bCs/>
                      <w:color w:val="4F81BD"/>
                      <w:rtl/>
                    </w:rPr>
                    <w:tab/>
                    <w:t>إجراءات التعاون والتنسيق والسياسات العابرة للحدود والتي تشمل جميع القطاعات</w:t>
                  </w:r>
                </w:p>
                <w:p w:rsidR="000C66C6" w:rsidRPr="004E6237" w:rsidRDefault="000C66C6" w:rsidP="00023979">
                  <w:pPr>
                    <w:spacing w:after="60" w:line="204" w:lineRule="auto"/>
                    <w:rPr>
                      <w:rFonts w:eastAsia="BatangChe"/>
                      <w:szCs w:val="22"/>
                      <w:rtl/>
                    </w:rPr>
                  </w:pPr>
                  <w:r w:rsidRPr="004E6237">
                    <w:rPr>
                      <w:rFonts w:eastAsia="BatangChe" w:hint="cs"/>
                      <w:szCs w:val="22"/>
                      <w:rtl/>
                    </w:rPr>
                    <w:t>تمتد آثار تغير المناخ ومخاطر الكوارث لتتجاوز حدودا سياسية؛ وبالتالي، من شأن نهج متكامل للمناظر الطبيعية أو النظم أن يساعد في حل المشاكل عبر القطاعات والحدود. ويمكن للتعاون العابر للحدود أن يمكّن من تقاسم التكاليف والمنافع ويحد من الآثار السلبية المحتملة للتدابير المتخذة من جانب واحد. ويمكن للتعاون العابر للحدود أيضا أن يوفر فرصا للتنمية الاجتماعية والاقتصادية وإدارة القضايا على نطاقات ملائمة للنظم الإيكولوجية.</w:t>
                  </w:r>
                </w:p>
                <w:p w:rsidR="000C66C6" w:rsidRPr="004E6237" w:rsidRDefault="000C66C6" w:rsidP="00023979">
                  <w:pPr>
                    <w:spacing w:after="60" w:line="204" w:lineRule="auto"/>
                    <w:rPr>
                      <w:rFonts w:eastAsia="BatangChe"/>
                      <w:szCs w:val="22"/>
                      <w:rtl/>
                    </w:rPr>
                  </w:pPr>
                  <w:r w:rsidRPr="004E6237">
                    <w:rPr>
                      <w:rFonts w:eastAsia="BatangChe" w:hint="cs"/>
                      <w:szCs w:val="22"/>
                      <w:rtl/>
                    </w:rPr>
                    <w:t>وتدعو تدخلات النُهج القائمة على النظم الإيكولوجية بشأن التكيف مع تغير المناخ والحد من مخاطر الكوارث بشكل متزايد إلى التعاون مع القطاعات الأخرى، بما في ذلك الزراعة، والمياه، والتنمية الحضرية والبنية الأساسية.</w:t>
                  </w:r>
                </w:p>
                <w:p w:rsidR="000C66C6" w:rsidRPr="004E6237" w:rsidRDefault="000C66C6" w:rsidP="00023979">
                  <w:pPr>
                    <w:spacing w:after="60" w:line="204" w:lineRule="auto"/>
                    <w:rPr>
                      <w:rFonts w:eastAsia="BatangChe"/>
                      <w:szCs w:val="22"/>
                      <w:rtl/>
                    </w:rPr>
                  </w:pPr>
                  <w:r w:rsidRPr="004E6237">
                    <w:rPr>
                      <w:rFonts w:eastAsia="BatangChe" w:hint="cs"/>
                      <w:szCs w:val="22"/>
                      <w:rtl/>
                    </w:rPr>
                    <w:t>ويمكن دمج الاعتبارات العابرة للحدود والتي تشمل جميع القطاعات ضمن النُهج القائمة على النظم الإيكولوجية بشأن التكيف مع تغير المناخ والحد من مخاطر الكوارث من خلال ما يلي:</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دمج النطاقات المختلفة للنظم الإيكولوجية الحرجة العاملة واللازمة للتكيف والحد من مخاطر الكوارث في النُهج القائمة على النظم الإيكولوجية بشأن التكيف مع تغير المناخ والحد من مخاطر الكوارث؛</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من شأن تعزيز الاتساق بين الاستراتيجيات والسياسات الإقليمية/العابرة للحدود الخاصة بالنُهج القائمة على النظم الإيكولوجية بشأن التكيف مع تغير المناخ والحد من مخاطر الكوارث أن يساهم في تحسين فعالية الإجراءات؛</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التعلم من آليات التخطيط الراسخة الشاملة لعدة قطاعات، من قبيل الإدارة المتكاملة لموارد المياه</w:t>
                  </w:r>
                  <w:r>
                    <w:rPr>
                      <w:rFonts w:eastAsia="BatangChe" w:cs="Simplified Arabic" w:hint="cs"/>
                      <w:rtl/>
                    </w:rPr>
                    <w:t xml:space="preserve"> </w:t>
                  </w:r>
                  <w:r w:rsidRPr="001373CD">
                    <w:rPr>
                      <w:rFonts w:eastAsia="BatangChe"/>
                      <w:sz w:val="20"/>
                      <w:szCs w:val="20"/>
                    </w:rPr>
                    <w:t>(IWRM)</w:t>
                  </w:r>
                  <w:r w:rsidRPr="001373CD">
                    <w:rPr>
                      <w:rFonts w:eastAsia="BatangChe"/>
                      <w:sz w:val="20"/>
                      <w:szCs w:val="20"/>
                      <w:rtl/>
                    </w:rPr>
                    <w:t>،</w:t>
                  </w:r>
                  <w:r w:rsidRPr="004E6237">
                    <w:rPr>
                      <w:rFonts w:eastAsia="BatangChe" w:cs="Simplified Arabic" w:hint="cs"/>
                      <w:rtl/>
                    </w:rPr>
                    <w:t xml:space="preserve"> والإدارة المتكاملة للمناطق الساحلية وتخطيط استخدام الأراضي</w:t>
                  </w:r>
                  <w:r>
                    <w:rPr>
                      <w:rFonts w:eastAsia="BatangChe" w:cs="Simplified Arabic" w:hint="cs"/>
                      <w:rtl/>
                    </w:rPr>
                    <w:t xml:space="preserve"> </w:t>
                  </w:r>
                  <w:r w:rsidRPr="00BB5CE0">
                    <w:rPr>
                      <w:rFonts w:eastAsia="BatangChe" w:cs="Simplified Arabic"/>
                      <w:sz w:val="20"/>
                      <w:szCs w:val="20"/>
                    </w:rPr>
                    <w:t>(ICZM)</w:t>
                  </w:r>
                  <w:r w:rsidRPr="004E6237">
                    <w:rPr>
                      <w:rFonts w:eastAsia="BatangChe" w:cs="Simplified Arabic" w:hint="cs"/>
                      <w:rtl/>
                    </w:rPr>
                    <w:t>، بغية تعزيز التعاون فيما بين القطاعات وتحسين إدراج النُهج القائمة على النظم الإيكولوجية بشأن التكيف مع تغير المناخ والحد من مخاطر الكوارث ضمن الأطر القطاعية ذات الصلة (وينطبق ذلك أيضا على تعميم النُهج القائمة على النظم الإيكولوجية بشأن التكيف مع تغير المناخ والحد من مخاطر الكوارث)؛</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تأسيس لجنة أو فريق مهام يضم شركاء وممثلين عن القطاعات عبر الحدود من أجل وضع رؤية، وغايات، وأهداف مشتركة فيما يتعلق بالنُهج القائمة على النظم الإيكولوجية بشأن التكيف مع تغير المناخ والحد من مخاطر الكوارث؛</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وضع مفهوم مشترك لمواطن الضعف على النطاق العابر للحدود ولقطاعات مختلفة من خلال استخدام نماذج وسيناريوهات مشتركة ومنهجيات ومصادر معلومات متفق عليها؛</w:t>
                  </w:r>
                </w:p>
                <w:p w:rsidR="000C66C6" w:rsidRPr="004E6237" w:rsidRDefault="000C66C6" w:rsidP="00CD26C5">
                  <w:pPr>
                    <w:pStyle w:val="ListParagraph"/>
                    <w:numPr>
                      <w:ilvl w:val="0"/>
                      <w:numId w:val="103"/>
                    </w:numPr>
                    <w:bidi/>
                    <w:spacing w:after="60" w:line="204" w:lineRule="auto"/>
                    <w:rPr>
                      <w:rFonts w:eastAsia="BatangChe" w:cs="Simplified Arabic"/>
                    </w:rPr>
                  </w:pPr>
                  <w:r w:rsidRPr="004E6237">
                    <w:rPr>
                      <w:rFonts w:eastAsia="BatangChe" w:cs="Simplified Arabic" w:hint="cs"/>
                      <w:rtl/>
                    </w:rPr>
                    <w:t>اعتماد عملية تكرارية للرصد والتقييم (انظر الخطوة واو)، لضمان أن تستمر الاستراتيجيات العابرة للحدود والتي تشمل جميع القطاعات فيما يتعلق بالنُهج القائمة على النظم الإيكولوجية بشأن التكيف مع تغير المناخ والحد من مخاطر الكوارث في تحقيق الأهداف الوطنية للتكيف والحد من مخاطر الكوارث وزيادة إمكانية تحقيق منافع متعددة إلى أقصى حد.</w:t>
                  </w:r>
                </w:p>
              </w:txbxContent>
            </v:textbox>
            <w10:wrap type="square"/>
          </v:shape>
        </w:pict>
      </w:r>
      <w:r w:rsidR="00023979" w:rsidRPr="00C6215F">
        <w:rPr>
          <w:rtl/>
        </w:rPr>
        <w:br w:type="page"/>
      </w:r>
    </w:p>
    <w:p w:rsidR="00023979" w:rsidRDefault="007B18D9" w:rsidP="00023979">
      <w:pPr>
        <w:spacing w:line="120" w:lineRule="auto"/>
        <w:ind w:right="-360"/>
        <w:rPr>
          <w:b/>
          <w:bCs/>
          <w:rtl/>
        </w:rPr>
      </w:pPr>
      <w:r w:rsidRPr="007B18D9">
        <w:rPr>
          <w:rFonts w:eastAsia="Calibri"/>
          <w:noProof/>
          <w:snapToGrid w:val="0"/>
          <w:kern w:val="22"/>
          <w:rtl/>
          <w:lang w:val="en-CA" w:eastAsia="en-CA"/>
        </w:rPr>
        <w:lastRenderedPageBreak/>
        <w:pict>
          <v:shape id="_x0000_s1050" type="#_x0000_t202" style="position:absolute;left:0;text-align:left;margin-left:0;margin-top:0;width:473.85pt;height:404.9pt;z-index:251668480;visibility:visible;mso-wrap-distance-top:3.6pt;mso-wrap-distance-bottom:3.6pt;mso-position-horizontal:center;mso-position-horizontal-relative:margin;mso-position-vertical:top;mso-position-vertical-relative:margin;mso-width-relative:margin;mso-height-relative:margin">
            <v:textbox style="mso-next-textbox:#_x0000_s1050">
              <w:txbxContent>
                <w:p w:rsidR="000C66C6" w:rsidRPr="004E6237" w:rsidRDefault="000C66C6" w:rsidP="00023979">
                  <w:pPr>
                    <w:keepNext/>
                    <w:spacing w:after="100" w:line="204" w:lineRule="auto"/>
                    <w:ind w:left="1701" w:hanging="992"/>
                    <w:rPr>
                      <w:b/>
                      <w:bCs/>
                      <w:color w:val="4F81BD"/>
                    </w:rPr>
                  </w:pPr>
                  <w:r w:rsidRPr="004E6237">
                    <w:rPr>
                      <w:b/>
                      <w:bCs/>
                      <w:color w:val="4F81BD"/>
                      <w:rtl/>
                    </w:rPr>
                    <w:t>الإطار 5-</w:t>
                  </w:r>
                  <w:r w:rsidRPr="004E6237">
                    <w:rPr>
                      <w:b/>
                      <w:bCs/>
                      <w:color w:val="4F81BD"/>
                      <w:rtl/>
                    </w:rPr>
                    <w:tab/>
                    <w:t>تطبيق التفكير بشأن القدرة على الصمود عند تصميم النُهج القائمة على النظم الإيكولوجية بشأن التكيف مع تغير المناخ والحد من مخاطر الكوارث</w:t>
                  </w:r>
                </w:p>
                <w:p w:rsidR="000C66C6" w:rsidRPr="004E6237" w:rsidRDefault="000C66C6" w:rsidP="00023979">
                  <w:pPr>
                    <w:spacing w:after="100" w:line="204" w:lineRule="auto"/>
                    <w:rPr>
                      <w:rFonts w:eastAsia="BatangChe"/>
                      <w:sz w:val="18"/>
                      <w:szCs w:val="22"/>
                      <w:rtl/>
                    </w:rPr>
                  </w:pPr>
                  <w:r w:rsidRPr="004E6237">
                    <w:rPr>
                      <w:rFonts w:eastAsia="BatangChe"/>
                      <w:sz w:val="18"/>
                      <w:szCs w:val="22"/>
                      <w:rtl/>
                    </w:rPr>
                    <w:t xml:space="preserve">يركز أي نهج بشأن القدرة على الصمود بصورة مستدامة على بناء القدرة على التعامل مع التغيرات غير المتوقعة، مثل آثار تغير المناخ ومخاطر الكوارث. فتطبيق نظرة تراعي القدرة على الصمود لتصميم تدخلات النُهج القائمة على النظم الإيكولوجية بشأن التكيف مع تغير المناخ والحد من مخاطر الكوارث يتضمن إدارة التدخلات بين الإنسان والطبيعة باعتبارهما </w:t>
                  </w:r>
                  <w:r w:rsidRPr="004E6237">
                    <w:rPr>
                      <w:rFonts w:eastAsia="BatangChe" w:hint="cs"/>
                      <w:sz w:val="18"/>
                      <w:szCs w:val="22"/>
                      <w:rtl/>
                    </w:rPr>
                    <w:t>نظامين</w:t>
                  </w:r>
                  <w:r w:rsidRPr="004E6237">
                    <w:rPr>
                      <w:rFonts w:eastAsia="BatangChe"/>
                      <w:sz w:val="18"/>
                      <w:szCs w:val="22"/>
                      <w:rtl/>
                    </w:rPr>
                    <w:t xml:space="preserve"> اجتماعي</w:t>
                  </w:r>
                  <w:r w:rsidRPr="004E6237">
                    <w:rPr>
                      <w:rFonts w:eastAsia="BatangChe" w:hint="cs"/>
                      <w:sz w:val="18"/>
                      <w:szCs w:val="22"/>
                      <w:rtl/>
                    </w:rPr>
                    <w:t>ين</w:t>
                  </w:r>
                  <w:r w:rsidRPr="004E6237">
                    <w:rPr>
                      <w:rFonts w:eastAsia="BatangChe"/>
                      <w:sz w:val="18"/>
                      <w:szCs w:val="22"/>
                      <w:rtl/>
                    </w:rPr>
                    <w:t xml:space="preserve"> إيكولوجي</w:t>
                  </w:r>
                  <w:r w:rsidRPr="004E6237">
                    <w:rPr>
                      <w:rFonts w:eastAsia="BatangChe" w:hint="cs"/>
                      <w:sz w:val="18"/>
                      <w:szCs w:val="22"/>
                      <w:rtl/>
                    </w:rPr>
                    <w:t>ين</w:t>
                  </w:r>
                  <w:r w:rsidRPr="004E6237">
                    <w:rPr>
                      <w:rFonts w:eastAsia="BatangChe"/>
                      <w:sz w:val="18"/>
                      <w:szCs w:val="22"/>
                      <w:rtl/>
                    </w:rPr>
                    <w:t xml:space="preserve"> لضمان استمرار وصمود عملية تقديم </w:t>
                  </w:r>
                  <w:r w:rsidRPr="004E6237">
                    <w:rPr>
                      <w:rFonts w:eastAsia="BatangChe" w:hint="cs"/>
                      <w:sz w:val="18"/>
                      <w:szCs w:val="22"/>
                      <w:rtl/>
                    </w:rPr>
                    <w:t>الوظائف و</w:t>
                  </w:r>
                  <w:r w:rsidRPr="004E6237">
                    <w:rPr>
                      <w:rFonts w:eastAsia="BatangChe"/>
                      <w:sz w:val="18"/>
                      <w:szCs w:val="22"/>
                      <w:rtl/>
                    </w:rPr>
                    <w:t>الخدمات الضرورية للنظم الإيكولوجية التي تقدم وظائف تتعلق بالتكيف ومخاطر الكوارث. وهناك سبعة مبادئ رئيسية</w:t>
                  </w:r>
                  <w:r w:rsidRPr="004E6237">
                    <w:rPr>
                      <w:rFonts w:eastAsia="BatangChe" w:hint="cs"/>
                      <w:sz w:val="18"/>
                      <w:szCs w:val="22"/>
                      <w:rtl/>
                    </w:rPr>
                    <w:t xml:space="preserve"> تُراعى</w:t>
                  </w:r>
                  <w:r w:rsidRPr="004E6237">
                    <w:rPr>
                      <w:rFonts w:eastAsia="BatangChe"/>
                      <w:sz w:val="18"/>
                      <w:szCs w:val="22"/>
                      <w:rtl/>
                    </w:rPr>
                    <w:t xml:space="preserve"> </w:t>
                  </w:r>
                  <w:r w:rsidRPr="004E6237">
                    <w:rPr>
                      <w:rFonts w:eastAsia="BatangChe" w:hint="cs"/>
                      <w:sz w:val="18"/>
                      <w:szCs w:val="22"/>
                      <w:rtl/>
                    </w:rPr>
                    <w:t>عند</w:t>
                  </w:r>
                  <w:r w:rsidRPr="004E6237">
                    <w:rPr>
                      <w:rFonts w:eastAsia="BatangChe"/>
                      <w:sz w:val="18"/>
                      <w:szCs w:val="22"/>
                      <w:rtl/>
                    </w:rPr>
                    <w:t xml:space="preserve"> تطبيق التفكير بشأن القدرة على الصمود، استُمدت من استعراض شامل لمختلف العوامل الاجتماعية والإيكولوجية التي تعزز قدرة النظم الاجتماعية والإيكولوجية </w:t>
                  </w:r>
                  <w:r w:rsidRPr="004E6237">
                    <w:rPr>
                      <w:rFonts w:eastAsia="BatangChe" w:hint="cs"/>
                      <w:sz w:val="18"/>
                      <w:szCs w:val="22"/>
                      <w:rtl/>
                    </w:rPr>
                    <w:t xml:space="preserve">ووظائف </w:t>
                  </w:r>
                  <w:r w:rsidRPr="004E6237">
                    <w:rPr>
                      <w:rFonts w:eastAsia="BatangChe"/>
                      <w:sz w:val="18"/>
                      <w:szCs w:val="22"/>
                      <w:rtl/>
                    </w:rPr>
                    <w:t>وخدمات النظم الإيكولوجية التي تقدمها هذ</w:t>
                  </w:r>
                  <w:r w:rsidRPr="004E6237">
                    <w:rPr>
                      <w:rFonts w:eastAsia="BatangChe" w:hint="cs"/>
                      <w:sz w:val="18"/>
                      <w:szCs w:val="22"/>
                      <w:rtl/>
                    </w:rPr>
                    <w:t>ه</w:t>
                  </w:r>
                  <w:r w:rsidRPr="004E6237">
                    <w:rPr>
                      <w:rFonts w:eastAsia="BatangChe"/>
                      <w:sz w:val="18"/>
                      <w:szCs w:val="22"/>
                      <w:rtl/>
                    </w:rPr>
                    <w:t xml:space="preserve"> النظم على الصمود (مركز </w:t>
                  </w:r>
                  <w:r w:rsidRPr="004E6237">
                    <w:rPr>
                      <w:rFonts w:eastAsia="BatangChe" w:hint="cs"/>
                      <w:sz w:val="18"/>
                      <w:szCs w:val="22"/>
                      <w:rtl/>
                    </w:rPr>
                    <w:t>ستوكهول</w:t>
                  </w:r>
                  <w:r w:rsidRPr="004E6237">
                    <w:rPr>
                      <w:rFonts w:eastAsia="BatangChe"/>
                      <w:sz w:val="18"/>
                      <w:szCs w:val="22"/>
                      <w:rtl/>
                    </w:rPr>
                    <w:t>م المعني بالقدرة على الصمود، 2014):</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rtl/>
                    </w:rPr>
                    <w:t>الحفاظ على التنوع والوفرة، على سبيل المثال من خلال الحفاظ على التنوع البيولوجي والإيكولوجي. والوفرة هي وجود مكونات متعددة</w:t>
                  </w:r>
                  <w:r w:rsidRPr="004E6237">
                    <w:rPr>
                      <w:rFonts w:eastAsia="BatangChe" w:cs="Simplified Arabic" w:hint="cs"/>
                      <w:rtl/>
                    </w:rPr>
                    <w:t xml:space="preserve"> يمكن أن تؤدي نفس الوظيفة، وأن تقدم "ضمانا" في نظام معين من خلال السماح لبعض المكونات بأن تعوض فقدان أو فشل مكونات أخرى.</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 xml:space="preserve">إدارة الترابط (الهيكل أو القوة التي تنتشر أو تهاجر أو تتفاعل بها الموارد أو الأنواع أو الجهات الفاعلة أو عبر مجالات البقاع أو الموائل أو المجالات الاجتماعية داخل نظام اجتماعي إيكولوجي معين)، على سبيل المثال من خلال تعزيز ترابط المناظر الطبيعية لدعم التنوع البيولوجي ووظائف وخدمات النظم الإيكولوجية التي تسهم في التكيف والحد من المخاطر. </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إدارة المتغيرات والتغذية الراجعة بطيئة التغير ("موصلات" ثنائية الاتجاه بين المتغيرات التي يمكن أن تعزز (تغذية راجعة إيجابية) أو تضعف (تغذية راجعة سلبية) التغيير).</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تعزيز التفكير بشأن نظم تكيفية معقدة من خلال اعتماد نهج إطاري للنظم (الخطوة ألف).</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تشجيع التعلم، على سبيل المثال من خلال استحداث طرائق مختلفة وفعالة للاتصالات.</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توسيع نطاق المشاركة، على سبيل المثال من خلال تخصيص موارد لتمكين المشاركة الفعالة.</w:t>
                  </w:r>
                </w:p>
                <w:p w:rsidR="000C66C6" w:rsidRPr="004E6237" w:rsidRDefault="000C66C6" w:rsidP="00CD26C5">
                  <w:pPr>
                    <w:pStyle w:val="ListParagraph"/>
                    <w:numPr>
                      <w:ilvl w:val="0"/>
                      <w:numId w:val="106"/>
                    </w:numPr>
                    <w:bidi/>
                    <w:spacing w:after="80" w:line="199" w:lineRule="auto"/>
                    <w:ind w:left="893" w:hanging="533"/>
                    <w:rPr>
                      <w:rFonts w:eastAsia="BatangChe" w:cs="Simplified Arabic"/>
                    </w:rPr>
                  </w:pPr>
                  <w:r w:rsidRPr="004E6237">
                    <w:rPr>
                      <w:rFonts w:eastAsia="BatangChe" w:cs="Simplified Arabic" w:hint="cs"/>
                      <w:rtl/>
                    </w:rPr>
                    <w:t>تعزيز نظم الحوكمة متعددة المراكز، بما في ذلك من خلال التعاون متعدد المؤسسات عبر النطاقات والثقافات.</w:t>
                  </w:r>
                </w:p>
              </w:txbxContent>
            </v:textbox>
            <w10:wrap type="square" anchorx="margin" anchory="margin"/>
          </v:shape>
        </w:pict>
      </w:r>
    </w:p>
    <w:p w:rsidR="00023979" w:rsidRPr="00C6215F" w:rsidRDefault="00023979" w:rsidP="00023979">
      <w:pPr>
        <w:spacing w:after="100" w:line="204" w:lineRule="auto"/>
        <w:ind w:right="-360"/>
        <w:rPr>
          <w:b/>
          <w:bCs/>
          <w:rtl/>
        </w:rPr>
      </w:pPr>
      <w:r w:rsidRPr="00C6215F">
        <w:rPr>
          <w:rFonts w:hint="cs"/>
          <w:b/>
          <w:bCs/>
          <w:rtl/>
        </w:rPr>
        <w:t>الخطوة واو-</w:t>
      </w:r>
      <w:r w:rsidRPr="00C6215F">
        <w:rPr>
          <w:rFonts w:hint="cs"/>
          <w:b/>
          <w:bCs/>
          <w:rtl/>
        </w:rPr>
        <w:tab/>
        <w:t>رصد وتقييم النُهج القائمة على النظم الإيكولوجية بشأن التكيف مع تغير المناخ والحد من مخاطر الكوارث</w:t>
      </w:r>
    </w:p>
    <w:p w:rsidR="00023979" w:rsidRPr="00C6215F" w:rsidRDefault="00023979" w:rsidP="00023979">
      <w:pPr>
        <w:spacing w:after="80" w:line="199" w:lineRule="auto"/>
        <w:rPr>
          <w:b/>
          <w:bCs/>
          <w:rtl/>
        </w:rPr>
      </w:pPr>
      <w:r w:rsidRPr="00C6215F">
        <w:rPr>
          <w:rFonts w:hint="cs"/>
          <w:b/>
          <w:bCs/>
          <w:rtl/>
        </w:rPr>
        <w:t>الغرض</w:t>
      </w:r>
    </w:p>
    <w:p w:rsidR="00023979" w:rsidRPr="00C6215F" w:rsidRDefault="00023979" w:rsidP="00023979">
      <w:pPr>
        <w:spacing w:after="100" w:line="204" w:lineRule="auto"/>
        <w:rPr>
          <w:rtl/>
        </w:rPr>
      </w:pPr>
      <w:r w:rsidRPr="00C6215F">
        <w:rPr>
          <w:rFonts w:hint="cs"/>
          <w:rtl/>
        </w:rPr>
        <w:t>36-</w:t>
      </w:r>
      <w:r w:rsidRPr="00C6215F">
        <w:rPr>
          <w:rFonts w:hint="cs"/>
          <w:rtl/>
        </w:rPr>
        <w:tab/>
        <w:t>تعتبر إجراءات رصد وتقييم النُهج القائمة على النظم الإيكولوجية بشأن التكيف مع تغير المناخ والحد من مخاطر الكوارث غاية في الأهمية لتقييم التقدم المحرز في التدخلات وكفاءتها وفعاليتها. ويمكّن الرصد من الإدارة التكيفية ويجري تنفيذه بشكل مثالي على مدار عمر التدخل. في حين أن</w:t>
      </w:r>
      <w:r>
        <w:rPr>
          <w:rFonts w:hint="cs"/>
          <w:rtl/>
        </w:rPr>
        <w:t xml:space="preserve"> التقييم هو عملية لتقييم مشاريع</w:t>
      </w:r>
      <w:r w:rsidRPr="00C6215F">
        <w:rPr>
          <w:rFonts w:hint="cs"/>
          <w:rtl/>
        </w:rPr>
        <w:t xml:space="preserve"> أو برامج أو سياسات جارية أو مستكملة، وتصميماتها وتنفيذها ونتائجها. ويمكن للرصد والتقييم أن يشجع على التعلم المستمر لمساعدة توجيه السياسات والممارسات في المستقبل وإدخال التعديلات المناسبة.</w:t>
      </w:r>
    </w:p>
    <w:p w:rsidR="00023979" w:rsidRPr="00C6215F" w:rsidRDefault="00023979" w:rsidP="00023979">
      <w:pPr>
        <w:spacing w:after="100" w:line="204" w:lineRule="auto"/>
        <w:rPr>
          <w:rtl/>
        </w:rPr>
      </w:pPr>
      <w:r w:rsidRPr="00C6215F">
        <w:rPr>
          <w:rFonts w:hint="cs"/>
          <w:rtl/>
        </w:rPr>
        <w:t>37-</w:t>
      </w:r>
      <w:r w:rsidRPr="00C6215F">
        <w:rPr>
          <w:rFonts w:hint="cs"/>
          <w:rtl/>
        </w:rPr>
        <w:tab/>
        <w:t xml:space="preserve">وهناك توجه نحو اتباع نُهج متكاملة للرصد والتقييم من مجالات للتكيف والحد من مخاطر الكوارث على حد سواء. ووُضع عدد وفير من النُهج والأطر، بما في ذلك أطر منطقية وإدارة قائمة على النتائج. وترد أدناه إجراءات واعتبارات رئيسية </w:t>
      </w:r>
      <w:r w:rsidRPr="00C6215F">
        <w:rPr>
          <w:rFonts w:hint="cs"/>
          <w:rtl/>
        </w:rPr>
        <w:lastRenderedPageBreak/>
        <w:t>تتعلق بالرصد والتقييم.</w:t>
      </w:r>
      <w:r w:rsidRPr="00C6215F">
        <w:rPr>
          <w:vertAlign w:val="superscript"/>
          <w:rtl/>
        </w:rPr>
        <w:footnoteReference w:id="81"/>
      </w:r>
      <w:r w:rsidRPr="00C6215F">
        <w:rPr>
          <w:rFonts w:hint="cs"/>
          <w:rtl/>
        </w:rPr>
        <w:t xml:space="preserve"> وتُتاح الأدوات ذات الصلة بهذه الخطوة في صندوق أدوات الخطوة هاء: رصد وتقييم النُهج القائمة على النظم الإيكولوجية بشأن التكيف مع تغير المناخ والحد من مخاطر الكوارث، وتُتاح كمعلومات تكميلية.</w:t>
      </w:r>
      <w:r w:rsidRPr="00C6215F">
        <w:rPr>
          <w:vertAlign w:val="superscript"/>
          <w:rtl/>
        </w:rPr>
        <w:footnoteReference w:id="82"/>
      </w:r>
    </w:p>
    <w:p w:rsidR="00023979" w:rsidRPr="00C6215F" w:rsidRDefault="00023979" w:rsidP="008D4179">
      <w:pPr>
        <w:spacing w:after="100" w:line="204" w:lineRule="auto"/>
        <w:rPr>
          <w:b/>
          <w:bCs/>
          <w:rtl/>
        </w:rPr>
      </w:pPr>
      <w:r w:rsidRPr="00C6215F">
        <w:rPr>
          <w:rFonts w:hint="cs"/>
          <w:b/>
          <w:bCs/>
          <w:rtl/>
        </w:rPr>
        <w:t>النتائج</w:t>
      </w:r>
    </w:p>
    <w:p w:rsidR="00023979" w:rsidRPr="00C6215F" w:rsidRDefault="00023979" w:rsidP="00023979">
      <w:pPr>
        <w:spacing w:after="100" w:line="204" w:lineRule="auto"/>
        <w:ind w:firstLine="720"/>
        <w:rPr>
          <w:rtl/>
        </w:rPr>
      </w:pPr>
      <w:r w:rsidRPr="00C6215F">
        <w:rPr>
          <w:rFonts w:hint="cs"/>
          <w:rtl/>
        </w:rPr>
        <w:t>إطار للرصد والتقييم يتميز بأنه واقعي وتشغيلي وتكراري، بما في ذلك بروتوكول لجمع وتقييم البيانات، ومعلومات مستمدة من نتائج وآثار التدخلات</w:t>
      </w:r>
    </w:p>
    <w:p w:rsidR="00023979" w:rsidRPr="00C6215F" w:rsidRDefault="00023979" w:rsidP="00023979">
      <w:pPr>
        <w:spacing w:after="100" w:line="204" w:lineRule="auto"/>
        <w:rPr>
          <w:b/>
          <w:bCs/>
          <w:rtl/>
        </w:rPr>
      </w:pPr>
      <w:r w:rsidRPr="00C6215F">
        <w:rPr>
          <w:rFonts w:hint="cs"/>
          <w:b/>
          <w:bCs/>
          <w:rtl/>
        </w:rPr>
        <w:t>الإجراءات الرئيسية</w:t>
      </w:r>
    </w:p>
    <w:p w:rsidR="00023979" w:rsidRPr="00C6215F" w:rsidRDefault="00023979" w:rsidP="00023979">
      <w:pPr>
        <w:spacing w:after="100" w:line="204" w:lineRule="auto"/>
        <w:ind w:firstLine="720"/>
        <w:rPr>
          <w:rtl/>
        </w:rPr>
      </w:pPr>
      <w:r w:rsidRPr="00C6215F">
        <w:rPr>
          <w:rFonts w:hint="cs"/>
          <w:rtl/>
        </w:rPr>
        <w:t>(أ)</w:t>
      </w:r>
      <w:r w:rsidRPr="00C6215F">
        <w:rPr>
          <w:rFonts w:hint="cs"/>
          <w:rtl/>
        </w:rPr>
        <w:tab/>
        <w:t>إعداد إطار للرصد والتقييم، مع تحديد أهدافه، والجهات العاملة به (التي تستخدم معلومات من أحد تقييمات عملية الرصد والتقييم)، وجمع البيانات، وطريقة نشر المعلومات، والقدرات التقنية والمالية المتاحة؛</w:t>
      </w:r>
    </w:p>
    <w:p w:rsidR="00023979" w:rsidRPr="00C6215F" w:rsidRDefault="00023979" w:rsidP="00023979">
      <w:pPr>
        <w:spacing w:after="100" w:line="204" w:lineRule="auto"/>
        <w:ind w:firstLine="720"/>
        <w:rPr>
          <w:rtl/>
        </w:rPr>
      </w:pPr>
      <w:r w:rsidRPr="00C6215F">
        <w:rPr>
          <w:rFonts w:hint="cs"/>
          <w:rtl/>
        </w:rPr>
        <w:t>(ب)</w:t>
      </w:r>
      <w:r w:rsidRPr="00C6215F">
        <w:rPr>
          <w:rFonts w:hint="cs"/>
          <w:rtl/>
        </w:rPr>
        <w:tab/>
        <w:t>إعداد إطار للنتائج/الحصائل ضمن إطار الرصد والتقييم يذكر بالتفصيل التأثيرات المتوقعة لتدخلات النُهج القائمة على النظم الإيكولوجية بشأن التكيف مع تغير المناخ والحد من مخاطر الكوارث، بما في ذلك الحصائل القصيرة الأجل والمتوسطة الأجل والنتائج الطويلة الأجل؛</w:t>
      </w:r>
    </w:p>
    <w:p w:rsidR="00023979" w:rsidRPr="00C6215F" w:rsidRDefault="00023979" w:rsidP="00023979">
      <w:pPr>
        <w:spacing w:after="100" w:line="204" w:lineRule="auto"/>
        <w:ind w:firstLine="720"/>
        <w:rPr>
          <w:rtl/>
        </w:rPr>
      </w:pPr>
      <w:r w:rsidRPr="00C6215F">
        <w:rPr>
          <w:rFonts w:hint="cs"/>
          <w:rtl/>
        </w:rPr>
        <w:t>(ج)</w:t>
      </w:r>
      <w:r w:rsidRPr="00C6215F">
        <w:rPr>
          <w:rFonts w:hint="cs"/>
          <w:rtl/>
        </w:rPr>
        <w:tab/>
        <w:t>وضع مؤشرات على النطاقات الزمانية والمكانية الملائمة لرصد كمية التغير ونوعه:</w:t>
      </w:r>
    </w:p>
    <w:p w:rsidR="00023979" w:rsidRPr="00C6215F" w:rsidRDefault="00023979" w:rsidP="00023979">
      <w:pPr>
        <w:spacing w:after="100" w:line="204" w:lineRule="auto"/>
        <w:ind w:left="1440" w:hanging="720"/>
        <w:rPr>
          <w:rtl/>
        </w:rPr>
      </w:pPr>
      <w:r w:rsidRPr="00C6215F">
        <w:rPr>
          <w:rFonts w:hint="cs"/>
          <w:rtl/>
        </w:rPr>
        <w:t>(1)</w:t>
      </w:r>
      <w:r w:rsidRPr="00C6215F">
        <w:rPr>
          <w:rFonts w:hint="cs"/>
          <w:rtl/>
        </w:rPr>
        <w:tab/>
        <w:t>ضمان أن تشتمل عملية الرصد والتقييم على مؤشرات</w:t>
      </w:r>
      <w:r w:rsidRPr="00C6215F">
        <w:rPr>
          <w:vertAlign w:val="superscript"/>
          <w:rtl/>
        </w:rPr>
        <w:footnoteReference w:id="83"/>
      </w:r>
      <w:r w:rsidRPr="00C6215F">
        <w:rPr>
          <w:rFonts w:hint="cs"/>
          <w:rtl/>
        </w:rPr>
        <w:t xml:space="preserve"> يتم صياغتها وفقا لمعايير سمارت </w:t>
      </w:r>
      <w:r w:rsidRPr="00C6215F">
        <w:rPr>
          <w:lang w:val="en-GB"/>
        </w:rPr>
        <w:t>SMART</w:t>
      </w:r>
      <w:r w:rsidRPr="00C6215F">
        <w:rPr>
          <w:rFonts w:hint="cs"/>
          <w:rtl/>
        </w:rPr>
        <w:t xml:space="preserve">، أي محددة، وقابلة للقياس، وقابلة للتحقيق والإسناد، وذات صلة وواقعية، ومرتبطة بزمن معين، ومناسبة التوقيت، ويمكن تعقبها، ومستهدفة و/أو مبادئ </w:t>
      </w:r>
      <w:r w:rsidRPr="00C6215F">
        <w:rPr>
          <w:lang w:val="en-GB"/>
        </w:rPr>
        <w:t>ADAPT</w:t>
      </w:r>
      <w:r w:rsidRPr="00C6215F">
        <w:rPr>
          <w:rFonts w:hint="cs"/>
          <w:rtl/>
        </w:rPr>
        <w:t xml:space="preserve"> (تكيفية، ودينامية، ونشطة، وتشاركية، وشاملة)؛</w:t>
      </w:r>
    </w:p>
    <w:p w:rsidR="00023979" w:rsidRPr="00C6215F" w:rsidRDefault="00023979" w:rsidP="00023979">
      <w:pPr>
        <w:spacing w:after="100" w:line="204" w:lineRule="auto"/>
        <w:ind w:left="1440" w:hanging="720"/>
        <w:rPr>
          <w:rtl/>
        </w:rPr>
      </w:pPr>
      <w:r w:rsidRPr="00C6215F">
        <w:rPr>
          <w:rFonts w:hint="cs"/>
          <w:rtl/>
        </w:rPr>
        <w:t>(2)</w:t>
      </w:r>
      <w:r w:rsidRPr="00C6215F">
        <w:rPr>
          <w:rFonts w:hint="cs"/>
          <w:rtl/>
        </w:rPr>
        <w:tab/>
        <w:t>ضمان أن تُوجه المؤشرات إلى هشاشة الأوضاع والمخاطر وتركز عليها، وأنها قادرة على قياس المخاطر العالية مقابل المخاطر المنخفضة والكيفية التي يمكن بها لتدخلات النُهج القائمة على النظم الإيكولوجية بشأن التكيف مع تغير المناخ والحد من مخاطر الكوارث أن تقلل المخاطر بمرور الوقت. ومن المهم تحديد "طبقات الخطر" وتحديد أولوية المخاطر التي ينبغي قياسها باستخدام المؤشرات؛</w:t>
      </w:r>
    </w:p>
    <w:p w:rsidR="00023979" w:rsidRPr="00C6215F" w:rsidRDefault="00023979" w:rsidP="00023979">
      <w:pPr>
        <w:spacing w:after="100" w:line="204" w:lineRule="auto"/>
        <w:ind w:left="1440" w:hanging="720"/>
        <w:rPr>
          <w:rtl/>
        </w:rPr>
      </w:pPr>
      <w:r w:rsidRPr="00C6215F">
        <w:rPr>
          <w:rFonts w:hint="cs"/>
          <w:rtl/>
        </w:rPr>
        <w:t>(3)</w:t>
      </w:r>
      <w:r w:rsidRPr="00C6215F">
        <w:rPr>
          <w:rFonts w:hint="cs"/>
          <w:rtl/>
        </w:rPr>
        <w:tab/>
        <w:t>استخدام غايات ومؤشرات في إطار أهداف التنمية المستدامة، وأهداف أيشي للتنوع البيولوجي والأطر الأخرى ذات الصلة بهدف تعقب التقدم المحرز في الإدارة المستدامة للنظم الإيكولوجية وتحسين التنوع البيولوجي، وهو ما يعمل أيضا على تعزيز القدرة على الصمود أمام آثار تغير المناخ والكوارث؛</w:t>
      </w:r>
    </w:p>
    <w:p w:rsidR="00023979" w:rsidRPr="00C6215F" w:rsidRDefault="00023979" w:rsidP="00023979">
      <w:pPr>
        <w:spacing w:after="100" w:line="204" w:lineRule="auto"/>
        <w:ind w:left="1440" w:hanging="720"/>
        <w:rPr>
          <w:rtl/>
        </w:rPr>
      </w:pPr>
      <w:r w:rsidRPr="00C6215F">
        <w:rPr>
          <w:rFonts w:hint="cs"/>
          <w:rtl/>
        </w:rPr>
        <w:t>(4)</w:t>
      </w:r>
      <w:r w:rsidRPr="00C6215F">
        <w:rPr>
          <w:rFonts w:hint="cs"/>
          <w:rtl/>
        </w:rPr>
        <w:tab/>
        <w:t>مواءمة المؤشرات مع الأطر القائمة للرصد والتقييم، حيثما أمكن؛</w:t>
      </w:r>
    </w:p>
    <w:p w:rsidR="00023979" w:rsidRPr="00C6215F" w:rsidRDefault="00023979" w:rsidP="00023979">
      <w:pPr>
        <w:spacing w:after="100" w:line="204" w:lineRule="auto"/>
        <w:ind w:firstLine="720"/>
        <w:rPr>
          <w:rtl/>
        </w:rPr>
      </w:pPr>
      <w:r w:rsidRPr="00C6215F">
        <w:rPr>
          <w:rFonts w:hint="cs"/>
          <w:rtl/>
        </w:rPr>
        <w:t>(د)</w:t>
      </w:r>
      <w:r w:rsidRPr="00C6215F">
        <w:rPr>
          <w:rFonts w:hint="cs"/>
          <w:rtl/>
        </w:rPr>
        <w:tab/>
        <w:t>تحديد خطوط الأساس لتقييم الفعالية؛</w:t>
      </w:r>
    </w:p>
    <w:p w:rsidR="00023979" w:rsidRPr="00C6215F" w:rsidRDefault="00023979" w:rsidP="00023979">
      <w:pPr>
        <w:spacing w:after="100" w:line="204" w:lineRule="auto"/>
        <w:ind w:firstLine="720"/>
        <w:rPr>
          <w:rtl/>
        </w:rPr>
      </w:pPr>
      <w:r w:rsidRPr="00C6215F">
        <w:rPr>
          <w:rFonts w:hint="cs"/>
          <w:rtl/>
        </w:rPr>
        <w:t>(ﻫ)</w:t>
      </w:r>
      <w:r w:rsidRPr="00C6215F">
        <w:rPr>
          <w:rFonts w:hint="cs"/>
          <w:rtl/>
        </w:rPr>
        <w:tab/>
        <w:t>استخدام أدوات تشاركية وشاملة ملائمة لرصد وتقييم النُهج القائمة على النظم الإيكولوجية بشأن التكيف مع تغير المناخ والحد من مخاطر الكوارث، بما يضمن مشاركة المجتمعات المحلية، وأصحاب المصلحة وأصحاب الحقوق.</w:t>
      </w:r>
      <w:r w:rsidRPr="00C6215F">
        <w:rPr>
          <w:vertAlign w:val="superscript"/>
          <w:rtl/>
        </w:rPr>
        <w:footnoteReference w:id="84"/>
      </w:r>
      <w:r w:rsidRPr="00C6215F">
        <w:rPr>
          <w:rFonts w:hint="cs"/>
          <w:rtl/>
        </w:rPr>
        <w:t xml:space="preserve"> وضمان مشاركة الخبراء المعنيين، من قبيل المتخصصين في حالة النظم الإيكولوجية/الأ</w:t>
      </w:r>
      <w:r>
        <w:rPr>
          <w:rFonts w:hint="cs"/>
          <w:rtl/>
        </w:rPr>
        <w:t>نواع، ووظيفة النظام الإيكولوجي؛</w:t>
      </w:r>
    </w:p>
    <w:p w:rsidR="00BB5C54" w:rsidRPr="008D4179" w:rsidRDefault="00023979" w:rsidP="008D4179">
      <w:pPr>
        <w:spacing w:after="100" w:line="204" w:lineRule="auto"/>
        <w:ind w:firstLine="720"/>
        <w:rPr>
          <w:rtl/>
        </w:rPr>
      </w:pPr>
      <w:r w:rsidRPr="00C6215F">
        <w:rPr>
          <w:rFonts w:hint="cs"/>
          <w:rtl/>
        </w:rPr>
        <w:t>(و)</w:t>
      </w:r>
      <w:r w:rsidRPr="00C6215F">
        <w:rPr>
          <w:rFonts w:hint="cs"/>
          <w:rtl/>
        </w:rPr>
        <w:tab/>
        <w:t>اختبار المؤشرات المتعلقة بالنُهج القائمة على النظم الإيكولوجية بشأن التكيف مع تغير المناخ والحد من مخاطر الكوارث فيما يتعلق بأهميتها المحلية.</w:t>
      </w:r>
      <w:r w:rsidR="00BB5C54">
        <w:rPr>
          <w:sz w:val="24"/>
          <w:rtl/>
        </w:rPr>
        <w:br w:type="page"/>
      </w:r>
    </w:p>
    <w:p w:rsidR="00BB5C54" w:rsidRPr="00AE3530" w:rsidRDefault="00BB5C54" w:rsidP="00B55747">
      <w:pPr>
        <w:pStyle w:val="Heading2"/>
        <w:rPr>
          <w:rtl/>
        </w:rPr>
      </w:pPr>
      <w:bookmarkStart w:id="13" w:name="_Toc6071548"/>
      <w:bookmarkStart w:id="14" w:name="_Toc6139967"/>
      <w:r>
        <w:rPr>
          <w:rFonts w:hint="cs"/>
          <w:rtl/>
        </w:rPr>
        <w:lastRenderedPageBreak/>
        <w:t>المقرر 14/6</w:t>
      </w:r>
      <w:r>
        <w:rPr>
          <w:rFonts w:hint="cs"/>
          <w:rtl/>
        </w:rPr>
        <w:tab/>
      </w:r>
      <w:r w:rsidRPr="00AE3530">
        <w:rPr>
          <w:rFonts w:hint="cs"/>
          <w:rtl/>
        </w:rPr>
        <w:t>حفظ الملقحات واستخدامها المستدام</w:t>
      </w:r>
      <w:bookmarkEnd w:id="13"/>
      <w:bookmarkEnd w:id="14"/>
    </w:p>
    <w:p w:rsidR="00BB5C54" w:rsidRPr="00E11CAE" w:rsidRDefault="00BB5C54" w:rsidP="00BB5C54">
      <w:pPr>
        <w:tabs>
          <w:tab w:val="left" w:pos="4369"/>
        </w:tabs>
        <w:ind w:firstLine="720"/>
        <w:rPr>
          <w:rFonts w:eastAsia="Times New Roman"/>
          <w:rtl/>
        </w:rPr>
      </w:pPr>
      <w:r w:rsidRPr="00E11CAE">
        <w:rPr>
          <w:rFonts w:eastAsia="Times New Roman" w:hint="cs"/>
          <w:i/>
          <w:iCs/>
          <w:rtl/>
        </w:rPr>
        <w:t>إن مؤتمر الأطراف</w:t>
      </w:r>
      <w:r w:rsidRPr="00E11CAE">
        <w:rPr>
          <w:rFonts w:eastAsia="Times New Roman" w:hint="cs"/>
          <w:rtl/>
        </w:rPr>
        <w:t>،</w:t>
      </w:r>
    </w:p>
    <w:p w:rsidR="00BB5C54" w:rsidRPr="00E11CAE" w:rsidRDefault="00BB5C54" w:rsidP="00BB5C54">
      <w:pPr>
        <w:ind w:firstLine="720"/>
        <w:rPr>
          <w:rFonts w:eastAsia="Times New Roman"/>
          <w:rtl/>
        </w:rPr>
      </w:pPr>
      <w:r w:rsidRPr="00E11CAE">
        <w:rPr>
          <w:rFonts w:eastAsia="Times New Roman" w:hint="cs"/>
          <w:i/>
          <w:iCs/>
          <w:rtl/>
        </w:rPr>
        <w:t>إذ يشير</w:t>
      </w:r>
      <w:r w:rsidRPr="00E11CAE">
        <w:rPr>
          <w:rFonts w:eastAsia="Times New Roman" w:hint="cs"/>
          <w:rtl/>
        </w:rPr>
        <w:t xml:space="preserve"> إلى المقرر </w:t>
      </w:r>
      <w:hyperlink r:id="rId35" w:history="1">
        <w:r w:rsidRPr="00E11CAE">
          <w:rPr>
            <w:rFonts w:eastAsia="Times New Roman" w:hint="cs"/>
            <w:color w:val="0000FF"/>
            <w:u w:val="single"/>
            <w:rtl/>
          </w:rPr>
          <w:t>3/11</w:t>
        </w:r>
      </w:hyperlink>
      <w:r w:rsidRPr="00E11CAE">
        <w:rPr>
          <w:rFonts w:eastAsia="Times New Roman" w:hint="cs"/>
          <w:rtl/>
        </w:rPr>
        <w:t xml:space="preserve">، المرفق الثالث، والمقرر </w:t>
      </w:r>
      <w:hyperlink r:id="rId36" w:history="1">
        <w:r w:rsidRPr="00E11CAE">
          <w:rPr>
            <w:rFonts w:eastAsia="Times New Roman" w:hint="cs"/>
            <w:color w:val="0000FF"/>
            <w:u w:val="single"/>
            <w:rtl/>
          </w:rPr>
          <w:t>5/5</w:t>
        </w:r>
      </w:hyperlink>
      <w:r w:rsidRPr="00E11CAE">
        <w:rPr>
          <w:rFonts w:eastAsia="Times New Roman" w:hint="cs"/>
          <w:rtl/>
        </w:rPr>
        <w:t xml:space="preserve">، والمقرر </w:t>
      </w:r>
      <w:hyperlink r:id="rId37" w:history="1">
        <w:r w:rsidRPr="00E11CAE">
          <w:rPr>
            <w:rFonts w:eastAsia="Times New Roman" w:hint="cs"/>
            <w:color w:val="0000FF"/>
            <w:u w:val="single"/>
            <w:rtl/>
          </w:rPr>
          <w:t>6/5</w:t>
        </w:r>
      </w:hyperlink>
      <w:r w:rsidRPr="00E11CAE">
        <w:rPr>
          <w:rFonts w:eastAsia="Times New Roman" w:hint="cs"/>
          <w:rtl/>
        </w:rPr>
        <w:t xml:space="preserve"> والمقرر </w:t>
      </w:r>
      <w:hyperlink r:id="rId38" w:history="1">
        <w:r w:rsidRPr="00E11CAE">
          <w:rPr>
            <w:rFonts w:eastAsia="Times New Roman" w:hint="cs"/>
            <w:color w:val="0000FF"/>
            <w:u w:val="single"/>
            <w:rtl/>
          </w:rPr>
          <w:t>13/15</w:t>
        </w:r>
      </w:hyperlink>
      <w:r w:rsidRPr="00E11CAE">
        <w:rPr>
          <w:rFonts w:eastAsia="Times New Roman" w:hint="cs"/>
          <w:rtl/>
        </w:rPr>
        <w:t>،</w:t>
      </w:r>
    </w:p>
    <w:p w:rsidR="00BB5C54" w:rsidRPr="00E11CAE" w:rsidRDefault="00BB5C54" w:rsidP="00BB5C54">
      <w:pPr>
        <w:ind w:firstLine="720"/>
        <w:rPr>
          <w:rFonts w:eastAsia="Times New Roman"/>
          <w:rtl/>
        </w:rPr>
      </w:pPr>
      <w:r w:rsidRPr="00E11CAE">
        <w:rPr>
          <w:rFonts w:eastAsia="Times New Roman" w:hint="cs"/>
          <w:i/>
          <w:iCs/>
          <w:rtl/>
        </w:rPr>
        <w:t>وإذ يلاحظ</w:t>
      </w:r>
      <w:r w:rsidRPr="00E11CAE">
        <w:rPr>
          <w:rFonts w:eastAsia="Times New Roman" w:hint="cs"/>
          <w:rtl/>
        </w:rPr>
        <w:t xml:space="preserve"> أهمية الملقحات والتلقيح لجميع النظم الإيكولوجية، بما في ذلك خارج نطاق دورها في النظم الزراعية ونظم إنتاج الأغذية، ولا سيما لسبل عيش وثقافة الشعوب الأصلية والمجتمعات المحلية، </w:t>
      </w:r>
      <w:r w:rsidRPr="00E11CAE">
        <w:rPr>
          <w:rFonts w:eastAsia="Times New Roman" w:hint="cs"/>
          <w:i/>
          <w:iCs/>
          <w:rtl/>
        </w:rPr>
        <w:t>وإذ يقر</w:t>
      </w:r>
      <w:r w:rsidRPr="00E11CAE">
        <w:rPr>
          <w:rFonts w:eastAsia="Times New Roman" w:hint="cs"/>
          <w:rtl/>
        </w:rPr>
        <w:t xml:space="preserve"> بالمساهمة اله</w:t>
      </w:r>
      <w:r>
        <w:rPr>
          <w:rFonts w:eastAsia="Times New Roman" w:hint="cs"/>
          <w:rtl/>
        </w:rPr>
        <w:t xml:space="preserve">امة للأنشطة لتشجيع حفظ الملقحات </w:t>
      </w:r>
      <w:r w:rsidRPr="00E11CAE">
        <w:rPr>
          <w:rFonts w:eastAsia="Times New Roman" w:hint="cs"/>
          <w:rtl/>
        </w:rPr>
        <w:t>ووظائف وخدمات التلقيح واستخدامها المستدام في تحقيق أهداف أيشي للتنوع البيولوجي وكذلك أهداف التنمية المستدامة،</w:t>
      </w:r>
    </w:p>
    <w:p w:rsidR="00BB5C54" w:rsidRPr="00E11CAE" w:rsidRDefault="00BB5C54" w:rsidP="00BB5C54">
      <w:pPr>
        <w:ind w:firstLine="720"/>
        <w:rPr>
          <w:rFonts w:eastAsia="Times New Roman"/>
        </w:rPr>
      </w:pPr>
      <w:r w:rsidRPr="00E11CAE">
        <w:rPr>
          <w:rFonts w:eastAsia="Times New Roman" w:hint="cs"/>
          <w:i/>
          <w:iCs/>
          <w:rtl/>
        </w:rPr>
        <w:t>واقتناعا منه</w:t>
      </w:r>
      <w:r w:rsidRPr="00E11CAE">
        <w:rPr>
          <w:rFonts w:eastAsia="Times New Roman" w:hint="cs"/>
          <w:rtl/>
        </w:rPr>
        <w:t xml:space="preserve"> بأن أنشطة تشجيع حفظ الملقحات واستخدامها المستدام ووظائف وخدمات التلقيح عناصر رئيسية في مرحلة الانتقال إلى تحقيق نظم غذائية أكثر استدامة من خلال تأييد اعتماد ممارسات أكثر استدامة بين القطاعات الزراعية وعبر القطاعات،</w:t>
      </w:r>
    </w:p>
    <w:p w:rsidR="00BB5C54" w:rsidRDefault="00BB5C54" w:rsidP="00FF7FA5">
      <w:pPr>
        <w:numPr>
          <w:ilvl w:val="0"/>
          <w:numId w:val="19"/>
        </w:numPr>
        <w:ind w:left="0" w:firstLine="706"/>
        <w:rPr>
          <w:rFonts w:eastAsia="Times New Roman"/>
        </w:rPr>
      </w:pPr>
      <w:r w:rsidRPr="00E11CAE">
        <w:rPr>
          <w:rFonts w:eastAsia="Times New Roman" w:hint="cs"/>
          <w:i/>
          <w:iCs/>
          <w:rtl/>
        </w:rPr>
        <w:t>يعتمد</w:t>
      </w:r>
      <w:r w:rsidRPr="00E11CAE">
        <w:rPr>
          <w:rFonts w:eastAsia="Times New Roman" w:hint="cs"/>
          <w:rtl/>
        </w:rPr>
        <w:t xml:space="preserve"> خطة العمل 2018-2030 للمبادرة الدولية لحفظ الملقحات واستخدامها المستدام على النحو الوارد في المرفق الأول </w:t>
      </w:r>
      <w:r>
        <w:rPr>
          <w:rFonts w:eastAsia="Times New Roman" w:hint="cs"/>
          <w:rtl/>
        </w:rPr>
        <w:t>بهذا المقرر</w:t>
      </w:r>
      <w:r w:rsidRPr="00E11CAE">
        <w:rPr>
          <w:rFonts w:eastAsia="Times New Roman" w:hint="cs"/>
          <w:rtl/>
        </w:rPr>
        <w:t>، للتنفيذ وفقا للتشريعات الوطنية وللظروف الوطنية؛</w:t>
      </w:r>
    </w:p>
    <w:p w:rsidR="00BB5C54" w:rsidRDefault="00BB5C54" w:rsidP="00FF7FA5">
      <w:pPr>
        <w:numPr>
          <w:ilvl w:val="0"/>
          <w:numId w:val="19"/>
        </w:numPr>
        <w:ind w:left="0" w:firstLine="706"/>
        <w:rPr>
          <w:rFonts w:eastAsia="Times New Roman"/>
        </w:rPr>
      </w:pPr>
      <w:r w:rsidRPr="00AE3530">
        <w:rPr>
          <w:rFonts w:eastAsia="Times New Roman" w:hint="cs"/>
          <w:i/>
          <w:iCs/>
          <w:rtl/>
        </w:rPr>
        <w:t>يحيط علما مع التقدير</w:t>
      </w:r>
      <w:r w:rsidRPr="00AE3530">
        <w:rPr>
          <w:rFonts w:eastAsia="Times New Roman" w:hint="cs"/>
          <w:rtl/>
        </w:rPr>
        <w:t xml:space="preserve"> بموجز المعلومات عن أهمية الملقحات والتلقيح بالنسبة إلى حفظ التنوع البيولوجي واستخدامه المستدام في جميع النظم الإيكولوجية خارج نطاق دورها في الزراعة وإنتاج الأغذية</w:t>
      </w:r>
      <w:r>
        <w:rPr>
          <w:rFonts w:eastAsia="Times New Roman" w:hint="cs"/>
          <w:rtl/>
        </w:rPr>
        <w:t>،</w:t>
      </w:r>
      <w:r w:rsidRPr="00AE3530">
        <w:rPr>
          <w:rFonts w:eastAsia="Times New Roman" w:hint="cs"/>
          <w:rtl/>
        </w:rPr>
        <w:t xml:space="preserve"> الوارد في المرفق الثاني بهذا المقرر؛</w:t>
      </w:r>
    </w:p>
    <w:p w:rsidR="00BB5C54" w:rsidRDefault="00BB5C54" w:rsidP="00FF7FA5">
      <w:pPr>
        <w:numPr>
          <w:ilvl w:val="0"/>
          <w:numId w:val="19"/>
        </w:numPr>
        <w:ind w:left="0" w:firstLine="706"/>
        <w:rPr>
          <w:rFonts w:eastAsia="Times New Roman"/>
        </w:rPr>
      </w:pPr>
      <w:r w:rsidRPr="00AE3530">
        <w:rPr>
          <w:rFonts w:eastAsia="Times New Roman" w:hint="cs"/>
          <w:i/>
          <w:iCs/>
          <w:rtl/>
        </w:rPr>
        <w:t>يشجع</w:t>
      </w:r>
      <w:r w:rsidRPr="00AE3530">
        <w:rPr>
          <w:rFonts w:eastAsia="Times New Roman" w:hint="cs"/>
          <w:rtl/>
        </w:rPr>
        <w:t xml:space="preserve"> الأطراف، والحكومات الأخرى والمنظمات والشبكات ذات الصلة على دعم وتنفيذ الأنشطة ذات الصلة الخاصة بالمبادرة الدولية لحفظ الملقحات واستخدامها المستدام، من خلال أمور منها دمج التدابير المناسبة في تنفيذ الاستراتيجيات وخطط العمل الوطنية للتنوع البيولوجي، فضلا عن الاستراتيجيات وخطط العمل دون الوطنية والمحلية للتنوع البيولوجي، حسب الاقتضاء، والسياسات والتشريعات والبرامج ذات الصلة؛</w:t>
      </w:r>
    </w:p>
    <w:p w:rsidR="00BB5C54" w:rsidRDefault="00BB5C54" w:rsidP="00FF7FA5">
      <w:pPr>
        <w:numPr>
          <w:ilvl w:val="0"/>
          <w:numId w:val="19"/>
        </w:numPr>
        <w:ind w:left="0" w:firstLine="706"/>
        <w:rPr>
          <w:rFonts w:eastAsia="Times New Roman"/>
        </w:rPr>
      </w:pPr>
      <w:r w:rsidRPr="00AE3530">
        <w:rPr>
          <w:rFonts w:hint="cs"/>
          <w:i/>
          <w:iCs/>
          <w:sz w:val="20"/>
          <w:rtl/>
        </w:rPr>
        <w:t>يحث</w:t>
      </w:r>
      <w:r w:rsidRPr="00AE3530">
        <w:rPr>
          <w:rFonts w:hint="cs"/>
          <w:sz w:val="20"/>
          <w:rtl/>
        </w:rPr>
        <w:t xml:space="preserve"> الأطراف </w:t>
      </w:r>
      <w:r w:rsidRPr="00AE3530">
        <w:rPr>
          <w:rFonts w:hint="cs"/>
          <w:i/>
          <w:iCs/>
          <w:sz w:val="20"/>
          <w:rtl/>
        </w:rPr>
        <w:t>ويدعو</w:t>
      </w:r>
      <w:r w:rsidRPr="00AE3530">
        <w:rPr>
          <w:rFonts w:hint="cs"/>
          <w:sz w:val="20"/>
          <w:rtl/>
        </w:rPr>
        <w:t xml:space="preserve"> الحكومات الأخرى إلى معالجة محركات تقلص الملقحات البرية والمدجنة في جميع النظم الإيكولوجية، بما في ذلك المناطق الأحيائية والنظم الزراعية الأكثر ضعفا، وعلى النحو المحدد في المرفق الثاني بهذا المقرر، </w:t>
      </w:r>
      <w:r>
        <w:rPr>
          <w:rFonts w:hint="cs"/>
          <w:sz w:val="20"/>
          <w:rtl/>
        </w:rPr>
        <w:t xml:space="preserve">مع </w:t>
      </w:r>
      <w:r w:rsidRPr="00AE3530">
        <w:rPr>
          <w:rFonts w:hint="cs"/>
          <w:sz w:val="20"/>
          <w:rtl/>
        </w:rPr>
        <w:t>إيلاء عناية وثيقة خاصة على المستويين المحلي والإقليمي لمخاطر إدخال ونشر الأنواع الغريبة الغازية (النباتات، والملقحات، والمفترسات، والآفات والطفيليات، والعوامل المسببة للأمراض) التي تلحق ضررا بالملقحات وبموارد النباتات التي تعتمد عليها، وتجن</w:t>
      </w:r>
      <w:r>
        <w:rPr>
          <w:rFonts w:hint="cs"/>
          <w:sz w:val="20"/>
          <w:rtl/>
        </w:rPr>
        <w:t>ب تدهور الأراضي أو انعكاس مساره</w:t>
      </w:r>
      <w:r w:rsidRPr="00AE3530">
        <w:rPr>
          <w:rFonts w:hint="cs"/>
          <w:sz w:val="20"/>
          <w:rtl/>
        </w:rPr>
        <w:t xml:space="preserve"> واستعادة موائل الملقحات المفقودة أو المتفتتة، بالإضافة إلى معالجة ال</w:t>
      </w:r>
      <w:r>
        <w:rPr>
          <w:rFonts w:hint="cs"/>
          <w:sz w:val="20"/>
          <w:rtl/>
        </w:rPr>
        <w:t>محركات</w:t>
      </w:r>
      <w:r w:rsidRPr="00AE3530">
        <w:rPr>
          <w:rFonts w:hint="cs"/>
          <w:sz w:val="20"/>
          <w:rtl/>
        </w:rPr>
        <w:t xml:space="preserve"> المحددة في المقرر</w:t>
      </w:r>
      <w:r>
        <w:rPr>
          <w:rFonts w:hint="cs"/>
          <w:sz w:val="20"/>
          <w:rtl/>
        </w:rPr>
        <w:t xml:space="preserve"> </w:t>
      </w:r>
      <w:r w:rsidRPr="00AE3530">
        <w:rPr>
          <w:rFonts w:hint="cs"/>
          <w:sz w:val="20"/>
          <w:rtl/>
        </w:rPr>
        <w:t>13/15؛</w:t>
      </w:r>
    </w:p>
    <w:p w:rsidR="00BB5C54" w:rsidRDefault="00BB5C54" w:rsidP="00FF7FA5">
      <w:pPr>
        <w:numPr>
          <w:ilvl w:val="0"/>
          <w:numId w:val="19"/>
        </w:numPr>
        <w:ind w:left="0" w:firstLine="706"/>
        <w:rPr>
          <w:rFonts w:eastAsia="Times New Roman"/>
        </w:rPr>
      </w:pPr>
      <w:r w:rsidRPr="00AE3530">
        <w:rPr>
          <w:rFonts w:hint="cs"/>
          <w:i/>
          <w:iCs/>
          <w:sz w:val="20"/>
          <w:rtl/>
        </w:rPr>
        <w:t>يشجع</w:t>
      </w:r>
      <w:r w:rsidRPr="00AE3530">
        <w:rPr>
          <w:rFonts w:hint="cs"/>
          <w:sz w:val="20"/>
          <w:rtl/>
        </w:rPr>
        <w:t xml:space="preserve"> الأطراف</w:t>
      </w:r>
      <w:r w:rsidRPr="00AE3530">
        <w:rPr>
          <w:rFonts w:hint="cs"/>
          <w:i/>
          <w:iCs/>
          <w:sz w:val="20"/>
          <w:rtl/>
        </w:rPr>
        <w:t xml:space="preserve"> ويدعو </w:t>
      </w:r>
      <w:r w:rsidRPr="00AE3530">
        <w:rPr>
          <w:rFonts w:hint="cs"/>
          <w:sz w:val="20"/>
          <w:rtl/>
        </w:rPr>
        <w:t>الحكومات الأخرى إلى إدراج حفظ الملقحات البرية والمدجنة وموائلها واستخدامها المستدام في سياسات إدارة الأراضي والمناطق المحمية، وغيرها من سياسات الحفظ الفعالة على أساس المناطق؛</w:t>
      </w:r>
    </w:p>
    <w:p w:rsidR="00BB5C54" w:rsidRPr="00AE3530" w:rsidRDefault="00BB5C54" w:rsidP="00FF7FA5">
      <w:pPr>
        <w:numPr>
          <w:ilvl w:val="0"/>
          <w:numId w:val="19"/>
        </w:numPr>
        <w:ind w:left="0" w:firstLine="706"/>
        <w:rPr>
          <w:rFonts w:eastAsia="Times New Roman"/>
        </w:rPr>
      </w:pPr>
      <w:r w:rsidRPr="00AE3530">
        <w:rPr>
          <w:rFonts w:hint="cs"/>
          <w:i/>
          <w:iCs/>
          <w:sz w:val="20"/>
          <w:rtl/>
        </w:rPr>
        <w:t xml:space="preserve">يشجع </w:t>
      </w:r>
      <w:r w:rsidRPr="00AE3530">
        <w:rPr>
          <w:rFonts w:hint="cs"/>
          <w:sz w:val="20"/>
          <w:rtl/>
        </w:rPr>
        <w:t xml:space="preserve">الأطراف </w:t>
      </w:r>
      <w:r w:rsidRPr="00AE3530">
        <w:rPr>
          <w:rFonts w:hint="cs"/>
          <w:i/>
          <w:iCs/>
          <w:sz w:val="20"/>
          <w:rtl/>
        </w:rPr>
        <w:t xml:space="preserve">ويدعو </w:t>
      </w:r>
      <w:r w:rsidRPr="00AE3530">
        <w:rPr>
          <w:rFonts w:hint="cs"/>
          <w:sz w:val="20"/>
          <w:rtl/>
        </w:rPr>
        <w:t>الحكومات الأخرى إلى:</w:t>
      </w:r>
    </w:p>
    <w:p w:rsidR="00BB5C54" w:rsidRPr="00E11CAE" w:rsidRDefault="00BB5C54" w:rsidP="00FF7FA5">
      <w:pPr>
        <w:numPr>
          <w:ilvl w:val="0"/>
          <w:numId w:val="20"/>
        </w:numPr>
        <w:ind w:left="0" w:firstLine="720"/>
        <w:rPr>
          <w:rFonts w:eastAsia="Times New Roman"/>
        </w:rPr>
      </w:pPr>
      <w:r w:rsidRPr="00E11CAE">
        <w:rPr>
          <w:rFonts w:eastAsia="Times New Roman" w:hint="cs"/>
          <w:rtl/>
        </w:rPr>
        <w:t>أن تشجع القطاع الخاص على مراعاة الأنشطة المذكورة في خطة العمل وأن يعمل على تحقيق نظم الإنتاج والاستهلاك الأكثر استدامة؛</w:t>
      </w:r>
    </w:p>
    <w:p w:rsidR="00BB5C54" w:rsidRPr="00E11CAE" w:rsidRDefault="00BB5C54" w:rsidP="00FF7FA5">
      <w:pPr>
        <w:numPr>
          <w:ilvl w:val="0"/>
          <w:numId w:val="20"/>
        </w:numPr>
        <w:ind w:left="0" w:firstLine="720"/>
        <w:rPr>
          <w:rFonts w:eastAsia="Times New Roman"/>
        </w:rPr>
      </w:pPr>
      <w:r w:rsidRPr="00E11CAE">
        <w:rPr>
          <w:rFonts w:eastAsia="Times New Roman" w:hint="cs"/>
          <w:rtl/>
        </w:rPr>
        <w:lastRenderedPageBreak/>
        <w:t>أن تشجع الهيئات الأكاديمي</w:t>
      </w:r>
      <w:r>
        <w:rPr>
          <w:rFonts w:eastAsia="Times New Roman" w:hint="cs"/>
          <w:rtl/>
        </w:rPr>
        <w:t xml:space="preserve">ة والبحثية، والمنظمات والشبكات </w:t>
      </w:r>
      <w:r w:rsidRPr="00E11CAE">
        <w:rPr>
          <w:rFonts w:eastAsia="Times New Roman" w:hint="cs"/>
          <w:rtl/>
        </w:rPr>
        <w:t>الوطنية والإقليمية والدولية ذات الصلة على إجراء المزيد من البحوث من أجل سد الفجوات</w:t>
      </w:r>
      <w:r w:rsidR="000A69D9">
        <w:rPr>
          <w:rStyle w:val="FootnoteReference"/>
          <w:rFonts w:eastAsia="Times New Roman"/>
          <w:rtl/>
        </w:rPr>
        <w:footnoteReference w:id="85"/>
      </w:r>
      <w:r w:rsidRPr="00E11CAE">
        <w:rPr>
          <w:rFonts w:eastAsia="Times New Roman" w:hint="cs"/>
          <w:rtl/>
        </w:rPr>
        <w:t xml:space="preserve"> المحددة في خطة العمل، وعلى جمع المعلومات والإبلاغ عنها من خلال قنوات مناسبة لدعم التنفيذ؛</w:t>
      </w:r>
    </w:p>
    <w:p w:rsidR="00BB5C54" w:rsidRPr="00E11CAE" w:rsidRDefault="00BB5C54" w:rsidP="00FF7FA5">
      <w:pPr>
        <w:numPr>
          <w:ilvl w:val="0"/>
          <w:numId w:val="20"/>
        </w:numPr>
        <w:ind w:left="0" w:firstLine="720"/>
        <w:rPr>
          <w:rFonts w:eastAsia="Times New Roman"/>
        </w:rPr>
      </w:pPr>
      <w:r w:rsidRPr="00E11CAE">
        <w:rPr>
          <w:rFonts w:eastAsia="Times New Roman" w:hint="cs"/>
          <w:rtl/>
        </w:rPr>
        <w:t>أن تشجع المزارعين،</w:t>
      </w:r>
      <w:r w:rsidRPr="00E11CAE">
        <w:rPr>
          <w:rFonts w:eastAsia="Times New Roman" w:hint="cs"/>
          <w:rtl/>
          <w:lang w:val="en-GB"/>
        </w:rPr>
        <w:t xml:space="preserve"> والنحالين، ومديري الأراضي، والمجتمعات الحضرية، والشعوب الأصلية والمجتمعات المحلية وأصحاب المصلحة الآخرين على اعتماد ممارسات مواتية للملقحات والتصدي للمحركات المباشرة وغير المباشرة لتقلص الملقحات على الصعيد الميداني والمحلي؛</w:t>
      </w:r>
    </w:p>
    <w:p w:rsidR="00BB5C54" w:rsidRPr="00E11CAE" w:rsidRDefault="00BB5C54" w:rsidP="00FF7FA5">
      <w:pPr>
        <w:numPr>
          <w:ilvl w:val="0"/>
          <w:numId w:val="20"/>
        </w:numPr>
        <w:ind w:left="0" w:firstLine="720"/>
        <w:rPr>
          <w:rFonts w:eastAsia="Times New Roman"/>
        </w:rPr>
      </w:pPr>
      <w:r w:rsidRPr="00E11CAE">
        <w:rPr>
          <w:rFonts w:eastAsia="Times New Roman" w:hint="cs"/>
          <w:rtl/>
        </w:rPr>
        <w:t xml:space="preserve">أن تطور وتنشر وترصد </w:t>
      </w:r>
      <w:r w:rsidRPr="00E11CAE">
        <w:rPr>
          <w:rFonts w:eastAsia="Times New Roman" w:cs="Times New Roman" w:hint="cs"/>
          <w:rtl/>
          <w:lang w:val="en-GB"/>
        </w:rPr>
        <w:t xml:space="preserve">الملقحات البرية والمدجنة من أجل تقييم حجم الانخفاض وتقييم أثر إجراءات التخفيف </w:t>
      </w:r>
      <w:r w:rsidRPr="00E11CAE">
        <w:rPr>
          <w:rFonts w:eastAsia="Times New Roman" w:hint="cs"/>
          <w:rtl/>
          <w:lang w:val="en-GB"/>
        </w:rPr>
        <w:t>المنشورة</w:t>
      </w:r>
      <w:r w:rsidRPr="00E11CAE">
        <w:rPr>
          <w:rFonts w:eastAsia="Times New Roman" w:cs="Times New Roman" w:hint="cs"/>
          <w:rtl/>
          <w:lang w:val="en-GB"/>
        </w:rPr>
        <w:t>؛</w:t>
      </w:r>
    </w:p>
    <w:p w:rsidR="00BB5C54" w:rsidRDefault="00BB5C54" w:rsidP="00FF7FA5">
      <w:pPr>
        <w:pStyle w:val="ListParagraph"/>
        <w:numPr>
          <w:ilvl w:val="0"/>
          <w:numId w:val="19"/>
        </w:numPr>
        <w:bidi/>
        <w:spacing w:line="216" w:lineRule="auto"/>
        <w:ind w:left="0" w:firstLine="720"/>
        <w:jc w:val="lowKashida"/>
        <w:rPr>
          <w:rFonts w:eastAsia="YouYuan" w:cs="Simplified Arabic"/>
          <w:kern w:val="2"/>
          <w:sz w:val="20"/>
          <w:lang w:val="en-US"/>
        </w:rPr>
      </w:pPr>
      <w:r w:rsidRPr="00AE3530">
        <w:rPr>
          <w:rFonts w:eastAsia="YouYuan" w:cs="Simplified Arabic" w:hint="cs"/>
          <w:i/>
          <w:iCs/>
          <w:kern w:val="2"/>
          <w:sz w:val="20"/>
          <w:rtl/>
          <w:lang w:val="en-US"/>
        </w:rPr>
        <w:t>يشجع</w:t>
      </w:r>
      <w:r w:rsidRPr="00AE3530">
        <w:rPr>
          <w:rFonts w:eastAsia="YouYuan" w:cs="Simplified Arabic" w:hint="cs"/>
          <w:kern w:val="2"/>
          <w:sz w:val="20"/>
          <w:rtl/>
          <w:lang w:val="en-US"/>
        </w:rPr>
        <w:t xml:space="preserve"> مرفق البيئة العالمية والجهات المانحة الأخرى ووكالات التمويل على تقديم مساعدة مالية، بما في ذلك أنشطة بناء القدرات، إلى المشاريع الوطنية والإقليمية التي تعالج تنفيذ خطة العمل للاستخدام المستدام للملقحات وحفظها؛</w:t>
      </w:r>
    </w:p>
    <w:p w:rsidR="00BB5C54" w:rsidRDefault="00BB5C54" w:rsidP="00FF7FA5">
      <w:pPr>
        <w:pStyle w:val="ListParagraph"/>
        <w:numPr>
          <w:ilvl w:val="0"/>
          <w:numId w:val="19"/>
        </w:numPr>
        <w:bidi/>
        <w:spacing w:line="216" w:lineRule="auto"/>
        <w:ind w:left="0" w:firstLine="720"/>
        <w:jc w:val="lowKashida"/>
        <w:rPr>
          <w:rFonts w:eastAsia="YouYuan" w:cs="Simplified Arabic"/>
          <w:kern w:val="2"/>
          <w:sz w:val="20"/>
          <w:lang w:val="en-US"/>
        </w:rPr>
      </w:pPr>
      <w:r w:rsidRPr="00504D20">
        <w:rPr>
          <w:rFonts w:eastAsia="YouYuan" w:cs="Simplified Arabic" w:hint="cs"/>
          <w:i/>
          <w:iCs/>
          <w:kern w:val="2"/>
          <w:sz w:val="20"/>
          <w:rtl/>
          <w:lang w:val="en-US"/>
        </w:rPr>
        <w:t xml:space="preserve">يطلب </w:t>
      </w:r>
      <w:r w:rsidRPr="00504D20">
        <w:rPr>
          <w:rFonts w:eastAsia="YouYuan" w:cs="Simplified Arabic" w:hint="cs"/>
          <w:kern w:val="2"/>
          <w:sz w:val="20"/>
          <w:rtl/>
          <w:lang w:val="en-US"/>
        </w:rPr>
        <w:t>إلى الأمينة التنفيذية</w:t>
      </w:r>
      <w:r w:rsidRPr="008A6124">
        <w:rPr>
          <w:rFonts w:eastAsia="YouYuan" w:cs="Simplified Arabic" w:hint="cs"/>
          <w:kern w:val="2"/>
          <w:sz w:val="20"/>
          <w:rtl/>
          <w:lang w:val="en-US"/>
        </w:rPr>
        <w:t xml:space="preserve"> أن ترفع التوصية الحالية إلى عناية منظمة الأغذية والزراعة للأمم المتحدة ولجنة الغابات، ولجنة الزراعة، وهيئة الموارد الوراثية للأغذية والزراعة التابعة لها، ولجنة الأمن الغذائي العالمي</w:t>
      </w:r>
      <w:r>
        <w:rPr>
          <w:rFonts w:eastAsia="YouYuan" w:cs="Simplified Arabic" w:hint="cs"/>
          <w:kern w:val="2"/>
          <w:sz w:val="20"/>
          <w:rtl/>
          <w:lang w:val="en-US"/>
        </w:rPr>
        <w:t>،</w:t>
      </w:r>
      <w:r w:rsidRPr="008A6124">
        <w:rPr>
          <w:rFonts w:eastAsia="YouYuan" w:cs="Simplified Arabic" w:hint="cs"/>
          <w:kern w:val="2"/>
          <w:sz w:val="20"/>
          <w:rtl/>
          <w:lang w:val="en-US"/>
        </w:rPr>
        <w:t xml:space="preserve"> وأمانة الاتفاقية الدولية لوقاية النباتات والمعاهدة الدولية بشأن الموارد الوراثية النباتية للأغذية والزراعة، فضلا عن أمانة اتفاقيات بازل وروتردام واستكهولم؛</w:t>
      </w:r>
    </w:p>
    <w:p w:rsidR="00BB5C54" w:rsidRDefault="00BB5C54" w:rsidP="00FF7FA5">
      <w:pPr>
        <w:pStyle w:val="ListParagraph"/>
        <w:numPr>
          <w:ilvl w:val="0"/>
          <w:numId w:val="19"/>
        </w:numPr>
        <w:bidi/>
        <w:spacing w:line="216" w:lineRule="auto"/>
        <w:ind w:left="0" w:firstLine="720"/>
        <w:jc w:val="lowKashida"/>
        <w:rPr>
          <w:rFonts w:eastAsia="YouYuan" w:cs="Simplified Arabic"/>
          <w:kern w:val="2"/>
          <w:sz w:val="20"/>
          <w:lang w:val="en-US"/>
        </w:rPr>
      </w:pPr>
      <w:r w:rsidRPr="008A6124">
        <w:rPr>
          <w:rFonts w:eastAsia="YouYuan" w:cs="Simplified Arabic"/>
          <w:i/>
          <w:iCs/>
          <w:kern w:val="2"/>
          <w:sz w:val="20"/>
          <w:rtl/>
          <w:lang w:val="en-US"/>
        </w:rPr>
        <w:t>يدعو</w:t>
      </w:r>
      <w:r w:rsidRPr="008A6124">
        <w:rPr>
          <w:rFonts w:ascii="Simplified Arabic" w:eastAsia="YouYuan" w:hAnsi="Simplified Arabic" w:cs="Simplified Arabic"/>
          <w:kern w:val="2"/>
          <w:sz w:val="20"/>
          <w:rtl/>
          <w:lang w:val="en-US"/>
        </w:rPr>
        <w:t xml:space="preserve"> منظمة </w:t>
      </w:r>
      <w:r w:rsidRPr="008A6124">
        <w:rPr>
          <w:rFonts w:ascii="Simplified Arabic" w:eastAsia="YouYuan" w:hAnsi="Simplified Arabic" w:cs="Simplified Arabic" w:hint="cs"/>
          <w:kern w:val="2"/>
          <w:sz w:val="20"/>
          <w:rtl/>
          <w:lang w:val="en-US"/>
        </w:rPr>
        <w:t>ا</w:t>
      </w:r>
      <w:r w:rsidRPr="008A6124">
        <w:rPr>
          <w:rFonts w:ascii="Simplified Arabic" w:eastAsia="YouYuan" w:hAnsi="Simplified Arabic" w:cs="Simplified Arabic"/>
          <w:kern w:val="2"/>
          <w:sz w:val="20"/>
          <w:rtl/>
          <w:lang w:val="en-US"/>
        </w:rPr>
        <w:t xml:space="preserve">لأغذية والزراعة </w:t>
      </w:r>
      <w:r w:rsidRPr="008A6124">
        <w:rPr>
          <w:rFonts w:ascii="Simplified Arabic" w:eastAsia="YouYuan" w:hAnsi="Simplified Arabic" w:cs="Simplified Arabic" w:hint="cs"/>
          <w:kern w:val="2"/>
          <w:sz w:val="20"/>
          <w:rtl/>
          <w:lang w:val="en-US"/>
        </w:rPr>
        <w:t>ل</w:t>
      </w:r>
      <w:r w:rsidRPr="008A6124">
        <w:rPr>
          <w:rFonts w:ascii="Simplified Arabic" w:eastAsia="YouYuan" w:hAnsi="Simplified Arabic" w:cs="Simplified Arabic"/>
          <w:kern w:val="2"/>
          <w:sz w:val="20"/>
          <w:rtl/>
          <w:lang w:val="en-US"/>
        </w:rPr>
        <w:t>لأمم المتحدة إلى تيسير تنفيذ خطة العمل، في أعقاب النهج الناجح للخطة السابقة التي تشمل وزار</w:t>
      </w:r>
      <w:r>
        <w:rPr>
          <w:rFonts w:ascii="Simplified Arabic" w:eastAsia="YouYuan" w:hAnsi="Simplified Arabic" w:cs="Simplified Arabic" w:hint="cs"/>
          <w:kern w:val="2"/>
          <w:sz w:val="20"/>
          <w:rtl/>
          <w:lang w:val="en-US"/>
        </w:rPr>
        <w:t>تي</w:t>
      </w:r>
      <w:r w:rsidRPr="008A6124">
        <w:rPr>
          <w:rFonts w:ascii="Simplified Arabic" w:eastAsia="YouYuan" w:hAnsi="Simplified Arabic" w:cs="Simplified Arabic"/>
          <w:kern w:val="2"/>
          <w:sz w:val="20"/>
          <w:rtl/>
          <w:lang w:val="en-US"/>
        </w:rPr>
        <w:t xml:space="preserve"> الزراعة والبيئة على المستوى الوطني</w:t>
      </w:r>
      <w:r w:rsidRPr="008A6124">
        <w:rPr>
          <w:rFonts w:ascii="Simplified Arabic" w:eastAsia="YouYuan" w:hAnsi="Simplified Arabic" w:cs="Simplified Arabic" w:hint="cs"/>
          <w:kern w:val="2"/>
          <w:sz w:val="20"/>
          <w:rtl/>
          <w:lang w:val="en-US"/>
        </w:rPr>
        <w:t>؛</w:t>
      </w:r>
    </w:p>
    <w:p w:rsidR="00BB5C54" w:rsidRDefault="00BB5C54" w:rsidP="00FF7FA5">
      <w:pPr>
        <w:pStyle w:val="ListParagraph"/>
        <w:numPr>
          <w:ilvl w:val="0"/>
          <w:numId w:val="19"/>
        </w:numPr>
        <w:bidi/>
        <w:spacing w:line="216" w:lineRule="auto"/>
        <w:ind w:left="0" w:firstLine="720"/>
        <w:jc w:val="lowKashida"/>
        <w:rPr>
          <w:rFonts w:eastAsia="YouYuan" w:cs="Simplified Arabic"/>
          <w:kern w:val="2"/>
          <w:sz w:val="20"/>
          <w:lang w:val="en-US"/>
        </w:rPr>
      </w:pPr>
      <w:r w:rsidRPr="008A6124">
        <w:rPr>
          <w:rFonts w:eastAsia="YouYuan" w:cs="Simplified Arabic" w:hint="cs"/>
          <w:i/>
          <w:iCs/>
          <w:kern w:val="2"/>
          <w:sz w:val="20"/>
          <w:rtl/>
          <w:lang w:val="en-US"/>
        </w:rPr>
        <w:t>يطلب أيضا</w:t>
      </w:r>
      <w:r w:rsidRPr="008A6124">
        <w:rPr>
          <w:rFonts w:eastAsia="YouYuan" w:cs="Simplified Arabic" w:hint="cs"/>
          <w:kern w:val="2"/>
          <w:sz w:val="20"/>
          <w:rtl/>
          <w:lang w:val="en-US"/>
        </w:rPr>
        <w:t xml:space="preserve"> إلى الأمينة </w:t>
      </w:r>
      <w:r w:rsidRPr="008A6124">
        <w:rPr>
          <w:rFonts w:ascii="Simplified Arabic" w:eastAsia="YouYuan" w:hAnsi="Simplified Arabic" w:cs="Simplified Arabic" w:hint="cs"/>
          <w:kern w:val="2"/>
          <w:sz w:val="20"/>
          <w:rtl/>
          <w:lang w:val="en-US"/>
        </w:rPr>
        <w:t>التنفيذية</w:t>
      </w:r>
      <w:r w:rsidRPr="008A6124">
        <w:rPr>
          <w:rFonts w:eastAsia="YouYuan" w:cs="Simplified Arabic" w:hint="cs"/>
          <w:kern w:val="2"/>
          <w:sz w:val="20"/>
          <w:rtl/>
          <w:lang w:val="en-US"/>
        </w:rPr>
        <w:t xml:space="preserve"> أن تقوم، رهنا بتوافر الموارد وبالتعاون مع منظمة الأغذية والزراعة للأمم المتحدة، وأمانة اتفاقيات بازل وروتردام واستكهولم وأصحاب المصلحة الآخرين ذوي الصلة، بإعداد مبادئ توجيهية وأفضل الممارسات في المجالات ذات الصلة والتي يتم تحديدها وفقًا لمستوى الأولوية لتنفيذ خطة العمل، من قبيل، من بين أمور أخرى، استخدام المواد الكيميائية في الزراعة، وبرامج حماية الملقحات المحلية في النظم الإيكولوجية الطبيعية، وتعزيز نظم الإنتاج المتنوعة بيولوجيا، والدورات الزراعية، ورصد الملقحات المحلية، والتثقيف البيئي؛</w:t>
      </w:r>
    </w:p>
    <w:p w:rsidR="00BB5C54" w:rsidRDefault="00BB5C54" w:rsidP="00FF7FA5">
      <w:pPr>
        <w:pStyle w:val="ListParagraph"/>
        <w:numPr>
          <w:ilvl w:val="0"/>
          <w:numId w:val="19"/>
        </w:numPr>
        <w:bidi/>
        <w:spacing w:line="216" w:lineRule="auto"/>
        <w:ind w:left="0" w:firstLine="720"/>
        <w:jc w:val="lowKashida"/>
        <w:rPr>
          <w:rFonts w:eastAsia="YouYuan" w:cs="Simplified Arabic"/>
          <w:kern w:val="2"/>
          <w:sz w:val="20"/>
          <w:lang w:val="en-US"/>
        </w:rPr>
      </w:pPr>
      <w:r w:rsidRPr="008A6124">
        <w:rPr>
          <w:rFonts w:eastAsia="Times New Roman" w:cs="Simplified Arabic" w:hint="cs"/>
          <w:i/>
          <w:iCs/>
          <w:rtl/>
          <w:lang w:val="en-US"/>
        </w:rPr>
        <w:t>يطلب كذلك</w:t>
      </w:r>
      <w:r w:rsidRPr="008A6124">
        <w:rPr>
          <w:rFonts w:eastAsia="Times New Roman" w:cs="Simplified Arabic" w:hint="cs"/>
          <w:rtl/>
          <w:lang w:val="en-US"/>
        </w:rPr>
        <w:t xml:space="preserve"> إلى الأمينة التنفيذية أن تراعي مسألة </w:t>
      </w:r>
      <w:r>
        <w:rPr>
          <w:rFonts w:eastAsia="Times New Roman" w:cs="Simplified Arabic" w:hint="cs"/>
          <w:rtl/>
          <w:lang w:val="en-US"/>
        </w:rPr>
        <w:t>حفظ</w:t>
      </w:r>
      <w:r w:rsidRPr="008A6124">
        <w:rPr>
          <w:rFonts w:eastAsia="Times New Roman" w:cs="Simplified Arabic" w:hint="cs"/>
          <w:rtl/>
          <w:lang w:val="en-US"/>
        </w:rPr>
        <w:t xml:space="preserve"> الملقحات البرية والمدجنة واستخدامها المستدام في العمليات التحضيرية للإطار العالمي للتنوع البيولوجي لما بعد عام 2020؛</w:t>
      </w:r>
    </w:p>
    <w:p w:rsidR="00BB5C54" w:rsidRPr="008A6124" w:rsidRDefault="00BB5C54" w:rsidP="00FF7FA5">
      <w:pPr>
        <w:pStyle w:val="ListParagraph"/>
        <w:numPr>
          <w:ilvl w:val="0"/>
          <w:numId w:val="19"/>
        </w:numPr>
        <w:bidi/>
        <w:spacing w:after="0" w:line="216" w:lineRule="auto"/>
        <w:ind w:left="0" w:firstLine="720"/>
        <w:jc w:val="lowKashida"/>
        <w:rPr>
          <w:rFonts w:eastAsia="YouYuan" w:cs="Simplified Arabic"/>
          <w:kern w:val="2"/>
          <w:sz w:val="20"/>
          <w:lang w:val="en-US"/>
        </w:rPr>
      </w:pPr>
      <w:r w:rsidRPr="008A6124">
        <w:rPr>
          <w:rFonts w:eastAsia="Times New Roman" w:cs="Simplified Arabic" w:hint="cs"/>
          <w:i/>
          <w:iCs/>
          <w:rtl/>
          <w:lang w:val="en-US"/>
        </w:rPr>
        <w:t>يدعو</w:t>
      </w:r>
      <w:r w:rsidRPr="008A6124">
        <w:rPr>
          <w:rFonts w:eastAsia="Times New Roman" w:cs="Simplified Arabic" w:hint="cs"/>
          <w:rtl/>
          <w:lang w:val="en-US"/>
        </w:rPr>
        <w:t xml:space="preserve"> الأطراف، والحكومات الأخرى، ومؤسسات البحوث، والمنظمات القادرة على دعم البلدان التي تحتاج إلى (أ)</w:t>
      </w:r>
      <w:r w:rsidRPr="008A6124">
        <w:rPr>
          <w:rFonts w:eastAsia="Times New Roman" w:cs="Simplified Arabic" w:hint="eastAsia"/>
          <w:rtl/>
          <w:lang w:val="en-US"/>
        </w:rPr>
        <w:t> </w:t>
      </w:r>
      <w:r w:rsidRPr="008A6124">
        <w:rPr>
          <w:rFonts w:eastAsia="Times New Roman" w:cs="Simplified Arabic" w:hint="cs"/>
          <w:rtl/>
          <w:lang w:val="en-US"/>
        </w:rPr>
        <w:t xml:space="preserve">زيادة قدرتها التصنيفية من أجل تحسين المعرفة بالملقحات وحالتها واتجاهاتها، (ب) تحديد محركات التغير في </w:t>
      </w:r>
      <w:r>
        <w:rPr>
          <w:rFonts w:eastAsia="Times New Roman" w:cs="Simplified Arabic" w:hint="cs"/>
          <w:rtl/>
          <w:lang w:val="en-US"/>
        </w:rPr>
        <w:t>أعداد</w:t>
      </w:r>
      <w:r w:rsidRPr="008A6124">
        <w:rPr>
          <w:rFonts w:eastAsia="Times New Roman" w:cs="Simplified Arabic" w:hint="cs"/>
          <w:rtl/>
          <w:lang w:val="en-US"/>
        </w:rPr>
        <w:t xml:space="preserve">ها، (ج) </w:t>
      </w:r>
      <w:r>
        <w:rPr>
          <w:rFonts w:eastAsia="Times New Roman" w:cs="Simplified Arabic" w:hint="cs"/>
          <w:rtl/>
          <w:lang w:val="en-US"/>
        </w:rPr>
        <w:t>و</w:t>
      </w:r>
      <w:r w:rsidRPr="008A6124">
        <w:rPr>
          <w:rFonts w:eastAsia="Times New Roman" w:cs="Simplified Arabic" w:hint="cs"/>
          <w:rtl/>
          <w:lang w:val="en-US"/>
        </w:rPr>
        <w:t>إيجاد حلول ملائمة للتمكين من الاعتماد والتنفيذ الفعالين لخطة العمل المقترحة، إلى أن تقوم بذلك.</w:t>
      </w:r>
    </w:p>
    <w:p w:rsidR="00BB5C54" w:rsidRPr="00E11CAE" w:rsidRDefault="00BB5C54" w:rsidP="00BB5C54">
      <w:pPr>
        <w:jc w:val="center"/>
        <w:rPr>
          <w:i/>
          <w:iCs/>
          <w:rtl/>
        </w:rPr>
      </w:pPr>
      <w:r>
        <w:rPr>
          <w:i/>
          <w:iCs/>
          <w:rtl/>
        </w:rPr>
        <w:br w:type="page"/>
      </w:r>
      <w:r w:rsidRPr="00E11CAE">
        <w:rPr>
          <w:rFonts w:hint="cs"/>
          <w:i/>
          <w:iCs/>
          <w:rtl/>
        </w:rPr>
        <w:lastRenderedPageBreak/>
        <w:t>المرفق الأول</w:t>
      </w:r>
    </w:p>
    <w:p w:rsidR="00BB5C54" w:rsidRPr="00E11CAE" w:rsidRDefault="00BB5C54" w:rsidP="00BB5C54">
      <w:pPr>
        <w:tabs>
          <w:tab w:val="left" w:pos="720"/>
        </w:tabs>
        <w:jc w:val="center"/>
        <w:rPr>
          <w:rFonts w:eastAsia="Times New Roman"/>
          <w:b/>
          <w:bCs/>
          <w:sz w:val="24"/>
          <w:rtl/>
          <w:lang w:val="en-GB"/>
        </w:rPr>
      </w:pPr>
      <w:r w:rsidRPr="00E11CAE">
        <w:rPr>
          <w:rFonts w:eastAsia="Times New Roman" w:hint="cs"/>
          <w:b/>
          <w:bCs/>
          <w:sz w:val="24"/>
          <w:rtl/>
          <w:lang w:val="en-GB"/>
        </w:rPr>
        <w:t>خطة عمل محدثة 2018-2030 للمبادرة الدولية لحفظ الملقحات واستخدامها المستدام</w:t>
      </w:r>
    </w:p>
    <w:p w:rsidR="00BB5C54" w:rsidRPr="00E11CAE" w:rsidRDefault="00BB5C54" w:rsidP="00BB5C54">
      <w:pPr>
        <w:tabs>
          <w:tab w:val="left" w:pos="720"/>
        </w:tabs>
        <w:jc w:val="center"/>
        <w:rPr>
          <w:rFonts w:eastAsia="Times New Roman"/>
          <w:b/>
          <w:bCs/>
          <w:sz w:val="24"/>
          <w:rtl/>
          <w:lang w:val="en-GB"/>
        </w:rPr>
      </w:pPr>
      <w:r w:rsidRPr="00E11CAE">
        <w:rPr>
          <w:rFonts w:eastAsia="Times New Roman" w:hint="cs"/>
          <w:b/>
          <w:bCs/>
          <w:sz w:val="24"/>
          <w:rtl/>
          <w:lang w:val="en-GB"/>
        </w:rPr>
        <w:t>مقدمة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أقر مؤتمر الأطراف في اتفاقية التنوع البيولوجي في اجتماعه الثالث في عام 1996 بأهمية الملقحات، وبالحاجة إلى التصدي للأسباب الكامنة وراء تقلصها (</w:t>
      </w:r>
      <w:r w:rsidRPr="00E11CAE">
        <w:rPr>
          <w:rFonts w:eastAsia="Times New Roman" w:hint="cs"/>
          <w:rtl/>
        </w:rPr>
        <w:t xml:space="preserve">المقرر </w:t>
      </w:r>
      <w:hyperlink r:id="rId39" w:history="1">
        <w:r w:rsidRPr="00E11CAE">
          <w:rPr>
            <w:rFonts w:eastAsia="Times New Roman" w:hint="cs"/>
            <w:color w:val="0000FF"/>
            <w:u w:val="single"/>
            <w:rtl/>
          </w:rPr>
          <w:t>3/11</w:t>
        </w:r>
      </w:hyperlink>
      <w:r w:rsidRPr="00E11CAE">
        <w:rPr>
          <w:rFonts w:eastAsia="Times New Roman" w:hint="cs"/>
          <w:rtl/>
          <w:lang w:val="en-GB"/>
        </w:rPr>
        <w:t>). وبموجب المقرر 5/5، قرر مؤتمر الأطراف إنشاء مبادرة دولية لحفظ الملقحات واستخدامها المستدام كمبادرة مشتركة بين القطاعات ضمن برنامج عمل التنوع البيولوجي الزراعي لتشجيع العمل المنسق على نطاق العالم، وبعد ذلك، اعتمد خطة العمل بموجب المقرر 6/5. وتقوم منظمة الأغذية والزراعة للأمم المتحدة بقيادة وتيسير تنفيذ خطة العمل.</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وقد أعدت خطة العمل الحالية بواسطة منظمة الأغذية والزراعة وأمانة اتفاقية التنوع البيولوجي، بالتشاور مع شركاء آخرين وخبراء معنيين، عملا بالمقرر</w:t>
      </w:r>
      <w:r w:rsidRPr="00E11CAE">
        <w:rPr>
          <w:rFonts w:eastAsia="Times New Roman" w:hint="cs"/>
          <w:rtl/>
        </w:rPr>
        <w:t xml:space="preserve"> </w:t>
      </w:r>
      <w:hyperlink r:id="rId40" w:history="1">
        <w:r w:rsidRPr="00E11CAE">
          <w:rPr>
            <w:rFonts w:eastAsia="Times New Roman" w:hint="cs"/>
            <w:color w:val="0000FF"/>
            <w:u w:val="single"/>
            <w:rtl/>
          </w:rPr>
          <w:t>13/15</w:t>
        </w:r>
      </w:hyperlink>
      <w:r w:rsidRPr="00E11CAE">
        <w:rPr>
          <w:rFonts w:eastAsia="Times New Roman" w:hint="cs"/>
          <w:rtl/>
          <w:lang w:val="en-GB"/>
        </w:rPr>
        <w:t xml:space="preserve"> (الفقرة 10).</w:t>
      </w:r>
    </w:p>
    <w:p w:rsidR="00BB5C54" w:rsidRPr="00E11CAE" w:rsidRDefault="00BB5C54" w:rsidP="00BB5C54">
      <w:pPr>
        <w:tabs>
          <w:tab w:val="left" w:pos="720"/>
        </w:tabs>
        <w:jc w:val="center"/>
        <w:rPr>
          <w:rFonts w:eastAsia="Times New Roman"/>
          <w:b/>
          <w:bCs/>
          <w:sz w:val="24"/>
          <w:lang w:val="en-GB"/>
        </w:rPr>
      </w:pPr>
      <w:r w:rsidRPr="00E11CAE">
        <w:rPr>
          <w:rFonts w:eastAsia="Times New Roman" w:hint="cs"/>
          <w:b/>
          <w:bCs/>
          <w:sz w:val="24"/>
          <w:rtl/>
          <w:lang w:val="en-GB"/>
        </w:rPr>
        <w:t>أولا -</w:t>
      </w:r>
      <w:r w:rsidRPr="00E11CAE">
        <w:rPr>
          <w:rFonts w:eastAsia="Times New Roman" w:hint="cs"/>
          <w:b/>
          <w:bCs/>
          <w:sz w:val="24"/>
          <w:rtl/>
          <w:lang w:val="en-GB"/>
        </w:rPr>
        <w:tab/>
        <w:t>الأهداف والغرض والنطاق</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يتمثل الهدف الشامل لخطة العمل هذه في تشجيع العمل المنسق حول العالم لصون الملقحات البرية والمدجنة والنهوض بالاستخدام المستدام لوظائف وخدمات التلقيح، وهي خدمة حيوية معترف بها للزراعة ولوظائف وصحة النظم الإيكولوجية.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ويتمثل الغرض من خطة العمل هذه في مساعدة الأطراف، والحكومات الأخرى، والشعوب الأصلية والمجتمعات المحلية والمنظمات والمبادرات ذات الصلة في تنفيذ المقرر 13/15، بما يتماشى مع الخطة الاستراتيجية للتنوع البيولوجي 2011-2020 وأهداف أيشي للتنوع البيولوجي المذكورة فيها ورؤية عام 2050 للتنوع البيولوجي، والإطار الاستراتيجي لمنظمة الأغذية والزراعة 2010-2019، والأطر اللاحقة ذات الصلة، وخطة التنمية المستدام</w:t>
      </w:r>
      <w:r>
        <w:rPr>
          <w:rFonts w:eastAsia="Times New Roman" w:hint="cs"/>
          <w:rtl/>
          <w:lang w:val="en-GB"/>
        </w:rPr>
        <w:t xml:space="preserve"> لعام</w:t>
      </w:r>
      <w:r w:rsidRPr="00E11CAE">
        <w:rPr>
          <w:rFonts w:eastAsia="Times New Roman" w:hint="cs"/>
          <w:rtl/>
          <w:lang w:val="en-GB"/>
        </w:rPr>
        <w:t xml:space="preserve"> 2030، بما في ذلك أهداف التنمية المستدامة.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والأهداف التشغيلية لخطة العمل هذه هي دعم الأطراف، والحكومات الأخرى، والشعوب الأصلية والمجتمعات المحلية، والمنظمات والمبادرات ذات الصلة:</w:t>
      </w:r>
    </w:p>
    <w:p w:rsidR="00BB5C54" w:rsidRPr="00E11CAE" w:rsidRDefault="00BB5C54" w:rsidP="00BB5C54">
      <w:pPr>
        <w:ind w:firstLine="720"/>
        <w:rPr>
          <w:rFonts w:eastAsia="Times New Roman"/>
          <w:rtl/>
          <w:lang w:val="en-GB"/>
        </w:rPr>
      </w:pPr>
      <w:r w:rsidRPr="00E11CAE">
        <w:rPr>
          <w:rFonts w:eastAsia="Times New Roman" w:hint="cs"/>
          <w:rtl/>
          <w:lang w:val="en-GB"/>
        </w:rPr>
        <w:t>(أ)</w:t>
      </w:r>
      <w:r w:rsidRPr="00E11CAE">
        <w:rPr>
          <w:rFonts w:eastAsia="Times New Roman" w:hint="cs"/>
          <w:rtl/>
          <w:lang w:val="en-GB"/>
        </w:rPr>
        <w:tab/>
        <w:t>في تنفيذ سياسات متسقة وشاملة لحفظ الملقحات واستخدامها المستدام على المستو</w:t>
      </w:r>
      <w:r>
        <w:rPr>
          <w:rFonts w:eastAsia="Times New Roman" w:hint="cs"/>
          <w:rtl/>
          <w:lang w:val="en-GB"/>
        </w:rPr>
        <w:t>يات</w:t>
      </w:r>
      <w:r w:rsidRPr="00E11CAE">
        <w:rPr>
          <w:rFonts w:eastAsia="Times New Roman" w:hint="cs"/>
          <w:rtl/>
          <w:lang w:val="en-GB"/>
        </w:rPr>
        <w:t xml:space="preserve"> المحلي ودون الوطني والوطني والإقليمي والعالمي، وتشجيع دمجها في الخطط والبرامج والاستراتيجيات القطاعية والشاملة؛</w:t>
      </w:r>
    </w:p>
    <w:p w:rsidR="00BB5C54" w:rsidRPr="00E11CAE" w:rsidRDefault="00BB5C54" w:rsidP="00BB5C54">
      <w:pPr>
        <w:ind w:firstLine="720"/>
        <w:rPr>
          <w:rFonts w:eastAsia="Times New Roman"/>
          <w:rtl/>
          <w:lang w:val="en-GB"/>
        </w:rPr>
      </w:pPr>
      <w:r w:rsidRPr="00E11CAE">
        <w:rPr>
          <w:rFonts w:eastAsia="Times New Roman" w:hint="cs"/>
          <w:rtl/>
          <w:lang w:val="en-GB"/>
        </w:rPr>
        <w:t>(ب)</w:t>
      </w:r>
      <w:r w:rsidRPr="00E11CAE">
        <w:rPr>
          <w:rFonts w:eastAsia="Times New Roman" w:hint="cs"/>
          <w:rtl/>
          <w:lang w:val="en-GB"/>
        </w:rPr>
        <w:tab/>
        <w:t>في تعزيز وتنفيذ ممارسات الإدارة التي تصون مجموعات الملقحات الصحية، وتمكين المزارعين والنحالين ومزارعي الغابات ومديري الأراضي والمجتمعات الحضرية من الاستفادة من منافع التلقيح في إنتاجيتهم وسبل عيشهم؛</w:t>
      </w:r>
    </w:p>
    <w:p w:rsidR="00BB5C54" w:rsidRPr="00E11CAE" w:rsidRDefault="00BB5C54" w:rsidP="00BB5C54">
      <w:pPr>
        <w:ind w:firstLine="720"/>
        <w:rPr>
          <w:rFonts w:eastAsia="Times New Roman"/>
          <w:rtl/>
          <w:lang w:val="en-GB"/>
        </w:rPr>
      </w:pPr>
      <w:r w:rsidRPr="00E11CAE">
        <w:rPr>
          <w:rFonts w:eastAsia="Times New Roman" w:hint="cs"/>
          <w:rtl/>
          <w:lang w:val="en-GB"/>
        </w:rPr>
        <w:t>(ج)</w:t>
      </w:r>
      <w:r w:rsidRPr="00E11CAE">
        <w:rPr>
          <w:rFonts w:eastAsia="Times New Roman" w:hint="cs"/>
          <w:rtl/>
          <w:lang w:val="en-GB"/>
        </w:rPr>
        <w:tab/>
        <w:t>في تشجيع التثقيف وزيادة الوعي في القطاعين العام والخاص با</w:t>
      </w:r>
      <w:r>
        <w:rPr>
          <w:rFonts w:eastAsia="Times New Roman" w:hint="cs"/>
          <w:rtl/>
          <w:lang w:val="en-GB"/>
        </w:rPr>
        <w:t>لقيم</w:t>
      </w:r>
      <w:r w:rsidRPr="00E11CAE">
        <w:rPr>
          <w:rFonts w:eastAsia="Times New Roman" w:hint="cs"/>
          <w:rtl/>
          <w:lang w:val="en-GB"/>
        </w:rPr>
        <w:t xml:space="preserve"> المتعددة للملقحات وموائلها، وفي تحسين الأدوات لصنع القرار، وفي تقديم إجراءات عملية للحد من تقلص الملقحات ومنعه؛</w:t>
      </w:r>
    </w:p>
    <w:p w:rsidR="00BB5C54" w:rsidRPr="00E11CAE" w:rsidRDefault="00BB5C54" w:rsidP="00BB5C54">
      <w:pPr>
        <w:ind w:firstLine="720"/>
        <w:rPr>
          <w:rFonts w:eastAsia="Times New Roman"/>
          <w:rtl/>
          <w:lang w:val="en-GB"/>
        </w:rPr>
      </w:pPr>
      <w:r w:rsidRPr="00E11CAE">
        <w:rPr>
          <w:rFonts w:eastAsia="Times New Roman" w:hint="cs"/>
          <w:rtl/>
          <w:lang w:val="en-GB"/>
        </w:rPr>
        <w:t>(د)</w:t>
      </w:r>
      <w:r w:rsidRPr="00E11CAE">
        <w:rPr>
          <w:rFonts w:eastAsia="Times New Roman" w:hint="cs"/>
          <w:rtl/>
          <w:lang w:val="en-GB"/>
        </w:rPr>
        <w:tab/>
        <w:t>في رصد وتقييم الحالة والاتجاهات في مجال الملقحات، والتلقيح وموائلها في جميع المناطق وسد الفجوات المعرفية، بما في ذلك من خلال دعم البحوث ذات الصلة.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وتهدف خطة العمل إلى تيسير تنفيذ الإجراءات لصون الملقحات ووظائف وخدمات التلقيح والتشجيع عليها عبر المناظر الطبيعية الأرضية الزراعية والنظم الإيكولوجية ذات الصلة، بما في ذلك الغابات، والأراضي العشبية، وأراضي المحاصيل، والأراضي الرطبة، والسافانا، والمناطق الساحلية والبيئات الحضرية. ويمكن تنفيذ الأنشطة على المستو</w:t>
      </w:r>
      <w:r>
        <w:rPr>
          <w:rFonts w:eastAsia="Times New Roman" w:hint="cs"/>
          <w:rtl/>
          <w:lang w:val="en-GB"/>
        </w:rPr>
        <w:t>يات</w:t>
      </w:r>
      <w:r w:rsidRPr="00E11CAE">
        <w:rPr>
          <w:rFonts w:eastAsia="Times New Roman" w:hint="cs"/>
          <w:rtl/>
          <w:lang w:val="en-GB"/>
        </w:rPr>
        <w:t xml:space="preserve"> الإقليمي والوطني ودون الوطني والمحلي.</w:t>
      </w:r>
    </w:p>
    <w:p w:rsidR="00BB5C54" w:rsidRPr="00E11CAE" w:rsidRDefault="00BB5C54" w:rsidP="00BB5C54">
      <w:pPr>
        <w:tabs>
          <w:tab w:val="left" w:pos="720"/>
        </w:tabs>
        <w:jc w:val="center"/>
        <w:rPr>
          <w:rFonts w:eastAsia="Times New Roman"/>
          <w:b/>
          <w:bCs/>
          <w:sz w:val="24"/>
          <w:lang w:val="en-GB"/>
        </w:rPr>
      </w:pPr>
      <w:r w:rsidRPr="00E11CAE">
        <w:rPr>
          <w:rFonts w:eastAsia="Times New Roman" w:hint="cs"/>
          <w:b/>
          <w:bCs/>
          <w:sz w:val="24"/>
          <w:rtl/>
          <w:lang w:val="en-GB"/>
        </w:rPr>
        <w:lastRenderedPageBreak/>
        <w:t xml:space="preserve">ثانيا </w:t>
      </w:r>
      <w:r w:rsidRPr="00E11CAE">
        <w:rPr>
          <w:rFonts w:eastAsia="Times New Roman"/>
          <w:b/>
          <w:bCs/>
          <w:sz w:val="24"/>
          <w:rtl/>
          <w:lang w:val="en-GB"/>
        </w:rPr>
        <w:t>–</w:t>
      </w:r>
      <w:r w:rsidRPr="00E11CAE">
        <w:rPr>
          <w:rFonts w:eastAsia="Times New Roman" w:hint="cs"/>
          <w:b/>
          <w:bCs/>
          <w:sz w:val="24"/>
          <w:rtl/>
          <w:lang w:val="en-GB"/>
        </w:rPr>
        <w:tab/>
        <w:t>السياق والأساس المنطقي العام</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يعتبر التلقيح الحيواني خدمة إيكولوجية منظمة ذات أهمية حيوية للطبيعة والزراعة ورفاه الإنسان. وتقدم هذه الخدمة الملقحات، وهي النحل المدجن، والنحل البري، وحشرات أخرى مثل الذباب، والفراشات والخنافس، وكذلك الفقاريات، مثل الخفافيش، والطيور وبعض أنواع الرئيسيات. وقد ركز تقرير التقييم بشأن الملقحات والتلقيح وإنتاج الأغذية الذي نشره المنبر الحكومي الدولي للعلوم والسياسات في مجال التنوع البيولوجي وخدمات النظم الإيكولوجية</w:t>
      </w:r>
      <w:r>
        <w:rPr>
          <w:rFonts w:eastAsia="Times New Roman" w:hint="cs"/>
          <w:rtl/>
          <w:lang w:val="en-GB"/>
        </w:rPr>
        <w:t xml:space="preserve"> </w:t>
      </w:r>
      <w:r>
        <w:rPr>
          <w:rFonts w:eastAsia="Times New Roman"/>
        </w:rPr>
        <w:t>(IPBES)</w:t>
      </w:r>
      <w:r w:rsidRPr="00E11CAE">
        <w:rPr>
          <w:rFonts w:eastAsia="Times New Roman" w:hint="cs"/>
          <w:rtl/>
          <w:lang w:val="en-GB"/>
        </w:rPr>
        <w:t>،</w:t>
      </w:r>
      <w:r w:rsidR="000A69D9">
        <w:rPr>
          <w:rStyle w:val="FootnoteReference"/>
          <w:rFonts w:eastAsia="Times New Roman"/>
          <w:rtl/>
          <w:lang w:val="en-GB"/>
        </w:rPr>
        <w:footnoteReference w:id="86"/>
      </w:r>
      <w:r w:rsidRPr="00E11CAE">
        <w:rPr>
          <w:rFonts w:eastAsia="Times New Roman" w:hint="cs"/>
          <w:rtl/>
          <w:lang w:val="en-GB"/>
        </w:rPr>
        <w:t xml:space="preserve"> على دور الملقحات في نواحي متعددة. فحوالي 90 في المائة من أنواع نباتات الأزهار في العالم تعتمد على التلقيح الحيواني بالكامل أو في جزء منها على الأقل. وتعتبر هذه النباتات أساسية لوظائف النظم الإيكولوجية عن طريق تزويد الأنواع الأخرى بالغذاء، والموئل وموارد أخرى. وبالإضافة إلى ذلك، يمكن أن تستفيد </w:t>
      </w:r>
      <w:r>
        <w:rPr>
          <w:rFonts w:eastAsia="Times New Roman" w:hint="cs"/>
          <w:rtl/>
          <w:lang w:val="en-GB"/>
        </w:rPr>
        <w:t xml:space="preserve">أيضا </w:t>
      </w:r>
      <w:r w:rsidRPr="00E11CAE">
        <w:rPr>
          <w:rFonts w:eastAsia="Times New Roman" w:hint="cs"/>
          <w:rtl/>
          <w:lang w:val="en-GB"/>
        </w:rPr>
        <w:t>بعض المحاصيل ذات التلقيح الذاتي، مثل فول الصويا، من الإنتاجية المعززة عن طريق الملقحات الحيوانية.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ولوحظت تقلصات كبيرة في بعض أصناف الملقحات عبر العقود القليلة الأخيرة، بالرغم من أن البيانات عن الحالة والاتجاهات في مجال الملقحات البرية محدودة، ومقيدة على نحو كبير لبعض مناطق أوروبا والأمريكتين. وتقييمات المخاطر لحالة الملقحات الحشرية البرية، مثل النحل البري والفراشات، مقيدة بالمثل من الوجهة الجغرافية ولكنها تشير إلى مستويات عالية من التهديد، مع نسب للأنواع المعرضة للخطر تتجاوز في كثير من الأحيان 40 في المائة.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وفي نفس الوقت الذي أصبحت فيه الزراعة العالمية معتمدة على الملقحات على نحو متزايد، يرتبط الكثير من هذا الاعتماد على الملقحات البرية.</w:t>
      </w:r>
      <w:r w:rsidR="000A69D9">
        <w:rPr>
          <w:rStyle w:val="FootnoteReference"/>
          <w:rFonts w:eastAsia="Times New Roman"/>
          <w:rtl/>
          <w:lang w:val="en-GB"/>
        </w:rPr>
        <w:footnoteReference w:id="87"/>
      </w:r>
      <w:r w:rsidRPr="00E11CAE">
        <w:rPr>
          <w:rFonts w:eastAsia="Times New Roman" w:hint="cs"/>
          <w:rtl/>
          <w:lang w:val="en-GB"/>
        </w:rPr>
        <w:t xml:space="preserve"> وبجانب المنتجات التي يمكن تسويقها والفوائد الصحية الناجمة عن النظم الغذائية المتنوعة والمغذية التي تتيحها عملية التلقيح، تقدم الملقحات منافع غير نقدية لرفاه الإنسان كمصدر لإلهام الفنون والحرف، أو الدين، أو التقاليد أو الأنشطة الترفيهية.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وقد ظل الكثير من المحركات المباشرة وراء الخسارة في الملقحات هو نفس المحركات التي حددتها اتفاقية التنوع البيولوجي في الأصل في أول مقرر لها بشأن الملقحات:</w:t>
      </w:r>
      <w:r w:rsidR="000A69D9">
        <w:rPr>
          <w:rStyle w:val="FootnoteReference"/>
          <w:rFonts w:eastAsia="Times New Roman"/>
          <w:rtl/>
          <w:lang w:val="en-GB"/>
        </w:rPr>
        <w:footnoteReference w:id="88"/>
      </w:r>
      <w:r w:rsidRPr="00E11CAE">
        <w:rPr>
          <w:rFonts w:eastAsia="Times New Roman" w:hint="cs"/>
          <w:rtl/>
          <w:lang w:val="en-GB"/>
        </w:rPr>
        <w:t xml:space="preserve"> تفتيت الموائل والتغير في استخدام الأراضي، والمواد الكيميائية الزراعية والصناعية، والطفيليات والأمراض، والأنواع الغريبة الغازية. وبالإضافة إلى ذلك، ظهرت أهمية محركات مباشرة أخرى مثل تغير المناخ، وقد ركزت عناية أكبر على المحركات المتصلة بممارسات الزراعة الكثيفة مثل الزراعة أحادية المحصول، واستخدام مبيدات الآفات، مع أدلة متزايدة عن التأثيرات المميتة وشبه المميتة لمبيدات الآفات على النحل، والفهم بأن الجمع بين محركات مختلفة يمكن أن يزيد من الضغوط الشاملة على الملقحات.</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وفي السياق الأوسع نطاقا، يمكن أن تعتبر الملقحات وصلة هامة للزراعة والحراجة والتنوع البيولوجي والصحة والأمن الغذائي، وسلامة الأغذية والتغذية. ويمكن أن تؤدي التدابير المواتية للملقحات إلى زيادة الإنتاجية والاستدامة وأن تسهم في جدوى وربحية نظم إنتاج الأغذية على المدى الطويل. ويمكن أن يكون استعمالها على نطاق أوسع عاملا تحوليا عن طريق دعم تطبيق الممارسات المستدامة بين القطاعات الزراعية.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وقد يسرت المرحلة الأولى من المبادرة الدولية للملقحات (2000-</w:t>
      </w:r>
      <w:r w:rsidRPr="00E11CAE">
        <w:rPr>
          <w:rFonts w:eastAsia="Times New Roman"/>
          <w:lang w:val="en-GB"/>
        </w:rPr>
        <w:t>2017</w:t>
      </w:r>
      <w:r w:rsidRPr="00E11CAE">
        <w:rPr>
          <w:rFonts w:eastAsia="Times New Roman" w:hint="cs"/>
          <w:rtl/>
          <w:lang w:val="en-GB"/>
        </w:rPr>
        <w:t xml:space="preserve">) تحديد التهديدات الرئيسية وأسباب تقلص الملقحات، وكذلك آثار وظائف وخدمات التلقيح وانخفاضها على إنتاج الأغذية. وبالإضافة إلى ذلك، تعتبر المعلومات التصنيفية عن الملقحات، وتقييم قيمتها الاقتصادية في بلدان ومحاصيل مختلفة من الخطوات الهامة ليس لتعزيز البحوث والرصد فحسب، بل أيضا لتشجيع حفظ الملقحات واستعادتها واستخدامها المستدام. وأعد عدد من الأدوات ذات الصلة، وأجريت </w:t>
      </w:r>
      <w:r w:rsidRPr="00E11CAE">
        <w:rPr>
          <w:rFonts w:eastAsia="Times New Roman" w:hint="cs"/>
          <w:rtl/>
          <w:lang w:val="en-GB"/>
        </w:rPr>
        <w:lastRenderedPageBreak/>
        <w:t>دراسات كثيرة، بما في ذلك تقييم المنبر الحكومي الدولي للعلوم والسياسات في مجال التنوع البيولوجي وخدمات النظم الإيكولوجية، ودراسات تكميلية.</w:t>
      </w:r>
    </w:p>
    <w:p w:rsidR="00BB5C54" w:rsidRPr="00E11CAE" w:rsidRDefault="00BB5C54" w:rsidP="00FF7FA5">
      <w:pPr>
        <w:numPr>
          <w:ilvl w:val="0"/>
          <w:numId w:val="18"/>
        </w:numPr>
        <w:ind w:left="0" w:firstLine="0"/>
        <w:rPr>
          <w:rFonts w:eastAsia="Times New Roman"/>
          <w:lang w:val="en-GB"/>
        </w:rPr>
      </w:pPr>
      <w:r w:rsidRPr="00E11CAE">
        <w:rPr>
          <w:rFonts w:eastAsia="Times New Roman" w:hint="cs"/>
          <w:rtl/>
          <w:lang w:val="en-GB"/>
        </w:rPr>
        <w:t xml:space="preserve">وقد تم الاعتراف حاليا بالدور الأساسي للملقحات في إنتاج الأغذية، وأهمية تنوعها وتوافرها في المناظر </w:t>
      </w:r>
      <w:r>
        <w:rPr>
          <w:rFonts w:eastAsia="Times New Roman" w:hint="cs"/>
          <w:rtl/>
          <w:lang w:val="en-GB"/>
        </w:rPr>
        <w:t xml:space="preserve">الطبيعية </w:t>
      </w:r>
      <w:r w:rsidRPr="00E11CAE">
        <w:rPr>
          <w:rFonts w:eastAsia="Times New Roman" w:hint="cs"/>
          <w:rtl/>
          <w:lang w:val="en-GB"/>
        </w:rPr>
        <w:t>الأرضية الزراعية والنظم الإيكولوجية ذات الصلة. وتستند خطة العمل المحدثة إلى المرحلة الأولى، ومع مراعاة المقرر 13/15، توجه التركيز نحو تعميم شواغل التلقيح في السياسات، وإعداد وتنفيذ التدابير على أرض الواقع لدعم حفظ الملقحات واستخدامها المستدام، والتصدي للمخاطر، وبناء القدرات وتشارك المعارف على مستويات متعددة لدمج اعتبارات التلقيح في القرارات المتعلقة بالزراعة، واستخدام الأراضي والقرارات الإدارية الأخرى، وتركيز البحوث التعاونية على المسائل الناشئة والاحتياجات السائدة.</w:t>
      </w:r>
    </w:p>
    <w:p w:rsidR="00BB5C54" w:rsidRPr="00E11CAE" w:rsidRDefault="00BB5C54" w:rsidP="00BB5C54">
      <w:pPr>
        <w:tabs>
          <w:tab w:val="left" w:pos="720"/>
        </w:tabs>
        <w:jc w:val="center"/>
        <w:rPr>
          <w:rFonts w:eastAsia="Times New Roman"/>
          <w:b/>
          <w:bCs/>
          <w:sz w:val="24"/>
          <w:rtl/>
          <w:lang w:val="en-GB"/>
        </w:rPr>
      </w:pPr>
      <w:r w:rsidRPr="00E11CAE">
        <w:rPr>
          <w:rFonts w:eastAsia="Times New Roman" w:hint="cs"/>
          <w:b/>
          <w:bCs/>
          <w:sz w:val="24"/>
          <w:rtl/>
          <w:lang w:val="en-GB"/>
        </w:rPr>
        <w:t>ثالثا -</w:t>
      </w:r>
      <w:r w:rsidRPr="00E11CAE">
        <w:rPr>
          <w:rFonts w:eastAsia="Times New Roman" w:hint="cs"/>
          <w:b/>
          <w:bCs/>
          <w:sz w:val="24"/>
          <w:rtl/>
          <w:lang w:val="en-GB"/>
        </w:rPr>
        <w:tab/>
        <w:t>العناصر</w:t>
      </w:r>
    </w:p>
    <w:p w:rsidR="00BB5C54" w:rsidRPr="00E11CAE" w:rsidRDefault="00BB5C54" w:rsidP="00BB5C54">
      <w:pPr>
        <w:tabs>
          <w:tab w:val="left" w:pos="1286"/>
        </w:tabs>
        <w:jc w:val="center"/>
        <w:rPr>
          <w:rFonts w:eastAsia="Times New Roman"/>
          <w:b/>
          <w:bCs/>
          <w:rtl/>
          <w:lang w:val="en-GB"/>
        </w:rPr>
      </w:pPr>
      <w:r w:rsidRPr="00E11CAE">
        <w:rPr>
          <w:rFonts w:eastAsia="Times New Roman" w:hint="cs"/>
          <w:b/>
          <w:bCs/>
          <w:rtl/>
          <w:lang w:val="en-GB"/>
        </w:rPr>
        <w:t>العنصر 1:</w:t>
      </w:r>
      <w:r>
        <w:rPr>
          <w:rFonts w:eastAsia="Times New Roman" w:hint="cs"/>
          <w:b/>
          <w:bCs/>
          <w:rtl/>
          <w:lang w:val="en-GB"/>
        </w:rPr>
        <w:tab/>
      </w:r>
      <w:r w:rsidRPr="00E11CAE">
        <w:rPr>
          <w:rFonts w:eastAsia="Times New Roman" w:hint="cs"/>
          <w:b/>
          <w:bCs/>
          <w:rtl/>
          <w:lang w:val="en-GB"/>
        </w:rPr>
        <w:t>السياسات والاستراتيجيات التمكينية</w:t>
      </w:r>
    </w:p>
    <w:p w:rsidR="00BB5C54" w:rsidRPr="00E11CAE" w:rsidRDefault="00BB5C54" w:rsidP="00BB5C54">
      <w:pPr>
        <w:rPr>
          <w:rFonts w:eastAsia="Times New Roman"/>
          <w:i/>
          <w:iCs/>
          <w:lang w:val="en-GB"/>
        </w:rPr>
      </w:pPr>
      <w:r w:rsidRPr="00E11CAE">
        <w:rPr>
          <w:rFonts w:eastAsia="Times New Roman" w:hint="cs"/>
          <w:i/>
          <w:iCs/>
          <w:rtl/>
          <w:lang w:val="en-GB"/>
        </w:rPr>
        <w:t>الهدف التشغيلي</w:t>
      </w:r>
    </w:p>
    <w:p w:rsidR="00BB5C54" w:rsidRPr="00E11CAE" w:rsidRDefault="00BB5C54" w:rsidP="00BB5C54">
      <w:pPr>
        <w:rPr>
          <w:rFonts w:eastAsia="Times New Roman"/>
          <w:rtl/>
          <w:lang w:val="en-GB"/>
        </w:rPr>
      </w:pPr>
      <w:r w:rsidRPr="00E11CAE">
        <w:rPr>
          <w:rFonts w:eastAsia="Times New Roman" w:hint="cs"/>
          <w:rtl/>
          <w:lang w:val="en-GB"/>
        </w:rPr>
        <w:t>دعم تنفيذ سياسات متسقة وشاملة لحفظ الملقحات واستخدامها المستدام على المستوى المحلي ودون الوطني والوطني والإقليمي والعالمي، والنهوض بدمجها في الخطط والبرامج والاستراتيجيات القطاعية والشاملة لعدة قطاعات.</w:t>
      </w:r>
    </w:p>
    <w:p w:rsidR="00BB5C54" w:rsidRPr="00E11CAE" w:rsidRDefault="00BB5C54" w:rsidP="00BB5C54">
      <w:pPr>
        <w:rPr>
          <w:rFonts w:eastAsia="Times New Roman"/>
          <w:i/>
          <w:iCs/>
          <w:rtl/>
          <w:lang w:val="en-GB"/>
        </w:rPr>
      </w:pPr>
      <w:r w:rsidRPr="00E11CAE">
        <w:rPr>
          <w:rFonts w:eastAsia="Times New Roman" w:hint="cs"/>
          <w:i/>
          <w:iCs/>
          <w:rtl/>
          <w:lang w:val="en-GB"/>
        </w:rPr>
        <w:t>الأساس المنطقي</w:t>
      </w:r>
    </w:p>
    <w:p w:rsidR="00BB5C54" w:rsidRPr="00E11CAE" w:rsidRDefault="00BB5C54" w:rsidP="00BB5C54">
      <w:pPr>
        <w:rPr>
          <w:rFonts w:eastAsia="Times New Roman"/>
          <w:rtl/>
          <w:lang w:val="en-GB"/>
        </w:rPr>
      </w:pPr>
      <w:r w:rsidRPr="00E11CAE">
        <w:rPr>
          <w:rFonts w:eastAsia="Times New Roman" w:hint="cs"/>
          <w:rtl/>
          <w:lang w:val="en-GB"/>
        </w:rPr>
        <w:t>هناك حاجة إلى سياسات وطنية مناسبة من أجل تهيئة بيئة تمكينية فعالة لدعم أنشطة المزارعين، ومديري الأراضي، والنحالين، والقطاع الخاص والمجتمع المدني. وتعتبر شواغل التلقيح مسألة شاملة في كثير من الأحيان وينبغي تصميم السياسات لعدم دمج اعتبارات الملقحات والتلقيح في سياق التحولات الزراعية المستدامة فحسب، بل أيضا عبر القطاعات (مثلا، الحراجة والصحة).</w:t>
      </w:r>
    </w:p>
    <w:p w:rsidR="00BB5C54" w:rsidRPr="00E11CAE" w:rsidRDefault="00BB5C54" w:rsidP="00BB5C54">
      <w:pPr>
        <w:rPr>
          <w:rFonts w:eastAsia="Times New Roman"/>
          <w:i/>
          <w:iCs/>
          <w:rtl/>
          <w:lang w:val="en-GB"/>
        </w:rPr>
      </w:pPr>
      <w:r w:rsidRPr="00E11CAE">
        <w:rPr>
          <w:rFonts w:eastAsia="Times New Roman" w:hint="cs"/>
          <w:i/>
          <w:iCs/>
          <w:rtl/>
          <w:lang w:val="en-GB"/>
        </w:rPr>
        <w:t>الأنشطة</w:t>
      </w:r>
    </w:p>
    <w:p w:rsidR="00BB5C54" w:rsidRPr="00E11CAE" w:rsidRDefault="00BB5C54" w:rsidP="00BB5C54">
      <w:pPr>
        <w:rPr>
          <w:rFonts w:eastAsia="Times New Roman"/>
          <w:b/>
          <w:bCs/>
          <w:rtl/>
          <w:lang w:val="en-GB"/>
        </w:rPr>
      </w:pPr>
      <w:r w:rsidRPr="00E11CAE">
        <w:rPr>
          <w:rFonts w:eastAsia="Times New Roman" w:hint="cs"/>
          <w:b/>
          <w:bCs/>
          <w:rtl/>
          <w:lang w:val="en-GB"/>
        </w:rPr>
        <w:t>النشاط 1-1 إعداد وتنفيذ سياسات متسقة وشاملة من شأنها أن تمكن وتدعم الأنشطة لصون وتشجيع الملقحات البرية والمدجنة، لدمجها في خطط السياسات الأوسع نطاقا للتنمية المستدامة</w:t>
      </w:r>
    </w:p>
    <w:p w:rsidR="00BB5C54" w:rsidRPr="00E11CAE" w:rsidRDefault="00BB5C54" w:rsidP="00BB5C54">
      <w:pPr>
        <w:rPr>
          <w:rFonts w:eastAsia="Times New Roman"/>
          <w:rtl/>
          <w:lang w:val="en-GB"/>
        </w:rPr>
      </w:pPr>
      <w:r w:rsidRPr="00E11CAE">
        <w:rPr>
          <w:rFonts w:eastAsia="Times New Roman" w:hint="cs"/>
          <w:b/>
          <w:bCs/>
          <w:rtl/>
          <w:lang w:val="en-GB"/>
        </w:rPr>
        <w:t>النشاط 1-1-1</w:t>
      </w:r>
      <w:r w:rsidRPr="00E11CAE">
        <w:rPr>
          <w:rFonts w:eastAsia="Times New Roman" w:hint="cs"/>
          <w:rtl/>
          <w:lang w:val="en-GB"/>
        </w:rPr>
        <w:t xml:space="preserve"> النهوض بسياسات متسقة عبر القطاعات والقضايا الشاملة (مثلا، التنوع البيولوجي، والأمن الغذائي، والمواد الكيميائية والتلوث، والحد من الفقر، وتغير المناخ، والحد من مخاطر الكوارث ومكافحة التصحر)؛</w:t>
      </w:r>
    </w:p>
    <w:p w:rsidR="00BB5C54" w:rsidRPr="00E11CAE" w:rsidRDefault="00BB5C54" w:rsidP="00BB5C54">
      <w:pPr>
        <w:rPr>
          <w:rFonts w:eastAsia="Times New Roman"/>
          <w:rtl/>
          <w:lang w:val="en-GB"/>
        </w:rPr>
      </w:pPr>
      <w:r w:rsidRPr="00E11CAE">
        <w:rPr>
          <w:rFonts w:eastAsia="Times New Roman" w:hint="cs"/>
          <w:b/>
          <w:bCs/>
          <w:rtl/>
          <w:lang w:val="en-GB"/>
        </w:rPr>
        <w:t>النشاط 1-1-2</w:t>
      </w:r>
      <w:r w:rsidRPr="00E11CAE">
        <w:rPr>
          <w:rFonts w:eastAsia="Times New Roman" w:hint="cs"/>
          <w:rtl/>
          <w:lang w:val="en-GB"/>
        </w:rPr>
        <w:t xml:space="preserve"> معالجة الروابط بين الملقحات وصحة الإنسان، والنظم الغذائية والتعرض لمبيدات الآفات؛</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1-1-3 </w:t>
      </w:r>
      <w:r w:rsidRPr="00E11CAE">
        <w:rPr>
          <w:rFonts w:eastAsia="Times New Roman" w:hint="cs"/>
          <w:rtl/>
          <w:lang w:val="en-GB"/>
        </w:rPr>
        <w:t xml:space="preserve">معالجة الروابط بين الملقحات وتقديم وظائف وخدمات النظم الإيكولوجية، </w:t>
      </w:r>
      <w:r>
        <w:rPr>
          <w:rFonts w:eastAsia="Times New Roman" w:hint="cs"/>
          <w:rtl/>
          <w:lang w:val="en-GB"/>
        </w:rPr>
        <w:t>فيما يتجاوز</w:t>
      </w:r>
      <w:r w:rsidRPr="00E11CAE">
        <w:rPr>
          <w:rFonts w:eastAsia="Times New Roman" w:hint="cs"/>
          <w:rtl/>
          <w:lang w:val="en-GB"/>
        </w:rPr>
        <w:t xml:space="preserve"> إنتاج ال</w:t>
      </w:r>
      <w:r>
        <w:rPr>
          <w:rFonts w:eastAsia="Times New Roman" w:hint="cs"/>
          <w:rtl/>
          <w:lang w:val="en-GB"/>
        </w:rPr>
        <w:t>أغذية</w:t>
      </w:r>
      <w:r w:rsidRPr="00E11CAE">
        <w:rPr>
          <w:rFonts w:eastAsia="Times New Roman" w:hint="cs"/>
          <w:rtl/>
          <w:lang w:val="en-GB"/>
        </w:rPr>
        <w:t>؛</w:t>
      </w:r>
    </w:p>
    <w:p w:rsidR="00BB5C54" w:rsidRPr="00E11CAE" w:rsidRDefault="00BB5C54" w:rsidP="00BB5C54">
      <w:pPr>
        <w:rPr>
          <w:rFonts w:eastAsia="Times New Roman"/>
          <w:rtl/>
          <w:lang w:val="en-GB"/>
        </w:rPr>
      </w:pPr>
      <w:r w:rsidRPr="00E11CAE">
        <w:rPr>
          <w:rFonts w:eastAsia="Times New Roman" w:hint="cs"/>
          <w:b/>
          <w:bCs/>
          <w:rtl/>
          <w:lang w:val="en-GB"/>
        </w:rPr>
        <w:t>النشاط 1-1-4</w:t>
      </w:r>
      <w:r w:rsidRPr="00E11CAE">
        <w:rPr>
          <w:rFonts w:eastAsia="Times New Roman" w:hint="cs"/>
          <w:rtl/>
          <w:lang w:val="en-GB"/>
        </w:rPr>
        <w:t xml:space="preserve"> الاعتراف بالملقحات والتلقيح كجزء من نظم زراعية كاملة وكمدخلات زراعية هامة؛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1-1-5 </w:t>
      </w:r>
      <w:r w:rsidRPr="00E11CAE">
        <w:rPr>
          <w:rFonts w:eastAsia="Times New Roman" w:hint="cs"/>
          <w:rtl/>
          <w:lang w:val="en-GB"/>
        </w:rPr>
        <w:t>الاعتراف بالملقحات والتلقيح كجزء أساسي من تكامل النظم الإيكولوجية وصيانتها؛</w:t>
      </w:r>
    </w:p>
    <w:p w:rsidR="00BB5C54" w:rsidRPr="00E11CAE" w:rsidRDefault="00BB5C54" w:rsidP="00BB5C54">
      <w:pPr>
        <w:rPr>
          <w:rFonts w:eastAsia="Times New Roman"/>
          <w:rtl/>
          <w:lang w:val="en-GB"/>
        </w:rPr>
      </w:pPr>
      <w:r w:rsidRPr="00E11CAE">
        <w:rPr>
          <w:rFonts w:eastAsia="Times New Roman" w:hint="cs"/>
          <w:b/>
          <w:bCs/>
          <w:rtl/>
          <w:lang w:val="en-GB"/>
        </w:rPr>
        <w:t>النشاط 1-1-6</w:t>
      </w:r>
      <w:r w:rsidRPr="00E11CAE">
        <w:rPr>
          <w:rFonts w:eastAsia="Times New Roman" w:hint="cs"/>
          <w:rtl/>
          <w:lang w:val="en-GB"/>
        </w:rPr>
        <w:t xml:space="preserve"> تطبيق الحلول القائمة على الطبيعة وتعزيز التفاعلات الإيجابية (مثلا، الإدارة المتكاملة للآفات، والتنوع في المزرعة، والتكثيف الإيكولوجي، والاستعادة من أجل زيادة ترابط المناظر الطبيعية الأرضية)؛</w:t>
      </w:r>
    </w:p>
    <w:p w:rsidR="00BB5C54" w:rsidRPr="00E11CAE" w:rsidRDefault="00BB5C54" w:rsidP="00BB5C54">
      <w:pPr>
        <w:rPr>
          <w:rFonts w:eastAsia="Times New Roman"/>
          <w:rtl/>
          <w:lang w:val="en-GB"/>
        </w:rPr>
      </w:pPr>
      <w:r w:rsidRPr="00E11CAE">
        <w:rPr>
          <w:rFonts w:eastAsia="Times New Roman" w:hint="cs"/>
          <w:b/>
          <w:bCs/>
          <w:rtl/>
          <w:lang w:val="en-GB"/>
        </w:rPr>
        <w:lastRenderedPageBreak/>
        <w:t>النشاط 1-1-7</w:t>
      </w:r>
      <w:r w:rsidRPr="00E11CAE">
        <w:rPr>
          <w:rFonts w:eastAsia="Times New Roman" w:hint="cs"/>
          <w:rtl/>
          <w:lang w:val="en-GB"/>
        </w:rPr>
        <w:t xml:space="preserve"> دعم الوصول إلى البيانات واستخدام أدوات دعم القرار، بما في ذلك التخطيط لاستخدام الأراضي وتقسيم المناطق، من أجل تعزيز مدى موائل الملقحات وترابطها</w:t>
      </w:r>
      <w:r w:rsidR="000A69D9">
        <w:rPr>
          <w:rStyle w:val="FootnoteReference"/>
          <w:rFonts w:eastAsia="Times New Roman"/>
          <w:rtl/>
          <w:lang w:val="en-GB"/>
        </w:rPr>
        <w:footnoteReference w:id="89"/>
      </w:r>
      <w:r w:rsidRPr="00E11CAE">
        <w:rPr>
          <w:rFonts w:eastAsia="Times New Roman" w:hint="cs"/>
          <w:rtl/>
          <w:lang w:val="en-GB"/>
        </w:rPr>
        <w:t xml:space="preserve"> في المناظر الطبيعية الأرضية، مع مشاركة المزارعين والمجتمعات المحلية؛</w:t>
      </w:r>
    </w:p>
    <w:p w:rsidR="00BB5C54" w:rsidRPr="00E11CAE" w:rsidRDefault="00BB5C54" w:rsidP="00BB5C54">
      <w:pPr>
        <w:rPr>
          <w:rFonts w:eastAsia="Times New Roman"/>
          <w:rtl/>
          <w:lang w:val="en-GB"/>
        </w:rPr>
      </w:pPr>
      <w:r w:rsidRPr="00E11CAE">
        <w:rPr>
          <w:rFonts w:eastAsia="Times New Roman" w:hint="cs"/>
          <w:b/>
          <w:bCs/>
          <w:rtl/>
          <w:lang w:val="en-GB"/>
        </w:rPr>
        <w:t>النشاط 1-1-8</w:t>
      </w:r>
      <w:r w:rsidRPr="00E11CAE">
        <w:rPr>
          <w:rFonts w:eastAsia="Times New Roman" w:hint="cs"/>
          <w:rtl/>
          <w:lang w:val="en-GB"/>
        </w:rPr>
        <w:t xml:space="preserve"> دعم تنمية القدرات لتقديم إرشادات بشأن أفضل ممارسات إدارة الملقحات والتلقيح، عن طريق دعم دمج الحلول القائمة على الطبيعة في خدمات الإرشاد الزراعي، والتشارك بين مزارع وآخر، وشبكات الباحثين للمزارعين؛</w:t>
      </w:r>
    </w:p>
    <w:p w:rsidR="00BB5C54" w:rsidRPr="00E11CAE" w:rsidRDefault="00BB5C54" w:rsidP="00BB5C54">
      <w:pPr>
        <w:rPr>
          <w:rFonts w:eastAsia="Times New Roman"/>
          <w:rtl/>
          <w:lang w:val="en-GB"/>
        </w:rPr>
      </w:pPr>
      <w:r w:rsidRPr="00E11CAE">
        <w:rPr>
          <w:rFonts w:eastAsia="Times New Roman" w:hint="cs"/>
          <w:b/>
          <w:bCs/>
          <w:rtl/>
          <w:lang w:val="en-GB"/>
        </w:rPr>
        <w:t>النشاط 1-1-9</w:t>
      </w:r>
      <w:r w:rsidRPr="00E11CAE">
        <w:rPr>
          <w:rFonts w:eastAsia="Times New Roman" w:hint="cs"/>
          <w:rtl/>
          <w:lang w:val="en-GB"/>
        </w:rPr>
        <w:t xml:space="preserve"> إعداد وتنفيذ الحوافز، التي تكون متسقة ومتوائمة مع الالتزامات الدولية، للمزارعين وموردي الأغذية لتشجيع اعتماد ممارسات مواتية للملقحات (مثلا، تدابير حجز الكربون التي تزيد من موائل الملقحات؛ وحفظ المناطق غير المزروعة للنباتات الرعوية للملقحات) وإزالة أو تقليل إلى أدنى حد الحوافز السلبية التي تلحق ضررا بالملقحات وموائلها (مثلا، إعانات مبيدات الآفات؛ وحوافز لاستخدام مبيدات الآفات كشرط للحصول على ائتمان من البنوك)، مع مراعاة احتياجات المزارعين والنحالين ومديري الأراضي في المناطق الحضرية والريفية، والشعوب الأصلية والمجتمعات المحلية وغيرهم من أصحاب المصلحة؛</w:t>
      </w:r>
    </w:p>
    <w:p w:rsidR="00BB5C54" w:rsidRPr="00E11CAE" w:rsidRDefault="00BB5C54" w:rsidP="00BB5C54">
      <w:pPr>
        <w:rPr>
          <w:rFonts w:eastAsia="Times New Roman"/>
          <w:rtl/>
          <w:lang w:val="en-GB"/>
        </w:rPr>
      </w:pPr>
      <w:r w:rsidRPr="00E11CAE">
        <w:rPr>
          <w:rFonts w:eastAsia="Times New Roman" w:hint="cs"/>
          <w:b/>
          <w:bCs/>
          <w:rtl/>
          <w:lang w:val="en-GB"/>
        </w:rPr>
        <w:t>النشاط 1-1-10</w:t>
      </w:r>
      <w:r w:rsidRPr="00E11CAE">
        <w:rPr>
          <w:rFonts w:eastAsia="Times New Roman" w:hint="cs"/>
          <w:rtl/>
          <w:lang w:val="en-GB"/>
        </w:rPr>
        <w:t xml:space="preserve"> تشجيع الاعتراف بالممارسات المواتية للملقحات والعواقب على وظائف وخدمات التلقيح في نظم إصدار الشهادات القائمة؛</w:t>
      </w:r>
    </w:p>
    <w:p w:rsidR="00BB5C54" w:rsidRPr="00E11CAE" w:rsidRDefault="00BB5C54" w:rsidP="00BB5C54">
      <w:pPr>
        <w:rPr>
          <w:rFonts w:eastAsia="Times New Roman"/>
          <w:rtl/>
          <w:lang w:val="en-GB"/>
        </w:rPr>
      </w:pPr>
      <w:r w:rsidRPr="00E11CAE">
        <w:rPr>
          <w:rFonts w:eastAsia="Times New Roman" w:hint="cs"/>
          <w:b/>
          <w:bCs/>
          <w:rtl/>
          <w:lang w:val="en-GB"/>
        </w:rPr>
        <w:t>النشاط 1-1-11</w:t>
      </w:r>
      <w:r w:rsidRPr="00E11CAE">
        <w:rPr>
          <w:rFonts w:eastAsia="Times New Roman" w:hint="cs"/>
          <w:rtl/>
          <w:lang w:val="en-GB"/>
        </w:rPr>
        <w:t xml:space="preserve"> حماية أنواع الملقحات المهددة وكذلك بيئاتها الطبيعية وحفظها.</w:t>
      </w:r>
    </w:p>
    <w:p w:rsidR="00BB5C54" w:rsidRPr="00E11CAE" w:rsidRDefault="00BB5C54" w:rsidP="00BB5C54">
      <w:pPr>
        <w:rPr>
          <w:rFonts w:eastAsia="Times New Roman"/>
          <w:b/>
          <w:bCs/>
          <w:rtl/>
          <w:lang w:val="en-GB"/>
        </w:rPr>
      </w:pPr>
      <w:r w:rsidRPr="00E11CAE">
        <w:rPr>
          <w:rFonts w:eastAsia="Times New Roman" w:hint="cs"/>
          <w:b/>
          <w:bCs/>
          <w:rtl/>
          <w:lang w:val="en-GB"/>
        </w:rPr>
        <w:t>النشاط 1-2 تنفيذ قواعد فعالة بشأن مبيدات الآفات</w:t>
      </w:r>
      <w:r w:rsidR="000A69D9">
        <w:rPr>
          <w:rStyle w:val="FootnoteReference"/>
          <w:rFonts w:eastAsia="Times New Roman"/>
          <w:b/>
          <w:bCs/>
          <w:rtl/>
          <w:lang w:val="en-GB"/>
        </w:rPr>
        <w:footnoteReference w:id="90"/>
      </w:r>
    </w:p>
    <w:p w:rsidR="00BB5C54" w:rsidRPr="00E11CAE" w:rsidRDefault="00BB5C54" w:rsidP="00BB5C54">
      <w:pPr>
        <w:rPr>
          <w:rFonts w:eastAsia="Times New Roman"/>
          <w:rtl/>
          <w:lang w:val="en-GB"/>
        </w:rPr>
      </w:pPr>
      <w:r w:rsidRPr="00E11CAE">
        <w:rPr>
          <w:rFonts w:eastAsia="Times New Roman" w:hint="cs"/>
          <w:b/>
          <w:bCs/>
          <w:rtl/>
          <w:lang w:val="en-GB"/>
        </w:rPr>
        <w:t>النشاط 1-2-1</w:t>
      </w:r>
      <w:r w:rsidRPr="00E11CAE">
        <w:rPr>
          <w:rFonts w:eastAsia="Times New Roman" w:hint="cs"/>
          <w:rtl/>
          <w:lang w:val="en-GB"/>
        </w:rPr>
        <w:t xml:space="preserve"> تقليل استخدام مبيدات الآفات القائمة، بما في ذلك مبيدات الآفات التجميلية والمواد الكيميائية الزراعية، الضارة بالملقحات أو التي تشكل خطرا غير مقبول عليها، وإزالتها تدريجيا، وتجنب تسجيل تلك المبيدات الضارة بالملقحات أو التي تشكل خطرا غير مقبول عليها؛</w:t>
      </w:r>
    </w:p>
    <w:p w:rsidR="00BB5C54" w:rsidRPr="00E11CAE" w:rsidRDefault="00BB5C54" w:rsidP="00BB5C54">
      <w:pPr>
        <w:rPr>
          <w:rFonts w:eastAsia="Times New Roman"/>
          <w:rtl/>
          <w:lang w:val="en-GB"/>
        </w:rPr>
      </w:pPr>
      <w:r w:rsidRPr="00E11CAE">
        <w:rPr>
          <w:rFonts w:eastAsia="Times New Roman" w:hint="cs"/>
          <w:b/>
          <w:bCs/>
          <w:rtl/>
          <w:lang w:val="en-GB"/>
        </w:rPr>
        <w:t>النشاط 1-2-2</w:t>
      </w:r>
      <w:r w:rsidRPr="00E11CAE">
        <w:rPr>
          <w:rFonts w:eastAsia="Times New Roman" w:hint="cs"/>
          <w:rtl/>
          <w:lang w:val="en-GB"/>
        </w:rPr>
        <w:t xml:space="preserve"> إعداد إجراءات تقييم المخاطر (بالنظر إلى حالات تعرض واقعية في الحقول والتأثيرات الأطول أجلا) لمبيدات الآفات، والبذور المعالجة بالمبيدات، والكائنات الحية المحورة لمراعاة الآثار الممكنة والتأثيرات المتراكمة، بما في ذلك التأثيرات شبه المميتة والتأثيرات غير المباشرة، على الملقحات البرية والمدجنة (بما في ذلك البيض، واليرقات، والحشرات في مرحلة الطور الانتقالي ومرحلة البلوغ)، وكذلك الأنواع الأخرى غير المستهدفة، وتحسينها وتنفيذها بشكل منتظم؛</w:t>
      </w:r>
    </w:p>
    <w:p w:rsidR="00BB5C54" w:rsidRPr="00E11CAE" w:rsidRDefault="00BB5C54" w:rsidP="00BB5C54">
      <w:pPr>
        <w:rPr>
          <w:rFonts w:eastAsia="Times New Roman"/>
          <w:rtl/>
          <w:lang w:val="en-GB"/>
        </w:rPr>
      </w:pPr>
      <w:r w:rsidRPr="00E11CAE">
        <w:rPr>
          <w:rFonts w:eastAsia="Times New Roman" w:hint="cs"/>
          <w:b/>
          <w:bCs/>
          <w:rtl/>
          <w:lang w:val="en-GB"/>
        </w:rPr>
        <w:t>النشاط 1-2-3</w:t>
      </w:r>
      <w:r w:rsidRPr="00E11CAE">
        <w:rPr>
          <w:rFonts w:eastAsia="Times New Roman" w:hint="cs"/>
          <w:rtl/>
          <w:lang w:val="en-GB"/>
        </w:rPr>
        <w:t xml:space="preserve"> العمل مع المنظمين من أجل تنفيذ أدوات مثل حقيبة أدوات تسجيل مبيدات الآفات التابعة لمنظمة الأغذية والزراعة؛</w:t>
      </w:r>
    </w:p>
    <w:p w:rsidR="00BB5C54" w:rsidRPr="00E11CAE" w:rsidRDefault="00BB5C54" w:rsidP="00BB5C54">
      <w:pPr>
        <w:rPr>
          <w:rFonts w:eastAsia="Times New Roman"/>
          <w:rtl/>
          <w:lang w:val="en-GB"/>
        </w:rPr>
      </w:pPr>
      <w:r w:rsidRPr="00E11CAE">
        <w:rPr>
          <w:rFonts w:eastAsia="Times New Roman" w:hint="cs"/>
          <w:b/>
          <w:bCs/>
          <w:rtl/>
          <w:lang w:val="en-GB"/>
        </w:rPr>
        <w:t>النشاط 1-2-4</w:t>
      </w:r>
      <w:r w:rsidRPr="00E11CAE">
        <w:rPr>
          <w:rFonts w:eastAsia="Times New Roman" w:hint="cs"/>
          <w:rtl/>
          <w:lang w:val="en-GB"/>
        </w:rPr>
        <w:t xml:space="preserve"> تعزيز قدرات سلطات تسجيل مبيدات الآفات على حماية الملقحات من المواد الكيميائية؛</w:t>
      </w:r>
    </w:p>
    <w:p w:rsidR="00BB5C54" w:rsidRPr="00E11CAE" w:rsidRDefault="00BB5C54" w:rsidP="00BB5C54">
      <w:pPr>
        <w:rPr>
          <w:rFonts w:eastAsia="Times New Roman"/>
          <w:rtl/>
          <w:lang w:val="en-GB"/>
        </w:rPr>
      </w:pPr>
      <w:r w:rsidRPr="00E11CAE">
        <w:rPr>
          <w:rFonts w:eastAsia="Times New Roman" w:hint="cs"/>
          <w:b/>
          <w:bCs/>
          <w:rtl/>
          <w:lang w:val="en-GB"/>
        </w:rPr>
        <w:t>النشاط 1-2-5</w:t>
      </w:r>
      <w:r w:rsidRPr="00E11CAE">
        <w:rPr>
          <w:rFonts w:eastAsia="Times New Roman" w:hint="cs"/>
          <w:rtl/>
          <w:lang w:val="en-GB"/>
        </w:rPr>
        <w:t xml:space="preserve"> إعداد وتشجيع الإرشادات والتدريب بشأن أفضل ممارسات استخدام مبيدات الآفات (مثلا، الأساليب، والتكنولوجيا، والتوقيت، والمحاصيل غير الأزهار، والأحوال الجوية) استنادا إلى مدونة السلوك الدولية لإدارة مبيدات الآفات الصادرة عن منظمة الأغذية والزراعة ومنظمة الصحة العالمية؛</w:t>
      </w:r>
    </w:p>
    <w:p w:rsidR="00BB5C54" w:rsidRPr="00E11CAE" w:rsidRDefault="00BB5C54" w:rsidP="00BB5C54">
      <w:pPr>
        <w:rPr>
          <w:rFonts w:eastAsia="Times New Roman"/>
          <w:rtl/>
          <w:lang w:val="en-GB"/>
        </w:rPr>
      </w:pPr>
      <w:r w:rsidRPr="00E11CAE">
        <w:rPr>
          <w:rFonts w:eastAsia="Times New Roman" w:hint="cs"/>
          <w:b/>
          <w:bCs/>
          <w:rtl/>
          <w:lang w:val="en-GB"/>
        </w:rPr>
        <w:t>النشاط 1-2-6</w:t>
      </w:r>
      <w:r w:rsidRPr="00E11CAE">
        <w:rPr>
          <w:rFonts w:eastAsia="Times New Roman" w:hint="cs"/>
          <w:rtl/>
          <w:lang w:val="en-GB"/>
        </w:rPr>
        <w:t xml:space="preserve"> إعداد وتنفيذ استراتيجيات وطنية وإقليمية للحد من مخاطر مبيدات الآفات وتشجيع نُهج بديلة (مثلا، ممارسات الإدارة المتكاملة للآفات والمكافحة البيولوجية) للحد من تعرض الملقحات لمبيدات الآفات الضارة أو إزالة هذا التعرض؛</w:t>
      </w:r>
    </w:p>
    <w:p w:rsidR="00BB5C54" w:rsidRPr="00E11CAE" w:rsidRDefault="00BB5C54" w:rsidP="00BB5C54">
      <w:pPr>
        <w:rPr>
          <w:rFonts w:eastAsia="Times New Roman"/>
          <w:rtl/>
          <w:lang w:val="en-GB"/>
        </w:rPr>
      </w:pPr>
      <w:r w:rsidRPr="00E11CAE">
        <w:rPr>
          <w:rFonts w:eastAsia="Times New Roman" w:hint="cs"/>
          <w:b/>
          <w:bCs/>
          <w:rtl/>
          <w:lang w:val="en-GB"/>
        </w:rPr>
        <w:lastRenderedPageBreak/>
        <w:t>النشاط 1-2-7</w:t>
      </w:r>
      <w:r w:rsidRPr="00E11CAE">
        <w:rPr>
          <w:rFonts w:eastAsia="Times New Roman" w:hint="cs"/>
          <w:rtl/>
          <w:lang w:val="en-GB"/>
        </w:rPr>
        <w:t xml:space="preserve"> إعداد وتنفيذ، حسب الاقتضاء، برامج وطنية للرصد والمراقبة والتسجيل للمبيدات ومنتجاتها التحويلية.</w:t>
      </w:r>
    </w:p>
    <w:p w:rsidR="00BB5C54" w:rsidRPr="00E11CAE" w:rsidRDefault="00BB5C54" w:rsidP="00BB5C54">
      <w:pPr>
        <w:rPr>
          <w:rFonts w:eastAsia="Times New Roman"/>
          <w:b/>
          <w:bCs/>
          <w:rtl/>
          <w:lang w:val="en-GB"/>
        </w:rPr>
      </w:pPr>
      <w:r w:rsidRPr="00E11CAE">
        <w:rPr>
          <w:rFonts w:eastAsia="Times New Roman" w:hint="cs"/>
          <w:b/>
          <w:bCs/>
          <w:rtl/>
          <w:lang w:val="en-GB"/>
        </w:rPr>
        <w:t>النشاط 1-3 حماية وتشجيع المعارف الأصلية والتقليدية</w:t>
      </w:r>
    </w:p>
    <w:p w:rsidR="00BB5C54" w:rsidRPr="00E11CAE" w:rsidRDefault="00BB5C54" w:rsidP="00BB5C54">
      <w:pPr>
        <w:rPr>
          <w:rFonts w:eastAsia="Times New Roman"/>
          <w:rtl/>
          <w:lang w:val="en-GB"/>
        </w:rPr>
      </w:pPr>
      <w:r w:rsidRPr="00E11CAE">
        <w:rPr>
          <w:rFonts w:eastAsia="Times New Roman" w:hint="cs"/>
          <w:b/>
          <w:bCs/>
          <w:rtl/>
          <w:lang w:val="en-GB"/>
        </w:rPr>
        <w:t>النشاط 1-3-1</w:t>
      </w:r>
      <w:r w:rsidRPr="00E11CAE">
        <w:rPr>
          <w:rFonts w:eastAsia="Times New Roman" w:hint="cs"/>
          <w:rtl/>
          <w:lang w:val="en-GB"/>
        </w:rPr>
        <w:t xml:space="preserve"> حماية وتشجيع المعارف والابتكارات والممارسات الأصلية والتقليدية ذات الصلة بالملقحات والتلقيح (مثلا، تصميم المناحل؛ ورعاية موارد الملقحات؛ والسبل التقليدية لفهم آثار الطفيليات) ودعم النُهج التشاركية لتحديد السمات التشخيصية للأنواع الجديدة ورصدها؛</w:t>
      </w:r>
    </w:p>
    <w:p w:rsidR="00BB5C54" w:rsidRPr="00E11CAE" w:rsidRDefault="00BB5C54" w:rsidP="00BB5C54">
      <w:pPr>
        <w:rPr>
          <w:rFonts w:eastAsia="Times New Roman"/>
          <w:rtl/>
          <w:lang w:val="en-GB"/>
        </w:rPr>
      </w:pPr>
      <w:r w:rsidRPr="00E11CAE">
        <w:rPr>
          <w:rFonts w:eastAsia="Times New Roman" w:hint="cs"/>
          <w:b/>
          <w:bCs/>
          <w:rtl/>
          <w:lang w:val="en-GB"/>
        </w:rPr>
        <w:t>النشاط 1-3-2</w:t>
      </w:r>
      <w:r w:rsidRPr="00E11CAE">
        <w:rPr>
          <w:rFonts w:eastAsia="Times New Roman" w:hint="cs"/>
          <w:rtl/>
          <w:lang w:val="en-GB"/>
        </w:rPr>
        <w:t xml:space="preserve"> حماية الحقوق في الأراضي والحيازة المنصوص عليها لحفظ الملقحات واستخدامها المستدام.</w:t>
      </w:r>
    </w:p>
    <w:p w:rsidR="00BB5C54" w:rsidRPr="00E11CAE" w:rsidRDefault="00BB5C54" w:rsidP="00BB5C54">
      <w:pPr>
        <w:rPr>
          <w:rFonts w:eastAsia="Times New Roman"/>
          <w:b/>
          <w:bCs/>
          <w:rtl/>
          <w:lang w:val="en-GB"/>
        </w:rPr>
      </w:pPr>
      <w:r w:rsidRPr="00E11CAE">
        <w:rPr>
          <w:rFonts w:eastAsia="Times New Roman" w:hint="cs"/>
          <w:b/>
          <w:bCs/>
          <w:rtl/>
          <w:lang w:val="en-GB"/>
        </w:rPr>
        <w:t>النشاط 1-4 مراقبة التجارة بالملقحات المدجنة وتحركاتها، والآثار الأخرى المتصلة بالتجارة</w:t>
      </w:r>
    </w:p>
    <w:p w:rsidR="00BB5C54" w:rsidRPr="00E11CAE" w:rsidRDefault="00BB5C54" w:rsidP="00BB5C54">
      <w:pPr>
        <w:rPr>
          <w:rFonts w:eastAsia="Times New Roman"/>
          <w:rtl/>
          <w:lang w:val="en-GB"/>
        </w:rPr>
      </w:pPr>
      <w:r w:rsidRPr="00E11CAE">
        <w:rPr>
          <w:rFonts w:eastAsia="Times New Roman" w:hint="cs"/>
          <w:b/>
          <w:bCs/>
          <w:rtl/>
          <w:lang w:val="en-GB"/>
        </w:rPr>
        <w:t>النشاط 1-4-1</w:t>
      </w:r>
      <w:r w:rsidRPr="00E11CAE">
        <w:rPr>
          <w:rFonts w:eastAsia="Times New Roman" w:hint="cs"/>
          <w:rtl/>
          <w:lang w:val="en-GB"/>
        </w:rPr>
        <w:t xml:space="preserve"> رصد تحركات أنواع الملقحات المدجنة والاتجار بها، والأنواع والفصائل والسلالات بين البلدان وداخل البلدان؛</w:t>
      </w:r>
    </w:p>
    <w:p w:rsidR="00BB5C54" w:rsidRPr="00E11CAE" w:rsidRDefault="00BB5C54" w:rsidP="00BB5C54">
      <w:pPr>
        <w:rPr>
          <w:rFonts w:eastAsia="Times New Roman"/>
          <w:rtl/>
          <w:lang w:val="en-GB"/>
        </w:rPr>
      </w:pPr>
      <w:r w:rsidRPr="00E11CAE">
        <w:rPr>
          <w:rFonts w:eastAsia="Times New Roman" w:hint="cs"/>
          <w:b/>
          <w:bCs/>
          <w:rtl/>
          <w:lang w:val="en-GB"/>
        </w:rPr>
        <w:t>النشاط 1-4-2</w:t>
      </w:r>
      <w:r w:rsidRPr="00E11CAE">
        <w:rPr>
          <w:rFonts w:eastAsia="Times New Roman" w:hint="cs"/>
          <w:rtl/>
          <w:lang w:val="en-GB"/>
        </w:rPr>
        <w:t xml:space="preserve"> إعداد وتشجيع آليات للحد من انتشار الطفيليات والعوامل</w:t>
      </w:r>
      <w:r>
        <w:rPr>
          <w:rFonts w:eastAsia="Times New Roman" w:hint="cs"/>
          <w:rtl/>
          <w:lang w:val="en-GB"/>
        </w:rPr>
        <w:t xml:space="preserve"> المسببة للأمراض إلى </w:t>
      </w:r>
      <w:r w:rsidRPr="00E11CAE">
        <w:rPr>
          <w:rFonts w:eastAsia="Times New Roman" w:hint="cs"/>
          <w:rtl/>
          <w:lang w:val="en-GB"/>
        </w:rPr>
        <w:t>مجموعات الملقحات المدجنة والبرية؛</w:t>
      </w:r>
    </w:p>
    <w:p w:rsidR="00BB5C54" w:rsidRPr="00E11CAE" w:rsidRDefault="00BB5C54" w:rsidP="00BB5C54">
      <w:pPr>
        <w:rPr>
          <w:rFonts w:eastAsia="Times New Roman"/>
          <w:rtl/>
          <w:lang w:val="en-GB"/>
        </w:rPr>
      </w:pPr>
      <w:r w:rsidRPr="00E11CAE">
        <w:rPr>
          <w:rFonts w:eastAsia="Times New Roman" w:hint="cs"/>
          <w:b/>
          <w:bCs/>
          <w:rtl/>
          <w:lang w:val="en-GB"/>
        </w:rPr>
        <w:t>النشاط 1-4-3</w:t>
      </w:r>
      <w:r w:rsidRPr="00E11CAE">
        <w:rPr>
          <w:rFonts w:eastAsia="Times New Roman" w:hint="cs"/>
          <w:rtl/>
          <w:lang w:val="en-GB"/>
        </w:rPr>
        <w:t xml:space="preserve"> منع وتقليل مخاطر إدخال</w:t>
      </w:r>
      <w:r w:rsidRPr="00E11CAE">
        <w:rPr>
          <w:rFonts w:eastAsia="Times New Roman"/>
          <w:lang w:val="en-GB"/>
        </w:rPr>
        <w:t xml:space="preserve"> </w:t>
      </w:r>
      <w:r w:rsidRPr="00E11CAE">
        <w:rPr>
          <w:rFonts w:eastAsia="Times New Roman" w:hint="cs"/>
          <w:rtl/>
          <w:lang w:val="en-GB"/>
        </w:rPr>
        <w:t xml:space="preserve">ونشر الأنواع الغريبة الغازية (النباتات، والملقحات، والمفترسات، والآفات، والعوامل المسببة للأمراض) التي تشكل خطرا غير مقبول على الملقحات وعلى موارد النباتات التي تعتمد عليها، ورصد خطر التشتت من الأنواع التي أُدخلت بالفعل (على سبيل المثال </w:t>
      </w:r>
      <w:r w:rsidRPr="00E11CAE">
        <w:rPr>
          <w:rFonts w:eastAsia="Times New Roman" w:cs="Times New Roman"/>
          <w:i/>
          <w:snapToGrid w:val="0"/>
          <w:kern w:val="22"/>
          <w:lang w:val="en-GB"/>
        </w:rPr>
        <w:t>Bombus terrestris</w:t>
      </w:r>
      <w:r w:rsidRPr="00E11CAE">
        <w:rPr>
          <w:rFonts w:eastAsia="Times New Roman" w:hint="cs"/>
          <w:rtl/>
          <w:lang w:val="en-GB"/>
        </w:rPr>
        <w:t>).</w:t>
      </w:r>
    </w:p>
    <w:p w:rsidR="00BB5C54" w:rsidRPr="00E11CAE" w:rsidRDefault="00BB5C54" w:rsidP="00BB5C54">
      <w:pPr>
        <w:tabs>
          <w:tab w:val="left" w:pos="1286"/>
        </w:tabs>
        <w:jc w:val="center"/>
        <w:rPr>
          <w:rFonts w:eastAsia="Times New Roman"/>
          <w:b/>
          <w:bCs/>
          <w:rtl/>
          <w:lang w:val="en-GB"/>
        </w:rPr>
      </w:pPr>
      <w:r w:rsidRPr="00E11CAE">
        <w:rPr>
          <w:rFonts w:eastAsia="Times New Roman" w:hint="cs"/>
          <w:b/>
          <w:bCs/>
          <w:rtl/>
          <w:lang w:val="en-GB"/>
        </w:rPr>
        <w:t>العنصر 2 -</w:t>
      </w:r>
      <w:r w:rsidRPr="00E11CAE">
        <w:rPr>
          <w:rFonts w:eastAsia="Times New Roman" w:hint="cs"/>
          <w:b/>
          <w:bCs/>
          <w:rtl/>
          <w:lang w:val="en-GB"/>
        </w:rPr>
        <w:tab/>
        <w:t>التنفيذ الميداني</w:t>
      </w:r>
    </w:p>
    <w:p w:rsidR="00BB5C54" w:rsidRPr="00E11CAE" w:rsidRDefault="00BB5C54" w:rsidP="00BB5C54">
      <w:pPr>
        <w:rPr>
          <w:rFonts w:eastAsia="Times New Roman"/>
          <w:i/>
          <w:iCs/>
          <w:lang w:val="en-GB"/>
        </w:rPr>
      </w:pPr>
      <w:r w:rsidRPr="00E11CAE">
        <w:rPr>
          <w:rFonts w:eastAsia="Times New Roman" w:hint="cs"/>
          <w:i/>
          <w:iCs/>
          <w:rtl/>
          <w:lang w:val="en-GB"/>
        </w:rPr>
        <w:t>الهدف التشغيلي</w:t>
      </w:r>
    </w:p>
    <w:p w:rsidR="00BB5C54" w:rsidRPr="00E11CAE" w:rsidRDefault="00BB5C54" w:rsidP="00BB5C54">
      <w:pPr>
        <w:rPr>
          <w:rFonts w:eastAsia="Times New Roman"/>
          <w:rtl/>
          <w:lang w:val="en-GB"/>
        </w:rPr>
      </w:pPr>
      <w:r w:rsidRPr="00E11CAE">
        <w:rPr>
          <w:rFonts w:eastAsia="Times New Roman" w:hint="cs"/>
          <w:rtl/>
          <w:lang w:val="en-GB"/>
        </w:rPr>
        <w:t>تعزيز وتنفيذ ممارسات الإدارة التي تصون مجموعات الملقحات الصحية، وتُمكّن المزارعين، والنحالين، ومزارعي الغابات، ومديري الأراضي والمجتمعات الحضرية من الاستفادة من منافع وظائف وخدمات التلقيح في إنتاجيتهم وسبل عيشهم.</w:t>
      </w:r>
    </w:p>
    <w:p w:rsidR="00BB5C54" w:rsidRPr="00E11CAE" w:rsidRDefault="00BB5C54" w:rsidP="00BB5C54">
      <w:pPr>
        <w:rPr>
          <w:rFonts w:eastAsia="Times New Roman"/>
          <w:i/>
          <w:iCs/>
          <w:rtl/>
          <w:lang w:val="en-GB"/>
        </w:rPr>
      </w:pPr>
      <w:r w:rsidRPr="00E11CAE">
        <w:rPr>
          <w:rFonts w:eastAsia="Times New Roman" w:hint="cs"/>
          <w:i/>
          <w:iCs/>
          <w:rtl/>
          <w:lang w:val="en-GB"/>
        </w:rPr>
        <w:t>الأساس المنطقي</w:t>
      </w:r>
    </w:p>
    <w:p w:rsidR="00BB5C54" w:rsidRPr="00E11CAE" w:rsidRDefault="00BB5C54" w:rsidP="00BB5C54">
      <w:pPr>
        <w:rPr>
          <w:rFonts w:eastAsia="Times New Roman"/>
          <w:rtl/>
          <w:lang w:val="en-GB"/>
        </w:rPr>
      </w:pPr>
      <w:r w:rsidRPr="00E11CAE">
        <w:rPr>
          <w:rFonts w:eastAsia="Times New Roman" w:hint="cs"/>
          <w:rtl/>
          <w:lang w:val="en-GB"/>
        </w:rPr>
        <w:t>من أجل تأمين موائل مواتية للملقحات وتشجيع النظم الإيكولوجية الزراعية المستدامة وتربية الملقحات، ينبغي التصدي للمحركات المباشرة وغير المباشرة لتقلص الملقحات في الحقول. وينبغي توخي العناية على مستوى المزرعة وعبر النظم الإيكولوجية بأكملها. وتعالج التدابير على مستوى المناظر الطبيعية الأرضية مدى الترابط وقيمة الإدارة عبر المناظر الطبيعية الأرضية والقطاعات. وتشمل تدابير الإدارة المحسنة للملقحات العناية بتربية النحل لنحل العسل وغيره من الملقحات.</w:t>
      </w:r>
    </w:p>
    <w:p w:rsidR="00BB5C54" w:rsidRPr="00E11CAE" w:rsidRDefault="00BB5C54" w:rsidP="00BB5C54">
      <w:pPr>
        <w:rPr>
          <w:rFonts w:eastAsia="Times New Roman"/>
          <w:i/>
          <w:iCs/>
          <w:rtl/>
          <w:lang w:val="en-GB"/>
        </w:rPr>
      </w:pPr>
      <w:r w:rsidRPr="00E11CAE">
        <w:rPr>
          <w:rFonts w:eastAsia="Times New Roman" w:hint="cs"/>
          <w:i/>
          <w:iCs/>
          <w:rtl/>
          <w:lang w:val="en-GB"/>
        </w:rPr>
        <w:t>الأنشطة</w:t>
      </w:r>
    </w:p>
    <w:p w:rsidR="00BB5C54" w:rsidRPr="00E11CAE" w:rsidRDefault="00BB5C54" w:rsidP="00BB5C54">
      <w:pPr>
        <w:rPr>
          <w:rFonts w:eastAsia="Times New Roman"/>
          <w:b/>
          <w:bCs/>
          <w:rtl/>
          <w:lang w:val="en-GB"/>
        </w:rPr>
      </w:pPr>
      <w:r w:rsidRPr="00E11CAE">
        <w:rPr>
          <w:rFonts w:eastAsia="Times New Roman" w:hint="cs"/>
          <w:b/>
          <w:bCs/>
          <w:rtl/>
          <w:lang w:val="en-GB"/>
        </w:rPr>
        <w:t xml:space="preserve">النشاط 2-1 تصميم مشترك (مع المزارعين، والنحالين الحضريين والريفيين، ومديري الأراضي والشعوب الأصلية والمجتمعات المحلية) وتنفيذ ممارسات مواتية للملقحات في المزارع والأراضي العشبية </w:t>
      </w:r>
      <w:r>
        <w:rPr>
          <w:rFonts w:eastAsia="Times New Roman" w:hint="cs"/>
          <w:b/>
          <w:bCs/>
          <w:rtl/>
          <w:lang w:val="en-GB"/>
        </w:rPr>
        <w:t>و</w:t>
      </w:r>
      <w:r w:rsidRPr="00E11CAE">
        <w:rPr>
          <w:rFonts w:eastAsia="Times New Roman" w:hint="cs"/>
          <w:b/>
          <w:bCs/>
          <w:rtl/>
          <w:lang w:val="en-GB"/>
        </w:rPr>
        <w:t>في المناطق الحضرية</w:t>
      </w:r>
    </w:p>
    <w:p w:rsidR="00BB5C54" w:rsidRPr="00E11CAE" w:rsidRDefault="00BB5C54" w:rsidP="00BB5C54">
      <w:pPr>
        <w:rPr>
          <w:rFonts w:eastAsia="Times New Roman"/>
          <w:rtl/>
          <w:lang w:val="en-GB"/>
        </w:rPr>
      </w:pPr>
      <w:r w:rsidRPr="00E11CAE">
        <w:rPr>
          <w:rFonts w:eastAsia="Times New Roman" w:hint="cs"/>
          <w:b/>
          <w:bCs/>
          <w:rtl/>
          <w:lang w:val="en-GB"/>
        </w:rPr>
        <w:t>النشاط 2-1-1</w:t>
      </w:r>
      <w:r w:rsidRPr="00E11CAE">
        <w:rPr>
          <w:rFonts w:eastAsia="Times New Roman" w:hint="cs"/>
          <w:rtl/>
          <w:lang w:val="en-GB"/>
        </w:rPr>
        <w:t xml:space="preserve"> تهيئة بقع غير مزروعة للنباتات وتعزيز التنوع الزهري باستخدام أنواع محلية أساسا، حسب الاقتضاء، وتمديد فترات الإزهار لضمان موارد أزهار متنوعة ومتوافرة ومستمرة للملقحات؛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2-1-2</w:t>
      </w:r>
      <w:r w:rsidRPr="00E11CAE">
        <w:rPr>
          <w:rFonts w:eastAsia="Times New Roman" w:hint="cs"/>
          <w:rtl/>
          <w:lang w:val="en-GB"/>
        </w:rPr>
        <w:t xml:space="preserve"> إدارة تزهر محاصيل الأزهار لمنفعة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2-1-3</w:t>
      </w:r>
      <w:r w:rsidRPr="00E11CAE">
        <w:rPr>
          <w:rFonts w:eastAsia="Times New Roman" w:hint="cs"/>
          <w:rtl/>
          <w:lang w:val="en-GB"/>
        </w:rPr>
        <w:t xml:space="preserve"> دعم شبكات لتبادل البذور المحلية؛</w:t>
      </w:r>
    </w:p>
    <w:p w:rsidR="00BB5C54" w:rsidRPr="00E11CAE" w:rsidRDefault="00BB5C54" w:rsidP="00BB5C54">
      <w:pPr>
        <w:rPr>
          <w:rFonts w:eastAsia="Times New Roman"/>
          <w:rtl/>
          <w:lang w:val="en-GB"/>
        </w:rPr>
      </w:pPr>
      <w:r w:rsidRPr="00E11CAE">
        <w:rPr>
          <w:rFonts w:eastAsia="Times New Roman" w:hint="cs"/>
          <w:b/>
          <w:bCs/>
          <w:rtl/>
          <w:lang w:val="en-GB"/>
        </w:rPr>
        <w:t>النشاط 2-1-4</w:t>
      </w:r>
      <w:r w:rsidRPr="00E11CAE">
        <w:rPr>
          <w:rFonts w:eastAsia="Times New Roman" w:hint="cs"/>
          <w:rtl/>
          <w:lang w:val="en-GB"/>
        </w:rPr>
        <w:t xml:space="preserve"> تشجيع التنوع الجيني وحفظه بين مجموعات الملقحات المدجنة؛</w:t>
      </w:r>
    </w:p>
    <w:p w:rsidR="00BB5C54" w:rsidRPr="00E11CAE" w:rsidRDefault="00BB5C54" w:rsidP="00BB5C54">
      <w:pPr>
        <w:rPr>
          <w:rFonts w:eastAsia="Times New Roman"/>
          <w:rtl/>
          <w:lang w:val="en-GB"/>
        </w:rPr>
      </w:pPr>
      <w:r w:rsidRPr="00E11CAE">
        <w:rPr>
          <w:rFonts w:eastAsia="Times New Roman" w:hint="cs"/>
          <w:b/>
          <w:bCs/>
          <w:rtl/>
          <w:lang w:val="en-GB"/>
        </w:rPr>
        <w:lastRenderedPageBreak/>
        <w:t>النشاط 2-1-5</w:t>
      </w:r>
      <w:r w:rsidRPr="00E11CAE">
        <w:rPr>
          <w:rFonts w:eastAsia="Times New Roman" w:hint="cs"/>
          <w:rtl/>
          <w:lang w:val="en-GB"/>
        </w:rPr>
        <w:t xml:space="preserve"> تشجيع خدمات الإرشاد الزراعي، ونُهج التشارك فيما بين المزارعين والمدارس الميدانية للمزارعين من أجل تبادل المعارف وتقديم تعليم عملي وتمكين المجتمعات الزراعية المحلية؛</w:t>
      </w:r>
    </w:p>
    <w:p w:rsidR="00BB5C54" w:rsidRPr="00E11CAE" w:rsidRDefault="00BB5C54" w:rsidP="00BB5C54">
      <w:pPr>
        <w:rPr>
          <w:rFonts w:eastAsia="Times New Roman"/>
          <w:rtl/>
          <w:lang w:val="en-GB"/>
        </w:rPr>
      </w:pPr>
      <w:r w:rsidRPr="00E11CAE">
        <w:rPr>
          <w:rFonts w:eastAsia="Times New Roman" w:hint="cs"/>
          <w:b/>
          <w:bCs/>
          <w:rtl/>
          <w:lang w:val="en-GB"/>
        </w:rPr>
        <w:t>النشاط 2-1-6</w:t>
      </w:r>
      <w:r w:rsidRPr="00E11CAE">
        <w:rPr>
          <w:rFonts w:eastAsia="Times New Roman" w:hint="cs"/>
          <w:rtl/>
          <w:lang w:val="en-GB"/>
        </w:rPr>
        <w:t xml:space="preserve"> تنويع نظم الزراعة وما ينتج عنها من موارد أغذية وموائل للملقحات من خلال الحدائق المنزلية واتباع نُهج زراعية إيكولوجية مثل الدورات الزراعية، وإنتاج عدة محاصيل، والزراعة الحراجية، والإدارة المتكاملة للآفات، والزراعة العضوية، والتكثيف الإيكولوجي؛</w:t>
      </w:r>
    </w:p>
    <w:p w:rsidR="00BB5C54" w:rsidRPr="00E11CAE" w:rsidRDefault="00BB5C54" w:rsidP="00BB5C54">
      <w:pPr>
        <w:rPr>
          <w:rFonts w:eastAsia="Times New Roman"/>
          <w:rtl/>
          <w:lang w:val="en-GB"/>
        </w:rPr>
      </w:pPr>
      <w:r w:rsidRPr="00E11CAE">
        <w:rPr>
          <w:rFonts w:eastAsia="Times New Roman" w:hint="cs"/>
          <w:b/>
          <w:bCs/>
          <w:rtl/>
          <w:lang w:val="en-GB"/>
        </w:rPr>
        <w:t>النشاط 2-1-7</w:t>
      </w:r>
      <w:r w:rsidRPr="00E11CAE">
        <w:rPr>
          <w:rFonts w:eastAsia="Times New Roman" w:hint="cs"/>
          <w:rtl/>
          <w:lang w:val="en-GB"/>
        </w:rPr>
        <w:t xml:space="preserve"> تشجيع زيادة الوعي والتدريب واعتماد أفضل الممارسات بشأن الإدارة المتكاملة للآفات (على سبيل المثال، بما في ذلك استراتيجيات إدارة الأعشاب الضارة والمكافحة البيولوجية) والقيام، عند الضرورة، باستعمال مبيدات الآفات في سياق إدارة الملقحات في المزرعة (على سبيل المثال، توقيت تطبيق مبيدات الآفات، والأحوال الجوية، ومعايرة المعدات من أجل تقليل انجراف الرش إلى مناطق خارج الحقول)، وتجنب أو تقليل أي تأثيرات تآزرية لمبيدات الآفات مع المحركات الأخرى التي ثبت أنها تسبب ضررا خطيرا أو ضررا لا يمكن تداركه على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2-1-8</w:t>
      </w:r>
      <w:r w:rsidRPr="00E11CAE">
        <w:rPr>
          <w:rFonts w:eastAsia="Times New Roman" w:hint="cs"/>
          <w:rtl/>
          <w:lang w:val="en-GB"/>
        </w:rPr>
        <w:t xml:space="preserve"> تشجيع أفضل الممارسات للزراعة القادرة على الصمود أمام تغير المناخ وتحقق منافع للملق</w:t>
      </w:r>
      <w:r>
        <w:rPr>
          <w:rFonts w:eastAsia="Times New Roman" w:hint="cs"/>
          <w:rtl/>
          <w:lang w:val="en-GB"/>
        </w:rPr>
        <w:t>ح</w:t>
      </w:r>
      <w:r w:rsidRPr="00E11CAE">
        <w:rPr>
          <w:rFonts w:eastAsia="Times New Roman" w:hint="cs"/>
          <w:rtl/>
          <w:lang w:val="en-GB"/>
        </w:rPr>
        <w:t>ات؛</w:t>
      </w:r>
    </w:p>
    <w:p w:rsidR="00BB5C54" w:rsidRPr="00E11CAE" w:rsidRDefault="00BB5C54" w:rsidP="00BB5C54">
      <w:pPr>
        <w:rPr>
          <w:rFonts w:eastAsia="Times New Roman"/>
          <w:rtl/>
          <w:lang w:val="en-GB"/>
        </w:rPr>
      </w:pPr>
      <w:r w:rsidRPr="00E11CAE">
        <w:rPr>
          <w:rFonts w:eastAsia="Times New Roman" w:hint="cs"/>
          <w:b/>
          <w:bCs/>
          <w:rtl/>
          <w:lang w:val="en-GB"/>
        </w:rPr>
        <w:t>النشاط 2-1-9</w:t>
      </w:r>
      <w:r w:rsidRPr="00E11CAE">
        <w:rPr>
          <w:rFonts w:eastAsia="Times New Roman" w:hint="cs"/>
          <w:rtl/>
          <w:lang w:val="en-GB"/>
        </w:rPr>
        <w:t xml:space="preserve"> إدراج ممارسات مواتية للملقحات في الممارسات القائمة في القطاعات ذات الصلة، بما في ذلك نظم إصدار التراخيص في </w:t>
      </w:r>
      <w:r>
        <w:rPr>
          <w:rFonts w:eastAsia="Times New Roman" w:hint="cs"/>
          <w:rtl/>
          <w:lang w:val="en-GB"/>
        </w:rPr>
        <w:t>نظم</w:t>
      </w:r>
      <w:r w:rsidRPr="00E11CAE">
        <w:rPr>
          <w:rFonts w:eastAsia="Times New Roman" w:hint="cs"/>
          <w:rtl/>
          <w:lang w:val="en-GB"/>
        </w:rPr>
        <w:t xml:space="preserve"> الزراعة وإنتاج ال</w:t>
      </w:r>
      <w:r>
        <w:rPr>
          <w:rFonts w:eastAsia="Times New Roman" w:hint="cs"/>
          <w:rtl/>
          <w:lang w:val="en-GB"/>
        </w:rPr>
        <w:t>أغذية</w:t>
      </w:r>
      <w:r w:rsidRPr="00E11CAE">
        <w:rPr>
          <w:rFonts w:eastAsia="Times New Roman" w:hint="cs"/>
          <w:rtl/>
          <w:lang w:val="en-GB"/>
        </w:rPr>
        <w:t>.</w:t>
      </w:r>
    </w:p>
    <w:p w:rsidR="00BB5C54" w:rsidRPr="00E11CAE" w:rsidRDefault="00BB5C54" w:rsidP="00BB5C54">
      <w:pPr>
        <w:rPr>
          <w:rFonts w:eastAsia="Times New Roman"/>
          <w:b/>
          <w:bCs/>
          <w:rtl/>
          <w:lang w:val="en-GB"/>
        </w:rPr>
      </w:pPr>
      <w:r w:rsidRPr="00E11CAE">
        <w:rPr>
          <w:rFonts w:eastAsia="Times New Roman" w:hint="cs"/>
          <w:b/>
          <w:bCs/>
          <w:rtl/>
          <w:lang w:val="en-GB"/>
        </w:rPr>
        <w:t>النشاط 2-2 معالجة الإدارة المواتية للملقحات واحتياجات الملقحات في الحراجة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2-2-1 </w:t>
      </w:r>
      <w:r w:rsidRPr="00E11CAE">
        <w:rPr>
          <w:rFonts w:eastAsia="Times New Roman" w:hint="cs"/>
          <w:rtl/>
          <w:lang w:val="en-GB"/>
        </w:rPr>
        <w:t>تجنب أو تقليل إلى أدنى حد إزالة الغابات، والممارسات الضارة لإدارة الغابات والتهديدات الأخرى التي تؤثر سلبا على الملقحات البرية وعلى التربية التقليدية للنحل؛</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2-2-2 </w:t>
      </w:r>
      <w:r w:rsidRPr="00E11CAE">
        <w:rPr>
          <w:rFonts w:eastAsia="Times New Roman" w:hint="cs"/>
          <w:rtl/>
          <w:lang w:val="en-GB"/>
        </w:rPr>
        <w:t>توفير وتشجيع تدابير لحجز وصون ونقل المناحل داخل صناديق خشبية؛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2-2-3 </w:t>
      </w:r>
      <w:r w:rsidRPr="00E11CAE">
        <w:rPr>
          <w:rFonts w:eastAsia="Times New Roman" w:hint="cs"/>
          <w:rtl/>
          <w:lang w:val="en-GB"/>
        </w:rPr>
        <w:t>تشجيع نظم الزراعة الحرجية والنظم الحرجية لضمان الموائل متزايدة التنوع التي تشكلها الأنواع المحلية، والتي تقدم موارد الأزهار ومواقع تعشيش متنوعة للملقحات؛</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2-2-4 </w:t>
      </w:r>
      <w:r w:rsidRPr="00E11CAE">
        <w:rPr>
          <w:rFonts w:eastAsia="Times New Roman" w:hint="cs"/>
          <w:rtl/>
          <w:lang w:val="en-GB"/>
        </w:rPr>
        <w:t>إدراج اعتبارات بخصوص الملقحات في قواعد نظم إصدار تراخيص إدارة الغابات المستدامة.</w:t>
      </w:r>
    </w:p>
    <w:p w:rsidR="00BB5C54" w:rsidRPr="00E11CAE" w:rsidRDefault="00BB5C54" w:rsidP="00BB5C54">
      <w:pPr>
        <w:rPr>
          <w:rFonts w:eastAsia="Times New Roman"/>
          <w:b/>
          <w:bCs/>
          <w:rtl/>
          <w:lang w:val="en-GB"/>
        </w:rPr>
      </w:pPr>
      <w:r w:rsidRPr="000F05A4">
        <w:rPr>
          <w:rFonts w:eastAsia="Times New Roman" w:hint="cs"/>
          <w:b/>
          <w:bCs/>
          <w:rtl/>
          <w:lang w:val="en-GB"/>
        </w:rPr>
        <w:t>النشاط 2-3 تشجيع ت</w:t>
      </w:r>
      <w:r w:rsidRPr="00E11CAE">
        <w:rPr>
          <w:rFonts w:eastAsia="Times New Roman" w:hint="cs"/>
          <w:b/>
          <w:bCs/>
          <w:rtl/>
          <w:lang w:val="en-GB"/>
        </w:rPr>
        <w:t>رابط موائل الملقحات وحفظها وإدارتها واستعادتها</w:t>
      </w:r>
    </w:p>
    <w:p w:rsidR="00BB5C54" w:rsidRPr="00E11CAE" w:rsidRDefault="00BB5C54" w:rsidP="00BB5C54">
      <w:pPr>
        <w:rPr>
          <w:rFonts w:eastAsia="Times New Roman"/>
          <w:rtl/>
          <w:lang w:val="en-GB"/>
        </w:rPr>
      </w:pPr>
      <w:r w:rsidRPr="00E11CAE">
        <w:rPr>
          <w:rFonts w:eastAsia="Times New Roman" w:hint="cs"/>
          <w:b/>
          <w:bCs/>
          <w:rtl/>
          <w:lang w:val="en-GB"/>
        </w:rPr>
        <w:t>النشاط 2-3-1</w:t>
      </w:r>
      <w:r w:rsidRPr="00E11CAE">
        <w:rPr>
          <w:rFonts w:eastAsia="Times New Roman" w:hint="cs"/>
          <w:rtl/>
          <w:lang w:val="en-GB"/>
        </w:rPr>
        <w:t xml:space="preserve"> صون أو استعادة الملقحات والموائل الموزعة في المناطق الطبيعية، بما فيها الغابات، والأراضي العشبية، والأراضي الزراعية، والمناطق الحضرية والممرات الطبيعية، لتعزيز توافر موارد الأزهار ومواقع التعشيش عبر الزمان والمكان؛</w:t>
      </w:r>
    </w:p>
    <w:p w:rsidR="00BB5C54" w:rsidRPr="00E11CAE" w:rsidRDefault="00BB5C54" w:rsidP="00BB5C54">
      <w:pPr>
        <w:rPr>
          <w:rFonts w:eastAsia="Times New Roman"/>
          <w:rtl/>
          <w:lang w:val="en-GB"/>
        </w:rPr>
      </w:pPr>
      <w:r w:rsidRPr="00E11CAE">
        <w:rPr>
          <w:rFonts w:eastAsia="Times New Roman" w:hint="cs"/>
          <w:b/>
          <w:bCs/>
          <w:rtl/>
          <w:lang w:val="en-GB"/>
        </w:rPr>
        <w:t>النشاط 2-3-2</w:t>
      </w:r>
      <w:r w:rsidRPr="00E11CAE">
        <w:rPr>
          <w:rFonts w:eastAsia="Times New Roman" w:hint="cs"/>
          <w:rtl/>
          <w:lang w:val="en-GB"/>
        </w:rPr>
        <w:t xml:space="preserve"> تحديد المناطق والتدابير ذات الأولوية، على المستوى العالمي والإقليمي والوطني والمحلي لحفظ أنواع الملقحات النادرة والمعرضة للانقراض؛</w:t>
      </w:r>
    </w:p>
    <w:p w:rsidR="00BB5C54" w:rsidRPr="00E11CAE" w:rsidRDefault="00BB5C54" w:rsidP="00BB5C54">
      <w:pPr>
        <w:rPr>
          <w:rFonts w:eastAsia="Times New Roman"/>
          <w:rtl/>
          <w:lang w:val="en-GB"/>
        </w:rPr>
      </w:pPr>
      <w:r w:rsidRPr="00E11CAE">
        <w:rPr>
          <w:rFonts w:eastAsia="Times New Roman" w:hint="cs"/>
          <w:b/>
          <w:bCs/>
          <w:rtl/>
          <w:lang w:val="en-GB"/>
        </w:rPr>
        <w:t>النشاط 2-3-3</w:t>
      </w:r>
      <w:r w:rsidRPr="00E11CAE">
        <w:rPr>
          <w:rFonts w:eastAsia="Times New Roman" w:hint="cs"/>
          <w:rtl/>
          <w:lang w:val="en-GB"/>
        </w:rPr>
        <w:t xml:space="preserve"> دعم إنشاء المناطق المحمية الطبيعية والمناطق شبه الطبيعية وإدارتها بطريقة مواتية للملقحات، فضلا عن الخيارات الأخرى في الموقع الطبيعي، مثل نظم التراث الزراعي المهمة عالميا التابعة لمنظمة الأغذية والزراعة؛</w:t>
      </w:r>
    </w:p>
    <w:p w:rsidR="00BB5C54" w:rsidRPr="00E11CAE" w:rsidRDefault="00BB5C54" w:rsidP="00BB5C54">
      <w:pPr>
        <w:rPr>
          <w:rFonts w:eastAsia="Times New Roman"/>
          <w:rtl/>
          <w:lang w:val="en-GB"/>
        </w:rPr>
      </w:pPr>
      <w:r w:rsidRPr="00E11CAE">
        <w:rPr>
          <w:rFonts w:eastAsia="Times New Roman" w:hint="cs"/>
          <w:b/>
          <w:bCs/>
          <w:rtl/>
          <w:lang w:val="en-GB"/>
        </w:rPr>
        <w:t>النشاط 2-3-4</w:t>
      </w:r>
      <w:r w:rsidRPr="00E11CAE">
        <w:rPr>
          <w:rFonts w:eastAsia="Times New Roman" w:hint="cs"/>
          <w:rtl/>
          <w:lang w:val="en-GB"/>
        </w:rPr>
        <w:t xml:space="preserve"> تشجيع المبادرات في المناطق الحضرية وخدمات الأراضي على امتداد الطرق والسكك الحديدية لإنشاء وصون مناطق خضراء وأراضي غير مشغولة التي توفر موارد الأزهار ومواقع تعشيش للملقحات، وتحسين العلاقة بين الناس والملقحات عن طريق زيادة الوعي العام بأهمية الملقحات في حياتهم اليومية؛</w:t>
      </w:r>
    </w:p>
    <w:p w:rsidR="00BB5C54" w:rsidRPr="00E11CAE" w:rsidRDefault="00BB5C54" w:rsidP="00BB5C54">
      <w:pPr>
        <w:rPr>
          <w:rFonts w:eastAsia="Times New Roman"/>
          <w:rtl/>
          <w:lang w:val="en-GB"/>
        </w:rPr>
      </w:pPr>
      <w:r w:rsidRPr="00E11CAE">
        <w:rPr>
          <w:rFonts w:eastAsia="Times New Roman" w:hint="cs"/>
          <w:b/>
          <w:bCs/>
          <w:rtl/>
          <w:lang w:val="en-GB"/>
        </w:rPr>
        <w:t>النشاط 2-3-5</w:t>
      </w:r>
      <w:r w:rsidRPr="00E11CAE">
        <w:rPr>
          <w:rFonts w:eastAsia="Times New Roman" w:hint="cs"/>
          <w:rtl/>
          <w:lang w:val="en-GB"/>
        </w:rPr>
        <w:t xml:space="preserve"> إدارة استخدام التدابير المتعلقة بالحرائق ومكافحتها لتقليل آثارها السلبية على الملقحات والنظم الإيكولوجية ذات الصلة.</w:t>
      </w:r>
    </w:p>
    <w:p w:rsidR="00BB5C54" w:rsidRPr="00E11CAE" w:rsidRDefault="00BB5C54" w:rsidP="00BB5C54">
      <w:pPr>
        <w:rPr>
          <w:rFonts w:eastAsia="Times New Roman"/>
          <w:rtl/>
          <w:lang w:val="en-GB"/>
        </w:rPr>
      </w:pPr>
      <w:r w:rsidRPr="00E11CAE">
        <w:rPr>
          <w:rFonts w:eastAsia="Times New Roman" w:hint="cs"/>
          <w:b/>
          <w:bCs/>
          <w:rtl/>
          <w:lang w:val="en-GB"/>
        </w:rPr>
        <w:lastRenderedPageBreak/>
        <w:t>النشاط 2-4 تشجيع التربية المستدامة للنحل وصحة النحل</w:t>
      </w:r>
    </w:p>
    <w:p w:rsidR="00BB5C54" w:rsidRPr="00E11CAE" w:rsidRDefault="00BB5C54" w:rsidP="00BB5C54">
      <w:pPr>
        <w:rPr>
          <w:rFonts w:eastAsia="Times New Roman"/>
          <w:rtl/>
          <w:lang w:val="en-GB"/>
        </w:rPr>
      </w:pPr>
      <w:r w:rsidRPr="00E11CAE">
        <w:rPr>
          <w:rFonts w:eastAsia="Times New Roman" w:hint="cs"/>
          <w:b/>
          <w:bCs/>
          <w:rtl/>
          <w:lang w:val="en-GB"/>
        </w:rPr>
        <w:t>النشاط 2-4-1</w:t>
      </w:r>
      <w:r w:rsidRPr="00E11CAE">
        <w:rPr>
          <w:rFonts w:eastAsia="Times New Roman" w:hint="cs"/>
          <w:rtl/>
          <w:lang w:val="en-GB"/>
        </w:rPr>
        <w:t xml:space="preserve"> تقليل اعتماد الملقحات المدجنة على بدائل الرحيق وحبوب اللقاح، عن طريق تشجيع توافر وتربية موارد الأزهار بشكل أفضل، وبالتالي تحسين تغذية الملقحات ومناعتها ضد الآفات والأمراض؛</w:t>
      </w:r>
    </w:p>
    <w:p w:rsidR="00BB5C54" w:rsidRPr="00E11CAE" w:rsidRDefault="00BB5C54" w:rsidP="00BB5C54">
      <w:pPr>
        <w:rPr>
          <w:rFonts w:eastAsia="Times New Roman"/>
          <w:rtl/>
          <w:lang w:val="en-GB"/>
        </w:rPr>
      </w:pPr>
      <w:r w:rsidRPr="00E11CAE">
        <w:rPr>
          <w:rFonts w:eastAsia="Times New Roman" w:hint="cs"/>
          <w:b/>
          <w:bCs/>
          <w:rtl/>
          <w:lang w:val="en-GB"/>
        </w:rPr>
        <w:t>النشاط 2-4-2</w:t>
      </w:r>
      <w:r w:rsidRPr="00E11CAE">
        <w:rPr>
          <w:rFonts w:eastAsia="Times New Roman" w:hint="cs"/>
          <w:rtl/>
          <w:lang w:val="en-GB"/>
        </w:rPr>
        <w:t xml:space="preserve"> تقليل إلى أدنى حد مخاطر العدوى وانتشار العوامل المسببة للأمراض، والأمراض والأنواع الغريبة الغازية وتقليل إلى أدنى حد الضغوط على الملقحات المدجنة المرتبطة بنقل المناحل؛</w:t>
      </w:r>
    </w:p>
    <w:p w:rsidR="00BB5C54" w:rsidRPr="00E11CAE" w:rsidRDefault="00BB5C54" w:rsidP="00BB5C54">
      <w:pPr>
        <w:rPr>
          <w:rFonts w:eastAsia="Times New Roman"/>
          <w:rtl/>
          <w:lang w:val="en-GB"/>
        </w:rPr>
      </w:pPr>
      <w:r w:rsidRPr="00E11CAE">
        <w:rPr>
          <w:rFonts w:eastAsia="Times New Roman" w:hint="cs"/>
          <w:b/>
          <w:bCs/>
          <w:rtl/>
          <w:lang w:val="en-GB"/>
        </w:rPr>
        <w:t>النشاط 2-4-3</w:t>
      </w:r>
      <w:r w:rsidRPr="00E11CAE">
        <w:rPr>
          <w:rFonts w:eastAsia="Times New Roman" w:hint="cs"/>
          <w:rtl/>
          <w:lang w:val="en-GB"/>
        </w:rPr>
        <w:t xml:space="preserve"> تنظيم أسواق للملقحات المدجنة؛</w:t>
      </w:r>
    </w:p>
    <w:p w:rsidR="00BB5C54" w:rsidRPr="00E11CAE" w:rsidRDefault="00BB5C54" w:rsidP="00BB5C54">
      <w:pPr>
        <w:rPr>
          <w:rFonts w:eastAsia="Times New Roman"/>
          <w:rtl/>
          <w:lang w:val="en-GB"/>
        </w:rPr>
      </w:pPr>
      <w:r w:rsidRPr="00E11CAE">
        <w:rPr>
          <w:rFonts w:eastAsia="Times New Roman" w:hint="cs"/>
          <w:b/>
          <w:bCs/>
          <w:rtl/>
          <w:lang w:val="en-GB"/>
        </w:rPr>
        <w:t>النشاط 2-4-4</w:t>
      </w:r>
      <w:r w:rsidRPr="00E11CAE">
        <w:rPr>
          <w:rFonts w:eastAsia="Times New Roman" w:hint="cs"/>
          <w:rtl/>
          <w:lang w:val="en-GB"/>
        </w:rPr>
        <w:t xml:space="preserve"> إعداد تدابير لحفظ التنوع الجيني في الملقحات المدجنة؛</w:t>
      </w:r>
    </w:p>
    <w:p w:rsidR="00BB5C54" w:rsidRPr="00E11CAE" w:rsidRDefault="00BB5C54" w:rsidP="00BB5C54">
      <w:pPr>
        <w:rPr>
          <w:rFonts w:eastAsia="Times New Roman"/>
          <w:rtl/>
        </w:rPr>
      </w:pPr>
      <w:r w:rsidRPr="00E11CAE">
        <w:rPr>
          <w:rFonts w:eastAsia="Times New Roman" w:hint="cs"/>
          <w:b/>
          <w:bCs/>
          <w:rtl/>
          <w:lang w:val="en-GB"/>
        </w:rPr>
        <w:t>النشاط 2-4-5</w:t>
      </w:r>
      <w:r w:rsidRPr="00E11CAE">
        <w:rPr>
          <w:rFonts w:eastAsia="Times New Roman" w:hint="cs"/>
          <w:rtl/>
          <w:lang w:val="en-GB"/>
        </w:rPr>
        <w:t xml:space="preserve"> تعزيز المعارف المحلية والتقليدية ذات الصلة بالممارسات الابتكارية في إدارة نحل العسل، و</w:t>
      </w:r>
      <w:r w:rsidRPr="00E11CAE">
        <w:rPr>
          <w:rFonts w:eastAsia="Times New Roman" w:hint="cs"/>
          <w:rtl/>
        </w:rPr>
        <w:t>النحل عديم الشوكة وغيرها من الملقحات المدجنة.</w:t>
      </w:r>
    </w:p>
    <w:p w:rsidR="00BB5C54" w:rsidRPr="00E11CAE" w:rsidRDefault="00BB5C54" w:rsidP="00BB5C54">
      <w:pPr>
        <w:tabs>
          <w:tab w:val="left" w:pos="1286"/>
        </w:tabs>
        <w:jc w:val="center"/>
        <w:rPr>
          <w:rFonts w:eastAsia="Times New Roman"/>
          <w:b/>
          <w:bCs/>
          <w:rtl/>
          <w:lang w:val="en-GB"/>
        </w:rPr>
      </w:pPr>
      <w:r w:rsidRPr="00E11CAE">
        <w:rPr>
          <w:rFonts w:eastAsia="Times New Roman" w:hint="cs"/>
          <w:b/>
          <w:bCs/>
          <w:rtl/>
          <w:lang w:val="en-GB"/>
        </w:rPr>
        <w:t>العنصر 3 -</w:t>
      </w:r>
      <w:r w:rsidRPr="00E11CAE">
        <w:rPr>
          <w:rFonts w:eastAsia="Times New Roman" w:hint="cs"/>
          <w:b/>
          <w:bCs/>
          <w:rtl/>
          <w:lang w:val="en-GB"/>
        </w:rPr>
        <w:tab/>
        <w:t>إشراك المجتمع المدني والقطاع الخاص</w:t>
      </w:r>
    </w:p>
    <w:p w:rsidR="00BB5C54" w:rsidRPr="00E11CAE" w:rsidRDefault="00BB5C54" w:rsidP="00BB5C54">
      <w:pPr>
        <w:rPr>
          <w:rFonts w:eastAsia="Times New Roman"/>
          <w:i/>
          <w:iCs/>
          <w:lang w:val="en-GB"/>
        </w:rPr>
      </w:pPr>
      <w:r w:rsidRPr="00E11CAE">
        <w:rPr>
          <w:rFonts w:eastAsia="Times New Roman" w:hint="cs"/>
          <w:i/>
          <w:iCs/>
          <w:rtl/>
          <w:lang w:val="en-GB"/>
        </w:rPr>
        <w:t>الهدف التشغيلي</w:t>
      </w:r>
    </w:p>
    <w:p w:rsidR="00BB5C54" w:rsidRPr="00E11CAE" w:rsidRDefault="00BB5C54" w:rsidP="00BB5C54">
      <w:pPr>
        <w:rPr>
          <w:rFonts w:ascii="Simplified Arabic" w:eastAsia="Times New Roman" w:hAnsi="Simplified Arabic"/>
          <w:rtl/>
          <w:lang w:val="en-GB"/>
        </w:rPr>
      </w:pPr>
      <w:r w:rsidRPr="00E11CAE">
        <w:rPr>
          <w:rFonts w:ascii="Simplified Arabic" w:eastAsia="Times New Roman" w:hAnsi="Simplified Arabic" w:hint="cs"/>
          <w:snapToGrid w:val="0"/>
          <w:rtl/>
          <w:lang w:val="en-GB"/>
        </w:rPr>
        <w:t>النهوض بالتثقيف وزيادة الوعي في القطاعين العام والخاص عن القيم المتعددة للملقحات وموائلها؛ وتحسين الأدوات لصنع</w:t>
      </w:r>
      <w:r w:rsidRPr="00E11CAE">
        <w:rPr>
          <w:rFonts w:ascii="Simplified Arabic" w:eastAsia="Times New Roman" w:hAnsi="Simplified Arabic"/>
          <w:snapToGrid w:val="0"/>
          <w:rtl/>
          <w:lang w:val="en-GB"/>
        </w:rPr>
        <w:t xml:space="preserve"> القرار</w:t>
      </w:r>
      <w:r w:rsidRPr="00E11CAE">
        <w:rPr>
          <w:rFonts w:ascii="Simplified Arabic" w:eastAsia="Times New Roman" w:hAnsi="Simplified Arabic" w:hint="cs"/>
          <w:snapToGrid w:val="0"/>
          <w:rtl/>
          <w:lang w:val="en-GB"/>
        </w:rPr>
        <w:t>؛</w:t>
      </w:r>
      <w:r w:rsidRPr="00E11CAE">
        <w:rPr>
          <w:rFonts w:ascii="Simplified Arabic" w:eastAsia="Times New Roman" w:hAnsi="Simplified Arabic"/>
          <w:snapToGrid w:val="0"/>
          <w:rtl/>
          <w:lang w:val="en-GB"/>
        </w:rPr>
        <w:t xml:space="preserve"> </w:t>
      </w:r>
      <w:r w:rsidRPr="00E11CAE">
        <w:rPr>
          <w:rFonts w:ascii="Simplified Arabic" w:eastAsia="Times New Roman" w:hAnsi="Simplified Arabic" w:hint="cs"/>
          <w:snapToGrid w:val="0"/>
          <w:rtl/>
          <w:lang w:val="en-GB"/>
        </w:rPr>
        <w:t>وتنفيذ إجراءات عملية للحد من تقلص الملقحات ومنعه.</w:t>
      </w:r>
    </w:p>
    <w:p w:rsidR="00BB5C54" w:rsidRPr="00E11CAE" w:rsidRDefault="00BB5C54" w:rsidP="00BB5C54">
      <w:pPr>
        <w:rPr>
          <w:rFonts w:ascii="Simplified Arabic" w:eastAsia="Times New Roman" w:hAnsi="Simplified Arabic"/>
          <w:i/>
          <w:iCs/>
          <w:rtl/>
          <w:lang w:val="en-GB"/>
        </w:rPr>
      </w:pPr>
      <w:r w:rsidRPr="00E11CAE">
        <w:rPr>
          <w:rFonts w:ascii="Simplified Arabic" w:eastAsia="Times New Roman" w:hAnsi="Simplified Arabic"/>
          <w:i/>
          <w:iCs/>
          <w:rtl/>
          <w:lang w:val="en-GB"/>
        </w:rPr>
        <w:t>الأساس المنطقي</w:t>
      </w:r>
    </w:p>
    <w:p w:rsidR="00BB5C54" w:rsidRPr="00E11CAE" w:rsidRDefault="00BB5C54" w:rsidP="00BB5C54">
      <w:pPr>
        <w:rPr>
          <w:rFonts w:eastAsia="Times New Roman"/>
          <w:rtl/>
          <w:lang w:val="en-GB"/>
        </w:rPr>
      </w:pPr>
      <w:r w:rsidRPr="00E11CAE">
        <w:rPr>
          <w:rFonts w:eastAsia="Times New Roman" w:hint="cs"/>
          <w:rtl/>
          <w:lang w:val="en-GB"/>
        </w:rPr>
        <w:t>أصبحت الزراعة العالمية تعتمد على الملقحات على نحو متزايد، ويرتبط الكثير من هذا الاعتماد على الملقحات البرية. وعامة الناس والقطاع الخاص، بما في ذلك صناعات الأغذية ومستحضرات التجميل ومديري سلاسل التوريد، يظهرون اهتماما متزايدا بحماية الملقحات. واستنادا إلى ذلك، يحتاج الأمر إلى صياغة إجراءات مستهدفة للمجتمع المدني وللقطاع الخاص بشأن حفظ الملقحات وموائلها. ويساعد الفهم الأكبر لخطر الخسارة في خدمات التلقيح وقيم</w:t>
      </w:r>
      <w:r>
        <w:rPr>
          <w:rFonts w:eastAsia="Times New Roman" w:hint="cs"/>
          <w:rtl/>
          <w:lang w:val="en-GB"/>
        </w:rPr>
        <w:t>ة</w:t>
      </w:r>
      <w:r w:rsidRPr="00E11CAE">
        <w:rPr>
          <w:rFonts w:eastAsia="Times New Roman" w:hint="cs"/>
          <w:rtl/>
          <w:lang w:val="en-GB"/>
        </w:rPr>
        <w:t xml:space="preserve"> هذه الوظائف والخدمات على دفع مثل هذه المبادرات.</w:t>
      </w:r>
    </w:p>
    <w:p w:rsidR="00BB5C54" w:rsidRPr="00E11CAE" w:rsidRDefault="00BB5C54" w:rsidP="00BB5C54">
      <w:pPr>
        <w:rPr>
          <w:rFonts w:eastAsia="Times New Roman"/>
          <w:i/>
          <w:iCs/>
          <w:rtl/>
          <w:lang w:val="en-GB"/>
        </w:rPr>
      </w:pPr>
      <w:r w:rsidRPr="00E11CAE">
        <w:rPr>
          <w:rFonts w:eastAsia="Times New Roman" w:hint="cs"/>
          <w:i/>
          <w:iCs/>
          <w:rtl/>
          <w:lang w:val="en-GB"/>
        </w:rPr>
        <w:t>الأنشطة</w:t>
      </w:r>
    </w:p>
    <w:p w:rsidR="00BB5C54" w:rsidRPr="00E11CAE" w:rsidRDefault="00BB5C54" w:rsidP="00BB5C54">
      <w:pPr>
        <w:rPr>
          <w:rFonts w:eastAsia="Times New Roman"/>
          <w:rtl/>
          <w:lang w:val="en-GB"/>
        </w:rPr>
      </w:pPr>
      <w:r w:rsidRPr="00E11CAE">
        <w:rPr>
          <w:rFonts w:eastAsia="Times New Roman" w:hint="cs"/>
          <w:b/>
          <w:bCs/>
          <w:rtl/>
          <w:lang w:val="en-GB"/>
        </w:rPr>
        <w:t>النشاط 3-1 زيادة وعي عامة الجمهور</w:t>
      </w:r>
    </w:p>
    <w:p w:rsidR="00BB5C54" w:rsidRPr="00E11CAE" w:rsidRDefault="00BB5C54" w:rsidP="00BB5C54">
      <w:pPr>
        <w:rPr>
          <w:rFonts w:eastAsia="Times New Roman"/>
          <w:rtl/>
          <w:lang w:val="en-GB"/>
        </w:rPr>
      </w:pPr>
      <w:r w:rsidRPr="00E11CAE">
        <w:rPr>
          <w:rFonts w:eastAsia="Times New Roman" w:hint="cs"/>
          <w:b/>
          <w:bCs/>
          <w:rtl/>
          <w:lang w:val="en-GB"/>
        </w:rPr>
        <w:t>النشاط 3-1-1</w:t>
      </w:r>
      <w:r w:rsidRPr="00E11CAE">
        <w:rPr>
          <w:rFonts w:eastAsia="Times New Roman" w:hint="cs"/>
          <w:rtl/>
          <w:lang w:val="en-GB"/>
        </w:rPr>
        <w:t xml:space="preserve"> الاشتراك في زيادة </w:t>
      </w:r>
      <w:r>
        <w:rPr>
          <w:rFonts w:eastAsia="Times New Roman" w:hint="cs"/>
          <w:rtl/>
          <w:lang w:val="en-GB"/>
        </w:rPr>
        <w:t>ال</w:t>
      </w:r>
      <w:r w:rsidRPr="00E11CAE">
        <w:rPr>
          <w:rFonts w:eastAsia="Times New Roman" w:hint="cs"/>
          <w:rtl/>
          <w:lang w:val="en-GB"/>
        </w:rPr>
        <w:t>وعي مع مجموعات رئيسية مستهدفة من أصحاب المصلحة، بم</w:t>
      </w:r>
      <w:r>
        <w:rPr>
          <w:rFonts w:eastAsia="Times New Roman" w:hint="cs"/>
          <w:rtl/>
          <w:lang w:val="en-GB"/>
        </w:rPr>
        <w:t>ا</w:t>
      </w:r>
      <w:r w:rsidRPr="00E11CAE">
        <w:rPr>
          <w:rFonts w:eastAsia="Times New Roman" w:hint="cs"/>
          <w:rtl/>
          <w:lang w:val="en-GB"/>
        </w:rPr>
        <w:t xml:space="preserve"> في ذلك المزارعين، والعاملين بالإرشاد الزراعي، والنحالين، والمنظمات غير الحكومية، والمدارس، ووسائل الإعلام، ومنظمات المستهلكين، فيما يتعلق بقيمة الملقحات والتلقيح للصحة والرفاه وسبل العيش؛</w:t>
      </w:r>
    </w:p>
    <w:p w:rsidR="00BB5C54" w:rsidRPr="00E11CAE" w:rsidRDefault="00BB5C54" w:rsidP="00BB5C54">
      <w:pPr>
        <w:rPr>
          <w:rFonts w:eastAsia="Times New Roman"/>
          <w:rtl/>
          <w:lang w:val="en-GB"/>
        </w:rPr>
      </w:pPr>
      <w:r w:rsidRPr="00E11CAE">
        <w:rPr>
          <w:rFonts w:eastAsia="Times New Roman" w:hint="cs"/>
          <w:b/>
          <w:bCs/>
          <w:rtl/>
          <w:lang w:val="en-GB"/>
        </w:rPr>
        <w:t>النشاط 3-1-2</w:t>
      </w:r>
      <w:r w:rsidRPr="00E11CAE">
        <w:rPr>
          <w:rFonts w:eastAsia="Times New Roman" w:hint="cs"/>
          <w:rtl/>
          <w:lang w:val="en-GB"/>
        </w:rPr>
        <w:t xml:space="preserve"> </w:t>
      </w:r>
      <w:r w:rsidRPr="00B21089">
        <w:rPr>
          <w:rFonts w:eastAsia="Times New Roman" w:hint="cs"/>
          <w:rtl/>
          <w:lang w:val="en-GB"/>
        </w:rPr>
        <w:t>زيادة وعي القطاع</w:t>
      </w:r>
      <w:r w:rsidRPr="00055B75">
        <w:rPr>
          <w:rFonts w:eastAsia="Times New Roman" w:hint="cs"/>
          <w:color w:val="FF0000"/>
          <w:rtl/>
          <w:lang w:val="en-GB"/>
        </w:rPr>
        <w:t xml:space="preserve"> </w:t>
      </w:r>
      <w:r w:rsidRPr="00E11CAE">
        <w:rPr>
          <w:rFonts w:eastAsia="Times New Roman" w:hint="cs"/>
          <w:rtl/>
          <w:lang w:val="en-GB"/>
        </w:rPr>
        <w:t>الخاص، بما في ذلك شركات الأغذية، ومصنّعي مستحضرات التجميل ومديري سلاسل التوريد، بالمخاطر التي يفرضها تراجع وظائف وخدمات التلقيح على أعمالهم وبقيمة حماية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3-1-3</w:t>
      </w:r>
      <w:r w:rsidRPr="00E11CAE">
        <w:rPr>
          <w:rFonts w:eastAsia="Times New Roman" w:hint="cs"/>
          <w:rtl/>
          <w:lang w:val="en-GB"/>
        </w:rPr>
        <w:t xml:space="preserve"> تشجيع استخدام التكنولوجيا وبناء القدرات التصنيفية لدى عامة الجمهور، بم</w:t>
      </w:r>
      <w:r>
        <w:rPr>
          <w:rFonts w:eastAsia="Times New Roman" w:hint="cs"/>
          <w:rtl/>
          <w:lang w:val="en-GB"/>
        </w:rPr>
        <w:t>ا</w:t>
      </w:r>
      <w:r w:rsidRPr="00E11CAE">
        <w:rPr>
          <w:rFonts w:eastAsia="Times New Roman" w:hint="cs"/>
          <w:rtl/>
          <w:lang w:val="en-GB"/>
        </w:rPr>
        <w:t xml:space="preserve"> في ذلك المزارعين والنحالين، من أجل تحديد الملقحات وتمييزها عن الآفات، وبالتالي المساهمة في </w:t>
      </w:r>
      <w:r>
        <w:rPr>
          <w:rFonts w:eastAsia="Times New Roman" w:hint="cs"/>
          <w:rtl/>
          <w:lang w:val="en-GB"/>
        </w:rPr>
        <w:t>جمع البيانات عن</w:t>
      </w:r>
      <w:r w:rsidRPr="00E11CAE">
        <w:rPr>
          <w:rFonts w:eastAsia="Times New Roman" w:hint="cs"/>
          <w:rtl/>
          <w:lang w:val="en-GB"/>
        </w:rPr>
        <w:t xml:space="preserve">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3-1-4</w:t>
      </w:r>
      <w:r w:rsidRPr="00E11CAE">
        <w:rPr>
          <w:rFonts w:eastAsia="Times New Roman" w:hint="cs"/>
          <w:rtl/>
          <w:lang w:val="en-GB"/>
        </w:rPr>
        <w:t xml:space="preserve"> دعم حملات وأنشطة لإشراك أصحاب المصلحة في حفظ الملقحات واستخدامها المستدام، بما في ذلك الاحتفالات في 20 مايو/أيار باليوم العالمي للنحل، الذي أنشأته الجمعية العامة للأمم المتحدة.</w:t>
      </w:r>
      <w:r w:rsidR="000A69D9">
        <w:rPr>
          <w:rStyle w:val="FootnoteReference"/>
          <w:rFonts w:eastAsia="Times New Roman"/>
          <w:rtl/>
          <w:lang w:val="en-GB"/>
        </w:rPr>
        <w:footnoteReference w:id="91"/>
      </w:r>
    </w:p>
    <w:p w:rsidR="00BB5C54" w:rsidRPr="00E11CAE" w:rsidRDefault="00BB5C54" w:rsidP="00BB5C54">
      <w:pPr>
        <w:rPr>
          <w:rFonts w:eastAsia="Times New Roman"/>
          <w:b/>
          <w:bCs/>
          <w:rtl/>
          <w:lang w:val="en-GB"/>
        </w:rPr>
      </w:pPr>
      <w:r w:rsidRPr="00E11CAE">
        <w:rPr>
          <w:rFonts w:eastAsia="Times New Roman" w:hint="cs"/>
          <w:b/>
          <w:bCs/>
          <w:rtl/>
          <w:lang w:val="en-GB"/>
        </w:rPr>
        <w:lastRenderedPageBreak/>
        <w:t>النشاط 3-2 إجراءات لعامة الجمهور</w:t>
      </w:r>
    </w:p>
    <w:p w:rsidR="00BB5C54" w:rsidRPr="00E11CAE" w:rsidRDefault="00BB5C54" w:rsidP="00BB5C54">
      <w:pPr>
        <w:rPr>
          <w:rFonts w:eastAsia="Times New Roman"/>
          <w:rtl/>
          <w:lang w:val="en-GB"/>
        </w:rPr>
      </w:pPr>
      <w:r w:rsidRPr="00E11CAE">
        <w:rPr>
          <w:rFonts w:eastAsia="Times New Roman" w:hint="cs"/>
          <w:b/>
          <w:bCs/>
          <w:rtl/>
          <w:lang w:val="en-GB"/>
        </w:rPr>
        <w:t>النشاط 3-2-1</w:t>
      </w:r>
      <w:r w:rsidRPr="00E11CAE">
        <w:rPr>
          <w:rFonts w:eastAsia="Times New Roman" w:hint="cs"/>
          <w:rtl/>
          <w:lang w:val="en-GB"/>
        </w:rPr>
        <w:t xml:space="preserve"> النهوض بالأنشطة التعليمية مع الأطفال والطلاب عن أهمية الملقحات ووظائف وخدمات النظم الإيكولوجية في حياتهم اليومية واقتراح وسائل للمساهمة في حماية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3-2-2</w:t>
      </w:r>
      <w:r w:rsidRPr="00E11CAE">
        <w:rPr>
          <w:rFonts w:eastAsia="Times New Roman" w:hint="cs"/>
          <w:rtl/>
          <w:lang w:val="en-GB"/>
        </w:rPr>
        <w:t xml:space="preserve"> دمج موضوعات الملقحات ووظائف وخدمات النظم الإيكولوجية في المناهج الدراسية للزراعة، والدورات الدراسية البيئية والاقتصادية؛</w:t>
      </w:r>
    </w:p>
    <w:p w:rsidR="00BB5C54" w:rsidRPr="00E11CAE" w:rsidRDefault="00BB5C54" w:rsidP="00BB5C54">
      <w:pPr>
        <w:rPr>
          <w:rFonts w:eastAsia="Times New Roman"/>
          <w:rtl/>
          <w:lang w:val="en-GB"/>
        </w:rPr>
      </w:pPr>
      <w:r w:rsidRPr="00E11CAE">
        <w:rPr>
          <w:rFonts w:eastAsia="Times New Roman" w:hint="cs"/>
          <w:b/>
          <w:bCs/>
          <w:rtl/>
          <w:lang w:val="en-GB"/>
        </w:rPr>
        <w:t>النشاط 3-2-3</w:t>
      </w:r>
      <w:r w:rsidRPr="00E11CAE">
        <w:rPr>
          <w:rFonts w:eastAsia="Times New Roman" w:hint="cs"/>
          <w:rtl/>
          <w:lang w:val="en-GB"/>
        </w:rPr>
        <w:t xml:space="preserve"> دعم انخراط المواطن في مشاريع العلوم لتوليد بيانات عن الملقحات والتلقيح وزيادة التقدير بين منظمات المجتمع المدني لدور الملقحات؛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3-2-4</w:t>
      </w:r>
      <w:r w:rsidRPr="00E11CAE">
        <w:rPr>
          <w:rFonts w:eastAsia="Times New Roman" w:hint="cs"/>
          <w:rtl/>
          <w:lang w:val="en-GB"/>
        </w:rPr>
        <w:t xml:space="preserve"> تشجيع أنشطة بناء الشبكات، بما في ذلك من خلال المؤتمرات،</w:t>
      </w:r>
      <w:r w:rsidR="000A69D9">
        <w:rPr>
          <w:rStyle w:val="FootnoteReference"/>
          <w:rFonts w:eastAsia="Times New Roman"/>
          <w:rtl/>
          <w:lang w:val="en-GB"/>
        </w:rPr>
        <w:footnoteReference w:id="92"/>
      </w:r>
      <w:r w:rsidRPr="00E11CAE">
        <w:rPr>
          <w:rFonts w:eastAsia="Times New Roman" w:hint="cs"/>
          <w:rtl/>
          <w:lang w:val="en-GB"/>
        </w:rPr>
        <w:t xml:space="preserve"> ونشر المعلومات عن الملقحات والتلقيح من خلال قواعد البيانات العامة، والبوابات الشبكية، ووسائل التواصل الاجتماعي وشبكات المعلومات التي تيسر وصول جميع أصحاب المصلحة المعنيين إليها.</w:t>
      </w:r>
    </w:p>
    <w:p w:rsidR="00BB5C54" w:rsidRPr="00E11CAE" w:rsidRDefault="00BB5C54" w:rsidP="000A69D9">
      <w:pPr>
        <w:rPr>
          <w:rFonts w:eastAsia="Times New Roman"/>
          <w:b/>
          <w:bCs/>
          <w:rtl/>
          <w:lang w:val="en-GB"/>
        </w:rPr>
      </w:pPr>
      <w:r w:rsidRPr="00E11CAE">
        <w:rPr>
          <w:rFonts w:eastAsia="Times New Roman" w:hint="cs"/>
          <w:b/>
          <w:bCs/>
          <w:rtl/>
          <w:lang w:val="en-GB"/>
        </w:rPr>
        <w:t>النشاط 3-3 إشراك دوائر الأعمال وسلاسل التوريد</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3-3-1 </w:t>
      </w:r>
      <w:r w:rsidRPr="00E11CAE">
        <w:rPr>
          <w:rFonts w:eastAsia="Times New Roman" w:hint="cs"/>
          <w:rtl/>
          <w:lang w:val="en-GB"/>
        </w:rPr>
        <w:t>توفير أدوات صنع القرار لمساعدة مختلف أصحاب المصلحة على تعيين قيم للملقحات والتلقيح، بما في ذلك القيم غير النقدية؛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3-3-2 </w:t>
      </w:r>
      <w:r w:rsidRPr="00E11CAE">
        <w:rPr>
          <w:rFonts w:eastAsia="Times New Roman" w:hint="cs"/>
          <w:rtl/>
          <w:lang w:val="en-GB"/>
        </w:rPr>
        <w:t>إعداد وسائل لإدراج الملقحات والتلقيح في حساب التكلفة الحقيقية للزراعة وإنتاج الأغذية؛</w:t>
      </w:r>
    </w:p>
    <w:p w:rsidR="00BB5C54" w:rsidRPr="00E11CAE" w:rsidRDefault="00BB5C54" w:rsidP="00BB5C54">
      <w:pPr>
        <w:rPr>
          <w:rFonts w:eastAsia="Times New Roman"/>
          <w:rtl/>
          <w:lang w:val="en-GB"/>
        </w:rPr>
      </w:pPr>
      <w:r w:rsidRPr="00E11CAE">
        <w:rPr>
          <w:rFonts w:eastAsia="Times New Roman" w:hint="cs"/>
          <w:b/>
          <w:bCs/>
          <w:rtl/>
          <w:lang w:val="en-GB"/>
        </w:rPr>
        <w:t>النشاط 3-3-3</w:t>
      </w:r>
      <w:r w:rsidRPr="00E11CAE">
        <w:rPr>
          <w:rFonts w:eastAsia="Times New Roman" w:hint="cs"/>
          <w:rtl/>
          <w:lang w:val="en-GB"/>
        </w:rPr>
        <w:t xml:space="preserve"> تحسين الفهم داخل القطاع الخاص للروابط بين المنتجات التجارية والاعتماد على السلع (غلة المحاصيل ونوعيتها) بشأن نوع الملقحات ذات الصلة؛</w:t>
      </w:r>
    </w:p>
    <w:p w:rsidR="00BB5C54" w:rsidRPr="00E11CAE" w:rsidRDefault="00BB5C54" w:rsidP="00BB5C54">
      <w:pPr>
        <w:rPr>
          <w:rFonts w:eastAsia="Times New Roman"/>
          <w:rtl/>
          <w:lang w:val="en-GB"/>
        </w:rPr>
      </w:pPr>
      <w:r w:rsidRPr="00E11CAE">
        <w:rPr>
          <w:rFonts w:eastAsia="Times New Roman" w:hint="cs"/>
          <w:b/>
          <w:bCs/>
          <w:rtl/>
          <w:lang w:val="en-GB"/>
        </w:rPr>
        <w:t>النشاط 3-3-4</w:t>
      </w:r>
      <w:r w:rsidRPr="00E11CAE">
        <w:rPr>
          <w:rFonts w:eastAsia="Times New Roman" w:hint="cs"/>
          <w:rtl/>
          <w:lang w:val="en-GB"/>
        </w:rPr>
        <w:t xml:space="preserve"> تشارك الأدلة عن تقلص الملقحات والآثار الاقتصادية، والآثار على سبل العيش، لدعم دوائر الأعمال في تحديد المخاطر المحتملة، وإعداد تقييمات الضعف، واعتماد تدابير مواتية للملقحات؛</w:t>
      </w:r>
    </w:p>
    <w:p w:rsidR="00BB5C54" w:rsidRPr="00E11CAE" w:rsidRDefault="00BB5C54" w:rsidP="00BB5C54">
      <w:pPr>
        <w:rPr>
          <w:rFonts w:eastAsia="Times New Roman"/>
          <w:rtl/>
          <w:lang w:val="en-GB"/>
        </w:rPr>
      </w:pPr>
      <w:r w:rsidRPr="00E11CAE">
        <w:rPr>
          <w:rFonts w:eastAsia="Times New Roman" w:hint="cs"/>
          <w:b/>
          <w:bCs/>
          <w:rtl/>
          <w:lang w:val="en-GB"/>
        </w:rPr>
        <w:t>النشاط 3-3-5</w:t>
      </w:r>
      <w:r w:rsidRPr="00E11CAE">
        <w:rPr>
          <w:rFonts w:eastAsia="Times New Roman" w:hint="cs"/>
          <w:rtl/>
          <w:lang w:val="en-GB"/>
        </w:rPr>
        <w:t xml:space="preserve"> إعداد وتشارك مبررات الجدوى لإجراءات دوائر الأعمال المواتية للملقحات؛</w:t>
      </w:r>
    </w:p>
    <w:p w:rsidR="00BB5C54" w:rsidRPr="002F7934" w:rsidRDefault="00BB5C54" w:rsidP="00BB5C54">
      <w:pPr>
        <w:rPr>
          <w:rFonts w:eastAsia="Times New Roman"/>
          <w:spacing w:val="-8"/>
          <w:rtl/>
          <w:lang w:val="en-GB"/>
        </w:rPr>
      </w:pPr>
      <w:r w:rsidRPr="00E11CAE">
        <w:rPr>
          <w:rFonts w:eastAsia="Times New Roman" w:hint="cs"/>
          <w:b/>
          <w:bCs/>
          <w:rtl/>
          <w:lang w:val="en-GB"/>
        </w:rPr>
        <w:t>النشاط 3-3-6</w:t>
      </w:r>
      <w:r w:rsidRPr="00E11CAE">
        <w:rPr>
          <w:rFonts w:eastAsia="Times New Roman" w:hint="cs"/>
          <w:rtl/>
          <w:lang w:val="en-GB"/>
        </w:rPr>
        <w:t xml:space="preserve"> </w:t>
      </w:r>
      <w:r w:rsidRPr="002F7934">
        <w:rPr>
          <w:rFonts w:eastAsia="Times New Roman" w:hint="cs"/>
          <w:spacing w:val="-8"/>
          <w:rtl/>
          <w:lang w:val="en-GB"/>
        </w:rPr>
        <w:t>تشجيع استخدام الملصقات الإيكولوجية، والمعايير وأهمية الخيارات</w:t>
      </w:r>
      <w:r w:rsidRPr="00E11CAE">
        <w:rPr>
          <w:rFonts w:eastAsia="Times New Roman" w:hint="cs"/>
          <w:rtl/>
          <w:lang w:val="en-GB"/>
        </w:rPr>
        <w:t xml:space="preserve"> </w:t>
      </w:r>
      <w:r w:rsidRPr="002F7934">
        <w:rPr>
          <w:rFonts w:eastAsia="Times New Roman" w:hint="cs"/>
          <w:spacing w:val="-8"/>
          <w:rtl/>
          <w:lang w:val="en-GB"/>
        </w:rPr>
        <w:t>بالنسبة للمستهلكين التي يمكن أن تفيد الملقحات.</w:t>
      </w:r>
    </w:p>
    <w:p w:rsidR="00BB5C54" w:rsidRPr="00E11CAE" w:rsidRDefault="00BB5C54" w:rsidP="00BB5C54">
      <w:pPr>
        <w:jc w:val="center"/>
        <w:rPr>
          <w:rFonts w:eastAsia="Times New Roman"/>
          <w:b/>
          <w:bCs/>
          <w:rtl/>
          <w:lang w:val="en-GB"/>
        </w:rPr>
      </w:pPr>
      <w:r w:rsidRPr="00E11CAE">
        <w:rPr>
          <w:rFonts w:eastAsia="Times New Roman" w:hint="cs"/>
          <w:b/>
          <w:bCs/>
          <w:rtl/>
          <w:lang w:val="en-GB"/>
        </w:rPr>
        <w:t>العنصر 4 -</w:t>
      </w:r>
      <w:r w:rsidRPr="00E11CAE">
        <w:rPr>
          <w:rFonts w:eastAsia="Times New Roman" w:hint="cs"/>
          <w:b/>
          <w:bCs/>
          <w:rtl/>
          <w:lang w:val="en-GB"/>
        </w:rPr>
        <w:tab/>
        <w:t>الرصد والبحوث والتقييم</w:t>
      </w:r>
    </w:p>
    <w:p w:rsidR="00BB5C54" w:rsidRPr="00E11CAE" w:rsidRDefault="00BB5C54" w:rsidP="00BB5C54">
      <w:pPr>
        <w:tabs>
          <w:tab w:val="left" w:pos="3589"/>
        </w:tabs>
        <w:rPr>
          <w:rFonts w:eastAsia="Times New Roman"/>
          <w:i/>
          <w:iCs/>
          <w:lang w:val="en-GB"/>
        </w:rPr>
      </w:pPr>
      <w:r w:rsidRPr="00E11CAE">
        <w:rPr>
          <w:rFonts w:eastAsia="Times New Roman" w:hint="cs"/>
          <w:i/>
          <w:iCs/>
          <w:rtl/>
          <w:lang w:val="en-GB"/>
        </w:rPr>
        <w:t>الهدف التشغيلي</w:t>
      </w:r>
    </w:p>
    <w:p w:rsidR="00BB5C54" w:rsidRPr="00E11CAE" w:rsidRDefault="00BB5C54" w:rsidP="00BB5C54">
      <w:pPr>
        <w:rPr>
          <w:rFonts w:eastAsia="Times New Roman"/>
          <w:rtl/>
          <w:lang w:val="en-GB"/>
        </w:rPr>
      </w:pPr>
      <w:r w:rsidRPr="00E11CAE">
        <w:rPr>
          <w:rFonts w:eastAsia="Times New Roman" w:hint="cs"/>
          <w:rtl/>
          <w:lang w:val="en-GB"/>
        </w:rPr>
        <w:t>رصد وتقييم حالة واتجاهات الملقحات، والتلقيح وموائلها في جميع المناطق وسد الفجوات المعرفية، بما في ذلك عن طريق دعم البحوث ذات الصلة.</w:t>
      </w:r>
    </w:p>
    <w:p w:rsidR="00BB5C54" w:rsidRPr="00E11CAE" w:rsidRDefault="00BB5C54" w:rsidP="00E42808">
      <w:pPr>
        <w:keepNext/>
        <w:rPr>
          <w:rFonts w:eastAsia="Times New Roman"/>
          <w:i/>
          <w:iCs/>
          <w:rtl/>
          <w:lang w:val="en-GB"/>
        </w:rPr>
      </w:pPr>
      <w:r w:rsidRPr="00E11CAE">
        <w:rPr>
          <w:rFonts w:eastAsia="Times New Roman" w:hint="cs"/>
          <w:i/>
          <w:iCs/>
          <w:rtl/>
          <w:lang w:val="en-GB"/>
        </w:rPr>
        <w:t>الأساس المنطقي</w:t>
      </w:r>
    </w:p>
    <w:p w:rsidR="00BB5C54" w:rsidRPr="00E11CAE" w:rsidRDefault="00BB5C54" w:rsidP="00BB5C54">
      <w:pPr>
        <w:rPr>
          <w:rFonts w:eastAsia="Times New Roman"/>
          <w:rtl/>
          <w:lang w:val="en-GB"/>
        </w:rPr>
      </w:pPr>
      <w:r w:rsidRPr="00E11CAE">
        <w:rPr>
          <w:rFonts w:eastAsia="Times New Roman" w:hint="cs"/>
          <w:rtl/>
          <w:lang w:val="en-GB"/>
        </w:rPr>
        <w:t>إن رصد وتقييم حالة واتجاهات الملقحات ووظائف وخدمات التلقيح، وتدابير حفظ الملقحات واستخدامها المستدام، ونتائج تلك التدابير، يعتبر ضروريا لإرشاد الإدارة التكيفية. وينبغي تشجيع الهيئات الأكاديمية والبحثية، والمنظمات والشبكات الدولية ذات الصلة على إجراء المزيد من البحوث، مع مراعاة المعارف التقليدية، من أجل سد الفجوات المعرفية وتوسيع نطاق البحوث ليشمل مجموعة أوسع من الملقحات ودعم جهود الرصد المنسقة المبذولة على المستوى العالمي والإقليمي والوطني ودون الوطني والمحلي وبناء القدرات ذات الصلة، ولا سيما في البلدان النامية، حيث تبذل جهود أقل في مجال البحوث والرصد حتى الآن.</w:t>
      </w:r>
    </w:p>
    <w:p w:rsidR="00BB5C54" w:rsidRPr="00E11CAE" w:rsidRDefault="00BB5C54" w:rsidP="00BB5C54">
      <w:pPr>
        <w:rPr>
          <w:rFonts w:eastAsia="Times New Roman"/>
          <w:i/>
          <w:iCs/>
          <w:rtl/>
          <w:lang w:val="en-GB"/>
        </w:rPr>
      </w:pPr>
      <w:r w:rsidRPr="00E11CAE">
        <w:rPr>
          <w:rFonts w:eastAsia="Times New Roman" w:hint="cs"/>
          <w:i/>
          <w:iCs/>
          <w:rtl/>
          <w:lang w:val="en-GB"/>
        </w:rPr>
        <w:lastRenderedPageBreak/>
        <w:t>الأنشطة</w:t>
      </w:r>
    </w:p>
    <w:p w:rsidR="00BB5C54" w:rsidRPr="00E11CAE" w:rsidRDefault="00BB5C54" w:rsidP="00BB5C54">
      <w:pPr>
        <w:rPr>
          <w:rFonts w:eastAsia="Times New Roman"/>
          <w:b/>
          <w:bCs/>
          <w:rtl/>
          <w:lang w:val="en-GB"/>
        </w:rPr>
      </w:pPr>
      <w:r w:rsidRPr="00E11CAE">
        <w:rPr>
          <w:rFonts w:eastAsia="Times New Roman" w:hint="cs"/>
          <w:b/>
          <w:bCs/>
          <w:rtl/>
          <w:lang w:val="en-GB"/>
        </w:rPr>
        <w:t>النشاط 4-1 الرصد</w:t>
      </w:r>
    </w:p>
    <w:p w:rsidR="00BB5C54" w:rsidRPr="00E11CAE" w:rsidRDefault="00BB5C54" w:rsidP="00BB5C54">
      <w:pPr>
        <w:rPr>
          <w:rFonts w:eastAsia="Times New Roman"/>
          <w:rtl/>
          <w:lang w:val="en-GB"/>
        </w:rPr>
      </w:pPr>
      <w:r w:rsidRPr="00E11CAE">
        <w:rPr>
          <w:rFonts w:eastAsia="Times New Roman" w:hint="cs"/>
          <w:b/>
          <w:bCs/>
          <w:rtl/>
          <w:lang w:val="en-GB"/>
        </w:rPr>
        <w:t>النشاط 4-1-1</w:t>
      </w:r>
      <w:r w:rsidRPr="00E11CAE">
        <w:rPr>
          <w:rFonts w:eastAsia="Times New Roman" w:hint="cs"/>
          <w:rtl/>
          <w:lang w:val="en-GB"/>
        </w:rPr>
        <w:t xml:space="preserve"> رصد حالة واتجاهات الملقحات، مع التركيز بشكل خاص على المناطق التي تفتقر إلى البيانات حاليا؛</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4-1-2 </w:t>
      </w:r>
      <w:r w:rsidRPr="00E11CAE">
        <w:rPr>
          <w:rFonts w:eastAsia="Times New Roman" w:hint="cs"/>
          <w:rtl/>
          <w:lang w:val="en-GB"/>
        </w:rPr>
        <w:t>تحديد حجم تقلص التلقيح في المحاصيل وفي النظم الإيكولوجية الطبيعية، مع التركيز بشكل خاص على المناطق ونظم الزراعة التي تفتقر إلى البيانات حاليا، حيثما أمكن، وتطبيق بروتوكولات متسقة وي</w:t>
      </w:r>
      <w:r>
        <w:rPr>
          <w:rFonts w:eastAsia="Times New Roman" w:hint="cs"/>
          <w:rtl/>
          <w:lang w:val="en-GB"/>
        </w:rPr>
        <w:t>مكن مقارنتها لتحديد تدابير التد</w:t>
      </w:r>
      <w:r w:rsidRPr="00E11CAE">
        <w:rPr>
          <w:rFonts w:eastAsia="Times New Roman" w:hint="cs"/>
          <w:rtl/>
          <w:lang w:val="en-GB"/>
        </w:rPr>
        <w:t>خلات الأكثر فعالية؛</w:t>
      </w:r>
    </w:p>
    <w:p w:rsidR="00BB5C54" w:rsidRPr="00E11CAE" w:rsidRDefault="00BB5C54" w:rsidP="00BB5C54">
      <w:pPr>
        <w:rPr>
          <w:rFonts w:eastAsia="Times New Roman"/>
          <w:rtl/>
          <w:lang w:val="en-GB"/>
        </w:rPr>
      </w:pPr>
      <w:r w:rsidRPr="00E11CAE">
        <w:rPr>
          <w:rFonts w:eastAsia="Times New Roman" w:hint="cs"/>
          <w:b/>
          <w:bCs/>
          <w:rtl/>
          <w:lang w:val="en-GB"/>
        </w:rPr>
        <w:t>النشاط 4-1-3</w:t>
      </w:r>
      <w:r w:rsidRPr="00E11CAE">
        <w:rPr>
          <w:rFonts w:eastAsia="Times New Roman" w:hint="cs"/>
          <w:rtl/>
          <w:lang w:val="en-GB"/>
        </w:rPr>
        <w:t xml:space="preserve"> رصد المحركات والتهديدات التي تحدق بالملقحات بالعلاقة إلى حالتها واتجاهاتها من أجل تحديد الأسباب المحتملة لتقلص الملقحات؛</w:t>
      </w:r>
    </w:p>
    <w:p w:rsidR="00BB5C54" w:rsidRPr="00E11CAE" w:rsidRDefault="00BB5C54" w:rsidP="00BB5C54">
      <w:pPr>
        <w:rPr>
          <w:rFonts w:eastAsia="Times New Roman"/>
          <w:b/>
          <w:bCs/>
          <w:rtl/>
          <w:lang w:val="en-GB"/>
        </w:rPr>
      </w:pPr>
      <w:r w:rsidRPr="00E11CAE">
        <w:rPr>
          <w:rFonts w:eastAsia="Times New Roman" w:hint="cs"/>
          <w:b/>
          <w:bCs/>
          <w:rtl/>
          <w:lang w:val="en-GB"/>
        </w:rPr>
        <w:t xml:space="preserve">النشاط 4-1-4 </w:t>
      </w:r>
      <w:r w:rsidRPr="00E11CAE">
        <w:rPr>
          <w:rFonts w:eastAsia="Times New Roman" w:hint="cs"/>
          <w:rtl/>
          <w:lang w:val="en-GB"/>
        </w:rPr>
        <w:t>رصد فعالية التدخلات في حماية الملقحات وإدارة وظائف وخدمات التلقيح؛</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4-1-5 </w:t>
      </w:r>
      <w:r w:rsidRPr="00E11CAE">
        <w:rPr>
          <w:rFonts w:eastAsia="Times New Roman" w:hint="cs"/>
          <w:rtl/>
          <w:lang w:val="en-GB"/>
        </w:rPr>
        <w:t>دعم استخدام التكنولوجيا وإعداد أدوات سهلة للمستخدمين، مثل تطبيقات الهواتف المتنقلة، لتشجيع رصد الملقحات من خلال انخراط المواطن في العلوم؛</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4-1-6 </w:t>
      </w:r>
      <w:r w:rsidRPr="00E11CAE">
        <w:rPr>
          <w:rFonts w:eastAsia="Times New Roman" w:hint="cs"/>
          <w:rtl/>
          <w:lang w:val="en-GB"/>
        </w:rPr>
        <w:t>تشجيع استخدام الملقحات والتلقيح كمؤشرات لحالة التنوع البيولوجي، وصحة النظم الإيكولوجية، والإنتاجية الزراعية والتنمية المستدامة؛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4-1-7 </w:t>
      </w:r>
      <w:r w:rsidRPr="00E11CAE">
        <w:rPr>
          <w:rFonts w:eastAsia="Times New Roman" w:hint="cs"/>
          <w:rtl/>
          <w:lang w:val="en-GB"/>
        </w:rPr>
        <w:t xml:space="preserve">تعزيز تطوير منهجيات للرصد المنهجي للملقحات في النظم الإيكولوجية الطبيعية، </w:t>
      </w:r>
      <w:r>
        <w:rPr>
          <w:rFonts w:eastAsia="Times New Roman" w:hint="cs"/>
          <w:rtl/>
          <w:lang w:val="en-GB"/>
        </w:rPr>
        <w:t>و</w:t>
      </w:r>
      <w:r w:rsidRPr="00E11CAE">
        <w:rPr>
          <w:rFonts w:eastAsia="Times New Roman" w:hint="cs"/>
          <w:rtl/>
          <w:lang w:val="en-GB"/>
        </w:rPr>
        <w:t xml:space="preserve">لا سيما في المناطق المحمية أو المواقع ذات الأهمية للحفظ والنظم الإيكولوجية المنتجة بطريقة تيسر وضع خرائط </w:t>
      </w:r>
      <w:r>
        <w:rPr>
          <w:rFonts w:eastAsia="Times New Roman" w:hint="cs"/>
          <w:rtl/>
          <w:lang w:val="en-GB"/>
        </w:rPr>
        <w:t>مرئ</w:t>
      </w:r>
      <w:r w:rsidRPr="00E11CAE">
        <w:rPr>
          <w:rFonts w:eastAsia="Times New Roman" w:hint="cs"/>
          <w:rtl/>
          <w:lang w:val="en-GB"/>
        </w:rPr>
        <w:t xml:space="preserve">ية </w:t>
      </w:r>
      <w:r>
        <w:rPr>
          <w:rFonts w:eastAsia="Times New Roman" w:hint="cs"/>
          <w:rtl/>
          <w:lang w:val="en-GB"/>
        </w:rPr>
        <w:t>تفصيلي</w:t>
      </w:r>
      <w:r w:rsidRPr="00E11CAE">
        <w:rPr>
          <w:rFonts w:eastAsia="Times New Roman" w:hint="cs"/>
          <w:rtl/>
          <w:lang w:val="en-GB"/>
        </w:rPr>
        <w:t>ة على المستوى المحلي ثم عملية صنع قرار اللاحقة.</w:t>
      </w:r>
    </w:p>
    <w:p w:rsidR="00BB5C54" w:rsidRPr="00E11CAE" w:rsidRDefault="00BB5C54" w:rsidP="00BB5C54">
      <w:pPr>
        <w:rPr>
          <w:rFonts w:eastAsia="Times New Roman"/>
          <w:rtl/>
          <w:lang w:val="en-GB"/>
        </w:rPr>
      </w:pPr>
      <w:r w:rsidRPr="00E11CAE">
        <w:rPr>
          <w:rFonts w:eastAsia="Times New Roman" w:hint="cs"/>
          <w:b/>
          <w:bCs/>
          <w:rtl/>
          <w:lang w:val="en-GB"/>
        </w:rPr>
        <w:t>النشاط 4-2 البحوث</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4-2-1 </w:t>
      </w:r>
      <w:r w:rsidRPr="00E11CAE">
        <w:rPr>
          <w:rFonts w:eastAsia="Times New Roman" w:hint="cs"/>
          <w:rtl/>
          <w:lang w:val="en-GB"/>
        </w:rPr>
        <w:t>تشجيع إجراء بحوث عن الفئات التصنيفية للملقحات بخلاف النحل وأنواع الملقحات البرية الأخرى في النظم الإيكولوجية الطبيعية ووظائف وخدمات النظم الإيكولوجية التي تقدمها من أجل تصميم سياسات الإدارة المناسبة وتدابير الحماية المناسبة؛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4-2-2 </w:t>
      </w:r>
      <w:r w:rsidRPr="00E11CAE">
        <w:rPr>
          <w:rFonts w:eastAsia="Times New Roman" w:hint="cs"/>
          <w:rtl/>
          <w:lang w:val="en-GB"/>
        </w:rPr>
        <w:t>إجراء البحوث، بما في ذلك البحوث التشاركية، عن الآثار الاجتماعية الاقتصادية فضلا عن الآثار ال</w:t>
      </w:r>
      <w:r>
        <w:rPr>
          <w:rFonts w:eastAsia="Times New Roman" w:hint="cs"/>
          <w:rtl/>
          <w:lang w:val="en-GB"/>
        </w:rPr>
        <w:t>بيئية لتقلص الملقحات في القطاع الزراعي</w:t>
      </w:r>
      <w:r w:rsidRPr="00E11CAE">
        <w:rPr>
          <w:rFonts w:eastAsia="Times New Roman" w:hint="cs"/>
          <w:rtl/>
          <w:lang w:val="en-GB"/>
        </w:rPr>
        <w:t xml:space="preserve"> و</w:t>
      </w:r>
      <w:r>
        <w:rPr>
          <w:rFonts w:eastAsia="Times New Roman" w:hint="cs"/>
          <w:rtl/>
          <w:lang w:val="en-GB"/>
        </w:rPr>
        <w:t xml:space="preserve">شركات </w:t>
      </w:r>
      <w:r w:rsidRPr="00E11CAE">
        <w:rPr>
          <w:rFonts w:eastAsia="Times New Roman" w:hint="cs"/>
          <w:rtl/>
          <w:lang w:val="en-GB"/>
        </w:rPr>
        <w:t>الأعمال ذات الصلة؛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4-2-3 </w:t>
      </w:r>
      <w:r w:rsidRPr="00E11CAE">
        <w:rPr>
          <w:rFonts w:eastAsia="Times New Roman" w:hint="cs"/>
          <w:rtl/>
          <w:lang w:val="en-GB"/>
        </w:rPr>
        <w:t>تيسير تجانس البروتوكولات من أجل البحوث، وجمع البيانات، وإدارة وتحليل عينات الملقحات وخزنها وتنظيم محتواها، بما في ذلك أساليب البحوث التعاونية؛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4-2-4 </w:t>
      </w:r>
      <w:r w:rsidRPr="00E11CAE">
        <w:rPr>
          <w:rFonts w:eastAsia="Times New Roman"/>
          <w:snapToGrid w:val="0"/>
          <w:rtl/>
          <w:lang w:val="en-GB"/>
        </w:rPr>
        <w:t>تشجيع إجراء المزيد من البحوث و</w:t>
      </w:r>
      <w:r w:rsidRPr="00E11CAE">
        <w:rPr>
          <w:rFonts w:eastAsia="Times New Roman" w:hint="cs"/>
          <w:snapToGrid w:val="0"/>
          <w:rtl/>
          <w:lang w:val="en-GB"/>
        </w:rPr>
        <w:t>تبادلها</w:t>
      </w:r>
      <w:r w:rsidRPr="00E11CAE">
        <w:rPr>
          <w:rFonts w:eastAsia="Times New Roman"/>
          <w:snapToGrid w:val="0"/>
          <w:rtl/>
          <w:lang w:val="en-GB"/>
        </w:rPr>
        <w:t xml:space="preserve"> لسد الفجوات </w:t>
      </w:r>
      <w:r w:rsidRPr="00E11CAE">
        <w:rPr>
          <w:rFonts w:eastAsia="Times New Roman" w:hint="cs"/>
          <w:snapToGrid w:val="0"/>
          <w:rtl/>
          <w:lang w:val="en-GB"/>
        </w:rPr>
        <w:t>المعرفية</w:t>
      </w:r>
      <w:r>
        <w:rPr>
          <w:rFonts w:eastAsia="Times New Roman" w:hint="cs"/>
          <w:snapToGrid w:val="0"/>
          <w:rtl/>
          <w:lang w:val="en-GB"/>
        </w:rPr>
        <w:t>،</w:t>
      </w:r>
      <w:r w:rsidRPr="00E11CAE">
        <w:rPr>
          <w:rFonts w:eastAsia="Times New Roman" w:hint="cs"/>
          <w:snapToGrid w:val="0"/>
          <w:rtl/>
          <w:lang w:val="en-GB"/>
        </w:rPr>
        <w:t xml:space="preserve"> بما في ذلك تأثيرات الفقدان الجزئي للملقحات على إنتاج المحاصيل، والآثار المحتملة لمبيدات الآفات بالنظر إلى تأثيراتها التراكمية المحتملة، والآثار المحتملة للكائنات الحية المحورة، في </w:t>
      </w:r>
      <w:r w:rsidRPr="00E11CAE">
        <w:rPr>
          <w:rFonts w:eastAsia="Times New Roman"/>
          <w:snapToGrid w:val="0"/>
          <w:rtl/>
          <w:lang w:val="en-GB"/>
        </w:rPr>
        <w:t>ظل الظروف الميدانية، بما في ذلك الآثار التباينية على الملقحات المدجنة والبرية، وعلى الملقحات الاجتماعية مقابل الملقحات المتوحدة، والآثار على تلقيح النباتات ذات المحاصيل ومن غير محاصيل على المدى القصير والمدى الطويل، وفي ظل ظروف مناخية مختلفة</w:t>
      </w:r>
      <w:r w:rsidRPr="00E11CAE">
        <w:rPr>
          <w:rFonts w:eastAsia="Times New Roman" w:hint="cs"/>
          <w:snapToGrid w:val="0"/>
          <w:rtl/>
          <w:lang w:val="en-GB"/>
        </w:rPr>
        <w:t xml:space="preserve">، بالإضافة إلى أثر فقدان الملقحات على </w:t>
      </w:r>
      <w:r>
        <w:rPr>
          <w:rFonts w:eastAsia="Times New Roman" w:hint="cs"/>
          <w:snapToGrid w:val="0"/>
          <w:rtl/>
          <w:lang w:val="en-GB"/>
        </w:rPr>
        <w:t>سلامة</w:t>
      </w:r>
      <w:r w:rsidRPr="00E11CAE">
        <w:rPr>
          <w:rFonts w:eastAsia="Times New Roman" w:hint="cs"/>
          <w:snapToGrid w:val="0"/>
          <w:rtl/>
          <w:lang w:val="en-GB"/>
        </w:rPr>
        <w:t xml:space="preserve"> النظم الإيكولوجية وصيانتها</w:t>
      </w:r>
      <w:r w:rsidRPr="00E11CAE">
        <w:rPr>
          <w:rFonts w:eastAsia="Times New Roman" w:hint="cs"/>
          <w:rtl/>
          <w:lang w:val="en-GB"/>
        </w:rPr>
        <w:t>؛</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4-2-5 </w:t>
      </w:r>
      <w:r w:rsidRPr="00E11CAE">
        <w:rPr>
          <w:rFonts w:eastAsia="Times New Roman"/>
          <w:snapToGrid w:val="0"/>
          <w:rtl/>
          <w:lang w:val="en-GB"/>
        </w:rPr>
        <w:t xml:space="preserve">تشجيع إجراء المزيد من البحوث لتحديد وسائل عملية </w:t>
      </w:r>
      <w:r w:rsidRPr="00E11CAE">
        <w:rPr>
          <w:rFonts w:eastAsia="Times New Roman" w:hint="cs"/>
          <w:snapToGrid w:val="0"/>
          <w:rtl/>
          <w:lang w:val="en-GB"/>
        </w:rPr>
        <w:t>لدمج</w:t>
      </w:r>
      <w:r w:rsidRPr="00E11CAE">
        <w:rPr>
          <w:rFonts w:eastAsia="Times New Roman"/>
          <w:snapToGrid w:val="0"/>
          <w:rtl/>
          <w:lang w:val="en-GB"/>
        </w:rPr>
        <w:t xml:space="preserve"> الممارسات المواتية للملقحات ضمن النُظم الزراعية كجزء من الجهود </w:t>
      </w:r>
      <w:r w:rsidRPr="00E11CAE">
        <w:rPr>
          <w:rFonts w:eastAsia="Times New Roman" w:hint="cs"/>
          <w:snapToGrid w:val="0"/>
          <w:rtl/>
          <w:lang w:val="en-GB"/>
        </w:rPr>
        <w:t xml:space="preserve">المبذولة </w:t>
      </w:r>
      <w:r w:rsidRPr="00E11CAE">
        <w:rPr>
          <w:rFonts w:eastAsia="Times New Roman"/>
          <w:snapToGrid w:val="0"/>
          <w:rtl/>
          <w:lang w:val="en-GB"/>
        </w:rPr>
        <w:t xml:space="preserve">لزيادة </w:t>
      </w:r>
      <w:r w:rsidRPr="00E11CAE">
        <w:rPr>
          <w:rFonts w:eastAsia="Times New Roman" w:hint="cs"/>
          <w:snapToGrid w:val="0"/>
          <w:rtl/>
          <w:lang w:val="en-GB"/>
        </w:rPr>
        <w:t>الغلة</w:t>
      </w:r>
      <w:r w:rsidRPr="00E11CAE">
        <w:rPr>
          <w:rFonts w:eastAsia="Times New Roman"/>
          <w:snapToGrid w:val="0"/>
          <w:rtl/>
          <w:lang w:val="en-GB"/>
        </w:rPr>
        <w:t xml:space="preserve"> </w:t>
      </w:r>
      <w:r w:rsidRPr="00E11CAE">
        <w:rPr>
          <w:rFonts w:eastAsia="Times New Roman" w:hint="cs"/>
          <w:snapToGrid w:val="0"/>
          <w:rtl/>
          <w:lang w:val="en-GB"/>
        </w:rPr>
        <w:t xml:space="preserve">وجودتها </w:t>
      </w:r>
      <w:r w:rsidRPr="00E11CAE">
        <w:rPr>
          <w:rFonts w:eastAsia="Times New Roman"/>
          <w:snapToGrid w:val="0"/>
          <w:rtl/>
          <w:lang w:val="en-GB"/>
        </w:rPr>
        <w:t xml:space="preserve">وتعميم التنوع البيولوجي في </w:t>
      </w:r>
      <w:r w:rsidRPr="00E11CAE">
        <w:rPr>
          <w:rFonts w:eastAsia="Times New Roman" w:hint="cs"/>
          <w:snapToGrid w:val="0"/>
          <w:rtl/>
          <w:lang w:val="en-GB"/>
        </w:rPr>
        <w:t>ال</w:t>
      </w:r>
      <w:r w:rsidRPr="00E11CAE">
        <w:rPr>
          <w:rFonts w:eastAsia="Times New Roman"/>
          <w:snapToGrid w:val="0"/>
          <w:rtl/>
          <w:lang w:val="en-GB"/>
        </w:rPr>
        <w:t>نظم الزراعي</w:t>
      </w:r>
      <w:r w:rsidRPr="00E11CAE">
        <w:rPr>
          <w:rFonts w:eastAsia="Times New Roman" w:hint="cs"/>
          <w:snapToGrid w:val="0"/>
          <w:rtl/>
          <w:lang w:val="en-GB"/>
        </w:rPr>
        <w:t>ة</w:t>
      </w:r>
      <w:r w:rsidRPr="00E11CAE">
        <w:rPr>
          <w:rFonts w:eastAsia="Times New Roman"/>
          <w:snapToGrid w:val="0"/>
          <w:rtl/>
          <w:lang w:val="en-GB"/>
        </w:rPr>
        <w:t>؛</w:t>
      </w:r>
    </w:p>
    <w:p w:rsidR="00BB5C54" w:rsidRPr="00E11CAE" w:rsidRDefault="00BB5C54" w:rsidP="00BB5C54">
      <w:pPr>
        <w:rPr>
          <w:rFonts w:eastAsia="Times New Roman"/>
          <w:rtl/>
          <w:lang w:val="en-GB"/>
        </w:rPr>
      </w:pPr>
      <w:r w:rsidRPr="00E11CAE">
        <w:rPr>
          <w:rFonts w:eastAsia="Times New Roman" w:hint="cs"/>
          <w:b/>
          <w:bCs/>
          <w:rtl/>
          <w:lang w:val="en-GB"/>
        </w:rPr>
        <w:lastRenderedPageBreak/>
        <w:t xml:space="preserve">النشاط 4-2-6 </w:t>
      </w:r>
      <w:r w:rsidRPr="00E11CAE">
        <w:rPr>
          <w:rFonts w:eastAsia="Times New Roman"/>
          <w:snapToGrid w:val="0"/>
          <w:rtl/>
          <w:lang w:val="en-GB"/>
        </w:rPr>
        <w:t xml:space="preserve">تشجيع إجراء المزيد من البحوث لتحديد المخاطر التي </w:t>
      </w:r>
      <w:r w:rsidRPr="00E11CAE">
        <w:rPr>
          <w:rFonts w:eastAsia="Times New Roman" w:hint="cs"/>
          <w:snapToGrid w:val="0"/>
          <w:rtl/>
          <w:lang w:val="en-GB"/>
        </w:rPr>
        <w:t>تواجه</w:t>
      </w:r>
      <w:r w:rsidRPr="00E11CAE">
        <w:rPr>
          <w:rFonts w:eastAsia="Times New Roman"/>
          <w:snapToGrid w:val="0"/>
          <w:rtl/>
          <w:lang w:val="en-GB"/>
        </w:rPr>
        <w:t xml:space="preserve"> التلقيح في إطار تغير المناخ وتدابير التكيف </w:t>
      </w:r>
      <w:r w:rsidRPr="00E11CAE">
        <w:rPr>
          <w:rFonts w:eastAsia="Times New Roman" w:hint="cs"/>
          <w:snapToGrid w:val="0"/>
          <w:rtl/>
          <w:lang w:val="en-GB"/>
        </w:rPr>
        <w:t xml:space="preserve">وأدوات التخفيف </w:t>
      </w:r>
      <w:r w:rsidRPr="00E11CAE">
        <w:rPr>
          <w:rFonts w:eastAsia="Times New Roman"/>
          <w:snapToGrid w:val="0"/>
          <w:rtl/>
          <w:lang w:val="en-GB"/>
        </w:rPr>
        <w:t>الممكنة</w:t>
      </w:r>
      <w:r w:rsidRPr="00E11CAE">
        <w:rPr>
          <w:rFonts w:eastAsia="Times New Roman" w:hint="cs"/>
          <w:snapToGrid w:val="0"/>
          <w:rtl/>
          <w:lang w:val="en-GB"/>
        </w:rPr>
        <w:t>،</w:t>
      </w:r>
      <w:r w:rsidRPr="00E11CAE">
        <w:rPr>
          <w:rFonts w:eastAsia="Times New Roman"/>
          <w:snapToGrid w:val="0"/>
          <w:rtl/>
          <w:lang w:val="en-GB"/>
        </w:rPr>
        <w:t xml:space="preserve"> بما في ذلك ال</w:t>
      </w:r>
      <w:r w:rsidRPr="00E11CAE">
        <w:rPr>
          <w:rFonts w:eastAsia="Times New Roman" w:hint="cs"/>
          <w:snapToGrid w:val="0"/>
          <w:rtl/>
          <w:lang w:val="en-GB"/>
        </w:rPr>
        <w:t>خسارة</w:t>
      </w:r>
      <w:r w:rsidRPr="00E11CAE">
        <w:rPr>
          <w:rFonts w:eastAsia="Times New Roman"/>
          <w:snapToGrid w:val="0"/>
          <w:rtl/>
          <w:lang w:val="en-GB"/>
        </w:rPr>
        <w:t xml:space="preserve"> المحتمل</w:t>
      </w:r>
      <w:r w:rsidRPr="00E11CAE">
        <w:rPr>
          <w:rFonts w:eastAsia="Times New Roman" w:hint="cs"/>
          <w:snapToGrid w:val="0"/>
          <w:rtl/>
          <w:lang w:val="en-GB"/>
        </w:rPr>
        <w:t>ة</w:t>
      </w:r>
      <w:r w:rsidRPr="00E11CAE">
        <w:rPr>
          <w:rFonts w:eastAsia="Times New Roman"/>
          <w:snapToGrid w:val="0"/>
          <w:rtl/>
          <w:lang w:val="en-GB"/>
        </w:rPr>
        <w:t xml:space="preserve"> لل</w:t>
      </w:r>
      <w:r w:rsidRPr="00E11CAE">
        <w:rPr>
          <w:rFonts w:eastAsia="Times New Roman" w:hint="cs"/>
          <w:snapToGrid w:val="0"/>
          <w:rtl/>
          <w:lang w:val="en-GB"/>
        </w:rPr>
        <w:t>أ</w:t>
      </w:r>
      <w:r w:rsidRPr="00E11CAE">
        <w:rPr>
          <w:rFonts w:eastAsia="Times New Roman"/>
          <w:snapToGrid w:val="0"/>
          <w:rtl/>
          <w:lang w:val="en-GB"/>
        </w:rPr>
        <w:t xml:space="preserve">نواع الرئيسية </w:t>
      </w:r>
      <w:r w:rsidRPr="00E11CAE">
        <w:rPr>
          <w:rFonts w:eastAsia="Times New Roman" w:hint="cs"/>
          <w:snapToGrid w:val="0"/>
          <w:rtl/>
          <w:lang w:val="en-GB"/>
        </w:rPr>
        <w:t xml:space="preserve">وموائلها، فضلا عن دور التلقيح في قدرة </w:t>
      </w:r>
      <w:r w:rsidRPr="00E11CAE">
        <w:rPr>
          <w:rFonts w:eastAsia="Times New Roman"/>
          <w:snapToGrid w:val="0"/>
          <w:rtl/>
          <w:lang w:val="en-GB"/>
        </w:rPr>
        <w:t xml:space="preserve">النظم </w:t>
      </w:r>
      <w:r w:rsidRPr="00E11CAE">
        <w:rPr>
          <w:rFonts w:eastAsia="Times New Roman" w:hint="cs"/>
          <w:snapToGrid w:val="0"/>
          <w:rtl/>
          <w:lang w:val="en-GB"/>
        </w:rPr>
        <w:t>الإيكولوجية الأوسع نطاقا على الصمود واستعادة حالتها</w:t>
      </w:r>
      <w:r w:rsidRPr="00E11CAE">
        <w:rPr>
          <w:rFonts w:eastAsia="Times New Roman"/>
          <w:snapToGrid w:val="0"/>
          <w:rtl/>
          <w:lang w:val="en-GB"/>
        </w:rPr>
        <w:t>؛</w:t>
      </w:r>
    </w:p>
    <w:p w:rsidR="00BB5C54" w:rsidRPr="00E11CAE" w:rsidRDefault="00BB5C54" w:rsidP="00BB5C54">
      <w:pPr>
        <w:rPr>
          <w:rFonts w:eastAsia="Times New Roman"/>
          <w:rtl/>
          <w:lang w:val="en-GB"/>
        </w:rPr>
      </w:pPr>
      <w:r w:rsidRPr="00E11CAE">
        <w:rPr>
          <w:rFonts w:eastAsia="Times New Roman" w:hint="cs"/>
          <w:b/>
          <w:bCs/>
          <w:rtl/>
          <w:lang w:val="en-GB"/>
        </w:rPr>
        <w:t>النشاط 4-2-7</w:t>
      </w:r>
      <w:r w:rsidRPr="00E11CAE">
        <w:rPr>
          <w:rFonts w:eastAsia="Times New Roman" w:hint="cs"/>
          <w:rtl/>
          <w:lang w:val="en-GB"/>
        </w:rPr>
        <w:t xml:space="preserve"> </w:t>
      </w:r>
      <w:r w:rsidRPr="00E11CAE">
        <w:rPr>
          <w:rFonts w:eastAsia="Times New Roman"/>
          <w:snapToGrid w:val="0"/>
          <w:rtl/>
          <w:lang w:val="en-GB"/>
        </w:rPr>
        <w:t xml:space="preserve">تشجيع </w:t>
      </w:r>
      <w:r w:rsidRPr="00E11CAE">
        <w:rPr>
          <w:rFonts w:eastAsia="Times New Roman" w:hint="cs"/>
          <w:snapToGrid w:val="0"/>
          <w:rtl/>
          <w:lang w:val="en-GB"/>
        </w:rPr>
        <w:t>إجراء المزيد من</w:t>
      </w:r>
      <w:r w:rsidRPr="00E11CAE">
        <w:rPr>
          <w:rFonts w:eastAsia="Times New Roman"/>
          <w:snapToGrid w:val="0"/>
          <w:rtl/>
          <w:lang w:val="en-GB"/>
        </w:rPr>
        <w:t xml:space="preserve"> البحوث والتحليل بشأن إدارة الآفات</w:t>
      </w:r>
      <w:r w:rsidRPr="00E11CAE">
        <w:rPr>
          <w:rFonts w:eastAsia="Times New Roman" w:hint="cs"/>
          <w:snapToGrid w:val="0"/>
          <w:rtl/>
          <w:lang w:val="en-GB"/>
        </w:rPr>
        <w:t>،</w:t>
      </w:r>
      <w:r w:rsidRPr="00E11CAE">
        <w:rPr>
          <w:rFonts w:eastAsia="Times New Roman"/>
          <w:snapToGrid w:val="0"/>
          <w:rtl/>
          <w:lang w:val="en-GB"/>
        </w:rPr>
        <w:t xml:space="preserve"> </w:t>
      </w:r>
      <w:r w:rsidRPr="00E11CAE">
        <w:rPr>
          <w:rFonts w:eastAsia="Times New Roman" w:hint="cs"/>
          <w:snapToGrid w:val="0"/>
          <w:rtl/>
          <w:lang w:val="en-GB"/>
        </w:rPr>
        <w:t xml:space="preserve">إذ أنها تتفاعل مع </w:t>
      </w:r>
      <w:r w:rsidRPr="00E11CAE">
        <w:rPr>
          <w:rFonts w:eastAsia="Times New Roman" w:hint="cs"/>
          <w:rtl/>
          <w:lang w:val="en-GB"/>
        </w:rPr>
        <w:t xml:space="preserve">وظائف وخدمات </w:t>
      </w:r>
      <w:r w:rsidRPr="00E11CAE">
        <w:rPr>
          <w:rFonts w:eastAsia="Times New Roman" w:hint="cs"/>
          <w:snapToGrid w:val="0"/>
          <w:rtl/>
          <w:lang w:val="en-GB"/>
        </w:rPr>
        <w:t xml:space="preserve">التلقيح، </w:t>
      </w:r>
      <w:r w:rsidRPr="00E11CAE">
        <w:rPr>
          <w:rFonts w:eastAsia="Times New Roman"/>
          <w:snapToGrid w:val="0"/>
          <w:rtl/>
          <w:lang w:val="en-GB"/>
        </w:rPr>
        <w:t xml:space="preserve">مع مراعاة </w:t>
      </w:r>
      <w:r w:rsidRPr="00E11CAE">
        <w:rPr>
          <w:rFonts w:eastAsia="Times New Roman" w:hint="cs"/>
          <w:snapToGrid w:val="0"/>
          <w:rtl/>
          <w:lang w:val="en-GB"/>
        </w:rPr>
        <w:t>أثر</w:t>
      </w:r>
      <w:r w:rsidRPr="00E11CAE">
        <w:rPr>
          <w:rFonts w:eastAsia="Times New Roman"/>
          <w:snapToGrid w:val="0"/>
          <w:rtl/>
          <w:lang w:val="en-GB"/>
        </w:rPr>
        <w:t xml:space="preserve"> المحركات </w:t>
      </w:r>
      <w:r w:rsidRPr="00E11CAE">
        <w:rPr>
          <w:rFonts w:eastAsia="Times New Roman" w:hint="cs"/>
          <w:snapToGrid w:val="0"/>
          <w:rtl/>
          <w:lang w:val="en-GB"/>
        </w:rPr>
        <w:t>لتقلص</w:t>
      </w:r>
      <w:r w:rsidRPr="00E11CAE">
        <w:rPr>
          <w:rFonts w:eastAsia="Times New Roman"/>
          <w:snapToGrid w:val="0"/>
          <w:rtl/>
          <w:lang w:val="en-GB"/>
        </w:rPr>
        <w:t xml:space="preserve"> الملقحات</w:t>
      </w:r>
      <w:r w:rsidRPr="00E11CAE">
        <w:rPr>
          <w:rFonts w:eastAsia="Times New Roman" w:hint="cs"/>
          <w:snapToGrid w:val="0"/>
          <w:rtl/>
          <w:lang w:val="en-GB"/>
        </w:rPr>
        <w:t>،</w:t>
      </w:r>
      <w:r w:rsidRPr="00E11CAE">
        <w:rPr>
          <w:rFonts w:eastAsia="Times New Roman"/>
          <w:snapToGrid w:val="0"/>
          <w:rtl/>
          <w:lang w:val="en-GB"/>
        </w:rPr>
        <w:t xml:space="preserve"> لدعم عملية وضع بدائل أكثر جدوى واستدامة؛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4-2-8 </w:t>
      </w:r>
      <w:r w:rsidRPr="00E11CAE">
        <w:rPr>
          <w:rFonts w:eastAsia="Times New Roman"/>
          <w:snapToGrid w:val="0"/>
          <w:rtl/>
          <w:lang w:val="en-GB"/>
        </w:rPr>
        <w:t xml:space="preserve">تشجيع </w:t>
      </w:r>
      <w:r w:rsidRPr="00E11CAE">
        <w:rPr>
          <w:rFonts w:eastAsia="Times New Roman" w:hint="cs"/>
          <w:snapToGrid w:val="0"/>
          <w:rtl/>
          <w:lang w:val="en-GB"/>
        </w:rPr>
        <w:t>إجراء المزيد من</w:t>
      </w:r>
      <w:r w:rsidRPr="00E11CAE">
        <w:rPr>
          <w:rFonts w:eastAsia="Times New Roman"/>
          <w:snapToGrid w:val="0"/>
          <w:rtl/>
          <w:lang w:val="en-GB"/>
        </w:rPr>
        <w:t xml:space="preserve"> البحوث والتحليل </w:t>
      </w:r>
      <w:r w:rsidRPr="00E11CAE">
        <w:rPr>
          <w:rFonts w:eastAsia="Times New Roman" w:hint="cs"/>
          <w:snapToGrid w:val="0"/>
          <w:rtl/>
          <w:lang w:val="en-GB"/>
        </w:rPr>
        <w:t xml:space="preserve">لتحديد سبل دمج تقديم وظائف وخدمات النظم الإيكولوجية </w:t>
      </w:r>
      <w:r w:rsidRPr="00ED6C2B">
        <w:rPr>
          <w:rFonts w:eastAsia="Times New Roman" w:hint="cs"/>
          <w:snapToGrid w:val="0"/>
          <w:rtl/>
          <w:lang w:val="en-GB"/>
        </w:rPr>
        <w:t>و</w:t>
      </w:r>
      <w:r>
        <w:rPr>
          <w:rFonts w:eastAsia="Times New Roman" w:hint="cs"/>
          <w:snapToGrid w:val="0"/>
          <w:rtl/>
          <w:lang w:val="en-GB"/>
        </w:rPr>
        <w:t>حفظ</w:t>
      </w:r>
      <w:r w:rsidRPr="00E11CAE">
        <w:rPr>
          <w:rFonts w:eastAsia="Times New Roman" w:hint="cs"/>
          <w:snapToGrid w:val="0"/>
          <w:rtl/>
          <w:lang w:val="en-GB"/>
        </w:rPr>
        <w:t xml:space="preserve"> الملقحات، </w:t>
      </w:r>
      <w:r>
        <w:rPr>
          <w:rFonts w:eastAsia="Times New Roman" w:hint="cs"/>
          <w:snapToGrid w:val="0"/>
          <w:rtl/>
          <w:lang w:val="en-GB"/>
        </w:rPr>
        <w:t>فيما يتجاوز إنتاج الأغذية</w:t>
      </w:r>
      <w:r w:rsidRPr="00E11CAE">
        <w:rPr>
          <w:rFonts w:eastAsia="Times New Roman"/>
          <w:snapToGrid w:val="0"/>
          <w:rtl/>
          <w:lang w:val="en-GB"/>
        </w:rPr>
        <w:t>؛</w:t>
      </w:r>
    </w:p>
    <w:p w:rsidR="00BB5C54" w:rsidRPr="00E11CAE" w:rsidRDefault="00BB5C54" w:rsidP="00BB5C54">
      <w:pPr>
        <w:rPr>
          <w:rFonts w:eastAsia="Times New Roman"/>
          <w:rtl/>
          <w:lang w:val="en-GB"/>
        </w:rPr>
      </w:pPr>
      <w:r w:rsidRPr="00E11CAE">
        <w:rPr>
          <w:rFonts w:eastAsia="Times New Roman" w:hint="cs"/>
          <w:b/>
          <w:bCs/>
          <w:rtl/>
          <w:lang w:val="en-GB"/>
        </w:rPr>
        <w:t>النشاط 4-2-9</w:t>
      </w:r>
      <w:r w:rsidRPr="00E11CAE">
        <w:rPr>
          <w:rFonts w:eastAsia="Times New Roman" w:hint="cs"/>
          <w:rtl/>
          <w:lang w:val="en-GB"/>
        </w:rPr>
        <w:t xml:space="preserve"> ترجمة البحوث في مجال الملقحات ونتائجها إلى توصيات وأفضل الممارسات المناسبة لطائفة عريضة من مجموعات أصحاب المصلحة؛</w:t>
      </w:r>
    </w:p>
    <w:p w:rsidR="00BB5C54" w:rsidRPr="00E11CAE" w:rsidRDefault="00BB5C54" w:rsidP="00BB5C54">
      <w:pPr>
        <w:rPr>
          <w:rFonts w:eastAsia="Times New Roman"/>
          <w:rtl/>
          <w:lang w:val="en-GB"/>
        </w:rPr>
      </w:pPr>
      <w:r w:rsidRPr="00E11CAE">
        <w:rPr>
          <w:rFonts w:eastAsia="Times New Roman" w:hint="cs"/>
          <w:b/>
          <w:bCs/>
          <w:rtl/>
          <w:lang w:val="en-GB"/>
        </w:rPr>
        <w:t>النشاط 4-2-10</w:t>
      </w:r>
      <w:r w:rsidRPr="00E11CAE">
        <w:rPr>
          <w:rFonts w:eastAsia="Times New Roman" w:hint="cs"/>
          <w:rtl/>
          <w:lang w:val="en-GB"/>
        </w:rPr>
        <w:t xml:space="preserve"> تعزيز أوجه التآزر بين الأدلة العلمية، وممارسات الحفظ وممارسات مجتمع البحوث للمزارعين، والمعارف التقليدية لدعم الإجراءات بشكل أفضل.</w:t>
      </w:r>
    </w:p>
    <w:p w:rsidR="00BB5C54" w:rsidRPr="00E11CAE" w:rsidRDefault="00BB5C54" w:rsidP="00BB5C54">
      <w:pPr>
        <w:rPr>
          <w:rFonts w:eastAsia="Times New Roman"/>
          <w:b/>
          <w:bCs/>
          <w:rtl/>
          <w:lang w:val="en-GB"/>
        </w:rPr>
      </w:pPr>
      <w:r w:rsidRPr="00E11CAE">
        <w:rPr>
          <w:rFonts w:eastAsia="Times New Roman" w:hint="cs"/>
          <w:b/>
          <w:bCs/>
          <w:rtl/>
          <w:lang w:val="en-GB"/>
        </w:rPr>
        <w:t>النشاط 4-3 التقييم</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4-3-1 </w:t>
      </w:r>
      <w:r w:rsidRPr="00E11CAE">
        <w:rPr>
          <w:rFonts w:eastAsia="Times New Roman" w:hint="cs"/>
          <w:rtl/>
          <w:lang w:val="en-GB"/>
        </w:rPr>
        <w:t>توليد مجموعات بيانات من خلال عملية دائمة لرصد ال</w:t>
      </w:r>
      <w:r>
        <w:rPr>
          <w:rFonts w:eastAsia="Times New Roman" w:hint="cs"/>
          <w:rtl/>
          <w:lang w:val="en-GB"/>
        </w:rPr>
        <w:t>ملحقات</w:t>
      </w:r>
      <w:r w:rsidRPr="00E11CAE">
        <w:rPr>
          <w:rFonts w:eastAsia="Times New Roman" w:hint="cs"/>
          <w:rtl/>
          <w:lang w:val="en-GB"/>
        </w:rPr>
        <w:t xml:space="preserve"> تتيح إنشاء خرائط مرئية تفصيلية إقليمية/وطنية/دون وطنية</w:t>
      </w:r>
      <w:r>
        <w:rPr>
          <w:rFonts w:eastAsia="Times New Roman" w:hint="cs"/>
          <w:rtl/>
          <w:lang w:val="en-GB"/>
        </w:rPr>
        <w:t xml:space="preserve"> و</w:t>
      </w:r>
      <w:r w:rsidRPr="00E11CAE">
        <w:rPr>
          <w:rFonts w:eastAsia="Times New Roman" w:hint="cs"/>
          <w:rtl/>
          <w:lang w:val="en-GB"/>
        </w:rPr>
        <w:t>محلية لبيان حالة واتجاهات الملقحات والتلقيح ومدى ضعف محاصيل محددة من أجل دعم صنع القرار؛</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4-3-2 </w:t>
      </w:r>
      <w:r w:rsidRPr="00E11CAE">
        <w:rPr>
          <w:rFonts w:ascii="Simplified Arabic" w:eastAsia="Times New Roman" w:hAnsi="Simplified Arabic" w:hint="cs"/>
          <w:snapToGrid w:val="0"/>
          <w:rtl/>
          <w:lang w:val="en-GB"/>
        </w:rPr>
        <w:t>تقييم</w:t>
      </w:r>
      <w:r w:rsidRPr="00E11CAE">
        <w:rPr>
          <w:rFonts w:ascii="Simplified Arabic" w:eastAsia="Times New Roman" w:hAnsi="Simplified Arabic"/>
          <w:snapToGrid w:val="0"/>
          <w:rtl/>
          <w:lang w:val="en-GB"/>
        </w:rPr>
        <w:t xml:space="preserve"> </w:t>
      </w:r>
      <w:r w:rsidRPr="00E11CAE">
        <w:rPr>
          <w:rFonts w:ascii="Simplified Arabic" w:eastAsia="Times New Roman" w:hAnsi="Simplified Arabic" w:hint="cs"/>
          <w:snapToGrid w:val="0"/>
          <w:rtl/>
          <w:lang w:val="en-GB"/>
        </w:rPr>
        <w:t xml:space="preserve">منافع </w:t>
      </w:r>
      <w:r w:rsidRPr="00E11CAE">
        <w:rPr>
          <w:rFonts w:ascii="Simplified Arabic" w:eastAsia="Times New Roman" w:hAnsi="Simplified Arabic"/>
          <w:snapToGrid w:val="0"/>
          <w:rtl/>
          <w:lang w:val="en-GB"/>
        </w:rPr>
        <w:t xml:space="preserve">الملقحات والتلقيح، مع مراعاة القيمة الاقتصادية </w:t>
      </w:r>
      <w:r w:rsidRPr="00E11CAE">
        <w:rPr>
          <w:rFonts w:ascii="Simplified Arabic" w:eastAsia="Times New Roman" w:hAnsi="Simplified Arabic" w:hint="cs"/>
          <w:snapToGrid w:val="0"/>
          <w:rtl/>
          <w:lang w:val="en-GB"/>
        </w:rPr>
        <w:t>وغيرها من القيم بالنسبة ل</w:t>
      </w:r>
      <w:r w:rsidRPr="00E11CAE">
        <w:rPr>
          <w:rFonts w:ascii="Simplified Arabic" w:eastAsia="Times New Roman" w:hAnsi="Simplified Arabic"/>
          <w:snapToGrid w:val="0"/>
          <w:rtl/>
          <w:lang w:val="en-GB"/>
        </w:rPr>
        <w:t xml:space="preserve">لزراعة </w:t>
      </w:r>
      <w:r w:rsidRPr="00E11CAE">
        <w:rPr>
          <w:rFonts w:ascii="Simplified Arabic" w:eastAsia="Times New Roman" w:hAnsi="Simplified Arabic" w:hint="cs"/>
          <w:snapToGrid w:val="0"/>
          <w:rtl/>
          <w:lang w:val="en-GB"/>
        </w:rPr>
        <w:t>والقطاع الخاص</w:t>
      </w:r>
      <w:r w:rsidRPr="00E11CAE">
        <w:rPr>
          <w:rFonts w:ascii="Simplified Arabic" w:eastAsia="Times New Roman" w:hAnsi="Simplified Arabic"/>
          <w:snapToGrid w:val="0"/>
          <w:rtl/>
          <w:lang w:val="en-GB"/>
        </w:rPr>
        <w:t xml:space="preserve">، </w:t>
      </w:r>
      <w:r w:rsidRPr="00E11CAE">
        <w:rPr>
          <w:rFonts w:ascii="Simplified Arabic" w:eastAsia="Times New Roman" w:hAnsi="Simplified Arabic" w:hint="cs"/>
          <w:snapToGrid w:val="0"/>
          <w:rtl/>
          <w:lang w:val="en-GB"/>
        </w:rPr>
        <w:t>بما في ذلك شركات الأغذية، ومصنّعي مستحضرات التجميل وسلاسل التوريد</w:t>
      </w:r>
      <w:r w:rsidRPr="00E11CAE">
        <w:rPr>
          <w:rFonts w:ascii="Simplified Arabic" w:eastAsia="Times New Roman" w:hAnsi="Simplified Arabic"/>
          <w:snapToGrid w:val="0"/>
          <w:rtl/>
          <w:lang w:val="en-GB"/>
        </w:rPr>
        <w:t>؛</w:t>
      </w:r>
    </w:p>
    <w:p w:rsidR="00BB5C54" w:rsidRPr="00E11CAE" w:rsidRDefault="00BB5C54" w:rsidP="00BB5C54">
      <w:pPr>
        <w:rPr>
          <w:rFonts w:ascii="Simplified Arabic" w:eastAsia="Times New Roman" w:hAnsi="Simplified Arabic"/>
          <w:snapToGrid w:val="0"/>
          <w:rtl/>
          <w:lang w:val="en-GB"/>
        </w:rPr>
      </w:pPr>
      <w:r w:rsidRPr="00E11CAE">
        <w:rPr>
          <w:rFonts w:eastAsia="Times New Roman" w:hint="cs"/>
          <w:b/>
          <w:bCs/>
          <w:rtl/>
          <w:lang w:val="en-GB"/>
        </w:rPr>
        <w:t xml:space="preserve">النشاط 4-3-3 </w:t>
      </w:r>
      <w:r w:rsidRPr="00E11CAE">
        <w:rPr>
          <w:rFonts w:ascii="Simplified Arabic" w:eastAsia="Times New Roman" w:hAnsi="Simplified Arabic" w:hint="cs"/>
          <w:snapToGrid w:val="0"/>
          <w:rtl/>
          <w:lang w:val="en-GB"/>
        </w:rPr>
        <w:t>تقييم منافع الممارسات المواتية للملقحات، بما في ذلك حفظ المناطق غير المزروعة في المزارع، واقتراح بدائل لإزالة الغابات؛</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4-3-4 </w:t>
      </w:r>
      <w:r w:rsidRPr="00E11CAE">
        <w:rPr>
          <w:rFonts w:eastAsia="Times New Roman" w:hint="cs"/>
          <w:rtl/>
          <w:lang w:val="en-GB"/>
        </w:rPr>
        <w:t>زيادة فهم عواقب تقلص الملقحات في محاصيل محددة، ونظم إيكولوجية زراعية وبيئات طبيعية محددة؛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4-3-5 </w:t>
      </w:r>
      <w:r w:rsidRPr="00E11CAE">
        <w:rPr>
          <w:rFonts w:eastAsia="Times New Roman" w:hint="cs"/>
          <w:rtl/>
          <w:lang w:val="en-GB"/>
        </w:rPr>
        <w:t>دعم تحديد الملقحات في المناطق الطبيعية والمناطق الخاضعة للإدارة، مثل النظم الحرجية والزراعية، فضلا عن التفاعلات بين الملقحات والنباتات، وآثار الأنشطة البشرية في النظم الإيكولوجية؛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4-3-6 </w:t>
      </w:r>
      <w:r w:rsidRPr="00E11CAE">
        <w:rPr>
          <w:rFonts w:eastAsia="Times New Roman" w:hint="cs"/>
          <w:rtl/>
          <w:lang w:val="en-GB"/>
        </w:rPr>
        <w:t>تلبية احتياجات التقييم التصنيفي في مختلف المناطق وتصميم استراتيجيات مستهدفة لسد الفجوات القائمة؛</w:t>
      </w:r>
    </w:p>
    <w:p w:rsidR="00BB5C54" w:rsidRPr="00E11CAE" w:rsidRDefault="00BB5C54" w:rsidP="00BB5C54">
      <w:pPr>
        <w:rPr>
          <w:rFonts w:eastAsia="Times New Roman"/>
          <w:rtl/>
          <w:lang w:val="en-GB"/>
        </w:rPr>
      </w:pPr>
      <w:r w:rsidRPr="00E11CAE">
        <w:rPr>
          <w:rFonts w:eastAsia="Times New Roman" w:hint="cs"/>
          <w:b/>
          <w:bCs/>
          <w:rtl/>
          <w:lang w:val="en-GB"/>
        </w:rPr>
        <w:t xml:space="preserve">النشاط 4-3-7 </w:t>
      </w:r>
      <w:r w:rsidRPr="00E11CAE">
        <w:rPr>
          <w:rFonts w:eastAsia="Times New Roman" w:hint="cs"/>
          <w:rtl/>
          <w:lang w:val="en-GB"/>
        </w:rPr>
        <w:t>زيادة القدرات التصنيفية لتحسين المعارف عن الملقحات، وحالتها واتجاهاتها، وتحديد محركات التغير في أعدادها، وإعداد الحلول المناسبة؛</w:t>
      </w:r>
    </w:p>
    <w:p w:rsidR="00BB5C54" w:rsidRPr="00E11CAE" w:rsidRDefault="00BB5C54" w:rsidP="00BB5C54">
      <w:pPr>
        <w:rPr>
          <w:rFonts w:eastAsia="Times New Roman"/>
          <w:rtl/>
          <w:lang w:val="en-GB"/>
        </w:rPr>
      </w:pPr>
      <w:r w:rsidRPr="00E11CAE">
        <w:rPr>
          <w:rFonts w:eastAsia="Times New Roman" w:hint="cs"/>
          <w:b/>
          <w:bCs/>
          <w:rtl/>
          <w:lang w:val="en-GB"/>
        </w:rPr>
        <w:t>النشاط 4-3-8</w:t>
      </w:r>
      <w:r w:rsidRPr="00E11CAE">
        <w:rPr>
          <w:rFonts w:eastAsia="Times New Roman" w:hint="cs"/>
          <w:rtl/>
          <w:lang w:val="en-GB"/>
        </w:rPr>
        <w:t xml:space="preserve"> تشجيع التقييمات المنتظمة لحالة حفظ أنواع الملقحات من مختلف المجموعات التصنيفية، وتحديث سجلات البيانات الوطنية والإقليمية والعالمية للقائمة الحمراء والقوائم الحمراء بانتظام وصياغة خطط عمل لحفظ واستعادة أنواع الملقحات المهددة بالانقراض.</w:t>
      </w:r>
    </w:p>
    <w:p w:rsidR="00BB5C54" w:rsidRPr="00E11CAE" w:rsidRDefault="00BB5C54" w:rsidP="000C66C6">
      <w:pPr>
        <w:rPr>
          <w:rFonts w:eastAsia="Times New Roman"/>
          <w:i/>
          <w:iCs/>
          <w:rtl/>
          <w:lang w:val="en-GB"/>
        </w:rPr>
      </w:pPr>
      <w:r w:rsidRPr="00E11CAE">
        <w:rPr>
          <w:rFonts w:eastAsia="Times New Roman" w:hint="cs"/>
          <w:i/>
          <w:iCs/>
          <w:rtl/>
          <w:lang w:val="en-GB"/>
        </w:rPr>
        <w:t>الجهات الفاعلة</w:t>
      </w:r>
    </w:p>
    <w:p w:rsidR="00BB5C54" w:rsidRPr="00E11CAE" w:rsidRDefault="00BB5C54" w:rsidP="00BB5C54">
      <w:pPr>
        <w:rPr>
          <w:rFonts w:eastAsia="Times New Roman"/>
          <w:rtl/>
          <w:lang w:val="en-GB"/>
        </w:rPr>
      </w:pPr>
      <w:r w:rsidRPr="00E11CAE">
        <w:rPr>
          <w:rFonts w:eastAsia="Times New Roman" w:hint="cs"/>
          <w:rtl/>
          <w:lang w:val="en-GB"/>
        </w:rPr>
        <w:t xml:space="preserve">توجه خطة العمل هذه إلى جميع أصحاب المصلحة ذوي الصلة، </w:t>
      </w:r>
      <w:r>
        <w:rPr>
          <w:rFonts w:eastAsia="Times New Roman" w:hint="cs"/>
          <w:rtl/>
          <w:lang w:val="en-GB"/>
        </w:rPr>
        <w:t>بما في ذلك</w:t>
      </w:r>
      <w:r w:rsidRPr="00E11CAE">
        <w:rPr>
          <w:rFonts w:eastAsia="Times New Roman" w:hint="cs"/>
          <w:rtl/>
          <w:lang w:val="en-GB"/>
        </w:rPr>
        <w:t xml:space="preserve"> الأطراف في اتفاقيات ريو وغيرها من الاتفاقات البيئية المتعددة الأطراف، والحكومات الوطنية ودون الوطنية والمحلية، وال</w:t>
      </w:r>
      <w:r>
        <w:rPr>
          <w:rFonts w:eastAsia="Times New Roman" w:hint="cs"/>
          <w:rtl/>
          <w:lang w:val="en-GB"/>
        </w:rPr>
        <w:t>وكال</w:t>
      </w:r>
      <w:r w:rsidRPr="00E11CAE">
        <w:rPr>
          <w:rFonts w:eastAsia="Times New Roman" w:hint="cs"/>
          <w:rtl/>
          <w:lang w:val="en-GB"/>
        </w:rPr>
        <w:t xml:space="preserve">ات المانحة، بما في ذلك مرفق البيئة العالمية، والبنك الدولي ومصارف التنمية الإقليمية والوطنية والمصارف التي لديها حوافظ كبيرة من القروض المخصصة للتنمية الريفية، </w:t>
      </w:r>
      <w:r w:rsidRPr="00E11CAE">
        <w:rPr>
          <w:rFonts w:eastAsia="Times New Roman" w:hint="cs"/>
          <w:rtl/>
          <w:lang w:val="en-GB"/>
        </w:rPr>
        <w:lastRenderedPageBreak/>
        <w:t>والجهات المانحة من القطاع الخاص والشركات، فضلا عن الهيئات والمنظمات الأخرى ذات الصلة، وملاك الأراضي ومديري الأراضي، والمزارعين، والنحالين، والشعوب الأصلية والمجتمعات المحلية، والقطاع الخاص والمجتمع المدني.</w:t>
      </w:r>
    </w:p>
    <w:p w:rsidR="00BB5C54" w:rsidRPr="00E11CAE" w:rsidRDefault="00BB5C54" w:rsidP="00BB5C54">
      <w:pPr>
        <w:rPr>
          <w:rFonts w:eastAsia="Times New Roman"/>
          <w:rtl/>
          <w:lang w:val="en-GB"/>
        </w:rPr>
      </w:pPr>
      <w:r w:rsidRPr="00E11CAE">
        <w:rPr>
          <w:rFonts w:eastAsia="Times New Roman" w:hint="cs"/>
          <w:rtl/>
          <w:lang w:val="en-GB"/>
        </w:rPr>
        <w:t xml:space="preserve">وستقوم منظمة الأغذية والزراعة بتيسير تنفيذ خطة العمل، باتباع النهج الناجح للخطة السابقة. والغرض من هذه المرحلة الجديدة هو توافق الأنشطة بشأن التلقيح والملقحات على نحو أوثق مع المكاتب الإقليمية والقطرية لمنظمة الأغذية والزراعة من أجل إقامة أوجه التآزر وتقديم الدعم على نطاق أوسع. وسيعتمد التنفيذ الكامل للمرحلة الثانية من خطة العمل على المستويين الوطني </w:t>
      </w:r>
      <w:r>
        <w:rPr>
          <w:rFonts w:eastAsia="Times New Roman" w:hint="cs"/>
          <w:rtl/>
          <w:lang w:val="en-GB"/>
        </w:rPr>
        <w:t>و</w:t>
      </w:r>
      <w:r w:rsidRPr="00E11CAE">
        <w:rPr>
          <w:rFonts w:eastAsia="Times New Roman" w:hint="cs"/>
          <w:rtl/>
          <w:lang w:val="en-GB"/>
        </w:rPr>
        <w:t>الإقليمي على توافر الموارد.</w:t>
      </w:r>
    </w:p>
    <w:p w:rsidR="00BB5C54" w:rsidRPr="00E11CAE" w:rsidRDefault="00BB5C54" w:rsidP="00BB5C54">
      <w:pPr>
        <w:tabs>
          <w:tab w:val="left" w:pos="720"/>
        </w:tabs>
        <w:jc w:val="center"/>
        <w:rPr>
          <w:rFonts w:eastAsia="Times New Roman"/>
          <w:b/>
          <w:bCs/>
          <w:sz w:val="24"/>
          <w:rtl/>
          <w:lang w:val="en-GB"/>
        </w:rPr>
      </w:pPr>
      <w:r w:rsidRPr="00E11CAE">
        <w:rPr>
          <w:rFonts w:eastAsia="Times New Roman" w:hint="cs"/>
          <w:b/>
          <w:bCs/>
          <w:sz w:val="24"/>
          <w:rtl/>
          <w:lang w:val="en-GB"/>
        </w:rPr>
        <w:t>رابعا -</w:t>
      </w:r>
      <w:r w:rsidRPr="00E11CAE">
        <w:rPr>
          <w:rFonts w:eastAsia="Times New Roman" w:hint="cs"/>
          <w:b/>
          <w:bCs/>
          <w:sz w:val="24"/>
          <w:rtl/>
          <w:lang w:val="en-GB"/>
        </w:rPr>
        <w:tab/>
        <w:t>الإرشادات والأدوات الداعمة</w:t>
      </w:r>
    </w:p>
    <w:p w:rsidR="00BB5C54" w:rsidRDefault="00BB5C54" w:rsidP="00BB5C54">
      <w:pPr>
        <w:rPr>
          <w:rFonts w:eastAsia="Times New Roman"/>
          <w:rtl/>
          <w:lang w:val="en-GB"/>
        </w:rPr>
      </w:pPr>
      <w:r w:rsidRPr="00E11CAE">
        <w:rPr>
          <w:rFonts w:eastAsia="Times New Roman" w:hint="cs"/>
          <w:rtl/>
          <w:lang w:val="en-GB"/>
        </w:rPr>
        <w:t xml:space="preserve">ترد قائمة بالإرشادات والأدوات الداعمة في وثيقة معلومات </w:t>
      </w:r>
      <w:r w:rsidRPr="00E11CAE">
        <w:rPr>
          <w:rFonts w:eastAsia="Times New Roman" w:cs="Times New Roman"/>
          <w:lang w:val="en-GB"/>
        </w:rPr>
        <w:t>(CBD/SBSTTA/22/INF/20)</w:t>
      </w:r>
      <w:r w:rsidRPr="00E11CAE">
        <w:rPr>
          <w:rFonts w:eastAsia="Times New Roman" w:hint="cs"/>
          <w:rtl/>
          <w:lang w:val="en-GB"/>
        </w:rPr>
        <w:t>.</w:t>
      </w:r>
    </w:p>
    <w:p w:rsidR="00D21AB0" w:rsidRPr="00E11CAE" w:rsidRDefault="00D21AB0" w:rsidP="00D21AB0">
      <w:pPr>
        <w:jc w:val="center"/>
        <w:rPr>
          <w:rFonts w:eastAsia="Times New Roman"/>
          <w:i/>
          <w:iCs/>
          <w:rtl/>
          <w:lang w:val="en-GB"/>
        </w:rPr>
      </w:pPr>
      <w:r w:rsidRPr="00E11CAE">
        <w:rPr>
          <w:rFonts w:eastAsia="Times New Roman" w:hint="cs"/>
          <w:i/>
          <w:iCs/>
          <w:rtl/>
          <w:lang w:val="en-GB"/>
        </w:rPr>
        <w:t>المرفق الثاني</w:t>
      </w:r>
    </w:p>
    <w:p w:rsidR="00D21AB0" w:rsidRPr="00E11CAE" w:rsidRDefault="00D21AB0" w:rsidP="00D21AB0">
      <w:pPr>
        <w:tabs>
          <w:tab w:val="left" w:pos="720"/>
        </w:tabs>
        <w:jc w:val="center"/>
        <w:rPr>
          <w:rFonts w:eastAsia="Times New Roman"/>
          <w:b/>
          <w:bCs/>
          <w:sz w:val="24"/>
          <w:rtl/>
          <w:lang w:val="en-GB"/>
        </w:rPr>
      </w:pPr>
      <w:r w:rsidRPr="00E11CAE">
        <w:rPr>
          <w:rFonts w:eastAsia="Times New Roman" w:hint="cs"/>
          <w:b/>
          <w:bCs/>
          <w:sz w:val="24"/>
          <w:rtl/>
          <w:lang w:val="en-GB"/>
        </w:rPr>
        <w:t xml:space="preserve">موجز </w:t>
      </w:r>
      <w:r w:rsidRPr="00E11CAE">
        <w:rPr>
          <w:rFonts w:eastAsia="Times New Roman"/>
          <w:b/>
          <w:bCs/>
          <w:sz w:val="24"/>
          <w:rtl/>
          <w:lang w:val="en-GB"/>
        </w:rPr>
        <w:t>–</w:t>
      </w:r>
      <w:r w:rsidRPr="00E11CAE">
        <w:rPr>
          <w:rFonts w:eastAsia="Times New Roman" w:hint="cs"/>
          <w:b/>
          <w:bCs/>
          <w:sz w:val="24"/>
          <w:rtl/>
          <w:lang w:val="en-GB"/>
        </w:rPr>
        <w:t xml:space="preserve"> استعراض أهمية الملقحات والتلقيح بالنسبة إلى حفظ التنوع البيولوجي واستخدامه المستدام في جميع النظم الإيكولوجية، خارج نطاق دورها في الزراعة وإنتاج الأغذية</w:t>
      </w:r>
    </w:p>
    <w:p w:rsidR="00D21AB0" w:rsidRPr="00E11CAE" w:rsidRDefault="00D21AB0" w:rsidP="00D21AB0">
      <w:pPr>
        <w:tabs>
          <w:tab w:val="left" w:pos="720"/>
        </w:tabs>
        <w:jc w:val="center"/>
        <w:rPr>
          <w:rFonts w:eastAsia="Times New Roman"/>
          <w:b/>
          <w:bCs/>
          <w:rtl/>
          <w:lang w:val="en-GB"/>
        </w:rPr>
      </w:pPr>
      <w:r w:rsidRPr="00E11CAE">
        <w:rPr>
          <w:rFonts w:eastAsia="Times New Roman" w:hint="cs"/>
          <w:b/>
          <w:bCs/>
          <w:rtl/>
          <w:lang w:val="en-GB"/>
        </w:rPr>
        <w:t>ألف -</w:t>
      </w:r>
      <w:r w:rsidRPr="00E11CAE">
        <w:rPr>
          <w:rFonts w:eastAsia="Times New Roman" w:hint="cs"/>
          <w:b/>
          <w:bCs/>
          <w:rtl/>
          <w:lang w:val="en-GB"/>
        </w:rPr>
        <w:tab/>
        <w:t>مقدمة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أعد التقرير الكامل</w:t>
      </w:r>
      <w:r>
        <w:rPr>
          <w:rStyle w:val="FootnoteReference"/>
          <w:rFonts w:eastAsia="Times New Roman"/>
          <w:rtl/>
          <w:lang w:val="en-GB"/>
        </w:rPr>
        <w:footnoteReference w:id="93"/>
      </w:r>
      <w:r w:rsidRPr="00E11CAE">
        <w:rPr>
          <w:rFonts w:eastAsia="Times New Roman" w:hint="cs"/>
          <w:rtl/>
          <w:lang w:val="en-GB"/>
        </w:rPr>
        <w:t xml:space="preserve"> والموجز الحالي عملا بالمقرر </w:t>
      </w:r>
      <w:hyperlink r:id="rId41" w:history="1">
        <w:r w:rsidRPr="00E11CAE">
          <w:rPr>
            <w:rFonts w:eastAsia="Times New Roman" w:hint="cs"/>
            <w:color w:val="0000FF"/>
            <w:u w:val="single"/>
            <w:rtl/>
          </w:rPr>
          <w:t>13/15</w:t>
        </w:r>
      </w:hyperlink>
      <w:r w:rsidRPr="00E11CAE">
        <w:rPr>
          <w:rFonts w:eastAsia="Times New Roman" w:hint="cs"/>
          <w:rtl/>
          <w:lang w:val="en-GB"/>
        </w:rPr>
        <w:t>. ويستند التقرير إلى المساهمات التي قدمها العديد من الباحثين حول العالم.</w:t>
      </w:r>
      <w:r>
        <w:rPr>
          <w:rStyle w:val="FootnoteReference"/>
          <w:rFonts w:eastAsia="Times New Roman"/>
          <w:lang w:val="en-GB"/>
        </w:rPr>
        <w:footnoteReference w:id="94"/>
      </w:r>
    </w:p>
    <w:p w:rsidR="00D21AB0" w:rsidRPr="00E11CAE" w:rsidRDefault="00D21AB0" w:rsidP="00D21AB0">
      <w:pPr>
        <w:tabs>
          <w:tab w:val="left" w:pos="720"/>
        </w:tabs>
        <w:jc w:val="center"/>
        <w:rPr>
          <w:rFonts w:eastAsia="Times New Roman"/>
          <w:b/>
          <w:bCs/>
          <w:lang w:val="en-GB"/>
        </w:rPr>
      </w:pPr>
      <w:r w:rsidRPr="00E11CAE">
        <w:rPr>
          <w:rFonts w:eastAsia="Times New Roman" w:hint="cs"/>
          <w:b/>
          <w:bCs/>
          <w:rtl/>
          <w:lang w:val="en-GB"/>
        </w:rPr>
        <w:t xml:space="preserve">باء </w:t>
      </w:r>
      <w:r w:rsidRPr="00E11CAE">
        <w:rPr>
          <w:rFonts w:eastAsia="Times New Roman"/>
          <w:b/>
          <w:bCs/>
          <w:rtl/>
          <w:lang w:val="en-GB"/>
        </w:rPr>
        <w:t>–</w:t>
      </w:r>
      <w:r w:rsidRPr="00E11CAE">
        <w:rPr>
          <w:rFonts w:eastAsia="Times New Roman" w:hint="cs"/>
          <w:b/>
          <w:bCs/>
          <w:rtl/>
          <w:lang w:val="en-GB"/>
        </w:rPr>
        <w:tab/>
        <w:t>أدوار وقيم الملقحات والنباتات التي تعتمد على الملقحات خارج نطاق الزراعة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هناك تنوع واسع النطاق للقيم المرتبطة بالملقحات والتلقيح خارج نطاق الزراعة وإنتاج الأغذية، وتشمل القيم الإيكولوجية والثقافية والمالية والصحية والبشرية والاجتماعية.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وتعزز الملقحات التكاثر والتنوع الجيني لغالبية كبرى من أنواع النباتات (حوالي 87.5 في المائة). ويعتمد حوالي نصف أنواع النباتات بالكامل على التلقيح بواسطة الحيوانات. ويؤدي التلقيح بواسطة الحيوانات عادة إلى درجة من التلقيح الخلطي ويشجع بذلك على التباين الجيني في المجموعات ويصونه، وهو بدوره يسمح لأنواع النباتات بأن تتكيف مع البيئات الجديدة والمتغيرة. ويؤدي التلقيح الخلطي أيضا إلى إنتاج أعلى من البذور. وعن طريق ضمان إمدادات من بذور التكاثر وتشجيع التباين الجيني، تعتبر الملقحات ذات أهمية أساسية للحفاظ على تنوع النباتات ووظائف النظم الإيكولوجية.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وتعد النباتات والملقحات ذات أهمية حيوية لوظائف النظم الإيكولوجية المستمرة، إذ تسهم في تنظيم المناخ، وتوفير اللحوم البرية، والفاكهة والبذور التي تدعم الكثير من الأنواع الأخرى، وفي السيطرة على الملاريا وغيرها من الأمراض، ضمن جملة وظائف وخدمات أخرى. فالغابات المدارية، التي تحتوي على نسبة عالية من الأنواع منفصلة الجنس تعتمد بصفة خاصة على التلقيح. وهناك مثال آخر في المنغروف، الذي يسيطر عليه نباتات لا يمكنها التلقيح ذاتيا، والتي توفر وظائف وخدمات </w:t>
      </w:r>
      <w:r w:rsidRPr="00E11CAE">
        <w:rPr>
          <w:rFonts w:eastAsia="Times New Roman" w:hint="cs"/>
          <w:rtl/>
          <w:lang w:val="en-GB"/>
        </w:rPr>
        <w:lastRenderedPageBreak/>
        <w:t>هامة مثل منع التحات الساحلي، والحماية من الفيضان وتسرب المياه المالحة، مع توفير وقود خشبي وأخشاب، وتدعم مصايد الأسماك، فضلا عن توفير الموائل والأغذية للنحل ولأنواع كثيرة أخرى.</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واعتماد النباتات </w:t>
      </w:r>
      <w:r>
        <w:rPr>
          <w:rFonts w:eastAsia="Times New Roman" w:hint="cs"/>
          <w:rtl/>
          <w:lang w:val="en-GB"/>
        </w:rPr>
        <w:t>وزوار</w:t>
      </w:r>
      <w:r w:rsidRPr="00E11CAE">
        <w:rPr>
          <w:rFonts w:eastAsia="Times New Roman" w:hint="cs"/>
          <w:rtl/>
          <w:lang w:val="en-GB"/>
        </w:rPr>
        <w:t xml:space="preserve"> الأزهار على بعضه</w:t>
      </w:r>
      <w:r>
        <w:rPr>
          <w:rFonts w:eastAsia="Times New Roman" w:hint="cs"/>
          <w:rtl/>
          <w:lang w:val="en-GB"/>
        </w:rPr>
        <w:t>م</w:t>
      </w:r>
      <w:r w:rsidRPr="00E11CAE">
        <w:rPr>
          <w:rFonts w:eastAsia="Times New Roman" w:hint="cs"/>
          <w:rtl/>
          <w:lang w:val="en-GB"/>
        </w:rPr>
        <w:t xml:space="preserve"> البعض لا يصون تنوع النباتات فحسب، بل يصون أيضا تنوع الأنواع من الحيوانات التي يقدر عددها بنحو 000 35 نوع</w:t>
      </w:r>
      <w:r>
        <w:rPr>
          <w:rFonts w:eastAsia="Times New Roman" w:hint="cs"/>
          <w:rtl/>
          <w:lang w:val="en-GB"/>
        </w:rPr>
        <w:t>ا</w:t>
      </w:r>
      <w:r w:rsidRPr="00E11CAE">
        <w:rPr>
          <w:rFonts w:eastAsia="Times New Roman" w:hint="cs"/>
          <w:rtl/>
          <w:lang w:val="en-GB"/>
        </w:rPr>
        <w:t xml:space="preserve">. وبينما توجد أدلة قوية لاضمحلال أعداد الملقحات المحلية نتيجة نقص موارد الأزهار، فلا توجد معلومات تفيد بانقراض أنواع الحيوانات نتيجة نقص موارد الأزهار. غير أنه نظرا لمدى تفتت الموائل، فإن عددا كبيرا من أنواع النباتات التي أصبحت منقرضة أو شبه منقرضة في السنوات المائة الماضية وندرة معرفتنا عن استخدام الحيوانات الزائرة للزهور في النباتات المستضيفة، فإن إمكانية حدوث ذلك بدون توثيق هي إمكانية فعلية للغاية. ومن الصعب الحصول على بيانات عن التغيرات في أعداد الحيوانات </w:t>
      </w:r>
      <w:r>
        <w:rPr>
          <w:rFonts w:eastAsia="Times New Roman" w:hint="cs"/>
          <w:rtl/>
          <w:lang w:val="en-GB"/>
        </w:rPr>
        <w:t xml:space="preserve">البرية </w:t>
      </w:r>
      <w:r w:rsidRPr="00E11CAE">
        <w:rPr>
          <w:rFonts w:eastAsia="Times New Roman" w:hint="cs"/>
          <w:rtl/>
          <w:lang w:val="en-GB"/>
        </w:rPr>
        <w:t>الزائرة للزهور ومن الأصعب إثبات أسباب هذه التغيرات.</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وتمثل الملقحات، وموائل الملقحات، ومنتجات الملقحات مصادر إلهام للفن والتعليم والمؤلفات، والموسيقى، والدين والتقاليد والتكنولوجيا. وقد تم توثيق ممارسات الحصول على العسل وتربية النحل التي تستند إلى المعارف الأصلية والتقليدية في أكثر من 50 بلدا. كما كان النحل مصدرا لإلهام صور ونصوص في الديانات حول العالم، والملقحات الأخرى مثل الطيور الطنانة، تسهم في الهوية الوطنية لبلدان مثل جامايكا وسنغافورة. والملقحات والنباتات التي تعتمد على الملقحات تدعم التطورات التكنولوجية والمعارف من خلال إلهام وتطبيق علم الأحياء الخاص بها على الابتكارات البشرية، وذلك على غرار طيران الروبوت الموجه بصريا.</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وتسهم منتجات النحل في دخل النحالين حول العالم. ويمكن لتربية النحل أن تكون أداة فعالة للحد من الفقر، وتمكين الشباب، وخلق فرص لحفظ التنوع البيولوجي باتباع إجراءات مواتية للنحل.</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وهناك طائفة من النباتات المهمة اقتصاديا خارج نطاق المحاصيل التي تعتمد على الملقحات الحيوانية، والتي تشمل العديد من أنواع النباتات الطبية. ويمكن أن تقدم النباتات الأخرى التي تعتمد على الملقحات وظائف وخدمات قيّمة، مثل أدوات الزينة، والوقود الحيوي، والألياف، ومواد البناء، والأدوات الموسيقية، والفنون، والحرف، والأنشطة الترفيهية. وتقوم أيضا النباتات المعتمدة على الملقحات بتدوير ثاني أكسيد الكربون، وتنظم المناخ، وتحسن نوعية الهواء والمياه. وعلاوة على ذلك، يتم الحصول أساسا على عدة مغذيات دقيقة، بما فيها فيتامينات ألف وجيم، والكالسيوم، والفلوريد وحمض الفوليك من النباتات المعتمدة على الملقحات. وبالإضافة إلى ذلك، تستخدم منتجات الملقحات في تحسين الصحة، مثل مضادات البكتيريا، ومضادات الفطريات، والعوامل المضادة للسكري. وتشكل حشرات الملقحات، بما فيها يرقات النحل، والخنافس، وسوس النخل، نسبة كبيرة لحوالي 000 2 نوع</w:t>
      </w:r>
      <w:r>
        <w:rPr>
          <w:rFonts w:eastAsia="Times New Roman" w:hint="cs"/>
          <w:rtl/>
          <w:lang w:val="en-GB"/>
        </w:rPr>
        <w:t>ا</w:t>
      </w:r>
      <w:r w:rsidRPr="00E11CAE">
        <w:rPr>
          <w:rFonts w:eastAsia="Times New Roman" w:hint="cs"/>
          <w:rtl/>
          <w:lang w:val="en-GB"/>
        </w:rPr>
        <w:t xml:space="preserve"> من الحشرات التي تُستهلك على الصعيد العالمي، إذ أنها ذات نسبة عالية من البروتينات والفيتامينات والمعادن.</w:t>
      </w:r>
    </w:p>
    <w:p w:rsidR="00D21AB0" w:rsidRPr="00E11CAE" w:rsidRDefault="00D21AB0" w:rsidP="00D21AB0">
      <w:pPr>
        <w:tabs>
          <w:tab w:val="left" w:pos="720"/>
        </w:tabs>
        <w:jc w:val="center"/>
        <w:rPr>
          <w:rFonts w:eastAsia="Times New Roman"/>
          <w:b/>
          <w:bCs/>
          <w:lang w:val="en-GB"/>
        </w:rPr>
      </w:pPr>
      <w:r w:rsidRPr="00E11CAE">
        <w:rPr>
          <w:rFonts w:eastAsia="Times New Roman" w:hint="cs"/>
          <w:b/>
          <w:bCs/>
          <w:rtl/>
          <w:lang w:val="en-GB"/>
        </w:rPr>
        <w:t>جيم -</w:t>
      </w:r>
      <w:r w:rsidRPr="00E11CAE">
        <w:rPr>
          <w:rFonts w:eastAsia="Times New Roman" w:hint="cs"/>
          <w:b/>
          <w:bCs/>
          <w:rtl/>
          <w:lang w:val="en-GB"/>
        </w:rPr>
        <w:tab/>
        <w:t>حالة واتجاهات الملقحات والنباتات التي تعتمد على الملقحات في جميع النظم الإيكولوجية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يتقلص توافر وتواجد وتنوع عدد كبير من الملقحات الحشرية (مثل النحل البري، والفراشات، والدبابير والخنافس) وكذلك الملقحات الف</w:t>
      </w:r>
      <w:r>
        <w:rPr>
          <w:rFonts w:eastAsia="Times New Roman" w:hint="cs"/>
          <w:rtl/>
          <w:lang w:val="en-GB"/>
        </w:rPr>
        <w:t>قارية (مثل</w:t>
      </w:r>
      <w:r w:rsidRPr="00E11CAE">
        <w:rPr>
          <w:rFonts w:eastAsia="Times New Roman" w:hint="cs"/>
          <w:rtl/>
          <w:lang w:val="en-GB"/>
        </w:rPr>
        <w:t xml:space="preserve"> الطيور، والجرابيات، والقوارض والخفافيش) على المستويين المحلي والإقليمي. وعدد أنواع النباتات التي تعتمد على الملقحات يتقلص عند المقارنة بالنباتات ذات التلقيح الذاتي أو التلقيح بواسطة الرياح.</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وبالنسبة لجميع المناطق، تم الإبلاغ عن التغير في استخدام الأراضي باعتباره ال</w:t>
      </w:r>
      <w:r>
        <w:rPr>
          <w:rFonts w:eastAsia="Times New Roman" w:hint="cs"/>
          <w:rtl/>
          <w:lang w:val="en-GB"/>
        </w:rPr>
        <w:t>محرك</w:t>
      </w:r>
      <w:r w:rsidRPr="00E11CAE">
        <w:rPr>
          <w:rFonts w:eastAsia="Times New Roman" w:hint="cs"/>
          <w:rtl/>
          <w:lang w:val="en-GB"/>
        </w:rPr>
        <w:t xml:space="preserve"> الرئيسي لتقلص الملقحات. ففي أفريقيا، تستمر إزالة الغابات نتيجة تحويل الأراضي </w:t>
      </w:r>
      <w:r>
        <w:rPr>
          <w:rFonts w:eastAsia="Times New Roman" w:hint="cs"/>
          <w:rtl/>
          <w:lang w:val="en-GB"/>
        </w:rPr>
        <w:t>إلى ا</w:t>
      </w:r>
      <w:r w:rsidRPr="00E11CAE">
        <w:rPr>
          <w:rFonts w:eastAsia="Times New Roman" w:hint="cs"/>
          <w:rtl/>
          <w:lang w:val="en-GB"/>
        </w:rPr>
        <w:t>لزراعة واستخدام الأخشاب للبناء والوقود. وفي أمريكا اللاتينية وآسيا والمحيط الهادئ، فإن تزايد زراعة فول الصويا ومزارع زيت النخيل، على التوالي، قد أثر على العديد من المناطق الأحيائية المهمة.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lastRenderedPageBreak/>
        <w:t>والواقع أن عشش النحل البري تواجه خطر التقلص نتيجة ممارسات قطع أشجار الغابات. ففي ماليزيا والبرازيل، ثبت أن قطع أشجار الغابات يقلل من أعداد عشش النحل البري، ونتيجة لذلك، الملقحات، التي لديها تأثيرات على تعافي الغابات أو استعادتها. ويقلل قطع الأشجار أيضا موائل الغابات التي تحتوي على مواقع تعشيش مناسبة وغير مشغولة. وتحدث الخسارة في الملقحات حتى إذا كانت القواعد الجارية لإدارة الأخشاب المرخصة قد أخذت في الحسبان.</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وبالإضافة إلى ذلك، فإن تواتر وتكثف الحرائق في أفريقيا </w:t>
      </w:r>
      <w:r>
        <w:rPr>
          <w:rFonts w:eastAsia="Times New Roman" w:hint="cs"/>
          <w:rtl/>
          <w:lang w:val="en-GB"/>
        </w:rPr>
        <w:t>ي</w:t>
      </w:r>
      <w:r w:rsidRPr="00E11CAE">
        <w:rPr>
          <w:rFonts w:eastAsia="Times New Roman" w:hint="cs"/>
          <w:rtl/>
          <w:lang w:val="en-GB"/>
        </w:rPr>
        <w:t>ؤثران على مختلف النظم الإيكولوجية نتيجة ارتفاع درجة التخصص في ملقحات النباتات، الذي يؤثر بدوره على إعادة بذر بذور وبراعم النباتات. ويوحي مثل هذا التخصص بإمكانية ملحوظة في فقدان الملقحات، والاعتماد على نوع واحد من الملقحات وهو أمر يحتمل أن يكون خطيرا في مواجهة التغيرات العالمية. وتوحي نماذج تغير المناخ إلى أن الحرائق يمكن أن تزيد في تواترها</w:t>
      </w:r>
      <w:r w:rsidRPr="008D4179">
        <w:rPr>
          <w:rFonts w:eastAsia="Times New Roman" w:hint="cs"/>
          <w:spacing w:val="-8"/>
          <w:rtl/>
          <w:lang w:val="en-GB"/>
        </w:rPr>
        <w:t>، مع إطالة موسم ظروف الطقس المواتية للحرائق.</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وفي أمريكا اللاتينية، تم الإبلاغ عن غزوات النحل الغريب باعتبارها المحرك الثاني لتقلص النحل المحلي. كما أن أنواع النحل التي تم إدخالها تثير القلق هي الأخرى، مثلا، في اليابان، حيث يوجد احتمال لاضطراب شبكة التلقيح المحلية. وفي آسيا، فإن تآكل المعارف التقليدية، بما في ذلك إدارة النحل المحلي، قد يسهم في حالات تقلص الملقحات المحلية. وفي أوروبا وكندا والولايات المتحدة وأستراليا ونيوزيلندا، فإن خطر الملقحات الناشئ عن مبيدات الآفات وانتقال العوامل المسببة للأمراض والطفيليات يعد مصدرا كبيرا للقلق.</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وهناك نقص في التغيرات المكانية والزمانية في الملقحات البرية في مناطق كثيرة، وبجانب القليل من التصنيفات المعروفة، فهو يعرقل تقييم حالة واتجاهات الملقحات. وبالإضافة إلى ذلك، فإن نقص </w:t>
      </w:r>
      <w:r>
        <w:rPr>
          <w:rFonts w:eastAsia="Times New Roman" w:hint="cs"/>
          <w:rtl/>
          <w:lang w:val="en-GB"/>
        </w:rPr>
        <w:t>ال</w:t>
      </w:r>
      <w:r w:rsidRPr="00E11CAE">
        <w:rPr>
          <w:rFonts w:eastAsia="Times New Roman" w:hint="cs"/>
          <w:rtl/>
          <w:lang w:val="en-GB"/>
        </w:rPr>
        <w:t>تقييمات العالمية للقائمة الحمراء، وخصوصا بالنسبة للملقحات الحشرية، وفي معظم أجزاء العالم، نقص بيانات طويلة الأجل عن الأعداد أو بيانات قياسية لمقارنة الحالة الراهنة لأعداد الملقحات البرية يجعل من الصعب الخروج بأي اتجاه زمني.</w:t>
      </w:r>
    </w:p>
    <w:p w:rsidR="00D21AB0" w:rsidRPr="00E11CAE" w:rsidRDefault="00D21AB0" w:rsidP="008D4179">
      <w:pPr>
        <w:numPr>
          <w:ilvl w:val="0"/>
          <w:numId w:val="21"/>
        </w:numPr>
        <w:spacing w:after="100"/>
        <w:ind w:left="0" w:firstLine="0"/>
        <w:rPr>
          <w:rFonts w:eastAsia="Times New Roman"/>
          <w:lang w:val="en-GB"/>
        </w:rPr>
      </w:pPr>
      <w:r w:rsidRPr="00E11CAE">
        <w:rPr>
          <w:rFonts w:eastAsia="Times New Roman" w:hint="cs"/>
          <w:rtl/>
          <w:lang w:val="en-GB"/>
        </w:rPr>
        <w:t xml:space="preserve">وفيما يلي الموائل والمناطق الأحيائية التي ظهر أنها الأكثر </w:t>
      </w:r>
      <w:r>
        <w:rPr>
          <w:rFonts w:eastAsia="Times New Roman" w:hint="cs"/>
          <w:rtl/>
          <w:lang w:val="en-GB"/>
        </w:rPr>
        <w:t>تعرضا</w:t>
      </w:r>
      <w:r w:rsidRPr="00E11CAE">
        <w:rPr>
          <w:rFonts w:eastAsia="Times New Roman" w:hint="cs"/>
          <w:rtl/>
          <w:lang w:val="en-GB"/>
        </w:rPr>
        <w:t xml:space="preserve"> لتقلص الملقحات في كل منطقة:</w:t>
      </w:r>
    </w:p>
    <w:p w:rsidR="00D21AB0" w:rsidRPr="00E11CAE" w:rsidRDefault="00D21AB0" w:rsidP="008D4179">
      <w:pPr>
        <w:spacing w:after="100"/>
        <w:ind w:firstLine="706"/>
        <w:rPr>
          <w:rFonts w:eastAsia="Times New Roman"/>
          <w:rtl/>
          <w:lang w:val="en-GB"/>
        </w:rPr>
      </w:pPr>
      <w:r w:rsidRPr="00E11CAE">
        <w:rPr>
          <w:rFonts w:eastAsia="Times New Roman" w:hint="cs"/>
          <w:rtl/>
          <w:lang w:val="en-GB"/>
        </w:rPr>
        <w:t>(أ)</w:t>
      </w:r>
      <w:r w:rsidRPr="00E11CAE">
        <w:rPr>
          <w:rFonts w:eastAsia="Times New Roman" w:hint="cs"/>
          <w:rtl/>
          <w:lang w:val="en-GB"/>
        </w:rPr>
        <w:tab/>
      </w:r>
      <w:r w:rsidRPr="00E11CAE">
        <w:rPr>
          <w:rFonts w:eastAsia="Times New Roman" w:hint="cs"/>
          <w:i/>
          <w:iCs/>
          <w:rtl/>
          <w:lang w:val="en-GB"/>
        </w:rPr>
        <w:t>أفريقيا</w:t>
      </w:r>
      <w:r w:rsidRPr="00E11CAE">
        <w:rPr>
          <w:rFonts w:eastAsia="Times New Roman" w:hint="cs"/>
          <w:rtl/>
          <w:lang w:val="en-GB"/>
        </w:rPr>
        <w:t xml:space="preserve">: الغابات المدارية، والغابات </w:t>
      </w:r>
      <w:r>
        <w:rPr>
          <w:rFonts w:eastAsia="Times New Roman" w:hint="cs"/>
          <w:rtl/>
          <w:lang w:val="en-GB"/>
        </w:rPr>
        <w:t>العبلاء الجافة</w:t>
      </w:r>
      <w:r w:rsidRPr="00E11CAE">
        <w:rPr>
          <w:rFonts w:eastAsia="Times New Roman" w:hint="cs"/>
          <w:rtl/>
          <w:lang w:val="en-GB"/>
        </w:rPr>
        <w:t xml:space="preserve">، والغابات شبه المدارية، وفي البحر الأبيض المتوسط، </w:t>
      </w:r>
      <w:r>
        <w:rPr>
          <w:rFonts w:eastAsia="Times New Roman" w:hint="cs"/>
          <w:rtl/>
          <w:lang w:val="en-GB"/>
        </w:rPr>
        <w:t>و</w:t>
      </w:r>
      <w:r w:rsidRPr="00E11CAE">
        <w:rPr>
          <w:rFonts w:eastAsia="Times New Roman" w:hint="cs"/>
          <w:rtl/>
          <w:lang w:val="en-GB"/>
        </w:rPr>
        <w:t>الأراضي العشبية الجبلية، والسفانا والأراضي العشبية المدارية وشبه المدارية، والأراضي الجافة والصحاري، والأراضي الرطبة والأراضي الضحلة، والمناطق الحضرية وشبه الحضرية، والمناطق الساحلية؛</w:t>
      </w:r>
    </w:p>
    <w:p w:rsidR="00D21AB0" w:rsidRPr="00E11CAE" w:rsidRDefault="00D21AB0" w:rsidP="008D4179">
      <w:pPr>
        <w:spacing w:after="100"/>
        <w:ind w:firstLine="706"/>
        <w:rPr>
          <w:rFonts w:eastAsia="Times New Roman"/>
          <w:rtl/>
          <w:lang w:val="en-GB"/>
        </w:rPr>
      </w:pPr>
      <w:r w:rsidRPr="00E11CAE">
        <w:rPr>
          <w:rFonts w:eastAsia="Times New Roman" w:hint="cs"/>
          <w:rtl/>
          <w:lang w:val="en-GB"/>
        </w:rPr>
        <w:t>(ب)</w:t>
      </w:r>
      <w:r w:rsidRPr="00E11CAE">
        <w:rPr>
          <w:rFonts w:eastAsia="Times New Roman" w:hint="cs"/>
          <w:rtl/>
          <w:lang w:val="en-GB"/>
        </w:rPr>
        <w:tab/>
      </w:r>
      <w:r w:rsidRPr="00E11CAE">
        <w:rPr>
          <w:rFonts w:eastAsia="Times New Roman" w:hint="cs"/>
          <w:i/>
          <w:iCs/>
          <w:rtl/>
          <w:lang w:val="en-GB"/>
        </w:rPr>
        <w:t>آسيا والمحيط الهادئ</w:t>
      </w:r>
      <w:r w:rsidRPr="00E11CAE">
        <w:rPr>
          <w:rFonts w:eastAsia="Times New Roman" w:hint="cs"/>
          <w:rtl/>
          <w:lang w:val="en-GB"/>
        </w:rPr>
        <w:t>: الغابات الجافة المدارية دائمة الخضرة؛</w:t>
      </w:r>
    </w:p>
    <w:p w:rsidR="00D21AB0" w:rsidRPr="00E11CAE" w:rsidRDefault="00D21AB0" w:rsidP="008D4179">
      <w:pPr>
        <w:spacing w:after="100"/>
        <w:ind w:firstLine="706"/>
        <w:rPr>
          <w:rFonts w:eastAsia="Times New Roman"/>
          <w:rtl/>
          <w:lang w:val="en-GB"/>
        </w:rPr>
      </w:pPr>
      <w:r w:rsidRPr="00E11CAE">
        <w:rPr>
          <w:rFonts w:eastAsia="Times New Roman" w:hint="cs"/>
          <w:rtl/>
          <w:lang w:val="en-GB"/>
        </w:rPr>
        <w:t>(ج)</w:t>
      </w:r>
      <w:r w:rsidRPr="00E11CAE">
        <w:rPr>
          <w:rFonts w:eastAsia="Times New Roman" w:hint="cs"/>
          <w:rtl/>
          <w:lang w:val="en-GB"/>
        </w:rPr>
        <w:tab/>
      </w:r>
      <w:r w:rsidRPr="00E11CAE">
        <w:rPr>
          <w:rFonts w:eastAsia="Times New Roman" w:hint="cs"/>
          <w:i/>
          <w:iCs/>
          <w:rtl/>
          <w:lang w:val="en-GB"/>
        </w:rPr>
        <w:t>أمريكا اللاتينية</w:t>
      </w:r>
      <w:r w:rsidRPr="00E11CAE">
        <w:rPr>
          <w:rFonts w:eastAsia="Times New Roman" w:hint="cs"/>
          <w:rtl/>
          <w:lang w:val="en-GB"/>
        </w:rPr>
        <w:t>: جبال الأنديز، وجبال وسط أمريكا والمناطق عالية الارتفاع، وغابة شاكو شبه المدارية، وسافانا سيرادو، وأراضي بنتانال الرطبة، وغابة الأمازون، وغابات الأطلسي، من بين أمور أخرى؛</w:t>
      </w:r>
    </w:p>
    <w:p w:rsidR="00D21AB0" w:rsidRPr="00E11CAE" w:rsidRDefault="00D21AB0" w:rsidP="008D4179">
      <w:pPr>
        <w:spacing w:after="100"/>
        <w:ind w:firstLine="706"/>
        <w:rPr>
          <w:rFonts w:eastAsia="Times New Roman"/>
          <w:lang w:val="en-GB"/>
        </w:rPr>
      </w:pPr>
      <w:r w:rsidRPr="00E11CAE">
        <w:rPr>
          <w:rFonts w:eastAsia="Times New Roman" w:hint="cs"/>
          <w:rtl/>
          <w:lang w:val="en-GB"/>
        </w:rPr>
        <w:t>(د)</w:t>
      </w:r>
      <w:r w:rsidRPr="00E11CAE">
        <w:rPr>
          <w:rFonts w:eastAsia="Times New Roman" w:hint="cs"/>
          <w:rtl/>
          <w:lang w:val="en-GB"/>
        </w:rPr>
        <w:tab/>
      </w:r>
      <w:r w:rsidRPr="00E11CAE">
        <w:rPr>
          <w:rFonts w:eastAsia="Times New Roman" w:hint="cs"/>
          <w:i/>
          <w:iCs/>
          <w:rtl/>
          <w:lang w:val="en-GB"/>
        </w:rPr>
        <w:t>أوروبا وكندا والولايات المتحدة وأستراليا ونيوزيلندا</w:t>
      </w:r>
      <w:r w:rsidRPr="00E11CAE">
        <w:rPr>
          <w:rFonts w:eastAsia="Times New Roman" w:hint="cs"/>
          <w:rtl/>
          <w:lang w:val="en-GB"/>
        </w:rPr>
        <w:t>: أراضي الوحل والمستنقعات، والأراضي العشبية، والأراضي البور، والأعياص.</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وتعتبر غابات الأطلسي منطقة أحيائية غنية بملقحات النباتات التي تعتمد على بعضها البعض، وهي منطقة معرضة </w:t>
      </w:r>
      <w:r>
        <w:rPr>
          <w:rFonts w:eastAsia="Times New Roman" w:hint="cs"/>
          <w:rtl/>
          <w:lang w:val="en-GB"/>
        </w:rPr>
        <w:t xml:space="preserve">للخطر </w:t>
      </w:r>
      <w:r w:rsidRPr="00E11CAE">
        <w:rPr>
          <w:rFonts w:eastAsia="Times New Roman" w:hint="cs"/>
          <w:rtl/>
          <w:lang w:val="en-GB"/>
        </w:rPr>
        <w:t>بدرجة عالية من خلال فقدان الموائل والتفتت، ولا تغطي الغابات الأصلية إلا 29 في المائة فقط من مساحتها.</w:t>
      </w:r>
      <w:r>
        <w:rPr>
          <w:rStyle w:val="FootnoteReference"/>
          <w:rFonts w:eastAsia="Times New Roman"/>
          <w:rtl/>
          <w:lang w:val="en-GB"/>
        </w:rPr>
        <w:footnoteReference w:id="95"/>
      </w:r>
      <w:r w:rsidRPr="00E11CAE">
        <w:rPr>
          <w:rFonts w:eastAsia="Times New Roman" w:hint="cs"/>
          <w:rtl/>
          <w:lang w:val="en-GB"/>
        </w:rPr>
        <w:t xml:space="preserve"> وينطوي التفتت الشديد لهذه المنطقة الأحيائية على فقدان متباين لأنواع النباتات المتخصصة نسبيا للتلقيح والنظم الجنسية التي يمكنها البقاء فقط في داخل البقايات الكبرى. وفي غابة شاكو الجافة، من المقترح أن الزيادة في الإخصاب الذاتي (التلقيح الذاتي) قد تكون مرتبطة بغزوات نحل العسل الأفريقي.</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lastRenderedPageBreak/>
        <w:t>ويعتبر تغير المناخ تهديدا محتملا كبيرا في أوروبا وأمريكا الشمالية. ويفشل النحل الطنان في تتبع الطقس الحار باستعمار موائل جديدة شمال نطاقه التاريخي. وفي نفس الوقت، فإنه يختفي من الأجزاء الجنوبية لنطاقه. وقد تقلصت بعض الأنواع تقلصا شديدا.</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rPr>
        <w:t>و</w:t>
      </w:r>
      <w:r w:rsidRPr="00E11CAE">
        <w:rPr>
          <w:rFonts w:eastAsia="Times New Roman" w:hint="cs"/>
          <w:rtl/>
          <w:lang w:val="en-GB"/>
        </w:rPr>
        <w:t xml:space="preserve">تقوم الشعوب الأصلية والمجتمعات المحلية على نطاق واسع بتربية النحل عديم الشوكة </w:t>
      </w:r>
      <w:r w:rsidRPr="00E11CAE">
        <w:rPr>
          <w:rFonts w:eastAsia="Times New Roman"/>
        </w:rPr>
        <w:t>(meliponini)</w:t>
      </w:r>
      <w:r w:rsidRPr="00E11CAE">
        <w:rPr>
          <w:rFonts w:eastAsia="Times New Roman" w:hint="cs"/>
          <w:rtl/>
          <w:lang w:val="en-GB"/>
        </w:rPr>
        <w:t xml:space="preserve"> على أساس المعارف المنقولة شفويا عبر الأجيال. والنحل عديم الشوكة من الملقحات المفيدة للمحاصيل والفاكهة البرية</w:t>
      </w:r>
      <w:r>
        <w:rPr>
          <w:rFonts w:eastAsia="Times New Roman" w:hint="cs"/>
          <w:rtl/>
          <w:lang w:val="en-GB"/>
        </w:rPr>
        <w:t>،</w:t>
      </w:r>
      <w:r w:rsidRPr="00E11CAE">
        <w:rPr>
          <w:rFonts w:eastAsia="Times New Roman" w:hint="cs"/>
          <w:rtl/>
          <w:lang w:val="en-GB"/>
        </w:rPr>
        <w:t xml:space="preserve"> ومعظمه ينتج العسل، الذي يستخدم للأغراض الطبية. وبينما تعتبر هذه التربية فرصة اقتصادية للبلدان المدارية، فإن تربية النحل عديم الشوكة على نطاق واسع تعتبر من التحديات الحالية.</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وقد تم استكشاف إدخال أنواع عسل النحل </w:t>
      </w:r>
      <w:r w:rsidRPr="00E11CAE">
        <w:rPr>
          <w:rFonts w:eastAsia="Times New Roman"/>
        </w:rPr>
        <w:t>(Apis)</w:t>
      </w:r>
      <w:r w:rsidRPr="00E11CAE">
        <w:rPr>
          <w:rFonts w:eastAsia="Times New Roman" w:hint="cs"/>
          <w:rtl/>
          <w:lang w:val="en-GB"/>
        </w:rPr>
        <w:t xml:space="preserve"> في غابات المنغروف في بلدان كثيرة مثل الصين، وكوبا، والهند، والولايات المتحدة، ويتزايد أيضا في تايلند والبرازيل. وقد يكون لهذا النشاط إمكانية للمساهمة في حفظ نظم المنغروف</w:t>
      </w:r>
      <w:r>
        <w:rPr>
          <w:rFonts w:eastAsia="Times New Roman" w:hint="cs"/>
          <w:rtl/>
          <w:lang w:val="en-GB"/>
        </w:rPr>
        <w:t>،</w:t>
      </w:r>
      <w:r w:rsidRPr="00E11CAE">
        <w:rPr>
          <w:rFonts w:eastAsia="Times New Roman" w:hint="cs"/>
          <w:rtl/>
          <w:lang w:val="en-GB"/>
        </w:rPr>
        <w:t xml:space="preserve"> ولكن ينبغي إجراء مزيد من التقييم لآثار هذا النشاط. وهناك حاجة إلى إحراز تقدم في إدارة مست</w:t>
      </w:r>
      <w:r>
        <w:rPr>
          <w:rFonts w:eastAsia="Times New Roman" w:hint="cs"/>
          <w:rtl/>
          <w:lang w:val="en-GB"/>
        </w:rPr>
        <w:t>عمر</w:t>
      </w:r>
      <w:r w:rsidRPr="00E11CAE">
        <w:rPr>
          <w:rFonts w:eastAsia="Times New Roman" w:hint="cs"/>
          <w:rtl/>
          <w:lang w:val="en-GB"/>
        </w:rPr>
        <w:t>ات</w:t>
      </w:r>
      <w:r>
        <w:rPr>
          <w:rFonts w:eastAsia="Times New Roman" w:hint="cs"/>
          <w:rtl/>
          <w:lang w:val="en-GB"/>
        </w:rPr>
        <w:t xml:space="preserve"> نحل العسل</w:t>
      </w:r>
      <w:r w:rsidRPr="00E11CAE">
        <w:rPr>
          <w:rFonts w:eastAsia="Times New Roman" w:hint="cs"/>
          <w:rtl/>
          <w:lang w:val="en-GB"/>
        </w:rPr>
        <w:t>، بما في ذلك التكاثر الاصطناعي وتربية الملكات، من أجل استخدام الموارد الطبيعية على نحو مستدام.</w:t>
      </w:r>
    </w:p>
    <w:p w:rsidR="00D21AB0" w:rsidRPr="00E11CAE" w:rsidRDefault="00D21AB0" w:rsidP="00FF7FA5">
      <w:pPr>
        <w:numPr>
          <w:ilvl w:val="0"/>
          <w:numId w:val="21"/>
        </w:numPr>
        <w:ind w:left="0" w:firstLine="0"/>
        <w:rPr>
          <w:rFonts w:eastAsia="Times New Roman"/>
          <w:lang w:val="en-GB"/>
        </w:rPr>
      </w:pPr>
      <w:r w:rsidRPr="00E11CAE">
        <w:rPr>
          <w:rFonts w:eastAsia="Times New Roman" w:hint="cs"/>
          <w:rtl/>
          <w:lang w:val="en-GB"/>
        </w:rPr>
        <w:t xml:space="preserve">وفيما يتعلق بأثر مبيدات الآفات على الأنواع غير المستهدفة، أظهر تحليل حديث للبيانات الوصفية أنه عند المقارنة بنحل العسل، يكون النحل عديم الشوكة أكثر حساسية لمبيدات آفات مختلفة. وتشير الدراسات التجريبية التي أجريت على ملقحات أخرى مثل الخفاش آكل الفاكهة </w:t>
      </w:r>
      <w:r w:rsidRPr="00E11CAE">
        <w:rPr>
          <w:rFonts w:eastAsia="Times New Roman" w:cs="Times New Roman"/>
          <w:color w:val="000000"/>
          <w:kern w:val="24"/>
          <w:lang w:eastAsia="ja-JP"/>
        </w:rPr>
        <w:t>(</w:t>
      </w:r>
      <w:r w:rsidRPr="00E11CAE">
        <w:rPr>
          <w:rFonts w:eastAsia="Times New Roman" w:cs="Times New Roman"/>
          <w:i/>
          <w:iCs/>
          <w:color w:val="000000"/>
          <w:kern w:val="24"/>
          <w:lang w:eastAsia="ja-JP"/>
        </w:rPr>
        <w:t>Artibeus lituratus</w:t>
      </w:r>
      <w:r w:rsidRPr="00E11CAE">
        <w:rPr>
          <w:rFonts w:eastAsia="Times New Roman" w:cs="Times New Roman"/>
          <w:color w:val="000000"/>
          <w:kern w:val="24"/>
          <w:lang w:eastAsia="ja-JP"/>
        </w:rPr>
        <w:t>)</w:t>
      </w:r>
      <w:r w:rsidRPr="00E11CAE">
        <w:rPr>
          <w:rFonts w:eastAsia="Times New Roman" w:hint="cs"/>
          <w:rtl/>
          <w:lang w:val="en-GB"/>
        </w:rPr>
        <w:t xml:space="preserve"> من البرازيل، أن التعرض المزمن لخفافيش الفاكهة إلى التركيزات الكبيرة من الإندوسلفان يمكن أن يؤدي إلى تراكم بيولوجي كبير، مما قد يؤثر على صحة هذا الناشر المهم للبذور في الغابات المدارية الحديثة. وبالمثل، كشف تحليل لبيانات أعداد الفراشات على المدى الطويل من شمال كاليفورنيا الارتباط السلبي بين أعداد الفراشات والاستخدام المتزايد للنيونيكوتينويد. وكانت تجربة معزولة نفذت على نطاق المناظر الطبيعية الأرضية في ثلاثة بلدان (هنغاريا، وألمانيا، والمملكة المتحدة) استعمل فيها اللفت الزيتي (كانولا) المعالج بالنيونيكوتينويد (الكلوثيانيدين أو التياميتوكسام) قد أظهرت أن تكاثر النحل البري (</w:t>
      </w:r>
      <w:r w:rsidRPr="00E11CAE">
        <w:rPr>
          <w:rFonts w:eastAsia="Times New Roman"/>
          <w:i/>
          <w:iCs/>
        </w:rPr>
        <w:t>B. terrestris</w:t>
      </w:r>
      <w:r w:rsidRPr="00E11CAE">
        <w:rPr>
          <w:rFonts w:eastAsia="Times New Roman" w:hint="cs"/>
          <w:rtl/>
          <w:lang w:val="en-GB"/>
        </w:rPr>
        <w:t xml:space="preserve"> و</w:t>
      </w:r>
      <w:r w:rsidRPr="00E11CAE">
        <w:rPr>
          <w:rFonts w:eastAsia="Times New Roman"/>
          <w:i/>
          <w:iCs/>
        </w:rPr>
        <w:t>Osmia vicornis</w:t>
      </w:r>
      <w:r w:rsidRPr="00E11CAE">
        <w:rPr>
          <w:rFonts w:eastAsia="Times New Roman" w:hint="cs"/>
          <w:rtl/>
          <w:lang w:val="en-GB"/>
        </w:rPr>
        <w:t>) كان مرتبطا سلبا ببقايا النيونيكوتينويد في عشش النحل.</w:t>
      </w:r>
    </w:p>
    <w:p w:rsidR="00D21AB0" w:rsidRPr="00E11CAE" w:rsidRDefault="00D21AB0" w:rsidP="00FF7FA5">
      <w:pPr>
        <w:numPr>
          <w:ilvl w:val="0"/>
          <w:numId w:val="21"/>
        </w:numPr>
        <w:ind w:left="0" w:firstLine="0"/>
        <w:rPr>
          <w:rFonts w:eastAsia="Times New Roman"/>
          <w:lang w:val="en-GB"/>
        </w:rPr>
      </w:pPr>
      <w:r>
        <w:rPr>
          <w:rFonts w:eastAsia="Times New Roman" w:hint="cs"/>
          <w:rtl/>
          <w:lang w:val="en-GB"/>
        </w:rPr>
        <w:t>و</w:t>
      </w:r>
      <w:r w:rsidRPr="00E11CAE">
        <w:rPr>
          <w:rFonts w:eastAsia="Times New Roman"/>
          <w:rtl/>
          <w:lang w:val="en-GB"/>
        </w:rPr>
        <w:t>ي</w:t>
      </w:r>
      <w:r>
        <w:rPr>
          <w:rFonts w:eastAsia="Times New Roman" w:hint="cs"/>
          <w:rtl/>
          <w:lang w:val="en-GB"/>
        </w:rPr>
        <w:t>نبغي</w:t>
      </w:r>
      <w:r w:rsidRPr="00E11CAE">
        <w:rPr>
          <w:rFonts w:eastAsia="Times New Roman"/>
          <w:rtl/>
          <w:lang w:val="en-GB"/>
        </w:rPr>
        <w:t xml:space="preserve"> أن تخضع الكائنات الحية المحورة التي قد تؤثر على الكائنات غير المستهدفة لتقييم مخاطر كل حالة على حدة فيما يتعلق بالنحل وكذلك الملقحات </w:t>
      </w:r>
      <w:r w:rsidRPr="00E11CAE">
        <w:rPr>
          <w:rFonts w:eastAsia="Times New Roman" w:hint="cs"/>
          <w:rtl/>
          <w:lang w:val="en-GB"/>
        </w:rPr>
        <w:t>المدجنة و</w:t>
      </w:r>
      <w:r w:rsidRPr="00E11CAE">
        <w:rPr>
          <w:rFonts w:eastAsia="Times New Roman"/>
          <w:rtl/>
          <w:lang w:val="en-GB"/>
        </w:rPr>
        <w:t xml:space="preserve">البرية مع الأخذ في الاعتبار أنواع الكائنات الحية المحورة والبيئة المستقبلة. وينبغي أن يأخذ تقييم المخاطر في الاعتبار </w:t>
      </w:r>
      <w:r>
        <w:rPr>
          <w:rFonts w:eastAsia="Times New Roman"/>
          <w:rtl/>
          <w:lang w:val="en-GB"/>
        </w:rPr>
        <w:t>مراحل النمو</w:t>
      </w:r>
      <w:r w:rsidRPr="00E11CAE">
        <w:rPr>
          <w:rFonts w:eastAsia="Times New Roman"/>
          <w:rtl/>
          <w:lang w:val="en-GB"/>
        </w:rPr>
        <w:t xml:space="preserve"> المختلفة و</w:t>
      </w:r>
      <w:r>
        <w:rPr>
          <w:rFonts w:eastAsia="Times New Roman" w:hint="cs"/>
          <w:rtl/>
          <w:lang w:val="en-GB"/>
        </w:rPr>
        <w:t>احتمال</w:t>
      </w:r>
      <w:r w:rsidRPr="00E11CAE">
        <w:rPr>
          <w:rFonts w:eastAsia="Times New Roman"/>
          <w:rtl/>
          <w:lang w:val="en-GB"/>
        </w:rPr>
        <w:t xml:space="preserve"> التأثيرات المميتة وغير المميتة، </w:t>
      </w:r>
      <w:r>
        <w:rPr>
          <w:rFonts w:eastAsia="Times New Roman" w:hint="cs"/>
          <w:rtl/>
          <w:lang w:val="en-GB"/>
        </w:rPr>
        <w:t>من بين</w:t>
      </w:r>
      <w:r>
        <w:rPr>
          <w:rFonts w:eastAsia="Times New Roman"/>
          <w:rtl/>
          <w:lang w:val="en-GB"/>
        </w:rPr>
        <w:t xml:space="preserve"> جوانب </w:t>
      </w:r>
      <w:r w:rsidRPr="00E11CAE">
        <w:rPr>
          <w:rFonts w:eastAsia="Times New Roman"/>
          <w:rtl/>
          <w:lang w:val="en-GB"/>
        </w:rPr>
        <w:t>أخرى ذات الصلة. ولم تظهر الاستعراضات الحديثة أي آثار سلبية مباشرة للكائنات الحية المحورة على نحل العسل بالإضافة إلى الملقحات المدجنة والبرية</w:t>
      </w:r>
      <w:r>
        <w:rPr>
          <w:rFonts w:eastAsia="Times New Roman" w:hint="cs"/>
          <w:rtl/>
          <w:lang w:val="en-GB"/>
        </w:rPr>
        <w:t>؛</w:t>
      </w:r>
      <w:r w:rsidRPr="00E11CAE">
        <w:rPr>
          <w:rFonts w:eastAsia="Times New Roman"/>
          <w:rtl/>
          <w:lang w:val="en-GB"/>
        </w:rPr>
        <w:t xml:space="preserve"> ومع ذلك، فإن المزيد من البحوث العلمية حول الجوانب المذكورة أعلاه من الآثار المحتملة للكائنات الحية المحورة على الملقحات هي موضع اهتمام.</w:t>
      </w:r>
    </w:p>
    <w:p w:rsidR="00D21AB0" w:rsidRPr="008D4179" w:rsidRDefault="00D21AB0" w:rsidP="00D21AB0">
      <w:pPr>
        <w:rPr>
          <w:spacing w:val="-8"/>
        </w:rPr>
      </w:pPr>
      <w:r w:rsidRPr="00E11CAE">
        <w:rPr>
          <w:rFonts w:hint="cs"/>
          <w:sz w:val="20"/>
          <w:rtl/>
        </w:rPr>
        <w:t>22-</w:t>
      </w:r>
      <w:r w:rsidRPr="00E11CAE">
        <w:rPr>
          <w:sz w:val="20"/>
          <w:rtl/>
        </w:rPr>
        <w:tab/>
      </w:r>
      <w:r w:rsidRPr="00E11CAE">
        <w:rPr>
          <w:rFonts w:hint="cs"/>
          <w:sz w:val="20"/>
          <w:rtl/>
        </w:rPr>
        <w:t>وتوجد في أمريكا اللاتينية البلازما الجرثومية البرية للكثير من محاصيل الأغذية</w:t>
      </w:r>
      <w:r>
        <w:rPr>
          <w:rStyle w:val="FootnoteReference"/>
          <w:sz w:val="20"/>
          <w:rtl/>
        </w:rPr>
        <w:footnoteReference w:id="96"/>
      </w:r>
      <w:r w:rsidRPr="00E11CAE">
        <w:rPr>
          <w:rFonts w:hint="cs"/>
          <w:sz w:val="20"/>
          <w:rtl/>
        </w:rPr>
        <w:t xml:space="preserve"> التي تعتمد على الملقحات للحصول على غلة عالية إما بطريقة مباشرة أو غير مباشرة. وتوجد البلازما الجرثومية لهذه، وربما لمئات من الأنواع البرية ذات الإمكانية الزراعية، في بقايا الموائل الطبيعية وشبه الطبيعية، والتي تخضع لإدارة المجتمعات الأصلية المحلية في هذه المنطقة. ولذلك، فإن التجمع المتنوع للملقحات يعتبر هاما </w:t>
      </w:r>
      <w:r>
        <w:rPr>
          <w:rFonts w:hint="cs"/>
          <w:sz w:val="20"/>
          <w:rtl/>
        </w:rPr>
        <w:t>ليس لضمان تكاثر النباتات البرية عامة فحسب</w:t>
      </w:r>
      <w:r w:rsidRPr="00E11CAE">
        <w:rPr>
          <w:rFonts w:hint="cs"/>
          <w:sz w:val="20"/>
          <w:rtl/>
        </w:rPr>
        <w:t xml:space="preserve">، بل أيضا </w:t>
      </w:r>
      <w:r>
        <w:rPr>
          <w:rFonts w:hint="cs"/>
          <w:sz w:val="20"/>
          <w:rtl/>
        </w:rPr>
        <w:t>ل</w:t>
      </w:r>
      <w:r w:rsidRPr="00E11CAE">
        <w:rPr>
          <w:rFonts w:hint="cs"/>
          <w:sz w:val="20"/>
          <w:rtl/>
        </w:rPr>
        <w:t>بقاء هذه البلازما الجرثومية. ومع ذلك، ربما مع استثناءات قليلة</w:t>
      </w:r>
      <w:r w:rsidRPr="008D4179">
        <w:rPr>
          <w:rFonts w:hint="cs"/>
          <w:spacing w:val="-8"/>
          <w:rtl/>
        </w:rPr>
        <w:t>، فإن حدوث هذه البلازما الجرثومية</w:t>
      </w:r>
      <w:r w:rsidRPr="00E11CAE">
        <w:rPr>
          <w:rFonts w:hint="cs"/>
          <w:sz w:val="20"/>
          <w:rtl/>
        </w:rPr>
        <w:t xml:space="preserve"> </w:t>
      </w:r>
      <w:r w:rsidRPr="008D4179">
        <w:rPr>
          <w:rFonts w:hint="cs"/>
          <w:spacing w:val="-8"/>
          <w:rtl/>
        </w:rPr>
        <w:t>وتنوعها وحالة حفظها الحالية ليس معروفا.</w:t>
      </w:r>
    </w:p>
    <w:p w:rsidR="00D21AB0" w:rsidRPr="00E11CAE" w:rsidRDefault="00D21AB0" w:rsidP="008D4179">
      <w:pPr>
        <w:tabs>
          <w:tab w:val="left" w:pos="720"/>
        </w:tabs>
        <w:jc w:val="center"/>
        <w:rPr>
          <w:rFonts w:eastAsia="Times New Roman"/>
          <w:b/>
          <w:bCs/>
          <w:lang w:val="en-GB"/>
        </w:rPr>
      </w:pPr>
      <w:r w:rsidRPr="00E11CAE">
        <w:rPr>
          <w:rFonts w:eastAsia="Times New Roman" w:hint="cs"/>
          <w:b/>
          <w:bCs/>
          <w:rtl/>
          <w:lang w:val="en-GB"/>
        </w:rPr>
        <w:t>دال -</w:t>
      </w:r>
      <w:r w:rsidRPr="00E11CAE">
        <w:rPr>
          <w:rFonts w:eastAsia="Times New Roman" w:hint="cs"/>
          <w:b/>
          <w:bCs/>
          <w:rtl/>
          <w:lang w:val="en-GB"/>
        </w:rPr>
        <w:tab/>
        <w:t>خيارات الاستجابة لحفظ الملقحات وموائلها واستخدامها المستدام</w:t>
      </w:r>
    </w:p>
    <w:p w:rsidR="00D21AB0" w:rsidRPr="00E11CAE" w:rsidRDefault="00D21AB0" w:rsidP="00D21AB0">
      <w:pPr>
        <w:jc w:val="lowKashida"/>
        <w:rPr>
          <w:sz w:val="20"/>
        </w:rPr>
      </w:pPr>
      <w:r w:rsidRPr="00E11CAE">
        <w:rPr>
          <w:rFonts w:hint="cs"/>
          <w:sz w:val="20"/>
          <w:rtl/>
        </w:rPr>
        <w:lastRenderedPageBreak/>
        <w:t>23-</w:t>
      </w:r>
      <w:r w:rsidRPr="00E11CAE">
        <w:rPr>
          <w:sz w:val="20"/>
          <w:rtl/>
        </w:rPr>
        <w:tab/>
      </w:r>
      <w:r w:rsidRPr="00E11CAE">
        <w:rPr>
          <w:rFonts w:hint="cs"/>
          <w:sz w:val="20"/>
          <w:rtl/>
        </w:rPr>
        <w:t>إن الكثير من الأنشطة المحددة في التقييم الذي أجراه المنبر الحكومي الدولي للعلوم والسياسات في مجال التنوع البيولوجي وخدمات النظم الإيكولوجية، والتي تنعكس في المقرر 13/15، سيسهم في حفظ الملقحات وموائلها واستخدامها المستدام وبذلك يساعد في استمرار وظائف التلقيح في النظم الإيكولوجية خارج نطاق النظم الزراعية وإنتاج الأغذية.</w:t>
      </w:r>
    </w:p>
    <w:p w:rsidR="00D21AB0" w:rsidRPr="00E11CAE" w:rsidRDefault="00D21AB0" w:rsidP="00D21AB0">
      <w:pPr>
        <w:jc w:val="lowKashida"/>
        <w:rPr>
          <w:sz w:val="20"/>
        </w:rPr>
      </w:pPr>
      <w:r w:rsidRPr="00E11CAE">
        <w:rPr>
          <w:rFonts w:hint="cs"/>
          <w:sz w:val="20"/>
          <w:rtl/>
        </w:rPr>
        <w:t>24-</w:t>
      </w:r>
      <w:r w:rsidRPr="00E11CAE">
        <w:rPr>
          <w:sz w:val="20"/>
          <w:rtl/>
        </w:rPr>
        <w:tab/>
      </w:r>
      <w:r w:rsidRPr="00E11CAE">
        <w:rPr>
          <w:rFonts w:hint="cs"/>
          <w:sz w:val="20"/>
          <w:rtl/>
        </w:rPr>
        <w:t>ويعد النهج على نطاق المناظر الطبيعية الأرضية ذا صلة خاصة بحفظ الملقحات وموائلها واستخدامها المستدام لاستمرار وظائف التلقيح في النظم الإيكولوجية خارج نطاق النظم الزراعية وإنتاج الأغذية. ويشمل هذا صيانة ممرات النباتات الطبيعية، واستعادة الأراضي المتدهورة، واستخدام الزراعة المواتية للتلقيح. وينبغي إيلاء عناية خاصة للحد من إزالة الغابات وفقدان الموائل والتدهور في جميع المناطق الأحيائية. وينبغي أن تراعي نظم إدارة الحرائق الآثار على الملقحات والنباتات ذات الصلة. ويمكن أن تزيد الاستعادة من ترابط الموائل المواتية للملقحات وتدعم توزيع الأنواع وتدفق الجينات. ويمكن أن تسهم هذه التدابير أيضا في التكيف مع تغير المناخ والتخفيف من آثاره وفي الحد من مخاطر الكوارث.</w:t>
      </w:r>
    </w:p>
    <w:p w:rsidR="00D21AB0" w:rsidRPr="00E11CAE" w:rsidRDefault="00D21AB0" w:rsidP="00D21AB0">
      <w:pPr>
        <w:jc w:val="lowKashida"/>
        <w:rPr>
          <w:sz w:val="20"/>
        </w:rPr>
      </w:pPr>
      <w:r w:rsidRPr="00E11CAE">
        <w:rPr>
          <w:rFonts w:hint="cs"/>
          <w:sz w:val="20"/>
          <w:rtl/>
        </w:rPr>
        <w:t>25-</w:t>
      </w:r>
      <w:r w:rsidRPr="00E11CAE">
        <w:rPr>
          <w:sz w:val="20"/>
          <w:rtl/>
        </w:rPr>
        <w:tab/>
      </w:r>
      <w:r w:rsidRPr="00E11CAE">
        <w:rPr>
          <w:rFonts w:hint="cs"/>
          <w:sz w:val="20"/>
          <w:rtl/>
        </w:rPr>
        <w:t>ويمكن تنفيذ الإجراءات التالية دعما لنهج المناظر الطبيعية الأرضية:</w:t>
      </w:r>
    </w:p>
    <w:p w:rsidR="00D21AB0" w:rsidRPr="00E11CAE" w:rsidRDefault="00D21AB0" w:rsidP="00D21AB0">
      <w:pPr>
        <w:ind w:firstLine="720"/>
        <w:rPr>
          <w:rFonts w:eastAsia="Times New Roman"/>
          <w:rtl/>
          <w:lang w:val="en-GB"/>
        </w:rPr>
      </w:pPr>
      <w:r w:rsidRPr="00E11CAE">
        <w:rPr>
          <w:rFonts w:eastAsia="Times New Roman" w:hint="cs"/>
          <w:rtl/>
          <w:lang w:val="en-GB"/>
        </w:rPr>
        <w:t>(أ)</w:t>
      </w:r>
      <w:r w:rsidRPr="00E11CAE">
        <w:rPr>
          <w:rFonts w:eastAsia="Times New Roman" w:hint="cs"/>
          <w:rtl/>
          <w:lang w:val="en-GB"/>
        </w:rPr>
        <w:tab/>
        <w:t>تعتبر المناطق التي تديرها الشعوب الأصلية والمجتمعات المحلية مهمة بالنسبة لحفظ التنوع البيولوجي؛</w:t>
      </w:r>
    </w:p>
    <w:p w:rsidR="00D21AB0" w:rsidRPr="00E11CAE" w:rsidRDefault="00D21AB0" w:rsidP="00D21AB0">
      <w:pPr>
        <w:ind w:firstLine="720"/>
        <w:rPr>
          <w:rFonts w:eastAsia="Times New Roman"/>
          <w:rtl/>
          <w:lang w:val="en-GB"/>
        </w:rPr>
      </w:pPr>
      <w:r w:rsidRPr="00E11CAE">
        <w:rPr>
          <w:rFonts w:eastAsia="Times New Roman" w:hint="cs"/>
          <w:rtl/>
          <w:lang w:val="en-GB"/>
        </w:rPr>
        <w:t>(ب)</w:t>
      </w:r>
      <w:r w:rsidRPr="00E11CAE">
        <w:rPr>
          <w:rFonts w:eastAsia="Times New Roman" w:hint="cs"/>
          <w:rtl/>
          <w:lang w:val="en-GB"/>
        </w:rPr>
        <w:tab/>
        <w:t>التغيرات الكبيرة في استخدام الأراضي ترتبط بإزالة الغابات التي تسببها المحاصيل. ويمكن لزيادة الوعي لدى المشترين لهذه السلع أن تزيد من الضغط للحصول على إنتاج مستدام؛</w:t>
      </w:r>
    </w:p>
    <w:p w:rsidR="00D21AB0" w:rsidRPr="00E11CAE" w:rsidRDefault="00D21AB0" w:rsidP="00D21AB0">
      <w:pPr>
        <w:ind w:firstLine="720"/>
        <w:rPr>
          <w:rFonts w:eastAsia="Times New Roman"/>
          <w:rtl/>
          <w:lang w:val="en-GB"/>
        </w:rPr>
      </w:pPr>
      <w:r w:rsidRPr="00E11CAE">
        <w:rPr>
          <w:rFonts w:eastAsia="Times New Roman" w:hint="cs"/>
          <w:rtl/>
          <w:lang w:val="en-GB"/>
        </w:rPr>
        <w:t>(ج)</w:t>
      </w:r>
      <w:r w:rsidRPr="00E11CAE">
        <w:rPr>
          <w:rFonts w:eastAsia="Times New Roman" w:hint="cs"/>
          <w:rtl/>
          <w:lang w:val="en-GB"/>
        </w:rPr>
        <w:tab/>
        <w:t>يعتبر جمع البيانات، والخرائط والنمذجة أدوات هامة للتنبؤ بأثر التغير العالمي ولدعم سياسات لحفظ واستعادة وإحياء الموائل الطبيعية؛</w:t>
      </w:r>
    </w:p>
    <w:p w:rsidR="00D21AB0" w:rsidRPr="00E11CAE" w:rsidRDefault="00D21AB0" w:rsidP="00D21AB0">
      <w:pPr>
        <w:ind w:firstLine="720"/>
        <w:rPr>
          <w:rFonts w:eastAsia="Times New Roman"/>
          <w:rtl/>
          <w:lang w:val="en-GB"/>
        </w:rPr>
      </w:pPr>
      <w:r w:rsidRPr="00E11CAE">
        <w:rPr>
          <w:rFonts w:eastAsia="Times New Roman" w:hint="cs"/>
          <w:rtl/>
          <w:lang w:val="en-GB"/>
        </w:rPr>
        <w:t>(د)</w:t>
      </w:r>
      <w:r w:rsidRPr="00E11CAE">
        <w:rPr>
          <w:rFonts w:eastAsia="Times New Roman" w:hint="cs"/>
          <w:rtl/>
          <w:lang w:val="en-GB"/>
        </w:rPr>
        <w:tab/>
        <w:t xml:space="preserve">علم الوراثة في المناظر الطبيعية الأرضية هو أداة لتحديد سمات أعداد الملقحات، فضلا عن التتبعات الجينية لإدارة النحل في </w:t>
      </w:r>
      <w:r>
        <w:rPr>
          <w:rFonts w:eastAsia="Times New Roman" w:hint="cs"/>
          <w:rtl/>
          <w:lang w:val="en-GB"/>
        </w:rPr>
        <w:t>ال</w:t>
      </w:r>
      <w:r w:rsidRPr="00E11CAE">
        <w:rPr>
          <w:rFonts w:eastAsia="Times New Roman" w:hint="cs"/>
          <w:rtl/>
          <w:lang w:val="en-GB"/>
        </w:rPr>
        <w:t xml:space="preserve">مناطق </w:t>
      </w:r>
      <w:r>
        <w:rPr>
          <w:rFonts w:eastAsia="Times New Roman" w:hint="cs"/>
          <w:rtl/>
          <w:lang w:val="en-GB"/>
        </w:rPr>
        <w:t>الكبي</w:t>
      </w:r>
      <w:r w:rsidRPr="00E11CAE">
        <w:rPr>
          <w:rFonts w:eastAsia="Times New Roman" w:hint="cs"/>
          <w:rtl/>
          <w:lang w:val="en-GB"/>
        </w:rPr>
        <w:t xml:space="preserve">رة، داخل مناطق توزيعها </w:t>
      </w:r>
      <w:r>
        <w:rPr>
          <w:rFonts w:eastAsia="Times New Roman" w:hint="cs"/>
          <w:rtl/>
          <w:lang w:val="en-GB"/>
        </w:rPr>
        <w:t xml:space="preserve">أو </w:t>
      </w:r>
      <w:r w:rsidRPr="00E11CAE">
        <w:rPr>
          <w:rFonts w:eastAsia="Times New Roman" w:hint="cs"/>
          <w:rtl/>
          <w:lang w:val="en-GB"/>
        </w:rPr>
        <w:t>خارجها.</w:t>
      </w:r>
    </w:p>
    <w:p w:rsidR="00D21AB0" w:rsidRPr="00E11CAE" w:rsidRDefault="00D21AB0" w:rsidP="00D21AB0">
      <w:pPr>
        <w:jc w:val="lowKashida"/>
        <w:rPr>
          <w:sz w:val="20"/>
        </w:rPr>
      </w:pPr>
      <w:r w:rsidRPr="00E11CAE">
        <w:rPr>
          <w:rFonts w:hint="cs"/>
          <w:sz w:val="20"/>
          <w:rtl/>
        </w:rPr>
        <w:t>26-</w:t>
      </w:r>
      <w:r w:rsidRPr="00E11CAE">
        <w:rPr>
          <w:sz w:val="20"/>
          <w:rtl/>
        </w:rPr>
        <w:tab/>
      </w:r>
      <w:r w:rsidRPr="00E11CAE">
        <w:rPr>
          <w:rFonts w:hint="cs"/>
          <w:sz w:val="20"/>
          <w:rtl/>
        </w:rPr>
        <w:t>وهناك حاجة ملحة إلى وضع وتجانس قواعد للتجارة في الملقحات المدجنة (أفضل ممارسات الإدارة، وإدارة المخاطر والرصد من أجل منع المخاطر، وإجراءات الإبلاغ المتجانس، واستراتيجية إدارة البيانات)، حتى يمكن اكتشاف المخاطر والتهديدات الحالية والناشئة في وقت شبه فعلي وعبر الحدود، مما يسمح بتدابير الاستجابة.</w:t>
      </w:r>
    </w:p>
    <w:p w:rsidR="00D21AB0" w:rsidRPr="00E11CAE" w:rsidRDefault="00D21AB0" w:rsidP="00D21AB0">
      <w:pPr>
        <w:jc w:val="lowKashida"/>
        <w:rPr>
          <w:sz w:val="20"/>
        </w:rPr>
      </w:pPr>
      <w:r w:rsidRPr="00E11CAE">
        <w:rPr>
          <w:rFonts w:hint="cs"/>
          <w:sz w:val="20"/>
          <w:rtl/>
        </w:rPr>
        <w:t>27-</w:t>
      </w:r>
      <w:r w:rsidRPr="00E11CAE">
        <w:rPr>
          <w:sz w:val="20"/>
          <w:rtl/>
        </w:rPr>
        <w:tab/>
      </w:r>
      <w:r w:rsidRPr="00E11CAE">
        <w:rPr>
          <w:rFonts w:hint="cs"/>
          <w:sz w:val="20"/>
          <w:rtl/>
        </w:rPr>
        <w:t>وينبغي أن تأخذ الإدارة المستدامة للأخشاب وقواعد إصدار الشهادات في الحسبان تدابير مثل حجز المناحل الموجودة في المنتجات الحرجية ونقلها وحمايتها.</w:t>
      </w:r>
    </w:p>
    <w:p w:rsidR="00D21AB0" w:rsidRPr="00E11CAE" w:rsidRDefault="00D21AB0" w:rsidP="00D21AB0">
      <w:pPr>
        <w:jc w:val="lowKashida"/>
        <w:rPr>
          <w:sz w:val="20"/>
        </w:rPr>
      </w:pPr>
      <w:r w:rsidRPr="00E11CAE">
        <w:rPr>
          <w:rFonts w:hint="cs"/>
          <w:sz w:val="20"/>
          <w:rtl/>
        </w:rPr>
        <w:t>28-</w:t>
      </w:r>
      <w:r w:rsidRPr="00E11CAE">
        <w:rPr>
          <w:sz w:val="20"/>
          <w:rtl/>
        </w:rPr>
        <w:tab/>
      </w:r>
      <w:r w:rsidRPr="00E11CAE">
        <w:rPr>
          <w:rFonts w:hint="cs"/>
          <w:sz w:val="20"/>
          <w:rtl/>
        </w:rPr>
        <w:t>وهناك حاجة إلى تحسين المعارف عن الملقحات والتلقيح ودورها في صيانة صحة وسلامة النظم الإيكولوجية خارج نطاق الزراعة وإنتاج الأغذية. وتركز غالبية المؤلفات الموجودة على مجموعات محددة غشائية الأجنحة. وهناك نقص في المعلومات عن أثر التغيرات في المناظر الطبيعية الأرضية أو مبيدات الآفات على فئات النحل غير المصنّفة.</w:t>
      </w:r>
    </w:p>
    <w:p w:rsidR="00D21AB0" w:rsidRPr="00E11CAE" w:rsidRDefault="00D21AB0" w:rsidP="00D21AB0">
      <w:pPr>
        <w:jc w:val="lowKashida"/>
        <w:rPr>
          <w:sz w:val="20"/>
        </w:rPr>
      </w:pPr>
      <w:r w:rsidRPr="00E11CAE">
        <w:rPr>
          <w:rFonts w:hint="cs"/>
          <w:sz w:val="20"/>
          <w:rtl/>
        </w:rPr>
        <w:t>29-</w:t>
      </w:r>
      <w:r w:rsidRPr="00E11CAE">
        <w:rPr>
          <w:sz w:val="20"/>
          <w:rtl/>
        </w:rPr>
        <w:tab/>
      </w:r>
      <w:r w:rsidRPr="00E11CAE">
        <w:rPr>
          <w:rFonts w:hint="cs"/>
          <w:sz w:val="20"/>
          <w:rtl/>
        </w:rPr>
        <w:t>ويمكن تنفيذ الإجراءات التالية دعما لتحسين المعارف:</w:t>
      </w:r>
    </w:p>
    <w:p w:rsidR="00D21AB0" w:rsidRPr="00E11CAE" w:rsidRDefault="00D21AB0" w:rsidP="00D21AB0">
      <w:pPr>
        <w:ind w:firstLine="720"/>
        <w:rPr>
          <w:rFonts w:eastAsia="Times New Roman"/>
          <w:rtl/>
          <w:lang w:val="en-GB"/>
        </w:rPr>
      </w:pPr>
      <w:r w:rsidRPr="00E11CAE">
        <w:rPr>
          <w:rFonts w:eastAsia="Times New Roman" w:hint="cs"/>
          <w:rtl/>
          <w:lang w:val="en-GB"/>
        </w:rPr>
        <w:t>(أ)</w:t>
      </w:r>
      <w:r w:rsidRPr="00E11CAE">
        <w:rPr>
          <w:rFonts w:eastAsia="Times New Roman" w:hint="cs"/>
          <w:rtl/>
          <w:lang w:val="en-GB"/>
        </w:rPr>
        <w:tab/>
        <w:t>تحسين إدارة المعارف، بما في ذلك من خلال التصنيف، والتسجيل الطوعي، وترميز الحمض النووي، وأدوات المعلوماتية عن التنوع البيولوجي، والإشارة الجغرافية للعينات في المتاحف، والرصد القياسي للملقحات ووظائف وخدمات التلقيح على المدى الطويل؛</w:t>
      </w:r>
    </w:p>
    <w:p w:rsidR="00D21AB0" w:rsidRDefault="00D21AB0" w:rsidP="00702979">
      <w:pPr>
        <w:ind w:firstLine="720"/>
        <w:rPr>
          <w:b/>
          <w:bCs/>
          <w:sz w:val="24"/>
          <w:rtl/>
        </w:rPr>
      </w:pPr>
      <w:r w:rsidRPr="00E11CAE">
        <w:rPr>
          <w:rFonts w:eastAsia="Times New Roman" w:hint="cs"/>
          <w:rtl/>
          <w:lang w:val="en-GB"/>
        </w:rPr>
        <w:t>(ب)</w:t>
      </w:r>
      <w:r w:rsidRPr="00E11CAE">
        <w:rPr>
          <w:rFonts w:eastAsia="Times New Roman" w:hint="cs"/>
          <w:rtl/>
          <w:lang w:val="en-GB"/>
        </w:rPr>
        <w:tab/>
        <w:t xml:space="preserve">العناية بالمعارف التقليدية والتجريبية، مع ملاحظة أن </w:t>
      </w:r>
      <w:r>
        <w:rPr>
          <w:rFonts w:eastAsia="Times New Roman" w:hint="cs"/>
          <w:rtl/>
          <w:lang w:val="en-GB"/>
        </w:rPr>
        <w:t>ال</w:t>
      </w:r>
      <w:r w:rsidRPr="00E11CAE">
        <w:rPr>
          <w:rFonts w:eastAsia="Times New Roman" w:hint="cs"/>
          <w:rtl/>
          <w:lang w:val="en-GB"/>
        </w:rPr>
        <w:t xml:space="preserve">وسائل </w:t>
      </w:r>
      <w:r>
        <w:rPr>
          <w:rFonts w:eastAsia="Times New Roman" w:hint="cs"/>
          <w:rtl/>
          <w:lang w:val="en-GB"/>
        </w:rPr>
        <w:t>التقليدية ل</w:t>
      </w:r>
      <w:r w:rsidRPr="00E11CAE">
        <w:rPr>
          <w:rFonts w:eastAsia="Times New Roman" w:hint="cs"/>
          <w:rtl/>
          <w:lang w:val="en-GB"/>
        </w:rPr>
        <w:t>تجميع المعارف ليست مناسبة بالضرورة لتجميع أشكال أخرى من المعارف، مثل المعارف الأصلية والمحلية أو معالجة المعارف الضمنية التي يحوزها الممارسون، مثل مديري الأراضي وأنصار حماية الطبيعة.</w:t>
      </w:r>
      <w:r w:rsidR="00702979">
        <w:rPr>
          <w:b/>
          <w:bCs/>
          <w:sz w:val="24"/>
          <w:rtl/>
        </w:rPr>
        <w:t xml:space="preserve"> </w:t>
      </w:r>
      <w:r>
        <w:rPr>
          <w:b/>
          <w:bCs/>
          <w:sz w:val="24"/>
          <w:rtl/>
        </w:rPr>
        <w:br w:type="page"/>
      </w:r>
    </w:p>
    <w:p w:rsidR="00D21AB0" w:rsidRPr="00E42808" w:rsidRDefault="00D21AB0" w:rsidP="00B55747">
      <w:pPr>
        <w:pStyle w:val="Heading2"/>
      </w:pPr>
      <w:bookmarkStart w:id="15" w:name="_Toc6071549"/>
      <w:bookmarkStart w:id="16" w:name="_Toc6139968"/>
      <w:r w:rsidRPr="00E42808">
        <w:rPr>
          <w:rFonts w:hint="cs"/>
          <w:rtl/>
        </w:rPr>
        <w:lastRenderedPageBreak/>
        <w:t>المقرر 14/7</w:t>
      </w:r>
      <w:r w:rsidRPr="00E42808">
        <w:rPr>
          <w:rFonts w:hint="cs"/>
          <w:rtl/>
        </w:rPr>
        <w:tab/>
        <w:t>الإدارة المستدامة للأحياء البرية</w:t>
      </w:r>
      <w:bookmarkEnd w:id="15"/>
      <w:bookmarkEnd w:id="16"/>
    </w:p>
    <w:p w:rsidR="00D21AB0" w:rsidRPr="00E532FF" w:rsidRDefault="00D21AB0" w:rsidP="00D21AB0">
      <w:pPr>
        <w:ind w:firstLine="720"/>
        <w:rPr>
          <w:rFonts w:eastAsia="Batang"/>
          <w:i/>
          <w:iCs/>
          <w:color w:val="000000"/>
          <w:kern w:val="22"/>
          <w:lang w:eastAsia="ja-JP" w:bidi="th-TH"/>
        </w:rPr>
      </w:pPr>
      <w:r w:rsidRPr="00E532FF">
        <w:rPr>
          <w:i/>
          <w:iCs/>
          <w:rtl/>
        </w:rPr>
        <w:t>إن مؤتمر الأطراف،</w:t>
      </w:r>
    </w:p>
    <w:p w:rsidR="00D21AB0" w:rsidRPr="00E532FF" w:rsidRDefault="00D21AB0" w:rsidP="00D21AB0">
      <w:pPr>
        <w:ind w:firstLine="720"/>
        <w:rPr>
          <w:rFonts w:eastAsia="Batang"/>
          <w:iCs/>
          <w:color w:val="000000"/>
          <w:kern w:val="22"/>
          <w:lang w:eastAsia="ja-JP"/>
        </w:rPr>
      </w:pPr>
      <w:r w:rsidRPr="00E532FF">
        <w:rPr>
          <w:i/>
          <w:iCs/>
          <w:rtl/>
        </w:rPr>
        <w:t xml:space="preserve">إذ </w:t>
      </w:r>
      <w:r w:rsidRPr="00E532FF">
        <w:rPr>
          <w:rFonts w:hint="cs"/>
          <w:i/>
          <w:iCs/>
          <w:rtl/>
        </w:rPr>
        <w:t>يشير</w:t>
      </w:r>
      <w:r w:rsidRPr="00E532FF">
        <w:rPr>
          <w:rFonts w:hint="cs"/>
          <w:rtl/>
        </w:rPr>
        <w:t xml:space="preserve"> </w:t>
      </w:r>
      <w:r w:rsidRPr="00E532FF">
        <w:rPr>
          <w:rFonts w:hint="cs"/>
          <w:i/>
          <w:iCs/>
          <w:rtl/>
        </w:rPr>
        <w:t>إل</w:t>
      </w:r>
      <w:r w:rsidRPr="00E532FF">
        <w:rPr>
          <w:i/>
          <w:iCs/>
          <w:rtl/>
        </w:rPr>
        <w:t>ى</w:t>
      </w:r>
      <w:r w:rsidRPr="00E532FF">
        <w:rPr>
          <w:rtl/>
        </w:rPr>
        <w:t xml:space="preserve"> المقرر 13/8،</w:t>
      </w:r>
    </w:p>
    <w:p w:rsidR="00D21AB0" w:rsidRPr="00AC4B25" w:rsidRDefault="00D21AB0" w:rsidP="00D21AB0">
      <w:pPr>
        <w:ind w:firstLine="720"/>
        <w:rPr>
          <w:rFonts w:eastAsia="Batang"/>
          <w:color w:val="000000"/>
          <w:kern w:val="22"/>
          <w:rtl/>
          <w:lang w:eastAsia="ja-JP"/>
        </w:rPr>
      </w:pPr>
      <w:r w:rsidRPr="00E532FF">
        <w:rPr>
          <w:i/>
          <w:iCs/>
          <w:rtl/>
        </w:rPr>
        <w:t xml:space="preserve">وإذ يعترف </w:t>
      </w:r>
      <w:r w:rsidRPr="00E532FF">
        <w:rPr>
          <w:rtl/>
        </w:rPr>
        <w:t>بأن الاستخدام المستدام للتنوع البيولوجي، بما فيه إدارة الأنواع البرية، يسهم في تحقيق العديد من أهداف أيشي للتنوع البيولوجي وأهداف التنمية المستدامة،</w:t>
      </w:r>
    </w:p>
    <w:p w:rsidR="00D21AB0" w:rsidRPr="00AC4B25" w:rsidRDefault="00D21AB0" w:rsidP="00D21AB0">
      <w:pPr>
        <w:ind w:firstLine="720"/>
        <w:rPr>
          <w:rFonts w:eastAsia="Batang"/>
          <w:color w:val="000000"/>
          <w:kern w:val="22"/>
          <w:rtl/>
          <w:lang w:eastAsia="ja-JP"/>
        </w:rPr>
      </w:pPr>
      <w:r w:rsidRPr="00E532FF">
        <w:rPr>
          <w:i/>
          <w:iCs/>
          <w:rtl/>
        </w:rPr>
        <w:t xml:space="preserve">وإذ يعترف أيضا </w:t>
      </w:r>
      <w:r w:rsidRPr="00E532FF">
        <w:rPr>
          <w:rtl/>
        </w:rPr>
        <w:t>بتأثيرات النمو السكاني</w:t>
      </w:r>
      <w:r w:rsidRPr="00E532FF">
        <w:rPr>
          <w:rFonts w:hint="cs"/>
          <w:rtl/>
        </w:rPr>
        <w:t xml:space="preserve"> والاستهلاك المستدام للموارد</w:t>
      </w:r>
      <w:r w:rsidRPr="00E532FF">
        <w:rPr>
          <w:rtl/>
        </w:rPr>
        <w:t xml:space="preserve"> والتوسع الحضري بالنسبة لحفظ التنوع البيولوجي وإدارة الأراضي،</w:t>
      </w:r>
    </w:p>
    <w:p w:rsidR="00D21AB0" w:rsidRPr="00AC4B25" w:rsidRDefault="00D21AB0" w:rsidP="00D21AB0">
      <w:pPr>
        <w:ind w:firstLine="720"/>
        <w:rPr>
          <w:rFonts w:eastAsia="Batang"/>
          <w:color w:val="000000"/>
          <w:kern w:val="22"/>
          <w:rtl/>
          <w:lang w:eastAsia="ja-JP"/>
        </w:rPr>
      </w:pPr>
      <w:r w:rsidRPr="00E532FF">
        <w:rPr>
          <w:i/>
          <w:iCs/>
          <w:rtl/>
        </w:rPr>
        <w:t>وإذ يدرك</w:t>
      </w:r>
      <w:r w:rsidRPr="00E532FF">
        <w:rPr>
          <w:rtl/>
        </w:rPr>
        <w:t xml:space="preserve"> أن الأطراف قد حددت الاحتياجات لإدارة متكاملة للأحياء البرية في استراتيجياتها وخطط عملها الوطنية للتنوع البيولوجي وفي غيرها من الاستراتيجيات والخطط الوطنية والإقليمية والعالمية، وأن عددا من أنشطة الإدارة المستدامة للأحياء البرية</w:t>
      </w:r>
      <w:r w:rsidRPr="00E532FF">
        <w:rPr>
          <w:rStyle w:val="FootnoteReference"/>
          <w:rtl/>
        </w:rPr>
        <w:footnoteReference w:id="97"/>
      </w:r>
      <w:r w:rsidRPr="00E532FF">
        <w:rPr>
          <w:rtl/>
        </w:rPr>
        <w:t xml:space="preserve"> يتم تنفيذها بدعم من مختلف الحكومات والمنظمات، </w:t>
      </w:r>
      <w:r w:rsidRPr="00AC4B25">
        <w:rPr>
          <w:i/>
          <w:iCs/>
          <w:rtl/>
        </w:rPr>
        <w:t>وإذ يلاحظ</w:t>
      </w:r>
      <w:r w:rsidRPr="00E532FF">
        <w:rPr>
          <w:rtl/>
        </w:rPr>
        <w:t xml:space="preserve"> أن الكثير من أنواع الأحياء البرية ما زالت في حاجة فورية لتدابير الحفظ، بما في ذلك الحماية، والاستخدام المستدام وإنعاش الأعداد،</w:t>
      </w:r>
    </w:p>
    <w:p w:rsidR="00D21AB0" w:rsidRPr="00E532FF" w:rsidRDefault="00D21AB0" w:rsidP="00D21AB0">
      <w:pPr>
        <w:ind w:firstLine="720"/>
        <w:rPr>
          <w:color w:val="000000"/>
          <w:kern w:val="22"/>
        </w:rPr>
      </w:pPr>
      <w:r w:rsidRPr="00E532FF">
        <w:rPr>
          <w:i/>
          <w:iCs/>
          <w:rtl/>
        </w:rPr>
        <w:t>وإذ يرحب</w:t>
      </w:r>
      <w:r w:rsidRPr="00E532FF">
        <w:rPr>
          <w:rtl/>
        </w:rPr>
        <w:t xml:space="preserve"> بالتقدم المحرز في الشراكة التعاونية بشأن الإدارة المستدامة للأحياء البرية،</w:t>
      </w:r>
    </w:p>
    <w:p w:rsidR="00D21AB0" w:rsidRPr="00E532FF" w:rsidRDefault="00D21AB0" w:rsidP="00D21AB0">
      <w:pPr>
        <w:ind w:firstLine="720"/>
        <w:rPr>
          <w:rFonts w:eastAsia="Batang"/>
          <w:iCs/>
          <w:kern w:val="22"/>
          <w:lang w:eastAsia="ja-JP"/>
        </w:rPr>
      </w:pPr>
      <w:r w:rsidRPr="00E532FF">
        <w:rPr>
          <w:i/>
          <w:iCs/>
          <w:rtl/>
        </w:rPr>
        <w:t xml:space="preserve">وإذ يعترف </w:t>
      </w:r>
      <w:r w:rsidRPr="00E532FF">
        <w:rPr>
          <w:rtl/>
        </w:rPr>
        <w:t>بالحق في الاستخدام المألوف للموارد البيولوجية، وفقا للممارسات التقليدية</w:t>
      </w:r>
      <w:r>
        <w:rPr>
          <w:rFonts w:hint="cs"/>
          <w:rtl/>
        </w:rPr>
        <w:t>،</w:t>
      </w:r>
      <w:r w:rsidRPr="00E532FF">
        <w:rPr>
          <w:rtl/>
        </w:rPr>
        <w:t xml:space="preserve"> وأهمية المشاركة الكاملة والفعلية للشعوب الأصلية والمجتمعات المحلية في عمليات صنع القرار ذات الصلة بالإدارة المستدامة للأحياء البرية وفقا للتشريعات الوطنية،</w:t>
      </w:r>
    </w:p>
    <w:p w:rsidR="00D21AB0" w:rsidRPr="00E532FF" w:rsidRDefault="00D21AB0" w:rsidP="00D21AB0">
      <w:pPr>
        <w:ind w:firstLine="720"/>
        <w:rPr>
          <w:rFonts w:eastAsia="Batang"/>
          <w:iCs/>
          <w:kern w:val="22"/>
          <w:lang w:eastAsia="ja-JP"/>
        </w:rPr>
      </w:pPr>
      <w:r w:rsidRPr="00E532FF">
        <w:rPr>
          <w:i/>
          <w:iCs/>
          <w:rtl/>
        </w:rPr>
        <w:t>وإذ يعترف أيضا</w:t>
      </w:r>
      <w:r w:rsidRPr="00E532FF">
        <w:rPr>
          <w:rtl/>
        </w:rPr>
        <w:t xml:space="preserve"> بالدور المهم الذي تؤديه الشعوب الأصلية والمجتمعات المحلية في الاستخدام المستدام والإدارة المستدامة للحوم البرية،</w:t>
      </w:r>
    </w:p>
    <w:p w:rsidR="00D21AB0" w:rsidRPr="00E532FF" w:rsidRDefault="00D21AB0" w:rsidP="00D21AB0">
      <w:pPr>
        <w:ind w:firstLine="720"/>
        <w:rPr>
          <w:rFonts w:eastAsia="Batang"/>
          <w:iCs/>
          <w:color w:val="000000"/>
          <w:kern w:val="22"/>
          <w:lang w:eastAsia="ja-JP"/>
        </w:rPr>
      </w:pPr>
      <w:r w:rsidRPr="00E532FF">
        <w:rPr>
          <w:i/>
          <w:iCs/>
          <w:rtl/>
        </w:rPr>
        <w:t>وإذ يستند</w:t>
      </w:r>
      <w:r w:rsidRPr="00E532FF">
        <w:rPr>
          <w:rFonts w:hint="cs"/>
          <w:i/>
          <w:iCs/>
          <w:rtl/>
        </w:rPr>
        <w:t xml:space="preserve"> </w:t>
      </w:r>
      <w:r w:rsidRPr="00E532FF">
        <w:rPr>
          <w:rtl/>
        </w:rPr>
        <w:t>إلى خطة العمل المتعلقة بالاستخدام المألوف المستدام للتنوع البيولوجي التي اعتمدها مؤتمر الأطراف في اجتماعه الثاني عشر</w:t>
      </w:r>
      <w:r w:rsidRPr="00E532FF">
        <w:rPr>
          <w:rFonts w:hint="cs"/>
          <w:rtl/>
        </w:rPr>
        <w:t>،</w:t>
      </w:r>
      <w:r w:rsidRPr="00E532FF">
        <w:rPr>
          <w:rStyle w:val="FootnoteReference"/>
          <w:rtl/>
        </w:rPr>
        <w:footnoteReference w:id="98"/>
      </w:r>
    </w:p>
    <w:p w:rsidR="00D21AB0" w:rsidRPr="00D258E9" w:rsidRDefault="00D21AB0" w:rsidP="00D21AB0">
      <w:pPr>
        <w:ind w:firstLine="720"/>
        <w:rPr>
          <w:rFonts w:eastAsia="Batang"/>
          <w:color w:val="000000"/>
          <w:kern w:val="22"/>
          <w:rtl/>
          <w:lang w:eastAsia="ja-JP"/>
        </w:rPr>
      </w:pPr>
      <w:r w:rsidRPr="00E532FF">
        <w:rPr>
          <w:i/>
          <w:iCs/>
          <w:rtl/>
        </w:rPr>
        <w:t>وإذ يشير</w:t>
      </w:r>
      <w:r w:rsidRPr="00E532FF">
        <w:rPr>
          <w:rtl/>
        </w:rPr>
        <w:t xml:space="preserve"> إلى الحاجة الملحة لمنع انقراض الأنواع المهددة بالانقراض، وتحسين وإدامة حالة حفظها وإنعاش وصيانة النظم الإيكولوجية التي توفر </w:t>
      </w:r>
      <w:r>
        <w:rPr>
          <w:rFonts w:hint="cs"/>
          <w:rtl/>
        </w:rPr>
        <w:t>الوظائف و</w:t>
      </w:r>
      <w:r w:rsidRPr="00E532FF">
        <w:rPr>
          <w:rtl/>
        </w:rPr>
        <w:t>الخدمات الأساسية، بما في ذلك الخدمات المتعلقة بالمياه، والصحة، وسبل العيش والرفاه،</w:t>
      </w:r>
    </w:p>
    <w:p w:rsidR="00D21AB0" w:rsidRPr="00E532FF" w:rsidRDefault="00D21AB0" w:rsidP="00D21AB0">
      <w:pPr>
        <w:ind w:firstLine="720"/>
        <w:rPr>
          <w:rFonts w:eastAsia="Batang"/>
          <w:iCs/>
          <w:color w:val="000000"/>
          <w:kern w:val="22"/>
          <w:lang w:eastAsia="ja-JP"/>
        </w:rPr>
      </w:pPr>
      <w:r w:rsidRPr="00E532FF">
        <w:rPr>
          <w:i/>
          <w:iCs/>
          <w:rtl/>
        </w:rPr>
        <w:t>وقد نظر</w:t>
      </w:r>
      <w:r w:rsidRPr="00E532FF">
        <w:rPr>
          <w:rtl/>
        </w:rPr>
        <w:t xml:space="preserve"> في التقرير المرحلي الذي أعد تماشيا مع التوصية 21/</w:t>
      </w:r>
      <w:r w:rsidRPr="00E532FF">
        <w:rPr>
          <w:rFonts w:eastAsia="Batang"/>
          <w:snapToGrid w:val="0"/>
          <w:color w:val="000000"/>
          <w:kern w:val="22"/>
          <w:rtl/>
          <w:lang w:eastAsia="ja-JP"/>
        </w:rPr>
        <w:t>2</w:t>
      </w:r>
      <w:r w:rsidRPr="00E532FF">
        <w:rPr>
          <w:rFonts w:eastAsia="Batang" w:hint="cs"/>
          <w:snapToGrid w:val="0"/>
          <w:color w:val="000000"/>
          <w:kern w:val="22"/>
          <w:rtl/>
          <w:lang w:eastAsia="ja-JP"/>
        </w:rPr>
        <w:t xml:space="preserve"> الصادرة عن </w:t>
      </w:r>
      <w:r w:rsidRPr="00E532FF">
        <w:rPr>
          <w:rFonts w:eastAsia="Batang"/>
          <w:snapToGrid w:val="0"/>
          <w:color w:val="000000"/>
          <w:kern w:val="22"/>
          <w:rtl/>
          <w:lang w:eastAsia="ja-JP"/>
        </w:rPr>
        <w:t>الهيئة الفرعية للمشورة العلمية والتقنية والتكنولوجية بشأن</w:t>
      </w:r>
      <w:r w:rsidRPr="00E532FF">
        <w:rPr>
          <w:rFonts w:eastAsia="Batang"/>
          <w:i/>
          <w:snapToGrid w:val="0"/>
          <w:color w:val="000000"/>
          <w:kern w:val="22"/>
          <w:rtl/>
          <w:lang w:eastAsia="ja-JP"/>
        </w:rPr>
        <w:t xml:space="preserve"> الإدارة المستدامة للأحياء البرية: إرشادات لتحقيق الإدارة المستدامة لقطاع اللحوم البرية،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1-</w:t>
      </w:r>
      <w:r w:rsidRPr="00E532FF">
        <w:rPr>
          <w:rFonts w:cs="Simplified Arabic"/>
          <w:b/>
          <w:bCs w:val="0"/>
          <w:szCs w:val="24"/>
          <w:rtl/>
        </w:rPr>
        <w:tab/>
      </w:r>
      <w:r w:rsidRPr="00E532FF">
        <w:rPr>
          <w:rFonts w:cs="Simplified Arabic"/>
          <w:b/>
          <w:bCs w:val="0"/>
          <w:i/>
          <w:iCs/>
          <w:szCs w:val="24"/>
          <w:rtl/>
        </w:rPr>
        <w:t>يرحب</w:t>
      </w:r>
      <w:r w:rsidRPr="00E532FF">
        <w:rPr>
          <w:rFonts w:cs="Simplified Arabic" w:hint="cs"/>
          <w:b/>
          <w:bCs w:val="0"/>
          <w:i/>
          <w:iCs/>
          <w:szCs w:val="24"/>
          <w:rtl/>
        </w:rPr>
        <w:t xml:space="preserve"> </w:t>
      </w:r>
      <w:r w:rsidRPr="00E532FF">
        <w:rPr>
          <w:rFonts w:cs="Simplified Arabic"/>
          <w:b/>
          <w:bCs w:val="0"/>
          <w:szCs w:val="24"/>
          <w:rtl/>
        </w:rPr>
        <w:t xml:space="preserve">بالإرشادات الطوعية </w:t>
      </w:r>
      <w:r w:rsidRPr="00E532FF">
        <w:rPr>
          <w:rFonts w:eastAsia="Batang" w:cs="Simplified Arabic"/>
          <w:b/>
          <w:bCs w:val="0"/>
          <w:i/>
          <w:snapToGrid w:val="0"/>
          <w:color w:val="000000"/>
          <w:kern w:val="22"/>
          <w:szCs w:val="24"/>
          <w:rtl/>
          <w:lang w:eastAsia="ja-JP"/>
        </w:rPr>
        <w:t xml:space="preserve">لقطاع </w:t>
      </w:r>
      <w:r>
        <w:rPr>
          <w:rFonts w:eastAsia="Batang" w:cs="Simplified Arabic" w:hint="cs"/>
          <w:b/>
          <w:bCs w:val="0"/>
          <w:i/>
          <w:snapToGrid w:val="0"/>
          <w:color w:val="000000"/>
          <w:kern w:val="22"/>
          <w:szCs w:val="24"/>
          <w:rtl/>
          <w:lang w:eastAsia="ja-JP"/>
        </w:rPr>
        <w:t xml:space="preserve">مستدام </w:t>
      </w:r>
      <w:r w:rsidRPr="00E532FF">
        <w:rPr>
          <w:rFonts w:eastAsia="Batang" w:cs="Simplified Arabic"/>
          <w:b/>
          <w:bCs w:val="0"/>
          <w:i/>
          <w:snapToGrid w:val="0"/>
          <w:color w:val="000000"/>
          <w:kern w:val="22"/>
          <w:szCs w:val="24"/>
          <w:rtl/>
          <w:lang w:eastAsia="ja-JP"/>
        </w:rPr>
        <w:t>للحوم البرية الواردة في المرفق بهذا المقرر</w:t>
      </w:r>
      <w:r w:rsidRPr="00E532FF">
        <w:rPr>
          <w:rFonts w:eastAsia="Batang" w:cs="Simplified Arabic" w:hint="cs"/>
          <w:b/>
          <w:bCs w:val="0"/>
          <w:i/>
          <w:snapToGrid w:val="0"/>
          <w:color w:val="000000"/>
          <w:kern w:val="22"/>
          <w:szCs w:val="24"/>
          <w:rtl/>
          <w:lang w:eastAsia="ja-JP"/>
        </w:rPr>
        <w:t>،</w:t>
      </w:r>
      <w:r w:rsidRPr="00E532FF">
        <w:rPr>
          <w:rFonts w:cs="Simplified Arabic"/>
          <w:b/>
          <w:bCs w:val="0"/>
          <w:szCs w:val="24"/>
          <w:rtl/>
        </w:rPr>
        <w:t xml:space="preserve"> </w:t>
      </w:r>
      <w:r w:rsidRPr="00E532FF">
        <w:rPr>
          <w:rFonts w:cs="Simplified Arabic" w:hint="cs"/>
          <w:b/>
          <w:bCs w:val="0"/>
          <w:szCs w:val="24"/>
          <w:rtl/>
        </w:rPr>
        <w:t xml:space="preserve">مع </w:t>
      </w:r>
      <w:r w:rsidRPr="00E532FF">
        <w:rPr>
          <w:rFonts w:cs="Simplified Arabic"/>
          <w:b/>
          <w:bCs w:val="0"/>
          <w:szCs w:val="24"/>
          <w:rtl/>
        </w:rPr>
        <w:t>إدراك أنه</w:t>
      </w:r>
      <w:r w:rsidRPr="00E532FF">
        <w:rPr>
          <w:rFonts w:cs="Simplified Arabic" w:hint="cs"/>
          <w:b/>
          <w:bCs w:val="0"/>
          <w:szCs w:val="24"/>
          <w:rtl/>
        </w:rPr>
        <w:t>ا</w:t>
      </w:r>
      <w:r w:rsidRPr="00E532FF">
        <w:rPr>
          <w:rFonts w:cs="Simplified Arabic"/>
          <w:b/>
          <w:bCs w:val="0"/>
          <w:szCs w:val="24"/>
          <w:rtl/>
        </w:rPr>
        <w:t xml:space="preserve"> لا </w:t>
      </w:r>
      <w:r w:rsidRPr="00E532FF">
        <w:rPr>
          <w:rFonts w:cs="Simplified Arabic" w:hint="cs"/>
          <w:b/>
          <w:bCs w:val="0"/>
          <w:szCs w:val="24"/>
          <w:rtl/>
        </w:rPr>
        <w:t>ت</w:t>
      </w:r>
      <w:r w:rsidRPr="00E532FF">
        <w:rPr>
          <w:rFonts w:cs="Simplified Arabic"/>
          <w:b/>
          <w:bCs w:val="0"/>
          <w:szCs w:val="24"/>
          <w:rtl/>
        </w:rPr>
        <w:t>نطبق بالضرورة على جميع الأطراف</w:t>
      </w:r>
      <w:r w:rsidRPr="00E532FF">
        <w:rPr>
          <w:rFonts w:cs="Simplified Arabic" w:hint="cs"/>
          <w:b/>
          <w:bCs w:val="0"/>
          <w:szCs w:val="24"/>
          <w:rtl/>
        </w:rPr>
        <w:t>،</w:t>
      </w:r>
      <w:r w:rsidRPr="00E532FF">
        <w:rPr>
          <w:rFonts w:cs="Simplified Arabic"/>
          <w:b/>
          <w:bCs w:val="0"/>
          <w:szCs w:val="24"/>
          <w:rtl/>
        </w:rPr>
        <w:t xml:space="preserve"> بهدف تحسين استدامة العرض عند المنبع، وإدارة الطلب على طول سلسلة القيمة بأكملها، وتهيئة الظروف التمكينية للإدارة القانونية والمستدامة للحوم البرية في الموائل المدارية وشبه المدارية، مع مراعاة الاستخدام التقليدي للشعوب الأصلية والمجتمعات المحلية</w:t>
      </w:r>
      <w:r w:rsidRPr="00E532FF">
        <w:rPr>
          <w:rFonts w:cs="Simplified Arabic" w:hint="cs"/>
          <w:b/>
          <w:bCs w:val="0"/>
          <w:szCs w:val="24"/>
          <w:rtl/>
        </w:rPr>
        <w:t xml:space="preserve"> </w:t>
      </w:r>
      <w:r w:rsidRPr="00E532FF">
        <w:rPr>
          <w:rFonts w:cs="Simplified Arabic"/>
          <w:b/>
          <w:bCs w:val="0"/>
          <w:szCs w:val="24"/>
          <w:rtl/>
        </w:rPr>
        <w:t>لحماية سبل عيشه</w:t>
      </w:r>
      <w:r w:rsidRPr="00E532FF">
        <w:rPr>
          <w:rFonts w:cs="Simplified Arabic" w:hint="cs"/>
          <w:b/>
          <w:bCs w:val="0"/>
          <w:szCs w:val="24"/>
          <w:rtl/>
        </w:rPr>
        <w:t>ا</w:t>
      </w:r>
      <w:r w:rsidRPr="00E532FF">
        <w:rPr>
          <w:rFonts w:cs="Simplified Arabic"/>
          <w:b/>
          <w:bCs w:val="0"/>
          <w:szCs w:val="24"/>
          <w:rtl/>
        </w:rPr>
        <w:t xml:space="preserve"> دون التأثير عليه</w:t>
      </w:r>
      <w:r w:rsidRPr="00E532FF">
        <w:rPr>
          <w:rFonts w:cs="Simplified Arabic" w:hint="cs"/>
          <w:b/>
          <w:bCs w:val="0"/>
          <w:szCs w:val="24"/>
          <w:rtl/>
        </w:rPr>
        <w:t>ا</w:t>
      </w:r>
      <w:r w:rsidRPr="00E532FF">
        <w:rPr>
          <w:rFonts w:cs="Simplified Arabic"/>
          <w:b/>
          <w:bCs w:val="0"/>
          <w:szCs w:val="24"/>
          <w:rtl/>
        </w:rPr>
        <w:t xml:space="preserve"> على نحو سلبي؛</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lastRenderedPageBreak/>
        <w:t>2-</w:t>
      </w:r>
      <w:r w:rsidRPr="00E532FF">
        <w:rPr>
          <w:rFonts w:cs="Simplified Arabic"/>
          <w:b/>
          <w:bCs w:val="0"/>
          <w:szCs w:val="24"/>
          <w:rtl/>
        </w:rPr>
        <w:tab/>
      </w:r>
      <w:r w:rsidRPr="00E532FF">
        <w:rPr>
          <w:rFonts w:cs="Simplified Arabic"/>
          <w:b/>
          <w:bCs w:val="0"/>
          <w:i/>
          <w:iCs/>
          <w:szCs w:val="24"/>
          <w:rtl/>
        </w:rPr>
        <w:t>يلاحظ</w:t>
      </w:r>
      <w:r w:rsidRPr="00E532FF">
        <w:rPr>
          <w:rFonts w:cs="Simplified Arabic"/>
          <w:b/>
          <w:bCs w:val="0"/>
          <w:szCs w:val="24"/>
          <w:rtl/>
        </w:rPr>
        <w:t xml:space="preserve"> أن الإرشادات الطوعية </w:t>
      </w:r>
      <w:r w:rsidRPr="00E532FF">
        <w:rPr>
          <w:rFonts w:eastAsia="Batang" w:cs="Simplified Arabic"/>
          <w:b/>
          <w:bCs w:val="0"/>
          <w:i/>
          <w:snapToGrid w:val="0"/>
          <w:color w:val="000000"/>
          <w:kern w:val="22"/>
          <w:szCs w:val="24"/>
          <w:rtl/>
          <w:lang w:eastAsia="ja-JP"/>
        </w:rPr>
        <w:t xml:space="preserve">لقطاع </w:t>
      </w:r>
      <w:r>
        <w:rPr>
          <w:rFonts w:eastAsia="Batang" w:cs="Simplified Arabic" w:hint="cs"/>
          <w:b/>
          <w:bCs w:val="0"/>
          <w:i/>
          <w:snapToGrid w:val="0"/>
          <w:color w:val="000000"/>
          <w:kern w:val="22"/>
          <w:szCs w:val="24"/>
          <w:rtl/>
          <w:lang w:eastAsia="ja-JP"/>
        </w:rPr>
        <w:t xml:space="preserve">مستدام </w:t>
      </w:r>
      <w:r w:rsidRPr="00E532FF">
        <w:rPr>
          <w:rFonts w:eastAsia="Batang" w:cs="Simplified Arabic"/>
          <w:b/>
          <w:bCs w:val="0"/>
          <w:i/>
          <w:snapToGrid w:val="0"/>
          <w:color w:val="000000"/>
          <w:kern w:val="22"/>
          <w:szCs w:val="24"/>
          <w:rtl/>
          <w:lang w:eastAsia="ja-JP"/>
        </w:rPr>
        <w:t xml:space="preserve">للحوم البرية يمكن أن تسهم في تحسين جوانب </w:t>
      </w:r>
      <w:r>
        <w:rPr>
          <w:rFonts w:eastAsia="Batang" w:cs="Simplified Arabic" w:hint="cs"/>
          <w:b/>
          <w:bCs w:val="0"/>
          <w:i/>
          <w:snapToGrid w:val="0"/>
          <w:color w:val="000000"/>
          <w:kern w:val="22"/>
          <w:szCs w:val="24"/>
          <w:rtl/>
          <w:lang w:eastAsia="ja-JP"/>
        </w:rPr>
        <w:t>ا</w:t>
      </w:r>
      <w:r w:rsidRPr="00E532FF">
        <w:rPr>
          <w:rFonts w:eastAsia="Batang" w:cs="Simplified Arabic"/>
          <w:b/>
          <w:bCs w:val="0"/>
          <w:i/>
          <w:snapToGrid w:val="0"/>
          <w:color w:val="000000"/>
          <w:kern w:val="22"/>
          <w:szCs w:val="24"/>
          <w:rtl/>
          <w:lang w:eastAsia="ja-JP"/>
        </w:rPr>
        <w:t>لإدارة ال</w:t>
      </w:r>
      <w:r>
        <w:rPr>
          <w:rFonts w:eastAsia="Batang" w:cs="Simplified Arabic" w:hint="cs"/>
          <w:b/>
          <w:bCs w:val="0"/>
          <w:i/>
          <w:snapToGrid w:val="0"/>
          <w:color w:val="000000"/>
          <w:kern w:val="22"/>
          <w:szCs w:val="24"/>
          <w:rtl/>
          <w:lang w:eastAsia="ja-JP"/>
        </w:rPr>
        <w:t>متكاملة لل</w:t>
      </w:r>
      <w:r w:rsidRPr="00E532FF">
        <w:rPr>
          <w:rFonts w:eastAsia="Batang" w:cs="Simplified Arabic"/>
          <w:b/>
          <w:bCs w:val="0"/>
          <w:i/>
          <w:snapToGrid w:val="0"/>
          <w:color w:val="000000"/>
          <w:kern w:val="22"/>
          <w:szCs w:val="24"/>
          <w:rtl/>
          <w:lang w:eastAsia="ja-JP"/>
        </w:rPr>
        <w:t>أحياء البرية المبينة في الهدفين 2 و15 من أهداف التنمية المستدامة،</w:t>
      </w:r>
      <w:r w:rsidRPr="00E532FF">
        <w:rPr>
          <w:rStyle w:val="FootnoteReference"/>
          <w:rFonts w:eastAsia="Batang"/>
          <w:b/>
          <w:bCs w:val="0"/>
          <w:i/>
          <w:snapToGrid w:val="0"/>
          <w:color w:val="000000"/>
          <w:kern w:val="22"/>
          <w:rtl/>
          <w:lang w:eastAsia="ja-JP"/>
        </w:rPr>
        <w:footnoteReference w:id="99"/>
      </w:r>
      <w:r w:rsidRPr="00E532FF">
        <w:rPr>
          <w:rFonts w:eastAsia="Batang" w:cs="Simplified Arabic"/>
          <w:b/>
          <w:bCs w:val="0"/>
          <w:i/>
          <w:snapToGrid w:val="0"/>
          <w:color w:val="000000"/>
          <w:kern w:val="22"/>
          <w:szCs w:val="24"/>
          <w:rtl/>
          <w:lang w:eastAsia="ja-JP"/>
        </w:rPr>
        <w:t xml:space="preserve"> بغية تعزيز اتساق السياسات عبر الاتفاقيات المتعلقة بالتنوع البيولوجي</w:t>
      </w:r>
      <w:r w:rsidRPr="00E532FF">
        <w:rPr>
          <w:rStyle w:val="FootnoteReference"/>
          <w:rFonts w:eastAsia="Batang"/>
          <w:b/>
          <w:bCs w:val="0"/>
          <w:i/>
          <w:snapToGrid w:val="0"/>
          <w:color w:val="000000"/>
          <w:kern w:val="22"/>
          <w:rtl/>
          <w:lang w:eastAsia="ja-JP"/>
        </w:rPr>
        <w:footnoteReference w:id="100"/>
      </w:r>
      <w:r w:rsidRPr="00E532FF">
        <w:rPr>
          <w:rFonts w:eastAsia="Batang" w:cs="Simplified Arabic"/>
          <w:b/>
          <w:bCs w:val="0"/>
          <w:i/>
          <w:snapToGrid w:val="0"/>
          <w:color w:val="000000"/>
          <w:kern w:val="22"/>
          <w:szCs w:val="24"/>
          <w:rtl/>
          <w:lang w:eastAsia="ja-JP"/>
        </w:rPr>
        <w:t xml:space="preserve"> واتفاقات </w:t>
      </w:r>
      <w:r>
        <w:rPr>
          <w:rFonts w:eastAsia="Batang" w:cs="Simplified Arabic" w:hint="cs"/>
          <w:b/>
          <w:bCs w:val="0"/>
          <w:i/>
          <w:snapToGrid w:val="0"/>
          <w:color w:val="000000"/>
          <w:kern w:val="22"/>
          <w:szCs w:val="24"/>
          <w:rtl/>
          <w:lang w:eastAsia="ja-JP"/>
        </w:rPr>
        <w:t>الحفظ ال</w:t>
      </w:r>
      <w:r w:rsidRPr="00E532FF">
        <w:rPr>
          <w:rFonts w:eastAsia="Batang" w:cs="Simplified Arabic"/>
          <w:b/>
          <w:bCs w:val="0"/>
          <w:i/>
          <w:snapToGrid w:val="0"/>
          <w:color w:val="000000"/>
          <w:kern w:val="22"/>
          <w:szCs w:val="24"/>
          <w:rtl/>
          <w:lang w:eastAsia="ja-JP"/>
        </w:rPr>
        <w:t>أخرى؛</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eastAsia="Batang" w:cs="Simplified Arabic"/>
          <w:b/>
          <w:bCs w:val="0"/>
          <w:i/>
          <w:snapToGrid w:val="0"/>
          <w:color w:val="000000"/>
          <w:kern w:val="22"/>
          <w:szCs w:val="24"/>
          <w:rtl/>
          <w:lang w:eastAsia="ja-JP"/>
        </w:rPr>
        <w:t>3-</w:t>
      </w:r>
      <w:r w:rsidRPr="00E532FF">
        <w:rPr>
          <w:rFonts w:eastAsia="Batang" w:cs="Simplified Arabic"/>
          <w:b/>
          <w:bCs w:val="0"/>
          <w:i/>
          <w:snapToGrid w:val="0"/>
          <w:color w:val="000000"/>
          <w:kern w:val="22"/>
          <w:szCs w:val="24"/>
          <w:rtl/>
          <w:lang w:eastAsia="ja-JP"/>
        </w:rPr>
        <w:tab/>
      </w:r>
      <w:r w:rsidRPr="00E532FF">
        <w:rPr>
          <w:rFonts w:cs="Simplified Arabic"/>
          <w:b/>
          <w:bCs w:val="0"/>
          <w:i/>
          <w:iCs/>
          <w:szCs w:val="24"/>
          <w:rtl/>
        </w:rPr>
        <w:t>يشجع</w:t>
      </w:r>
      <w:r w:rsidRPr="00E532FF">
        <w:rPr>
          <w:rFonts w:cs="Simplified Arabic"/>
          <w:b/>
          <w:bCs w:val="0"/>
          <w:szCs w:val="24"/>
          <w:rtl/>
        </w:rPr>
        <w:t xml:space="preserve"> الأطراف </w:t>
      </w:r>
      <w:r>
        <w:rPr>
          <w:rFonts w:cs="Simplified Arabic" w:hint="cs"/>
          <w:b/>
          <w:bCs w:val="0"/>
          <w:szCs w:val="24"/>
          <w:rtl/>
        </w:rPr>
        <w:t>و</w:t>
      </w:r>
      <w:r w:rsidRPr="00E532FF">
        <w:rPr>
          <w:rFonts w:cs="Simplified Arabic"/>
          <w:b/>
          <w:bCs w:val="0"/>
          <w:szCs w:val="24"/>
          <w:rtl/>
        </w:rPr>
        <w:t>الحكومات الأخرى، والمنظمات المعنية، بما فيها الاتفاقيات الأخرى المتعلقة</w:t>
      </w:r>
      <w:r>
        <w:rPr>
          <w:rFonts w:cs="Simplified Arabic"/>
          <w:b/>
          <w:bCs w:val="0"/>
          <w:szCs w:val="24"/>
          <w:rtl/>
        </w:rPr>
        <w:t xml:space="preserve"> بالتنوع البيولوجي واتفاقات </w:t>
      </w:r>
      <w:r>
        <w:rPr>
          <w:rFonts w:cs="Simplified Arabic" w:hint="cs"/>
          <w:b/>
          <w:bCs w:val="0"/>
          <w:szCs w:val="24"/>
          <w:rtl/>
        </w:rPr>
        <w:t>ال</w:t>
      </w:r>
      <w:r>
        <w:rPr>
          <w:rFonts w:cs="Simplified Arabic"/>
          <w:b/>
          <w:bCs w:val="0"/>
          <w:szCs w:val="24"/>
          <w:rtl/>
        </w:rPr>
        <w:t>حفظ</w:t>
      </w:r>
      <w:r w:rsidRPr="00E532FF">
        <w:rPr>
          <w:rFonts w:cs="Simplified Arabic"/>
          <w:b/>
          <w:bCs w:val="0"/>
          <w:szCs w:val="24"/>
          <w:rtl/>
        </w:rPr>
        <w:t xml:space="preserve">، حيثما كان ذلك منطبقا، ووفقا للظروف الوطنية والتشريعات الوطنية، على استخدام الإرشادات الطوعية لقطاع </w:t>
      </w:r>
      <w:r>
        <w:rPr>
          <w:rFonts w:cs="Simplified Arabic" w:hint="cs"/>
          <w:b/>
          <w:bCs w:val="0"/>
          <w:szCs w:val="24"/>
          <w:rtl/>
        </w:rPr>
        <w:t xml:space="preserve">مستدام </w:t>
      </w:r>
      <w:r w:rsidRPr="00E532FF">
        <w:rPr>
          <w:rFonts w:cs="Simplified Arabic"/>
          <w:b/>
          <w:bCs w:val="0"/>
          <w:szCs w:val="24"/>
          <w:rtl/>
        </w:rPr>
        <w:t>للحوم البرية، وكذلك على الأخذ في الحسبان خطة العمل المتعلقة بالاستخدام المألوف المستدام للتنوع البيولوجي، وأهداف التنمية المستدامة،</w:t>
      </w:r>
      <w:r w:rsidRPr="00C56891">
        <w:rPr>
          <w:rFonts w:eastAsia="Batang" w:cs="Simplified Arabic"/>
          <w:b/>
          <w:bCs w:val="0"/>
          <w:i/>
          <w:color w:val="000000"/>
          <w:kern w:val="22"/>
          <w:szCs w:val="24"/>
          <w:vertAlign w:val="superscript"/>
          <w:rtl/>
          <w:lang w:eastAsia="ja-JP" w:bidi="ar-EG"/>
        </w:rPr>
        <w:t>2</w:t>
      </w:r>
      <w:r w:rsidRPr="00E532FF">
        <w:rPr>
          <w:rFonts w:cs="Simplified Arabic"/>
          <w:b/>
          <w:bCs w:val="0"/>
          <w:szCs w:val="24"/>
          <w:rtl/>
        </w:rPr>
        <w:t xml:space="preserve"> عند وضع، ومراجعة وتنفيذ نُهج الإدارة المتعلقة بالأحياء البرية وعند تحديث خطط التنمية الوطنية والاستراتيجيات وخطط العمل الوطنية للتنوع البيولوجي؛</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4-</w:t>
      </w:r>
      <w:r w:rsidRPr="00E532FF">
        <w:rPr>
          <w:rFonts w:cs="Simplified Arabic"/>
          <w:b/>
          <w:bCs w:val="0"/>
          <w:szCs w:val="24"/>
          <w:rtl/>
        </w:rPr>
        <w:tab/>
      </w:r>
      <w:r w:rsidRPr="00E532FF">
        <w:rPr>
          <w:rFonts w:cs="Simplified Arabic"/>
          <w:b/>
          <w:bCs w:val="0"/>
          <w:i/>
          <w:iCs/>
          <w:szCs w:val="24"/>
          <w:rtl/>
        </w:rPr>
        <w:t>يدعو</w:t>
      </w:r>
      <w:r w:rsidRPr="00E532FF">
        <w:rPr>
          <w:rFonts w:cs="Simplified Arabic"/>
          <w:b/>
          <w:bCs w:val="0"/>
          <w:szCs w:val="24"/>
          <w:rtl/>
        </w:rPr>
        <w:t xml:space="preserve"> الأطراف إلى تقديم ممارسات جيدة، على أساس طوعي، عن برامجها الوطنية القائمة التي تعزز الإدارة المستدامة للأحياء البرية، مع الإسهام في الحد من الفقر، وتحقيق الأمن الغذائي، وخلق فرص العمل، بما يتماشى مع أهداف التنمية المستدامة والاستخدام المستدام للتنوع البيولوجي؛</w:t>
      </w:r>
    </w:p>
    <w:p w:rsidR="00D21AB0" w:rsidRPr="00E532FF" w:rsidRDefault="00D21AB0" w:rsidP="00D21AB0">
      <w:pPr>
        <w:pStyle w:val="Para1"/>
        <w:numPr>
          <w:ilvl w:val="0"/>
          <w:numId w:val="0"/>
        </w:numPr>
        <w:bidi/>
        <w:spacing w:before="0" w:line="216" w:lineRule="auto"/>
        <w:ind w:firstLine="720"/>
        <w:rPr>
          <w:rFonts w:eastAsia="Times New Roman" w:cs="Simplified Arabic"/>
          <w:b/>
          <w:bCs w:val="0"/>
          <w:color w:val="000000"/>
          <w:kern w:val="22"/>
          <w:szCs w:val="24"/>
        </w:rPr>
      </w:pPr>
      <w:r w:rsidRPr="00E532FF">
        <w:rPr>
          <w:rFonts w:cs="Simplified Arabic"/>
          <w:b/>
          <w:bCs w:val="0"/>
          <w:szCs w:val="24"/>
          <w:rtl/>
        </w:rPr>
        <w:t>5-</w:t>
      </w:r>
      <w:r w:rsidRPr="00E532FF">
        <w:rPr>
          <w:rFonts w:cs="Simplified Arabic"/>
          <w:b/>
          <w:bCs w:val="0"/>
          <w:szCs w:val="24"/>
          <w:rtl/>
        </w:rPr>
        <w:tab/>
      </w:r>
      <w:r w:rsidRPr="00E532FF">
        <w:rPr>
          <w:rFonts w:cs="Simplified Arabic"/>
          <w:b/>
          <w:bCs w:val="0"/>
          <w:i/>
          <w:iCs/>
          <w:szCs w:val="24"/>
          <w:rtl/>
        </w:rPr>
        <w:t xml:space="preserve">يدعو </w:t>
      </w:r>
      <w:r w:rsidRPr="00E532FF">
        <w:rPr>
          <w:rFonts w:cs="Simplified Arabic" w:hint="cs"/>
          <w:b/>
          <w:bCs w:val="0"/>
          <w:i/>
          <w:iCs/>
          <w:szCs w:val="24"/>
          <w:rtl/>
        </w:rPr>
        <w:t>أيضا</w:t>
      </w:r>
      <w:r w:rsidRPr="00E532FF">
        <w:rPr>
          <w:rFonts w:cs="Simplified Arabic" w:hint="cs"/>
          <w:b/>
          <w:bCs w:val="0"/>
          <w:szCs w:val="24"/>
          <w:rtl/>
        </w:rPr>
        <w:t xml:space="preserve"> الأطرا</w:t>
      </w:r>
      <w:r w:rsidRPr="00E532FF">
        <w:rPr>
          <w:rFonts w:cs="Simplified Arabic"/>
          <w:b/>
          <w:bCs w:val="0"/>
          <w:szCs w:val="24"/>
          <w:rtl/>
        </w:rPr>
        <w:t xml:space="preserve">ف إلى </w:t>
      </w:r>
      <w:r w:rsidRPr="00E532FF">
        <w:rPr>
          <w:rFonts w:cs="Simplified Arabic" w:hint="cs"/>
          <w:b/>
          <w:bCs w:val="0"/>
          <w:szCs w:val="24"/>
          <w:rtl/>
        </w:rPr>
        <w:t>أن تقدم</w:t>
      </w:r>
      <w:r w:rsidRPr="00E532FF">
        <w:rPr>
          <w:rFonts w:cs="Simplified Arabic"/>
          <w:b/>
          <w:bCs w:val="0"/>
          <w:szCs w:val="24"/>
          <w:rtl/>
        </w:rPr>
        <w:t>، على أساس طوعي، معلومات</w:t>
      </w:r>
      <w:r w:rsidRPr="00E532FF">
        <w:rPr>
          <w:rFonts w:cs="Simplified Arabic"/>
          <w:b/>
          <w:szCs w:val="24"/>
          <w:rtl/>
        </w:rPr>
        <w:t xml:space="preserve"> </w:t>
      </w:r>
      <w:r w:rsidRPr="00E532FF">
        <w:rPr>
          <w:rFonts w:cs="Simplified Arabic"/>
          <w:b/>
          <w:bCs w:val="0"/>
          <w:szCs w:val="24"/>
          <w:rtl/>
        </w:rPr>
        <w:t xml:space="preserve">عن أنشطتها والنتائج الناشئة عن دراسة الإرشادات الطوعية لقطاع </w:t>
      </w:r>
      <w:r>
        <w:rPr>
          <w:rFonts w:cs="Simplified Arabic" w:hint="cs"/>
          <w:b/>
          <w:bCs w:val="0"/>
          <w:szCs w:val="24"/>
          <w:rtl/>
        </w:rPr>
        <w:t xml:space="preserve">مستدام </w:t>
      </w:r>
      <w:r w:rsidRPr="00E532FF">
        <w:rPr>
          <w:rFonts w:cs="Simplified Arabic"/>
          <w:b/>
          <w:bCs w:val="0"/>
          <w:szCs w:val="24"/>
          <w:rtl/>
        </w:rPr>
        <w:t>للحوم البرية؛</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6-</w:t>
      </w:r>
      <w:r w:rsidRPr="00E532FF">
        <w:rPr>
          <w:rFonts w:cs="Simplified Arabic"/>
          <w:b/>
          <w:bCs w:val="0"/>
          <w:szCs w:val="24"/>
          <w:rtl/>
        </w:rPr>
        <w:tab/>
      </w:r>
      <w:r w:rsidRPr="00E532FF">
        <w:rPr>
          <w:rFonts w:cs="Simplified Arabic"/>
          <w:b/>
          <w:bCs w:val="0"/>
          <w:i/>
          <w:iCs/>
          <w:szCs w:val="24"/>
          <w:rtl/>
        </w:rPr>
        <w:t>يشجع</w:t>
      </w:r>
      <w:r w:rsidRPr="00E532FF">
        <w:rPr>
          <w:rFonts w:cs="Simplified Arabic"/>
          <w:b/>
          <w:bCs w:val="0"/>
          <w:szCs w:val="24"/>
          <w:rtl/>
        </w:rPr>
        <w:t xml:space="preserve"> الأطراف على إقامة حوارات عبر القطاعات وتدريبات مشتركة بشأن الإدارة المستدامة للأحياء البرية بين</w:t>
      </w:r>
      <w:r w:rsidRPr="00E532FF">
        <w:rPr>
          <w:rFonts w:cs="Simplified Arabic" w:hint="cs"/>
          <w:b/>
          <w:bCs w:val="0"/>
          <w:szCs w:val="24"/>
          <w:rtl/>
        </w:rPr>
        <w:t xml:space="preserve"> القطاعات ذات الصلة، بما فيها</w:t>
      </w:r>
      <w:r w:rsidRPr="00E532FF">
        <w:rPr>
          <w:rFonts w:cs="Simplified Arabic"/>
          <w:b/>
          <w:bCs w:val="0"/>
          <w:szCs w:val="24"/>
          <w:rtl/>
        </w:rPr>
        <w:t xml:space="preserve"> قطاعات الحراجة، والزراعة، والصحة البيطرية والصحة العامة، والموارد الطبيعية، والمالية، والتنمية الريفية والتعليم والقطاعين القانوني والخاص</w:t>
      </w:r>
      <w:r w:rsidRPr="00E532FF">
        <w:rPr>
          <w:rFonts w:cs="Simplified Arabic" w:hint="cs"/>
          <w:b/>
          <w:bCs w:val="0"/>
          <w:szCs w:val="24"/>
          <w:rtl/>
        </w:rPr>
        <w:t>، و</w:t>
      </w:r>
      <w:r w:rsidRPr="00E532FF">
        <w:rPr>
          <w:rFonts w:cs="Simplified Arabic"/>
          <w:b/>
          <w:bCs w:val="0"/>
          <w:szCs w:val="24"/>
          <w:rtl/>
        </w:rPr>
        <w:t xml:space="preserve">تجهيز الأغذية والتجارة، وكذلك الشعوب الأصلية والمجتمعات المحلية والجهات المعنية الأخرى من أصحاب المصلحة بهدف تعزيز تطبيق الإرشادات الطوعية لقطاع </w:t>
      </w:r>
      <w:r>
        <w:rPr>
          <w:rFonts w:cs="Simplified Arabic" w:hint="cs"/>
          <w:b/>
          <w:bCs w:val="0"/>
          <w:szCs w:val="24"/>
          <w:rtl/>
        </w:rPr>
        <w:t xml:space="preserve">مستدام </w:t>
      </w:r>
      <w:r w:rsidRPr="00E532FF">
        <w:rPr>
          <w:rFonts w:cs="Simplified Arabic"/>
          <w:b/>
          <w:bCs w:val="0"/>
          <w:szCs w:val="24"/>
          <w:rtl/>
        </w:rPr>
        <w:t>للحوم البرية</w:t>
      </w:r>
      <w:r w:rsidRPr="00E532FF">
        <w:rPr>
          <w:rFonts w:cs="Simplified Arabic" w:hint="cs"/>
          <w:b/>
          <w:bCs w:val="0"/>
          <w:szCs w:val="24"/>
          <w:rtl/>
        </w:rPr>
        <w:t xml:space="preserve"> وفقاً للظروف الوطنية</w:t>
      </w:r>
      <w:r w:rsidRPr="00E532FF">
        <w:rPr>
          <w:rFonts w:cs="Simplified Arabic"/>
          <w:b/>
          <w:bCs w:val="0"/>
          <w:szCs w:val="24"/>
          <w:rtl/>
        </w:rPr>
        <w:t>؛</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7-</w:t>
      </w:r>
      <w:r w:rsidRPr="00E532FF">
        <w:rPr>
          <w:rFonts w:cs="Simplified Arabic"/>
          <w:b/>
          <w:bCs w:val="0"/>
          <w:szCs w:val="24"/>
          <w:rtl/>
        </w:rPr>
        <w:tab/>
      </w:r>
      <w:r w:rsidRPr="00E532FF">
        <w:rPr>
          <w:rFonts w:cs="Simplified Arabic"/>
          <w:b/>
          <w:bCs w:val="0"/>
          <w:i/>
          <w:iCs/>
          <w:szCs w:val="24"/>
          <w:rtl/>
        </w:rPr>
        <w:t>يدعو</w:t>
      </w:r>
      <w:r w:rsidRPr="00E532FF">
        <w:rPr>
          <w:rFonts w:cs="Simplified Arabic"/>
          <w:b/>
          <w:bCs w:val="0"/>
          <w:szCs w:val="24"/>
          <w:rtl/>
        </w:rPr>
        <w:t xml:space="preserve"> الأطراف، </w:t>
      </w:r>
      <w:r w:rsidRPr="00E532FF">
        <w:rPr>
          <w:rFonts w:cs="Simplified Arabic"/>
          <w:b/>
          <w:bCs w:val="0"/>
          <w:i/>
          <w:iCs/>
          <w:szCs w:val="24"/>
          <w:rtl/>
        </w:rPr>
        <w:t>ويشجع</w:t>
      </w:r>
      <w:r w:rsidRPr="00E532FF">
        <w:rPr>
          <w:rFonts w:cs="Simplified Arabic"/>
          <w:b/>
          <w:bCs w:val="0"/>
          <w:szCs w:val="24"/>
          <w:rtl/>
        </w:rPr>
        <w:t xml:space="preserve"> الحكومات الأخرى والمنظمات الأخرى ذات الصلة التي هي في وضع يسمح لها بذلك، على دعم مبادرات بناء القدرات لفائدة البلدان النامية، التي تهدف </w:t>
      </w:r>
      <w:r>
        <w:rPr>
          <w:rFonts w:cs="Simplified Arabic" w:hint="cs"/>
          <w:b/>
          <w:bCs w:val="0"/>
          <w:szCs w:val="24"/>
          <w:rtl/>
        </w:rPr>
        <w:t xml:space="preserve">إلى </w:t>
      </w:r>
      <w:r w:rsidRPr="00E532FF">
        <w:rPr>
          <w:rFonts w:cs="Simplified Arabic"/>
          <w:b/>
          <w:bCs w:val="0"/>
          <w:szCs w:val="24"/>
          <w:rtl/>
        </w:rPr>
        <w:t xml:space="preserve">تعزيز تنفيذ الإرشادات الطوعية لقطاع </w:t>
      </w:r>
      <w:r>
        <w:rPr>
          <w:rFonts w:cs="Simplified Arabic" w:hint="cs"/>
          <w:b/>
          <w:bCs w:val="0"/>
          <w:szCs w:val="24"/>
          <w:rtl/>
        </w:rPr>
        <w:t xml:space="preserve">مستدام </w:t>
      </w:r>
      <w:r w:rsidRPr="00E532FF">
        <w:rPr>
          <w:rFonts w:cs="Simplified Arabic"/>
          <w:b/>
          <w:bCs w:val="0"/>
          <w:szCs w:val="24"/>
          <w:rtl/>
        </w:rPr>
        <w:t xml:space="preserve">للحوم </w:t>
      </w:r>
      <w:r w:rsidRPr="00E532FF">
        <w:rPr>
          <w:rFonts w:eastAsia="Batang" w:cs="Simplified Arabic"/>
          <w:b/>
          <w:bCs w:val="0"/>
          <w:i/>
          <w:snapToGrid w:val="0"/>
          <w:color w:val="000000"/>
          <w:kern w:val="22"/>
          <w:szCs w:val="24"/>
          <w:rtl/>
          <w:lang w:eastAsia="ja-JP"/>
        </w:rPr>
        <w:t>البرية؛</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8-</w:t>
      </w:r>
      <w:r w:rsidRPr="00E532FF">
        <w:rPr>
          <w:rFonts w:cs="Simplified Arabic"/>
          <w:b/>
          <w:bCs w:val="0"/>
          <w:szCs w:val="24"/>
          <w:rtl/>
        </w:rPr>
        <w:tab/>
      </w:r>
      <w:r w:rsidRPr="00E532FF">
        <w:rPr>
          <w:rFonts w:cs="Simplified Arabic"/>
          <w:b/>
          <w:bCs w:val="0"/>
          <w:i/>
          <w:iCs/>
          <w:szCs w:val="24"/>
          <w:rtl/>
        </w:rPr>
        <w:t>يطلب</w:t>
      </w:r>
      <w:r w:rsidRPr="00E532FF">
        <w:rPr>
          <w:rFonts w:cs="Simplified Arabic"/>
          <w:b/>
          <w:bCs w:val="0"/>
          <w:szCs w:val="24"/>
          <w:rtl/>
        </w:rPr>
        <w:t xml:space="preserve"> إلى الأمينة التنفيذية أن تجمع التقارير المشار إليها في الفقرة 5 أعلاه وأن تتيحها من خلال آلية غرفة تبادل المعلومات</w:t>
      </w:r>
      <w:r w:rsidRPr="00E532FF">
        <w:rPr>
          <w:rFonts w:cs="Simplified Arabic" w:hint="cs"/>
          <w:b/>
          <w:bCs w:val="0"/>
          <w:szCs w:val="24"/>
          <w:rtl/>
        </w:rPr>
        <w:t>؛</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eastAsia="Batang" w:cs="Simplified Arabic"/>
          <w:b/>
          <w:bCs w:val="0"/>
          <w:i/>
          <w:snapToGrid w:val="0"/>
          <w:color w:val="000000"/>
          <w:kern w:val="22"/>
          <w:szCs w:val="24"/>
          <w:rtl/>
          <w:lang w:eastAsia="ja-JP"/>
        </w:rPr>
        <w:t>9-</w:t>
      </w:r>
      <w:r w:rsidRPr="00E532FF">
        <w:rPr>
          <w:rFonts w:eastAsia="Batang" w:cs="Simplified Arabic"/>
          <w:b/>
          <w:bCs w:val="0"/>
          <w:i/>
          <w:snapToGrid w:val="0"/>
          <w:color w:val="000000"/>
          <w:kern w:val="22"/>
          <w:szCs w:val="24"/>
          <w:rtl/>
          <w:lang w:eastAsia="ja-JP"/>
        </w:rPr>
        <w:tab/>
      </w:r>
      <w:r w:rsidRPr="00E532FF">
        <w:rPr>
          <w:rFonts w:eastAsia="Batang" w:cs="Simplified Arabic"/>
          <w:b/>
          <w:bCs w:val="0"/>
          <w:iCs/>
          <w:snapToGrid w:val="0"/>
          <w:color w:val="000000"/>
          <w:kern w:val="22"/>
          <w:szCs w:val="24"/>
          <w:rtl/>
          <w:lang w:eastAsia="ja-JP"/>
        </w:rPr>
        <w:t>يطلب</w:t>
      </w:r>
      <w:r w:rsidRPr="00E532FF">
        <w:rPr>
          <w:rFonts w:eastAsia="Batang" w:cs="Simplified Arabic" w:hint="cs"/>
          <w:b/>
          <w:bCs w:val="0"/>
          <w:iCs/>
          <w:snapToGrid w:val="0"/>
          <w:color w:val="000000"/>
          <w:kern w:val="22"/>
          <w:szCs w:val="24"/>
          <w:rtl/>
          <w:lang w:eastAsia="ja-JP"/>
        </w:rPr>
        <w:t xml:space="preserve"> أيضا</w:t>
      </w:r>
      <w:r w:rsidRPr="00E532FF">
        <w:rPr>
          <w:rFonts w:eastAsia="Batang" w:cs="Simplified Arabic"/>
          <w:b/>
          <w:bCs w:val="0"/>
          <w:i/>
          <w:snapToGrid w:val="0"/>
          <w:color w:val="000000"/>
          <w:kern w:val="22"/>
          <w:szCs w:val="24"/>
          <w:rtl/>
          <w:lang w:eastAsia="ja-JP"/>
        </w:rPr>
        <w:t xml:space="preserve"> إلى الأمينة التنفيذية</w:t>
      </w:r>
      <w:r>
        <w:rPr>
          <w:rFonts w:eastAsia="Batang" w:cs="Simplified Arabic" w:hint="cs"/>
          <w:b/>
          <w:bCs w:val="0"/>
          <w:i/>
          <w:snapToGrid w:val="0"/>
          <w:color w:val="000000"/>
          <w:kern w:val="22"/>
          <w:szCs w:val="24"/>
          <w:rtl/>
          <w:lang w:eastAsia="ja-JP"/>
        </w:rPr>
        <w:t xml:space="preserve"> القيام بما يلي</w:t>
      </w:r>
      <w:r w:rsidRPr="00E532FF">
        <w:rPr>
          <w:rFonts w:eastAsia="Batang" w:cs="Simplified Arabic"/>
          <w:b/>
          <w:bCs w:val="0"/>
          <w:i/>
          <w:snapToGrid w:val="0"/>
          <w:color w:val="000000"/>
          <w:kern w:val="22"/>
          <w:szCs w:val="24"/>
          <w:rtl/>
          <w:lang w:eastAsia="ja-JP"/>
        </w:rPr>
        <w:t>، بالتشاور مع الأطراف الم</w:t>
      </w:r>
      <w:r>
        <w:rPr>
          <w:rFonts w:eastAsia="Batang" w:cs="Simplified Arabic" w:hint="cs"/>
          <w:b/>
          <w:bCs w:val="0"/>
          <w:i/>
          <w:snapToGrid w:val="0"/>
          <w:color w:val="000000"/>
          <w:kern w:val="22"/>
          <w:szCs w:val="24"/>
          <w:rtl/>
          <w:lang w:eastAsia="ja-JP"/>
        </w:rPr>
        <w:t>هتم</w:t>
      </w:r>
      <w:r w:rsidRPr="00E532FF">
        <w:rPr>
          <w:rFonts w:eastAsia="Batang" w:cs="Simplified Arabic"/>
          <w:b/>
          <w:bCs w:val="0"/>
          <w:i/>
          <w:snapToGrid w:val="0"/>
          <w:color w:val="000000"/>
          <w:kern w:val="22"/>
          <w:szCs w:val="24"/>
          <w:rtl/>
          <w:lang w:eastAsia="ja-JP"/>
        </w:rPr>
        <w:t>ة، و</w:t>
      </w:r>
      <w:r>
        <w:rPr>
          <w:rFonts w:eastAsia="Batang" w:cs="Simplified Arabic" w:hint="cs"/>
          <w:b/>
          <w:bCs w:val="0"/>
          <w:i/>
          <w:snapToGrid w:val="0"/>
          <w:color w:val="000000"/>
          <w:kern w:val="22"/>
          <w:szCs w:val="24"/>
          <w:rtl/>
          <w:lang w:eastAsia="ja-JP"/>
        </w:rPr>
        <w:t>ال</w:t>
      </w:r>
      <w:r w:rsidRPr="00E532FF">
        <w:rPr>
          <w:rFonts w:eastAsia="Batang" w:cs="Simplified Arabic"/>
          <w:b/>
          <w:bCs w:val="0"/>
          <w:i/>
          <w:snapToGrid w:val="0"/>
          <w:color w:val="000000"/>
          <w:kern w:val="22"/>
          <w:szCs w:val="24"/>
          <w:rtl/>
          <w:lang w:eastAsia="ja-JP"/>
        </w:rPr>
        <w:t xml:space="preserve">حكومات </w:t>
      </w:r>
      <w:r>
        <w:rPr>
          <w:rFonts w:eastAsia="Batang" w:cs="Simplified Arabic" w:hint="cs"/>
          <w:b/>
          <w:bCs w:val="0"/>
          <w:i/>
          <w:snapToGrid w:val="0"/>
          <w:color w:val="000000"/>
          <w:kern w:val="22"/>
          <w:szCs w:val="24"/>
          <w:rtl/>
          <w:lang w:eastAsia="ja-JP"/>
        </w:rPr>
        <w:t>ال</w:t>
      </w:r>
      <w:r w:rsidRPr="00E532FF">
        <w:rPr>
          <w:rFonts w:eastAsia="Batang" w:cs="Simplified Arabic"/>
          <w:b/>
          <w:bCs w:val="0"/>
          <w:i/>
          <w:snapToGrid w:val="0"/>
          <w:color w:val="000000"/>
          <w:kern w:val="22"/>
          <w:szCs w:val="24"/>
          <w:rtl/>
          <w:lang w:eastAsia="ja-JP"/>
        </w:rPr>
        <w:t>أخرى</w:t>
      </w:r>
      <w:r>
        <w:rPr>
          <w:rFonts w:eastAsia="Batang" w:cs="Simplified Arabic" w:hint="cs"/>
          <w:b/>
          <w:bCs w:val="0"/>
          <w:i/>
          <w:snapToGrid w:val="0"/>
          <w:color w:val="000000"/>
          <w:kern w:val="22"/>
          <w:szCs w:val="24"/>
          <w:rtl/>
          <w:lang w:eastAsia="ja-JP"/>
        </w:rPr>
        <w:t>،</w:t>
      </w:r>
      <w:r w:rsidRPr="00E532FF">
        <w:rPr>
          <w:rFonts w:eastAsia="Batang" w:cs="Simplified Arabic"/>
          <w:b/>
          <w:bCs w:val="0"/>
          <w:i/>
          <w:snapToGrid w:val="0"/>
          <w:color w:val="000000"/>
          <w:kern w:val="22"/>
          <w:szCs w:val="24"/>
          <w:rtl/>
          <w:lang w:eastAsia="ja-JP"/>
        </w:rPr>
        <w:t xml:space="preserve"> والشعوب الأصلية والمجتمعات المحلية وأعضاء آخرين من الشراكة التعاونية </w:t>
      </w:r>
      <w:r w:rsidRPr="00E532FF">
        <w:rPr>
          <w:rFonts w:cs="Simplified Arabic"/>
          <w:b/>
          <w:bCs w:val="0"/>
          <w:szCs w:val="24"/>
          <w:rtl/>
        </w:rPr>
        <w:t>بشأن الإدارة المستدامة للأح</w:t>
      </w:r>
      <w:r>
        <w:rPr>
          <w:rFonts w:cs="Simplified Arabic"/>
          <w:b/>
          <w:bCs w:val="0"/>
          <w:szCs w:val="24"/>
          <w:rtl/>
        </w:rPr>
        <w:t>ياء البرية، رهنا بتوافر الموارد</w:t>
      </w:r>
      <w:r w:rsidRPr="00E532FF">
        <w:rPr>
          <w:rFonts w:cs="Simplified Arabic"/>
          <w:b/>
          <w:bCs w:val="0"/>
          <w:szCs w:val="24"/>
          <w:rtl/>
        </w:rPr>
        <w:t>:</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(أ)</w:t>
      </w:r>
      <w:r w:rsidRPr="00E532FF">
        <w:rPr>
          <w:rFonts w:cs="Simplified Arabic"/>
          <w:b/>
          <w:bCs w:val="0"/>
          <w:szCs w:val="24"/>
          <w:rtl/>
        </w:rPr>
        <w:tab/>
        <w:t>تحديد المجالات التي قد تتطلب وضع إرشادات تكميلية واستكشاف سبل لتطبيق هذه الإرشادات على</w:t>
      </w:r>
      <w:r w:rsidRPr="00E532FF">
        <w:rPr>
          <w:rFonts w:cs="Simplified Arabic" w:hint="cs"/>
          <w:b/>
          <w:bCs w:val="0"/>
          <w:szCs w:val="24"/>
          <w:rtl/>
        </w:rPr>
        <w:t xml:space="preserve"> </w:t>
      </w:r>
      <w:r w:rsidRPr="00E532FF">
        <w:rPr>
          <w:rFonts w:cs="Simplified Arabic"/>
          <w:b/>
          <w:bCs w:val="0"/>
          <w:szCs w:val="24"/>
          <w:rtl/>
        </w:rPr>
        <w:t>مناطق</w:t>
      </w:r>
      <w:r w:rsidRPr="00E532FF">
        <w:rPr>
          <w:rFonts w:cs="Simplified Arabic" w:hint="cs"/>
          <w:b/>
          <w:bCs w:val="0"/>
          <w:szCs w:val="24"/>
          <w:rtl/>
        </w:rPr>
        <w:t xml:space="preserve"> </w:t>
      </w:r>
      <w:r w:rsidRPr="00E532FF">
        <w:rPr>
          <w:rFonts w:cs="Simplified Arabic"/>
          <w:b/>
          <w:bCs w:val="0"/>
          <w:szCs w:val="24"/>
          <w:rtl/>
        </w:rPr>
        <w:t>جغرافية أخرى وعلى أنواع أخرى واستخدامات أخرى،</w:t>
      </w:r>
      <w:r w:rsidRPr="00E532FF">
        <w:rPr>
          <w:rFonts w:cs="Simplified Arabic" w:hint="cs"/>
          <w:b/>
          <w:bCs w:val="0"/>
          <w:szCs w:val="24"/>
          <w:rtl/>
        </w:rPr>
        <w:t xml:space="preserve"> </w:t>
      </w:r>
      <w:r w:rsidRPr="00E532FF">
        <w:rPr>
          <w:rFonts w:cs="Simplified Arabic"/>
          <w:b/>
          <w:bCs w:val="0"/>
          <w:szCs w:val="24"/>
          <w:rtl/>
        </w:rPr>
        <w:t xml:space="preserve">نظرا لأن الإرشادات الطوعية لقطاع </w:t>
      </w:r>
      <w:r>
        <w:rPr>
          <w:rFonts w:cs="Simplified Arabic" w:hint="cs"/>
          <w:b/>
          <w:bCs w:val="0"/>
          <w:szCs w:val="24"/>
          <w:rtl/>
        </w:rPr>
        <w:t xml:space="preserve">مستدام </w:t>
      </w:r>
      <w:r w:rsidRPr="00E532FF">
        <w:rPr>
          <w:rFonts w:cs="Simplified Arabic"/>
          <w:b/>
          <w:bCs w:val="0"/>
          <w:szCs w:val="24"/>
          <w:rtl/>
        </w:rPr>
        <w:t>للحوم البرية</w:t>
      </w:r>
      <w:r w:rsidRPr="00E532FF">
        <w:rPr>
          <w:rFonts w:cs="Simplified Arabic" w:hint="cs"/>
          <w:b/>
          <w:bCs w:val="0"/>
          <w:szCs w:val="24"/>
          <w:rtl/>
        </w:rPr>
        <w:t xml:space="preserve"> </w:t>
      </w:r>
      <w:r w:rsidRPr="00E532FF">
        <w:rPr>
          <w:rFonts w:cs="Simplified Arabic"/>
          <w:b/>
          <w:bCs w:val="0"/>
          <w:szCs w:val="24"/>
          <w:rtl/>
        </w:rPr>
        <w:t>قابلة للتطبيق فقط في بعض مناطق الموائل الأرضية المدارية وشبه المدارية، والمناطق الأحيائية والنظم الإيكولوجية؛</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(ب)</w:t>
      </w:r>
      <w:r w:rsidRPr="00E532FF">
        <w:rPr>
          <w:rFonts w:cs="Simplified Arabic"/>
          <w:b/>
          <w:bCs w:val="0"/>
          <w:szCs w:val="24"/>
          <w:rtl/>
        </w:rPr>
        <w:tab/>
        <w:t>تعزيز وتيسير استخدام أدوات الرصد وقواعد البيانات، من خلال تبادل الممارسات الجيدة والدروس المستفادة بين الأطراف والحكومات والمنظمات الأخرى ذات الصلة، بغية تحسين المعلومات عن الاستخدام المستدام للأحياء البرية، بما في ذلك صيد الأحياء البرية، واستهلاكها والتجارة بها ومبيعاتها وقضايا المشروعية؛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lastRenderedPageBreak/>
        <w:t>(ج)</w:t>
      </w:r>
      <w:r w:rsidRPr="00E532FF">
        <w:rPr>
          <w:rFonts w:cs="Simplified Arabic"/>
          <w:b/>
          <w:bCs w:val="0"/>
          <w:szCs w:val="24"/>
          <w:rtl/>
        </w:rPr>
        <w:tab/>
        <w:t xml:space="preserve">مواصلة </w:t>
      </w:r>
      <w:r w:rsidRPr="00E532FF">
        <w:rPr>
          <w:rFonts w:cs="Simplified Arabic" w:hint="cs"/>
          <w:b/>
          <w:bCs w:val="0"/>
          <w:szCs w:val="24"/>
          <w:rtl/>
        </w:rPr>
        <w:t>تقييم</w:t>
      </w:r>
      <w:r w:rsidRPr="00E532FF">
        <w:rPr>
          <w:rFonts w:cs="Simplified Arabic"/>
          <w:b/>
          <w:bCs w:val="0"/>
          <w:szCs w:val="24"/>
          <w:rtl/>
        </w:rPr>
        <w:t xml:space="preserve"> النُهج متعددة التخصصات للجمع بين أفضل المعارف عن استخدام اللحوم البرية والتجارة بها، مع مراعاة معارف وابتكارات وممارسات الشعوب الأصلية والمجتمعات المحلية وبدائل سبل العيش للاستخدام المألوف المستدام للأحياء البرية،</w:t>
      </w:r>
      <w:r w:rsidRPr="00E532FF">
        <w:rPr>
          <w:rFonts w:cs="Simplified Arabic" w:hint="cs"/>
          <w:b/>
          <w:bCs w:val="0"/>
          <w:szCs w:val="24"/>
          <w:rtl/>
        </w:rPr>
        <w:t xml:space="preserve"> </w:t>
      </w:r>
      <w:r w:rsidRPr="00E532FF">
        <w:rPr>
          <w:rFonts w:cs="Simplified Arabic"/>
          <w:b/>
          <w:bCs w:val="0"/>
          <w:szCs w:val="24"/>
          <w:rtl/>
        </w:rPr>
        <w:t xml:space="preserve">وربما إدراج فهم لتصنيف وإيكولوجية الأنواع المعنية، واستعراض الأطر القانونية وتعزيزها، وتحديد وتعزيز </w:t>
      </w:r>
      <w:r>
        <w:rPr>
          <w:rFonts w:cs="Simplified Arabic" w:hint="cs"/>
          <w:b/>
          <w:bCs w:val="0"/>
          <w:szCs w:val="24"/>
          <w:rtl/>
        </w:rPr>
        <w:t xml:space="preserve">أفضل </w:t>
      </w:r>
      <w:r w:rsidRPr="00E532FF">
        <w:rPr>
          <w:rFonts w:cs="Simplified Arabic"/>
          <w:b/>
          <w:bCs w:val="0"/>
          <w:szCs w:val="24"/>
          <w:rtl/>
        </w:rPr>
        <w:t xml:space="preserve">الممارسات لإدارة واستخدام </w:t>
      </w:r>
      <w:r>
        <w:rPr>
          <w:rFonts w:cs="Simplified Arabic" w:hint="cs"/>
          <w:b/>
          <w:bCs w:val="0"/>
          <w:szCs w:val="24"/>
          <w:rtl/>
        </w:rPr>
        <w:t>ا</w:t>
      </w:r>
      <w:r w:rsidRPr="00E532FF">
        <w:rPr>
          <w:rFonts w:cs="Simplified Arabic"/>
          <w:b/>
          <w:bCs w:val="0"/>
          <w:szCs w:val="24"/>
          <w:rtl/>
        </w:rPr>
        <w:t>لأحياء البرية</w:t>
      </w:r>
      <w:r>
        <w:rPr>
          <w:rFonts w:cs="Simplified Arabic" w:hint="cs"/>
          <w:b/>
          <w:bCs w:val="0"/>
          <w:szCs w:val="24"/>
          <w:rtl/>
        </w:rPr>
        <w:t xml:space="preserve"> على نحو مستدام</w:t>
      </w:r>
      <w:r w:rsidRPr="00E532FF">
        <w:rPr>
          <w:rFonts w:cs="Simplified Arabic"/>
          <w:b/>
          <w:bCs w:val="0"/>
          <w:szCs w:val="24"/>
          <w:rtl/>
        </w:rPr>
        <w:t>، ودراسة توفير بدائل الغذاء وسبل العيش البديلة المتعلقة بالاستخدام المألوف المستدام للأحياء البرية، بما من خلال جملة أمور منها استعراض الأنشطة القائمة المتعلقة بالشراكة؛</w:t>
      </w:r>
    </w:p>
    <w:p w:rsidR="00D21AB0" w:rsidRPr="00E532FF" w:rsidRDefault="00D21AB0" w:rsidP="00D21AB0">
      <w:pPr>
        <w:pStyle w:val="Para1"/>
        <w:numPr>
          <w:ilvl w:val="0"/>
          <w:numId w:val="0"/>
        </w:numPr>
        <w:bidi/>
        <w:spacing w:before="0" w:line="216" w:lineRule="auto"/>
        <w:ind w:firstLine="720"/>
        <w:rPr>
          <w:rFonts w:cs="Simplified Arabic"/>
          <w:b/>
          <w:bCs w:val="0"/>
          <w:kern w:val="22"/>
          <w:szCs w:val="24"/>
        </w:rPr>
      </w:pPr>
      <w:r w:rsidRPr="00E532FF">
        <w:rPr>
          <w:rFonts w:cs="Simplified Arabic"/>
          <w:b/>
          <w:bCs w:val="0"/>
          <w:szCs w:val="24"/>
          <w:rtl/>
        </w:rPr>
        <w:t>(د)</w:t>
      </w:r>
      <w:r w:rsidRPr="00E532FF">
        <w:rPr>
          <w:rFonts w:cs="Simplified Arabic"/>
          <w:b/>
          <w:bCs w:val="0"/>
          <w:szCs w:val="24"/>
          <w:rtl/>
        </w:rPr>
        <w:tab/>
        <w:t>التواصل مع الأمين</w:t>
      </w:r>
      <w:r>
        <w:rPr>
          <w:rFonts w:cs="Simplified Arabic" w:hint="cs"/>
          <w:b/>
          <w:bCs w:val="0"/>
          <w:szCs w:val="24"/>
          <w:rtl/>
        </w:rPr>
        <w:t>ة</w:t>
      </w:r>
      <w:r w:rsidRPr="00E532FF">
        <w:rPr>
          <w:rFonts w:cs="Simplified Arabic"/>
          <w:b/>
          <w:bCs w:val="0"/>
          <w:szCs w:val="24"/>
          <w:rtl/>
        </w:rPr>
        <w:t xml:space="preserve"> التنفيذي</w:t>
      </w:r>
      <w:r>
        <w:rPr>
          <w:rFonts w:cs="Simplified Arabic" w:hint="cs"/>
          <w:b/>
          <w:bCs w:val="0"/>
          <w:szCs w:val="24"/>
          <w:rtl/>
        </w:rPr>
        <w:t>ة</w:t>
      </w:r>
      <w:r w:rsidRPr="00E532FF">
        <w:rPr>
          <w:rFonts w:cs="Simplified Arabic"/>
          <w:b/>
          <w:bCs w:val="0"/>
          <w:szCs w:val="24"/>
          <w:rtl/>
        </w:rPr>
        <w:t xml:space="preserve"> للمنبر الحكومي الدولي للعلوم والسياسات في مجال التنوع البيولوجي وخدمات النظم الإيكولوجية، </w:t>
      </w:r>
      <w:r>
        <w:rPr>
          <w:rFonts w:cs="Simplified Arabic" w:hint="cs"/>
          <w:b/>
          <w:bCs w:val="0"/>
          <w:szCs w:val="24"/>
          <w:rtl/>
        </w:rPr>
        <w:t>بهدف</w:t>
      </w:r>
      <w:r w:rsidRPr="00E532FF">
        <w:rPr>
          <w:rFonts w:cs="Simplified Arabic"/>
          <w:b/>
          <w:bCs w:val="0"/>
          <w:szCs w:val="24"/>
          <w:rtl/>
        </w:rPr>
        <w:t xml:space="preserve"> تيسير النشر المناسب لنتائج التقييم المتعلق بالاستخدام المستدام للتنوع البيولوجي وحفظه، من أجل المساعدة على تعزيز القدرات والأدوات؛</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(ﻫ)</w:t>
      </w:r>
      <w:r w:rsidRPr="00E532FF">
        <w:rPr>
          <w:rFonts w:cs="Simplified Arabic"/>
          <w:b/>
          <w:bCs w:val="0"/>
          <w:szCs w:val="24"/>
          <w:rtl/>
        </w:rPr>
        <w:tab/>
        <w:t>رفع تقارير عن التقدم المحرز بشأن الأنشطة المذكورة في الفقرات 9(أ) إلى (د) أعلاه إلى الهيئة الفرعية للمشورة العلمية والتقنية والتكنولوجية خلال اجتماع يعقد قبل انعقاد الاجتماع الخامس عشر لمؤتمر الأطراف.</w:t>
      </w:r>
    </w:p>
    <w:p w:rsidR="00D21AB0" w:rsidRPr="00E532FF" w:rsidRDefault="00D21AB0" w:rsidP="005C478D">
      <w:pPr>
        <w:jc w:val="center"/>
        <w:rPr>
          <w:i/>
          <w:kern w:val="22"/>
        </w:rPr>
      </w:pPr>
      <w:bookmarkStart w:id="17" w:name="_Toc6071550"/>
      <w:bookmarkStart w:id="18" w:name="_Toc6135987"/>
      <w:r w:rsidRPr="00E532FF">
        <w:rPr>
          <w:i/>
          <w:iCs/>
          <w:rtl/>
        </w:rPr>
        <w:t>المرفق</w:t>
      </w:r>
      <w:bookmarkEnd w:id="17"/>
      <w:bookmarkEnd w:id="18"/>
    </w:p>
    <w:p w:rsidR="00D21AB0" w:rsidRPr="00E532FF" w:rsidRDefault="00D21AB0" w:rsidP="00D21AB0">
      <w:pPr>
        <w:pStyle w:val="HEADINGNOTFORTOC"/>
        <w:keepNext w:val="0"/>
        <w:tabs>
          <w:tab w:val="clear" w:pos="720"/>
        </w:tabs>
        <w:bidi/>
        <w:spacing w:before="0" w:line="216" w:lineRule="auto"/>
        <w:outlineLvl w:val="9"/>
        <w:rPr>
          <w:rFonts w:cs="Simplified Arabic"/>
          <w:kern w:val="22"/>
        </w:rPr>
      </w:pPr>
      <w:r w:rsidRPr="00E532FF">
        <w:rPr>
          <w:rFonts w:cs="Simplified Arabic" w:hint="cs"/>
          <w:bCs/>
          <w:rtl/>
        </w:rPr>
        <w:t>ال</w:t>
      </w:r>
      <w:r w:rsidRPr="00E532FF">
        <w:rPr>
          <w:rFonts w:cs="Simplified Arabic"/>
          <w:bCs/>
          <w:rtl/>
        </w:rPr>
        <w:t xml:space="preserve">إرشادات </w:t>
      </w:r>
      <w:r w:rsidRPr="00E532FF">
        <w:rPr>
          <w:rFonts w:cs="Simplified Arabic" w:hint="cs"/>
          <w:bCs/>
          <w:rtl/>
        </w:rPr>
        <w:t xml:space="preserve">الطوعية </w:t>
      </w:r>
      <w:r w:rsidRPr="00E532FF">
        <w:rPr>
          <w:rFonts w:cs="Simplified Arabic"/>
          <w:bCs/>
          <w:rtl/>
        </w:rPr>
        <w:t xml:space="preserve">لقطاع </w:t>
      </w:r>
      <w:r w:rsidRPr="00E532FF">
        <w:rPr>
          <w:rFonts w:cs="Simplified Arabic" w:hint="cs"/>
          <w:bCs/>
          <w:rtl/>
        </w:rPr>
        <w:t xml:space="preserve">مستدام </w:t>
      </w:r>
      <w:r w:rsidRPr="00E532FF">
        <w:rPr>
          <w:rFonts w:cs="Simplified Arabic"/>
          <w:bCs/>
          <w:rtl/>
        </w:rPr>
        <w:t>للحوم البرية</w:t>
      </w:r>
      <w:r w:rsidRPr="00E532FF">
        <w:rPr>
          <w:rStyle w:val="FootnoteReference"/>
          <w:rFonts w:eastAsia="YouYuan"/>
          <w:bCs/>
          <w:rtl/>
        </w:rPr>
        <w:footnoteReference w:id="101"/>
      </w:r>
    </w:p>
    <w:p w:rsidR="00D21AB0" w:rsidRPr="00E532FF" w:rsidRDefault="00D21AB0" w:rsidP="00D21AB0">
      <w:pPr>
        <w:pStyle w:val="HEADINGNOTFORTOC"/>
        <w:keepNext w:val="0"/>
        <w:tabs>
          <w:tab w:val="clear" w:pos="720"/>
        </w:tabs>
        <w:bidi/>
        <w:spacing w:before="0" w:line="216" w:lineRule="auto"/>
        <w:outlineLvl w:val="9"/>
        <w:rPr>
          <w:rFonts w:cs="Simplified Arabic"/>
          <w:color w:val="000000"/>
          <w:kern w:val="22"/>
        </w:rPr>
      </w:pPr>
      <w:r w:rsidRPr="00E532FF">
        <w:rPr>
          <w:rFonts w:cs="Simplified Arabic"/>
          <w:bCs/>
          <w:rtl/>
        </w:rPr>
        <w:t>السياق: اللحوم البرية، والأمن الغذائي وسبل العي</w:t>
      </w:r>
      <w:r w:rsidRPr="00E532FF">
        <w:rPr>
          <w:rFonts w:cs="Simplified Arabic" w:hint="cs"/>
          <w:bCs/>
          <w:rtl/>
        </w:rPr>
        <w:t>ش</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bidi="ar-EG"/>
        </w:rPr>
      </w:pPr>
      <w:r w:rsidRPr="00E532FF">
        <w:rPr>
          <w:rFonts w:cs="Simplified Arabic"/>
          <w:b/>
          <w:bCs w:val="0"/>
          <w:i/>
          <w:szCs w:val="24"/>
          <w:rtl/>
        </w:rPr>
        <w:t>يمكن صيد الحيوانات البرية لغرض الإعاشة، والأغراض التجارية، والترفيهية. وفي صيد الإعاشة، فإن المنافع التي يحصل عليها من الأحياء البرية (وخصوصا الغذاء) يتم استهلاكها أو استخدامها مباشرة من جانب الصياد وأسرته. وعلاوة على ذلك، يعتمد الأمن الغذائي وسبل العيش لكثير من السكان الريفيين في المناطق المدارية وشبه المدارية على استخدام الحيوانات البرية والمتاجرة بها.</w:t>
      </w:r>
      <w:r w:rsidRPr="00E532FF">
        <w:rPr>
          <w:rStyle w:val="FootnoteReference"/>
          <w:b/>
          <w:bCs w:val="0"/>
          <w:i/>
          <w:rtl/>
        </w:rPr>
        <w:footnoteReference w:id="102"/>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bidi="ar-EG"/>
        </w:rPr>
      </w:pPr>
      <w:r w:rsidRPr="00327012">
        <w:rPr>
          <w:rFonts w:cs="Simplified Arabic"/>
          <w:b/>
          <w:bCs w:val="0"/>
          <w:szCs w:val="24"/>
          <w:rtl/>
        </w:rPr>
        <w:t>وقد استخدمت اللحوم البرية منذ زمن طويل كمصدر غذائي لملايين الناس في مناطق كثيرة من العالم، في البلدان المتقدمة والنامية على السواء. فعلى سبيل المثال، في بعض المجتمعات الريفية في البلدان النامية المدارية، نجد أن اللحوم البرية توفر تقريبا كل البروتين في الوجبة الغذائية. وفي أفريقيا الوسطى، من المقدر أن أكثر من 4 ملايين طن من اللحوم البرية يتم استهلاكها كل عام، ومعظمها يورد إلى المناطق الحضرية.</w:t>
      </w:r>
      <w:r w:rsidRPr="00E532FF">
        <w:rPr>
          <w:rStyle w:val="FootnoteReference"/>
          <w:b/>
          <w:bCs w:val="0"/>
          <w:rtl/>
        </w:rPr>
        <w:footnoteReference w:id="103"/>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bidi="ar-EG"/>
        </w:rPr>
      </w:pPr>
      <w:r w:rsidRPr="00327012">
        <w:rPr>
          <w:rFonts w:cs="Simplified Arabic"/>
          <w:b/>
          <w:bCs w:val="0"/>
          <w:szCs w:val="24"/>
          <w:rtl/>
        </w:rPr>
        <w:t xml:space="preserve">وكان الاستغلال المتزايد للموارد مدفوعا بالأعداد المتزايدة للسكان، والتقدم في تقنيات الصيد وظهور تجارة رائجة للحوم البرية. وقد سببت معدلات الصيد غير المسبوقة تدهورا في أعداد أحياء برية كثيرة وعرضت للخطر الأنواع الأساسية الحرجة لتشغيل النظم الإيكولوجية. وأدى الصيد غير القانوني وغير المنظم إلى ضغط متزايد على الصيد، بجانب المعدلات المرتفعة لتدمير الموائل والتحويل </w:t>
      </w:r>
      <w:r w:rsidRPr="00327012">
        <w:rPr>
          <w:rFonts w:cs="Simplified Arabic"/>
          <w:b/>
          <w:bCs w:val="0"/>
          <w:spacing w:val="-8"/>
          <w:szCs w:val="24"/>
          <w:rtl/>
        </w:rPr>
        <w:t>في المناطق الحرجية المدارية إلى تزايد احتمال تضاؤل إمدادات</w:t>
      </w:r>
      <w:r w:rsidRPr="00327012">
        <w:rPr>
          <w:rFonts w:cs="Simplified Arabic" w:hint="cs"/>
          <w:b/>
          <w:bCs w:val="0"/>
          <w:spacing w:val="-8"/>
          <w:szCs w:val="24"/>
          <w:rtl/>
        </w:rPr>
        <w:t xml:space="preserve"> </w:t>
      </w:r>
      <w:r w:rsidRPr="00327012">
        <w:rPr>
          <w:rFonts w:cs="Simplified Arabic"/>
          <w:b/>
          <w:bCs w:val="0"/>
          <w:spacing w:val="-8"/>
          <w:szCs w:val="24"/>
          <w:rtl/>
        </w:rPr>
        <w:t>اللحوم البرية في بعض البلدان المدارية وشبه المدارية.</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bidi="ar-EG"/>
        </w:rPr>
      </w:pPr>
      <w:r w:rsidRPr="00327012">
        <w:rPr>
          <w:rFonts w:cs="Simplified Arabic"/>
          <w:b/>
          <w:bCs w:val="0"/>
          <w:szCs w:val="24"/>
          <w:rtl/>
        </w:rPr>
        <w:t xml:space="preserve">وسيؤثر فقدان الأحياء البرية على توافر مصادر البروتينات والدهون الحيوانية لأعداد لا يمكن حصرها من الناس ويبدأ أيضا في تغييرات متتالية في النظم الإيكولوجية إذ أن الأنواع التي تلعب دورا مهما في وظائف النظم الإيكولوجية (مثل </w:t>
      </w:r>
      <w:r w:rsidRPr="00327012">
        <w:rPr>
          <w:rFonts w:cs="Simplified Arabic"/>
          <w:b/>
          <w:bCs w:val="0"/>
          <w:szCs w:val="24"/>
          <w:rtl/>
        </w:rPr>
        <w:lastRenderedPageBreak/>
        <w:t>ناشرات البذور، ومفترسي البذور، ومراقبة أنواع الفرائس) يتم القضاء عليها من خلال الصيد الجائر. ويخلق فقدان التفاعلات الإيكولوجية هذا اختلالات داخلية في النظام الإيكولوجي التي بدورها تقلل بدرجة خطيرة وظائف وخدمات النظم الإيكولوجية، بما فيها توفير المركبات الصيدلانية، وعوامل المكافحة البيولوجية، وموارد الأغذية وتنظيم الأمراض.</w:t>
      </w:r>
      <w:r w:rsidRPr="00E532FF">
        <w:rPr>
          <w:rStyle w:val="FootnoteReference"/>
          <w:b/>
          <w:bCs w:val="0"/>
          <w:rtl/>
        </w:rPr>
        <w:footnoteReference w:id="104"/>
      </w:r>
      <w:r w:rsidRPr="00327012">
        <w:rPr>
          <w:rFonts w:cs="Simplified Arabic"/>
          <w:b/>
          <w:bCs w:val="0"/>
          <w:szCs w:val="24"/>
          <w:rtl/>
        </w:rPr>
        <w:t xml:space="preserve"> وعلاوة على ذلك، تتعرض الآن لخطر الانقراض نسبة تتراوح بين 23 و36 في المائة من الطيور، والثدييات، والبرمائيات المستخدمة لغرض الغذاء أو الدواء.</w:t>
      </w:r>
      <w:r w:rsidRPr="00E532FF">
        <w:rPr>
          <w:rStyle w:val="FootnoteReference"/>
          <w:b/>
          <w:bCs w:val="0"/>
          <w:rtl/>
        </w:rPr>
        <w:footnoteReference w:id="105"/>
      </w:r>
    </w:p>
    <w:p w:rsidR="00D21AB0" w:rsidRPr="00327012"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bidi="ar-EG"/>
        </w:rPr>
      </w:pPr>
      <w:r w:rsidRPr="00327012">
        <w:rPr>
          <w:rFonts w:cs="Simplified Arabic"/>
          <w:b/>
          <w:bCs w:val="0"/>
          <w:szCs w:val="24"/>
          <w:rtl/>
        </w:rPr>
        <w:t>وقد تتمثل الدوافع الرئيسية للمستويات غير المستدامة للصيد في العدد المتزايد للسكان والتجارة من المناطق الريفية إلى المناطق الحضرية،</w:t>
      </w:r>
      <w:r w:rsidRPr="00327012">
        <w:rPr>
          <w:rFonts w:cs="Simplified Arabic" w:hint="cs"/>
          <w:b/>
          <w:bCs w:val="0"/>
          <w:szCs w:val="24"/>
          <w:rtl/>
        </w:rPr>
        <w:t xml:space="preserve"> في بعض البلدان،</w:t>
      </w:r>
      <w:r w:rsidRPr="00327012">
        <w:rPr>
          <w:rFonts w:cs="Simplified Arabic"/>
          <w:b/>
          <w:bCs w:val="0"/>
          <w:szCs w:val="24"/>
          <w:rtl/>
        </w:rPr>
        <w:t xml:space="preserve"> مع غياب أي قطاع محلي كبير للحوم يمكنه تقديم بديل للحوم البرية. وحتى في حالة وصول المستهلكين في المدن إلى موارد اللحوم المدجنة، فهي عادة ما تكون مستوردة و/أو باهظة الثمن، وتظل اللحوم البرية جزءا مهما من غذائهم. وفي مناطق المدن الكبرى الواقعة بعيدا عن موارد الأحياء البرية، لم تعد اللحوم البرية ضرورة غذائية للأسر ولكن في بعض السياقات التقليدية والثقافية، فهي </w:t>
      </w:r>
      <w:r w:rsidRPr="00327012">
        <w:rPr>
          <w:rFonts w:ascii="Times New Roman Bold" w:hAnsi="Times New Roman Bold" w:cs="Simplified Arabic"/>
          <w:b/>
          <w:bCs w:val="0"/>
          <w:spacing w:val="-4"/>
          <w:szCs w:val="24"/>
          <w:rtl/>
        </w:rPr>
        <w:t>ما زالت سلعة كمالية مهمة أو سلعة مستهلكة من حين إلى آخر.</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rtl/>
          <w:lang w:eastAsia="ja-JP"/>
        </w:rPr>
      </w:pPr>
      <w:r w:rsidRPr="005672F4">
        <w:rPr>
          <w:rFonts w:cs="Simplified Arabic"/>
          <w:b/>
          <w:bCs w:val="0"/>
          <w:szCs w:val="24"/>
          <w:rtl/>
        </w:rPr>
        <w:t xml:space="preserve">وفي الوقت ذاته، تنحصر موائل الأحياء البرية مع تحويل </w:t>
      </w:r>
      <w:r w:rsidRPr="00E532FF">
        <w:rPr>
          <w:rFonts w:cs="Simplified Arabic"/>
          <w:b/>
          <w:bCs w:val="0"/>
          <w:szCs w:val="24"/>
          <w:rtl/>
        </w:rPr>
        <w:t>الأراضي إلى السلع الزراعية للوفاء بالطلب من الأعداد المتزايدة من البشر</w:t>
      </w:r>
      <w:r>
        <w:rPr>
          <w:rFonts w:cs="Simplified Arabic" w:hint="cs"/>
          <w:b/>
          <w:bCs w:val="0"/>
          <w:szCs w:val="24"/>
          <w:rtl/>
        </w:rPr>
        <w:t>،</w:t>
      </w:r>
      <w:r w:rsidRPr="00E532FF">
        <w:rPr>
          <w:rFonts w:cs="Simplified Arabic"/>
          <w:b/>
          <w:bCs w:val="0"/>
          <w:szCs w:val="24"/>
          <w:rtl/>
        </w:rPr>
        <w:t xml:space="preserve"> واستخراج الموارد الطبيعية (مثل الأخشاب، والتعدين)، وتوسع المستوطنات البشرية. ويمكن أن يقلل تحويل استخدام الأراضي أيضا من حجم الأراضي المستخدمة من الشعوب الأصلية والمجتمعات المحلية للصيد المألوف، مما يفرض ضغطا متزايدا على الموارد المتبقية من الأحياء البرية داخل أقاليم أصغر متزايدة، ويؤثر في الغالب على شرعية قوانين الصيد المألوف وفاعليتها. غير أنه ينبغي إيلاء مزيد من الاهتمام للمساهمات الإيجابية التي تتعلق بالفوائد التي تعود على سبل العيش والنمو الاقتصادي المحلي والصلات بالتكيف مع تغير المناخ، والتي يمكن أن توفر حوافز لتحسين إدارة موارد ال</w:t>
      </w:r>
      <w:r>
        <w:rPr>
          <w:rFonts w:cs="Simplified Arabic" w:hint="cs"/>
          <w:b/>
          <w:bCs w:val="0"/>
          <w:szCs w:val="24"/>
          <w:rtl/>
        </w:rPr>
        <w:t>أحياء</w:t>
      </w:r>
      <w:r w:rsidRPr="00E532FF">
        <w:rPr>
          <w:rFonts w:cs="Simplified Arabic"/>
          <w:b/>
          <w:bCs w:val="0"/>
          <w:szCs w:val="24"/>
          <w:rtl/>
        </w:rPr>
        <w:t xml:space="preserve"> البرية.</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rPr>
      </w:pPr>
      <w:r w:rsidRPr="00327012">
        <w:rPr>
          <w:rFonts w:cs="Simplified Arabic"/>
          <w:b/>
          <w:bCs w:val="0"/>
          <w:szCs w:val="24"/>
          <w:rtl/>
        </w:rPr>
        <w:t xml:space="preserve">والأحياء البرية عادة ينتقص من قدرها، استنادا إلى الإنتاجية والعدد، بالمقارنة إلى الحيوانات المدجنة. ولكن في بعض السياقات، تكون الأحياء البرية أكثر تنافسا مع الثروة الحيوانية، لا سيما عند الأخذ في الحسبان الاستخدامات </w:t>
      </w:r>
      <w:r w:rsidRPr="00327012">
        <w:rPr>
          <w:rFonts w:cs="Simplified Arabic" w:hint="cs"/>
          <w:b/>
          <w:bCs w:val="0"/>
          <w:szCs w:val="24"/>
          <w:rtl/>
        </w:rPr>
        <w:t>المختلفة</w:t>
      </w:r>
      <w:r w:rsidRPr="00327012">
        <w:rPr>
          <w:rFonts w:cs="Simplified Arabic"/>
          <w:b/>
          <w:bCs w:val="0"/>
          <w:szCs w:val="24"/>
          <w:rtl/>
        </w:rPr>
        <w:t>، مثل السياحة الإيكولوجية، والصيد، واللحوم ومنافع</w:t>
      </w:r>
      <w:r w:rsidRPr="00327012">
        <w:rPr>
          <w:rFonts w:cs="Simplified Arabic" w:hint="cs"/>
          <w:b/>
          <w:bCs w:val="0"/>
          <w:szCs w:val="24"/>
          <w:rtl/>
        </w:rPr>
        <w:t xml:space="preserve"> النظام الإيكولوجي</w:t>
      </w:r>
      <w:r w:rsidRPr="00327012">
        <w:rPr>
          <w:rFonts w:cs="Simplified Arabic"/>
          <w:b/>
          <w:bCs w:val="0"/>
          <w:szCs w:val="24"/>
          <w:rtl/>
        </w:rPr>
        <w:t xml:space="preserve"> الأخرى.</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rPr>
      </w:pPr>
      <w:r w:rsidRPr="00327012">
        <w:rPr>
          <w:rFonts w:cs="Simplified Arabic"/>
          <w:b/>
          <w:bCs w:val="0"/>
          <w:szCs w:val="24"/>
          <w:rtl/>
        </w:rPr>
        <w:t>ونظرا لأن الصيد غير المستدام للحوم البرية يعتبر تهديدا رئيسيا لإيكولوجيا النظم الإيكولوجية المدارية وشبه المدارية، ويؤثر مباشرة في الكثير من الأنواع المهددة بالانقراض، فضلا عن سبل عيش الشعوب الأصلية والمجتمعات المحلية، والأمن الغذائي و</w:t>
      </w:r>
      <w:r w:rsidRPr="00327012">
        <w:rPr>
          <w:rFonts w:cs="Simplified Arabic" w:hint="cs"/>
          <w:b/>
          <w:bCs w:val="0"/>
          <w:szCs w:val="24"/>
          <w:rtl/>
        </w:rPr>
        <w:t>الصحة</w:t>
      </w:r>
      <w:r w:rsidRPr="00327012">
        <w:rPr>
          <w:rFonts w:cs="Simplified Arabic"/>
          <w:b/>
          <w:bCs w:val="0"/>
          <w:szCs w:val="24"/>
          <w:rtl/>
        </w:rPr>
        <w:t>، هناك حاجة ملحة إلى تعزيز استجابات السياسات العامة داخل إطار اجتماعي اقتصادي وثقافي وإيكولوجي أكثر تكاملا وإطار الصحة العامة.</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rPr>
      </w:pPr>
      <w:r w:rsidRPr="00327012">
        <w:rPr>
          <w:rFonts w:cs="Simplified Arabic"/>
          <w:b/>
          <w:bCs w:val="0"/>
          <w:szCs w:val="24"/>
          <w:rtl/>
        </w:rPr>
        <w:t xml:space="preserve">ويعتبر التخفيف من تأثيرات الصيد الجائر مسألة معقدة. وهناك أسباب متعددة للاستغلال المفرط للأحياء البرية ويمكن أن تتفاوت هذه الأسباب على نحو كبير بين الأقاليم. وفي الغالب، توجد مجموعة معقدة من العوامل التي تسهم في الطلب المتزايد على اللحوم البرية والاستغلال المفرط للموارد الناتج عن ذلك. ويمكن أن تشمل هذه العوامل توافر العمالة، والقضايا المتعلقة بحقوق الملكية، ودور المؤسسات، وعدم وجود حوافز لإدارة الموارد على نحو مستدام، والهجرة، والفشل في حصاد المحاصيل وتوافر الغذاء من الثروة الحيوانية، وأنماط الطقس وتغير المناخ، وقطع الأشجار واستخراج الموارد، والرعي الجائر، والزحف العمراني العشوائي، والكوارث الطبيعية، والنزوح، والصيد غير المشروع، وحروب </w:t>
      </w:r>
      <w:r w:rsidRPr="00327012">
        <w:rPr>
          <w:rStyle w:val="shorttext"/>
          <w:rFonts w:cs="Simplified Arabic"/>
          <w:b/>
          <w:bCs w:val="0"/>
          <w:szCs w:val="24"/>
          <w:rtl/>
        </w:rPr>
        <w:t>التجارة غير المشروعة والنزاعات</w:t>
      </w:r>
      <w:r w:rsidRPr="00327012">
        <w:rPr>
          <w:rFonts w:cs="Simplified Arabic"/>
          <w:b/>
          <w:bCs w:val="0"/>
          <w:szCs w:val="24"/>
          <w:rtl/>
        </w:rPr>
        <w:t>. ويؤثر التغير في استخدام الأراضي للاحتياجات الزراعية والصناعية تأثيرا رئيسيا أيضا على موائل الأحياء البرية وسلوك الأحياء البرية.</w:t>
      </w:r>
    </w:p>
    <w:p w:rsidR="00D21AB0"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rPr>
      </w:pPr>
      <w:r w:rsidRPr="00327012">
        <w:rPr>
          <w:rFonts w:cs="Simplified Arabic" w:hint="cs"/>
          <w:b/>
          <w:bCs w:val="0"/>
          <w:szCs w:val="24"/>
          <w:rtl/>
        </w:rPr>
        <w:t>ولا يزال خطر</w:t>
      </w:r>
      <w:r w:rsidRPr="00327012">
        <w:rPr>
          <w:rFonts w:cs="Simplified Arabic"/>
          <w:b/>
          <w:bCs w:val="0"/>
          <w:szCs w:val="24"/>
          <w:rtl/>
        </w:rPr>
        <w:t xml:space="preserve"> مسببات الأمراض الحيوانية المصدر </w:t>
      </w:r>
      <w:r w:rsidRPr="00327012">
        <w:rPr>
          <w:rFonts w:cs="Simplified Arabic" w:hint="cs"/>
          <w:b/>
          <w:bCs w:val="0"/>
          <w:szCs w:val="24"/>
          <w:rtl/>
        </w:rPr>
        <w:t>قائما</w:t>
      </w:r>
      <w:r w:rsidRPr="00327012">
        <w:rPr>
          <w:rFonts w:cs="Simplified Arabic"/>
          <w:b/>
          <w:bCs w:val="0"/>
          <w:szCs w:val="24"/>
          <w:rtl/>
        </w:rPr>
        <w:t xml:space="preserve">. </w:t>
      </w:r>
      <w:r w:rsidRPr="00327012">
        <w:rPr>
          <w:rFonts w:cs="Simplified Arabic" w:hint="cs"/>
          <w:b/>
          <w:bCs w:val="0"/>
          <w:szCs w:val="24"/>
          <w:rtl/>
        </w:rPr>
        <w:t>و</w:t>
      </w:r>
      <w:r w:rsidRPr="00327012">
        <w:rPr>
          <w:rFonts w:cs="Simplified Arabic"/>
          <w:b/>
          <w:bCs w:val="0"/>
          <w:szCs w:val="24"/>
          <w:rtl/>
        </w:rPr>
        <w:t xml:space="preserve">يمكن أن تنشأ </w:t>
      </w:r>
      <w:r w:rsidRPr="00327012">
        <w:rPr>
          <w:rFonts w:cs="Simplified Arabic" w:hint="cs"/>
          <w:b/>
          <w:bCs w:val="0"/>
          <w:szCs w:val="24"/>
          <w:rtl/>
        </w:rPr>
        <w:t>مشاكل صحية ووبائية</w:t>
      </w:r>
      <w:r w:rsidRPr="00327012">
        <w:rPr>
          <w:rFonts w:cs="Simplified Arabic"/>
          <w:b/>
          <w:bCs w:val="0"/>
          <w:szCs w:val="24"/>
          <w:rtl/>
        </w:rPr>
        <w:t xml:space="preserve"> بين البشر وال</w:t>
      </w:r>
      <w:r w:rsidRPr="00327012">
        <w:rPr>
          <w:rFonts w:cs="Simplified Arabic" w:hint="cs"/>
          <w:b/>
          <w:bCs w:val="0"/>
          <w:szCs w:val="24"/>
          <w:rtl/>
        </w:rPr>
        <w:t xml:space="preserve">أحياء </w:t>
      </w:r>
      <w:r w:rsidRPr="00327012">
        <w:rPr>
          <w:rFonts w:cs="Simplified Arabic"/>
          <w:b/>
          <w:bCs w:val="0"/>
          <w:szCs w:val="24"/>
          <w:rtl/>
        </w:rPr>
        <w:t>البرية</w:t>
      </w:r>
      <w:r>
        <w:rPr>
          <w:rFonts w:cs="Simplified Arabic" w:hint="cs"/>
          <w:b/>
          <w:bCs w:val="0"/>
          <w:szCs w:val="24"/>
          <w:rtl/>
        </w:rPr>
        <w:t>.</w:t>
      </w:r>
      <w:r w:rsidRPr="00327012">
        <w:rPr>
          <w:rFonts w:cs="Simplified Arabic"/>
          <w:b/>
          <w:bCs w:val="0"/>
          <w:szCs w:val="24"/>
          <w:rtl/>
        </w:rPr>
        <w:t xml:space="preserve"> </w:t>
      </w:r>
      <w:r w:rsidRPr="00327012">
        <w:rPr>
          <w:rFonts w:cs="Simplified Arabic" w:hint="cs"/>
          <w:b/>
          <w:bCs w:val="0"/>
          <w:szCs w:val="24"/>
          <w:rtl/>
        </w:rPr>
        <w:t>وعلى الرغم من وجود</w:t>
      </w:r>
      <w:r w:rsidRPr="00327012">
        <w:rPr>
          <w:rFonts w:cs="Simplified Arabic"/>
          <w:b/>
          <w:bCs w:val="0"/>
          <w:szCs w:val="24"/>
          <w:rtl/>
        </w:rPr>
        <w:t xml:space="preserve"> معلومات قليلة نسبيا عن إيكولوجيا المناطق المتلقية لها، وعن ديناميات ومخاطر الأمراض </w:t>
      </w:r>
      <w:r w:rsidRPr="00327012">
        <w:rPr>
          <w:rFonts w:cs="Simplified Arabic"/>
          <w:b/>
          <w:bCs w:val="0"/>
          <w:szCs w:val="24"/>
          <w:rtl/>
        </w:rPr>
        <w:lastRenderedPageBreak/>
        <w:t>بالنسبة للناس الذين يحتكون بالأحياء البرية التي يتم صيدها، هناك دليل كاف يوحي بأن الأحياء البرية هي مستودع مهم لمسببات الأمراض الحيوانية</w:t>
      </w:r>
      <w:r w:rsidRPr="00327012">
        <w:rPr>
          <w:rFonts w:cs="Simplified Arabic" w:hint="cs"/>
          <w:b/>
          <w:bCs w:val="0"/>
          <w:szCs w:val="24"/>
          <w:rtl/>
        </w:rPr>
        <w:t xml:space="preserve"> المصدر</w:t>
      </w:r>
      <w:r w:rsidRPr="00327012">
        <w:rPr>
          <w:rFonts w:cs="Simplified Arabic"/>
          <w:b/>
          <w:bCs w:val="0"/>
          <w:szCs w:val="24"/>
          <w:rtl/>
        </w:rPr>
        <w:t xml:space="preserve"> التي يمكن أن ت</w:t>
      </w:r>
      <w:r w:rsidRPr="00327012">
        <w:rPr>
          <w:rFonts w:cs="Simplified Arabic" w:hint="cs"/>
          <w:b/>
          <w:bCs w:val="0"/>
          <w:szCs w:val="24"/>
          <w:rtl/>
        </w:rPr>
        <w:t>شكل</w:t>
      </w:r>
      <w:r w:rsidRPr="00327012">
        <w:rPr>
          <w:rFonts w:cs="Simplified Arabic"/>
          <w:b/>
          <w:bCs w:val="0"/>
          <w:szCs w:val="24"/>
          <w:rtl/>
        </w:rPr>
        <w:t xml:space="preserve"> خطرا واضحا على الصحة العامة من تفشي الأوبئة.</w:t>
      </w:r>
      <w:r w:rsidRPr="00E532FF">
        <w:rPr>
          <w:rStyle w:val="FootnoteReference"/>
          <w:b/>
          <w:bCs w:val="0"/>
          <w:rtl/>
        </w:rPr>
        <w:footnoteReference w:id="106"/>
      </w:r>
      <w:r w:rsidRPr="00327012">
        <w:rPr>
          <w:rFonts w:cs="Simplified Arabic"/>
          <w:b/>
          <w:bCs w:val="0"/>
          <w:szCs w:val="24"/>
          <w:rtl/>
        </w:rPr>
        <w:t xml:space="preserve"> ومن المرجح أن تؤدي أنواع معينة من اللحوم البرية إلى مخاطر عالية نسبيا من تسرب مسببات الأمراض إلى البشر</w:t>
      </w:r>
      <w:r w:rsidRPr="00327012">
        <w:rPr>
          <w:rFonts w:cs="Simplified Arabic" w:hint="cs"/>
          <w:b/>
          <w:bCs w:val="0"/>
          <w:szCs w:val="24"/>
          <w:rtl/>
        </w:rPr>
        <w:t xml:space="preserve"> والماشية</w:t>
      </w:r>
      <w:r w:rsidRPr="00327012">
        <w:rPr>
          <w:rFonts w:cs="Simplified Arabic"/>
          <w:b/>
          <w:bCs w:val="0"/>
          <w:szCs w:val="24"/>
          <w:rtl/>
        </w:rPr>
        <w:t xml:space="preserve">، ويمكن أن يزداد هذا الخطر من خلال ذبح الحيوانات البرية المستخدمة لغرض اللحوم وسلخ جلدها بطريقة غير منظمة وغير مراقبة. ولذلك، يحتاج الأمر إلى نُهج متعددة القطاعات تجمع بين الآليات المناسبة للسياسات العامة من القطاعات مثل الزراعة، والتنوع البيولوجي والأمن الغذائي، والصحة، والبنية التحتية، والتعدين وقطع الأشجار، </w:t>
      </w:r>
      <w:r w:rsidRPr="00E42808">
        <w:rPr>
          <w:rFonts w:ascii="Times New Roman Bold" w:hAnsi="Times New Roman Bold" w:cs="Simplified Arabic"/>
          <w:b/>
          <w:bCs w:val="0"/>
          <w:spacing w:val="-8"/>
          <w:szCs w:val="24"/>
          <w:rtl/>
        </w:rPr>
        <w:t>وذلك لإدارة مستدامة ناجحة للأحياء البرية.</w:t>
      </w:r>
    </w:p>
    <w:p w:rsidR="00D21AB0" w:rsidRPr="00327012"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lang w:eastAsia="ja-JP"/>
        </w:rPr>
      </w:pPr>
      <w:r w:rsidRPr="00327012">
        <w:rPr>
          <w:rFonts w:cs="Simplified Arabic"/>
          <w:b/>
          <w:bCs w:val="0"/>
          <w:szCs w:val="24"/>
          <w:rtl/>
        </w:rPr>
        <w:t xml:space="preserve">وينبغي أن تتضمن النُهج للإدارة المستدامة للأحياء البرية ما يلي: (أ) تحليل للسياسات الوطنية، (ب) تحسين المعارف عن استخدام أنواع اللحوم البرية والاتجار بها، وفهما لإيكولوجيا الأنواع المعنية؛ (ج) واستعراضا للأطر القانونية وتعزيزها، من أجل تصميم أطر السياسات والإدارة التي تحفز على الإدارة المستدامة وتمكن تحقيقها؛ (د) تحديد الفرص والعوائق لتوفير بدائل للأغذية وسبل العيش منتجة بطريقة مستدامة؛ و(ﻫ) </w:t>
      </w:r>
      <w:r>
        <w:rPr>
          <w:rFonts w:cs="Simplified Arabic" w:hint="cs"/>
          <w:b/>
          <w:bCs w:val="0"/>
          <w:szCs w:val="24"/>
          <w:rtl/>
        </w:rPr>
        <w:t>مراعاة</w:t>
      </w:r>
      <w:r w:rsidRPr="00327012">
        <w:rPr>
          <w:rFonts w:cs="Simplified Arabic"/>
          <w:b/>
          <w:bCs w:val="0"/>
          <w:szCs w:val="24"/>
          <w:rtl/>
        </w:rPr>
        <w:t xml:space="preserve"> استخدام الشعوب الأصلية والمجتمعات المحلية وتقاليدها، و(و) قدرات إنفاذ مناسبة. ومع هذه الإجراءات مجتمعة ومدرجة في استراتيجيات وطنية وإقليمية قوية للحوم البرية، هناك إمكانية لتحقيق استخدام أكثر استدامة للأحياء البرية لغرض الغذاء.</w:t>
      </w:r>
    </w:p>
    <w:p w:rsidR="00D21AB0" w:rsidRPr="00E532FF" w:rsidRDefault="00D21AB0" w:rsidP="00103F88">
      <w:pPr>
        <w:pStyle w:val="Para1"/>
        <w:numPr>
          <w:ilvl w:val="0"/>
          <w:numId w:val="0"/>
        </w:numPr>
        <w:bidi/>
        <w:spacing w:before="0" w:line="216" w:lineRule="auto"/>
        <w:jc w:val="center"/>
        <w:rPr>
          <w:rFonts w:cs="Simplified Arabic"/>
          <w:b/>
          <w:kern w:val="22"/>
          <w:szCs w:val="24"/>
        </w:rPr>
      </w:pPr>
      <w:r w:rsidRPr="00E532FF">
        <w:rPr>
          <w:rFonts w:cs="Simplified Arabic"/>
          <w:b/>
          <w:szCs w:val="24"/>
          <w:rtl/>
        </w:rPr>
        <w:t>ثانيا-</w:t>
      </w:r>
      <w:r w:rsidRPr="00E532FF">
        <w:rPr>
          <w:rFonts w:cs="Simplified Arabic"/>
          <w:b/>
          <w:szCs w:val="24"/>
          <w:rtl/>
        </w:rPr>
        <w:tab/>
        <w:t>النطاق والغرض</w:t>
      </w:r>
    </w:p>
    <w:p w:rsidR="00D21AB0" w:rsidRPr="00E532FF" w:rsidRDefault="00D21AB0" w:rsidP="00103F88">
      <w:pPr>
        <w:jc w:val="center"/>
        <w:rPr>
          <w:rFonts w:eastAsia="Calibri"/>
          <w:b/>
          <w:bCs/>
          <w:iCs/>
          <w:snapToGrid w:val="0"/>
          <w:color w:val="000000"/>
          <w:kern w:val="22"/>
        </w:rPr>
      </w:pPr>
      <w:r w:rsidRPr="00E532FF">
        <w:rPr>
          <w:b/>
          <w:bCs/>
          <w:rtl/>
        </w:rPr>
        <w:t>ألف-</w:t>
      </w:r>
      <w:r w:rsidRPr="00E532FF">
        <w:rPr>
          <w:b/>
          <w:bCs/>
          <w:rtl/>
        </w:rPr>
        <w:tab/>
        <w:t>النطاق</w:t>
      </w:r>
    </w:p>
    <w:p w:rsidR="00D21AB0" w:rsidRDefault="00D21AB0" w:rsidP="00FF7FA5">
      <w:pPr>
        <w:pStyle w:val="Para1"/>
        <w:numPr>
          <w:ilvl w:val="0"/>
          <w:numId w:val="23"/>
        </w:numPr>
        <w:bidi/>
        <w:spacing w:before="0" w:line="216" w:lineRule="auto"/>
        <w:ind w:left="0" w:firstLine="0"/>
        <w:rPr>
          <w:rFonts w:cs="Simplified Arabic"/>
          <w:bCs w:val="0"/>
          <w:kern w:val="22"/>
          <w:szCs w:val="24"/>
          <w:lang w:val="en-US" w:eastAsia="ja-JP"/>
        </w:rPr>
      </w:pPr>
      <w:r w:rsidRPr="00E532FF">
        <w:rPr>
          <w:rFonts w:cs="Simplified Arabic"/>
          <w:bCs w:val="0"/>
          <w:szCs w:val="24"/>
          <w:rtl/>
        </w:rPr>
        <w:t>تشير الإدارة المستدامة للأحياء البرية إلى الإدارة السليمة لأنواع الأحياء البرية من أجل الإبقاء على أعدادها وموائلها عبر الزمن، بالنظر إلى الاحتياجات الاجتماعية الاقتصادية لأعداد السكان. ويمكن للأحياء البرية، إذا تمت إدارتها على نحو مستدام، أن توفر التغذية والدخل المستمر إلى الشعوب الأصلية والمجتمعات المحلية على المدى الطويل، و</w:t>
      </w:r>
      <w:r>
        <w:rPr>
          <w:rFonts w:cs="Simplified Arabic" w:hint="cs"/>
          <w:bCs w:val="0"/>
          <w:szCs w:val="24"/>
          <w:rtl/>
        </w:rPr>
        <w:t>ل</w:t>
      </w:r>
      <w:r w:rsidRPr="00E532FF">
        <w:rPr>
          <w:rFonts w:cs="Simplified Arabic"/>
          <w:bCs w:val="0"/>
          <w:szCs w:val="24"/>
          <w:rtl/>
        </w:rPr>
        <w:t>ذلك تسهم في سبل العيش المحلية على نحو كبير، وكذلك تعمل كضمانات لصحة ال</w:t>
      </w:r>
      <w:r>
        <w:rPr>
          <w:rFonts w:cs="Simplified Arabic" w:hint="cs"/>
          <w:bCs w:val="0"/>
          <w:szCs w:val="24"/>
          <w:rtl/>
        </w:rPr>
        <w:t>إنسان</w:t>
      </w:r>
      <w:r w:rsidRPr="00E532FF">
        <w:rPr>
          <w:rFonts w:cs="Simplified Arabic"/>
          <w:bCs w:val="0"/>
          <w:szCs w:val="24"/>
          <w:rtl/>
        </w:rPr>
        <w:t xml:space="preserve"> وصحة البيئة.</w:t>
      </w:r>
    </w:p>
    <w:p w:rsidR="00D21AB0" w:rsidRPr="00327012" w:rsidRDefault="00D21AB0" w:rsidP="00FF7FA5">
      <w:pPr>
        <w:pStyle w:val="Para1"/>
        <w:numPr>
          <w:ilvl w:val="0"/>
          <w:numId w:val="23"/>
        </w:numPr>
        <w:bidi/>
        <w:spacing w:before="0" w:line="216" w:lineRule="auto"/>
        <w:ind w:left="0" w:firstLine="0"/>
        <w:rPr>
          <w:rFonts w:cs="Simplified Arabic"/>
          <w:bCs w:val="0"/>
          <w:kern w:val="22"/>
          <w:szCs w:val="24"/>
          <w:lang w:val="en-US" w:eastAsia="ja-JP"/>
        </w:rPr>
      </w:pPr>
      <w:r w:rsidRPr="00327012">
        <w:rPr>
          <w:rFonts w:cs="Simplified Arabic"/>
          <w:bCs w:val="0"/>
          <w:szCs w:val="24"/>
          <w:rtl/>
        </w:rPr>
        <w:t>وتركز الإرشادات الحالية على اللحوم البرية – التي تعرف لأغراض الإرشادات الحالية على أنها اللحوم البرية للفقاريات الأرضية في الموائل المدارية وشبه المدارية، والمناطق الأحيائية والنظم الإيكولوجية المستخدمة لغرض الغذاء.</w:t>
      </w:r>
      <w:r w:rsidRPr="00E532FF">
        <w:rPr>
          <w:rStyle w:val="FootnoteReference"/>
          <w:bCs w:val="0"/>
          <w:rtl/>
        </w:rPr>
        <w:footnoteReference w:id="107"/>
      </w:r>
      <w:r w:rsidRPr="00327012">
        <w:rPr>
          <w:rFonts w:cs="Simplified Arabic"/>
          <w:bCs w:val="0"/>
          <w:szCs w:val="24"/>
          <w:rtl/>
        </w:rPr>
        <w:t xml:space="preserve"> ويمكن أن يعتبر ذلك مرادفا لمصطلح "لحوم الطرائد". وتعتبر أيضا أسماك المياه العذبة والأسماك البحرية، وفي بعض الأحيان اللافقاريات، مصادر تغذوية مهمة، ولكنها غير مشمولة في المذكرة الحالية.</w:t>
      </w:r>
    </w:p>
    <w:p w:rsidR="005C478D" w:rsidRDefault="005C478D" w:rsidP="00D21AB0">
      <w:pPr>
        <w:jc w:val="center"/>
        <w:rPr>
          <w:b/>
          <w:bCs/>
          <w:rtl/>
        </w:rPr>
      </w:pPr>
    </w:p>
    <w:p w:rsidR="00D21AB0" w:rsidRPr="00E532FF" w:rsidRDefault="00D21AB0" w:rsidP="00D21AB0">
      <w:pPr>
        <w:jc w:val="center"/>
        <w:rPr>
          <w:rFonts w:eastAsia="Calibri"/>
          <w:b/>
          <w:bCs/>
          <w:iCs/>
          <w:snapToGrid w:val="0"/>
          <w:color w:val="000000"/>
          <w:kern w:val="22"/>
        </w:rPr>
      </w:pPr>
      <w:r w:rsidRPr="00E532FF">
        <w:rPr>
          <w:b/>
          <w:bCs/>
          <w:rtl/>
        </w:rPr>
        <w:t>باء-</w:t>
      </w:r>
      <w:r w:rsidRPr="00E532FF">
        <w:rPr>
          <w:b/>
          <w:bCs/>
          <w:rtl/>
        </w:rPr>
        <w:tab/>
        <w:t>الهدف والغاية</w:t>
      </w:r>
    </w:p>
    <w:p w:rsidR="00D21AB0" w:rsidRDefault="00D21AB0" w:rsidP="00FF7FA5">
      <w:pPr>
        <w:pStyle w:val="Para1"/>
        <w:numPr>
          <w:ilvl w:val="0"/>
          <w:numId w:val="23"/>
        </w:numPr>
        <w:bidi/>
        <w:spacing w:before="0" w:line="216" w:lineRule="auto"/>
        <w:ind w:left="0" w:firstLine="0"/>
        <w:rPr>
          <w:rFonts w:cs="Simplified Arabic"/>
          <w:bCs w:val="0"/>
          <w:kern w:val="22"/>
          <w:szCs w:val="24"/>
          <w:lang w:eastAsia="ja-JP"/>
        </w:rPr>
      </w:pPr>
      <w:r w:rsidRPr="00E532FF">
        <w:rPr>
          <w:rFonts w:cs="Simplified Arabic"/>
          <w:bCs w:val="0"/>
          <w:szCs w:val="24"/>
          <w:rtl/>
        </w:rPr>
        <w:t>تقدم المذكرة الحالية إرشادات تقنية تهدف إلى تعزيز الإدارة صوب قطاع لحوم برية مستدام وتشاركي وشامل في المناطق المدارية وشبه المدارية. وتعرض مداخلات محددة للسياقات الريفية والحضرية والدولية للمساعدة في تقليل فقدان التنوع البيولوجي، ولا سيما للأنواع البرية المستخدمة لغرض الغذاء، وكذلك لتحسين الاستخدام المستدام للحوم البرية لغرض رفاه البشر.</w:t>
      </w:r>
    </w:p>
    <w:p w:rsidR="00D21AB0" w:rsidRDefault="00D21AB0" w:rsidP="00FF7FA5">
      <w:pPr>
        <w:pStyle w:val="Para1"/>
        <w:numPr>
          <w:ilvl w:val="0"/>
          <w:numId w:val="23"/>
        </w:numPr>
        <w:bidi/>
        <w:spacing w:before="0" w:line="216" w:lineRule="auto"/>
        <w:ind w:left="0" w:firstLine="0"/>
        <w:rPr>
          <w:rFonts w:cs="Simplified Arabic"/>
          <w:bCs w:val="0"/>
          <w:kern w:val="22"/>
          <w:szCs w:val="24"/>
          <w:lang w:eastAsia="ja-JP"/>
        </w:rPr>
      </w:pPr>
      <w:r w:rsidRPr="00327012">
        <w:rPr>
          <w:rFonts w:cs="Simplified Arabic"/>
          <w:bCs w:val="0"/>
          <w:szCs w:val="24"/>
          <w:rtl/>
        </w:rPr>
        <w:lastRenderedPageBreak/>
        <w:t>ويتمثل الهدف العام من المذكرة الحالية في تيسير إعداد التدابير السياساتية المتكاملة، لتحديد أولوية الإجراءات ودمجها من أجل تحسين استدامة استخدام اللحوم البرية وكذلك تنفيذ الخطة الاستراتيجية للتنوع البيولوجي 2011-2020، وخاصة الأهداف 4 و7 و12 و18 من أهداف أيشي للتنوع البيولوجي.</w:t>
      </w:r>
      <w:r w:rsidRPr="00E532FF">
        <w:rPr>
          <w:rStyle w:val="FootnoteReference"/>
          <w:bCs w:val="0"/>
          <w:rtl/>
        </w:rPr>
        <w:footnoteReference w:id="108"/>
      </w:r>
    </w:p>
    <w:p w:rsidR="00D21AB0" w:rsidRDefault="00D21AB0" w:rsidP="00FF7FA5">
      <w:pPr>
        <w:pStyle w:val="Para1"/>
        <w:numPr>
          <w:ilvl w:val="0"/>
          <w:numId w:val="23"/>
        </w:numPr>
        <w:bidi/>
        <w:spacing w:before="0" w:line="216" w:lineRule="auto"/>
        <w:ind w:left="0" w:firstLine="0"/>
        <w:rPr>
          <w:rFonts w:cs="Simplified Arabic"/>
          <w:bCs w:val="0"/>
          <w:kern w:val="22"/>
          <w:szCs w:val="24"/>
          <w:lang w:eastAsia="ja-JP"/>
        </w:rPr>
      </w:pPr>
      <w:r w:rsidRPr="00327012">
        <w:rPr>
          <w:rFonts w:cs="Simplified Arabic"/>
          <w:bCs w:val="0"/>
          <w:szCs w:val="24"/>
          <w:rtl/>
        </w:rPr>
        <w:t>وبالتالي، تسهم المعلومات الواردة في الإرشادات الحالية في تحقيق الأهداف والالتزامات بموجب اتفاقية التنوع البيولوجي</w:t>
      </w:r>
      <w:r w:rsidRPr="00E532FF">
        <w:rPr>
          <w:rStyle w:val="FootnoteReference"/>
          <w:bCs w:val="0"/>
          <w:rtl/>
        </w:rPr>
        <w:footnoteReference w:id="109"/>
      </w:r>
      <w:r w:rsidRPr="00327012">
        <w:rPr>
          <w:rFonts w:cs="Simplified Arabic"/>
          <w:bCs w:val="0"/>
          <w:szCs w:val="24"/>
          <w:rtl/>
        </w:rPr>
        <w:t xml:space="preserve"> وغيرها من الاتفاقيات، بما في ذلك اتفاقية المحافظة على الأنواع المهاجرة من الحيوانات الفطرية </w:t>
      </w:r>
      <w:r w:rsidRPr="00327012">
        <w:rPr>
          <w:rFonts w:cs="Simplified Arabic"/>
          <w:bCs w:val="0"/>
          <w:szCs w:val="24"/>
          <w:lang w:val="en-CA"/>
        </w:rPr>
        <w:t>(CMS)</w:t>
      </w:r>
      <w:r w:rsidRPr="00327012">
        <w:rPr>
          <w:rFonts w:cs="Simplified Arabic"/>
          <w:bCs w:val="0"/>
          <w:szCs w:val="24"/>
          <w:rtl/>
        </w:rPr>
        <w:t xml:space="preserve">، واتفاقية التجارة الدولية بأنواع الحيوانات والنباتات </w:t>
      </w:r>
      <w:r w:rsidRPr="00327012">
        <w:rPr>
          <w:rFonts w:cs="Simplified Arabic"/>
          <w:bCs w:val="0"/>
          <w:spacing w:val="-8"/>
          <w:szCs w:val="24"/>
          <w:rtl/>
        </w:rPr>
        <w:t xml:space="preserve">البرية المهددة بالانقراض </w:t>
      </w:r>
      <w:r w:rsidRPr="00327012">
        <w:rPr>
          <w:rFonts w:cs="Simplified Arabic"/>
          <w:bCs w:val="0"/>
          <w:spacing w:val="-8"/>
          <w:szCs w:val="24"/>
          <w:lang w:val="en-CA"/>
        </w:rPr>
        <w:t>(CITES)</w:t>
      </w:r>
      <w:r w:rsidRPr="00327012">
        <w:rPr>
          <w:rFonts w:cs="Simplified Arabic"/>
          <w:bCs w:val="0"/>
          <w:spacing w:val="-8"/>
          <w:szCs w:val="24"/>
          <w:rtl/>
        </w:rPr>
        <w:t>، وكذلك خطة التنمية المستدامة لعام 2030.</w:t>
      </w:r>
      <w:r w:rsidRPr="00E532FF">
        <w:rPr>
          <w:rStyle w:val="FootnoteReference"/>
          <w:bCs w:val="0"/>
          <w:spacing w:val="-8"/>
        </w:rPr>
        <w:footnoteReference w:id="110"/>
      </w:r>
    </w:p>
    <w:p w:rsidR="00D21AB0" w:rsidRDefault="00D21AB0" w:rsidP="00FF7FA5">
      <w:pPr>
        <w:pStyle w:val="Para1"/>
        <w:numPr>
          <w:ilvl w:val="0"/>
          <w:numId w:val="23"/>
        </w:numPr>
        <w:bidi/>
        <w:spacing w:before="0" w:line="216" w:lineRule="auto"/>
        <w:ind w:left="0" w:firstLine="0"/>
        <w:rPr>
          <w:rFonts w:cs="Simplified Arabic"/>
          <w:bCs w:val="0"/>
          <w:kern w:val="22"/>
          <w:szCs w:val="24"/>
          <w:lang w:eastAsia="ja-JP"/>
        </w:rPr>
      </w:pPr>
      <w:r w:rsidRPr="00327012">
        <w:rPr>
          <w:rFonts w:cs="Simplified Arabic"/>
          <w:bCs w:val="0"/>
          <w:szCs w:val="24"/>
          <w:rtl/>
        </w:rPr>
        <w:t>وفي حين أن أنواع الإجراءات الكثيرة المقترحة في الإرشادات الحالية يمكن أن تتخذ على المدى القصير، تنطوي الإدارة المستدامة للأحياء البرية على أنشطة مستمرة على المدى المتوسط والطويل. ولذلك، ينبغي تنفيذ الإجراءات المحددة في المذكرة الحالية في سياق رؤية عام 2050 في الخطة الاستراتيجية للتنوع البيولوجي وخطة التنمية المستدامة لعام 2030.</w:t>
      </w:r>
    </w:p>
    <w:p w:rsidR="00D21AB0" w:rsidRPr="00327012" w:rsidRDefault="00D21AB0" w:rsidP="00FF7FA5">
      <w:pPr>
        <w:pStyle w:val="Para1"/>
        <w:numPr>
          <w:ilvl w:val="0"/>
          <w:numId w:val="23"/>
        </w:numPr>
        <w:bidi/>
        <w:spacing w:before="0" w:line="216" w:lineRule="auto"/>
        <w:ind w:left="0" w:firstLine="0"/>
        <w:rPr>
          <w:rFonts w:cs="Simplified Arabic"/>
          <w:bCs w:val="0"/>
          <w:kern w:val="22"/>
          <w:szCs w:val="24"/>
          <w:lang w:eastAsia="ja-JP"/>
        </w:rPr>
      </w:pPr>
      <w:r w:rsidRPr="00327012">
        <w:rPr>
          <w:rFonts w:cs="Simplified Arabic"/>
          <w:b/>
          <w:bCs w:val="0"/>
          <w:szCs w:val="24"/>
          <w:rtl/>
        </w:rPr>
        <w:t xml:space="preserve">وبتحديد أكبر، تهدف الإرشادات </w:t>
      </w:r>
      <w:r>
        <w:rPr>
          <w:rFonts w:cs="Simplified Arabic" w:hint="cs"/>
          <w:b/>
          <w:bCs w:val="0"/>
          <w:szCs w:val="24"/>
          <w:rtl/>
        </w:rPr>
        <w:t xml:space="preserve">إلى </w:t>
      </w:r>
      <w:r w:rsidRPr="00327012">
        <w:rPr>
          <w:rFonts w:cs="Simplified Arabic"/>
          <w:b/>
          <w:bCs w:val="0"/>
          <w:szCs w:val="24"/>
          <w:rtl/>
        </w:rPr>
        <w:t>دعم عمل الأطراف وكذلك المنظمات والمبادرات ذات الصلة لتعزيز وتنفيذ وتعجيل الإجراءات المتكاملة من أجل ما يلي:</w:t>
      </w:r>
    </w:p>
    <w:p w:rsidR="00D21AB0" w:rsidRPr="00E532FF" w:rsidRDefault="00D21AB0" w:rsidP="00D21AB0">
      <w:pPr>
        <w:ind w:firstLine="720"/>
        <w:rPr>
          <w:rFonts w:eastAsia="Batang"/>
          <w:b/>
          <w:iCs/>
          <w:color w:val="000000"/>
          <w:kern w:val="22"/>
          <w:lang w:eastAsia="ja-JP"/>
        </w:rPr>
      </w:pPr>
      <w:r w:rsidRPr="00E532FF">
        <w:rPr>
          <w:b/>
          <w:rtl/>
        </w:rPr>
        <w:t>(أ)</w:t>
      </w:r>
      <w:r w:rsidRPr="00E532FF">
        <w:rPr>
          <w:b/>
          <w:rtl/>
        </w:rPr>
        <w:tab/>
        <w:t>التأكد من أن عرض اللحوم البرية مدار على نحو مستدام وقانوني عند المنبع؛</w:t>
      </w:r>
    </w:p>
    <w:p w:rsidR="00D21AB0" w:rsidRPr="00E532FF" w:rsidRDefault="00D21AB0" w:rsidP="00D21AB0">
      <w:pPr>
        <w:ind w:firstLine="720"/>
        <w:rPr>
          <w:rFonts w:eastAsia="Batang"/>
          <w:b/>
          <w:iCs/>
          <w:color w:val="000000"/>
          <w:kern w:val="22"/>
          <w:lang w:eastAsia="ja-JP"/>
        </w:rPr>
      </w:pPr>
      <w:r w:rsidRPr="00E532FF">
        <w:rPr>
          <w:b/>
          <w:rtl/>
        </w:rPr>
        <w:t>(ب)</w:t>
      </w:r>
      <w:r w:rsidRPr="00E532FF">
        <w:rPr>
          <w:b/>
          <w:rtl/>
        </w:rPr>
        <w:tab/>
        <w:t>تقليل الطلب على اللحوم البرية المدارة بطريقة غير مستدامة و/أو غير قانونية في القرى والمدن؛</w:t>
      </w:r>
    </w:p>
    <w:p w:rsidR="00D21AB0" w:rsidRPr="00E532FF" w:rsidRDefault="00D21AB0" w:rsidP="00D21AB0">
      <w:pPr>
        <w:ind w:firstLine="720"/>
        <w:rPr>
          <w:rFonts w:eastAsia="Batang"/>
          <w:b/>
          <w:iCs/>
          <w:color w:val="000000"/>
          <w:kern w:val="22"/>
          <w:lang w:eastAsia="ja-JP"/>
        </w:rPr>
      </w:pPr>
      <w:r w:rsidRPr="00E532FF">
        <w:rPr>
          <w:b/>
          <w:rtl/>
        </w:rPr>
        <w:t>(ج)</w:t>
      </w:r>
      <w:r w:rsidRPr="00E532FF">
        <w:rPr>
          <w:b/>
          <w:rtl/>
        </w:rPr>
        <w:tab/>
        <w:t>تهيئة بيئة تمكينية مؤاتية للإدارة المستدامة للحوم البرية.</w:t>
      </w:r>
    </w:p>
    <w:p w:rsidR="00D21AB0" w:rsidRPr="00E532FF" w:rsidRDefault="00D21AB0" w:rsidP="00FF7FA5">
      <w:pPr>
        <w:pStyle w:val="Para1"/>
        <w:numPr>
          <w:ilvl w:val="0"/>
          <w:numId w:val="23"/>
        </w:numPr>
        <w:bidi/>
        <w:spacing w:before="0" w:line="216" w:lineRule="auto"/>
        <w:ind w:left="0" w:firstLine="0"/>
        <w:rPr>
          <w:rFonts w:cs="Simplified Arabic"/>
          <w:b/>
          <w:bCs w:val="0"/>
          <w:kern w:val="22"/>
          <w:szCs w:val="24"/>
          <w:lang w:eastAsia="ja-JP"/>
        </w:rPr>
      </w:pPr>
      <w:r w:rsidRPr="00E532FF">
        <w:rPr>
          <w:rFonts w:cs="Simplified Arabic"/>
          <w:b/>
          <w:bCs w:val="0"/>
          <w:szCs w:val="24"/>
          <w:rtl/>
        </w:rPr>
        <w:t>ويمكن استخدام الإرشادات التقنية المتضمنة في المذكرة الحالية من جانب مختلف الوزارات، وصانعي القرار، وكذلك وكالات التخطيط والوكالات المنفذة على المستوى الوطني. ونتيجة لتعقد القضية وأبعادها الكثيرة الشاملة لعدة قطاعات، تقترح الإرشادات الحالية نُهجا مشتركة يمكن تطبيقها لتحقيق الاستخدام المستدام لأنواع اللحوم البرية. وتدعم المعلومات الواردة في المذكرة الحوار المستمر، والتعلم والتبادلات المنهجية بشأن الإدارة المستدامة للأحياء البرية بين قطاعات الحراجة، والزراعة، والموارد الطبيعية، والصحة البيطرية وصحة ال</w:t>
      </w:r>
      <w:r>
        <w:rPr>
          <w:rFonts w:cs="Simplified Arabic" w:hint="cs"/>
          <w:b/>
          <w:bCs w:val="0"/>
          <w:szCs w:val="24"/>
          <w:rtl/>
        </w:rPr>
        <w:t>إنسان</w:t>
      </w:r>
      <w:r w:rsidRPr="00E532FF">
        <w:rPr>
          <w:rFonts w:cs="Simplified Arabic"/>
          <w:b/>
          <w:bCs w:val="0"/>
          <w:szCs w:val="24"/>
          <w:rtl/>
        </w:rPr>
        <w:t>، والمالية، والتنمية الريفية والقطاع القانوني.</w:t>
      </w:r>
    </w:p>
    <w:p w:rsidR="00D21AB0" w:rsidRPr="00E532FF" w:rsidRDefault="00D21AB0" w:rsidP="00702979">
      <w:pPr>
        <w:pStyle w:val="ListParagraph"/>
        <w:kinsoku w:val="0"/>
        <w:overflowPunct w:val="0"/>
        <w:autoSpaceDE w:val="0"/>
        <w:autoSpaceDN w:val="0"/>
        <w:bidi/>
        <w:adjustRightInd w:val="0"/>
        <w:snapToGrid w:val="0"/>
        <w:spacing w:line="216" w:lineRule="auto"/>
        <w:ind w:left="0" w:firstLine="720"/>
        <w:jc w:val="center"/>
        <w:rPr>
          <w:rFonts w:cs="Simplified Arabic"/>
          <w:kern w:val="22"/>
        </w:rPr>
      </w:pPr>
      <w:r w:rsidRPr="00E532FF">
        <w:rPr>
          <w:rFonts w:cs="Simplified Arabic"/>
          <w:b/>
          <w:bCs/>
          <w:rtl/>
        </w:rPr>
        <w:t>ثالثا-</w:t>
      </w:r>
      <w:r w:rsidRPr="00E532FF">
        <w:rPr>
          <w:rFonts w:cs="Simplified Arabic"/>
          <w:b/>
          <w:bCs/>
          <w:rtl/>
        </w:rPr>
        <w:tab/>
        <w:t>إرشادات تقنية لتحقيق قطاع مستدام للحوم البرية</w:t>
      </w:r>
    </w:p>
    <w:p w:rsidR="00D21AB0" w:rsidRPr="002F2FBF" w:rsidRDefault="00D21AB0" w:rsidP="00FF7FA5">
      <w:pPr>
        <w:pStyle w:val="Para1"/>
        <w:numPr>
          <w:ilvl w:val="0"/>
          <w:numId w:val="23"/>
        </w:numPr>
        <w:bidi/>
        <w:spacing w:before="0" w:line="216" w:lineRule="auto"/>
        <w:ind w:left="0" w:firstLine="0"/>
        <w:rPr>
          <w:rFonts w:ascii="Times New Roman Bold" w:eastAsia="Batang" w:hAnsi="Times New Roman Bold" w:cs="Simplified Arabic" w:hint="eastAsia"/>
          <w:b/>
          <w:bCs w:val="0"/>
          <w:iCs/>
          <w:color w:val="000000"/>
          <w:spacing w:val="-8"/>
          <w:kern w:val="22"/>
          <w:szCs w:val="24"/>
          <w:u w:val="single"/>
          <w:lang w:eastAsia="ja-JP"/>
        </w:rPr>
      </w:pPr>
      <w:r w:rsidRPr="00E532FF">
        <w:rPr>
          <w:rFonts w:cs="Simplified Arabic"/>
          <w:b/>
          <w:bCs w:val="0"/>
          <w:szCs w:val="24"/>
          <w:rtl/>
        </w:rPr>
        <w:t xml:space="preserve">تتألف الإرشادات من مجموعة شاملة من التوصيات لتحقيق قطاع مستدام للحوم البرية مع التركيز على كيفية العمل مع الجهات الفاعلة لتحسين استدامة العرض (القسم الفرعي ألف)؛ وكيفية تقليل الطلب على اللحوم البرية التي تدار على نحو غير مستدام عبر سلسلة القيمة بأكملها (القسم الفرعي باء)؛ وكيفية تهيئة الظروف التمكينية المؤاتية لإدارة قانونية ومنظمة ومستدامة للحوم البرية (القسم الفرعي جيم). وتقترح الإرشادات أيضا خطوات ونُهجا يمكن تطبيقها، من جانب الأطراف والحكومات الأخرى، بالتعاون </w:t>
      </w:r>
      <w:r w:rsidRPr="002F2FBF">
        <w:rPr>
          <w:rFonts w:ascii="Times New Roman Bold" w:hAnsi="Times New Roman Bold" w:cs="Simplified Arabic"/>
          <w:b/>
          <w:bCs w:val="0"/>
          <w:spacing w:val="-8"/>
          <w:szCs w:val="24"/>
          <w:rtl/>
        </w:rPr>
        <w:t>مع المنظمات المعنية، مع الاستعانة بالمقرر 11/25،</w:t>
      </w:r>
      <w:r w:rsidRPr="00E532FF">
        <w:rPr>
          <w:rFonts w:cs="Simplified Arabic"/>
          <w:b/>
          <w:bCs w:val="0"/>
          <w:szCs w:val="24"/>
          <w:rtl/>
        </w:rPr>
        <w:t xml:space="preserve"> </w:t>
      </w:r>
      <w:r w:rsidRPr="002F2FBF">
        <w:rPr>
          <w:rFonts w:ascii="Times New Roman Bold" w:hAnsi="Times New Roman Bold" w:cs="Simplified Arabic"/>
          <w:b/>
          <w:bCs w:val="0"/>
          <w:spacing w:val="-8"/>
          <w:szCs w:val="24"/>
          <w:rtl/>
        </w:rPr>
        <w:t>ووفقا للتشريعات والظروف والأولويات الوطنية.</w:t>
      </w:r>
    </w:p>
    <w:p w:rsidR="00D21AB0" w:rsidRPr="00E532FF" w:rsidRDefault="00D21AB0" w:rsidP="00D21AB0">
      <w:pPr>
        <w:jc w:val="center"/>
        <w:rPr>
          <w:rFonts w:eastAsia="Calibri"/>
          <w:iCs/>
          <w:snapToGrid w:val="0"/>
          <w:color w:val="000000"/>
          <w:kern w:val="22"/>
        </w:rPr>
      </w:pPr>
      <w:r w:rsidRPr="00E532FF">
        <w:rPr>
          <w:b/>
          <w:bCs/>
          <w:rtl/>
        </w:rPr>
        <w:lastRenderedPageBreak/>
        <w:t>ألف-</w:t>
      </w:r>
      <w:r w:rsidRPr="00E532FF">
        <w:rPr>
          <w:b/>
          <w:bCs/>
          <w:rtl/>
        </w:rPr>
        <w:tab/>
        <w:t>إدارة استدامة العرض من اللحوم البرية وتحسينه عند المنبع</w:t>
      </w:r>
    </w:p>
    <w:p w:rsidR="00D21AB0" w:rsidRDefault="00D21AB0" w:rsidP="00FF7FA5">
      <w:pPr>
        <w:pStyle w:val="Para1"/>
        <w:numPr>
          <w:ilvl w:val="0"/>
          <w:numId w:val="23"/>
        </w:numPr>
        <w:bidi/>
        <w:spacing w:before="0" w:line="216" w:lineRule="auto"/>
        <w:ind w:left="0" w:firstLine="0"/>
        <w:rPr>
          <w:rFonts w:cs="Simplified Arabic"/>
          <w:b/>
          <w:bCs w:val="0"/>
          <w:kern w:val="22"/>
          <w:szCs w:val="24"/>
        </w:rPr>
      </w:pPr>
      <w:r w:rsidRPr="00275927">
        <w:rPr>
          <w:rFonts w:cs="Simplified Arabic"/>
          <w:b/>
          <w:bCs w:val="0"/>
          <w:szCs w:val="24"/>
          <w:rtl/>
        </w:rPr>
        <w:t>في الأراضي المستخدمة على المشاع،</w:t>
      </w:r>
      <w:r w:rsidRPr="00E532FF">
        <w:rPr>
          <w:rFonts w:cs="Simplified Arabic"/>
          <w:b/>
          <w:bCs w:val="0"/>
          <w:szCs w:val="24"/>
          <w:rtl/>
        </w:rPr>
        <w:t xml:space="preserve"> تنظم القواعد المحلية وغير الرسمية غالبا الصيد وتنص على من يستطيع الصيد والمكان الذي يمكن الصيد فيه. وتنشأ التحديات في إنفاذ هذه القواعد عندما يكون القادة المحليون غير متمكنين من الرقابة على وصول الصيادين الخارجيين إلى أراضيهم، أو عندما يفقد الصيادون حقوقهم في الصيد المشروع أو المشاركة في إدارة الأحياء البرية، أو عند تآكل الهيكل الاجتماعي للمجتمعات المحلية بسبب الكثير من العوامل التاريخية الخارجية (مثل الاستعمار، والهجرة الداخلية). وفي هذه السياقات، يميل فرادى الصيادين (داخل المجتمعات المحلية وخارجها) إلى المنافسة مع الصيادين الآخرين على هذا المورد المحدود. وتؤدي هذه المنافسة إلى صيد نوع من أنواع الأحياء البرية بأسرع وقت ممكن، مع دفع الأنواع إلى الانقراض على المستوى المحلي. ولذلك، تحتاج القواعد التي تنظم استخدام الأحياء البرية لغرض الغذاء إلى الاعتراف بحقوق صيد الإعاشة، والنص على إدارة الأحياء البرية وتحديد الأنشطة التي تعتبر مشروعة أو غير مشروعة. ويمثل الإنفاذ الاستجابي جزءا لا يتجزأ من هذه القواعد. ومن الناحية الإجرائية، هناك حاجة إلى عملية تشاركية مع مشاورات بين الطرفين تشرك الشعوب الأصلية والمجتمعات المحلية.</w:t>
      </w:r>
    </w:p>
    <w:p w:rsidR="00D21AB0" w:rsidRPr="00327012" w:rsidRDefault="00D21AB0" w:rsidP="00FF7FA5">
      <w:pPr>
        <w:pStyle w:val="Para1"/>
        <w:numPr>
          <w:ilvl w:val="0"/>
          <w:numId w:val="23"/>
        </w:numPr>
        <w:bidi/>
        <w:spacing w:before="0" w:line="216" w:lineRule="auto"/>
        <w:ind w:left="0" w:firstLine="0"/>
        <w:rPr>
          <w:rFonts w:cs="Simplified Arabic"/>
          <w:b/>
          <w:bCs w:val="0"/>
          <w:kern w:val="22"/>
          <w:szCs w:val="24"/>
        </w:rPr>
      </w:pPr>
      <w:r w:rsidRPr="00327012">
        <w:rPr>
          <w:rFonts w:cs="Simplified Arabic"/>
          <w:b/>
          <w:bCs w:val="0"/>
          <w:szCs w:val="24"/>
          <w:rtl/>
        </w:rPr>
        <w:t>وقد تم اقتراح واختبار عدة نماذج لإدارة موارد الأحياء البرية على مستوى المجتمع. وتهدف هذه النماذج إلى أن تكون أمثلة على النُهج الممكنة، وقد لا تكون قابلة للتطبيق في جميع البلدان أو المناطق. وهذه تمثل في العادة أشكال الإدارة المشتركة بين المجتمعات والدولة و/أو هيئات القطاع الخاص المشتركة، مثلا في البني</w:t>
      </w:r>
      <w:r>
        <w:rPr>
          <w:rFonts w:cs="Simplified Arabic" w:hint="cs"/>
          <w:b/>
          <w:bCs w:val="0"/>
          <w:szCs w:val="24"/>
          <w:rtl/>
        </w:rPr>
        <w:t>ة</w:t>
      </w:r>
      <w:r w:rsidRPr="00327012">
        <w:rPr>
          <w:rFonts w:cs="Simplified Arabic"/>
          <w:b/>
          <w:bCs w:val="0"/>
          <w:szCs w:val="24"/>
          <w:rtl/>
        </w:rPr>
        <w:t xml:space="preserve"> التحتية وفي الصناعات الاستخراجية مثل شق الطرق وقطع الأشجار والتعدين. وقد تشمل الأشكال الأخرى للإدارة المشتركة بين المجتمعات والدولة و/أو الشركات الخاصة، وفقا للتشريعات الوطنية، من جملة أمور، ما يلي:</w:t>
      </w:r>
    </w:p>
    <w:p w:rsidR="00D21AB0" w:rsidRPr="00E532FF" w:rsidRDefault="00D21AB0" w:rsidP="00D21AB0">
      <w:pPr>
        <w:ind w:firstLine="720"/>
        <w:rPr>
          <w:rFonts w:eastAsia="Batang"/>
          <w:b/>
          <w:iCs/>
          <w:color w:val="000000"/>
          <w:kern w:val="22"/>
          <w:lang w:eastAsia="ja-JP"/>
        </w:rPr>
      </w:pPr>
      <w:r w:rsidRPr="00E532FF">
        <w:rPr>
          <w:b/>
          <w:rtl/>
        </w:rPr>
        <w:t>(أ)</w:t>
      </w:r>
      <w:r w:rsidRPr="00E532FF">
        <w:rPr>
          <w:b/>
          <w:rtl/>
        </w:rPr>
        <w:tab/>
        <w:t xml:space="preserve">مناطق الصيد المجتمعي، التي يمكن استخدامها لتنظيم الصيد في المستوطنات التي تجاور المناطق المحمية أو الامتيازات الصناعية. ويسمح بالصيد لأعضاء المجتمع ضمن مناطق الصيد المرسوم حدودها، في الغالب باستخدام نظم الحصص ودوران المناطق والمناطق المحمية للسماح بإنعاش الأحياء البرية. ويمكن أيضا أن يقدم أصحاب </w:t>
      </w:r>
      <w:r w:rsidRPr="00E532FF">
        <w:rPr>
          <w:b/>
          <w:spacing w:val="-8"/>
          <w:rtl/>
        </w:rPr>
        <w:t>الامتيازات الاستخراجية و</w:t>
      </w:r>
      <w:r>
        <w:rPr>
          <w:rFonts w:hint="cs"/>
          <w:b/>
          <w:spacing w:val="-8"/>
          <w:rtl/>
        </w:rPr>
        <w:t>مطورو</w:t>
      </w:r>
      <w:r w:rsidRPr="00E532FF">
        <w:rPr>
          <w:b/>
          <w:spacing w:val="-8"/>
          <w:rtl/>
        </w:rPr>
        <w:t xml:space="preserve"> البني</w:t>
      </w:r>
      <w:r>
        <w:rPr>
          <w:rFonts w:hint="cs"/>
          <w:b/>
          <w:spacing w:val="-8"/>
          <w:rtl/>
        </w:rPr>
        <w:t>ة</w:t>
      </w:r>
      <w:r w:rsidRPr="00E532FF">
        <w:rPr>
          <w:b/>
          <w:spacing w:val="-8"/>
          <w:rtl/>
        </w:rPr>
        <w:t xml:space="preserve"> التحتية إلى العاملين مصادر بديلة للبروتين الحيواني، مثل الدجاج أو الأسماك المستمدة و/أو المنتجة من مصادر مستدامة، بدلا من استخدام اللحوم البرية، عندما تتجاوز مستويات الطلب الحالية أو المتوقعة قدرة أنواع اللحوم البرية على الانتعاش؛</w:t>
      </w:r>
    </w:p>
    <w:p w:rsidR="00D21AB0" w:rsidRPr="00D467AD" w:rsidRDefault="00D21AB0" w:rsidP="00D21AB0">
      <w:pPr>
        <w:ind w:firstLine="720"/>
        <w:rPr>
          <w:rFonts w:ascii="Times New Roman Bold" w:eastAsia="Batang" w:hAnsi="Times New Roman Bold" w:hint="eastAsia"/>
          <w:b/>
          <w:iCs/>
          <w:color w:val="000000"/>
          <w:kern w:val="22"/>
          <w:lang w:eastAsia="ja-JP"/>
        </w:rPr>
      </w:pPr>
      <w:r w:rsidRPr="00E532FF">
        <w:rPr>
          <w:b/>
          <w:rtl/>
        </w:rPr>
        <w:t>(ب)</w:t>
      </w:r>
      <w:r w:rsidRPr="00E532FF">
        <w:rPr>
          <w:b/>
          <w:rtl/>
        </w:rPr>
        <w:tab/>
      </w:r>
      <w:r w:rsidRPr="00D467AD">
        <w:rPr>
          <w:rFonts w:ascii="Times New Roman Bold" w:hAnsi="Times New Roman Bold"/>
          <w:b/>
          <w:rtl/>
        </w:rPr>
        <w:t>المحميات المجتمعية. تحدد الدولة حصص الصيد، استنادا إلى الأعداد السنوية للحيوانات. وتقوم المجتمعات بإدارة المحميات، ولها الحق في إنشاء مؤسسات السياحة وإعلان مزادات لترخيص الصيد الترفيهي للحيوانات وفقا للتشريعات الوطنية. وتدعم وكالات إنفاذ القوانين المحميات وتستجيب إلى البلاغات من المحميات للقبض على الصيادين غير الشرعيين واعتقالهم؛</w:t>
      </w:r>
    </w:p>
    <w:p w:rsidR="00D21AB0" w:rsidRPr="00E532FF" w:rsidRDefault="00D21AB0" w:rsidP="00D21AB0">
      <w:pPr>
        <w:ind w:firstLine="720"/>
        <w:rPr>
          <w:rFonts w:eastAsia="Batang"/>
          <w:b/>
          <w:iCs/>
          <w:color w:val="000000"/>
          <w:kern w:val="22"/>
          <w:lang w:eastAsia="ja-JP"/>
        </w:rPr>
      </w:pPr>
      <w:r w:rsidRPr="00E532FF">
        <w:rPr>
          <w:b/>
          <w:rtl/>
        </w:rPr>
        <w:t>(ج)</w:t>
      </w:r>
      <w:r w:rsidRPr="00E532FF">
        <w:rPr>
          <w:b/>
          <w:rtl/>
        </w:rPr>
        <w:tab/>
        <w:t>تربية الأحياء البرية لغرض الصيد الترفيهي تتألف من صيانة الحيوانات البرية في مناطق محددة بأسوار. وهي شكل من أشكال التربية تشبه تربية الماشية، وتدار الحيوانات على النباتات الطبيعية بالرغم من أن الموئل قد يكون قد تم تحويله لتحسين كفاءة الإنتاج في إطار التشريعات الوطنية.</w:t>
      </w:r>
    </w:p>
    <w:p w:rsidR="00D21AB0" w:rsidRPr="00E532FF" w:rsidRDefault="00D21AB0" w:rsidP="00D21AB0">
      <w:pPr>
        <w:ind w:firstLine="720"/>
        <w:rPr>
          <w:rFonts w:eastAsia="Batang"/>
          <w:b/>
          <w:iCs/>
          <w:color w:val="000000"/>
          <w:kern w:val="22"/>
          <w:lang w:eastAsia="ja-JP"/>
        </w:rPr>
      </w:pPr>
      <w:r w:rsidRPr="00E532FF">
        <w:rPr>
          <w:b/>
          <w:rtl/>
        </w:rPr>
        <w:t>(د)</w:t>
      </w:r>
      <w:r w:rsidRPr="00E532FF">
        <w:rPr>
          <w:b/>
          <w:rtl/>
        </w:rPr>
        <w:tab/>
        <w:t>نظم المدفوعات مقابل خدمات النظم الإيكولوجية. تحصل المجتمعات على مدفوعات عند تسليم أحد خدمات النظم الإيكولوجية</w:t>
      </w:r>
      <w:r>
        <w:rPr>
          <w:rFonts w:hint="cs"/>
          <w:b/>
          <w:rtl/>
        </w:rPr>
        <w:t>.</w:t>
      </w:r>
      <w:r w:rsidRPr="00E532FF">
        <w:rPr>
          <w:b/>
          <w:rtl/>
        </w:rPr>
        <w:t xml:space="preserve"> وفي هذه الحالة، وفقا للسياسات الوطنية، يمكن أن يتم الدفع لهم للإبقاء على "أرصدة الغذاء" عند مستويات مستدامة أو حتى للإبقاء على "أرصدة الكربون" من خلال الصيد المستدام أو الحفظ الصارم لناشرات بذور الأشجار الرئيسية، مع احترام </w:t>
      </w:r>
      <w:r>
        <w:rPr>
          <w:rFonts w:hint="cs"/>
          <w:b/>
          <w:rtl/>
        </w:rPr>
        <w:t>ال</w:t>
      </w:r>
      <w:r w:rsidRPr="00E532FF">
        <w:rPr>
          <w:b/>
          <w:rtl/>
        </w:rPr>
        <w:t>علاقة ا</w:t>
      </w:r>
      <w:r>
        <w:rPr>
          <w:rFonts w:hint="cs"/>
          <w:b/>
          <w:rtl/>
        </w:rPr>
        <w:t>لثقافية ل</w:t>
      </w:r>
      <w:r w:rsidRPr="00E532FF">
        <w:rPr>
          <w:b/>
          <w:rtl/>
        </w:rPr>
        <w:t>لشعوب الأصلية والمجتمعات المحلية مع الأحياء البرية. ويتم إجراء رصد أعداد الأنواع المستهدفة لقياس تسليم الخدمات؛</w:t>
      </w:r>
    </w:p>
    <w:p w:rsidR="00D21AB0" w:rsidRPr="00E532FF" w:rsidRDefault="00D21AB0" w:rsidP="00D21AB0">
      <w:pPr>
        <w:ind w:firstLine="720"/>
        <w:rPr>
          <w:rFonts w:eastAsia="Batang"/>
          <w:b/>
          <w:iCs/>
          <w:color w:val="000000"/>
          <w:kern w:val="22"/>
          <w:lang w:eastAsia="ja-JP"/>
        </w:rPr>
      </w:pPr>
      <w:r w:rsidRPr="00E532FF">
        <w:rPr>
          <w:b/>
          <w:rtl/>
        </w:rPr>
        <w:lastRenderedPageBreak/>
        <w:t>(ﻫ)</w:t>
      </w:r>
      <w:r w:rsidRPr="00E532FF">
        <w:rPr>
          <w:b/>
          <w:rtl/>
        </w:rPr>
        <w:tab/>
        <w:t>نظم إصدار الشهادات. لديها إمكانية المساهمة في حفظ الأنواع البرية واستخدامها المستدام من خلال التأثير على خيارات المستهلكين للمنتجات المستدامة المصدر. وبينما ترخص معظم نظم إصدار ال</w:t>
      </w:r>
      <w:r>
        <w:rPr>
          <w:rFonts w:hint="cs"/>
          <w:b/>
          <w:rtl/>
        </w:rPr>
        <w:t>شهادات</w:t>
      </w:r>
      <w:r w:rsidRPr="00E532FF">
        <w:rPr>
          <w:b/>
          <w:rtl/>
        </w:rPr>
        <w:t xml:space="preserve"> منتجات يتم استزراعها، أو حصدها أو إنتاجها بدون الإضرار بموائل الأحياء البرية أو أعدادها (مثل الخشب المراعي للأحياء البرية؛ والكاكاو المراعي للأحياء البرية)، هناك أيضا أمثلة قليلة لنظم إصدار الشهادات التي ترخص المنتجات </w:t>
      </w:r>
      <w:r>
        <w:rPr>
          <w:rFonts w:hint="cs"/>
          <w:b/>
          <w:rtl/>
        </w:rPr>
        <w:t>"</w:t>
      </w:r>
      <w:r w:rsidRPr="00E532FF">
        <w:rPr>
          <w:b/>
          <w:rtl/>
        </w:rPr>
        <w:t>القائمة على الأحياء البرية</w:t>
      </w:r>
      <w:r>
        <w:rPr>
          <w:rFonts w:hint="cs"/>
          <w:b/>
          <w:rtl/>
        </w:rPr>
        <w:t>"</w:t>
      </w:r>
      <w:r w:rsidRPr="00E532FF">
        <w:rPr>
          <w:b/>
          <w:rtl/>
        </w:rPr>
        <w:t xml:space="preserve"> على أن صيدها قد تم على نحو مستدام (مثل جلود الخنازير الأمريكية البرية، واللحوم المرخصة). كما يمكن أن تدمج نظم إصدار الشهادات هذه ضمانات تطمئن المستهلكين على أن اللحوم البرية تستوفي المعايير الصحية الجيدة. وتعمل نظم إصدار الشهادات على نحو جيد في المجتمعات التي تكون مستعدة لدفع أسعار مرتفعة للمنتجات التي تستجيب لأخلاقياتهم كمستهلكين. وي</w:t>
      </w:r>
      <w:r>
        <w:rPr>
          <w:rFonts w:hint="cs"/>
          <w:b/>
          <w:rtl/>
        </w:rPr>
        <w:t>جب</w:t>
      </w:r>
      <w:r w:rsidRPr="00E532FF">
        <w:rPr>
          <w:b/>
          <w:rtl/>
        </w:rPr>
        <w:t xml:space="preserve"> أن يغطي السعر المرتفع الذي يتلقاه المنتج (الصياد، أو المجتمع) تكاليف إصدار الشهادات التي تكون عالية في الغالب.</w:t>
      </w:r>
    </w:p>
    <w:p w:rsidR="00D21AB0" w:rsidRPr="00E532FF"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E532FF">
        <w:rPr>
          <w:rFonts w:cs="Simplified Arabic"/>
          <w:b/>
          <w:bCs w:val="0"/>
          <w:szCs w:val="24"/>
          <w:rtl/>
        </w:rPr>
        <w:t>وتتضمن عناصر الإدارة المجتمعية المستدامة الناجحة للأحياء البرية (أو التعاون الإقليمي) لتهيئة الظروف التمكينية للإدارة المجتمعية المحلية، ووفقا للتشريعات الوطنية، ما يلي:</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(أ)</w:t>
      </w:r>
      <w:r w:rsidRPr="00E532FF">
        <w:rPr>
          <w:rFonts w:cs="Simplified Arabic"/>
          <w:b/>
          <w:bCs w:val="0"/>
          <w:szCs w:val="24"/>
          <w:rtl/>
        </w:rPr>
        <w:tab/>
        <w:t>تتمتع المجتمعات بالتماسك الاجتماعي (أي أنها تثق في بعضها البعض وتشعر بالقرابة مع المجتمعات المجاورة لها) بما يكفي لاتخاذ إجراءات جماعية لمعالجة المشاكل المشتركة؛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(ب)</w:t>
      </w:r>
      <w:r w:rsidRPr="00E532FF">
        <w:rPr>
          <w:rFonts w:cs="Simplified Arabic"/>
          <w:b/>
          <w:bCs w:val="0"/>
          <w:szCs w:val="24"/>
          <w:rtl/>
        </w:rPr>
        <w:tab/>
        <w:t xml:space="preserve">تعد المجتمعات أو تتلقى الدعم لإعداد آليات </w:t>
      </w:r>
      <w:r>
        <w:rPr>
          <w:rFonts w:cs="Simplified Arabic" w:hint="cs"/>
          <w:b/>
          <w:bCs w:val="0"/>
          <w:szCs w:val="24"/>
          <w:rtl/>
        </w:rPr>
        <w:t>تقاسم</w:t>
      </w:r>
      <w:r w:rsidRPr="00E532FF">
        <w:rPr>
          <w:rFonts w:cs="Simplified Arabic"/>
          <w:b/>
          <w:bCs w:val="0"/>
          <w:szCs w:val="24"/>
          <w:rtl/>
        </w:rPr>
        <w:t xml:space="preserve"> المنافع من أجل الاستخدام المستدام للأحياء البرية التي لديها مطالبات تقليدية ومشروعة عليها. ويعد الحق في المنافع عند أقل مستوى مجتمعي، وذلك بدعم من الدولة لضمان أن المجتمعات تكسب حصة عادلة من المنافع من استخدام الأحياء البرية؛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(ج)</w:t>
      </w:r>
      <w:r w:rsidRPr="00E532FF">
        <w:rPr>
          <w:rFonts w:cs="Simplified Arabic"/>
          <w:b/>
          <w:bCs w:val="0"/>
          <w:szCs w:val="24"/>
          <w:rtl/>
        </w:rPr>
        <w:tab/>
        <w:t>الحقوق في الأراضي والحقوق في إدارة الأحياء البرية والاستفادة منها تعرف بوضوح ويتم الاعتراف بها وحمايتها بواسطة الدولة. ويتم تحديد حائزي الحقوق والاعتراف الرسمي بهم لمنع غير حائزي الحقوق (المستخدمين غير الشرعيين) من إساءة استخدام موارد الأحياء البرية؛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(د)</w:t>
      </w:r>
      <w:r w:rsidRPr="00E532FF">
        <w:rPr>
          <w:rFonts w:cs="Simplified Arabic"/>
          <w:b/>
          <w:bCs w:val="0"/>
          <w:szCs w:val="24"/>
          <w:rtl/>
        </w:rPr>
        <w:tab/>
      </w:r>
      <w:r>
        <w:rPr>
          <w:rFonts w:cs="Simplified Arabic" w:hint="cs"/>
          <w:b/>
          <w:bCs w:val="0"/>
          <w:szCs w:val="24"/>
          <w:rtl/>
        </w:rPr>
        <w:t xml:space="preserve">تحدد التشريعات الوطنية الحدود الجغرافية لتلك المناطق التي يستطيع حائزو </w:t>
      </w:r>
      <w:r w:rsidRPr="00E532FF">
        <w:rPr>
          <w:rFonts w:cs="Simplified Arabic"/>
          <w:b/>
          <w:bCs w:val="0"/>
          <w:szCs w:val="24"/>
          <w:rtl/>
        </w:rPr>
        <w:t xml:space="preserve">الحقوق المجتمعية </w:t>
      </w:r>
      <w:r>
        <w:rPr>
          <w:rFonts w:cs="Simplified Arabic" w:hint="cs"/>
          <w:b/>
          <w:bCs w:val="0"/>
          <w:szCs w:val="24"/>
          <w:rtl/>
        </w:rPr>
        <w:t>جمع اللحوم البرية،</w:t>
      </w:r>
      <w:r w:rsidRPr="00E532FF">
        <w:rPr>
          <w:rFonts w:cs="Simplified Arabic"/>
          <w:b/>
          <w:bCs w:val="0"/>
          <w:szCs w:val="24"/>
          <w:rtl/>
        </w:rPr>
        <w:t xml:space="preserve"> </w:t>
      </w:r>
      <w:r>
        <w:rPr>
          <w:rFonts w:cs="Simplified Arabic" w:hint="cs"/>
          <w:b/>
          <w:bCs w:val="0"/>
          <w:szCs w:val="24"/>
          <w:rtl/>
        </w:rPr>
        <w:t>مع مراعاة القانون</w:t>
      </w:r>
      <w:r w:rsidRPr="00E532FF">
        <w:rPr>
          <w:rFonts w:cs="Simplified Arabic"/>
          <w:b/>
          <w:bCs w:val="0"/>
          <w:szCs w:val="24"/>
          <w:rtl/>
        </w:rPr>
        <w:t xml:space="preserve"> العرفي</w:t>
      </w:r>
      <w:r>
        <w:rPr>
          <w:rFonts w:cs="Simplified Arabic" w:hint="cs"/>
          <w:b/>
          <w:bCs w:val="0"/>
          <w:szCs w:val="24"/>
          <w:rtl/>
        </w:rPr>
        <w:t xml:space="preserve"> لديهم</w:t>
      </w:r>
      <w:r w:rsidRPr="00E532FF">
        <w:rPr>
          <w:rFonts w:cs="Simplified Arabic"/>
          <w:b/>
          <w:bCs w:val="0"/>
          <w:szCs w:val="24"/>
          <w:rtl/>
        </w:rPr>
        <w:t>؛</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(ﻫ)</w:t>
      </w:r>
      <w:r w:rsidRPr="00E532FF">
        <w:rPr>
          <w:rFonts w:cs="Simplified Arabic"/>
          <w:b/>
          <w:bCs w:val="0"/>
          <w:szCs w:val="24"/>
          <w:rtl/>
        </w:rPr>
        <w:tab/>
        <w:t>تهتم المجتمعات المحلية والصيادون المحليون صراحة بالاستفادة من حقوقهم في استخدام الأحياء البرية، بما في ذلك الحقوق العرفية، ولكنهم يتولون المسؤولية أيضا على أن يتم مساءلتهم على استدامتها وحفظ الموائل. ولدى المجتمعات إجراءات واضحة ومعترف بها رسميا لتسوية اختلافات السياسات والممارسات داخل المجتمع أو المجموعة؛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(و)</w:t>
      </w:r>
      <w:r w:rsidRPr="00E532FF">
        <w:rPr>
          <w:rFonts w:cs="Simplified Arabic"/>
          <w:b/>
          <w:bCs w:val="0"/>
          <w:szCs w:val="24"/>
          <w:rtl/>
        </w:rPr>
        <w:tab/>
        <w:t>توجد أو تنشأ الأطر التنظيمية الواضحة للسماح بالاستخدام المستدام للأحياء البرية من جانب أعضاء المجتمعات المحلية، أو أعضاء المجموعات، بما في ذلك إجراءات لتحديد وإنفاذ العقوبات على أعضاء المجموعة أو المجتمعات بأكملها إذا كان ذلك ضروريا؛</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(ز)</w:t>
      </w:r>
      <w:r w:rsidRPr="00E532FF">
        <w:rPr>
          <w:rFonts w:cs="Simplified Arabic"/>
          <w:b/>
          <w:bCs w:val="0"/>
          <w:szCs w:val="24"/>
          <w:rtl/>
        </w:rPr>
        <w:tab/>
        <w:t>يتم مواءمة هيكل وقدرات وميزانيات المؤسسات الحكومية التي تتولى المسؤولية عن الأحياء البرية لكي تلعب دورا رئيسيا في تصميم وتيسير أنشطة الاستخدام المستدام؛</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(ح)</w:t>
      </w:r>
      <w:r w:rsidRPr="00E532FF">
        <w:rPr>
          <w:rFonts w:cs="Simplified Arabic"/>
          <w:b/>
          <w:bCs w:val="0"/>
          <w:szCs w:val="24"/>
          <w:rtl/>
        </w:rPr>
        <w:tab/>
        <w:t>هناك تشريعات وطنية واضحة للصيد، والإنفاذ الفعال لتلك التشريعات، الذي يمنع الجهات الفاعلة من خارج المجتمع من تقويض السلطة الشرعية لكل سلطة إدارة ومن فاعليتها؛</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(ط)</w:t>
      </w:r>
      <w:r w:rsidRPr="00E532FF">
        <w:rPr>
          <w:rFonts w:cs="Simplified Arabic"/>
          <w:b/>
          <w:bCs w:val="0"/>
          <w:szCs w:val="24"/>
          <w:rtl/>
        </w:rPr>
        <w:tab/>
        <w:t xml:space="preserve">تم تبسيط الإجراءات الإدارية، وإتاحتها باللغات المحلية، وتعزيز نُظم </w:t>
      </w:r>
      <w:r>
        <w:rPr>
          <w:rFonts w:cs="Simplified Arabic" w:hint="cs"/>
          <w:b/>
          <w:bCs w:val="0"/>
          <w:szCs w:val="24"/>
          <w:rtl/>
        </w:rPr>
        <w:t>التتبع</w:t>
      </w:r>
      <w:r w:rsidRPr="00E532FF">
        <w:rPr>
          <w:rFonts w:cs="Simplified Arabic"/>
          <w:b/>
          <w:bCs w:val="0"/>
          <w:szCs w:val="24"/>
          <w:rtl/>
        </w:rPr>
        <w:t xml:space="preserve"> وتنمية القدرات القيادية المحلية؛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lastRenderedPageBreak/>
        <w:t>(ي)</w:t>
      </w:r>
      <w:r w:rsidRPr="00E532FF">
        <w:rPr>
          <w:rFonts w:cs="Simplified Arabic"/>
          <w:b/>
          <w:bCs w:val="0"/>
          <w:szCs w:val="24"/>
          <w:rtl/>
        </w:rPr>
        <w:tab/>
        <w:t>تم تحديد مناطق الصيد المجتمعي بوضوح،</w:t>
      </w:r>
      <w:r w:rsidRPr="00E532FF">
        <w:rPr>
          <w:rStyle w:val="FootnoteReference"/>
          <w:b/>
          <w:bCs w:val="0"/>
          <w:rtl/>
        </w:rPr>
        <w:footnoteReference w:id="111"/>
      </w:r>
      <w:r w:rsidRPr="00E532FF">
        <w:rPr>
          <w:rFonts w:cs="Simplified Arabic"/>
          <w:b/>
          <w:bCs w:val="0"/>
          <w:szCs w:val="24"/>
          <w:rtl/>
        </w:rPr>
        <w:t xml:space="preserve"> داخل المناطق المحمية وحولها وتمتثل لاستخدام معين للأراضي، وتحترم خطط الإدارة وبارامترات الحفظ للمناطق المحمية؛</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(ك)</w:t>
      </w:r>
      <w:r w:rsidRPr="00E532FF">
        <w:rPr>
          <w:rFonts w:cs="Simplified Arabic"/>
          <w:b/>
          <w:bCs w:val="0"/>
          <w:szCs w:val="24"/>
          <w:rtl/>
        </w:rPr>
        <w:tab/>
        <w:t>تتولي سلطة الإدارة المحلية المسؤولية عن كل منطقة من مناطق استخدام الأراضي. وإذا لم تنقل الدولة السيطرة الكاملة إلى السلطة المحلية (أي إذا أبقت الدولة على المسؤولية عن المناطق المحمية، والأنواع أو الأمن الغذائي المحلي)، ينبغي إذن وضع معايير واضحة لتقييم الإدارة المحلية الجيدة وعواقب الإدارة السيئة. وفي الحالات التي تنشأ فيها ضرائب أو أشكال أخرى من الإيرادات من منطقة استخدام الأراضي، ينبغي أيضا تحديد أطر واضحة للإدارة المالية، بما في ذلك العقوبات لسوء التصرف؛</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(ل)</w:t>
      </w:r>
      <w:r w:rsidRPr="00E532FF">
        <w:rPr>
          <w:rFonts w:cs="Simplified Arabic"/>
          <w:b/>
          <w:bCs w:val="0"/>
          <w:szCs w:val="24"/>
          <w:rtl/>
        </w:rPr>
        <w:tab/>
        <w:t>يتمتع مسؤولو الحكومة وسلطات الإدارة المحلية بمهارات ومعارف لتطوير خطط إدارة مستدامة للأحياء البرية. وينبغي أن تشمل هذه المعارف الاستخدام المستدام التقليدي والمألوف؛</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(م)</w:t>
      </w:r>
      <w:r w:rsidRPr="00E532FF">
        <w:rPr>
          <w:rFonts w:cs="Simplified Arabic"/>
          <w:b/>
          <w:bCs w:val="0"/>
          <w:szCs w:val="24"/>
          <w:rtl/>
        </w:rPr>
        <w:tab/>
        <w:t xml:space="preserve">يتم تحديد الأنواع التي تتحمل الصيد والأنواع التي لا تتحمله. ومن بين الأنواع التي يمكن صيدها على نحو مستدام، </w:t>
      </w:r>
      <w:r w:rsidRPr="00E532FF">
        <w:rPr>
          <w:rFonts w:cs="Simplified Arabic" w:hint="cs"/>
          <w:b/>
          <w:bCs w:val="0"/>
          <w:szCs w:val="24"/>
          <w:rtl/>
        </w:rPr>
        <w:t>فإن</w:t>
      </w:r>
      <w:r w:rsidRPr="00E532FF">
        <w:rPr>
          <w:rFonts w:cs="Simplified Arabic"/>
          <w:b/>
          <w:bCs w:val="0"/>
          <w:szCs w:val="24"/>
          <w:rtl/>
        </w:rPr>
        <w:t xml:space="preserve"> الأنواع إلى</w:t>
      </w:r>
      <w:r w:rsidRPr="00E532FF">
        <w:rPr>
          <w:rFonts w:cs="Simplified Arabic" w:hint="cs"/>
          <w:b/>
          <w:bCs w:val="0"/>
          <w:szCs w:val="24"/>
          <w:rtl/>
        </w:rPr>
        <w:t xml:space="preserve"> تحتاج إلى</w:t>
      </w:r>
      <w:r w:rsidRPr="00E532FF">
        <w:rPr>
          <w:rFonts w:cs="Simplified Arabic"/>
          <w:b/>
          <w:bCs w:val="0"/>
          <w:szCs w:val="24"/>
          <w:rtl/>
        </w:rPr>
        <w:t xml:space="preserve"> الحد الأقصى من حصص الصيد</w:t>
      </w:r>
      <w:r w:rsidRPr="00E532FF">
        <w:rPr>
          <w:rFonts w:cs="Simplified Arabic" w:hint="cs"/>
          <w:b/>
          <w:bCs w:val="0"/>
          <w:szCs w:val="24"/>
          <w:rtl/>
        </w:rPr>
        <w:t xml:space="preserve">، </w:t>
      </w:r>
      <w:r w:rsidRPr="00E532FF">
        <w:rPr>
          <w:rFonts w:cs="Simplified Arabic"/>
          <w:b/>
          <w:bCs w:val="0"/>
          <w:szCs w:val="24"/>
          <w:rtl/>
        </w:rPr>
        <w:t>استناداً إلى أفضل المعلومات وال</w:t>
      </w:r>
      <w:r w:rsidRPr="00E532FF">
        <w:rPr>
          <w:rFonts w:cs="Simplified Arabic" w:hint="cs"/>
          <w:b/>
          <w:bCs w:val="0"/>
          <w:szCs w:val="24"/>
          <w:rtl/>
        </w:rPr>
        <w:t>أساليب</w:t>
      </w:r>
      <w:r w:rsidRPr="00E532FF">
        <w:rPr>
          <w:rFonts w:cs="Simplified Arabic"/>
          <w:b/>
          <w:bCs w:val="0"/>
          <w:szCs w:val="24"/>
          <w:rtl/>
        </w:rPr>
        <w:t xml:space="preserve"> العلمية والتقنية المتاحة</w:t>
      </w:r>
      <w:r w:rsidRPr="00E532FF">
        <w:rPr>
          <w:rFonts w:cs="Simplified Arabic" w:hint="cs"/>
          <w:b/>
          <w:bCs w:val="0"/>
          <w:szCs w:val="24"/>
          <w:rtl/>
        </w:rPr>
        <w:t>،</w:t>
      </w:r>
      <w:r w:rsidRPr="00E532FF">
        <w:rPr>
          <w:rFonts w:cs="Simplified Arabic"/>
          <w:b/>
          <w:bCs w:val="0"/>
          <w:szCs w:val="24"/>
          <w:rtl/>
        </w:rPr>
        <w:t xml:space="preserve"> (والأنواع مثل الآفات التي تحتاج إلى الحد الأدنى من حصص الصيد) ينبغي التمييز بينها وبين الأنواع التي لا يعتبر إصدار حصص لها ضروريا. وبالنسبة للأنواع التي تتطلب الحد الأقصى من حصص الصيد، ينبغي حساب معدلات </w:t>
      </w:r>
      <w:r>
        <w:rPr>
          <w:rFonts w:cs="Simplified Arabic" w:hint="cs"/>
          <w:b/>
          <w:bCs w:val="0"/>
          <w:szCs w:val="24"/>
          <w:rtl/>
        </w:rPr>
        <w:t>الصيد المستدام</w:t>
      </w:r>
      <w:r w:rsidRPr="00E532FF">
        <w:rPr>
          <w:rFonts w:cs="Simplified Arabic"/>
          <w:b/>
          <w:bCs w:val="0"/>
          <w:szCs w:val="24"/>
          <w:rtl/>
        </w:rPr>
        <w:t xml:space="preserve"> وتعديلها على أساس منتظم؛</w:t>
      </w:r>
    </w:p>
    <w:p w:rsidR="00D21AB0" w:rsidRPr="00E532FF" w:rsidRDefault="00D21AB0" w:rsidP="00D21AB0">
      <w:pPr>
        <w:pStyle w:val="Para1"/>
        <w:numPr>
          <w:ilvl w:val="0"/>
          <w:numId w:val="0"/>
        </w:numPr>
        <w:bidi/>
        <w:spacing w:before="0" w:line="216" w:lineRule="auto"/>
        <w:ind w:firstLine="720"/>
        <w:rPr>
          <w:rFonts w:cs="Simplified Arabic"/>
          <w:b/>
          <w:bCs w:val="0"/>
          <w:color w:val="000000"/>
          <w:kern w:val="22"/>
          <w:szCs w:val="24"/>
        </w:rPr>
      </w:pPr>
      <w:r w:rsidRPr="00E532FF">
        <w:rPr>
          <w:rFonts w:cs="Simplified Arabic"/>
          <w:b/>
          <w:bCs w:val="0"/>
          <w:szCs w:val="24"/>
          <w:rtl/>
        </w:rPr>
        <w:t>(ن)</w:t>
      </w:r>
      <w:r w:rsidRPr="00E532FF">
        <w:rPr>
          <w:rFonts w:cs="Simplified Arabic"/>
          <w:b/>
          <w:bCs w:val="0"/>
          <w:szCs w:val="24"/>
          <w:rtl/>
        </w:rPr>
        <w:tab/>
        <w:t xml:space="preserve">توضع نظم لتحديد الحصص المستدامة، ورصد (من جانب المجتمعات ومع مشاركتها) الاتجاهات في الأنواع المستهدفة من الأحياء البرية، وتحدد بوضوح في تقييمات الحصص القواعد للمواءمة مع </w:t>
      </w:r>
      <w:r>
        <w:rPr>
          <w:rFonts w:cs="Simplified Arabic" w:hint="cs"/>
          <w:b/>
          <w:bCs w:val="0"/>
          <w:szCs w:val="24"/>
          <w:rtl/>
        </w:rPr>
        <w:t>الصيد</w:t>
      </w:r>
      <w:r w:rsidRPr="00E532FF">
        <w:rPr>
          <w:rFonts w:cs="Simplified Arabic"/>
          <w:b/>
          <w:bCs w:val="0"/>
          <w:szCs w:val="24"/>
          <w:rtl/>
        </w:rPr>
        <w:t>، بجانب المسؤولية عن الإنفاذ والعقوبات لسوء ال</w:t>
      </w:r>
      <w:r>
        <w:rPr>
          <w:rFonts w:cs="Simplified Arabic" w:hint="cs"/>
          <w:b/>
          <w:bCs w:val="0"/>
          <w:szCs w:val="24"/>
          <w:rtl/>
        </w:rPr>
        <w:t>تصرف</w:t>
      </w:r>
      <w:r w:rsidRPr="00E532FF">
        <w:rPr>
          <w:rFonts w:cs="Simplified Arabic"/>
          <w:b/>
          <w:bCs w:val="0"/>
          <w:szCs w:val="24"/>
          <w:rtl/>
        </w:rPr>
        <w:t>؛</w:t>
      </w:r>
    </w:p>
    <w:p w:rsidR="00D21AB0" w:rsidRPr="00E532FF" w:rsidRDefault="00D21AB0" w:rsidP="00D21AB0">
      <w:pPr>
        <w:pStyle w:val="Para1"/>
        <w:numPr>
          <w:ilvl w:val="0"/>
          <w:numId w:val="0"/>
        </w:numPr>
        <w:bidi/>
        <w:spacing w:before="0" w:line="216" w:lineRule="auto"/>
        <w:ind w:firstLine="720"/>
        <w:rPr>
          <w:rFonts w:eastAsia="Batang" w:cs="Simplified Arabic"/>
          <w:b/>
          <w:bCs w:val="0"/>
          <w:iCs/>
          <w:color w:val="000000"/>
          <w:kern w:val="22"/>
          <w:szCs w:val="24"/>
          <w:lang w:eastAsia="ja-JP"/>
        </w:rPr>
      </w:pPr>
      <w:r w:rsidRPr="00E532FF">
        <w:rPr>
          <w:rFonts w:cs="Simplified Arabic"/>
          <w:b/>
          <w:bCs w:val="0"/>
          <w:szCs w:val="24"/>
          <w:rtl/>
        </w:rPr>
        <w:t>(س)</w:t>
      </w:r>
      <w:r w:rsidRPr="00E532FF">
        <w:rPr>
          <w:rFonts w:cs="Simplified Arabic"/>
          <w:b/>
          <w:bCs w:val="0"/>
          <w:szCs w:val="24"/>
          <w:rtl/>
        </w:rPr>
        <w:tab/>
        <w:t>ينبغي ضمان الحقوق الإجرائية للشعوب الأصلية والمجتمعات المحلية، مثل الحصول على المعلومات، والمشاركة في صنع القرار والوصول إلى العدالة.</w:t>
      </w:r>
    </w:p>
    <w:p w:rsidR="00D21AB0" w:rsidRPr="00E532FF"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E532FF">
        <w:rPr>
          <w:rFonts w:cs="Simplified Arabic"/>
          <w:b/>
          <w:bCs w:val="0"/>
          <w:szCs w:val="24"/>
          <w:rtl/>
        </w:rPr>
        <w:t>ويمكن أن يساعد إضفاء الطابع القانوني وفرض الضرائب على مبيعات بعض أنواع الأحياء البرية في تمكين المجتمعات من الاستفادة من الأحياء البرية. وقد لا يكون ذلك ممكنا للبلدان التي تفتقر إلى البنية التحتية والقدرات</w:t>
      </w:r>
      <w:r>
        <w:rPr>
          <w:rFonts w:cs="Simplified Arabic" w:hint="cs"/>
          <w:b/>
          <w:bCs w:val="0"/>
          <w:szCs w:val="24"/>
          <w:rtl/>
        </w:rPr>
        <w:t xml:space="preserve"> اللازمة</w:t>
      </w:r>
      <w:r w:rsidRPr="00E532FF">
        <w:rPr>
          <w:rFonts w:cs="Simplified Arabic"/>
          <w:b/>
          <w:bCs w:val="0"/>
          <w:szCs w:val="24"/>
          <w:rtl/>
        </w:rPr>
        <w:t xml:space="preserve">، وإلى نظام عدالة فعال يلتزم بمبدأ الحقوق المتساوية بموجب القانون والتطبيق المتساوي للقانون. وفي هذا الصدد، يمكن أن تقدم أيضا المنظمات ذات الصلة في الاتحاد الدولي لمكافحة الجريمة ضد الحيوانات والنباتات البرية </w:t>
      </w:r>
      <w:r w:rsidRPr="00E532FF">
        <w:rPr>
          <w:rFonts w:cs="Simplified Arabic"/>
          <w:szCs w:val="24"/>
          <w:lang w:val="en-CA"/>
        </w:rPr>
        <w:t>(ICCWC)</w:t>
      </w:r>
      <w:r w:rsidRPr="00E532FF">
        <w:rPr>
          <w:rFonts w:cs="Simplified Arabic"/>
          <w:b/>
          <w:bCs w:val="0"/>
          <w:szCs w:val="24"/>
          <w:rtl/>
        </w:rPr>
        <w:t xml:space="preserve"> المزيد من الدعم لبناء القدرات الوطنية في مجال إنفاذ القانون، والقضاة، والمقاضاة والتشريعات لمنع الصيد غير المشروع.</w:t>
      </w:r>
    </w:p>
    <w:p w:rsidR="00D21AB0" w:rsidRPr="00941541" w:rsidRDefault="00D21AB0" w:rsidP="00FF7FA5">
      <w:pPr>
        <w:pStyle w:val="Para1"/>
        <w:numPr>
          <w:ilvl w:val="0"/>
          <w:numId w:val="23"/>
        </w:numPr>
        <w:bidi/>
        <w:spacing w:before="0" w:line="216" w:lineRule="auto"/>
        <w:ind w:left="0" w:firstLine="0"/>
        <w:rPr>
          <w:rFonts w:ascii="Times New Roman Bold" w:eastAsia="Batang" w:hAnsi="Times New Roman Bold" w:cs="Simplified Arabic" w:hint="eastAsia"/>
          <w:b/>
          <w:bCs w:val="0"/>
          <w:iCs/>
          <w:color w:val="000000"/>
          <w:kern w:val="22"/>
          <w:szCs w:val="24"/>
          <w:lang w:eastAsia="ja-JP"/>
        </w:rPr>
      </w:pPr>
      <w:r w:rsidRPr="00941541">
        <w:rPr>
          <w:rFonts w:ascii="Times New Roman Bold" w:hAnsi="Times New Roman Bold" w:cs="Simplified Arabic"/>
          <w:b/>
          <w:bCs w:val="0"/>
          <w:szCs w:val="24"/>
          <w:rtl/>
        </w:rPr>
        <w:t>وفي بلدان كثيرة، ينبغي تحديث ال</w:t>
      </w:r>
      <w:r w:rsidRPr="00941541">
        <w:rPr>
          <w:rFonts w:ascii="Times New Roman Bold" w:hAnsi="Times New Roman Bold" w:cs="Simplified Arabic" w:hint="cs"/>
          <w:b/>
          <w:bCs w:val="0"/>
          <w:szCs w:val="24"/>
          <w:rtl/>
        </w:rPr>
        <w:t>أ</w:t>
      </w:r>
      <w:r w:rsidRPr="00941541">
        <w:rPr>
          <w:rFonts w:ascii="Times New Roman Bold" w:hAnsi="Times New Roman Bold" w:cs="Simplified Arabic"/>
          <w:b/>
          <w:bCs w:val="0"/>
          <w:szCs w:val="24"/>
          <w:rtl/>
        </w:rPr>
        <w:t>طر التنظيمي</w:t>
      </w:r>
      <w:r w:rsidRPr="00941541">
        <w:rPr>
          <w:rFonts w:ascii="Times New Roman Bold" w:hAnsi="Times New Roman Bold" w:cs="Simplified Arabic" w:hint="cs"/>
          <w:b/>
          <w:bCs w:val="0"/>
          <w:szCs w:val="24"/>
          <w:rtl/>
        </w:rPr>
        <w:t>ة</w:t>
      </w:r>
      <w:r w:rsidRPr="00941541">
        <w:rPr>
          <w:rFonts w:ascii="Times New Roman Bold" w:hAnsi="Times New Roman Bold" w:cs="Simplified Arabic"/>
          <w:b/>
          <w:bCs w:val="0"/>
          <w:szCs w:val="24"/>
          <w:rtl/>
        </w:rPr>
        <w:t xml:space="preserve"> الحالي</w:t>
      </w:r>
      <w:r w:rsidRPr="00941541">
        <w:rPr>
          <w:rFonts w:ascii="Times New Roman Bold" w:hAnsi="Times New Roman Bold" w:cs="Simplified Arabic" w:hint="cs"/>
          <w:b/>
          <w:bCs w:val="0"/>
          <w:szCs w:val="24"/>
          <w:rtl/>
        </w:rPr>
        <w:t>ة</w:t>
      </w:r>
      <w:r w:rsidRPr="00941541">
        <w:rPr>
          <w:rFonts w:ascii="Times New Roman Bold" w:hAnsi="Times New Roman Bold" w:cs="Simplified Arabic"/>
          <w:b/>
          <w:bCs w:val="0"/>
          <w:szCs w:val="24"/>
          <w:rtl/>
        </w:rPr>
        <w:t xml:space="preserve"> للصيد لكي </w:t>
      </w:r>
      <w:r w:rsidRPr="00941541">
        <w:rPr>
          <w:rFonts w:ascii="Times New Roman Bold" w:hAnsi="Times New Roman Bold" w:cs="Simplified Arabic" w:hint="cs"/>
          <w:b/>
          <w:bCs w:val="0"/>
          <w:szCs w:val="24"/>
          <w:rtl/>
        </w:rPr>
        <w:t>ت</w:t>
      </w:r>
      <w:r w:rsidRPr="00941541">
        <w:rPr>
          <w:rFonts w:ascii="Times New Roman Bold" w:hAnsi="Times New Roman Bold" w:cs="Simplified Arabic"/>
          <w:b/>
          <w:bCs w:val="0"/>
          <w:szCs w:val="24"/>
          <w:rtl/>
        </w:rPr>
        <w:t>تكيف مع وضعيتها الحالية والحقائق الوطنية. وتتميز القوانين المتعلقة بالأحياء البرية بأنها صعبة التطبيق والإنفاذ، ومن غير المرجح أن تنجح في تقليل الضغط على صيد الأنواع الرئيسية وحفظ النظم الإيكولوجية. وعلاوة على ذلك، ينطوي الامتثال لهذه القواعد التي مضى عليها الزمن على تكاليف مرتفعة، ولا تستطيع الشعوب الأصلية والمجتمعات المحلية تحملها في غياب التدابير التعويضية.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327012">
        <w:rPr>
          <w:rFonts w:cs="Simplified Arabic"/>
          <w:b/>
          <w:bCs w:val="0"/>
          <w:szCs w:val="24"/>
          <w:rtl/>
        </w:rPr>
        <w:t xml:space="preserve">وثمة حاجة لتعزيز قدرات </w:t>
      </w:r>
      <w:r>
        <w:rPr>
          <w:rFonts w:cs="Simplified Arabic" w:hint="cs"/>
          <w:b/>
          <w:bCs w:val="0"/>
          <w:szCs w:val="24"/>
          <w:rtl/>
        </w:rPr>
        <w:t xml:space="preserve">الموظفين وقدرات </w:t>
      </w:r>
      <w:r w:rsidRPr="00327012">
        <w:rPr>
          <w:rFonts w:cs="Simplified Arabic"/>
          <w:b/>
          <w:bCs w:val="0"/>
          <w:szCs w:val="24"/>
          <w:rtl/>
        </w:rPr>
        <w:t xml:space="preserve">العديد من البلدان من أجل إنفاذ القوانين المتعلقة بالأحياء البرية بفعالية وإنصاف. وقد نتج عن عدم إنفاذ القوانين الوطنية الاستيلاء غير القانوني على الحقوق التقليدية للشعوب الأصلية والمجتمعات المحلية على الأحياء البرية من جانب الصيادين من الخارج الذين يفتقرون إلى الحقوق المشروعة للصيد على الأراضي التقليدية. وعندما تستفيد الشعوب الأصلية والمجتمعات المحلية من الصيد، واستهلاك الأحياء البرية والتجارة بها من أراضيها، </w:t>
      </w:r>
      <w:r w:rsidRPr="00327012">
        <w:rPr>
          <w:rFonts w:cs="Simplified Arabic"/>
          <w:b/>
          <w:bCs w:val="0"/>
          <w:szCs w:val="24"/>
          <w:rtl/>
        </w:rPr>
        <w:lastRenderedPageBreak/>
        <w:t>فهي ترى أن الصيد غير المشروع ما هو إلا سرقة منها وهي مدفوعة بدرجة عالية إلى وقف الاستخدام غير القانوني أو غير المشروع للأحياء البرية لديها.</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327012">
        <w:rPr>
          <w:rFonts w:cs="Simplified Arabic"/>
          <w:b/>
          <w:bCs w:val="0"/>
          <w:szCs w:val="24"/>
          <w:rtl/>
        </w:rPr>
        <w:t>وهناك أدلة كثيرة على أن تنظيم الصيد، وإنفاذ القانون ومنع الجريمة هي أكثر فاعلية عندما تعمل المجتمعات والسلطات معا على المدى الطويل. ومن الاستراتيجيات الفعالة المجربة والمثبتة</w:t>
      </w:r>
      <w:r>
        <w:rPr>
          <w:rFonts w:cs="Simplified Arabic" w:hint="cs"/>
          <w:b/>
          <w:bCs w:val="0"/>
          <w:szCs w:val="24"/>
          <w:rtl/>
        </w:rPr>
        <w:t>،</w:t>
      </w:r>
      <w:r w:rsidRPr="00327012">
        <w:rPr>
          <w:rFonts w:cs="Simplified Arabic"/>
          <w:b/>
          <w:bCs w:val="0"/>
          <w:szCs w:val="24"/>
          <w:rtl/>
        </w:rPr>
        <w:t xml:space="preserve"> تلك الاستراتيجيات التي تتطلب مشاركة طويلة الأجل لكلا الطرفين، وتنظم الصيد مع أيضا احترام وحماية الحقوق التقليدية المشروعة للشعوب الأصلية والمجتمعات المحلية التي تعيش مع الأحياء البرية، مع الدفاع عن الأصول المجتمعية، وتمكين المجتمعات المحلية من الإدارة المستدامة للأحياء البرية والاستفادة من استخدامها وحفظها. ويمكن أن تكون المجتمعات بمثابة "أعين إنفاذ القانون وآذانه" مع تقديم ال</w:t>
      </w:r>
      <w:r>
        <w:rPr>
          <w:rFonts w:cs="Simplified Arabic" w:hint="cs"/>
          <w:b/>
          <w:bCs w:val="0"/>
          <w:szCs w:val="24"/>
          <w:rtl/>
        </w:rPr>
        <w:t>معلوم</w:t>
      </w:r>
      <w:r w:rsidRPr="00327012">
        <w:rPr>
          <w:rFonts w:cs="Simplified Arabic"/>
          <w:b/>
          <w:bCs w:val="0"/>
          <w:szCs w:val="24"/>
          <w:rtl/>
        </w:rPr>
        <w:t>ات لسلطات الاعتقال، مثل الشرطة، وخدمات المنتزه الوطني، التي تضمن عدم الكشف عن هوية المخبرين، مما يقلل من مخاطر الانتقام. ويمكن أيضا اتخاذ المزيد من الإجراءات لتدريب الشعوب الأصلية والمجتمعات المحلية على أداء أدوار إنفاذ الأمن ومسؤولي المنتزهات الوطنية.</w:t>
      </w:r>
    </w:p>
    <w:p w:rsidR="00D21AB0" w:rsidRPr="00327012"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327012">
        <w:rPr>
          <w:rFonts w:cs="Simplified Arabic"/>
          <w:b/>
          <w:bCs w:val="0"/>
          <w:szCs w:val="24"/>
          <w:rtl/>
        </w:rPr>
        <w:t>الخطوات المقترحة لتحقيق الإدارة المستدامة وتحسين استدامة عرض اللحوم البرية عند المنبع:</w:t>
      </w:r>
    </w:p>
    <w:p w:rsidR="00D21AB0" w:rsidRPr="00E532FF" w:rsidRDefault="00D21AB0" w:rsidP="00D21AB0">
      <w:pPr>
        <w:ind w:firstLine="709"/>
        <w:rPr>
          <w:rFonts w:eastAsia="Batang"/>
          <w:b/>
          <w:iCs/>
          <w:color w:val="000000"/>
          <w:kern w:val="22"/>
          <w:lang w:eastAsia="ja-JP"/>
        </w:rPr>
      </w:pPr>
      <w:r w:rsidRPr="00E532FF">
        <w:rPr>
          <w:b/>
          <w:rtl/>
        </w:rPr>
        <w:t>(أ)</w:t>
      </w:r>
      <w:r w:rsidRPr="00E532FF">
        <w:rPr>
          <w:b/>
          <w:rtl/>
        </w:rPr>
        <w:tab/>
        <w:t>استعراض السياسات والأطر القانونية القائمة:</w:t>
      </w:r>
      <w:r w:rsidRPr="00E532FF">
        <w:rPr>
          <w:rStyle w:val="FootnoteReference"/>
          <w:b/>
          <w:rtl/>
        </w:rPr>
        <w:footnoteReference w:id="112"/>
      </w:r>
      <w:r w:rsidRPr="00E532FF">
        <w:rPr>
          <w:b/>
          <w:rtl/>
        </w:rPr>
        <w:t xml:space="preserve"> تشجع بقوة الدول التي يشاع فيها استخدام اللحوم البرية على استعراض السياسات والأطر القانونية القائمة المتعلقة بحفظ الأحياء البرية واستخدامها المستدام، بما في ذلك إدارة أنواع اللحوم البرية</w:t>
      </w:r>
      <w:r>
        <w:rPr>
          <w:rFonts w:hint="cs"/>
          <w:b/>
          <w:rtl/>
        </w:rPr>
        <w:t>،</w:t>
      </w:r>
      <w:r w:rsidRPr="00E532FF">
        <w:rPr>
          <w:b/>
          <w:rtl/>
        </w:rPr>
        <w:t xml:space="preserve"> وفقا للظروف الوطنية والتشريع الوطني الساري، على إدراج ما يلي:</w:t>
      </w:r>
    </w:p>
    <w:p w:rsidR="00D21AB0" w:rsidRPr="00E532FF" w:rsidRDefault="00D21AB0" w:rsidP="00D21AB0">
      <w:pPr>
        <w:ind w:left="1418" w:hanging="720"/>
        <w:rPr>
          <w:b/>
          <w:color w:val="000000"/>
          <w:kern w:val="22"/>
        </w:rPr>
      </w:pPr>
      <w:r w:rsidRPr="00E532FF">
        <w:rPr>
          <w:b/>
          <w:rtl/>
        </w:rPr>
        <w:t>(1)</w:t>
      </w:r>
      <w:r w:rsidRPr="00E532FF">
        <w:rPr>
          <w:b/>
          <w:rtl/>
        </w:rPr>
        <w:tab/>
        <w:t>ترشيد قوانين الأحياء البرية لتركز على الاستدامة، والتأكد من أنها مناسبة للغرض ويمكن تطبيقها وإنفاذها على نحو سليم، ومع الاعتبار الواجب لشواغل كل من الأمن الغذائي والحفظ؛</w:t>
      </w:r>
    </w:p>
    <w:p w:rsidR="00D21AB0" w:rsidRPr="00E532FF" w:rsidRDefault="00D21AB0" w:rsidP="00D21AB0">
      <w:pPr>
        <w:ind w:left="1418" w:hanging="720"/>
        <w:rPr>
          <w:b/>
          <w:color w:val="000000"/>
          <w:kern w:val="22"/>
        </w:rPr>
      </w:pPr>
      <w:r w:rsidRPr="00E532FF">
        <w:rPr>
          <w:b/>
          <w:rtl/>
        </w:rPr>
        <w:t>(2)</w:t>
      </w:r>
      <w:r w:rsidRPr="00E532FF">
        <w:rPr>
          <w:b/>
          <w:rtl/>
        </w:rPr>
        <w:tab/>
        <w:t>نقل حقوق الأحياء البرية إلى السكان المحليين، حسب الاقتضاء، وتمشيا مع خطة العمل المتعلقة بالاستخدام المألوف المستدام في إطار الاتفاقية، مع تعزيز الأشكال المناسبة لحيازة الأراضي، بما في ذلك الملكية من أجل زيادة حوافزهم على إدارة الموارد على نحو مستدام وممارسة إنفاذهم ضد الجهات الفاعلة الخارجية. وبذلك، ينبغي دعم المجتمعات من جانب وكالة وطنية مختصة وموثوقة لديها السلطة لاعتقال ومقاضاة من يخرق القانون في الوقت المناسب؛</w:t>
      </w:r>
      <w:r w:rsidRPr="00E532FF">
        <w:rPr>
          <w:rStyle w:val="FootnoteReference"/>
          <w:b/>
          <w:rtl/>
        </w:rPr>
        <w:footnoteReference w:id="113"/>
      </w:r>
    </w:p>
    <w:p w:rsidR="00D21AB0" w:rsidRPr="00E532FF" w:rsidRDefault="00D21AB0" w:rsidP="00D21AB0">
      <w:pPr>
        <w:ind w:left="1418" w:hanging="720"/>
        <w:rPr>
          <w:b/>
          <w:color w:val="000000"/>
          <w:kern w:val="22"/>
        </w:rPr>
      </w:pPr>
      <w:r w:rsidRPr="00E532FF">
        <w:rPr>
          <w:b/>
          <w:rtl/>
        </w:rPr>
        <w:t>(3)</w:t>
      </w:r>
      <w:r w:rsidRPr="00E532FF">
        <w:rPr>
          <w:b/>
          <w:rtl/>
        </w:rPr>
        <w:tab/>
        <w:t>إعداد مبادئ توجيهية تميز بين أنواع الأحياء البرية التي تتحمل الصيد والأنواع التي لا تتحمل الصيد، من أجل إعلام الاستخدام والتجارة بالأنواع التي يمكن صيدها على نحو مستدام. وينبغي أن تميز القوانين التي تنظم الصيد والتجارة بين أنواع الأحياء البرية التي تتكاثر بسرعة (مثل القوارض والخنازير) والأنواع التي لا تتكاثر بسرعة (مثل أنواع الرئيسيات ومعظم الثدييات الضخمة). وينبغي أن تستجيب التشريعات بالقدر الكافي للسماح بالإدارة التكيفية، مع حصص أو آليات تنظيمية أخرى تعترف بتحمل الأنواع للصيد؛</w:t>
      </w:r>
    </w:p>
    <w:p w:rsidR="00D21AB0" w:rsidRPr="00E532FF" w:rsidRDefault="00D21AB0" w:rsidP="00D21AB0">
      <w:pPr>
        <w:ind w:left="1418" w:hanging="720"/>
        <w:rPr>
          <w:b/>
          <w:color w:val="000000"/>
          <w:kern w:val="22"/>
        </w:rPr>
      </w:pPr>
      <w:r w:rsidRPr="00E532FF">
        <w:rPr>
          <w:b/>
          <w:rtl/>
        </w:rPr>
        <w:t>(4)</w:t>
      </w:r>
      <w:r w:rsidRPr="00E532FF">
        <w:rPr>
          <w:b/>
          <w:rtl/>
        </w:rPr>
        <w:tab/>
        <w:t>في حالة النظر في نظام ضريبي، يجرى تحقيق كامل للقدرات الحالية والمطلوبة، واستدامة النظام الضريبي (أي أن الإيرادات ستغطي التكاليف)؛</w:t>
      </w:r>
    </w:p>
    <w:p w:rsidR="00D21AB0" w:rsidRPr="00E532FF" w:rsidRDefault="00D21AB0" w:rsidP="00D21AB0">
      <w:pPr>
        <w:ind w:left="1440" w:hanging="720"/>
        <w:rPr>
          <w:rFonts w:eastAsia="Batang"/>
          <w:b/>
          <w:iCs/>
          <w:color w:val="000000"/>
          <w:kern w:val="22"/>
          <w:lang w:eastAsia="ja-JP"/>
        </w:rPr>
      </w:pPr>
      <w:r w:rsidRPr="00E532FF">
        <w:rPr>
          <w:b/>
          <w:rtl/>
        </w:rPr>
        <w:t>(ب)</w:t>
      </w:r>
      <w:r w:rsidRPr="00E532FF">
        <w:rPr>
          <w:b/>
          <w:rtl/>
        </w:rPr>
        <w:tab/>
        <w:t>تعزيز القدرات على إنفاذ القانون:</w:t>
      </w:r>
    </w:p>
    <w:p w:rsidR="00D21AB0" w:rsidRPr="00E532FF" w:rsidRDefault="00D21AB0" w:rsidP="002F2FBF">
      <w:pPr>
        <w:spacing w:after="100" w:line="209" w:lineRule="auto"/>
        <w:ind w:left="1411" w:hanging="720"/>
        <w:rPr>
          <w:b/>
          <w:color w:val="000000"/>
          <w:kern w:val="22"/>
        </w:rPr>
      </w:pPr>
      <w:r w:rsidRPr="00E532FF">
        <w:rPr>
          <w:b/>
          <w:rtl/>
        </w:rPr>
        <w:lastRenderedPageBreak/>
        <w:t>(1)</w:t>
      </w:r>
      <w:r w:rsidRPr="00E532FF">
        <w:rPr>
          <w:b/>
          <w:rtl/>
        </w:rPr>
        <w:tab/>
        <w:t>إنفاذ القوانين الوطنية للأحياء البرية بالشراكة مع الدولة والمجتمعات المحلية، مع تحفيز المجتمعات بمنافع التنوع البيولوجي من أجل التعاون في أهداف الحفظ والاستخدام المستدام ودعمها؛</w:t>
      </w:r>
    </w:p>
    <w:p w:rsidR="00D21AB0" w:rsidRPr="00E532FF" w:rsidRDefault="00D21AB0" w:rsidP="002F2FBF">
      <w:pPr>
        <w:spacing w:after="100" w:line="209" w:lineRule="auto"/>
        <w:ind w:left="1411" w:hanging="720"/>
        <w:rPr>
          <w:b/>
          <w:color w:val="000000"/>
          <w:kern w:val="22"/>
        </w:rPr>
      </w:pPr>
      <w:r w:rsidRPr="00E532FF">
        <w:rPr>
          <w:b/>
          <w:rtl/>
        </w:rPr>
        <w:t>(2)</w:t>
      </w:r>
      <w:r w:rsidRPr="00E532FF">
        <w:rPr>
          <w:b/>
          <w:rtl/>
        </w:rPr>
        <w:tab/>
        <w:t>تعزيز القدرات</w:t>
      </w:r>
      <w:r>
        <w:rPr>
          <w:b/>
          <w:rtl/>
        </w:rPr>
        <w:t xml:space="preserve"> على إجراء التحقيقات، وتعزيز الر</w:t>
      </w:r>
      <w:r w:rsidRPr="00E532FF">
        <w:rPr>
          <w:b/>
          <w:rtl/>
        </w:rPr>
        <w:t>ق</w:t>
      </w:r>
      <w:r>
        <w:rPr>
          <w:rFonts w:hint="cs"/>
          <w:b/>
          <w:rtl/>
        </w:rPr>
        <w:t>ا</w:t>
      </w:r>
      <w:r w:rsidRPr="00E532FF">
        <w:rPr>
          <w:b/>
          <w:rtl/>
        </w:rPr>
        <w:t>بة، وإجراءات ووسائل التفتيش والاعتقال، بجانب تدريب وتشغيل الشعوب الأصلية والمجتمعات المحلية، بما في ذلك في النقاط المحلية وعند الحدود؛</w:t>
      </w:r>
      <w:r w:rsidRPr="00E532FF">
        <w:rPr>
          <w:rStyle w:val="FootnoteReference"/>
          <w:b/>
          <w:rtl/>
        </w:rPr>
        <w:footnoteReference w:id="114"/>
      </w:r>
    </w:p>
    <w:p w:rsidR="00D21AB0" w:rsidRPr="00E532FF" w:rsidRDefault="00D21AB0" w:rsidP="002F2FBF">
      <w:pPr>
        <w:spacing w:after="100" w:line="209" w:lineRule="auto"/>
        <w:ind w:left="1411" w:hanging="720"/>
        <w:rPr>
          <w:b/>
          <w:color w:val="000000"/>
          <w:kern w:val="22"/>
        </w:rPr>
      </w:pPr>
      <w:r w:rsidRPr="00E532FF">
        <w:rPr>
          <w:b/>
          <w:rtl/>
        </w:rPr>
        <w:t>(3)</w:t>
      </w:r>
      <w:r w:rsidRPr="00E532FF">
        <w:rPr>
          <w:b/>
          <w:rtl/>
        </w:rPr>
        <w:tab/>
        <w:t>تعزيز التدابير لحماية حقوق الشعوب الأصلية والمجتمعات المحلية في أنشطة الإنفاذ، وردع الصيد غير المشروع؛</w:t>
      </w:r>
    </w:p>
    <w:p w:rsidR="00D21AB0" w:rsidRPr="00E532FF" w:rsidRDefault="00D21AB0" w:rsidP="002F2FBF">
      <w:pPr>
        <w:spacing w:after="100" w:line="209" w:lineRule="auto"/>
        <w:ind w:left="1411" w:hanging="720"/>
        <w:rPr>
          <w:rFonts w:eastAsia="Batang"/>
          <w:b/>
          <w:iCs/>
          <w:color w:val="000000"/>
          <w:kern w:val="22"/>
          <w:lang w:eastAsia="ja-JP"/>
        </w:rPr>
      </w:pPr>
      <w:r w:rsidRPr="00E532FF">
        <w:rPr>
          <w:b/>
          <w:rtl/>
        </w:rPr>
        <w:t>(4)</w:t>
      </w:r>
      <w:r w:rsidRPr="00E532FF">
        <w:rPr>
          <w:b/>
          <w:rtl/>
        </w:rPr>
        <w:tab/>
        <w:t>تعزيز التعاون والتنسيق بين ضباط ومسؤولي إنفاذ قوانين التجارة بالأحياء البرية، والمدعين العامين والقضاة وغيرهم من الموظفين المعنيين في مجال تنفيذ القانون ذي الصلة، وتمكين المدعين العامين والقضاة من مقاضاة حالات الصيد غير المشروع للحوم البرية والاتجار بها وإصدار أحكام بحق مرتكبيها؛</w:t>
      </w:r>
    </w:p>
    <w:p w:rsidR="00D21AB0" w:rsidRPr="00E532FF" w:rsidRDefault="00D21AB0" w:rsidP="002F2FBF">
      <w:pPr>
        <w:spacing w:after="100" w:line="209" w:lineRule="auto"/>
        <w:ind w:left="1411" w:hanging="720"/>
        <w:rPr>
          <w:rFonts w:eastAsia="Batang"/>
          <w:b/>
          <w:iCs/>
          <w:color w:val="000000"/>
          <w:kern w:val="22"/>
          <w:lang w:eastAsia="ja-JP"/>
        </w:rPr>
      </w:pPr>
      <w:r w:rsidRPr="00E532FF">
        <w:rPr>
          <w:b/>
          <w:rtl/>
        </w:rPr>
        <w:t>(5)</w:t>
      </w:r>
      <w:r w:rsidRPr="00E532FF">
        <w:rPr>
          <w:b/>
          <w:rtl/>
        </w:rPr>
        <w:tab/>
        <w:t>تعزيز قدرة موظفي الإدارات المالية والقانونية والقضائية بشأن القوانين والسياسات البيئية بغية زيادة وعيهم و</w:t>
      </w:r>
      <w:r>
        <w:rPr>
          <w:rFonts w:hint="cs"/>
          <w:b/>
          <w:rtl/>
        </w:rPr>
        <w:t>كفاء</w:t>
      </w:r>
      <w:r w:rsidRPr="00E532FF">
        <w:rPr>
          <w:b/>
          <w:rtl/>
        </w:rPr>
        <w:t xml:space="preserve">تهم في التصدي للجرائم </w:t>
      </w:r>
      <w:r>
        <w:rPr>
          <w:rFonts w:hint="cs"/>
          <w:b/>
          <w:rtl/>
        </w:rPr>
        <w:t>المرتكبة ضد</w:t>
      </w:r>
      <w:r w:rsidRPr="00E532FF">
        <w:rPr>
          <w:b/>
          <w:rtl/>
        </w:rPr>
        <w:t xml:space="preserve"> الأحياء البرية؛</w:t>
      </w:r>
    </w:p>
    <w:p w:rsidR="00D21AB0" w:rsidRPr="00E532FF" w:rsidRDefault="00D21AB0" w:rsidP="002F2FBF">
      <w:pPr>
        <w:spacing w:after="100" w:line="209" w:lineRule="auto"/>
        <w:ind w:left="1411" w:hanging="720"/>
        <w:rPr>
          <w:rFonts w:eastAsia="Batang"/>
          <w:b/>
          <w:iCs/>
          <w:color w:val="000000"/>
          <w:kern w:val="22"/>
          <w:lang w:eastAsia="ja-JP"/>
        </w:rPr>
      </w:pPr>
      <w:r w:rsidRPr="00E532FF">
        <w:rPr>
          <w:b/>
          <w:rtl/>
        </w:rPr>
        <w:t>(6)</w:t>
      </w:r>
      <w:r w:rsidRPr="00E532FF">
        <w:rPr>
          <w:b/>
          <w:rtl/>
        </w:rPr>
        <w:tab/>
        <w:t>تعزيز حملات زيادة التوعية للمواطنين، بما في ذلك الشعوب الأصلية والمجتمعات المحلية بشأن التشريعات والقواعد الوطنية والمحلية؛</w:t>
      </w:r>
    </w:p>
    <w:p w:rsidR="00D21AB0" w:rsidRPr="00E532FF" w:rsidRDefault="00D21AB0" w:rsidP="00D21AB0">
      <w:pPr>
        <w:ind w:firstLine="709"/>
        <w:rPr>
          <w:rFonts w:eastAsia="Batang"/>
          <w:b/>
          <w:iCs/>
          <w:color w:val="000000"/>
          <w:kern w:val="22"/>
          <w:lang w:eastAsia="ja-JP"/>
        </w:rPr>
      </w:pPr>
      <w:r w:rsidRPr="00E532FF">
        <w:rPr>
          <w:b/>
          <w:rtl/>
        </w:rPr>
        <w:t>(ج)</w:t>
      </w:r>
      <w:r w:rsidRPr="00E532FF">
        <w:rPr>
          <w:b/>
          <w:rtl/>
        </w:rPr>
        <w:tab/>
        <w:t xml:space="preserve">تطوير وتعزيز العمليات التشاركية في صياغة وتنفيذ الإدارة المستدامة والصيد المستدام للأحياء البرية، بما في ذلك أنواع اللحوم البرية، مع مشاركة الشعوب الأصلية والمجتمعات المحلية، والمنظمات غير الحكومية والقطاع الخاص </w:t>
      </w:r>
      <w:r>
        <w:rPr>
          <w:rFonts w:hint="cs"/>
          <w:b/>
          <w:rtl/>
        </w:rPr>
        <w:t>و</w:t>
      </w:r>
      <w:r w:rsidRPr="00E532FF">
        <w:rPr>
          <w:b/>
          <w:rtl/>
        </w:rPr>
        <w:t>أصحاب المصلحة</w:t>
      </w:r>
      <w:r>
        <w:rPr>
          <w:rFonts w:hint="cs"/>
          <w:b/>
          <w:rtl/>
        </w:rPr>
        <w:t xml:space="preserve"> المعنيين</w:t>
      </w:r>
      <w:r w:rsidRPr="00E532FF">
        <w:rPr>
          <w:b/>
          <w:rtl/>
        </w:rPr>
        <w:t>:</w:t>
      </w:r>
    </w:p>
    <w:p w:rsidR="00D21AB0" w:rsidRPr="00E532FF" w:rsidRDefault="00D21AB0" w:rsidP="002F2FBF">
      <w:pPr>
        <w:spacing w:after="100" w:line="209" w:lineRule="auto"/>
        <w:ind w:left="1418" w:hanging="720"/>
        <w:rPr>
          <w:rFonts w:eastAsia="Batang"/>
          <w:b/>
          <w:iCs/>
          <w:color w:val="000000"/>
          <w:kern w:val="22"/>
          <w:lang w:eastAsia="ja-JP"/>
        </w:rPr>
      </w:pPr>
      <w:r w:rsidRPr="00E532FF">
        <w:rPr>
          <w:b/>
          <w:rtl/>
        </w:rPr>
        <w:t>(1)</w:t>
      </w:r>
      <w:r w:rsidRPr="00E532FF">
        <w:rPr>
          <w:b/>
          <w:rtl/>
        </w:rPr>
        <w:tab/>
        <w:t xml:space="preserve">عند الاقتضاء، ينبغي أن تشترك المجتمعات في الإدارة المستدامة للموارد المحلية للأحياء البرية. ويمكن تحقيق ذلك من خلال الاعتراف بالأقاليم والمناطق التي تحفظها الشعوب الأصلية والمجتمعات المحلية </w:t>
      </w:r>
      <w:r w:rsidRPr="00E532FF">
        <w:rPr>
          <w:bCs/>
          <w:lang w:val="en-CA"/>
        </w:rPr>
        <w:t>(ICCAs)</w:t>
      </w:r>
      <w:r w:rsidRPr="00E532FF">
        <w:rPr>
          <w:b/>
          <w:rtl/>
        </w:rPr>
        <w:t xml:space="preserve"> ودعمها، وباستخدام طائفة من نماذج الإدارة، بما فيها مناطق الصيد المجتمعية، والمحميات المجتمعية، ونظم المدفوعات مقابل خدمات النظم الإيكولوجية ونظم إصدار الشهادات، </w:t>
      </w:r>
      <w:r>
        <w:rPr>
          <w:rFonts w:hint="cs"/>
          <w:b/>
          <w:rtl/>
        </w:rPr>
        <w:t>فضلا عن</w:t>
      </w:r>
      <w:r w:rsidRPr="00E532FF">
        <w:rPr>
          <w:b/>
          <w:rtl/>
        </w:rPr>
        <w:t xml:space="preserve"> نماذج الإدارة المراعية للتنوع البيولوجي؛</w:t>
      </w:r>
    </w:p>
    <w:p w:rsidR="00D21AB0" w:rsidRPr="00E532FF" w:rsidRDefault="00D21AB0" w:rsidP="002F2FBF">
      <w:pPr>
        <w:spacing w:after="100" w:line="209" w:lineRule="auto"/>
        <w:ind w:left="1418" w:hanging="720"/>
        <w:rPr>
          <w:rFonts w:eastAsia="Batang"/>
          <w:b/>
          <w:iCs/>
          <w:color w:val="000000"/>
          <w:kern w:val="22"/>
          <w:lang w:eastAsia="ja-JP"/>
        </w:rPr>
      </w:pPr>
      <w:r w:rsidRPr="00E532FF">
        <w:rPr>
          <w:b/>
          <w:rtl/>
        </w:rPr>
        <w:t>(2)</w:t>
      </w:r>
      <w:r w:rsidRPr="00E532FF">
        <w:rPr>
          <w:b/>
          <w:rtl/>
        </w:rPr>
        <w:tab/>
        <w:t>ينبغي أن تكون إدارة الأحياء البرية، بما في ذلك إدارة أنواع اللحوم البرية، جزءا أساسيا من خطط الإدارة أو خطط الأعمال بالنسبة للصناعات الاستخراجية (النفط، والغاز، والمعادن، والأخشاب، وغير ذلك) التي تعمل في النظم الإيكولوجية المدارية وشبه المدارية. وفي إطار ظروف مناسبة، ينبغي أن تنص العقود بين الحكومة وشركات البن</w:t>
      </w:r>
      <w:r>
        <w:rPr>
          <w:rFonts w:hint="cs"/>
          <w:b/>
          <w:rtl/>
        </w:rPr>
        <w:t>ية</w:t>
      </w:r>
      <w:r w:rsidRPr="00E532FF">
        <w:rPr>
          <w:b/>
          <w:rtl/>
        </w:rPr>
        <w:t xml:space="preserve"> التحتية والصناعات الاستخراجية على بدائل للغذاء بخلاف اللحوم البرية للموظفين العاملين في هذه الامتيازات حيث يفوق الطلب أو يتوقع أن يفوق المنتوج المستدام؛</w:t>
      </w:r>
    </w:p>
    <w:p w:rsidR="00D21AB0" w:rsidRPr="00E532FF" w:rsidRDefault="00D21AB0" w:rsidP="002F2FBF">
      <w:pPr>
        <w:spacing w:after="100" w:line="209" w:lineRule="auto"/>
        <w:ind w:left="1418" w:hanging="720"/>
        <w:rPr>
          <w:rFonts w:eastAsia="Batang"/>
          <w:b/>
          <w:iCs/>
          <w:color w:val="000000"/>
          <w:kern w:val="22"/>
          <w:lang w:eastAsia="ja-JP"/>
        </w:rPr>
      </w:pPr>
      <w:r w:rsidRPr="00E532FF">
        <w:rPr>
          <w:b/>
          <w:rtl/>
        </w:rPr>
        <w:t>(3)</w:t>
      </w:r>
      <w:r w:rsidRPr="00E532FF">
        <w:rPr>
          <w:b/>
          <w:rtl/>
        </w:rPr>
        <w:tab/>
        <w:t>ينبغي تحديد وتطبيق الضمانات الحالية للتنوع البيولوجي والمعايير داخل المبادئ التوجيهية وسياسات الصناعات الاستخراجية، وتوسيع نطاقها عند الضرورة، وتطبيقها ورصدها. وينبغي تطبيق العقوبات وتدابير التعويضات في الحالات التي تفشل فيها الشركات بصدد هذه الضمانات والمعايير؛</w:t>
      </w:r>
    </w:p>
    <w:p w:rsidR="00D21AB0" w:rsidRPr="00E532FF" w:rsidRDefault="00D21AB0" w:rsidP="002F2FBF">
      <w:pPr>
        <w:spacing w:after="100" w:line="209" w:lineRule="auto"/>
        <w:ind w:left="1411" w:hanging="720"/>
        <w:rPr>
          <w:rFonts w:eastAsia="Batang"/>
          <w:b/>
          <w:iCs/>
          <w:color w:val="000000"/>
          <w:kern w:val="22"/>
          <w:lang w:eastAsia="ja-JP"/>
        </w:rPr>
      </w:pPr>
      <w:r w:rsidRPr="00E532FF">
        <w:rPr>
          <w:b/>
          <w:rtl/>
        </w:rPr>
        <w:t>(4)</w:t>
      </w:r>
      <w:r w:rsidRPr="00E532FF">
        <w:rPr>
          <w:b/>
          <w:rtl/>
        </w:rPr>
        <w:tab/>
        <w:t>يمكن زيادة دمج اعتبارات الإدارة المستدامة للحوم البرية في نظم إصدار شهادات الغابات</w:t>
      </w:r>
      <w:r w:rsidRPr="00E532FF">
        <w:rPr>
          <w:rStyle w:val="FootnoteReference"/>
          <w:b/>
          <w:rtl/>
        </w:rPr>
        <w:footnoteReference w:id="115"/>
      </w:r>
      <w:r w:rsidRPr="00E532FF">
        <w:rPr>
          <w:b/>
          <w:rtl/>
        </w:rPr>
        <w:t xml:space="preserve"> والمعايير وعمليات المؤشرات للإدارة المستدامة للغابات من أجل التخفيف من آثار الأنشطة البشرية على الأحياء </w:t>
      </w:r>
      <w:r w:rsidRPr="00E532FF">
        <w:rPr>
          <w:b/>
          <w:rtl/>
        </w:rPr>
        <w:lastRenderedPageBreak/>
        <w:t xml:space="preserve">البرية عن طريق إدراج أحكام للمصادر المستدامة والبديلة للغذاء وسبل العيش، عند الضرورة، ولبناء </w:t>
      </w:r>
      <w:r w:rsidRPr="00241296">
        <w:rPr>
          <w:rFonts w:ascii="Times New Roman Bold" w:hAnsi="Times New Roman Bold"/>
          <w:b/>
          <w:rtl/>
        </w:rPr>
        <w:t>القدرات ونظم الإدارة التي تدعم الصيد المشروع والمستدام، ومنع صيد الأنواع المحمية وتنظيمه.</w:t>
      </w:r>
    </w:p>
    <w:p w:rsidR="00D21AB0" w:rsidRPr="00E532FF" w:rsidRDefault="00D21AB0" w:rsidP="00D21AB0">
      <w:pPr>
        <w:ind w:firstLine="709"/>
        <w:rPr>
          <w:rFonts w:eastAsia="Batang"/>
          <w:b/>
          <w:iCs/>
          <w:color w:val="000000"/>
          <w:kern w:val="22"/>
          <w:lang w:eastAsia="ja-JP"/>
        </w:rPr>
      </w:pPr>
      <w:r w:rsidRPr="00E532FF">
        <w:rPr>
          <w:b/>
          <w:spacing w:val="-10"/>
          <w:rtl/>
        </w:rPr>
        <w:t>(د)</w:t>
      </w:r>
      <w:r w:rsidRPr="00E532FF">
        <w:rPr>
          <w:b/>
          <w:spacing w:val="-10"/>
          <w:rtl/>
        </w:rPr>
        <w:tab/>
      </w:r>
      <w:r w:rsidRPr="00E532FF">
        <w:rPr>
          <w:b/>
          <w:rtl/>
        </w:rPr>
        <w:t>الاستبدال والتدابير التخفيفية الأخرى:</w:t>
      </w:r>
    </w:p>
    <w:p w:rsidR="00D21AB0" w:rsidRPr="00241296" w:rsidRDefault="00D21AB0" w:rsidP="00D21AB0">
      <w:pPr>
        <w:pStyle w:val="Para10"/>
        <w:numPr>
          <w:ilvl w:val="0"/>
          <w:numId w:val="0"/>
        </w:numPr>
        <w:bidi/>
        <w:spacing w:before="0" w:line="216" w:lineRule="auto"/>
        <w:ind w:left="1440"/>
        <w:rPr>
          <w:rFonts w:ascii="Times New Roman Bold" w:eastAsia="Batang" w:hAnsi="Times New Roman Bold" w:cs="Simplified Arabic" w:hint="eastAsia"/>
          <w:b/>
          <w:snapToGrid/>
          <w:spacing w:val="-6"/>
          <w:kern w:val="22"/>
          <w:szCs w:val="24"/>
          <w:lang w:eastAsia="ja-JP"/>
        </w:rPr>
      </w:pPr>
      <w:r w:rsidRPr="00241296">
        <w:rPr>
          <w:rFonts w:ascii="Times New Roman Bold" w:hAnsi="Times New Roman Bold" w:cs="Simplified Arabic"/>
          <w:b/>
          <w:spacing w:val="-6"/>
          <w:szCs w:val="24"/>
          <w:rtl/>
        </w:rPr>
        <w:t>يعد تطوير مصادر بديلة للأغذية والدخل مقبولة ثقافيا ومجدية اقتصاديا أمرا ضروريا عندما لا يمكن الاستفادة من الأحياء البرية وحدها على نحو مستدام لدعم احتياجات سب</w:t>
      </w:r>
      <w:r>
        <w:rPr>
          <w:rFonts w:ascii="Times New Roman Bold" w:hAnsi="Times New Roman Bold" w:cs="Simplified Arabic" w:hint="cs"/>
          <w:b/>
          <w:spacing w:val="-6"/>
          <w:szCs w:val="24"/>
          <w:rtl/>
        </w:rPr>
        <w:t>ل</w:t>
      </w:r>
      <w:r w:rsidRPr="00241296">
        <w:rPr>
          <w:rFonts w:ascii="Times New Roman Bold" w:hAnsi="Times New Roman Bold" w:cs="Simplified Arabic"/>
          <w:b/>
          <w:spacing w:val="-6"/>
          <w:szCs w:val="24"/>
          <w:rtl/>
        </w:rPr>
        <w:t xml:space="preserve"> العيش الحالية أو المستقبلية. غير أن </w:t>
      </w:r>
      <w:r>
        <w:rPr>
          <w:rFonts w:ascii="Times New Roman Bold" w:hAnsi="Times New Roman Bold" w:cs="Simplified Arabic" w:hint="cs"/>
          <w:b/>
          <w:spacing w:val="-6"/>
          <w:szCs w:val="24"/>
          <w:rtl/>
        </w:rPr>
        <w:t>ال</w:t>
      </w:r>
      <w:r w:rsidRPr="00241296">
        <w:rPr>
          <w:rFonts w:ascii="Times New Roman Bold" w:hAnsi="Times New Roman Bold" w:cs="Simplified Arabic"/>
          <w:b/>
          <w:spacing w:val="-6"/>
          <w:szCs w:val="24"/>
          <w:rtl/>
        </w:rPr>
        <w:t>مصادر ا</w:t>
      </w:r>
      <w:r>
        <w:rPr>
          <w:rFonts w:ascii="Times New Roman Bold" w:hAnsi="Times New Roman Bold" w:cs="Simplified Arabic" w:hint="cs"/>
          <w:b/>
          <w:spacing w:val="-6"/>
          <w:szCs w:val="24"/>
          <w:rtl/>
        </w:rPr>
        <w:t>لبديلة ل</w:t>
      </w:r>
      <w:r w:rsidRPr="00241296">
        <w:rPr>
          <w:rFonts w:ascii="Times New Roman Bold" w:hAnsi="Times New Roman Bold" w:cs="Simplified Arabic"/>
          <w:b/>
          <w:spacing w:val="-6"/>
          <w:szCs w:val="24"/>
          <w:rtl/>
        </w:rPr>
        <w:t>لأغذية والدخل يجب أن تراعي الحقائق والثقافات والتفضيلات المحلية، وينبغي تطويرها وتنفيذها مع الشعوب الأصلية والمجتمعات المحلية أو دعم مشاريع إدرار الدخل المجتمعية. ويمكن أن تؤدي التدابير التخفيفية (الزراعة، وتربية الماشية، وانسال الحيوانات الحبيسة، وما إلى ذلك) دورا في حفظ الموارد من الأحياء البرية.</w:t>
      </w:r>
    </w:p>
    <w:p w:rsidR="00D21AB0" w:rsidRPr="00E532FF" w:rsidRDefault="00D21AB0" w:rsidP="00D21AB0">
      <w:pPr>
        <w:jc w:val="center"/>
        <w:rPr>
          <w:rFonts w:eastAsia="Calibri"/>
          <w:iCs/>
          <w:snapToGrid w:val="0"/>
          <w:color w:val="000000"/>
          <w:kern w:val="22"/>
        </w:rPr>
      </w:pPr>
      <w:r w:rsidRPr="00E532FF">
        <w:rPr>
          <w:b/>
          <w:bCs/>
          <w:rtl/>
        </w:rPr>
        <w:t>باء-</w:t>
      </w:r>
      <w:r w:rsidRPr="00E532FF">
        <w:rPr>
          <w:b/>
          <w:bCs/>
          <w:rtl/>
        </w:rPr>
        <w:tab/>
        <w:t>تقليل الطلب على اللحوم البرية المدارة على نحو غير مستدام و/أو غير قانوني في المدن والقرى</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E532FF">
        <w:rPr>
          <w:rFonts w:cs="Simplified Arabic"/>
          <w:b/>
          <w:bCs w:val="0"/>
          <w:szCs w:val="24"/>
          <w:rtl/>
        </w:rPr>
        <w:t>يتزايد الطلب العالمي على البروتين الحيواني نتيجة للنمو المطرد في أعداد السكان، والت</w:t>
      </w:r>
      <w:r>
        <w:rPr>
          <w:rFonts w:cs="Simplified Arabic" w:hint="cs"/>
          <w:b/>
          <w:bCs w:val="0"/>
          <w:szCs w:val="24"/>
          <w:rtl/>
        </w:rPr>
        <w:t>وسع ال</w:t>
      </w:r>
      <w:r w:rsidRPr="00E532FF">
        <w:rPr>
          <w:rFonts w:cs="Simplified Arabic"/>
          <w:b/>
          <w:bCs w:val="0"/>
          <w:szCs w:val="24"/>
          <w:rtl/>
        </w:rPr>
        <w:t>حضر</w:t>
      </w:r>
      <w:r>
        <w:rPr>
          <w:rFonts w:cs="Simplified Arabic" w:hint="cs"/>
          <w:b/>
          <w:bCs w:val="0"/>
          <w:szCs w:val="24"/>
          <w:rtl/>
        </w:rPr>
        <w:t>ي</w:t>
      </w:r>
      <w:r w:rsidRPr="00E532FF">
        <w:rPr>
          <w:rFonts w:cs="Simplified Arabic"/>
          <w:b/>
          <w:bCs w:val="0"/>
          <w:szCs w:val="24"/>
          <w:rtl/>
        </w:rPr>
        <w:t>، والنجاح المتزايد للجهود المبذولة على الصعيد العالمي للتخفيف من وطأة الفقر. ويدفع ذلك زيادة درامية في الطلب على الأحياء البرية (الأرضية والمائية على السواء)، ويتوقع أن يتسارع هذا الطلب عبر العقود القادمة. ويتأثر الطلب على اللحوم البرية، مثله مثل السلع الاستهلاكية الأخرى، بالسعر، وثروة المستهلك، والثقافة، وتوافر البدائل والعوامل غير السعرية، مثل الأفضلية لدى المس</w:t>
      </w:r>
      <w:r>
        <w:rPr>
          <w:rFonts w:cs="Simplified Arabic"/>
          <w:b/>
          <w:bCs w:val="0"/>
          <w:szCs w:val="24"/>
          <w:rtl/>
        </w:rPr>
        <w:t>تهلكين، ومن الذي سيدفع ثمن الس</w:t>
      </w:r>
      <w:r>
        <w:rPr>
          <w:rFonts w:cs="Simplified Arabic" w:hint="cs"/>
          <w:b/>
          <w:bCs w:val="0"/>
          <w:szCs w:val="24"/>
          <w:rtl/>
        </w:rPr>
        <w:t>ل</w:t>
      </w:r>
      <w:r>
        <w:rPr>
          <w:rFonts w:cs="Simplified Arabic"/>
          <w:b/>
          <w:bCs w:val="0"/>
          <w:szCs w:val="24"/>
          <w:rtl/>
        </w:rPr>
        <w:t>ع</w:t>
      </w:r>
      <w:r w:rsidRPr="00E532FF">
        <w:rPr>
          <w:rFonts w:cs="Simplified Arabic"/>
          <w:b/>
          <w:bCs w:val="0"/>
          <w:szCs w:val="24"/>
          <w:rtl/>
        </w:rPr>
        <w:t>ة.</w:t>
      </w:r>
    </w:p>
    <w:p w:rsidR="00D21AB0" w:rsidRPr="008E26A6" w:rsidRDefault="00D21AB0" w:rsidP="00FF7FA5">
      <w:pPr>
        <w:pStyle w:val="Para1"/>
        <w:numPr>
          <w:ilvl w:val="0"/>
          <w:numId w:val="23"/>
        </w:numPr>
        <w:bidi/>
        <w:spacing w:before="0" w:line="216" w:lineRule="auto"/>
        <w:ind w:left="0" w:firstLine="0"/>
        <w:rPr>
          <w:rFonts w:ascii="Times New Roman Bold" w:eastAsia="Batang" w:hAnsi="Times New Roman Bold" w:cs="Simplified Arabic" w:hint="eastAsia"/>
          <w:b/>
          <w:bCs w:val="0"/>
          <w:iCs/>
          <w:color w:val="000000"/>
          <w:kern w:val="22"/>
          <w:szCs w:val="24"/>
          <w:lang w:eastAsia="ja-JP"/>
        </w:rPr>
      </w:pPr>
      <w:r w:rsidRPr="00087A27">
        <w:rPr>
          <w:rFonts w:cs="Simplified Arabic"/>
          <w:b/>
          <w:bCs w:val="0"/>
          <w:szCs w:val="24"/>
          <w:rtl/>
        </w:rPr>
        <w:t>وعند معظم مستويات الدخل، حين يزداد سعر اللحوم البرية بالنسبة للبدائل، يميل المستهلكون إلى تقليل استهلاكهم للحوم البرية. ولكن عندما يمنح استهلاك اللحوم البرية للمستهلكين هيبة معينة، قد تدفع الأسر الثرية إلى استهلاك المزيد عند ارتفاع الأسعار. وهناك معلومات محدودة عن كم يحتاج سعر اللحوم البرية إلى الارتفاع، ويحتاج سعر البدائل المتاحة إلى الهبوط، قبل أن ينخفض الطلب كثيرا على اللحوم البرية</w:t>
      </w:r>
      <w:r w:rsidRPr="008E26A6">
        <w:rPr>
          <w:rFonts w:ascii="Times New Roman Bold" w:hAnsi="Times New Roman Bold" w:cs="Simplified Arabic"/>
          <w:b/>
          <w:bCs w:val="0"/>
          <w:szCs w:val="24"/>
          <w:rtl/>
        </w:rPr>
        <w:t>. وهذه المعلومات تعد حيوية عند تصميم استراتيجيات تقليل الطلب فيما يخص أن</w:t>
      </w:r>
      <w:r>
        <w:rPr>
          <w:rFonts w:ascii="Times New Roman Bold" w:hAnsi="Times New Roman Bold" w:cs="Simplified Arabic" w:hint="cs"/>
          <w:b/>
          <w:bCs w:val="0"/>
          <w:szCs w:val="24"/>
          <w:rtl/>
        </w:rPr>
        <w:t>و</w:t>
      </w:r>
      <w:r w:rsidRPr="008E26A6">
        <w:rPr>
          <w:rFonts w:ascii="Times New Roman Bold" w:hAnsi="Times New Roman Bold" w:cs="Simplified Arabic"/>
          <w:b/>
          <w:bCs w:val="0"/>
          <w:szCs w:val="24"/>
          <w:rtl/>
        </w:rPr>
        <w:t>اع اللحوم البرية التي تدار بطريقة غير مستدامة.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ويمكن زيادة أسعار</w:t>
      </w:r>
      <w:r w:rsidRPr="00E532FF">
        <w:rPr>
          <w:rStyle w:val="FootnoteReference"/>
          <w:b/>
          <w:bCs w:val="0"/>
          <w:rtl/>
        </w:rPr>
        <w:footnoteReference w:id="116"/>
      </w:r>
      <w:r w:rsidRPr="00087A27">
        <w:rPr>
          <w:rFonts w:cs="Simplified Arabic"/>
          <w:b/>
          <w:bCs w:val="0"/>
          <w:szCs w:val="24"/>
          <w:rtl/>
        </w:rPr>
        <w:t xml:space="preserve"> اللحوم البرية بزيادة إنفاذ قوانين الأحياء البرية، أو بفرض الضريبة على مبيعات واستهلاك الأحياء البرية. غير أنه كما ذكرنا أعلاه، فقد لا ينجح ذلك إذا كانت اللحوم البرية تستهلك لأغراض الهيبة. ومن شأن زيادة الأسعار أن تزيد الطلب في بعض أسواق المواد الفاخرة حيث يعتبر ارتفاع السعر والوضع الاجتماعي الذي يمنحه دافعا للاستهلاك، ويمكن أن يؤدي إلى إدخال اللحوم المهربة وإقحامها في الأسواق المشروعة.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ولضمان أن أعداد الأحياء البرية يتم حفظها مع التأكد من أن المستهلكين يستمرون في الحصول على موارد الغذاء، ستكون هناك حاجة، في حالات كثيرة إلى تطوير وإنتاج بدائل اللحوم البرية بكميات كافية. ويمكن أن تعمل لحوم الثروة الحيوانية والأسماك كبدائل للحوم البرية. غير أنه في الحالات التي تعتبر اللحوم البرية جزء</w:t>
      </w:r>
      <w:r>
        <w:rPr>
          <w:rFonts w:cs="Simplified Arabic" w:hint="cs"/>
          <w:b/>
          <w:bCs w:val="0"/>
          <w:szCs w:val="24"/>
          <w:rtl/>
        </w:rPr>
        <w:t>ا</w:t>
      </w:r>
      <w:r w:rsidRPr="00087A27">
        <w:rPr>
          <w:rFonts w:cs="Simplified Arabic"/>
          <w:b/>
          <w:bCs w:val="0"/>
          <w:szCs w:val="24"/>
          <w:rtl/>
        </w:rPr>
        <w:t xml:space="preserve"> مهما من غذاء المجتمعات الريفية، ويمكن تنظيمها لضمان استدامتها، قد تكون أفضل بديل لإنتاج الثروة الحيوانية مع آثارها المصاحبة على التغير في استخدام الأراضي. وإضافة إلى ذلك، ينبغي إجراء التقييمات لضمان أن أي زيادة في إنتاج المواشي والأسماك لن تكون لها أثار سلبية على التنوع البيولوجي والبيئة ويتم القيام بها بطريقة مستدامة.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127F9">
        <w:rPr>
          <w:rFonts w:cs="Simplified Arabic"/>
          <w:b/>
          <w:bCs w:val="0"/>
          <w:szCs w:val="24"/>
          <w:rtl/>
        </w:rPr>
        <w:t xml:space="preserve">والنجاح النسبي للإدارة المستدامة </w:t>
      </w:r>
      <w:r w:rsidRPr="00087A27">
        <w:rPr>
          <w:rFonts w:cs="Simplified Arabic"/>
          <w:b/>
          <w:bCs w:val="0"/>
          <w:szCs w:val="24"/>
          <w:rtl/>
        </w:rPr>
        <w:t>للحوم البرية، بالمقارنة إلى البدائل، سيعتمد على السياق، مثل الاختيار من بين البدائل. وفي أفريقيا الوسطى، يمكن لتربية الدواجن في الفناء الخ</w:t>
      </w:r>
      <w:r>
        <w:rPr>
          <w:rFonts w:cs="Simplified Arabic" w:hint="cs"/>
          <w:b/>
          <w:bCs w:val="0"/>
          <w:szCs w:val="24"/>
          <w:rtl/>
        </w:rPr>
        <w:t>لف</w:t>
      </w:r>
      <w:r w:rsidRPr="00087A27">
        <w:rPr>
          <w:rFonts w:cs="Simplified Arabic"/>
          <w:b/>
          <w:bCs w:val="0"/>
          <w:szCs w:val="24"/>
          <w:rtl/>
        </w:rPr>
        <w:t xml:space="preserve">ي للمنازل أن توفر بديلا مناسبا، بينما في أمريكا الجنوبية، تعتبر أسماك المياه العذبة مكونا مهما من الغذاء، وقد يكون الإنتاج المستدام للأسماك أكثر ملاءمة. ويختلف الوضع في النظم الإيكولوجية في السافانا أو </w:t>
      </w:r>
      <w:r>
        <w:rPr>
          <w:rFonts w:cs="Simplified Arabic" w:hint="cs"/>
          <w:b/>
          <w:bCs w:val="0"/>
          <w:szCs w:val="24"/>
          <w:rtl/>
          <w:lang w:bidi="ar-EG"/>
        </w:rPr>
        <w:t>ال</w:t>
      </w:r>
      <w:r w:rsidRPr="00087A27">
        <w:rPr>
          <w:rFonts w:cs="Simplified Arabic"/>
          <w:b/>
          <w:bCs w:val="0"/>
          <w:szCs w:val="24"/>
          <w:rtl/>
        </w:rPr>
        <w:t>أراضي ال</w:t>
      </w:r>
      <w:r>
        <w:rPr>
          <w:rFonts w:cs="Simplified Arabic" w:hint="cs"/>
          <w:b/>
          <w:bCs w:val="0"/>
          <w:szCs w:val="24"/>
          <w:rtl/>
        </w:rPr>
        <w:t>عشبية</w:t>
      </w:r>
      <w:r w:rsidRPr="00087A27">
        <w:rPr>
          <w:rFonts w:cs="Simplified Arabic"/>
          <w:b/>
          <w:bCs w:val="0"/>
          <w:szCs w:val="24"/>
          <w:rtl/>
        </w:rPr>
        <w:t xml:space="preserve"> (مثل شرق أفريقيا وجنوبها)، حيث تت</w:t>
      </w:r>
      <w:r>
        <w:rPr>
          <w:rFonts w:cs="Simplified Arabic" w:hint="cs"/>
          <w:b/>
          <w:bCs w:val="0"/>
          <w:szCs w:val="24"/>
          <w:rtl/>
        </w:rPr>
        <w:t>شارك</w:t>
      </w:r>
      <w:r w:rsidRPr="00087A27">
        <w:rPr>
          <w:rFonts w:cs="Simplified Arabic"/>
          <w:b/>
          <w:bCs w:val="0"/>
          <w:szCs w:val="24"/>
          <w:rtl/>
        </w:rPr>
        <w:t xml:space="preserve"> الأحياء البرية والثروة الحيوانية المدجنة نفس المراعي لآلاف السنين.</w:t>
      </w:r>
    </w:p>
    <w:p w:rsidR="00D21AB0" w:rsidRPr="00087A27"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lastRenderedPageBreak/>
        <w:t>وكانت المحاولات السابقة لإنتاج بدائل للحوم البرية لغرض الغذاء وتوليد الدخل قد كانت جزءا عاما من مش</w:t>
      </w:r>
      <w:r>
        <w:rPr>
          <w:rFonts w:cs="Simplified Arabic" w:hint="cs"/>
          <w:b/>
          <w:bCs w:val="0"/>
          <w:szCs w:val="24"/>
          <w:rtl/>
        </w:rPr>
        <w:t>اريع</w:t>
      </w:r>
      <w:r w:rsidRPr="00087A27">
        <w:rPr>
          <w:rFonts w:cs="Simplified Arabic"/>
          <w:b/>
          <w:bCs w:val="0"/>
          <w:szCs w:val="24"/>
          <w:rtl/>
        </w:rPr>
        <w:t xml:space="preserve"> صغيرة الحجم "لسبل العيش البديلة" بالنسبة للمجتمعات الريفية. غير أن هذه المشاريع لم تقدم بدائل </w:t>
      </w:r>
      <w:r>
        <w:rPr>
          <w:rFonts w:cs="Simplified Arabic" w:hint="cs"/>
          <w:b/>
          <w:bCs w:val="0"/>
          <w:szCs w:val="24"/>
          <w:rtl/>
        </w:rPr>
        <w:t>على</w:t>
      </w:r>
      <w:r w:rsidRPr="00087A27">
        <w:rPr>
          <w:rFonts w:cs="Simplified Arabic"/>
          <w:b/>
          <w:bCs w:val="0"/>
          <w:szCs w:val="24"/>
          <w:rtl/>
        </w:rPr>
        <w:t xml:space="preserve"> نطاق لازم لتلبية الطلب المتزايد، لا سيما في المناطق الحضرية. ومن شأن تحديد العوامل التي تؤثر في نجاح أو فشل مثل هذه المشاريع أن يسمح بتقييم سليم لمش</w:t>
      </w:r>
      <w:r>
        <w:rPr>
          <w:rFonts w:cs="Simplified Arabic" w:hint="cs"/>
          <w:b/>
          <w:bCs w:val="0"/>
          <w:szCs w:val="24"/>
          <w:rtl/>
        </w:rPr>
        <w:t>اريع</w:t>
      </w:r>
      <w:r w:rsidRPr="00087A27">
        <w:rPr>
          <w:rFonts w:cs="Simplified Arabic"/>
          <w:b/>
          <w:bCs w:val="0"/>
          <w:szCs w:val="24"/>
          <w:rtl/>
        </w:rPr>
        <w:t xml:space="preserve"> سبل العيش البديلة، وإعداد مبادئ توجيهية لأفضل الممارسات.</w:t>
      </w:r>
      <w:r w:rsidRPr="00E532FF">
        <w:rPr>
          <w:rStyle w:val="FootnoteReference"/>
          <w:b/>
          <w:bCs w:val="0"/>
          <w:rtl/>
        </w:rPr>
        <w:footnoteReference w:id="117"/>
      </w:r>
    </w:p>
    <w:p w:rsidR="00D21AB0" w:rsidRPr="004D3FA7" w:rsidRDefault="00D21AB0" w:rsidP="00FF7FA5">
      <w:pPr>
        <w:pStyle w:val="Para1"/>
        <w:numPr>
          <w:ilvl w:val="0"/>
          <w:numId w:val="23"/>
        </w:numPr>
        <w:bidi/>
        <w:spacing w:before="0" w:line="216" w:lineRule="auto"/>
        <w:ind w:left="0" w:firstLine="0"/>
        <w:rPr>
          <w:rFonts w:eastAsia="Batang" w:cs="Simplified Arabic"/>
          <w:b/>
          <w:bCs w:val="0"/>
          <w:i/>
          <w:color w:val="000000"/>
          <w:kern w:val="22"/>
          <w:szCs w:val="24"/>
          <w:rtl/>
          <w:lang w:eastAsia="ja-JP"/>
        </w:rPr>
      </w:pPr>
      <w:r w:rsidRPr="00E532FF">
        <w:rPr>
          <w:rFonts w:cs="Simplified Arabic"/>
          <w:b/>
          <w:bCs w:val="0"/>
          <w:szCs w:val="24"/>
          <w:rtl/>
        </w:rPr>
        <w:t>وتهدف المداخلات بشأن التغير في السلوك إلى التأثير على اختيارات وقرارات المستهلكين، من أجل الاستجابة السريعة لتوافر بدائل للحوم. وعلى المدى الطويل، يمكن أن تهدف المداخلات إلى تقليل الاستهلاك العام للحوم لتأييد البدائل القائمة على النباتات. وتحاول حملات وسائل الإعلام، التي غالبا ما تبث في حكايات الإذاعة أو المسلسلات التليفزيونية، تحاول أن تصل إلى جمهور أكبر من القرى إلى المدن، وتتيح معلومات لتشجيع المستهلكين على تغيير استهلاكهم من اللحوم إلى البدائل، وتعزيز منتجات اللحوم البرية المرخصة عند توافرها. ومع تحول أفضليات شباب المدن بعيدا عن اللحوم البرية بالفعل، يمكن لحملات الإعلام أن تساعد في تحقيق هذا التغير.</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والمدن الريفية التي تنمو بسرعة أو المستوطنات الحضرية البعيدة التي تنشأ من الصناعات الاستخراجية (قطع الأشجار، والتعدين، والنفط) هي نقطة دخول حرجة لإدارة تجارة اللحوم البرية. والكثير من المقيمين ما زالوا يأكلون اللحوم البرية بشكل منتظم بسبب قربهم من هذه الموارد، والتوافر المحدود للغاية للبروتينات من مصادر الحيوانات الأخرى، ولكنه</w:t>
      </w:r>
      <w:r>
        <w:rPr>
          <w:rFonts w:cs="Simplified Arabic" w:hint="cs"/>
          <w:b/>
          <w:bCs w:val="0"/>
          <w:szCs w:val="24"/>
          <w:rtl/>
        </w:rPr>
        <w:t>م</w:t>
      </w:r>
      <w:r w:rsidRPr="00087A27">
        <w:rPr>
          <w:rFonts w:cs="Simplified Arabic"/>
          <w:b/>
          <w:bCs w:val="0"/>
          <w:szCs w:val="24"/>
          <w:rtl/>
        </w:rPr>
        <w:t xml:space="preserve"> لا </w:t>
      </w:r>
      <w:r>
        <w:rPr>
          <w:rFonts w:cs="Simplified Arabic" w:hint="cs"/>
          <w:b/>
          <w:bCs w:val="0"/>
          <w:szCs w:val="24"/>
          <w:rtl/>
        </w:rPr>
        <w:t>ي</w:t>
      </w:r>
      <w:r w:rsidRPr="00087A27">
        <w:rPr>
          <w:rFonts w:cs="Simplified Arabic"/>
          <w:b/>
          <w:bCs w:val="0"/>
          <w:szCs w:val="24"/>
          <w:rtl/>
        </w:rPr>
        <w:t>عتمد</w:t>
      </w:r>
      <w:r>
        <w:rPr>
          <w:rFonts w:cs="Simplified Arabic" w:hint="cs"/>
          <w:b/>
          <w:bCs w:val="0"/>
          <w:szCs w:val="24"/>
          <w:rtl/>
        </w:rPr>
        <w:t>ون</w:t>
      </w:r>
      <w:r w:rsidRPr="00087A27">
        <w:rPr>
          <w:rFonts w:cs="Simplified Arabic"/>
          <w:b/>
          <w:bCs w:val="0"/>
          <w:szCs w:val="24"/>
          <w:rtl/>
        </w:rPr>
        <w:t xml:space="preserve"> كثيرا عليها لمعيشتهم. وبالنسبة للقرى الريفية التي لها مطالب مشروعة لإدارة الاستخدام المستدام للأحياء البرية داخل أقاليمهم التقليدية، والاستفادة منه، فإن حلا رئيسيا للصيد الجاري المفتوح هو مساعدة حائزي الحقوق </w:t>
      </w:r>
      <w:r>
        <w:rPr>
          <w:rFonts w:cs="Simplified Arabic" w:hint="cs"/>
          <w:b/>
          <w:bCs w:val="0"/>
          <w:szCs w:val="24"/>
          <w:rtl/>
        </w:rPr>
        <w:t>على</w:t>
      </w:r>
      <w:r w:rsidRPr="00087A27">
        <w:rPr>
          <w:rFonts w:cs="Simplified Arabic"/>
          <w:b/>
          <w:bCs w:val="0"/>
          <w:szCs w:val="24"/>
          <w:rtl/>
        </w:rPr>
        <w:t xml:space="preserve"> تأمين السلطة والحصول على القدرات لمراقبة وإدارة مستوى الصيد في أراضيهم، وذلك كما ناقشنا في القسم الفرعي "ألف". وأنشطة استخراج الموارد الطبيعية قد يصاحبها قدوم العمال الذي يمكن أن يزيد ضغوط الصيد أو يغير إمدادات الأغذية في المنطقة: ينبغي أن توفر الشركات مصدرا بروتينيا يعتمد عليه وتحديد وإنفاذ اللوائح بشأن صيد الأحياء البرية بطريقة مستدامة و/أو استهلاكها من جانب العاملين.</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 xml:space="preserve">ومع تزايد السكان السريع </w:t>
      </w:r>
      <w:r>
        <w:rPr>
          <w:rFonts w:cs="Simplified Arabic" w:hint="cs"/>
          <w:b/>
          <w:bCs w:val="0"/>
          <w:szCs w:val="24"/>
          <w:rtl/>
        </w:rPr>
        <w:t>والتوسع الحضري</w:t>
      </w:r>
      <w:r w:rsidRPr="00087A27">
        <w:rPr>
          <w:rFonts w:cs="Simplified Arabic"/>
          <w:b/>
          <w:bCs w:val="0"/>
          <w:szCs w:val="24"/>
          <w:rtl/>
        </w:rPr>
        <w:t>، فإن المراكز الحضرية الكبيرة تمثل نسبة مهمة ومتزايدة من الاستهلاك الشامل للحوم البرية في بعض البلدان. وتزايد وفرة البدائل المستدامة الرخيصة من خلال الإنتاج المحلي والاستيراد هو أمر ممكن ويعد أولوية. غير أن هذا ينبغي أن يرتبط بإنفاذ صحيح لاستخدام الأحياء البرية عند مستويات الجملة والتجزئة والاستهلاك.</w:t>
      </w:r>
    </w:p>
    <w:p w:rsidR="00D21AB0" w:rsidRPr="00087A27"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الخطوات المقترحة لتقليل الطلب على اللحوم البرية غير المشروعة و/أو الإدارة المستدامة في المدن والقري:</w:t>
      </w:r>
    </w:p>
    <w:p w:rsidR="00D21AB0" w:rsidRPr="00E532FF" w:rsidRDefault="00D21AB0" w:rsidP="00D21AB0">
      <w:pPr>
        <w:ind w:firstLine="720"/>
        <w:rPr>
          <w:rFonts w:eastAsia="Batang"/>
          <w:b/>
          <w:iCs/>
          <w:color w:val="000000"/>
          <w:kern w:val="22"/>
          <w:lang w:eastAsia="ja-JP"/>
        </w:rPr>
      </w:pPr>
      <w:r w:rsidRPr="00E532FF">
        <w:rPr>
          <w:b/>
          <w:rtl/>
        </w:rPr>
        <w:t>(أ)</w:t>
      </w:r>
      <w:r w:rsidRPr="00E532FF">
        <w:rPr>
          <w:b/>
          <w:rtl/>
        </w:rPr>
        <w:tab/>
        <w:t>عند اللزوم، إعداد استراتيجيات تقليل الطلب بشأن الأحياء البرية التي تدار بطريقة غير مستدامة، مع التركيز على القرى والمدن، باستخدام نهج شامل، وفقا للظروف الوطنية والتشريع الوطني الساري:</w:t>
      </w:r>
    </w:p>
    <w:p w:rsidR="00D21AB0" w:rsidRPr="00E532FF" w:rsidRDefault="00D21AB0" w:rsidP="00D21AB0">
      <w:pPr>
        <w:ind w:left="1440" w:hanging="720"/>
        <w:rPr>
          <w:rFonts w:eastAsia="Batang"/>
          <w:b/>
          <w:iCs/>
          <w:color w:val="000000"/>
          <w:kern w:val="22"/>
          <w:lang w:eastAsia="ja-JP"/>
        </w:rPr>
      </w:pPr>
      <w:r w:rsidRPr="00E532FF">
        <w:rPr>
          <w:b/>
          <w:rtl/>
        </w:rPr>
        <w:t>(1)</w:t>
      </w:r>
      <w:r w:rsidRPr="00E532FF">
        <w:rPr>
          <w:b/>
          <w:rtl/>
        </w:rPr>
        <w:tab/>
        <w:t>الطلب على اللحوم البرية ليس قضية بيئية منعزلة، ولذلك فإن استراتيجيات تقليل الطلب ينبغي أن تعد على أساس شامل، مع إشراك وزارات الحكومة المسؤولة عن الصحة، والأغذية، والزراعة، والأعمال، والتنمية، والاقتصاد، والمالية، والبنية التحتية، والتعليم، وكذلك الوزارات المسؤولة عن البيئة، والخبراء المعنيين في مجالات تغير سلوك المستهلك، بما في ذلك التسويق الاجتماعي وعلم الاقتصاد السلوكي، وبالاقتران مع القطاع الخاص والخبراء في مجالات تتجاوز نطاق حفظ التنوع البيولوجي؛</w:t>
      </w:r>
    </w:p>
    <w:p w:rsidR="00D21AB0" w:rsidRPr="00E532FF" w:rsidRDefault="00D21AB0" w:rsidP="00D21AB0">
      <w:pPr>
        <w:ind w:left="1440" w:hanging="720"/>
        <w:rPr>
          <w:rFonts w:eastAsia="Batang"/>
          <w:b/>
          <w:iCs/>
          <w:color w:val="000000"/>
          <w:kern w:val="22"/>
          <w:lang w:eastAsia="ja-JP"/>
        </w:rPr>
      </w:pPr>
      <w:r w:rsidRPr="00E532FF">
        <w:rPr>
          <w:b/>
          <w:rtl/>
        </w:rPr>
        <w:t>(2)</w:t>
      </w:r>
      <w:r w:rsidRPr="00E532FF">
        <w:rPr>
          <w:b/>
          <w:rtl/>
        </w:rPr>
        <w:tab/>
        <w:t>ي</w:t>
      </w:r>
      <w:r>
        <w:rPr>
          <w:rFonts w:hint="cs"/>
          <w:b/>
          <w:rtl/>
        </w:rPr>
        <w:t>ج</w:t>
      </w:r>
      <w:r w:rsidRPr="00E532FF">
        <w:rPr>
          <w:b/>
          <w:rtl/>
        </w:rPr>
        <w:t xml:space="preserve">ب أن يشمل </w:t>
      </w:r>
      <w:r>
        <w:rPr>
          <w:rFonts w:hint="cs"/>
          <w:b/>
          <w:rtl/>
        </w:rPr>
        <w:t xml:space="preserve">أيضا </w:t>
      </w:r>
      <w:r w:rsidRPr="00E532FF">
        <w:rPr>
          <w:b/>
          <w:rtl/>
        </w:rPr>
        <w:t>وضع استراتيجيات فعالة للتقليل من الطلب المشاركة الفعالة للخبراء المعنيين في المجالات المتصلة بتغير سلوك المستهلك، بما في ذلك التسويق الاجتماعي وعلم الاقتصاد السلوكي؛</w:t>
      </w:r>
    </w:p>
    <w:p w:rsidR="00D21AB0" w:rsidRPr="00E532FF" w:rsidRDefault="00D21AB0" w:rsidP="00D21AB0">
      <w:pPr>
        <w:ind w:left="1440" w:hanging="720"/>
        <w:rPr>
          <w:rFonts w:eastAsia="Batang"/>
          <w:b/>
          <w:iCs/>
          <w:color w:val="000000"/>
          <w:kern w:val="22"/>
          <w:lang w:eastAsia="ja-JP"/>
        </w:rPr>
      </w:pPr>
      <w:r w:rsidRPr="00E532FF">
        <w:rPr>
          <w:b/>
          <w:rtl/>
        </w:rPr>
        <w:lastRenderedPageBreak/>
        <w:t>(3)</w:t>
      </w:r>
      <w:r w:rsidRPr="00E532FF">
        <w:rPr>
          <w:b/>
          <w:rtl/>
        </w:rPr>
        <w:tab/>
        <w:t xml:space="preserve">استراتيجيات تقليل الطلب ينبغي أن تركز أساسا على المستهلكين في مدن الأقاليم والمدن الكبرى، حيث انخفاض استهلاك اللحوم البرية يمكن أن يتحقق بدون التأثير على </w:t>
      </w:r>
      <w:r>
        <w:rPr>
          <w:rFonts w:hint="cs"/>
          <w:b/>
          <w:rtl/>
        </w:rPr>
        <w:t>سبل العيش</w:t>
      </w:r>
      <w:r w:rsidRPr="00E532FF">
        <w:rPr>
          <w:b/>
          <w:rtl/>
        </w:rPr>
        <w:t xml:space="preserve"> أو على الحقوق في الأراضي. وبالنسبة لمدن الأقاليم القريبة من مصادر الأحياء البرية، فإن خليطا من إضفاء الطابع الرسمي لسلاسل القيمة القصيرة الأجل استنادا إلى صيد الأنواع القوية ينبغي أن يرتبط بإنفاذ صارم لاسيما للأنواع المحمية/المعرضة للخطر، وتطوير البدائل المنتجة محليا. وبالنسبة للمدن الكبرى، التي تبعد عن مصادر الأحياء البرية، فإن الاستهلاك يمثل قضية اختيار لدى المستهلكين التي ربما كان من الأفضل حلها من خلال التسويق الاجتماعي المستهدف لتشجيع تغيير السلوك؛</w:t>
      </w:r>
    </w:p>
    <w:p w:rsidR="00D21AB0" w:rsidRPr="00E532FF" w:rsidRDefault="00D21AB0" w:rsidP="00D21AB0">
      <w:pPr>
        <w:ind w:left="1440" w:hanging="731"/>
        <w:rPr>
          <w:rFonts w:eastAsia="Batang"/>
          <w:b/>
          <w:iCs/>
          <w:color w:val="000000"/>
          <w:kern w:val="22"/>
          <w:lang w:eastAsia="ja-JP"/>
        </w:rPr>
      </w:pPr>
      <w:r w:rsidRPr="00E532FF">
        <w:rPr>
          <w:b/>
          <w:rtl/>
        </w:rPr>
        <w:t>(4)</w:t>
      </w:r>
      <w:r w:rsidRPr="00E532FF">
        <w:rPr>
          <w:b/>
          <w:rtl/>
        </w:rPr>
        <w:tab/>
        <w:t>ينبغي أن تسترشد استراتيجيات تقليل الطلب ببحوث تركز على تحديد ال</w:t>
      </w:r>
      <w:r>
        <w:rPr>
          <w:rFonts w:hint="cs"/>
          <w:b/>
          <w:rtl/>
        </w:rPr>
        <w:t>محركات</w:t>
      </w:r>
      <w:r w:rsidRPr="00E532FF">
        <w:rPr>
          <w:b/>
          <w:rtl/>
        </w:rPr>
        <w:t xml:space="preserve"> البيئية والاقتصادية والثقافية، والاتجاهات والدوافع التي تؤثر في استهلاك اللحوم البرية، من أجل وضع استراتيجيات تتناول أيضا هذه ال</w:t>
      </w:r>
      <w:r>
        <w:rPr>
          <w:rFonts w:hint="cs"/>
          <w:b/>
          <w:rtl/>
        </w:rPr>
        <w:t>محركات</w:t>
      </w:r>
      <w:r w:rsidRPr="00E532FF">
        <w:rPr>
          <w:b/>
          <w:rtl/>
        </w:rPr>
        <w:t xml:space="preserve"> المهمة.</w:t>
      </w:r>
    </w:p>
    <w:p w:rsidR="00D21AB0" w:rsidRPr="00E532FF" w:rsidRDefault="00D21AB0" w:rsidP="00D21AB0">
      <w:pPr>
        <w:ind w:firstLine="709"/>
        <w:rPr>
          <w:rFonts w:eastAsia="Batang"/>
          <w:b/>
          <w:iCs/>
          <w:color w:val="000000"/>
          <w:kern w:val="22"/>
          <w:lang w:eastAsia="ja-JP"/>
        </w:rPr>
      </w:pPr>
      <w:r w:rsidRPr="00E532FF">
        <w:rPr>
          <w:b/>
          <w:rtl/>
        </w:rPr>
        <w:t>(ب)</w:t>
      </w:r>
      <w:r w:rsidRPr="00E532FF">
        <w:rPr>
          <w:b/>
          <w:rtl/>
        </w:rPr>
        <w:tab/>
        <w:t>زيادة وفرة البدائل المنتجة والمصادة بطريقة مستدامة، حسب الاقتضاء:</w:t>
      </w:r>
    </w:p>
    <w:p w:rsidR="00D21AB0" w:rsidRPr="00E532FF" w:rsidRDefault="00D21AB0" w:rsidP="00D21AB0">
      <w:pPr>
        <w:ind w:left="1440" w:hanging="731"/>
        <w:rPr>
          <w:rFonts w:eastAsia="Batang"/>
          <w:b/>
          <w:iCs/>
          <w:color w:val="000000"/>
          <w:kern w:val="22"/>
          <w:lang w:eastAsia="ja-JP"/>
        </w:rPr>
      </w:pPr>
      <w:r w:rsidRPr="00E532FF">
        <w:rPr>
          <w:b/>
          <w:rtl/>
        </w:rPr>
        <w:t>(1)</w:t>
      </w:r>
      <w:r w:rsidRPr="00E532FF">
        <w:rPr>
          <w:b/>
          <w:rtl/>
        </w:rPr>
        <w:tab/>
        <w:t>ينبغي تهيئة بيئة تمكينية وتوفير حواف</w:t>
      </w:r>
      <w:r>
        <w:rPr>
          <w:b/>
          <w:rtl/>
        </w:rPr>
        <w:t xml:space="preserve">ز لتشجيع إنشاء شركات خاصة ذات اكتفاء </w:t>
      </w:r>
      <w:r w:rsidRPr="00E532FF">
        <w:rPr>
          <w:b/>
          <w:rtl/>
        </w:rPr>
        <w:t>ذاتي والشراكات الخاصة والعامة لتوفير البدائ</w:t>
      </w:r>
      <w:r>
        <w:rPr>
          <w:b/>
          <w:rtl/>
        </w:rPr>
        <w:t>ل، مثل الدواجن والأسماك المنتجة</w:t>
      </w:r>
      <w:r>
        <w:rPr>
          <w:rFonts w:hint="cs"/>
          <w:b/>
          <w:rtl/>
        </w:rPr>
        <w:t xml:space="preserve">/ </w:t>
      </w:r>
      <w:r w:rsidRPr="00E532FF">
        <w:rPr>
          <w:b/>
          <w:rtl/>
        </w:rPr>
        <w:t xml:space="preserve">المصادة بطريقة مستدامة والثروة الحيوانية المحلية الأخرى، في مستوطنات حضرية تكون كبيرة بشكل كاف (ويكون لديها قاعدة استهلاك كبيرة </w:t>
      </w:r>
      <w:r>
        <w:rPr>
          <w:rFonts w:hint="cs"/>
          <w:b/>
          <w:rtl/>
        </w:rPr>
        <w:t>بالكافي</w:t>
      </w:r>
      <w:r w:rsidRPr="00E532FF">
        <w:rPr>
          <w:b/>
          <w:rtl/>
        </w:rPr>
        <w:t>)؛ ويجب إجراء تقييمات لضمان ألا تكون لأي زيادة في إنتاج الثروة الحيوانية والأسماك آثار سلبية على التنوع البيولوجي والبيئة، وأن الإنتاج مستدام؛</w:t>
      </w:r>
    </w:p>
    <w:p w:rsidR="00D21AB0" w:rsidRPr="00E532FF" w:rsidRDefault="00D21AB0" w:rsidP="00D21AB0">
      <w:pPr>
        <w:ind w:left="1440" w:hanging="731"/>
        <w:rPr>
          <w:rFonts w:eastAsia="Batang"/>
          <w:b/>
          <w:iCs/>
          <w:color w:val="000000"/>
          <w:kern w:val="22"/>
          <w:lang w:eastAsia="ja-JP"/>
        </w:rPr>
      </w:pPr>
      <w:r w:rsidRPr="00E532FF">
        <w:rPr>
          <w:b/>
          <w:rtl/>
        </w:rPr>
        <w:t>(2)</w:t>
      </w:r>
      <w:r w:rsidRPr="00E532FF">
        <w:rPr>
          <w:b/>
          <w:rtl/>
        </w:rPr>
        <w:tab/>
        <w:t>الصناعات المتصلة بالبني</w:t>
      </w:r>
      <w:r>
        <w:rPr>
          <w:rFonts w:hint="cs"/>
          <w:b/>
          <w:rtl/>
        </w:rPr>
        <w:t>ة</w:t>
      </w:r>
      <w:r w:rsidRPr="00E532FF">
        <w:rPr>
          <w:b/>
          <w:rtl/>
        </w:rPr>
        <w:t xml:space="preserve"> التحتية والصناعات الاستخراجية التي تستقبل عمالها في أماكن قريبة من مصادر الأحياء البرية ينبغي أن تلتزم بضمان أن العاملين فيها يمتثلون للوائح المعمول بها في</w:t>
      </w:r>
      <w:r>
        <w:rPr>
          <w:rFonts w:hint="cs"/>
          <w:b/>
          <w:rtl/>
        </w:rPr>
        <w:t>م</w:t>
      </w:r>
      <w:r w:rsidRPr="00E532FF">
        <w:rPr>
          <w:b/>
          <w:rtl/>
        </w:rPr>
        <w:t>ا يخص صيد أنواع اللحوم البرية وحسب الاقتضاء، وأن يكون لديهم مصادر بروتين ميسورة التكلفة ومنتجة</w:t>
      </w:r>
      <w:r>
        <w:rPr>
          <w:rFonts w:hint="cs"/>
          <w:b/>
          <w:rtl/>
        </w:rPr>
        <w:t>/ مصادة</w:t>
      </w:r>
      <w:r w:rsidRPr="00E532FF">
        <w:rPr>
          <w:b/>
          <w:rtl/>
        </w:rPr>
        <w:t xml:space="preserve"> من مصادر مستدامة من </w:t>
      </w:r>
      <w:r>
        <w:rPr>
          <w:rFonts w:hint="cs"/>
          <w:b/>
          <w:rtl/>
        </w:rPr>
        <w:t>ال</w:t>
      </w:r>
      <w:r w:rsidRPr="00E532FF">
        <w:rPr>
          <w:b/>
          <w:rtl/>
        </w:rPr>
        <w:t>بروتين من الثروة الحيوانية أو نظام</w:t>
      </w:r>
      <w:r>
        <w:rPr>
          <w:rFonts w:hint="cs"/>
          <w:b/>
          <w:rtl/>
        </w:rPr>
        <w:t xml:space="preserve"> المحاصيل</w:t>
      </w:r>
      <w:r w:rsidRPr="00E532FF">
        <w:rPr>
          <w:b/>
          <w:rtl/>
        </w:rPr>
        <w:t xml:space="preserve"> المستدام ويفضل أن تكون منتجة محليا </w:t>
      </w:r>
      <w:r>
        <w:rPr>
          <w:rFonts w:hint="cs"/>
          <w:b/>
          <w:rtl/>
        </w:rPr>
        <w:t>على نحو مستدام</w:t>
      </w:r>
      <w:r w:rsidRPr="00E532FF">
        <w:rPr>
          <w:b/>
          <w:rtl/>
        </w:rPr>
        <w:t>؛</w:t>
      </w:r>
    </w:p>
    <w:p w:rsidR="00D21AB0" w:rsidRPr="00E532FF" w:rsidRDefault="00D21AB0" w:rsidP="00D21AB0">
      <w:pPr>
        <w:ind w:firstLine="720"/>
        <w:rPr>
          <w:rFonts w:eastAsia="Batang"/>
          <w:b/>
          <w:iCs/>
          <w:color w:val="000000"/>
          <w:kern w:val="22"/>
          <w:lang w:eastAsia="ja-JP"/>
        </w:rPr>
      </w:pPr>
      <w:r w:rsidRPr="00E532FF">
        <w:rPr>
          <w:b/>
          <w:rtl/>
        </w:rPr>
        <w:t>(ج)</w:t>
      </w:r>
      <w:r w:rsidRPr="00E532FF">
        <w:rPr>
          <w:b/>
          <w:rtl/>
        </w:rPr>
        <w:tab/>
        <w:t>تقليل توافر اللحوم البرية المنتجة على نحو غير مستدام والطلب عليها:</w:t>
      </w:r>
    </w:p>
    <w:p w:rsidR="00D21AB0" w:rsidRPr="00E532FF" w:rsidRDefault="00D21AB0" w:rsidP="00D21AB0">
      <w:pPr>
        <w:ind w:left="1440" w:hanging="720"/>
        <w:rPr>
          <w:rFonts w:eastAsia="Batang"/>
          <w:b/>
          <w:iCs/>
          <w:color w:val="000000"/>
          <w:kern w:val="22"/>
          <w:lang w:eastAsia="ja-JP"/>
        </w:rPr>
      </w:pPr>
      <w:r w:rsidRPr="00E532FF">
        <w:rPr>
          <w:b/>
          <w:rtl/>
        </w:rPr>
        <w:t>(1)</w:t>
      </w:r>
      <w:r w:rsidRPr="00E532FF">
        <w:rPr>
          <w:b/>
          <w:rtl/>
        </w:rPr>
        <w:tab/>
        <w:t>حملات إعلامية م</w:t>
      </w:r>
      <w:r>
        <w:rPr>
          <w:rFonts w:hint="cs"/>
          <w:b/>
          <w:rtl/>
        </w:rPr>
        <w:t>وجه</w:t>
      </w:r>
      <w:r w:rsidRPr="00E532FF">
        <w:rPr>
          <w:b/>
          <w:rtl/>
        </w:rPr>
        <w:t xml:space="preserve">ة (المستندة إلى فهم لدوافع الاستهلاك والبدائل ذات الصلة)، بما في ذلك استخدام وسائل التواصل الاجتماعي، في القرى والمدن الحضرية ينبغي أن تستخدم لإعلام المواطنين </w:t>
      </w:r>
      <w:r>
        <w:rPr>
          <w:rFonts w:hint="cs"/>
          <w:b/>
          <w:rtl/>
        </w:rPr>
        <w:t>عن</w:t>
      </w:r>
      <w:r w:rsidRPr="00E532FF">
        <w:rPr>
          <w:b/>
          <w:rtl/>
        </w:rPr>
        <w:t xml:space="preserve"> القضايا المتصلة باستهلاك اللحوم البرية، بما في ذلك حفظ الأحياء البرية، وقضايا صحة</w:t>
      </w:r>
      <w:r>
        <w:rPr>
          <w:rFonts w:hint="cs"/>
          <w:b/>
          <w:rtl/>
        </w:rPr>
        <w:t xml:space="preserve"> الإنسان</w:t>
      </w:r>
      <w:r w:rsidRPr="00E532FF">
        <w:rPr>
          <w:b/>
          <w:rtl/>
        </w:rPr>
        <w:t xml:space="preserve">، </w:t>
      </w:r>
      <w:r>
        <w:rPr>
          <w:rFonts w:hint="cs"/>
          <w:b/>
          <w:rtl/>
        </w:rPr>
        <w:t xml:space="preserve">والأثر على الحفظ، </w:t>
      </w:r>
      <w:r w:rsidRPr="00E532FF">
        <w:rPr>
          <w:b/>
          <w:rtl/>
        </w:rPr>
        <w:t xml:space="preserve">وقوانين </w:t>
      </w:r>
      <w:r>
        <w:rPr>
          <w:b/>
          <w:rtl/>
        </w:rPr>
        <w:t>الأحياء البرية والبدائل المنتجة</w:t>
      </w:r>
      <w:r>
        <w:rPr>
          <w:rFonts w:hint="cs"/>
          <w:b/>
          <w:rtl/>
        </w:rPr>
        <w:t xml:space="preserve">/ </w:t>
      </w:r>
      <w:r w:rsidRPr="00E532FF">
        <w:rPr>
          <w:b/>
          <w:rtl/>
        </w:rPr>
        <w:t>المصادة بطريقة مستدامة والمتاحة، وذلك بهدف تغيير سلوك المستهلك. وينبغي تصميم الحملات استنادا إلى فهم صحيح للمستهلكين، والدوافع والبدائل في المناطق المقرر استهدافها؛</w:t>
      </w:r>
    </w:p>
    <w:p w:rsidR="00D21AB0" w:rsidRPr="00E532FF" w:rsidRDefault="00D21AB0" w:rsidP="00D21AB0">
      <w:pPr>
        <w:ind w:left="1440" w:hanging="731"/>
        <w:rPr>
          <w:rFonts w:eastAsia="Batang"/>
          <w:b/>
          <w:iCs/>
          <w:color w:val="000000"/>
          <w:kern w:val="22"/>
          <w:lang w:eastAsia="ja-JP"/>
        </w:rPr>
      </w:pPr>
      <w:r w:rsidRPr="00E532FF">
        <w:rPr>
          <w:b/>
          <w:rtl/>
        </w:rPr>
        <w:t>(2)</w:t>
      </w:r>
      <w:r w:rsidRPr="00E532FF">
        <w:rPr>
          <w:b/>
          <w:rtl/>
        </w:rPr>
        <w:tab/>
        <w:t>إن قوانين الأحياء البرية التي تحكم التجارة باللحوم البرية ومبيعاتها (والتي تكون مناسبة ومفهومة وقابلة للإنفاذ) ينبغي إعدادها وتطبيقها في الأقاليم والقرى والمدن، لكي تشجع التجارة القانونية والمستدامة والقابلة للاقتفاء وتوفر تثبيطا للتجار غير الشرعيين وتزيد من أسعار اللحوم البرية الحضرية. وينبغي إجراء تقييمات مسبقة من أجل تحديد ما إذا كانت الزيادة في الأسعار ستزيد الطلب في بعض أسواق المواد الفاخرة و/أو تؤدي إلى زيادة الاتجار غير المشروع.</w:t>
      </w:r>
    </w:p>
    <w:p w:rsidR="00D21AB0" w:rsidRPr="00E532FF" w:rsidRDefault="00D21AB0" w:rsidP="00D21AB0">
      <w:pPr>
        <w:ind w:firstLine="709"/>
        <w:rPr>
          <w:rFonts w:eastAsia="Batang"/>
          <w:b/>
          <w:iCs/>
          <w:color w:val="000000"/>
          <w:kern w:val="22"/>
          <w:lang w:eastAsia="ja-JP" w:bidi="th-TH"/>
        </w:rPr>
      </w:pPr>
      <w:r w:rsidRPr="00E532FF">
        <w:rPr>
          <w:b/>
          <w:rtl/>
        </w:rPr>
        <w:t>(د)</w:t>
      </w:r>
      <w:r w:rsidRPr="00E532FF">
        <w:rPr>
          <w:b/>
          <w:rtl/>
        </w:rPr>
        <w:tab/>
        <w:t xml:space="preserve">تعزيز الاستهلاك المسؤول للحوم البرية المعتمدة من مصادر مستدامة، لأن شهادة المصدر يمكن أن تسهم في حفظ الأنواع البرية واستخدامها المستدام من خلال التأثير على خيارات المستهلك لاختيار منتجات ذات مصدر مستدام. </w:t>
      </w:r>
      <w:r w:rsidRPr="00E532FF">
        <w:rPr>
          <w:b/>
          <w:rtl/>
        </w:rPr>
        <w:lastRenderedPageBreak/>
        <w:t>وينبغي وضع نظم إصدار الشهادات للتأكيد على أن منتجات اللحوم البرية تم صيدها بطريقة مستدامة، وكذلك تستوفي المعايير الصحية الجيدة. ويمكن لهذه المنتجات الحاصلة على شهادة أن تسلط الضوء على بعض المنافع مثل الاستدامة وسبل عيش المجتمعات المحلية و</w:t>
      </w:r>
      <w:r>
        <w:rPr>
          <w:rFonts w:hint="cs"/>
          <w:b/>
          <w:rtl/>
        </w:rPr>
        <w:t>ال</w:t>
      </w:r>
      <w:r w:rsidRPr="00E532FF">
        <w:rPr>
          <w:b/>
          <w:rtl/>
        </w:rPr>
        <w:t xml:space="preserve">أثر </w:t>
      </w:r>
      <w:r>
        <w:rPr>
          <w:rFonts w:hint="cs"/>
          <w:b/>
          <w:rtl/>
        </w:rPr>
        <w:t>على ال</w:t>
      </w:r>
      <w:r w:rsidRPr="00E532FF">
        <w:rPr>
          <w:b/>
          <w:rtl/>
        </w:rPr>
        <w:t>حفظ و</w:t>
      </w:r>
      <w:r>
        <w:rPr>
          <w:b/>
          <w:rtl/>
        </w:rPr>
        <w:t>الصح</w:t>
      </w:r>
      <w:r w:rsidRPr="00E532FF">
        <w:rPr>
          <w:b/>
          <w:rtl/>
        </w:rPr>
        <w:t>ة.</w:t>
      </w:r>
    </w:p>
    <w:p w:rsidR="00D21AB0" w:rsidRPr="00D23232" w:rsidRDefault="00D21AB0" w:rsidP="00D21AB0">
      <w:pPr>
        <w:jc w:val="center"/>
        <w:rPr>
          <w:rFonts w:eastAsia="Calibri"/>
          <w:i/>
          <w:snapToGrid w:val="0"/>
          <w:color w:val="000000"/>
          <w:kern w:val="22"/>
          <w:rtl/>
        </w:rPr>
      </w:pPr>
      <w:r w:rsidRPr="00E532FF">
        <w:rPr>
          <w:b/>
          <w:bCs/>
          <w:rtl/>
        </w:rPr>
        <w:t>جيم-</w:t>
      </w:r>
      <w:r w:rsidRPr="00E532FF">
        <w:rPr>
          <w:b/>
          <w:bCs/>
          <w:rtl/>
        </w:rPr>
        <w:tab/>
        <w:t>تهيئة الظروف المواتية لقطاع مراقب ومنظم ومستدام للحوم البرية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E532FF">
        <w:rPr>
          <w:rFonts w:cs="Simplified Arabic"/>
          <w:b/>
          <w:bCs w:val="0"/>
          <w:szCs w:val="24"/>
          <w:rtl/>
        </w:rPr>
        <w:t>على المستوى الدولي، تناقش قضايا اللحوم البرية من خلال نوعين رئيسيين من المؤسسات: الاتفاقيات الدولية وال</w:t>
      </w:r>
      <w:r>
        <w:rPr>
          <w:rFonts w:cs="Simplified Arabic" w:hint="cs"/>
          <w:b/>
          <w:bCs w:val="0"/>
          <w:szCs w:val="24"/>
          <w:rtl/>
        </w:rPr>
        <w:t>محافل</w:t>
      </w:r>
      <w:r w:rsidRPr="00E532FF">
        <w:rPr>
          <w:rFonts w:cs="Simplified Arabic"/>
          <w:b/>
          <w:bCs w:val="0"/>
          <w:szCs w:val="24"/>
          <w:rtl/>
        </w:rPr>
        <w:t xml:space="preserve"> (اتفاقية الأمم المتحدة للتنوع البيولوجي </w:t>
      </w:r>
      <w:r w:rsidRPr="00E532FF">
        <w:rPr>
          <w:rFonts w:cs="Simplified Arabic"/>
          <w:szCs w:val="24"/>
          <w:lang w:val="en-CA"/>
        </w:rPr>
        <w:t>(CBD)</w:t>
      </w:r>
      <w:r w:rsidRPr="00E532FF">
        <w:rPr>
          <w:rFonts w:cs="Simplified Arabic"/>
          <w:szCs w:val="24"/>
          <w:rtl/>
        </w:rPr>
        <w:t xml:space="preserve">، </w:t>
      </w:r>
      <w:r w:rsidRPr="00E532FF">
        <w:rPr>
          <w:rFonts w:cs="Simplified Arabic"/>
          <w:b/>
          <w:bCs w:val="0"/>
          <w:szCs w:val="24"/>
          <w:rtl/>
        </w:rPr>
        <w:t xml:space="preserve">واتفاقية التجارة الدولية بأنواع الحيوانات والنباتات البرية المهددة بالانقراض </w:t>
      </w:r>
      <w:r w:rsidRPr="00E532FF">
        <w:rPr>
          <w:rFonts w:cs="Simplified Arabic"/>
          <w:iCs/>
          <w:szCs w:val="24"/>
          <w:lang w:val="en-CA"/>
        </w:rPr>
        <w:t>(CITES)</w:t>
      </w:r>
      <w:r w:rsidRPr="00E532FF">
        <w:rPr>
          <w:rFonts w:cs="Simplified Arabic"/>
          <w:b/>
          <w:bCs w:val="0"/>
          <w:szCs w:val="24"/>
          <w:rtl/>
        </w:rPr>
        <w:t xml:space="preserve">، واتفاقية المحافظة على الأنواع المهاجرة من الحيوانات الفطرية </w:t>
      </w:r>
      <w:r w:rsidRPr="00E532FF">
        <w:rPr>
          <w:rFonts w:cs="Simplified Arabic"/>
          <w:szCs w:val="24"/>
          <w:lang w:val="en-CA"/>
        </w:rPr>
        <w:t>(CMS)</w:t>
      </w:r>
      <w:r w:rsidRPr="00E532FF">
        <w:rPr>
          <w:rFonts w:cs="Simplified Arabic"/>
          <w:szCs w:val="24"/>
          <w:rtl/>
        </w:rPr>
        <w:t xml:space="preserve">، </w:t>
      </w:r>
      <w:r w:rsidRPr="00E532FF">
        <w:rPr>
          <w:rFonts w:cs="Simplified Arabic"/>
          <w:b/>
          <w:bCs w:val="0"/>
          <w:szCs w:val="24"/>
          <w:rtl/>
        </w:rPr>
        <w:t xml:space="preserve">والمنبر الحكومي الدولي للعلوم والسياسات في مجال التنوع البيولوجي وخدمات النظم الإيكولوجية </w:t>
      </w:r>
      <w:r w:rsidRPr="00D23232">
        <w:rPr>
          <w:rFonts w:cs="Times New Roman"/>
          <w:b/>
          <w:bCs w:val="0"/>
          <w:rtl/>
        </w:rPr>
        <w:t>(</w:t>
      </w:r>
      <w:r w:rsidRPr="00D23232">
        <w:rPr>
          <w:rFonts w:cs="Times New Roman"/>
          <w:snapToGrid w:val="0"/>
          <w:lang w:eastAsia="ja-JP" w:bidi="th-TH"/>
        </w:rPr>
        <w:t>IPBES</w:t>
      </w:r>
      <w:r w:rsidRPr="00D23232">
        <w:rPr>
          <w:rFonts w:cs="Times New Roman"/>
          <w:rtl/>
        </w:rPr>
        <w:t>)</w:t>
      </w:r>
      <w:r w:rsidRPr="00E532FF">
        <w:rPr>
          <w:rFonts w:cs="Simplified Arabic"/>
          <w:b/>
          <w:bCs w:val="0"/>
          <w:szCs w:val="24"/>
          <w:rtl/>
        </w:rPr>
        <w:t xml:space="preserve"> وغيرها من المنظمات ذات الصلة التي تساعد على دعم أو تنفيذ قرارات الاتفاقيات (الشراكة التعاونية بشأن إدارة الأحياء البرية </w:t>
      </w:r>
      <w:r w:rsidRPr="00E532FF">
        <w:rPr>
          <w:rFonts w:cs="Simplified Arabic"/>
          <w:snapToGrid w:val="0"/>
          <w:kern w:val="22"/>
          <w:szCs w:val="24"/>
          <w:lang w:val="en-CA" w:eastAsia="ja-JP" w:bidi="th-TH"/>
        </w:rPr>
        <w:t>(</w:t>
      </w:r>
      <w:r w:rsidRPr="00E532FF">
        <w:rPr>
          <w:rFonts w:cs="Simplified Arabic"/>
          <w:snapToGrid w:val="0"/>
          <w:kern w:val="22"/>
          <w:szCs w:val="24"/>
          <w:lang w:eastAsia="ja-JP" w:bidi="th-TH"/>
        </w:rPr>
        <w:t>CPW)</w:t>
      </w:r>
      <w:r w:rsidRPr="00E532FF">
        <w:rPr>
          <w:rFonts w:cs="Simplified Arabic"/>
          <w:snapToGrid w:val="0"/>
          <w:kern w:val="22"/>
          <w:szCs w:val="24"/>
          <w:rtl/>
          <w:lang w:eastAsia="ja-JP"/>
        </w:rPr>
        <w:t xml:space="preserve"> </w:t>
      </w:r>
      <w:r w:rsidRPr="00E532FF">
        <w:rPr>
          <w:rFonts w:cs="Simplified Arabic"/>
          <w:b/>
          <w:bCs w:val="0"/>
          <w:snapToGrid w:val="0"/>
          <w:kern w:val="22"/>
          <w:szCs w:val="24"/>
          <w:rtl/>
          <w:lang w:eastAsia="ja-JP"/>
        </w:rPr>
        <w:t xml:space="preserve">والمنظمة الدولية للشرطة الجنائية (الإنتربول) </w:t>
      </w:r>
      <w:r w:rsidRPr="00E532FF">
        <w:rPr>
          <w:rFonts w:cs="Simplified Arabic"/>
          <w:b/>
          <w:bCs w:val="0"/>
          <w:szCs w:val="24"/>
          <w:rtl/>
        </w:rPr>
        <w:t>ومكتب</w:t>
      </w:r>
      <w:r w:rsidRPr="00E532FF">
        <w:rPr>
          <w:rFonts w:cs="Simplified Arabic"/>
          <w:b/>
          <w:bCs w:val="0"/>
          <w:snapToGrid w:val="0"/>
          <w:kern w:val="22"/>
          <w:szCs w:val="24"/>
          <w:rtl/>
          <w:lang w:eastAsia="ja-JP"/>
        </w:rPr>
        <w:t xml:space="preserve"> الأمم المتحدة للجريمة والمخدرات، والاتحاد الدولي لمكافحة الجريمة ضد الحيوانات والنباتات البرية </w:t>
      </w:r>
      <w:r w:rsidRPr="00D23232">
        <w:rPr>
          <w:rFonts w:cs="Times New Roman"/>
          <w:b/>
          <w:bCs w:val="0"/>
          <w:snapToGrid w:val="0"/>
          <w:kern w:val="22"/>
          <w:rtl/>
          <w:lang w:eastAsia="ja-JP"/>
        </w:rPr>
        <w:t>(</w:t>
      </w:r>
      <w:r w:rsidRPr="00D23232">
        <w:rPr>
          <w:rFonts w:cs="Times New Roman"/>
          <w:snapToGrid w:val="0"/>
          <w:lang w:eastAsia="ja-JP" w:bidi="th-TH"/>
        </w:rPr>
        <w:t>ICCWC</w:t>
      </w:r>
      <w:r w:rsidRPr="00D23232">
        <w:rPr>
          <w:rFonts w:cs="Times New Roman"/>
          <w:snapToGrid w:val="0"/>
          <w:kern w:val="22"/>
          <w:rtl/>
          <w:lang w:eastAsia="ja-JP"/>
        </w:rPr>
        <w:t>)</w:t>
      </w:r>
      <w:r w:rsidRPr="00E532FF">
        <w:rPr>
          <w:rFonts w:cs="Simplified Arabic"/>
          <w:b/>
          <w:bCs w:val="0"/>
          <w:snapToGrid w:val="0"/>
          <w:kern w:val="22"/>
          <w:szCs w:val="24"/>
          <w:rtl/>
          <w:lang w:eastAsia="ja-JP"/>
        </w:rPr>
        <w:t xml:space="preserve"> وشبكة رصد الاتجار بالحيوانات والنباتات البرية </w:t>
      </w:r>
      <w:r w:rsidRPr="00E532FF">
        <w:rPr>
          <w:rFonts w:cs="Simplified Arabic"/>
          <w:snapToGrid w:val="0"/>
          <w:kern w:val="22"/>
          <w:szCs w:val="24"/>
          <w:lang w:eastAsia="ja-JP" w:bidi="th-TH"/>
        </w:rPr>
        <w:t>(TRAFFIC)</w:t>
      </w:r>
      <w:r w:rsidRPr="00E532FF">
        <w:rPr>
          <w:rFonts w:cs="Simplified Arabic"/>
          <w:snapToGrid w:val="0"/>
          <w:kern w:val="22"/>
          <w:szCs w:val="24"/>
          <w:rtl/>
          <w:lang w:eastAsia="ja-JP"/>
        </w:rPr>
        <w:t>،</w:t>
      </w:r>
      <w:r w:rsidRPr="00E532FF">
        <w:rPr>
          <w:rFonts w:cs="Simplified Arabic"/>
          <w:b/>
          <w:bCs w:val="0"/>
          <w:snapToGrid w:val="0"/>
          <w:kern w:val="22"/>
          <w:szCs w:val="24"/>
          <w:rtl/>
          <w:lang w:eastAsia="ja-JP"/>
        </w:rPr>
        <w:t xml:space="preserve"> ومؤتمر الأمم المتحدة للتجارة والتنمية </w:t>
      </w:r>
      <w:r w:rsidRPr="00E532FF">
        <w:rPr>
          <w:rFonts w:cs="Simplified Arabic"/>
          <w:snapToGrid w:val="0"/>
          <w:kern w:val="22"/>
          <w:szCs w:val="24"/>
          <w:lang w:eastAsia="ja-JP" w:bidi="th-TH"/>
        </w:rPr>
        <w:t>(UN</w:t>
      </w:r>
      <w:r w:rsidRPr="00E532FF">
        <w:rPr>
          <w:rFonts w:cs="Simplified Arabic"/>
          <w:snapToGrid w:val="0"/>
          <w:kern w:val="22"/>
          <w:szCs w:val="24"/>
          <w:lang w:val="en-CA" w:eastAsia="ja-JP" w:bidi="th-TH"/>
        </w:rPr>
        <w:t>C</w:t>
      </w:r>
      <w:r w:rsidRPr="00E532FF">
        <w:rPr>
          <w:rFonts w:cs="Simplified Arabic"/>
          <w:snapToGrid w:val="0"/>
          <w:kern w:val="22"/>
          <w:szCs w:val="24"/>
          <w:lang w:eastAsia="ja-JP" w:bidi="th-TH"/>
        </w:rPr>
        <w:t>TAD)</w:t>
      </w:r>
      <w:r w:rsidRPr="00E532FF">
        <w:rPr>
          <w:rFonts w:cs="Simplified Arabic"/>
          <w:b/>
          <w:bCs w:val="0"/>
          <w:szCs w:val="24"/>
          <w:rtl/>
        </w:rPr>
        <w:t xml:space="preserve">، ومنظمة الأغذية والزراعة (الفاو)، والاتحاد الدولي لحفظ الطبيعة، وبرنامج الأمم المتحدة الإنمائي)، وهيئات التعاون الإقليمي أو هيئات التكامل الاقتصادي (الاتحاد الأوروبي، والاتحاد الأفريقي، والجماعة الاقتصادية لدول وسط أفريقيا) وغيرها من المؤسسات متعددة الأطراف ذات الصلة (الاتحاد الأوروبي، </w:t>
      </w:r>
      <w:r w:rsidRPr="00E532FF">
        <w:rPr>
          <w:rFonts w:cs="Simplified Arabic"/>
          <w:b/>
          <w:bCs w:val="0"/>
          <w:snapToGrid w:val="0"/>
          <w:kern w:val="22"/>
          <w:szCs w:val="24"/>
          <w:rtl/>
          <w:lang w:eastAsia="ja-JP"/>
        </w:rPr>
        <w:t xml:space="preserve">ولجنة غابات أفريقيا الوسطى </w:t>
      </w:r>
      <w:r w:rsidRPr="00E532FF">
        <w:rPr>
          <w:rFonts w:cs="Simplified Arabic"/>
          <w:snapToGrid w:val="0"/>
          <w:kern w:val="22"/>
          <w:szCs w:val="24"/>
          <w:lang w:eastAsia="ja-JP" w:bidi="th-TH"/>
        </w:rPr>
        <w:t>(COMIFAC)</w:t>
      </w:r>
      <w:r w:rsidRPr="00E532FF">
        <w:rPr>
          <w:rFonts w:cs="Simplified Arabic"/>
          <w:snapToGrid w:val="0"/>
          <w:kern w:val="22"/>
          <w:szCs w:val="24"/>
          <w:rtl/>
          <w:lang w:eastAsia="ja-JP"/>
        </w:rPr>
        <w:t xml:space="preserve">، </w:t>
      </w:r>
      <w:r w:rsidRPr="00E532FF">
        <w:rPr>
          <w:rFonts w:cs="Simplified Arabic"/>
          <w:b/>
          <w:bCs w:val="0"/>
          <w:snapToGrid w:val="0"/>
          <w:kern w:val="22"/>
          <w:szCs w:val="24"/>
          <w:rtl/>
          <w:lang w:eastAsia="ja-JP"/>
        </w:rPr>
        <w:t>ضمن مؤسسات أخرى</w:t>
      </w:r>
      <w:r w:rsidRPr="00E532FF">
        <w:rPr>
          <w:rFonts w:cs="Simplified Arabic"/>
          <w:b/>
          <w:bCs w:val="0"/>
          <w:szCs w:val="24"/>
          <w:rtl/>
        </w:rPr>
        <w:t>).</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w:t>
      </w:r>
      <w:r>
        <w:rPr>
          <w:rFonts w:cs="Simplified Arabic" w:hint="cs"/>
          <w:b/>
          <w:bCs w:val="0"/>
          <w:szCs w:val="24"/>
          <w:rtl/>
        </w:rPr>
        <w:t xml:space="preserve">من </w:t>
      </w:r>
      <w:r w:rsidRPr="00087A27">
        <w:rPr>
          <w:rFonts w:cs="Simplified Arabic"/>
          <w:b/>
          <w:bCs w:val="0"/>
          <w:szCs w:val="24"/>
          <w:rtl/>
        </w:rPr>
        <w:t>بين قضايا الأحياء البرية، فإن مسألة التجارة غير المشروعة بالأحياء البرية تمثل شاغلا رئيسيا، وفي أغلب الأحيان، فإن الإدارة المستدامة للأحياء البرية وقضايا اللحوم البرية لا يلتفت إليها أو تعامل كمنتج فرعي للعمل بشأن التجارة غير المشروعة بالأحياء البرية. وبعض الاتفاقيات</w:t>
      </w:r>
      <w:r w:rsidRPr="00E532FF">
        <w:rPr>
          <w:rStyle w:val="FootnoteReference"/>
          <w:b/>
          <w:bCs w:val="0"/>
          <w:rtl/>
        </w:rPr>
        <w:footnoteReference w:id="118"/>
      </w:r>
      <w:r w:rsidRPr="00087A27">
        <w:rPr>
          <w:rFonts w:cs="Simplified Arabic"/>
          <w:b/>
          <w:bCs w:val="0"/>
          <w:szCs w:val="24"/>
          <w:rtl/>
        </w:rPr>
        <w:t xml:space="preserve"> تنظر صراحة وتعمل بشأن الاستخدام غير المستدام للحوم البرية من خلال المحاولة على تهيئة بيئة مؤاتية لحفظ الأحياء البرية واستخدامها المستدام.</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 xml:space="preserve">ويجب لإدارة قطاع اللحوم البرية أن تنتقل فيما يتجاوز الإجراءات التخفيفية الخاصة غير المرتبطة التي تهدف إلى تخفيف </w:t>
      </w:r>
      <w:r>
        <w:rPr>
          <w:rFonts w:cs="Simplified Arabic" w:hint="cs"/>
          <w:b/>
          <w:bCs w:val="0"/>
          <w:szCs w:val="24"/>
          <w:rtl/>
        </w:rPr>
        <w:t>تأثيرات</w:t>
      </w:r>
      <w:r w:rsidRPr="00087A27">
        <w:rPr>
          <w:rFonts w:cs="Simplified Arabic"/>
          <w:b/>
          <w:bCs w:val="0"/>
          <w:szCs w:val="24"/>
          <w:rtl/>
        </w:rPr>
        <w:t xml:space="preserve"> صيد الأحياء البرية (مثل حظر الصيد، والتربية المراقبة للأنواع البرية، والبروتينات البديلة صغيرة الحجم أو خيارات لسبل العيش). وينبغي تطوير نهج شامل على مدى سلاسل قيمة اللحوم البرية، مع التركيز على الحفظ والاستخدام المستدام للموارد عند المنبع (المناطق الريفية) وتقليل الطلب في المراكز الحضرية.</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وسوف يتطلب ذلك بيئة تمكينية مناسبة وشاملة (ولا سيما فيما يتعلق بالسياسات الوطنية والأطر القانونية الوطنية بخصوص صيد الأحياء البرية، والتجارة باللحوم البرية ومبيعاتها)، وهذه ليست موجودة حاليا في معظم البلدان النامية. وإنشاء هذه البيئة التمكينية يصبح الشرط الضروري لتحقيق أو إحراز التقدم نحو قطاع اللحوم البرية الأكثر مراقبة والأكثر استدامة. ويلزم توفير إطار إدارة منسق ومركز على المستو</w:t>
      </w:r>
      <w:r>
        <w:rPr>
          <w:rFonts w:cs="Simplified Arabic" w:hint="cs"/>
          <w:b/>
          <w:bCs w:val="0"/>
          <w:szCs w:val="24"/>
          <w:rtl/>
        </w:rPr>
        <w:t>ين</w:t>
      </w:r>
      <w:r w:rsidRPr="00087A27">
        <w:rPr>
          <w:rFonts w:cs="Simplified Arabic"/>
          <w:b/>
          <w:bCs w:val="0"/>
          <w:szCs w:val="24"/>
          <w:rtl/>
        </w:rPr>
        <w:t xml:space="preserve"> الدولي والوطني</w:t>
      </w:r>
      <w:r>
        <w:rPr>
          <w:rFonts w:cs="Simplified Arabic" w:hint="cs"/>
          <w:b/>
          <w:bCs w:val="0"/>
          <w:szCs w:val="24"/>
          <w:rtl/>
        </w:rPr>
        <w:t xml:space="preserve"> على السواء</w:t>
      </w:r>
      <w:r w:rsidRPr="00087A27">
        <w:rPr>
          <w:rFonts w:cs="Simplified Arabic"/>
          <w:b/>
          <w:bCs w:val="0"/>
          <w:szCs w:val="24"/>
          <w:rtl/>
        </w:rPr>
        <w:t>، وذلك لدعم المداخلات التي تستهدف الإدارة الأفضل للموارد و/أو خفض كبير للطلب.</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وقد يتطلب تعقد مثل هذا الإطار وضع نظرية للتغير يمكن استخدامها للتفكير من خلالها وخطط عمل وتدخلات تتناول المشاكل المجتمعية الخاصة أو المتعلقة بالتنوع البيولوجي. وتحدد نظرية التغير الخطوات المنطقية اللازمة للتدخل والمؤدية إلى نتائج منشودة وفي نهاية المطاف ما لها من آثار مجتمعية وعلى حفظ الطبيعة بوجه عام.</w:t>
      </w:r>
    </w:p>
    <w:p w:rsidR="00D21AB0"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lastRenderedPageBreak/>
        <w:t xml:space="preserve">غالبية التجارة الحالية في اللحوم البرية غير قانونية، ويمكن أن يعيق ذلك العمليات السياساتية ويحول دون إجراء تقييم سليم لمتطلبات الإدارة. وهناك حاجة ملحة لإدراج قطاع اللحوم البرية بشكل رسمي داخل النُظم الوطنية للحساب المنهجي للثروة وتقديرات الناتج </w:t>
      </w:r>
      <w:r>
        <w:rPr>
          <w:rFonts w:cs="Simplified Arabic" w:hint="cs"/>
          <w:b/>
          <w:bCs w:val="0"/>
          <w:szCs w:val="24"/>
          <w:rtl/>
        </w:rPr>
        <w:t xml:space="preserve">المحلي </w:t>
      </w:r>
      <w:r w:rsidRPr="00087A27">
        <w:rPr>
          <w:rFonts w:cs="Simplified Arabic"/>
          <w:b/>
          <w:bCs w:val="0"/>
          <w:szCs w:val="24"/>
          <w:rtl/>
        </w:rPr>
        <w:t>الإجمالي.</w:t>
      </w:r>
    </w:p>
    <w:p w:rsidR="00D21AB0" w:rsidRPr="00087A27" w:rsidRDefault="00D21AB0" w:rsidP="00FF7FA5">
      <w:pPr>
        <w:pStyle w:val="Para1"/>
        <w:numPr>
          <w:ilvl w:val="0"/>
          <w:numId w:val="23"/>
        </w:numPr>
        <w:bidi/>
        <w:spacing w:before="0" w:line="216" w:lineRule="auto"/>
        <w:ind w:left="0" w:firstLine="0"/>
        <w:rPr>
          <w:rFonts w:eastAsia="Batang" w:cs="Simplified Arabic"/>
          <w:b/>
          <w:bCs w:val="0"/>
          <w:iCs/>
          <w:color w:val="000000"/>
          <w:kern w:val="22"/>
          <w:szCs w:val="24"/>
          <w:lang w:eastAsia="ja-JP"/>
        </w:rPr>
      </w:pPr>
      <w:r w:rsidRPr="00087A27">
        <w:rPr>
          <w:rFonts w:cs="Simplified Arabic"/>
          <w:b/>
          <w:bCs w:val="0"/>
          <w:szCs w:val="24"/>
          <w:rtl/>
        </w:rPr>
        <w:t>الخطوات المقترحة لتهي</w:t>
      </w:r>
      <w:r w:rsidRPr="00087A27">
        <w:rPr>
          <w:rFonts w:cs="Simplified Arabic" w:hint="cs"/>
          <w:b/>
          <w:bCs w:val="0"/>
          <w:szCs w:val="24"/>
          <w:rtl/>
        </w:rPr>
        <w:t>ئة</w:t>
      </w:r>
      <w:r w:rsidRPr="00087A27">
        <w:rPr>
          <w:rFonts w:cs="Simplified Arabic"/>
          <w:b/>
          <w:bCs w:val="0"/>
          <w:szCs w:val="24"/>
          <w:rtl/>
        </w:rPr>
        <w:t xml:space="preserve"> الظروف التمكينية لقطاع لحوم برية مشروع ومستدام ومنظم:</w:t>
      </w:r>
    </w:p>
    <w:p w:rsidR="00D21AB0" w:rsidRPr="00E532FF" w:rsidRDefault="00D21AB0" w:rsidP="00D21AB0">
      <w:pPr>
        <w:ind w:firstLine="720"/>
        <w:rPr>
          <w:color w:val="000000"/>
          <w:kern w:val="22"/>
        </w:rPr>
      </w:pPr>
      <w:r w:rsidRPr="00E532FF">
        <w:rPr>
          <w:rtl/>
        </w:rPr>
        <w:t>(أ)</w:t>
      </w:r>
      <w:r w:rsidRPr="00E532FF">
        <w:rPr>
          <w:rtl/>
        </w:rPr>
        <w:tab/>
        <w:t>زيادة التعاون الدولي:</w:t>
      </w:r>
    </w:p>
    <w:p w:rsidR="00D21AB0" w:rsidRPr="00E532FF" w:rsidRDefault="00D21AB0" w:rsidP="00D21AB0">
      <w:pPr>
        <w:ind w:left="1440" w:hanging="720"/>
        <w:rPr>
          <w:rFonts w:eastAsia="Batang"/>
          <w:bCs/>
          <w:color w:val="000000"/>
          <w:kern w:val="22"/>
          <w:lang w:eastAsia="ja-JP"/>
        </w:rPr>
      </w:pPr>
      <w:r w:rsidRPr="00E532FF">
        <w:rPr>
          <w:b/>
          <w:i/>
          <w:rtl/>
        </w:rPr>
        <w:t>(1)</w:t>
      </w:r>
      <w:r w:rsidRPr="00E532FF">
        <w:rPr>
          <w:b/>
          <w:i/>
          <w:rtl/>
        </w:rPr>
        <w:tab/>
      </w:r>
      <w:r w:rsidRPr="00E532FF">
        <w:rPr>
          <w:rtl/>
        </w:rPr>
        <w:t>تعزيز المزيد من التعاون بين الاتفاقيات وال</w:t>
      </w:r>
      <w:r>
        <w:rPr>
          <w:rFonts w:hint="cs"/>
          <w:rtl/>
        </w:rPr>
        <w:t>محافل</w:t>
      </w:r>
      <w:r w:rsidRPr="00E532FF">
        <w:rPr>
          <w:rtl/>
        </w:rPr>
        <w:t xml:space="preserve"> والمنظمات ذات الصلة: (ولا سيما اتفاقية التنوع البيولوجي، واتفاقية التجارة الدولية بأنواع الحيوانات والنباتات البرية المهددة بالانقراض </w:t>
      </w:r>
      <w:r w:rsidRPr="00E532FF">
        <w:rPr>
          <w:bCs/>
          <w:iCs/>
          <w:lang w:val="en-CA"/>
        </w:rPr>
        <w:t>(CITES)</w:t>
      </w:r>
      <w:r w:rsidRPr="00E532FF">
        <w:rPr>
          <w:rtl/>
        </w:rPr>
        <w:t xml:space="preserve">، واتفاقية المحافظة على الأنواع المهاجرة من الحيوانات الفطرية </w:t>
      </w:r>
      <w:r w:rsidRPr="00E532FF">
        <w:rPr>
          <w:lang w:val="en-CA"/>
        </w:rPr>
        <w:t>(CMS)</w:t>
      </w:r>
      <w:r w:rsidRPr="00E532FF">
        <w:rPr>
          <w:rtl/>
        </w:rPr>
        <w:t xml:space="preserve">، والمنبر الحكومي الدولي للعلوم والسياسات في مجال التنوع البيولوجي وخدمات النظم الإيكولوجية </w:t>
      </w:r>
      <w:r w:rsidRPr="00A07AAB">
        <w:rPr>
          <w:rFonts w:cs="Times New Roman"/>
          <w:szCs w:val="22"/>
          <w:rtl/>
        </w:rPr>
        <w:t>(</w:t>
      </w:r>
      <w:r w:rsidRPr="00A07AAB">
        <w:rPr>
          <w:rFonts w:cs="Times New Roman"/>
          <w:snapToGrid w:val="0"/>
          <w:szCs w:val="22"/>
          <w:lang w:eastAsia="ja-JP" w:bidi="th-TH"/>
        </w:rPr>
        <w:t>IPBES</w:t>
      </w:r>
      <w:r w:rsidRPr="00A07AAB">
        <w:rPr>
          <w:rFonts w:cs="Times New Roman"/>
          <w:szCs w:val="22"/>
          <w:rtl/>
        </w:rPr>
        <w:t>)</w:t>
      </w:r>
      <w:r w:rsidRPr="00E532FF">
        <w:rPr>
          <w:rtl/>
        </w:rPr>
        <w:t xml:space="preserve"> ومنظمة الصحة العالمية </w:t>
      </w:r>
      <w:r w:rsidRPr="00E532FF">
        <w:rPr>
          <w:lang w:val="en-CA"/>
        </w:rPr>
        <w:t>(WHO)</w:t>
      </w:r>
      <w:r w:rsidRPr="00E532FF">
        <w:rPr>
          <w:rtl/>
        </w:rPr>
        <w:t xml:space="preserve">، والمنظمة العالمية لصحة الحيوان </w:t>
      </w:r>
      <w:r w:rsidRPr="00E532FF">
        <w:rPr>
          <w:lang w:val="en-CA"/>
        </w:rPr>
        <w:t>(OIE)</w:t>
      </w:r>
      <w:r w:rsidRPr="00E532FF">
        <w:rPr>
          <w:rtl/>
        </w:rPr>
        <w:t xml:space="preserve">، ومنظمة الأغذية والزراعة للأمم المتحدة (الفاو) ، </w:t>
      </w:r>
      <w:r w:rsidRPr="00E532FF">
        <w:rPr>
          <w:snapToGrid w:val="0"/>
          <w:kern w:val="22"/>
          <w:rtl/>
          <w:lang w:eastAsia="ja-JP"/>
        </w:rPr>
        <w:t xml:space="preserve">والاتحاد الدولي لمكافحة الجريمة ضد الحيوانات والنباتات البرية </w:t>
      </w:r>
      <w:r w:rsidRPr="00A07AAB">
        <w:rPr>
          <w:rFonts w:cs="Times New Roman"/>
          <w:snapToGrid w:val="0"/>
          <w:kern w:val="22"/>
          <w:szCs w:val="22"/>
          <w:rtl/>
          <w:lang w:eastAsia="ja-JP"/>
        </w:rPr>
        <w:t>(</w:t>
      </w:r>
      <w:r w:rsidRPr="00A07AAB">
        <w:rPr>
          <w:rFonts w:cs="Times New Roman"/>
          <w:snapToGrid w:val="0"/>
          <w:szCs w:val="22"/>
          <w:lang w:eastAsia="ja-JP" w:bidi="th-TH"/>
        </w:rPr>
        <w:t>ICCWC</w:t>
      </w:r>
      <w:r w:rsidRPr="00A07AAB">
        <w:rPr>
          <w:rFonts w:cs="Times New Roman"/>
          <w:snapToGrid w:val="0"/>
          <w:kern w:val="22"/>
          <w:szCs w:val="22"/>
          <w:rtl/>
          <w:lang w:eastAsia="ja-JP"/>
        </w:rPr>
        <w:t>))</w:t>
      </w:r>
      <w:r w:rsidRPr="00E532FF">
        <w:rPr>
          <w:rtl/>
        </w:rPr>
        <w:t xml:space="preserve"> مع الترويج للتوصيات الصادرة عن فريق الاتصال المعني بلحوم الطرائد في اتفاقية التنوع البيولوجي؛</w:t>
      </w:r>
      <w:r w:rsidRPr="00E532FF">
        <w:rPr>
          <w:rStyle w:val="FootnoteReference"/>
          <w:rtl/>
        </w:rPr>
        <w:footnoteReference w:id="119"/>
      </w:r>
    </w:p>
    <w:p w:rsidR="00D21AB0" w:rsidRPr="00E532FF" w:rsidRDefault="00D21AB0" w:rsidP="00D21AB0">
      <w:pPr>
        <w:ind w:left="1440" w:hanging="720"/>
        <w:rPr>
          <w:rFonts w:eastAsia="Batang"/>
          <w:bCs/>
          <w:iCs/>
          <w:color w:val="000000"/>
          <w:kern w:val="22"/>
          <w:lang w:eastAsia="ja-JP"/>
        </w:rPr>
      </w:pPr>
      <w:r w:rsidRPr="00E532FF">
        <w:rPr>
          <w:rtl/>
        </w:rPr>
        <w:t>(2)</w:t>
      </w:r>
      <w:r w:rsidRPr="00E532FF">
        <w:rPr>
          <w:rtl/>
        </w:rPr>
        <w:tab/>
        <w:t>هناك حاجة لنهج متكامل يعالج الصيد غير المشروع والاتجار غير المشروع في الأحياء البرية إلى جانب المسائل ذات الأهمية المتعلقة بالأمن الغذائي وسبل العيش والاستخدام المستدام للأحياء البرية. ولكي تكون الجهود الرامية إلى التصدي للصيد غير المشروع والاتجار غير المشروع في الأحياء البرية فعالة ومستدامة على المدى الطويل، ينبغي تكملتها بجهود لضمان أن حفظ أنواع الأحياء البرية وإدارتها بشكل سليم يراعي الاحتياجات الاجتماعية الاقتصادية للمجتمعات المحلية، بما في ذلك الاستخدام المستدام للحوم البرية؛</w:t>
      </w:r>
    </w:p>
    <w:p w:rsidR="00D21AB0" w:rsidRPr="00E532FF" w:rsidRDefault="00D21AB0" w:rsidP="00D21AB0">
      <w:pPr>
        <w:ind w:left="1440" w:hanging="720"/>
        <w:rPr>
          <w:rFonts w:eastAsia="Batang"/>
          <w:bCs/>
          <w:iCs/>
          <w:color w:val="000000"/>
          <w:kern w:val="22"/>
          <w:lang w:eastAsia="ja-JP"/>
        </w:rPr>
      </w:pPr>
      <w:r w:rsidRPr="00E532FF">
        <w:rPr>
          <w:rtl/>
        </w:rPr>
        <w:t>(</w:t>
      </w:r>
      <w:r w:rsidRPr="00E532FF">
        <w:rPr>
          <w:lang w:val="en-CA"/>
        </w:rPr>
        <w:t>3</w:t>
      </w:r>
      <w:r w:rsidRPr="00E532FF">
        <w:rPr>
          <w:rtl/>
        </w:rPr>
        <w:t>)</w:t>
      </w:r>
      <w:r w:rsidRPr="00E532FF">
        <w:rPr>
          <w:rtl/>
        </w:rPr>
        <w:tab/>
        <w:t xml:space="preserve">دعم الإجراءات المتكاملة المحلية والوطنية وعبر الحدود لبناء شراكات بين منظمات ومؤسسات ذات صلة </w:t>
      </w:r>
      <w:r>
        <w:rPr>
          <w:rFonts w:hint="cs"/>
          <w:rtl/>
        </w:rPr>
        <w:t>و</w:t>
      </w:r>
      <w:r w:rsidRPr="00E532FF">
        <w:rPr>
          <w:rtl/>
        </w:rPr>
        <w:t xml:space="preserve">أصحاب المصلحة </w:t>
      </w:r>
      <w:r>
        <w:rPr>
          <w:rFonts w:hint="cs"/>
          <w:rtl/>
        </w:rPr>
        <w:t xml:space="preserve">الآخرين المعنيين </w:t>
      </w:r>
      <w:r w:rsidRPr="00E532FF">
        <w:rPr>
          <w:rtl/>
        </w:rPr>
        <w:t>من أجل: بناء القدرات على الإنفاذ والرصد؛ وتطوير وتنفيذ بدائل للتغذية وسبل العيش؛ وزيادة التوعية، وتبادل البحوث والتعليم بخصوص صيد اللحوم البرية والتجارة فيها. وبالإضافة إلى ذلك، ينبغي أن تكون هناك إجراءات هادفة إلى إحداث تقدم في خطة العمل المتعلقة بالاستخدام المألوف المستدام، وكذلك لدعم العمليات الوطنية لمراجعة السياسات والأطر القانونية لدعم وتمكين حفظ أنواع الأحياء البرية واستخدامها المستدام؛</w:t>
      </w:r>
    </w:p>
    <w:p w:rsidR="00D21AB0" w:rsidRPr="0034187A" w:rsidRDefault="00D21AB0" w:rsidP="00D21AB0">
      <w:pPr>
        <w:ind w:firstLine="720"/>
        <w:rPr>
          <w:rFonts w:eastAsia="Batang"/>
          <w:b/>
          <w:i/>
          <w:color w:val="000000"/>
          <w:kern w:val="22"/>
          <w:rtl/>
          <w:lang w:eastAsia="ja-JP"/>
        </w:rPr>
      </w:pPr>
      <w:r w:rsidRPr="00E532FF">
        <w:rPr>
          <w:rtl/>
        </w:rPr>
        <w:t>(ب)</w:t>
      </w:r>
      <w:r w:rsidRPr="00E532FF">
        <w:rPr>
          <w:rtl/>
        </w:rPr>
        <w:tab/>
        <w:t>الإقرار بدور اللحوم البرية، عندما تكون مشروعة، ومواءمة الأطر الوطنية السياساتية والقانونية وفقا لذلك:</w:t>
      </w:r>
    </w:p>
    <w:p w:rsidR="00D21AB0" w:rsidRPr="008F1E60" w:rsidRDefault="00D21AB0" w:rsidP="00D21AB0">
      <w:pPr>
        <w:ind w:left="1440" w:hanging="720"/>
        <w:rPr>
          <w:rFonts w:eastAsia="Batang"/>
          <w:b/>
          <w:i/>
          <w:color w:val="000000"/>
          <w:kern w:val="22"/>
          <w:rtl/>
          <w:lang w:eastAsia="ja-JP"/>
        </w:rPr>
      </w:pPr>
      <w:r w:rsidRPr="00E532FF">
        <w:rPr>
          <w:rtl/>
        </w:rPr>
        <w:t>(1)</w:t>
      </w:r>
      <w:r w:rsidRPr="00E532FF">
        <w:rPr>
          <w:rtl/>
        </w:rPr>
        <w:tab/>
        <w:t>الاعتراف بحقيقة التجارة في اللحوم البرية، وذلك كسلف ضروري لإنشاء إدارة الأحياء البرية على قاعدة سليمة؛</w:t>
      </w:r>
    </w:p>
    <w:p w:rsidR="00D21AB0" w:rsidRPr="00E532FF" w:rsidRDefault="00D21AB0" w:rsidP="00D21AB0">
      <w:pPr>
        <w:ind w:left="1440" w:hanging="720"/>
        <w:rPr>
          <w:rtl/>
        </w:rPr>
      </w:pPr>
      <w:r w:rsidRPr="00E532FF">
        <w:rPr>
          <w:rtl/>
        </w:rPr>
        <w:t>(2)</w:t>
      </w:r>
      <w:r w:rsidRPr="00E532FF">
        <w:rPr>
          <w:rtl/>
        </w:rPr>
        <w:tab/>
        <w:t>تسجيل مستويات استهلاك اللحوم البرية القائمة في الإحصاءات الوطنية، كوسيلة لتقييم الموارد والاعتراف بالمنافع الناجمة عن استخدامها بطريقة قانونية ومستدامة وإعطائها وزنا ملائما في السياسات العامة والتخطيط؛</w:t>
      </w:r>
    </w:p>
    <w:p w:rsidR="00D21AB0" w:rsidRPr="00E532FF" w:rsidRDefault="00D21AB0" w:rsidP="00D21AB0">
      <w:pPr>
        <w:ind w:left="1440" w:hanging="720"/>
        <w:rPr>
          <w:rtl/>
        </w:rPr>
      </w:pPr>
      <w:r w:rsidRPr="00E532FF">
        <w:rPr>
          <w:rtl/>
        </w:rPr>
        <w:t>(3)</w:t>
      </w:r>
      <w:r w:rsidRPr="00E532FF">
        <w:rPr>
          <w:rtl/>
        </w:rPr>
        <w:tab/>
        <w:t>تقييم دور استهلاك الأحياء البرية في سبل العيش والنظر فيها داخل تقييمات الموارد الوطنية والوثائق الرئيسية لتخطيط السياسات، مثل الاستراتيجيات الإنمائية الوطنية واستراتيجيات الحد من الفقر؛</w:t>
      </w:r>
    </w:p>
    <w:p w:rsidR="00D21AB0" w:rsidRPr="00E532FF" w:rsidRDefault="00D21AB0" w:rsidP="00D21AB0">
      <w:pPr>
        <w:ind w:left="1440" w:hanging="720"/>
        <w:rPr>
          <w:rtl/>
        </w:rPr>
      </w:pPr>
      <w:r w:rsidRPr="00E532FF">
        <w:rPr>
          <w:rtl/>
        </w:rPr>
        <w:lastRenderedPageBreak/>
        <w:t>(4)</w:t>
      </w:r>
      <w:r w:rsidRPr="00E532FF">
        <w:rPr>
          <w:rtl/>
        </w:rPr>
        <w:tab/>
        <w:t>إضافة مسائل اللحوم البرية/الأحياء البرية في المناهج الدراسية ذات الصلة (مثل التعليم الجامعي، والتدريب الحكومي).</w:t>
      </w:r>
    </w:p>
    <w:p w:rsidR="00D21AB0" w:rsidRPr="00E532FF" w:rsidRDefault="00D21AB0" w:rsidP="00D21AB0">
      <w:pPr>
        <w:ind w:left="1440" w:hanging="720"/>
      </w:pPr>
      <w:r w:rsidRPr="00E532FF">
        <w:rPr>
          <w:rtl/>
        </w:rPr>
        <w:t>(5)</w:t>
      </w:r>
      <w:r w:rsidRPr="00E532FF">
        <w:rPr>
          <w:rtl/>
        </w:rPr>
        <w:tab/>
        <w:t>الاعتراف بالدور الهام للنساء في تجهيز وبيع اللحوم البرية، مع الأخذ في الحسبان احتياجات وأولويات وقدرات النساء والرجال؛</w:t>
      </w:r>
    </w:p>
    <w:p w:rsidR="00D21AB0" w:rsidRPr="008F1E60" w:rsidRDefault="00D21AB0" w:rsidP="00D21AB0">
      <w:pPr>
        <w:ind w:firstLine="720"/>
        <w:rPr>
          <w:rFonts w:eastAsia="Batang"/>
          <w:b/>
          <w:i/>
          <w:color w:val="000000"/>
          <w:kern w:val="22"/>
          <w:rtl/>
          <w:lang w:eastAsia="ja-JP"/>
        </w:rPr>
      </w:pPr>
      <w:r w:rsidRPr="00E532FF">
        <w:rPr>
          <w:rtl/>
        </w:rPr>
        <w:t>(ج)</w:t>
      </w:r>
      <w:r w:rsidRPr="00E532FF">
        <w:rPr>
          <w:rtl/>
        </w:rPr>
        <w:tab/>
        <w:t>إنشاء أطر رصد إقليمية ووطنية للحوم البرية لإثراء وإرشاد السياسة والتدخلات القانونية من أجل ما يلي:</w:t>
      </w:r>
    </w:p>
    <w:p w:rsidR="00D21AB0" w:rsidRPr="0034187A" w:rsidRDefault="00D21AB0" w:rsidP="00D21AB0">
      <w:pPr>
        <w:ind w:left="1440" w:hanging="720"/>
        <w:rPr>
          <w:rFonts w:eastAsia="Batang"/>
          <w:b/>
          <w:i/>
          <w:color w:val="000000"/>
          <w:kern w:val="22"/>
          <w:rtl/>
          <w:lang w:eastAsia="ja-JP"/>
        </w:rPr>
      </w:pPr>
      <w:r w:rsidRPr="00E532FF">
        <w:rPr>
          <w:rtl/>
        </w:rPr>
        <w:t>(1)</w:t>
      </w:r>
      <w:r w:rsidRPr="00E532FF">
        <w:rPr>
          <w:rtl/>
        </w:rPr>
        <w:tab/>
        <w:t>الاضطلاع بتقييم لمستهلكي اللحوم البرية، ودوافع الاستهلاك، وعندما يفوق الطلب الناتج المستدام توفير البدائل المحتملة، وحساب مرونة الطلب. وهذه المعلومات ضرورية لتصميم واستهداف استراتيجيات تقليل الطلب، بما في ذلك إعداد استراتيجيات تغير السلوك لمعالجة ممارسات الاستهلاك المستدام للحوم البرية، بما في ذلك استهلاك البدائل المستدامة؛</w:t>
      </w:r>
    </w:p>
    <w:p w:rsidR="00D21AB0" w:rsidRPr="0034187A" w:rsidRDefault="00D21AB0" w:rsidP="00D21AB0">
      <w:pPr>
        <w:ind w:left="1440" w:hanging="720"/>
        <w:rPr>
          <w:rFonts w:eastAsia="Batang"/>
          <w:b/>
          <w:i/>
          <w:color w:val="000000"/>
          <w:kern w:val="22"/>
          <w:rtl/>
          <w:lang w:eastAsia="ja-JP"/>
        </w:rPr>
      </w:pPr>
      <w:r w:rsidRPr="00E532FF">
        <w:rPr>
          <w:rtl/>
        </w:rPr>
        <w:t>(2)</w:t>
      </w:r>
      <w:r w:rsidRPr="00E532FF">
        <w:rPr>
          <w:rtl/>
        </w:rPr>
        <w:tab/>
        <w:t>إجراء تقييم لموردي اللحوم البرية، بما في ذلك استخدام اللحوم البرية لغرض الحصول على البروتين وتوليد الدخل، وسمات الصيادين وأسر الصيادين، واستخدام مصادر بديلة للبروتين والدخل، وآثار الصيد على سبل العيش المحلية؛</w:t>
      </w:r>
    </w:p>
    <w:p w:rsidR="00D21AB0" w:rsidRPr="0034187A" w:rsidRDefault="00D21AB0" w:rsidP="00D21AB0">
      <w:pPr>
        <w:ind w:left="1440" w:hanging="720"/>
        <w:rPr>
          <w:rFonts w:eastAsia="Batang"/>
          <w:b/>
          <w:i/>
          <w:color w:val="000000"/>
          <w:kern w:val="22"/>
          <w:rtl/>
          <w:lang w:eastAsia="ja-JP"/>
        </w:rPr>
      </w:pPr>
      <w:r w:rsidRPr="00E532FF">
        <w:rPr>
          <w:rtl/>
        </w:rPr>
        <w:t>(3)</w:t>
      </w:r>
      <w:r w:rsidRPr="00E532FF">
        <w:rPr>
          <w:rtl/>
        </w:rPr>
        <w:tab/>
        <w:t>استحداث وصف لسلسلة سلع اللحوم البرية، للتعرف على الجهات الفاعلة الرئيسية والأماكن الرئيسية على مدى سلسلة السلع وذلك لاستهداف المداخلات؛</w:t>
      </w:r>
    </w:p>
    <w:p w:rsidR="00D21AB0" w:rsidRPr="0034187A" w:rsidRDefault="00D21AB0" w:rsidP="00D21AB0">
      <w:pPr>
        <w:ind w:left="1440" w:hanging="720"/>
        <w:rPr>
          <w:rFonts w:eastAsia="Batang"/>
          <w:b/>
          <w:i/>
          <w:color w:val="000000"/>
          <w:kern w:val="22"/>
          <w:rtl/>
          <w:lang w:eastAsia="ja-JP"/>
        </w:rPr>
      </w:pPr>
      <w:r w:rsidRPr="00E532FF">
        <w:rPr>
          <w:rtl/>
        </w:rPr>
        <w:t>(4)</w:t>
      </w:r>
      <w:r w:rsidRPr="00E532FF">
        <w:rPr>
          <w:rtl/>
        </w:rPr>
        <w:tab/>
        <w:t>تصميم إطار الرصد الإيكولوجي في مواقع رئيسية على المستوى الوطني لتقرير وتتبع آثار صيد اللحوم البرية، وتأثيرات تنفيذ السياسات؛</w:t>
      </w:r>
    </w:p>
    <w:p w:rsidR="00D21AB0" w:rsidRPr="0034187A" w:rsidRDefault="00D21AB0" w:rsidP="00D21AB0">
      <w:pPr>
        <w:ind w:left="1440" w:hanging="720"/>
        <w:rPr>
          <w:rFonts w:eastAsia="Batang"/>
          <w:b/>
          <w:i/>
          <w:color w:val="000000"/>
          <w:kern w:val="22"/>
          <w:rtl/>
          <w:lang w:eastAsia="ja-JP"/>
        </w:rPr>
      </w:pPr>
      <w:r w:rsidRPr="00E532FF">
        <w:rPr>
          <w:rtl/>
        </w:rPr>
        <w:t>(5)</w:t>
      </w:r>
      <w:r w:rsidRPr="00E532FF">
        <w:rPr>
          <w:rtl/>
        </w:rPr>
        <w:tab/>
        <w:t>تقييم المنافع والمخاطر النسبية على الصحة من اللحوم البرية وبدائلها في التخطيط الإنمائي (مثل عمليات الصناعات الاستخراجية)، بما في ذلك المحتوى التغذوي ومخاطر الأمراض المعدية، وذلك لإعلام خيارات التوريد؛</w:t>
      </w:r>
    </w:p>
    <w:p w:rsidR="00D21AB0" w:rsidRPr="0034187A" w:rsidRDefault="00D21AB0" w:rsidP="00D21AB0">
      <w:pPr>
        <w:ind w:left="1440" w:hanging="720"/>
        <w:rPr>
          <w:rFonts w:eastAsia="Batang"/>
          <w:b/>
          <w:i/>
          <w:color w:val="000000"/>
          <w:kern w:val="22"/>
          <w:rtl/>
          <w:lang w:eastAsia="ja-JP"/>
        </w:rPr>
      </w:pPr>
      <w:r w:rsidRPr="00E532FF">
        <w:rPr>
          <w:rtl/>
        </w:rPr>
        <w:t>(6)</w:t>
      </w:r>
      <w:r w:rsidRPr="00E532FF">
        <w:rPr>
          <w:rtl/>
        </w:rPr>
        <w:tab/>
        <w:t>تجميع المداخلات ال</w:t>
      </w:r>
      <w:r>
        <w:rPr>
          <w:rFonts w:hint="cs"/>
          <w:rtl/>
        </w:rPr>
        <w:t>سابق</w:t>
      </w:r>
      <w:r w:rsidRPr="00E532FF">
        <w:rPr>
          <w:rtl/>
        </w:rPr>
        <w:t>ة والجارية الرامية إلى زيادة استدامة استخدام اللحوم البرية، وأي دلائل على أثرها، وذلك لبناء قاعدة من الدلائل عن النجاح والفشل التي يمكن من خلالها تصميم المداخلات على نحو أفضل في المستقبل؛</w:t>
      </w:r>
    </w:p>
    <w:p w:rsidR="00D21AB0" w:rsidRPr="00087A27" w:rsidRDefault="00D21AB0" w:rsidP="00D21AB0">
      <w:pPr>
        <w:ind w:left="1440" w:hanging="720"/>
        <w:rPr>
          <w:rFonts w:eastAsia="Batang"/>
          <w:b/>
          <w:i/>
          <w:color w:val="000000"/>
          <w:kern w:val="22"/>
          <w:rtl/>
          <w:lang w:eastAsia="ja-JP"/>
        </w:rPr>
      </w:pPr>
      <w:r w:rsidRPr="00E532FF">
        <w:rPr>
          <w:rtl/>
        </w:rPr>
        <w:t>(7)</w:t>
      </w:r>
      <w:r w:rsidRPr="00E532FF">
        <w:rPr>
          <w:rtl/>
        </w:rPr>
        <w:tab/>
        <w:t>استخدام محافل البيانات القائمة ذات الصلة لإعداد فهم أعمق لنوع المداخلات المطلوبة، بما في ذلك تصميمها المحتمل والفرص المتاحة لمختلف أصحاب المصلحة للإسهام في جهود جمع البيانات.</w:t>
      </w:r>
    </w:p>
    <w:p w:rsidR="00B42CBF" w:rsidRPr="00B42CBF" w:rsidRDefault="00B42CBF" w:rsidP="00B42CBF">
      <w:pPr>
        <w:spacing w:after="0" w:line="240" w:lineRule="auto"/>
        <w:jc w:val="left"/>
        <w:rPr>
          <w:rFonts w:eastAsia="Batang"/>
          <w:b/>
          <w:i/>
          <w:color w:val="000000"/>
          <w:kern w:val="22"/>
          <w:rtl/>
          <w:lang w:eastAsia="ja-JP"/>
        </w:rPr>
      </w:pPr>
    </w:p>
    <w:p w:rsidR="00B42CBF" w:rsidRDefault="00B42CBF" w:rsidP="00B42CBF">
      <w:pPr>
        <w:spacing w:after="0" w:line="240" w:lineRule="auto"/>
        <w:jc w:val="left"/>
        <w:rPr>
          <w:rFonts w:eastAsia="Batang"/>
          <w:bCs/>
          <w:iCs/>
          <w:color w:val="000000"/>
          <w:kern w:val="22"/>
          <w:rtl/>
          <w:lang w:eastAsia="ja-JP"/>
        </w:rPr>
      </w:pPr>
      <w:r>
        <w:rPr>
          <w:rFonts w:eastAsia="Batang"/>
          <w:bCs/>
          <w:iCs/>
          <w:color w:val="000000"/>
          <w:kern w:val="22"/>
          <w:rtl/>
          <w:lang w:eastAsia="ja-JP"/>
        </w:rPr>
        <w:br w:type="page"/>
      </w:r>
    </w:p>
    <w:p w:rsidR="00B42CBF" w:rsidRPr="00E42808" w:rsidRDefault="00B42CBF" w:rsidP="00B55747">
      <w:pPr>
        <w:pStyle w:val="Heading2"/>
        <w:rPr>
          <w:rtl/>
        </w:rPr>
      </w:pPr>
      <w:bookmarkStart w:id="19" w:name="_Toc6071551"/>
      <w:bookmarkStart w:id="20" w:name="_Toc6139969"/>
      <w:r w:rsidRPr="00E42808">
        <w:rPr>
          <w:rFonts w:hint="cs"/>
          <w:rtl/>
        </w:rPr>
        <w:lastRenderedPageBreak/>
        <w:t>المقرر 14/8</w:t>
      </w:r>
      <w:r w:rsidRPr="00E42808">
        <w:rPr>
          <w:rFonts w:hint="cs"/>
          <w:rtl/>
        </w:rPr>
        <w:tab/>
        <w:t>المناطق المحمية وتدابير الحفظ الفعالة الأخرى القائمة على أساس المناطق</w:t>
      </w:r>
      <w:bookmarkEnd w:id="19"/>
      <w:bookmarkEnd w:id="20"/>
    </w:p>
    <w:p w:rsidR="00B42CBF" w:rsidRPr="00331576" w:rsidRDefault="00B42CBF" w:rsidP="00B42CBF">
      <w:pPr>
        <w:spacing w:after="100" w:line="204" w:lineRule="auto"/>
        <w:ind w:firstLine="720"/>
        <w:rPr>
          <w:i/>
          <w:iCs/>
          <w:rtl/>
        </w:rPr>
      </w:pPr>
      <w:r w:rsidRPr="00331576">
        <w:rPr>
          <w:rFonts w:hint="cs"/>
          <w:i/>
          <w:iCs/>
          <w:rtl/>
        </w:rPr>
        <w:t>إن مؤتمر الأطراف،</w:t>
      </w:r>
    </w:p>
    <w:p w:rsidR="00B42CBF" w:rsidRDefault="00B42CBF" w:rsidP="00B42CBF">
      <w:pPr>
        <w:spacing w:after="100" w:line="204" w:lineRule="auto"/>
        <w:ind w:firstLine="720"/>
        <w:rPr>
          <w:rtl/>
        </w:rPr>
      </w:pPr>
      <w:r>
        <w:rPr>
          <w:rFonts w:hint="cs"/>
          <w:i/>
          <w:iCs/>
          <w:rtl/>
        </w:rPr>
        <w:t xml:space="preserve">إذ يدرك </w:t>
      </w:r>
      <w:r>
        <w:rPr>
          <w:rFonts w:hint="cs"/>
          <w:rtl/>
        </w:rPr>
        <w:t xml:space="preserve">أهمية المبادرات، والتجارب والأنشطة الدولية، من قبيل شبكة التعاون التقني لأمريكا اللاتينية بشأن المنتزهات الوطنية والمناطق المحمية الأخرى أحياء البرية </w:t>
      </w:r>
      <w:r>
        <w:t>(REDPARQUES)</w:t>
      </w:r>
      <w:r>
        <w:rPr>
          <w:rFonts w:hint="cs"/>
          <w:rtl/>
        </w:rPr>
        <w:t>، وبرنامج الإنسان والمحيط الحيوي التابع لمنظمة الأمم المتحدة للتربية والعلم والثقافة والشبكة العالمية لمحميات المحيط الحيوي التابعة لها، لمساهمتها في المناطق المحمية وغيرها من تدابير الحفظ الفعالة الأخرى القائمة على أساس المناطق؛</w:t>
      </w:r>
    </w:p>
    <w:p w:rsidR="00B42CBF" w:rsidRDefault="00B42CBF" w:rsidP="00B42CBF">
      <w:pPr>
        <w:spacing w:after="100" w:line="204" w:lineRule="auto"/>
        <w:ind w:firstLine="720"/>
        <w:rPr>
          <w:rtl/>
        </w:rPr>
      </w:pPr>
      <w:r>
        <w:rPr>
          <w:rFonts w:hint="cs"/>
          <w:i/>
          <w:iCs/>
          <w:rtl/>
        </w:rPr>
        <w:t xml:space="preserve">وإذ يرحب </w:t>
      </w:r>
      <w:r>
        <w:rPr>
          <w:rFonts w:hint="cs"/>
          <w:rtl/>
        </w:rPr>
        <w:t xml:space="preserve">بالمؤتمر الثالث القادم لأمريكا اللاتينية والبحر الكاريبي المعني بالمناطق المحمية </w:t>
      </w:r>
      <w:r w:rsidRPr="00E42808">
        <w:rPr>
          <w:rFonts w:hint="cs"/>
          <w:spacing w:val="-8"/>
          <w:rtl/>
        </w:rPr>
        <w:t>(ليما، مارس/آذار 2019)؛</w:t>
      </w:r>
    </w:p>
    <w:p w:rsidR="00B42CBF" w:rsidRPr="00F0350F" w:rsidRDefault="00B42CBF" w:rsidP="00B42CBF">
      <w:pPr>
        <w:spacing w:after="100" w:line="204" w:lineRule="auto"/>
        <w:ind w:firstLine="720"/>
      </w:pPr>
      <w:r>
        <w:rPr>
          <w:rFonts w:hint="cs"/>
          <w:i/>
          <w:iCs/>
          <w:rtl/>
        </w:rPr>
        <w:t xml:space="preserve">وإذ يقر </w:t>
      </w:r>
      <w:r>
        <w:rPr>
          <w:rFonts w:hint="cs"/>
          <w:rtl/>
        </w:rPr>
        <w:t>بالعمل المتعلق بالمناظر الطبيعية للإنتاج الاجتماعي والإيكولوجي في إطار مبادرة ساتوياما؛</w:t>
      </w:r>
    </w:p>
    <w:p w:rsidR="00B42CBF" w:rsidRPr="00331576" w:rsidRDefault="00B42CBF" w:rsidP="00FF7FA5">
      <w:pPr>
        <w:numPr>
          <w:ilvl w:val="0"/>
          <w:numId w:val="24"/>
        </w:numPr>
        <w:spacing w:after="100" w:line="204" w:lineRule="auto"/>
        <w:ind w:left="0" w:firstLine="720"/>
        <w:jc w:val="lowKashida"/>
        <w:rPr>
          <w:i/>
          <w:iCs/>
        </w:rPr>
      </w:pPr>
      <w:r w:rsidRPr="00331576">
        <w:rPr>
          <w:rFonts w:hint="cs"/>
          <w:i/>
          <w:iCs/>
          <w:rtl/>
        </w:rPr>
        <w:t>يرحب</w:t>
      </w:r>
      <w:r w:rsidRPr="00331576">
        <w:rPr>
          <w:rFonts w:hint="cs"/>
          <w:rtl/>
        </w:rPr>
        <w:t xml:space="preserve"> بالإرشادات الطوعية بشأن إدماج المناطق المحمية وتدابير الحفظ الفعالة الأخرى القائمة على أساس المناطق في المناظر الطبيعية الأرضية والمناظر الطبيعية البحرية الأوسع نطاقا وتعميمها عبر القطاعات، بالإضافة إلى الإرشادات الطوعية بشأن الحوكمة والإنصاف، الواردة في المرفقين الأول والثاني على التوالي بهذا المقرر؛</w:t>
      </w:r>
    </w:p>
    <w:p w:rsidR="00B42CBF" w:rsidRPr="004A162B" w:rsidRDefault="00B42CBF" w:rsidP="00FF7FA5">
      <w:pPr>
        <w:numPr>
          <w:ilvl w:val="0"/>
          <w:numId w:val="24"/>
        </w:numPr>
        <w:spacing w:after="100" w:line="204" w:lineRule="auto"/>
        <w:ind w:left="0" w:firstLine="720"/>
        <w:jc w:val="lowKashida"/>
      </w:pPr>
      <w:r>
        <w:rPr>
          <w:rFonts w:hint="cs"/>
          <w:i/>
          <w:iCs/>
          <w:rtl/>
        </w:rPr>
        <w:t xml:space="preserve">يعتمد </w:t>
      </w:r>
      <w:r w:rsidRPr="004A162B">
        <w:rPr>
          <w:rFonts w:hint="cs"/>
          <w:rtl/>
        </w:rPr>
        <w:t>التعريف التالي "لتدابير الحفظ الفعالة الأخرى القائمة على أساس المناطق":</w:t>
      </w:r>
    </w:p>
    <w:p w:rsidR="00B42CBF" w:rsidRPr="004A162B" w:rsidRDefault="00B42CBF" w:rsidP="00B42CBF">
      <w:pPr>
        <w:spacing w:after="100" w:line="204" w:lineRule="auto"/>
        <w:ind w:firstLine="720"/>
      </w:pPr>
      <w:r w:rsidRPr="004A162B">
        <w:rPr>
          <w:rFonts w:hint="cs"/>
          <w:rtl/>
        </w:rPr>
        <w:t>"</w:t>
      </w:r>
      <w:r>
        <w:rPr>
          <w:rFonts w:hint="cs"/>
          <w:rtl/>
        </w:rPr>
        <w:t xml:space="preserve">تدابير </w:t>
      </w:r>
      <w:r w:rsidRPr="008600EC">
        <w:rPr>
          <w:rFonts w:hint="cs"/>
          <w:rtl/>
        </w:rPr>
        <w:t>الحفظ الفعالة الأخرى القائمة على أساس المناطق</w:t>
      </w:r>
      <w:r>
        <w:rPr>
          <w:rFonts w:hint="cs"/>
          <w:rtl/>
        </w:rPr>
        <w:t xml:space="preserve">" تعني "منطقة معرّفة جغرافيا، بخلاف منطقة محمية، </w:t>
      </w:r>
      <w:r w:rsidRPr="00740237">
        <w:rPr>
          <w:rFonts w:hint="cs"/>
          <w:rtl/>
        </w:rPr>
        <w:t>يجري تنظيمها وإدارتها ب</w:t>
      </w:r>
      <w:r>
        <w:rPr>
          <w:rFonts w:hint="cs"/>
          <w:rtl/>
        </w:rPr>
        <w:t>وسائل</w:t>
      </w:r>
      <w:r w:rsidRPr="00740237">
        <w:rPr>
          <w:rFonts w:hint="cs"/>
          <w:rtl/>
        </w:rPr>
        <w:t xml:space="preserve"> تحقق نتائج إيجابية ومستدامة</w:t>
      </w:r>
      <w:r>
        <w:rPr>
          <w:rFonts w:hint="cs"/>
          <w:rtl/>
        </w:rPr>
        <w:t xml:space="preserve"> طويلة الأجل لحفظ التنوع البيولوجي في الموقع الطبيعي،</w:t>
      </w:r>
      <w:r>
        <w:rPr>
          <w:rStyle w:val="FootnoteReference"/>
          <w:rtl/>
        </w:rPr>
        <w:footnoteReference w:id="120"/>
      </w:r>
      <w:r>
        <w:rPr>
          <w:rFonts w:hint="cs"/>
          <w:rtl/>
        </w:rPr>
        <w:t xml:space="preserve"> مع ما يرتبط بها من وظائف وخدمات النظم الإيكولوجية وحيثما ينطبق، القيم الثقافية والروحية والاجتماعية والاقتصادية والقيم الأخرى ذات الصلة على المستوى المحلي</w:t>
      </w:r>
      <w:r w:rsidRPr="004A162B">
        <w:rPr>
          <w:rFonts w:hint="cs"/>
          <w:rtl/>
        </w:rPr>
        <w:t>"؛</w:t>
      </w:r>
    </w:p>
    <w:p w:rsidR="00B42CBF" w:rsidRPr="00331576" w:rsidRDefault="00B42CBF" w:rsidP="00FF7FA5">
      <w:pPr>
        <w:numPr>
          <w:ilvl w:val="0"/>
          <w:numId w:val="24"/>
        </w:numPr>
        <w:spacing w:after="100" w:line="204" w:lineRule="auto"/>
        <w:ind w:left="0" w:firstLine="720"/>
        <w:jc w:val="lowKashida"/>
        <w:rPr>
          <w:i/>
          <w:iCs/>
        </w:rPr>
      </w:pPr>
      <w:r>
        <w:rPr>
          <w:rFonts w:hint="cs"/>
          <w:i/>
          <w:iCs/>
          <w:rtl/>
        </w:rPr>
        <w:t>يرحب</w:t>
      </w:r>
      <w:r w:rsidRPr="00331576">
        <w:rPr>
          <w:rFonts w:hint="cs"/>
          <w:i/>
          <w:iCs/>
          <w:rtl/>
        </w:rPr>
        <w:t xml:space="preserve"> </w:t>
      </w:r>
      <w:r w:rsidRPr="004A162B">
        <w:rPr>
          <w:rFonts w:hint="cs"/>
          <w:rtl/>
        </w:rPr>
        <w:t>ب</w:t>
      </w:r>
      <w:r w:rsidRPr="00331576">
        <w:rPr>
          <w:rFonts w:hint="cs"/>
          <w:rtl/>
        </w:rPr>
        <w:t xml:space="preserve">المشورة العلمية والتقنية </w:t>
      </w:r>
      <w:r w:rsidRPr="00437AA9">
        <w:rPr>
          <w:rFonts w:hint="cs"/>
          <w:rtl/>
        </w:rPr>
        <w:t xml:space="preserve">بشأن </w:t>
      </w:r>
      <w:r w:rsidRPr="00331576">
        <w:rPr>
          <w:rFonts w:hint="cs"/>
          <w:rtl/>
        </w:rPr>
        <w:t xml:space="preserve">تدابير الحفظ الفعالة الأخرى الواردة في المرفق الثالث </w:t>
      </w:r>
      <w:r>
        <w:rPr>
          <w:rFonts w:hint="cs"/>
          <w:rtl/>
        </w:rPr>
        <w:t>ب</w:t>
      </w:r>
      <w:r w:rsidRPr="00331576">
        <w:rPr>
          <w:rFonts w:hint="cs"/>
          <w:rtl/>
        </w:rPr>
        <w:t>هذ</w:t>
      </w:r>
      <w:r>
        <w:rPr>
          <w:rFonts w:hint="cs"/>
          <w:rtl/>
        </w:rPr>
        <w:t>ا</w:t>
      </w:r>
      <w:r w:rsidRPr="00331576">
        <w:rPr>
          <w:rFonts w:hint="cs"/>
          <w:rtl/>
        </w:rPr>
        <w:t xml:space="preserve"> ال</w:t>
      </w:r>
      <w:r>
        <w:rPr>
          <w:rFonts w:hint="cs"/>
          <w:rtl/>
        </w:rPr>
        <w:t>مقرر،</w:t>
      </w:r>
      <w:r w:rsidRPr="00437AA9">
        <w:rPr>
          <w:rFonts w:hint="cs"/>
          <w:rtl/>
        </w:rPr>
        <w:t xml:space="preserve"> لتطبيقها بطريقة مرنة وعلى أساس كل حالة على حدة؛</w:t>
      </w:r>
    </w:p>
    <w:p w:rsidR="00B42CBF" w:rsidRPr="00331576" w:rsidRDefault="00B42CBF" w:rsidP="00FF7FA5">
      <w:pPr>
        <w:numPr>
          <w:ilvl w:val="0"/>
          <w:numId w:val="24"/>
        </w:numPr>
        <w:spacing w:after="100" w:line="204" w:lineRule="auto"/>
        <w:ind w:left="0" w:firstLine="720"/>
        <w:jc w:val="lowKashida"/>
        <w:rPr>
          <w:i/>
          <w:iCs/>
        </w:rPr>
      </w:pPr>
      <w:r w:rsidRPr="00331576">
        <w:rPr>
          <w:rFonts w:hint="cs"/>
          <w:i/>
          <w:iCs/>
          <w:rtl/>
        </w:rPr>
        <w:t>ي</w:t>
      </w:r>
      <w:r>
        <w:rPr>
          <w:rFonts w:hint="cs"/>
          <w:i/>
          <w:iCs/>
          <w:rtl/>
        </w:rPr>
        <w:t>شجع</w:t>
      </w:r>
      <w:r w:rsidRPr="00331576">
        <w:rPr>
          <w:rFonts w:hint="cs"/>
          <w:rtl/>
        </w:rPr>
        <w:t xml:space="preserve"> الأطراف</w:t>
      </w:r>
      <w:r>
        <w:rPr>
          <w:rFonts w:hint="cs"/>
          <w:rtl/>
        </w:rPr>
        <w:t xml:space="preserve"> </w:t>
      </w:r>
      <w:r w:rsidRPr="00437AA9">
        <w:rPr>
          <w:rFonts w:hint="cs"/>
          <w:i/>
          <w:iCs/>
          <w:rtl/>
        </w:rPr>
        <w:t>ويدعو</w:t>
      </w:r>
      <w:r>
        <w:rPr>
          <w:rFonts w:hint="cs"/>
          <w:rtl/>
        </w:rPr>
        <w:t xml:space="preserve"> الحكومات الأخرى، والمنظمات ذات الصلة، بالتعاون مع الشعوب الأصلية والمجتمعات المحلية،</w:t>
      </w:r>
      <w:r w:rsidRPr="00331576">
        <w:rPr>
          <w:rFonts w:hint="cs"/>
          <w:rtl/>
        </w:rPr>
        <w:t xml:space="preserve"> على تطبيق الإرشادات الطوعية </w:t>
      </w:r>
      <w:r>
        <w:rPr>
          <w:rFonts w:hint="cs"/>
          <w:rtl/>
        </w:rPr>
        <w:t xml:space="preserve">الواردة في المرفقين الأول والثاني، </w:t>
      </w:r>
      <w:r w:rsidRPr="00331576">
        <w:rPr>
          <w:rFonts w:hint="cs"/>
          <w:rtl/>
        </w:rPr>
        <w:t xml:space="preserve">بشأن إدماج وتعميم، وحوكمة وإنصاف المناطق المحمية وتدابير الحفظ الفعالة الأخرى القائمة على أساس المناطق، حسب الاقتضاء، وفقا </w:t>
      </w:r>
      <w:r>
        <w:rPr>
          <w:rFonts w:hint="cs"/>
          <w:rtl/>
        </w:rPr>
        <w:t>ل</w:t>
      </w:r>
      <w:r w:rsidRPr="00331576">
        <w:rPr>
          <w:rFonts w:hint="cs"/>
          <w:rtl/>
        </w:rPr>
        <w:t>لظروف</w:t>
      </w:r>
      <w:r>
        <w:rPr>
          <w:rFonts w:hint="cs"/>
          <w:rtl/>
        </w:rPr>
        <w:t xml:space="preserve"> والتشريعات</w:t>
      </w:r>
      <w:r w:rsidRPr="00331576">
        <w:rPr>
          <w:rFonts w:hint="cs"/>
          <w:rtl/>
        </w:rPr>
        <w:t xml:space="preserve"> </w:t>
      </w:r>
      <w:r>
        <w:rPr>
          <w:rFonts w:hint="cs"/>
          <w:rtl/>
        </w:rPr>
        <w:t>الوطنية وبما يتسق وينسجم مع الاتفاقية والالتزامات الدولية الأخرى</w:t>
      </w:r>
      <w:r w:rsidRPr="00331576">
        <w:rPr>
          <w:rFonts w:hint="cs"/>
          <w:rtl/>
        </w:rPr>
        <w:t>؛</w:t>
      </w:r>
    </w:p>
    <w:p w:rsidR="00B42CBF" w:rsidRPr="00331576" w:rsidRDefault="00B42CBF" w:rsidP="00FF7FA5">
      <w:pPr>
        <w:numPr>
          <w:ilvl w:val="0"/>
          <w:numId w:val="24"/>
        </w:numPr>
        <w:spacing w:after="100" w:line="204" w:lineRule="auto"/>
        <w:ind w:left="0" w:firstLine="720"/>
        <w:jc w:val="lowKashida"/>
        <w:rPr>
          <w:i/>
          <w:iCs/>
        </w:rPr>
      </w:pPr>
      <w:r w:rsidRPr="00331576">
        <w:rPr>
          <w:rFonts w:hint="cs"/>
          <w:i/>
          <w:iCs/>
          <w:rtl/>
        </w:rPr>
        <w:t>ي</w:t>
      </w:r>
      <w:r>
        <w:rPr>
          <w:rFonts w:hint="cs"/>
          <w:i/>
          <w:iCs/>
          <w:rtl/>
        </w:rPr>
        <w:t>شجع</w:t>
      </w:r>
      <w:r w:rsidRPr="00331576">
        <w:rPr>
          <w:rFonts w:hint="cs"/>
          <w:rtl/>
        </w:rPr>
        <w:t xml:space="preserve"> الأطراف </w:t>
      </w:r>
      <w:r w:rsidRPr="00257AF9">
        <w:rPr>
          <w:rFonts w:hint="cs"/>
          <w:i/>
          <w:iCs/>
          <w:rtl/>
        </w:rPr>
        <w:t>ويدعو</w:t>
      </w:r>
      <w:r>
        <w:rPr>
          <w:rFonts w:hint="cs"/>
          <w:rtl/>
        </w:rPr>
        <w:t xml:space="preserve"> الحكومات </w:t>
      </w:r>
      <w:r w:rsidRPr="00437AA9">
        <w:rPr>
          <w:rFonts w:hint="cs"/>
          <w:rtl/>
        </w:rPr>
        <w:t>الأخرى، والمنظمات ذات الصلة، بالتعاون مع الشعوب الأصلية والمجتمعات المحلية،</w:t>
      </w:r>
      <w:r>
        <w:rPr>
          <w:rFonts w:hint="cs"/>
          <w:rtl/>
        </w:rPr>
        <w:t xml:space="preserve"> </w:t>
      </w:r>
      <w:r w:rsidRPr="00331576">
        <w:rPr>
          <w:rFonts w:hint="cs"/>
          <w:rtl/>
        </w:rPr>
        <w:t>إلى تطبيق المشورة العلمية والتقنية بشأن تدابير الحفظ الفعالة الأخرى القائمة على أساس المناطق</w:t>
      </w:r>
      <w:r>
        <w:rPr>
          <w:rFonts w:hint="cs"/>
          <w:rtl/>
        </w:rPr>
        <w:t xml:space="preserve"> الواردة في المرفق الثالث</w:t>
      </w:r>
      <w:r w:rsidRPr="00331576">
        <w:rPr>
          <w:rFonts w:hint="cs"/>
          <w:rtl/>
        </w:rPr>
        <w:t xml:space="preserve">، </w:t>
      </w:r>
      <w:r>
        <w:rPr>
          <w:rFonts w:hint="cs"/>
          <w:rtl/>
        </w:rPr>
        <w:t xml:space="preserve">ومع مراعاة أيضا، حيثما ينطبق، تقرير </w:t>
      </w:r>
      <w:r w:rsidRPr="00437AA9">
        <w:rPr>
          <w:rtl/>
        </w:rPr>
        <w:t xml:space="preserve">المقررة الخاصة لمجلس حقوق الإنسان </w:t>
      </w:r>
      <w:r>
        <w:rPr>
          <w:rFonts w:hint="cs"/>
          <w:rtl/>
        </w:rPr>
        <w:t xml:space="preserve">في الأمم المتحدة </w:t>
      </w:r>
      <w:r w:rsidRPr="00437AA9">
        <w:rPr>
          <w:rtl/>
        </w:rPr>
        <w:t>المعنية بحقوق الشعوب الأصلية</w:t>
      </w:r>
      <w:r w:rsidRPr="00437AA9">
        <w:rPr>
          <w:rFonts w:hint="cs"/>
          <w:rtl/>
        </w:rPr>
        <w:t xml:space="preserve"> </w:t>
      </w:r>
      <w:r>
        <w:rPr>
          <w:rFonts w:hint="cs"/>
          <w:rtl/>
        </w:rPr>
        <w:t>لعام 2016 تحت عنوان "الشعوب الأصلية والحفظ"</w:t>
      </w:r>
      <w:r>
        <w:rPr>
          <w:rStyle w:val="FootnoteReference"/>
          <w:rtl/>
        </w:rPr>
        <w:footnoteReference w:id="121"/>
      </w:r>
      <w:r>
        <w:rPr>
          <w:rFonts w:hint="cs"/>
          <w:rtl/>
        </w:rPr>
        <w:t xml:space="preserve"> وتقرير المقرر الخاص للأمم المتحدة لعام 2017 بشأن حقوق الإنسان والبيئة،</w:t>
      </w:r>
      <w:r>
        <w:rPr>
          <w:rStyle w:val="FootnoteReference"/>
          <w:rtl/>
        </w:rPr>
        <w:footnoteReference w:id="122"/>
      </w:r>
      <w:r>
        <w:rPr>
          <w:rFonts w:hint="cs"/>
          <w:rtl/>
        </w:rPr>
        <w:t xml:space="preserve"> </w:t>
      </w:r>
      <w:r w:rsidRPr="00331576">
        <w:rPr>
          <w:rFonts w:hint="cs"/>
          <w:rtl/>
        </w:rPr>
        <w:t>بما في ذلك، عن طريق ما يلي:</w:t>
      </w:r>
    </w:p>
    <w:p w:rsidR="00B42CBF" w:rsidRPr="00331576" w:rsidRDefault="00B42CBF" w:rsidP="00B42CBF">
      <w:pPr>
        <w:spacing w:after="100" w:line="204" w:lineRule="auto"/>
        <w:ind w:firstLine="720"/>
      </w:pPr>
      <w:r w:rsidRPr="00331576">
        <w:rPr>
          <w:rFonts w:hint="cs"/>
          <w:rtl/>
        </w:rPr>
        <w:t>(أ)</w:t>
      </w:r>
      <w:r w:rsidRPr="00331576">
        <w:rPr>
          <w:rFonts w:hint="cs"/>
          <w:rtl/>
        </w:rPr>
        <w:tab/>
        <w:t>تحديد تدابير الحفظ الفعالة الأخرى القائمة على أساس المناطق وخياراتها المتعددة داخل نطاق ولايتها؛</w:t>
      </w:r>
    </w:p>
    <w:p w:rsidR="00B42CBF" w:rsidRPr="00331576" w:rsidRDefault="00B42CBF" w:rsidP="00B42CBF">
      <w:pPr>
        <w:spacing w:after="100" w:line="204" w:lineRule="auto"/>
        <w:ind w:firstLine="720"/>
      </w:pPr>
      <w:r w:rsidRPr="00331576">
        <w:rPr>
          <w:rFonts w:hint="cs"/>
          <w:rtl/>
        </w:rPr>
        <w:t>(ب)</w:t>
      </w:r>
      <w:r w:rsidRPr="00331576">
        <w:rPr>
          <w:rFonts w:hint="cs"/>
          <w:rtl/>
        </w:rPr>
        <w:tab/>
        <w:t>تقديم بيانات بشأن تدابير الحفظ الفعالة الأخرى القائمة على أساس المناطق إلى المركز العالمي لرصد حفظ الطبيعة الت</w:t>
      </w:r>
      <w:r>
        <w:rPr>
          <w:rFonts w:hint="cs"/>
          <w:rtl/>
        </w:rPr>
        <w:t>ابع لبرنامج الأمم المتحدة للبيئة لإدراجها في</w:t>
      </w:r>
      <w:r w:rsidRPr="00331576">
        <w:rPr>
          <w:rFonts w:hint="cs"/>
          <w:rtl/>
        </w:rPr>
        <w:t xml:space="preserve"> قاعدة البيانات العالمية بشأن المناطق المحمية؛</w:t>
      </w:r>
    </w:p>
    <w:p w:rsidR="00B42CBF" w:rsidRPr="00331576" w:rsidRDefault="00B42CBF" w:rsidP="00FF7FA5">
      <w:pPr>
        <w:numPr>
          <w:ilvl w:val="0"/>
          <w:numId w:val="24"/>
        </w:numPr>
        <w:spacing w:after="100" w:line="204" w:lineRule="auto"/>
        <w:ind w:left="0" w:firstLine="720"/>
        <w:jc w:val="lowKashida"/>
      </w:pPr>
      <w:r w:rsidRPr="00331576">
        <w:rPr>
          <w:rFonts w:hint="cs"/>
          <w:i/>
          <w:iCs/>
          <w:rtl/>
        </w:rPr>
        <w:t xml:space="preserve">يشجع </w:t>
      </w:r>
      <w:r w:rsidRPr="00331576">
        <w:rPr>
          <w:rFonts w:hint="cs"/>
          <w:rtl/>
        </w:rPr>
        <w:t xml:space="preserve">الأطراف </w:t>
      </w:r>
      <w:r w:rsidRPr="00257AF9">
        <w:rPr>
          <w:rFonts w:hint="cs"/>
          <w:i/>
          <w:iCs/>
          <w:rtl/>
        </w:rPr>
        <w:t>ويدعو</w:t>
      </w:r>
      <w:r w:rsidRPr="00257AF9">
        <w:rPr>
          <w:rFonts w:hint="cs"/>
          <w:rtl/>
        </w:rPr>
        <w:t xml:space="preserve"> الحكومات </w:t>
      </w:r>
      <w:r>
        <w:rPr>
          <w:rFonts w:hint="cs"/>
          <w:rtl/>
        </w:rPr>
        <w:t>الأخرى،</w:t>
      </w:r>
      <w:r w:rsidRPr="00331576">
        <w:rPr>
          <w:rFonts w:hint="cs"/>
          <w:rtl/>
        </w:rPr>
        <w:t xml:space="preserve"> والمنظمات ذات الصلة والشعوب الأصلية والمجتمعات المحلية </w:t>
      </w:r>
      <w:r>
        <w:rPr>
          <w:rFonts w:hint="cs"/>
          <w:rtl/>
        </w:rPr>
        <w:t>إ</w:t>
      </w:r>
      <w:r w:rsidRPr="00331576">
        <w:rPr>
          <w:rFonts w:hint="cs"/>
          <w:rtl/>
        </w:rPr>
        <w:t>لى مراعاة الاعتبارات</w:t>
      </w:r>
      <w:r>
        <w:rPr>
          <w:rFonts w:hint="cs"/>
          <w:rtl/>
        </w:rPr>
        <w:t xml:space="preserve"> </w:t>
      </w:r>
      <w:r w:rsidRPr="00331576">
        <w:rPr>
          <w:rFonts w:hint="cs"/>
          <w:rtl/>
        </w:rPr>
        <w:t>عند تحقيق الهدف 11 من أهداف أيشي للتنوع البيولوجي في المناطق البحرية والساحلية</w:t>
      </w:r>
      <w:r>
        <w:rPr>
          <w:rFonts w:hint="cs"/>
          <w:rtl/>
        </w:rPr>
        <w:t xml:space="preserve">، على النحو </w:t>
      </w:r>
      <w:r>
        <w:rPr>
          <w:rFonts w:hint="cs"/>
          <w:rtl/>
        </w:rPr>
        <w:lastRenderedPageBreak/>
        <w:t>الوارد في المرفق الرابع بهذا المقرر،</w:t>
      </w:r>
      <w:r w:rsidRPr="00331576">
        <w:rPr>
          <w:rFonts w:hint="cs"/>
          <w:rtl/>
        </w:rPr>
        <w:t xml:space="preserve"> ضمن جهودها الرامية إلى تحقيق كافة عناصر الهدف 11 من أهداف أيشي للتنوع البيولوجي في المناطق البحرية والساحلية؛</w:t>
      </w:r>
    </w:p>
    <w:p w:rsidR="00B42CBF" w:rsidRPr="00257AF9" w:rsidRDefault="00B42CBF" w:rsidP="00FF7FA5">
      <w:pPr>
        <w:numPr>
          <w:ilvl w:val="0"/>
          <w:numId w:val="24"/>
        </w:numPr>
        <w:spacing w:after="100" w:line="204" w:lineRule="auto"/>
        <w:ind w:left="0" w:firstLine="720"/>
        <w:jc w:val="lowKashida"/>
      </w:pPr>
      <w:r w:rsidRPr="00257AF9">
        <w:rPr>
          <w:rFonts w:hint="cs"/>
          <w:i/>
          <w:iCs/>
          <w:rtl/>
        </w:rPr>
        <w:t>يشجع</w:t>
      </w:r>
      <w:r>
        <w:rPr>
          <w:rFonts w:hint="cs"/>
          <w:i/>
          <w:iCs/>
          <w:rtl/>
        </w:rPr>
        <w:t xml:space="preserve"> أيضا</w:t>
      </w:r>
      <w:r>
        <w:rPr>
          <w:rFonts w:hint="cs"/>
          <w:rtl/>
        </w:rPr>
        <w:t xml:space="preserve"> الأطراف </w:t>
      </w:r>
      <w:r w:rsidRPr="00257AF9">
        <w:rPr>
          <w:rFonts w:hint="cs"/>
          <w:i/>
          <w:iCs/>
          <w:rtl/>
        </w:rPr>
        <w:t>ويدعو</w:t>
      </w:r>
      <w:r w:rsidRPr="00257AF9">
        <w:rPr>
          <w:rFonts w:hint="cs"/>
          <w:rtl/>
        </w:rPr>
        <w:t xml:space="preserve"> الحكومات الأخرى، والمنظمات ذات الصلة، </w:t>
      </w:r>
      <w:r>
        <w:rPr>
          <w:rFonts w:hint="cs"/>
          <w:rtl/>
        </w:rPr>
        <w:t>و</w:t>
      </w:r>
      <w:r w:rsidRPr="00257AF9">
        <w:rPr>
          <w:rFonts w:hint="cs"/>
          <w:rtl/>
        </w:rPr>
        <w:t xml:space="preserve">الشعوب الأصلية والمجتمعات المحلية، </w:t>
      </w:r>
      <w:r>
        <w:rPr>
          <w:rFonts w:hint="cs"/>
          <w:rtl/>
        </w:rPr>
        <w:t xml:space="preserve">إلى </w:t>
      </w:r>
      <w:r w:rsidRPr="00721312">
        <w:rPr>
          <w:rFonts w:hint="cs"/>
          <w:rtl/>
        </w:rPr>
        <w:t xml:space="preserve">تبادل دراسات الحالة/أفضل الممارسات وأمثلة على </w:t>
      </w:r>
      <w:r>
        <w:rPr>
          <w:rFonts w:hint="cs"/>
          <w:rtl/>
        </w:rPr>
        <w:t>نُهج</w:t>
      </w:r>
      <w:r w:rsidRPr="00721312">
        <w:rPr>
          <w:rFonts w:hint="cs"/>
          <w:rtl/>
        </w:rPr>
        <w:t xml:space="preserve"> الإدارة وأنواع الحوكمة والفعالية ذات الصلة بتدابير الحفظ الفعالة الأخرى القائمة على أساس المناطق، بما في ذلك الخبرات المتعلقة بتطبيق الإرشادات، من خلال آلية غرفة تبادل المعلومات التابعة للاتفاقية والوسائل الأخرى</w:t>
      </w:r>
      <w:r>
        <w:rPr>
          <w:rFonts w:hint="cs"/>
          <w:rtl/>
        </w:rPr>
        <w:t>؛</w:t>
      </w:r>
    </w:p>
    <w:p w:rsidR="00B42CBF" w:rsidRDefault="00B42CBF" w:rsidP="00FF7FA5">
      <w:pPr>
        <w:numPr>
          <w:ilvl w:val="0"/>
          <w:numId w:val="24"/>
        </w:numPr>
        <w:spacing w:after="100" w:line="204" w:lineRule="auto"/>
        <w:ind w:left="0" w:firstLine="720"/>
        <w:jc w:val="lowKashida"/>
      </w:pPr>
      <w:r w:rsidRPr="00331576">
        <w:rPr>
          <w:rFonts w:hint="cs"/>
          <w:i/>
          <w:iCs/>
          <w:rtl/>
        </w:rPr>
        <w:t xml:space="preserve">يدعو </w:t>
      </w:r>
      <w:r w:rsidRPr="00331576">
        <w:rPr>
          <w:rFonts w:hint="cs"/>
          <w:rtl/>
        </w:rPr>
        <w:t>الاتحاد الدولي لحفظ الطبيعة</w:t>
      </w:r>
      <w:r>
        <w:rPr>
          <w:rFonts w:hint="cs"/>
          <w:rtl/>
        </w:rPr>
        <w:t>،</w:t>
      </w:r>
      <w:r w:rsidRPr="00331576">
        <w:rPr>
          <w:rFonts w:hint="cs"/>
          <w:rtl/>
        </w:rPr>
        <w:t xml:space="preserve"> والمركز العالمي لرصد حفظ الطبيعة</w:t>
      </w:r>
      <w:r>
        <w:rPr>
          <w:rFonts w:hint="cs"/>
          <w:rtl/>
        </w:rPr>
        <w:t xml:space="preserve"> التابع لبرنامج الأمم المتحدة للبيئة</w:t>
      </w:r>
      <w:r w:rsidRPr="00331576">
        <w:rPr>
          <w:rFonts w:hint="cs"/>
          <w:rtl/>
        </w:rPr>
        <w:t xml:space="preserve"> إلى </w:t>
      </w:r>
      <w:r>
        <w:rPr>
          <w:rFonts w:hint="cs"/>
          <w:rtl/>
        </w:rPr>
        <w:t>توسيع نطاق</w:t>
      </w:r>
      <w:r w:rsidRPr="00331576">
        <w:rPr>
          <w:rFonts w:hint="cs"/>
          <w:rtl/>
        </w:rPr>
        <w:t xml:space="preserve"> قاعدة البيانات العالمية للمناطق المحمية من خلال توفير قسم خاص ب</w:t>
      </w:r>
      <w:r>
        <w:rPr>
          <w:rFonts w:hint="cs"/>
          <w:rtl/>
        </w:rPr>
        <w:t xml:space="preserve">شأن </w:t>
      </w:r>
      <w:r w:rsidRPr="00331576">
        <w:rPr>
          <w:rFonts w:hint="cs"/>
          <w:rtl/>
        </w:rPr>
        <w:t xml:space="preserve">تدابير الحفظ الفعالة </w:t>
      </w:r>
      <w:r>
        <w:rPr>
          <w:rFonts w:hint="cs"/>
          <w:rtl/>
        </w:rPr>
        <w:t>الأخرى القائمة على أساس المناطق</w:t>
      </w:r>
      <w:r w:rsidRPr="00331576">
        <w:rPr>
          <w:rFonts w:hint="cs"/>
          <w:rtl/>
        </w:rPr>
        <w:t>؛</w:t>
      </w:r>
    </w:p>
    <w:p w:rsidR="00B42CBF" w:rsidRPr="00331576" w:rsidRDefault="00B42CBF" w:rsidP="00FF7FA5">
      <w:pPr>
        <w:numPr>
          <w:ilvl w:val="0"/>
          <w:numId w:val="24"/>
        </w:numPr>
        <w:spacing w:after="100" w:line="204" w:lineRule="auto"/>
        <w:ind w:left="0" w:firstLine="720"/>
        <w:jc w:val="lowKashida"/>
      </w:pPr>
      <w:r>
        <w:rPr>
          <w:rFonts w:hint="cs"/>
          <w:i/>
          <w:iCs/>
          <w:rtl/>
        </w:rPr>
        <w:t xml:space="preserve">يدعو </w:t>
      </w:r>
      <w:r>
        <w:rPr>
          <w:rFonts w:hint="cs"/>
          <w:rtl/>
        </w:rPr>
        <w:t xml:space="preserve">الاتحاد الدولي لحفظ الطبيعة ومنظمة الأغذية والزراعة للأمم المتحدة وهيئات الخبراء الأخرى إلى مواصلة مساعدة الأطراف في تحديد تدابير الحفظ الفعالة الأخرى القائمة على أساس المناطق </w:t>
      </w:r>
      <w:r w:rsidRPr="00E42808">
        <w:rPr>
          <w:rFonts w:hint="cs"/>
          <w:spacing w:val="-10"/>
          <w:rtl/>
        </w:rPr>
        <w:t>وفي تطبيق المشورة العلمية والتقنية؛</w:t>
      </w:r>
    </w:p>
    <w:p w:rsidR="00B42CBF" w:rsidRPr="00331576" w:rsidRDefault="00B42CBF" w:rsidP="00FF7FA5">
      <w:pPr>
        <w:numPr>
          <w:ilvl w:val="0"/>
          <w:numId w:val="24"/>
        </w:numPr>
        <w:spacing w:after="100" w:line="204" w:lineRule="auto"/>
        <w:ind w:left="0" w:firstLine="720"/>
        <w:jc w:val="lowKashida"/>
      </w:pPr>
      <w:r w:rsidRPr="00331576">
        <w:rPr>
          <w:rFonts w:hint="cs"/>
          <w:i/>
          <w:iCs/>
          <w:rtl/>
        </w:rPr>
        <w:t>يطلب</w:t>
      </w:r>
      <w:r w:rsidRPr="00331576">
        <w:rPr>
          <w:rFonts w:hint="cs"/>
          <w:rtl/>
        </w:rPr>
        <w:t xml:space="preserve"> إلى الأمينة التنفيذية</w:t>
      </w:r>
      <w:r>
        <w:rPr>
          <w:rFonts w:hint="cs"/>
          <w:rtl/>
        </w:rPr>
        <w:t xml:space="preserve"> القيام</w:t>
      </w:r>
      <w:r w:rsidRPr="00331576">
        <w:rPr>
          <w:rFonts w:hint="cs"/>
          <w:rtl/>
        </w:rPr>
        <w:t xml:space="preserve">، </w:t>
      </w:r>
      <w:r>
        <w:rPr>
          <w:rFonts w:hint="cs"/>
          <w:rtl/>
        </w:rPr>
        <w:t>رهنا بتوافر الموارد، و</w:t>
      </w:r>
      <w:r w:rsidRPr="00331576">
        <w:rPr>
          <w:rFonts w:hint="cs"/>
          <w:rtl/>
        </w:rPr>
        <w:t>بالتعاون مع الشركاء والأطراف والحكومات الأخرى والمنظمات ذات الصلة</w:t>
      </w:r>
      <w:r>
        <w:rPr>
          <w:rFonts w:hint="cs"/>
          <w:rtl/>
        </w:rPr>
        <w:t xml:space="preserve"> و</w:t>
      </w:r>
      <w:r w:rsidRPr="00721312">
        <w:rPr>
          <w:rFonts w:hint="cs"/>
          <w:rtl/>
        </w:rPr>
        <w:t>الشعوب الأصلية والمجتمعات المحلية</w:t>
      </w:r>
      <w:r>
        <w:rPr>
          <w:rFonts w:hint="cs"/>
          <w:rtl/>
        </w:rPr>
        <w:t>، بتوفير بناء القدرات بما في ذلك حلقات العمل التدريبية لتمكين تطبيق المشورة العلمية والتقنية الواردة في المرفقات بهذا المقرر؛</w:t>
      </w:r>
    </w:p>
    <w:p w:rsidR="00B42CBF" w:rsidRDefault="00B42CBF" w:rsidP="00551E22">
      <w:pPr>
        <w:numPr>
          <w:ilvl w:val="0"/>
          <w:numId w:val="24"/>
        </w:numPr>
        <w:spacing w:after="100" w:line="204" w:lineRule="auto"/>
        <w:ind w:left="0" w:firstLine="720"/>
      </w:pPr>
      <w:r w:rsidRPr="00331576">
        <w:rPr>
          <w:rFonts w:hint="cs"/>
          <w:i/>
          <w:iCs/>
          <w:rtl/>
        </w:rPr>
        <w:t>ي</w:t>
      </w:r>
      <w:r>
        <w:rPr>
          <w:rFonts w:hint="cs"/>
          <w:i/>
          <w:iCs/>
          <w:rtl/>
        </w:rPr>
        <w:t>حث</w:t>
      </w:r>
      <w:r w:rsidRPr="00331576">
        <w:rPr>
          <w:rFonts w:hint="cs"/>
          <w:i/>
          <w:iCs/>
          <w:rtl/>
        </w:rPr>
        <w:t xml:space="preserve"> </w:t>
      </w:r>
      <w:r w:rsidRPr="00331576">
        <w:rPr>
          <w:rFonts w:hint="cs"/>
          <w:rtl/>
        </w:rPr>
        <w:t>الأطراف</w:t>
      </w:r>
      <w:r>
        <w:rPr>
          <w:rFonts w:hint="cs"/>
          <w:rtl/>
        </w:rPr>
        <w:t xml:space="preserve">، </w:t>
      </w:r>
      <w:r w:rsidRPr="00721312">
        <w:rPr>
          <w:rFonts w:hint="cs"/>
          <w:i/>
          <w:iCs/>
          <w:rtl/>
        </w:rPr>
        <w:t>ويدعو</w:t>
      </w:r>
      <w:r>
        <w:rPr>
          <w:rFonts w:hint="cs"/>
          <w:rtl/>
        </w:rPr>
        <w:t xml:space="preserve"> </w:t>
      </w:r>
      <w:r w:rsidRPr="00721312">
        <w:rPr>
          <w:rFonts w:hint="cs"/>
          <w:rtl/>
        </w:rPr>
        <w:t>الحكومات الأخرى، والمنظمات</w:t>
      </w:r>
      <w:r w:rsidRPr="00331576">
        <w:rPr>
          <w:rFonts w:hint="cs"/>
          <w:rtl/>
        </w:rPr>
        <w:t xml:space="preserve"> </w:t>
      </w:r>
      <w:r>
        <w:rPr>
          <w:rFonts w:hint="cs"/>
          <w:rtl/>
        </w:rPr>
        <w:t>والجهات المانحة</w:t>
      </w:r>
      <w:r w:rsidRPr="007F0964">
        <w:rPr>
          <w:rFonts w:hint="cs"/>
          <w:rtl/>
        </w:rPr>
        <w:t xml:space="preserve"> </w:t>
      </w:r>
      <w:r>
        <w:rPr>
          <w:rFonts w:hint="cs"/>
          <w:rtl/>
        </w:rPr>
        <w:t>ذات الصلة التي هي في وضع يسمح لها بالقيام بذلك، إلى توفير موارد من أجل بناء القدرات ونقل التكنولوجيا، ودعم الأطراف والشعوب الأصلية والمجتمعات المحلية على تحديد تدابير الحفظ الفعالة الأخرى القائمة على أساس المناطق وتطبيق المشورة والإرشادات العلمية والتقنية؛</w:t>
      </w:r>
    </w:p>
    <w:p w:rsidR="00B42CBF" w:rsidRDefault="00B42CBF" w:rsidP="00551E22">
      <w:pPr>
        <w:numPr>
          <w:ilvl w:val="0"/>
          <w:numId w:val="24"/>
        </w:numPr>
        <w:spacing w:after="100" w:line="204" w:lineRule="auto"/>
        <w:ind w:left="0" w:firstLine="720"/>
      </w:pPr>
      <w:r>
        <w:rPr>
          <w:rFonts w:hint="cs"/>
          <w:i/>
          <w:iCs/>
          <w:rtl/>
        </w:rPr>
        <w:t>يحث</w:t>
      </w:r>
      <w:r>
        <w:rPr>
          <w:rFonts w:hint="cs"/>
          <w:rtl/>
        </w:rPr>
        <w:t xml:space="preserve"> الأطراف على تيسير تعميم تدابير حفظ المناطق المحمية وتدابير الحفظ الأخرى القائمة على أساس المناطق في القطاعات الرئيسية مثل الزراعة ومصايد الأسماك والحراجة والتعدين والطاقة والسياحة والنقل وبما يتماشى مع المرفق الأول.</w:t>
      </w:r>
    </w:p>
    <w:p w:rsidR="00B42CBF" w:rsidRPr="00331576" w:rsidRDefault="00B42CBF" w:rsidP="00B42CBF">
      <w:pPr>
        <w:spacing w:after="100" w:line="204" w:lineRule="auto"/>
        <w:jc w:val="center"/>
      </w:pPr>
      <w:r w:rsidRPr="00331576">
        <w:rPr>
          <w:rFonts w:hint="cs"/>
          <w:i/>
          <w:iCs/>
          <w:rtl/>
        </w:rPr>
        <w:t>المرفق الأول</w:t>
      </w:r>
    </w:p>
    <w:p w:rsidR="00B42CBF" w:rsidRPr="00A42263" w:rsidRDefault="00B42CBF" w:rsidP="00B42CBF">
      <w:pPr>
        <w:spacing w:after="100" w:line="204" w:lineRule="auto"/>
        <w:ind w:left="1170" w:hanging="630"/>
        <w:jc w:val="center"/>
        <w:rPr>
          <w:b/>
          <w:bCs/>
          <w:sz w:val="24"/>
          <w:rtl/>
        </w:rPr>
      </w:pPr>
      <w:r w:rsidRPr="00A42263">
        <w:rPr>
          <w:rFonts w:hint="cs"/>
          <w:b/>
          <w:bCs/>
          <w:sz w:val="24"/>
          <w:rtl/>
        </w:rPr>
        <w:t>الإرشادات الطوعية بشأن إدماج المناطق المحمية وتدابير الحفظ الفعالة الأخرى القائمة على أساس المناطق في المناظر الطبيعية الأرضية والمناظر الطبيعية البحرية الأوسع نطاقا وتعميمها عبر القطاعات للمساهمة، ضمن جملة أمور، ف</w:t>
      </w:r>
      <w:r>
        <w:rPr>
          <w:rFonts w:hint="cs"/>
          <w:b/>
          <w:bCs/>
          <w:sz w:val="24"/>
          <w:rtl/>
        </w:rPr>
        <w:t>ي تحقيق أهداف التنمية المستدامة</w:t>
      </w:r>
    </w:p>
    <w:p w:rsidR="00B42CBF" w:rsidRPr="00A42263" w:rsidRDefault="00B42CBF" w:rsidP="00B42CBF">
      <w:pPr>
        <w:spacing w:after="100" w:line="204" w:lineRule="auto"/>
        <w:ind w:left="-58"/>
        <w:jc w:val="center"/>
        <w:rPr>
          <w:b/>
          <w:bCs/>
          <w:sz w:val="24"/>
          <w:rtl/>
        </w:rPr>
      </w:pPr>
      <w:r w:rsidRPr="00A42263">
        <w:rPr>
          <w:rFonts w:hint="cs"/>
          <w:b/>
          <w:bCs/>
          <w:sz w:val="24"/>
          <w:rtl/>
        </w:rPr>
        <w:t>أولا-</w:t>
      </w:r>
      <w:r w:rsidRPr="00A42263">
        <w:rPr>
          <w:b/>
          <w:bCs/>
          <w:sz w:val="24"/>
          <w:rtl/>
        </w:rPr>
        <w:tab/>
      </w:r>
      <w:r w:rsidRPr="00A42263">
        <w:rPr>
          <w:rFonts w:hint="cs"/>
          <w:b/>
          <w:bCs/>
          <w:sz w:val="24"/>
          <w:rtl/>
        </w:rPr>
        <w:t>السياق</w:t>
      </w:r>
    </w:p>
    <w:p w:rsidR="00B42CBF" w:rsidRPr="00331576" w:rsidRDefault="00B42CBF" w:rsidP="00FF7FA5">
      <w:pPr>
        <w:numPr>
          <w:ilvl w:val="0"/>
          <w:numId w:val="25"/>
        </w:numPr>
        <w:spacing w:after="100" w:line="204" w:lineRule="auto"/>
        <w:ind w:left="-7" w:firstLine="0"/>
      </w:pPr>
      <w:r w:rsidRPr="00331576">
        <w:rPr>
          <w:rFonts w:hint="cs"/>
          <w:rtl/>
        </w:rPr>
        <w:t xml:space="preserve">يتألف إدماج المناطق المحمية في المناظر الطبيعية الأرضية والمناظر الطبيعية البحرية والقطاعات الأوسع نطاقا من عدة مكونات. </w:t>
      </w:r>
      <w:r>
        <w:rPr>
          <w:rFonts w:hint="cs"/>
          <w:rtl/>
        </w:rPr>
        <w:t>ويمكن أن يكون ل</w:t>
      </w:r>
      <w:r w:rsidRPr="00331576">
        <w:rPr>
          <w:rFonts w:hint="cs"/>
          <w:rtl/>
          <w:lang w:val="en-GB"/>
        </w:rPr>
        <w:t>تجزؤ الموائل</w:t>
      </w:r>
      <w:r>
        <w:rPr>
          <w:rFonts w:hint="cs"/>
          <w:rtl/>
          <w:lang w:val="en-GB"/>
        </w:rPr>
        <w:t xml:space="preserve"> </w:t>
      </w:r>
      <w:r w:rsidRPr="00331576">
        <w:rPr>
          <w:rFonts w:hint="cs"/>
          <w:rtl/>
          <w:lang w:val="en-GB"/>
        </w:rPr>
        <w:t xml:space="preserve">آثار عميقة على </w:t>
      </w:r>
      <w:r>
        <w:rPr>
          <w:rFonts w:hint="cs"/>
          <w:rtl/>
          <w:lang w:val="en-GB"/>
        </w:rPr>
        <w:t>وظائف</w:t>
      </w:r>
      <w:r w:rsidRPr="00331576">
        <w:rPr>
          <w:rFonts w:hint="cs"/>
          <w:rtl/>
          <w:lang w:val="en-GB"/>
        </w:rPr>
        <w:t xml:space="preserve"> وسلامة النظم الإيكولوجية المعقدة. </w:t>
      </w:r>
      <w:r>
        <w:rPr>
          <w:rFonts w:hint="cs"/>
          <w:rtl/>
          <w:lang w:val="en-GB"/>
        </w:rPr>
        <w:t>كما أن</w:t>
      </w:r>
      <w:r w:rsidRPr="00331576">
        <w:rPr>
          <w:rFonts w:hint="cs"/>
          <w:rtl/>
          <w:lang w:val="en-GB"/>
        </w:rPr>
        <w:t xml:space="preserve"> معدل ومدى التجزؤ هائل</w:t>
      </w:r>
      <w:r>
        <w:rPr>
          <w:rFonts w:hint="cs"/>
          <w:rtl/>
          <w:lang w:val="en-GB"/>
        </w:rPr>
        <w:t>ا</w:t>
      </w:r>
      <w:r w:rsidRPr="00331576">
        <w:rPr>
          <w:rFonts w:hint="cs"/>
          <w:rtl/>
          <w:lang w:val="en-GB"/>
        </w:rPr>
        <w:t xml:space="preserve">ن، خاصة في الغابات. وخلصت دراسة </w:t>
      </w:r>
      <w:r>
        <w:rPr>
          <w:rFonts w:hint="cs"/>
          <w:rtl/>
          <w:lang w:val="en-GB"/>
        </w:rPr>
        <w:t>أجريت في عام 2018</w:t>
      </w:r>
      <w:r w:rsidRPr="00331576">
        <w:rPr>
          <w:rFonts w:hint="cs"/>
          <w:rtl/>
          <w:lang w:val="en-GB"/>
        </w:rPr>
        <w:t xml:space="preserve"> إلى أن 70 في المائة من الغطاء الحرجي العالمي لا يبعد إلا بكيلومتر واحد عن حافة الغابة (مثل الطرق، والأراضي المحوَّلة لاستخدامات أخرى، مثل الزراعة)، مما يحد من التنوع البيولوجي بنسبة تصل إلى 75 في المائة ويعرض عمل النظم الإيكولوجية للخطر.</w:t>
      </w:r>
      <w:r w:rsidRPr="00331576">
        <w:rPr>
          <w:rStyle w:val="FootnoteReference"/>
          <w:rtl/>
          <w:lang w:val="en-GB"/>
        </w:rPr>
        <w:footnoteReference w:id="123"/>
      </w:r>
      <w:r w:rsidRPr="00331576">
        <w:rPr>
          <w:rFonts w:hint="cs"/>
          <w:rtl/>
          <w:lang w:val="en-GB"/>
        </w:rPr>
        <w:t xml:space="preserve"> ويتزايد الاعتراف بأهمية الموائل السليمة باعتبارها ضرورية ل</w:t>
      </w:r>
      <w:r>
        <w:rPr>
          <w:rFonts w:hint="cs"/>
          <w:rtl/>
          <w:lang w:val="en-GB"/>
        </w:rPr>
        <w:t>وظائف</w:t>
      </w:r>
      <w:r w:rsidRPr="00331576">
        <w:rPr>
          <w:rFonts w:hint="cs"/>
          <w:rtl/>
          <w:lang w:val="en-GB"/>
        </w:rPr>
        <w:t xml:space="preserve"> النظم الإيكولوجية الأكبر، وكذلك ل</w:t>
      </w:r>
      <w:r>
        <w:rPr>
          <w:rFonts w:hint="cs"/>
          <w:rtl/>
          <w:lang w:val="en-GB"/>
        </w:rPr>
        <w:t>وظائف و</w:t>
      </w:r>
      <w:r w:rsidRPr="00331576">
        <w:rPr>
          <w:rFonts w:hint="cs"/>
          <w:rtl/>
          <w:lang w:val="en-GB"/>
        </w:rPr>
        <w:t xml:space="preserve">خدمات النظم الإيكولوجية، بما في ذلك </w:t>
      </w:r>
      <w:r>
        <w:rPr>
          <w:rFonts w:hint="cs"/>
          <w:rtl/>
          <w:lang w:val="en-GB"/>
        </w:rPr>
        <w:t xml:space="preserve">دوران </w:t>
      </w:r>
      <w:r w:rsidRPr="00331576">
        <w:rPr>
          <w:rFonts w:hint="cs"/>
          <w:rtl/>
          <w:lang w:val="en-GB"/>
        </w:rPr>
        <w:t>المياه والكربون</w:t>
      </w:r>
      <w:r>
        <w:rPr>
          <w:rFonts w:hint="cs"/>
          <w:rtl/>
          <w:lang w:val="en-GB"/>
        </w:rPr>
        <w:t>،</w:t>
      </w:r>
      <w:r w:rsidRPr="00331576">
        <w:rPr>
          <w:rFonts w:hint="cs"/>
          <w:rtl/>
          <w:lang w:val="en-GB"/>
        </w:rPr>
        <w:t xml:space="preserve"> وصحة الإنسان.</w:t>
      </w:r>
      <w:r w:rsidRPr="00331576">
        <w:rPr>
          <w:rStyle w:val="FootnoteReference"/>
          <w:rtl/>
          <w:lang w:val="en-GB"/>
        </w:rPr>
        <w:footnoteReference w:id="124"/>
      </w:r>
    </w:p>
    <w:p w:rsidR="00B42CBF" w:rsidRPr="00331576" w:rsidRDefault="00B42CBF" w:rsidP="00FF7FA5">
      <w:pPr>
        <w:numPr>
          <w:ilvl w:val="0"/>
          <w:numId w:val="25"/>
        </w:numPr>
        <w:spacing w:after="100" w:line="204" w:lineRule="auto"/>
        <w:ind w:left="-7" w:firstLine="0"/>
      </w:pPr>
      <w:r w:rsidRPr="00331576">
        <w:rPr>
          <w:rFonts w:hint="cs"/>
          <w:rtl/>
        </w:rPr>
        <w:t>وفي برنامج العمل المتعلق بالمناطق المحمية، ينص الهدف 1-2 على أنه "بحلول عام 2015، يتم إدماج كافة المناطق المحمية ونظم المناطق المحمية في المناظر الطبيعية</w:t>
      </w:r>
      <w:r w:rsidRPr="00331576">
        <w:rPr>
          <w:rFonts w:hint="cs"/>
          <w:rtl/>
          <w:lang w:val="en-GB"/>
        </w:rPr>
        <w:t xml:space="preserve"> الأرضية والمناظر الطبيعية البحرية، والقطاعات ذات الصلة </w:t>
      </w:r>
      <w:r w:rsidRPr="00331576">
        <w:rPr>
          <w:rFonts w:hint="cs"/>
          <w:rtl/>
          <w:lang w:val="en-GB"/>
        </w:rPr>
        <w:lastRenderedPageBreak/>
        <w:t>الأوسع نطاقا، من خلال تطبيق نهج النظام الإيكولوجي ومع مراعاة الترابط الإيكولوجي ومفهوم الشبكات الإيكولوجية عند الاقتضاء". وفي المقرر </w:t>
      </w:r>
      <w:hyperlink r:id="rId42" w:history="1">
        <w:r w:rsidRPr="00331576">
          <w:rPr>
            <w:rStyle w:val="Hyperlink"/>
            <w:rFonts w:hint="cs"/>
            <w:rtl/>
            <w:lang w:val="en-GB"/>
          </w:rPr>
          <w:t>10/6</w:t>
        </w:r>
      </w:hyperlink>
      <w:r w:rsidRPr="00331576">
        <w:rPr>
          <w:rFonts w:hint="cs"/>
          <w:rtl/>
          <w:lang w:val="en-GB"/>
        </w:rPr>
        <w:t xml:space="preserve">، أشار مؤتمر الأطراف، في جملة أمور، إلى أهمية إدماج التنوع البيولوجي في القضاء على الفقر والتنمية، وشدد في المقرر </w:t>
      </w:r>
      <w:hyperlink r:id="rId43" w:history="1">
        <w:r w:rsidRPr="00331576">
          <w:rPr>
            <w:rStyle w:val="Hyperlink"/>
            <w:rFonts w:hint="cs"/>
            <w:rtl/>
            <w:lang w:val="en-GB"/>
          </w:rPr>
          <w:t>13/3</w:t>
        </w:r>
      </w:hyperlink>
      <w:r w:rsidRPr="00331576">
        <w:rPr>
          <w:rFonts w:hint="cs"/>
          <w:rtl/>
          <w:lang w:val="en-GB"/>
        </w:rPr>
        <w:t xml:space="preserve">، في جملة أمور، على أهمية تعميم وإدماج التنوع البيولوجي داخل القطاعات وعبرها. وفي المقرر </w:t>
      </w:r>
      <w:hyperlink r:id="rId44" w:history="1">
        <w:r w:rsidRPr="00331576">
          <w:rPr>
            <w:rStyle w:val="Hyperlink"/>
            <w:rFonts w:hint="cs"/>
            <w:rtl/>
            <w:lang w:val="en-GB"/>
          </w:rPr>
          <w:t>10/31</w:t>
        </w:r>
      </w:hyperlink>
      <w:r w:rsidRPr="00331576">
        <w:rPr>
          <w:rFonts w:hint="cs"/>
          <w:rtl/>
          <w:lang w:val="en-GB"/>
        </w:rPr>
        <w:t>، دعا مؤتمر الأطراف، في جملة أمور، الأطراف إلى تيسير إدماج المناطق المحمية في خطط التنمية الوطنية والاقتصادية حيثما وجدت.</w:t>
      </w:r>
    </w:p>
    <w:p w:rsidR="00B42CBF" w:rsidRPr="00331576" w:rsidRDefault="00B42CBF" w:rsidP="00FF7FA5">
      <w:pPr>
        <w:numPr>
          <w:ilvl w:val="0"/>
          <w:numId w:val="25"/>
        </w:numPr>
        <w:spacing w:after="100" w:line="204" w:lineRule="auto"/>
        <w:ind w:left="-7" w:firstLine="0"/>
      </w:pPr>
      <w:r w:rsidRPr="00331576">
        <w:rPr>
          <w:rFonts w:hint="cs"/>
          <w:rtl/>
        </w:rPr>
        <w:t xml:space="preserve">ويمكن تعريف إدماج المناطق المحمية على أنه: "عملية التأكد من أن تصميم وإدارة </w:t>
      </w:r>
      <w:r w:rsidRPr="00331576">
        <w:rPr>
          <w:rFonts w:hint="cs"/>
          <w:rtl/>
          <w:lang w:val="en-GB"/>
        </w:rPr>
        <w:t>المناطق المحمية والممرات والمصفوفة المحيطة يعزز عمل شبكة إيكولوجية مترابطة."</w:t>
      </w:r>
      <w:r w:rsidRPr="00331576">
        <w:rPr>
          <w:rStyle w:val="FootnoteReference"/>
          <w:rtl/>
          <w:lang w:val="en-GB"/>
        </w:rPr>
        <w:footnoteReference w:id="125"/>
      </w:r>
      <w:r w:rsidRPr="00331576">
        <w:rPr>
          <w:rFonts w:hint="cs"/>
          <w:rtl/>
          <w:lang w:val="en-GB"/>
        </w:rPr>
        <w:t xml:space="preserve"> ويمكن تعريف تعميم المناطق المحمية على أنه دمج قيم وآثار وتبعيات التنوع البيولوجي و</w:t>
      </w:r>
      <w:r>
        <w:rPr>
          <w:rFonts w:hint="cs"/>
          <w:rtl/>
          <w:lang w:val="en-GB"/>
        </w:rPr>
        <w:t>وظائف و</w:t>
      </w:r>
      <w:r w:rsidRPr="00331576">
        <w:rPr>
          <w:rFonts w:hint="cs"/>
          <w:rtl/>
          <w:lang w:val="en-GB"/>
        </w:rPr>
        <w:t>خدمات النظم الإيكولوجية التي توفرها المناطق المحمية في القطاعات الأساسية، مثل الزراعة ومصايد الأسماك والحراجة والتعدين والطاقة والسياحة والنقل</w:t>
      </w:r>
      <w:r>
        <w:rPr>
          <w:rFonts w:hint="cs"/>
          <w:rtl/>
          <w:lang w:val="en-GB"/>
        </w:rPr>
        <w:t xml:space="preserve"> والتعليم والصحة</w:t>
      </w:r>
      <w:r w:rsidRPr="00331576">
        <w:rPr>
          <w:rFonts w:hint="cs"/>
          <w:rtl/>
          <w:lang w:val="en-GB"/>
        </w:rPr>
        <w:t>.</w:t>
      </w:r>
    </w:p>
    <w:p w:rsidR="00B42CBF" w:rsidRPr="00331576" w:rsidRDefault="00B42CBF" w:rsidP="00FF7FA5">
      <w:pPr>
        <w:numPr>
          <w:ilvl w:val="0"/>
          <w:numId w:val="25"/>
        </w:numPr>
        <w:spacing w:after="100" w:line="204" w:lineRule="auto"/>
        <w:ind w:left="-7" w:firstLine="0"/>
      </w:pPr>
      <w:r w:rsidRPr="00331576">
        <w:rPr>
          <w:rFonts w:hint="cs"/>
          <w:rtl/>
        </w:rPr>
        <w:t>وتقوم المناطق المحمية بحماية التنوع البيولوجي والنظم الإيكولوجية التي تدعم أهداف التنمية المستدامة.</w:t>
      </w:r>
      <w:r w:rsidRPr="00331576">
        <w:rPr>
          <w:rStyle w:val="FootnoteReference"/>
          <w:rtl/>
        </w:rPr>
        <w:footnoteReference w:id="126"/>
      </w:r>
      <w:r w:rsidRPr="00331576">
        <w:rPr>
          <w:rFonts w:hint="cs"/>
          <w:rtl/>
        </w:rPr>
        <w:t xml:space="preserve"> وتكتسي المناطق المحمية أهمية خاصة في تحقيق الأهداف المتعلقة بالتخفيف من حدة الفقر وأهداف الأمن المائي واحتجاز الكربون والتكيف مع تغير المناخ والتنمية الاقتصادية والحد من مخاطر الكوارث. وتعد المناطق المحمية استراتيجية أساسية لمجال الحلول الطبيعية الناشئ للتصدي لمختلف التحديات العالمية، مثل الأمن المائي.</w:t>
      </w:r>
      <w:r w:rsidRPr="00331576">
        <w:rPr>
          <w:rStyle w:val="FootnoteReference"/>
          <w:rtl/>
        </w:rPr>
        <w:footnoteReference w:id="127"/>
      </w:r>
      <w:r w:rsidRPr="00331576">
        <w:rPr>
          <w:rFonts w:hint="cs"/>
          <w:rtl/>
        </w:rPr>
        <w:t xml:space="preserve"> وهي مهمة بشكل خاص كحل طبيعي للتخفيف من حدة تغير المناخ</w:t>
      </w:r>
      <w:r w:rsidRPr="00331576">
        <w:rPr>
          <w:rStyle w:val="FootnoteReference"/>
          <w:rtl/>
        </w:rPr>
        <w:footnoteReference w:id="128"/>
      </w:r>
      <w:r w:rsidRPr="00331576">
        <w:rPr>
          <w:rFonts w:hint="cs"/>
          <w:rtl/>
        </w:rPr>
        <w:t xml:space="preserve"> والتكيف معه.</w:t>
      </w:r>
      <w:r w:rsidRPr="00331576">
        <w:rPr>
          <w:rStyle w:val="FootnoteReference"/>
          <w:rtl/>
        </w:rPr>
        <w:footnoteReference w:id="129"/>
      </w:r>
      <w:r w:rsidRPr="00331576">
        <w:rPr>
          <w:rFonts w:hint="cs"/>
          <w:rtl/>
        </w:rPr>
        <w:t xml:space="preserve"> و</w:t>
      </w:r>
      <w:r>
        <w:rPr>
          <w:rFonts w:hint="cs"/>
          <w:rtl/>
        </w:rPr>
        <w:t xml:space="preserve">يمكن أن </w:t>
      </w:r>
      <w:r w:rsidRPr="00331576">
        <w:rPr>
          <w:rFonts w:hint="cs"/>
          <w:rtl/>
        </w:rPr>
        <w:t>توفر الطبيعة ما لا يقل عن ثلث الحلول المناخية إذا ما بقيت درجة حرارة الكوكب تحت 1.5 درجة مئوية، وتعتبر المناطق المحمية استراتيجية أساسية لتحقيق هذا الهدف.</w:t>
      </w:r>
    </w:p>
    <w:p w:rsidR="00B42CBF" w:rsidRPr="00331576" w:rsidRDefault="00B42CBF" w:rsidP="00FF7FA5">
      <w:pPr>
        <w:numPr>
          <w:ilvl w:val="0"/>
          <w:numId w:val="25"/>
        </w:numPr>
        <w:spacing w:after="100" w:line="204" w:lineRule="auto"/>
        <w:ind w:left="-7" w:firstLine="0"/>
      </w:pPr>
      <w:r w:rsidRPr="00331576">
        <w:rPr>
          <w:rFonts w:hint="cs"/>
          <w:rtl/>
        </w:rPr>
        <w:t>وعلى الرغم من هذه التطورات، لا يزال التقدم المحرز في مجال إدماج المناطق المحمية وتعميمها بطيئا،</w:t>
      </w:r>
      <w:r>
        <w:rPr>
          <w:rFonts w:hint="cs"/>
          <w:rtl/>
        </w:rPr>
        <w:t xml:space="preserve"> بسبب الافتقار، من بين جملة أمور أخرى، إلى الموارد البشرية والمالية والإدارية الكافية،</w:t>
      </w:r>
      <w:r w:rsidRPr="00331576">
        <w:rPr>
          <w:rFonts w:hint="cs"/>
          <w:rtl/>
        </w:rPr>
        <w:t xml:space="preserve"> مع وجود عدد قليل جدا من البلدان التي تضع استراتيجيات محددة ضمن استراتيجياتها وبرامج عملها الوطنية للتنوع البيولوجي.</w:t>
      </w:r>
      <w:r w:rsidRPr="00331576">
        <w:rPr>
          <w:rStyle w:val="FootnoteReference"/>
          <w:rtl/>
        </w:rPr>
        <w:footnoteReference w:id="130"/>
      </w:r>
      <w:r w:rsidRPr="00331576">
        <w:rPr>
          <w:rFonts w:hint="cs"/>
          <w:rtl/>
        </w:rPr>
        <w:t xml:space="preserve"> ومن اللازم اتخاذ إجراءات عاجلة من جانب الأطراف لإحراز تقدم بشأن هذين الهدفين.</w:t>
      </w:r>
    </w:p>
    <w:p w:rsidR="00B42CBF" w:rsidRPr="00A42263" w:rsidRDefault="00B42CBF" w:rsidP="00B42CBF">
      <w:pPr>
        <w:spacing w:after="100" w:line="204" w:lineRule="auto"/>
        <w:ind w:left="-57"/>
        <w:jc w:val="center"/>
        <w:rPr>
          <w:b/>
          <w:bCs/>
          <w:sz w:val="24"/>
          <w:rtl/>
        </w:rPr>
      </w:pPr>
      <w:r w:rsidRPr="00A42263">
        <w:rPr>
          <w:rFonts w:hint="cs"/>
          <w:b/>
          <w:bCs/>
          <w:sz w:val="24"/>
          <w:rtl/>
        </w:rPr>
        <w:t>ثانيا-</w:t>
      </w:r>
      <w:r w:rsidRPr="00A42263">
        <w:rPr>
          <w:b/>
          <w:bCs/>
          <w:sz w:val="24"/>
          <w:rtl/>
        </w:rPr>
        <w:tab/>
      </w:r>
      <w:r w:rsidRPr="00A42263">
        <w:rPr>
          <w:rFonts w:hint="cs"/>
          <w:b/>
          <w:bCs/>
          <w:sz w:val="24"/>
          <w:rtl/>
        </w:rPr>
        <w:t>الإرشادات الطوعية</w:t>
      </w:r>
    </w:p>
    <w:p w:rsidR="00B42CBF" w:rsidRPr="00331576" w:rsidRDefault="00B42CBF" w:rsidP="00B42CBF">
      <w:pPr>
        <w:spacing w:after="100" w:line="204" w:lineRule="auto"/>
        <w:jc w:val="center"/>
        <w:rPr>
          <w:b/>
          <w:bCs/>
        </w:rPr>
      </w:pPr>
      <w:r w:rsidRPr="00331576">
        <w:rPr>
          <w:rFonts w:hint="cs"/>
          <w:b/>
          <w:bCs/>
          <w:rtl/>
        </w:rPr>
        <w:t>ألف-</w:t>
      </w:r>
      <w:r w:rsidRPr="00331576">
        <w:rPr>
          <w:b/>
          <w:bCs/>
          <w:rtl/>
        </w:rPr>
        <w:tab/>
      </w:r>
      <w:r w:rsidRPr="00331576">
        <w:rPr>
          <w:rFonts w:hint="cs"/>
          <w:b/>
          <w:bCs/>
          <w:rtl/>
        </w:rPr>
        <w:t>الخطوات المقترحة لتحسين ودعم الإدماج في المناظر الطبيعية الأرضية والمناظر الطبيعية البحرية والقطاعات</w:t>
      </w:r>
    </w:p>
    <w:p w:rsidR="00B42CBF" w:rsidRPr="00331576" w:rsidRDefault="00B42CBF" w:rsidP="00FF7FA5">
      <w:pPr>
        <w:numPr>
          <w:ilvl w:val="0"/>
          <w:numId w:val="26"/>
        </w:numPr>
        <w:spacing w:after="100" w:line="204" w:lineRule="auto"/>
        <w:ind w:left="0" w:firstLine="720"/>
        <w:rPr>
          <w:i/>
          <w:iCs/>
        </w:rPr>
      </w:pPr>
      <w:r w:rsidRPr="00331576">
        <w:rPr>
          <w:rFonts w:hint="cs"/>
          <w:i/>
          <w:iCs/>
          <w:rtl/>
        </w:rPr>
        <w:t>استعراض الرؤى والأهداف والغايات</w:t>
      </w:r>
      <w:r>
        <w:rPr>
          <w:rFonts w:hint="cs"/>
          <w:i/>
          <w:iCs/>
          <w:rtl/>
        </w:rPr>
        <w:t xml:space="preserve"> الوطنية</w:t>
      </w:r>
      <w:r w:rsidRPr="00331576">
        <w:rPr>
          <w:rFonts w:hint="cs"/>
          <w:rtl/>
        </w:rPr>
        <w:t xml:space="preserve"> لضمان أنها تتضمن عناصر إدماج المناطق المحمية</w:t>
      </w:r>
      <w:r>
        <w:rPr>
          <w:rFonts w:hint="cs"/>
          <w:rtl/>
        </w:rPr>
        <w:t xml:space="preserve"> وتدابير الحفظ الفعالة الأخرى القائمة على أساس المناطق</w:t>
      </w:r>
      <w:r w:rsidRPr="00331576">
        <w:rPr>
          <w:rFonts w:hint="cs"/>
          <w:rtl/>
        </w:rPr>
        <w:t xml:space="preserve">، </w:t>
      </w:r>
      <w:r>
        <w:rPr>
          <w:rFonts w:hint="cs"/>
          <w:rtl/>
        </w:rPr>
        <w:t>ل</w:t>
      </w:r>
      <w:r w:rsidRPr="00331576">
        <w:rPr>
          <w:rFonts w:hint="cs"/>
          <w:rtl/>
        </w:rPr>
        <w:t>زيادة مستوى ترابط الموائل والحد من تجزئها على مستوى المناظر الطبيعية الأرضية والمناظر الطبيعية البحرية؛</w:t>
      </w:r>
    </w:p>
    <w:p w:rsidR="00B42CBF" w:rsidRPr="00331576" w:rsidRDefault="00B42CBF" w:rsidP="00FF7FA5">
      <w:pPr>
        <w:numPr>
          <w:ilvl w:val="0"/>
          <w:numId w:val="26"/>
        </w:numPr>
        <w:spacing w:after="100" w:line="204" w:lineRule="auto"/>
        <w:ind w:left="0" w:firstLine="720"/>
        <w:rPr>
          <w:i/>
          <w:iCs/>
        </w:rPr>
      </w:pPr>
      <w:r w:rsidRPr="00331576">
        <w:rPr>
          <w:rFonts w:hint="cs"/>
          <w:i/>
          <w:iCs/>
          <w:rtl/>
        </w:rPr>
        <w:lastRenderedPageBreak/>
        <w:t xml:space="preserve">تحديد </w:t>
      </w:r>
      <w:r>
        <w:rPr>
          <w:rFonts w:hint="cs"/>
          <w:i/>
          <w:iCs/>
          <w:rtl/>
        </w:rPr>
        <w:t>الأنواع</w:t>
      </w:r>
      <w:r w:rsidRPr="00331576">
        <w:rPr>
          <w:rFonts w:hint="cs"/>
          <w:i/>
          <w:iCs/>
          <w:rtl/>
        </w:rPr>
        <w:t xml:space="preserve"> والنظم الإيكولوجية والعمليات </w:t>
      </w:r>
      <w:r w:rsidRPr="003170D6">
        <w:rPr>
          <w:rFonts w:hint="cs"/>
          <w:i/>
          <w:iCs/>
          <w:rtl/>
        </w:rPr>
        <w:t>الإيكولوجية</w:t>
      </w:r>
      <w:r w:rsidRPr="00331576">
        <w:rPr>
          <w:rFonts w:hint="cs"/>
          <w:rtl/>
        </w:rPr>
        <w:t xml:space="preserve"> </w:t>
      </w:r>
      <w:r>
        <w:rPr>
          <w:rFonts w:hint="cs"/>
          <w:i/>
          <w:iCs/>
          <w:rtl/>
        </w:rPr>
        <w:t xml:space="preserve">الرئيسية </w:t>
      </w:r>
      <w:r w:rsidRPr="00331576">
        <w:rPr>
          <w:rFonts w:hint="cs"/>
          <w:rtl/>
        </w:rPr>
        <w:t xml:space="preserve">التي يمثل التجزؤ قضية رئيسية بالنسبة لها والتي يمكن لها أن تستفيد من تحسين مستوى الترابط، بما في ذلك تلك </w:t>
      </w:r>
      <w:r>
        <w:rPr>
          <w:rFonts w:hint="cs"/>
          <w:rtl/>
        </w:rPr>
        <w:t>الأنواع</w:t>
      </w:r>
      <w:r w:rsidRPr="00331576">
        <w:rPr>
          <w:rFonts w:hint="cs"/>
          <w:rtl/>
        </w:rPr>
        <w:t xml:space="preserve"> والنظم الإيكولوجية والعمليات الإيكولوجية </w:t>
      </w:r>
      <w:r>
        <w:rPr>
          <w:rFonts w:hint="cs"/>
          <w:rtl/>
        </w:rPr>
        <w:t>الم</w:t>
      </w:r>
      <w:r w:rsidRPr="00331576">
        <w:rPr>
          <w:rFonts w:hint="cs"/>
          <w:rtl/>
        </w:rPr>
        <w:t>عرضة لآثار تغير المناخ</w:t>
      </w:r>
      <w:r>
        <w:rPr>
          <w:rFonts w:hint="cs"/>
          <w:rtl/>
        </w:rPr>
        <w:t xml:space="preserve"> والأنواع التي قد تحوّل نطاقها استجابة لآثار تغير المناخ</w:t>
      </w:r>
      <w:r w:rsidRPr="00331576">
        <w:rPr>
          <w:rFonts w:hint="cs"/>
          <w:rtl/>
        </w:rPr>
        <w:t>؛</w:t>
      </w:r>
    </w:p>
    <w:p w:rsidR="00B42CBF" w:rsidRPr="00331576" w:rsidRDefault="00B42CBF" w:rsidP="00FF7FA5">
      <w:pPr>
        <w:numPr>
          <w:ilvl w:val="0"/>
          <w:numId w:val="26"/>
        </w:numPr>
        <w:spacing w:after="100" w:line="204" w:lineRule="auto"/>
        <w:ind w:left="0" w:firstLine="720"/>
      </w:pPr>
      <w:r w:rsidRPr="00331576">
        <w:rPr>
          <w:rFonts w:hint="cs"/>
          <w:i/>
          <w:iCs/>
          <w:rtl/>
        </w:rPr>
        <w:t xml:space="preserve">تحديد المناطق المهمة لتحسين الترابط </w:t>
      </w:r>
      <w:r w:rsidRPr="00847016">
        <w:rPr>
          <w:rFonts w:hint="cs"/>
          <w:i/>
          <w:iCs/>
          <w:rtl/>
        </w:rPr>
        <w:t>وإعطائها الأولوية</w:t>
      </w:r>
      <w:r w:rsidRPr="00331576">
        <w:rPr>
          <w:rFonts w:hint="cs"/>
          <w:rtl/>
        </w:rPr>
        <w:t xml:space="preserve"> وتخفيف آثار تجزؤ المناظر الطبيعية ال</w:t>
      </w:r>
      <w:r>
        <w:rPr>
          <w:rFonts w:hint="cs"/>
          <w:rtl/>
        </w:rPr>
        <w:t>أرضية والمناظر الطبيعية البحرية</w:t>
      </w:r>
      <w:r w:rsidRPr="00331576">
        <w:rPr>
          <w:rFonts w:hint="cs"/>
          <w:rtl/>
        </w:rPr>
        <w:t xml:space="preserve">، بما في ذلك المناطق التي تشكل حواجزا وازدحاما لحركة </w:t>
      </w:r>
      <w:r>
        <w:rPr>
          <w:rFonts w:hint="cs"/>
          <w:rtl/>
        </w:rPr>
        <w:t>الأنواع</w:t>
      </w:r>
      <w:r w:rsidRPr="00331576">
        <w:rPr>
          <w:rFonts w:hint="cs"/>
          <w:rtl/>
        </w:rPr>
        <w:t xml:space="preserve"> السنوية والموسمية، ولمختلف مراحل الحياة</w:t>
      </w:r>
      <w:r>
        <w:rPr>
          <w:rFonts w:hint="cs"/>
          <w:rtl/>
        </w:rPr>
        <w:t>،</w:t>
      </w:r>
      <w:r w:rsidRPr="00331576">
        <w:rPr>
          <w:rFonts w:hint="cs"/>
          <w:rtl/>
        </w:rPr>
        <w:t xml:space="preserve"> وللتكيف مع المناخ، وكذلك المناطق المهمة للحفاظ على </w:t>
      </w:r>
      <w:r>
        <w:rPr>
          <w:rFonts w:hint="cs"/>
          <w:rtl/>
        </w:rPr>
        <w:t>وظائف النظ</w:t>
      </w:r>
      <w:r w:rsidRPr="00331576">
        <w:rPr>
          <w:rFonts w:hint="cs"/>
          <w:rtl/>
        </w:rPr>
        <w:t>م الإيكولوجي</w:t>
      </w:r>
      <w:r>
        <w:rPr>
          <w:rFonts w:hint="cs"/>
          <w:rtl/>
        </w:rPr>
        <w:t>ة</w:t>
      </w:r>
      <w:r w:rsidRPr="00331576">
        <w:rPr>
          <w:rFonts w:hint="cs"/>
          <w:rtl/>
        </w:rPr>
        <w:t xml:space="preserve"> (مثل سهول الفيضانات النهرية)؛</w:t>
      </w:r>
    </w:p>
    <w:p w:rsidR="00B42CBF" w:rsidRPr="00331576" w:rsidRDefault="00B42CBF" w:rsidP="00FF7FA5">
      <w:pPr>
        <w:numPr>
          <w:ilvl w:val="0"/>
          <w:numId w:val="26"/>
        </w:numPr>
        <w:spacing w:after="100" w:line="204" w:lineRule="auto"/>
        <w:ind w:left="0" w:firstLine="720"/>
        <w:rPr>
          <w:i/>
          <w:iCs/>
        </w:rPr>
      </w:pPr>
      <w:r w:rsidRPr="00331576">
        <w:rPr>
          <w:rFonts w:hint="cs"/>
          <w:i/>
          <w:iCs/>
          <w:rtl/>
        </w:rPr>
        <w:t>إجراء استعراض وطني</w:t>
      </w:r>
      <w:r w:rsidRPr="00331576">
        <w:rPr>
          <w:rFonts w:hint="cs"/>
          <w:rtl/>
        </w:rPr>
        <w:t xml:space="preserve"> لحالة واتجاهات تجزؤ وترابط موائل المناظر الطبيعية الأرضية والمناظر الطبيعية البحرية فيما يتعلق </w:t>
      </w:r>
      <w:r>
        <w:rPr>
          <w:rFonts w:hint="cs"/>
          <w:rtl/>
        </w:rPr>
        <w:t>بالأنواع</w:t>
      </w:r>
      <w:r w:rsidRPr="00331576">
        <w:rPr>
          <w:rFonts w:hint="cs"/>
          <w:rtl/>
        </w:rPr>
        <w:t xml:space="preserve"> والنظم الإيكولوجية والعمليات الإيكولوجية الرئيسية، بما في ذلك استعراض لدور المناطق المحمية</w:t>
      </w:r>
      <w:r w:rsidRPr="003170D6">
        <w:rPr>
          <w:rFonts w:hint="cs"/>
          <w:rtl/>
        </w:rPr>
        <w:t xml:space="preserve"> وتدابير الحفظ الفعالة الأخرى القائمة على أساس المناطق</w:t>
      </w:r>
      <w:r w:rsidRPr="00331576">
        <w:rPr>
          <w:rFonts w:hint="cs"/>
          <w:rtl/>
        </w:rPr>
        <w:t xml:space="preserve"> في الحفاظ على ترابط المناظر الطبيعية الأرضية والمناظر الطبيعية البحرية، وسدّ أي ثغرات رئيسية</w:t>
      </w:r>
      <w:r w:rsidRPr="003170D6">
        <w:rPr>
          <w:rFonts w:hint="cs"/>
          <w:rtl/>
        </w:rPr>
        <w:t>؛</w:t>
      </w:r>
    </w:p>
    <w:p w:rsidR="00B42CBF" w:rsidRPr="00331576" w:rsidRDefault="00B42CBF" w:rsidP="00B42CBF">
      <w:pPr>
        <w:spacing w:after="100" w:line="204" w:lineRule="auto"/>
        <w:ind w:firstLine="720"/>
      </w:pPr>
      <w:r w:rsidRPr="003170D6">
        <w:rPr>
          <w:rFonts w:hint="cs"/>
          <w:rtl/>
        </w:rPr>
        <w:t>(ﻫ)</w:t>
      </w:r>
      <w:r w:rsidRPr="003170D6">
        <w:rPr>
          <w:rFonts w:hint="cs"/>
          <w:rtl/>
        </w:rPr>
        <w:tab/>
      </w:r>
      <w:r w:rsidRPr="00331576">
        <w:rPr>
          <w:rFonts w:hint="cs"/>
          <w:i/>
          <w:iCs/>
          <w:rtl/>
        </w:rPr>
        <w:t xml:space="preserve">تحديد أكثر القطاعات مسؤولية عن </w:t>
      </w:r>
      <w:r w:rsidRPr="002D3D61">
        <w:rPr>
          <w:rFonts w:hint="cs"/>
          <w:i/>
          <w:iCs/>
          <w:rtl/>
        </w:rPr>
        <w:t>تجزؤ الموائل وإعطائها الأولوية</w:t>
      </w:r>
      <w:r w:rsidRPr="00331576">
        <w:rPr>
          <w:rFonts w:hint="cs"/>
          <w:rtl/>
        </w:rPr>
        <w:t>، بما في ذلك النقل والزراعة</w:t>
      </w:r>
      <w:r>
        <w:rPr>
          <w:rFonts w:hint="cs"/>
          <w:rtl/>
        </w:rPr>
        <w:t>، ومصايد الأسماك، والحراجة، والتعدين، والسياحة،</w:t>
      </w:r>
      <w:r w:rsidRPr="00331576">
        <w:rPr>
          <w:rFonts w:hint="cs"/>
          <w:rtl/>
        </w:rPr>
        <w:t xml:space="preserve"> والطاقة</w:t>
      </w:r>
      <w:r>
        <w:rPr>
          <w:rFonts w:hint="cs"/>
          <w:rtl/>
        </w:rPr>
        <w:t>،</w:t>
      </w:r>
      <w:r w:rsidRPr="00331576">
        <w:rPr>
          <w:rFonts w:hint="cs"/>
          <w:rtl/>
        </w:rPr>
        <w:t xml:space="preserve"> والبنية التحتية</w:t>
      </w:r>
      <w:r w:rsidRPr="00331576">
        <w:rPr>
          <w:rFonts w:hint="cs"/>
          <w:rtl/>
          <w:lang w:val="en-GB"/>
        </w:rPr>
        <w:t xml:space="preserve"> والتنمية الحضرية، ووضع استراتيجيات لإشراكها في إعداد استراتيجيات للتخفيف من حدة الآثار على المناطق المحمية</w:t>
      </w:r>
      <w:r w:rsidRPr="003170D6">
        <w:rPr>
          <w:rFonts w:hint="cs"/>
          <w:rtl/>
        </w:rPr>
        <w:t xml:space="preserve"> </w:t>
      </w:r>
      <w:r>
        <w:rPr>
          <w:rFonts w:hint="cs"/>
          <w:rtl/>
        </w:rPr>
        <w:t xml:space="preserve">وشبكات المناطق المحمية بما في ذلك </w:t>
      </w:r>
      <w:r w:rsidRPr="003170D6">
        <w:rPr>
          <w:rFonts w:hint="cs"/>
          <w:rtl/>
          <w:lang w:val="en-GB"/>
        </w:rPr>
        <w:t>تدابير الحفظ الفعالة الأخرى القائمة على أساس المناطق</w:t>
      </w:r>
      <w:r>
        <w:rPr>
          <w:rFonts w:hint="cs"/>
          <w:rtl/>
          <w:lang w:val="en-GB"/>
        </w:rPr>
        <w:t xml:space="preserve"> والمناطق المشمولة في برامج الاستعادة الجارية</w:t>
      </w:r>
      <w:r w:rsidRPr="00331576">
        <w:rPr>
          <w:rFonts w:hint="cs"/>
          <w:rtl/>
          <w:lang w:val="en-GB"/>
        </w:rPr>
        <w:t>؛</w:t>
      </w:r>
    </w:p>
    <w:p w:rsidR="00B42CBF" w:rsidRPr="00331576" w:rsidRDefault="00B42CBF" w:rsidP="00B42CBF">
      <w:pPr>
        <w:spacing w:after="100" w:line="204" w:lineRule="auto"/>
        <w:ind w:firstLine="720"/>
        <w:rPr>
          <w:i/>
          <w:iCs/>
        </w:rPr>
      </w:pPr>
      <w:r>
        <w:rPr>
          <w:rFonts w:hint="cs"/>
          <w:rtl/>
        </w:rPr>
        <w:t>(و)</w:t>
      </w:r>
      <w:r>
        <w:rPr>
          <w:rFonts w:hint="cs"/>
          <w:rtl/>
        </w:rPr>
        <w:tab/>
      </w:r>
      <w:r w:rsidRPr="00331576">
        <w:rPr>
          <w:rFonts w:hint="cs"/>
          <w:i/>
          <w:iCs/>
          <w:rtl/>
        </w:rPr>
        <w:t>استعراض وتكييف خطط وأطر المناظر الطبيعية الأرضية والمناظر الطبيعية البحرية (</w:t>
      </w:r>
      <w:r>
        <w:rPr>
          <w:rFonts w:hint="cs"/>
          <w:i/>
          <w:iCs/>
          <w:rtl/>
        </w:rPr>
        <w:t xml:space="preserve">داخل </w:t>
      </w:r>
      <w:r w:rsidRPr="00331576">
        <w:rPr>
          <w:rFonts w:hint="cs"/>
          <w:i/>
          <w:iCs/>
          <w:rtl/>
        </w:rPr>
        <w:t>القطاعات</w:t>
      </w:r>
      <w:r>
        <w:rPr>
          <w:rFonts w:hint="cs"/>
          <w:i/>
          <w:iCs/>
          <w:rtl/>
        </w:rPr>
        <w:t xml:space="preserve"> أو عبرها على حد سواء</w:t>
      </w:r>
      <w:r w:rsidRPr="00331576">
        <w:rPr>
          <w:rFonts w:hint="cs"/>
          <w:i/>
          <w:iCs/>
          <w:rtl/>
        </w:rPr>
        <w:t>)، بما في ذلك، على سبيل المثال، استخدام الأراضي والخطط المكانية البحرية والخطط القطاعية</w:t>
      </w:r>
      <w:r w:rsidRPr="00331576">
        <w:rPr>
          <w:rFonts w:hint="cs"/>
          <w:rtl/>
        </w:rPr>
        <w:t xml:space="preserve"> </w:t>
      </w:r>
      <w:r w:rsidRPr="00331576">
        <w:rPr>
          <w:rFonts w:hint="cs"/>
          <w:rtl/>
          <w:lang w:val="en-GB"/>
        </w:rPr>
        <w:t>مثل</w:t>
      </w:r>
      <w:r w:rsidRPr="00331576">
        <w:rPr>
          <w:rFonts w:hint="cs"/>
          <w:rtl/>
        </w:rPr>
        <w:t xml:space="preserve"> خطط استخدام الأراضي دون الوطنية والخطط المتكاملة لمستجمعات المياه</w:t>
      </w:r>
      <w:r>
        <w:rPr>
          <w:rFonts w:hint="cs"/>
          <w:rtl/>
        </w:rPr>
        <w:t>،</w:t>
      </w:r>
      <w:r w:rsidRPr="00331576">
        <w:rPr>
          <w:rFonts w:hint="cs"/>
          <w:rtl/>
        </w:rPr>
        <w:t xml:space="preserve"> وخطط </w:t>
      </w:r>
      <w:r>
        <w:rPr>
          <w:rFonts w:hint="cs"/>
          <w:rtl/>
        </w:rPr>
        <w:t>ال</w:t>
      </w:r>
      <w:r w:rsidRPr="00331576">
        <w:rPr>
          <w:rFonts w:hint="cs"/>
          <w:rtl/>
        </w:rPr>
        <w:t>إدارة ا</w:t>
      </w:r>
      <w:r>
        <w:rPr>
          <w:rFonts w:hint="cs"/>
          <w:rtl/>
        </w:rPr>
        <w:t>لمتكاملة ل</w:t>
      </w:r>
      <w:r w:rsidRPr="00331576">
        <w:rPr>
          <w:rFonts w:hint="cs"/>
          <w:rtl/>
        </w:rPr>
        <w:t xml:space="preserve">لمناطق </w:t>
      </w:r>
      <w:r>
        <w:rPr>
          <w:rFonts w:hint="cs"/>
          <w:rtl/>
        </w:rPr>
        <w:t>البحرية و</w:t>
      </w:r>
      <w:r w:rsidRPr="00331576">
        <w:rPr>
          <w:rFonts w:hint="cs"/>
          <w:rtl/>
        </w:rPr>
        <w:t>الساحلية</w:t>
      </w:r>
      <w:r>
        <w:rPr>
          <w:rFonts w:hint="cs"/>
          <w:rtl/>
        </w:rPr>
        <w:t>،</w:t>
      </w:r>
      <w:r w:rsidRPr="00331576">
        <w:rPr>
          <w:rFonts w:hint="cs"/>
          <w:rtl/>
        </w:rPr>
        <w:t xml:space="preserve"> وخطط النقل</w:t>
      </w:r>
      <w:r>
        <w:rPr>
          <w:rFonts w:hint="cs"/>
          <w:rtl/>
        </w:rPr>
        <w:t>،</w:t>
      </w:r>
      <w:r w:rsidRPr="00331576">
        <w:rPr>
          <w:rFonts w:hint="cs"/>
          <w:rtl/>
        </w:rPr>
        <w:t xml:space="preserve"> والخطط المتصلة بالمياه، من أجل تحسين الترابط والتكامل والحد من التجزؤ والآثار؛</w:t>
      </w:r>
    </w:p>
    <w:p w:rsidR="00B42CBF" w:rsidRPr="00331576" w:rsidRDefault="00B42CBF" w:rsidP="00B42CBF">
      <w:pPr>
        <w:spacing w:after="100" w:line="204" w:lineRule="auto"/>
        <w:ind w:firstLine="720"/>
        <w:rPr>
          <w:i/>
          <w:iCs/>
        </w:rPr>
      </w:pPr>
      <w:r>
        <w:rPr>
          <w:rFonts w:hint="cs"/>
          <w:rtl/>
        </w:rPr>
        <w:t>(ز)</w:t>
      </w:r>
      <w:r>
        <w:rPr>
          <w:rFonts w:hint="cs"/>
          <w:rtl/>
        </w:rPr>
        <w:tab/>
      </w:r>
      <w:r w:rsidRPr="00331576">
        <w:rPr>
          <w:rFonts w:hint="cs"/>
          <w:i/>
          <w:iCs/>
          <w:rtl/>
        </w:rPr>
        <w:t xml:space="preserve">إعطاء الأولوية للتدابير وتنفيذها </w:t>
      </w:r>
      <w:r w:rsidRPr="00331576">
        <w:rPr>
          <w:rFonts w:hint="cs"/>
          <w:rtl/>
        </w:rPr>
        <w:t>للحد من تجزؤ الموائل داخل المناظر الطبيعية الأرضية والمناظر الطبيعية البحرية وزيادة الترابط، بما في ذلك إنشاء مناطق محمية جديدة وتحديد تدابير حفظ فعالة أخرى قائمة على أساس المناطق، وكذلك المناطق التي تحفظها الشعوب الأصلية والمجتمعات المحلية التي يمكنها أن تكون بمثابة جسر بين الموائل، وإنشاء ممرات حفظ للربط بين الموائل الرئيسية وإنشاء مناطق عازلة للتخفيف من آثار القطاعات المختلفة، من أجل تعزيز ملكية المناطق المحمية والمحفوظة وتعزيز الممارسات القطاعية التي تحد وتخفف من حدة آثارها على التنوع البيولوجي، مثل الزراعة العضوية والحراجة ذات الدورات الطويلة.</w:t>
      </w:r>
    </w:p>
    <w:p w:rsidR="00B42CBF" w:rsidRPr="00331576" w:rsidRDefault="00B42CBF" w:rsidP="00B42CBF">
      <w:pPr>
        <w:tabs>
          <w:tab w:val="right" w:pos="9972"/>
        </w:tabs>
        <w:spacing w:after="100" w:line="204" w:lineRule="auto"/>
        <w:ind w:left="1710" w:right="990" w:hanging="810"/>
        <w:rPr>
          <w:i/>
          <w:iCs/>
        </w:rPr>
      </w:pPr>
      <w:r w:rsidRPr="00331576">
        <w:rPr>
          <w:rFonts w:hint="cs"/>
          <w:b/>
          <w:bCs/>
          <w:rtl/>
        </w:rPr>
        <w:t>باء-</w:t>
      </w:r>
      <w:r w:rsidRPr="00331576">
        <w:rPr>
          <w:b/>
          <w:bCs/>
          <w:rtl/>
        </w:rPr>
        <w:tab/>
      </w:r>
      <w:r w:rsidRPr="00331576">
        <w:rPr>
          <w:rFonts w:hint="cs"/>
          <w:b/>
          <w:bCs/>
          <w:rtl/>
        </w:rPr>
        <w:t>الخطوات المقترحة لتحسين ودعم تعميم المناطق المحمية وتدابير الحفظ الفعالة الأخرى القائمة على أساس المناطق عبر القطاعات</w:t>
      </w:r>
    </w:p>
    <w:p w:rsidR="00B42CBF" w:rsidRPr="00331576" w:rsidRDefault="00B42CBF" w:rsidP="00FF7FA5">
      <w:pPr>
        <w:numPr>
          <w:ilvl w:val="0"/>
          <w:numId w:val="27"/>
        </w:numPr>
        <w:spacing w:after="100" w:line="204" w:lineRule="auto"/>
        <w:ind w:left="0" w:firstLine="720"/>
        <w:rPr>
          <w:i/>
          <w:iCs/>
        </w:rPr>
      </w:pPr>
      <w:r w:rsidRPr="00331576">
        <w:rPr>
          <w:rFonts w:hint="cs"/>
          <w:i/>
          <w:iCs/>
          <w:rtl/>
        </w:rPr>
        <w:t>تحديد المناطق المهمة لل</w:t>
      </w:r>
      <w:r>
        <w:rPr>
          <w:rFonts w:hint="cs"/>
          <w:i/>
          <w:iCs/>
          <w:rtl/>
        </w:rPr>
        <w:t>وظائف وال</w:t>
      </w:r>
      <w:r w:rsidRPr="00331576">
        <w:rPr>
          <w:rFonts w:hint="cs"/>
          <w:i/>
          <w:iCs/>
          <w:rtl/>
        </w:rPr>
        <w:t>خدمات الأساسية ل</w:t>
      </w:r>
      <w:r w:rsidRPr="00331576">
        <w:rPr>
          <w:i/>
          <w:iCs/>
          <w:rtl/>
        </w:rPr>
        <w:t xml:space="preserve">لنظم الإيكولوجية </w:t>
      </w:r>
      <w:r w:rsidRPr="00331576">
        <w:rPr>
          <w:rFonts w:hint="cs"/>
          <w:i/>
          <w:iCs/>
          <w:rtl/>
        </w:rPr>
        <w:t>ورسم خرائط</w:t>
      </w:r>
      <w:r>
        <w:rPr>
          <w:rFonts w:hint="cs"/>
          <w:i/>
          <w:iCs/>
          <w:rtl/>
        </w:rPr>
        <w:t>ها</w:t>
      </w:r>
      <w:r w:rsidRPr="00331576">
        <w:rPr>
          <w:rFonts w:hint="cs"/>
          <w:i/>
          <w:iCs/>
          <w:rtl/>
        </w:rPr>
        <w:t xml:space="preserve"> وإعطائها الأولوية</w:t>
      </w:r>
      <w:r w:rsidRPr="00331576">
        <w:rPr>
          <w:rFonts w:hint="cs"/>
          <w:rtl/>
        </w:rPr>
        <w:t>، بما في ذلك النظم الإيكولوجية المهمة للغذاء (على سبيل المثال، المنغروف لمصايد الأسماك)، وتخفيف آثار تغير المناخ (على سبيل المثال، النظم الإيكولوجية كثيفة الكربون، مثل الغابات والأراضي الخثية والمنغروف)، والأمن المائي (على سبيل المثال، الجبال والغابات والأراضي الرطبة وأراضي الأعشاب التي توفر المياه السطحية والجوفية)، والتخفيف من حدة الفقر (على سبيل المثال، النظم الإيكولوجية التي توفر سبل الكفاف وسبل العيش والعمالة)، والحد من مخاطر الكوارث (على سبيل المثال، النظم الإيكولوجية التي تحجب الآثار الناجمة عن العواصف الساحلية، مثل الشعاب المرجانية، وأحواض الأعشاب البحرية، و</w:t>
      </w:r>
      <w:r w:rsidRPr="00331576">
        <w:rPr>
          <w:rFonts w:hint="cs"/>
          <w:rtl/>
          <w:lang w:val="en-GB"/>
        </w:rPr>
        <w:t>السهول الفيضية)؛</w:t>
      </w:r>
    </w:p>
    <w:p w:rsidR="00B42CBF" w:rsidRPr="00331576" w:rsidRDefault="00B42CBF" w:rsidP="00FF7FA5">
      <w:pPr>
        <w:numPr>
          <w:ilvl w:val="0"/>
          <w:numId w:val="27"/>
        </w:numPr>
        <w:spacing w:after="100" w:line="204" w:lineRule="auto"/>
        <w:ind w:left="0" w:firstLine="720"/>
        <w:rPr>
          <w:i/>
          <w:iCs/>
        </w:rPr>
      </w:pPr>
      <w:r w:rsidRPr="00331576">
        <w:rPr>
          <w:rFonts w:hint="cs"/>
          <w:i/>
          <w:iCs/>
          <w:rtl/>
        </w:rPr>
        <w:t>استعراض وتحديث الخطط القطاعية</w:t>
      </w:r>
      <w:r w:rsidRPr="00331576">
        <w:rPr>
          <w:rFonts w:hint="cs"/>
          <w:rtl/>
        </w:rPr>
        <w:t xml:space="preserve"> لضمان الاعتراف بالقيم العديدة التي توفرها المناطق المحمية </w:t>
      </w:r>
      <w:r w:rsidRPr="00B43BD3">
        <w:rPr>
          <w:rFonts w:hint="cs"/>
          <w:rtl/>
        </w:rPr>
        <w:t>وتدابير الحفظ الفعالة الأخرى القائمة على أساس المناطق</w:t>
      </w:r>
      <w:r>
        <w:rPr>
          <w:rFonts w:hint="cs"/>
          <w:rtl/>
        </w:rPr>
        <w:t>،</w:t>
      </w:r>
      <w:r w:rsidRPr="00B43BD3">
        <w:rPr>
          <w:rFonts w:hint="cs"/>
          <w:rtl/>
        </w:rPr>
        <w:t xml:space="preserve"> </w:t>
      </w:r>
      <w:r w:rsidRPr="00331576">
        <w:rPr>
          <w:rFonts w:hint="cs"/>
          <w:rtl/>
        </w:rPr>
        <w:t>وإدراجها في الخطط القطاعية؛</w:t>
      </w:r>
    </w:p>
    <w:p w:rsidR="00B42CBF" w:rsidRPr="00331576" w:rsidRDefault="00B42CBF" w:rsidP="00FF7FA5">
      <w:pPr>
        <w:numPr>
          <w:ilvl w:val="0"/>
          <w:numId w:val="27"/>
        </w:numPr>
        <w:spacing w:after="100" w:line="204" w:lineRule="auto"/>
        <w:ind w:left="0" w:firstLine="720"/>
      </w:pPr>
      <w:r w:rsidRPr="00331576">
        <w:rPr>
          <w:rFonts w:hint="cs"/>
          <w:i/>
          <w:iCs/>
          <w:rtl/>
        </w:rPr>
        <w:lastRenderedPageBreak/>
        <w:t xml:space="preserve">إعداد حملات إعلامية </w:t>
      </w:r>
      <w:r w:rsidRPr="00331576">
        <w:rPr>
          <w:rFonts w:hint="cs"/>
          <w:rtl/>
        </w:rPr>
        <w:t>موجهة تستهدف مختلف القطاعات، الحكومية والخاصة، التي تعتمد على التنوع البيولوجي و</w:t>
      </w:r>
      <w:r>
        <w:rPr>
          <w:rFonts w:hint="cs"/>
          <w:rtl/>
        </w:rPr>
        <w:t>وظائف و</w:t>
      </w:r>
      <w:r w:rsidRPr="00331576">
        <w:rPr>
          <w:rFonts w:hint="cs"/>
          <w:rtl/>
        </w:rPr>
        <w:t>خدمات النظم الإيكولوجية التي توفرها المناطق المحمية</w:t>
      </w:r>
      <w:r w:rsidRPr="00B43BD3">
        <w:rPr>
          <w:rFonts w:hint="cs"/>
          <w:rtl/>
        </w:rPr>
        <w:t xml:space="preserve"> وتدابير الحفظ الفعالة الأخرى القائمة على أساس المناطق</w:t>
      </w:r>
      <w:r w:rsidRPr="00331576">
        <w:rPr>
          <w:rFonts w:hint="cs"/>
          <w:rtl/>
        </w:rPr>
        <w:t xml:space="preserve">، بما في ذلك الزراعة، ومصايد الأسماك، </w:t>
      </w:r>
      <w:r>
        <w:rPr>
          <w:rFonts w:hint="cs"/>
          <w:rtl/>
        </w:rPr>
        <w:t>والحراجة</w:t>
      </w:r>
      <w:r w:rsidRPr="00331576">
        <w:rPr>
          <w:rFonts w:hint="cs"/>
          <w:rtl/>
        </w:rPr>
        <w:t>، والمياه، والسياحة، والأمن الوطني ودون الوطني، والتنمية، وتغير المناخ، بهدف رفع الوعي بقيمة الطبيعة بالنسبة لقطاعاتها؛</w:t>
      </w:r>
    </w:p>
    <w:p w:rsidR="00B42CBF" w:rsidRPr="00331576" w:rsidRDefault="00B42CBF" w:rsidP="00FF7FA5">
      <w:pPr>
        <w:numPr>
          <w:ilvl w:val="0"/>
          <w:numId w:val="27"/>
        </w:numPr>
        <w:spacing w:after="100" w:line="204" w:lineRule="auto"/>
        <w:ind w:left="0" w:firstLine="720"/>
      </w:pPr>
      <w:r w:rsidRPr="00AC6F57">
        <w:rPr>
          <w:rFonts w:hint="cs"/>
          <w:i/>
          <w:iCs/>
          <w:rtl/>
        </w:rPr>
        <w:t>استعراض وتنقيح أطر السياسات</w:t>
      </w:r>
      <w:r w:rsidRPr="00331576">
        <w:rPr>
          <w:rFonts w:hint="cs"/>
          <w:i/>
          <w:iCs/>
          <w:rtl/>
        </w:rPr>
        <w:t xml:space="preserve"> والتمويل الحالية</w:t>
      </w:r>
      <w:r w:rsidRPr="00331576">
        <w:rPr>
          <w:rFonts w:hint="cs"/>
          <w:rtl/>
        </w:rPr>
        <w:t xml:space="preserve"> لتحديد فرص تحسين السياسات التمكينية وبيئة التمويل من أجل التعميم في القطاعات؛</w:t>
      </w:r>
    </w:p>
    <w:p w:rsidR="00B42CBF" w:rsidRPr="00331576" w:rsidRDefault="00B42CBF" w:rsidP="00FF7FA5">
      <w:pPr>
        <w:numPr>
          <w:ilvl w:val="0"/>
          <w:numId w:val="27"/>
        </w:numPr>
        <w:spacing w:after="100" w:line="204" w:lineRule="auto"/>
        <w:ind w:left="0" w:firstLine="720"/>
        <w:rPr>
          <w:i/>
          <w:iCs/>
        </w:rPr>
      </w:pPr>
      <w:r w:rsidRPr="00331576">
        <w:rPr>
          <w:rFonts w:hint="cs"/>
          <w:i/>
          <w:iCs/>
          <w:rtl/>
        </w:rPr>
        <w:t>تشجيع التمويل الابتكاري</w:t>
      </w:r>
      <w:r>
        <w:rPr>
          <w:rFonts w:hint="cs"/>
          <w:rtl/>
        </w:rPr>
        <w:t>، بما في ذلك المستثمرون</w:t>
      </w:r>
      <w:r w:rsidRPr="00331576">
        <w:rPr>
          <w:rFonts w:hint="cs"/>
          <w:rtl/>
        </w:rPr>
        <w:t xml:space="preserve">، وشركات التأمين وغيرهم، من أجل تحديد وتمويل المناطق المحمية </w:t>
      </w:r>
      <w:r>
        <w:rPr>
          <w:rFonts w:hint="cs"/>
          <w:rtl/>
        </w:rPr>
        <w:t>القائمة و</w:t>
      </w:r>
      <w:r w:rsidRPr="00331576">
        <w:rPr>
          <w:rFonts w:hint="cs"/>
          <w:rtl/>
        </w:rPr>
        <w:t>الجديدة،</w:t>
      </w:r>
      <w:r>
        <w:rPr>
          <w:rFonts w:hint="cs"/>
          <w:rtl/>
        </w:rPr>
        <w:t xml:space="preserve"> والتدابير الفعالة الأخرى القائمة على أساس المناطق،</w:t>
      </w:r>
      <w:r w:rsidRPr="00331576">
        <w:rPr>
          <w:rFonts w:hint="cs"/>
          <w:rtl/>
        </w:rPr>
        <w:t xml:space="preserve"> وإصلاح المناطق المحمية الرئيسية المتدهورة لتقديم </w:t>
      </w:r>
      <w:r>
        <w:rPr>
          <w:rFonts w:hint="cs"/>
          <w:rtl/>
        </w:rPr>
        <w:t>وظائف و</w:t>
      </w:r>
      <w:r w:rsidRPr="00331576">
        <w:rPr>
          <w:rFonts w:hint="cs"/>
          <w:rtl/>
        </w:rPr>
        <w:t>خدمات النظم الإيكولوجية الأساسية</w:t>
      </w:r>
      <w:r>
        <w:rPr>
          <w:rFonts w:hint="cs"/>
          <w:rtl/>
        </w:rPr>
        <w:t xml:space="preserve"> وتشجيع النماذج المالية التي تعزز استدامة نظم المناطق المحمية الطويلة الأجل</w:t>
      </w:r>
      <w:r w:rsidRPr="00331576">
        <w:rPr>
          <w:rFonts w:hint="cs"/>
          <w:rtl/>
        </w:rPr>
        <w:t>؛</w:t>
      </w:r>
    </w:p>
    <w:p w:rsidR="00B42CBF" w:rsidRDefault="00B42CBF" w:rsidP="00FF7FA5">
      <w:pPr>
        <w:numPr>
          <w:ilvl w:val="0"/>
          <w:numId w:val="27"/>
        </w:numPr>
        <w:spacing w:after="100" w:line="204" w:lineRule="auto"/>
        <w:ind w:left="0" w:firstLine="720"/>
        <w:rPr>
          <w:lang w:val="en-GB"/>
        </w:rPr>
      </w:pPr>
      <w:r w:rsidRPr="00331576">
        <w:rPr>
          <w:rFonts w:hint="cs"/>
          <w:i/>
          <w:iCs/>
          <w:rtl/>
        </w:rPr>
        <w:t xml:space="preserve">تقييم وتحديث القدرات </w:t>
      </w:r>
      <w:r w:rsidRPr="00331576">
        <w:rPr>
          <w:rFonts w:hint="cs"/>
          <w:rtl/>
        </w:rPr>
        <w:t xml:space="preserve">اللازمة لتحسين تعميم المناطق المحمية </w:t>
      </w:r>
      <w:r>
        <w:rPr>
          <w:rFonts w:hint="cs"/>
          <w:rtl/>
        </w:rPr>
        <w:t xml:space="preserve">وتدابير الحفظ الفعالة الأخرى القائمة على أساس المناطق، </w:t>
      </w:r>
      <w:r w:rsidRPr="00331576">
        <w:rPr>
          <w:rFonts w:hint="cs"/>
          <w:rtl/>
        </w:rPr>
        <w:t>بما في ذلك القدرات المتعلقة بإنشاء بيئات السياسات التمكينية، و</w:t>
      </w:r>
      <w:r w:rsidRPr="00331576">
        <w:rPr>
          <w:rFonts w:hint="cs"/>
          <w:rtl/>
          <w:lang w:val="en-GB"/>
        </w:rPr>
        <w:t>رسم الخرائط المكانية ل</w:t>
      </w:r>
      <w:r>
        <w:rPr>
          <w:rFonts w:hint="cs"/>
          <w:rtl/>
          <w:lang w:val="en-GB"/>
        </w:rPr>
        <w:t>وظائف و</w:t>
      </w:r>
      <w:r w:rsidRPr="00331576">
        <w:rPr>
          <w:rFonts w:hint="cs"/>
          <w:rtl/>
          <w:lang w:val="en-GB"/>
        </w:rPr>
        <w:t xml:space="preserve">خدمات </w:t>
      </w:r>
      <w:r w:rsidRPr="00331576">
        <w:rPr>
          <w:rFonts w:hint="cs"/>
          <w:rtl/>
        </w:rPr>
        <w:t>النظم</w:t>
      </w:r>
      <w:r w:rsidRPr="00331576">
        <w:rPr>
          <w:rFonts w:hint="cs"/>
          <w:rtl/>
          <w:lang w:val="en-GB"/>
        </w:rPr>
        <w:t xml:space="preserve"> الإيكولوجية الأساسية، وتقييم القيم </w:t>
      </w:r>
      <w:r>
        <w:rPr>
          <w:rFonts w:hint="cs"/>
          <w:rtl/>
          <w:lang w:val="en-GB"/>
        </w:rPr>
        <w:t>المتعددة</w:t>
      </w:r>
      <w:r w:rsidRPr="00331576">
        <w:rPr>
          <w:rFonts w:hint="cs"/>
          <w:rtl/>
          <w:lang w:val="en-GB"/>
        </w:rPr>
        <w:t xml:space="preserve"> ل</w:t>
      </w:r>
      <w:r>
        <w:rPr>
          <w:rFonts w:hint="cs"/>
          <w:rtl/>
          <w:lang w:val="en-GB"/>
        </w:rPr>
        <w:t>وظائف و</w:t>
      </w:r>
      <w:r w:rsidRPr="00331576">
        <w:rPr>
          <w:rFonts w:hint="cs"/>
          <w:rtl/>
          <w:lang w:val="en-GB"/>
        </w:rPr>
        <w:t>خدمات النظم الإيكولوجية.</w:t>
      </w:r>
    </w:p>
    <w:p w:rsidR="00B42CBF" w:rsidRPr="00331576" w:rsidRDefault="00B42CBF" w:rsidP="00E42808">
      <w:pPr>
        <w:spacing w:after="100" w:line="204" w:lineRule="auto"/>
        <w:jc w:val="center"/>
        <w:rPr>
          <w:i/>
          <w:iCs/>
          <w:rtl/>
          <w:lang w:val="en-GB"/>
        </w:rPr>
      </w:pPr>
      <w:r w:rsidRPr="00331576">
        <w:rPr>
          <w:rFonts w:hint="cs"/>
          <w:i/>
          <w:iCs/>
          <w:rtl/>
          <w:lang w:val="en-GB"/>
        </w:rPr>
        <w:t>المرفق الثاني</w:t>
      </w:r>
    </w:p>
    <w:p w:rsidR="00B42CBF" w:rsidRPr="00A42263" w:rsidRDefault="00B42CBF" w:rsidP="00B42CBF">
      <w:pPr>
        <w:spacing w:after="100" w:line="204" w:lineRule="auto"/>
        <w:ind w:left="1170" w:right="900" w:hanging="180"/>
        <w:jc w:val="center"/>
        <w:rPr>
          <w:b/>
          <w:bCs/>
          <w:sz w:val="24"/>
          <w:rtl/>
        </w:rPr>
      </w:pPr>
      <w:r w:rsidRPr="00A42263">
        <w:rPr>
          <w:rFonts w:hint="cs"/>
          <w:b/>
          <w:bCs/>
          <w:sz w:val="24"/>
          <w:rtl/>
        </w:rPr>
        <w:t>إرشادات طوعية عن نماذج الحوكمة الفعالة لإدارة المناطق المحمية، بما في ذلك الإنصاف، مع الأخذ في الحسبان العمل المضطلع به بموجب المادة 8(ي) والأحكام المتصلة بها</w:t>
      </w:r>
    </w:p>
    <w:p w:rsidR="00B42CBF" w:rsidRPr="00A42263" w:rsidRDefault="00B42CBF" w:rsidP="00B42CBF">
      <w:pPr>
        <w:spacing w:after="100" w:line="204" w:lineRule="auto"/>
        <w:jc w:val="center"/>
        <w:rPr>
          <w:b/>
          <w:bCs/>
          <w:sz w:val="24"/>
        </w:rPr>
      </w:pPr>
      <w:r w:rsidRPr="00A42263">
        <w:rPr>
          <w:rFonts w:hint="cs"/>
          <w:b/>
          <w:bCs/>
          <w:sz w:val="24"/>
          <w:rtl/>
        </w:rPr>
        <w:t>أولا-</w:t>
      </w:r>
      <w:r w:rsidRPr="00A42263">
        <w:rPr>
          <w:b/>
          <w:bCs/>
          <w:sz w:val="24"/>
          <w:rtl/>
        </w:rPr>
        <w:tab/>
      </w:r>
      <w:r w:rsidRPr="00A42263">
        <w:rPr>
          <w:rFonts w:hint="cs"/>
          <w:b/>
          <w:bCs/>
          <w:sz w:val="24"/>
          <w:rtl/>
        </w:rPr>
        <w:t>السياق</w:t>
      </w:r>
    </w:p>
    <w:p w:rsidR="00B42CBF" w:rsidRPr="00331576" w:rsidRDefault="00B42CBF" w:rsidP="00FF7FA5">
      <w:pPr>
        <w:numPr>
          <w:ilvl w:val="0"/>
          <w:numId w:val="28"/>
        </w:numPr>
        <w:spacing w:after="100" w:line="204" w:lineRule="auto"/>
        <w:ind w:left="-7" w:firstLine="0"/>
      </w:pPr>
      <w:r w:rsidRPr="00331576">
        <w:rPr>
          <w:rFonts w:hint="cs"/>
          <w:rtl/>
        </w:rPr>
        <w:t>إن الحوكمة عامل رئيسي لنجاح المناطق المحمية في حفظ التنوع البيولوجي ودعم سبل العيش المستدامة. ويمكن أن يؤدي تحسين حوكمة المناطق المحمية من حيث التنوع والجودة والفعالية والإنصاف إلى تيسير تحقيق الهدف 11 من أهداف أيشي للتنوع البيولوجي وأن يساعد في التصدي للتحديات المحلية والعالمية المستمرة.</w:t>
      </w:r>
      <w:r w:rsidRPr="00331576">
        <w:rPr>
          <w:rStyle w:val="FootnoteReference"/>
          <w:rtl/>
        </w:rPr>
        <w:footnoteReference w:id="131"/>
      </w:r>
      <w:r w:rsidRPr="00331576">
        <w:rPr>
          <w:rFonts w:hint="cs"/>
          <w:rtl/>
        </w:rPr>
        <w:t xml:space="preserve"> ويمكن تيسير تحقيق تغطية وتمثيلية وترابط الهدف 11، وتحقيق عناصره النوعية من خلال الاعتراف بدور </w:t>
      </w:r>
      <w:r>
        <w:rPr>
          <w:rFonts w:hint="cs"/>
          <w:rtl/>
        </w:rPr>
        <w:t>و</w:t>
      </w:r>
      <w:r w:rsidRPr="00331576">
        <w:rPr>
          <w:rFonts w:hint="cs"/>
          <w:rtl/>
        </w:rPr>
        <w:t>مساهمات مختلف الجهات الفاعلة وال</w:t>
      </w:r>
      <w:r>
        <w:rPr>
          <w:rFonts w:hint="cs"/>
          <w:rtl/>
        </w:rPr>
        <w:t>نُهج</w:t>
      </w:r>
      <w:r w:rsidRPr="00331576">
        <w:rPr>
          <w:rFonts w:hint="cs"/>
          <w:rtl/>
        </w:rPr>
        <w:t xml:space="preserve"> للحفظ القائم على </w:t>
      </w:r>
      <w:r>
        <w:rPr>
          <w:rFonts w:hint="cs"/>
          <w:rtl/>
        </w:rPr>
        <w:t xml:space="preserve">أساس </w:t>
      </w:r>
      <w:r w:rsidRPr="00331576">
        <w:rPr>
          <w:rFonts w:hint="cs"/>
          <w:rtl/>
        </w:rPr>
        <w:t xml:space="preserve">المناطق. ومن شأن هذا التنوع أن يوسع نطاق الملكية، ويحتمل أن يعزز التعاون ويحد من </w:t>
      </w:r>
      <w:r>
        <w:rPr>
          <w:rFonts w:hint="cs"/>
          <w:rtl/>
        </w:rPr>
        <w:t>النزاعات</w:t>
      </w:r>
      <w:r w:rsidRPr="00331576">
        <w:rPr>
          <w:rFonts w:hint="cs"/>
          <w:rtl/>
        </w:rPr>
        <w:t xml:space="preserve"> وأن ييسر كذلك القدر</w:t>
      </w:r>
      <w:r>
        <w:rPr>
          <w:rFonts w:hint="cs"/>
          <w:rtl/>
        </w:rPr>
        <w:t>ة على الصمود في مواجهة التغيير.</w:t>
      </w:r>
    </w:p>
    <w:p w:rsidR="00B42CBF" w:rsidRPr="00331576" w:rsidRDefault="00B42CBF" w:rsidP="00FF7FA5">
      <w:pPr>
        <w:numPr>
          <w:ilvl w:val="0"/>
          <w:numId w:val="28"/>
        </w:numPr>
        <w:spacing w:after="100" w:line="204" w:lineRule="auto"/>
        <w:ind w:left="-7" w:firstLine="0"/>
      </w:pPr>
      <w:r w:rsidRPr="00331576">
        <w:rPr>
          <w:rFonts w:hint="cs"/>
          <w:rtl/>
        </w:rPr>
        <w:t xml:space="preserve">وتميل ترتيبات الحوكمة الخاصة بالمناطق المحمية والمحفوظة، المصممة </w:t>
      </w:r>
      <w:r>
        <w:rPr>
          <w:rFonts w:hint="cs"/>
          <w:rtl/>
        </w:rPr>
        <w:t>بما</w:t>
      </w:r>
      <w:r w:rsidRPr="00331576">
        <w:rPr>
          <w:rFonts w:hint="cs"/>
          <w:rtl/>
        </w:rPr>
        <w:t xml:space="preserve"> يناسب سياقها المحدد، والشاملة اجتماعيا، والتي تحترم الحقوق، والفعالة في تحقيق نتائج الحفظ وسبل العيش، إلى زيادة شرعية المناطق المحمية والمحفوظة لصالح الشعوب الأصلية والمجتمعات المحلية </w:t>
      </w:r>
      <w:r>
        <w:rPr>
          <w:rFonts w:hint="cs"/>
          <w:rtl/>
        </w:rPr>
        <w:t>والمجتمع ككل.</w:t>
      </w:r>
    </w:p>
    <w:p w:rsidR="00B42CBF" w:rsidRPr="00331576" w:rsidRDefault="00B42CBF" w:rsidP="00FF7FA5">
      <w:pPr>
        <w:numPr>
          <w:ilvl w:val="0"/>
          <w:numId w:val="28"/>
        </w:numPr>
        <w:spacing w:after="100" w:line="204" w:lineRule="auto"/>
        <w:ind w:left="-7" w:firstLine="0"/>
      </w:pPr>
      <w:r w:rsidRPr="00331576">
        <w:rPr>
          <w:rFonts w:hint="cs"/>
          <w:rtl/>
        </w:rPr>
        <w:t xml:space="preserve">وفي المقرر </w:t>
      </w:r>
      <w:hyperlink r:id="rId45" w:history="1">
        <w:r w:rsidRPr="00331576">
          <w:rPr>
            <w:rStyle w:val="Hyperlink"/>
            <w:rFonts w:hint="cs"/>
            <w:rtl/>
          </w:rPr>
          <w:t>10/31</w:t>
        </w:r>
      </w:hyperlink>
      <w:r w:rsidRPr="00331576">
        <w:rPr>
          <w:rFonts w:hint="cs"/>
          <w:rtl/>
        </w:rPr>
        <w:t>، حدد مؤتمر الأطراف، ضمن أمور أخرى، العنصر 2 المتعلق بالحوكمة والمشاركة والإنصاف وتقاسم المنافع لبرنامج عمل المناطق المحمية باعتباره مسألة ذات أولوية تحتاج إلى مزيد من الاهتمام.</w:t>
      </w:r>
      <w:r w:rsidRPr="00331576">
        <w:rPr>
          <w:rStyle w:val="FootnoteReference"/>
          <w:rtl/>
        </w:rPr>
        <w:footnoteReference w:id="132"/>
      </w:r>
      <w:r w:rsidRPr="00331576">
        <w:rPr>
          <w:rFonts w:hint="cs"/>
          <w:rtl/>
        </w:rPr>
        <w:t xml:space="preserve"> ومنذ ذلك الحين، اكتسبت الأطراف خبرة، وتم وضع منهجيات وأدوات لتقييم الحوكمة وتصميم خطط العمل. وقد أدى ذلك إلى زيادة فهم المفاهيم الأساسية، لا سيما الإنصاف.</w:t>
      </w:r>
      <w:r w:rsidRPr="00331576">
        <w:rPr>
          <w:rStyle w:val="FootnoteReference"/>
          <w:rtl/>
        </w:rPr>
        <w:footnoteReference w:id="133"/>
      </w:r>
    </w:p>
    <w:p w:rsidR="00B42CBF" w:rsidRPr="00331576" w:rsidRDefault="00B42CBF" w:rsidP="00B42CBF">
      <w:pPr>
        <w:spacing w:after="100" w:line="204" w:lineRule="auto"/>
        <w:ind w:left="-7"/>
        <w:jc w:val="center"/>
        <w:rPr>
          <w:b/>
          <w:bCs/>
          <w:rtl/>
        </w:rPr>
      </w:pPr>
      <w:r w:rsidRPr="00331576">
        <w:rPr>
          <w:rFonts w:hint="cs"/>
          <w:b/>
          <w:bCs/>
          <w:rtl/>
        </w:rPr>
        <w:lastRenderedPageBreak/>
        <w:t>ألف-</w:t>
      </w:r>
      <w:r w:rsidRPr="00331576">
        <w:rPr>
          <w:b/>
          <w:bCs/>
          <w:rtl/>
        </w:rPr>
        <w:tab/>
      </w:r>
      <w:r w:rsidRPr="00331576">
        <w:rPr>
          <w:rFonts w:hint="cs"/>
          <w:b/>
          <w:bCs/>
          <w:rtl/>
        </w:rPr>
        <w:t>الإرشادات الطوعية بشأن تنوع الحوكمة</w:t>
      </w:r>
    </w:p>
    <w:p w:rsidR="00B42CBF" w:rsidRPr="00331576" w:rsidRDefault="00B42CBF" w:rsidP="00FF7FA5">
      <w:pPr>
        <w:numPr>
          <w:ilvl w:val="0"/>
          <w:numId w:val="28"/>
        </w:numPr>
        <w:spacing w:after="100" w:line="204" w:lineRule="auto"/>
        <w:ind w:left="-7" w:firstLine="0"/>
      </w:pPr>
      <w:r w:rsidRPr="00331576">
        <w:rPr>
          <w:rFonts w:hint="cs"/>
          <w:rtl/>
        </w:rPr>
        <w:t>تميز اتفاقية التنوع البيولوجي والاتحاد الدولي لحفظ الطبيعة (</w:t>
      </w:r>
      <w:r w:rsidRPr="00331576">
        <w:rPr>
          <w:lang w:val="en-GB"/>
        </w:rPr>
        <w:t>IUCN</w:t>
      </w:r>
      <w:r w:rsidRPr="00331576">
        <w:rPr>
          <w:rFonts w:hint="cs"/>
          <w:rtl/>
          <w:lang w:val="en-GB"/>
        </w:rPr>
        <w:t xml:space="preserve">) بين أربعة أنواع واسعة من الحوكمة للمناطق المحمية والمحفوظة، تبعا للجهات الفاعلة التي لديها سلطة </w:t>
      </w:r>
      <w:r>
        <w:rPr>
          <w:rFonts w:hint="cs"/>
          <w:rtl/>
          <w:lang w:val="en-GB"/>
        </w:rPr>
        <w:t>ومسؤولية اتخاذ القرارات وإنفاذه</w:t>
      </w:r>
      <w:r w:rsidRPr="00331576">
        <w:rPr>
          <w:rFonts w:hint="cs"/>
          <w:rtl/>
          <w:lang w:val="en-GB"/>
        </w:rPr>
        <w:t>: (أ) الحوكمة من قبل الحكومة؛ (ب) الحوكمة المشتركة (من قبل جهات فاعلة مختلفة معا</w:t>
      </w:r>
      <w:r w:rsidRPr="00331576">
        <w:rPr>
          <w:rStyle w:val="FootnoteReference"/>
          <w:rtl/>
          <w:lang w:val="en-GB"/>
        </w:rPr>
        <w:footnoteReference w:id="134"/>
      </w:r>
      <w:r w:rsidRPr="00331576">
        <w:rPr>
          <w:rFonts w:hint="cs"/>
          <w:rtl/>
          <w:lang w:val="en-GB"/>
        </w:rPr>
        <w:t>)؛ (ج) الحوكمة من قبل الأفراد أو المنظمات الخاصة (وهم غالبا ملاك الأراضي وفي شكل أراض محمية من قبل القطاع الخاص)؛ (د) الحوكمة من قبل الشعوب الأصلية و/أو المجتمعات المحلية (والتي غالبا ما يشار إليها باسم</w:t>
      </w:r>
      <w:r>
        <w:rPr>
          <w:rFonts w:hint="cs"/>
          <w:rtl/>
          <w:lang w:val="en-GB"/>
        </w:rPr>
        <w:t xml:space="preserve"> الأراضي والمناطق التي تحفظها الشعوب الأصلية والمجتمعات المحلية</w:t>
      </w:r>
      <w:r w:rsidRPr="00331576">
        <w:rPr>
          <w:rFonts w:hint="cs"/>
          <w:rtl/>
          <w:lang w:val="en-GB"/>
        </w:rPr>
        <w:t xml:space="preserve"> </w:t>
      </w:r>
      <w:r w:rsidRPr="00576F31">
        <w:rPr>
          <w:rFonts w:cs="Times New Roman"/>
          <w:szCs w:val="22"/>
          <w:rtl/>
          <w:lang w:val="en-GB"/>
        </w:rPr>
        <w:t>(</w:t>
      </w:r>
      <w:r w:rsidRPr="00576F31">
        <w:rPr>
          <w:rFonts w:cs="Times New Roman"/>
          <w:szCs w:val="22"/>
          <w:lang w:val="en-GB"/>
        </w:rPr>
        <w:t>ICCA</w:t>
      </w:r>
      <w:r>
        <w:rPr>
          <w:rFonts w:cs="Times New Roman"/>
          <w:szCs w:val="22"/>
        </w:rPr>
        <w:t>s</w:t>
      </w:r>
      <w:r w:rsidRPr="00576F31">
        <w:rPr>
          <w:rFonts w:cs="Times New Roman"/>
          <w:szCs w:val="22"/>
          <w:rtl/>
          <w:lang w:val="en-GB"/>
        </w:rPr>
        <w:t>)</w:t>
      </w:r>
      <w:r w:rsidRPr="00331576">
        <w:rPr>
          <w:rFonts w:hint="cs"/>
          <w:rtl/>
          <w:lang w:val="en-GB"/>
        </w:rPr>
        <w:t xml:space="preserve"> أو المناطق المحمية من قبل الشعوب الأصلية</w:t>
      </w:r>
      <w:r>
        <w:rPr>
          <w:rFonts w:hint="cs"/>
          <w:rtl/>
          <w:lang w:val="en-GB"/>
        </w:rPr>
        <w:t> </w:t>
      </w:r>
      <w:r w:rsidRPr="00576F31">
        <w:rPr>
          <w:rFonts w:cs="Times New Roman"/>
          <w:szCs w:val="22"/>
          <w:rtl/>
          <w:lang w:val="en-GB"/>
        </w:rPr>
        <w:t>(</w:t>
      </w:r>
      <w:r w:rsidRPr="00576F31">
        <w:rPr>
          <w:rFonts w:cs="Times New Roman"/>
          <w:szCs w:val="22"/>
          <w:lang w:val="en-GB"/>
        </w:rPr>
        <w:t>IPA</w:t>
      </w:r>
      <w:r>
        <w:rPr>
          <w:rFonts w:cs="Times New Roman"/>
          <w:szCs w:val="22"/>
          <w:lang w:val="en-GB"/>
        </w:rPr>
        <w:t>s</w:t>
      </w:r>
      <w:r w:rsidRPr="00576F31">
        <w:rPr>
          <w:rFonts w:cs="Times New Roman"/>
          <w:szCs w:val="22"/>
          <w:rtl/>
          <w:lang w:val="en-GB"/>
        </w:rPr>
        <w:t>))</w:t>
      </w:r>
      <w:r w:rsidRPr="00331576">
        <w:rPr>
          <w:rFonts w:hint="cs"/>
          <w:rtl/>
          <w:lang w:val="en-GB"/>
        </w:rPr>
        <w:t>.</w:t>
      </w:r>
    </w:p>
    <w:p w:rsidR="00B42CBF" w:rsidRPr="00331576" w:rsidRDefault="00B42CBF" w:rsidP="00FF7FA5">
      <w:pPr>
        <w:numPr>
          <w:ilvl w:val="0"/>
          <w:numId w:val="28"/>
        </w:numPr>
        <w:spacing w:after="100" w:line="204" w:lineRule="auto"/>
        <w:ind w:left="-7" w:firstLine="0"/>
      </w:pPr>
      <w:r w:rsidRPr="00331576">
        <w:rPr>
          <w:rFonts w:hint="cs"/>
          <w:rtl/>
        </w:rPr>
        <w:t xml:space="preserve">ويتعلق تنوع الحوكمة في المقام الأول بوجود مجموعة من الأنواع والأنواع الفرعية </w:t>
      </w:r>
      <w:r>
        <w:rPr>
          <w:rFonts w:hint="cs"/>
          <w:rtl/>
        </w:rPr>
        <w:t>ال</w:t>
      </w:r>
      <w:r w:rsidRPr="00331576">
        <w:rPr>
          <w:rFonts w:hint="cs"/>
          <w:rtl/>
        </w:rPr>
        <w:t>مختلفة من الحوكمة، تختلف من حيث الأحكام والممارسات القانونية، ومن حيث تكاملها في تحقيق الحفظ في الموقع الطبيعي. ويعد مفهوم الحوكمة ذا صلة أيضا بمسألة ما إذا كان نوع معين مناسبا لسياق معين.</w:t>
      </w:r>
      <w:r w:rsidRPr="00331576">
        <w:rPr>
          <w:rStyle w:val="FootnoteReference"/>
          <w:rtl/>
        </w:rPr>
        <w:footnoteReference w:id="135"/>
      </w:r>
    </w:p>
    <w:p w:rsidR="00B42CBF" w:rsidRPr="00331576" w:rsidRDefault="00B42CBF" w:rsidP="00FF7FA5">
      <w:pPr>
        <w:numPr>
          <w:ilvl w:val="0"/>
          <w:numId w:val="28"/>
        </w:numPr>
        <w:spacing w:after="100" w:line="204" w:lineRule="auto"/>
        <w:ind w:left="-7" w:firstLine="0"/>
      </w:pPr>
      <w:r w:rsidRPr="00331576">
        <w:rPr>
          <w:rFonts w:hint="cs"/>
          <w:rtl/>
        </w:rPr>
        <w:t xml:space="preserve">وتمشيا مع المقررين </w:t>
      </w:r>
      <w:hyperlink r:id="rId46" w:history="1">
        <w:r w:rsidRPr="00331576">
          <w:rPr>
            <w:rStyle w:val="Hyperlink"/>
            <w:rFonts w:hint="cs"/>
            <w:rtl/>
          </w:rPr>
          <w:t>7/28</w:t>
        </w:r>
      </w:hyperlink>
      <w:r w:rsidRPr="00331576">
        <w:rPr>
          <w:rFonts w:hint="cs"/>
          <w:rtl/>
        </w:rPr>
        <w:t xml:space="preserve"> و</w:t>
      </w:r>
      <w:hyperlink r:id="rId47" w:history="1">
        <w:r w:rsidRPr="00FE179A">
          <w:rPr>
            <w:rStyle w:val="Hyperlink"/>
            <w:rFonts w:hint="cs"/>
            <w:rtl/>
          </w:rPr>
          <w:t>10/31</w:t>
        </w:r>
      </w:hyperlink>
      <w:r w:rsidRPr="00331576">
        <w:rPr>
          <w:rFonts w:hint="cs"/>
          <w:rtl/>
        </w:rPr>
        <w:t>، تقترح هذه الإرشادات الطوعية خطوات يمكن اتباعها فيما يتعلق بالاعتراف بالمناطق المحفوظة طوعا من قبل الشعوب الأصلية والمجتمعات المحلية ومُلاك الأراضي و</w:t>
      </w:r>
      <w:r>
        <w:rPr>
          <w:rFonts w:hint="cs"/>
          <w:rtl/>
        </w:rPr>
        <w:t xml:space="preserve">الجهات </w:t>
      </w:r>
      <w:r w:rsidRPr="00331576">
        <w:rPr>
          <w:rFonts w:hint="cs"/>
          <w:rtl/>
        </w:rPr>
        <w:t>الفاعل</w:t>
      </w:r>
      <w:r>
        <w:rPr>
          <w:rFonts w:hint="cs"/>
          <w:rtl/>
        </w:rPr>
        <w:t>ة</w:t>
      </w:r>
      <w:r w:rsidRPr="00331576">
        <w:rPr>
          <w:rFonts w:hint="cs"/>
          <w:rtl/>
        </w:rPr>
        <w:t xml:space="preserve"> </w:t>
      </w:r>
      <w:r>
        <w:rPr>
          <w:rFonts w:hint="cs"/>
          <w:rtl/>
        </w:rPr>
        <w:t>الأخرى</w:t>
      </w:r>
      <w:r w:rsidRPr="00331576">
        <w:rPr>
          <w:rFonts w:hint="cs"/>
          <w:rtl/>
        </w:rPr>
        <w:t xml:space="preserve">، ودعمها والتحقق منها وتنسيقها وتتبعها ورصدها والإبلاغ عنها. وعلى وجه الخصوص، في حالة الأراضي </w:t>
      </w:r>
      <w:r>
        <w:rPr>
          <w:rFonts w:hint="cs"/>
          <w:rtl/>
        </w:rPr>
        <w:t xml:space="preserve">والمناطق </w:t>
      </w:r>
      <w:r w:rsidRPr="00331576">
        <w:rPr>
          <w:rFonts w:hint="cs"/>
          <w:rtl/>
        </w:rPr>
        <w:t xml:space="preserve">الخاضعة لحوكمة الشعوب الأصلية والمجتمعات المحلية، ينبغي اتخاذ هذه الخطوات </w:t>
      </w:r>
      <w:r>
        <w:rPr>
          <w:rFonts w:hint="cs"/>
          <w:rtl/>
        </w:rPr>
        <w:t>ب</w:t>
      </w:r>
      <w:r w:rsidRPr="00331576">
        <w:rPr>
          <w:rFonts w:hint="cs"/>
          <w:rtl/>
        </w:rPr>
        <w:t xml:space="preserve">موافقتها </w:t>
      </w:r>
      <w:r w:rsidRPr="00331576">
        <w:rPr>
          <w:rFonts w:hint="cs"/>
          <w:rtl/>
          <w:lang w:val="en-GB"/>
        </w:rPr>
        <w:t xml:space="preserve">الحرة </w:t>
      </w:r>
      <w:r>
        <w:rPr>
          <w:rFonts w:hint="cs"/>
          <w:rtl/>
          <w:lang w:val="en-GB"/>
        </w:rPr>
        <w:t>و</w:t>
      </w:r>
      <w:r w:rsidRPr="00331576">
        <w:rPr>
          <w:rFonts w:hint="cs"/>
          <w:rtl/>
          <w:lang w:val="en-GB"/>
        </w:rPr>
        <w:t xml:space="preserve">المسبقة والمستنيرة </w:t>
      </w:r>
      <w:r>
        <w:rPr>
          <w:rFonts w:hint="cs"/>
          <w:rtl/>
          <w:lang w:val="en-GB"/>
        </w:rPr>
        <w:t xml:space="preserve">بما يتسق مع السياسات واللوائح والظروف الوطنية، والالتزامات الدولية السارية، </w:t>
      </w:r>
      <w:r w:rsidRPr="00331576">
        <w:rPr>
          <w:rFonts w:hint="cs"/>
          <w:rtl/>
          <w:lang w:val="en-GB"/>
        </w:rPr>
        <w:t>وعلى أساس احترام حقوقها ومع</w:t>
      </w:r>
      <w:r>
        <w:rPr>
          <w:rFonts w:hint="cs"/>
          <w:rtl/>
          <w:lang w:val="en-GB"/>
        </w:rPr>
        <w:t>ارف</w:t>
      </w:r>
      <w:r w:rsidRPr="00331576">
        <w:rPr>
          <w:rFonts w:hint="cs"/>
          <w:rtl/>
          <w:lang w:val="en-GB"/>
        </w:rPr>
        <w:t>ها ومؤسساتها. وبالإضافة إلى ذلك، في حالة المناطق المحفوظة من قبل ملاك الأراضي، لا ينبغي اتخاذ هذه الخطوات إلا بموافقتهم، وعلى أساس احترام حقوقهم ومع</w:t>
      </w:r>
      <w:r>
        <w:rPr>
          <w:rFonts w:hint="cs"/>
          <w:rtl/>
          <w:lang w:val="en-GB"/>
        </w:rPr>
        <w:t>ارف</w:t>
      </w:r>
      <w:r w:rsidRPr="00331576">
        <w:rPr>
          <w:rFonts w:hint="cs"/>
          <w:rtl/>
          <w:lang w:val="en-GB"/>
        </w:rPr>
        <w:t>هم.</w:t>
      </w:r>
      <w:r w:rsidRPr="00331576">
        <w:rPr>
          <w:rStyle w:val="FootnoteReference"/>
          <w:rtl/>
          <w:lang w:val="en-GB"/>
        </w:rPr>
        <w:footnoteReference w:id="136"/>
      </w:r>
    </w:p>
    <w:p w:rsidR="00B42CBF" w:rsidRPr="00331576" w:rsidRDefault="00B42CBF" w:rsidP="00FF7FA5">
      <w:pPr>
        <w:numPr>
          <w:ilvl w:val="0"/>
          <w:numId w:val="28"/>
        </w:numPr>
        <w:spacing w:after="100" w:line="204" w:lineRule="auto"/>
        <w:ind w:left="-7" w:firstLine="0"/>
      </w:pPr>
      <w:r w:rsidRPr="00331576">
        <w:rPr>
          <w:rFonts w:hint="cs"/>
          <w:rtl/>
        </w:rPr>
        <w:t>وتشمل الخطوات المقترحة لتحسين ودعم تنوع الحوكمة في النظم الوطنية أو دون الوطنية للمناطق المحمية والمحفوظة ما يلي:</w:t>
      </w:r>
    </w:p>
    <w:p w:rsidR="00B42CBF" w:rsidRPr="00331576" w:rsidRDefault="00B42CBF" w:rsidP="00FF7FA5">
      <w:pPr>
        <w:numPr>
          <w:ilvl w:val="0"/>
          <w:numId w:val="29"/>
        </w:numPr>
        <w:spacing w:after="100" w:line="204" w:lineRule="auto"/>
        <w:ind w:left="-7" w:firstLine="567"/>
      </w:pPr>
      <w:r w:rsidRPr="00331576">
        <w:rPr>
          <w:rFonts w:hint="cs"/>
          <w:i/>
          <w:iCs/>
          <w:rtl/>
        </w:rPr>
        <w:t>وضع سياسة رفيعة المستوى أو بيان رؤية، بالتشاور مع أصحاب المصلحة</w:t>
      </w:r>
      <w:r w:rsidRPr="00331576">
        <w:rPr>
          <w:rFonts w:hint="cs"/>
          <w:rtl/>
        </w:rPr>
        <w:t xml:space="preserve">، اعترافا بتنوع الجهات الفاعلة في مجال حفظ الطبيعة ومساهماتها في النظم الوطنية </w:t>
      </w:r>
      <w:r>
        <w:rPr>
          <w:rFonts w:hint="cs"/>
          <w:rtl/>
        </w:rPr>
        <w:t xml:space="preserve">أو </w:t>
      </w:r>
      <w:r w:rsidRPr="00331576">
        <w:rPr>
          <w:rFonts w:hint="cs"/>
          <w:rtl/>
        </w:rPr>
        <w:t>دون الوطنية للمناطق المحمية والمحفوظة. وسيساعد هذا البيان في وضع إطار للتكيفات التشريعية اللاحقة. وقد يشجع أيضا مبادرات الحفظ في الموقع الطبيعي التي تقوم بها الجهات الفاعلة.</w:t>
      </w:r>
      <w:r w:rsidRPr="00331576">
        <w:rPr>
          <w:rStyle w:val="FootnoteReference"/>
          <w:rtl/>
        </w:rPr>
        <w:footnoteReference w:id="137"/>
      </w:r>
    </w:p>
    <w:p w:rsidR="00B42CBF" w:rsidRPr="00331576" w:rsidRDefault="00B42CBF" w:rsidP="00FF7FA5">
      <w:pPr>
        <w:numPr>
          <w:ilvl w:val="0"/>
          <w:numId w:val="29"/>
        </w:numPr>
        <w:spacing w:after="100" w:line="204" w:lineRule="auto"/>
        <w:ind w:left="-7" w:firstLine="567"/>
      </w:pPr>
      <w:r w:rsidRPr="00331576">
        <w:rPr>
          <w:rFonts w:hint="cs"/>
          <w:i/>
          <w:iCs/>
          <w:rtl/>
        </w:rPr>
        <w:t>تيسير الإدارة المنسقة للعديد من المواقع</w:t>
      </w:r>
      <w:r w:rsidRPr="00331576">
        <w:rPr>
          <w:rFonts w:hint="cs"/>
          <w:rtl/>
        </w:rPr>
        <w:t xml:space="preserve"> ذات الأنواع المختلفة من الحوكمة لتحقيق أهداف الحفظ في المناظر الطبيعية الأرضية والبحرية الأوسع نطاقا باستخدام الوسائل المناسبة؛</w:t>
      </w:r>
    </w:p>
    <w:p w:rsidR="00B42CBF" w:rsidRPr="00331576" w:rsidRDefault="00B42CBF" w:rsidP="00FF7FA5">
      <w:pPr>
        <w:numPr>
          <w:ilvl w:val="0"/>
          <w:numId w:val="29"/>
        </w:numPr>
        <w:spacing w:after="100" w:line="204" w:lineRule="auto"/>
        <w:ind w:left="-7" w:firstLine="567"/>
      </w:pPr>
      <w:r w:rsidRPr="00331576">
        <w:rPr>
          <w:rFonts w:hint="cs"/>
          <w:i/>
          <w:iCs/>
          <w:rtl/>
        </w:rPr>
        <w:t>توضيح وتحديد الولايات المؤسسية، والأدوار والمسؤوليات</w:t>
      </w:r>
      <w:r w:rsidRPr="00331576">
        <w:rPr>
          <w:rFonts w:hint="cs"/>
          <w:rtl/>
        </w:rPr>
        <w:t xml:space="preserve"> التي </w:t>
      </w:r>
      <w:r>
        <w:rPr>
          <w:rFonts w:hint="cs"/>
          <w:rtl/>
        </w:rPr>
        <w:t>ت</w:t>
      </w:r>
      <w:r w:rsidRPr="00331576">
        <w:rPr>
          <w:rFonts w:hint="cs"/>
          <w:rtl/>
        </w:rPr>
        <w:t xml:space="preserve">ضطلع بها جميع </w:t>
      </w:r>
      <w:r>
        <w:rPr>
          <w:rFonts w:hint="cs"/>
          <w:rtl/>
        </w:rPr>
        <w:t>الجهات الفاعلة ذات</w:t>
      </w:r>
      <w:r w:rsidRPr="00331576">
        <w:rPr>
          <w:rFonts w:hint="cs"/>
          <w:rtl/>
        </w:rPr>
        <w:t xml:space="preserve"> الصلة التابع</w:t>
      </w:r>
      <w:r>
        <w:rPr>
          <w:rFonts w:hint="cs"/>
          <w:rtl/>
        </w:rPr>
        <w:t>ة</w:t>
      </w:r>
      <w:r w:rsidRPr="00331576">
        <w:rPr>
          <w:rFonts w:hint="cs"/>
          <w:rtl/>
        </w:rPr>
        <w:t xml:space="preserve"> وغير التابع</w:t>
      </w:r>
      <w:r>
        <w:rPr>
          <w:rFonts w:hint="cs"/>
          <w:rtl/>
        </w:rPr>
        <w:t>ة</w:t>
      </w:r>
      <w:r w:rsidRPr="00331576">
        <w:rPr>
          <w:rFonts w:hint="cs"/>
          <w:rtl/>
        </w:rPr>
        <w:t xml:space="preserve"> للحكومة، والمعترف به</w:t>
      </w:r>
      <w:r>
        <w:rPr>
          <w:rFonts w:hint="cs"/>
          <w:rtl/>
        </w:rPr>
        <w:t>ا</w:t>
      </w:r>
      <w:r w:rsidRPr="00331576">
        <w:rPr>
          <w:rFonts w:hint="cs"/>
          <w:rtl/>
        </w:rPr>
        <w:t xml:space="preserve"> في نظام المناطق المحمية والمحفوظة الوطني </w:t>
      </w:r>
      <w:r>
        <w:rPr>
          <w:rFonts w:hint="cs"/>
          <w:rtl/>
        </w:rPr>
        <w:t xml:space="preserve">أو </w:t>
      </w:r>
      <w:r w:rsidRPr="00331576">
        <w:rPr>
          <w:rFonts w:hint="cs"/>
          <w:rtl/>
        </w:rPr>
        <w:t>دون الوطني، بالتنسيق مع السلطات القضائية الأخرى (دون الوطنية والقطاعية)، حيثما ينطبق ذلك؛</w:t>
      </w:r>
    </w:p>
    <w:p w:rsidR="00B42CBF" w:rsidRPr="00331576" w:rsidRDefault="00B42CBF" w:rsidP="00FF7FA5">
      <w:pPr>
        <w:numPr>
          <w:ilvl w:val="0"/>
          <w:numId w:val="29"/>
        </w:numPr>
        <w:spacing w:after="100" w:line="204" w:lineRule="auto"/>
        <w:ind w:left="-7" w:firstLine="567"/>
      </w:pPr>
      <w:r w:rsidRPr="00331576">
        <w:rPr>
          <w:rFonts w:hint="cs"/>
          <w:i/>
          <w:iCs/>
          <w:rtl/>
        </w:rPr>
        <w:t>إجراء تقييم للحوكمة على مستوى النظم كعملية تعاونية متعددة أصحاب المصلحة</w:t>
      </w:r>
      <w:r w:rsidRPr="00331576">
        <w:rPr>
          <w:rFonts w:hint="cs"/>
          <w:rtl/>
        </w:rPr>
        <w:t xml:space="preserve">. ويعد هذا التقييم إلى حد كبير بمثابة تحليل للثغرات بين شبكة وطنية أو دون وطنية قائمة للمناطق المحمية، والحفظ القائم على </w:t>
      </w:r>
      <w:r>
        <w:rPr>
          <w:rFonts w:hint="cs"/>
          <w:rtl/>
        </w:rPr>
        <w:t xml:space="preserve">أساس </w:t>
      </w:r>
      <w:r w:rsidRPr="00331576">
        <w:rPr>
          <w:rFonts w:hint="cs"/>
          <w:rtl/>
        </w:rPr>
        <w:t xml:space="preserve">المناطق المحتمل </w:t>
      </w:r>
      <w:r w:rsidRPr="00331576">
        <w:rPr>
          <w:rFonts w:hint="cs"/>
          <w:rtl/>
        </w:rPr>
        <w:lastRenderedPageBreak/>
        <w:t>تحقيقه إذا ما تم الاعتراف بالمناطق المحمية أو المحفوظة حاليا بحكم الواقع من قبل جهات فاعلة ونُهج مختلفة، وتشجيعها ودعمها لتتحمل المسؤولية أو تتقاسمها</w:t>
      </w:r>
      <w:r>
        <w:rPr>
          <w:rFonts w:hint="cs"/>
          <w:rtl/>
        </w:rPr>
        <w:t>؛</w:t>
      </w:r>
      <w:r w:rsidRPr="00331576">
        <w:rPr>
          <w:rStyle w:val="FootnoteReference"/>
          <w:rtl/>
        </w:rPr>
        <w:footnoteReference w:id="138"/>
      </w:r>
      <w:r w:rsidRPr="00331576">
        <w:rPr>
          <w:rFonts w:hint="cs"/>
          <w:vertAlign w:val="superscript"/>
          <w:rtl/>
        </w:rPr>
        <w:t>،</w:t>
      </w:r>
      <w:r w:rsidRPr="00331576">
        <w:rPr>
          <w:rStyle w:val="FootnoteReference"/>
          <w:rFonts w:hint="cs"/>
          <w:rtl/>
        </w:rPr>
        <w:t xml:space="preserve"> </w:t>
      </w:r>
      <w:r w:rsidRPr="00331576">
        <w:rPr>
          <w:rStyle w:val="FootnoteReference"/>
          <w:rtl/>
        </w:rPr>
        <w:footnoteReference w:id="139"/>
      </w:r>
    </w:p>
    <w:p w:rsidR="00B42CBF" w:rsidRPr="00331576" w:rsidRDefault="00B42CBF" w:rsidP="00FF7FA5">
      <w:pPr>
        <w:numPr>
          <w:ilvl w:val="0"/>
          <w:numId w:val="29"/>
        </w:numPr>
        <w:spacing w:after="100" w:line="204" w:lineRule="auto"/>
        <w:ind w:left="-7" w:firstLine="567"/>
      </w:pPr>
      <w:r w:rsidRPr="00331576">
        <w:rPr>
          <w:rFonts w:hint="cs"/>
          <w:i/>
          <w:iCs/>
          <w:rtl/>
        </w:rPr>
        <w:t>تيسير الرصد والإبلاغ المنسقين</w:t>
      </w:r>
      <w:r w:rsidRPr="00331576">
        <w:rPr>
          <w:rFonts w:hint="cs"/>
          <w:rtl/>
        </w:rPr>
        <w:t>، بشأن المناطق المحمية والمحفوظة التي تخضع لأنواع مختلفة من الحوكمة بواسطة الوسائل المناسبة ووفقا للتشريعات الوطنية، بما في ذلك قاعدة البيانات العالمية بشأن المناطق المحمية، مع إيلاء الاعتبار الواجب لمساهماتهم في تحقيق عناصر الهدف 11؛</w:t>
      </w:r>
    </w:p>
    <w:p w:rsidR="00B42CBF" w:rsidRPr="00331576" w:rsidRDefault="00B42CBF" w:rsidP="00FF7FA5">
      <w:pPr>
        <w:numPr>
          <w:ilvl w:val="0"/>
          <w:numId w:val="29"/>
        </w:numPr>
        <w:spacing w:after="100" w:line="204" w:lineRule="auto"/>
        <w:ind w:left="-7" w:firstLine="567"/>
      </w:pPr>
      <w:r w:rsidRPr="00331576">
        <w:rPr>
          <w:rFonts w:hint="cs"/>
          <w:i/>
          <w:iCs/>
          <w:rtl/>
        </w:rPr>
        <w:t>استعراض وتكييف السياس</w:t>
      </w:r>
      <w:r>
        <w:rPr>
          <w:rFonts w:hint="cs"/>
          <w:i/>
          <w:iCs/>
          <w:rtl/>
        </w:rPr>
        <w:t>ات</w:t>
      </w:r>
      <w:r w:rsidRPr="00331576">
        <w:rPr>
          <w:rFonts w:hint="cs"/>
          <w:i/>
          <w:iCs/>
          <w:rtl/>
        </w:rPr>
        <w:t xml:space="preserve"> والإطار القانوني والتنظيمي للمناطق المحمية والمحفوظة</w:t>
      </w:r>
      <w:r w:rsidRPr="00331576">
        <w:rPr>
          <w:rFonts w:hint="cs"/>
          <w:rtl/>
        </w:rPr>
        <w:t xml:space="preserve"> على أساس الفرص المحددة في التقييم ووفقا للمقرر 10/31 لتحفيز أنواع الحوكمة المختلفة والاعتراف بها قانونا؛</w:t>
      </w:r>
      <w:r w:rsidRPr="00331576">
        <w:rPr>
          <w:rStyle w:val="FootnoteReference"/>
          <w:rtl/>
        </w:rPr>
        <w:footnoteReference w:id="140"/>
      </w:r>
    </w:p>
    <w:p w:rsidR="00B42CBF" w:rsidRPr="00331576" w:rsidRDefault="00B42CBF" w:rsidP="00FF7FA5">
      <w:pPr>
        <w:numPr>
          <w:ilvl w:val="0"/>
          <w:numId w:val="29"/>
        </w:numPr>
        <w:spacing w:after="60" w:line="192" w:lineRule="auto"/>
        <w:ind w:left="0" w:firstLine="562"/>
      </w:pPr>
      <w:r w:rsidRPr="00331576">
        <w:rPr>
          <w:rFonts w:hint="cs"/>
          <w:i/>
          <w:iCs/>
          <w:rtl/>
        </w:rPr>
        <w:t>دعم وتأمين حالة الحماية</w:t>
      </w:r>
      <w:r w:rsidRPr="00331576">
        <w:rPr>
          <w:rFonts w:hint="cs"/>
          <w:rtl/>
        </w:rPr>
        <w:t xml:space="preserve"> في المناطق المحمية والمحفوظة الخاضعة لجميع أنواع الحوكمة من خلال الوسائل المناسبة</w:t>
      </w:r>
      <w:r>
        <w:rPr>
          <w:rFonts w:hint="cs"/>
          <w:rtl/>
        </w:rPr>
        <w:t xml:space="preserve"> وتعزيز إدارة أنواع الحوكمة هذه</w:t>
      </w:r>
      <w:r w:rsidRPr="00331576">
        <w:rPr>
          <w:rFonts w:hint="cs"/>
          <w:rtl/>
        </w:rPr>
        <w:t>؛</w:t>
      </w:r>
    </w:p>
    <w:p w:rsidR="00B42CBF" w:rsidRPr="00331576" w:rsidRDefault="00B42CBF" w:rsidP="00FF7FA5">
      <w:pPr>
        <w:numPr>
          <w:ilvl w:val="0"/>
          <w:numId w:val="29"/>
        </w:numPr>
        <w:spacing w:after="60" w:line="192" w:lineRule="auto"/>
        <w:ind w:left="0" w:firstLine="562"/>
      </w:pPr>
      <w:r w:rsidRPr="00331576">
        <w:rPr>
          <w:rFonts w:hint="cs"/>
          <w:i/>
          <w:iCs/>
          <w:rtl/>
        </w:rPr>
        <w:t>دعم الرابطات أو التحالفات الوطنية</w:t>
      </w:r>
      <w:r w:rsidRPr="00331576">
        <w:rPr>
          <w:rFonts w:hint="cs"/>
          <w:rtl/>
        </w:rPr>
        <w:t xml:space="preserve"> للمناطق المحمية والمحفوظة وفقا لأنواع الحوكمة (على سبيل المثال، تحالف الأقاليم والمناطق المحفوظة من قبل الشعوب الأصلية والمجتمعات المحلية </w:t>
      </w:r>
      <w:r w:rsidRPr="00B43BD3">
        <w:rPr>
          <w:szCs w:val="22"/>
          <w:rtl/>
        </w:rPr>
        <w:t>(</w:t>
      </w:r>
      <w:r w:rsidRPr="00B43BD3">
        <w:rPr>
          <w:szCs w:val="22"/>
          <w:lang w:val="en-GB"/>
        </w:rPr>
        <w:t>ICCA</w:t>
      </w:r>
      <w:r w:rsidRPr="00B43BD3">
        <w:rPr>
          <w:szCs w:val="22"/>
          <w:rtl/>
          <w:lang w:val="en-GB"/>
        </w:rPr>
        <w:t>)</w:t>
      </w:r>
      <w:r w:rsidRPr="00331576">
        <w:rPr>
          <w:rFonts w:hint="cs"/>
          <w:rtl/>
          <w:lang w:val="en-GB"/>
        </w:rPr>
        <w:t xml:space="preserve">، ورابطة الحماية الخاصة للمناطق </w:t>
      </w:r>
      <w:r w:rsidRPr="00B43BD3">
        <w:rPr>
          <w:szCs w:val="22"/>
          <w:rtl/>
          <w:lang w:val="en-GB"/>
        </w:rPr>
        <w:t>(</w:t>
      </w:r>
      <w:r w:rsidRPr="00B43BD3">
        <w:rPr>
          <w:szCs w:val="22"/>
          <w:lang w:val="en-GB"/>
        </w:rPr>
        <w:t>PPA</w:t>
      </w:r>
      <w:r w:rsidRPr="00B43BD3">
        <w:rPr>
          <w:szCs w:val="22"/>
          <w:rtl/>
          <w:lang w:val="en-GB"/>
        </w:rPr>
        <w:t>))</w:t>
      </w:r>
      <w:r w:rsidRPr="00331576">
        <w:rPr>
          <w:rFonts w:hint="cs"/>
          <w:rtl/>
          <w:lang w:val="en-GB"/>
        </w:rPr>
        <w:t xml:space="preserve"> لتوفير آليات دعم الأقران؛</w:t>
      </w:r>
    </w:p>
    <w:p w:rsidR="00B42CBF" w:rsidRPr="00331576" w:rsidRDefault="00B42CBF" w:rsidP="00FF7FA5">
      <w:pPr>
        <w:numPr>
          <w:ilvl w:val="0"/>
          <w:numId w:val="29"/>
        </w:numPr>
        <w:spacing w:after="100" w:line="204" w:lineRule="auto"/>
        <w:ind w:left="-7" w:firstLine="567"/>
      </w:pPr>
      <w:r w:rsidRPr="00331576">
        <w:rPr>
          <w:rFonts w:hint="cs"/>
          <w:i/>
          <w:iCs/>
          <w:rtl/>
        </w:rPr>
        <w:t>التحقق من مساهمة هذه المناطق</w:t>
      </w:r>
      <w:r w:rsidRPr="00331576">
        <w:rPr>
          <w:rFonts w:hint="cs"/>
          <w:rtl/>
        </w:rPr>
        <w:t xml:space="preserve"> في الإنجاز العام للنظام القطري بشأن المناطق المحمية، من حيث التغطية وحالة الحفظ عن طريق رسم الخرائط وغيرها من الوسائل المناسبة.</w:t>
      </w:r>
    </w:p>
    <w:p w:rsidR="00B42CBF" w:rsidRPr="00331576" w:rsidRDefault="00B42CBF" w:rsidP="00B42CBF">
      <w:pPr>
        <w:spacing w:after="100" w:line="204" w:lineRule="auto"/>
        <w:jc w:val="center"/>
        <w:rPr>
          <w:b/>
          <w:bCs/>
          <w:rtl/>
        </w:rPr>
      </w:pPr>
      <w:r w:rsidRPr="00331576">
        <w:rPr>
          <w:rFonts w:hint="cs"/>
          <w:b/>
          <w:bCs/>
          <w:rtl/>
        </w:rPr>
        <w:t>باء-</w:t>
      </w:r>
      <w:r w:rsidRPr="00331576">
        <w:rPr>
          <w:b/>
          <w:bCs/>
          <w:rtl/>
        </w:rPr>
        <w:tab/>
      </w:r>
      <w:r w:rsidRPr="00331576">
        <w:rPr>
          <w:rFonts w:hint="cs"/>
          <w:b/>
          <w:bCs/>
          <w:rtl/>
        </w:rPr>
        <w:t>الإرشادات الطوعية بشأن نماذج الحوكمة الفعالة والمنصفة</w:t>
      </w:r>
    </w:p>
    <w:p w:rsidR="00B42CBF" w:rsidRPr="00331576" w:rsidRDefault="00B42CBF" w:rsidP="00FF7FA5">
      <w:pPr>
        <w:numPr>
          <w:ilvl w:val="0"/>
          <w:numId w:val="28"/>
        </w:numPr>
        <w:spacing w:after="100" w:line="204" w:lineRule="auto"/>
        <w:ind w:left="-7" w:firstLine="0"/>
      </w:pPr>
      <w:r w:rsidRPr="00331576">
        <w:rPr>
          <w:rFonts w:hint="cs"/>
          <w:rtl/>
        </w:rPr>
        <w:t xml:space="preserve">إن نماذج الحوكمة الفعالة والمنصفة للمناطق المحمية والمحفوظة هي ترتيبات لاتخاذ القرار وتنفيذ القرارات التي تتبنى وتطبق مبادئ "الحوكمة الرشيدة". وينبغي تطبيق مبادئ الحوكمة الرشيدة بغض النظر عن نوع الحوكمة السائد. واستنادا إلى مبادئ الحوكمة الرشيدة التي وضعتها وكالات الأمم المتحدة وغيرها من المنظمات، اقترح الاتحاد الدولي لحفظ الطبيعة مبادئ واعتبارات للحوكمة لسياق المناطق المحمية والمحفوظة كإرشادات بشأن القرارات التي يتعين اتخاذها وتنفيذها بطريقة مشروعة وكفؤة وشاملة وعادلة في ضوء رؤية ما وعلى أساس المساءلة </w:t>
      </w:r>
      <w:r>
        <w:rPr>
          <w:rFonts w:hint="cs"/>
          <w:rtl/>
        </w:rPr>
        <w:t>ومع</w:t>
      </w:r>
      <w:r w:rsidRPr="00331576">
        <w:rPr>
          <w:rFonts w:hint="cs"/>
          <w:rtl/>
        </w:rPr>
        <w:t xml:space="preserve"> احترام </w:t>
      </w:r>
      <w:r>
        <w:rPr>
          <w:rFonts w:hint="cs"/>
          <w:rtl/>
        </w:rPr>
        <w:t>ا</w:t>
      </w:r>
      <w:r w:rsidRPr="00331576">
        <w:rPr>
          <w:rFonts w:hint="cs"/>
          <w:rtl/>
        </w:rPr>
        <w:t>لحقوق.</w:t>
      </w:r>
      <w:r w:rsidRPr="00331576">
        <w:rPr>
          <w:rStyle w:val="FootnoteReference"/>
          <w:rtl/>
        </w:rPr>
        <w:footnoteReference w:id="141"/>
      </w:r>
    </w:p>
    <w:p w:rsidR="00B42CBF" w:rsidRPr="00331576" w:rsidRDefault="00B42CBF" w:rsidP="00FF7FA5">
      <w:pPr>
        <w:numPr>
          <w:ilvl w:val="0"/>
          <w:numId w:val="28"/>
        </w:numPr>
        <w:spacing w:after="100" w:line="204" w:lineRule="auto"/>
        <w:ind w:left="0" w:firstLine="0"/>
      </w:pPr>
      <w:r w:rsidRPr="00331576">
        <w:rPr>
          <w:rFonts w:hint="cs"/>
          <w:rtl/>
        </w:rPr>
        <w:t>ويعد مفهوم الإنصاف أحد عناصر الحوكمة الرشيدة. ويمكن تقسيم الإنصاف إلى ثلاثة أبعاد وهي: الاعتراف، والإجراء، والتوزيع. و"الاعتراف" يعني الاعتراف بالحقوق وتنوع الهويات والقيم ونظم المعارف ومؤسسات أصحاب الحقوق</w:t>
      </w:r>
      <w:r w:rsidRPr="00331576">
        <w:rPr>
          <w:rStyle w:val="FootnoteReference"/>
          <w:rtl/>
        </w:rPr>
        <w:footnoteReference w:id="142"/>
      </w:r>
      <w:r w:rsidRPr="00331576">
        <w:rPr>
          <w:rFonts w:hint="cs"/>
          <w:rtl/>
        </w:rPr>
        <w:t xml:space="preserve"> وأصحاب المصلحة واحترامها؛ ويشير "الإجراء" إلى شمولية عملية صنع القواعد والقرارات؛ ويعني "التوزيع" ضمنا أنه يجب تقاسم التكاليف والم</w:t>
      </w:r>
      <w:r>
        <w:rPr>
          <w:rFonts w:hint="cs"/>
          <w:rtl/>
        </w:rPr>
        <w:t>نافع</w:t>
      </w:r>
      <w:r w:rsidRPr="00331576">
        <w:rPr>
          <w:rFonts w:hint="cs"/>
          <w:rtl/>
        </w:rPr>
        <w:t xml:space="preserve"> الناتجة عن إدارة المناطق المحمية بصورة </w:t>
      </w:r>
      <w:r>
        <w:rPr>
          <w:rFonts w:hint="cs"/>
          <w:rtl/>
        </w:rPr>
        <w:t>منصفة</w:t>
      </w:r>
      <w:r w:rsidRPr="00331576">
        <w:rPr>
          <w:rFonts w:hint="cs"/>
          <w:rtl/>
        </w:rPr>
        <w:t xml:space="preserve"> بين مختلف الجهات الفاعلة. ويوضح الشكل أدناه الأبعاد الثلاثة. ويقترح إطار تم وضعه مؤخرا للنهوض بالإنصاف في سياق المناطق المحمية،</w:t>
      </w:r>
      <w:r w:rsidRPr="00331576">
        <w:rPr>
          <w:rStyle w:val="FootnoteReference"/>
          <w:rtl/>
        </w:rPr>
        <w:footnoteReference w:id="143"/>
      </w:r>
      <w:r w:rsidRPr="00331576">
        <w:rPr>
          <w:rFonts w:hint="cs"/>
          <w:vertAlign w:val="superscript"/>
          <w:rtl/>
        </w:rPr>
        <w:t>،</w:t>
      </w:r>
      <w:r w:rsidRPr="00331576">
        <w:rPr>
          <w:rStyle w:val="FootnoteReference"/>
          <w:rFonts w:hint="cs"/>
          <w:rtl/>
        </w:rPr>
        <w:t xml:space="preserve"> </w:t>
      </w:r>
      <w:r w:rsidRPr="00331576">
        <w:rPr>
          <w:rStyle w:val="FootnoteReference"/>
          <w:rtl/>
        </w:rPr>
        <w:footnoteReference w:id="144"/>
      </w:r>
      <w:r w:rsidRPr="00331576">
        <w:rPr>
          <w:rFonts w:hint="cs"/>
          <w:rtl/>
        </w:rPr>
        <w:t xml:space="preserve"> مجموعة من المبادئ التي يمكن تقييم الأبعاد الثلاثة على أساسها.</w:t>
      </w:r>
    </w:p>
    <w:p w:rsidR="00B42CBF" w:rsidRPr="00331576" w:rsidRDefault="00B42CBF" w:rsidP="00E42808">
      <w:pPr>
        <w:keepNext/>
        <w:spacing w:after="100" w:line="204" w:lineRule="auto"/>
        <w:jc w:val="center"/>
        <w:rPr>
          <w:b/>
          <w:bCs/>
          <w:rtl/>
        </w:rPr>
      </w:pPr>
      <w:r w:rsidRPr="00331576">
        <w:rPr>
          <w:rFonts w:hint="cs"/>
          <w:b/>
          <w:bCs/>
          <w:rtl/>
        </w:rPr>
        <w:lastRenderedPageBreak/>
        <w:t>الشكل-</w:t>
      </w:r>
      <w:r w:rsidRPr="00331576">
        <w:rPr>
          <w:b/>
          <w:bCs/>
          <w:rtl/>
        </w:rPr>
        <w:tab/>
      </w:r>
      <w:r w:rsidRPr="00331576">
        <w:rPr>
          <w:rFonts w:hint="cs"/>
          <w:b/>
          <w:bCs/>
          <w:rtl/>
        </w:rPr>
        <w:t>الأبعاد الثلاثة للإنصاف الم</w:t>
      </w:r>
      <w:r>
        <w:rPr>
          <w:rFonts w:hint="cs"/>
          <w:b/>
          <w:bCs/>
          <w:rtl/>
        </w:rPr>
        <w:t>ت</w:t>
      </w:r>
      <w:r w:rsidRPr="00331576">
        <w:rPr>
          <w:rFonts w:hint="cs"/>
          <w:b/>
          <w:bCs/>
          <w:rtl/>
        </w:rPr>
        <w:t>ضمنة في مجموعة من الشروط التمكينية</w:t>
      </w:r>
    </w:p>
    <w:p w:rsidR="00B42CBF" w:rsidRPr="00331576" w:rsidRDefault="007B18D9" w:rsidP="00B42CBF">
      <w:pPr>
        <w:ind w:left="-7"/>
        <w:jc w:val="center"/>
        <w:rPr>
          <w:b/>
          <w:bCs/>
          <w:rtl/>
        </w:rPr>
      </w:pPr>
      <w:r w:rsidRPr="007B18D9">
        <w:rPr>
          <w:b/>
          <w:bCs/>
          <w:noProof/>
          <w:rtl/>
          <w:lang w:val="en-GB" w:eastAsia="en-GB"/>
        </w:rPr>
        <w:pict>
          <v:group id="Group 8" o:spid="_x0000_s1032" style="position:absolute;left:0;text-align:left;margin-left:144.15pt;margin-top:14.45pt;width:176.3pt;height:134.35pt;z-index:251660288;mso-width-relative:margin" coordsize="22390,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">
            <v:shape id="Text Box 24" o:spid="_x0000_s1033" type="#_x0000_t202" style="position:absolute;left:7779;width:6900;height:2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wOMEA&#10;AADaAAAADwAAAGRycy9kb3ducmV2LnhtbESPwWrDMBBE74H8g9hCL6GRU4MprpVQAiE+BeqUnrfS&#10;1ja1VkZSYvfvq0Ahx2Fm3jDVbraDuJIPvWMFm3UGglg703Or4ON8eHoBESKywcExKfilALvtclFh&#10;adzE73RtYisShEOJCroYx1LKoDuyGNZuJE7et/MWY5K+lcbjlOB2kM9ZVkiLPaeFDkfad6R/motV&#10;UHw5ewr1qL3fHD9z41ZBTxelHh/mt1cQkeZ4D/+3a6Mgh9uVd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sDjBAAAA2gAAAA8AAAAAAAAAAAAAAAAAmAIAAGRycy9kb3du&#10;cmV2LnhtbFBLBQYAAAAABAAEAPUAAACGAwAAAAA=&#10;" stroked="f">
              <v:textbox inset="0,0,1mm,0">
                <w:txbxContent>
                  <w:p w:rsidR="000C66C6" w:rsidRPr="00450ACB" w:rsidRDefault="000C66C6" w:rsidP="00B42CBF">
                    <w:pPr>
                      <w:jc w:val="center"/>
                      <w:rPr>
                        <w:sz w:val="16"/>
                        <w:szCs w:val="20"/>
                      </w:rPr>
                    </w:pPr>
                    <w:r>
                      <w:rPr>
                        <w:rFonts w:hint="cs"/>
                        <w:sz w:val="16"/>
                        <w:szCs w:val="20"/>
                        <w:rtl/>
                      </w:rPr>
                      <w:t>الاعتراف</w:t>
                    </w:r>
                  </w:p>
                </w:txbxContent>
              </v:textbox>
            </v:shape>
            <v:shape id="Text Box 25" o:spid="_x0000_s1034" type="#_x0000_t202" style="position:absolute;top:13511;width:6900;height:2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ToL8A&#10;AADaAAAADwAAAGRycy9kb3ducmV2LnhtbESPT4vCMBTE7wt+h/AEL4umKoh0jbIIoifBP3h+Jm/b&#10;ss1LSaKt394Igsdh5jfDLFadrcWdfKgcKxiPMhDE2pmKCwXn02Y4BxEissHaMSl4UIDVsve1wNy4&#10;lg90P8ZCpBIOOSooY2xyKYMuyWIYuYY4eX/OW4xJ+kIaj20qt7WcZNlMWqw4LZTY0Lok/X+8WQWz&#10;q7P7sGu09+PtZWrcd9DtTalBv/v9ARGpi5/wm96ZxMHrSr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ROgvwAAANoAAAAPAAAAAAAAAAAAAAAAAJgCAABkcnMvZG93bnJl&#10;di54bWxQSwUGAAAAAAQABAD1AAAAhAMAAAAA&#10;" stroked="f">
              <v:textbox inset="0,0,1mm,0">
                <w:txbxContent>
                  <w:p w:rsidR="000C66C6" w:rsidRPr="00450ACB" w:rsidRDefault="000C66C6" w:rsidP="00B42CBF">
                    <w:pPr>
                      <w:jc w:val="center"/>
                      <w:rPr>
                        <w:sz w:val="16"/>
                        <w:szCs w:val="20"/>
                      </w:rPr>
                    </w:pPr>
                    <w:r>
                      <w:rPr>
                        <w:rFonts w:hint="cs"/>
                        <w:sz w:val="16"/>
                        <w:szCs w:val="20"/>
                        <w:rtl/>
                      </w:rPr>
                      <w:t>الإجراء</w:t>
                    </w:r>
                  </w:p>
                </w:txbxContent>
              </v:textbox>
            </v:shape>
            <v:shape id="Text Box 26" o:spid="_x0000_s1035" type="#_x0000_t202" style="position:absolute;left:15490;top:13511;width:6900;height:2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2O8AA&#10;AADaAAAADwAAAGRycy9kb3ducmV2LnhtbESPQYvCMBSE74L/ITzBi2iqCyrVKCIs62lh3cXzM3m2&#10;xealJNHWf28EYY/DzHzDrLedrcWdfKgcK5hOMhDE2pmKCwV/v5/jJYgQkQ3WjknBgwJsN/3eGnPj&#10;Wv6h+zEWIkE45KigjLHJpQy6JIth4hri5F2ctxiT9IU0HtsEt7WcZdlcWqw4LZTY0L4kfT3erIL5&#10;2dnvcGi099Ov04dxo6Dbm1LDQbdbgYjUxf/wu30wChbwupJu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G2O8AAAADaAAAADwAAAAAAAAAAAAAAAACYAgAAZHJzL2Rvd25y&#10;ZXYueG1sUEsFBgAAAAAEAAQA9QAAAIUDAAAAAA==&#10;" stroked="f">
              <v:textbox inset="0,0,1mm,0">
                <w:txbxContent>
                  <w:p w:rsidR="000C66C6" w:rsidRPr="00450ACB" w:rsidRDefault="000C66C6" w:rsidP="00B42CBF">
                    <w:pPr>
                      <w:jc w:val="center"/>
                      <w:rPr>
                        <w:sz w:val="16"/>
                        <w:szCs w:val="20"/>
                      </w:rPr>
                    </w:pPr>
                    <w:r>
                      <w:rPr>
                        <w:rFonts w:hint="cs"/>
                        <w:sz w:val="16"/>
                        <w:szCs w:val="20"/>
                        <w:rtl/>
                      </w:rPr>
                      <w:t>التوزيع</w:t>
                    </w:r>
                  </w:p>
                </w:txbxContent>
              </v:textbox>
            </v:shape>
            <v:shape id="Text Box 3" o:spid="_x0000_s1036" type="#_x0000_t202" style="position:absolute;left:5459;top:15012;width:10577;height:2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DnsIA&#10;AADbAAAADwAAAGRycy9kb3ducmV2LnhtbESPQWsCMRCF7wX/QxjBS9GsFkRWo4hQ6qlQW3oek3F3&#10;cTNZkuiu/945FHqb4b1575vNbvCtulNMTWAD81kBitgG13Bl4Of7fboClTKywzYwGXhQgt129LLB&#10;0oWev+h+ypWSEE4lGqhz7kqtk63JY5qFjli0S4ges6yx0i5iL+G+1YuiWGqPDUtDjR0darLX080b&#10;WJ6D/0zHzsY4//h9c+E12f5mzGQ87NegMg353/x3fXSCL/Tyiwy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oOewgAAANsAAAAPAAAAAAAAAAAAAAAAAJgCAABkcnMvZG93&#10;bnJldi54bWxQSwUGAAAAAAQABAD1AAAAhwMAAAAA&#10;" stroked="f">
              <v:textbox inset="0,0,1mm,0">
                <w:txbxContent>
                  <w:p w:rsidR="000C66C6" w:rsidRPr="00450ACB" w:rsidRDefault="000C66C6" w:rsidP="00B42CBF">
                    <w:pPr>
                      <w:jc w:val="center"/>
                      <w:rPr>
                        <w:sz w:val="16"/>
                        <w:szCs w:val="20"/>
                      </w:rPr>
                    </w:pPr>
                    <w:r>
                      <w:rPr>
                        <w:rFonts w:hint="cs"/>
                        <w:sz w:val="16"/>
                        <w:szCs w:val="20"/>
                        <w:rtl/>
                      </w:rPr>
                      <w:t>الظروف المواتية</w:t>
                    </w:r>
                  </w:p>
                </w:txbxContent>
              </v:textbox>
            </v:shape>
          </v:group>
        </w:pict>
      </w:r>
      <w:r w:rsidR="00B42CBF" w:rsidRPr="00331576">
        <w:rPr>
          <w:b/>
          <w:bCs/>
          <w:noProof/>
          <w:lang w:eastAsia="zh-CN" w:bidi="ar-SA"/>
        </w:rPr>
        <w:drawing>
          <wp:inline distT="0" distB="0" distL="0" distR="0">
            <wp:extent cx="2573020" cy="204851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2048510"/>
                    </a:xfrm>
                    <a:prstGeom prst="rect">
                      <a:avLst/>
                    </a:prstGeom>
                    <a:noFill/>
                  </pic:spPr>
                </pic:pic>
              </a:graphicData>
            </a:graphic>
          </wp:inline>
        </w:drawing>
      </w:r>
    </w:p>
    <w:p w:rsidR="00B42CBF" w:rsidRDefault="00B42CBF" w:rsidP="00B42CBF">
      <w:pPr>
        <w:spacing w:line="204" w:lineRule="auto"/>
        <w:rPr>
          <w:rFonts w:cs="Times New Roman"/>
          <w:rtl/>
          <w:lang w:val="en-GB"/>
        </w:rPr>
      </w:pPr>
      <w:r w:rsidRPr="00A97A23">
        <w:rPr>
          <w:rFonts w:hint="cs"/>
          <w:i/>
          <w:iCs/>
          <w:szCs w:val="22"/>
          <w:rtl/>
        </w:rPr>
        <w:t>المصدر:</w:t>
      </w:r>
      <w:r w:rsidRPr="00A97A23">
        <w:rPr>
          <w:rFonts w:hint="cs"/>
          <w:szCs w:val="22"/>
          <w:rtl/>
        </w:rPr>
        <w:t xml:space="preserve"> مقتبس من</w:t>
      </w:r>
      <w:r w:rsidRPr="00331576">
        <w:rPr>
          <w:rFonts w:hint="cs"/>
          <w:rtl/>
        </w:rPr>
        <w:t xml:space="preserve"> </w:t>
      </w:r>
      <w:r w:rsidRPr="000A5DEA">
        <w:rPr>
          <w:rFonts w:cs="Times New Roman"/>
          <w:bCs/>
          <w:kern w:val="22"/>
          <w:sz w:val="20"/>
          <w:szCs w:val="20"/>
          <w:lang w:val="en-GB"/>
        </w:rPr>
        <w:t>McDermott et al. (2013).</w:t>
      </w:r>
      <w:r w:rsidRPr="000A5DEA">
        <w:rPr>
          <w:rFonts w:cs="Times New Roman"/>
          <w:i/>
          <w:snapToGrid w:val="0"/>
          <w:kern w:val="18"/>
          <w:sz w:val="20"/>
          <w:szCs w:val="20"/>
          <w:lang w:val="en-GB"/>
        </w:rPr>
        <w:t xml:space="preserve"> </w:t>
      </w:r>
      <w:r w:rsidRPr="000A5DEA">
        <w:rPr>
          <w:rFonts w:cs="Times New Roman"/>
          <w:bCs/>
          <w:iCs/>
          <w:kern w:val="22"/>
          <w:sz w:val="20"/>
          <w:szCs w:val="20"/>
          <w:lang w:val="en-GB"/>
        </w:rPr>
        <w:t>Examining equity: A multidimensional framework for assessing equity in payments for ecosystem service</w:t>
      </w:r>
      <w:r w:rsidRPr="000A5DEA">
        <w:rPr>
          <w:rFonts w:cs="Times New Roman"/>
          <w:bCs/>
          <w:i/>
          <w:kern w:val="22"/>
          <w:sz w:val="20"/>
          <w:szCs w:val="20"/>
          <w:lang w:val="en-GB"/>
        </w:rPr>
        <w:t xml:space="preserve">. </w:t>
      </w:r>
      <w:r w:rsidRPr="000A5DEA">
        <w:rPr>
          <w:rFonts w:cs="Times New Roman"/>
          <w:bCs/>
          <w:i/>
          <w:iCs/>
          <w:kern w:val="22"/>
          <w:sz w:val="20"/>
          <w:szCs w:val="20"/>
          <w:lang w:val="en-GB"/>
        </w:rPr>
        <w:t>Environmental Science and Policy</w:t>
      </w:r>
      <w:r w:rsidRPr="000A5DEA">
        <w:rPr>
          <w:rFonts w:cs="Times New Roman"/>
          <w:bCs/>
          <w:kern w:val="22"/>
          <w:sz w:val="20"/>
          <w:szCs w:val="20"/>
          <w:lang w:val="en-GB"/>
        </w:rPr>
        <w:t xml:space="preserve"> 33: 416-427</w:t>
      </w:r>
      <w:r w:rsidRPr="000A5DEA">
        <w:rPr>
          <w:rFonts w:cs="Times New Roman"/>
          <w:sz w:val="20"/>
          <w:szCs w:val="20"/>
          <w:rtl/>
          <w:lang w:val="en-GB"/>
        </w:rPr>
        <w:t xml:space="preserve"> و</w:t>
      </w:r>
      <w:r w:rsidRPr="000A5DEA">
        <w:rPr>
          <w:rFonts w:cs="Times New Roman"/>
          <w:bCs/>
          <w:kern w:val="22"/>
          <w:sz w:val="20"/>
          <w:szCs w:val="20"/>
          <w:lang w:val="en-GB"/>
        </w:rPr>
        <w:t>Pascual et al. (2014).</w:t>
      </w:r>
      <w:r w:rsidRPr="000A5DEA">
        <w:rPr>
          <w:rFonts w:cs="Times New Roman"/>
          <w:sz w:val="20"/>
          <w:szCs w:val="20"/>
        </w:rPr>
        <w:t xml:space="preserve"> </w:t>
      </w:r>
      <w:r w:rsidRPr="000A5DEA">
        <w:rPr>
          <w:rFonts w:cs="Times New Roman"/>
          <w:bCs/>
          <w:kern w:val="22"/>
          <w:sz w:val="20"/>
          <w:szCs w:val="20"/>
          <w:lang w:val="en-GB"/>
        </w:rPr>
        <w:t xml:space="preserve">Social equity matters in payments for ecosystem services. </w:t>
      </w:r>
      <w:r w:rsidRPr="000A5DEA">
        <w:rPr>
          <w:rFonts w:cs="Times New Roman"/>
          <w:bCs/>
          <w:i/>
          <w:iCs/>
          <w:kern w:val="22"/>
          <w:sz w:val="20"/>
          <w:szCs w:val="20"/>
          <w:lang w:val="en-GB"/>
        </w:rPr>
        <w:t>Bioscience</w:t>
      </w:r>
      <w:r w:rsidRPr="000A5DEA">
        <w:rPr>
          <w:rFonts w:cs="Times New Roman"/>
          <w:bCs/>
          <w:kern w:val="22"/>
          <w:sz w:val="20"/>
          <w:szCs w:val="20"/>
          <w:lang w:val="en-GB"/>
        </w:rPr>
        <w:t xml:space="preserve"> 64(11) 1027-1036</w:t>
      </w:r>
      <w:r w:rsidRPr="000360DD">
        <w:rPr>
          <w:rFonts w:cs="Times New Roman"/>
          <w:szCs w:val="20"/>
          <w:rtl/>
          <w:lang w:val="en-GB"/>
        </w:rPr>
        <w:t>.</w:t>
      </w:r>
    </w:p>
    <w:p w:rsidR="00B42CBF" w:rsidRPr="000360DD" w:rsidRDefault="00B42CBF" w:rsidP="00B42CBF">
      <w:pPr>
        <w:spacing w:after="100" w:line="204" w:lineRule="auto"/>
        <w:rPr>
          <w:rFonts w:cs="Times New Roman"/>
          <w:rtl/>
          <w:lang w:val="en-GB"/>
        </w:rPr>
      </w:pPr>
    </w:p>
    <w:p w:rsidR="00B42CBF" w:rsidRPr="00331576" w:rsidRDefault="00B42CBF" w:rsidP="00FF7FA5">
      <w:pPr>
        <w:numPr>
          <w:ilvl w:val="0"/>
          <w:numId w:val="28"/>
        </w:numPr>
        <w:spacing w:after="100" w:line="204" w:lineRule="auto"/>
        <w:ind w:left="0" w:firstLine="0"/>
        <w:rPr>
          <w:lang w:val="en-GB"/>
        </w:rPr>
      </w:pPr>
      <w:r>
        <w:rPr>
          <w:rFonts w:hint="cs"/>
          <w:rtl/>
          <w:lang w:val="en-GB"/>
        </w:rPr>
        <w:t>و</w:t>
      </w:r>
      <w:r w:rsidRPr="00331576">
        <w:rPr>
          <w:rFonts w:hint="cs"/>
          <w:rtl/>
          <w:lang w:val="en-GB"/>
        </w:rPr>
        <w:t>الحوكمة الرشيدة تعني أنه يتم تقييم ورصد الآثار السلبية المحتملة، لا سيما على رفاه الإنسان لدى الأشخاص الضعفاء والذين يعتمدون على الموارد الطبيعية، وتجنبها والتخفيف منها، وتعزيز الآثار الإيجابية. ويلزم تكييف نوع الحوكمة وترتيبات اتخاذ القرار والتنفيذ مع السياق المحدد بطريقة تضمن المشاركة الفعالة لأصحاب الحقوق وأصحاب المصلحة المتأثرين بالمنطقة المحمية.</w:t>
      </w:r>
    </w:p>
    <w:p w:rsidR="00B42CBF" w:rsidRPr="00331576" w:rsidRDefault="00B42CBF" w:rsidP="00FF7FA5">
      <w:pPr>
        <w:numPr>
          <w:ilvl w:val="0"/>
          <w:numId w:val="28"/>
        </w:numPr>
        <w:spacing w:after="100" w:line="204" w:lineRule="auto"/>
        <w:ind w:left="-7" w:firstLine="0"/>
        <w:rPr>
          <w:lang w:val="en-GB"/>
        </w:rPr>
      </w:pPr>
      <w:r w:rsidRPr="00331576">
        <w:rPr>
          <w:rFonts w:hint="cs"/>
          <w:rtl/>
          <w:lang w:val="en-GB"/>
        </w:rPr>
        <w:t>ويمكن أن تشمل عناصر نماذج الحوكمة الفعالة والمنصفة للمناطق المحمية والمحفوظة ما يلي:</w:t>
      </w:r>
    </w:p>
    <w:p w:rsidR="00B42CBF" w:rsidRPr="00331576" w:rsidRDefault="00B42CBF" w:rsidP="00FF7FA5">
      <w:pPr>
        <w:numPr>
          <w:ilvl w:val="0"/>
          <w:numId w:val="30"/>
        </w:numPr>
        <w:spacing w:after="100" w:line="204" w:lineRule="auto"/>
        <w:ind w:left="0" w:firstLine="720"/>
        <w:rPr>
          <w:lang w:val="en-GB"/>
        </w:rPr>
      </w:pPr>
      <w:r w:rsidRPr="00331576">
        <w:rPr>
          <w:rFonts w:hint="cs"/>
          <w:rtl/>
          <w:lang w:val="en-GB"/>
        </w:rPr>
        <w:t>إجراءات وآليات مناسبة لمشاركة الشعوب الأصلية والمجتمعات المحلية،</w:t>
      </w:r>
      <w:r w:rsidRPr="00331576">
        <w:rPr>
          <w:rStyle w:val="FootnoteReference"/>
          <w:rtl/>
          <w:lang w:val="en-GB"/>
        </w:rPr>
        <w:footnoteReference w:id="145"/>
      </w:r>
      <w:r w:rsidRPr="00331576">
        <w:rPr>
          <w:rFonts w:hint="cs"/>
          <w:rtl/>
          <w:lang w:val="en-GB"/>
        </w:rPr>
        <w:t xml:space="preserve"> بشكل كامل وفعال مع ضمان </w:t>
      </w:r>
      <w:r>
        <w:rPr>
          <w:rFonts w:hint="cs"/>
          <w:rtl/>
          <w:lang w:val="en-GB"/>
        </w:rPr>
        <w:t>المساواة</w:t>
      </w:r>
      <w:r w:rsidRPr="00331576">
        <w:rPr>
          <w:rFonts w:hint="cs"/>
          <w:rtl/>
          <w:lang w:val="en-GB"/>
        </w:rPr>
        <w:t xml:space="preserve"> بين الجنسين واحترام كامل لحقوقها والاعتراف بمسؤوليتها</w:t>
      </w:r>
      <w:r>
        <w:rPr>
          <w:rFonts w:hint="cs"/>
          <w:rtl/>
          <w:lang w:val="en-GB"/>
        </w:rPr>
        <w:t xml:space="preserve"> وفقا للتشريعات الوطنية وفي تجانس مع أنظمتها التنظيمية</w:t>
      </w:r>
      <w:r w:rsidRPr="00331576">
        <w:rPr>
          <w:rFonts w:hint="cs"/>
          <w:rtl/>
          <w:lang w:val="en-GB"/>
        </w:rPr>
        <w:t>، وضمان التمثيل الشرعي، بما في ذلك عند الإنشاء والحوكمة والتخطيط والرصد والإبلاغ عن المناطق المحمية والمحفوظة على أراضيها التقليدية (الأراضي والمياه)؛</w:t>
      </w:r>
      <w:r w:rsidRPr="00331576">
        <w:rPr>
          <w:rStyle w:val="FootnoteReference"/>
          <w:rtl/>
          <w:lang w:val="en-GB"/>
        </w:rPr>
        <w:footnoteReference w:id="146"/>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إجراءات وآليات مناسبة للمشاركة الفعالة و/أو التنسيق مع أصحاب المصلحة الآخرين؛</w:t>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إجراءات وآليات مناسبة للاعتراف بالحيازة العرفية ونظم الحوكمة واستيعابها في المناطق المحمية،</w:t>
      </w:r>
      <w:r w:rsidRPr="00331576">
        <w:rPr>
          <w:rStyle w:val="FootnoteReference"/>
          <w:rtl/>
          <w:lang w:val="en-GB"/>
        </w:rPr>
        <w:footnoteReference w:id="147"/>
      </w:r>
      <w:r w:rsidRPr="00331576">
        <w:rPr>
          <w:rFonts w:hint="cs"/>
          <w:rtl/>
          <w:lang w:val="en-GB"/>
        </w:rPr>
        <w:t xml:space="preserve"> بما في ذلك الممارسات العرفية والاستخدام المألوف المستدام، تمشيا مع خطة العمل بشأن الاستخدام المألوف المستدام؛</w:t>
      </w:r>
      <w:r w:rsidRPr="00331576">
        <w:rPr>
          <w:rStyle w:val="FootnoteReference"/>
          <w:rtl/>
          <w:lang w:val="en-GB"/>
        </w:rPr>
        <w:footnoteReference w:id="148"/>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آليات مناسبة للشفافية والمساءلة، تأخذ في الاعتبار المعايير وأفضل الممارسات المتفق عليها دوليا؛</w:t>
      </w:r>
      <w:r w:rsidRPr="00331576">
        <w:rPr>
          <w:rStyle w:val="FootnoteReference"/>
          <w:rtl/>
          <w:lang w:val="en-GB"/>
        </w:rPr>
        <w:footnoteReference w:id="149"/>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إجراءات وآليات مناسبة لتسوية الخلافات أو النزاعات بشكل عادل؛</w:t>
      </w:r>
    </w:p>
    <w:p w:rsidR="00B42CBF" w:rsidRDefault="00B42CBF" w:rsidP="00FF7FA5">
      <w:pPr>
        <w:numPr>
          <w:ilvl w:val="0"/>
          <w:numId w:val="30"/>
        </w:numPr>
        <w:spacing w:after="100" w:line="204" w:lineRule="auto"/>
        <w:ind w:left="-7" w:firstLine="567"/>
        <w:rPr>
          <w:lang w:val="en-GB"/>
        </w:rPr>
      </w:pPr>
      <w:r w:rsidRPr="00331576">
        <w:rPr>
          <w:rFonts w:hint="cs"/>
          <w:rtl/>
          <w:lang w:val="en-GB"/>
        </w:rPr>
        <w:t>أحكام لتقاسم التكاليف والم</w:t>
      </w:r>
      <w:r>
        <w:rPr>
          <w:rFonts w:hint="cs"/>
          <w:rtl/>
          <w:lang w:val="en-GB"/>
        </w:rPr>
        <w:t>نافع</w:t>
      </w:r>
      <w:r w:rsidRPr="00331576">
        <w:rPr>
          <w:rFonts w:hint="cs"/>
          <w:rtl/>
          <w:lang w:val="en-GB"/>
        </w:rPr>
        <w:t xml:space="preserve"> بشكل </w:t>
      </w:r>
      <w:r>
        <w:rPr>
          <w:rFonts w:hint="cs"/>
          <w:rtl/>
          <w:lang w:val="en-GB"/>
        </w:rPr>
        <w:t>منصف</w:t>
      </w:r>
      <w:r w:rsidRPr="00331576">
        <w:rPr>
          <w:rFonts w:hint="cs"/>
          <w:rtl/>
          <w:lang w:val="en-GB"/>
        </w:rPr>
        <w:t xml:space="preserve">، بما في ذلك من خلال: </w:t>
      </w:r>
    </w:p>
    <w:p w:rsidR="00B42CBF" w:rsidRDefault="00B42CBF" w:rsidP="00B42CBF">
      <w:pPr>
        <w:spacing w:after="100" w:line="204" w:lineRule="auto"/>
        <w:ind w:left="560"/>
        <w:rPr>
          <w:rtl/>
          <w:lang w:val="en-GB"/>
        </w:rPr>
      </w:pPr>
      <w:r>
        <w:rPr>
          <w:rFonts w:hint="cs"/>
          <w:rtl/>
          <w:lang w:val="en-GB"/>
        </w:rPr>
        <w:lastRenderedPageBreak/>
        <w:t>(1)</w:t>
      </w:r>
      <w:r>
        <w:rPr>
          <w:rtl/>
          <w:lang w:val="en-GB"/>
        </w:rPr>
        <w:tab/>
      </w:r>
      <w:r w:rsidRPr="00331576">
        <w:rPr>
          <w:rFonts w:hint="cs"/>
          <w:rtl/>
          <w:lang w:val="en-GB"/>
        </w:rPr>
        <w:t>تقييم التكاليف والم</w:t>
      </w:r>
      <w:r>
        <w:rPr>
          <w:rFonts w:hint="cs"/>
          <w:rtl/>
          <w:lang w:val="en-GB"/>
        </w:rPr>
        <w:t>نافع</w:t>
      </w:r>
      <w:r w:rsidRPr="00331576">
        <w:rPr>
          <w:rFonts w:hint="cs"/>
          <w:rtl/>
          <w:lang w:val="en-GB"/>
        </w:rPr>
        <w:t xml:space="preserve"> الاقتصادية والاجتماعية والثقافية المقترنة بإنشاء وإدارة المناطق المحمية؛ </w:t>
      </w:r>
    </w:p>
    <w:p w:rsidR="00B42CBF" w:rsidRDefault="00B42CBF" w:rsidP="00B42CBF">
      <w:pPr>
        <w:spacing w:after="100" w:line="204" w:lineRule="auto"/>
        <w:ind w:left="560"/>
        <w:rPr>
          <w:rtl/>
          <w:lang w:val="en-GB"/>
        </w:rPr>
      </w:pPr>
      <w:r>
        <w:rPr>
          <w:rFonts w:hint="cs"/>
          <w:rtl/>
          <w:lang w:val="en-GB"/>
        </w:rPr>
        <w:t>(2)</w:t>
      </w:r>
      <w:r>
        <w:rPr>
          <w:rtl/>
          <w:lang w:val="en-GB"/>
        </w:rPr>
        <w:tab/>
      </w:r>
      <w:r>
        <w:rPr>
          <w:rFonts w:hint="cs"/>
          <w:rtl/>
          <w:lang w:val="en-GB"/>
        </w:rPr>
        <w:t>تقليل</w:t>
      </w:r>
      <w:r w:rsidRPr="00331576">
        <w:rPr>
          <w:rFonts w:hint="cs"/>
          <w:rtl/>
          <w:lang w:val="en-GB"/>
        </w:rPr>
        <w:t xml:space="preserve"> أو تجنب أو تعويض التكاليف؛ </w:t>
      </w:r>
    </w:p>
    <w:p w:rsidR="00B42CBF" w:rsidRPr="00331576" w:rsidRDefault="00B42CBF" w:rsidP="00B42CBF">
      <w:pPr>
        <w:spacing w:after="100" w:line="204" w:lineRule="auto"/>
        <w:ind w:left="1440" w:hanging="880"/>
        <w:rPr>
          <w:lang w:val="en-GB"/>
        </w:rPr>
      </w:pPr>
      <w:r>
        <w:rPr>
          <w:rFonts w:hint="cs"/>
          <w:rtl/>
          <w:lang w:val="en-GB"/>
        </w:rPr>
        <w:t>(3)</w:t>
      </w:r>
      <w:r>
        <w:rPr>
          <w:rtl/>
          <w:lang w:val="en-GB"/>
        </w:rPr>
        <w:tab/>
      </w:r>
      <w:r w:rsidRPr="00331576">
        <w:rPr>
          <w:rFonts w:hint="cs"/>
          <w:rtl/>
          <w:lang w:val="en-GB"/>
        </w:rPr>
        <w:t>تقاسم الم</w:t>
      </w:r>
      <w:r>
        <w:rPr>
          <w:rFonts w:hint="cs"/>
          <w:rtl/>
          <w:lang w:val="en-GB"/>
        </w:rPr>
        <w:t>نافع</w:t>
      </w:r>
      <w:r w:rsidRPr="00331576">
        <w:rPr>
          <w:rFonts w:hint="cs"/>
          <w:rtl/>
          <w:lang w:val="en-GB"/>
        </w:rPr>
        <w:t xml:space="preserve"> بشكل </w:t>
      </w:r>
      <w:r>
        <w:rPr>
          <w:rFonts w:hint="cs"/>
          <w:rtl/>
          <w:lang w:val="en-GB"/>
        </w:rPr>
        <w:t>منصف</w:t>
      </w:r>
      <w:r w:rsidRPr="00331576">
        <w:rPr>
          <w:rStyle w:val="FootnoteReference"/>
          <w:rtl/>
          <w:lang w:val="en-GB"/>
        </w:rPr>
        <w:footnoteReference w:id="150"/>
      </w:r>
      <w:r w:rsidRPr="00331576">
        <w:rPr>
          <w:rFonts w:hint="cs"/>
          <w:rtl/>
          <w:lang w:val="en-GB"/>
        </w:rPr>
        <w:t xml:space="preserve"> استنادا إلى المعايير المتفق عليها بين أصحاب الحقوق وأصحاب المصلحة؛</w:t>
      </w:r>
      <w:r w:rsidRPr="00331576">
        <w:rPr>
          <w:rStyle w:val="FootnoteReference"/>
          <w:rtl/>
          <w:lang w:val="en-GB"/>
        </w:rPr>
        <w:footnoteReference w:id="151"/>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 xml:space="preserve">ضمانات تكفل </w:t>
      </w:r>
      <w:r>
        <w:rPr>
          <w:rFonts w:hint="cs"/>
          <w:rtl/>
          <w:lang w:val="en-GB"/>
        </w:rPr>
        <w:t>سيادة القانون وتنفيذه بنزاهة وفعالية؛</w:t>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نظام رصد يغطي مسائل الحوكمة، بما في ذلك الآثار المترتبة على رفاه الشعوب الأصلية والمجتمعات المحلية؛</w:t>
      </w:r>
    </w:p>
    <w:p w:rsidR="00B42CBF" w:rsidRPr="00331576" w:rsidRDefault="00B42CBF" w:rsidP="00FF7FA5">
      <w:pPr>
        <w:numPr>
          <w:ilvl w:val="0"/>
          <w:numId w:val="30"/>
        </w:numPr>
        <w:spacing w:after="100" w:line="204" w:lineRule="auto"/>
        <w:ind w:left="-7" w:firstLine="567"/>
        <w:rPr>
          <w:lang w:val="en-GB"/>
        </w:rPr>
      </w:pPr>
      <w:r w:rsidRPr="00331576">
        <w:rPr>
          <w:rFonts w:hint="cs"/>
          <w:rtl/>
          <w:lang w:val="en-GB"/>
        </w:rPr>
        <w:t>الاتساق مع الم</w:t>
      </w:r>
      <w:r>
        <w:rPr>
          <w:rFonts w:hint="cs"/>
          <w:rtl/>
          <w:lang w:val="en-GB"/>
        </w:rPr>
        <w:t>ادتين</w:t>
      </w:r>
      <w:r w:rsidRPr="00331576">
        <w:rPr>
          <w:rFonts w:hint="cs"/>
          <w:rtl/>
          <w:lang w:val="en-GB"/>
        </w:rPr>
        <w:t xml:space="preserve"> 8(ي) و10(ج)، والأحكام والمبادئ والمبادئ التوجيهية ذات الصلة، بما في ذلك</w:t>
      </w:r>
      <w:r>
        <w:rPr>
          <w:rFonts w:hint="cs"/>
          <w:rtl/>
          <w:lang w:val="en-GB"/>
        </w:rPr>
        <w:t xml:space="preserve"> الموافقة الحرة والمسبقة عن علم، بما يتماشى مع السياسات واللوائح والظروف الوطنية،</w:t>
      </w:r>
      <w:r w:rsidRPr="00331576">
        <w:rPr>
          <w:rFonts w:hint="cs"/>
          <w:rtl/>
          <w:lang w:val="en-GB"/>
        </w:rPr>
        <w:t xml:space="preserve"> من خلال احترام المعارف التقليدية للشعوب الأصلية والمجتمعات المحلية،</w:t>
      </w:r>
      <w:r w:rsidRPr="00331576">
        <w:rPr>
          <w:rStyle w:val="FootnoteReference"/>
          <w:rtl/>
          <w:lang w:val="en-GB"/>
        </w:rPr>
        <w:footnoteReference w:id="152"/>
      </w:r>
      <w:r w:rsidRPr="00331576">
        <w:rPr>
          <w:rFonts w:hint="cs"/>
          <w:rtl/>
          <w:lang w:val="en-GB"/>
        </w:rPr>
        <w:t xml:space="preserve"> والحفاظ عليها وصيانتها، و</w:t>
      </w:r>
      <w:r>
        <w:rPr>
          <w:rFonts w:hint="cs"/>
          <w:rtl/>
          <w:lang w:val="en-GB"/>
        </w:rPr>
        <w:t xml:space="preserve">مع </w:t>
      </w:r>
      <w:r w:rsidRPr="00331576">
        <w:rPr>
          <w:rFonts w:hint="cs"/>
          <w:rtl/>
          <w:lang w:val="en-GB"/>
        </w:rPr>
        <w:t xml:space="preserve">احترام </w:t>
      </w:r>
      <w:r>
        <w:rPr>
          <w:rFonts w:hint="cs"/>
          <w:rtl/>
          <w:lang w:val="en-GB"/>
        </w:rPr>
        <w:t>ا</w:t>
      </w:r>
      <w:r w:rsidRPr="00331576">
        <w:rPr>
          <w:rFonts w:hint="cs"/>
          <w:rtl/>
          <w:lang w:val="en-GB"/>
        </w:rPr>
        <w:t>لاستخدام المألوف المستدام للتنوع البيولوجي</w:t>
      </w:r>
      <w:r>
        <w:rPr>
          <w:rFonts w:hint="cs"/>
          <w:rtl/>
          <w:lang w:val="en-GB"/>
        </w:rPr>
        <w:t xml:space="preserve"> على النحو الواجب</w:t>
      </w:r>
      <w:r w:rsidRPr="00331576">
        <w:rPr>
          <w:rFonts w:hint="cs"/>
          <w:rtl/>
          <w:lang w:val="en-GB"/>
        </w:rPr>
        <w:t>.</w:t>
      </w:r>
    </w:p>
    <w:p w:rsidR="00B42CBF" w:rsidRPr="00331576" w:rsidRDefault="00B42CBF" w:rsidP="00FF7FA5">
      <w:pPr>
        <w:numPr>
          <w:ilvl w:val="0"/>
          <w:numId w:val="28"/>
        </w:numPr>
        <w:spacing w:after="100" w:line="204" w:lineRule="auto"/>
        <w:ind w:left="-7" w:firstLine="0"/>
        <w:rPr>
          <w:lang w:val="en-GB"/>
        </w:rPr>
      </w:pPr>
      <w:r w:rsidRPr="00331576">
        <w:rPr>
          <w:rFonts w:hint="cs"/>
          <w:rtl/>
          <w:lang w:val="en-GB"/>
        </w:rPr>
        <w:t>وتشمل الإجراءات التي يمكن أن تتخذها الأطراف لتمكين ودعم نماذج الحوكمة الفعالة والمنصفة المصممة لتناسب السياق الخاص بها للمناطق المحمية الخاضعة لولايتها ما يلي:</w:t>
      </w:r>
    </w:p>
    <w:p w:rsidR="00B42CBF" w:rsidRPr="00331576" w:rsidRDefault="00B42CBF" w:rsidP="00FF7FA5">
      <w:pPr>
        <w:numPr>
          <w:ilvl w:val="0"/>
          <w:numId w:val="31"/>
        </w:numPr>
        <w:spacing w:after="100" w:line="204" w:lineRule="auto"/>
        <w:ind w:left="-7" w:firstLine="567"/>
        <w:rPr>
          <w:lang w:val="en-GB"/>
        </w:rPr>
      </w:pPr>
      <w:r w:rsidRPr="00331576">
        <w:rPr>
          <w:rFonts w:hint="cs"/>
          <w:rtl/>
          <w:lang w:val="en-GB"/>
        </w:rPr>
        <w:t>إجراء استعراض لسياسات وتشريعات المناطق المحمية مقارنة بمبادئ الحوكمة الرشيدة، بما في ذلك الإنصاف، مع الأخذ في الاعتبار المعايير والتوجيهات ذات الصلة المتفق عليها دوليا،</w:t>
      </w:r>
      <w:r w:rsidRPr="00331576">
        <w:rPr>
          <w:rStyle w:val="FootnoteReference"/>
          <w:rtl/>
          <w:lang w:val="en-GB"/>
        </w:rPr>
        <w:footnoteReference w:id="153"/>
      </w:r>
      <w:r w:rsidRPr="00331576">
        <w:rPr>
          <w:rFonts w:hint="cs"/>
          <w:rtl/>
          <w:lang w:val="en-GB"/>
        </w:rPr>
        <w:t xml:space="preserve"> وذلك بالتشاور مع أصحاب الحقوق وأصحاب المصلحة المعنيين. ويمكن إجراء هذا الاستعراض كجزء من تقييم </w:t>
      </w:r>
      <w:r>
        <w:rPr>
          <w:rFonts w:hint="cs"/>
          <w:rtl/>
          <w:lang w:val="en-GB"/>
        </w:rPr>
        <w:t>ل</w:t>
      </w:r>
      <w:r w:rsidRPr="00331576">
        <w:rPr>
          <w:rFonts w:hint="cs"/>
          <w:rtl/>
          <w:lang w:val="en-GB"/>
        </w:rPr>
        <w:t>لحوكمة</w:t>
      </w:r>
      <w:r>
        <w:rPr>
          <w:rFonts w:hint="cs"/>
          <w:rtl/>
          <w:lang w:val="en-GB"/>
        </w:rPr>
        <w:t xml:space="preserve"> على مستوى النظام المعني</w:t>
      </w:r>
      <w:r w:rsidRPr="00331576">
        <w:rPr>
          <w:rFonts w:hint="cs"/>
          <w:rtl/>
          <w:lang w:val="en-GB"/>
        </w:rPr>
        <w:t>؛</w:t>
      </w:r>
    </w:p>
    <w:p w:rsidR="00B42CBF" w:rsidRPr="00331576" w:rsidRDefault="00B42CBF" w:rsidP="00FF7FA5">
      <w:pPr>
        <w:numPr>
          <w:ilvl w:val="0"/>
          <w:numId w:val="31"/>
        </w:numPr>
        <w:spacing w:after="100" w:line="204" w:lineRule="auto"/>
        <w:ind w:left="-7" w:firstLine="567"/>
        <w:rPr>
          <w:lang w:val="en-GB"/>
        </w:rPr>
      </w:pPr>
      <w:r w:rsidRPr="00331576">
        <w:rPr>
          <w:rFonts w:hint="cs"/>
          <w:rtl/>
          <w:lang w:val="en-GB"/>
        </w:rPr>
        <w:t>تيسير تقييمات الحوكمة على مستوى الموقع وإشراكها في العمليات التشاركية بين أصحاب المصلحة المتعددين واتخاذ إجراءات للتحسين على مستوى الموقع واستخلاص الدروس على مستوى السياسات؛</w:t>
      </w:r>
      <w:r w:rsidRPr="00331576">
        <w:rPr>
          <w:rStyle w:val="FootnoteReference"/>
          <w:rtl/>
          <w:lang w:val="en-GB"/>
        </w:rPr>
        <w:footnoteReference w:id="154"/>
      </w:r>
    </w:p>
    <w:p w:rsidR="00B42CBF" w:rsidRPr="00331576" w:rsidRDefault="00B42CBF" w:rsidP="00FF7FA5">
      <w:pPr>
        <w:numPr>
          <w:ilvl w:val="0"/>
          <w:numId w:val="31"/>
        </w:numPr>
        <w:spacing w:after="100" w:line="204" w:lineRule="auto"/>
        <w:ind w:left="-7" w:firstLine="567"/>
        <w:rPr>
          <w:lang w:val="en-GB"/>
        </w:rPr>
      </w:pPr>
      <w:r w:rsidRPr="00331576">
        <w:rPr>
          <w:rFonts w:hint="cs"/>
          <w:rtl/>
          <w:lang w:val="en-GB"/>
        </w:rPr>
        <w:t xml:space="preserve">تكييف سياسات وتشريعات المناطق المحمية من أجل إنشائها وحوكمتها وتخطيطها وإدارتها والإبلاغ عنها حسب الاقتضاء، استنادا إلى الاستعراض ونتائجه، </w:t>
      </w:r>
      <w:r>
        <w:rPr>
          <w:rFonts w:hint="cs"/>
          <w:rtl/>
          <w:lang w:val="en-GB"/>
        </w:rPr>
        <w:t>ومع الأخذ</w:t>
      </w:r>
      <w:r w:rsidRPr="00331576">
        <w:rPr>
          <w:rFonts w:hint="cs"/>
          <w:rtl/>
          <w:lang w:val="en-GB"/>
        </w:rPr>
        <w:t xml:space="preserve"> في الاعتبار العناصر المشار إليها في الفقرة 11 أعلاه؛</w:t>
      </w:r>
    </w:p>
    <w:p w:rsidR="00B42CBF" w:rsidRPr="00331576" w:rsidRDefault="00B42CBF" w:rsidP="00FF7FA5">
      <w:pPr>
        <w:numPr>
          <w:ilvl w:val="0"/>
          <w:numId w:val="31"/>
        </w:numPr>
        <w:spacing w:after="100" w:line="204" w:lineRule="auto"/>
        <w:ind w:left="-7" w:firstLine="567"/>
        <w:rPr>
          <w:lang w:val="en-GB"/>
        </w:rPr>
      </w:pPr>
      <w:r w:rsidRPr="00331576">
        <w:rPr>
          <w:rFonts w:hint="cs"/>
          <w:rtl/>
          <w:lang w:val="en-GB"/>
        </w:rPr>
        <w:t>تيسير تقييم ورصد التكاليف والم</w:t>
      </w:r>
      <w:r>
        <w:rPr>
          <w:rFonts w:hint="cs"/>
          <w:rtl/>
          <w:lang w:val="en-GB"/>
        </w:rPr>
        <w:t>نافع</w:t>
      </w:r>
      <w:r w:rsidRPr="00331576">
        <w:rPr>
          <w:rFonts w:hint="cs"/>
          <w:rtl/>
          <w:lang w:val="en-GB"/>
        </w:rPr>
        <w:t xml:space="preserve"> الاقتصادية والاجتماعية والثقافية المرتبطة بإنشاء وإدارة المناطق المحمية، وتجنب أو تخفي</w:t>
      </w:r>
      <w:r w:rsidRPr="00331576">
        <w:rPr>
          <w:rtl/>
          <w:lang w:val="en-GB"/>
        </w:rPr>
        <w:t>ف</w:t>
      </w:r>
      <w:r w:rsidRPr="00331576">
        <w:rPr>
          <w:rFonts w:hint="cs"/>
          <w:rtl/>
          <w:lang w:val="en-GB"/>
        </w:rPr>
        <w:t xml:space="preserve"> أو تعويض التكاليف مع تعزيز الم</w:t>
      </w:r>
      <w:r>
        <w:rPr>
          <w:rFonts w:hint="cs"/>
          <w:rtl/>
          <w:lang w:val="en-GB"/>
        </w:rPr>
        <w:t>نافع</w:t>
      </w:r>
      <w:r w:rsidRPr="00331576">
        <w:rPr>
          <w:rFonts w:hint="cs"/>
          <w:rtl/>
          <w:lang w:val="en-GB"/>
        </w:rPr>
        <w:t xml:space="preserve"> وتوزيعها بصورة منصفة؛</w:t>
      </w:r>
      <w:r w:rsidRPr="00331576">
        <w:rPr>
          <w:rStyle w:val="FootnoteReference"/>
          <w:rtl/>
          <w:lang w:val="en-GB"/>
        </w:rPr>
        <w:footnoteReference w:id="155"/>
      </w:r>
    </w:p>
    <w:p w:rsidR="00B42CBF" w:rsidRPr="00331576" w:rsidRDefault="00B42CBF" w:rsidP="00FF7FA5">
      <w:pPr>
        <w:numPr>
          <w:ilvl w:val="0"/>
          <w:numId w:val="31"/>
        </w:numPr>
        <w:spacing w:after="100" w:line="204" w:lineRule="auto"/>
        <w:ind w:left="-7" w:firstLine="567"/>
        <w:rPr>
          <w:lang w:val="en-GB"/>
        </w:rPr>
      </w:pPr>
      <w:r w:rsidRPr="00331576">
        <w:rPr>
          <w:rFonts w:hint="cs"/>
          <w:rtl/>
          <w:lang w:val="en-GB"/>
        </w:rPr>
        <w:t>وضع أو تعزيز السياسات الوطنية للحصول على الموارد الجينية داخل المناطق المحمية و</w:t>
      </w:r>
      <w:r>
        <w:rPr>
          <w:rFonts w:hint="cs"/>
          <w:rtl/>
          <w:lang w:val="en-GB"/>
        </w:rPr>
        <w:t>ال</w:t>
      </w:r>
      <w:r w:rsidRPr="00331576">
        <w:rPr>
          <w:rFonts w:hint="cs"/>
          <w:rtl/>
          <w:lang w:val="en-GB"/>
        </w:rPr>
        <w:t>تقاسم ا</w:t>
      </w:r>
      <w:r>
        <w:rPr>
          <w:rFonts w:hint="cs"/>
          <w:rtl/>
          <w:lang w:val="en-GB"/>
        </w:rPr>
        <w:t>العادل والمنصف ل</w:t>
      </w:r>
      <w:r w:rsidRPr="00331576">
        <w:rPr>
          <w:rFonts w:hint="cs"/>
          <w:rtl/>
          <w:lang w:val="en-GB"/>
        </w:rPr>
        <w:t>لم</w:t>
      </w:r>
      <w:r>
        <w:rPr>
          <w:rFonts w:hint="cs"/>
          <w:rtl/>
          <w:lang w:val="en-GB"/>
        </w:rPr>
        <w:t>نافع الناجمة عن استخدامها</w:t>
      </w:r>
      <w:r w:rsidRPr="00331576">
        <w:rPr>
          <w:rFonts w:hint="cs"/>
          <w:rtl/>
          <w:lang w:val="en-GB"/>
        </w:rPr>
        <w:t>؛</w:t>
      </w:r>
      <w:r w:rsidRPr="00331576">
        <w:rPr>
          <w:rStyle w:val="FootnoteReference"/>
          <w:rtl/>
          <w:lang w:val="en-GB"/>
        </w:rPr>
        <w:footnoteReference w:id="156"/>
      </w:r>
    </w:p>
    <w:p w:rsidR="00B42CBF" w:rsidRPr="00331576" w:rsidRDefault="00B42CBF" w:rsidP="00FF7FA5">
      <w:pPr>
        <w:numPr>
          <w:ilvl w:val="0"/>
          <w:numId w:val="31"/>
        </w:numPr>
        <w:spacing w:after="100" w:line="204" w:lineRule="auto"/>
        <w:ind w:left="701" w:hanging="141"/>
        <w:rPr>
          <w:lang w:val="en-GB"/>
        </w:rPr>
      </w:pPr>
      <w:r w:rsidRPr="00331576">
        <w:rPr>
          <w:rFonts w:hint="cs"/>
          <w:rtl/>
          <w:lang w:val="en-GB"/>
        </w:rPr>
        <w:lastRenderedPageBreak/>
        <w:t>تيسير مبادرات بناء القدرات بشأن الحوكمة والإنصاف في المناطق المحمية والمحفوظة والمشاركة فيها؛</w:t>
      </w:r>
    </w:p>
    <w:p w:rsidR="00B42CBF" w:rsidRPr="00331576" w:rsidRDefault="00B42CBF" w:rsidP="00FF7FA5">
      <w:pPr>
        <w:numPr>
          <w:ilvl w:val="0"/>
          <w:numId w:val="31"/>
        </w:numPr>
        <w:spacing w:after="100" w:line="204" w:lineRule="auto"/>
        <w:ind w:left="701" w:hanging="141"/>
        <w:rPr>
          <w:lang w:val="en-GB"/>
        </w:rPr>
      </w:pPr>
      <w:r w:rsidRPr="00331576">
        <w:rPr>
          <w:rFonts w:hint="cs"/>
          <w:rtl/>
          <w:lang w:val="en-GB"/>
        </w:rPr>
        <w:t>تيسير التمويل المناسب لضمان المشاركة الفعالة لكافة أصحاب الحقوق وأصحاب المصلحة.</w:t>
      </w:r>
    </w:p>
    <w:p w:rsidR="00B42CBF" w:rsidRPr="00331576" w:rsidRDefault="00B42CBF" w:rsidP="00FF7FA5">
      <w:pPr>
        <w:numPr>
          <w:ilvl w:val="0"/>
          <w:numId w:val="28"/>
        </w:numPr>
        <w:spacing w:after="100" w:line="204" w:lineRule="auto"/>
        <w:ind w:left="-7" w:firstLine="0"/>
        <w:rPr>
          <w:lang w:val="en-GB"/>
        </w:rPr>
      </w:pPr>
      <w:r w:rsidRPr="00331576">
        <w:rPr>
          <w:rFonts w:hint="cs"/>
          <w:rtl/>
          <w:lang w:val="en-GB"/>
        </w:rPr>
        <w:t xml:space="preserve">وتشمل الإجراءات المقترحة التي يمكن أن </w:t>
      </w:r>
      <w:r>
        <w:rPr>
          <w:rFonts w:hint="cs"/>
          <w:rtl/>
          <w:lang w:val="en-GB"/>
        </w:rPr>
        <w:t>ت</w:t>
      </w:r>
      <w:r w:rsidRPr="00331576">
        <w:rPr>
          <w:rFonts w:hint="cs"/>
          <w:rtl/>
          <w:lang w:val="en-GB"/>
        </w:rPr>
        <w:t xml:space="preserve">تخذها </w:t>
      </w:r>
      <w:r>
        <w:rPr>
          <w:rFonts w:hint="cs"/>
          <w:rtl/>
          <w:lang w:val="en-GB"/>
        </w:rPr>
        <w:t xml:space="preserve">الجهات </w:t>
      </w:r>
      <w:r w:rsidRPr="00331576">
        <w:rPr>
          <w:rFonts w:hint="cs"/>
          <w:rtl/>
          <w:lang w:val="en-GB"/>
        </w:rPr>
        <w:t>الفاعل</w:t>
      </w:r>
      <w:r>
        <w:rPr>
          <w:rFonts w:hint="cs"/>
          <w:rtl/>
          <w:lang w:val="en-GB"/>
        </w:rPr>
        <w:t>ة</w:t>
      </w:r>
      <w:r w:rsidRPr="00331576">
        <w:rPr>
          <w:rFonts w:hint="cs"/>
          <w:rtl/>
          <w:lang w:val="en-GB"/>
        </w:rPr>
        <w:t xml:space="preserve"> </w:t>
      </w:r>
      <w:r>
        <w:rPr>
          <w:rFonts w:hint="cs"/>
          <w:rtl/>
          <w:lang w:val="en-GB"/>
        </w:rPr>
        <w:t>الأخرى</w:t>
      </w:r>
      <w:r w:rsidRPr="00331576">
        <w:rPr>
          <w:rFonts w:hint="cs"/>
          <w:rtl/>
          <w:lang w:val="en-GB"/>
        </w:rPr>
        <w:t xml:space="preserve"> </w:t>
      </w:r>
      <w:r>
        <w:rPr>
          <w:rFonts w:hint="cs"/>
          <w:rtl/>
          <w:lang w:val="en-GB"/>
        </w:rPr>
        <w:t>المسؤولة عن إدارة</w:t>
      </w:r>
      <w:r w:rsidRPr="00331576">
        <w:rPr>
          <w:rFonts w:hint="cs"/>
          <w:rtl/>
          <w:lang w:val="en-GB"/>
        </w:rPr>
        <w:t xml:space="preserve"> المناطق المحمية لتعزيز فعالية الحوكمة وإنصافها ما يلي:</w:t>
      </w:r>
    </w:p>
    <w:p w:rsidR="00B42CBF" w:rsidRPr="00331576" w:rsidRDefault="00B42CBF" w:rsidP="00FF7FA5">
      <w:pPr>
        <w:numPr>
          <w:ilvl w:val="0"/>
          <w:numId w:val="32"/>
        </w:numPr>
        <w:spacing w:after="100" w:line="204" w:lineRule="auto"/>
        <w:ind w:left="-6" w:firstLine="562"/>
        <w:rPr>
          <w:lang w:val="en-GB"/>
        </w:rPr>
      </w:pPr>
      <w:r w:rsidRPr="00331576">
        <w:rPr>
          <w:rFonts w:hint="cs"/>
          <w:rtl/>
          <w:lang w:val="en-GB"/>
        </w:rPr>
        <w:t>إجراء عمليات تقييم للحوكمة والإنصاف على مستوى الموقع ب</w:t>
      </w:r>
      <w:r>
        <w:rPr>
          <w:rFonts w:hint="cs"/>
          <w:rtl/>
          <w:lang w:val="en-GB"/>
        </w:rPr>
        <w:t>وسائل</w:t>
      </w:r>
      <w:r w:rsidRPr="00331576">
        <w:rPr>
          <w:rFonts w:hint="cs"/>
          <w:rtl/>
          <w:lang w:val="en-GB"/>
        </w:rPr>
        <w:t xml:space="preserve"> تشمل أصحاب الحقوق وأصحاب المصلحة، واتخاذ إجراءات تهدف إلى تحسينها؛</w:t>
      </w:r>
    </w:p>
    <w:p w:rsidR="00B42CBF" w:rsidRPr="00331576" w:rsidRDefault="00B42CBF" w:rsidP="00FF7FA5">
      <w:pPr>
        <w:numPr>
          <w:ilvl w:val="0"/>
          <w:numId w:val="32"/>
        </w:numPr>
        <w:spacing w:after="100" w:line="204" w:lineRule="auto"/>
        <w:ind w:left="-7" w:firstLine="562"/>
        <w:rPr>
          <w:lang w:val="en-GB"/>
        </w:rPr>
      </w:pPr>
      <w:r w:rsidRPr="00331576">
        <w:rPr>
          <w:rFonts w:hint="cs"/>
          <w:rtl/>
          <w:lang w:val="en-GB"/>
        </w:rPr>
        <w:t>تقييم ورصد وتخفيف أي آثار سلبية ناجمة عن إنشاء و/أو صيانة المناطق المحمية أو المحفوظة وتعزيز الآثار الإيجابية؛</w:t>
      </w:r>
      <w:r w:rsidRPr="00331576">
        <w:rPr>
          <w:rStyle w:val="FootnoteReference"/>
          <w:rtl/>
          <w:lang w:val="en-GB"/>
        </w:rPr>
        <w:footnoteReference w:id="157"/>
      </w:r>
    </w:p>
    <w:p w:rsidR="00B42CBF" w:rsidRDefault="00B42CBF" w:rsidP="00FF7FA5">
      <w:pPr>
        <w:numPr>
          <w:ilvl w:val="0"/>
          <w:numId w:val="32"/>
        </w:numPr>
        <w:spacing w:after="100" w:line="204" w:lineRule="auto"/>
        <w:ind w:left="-6" w:firstLine="562"/>
        <w:rPr>
          <w:lang w:val="en-GB"/>
        </w:rPr>
      </w:pPr>
      <w:r w:rsidRPr="00331576">
        <w:rPr>
          <w:rFonts w:hint="cs"/>
          <w:rtl/>
          <w:lang w:val="en-GB"/>
        </w:rPr>
        <w:t>المشاركة في مبادرات بناء القدرات بشأن الحوكمة والإنصاف للمناطق المحمية والمحفوظة.</w:t>
      </w:r>
    </w:p>
    <w:p w:rsidR="00B42CBF" w:rsidRPr="00331576" w:rsidRDefault="00B42CBF" w:rsidP="00B42CBF">
      <w:pPr>
        <w:spacing w:after="100" w:line="204" w:lineRule="auto"/>
        <w:jc w:val="center"/>
        <w:rPr>
          <w:i/>
          <w:iCs/>
          <w:rtl/>
          <w:lang w:val="en-GB"/>
        </w:rPr>
      </w:pPr>
      <w:r w:rsidRPr="00331576">
        <w:rPr>
          <w:rFonts w:hint="cs"/>
          <w:i/>
          <w:iCs/>
          <w:rtl/>
          <w:lang w:val="en-GB"/>
        </w:rPr>
        <w:t>المرفق الثالث</w:t>
      </w:r>
    </w:p>
    <w:p w:rsidR="00B42CBF" w:rsidRPr="00A42263" w:rsidRDefault="00B42CBF" w:rsidP="00B42CBF">
      <w:pPr>
        <w:spacing w:after="100" w:line="204" w:lineRule="auto"/>
        <w:jc w:val="center"/>
        <w:rPr>
          <w:b/>
          <w:bCs/>
          <w:sz w:val="24"/>
          <w:rtl/>
        </w:rPr>
      </w:pPr>
      <w:r w:rsidRPr="00A42263">
        <w:rPr>
          <w:rFonts w:hint="cs"/>
          <w:b/>
          <w:bCs/>
          <w:sz w:val="24"/>
          <w:rtl/>
        </w:rPr>
        <w:t xml:space="preserve">المشورة العلمية والتقنية بشأن تدابير الحفظ الفعالة </w:t>
      </w:r>
      <w:r>
        <w:rPr>
          <w:rFonts w:hint="cs"/>
          <w:b/>
          <w:bCs/>
          <w:sz w:val="24"/>
          <w:rtl/>
        </w:rPr>
        <w:t>الأخرى القائمة على أساس المناطق</w:t>
      </w:r>
    </w:p>
    <w:p w:rsidR="00B42CBF" w:rsidRPr="00E6576F" w:rsidRDefault="00B42CBF" w:rsidP="00B42CBF">
      <w:pPr>
        <w:spacing w:after="100" w:line="204" w:lineRule="auto"/>
        <w:rPr>
          <w:rtl/>
          <w:lang w:val="en-GB"/>
        </w:rPr>
      </w:pPr>
      <w:r w:rsidRPr="00E6576F">
        <w:rPr>
          <w:rtl/>
          <w:lang w:val="en-GB"/>
        </w:rPr>
        <w:t xml:space="preserve">تنطبق المبادئ </w:t>
      </w:r>
      <w:r>
        <w:rPr>
          <w:rFonts w:hint="cs"/>
          <w:rtl/>
          <w:lang w:val="en-GB"/>
        </w:rPr>
        <w:t>التوجيهية</w:t>
      </w:r>
      <w:r w:rsidRPr="00E6576F">
        <w:rPr>
          <w:rtl/>
          <w:lang w:val="en-GB"/>
        </w:rPr>
        <w:t xml:space="preserve"> والخصائص والمعايير المشتركة لتحديد تدابير الحفظ الفعالة الأخرى </w:t>
      </w:r>
      <w:r>
        <w:rPr>
          <w:rFonts w:hint="cs"/>
          <w:rtl/>
          <w:lang w:val="en-GB"/>
        </w:rPr>
        <w:t xml:space="preserve">القائمة </w:t>
      </w:r>
      <w:r w:rsidRPr="00E6576F">
        <w:rPr>
          <w:rtl/>
          <w:lang w:val="en-GB"/>
        </w:rPr>
        <w:t xml:space="preserve">على أساس المناطق في جميع النظم الإيكولوجية </w:t>
      </w:r>
      <w:r>
        <w:rPr>
          <w:rFonts w:hint="cs"/>
          <w:rtl/>
          <w:lang w:val="en-GB"/>
        </w:rPr>
        <w:t>ال</w:t>
      </w:r>
      <w:r w:rsidRPr="00E6576F">
        <w:rPr>
          <w:rtl/>
          <w:lang w:val="en-GB"/>
        </w:rPr>
        <w:t>مهمة للتنوع البيولوجي حالي</w:t>
      </w:r>
      <w:r>
        <w:rPr>
          <w:rFonts w:hint="cs"/>
          <w:rtl/>
          <w:lang w:val="en-GB"/>
        </w:rPr>
        <w:t>ا</w:t>
      </w:r>
      <w:r w:rsidRPr="00E6576F">
        <w:rPr>
          <w:rtl/>
          <w:lang w:val="en-GB"/>
        </w:rPr>
        <w:t xml:space="preserve"> أو التي ي</w:t>
      </w:r>
      <w:r>
        <w:rPr>
          <w:rFonts w:hint="cs"/>
          <w:rtl/>
          <w:lang w:val="en-GB"/>
        </w:rPr>
        <w:t>ُ</w:t>
      </w:r>
      <w:r w:rsidRPr="00E6576F">
        <w:rPr>
          <w:rtl/>
          <w:lang w:val="en-GB"/>
        </w:rPr>
        <w:t xml:space="preserve">حتمل أن تكون </w:t>
      </w:r>
      <w:r>
        <w:rPr>
          <w:rFonts w:hint="cs"/>
          <w:rtl/>
          <w:lang w:val="en-GB"/>
        </w:rPr>
        <w:t>مهمة له</w:t>
      </w:r>
      <w:r w:rsidRPr="00E6576F">
        <w:rPr>
          <w:rtl/>
          <w:lang w:val="en-GB"/>
        </w:rPr>
        <w:t>، وينبغي تطبيقها بطريقة مرنة وعلى أساس كل حالة على حدة.</w:t>
      </w:r>
    </w:p>
    <w:p w:rsidR="00B42CBF" w:rsidRPr="00331576" w:rsidRDefault="00B42CBF" w:rsidP="00B42CBF">
      <w:pPr>
        <w:spacing w:after="100" w:line="204" w:lineRule="auto"/>
        <w:jc w:val="center"/>
        <w:rPr>
          <w:b/>
          <w:bCs/>
          <w:rtl/>
          <w:lang w:val="en-GB"/>
        </w:rPr>
      </w:pPr>
      <w:r>
        <w:rPr>
          <w:rFonts w:hint="cs"/>
          <w:b/>
          <w:bCs/>
          <w:rtl/>
          <w:lang w:val="en-GB"/>
        </w:rPr>
        <w:t xml:space="preserve">ألف </w:t>
      </w:r>
      <w:r w:rsidRPr="00331576">
        <w:rPr>
          <w:rFonts w:hint="cs"/>
          <w:b/>
          <w:bCs/>
          <w:rtl/>
          <w:lang w:val="en-GB"/>
        </w:rPr>
        <w:t>-</w:t>
      </w:r>
      <w:r w:rsidRPr="00331576">
        <w:rPr>
          <w:b/>
          <w:bCs/>
          <w:rtl/>
          <w:lang w:val="en-GB"/>
        </w:rPr>
        <w:tab/>
      </w:r>
      <w:r w:rsidRPr="00331576">
        <w:rPr>
          <w:rFonts w:hint="cs"/>
          <w:b/>
          <w:bCs/>
          <w:rtl/>
          <w:lang w:val="en-GB"/>
        </w:rPr>
        <w:t>المبادئ التوجيهية</w:t>
      </w:r>
      <w:r>
        <w:rPr>
          <w:rFonts w:hint="cs"/>
          <w:b/>
          <w:bCs/>
          <w:rtl/>
          <w:lang w:val="en-GB"/>
        </w:rPr>
        <w:t xml:space="preserve"> والخصائص المشتركة</w:t>
      </w:r>
    </w:p>
    <w:p w:rsidR="00B42CBF" w:rsidRPr="00331576" w:rsidRDefault="00B42CBF" w:rsidP="00FF7FA5">
      <w:pPr>
        <w:numPr>
          <w:ilvl w:val="0"/>
          <w:numId w:val="33"/>
        </w:numPr>
        <w:spacing w:after="100" w:line="204" w:lineRule="auto"/>
        <w:ind w:left="-7" w:firstLine="727"/>
        <w:rPr>
          <w:lang w:val="en-GB"/>
        </w:rPr>
      </w:pPr>
      <w:r w:rsidRPr="003A308D">
        <w:rPr>
          <w:rFonts w:hint="cs"/>
          <w:rtl/>
          <w:lang w:val="en-GB"/>
        </w:rPr>
        <w:t>إن لتدابير الحفظ الفعالة الأخرى</w:t>
      </w:r>
      <w:r w:rsidRPr="00331576">
        <w:rPr>
          <w:rFonts w:hint="cs"/>
          <w:rtl/>
          <w:lang w:val="en-GB"/>
        </w:rPr>
        <w:t xml:space="preserve"> القائمة على أساس المناطق قيمة بالنسبة للتنوع البيولوجي،</w:t>
      </w:r>
      <w:r>
        <w:rPr>
          <w:rFonts w:hint="cs"/>
          <w:rtl/>
          <w:lang w:val="en-GB"/>
        </w:rPr>
        <w:t xml:space="preserve"> أو تشتمل على أهداف لتحقيق ذلك، وهو ما يمثل</w:t>
      </w:r>
      <w:r w:rsidRPr="00331576">
        <w:rPr>
          <w:rFonts w:hint="cs"/>
          <w:rtl/>
          <w:lang w:val="en-GB"/>
        </w:rPr>
        <w:t xml:space="preserve"> </w:t>
      </w:r>
      <w:r>
        <w:rPr>
          <w:rFonts w:hint="cs"/>
          <w:rtl/>
          <w:lang w:val="en-GB"/>
        </w:rPr>
        <w:t>ال</w:t>
      </w:r>
      <w:r w:rsidRPr="00331576">
        <w:rPr>
          <w:rFonts w:hint="cs"/>
          <w:rtl/>
          <w:lang w:val="en-GB"/>
        </w:rPr>
        <w:t xml:space="preserve">أساس </w:t>
      </w:r>
      <w:r>
        <w:rPr>
          <w:rFonts w:hint="cs"/>
          <w:rtl/>
          <w:lang w:val="en-GB"/>
        </w:rPr>
        <w:t xml:space="preserve">لمراعاتها في </w:t>
      </w:r>
      <w:r w:rsidRPr="00331576">
        <w:rPr>
          <w:rFonts w:hint="cs"/>
          <w:rtl/>
          <w:lang w:val="en-GB"/>
        </w:rPr>
        <w:t xml:space="preserve">تحقيق الهدف 11 الوارد في </w:t>
      </w:r>
      <w:r>
        <w:rPr>
          <w:rFonts w:hint="cs"/>
          <w:rtl/>
          <w:lang w:val="en-GB"/>
        </w:rPr>
        <w:t>الغاية</w:t>
      </w:r>
      <w:r w:rsidRPr="00331576">
        <w:rPr>
          <w:rFonts w:hint="cs"/>
          <w:rtl/>
          <w:lang w:val="en-GB"/>
        </w:rPr>
        <w:t xml:space="preserve"> الاستراتيجي</w:t>
      </w:r>
      <w:r>
        <w:rPr>
          <w:rFonts w:hint="cs"/>
          <w:rtl/>
          <w:lang w:val="en-GB"/>
        </w:rPr>
        <w:t>ة</w:t>
      </w:r>
      <w:r w:rsidRPr="00331576">
        <w:rPr>
          <w:rFonts w:hint="cs"/>
          <w:rtl/>
          <w:lang w:val="en-GB"/>
        </w:rPr>
        <w:t xml:space="preserve"> جيم من الخطة الاستراتيجية للتنوع البيولوجي 2011</w:t>
      </w:r>
      <w:r>
        <w:rPr>
          <w:rFonts w:hint="cs"/>
          <w:rtl/>
          <w:lang w:val="en-GB"/>
        </w:rPr>
        <w:t>-</w:t>
      </w:r>
      <w:r w:rsidRPr="00331576">
        <w:rPr>
          <w:rFonts w:hint="cs"/>
          <w:rtl/>
          <w:lang w:val="en-GB"/>
        </w:rPr>
        <w:t>2020؛</w:t>
      </w:r>
    </w:p>
    <w:p w:rsidR="00B42CBF" w:rsidRDefault="00B42CBF" w:rsidP="00FF7FA5">
      <w:pPr>
        <w:numPr>
          <w:ilvl w:val="0"/>
          <w:numId w:val="33"/>
        </w:numPr>
        <w:spacing w:after="100" w:line="204" w:lineRule="auto"/>
        <w:ind w:left="-7" w:firstLine="727"/>
        <w:rPr>
          <w:lang w:val="en-GB"/>
        </w:rPr>
      </w:pPr>
      <w:r w:rsidRPr="0057340A">
        <w:rPr>
          <w:rtl/>
          <w:lang w:val="en-GB"/>
        </w:rPr>
        <w:t xml:space="preserve">هناك تدابير أخرى فعالة للحفظ </w:t>
      </w:r>
      <w:r>
        <w:rPr>
          <w:rFonts w:hint="cs"/>
          <w:rtl/>
          <w:lang w:val="en-GB"/>
        </w:rPr>
        <w:t xml:space="preserve">قائمة </w:t>
      </w:r>
      <w:r w:rsidRPr="0057340A">
        <w:rPr>
          <w:rtl/>
          <w:lang w:val="en-GB"/>
        </w:rPr>
        <w:t>على أساس المناطق لها دور مهم في حفظ التنوع البيولوجي ووظائف وخدمات النظم الإيكولوجي</w:t>
      </w:r>
      <w:r>
        <w:rPr>
          <w:rFonts w:hint="cs"/>
          <w:rtl/>
          <w:lang w:val="en-GB"/>
        </w:rPr>
        <w:t>ة</w:t>
      </w:r>
      <w:r w:rsidRPr="0057340A">
        <w:rPr>
          <w:rtl/>
          <w:lang w:val="en-GB"/>
        </w:rPr>
        <w:t>، و</w:t>
      </w:r>
      <w:r>
        <w:rPr>
          <w:rFonts w:hint="cs"/>
          <w:rtl/>
          <w:lang w:val="en-GB"/>
        </w:rPr>
        <w:t xml:space="preserve">هي </w:t>
      </w:r>
      <w:r w:rsidRPr="0057340A">
        <w:rPr>
          <w:rtl/>
          <w:lang w:val="en-GB"/>
        </w:rPr>
        <w:t>م</w:t>
      </w:r>
      <w:r>
        <w:rPr>
          <w:rFonts w:hint="cs"/>
          <w:rtl/>
          <w:lang w:val="en-GB"/>
        </w:rPr>
        <w:t>ُ</w:t>
      </w:r>
      <w:r w:rsidRPr="0057340A">
        <w:rPr>
          <w:rtl/>
          <w:lang w:val="en-GB"/>
        </w:rPr>
        <w:t xml:space="preserve">كملة للمناطق المحمية </w:t>
      </w:r>
      <w:r>
        <w:rPr>
          <w:rFonts w:hint="cs"/>
          <w:rtl/>
          <w:lang w:val="en-GB"/>
        </w:rPr>
        <w:t>وتسهم</w:t>
      </w:r>
      <w:r w:rsidRPr="0057340A">
        <w:rPr>
          <w:rtl/>
          <w:lang w:val="en-GB"/>
        </w:rPr>
        <w:t xml:space="preserve"> في تماسك شبكات المناطق المحمية </w:t>
      </w:r>
      <w:r>
        <w:rPr>
          <w:rFonts w:hint="cs"/>
          <w:rtl/>
          <w:lang w:val="en-GB"/>
        </w:rPr>
        <w:t>والترابط</w:t>
      </w:r>
      <w:r w:rsidRPr="0057340A">
        <w:rPr>
          <w:rtl/>
          <w:lang w:val="en-GB"/>
        </w:rPr>
        <w:t xml:space="preserve"> ب</w:t>
      </w:r>
      <w:r>
        <w:rPr>
          <w:rFonts w:hint="cs"/>
          <w:rtl/>
          <w:lang w:val="en-GB"/>
        </w:rPr>
        <w:t>ين</w:t>
      </w:r>
      <w:r w:rsidRPr="0057340A">
        <w:rPr>
          <w:rtl/>
          <w:lang w:val="en-GB"/>
        </w:rPr>
        <w:t xml:space="preserve">ها، وكذلك في تعميم التنوع البيولوجي في الاستخدامات الأخرى في </w:t>
      </w:r>
      <w:r>
        <w:rPr>
          <w:rFonts w:hint="cs"/>
          <w:rtl/>
          <w:lang w:val="en-GB"/>
        </w:rPr>
        <w:t>البر</w:t>
      </w:r>
      <w:r w:rsidRPr="0057340A">
        <w:rPr>
          <w:rtl/>
          <w:lang w:val="en-GB"/>
        </w:rPr>
        <w:t xml:space="preserve"> والبحر، وعبر القطاعات. و</w:t>
      </w:r>
      <w:r>
        <w:rPr>
          <w:rFonts w:hint="cs"/>
          <w:rtl/>
          <w:lang w:val="en-GB"/>
        </w:rPr>
        <w:t>بالتالي</w:t>
      </w:r>
      <w:r w:rsidRPr="0057340A">
        <w:rPr>
          <w:rtl/>
          <w:lang w:val="en-GB"/>
        </w:rPr>
        <w:t xml:space="preserve">، ينبغي لتدابير الحفظ الفعالة </w:t>
      </w:r>
      <w:r>
        <w:rPr>
          <w:rFonts w:hint="cs"/>
          <w:rtl/>
          <w:lang w:val="en-GB"/>
        </w:rPr>
        <w:t xml:space="preserve">الأخرى القائمة </w:t>
      </w:r>
      <w:r w:rsidRPr="0057340A">
        <w:rPr>
          <w:rtl/>
          <w:lang w:val="en-GB"/>
        </w:rPr>
        <w:t>على أساس المناطق أن تعزز شبكات المناطق المحمية القائمة، حسب الاقتضاء</w:t>
      </w:r>
      <w:r>
        <w:rPr>
          <w:rFonts w:hint="cs"/>
          <w:rtl/>
          <w:lang w:val="en-GB"/>
        </w:rPr>
        <w:t>؛</w:t>
      </w:r>
    </w:p>
    <w:p w:rsidR="00B42CBF" w:rsidRPr="00331576" w:rsidRDefault="00B42CBF" w:rsidP="00FF7FA5">
      <w:pPr>
        <w:numPr>
          <w:ilvl w:val="0"/>
          <w:numId w:val="33"/>
        </w:numPr>
        <w:spacing w:after="100" w:line="204" w:lineRule="auto"/>
        <w:ind w:left="-7" w:firstLine="727"/>
        <w:rPr>
          <w:lang w:val="en-GB"/>
        </w:rPr>
      </w:pPr>
      <w:r w:rsidRPr="00331576">
        <w:rPr>
          <w:rFonts w:hint="cs"/>
          <w:rtl/>
          <w:lang w:val="en-GB"/>
        </w:rPr>
        <w:t>تعكس تدابير الحفظ الفعالة الأخرى القائمة على أساس المناطق فرصة لتوفير حفظ التنوع البيولوجي في الموقع على المدى الطويل</w:t>
      </w:r>
      <w:r>
        <w:rPr>
          <w:rFonts w:hint="cs"/>
          <w:rtl/>
          <w:lang w:val="en-GB"/>
        </w:rPr>
        <w:t xml:space="preserve"> في النظم الإيكولوجية البحرية والأرضية والنظم الإيكولوجية للمياه العذبة</w:t>
      </w:r>
      <w:r w:rsidRPr="00331576">
        <w:rPr>
          <w:rFonts w:hint="cs"/>
          <w:rtl/>
          <w:lang w:val="en-GB"/>
        </w:rPr>
        <w:t xml:space="preserve">. </w:t>
      </w:r>
      <w:r>
        <w:rPr>
          <w:rFonts w:hint="cs"/>
          <w:rtl/>
          <w:lang w:val="en-GB"/>
        </w:rPr>
        <w:t>ف</w:t>
      </w:r>
      <w:r w:rsidRPr="00331576">
        <w:rPr>
          <w:rFonts w:hint="cs"/>
          <w:rtl/>
          <w:lang w:val="en-GB"/>
        </w:rPr>
        <w:t xml:space="preserve">قد تسمح بوجود </w:t>
      </w:r>
      <w:r>
        <w:rPr>
          <w:rFonts w:hint="cs"/>
          <w:rtl/>
          <w:lang w:val="en-GB"/>
        </w:rPr>
        <w:t>أ</w:t>
      </w:r>
      <w:r w:rsidRPr="00331576">
        <w:rPr>
          <w:rFonts w:hint="cs"/>
          <w:rtl/>
          <w:lang w:val="en-GB"/>
        </w:rPr>
        <w:t>نشط</w:t>
      </w:r>
      <w:r>
        <w:rPr>
          <w:rFonts w:hint="cs"/>
          <w:rtl/>
          <w:lang w:val="en-GB"/>
        </w:rPr>
        <w:t>ة</w:t>
      </w:r>
      <w:r w:rsidRPr="00331576">
        <w:rPr>
          <w:rFonts w:hint="cs"/>
          <w:rtl/>
          <w:lang w:val="en-GB"/>
        </w:rPr>
        <w:t xml:space="preserve"> بشري</w:t>
      </w:r>
      <w:r>
        <w:rPr>
          <w:rFonts w:hint="cs"/>
          <w:rtl/>
          <w:lang w:val="en-GB"/>
        </w:rPr>
        <w:t>ة</w:t>
      </w:r>
      <w:r w:rsidRPr="00331576">
        <w:rPr>
          <w:rFonts w:hint="cs"/>
          <w:rtl/>
          <w:lang w:val="en-GB"/>
        </w:rPr>
        <w:t xml:space="preserve"> مستدام</w:t>
      </w:r>
      <w:r>
        <w:rPr>
          <w:rFonts w:hint="cs"/>
          <w:rtl/>
          <w:lang w:val="en-GB"/>
        </w:rPr>
        <w:t>ة</w:t>
      </w:r>
      <w:r w:rsidRPr="00331576">
        <w:rPr>
          <w:rFonts w:hint="cs"/>
          <w:rtl/>
          <w:lang w:val="en-GB"/>
        </w:rPr>
        <w:t>، مع تقديم فائدة واضحة لحفظ التنوع البيولوجي. ومن خلال الاعتراف بمنطقة ما، يكون هناك حافز لاستدامة قيم التنوع البيولوجي الحالية وتحسين نتائج حفظ التنوع البيولوجي؛</w:t>
      </w:r>
    </w:p>
    <w:p w:rsidR="00B42CBF" w:rsidRPr="00331576" w:rsidRDefault="00B42CBF" w:rsidP="00FF7FA5">
      <w:pPr>
        <w:numPr>
          <w:ilvl w:val="0"/>
          <w:numId w:val="33"/>
        </w:numPr>
        <w:spacing w:after="100" w:line="204" w:lineRule="auto"/>
        <w:ind w:left="-7" w:firstLine="727"/>
        <w:rPr>
          <w:lang w:val="en-GB"/>
        </w:rPr>
      </w:pPr>
      <w:r w:rsidRPr="00331576">
        <w:rPr>
          <w:rFonts w:hint="cs"/>
          <w:rtl/>
          <w:lang w:val="en-GB"/>
        </w:rPr>
        <w:t xml:space="preserve">تقدم تدابير الحفظ الفعالة الأخرى القائمة على أساس المناطق نتائج </w:t>
      </w:r>
      <w:r>
        <w:rPr>
          <w:rFonts w:hint="cs"/>
          <w:rtl/>
          <w:lang w:val="en-GB"/>
        </w:rPr>
        <w:t xml:space="preserve">مهمة </w:t>
      </w:r>
      <w:r w:rsidRPr="00331576">
        <w:rPr>
          <w:rFonts w:hint="cs"/>
          <w:rtl/>
          <w:lang w:val="en-GB"/>
        </w:rPr>
        <w:t>للتنوع البيولوجي يمكن مقارنتها بنتائج المناطق المحمية وتكملها</w:t>
      </w:r>
      <w:r>
        <w:rPr>
          <w:rFonts w:hint="cs"/>
          <w:rtl/>
          <w:lang w:val="en-GB"/>
        </w:rPr>
        <w:t>، ويشمل ذلك مساهمتها في درجة التمثيل، وتغطية المناطق المهمة للتنوع البيولوجي وما يرتبط بها من وظائف وخدمات النظم الإيكولوجية، ودرجة الترابط والإدماج في المناظر الطبيعية الأرضية والمناظر الطبيعية البحرية الأوسع نطاقا، فضلا عن فعالية الإدارة ومتطلبات الإنصاف</w:t>
      </w:r>
      <w:r w:rsidRPr="00331576">
        <w:rPr>
          <w:rFonts w:hint="cs"/>
          <w:rtl/>
          <w:lang w:val="en-GB"/>
        </w:rPr>
        <w:t>؛</w:t>
      </w:r>
    </w:p>
    <w:p w:rsidR="00B42CBF" w:rsidRPr="00331576" w:rsidRDefault="00B42CBF" w:rsidP="00FF7FA5">
      <w:pPr>
        <w:numPr>
          <w:ilvl w:val="0"/>
          <w:numId w:val="33"/>
        </w:numPr>
        <w:spacing w:after="100" w:line="204" w:lineRule="auto"/>
        <w:ind w:left="-7" w:firstLine="727"/>
        <w:rPr>
          <w:lang w:val="en-GB"/>
        </w:rPr>
      </w:pPr>
      <w:r w:rsidRPr="00C27135">
        <w:rPr>
          <w:rFonts w:hint="cs"/>
          <w:rtl/>
          <w:lang w:val="en-GB"/>
        </w:rPr>
        <w:t>يمكن أن تظهر تدابير الحفظ</w:t>
      </w:r>
      <w:r w:rsidRPr="00331576">
        <w:rPr>
          <w:rFonts w:hint="cs"/>
          <w:rtl/>
          <w:lang w:val="en-GB"/>
        </w:rPr>
        <w:t xml:space="preserve"> الفعالة الأخرى القائمة على أساس المناطق</w:t>
      </w:r>
      <w:r>
        <w:rPr>
          <w:rFonts w:hint="cs"/>
          <w:rtl/>
          <w:lang w:val="en-GB"/>
        </w:rPr>
        <w:t>، مع المعلومات والمعارف العلمية والتقنية ذات الصلة،</w:t>
      </w:r>
      <w:r w:rsidRPr="00331576">
        <w:rPr>
          <w:rFonts w:hint="cs"/>
          <w:rtl/>
          <w:lang w:val="en-GB"/>
        </w:rPr>
        <w:t xml:space="preserve"> </w:t>
      </w:r>
      <w:r>
        <w:rPr>
          <w:rFonts w:hint="cs"/>
          <w:rtl/>
          <w:lang w:val="en-GB"/>
        </w:rPr>
        <w:t>ال</w:t>
      </w:r>
      <w:r w:rsidRPr="00331576">
        <w:rPr>
          <w:rFonts w:hint="cs"/>
          <w:rtl/>
          <w:lang w:val="en-GB"/>
        </w:rPr>
        <w:t xml:space="preserve">نتائج </w:t>
      </w:r>
      <w:r>
        <w:rPr>
          <w:rFonts w:hint="cs"/>
          <w:rtl/>
          <w:lang w:val="en-GB"/>
        </w:rPr>
        <w:t>ال</w:t>
      </w:r>
      <w:r w:rsidRPr="00331576">
        <w:rPr>
          <w:rFonts w:hint="cs"/>
          <w:rtl/>
          <w:lang w:val="en-GB"/>
        </w:rPr>
        <w:t xml:space="preserve">إيجابية للتنوع البيولوجي </w:t>
      </w:r>
      <w:r>
        <w:rPr>
          <w:rFonts w:hint="cs"/>
          <w:rtl/>
          <w:lang w:val="en-GB"/>
        </w:rPr>
        <w:t>من خلال الحفظ الناجح للأنواع في الموقع الطبيعي، والموائل والنظم الإيكولوجية وما يرتبط بها من وظائف وخدمات النظم الإيكولوجية و</w:t>
      </w:r>
      <w:r w:rsidRPr="00331576">
        <w:rPr>
          <w:rFonts w:hint="cs"/>
          <w:rtl/>
          <w:lang w:val="en-GB"/>
        </w:rPr>
        <w:t xml:space="preserve">من خلال منع أو تقليل أو القضاء على التهديدات الرئيسية القائمة أو </w:t>
      </w:r>
      <w:r>
        <w:rPr>
          <w:rFonts w:hint="cs"/>
          <w:rtl/>
          <w:lang w:val="en-GB"/>
        </w:rPr>
        <w:t>المحتملة،</w:t>
      </w:r>
      <w:r w:rsidRPr="00331576">
        <w:rPr>
          <w:rFonts w:hint="cs"/>
          <w:rtl/>
          <w:lang w:val="en-GB"/>
        </w:rPr>
        <w:t xml:space="preserve"> ومن خلال </w:t>
      </w:r>
      <w:r>
        <w:rPr>
          <w:rFonts w:hint="cs"/>
          <w:rtl/>
          <w:lang w:val="en-GB"/>
        </w:rPr>
        <w:t>زيادة القدرة على الصمود</w:t>
      </w:r>
      <w:r w:rsidRPr="00331576">
        <w:rPr>
          <w:rFonts w:hint="cs"/>
          <w:rtl/>
          <w:lang w:val="en-GB"/>
        </w:rPr>
        <w:t xml:space="preserve">. وتتسق إدارة تدابير الحفظ الفعالة الأخرى القائمة على أساس </w:t>
      </w:r>
      <w:r w:rsidRPr="00331576">
        <w:rPr>
          <w:rFonts w:hint="cs"/>
          <w:rtl/>
          <w:lang w:val="en-GB"/>
        </w:rPr>
        <w:lastRenderedPageBreak/>
        <w:t xml:space="preserve">المناطق مع نهج النظام الإيكولوجي </w:t>
      </w:r>
      <w:r>
        <w:rPr>
          <w:rFonts w:hint="cs"/>
          <w:rtl/>
          <w:lang w:val="en-GB"/>
        </w:rPr>
        <w:t>والنهج التحوطي</w:t>
      </w:r>
      <w:r w:rsidRPr="00331576">
        <w:rPr>
          <w:rFonts w:hint="cs"/>
          <w:rtl/>
          <w:lang w:val="en-GB"/>
        </w:rPr>
        <w:t xml:space="preserve">، موفرا بذلك القدرة على التكيُّف لتحقيق نتائج التنوع البيولوجي، بما في ذلك النتائج طويلة </w:t>
      </w:r>
      <w:r>
        <w:rPr>
          <w:rFonts w:hint="cs"/>
          <w:rtl/>
          <w:lang w:val="en-GB"/>
        </w:rPr>
        <w:t>الأجل</w:t>
      </w:r>
      <w:r w:rsidRPr="00331576">
        <w:rPr>
          <w:rFonts w:hint="cs"/>
          <w:rtl/>
          <w:lang w:val="en-GB"/>
        </w:rPr>
        <w:t xml:space="preserve">، </w:t>
      </w:r>
      <w:r>
        <w:rPr>
          <w:rFonts w:hint="cs"/>
          <w:rtl/>
          <w:lang w:val="en-GB"/>
        </w:rPr>
        <w:t>ضمن أمور من بينها</w:t>
      </w:r>
      <w:r w:rsidRPr="00331576">
        <w:rPr>
          <w:rFonts w:hint="cs"/>
          <w:rtl/>
          <w:lang w:val="en-GB"/>
        </w:rPr>
        <w:t xml:space="preserve"> القدرة على إدارة تهديد جديد؛</w:t>
      </w:r>
    </w:p>
    <w:p w:rsidR="00B42CBF" w:rsidRPr="00331576" w:rsidRDefault="00B42CBF" w:rsidP="00FF7FA5">
      <w:pPr>
        <w:numPr>
          <w:ilvl w:val="0"/>
          <w:numId w:val="33"/>
        </w:numPr>
        <w:spacing w:after="100" w:line="204" w:lineRule="auto"/>
        <w:ind w:left="-7" w:firstLine="727"/>
        <w:rPr>
          <w:lang w:val="en-GB"/>
        </w:rPr>
      </w:pPr>
      <w:r>
        <w:rPr>
          <w:rFonts w:hint="cs"/>
          <w:rtl/>
          <w:lang w:val="en-GB"/>
        </w:rPr>
        <w:t xml:space="preserve">يمكن أن </w:t>
      </w:r>
      <w:r w:rsidRPr="00331576">
        <w:rPr>
          <w:rFonts w:hint="cs"/>
          <w:rtl/>
          <w:lang w:val="en-GB"/>
        </w:rPr>
        <w:t>تساعد تدابير الحفظ الفعالة الأخرى القائمة على أساس المناطق على تحقيق قدر أكبر من التمثيل والترابط في نظم المناطق المحمية، وبالتالي قد تساعد في معالجة التهديدات الأكبر والمنتشرة</w:t>
      </w:r>
      <w:r>
        <w:rPr>
          <w:rFonts w:hint="cs"/>
          <w:rtl/>
          <w:lang w:val="en-GB"/>
        </w:rPr>
        <w:t xml:space="preserve"> التي تواجه مكونات التنوع البيولوجي ووظائف وخدمات النظم الإيكولوجية</w:t>
      </w:r>
      <w:r w:rsidRPr="00331576">
        <w:rPr>
          <w:rFonts w:hint="cs"/>
          <w:rtl/>
          <w:lang w:val="en-GB"/>
        </w:rPr>
        <w:t>، وتعزيز المرونة، بما في ذلك ما يتعلق بتغير المناخ؛</w:t>
      </w:r>
    </w:p>
    <w:p w:rsidR="00B42CBF" w:rsidRDefault="00B42CBF" w:rsidP="00FF7FA5">
      <w:pPr>
        <w:numPr>
          <w:ilvl w:val="0"/>
          <w:numId w:val="33"/>
        </w:numPr>
        <w:spacing w:after="100" w:line="204" w:lineRule="auto"/>
        <w:ind w:left="-7" w:firstLine="727"/>
        <w:rPr>
          <w:lang w:val="en-GB"/>
        </w:rPr>
      </w:pPr>
      <w:r w:rsidRPr="00C62C2E">
        <w:rPr>
          <w:rFonts w:hint="cs"/>
          <w:rtl/>
          <w:lang w:val="en-GB"/>
        </w:rPr>
        <w:t xml:space="preserve">ينبغي أن يتَّبع الاعتراف بتدابير الحفظ الفعالة الأخرى القائمة على أساس المناطق التشاور المناسب مع سلطات الحوكمة المعنية </w:t>
      </w:r>
      <w:r>
        <w:rPr>
          <w:rFonts w:hint="cs"/>
          <w:rtl/>
          <w:lang w:val="en-GB"/>
        </w:rPr>
        <w:t xml:space="preserve">وملاك الأراضي وحائزي الحقوق </w:t>
      </w:r>
      <w:r w:rsidRPr="00C62C2E">
        <w:rPr>
          <w:rFonts w:hint="cs"/>
          <w:rtl/>
          <w:lang w:val="en-GB"/>
        </w:rPr>
        <w:t>وأصحاب المصلحة والجمهور</w:t>
      </w:r>
      <w:r>
        <w:rPr>
          <w:rFonts w:hint="cs"/>
          <w:rtl/>
          <w:lang w:val="en-GB"/>
        </w:rPr>
        <w:t>؛</w:t>
      </w:r>
    </w:p>
    <w:p w:rsidR="00B42CBF" w:rsidRDefault="00B42CBF" w:rsidP="00FF7FA5">
      <w:pPr>
        <w:numPr>
          <w:ilvl w:val="0"/>
          <w:numId w:val="33"/>
        </w:numPr>
        <w:spacing w:after="100" w:line="199" w:lineRule="auto"/>
        <w:ind w:left="0" w:firstLine="727"/>
        <w:rPr>
          <w:lang w:val="en-GB"/>
        </w:rPr>
      </w:pPr>
      <w:r w:rsidRPr="00C62C2E">
        <w:rPr>
          <w:rFonts w:hint="cs"/>
          <w:rtl/>
          <w:lang w:val="en-GB"/>
        </w:rPr>
        <w:t>ينبغي أن يكون الاعتراف بتدابير الحفظ الفعالة الأخرى القائمة على أساس المناطق</w:t>
      </w:r>
      <w:r>
        <w:rPr>
          <w:rFonts w:hint="cs"/>
          <w:rtl/>
          <w:lang w:val="en-GB"/>
        </w:rPr>
        <w:t xml:space="preserve"> مدعوما بتدابير لتعزيز قدرات الحوكمة لسلطاتها المشروعة وضمان نتائجها الإيجابية والمستدامة طويلة الأجل للتنوع البيولوجي، بما في ذلك، ضمن جملة أمور، أطر السياسات واللوائح لمنع التهديدات والاستجابة لها؛</w:t>
      </w:r>
    </w:p>
    <w:p w:rsidR="00B42CBF" w:rsidRPr="00331576" w:rsidRDefault="00B42CBF" w:rsidP="00FF7FA5">
      <w:pPr>
        <w:numPr>
          <w:ilvl w:val="0"/>
          <w:numId w:val="33"/>
        </w:numPr>
        <w:spacing w:after="100" w:line="199" w:lineRule="auto"/>
        <w:ind w:left="0" w:firstLine="727"/>
        <w:rPr>
          <w:lang w:val="en-GB"/>
        </w:rPr>
      </w:pPr>
      <w:r w:rsidRPr="00331576">
        <w:rPr>
          <w:rFonts w:hint="cs"/>
          <w:rtl/>
          <w:lang w:val="en-GB"/>
        </w:rPr>
        <w:t>ينبغي أن يكون الاعتراف بتدابير الحفظ الفعالة الأخرى القائمة على أساس المناطق في المناطق الواقعة داخل أراضي الشعوب الأصلية والمجتمعات المحلية ق</w:t>
      </w:r>
      <w:r>
        <w:rPr>
          <w:rFonts w:hint="cs"/>
          <w:rtl/>
          <w:lang w:val="en-GB"/>
        </w:rPr>
        <w:t>ائما على أساس التحديد الذاتي وب</w:t>
      </w:r>
      <w:r w:rsidRPr="00331576">
        <w:rPr>
          <w:rFonts w:hint="cs"/>
          <w:rtl/>
          <w:lang w:val="en-GB"/>
        </w:rPr>
        <w:t xml:space="preserve">موافقتها الحرة والمسبقة </w:t>
      </w:r>
      <w:r>
        <w:rPr>
          <w:rFonts w:hint="cs"/>
          <w:rtl/>
          <w:lang w:val="en-GB"/>
        </w:rPr>
        <w:t>عن علم، حسب الاقتضاء وبما يتسق مع السياسات واللوائح والظروف الوطنية، والالتزامات الدولية السارية</w:t>
      </w:r>
      <w:r w:rsidRPr="00331576">
        <w:rPr>
          <w:rFonts w:hint="cs"/>
          <w:rtl/>
          <w:lang w:val="en-GB"/>
        </w:rPr>
        <w:t>؛</w:t>
      </w:r>
    </w:p>
    <w:p w:rsidR="00B42CBF" w:rsidRPr="00331576" w:rsidRDefault="00B42CBF" w:rsidP="00FF7FA5">
      <w:pPr>
        <w:numPr>
          <w:ilvl w:val="0"/>
          <w:numId w:val="33"/>
        </w:numPr>
        <w:spacing w:after="100" w:line="199" w:lineRule="auto"/>
        <w:ind w:left="0" w:firstLine="727"/>
        <w:rPr>
          <w:lang w:val="en-GB"/>
        </w:rPr>
      </w:pPr>
      <w:r w:rsidRPr="00331576">
        <w:rPr>
          <w:rFonts w:hint="cs"/>
          <w:rtl/>
          <w:lang w:val="en-GB"/>
        </w:rPr>
        <w:t>غالبا ما تسفر المناطق المحفوظة للحفاظ على القيم الثقافية والروحية، والحوكمة والإدارة التي تحترم وتستنير بالقيم الثقافية والروحية عن نتائج إيجابية للتنوع البيولوجي؛</w:t>
      </w:r>
    </w:p>
    <w:p w:rsidR="00B42CBF" w:rsidRPr="008B2553" w:rsidRDefault="00B42CBF" w:rsidP="00FF7FA5">
      <w:pPr>
        <w:numPr>
          <w:ilvl w:val="0"/>
          <w:numId w:val="33"/>
        </w:numPr>
        <w:spacing w:after="100" w:line="199" w:lineRule="auto"/>
        <w:ind w:left="0" w:firstLine="727"/>
        <w:rPr>
          <w:lang w:val="en-GB"/>
        </w:rPr>
      </w:pPr>
      <w:r w:rsidRPr="008B2553">
        <w:rPr>
          <w:rFonts w:hint="cs"/>
          <w:rtl/>
          <w:lang w:val="en-GB"/>
        </w:rPr>
        <w:t>تعترف تدابير الحفظ الفعالة الأخرى القائمة على أساس المناطق، وتعزز وتوضح الأدوار التي تقوم بها مختلف نظم الحوكمة و</w:t>
      </w:r>
      <w:r>
        <w:rPr>
          <w:rFonts w:hint="cs"/>
          <w:rtl/>
          <w:lang w:val="en-GB"/>
        </w:rPr>
        <w:t xml:space="preserve">الجهات </w:t>
      </w:r>
      <w:r w:rsidRPr="008B2553">
        <w:rPr>
          <w:rFonts w:hint="cs"/>
          <w:rtl/>
          <w:lang w:val="en-GB"/>
        </w:rPr>
        <w:t>الفاعل</w:t>
      </w:r>
      <w:r>
        <w:rPr>
          <w:rFonts w:hint="cs"/>
          <w:rtl/>
          <w:lang w:val="en-GB"/>
        </w:rPr>
        <w:t>ة</w:t>
      </w:r>
      <w:r w:rsidRPr="008B2553">
        <w:rPr>
          <w:rFonts w:hint="cs"/>
          <w:rtl/>
          <w:lang w:val="en-GB"/>
        </w:rPr>
        <w:t xml:space="preserve"> بالنسبة لحفظ التنوع البيولوجي؛ ويمكن أن تشمل الحوافز لضمان الفعالية مجموعة من المنافع الاجتماعية والإيكولوجية، بما في ذلك تمكين الشعوب الأصلية والمجتمعات المحلية؛</w:t>
      </w:r>
    </w:p>
    <w:p w:rsidR="00B42CBF" w:rsidRDefault="00B42CBF" w:rsidP="00FF7FA5">
      <w:pPr>
        <w:numPr>
          <w:ilvl w:val="0"/>
          <w:numId w:val="33"/>
        </w:numPr>
        <w:spacing w:after="100" w:line="199" w:lineRule="auto"/>
        <w:ind w:left="0" w:firstLine="727"/>
        <w:rPr>
          <w:lang w:val="en-GB"/>
        </w:rPr>
      </w:pPr>
      <w:r w:rsidRPr="00331576">
        <w:rPr>
          <w:rFonts w:hint="cs"/>
          <w:rtl/>
          <w:lang w:val="en-GB"/>
        </w:rPr>
        <w:t xml:space="preserve">ينبغي استخدام أفضل المعلومات العلمية المتاحة، </w:t>
      </w:r>
      <w:r>
        <w:rPr>
          <w:rFonts w:hint="cs"/>
          <w:rtl/>
          <w:lang w:val="en-GB"/>
        </w:rPr>
        <w:t>و</w:t>
      </w:r>
      <w:r w:rsidRPr="00331576">
        <w:rPr>
          <w:rFonts w:hint="cs"/>
          <w:rtl/>
          <w:lang w:val="en-GB"/>
        </w:rPr>
        <w:t xml:space="preserve">معارف الشعوب الأصلية والمجتمعات المحلية، </w:t>
      </w:r>
      <w:r>
        <w:rPr>
          <w:rFonts w:hint="cs"/>
          <w:rtl/>
          <w:lang w:val="en-GB"/>
        </w:rPr>
        <w:t xml:space="preserve">بما يتماشى مع الالتزامات والأطر الدولية، مثل إعلان الأمم المتحدة بشأن حقوق الشعوب الأصلية، والصكوك والمقررات والمبادئ التوجيهية لاتفاقية التنوع البيولوجي، </w:t>
      </w:r>
      <w:r w:rsidRPr="00331576">
        <w:rPr>
          <w:rFonts w:hint="cs"/>
          <w:rtl/>
          <w:lang w:val="en-GB"/>
        </w:rPr>
        <w:t xml:space="preserve">للاعتراف بتدابير الحفظ الفعالة الأخرى القائمة على أساس المناطق، مع تحديد موقعها وحجمها، </w:t>
      </w:r>
      <w:r>
        <w:rPr>
          <w:rFonts w:hint="cs"/>
          <w:rtl/>
          <w:lang w:val="en-GB"/>
        </w:rPr>
        <w:t>ولإبلاغ</w:t>
      </w:r>
      <w:r w:rsidRPr="00331576">
        <w:rPr>
          <w:rFonts w:hint="cs"/>
          <w:rtl/>
          <w:lang w:val="en-GB"/>
        </w:rPr>
        <w:t xml:space="preserve"> نُهج الإدارة وقياس الأداء</w:t>
      </w:r>
      <w:r>
        <w:rPr>
          <w:rFonts w:hint="cs"/>
          <w:rtl/>
          <w:lang w:val="en-GB"/>
        </w:rPr>
        <w:t>؛</w:t>
      </w:r>
    </w:p>
    <w:p w:rsidR="00B42CBF" w:rsidRPr="00331576" w:rsidRDefault="00B42CBF" w:rsidP="00FF7FA5">
      <w:pPr>
        <w:numPr>
          <w:ilvl w:val="0"/>
          <w:numId w:val="33"/>
        </w:numPr>
        <w:spacing w:after="100" w:line="204" w:lineRule="auto"/>
        <w:ind w:left="0" w:firstLine="720"/>
        <w:rPr>
          <w:lang w:val="en-GB"/>
        </w:rPr>
      </w:pPr>
      <w:r w:rsidRPr="008B2553">
        <w:rPr>
          <w:rtl/>
          <w:lang w:val="en-GB"/>
        </w:rPr>
        <w:t xml:space="preserve">من المهم توثيق تدابير الحفظ الفعالة الأخرى القائمة على أساس المناطق بطريقة شفافة </w:t>
      </w:r>
      <w:r>
        <w:rPr>
          <w:rFonts w:hint="cs"/>
          <w:rtl/>
          <w:lang w:val="en-GB"/>
        </w:rPr>
        <w:t>لإتاحة إمكانية إجراء</w:t>
      </w:r>
      <w:r w:rsidRPr="008B2553">
        <w:rPr>
          <w:rtl/>
          <w:lang w:val="en-GB"/>
        </w:rPr>
        <w:t xml:space="preserve"> تقييم ذي صلة </w:t>
      </w:r>
      <w:r>
        <w:rPr>
          <w:rFonts w:hint="cs"/>
          <w:rtl/>
          <w:lang w:val="en-GB"/>
        </w:rPr>
        <w:t>ل</w:t>
      </w:r>
      <w:r w:rsidRPr="008B2553">
        <w:rPr>
          <w:rtl/>
          <w:lang w:val="en-GB"/>
        </w:rPr>
        <w:t>لفعالية والوظيفة والأهمية في سياق الهدف 11</w:t>
      </w:r>
      <w:r>
        <w:rPr>
          <w:rFonts w:hint="cs"/>
          <w:rtl/>
          <w:lang w:val="en-GB"/>
        </w:rPr>
        <w:t>.</w:t>
      </w:r>
    </w:p>
    <w:p w:rsidR="000A5DEA" w:rsidRDefault="000A5DEA">
      <w:pPr>
        <w:bidi w:val="0"/>
        <w:spacing w:after="0" w:line="240" w:lineRule="auto"/>
        <w:jc w:val="left"/>
        <w:rPr>
          <w:b/>
          <w:bCs/>
          <w:rtl/>
          <w:lang w:val="en-GB"/>
        </w:rPr>
      </w:pPr>
      <w:r>
        <w:rPr>
          <w:b/>
          <w:bCs/>
          <w:rtl/>
          <w:lang w:val="en-GB"/>
        </w:rPr>
        <w:br w:type="page"/>
      </w:r>
    </w:p>
    <w:p w:rsidR="00B42CBF" w:rsidRPr="00401511" w:rsidRDefault="00B42CBF" w:rsidP="00B42CBF">
      <w:pPr>
        <w:spacing w:after="100" w:line="204" w:lineRule="auto"/>
        <w:jc w:val="center"/>
        <w:rPr>
          <w:b/>
          <w:bCs/>
          <w:rtl/>
          <w:lang w:val="en-GB"/>
        </w:rPr>
      </w:pPr>
      <w:r w:rsidRPr="00401511">
        <w:rPr>
          <w:rFonts w:hint="cs"/>
          <w:b/>
          <w:bCs/>
          <w:rtl/>
          <w:lang w:val="en-GB"/>
        </w:rPr>
        <w:lastRenderedPageBreak/>
        <w:t>باء -</w:t>
      </w:r>
      <w:r w:rsidRPr="00401511">
        <w:rPr>
          <w:b/>
          <w:bCs/>
          <w:rtl/>
          <w:lang w:val="en-GB"/>
        </w:rPr>
        <w:tab/>
      </w:r>
      <w:r w:rsidRPr="00401511">
        <w:rPr>
          <w:rFonts w:hint="cs"/>
          <w:b/>
          <w:bCs/>
          <w:rtl/>
          <w:lang w:val="en-GB"/>
        </w:rPr>
        <w:t>معايير التحديد</w:t>
      </w:r>
    </w:p>
    <w:tbl>
      <w:tblPr>
        <w:bidiVisual/>
        <w:tblW w:w="0" w:type="auto"/>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7800"/>
      </w:tblGrid>
      <w:tr w:rsidR="00B42CBF" w:rsidRPr="00331576" w:rsidTr="00EE0FD7">
        <w:tc>
          <w:tcPr>
            <w:tcW w:w="9848" w:type="dxa"/>
            <w:gridSpan w:val="2"/>
            <w:shd w:val="clear" w:color="auto" w:fill="D9D9D9"/>
          </w:tcPr>
          <w:p w:rsidR="00B42CBF" w:rsidRPr="00331576" w:rsidRDefault="00B42CBF" w:rsidP="00EE0FD7">
            <w:pPr>
              <w:spacing w:after="100" w:line="204" w:lineRule="auto"/>
              <w:rPr>
                <w:b/>
                <w:bCs/>
                <w:rtl/>
                <w:lang w:val="en-GB"/>
              </w:rPr>
            </w:pPr>
            <w:r w:rsidRPr="00331576">
              <w:rPr>
                <w:rFonts w:hint="cs"/>
                <w:b/>
                <w:bCs/>
                <w:szCs w:val="22"/>
                <w:rtl/>
                <w:lang w:val="en-GB"/>
              </w:rPr>
              <w:t>المعيار ألف: المنطقة غير معترف بها حاليا كمنطقة محمية</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ليست منطقة محمية</w:t>
            </w:r>
          </w:p>
        </w:tc>
        <w:tc>
          <w:tcPr>
            <w:tcW w:w="8039" w:type="dxa"/>
            <w:shd w:val="clear" w:color="auto" w:fill="auto"/>
          </w:tcPr>
          <w:p w:rsidR="00B42CBF" w:rsidRPr="00331576" w:rsidRDefault="00B42CBF" w:rsidP="00EE0FD7">
            <w:pPr>
              <w:spacing w:after="100" w:line="204" w:lineRule="auto"/>
              <w:ind w:left="360" w:hanging="360"/>
              <w:jc w:val="left"/>
              <w:rPr>
                <w:b/>
                <w:bCs/>
                <w:rtl/>
                <w:lang w:val="en-GB"/>
              </w:rPr>
            </w:pPr>
            <w:r w:rsidRPr="00912507">
              <w:rPr>
                <w:kern w:val="20"/>
                <w:szCs w:val="22"/>
              </w:rPr>
              <w:t></w:t>
            </w:r>
            <w:r w:rsidRPr="00331576">
              <w:rPr>
                <w:b/>
                <w:bCs/>
                <w:rtl/>
                <w:lang w:val="en-GB"/>
              </w:rPr>
              <w:tab/>
            </w:r>
            <w:r w:rsidRPr="00331576">
              <w:rPr>
                <w:rFonts w:hint="cs"/>
                <w:szCs w:val="22"/>
                <w:rtl/>
                <w:lang w:val="en-GB"/>
              </w:rPr>
              <w:t>لم يتم الاعتراف بالمنطقة ولم يتم الإبلاغ عن كونها منطقة محمية أو كونها جزء من منطقة محمية؛ وربما تم إنشاؤها لغرض آخر.</w:t>
            </w:r>
          </w:p>
        </w:tc>
      </w:tr>
      <w:tr w:rsidR="00B42CBF" w:rsidRPr="00331576" w:rsidTr="00EE0FD7">
        <w:tc>
          <w:tcPr>
            <w:tcW w:w="9848" w:type="dxa"/>
            <w:gridSpan w:val="2"/>
            <w:shd w:val="clear" w:color="auto" w:fill="D9D9D9"/>
          </w:tcPr>
          <w:p w:rsidR="00B42CBF" w:rsidRPr="00331576" w:rsidRDefault="00B42CBF" w:rsidP="00EE0FD7">
            <w:pPr>
              <w:spacing w:after="100" w:line="204" w:lineRule="auto"/>
              <w:rPr>
                <w:b/>
                <w:bCs/>
                <w:rtl/>
                <w:lang w:val="en-GB"/>
              </w:rPr>
            </w:pPr>
            <w:r w:rsidRPr="00331576">
              <w:rPr>
                <w:rFonts w:hint="cs"/>
                <w:b/>
                <w:bCs/>
                <w:szCs w:val="22"/>
                <w:rtl/>
                <w:lang w:val="en-GB"/>
              </w:rPr>
              <w:t>المعيار باء: المنطقة خاضعة للحوكمة والإدارة</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فضاء محدد جغرافيا</w:t>
            </w:r>
          </w:p>
        </w:tc>
        <w:tc>
          <w:tcPr>
            <w:tcW w:w="8039" w:type="dxa"/>
            <w:shd w:val="clear" w:color="auto" w:fill="auto"/>
          </w:tcPr>
          <w:p w:rsidR="00B42CBF" w:rsidRPr="00331576" w:rsidRDefault="00B42CBF" w:rsidP="00EE0FD7">
            <w:pPr>
              <w:spacing w:after="100" w:line="204" w:lineRule="auto"/>
              <w:ind w:left="360" w:hanging="360"/>
              <w:jc w:val="left"/>
              <w:rPr>
                <w:b/>
                <w:bCs/>
                <w:lang w:val="en-GB"/>
              </w:rPr>
            </w:pPr>
            <w:r w:rsidRPr="00912507">
              <w:rPr>
                <w:kern w:val="20"/>
                <w:szCs w:val="22"/>
              </w:rPr>
              <w:t></w:t>
            </w:r>
            <w:r w:rsidRPr="00331576">
              <w:rPr>
                <w:b/>
                <w:bCs/>
                <w:rtl/>
                <w:lang w:val="en-GB"/>
              </w:rPr>
              <w:tab/>
            </w:r>
            <w:r w:rsidRPr="00331576">
              <w:rPr>
                <w:rFonts w:hint="cs"/>
                <w:szCs w:val="22"/>
                <w:rtl/>
                <w:lang w:val="en-GB"/>
              </w:rPr>
              <w:t>تم وصف الحجم والمنطقة، بما في ذلك بثلاثة أبعاد عند الضرورة.</w:t>
            </w:r>
          </w:p>
          <w:p w:rsidR="008F1A01" w:rsidRPr="00331576" w:rsidRDefault="00B42CBF" w:rsidP="000A5DEA">
            <w:pPr>
              <w:spacing w:after="100" w:line="204" w:lineRule="auto"/>
              <w:ind w:left="360" w:hanging="360"/>
              <w:jc w:val="left"/>
              <w:rPr>
                <w:b/>
                <w:bCs/>
                <w:rtl/>
                <w:lang w:val="en-GB"/>
              </w:rPr>
            </w:pPr>
            <w:r w:rsidRPr="00912507">
              <w:rPr>
                <w:kern w:val="20"/>
                <w:szCs w:val="22"/>
              </w:rPr>
              <w:t></w:t>
            </w:r>
            <w:r w:rsidRPr="00331576">
              <w:rPr>
                <w:b/>
                <w:bCs/>
                <w:rtl/>
                <w:lang w:val="en-GB"/>
              </w:rPr>
              <w:tab/>
            </w:r>
            <w:r w:rsidRPr="00331576">
              <w:rPr>
                <w:rFonts w:hint="cs"/>
                <w:szCs w:val="22"/>
                <w:rtl/>
                <w:lang w:val="en-GB"/>
              </w:rPr>
              <w:t>تم وصف الحدود.</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 xml:space="preserve">سلطات حوكمة شرعية </w:t>
            </w:r>
          </w:p>
        </w:tc>
        <w:tc>
          <w:tcPr>
            <w:tcW w:w="8039" w:type="dxa"/>
            <w:shd w:val="clear" w:color="auto" w:fill="auto"/>
          </w:tcPr>
          <w:p w:rsidR="00B42CBF" w:rsidRPr="00331576" w:rsidRDefault="00B42CBF" w:rsidP="00FF7FA5">
            <w:pPr>
              <w:numPr>
                <w:ilvl w:val="0"/>
                <w:numId w:val="34"/>
              </w:numPr>
              <w:spacing w:after="100" w:line="204" w:lineRule="auto"/>
              <w:ind w:left="360"/>
              <w:jc w:val="left"/>
              <w:rPr>
                <w:b/>
                <w:bCs/>
                <w:lang w:val="en-GB"/>
              </w:rPr>
            </w:pPr>
            <w:r w:rsidRPr="00331576">
              <w:rPr>
                <w:rFonts w:hint="cs"/>
                <w:szCs w:val="22"/>
                <w:rtl/>
                <w:lang w:val="en-GB"/>
              </w:rPr>
              <w:t>توجد سلطة شرعية للحوكمة وهي مناسبة لتحقيق حفظ التنوع البيولوجي في الموقع داخل المنطقة.</w:t>
            </w:r>
          </w:p>
          <w:p w:rsidR="00B42CBF" w:rsidRPr="00331576" w:rsidRDefault="00B42CBF" w:rsidP="00FF7FA5">
            <w:pPr>
              <w:numPr>
                <w:ilvl w:val="0"/>
                <w:numId w:val="34"/>
              </w:numPr>
              <w:spacing w:after="100" w:line="204" w:lineRule="auto"/>
              <w:ind w:left="360"/>
              <w:jc w:val="left"/>
              <w:rPr>
                <w:b/>
                <w:bCs/>
                <w:lang w:val="en-GB"/>
              </w:rPr>
            </w:pPr>
            <w:r w:rsidRPr="00331576">
              <w:rPr>
                <w:rFonts w:hint="cs"/>
                <w:szCs w:val="22"/>
                <w:rtl/>
                <w:lang w:val="en-GB"/>
              </w:rPr>
              <w:t xml:space="preserve">إن </w:t>
            </w:r>
            <w:r>
              <w:rPr>
                <w:rFonts w:hint="cs"/>
                <w:szCs w:val="22"/>
                <w:rtl/>
                <w:lang w:val="en-GB"/>
              </w:rPr>
              <w:t>ال</w:t>
            </w:r>
            <w:r w:rsidRPr="00331576">
              <w:rPr>
                <w:rFonts w:hint="cs"/>
                <w:szCs w:val="22"/>
                <w:rtl/>
                <w:lang w:val="en-GB"/>
              </w:rPr>
              <w:t xml:space="preserve">حوكمة </w:t>
            </w:r>
            <w:r>
              <w:rPr>
                <w:rFonts w:hint="cs"/>
                <w:szCs w:val="22"/>
                <w:rtl/>
                <w:lang w:val="en-GB"/>
              </w:rPr>
              <w:t xml:space="preserve">من جانب </w:t>
            </w:r>
            <w:r w:rsidRPr="00331576">
              <w:rPr>
                <w:rFonts w:hint="cs"/>
                <w:szCs w:val="22"/>
                <w:rtl/>
                <w:lang w:val="en-GB"/>
              </w:rPr>
              <w:t xml:space="preserve">الشعوب الأصلية والمجتمعات المحلية محددة ذاتيا </w:t>
            </w:r>
            <w:r>
              <w:rPr>
                <w:rFonts w:hint="cs"/>
                <w:szCs w:val="22"/>
                <w:rtl/>
                <w:lang w:val="en-GB"/>
              </w:rPr>
              <w:t>وتتم وفقا للتشريعات الوطنية والالتزامات الدولية السارية؛</w:t>
            </w:r>
          </w:p>
          <w:p w:rsidR="00B42CBF" w:rsidRPr="00331576" w:rsidRDefault="00B42CBF" w:rsidP="00FF7FA5">
            <w:pPr>
              <w:numPr>
                <w:ilvl w:val="0"/>
                <w:numId w:val="34"/>
              </w:numPr>
              <w:spacing w:after="100" w:line="204" w:lineRule="auto"/>
              <w:ind w:left="360"/>
              <w:jc w:val="left"/>
              <w:rPr>
                <w:lang w:val="en-GB"/>
              </w:rPr>
            </w:pPr>
            <w:r w:rsidRPr="00331576">
              <w:rPr>
                <w:rFonts w:hint="cs"/>
                <w:szCs w:val="22"/>
                <w:rtl/>
                <w:lang w:val="en-GB"/>
              </w:rPr>
              <w:t>تعكس الحوكمة اعتبارات الإنصاف التي اعتمدتها الاتفاقية.</w:t>
            </w:r>
          </w:p>
          <w:p w:rsidR="00B42CBF" w:rsidRPr="00CF1672" w:rsidRDefault="00B42CBF" w:rsidP="00FF7FA5">
            <w:pPr>
              <w:numPr>
                <w:ilvl w:val="0"/>
                <w:numId w:val="34"/>
              </w:numPr>
              <w:spacing w:after="100" w:line="204" w:lineRule="auto"/>
              <w:ind w:left="360"/>
              <w:jc w:val="left"/>
              <w:rPr>
                <w:b/>
                <w:bCs/>
                <w:rtl/>
                <w:lang w:val="en-GB"/>
              </w:rPr>
            </w:pPr>
            <w:r w:rsidRPr="00331576">
              <w:rPr>
                <w:rFonts w:hint="cs"/>
                <w:szCs w:val="22"/>
                <w:rtl/>
                <w:lang w:val="en-GB"/>
              </w:rPr>
              <w:t>قد تمارس الحوكمة من قبل سلطة</w:t>
            </w:r>
            <w:r>
              <w:rPr>
                <w:rFonts w:hint="cs"/>
                <w:szCs w:val="22"/>
                <w:rtl/>
                <w:lang w:val="en-GB"/>
              </w:rPr>
              <w:t xml:space="preserve"> و/أو منظمة</w:t>
            </w:r>
            <w:r w:rsidRPr="00331576">
              <w:rPr>
                <w:rFonts w:hint="cs"/>
                <w:szCs w:val="22"/>
                <w:rtl/>
                <w:lang w:val="en-GB"/>
              </w:rPr>
              <w:t xml:space="preserve"> واحدة أو من خلال التعاون بين السلطات المعنية، وهي توفر القدرة على معالجة التهديدات بشكل جماعي.</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الإدارة</w:t>
            </w:r>
          </w:p>
        </w:tc>
        <w:tc>
          <w:tcPr>
            <w:tcW w:w="8039" w:type="dxa"/>
            <w:shd w:val="clear" w:color="auto" w:fill="auto"/>
          </w:tcPr>
          <w:p w:rsidR="00B42CBF" w:rsidRPr="00B04474" w:rsidRDefault="00B42CBF" w:rsidP="00FF7FA5">
            <w:pPr>
              <w:numPr>
                <w:ilvl w:val="0"/>
                <w:numId w:val="34"/>
              </w:numPr>
              <w:spacing w:after="100" w:line="204" w:lineRule="auto"/>
              <w:ind w:left="360"/>
              <w:jc w:val="left"/>
              <w:rPr>
                <w:lang w:val="en-GB"/>
              </w:rPr>
            </w:pPr>
            <w:r w:rsidRPr="00B04474">
              <w:rPr>
                <w:rFonts w:hint="cs"/>
                <w:szCs w:val="22"/>
                <w:rtl/>
                <w:lang w:val="en-GB"/>
              </w:rPr>
              <w:t>مدارة بوسائل تحقق نتائج إيجابية ومستدامة لحفظ التنوع البيولوجي.</w:t>
            </w:r>
          </w:p>
          <w:p w:rsidR="00B42CBF" w:rsidRPr="00331576" w:rsidRDefault="00B42CBF" w:rsidP="00FF7FA5">
            <w:pPr>
              <w:numPr>
                <w:ilvl w:val="0"/>
                <w:numId w:val="34"/>
              </w:numPr>
              <w:spacing w:after="100" w:line="204" w:lineRule="auto"/>
              <w:ind w:left="360"/>
              <w:jc w:val="left"/>
              <w:rPr>
                <w:b/>
                <w:bCs/>
                <w:lang w:val="en-GB"/>
              </w:rPr>
            </w:pPr>
            <w:r w:rsidRPr="00331576">
              <w:rPr>
                <w:rFonts w:hint="cs"/>
                <w:szCs w:val="22"/>
                <w:rtl/>
                <w:lang w:val="en-GB"/>
              </w:rPr>
              <w:t xml:space="preserve">السلطات المعنية </w:t>
            </w:r>
            <w:r>
              <w:rPr>
                <w:rFonts w:hint="cs"/>
                <w:szCs w:val="22"/>
                <w:rtl/>
                <w:lang w:val="en-GB"/>
              </w:rPr>
              <w:t xml:space="preserve">وأصحاب المصلحة </w:t>
            </w:r>
            <w:r w:rsidRPr="00331576">
              <w:rPr>
                <w:rFonts w:hint="cs"/>
                <w:szCs w:val="22"/>
                <w:rtl/>
                <w:lang w:val="en-GB"/>
              </w:rPr>
              <w:t>محددة وتشارك في الإدارة.</w:t>
            </w:r>
          </w:p>
          <w:p w:rsidR="00B42CBF" w:rsidRPr="00331576" w:rsidRDefault="00B42CBF" w:rsidP="00FF7FA5">
            <w:pPr>
              <w:numPr>
                <w:ilvl w:val="0"/>
                <w:numId w:val="34"/>
              </w:numPr>
              <w:spacing w:after="100" w:line="204" w:lineRule="auto"/>
              <w:ind w:left="360"/>
              <w:jc w:val="left"/>
              <w:rPr>
                <w:b/>
                <w:bCs/>
                <w:lang w:val="en-GB"/>
              </w:rPr>
            </w:pPr>
            <w:r w:rsidRPr="00331576">
              <w:rPr>
                <w:rFonts w:hint="cs"/>
                <w:szCs w:val="22"/>
                <w:rtl/>
                <w:lang w:val="en-GB"/>
              </w:rPr>
              <w:t xml:space="preserve">يوجد نظام </w:t>
            </w:r>
            <w:r>
              <w:rPr>
                <w:rFonts w:hint="cs"/>
                <w:szCs w:val="22"/>
                <w:rtl/>
                <w:lang w:val="en-GB"/>
              </w:rPr>
              <w:t>للإدارة</w:t>
            </w:r>
            <w:r w:rsidRPr="00331576">
              <w:rPr>
                <w:rFonts w:hint="cs"/>
                <w:szCs w:val="22"/>
                <w:rtl/>
                <w:lang w:val="en-GB"/>
              </w:rPr>
              <w:t xml:space="preserve"> يسهم في </w:t>
            </w:r>
            <w:r>
              <w:rPr>
                <w:rFonts w:hint="cs"/>
                <w:szCs w:val="22"/>
                <w:rtl/>
                <w:lang w:val="en-GB"/>
              </w:rPr>
              <w:t>استدامة حفظ</w:t>
            </w:r>
            <w:r w:rsidRPr="00331576">
              <w:rPr>
                <w:rFonts w:hint="cs"/>
                <w:szCs w:val="22"/>
                <w:rtl/>
                <w:lang w:val="en-GB"/>
              </w:rPr>
              <w:t xml:space="preserve"> التنوع البيولوجي في الموقع الطبيعي.</w:t>
            </w:r>
          </w:p>
          <w:p w:rsidR="00B42CBF" w:rsidRPr="00CF1672" w:rsidRDefault="00B42CBF" w:rsidP="00FF7FA5">
            <w:pPr>
              <w:numPr>
                <w:ilvl w:val="0"/>
                <w:numId w:val="34"/>
              </w:numPr>
              <w:spacing w:after="100" w:line="204" w:lineRule="auto"/>
              <w:ind w:left="360"/>
              <w:jc w:val="left"/>
              <w:rPr>
                <w:b/>
                <w:bCs/>
                <w:rtl/>
                <w:lang w:val="en-GB"/>
              </w:rPr>
            </w:pPr>
            <w:r w:rsidRPr="00331576">
              <w:rPr>
                <w:rFonts w:hint="cs"/>
                <w:szCs w:val="22"/>
                <w:rtl/>
                <w:lang w:val="en-GB"/>
              </w:rPr>
              <w:t xml:space="preserve">تتسق الإدارة مع نهج النظام الإيكولوجي مع القدرة على التكيُّف لتحقيق </w:t>
            </w:r>
            <w:r>
              <w:rPr>
                <w:rFonts w:hint="cs"/>
                <w:szCs w:val="22"/>
                <w:rtl/>
                <w:lang w:val="en-GB"/>
              </w:rPr>
              <w:t>ال</w:t>
            </w:r>
            <w:r w:rsidRPr="00331576">
              <w:rPr>
                <w:rFonts w:hint="cs"/>
                <w:szCs w:val="22"/>
                <w:rtl/>
                <w:lang w:val="en-GB"/>
              </w:rPr>
              <w:t>نتائج ا</w:t>
            </w:r>
            <w:r>
              <w:rPr>
                <w:rFonts w:hint="cs"/>
                <w:szCs w:val="22"/>
                <w:rtl/>
                <w:lang w:val="en-GB"/>
              </w:rPr>
              <w:t>لمتوقعة لحفظ ا</w:t>
            </w:r>
            <w:r w:rsidRPr="00331576">
              <w:rPr>
                <w:rFonts w:hint="cs"/>
                <w:szCs w:val="22"/>
                <w:rtl/>
                <w:lang w:val="en-GB"/>
              </w:rPr>
              <w:t xml:space="preserve">لتنوع البيولوجي، بما في ذلك النتائج طويلة </w:t>
            </w:r>
            <w:r>
              <w:rPr>
                <w:rFonts w:hint="cs"/>
                <w:szCs w:val="22"/>
                <w:rtl/>
                <w:lang w:val="en-GB"/>
              </w:rPr>
              <w:t>الأجل</w:t>
            </w:r>
            <w:r w:rsidRPr="00331576">
              <w:rPr>
                <w:rFonts w:hint="cs"/>
                <w:szCs w:val="22"/>
                <w:rtl/>
                <w:lang w:val="en-GB"/>
              </w:rPr>
              <w:t>، وبما في ذلك القدرة على إدارة تهديد جديد.</w:t>
            </w:r>
          </w:p>
        </w:tc>
      </w:tr>
      <w:tr w:rsidR="00B42CBF" w:rsidRPr="00331576" w:rsidTr="00EE0FD7">
        <w:tc>
          <w:tcPr>
            <w:tcW w:w="9848" w:type="dxa"/>
            <w:gridSpan w:val="2"/>
            <w:shd w:val="clear" w:color="auto" w:fill="D9D9D9"/>
          </w:tcPr>
          <w:p w:rsidR="00B42CBF" w:rsidRPr="00331576" w:rsidRDefault="00B42CBF" w:rsidP="00EE0FD7">
            <w:pPr>
              <w:spacing w:after="100" w:line="204" w:lineRule="auto"/>
              <w:rPr>
                <w:b/>
                <w:bCs/>
                <w:rtl/>
                <w:lang w:val="en-GB"/>
              </w:rPr>
            </w:pPr>
            <w:r w:rsidRPr="00331576">
              <w:rPr>
                <w:rFonts w:hint="cs"/>
                <w:b/>
                <w:bCs/>
                <w:szCs w:val="22"/>
                <w:rtl/>
                <w:lang w:val="en-GB"/>
              </w:rPr>
              <w:t>المعيار جيم: المنطقة تسهم مساهمة مستدامة وفعالة في حفظ التنوع البيولوجي في الموقع الطبيعي</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فعالة</w:t>
            </w:r>
          </w:p>
        </w:tc>
        <w:tc>
          <w:tcPr>
            <w:tcW w:w="8039" w:type="dxa"/>
            <w:shd w:val="clear" w:color="auto" w:fill="auto"/>
          </w:tcPr>
          <w:p w:rsidR="00B42CBF" w:rsidRPr="00331576" w:rsidRDefault="00B42CBF" w:rsidP="00CD26C5">
            <w:pPr>
              <w:numPr>
                <w:ilvl w:val="0"/>
                <w:numId w:val="51"/>
              </w:numPr>
              <w:spacing w:after="100" w:line="204" w:lineRule="auto"/>
              <w:ind w:left="360"/>
              <w:jc w:val="left"/>
              <w:rPr>
                <w:lang w:val="en-GB"/>
              </w:rPr>
            </w:pPr>
            <w:r w:rsidRPr="00331576">
              <w:rPr>
                <w:rFonts w:hint="cs"/>
                <w:szCs w:val="22"/>
                <w:rtl/>
                <w:lang w:val="en-GB"/>
              </w:rPr>
              <w:t>تحقق المنطقة، أو من المنتظر أن تحقق، نتائج إيجابية ومستدامة لحفظ التنوع البيولوجي في الموقع الطبيعي.</w:t>
            </w:r>
          </w:p>
          <w:p w:rsidR="00B42CBF" w:rsidRPr="0061755F" w:rsidRDefault="00B42CBF" w:rsidP="00CD26C5">
            <w:pPr>
              <w:numPr>
                <w:ilvl w:val="0"/>
                <w:numId w:val="51"/>
              </w:numPr>
              <w:spacing w:after="100" w:line="204" w:lineRule="auto"/>
              <w:ind w:left="360"/>
              <w:jc w:val="left"/>
              <w:rPr>
                <w:lang w:val="en-GB"/>
              </w:rPr>
            </w:pPr>
            <w:r w:rsidRPr="0061755F">
              <w:rPr>
                <w:rFonts w:hint="cs"/>
                <w:szCs w:val="22"/>
                <w:rtl/>
                <w:lang w:val="en-GB"/>
              </w:rPr>
              <w:t xml:space="preserve">يتم التعامل بفعالية مع التهديدات </w:t>
            </w:r>
            <w:r>
              <w:rPr>
                <w:rFonts w:hint="cs"/>
                <w:szCs w:val="22"/>
                <w:rtl/>
                <w:lang w:val="en-GB"/>
              </w:rPr>
              <w:t>الحالية أو المتوقعة على نحو معقول عن طريق منعها أو التقليل كثيرا منها أو إزالتها وإعادة النظم الإيكولوجية المتدهورة إلى حالتها.</w:t>
            </w:r>
          </w:p>
          <w:p w:rsidR="00B42CBF" w:rsidRPr="00331576" w:rsidRDefault="00B42CBF" w:rsidP="00CD26C5">
            <w:pPr>
              <w:numPr>
                <w:ilvl w:val="0"/>
                <w:numId w:val="51"/>
              </w:numPr>
              <w:spacing w:after="100" w:line="204" w:lineRule="auto"/>
              <w:ind w:left="360"/>
              <w:jc w:val="left"/>
              <w:rPr>
                <w:lang w:val="en-GB"/>
              </w:rPr>
            </w:pPr>
            <w:r w:rsidRPr="00331576">
              <w:rPr>
                <w:rFonts w:hint="cs"/>
                <w:szCs w:val="22"/>
                <w:rtl/>
                <w:lang w:val="en-GB"/>
              </w:rPr>
              <w:t>توجد آليات، مثل أطر السياسات والقواعد التنظيمية، للتعرف على التهديدات الجديدة والتصدي لها.</w:t>
            </w:r>
          </w:p>
          <w:p w:rsidR="00B42CBF" w:rsidRPr="00331576" w:rsidRDefault="00B42CBF" w:rsidP="00CD26C5">
            <w:pPr>
              <w:numPr>
                <w:ilvl w:val="0"/>
                <w:numId w:val="51"/>
              </w:numPr>
              <w:spacing w:after="100" w:line="204" w:lineRule="auto"/>
              <w:ind w:left="360"/>
              <w:jc w:val="left"/>
              <w:rPr>
                <w:rtl/>
                <w:lang w:val="en-GB"/>
              </w:rPr>
            </w:pPr>
            <w:r w:rsidRPr="00331576">
              <w:rPr>
                <w:rFonts w:hint="cs"/>
                <w:szCs w:val="22"/>
                <w:rtl/>
                <w:lang w:val="en-GB"/>
              </w:rPr>
              <w:t>الإدارة داخل وخارج تدابير الحفظ الفعالة الأخرى القائمة على أساس المناطق متكاملة ب</w:t>
            </w:r>
            <w:r>
              <w:rPr>
                <w:rFonts w:hint="cs"/>
                <w:szCs w:val="22"/>
                <w:rtl/>
                <w:lang w:val="en-GB"/>
              </w:rPr>
              <w:t>ال</w:t>
            </w:r>
            <w:r w:rsidRPr="00331576">
              <w:rPr>
                <w:rFonts w:hint="cs"/>
                <w:szCs w:val="22"/>
                <w:rtl/>
                <w:lang w:val="en-GB"/>
              </w:rPr>
              <w:t xml:space="preserve">قدر </w:t>
            </w:r>
            <w:r>
              <w:rPr>
                <w:rFonts w:hint="cs"/>
                <w:szCs w:val="22"/>
                <w:rtl/>
                <w:lang w:val="en-GB"/>
              </w:rPr>
              <w:t>المناسب و</w:t>
            </w:r>
            <w:r w:rsidRPr="00331576">
              <w:rPr>
                <w:rFonts w:hint="cs"/>
                <w:szCs w:val="22"/>
                <w:rtl/>
                <w:lang w:val="en-GB"/>
              </w:rPr>
              <w:t>المستطاع.</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مستدامة على المدى الطويل</w:t>
            </w:r>
          </w:p>
        </w:tc>
        <w:tc>
          <w:tcPr>
            <w:tcW w:w="8039" w:type="dxa"/>
            <w:shd w:val="clear" w:color="auto" w:fill="auto"/>
          </w:tcPr>
          <w:p w:rsidR="00B42CBF" w:rsidRPr="00D91228" w:rsidRDefault="00B42CBF" w:rsidP="00CD26C5">
            <w:pPr>
              <w:numPr>
                <w:ilvl w:val="0"/>
                <w:numId w:val="52"/>
              </w:numPr>
              <w:spacing w:after="100" w:line="204" w:lineRule="auto"/>
              <w:ind w:left="360"/>
              <w:jc w:val="left"/>
              <w:rPr>
                <w:b/>
                <w:bCs/>
                <w:spacing w:val="-8"/>
                <w:lang w:val="en-GB"/>
              </w:rPr>
            </w:pPr>
            <w:r w:rsidRPr="00331576">
              <w:rPr>
                <w:rFonts w:hint="cs"/>
                <w:szCs w:val="22"/>
                <w:rtl/>
                <w:lang w:val="en-GB"/>
              </w:rPr>
              <w:t xml:space="preserve">توجد تدابير الحفظ الفعالة </w:t>
            </w:r>
            <w:r w:rsidRPr="00D91228">
              <w:rPr>
                <w:rFonts w:hint="cs"/>
                <w:spacing w:val="-8"/>
                <w:szCs w:val="22"/>
                <w:rtl/>
                <w:lang w:val="en-GB"/>
              </w:rPr>
              <w:t>الأخرى القائمة على أساس المناطق</w:t>
            </w:r>
            <w:r w:rsidRPr="00331576">
              <w:rPr>
                <w:rFonts w:hint="cs"/>
                <w:szCs w:val="22"/>
                <w:rtl/>
                <w:lang w:val="en-GB"/>
              </w:rPr>
              <w:t xml:space="preserve"> </w:t>
            </w:r>
            <w:r w:rsidRPr="00D91228">
              <w:rPr>
                <w:rFonts w:hint="cs"/>
                <w:spacing w:val="-8"/>
                <w:szCs w:val="22"/>
                <w:rtl/>
                <w:lang w:val="en-GB"/>
              </w:rPr>
              <w:t>على المدى الطويل أو من الأرجح أن تكون كذلك.</w:t>
            </w:r>
          </w:p>
          <w:p w:rsidR="00B42CBF" w:rsidRPr="00331576" w:rsidRDefault="00B42CBF" w:rsidP="00CD26C5">
            <w:pPr>
              <w:numPr>
                <w:ilvl w:val="0"/>
                <w:numId w:val="52"/>
              </w:numPr>
              <w:spacing w:after="100" w:line="204" w:lineRule="auto"/>
              <w:ind w:left="360"/>
              <w:jc w:val="left"/>
              <w:rPr>
                <w:b/>
                <w:bCs/>
                <w:rtl/>
                <w:lang w:val="en-GB"/>
              </w:rPr>
            </w:pPr>
            <w:r w:rsidRPr="00331576">
              <w:rPr>
                <w:rFonts w:hint="cs"/>
                <w:szCs w:val="22"/>
                <w:rtl/>
                <w:lang w:val="en-GB"/>
              </w:rPr>
              <w:t xml:space="preserve">يتعلق مصطلح "مستدام" باستمرارية الحوكمة والإدارة، </w:t>
            </w:r>
            <w:r w:rsidRPr="00D91228">
              <w:rPr>
                <w:rFonts w:hint="cs"/>
                <w:spacing w:val="-8"/>
                <w:szCs w:val="22"/>
                <w:rtl/>
                <w:lang w:val="en-GB"/>
              </w:rPr>
              <w:t>ويتعلق مصطلح "المدى الطويل" بالنتائج للتنوع البيولوجي.</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Pr>
                <w:rFonts w:hint="cs"/>
                <w:b/>
                <w:bCs/>
                <w:szCs w:val="22"/>
                <w:rtl/>
                <w:lang w:val="en-GB"/>
              </w:rPr>
              <w:t>حفظ التنوع البيولوجي في الموقع الطبيعي</w:t>
            </w:r>
          </w:p>
        </w:tc>
        <w:tc>
          <w:tcPr>
            <w:tcW w:w="8039" w:type="dxa"/>
            <w:shd w:val="clear" w:color="auto" w:fill="auto"/>
          </w:tcPr>
          <w:p w:rsidR="00B42CBF" w:rsidRPr="00331576" w:rsidRDefault="00B42CBF" w:rsidP="00CD26C5">
            <w:pPr>
              <w:numPr>
                <w:ilvl w:val="0"/>
                <w:numId w:val="52"/>
              </w:numPr>
              <w:spacing w:after="100" w:line="204" w:lineRule="auto"/>
              <w:ind w:left="360"/>
              <w:jc w:val="left"/>
              <w:rPr>
                <w:rtl/>
                <w:lang w:val="en-GB"/>
              </w:rPr>
            </w:pPr>
            <w:r>
              <w:rPr>
                <w:rFonts w:hint="cs"/>
                <w:szCs w:val="22"/>
                <w:rtl/>
                <w:lang w:val="en-GB"/>
              </w:rPr>
              <w:t xml:space="preserve">الاعتراف بتدابير الحفظ الفعالة الأخرى القائمة على أساس المناطق </w:t>
            </w:r>
            <w:r>
              <w:rPr>
                <w:szCs w:val="22"/>
                <w:rtl/>
                <w:lang w:val="en-GB"/>
              </w:rPr>
              <w:t>–</w:t>
            </w:r>
            <w:r>
              <w:rPr>
                <w:rFonts w:hint="cs"/>
                <w:szCs w:val="22"/>
                <w:rtl/>
                <w:lang w:val="en-GB"/>
              </w:rPr>
              <w:t xml:space="preserve"> من المتوقع إدراج تحديد نطاق خصائص التنوع البيولوجي التي يعتبر الموقع مهما بموجبها (مثلا مجموعات الأنواع النادرة، أو المهددة بالانقراض أو المعرضة للخطر</w:t>
            </w:r>
            <w:r w:rsidRPr="00D91228">
              <w:rPr>
                <w:rFonts w:hint="cs"/>
                <w:spacing w:val="-8"/>
                <w:szCs w:val="22"/>
                <w:rtl/>
                <w:lang w:val="en-GB"/>
              </w:rPr>
              <w:t>، والنظم الإيكولوجية الطبيعية الممثلة، والأنواع مقيدة المدى، والمناطق</w:t>
            </w:r>
            <w:r>
              <w:rPr>
                <w:rFonts w:hint="cs"/>
                <w:szCs w:val="22"/>
                <w:rtl/>
                <w:lang w:val="en-GB"/>
              </w:rPr>
              <w:t xml:space="preserve"> </w:t>
            </w:r>
            <w:r w:rsidRPr="00D91228">
              <w:rPr>
                <w:rFonts w:hint="cs"/>
                <w:spacing w:val="-8"/>
                <w:szCs w:val="22"/>
                <w:rtl/>
                <w:lang w:val="en-GB"/>
              </w:rPr>
              <w:t>الرئيسية للتنوع البيولوجي، والمناطق التي تقدم وظائف وخدمات</w:t>
            </w:r>
            <w:r>
              <w:rPr>
                <w:rFonts w:hint="cs"/>
                <w:szCs w:val="22"/>
                <w:rtl/>
                <w:lang w:val="en-GB"/>
              </w:rPr>
              <w:t xml:space="preserve"> </w:t>
            </w:r>
            <w:r w:rsidRPr="00D91228">
              <w:rPr>
                <w:rFonts w:hint="cs"/>
                <w:spacing w:val="-8"/>
                <w:szCs w:val="22"/>
                <w:rtl/>
                <w:lang w:val="en-GB"/>
              </w:rPr>
              <w:t>حيوية للنظم الإيكولوجية، والمناطق للترابط الإيكولوجي).</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sidRPr="00331576">
              <w:rPr>
                <w:rFonts w:hint="cs"/>
                <w:b/>
                <w:bCs/>
                <w:szCs w:val="22"/>
                <w:rtl/>
                <w:lang w:val="en-GB"/>
              </w:rPr>
              <w:t>الإعلام والرصد</w:t>
            </w:r>
          </w:p>
        </w:tc>
        <w:tc>
          <w:tcPr>
            <w:tcW w:w="8039" w:type="dxa"/>
            <w:shd w:val="clear" w:color="auto" w:fill="auto"/>
          </w:tcPr>
          <w:p w:rsidR="00B42CBF" w:rsidRPr="00331576" w:rsidRDefault="00B42CBF" w:rsidP="00CD26C5">
            <w:pPr>
              <w:numPr>
                <w:ilvl w:val="0"/>
                <w:numId w:val="52"/>
              </w:numPr>
              <w:spacing w:after="100" w:line="204" w:lineRule="auto"/>
              <w:ind w:left="360"/>
              <w:jc w:val="left"/>
              <w:rPr>
                <w:lang w:val="en-GB"/>
              </w:rPr>
            </w:pPr>
            <w:r w:rsidRPr="00331576">
              <w:rPr>
                <w:rFonts w:hint="cs"/>
                <w:szCs w:val="22"/>
                <w:rtl/>
                <w:lang w:val="en-GB"/>
              </w:rPr>
              <w:t>ينبغي لتحديد تدابير الحفظ الفعالة الأخرى القائمة على أساس المناطق أن يوثق، بقدر المستطاع، خصائص التنوع البيولوجي المعروفة، بما في ذلك القيم الثقافية و/أو الروحية، للمنطقة، وكذلك الحوكمة والإدارة السائدين كخط أساس لتقييم الفعالية.</w:t>
            </w:r>
          </w:p>
          <w:p w:rsidR="00B42CBF" w:rsidRPr="00D91228" w:rsidRDefault="00B42CBF" w:rsidP="00CD26C5">
            <w:pPr>
              <w:numPr>
                <w:ilvl w:val="0"/>
                <w:numId w:val="52"/>
              </w:numPr>
              <w:spacing w:after="100" w:line="204" w:lineRule="auto"/>
              <w:ind w:left="360"/>
              <w:jc w:val="left"/>
              <w:rPr>
                <w:spacing w:val="-8"/>
                <w:lang w:val="en-GB"/>
              </w:rPr>
            </w:pPr>
            <w:r w:rsidRPr="00D91228">
              <w:rPr>
                <w:rFonts w:hint="cs"/>
                <w:spacing w:val="-8"/>
                <w:szCs w:val="22"/>
                <w:rtl/>
                <w:lang w:val="en-GB"/>
              </w:rPr>
              <w:lastRenderedPageBreak/>
              <w:t>يوجد نظام رصد يُعلم الإدارة عن فعالية التدابير</w:t>
            </w:r>
            <w:r w:rsidRPr="00331576">
              <w:rPr>
                <w:rFonts w:hint="cs"/>
                <w:szCs w:val="22"/>
                <w:rtl/>
                <w:lang w:val="en-GB"/>
              </w:rPr>
              <w:t xml:space="preserve"> </w:t>
            </w:r>
            <w:r w:rsidRPr="00D91228">
              <w:rPr>
                <w:rFonts w:hint="cs"/>
                <w:spacing w:val="-8"/>
                <w:szCs w:val="22"/>
                <w:rtl/>
                <w:lang w:val="en-GB"/>
              </w:rPr>
              <w:t>فيما يتعلق بالتنوع البيولوجي، بما في ذلك صحة النظم الإيكولوجية.</w:t>
            </w:r>
          </w:p>
          <w:p w:rsidR="00B42CBF" w:rsidRDefault="00B42CBF" w:rsidP="00CD26C5">
            <w:pPr>
              <w:numPr>
                <w:ilvl w:val="0"/>
                <w:numId w:val="52"/>
              </w:numPr>
              <w:spacing w:after="100" w:line="204" w:lineRule="auto"/>
              <w:ind w:left="360"/>
              <w:jc w:val="left"/>
              <w:rPr>
                <w:lang w:val="en-GB"/>
              </w:rPr>
            </w:pPr>
            <w:r w:rsidRPr="00331576">
              <w:rPr>
                <w:rFonts w:hint="cs"/>
                <w:szCs w:val="22"/>
                <w:rtl/>
                <w:lang w:val="en-GB"/>
              </w:rPr>
              <w:t>ينبغي وضع عمليات لتقييم فعالية الحوكمة والإدارة، بما في ذلك ما يتعلق بالإنصاف.</w:t>
            </w:r>
          </w:p>
          <w:p w:rsidR="00D91228" w:rsidRPr="00D91228" w:rsidRDefault="00B42CBF" w:rsidP="00CD26C5">
            <w:pPr>
              <w:numPr>
                <w:ilvl w:val="0"/>
                <w:numId w:val="52"/>
              </w:numPr>
              <w:spacing w:after="100" w:line="204" w:lineRule="auto"/>
              <w:ind w:left="360"/>
              <w:jc w:val="left"/>
              <w:rPr>
                <w:rtl/>
                <w:lang w:val="en-GB"/>
              </w:rPr>
            </w:pPr>
            <w:r>
              <w:rPr>
                <w:rFonts w:hint="cs"/>
                <w:szCs w:val="22"/>
                <w:rtl/>
                <w:lang w:val="en-GB"/>
              </w:rPr>
              <w:t>البيانات العامة للمنطقة مثل الحدود والهدف والحوكمة متاحة.</w:t>
            </w:r>
          </w:p>
        </w:tc>
      </w:tr>
      <w:tr w:rsidR="00B42CBF" w:rsidRPr="00331576" w:rsidTr="00EE0FD7">
        <w:tc>
          <w:tcPr>
            <w:tcW w:w="9848" w:type="dxa"/>
            <w:gridSpan w:val="2"/>
            <w:shd w:val="clear" w:color="auto" w:fill="D9D9D9"/>
          </w:tcPr>
          <w:p w:rsidR="00B42CBF" w:rsidRPr="00331576" w:rsidRDefault="00B42CBF" w:rsidP="00EE0FD7">
            <w:pPr>
              <w:spacing w:after="100" w:line="204" w:lineRule="auto"/>
              <w:ind w:left="476" w:hanging="274"/>
              <w:rPr>
                <w:b/>
                <w:bCs/>
                <w:rtl/>
                <w:lang w:val="en-GB"/>
              </w:rPr>
            </w:pPr>
            <w:r w:rsidRPr="00331576">
              <w:rPr>
                <w:rFonts w:hint="cs"/>
                <w:b/>
                <w:bCs/>
                <w:szCs w:val="22"/>
                <w:rtl/>
                <w:lang w:val="en-GB"/>
              </w:rPr>
              <w:lastRenderedPageBreak/>
              <w:t xml:space="preserve">المعيار دال: </w:t>
            </w:r>
            <w:r>
              <w:rPr>
                <w:rFonts w:hint="cs"/>
                <w:b/>
                <w:bCs/>
                <w:szCs w:val="22"/>
                <w:rtl/>
                <w:lang w:val="en-GB"/>
              </w:rPr>
              <w:t>وظائف و</w:t>
            </w:r>
            <w:r w:rsidRPr="00331576">
              <w:rPr>
                <w:rFonts w:hint="cs"/>
                <w:b/>
                <w:bCs/>
                <w:szCs w:val="22"/>
                <w:rtl/>
                <w:lang w:val="en-GB"/>
              </w:rPr>
              <w:t>خدمات النظم الإيكولوجية ذات الصلة والقيم الثقافية والروحية</w:t>
            </w:r>
            <w:r>
              <w:rPr>
                <w:rFonts w:hint="cs"/>
                <w:b/>
                <w:bCs/>
                <w:rtl/>
                <w:lang w:val="en-GB"/>
              </w:rPr>
              <w:t xml:space="preserve"> والاجتماعية الاقتصادية والقيم المحلية الأخرى ذات الصلة</w:t>
            </w:r>
          </w:p>
        </w:tc>
      </w:tr>
      <w:tr w:rsidR="00B42CBF" w:rsidRPr="00331576" w:rsidTr="00EE0FD7">
        <w:tc>
          <w:tcPr>
            <w:tcW w:w="1809" w:type="dxa"/>
            <w:shd w:val="clear" w:color="auto" w:fill="auto"/>
          </w:tcPr>
          <w:p w:rsidR="00B42CBF" w:rsidRPr="00331576" w:rsidRDefault="00B42CBF" w:rsidP="00EE0FD7">
            <w:pPr>
              <w:spacing w:after="100" w:line="204" w:lineRule="auto"/>
              <w:rPr>
                <w:b/>
                <w:bCs/>
                <w:rtl/>
                <w:lang w:val="en-GB"/>
              </w:rPr>
            </w:pPr>
            <w:r>
              <w:rPr>
                <w:rFonts w:hint="cs"/>
                <w:b/>
                <w:bCs/>
                <w:szCs w:val="22"/>
                <w:rtl/>
                <w:lang w:val="en-GB"/>
              </w:rPr>
              <w:t>وظائف و</w:t>
            </w:r>
            <w:r w:rsidRPr="00331576">
              <w:rPr>
                <w:rFonts w:hint="cs"/>
                <w:b/>
                <w:bCs/>
                <w:szCs w:val="22"/>
                <w:rtl/>
                <w:lang w:val="en-GB"/>
              </w:rPr>
              <w:t>خدمات النظم الإيكولوجية</w:t>
            </w:r>
          </w:p>
        </w:tc>
        <w:tc>
          <w:tcPr>
            <w:tcW w:w="8039" w:type="dxa"/>
            <w:shd w:val="clear" w:color="auto" w:fill="auto"/>
          </w:tcPr>
          <w:p w:rsidR="00B42CBF" w:rsidRDefault="00B42CBF" w:rsidP="00CD26C5">
            <w:pPr>
              <w:numPr>
                <w:ilvl w:val="0"/>
                <w:numId w:val="53"/>
              </w:numPr>
              <w:spacing w:after="100" w:line="204" w:lineRule="auto"/>
              <w:ind w:left="360"/>
              <w:jc w:val="left"/>
              <w:rPr>
                <w:b/>
                <w:bCs/>
                <w:lang w:val="en-GB"/>
              </w:rPr>
            </w:pPr>
            <w:r>
              <w:rPr>
                <w:rFonts w:hint="cs"/>
                <w:szCs w:val="22"/>
                <w:rtl/>
                <w:lang w:val="en-GB"/>
              </w:rPr>
              <w:t>وظائف وخدمات النظ</w:t>
            </w:r>
            <w:r w:rsidRPr="00331576">
              <w:rPr>
                <w:rFonts w:hint="cs"/>
                <w:szCs w:val="22"/>
                <w:rtl/>
                <w:lang w:val="en-GB"/>
              </w:rPr>
              <w:t>م الإيكولوجي</w:t>
            </w:r>
            <w:r>
              <w:rPr>
                <w:rFonts w:hint="cs"/>
                <w:szCs w:val="22"/>
                <w:rtl/>
                <w:lang w:val="en-GB"/>
              </w:rPr>
              <w:t>ة</w:t>
            </w:r>
            <w:r w:rsidRPr="00331576">
              <w:rPr>
                <w:rFonts w:hint="cs"/>
                <w:szCs w:val="22"/>
                <w:rtl/>
                <w:lang w:val="en-GB"/>
              </w:rPr>
              <w:t xml:space="preserve"> مدعومة، </w:t>
            </w:r>
            <w:r>
              <w:rPr>
                <w:rFonts w:hint="cs"/>
                <w:szCs w:val="22"/>
                <w:rtl/>
                <w:lang w:val="en-GB"/>
              </w:rPr>
              <w:t>بما في ذلك</w:t>
            </w:r>
            <w:r w:rsidRPr="00331576">
              <w:rPr>
                <w:rFonts w:hint="cs"/>
                <w:szCs w:val="22"/>
                <w:rtl/>
                <w:lang w:val="en-GB"/>
              </w:rPr>
              <w:t xml:space="preserve"> تلك التي لديها أهمية بالنسبة للشعوب الأصلية والمجتمعات المحلية، </w:t>
            </w:r>
            <w:r>
              <w:rPr>
                <w:rFonts w:hint="cs"/>
                <w:szCs w:val="22"/>
                <w:rtl/>
                <w:lang w:val="en-GB"/>
              </w:rPr>
              <w:t xml:space="preserve">لتدابير الحفظ الفعالة الأخرى القائمة على أساس المناطق بخصوص أقاليمها، </w:t>
            </w:r>
            <w:r w:rsidRPr="00331576">
              <w:rPr>
                <w:rFonts w:hint="cs"/>
                <w:szCs w:val="22"/>
                <w:rtl/>
                <w:lang w:val="en-GB"/>
              </w:rPr>
              <w:t xml:space="preserve">مع مراعاة التفاعلات </w:t>
            </w:r>
            <w:r>
              <w:rPr>
                <w:rFonts w:hint="cs"/>
                <w:szCs w:val="22"/>
                <w:rtl/>
                <w:lang w:val="en-GB"/>
              </w:rPr>
              <w:t>والمفاضلات</w:t>
            </w:r>
            <w:r w:rsidRPr="00331576">
              <w:rPr>
                <w:rFonts w:hint="cs"/>
                <w:szCs w:val="22"/>
                <w:rtl/>
                <w:lang w:val="en-GB"/>
              </w:rPr>
              <w:t xml:space="preserve"> بين </w:t>
            </w:r>
            <w:r>
              <w:rPr>
                <w:rFonts w:hint="cs"/>
                <w:szCs w:val="22"/>
                <w:rtl/>
                <w:lang w:val="en-GB"/>
              </w:rPr>
              <w:t>وظائف وخدمات النظ</w:t>
            </w:r>
            <w:r w:rsidRPr="00331576">
              <w:rPr>
                <w:rFonts w:hint="cs"/>
                <w:szCs w:val="22"/>
                <w:rtl/>
                <w:lang w:val="en-GB"/>
              </w:rPr>
              <w:t>م الإيكولوجي</w:t>
            </w:r>
            <w:r>
              <w:rPr>
                <w:rFonts w:hint="cs"/>
                <w:szCs w:val="22"/>
                <w:rtl/>
                <w:lang w:val="en-GB"/>
              </w:rPr>
              <w:t>ة</w:t>
            </w:r>
            <w:r w:rsidRPr="00331576">
              <w:rPr>
                <w:rFonts w:hint="cs"/>
                <w:szCs w:val="22"/>
                <w:rtl/>
                <w:lang w:val="en-GB"/>
              </w:rPr>
              <w:t>، بهدف ضمان نتائج إيجابية للتنوع البيولوجي والإنصاف.</w:t>
            </w:r>
          </w:p>
          <w:p w:rsidR="00B42CBF" w:rsidRPr="00113649" w:rsidRDefault="00B42CBF" w:rsidP="00CD26C5">
            <w:pPr>
              <w:numPr>
                <w:ilvl w:val="0"/>
                <w:numId w:val="53"/>
              </w:numPr>
              <w:spacing w:after="100" w:line="204" w:lineRule="auto"/>
              <w:ind w:left="360"/>
              <w:jc w:val="left"/>
              <w:rPr>
                <w:rtl/>
                <w:lang w:val="en-GB"/>
              </w:rPr>
            </w:pPr>
            <w:r w:rsidRPr="00113649">
              <w:rPr>
                <w:rFonts w:hint="cs"/>
                <w:szCs w:val="22"/>
                <w:rtl/>
                <w:lang w:val="en-GB"/>
              </w:rPr>
              <w:t xml:space="preserve">الإدارة لتعزيز </w:t>
            </w:r>
            <w:r>
              <w:rPr>
                <w:rFonts w:hint="cs"/>
                <w:szCs w:val="22"/>
                <w:rtl/>
                <w:lang w:val="en-GB"/>
              </w:rPr>
              <w:t>وظيفة و</w:t>
            </w:r>
            <w:r w:rsidRPr="00113649">
              <w:rPr>
                <w:rFonts w:hint="cs"/>
                <w:szCs w:val="22"/>
                <w:rtl/>
                <w:lang w:val="en-GB"/>
              </w:rPr>
              <w:t>خدمة معينة للنظام الإيكولوجي ينبغي إلا تؤثر سلبيا على الموائع ذات التنوع البيولوجي الشامل.</w:t>
            </w:r>
          </w:p>
        </w:tc>
      </w:tr>
      <w:tr w:rsidR="00B42CBF" w:rsidRPr="00331576" w:rsidTr="00EE0FD7">
        <w:tc>
          <w:tcPr>
            <w:tcW w:w="1809" w:type="dxa"/>
            <w:shd w:val="clear" w:color="auto" w:fill="auto"/>
          </w:tcPr>
          <w:p w:rsidR="00B42CBF" w:rsidRPr="00331576" w:rsidRDefault="00B42CBF" w:rsidP="00EE0FD7">
            <w:pPr>
              <w:keepNext/>
              <w:spacing w:after="100" w:line="204" w:lineRule="auto"/>
              <w:rPr>
                <w:b/>
                <w:bCs/>
                <w:rtl/>
                <w:lang w:val="en-GB"/>
              </w:rPr>
            </w:pPr>
            <w:r w:rsidRPr="00331576">
              <w:rPr>
                <w:rFonts w:hint="cs"/>
                <w:b/>
                <w:bCs/>
                <w:szCs w:val="22"/>
                <w:rtl/>
                <w:lang w:val="en-GB"/>
              </w:rPr>
              <w:t>القيم الثقافية والروحية</w:t>
            </w:r>
            <w:r>
              <w:rPr>
                <w:rFonts w:hint="cs"/>
                <w:b/>
                <w:bCs/>
                <w:szCs w:val="22"/>
                <w:rtl/>
                <w:lang w:val="en-GB"/>
              </w:rPr>
              <w:t xml:space="preserve"> والاجتماعية والاقتصادية والقيم الأخرى ذات الأهمية على المستوى المحلي</w:t>
            </w:r>
          </w:p>
        </w:tc>
        <w:tc>
          <w:tcPr>
            <w:tcW w:w="8039" w:type="dxa"/>
            <w:shd w:val="clear" w:color="auto" w:fill="auto"/>
          </w:tcPr>
          <w:p w:rsidR="00B42CBF" w:rsidRPr="00331576" w:rsidRDefault="00B42CBF" w:rsidP="00CD26C5">
            <w:pPr>
              <w:numPr>
                <w:ilvl w:val="0"/>
                <w:numId w:val="53"/>
              </w:numPr>
              <w:spacing w:after="100" w:line="204" w:lineRule="auto"/>
              <w:ind w:left="360"/>
              <w:jc w:val="left"/>
              <w:rPr>
                <w:b/>
                <w:bCs/>
                <w:lang w:val="en-GB"/>
              </w:rPr>
            </w:pPr>
            <w:r w:rsidRPr="00331576">
              <w:rPr>
                <w:rFonts w:hint="cs"/>
                <w:szCs w:val="22"/>
                <w:rtl/>
                <w:lang w:val="en-GB"/>
              </w:rPr>
              <w:t xml:space="preserve">تحدد تدابير الحوكمة والإدارة وتحترم وتدعم </w:t>
            </w:r>
            <w:r w:rsidRPr="00C17CD8">
              <w:rPr>
                <w:szCs w:val="22"/>
                <w:rtl/>
                <w:lang w:val="en-GB"/>
              </w:rPr>
              <w:t xml:space="preserve">القيم الثقافية والروحية والاجتماعية والاقتصادية والقيم الأخرى ذات الأهمية على </w:t>
            </w:r>
            <w:r>
              <w:rPr>
                <w:rFonts w:hint="cs"/>
                <w:szCs w:val="22"/>
                <w:rtl/>
                <w:lang w:val="en-GB"/>
              </w:rPr>
              <w:t>المستوى</w:t>
            </w:r>
            <w:r w:rsidRPr="00C17CD8">
              <w:rPr>
                <w:szCs w:val="22"/>
                <w:rtl/>
                <w:lang w:val="en-GB"/>
              </w:rPr>
              <w:t xml:space="preserve"> المحلي</w:t>
            </w:r>
            <w:r w:rsidRPr="00C17CD8">
              <w:rPr>
                <w:rFonts w:hint="cs"/>
                <w:szCs w:val="22"/>
                <w:rtl/>
                <w:lang w:val="en-GB"/>
              </w:rPr>
              <w:t xml:space="preserve"> </w:t>
            </w:r>
            <w:r w:rsidRPr="00331576">
              <w:rPr>
                <w:rFonts w:hint="cs"/>
                <w:szCs w:val="22"/>
                <w:rtl/>
                <w:lang w:val="en-GB"/>
              </w:rPr>
              <w:t>للمنطقة</w:t>
            </w:r>
            <w:r>
              <w:rPr>
                <w:rFonts w:hint="cs"/>
                <w:szCs w:val="22"/>
                <w:rtl/>
                <w:lang w:val="en-GB"/>
              </w:rPr>
              <w:t>، حيثما تكون هذه القيم قائمة</w:t>
            </w:r>
            <w:r w:rsidRPr="00331576">
              <w:rPr>
                <w:rFonts w:hint="cs"/>
                <w:szCs w:val="22"/>
                <w:rtl/>
                <w:lang w:val="en-GB"/>
              </w:rPr>
              <w:t>.</w:t>
            </w:r>
          </w:p>
          <w:p w:rsidR="00B42CBF" w:rsidRPr="00331576" w:rsidRDefault="00B42CBF" w:rsidP="00CD26C5">
            <w:pPr>
              <w:numPr>
                <w:ilvl w:val="0"/>
                <w:numId w:val="53"/>
              </w:numPr>
              <w:spacing w:after="100" w:line="204" w:lineRule="auto"/>
              <w:ind w:left="360"/>
              <w:jc w:val="left"/>
              <w:rPr>
                <w:rtl/>
                <w:lang w:val="en-GB"/>
              </w:rPr>
            </w:pPr>
            <w:r w:rsidRPr="00331576">
              <w:rPr>
                <w:rFonts w:hint="cs"/>
                <w:szCs w:val="22"/>
                <w:rtl/>
                <w:lang w:val="en-GB"/>
              </w:rPr>
              <w:t>تحترم تدابير الحوكمة والإدارة وتدعم المعارف والممارسات والمؤسسات الأساسية لحفظ التنوع البيولوجي في الموقع الطبيعي.</w:t>
            </w:r>
          </w:p>
        </w:tc>
      </w:tr>
    </w:tbl>
    <w:p w:rsidR="00B42CBF" w:rsidRPr="00331576" w:rsidRDefault="00B42CBF" w:rsidP="00B42CBF">
      <w:pPr>
        <w:spacing w:before="240"/>
        <w:jc w:val="center"/>
        <w:rPr>
          <w:b/>
          <w:bCs/>
          <w:rtl/>
          <w:lang w:val="en-GB"/>
        </w:rPr>
      </w:pPr>
      <w:r>
        <w:rPr>
          <w:rFonts w:hint="cs"/>
          <w:b/>
          <w:bCs/>
          <w:rtl/>
          <w:lang w:val="en-GB"/>
        </w:rPr>
        <w:t xml:space="preserve">جيم </w:t>
      </w:r>
      <w:r w:rsidRPr="00331576">
        <w:rPr>
          <w:rFonts w:hint="cs"/>
          <w:b/>
          <w:bCs/>
          <w:rtl/>
          <w:lang w:val="en-GB"/>
        </w:rPr>
        <w:t>-</w:t>
      </w:r>
      <w:r w:rsidRPr="00331576">
        <w:rPr>
          <w:b/>
          <w:bCs/>
          <w:rtl/>
          <w:lang w:val="en-GB"/>
        </w:rPr>
        <w:tab/>
      </w:r>
      <w:r w:rsidRPr="00331576">
        <w:rPr>
          <w:rFonts w:hint="cs"/>
          <w:b/>
          <w:bCs/>
          <w:rtl/>
          <w:lang w:val="en-GB"/>
        </w:rPr>
        <w:t>اعتبارات أخرى</w:t>
      </w:r>
    </w:p>
    <w:p w:rsidR="00B42CBF" w:rsidRPr="00331576" w:rsidRDefault="00B42CBF" w:rsidP="00B42CBF">
      <w:pPr>
        <w:jc w:val="center"/>
        <w:rPr>
          <w:i/>
          <w:iCs/>
          <w:lang w:val="en-GB"/>
        </w:rPr>
      </w:pPr>
      <w:r w:rsidRPr="00331576">
        <w:rPr>
          <w:rFonts w:hint="cs"/>
          <w:i/>
          <w:iCs/>
          <w:rtl/>
          <w:lang w:val="en-GB"/>
        </w:rPr>
        <w:t>1-</w:t>
      </w:r>
      <w:r w:rsidRPr="00331576">
        <w:rPr>
          <w:rFonts w:hint="cs"/>
          <w:i/>
          <w:iCs/>
          <w:rtl/>
          <w:lang w:val="en-GB"/>
        </w:rPr>
        <w:tab/>
        <w:t>نُهج الإدارة</w:t>
      </w:r>
    </w:p>
    <w:p w:rsidR="00B42CBF" w:rsidRPr="00A32786" w:rsidRDefault="00CD66D2" w:rsidP="00CD66D2">
      <w:pPr>
        <w:ind w:firstLine="720"/>
        <w:rPr>
          <w:i/>
          <w:iCs/>
          <w:lang w:val="en-GB"/>
        </w:rPr>
      </w:pPr>
      <w:r>
        <w:rPr>
          <w:rFonts w:hint="cs"/>
          <w:rtl/>
          <w:lang w:val="en-GB"/>
        </w:rPr>
        <w:t>(أ)</w:t>
      </w:r>
      <w:r>
        <w:rPr>
          <w:rFonts w:hint="cs"/>
          <w:rtl/>
          <w:lang w:val="en-GB"/>
        </w:rPr>
        <w:tab/>
      </w:r>
      <w:r w:rsidR="00B42CBF" w:rsidRPr="00C552D4">
        <w:rPr>
          <w:rFonts w:hint="cs"/>
          <w:rtl/>
          <w:lang w:val="en-GB"/>
        </w:rPr>
        <w:t>تتنوع تدابير الحفظ الفعالة</w:t>
      </w:r>
      <w:r w:rsidR="00B42CBF" w:rsidRPr="00331576">
        <w:rPr>
          <w:rFonts w:hint="cs"/>
          <w:rtl/>
          <w:lang w:val="en-GB"/>
        </w:rPr>
        <w:t xml:space="preserve"> الأخرى القائمة على أساس المناطق من حيث الغرض والتصميم والحوكمة و</w:t>
      </w:r>
      <w:r w:rsidR="00B42CBF">
        <w:rPr>
          <w:rFonts w:hint="cs"/>
          <w:rtl/>
          <w:lang w:val="en-GB"/>
        </w:rPr>
        <w:t>أصحاب المصلحة</w:t>
      </w:r>
      <w:r w:rsidR="00B42CBF" w:rsidRPr="00331576">
        <w:rPr>
          <w:rFonts w:hint="cs"/>
          <w:rtl/>
          <w:lang w:val="en-GB"/>
        </w:rPr>
        <w:t xml:space="preserve"> والإدارة، لا سيما عند النظر في القيم الثقافية والروحية </w:t>
      </w:r>
      <w:r w:rsidR="00B42CBF">
        <w:rPr>
          <w:rFonts w:hint="cs"/>
          <w:rtl/>
          <w:lang w:val="en-GB"/>
        </w:rPr>
        <w:t xml:space="preserve">والاجتماعية والاقتصادية والقيم الأخرى ذات الصلة على المستوى المحلي </w:t>
      </w:r>
      <w:r w:rsidR="00B42CBF" w:rsidRPr="00331576">
        <w:rPr>
          <w:rFonts w:hint="cs"/>
          <w:rtl/>
          <w:lang w:val="en-GB"/>
        </w:rPr>
        <w:t>المرتبطة بها. وتبعا لذلك، فإن نُهج إدارة تدابير الحفظ الفعالة الأخرى القائمة على أساس المناطق متنوعة، وستبقى كذلك؛</w:t>
      </w:r>
    </w:p>
    <w:p w:rsidR="00B42CBF" w:rsidRPr="001064E0" w:rsidRDefault="00CD66D2" w:rsidP="00CD66D2">
      <w:pPr>
        <w:ind w:left="560"/>
        <w:rPr>
          <w:i/>
          <w:iCs/>
          <w:lang w:val="en-GB"/>
        </w:rPr>
      </w:pPr>
      <w:r>
        <w:rPr>
          <w:rFonts w:hint="cs"/>
          <w:rtl/>
          <w:lang w:val="en-GB"/>
        </w:rPr>
        <w:t>(ب)</w:t>
      </w:r>
      <w:r>
        <w:rPr>
          <w:rFonts w:hint="cs"/>
          <w:rtl/>
          <w:lang w:val="en-GB"/>
        </w:rPr>
        <w:tab/>
      </w:r>
      <w:r w:rsidR="00B42CBF">
        <w:rPr>
          <w:rFonts w:hint="cs"/>
          <w:rtl/>
          <w:lang w:val="en-GB"/>
        </w:rPr>
        <w:t xml:space="preserve">وفقا للتشريعات والظروف الوطنية، واتساقا مع السياسات واللوائح </w:t>
      </w:r>
      <w:r w:rsidR="00B42CBF" w:rsidRPr="008F1A01">
        <w:rPr>
          <w:rFonts w:hint="cs"/>
          <w:spacing w:val="-8"/>
          <w:rtl/>
          <w:lang w:val="en-GB"/>
        </w:rPr>
        <w:t>الوطنية، ينبغي أن</w:t>
      </w:r>
      <w:r w:rsidR="00B42CBF">
        <w:rPr>
          <w:rFonts w:hint="cs"/>
          <w:rtl/>
          <w:lang w:val="en-GB"/>
        </w:rPr>
        <w:t xml:space="preserve"> </w:t>
      </w:r>
      <w:r w:rsidR="00B42CBF" w:rsidRPr="008F1A01">
        <w:rPr>
          <w:rFonts w:hint="cs"/>
          <w:spacing w:val="-8"/>
          <w:rtl/>
          <w:lang w:val="en-GB"/>
        </w:rPr>
        <w:t>تراعي نُهج الإدارة ما يلي:</w:t>
      </w:r>
    </w:p>
    <w:p w:rsidR="00B42CBF" w:rsidRDefault="00B42CBF" w:rsidP="00B42CBF">
      <w:pPr>
        <w:ind w:left="1440" w:hanging="720"/>
        <w:rPr>
          <w:rtl/>
          <w:lang w:val="en-GB"/>
        </w:rPr>
      </w:pPr>
      <w:r>
        <w:rPr>
          <w:rFonts w:hint="cs"/>
          <w:rtl/>
          <w:lang w:val="en-GB"/>
        </w:rPr>
        <w:t>(1)</w:t>
      </w:r>
      <w:r>
        <w:rPr>
          <w:rFonts w:hint="cs"/>
          <w:rtl/>
          <w:lang w:val="en-GB"/>
        </w:rPr>
        <w:tab/>
        <w:t>أي زعزعة في العلاقة بين الشعوب الأصلية والمجتمعات المحلية والأحياء البرية التي تعيش في المناطق المحمية؛</w:t>
      </w:r>
    </w:p>
    <w:p w:rsidR="00B42CBF" w:rsidRDefault="00B42CBF" w:rsidP="00B42CBF">
      <w:pPr>
        <w:ind w:left="1440" w:hanging="720"/>
        <w:rPr>
          <w:rtl/>
          <w:lang w:val="en-GB"/>
        </w:rPr>
      </w:pPr>
      <w:r>
        <w:rPr>
          <w:rFonts w:hint="cs"/>
          <w:rtl/>
          <w:lang w:val="en-GB"/>
        </w:rPr>
        <w:t>(2)</w:t>
      </w:r>
      <w:r>
        <w:rPr>
          <w:rFonts w:hint="cs"/>
          <w:rtl/>
          <w:lang w:val="en-GB"/>
        </w:rPr>
        <w:tab/>
        <w:t>نظم الحوكمة والإنصاف القائمة لدى الشعوب الأصلية والمجتمعات المحلية فيما يتعلق بالمناطق المحمية عبر الحدود وممرات الحفظ؛</w:t>
      </w:r>
    </w:p>
    <w:p w:rsidR="00B42CBF" w:rsidRPr="00331576" w:rsidRDefault="00B42CBF" w:rsidP="00B42CBF">
      <w:pPr>
        <w:ind w:left="1440" w:hanging="720"/>
        <w:rPr>
          <w:i/>
          <w:iCs/>
          <w:lang w:val="en-GB"/>
        </w:rPr>
      </w:pPr>
      <w:r>
        <w:rPr>
          <w:rFonts w:hint="cs"/>
          <w:rtl/>
          <w:lang w:val="en-GB"/>
        </w:rPr>
        <w:t>(3)</w:t>
      </w:r>
      <w:r>
        <w:rPr>
          <w:rFonts w:hint="cs"/>
          <w:rtl/>
          <w:lang w:val="en-GB"/>
        </w:rPr>
        <w:tab/>
        <w:t>أي تعارض في التداخل بين تدابير الحفظ الفعالة الأخرى القائمة على أساس المناطق والأراضي والمناطق القائمة بالفعل والمحافظ عليها من جانب الشعوب الأصلية والمجتمعات المحلية بما في ذلك نظم الحوكمة فيها، مع إيلاء الاعتبار الواجب للموافق الحرة والمسبقة عن علم؛</w:t>
      </w:r>
    </w:p>
    <w:p w:rsidR="00B42CBF" w:rsidRPr="00331576" w:rsidRDefault="00CD66D2" w:rsidP="00CD66D2">
      <w:pPr>
        <w:ind w:firstLine="720"/>
        <w:rPr>
          <w:i/>
          <w:iCs/>
          <w:lang w:val="en-GB"/>
        </w:rPr>
      </w:pPr>
      <w:r>
        <w:rPr>
          <w:rFonts w:hint="cs"/>
          <w:rtl/>
          <w:lang w:val="en-GB"/>
        </w:rPr>
        <w:t>(ج)</w:t>
      </w:r>
      <w:r>
        <w:rPr>
          <w:rFonts w:hint="cs"/>
          <w:rtl/>
          <w:lang w:val="en-GB"/>
        </w:rPr>
        <w:tab/>
      </w:r>
      <w:r w:rsidR="00B42CBF" w:rsidRPr="00331576">
        <w:rPr>
          <w:rFonts w:hint="cs"/>
          <w:rtl/>
          <w:lang w:val="en-GB"/>
        </w:rPr>
        <w:t>تُنشأ بعض تدابير الحفظ الفعالة الأخرى القائمة على أساس المناطق، ويُعترف بها أو تدار بقصد تعزيز حفظ التنوع البيولوجي في الموقع الطبيعي. ويكون هذا الغرض إما هو هدف الإدارة الرئيسي أو جزء من مجموعة أهداف إدارية مقصودة؛</w:t>
      </w:r>
    </w:p>
    <w:p w:rsidR="00B42CBF" w:rsidRPr="00331576" w:rsidRDefault="00CD66D2" w:rsidP="00CD66D2">
      <w:pPr>
        <w:ind w:firstLine="720"/>
        <w:rPr>
          <w:i/>
          <w:iCs/>
          <w:lang w:val="en-GB"/>
        </w:rPr>
      </w:pPr>
      <w:r>
        <w:rPr>
          <w:rFonts w:hint="cs"/>
          <w:rtl/>
          <w:lang w:val="en-GB"/>
        </w:rPr>
        <w:lastRenderedPageBreak/>
        <w:t>(د)</w:t>
      </w:r>
      <w:r>
        <w:rPr>
          <w:rFonts w:hint="cs"/>
          <w:rtl/>
          <w:lang w:val="en-GB"/>
        </w:rPr>
        <w:tab/>
      </w:r>
      <w:r w:rsidR="00B42CBF" w:rsidRPr="00331576">
        <w:rPr>
          <w:rFonts w:hint="cs"/>
          <w:rtl/>
          <w:lang w:val="en-GB"/>
        </w:rPr>
        <w:t xml:space="preserve">قد تُنشأ بعض تدابير الحفظ الفعالة الأخرى القائمة على أساس المناطق، ويتم الاعتراف بها أو إدارتها في المقام الأول، لأغراض أخرى غير حفظ التنوع البيولوجي في الموقع الطبيعي. ومن ثم، فإن مساهمتها في حفظ التنوع البيولوجي في الموقع الطبيعي يشكل فائدة مشتركة لهدفها أو غرضها الإداري الأساسي المقصود. </w:t>
      </w:r>
      <w:r w:rsidR="00B42CBF">
        <w:rPr>
          <w:rFonts w:hint="cs"/>
          <w:rtl/>
          <w:lang w:val="en-GB"/>
        </w:rPr>
        <w:t>و</w:t>
      </w:r>
      <w:r w:rsidR="00B42CBF" w:rsidRPr="00331576">
        <w:rPr>
          <w:rFonts w:hint="cs"/>
          <w:rtl/>
          <w:lang w:val="en-GB"/>
        </w:rPr>
        <w:t>من المستصوب أن تصبح هذه المساهمة هدفا معترفا به لإدارة هذه التدابير؛</w:t>
      </w:r>
    </w:p>
    <w:p w:rsidR="00B42CBF" w:rsidRDefault="00CD66D2" w:rsidP="00CD66D2">
      <w:pPr>
        <w:ind w:firstLine="720"/>
        <w:rPr>
          <w:i/>
          <w:iCs/>
          <w:lang w:val="en-GB"/>
        </w:rPr>
      </w:pPr>
      <w:r>
        <w:rPr>
          <w:rFonts w:hint="cs"/>
          <w:rtl/>
          <w:lang w:val="en-GB"/>
        </w:rPr>
        <w:t>(ﻫ)</w:t>
      </w:r>
      <w:r>
        <w:rPr>
          <w:rFonts w:hint="cs"/>
          <w:rtl/>
          <w:lang w:val="en-GB"/>
        </w:rPr>
        <w:tab/>
      </w:r>
      <w:r w:rsidR="00B42CBF" w:rsidRPr="00331576">
        <w:rPr>
          <w:rFonts w:hint="cs"/>
          <w:rtl/>
          <w:lang w:val="en-GB"/>
        </w:rPr>
        <w:t>في جميع الحالات التي يتم فيها الاعتراف بحفظ التنوع البيولوجي في الموقع الطبيعي كهدف إداري، ينبغي تحديد تدابير إدارية محددة وتمكينها</w:t>
      </w:r>
      <w:r w:rsidR="00B42CBF">
        <w:rPr>
          <w:rFonts w:hint="cs"/>
          <w:rtl/>
          <w:lang w:val="en-GB"/>
        </w:rPr>
        <w:t>؛</w:t>
      </w:r>
    </w:p>
    <w:p w:rsidR="00B42CBF" w:rsidRPr="00113649" w:rsidRDefault="00CD66D2" w:rsidP="00CD66D2">
      <w:pPr>
        <w:ind w:firstLine="720"/>
        <w:rPr>
          <w:lang w:val="en-GB"/>
        </w:rPr>
      </w:pPr>
      <w:r>
        <w:rPr>
          <w:rFonts w:hint="cs"/>
          <w:rtl/>
          <w:lang w:val="en-GB"/>
        </w:rPr>
        <w:t>(و)</w:t>
      </w:r>
      <w:r>
        <w:rPr>
          <w:rFonts w:hint="cs"/>
          <w:rtl/>
          <w:lang w:val="en-GB"/>
        </w:rPr>
        <w:tab/>
      </w:r>
      <w:r w:rsidR="00B42CBF">
        <w:rPr>
          <w:rFonts w:hint="cs"/>
          <w:rtl/>
          <w:lang w:val="en-GB"/>
        </w:rPr>
        <w:t xml:space="preserve">يلزم </w:t>
      </w:r>
      <w:r w:rsidR="00B42CBF" w:rsidRPr="00113649">
        <w:rPr>
          <w:rFonts w:hint="cs"/>
          <w:rtl/>
          <w:lang w:val="en-GB"/>
        </w:rPr>
        <w:t>رصد فع</w:t>
      </w:r>
      <w:r w:rsidR="00B42CBF">
        <w:rPr>
          <w:rFonts w:hint="cs"/>
          <w:rtl/>
          <w:lang w:val="en-GB"/>
        </w:rPr>
        <w:t>ا</w:t>
      </w:r>
      <w:r w:rsidR="00B42CBF" w:rsidRPr="00113649">
        <w:rPr>
          <w:rFonts w:hint="cs"/>
          <w:rtl/>
          <w:lang w:val="en-GB"/>
        </w:rPr>
        <w:t>لية تدابير الحفظ الأخرى الفعالة</w:t>
      </w:r>
      <w:r w:rsidR="00B42CBF">
        <w:rPr>
          <w:rFonts w:hint="cs"/>
          <w:rtl/>
          <w:lang w:val="en-GB"/>
        </w:rPr>
        <w:t xml:space="preserve"> القائمة على أساس المناطق. ويمكن أن يشمل ذلك: (1)</w:t>
      </w:r>
      <w:r w:rsidR="00B42CBF">
        <w:rPr>
          <w:rFonts w:hint="eastAsia"/>
          <w:rtl/>
          <w:lang w:val="en-GB"/>
        </w:rPr>
        <w:t> </w:t>
      </w:r>
      <w:r w:rsidR="00B42CBF">
        <w:rPr>
          <w:rFonts w:hint="cs"/>
          <w:rtl/>
          <w:lang w:val="en-GB"/>
        </w:rPr>
        <w:t>بيانات أساسية، مثل توثيق قيم التنوع البيولوجي وعناصره؛ (2) الرصد المجتمعي الجاري وإدراج المعارف التقليدية، حسب الاقتضاء؛ (3) الرصد على المدى الطويل، بما في ذلك كيفية استدامة التنوع البيولوجي وتحسين الحفظ في الموقع الطبيعي؛ (4) ورصد الحوكمة، ومشاركة أصحاب المصلحة ونظم الإدارة التي تسهم في نتائج التنوع البيولوجي.</w:t>
      </w:r>
    </w:p>
    <w:p w:rsidR="00B42CBF" w:rsidRPr="00331576" w:rsidRDefault="00B42CBF" w:rsidP="00B42CBF">
      <w:pPr>
        <w:jc w:val="center"/>
        <w:rPr>
          <w:i/>
          <w:iCs/>
          <w:lang w:val="en-GB"/>
        </w:rPr>
      </w:pPr>
      <w:r w:rsidRPr="00331576">
        <w:rPr>
          <w:rFonts w:hint="cs"/>
          <w:i/>
          <w:iCs/>
          <w:rtl/>
          <w:lang w:val="en-GB"/>
        </w:rPr>
        <w:t>2-</w:t>
      </w:r>
      <w:r w:rsidRPr="00331576">
        <w:rPr>
          <w:rFonts w:hint="cs"/>
          <w:i/>
          <w:iCs/>
          <w:rtl/>
          <w:lang w:val="en-GB"/>
        </w:rPr>
        <w:tab/>
        <w:t>الدور في تحقيق الهدف 11 من أهداف أيشي للتنوع البيولوجي</w:t>
      </w:r>
    </w:p>
    <w:p w:rsidR="00B42CBF" w:rsidRPr="00331576" w:rsidRDefault="00B42CBF" w:rsidP="00CD26C5">
      <w:pPr>
        <w:numPr>
          <w:ilvl w:val="0"/>
          <w:numId w:val="35"/>
        </w:numPr>
        <w:ind w:left="-7" w:firstLine="727"/>
        <w:rPr>
          <w:lang w:val="en-GB"/>
        </w:rPr>
      </w:pPr>
      <w:r w:rsidRPr="00331576">
        <w:rPr>
          <w:rFonts w:hint="cs"/>
          <w:rtl/>
          <w:lang w:val="en-GB"/>
        </w:rPr>
        <w:t>تسهم تدابير الحفظ الفعالة الأخرى القائمة على أساس المناطق</w:t>
      </w:r>
      <w:r>
        <w:rPr>
          <w:rFonts w:hint="cs"/>
          <w:rtl/>
          <w:lang w:val="en-GB"/>
        </w:rPr>
        <w:t xml:space="preserve"> والتي تستوفي المعايير الواردة في القسم باء</w:t>
      </w:r>
      <w:r w:rsidRPr="00331576">
        <w:rPr>
          <w:rFonts w:hint="cs"/>
          <w:rtl/>
          <w:lang w:val="en-GB"/>
        </w:rPr>
        <w:t>، وفقا لتعريفها، في كل من العناصر الكمية (أي 17 في المائة و10 في المائة من عناصر التغطية)، والعناصر النوعية (أي التمثيل، وتغطية المناطق المهمة للتنوع البيولوجي، والترابط والاندماج في المناظر الطبيعية الأرضية والمناظر الطبيعية البحرية الأوسع نطاقا، وفعالية الإدارة والإنصاف) للهدف 11 من أهداف أيشي للتنوع البيولوجي؛</w:t>
      </w:r>
    </w:p>
    <w:p w:rsidR="00B42CBF" w:rsidRDefault="00B42CBF" w:rsidP="00CD26C5">
      <w:pPr>
        <w:numPr>
          <w:ilvl w:val="0"/>
          <w:numId w:val="35"/>
        </w:numPr>
        <w:ind w:left="-7" w:firstLine="727"/>
        <w:rPr>
          <w:lang w:val="en-GB"/>
        </w:rPr>
      </w:pPr>
      <w:r w:rsidRPr="00331576">
        <w:rPr>
          <w:rFonts w:hint="cs"/>
          <w:rtl/>
          <w:lang w:val="en-GB"/>
        </w:rPr>
        <w:t xml:space="preserve">بما أن تدابير الحفظ الفعالة الأخرى القائمة على أساس المناطق متنوعة من حيث الغرض والتصميم والحوكمة </w:t>
      </w:r>
      <w:r>
        <w:rPr>
          <w:rFonts w:hint="cs"/>
          <w:rtl/>
          <w:lang w:val="en-GB"/>
        </w:rPr>
        <w:t xml:space="preserve">وأصحاب المصلحة </w:t>
      </w:r>
      <w:r w:rsidRPr="00331576">
        <w:rPr>
          <w:rFonts w:hint="cs"/>
          <w:rtl/>
          <w:lang w:val="en-GB"/>
        </w:rPr>
        <w:t xml:space="preserve">والإدارة، فإنها ستسهم في كثير من الأحيان </w:t>
      </w:r>
      <w:r>
        <w:rPr>
          <w:rFonts w:hint="cs"/>
          <w:rtl/>
          <w:lang w:val="en-GB"/>
        </w:rPr>
        <w:t xml:space="preserve">أيضا </w:t>
      </w:r>
      <w:r w:rsidRPr="00331576">
        <w:rPr>
          <w:rFonts w:hint="cs"/>
          <w:rtl/>
          <w:lang w:val="en-GB"/>
        </w:rPr>
        <w:t>في تحقيق أهداف أيشي للتنوع البيولوجي الأخرى، وأهداف خطة التنمية المستدامة لعام 2030، وأهداف أو أغراض الاتفاقات البيئية متعددة الأطراف الأخرى.</w:t>
      </w:r>
      <w:r w:rsidRPr="00331576">
        <w:rPr>
          <w:rStyle w:val="FootnoteReference"/>
          <w:rtl/>
          <w:lang w:val="en-GB"/>
        </w:rPr>
        <w:footnoteReference w:id="158"/>
      </w:r>
    </w:p>
    <w:p w:rsidR="00B42CBF" w:rsidRPr="00331576" w:rsidRDefault="00B42CBF" w:rsidP="00B42CBF">
      <w:pPr>
        <w:jc w:val="center"/>
        <w:rPr>
          <w:i/>
          <w:iCs/>
          <w:rtl/>
          <w:lang w:val="en-GB"/>
        </w:rPr>
      </w:pPr>
      <w:r w:rsidRPr="00331576">
        <w:rPr>
          <w:rFonts w:hint="cs"/>
          <w:i/>
          <w:iCs/>
          <w:rtl/>
          <w:lang w:val="en-GB"/>
        </w:rPr>
        <w:t>المرفق الرابع</w:t>
      </w:r>
    </w:p>
    <w:p w:rsidR="00B42CBF" w:rsidRPr="00A42263" w:rsidRDefault="00B42CBF" w:rsidP="00B42CBF">
      <w:pPr>
        <w:jc w:val="center"/>
        <w:rPr>
          <w:b/>
          <w:bCs/>
          <w:sz w:val="24"/>
          <w:rtl/>
        </w:rPr>
      </w:pPr>
      <w:r w:rsidRPr="00A42263">
        <w:rPr>
          <w:rFonts w:hint="cs"/>
          <w:b/>
          <w:bCs/>
          <w:sz w:val="24"/>
          <w:rtl/>
        </w:rPr>
        <w:t>الاعتبارات في تحقيق الهدف 11 من أهداف أيشي للتنوع البيولوجي في المناطق البحرية والساحلية</w:t>
      </w:r>
    </w:p>
    <w:p w:rsidR="00B42CBF" w:rsidRPr="00EA6AD1" w:rsidRDefault="00B42CBF" w:rsidP="00B42CBF">
      <w:pPr>
        <w:rPr>
          <w:rtl/>
          <w:lang w:val="en-GB"/>
        </w:rPr>
      </w:pPr>
      <w:r>
        <w:rPr>
          <w:rFonts w:hint="cs"/>
          <w:rtl/>
          <w:lang w:val="en-GB"/>
        </w:rPr>
        <w:t>تستند هذه الاعتبارات إلى المناقشات التي دارت في حلقة عمل الخبراء بشأن المناطق البحرية المحمية</w:t>
      </w:r>
      <w:r w:rsidRPr="00EA6AD1">
        <w:rPr>
          <w:rFonts w:hint="cs"/>
          <w:rtl/>
          <w:lang w:val="en-GB"/>
        </w:rPr>
        <w:t xml:space="preserve"> </w:t>
      </w:r>
      <w:r w:rsidRPr="00331576">
        <w:rPr>
          <w:rFonts w:hint="cs"/>
          <w:rtl/>
          <w:lang w:val="en-GB"/>
        </w:rPr>
        <w:t>وتدابير الحفظ الفعالة الأخرى القائمة على أساس المناطق</w:t>
      </w:r>
      <w:r>
        <w:rPr>
          <w:rFonts w:hint="cs"/>
          <w:rtl/>
          <w:lang w:val="en-GB"/>
        </w:rPr>
        <w:t xml:space="preserve"> لتحقيق الهدف 11 من أهداف أيشي للتنوع البيولوجي في المناطق البحرية والساحلية فضلا عن المواد الأساسية التي أعدت لحلقة العمل </w:t>
      </w:r>
      <w:r w:rsidRPr="001148C2">
        <w:rPr>
          <w:rFonts w:cs="Times New Roman"/>
          <w:szCs w:val="22"/>
          <w:rtl/>
          <w:lang w:val="en-GB"/>
        </w:rPr>
        <w:t>(</w:t>
      </w:r>
      <w:r w:rsidRPr="001148C2">
        <w:rPr>
          <w:rFonts w:cs="Times New Roman"/>
          <w:szCs w:val="22"/>
          <w:lang w:val="en-GB"/>
        </w:rPr>
        <w:t>CBD/MCB/EM/2018/1/3</w:t>
      </w:r>
      <w:r w:rsidRPr="001148C2">
        <w:rPr>
          <w:rFonts w:cs="Times New Roman"/>
          <w:szCs w:val="22"/>
          <w:rtl/>
          <w:lang w:val="en-GB"/>
        </w:rPr>
        <w:t>)</w:t>
      </w:r>
      <w:r>
        <w:rPr>
          <w:rFonts w:hint="cs"/>
          <w:rtl/>
          <w:lang w:val="en-GB"/>
        </w:rPr>
        <w:t>.</w:t>
      </w:r>
    </w:p>
    <w:p w:rsidR="00B42CBF" w:rsidRPr="00331576" w:rsidRDefault="00B42CBF" w:rsidP="00B42CBF">
      <w:pPr>
        <w:jc w:val="center"/>
        <w:rPr>
          <w:b/>
          <w:bCs/>
          <w:rtl/>
          <w:lang w:val="en-GB"/>
        </w:rPr>
      </w:pPr>
      <w:r w:rsidRPr="00331576">
        <w:rPr>
          <w:rFonts w:hint="cs"/>
          <w:b/>
          <w:bCs/>
          <w:rtl/>
          <w:lang w:val="en-GB"/>
        </w:rPr>
        <w:t>ألف-</w:t>
      </w:r>
      <w:r w:rsidRPr="00331576">
        <w:rPr>
          <w:b/>
          <w:bCs/>
          <w:rtl/>
          <w:lang w:val="en-GB"/>
        </w:rPr>
        <w:tab/>
      </w:r>
      <w:r w:rsidRPr="00331576">
        <w:rPr>
          <w:rFonts w:hint="cs"/>
          <w:b/>
          <w:bCs/>
          <w:rtl/>
          <w:lang w:val="en-GB"/>
        </w:rPr>
        <w:t>الجوانب الفريدة للبيئة البحرية ذات الصلة بتدابير الحفظ/الإدارة القائمة على أساس المناطق</w:t>
      </w:r>
    </w:p>
    <w:p w:rsidR="00B42CBF" w:rsidRPr="00331576" w:rsidRDefault="00B42CBF" w:rsidP="00CD26C5">
      <w:pPr>
        <w:numPr>
          <w:ilvl w:val="0"/>
          <w:numId w:val="36"/>
        </w:numPr>
        <w:ind w:left="-7" w:firstLine="0"/>
        <w:rPr>
          <w:lang w:val="en-GB"/>
        </w:rPr>
      </w:pPr>
      <w:r w:rsidRPr="00331576">
        <w:rPr>
          <w:rFonts w:hint="cs"/>
          <w:rtl/>
          <w:lang w:val="en-GB"/>
        </w:rPr>
        <w:t>بينما توجد أدوات و</w:t>
      </w:r>
      <w:r>
        <w:rPr>
          <w:rFonts w:hint="cs"/>
          <w:rtl/>
          <w:lang w:val="en-GB"/>
        </w:rPr>
        <w:t>نُهج</w:t>
      </w:r>
      <w:r w:rsidRPr="00331576">
        <w:rPr>
          <w:rFonts w:hint="cs"/>
          <w:rtl/>
          <w:lang w:val="en-GB"/>
        </w:rPr>
        <w:t xml:space="preserve"> متماثلة للحفظ/الإدارة القائمة على أساس المناطق في المناطق البحرية والأرضية، يوجد عدد من الاختلافات المتأصلة بين البيئتين البحرية والأرضية التي تؤثر على تطبيق تدابير الحفظ القائمة على </w:t>
      </w:r>
      <w:r>
        <w:rPr>
          <w:rFonts w:hint="cs"/>
          <w:rtl/>
          <w:lang w:val="en-GB"/>
        </w:rPr>
        <w:t xml:space="preserve">أساس </w:t>
      </w:r>
      <w:r w:rsidRPr="00331576">
        <w:rPr>
          <w:rFonts w:hint="cs"/>
          <w:rtl/>
          <w:lang w:val="en-GB"/>
        </w:rPr>
        <w:t xml:space="preserve">المناطق. </w:t>
      </w:r>
      <w:r>
        <w:rPr>
          <w:rFonts w:hint="cs"/>
          <w:rtl/>
          <w:lang w:val="en-GB"/>
        </w:rPr>
        <w:t>و</w:t>
      </w:r>
      <w:r w:rsidRPr="00331576">
        <w:rPr>
          <w:rFonts w:hint="cs"/>
          <w:rtl/>
          <w:lang w:val="en-GB"/>
        </w:rPr>
        <w:t xml:space="preserve">تشمل </w:t>
      </w:r>
      <w:r>
        <w:rPr>
          <w:rFonts w:hint="cs"/>
          <w:rtl/>
          <w:lang w:val="en-GB"/>
        </w:rPr>
        <w:t xml:space="preserve">هذه الجوانب الفريدة </w:t>
      </w:r>
      <w:r w:rsidRPr="00331576">
        <w:rPr>
          <w:rFonts w:hint="cs"/>
          <w:rtl/>
          <w:lang w:val="en-GB"/>
        </w:rPr>
        <w:t>ما يلي:</w:t>
      </w:r>
    </w:p>
    <w:p w:rsidR="00B42CBF" w:rsidRPr="00331576" w:rsidRDefault="00B42CBF" w:rsidP="00CD26C5">
      <w:pPr>
        <w:numPr>
          <w:ilvl w:val="0"/>
          <w:numId w:val="37"/>
        </w:numPr>
        <w:ind w:left="-7" w:firstLine="727"/>
        <w:rPr>
          <w:lang w:val="en-GB"/>
        </w:rPr>
      </w:pPr>
      <w:r w:rsidRPr="00331576">
        <w:rPr>
          <w:rFonts w:hint="cs"/>
          <w:rtl/>
          <w:lang w:val="en-GB"/>
        </w:rPr>
        <w:t>الطبيعة الثلاثية الأبعاد للبيئة البحرية (مع أقصى عمق يصل إلى 11 كم تقريبا في أعماق المحيط)، التي تتأثر بشدة بالتغييرات في الخصائص الفيزيائية والكيميائية، بما في ذلك الضغط والملوحة والضوء؛</w:t>
      </w:r>
    </w:p>
    <w:p w:rsidR="00B42CBF" w:rsidRPr="00331576" w:rsidRDefault="00B42CBF" w:rsidP="00CD26C5">
      <w:pPr>
        <w:numPr>
          <w:ilvl w:val="0"/>
          <w:numId w:val="37"/>
        </w:numPr>
        <w:ind w:left="-7" w:firstLine="727"/>
        <w:rPr>
          <w:lang w:val="en-GB"/>
        </w:rPr>
      </w:pPr>
      <w:r w:rsidRPr="00331576">
        <w:rPr>
          <w:rFonts w:hint="cs"/>
          <w:rtl/>
          <w:lang w:val="en-GB"/>
        </w:rPr>
        <w:t xml:space="preserve">الطبيعة الحيوية للبيئة البحرية، التي تتأثر على سبيل المثال بالتيارات والمد والجزر، وتيسر الترابط </w:t>
      </w:r>
      <w:r>
        <w:rPr>
          <w:rFonts w:hint="cs"/>
          <w:rtl/>
          <w:lang w:val="en-GB"/>
        </w:rPr>
        <w:t>بين النظم الإيكولوجية والموائل</w:t>
      </w:r>
      <w:r w:rsidRPr="00331576">
        <w:rPr>
          <w:rFonts w:hint="cs"/>
          <w:rtl/>
          <w:lang w:val="en-GB"/>
        </w:rPr>
        <w:t>؛</w:t>
      </w:r>
    </w:p>
    <w:p w:rsidR="00B42CBF" w:rsidRPr="00331576" w:rsidRDefault="00B42CBF" w:rsidP="00CD26C5">
      <w:pPr>
        <w:numPr>
          <w:ilvl w:val="0"/>
          <w:numId w:val="37"/>
        </w:numPr>
        <w:ind w:left="-7" w:firstLine="727"/>
        <w:rPr>
          <w:lang w:val="en-GB"/>
        </w:rPr>
      </w:pPr>
      <w:r w:rsidRPr="00331576">
        <w:rPr>
          <w:rFonts w:hint="cs"/>
          <w:rtl/>
          <w:lang w:val="en-GB"/>
        </w:rPr>
        <w:t>طبيعة تجزؤ الموائل والترابط في البيئة البحرية؛</w:t>
      </w:r>
    </w:p>
    <w:p w:rsidR="00B42CBF" w:rsidRPr="00331576" w:rsidRDefault="00B42CBF" w:rsidP="00CD26C5">
      <w:pPr>
        <w:numPr>
          <w:ilvl w:val="0"/>
          <w:numId w:val="37"/>
        </w:numPr>
        <w:ind w:left="-7" w:firstLine="727"/>
        <w:rPr>
          <w:lang w:val="en-GB"/>
        </w:rPr>
      </w:pPr>
      <w:r w:rsidRPr="00331576">
        <w:rPr>
          <w:rFonts w:hint="cs"/>
          <w:rtl/>
          <w:lang w:val="en-GB"/>
        </w:rPr>
        <w:lastRenderedPageBreak/>
        <w:t>عدم وضوح الرؤية و/أو البعد عن السمات التي يجري حفظها؛</w:t>
      </w:r>
    </w:p>
    <w:p w:rsidR="00B42CBF" w:rsidRPr="00331576" w:rsidRDefault="00B42CBF" w:rsidP="00CD26C5">
      <w:pPr>
        <w:numPr>
          <w:ilvl w:val="0"/>
          <w:numId w:val="37"/>
        </w:numPr>
        <w:ind w:left="-7" w:firstLine="727"/>
        <w:rPr>
          <w:lang w:val="en-GB"/>
        </w:rPr>
      </w:pPr>
      <w:r w:rsidRPr="00331576">
        <w:rPr>
          <w:rFonts w:hint="cs"/>
          <w:rtl/>
          <w:lang w:val="en-GB"/>
        </w:rPr>
        <w:t xml:space="preserve">غالبا ما يقتصر الإنتاج الأولي في البيئة البحرية على المناطق الساحلية </w:t>
      </w:r>
      <w:r>
        <w:rPr>
          <w:rFonts w:hint="cs"/>
          <w:rtl/>
          <w:lang w:val="en-GB"/>
        </w:rPr>
        <w:t>للأنواع</w:t>
      </w:r>
      <w:r w:rsidRPr="00331576">
        <w:rPr>
          <w:rFonts w:hint="cs"/>
          <w:rtl/>
          <w:lang w:val="en-GB"/>
        </w:rPr>
        <w:t xml:space="preserve"> التي تشكل الموائل بالعوالق النباتية الموزعة عبر المنطقة السطحية الضوئية، في حين أن المخزون الدائم في البيئات الأرضية منتشر وهيكلي. وهناك أيضا دوران أعلى في الإنتاج الأولي للبيئة البحرية، وهو يختلف باختلاف الدورات السنوية، ويرتبط بدرجات الحرارة والتيارات؛</w:t>
      </w:r>
    </w:p>
    <w:p w:rsidR="00B42CBF" w:rsidRPr="00331576" w:rsidRDefault="00B42CBF" w:rsidP="00CD26C5">
      <w:pPr>
        <w:numPr>
          <w:ilvl w:val="0"/>
          <w:numId w:val="37"/>
        </w:numPr>
        <w:ind w:left="-7" w:firstLine="727"/>
        <w:rPr>
          <w:lang w:val="en-GB"/>
        </w:rPr>
      </w:pPr>
      <w:r w:rsidRPr="00331576">
        <w:rPr>
          <w:rFonts w:hint="cs"/>
          <w:rtl/>
          <w:lang w:val="en-GB"/>
        </w:rPr>
        <w:t>في البيئات الأرضية، يختلط الغلاف الجوي بشكل جيد وعلى نطاق أوسع بكثير، في حين أن الاختلاط في البيئات البحرية قد يتغير في نطاقات أصغر بكثير؛</w:t>
      </w:r>
    </w:p>
    <w:p w:rsidR="00B42CBF" w:rsidRPr="00331576" w:rsidRDefault="00B42CBF" w:rsidP="00CD26C5">
      <w:pPr>
        <w:numPr>
          <w:ilvl w:val="0"/>
          <w:numId w:val="37"/>
        </w:numPr>
        <w:ind w:left="-7" w:firstLine="727"/>
        <w:rPr>
          <w:lang w:val="en-GB"/>
        </w:rPr>
      </w:pPr>
      <w:r w:rsidRPr="00331576">
        <w:rPr>
          <w:rFonts w:hint="cs"/>
          <w:rtl/>
          <w:lang w:val="en-GB"/>
        </w:rPr>
        <w:t>تختلف آثار تغير المناخ بين المناطق البحرية والمناطق الأرضية إلى حد كبير، حيث أن المناطق الساحلية تتعرض لعوامل التعرية وهبوب العواصف، ويمكن أن تضيع جهود الحماية جراء حدث طقس واحد كبير. ويمكن للأثر المنتشر والمتمثل في تحمض المحيطات أن يؤثر على كامل المخزون الدائم للإنتاج الأولي في منطقة بحرية ما، مما يؤدي إلى تأثيرات غير مباشرة عبر الشبكة الغذائية ككل؛</w:t>
      </w:r>
    </w:p>
    <w:p w:rsidR="00B42CBF" w:rsidRPr="00331576" w:rsidRDefault="00B42CBF" w:rsidP="00CD26C5">
      <w:pPr>
        <w:numPr>
          <w:ilvl w:val="0"/>
          <w:numId w:val="37"/>
        </w:numPr>
        <w:ind w:left="-7" w:firstLine="727"/>
        <w:rPr>
          <w:lang w:val="en-GB"/>
        </w:rPr>
      </w:pPr>
      <w:r w:rsidRPr="00331576">
        <w:rPr>
          <w:rFonts w:hint="cs"/>
          <w:rtl/>
          <w:lang w:val="en-GB"/>
        </w:rPr>
        <w:t xml:space="preserve">وجود اختلافات في معدلات </w:t>
      </w:r>
      <w:r>
        <w:rPr>
          <w:rFonts w:hint="cs"/>
          <w:rtl/>
          <w:lang w:val="en-GB"/>
        </w:rPr>
        <w:t>قدرة ا</w:t>
      </w:r>
      <w:r w:rsidRPr="00331576">
        <w:rPr>
          <w:rFonts w:hint="cs"/>
          <w:rtl/>
          <w:lang w:val="en-GB"/>
        </w:rPr>
        <w:t>لتنوع البيولوجي والنظم الإيكولوجية</w:t>
      </w:r>
      <w:r>
        <w:rPr>
          <w:rFonts w:hint="cs"/>
          <w:rtl/>
          <w:lang w:val="en-GB"/>
        </w:rPr>
        <w:t xml:space="preserve"> على الصمود</w:t>
      </w:r>
      <w:r w:rsidRPr="005545BF">
        <w:rPr>
          <w:rFonts w:hint="cs"/>
          <w:rtl/>
          <w:lang w:val="en-GB"/>
        </w:rPr>
        <w:t xml:space="preserve"> </w:t>
      </w:r>
      <w:r w:rsidRPr="00331576">
        <w:rPr>
          <w:rFonts w:hint="cs"/>
          <w:rtl/>
          <w:lang w:val="en-GB"/>
        </w:rPr>
        <w:t>وتعافي</w:t>
      </w:r>
      <w:r>
        <w:rPr>
          <w:rFonts w:hint="cs"/>
          <w:rtl/>
          <w:lang w:val="en-GB"/>
        </w:rPr>
        <w:t>ها</w:t>
      </w:r>
      <w:r w:rsidRPr="00331576">
        <w:rPr>
          <w:rFonts w:hint="cs"/>
          <w:rtl/>
          <w:lang w:val="en-GB"/>
        </w:rPr>
        <w:t xml:space="preserve">؛ </w:t>
      </w:r>
    </w:p>
    <w:p w:rsidR="00B42CBF" w:rsidRPr="00331576" w:rsidRDefault="00B42CBF" w:rsidP="00CD26C5">
      <w:pPr>
        <w:numPr>
          <w:ilvl w:val="0"/>
          <w:numId w:val="37"/>
        </w:numPr>
        <w:ind w:left="-7" w:firstLine="727"/>
        <w:rPr>
          <w:lang w:val="en-GB"/>
        </w:rPr>
      </w:pPr>
      <w:r w:rsidRPr="00331576">
        <w:rPr>
          <w:rFonts w:hint="cs"/>
          <w:rtl/>
          <w:lang w:val="en-GB"/>
        </w:rPr>
        <w:t>وجود اختلافات في النُهج والتحديات بالنسبة للرصد وجمع البيانات؛</w:t>
      </w:r>
    </w:p>
    <w:p w:rsidR="00B42CBF" w:rsidRPr="00331576" w:rsidRDefault="00B42CBF" w:rsidP="00CD26C5">
      <w:pPr>
        <w:numPr>
          <w:ilvl w:val="0"/>
          <w:numId w:val="37"/>
        </w:numPr>
        <w:ind w:left="-7" w:firstLine="727"/>
        <w:rPr>
          <w:lang w:val="en-GB"/>
        </w:rPr>
      </w:pPr>
      <w:r w:rsidRPr="00331576">
        <w:rPr>
          <w:rFonts w:hint="cs"/>
          <w:rtl/>
          <w:lang w:val="en-GB"/>
        </w:rPr>
        <w:t xml:space="preserve">وجود نظم قانونية مختلفة محتملة لأجزاء مختلفة من نفس المناطق البحرية (مثل قاع البحر والعمود المائي في المناطق البحرية </w:t>
      </w:r>
      <w:r>
        <w:rPr>
          <w:rFonts w:hint="cs"/>
          <w:rtl/>
          <w:lang w:val="en-GB"/>
        </w:rPr>
        <w:t xml:space="preserve">التي تقع </w:t>
      </w:r>
      <w:r w:rsidRPr="00331576">
        <w:rPr>
          <w:rFonts w:hint="cs"/>
          <w:rtl/>
          <w:lang w:val="en-GB"/>
        </w:rPr>
        <w:t>خارج</w:t>
      </w:r>
      <w:r>
        <w:rPr>
          <w:rFonts w:hint="cs"/>
          <w:rtl/>
          <w:lang w:val="en-GB"/>
        </w:rPr>
        <w:t xml:space="preserve"> </w:t>
      </w:r>
      <w:r w:rsidRPr="00331576">
        <w:rPr>
          <w:rFonts w:hint="cs"/>
          <w:rtl/>
          <w:lang w:val="en-GB"/>
        </w:rPr>
        <w:t>نطاق الولاية الوطنية)؛</w:t>
      </w:r>
    </w:p>
    <w:p w:rsidR="00B42CBF" w:rsidRPr="00331576" w:rsidRDefault="00B42CBF" w:rsidP="00CD26C5">
      <w:pPr>
        <w:numPr>
          <w:ilvl w:val="0"/>
          <w:numId w:val="37"/>
        </w:numPr>
        <w:ind w:left="-7" w:firstLine="727"/>
        <w:rPr>
          <w:lang w:val="en-GB"/>
        </w:rPr>
      </w:pPr>
      <w:r w:rsidRPr="00331576">
        <w:rPr>
          <w:rFonts w:hint="cs"/>
          <w:rtl/>
          <w:lang w:val="en-GB"/>
        </w:rPr>
        <w:t>وجود افتقار متكرر للملكية الواضحة لمناطق محددة في البيئة البحرية، مع وجود العديد من المستخدمين وأصحاب المصلحة الذين غالبا ما تكون لديهم مصالح متداخلة، وأحيانا متنافسة؛</w:t>
      </w:r>
    </w:p>
    <w:p w:rsidR="00B42CBF" w:rsidRPr="00331576" w:rsidRDefault="00B42CBF" w:rsidP="00CD26C5">
      <w:pPr>
        <w:numPr>
          <w:ilvl w:val="0"/>
          <w:numId w:val="37"/>
        </w:numPr>
        <w:ind w:left="-7" w:firstLine="727"/>
        <w:rPr>
          <w:lang w:val="en-GB"/>
        </w:rPr>
      </w:pPr>
      <w:r w:rsidRPr="00331576">
        <w:rPr>
          <w:rFonts w:hint="cs"/>
          <w:rtl/>
          <w:lang w:val="en-GB"/>
        </w:rPr>
        <w:t>تكرار تعدد السلطات التنظيمية المختصة في منطقة معينة؛</w:t>
      </w:r>
    </w:p>
    <w:p w:rsidR="00B42CBF" w:rsidRPr="00331576" w:rsidRDefault="00B42CBF" w:rsidP="00CD26C5">
      <w:pPr>
        <w:numPr>
          <w:ilvl w:val="0"/>
          <w:numId w:val="37"/>
        </w:numPr>
        <w:ind w:left="-7" w:firstLine="727"/>
        <w:rPr>
          <w:lang w:val="en-GB"/>
        </w:rPr>
      </w:pPr>
      <w:r w:rsidRPr="003B3DA5">
        <w:rPr>
          <w:rFonts w:hint="cs"/>
          <w:rtl/>
          <w:lang w:val="en-GB"/>
        </w:rPr>
        <w:t>توقُّع "النتائج" القائمة</w:t>
      </w:r>
      <w:r w:rsidRPr="00331576">
        <w:rPr>
          <w:rFonts w:hint="cs"/>
          <w:rtl/>
          <w:lang w:val="en-GB"/>
        </w:rPr>
        <w:t xml:space="preserve"> على أساس الموارد: من المنظور الاقتصادي، يُتوقع من تدابير الحفظ القائمة على أساس المناطق أن تحسن، في كثير من الحالات، الموارد السمكية وأن تستعيد الإنتاجية. وفي البيئات الأرضية، ينصبّ التركيز بشكل كبير على حماية الحيوانات دون توقع أنه من الممكن جنيُها بمجرد زيادة أعدادها.</w:t>
      </w:r>
    </w:p>
    <w:p w:rsidR="00B42CBF" w:rsidRPr="00331576" w:rsidRDefault="00B42CBF" w:rsidP="00B42CBF">
      <w:pPr>
        <w:jc w:val="center"/>
        <w:rPr>
          <w:b/>
          <w:bCs/>
          <w:rtl/>
          <w:lang w:val="en-GB"/>
        </w:rPr>
      </w:pPr>
      <w:r w:rsidRPr="00331576">
        <w:rPr>
          <w:rFonts w:hint="cs"/>
          <w:b/>
          <w:bCs/>
          <w:rtl/>
          <w:lang w:val="en-GB"/>
        </w:rPr>
        <w:t>باء-</w:t>
      </w:r>
      <w:r w:rsidRPr="00331576">
        <w:rPr>
          <w:b/>
          <w:bCs/>
          <w:rtl/>
          <w:lang w:val="en-GB"/>
        </w:rPr>
        <w:tab/>
      </w:r>
      <w:r w:rsidRPr="00331576">
        <w:rPr>
          <w:rFonts w:hint="cs"/>
          <w:b/>
          <w:bCs/>
          <w:rtl/>
          <w:lang w:val="en-GB"/>
        </w:rPr>
        <w:t xml:space="preserve">الأنواع الرئيسية من تدابير الحفظ القائمة على </w:t>
      </w:r>
      <w:r>
        <w:rPr>
          <w:rFonts w:hint="cs"/>
          <w:b/>
          <w:bCs/>
          <w:rtl/>
          <w:lang w:val="en-GB"/>
        </w:rPr>
        <w:t xml:space="preserve">أساس </w:t>
      </w:r>
      <w:r w:rsidRPr="00331576">
        <w:rPr>
          <w:rFonts w:hint="cs"/>
          <w:b/>
          <w:bCs/>
          <w:rtl/>
          <w:lang w:val="en-GB"/>
        </w:rPr>
        <w:t>المناطق في المناطق البحرية والساحلية</w:t>
      </w:r>
    </w:p>
    <w:p w:rsidR="00B42CBF" w:rsidRPr="00331576" w:rsidRDefault="00B42CBF" w:rsidP="00CD26C5">
      <w:pPr>
        <w:numPr>
          <w:ilvl w:val="0"/>
          <w:numId w:val="36"/>
        </w:numPr>
        <w:ind w:left="-7" w:firstLine="0"/>
        <w:rPr>
          <w:lang w:val="en-GB"/>
        </w:rPr>
      </w:pPr>
      <w:r w:rsidRPr="00331576">
        <w:rPr>
          <w:rFonts w:hint="cs"/>
          <w:rtl/>
          <w:lang w:val="en-GB"/>
        </w:rPr>
        <w:t xml:space="preserve">هناك عدد من الأنواع المختلفة من تدابير الحفظ/الإدارة القائمة على أساس المناطق، والتي يتم تطبيقها في المناطق البحرية والساحلية. ويمكن تصنيف هذه </w:t>
      </w:r>
      <w:r>
        <w:rPr>
          <w:rFonts w:hint="cs"/>
          <w:rtl/>
          <w:lang w:val="en-GB"/>
        </w:rPr>
        <w:t>التدابير</w:t>
      </w:r>
      <w:r w:rsidRPr="00331576">
        <w:rPr>
          <w:rFonts w:hint="cs"/>
          <w:rtl/>
          <w:lang w:val="en-GB"/>
        </w:rPr>
        <w:t xml:space="preserve"> بطرق مختلفة وهي ليست حصرية بالضرورة. ويمكن تصنيف تدابير الحفظ/الإدارة القائمة على أساس المناطق بوجه عام على النحو التالي:</w:t>
      </w:r>
    </w:p>
    <w:p w:rsidR="00B42CBF" w:rsidRPr="00331576" w:rsidRDefault="00B42CBF" w:rsidP="00CD26C5">
      <w:pPr>
        <w:numPr>
          <w:ilvl w:val="0"/>
          <w:numId w:val="38"/>
        </w:numPr>
        <w:ind w:left="-7" w:firstLine="727"/>
        <w:rPr>
          <w:lang w:val="en-GB"/>
        </w:rPr>
      </w:pPr>
      <w:r w:rsidRPr="00331576">
        <w:rPr>
          <w:rFonts w:hint="cs"/>
          <w:i/>
          <w:iCs/>
          <w:rtl/>
          <w:lang w:val="en-GB"/>
        </w:rPr>
        <w:t>المناطق البحرية والساحلية المحمية</w:t>
      </w:r>
      <w:r w:rsidRPr="00331576">
        <w:rPr>
          <w:rFonts w:hint="cs"/>
          <w:rtl/>
          <w:lang w:val="en-GB"/>
        </w:rPr>
        <w:t>: تعرِّف المادة 2 من الاتفاقية "المنطقة المحمية" على أنها منطقة محددة جغرافيا، يتم تخصيصها أو تنظيمها وإدارتها لتحقيق أهداف محددة للحفظ؛</w:t>
      </w:r>
    </w:p>
    <w:p w:rsidR="00B42CBF" w:rsidRPr="00331576" w:rsidRDefault="00B42CBF" w:rsidP="00CD26C5">
      <w:pPr>
        <w:numPr>
          <w:ilvl w:val="0"/>
          <w:numId w:val="38"/>
        </w:numPr>
        <w:ind w:left="-7" w:firstLine="727"/>
        <w:rPr>
          <w:lang w:val="en-GB"/>
        </w:rPr>
      </w:pPr>
      <w:r>
        <w:rPr>
          <w:rFonts w:hint="cs"/>
          <w:i/>
          <w:iCs/>
          <w:rtl/>
          <w:lang w:val="en-GB"/>
        </w:rPr>
        <w:t>الأقاليم و</w:t>
      </w:r>
      <w:r w:rsidRPr="00331576">
        <w:rPr>
          <w:rFonts w:hint="cs"/>
          <w:i/>
          <w:iCs/>
          <w:rtl/>
          <w:lang w:val="en-GB"/>
        </w:rPr>
        <w:t>المناطق التي</w:t>
      </w:r>
      <w:r>
        <w:rPr>
          <w:rFonts w:hint="cs"/>
          <w:i/>
          <w:iCs/>
          <w:rtl/>
          <w:lang w:val="en-GB"/>
        </w:rPr>
        <w:t xml:space="preserve"> تنظمها و</w:t>
      </w:r>
      <w:r w:rsidRPr="00331576">
        <w:rPr>
          <w:rFonts w:hint="cs"/>
          <w:i/>
          <w:iCs/>
          <w:rtl/>
          <w:lang w:val="en-GB"/>
        </w:rPr>
        <w:t>تديرها الشعوب الأصلية والمجتمعات المحلية</w:t>
      </w:r>
      <w:r w:rsidRPr="00331576">
        <w:rPr>
          <w:rFonts w:hint="cs"/>
          <w:rtl/>
          <w:lang w:val="en-GB"/>
        </w:rPr>
        <w:t xml:space="preserve">: في هذه الأنواع من النُهج، كثيرا ما يتم التنازل عن جزء </w:t>
      </w:r>
      <w:r>
        <w:rPr>
          <w:rFonts w:hint="cs"/>
          <w:rtl/>
          <w:lang w:val="en-GB"/>
        </w:rPr>
        <w:t xml:space="preserve">أو كل </w:t>
      </w:r>
      <w:r w:rsidRPr="00331576">
        <w:rPr>
          <w:rFonts w:hint="cs"/>
          <w:rtl/>
          <w:lang w:val="en-GB"/>
        </w:rPr>
        <w:t xml:space="preserve">من </w:t>
      </w:r>
      <w:r>
        <w:rPr>
          <w:rFonts w:hint="cs"/>
          <w:rtl/>
          <w:lang w:val="en-GB"/>
        </w:rPr>
        <w:t xml:space="preserve">صلاحيات الحوكمة و/أو </w:t>
      </w:r>
      <w:r w:rsidRPr="00331576">
        <w:rPr>
          <w:rFonts w:hint="cs"/>
          <w:rtl/>
          <w:lang w:val="en-GB"/>
        </w:rPr>
        <w:t>الإدارة إلى الشعوب الأصلية والمجتمعات المحلية، وغالبا ما ترتبط أهداف الحفظ بالأمن الغذائي والحصول على الموارد اللازمة للشعوب الأصلية والمجتمعات المحلية؛</w:t>
      </w:r>
    </w:p>
    <w:p w:rsidR="00B42CBF" w:rsidRPr="00331576" w:rsidRDefault="00B42CBF" w:rsidP="00CD26C5">
      <w:pPr>
        <w:numPr>
          <w:ilvl w:val="0"/>
          <w:numId w:val="38"/>
        </w:numPr>
        <w:ind w:left="-7" w:firstLine="727"/>
        <w:rPr>
          <w:lang w:val="en-GB"/>
        </w:rPr>
      </w:pPr>
      <w:r w:rsidRPr="00331576">
        <w:rPr>
          <w:rFonts w:hint="cs"/>
          <w:i/>
          <w:iCs/>
          <w:rtl/>
          <w:lang w:val="en-GB"/>
        </w:rPr>
        <w:t>تدابير إدارة مصايد الأسماك القائمة على أساس المناطق</w:t>
      </w:r>
      <w:r w:rsidRPr="00331576">
        <w:rPr>
          <w:rFonts w:hint="cs"/>
          <w:rtl/>
          <w:lang w:val="en-GB"/>
        </w:rPr>
        <w:t xml:space="preserve">: يتم إنشاؤها بشكل رسمي، وتحدد تدابير إدارة و/أو حفظ مصايد الأسماك مكانيا، وتُنفذ من أجل تحقيق واحد أو أكثر من نتائج الصيد المتوخاة. وترتبط نتائج هذه التدابير </w:t>
      </w:r>
      <w:r w:rsidRPr="00331576">
        <w:rPr>
          <w:rFonts w:hint="cs"/>
          <w:rtl/>
          <w:lang w:val="en-GB"/>
        </w:rPr>
        <w:lastRenderedPageBreak/>
        <w:t>عادة بالاستخدام المستدام للمصايد. إلا أنها قد تشتمل في كثير من الأحيان على حماية أو تقليل الآثار على التنوع البيولوجي أو الموائل أو هيكل ووظيفة النظام الإيكولوجي؛</w:t>
      </w:r>
    </w:p>
    <w:p w:rsidR="00B42CBF" w:rsidRPr="00331576" w:rsidRDefault="00B42CBF" w:rsidP="00CD26C5">
      <w:pPr>
        <w:numPr>
          <w:ilvl w:val="0"/>
          <w:numId w:val="38"/>
        </w:numPr>
        <w:ind w:left="-6" w:firstLine="727"/>
        <w:rPr>
          <w:lang w:val="en-GB"/>
        </w:rPr>
      </w:pPr>
      <w:r w:rsidRPr="00331576">
        <w:rPr>
          <w:rFonts w:hint="cs"/>
          <w:i/>
          <w:iCs/>
          <w:rtl/>
          <w:lang w:val="en-GB"/>
        </w:rPr>
        <w:t>نُهج الإدارة القطاعية الأخرى القائمة على أساس المناطق</w:t>
      </w:r>
      <w:r w:rsidRPr="00331576">
        <w:rPr>
          <w:rFonts w:hint="cs"/>
          <w:rtl/>
          <w:lang w:val="en-GB"/>
        </w:rPr>
        <w:t xml:space="preserve">: </w:t>
      </w:r>
      <w:r>
        <w:rPr>
          <w:rFonts w:hint="cs"/>
          <w:rtl/>
          <w:lang w:val="en-GB"/>
        </w:rPr>
        <w:t>هناك</w:t>
      </w:r>
      <w:r w:rsidRPr="00331576">
        <w:rPr>
          <w:rFonts w:hint="cs"/>
          <w:rtl/>
          <w:lang w:val="en-GB"/>
        </w:rPr>
        <w:t xml:space="preserve"> مجموعة من التدابير القائمة على أساس المناطق، يتم تطبيقها في قطاعات أخرى على نطاقات مختلفة ولأغراض مختلفة. وهي تشمل، على سبيل المثال، المناطق البحرية البالغة الحساسية (وهي مناطق حددتها المنظمة البحرية الدولية للحماية من الضرر الناجم عن الأنشطة البحرية الدولية لأهميتها الإيكولوجية أو الاجتماعية والاقتصادية أو العلمية)، </w:t>
      </w:r>
      <w:r>
        <w:rPr>
          <w:rFonts w:hint="cs"/>
          <w:rtl/>
          <w:lang w:val="en-GB"/>
        </w:rPr>
        <w:t>و</w:t>
      </w:r>
      <w:r w:rsidRPr="00331576">
        <w:rPr>
          <w:rFonts w:hint="cs"/>
          <w:rtl/>
          <w:lang w:val="en-GB"/>
        </w:rPr>
        <w:t>المناطق ذات الأهمية البيئية الخاصة (مناطق قاع البح</w:t>
      </w:r>
      <w:r>
        <w:rPr>
          <w:rFonts w:hint="cs"/>
          <w:rtl/>
          <w:lang w:val="en-GB"/>
        </w:rPr>
        <w:t>ا</w:t>
      </w:r>
      <w:r w:rsidRPr="00331576">
        <w:rPr>
          <w:rFonts w:hint="cs"/>
          <w:rtl/>
          <w:lang w:val="en-GB"/>
        </w:rPr>
        <w:t xml:space="preserve">ر التي حددتها السلطة الدولية لقاع البحار للحماية من الضرر الناجم عن التعدين في قاع البحار العميقة بسبب التنوع البيولوجي وهيكل ووظيفة النظام الإيكولوجي)، </w:t>
      </w:r>
      <w:r>
        <w:rPr>
          <w:rFonts w:hint="cs"/>
          <w:rtl/>
          <w:lang w:val="en-GB"/>
        </w:rPr>
        <w:t>والنُهج التي تقع ضمن العمل الوطني المتعلق بالتخطيط المكاني البحري، فضلا عن</w:t>
      </w:r>
      <w:r w:rsidRPr="00331576">
        <w:rPr>
          <w:rFonts w:hint="cs"/>
          <w:rtl/>
          <w:lang w:val="en-GB"/>
        </w:rPr>
        <w:t xml:space="preserve"> تدابير الحفظ في القطاعات الأخرى.</w:t>
      </w:r>
    </w:p>
    <w:p w:rsidR="00B42CBF" w:rsidRPr="00331576" w:rsidRDefault="00B42CBF" w:rsidP="008F1A01">
      <w:pPr>
        <w:tabs>
          <w:tab w:val="left" w:pos="1980"/>
        </w:tabs>
        <w:ind w:left="1980" w:right="1620" w:hanging="720"/>
        <w:jc w:val="left"/>
        <w:rPr>
          <w:b/>
          <w:bCs/>
          <w:rtl/>
          <w:lang w:val="en-GB"/>
        </w:rPr>
      </w:pPr>
      <w:r w:rsidRPr="00331576">
        <w:rPr>
          <w:rFonts w:hint="cs"/>
          <w:b/>
          <w:bCs/>
          <w:rtl/>
          <w:lang w:val="en-GB"/>
        </w:rPr>
        <w:t>جيم-</w:t>
      </w:r>
      <w:r w:rsidRPr="00331576">
        <w:rPr>
          <w:b/>
          <w:bCs/>
          <w:rtl/>
          <w:lang w:val="en-GB"/>
        </w:rPr>
        <w:tab/>
      </w:r>
      <w:r w:rsidRPr="00331576">
        <w:rPr>
          <w:rFonts w:hint="cs"/>
          <w:b/>
          <w:bCs/>
          <w:rtl/>
          <w:lang w:val="en-GB"/>
        </w:rPr>
        <w:t>النُهج لتعجيل التقدم نحو تحقيق الهدف 11 من أهداف أيشي للتنوع البيولوجي في المناطق البحرية والساحلية</w:t>
      </w:r>
    </w:p>
    <w:p w:rsidR="00B42CBF" w:rsidRPr="00331576" w:rsidRDefault="00B42CBF" w:rsidP="00CD26C5">
      <w:pPr>
        <w:numPr>
          <w:ilvl w:val="0"/>
          <w:numId w:val="36"/>
        </w:numPr>
        <w:ind w:left="-7" w:firstLine="0"/>
        <w:rPr>
          <w:lang w:val="en-GB"/>
        </w:rPr>
      </w:pPr>
      <w:r>
        <w:rPr>
          <w:rFonts w:hint="cs"/>
          <w:rtl/>
          <w:lang w:val="en-GB"/>
        </w:rPr>
        <w:t>يمكن لل</w:t>
      </w:r>
      <w:r w:rsidRPr="00331576">
        <w:rPr>
          <w:rFonts w:hint="cs"/>
          <w:rtl/>
          <w:lang w:val="en-GB"/>
        </w:rPr>
        <w:t xml:space="preserve">نُهج التالية </w:t>
      </w:r>
      <w:r>
        <w:rPr>
          <w:rFonts w:hint="cs"/>
          <w:rtl/>
          <w:lang w:val="en-GB"/>
        </w:rPr>
        <w:t>أن تعجل</w:t>
      </w:r>
      <w:r w:rsidRPr="00331576">
        <w:rPr>
          <w:rFonts w:hint="cs"/>
          <w:rtl/>
          <w:lang w:val="en-GB"/>
        </w:rPr>
        <w:t xml:space="preserve"> التقدم الوطني المحرز في تحقيق الهدف 11 من أهداف أيشي للتنوع البيولوجي في المناطق البحرية والساحلية، مع التسليم بأن هذه الن</w:t>
      </w:r>
      <w:r>
        <w:rPr>
          <w:rFonts w:hint="cs"/>
          <w:rtl/>
          <w:lang w:val="en-GB"/>
        </w:rPr>
        <w:t>ُ</w:t>
      </w:r>
      <w:r w:rsidRPr="00331576">
        <w:rPr>
          <w:rFonts w:hint="cs"/>
          <w:rtl/>
          <w:lang w:val="en-GB"/>
        </w:rPr>
        <w:t>هج ليست شاملة وأن هناك مصادر أخرى للإرشاد بشأن هذه المسائل:</w:t>
      </w:r>
    </w:p>
    <w:p w:rsidR="00B42CBF" w:rsidRPr="00331576" w:rsidRDefault="00B42CBF" w:rsidP="00B42CBF">
      <w:pPr>
        <w:jc w:val="center"/>
        <w:rPr>
          <w:i/>
          <w:iCs/>
          <w:lang w:val="en-GB"/>
        </w:rPr>
      </w:pPr>
      <w:r w:rsidRPr="00331576">
        <w:rPr>
          <w:rFonts w:hint="cs"/>
          <w:i/>
          <w:iCs/>
          <w:rtl/>
          <w:lang w:val="en-GB"/>
        </w:rPr>
        <w:t>1-</w:t>
      </w:r>
      <w:r w:rsidRPr="00331576">
        <w:rPr>
          <w:rFonts w:hint="cs"/>
          <w:i/>
          <w:iCs/>
          <w:rtl/>
          <w:lang w:val="en-GB"/>
        </w:rPr>
        <w:tab/>
        <w:t>توفير قاعدة كافية من المعلومات</w:t>
      </w:r>
    </w:p>
    <w:p w:rsidR="00B42CBF" w:rsidRPr="00331576" w:rsidRDefault="00B42CBF" w:rsidP="00CD26C5">
      <w:pPr>
        <w:numPr>
          <w:ilvl w:val="0"/>
          <w:numId w:val="39"/>
        </w:numPr>
        <w:ind w:left="-7" w:firstLine="727"/>
        <w:rPr>
          <w:lang w:val="en-GB"/>
        </w:rPr>
      </w:pPr>
      <w:r w:rsidRPr="00331576">
        <w:rPr>
          <w:rFonts w:hint="cs"/>
          <w:rtl/>
          <w:lang w:val="en-GB"/>
        </w:rPr>
        <w:t>تحديد المعلومات اللازمة لمعال</w:t>
      </w:r>
      <w:r>
        <w:rPr>
          <w:rFonts w:hint="cs"/>
          <w:rtl/>
          <w:lang w:val="en-GB"/>
        </w:rPr>
        <w:t xml:space="preserve">جة العناصر النوعية، بما في ذلك </w:t>
      </w:r>
      <w:r w:rsidRPr="00331576">
        <w:rPr>
          <w:rFonts w:hint="cs"/>
          <w:rtl/>
          <w:lang w:val="en-GB"/>
        </w:rPr>
        <w:t>معلومات عن التنوع البيولوجي، والنظم الإيكولوجية، والجغرافيا البيولوجية، وكذلك معلومات عن التهديدات الحالية التي يواجهها التنوع البيولوجي والتهديدات المحتملة الناجمة عن الضغوط الجديدة والناشئة؛</w:t>
      </w:r>
    </w:p>
    <w:p w:rsidR="00B42CBF" w:rsidRPr="00331576" w:rsidRDefault="00B42CBF" w:rsidP="00CD26C5">
      <w:pPr>
        <w:numPr>
          <w:ilvl w:val="0"/>
          <w:numId w:val="39"/>
        </w:numPr>
        <w:ind w:left="-7" w:firstLine="727"/>
        <w:rPr>
          <w:lang w:val="en-GB"/>
        </w:rPr>
      </w:pPr>
      <w:r w:rsidRPr="00331576">
        <w:rPr>
          <w:rFonts w:hint="cs"/>
          <w:rtl/>
          <w:lang w:val="en-GB"/>
        </w:rPr>
        <w:t>تجميع ومواءمة مختلف أنواع المعلومات</w:t>
      </w:r>
      <w:r>
        <w:rPr>
          <w:rFonts w:hint="cs"/>
          <w:rtl/>
          <w:lang w:val="en-GB"/>
        </w:rPr>
        <w:t xml:space="preserve"> ب</w:t>
      </w:r>
      <w:r w:rsidRPr="00331576">
        <w:rPr>
          <w:rFonts w:hint="cs"/>
          <w:rtl/>
          <w:lang w:val="en-GB"/>
        </w:rPr>
        <w:t xml:space="preserve">الموافقة الحرة والمسبقة </w:t>
      </w:r>
      <w:r>
        <w:rPr>
          <w:rFonts w:hint="cs"/>
          <w:rtl/>
          <w:lang w:val="en-GB"/>
        </w:rPr>
        <w:t xml:space="preserve">عن علم عندما ينطبق ذلك على معارف الشعوب الأصلية حسب الاقتضاء وبما يتسق مع السياسات واللوائح والظروف الوطنية، والالتزامات الدولية السارية، بما في ذلك </w:t>
      </w:r>
      <w:r w:rsidRPr="00331576">
        <w:rPr>
          <w:rFonts w:hint="cs"/>
          <w:rtl/>
          <w:lang w:val="en-GB"/>
        </w:rPr>
        <w:t>معلومات عن المناطق البحرية المهمة إيكولوجيا</w:t>
      </w:r>
      <w:r>
        <w:rPr>
          <w:rFonts w:hint="cs"/>
          <w:rtl/>
          <w:lang w:val="en-GB"/>
        </w:rPr>
        <w:t>ً</w:t>
      </w:r>
      <w:r w:rsidRPr="00331576">
        <w:rPr>
          <w:rFonts w:hint="cs"/>
          <w:rtl/>
          <w:lang w:val="en-GB"/>
        </w:rPr>
        <w:t xml:space="preserve"> أو بيولوجيا</w:t>
      </w:r>
      <w:r>
        <w:rPr>
          <w:rFonts w:hint="cs"/>
          <w:rtl/>
          <w:lang w:val="en-GB"/>
        </w:rPr>
        <w:t>ً</w:t>
      </w:r>
      <w:r w:rsidRPr="00331576">
        <w:rPr>
          <w:rFonts w:hint="cs"/>
          <w:rtl/>
          <w:lang w:val="en-GB"/>
        </w:rPr>
        <w:t xml:space="preserve"> </w:t>
      </w:r>
      <w:r w:rsidRPr="00EE0FD7">
        <w:rPr>
          <w:rFonts w:cs="Times New Roman"/>
          <w:szCs w:val="22"/>
          <w:rtl/>
          <w:lang w:val="en-GB"/>
        </w:rPr>
        <w:t>(</w:t>
      </w:r>
      <w:r w:rsidRPr="00EE0FD7">
        <w:rPr>
          <w:rFonts w:cs="Times New Roman"/>
          <w:szCs w:val="22"/>
          <w:lang w:val="en-GB"/>
        </w:rPr>
        <w:t>EBSAs</w:t>
      </w:r>
      <w:r w:rsidRPr="00EE0FD7">
        <w:rPr>
          <w:rFonts w:cs="Times New Roman"/>
          <w:szCs w:val="22"/>
          <w:rtl/>
          <w:lang w:val="en-GB"/>
        </w:rPr>
        <w:t>)</w:t>
      </w:r>
      <w:r w:rsidRPr="00331576">
        <w:rPr>
          <w:rFonts w:hint="cs"/>
          <w:rtl/>
          <w:lang w:val="en-GB"/>
        </w:rPr>
        <w:t xml:space="preserve">، ومناطق التنوع البيولوجي الرئيسية </w:t>
      </w:r>
      <w:r w:rsidRPr="00EE0FD7">
        <w:rPr>
          <w:rFonts w:cs="Times New Roman"/>
          <w:szCs w:val="22"/>
          <w:rtl/>
          <w:lang w:val="en-GB"/>
        </w:rPr>
        <w:t>(</w:t>
      </w:r>
      <w:r w:rsidRPr="00EE0FD7">
        <w:rPr>
          <w:rFonts w:cs="Times New Roman"/>
          <w:szCs w:val="22"/>
          <w:lang w:val="en-GB"/>
        </w:rPr>
        <w:t>KBAs</w:t>
      </w:r>
      <w:r w:rsidRPr="00EE0FD7">
        <w:rPr>
          <w:rFonts w:cs="Times New Roman"/>
          <w:szCs w:val="22"/>
          <w:rtl/>
          <w:lang w:val="en-GB"/>
        </w:rPr>
        <w:t>)</w:t>
      </w:r>
      <w:r w:rsidRPr="00331576">
        <w:rPr>
          <w:rFonts w:hint="cs"/>
          <w:rtl/>
          <w:lang w:val="en-GB"/>
        </w:rPr>
        <w:t xml:space="preserve">، والنظم الإيكولوجية البحرية الهشة </w:t>
      </w:r>
      <w:r w:rsidRPr="00EE0FD7">
        <w:rPr>
          <w:rFonts w:cs="Times New Roman"/>
          <w:szCs w:val="22"/>
          <w:rtl/>
          <w:lang w:val="en-GB"/>
        </w:rPr>
        <w:t>(</w:t>
      </w:r>
      <w:r w:rsidRPr="00EE0FD7">
        <w:rPr>
          <w:rFonts w:cs="Times New Roman"/>
          <w:szCs w:val="22"/>
          <w:lang w:val="en-GB"/>
        </w:rPr>
        <w:t>VMEs</w:t>
      </w:r>
      <w:r w:rsidRPr="00EE0FD7">
        <w:rPr>
          <w:rFonts w:cs="Times New Roman"/>
          <w:szCs w:val="22"/>
          <w:rtl/>
          <w:lang w:val="en-GB"/>
        </w:rPr>
        <w:t>)</w:t>
      </w:r>
      <w:r w:rsidRPr="00331576">
        <w:rPr>
          <w:rFonts w:hint="cs"/>
          <w:rtl/>
          <w:lang w:val="en-GB"/>
        </w:rPr>
        <w:t xml:space="preserve">، والمناطق البحرية البالغة الحساسية </w:t>
      </w:r>
      <w:r w:rsidRPr="00EE0FD7">
        <w:rPr>
          <w:rFonts w:cs="Times New Roman"/>
          <w:szCs w:val="22"/>
          <w:rtl/>
          <w:lang w:val="en-GB"/>
        </w:rPr>
        <w:t>(</w:t>
      </w:r>
      <w:r w:rsidRPr="00EE0FD7">
        <w:rPr>
          <w:rFonts w:cs="Times New Roman"/>
          <w:szCs w:val="22"/>
          <w:lang w:val="en-GB"/>
        </w:rPr>
        <w:t>PSSAs</w:t>
      </w:r>
      <w:r w:rsidRPr="00EE0FD7">
        <w:rPr>
          <w:rFonts w:cs="Times New Roman"/>
          <w:szCs w:val="22"/>
          <w:rtl/>
          <w:lang w:val="en-GB"/>
        </w:rPr>
        <w:t>)</w:t>
      </w:r>
      <w:r w:rsidRPr="00331576">
        <w:rPr>
          <w:rFonts w:hint="cs"/>
          <w:rtl/>
          <w:lang w:val="en-GB"/>
        </w:rPr>
        <w:t xml:space="preserve">، والمناطق المهمة للثدييات البحرية </w:t>
      </w:r>
      <w:r w:rsidRPr="00EE0FD7">
        <w:rPr>
          <w:rFonts w:cs="Times New Roman"/>
          <w:szCs w:val="22"/>
          <w:rtl/>
          <w:lang w:val="en-GB"/>
        </w:rPr>
        <w:t>(</w:t>
      </w:r>
      <w:r w:rsidRPr="00EE0FD7">
        <w:rPr>
          <w:rFonts w:cs="Times New Roman"/>
          <w:szCs w:val="22"/>
          <w:lang w:val="en-GB"/>
        </w:rPr>
        <w:t>IMMAs</w:t>
      </w:r>
      <w:r w:rsidRPr="00EE0FD7">
        <w:rPr>
          <w:rFonts w:cs="Times New Roman"/>
          <w:szCs w:val="22"/>
          <w:rtl/>
          <w:lang w:val="en-GB"/>
        </w:rPr>
        <w:t>)</w:t>
      </w:r>
      <w:r w:rsidRPr="00331576">
        <w:rPr>
          <w:rFonts w:hint="cs"/>
          <w:rtl/>
          <w:lang w:val="en-GB"/>
        </w:rPr>
        <w:t>؛</w:t>
      </w:r>
    </w:p>
    <w:p w:rsidR="00B42CBF" w:rsidRPr="00331576" w:rsidRDefault="00B42CBF" w:rsidP="00CD26C5">
      <w:pPr>
        <w:numPr>
          <w:ilvl w:val="0"/>
          <w:numId w:val="39"/>
        </w:numPr>
        <w:ind w:left="-7" w:firstLine="727"/>
        <w:rPr>
          <w:lang w:val="en-GB"/>
        </w:rPr>
      </w:pPr>
      <w:r w:rsidRPr="00331576">
        <w:rPr>
          <w:rFonts w:hint="cs"/>
          <w:rtl/>
          <w:lang w:val="en-GB"/>
        </w:rPr>
        <w:t>وضع و/أو تحسين آليات لتوحيد وتبادل وإدماج المعلومات (مثل آليات غرفة تبادل المعلومات، والنظام العالمي لرصد المحيطات، وغيرها من نظم الرصد).</w:t>
      </w:r>
    </w:p>
    <w:p w:rsidR="00B42CBF" w:rsidRPr="00331576" w:rsidRDefault="00B42CBF" w:rsidP="00B42CBF">
      <w:pPr>
        <w:jc w:val="center"/>
        <w:rPr>
          <w:i/>
          <w:iCs/>
          <w:lang w:val="en-GB"/>
        </w:rPr>
      </w:pPr>
      <w:r w:rsidRPr="00331576">
        <w:rPr>
          <w:rFonts w:hint="cs"/>
          <w:i/>
          <w:iCs/>
          <w:rtl/>
          <w:lang w:val="en-GB"/>
        </w:rPr>
        <w:t>2-</w:t>
      </w:r>
      <w:r w:rsidRPr="00331576">
        <w:rPr>
          <w:rFonts w:hint="cs"/>
          <w:i/>
          <w:iCs/>
          <w:rtl/>
          <w:lang w:val="en-GB"/>
        </w:rPr>
        <w:tab/>
        <w:t xml:space="preserve">إشراك </w:t>
      </w:r>
      <w:r>
        <w:rPr>
          <w:rFonts w:hint="cs"/>
          <w:i/>
          <w:iCs/>
          <w:rtl/>
          <w:lang w:val="en-GB"/>
        </w:rPr>
        <w:t>أصحاب الحقوق و</w:t>
      </w:r>
      <w:r w:rsidRPr="00331576">
        <w:rPr>
          <w:rFonts w:hint="cs"/>
          <w:i/>
          <w:iCs/>
          <w:rtl/>
          <w:lang w:val="en-GB"/>
        </w:rPr>
        <w:t>أصحاب المصلحة</w:t>
      </w:r>
    </w:p>
    <w:p w:rsidR="00B42CBF" w:rsidRPr="00331576" w:rsidRDefault="00B42CBF" w:rsidP="00CD26C5">
      <w:pPr>
        <w:numPr>
          <w:ilvl w:val="0"/>
          <w:numId w:val="40"/>
        </w:numPr>
        <w:ind w:left="-6" w:firstLine="727"/>
        <w:rPr>
          <w:i/>
          <w:iCs/>
          <w:lang w:val="en-GB"/>
        </w:rPr>
      </w:pPr>
      <w:r w:rsidRPr="00331576">
        <w:rPr>
          <w:rFonts w:hint="cs"/>
          <w:rtl/>
          <w:lang w:val="en-GB"/>
        </w:rPr>
        <w:t xml:space="preserve">تحديد </w:t>
      </w:r>
      <w:r>
        <w:rPr>
          <w:rFonts w:hint="cs"/>
          <w:rtl/>
          <w:lang w:val="en-GB"/>
        </w:rPr>
        <w:t>أصحاب الحقوق و</w:t>
      </w:r>
      <w:r w:rsidRPr="00331576">
        <w:rPr>
          <w:rFonts w:hint="cs"/>
          <w:rtl/>
          <w:lang w:val="en-GB"/>
        </w:rPr>
        <w:t>أصحاب المصلحة المعنيين، مع النظر في سبل العيش والخصوصيات الثقافية والروحية على مختلف المستويات؛</w:t>
      </w:r>
    </w:p>
    <w:p w:rsidR="00B42CBF" w:rsidRPr="00331576" w:rsidRDefault="00B42CBF" w:rsidP="00CD26C5">
      <w:pPr>
        <w:numPr>
          <w:ilvl w:val="0"/>
          <w:numId w:val="40"/>
        </w:numPr>
        <w:ind w:left="-6" w:firstLine="727"/>
        <w:rPr>
          <w:i/>
          <w:iCs/>
          <w:lang w:val="en-GB"/>
        </w:rPr>
      </w:pPr>
      <w:r w:rsidRPr="00331576">
        <w:rPr>
          <w:rFonts w:hint="cs"/>
          <w:rtl/>
          <w:lang w:val="en-GB"/>
        </w:rPr>
        <w:t xml:space="preserve">وضع وتعزيز شبكات جماعات الممارسين وشبكات </w:t>
      </w:r>
      <w:r>
        <w:rPr>
          <w:rFonts w:hint="cs"/>
          <w:rtl/>
          <w:lang w:val="en-GB"/>
        </w:rPr>
        <w:t>أصحاب الحقوق و</w:t>
      </w:r>
      <w:r w:rsidRPr="00331576">
        <w:rPr>
          <w:rFonts w:hint="cs"/>
          <w:rtl/>
          <w:lang w:val="en-GB"/>
        </w:rPr>
        <w:t>أصحاب المصلحة التي من شأنها أن تُيسر التعلم المتبادل والتبادل، وأن تدعم أيضا الحوكمة والرصد والإنفاذ والإبلاغ والتقييم؛</w:t>
      </w:r>
    </w:p>
    <w:p w:rsidR="00B42CBF" w:rsidRPr="00331576" w:rsidRDefault="00B42CBF" w:rsidP="00CD26C5">
      <w:pPr>
        <w:numPr>
          <w:ilvl w:val="0"/>
          <w:numId w:val="40"/>
        </w:numPr>
        <w:ind w:left="-6" w:firstLine="727"/>
        <w:rPr>
          <w:i/>
          <w:iCs/>
          <w:lang w:val="en-GB"/>
        </w:rPr>
      </w:pPr>
      <w:r w:rsidRPr="00331576">
        <w:rPr>
          <w:rFonts w:hint="cs"/>
          <w:rtl/>
          <w:lang w:val="en-GB"/>
        </w:rPr>
        <w:t xml:space="preserve">بناء فهم مشترك بين </w:t>
      </w:r>
      <w:r>
        <w:rPr>
          <w:rFonts w:hint="cs"/>
          <w:rtl/>
          <w:lang w:val="en-GB"/>
        </w:rPr>
        <w:t>أصحاب الحقوق و</w:t>
      </w:r>
      <w:r w:rsidRPr="00331576">
        <w:rPr>
          <w:rFonts w:hint="cs"/>
          <w:rtl/>
          <w:lang w:val="en-GB"/>
        </w:rPr>
        <w:t>أصحاب المصلحة للأهداف والنتائج المتوقعة؛</w:t>
      </w:r>
    </w:p>
    <w:p w:rsidR="00B42CBF" w:rsidRPr="00331576" w:rsidRDefault="00B42CBF" w:rsidP="00CD26C5">
      <w:pPr>
        <w:numPr>
          <w:ilvl w:val="0"/>
          <w:numId w:val="40"/>
        </w:numPr>
        <w:ind w:left="-6" w:firstLine="727"/>
        <w:rPr>
          <w:i/>
          <w:iCs/>
          <w:lang w:val="en-GB"/>
        </w:rPr>
      </w:pPr>
      <w:r w:rsidRPr="00331576">
        <w:rPr>
          <w:rFonts w:hint="cs"/>
          <w:rtl/>
          <w:lang w:val="en-GB"/>
        </w:rPr>
        <w:t>تعزيز ودعم المهارات الاجتماعية والتواصلية القوية لدى المديرين والممارسين في المناطق البحرية المحمية، وتدابير الحفظ الفعالة الأخرى القائمة على أساس المناطق.</w:t>
      </w:r>
    </w:p>
    <w:p w:rsidR="00B42CBF" w:rsidRPr="00331576" w:rsidRDefault="00B42CBF" w:rsidP="00CD66D2">
      <w:pPr>
        <w:jc w:val="center"/>
        <w:rPr>
          <w:i/>
          <w:iCs/>
          <w:lang w:val="en-GB"/>
        </w:rPr>
      </w:pPr>
      <w:r>
        <w:rPr>
          <w:rFonts w:hint="cs"/>
          <w:i/>
          <w:iCs/>
          <w:rtl/>
          <w:lang w:val="en-GB"/>
        </w:rPr>
        <w:t>3-</w:t>
      </w:r>
      <w:r>
        <w:rPr>
          <w:rFonts w:hint="cs"/>
          <w:i/>
          <w:iCs/>
          <w:rtl/>
          <w:lang w:val="en-GB"/>
        </w:rPr>
        <w:tab/>
        <w:t>الحوكمة والرصد والإنفاذ</w:t>
      </w:r>
    </w:p>
    <w:p w:rsidR="00B42CBF" w:rsidRPr="00331576" w:rsidRDefault="00B42CBF" w:rsidP="00CD26C5">
      <w:pPr>
        <w:numPr>
          <w:ilvl w:val="0"/>
          <w:numId w:val="41"/>
        </w:numPr>
        <w:ind w:left="-7" w:firstLine="727"/>
        <w:rPr>
          <w:lang w:val="en-GB"/>
        </w:rPr>
      </w:pPr>
      <w:r w:rsidRPr="00331576">
        <w:rPr>
          <w:rFonts w:hint="cs"/>
          <w:rtl/>
          <w:lang w:val="en-GB"/>
        </w:rPr>
        <w:lastRenderedPageBreak/>
        <w:t>تحديد السياسات والتدابير الإدارية المعمول بها، بما في ذلك تلك الموجودة خارج المناطق المحمية/المحفوظة؛</w:t>
      </w:r>
    </w:p>
    <w:p w:rsidR="00B42CBF" w:rsidRPr="00331576" w:rsidRDefault="00B42CBF" w:rsidP="00CD26C5">
      <w:pPr>
        <w:numPr>
          <w:ilvl w:val="0"/>
          <w:numId w:val="41"/>
        </w:numPr>
        <w:ind w:left="-7" w:firstLine="727"/>
        <w:rPr>
          <w:lang w:val="en-GB"/>
        </w:rPr>
      </w:pPr>
      <w:r w:rsidRPr="00331576">
        <w:rPr>
          <w:rFonts w:hint="cs"/>
          <w:rtl/>
          <w:lang w:val="en-GB"/>
        </w:rPr>
        <w:t>الاستفادة بصورة أفضل من التطورات الجديدة في البيانات المفتوحة المصدر (مثل المعلومات الساتلية)</w:t>
      </w:r>
      <w:r>
        <w:rPr>
          <w:rFonts w:hint="cs"/>
          <w:rtl/>
          <w:lang w:val="en-GB"/>
        </w:rPr>
        <w:t>، وفقا للتشريعات الوطنية</w:t>
      </w:r>
      <w:r w:rsidRPr="00331576">
        <w:rPr>
          <w:rFonts w:hint="cs"/>
          <w:rtl/>
          <w:lang w:val="en-GB"/>
        </w:rPr>
        <w:t>؛</w:t>
      </w:r>
    </w:p>
    <w:p w:rsidR="00B42CBF" w:rsidRPr="00331576" w:rsidRDefault="00B42CBF" w:rsidP="00CD26C5">
      <w:pPr>
        <w:numPr>
          <w:ilvl w:val="0"/>
          <w:numId w:val="41"/>
        </w:numPr>
        <w:ind w:left="-7" w:firstLine="727"/>
        <w:rPr>
          <w:lang w:val="en-GB"/>
        </w:rPr>
      </w:pPr>
      <w:r w:rsidRPr="00331576">
        <w:rPr>
          <w:rFonts w:hint="cs"/>
          <w:rtl/>
          <w:lang w:val="en-GB"/>
        </w:rPr>
        <w:t>بناء و/أو تعزيز آليات وشراكات الرصد العالمية للحد من التكاليف الإجمالية للرصد؛</w:t>
      </w:r>
    </w:p>
    <w:p w:rsidR="00B42CBF" w:rsidRPr="00331576" w:rsidRDefault="00B42CBF" w:rsidP="00CD26C5">
      <w:pPr>
        <w:numPr>
          <w:ilvl w:val="0"/>
          <w:numId w:val="41"/>
        </w:numPr>
        <w:ind w:left="-7" w:firstLine="727"/>
        <w:rPr>
          <w:lang w:val="en-GB"/>
        </w:rPr>
      </w:pPr>
      <w:r w:rsidRPr="00331576">
        <w:rPr>
          <w:rFonts w:hint="cs"/>
          <w:rtl/>
          <w:lang w:val="en-GB"/>
        </w:rPr>
        <w:t>إشراك الشعوب الأصلية والمجتمعات المحلية، وكذلك الزعماء المحليين المحترمين، في الرصد والإنفاذ، وتعزيز قدرة المجتمعات المحلية على القيام بالرصد</w:t>
      </w:r>
      <w:r>
        <w:rPr>
          <w:rFonts w:hint="cs"/>
          <w:rtl/>
          <w:lang w:val="en-GB"/>
        </w:rPr>
        <w:t>، وفقا للتشريعات الوطنية</w:t>
      </w:r>
      <w:r w:rsidRPr="00331576">
        <w:rPr>
          <w:rFonts w:hint="cs"/>
          <w:rtl/>
          <w:lang w:val="en-GB"/>
        </w:rPr>
        <w:t>؛</w:t>
      </w:r>
    </w:p>
    <w:p w:rsidR="00B42CBF" w:rsidRPr="00331576" w:rsidRDefault="00B42CBF" w:rsidP="00CD26C5">
      <w:pPr>
        <w:numPr>
          <w:ilvl w:val="0"/>
          <w:numId w:val="41"/>
        </w:numPr>
        <w:ind w:left="-7" w:firstLine="727"/>
        <w:rPr>
          <w:lang w:val="en-GB"/>
        </w:rPr>
      </w:pPr>
      <w:r w:rsidRPr="00331576">
        <w:rPr>
          <w:rFonts w:hint="cs"/>
          <w:rtl/>
          <w:lang w:val="en-GB"/>
        </w:rPr>
        <w:t>تعزيز قدرة العلماء على استخدام معارف الشعوب الأصلية والمجتمعات المحلية، مع احترام السياقات الثقافية المناسبة؛</w:t>
      </w:r>
    </w:p>
    <w:p w:rsidR="00B42CBF" w:rsidRPr="00331576" w:rsidRDefault="00B42CBF" w:rsidP="00CD26C5">
      <w:pPr>
        <w:numPr>
          <w:ilvl w:val="0"/>
          <w:numId w:val="41"/>
        </w:numPr>
        <w:ind w:left="-7" w:firstLine="727"/>
        <w:rPr>
          <w:lang w:val="en-GB"/>
        </w:rPr>
      </w:pPr>
      <w:r w:rsidRPr="00331576">
        <w:rPr>
          <w:rFonts w:hint="cs"/>
          <w:rtl/>
          <w:lang w:val="en-GB"/>
        </w:rPr>
        <w:t>بناء قدرات المديرين والممارسين؛</w:t>
      </w:r>
    </w:p>
    <w:p w:rsidR="00B42CBF" w:rsidRPr="00331576" w:rsidRDefault="00B42CBF" w:rsidP="00CD26C5">
      <w:pPr>
        <w:numPr>
          <w:ilvl w:val="0"/>
          <w:numId w:val="41"/>
        </w:numPr>
        <w:ind w:left="-7" w:firstLine="727"/>
        <w:rPr>
          <w:lang w:val="en-GB"/>
        </w:rPr>
      </w:pPr>
      <w:r w:rsidRPr="00331576">
        <w:rPr>
          <w:rFonts w:hint="cs"/>
          <w:rtl/>
          <w:lang w:val="en-GB"/>
        </w:rPr>
        <w:t>تيسير التعاون والتواصل وتبادل أفضل الممارسات بين المديرين والممارسين؛</w:t>
      </w:r>
    </w:p>
    <w:p w:rsidR="00B42CBF" w:rsidRPr="00331576" w:rsidRDefault="00B42CBF" w:rsidP="00CD26C5">
      <w:pPr>
        <w:numPr>
          <w:ilvl w:val="0"/>
          <w:numId w:val="41"/>
        </w:numPr>
        <w:ind w:left="-7" w:firstLine="727"/>
        <w:rPr>
          <w:lang w:val="en-GB"/>
        </w:rPr>
      </w:pPr>
      <w:r w:rsidRPr="00331576">
        <w:rPr>
          <w:rFonts w:hint="cs"/>
          <w:rtl/>
          <w:lang w:val="en-GB"/>
        </w:rPr>
        <w:t>تحديد الثغرات والعقبات التي تحول دون الحوكمة الفعالة والامتثال؛</w:t>
      </w:r>
    </w:p>
    <w:p w:rsidR="00B42CBF" w:rsidRPr="00331576" w:rsidRDefault="00B42CBF" w:rsidP="00CD26C5">
      <w:pPr>
        <w:numPr>
          <w:ilvl w:val="0"/>
          <w:numId w:val="41"/>
        </w:numPr>
        <w:ind w:left="-7" w:firstLine="727"/>
        <w:rPr>
          <w:lang w:val="en-GB"/>
        </w:rPr>
      </w:pPr>
      <w:r w:rsidRPr="00331576">
        <w:rPr>
          <w:rFonts w:hint="cs"/>
          <w:rtl/>
          <w:lang w:val="en-GB"/>
        </w:rPr>
        <w:t>الاستفادة من المعايير والمؤشرات القائمة، وتحسين وضوح الرؤية واستيعاب مختلف المعايير العالمية والإقليمية لتيسير ال</w:t>
      </w:r>
      <w:r>
        <w:rPr>
          <w:rFonts w:hint="cs"/>
          <w:rtl/>
          <w:lang w:val="en-GB"/>
        </w:rPr>
        <w:t>نُهج</w:t>
      </w:r>
      <w:r w:rsidRPr="00331576">
        <w:rPr>
          <w:rFonts w:hint="cs"/>
          <w:rtl/>
          <w:lang w:val="en-GB"/>
        </w:rPr>
        <w:t xml:space="preserve"> المشتركة بين مختلف النطاقات؛</w:t>
      </w:r>
    </w:p>
    <w:p w:rsidR="00B42CBF" w:rsidRPr="00331576" w:rsidRDefault="00B42CBF" w:rsidP="00CD26C5">
      <w:pPr>
        <w:numPr>
          <w:ilvl w:val="0"/>
          <w:numId w:val="41"/>
        </w:numPr>
        <w:ind w:left="-7" w:firstLine="727"/>
        <w:rPr>
          <w:lang w:val="en-GB"/>
        </w:rPr>
      </w:pPr>
      <w:r w:rsidRPr="00331576">
        <w:rPr>
          <w:rFonts w:hint="cs"/>
          <w:rtl/>
          <w:lang w:val="en-GB"/>
        </w:rPr>
        <w:t>الاعتراف بدور الشعوب الأصلية والمجتمعات المحلية في الحوكمة والرصد والإنفاذ، ودعمه</w:t>
      </w:r>
      <w:r>
        <w:rPr>
          <w:rFonts w:hint="cs"/>
          <w:rtl/>
          <w:lang w:val="en-GB"/>
        </w:rPr>
        <w:t>، وفقا للتشريعات الوطنية</w:t>
      </w:r>
      <w:r w:rsidRPr="00331576">
        <w:rPr>
          <w:rFonts w:hint="cs"/>
          <w:rtl/>
          <w:lang w:val="en-GB"/>
        </w:rPr>
        <w:t>.</w:t>
      </w:r>
    </w:p>
    <w:p w:rsidR="00B42CBF" w:rsidRPr="00331576" w:rsidRDefault="00B42CBF" w:rsidP="003607CA">
      <w:pPr>
        <w:jc w:val="center"/>
        <w:rPr>
          <w:i/>
          <w:iCs/>
          <w:lang w:val="en-GB"/>
        </w:rPr>
      </w:pPr>
      <w:r w:rsidRPr="00331576">
        <w:rPr>
          <w:rFonts w:hint="cs"/>
          <w:i/>
          <w:iCs/>
          <w:rtl/>
          <w:lang w:val="en-GB"/>
        </w:rPr>
        <w:t>4-</w:t>
      </w:r>
      <w:r w:rsidRPr="00331576">
        <w:rPr>
          <w:rFonts w:hint="cs"/>
          <w:i/>
          <w:iCs/>
          <w:rtl/>
          <w:lang w:val="en-GB"/>
        </w:rPr>
        <w:tab/>
        <w:t xml:space="preserve">تقييم التقدم المحرز </w:t>
      </w:r>
      <w:r>
        <w:rPr>
          <w:rFonts w:hint="cs"/>
          <w:i/>
          <w:iCs/>
          <w:rtl/>
          <w:lang w:val="en-GB"/>
        </w:rPr>
        <w:t xml:space="preserve">في </w:t>
      </w:r>
      <w:r w:rsidRPr="00331576">
        <w:rPr>
          <w:rFonts w:hint="cs"/>
          <w:i/>
          <w:iCs/>
          <w:rtl/>
          <w:lang w:val="en-GB"/>
        </w:rPr>
        <w:t>تحقيق الجوانب النوعية للهدف 11 من أهداف أيشي للتنوع البيولوجي والإبلاغ عنه</w:t>
      </w:r>
    </w:p>
    <w:p w:rsidR="00B42CBF" w:rsidRPr="00331576" w:rsidRDefault="00B42CBF" w:rsidP="003607CA">
      <w:pPr>
        <w:rPr>
          <w:i/>
          <w:iCs/>
          <w:rtl/>
          <w:lang w:val="en-GB"/>
        </w:rPr>
      </w:pPr>
      <w:r w:rsidRPr="00331576">
        <w:rPr>
          <w:rFonts w:hint="cs"/>
          <w:i/>
          <w:iCs/>
          <w:rtl/>
          <w:lang w:val="en-GB"/>
        </w:rPr>
        <w:t>التقييم</w:t>
      </w:r>
    </w:p>
    <w:p w:rsidR="00B42CBF" w:rsidRPr="00331576" w:rsidRDefault="00B42CBF" w:rsidP="00CD26C5">
      <w:pPr>
        <w:numPr>
          <w:ilvl w:val="0"/>
          <w:numId w:val="42"/>
        </w:numPr>
        <w:ind w:left="-7" w:firstLine="727"/>
        <w:rPr>
          <w:lang w:val="en-GB"/>
        </w:rPr>
      </w:pPr>
      <w:r>
        <w:rPr>
          <w:rFonts w:hint="cs"/>
          <w:rtl/>
          <w:lang w:val="en-GB"/>
        </w:rPr>
        <w:t>ضمان</w:t>
      </w:r>
      <w:r w:rsidRPr="00331576">
        <w:rPr>
          <w:rFonts w:hint="cs"/>
          <w:rtl/>
          <w:lang w:val="en-GB"/>
        </w:rPr>
        <w:t xml:space="preserve"> توافر الظروف الملائمة لتيسير التقييم والتحليل (على سبيل المثال، الأساس القانوني والسياسات وأهداف الحفظ والخبرات)؛</w:t>
      </w:r>
    </w:p>
    <w:p w:rsidR="00B42CBF" w:rsidRPr="00331576" w:rsidRDefault="00B42CBF" w:rsidP="00CD26C5">
      <w:pPr>
        <w:numPr>
          <w:ilvl w:val="0"/>
          <w:numId w:val="42"/>
        </w:numPr>
        <w:ind w:left="-7" w:firstLine="727"/>
        <w:rPr>
          <w:lang w:val="en-GB"/>
        </w:rPr>
      </w:pPr>
      <w:r>
        <w:rPr>
          <w:rFonts w:hint="cs"/>
          <w:rtl/>
          <w:lang w:val="en-GB"/>
        </w:rPr>
        <w:t>ضمان</w:t>
      </w:r>
      <w:r w:rsidRPr="00331576">
        <w:rPr>
          <w:rFonts w:hint="cs"/>
          <w:rtl/>
          <w:lang w:val="en-GB"/>
        </w:rPr>
        <w:t xml:space="preserve"> فهم مشترك لمعنى الفعالية عبر مجموعات أصحاب المصلحة، تمشيا مع أهداف المناطق المحمية/المحفوظة؛</w:t>
      </w:r>
    </w:p>
    <w:p w:rsidR="00B42CBF" w:rsidRPr="00331576" w:rsidRDefault="00B42CBF" w:rsidP="00CD26C5">
      <w:pPr>
        <w:numPr>
          <w:ilvl w:val="0"/>
          <w:numId w:val="42"/>
        </w:numPr>
        <w:ind w:left="-7" w:firstLine="727"/>
        <w:rPr>
          <w:lang w:val="en-GB"/>
        </w:rPr>
      </w:pPr>
      <w:r>
        <w:rPr>
          <w:rFonts w:hint="cs"/>
          <w:rtl/>
          <w:lang w:val="en-GB"/>
        </w:rPr>
        <w:t>وضع</w:t>
      </w:r>
      <w:r w:rsidRPr="00331576">
        <w:rPr>
          <w:rFonts w:hint="cs"/>
          <w:rtl/>
          <w:lang w:val="en-GB"/>
        </w:rPr>
        <w:t xml:space="preserve"> مؤشرات واضحة وموثوقة وقابلة للقياس لتقييم فعالية المناطق المحمية/المحفوظة في تحقيق أهدافها؛</w:t>
      </w:r>
    </w:p>
    <w:p w:rsidR="00B42CBF" w:rsidRPr="00331576" w:rsidRDefault="00B42CBF" w:rsidP="00CD26C5">
      <w:pPr>
        <w:numPr>
          <w:ilvl w:val="0"/>
          <w:numId w:val="42"/>
        </w:numPr>
        <w:ind w:left="-7" w:firstLine="727"/>
        <w:rPr>
          <w:lang w:val="en-GB"/>
        </w:rPr>
      </w:pPr>
      <w:r>
        <w:rPr>
          <w:rFonts w:hint="cs"/>
          <w:rtl/>
          <w:lang w:val="en-GB"/>
        </w:rPr>
        <w:t>وضع</w:t>
      </w:r>
      <w:r w:rsidRPr="00331576">
        <w:rPr>
          <w:rFonts w:hint="cs"/>
          <w:rtl/>
          <w:lang w:val="en-GB"/>
        </w:rPr>
        <w:t xml:space="preserve"> نُهج موحدة للتقييم عبر الآليات/العمليات؛</w:t>
      </w:r>
    </w:p>
    <w:p w:rsidR="00B42CBF" w:rsidRPr="00331576" w:rsidRDefault="00B42CBF" w:rsidP="00CD26C5">
      <w:pPr>
        <w:numPr>
          <w:ilvl w:val="0"/>
          <w:numId w:val="42"/>
        </w:numPr>
        <w:ind w:left="-7" w:firstLine="727"/>
        <w:rPr>
          <w:lang w:val="en-GB"/>
        </w:rPr>
      </w:pPr>
      <w:r>
        <w:rPr>
          <w:rFonts w:hint="cs"/>
          <w:rtl/>
          <w:lang w:val="en-GB"/>
        </w:rPr>
        <w:t>تقييم</w:t>
      </w:r>
      <w:r w:rsidRPr="00331576">
        <w:rPr>
          <w:rFonts w:hint="cs"/>
          <w:rtl/>
          <w:lang w:val="en-GB"/>
        </w:rPr>
        <w:t xml:space="preserve"> المناطق المحمية/المحفوظة على نطاق الشبكة وعلى مستوى المناطق الفردية؛</w:t>
      </w:r>
    </w:p>
    <w:p w:rsidR="00B42CBF" w:rsidRPr="00331576" w:rsidRDefault="00B42CBF" w:rsidP="00CD26C5">
      <w:pPr>
        <w:numPr>
          <w:ilvl w:val="0"/>
          <w:numId w:val="42"/>
        </w:numPr>
        <w:ind w:left="-7" w:firstLine="727"/>
        <w:rPr>
          <w:lang w:val="en-GB"/>
        </w:rPr>
      </w:pPr>
      <w:r>
        <w:rPr>
          <w:rFonts w:hint="cs"/>
          <w:rtl/>
          <w:lang w:val="en-GB"/>
        </w:rPr>
        <w:t>تشكيل وتعزيز</w:t>
      </w:r>
      <w:r w:rsidRPr="00331576">
        <w:rPr>
          <w:rFonts w:hint="cs"/>
          <w:rtl/>
          <w:lang w:val="en-GB"/>
        </w:rPr>
        <w:t xml:space="preserve"> جماعات الممارسين لدعم التقييم.</w:t>
      </w:r>
    </w:p>
    <w:p w:rsidR="00B42CBF" w:rsidRPr="00331576" w:rsidRDefault="00B42CBF" w:rsidP="000A5DEA">
      <w:pPr>
        <w:keepNext/>
        <w:rPr>
          <w:i/>
          <w:iCs/>
          <w:rtl/>
          <w:lang w:val="en-GB"/>
        </w:rPr>
      </w:pPr>
      <w:r w:rsidRPr="00331576">
        <w:rPr>
          <w:rFonts w:hint="cs"/>
          <w:i/>
          <w:iCs/>
          <w:rtl/>
          <w:lang w:val="en-GB"/>
        </w:rPr>
        <w:t>الإبلاغ</w:t>
      </w:r>
    </w:p>
    <w:p w:rsidR="00B42CBF" w:rsidRPr="00331576" w:rsidRDefault="00B42CBF" w:rsidP="00CD26C5">
      <w:pPr>
        <w:numPr>
          <w:ilvl w:val="0"/>
          <w:numId w:val="43"/>
        </w:numPr>
        <w:ind w:left="-7" w:firstLine="727"/>
        <w:rPr>
          <w:lang w:val="en-GB"/>
        </w:rPr>
      </w:pPr>
      <w:r>
        <w:rPr>
          <w:rFonts w:hint="cs"/>
          <w:rtl/>
          <w:lang w:val="en-GB"/>
        </w:rPr>
        <w:t>تحسين</w:t>
      </w:r>
      <w:r w:rsidRPr="00331576">
        <w:rPr>
          <w:rFonts w:hint="cs"/>
          <w:rtl/>
          <w:lang w:val="en-GB"/>
        </w:rPr>
        <w:t xml:space="preserve"> تواتر ودقة الإبلاغ، بما في ذلك عن طريق الاستفادة إلى أقصى حد من آليات الإبلاغ القائمة؛</w:t>
      </w:r>
    </w:p>
    <w:p w:rsidR="00B42CBF" w:rsidRPr="00331576" w:rsidRDefault="00B42CBF" w:rsidP="00CD26C5">
      <w:pPr>
        <w:numPr>
          <w:ilvl w:val="0"/>
          <w:numId w:val="43"/>
        </w:numPr>
        <w:ind w:left="-7" w:firstLine="727"/>
        <w:rPr>
          <w:lang w:val="en-GB"/>
        </w:rPr>
      </w:pPr>
      <w:r>
        <w:rPr>
          <w:rFonts w:hint="cs"/>
          <w:rtl/>
          <w:lang w:val="en-GB"/>
        </w:rPr>
        <w:t>تعزيز</w:t>
      </w:r>
      <w:r w:rsidRPr="00331576">
        <w:rPr>
          <w:rFonts w:hint="cs"/>
          <w:rtl/>
          <w:lang w:val="en-GB"/>
        </w:rPr>
        <w:t xml:space="preserve"> وضوح التقارير لتشجيع التحليل من جانب مجموعة من الخبراء عبر التخصصات؛</w:t>
      </w:r>
    </w:p>
    <w:p w:rsidR="00B42CBF" w:rsidRPr="00331576" w:rsidRDefault="00B42CBF" w:rsidP="00CD26C5">
      <w:pPr>
        <w:numPr>
          <w:ilvl w:val="0"/>
          <w:numId w:val="43"/>
        </w:numPr>
        <w:ind w:left="-7" w:firstLine="727"/>
        <w:rPr>
          <w:lang w:val="en-GB"/>
        </w:rPr>
      </w:pPr>
      <w:r>
        <w:rPr>
          <w:rFonts w:hint="cs"/>
          <w:rtl/>
          <w:lang w:val="en-GB"/>
        </w:rPr>
        <w:t>ضمان</w:t>
      </w:r>
      <w:r w:rsidRPr="00331576">
        <w:rPr>
          <w:rFonts w:hint="cs"/>
          <w:rtl/>
          <w:lang w:val="en-GB"/>
        </w:rPr>
        <w:t xml:space="preserve"> إعلام الإدارة بشكل فعال عن طريق الإبلاغ والتحليل من خلال آليات ملائمة للمعلومات المستقاة من أجل تيسير الإدارة التكيفية؛</w:t>
      </w:r>
    </w:p>
    <w:p w:rsidR="00B42CBF" w:rsidRPr="00331576" w:rsidRDefault="00B42CBF" w:rsidP="00CD26C5">
      <w:pPr>
        <w:numPr>
          <w:ilvl w:val="0"/>
          <w:numId w:val="43"/>
        </w:numPr>
        <w:ind w:left="-7" w:firstLine="727"/>
        <w:rPr>
          <w:lang w:val="en-GB"/>
        </w:rPr>
      </w:pPr>
      <w:r w:rsidRPr="00331576">
        <w:rPr>
          <w:rFonts w:hint="cs"/>
          <w:rtl/>
          <w:lang w:val="en-GB"/>
        </w:rPr>
        <w:lastRenderedPageBreak/>
        <w:t>بناء قدرة البلدان النامية على إجراء تحليلات لفعالية الإبلاغ والإدارة؛</w:t>
      </w:r>
    </w:p>
    <w:p w:rsidR="00B42CBF" w:rsidRPr="00331576" w:rsidRDefault="00B42CBF" w:rsidP="00CD26C5">
      <w:pPr>
        <w:numPr>
          <w:ilvl w:val="0"/>
          <w:numId w:val="43"/>
        </w:numPr>
        <w:ind w:left="-7" w:firstLine="727"/>
        <w:rPr>
          <w:lang w:val="en-GB"/>
        </w:rPr>
      </w:pPr>
      <w:r w:rsidRPr="00331576">
        <w:rPr>
          <w:rFonts w:hint="cs"/>
          <w:rtl/>
          <w:lang w:val="en-GB"/>
        </w:rPr>
        <w:t>بناء الإرادة السياسية لدعم الإبلاغ في الوقت المناسب والفعال، بما في ذلك عن طريق التزامات حكومية محددة لإبلاغ منتظم وكاف؛</w:t>
      </w:r>
    </w:p>
    <w:p w:rsidR="00B42CBF" w:rsidRPr="00331576" w:rsidRDefault="00B42CBF" w:rsidP="00CD26C5">
      <w:pPr>
        <w:numPr>
          <w:ilvl w:val="0"/>
          <w:numId w:val="43"/>
        </w:numPr>
        <w:ind w:left="-7" w:firstLine="727"/>
        <w:rPr>
          <w:lang w:val="en-GB"/>
        </w:rPr>
      </w:pPr>
      <w:r>
        <w:rPr>
          <w:rFonts w:hint="cs"/>
          <w:rtl/>
          <w:lang w:val="en-GB"/>
        </w:rPr>
        <w:t>إشراك</w:t>
      </w:r>
      <w:r w:rsidRPr="00331576">
        <w:rPr>
          <w:rFonts w:hint="cs"/>
          <w:rtl/>
          <w:lang w:val="en-GB"/>
        </w:rPr>
        <w:t xml:space="preserve"> الشعوب الأصلية والمجتمعات المحلية في الإبلاغ والتقييم؛</w:t>
      </w:r>
    </w:p>
    <w:p w:rsidR="00B42CBF" w:rsidRPr="00331576" w:rsidRDefault="00B42CBF" w:rsidP="00CD26C5">
      <w:pPr>
        <w:numPr>
          <w:ilvl w:val="0"/>
          <w:numId w:val="43"/>
        </w:numPr>
        <w:ind w:left="-7" w:firstLine="727"/>
        <w:rPr>
          <w:lang w:val="en-GB"/>
        </w:rPr>
      </w:pPr>
      <w:r>
        <w:rPr>
          <w:rFonts w:hint="cs"/>
          <w:rtl/>
          <w:lang w:val="en-GB"/>
        </w:rPr>
        <w:t>وضع</w:t>
      </w:r>
      <w:r w:rsidRPr="00331576">
        <w:rPr>
          <w:rFonts w:hint="cs"/>
          <w:rtl/>
          <w:lang w:val="en-GB"/>
        </w:rPr>
        <w:t xml:space="preserve"> ن</w:t>
      </w:r>
      <w:r>
        <w:rPr>
          <w:rFonts w:hint="cs"/>
          <w:rtl/>
          <w:lang w:val="en-GB"/>
        </w:rPr>
        <w:t>ُ</w:t>
      </w:r>
      <w:r w:rsidRPr="00331576">
        <w:rPr>
          <w:rFonts w:hint="cs"/>
          <w:rtl/>
          <w:lang w:val="en-GB"/>
        </w:rPr>
        <w:t>هج موحدة للإبلاغ عبر الآليات/العمليات؛</w:t>
      </w:r>
    </w:p>
    <w:p w:rsidR="00B42CBF" w:rsidRPr="00331576" w:rsidRDefault="00B42CBF" w:rsidP="00CD26C5">
      <w:pPr>
        <w:numPr>
          <w:ilvl w:val="0"/>
          <w:numId w:val="43"/>
        </w:numPr>
        <w:ind w:left="-7" w:firstLine="727"/>
        <w:rPr>
          <w:lang w:val="en-GB"/>
        </w:rPr>
      </w:pPr>
      <w:r>
        <w:rPr>
          <w:rFonts w:hint="cs"/>
          <w:rtl/>
          <w:lang w:val="en-GB"/>
        </w:rPr>
        <w:t>تشكيل وتعزيز</w:t>
      </w:r>
      <w:r w:rsidRPr="00331576">
        <w:rPr>
          <w:rFonts w:hint="cs"/>
          <w:rtl/>
          <w:lang w:val="en-GB"/>
        </w:rPr>
        <w:t xml:space="preserve"> جماعات الممارسين لدعم الإبلاغ.</w:t>
      </w:r>
    </w:p>
    <w:p w:rsidR="00B42CBF" w:rsidRPr="00331576" w:rsidRDefault="00B42CBF" w:rsidP="00CD26C5">
      <w:pPr>
        <w:numPr>
          <w:ilvl w:val="0"/>
          <w:numId w:val="44"/>
        </w:numPr>
        <w:ind w:left="-7" w:firstLine="0"/>
        <w:rPr>
          <w:lang w:val="en-GB"/>
        </w:rPr>
      </w:pPr>
      <w:r>
        <w:rPr>
          <w:rFonts w:hint="cs"/>
          <w:rtl/>
          <w:lang w:val="en-GB"/>
        </w:rPr>
        <w:t>ويمكن ل</w:t>
      </w:r>
      <w:r w:rsidRPr="00331576">
        <w:rPr>
          <w:rFonts w:hint="cs"/>
          <w:rtl/>
          <w:lang w:val="en-GB"/>
        </w:rPr>
        <w:t>ل</w:t>
      </w:r>
      <w:r>
        <w:rPr>
          <w:rFonts w:hint="cs"/>
          <w:rtl/>
          <w:lang w:val="en-GB"/>
        </w:rPr>
        <w:t>نُهج</w:t>
      </w:r>
      <w:r w:rsidRPr="00331576">
        <w:rPr>
          <w:rFonts w:hint="cs"/>
          <w:rtl/>
          <w:lang w:val="en-GB"/>
        </w:rPr>
        <w:t xml:space="preserve"> التالية </w:t>
      </w:r>
      <w:r>
        <w:rPr>
          <w:rFonts w:hint="cs"/>
          <w:rtl/>
          <w:lang w:val="en-GB"/>
        </w:rPr>
        <w:t>أن تعجل</w:t>
      </w:r>
      <w:r w:rsidRPr="00331576">
        <w:rPr>
          <w:rFonts w:hint="cs"/>
          <w:rtl/>
          <w:lang w:val="en-GB"/>
        </w:rPr>
        <w:t xml:space="preserve"> التقدم الوطني نحو تحقيق الهدف 11 من أهداف أيشي في المناطق البحرية والساحلية، لا سيما فيما يتعلق بضمان الإدماج الفعال للمناطق البحرية المحمية وتدابير الحفظ الفعالة الأخرى القائمة على أساس المناطق في المناظر الطبيعية الأرضية والمناظر الطبيعية البحرية الأوسع نطاقا، مع الاعتراف بأن هذه ال</w:t>
      </w:r>
      <w:r>
        <w:rPr>
          <w:rFonts w:hint="cs"/>
          <w:rtl/>
          <w:lang w:val="en-GB"/>
        </w:rPr>
        <w:t>نُهج</w:t>
      </w:r>
      <w:r w:rsidRPr="00331576">
        <w:rPr>
          <w:rFonts w:hint="cs"/>
          <w:rtl/>
          <w:lang w:val="en-GB"/>
        </w:rPr>
        <w:t xml:space="preserve"> ليست شاملة وأن هناك مصادر أخرى </w:t>
      </w:r>
      <w:r>
        <w:rPr>
          <w:rFonts w:hint="cs"/>
          <w:rtl/>
          <w:lang w:val="en-GB"/>
        </w:rPr>
        <w:t>للإرشاد</w:t>
      </w:r>
      <w:r w:rsidRPr="00331576">
        <w:rPr>
          <w:rFonts w:hint="cs"/>
          <w:rtl/>
          <w:lang w:val="en-GB"/>
        </w:rPr>
        <w:t xml:space="preserve"> بشأن هذه المسائل:</w:t>
      </w:r>
    </w:p>
    <w:p w:rsidR="00B42CBF" w:rsidRPr="00331576" w:rsidRDefault="00B42CBF" w:rsidP="00CD26C5">
      <w:pPr>
        <w:numPr>
          <w:ilvl w:val="0"/>
          <w:numId w:val="45"/>
        </w:numPr>
        <w:ind w:left="-7" w:firstLine="727"/>
        <w:rPr>
          <w:lang w:val="en-GB"/>
        </w:rPr>
      </w:pPr>
      <w:r w:rsidRPr="00331576">
        <w:rPr>
          <w:rFonts w:hint="cs"/>
          <w:rtl/>
          <w:lang w:val="en-GB"/>
        </w:rPr>
        <w:t xml:space="preserve">تحديد كيف </w:t>
      </w:r>
      <w:r>
        <w:rPr>
          <w:rFonts w:hint="cs"/>
          <w:rtl/>
          <w:lang w:val="en-GB"/>
        </w:rPr>
        <w:t>تندرج</w:t>
      </w:r>
      <w:r w:rsidRPr="00331576">
        <w:rPr>
          <w:rFonts w:hint="cs"/>
          <w:rtl/>
          <w:lang w:val="en-GB"/>
        </w:rPr>
        <w:t xml:space="preserve"> المناطق البحرية المحمية وتدابير الحفظ الفعالة الأخرى القائمة على أساس المناطق </w:t>
      </w:r>
      <w:r>
        <w:rPr>
          <w:rFonts w:hint="cs"/>
          <w:rtl/>
          <w:lang w:val="en-GB"/>
        </w:rPr>
        <w:t>في</w:t>
      </w:r>
      <w:r w:rsidRPr="00331576">
        <w:rPr>
          <w:rFonts w:hint="cs"/>
          <w:rtl/>
          <w:lang w:val="en-GB"/>
        </w:rPr>
        <w:t xml:space="preserve"> أطر تخطيط المناظر الطبيعية الأرضية والمناظر الطبيعية البحرية وتعززها، بما في ذلك التخطيط المكاني البحري، والإدارة الساحلية المتكاملة، والتخطيط المنهجي للحفظ؛</w:t>
      </w:r>
    </w:p>
    <w:p w:rsidR="00B42CBF" w:rsidRPr="00331576" w:rsidRDefault="00B42CBF" w:rsidP="00CD26C5">
      <w:pPr>
        <w:numPr>
          <w:ilvl w:val="0"/>
          <w:numId w:val="45"/>
        </w:numPr>
        <w:ind w:left="-7" w:firstLine="727"/>
        <w:rPr>
          <w:lang w:val="en-GB"/>
        </w:rPr>
      </w:pPr>
      <w:r w:rsidRPr="00331576">
        <w:rPr>
          <w:rFonts w:hint="cs"/>
          <w:rtl/>
          <w:lang w:val="en-GB"/>
        </w:rPr>
        <w:t xml:space="preserve">تقييم </w:t>
      </w:r>
      <w:r>
        <w:rPr>
          <w:rFonts w:hint="cs"/>
          <w:rtl/>
          <w:lang w:val="en-GB"/>
        </w:rPr>
        <w:t xml:space="preserve">ما هي </w:t>
      </w:r>
      <w:r w:rsidRPr="00331576">
        <w:rPr>
          <w:rFonts w:hint="cs"/>
          <w:rtl/>
          <w:lang w:val="en-GB"/>
        </w:rPr>
        <w:t xml:space="preserve">المعلومات اللازمة وتحديد أفضل </w:t>
      </w:r>
      <w:r>
        <w:rPr>
          <w:rFonts w:hint="cs"/>
          <w:rtl/>
          <w:lang w:val="en-GB"/>
        </w:rPr>
        <w:t>مقياس (</w:t>
      </w:r>
      <w:r w:rsidRPr="00331576">
        <w:rPr>
          <w:rFonts w:hint="cs"/>
          <w:rtl/>
          <w:lang w:val="en-GB"/>
        </w:rPr>
        <w:t>مقا</w:t>
      </w:r>
      <w:r>
        <w:rPr>
          <w:rFonts w:hint="cs"/>
          <w:rtl/>
          <w:lang w:val="en-GB"/>
        </w:rPr>
        <w:t xml:space="preserve">ييس) لجمع المعلومات، بما في ذلك </w:t>
      </w:r>
      <w:r w:rsidRPr="00331576">
        <w:rPr>
          <w:rFonts w:hint="cs"/>
          <w:rtl/>
          <w:lang w:val="en-GB"/>
        </w:rPr>
        <w:t>معلومات عن: الأطر القانونية والسياسات</w:t>
      </w:r>
      <w:r>
        <w:rPr>
          <w:rFonts w:hint="cs"/>
          <w:rtl/>
          <w:lang w:val="en-GB"/>
        </w:rPr>
        <w:t>ية</w:t>
      </w:r>
      <w:r w:rsidRPr="00331576">
        <w:rPr>
          <w:rFonts w:hint="cs"/>
          <w:rtl/>
          <w:lang w:val="en-GB"/>
        </w:rPr>
        <w:t xml:space="preserve"> القائمة والسمات الإيكولوجية والبيولوجية</w:t>
      </w:r>
      <w:r>
        <w:rPr>
          <w:rFonts w:hint="cs"/>
          <w:rtl/>
          <w:lang w:val="en-GB"/>
        </w:rPr>
        <w:t>؛</w:t>
      </w:r>
      <w:r w:rsidRPr="00331576">
        <w:rPr>
          <w:rFonts w:hint="cs"/>
          <w:rtl/>
          <w:lang w:val="en-GB"/>
        </w:rPr>
        <w:t xml:space="preserve"> والمناطق ذات الأهمية المحددة للحفظ</w:t>
      </w:r>
      <w:r>
        <w:rPr>
          <w:rFonts w:hint="cs"/>
          <w:rtl/>
          <w:lang w:val="en-GB"/>
        </w:rPr>
        <w:t>؛</w:t>
      </w:r>
      <w:r w:rsidRPr="00331576">
        <w:rPr>
          <w:rFonts w:hint="cs"/>
          <w:rtl/>
          <w:lang w:val="en-GB"/>
        </w:rPr>
        <w:t xml:space="preserve"> والاستخدامات والأنشطة في المناظر الطبيعية الأرضية والمناظر الطبيعية البحرية الأوسع نطاقا وفي المناطق المحددة ذات أهمية للحفظ</w:t>
      </w:r>
      <w:r>
        <w:rPr>
          <w:rFonts w:hint="cs"/>
          <w:rtl/>
          <w:lang w:val="en-GB"/>
        </w:rPr>
        <w:t>؛</w:t>
      </w:r>
      <w:r w:rsidRPr="00331576">
        <w:rPr>
          <w:rFonts w:hint="cs"/>
          <w:rtl/>
          <w:lang w:val="en-GB"/>
        </w:rPr>
        <w:t xml:space="preserve"> وأصحاب المصلحة المعنيين النشطين أو المهتمين بالمناظر الطبيعية الأرضية والمناظر الطبيعية البحرية الأوسع نطاقا، والتفاعلات المحتملة بين الاستخدامات البشرية</w:t>
      </w:r>
      <w:r>
        <w:rPr>
          <w:rFonts w:hint="cs"/>
          <w:rtl/>
          <w:lang w:val="en-GB"/>
        </w:rPr>
        <w:t>؛</w:t>
      </w:r>
      <w:r w:rsidRPr="00331576">
        <w:rPr>
          <w:rFonts w:hint="cs"/>
          <w:rtl/>
          <w:lang w:val="en-GB"/>
        </w:rPr>
        <w:t xml:space="preserve"> والآثار التراكمية عبر مجموعة من المقاييس المكانية، والاستجابات ومرونة/ضعف النظم لزيادة الاستخدام البشري والقوى الطبيعية</w:t>
      </w:r>
      <w:r>
        <w:rPr>
          <w:rFonts w:hint="cs"/>
          <w:rtl/>
          <w:lang w:val="en-GB"/>
        </w:rPr>
        <w:t>؛</w:t>
      </w:r>
      <w:r w:rsidRPr="00331576">
        <w:rPr>
          <w:rFonts w:hint="cs"/>
          <w:rtl/>
          <w:lang w:val="en-GB"/>
        </w:rPr>
        <w:t xml:space="preserve"> والترابط داخل وخارج المناظر الطبيعية الأرضية والمناظر الطبيعية البحرية؛</w:t>
      </w:r>
    </w:p>
    <w:p w:rsidR="00B42CBF" w:rsidRPr="00331576" w:rsidRDefault="00B42CBF" w:rsidP="00CD26C5">
      <w:pPr>
        <w:numPr>
          <w:ilvl w:val="0"/>
          <w:numId w:val="45"/>
        </w:numPr>
        <w:ind w:left="-7" w:firstLine="727"/>
        <w:rPr>
          <w:lang w:val="en-GB"/>
        </w:rPr>
      </w:pPr>
      <w:r w:rsidRPr="00331576">
        <w:rPr>
          <w:rFonts w:hint="cs"/>
          <w:rtl/>
          <w:lang w:val="en-GB"/>
        </w:rPr>
        <w:t xml:space="preserve">تحديد المصادر المتاحة للحصول على البيانات والمعلومات (بما في ذلك المعارف التقليدية والمحلية)، وتحديد الثغرات في المعلومات وتجميع البيانات والنماذج وغيرها من المعلومات ذات الصلة المتاحة، ووضع و/أو تحسين أدوات سهلة الاستخدام وذات مصدر مفتوح وفعالة وشفافة </w:t>
      </w:r>
      <w:r>
        <w:rPr>
          <w:rFonts w:hint="cs"/>
          <w:rtl/>
          <w:lang w:val="en-GB"/>
        </w:rPr>
        <w:t>للاطلاع</w:t>
      </w:r>
      <w:r w:rsidRPr="00331576">
        <w:rPr>
          <w:rFonts w:hint="cs"/>
          <w:rtl/>
          <w:lang w:val="en-GB"/>
        </w:rPr>
        <w:t xml:space="preserve"> </w:t>
      </w:r>
      <w:r>
        <w:rPr>
          <w:rFonts w:hint="cs"/>
          <w:rtl/>
          <w:lang w:val="en-GB"/>
        </w:rPr>
        <w:t xml:space="preserve">على </w:t>
      </w:r>
      <w:r w:rsidRPr="00331576">
        <w:rPr>
          <w:rFonts w:hint="cs"/>
          <w:rtl/>
          <w:lang w:val="en-GB"/>
        </w:rPr>
        <w:t>البيانات وإدماجها؛</w:t>
      </w:r>
    </w:p>
    <w:p w:rsidR="00B42CBF" w:rsidRPr="00331576" w:rsidRDefault="00B42CBF" w:rsidP="00CD26C5">
      <w:pPr>
        <w:numPr>
          <w:ilvl w:val="0"/>
          <w:numId w:val="45"/>
        </w:numPr>
        <w:ind w:left="-7" w:firstLine="727"/>
        <w:rPr>
          <w:lang w:val="en-GB"/>
        </w:rPr>
      </w:pPr>
      <w:r w:rsidRPr="00331576">
        <w:rPr>
          <w:rFonts w:hint="cs"/>
          <w:rtl/>
          <w:lang w:val="en-GB"/>
        </w:rPr>
        <w:t>التعرف على نظم القيم المتنوعة وفهمها؛</w:t>
      </w:r>
    </w:p>
    <w:p w:rsidR="00B42CBF" w:rsidRPr="00331576" w:rsidRDefault="00B42CBF" w:rsidP="00CD26C5">
      <w:pPr>
        <w:numPr>
          <w:ilvl w:val="0"/>
          <w:numId w:val="45"/>
        </w:numPr>
        <w:ind w:left="-7" w:firstLine="727"/>
        <w:rPr>
          <w:lang w:val="en-GB"/>
        </w:rPr>
      </w:pPr>
      <w:r w:rsidRPr="00331576">
        <w:rPr>
          <w:rFonts w:hint="cs"/>
          <w:rtl/>
          <w:lang w:val="en-GB"/>
        </w:rPr>
        <w:t>ضمان المشاركة الكاملة والفعالة للشعوب الأصلية والمجتمعات المحلية؛</w:t>
      </w:r>
    </w:p>
    <w:p w:rsidR="00B42CBF" w:rsidRPr="00331576" w:rsidRDefault="00B42CBF" w:rsidP="00CD26C5">
      <w:pPr>
        <w:numPr>
          <w:ilvl w:val="0"/>
          <w:numId w:val="45"/>
        </w:numPr>
        <w:ind w:left="-7" w:firstLine="727"/>
        <w:rPr>
          <w:lang w:val="en-GB"/>
        </w:rPr>
      </w:pPr>
      <w:r w:rsidRPr="00331576">
        <w:rPr>
          <w:rFonts w:hint="cs"/>
          <w:rtl/>
          <w:lang w:val="en-GB"/>
        </w:rPr>
        <w:t>وضع فهم مشترك بين أصحاب المصلحة بشأن أهداف إدماج المناطق البحرية المحمية وتدابير الحفظ الفعالة الأخرى القائمة على أساس المناطق في المناظر الطبيعية الأرضية والمناظر الطبيعية البحرية الأوسع نطاقا؛</w:t>
      </w:r>
    </w:p>
    <w:p w:rsidR="00B42CBF" w:rsidRPr="00331576" w:rsidRDefault="00B42CBF" w:rsidP="00CD26C5">
      <w:pPr>
        <w:numPr>
          <w:ilvl w:val="0"/>
          <w:numId w:val="45"/>
        </w:numPr>
        <w:ind w:left="-7" w:firstLine="727"/>
        <w:rPr>
          <w:lang w:val="en-GB"/>
        </w:rPr>
      </w:pPr>
      <w:r w:rsidRPr="00331576">
        <w:rPr>
          <w:rFonts w:hint="cs"/>
          <w:rtl/>
          <w:lang w:val="en-GB"/>
        </w:rPr>
        <w:t>ضمان أن جميع الأنشطة مسؤولة عن ال</w:t>
      </w:r>
      <w:r>
        <w:rPr>
          <w:rFonts w:hint="cs"/>
          <w:rtl/>
          <w:lang w:val="en-GB"/>
        </w:rPr>
        <w:t>آثار</w:t>
      </w:r>
      <w:r w:rsidRPr="00331576">
        <w:rPr>
          <w:rFonts w:hint="cs"/>
          <w:rtl/>
          <w:lang w:val="en-GB"/>
        </w:rPr>
        <w:t xml:space="preserve"> الناجم</w:t>
      </w:r>
      <w:r>
        <w:rPr>
          <w:rFonts w:hint="cs"/>
          <w:rtl/>
          <w:lang w:val="en-GB"/>
        </w:rPr>
        <w:t>ة</w:t>
      </w:r>
      <w:r w:rsidRPr="00331576">
        <w:rPr>
          <w:rFonts w:hint="cs"/>
          <w:rtl/>
          <w:lang w:val="en-GB"/>
        </w:rPr>
        <w:t xml:space="preserve"> عنها، سواء داخل أو خارج المناطق البحرية المحمية وتدابير الحفظ الفعالة الأخرى القائمة على أساس المناطق؛</w:t>
      </w:r>
    </w:p>
    <w:p w:rsidR="00B42CBF" w:rsidRPr="00331576" w:rsidRDefault="00B42CBF" w:rsidP="00CD26C5">
      <w:pPr>
        <w:numPr>
          <w:ilvl w:val="0"/>
          <w:numId w:val="45"/>
        </w:numPr>
        <w:ind w:left="-7" w:firstLine="727"/>
        <w:rPr>
          <w:lang w:val="en-GB"/>
        </w:rPr>
      </w:pPr>
      <w:r w:rsidRPr="00331576">
        <w:rPr>
          <w:rFonts w:hint="cs"/>
          <w:rtl/>
          <w:lang w:val="en-GB"/>
        </w:rPr>
        <w:t>وضع مؤشرات واضحة وموثوقة وقابلة للقياس لتقييم فعالية المناطق البحرية المحمية وتدابير الحفظ الفعالة الأخرى القائمة على أساس المناطق في تحقيق أهدافها، ولتقييم حالة المناظر الطبيعية الأرضية والمناظر الطبيعية البحرية الأوسع نطاقا؛</w:t>
      </w:r>
    </w:p>
    <w:p w:rsidR="00B42CBF" w:rsidRPr="00331576" w:rsidRDefault="00B42CBF" w:rsidP="00CD26C5">
      <w:pPr>
        <w:numPr>
          <w:ilvl w:val="0"/>
          <w:numId w:val="44"/>
        </w:numPr>
        <w:ind w:left="-7" w:firstLine="0"/>
        <w:rPr>
          <w:lang w:val="en-GB"/>
        </w:rPr>
      </w:pPr>
      <w:r>
        <w:rPr>
          <w:rFonts w:hint="cs"/>
          <w:rtl/>
          <w:lang w:val="en-GB"/>
        </w:rPr>
        <w:lastRenderedPageBreak/>
        <w:t xml:space="preserve">وفيما يلي </w:t>
      </w:r>
      <w:r w:rsidRPr="00331576">
        <w:rPr>
          <w:rFonts w:hint="cs"/>
          <w:rtl/>
          <w:lang w:val="en-GB"/>
        </w:rPr>
        <w:t>ن</w:t>
      </w:r>
      <w:r>
        <w:rPr>
          <w:rFonts w:hint="cs"/>
          <w:rtl/>
          <w:lang w:val="en-GB"/>
        </w:rPr>
        <w:t>ُ</w:t>
      </w:r>
      <w:r w:rsidRPr="00331576">
        <w:rPr>
          <w:rFonts w:hint="cs"/>
          <w:rtl/>
          <w:lang w:val="en-GB"/>
        </w:rPr>
        <w:t>هج لإدارة المناظر الطبيعية الأرضية والمناظر الطبيعية البحرية الأوسع نطاقا من أجل ضمان فعالية المناطق البحرية المحمية وتدابير الحفظ الفعالة الأخرى القائمة على أساس المناطق، مع التسليم بأن هذه ال</w:t>
      </w:r>
      <w:r>
        <w:rPr>
          <w:rFonts w:hint="cs"/>
          <w:rtl/>
          <w:lang w:val="en-GB"/>
        </w:rPr>
        <w:t>نُهج</w:t>
      </w:r>
      <w:r w:rsidRPr="00331576">
        <w:rPr>
          <w:rFonts w:hint="cs"/>
          <w:rtl/>
          <w:lang w:val="en-GB"/>
        </w:rPr>
        <w:t xml:space="preserve"> ليست شاملة وأن هناك مصادر أخرى للإرشاد بشأن هذه المسائل:</w:t>
      </w:r>
    </w:p>
    <w:p w:rsidR="00B42CBF" w:rsidRPr="00331576" w:rsidRDefault="00B42CBF" w:rsidP="00CD26C5">
      <w:pPr>
        <w:numPr>
          <w:ilvl w:val="0"/>
          <w:numId w:val="46"/>
        </w:numPr>
        <w:ind w:left="-7" w:firstLine="727"/>
        <w:rPr>
          <w:lang w:val="en-GB"/>
        </w:rPr>
      </w:pPr>
      <w:r w:rsidRPr="00331576">
        <w:rPr>
          <w:rFonts w:hint="cs"/>
          <w:rtl/>
          <w:lang w:val="en-GB"/>
        </w:rPr>
        <w:t>وضع و/أو تعزيز الحوكمة والإدارة المتكاملة لدعم تخطيط المناظر الطبيعية الأرضية والمناظر الطبيعية البحرية، وتنسيق التخطيط، وتحديد الأهداف والحوكمة عبر النطاقات الجغرافية؛</w:t>
      </w:r>
    </w:p>
    <w:p w:rsidR="00B42CBF" w:rsidRPr="00331576" w:rsidRDefault="00B42CBF" w:rsidP="00CD26C5">
      <w:pPr>
        <w:numPr>
          <w:ilvl w:val="0"/>
          <w:numId w:val="46"/>
        </w:numPr>
        <w:ind w:left="-7" w:firstLine="727"/>
        <w:rPr>
          <w:lang w:val="en-GB"/>
        </w:rPr>
      </w:pPr>
      <w:r w:rsidRPr="00331576">
        <w:rPr>
          <w:rFonts w:hint="cs"/>
          <w:rtl/>
          <w:lang w:val="en-GB"/>
        </w:rPr>
        <w:t>وضع و/أو صقل أدوات دعم اتخاذ القرار لتخطيط المناظر الطبيعية الأرضية والمناظر الطبيعية البحرية؛</w:t>
      </w:r>
    </w:p>
    <w:p w:rsidR="00B42CBF" w:rsidRPr="00331576" w:rsidRDefault="00B42CBF" w:rsidP="00CD26C5">
      <w:pPr>
        <w:numPr>
          <w:ilvl w:val="0"/>
          <w:numId w:val="46"/>
        </w:numPr>
        <w:ind w:left="-7" w:firstLine="727"/>
        <w:rPr>
          <w:lang w:val="en-GB"/>
        </w:rPr>
      </w:pPr>
      <w:r w:rsidRPr="00331576">
        <w:rPr>
          <w:rFonts w:hint="cs"/>
          <w:rtl/>
          <w:lang w:val="en-GB"/>
        </w:rPr>
        <w:t>ضمان وجود وتنفيذ التشريعات ذات الصلة؛</w:t>
      </w:r>
    </w:p>
    <w:p w:rsidR="00B42CBF" w:rsidRPr="00331576" w:rsidRDefault="00B42CBF" w:rsidP="00CD26C5">
      <w:pPr>
        <w:numPr>
          <w:ilvl w:val="0"/>
          <w:numId w:val="46"/>
        </w:numPr>
        <w:ind w:left="-7" w:firstLine="727"/>
        <w:rPr>
          <w:lang w:val="en-GB"/>
        </w:rPr>
      </w:pPr>
      <w:r w:rsidRPr="00331576">
        <w:rPr>
          <w:rFonts w:hint="cs"/>
          <w:rtl/>
          <w:lang w:val="en-GB"/>
        </w:rPr>
        <w:t xml:space="preserve">فهم وتقييم حالة استخدام وإدارة المناظر الطبيعية الأرضية والمناظر الطبيعية البحرية </w:t>
      </w:r>
      <w:r>
        <w:rPr>
          <w:rFonts w:hint="cs"/>
          <w:rtl/>
          <w:lang w:val="en-GB"/>
        </w:rPr>
        <w:t xml:space="preserve">الأوسع نطاقا </w:t>
      </w:r>
      <w:r w:rsidRPr="00331576">
        <w:rPr>
          <w:rFonts w:hint="cs"/>
          <w:rtl/>
          <w:lang w:val="en-GB"/>
        </w:rPr>
        <w:t>وتحديد المناطق التي تحتاج إلى تعزيز حمايتها؛</w:t>
      </w:r>
    </w:p>
    <w:p w:rsidR="00B42CBF" w:rsidRPr="00331576" w:rsidRDefault="00B42CBF" w:rsidP="00CD26C5">
      <w:pPr>
        <w:numPr>
          <w:ilvl w:val="0"/>
          <w:numId w:val="46"/>
        </w:numPr>
        <w:ind w:left="-7" w:firstLine="727"/>
        <w:rPr>
          <w:lang w:val="en-GB"/>
        </w:rPr>
      </w:pPr>
      <w:r w:rsidRPr="00331576">
        <w:rPr>
          <w:rFonts w:hint="cs"/>
          <w:rtl/>
          <w:lang w:val="en-GB"/>
        </w:rPr>
        <w:t>إجراء تقييمات التهديد، واستخدام تسلسل بشأن تخفيف الأثر؛</w:t>
      </w:r>
    </w:p>
    <w:p w:rsidR="00B42CBF" w:rsidRPr="00331576" w:rsidRDefault="00B42CBF" w:rsidP="00CD26C5">
      <w:pPr>
        <w:numPr>
          <w:ilvl w:val="0"/>
          <w:numId w:val="46"/>
        </w:numPr>
        <w:ind w:left="-7" w:firstLine="727"/>
        <w:rPr>
          <w:lang w:val="en-GB"/>
        </w:rPr>
      </w:pPr>
      <w:r w:rsidRPr="00331576">
        <w:rPr>
          <w:rFonts w:hint="cs"/>
          <w:rtl/>
          <w:lang w:val="en-GB"/>
        </w:rPr>
        <w:t>تقييم التوافق النسبي و/أو عدم التوافق النسبي بين الاستخدامات الحالية وتلك المقترحة، بالإضافة إلى التفاعلات والآثار الناجمة عن التغير البيئي الأوسع نطاقا (مثل تغير المناخ)؛</w:t>
      </w:r>
    </w:p>
    <w:p w:rsidR="00B42CBF" w:rsidRPr="00331576" w:rsidRDefault="00B42CBF" w:rsidP="00CD26C5">
      <w:pPr>
        <w:numPr>
          <w:ilvl w:val="0"/>
          <w:numId w:val="46"/>
        </w:numPr>
        <w:ind w:left="-7" w:firstLine="727"/>
        <w:rPr>
          <w:lang w:val="en-GB"/>
        </w:rPr>
      </w:pPr>
      <w:r w:rsidRPr="00331576">
        <w:rPr>
          <w:rFonts w:hint="cs"/>
          <w:rtl/>
          <w:lang w:val="en-GB"/>
        </w:rPr>
        <w:t xml:space="preserve">فهم </w:t>
      </w:r>
      <w:r>
        <w:rPr>
          <w:rFonts w:hint="cs"/>
          <w:rtl/>
          <w:lang w:val="en-GB"/>
        </w:rPr>
        <w:t>النزاعات</w:t>
      </w:r>
      <w:r w:rsidRPr="00331576">
        <w:rPr>
          <w:rFonts w:hint="cs"/>
          <w:rtl/>
          <w:lang w:val="en-GB"/>
        </w:rPr>
        <w:t xml:space="preserve"> وإزاحة سبل العيش وتحديد ال</w:t>
      </w:r>
      <w:r>
        <w:rPr>
          <w:rFonts w:hint="cs"/>
          <w:rtl/>
          <w:lang w:val="en-GB"/>
        </w:rPr>
        <w:t>نُهج</w:t>
      </w:r>
      <w:r w:rsidRPr="00331576">
        <w:rPr>
          <w:rFonts w:hint="cs"/>
          <w:rtl/>
          <w:lang w:val="en-GB"/>
        </w:rPr>
        <w:t xml:space="preserve"> ذات الصلة لتوفير سبل عيش بديلة والتعويض عنها؛</w:t>
      </w:r>
    </w:p>
    <w:p w:rsidR="00B42CBF" w:rsidRPr="00331576" w:rsidRDefault="00B42CBF" w:rsidP="00CD26C5">
      <w:pPr>
        <w:numPr>
          <w:ilvl w:val="0"/>
          <w:numId w:val="46"/>
        </w:numPr>
        <w:ind w:left="-7" w:firstLine="727"/>
        <w:rPr>
          <w:lang w:val="en-GB"/>
        </w:rPr>
      </w:pPr>
      <w:r w:rsidRPr="00331576">
        <w:rPr>
          <w:rFonts w:hint="cs"/>
          <w:rtl/>
          <w:lang w:val="en-GB"/>
        </w:rPr>
        <w:t>التواصل مع أصحاب المصلحة المعنيين عبر المناظر الطبيعية الأرضية والمناظر الطبيعية البحرية الأوسع نطاقا، وإشراكهم بطريقة متاحة وفعالة ومناسبة؛</w:t>
      </w:r>
    </w:p>
    <w:p w:rsidR="00B42CBF" w:rsidRPr="00331576" w:rsidRDefault="00B42CBF" w:rsidP="00CD26C5">
      <w:pPr>
        <w:numPr>
          <w:ilvl w:val="0"/>
          <w:numId w:val="46"/>
        </w:numPr>
        <w:ind w:left="-7" w:firstLine="727"/>
        <w:rPr>
          <w:lang w:val="en-GB"/>
        </w:rPr>
      </w:pPr>
      <w:r w:rsidRPr="00331576">
        <w:rPr>
          <w:rFonts w:hint="cs"/>
          <w:rtl/>
          <w:lang w:val="en-GB"/>
        </w:rPr>
        <w:t>ضمان أن التخطيط والإدارة يتسقان مع مجموعة الثقافات ونظم القيم السائدة في المناظر الطبيعية الأرضية والمناظر الطبيعية البحرية الأوسع نطاقا؛</w:t>
      </w:r>
    </w:p>
    <w:p w:rsidR="00B42CBF" w:rsidRPr="00331576" w:rsidRDefault="00B42CBF" w:rsidP="00CD26C5">
      <w:pPr>
        <w:numPr>
          <w:ilvl w:val="0"/>
          <w:numId w:val="46"/>
        </w:numPr>
        <w:ind w:left="-7" w:firstLine="727"/>
        <w:rPr>
          <w:lang w:val="en-GB"/>
        </w:rPr>
      </w:pPr>
      <w:r w:rsidRPr="00331576">
        <w:rPr>
          <w:rFonts w:hint="cs"/>
          <w:rtl/>
          <w:lang w:val="en-GB"/>
        </w:rPr>
        <w:t>تحديد وإشراك القادة والأبطال المحليين/الوطنيين؛</w:t>
      </w:r>
    </w:p>
    <w:p w:rsidR="00B42CBF" w:rsidRPr="00331576" w:rsidRDefault="00B42CBF" w:rsidP="00CD26C5">
      <w:pPr>
        <w:numPr>
          <w:ilvl w:val="0"/>
          <w:numId w:val="46"/>
        </w:numPr>
        <w:ind w:left="-7" w:firstLine="727"/>
        <w:rPr>
          <w:lang w:val="en-GB"/>
        </w:rPr>
      </w:pPr>
      <w:r w:rsidRPr="00331576">
        <w:rPr>
          <w:rFonts w:hint="cs"/>
          <w:rtl/>
          <w:lang w:val="en-GB"/>
        </w:rPr>
        <w:t xml:space="preserve">بناء و/أو تعزيز القدرة على دعم تخطيط المناظر الطبيعية الأرضية والمناظر </w:t>
      </w:r>
      <w:r w:rsidRPr="008F1A01">
        <w:rPr>
          <w:rFonts w:hint="cs"/>
          <w:spacing w:val="-10"/>
          <w:rtl/>
          <w:lang w:val="en-GB"/>
        </w:rPr>
        <w:t>الطبيعية البحرية الأوسع نطاقا.</w:t>
      </w:r>
    </w:p>
    <w:p w:rsidR="00B42CBF" w:rsidRPr="00331576" w:rsidRDefault="00B42CBF" w:rsidP="00B42CBF">
      <w:pPr>
        <w:ind w:left="1710" w:right="720" w:hanging="810"/>
        <w:rPr>
          <w:b/>
          <w:bCs/>
          <w:rtl/>
          <w:lang w:val="en-GB"/>
        </w:rPr>
      </w:pPr>
      <w:r w:rsidRPr="00331576">
        <w:rPr>
          <w:rFonts w:hint="cs"/>
          <w:b/>
          <w:bCs/>
          <w:rtl/>
          <w:lang w:val="en-GB"/>
        </w:rPr>
        <w:t>دال-</w:t>
      </w:r>
      <w:r w:rsidRPr="00331576">
        <w:rPr>
          <w:b/>
          <w:bCs/>
          <w:rtl/>
          <w:lang w:val="en-GB"/>
        </w:rPr>
        <w:tab/>
      </w:r>
      <w:r w:rsidRPr="00331576">
        <w:rPr>
          <w:rFonts w:hint="cs"/>
          <w:b/>
          <w:bCs/>
          <w:rtl/>
          <w:lang w:val="en-GB"/>
        </w:rPr>
        <w:t>الدروس المستفادة من التجارب في استخدام أنواع مختلفة من تدابير الحفظ/الإدارة القائمة على أساس المناطق في المناطق البحرية والساحلية</w:t>
      </w:r>
    </w:p>
    <w:p w:rsidR="00B42CBF" w:rsidRPr="00331576" w:rsidRDefault="00B42CBF" w:rsidP="00B42CBF">
      <w:pPr>
        <w:rPr>
          <w:rtl/>
          <w:lang w:val="en-GB"/>
        </w:rPr>
      </w:pPr>
      <w:r>
        <w:t>6</w:t>
      </w:r>
      <w:r w:rsidRPr="00331576">
        <w:rPr>
          <w:rFonts w:hint="cs"/>
          <w:rtl/>
          <w:lang w:val="en-GB"/>
        </w:rPr>
        <w:t>-</w:t>
      </w:r>
      <w:r w:rsidRPr="00331576">
        <w:rPr>
          <w:rtl/>
          <w:lang w:val="en-GB"/>
        </w:rPr>
        <w:tab/>
      </w:r>
      <w:r>
        <w:rPr>
          <w:rFonts w:hint="cs"/>
          <w:rtl/>
          <w:lang w:val="en-GB"/>
        </w:rPr>
        <w:t>تم تسليط الضوء على ال</w:t>
      </w:r>
      <w:r w:rsidRPr="00331576">
        <w:rPr>
          <w:rFonts w:hint="cs"/>
          <w:rtl/>
          <w:lang w:val="en-GB"/>
        </w:rPr>
        <w:t xml:space="preserve">دروس </w:t>
      </w:r>
      <w:r>
        <w:rPr>
          <w:rFonts w:hint="cs"/>
          <w:rtl/>
          <w:lang w:val="en-GB"/>
        </w:rPr>
        <w:t>ال</w:t>
      </w:r>
      <w:r w:rsidRPr="00331576">
        <w:rPr>
          <w:rFonts w:hint="cs"/>
          <w:rtl/>
          <w:lang w:val="en-GB"/>
        </w:rPr>
        <w:t xml:space="preserve">مستفادة </w:t>
      </w:r>
      <w:r>
        <w:rPr>
          <w:rFonts w:hint="cs"/>
          <w:rtl/>
          <w:lang w:val="en-GB"/>
        </w:rPr>
        <w:t xml:space="preserve">التالية </w:t>
      </w:r>
      <w:r w:rsidRPr="00331576">
        <w:rPr>
          <w:rFonts w:hint="cs"/>
          <w:rtl/>
          <w:lang w:val="en-GB"/>
        </w:rPr>
        <w:t>من التجارب في مختلف أنواع تدابير الحفظ/الإدارة القائمة على أساس المناطق في المناطق البحرية والساحلية:</w:t>
      </w:r>
    </w:p>
    <w:p w:rsidR="00B42CBF" w:rsidRPr="00331576" w:rsidRDefault="00B42CBF" w:rsidP="00CD26C5">
      <w:pPr>
        <w:numPr>
          <w:ilvl w:val="0"/>
          <w:numId w:val="47"/>
        </w:numPr>
        <w:ind w:left="-7" w:firstLine="727"/>
        <w:rPr>
          <w:lang w:val="en-GB"/>
        </w:rPr>
      </w:pPr>
      <w:r w:rsidRPr="00331576">
        <w:rPr>
          <w:rFonts w:hint="cs"/>
          <w:rtl/>
          <w:lang w:val="en-GB"/>
        </w:rPr>
        <w:t>بالنسبة لأنواع مختلفة من تدابير الحفظ/الإدارة القائمة على أساس المناطق (مع اختلاف المناطق، ومدة ودرجة التقييد)، قد يكون الأداء من حيث حماية التنوع البيولوجي متغيرا بدرجة كبيرة، ويعزى ذلك في الغالب إلى السياق الإيكولوجي والاجتماعي والاقتصادي وسياق الحوكمة في المنطقة، وطبيعة تنفيذ التدابير؛</w:t>
      </w:r>
    </w:p>
    <w:p w:rsidR="00B42CBF" w:rsidRPr="00331576" w:rsidRDefault="00B42CBF" w:rsidP="00CD26C5">
      <w:pPr>
        <w:numPr>
          <w:ilvl w:val="0"/>
          <w:numId w:val="47"/>
        </w:numPr>
        <w:ind w:left="-7" w:firstLine="727"/>
        <w:rPr>
          <w:lang w:val="en-GB"/>
        </w:rPr>
      </w:pPr>
      <w:r w:rsidRPr="00331576">
        <w:rPr>
          <w:rFonts w:hint="cs"/>
          <w:rtl/>
          <w:lang w:val="en-GB"/>
        </w:rPr>
        <w:t>على الرغم من أن زيادة مساحة المنطقة والمدة ودرجة التقييد تؤدي عموما إلى زيادة حماية العديد من مكونات الت</w:t>
      </w:r>
      <w:r>
        <w:rPr>
          <w:rFonts w:hint="cs"/>
          <w:rtl/>
          <w:lang w:val="en-GB"/>
        </w:rPr>
        <w:t>نوع البيولوجي، إلا أن آثار النظ</w:t>
      </w:r>
      <w:r w:rsidRPr="00331576">
        <w:rPr>
          <w:rFonts w:hint="cs"/>
          <w:rtl/>
          <w:lang w:val="en-GB"/>
        </w:rPr>
        <w:t>م الإيكولوجي</w:t>
      </w:r>
      <w:r>
        <w:rPr>
          <w:rFonts w:hint="cs"/>
          <w:rtl/>
          <w:lang w:val="en-GB"/>
        </w:rPr>
        <w:t>ة</w:t>
      </w:r>
      <w:r w:rsidRPr="00331576">
        <w:rPr>
          <w:rFonts w:hint="cs"/>
          <w:rtl/>
          <w:lang w:val="en-GB"/>
        </w:rPr>
        <w:t xml:space="preserve"> الناجم</w:t>
      </w:r>
      <w:r>
        <w:rPr>
          <w:rFonts w:hint="cs"/>
          <w:rtl/>
          <w:lang w:val="en-GB"/>
        </w:rPr>
        <w:t>ة</w:t>
      </w:r>
      <w:r w:rsidRPr="00331576">
        <w:rPr>
          <w:rFonts w:hint="cs"/>
          <w:rtl/>
          <w:lang w:val="en-GB"/>
        </w:rPr>
        <w:t xml:space="preserve"> عن الأنشطة البشرية التي أزيحت نتيجة الاستبعادات قد تزيد في المناطق التي تستمر فيها هذه الأنشطة. وي</w:t>
      </w:r>
      <w:r>
        <w:rPr>
          <w:rFonts w:hint="cs"/>
          <w:rtl/>
          <w:lang w:val="en-GB"/>
        </w:rPr>
        <w:t>نبغي</w:t>
      </w:r>
      <w:r w:rsidRPr="00331576">
        <w:rPr>
          <w:rFonts w:hint="cs"/>
          <w:rtl/>
          <w:lang w:val="en-GB"/>
        </w:rPr>
        <w:t xml:space="preserve"> أن يشمل تخطيط الحفظ الفعال الشامل جميع </w:t>
      </w:r>
      <w:r>
        <w:rPr>
          <w:rFonts w:hint="cs"/>
          <w:rtl/>
          <w:lang w:val="en-GB"/>
        </w:rPr>
        <w:t xml:space="preserve">كل </w:t>
      </w:r>
      <w:r w:rsidRPr="00331576">
        <w:rPr>
          <w:rFonts w:hint="cs"/>
          <w:rtl/>
          <w:lang w:val="en-GB"/>
        </w:rPr>
        <w:t>هذه الاعتبارات؛</w:t>
      </w:r>
    </w:p>
    <w:p w:rsidR="00B42CBF" w:rsidRPr="00331576" w:rsidRDefault="00B42CBF" w:rsidP="00CD26C5">
      <w:pPr>
        <w:numPr>
          <w:ilvl w:val="0"/>
          <w:numId w:val="47"/>
        </w:numPr>
        <w:ind w:left="-7" w:firstLine="727"/>
        <w:rPr>
          <w:lang w:val="en-GB"/>
        </w:rPr>
      </w:pPr>
      <w:r w:rsidRPr="00331576">
        <w:rPr>
          <w:rFonts w:hint="cs"/>
          <w:rtl/>
          <w:lang w:val="en-GB"/>
        </w:rPr>
        <w:t xml:space="preserve">يمكن أن تكون التدابير المصممة والمنفذة بشكل جيد فعالة حتى إذا كانت المناطق </w:t>
      </w:r>
      <w:r>
        <w:rPr>
          <w:rFonts w:hint="cs"/>
          <w:rtl/>
          <w:lang w:val="en-GB"/>
        </w:rPr>
        <w:t>ليست</w:t>
      </w:r>
      <w:r w:rsidRPr="00331576">
        <w:rPr>
          <w:rFonts w:hint="cs"/>
          <w:rtl/>
          <w:lang w:val="en-GB"/>
        </w:rPr>
        <w:t xml:space="preserve"> كبيرة وذات قيود دائمة، ويمكن أن تكون التدابير المصممة والمنفذة بشكل سيء غير فعالة، بغض النظر عن حجمها؛</w:t>
      </w:r>
    </w:p>
    <w:p w:rsidR="00B42CBF" w:rsidRPr="00331576" w:rsidRDefault="00B42CBF" w:rsidP="00CD26C5">
      <w:pPr>
        <w:numPr>
          <w:ilvl w:val="0"/>
          <w:numId w:val="47"/>
        </w:numPr>
        <w:ind w:left="-7" w:firstLine="727"/>
        <w:rPr>
          <w:lang w:val="en-GB"/>
        </w:rPr>
      </w:pPr>
      <w:r w:rsidRPr="00331576">
        <w:rPr>
          <w:rFonts w:hint="cs"/>
          <w:rtl/>
          <w:lang w:val="en-GB"/>
        </w:rPr>
        <w:lastRenderedPageBreak/>
        <w:t xml:space="preserve">ينبغي تقييم فعالية تدابير الحفظ القائمة على أساس المناطق على أساس كل حالة على حدة، مع مراعاة خصائص التدبير </w:t>
      </w:r>
      <w:r>
        <w:rPr>
          <w:rFonts w:hint="cs"/>
          <w:rtl/>
          <w:lang w:val="en-GB"/>
        </w:rPr>
        <w:t xml:space="preserve">(التدابير) </w:t>
      </w:r>
      <w:r w:rsidRPr="00331576">
        <w:rPr>
          <w:rFonts w:hint="cs"/>
          <w:rtl/>
          <w:lang w:val="en-GB"/>
        </w:rPr>
        <w:t>الجاري تنفيذها والسياق الذي تنفذ فيه</w:t>
      </w:r>
      <w:r>
        <w:rPr>
          <w:rFonts w:hint="cs"/>
          <w:rtl/>
          <w:lang w:val="en-GB"/>
        </w:rPr>
        <w:t>، مع المسؤولية المشتركة</w:t>
      </w:r>
      <w:r w:rsidRPr="00331576">
        <w:rPr>
          <w:rFonts w:hint="cs"/>
          <w:rtl/>
          <w:lang w:val="en-GB"/>
        </w:rPr>
        <w:t>؛</w:t>
      </w:r>
    </w:p>
    <w:p w:rsidR="00B42CBF" w:rsidRPr="00331576" w:rsidRDefault="00B42CBF" w:rsidP="00CD26C5">
      <w:pPr>
        <w:numPr>
          <w:ilvl w:val="0"/>
          <w:numId w:val="47"/>
        </w:numPr>
        <w:ind w:left="-7" w:firstLine="727"/>
        <w:rPr>
          <w:lang w:val="en-GB"/>
        </w:rPr>
      </w:pPr>
      <w:r w:rsidRPr="00331576">
        <w:rPr>
          <w:rFonts w:hint="cs"/>
          <w:rtl/>
          <w:lang w:val="en-GB"/>
        </w:rPr>
        <w:t>تشمل السمات الرئيسية للمنطقة التي يتعين النظر فيها عند تقييم تطبيقات محددة لتدبير الحفظ/الإدارة القائم على أساس المناطق ما يلي:</w:t>
      </w:r>
    </w:p>
    <w:p w:rsidR="00B42CBF" w:rsidRPr="00331576" w:rsidRDefault="00B42CBF" w:rsidP="00CD26C5">
      <w:pPr>
        <w:numPr>
          <w:ilvl w:val="0"/>
          <w:numId w:val="48"/>
        </w:numPr>
        <w:ind w:left="1440" w:hanging="720"/>
        <w:rPr>
          <w:lang w:val="en-GB"/>
        </w:rPr>
      </w:pPr>
      <w:r w:rsidRPr="00331576">
        <w:rPr>
          <w:rFonts w:hint="cs"/>
          <w:rtl/>
          <w:lang w:val="en-GB"/>
        </w:rPr>
        <w:t>المكونات الإيكولوجية لشواغل الحفظ الخاصة في كل من المنطقة المحددة والإقليم الأكبر</w:t>
      </w:r>
      <w:r>
        <w:rPr>
          <w:rFonts w:hint="cs"/>
          <w:rtl/>
          <w:lang w:val="en-GB"/>
        </w:rPr>
        <w:t>، فيما يتعلق بالنظم الإيكولوجية المجاورة</w:t>
      </w:r>
      <w:r w:rsidRPr="00331576">
        <w:rPr>
          <w:rFonts w:hint="cs"/>
          <w:rtl/>
          <w:lang w:val="en-GB"/>
        </w:rPr>
        <w:t>، وكيفية مساهمة التدبير في حفظهما؛</w:t>
      </w:r>
    </w:p>
    <w:p w:rsidR="00B42CBF" w:rsidRPr="00331576" w:rsidRDefault="00B42CBF" w:rsidP="00CD26C5">
      <w:pPr>
        <w:numPr>
          <w:ilvl w:val="0"/>
          <w:numId w:val="48"/>
        </w:numPr>
        <w:ind w:left="1440" w:hanging="720"/>
        <w:rPr>
          <w:lang w:val="en-GB"/>
        </w:rPr>
      </w:pPr>
      <w:r w:rsidRPr="00331576">
        <w:rPr>
          <w:rFonts w:hint="cs"/>
          <w:rtl/>
          <w:lang w:val="en-GB"/>
        </w:rPr>
        <w:t>حجم ومدة ومدى قيود المنطقة ومكانها؛</w:t>
      </w:r>
    </w:p>
    <w:p w:rsidR="00B42CBF" w:rsidRPr="00331576" w:rsidRDefault="00B42CBF" w:rsidP="00CD26C5">
      <w:pPr>
        <w:numPr>
          <w:ilvl w:val="0"/>
          <w:numId w:val="48"/>
        </w:numPr>
        <w:ind w:left="1440" w:hanging="720"/>
        <w:rPr>
          <w:lang w:val="en-GB"/>
        </w:rPr>
      </w:pPr>
      <w:r w:rsidRPr="00331576">
        <w:rPr>
          <w:rFonts w:hint="cs"/>
          <w:rtl/>
          <w:lang w:val="en-GB"/>
        </w:rPr>
        <w:t>قدرة السلطة الإدارية على تنفيذ التدبير إذا ما تم اعتماده، ورصد وإنفاذ القانون في المنطقة أثناء وجود التدبير؛</w:t>
      </w:r>
    </w:p>
    <w:p w:rsidR="00B42CBF" w:rsidRPr="00331576" w:rsidRDefault="00B42CBF" w:rsidP="00CD26C5">
      <w:pPr>
        <w:numPr>
          <w:ilvl w:val="0"/>
          <w:numId w:val="48"/>
        </w:numPr>
        <w:ind w:left="1440" w:hanging="720"/>
        <w:rPr>
          <w:lang w:val="en-GB"/>
        </w:rPr>
      </w:pPr>
      <w:r>
        <w:rPr>
          <w:rFonts w:hint="cs"/>
          <w:rtl/>
          <w:lang w:val="en-GB"/>
        </w:rPr>
        <w:t>ال</w:t>
      </w:r>
      <w:r w:rsidRPr="00331576">
        <w:rPr>
          <w:rFonts w:hint="cs"/>
          <w:rtl/>
          <w:lang w:val="en-GB"/>
        </w:rPr>
        <w:t xml:space="preserve">إسهامات المحتملة </w:t>
      </w:r>
      <w:r>
        <w:rPr>
          <w:rFonts w:hint="cs"/>
          <w:rtl/>
          <w:lang w:val="en-GB"/>
        </w:rPr>
        <w:t xml:space="preserve">التي يمكن أن يقدمها </w:t>
      </w:r>
      <w:r w:rsidRPr="00331576">
        <w:rPr>
          <w:rFonts w:hint="cs"/>
          <w:rtl/>
          <w:lang w:val="en-GB"/>
        </w:rPr>
        <w:t xml:space="preserve">التدبير </w:t>
      </w:r>
      <w:r>
        <w:rPr>
          <w:rFonts w:hint="cs"/>
          <w:rtl/>
          <w:lang w:val="en-GB"/>
        </w:rPr>
        <w:t>إلى الشعوب المحلية و</w:t>
      </w:r>
      <w:r w:rsidRPr="00331576">
        <w:rPr>
          <w:rFonts w:hint="cs"/>
          <w:rtl/>
          <w:lang w:val="en-GB"/>
        </w:rPr>
        <w:t>الاستخدام المستدام، بالإضافة إلى الحفظ؛</w:t>
      </w:r>
    </w:p>
    <w:p w:rsidR="00B42CBF" w:rsidRPr="00331576" w:rsidRDefault="00B42CBF" w:rsidP="00CD26C5">
      <w:pPr>
        <w:numPr>
          <w:ilvl w:val="0"/>
          <w:numId w:val="49"/>
        </w:numPr>
        <w:ind w:left="-7" w:firstLine="727"/>
        <w:rPr>
          <w:lang w:val="en-GB"/>
        </w:rPr>
      </w:pPr>
      <w:r w:rsidRPr="00331576">
        <w:rPr>
          <w:rFonts w:hint="cs"/>
          <w:rtl/>
          <w:lang w:val="en-GB"/>
        </w:rPr>
        <w:t>وتشمل الخصائص المهمة للسياق الذي س</w:t>
      </w:r>
      <w:r>
        <w:rPr>
          <w:rFonts w:hint="cs"/>
          <w:rtl/>
          <w:lang w:val="en-GB"/>
        </w:rPr>
        <w:t>يطبق فيه التد</w:t>
      </w:r>
      <w:r w:rsidRPr="00331576">
        <w:rPr>
          <w:rFonts w:hint="cs"/>
          <w:rtl/>
          <w:lang w:val="en-GB"/>
        </w:rPr>
        <w:t>بير والتي ينبغي أيضا وضعها في الاعتبار في تقييم كل حالة على حدة ما يلي:</w:t>
      </w:r>
    </w:p>
    <w:p w:rsidR="00B42CBF" w:rsidRPr="00331576" w:rsidRDefault="00B42CBF" w:rsidP="00CD26C5">
      <w:pPr>
        <w:numPr>
          <w:ilvl w:val="0"/>
          <w:numId w:val="50"/>
        </w:numPr>
        <w:ind w:left="1440" w:hanging="720"/>
        <w:rPr>
          <w:lang w:val="en-GB"/>
        </w:rPr>
      </w:pPr>
      <w:r w:rsidRPr="00331576">
        <w:rPr>
          <w:rFonts w:hint="cs"/>
          <w:rtl/>
          <w:lang w:val="en-GB"/>
        </w:rPr>
        <w:t xml:space="preserve">مدى تطوير هذا التدبير داخل </w:t>
      </w:r>
      <w:r>
        <w:rPr>
          <w:rFonts w:hint="cs"/>
          <w:rtl/>
          <w:lang w:val="en-GB"/>
        </w:rPr>
        <w:t>نُهج</w:t>
      </w:r>
      <w:r w:rsidRPr="00331576">
        <w:rPr>
          <w:rFonts w:hint="cs"/>
          <w:rtl/>
          <w:lang w:val="en-GB"/>
        </w:rPr>
        <w:t xml:space="preserve"> النظام الإيكولوجي، وهو متكامل تماما مع باقي التدابير المستخدمة؛</w:t>
      </w:r>
    </w:p>
    <w:p w:rsidR="00B42CBF" w:rsidRPr="00331576" w:rsidRDefault="00B42CBF" w:rsidP="00CD26C5">
      <w:pPr>
        <w:numPr>
          <w:ilvl w:val="0"/>
          <w:numId w:val="50"/>
        </w:numPr>
        <w:ind w:left="1440" w:hanging="720"/>
        <w:rPr>
          <w:lang w:val="en-GB"/>
        </w:rPr>
      </w:pPr>
      <w:r w:rsidRPr="00331576">
        <w:rPr>
          <w:rFonts w:hint="cs"/>
          <w:rtl/>
          <w:lang w:val="en-GB"/>
        </w:rPr>
        <w:t>مدى تطوير هذا التدبير باستخدام أفضل المعلومات العلمية ومعارف الشعوب الأصلية والمجتمعات المحلية المتاحة، وتطبيق وقائي مناسب؛</w:t>
      </w:r>
    </w:p>
    <w:p w:rsidR="00B42CBF" w:rsidRPr="00331576" w:rsidRDefault="00B42CBF" w:rsidP="00CD26C5">
      <w:pPr>
        <w:numPr>
          <w:ilvl w:val="0"/>
          <w:numId w:val="50"/>
        </w:numPr>
        <w:ind w:left="1440" w:hanging="720"/>
        <w:rPr>
          <w:lang w:val="en-GB"/>
        </w:rPr>
      </w:pPr>
      <w:r w:rsidRPr="00331576">
        <w:rPr>
          <w:rFonts w:hint="cs"/>
          <w:rtl/>
          <w:lang w:val="en-GB"/>
        </w:rPr>
        <w:t>درجة الحماية التي يوفرها هذا التدبير لمكونات التنوع البيولوجي ذات الأولوية العالية، مع مراعاة التهديدات الحقيقية أو المحتملة الأخرى في نفس المنطقة وخارجها عند الاقتضاء؛</w:t>
      </w:r>
    </w:p>
    <w:p w:rsidR="00B42CBF" w:rsidRPr="00331576" w:rsidRDefault="00B42CBF" w:rsidP="00CD26C5">
      <w:pPr>
        <w:numPr>
          <w:ilvl w:val="0"/>
          <w:numId w:val="50"/>
        </w:numPr>
        <w:ind w:left="1440" w:hanging="720"/>
        <w:rPr>
          <w:lang w:val="en-GB"/>
        </w:rPr>
      </w:pPr>
      <w:r w:rsidRPr="00331576">
        <w:rPr>
          <w:rFonts w:hint="cs"/>
          <w:rtl/>
          <w:lang w:val="en-GB"/>
        </w:rPr>
        <w:t>عمليات الحوكمة التي تؤدي إلى وضع واعتماد التدبير، وآثارها على الامتثال والتعاون مع التدبير؛</w:t>
      </w:r>
    </w:p>
    <w:p w:rsidR="00B42CBF" w:rsidRPr="00331576" w:rsidRDefault="00B42CBF" w:rsidP="00CD66D2">
      <w:pPr>
        <w:ind w:firstLine="727"/>
        <w:rPr>
          <w:rtl/>
          <w:lang w:val="en-GB"/>
        </w:rPr>
      </w:pPr>
      <w:r w:rsidRPr="00331576">
        <w:rPr>
          <w:rFonts w:hint="cs"/>
          <w:rtl/>
          <w:lang w:val="en-GB"/>
        </w:rPr>
        <w:t>(ز)</w:t>
      </w:r>
      <w:r w:rsidRPr="00331576">
        <w:rPr>
          <w:rtl/>
          <w:lang w:val="en-GB"/>
        </w:rPr>
        <w:tab/>
      </w:r>
      <w:r>
        <w:rPr>
          <w:rFonts w:hint="cs"/>
          <w:rtl/>
          <w:lang w:val="en-GB"/>
        </w:rPr>
        <w:t>من المهم توفير المرونة من أجل التمكين من تصميم تدابير خاصة بكل سياق تعالج أكثر من هدف ناتج، بدلا من الاعتماد على متطلبات المدخلات المقابلة</w:t>
      </w:r>
      <w:r w:rsidRPr="00331576">
        <w:rPr>
          <w:rFonts w:hint="cs"/>
          <w:rtl/>
          <w:lang w:val="en-GB"/>
        </w:rPr>
        <w:t>؛</w:t>
      </w:r>
    </w:p>
    <w:p w:rsidR="00B42CBF" w:rsidRPr="00331576" w:rsidRDefault="00B42CBF" w:rsidP="00CD66D2">
      <w:pPr>
        <w:ind w:firstLine="727"/>
        <w:rPr>
          <w:lang w:val="en-GB"/>
        </w:rPr>
      </w:pPr>
      <w:r w:rsidRPr="00331576">
        <w:rPr>
          <w:rFonts w:hint="cs"/>
          <w:rtl/>
          <w:lang w:val="en-GB"/>
        </w:rPr>
        <w:t>(ح)</w:t>
      </w:r>
      <w:r w:rsidRPr="00331576">
        <w:rPr>
          <w:rtl/>
          <w:lang w:val="en-GB"/>
        </w:rPr>
        <w:tab/>
      </w:r>
      <w:r w:rsidRPr="00331576">
        <w:rPr>
          <w:rFonts w:hint="cs"/>
          <w:rtl/>
          <w:lang w:val="en-GB"/>
        </w:rPr>
        <w:t xml:space="preserve">من المهم </w:t>
      </w:r>
      <w:r>
        <w:rPr>
          <w:rFonts w:hint="cs"/>
          <w:rtl/>
          <w:lang w:val="en-GB"/>
        </w:rPr>
        <w:t>أن تكون نتائج الحفظ مدعومة بأدلة علمية قوية، وبالتالي فإن أطر الرصد والتقييم المناسبة مدمجة في تصميم تدابير الحفظ/الإدارة القائمة على أساس المناطق، من أجل إرساء أدلة موثوقة على أن هذه التدابير تحقق نتائج الحفظ</w:t>
      </w:r>
      <w:r w:rsidRPr="00331576">
        <w:rPr>
          <w:rFonts w:hint="cs"/>
          <w:rtl/>
          <w:lang w:val="en-GB"/>
        </w:rPr>
        <w:t>.</w:t>
      </w:r>
    </w:p>
    <w:p w:rsidR="00CD66D2" w:rsidRDefault="00CD66D2">
      <w:pPr>
        <w:bidi w:val="0"/>
        <w:spacing w:after="0" w:line="240" w:lineRule="auto"/>
        <w:jc w:val="left"/>
        <w:rPr>
          <w:b/>
          <w:bCs/>
          <w:rtl/>
        </w:rPr>
      </w:pPr>
      <w:r>
        <w:rPr>
          <w:b/>
          <w:bCs/>
          <w:rtl/>
        </w:rPr>
        <w:br w:type="page"/>
      </w:r>
    </w:p>
    <w:p w:rsidR="000A5DEA" w:rsidRPr="00CD66D2" w:rsidRDefault="000A5DEA" w:rsidP="005C478D">
      <w:pPr>
        <w:pStyle w:val="Heading2"/>
      </w:pPr>
      <w:bookmarkStart w:id="24" w:name="_Toc6139970"/>
      <w:r w:rsidRPr="00CD66D2">
        <w:rPr>
          <w:rFonts w:hint="cs"/>
          <w:rtl/>
        </w:rPr>
        <w:lastRenderedPageBreak/>
        <w:t>المقرر 14/9</w:t>
      </w:r>
      <w:r w:rsidRPr="00CD66D2">
        <w:rPr>
          <w:rFonts w:hint="cs"/>
          <w:rtl/>
        </w:rPr>
        <w:tab/>
        <w:t>التنوع البيولوجي البحري والساحلي: المناطق البحرية المهمة إيكولوجياً أو بيولوجياً</w:t>
      </w:r>
      <w:bookmarkEnd w:id="24"/>
    </w:p>
    <w:p w:rsidR="000A5DEA" w:rsidRDefault="000A5DEA" w:rsidP="000A5DEA">
      <w:pPr>
        <w:spacing w:after="100" w:line="204" w:lineRule="auto"/>
        <w:ind w:left="-14" w:firstLine="734"/>
        <w:rPr>
          <w:i/>
          <w:iCs/>
          <w:rtl/>
        </w:rPr>
      </w:pPr>
      <w:r>
        <w:rPr>
          <w:rFonts w:hint="cs"/>
          <w:i/>
          <w:iCs/>
          <w:rtl/>
        </w:rPr>
        <w:t>إن مؤتمر الأطراف،</w:t>
      </w:r>
    </w:p>
    <w:p w:rsidR="000A5DEA" w:rsidRPr="00366E36" w:rsidRDefault="000A5DEA" w:rsidP="000A5DEA">
      <w:pPr>
        <w:spacing w:after="100" w:line="204" w:lineRule="auto"/>
        <w:ind w:left="-14" w:firstLine="734"/>
        <w:rPr>
          <w:lang w:val="fr-CA"/>
        </w:rPr>
      </w:pPr>
      <w:r w:rsidRPr="00D33EF0">
        <w:rPr>
          <w:i/>
          <w:iCs/>
          <w:rtl/>
        </w:rPr>
        <w:t xml:space="preserve">إذ </w:t>
      </w:r>
      <w:r w:rsidRPr="00D33EF0">
        <w:rPr>
          <w:rFonts w:hint="cs"/>
          <w:i/>
          <w:iCs/>
          <w:rtl/>
        </w:rPr>
        <w:t>يؤكد من جديد</w:t>
      </w:r>
      <w:r w:rsidRPr="00D33EF0">
        <w:rPr>
          <w:rtl/>
        </w:rPr>
        <w:t xml:space="preserve"> المقررات 10/29 و11/17 و12/22 و13/12 بشأن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Default="000A5DEA" w:rsidP="000A5DEA">
      <w:pPr>
        <w:spacing w:after="100" w:line="204" w:lineRule="auto"/>
        <w:ind w:left="-14" w:firstLine="734"/>
        <w:rPr>
          <w:rtl/>
        </w:rPr>
      </w:pPr>
      <w:r w:rsidRPr="00D33EF0">
        <w:rPr>
          <w:i/>
          <w:iCs/>
          <w:rtl/>
        </w:rPr>
        <w:t xml:space="preserve">وإذ </w:t>
      </w:r>
      <w:r w:rsidRPr="00D33EF0">
        <w:rPr>
          <w:rFonts w:hint="cs"/>
          <w:i/>
          <w:iCs/>
          <w:rtl/>
        </w:rPr>
        <w:t>يكرر من جديد</w:t>
      </w:r>
      <w:r w:rsidRPr="00D33EF0">
        <w:rPr>
          <w:rtl/>
        </w:rPr>
        <w:t xml:space="preserve"> الدور الرئيسي الذي تؤديه الجمعية العامة للأمم المتحدة في معالجة القضايا المتعلقة بحفظ التنوع البيولوجي واستخدامه المستدام في المناطق البحرية الو</w:t>
      </w:r>
      <w:r>
        <w:rPr>
          <w:rtl/>
        </w:rPr>
        <w:t>اقعة خارج نطاق الولاية الوطنية،</w:t>
      </w:r>
    </w:p>
    <w:p w:rsidR="000A5DEA" w:rsidRDefault="000A5DEA" w:rsidP="000A5DEA">
      <w:pPr>
        <w:spacing w:after="100" w:line="204" w:lineRule="auto"/>
        <w:ind w:left="-14" w:firstLine="734"/>
        <w:rPr>
          <w:rtl/>
        </w:rPr>
      </w:pPr>
      <w:r w:rsidRPr="00D33EF0">
        <w:rPr>
          <w:rFonts w:hint="cs"/>
          <w:i/>
          <w:iCs/>
          <w:rtl/>
        </w:rPr>
        <w:t>وإذ يشير</w:t>
      </w:r>
      <w:r w:rsidRPr="00D33EF0">
        <w:rPr>
          <w:rFonts w:hint="cs"/>
          <w:rtl/>
        </w:rPr>
        <w:t xml:space="preserve"> إلى قرار الجمعية العامة للأمم المتحدة </w:t>
      </w:r>
      <w:r>
        <w:rPr>
          <w:rFonts w:hint="cs"/>
          <w:rtl/>
        </w:rPr>
        <w:t>72</w:t>
      </w:r>
      <w:r w:rsidRPr="00D33EF0">
        <w:rPr>
          <w:rFonts w:hint="cs"/>
          <w:rtl/>
        </w:rPr>
        <w:t>/7</w:t>
      </w:r>
      <w:r>
        <w:rPr>
          <w:rFonts w:hint="cs"/>
          <w:rtl/>
        </w:rPr>
        <w:t>3</w:t>
      </w:r>
      <w:r w:rsidRPr="00D33EF0">
        <w:rPr>
          <w:rFonts w:hint="cs"/>
          <w:rtl/>
        </w:rPr>
        <w:t xml:space="preserve"> </w:t>
      </w:r>
      <w:r>
        <w:rPr>
          <w:rFonts w:hint="cs"/>
          <w:rtl/>
        </w:rPr>
        <w:t>بشأن المحيطات و</w:t>
      </w:r>
      <w:r w:rsidRPr="00D33EF0">
        <w:rPr>
          <w:rFonts w:hint="cs"/>
          <w:rtl/>
        </w:rPr>
        <w:t xml:space="preserve">قانون البحار </w:t>
      </w:r>
      <w:r>
        <w:rPr>
          <w:rFonts w:hint="cs"/>
          <w:rtl/>
        </w:rPr>
        <w:t>وفقراته الديباجية بشأن اتفاقية الأمم المتحدة بشأن قانون البحار</w:t>
      </w:r>
      <w:r w:rsidRPr="00D33EF0">
        <w:rPr>
          <w:rFonts w:hint="cs"/>
          <w:rtl/>
        </w:rPr>
        <w:t>،</w:t>
      </w:r>
      <w:r>
        <w:rPr>
          <w:rStyle w:val="FootnoteReference"/>
          <w:rtl/>
        </w:rPr>
        <w:footnoteReference w:id="159"/>
      </w:r>
      <w:r w:rsidRPr="00555150">
        <w:rPr>
          <w:rFonts w:hint="cs"/>
          <w:vertAlign w:val="superscript"/>
          <w:rtl/>
        </w:rPr>
        <w:t>،</w:t>
      </w:r>
      <w:r>
        <w:rPr>
          <w:rStyle w:val="FootnoteReference"/>
          <w:rFonts w:hint="cs"/>
          <w:rtl/>
        </w:rPr>
        <w:t xml:space="preserve"> </w:t>
      </w:r>
      <w:r>
        <w:rPr>
          <w:rStyle w:val="FootnoteReference"/>
          <w:rtl/>
        </w:rPr>
        <w:footnoteReference w:id="160"/>
      </w:r>
      <w:r>
        <w:rPr>
          <w:rFonts w:hint="cs"/>
          <w:vertAlign w:val="superscript"/>
          <w:rtl/>
        </w:rPr>
        <w:t xml:space="preserve">، </w:t>
      </w:r>
      <w:r>
        <w:rPr>
          <w:rStyle w:val="FootnoteReference"/>
          <w:rtl/>
        </w:rPr>
        <w:footnoteReference w:id="161"/>
      </w:r>
    </w:p>
    <w:p w:rsidR="000A5DEA" w:rsidRPr="00F92F01" w:rsidRDefault="000A5DEA" w:rsidP="000A5DEA">
      <w:pPr>
        <w:spacing w:after="100" w:line="204" w:lineRule="auto"/>
        <w:ind w:left="-14" w:firstLine="734"/>
        <w:rPr>
          <w:rtl/>
        </w:rPr>
      </w:pPr>
      <w:r>
        <w:rPr>
          <w:rFonts w:hint="cs"/>
          <w:i/>
          <w:iCs/>
          <w:rtl/>
        </w:rPr>
        <w:t xml:space="preserve">وإذ يلاحظ </w:t>
      </w:r>
      <w:r>
        <w:rPr>
          <w:rFonts w:hint="cs"/>
          <w:rtl/>
        </w:rPr>
        <w:t>المفاوضات الجارية في المؤتمر الحكومي الدولي بشأن صك دولي ملزم قانونا في إطار اتفاقية الأمم المتحدة لقانون البحار والاستخدام المستدام للتنوع البيولوجي البحري في المناطق الخارجة عن نطاق الولاية الوطنية، تبعا لقرار الجمعية العامة للأمم المتحدة 72/249،</w:t>
      </w:r>
    </w:p>
    <w:p w:rsidR="000A5DEA" w:rsidRPr="00D33EF0" w:rsidRDefault="000A5DEA" w:rsidP="00CD26C5">
      <w:pPr>
        <w:pStyle w:val="ListParagraph"/>
        <w:numPr>
          <w:ilvl w:val="2"/>
          <w:numId w:val="49"/>
        </w:numPr>
        <w:bidi/>
        <w:spacing w:after="100" w:line="204" w:lineRule="auto"/>
        <w:ind w:left="0" w:firstLine="720"/>
        <w:rPr>
          <w:rFonts w:cs="Simplified Arabic"/>
          <w:lang w:val="fr-CH"/>
        </w:rPr>
      </w:pPr>
      <w:bookmarkStart w:id="25" w:name="_Toc6071552"/>
      <w:bookmarkStart w:id="26" w:name="_Toc6135990"/>
      <w:r w:rsidRPr="00D33EF0">
        <w:rPr>
          <w:rFonts w:cs="Simplified Arabic"/>
          <w:i/>
          <w:iCs/>
          <w:rtl/>
          <w:lang w:val="fr-CH"/>
        </w:rPr>
        <w:t xml:space="preserve">يرحب </w:t>
      </w:r>
      <w:r w:rsidRPr="00D33EF0">
        <w:rPr>
          <w:rFonts w:cs="Simplified Arabic"/>
          <w:rtl/>
          <w:lang w:val="fr-CH"/>
        </w:rPr>
        <w:t xml:space="preserve">بالمعلومات العلمية والتقنية الواردة في التقارير الموجزة التي أعدتها الهيئة الفرعية للمشورة العلمية والتقنية والتكنولوجية في اجتماعها الثاني والعشرين، </w:t>
      </w:r>
      <w:r>
        <w:rPr>
          <w:rFonts w:cs="Simplified Arabic" w:hint="cs"/>
          <w:rtl/>
          <w:lang w:val="fr-CH"/>
        </w:rPr>
        <w:t xml:space="preserve">على النحو </w:t>
      </w:r>
      <w:r>
        <w:rPr>
          <w:rFonts w:cs="Simplified Arabic"/>
          <w:rtl/>
          <w:lang w:val="fr-CH"/>
        </w:rPr>
        <w:t>الوارد</w:t>
      </w:r>
      <w:r w:rsidRPr="00D33EF0">
        <w:rPr>
          <w:rFonts w:cs="Simplified Arabic"/>
          <w:rtl/>
          <w:lang w:val="fr-CH"/>
        </w:rPr>
        <w:t xml:space="preserve"> في المرفق الأول </w:t>
      </w:r>
      <w:r>
        <w:rPr>
          <w:rFonts w:cs="Simplified Arabic" w:hint="cs"/>
          <w:rtl/>
          <w:lang w:val="fr-CH"/>
        </w:rPr>
        <w:t>ب</w:t>
      </w:r>
      <w:r w:rsidRPr="00D33EF0">
        <w:rPr>
          <w:rFonts w:cs="Simplified Arabic"/>
          <w:rtl/>
          <w:lang w:val="fr-CH"/>
        </w:rPr>
        <w:t>هذا المقرر، استنادا إلى تقارير حلقتي العمل الإقليميتين اللتين تصفان المناطق البحرية المهمة إيكولوجيا</w:t>
      </w:r>
      <w:r>
        <w:rPr>
          <w:rFonts w:cs="Simplified Arabic" w:hint="cs"/>
          <w:rtl/>
          <w:lang w:val="fr-CH"/>
        </w:rPr>
        <w:t>ً</w:t>
      </w:r>
      <w:r w:rsidRPr="00D33EF0">
        <w:rPr>
          <w:rFonts w:cs="Simplified Arabic"/>
          <w:rtl/>
          <w:lang w:val="fr-CH"/>
        </w:rPr>
        <w:t xml:space="preserve"> أو بيولوجيا</w:t>
      </w:r>
      <w:r>
        <w:rPr>
          <w:rFonts w:cs="Simplified Arabic" w:hint="cs"/>
          <w:rtl/>
          <w:lang w:val="fr-CH"/>
        </w:rPr>
        <w:t>ً</w:t>
      </w:r>
      <w:r w:rsidRPr="00D33EF0">
        <w:rPr>
          <w:rFonts w:cs="Simplified Arabic"/>
          <w:rtl/>
          <w:lang w:val="fr-CH"/>
        </w:rPr>
        <w:t xml:space="preserve"> لمنطقة البحر الأسود وبحر قزوين، وبحر البلطيق،</w:t>
      </w:r>
      <w:r w:rsidRPr="00D33EF0">
        <w:rPr>
          <w:rStyle w:val="FootnoteReference"/>
          <w:rFonts w:eastAsia="PMingLiU"/>
          <w:rtl/>
          <w:lang w:val="fr-CH"/>
        </w:rPr>
        <w:footnoteReference w:id="162"/>
      </w:r>
      <w:r w:rsidRPr="00D33EF0">
        <w:rPr>
          <w:rFonts w:cs="Simplified Arabic"/>
          <w:rtl/>
          <w:lang w:val="fr-CH"/>
        </w:rPr>
        <w:t xml:space="preserve"> </w:t>
      </w:r>
      <w:r w:rsidRPr="00D33EF0">
        <w:rPr>
          <w:rFonts w:cs="Simplified Arabic"/>
          <w:i/>
          <w:iCs/>
          <w:rtl/>
          <w:lang w:val="fr-CH"/>
        </w:rPr>
        <w:t>ويطلب</w:t>
      </w:r>
      <w:r w:rsidRPr="00D33EF0">
        <w:rPr>
          <w:rFonts w:cs="Simplified Arabic"/>
          <w:rtl/>
          <w:lang w:val="fr-CH"/>
        </w:rPr>
        <w:t xml:space="preserve"> إلى الأمينة التنفيذية أن تدرج التقارير الموجزة في مستودع المناطق البحرية المهمة إيكولوجيا أو بيولوجيا، وأن تقدمها إلى الجمعية العامة للأمم المتحدة وعملياتها ذات الصلة، وكذلك الأطراف والحكومات الأخرى والمنظمات الدولية ذات الصلة تمشيا مع الغرض والإجراءات المنصوص عليها في المقررات </w:t>
      </w:r>
      <w:hyperlink r:id="rId49" w:history="1">
        <w:r w:rsidRPr="00DC7152">
          <w:rPr>
            <w:rStyle w:val="Hyperlink"/>
            <w:rFonts w:cs="Simplified Arabic"/>
            <w:rtl/>
            <w:lang w:val="fr-CH"/>
          </w:rPr>
          <w:t>10/29</w:t>
        </w:r>
      </w:hyperlink>
      <w:r w:rsidRPr="00D33EF0">
        <w:rPr>
          <w:rFonts w:cs="Simplified Arabic"/>
          <w:rtl/>
          <w:lang w:val="fr-CH"/>
        </w:rPr>
        <w:t>، و</w:t>
      </w:r>
      <w:hyperlink r:id="rId50" w:history="1">
        <w:r w:rsidRPr="00DC7152">
          <w:rPr>
            <w:rStyle w:val="Hyperlink"/>
            <w:rFonts w:cs="Simplified Arabic"/>
            <w:rtl/>
            <w:lang w:val="fr-CH"/>
          </w:rPr>
          <w:t>11/17</w:t>
        </w:r>
      </w:hyperlink>
      <w:r w:rsidRPr="00D33EF0">
        <w:rPr>
          <w:rFonts w:cs="Simplified Arabic"/>
          <w:rtl/>
          <w:lang w:val="fr-CH"/>
        </w:rPr>
        <w:t>، و</w:t>
      </w:r>
      <w:hyperlink r:id="rId51" w:history="1">
        <w:r w:rsidRPr="00DC7152">
          <w:rPr>
            <w:rStyle w:val="Hyperlink"/>
            <w:rFonts w:cs="Simplified Arabic"/>
            <w:rtl/>
            <w:lang w:val="fr-CH"/>
          </w:rPr>
          <w:t>12/22</w:t>
        </w:r>
      </w:hyperlink>
      <w:r w:rsidRPr="00D33EF0">
        <w:rPr>
          <w:rFonts w:cs="Simplified Arabic"/>
          <w:rtl/>
          <w:lang w:val="fr-CH"/>
        </w:rPr>
        <w:t>، و</w:t>
      </w:r>
      <w:hyperlink r:id="rId52" w:history="1">
        <w:r w:rsidRPr="00DC7152">
          <w:rPr>
            <w:rStyle w:val="Hyperlink"/>
            <w:rFonts w:cs="Simplified Arabic"/>
            <w:rtl/>
            <w:lang w:val="fr-CH"/>
          </w:rPr>
          <w:t>13/12</w:t>
        </w:r>
      </w:hyperlink>
      <w:r w:rsidRPr="00D33EF0">
        <w:rPr>
          <w:rFonts w:cs="Simplified Arabic"/>
          <w:rtl/>
          <w:lang w:val="fr-CH"/>
        </w:rPr>
        <w:t>؛</w:t>
      </w:r>
      <w:bookmarkEnd w:id="25"/>
      <w:bookmarkEnd w:id="26"/>
    </w:p>
    <w:p w:rsidR="000A5DEA" w:rsidRPr="00D33EF0" w:rsidRDefault="000A5DEA" w:rsidP="00CD26C5">
      <w:pPr>
        <w:pStyle w:val="ListParagraph"/>
        <w:numPr>
          <w:ilvl w:val="2"/>
          <w:numId w:val="49"/>
        </w:numPr>
        <w:kinsoku w:val="0"/>
        <w:overflowPunct w:val="0"/>
        <w:autoSpaceDE w:val="0"/>
        <w:autoSpaceDN w:val="0"/>
        <w:bidi/>
        <w:spacing w:after="100" w:line="204" w:lineRule="auto"/>
        <w:ind w:left="0" w:firstLine="720"/>
        <w:rPr>
          <w:rFonts w:cs="Simplified Arabic"/>
          <w:snapToGrid w:val="0"/>
          <w:kern w:val="22"/>
          <w:lang w:val="fr-CH"/>
        </w:rPr>
      </w:pPr>
      <w:r w:rsidRPr="00D33EF0">
        <w:rPr>
          <w:rFonts w:cs="Simplified Arabic"/>
          <w:i/>
          <w:iCs/>
          <w:snapToGrid w:val="0"/>
          <w:kern w:val="22"/>
          <w:rtl/>
        </w:rPr>
        <w:t>يرحب أيضا</w:t>
      </w:r>
      <w:r w:rsidRPr="00D33EF0">
        <w:rPr>
          <w:rFonts w:cs="Simplified Arabic"/>
          <w:snapToGrid w:val="0"/>
          <w:kern w:val="22"/>
          <w:rtl/>
        </w:rPr>
        <w:t xml:space="preserve"> بتقرير حلقة عمل الخبراء لوضع خيارات لتعديل وصف المناطق البحرية </w:t>
      </w:r>
      <w:r w:rsidRPr="00D33EF0">
        <w:rPr>
          <w:rFonts w:cs="Simplified Arabic"/>
          <w:rtl/>
          <w:lang w:val="fr-CH"/>
        </w:rPr>
        <w:t>المناطق البحرية المهمة إيكولوجيا</w:t>
      </w:r>
      <w:r>
        <w:rPr>
          <w:rFonts w:cs="Simplified Arabic" w:hint="cs"/>
          <w:rtl/>
          <w:lang w:val="fr-CH"/>
        </w:rPr>
        <w:t>ً</w:t>
      </w:r>
      <w:r w:rsidRPr="00D33EF0">
        <w:rPr>
          <w:rFonts w:cs="Simplified Arabic"/>
          <w:rtl/>
          <w:lang w:val="fr-CH"/>
        </w:rPr>
        <w:t xml:space="preserve"> أو بيولوجيا</w:t>
      </w:r>
      <w:r>
        <w:rPr>
          <w:rFonts w:cs="Simplified Arabic" w:hint="cs"/>
          <w:rtl/>
          <w:lang w:val="fr-CH"/>
        </w:rPr>
        <w:t>ً</w:t>
      </w:r>
      <w:r w:rsidRPr="00D33EF0">
        <w:rPr>
          <w:rFonts w:cs="Simplified Arabic"/>
          <w:snapToGrid w:val="0"/>
          <w:kern w:val="22"/>
          <w:rtl/>
        </w:rPr>
        <w:t>، ووصف مناطق جديدة، و</w:t>
      </w:r>
      <w:r>
        <w:rPr>
          <w:rFonts w:cs="Simplified Arabic" w:hint="cs"/>
          <w:snapToGrid w:val="0"/>
          <w:kern w:val="22"/>
          <w:rtl/>
        </w:rPr>
        <w:t>ل</w:t>
      </w:r>
      <w:r w:rsidRPr="00D33EF0">
        <w:rPr>
          <w:rFonts w:cs="Simplified Arabic"/>
          <w:snapToGrid w:val="0"/>
          <w:kern w:val="22"/>
          <w:rtl/>
        </w:rPr>
        <w:t>تعزيز المصداقية والشفافية العلمية لهذه العملية،</w:t>
      </w:r>
      <w:r w:rsidRPr="00D33EF0">
        <w:rPr>
          <w:rStyle w:val="FootnoteReference"/>
          <w:rFonts w:eastAsia="PMingLiU"/>
          <w:snapToGrid w:val="0"/>
          <w:kern w:val="22"/>
          <w:rtl/>
        </w:rPr>
        <w:footnoteReference w:id="163"/>
      </w:r>
      <w:r w:rsidRPr="00D33EF0">
        <w:rPr>
          <w:rFonts w:cs="Simplified Arabic"/>
          <w:snapToGrid w:val="0"/>
          <w:kern w:val="22"/>
          <w:rtl/>
        </w:rPr>
        <w:t xml:space="preserve"> التي عقدت في برلين من 5 إلى 8 ديسمبر/كانون الأول 2017، </w:t>
      </w:r>
      <w:r w:rsidRPr="00D33EF0">
        <w:rPr>
          <w:rFonts w:cs="Simplified Arabic"/>
          <w:i/>
          <w:iCs/>
          <w:snapToGrid w:val="0"/>
          <w:kern w:val="22"/>
          <w:rtl/>
        </w:rPr>
        <w:t>و</w:t>
      </w:r>
      <w:r>
        <w:rPr>
          <w:rFonts w:cs="Simplified Arabic" w:hint="cs"/>
          <w:i/>
          <w:iCs/>
          <w:snapToGrid w:val="0"/>
          <w:kern w:val="22"/>
          <w:rtl/>
        </w:rPr>
        <w:t xml:space="preserve">يطلب </w:t>
      </w:r>
      <w:r>
        <w:rPr>
          <w:rFonts w:cs="Simplified Arabic" w:hint="cs"/>
          <w:snapToGrid w:val="0"/>
          <w:kern w:val="22"/>
          <w:rtl/>
        </w:rPr>
        <w:t>إلى الأمينة التنفيذية أن تحدد، رهنا بتوافر الموارد المالية، الخيارات لتعديل وصف</w:t>
      </w:r>
      <w:r w:rsidRPr="00510EED">
        <w:rPr>
          <w:rFonts w:cs="Simplified Arabic"/>
          <w:snapToGrid w:val="0"/>
          <w:kern w:val="22"/>
          <w:rtl/>
        </w:rPr>
        <w:t xml:space="preserve"> </w:t>
      </w:r>
      <w:r w:rsidRPr="00D33EF0">
        <w:rPr>
          <w:rFonts w:cs="Simplified Arabic"/>
          <w:snapToGrid w:val="0"/>
          <w:kern w:val="22"/>
          <w:rtl/>
        </w:rPr>
        <w:t xml:space="preserve">المناطق البحرية </w:t>
      </w:r>
      <w:r w:rsidRPr="00D33EF0">
        <w:rPr>
          <w:rFonts w:cs="Simplified Arabic"/>
          <w:rtl/>
          <w:lang w:val="fr-CH"/>
        </w:rPr>
        <w:t>المناطق البحرية المهمة إيكولوجيا</w:t>
      </w:r>
      <w:r>
        <w:rPr>
          <w:rFonts w:cs="Simplified Arabic" w:hint="cs"/>
          <w:rtl/>
          <w:lang w:val="fr-CH"/>
        </w:rPr>
        <w:t>ً</w:t>
      </w:r>
      <w:r w:rsidRPr="00D33EF0">
        <w:rPr>
          <w:rFonts w:cs="Simplified Arabic"/>
          <w:rtl/>
          <w:lang w:val="fr-CH"/>
        </w:rPr>
        <w:t xml:space="preserve"> أو بيولوجيا</w:t>
      </w:r>
      <w:r>
        <w:rPr>
          <w:rFonts w:cs="Simplified Arabic" w:hint="cs"/>
          <w:rtl/>
          <w:lang w:val="fr-CH"/>
        </w:rPr>
        <w:t>ً</w:t>
      </w:r>
      <w:r w:rsidRPr="00D33EF0">
        <w:rPr>
          <w:rFonts w:cs="Simplified Arabic"/>
          <w:snapToGrid w:val="0"/>
          <w:kern w:val="22"/>
          <w:rtl/>
        </w:rPr>
        <w:t>، ووصف مناطق جديدة، و</w:t>
      </w:r>
      <w:r>
        <w:rPr>
          <w:rFonts w:cs="Simplified Arabic" w:hint="cs"/>
          <w:snapToGrid w:val="0"/>
          <w:kern w:val="22"/>
          <w:rtl/>
        </w:rPr>
        <w:t>ل</w:t>
      </w:r>
      <w:r w:rsidRPr="00D33EF0">
        <w:rPr>
          <w:rFonts w:cs="Simplified Arabic"/>
          <w:snapToGrid w:val="0"/>
          <w:kern w:val="22"/>
          <w:rtl/>
        </w:rPr>
        <w:t>تعزيز المصداقية والشفافية العلمية لهذه العملية</w:t>
      </w:r>
      <w:r>
        <w:rPr>
          <w:rFonts w:cs="Simplified Arabic" w:hint="cs"/>
          <w:snapToGrid w:val="0"/>
          <w:kern w:val="22"/>
          <w:rtl/>
        </w:rPr>
        <w:t>، مع ملاحظة التقرير المذكور أعلاه والمرفق الثاني بهذا المقرر، وإلى تقديمهما إلى الهيئة الفرعية للمشورة العلمية والتقنية والتكنولوجية وإلى مؤتمر الأطراف للنظر فيمها، مع ملاحظة المرفق الثالث؛</w:t>
      </w:r>
    </w:p>
    <w:p w:rsidR="000A5DEA" w:rsidRPr="00FB5F9E" w:rsidRDefault="000A5DEA" w:rsidP="00CD26C5">
      <w:pPr>
        <w:pStyle w:val="ListParagraph"/>
        <w:numPr>
          <w:ilvl w:val="2"/>
          <w:numId w:val="49"/>
        </w:numPr>
        <w:kinsoku w:val="0"/>
        <w:overflowPunct w:val="0"/>
        <w:autoSpaceDE w:val="0"/>
        <w:autoSpaceDN w:val="0"/>
        <w:bidi/>
        <w:spacing w:after="100" w:line="204" w:lineRule="auto"/>
        <w:ind w:left="0" w:firstLine="720"/>
        <w:rPr>
          <w:rFonts w:cs="Simplified Arabic"/>
          <w:snapToGrid w:val="0"/>
          <w:kern w:val="22"/>
          <w:lang w:val="fr-CH"/>
        </w:rPr>
      </w:pPr>
      <w:r w:rsidRPr="008927B6">
        <w:rPr>
          <w:rFonts w:ascii="Simplified Arabic" w:hAnsi="Simplified Arabic" w:cs="Simplified Arabic"/>
          <w:i/>
          <w:iCs/>
          <w:rtl/>
        </w:rPr>
        <w:t xml:space="preserve">يدعو </w:t>
      </w:r>
      <w:r w:rsidRPr="008927B6">
        <w:rPr>
          <w:rFonts w:ascii="Simplified Arabic" w:hAnsi="Simplified Arabic" w:cs="Simplified Arabic"/>
          <w:rtl/>
        </w:rPr>
        <w:t xml:space="preserve">إلى مزيد من التعاون وتبادل المعلومات بين أمانة اتفاقية التنوع البيولوجي، ومنظمة الأغذية والزراعة للأمم المتحدة، والمنظمة البحرية الدولية والسلطة الدولية لقاع البحار وكذلك هيئات مصايد الأسماك الإقليمية واتفاقيات وخطط عمل البحار الإقليمية وغيرها من المنظمات الدولية ذات الصلة فيما يتعلق باستخدام المعلومات العلمية </w:t>
      </w:r>
      <w:r>
        <w:rPr>
          <w:rFonts w:ascii="Simplified Arabic" w:hAnsi="Simplified Arabic" w:cs="Simplified Arabic" w:hint="cs"/>
          <w:rtl/>
        </w:rPr>
        <w:t xml:space="preserve">عن الخصائص الإيكولوجية والبيولوجية </w:t>
      </w:r>
      <w:r w:rsidRPr="008927B6">
        <w:rPr>
          <w:rFonts w:ascii="Simplified Arabic" w:hAnsi="Simplified Arabic" w:cs="Simplified Arabic"/>
          <w:rtl/>
        </w:rPr>
        <w:t>المتعلقة بالمناطق البحرية المهمة إيكولوجيا</w:t>
      </w:r>
      <w:r>
        <w:rPr>
          <w:rFonts w:ascii="Simplified Arabic" w:hAnsi="Simplified Arabic" w:cs="Simplified Arabic" w:hint="cs"/>
          <w:rtl/>
        </w:rPr>
        <w:t>ً</w:t>
      </w:r>
      <w:r w:rsidRPr="008927B6">
        <w:rPr>
          <w:rFonts w:ascii="Simplified Arabic" w:hAnsi="Simplified Arabic" w:cs="Simplified Arabic"/>
          <w:rtl/>
        </w:rPr>
        <w:t xml:space="preserve"> أو بيولوجيا</w:t>
      </w:r>
      <w:r>
        <w:rPr>
          <w:rFonts w:ascii="Simplified Arabic" w:hAnsi="Simplified Arabic" w:cs="Simplified Arabic" w:hint="cs"/>
          <w:rtl/>
        </w:rPr>
        <w:t>ً</w:t>
      </w:r>
      <w:r w:rsidRPr="008927B6">
        <w:rPr>
          <w:rFonts w:ascii="Simplified Arabic" w:hAnsi="Simplified Arabic" w:cs="Simplified Arabic"/>
          <w:rtl/>
        </w:rPr>
        <w:t xml:space="preserve"> </w:t>
      </w:r>
      <w:r>
        <w:rPr>
          <w:rFonts w:ascii="Simplified Arabic" w:hAnsi="Simplified Arabic" w:cs="Simplified Arabic" w:hint="cs"/>
          <w:rtl/>
        </w:rPr>
        <w:t>كإحدى ال</w:t>
      </w:r>
      <w:r w:rsidRPr="008927B6">
        <w:rPr>
          <w:rFonts w:ascii="Simplified Arabic" w:hAnsi="Simplified Arabic" w:cs="Simplified Arabic" w:hint="cs"/>
          <w:rtl/>
        </w:rPr>
        <w:t>وثائق الأساسية للمعلومات التي يمكن استخدامها</w:t>
      </w:r>
      <w:r>
        <w:rPr>
          <w:rFonts w:ascii="Simplified Arabic" w:hAnsi="Simplified Arabic" w:cs="Simplified Arabic" w:hint="cs"/>
          <w:rtl/>
        </w:rPr>
        <w:t>، ضمن جملة أمور للإرشادات بخصوص</w:t>
      </w:r>
      <w:r w:rsidRPr="008927B6">
        <w:rPr>
          <w:rFonts w:ascii="Simplified Arabic" w:hAnsi="Simplified Arabic" w:cs="Simplified Arabic" w:hint="cs"/>
          <w:rtl/>
        </w:rPr>
        <w:t xml:space="preserve"> </w:t>
      </w:r>
      <w:r w:rsidRPr="008927B6">
        <w:rPr>
          <w:rFonts w:ascii="Simplified Arabic" w:hAnsi="Simplified Arabic" w:cs="Simplified Arabic"/>
          <w:rtl/>
        </w:rPr>
        <w:t xml:space="preserve">أدوات الإدارة </w:t>
      </w:r>
      <w:r w:rsidRPr="008927B6">
        <w:rPr>
          <w:rFonts w:ascii="Simplified Arabic" w:hAnsi="Simplified Arabic" w:cs="Simplified Arabic" w:hint="cs"/>
          <w:rtl/>
        </w:rPr>
        <w:t>القائمة على أساس</w:t>
      </w:r>
      <w:r>
        <w:rPr>
          <w:rFonts w:ascii="Simplified Arabic" w:hAnsi="Simplified Arabic" w:cs="Simplified Arabic"/>
          <w:rtl/>
        </w:rPr>
        <w:t xml:space="preserve"> المناطق</w:t>
      </w:r>
      <w:r w:rsidRPr="008927B6">
        <w:rPr>
          <w:rFonts w:ascii="Simplified Arabic" w:hAnsi="Simplified Arabic" w:cs="Simplified Arabic"/>
          <w:rtl/>
        </w:rPr>
        <w:t>، بهدف المساهمة في تحقيق أهداف أيشي للتنوع البيولوجي وأهداف التنمية المستدامة ذات الصلة؛</w:t>
      </w:r>
    </w:p>
    <w:p w:rsidR="000A5DEA" w:rsidRPr="00FB5F9E" w:rsidRDefault="000A5DEA" w:rsidP="00CD26C5">
      <w:pPr>
        <w:pStyle w:val="ListParagraph"/>
        <w:numPr>
          <w:ilvl w:val="2"/>
          <w:numId w:val="49"/>
        </w:numPr>
        <w:kinsoku w:val="0"/>
        <w:overflowPunct w:val="0"/>
        <w:autoSpaceDE w:val="0"/>
        <w:autoSpaceDN w:val="0"/>
        <w:bidi/>
        <w:spacing w:after="100" w:line="204" w:lineRule="auto"/>
        <w:ind w:left="0" w:firstLine="720"/>
        <w:rPr>
          <w:rFonts w:cs="Simplified Arabic"/>
          <w:snapToGrid w:val="0"/>
          <w:kern w:val="22"/>
          <w:lang w:val="fr-CH"/>
        </w:rPr>
      </w:pPr>
      <w:r w:rsidRPr="008927B6">
        <w:rPr>
          <w:rFonts w:cs="Simplified Arabic" w:hint="cs"/>
          <w:i/>
          <w:iCs/>
          <w:snapToGrid w:val="0"/>
          <w:kern w:val="22"/>
          <w:rtl/>
        </w:rPr>
        <w:lastRenderedPageBreak/>
        <w:t>ي</w:t>
      </w:r>
      <w:r>
        <w:rPr>
          <w:rFonts w:cs="Simplified Arabic" w:hint="cs"/>
          <w:i/>
          <w:iCs/>
          <w:snapToGrid w:val="0"/>
          <w:kern w:val="22"/>
          <w:rtl/>
        </w:rPr>
        <w:t>دعو</w:t>
      </w:r>
      <w:r>
        <w:rPr>
          <w:rFonts w:cs="Simplified Arabic" w:hint="cs"/>
          <w:snapToGrid w:val="0"/>
          <w:kern w:val="22"/>
          <w:rtl/>
        </w:rPr>
        <w:t xml:space="preserve"> الأطراف على تقديم أوصاف المناطق التي تستوفي معايير المناطق البحرية المهمة إيكولوجيا أو بيولوجيا في شمال شرق الأطلسي؛</w:t>
      </w:r>
    </w:p>
    <w:p w:rsidR="000A5DEA" w:rsidRPr="00FB5F9E" w:rsidRDefault="000A5DEA" w:rsidP="00CD26C5">
      <w:pPr>
        <w:pStyle w:val="ListParagraph"/>
        <w:numPr>
          <w:ilvl w:val="2"/>
          <w:numId w:val="49"/>
        </w:numPr>
        <w:kinsoku w:val="0"/>
        <w:overflowPunct w:val="0"/>
        <w:autoSpaceDE w:val="0"/>
        <w:autoSpaceDN w:val="0"/>
        <w:bidi/>
        <w:spacing w:after="100" w:line="204" w:lineRule="auto"/>
        <w:ind w:left="0" w:firstLine="720"/>
        <w:rPr>
          <w:rFonts w:cs="Simplified Arabic"/>
          <w:snapToGrid w:val="0"/>
          <w:kern w:val="22"/>
          <w:lang w:val="fr-CH"/>
        </w:rPr>
      </w:pPr>
      <w:r w:rsidRPr="00826817">
        <w:rPr>
          <w:rFonts w:cs="Simplified Arabic" w:hint="cs"/>
          <w:i/>
          <w:iCs/>
          <w:snapToGrid w:val="0"/>
          <w:kern w:val="22"/>
          <w:rtl/>
        </w:rPr>
        <w:t xml:space="preserve">يعيد التأكيد </w:t>
      </w:r>
      <w:r w:rsidRPr="00826817">
        <w:rPr>
          <w:rFonts w:cs="Simplified Arabic" w:hint="cs"/>
          <w:snapToGrid w:val="0"/>
          <w:kern w:val="22"/>
          <w:rtl/>
        </w:rPr>
        <w:t xml:space="preserve">على أن المقرر الحالي </w:t>
      </w:r>
      <w:r>
        <w:rPr>
          <w:rFonts w:cs="Simplified Arabic" w:hint="cs"/>
          <w:snapToGrid w:val="0"/>
          <w:kern w:val="22"/>
          <w:rtl/>
        </w:rPr>
        <w:t>هو عملية علمية وتقنية بحتة</w:t>
      </w:r>
      <w:r w:rsidRPr="00826817">
        <w:rPr>
          <w:rFonts w:cs="Simplified Arabic" w:hint="cs"/>
          <w:snapToGrid w:val="0"/>
          <w:kern w:val="22"/>
          <w:rtl/>
        </w:rPr>
        <w:t xml:space="preserve"> </w:t>
      </w:r>
      <w:r>
        <w:rPr>
          <w:rFonts w:cs="Simplified Arabic" w:hint="cs"/>
          <w:snapToGrid w:val="0"/>
          <w:kern w:val="22"/>
          <w:rtl/>
        </w:rPr>
        <w:t>و</w:t>
      </w:r>
      <w:r w:rsidRPr="00826817">
        <w:rPr>
          <w:rFonts w:cs="Simplified Arabic" w:hint="cs"/>
          <w:snapToGrid w:val="0"/>
          <w:kern w:val="22"/>
          <w:rtl/>
        </w:rPr>
        <w:t xml:space="preserve">سيكون </w:t>
      </w:r>
      <w:r>
        <w:rPr>
          <w:rFonts w:cs="Simplified Arabic" w:hint="cs"/>
          <w:snapToGrid w:val="0"/>
          <w:kern w:val="22"/>
          <w:rtl/>
        </w:rPr>
        <w:t xml:space="preserve">تنفيذه </w:t>
      </w:r>
      <w:r w:rsidRPr="00826817">
        <w:rPr>
          <w:rFonts w:cs="Simplified Arabic" w:hint="cs"/>
          <w:snapToGrid w:val="0"/>
          <w:kern w:val="22"/>
          <w:rtl/>
        </w:rPr>
        <w:t>دون المساس بالوضع ال</w:t>
      </w:r>
      <w:r>
        <w:rPr>
          <w:rFonts w:cs="Simplified Arabic" w:hint="cs"/>
          <w:snapToGrid w:val="0"/>
          <w:kern w:val="22"/>
          <w:rtl/>
        </w:rPr>
        <w:t>قانون</w:t>
      </w:r>
      <w:r w:rsidRPr="00826817">
        <w:rPr>
          <w:rFonts w:cs="Simplified Arabic" w:hint="cs"/>
          <w:snapToGrid w:val="0"/>
          <w:kern w:val="22"/>
          <w:rtl/>
        </w:rPr>
        <w:t>ي لأي بلد، أو إقليم أو مدينة أو منطقة أو لسلطات أي منها، أو بخصوص تعيين تخومها أو حدودها، ولا تترتب عليه آثار اقتصادية أو قانونية.</w:t>
      </w:r>
    </w:p>
    <w:p w:rsidR="000A5DEA" w:rsidRDefault="000A5DEA" w:rsidP="000A5DEA">
      <w:pPr>
        <w:bidi w:val="0"/>
        <w:rPr>
          <w:i/>
          <w:iCs/>
          <w:snapToGrid w:val="0"/>
          <w:kern w:val="22"/>
          <w:rtl/>
        </w:rPr>
      </w:pPr>
      <w:r>
        <w:rPr>
          <w:i/>
          <w:iCs/>
          <w:snapToGrid w:val="0"/>
          <w:kern w:val="22"/>
          <w:rtl/>
        </w:rPr>
        <w:br w:type="page"/>
      </w:r>
    </w:p>
    <w:p w:rsidR="000A5DEA" w:rsidRPr="00E34281" w:rsidRDefault="000A5DEA" w:rsidP="000A5DEA">
      <w:pPr>
        <w:kinsoku w:val="0"/>
        <w:overflowPunct w:val="0"/>
        <w:autoSpaceDE w:val="0"/>
        <w:autoSpaceDN w:val="0"/>
        <w:spacing w:after="100" w:line="204" w:lineRule="auto"/>
        <w:jc w:val="center"/>
        <w:rPr>
          <w:i/>
          <w:iCs/>
          <w:snapToGrid w:val="0"/>
          <w:kern w:val="22"/>
        </w:rPr>
      </w:pPr>
      <w:r>
        <w:rPr>
          <w:rFonts w:hint="cs"/>
          <w:i/>
          <w:iCs/>
          <w:snapToGrid w:val="0"/>
          <w:kern w:val="22"/>
          <w:rtl/>
        </w:rPr>
        <w:lastRenderedPageBreak/>
        <w:t>المرفق الأول</w:t>
      </w:r>
    </w:p>
    <w:p w:rsidR="000A5DEA" w:rsidRPr="00D33EF0" w:rsidRDefault="000A5DEA" w:rsidP="00B55747">
      <w:pPr>
        <w:spacing w:after="0" w:line="204" w:lineRule="auto"/>
        <w:jc w:val="center"/>
        <w:rPr>
          <w:b/>
          <w:bCs/>
          <w:rtl/>
        </w:rPr>
      </w:pPr>
      <w:r w:rsidRPr="00D33EF0">
        <w:rPr>
          <w:rFonts w:hint="cs"/>
          <w:b/>
          <w:bCs/>
          <w:rtl/>
        </w:rPr>
        <w:t>تقرير موجز عن وصف المناطق التي تستوفي المعايير</w:t>
      </w:r>
    </w:p>
    <w:p w:rsidR="000A5DEA" w:rsidRPr="00D33EF0" w:rsidRDefault="000A5DEA" w:rsidP="000A5DEA">
      <w:pPr>
        <w:spacing w:after="100" w:line="204" w:lineRule="auto"/>
        <w:jc w:val="center"/>
        <w:rPr>
          <w:b/>
          <w:bCs/>
          <w:rtl/>
        </w:rPr>
      </w:pPr>
      <w:r w:rsidRPr="00D33EF0">
        <w:rPr>
          <w:rFonts w:hint="cs"/>
          <w:b/>
          <w:bCs/>
          <w:rtl/>
        </w:rPr>
        <w:t>العلمية للمناطق البحرية المهمة إيكولوجياً أو بيولوجياً</w:t>
      </w:r>
    </w:p>
    <w:p w:rsidR="000A5DEA" w:rsidRPr="00D33EF0" w:rsidRDefault="000A5DEA" w:rsidP="000A5DEA">
      <w:pPr>
        <w:spacing w:after="100" w:line="204" w:lineRule="auto"/>
        <w:jc w:val="center"/>
        <w:rPr>
          <w:b/>
          <w:bCs/>
          <w:rtl/>
        </w:rPr>
      </w:pPr>
      <w:r w:rsidRPr="00D33EF0">
        <w:rPr>
          <w:rFonts w:hint="cs"/>
          <w:b/>
          <w:bCs/>
          <w:rtl/>
        </w:rPr>
        <w:t>معلومات أساسية</w:t>
      </w:r>
    </w:p>
    <w:p w:rsidR="000A5DEA" w:rsidRPr="00D33EF0" w:rsidRDefault="000A5DEA" w:rsidP="00CD26C5">
      <w:pPr>
        <w:numPr>
          <w:ilvl w:val="0"/>
          <w:numId w:val="94"/>
        </w:numPr>
        <w:spacing w:after="100" w:line="204" w:lineRule="auto"/>
        <w:rPr>
          <w:rStyle w:val="hps"/>
        </w:rPr>
      </w:pPr>
      <w:r w:rsidRPr="00D33EF0">
        <w:rPr>
          <w:rtl/>
        </w:rPr>
        <w:t xml:space="preserve">عملاً بالفقرة 36 من المقرر </w:t>
      </w:r>
      <w:hyperlink r:id="rId53" w:history="1">
        <w:r w:rsidRPr="00E34281">
          <w:rPr>
            <w:rStyle w:val="Hyperlink"/>
            <w:kern w:val="22"/>
            <w:rtl/>
            <w:lang w:eastAsia="en-GB"/>
          </w:rPr>
          <w:t>10/29</w:t>
        </w:r>
      </w:hyperlink>
      <w:r w:rsidRPr="00D33EF0">
        <w:rPr>
          <w:rtl/>
        </w:rPr>
        <w:t xml:space="preserve">، والفقرة 12 من المقرر </w:t>
      </w:r>
      <w:hyperlink r:id="rId54" w:history="1">
        <w:r w:rsidRPr="00E34281">
          <w:rPr>
            <w:rStyle w:val="Hyperlink"/>
            <w:rFonts w:hint="cs"/>
            <w:kern w:val="22"/>
            <w:rtl/>
            <w:lang w:eastAsia="en-GB"/>
          </w:rPr>
          <w:t>11/17</w:t>
        </w:r>
      </w:hyperlink>
      <w:r w:rsidRPr="00D33EF0">
        <w:rPr>
          <w:rtl/>
        </w:rPr>
        <w:t xml:space="preserve"> والفقرة 6 من المقرر </w:t>
      </w:r>
      <w:hyperlink r:id="rId55" w:history="1">
        <w:r w:rsidRPr="00E34281">
          <w:rPr>
            <w:rStyle w:val="Hyperlink"/>
            <w:rFonts w:hint="cs"/>
            <w:kern w:val="22"/>
            <w:rtl/>
            <w:lang w:eastAsia="en-GB"/>
          </w:rPr>
          <w:t>12/22</w:t>
        </w:r>
      </w:hyperlink>
      <w:r w:rsidRPr="00D33EF0">
        <w:rPr>
          <w:rtl/>
        </w:rPr>
        <w:t xml:space="preserve">، والفقرة 8 من المقرر </w:t>
      </w:r>
      <w:hyperlink r:id="rId56" w:history="1">
        <w:r w:rsidRPr="00E34281">
          <w:rPr>
            <w:rStyle w:val="Hyperlink"/>
            <w:rFonts w:hint="cs"/>
            <w:kern w:val="22"/>
            <w:rtl/>
            <w:lang w:eastAsia="en-GB"/>
          </w:rPr>
          <w:t>13/12</w:t>
        </w:r>
      </w:hyperlink>
      <w:r w:rsidRPr="00D33EF0">
        <w:rPr>
          <w:rtl/>
        </w:rPr>
        <w:t xml:space="preserve">، </w:t>
      </w:r>
      <w:r w:rsidRPr="00D33EF0">
        <w:rPr>
          <w:rStyle w:val="hps"/>
          <w:rtl/>
        </w:rPr>
        <w:t>عقدت الأمينة التنفيذي</w:t>
      </w:r>
      <w:r w:rsidRPr="00D33EF0">
        <w:rPr>
          <w:rStyle w:val="hps"/>
          <w:rFonts w:hint="cs"/>
          <w:rtl/>
        </w:rPr>
        <w:t>ة</w:t>
      </w:r>
      <w:r w:rsidRPr="00D33EF0">
        <w:rPr>
          <w:rStyle w:val="hps"/>
          <w:rtl/>
        </w:rPr>
        <w:t xml:space="preserve"> لاتفاقية التنوع البيولوجي </w:t>
      </w:r>
      <w:r w:rsidRPr="00D33EF0">
        <w:rPr>
          <w:rtl/>
        </w:rPr>
        <w:t>حلقتي العمل الإقليميتين الإضافيتين التالية</w:t>
      </w:r>
      <w:r w:rsidRPr="00D33EF0">
        <w:rPr>
          <w:rStyle w:val="hps"/>
          <w:rtl/>
        </w:rPr>
        <w:t>:</w:t>
      </w:r>
    </w:p>
    <w:p w:rsidR="000A5DEA" w:rsidRPr="00D33EF0" w:rsidRDefault="000A5DEA" w:rsidP="000A5DEA">
      <w:pPr>
        <w:spacing w:before="120" w:after="100" w:line="204" w:lineRule="auto"/>
        <w:ind w:firstLine="720"/>
      </w:pPr>
      <w:r w:rsidRPr="00D33EF0">
        <w:rPr>
          <w:rtl/>
        </w:rPr>
        <w:t>(أ)</w:t>
      </w:r>
      <w:r w:rsidRPr="00D33EF0">
        <w:rPr>
          <w:rtl/>
        </w:rPr>
        <w:tab/>
      </w:r>
      <w:r w:rsidRPr="00D33EF0">
        <w:rPr>
          <w:rFonts w:hint="cs"/>
          <w:rtl/>
        </w:rPr>
        <w:t>البحر الأسود وبحر قزوين</w:t>
      </w:r>
      <w:r w:rsidRPr="00D33EF0">
        <w:rPr>
          <w:rtl/>
        </w:rPr>
        <w:t xml:space="preserve"> (</w:t>
      </w:r>
      <w:r w:rsidRPr="00D33EF0">
        <w:rPr>
          <w:rFonts w:hint="cs"/>
          <w:rtl/>
        </w:rPr>
        <w:t>باكو</w:t>
      </w:r>
      <w:r w:rsidRPr="00D33EF0">
        <w:rPr>
          <w:rtl/>
        </w:rPr>
        <w:t xml:space="preserve">، </w:t>
      </w:r>
      <w:r w:rsidRPr="00D33EF0">
        <w:rPr>
          <w:rFonts w:hint="cs"/>
          <w:rtl/>
        </w:rPr>
        <w:t>من 24 إلى 29 نيسان/أبريل</w:t>
      </w:r>
      <w:r w:rsidRPr="00D33EF0">
        <w:rPr>
          <w:rtl/>
        </w:rPr>
        <w:t xml:space="preserve"> 201</w:t>
      </w:r>
      <w:r w:rsidRPr="00D33EF0">
        <w:rPr>
          <w:rFonts w:hint="cs"/>
          <w:rtl/>
        </w:rPr>
        <w:t>7</w:t>
      </w:r>
      <w:r w:rsidRPr="00D33EF0">
        <w:rPr>
          <w:rtl/>
        </w:rPr>
        <w:t>)؛</w:t>
      </w:r>
      <w:r w:rsidRPr="00D33EF0">
        <w:rPr>
          <w:rStyle w:val="FootnoteReference"/>
          <w:rtl/>
        </w:rPr>
        <w:footnoteReference w:id="164"/>
      </w:r>
    </w:p>
    <w:p w:rsidR="000A5DEA" w:rsidRPr="00D33EF0" w:rsidRDefault="000A5DEA" w:rsidP="000A5DEA">
      <w:pPr>
        <w:spacing w:after="100" w:line="204" w:lineRule="auto"/>
        <w:ind w:firstLine="720"/>
        <w:rPr>
          <w:rtl/>
        </w:rPr>
      </w:pPr>
      <w:r w:rsidRPr="00D33EF0">
        <w:rPr>
          <w:rtl/>
        </w:rPr>
        <w:t>(ب)</w:t>
      </w:r>
      <w:r w:rsidRPr="00D33EF0">
        <w:rPr>
          <w:rtl/>
        </w:rPr>
        <w:tab/>
      </w:r>
      <w:r w:rsidRPr="00D33EF0">
        <w:rPr>
          <w:rFonts w:hint="cs"/>
          <w:rtl/>
        </w:rPr>
        <w:t>بحر البلطيق</w:t>
      </w:r>
      <w:r w:rsidRPr="00D33EF0">
        <w:rPr>
          <w:rtl/>
        </w:rPr>
        <w:t xml:space="preserve"> (</w:t>
      </w:r>
      <w:r w:rsidRPr="00D33EF0">
        <w:rPr>
          <w:rFonts w:hint="cs"/>
          <w:rtl/>
        </w:rPr>
        <w:t>هلسنكي</w:t>
      </w:r>
      <w:r w:rsidRPr="00D33EF0">
        <w:rPr>
          <w:rtl/>
        </w:rPr>
        <w:t>،</w:t>
      </w:r>
      <w:r w:rsidRPr="00D33EF0">
        <w:rPr>
          <w:rFonts w:hint="cs"/>
          <w:rtl/>
        </w:rPr>
        <w:t xml:space="preserve"> من</w:t>
      </w:r>
      <w:r w:rsidRPr="00D33EF0">
        <w:rPr>
          <w:rtl/>
        </w:rPr>
        <w:t xml:space="preserve"> </w:t>
      </w:r>
      <w:r w:rsidRPr="00D33EF0">
        <w:rPr>
          <w:rFonts w:hint="cs"/>
          <w:rtl/>
        </w:rPr>
        <w:t>19 إلى 24 شباط/فبراير</w:t>
      </w:r>
      <w:r w:rsidRPr="00D33EF0">
        <w:rPr>
          <w:rtl/>
        </w:rPr>
        <w:t xml:space="preserve"> 201</w:t>
      </w:r>
      <w:r w:rsidRPr="00D33EF0">
        <w:rPr>
          <w:rFonts w:hint="cs"/>
          <w:rtl/>
        </w:rPr>
        <w:t>8</w:t>
      </w:r>
      <w:r w:rsidRPr="00D33EF0">
        <w:rPr>
          <w:rtl/>
        </w:rPr>
        <w:t>)؛</w:t>
      </w:r>
      <w:r w:rsidRPr="00D33EF0">
        <w:rPr>
          <w:rStyle w:val="FootnoteReference"/>
          <w:rtl/>
        </w:rPr>
        <w:footnoteReference w:id="165"/>
      </w:r>
    </w:p>
    <w:p w:rsidR="000A5DEA" w:rsidRPr="00D33EF0" w:rsidRDefault="000A5DEA" w:rsidP="00CD26C5">
      <w:pPr>
        <w:numPr>
          <w:ilvl w:val="0"/>
          <w:numId w:val="94"/>
        </w:numPr>
        <w:spacing w:after="100" w:line="204" w:lineRule="auto"/>
        <w:rPr>
          <w:rtl/>
        </w:rPr>
      </w:pPr>
      <w:r w:rsidRPr="00D33EF0">
        <w:rPr>
          <w:rFonts w:hint="cs"/>
          <w:rtl/>
        </w:rPr>
        <w:t xml:space="preserve">وعملاً بالفقرة 12 من المقرر 11/17، </w:t>
      </w:r>
      <w:r w:rsidRPr="00D33EF0">
        <w:rPr>
          <w:rStyle w:val="hps"/>
          <w:rFonts w:hint="cs"/>
          <w:rtl/>
        </w:rPr>
        <w:t>تُتاح</w:t>
      </w:r>
      <w:r w:rsidRPr="00D33EF0">
        <w:rPr>
          <w:rtl/>
        </w:rPr>
        <w:t xml:space="preserve"> </w:t>
      </w:r>
      <w:r w:rsidRPr="00D33EF0">
        <w:rPr>
          <w:rStyle w:val="hps"/>
          <w:rtl/>
        </w:rPr>
        <w:t>ملخص</w:t>
      </w:r>
      <w:r w:rsidRPr="00D33EF0">
        <w:rPr>
          <w:rStyle w:val="hps"/>
          <w:rFonts w:hint="cs"/>
          <w:rtl/>
        </w:rPr>
        <w:t>ات</w:t>
      </w:r>
      <w:r w:rsidRPr="00D33EF0">
        <w:rPr>
          <w:rtl/>
        </w:rPr>
        <w:t xml:space="preserve"> </w:t>
      </w:r>
      <w:r w:rsidRPr="00D33EF0">
        <w:rPr>
          <w:rStyle w:val="hps"/>
          <w:rFonts w:hint="cs"/>
          <w:rtl/>
        </w:rPr>
        <w:t>ب</w:t>
      </w:r>
      <w:r w:rsidRPr="00D33EF0">
        <w:rPr>
          <w:rStyle w:val="hps"/>
          <w:rtl/>
        </w:rPr>
        <w:t>نتائج</w:t>
      </w:r>
      <w:r w:rsidRPr="00D33EF0">
        <w:rPr>
          <w:rtl/>
        </w:rPr>
        <w:t xml:space="preserve"> </w:t>
      </w:r>
      <w:r w:rsidRPr="00D33EF0">
        <w:rPr>
          <w:rStyle w:val="hps"/>
          <w:rtl/>
        </w:rPr>
        <w:t>حلقات العمل الإقليمية هذه</w:t>
      </w:r>
      <w:r w:rsidRPr="00D33EF0">
        <w:rPr>
          <w:rtl/>
        </w:rPr>
        <w:t xml:space="preserve"> </w:t>
      </w:r>
      <w:r w:rsidRPr="00D33EF0">
        <w:rPr>
          <w:rStyle w:val="hps"/>
          <w:rtl/>
        </w:rPr>
        <w:t>في</w:t>
      </w:r>
      <w:r w:rsidRPr="00D33EF0">
        <w:rPr>
          <w:rtl/>
        </w:rPr>
        <w:t xml:space="preserve"> </w:t>
      </w:r>
      <w:r w:rsidRPr="00D33EF0">
        <w:rPr>
          <w:rStyle w:val="hps"/>
          <w:rtl/>
        </w:rPr>
        <w:t>الجداول</w:t>
      </w:r>
      <w:r w:rsidRPr="00D33EF0">
        <w:rPr>
          <w:rStyle w:val="hps"/>
          <w:rFonts w:hint="cs"/>
          <w:rtl/>
        </w:rPr>
        <w:t xml:space="preserve"> من </w:t>
      </w:r>
      <w:r w:rsidRPr="00D33EF0">
        <w:rPr>
          <w:rtl/>
        </w:rPr>
        <w:t xml:space="preserve"> </w:t>
      </w:r>
      <w:r w:rsidRPr="00D33EF0">
        <w:rPr>
          <w:rStyle w:val="hps"/>
          <w:rtl/>
        </w:rPr>
        <w:t>1-7</w:t>
      </w:r>
      <w:r w:rsidRPr="00D33EF0">
        <w:rPr>
          <w:rtl/>
        </w:rPr>
        <w:t xml:space="preserve"> </w:t>
      </w:r>
      <w:r w:rsidRPr="00D33EF0">
        <w:rPr>
          <w:rStyle w:val="hps"/>
          <w:rtl/>
        </w:rPr>
        <w:t>أدناه</w:t>
      </w:r>
      <w:r w:rsidRPr="00D33EF0">
        <w:rPr>
          <w:rtl/>
        </w:rPr>
        <w:t xml:space="preserve">، على التوالي، في حين </w:t>
      </w:r>
      <w:r w:rsidRPr="00D33EF0">
        <w:rPr>
          <w:rStyle w:val="hps"/>
          <w:rFonts w:hint="cs"/>
          <w:rtl/>
        </w:rPr>
        <w:t>يتاح</w:t>
      </w:r>
      <w:r w:rsidRPr="00D33EF0">
        <w:rPr>
          <w:rtl/>
        </w:rPr>
        <w:t xml:space="preserve"> </w:t>
      </w:r>
      <w:r w:rsidRPr="00D33EF0">
        <w:rPr>
          <w:rStyle w:val="hps"/>
          <w:rtl/>
        </w:rPr>
        <w:t>ال</w:t>
      </w:r>
      <w:r w:rsidRPr="00D33EF0">
        <w:rPr>
          <w:rStyle w:val="hps"/>
          <w:rFonts w:hint="cs"/>
          <w:rtl/>
        </w:rPr>
        <w:t>وصف</w:t>
      </w:r>
      <w:r w:rsidRPr="00D33EF0">
        <w:rPr>
          <w:rStyle w:val="hps"/>
          <w:rtl/>
        </w:rPr>
        <w:t xml:space="preserve"> الكامل لل</w:t>
      </w:r>
      <w:r w:rsidRPr="00D33EF0">
        <w:rPr>
          <w:rFonts w:hint="cs"/>
          <w:rtl/>
        </w:rPr>
        <w:t xml:space="preserve">كيفية التي تستوفي بها هذه المناطق </w:t>
      </w:r>
      <w:r w:rsidRPr="00D33EF0">
        <w:rPr>
          <w:rFonts w:hint="cs"/>
          <w:rtl/>
          <w:lang w:val="en-GB"/>
        </w:rPr>
        <w:t>معايير المناطق البحرية المهمة إيكولوجيا أو بيولوجيا،</w:t>
      </w:r>
      <w:r w:rsidRPr="00D33EF0">
        <w:rPr>
          <w:rtl/>
        </w:rPr>
        <w:t xml:space="preserve"> </w:t>
      </w:r>
      <w:r w:rsidRPr="00D33EF0">
        <w:rPr>
          <w:rStyle w:val="hps"/>
          <w:rtl/>
        </w:rPr>
        <w:t>في مرفقات</w:t>
      </w:r>
      <w:r w:rsidRPr="00D33EF0">
        <w:rPr>
          <w:rtl/>
        </w:rPr>
        <w:t xml:space="preserve"> </w:t>
      </w:r>
      <w:r w:rsidRPr="00D33EF0">
        <w:rPr>
          <w:rStyle w:val="hps"/>
          <w:rtl/>
        </w:rPr>
        <w:t>تقارير</w:t>
      </w:r>
      <w:r w:rsidRPr="00D33EF0">
        <w:rPr>
          <w:rtl/>
        </w:rPr>
        <w:t xml:space="preserve"> </w:t>
      </w:r>
      <w:r w:rsidRPr="00D33EF0">
        <w:rPr>
          <w:rStyle w:val="hps"/>
          <w:rFonts w:hint="cs"/>
          <w:rtl/>
        </w:rPr>
        <w:t>حلقات</w:t>
      </w:r>
      <w:r w:rsidRPr="00D33EF0">
        <w:rPr>
          <w:rStyle w:val="hps"/>
          <w:rtl/>
        </w:rPr>
        <w:t xml:space="preserve"> العمل</w:t>
      </w:r>
      <w:r w:rsidRPr="00D33EF0">
        <w:rPr>
          <w:rFonts w:hint="cs"/>
          <w:rtl/>
        </w:rPr>
        <w:t>.</w:t>
      </w:r>
    </w:p>
    <w:p w:rsidR="000A5DEA" w:rsidRPr="00E34281" w:rsidRDefault="000A5DEA" w:rsidP="00CD26C5">
      <w:pPr>
        <w:numPr>
          <w:ilvl w:val="0"/>
          <w:numId w:val="94"/>
        </w:numPr>
        <w:spacing w:after="100" w:line="204" w:lineRule="auto"/>
      </w:pPr>
      <w:r w:rsidRPr="00D33EF0">
        <w:rPr>
          <w:rFonts w:hint="cs"/>
          <w:rtl/>
        </w:rPr>
        <w:t>و</w:t>
      </w:r>
      <w:r w:rsidRPr="00D33EF0">
        <w:rPr>
          <w:rtl/>
        </w:rPr>
        <w:t xml:space="preserve">في </w:t>
      </w:r>
      <w:r w:rsidRPr="00D33EF0">
        <w:rPr>
          <w:rFonts w:hint="cs"/>
          <w:rtl/>
        </w:rPr>
        <w:t xml:space="preserve">الفقرة 26 من </w:t>
      </w:r>
      <w:r w:rsidRPr="00D33EF0">
        <w:rPr>
          <w:rtl/>
        </w:rPr>
        <w:t xml:space="preserve">المقرر </w:t>
      </w:r>
      <w:r w:rsidRPr="00D33EF0">
        <w:rPr>
          <w:rFonts w:hint="cs"/>
          <w:rtl/>
        </w:rPr>
        <w:t>10/29، ل</w:t>
      </w:r>
      <w:r w:rsidRPr="00D33EF0">
        <w:rPr>
          <w:rtl/>
        </w:rPr>
        <w:t xml:space="preserve">احظ مؤتمر الأطراف أن تطبيق معايير المناطق البحرية المهمة إيكولوجيا </w:t>
      </w:r>
      <w:r w:rsidRPr="00D33EF0">
        <w:rPr>
          <w:rFonts w:hint="cs"/>
          <w:rtl/>
        </w:rPr>
        <w:t>أ</w:t>
      </w:r>
      <w:r w:rsidRPr="00D33EF0">
        <w:rPr>
          <w:rtl/>
        </w:rPr>
        <w:t>و</w:t>
      </w:r>
      <w:r w:rsidRPr="00D33EF0">
        <w:rPr>
          <w:rFonts w:hint="cs"/>
          <w:rtl/>
        </w:rPr>
        <w:t xml:space="preserve"> </w:t>
      </w:r>
      <w:r w:rsidRPr="00D33EF0">
        <w:rPr>
          <w:rtl/>
        </w:rPr>
        <w:t>بيولوجيا</w:t>
      </w:r>
      <w:r w:rsidRPr="00D33EF0">
        <w:rPr>
          <w:rFonts w:hint="cs"/>
          <w:rtl/>
        </w:rPr>
        <w:t xml:space="preserve"> يشكل</w:t>
      </w:r>
      <w:r w:rsidRPr="00D33EF0">
        <w:rPr>
          <w:rtl/>
        </w:rPr>
        <w:t xml:space="preserve"> ممارسة علمية وتقنية، </w:t>
      </w:r>
      <w:r w:rsidRPr="00D33EF0">
        <w:rPr>
          <w:rFonts w:hint="cs"/>
          <w:rtl/>
        </w:rPr>
        <w:t>و</w:t>
      </w:r>
      <w:r w:rsidRPr="00D33EF0">
        <w:rPr>
          <w:rtl/>
        </w:rPr>
        <w:t xml:space="preserve">أن المناطق </w:t>
      </w:r>
      <w:r w:rsidRPr="00D33EF0">
        <w:rPr>
          <w:rFonts w:hint="cs"/>
          <w:rtl/>
        </w:rPr>
        <w:t>التي يخلص إلى أنها تستوفي</w:t>
      </w:r>
      <w:r w:rsidRPr="00D33EF0">
        <w:rPr>
          <w:rtl/>
        </w:rPr>
        <w:t xml:space="preserve"> المعايير قد تتطلب تدابير </w:t>
      </w:r>
      <w:r w:rsidRPr="00D33EF0">
        <w:rPr>
          <w:rFonts w:hint="cs"/>
          <w:rtl/>
        </w:rPr>
        <w:t>معززة ل</w:t>
      </w:r>
      <w:r w:rsidRPr="00D33EF0">
        <w:rPr>
          <w:rtl/>
        </w:rPr>
        <w:t>لحفظ والإدارة، و</w:t>
      </w:r>
      <w:r w:rsidRPr="00D33EF0">
        <w:rPr>
          <w:rFonts w:hint="cs"/>
          <w:rtl/>
        </w:rPr>
        <w:t>أنه يمكن تحقيق ذلك</w:t>
      </w:r>
      <w:r w:rsidRPr="00D33EF0">
        <w:rPr>
          <w:rtl/>
        </w:rPr>
        <w:t xml:space="preserve"> من خلال مجموعة متنوعة من الوسائل، بما في ذلك </w:t>
      </w:r>
      <w:r w:rsidRPr="00D33EF0">
        <w:rPr>
          <w:rFonts w:hint="cs"/>
          <w:rtl/>
        </w:rPr>
        <w:t xml:space="preserve">إنشاء </w:t>
      </w:r>
      <w:r w:rsidRPr="00D33EF0">
        <w:rPr>
          <w:rtl/>
        </w:rPr>
        <w:t>المناطق المحمية البحرية وتقييم الأثر</w:t>
      </w:r>
      <w:r w:rsidRPr="00D33EF0">
        <w:rPr>
          <w:rFonts w:hint="cs"/>
          <w:rtl/>
        </w:rPr>
        <w:t>.</w:t>
      </w:r>
      <w:r w:rsidRPr="00D33EF0">
        <w:rPr>
          <w:rtl/>
        </w:rPr>
        <w:t xml:space="preserve"> وشدد</w:t>
      </w:r>
      <w:r w:rsidRPr="00D33EF0">
        <w:rPr>
          <w:rFonts w:hint="cs"/>
          <w:rtl/>
        </w:rPr>
        <w:t xml:space="preserve"> مؤتمر الأطراف</w:t>
      </w:r>
      <w:r w:rsidRPr="00D33EF0">
        <w:rPr>
          <w:rtl/>
        </w:rPr>
        <w:t xml:space="preserve"> أيضا على أن تحديد المناطق </w:t>
      </w:r>
      <w:r w:rsidRPr="00D33EF0">
        <w:rPr>
          <w:rFonts w:hint="cs"/>
          <w:rtl/>
        </w:rPr>
        <w:t xml:space="preserve">البحرية </w:t>
      </w:r>
      <w:r w:rsidRPr="00D33EF0">
        <w:rPr>
          <w:rtl/>
        </w:rPr>
        <w:t xml:space="preserve">المهمة إيكولوجيا أو بيولوجيا واختيار تدابير الحفظ والإدارة من اختصاص الدول والمنظمات الحكومية الدولية المختصة، وفقا </w:t>
      </w:r>
      <w:r w:rsidRPr="00D33EF0">
        <w:rPr>
          <w:rFonts w:hint="cs"/>
          <w:rtl/>
        </w:rPr>
        <w:t>ل</w:t>
      </w:r>
      <w:r w:rsidRPr="00D33EF0">
        <w:rPr>
          <w:rtl/>
        </w:rPr>
        <w:t>لقانون</w:t>
      </w:r>
      <w:r w:rsidRPr="00D33EF0">
        <w:rPr>
          <w:rFonts w:hint="cs"/>
          <w:rtl/>
        </w:rPr>
        <w:t xml:space="preserve"> الدولي</w:t>
      </w:r>
      <w:r w:rsidRPr="00D33EF0">
        <w:rPr>
          <w:rtl/>
        </w:rPr>
        <w:t xml:space="preserve">، بما في ذلك اتفاقية الأمم المتحدة </w:t>
      </w:r>
      <w:r w:rsidRPr="00D33EF0">
        <w:rPr>
          <w:rFonts w:hint="cs"/>
          <w:rtl/>
        </w:rPr>
        <w:t>لقانون البحار.</w:t>
      </w:r>
      <w:r w:rsidRPr="00D33EF0">
        <w:rPr>
          <w:vertAlign w:val="superscript"/>
          <w:rtl/>
        </w:rPr>
        <w:footnoteReference w:id="166"/>
      </w:r>
    </w:p>
    <w:p w:rsidR="000A5DEA" w:rsidRPr="00E34281" w:rsidRDefault="000A5DEA" w:rsidP="00CD26C5">
      <w:pPr>
        <w:numPr>
          <w:ilvl w:val="0"/>
          <w:numId w:val="94"/>
        </w:numPr>
        <w:spacing w:after="100" w:line="204" w:lineRule="auto"/>
      </w:pPr>
      <w:r w:rsidRPr="00D33EF0">
        <w:rPr>
          <w:rFonts w:hint="cs"/>
          <w:rtl/>
        </w:rPr>
        <w:t xml:space="preserve">وليس في </w:t>
      </w:r>
      <w:r w:rsidRPr="00D33EF0">
        <w:rPr>
          <w:rtl/>
        </w:rPr>
        <w:t xml:space="preserve">وصف المناطق البحرية </w:t>
      </w:r>
      <w:r w:rsidRPr="00D33EF0">
        <w:rPr>
          <w:rFonts w:hint="cs"/>
          <w:rtl/>
        </w:rPr>
        <w:t>التي تستوفي معايير</w:t>
      </w:r>
      <w:r w:rsidRPr="00D33EF0">
        <w:rPr>
          <w:rtl/>
        </w:rPr>
        <w:t xml:space="preserve"> المناطق البحرية المهمة إيكولوجيا</w:t>
      </w:r>
      <w:r w:rsidRPr="00D33EF0">
        <w:rPr>
          <w:rFonts w:hint="cs"/>
          <w:rtl/>
        </w:rPr>
        <w:t>ً</w:t>
      </w:r>
      <w:r w:rsidRPr="00D33EF0">
        <w:rPr>
          <w:rtl/>
        </w:rPr>
        <w:t xml:space="preserve"> أو بيولوجيا</w:t>
      </w:r>
      <w:r w:rsidRPr="00D33EF0">
        <w:rPr>
          <w:rFonts w:hint="cs"/>
          <w:rtl/>
        </w:rPr>
        <w:t>ً ما يتضمن التعبير عن أي رأي كان بشأن الوضع القانوني لأي بلد أو إقليم أو مدينة أو منطقة أو لسلطات أي منها أو بشأن تعيين تخومها أو حدودها</w:t>
      </w:r>
      <w:r w:rsidRPr="00D33EF0">
        <w:t>.</w:t>
      </w:r>
      <w:r w:rsidRPr="00D33EF0">
        <w:rPr>
          <w:rFonts w:hint="cs"/>
          <w:rtl/>
        </w:rPr>
        <w:t xml:space="preserve"> و</w:t>
      </w:r>
      <w:r w:rsidRPr="00D33EF0">
        <w:rPr>
          <w:rtl/>
        </w:rPr>
        <w:t>لا تترتب عليه آثار اقتصادية أو قانونية</w:t>
      </w:r>
      <w:r w:rsidRPr="00D33EF0">
        <w:rPr>
          <w:rFonts w:hint="cs"/>
          <w:rtl/>
        </w:rPr>
        <w:t>؛</w:t>
      </w:r>
      <w:r w:rsidRPr="00D33EF0">
        <w:rPr>
          <w:rtl/>
        </w:rPr>
        <w:t xml:space="preserve"> </w:t>
      </w:r>
      <w:r w:rsidRPr="00D33EF0">
        <w:rPr>
          <w:rFonts w:hint="cs"/>
          <w:rtl/>
        </w:rPr>
        <w:t>وهو يشكل على وجه الدقة ممارسة</w:t>
      </w:r>
      <w:r w:rsidRPr="00D33EF0">
        <w:rPr>
          <w:rtl/>
        </w:rPr>
        <w:t xml:space="preserve"> علمية وتقنية</w:t>
      </w:r>
      <w:r>
        <w:rPr>
          <w:rFonts w:hint="cs"/>
          <w:rtl/>
        </w:rPr>
        <w:t>.</w:t>
      </w:r>
    </w:p>
    <w:p w:rsidR="000A5DEA" w:rsidRPr="00D33EF0" w:rsidRDefault="000A5DEA" w:rsidP="004B128E">
      <w:pPr>
        <w:spacing w:after="0"/>
        <w:rPr>
          <w:b/>
          <w:bCs/>
          <w:i/>
          <w:iCs/>
          <w:rtl/>
        </w:rPr>
      </w:pPr>
      <w:r w:rsidRPr="00D33EF0">
        <w:rPr>
          <w:rFonts w:hint="cs"/>
          <w:b/>
          <w:bCs/>
          <w:i/>
          <w:iCs/>
          <w:rtl/>
        </w:rPr>
        <w:t>المختصرات المستخدمة في الجداول</w:t>
      </w:r>
    </w:p>
    <w:tbl>
      <w:tblPr>
        <w:bidiVisual/>
        <w:tblW w:w="0" w:type="auto"/>
        <w:tblInd w:w="534" w:type="dxa"/>
        <w:tblBorders>
          <w:insideH w:val="single" w:sz="4" w:space="0" w:color="auto"/>
          <w:insideV w:val="single" w:sz="4" w:space="0" w:color="auto"/>
        </w:tblBorders>
        <w:tblLook w:val="04A0"/>
      </w:tblPr>
      <w:tblGrid>
        <w:gridCol w:w="3590"/>
        <w:gridCol w:w="5452"/>
      </w:tblGrid>
      <w:tr w:rsidR="000A5DEA" w:rsidRPr="00D33EF0" w:rsidTr="000A5DEA">
        <w:tc>
          <w:tcPr>
            <w:tcW w:w="3590" w:type="dxa"/>
            <w:shd w:val="clear" w:color="auto" w:fill="auto"/>
          </w:tcPr>
          <w:p w:rsidR="000A5DEA" w:rsidRPr="00D33EF0" w:rsidRDefault="000A5DEA" w:rsidP="000A5DEA">
            <w:pPr>
              <w:snapToGrid w:val="0"/>
              <w:spacing w:before="120"/>
              <w:rPr>
                <w:rFonts w:eastAsia="MS Mincho"/>
                <w:b/>
              </w:rPr>
            </w:pPr>
            <w:r w:rsidRPr="00D33EF0">
              <w:rPr>
                <w:rFonts w:eastAsia="MS Mincho"/>
                <w:b/>
                <w:rtl/>
              </w:rPr>
              <w:t>ترتيب معايير المناطق البحرية المهمة إيكولوجياً أو بيولوجياً</w:t>
            </w:r>
          </w:p>
          <w:p w:rsidR="000A5DEA" w:rsidRPr="00D33EF0" w:rsidRDefault="000A5DEA" w:rsidP="000A5DEA">
            <w:pPr>
              <w:snapToGrid w:val="0"/>
              <w:rPr>
                <w:rFonts w:eastAsia="MS Mincho"/>
                <w:b/>
              </w:rPr>
            </w:pPr>
            <w:r w:rsidRPr="00D33EF0">
              <w:rPr>
                <w:rFonts w:eastAsia="MS Mincho"/>
                <w:b/>
                <w:rtl/>
              </w:rPr>
              <w:t>درجة الأهمية</w:t>
            </w:r>
          </w:p>
          <w:p w:rsidR="000A5DEA" w:rsidRPr="00D33EF0" w:rsidRDefault="000A5DEA" w:rsidP="00CD66D2">
            <w:pPr>
              <w:snapToGrid w:val="0"/>
              <w:spacing w:after="0"/>
              <w:ind w:left="426"/>
              <w:rPr>
                <w:rFonts w:eastAsia="MS Mincho"/>
                <w:b/>
              </w:rPr>
            </w:pPr>
            <w:r w:rsidRPr="00D33EF0">
              <w:rPr>
                <w:rFonts w:eastAsia="MS Mincho"/>
                <w:b/>
              </w:rPr>
              <w:t xml:space="preserve">H </w:t>
            </w:r>
            <w:r w:rsidRPr="00D33EF0">
              <w:rPr>
                <w:rFonts w:eastAsia="MS Mincho"/>
                <w:b/>
                <w:rtl/>
              </w:rPr>
              <w:t xml:space="preserve">: </w:t>
            </w:r>
            <w:r w:rsidRPr="00D33EF0">
              <w:rPr>
                <w:rFonts w:eastAsia="MS Mincho"/>
                <w:bCs/>
                <w:rtl/>
              </w:rPr>
              <w:t>عالية</w:t>
            </w:r>
          </w:p>
          <w:p w:rsidR="000A5DEA" w:rsidRPr="00D33EF0" w:rsidRDefault="000A5DEA" w:rsidP="00CD66D2">
            <w:pPr>
              <w:snapToGrid w:val="0"/>
              <w:spacing w:after="0"/>
              <w:ind w:left="426"/>
              <w:rPr>
                <w:rFonts w:eastAsia="MS Mincho"/>
                <w:b/>
              </w:rPr>
            </w:pPr>
            <w:r w:rsidRPr="00D33EF0">
              <w:rPr>
                <w:rFonts w:eastAsia="MS Mincho"/>
                <w:b/>
              </w:rPr>
              <w:t>M</w:t>
            </w:r>
            <w:r w:rsidRPr="00D33EF0">
              <w:rPr>
                <w:rFonts w:eastAsia="MS Mincho"/>
                <w:b/>
                <w:rtl/>
              </w:rPr>
              <w:t xml:space="preserve">: </w:t>
            </w:r>
            <w:r w:rsidRPr="00D33EF0">
              <w:rPr>
                <w:rFonts w:eastAsia="MS Mincho"/>
                <w:bCs/>
                <w:rtl/>
              </w:rPr>
              <w:t>متوسطة</w:t>
            </w:r>
          </w:p>
          <w:p w:rsidR="000A5DEA" w:rsidRPr="00D33EF0" w:rsidRDefault="000A5DEA" w:rsidP="00CD66D2">
            <w:pPr>
              <w:snapToGrid w:val="0"/>
              <w:spacing w:after="0"/>
              <w:ind w:left="426"/>
              <w:rPr>
                <w:rFonts w:eastAsia="MS Mincho"/>
                <w:b/>
              </w:rPr>
            </w:pPr>
            <w:r w:rsidRPr="00D33EF0">
              <w:rPr>
                <w:rFonts w:eastAsia="MS Mincho"/>
                <w:b/>
              </w:rPr>
              <w:t xml:space="preserve">L </w:t>
            </w:r>
            <w:r w:rsidRPr="00D33EF0">
              <w:rPr>
                <w:rFonts w:eastAsia="MS Mincho"/>
                <w:bCs/>
                <w:rtl/>
              </w:rPr>
              <w:t>: منخفضة</w:t>
            </w:r>
          </w:p>
          <w:p w:rsidR="000A5DEA" w:rsidRPr="00D33EF0" w:rsidRDefault="000A5DEA" w:rsidP="00CD66D2">
            <w:pPr>
              <w:snapToGrid w:val="0"/>
              <w:spacing w:after="0"/>
              <w:ind w:left="425"/>
              <w:rPr>
                <w:rFonts w:eastAsia="MS Mincho"/>
                <w:b/>
              </w:rPr>
            </w:pPr>
            <w:r w:rsidRPr="00D33EF0">
              <w:rPr>
                <w:rFonts w:eastAsia="MS Mincho"/>
                <w:b/>
              </w:rPr>
              <w:t>-</w:t>
            </w:r>
            <w:r w:rsidRPr="00D33EF0">
              <w:rPr>
                <w:rFonts w:eastAsia="MS Mincho"/>
                <w:b/>
                <w:rtl/>
              </w:rPr>
              <w:t xml:space="preserve">: </w:t>
            </w:r>
            <w:r w:rsidRPr="00D33EF0">
              <w:rPr>
                <w:rFonts w:eastAsia="MS Mincho"/>
                <w:bCs/>
                <w:rtl/>
              </w:rPr>
              <w:t>لا توجد معلومات</w:t>
            </w:r>
          </w:p>
          <w:p w:rsidR="000A5DEA" w:rsidRPr="00D33EF0" w:rsidRDefault="000A5DEA" w:rsidP="00CD66D2">
            <w:pPr>
              <w:suppressAutoHyphens/>
              <w:snapToGrid w:val="0"/>
              <w:spacing w:after="0"/>
              <w:ind w:left="360"/>
              <w:rPr>
                <w:b/>
              </w:rPr>
            </w:pPr>
          </w:p>
        </w:tc>
        <w:tc>
          <w:tcPr>
            <w:tcW w:w="5452" w:type="dxa"/>
          </w:tcPr>
          <w:p w:rsidR="000A5DEA" w:rsidRPr="00D33EF0" w:rsidRDefault="000A5DEA" w:rsidP="000A5DEA">
            <w:pPr>
              <w:snapToGrid w:val="0"/>
              <w:spacing w:before="120"/>
              <w:rPr>
                <w:rFonts w:eastAsia="MS Mincho"/>
                <w:b/>
              </w:rPr>
            </w:pPr>
            <w:r w:rsidRPr="00D33EF0">
              <w:rPr>
                <w:rFonts w:eastAsia="MS Mincho"/>
                <w:b/>
                <w:rtl/>
              </w:rPr>
              <w:t>المعايير</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C1</w:t>
            </w:r>
            <w:r w:rsidRPr="00D33EF0">
              <w:rPr>
                <w:b/>
                <w:bCs/>
                <w:color w:val="000000"/>
                <w:rtl/>
              </w:rPr>
              <w:t xml:space="preserve">: </w:t>
            </w:r>
            <w:r w:rsidRPr="00D33EF0">
              <w:rPr>
                <w:color w:val="000000"/>
                <w:rtl/>
              </w:rPr>
              <w:t>فريدة أو نادرة</w:t>
            </w:r>
            <w:r w:rsidRPr="00D33EF0">
              <w:rPr>
                <w:bCs/>
                <w:color w:val="000000"/>
              </w:rPr>
              <w:t xml:space="preserve"> </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C2</w:t>
            </w:r>
            <w:r w:rsidRPr="00D33EF0">
              <w:rPr>
                <w:b/>
                <w:bCs/>
                <w:color w:val="000000"/>
                <w:rtl/>
              </w:rPr>
              <w:t xml:space="preserve">: </w:t>
            </w:r>
            <w:r w:rsidRPr="00D33EF0">
              <w:rPr>
                <w:color w:val="000000"/>
                <w:rtl/>
              </w:rPr>
              <w:t>أهمية خاصة لمراحل حياة الأنواع</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C3</w:t>
            </w:r>
            <w:r w:rsidRPr="00D33EF0">
              <w:rPr>
                <w:b/>
                <w:bCs/>
                <w:color w:val="000000"/>
                <w:rtl/>
              </w:rPr>
              <w:t>:</w:t>
            </w:r>
            <w:r w:rsidRPr="00D33EF0">
              <w:rPr>
                <w:color w:val="000000"/>
                <w:rtl/>
              </w:rPr>
              <w:t xml:space="preserve"> ال</w:t>
            </w:r>
            <w:r w:rsidRPr="00D33EF0">
              <w:rPr>
                <w:rStyle w:val="hps"/>
                <w:rtl/>
              </w:rPr>
              <w:t>أهمية بالنسبة إلى الأنواع و/أو الموائل المهددة</w:t>
            </w:r>
            <w:r w:rsidRPr="00D33EF0">
              <w:rPr>
                <w:rtl/>
              </w:rPr>
              <w:t xml:space="preserve"> </w:t>
            </w:r>
            <w:r w:rsidRPr="00D33EF0">
              <w:rPr>
                <w:rStyle w:val="hps"/>
                <w:rtl/>
              </w:rPr>
              <w:t>بالانقراض أو</w:t>
            </w:r>
            <w:r w:rsidRPr="00D33EF0">
              <w:rPr>
                <w:rtl/>
              </w:rPr>
              <w:t xml:space="preserve"> </w:t>
            </w:r>
            <w:r w:rsidRPr="00D33EF0">
              <w:rPr>
                <w:rStyle w:val="hps"/>
                <w:rtl/>
              </w:rPr>
              <w:t>المعرضة لخطر الانقراض أو انخفاض العدد</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C4</w:t>
            </w:r>
            <w:r w:rsidRPr="00D33EF0">
              <w:rPr>
                <w:b/>
                <w:bCs/>
                <w:color w:val="000000"/>
                <w:rtl/>
              </w:rPr>
              <w:t xml:space="preserve">: </w:t>
            </w:r>
            <w:r w:rsidRPr="00D33EF0">
              <w:rPr>
                <w:color w:val="000000"/>
                <w:rtl/>
              </w:rPr>
              <w:t>مدى</w:t>
            </w:r>
            <w:r w:rsidRPr="00D33EF0">
              <w:rPr>
                <w:b/>
                <w:bCs/>
                <w:color w:val="000000"/>
                <w:rtl/>
              </w:rPr>
              <w:t xml:space="preserve"> </w:t>
            </w:r>
            <w:r w:rsidRPr="00D33EF0">
              <w:rPr>
                <w:rStyle w:val="hps"/>
                <w:rtl/>
              </w:rPr>
              <w:t>الضعف</w:t>
            </w:r>
            <w:r w:rsidRPr="00D33EF0">
              <w:rPr>
                <w:rStyle w:val="shorttext"/>
                <w:rtl/>
              </w:rPr>
              <w:t xml:space="preserve"> أو الهشاشة أو الحساسية </w:t>
            </w:r>
            <w:r w:rsidRPr="00D33EF0">
              <w:rPr>
                <w:rStyle w:val="hps"/>
                <w:rtl/>
              </w:rPr>
              <w:t>أو</w:t>
            </w:r>
            <w:r w:rsidRPr="00D33EF0">
              <w:rPr>
                <w:rStyle w:val="shorttext"/>
                <w:rtl/>
              </w:rPr>
              <w:t xml:space="preserve"> بطء </w:t>
            </w:r>
            <w:r w:rsidRPr="00D33EF0">
              <w:rPr>
                <w:rStyle w:val="hps"/>
                <w:rtl/>
              </w:rPr>
              <w:t xml:space="preserve">الانتعاش </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C5</w:t>
            </w:r>
            <w:r w:rsidRPr="00D33EF0">
              <w:rPr>
                <w:b/>
                <w:bCs/>
                <w:color w:val="000000"/>
                <w:rtl/>
              </w:rPr>
              <w:t xml:space="preserve">: </w:t>
            </w:r>
            <w:r w:rsidRPr="00D33EF0">
              <w:rPr>
                <w:color w:val="000000"/>
                <w:rtl/>
              </w:rPr>
              <w:t>الانتاجية البيولوجية</w:t>
            </w:r>
          </w:p>
          <w:p w:rsidR="000A5DEA" w:rsidRPr="00D33EF0" w:rsidRDefault="000A5DEA" w:rsidP="00CD26C5">
            <w:pPr>
              <w:numPr>
                <w:ilvl w:val="0"/>
                <w:numId w:val="111"/>
              </w:numPr>
              <w:suppressAutoHyphens/>
              <w:snapToGrid w:val="0"/>
              <w:spacing w:after="0"/>
              <w:rPr>
                <w:bCs/>
                <w:color w:val="000000"/>
              </w:rPr>
            </w:pPr>
            <w:r w:rsidRPr="00D33EF0">
              <w:rPr>
                <w:b/>
                <w:bCs/>
                <w:color w:val="000000"/>
              </w:rPr>
              <w:t>C6</w:t>
            </w:r>
            <w:r w:rsidRPr="00D33EF0">
              <w:rPr>
                <w:b/>
                <w:bCs/>
                <w:color w:val="000000"/>
                <w:rtl/>
              </w:rPr>
              <w:t>:</w:t>
            </w:r>
            <w:r w:rsidRPr="00D33EF0">
              <w:rPr>
                <w:color w:val="000000"/>
                <w:rtl/>
              </w:rPr>
              <w:t xml:space="preserve"> التنوع البيولوجي</w:t>
            </w:r>
          </w:p>
          <w:p w:rsidR="000A5DEA" w:rsidRPr="00D33EF0" w:rsidRDefault="000A5DEA" w:rsidP="00CD26C5">
            <w:pPr>
              <w:numPr>
                <w:ilvl w:val="0"/>
                <w:numId w:val="111"/>
              </w:numPr>
              <w:snapToGrid w:val="0"/>
              <w:spacing w:after="0" w:line="240" w:lineRule="auto"/>
            </w:pPr>
            <w:r w:rsidRPr="00D33EF0">
              <w:rPr>
                <w:b/>
                <w:color w:val="000000"/>
              </w:rPr>
              <w:t>C7</w:t>
            </w:r>
            <w:r w:rsidRPr="00D33EF0">
              <w:rPr>
                <w:b/>
                <w:color w:val="000000"/>
                <w:rtl/>
              </w:rPr>
              <w:t>: الخصائص الطبيعية</w:t>
            </w:r>
          </w:p>
        </w:tc>
      </w:tr>
    </w:tbl>
    <w:p w:rsidR="000A5DEA" w:rsidRDefault="000A5DEA" w:rsidP="000A5DEA">
      <w:pPr>
        <w:pStyle w:val="ListParagraph"/>
        <w:bidi/>
        <w:spacing w:after="100" w:line="204" w:lineRule="auto"/>
        <w:ind w:left="0"/>
        <w:rPr>
          <w:rFonts w:cs="Simplified Arabic"/>
          <w:rtl/>
        </w:rPr>
        <w:sectPr w:rsidR="000A5DEA" w:rsidSect="000A5DEA">
          <w:headerReference w:type="even" r:id="rId57"/>
          <w:headerReference w:type="default" r:id="rId58"/>
          <w:footerReference w:type="even" r:id="rId59"/>
          <w:footerReference w:type="default" r:id="rId60"/>
          <w:headerReference w:type="first" r:id="rId61"/>
          <w:footerReference w:type="first" r:id="rId62"/>
          <w:type w:val="continuous"/>
          <w:pgSz w:w="12240" w:h="15840" w:code="1"/>
          <w:pgMar w:top="1008" w:right="1440" w:bottom="1008" w:left="1440" w:header="461" w:footer="720" w:gutter="0"/>
          <w:cols w:space="708"/>
          <w:titlePg/>
          <w:docGrid w:linePitch="360"/>
        </w:sectPr>
      </w:pPr>
    </w:p>
    <w:p w:rsidR="000A5DEA" w:rsidRPr="00D33EF0" w:rsidRDefault="000A5DEA" w:rsidP="000A5DEA">
      <w:pPr>
        <w:rPr>
          <w:bCs/>
          <w:szCs w:val="22"/>
          <w:rtl/>
        </w:rPr>
      </w:pPr>
      <w:r w:rsidRPr="00D33EF0">
        <w:rPr>
          <w:rFonts w:eastAsia="Times New Roman"/>
          <w:bCs/>
          <w:szCs w:val="22"/>
          <w:rtl/>
        </w:rPr>
        <w:lastRenderedPageBreak/>
        <w:t xml:space="preserve">الجدول 1- </w:t>
      </w:r>
      <w:r w:rsidRPr="00D33EF0">
        <w:rPr>
          <w:rFonts w:eastAsia="Times New Roman" w:hint="cs"/>
          <w:bCs/>
          <w:szCs w:val="22"/>
          <w:rtl/>
        </w:rPr>
        <w:t xml:space="preserve"> </w:t>
      </w:r>
      <w:bookmarkStart w:id="27" w:name="_Hlk511290520"/>
      <w:r w:rsidRPr="00D33EF0">
        <w:rPr>
          <w:rFonts w:eastAsia="Times New Roman" w:hint="cs"/>
          <w:bCs/>
          <w:szCs w:val="22"/>
          <w:rtl/>
        </w:rPr>
        <w:t xml:space="preserve">وصف المناطق التي تستوفي معايير </w:t>
      </w:r>
      <w:r w:rsidRPr="00D33EF0">
        <w:rPr>
          <w:rFonts w:hint="cs"/>
          <w:bCs/>
          <w:szCs w:val="22"/>
          <w:rtl/>
        </w:rPr>
        <w:t>المناطق البحرية المهمة إيكولوجياً أو بيولوجياً في البحر الأسود وبحر قزوين</w:t>
      </w:r>
    </w:p>
    <w:p w:rsidR="000A5DEA" w:rsidRPr="00D33EF0" w:rsidRDefault="000A5DEA" w:rsidP="000A5DEA">
      <w:pPr>
        <w:rPr>
          <w:szCs w:val="22"/>
          <w:rtl/>
        </w:rPr>
      </w:pPr>
      <w:r w:rsidRPr="00D33EF0">
        <w:rPr>
          <w:rFonts w:hint="cs"/>
          <w:szCs w:val="22"/>
          <w:rtl/>
        </w:rPr>
        <w:t>(</w:t>
      </w:r>
      <w:r w:rsidRPr="00D33EF0">
        <w:rPr>
          <w:i/>
          <w:iCs/>
          <w:szCs w:val="22"/>
          <w:rtl/>
          <w:lang w:val="en-GB"/>
        </w:rPr>
        <w:t>ترد التفاصيل في ال</w:t>
      </w:r>
      <w:r w:rsidRPr="00D33EF0">
        <w:rPr>
          <w:rFonts w:hint="cs"/>
          <w:i/>
          <w:iCs/>
          <w:szCs w:val="22"/>
          <w:rtl/>
          <w:lang w:val="en-GB"/>
        </w:rPr>
        <w:t>تذييل بالمرفق الخامس لتقرير حلقة العمل الإقليمية لتيسير وصف المناطق المهمة إيكولوجيا أو بيولوجيا في البحر الأسود وبحر قزوين</w:t>
      </w:r>
      <w:r w:rsidRPr="00D33EF0">
        <w:rPr>
          <w:rFonts w:hint="cs"/>
          <w:szCs w:val="22"/>
          <w:rtl/>
          <w:lang w:val="en-GB"/>
        </w:rPr>
        <w:t xml:space="preserve"> (</w:t>
      </w:r>
      <w:r w:rsidRPr="00D33EF0">
        <w:rPr>
          <w:kern w:val="22"/>
          <w:szCs w:val="22"/>
        </w:rPr>
        <w:t>CBD/EBSA/WS/2017/1/3</w:t>
      </w:r>
      <w:r w:rsidRPr="00D33EF0">
        <w:rPr>
          <w:rFonts w:hint="cs"/>
          <w:szCs w:val="22"/>
          <w:rtl/>
          <w:lang w:val="en-GB"/>
        </w:rPr>
        <w:t>)</w:t>
      </w:r>
      <w:r w:rsidRPr="00D33EF0">
        <w:rPr>
          <w:rFonts w:hint="cs"/>
          <w:szCs w:val="22"/>
          <w:rtl/>
        </w:rPr>
        <w:t>)</w:t>
      </w:r>
    </w:p>
    <w:bookmarkEnd w:id="27"/>
    <w:p w:rsidR="000A5DEA" w:rsidRDefault="000A5DEA" w:rsidP="000A5DEA">
      <w:pPr>
        <w:rPr>
          <w:rFonts w:eastAsia="Times New Roman"/>
          <w:b/>
          <w:szCs w:val="22"/>
          <w:rtl/>
        </w:rPr>
      </w:pPr>
    </w:p>
    <w:tbl>
      <w:tblPr>
        <w:bidiVisual/>
        <w:tblW w:w="1323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0A5DEA" w:rsidRPr="00E2695B" w:rsidTr="000A5DEA">
        <w:trPr>
          <w:trHeight w:val="264"/>
          <w:tblHeader/>
          <w:jc w:val="center"/>
        </w:trPr>
        <w:tc>
          <w:tcPr>
            <w:tcW w:w="9687" w:type="dxa"/>
            <w:vMerge w:val="restart"/>
            <w:shd w:val="clear" w:color="auto" w:fill="auto"/>
          </w:tcPr>
          <w:p w:rsidR="000A5DEA" w:rsidRPr="00E2695B" w:rsidRDefault="000A5DEA" w:rsidP="000A5DEA">
            <w:pPr>
              <w:snapToGrid w:val="0"/>
              <w:jc w:val="center"/>
              <w:rPr>
                <w:b/>
                <w:sz w:val="20"/>
                <w:szCs w:val="22"/>
              </w:rPr>
            </w:pPr>
            <w:r w:rsidRPr="00E2695B">
              <w:rPr>
                <w:rFonts w:hint="cs"/>
                <w:bCs/>
                <w:sz w:val="20"/>
                <w:szCs w:val="22"/>
                <w:rtl/>
                <w:lang w:val="en-GB"/>
              </w:rPr>
              <w:t>الموقع ووصف موجز للمناطق</w:t>
            </w:r>
            <w:r w:rsidRPr="00E2695B">
              <w:rPr>
                <w:rFonts w:eastAsia="MS Mincho"/>
                <w:b/>
                <w:sz w:val="20"/>
                <w:szCs w:val="22"/>
              </w:rPr>
              <w:t xml:space="preserve"> </w:t>
            </w:r>
          </w:p>
        </w:tc>
        <w:tc>
          <w:tcPr>
            <w:tcW w:w="506" w:type="dxa"/>
          </w:tcPr>
          <w:p w:rsidR="000A5DEA" w:rsidRPr="00E2695B" w:rsidRDefault="000A5DEA" w:rsidP="000A5DEA">
            <w:pPr>
              <w:snapToGrid w:val="0"/>
              <w:jc w:val="center"/>
              <w:rPr>
                <w:b/>
                <w:sz w:val="20"/>
                <w:szCs w:val="22"/>
              </w:rPr>
            </w:pPr>
            <w:r w:rsidRPr="00E2695B">
              <w:rPr>
                <w:b/>
                <w:sz w:val="20"/>
                <w:szCs w:val="22"/>
              </w:rPr>
              <w:t>C1</w:t>
            </w:r>
          </w:p>
        </w:tc>
        <w:tc>
          <w:tcPr>
            <w:tcW w:w="506" w:type="dxa"/>
          </w:tcPr>
          <w:p w:rsidR="000A5DEA" w:rsidRPr="00E2695B" w:rsidRDefault="000A5DEA" w:rsidP="000A5DEA">
            <w:pPr>
              <w:snapToGrid w:val="0"/>
              <w:jc w:val="center"/>
              <w:rPr>
                <w:b/>
                <w:sz w:val="20"/>
                <w:szCs w:val="22"/>
              </w:rPr>
            </w:pPr>
            <w:r w:rsidRPr="00E2695B">
              <w:rPr>
                <w:b/>
                <w:sz w:val="20"/>
                <w:szCs w:val="22"/>
              </w:rPr>
              <w:t>C2</w:t>
            </w:r>
          </w:p>
        </w:tc>
        <w:tc>
          <w:tcPr>
            <w:tcW w:w="506" w:type="dxa"/>
          </w:tcPr>
          <w:p w:rsidR="000A5DEA" w:rsidRPr="00E2695B" w:rsidRDefault="000A5DEA" w:rsidP="000A5DEA">
            <w:pPr>
              <w:snapToGrid w:val="0"/>
              <w:jc w:val="center"/>
              <w:rPr>
                <w:b/>
                <w:sz w:val="20"/>
                <w:szCs w:val="22"/>
              </w:rPr>
            </w:pPr>
            <w:r w:rsidRPr="00E2695B">
              <w:rPr>
                <w:b/>
                <w:sz w:val="20"/>
                <w:szCs w:val="22"/>
              </w:rPr>
              <w:t>C3</w:t>
            </w:r>
          </w:p>
        </w:tc>
        <w:tc>
          <w:tcPr>
            <w:tcW w:w="506" w:type="dxa"/>
          </w:tcPr>
          <w:p w:rsidR="000A5DEA" w:rsidRPr="00E2695B" w:rsidRDefault="000A5DEA" w:rsidP="000A5DEA">
            <w:pPr>
              <w:snapToGrid w:val="0"/>
              <w:jc w:val="center"/>
              <w:rPr>
                <w:b/>
                <w:sz w:val="20"/>
                <w:szCs w:val="22"/>
              </w:rPr>
            </w:pPr>
            <w:r w:rsidRPr="00E2695B">
              <w:rPr>
                <w:b/>
                <w:sz w:val="20"/>
                <w:szCs w:val="22"/>
              </w:rPr>
              <w:t>C4</w:t>
            </w:r>
          </w:p>
        </w:tc>
        <w:tc>
          <w:tcPr>
            <w:tcW w:w="506" w:type="dxa"/>
          </w:tcPr>
          <w:p w:rsidR="000A5DEA" w:rsidRPr="00E2695B" w:rsidRDefault="000A5DEA" w:rsidP="000A5DEA">
            <w:pPr>
              <w:snapToGrid w:val="0"/>
              <w:jc w:val="center"/>
              <w:rPr>
                <w:b/>
                <w:sz w:val="20"/>
                <w:szCs w:val="22"/>
              </w:rPr>
            </w:pPr>
            <w:r w:rsidRPr="00E2695B">
              <w:rPr>
                <w:b/>
                <w:sz w:val="20"/>
                <w:szCs w:val="22"/>
              </w:rPr>
              <w:t>C5</w:t>
            </w:r>
          </w:p>
        </w:tc>
        <w:tc>
          <w:tcPr>
            <w:tcW w:w="506" w:type="dxa"/>
          </w:tcPr>
          <w:p w:rsidR="000A5DEA" w:rsidRPr="00E2695B" w:rsidRDefault="000A5DEA" w:rsidP="000A5DEA">
            <w:pPr>
              <w:snapToGrid w:val="0"/>
              <w:jc w:val="center"/>
              <w:rPr>
                <w:b/>
                <w:sz w:val="20"/>
                <w:szCs w:val="22"/>
              </w:rPr>
            </w:pPr>
            <w:r w:rsidRPr="00E2695B">
              <w:rPr>
                <w:b/>
                <w:sz w:val="20"/>
                <w:szCs w:val="22"/>
              </w:rPr>
              <w:t>C6</w:t>
            </w:r>
          </w:p>
        </w:tc>
        <w:tc>
          <w:tcPr>
            <w:tcW w:w="507" w:type="dxa"/>
          </w:tcPr>
          <w:p w:rsidR="000A5DEA" w:rsidRPr="00E2695B" w:rsidRDefault="000A5DEA" w:rsidP="000A5DEA">
            <w:pPr>
              <w:snapToGrid w:val="0"/>
              <w:jc w:val="center"/>
              <w:rPr>
                <w:b/>
                <w:sz w:val="20"/>
                <w:szCs w:val="22"/>
              </w:rPr>
            </w:pPr>
            <w:r w:rsidRPr="00E2695B">
              <w:rPr>
                <w:b/>
                <w:sz w:val="20"/>
                <w:szCs w:val="22"/>
              </w:rPr>
              <w:t>C7</w:t>
            </w:r>
          </w:p>
        </w:tc>
      </w:tr>
      <w:tr w:rsidR="000A5DEA" w:rsidRPr="00E2695B" w:rsidTr="000A5DEA">
        <w:trPr>
          <w:trHeight w:val="264"/>
          <w:tblHeader/>
          <w:jc w:val="center"/>
        </w:trPr>
        <w:tc>
          <w:tcPr>
            <w:tcW w:w="9687" w:type="dxa"/>
            <w:vMerge/>
            <w:shd w:val="clear" w:color="auto" w:fill="auto"/>
          </w:tcPr>
          <w:p w:rsidR="000A5DEA" w:rsidRPr="00E2695B" w:rsidRDefault="000A5DEA" w:rsidP="000A5DEA">
            <w:pPr>
              <w:snapToGrid w:val="0"/>
              <w:jc w:val="center"/>
              <w:rPr>
                <w:b/>
                <w:sz w:val="20"/>
                <w:szCs w:val="22"/>
              </w:rPr>
            </w:pPr>
          </w:p>
        </w:tc>
        <w:tc>
          <w:tcPr>
            <w:tcW w:w="3543" w:type="dxa"/>
            <w:gridSpan w:val="7"/>
          </w:tcPr>
          <w:p w:rsidR="000A5DEA" w:rsidRPr="00E2695B" w:rsidRDefault="000A5DEA" w:rsidP="000A5DEA">
            <w:pPr>
              <w:snapToGrid w:val="0"/>
              <w:jc w:val="center"/>
              <w:rPr>
                <w:b/>
                <w:sz w:val="20"/>
                <w:szCs w:val="22"/>
                <w:rtl/>
              </w:rPr>
            </w:pPr>
            <w:r>
              <w:rPr>
                <w:rFonts w:hint="cs"/>
                <w:b/>
                <w:sz w:val="20"/>
                <w:szCs w:val="22"/>
                <w:rtl/>
                <w:lang w:val="en-GB"/>
              </w:rPr>
              <w:t>انظر</w:t>
            </w:r>
            <w:r w:rsidRPr="00E2695B">
              <w:rPr>
                <w:rFonts w:hint="cs"/>
                <w:b/>
                <w:sz w:val="20"/>
                <w:szCs w:val="22"/>
                <w:rtl/>
                <w:lang w:val="en-GB"/>
              </w:rPr>
              <w:t xml:space="preserve"> المختصرات</w:t>
            </w:r>
            <w:r>
              <w:rPr>
                <w:rFonts w:hint="cs"/>
                <w:b/>
                <w:sz w:val="20"/>
                <w:szCs w:val="22"/>
                <w:rtl/>
              </w:rPr>
              <w:t xml:space="preserve"> المستخدمة في الجداول أعلاه</w:t>
            </w:r>
          </w:p>
        </w:tc>
      </w:tr>
      <w:tr w:rsidR="000A5DEA" w:rsidRPr="00E2695B" w:rsidTr="000A5DEA">
        <w:trPr>
          <w:jc w:val="center"/>
        </w:trPr>
        <w:tc>
          <w:tcPr>
            <w:tcW w:w="13230" w:type="dxa"/>
            <w:gridSpan w:val="8"/>
            <w:shd w:val="clear" w:color="auto" w:fill="D9D9D9" w:themeFill="background1" w:themeFillShade="D9"/>
          </w:tcPr>
          <w:p w:rsidR="000A5DEA" w:rsidRPr="00E2695B" w:rsidRDefault="000A5DEA" w:rsidP="000A5DEA">
            <w:pPr>
              <w:snapToGrid w:val="0"/>
              <w:jc w:val="center"/>
              <w:rPr>
                <w:bCs/>
                <w:sz w:val="20"/>
                <w:szCs w:val="22"/>
              </w:rPr>
            </w:pPr>
            <w:r w:rsidRPr="00E2695B">
              <w:rPr>
                <w:rFonts w:hint="cs"/>
                <w:bCs/>
                <w:sz w:val="20"/>
                <w:szCs w:val="22"/>
                <w:rtl/>
              </w:rPr>
              <w:t>البحر الأسود</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Pr>
            </w:pPr>
            <w:r w:rsidRPr="004969DC">
              <w:rPr>
                <w:rFonts w:hint="cs"/>
                <w:bCs/>
                <w:sz w:val="20"/>
                <w:szCs w:val="22"/>
                <w:rtl/>
              </w:rPr>
              <w:t>1- روبوتامو</w:t>
            </w:r>
          </w:p>
          <w:p w:rsidR="000A5DEA" w:rsidRPr="004969DC" w:rsidRDefault="000A5DEA" w:rsidP="00CD26C5">
            <w:pPr>
              <w:numPr>
                <w:ilvl w:val="0"/>
                <w:numId w:val="112"/>
              </w:numPr>
              <w:suppressAutoHyphens/>
              <w:spacing w:after="0" w:line="204" w:lineRule="auto"/>
              <w:rPr>
                <w:sz w:val="20"/>
                <w:szCs w:val="22"/>
              </w:rPr>
            </w:pPr>
            <w:r w:rsidRPr="004969DC">
              <w:rPr>
                <w:sz w:val="20"/>
                <w:szCs w:val="22"/>
                <w:rtl/>
              </w:rPr>
              <w:t xml:space="preserve">الموقع: </w:t>
            </w:r>
            <w:r w:rsidRPr="004969DC">
              <w:rPr>
                <w:rFonts w:hint="cs"/>
                <w:sz w:val="20"/>
                <w:szCs w:val="22"/>
                <w:rtl/>
              </w:rPr>
              <w:t>تقع منطقة روبوماتو</w:t>
            </w:r>
            <w:r w:rsidRPr="004969DC">
              <w:rPr>
                <w:sz w:val="20"/>
                <w:szCs w:val="22"/>
                <w:rtl/>
              </w:rPr>
              <w:t xml:space="preserve"> عند خط العرض </w:t>
            </w:r>
            <w:r w:rsidRPr="004969DC">
              <w:rPr>
                <w:rFonts w:hint="cs"/>
                <w:sz w:val="20"/>
                <w:szCs w:val="22"/>
                <w:rtl/>
              </w:rPr>
              <w:t>42,3019</w:t>
            </w:r>
            <w:r w:rsidRPr="004969DC">
              <w:rPr>
                <w:sz w:val="20"/>
                <w:szCs w:val="22"/>
                <w:rtl/>
              </w:rPr>
              <w:t>°</w:t>
            </w:r>
            <w:r w:rsidRPr="004969DC">
              <w:rPr>
                <w:rFonts w:hint="cs"/>
                <w:sz w:val="20"/>
                <w:szCs w:val="22"/>
                <w:rtl/>
              </w:rPr>
              <w:t xml:space="preserve"> شمالاً </w:t>
            </w:r>
            <w:r w:rsidRPr="004969DC">
              <w:rPr>
                <w:sz w:val="20"/>
                <w:szCs w:val="22"/>
                <w:rtl/>
              </w:rPr>
              <w:t xml:space="preserve">وخط الطول </w:t>
            </w:r>
            <w:r w:rsidRPr="004969DC">
              <w:rPr>
                <w:rFonts w:hint="cs"/>
                <w:sz w:val="20"/>
                <w:szCs w:val="22"/>
                <w:rtl/>
              </w:rPr>
              <w:t>27,9343</w:t>
            </w:r>
            <w:r w:rsidRPr="004969DC">
              <w:rPr>
                <w:sz w:val="20"/>
                <w:szCs w:val="22"/>
                <w:rtl/>
              </w:rPr>
              <w:t>°</w:t>
            </w:r>
            <w:r w:rsidRPr="004969DC">
              <w:rPr>
                <w:rFonts w:hint="cs"/>
                <w:sz w:val="20"/>
                <w:szCs w:val="22"/>
                <w:rtl/>
              </w:rPr>
              <w:t xml:space="preserve"> شرقاً</w:t>
            </w:r>
            <w:r w:rsidRPr="004969DC">
              <w:rPr>
                <w:sz w:val="20"/>
                <w:szCs w:val="22"/>
                <w:rtl/>
              </w:rPr>
              <w:t xml:space="preserve">. </w:t>
            </w:r>
            <w:r w:rsidRPr="004969DC">
              <w:rPr>
                <w:rFonts w:hint="cs"/>
                <w:sz w:val="20"/>
                <w:szCs w:val="22"/>
                <w:rtl/>
              </w:rPr>
              <w:t>وتغطي مساحة قدرها</w:t>
            </w:r>
            <w:r w:rsidRPr="004969DC">
              <w:rPr>
                <w:sz w:val="20"/>
                <w:szCs w:val="22"/>
                <w:rtl/>
              </w:rPr>
              <w:t xml:space="preserve"> 981 كيلومتراً مربعاً، </w:t>
            </w:r>
            <w:r w:rsidRPr="004969DC">
              <w:rPr>
                <w:rFonts w:hint="cs"/>
                <w:sz w:val="20"/>
                <w:szCs w:val="22"/>
                <w:rtl/>
              </w:rPr>
              <w:t>89,9</w:t>
            </w:r>
            <w:r w:rsidRPr="004969DC">
              <w:rPr>
                <w:sz w:val="20"/>
                <w:szCs w:val="22"/>
                <w:rtl/>
              </w:rPr>
              <w:t xml:space="preserve"> في المائة منها </w:t>
            </w:r>
            <w:r w:rsidRPr="004969DC">
              <w:rPr>
                <w:rFonts w:hint="cs"/>
                <w:sz w:val="20"/>
                <w:szCs w:val="22"/>
                <w:rtl/>
              </w:rPr>
              <w:t>عبارة عن مناطق بحرية</w:t>
            </w:r>
            <w:r w:rsidRPr="004969DC">
              <w:rPr>
                <w:sz w:val="20"/>
                <w:szCs w:val="22"/>
                <w:rtl/>
              </w:rPr>
              <w:t xml:space="preserve"> (</w:t>
            </w:r>
            <w:r w:rsidRPr="004969DC">
              <w:rPr>
                <w:rFonts w:hint="cs"/>
                <w:sz w:val="20"/>
                <w:szCs w:val="22"/>
                <w:rtl/>
              </w:rPr>
              <w:t xml:space="preserve">881,91 </w:t>
            </w:r>
            <w:r w:rsidRPr="004969DC">
              <w:rPr>
                <w:sz w:val="20"/>
                <w:szCs w:val="22"/>
                <w:rtl/>
              </w:rPr>
              <w:t>كيلومتراً مربعاً)</w:t>
            </w:r>
            <w:r w:rsidRPr="004969DC">
              <w:rPr>
                <w:sz w:val="20"/>
                <w:szCs w:val="22"/>
              </w:rPr>
              <w:t>.</w:t>
            </w:r>
          </w:p>
          <w:p w:rsidR="000A5DEA" w:rsidRPr="004969DC" w:rsidRDefault="000A5DEA" w:rsidP="00CD26C5">
            <w:pPr>
              <w:numPr>
                <w:ilvl w:val="0"/>
                <w:numId w:val="112"/>
              </w:numPr>
              <w:suppressAutoHyphens/>
              <w:spacing w:after="0" w:line="204" w:lineRule="auto"/>
              <w:rPr>
                <w:rFonts w:eastAsia="MS Mincho"/>
                <w:sz w:val="20"/>
                <w:szCs w:val="22"/>
              </w:rPr>
            </w:pPr>
            <w:r w:rsidRPr="004969DC">
              <w:rPr>
                <w:rFonts w:eastAsia="MS Mincho"/>
                <w:sz w:val="20"/>
                <w:szCs w:val="22"/>
                <w:rtl/>
              </w:rPr>
              <w:t>ت</w:t>
            </w:r>
            <w:r w:rsidRPr="004969DC">
              <w:rPr>
                <w:rFonts w:eastAsia="MS Mincho" w:hint="cs"/>
                <w:sz w:val="20"/>
                <w:szCs w:val="22"/>
                <w:rtl/>
              </w:rPr>
              <w:t>تألف هذه</w:t>
            </w:r>
            <w:r w:rsidRPr="004969DC">
              <w:rPr>
                <w:rFonts w:eastAsia="MS Mincho"/>
                <w:sz w:val="20"/>
                <w:szCs w:val="22"/>
                <w:rtl/>
              </w:rPr>
              <w:t xml:space="preserve"> المنطق</w:t>
            </w:r>
            <w:r w:rsidRPr="004969DC">
              <w:rPr>
                <w:rFonts w:eastAsia="MS Mincho" w:hint="cs"/>
                <w:sz w:val="20"/>
                <w:szCs w:val="22"/>
                <w:rtl/>
              </w:rPr>
              <w:t>ة من</w:t>
            </w:r>
            <w:r w:rsidRPr="004969DC">
              <w:rPr>
                <w:rFonts w:eastAsia="MS Mincho"/>
                <w:sz w:val="20"/>
                <w:szCs w:val="22"/>
                <w:rtl/>
              </w:rPr>
              <w:t xml:space="preserve"> م</w:t>
            </w:r>
            <w:r w:rsidRPr="004969DC">
              <w:rPr>
                <w:rFonts w:eastAsia="MS Mincho" w:hint="cs"/>
                <w:sz w:val="20"/>
                <w:szCs w:val="22"/>
                <w:rtl/>
              </w:rPr>
              <w:t>ناطق</w:t>
            </w:r>
            <w:r w:rsidRPr="004969DC">
              <w:rPr>
                <w:rFonts w:eastAsia="MS Mincho"/>
                <w:sz w:val="20"/>
                <w:szCs w:val="22"/>
                <w:rtl/>
              </w:rPr>
              <w:t xml:space="preserve"> ساحلية وبحرية</w:t>
            </w:r>
            <w:r w:rsidRPr="004969DC">
              <w:rPr>
                <w:rFonts w:eastAsia="MS Mincho" w:hint="cs"/>
                <w:sz w:val="20"/>
                <w:szCs w:val="22"/>
                <w:rtl/>
              </w:rPr>
              <w:t xml:space="preserve"> تقع</w:t>
            </w:r>
            <w:r w:rsidRPr="004969DC">
              <w:rPr>
                <w:rFonts w:eastAsia="MS Mincho"/>
                <w:sz w:val="20"/>
                <w:szCs w:val="22"/>
                <w:rtl/>
              </w:rPr>
              <w:t xml:space="preserve"> على طول الساحل البلغاري</w:t>
            </w:r>
            <w:r w:rsidRPr="004969DC">
              <w:rPr>
                <w:rFonts w:eastAsia="MS Mincho" w:hint="cs"/>
                <w:sz w:val="20"/>
                <w:szCs w:val="22"/>
                <w:rtl/>
              </w:rPr>
              <w:t xml:space="preserve"> المطل</w:t>
            </w:r>
            <w:r w:rsidRPr="004969DC">
              <w:rPr>
                <w:rFonts w:eastAsia="MS Mincho"/>
                <w:sz w:val="20"/>
                <w:szCs w:val="22"/>
                <w:rtl/>
              </w:rPr>
              <w:t xml:space="preserve"> </w:t>
            </w:r>
            <w:r w:rsidRPr="004969DC">
              <w:rPr>
                <w:rFonts w:eastAsia="MS Mincho" w:hint="cs"/>
                <w:sz w:val="20"/>
                <w:szCs w:val="22"/>
                <w:rtl/>
              </w:rPr>
              <w:t>على ا</w:t>
            </w:r>
            <w:r w:rsidRPr="004969DC">
              <w:rPr>
                <w:rFonts w:eastAsia="MS Mincho"/>
                <w:sz w:val="20"/>
                <w:szCs w:val="22"/>
                <w:rtl/>
              </w:rPr>
              <w:t xml:space="preserve">لبحر الأسود. </w:t>
            </w:r>
            <w:r w:rsidRPr="004969DC">
              <w:rPr>
                <w:rFonts w:eastAsia="MS Mincho" w:hint="cs"/>
                <w:sz w:val="20"/>
                <w:szCs w:val="22"/>
                <w:rtl/>
              </w:rPr>
              <w:t xml:space="preserve">ويتضمن </w:t>
            </w:r>
            <w:r w:rsidRPr="004969DC">
              <w:rPr>
                <w:rFonts w:eastAsia="MS Mincho"/>
                <w:sz w:val="20"/>
                <w:szCs w:val="22"/>
                <w:rtl/>
              </w:rPr>
              <w:t>الجزء ال</w:t>
            </w:r>
            <w:r w:rsidRPr="004969DC">
              <w:rPr>
                <w:rFonts w:eastAsia="MS Mincho" w:hint="cs"/>
                <w:sz w:val="20"/>
                <w:szCs w:val="22"/>
                <w:rtl/>
              </w:rPr>
              <w:t>بري</w:t>
            </w:r>
            <w:r w:rsidRPr="004969DC">
              <w:rPr>
                <w:rFonts w:eastAsia="MS Mincho"/>
                <w:sz w:val="20"/>
                <w:szCs w:val="22"/>
                <w:rtl/>
              </w:rPr>
              <w:t xml:space="preserve"> </w:t>
            </w:r>
            <w:r w:rsidRPr="004969DC">
              <w:rPr>
                <w:rFonts w:eastAsia="MS Mincho" w:hint="cs"/>
                <w:sz w:val="20"/>
                <w:szCs w:val="22"/>
                <w:rtl/>
              </w:rPr>
              <w:t xml:space="preserve">الأراضي الرطبة </w:t>
            </w:r>
            <w:r w:rsidRPr="004969DC">
              <w:rPr>
                <w:color w:val="333333"/>
                <w:sz w:val="20"/>
                <w:szCs w:val="22"/>
                <w:rtl/>
              </w:rPr>
              <w:t xml:space="preserve">ذات الأهمية الدولية </w:t>
            </w:r>
            <w:r w:rsidRPr="004969DC">
              <w:rPr>
                <w:rFonts w:hint="cs"/>
                <w:color w:val="333333"/>
                <w:sz w:val="20"/>
                <w:szCs w:val="22"/>
                <w:rtl/>
              </w:rPr>
              <w:t>في إطار اتفاقية رامسار</w:t>
            </w:r>
            <w:r w:rsidRPr="004969DC">
              <w:rPr>
                <w:rFonts w:eastAsia="MS Mincho"/>
                <w:sz w:val="20"/>
                <w:szCs w:val="22"/>
                <w:rtl/>
              </w:rPr>
              <w:t xml:space="preserve">، </w:t>
            </w:r>
            <w:r w:rsidRPr="004969DC">
              <w:rPr>
                <w:rFonts w:eastAsia="MS Mincho" w:hint="cs"/>
                <w:sz w:val="20"/>
                <w:szCs w:val="22"/>
                <w:rtl/>
              </w:rPr>
              <w:t>و</w:t>
            </w:r>
            <w:r w:rsidRPr="004969DC">
              <w:rPr>
                <w:rFonts w:eastAsia="MS Mincho"/>
                <w:sz w:val="20"/>
                <w:szCs w:val="22"/>
                <w:rtl/>
              </w:rPr>
              <w:t>مواقع</w:t>
            </w:r>
            <w:r w:rsidRPr="004969DC">
              <w:rPr>
                <w:rFonts w:eastAsia="MS Mincho" w:hint="cs"/>
                <w:sz w:val="20"/>
                <w:szCs w:val="22"/>
                <w:rtl/>
              </w:rPr>
              <w:t xml:space="preserve"> موائل أحيائية مدرجة ضمن </w:t>
            </w:r>
            <w:r w:rsidRPr="004969DC">
              <w:rPr>
                <w:rFonts w:eastAsia="MS Mincho"/>
                <w:sz w:val="20"/>
                <w:szCs w:val="22"/>
                <w:rtl/>
              </w:rPr>
              <w:t>نظام تنسيق المعلومات البيئية في أوروبا</w:t>
            </w:r>
            <w:r w:rsidRPr="004969DC">
              <w:rPr>
                <w:rFonts w:eastAsia="MS Mincho" w:hint="cs"/>
                <w:sz w:val="20"/>
                <w:szCs w:val="22"/>
                <w:rtl/>
              </w:rPr>
              <w:t xml:space="preserve"> "كورين"</w:t>
            </w:r>
            <w:r w:rsidRPr="004969DC">
              <w:rPr>
                <w:rFonts w:eastAsia="MS Mincho"/>
                <w:sz w:val="20"/>
                <w:szCs w:val="22"/>
                <w:rtl/>
              </w:rPr>
              <w:t xml:space="preserve"> (</w:t>
            </w:r>
            <w:r w:rsidRPr="004969DC">
              <w:rPr>
                <w:rFonts w:eastAsia="MS Mincho" w:hint="cs"/>
                <w:sz w:val="20"/>
                <w:szCs w:val="22"/>
                <w:rtl/>
              </w:rPr>
              <w:t>في إطار</w:t>
            </w:r>
            <w:r w:rsidRPr="004969DC">
              <w:rPr>
                <w:rFonts w:eastAsia="MS Mincho"/>
                <w:sz w:val="20"/>
                <w:szCs w:val="22"/>
                <w:rtl/>
              </w:rPr>
              <w:t xml:space="preserve"> المفوضية الأوروبية)</w:t>
            </w:r>
            <w:r w:rsidRPr="004969DC">
              <w:rPr>
                <w:rFonts w:eastAsia="MS Mincho" w:hint="cs"/>
                <w:sz w:val="20"/>
                <w:szCs w:val="22"/>
                <w:rtl/>
              </w:rPr>
              <w:t>،</w:t>
            </w:r>
            <w:r w:rsidRPr="004969DC">
              <w:rPr>
                <w:rFonts w:eastAsia="MS Mincho"/>
                <w:sz w:val="20"/>
                <w:szCs w:val="22"/>
                <w:rtl/>
              </w:rPr>
              <w:t xml:space="preserve"> ومناطق محمية وطنية. </w:t>
            </w:r>
            <w:r w:rsidRPr="004969DC">
              <w:rPr>
                <w:rFonts w:eastAsia="MS Mincho" w:hint="cs"/>
                <w:sz w:val="20"/>
                <w:szCs w:val="22"/>
                <w:rtl/>
              </w:rPr>
              <w:t>و</w:t>
            </w:r>
            <w:r w:rsidRPr="004969DC">
              <w:rPr>
                <w:rFonts w:eastAsia="MS Mincho"/>
                <w:sz w:val="20"/>
                <w:szCs w:val="22"/>
                <w:rtl/>
              </w:rPr>
              <w:t xml:space="preserve">تمتد المنطقة البحرية على </w:t>
            </w:r>
            <w:r w:rsidRPr="004969DC">
              <w:rPr>
                <w:rFonts w:eastAsia="MS Mincho" w:hint="cs"/>
                <w:sz w:val="20"/>
                <w:szCs w:val="22"/>
                <w:rtl/>
              </w:rPr>
              <w:t>مساحة 881,91</w:t>
            </w:r>
            <w:r w:rsidRPr="004969DC">
              <w:rPr>
                <w:rFonts w:eastAsia="MS Mincho"/>
                <w:sz w:val="20"/>
                <w:szCs w:val="22"/>
                <w:rtl/>
              </w:rPr>
              <w:t xml:space="preserve"> كيلومتر</w:t>
            </w:r>
            <w:r w:rsidRPr="004969DC">
              <w:rPr>
                <w:rFonts w:eastAsia="MS Mincho" w:hint="cs"/>
                <w:sz w:val="20"/>
                <w:szCs w:val="22"/>
                <w:rtl/>
              </w:rPr>
              <w:t>اً</w:t>
            </w:r>
            <w:r w:rsidRPr="004969DC">
              <w:rPr>
                <w:rFonts w:eastAsia="MS Mincho"/>
                <w:sz w:val="20"/>
                <w:szCs w:val="22"/>
                <w:rtl/>
              </w:rPr>
              <w:t xml:space="preserve"> مربع</w:t>
            </w:r>
            <w:r w:rsidRPr="004969DC">
              <w:rPr>
                <w:rFonts w:eastAsia="MS Mincho" w:hint="cs"/>
                <w:sz w:val="20"/>
                <w:szCs w:val="22"/>
                <w:rtl/>
              </w:rPr>
              <w:t>اً</w:t>
            </w:r>
            <w:r w:rsidRPr="004969DC">
              <w:rPr>
                <w:rFonts w:eastAsia="MS Mincho"/>
                <w:sz w:val="20"/>
                <w:szCs w:val="22"/>
                <w:rtl/>
              </w:rPr>
              <w:t xml:space="preserve"> (</w:t>
            </w:r>
            <w:r w:rsidRPr="004969DC">
              <w:rPr>
                <w:rFonts w:eastAsia="MS Mincho" w:hint="cs"/>
                <w:sz w:val="20"/>
                <w:szCs w:val="22"/>
                <w:rtl/>
              </w:rPr>
              <w:t xml:space="preserve">89,9 </w:t>
            </w:r>
            <w:r w:rsidRPr="004969DC">
              <w:rPr>
                <w:rFonts w:eastAsia="MS Mincho"/>
                <w:sz w:val="20"/>
                <w:szCs w:val="22"/>
                <w:rtl/>
              </w:rPr>
              <w:t>في المائة من المساحة الكلية). وتضم</w:t>
            </w:r>
            <w:r w:rsidRPr="004969DC">
              <w:rPr>
                <w:rFonts w:eastAsia="MS Mincho" w:hint="cs"/>
                <w:sz w:val="20"/>
                <w:szCs w:val="22"/>
                <w:rtl/>
              </w:rPr>
              <w:t xml:space="preserve"> المنطقة</w:t>
            </w:r>
            <w:r w:rsidRPr="004969DC">
              <w:rPr>
                <w:rFonts w:eastAsia="MS Mincho"/>
                <w:sz w:val="20"/>
                <w:szCs w:val="22"/>
                <w:rtl/>
              </w:rPr>
              <w:t xml:space="preserve"> مجموعة متنوعة من الموائل ذات الأهمية العالية </w:t>
            </w:r>
            <w:r w:rsidRPr="004969DC">
              <w:rPr>
                <w:rFonts w:eastAsia="MS Mincho" w:hint="cs"/>
                <w:sz w:val="20"/>
                <w:szCs w:val="22"/>
                <w:rtl/>
              </w:rPr>
              <w:t>في مجال الحفظ</w:t>
            </w:r>
            <w:r w:rsidRPr="004969DC">
              <w:rPr>
                <w:rFonts w:eastAsia="MS Mincho"/>
                <w:sz w:val="20"/>
                <w:szCs w:val="22"/>
                <w:rtl/>
              </w:rPr>
              <w:t xml:space="preserve">، </w:t>
            </w:r>
            <w:r w:rsidRPr="004969DC">
              <w:rPr>
                <w:rFonts w:eastAsia="MS Mincho" w:hint="cs"/>
                <w:sz w:val="20"/>
                <w:szCs w:val="22"/>
                <w:rtl/>
              </w:rPr>
              <w:t>و</w:t>
            </w:r>
            <w:r w:rsidRPr="004969DC">
              <w:rPr>
                <w:rFonts w:eastAsia="MS Mincho"/>
                <w:sz w:val="20"/>
                <w:szCs w:val="22"/>
                <w:rtl/>
              </w:rPr>
              <w:t xml:space="preserve">تتميز بتنوع بيولوجي </w:t>
            </w:r>
            <w:r w:rsidRPr="004969DC">
              <w:rPr>
                <w:rFonts w:eastAsia="MS Mincho" w:hint="cs"/>
                <w:sz w:val="20"/>
                <w:szCs w:val="22"/>
                <w:rtl/>
              </w:rPr>
              <w:t>مرتفع</w:t>
            </w:r>
            <w:r w:rsidRPr="004969DC">
              <w:rPr>
                <w:rFonts w:eastAsia="MS Mincho"/>
                <w:sz w:val="20"/>
                <w:szCs w:val="22"/>
                <w:rtl/>
              </w:rPr>
              <w:t xml:space="preserve">، </w:t>
            </w:r>
            <w:r w:rsidRPr="004969DC">
              <w:rPr>
                <w:rFonts w:eastAsia="MS Mincho" w:hint="cs"/>
                <w:sz w:val="20"/>
                <w:szCs w:val="22"/>
                <w:rtl/>
              </w:rPr>
              <w:t>وحالة إيكولوجية</w:t>
            </w:r>
            <w:r w:rsidRPr="004969DC">
              <w:rPr>
                <w:rFonts w:eastAsia="MS Mincho"/>
                <w:sz w:val="20"/>
                <w:szCs w:val="22"/>
                <w:rtl/>
              </w:rPr>
              <w:t xml:space="preserve"> جيد</w:t>
            </w:r>
            <w:r w:rsidRPr="004969DC">
              <w:rPr>
                <w:rFonts w:eastAsia="MS Mincho" w:hint="cs"/>
                <w:sz w:val="20"/>
                <w:szCs w:val="22"/>
                <w:rtl/>
              </w:rPr>
              <w:t>ة،</w:t>
            </w:r>
            <w:r w:rsidRPr="004969DC">
              <w:rPr>
                <w:rFonts w:eastAsia="MS Mincho"/>
                <w:sz w:val="20"/>
                <w:szCs w:val="22"/>
                <w:rtl/>
              </w:rPr>
              <w:t xml:space="preserve"> وامتداد واسع النطاق - بما في ذلك الشعاب المرجانية ال</w:t>
            </w:r>
            <w:r w:rsidRPr="004969DC">
              <w:rPr>
                <w:rFonts w:eastAsia="MS Mincho" w:hint="cs"/>
                <w:sz w:val="20"/>
                <w:szCs w:val="22"/>
                <w:rtl/>
              </w:rPr>
              <w:t xml:space="preserve">حيوية الفريدة من نوعها في أوروبا والتي يعيش فيها المحار المسطح </w:t>
            </w:r>
            <w:r w:rsidRPr="004969DC">
              <w:rPr>
                <w:rFonts w:eastAsia="MS Mincho"/>
                <w:sz w:val="20"/>
                <w:szCs w:val="22"/>
                <w:rtl/>
              </w:rPr>
              <w:t>(</w:t>
            </w:r>
            <w:r w:rsidRPr="004969DC">
              <w:rPr>
                <w:rFonts w:eastAsia="MS Mincho"/>
                <w:i/>
                <w:iCs/>
                <w:sz w:val="20"/>
                <w:szCs w:val="22"/>
              </w:rPr>
              <w:t>Ostrea edulis</w:t>
            </w:r>
            <w:r w:rsidRPr="004969DC">
              <w:rPr>
                <w:rFonts w:eastAsia="MS Mincho"/>
                <w:sz w:val="20"/>
                <w:szCs w:val="22"/>
                <w:rtl/>
              </w:rPr>
              <w:t xml:space="preserve">)، </w:t>
            </w:r>
            <w:r w:rsidRPr="004969DC">
              <w:rPr>
                <w:rFonts w:eastAsia="MS Mincho" w:hint="cs"/>
                <w:sz w:val="20"/>
                <w:szCs w:val="22"/>
                <w:rtl/>
              </w:rPr>
              <w:t>والتجمع</w:t>
            </w:r>
            <w:r w:rsidRPr="004969DC">
              <w:rPr>
                <w:rFonts w:eastAsia="MS Mincho"/>
                <w:sz w:val="20"/>
                <w:szCs w:val="22"/>
                <w:rtl/>
              </w:rPr>
              <w:t xml:space="preserve"> </w:t>
            </w:r>
            <w:r w:rsidRPr="004969DC">
              <w:rPr>
                <w:rFonts w:eastAsia="MS Mincho" w:hint="cs"/>
                <w:sz w:val="20"/>
                <w:szCs w:val="22"/>
                <w:rtl/>
              </w:rPr>
              <w:t>النادر ذو الإضاءة المنخفضة</w:t>
            </w:r>
            <w:r w:rsidRPr="004969DC">
              <w:rPr>
                <w:rFonts w:eastAsia="MS Mincho"/>
                <w:sz w:val="20"/>
                <w:szCs w:val="22"/>
                <w:rtl/>
              </w:rPr>
              <w:t xml:space="preserve"> </w:t>
            </w:r>
            <w:r w:rsidRPr="004969DC">
              <w:rPr>
                <w:rFonts w:eastAsia="MS Mincho" w:hint="cs"/>
                <w:sz w:val="20"/>
                <w:szCs w:val="22"/>
                <w:rtl/>
              </w:rPr>
              <w:t>ل</w:t>
            </w:r>
            <w:r w:rsidRPr="004969DC">
              <w:rPr>
                <w:rFonts w:eastAsia="MS Mincho"/>
                <w:sz w:val="20"/>
                <w:szCs w:val="22"/>
                <w:rtl/>
              </w:rPr>
              <w:t>لأعشاب البحرية الحمراء</w:t>
            </w:r>
            <w:r w:rsidRPr="004969DC">
              <w:rPr>
                <w:rFonts w:eastAsia="MS Mincho" w:hint="cs"/>
                <w:sz w:val="20"/>
                <w:szCs w:val="22"/>
                <w:rtl/>
              </w:rPr>
              <w:t xml:space="preserve"> (</w:t>
            </w:r>
            <w:r w:rsidRPr="004969DC">
              <w:rPr>
                <w:rFonts w:eastAsia="MS Mincho"/>
                <w:i/>
                <w:iCs/>
                <w:sz w:val="20"/>
                <w:szCs w:val="22"/>
              </w:rPr>
              <w:t>Phyllophora crispa</w:t>
            </w:r>
            <w:r w:rsidRPr="004969DC">
              <w:rPr>
                <w:rFonts w:eastAsia="MS Mincho" w:hint="cs"/>
                <w:sz w:val="20"/>
                <w:szCs w:val="22"/>
                <w:rtl/>
              </w:rPr>
              <w:t xml:space="preserve">) النامية </w:t>
            </w:r>
            <w:r w:rsidRPr="004969DC">
              <w:rPr>
                <w:rFonts w:eastAsia="MS Mincho"/>
                <w:sz w:val="20"/>
                <w:szCs w:val="22"/>
                <w:rtl/>
              </w:rPr>
              <w:t xml:space="preserve">على الصخور </w:t>
            </w:r>
            <w:r w:rsidRPr="004969DC">
              <w:rPr>
                <w:rFonts w:eastAsia="MS Mincho" w:hint="cs"/>
                <w:sz w:val="20"/>
                <w:szCs w:val="22"/>
                <w:rtl/>
              </w:rPr>
              <w:t>الساحلية المغمورة</w:t>
            </w:r>
            <w:r w:rsidRPr="004969DC">
              <w:rPr>
                <w:rFonts w:eastAsia="MS Mincho"/>
                <w:sz w:val="20"/>
                <w:szCs w:val="22"/>
                <w:rtl/>
              </w:rPr>
              <w:t xml:space="preserve">، </w:t>
            </w:r>
            <w:r w:rsidRPr="004969DC">
              <w:rPr>
                <w:rFonts w:eastAsia="MS Mincho" w:hint="cs"/>
                <w:sz w:val="20"/>
                <w:szCs w:val="22"/>
                <w:rtl/>
              </w:rPr>
              <w:t>و</w:t>
            </w:r>
            <w:r w:rsidRPr="004969DC">
              <w:rPr>
                <w:rFonts w:eastAsia="MS Mincho"/>
                <w:sz w:val="20"/>
                <w:szCs w:val="22"/>
                <w:rtl/>
              </w:rPr>
              <w:t>مجتمعات م</w:t>
            </w:r>
            <w:r w:rsidRPr="004969DC">
              <w:rPr>
                <w:rFonts w:eastAsia="MS Mincho" w:hint="cs"/>
                <w:sz w:val="20"/>
                <w:szCs w:val="22"/>
                <w:rtl/>
              </w:rPr>
              <w:t xml:space="preserve">تكاثرة </w:t>
            </w:r>
            <w:r w:rsidRPr="004969DC">
              <w:rPr>
                <w:rFonts w:eastAsia="MS Mincho"/>
                <w:sz w:val="20"/>
                <w:szCs w:val="22"/>
                <w:rtl/>
              </w:rPr>
              <w:t xml:space="preserve">من </w:t>
            </w:r>
            <w:r w:rsidRPr="004969DC">
              <w:rPr>
                <w:rFonts w:eastAsia="MS Mincho" w:hint="cs"/>
                <w:sz w:val="20"/>
                <w:szCs w:val="22"/>
                <w:rtl/>
              </w:rPr>
              <w:t>الأعشاب البحرية</w:t>
            </w:r>
            <w:r w:rsidRPr="004969DC">
              <w:rPr>
                <w:rFonts w:eastAsia="MS Mincho"/>
                <w:sz w:val="20"/>
                <w:szCs w:val="22"/>
                <w:rtl/>
              </w:rPr>
              <w:t xml:space="preserve"> المحبة للضوء، </w:t>
            </w:r>
            <w:r w:rsidRPr="004969DC">
              <w:rPr>
                <w:rFonts w:eastAsia="MS Mincho" w:hint="cs"/>
                <w:sz w:val="20"/>
                <w:szCs w:val="22"/>
                <w:rtl/>
              </w:rPr>
              <w:t>وأحواض تربية</w:t>
            </w:r>
            <w:r w:rsidRPr="004969DC">
              <w:rPr>
                <w:rFonts w:eastAsia="MS Mincho"/>
                <w:sz w:val="20"/>
                <w:szCs w:val="22"/>
                <w:rtl/>
              </w:rPr>
              <w:t xml:space="preserve"> بلح البحر على الرواسب، مع</w:t>
            </w:r>
            <w:r w:rsidRPr="004969DC">
              <w:rPr>
                <w:rFonts w:eastAsia="MS Mincho" w:hint="cs"/>
                <w:sz w:val="20"/>
                <w:szCs w:val="22"/>
                <w:rtl/>
              </w:rPr>
              <w:t xml:space="preserve"> وجود</w:t>
            </w:r>
            <w:r w:rsidRPr="004969DC">
              <w:rPr>
                <w:rFonts w:eastAsia="MS Mincho"/>
                <w:sz w:val="20"/>
                <w:szCs w:val="22"/>
                <w:rtl/>
              </w:rPr>
              <w:t xml:space="preserve"> تنوع كبير </w:t>
            </w:r>
            <w:r w:rsidRPr="004969DC">
              <w:rPr>
                <w:rFonts w:eastAsia="MS Mincho" w:hint="cs"/>
                <w:sz w:val="20"/>
                <w:szCs w:val="22"/>
                <w:rtl/>
              </w:rPr>
              <w:t>في أصناف</w:t>
            </w:r>
            <w:r w:rsidRPr="004969DC">
              <w:rPr>
                <w:rFonts w:eastAsia="MS Mincho"/>
                <w:sz w:val="20"/>
                <w:szCs w:val="22"/>
                <w:rtl/>
              </w:rPr>
              <w:t xml:space="preserve"> اللافقاريات والأسماك، </w:t>
            </w:r>
            <w:r w:rsidRPr="004969DC">
              <w:rPr>
                <w:rFonts w:eastAsia="MS Mincho" w:hint="cs"/>
                <w:sz w:val="20"/>
                <w:szCs w:val="22"/>
                <w:rtl/>
              </w:rPr>
              <w:t>ومصطبات رملية</w:t>
            </w:r>
            <w:r w:rsidRPr="004969DC">
              <w:rPr>
                <w:rFonts w:eastAsia="MS Mincho"/>
                <w:sz w:val="20"/>
                <w:szCs w:val="22"/>
                <w:rtl/>
              </w:rPr>
              <w:t xml:space="preserve"> </w:t>
            </w:r>
            <w:r w:rsidRPr="004969DC">
              <w:rPr>
                <w:rFonts w:eastAsia="MS Mincho" w:hint="cs"/>
                <w:sz w:val="20"/>
                <w:szCs w:val="22"/>
                <w:rtl/>
              </w:rPr>
              <w:t>ومعشبات</w:t>
            </w:r>
            <w:r w:rsidRPr="004969DC">
              <w:rPr>
                <w:rFonts w:eastAsia="MS Mincho"/>
                <w:sz w:val="20"/>
                <w:szCs w:val="22"/>
                <w:rtl/>
              </w:rPr>
              <w:t xml:space="preserve"> بحرية. </w:t>
            </w:r>
            <w:r w:rsidRPr="004969DC">
              <w:rPr>
                <w:rFonts w:eastAsia="MS Mincho" w:hint="cs"/>
                <w:sz w:val="20"/>
                <w:szCs w:val="22"/>
                <w:rtl/>
              </w:rPr>
              <w:t>وتمثل</w:t>
            </w:r>
            <w:r w:rsidRPr="004969DC">
              <w:rPr>
                <w:rFonts w:eastAsia="MS Mincho"/>
                <w:sz w:val="20"/>
                <w:szCs w:val="22"/>
                <w:rtl/>
              </w:rPr>
              <w:t xml:space="preserve"> المنطقة البحرية </w:t>
            </w:r>
            <w:r w:rsidRPr="004969DC">
              <w:rPr>
                <w:rFonts w:eastAsia="MS Mincho" w:hint="cs"/>
                <w:sz w:val="20"/>
                <w:szCs w:val="22"/>
                <w:rtl/>
              </w:rPr>
              <w:t>موئلاً هاماً</w:t>
            </w:r>
            <w:r w:rsidRPr="004969DC">
              <w:rPr>
                <w:rFonts w:eastAsia="MS Mincho"/>
                <w:sz w:val="20"/>
                <w:szCs w:val="22"/>
                <w:rtl/>
              </w:rPr>
              <w:t xml:space="preserve"> لأسماك الشاد، وتوفر مناطق تغذية وطرق هجرة إلى مناطق ال</w:t>
            </w:r>
            <w:r w:rsidRPr="004969DC">
              <w:rPr>
                <w:rFonts w:eastAsia="MS Mincho" w:hint="cs"/>
                <w:sz w:val="20"/>
                <w:szCs w:val="22"/>
                <w:rtl/>
              </w:rPr>
              <w:t>تسرئة</w:t>
            </w:r>
            <w:r w:rsidRPr="004969DC">
              <w:rPr>
                <w:rFonts w:eastAsia="MS Mincho"/>
                <w:sz w:val="20"/>
                <w:szCs w:val="22"/>
                <w:rtl/>
              </w:rPr>
              <w:t xml:space="preserve">. </w:t>
            </w:r>
            <w:r w:rsidRPr="004969DC">
              <w:rPr>
                <w:rFonts w:eastAsia="MS Mincho" w:hint="cs"/>
                <w:sz w:val="20"/>
                <w:szCs w:val="22"/>
                <w:rtl/>
              </w:rPr>
              <w:t>وهي مهمة</w:t>
            </w:r>
            <w:r w:rsidRPr="004969DC">
              <w:rPr>
                <w:rFonts w:eastAsia="MS Mincho"/>
                <w:sz w:val="20"/>
                <w:szCs w:val="22"/>
                <w:rtl/>
              </w:rPr>
              <w:t xml:space="preserve"> لحماية المجموعات الثلاث الصغيرة من الحيتان</w:t>
            </w:r>
            <w:r w:rsidRPr="004969DC">
              <w:rPr>
                <w:rFonts w:eastAsia="MS Mincho" w:hint="cs"/>
                <w:sz w:val="20"/>
                <w:szCs w:val="22"/>
                <w:rtl/>
              </w:rPr>
              <w:t>يات</w:t>
            </w:r>
            <w:r w:rsidRPr="004969DC">
              <w:rPr>
                <w:rFonts w:eastAsia="MS Mincho"/>
                <w:sz w:val="20"/>
                <w:szCs w:val="22"/>
                <w:rtl/>
              </w:rPr>
              <w:t xml:space="preserve"> </w:t>
            </w:r>
            <w:r w:rsidRPr="004969DC">
              <w:rPr>
                <w:rFonts w:eastAsia="MS Mincho" w:hint="cs"/>
                <w:sz w:val="20"/>
                <w:szCs w:val="22"/>
                <w:rtl/>
              </w:rPr>
              <w:t>الموجودة في</w:t>
            </w:r>
            <w:r w:rsidRPr="004969DC">
              <w:rPr>
                <w:rFonts w:eastAsia="MS Mincho"/>
                <w:sz w:val="20"/>
                <w:szCs w:val="22"/>
                <w:rtl/>
              </w:rPr>
              <w:t xml:space="preserve"> البحر الأسود. </w:t>
            </w:r>
            <w:r w:rsidRPr="004969DC">
              <w:rPr>
                <w:rFonts w:eastAsia="MS Mincho" w:hint="cs"/>
                <w:sz w:val="20"/>
                <w:szCs w:val="22"/>
                <w:rtl/>
              </w:rPr>
              <w:t>و</w:t>
            </w:r>
            <w:r w:rsidRPr="004969DC">
              <w:rPr>
                <w:rFonts w:eastAsia="MS Mincho"/>
                <w:sz w:val="20"/>
                <w:szCs w:val="22"/>
                <w:rtl/>
              </w:rPr>
              <w:t>تمثل المنطقة أكبر منطقة بحرية</w:t>
            </w:r>
            <w:r w:rsidRPr="004969DC">
              <w:rPr>
                <w:rFonts w:eastAsia="MS Mincho" w:hint="cs"/>
                <w:sz w:val="20"/>
                <w:szCs w:val="22"/>
                <w:rtl/>
              </w:rPr>
              <w:t xml:space="preserve"> محمية</w:t>
            </w:r>
            <w:r w:rsidRPr="004969DC">
              <w:rPr>
                <w:rFonts w:eastAsia="MS Mincho"/>
                <w:sz w:val="20"/>
                <w:szCs w:val="22"/>
                <w:rtl/>
              </w:rPr>
              <w:t xml:space="preserve"> ضمن شبكة ناتورا 2000 الإيكولوجية في</w:t>
            </w:r>
            <w:r w:rsidRPr="004969DC">
              <w:rPr>
                <w:rFonts w:eastAsia="MS Mincho" w:hint="cs"/>
                <w:sz w:val="20"/>
                <w:szCs w:val="22"/>
                <w:rtl/>
              </w:rPr>
              <w:t xml:space="preserve"> منطقة</w:t>
            </w:r>
            <w:r w:rsidRPr="004969DC">
              <w:rPr>
                <w:rFonts w:eastAsia="MS Mincho"/>
                <w:sz w:val="20"/>
                <w:szCs w:val="22"/>
                <w:rtl/>
              </w:rPr>
              <w:t xml:space="preserve"> البحر الأسود البلغاري، </w:t>
            </w:r>
            <w:r w:rsidRPr="004969DC">
              <w:rPr>
                <w:rFonts w:eastAsia="MS Mincho" w:hint="cs"/>
                <w:sz w:val="20"/>
                <w:szCs w:val="22"/>
                <w:rtl/>
              </w:rPr>
              <w:t>أي</w:t>
            </w:r>
            <w:r w:rsidRPr="004969DC">
              <w:rPr>
                <w:rFonts w:eastAsia="MS Mincho"/>
                <w:sz w:val="20"/>
                <w:szCs w:val="22"/>
                <w:rtl/>
              </w:rPr>
              <w:t xml:space="preserve"> </w:t>
            </w:r>
            <w:r w:rsidRPr="004969DC">
              <w:rPr>
                <w:rFonts w:eastAsia="MS Mincho" w:hint="cs"/>
                <w:sz w:val="20"/>
                <w:szCs w:val="22"/>
                <w:rtl/>
              </w:rPr>
              <w:t>منطقة الحفظ الخاصة "</w:t>
            </w:r>
            <w:r w:rsidRPr="004969DC">
              <w:rPr>
                <w:rFonts w:eastAsia="MS Mincho"/>
                <w:sz w:val="20"/>
                <w:szCs w:val="22"/>
              </w:rPr>
              <w:t>Ropotamo BG0001001</w:t>
            </w:r>
            <w:r w:rsidRPr="004969DC">
              <w:rPr>
                <w:rFonts w:eastAsia="MS Mincho" w:hint="cs"/>
                <w:sz w:val="20"/>
                <w:szCs w:val="22"/>
                <w:rtl/>
              </w:rPr>
              <w:t>"</w:t>
            </w:r>
            <w:r w:rsidRPr="004969DC">
              <w:rPr>
                <w:rFonts w:eastAsia="MS Mincho"/>
                <w:sz w:val="20"/>
                <w:szCs w:val="22"/>
                <w:rtl/>
              </w:rPr>
              <w:t xml:space="preserve">، التي </w:t>
            </w:r>
            <w:r w:rsidRPr="004969DC">
              <w:rPr>
                <w:rFonts w:eastAsia="MS Mincho" w:hint="cs"/>
                <w:sz w:val="20"/>
                <w:szCs w:val="22"/>
                <w:rtl/>
              </w:rPr>
              <w:t>حددت بموجب التوجيه المتعلق بالموائل.</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H</w:t>
            </w:r>
          </w:p>
        </w:tc>
      </w:tr>
      <w:tr w:rsidR="000A5DEA" w:rsidRPr="00E2695B" w:rsidTr="000A5DEA">
        <w:trPr>
          <w:jc w:val="center"/>
        </w:trPr>
        <w:tc>
          <w:tcPr>
            <w:tcW w:w="9687" w:type="dxa"/>
            <w:shd w:val="clear" w:color="auto" w:fill="auto"/>
          </w:tcPr>
          <w:p w:rsidR="000A5DEA" w:rsidRPr="004969DC" w:rsidRDefault="000A5DEA" w:rsidP="004969DC">
            <w:pPr>
              <w:pStyle w:val="Para10"/>
              <w:numPr>
                <w:ilvl w:val="0"/>
                <w:numId w:val="0"/>
              </w:numPr>
              <w:bidi/>
              <w:spacing w:before="0" w:after="0" w:line="204" w:lineRule="auto"/>
              <w:rPr>
                <w:rFonts w:cs="Simplified Arabic"/>
                <w:bCs/>
                <w:szCs w:val="22"/>
                <w:lang w:val="en-US"/>
              </w:rPr>
            </w:pPr>
            <w:r w:rsidRPr="004969DC">
              <w:rPr>
                <w:rFonts w:cs="Simplified Arabic" w:hint="cs"/>
                <w:bCs/>
                <w:szCs w:val="22"/>
                <w:rtl/>
                <w:lang w:val="en-US"/>
              </w:rPr>
              <w:t xml:space="preserve">2- </w:t>
            </w:r>
            <w:r w:rsidRPr="004969DC">
              <w:rPr>
                <w:rFonts w:cs="Simplified Arabic"/>
                <w:bCs/>
                <w:szCs w:val="22"/>
                <w:rtl/>
                <w:lang w:val="en-US"/>
              </w:rPr>
              <w:t>كالياكرا</w:t>
            </w:r>
          </w:p>
          <w:p w:rsidR="000A5DEA" w:rsidRPr="004969DC" w:rsidRDefault="000A5DEA" w:rsidP="00CD26C5">
            <w:pPr>
              <w:numPr>
                <w:ilvl w:val="0"/>
                <w:numId w:val="113"/>
              </w:numPr>
              <w:suppressAutoHyphens/>
              <w:autoSpaceDE w:val="0"/>
              <w:autoSpaceDN w:val="0"/>
              <w:adjustRightInd w:val="0"/>
              <w:snapToGrid w:val="0"/>
              <w:spacing w:after="0" w:line="204" w:lineRule="auto"/>
              <w:rPr>
                <w:color w:val="000000"/>
                <w:sz w:val="20"/>
                <w:szCs w:val="22"/>
              </w:rPr>
            </w:pPr>
            <w:r w:rsidRPr="004969DC">
              <w:rPr>
                <w:sz w:val="20"/>
                <w:szCs w:val="22"/>
                <w:rtl/>
              </w:rPr>
              <w:t xml:space="preserve">الموقع: تقع هذه المنطقة في المياه الساحلية الغربية للبحر الأسود (بين خطي العرض </w:t>
            </w:r>
            <w:r w:rsidRPr="004969DC">
              <w:rPr>
                <w:rFonts w:hint="cs"/>
                <w:sz w:val="20"/>
                <w:szCs w:val="22"/>
                <w:rtl/>
              </w:rPr>
              <w:t>43,37</w:t>
            </w:r>
            <w:r w:rsidRPr="004969DC">
              <w:rPr>
                <w:sz w:val="20"/>
                <w:szCs w:val="22"/>
                <w:rtl/>
              </w:rPr>
              <w:t xml:space="preserve">° </w:t>
            </w:r>
            <w:r w:rsidRPr="004969DC">
              <w:rPr>
                <w:rFonts w:hint="cs"/>
                <w:sz w:val="20"/>
                <w:szCs w:val="22"/>
                <w:rtl/>
              </w:rPr>
              <w:t>و45,19</w:t>
            </w:r>
            <w:r w:rsidRPr="004969DC">
              <w:rPr>
                <w:sz w:val="20"/>
                <w:szCs w:val="22"/>
                <w:rtl/>
              </w:rPr>
              <w:t xml:space="preserve"> درجة شمالا</w:t>
            </w:r>
            <w:r w:rsidRPr="004969DC">
              <w:rPr>
                <w:rFonts w:hint="cs"/>
                <w:sz w:val="20"/>
                <w:szCs w:val="22"/>
                <w:rtl/>
              </w:rPr>
              <w:t>ً</w:t>
            </w:r>
            <w:r w:rsidRPr="004969DC">
              <w:rPr>
                <w:sz w:val="20"/>
                <w:szCs w:val="22"/>
                <w:rtl/>
              </w:rPr>
              <w:t>)</w:t>
            </w:r>
            <w:r w:rsidRPr="004969DC">
              <w:rPr>
                <w:sz w:val="20"/>
                <w:szCs w:val="22"/>
              </w:rPr>
              <w:t>.</w:t>
            </w:r>
          </w:p>
          <w:p w:rsidR="000A5DEA" w:rsidRPr="004969DC" w:rsidRDefault="000A5DEA" w:rsidP="00CD26C5">
            <w:pPr>
              <w:numPr>
                <w:ilvl w:val="0"/>
                <w:numId w:val="113"/>
              </w:numPr>
              <w:suppressAutoHyphens/>
              <w:autoSpaceDE w:val="0"/>
              <w:autoSpaceDN w:val="0"/>
              <w:adjustRightInd w:val="0"/>
              <w:snapToGrid w:val="0"/>
              <w:spacing w:after="0" w:line="204" w:lineRule="auto"/>
              <w:rPr>
                <w:color w:val="000000"/>
                <w:sz w:val="20"/>
                <w:szCs w:val="22"/>
              </w:rPr>
            </w:pPr>
            <w:r w:rsidRPr="004969DC">
              <w:rPr>
                <w:rFonts w:eastAsia="MS Mincho"/>
                <w:sz w:val="20"/>
                <w:szCs w:val="22"/>
                <w:rtl/>
              </w:rPr>
              <w:t>ت</w:t>
            </w:r>
            <w:r w:rsidRPr="004969DC">
              <w:rPr>
                <w:rFonts w:eastAsia="MS Mincho" w:hint="cs"/>
                <w:sz w:val="20"/>
                <w:szCs w:val="22"/>
                <w:rtl/>
              </w:rPr>
              <w:t>تألف هذه</w:t>
            </w:r>
            <w:r w:rsidRPr="004969DC">
              <w:rPr>
                <w:rFonts w:eastAsia="MS Mincho"/>
                <w:sz w:val="20"/>
                <w:szCs w:val="22"/>
                <w:rtl/>
              </w:rPr>
              <w:t xml:space="preserve"> ا</w:t>
            </w:r>
            <w:r w:rsidRPr="004969DC">
              <w:rPr>
                <w:rFonts w:eastAsia="MS Mincho" w:hint="cs"/>
                <w:sz w:val="20"/>
                <w:szCs w:val="22"/>
                <w:rtl/>
              </w:rPr>
              <w:t>لمنطقة من</w:t>
            </w:r>
            <w:r w:rsidRPr="004969DC">
              <w:rPr>
                <w:rFonts w:eastAsia="MS Mincho"/>
                <w:sz w:val="20"/>
                <w:szCs w:val="22"/>
                <w:rtl/>
              </w:rPr>
              <w:t xml:space="preserve"> منطقة</w:t>
            </w:r>
            <w:r w:rsidRPr="004969DC">
              <w:rPr>
                <w:rFonts w:eastAsia="MS Mincho" w:hint="cs"/>
                <w:sz w:val="20"/>
                <w:szCs w:val="22"/>
                <w:rtl/>
              </w:rPr>
              <w:t xml:space="preserve"> بحرية</w:t>
            </w:r>
            <w:r w:rsidRPr="004969DC">
              <w:rPr>
                <w:rFonts w:eastAsia="MS Mincho"/>
                <w:sz w:val="20"/>
                <w:szCs w:val="22"/>
                <w:rtl/>
              </w:rPr>
              <w:t xml:space="preserve"> </w:t>
            </w:r>
            <w:r w:rsidRPr="004969DC">
              <w:rPr>
                <w:rFonts w:eastAsia="MS Mincho" w:hint="cs"/>
                <w:sz w:val="20"/>
                <w:szCs w:val="22"/>
                <w:rtl/>
              </w:rPr>
              <w:t>مهمة</w:t>
            </w:r>
            <w:r w:rsidRPr="004969DC">
              <w:rPr>
                <w:rFonts w:eastAsia="MS Mincho"/>
                <w:sz w:val="20"/>
                <w:szCs w:val="22"/>
                <w:rtl/>
              </w:rPr>
              <w:t xml:space="preserve"> ل</w:t>
            </w:r>
            <w:r w:rsidRPr="004969DC">
              <w:rPr>
                <w:rFonts w:eastAsia="MS Mincho" w:hint="cs"/>
                <w:sz w:val="20"/>
                <w:szCs w:val="22"/>
                <w:rtl/>
              </w:rPr>
              <w:t>حفظ ا</w:t>
            </w:r>
            <w:r w:rsidRPr="004969DC">
              <w:rPr>
                <w:rFonts w:eastAsia="MS Mincho"/>
                <w:sz w:val="20"/>
                <w:szCs w:val="22"/>
                <w:rtl/>
              </w:rPr>
              <w:t xml:space="preserve">لطيور والتنوع البيولوجي، </w:t>
            </w:r>
            <w:r w:rsidRPr="004969DC">
              <w:rPr>
                <w:rFonts w:eastAsia="MS Mincho" w:hint="cs"/>
                <w:sz w:val="20"/>
                <w:szCs w:val="22"/>
                <w:rtl/>
              </w:rPr>
              <w:t>خصصت أساساً، بسبب أهميتها،</w:t>
            </w:r>
            <w:r w:rsidRPr="004969DC">
              <w:rPr>
                <w:rFonts w:eastAsia="MS Mincho"/>
                <w:sz w:val="20"/>
                <w:szCs w:val="22"/>
                <w:rtl/>
              </w:rPr>
              <w:t xml:space="preserve"> </w:t>
            </w:r>
            <w:r w:rsidRPr="004969DC">
              <w:rPr>
                <w:rFonts w:eastAsia="MS Mincho" w:hint="cs"/>
                <w:sz w:val="20"/>
                <w:szCs w:val="22"/>
                <w:rtl/>
              </w:rPr>
              <w:t xml:space="preserve">لتكون </w:t>
            </w:r>
            <w:r w:rsidRPr="004969DC">
              <w:rPr>
                <w:rFonts w:eastAsia="MS Mincho"/>
                <w:sz w:val="20"/>
                <w:szCs w:val="22"/>
                <w:rtl/>
              </w:rPr>
              <w:t>ممر</w:t>
            </w:r>
            <w:r w:rsidRPr="004969DC">
              <w:rPr>
                <w:rFonts w:eastAsia="MS Mincho" w:hint="cs"/>
                <w:sz w:val="20"/>
                <w:szCs w:val="22"/>
                <w:rtl/>
              </w:rPr>
              <w:t>اً</w:t>
            </w:r>
            <w:r w:rsidRPr="004969DC">
              <w:rPr>
                <w:rFonts w:eastAsia="MS Mincho"/>
                <w:sz w:val="20"/>
                <w:szCs w:val="22"/>
                <w:rtl/>
              </w:rPr>
              <w:t xml:space="preserve"> </w:t>
            </w:r>
            <w:r w:rsidRPr="004969DC">
              <w:rPr>
                <w:rFonts w:eastAsia="MS Mincho" w:hint="cs"/>
                <w:sz w:val="20"/>
                <w:szCs w:val="22"/>
                <w:rtl/>
              </w:rPr>
              <w:t>لهجرة</w:t>
            </w:r>
            <w:r w:rsidRPr="004969DC">
              <w:rPr>
                <w:rFonts w:eastAsia="MS Mincho"/>
                <w:sz w:val="20"/>
                <w:szCs w:val="22"/>
                <w:rtl/>
              </w:rPr>
              <w:t xml:space="preserve"> </w:t>
            </w:r>
            <w:r w:rsidRPr="004969DC">
              <w:rPr>
                <w:rFonts w:eastAsia="MS Mincho" w:hint="cs"/>
                <w:sz w:val="20"/>
                <w:szCs w:val="22"/>
                <w:rtl/>
              </w:rPr>
              <w:t>طيور جلم البحر الأبيض المتوسط</w:t>
            </w:r>
            <w:r w:rsidRPr="004969DC">
              <w:rPr>
                <w:rFonts w:eastAsia="MS Mincho"/>
                <w:sz w:val="20"/>
                <w:szCs w:val="22"/>
                <w:rtl/>
              </w:rPr>
              <w:t xml:space="preserve"> </w:t>
            </w:r>
            <w:r w:rsidRPr="004969DC">
              <w:rPr>
                <w:rFonts w:eastAsia="MS Mincho" w:hint="cs"/>
                <w:sz w:val="20"/>
                <w:szCs w:val="22"/>
                <w:rtl/>
              </w:rPr>
              <w:t>(</w:t>
            </w:r>
            <w:r w:rsidRPr="004969DC">
              <w:rPr>
                <w:rFonts w:eastAsia="MS Mincho"/>
                <w:i/>
                <w:sz w:val="20"/>
                <w:szCs w:val="22"/>
              </w:rPr>
              <w:t>Puffinus yelkouan</w:t>
            </w:r>
            <w:r w:rsidRPr="004969DC">
              <w:rPr>
                <w:rFonts w:eastAsia="MS Mincho" w:hint="cs"/>
                <w:i/>
                <w:sz w:val="20"/>
                <w:szCs w:val="22"/>
                <w:rtl/>
              </w:rPr>
              <w:t>) قليلة المناعة.</w:t>
            </w:r>
            <w:r w:rsidRPr="004969DC">
              <w:rPr>
                <w:rFonts w:eastAsia="MS Mincho" w:hint="cs"/>
                <w:sz w:val="20"/>
                <w:szCs w:val="22"/>
                <w:rtl/>
              </w:rPr>
              <w:t xml:space="preserve"> وجلم البحر الأبيض المتوسط هو</w:t>
            </w:r>
            <w:r w:rsidRPr="004969DC">
              <w:rPr>
                <w:rFonts w:eastAsia="MS Mincho"/>
                <w:sz w:val="20"/>
                <w:szCs w:val="22"/>
                <w:rtl/>
              </w:rPr>
              <w:t xml:space="preserve"> </w:t>
            </w:r>
            <w:r w:rsidRPr="004969DC">
              <w:rPr>
                <w:rFonts w:eastAsia="MS Mincho" w:hint="cs"/>
                <w:sz w:val="20"/>
                <w:szCs w:val="22"/>
                <w:rtl/>
              </w:rPr>
              <w:t>طائر متوسطي تتراوح أعداده ما بين</w:t>
            </w:r>
            <w:r w:rsidRPr="004969DC">
              <w:rPr>
                <w:rFonts w:eastAsia="MS Mincho"/>
                <w:sz w:val="20"/>
                <w:szCs w:val="22"/>
                <w:rtl/>
              </w:rPr>
              <w:t xml:space="preserve"> </w:t>
            </w:r>
            <w:r w:rsidRPr="004969DC">
              <w:rPr>
                <w:rFonts w:eastAsia="MS Mincho" w:hint="cs"/>
                <w:sz w:val="20"/>
                <w:szCs w:val="22"/>
                <w:rtl/>
              </w:rPr>
              <w:t>000 46</w:t>
            </w:r>
            <w:r w:rsidRPr="004969DC">
              <w:rPr>
                <w:rFonts w:eastAsia="MS Mincho"/>
                <w:sz w:val="20"/>
                <w:szCs w:val="22"/>
                <w:rtl/>
              </w:rPr>
              <w:t xml:space="preserve"> و</w:t>
            </w:r>
            <w:r w:rsidRPr="004969DC">
              <w:rPr>
                <w:rFonts w:eastAsia="MS Mincho" w:hint="cs"/>
                <w:sz w:val="20"/>
                <w:szCs w:val="22"/>
                <w:rtl/>
              </w:rPr>
              <w:t>000 90</w:t>
            </w:r>
            <w:r w:rsidRPr="004969DC">
              <w:rPr>
                <w:rFonts w:eastAsia="MS Mincho"/>
                <w:sz w:val="20"/>
                <w:szCs w:val="22"/>
                <w:rtl/>
              </w:rPr>
              <w:t xml:space="preserve"> </w:t>
            </w:r>
            <w:r w:rsidRPr="004969DC">
              <w:rPr>
                <w:rFonts w:eastAsia="MS Mincho" w:hint="cs"/>
                <w:sz w:val="20"/>
                <w:szCs w:val="22"/>
                <w:rtl/>
              </w:rPr>
              <w:t>طائر</w:t>
            </w:r>
            <w:r w:rsidRPr="004969DC">
              <w:rPr>
                <w:rFonts w:eastAsia="MS Mincho"/>
                <w:sz w:val="20"/>
                <w:szCs w:val="22"/>
                <w:rtl/>
              </w:rPr>
              <w:t xml:space="preserve">، يهاجر </w:t>
            </w:r>
            <w:r w:rsidRPr="004969DC">
              <w:rPr>
                <w:rFonts w:eastAsia="MS Mincho" w:hint="cs"/>
                <w:sz w:val="20"/>
                <w:szCs w:val="22"/>
                <w:rtl/>
              </w:rPr>
              <w:t>ما بين</w:t>
            </w:r>
            <w:r w:rsidRPr="004969DC">
              <w:rPr>
                <w:rFonts w:eastAsia="MS Mincho"/>
                <w:sz w:val="20"/>
                <w:szCs w:val="22"/>
                <w:rtl/>
              </w:rPr>
              <w:t xml:space="preserve"> 30 إلى 40 بالمئة منه</w:t>
            </w:r>
            <w:r w:rsidRPr="004969DC">
              <w:rPr>
                <w:rFonts w:eastAsia="MS Mincho" w:hint="cs"/>
                <w:sz w:val="20"/>
                <w:szCs w:val="22"/>
                <w:rtl/>
              </w:rPr>
              <w:t>ا</w:t>
            </w:r>
            <w:r w:rsidRPr="004969DC">
              <w:rPr>
                <w:rFonts w:eastAsia="MS Mincho"/>
                <w:sz w:val="20"/>
                <w:szCs w:val="22"/>
                <w:rtl/>
              </w:rPr>
              <w:t xml:space="preserve"> إلى البحر الأسود </w:t>
            </w:r>
            <w:r w:rsidRPr="004969DC">
              <w:rPr>
                <w:rFonts w:eastAsia="MS Mincho" w:hint="cs"/>
                <w:sz w:val="20"/>
                <w:szCs w:val="22"/>
                <w:rtl/>
              </w:rPr>
              <w:t>خارج موسم عملية</w:t>
            </w:r>
            <w:r w:rsidRPr="004969DC">
              <w:rPr>
                <w:rFonts w:eastAsia="MS Mincho"/>
                <w:sz w:val="20"/>
                <w:szCs w:val="22"/>
                <w:rtl/>
              </w:rPr>
              <w:t xml:space="preserve"> ال</w:t>
            </w:r>
            <w:r w:rsidRPr="004969DC">
              <w:rPr>
                <w:rFonts w:eastAsia="MS Mincho" w:hint="cs"/>
                <w:sz w:val="20"/>
                <w:szCs w:val="22"/>
                <w:rtl/>
              </w:rPr>
              <w:t>إنسال</w:t>
            </w:r>
            <w:r w:rsidRPr="004969DC">
              <w:rPr>
                <w:rFonts w:eastAsia="MS Mincho"/>
                <w:sz w:val="20"/>
                <w:szCs w:val="22"/>
                <w:rtl/>
              </w:rPr>
              <w:t xml:space="preserve"> </w:t>
            </w:r>
            <w:r w:rsidRPr="004969DC">
              <w:rPr>
                <w:rFonts w:eastAsia="MS Mincho" w:hint="cs"/>
                <w:sz w:val="20"/>
                <w:szCs w:val="22"/>
                <w:rtl/>
              </w:rPr>
              <w:t>التي تتم</w:t>
            </w:r>
            <w:r w:rsidRPr="004969DC">
              <w:rPr>
                <w:rFonts w:eastAsia="MS Mincho"/>
                <w:sz w:val="20"/>
                <w:szCs w:val="22"/>
                <w:rtl/>
              </w:rPr>
              <w:t xml:space="preserve"> بالقرب </w:t>
            </w:r>
            <w:r w:rsidRPr="004969DC">
              <w:rPr>
                <w:rFonts w:eastAsia="MS Mincho"/>
                <w:sz w:val="20"/>
                <w:szCs w:val="22"/>
                <w:rtl/>
              </w:rPr>
              <w:lastRenderedPageBreak/>
              <w:t xml:space="preserve">من </w:t>
            </w:r>
            <w:r w:rsidRPr="004969DC">
              <w:rPr>
                <w:rFonts w:eastAsia="MS Mincho" w:hint="cs"/>
                <w:sz w:val="20"/>
                <w:szCs w:val="22"/>
                <w:rtl/>
              </w:rPr>
              <w:t>ال</w:t>
            </w:r>
            <w:r w:rsidRPr="004969DC">
              <w:rPr>
                <w:rFonts w:eastAsia="MS Mincho"/>
                <w:sz w:val="20"/>
                <w:szCs w:val="22"/>
                <w:rtl/>
              </w:rPr>
              <w:t xml:space="preserve">ساحل </w:t>
            </w:r>
            <w:r w:rsidRPr="004969DC">
              <w:rPr>
                <w:rFonts w:eastAsia="MS Mincho" w:hint="cs"/>
                <w:sz w:val="20"/>
                <w:szCs w:val="22"/>
                <w:rtl/>
              </w:rPr>
              <w:t>ال</w:t>
            </w:r>
            <w:r w:rsidRPr="004969DC">
              <w:rPr>
                <w:rFonts w:eastAsia="MS Mincho"/>
                <w:sz w:val="20"/>
                <w:szCs w:val="22"/>
                <w:rtl/>
              </w:rPr>
              <w:t>شمال</w:t>
            </w:r>
            <w:r w:rsidRPr="004969DC">
              <w:rPr>
                <w:rFonts w:eastAsia="MS Mincho" w:hint="cs"/>
                <w:sz w:val="20"/>
                <w:szCs w:val="22"/>
                <w:rtl/>
              </w:rPr>
              <w:t>ي</w:t>
            </w:r>
            <w:r w:rsidRPr="004969DC">
              <w:rPr>
                <w:rFonts w:eastAsia="MS Mincho"/>
                <w:sz w:val="20"/>
                <w:szCs w:val="22"/>
                <w:rtl/>
              </w:rPr>
              <w:t xml:space="preserve"> </w:t>
            </w:r>
            <w:r w:rsidRPr="004969DC">
              <w:rPr>
                <w:rFonts w:eastAsia="MS Mincho" w:hint="cs"/>
                <w:sz w:val="20"/>
                <w:szCs w:val="22"/>
                <w:rtl/>
              </w:rPr>
              <w:t>ل</w:t>
            </w:r>
            <w:r w:rsidRPr="004969DC">
              <w:rPr>
                <w:rFonts w:eastAsia="MS Mincho"/>
                <w:sz w:val="20"/>
                <w:szCs w:val="22"/>
                <w:rtl/>
              </w:rPr>
              <w:t xml:space="preserve">بلغاريا </w:t>
            </w:r>
            <w:r w:rsidRPr="004969DC">
              <w:rPr>
                <w:rFonts w:eastAsia="MS Mincho" w:hint="cs"/>
                <w:sz w:val="20"/>
                <w:szCs w:val="22"/>
                <w:rtl/>
              </w:rPr>
              <w:t>خلال فترة هجرتها.</w:t>
            </w:r>
            <w:r w:rsidRPr="004969DC">
              <w:rPr>
                <w:rFonts w:eastAsia="MS Mincho"/>
                <w:sz w:val="20"/>
                <w:szCs w:val="22"/>
                <w:rtl/>
              </w:rPr>
              <w:t xml:space="preserve"> وت</w:t>
            </w:r>
            <w:r w:rsidRPr="004969DC">
              <w:rPr>
                <w:rFonts w:eastAsia="MS Mincho" w:hint="cs"/>
                <w:sz w:val="20"/>
                <w:szCs w:val="22"/>
                <w:rtl/>
              </w:rPr>
              <w:t>ضم هذه</w:t>
            </w:r>
            <w:r w:rsidRPr="004969DC">
              <w:rPr>
                <w:rFonts w:eastAsia="MS Mincho"/>
                <w:sz w:val="20"/>
                <w:szCs w:val="22"/>
                <w:rtl/>
              </w:rPr>
              <w:t xml:space="preserve"> المنطقة أيضا</w:t>
            </w:r>
            <w:r w:rsidRPr="004969DC">
              <w:rPr>
                <w:rFonts w:eastAsia="MS Mincho" w:hint="cs"/>
                <w:sz w:val="20"/>
                <w:szCs w:val="22"/>
                <w:rtl/>
              </w:rPr>
              <w:t>ً</w:t>
            </w:r>
            <w:r w:rsidRPr="004969DC">
              <w:rPr>
                <w:rFonts w:eastAsia="MS Mincho"/>
                <w:sz w:val="20"/>
                <w:szCs w:val="22"/>
                <w:rtl/>
              </w:rPr>
              <w:t xml:space="preserve"> </w:t>
            </w:r>
            <w:r w:rsidRPr="004969DC">
              <w:rPr>
                <w:rFonts w:eastAsia="MS Mincho" w:hint="cs"/>
                <w:sz w:val="20"/>
                <w:szCs w:val="22"/>
                <w:rtl/>
              </w:rPr>
              <w:t>منطقة توزّع خارج موسم الإنسال</w:t>
            </w:r>
            <w:r w:rsidRPr="004969DC">
              <w:rPr>
                <w:rFonts w:eastAsia="MS Mincho"/>
                <w:sz w:val="20"/>
                <w:szCs w:val="22"/>
                <w:rtl/>
              </w:rPr>
              <w:t xml:space="preserve"> </w:t>
            </w:r>
            <w:r w:rsidRPr="004969DC">
              <w:rPr>
                <w:rFonts w:eastAsia="MS Mincho" w:hint="cs"/>
                <w:sz w:val="20"/>
                <w:szCs w:val="22"/>
                <w:rtl/>
              </w:rPr>
              <w:t>لنوعين آخرين من الطيور البحرية قليلة المناعة</w:t>
            </w:r>
            <w:r w:rsidRPr="004969DC">
              <w:rPr>
                <w:rFonts w:eastAsia="MS Mincho"/>
                <w:sz w:val="20"/>
                <w:szCs w:val="22"/>
                <w:rtl/>
              </w:rPr>
              <w:t xml:space="preserve"> - وه</w:t>
            </w:r>
            <w:r w:rsidRPr="004969DC">
              <w:rPr>
                <w:rFonts w:eastAsia="MS Mincho" w:hint="cs"/>
                <w:sz w:val="20"/>
                <w:szCs w:val="22"/>
                <w:rtl/>
              </w:rPr>
              <w:t>ي</w:t>
            </w:r>
            <w:r w:rsidRPr="004969DC">
              <w:rPr>
                <w:rFonts w:eastAsia="MS Mincho"/>
                <w:sz w:val="20"/>
                <w:szCs w:val="22"/>
                <w:rtl/>
              </w:rPr>
              <w:t xml:space="preserve"> ال</w:t>
            </w:r>
            <w:r w:rsidRPr="004969DC">
              <w:rPr>
                <w:rFonts w:eastAsia="MS Mincho" w:hint="cs"/>
                <w:sz w:val="20"/>
                <w:szCs w:val="22"/>
                <w:rtl/>
              </w:rPr>
              <w:t>أسقطور</w:t>
            </w:r>
            <w:r w:rsidRPr="004969DC">
              <w:rPr>
                <w:rFonts w:eastAsia="MS Mincho"/>
                <w:sz w:val="20"/>
                <w:szCs w:val="22"/>
                <w:rtl/>
              </w:rPr>
              <w:t xml:space="preserve"> المخملي (</w:t>
            </w:r>
            <w:r w:rsidRPr="004969DC">
              <w:rPr>
                <w:rFonts w:eastAsia="MS Mincho"/>
                <w:i/>
                <w:iCs/>
                <w:sz w:val="20"/>
                <w:szCs w:val="22"/>
              </w:rPr>
              <w:t>Melanitta fusca</w:t>
            </w:r>
            <w:r w:rsidRPr="004969DC">
              <w:rPr>
                <w:rFonts w:eastAsia="MS Mincho"/>
                <w:sz w:val="20"/>
                <w:szCs w:val="22"/>
                <w:rtl/>
              </w:rPr>
              <w:t>) وا</w:t>
            </w:r>
            <w:r w:rsidRPr="004969DC">
              <w:rPr>
                <w:rFonts w:eastAsia="MS Mincho" w:hint="cs"/>
                <w:sz w:val="20"/>
                <w:szCs w:val="22"/>
                <w:rtl/>
              </w:rPr>
              <w:t>لغطاس الأقرن</w:t>
            </w:r>
            <w:r w:rsidRPr="004969DC">
              <w:rPr>
                <w:rFonts w:eastAsia="MS Mincho"/>
                <w:sz w:val="20"/>
                <w:szCs w:val="22"/>
                <w:rtl/>
              </w:rPr>
              <w:t xml:space="preserve"> (</w:t>
            </w:r>
            <w:r w:rsidRPr="004969DC">
              <w:rPr>
                <w:rFonts w:eastAsia="MS Mincho"/>
                <w:i/>
                <w:iCs/>
                <w:sz w:val="20"/>
                <w:szCs w:val="22"/>
              </w:rPr>
              <w:t>Podiceps auritus</w:t>
            </w:r>
            <w:r w:rsidRPr="004969DC">
              <w:rPr>
                <w:rFonts w:eastAsia="MS Mincho"/>
                <w:sz w:val="20"/>
                <w:szCs w:val="22"/>
                <w:rtl/>
              </w:rPr>
              <w:t xml:space="preserve">). </w:t>
            </w:r>
            <w:r w:rsidRPr="004969DC">
              <w:rPr>
                <w:rFonts w:eastAsia="MS Mincho" w:hint="cs"/>
                <w:sz w:val="20"/>
                <w:szCs w:val="22"/>
                <w:rtl/>
              </w:rPr>
              <w:t>و</w:t>
            </w:r>
            <w:r w:rsidRPr="004969DC">
              <w:rPr>
                <w:rFonts w:eastAsia="MS Mincho"/>
                <w:sz w:val="20"/>
                <w:szCs w:val="22"/>
                <w:rtl/>
              </w:rPr>
              <w:t>هذه المنطقة مهمة</w:t>
            </w:r>
            <w:r w:rsidRPr="004969DC">
              <w:rPr>
                <w:rFonts w:eastAsia="MS Mincho" w:hint="cs"/>
                <w:sz w:val="20"/>
                <w:szCs w:val="22"/>
                <w:rtl/>
              </w:rPr>
              <w:t xml:space="preserve"> أيضاً</w:t>
            </w:r>
            <w:r w:rsidRPr="004969DC">
              <w:rPr>
                <w:rFonts w:eastAsia="MS Mincho"/>
                <w:sz w:val="20"/>
                <w:szCs w:val="22"/>
                <w:rtl/>
              </w:rPr>
              <w:t xml:space="preserve"> بالنسبة إلى 17 نوعًا آخر من الطيور البحرية</w:t>
            </w:r>
            <w:r w:rsidRPr="004969DC">
              <w:rPr>
                <w:rFonts w:eastAsia="MS Mincho" w:hint="cs"/>
                <w:sz w:val="20"/>
                <w:szCs w:val="22"/>
                <w:rtl/>
              </w:rPr>
              <w:t>،</w:t>
            </w:r>
            <w:r w:rsidRPr="004969DC">
              <w:rPr>
                <w:rFonts w:eastAsia="MS Mincho"/>
                <w:sz w:val="20"/>
                <w:szCs w:val="22"/>
                <w:rtl/>
              </w:rPr>
              <w:t xml:space="preserve"> وقد </w:t>
            </w:r>
            <w:r w:rsidRPr="004969DC">
              <w:rPr>
                <w:rFonts w:eastAsia="MS Mincho" w:hint="cs"/>
                <w:sz w:val="20"/>
                <w:szCs w:val="22"/>
                <w:rtl/>
              </w:rPr>
              <w:t>صنفت</w:t>
            </w:r>
            <w:r w:rsidRPr="004969DC">
              <w:rPr>
                <w:rFonts w:eastAsia="MS Mincho"/>
                <w:sz w:val="20"/>
                <w:szCs w:val="22"/>
                <w:rtl/>
              </w:rPr>
              <w:t xml:space="preserve"> كمنطقة محمية خاصة </w:t>
            </w:r>
            <w:r w:rsidRPr="004969DC">
              <w:rPr>
                <w:rFonts w:eastAsia="MS Mincho" w:hint="cs"/>
                <w:sz w:val="20"/>
                <w:szCs w:val="22"/>
                <w:rtl/>
              </w:rPr>
              <w:t xml:space="preserve">في شبكة ناتورا 2000 </w:t>
            </w:r>
            <w:r w:rsidRPr="004969DC">
              <w:rPr>
                <w:rFonts w:eastAsia="MS Mincho"/>
                <w:sz w:val="20"/>
                <w:szCs w:val="22"/>
                <w:rtl/>
              </w:rPr>
              <w:t xml:space="preserve">بموجب توجيه الاتحاد الأوروبي </w:t>
            </w:r>
            <w:r w:rsidRPr="004969DC">
              <w:rPr>
                <w:rFonts w:eastAsia="MS Mincho" w:hint="cs"/>
                <w:sz w:val="20"/>
                <w:szCs w:val="22"/>
                <w:rtl/>
              </w:rPr>
              <w:t>المتعلق بالطيور</w:t>
            </w:r>
            <w:r w:rsidRPr="004969DC">
              <w:rPr>
                <w:rFonts w:eastAsia="MS Mincho"/>
                <w:sz w:val="20"/>
                <w:szCs w:val="22"/>
                <w:rtl/>
              </w:rPr>
              <w:t xml:space="preserve"> ومنطقة</w:t>
            </w:r>
            <w:r w:rsidRPr="004969DC">
              <w:rPr>
                <w:rFonts w:eastAsia="MS Mincho" w:hint="cs"/>
                <w:sz w:val="20"/>
                <w:szCs w:val="22"/>
                <w:rtl/>
              </w:rPr>
              <w:t xml:space="preserve"> حفظ</w:t>
            </w:r>
            <w:r w:rsidRPr="004969DC">
              <w:rPr>
                <w:rFonts w:eastAsia="MS Mincho"/>
                <w:sz w:val="20"/>
                <w:szCs w:val="22"/>
                <w:rtl/>
              </w:rPr>
              <w:t xml:space="preserve"> خاصة بموجب </w:t>
            </w:r>
            <w:r w:rsidRPr="004969DC">
              <w:rPr>
                <w:rFonts w:eastAsia="MS Mincho" w:hint="cs"/>
                <w:sz w:val="20"/>
                <w:szCs w:val="22"/>
                <w:rtl/>
              </w:rPr>
              <w:t>بموجب توجيه الاتحاد الأوروبي المتعلق بالموائل</w:t>
            </w:r>
            <w:r w:rsidRPr="004969DC">
              <w:rPr>
                <w:rFonts w:eastAsia="MS Mincho"/>
                <w:sz w:val="20"/>
                <w:szCs w:val="22"/>
                <w:rtl/>
              </w:rPr>
              <w:t>. وت</w:t>
            </w:r>
            <w:r w:rsidRPr="004969DC">
              <w:rPr>
                <w:rFonts w:eastAsia="MS Mincho" w:hint="cs"/>
                <w:sz w:val="20"/>
                <w:szCs w:val="22"/>
                <w:rtl/>
              </w:rPr>
              <w:t>ضم</w:t>
            </w:r>
            <w:r w:rsidRPr="004969DC">
              <w:rPr>
                <w:rFonts w:eastAsia="MS Mincho"/>
                <w:sz w:val="20"/>
                <w:szCs w:val="22"/>
                <w:rtl/>
              </w:rPr>
              <w:t xml:space="preserve"> المنطقة أيضا</w:t>
            </w:r>
            <w:r w:rsidRPr="004969DC">
              <w:rPr>
                <w:rFonts w:eastAsia="MS Mincho" w:hint="cs"/>
                <w:sz w:val="20"/>
                <w:szCs w:val="22"/>
                <w:rtl/>
              </w:rPr>
              <w:t>ً</w:t>
            </w:r>
            <w:r w:rsidRPr="004969DC">
              <w:rPr>
                <w:rFonts w:eastAsia="MS Mincho"/>
                <w:sz w:val="20"/>
                <w:szCs w:val="22"/>
                <w:rtl/>
              </w:rPr>
              <w:t xml:space="preserve"> المحمية البحرية والساحلية الوطنية الوحيدة</w:t>
            </w:r>
            <w:r w:rsidRPr="004969DC">
              <w:rPr>
                <w:rFonts w:eastAsia="MS Mincho" w:hint="cs"/>
                <w:sz w:val="20"/>
                <w:szCs w:val="22"/>
                <w:rtl/>
              </w:rPr>
              <w:t xml:space="preserve"> في البلد</w:t>
            </w:r>
            <w:r w:rsidRPr="004969DC">
              <w:rPr>
                <w:rFonts w:eastAsia="MS Mincho"/>
                <w:sz w:val="20"/>
                <w:szCs w:val="22"/>
                <w:rtl/>
              </w:rPr>
              <w:t>،</w:t>
            </w:r>
            <w:r w:rsidRPr="004969DC">
              <w:rPr>
                <w:rFonts w:eastAsia="MS Mincho" w:hint="cs"/>
                <w:sz w:val="20"/>
                <w:szCs w:val="22"/>
                <w:rtl/>
              </w:rPr>
              <w:t xml:space="preserve"> وهي محمية</w:t>
            </w:r>
            <w:r w:rsidRPr="004969DC">
              <w:rPr>
                <w:rFonts w:eastAsia="MS Mincho"/>
                <w:sz w:val="20"/>
                <w:szCs w:val="22"/>
                <w:rtl/>
              </w:rPr>
              <w:t xml:space="preserve"> "كالياكرا</w:t>
            </w:r>
            <w:r w:rsidRPr="004969DC">
              <w:rPr>
                <w:rFonts w:eastAsia="MS Mincho" w:hint="cs"/>
                <w:sz w:val="20"/>
                <w:szCs w:val="22"/>
                <w:rtl/>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Pr>
            </w:pPr>
            <w:r w:rsidRPr="004969DC">
              <w:rPr>
                <w:rFonts w:hint="cs"/>
                <w:bCs/>
                <w:sz w:val="20"/>
                <w:szCs w:val="22"/>
                <w:rtl/>
              </w:rPr>
              <w:lastRenderedPageBreak/>
              <w:t xml:space="preserve">3- محمية فاما فيشي </w:t>
            </w:r>
            <w:r w:rsidRPr="004969DC">
              <w:rPr>
                <w:bCs/>
                <w:sz w:val="20"/>
                <w:szCs w:val="22"/>
                <w:rtl/>
              </w:rPr>
              <w:t>–</w:t>
            </w:r>
            <w:r w:rsidRPr="004969DC">
              <w:rPr>
                <w:rFonts w:hint="cs"/>
                <w:bCs/>
                <w:sz w:val="20"/>
                <w:szCs w:val="22"/>
                <w:rtl/>
              </w:rPr>
              <w:t xml:space="preserve"> 2 </w:t>
            </w:r>
            <w:r w:rsidRPr="004969DC">
              <w:rPr>
                <w:bCs/>
                <w:sz w:val="20"/>
                <w:szCs w:val="22"/>
                <w:rtl/>
              </w:rPr>
              <w:t>ماي البحرية</w:t>
            </w:r>
          </w:p>
          <w:p w:rsidR="000A5DEA" w:rsidRPr="00366E36" w:rsidRDefault="000A5DEA" w:rsidP="00CD26C5">
            <w:pPr>
              <w:pStyle w:val="ListParagraph"/>
              <w:numPr>
                <w:ilvl w:val="0"/>
                <w:numId w:val="123"/>
              </w:numPr>
              <w:bidi/>
              <w:spacing w:after="0" w:line="204" w:lineRule="auto"/>
              <w:rPr>
                <w:rFonts w:cs="Simplified Arabic"/>
                <w:sz w:val="20"/>
                <w:szCs w:val="22"/>
                <w:lang w:val="en-US"/>
              </w:rPr>
            </w:pPr>
            <w:r w:rsidRPr="004969DC">
              <w:rPr>
                <w:rFonts w:cs="Simplified Arabic"/>
                <w:sz w:val="20"/>
                <w:szCs w:val="22"/>
                <w:rtl/>
                <w:lang w:val="en-US"/>
              </w:rPr>
              <w:t xml:space="preserve">الموقع: </w:t>
            </w:r>
            <w:r w:rsidRPr="004969DC">
              <w:rPr>
                <w:rFonts w:cs="Simplified Arabic" w:hint="cs"/>
                <w:sz w:val="20"/>
                <w:szCs w:val="22"/>
                <w:rtl/>
                <w:lang w:val="en-US"/>
              </w:rPr>
              <w:t>ت</w:t>
            </w:r>
            <w:r w:rsidRPr="004969DC">
              <w:rPr>
                <w:rFonts w:cs="Simplified Arabic"/>
                <w:sz w:val="20"/>
                <w:szCs w:val="22"/>
                <w:rtl/>
                <w:lang w:val="en-US"/>
              </w:rPr>
              <w:t xml:space="preserve">قع </w:t>
            </w:r>
            <w:r w:rsidRPr="004969DC">
              <w:rPr>
                <w:rFonts w:cs="Simplified Arabic" w:hint="cs"/>
                <w:b/>
                <w:sz w:val="20"/>
                <w:szCs w:val="22"/>
                <w:rtl/>
                <w:lang w:val="en-US"/>
              </w:rPr>
              <w:t xml:space="preserve">محمية فاما فيشي – 2 </w:t>
            </w:r>
            <w:r w:rsidRPr="004969DC">
              <w:rPr>
                <w:rFonts w:cs="Simplified Arabic"/>
                <w:b/>
                <w:sz w:val="20"/>
                <w:szCs w:val="22"/>
                <w:rtl/>
                <w:lang w:val="en-US"/>
              </w:rPr>
              <w:t>ماي البحرية</w:t>
            </w:r>
            <w:r w:rsidRPr="004969DC">
              <w:rPr>
                <w:rFonts w:cs="Simplified Arabic"/>
                <w:sz w:val="20"/>
                <w:szCs w:val="22"/>
                <w:rtl/>
                <w:lang w:val="en-US"/>
              </w:rPr>
              <w:t xml:space="preserve"> في الجزء الجنوبي </w:t>
            </w:r>
            <w:r w:rsidRPr="004969DC">
              <w:rPr>
                <w:rFonts w:cs="Simplified Arabic" w:hint="cs"/>
                <w:sz w:val="20"/>
                <w:szCs w:val="22"/>
                <w:rtl/>
                <w:lang w:val="en-US"/>
              </w:rPr>
              <w:t>للساحل</w:t>
            </w:r>
            <w:r w:rsidRPr="004969DC">
              <w:rPr>
                <w:rFonts w:cs="Simplified Arabic"/>
                <w:sz w:val="20"/>
                <w:szCs w:val="22"/>
                <w:rtl/>
                <w:lang w:val="en-US"/>
              </w:rPr>
              <w:t xml:space="preserve"> الروماني، وتبلغ مساحته</w:t>
            </w:r>
            <w:r w:rsidRPr="004969DC">
              <w:rPr>
                <w:rFonts w:cs="Simplified Arabic" w:hint="cs"/>
                <w:sz w:val="20"/>
                <w:szCs w:val="22"/>
                <w:rtl/>
                <w:lang w:val="en-US"/>
              </w:rPr>
              <w:t>ا</w:t>
            </w:r>
            <w:r w:rsidRPr="004969DC">
              <w:rPr>
                <w:rFonts w:cs="Simplified Arabic"/>
                <w:sz w:val="20"/>
                <w:szCs w:val="22"/>
                <w:rtl/>
                <w:lang w:val="en-US"/>
              </w:rPr>
              <w:t xml:space="preserve"> الإجمالية </w:t>
            </w:r>
            <w:r w:rsidRPr="004969DC">
              <w:rPr>
                <w:rFonts w:cs="Simplified Arabic" w:hint="cs"/>
                <w:sz w:val="20"/>
                <w:szCs w:val="22"/>
                <w:rtl/>
                <w:lang w:val="en-US"/>
              </w:rPr>
              <w:t>231 1</w:t>
            </w:r>
            <w:r w:rsidRPr="004969DC">
              <w:rPr>
                <w:rFonts w:cs="Simplified Arabic"/>
                <w:sz w:val="20"/>
                <w:szCs w:val="22"/>
                <w:rtl/>
                <w:lang w:val="en-US"/>
              </w:rPr>
              <w:t xml:space="preserve"> كيلومتر</w:t>
            </w:r>
            <w:r w:rsidRPr="004969DC">
              <w:rPr>
                <w:rFonts w:cs="Simplified Arabic" w:hint="cs"/>
                <w:sz w:val="20"/>
                <w:szCs w:val="22"/>
                <w:rtl/>
                <w:lang w:val="en-US"/>
              </w:rPr>
              <w:t>اً</w:t>
            </w:r>
            <w:r w:rsidRPr="004969DC">
              <w:rPr>
                <w:rFonts w:cs="Simplified Arabic"/>
                <w:sz w:val="20"/>
                <w:szCs w:val="22"/>
                <w:rtl/>
                <w:lang w:val="en-US"/>
              </w:rPr>
              <w:t xml:space="preserve"> مربع</w:t>
            </w:r>
            <w:r w:rsidRPr="004969DC">
              <w:rPr>
                <w:rFonts w:cs="Simplified Arabic" w:hint="cs"/>
                <w:sz w:val="20"/>
                <w:szCs w:val="22"/>
                <w:rtl/>
                <w:lang w:val="en-US"/>
              </w:rPr>
              <w:t>اً</w:t>
            </w:r>
            <w:r w:rsidRPr="004969DC">
              <w:rPr>
                <w:rFonts w:cs="Simplified Arabic"/>
                <w:sz w:val="20"/>
                <w:szCs w:val="22"/>
                <w:rtl/>
                <w:lang w:val="en-US"/>
              </w:rPr>
              <w:t xml:space="preserve">، </w:t>
            </w:r>
            <w:r w:rsidRPr="004969DC">
              <w:rPr>
                <w:rFonts w:cs="Simplified Arabic" w:hint="cs"/>
                <w:sz w:val="20"/>
                <w:szCs w:val="22"/>
                <w:rtl/>
                <w:lang w:val="en-US"/>
              </w:rPr>
              <w:t>وهي بحرية بالكامل</w:t>
            </w:r>
            <w:r w:rsidRPr="004969DC">
              <w:rPr>
                <w:rFonts w:cs="Simplified Arabic"/>
                <w:sz w:val="20"/>
                <w:szCs w:val="22"/>
                <w:rtl/>
                <w:lang w:val="en-US"/>
              </w:rPr>
              <w:t xml:space="preserve">. </w:t>
            </w:r>
            <w:r w:rsidRPr="004969DC">
              <w:rPr>
                <w:rFonts w:cs="Simplified Arabic" w:hint="cs"/>
                <w:sz w:val="20"/>
                <w:szCs w:val="22"/>
                <w:rtl/>
                <w:lang w:val="en-US"/>
              </w:rPr>
              <w:t>و</w:t>
            </w:r>
            <w:r w:rsidRPr="004969DC">
              <w:rPr>
                <w:rFonts w:cs="Simplified Arabic"/>
                <w:sz w:val="20"/>
                <w:szCs w:val="22"/>
                <w:rtl/>
                <w:lang w:val="en-US"/>
              </w:rPr>
              <w:t>الإحداثيات الجغرافية ل</w:t>
            </w:r>
            <w:r w:rsidRPr="004969DC">
              <w:rPr>
                <w:rFonts w:cs="Simplified Arabic" w:hint="cs"/>
                <w:sz w:val="20"/>
                <w:szCs w:val="22"/>
                <w:rtl/>
                <w:lang w:val="en-US"/>
              </w:rPr>
              <w:t>هذا ا</w:t>
            </w:r>
            <w:r w:rsidRPr="004969DC">
              <w:rPr>
                <w:rFonts w:cs="Simplified Arabic"/>
                <w:sz w:val="20"/>
                <w:szCs w:val="22"/>
                <w:rtl/>
                <w:lang w:val="en-US"/>
              </w:rPr>
              <w:t xml:space="preserve">لموقع هي </w:t>
            </w:r>
            <w:r w:rsidRPr="004969DC">
              <w:rPr>
                <w:rFonts w:cs="Simplified Arabic" w:hint="cs"/>
                <w:sz w:val="20"/>
                <w:szCs w:val="22"/>
                <w:rtl/>
                <w:lang w:val="en-US"/>
              </w:rPr>
              <w:t>28,0019777 شرقاً و43,004000 شمالاً.</w:t>
            </w:r>
          </w:p>
          <w:p w:rsidR="000A5DEA" w:rsidRPr="004969DC" w:rsidRDefault="000A5DEA" w:rsidP="00CD26C5">
            <w:pPr>
              <w:numPr>
                <w:ilvl w:val="0"/>
                <w:numId w:val="123"/>
              </w:numPr>
              <w:spacing w:after="0" w:line="204" w:lineRule="auto"/>
              <w:rPr>
                <w:rFonts w:eastAsia="MS Mincho"/>
                <w:sz w:val="20"/>
                <w:szCs w:val="22"/>
              </w:rPr>
            </w:pPr>
            <w:r w:rsidRPr="004969DC">
              <w:rPr>
                <w:rFonts w:eastAsia="MS Mincho"/>
                <w:sz w:val="20"/>
                <w:szCs w:val="22"/>
                <w:rtl/>
              </w:rPr>
              <w:t>تتميز المنطقة بمزيج فريد من التنوع الواسع</w:t>
            </w:r>
            <w:r w:rsidRPr="004969DC">
              <w:rPr>
                <w:rFonts w:eastAsia="MS Mincho" w:hint="cs"/>
                <w:sz w:val="20"/>
                <w:szCs w:val="22"/>
                <w:rtl/>
              </w:rPr>
              <w:t xml:space="preserve"> النطاق</w:t>
            </w:r>
            <w:r w:rsidRPr="004969DC">
              <w:rPr>
                <w:rFonts w:eastAsia="MS Mincho"/>
                <w:sz w:val="20"/>
                <w:szCs w:val="22"/>
                <w:rtl/>
              </w:rPr>
              <w:t xml:space="preserve"> لأنواع</w:t>
            </w:r>
            <w:r w:rsidRPr="004969DC">
              <w:rPr>
                <w:rFonts w:eastAsia="MS Mincho" w:hint="cs"/>
                <w:sz w:val="20"/>
                <w:szCs w:val="22"/>
                <w:rtl/>
              </w:rPr>
              <w:t xml:space="preserve"> من</w:t>
            </w:r>
            <w:r w:rsidRPr="004969DC">
              <w:rPr>
                <w:rFonts w:eastAsia="MS Mincho"/>
                <w:sz w:val="20"/>
                <w:szCs w:val="22"/>
                <w:rtl/>
              </w:rPr>
              <w:t xml:space="preserve"> الموائل ال</w:t>
            </w:r>
            <w:r w:rsidRPr="004969DC">
              <w:rPr>
                <w:rFonts w:eastAsia="MS Mincho" w:hint="cs"/>
                <w:sz w:val="20"/>
                <w:szCs w:val="22"/>
                <w:rtl/>
              </w:rPr>
              <w:t xml:space="preserve">كبيرة </w:t>
            </w:r>
            <w:r w:rsidRPr="004969DC">
              <w:rPr>
                <w:rFonts w:eastAsia="MS Mincho"/>
                <w:sz w:val="20"/>
                <w:szCs w:val="22"/>
                <w:rtl/>
              </w:rPr>
              <w:t xml:space="preserve">التي تعتبر فسيفساء حقيقية </w:t>
            </w:r>
            <w:r w:rsidRPr="004969DC">
              <w:rPr>
                <w:rFonts w:eastAsia="MS Mincho" w:hint="cs"/>
                <w:sz w:val="20"/>
                <w:szCs w:val="22"/>
                <w:rtl/>
              </w:rPr>
              <w:t>مكثفة</w:t>
            </w:r>
            <w:r w:rsidRPr="004969DC">
              <w:rPr>
                <w:rFonts w:eastAsia="MS Mincho"/>
                <w:sz w:val="20"/>
                <w:szCs w:val="22"/>
                <w:rtl/>
              </w:rPr>
              <w:t xml:space="preserve"> في مساحة صغيرة </w:t>
            </w:r>
            <w:r w:rsidRPr="004969DC">
              <w:rPr>
                <w:rFonts w:eastAsia="MS Mincho" w:hint="cs"/>
                <w:sz w:val="20"/>
                <w:szCs w:val="22"/>
                <w:rtl/>
              </w:rPr>
              <w:t>نسبياً</w:t>
            </w:r>
            <w:r w:rsidRPr="004969DC">
              <w:rPr>
                <w:rFonts w:eastAsia="MS Mincho"/>
                <w:sz w:val="20"/>
                <w:szCs w:val="22"/>
                <w:rtl/>
              </w:rPr>
              <w:t xml:space="preserve">، </w:t>
            </w:r>
            <w:r w:rsidRPr="004969DC">
              <w:rPr>
                <w:rFonts w:eastAsia="MS Mincho" w:hint="cs"/>
                <w:sz w:val="20"/>
                <w:szCs w:val="22"/>
                <w:rtl/>
              </w:rPr>
              <w:t>وتشكل منطقة</w:t>
            </w:r>
            <w:r w:rsidRPr="004969DC">
              <w:rPr>
                <w:rFonts w:eastAsia="MS Mincho"/>
                <w:sz w:val="20"/>
                <w:szCs w:val="22"/>
                <w:rtl/>
              </w:rPr>
              <w:t xml:space="preserve"> إيواء وتكاثر للعديد من الأنواع البحرية. </w:t>
            </w:r>
            <w:r w:rsidRPr="004969DC">
              <w:rPr>
                <w:rFonts w:eastAsia="MS Mincho" w:hint="cs"/>
                <w:sz w:val="20"/>
                <w:szCs w:val="22"/>
                <w:rtl/>
              </w:rPr>
              <w:t>وتتميز هذه المنطقة</w:t>
            </w:r>
            <w:r w:rsidRPr="004969DC">
              <w:rPr>
                <w:rFonts w:eastAsia="MS Mincho"/>
                <w:sz w:val="20"/>
                <w:szCs w:val="22"/>
                <w:rtl/>
              </w:rPr>
              <w:t>، مقارنة بالتنوع البيولوجي للمناطق المحيطة بها</w:t>
            </w:r>
            <w:r w:rsidRPr="004969DC">
              <w:rPr>
                <w:rFonts w:eastAsia="MS Mincho" w:hint="cs"/>
                <w:sz w:val="20"/>
                <w:szCs w:val="22"/>
                <w:rtl/>
              </w:rPr>
              <w:t>، بغناها الشديد من الكائنات الحية القاعية واليمّية</w:t>
            </w:r>
            <w:r w:rsidRPr="004969DC">
              <w:rPr>
                <w:rFonts w:eastAsia="MS Mincho"/>
                <w:sz w:val="20"/>
                <w:szCs w:val="22"/>
                <w:rtl/>
              </w:rPr>
              <w:t xml:space="preserve">. </w:t>
            </w:r>
            <w:r w:rsidRPr="004969DC">
              <w:rPr>
                <w:rFonts w:eastAsia="MS Mincho" w:hint="cs"/>
                <w:sz w:val="20"/>
                <w:szCs w:val="22"/>
                <w:rtl/>
              </w:rPr>
              <w:t>و</w:t>
            </w:r>
            <w:r w:rsidRPr="004969DC">
              <w:rPr>
                <w:rFonts w:eastAsia="MS Mincho"/>
                <w:sz w:val="20"/>
                <w:szCs w:val="22"/>
                <w:rtl/>
              </w:rPr>
              <w:t>على الرغم من صغر حجم</w:t>
            </w:r>
            <w:r w:rsidRPr="004969DC">
              <w:rPr>
                <w:rFonts w:eastAsia="MS Mincho" w:hint="cs"/>
                <w:sz w:val="20"/>
                <w:szCs w:val="22"/>
                <w:rtl/>
              </w:rPr>
              <w:t xml:space="preserve"> هذه المحمية</w:t>
            </w:r>
            <w:r w:rsidRPr="004969DC">
              <w:rPr>
                <w:rFonts w:eastAsia="MS Mincho"/>
                <w:sz w:val="20"/>
                <w:szCs w:val="22"/>
                <w:rtl/>
              </w:rPr>
              <w:t xml:space="preserve">، فقد </w:t>
            </w:r>
            <w:r w:rsidRPr="004969DC">
              <w:rPr>
                <w:rFonts w:eastAsia="MS Mincho" w:hint="cs"/>
                <w:sz w:val="20"/>
                <w:szCs w:val="22"/>
                <w:rtl/>
              </w:rPr>
              <w:t>اقترحت لتكون ملاذاً</w:t>
            </w:r>
            <w:r w:rsidRPr="004969DC">
              <w:rPr>
                <w:rFonts w:eastAsia="MS Mincho"/>
                <w:sz w:val="20"/>
                <w:szCs w:val="22"/>
                <w:rtl/>
              </w:rPr>
              <w:t xml:space="preserve"> للحيتانيات </w:t>
            </w:r>
            <w:r w:rsidRPr="004969DC">
              <w:rPr>
                <w:rFonts w:eastAsia="MS Mincho" w:hint="cs"/>
                <w:sz w:val="20"/>
                <w:szCs w:val="22"/>
                <w:rtl/>
              </w:rPr>
              <w:t>نظراً</w:t>
            </w:r>
            <w:r w:rsidRPr="004969DC">
              <w:rPr>
                <w:rFonts w:eastAsia="MS Mincho"/>
                <w:sz w:val="20"/>
                <w:szCs w:val="22"/>
                <w:rtl/>
              </w:rPr>
              <w:t xml:space="preserve"> </w:t>
            </w:r>
            <w:r w:rsidRPr="004969DC">
              <w:rPr>
                <w:rFonts w:eastAsia="MS Mincho" w:hint="cs"/>
                <w:sz w:val="20"/>
                <w:szCs w:val="22"/>
                <w:rtl/>
              </w:rPr>
              <w:t>ل</w:t>
            </w:r>
            <w:r w:rsidRPr="004969DC">
              <w:rPr>
                <w:rFonts w:eastAsia="MS Mincho"/>
                <w:sz w:val="20"/>
                <w:szCs w:val="22"/>
                <w:rtl/>
              </w:rPr>
              <w:t>تنوعه</w:t>
            </w:r>
            <w:r w:rsidRPr="004969DC">
              <w:rPr>
                <w:rFonts w:eastAsia="MS Mincho" w:hint="cs"/>
                <w:sz w:val="20"/>
                <w:szCs w:val="22"/>
                <w:rtl/>
              </w:rPr>
              <w:t>ا</w:t>
            </w:r>
            <w:r w:rsidRPr="004969DC">
              <w:rPr>
                <w:rFonts w:eastAsia="MS Mincho"/>
                <w:sz w:val="20"/>
                <w:szCs w:val="22"/>
                <w:rtl/>
              </w:rPr>
              <w:t xml:space="preserve"> البيولوجي المرتفع، </w:t>
            </w:r>
            <w:r w:rsidRPr="004969DC">
              <w:rPr>
                <w:rFonts w:eastAsia="MS Mincho" w:hint="cs"/>
                <w:sz w:val="20"/>
                <w:szCs w:val="22"/>
                <w:rtl/>
              </w:rPr>
              <w:t>وصنفت أيضاً</w:t>
            </w:r>
            <w:r w:rsidRPr="004969DC">
              <w:rPr>
                <w:rFonts w:eastAsia="MS Mincho"/>
                <w:sz w:val="20"/>
                <w:szCs w:val="22"/>
                <w:rtl/>
              </w:rPr>
              <w:t xml:space="preserve"> كمنطقة </w:t>
            </w:r>
            <w:r w:rsidRPr="004969DC">
              <w:rPr>
                <w:rFonts w:eastAsia="MS Mincho" w:hint="cs"/>
                <w:sz w:val="20"/>
                <w:szCs w:val="22"/>
                <w:rtl/>
              </w:rPr>
              <w:t xml:space="preserve">بحرية </w:t>
            </w:r>
            <w:r w:rsidRPr="004969DC">
              <w:rPr>
                <w:rFonts w:eastAsia="MS Mincho"/>
                <w:sz w:val="20"/>
                <w:szCs w:val="22"/>
                <w:rtl/>
              </w:rPr>
              <w:t xml:space="preserve">مهمة للطيور والتنوع البيولوجي. </w:t>
            </w:r>
            <w:r w:rsidRPr="004969DC">
              <w:rPr>
                <w:rFonts w:eastAsia="MS Mincho" w:hint="cs"/>
                <w:sz w:val="20"/>
                <w:szCs w:val="22"/>
                <w:rtl/>
              </w:rPr>
              <w:t>و</w:t>
            </w:r>
            <w:r w:rsidRPr="004969DC">
              <w:rPr>
                <w:rFonts w:eastAsia="MS Mincho"/>
                <w:sz w:val="20"/>
                <w:szCs w:val="22"/>
                <w:rtl/>
              </w:rPr>
              <w:t xml:space="preserve">المنطقة مهمة </w:t>
            </w:r>
            <w:r w:rsidRPr="004969DC">
              <w:rPr>
                <w:rFonts w:eastAsia="MS Mincho" w:hint="cs"/>
                <w:sz w:val="20"/>
                <w:szCs w:val="22"/>
                <w:rtl/>
              </w:rPr>
              <w:t>بسبب تنوعها</w:t>
            </w:r>
            <w:r w:rsidRPr="004969DC">
              <w:rPr>
                <w:rFonts w:eastAsia="MS Mincho"/>
                <w:sz w:val="20"/>
                <w:szCs w:val="22"/>
                <w:rtl/>
              </w:rPr>
              <w:t xml:space="preserve"> البيولوجي</w:t>
            </w:r>
            <w:r w:rsidRPr="004969DC">
              <w:rPr>
                <w:rFonts w:eastAsia="MS Mincho"/>
                <w:sz w:val="20"/>
                <w:szCs w:val="22"/>
              </w:rPr>
              <w:t xml:space="preserve"> </w:t>
            </w:r>
          </w:p>
          <w:p w:rsidR="000A5DEA" w:rsidRPr="004969DC" w:rsidRDefault="000A5DEA" w:rsidP="004969DC">
            <w:pPr>
              <w:spacing w:after="0" w:line="204" w:lineRule="auto"/>
              <w:rPr>
                <w:rFonts w:eastAsia="MS Mincho"/>
                <w:sz w:val="20"/>
                <w:szCs w:val="22"/>
              </w:rPr>
            </w:pP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tl/>
                <w:lang w:val="fr-CH"/>
              </w:rPr>
            </w:pPr>
            <w:r w:rsidRPr="004969DC">
              <w:rPr>
                <w:rFonts w:hint="cs"/>
                <w:bCs/>
                <w:sz w:val="20"/>
                <w:szCs w:val="22"/>
                <w:rtl/>
              </w:rPr>
              <w:t>4- المنطقة البحرية لدلتا الدانوب</w:t>
            </w:r>
          </w:p>
          <w:p w:rsidR="000A5DEA" w:rsidRPr="004969DC" w:rsidRDefault="000A5DEA" w:rsidP="00CD26C5">
            <w:pPr>
              <w:pStyle w:val="ListParagraph"/>
              <w:numPr>
                <w:ilvl w:val="0"/>
                <w:numId w:val="124"/>
              </w:numPr>
              <w:bidi/>
              <w:snapToGrid w:val="0"/>
              <w:spacing w:after="0" w:line="204" w:lineRule="auto"/>
              <w:jc w:val="left"/>
              <w:rPr>
                <w:rFonts w:eastAsia="MS Mincho" w:cs="Simplified Arabic"/>
                <w:sz w:val="20"/>
                <w:szCs w:val="22"/>
                <w:lang w:val="en-US"/>
              </w:rPr>
            </w:pPr>
            <w:r w:rsidRPr="004969DC">
              <w:rPr>
                <w:rFonts w:cs="Simplified Arabic"/>
                <w:sz w:val="20"/>
                <w:szCs w:val="22"/>
                <w:rtl/>
                <w:lang w:val="en-CA"/>
              </w:rPr>
              <w:t xml:space="preserve">الموقع: تقع هذه المنطقة </w:t>
            </w:r>
            <w:r w:rsidRPr="004969DC">
              <w:rPr>
                <w:rFonts w:cs="Simplified Arabic" w:hint="cs"/>
                <w:sz w:val="20"/>
                <w:szCs w:val="22"/>
                <w:rtl/>
                <w:lang w:val="en-CA"/>
              </w:rPr>
              <w:t>قبالة</w:t>
            </w:r>
            <w:r w:rsidRPr="004969DC">
              <w:rPr>
                <w:rFonts w:cs="Simplified Arabic"/>
                <w:sz w:val="20"/>
                <w:szCs w:val="22"/>
                <w:rtl/>
                <w:lang w:val="en-CA"/>
              </w:rPr>
              <w:t xml:space="preserve"> دلتا نهر الدانوب بين ذراع </w:t>
            </w:r>
            <w:r w:rsidRPr="004969DC">
              <w:rPr>
                <w:rFonts w:cs="Simplified Arabic" w:hint="cs"/>
                <w:sz w:val="20"/>
                <w:szCs w:val="22"/>
                <w:rtl/>
                <w:lang w:val="en-CA"/>
              </w:rPr>
              <w:t>شيليا</w:t>
            </w:r>
            <w:r w:rsidRPr="004969DC">
              <w:rPr>
                <w:rFonts w:cs="Simplified Arabic"/>
                <w:sz w:val="20"/>
                <w:szCs w:val="22"/>
                <w:rtl/>
                <w:lang w:val="en-CA"/>
              </w:rPr>
              <w:t xml:space="preserve"> في الشمال </w:t>
            </w:r>
            <w:r w:rsidRPr="004969DC">
              <w:rPr>
                <w:rFonts w:cs="Simplified Arabic" w:hint="cs"/>
                <w:sz w:val="20"/>
                <w:szCs w:val="22"/>
                <w:rtl/>
                <w:lang w:val="en-CA"/>
              </w:rPr>
              <w:t>ورأس ميديا</w:t>
            </w:r>
            <w:r w:rsidRPr="004969DC">
              <w:rPr>
                <w:rFonts w:cs="Simplified Arabic"/>
                <w:sz w:val="20"/>
                <w:szCs w:val="22"/>
                <w:rtl/>
                <w:lang w:val="en-CA"/>
              </w:rPr>
              <w:t xml:space="preserve"> في الجنوب </w:t>
            </w:r>
            <w:r w:rsidRPr="004969DC">
              <w:rPr>
                <w:rFonts w:cs="Simplified Arabic" w:hint="cs"/>
                <w:sz w:val="20"/>
                <w:szCs w:val="22"/>
                <w:rtl/>
                <w:lang w:val="en-CA"/>
              </w:rPr>
              <w:t>وتمتد إلى</w:t>
            </w:r>
            <w:r w:rsidRPr="004969DC">
              <w:rPr>
                <w:rFonts w:cs="Simplified Arabic"/>
                <w:sz w:val="20"/>
                <w:szCs w:val="22"/>
                <w:rtl/>
                <w:lang w:val="en-CA"/>
              </w:rPr>
              <w:t xml:space="preserve"> البحر حتى</w:t>
            </w:r>
            <w:r w:rsidRPr="004969DC">
              <w:rPr>
                <w:rFonts w:cs="Simplified Arabic" w:hint="cs"/>
                <w:sz w:val="20"/>
                <w:szCs w:val="22"/>
                <w:rtl/>
                <w:lang w:val="en-CA"/>
              </w:rPr>
              <w:t xml:space="preserve"> نقطة</w:t>
            </w:r>
            <w:r w:rsidRPr="004969DC">
              <w:rPr>
                <w:rFonts w:cs="Simplified Arabic"/>
                <w:sz w:val="20"/>
                <w:szCs w:val="22"/>
                <w:rtl/>
                <w:lang w:val="en-CA"/>
              </w:rPr>
              <w:t xml:space="preserve"> التساوي العمقي</w:t>
            </w:r>
            <w:r w:rsidRPr="004969DC">
              <w:rPr>
                <w:rFonts w:cs="Simplified Arabic" w:hint="cs"/>
                <w:sz w:val="20"/>
                <w:szCs w:val="22"/>
                <w:rtl/>
                <w:lang w:val="en-CA"/>
              </w:rPr>
              <w:t xml:space="preserve"> عند</w:t>
            </w:r>
            <w:r w:rsidRPr="004969DC">
              <w:rPr>
                <w:rFonts w:cs="Simplified Arabic"/>
                <w:sz w:val="20"/>
                <w:szCs w:val="22"/>
                <w:rtl/>
                <w:lang w:val="en-CA"/>
              </w:rPr>
              <w:t xml:space="preserve"> 20 م</w:t>
            </w:r>
            <w:r w:rsidRPr="004969DC">
              <w:rPr>
                <w:rFonts w:cs="Simplified Arabic" w:hint="cs"/>
                <w:sz w:val="20"/>
                <w:szCs w:val="22"/>
                <w:rtl/>
                <w:lang w:val="en-CA"/>
              </w:rPr>
              <w:t>تراً</w:t>
            </w:r>
            <w:r w:rsidRPr="004969DC">
              <w:rPr>
                <w:rFonts w:cs="Simplified Arabic"/>
                <w:sz w:val="20"/>
                <w:szCs w:val="22"/>
                <w:rtl/>
                <w:lang w:val="en-CA"/>
              </w:rPr>
              <w:t xml:space="preserve">. </w:t>
            </w:r>
            <w:r w:rsidRPr="004969DC">
              <w:rPr>
                <w:rFonts w:cs="Simplified Arabic" w:hint="cs"/>
                <w:sz w:val="20"/>
                <w:szCs w:val="22"/>
                <w:rtl/>
                <w:lang w:val="en-CA"/>
              </w:rPr>
              <w:t>وتغطي مساحة إجمالية قدرها</w:t>
            </w:r>
            <w:r w:rsidRPr="004969DC">
              <w:rPr>
                <w:rFonts w:cs="Simplified Arabic"/>
                <w:sz w:val="20"/>
                <w:szCs w:val="22"/>
                <w:rtl/>
                <w:lang w:val="en-CA"/>
              </w:rPr>
              <w:t xml:space="preserve"> </w:t>
            </w:r>
            <w:r w:rsidRPr="004969DC">
              <w:rPr>
                <w:rFonts w:cs="Simplified Arabic" w:hint="cs"/>
                <w:sz w:val="20"/>
                <w:szCs w:val="22"/>
                <w:rtl/>
                <w:lang w:val="en-CA"/>
              </w:rPr>
              <w:t>217 1</w:t>
            </w:r>
            <w:r w:rsidRPr="004969DC">
              <w:rPr>
                <w:rFonts w:cs="Simplified Arabic"/>
                <w:sz w:val="20"/>
                <w:szCs w:val="22"/>
                <w:rtl/>
                <w:lang w:val="en-CA"/>
              </w:rPr>
              <w:t xml:space="preserve"> كيلومتر</w:t>
            </w:r>
            <w:r w:rsidRPr="004969DC">
              <w:rPr>
                <w:rFonts w:cs="Simplified Arabic" w:hint="cs"/>
                <w:sz w:val="20"/>
                <w:szCs w:val="22"/>
                <w:rtl/>
                <w:lang w:val="en-CA"/>
              </w:rPr>
              <w:t>اً</w:t>
            </w:r>
            <w:r w:rsidRPr="004969DC">
              <w:rPr>
                <w:rFonts w:cs="Simplified Arabic"/>
                <w:sz w:val="20"/>
                <w:szCs w:val="22"/>
                <w:rtl/>
                <w:lang w:val="en-CA"/>
              </w:rPr>
              <w:t xml:space="preserve"> مربع، </w:t>
            </w:r>
            <w:r w:rsidRPr="004969DC">
              <w:rPr>
                <w:rFonts w:cs="Simplified Arabic" w:hint="cs"/>
                <w:sz w:val="20"/>
                <w:szCs w:val="22"/>
                <w:rtl/>
                <w:lang w:val="en-CA"/>
              </w:rPr>
              <w:t>وهذه المساحة بحرية بالكامل</w:t>
            </w:r>
            <w:r w:rsidRPr="004969DC">
              <w:rPr>
                <w:rFonts w:cs="Simplified Arabic"/>
                <w:sz w:val="20"/>
                <w:szCs w:val="22"/>
                <w:rtl/>
                <w:lang w:val="en-CA"/>
              </w:rPr>
              <w:t xml:space="preserve">. </w:t>
            </w:r>
            <w:r w:rsidRPr="004969DC">
              <w:rPr>
                <w:rFonts w:cs="Simplified Arabic" w:hint="cs"/>
                <w:sz w:val="20"/>
                <w:szCs w:val="22"/>
                <w:rtl/>
                <w:lang w:val="en-CA"/>
              </w:rPr>
              <w:t>و</w:t>
            </w:r>
            <w:r w:rsidRPr="004969DC">
              <w:rPr>
                <w:rFonts w:cs="Simplified Arabic"/>
                <w:sz w:val="20"/>
                <w:szCs w:val="22"/>
                <w:rtl/>
                <w:lang w:val="en-CA"/>
              </w:rPr>
              <w:t xml:space="preserve">الإحداثيات الجغرافية للموقع هي </w:t>
            </w:r>
            <w:r w:rsidRPr="004969DC">
              <w:rPr>
                <w:rFonts w:cs="Simplified Arabic" w:hint="cs"/>
                <w:sz w:val="20"/>
                <w:szCs w:val="22"/>
                <w:rtl/>
                <w:lang w:val="en-CA"/>
              </w:rPr>
              <w:t>44,000472 شمالاً و29,0111277 شرقاً.</w:t>
            </w:r>
          </w:p>
          <w:p w:rsidR="000A5DEA" w:rsidRPr="004969DC" w:rsidRDefault="000A5DEA" w:rsidP="00CD26C5">
            <w:pPr>
              <w:pStyle w:val="ListParagraph"/>
              <w:numPr>
                <w:ilvl w:val="0"/>
                <w:numId w:val="124"/>
              </w:numPr>
              <w:bidi/>
              <w:snapToGrid w:val="0"/>
              <w:spacing w:after="0" w:line="204" w:lineRule="auto"/>
              <w:rPr>
                <w:rFonts w:cs="Simplified Arabic"/>
                <w:sz w:val="20"/>
                <w:szCs w:val="22"/>
                <w:lang w:val="en-CA"/>
              </w:rPr>
            </w:pPr>
            <w:r w:rsidRPr="004969DC">
              <w:rPr>
                <w:rFonts w:eastAsia="MS Mincho" w:cs="Simplified Arabic"/>
                <w:sz w:val="20"/>
                <w:szCs w:val="22"/>
                <w:rtl/>
                <w:lang w:val="en-US"/>
              </w:rPr>
              <w:t xml:space="preserve">تتأثر هذه المنطقة بشدة بتدفق المياه العذبة والرواسب التي يحملها نهر الدانوب، </w:t>
            </w:r>
            <w:r w:rsidRPr="004969DC">
              <w:rPr>
                <w:rFonts w:eastAsia="MS Mincho" w:cs="Simplified Arabic" w:hint="cs"/>
                <w:sz w:val="20"/>
                <w:szCs w:val="22"/>
                <w:rtl/>
                <w:lang w:val="en-US"/>
              </w:rPr>
              <w:t>وهو ما يتسبب في نشوء مزيج</w:t>
            </w:r>
            <w:r w:rsidRPr="004969DC">
              <w:rPr>
                <w:rFonts w:eastAsia="MS Mincho" w:cs="Simplified Arabic"/>
                <w:sz w:val="20"/>
                <w:szCs w:val="22"/>
                <w:rtl/>
                <w:lang w:val="en-US"/>
              </w:rPr>
              <w:t xml:space="preserve"> من الموائل الرسوبية الفريدة</w:t>
            </w:r>
            <w:r w:rsidRPr="004969DC">
              <w:rPr>
                <w:rFonts w:eastAsia="MS Mincho" w:cs="Simplified Arabic" w:hint="cs"/>
                <w:sz w:val="20"/>
                <w:szCs w:val="22"/>
                <w:rtl/>
                <w:lang w:val="en-US"/>
              </w:rPr>
              <w:t xml:space="preserve"> من نوعها</w:t>
            </w:r>
            <w:r w:rsidRPr="004969DC">
              <w:rPr>
                <w:rFonts w:eastAsia="MS Mincho" w:cs="Simplified Arabic"/>
                <w:sz w:val="20"/>
                <w:szCs w:val="22"/>
                <w:rtl/>
                <w:lang w:val="en-US"/>
              </w:rPr>
              <w:t xml:space="preserve"> في المنطقة الساحلية الرومانية. وت</w:t>
            </w:r>
            <w:r w:rsidRPr="004969DC">
              <w:rPr>
                <w:rFonts w:eastAsia="MS Mincho" w:cs="Simplified Arabic" w:hint="cs"/>
                <w:sz w:val="20"/>
                <w:szCs w:val="22"/>
                <w:rtl/>
                <w:lang w:val="en-US"/>
              </w:rPr>
              <w:t>تضمن</w:t>
            </w:r>
            <w:r w:rsidRPr="004969DC">
              <w:rPr>
                <w:rFonts w:eastAsia="MS Mincho" w:cs="Simplified Arabic"/>
                <w:sz w:val="20"/>
                <w:szCs w:val="22"/>
                <w:rtl/>
                <w:lang w:val="en-US"/>
              </w:rPr>
              <w:t xml:space="preserve"> هذه الموائل الرسوبية والموائل ال</w:t>
            </w:r>
            <w:r w:rsidRPr="004969DC">
              <w:rPr>
                <w:rFonts w:eastAsia="MS Mincho" w:cs="Simplified Arabic" w:hint="cs"/>
                <w:sz w:val="20"/>
                <w:szCs w:val="22"/>
                <w:rtl/>
                <w:lang w:val="en-US"/>
              </w:rPr>
              <w:t>يمّية</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ال</w:t>
            </w:r>
            <w:r w:rsidRPr="004969DC">
              <w:rPr>
                <w:rFonts w:eastAsia="MS Mincho" w:cs="Simplified Arabic"/>
                <w:sz w:val="20"/>
                <w:szCs w:val="22"/>
                <w:rtl/>
                <w:lang w:val="en-US"/>
              </w:rPr>
              <w:t xml:space="preserve">منخفضة الملوحة </w:t>
            </w:r>
            <w:r w:rsidRPr="004969DC">
              <w:rPr>
                <w:rFonts w:eastAsia="MS Mincho" w:cs="Simplified Arabic" w:hint="cs"/>
                <w:sz w:val="20"/>
                <w:szCs w:val="22"/>
                <w:rtl/>
                <w:lang w:val="en-US"/>
              </w:rPr>
              <w:t>نسبة عالية</w:t>
            </w:r>
            <w:r w:rsidRPr="004969DC">
              <w:rPr>
                <w:rFonts w:eastAsia="MS Mincho" w:cs="Simplified Arabic"/>
                <w:sz w:val="20"/>
                <w:szCs w:val="22"/>
                <w:rtl/>
                <w:lang w:val="en-US"/>
              </w:rPr>
              <w:t xml:space="preserve"> من المياه العذبة والمياه الم</w:t>
            </w:r>
            <w:r w:rsidRPr="004969DC">
              <w:rPr>
                <w:rFonts w:eastAsia="MS Mincho" w:cs="Simplified Arabic" w:hint="cs"/>
                <w:sz w:val="20"/>
                <w:szCs w:val="22"/>
                <w:rtl/>
                <w:lang w:val="en-US"/>
              </w:rPr>
              <w:t>توسطة الملوحة</w:t>
            </w:r>
            <w:r w:rsidRPr="004969DC">
              <w:rPr>
                <w:rFonts w:eastAsia="MS Mincho" w:cs="Simplified Arabic"/>
                <w:sz w:val="20"/>
                <w:szCs w:val="22"/>
                <w:rtl/>
                <w:lang w:val="en-US"/>
              </w:rPr>
              <w:t xml:space="preserve"> والأنواع البحرية. و</w:t>
            </w:r>
            <w:r w:rsidRPr="004969DC">
              <w:rPr>
                <w:rFonts w:eastAsia="MS Mincho" w:cs="Simplified Arabic" w:hint="cs"/>
                <w:sz w:val="20"/>
                <w:szCs w:val="22"/>
                <w:rtl/>
                <w:lang w:val="en-US"/>
              </w:rPr>
              <w:t>تشكل هذه</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ال</w:t>
            </w:r>
            <w:r w:rsidRPr="004969DC">
              <w:rPr>
                <w:rFonts w:eastAsia="MS Mincho" w:cs="Simplified Arabic"/>
                <w:sz w:val="20"/>
                <w:szCs w:val="22"/>
                <w:rtl/>
                <w:lang w:val="en-US"/>
              </w:rPr>
              <w:t>منطقة</w:t>
            </w:r>
            <w:r w:rsidRPr="004969DC">
              <w:rPr>
                <w:rFonts w:eastAsia="MS Mincho" w:cs="Simplified Arabic" w:hint="cs"/>
                <w:sz w:val="20"/>
                <w:szCs w:val="22"/>
                <w:rtl/>
                <w:lang w:val="en-US"/>
              </w:rPr>
              <w:t xml:space="preserve"> مكان</w:t>
            </w:r>
            <w:r w:rsidRPr="004969DC">
              <w:rPr>
                <w:rFonts w:eastAsia="MS Mincho" w:cs="Simplified Arabic"/>
                <w:sz w:val="20"/>
                <w:szCs w:val="22"/>
                <w:rtl/>
                <w:lang w:val="en-US"/>
              </w:rPr>
              <w:t xml:space="preserve"> حضانة و</w:t>
            </w:r>
            <w:r w:rsidRPr="004969DC">
              <w:rPr>
                <w:rFonts w:eastAsia="MS Mincho" w:cs="Simplified Arabic" w:hint="cs"/>
                <w:sz w:val="20"/>
                <w:szCs w:val="22"/>
                <w:rtl/>
                <w:lang w:val="en-US"/>
              </w:rPr>
              <w:t>إعلاف</w:t>
            </w:r>
            <w:r w:rsidRPr="004969DC">
              <w:rPr>
                <w:rFonts w:eastAsia="MS Mincho" w:cs="Simplified Arabic"/>
                <w:sz w:val="20"/>
                <w:szCs w:val="22"/>
                <w:rtl/>
                <w:lang w:val="en-US"/>
              </w:rPr>
              <w:t xml:space="preserve"> هام </w:t>
            </w:r>
            <w:r w:rsidRPr="004969DC">
              <w:rPr>
                <w:rFonts w:eastAsia="MS Mincho" w:cs="Simplified Arabic" w:hint="cs"/>
                <w:sz w:val="20"/>
                <w:szCs w:val="22"/>
                <w:rtl/>
                <w:lang w:val="en-US"/>
              </w:rPr>
              <w:t>لسمك الحفش والشاد في</w:t>
            </w:r>
            <w:r w:rsidRPr="004969DC">
              <w:rPr>
                <w:rFonts w:eastAsia="MS Mincho" w:cs="Simplified Arabic"/>
                <w:sz w:val="20"/>
                <w:szCs w:val="22"/>
                <w:rtl/>
                <w:lang w:val="en-US"/>
              </w:rPr>
              <w:t xml:space="preserve"> البحر الأسود، وه</w:t>
            </w:r>
            <w:r w:rsidRPr="004969DC">
              <w:rPr>
                <w:rFonts w:eastAsia="MS Mincho" w:cs="Simplified Arabic" w:hint="cs"/>
                <w:sz w:val="20"/>
                <w:szCs w:val="22"/>
                <w:rtl/>
                <w:lang w:val="en-US"/>
              </w:rPr>
              <w:t>ما</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نوعان محميان</w:t>
            </w:r>
            <w:r w:rsidRPr="004969DC">
              <w:rPr>
                <w:rFonts w:eastAsia="MS Mincho" w:cs="Simplified Arabic"/>
                <w:sz w:val="20"/>
                <w:szCs w:val="22"/>
                <w:rtl/>
                <w:lang w:val="en-US"/>
              </w:rPr>
              <w:t xml:space="preserve"> بموجب اتفاقيات مختلفة. </w:t>
            </w:r>
            <w:r w:rsidRPr="004969DC">
              <w:rPr>
                <w:rFonts w:eastAsia="MS Mincho" w:cs="Simplified Arabic" w:hint="cs"/>
                <w:sz w:val="20"/>
                <w:szCs w:val="22"/>
                <w:rtl/>
                <w:lang w:val="en-US"/>
              </w:rPr>
              <w:t>وتتضمن</w:t>
            </w:r>
            <w:r w:rsidRPr="004969DC">
              <w:rPr>
                <w:rFonts w:eastAsia="MS Mincho" w:cs="Simplified Arabic"/>
                <w:sz w:val="20"/>
                <w:szCs w:val="22"/>
                <w:rtl/>
                <w:lang w:val="en-US"/>
              </w:rPr>
              <w:t xml:space="preserve"> الأنواع</w:t>
            </w:r>
            <w:r w:rsidRPr="004969DC">
              <w:rPr>
                <w:rFonts w:eastAsia="MS Mincho" w:cs="Simplified Arabic" w:hint="cs"/>
                <w:sz w:val="20"/>
                <w:szCs w:val="22"/>
                <w:rtl/>
                <w:lang w:val="en-US"/>
              </w:rPr>
              <w:t xml:space="preserve"> الموجودة</w:t>
            </w:r>
            <w:r w:rsidRPr="004969DC">
              <w:rPr>
                <w:rFonts w:eastAsia="MS Mincho" w:cs="Simplified Arabic"/>
                <w:sz w:val="20"/>
                <w:szCs w:val="22"/>
                <w:rtl/>
                <w:lang w:val="en-US"/>
              </w:rPr>
              <w:t xml:space="preserve"> في</w:t>
            </w:r>
            <w:r w:rsidRPr="004969DC">
              <w:rPr>
                <w:rFonts w:eastAsia="MS Mincho" w:cs="Simplified Arabic" w:hint="cs"/>
                <w:sz w:val="20"/>
                <w:szCs w:val="22"/>
                <w:rtl/>
                <w:lang w:val="en-US"/>
              </w:rPr>
              <w:t xml:space="preserve"> هذه</w:t>
            </w:r>
            <w:r w:rsidRPr="004969DC">
              <w:rPr>
                <w:rFonts w:eastAsia="MS Mincho" w:cs="Simplified Arabic"/>
                <w:sz w:val="20"/>
                <w:szCs w:val="22"/>
                <w:rtl/>
                <w:lang w:val="en-US"/>
              </w:rPr>
              <w:t xml:space="preserve"> المنطقة</w:t>
            </w:r>
            <w:r w:rsidRPr="004969DC">
              <w:rPr>
                <w:rFonts w:eastAsia="MS Mincho" w:cs="Simplified Arabic" w:hint="cs"/>
                <w:sz w:val="20"/>
                <w:szCs w:val="22"/>
                <w:rtl/>
                <w:lang w:val="en-US"/>
              </w:rPr>
              <w:t xml:space="preserve"> ما يلي</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الدلافين ذات الأنف القاروري</w:t>
            </w:r>
            <w:r w:rsidRPr="004969DC">
              <w:rPr>
                <w:rFonts w:eastAsia="MS Mincho" w:cs="Simplified Arabic"/>
                <w:sz w:val="20"/>
                <w:szCs w:val="22"/>
                <w:rtl/>
                <w:lang w:val="en-US"/>
              </w:rPr>
              <w:t xml:space="preserve"> </w:t>
            </w:r>
            <w:r w:rsidRPr="004969DC">
              <w:rPr>
                <w:rFonts w:eastAsia="MS Mincho" w:cs="Simplified Arabic"/>
                <w:sz w:val="20"/>
                <w:szCs w:val="22"/>
                <w:lang w:val="en-US"/>
              </w:rPr>
              <w:t>(</w:t>
            </w:r>
            <w:r w:rsidRPr="004969DC">
              <w:rPr>
                <w:rFonts w:eastAsia="MS Mincho" w:cs="Simplified Arabic"/>
                <w:i/>
                <w:iCs/>
                <w:sz w:val="20"/>
                <w:szCs w:val="22"/>
                <w:lang w:val="en-US"/>
              </w:rPr>
              <w:t>Phocoena phocoena</w:t>
            </w:r>
            <w:r w:rsidRPr="004969DC">
              <w:rPr>
                <w:rFonts w:eastAsia="MS Mincho" w:cs="Simplified Arabic"/>
                <w:sz w:val="20"/>
                <w:szCs w:val="22"/>
                <w:lang w:val="en-US"/>
              </w:rPr>
              <w:t>)</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وخنزير البحر الشائع</w:t>
            </w:r>
            <w:r w:rsidRPr="004969DC">
              <w:rPr>
                <w:rFonts w:eastAsia="MS Mincho" w:cs="Simplified Arabic"/>
                <w:sz w:val="20"/>
                <w:szCs w:val="22"/>
                <w:rtl/>
                <w:lang w:val="en-US"/>
              </w:rPr>
              <w:t xml:space="preserve"> </w:t>
            </w:r>
            <w:r w:rsidRPr="004969DC">
              <w:rPr>
                <w:rFonts w:eastAsia="MS Mincho" w:cs="Simplified Arabic"/>
                <w:sz w:val="20"/>
                <w:szCs w:val="22"/>
                <w:lang w:val="en-US"/>
              </w:rPr>
              <w:t>(</w:t>
            </w:r>
            <w:r w:rsidRPr="004969DC">
              <w:rPr>
                <w:rFonts w:eastAsia="MS Mincho" w:cs="Simplified Arabic"/>
                <w:i/>
                <w:iCs/>
                <w:sz w:val="20"/>
                <w:szCs w:val="22"/>
                <w:lang w:val="en-US"/>
              </w:rPr>
              <w:t>Tursiops truncatus</w:t>
            </w:r>
            <w:r w:rsidRPr="004969DC">
              <w:rPr>
                <w:rFonts w:eastAsia="MS Mincho" w:cs="Simplified Arabic"/>
                <w:sz w:val="20"/>
                <w:szCs w:val="22"/>
                <w:lang w:val="en-US"/>
              </w:rPr>
              <w:t>)</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و</w:t>
            </w:r>
            <w:r w:rsidRPr="004969DC">
              <w:rPr>
                <w:rFonts w:eastAsia="MS Mincho" w:cs="Simplified Arabic"/>
                <w:sz w:val="20"/>
                <w:szCs w:val="22"/>
                <w:rtl/>
                <w:lang w:val="en-US"/>
              </w:rPr>
              <w:t>الدلفين الشائع القصير</w:t>
            </w:r>
            <w:r w:rsidRPr="004969DC">
              <w:rPr>
                <w:rFonts w:eastAsia="MS Mincho" w:cs="Simplified Arabic" w:hint="cs"/>
                <w:sz w:val="20"/>
                <w:szCs w:val="22"/>
                <w:rtl/>
                <w:lang w:val="en-US"/>
              </w:rPr>
              <w:t xml:space="preserve"> المنقار</w:t>
            </w:r>
            <w:r w:rsidRPr="004969DC">
              <w:rPr>
                <w:rFonts w:eastAsia="MS Mincho" w:cs="Simplified Arabic"/>
                <w:sz w:val="20"/>
                <w:szCs w:val="22"/>
                <w:rtl/>
                <w:lang w:val="en-US"/>
              </w:rPr>
              <w:t xml:space="preserve"> </w:t>
            </w:r>
            <w:r w:rsidRPr="004969DC">
              <w:rPr>
                <w:rFonts w:eastAsia="MS Mincho" w:cs="Simplified Arabic"/>
                <w:sz w:val="20"/>
                <w:szCs w:val="22"/>
                <w:lang w:val="en-US"/>
              </w:rPr>
              <w:t>(</w:t>
            </w:r>
            <w:r w:rsidRPr="004969DC">
              <w:rPr>
                <w:rFonts w:eastAsia="MS Mincho" w:cs="Simplified Arabic"/>
                <w:i/>
                <w:iCs/>
                <w:sz w:val="20"/>
                <w:szCs w:val="22"/>
                <w:lang w:val="en-US"/>
              </w:rPr>
              <w:t>Delphinus delphis</w:t>
            </w:r>
            <w:r w:rsidRPr="004969DC">
              <w:rPr>
                <w:rFonts w:eastAsia="MS Mincho" w:cs="Simplified Arabic"/>
                <w:sz w:val="20"/>
                <w:szCs w:val="22"/>
                <w:lang w:val="en-US"/>
              </w:rPr>
              <w:t>)</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 xml:space="preserve">وطائر جلم البحر الأبيض المتوسط </w:t>
            </w:r>
            <w:r w:rsidRPr="004969DC">
              <w:rPr>
                <w:rFonts w:eastAsia="MS Mincho" w:cs="Simplified Arabic"/>
                <w:sz w:val="20"/>
                <w:szCs w:val="22"/>
                <w:lang w:val="en-US"/>
              </w:rPr>
              <w:t>(</w:t>
            </w:r>
            <w:r w:rsidRPr="004969DC">
              <w:rPr>
                <w:rFonts w:eastAsia="MS Mincho" w:cs="Simplified Arabic"/>
                <w:i/>
                <w:iCs/>
                <w:sz w:val="20"/>
                <w:szCs w:val="22"/>
                <w:lang w:val="en-US"/>
              </w:rPr>
              <w:t>Puffinus yelkouan</w:t>
            </w:r>
            <w:r w:rsidRPr="004969DC">
              <w:rPr>
                <w:rFonts w:eastAsia="MS Mincho" w:cs="Simplified Arabic"/>
                <w:sz w:val="20"/>
                <w:szCs w:val="22"/>
                <w:lang w:val="en-US"/>
              </w:rPr>
              <w:t>)</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و</w:t>
            </w:r>
            <w:r w:rsidRPr="004969DC">
              <w:rPr>
                <w:rFonts w:eastAsia="MS Mincho" w:cs="Simplified Arabic"/>
                <w:sz w:val="20"/>
                <w:szCs w:val="22"/>
                <w:rtl/>
                <w:lang w:val="en-US"/>
              </w:rPr>
              <w:t xml:space="preserve">الحفش </w:t>
            </w:r>
            <w:r w:rsidRPr="004969DC">
              <w:rPr>
                <w:rFonts w:eastAsia="MS Mincho" w:cs="Simplified Arabic" w:hint="cs"/>
                <w:sz w:val="20"/>
                <w:szCs w:val="22"/>
                <w:rtl/>
                <w:lang w:val="en-US"/>
              </w:rPr>
              <w:t>الأوروبي</w:t>
            </w:r>
            <w:r w:rsidRPr="004969DC">
              <w:rPr>
                <w:rFonts w:eastAsia="MS Mincho" w:cs="Simplified Arabic"/>
                <w:sz w:val="20"/>
                <w:szCs w:val="22"/>
                <w:rtl/>
                <w:lang w:val="en-US"/>
              </w:rPr>
              <w:t xml:space="preserve"> (</w:t>
            </w:r>
            <w:r w:rsidRPr="004969DC">
              <w:rPr>
                <w:rFonts w:eastAsia="MS Mincho" w:cs="Simplified Arabic"/>
                <w:i/>
                <w:iCs/>
                <w:sz w:val="20"/>
                <w:szCs w:val="22"/>
                <w:lang w:val="en-US"/>
              </w:rPr>
              <w:t>Huso huso</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و</w:t>
            </w:r>
            <w:r w:rsidRPr="004969DC">
              <w:rPr>
                <w:rFonts w:eastAsia="MS Mincho" w:cs="Simplified Arabic"/>
                <w:sz w:val="20"/>
                <w:szCs w:val="22"/>
                <w:rtl/>
                <w:lang w:val="en-US"/>
              </w:rPr>
              <w:t>الحفش الروسي (</w:t>
            </w:r>
            <w:r w:rsidRPr="004969DC">
              <w:rPr>
                <w:rFonts w:eastAsia="MS Mincho" w:cs="Simplified Arabic"/>
                <w:i/>
                <w:iCs/>
                <w:sz w:val="20"/>
                <w:szCs w:val="22"/>
                <w:lang w:val="en-US"/>
              </w:rPr>
              <w:t>Acipenser gueldenstaedtii</w:t>
            </w:r>
            <w:r w:rsidRPr="004969DC">
              <w:rPr>
                <w:rFonts w:eastAsia="MS Mincho" w:cs="Simplified Arabic"/>
                <w:sz w:val="20"/>
                <w:szCs w:val="22"/>
                <w:rtl/>
                <w:lang w:val="en-US"/>
              </w:rPr>
              <w:t>) والحفش</w:t>
            </w:r>
            <w:r w:rsidRPr="004969DC">
              <w:rPr>
                <w:rFonts w:eastAsia="MS Mincho" w:cs="Simplified Arabic" w:hint="cs"/>
                <w:sz w:val="20"/>
                <w:szCs w:val="22"/>
                <w:rtl/>
                <w:lang w:val="en-US"/>
              </w:rPr>
              <w:t xml:space="preserve"> النجمي</w:t>
            </w:r>
            <w:r w:rsidRPr="004969DC">
              <w:rPr>
                <w:rFonts w:eastAsia="MS Mincho" w:cs="Simplified Arabic"/>
                <w:sz w:val="20"/>
                <w:szCs w:val="22"/>
                <w:rtl/>
                <w:lang w:val="en-US"/>
              </w:rPr>
              <w:t xml:space="preserve"> (</w:t>
            </w:r>
            <w:r w:rsidRPr="004969DC">
              <w:rPr>
                <w:rFonts w:eastAsia="MS Mincho" w:cs="Simplified Arabic"/>
                <w:i/>
                <w:iCs/>
                <w:sz w:val="20"/>
                <w:szCs w:val="22"/>
                <w:lang w:val="en-US"/>
              </w:rPr>
              <w:t>Acipenser stellatus</w:t>
            </w:r>
            <w:r w:rsidRPr="004969DC">
              <w:rPr>
                <w:rFonts w:eastAsia="MS Mincho" w:cs="Simplified Arabic"/>
                <w:sz w:val="20"/>
                <w:szCs w:val="22"/>
                <w:rtl/>
                <w:lang w:val="en-US"/>
              </w:rPr>
              <w:t>)، وش</w:t>
            </w:r>
            <w:r w:rsidRPr="004969DC">
              <w:rPr>
                <w:rFonts w:eastAsia="MS Mincho" w:cs="Simplified Arabic" w:hint="cs"/>
                <w:sz w:val="20"/>
                <w:szCs w:val="22"/>
                <w:rtl/>
                <w:lang w:val="en-US"/>
              </w:rPr>
              <w:t>اد</w:t>
            </w:r>
            <w:r w:rsidRPr="004969DC">
              <w:rPr>
                <w:rFonts w:eastAsia="MS Mincho" w:cs="Simplified Arabic"/>
                <w:sz w:val="20"/>
                <w:szCs w:val="22"/>
                <w:rtl/>
                <w:lang w:val="en-US"/>
              </w:rPr>
              <w:t xml:space="preserve"> الدانوب (</w:t>
            </w:r>
            <w:r w:rsidRPr="004969DC">
              <w:rPr>
                <w:rFonts w:eastAsia="MS Mincho" w:cs="Simplified Arabic"/>
                <w:i/>
                <w:iCs/>
                <w:sz w:val="20"/>
                <w:szCs w:val="22"/>
                <w:lang w:val="en-US"/>
              </w:rPr>
              <w:t>Alosa immaculata</w:t>
            </w:r>
            <w:r w:rsidRPr="004969DC">
              <w:rPr>
                <w:rFonts w:eastAsia="MS Mincho" w:cs="Simplified Arabic"/>
                <w:sz w:val="20"/>
                <w:szCs w:val="22"/>
                <w:rtl/>
                <w:lang w:val="en-US"/>
              </w:rPr>
              <w:t>)، وشا</w:t>
            </w:r>
            <w:r w:rsidRPr="004969DC">
              <w:rPr>
                <w:rFonts w:eastAsia="MS Mincho" w:cs="Simplified Arabic" w:hint="cs"/>
                <w:sz w:val="20"/>
                <w:szCs w:val="22"/>
                <w:rtl/>
                <w:lang w:val="en-US"/>
              </w:rPr>
              <w:t>د بحر</w:t>
            </w:r>
            <w:r w:rsidRPr="004969DC">
              <w:rPr>
                <w:rFonts w:eastAsia="MS Mincho" w:cs="Simplified Arabic"/>
                <w:sz w:val="20"/>
                <w:szCs w:val="22"/>
                <w:rtl/>
                <w:lang w:val="en-US"/>
              </w:rPr>
              <w:t xml:space="preserve"> قزوين (</w:t>
            </w:r>
            <w:r w:rsidRPr="004969DC">
              <w:rPr>
                <w:rFonts w:eastAsia="MS Mincho" w:cs="Simplified Arabic"/>
                <w:i/>
                <w:iCs/>
                <w:sz w:val="20"/>
                <w:szCs w:val="22"/>
                <w:lang w:val="en-US"/>
              </w:rPr>
              <w:t>Alosa tanaica</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 xml:space="preserve">وتشكل هذه </w:t>
            </w:r>
            <w:r w:rsidRPr="004969DC">
              <w:rPr>
                <w:rFonts w:eastAsia="MS Mincho" w:cs="Simplified Arabic"/>
                <w:sz w:val="20"/>
                <w:szCs w:val="22"/>
                <w:rtl/>
                <w:lang w:val="en-US"/>
              </w:rPr>
              <w:t>المنطقة جزء</w:t>
            </w:r>
            <w:r w:rsidRPr="004969DC">
              <w:rPr>
                <w:rFonts w:eastAsia="MS Mincho" w:cs="Simplified Arabic" w:hint="cs"/>
                <w:sz w:val="20"/>
                <w:szCs w:val="22"/>
                <w:rtl/>
                <w:lang w:val="en-US"/>
              </w:rPr>
              <w:t>اً</w:t>
            </w:r>
            <w:r w:rsidRPr="004969DC">
              <w:rPr>
                <w:rFonts w:eastAsia="MS Mincho" w:cs="Simplified Arabic"/>
                <w:sz w:val="20"/>
                <w:szCs w:val="22"/>
                <w:rtl/>
                <w:lang w:val="en-US"/>
              </w:rPr>
              <w:t xml:space="preserve"> من محمية أكب</w:t>
            </w:r>
            <w:r w:rsidRPr="004969DC">
              <w:rPr>
                <w:rFonts w:eastAsia="MS Mincho" w:cs="Simplified Arabic" w:hint="cs"/>
                <w:sz w:val="20"/>
                <w:szCs w:val="22"/>
                <w:rtl/>
                <w:lang w:val="en-US"/>
              </w:rPr>
              <w:t>ر</w:t>
            </w:r>
            <w:r w:rsidRPr="004969DC">
              <w:rPr>
                <w:rFonts w:eastAsia="MS Mincho" w:cs="Simplified Arabic"/>
                <w:sz w:val="20"/>
                <w:szCs w:val="22"/>
                <w:rtl/>
                <w:lang w:val="en-US"/>
              </w:rPr>
              <w:t>،</w:t>
            </w:r>
            <w:r w:rsidRPr="004969DC">
              <w:rPr>
                <w:rFonts w:eastAsia="MS Mincho" w:cs="Simplified Arabic" w:hint="cs"/>
                <w:sz w:val="20"/>
                <w:szCs w:val="22"/>
                <w:rtl/>
                <w:lang w:val="en-US"/>
              </w:rPr>
              <w:t xml:space="preserve"> هي المحمية</w:t>
            </w:r>
            <w:r w:rsidRPr="004969DC">
              <w:rPr>
                <w:rFonts w:eastAsia="MS Mincho" w:cs="Simplified Arabic"/>
                <w:sz w:val="20"/>
                <w:szCs w:val="22"/>
                <w:rtl/>
                <w:lang w:val="en-US"/>
              </w:rPr>
              <w:t xml:space="preserve"> الحيوية </w:t>
            </w:r>
            <w:r w:rsidRPr="004969DC">
              <w:rPr>
                <w:rFonts w:eastAsia="MS Mincho" w:cs="Simplified Arabic" w:hint="cs"/>
                <w:sz w:val="20"/>
                <w:szCs w:val="22"/>
                <w:rtl/>
                <w:lang w:val="en-US"/>
              </w:rPr>
              <w:t>لدلتا الدانوب</w:t>
            </w:r>
            <w:r w:rsidRPr="004969DC">
              <w:rPr>
                <w:rFonts w:eastAsia="MS Mincho" w:cs="Simplified Arabic"/>
                <w:sz w:val="20"/>
                <w:szCs w:val="22"/>
                <w:rtl/>
                <w:lang w:val="en-US"/>
              </w:rPr>
              <w:t xml:space="preserve">، </w:t>
            </w:r>
            <w:r w:rsidRPr="004969DC">
              <w:rPr>
                <w:rFonts w:eastAsia="MS Mincho" w:cs="Simplified Arabic" w:hint="cs"/>
                <w:sz w:val="20"/>
                <w:szCs w:val="22"/>
                <w:rtl/>
                <w:lang w:val="en-US"/>
              </w:rPr>
              <w:t>التي أدرجت</w:t>
            </w:r>
            <w:r w:rsidRPr="004969DC">
              <w:rPr>
                <w:rFonts w:eastAsia="MS Mincho" w:cs="Simplified Arabic"/>
                <w:sz w:val="20"/>
                <w:szCs w:val="22"/>
                <w:rtl/>
                <w:lang w:val="en-US"/>
              </w:rPr>
              <w:t xml:space="preserve"> كموقع للتراث العالمي الطبيعي لليونسكو </w:t>
            </w:r>
            <w:r w:rsidRPr="004969DC">
              <w:rPr>
                <w:rFonts w:eastAsia="MS Mincho" w:cs="Simplified Arabic" w:hint="cs"/>
                <w:sz w:val="20"/>
                <w:szCs w:val="22"/>
                <w:rtl/>
                <w:lang w:val="en-US"/>
              </w:rPr>
              <w:t>وكأراضي رطبة ذات الأهمية الدولية في إطار</w:t>
            </w:r>
            <w:r w:rsidRPr="004969DC">
              <w:rPr>
                <w:rFonts w:eastAsia="MS Mincho" w:cs="Simplified Arabic"/>
                <w:sz w:val="20"/>
                <w:szCs w:val="22"/>
                <w:rtl/>
                <w:lang w:val="en-US"/>
              </w:rPr>
              <w:t xml:space="preserve"> اتفاقية رامسار</w:t>
            </w:r>
            <w:r w:rsidRPr="004969DC">
              <w:rPr>
                <w:rFonts w:eastAsia="MS Mincho" w:cs="Simplified Arabic"/>
                <w:sz w:val="20"/>
                <w:szCs w:val="22"/>
                <w:lang w:val="en-US"/>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Pr>
            </w:pPr>
            <w:r w:rsidRPr="004969DC">
              <w:rPr>
                <w:rFonts w:hint="cs"/>
                <w:bCs/>
                <w:sz w:val="20"/>
                <w:szCs w:val="22"/>
                <w:rtl/>
              </w:rPr>
              <w:lastRenderedPageBreak/>
              <w:t xml:space="preserve">5- </w:t>
            </w:r>
            <w:r w:rsidRPr="004969DC">
              <w:rPr>
                <w:bCs/>
                <w:sz w:val="20"/>
                <w:szCs w:val="22"/>
                <w:rtl/>
              </w:rPr>
              <w:t>حقل ز</w:t>
            </w:r>
            <w:r w:rsidRPr="004969DC">
              <w:rPr>
                <w:rFonts w:hint="cs"/>
                <w:bCs/>
                <w:sz w:val="20"/>
                <w:szCs w:val="22"/>
                <w:rtl/>
              </w:rPr>
              <w:t>ي</w:t>
            </w:r>
            <w:r w:rsidRPr="004969DC">
              <w:rPr>
                <w:bCs/>
                <w:sz w:val="20"/>
                <w:szCs w:val="22"/>
                <w:rtl/>
              </w:rPr>
              <w:t xml:space="preserve">رنوف </w:t>
            </w:r>
            <w:r w:rsidRPr="004969DC">
              <w:rPr>
                <w:rFonts w:hint="cs"/>
                <w:bCs/>
                <w:sz w:val="20"/>
                <w:szCs w:val="22"/>
                <w:rtl/>
              </w:rPr>
              <w:t xml:space="preserve">للطحالب الحمراء (فيلوفورا) </w:t>
            </w:r>
          </w:p>
          <w:p w:rsidR="000A5DEA" w:rsidRPr="004969DC" w:rsidRDefault="000A5DEA" w:rsidP="00CD26C5">
            <w:pPr>
              <w:widowControl w:val="0"/>
              <w:numPr>
                <w:ilvl w:val="0"/>
                <w:numId w:val="115"/>
              </w:numPr>
              <w:suppressAutoHyphens/>
              <w:autoSpaceDE w:val="0"/>
              <w:spacing w:after="0" w:line="204" w:lineRule="auto"/>
              <w:rPr>
                <w:sz w:val="20"/>
                <w:szCs w:val="22"/>
              </w:rPr>
            </w:pPr>
            <w:r w:rsidRPr="004969DC">
              <w:rPr>
                <w:sz w:val="20"/>
                <w:szCs w:val="22"/>
                <w:rtl/>
                <w:lang w:val="en-CA"/>
              </w:rPr>
              <w:t xml:space="preserve">الموقع: تقع هذه المنطقة على </w:t>
            </w:r>
            <w:r w:rsidRPr="004969DC">
              <w:rPr>
                <w:rFonts w:hint="cs"/>
                <w:sz w:val="20"/>
                <w:szCs w:val="22"/>
                <w:rtl/>
                <w:lang w:val="en-CA"/>
              </w:rPr>
              <w:t xml:space="preserve">رصيف </w:t>
            </w:r>
            <w:r w:rsidRPr="004969DC">
              <w:rPr>
                <w:sz w:val="20"/>
                <w:szCs w:val="22"/>
                <w:rtl/>
                <w:lang w:val="en-CA"/>
              </w:rPr>
              <w:t>م</w:t>
            </w:r>
            <w:r w:rsidRPr="004969DC">
              <w:rPr>
                <w:rFonts w:hint="cs"/>
                <w:sz w:val="20"/>
                <w:szCs w:val="22"/>
                <w:rtl/>
                <w:lang w:val="en-CA"/>
              </w:rPr>
              <w:t>تسع يقع في</w:t>
            </w:r>
            <w:r w:rsidRPr="004969DC">
              <w:rPr>
                <w:sz w:val="20"/>
                <w:szCs w:val="22"/>
                <w:rtl/>
                <w:lang w:val="en-CA"/>
              </w:rPr>
              <w:t xml:space="preserve"> الجزء الشمالي الغربي </w:t>
            </w:r>
            <w:r w:rsidRPr="004969DC">
              <w:rPr>
                <w:rFonts w:hint="cs"/>
                <w:sz w:val="20"/>
                <w:szCs w:val="22"/>
                <w:rtl/>
                <w:lang w:val="en-CA"/>
              </w:rPr>
              <w:t>للبحر</w:t>
            </w:r>
            <w:r w:rsidRPr="004969DC">
              <w:rPr>
                <w:sz w:val="20"/>
                <w:szCs w:val="22"/>
                <w:rtl/>
                <w:lang w:val="en-CA"/>
              </w:rPr>
              <w:t xml:space="preserve"> الأسود</w:t>
            </w:r>
            <w:r w:rsidRPr="004969DC">
              <w:rPr>
                <w:rFonts w:hint="cs"/>
                <w:sz w:val="20"/>
                <w:szCs w:val="22"/>
                <w:rtl/>
                <w:lang w:val="en-CA"/>
              </w:rPr>
              <w:t xml:space="preserve"> على عمق يتراوح بين 25 إلى 3- مترا</w:t>
            </w:r>
            <w:r w:rsidRPr="004969DC">
              <w:rPr>
                <w:sz w:val="20"/>
                <w:szCs w:val="22"/>
                <w:rtl/>
                <w:lang w:val="en-CA"/>
              </w:rPr>
              <w:t xml:space="preserve">. </w:t>
            </w:r>
            <w:r w:rsidRPr="004969DC">
              <w:rPr>
                <w:rFonts w:hint="cs"/>
                <w:sz w:val="20"/>
                <w:szCs w:val="22"/>
                <w:rtl/>
                <w:lang w:val="en-CA"/>
              </w:rPr>
              <w:t>وهي محددة</w:t>
            </w:r>
            <w:r w:rsidRPr="004969DC">
              <w:rPr>
                <w:sz w:val="20"/>
                <w:szCs w:val="22"/>
                <w:rtl/>
                <w:lang w:val="en-CA"/>
              </w:rPr>
              <w:t xml:space="preserve"> </w:t>
            </w:r>
            <w:r w:rsidRPr="004969DC">
              <w:rPr>
                <w:rFonts w:hint="cs"/>
                <w:sz w:val="20"/>
                <w:szCs w:val="22"/>
                <w:rtl/>
                <w:lang w:val="en-CA"/>
              </w:rPr>
              <w:t>ب</w:t>
            </w:r>
            <w:r w:rsidRPr="004969DC">
              <w:rPr>
                <w:sz w:val="20"/>
                <w:szCs w:val="22"/>
                <w:rtl/>
                <w:lang w:val="en-CA"/>
              </w:rPr>
              <w:t>الإحداثيات التالية: 45°18'25''</w:t>
            </w:r>
            <w:r w:rsidRPr="004969DC">
              <w:rPr>
                <w:rFonts w:hint="cs"/>
                <w:sz w:val="20"/>
                <w:szCs w:val="22"/>
                <w:rtl/>
                <w:lang w:val="en-CA"/>
              </w:rPr>
              <w:t xml:space="preserve"> شمالاً</w:t>
            </w:r>
            <w:r w:rsidRPr="004969DC">
              <w:rPr>
                <w:sz w:val="20"/>
                <w:szCs w:val="22"/>
                <w:rtl/>
                <w:lang w:val="en-CA"/>
              </w:rPr>
              <w:t xml:space="preserve"> </w:t>
            </w:r>
            <w:r w:rsidRPr="004969DC">
              <w:rPr>
                <w:rFonts w:hint="cs"/>
                <w:sz w:val="20"/>
                <w:szCs w:val="22"/>
                <w:rtl/>
                <w:lang w:val="en-CA"/>
              </w:rPr>
              <w:t>و30</w:t>
            </w:r>
            <w:r w:rsidRPr="004969DC">
              <w:rPr>
                <w:sz w:val="20"/>
                <w:szCs w:val="22"/>
                <w:rtl/>
                <w:lang w:val="en-CA"/>
              </w:rPr>
              <w:t>°</w:t>
            </w:r>
            <w:r w:rsidRPr="004969DC">
              <w:rPr>
                <w:rFonts w:hint="cs"/>
                <w:sz w:val="20"/>
                <w:szCs w:val="22"/>
                <w:rtl/>
                <w:lang w:val="en-CA"/>
              </w:rPr>
              <w:t>42</w:t>
            </w:r>
            <w:r w:rsidRPr="004969DC">
              <w:rPr>
                <w:sz w:val="20"/>
                <w:szCs w:val="22"/>
                <w:rtl/>
                <w:lang w:val="en-CA"/>
              </w:rPr>
              <w:t>'2</w:t>
            </w:r>
            <w:r w:rsidRPr="004969DC">
              <w:rPr>
                <w:rFonts w:hint="cs"/>
                <w:sz w:val="20"/>
                <w:szCs w:val="22"/>
                <w:rtl/>
                <w:lang w:val="en-CA"/>
              </w:rPr>
              <w:t>6</w:t>
            </w:r>
            <w:r w:rsidRPr="004969DC">
              <w:rPr>
                <w:sz w:val="20"/>
                <w:szCs w:val="22"/>
                <w:rtl/>
                <w:lang w:val="en-CA"/>
              </w:rPr>
              <w:t>''</w:t>
            </w:r>
            <w:r w:rsidRPr="004969DC">
              <w:rPr>
                <w:rFonts w:hint="cs"/>
                <w:sz w:val="20"/>
                <w:szCs w:val="22"/>
                <w:rtl/>
                <w:lang w:val="en-CA"/>
              </w:rPr>
              <w:t xml:space="preserve"> شرقاً</w:t>
            </w:r>
            <w:r w:rsidRPr="004969DC">
              <w:rPr>
                <w:sz w:val="20"/>
                <w:szCs w:val="22"/>
                <w:rtl/>
                <w:lang w:val="en-CA"/>
              </w:rPr>
              <w:t>؛</w:t>
            </w:r>
            <w:r w:rsidRPr="004969DC">
              <w:rPr>
                <w:rFonts w:hint="cs"/>
                <w:sz w:val="20"/>
                <w:szCs w:val="22"/>
                <w:rtl/>
                <w:lang w:val="en-CA"/>
              </w:rPr>
              <w:t xml:space="preserve"> و</w:t>
            </w:r>
            <w:r w:rsidRPr="004969DC">
              <w:rPr>
                <w:sz w:val="20"/>
                <w:szCs w:val="22"/>
                <w:rtl/>
                <w:lang w:val="en-CA"/>
              </w:rPr>
              <w:t>45°</w:t>
            </w:r>
            <w:r w:rsidRPr="004969DC">
              <w:rPr>
                <w:rFonts w:hint="cs"/>
                <w:sz w:val="20"/>
                <w:szCs w:val="22"/>
                <w:rtl/>
                <w:lang w:val="en-CA"/>
              </w:rPr>
              <w:t>54</w:t>
            </w:r>
            <w:r w:rsidRPr="004969DC">
              <w:rPr>
                <w:sz w:val="20"/>
                <w:szCs w:val="22"/>
                <w:rtl/>
                <w:lang w:val="en-CA"/>
              </w:rPr>
              <w:t>'</w:t>
            </w:r>
            <w:r w:rsidRPr="004969DC">
              <w:rPr>
                <w:rFonts w:hint="cs"/>
                <w:sz w:val="20"/>
                <w:szCs w:val="22"/>
                <w:rtl/>
                <w:lang w:val="en-CA"/>
              </w:rPr>
              <w:t>42</w:t>
            </w:r>
            <w:r w:rsidRPr="004969DC">
              <w:rPr>
                <w:sz w:val="20"/>
                <w:szCs w:val="22"/>
                <w:rtl/>
                <w:lang w:val="en-CA"/>
              </w:rPr>
              <w:t>''</w:t>
            </w:r>
            <w:r w:rsidRPr="004969DC">
              <w:rPr>
                <w:rFonts w:hint="cs"/>
                <w:sz w:val="20"/>
                <w:szCs w:val="22"/>
                <w:rtl/>
                <w:lang w:val="en-CA"/>
              </w:rPr>
              <w:t xml:space="preserve"> شمالاً</w:t>
            </w:r>
            <w:r w:rsidRPr="004969DC">
              <w:rPr>
                <w:sz w:val="20"/>
                <w:szCs w:val="22"/>
                <w:rtl/>
                <w:lang w:val="en-CA"/>
              </w:rPr>
              <w:t xml:space="preserve"> </w:t>
            </w:r>
            <w:r w:rsidRPr="004969DC">
              <w:rPr>
                <w:rFonts w:hint="cs"/>
                <w:sz w:val="20"/>
                <w:szCs w:val="22"/>
                <w:rtl/>
                <w:lang w:val="en-CA"/>
              </w:rPr>
              <w:t>و30</w:t>
            </w:r>
            <w:r w:rsidRPr="004969DC">
              <w:rPr>
                <w:sz w:val="20"/>
                <w:szCs w:val="22"/>
                <w:rtl/>
                <w:lang w:val="en-CA"/>
              </w:rPr>
              <w:t>°</w:t>
            </w:r>
            <w:r w:rsidRPr="004969DC">
              <w:rPr>
                <w:rFonts w:hint="cs"/>
                <w:sz w:val="20"/>
                <w:szCs w:val="22"/>
                <w:rtl/>
                <w:lang w:val="en-CA"/>
              </w:rPr>
              <w:t>55</w:t>
            </w:r>
            <w:r w:rsidRPr="004969DC">
              <w:rPr>
                <w:sz w:val="20"/>
                <w:szCs w:val="22"/>
                <w:rtl/>
                <w:lang w:val="en-CA"/>
              </w:rPr>
              <w:t>'</w:t>
            </w:r>
            <w:r w:rsidRPr="004969DC">
              <w:rPr>
                <w:rFonts w:hint="cs"/>
                <w:sz w:val="20"/>
                <w:szCs w:val="22"/>
                <w:rtl/>
                <w:lang w:val="en-CA"/>
              </w:rPr>
              <w:t>05</w:t>
            </w:r>
            <w:r w:rsidRPr="004969DC">
              <w:rPr>
                <w:sz w:val="20"/>
                <w:szCs w:val="22"/>
                <w:rtl/>
                <w:lang w:val="en-CA"/>
              </w:rPr>
              <w:t>''</w:t>
            </w:r>
            <w:r w:rsidRPr="004969DC">
              <w:rPr>
                <w:rFonts w:hint="cs"/>
                <w:sz w:val="20"/>
                <w:szCs w:val="22"/>
                <w:rtl/>
                <w:lang w:val="en-CA"/>
              </w:rPr>
              <w:t xml:space="preserve"> شرقاً</w:t>
            </w:r>
            <w:r w:rsidRPr="004969DC">
              <w:rPr>
                <w:sz w:val="20"/>
                <w:szCs w:val="22"/>
                <w:rtl/>
                <w:lang w:val="en-CA"/>
              </w:rPr>
              <w:t xml:space="preserve">؛ </w:t>
            </w:r>
            <w:r w:rsidRPr="004969DC">
              <w:rPr>
                <w:rFonts w:hint="cs"/>
                <w:sz w:val="20"/>
                <w:szCs w:val="22"/>
                <w:rtl/>
                <w:lang w:val="en-CA"/>
              </w:rPr>
              <w:t>و</w:t>
            </w:r>
            <w:r w:rsidRPr="004969DC">
              <w:rPr>
                <w:sz w:val="20"/>
                <w:szCs w:val="22"/>
                <w:rtl/>
                <w:lang w:val="en-CA"/>
              </w:rPr>
              <w:t>4</w:t>
            </w:r>
            <w:r w:rsidRPr="004969DC">
              <w:rPr>
                <w:rFonts w:hint="cs"/>
                <w:sz w:val="20"/>
                <w:szCs w:val="22"/>
                <w:rtl/>
                <w:lang w:val="en-CA"/>
              </w:rPr>
              <w:t>6</w:t>
            </w:r>
            <w:r w:rsidRPr="004969DC">
              <w:rPr>
                <w:sz w:val="20"/>
                <w:szCs w:val="22"/>
                <w:rtl/>
                <w:lang w:val="en-CA"/>
              </w:rPr>
              <w:t>°</w:t>
            </w:r>
            <w:r w:rsidRPr="004969DC">
              <w:rPr>
                <w:rFonts w:hint="cs"/>
                <w:sz w:val="20"/>
                <w:szCs w:val="22"/>
                <w:rtl/>
                <w:lang w:val="en-CA"/>
              </w:rPr>
              <w:t>01</w:t>
            </w:r>
            <w:r w:rsidRPr="004969DC">
              <w:rPr>
                <w:sz w:val="20"/>
                <w:szCs w:val="22"/>
                <w:rtl/>
                <w:lang w:val="en-CA"/>
              </w:rPr>
              <w:t>'</w:t>
            </w:r>
            <w:r w:rsidRPr="004969DC">
              <w:rPr>
                <w:rFonts w:hint="cs"/>
                <w:sz w:val="20"/>
                <w:szCs w:val="22"/>
                <w:rtl/>
                <w:lang w:val="en-CA"/>
              </w:rPr>
              <w:t>53</w:t>
            </w:r>
            <w:r w:rsidRPr="004969DC">
              <w:rPr>
                <w:sz w:val="20"/>
                <w:szCs w:val="22"/>
                <w:rtl/>
                <w:lang w:val="en-CA"/>
              </w:rPr>
              <w:t>''</w:t>
            </w:r>
            <w:r w:rsidRPr="004969DC">
              <w:rPr>
                <w:rFonts w:hint="cs"/>
                <w:sz w:val="20"/>
                <w:szCs w:val="22"/>
                <w:rtl/>
                <w:lang w:val="en-CA"/>
              </w:rPr>
              <w:t xml:space="preserve"> شمالاً</w:t>
            </w:r>
            <w:r w:rsidRPr="004969DC">
              <w:rPr>
                <w:sz w:val="20"/>
                <w:szCs w:val="22"/>
                <w:rtl/>
                <w:lang w:val="en-CA"/>
              </w:rPr>
              <w:t xml:space="preserve"> </w:t>
            </w:r>
            <w:r w:rsidRPr="004969DC">
              <w:rPr>
                <w:rFonts w:hint="cs"/>
                <w:sz w:val="20"/>
                <w:szCs w:val="22"/>
                <w:rtl/>
                <w:lang w:val="en-CA"/>
              </w:rPr>
              <w:t>و31</w:t>
            </w:r>
            <w:r w:rsidRPr="004969DC">
              <w:rPr>
                <w:sz w:val="20"/>
                <w:szCs w:val="22"/>
                <w:rtl/>
                <w:lang w:val="en-CA"/>
              </w:rPr>
              <w:t>°</w:t>
            </w:r>
            <w:r w:rsidRPr="004969DC">
              <w:rPr>
                <w:rFonts w:hint="cs"/>
                <w:sz w:val="20"/>
                <w:szCs w:val="22"/>
                <w:rtl/>
                <w:lang w:val="en-CA"/>
              </w:rPr>
              <w:t>10</w:t>
            </w:r>
            <w:r w:rsidRPr="004969DC">
              <w:rPr>
                <w:sz w:val="20"/>
                <w:szCs w:val="22"/>
                <w:rtl/>
                <w:lang w:val="en-CA"/>
              </w:rPr>
              <w:t>'</w:t>
            </w:r>
            <w:r w:rsidRPr="004969DC">
              <w:rPr>
                <w:rFonts w:hint="cs"/>
                <w:sz w:val="20"/>
                <w:szCs w:val="22"/>
                <w:rtl/>
                <w:lang w:val="en-CA"/>
              </w:rPr>
              <w:t>40</w:t>
            </w:r>
            <w:r w:rsidRPr="004969DC">
              <w:rPr>
                <w:sz w:val="20"/>
                <w:szCs w:val="22"/>
                <w:rtl/>
                <w:lang w:val="en-CA"/>
              </w:rPr>
              <w:t>''</w:t>
            </w:r>
            <w:r w:rsidRPr="004969DC">
              <w:rPr>
                <w:rFonts w:hint="cs"/>
                <w:sz w:val="20"/>
                <w:szCs w:val="22"/>
                <w:rtl/>
                <w:lang w:val="en-CA"/>
              </w:rPr>
              <w:t xml:space="preserve"> شرقاً</w:t>
            </w:r>
            <w:r w:rsidRPr="004969DC">
              <w:rPr>
                <w:sz w:val="20"/>
                <w:szCs w:val="22"/>
                <w:rtl/>
                <w:lang w:val="en-CA"/>
              </w:rPr>
              <w:t xml:space="preserve">؛ </w:t>
            </w:r>
            <w:r w:rsidRPr="004969DC">
              <w:rPr>
                <w:rFonts w:hint="cs"/>
                <w:sz w:val="20"/>
                <w:szCs w:val="22"/>
                <w:rtl/>
                <w:lang w:val="en-CA"/>
              </w:rPr>
              <w:t>و</w:t>
            </w:r>
            <w:r w:rsidRPr="004969DC">
              <w:rPr>
                <w:sz w:val="20"/>
                <w:szCs w:val="22"/>
                <w:rtl/>
                <w:lang w:val="en-CA"/>
              </w:rPr>
              <w:t>45°</w:t>
            </w:r>
            <w:r w:rsidRPr="004969DC">
              <w:rPr>
                <w:rFonts w:hint="cs"/>
                <w:sz w:val="20"/>
                <w:szCs w:val="22"/>
                <w:rtl/>
                <w:lang w:val="en-CA"/>
              </w:rPr>
              <w:t>31</w:t>
            </w:r>
            <w:r w:rsidRPr="004969DC">
              <w:rPr>
                <w:sz w:val="20"/>
                <w:szCs w:val="22"/>
                <w:rtl/>
                <w:lang w:val="en-CA"/>
              </w:rPr>
              <w:t>'</w:t>
            </w:r>
            <w:r w:rsidRPr="004969DC">
              <w:rPr>
                <w:rFonts w:hint="cs"/>
                <w:sz w:val="20"/>
                <w:szCs w:val="22"/>
                <w:rtl/>
                <w:lang w:val="en-CA"/>
              </w:rPr>
              <w:t>05</w:t>
            </w:r>
            <w:r w:rsidRPr="004969DC">
              <w:rPr>
                <w:sz w:val="20"/>
                <w:szCs w:val="22"/>
                <w:rtl/>
                <w:lang w:val="en-CA"/>
              </w:rPr>
              <w:t>''</w:t>
            </w:r>
            <w:r w:rsidRPr="004969DC">
              <w:rPr>
                <w:rFonts w:hint="cs"/>
                <w:sz w:val="20"/>
                <w:szCs w:val="22"/>
                <w:rtl/>
                <w:lang w:val="en-CA"/>
              </w:rPr>
              <w:t xml:space="preserve"> شمالاً</w:t>
            </w:r>
            <w:r w:rsidRPr="004969DC">
              <w:rPr>
                <w:sz w:val="20"/>
                <w:szCs w:val="22"/>
                <w:rtl/>
                <w:lang w:val="en-CA"/>
              </w:rPr>
              <w:t xml:space="preserve"> </w:t>
            </w:r>
            <w:r w:rsidRPr="004969DC">
              <w:rPr>
                <w:rFonts w:hint="cs"/>
                <w:sz w:val="20"/>
                <w:szCs w:val="22"/>
                <w:rtl/>
                <w:lang w:val="en-CA"/>
              </w:rPr>
              <w:t>و31</w:t>
            </w:r>
            <w:r w:rsidRPr="004969DC">
              <w:rPr>
                <w:sz w:val="20"/>
                <w:szCs w:val="22"/>
                <w:rtl/>
                <w:lang w:val="en-CA"/>
              </w:rPr>
              <w:t>°</w:t>
            </w:r>
            <w:r w:rsidRPr="004969DC">
              <w:rPr>
                <w:rFonts w:hint="cs"/>
                <w:sz w:val="20"/>
                <w:szCs w:val="22"/>
                <w:rtl/>
                <w:lang w:val="en-CA"/>
              </w:rPr>
              <w:t>42</w:t>
            </w:r>
            <w:r w:rsidRPr="004969DC">
              <w:rPr>
                <w:sz w:val="20"/>
                <w:szCs w:val="22"/>
                <w:rtl/>
                <w:lang w:val="en-CA"/>
              </w:rPr>
              <w:t>'</w:t>
            </w:r>
            <w:r w:rsidRPr="004969DC">
              <w:rPr>
                <w:rFonts w:hint="cs"/>
                <w:sz w:val="20"/>
                <w:szCs w:val="22"/>
                <w:rtl/>
                <w:lang w:val="en-CA"/>
              </w:rPr>
              <w:t>56</w:t>
            </w:r>
            <w:r w:rsidRPr="004969DC">
              <w:rPr>
                <w:sz w:val="20"/>
                <w:szCs w:val="22"/>
                <w:rtl/>
                <w:lang w:val="en-CA"/>
              </w:rPr>
              <w:t>''</w:t>
            </w:r>
            <w:r w:rsidRPr="004969DC">
              <w:rPr>
                <w:rFonts w:hint="cs"/>
                <w:sz w:val="20"/>
                <w:szCs w:val="22"/>
                <w:rtl/>
                <w:lang w:val="en-CA"/>
              </w:rPr>
              <w:t xml:space="preserve"> شرقاً</w:t>
            </w:r>
            <w:r w:rsidRPr="004969DC">
              <w:rPr>
                <w:sz w:val="20"/>
                <w:szCs w:val="22"/>
                <w:rtl/>
                <w:lang w:val="en-CA"/>
              </w:rPr>
              <w:t xml:space="preserve">؛ </w:t>
            </w:r>
            <w:r w:rsidRPr="004969DC">
              <w:rPr>
                <w:rFonts w:hint="cs"/>
                <w:sz w:val="20"/>
                <w:szCs w:val="22"/>
                <w:rtl/>
                <w:lang w:val="en-CA"/>
              </w:rPr>
              <w:t>و</w:t>
            </w:r>
            <w:r w:rsidRPr="004969DC">
              <w:rPr>
                <w:sz w:val="20"/>
                <w:szCs w:val="22"/>
                <w:rtl/>
                <w:lang w:val="en-CA"/>
              </w:rPr>
              <w:t>45°</w:t>
            </w:r>
            <w:r w:rsidRPr="004969DC">
              <w:rPr>
                <w:rFonts w:hint="cs"/>
                <w:sz w:val="20"/>
                <w:szCs w:val="22"/>
                <w:rtl/>
                <w:lang w:val="en-CA"/>
              </w:rPr>
              <w:t>17</w:t>
            </w:r>
            <w:r w:rsidRPr="004969DC">
              <w:rPr>
                <w:sz w:val="20"/>
                <w:szCs w:val="22"/>
                <w:rtl/>
                <w:lang w:val="en-CA"/>
              </w:rPr>
              <w:t>'</w:t>
            </w:r>
            <w:r w:rsidRPr="004969DC">
              <w:rPr>
                <w:rFonts w:hint="cs"/>
                <w:sz w:val="20"/>
                <w:szCs w:val="22"/>
                <w:rtl/>
                <w:lang w:val="en-CA"/>
              </w:rPr>
              <w:t>41</w:t>
            </w:r>
            <w:r w:rsidRPr="004969DC">
              <w:rPr>
                <w:sz w:val="20"/>
                <w:szCs w:val="22"/>
                <w:rtl/>
                <w:lang w:val="en-CA"/>
              </w:rPr>
              <w:t>''</w:t>
            </w:r>
            <w:r w:rsidRPr="004969DC">
              <w:rPr>
                <w:rFonts w:hint="cs"/>
                <w:sz w:val="20"/>
                <w:szCs w:val="22"/>
                <w:rtl/>
                <w:lang w:val="en-CA"/>
              </w:rPr>
              <w:t xml:space="preserve"> شمالاً</w:t>
            </w:r>
            <w:r w:rsidRPr="004969DC">
              <w:rPr>
                <w:sz w:val="20"/>
                <w:szCs w:val="22"/>
                <w:rtl/>
                <w:lang w:val="en-CA"/>
              </w:rPr>
              <w:t xml:space="preserve"> </w:t>
            </w:r>
            <w:r w:rsidRPr="004969DC">
              <w:rPr>
                <w:rFonts w:hint="cs"/>
                <w:sz w:val="20"/>
                <w:szCs w:val="22"/>
                <w:rtl/>
                <w:lang w:val="en-CA"/>
              </w:rPr>
              <w:t>و31</w:t>
            </w:r>
            <w:r w:rsidRPr="004969DC">
              <w:rPr>
                <w:sz w:val="20"/>
                <w:szCs w:val="22"/>
                <w:rtl/>
                <w:lang w:val="en-CA"/>
              </w:rPr>
              <w:t>°</w:t>
            </w:r>
            <w:r w:rsidRPr="004969DC">
              <w:rPr>
                <w:rFonts w:hint="cs"/>
                <w:sz w:val="20"/>
                <w:szCs w:val="22"/>
                <w:rtl/>
                <w:lang w:val="en-CA"/>
              </w:rPr>
              <w:t>23</w:t>
            </w:r>
            <w:r w:rsidRPr="004969DC">
              <w:rPr>
                <w:sz w:val="20"/>
                <w:szCs w:val="22"/>
                <w:rtl/>
                <w:lang w:val="en-CA"/>
              </w:rPr>
              <w:t>'</w:t>
            </w:r>
            <w:r w:rsidRPr="004969DC">
              <w:rPr>
                <w:rFonts w:hint="cs"/>
                <w:sz w:val="20"/>
                <w:szCs w:val="22"/>
                <w:rtl/>
                <w:lang w:val="en-CA"/>
              </w:rPr>
              <w:t>20</w:t>
            </w:r>
            <w:r w:rsidRPr="004969DC">
              <w:rPr>
                <w:sz w:val="20"/>
                <w:szCs w:val="22"/>
                <w:rtl/>
                <w:lang w:val="en-CA"/>
              </w:rPr>
              <w:t>''</w:t>
            </w:r>
            <w:r w:rsidRPr="004969DC">
              <w:rPr>
                <w:rFonts w:hint="cs"/>
                <w:sz w:val="20"/>
                <w:szCs w:val="22"/>
                <w:rtl/>
                <w:lang w:val="en-CA"/>
              </w:rPr>
              <w:t xml:space="preserve"> شرقاً.</w:t>
            </w:r>
          </w:p>
          <w:p w:rsidR="000A5DEA" w:rsidRPr="004969DC" w:rsidRDefault="000A5DEA" w:rsidP="00CD26C5">
            <w:pPr>
              <w:widowControl w:val="0"/>
              <w:numPr>
                <w:ilvl w:val="0"/>
                <w:numId w:val="115"/>
              </w:numPr>
              <w:suppressAutoHyphens/>
              <w:autoSpaceDE w:val="0"/>
              <w:spacing w:after="0" w:line="204" w:lineRule="auto"/>
              <w:rPr>
                <w:sz w:val="20"/>
                <w:szCs w:val="22"/>
              </w:rPr>
            </w:pPr>
            <w:r w:rsidRPr="004969DC">
              <w:rPr>
                <w:rFonts w:hint="cs"/>
                <w:sz w:val="20"/>
                <w:szCs w:val="22"/>
                <w:rtl/>
              </w:rPr>
              <w:t>حقل</w:t>
            </w:r>
            <w:r w:rsidRPr="004969DC">
              <w:rPr>
                <w:sz w:val="20"/>
                <w:szCs w:val="22"/>
                <w:rtl/>
              </w:rPr>
              <w:t xml:space="preserve"> ز</w:t>
            </w:r>
            <w:r w:rsidRPr="004969DC">
              <w:rPr>
                <w:rFonts w:hint="cs"/>
                <w:sz w:val="20"/>
                <w:szCs w:val="22"/>
                <w:rtl/>
              </w:rPr>
              <w:t>ي</w:t>
            </w:r>
            <w:r w:rsidRPr="004969DC">
              <w:rPr>
                <w:sz w:val="20"/>
                <w:szCs w:val="22"/>
                <w:rtl/>
              </w:rPr>
              <w:t xml:space="preserve">رنوف </w:t>
            </w:r>
            <w:r w:rsidRPr="004969DC">
              <w:rPr>
                <w:rFonts w:hint="cs"/>
                <w:sz w:val="20"/>
                <w:szCs w:val="22"/>
                <w:rtl/>
              </w:rPr>
              <w:t>للطحالب الحمراء (فيلوفورا) يمثل</w:t>
            </w:r>
            <w:r w:rsidRPr="004969DC">
              <w:rPr>
                <w:sz w:val="20"/>
                <w:szCs w:val="22"/>
                <w:rtl/>
              </w:rPr>
              <w:t xml:space="preserve"> ظاهرة طبيعية فريدة من نوعها –</w:t>
            </w:r>
            <w:r w:rsidRPr="004969DC">
              <w:rPr>
                <w:rFonts w:hint="cs"/>
                <w:sz w:val="20"/>
                <w:szCs w:val="22"/>
                <w:rtl/>
              </w:rPr>
              <w:t xml:space="preserve"> عبارة عن تركيز</w:t>
            </w:r>
            <w:r w:rsidRPr="004969DC">
              <w:rPr>
                <w:sz w:val="20"/>
                <w:szCs w:val="22"/>
                <w:rtl/>
              </w:rPr>
              <w:t xml:space="preserve"> </w:t>
            </w:r>
            <w:r w:rsidRPr="004969DC">
              <w:rPr>
                <w:rFonts w:hint="cs"/>
                <w:sz w:val="20"/>
                <w:szCs w:val="22"/>
                <w:rtl/>
              </w:rPr>
              <w:t>ل</w:t>
            </w:r>
            <w:r w:rsidRPr="004969DC">
              <w:rPr>
                <w:sz w:val="20"/>
                <w:szCs w:val="22"/>
                <w:rtl/>
              </w:rPr>
              <w:t xml:space="preserve">لأعشاب البحرية مع </w:t>
            </w:r>
            <w:r w:rsidRPr="004969DC">
              <w:rPr>
                <w:rFonts w:hint="cs"/>
                <w:sz w:val="20"/>
                <w:szCs w:val="22"/>
                <w:rtl/>
              </w:rPr>
              <w:t>سيادة أنواع</w:t>
            </w:r>
            <w:r w:rsidRPr="004969DC">
              <w:rPr>
                <w:sz w:val="20"/>
                <w:szCs w:val="22"/>
                <w:rtl/>
              </w:rPr>
              <w:t xml:space="preserve"> من الطحالب الحمراء</w:t>
            </w:r>
            <w:r w:rsidRPr="004969DC">
              <w:rPr>
                <w:rFonts w:hint="cs"/>
                <w:sz w:val="20"/>
                <w:szCs w:val="22"/>
                <w:rtl/>
              </w:rPr>
              <w:t xml:space="preserve"> (</w:t>
            </w:r>
            <w:r w:rsidRPr="004969DC">
              <w:rPr>
                <w:rFonts w:eastAsia="Times New Roman"/>
                <w:i/>
                <w:iCs/>
                <w:sz w:val="20"/>
                <w:szCs w:val="22"/>
              </w:rPr>
              <w:t>Phyllophoraceae</w:t>
            </w:r>
            <w:r w:rsidRPr="004969DC">
              <w:rPr>
                <w:rFonts w:hint="cs"/>
                <w:sz w:val="20"/>
                <w:szCs w:val="22"/>
                <w:rtl/>
              </w:rPr>
              <w:t>). ويشكل هذا الحقل</w:t>
            </w:r>
            <w:r w:rsidRPr="004969DC">
              <w:rPr>
                <w:sz w:val="20"/>
                <w:szCs w:val="22"/>
                <w:rtl/>
              </w:rPr>
              <w:t xml:space="preserve"> مو</w:t>
            </w:r>
            <w:r w:rsidRPr="004969DC">
              <w:rPr>
                <w:rFonts w:hint="cs"/>
                <w:sz w:val="20"/>
                <w:szCs w:val="22"/>
                <w:rtl/>
              </w:rPr>
              <w:t>ئلاً</w:t>
            </w:r>
            <w:r w:rsidRPr="004969DC">
              <w:rPr>
                <w:sz w:val="20"/>
                <w:szCs w:val="22"/>
                <w:rtl/>
              </w:rPr>
              <w:t xml:space="preserve"> هام</w:t>
            </w:r>
            <w:r w:rsidRPr="004969DC">
              <w:rPr>
                <w:rFonts w:hint="cs"/>
                <w:sz w:val="20"/>
                <w:szCs w:val="22"/>
                <w:rtl/>
              </w:rPr>
              <w:t>اً</w:t>
            </w:r>
            <w:r w:rsidRPr="004969DC">
              <w:rPr>
                <w:sz w:val="20"/>
                <w:szCs w:val="22"/>
                <w:rtl/>
              </w:rPr>
              <w:t xml:space="preserve"> لكثير من أنواع اللافقاريات والأسماك. </w:t>
            </w:r>
            <w:r w:rsidRPr="004969DC">
              <w:rPr>
                <w:rFonts w:hint="cs"/>
                <w:sz w:val="20"/>
                <w:szCs w:val="22"/>
                <w:rtl/>
              </w:rPr>
              <w:t xml:space="preserve">وتوجد </w:t>
            </w:r>
            <w:r w:rsidRPr="004969DC">
              <w:rPr>
                <w:sz w:val="20"/>
                <w:szCs w:val="22"/>
                <w:rtl/>
              </w:rPr>
              <w:t xml:space="preserve">المجموعة الرئيسية </w:t>
            </w:r>
            <w:r w:rsidRPr="004969DC">
              <w:rPr>
                <w:rFonts w:hint="cs"/>
                <w:sz w:val="20"/>
                <w:szCs w:val="22"/>
                <w:rtl/>
              </w:rPr>
              <w:t>للنباتات</w:t>
            </w:r>
            <w:r w:rsidRPr="004969DC">
              <w:rPr>
                <w:sz w:val="20"/>
                <w:szCs w:val="22"/>
                <w:rtl/>
              </w:rPr>
              <w:t xml:space="preserve"> ال</w:t>
            </w:r>
            <w:r w:rsidRPr="004969DC">
              <w:rPr>
                <w:rFonts w:hint="cs"/>
                <w:sz w:val="20"/>
                <w:szCs w:val="22"/>
                <w:rtl/>
              </w:rPr>
              <w:t>مائية الضخمة</w:t>
            </w:r>
            <w:r w:rsidRPr="004969DC">
              <w:rPr>
                <w:sz w:val="20"/>
                <w:szCs w:val="22"/>
                <w:rtl/>
              </w:rPr>
              <w:t xml:space="preserve"> (</w:t>
            </w:r>
            <w:r w:rsidRPr="004969DC">
              <w:rPr>
                <w:i/>
                <w:iCs/>
                <w:sz w:val="20"/>
                <w:szCs w:val="22"/>
              </w:rPr>
              <w:t>macrophytes</w:t>
            </w:r>
            <w:r w:rsidRPr="004969DC">
              <w:rPr>
                <w:sz w:val="20"/>
                <w:szCs w:val="22"/>
                <w:rtl/>
              </w:rPr>
              <w:t xml:space="preserve">) </w:t>
            </w:r>
            <w:r w:rsidRPr="004969DC">
              <w:rPr>
                <w:rFonts w:hint="cs"/>
                <w:sz w:val="20"/>
                <w:szCs w:val="22"/>
                <w:rtl/>
              </w:rPr>
              <w:t>في</w:t>
            </w:r>
            <w:r w:rsidRPr="004969DC">
              <w:rPr>
                <w:sz w:val="20"/>
                <w:szCs w:val="22"/>
                <w:rtl/>
              </w:rPr>
              <w:t xml:space="preserve"> </w:t>
            </w:r>
            <w:r w:rsidRPr="004969DC">
              <w:rPr>
                <w:rFonts w:hint="cs"/>
                <w:sz w:val="20"/>
                <w:szCs w:val="22"/>
                <w:rtl/>
              </w:rPr>
              <w:t>القاع القديم لنهر</w:t>
            </w:r>
            <w:r w:rsidRPr="004969DC">
              <w:rPr>
                <w:sz w:val="20"/>
                <w:szCs w:val="22"/>
                <w:rtl/>
              </w:rPr>
              <w:t xml:space="preserve"> دنيبر، </w:t>
            </w:r>
            <w:r w:rsidRPr="004969DC">
              <w:rPr>
                <w:rFonts w:hint="cs"/>
                <w:sz w:val="20"/>
                <w:szCs w:val="22"/>
                <w:rtl/>
              </w:rPr>
              <w:t>الذي يقع</w:t>
            </w:r>
            <w:r w:rsidRPr="004969DC">
              <w:rPr>
                <w:sz w:val="20"/>
                <w:szCs w:val="22"/>
                <w:rtl/>
              </w:rPr>
              <w:t xml:space="preserve"> بين فرعي </w:t>
            </w:r>
            <w:r w:rsidRPr="004969DC">
              <w:rPr>
                <w:rFonts w:hint="cs"/>
                <w:sz w:val="20"/>
                <w:szCs w:val="22"/>
                <w:rtl/>
              </w:rPr>
              <w:t>التيار</w:t>
            </w:r>
            <w:r w:rsidRPr="004969DC">
              <w:rPr>
                <w:sz w:val="20"/>
                <w:szCs w:val="22"/>
                <w:rtl/>
              </w:rPr>
              <w:t xml:space="preserve"> الدائري </w:t>
            </w:r>
            <w:r w:rsidRPr="004969DC">
              <w:rPr>
                <w:rFonts w:hint="cs"/>
                <w:sz w:val="20"/>
                <w:szCs w:val="22"/>
                <w:rtl/>
              </w:rPr>
              <w:t>للبحر</w:t>
            </w:r>
            <w:r w:rsidRPr="004969DC">
              <w:rPr>
                <w:sz w:val="20"/>
                <w:szCs w:val="22"/>
                <w:rtl/>
              </w:rPr>
              <w:t xml:space="preserve"> الأسود. </w:t>
            </w:r>
            <w:r w:rsidRPr="004969DC">
              <w:rPr>
                <w:rFonts w:hint="cs"/>
                <w:sz w:val="20"/>
                <w:szCs w:val="22"/>
                <w:rtl/>
              </w:rPr>
              <w:t xml:space="preserve">وتتمثل </w:t>
            </w:r>
            <w:r w:rsidRPr="004969DC">
              <w:rPr>
                <w:sz w:val="20"/>
                <w:szCs w:val="22"/>
                <w:rtl/>
              </w:rPr>
              <w:t xml:space="preserve">الرواسب السائدة </w:t>
            </w:r>
            <w:r w:rsidRPr="004969DC">
              <w:rPr>
                <w:rFonts w:hint="cs"/>
                <w:sz w:val="20"/>
                <w:szCs w:val="22"/>
                <w:rtl/>
              </w:rPr>
              <w:t>في</w:t>
            </w:r>
            <w:r w:rsidRPr="004969DC">
              <w:rPr>
                <w:sz w:val="20"/>
                <w:szCs w:val="22"/>
                <w:rtl/>
              </w:rPr>
              <w:t xml:space="preserve"> الحجر الجيري </w:t>
            </w:r>
            <w:r w:rsidRPr="004969DC">
              <w:rPr>
                <w:rFonts w:hint="cs"/>
                <w:sz w:val="20"/>
                <w:szCs w:val="22"/>
                <w:rtl/>
              </w:rPr>
              <w:t>المحاري</w:t>
            </w:r>
            <w:r w:rsidRPr="004969DC">
              <w:rPr>
                <w:sz w:val="20"/>
                <w:szCs w:val="22"/>
                <w:rtl/>
              </w:rPr>
              <w:t xml:space="preserve">، </w:t>
            </w:r>
            <w:r w:rsidRPr="004969DC">
              <w:rPr>
                <w:rFonts w:hint="cs"/>
                <w:sz w:val="20"/>
                <w:szCs w:val="22"/>
                <w:rtl/>
              </w:rPr>
              <w:t>و</w:t>
            </w:r>
            <w:r w:rsidRPr="004969DC">
              <w:rPr>
                <w:sz w:val="20"/>
                <w:szCs w:val="22"/>
                <w:rtl/>
              </w:rPr>
              <w:t xml:space="preserve">الحجر الجيري </w:t>
            </w:r>
            <w:r w:rsidRPr="004969DC">
              <w:rPr>
                <w:rFonts w:hint="cs"/>
                <w:sz w:val="20"/>
                <w:szCs w:val="22"/>
                <w:rtl/>
              </w:rPr>
              <w:t>المحاري المغرين</w:t>
            </w:r>
            <w:r w:rsidRPr="004969DC">
              <w:rPr>
                <w:sz w:val="20"/>
                <w:szCs w:val="22"/>
                <w:rtl/>
              </w:rPr>
              <w:t xml:space="preserve">، </w:t>
            </w:r>
            <w:r w:rsidRPr="004969DC">
              <w:rPr>
                <w:rFonts w:hint="cs"/>
                <w:sz w:val="20"/>
                <w:szCs w:val="22"/>
                <w:rtl/>
              </w:rPr>
              <w:t>و</w:t>
            </w:r>
            <w:r w:rsidRPr="004969DC">
              <w:rPr>
                <w:sz w:val="20"/>
                <w:szCs w:val="22"/>
                <w:rtl/>
              </w:rPr>
              <w:t>الطمي ال</w:t>
            </w:r>
            <w:r w:rsidRPr="004969DC">
              <w:rPr>
                <w:rFonts w:hint="cs"/>
                <w:sz w:val="20"/>
                <w:szCs w:val="22"/>
                <w:rtl/>
              </w:rPr>
              <w:t>زاخر بالأصداف</w:t>
            </w:r>
            <w:r w:rsidRPr="004969DC">
              <w:rPr>
                <w:sz w:val="20"/>
                <w:szCs w:val="22"/>
                <w:rtl/>
              </w:rPr>
              <w:t xml:space="preserve">. </w:t>
            </w:r>
            <w:r w:rsidRPr="004969DC">
              <w:rPr>
                <w:rFonts w:hint="cs"/>
                <w:sz w:val="20"/>
                <w:szCs w:val="22"/>
                <w:rtl/>
              </w:rPr>
              <w:t xml:space="preserve">وتعتبر </w:t>
            </w:r>
            <w:r w:rsidRPr="004969DC">
              <w:rPr>
                <w:sz w:val="20"/>
                <w:szCs w:val="22"/>
                <w:rtl/>
              </w:rPr>
              <w:t xml:space="preserve">حالة النظام </w:t>
            </w:r>
            <w:r w:rsidRPr="004969DC">
              <w:rPr>
                <w:rFonts w:hint="cs"/>
                <w:sz w:val="20"/>
                <w:szCs w:val="22"/>
                <w:rtl/>
              </w:rPr>
              <w:t>الإيكولوجي لحقل زيرنوف</w:t>
            </w:r>
            <w:r w:rsidRPr="004969DC">
              <w:rPr>
                <w:sz w:val="20"/>
                <w:szCs w:val="22"/>
                <w:rtl/>
              </w:rPr>
              <w:t xml:space="preserve"> </w:t>
            </w:r>
            <w:r w:rsidRPr="004969DC">
              <w:rPr>
                <w:rFonts w:hint="cs"/>
                <w:sz w:val="20"/>
                <w:szCs w:val="22"/>
                <w:rtl/>
              </w:rPr>
              <w:t>مؤشراً</w:t>
            </w:r>
            <w:r w:rsidRPr="004969DC">
              <w:rPr>
                <w:sz w:val="20"/>
                <w:szCs w:val="22"/>
                <w:rtl/>
              </w:rPr>
              <w:t xml:space="preserve"> لحالة</w:t>
            </w:r>
            <w:r w:rsidRPr="004969DC">
              <w:rPr>
                <w:rFonts w:hint="cs"/>
                <w:sz w:val="20"/>
                <w:szCs w:val="22"/>
                <w:rtl/>
              </w:rPr>
              <w:t xml:space="preserve"> كامل</w:t>
            </w:r>
            <w:r w:rsidRPr="004969DC">
              <w:rPr>
                <w:sz w:val="20"/>
                <w:szCs w:val="22"/>
                <w:rtl/>
              </w:rPr>
              <w:t xml:space="preserve"> الجزء الشمالي الغربي من النظام ال</w:t>
            </w:r>
            <w:r w:rsidRPr="004969DC">
              <w:rPr>
                <w:rFonts w:hint="cs"/>
                <w:sz w:val="20"/>
                <w:szCs w:val="22"/>
                <w:rtl/>
              </w:rPr>
              <w:t>إيكولوجي</w:t>
            </w:r>
            <w:r w:rsidRPr="004969DC">
              <w:rPr>
                <w:sz w:val="20"/>
                <w:szCs w:val="22"/>
                <w:rtl/>
              </w:rPr>
              <w:t xml:space="preserve"> في البحر الأسو</w:t>
            </w:r>
            <w:r w:rsidRPr="004969DC">
              <w:rPr>
                <w:rFonts w:hint="cs"/>
                <w:sz w:val="20"/>
                <w:szCs w:val="22"/>
                <w:rtl/>
              </w:rPr>
              <w:t>د.</w:t>
            </w:r>
            <w:r w:rsidRPr="004969DC">
              <w:rPr>
                <w:sz w:val="20"/>
                <w:szCs w:val="22"/>
              </w:rPr>
              <w:t xml:space="preserve"> </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
                <w:sz w:val="20"/>
                <w:szCs w:val="22"/>
              </w:rPr>
            </w:pPr>
            <w:r w:rsidRPr="004969DC">
              <w:rPr>
                <w:b/>
                <w:sz w:val="20"/>
                <w:szCs w:val="22"/>
              </w:rPr>
              <w:t>6</w:t>
            </w:r>
            <w:r w:rsidRPr="004969DC">
              <w:rPr>
                <w:rFonts w:hint="cs"/>
                <w:bCs/>
                <w:sz w:val="20"/>
                <w:szCs w:val="22"/>
                <w:rtl/>
              </w:rPr>
              <w:t xml:space="preserve">- </w:t>
            </w:r>
            <w:r w:rsidRPr="004969DC">
              <w:rPr>
                <w:bCs/>
                <w:sz w:val="20"/>
                <w:szCs w:val="22"/>
                <w:rtl/>
              </w:rPr>
              <w:t xml:space="preserve">حقل </w:t>
            </w:r>
            <w:r w:rsidRPr="004969DC">
              <w:rPr>
                <w:rFonts w:hint="cs"/>
                <w:bCs/>
                <w:sz w:val="20"/>
                <w:szCs w:val="22"/>
                <w:rtl/>
              </w:rPr>
              <w:t>الطحالب الحمراء (فيلوفورا)</w:t>
            </w:r>
            <w:r w:rsidRPr="004969DC">
              <w:rPr>
                <w:bCs/>
                <w:sz w:val="20"/>
                <w:szCs w:val="22"/>
                <w:rtl/>
              </w:rPr>
              <w:t xml:space="preserve"> الصغير</w:t>
            </w:r>
          </w:p>
          <w:p w:rsidR="000A5DEA" w:rsidRPr="004969DC" w:rsidRDefault="000A5DEA" w:rsidP="00CD26C5">
            <w:pPr>
              <w:numPr>
                <w:ilvl w:val="0"/>
                <w:numId w:val="122"/>
              </w:numPr>
              <w:autoSpaceDE w:val="0"/>
              <w:autoSpaceDN w:val="0"/>
              <w:adjustRightInd w:val="0"/>
              <w:spacing w:after="0" w:line="204" w:lineRule="auto"/>
              <w:rPr>
                <w:sz w:val="20"/>
                <w:szCs w:val="22"/>
              </w:rPr>
            </w:pPr>
            <w:r w:rsidRPr="004969DC">
              <w:rPr>
                <w:sz w:val="20"/>
                <w:szCs w:val="22"/>
                <w:rtl/>
                <w:lang w:val="en-CA"/>
              </w:rPr>
              <w:t xml:space="preserve">الموقع: يقع </w:t>
            </w:r>
            <w:r w:rsidRPr="004969DC">
              <w:rPr>
                <w:b/>
                <w:sz w:val="20"/>
                <w:szCs w:val="22"/>
                <w:rtl/>
                <w:lang w:val="en-CA"/>
              </w:rPr>
              <w:t xml:space="preserve">حقل </w:t>
            </w:r>
            <w:r w:rsidRPr="004969DC">
              <w:rPr>
                <w:rFonts w:hint="cs"/>
                <w:b/>
                <w:sz w:val="20"/>
                <w:szCs w:val="22"/>
                <w:rtl/>
                <w:lang w:val="en-CA"/>
              </w:rPr>
              <w:t>الطحالب الحمراء (فيلوفورا)</w:t>
            </w:r>
            <w:r w:rsidRPr="004969DC">
              <w:rPr>
                <w:b/>
                <w:sz w:val="20"/>
                <w:szCs w:val="22"/>
                <w:rtl/>
                <w:lang w:val="en-CA"/>
              </w:rPr>
              <w:t xml:space="preserve"> الصغير</w:t>
            </w:r>
            <w:r w:rsidRPr="004969DC">
              <w:rPr>
                <w:sz w:val="20"/>
                <w:szCs w:val="22"/>
                <w:rtl/>
                <w:lang w:val="en-CA"/>
              </w:rPr>
              <w:t xml:space="preserve"> في خليج </w:t>
            </w:r>
            <w:r w:rsidRPr="004969DC">
              <w:rPr>
                <w:rFonts w:hint="cs"/>
                <w:sz w:val="20"/>
                <w:szCs w:val="22"/>
                <w:rtl/>
                <w:lang w:val="en-CA"/>
              </w:rPr>
              <w:t>كاركينيتسكي</w:t>
            </w:r>
            <w:r w:rsidRPr="004969DC">
              <w:rPr>
                <w:sz w:val="20"/>
                <w:szCs w:val="22"/>
                <w:rtl/>
                <w:lang w:val="en-CA"/>
              </w:rPr>
              <w:t xml:space="preserve">، أكبر خليج في البحر الأسود، بين الشاطئ الشمالي الغربي لشبه جزيرة </w:t>
            </w:r>
            <w:r w:rsidRPr="004969DC">
              <w:rPr>
                <w:rFonts w:hint="cs"/>
                <w:sz w:val="20"/>
                <w:szCs w:val="22"/>
                <w:rtl/>
                <w:lang w:val="en-CA"/>
              </w:rPr>
              <w:t>القرم</w:t>
            </w:r>
            <w:r w:rsidRPr="004969DC">
              <w:rPr>
                <w:sz w:val="20"/>
                <w:szCs w:val="22"/>
                <w:rtl/>
                <w:lang w:val="en-CA"/>
              </w:rPr>
              <w:t xml:space="preserve"> وساحل </w:t>
            </w:r>
            <w:r w:rsidRPr="004969DC">
              <w:rPr>
                <w:rFonts w:hint="cs"/>
                <w:sz w:val="20"/>
                <w:szCs w:val="22"/>
                <w:rtl/>
                <w:lang w:val="en-CA"/>
              </w:rPr>
              <w:t>خيرسون أوبلاست</w:t>
            </w:r>
            <w:r w:rsidRPr="004969DC">
              <w:rPr>
                <w:sz w:val="20"/>
                <w:szCs w:val="22"/>
                <w:rtl/>
                <w:lang w:val="en-CA"/>
              </w:rPr>
              <w:t xml:space="preserve">، </w:t>
            </w:r>
            <w:r w:rsidRPr="004969DC">
              <w:rPr>
                <w:rFonts w:hint="cs"/>
                <w:sz w:val="20"/>
                <w:szCs w:val="22"/>
                <w:rtl/>
                <w:lang w:val="en-CA"/>
              </w:rPr>
              <w:t>وتحده</w:t>
            </w:r>
            <w:r w:rsidRPr="004969DC">
              <w:rPr>
                <w:sz w:val="20"/>
                <w:szCs w:val="22"/>
                <w:rtl/>
                <w:lang w:val="en-CA"/>
              </w:rPr>
              <w:t xml:space="preserve"> جزيرة </w:t>
            </w:r>
            <w:r w:rsidRPr="004969DC">
              <w:rPr>
                <w:rFonts w:hint="cs"/>
                <w:sz w:val="20"/>
                <w:szCs w:val="22"/>
                <w:rtl/>
                <w:lang w:val="en-CA"/>
              </w:rPr>
              <w:t>دزاريلغاش</w:t>
            </w:r>
            <w:r w:rsidRPr="004969DC">
              <w:rPr>
                <w:sz w:val="20"/>
                <w:szCs w:val="22"/>
                <w:rtl/>
                <w:lang w:val="en-CA"/>
              </w:rPr>
              <w:t xml:space="preserve"> و</w:t>
            </w:r>
            <w:r w:rsidRPr="004969DC">
              <w:rPr>
                <w:rFonts w:hint="cs"/>
                <w:sz w:val="20"/>
                <w:szCs w:val="22"/>
                <w:rtl/>
                <w:lang w:val="en-CA"/>
              </w:rPr>
              <w:t>لسان تاندروفسكي الساحلي.</w:t>
            </w:r>
          </w:p>
          <w:p w:rsidR="000A5DEA" w:rsidRPr="004969DC" w:rsidRDefault="000A5DEA" w:rsidP="00CD26C5">
            <w:pPr>
              <w:numPr>
                <w:ilvl w:val="0"/>
                <w:numId w:val="122"/>
              </w:numPr>
              <w:autoSpaceDE w:val="0"/>
              <w:autoSpaceDN w:val="0"/>
              <w:adjustRightInd w:val="0"/>
              <w:spacing w:after="0" w:line="204" w:lineRule="auto"/>
              <w:rPr>
                <w:sz w:val="20"/>
                <w:szCs w:val="22"/>
              </w:rPr>
            </w:pPr>
            <w:r w:rsidRPr="004969DC">
              <w:rPr>
                <w:rFonts w:hint="cs"/>
                <w:sz w:val="20"/>
                <w:szCs w:val="22"/>
                <w:rtl/>
              </w:rPr>
              <w:t>هذا الحقل هو عبارة عن</w:t>
            </w:r>
            <w:r w:rsidRPr="004969DC">
              <w:rPr>
                <w:sz w:val="20"/>
                <w:szCs w:val="22"/>
                <w:rtl/>
              </w:rPr>
              <w:t xml:space="preserve"> مجموعة من الطحالب الحمراء </w:t>
            </w:r>
            <w:r w:rsidRPr="004969DC">
              <w:rPr>
                <w:rFonts w:hint="cs"/>
                <w:sz w:val="20"/>
                <w:szCs w:val="22"/>
                <w:rtl/>
              </w:rPr>
              <w:t>ذات</w:t>
            </w:r>
            <w:r w:rsidRPr="004969DC">
              <w:rPr>
                <w:sz w:val="20"/>
                <w:szCs w:val="22"/>
                <w:rtl/>
              </w:rPr>
              <w:t xml:space="preserve"> </w:t>
            </w:r>
            <w:r w:rsidRPr="004969DC">
              <w:rPr>
                <w:rFonts w:hint="cs"/>
                <w:sz w:val="20"/>
                <w:szCs w:val="22"/>
                <w:rtl/>
              </w:rPr>
              <w:t>ال</w:t>
            </w:r>
            <w:r w:rsidRPr="004969DC">
              <w:rPr>
                <w:sz w:val="20"/>
                <w:szCs w:val="22"/>
                <w:rtl/>
              </w:rPr>
              <w:t xml:space="preserve">قيمة </w:t>
            </w:r>
            <w:r w:rsidRPr="004969DC">
              <w:rPr>
                <w:rFonts w:hint="cs"/>
                <w:sz w:val="20"/>
                <w:szCs w:val="22"/>
                <w:rtl/>
              </w:rPr>
              <w:t>ال</w:t>
            </w:r>
            <w:r w:rsidRPr="004969DC">
              <w:rPr>
                <w:sz w:val="20"/>
                <w:szCs w:val="22"/>
                <w:rtl/>
              </w:rPr>
              <w:t xml:space="preserve">تجارية </w:t>
            </w:r>
            <w:r w:rsidRPr="004969DC">
              <w:rPr>
                <w:rFonts w:hint="cs"/>
                <w:sz w:val="20"/>
                <w:szCs w:val="22"/>
                <w:rtl/>
              </w:rPr>
              <w:t>المتأتية من جني واستخلاص الأغار الطحلبي</w:t>
            </w:r>
            <w:r w:rsidRPr="004969DC">
              <w:rPr>
                <w:sz w:val="20"/>
                <w:szCs w:val="22"/>
                <w:rtl/>
              </w:rPr>
              <w:t xml:space="preserve">. </w:t>
            </w:r>
            <w:r w:rsidRPr="004969DC">
              <w:rPr>
                <w:rFonts w:hint="cs"/>
                <w:sz w:val="20"/>
                <w:szCs w:val="22"/>
                <w:rtl/>
              </w:rPr>
              <w:t xml:space="preserve">وهو </w:t>
            </w:r>
            <w:r w:rsidRPr="004969DC">
              <w:rPr>
                <w:sz w:val="20"/>
                <w:szCs w:val="22"/>
                <w:rtl/>
              </w:rPr>
              <w:t xml:space="preserve">يشكل </w:t>
            </w:r>
            <w:r w:rsidRPr="004969DC">
              <w:rPr>
                <w:rFonts w:hint="cs"/>
                <w:sz w:val="20"/>
                <w:szCs w:val="22"/>
                <w:rtl/>
              </w:rPr>
              <w:t xml:space="preserve">أيضاً </w:t>
            </w:r>
            <w:r w:rsidRPr="004969DC">
              <w:rPr>
                <w:sz w:val="20"/>
                <w:szCs w:val="22"/>
                <w:rtl/>
              </w:rPr>
              <w:t>مصدرا</w:t>
            </w:r>
            <w:r w:rsidRPr="004969DC">
              <w:rPr>
                <w:rFonts w:hint="cs"/>
                <w:sz w:val="20"/>
                <w:szCs w:val="22"/>
                <w:rtl/>
              </w:rPr>
              <w:t>ً</w:t>
            </w:r>
            <w:r w:rsidRPr="004969DC">
              <w:rPr>
                <w:sz w:val="20"/>
                <w:szCs w:val="22"/>
                <w:rtl/>
              </w:rPr>
              <w:t xml:space="preserve"> هاما</w:t>
            </w:r>
            <w:r w:rsidRPr="004969DC">
              <w:rPr>
                <w:rFonts w:hint="cs"/>
                <w:sz w:val="20"/>
                <w:szCs w:val="22"/>
                <w:rtl/>
              </w:rPr>
              <w:t>ً</w:t>
            </w:r>
            <w:r w:rsidRPr="004969DC">
              <w:rPr>
                <w:sz w:val="20"/>
                <w:szCs w:val="22"/>
                <w:rtl/>
              </w:rPr>
              <w:t xml:space="preserve"> للأكسجين </w:t>
            </w:r>
            <w:r w:rsidRPr="004969DC">
              <w:rPr>
                <w:rFonts w:hint="cs"/>
                <w:sz w:val="20"/>
                <w:szCs w:val="22"/>
                <w:rtl/>
              </w:rPr>
              <w:t>الذي ينتج</w:t>
            </w:r>
            <w:r w:rsidRPr="004969DC">
              <w:rPr>
                <w:sz w:val="20"/>
                <w:szCs w:val="22"/>
                <w:rtl/>
              </w:rPr>
              <w:t xml:space="preserve"> عن</w:t>
            </w:r>
            <w:r w:rsidRPr="004969DC">
              <w:rPr>
                <w:rFonts w:hint="cs"/>
                <w:sz w:val="20"/>
                <w:szCs w:val="22"/>
                <w:rtl/>
              </w:rPr>
              <w:t xml:space="preserve"> عملية</w:t>
            </w:r>
            <w:r w:rsidRPr="004969DC">
              <w:rPr>
                <w:sz w:val="20"/>
                <w:szCs w:val="22"/>
                <w:rtl/>
              </w:rPr>
              <w:t xml:space="preserve"> التمثيل الضوئي </w:t>
            </w:r>
            <w:r w:rsidRPr="004969DC">
              <w:rPr>
                <w:rFonts w:hint="cs"/>
                <w:sz w:val="20"/>
                <w:szCs w:val="22"/>
                <w:rtl/>
              </w:rPr>
              <w:t>التي تقوم بها</w:t>
            </w:r>
            <w:r w:rsidRPr="004969DC">
              <w:rPr>
                <w:sz w:val="20"/>
                <w:szCs w:val="22"/>
                <w:rtl/>
              </w:rPr>
              <w:t xml:space="preserve"> الطحالب. </w:t>
            </w:r>
            <w:r w:rsidRPr="004969DC">
              <w:rPr>
                <w:rFonts w:hint="cs"/>
                <w:sz w:val="20"/>
                <w:szCs w:val="22"/>
                <w:rtl/>
              </w:rPr>
              <w:t>وترتبط</w:t>
            </w:r>
            <w:r w:rsidRPr="004969DC">
              <w:rPr>
                <w:sz w:val="20"/>
                <w:szCs w:val="22"/>
                <w:rtl/>
              </w:rPr>
              <w:t xml:space="preserve"> </w:t>
            </w:r>
            <w:r w:rsidRPr="004969DC">
              <w:rPr>
                <w:rFonts w:hint="cs"/>
                <w:sz w:val="20"/>
                <w:szCs w:val="22"/>
                <w:rtl/>
              </w:rPr>
              <w:t>مجموعات حيوانية</w:t>
            </w:r>
            <w:r w:rsidRPr="004969DC">
              <w:rPr>
                <w:sz w:val="20"/>
                <w:szCs w:val="22"/>
                <w:rtl/>
              </w:rPr>
              <w:t xml:space="preserve"> </w:t>
            </w:r>
            <w:r w:rsidRPr="004969DC">
              <w:rPr>
                <w:rFonts w:hint="cs"/>
                <w:sz w:val="20"/>
                <w:szCs w:val="22"/>
                <w:rtl/>
              </w:rPr>
              <w:t>مميزة</w:t>
            </w:r>
            <w:r w:rsidRPr="004969DC">
              <w:rPr>
                <w:sz w:val="20"/>
                <w:szCs w:val="22"/>
                <w:rtl/>
              </w:rPr>
              <w:t xml:space="preserve">، بما في ذلك أكثر من 110 </w:t>
            </w:r>
            <w:r w:rsidRPr="004969DC">
              <w:rPr>
                <w:rFonts w:hint="cs"/>
                <w:sz w:val="20"/>
                <w:szCs w:val="22"/>
                <w:rtl/>
              </w:rPr>
              <w:t>أنواع</w:t>
            </w:r>
            <w:r w:rsidRPr="004969DC">
              <w:rPr>
                <w:sz w:val="20"/>
                <w:szCs w:val="22"/>
                <w:rtl/>
              </w:rPr>
              <w:t xml:space="preserve"> من اللافقاريات و47 نوعًا من الأسماك</w:t>
            </w:r>
            <w:r w:rsidRPr="004969DC">
              <w:rPr>
                <w:rFonts w:hint="cs"/>
                <w:sz w:val="20"/>
                <w:szCs w:val="22"/>
                <w:rtl/>
              </w:rPr>
              <w:t xml:space="preserve"> ب</w:t>
            </w:r>
            <w:r w:rsidRPr="004969DC">
              <w:rPr>
                <w:sz w:val="20"/>
                <w:szCs w:val="22"/>
                <w:rtl/>
              </w:rPr>
              <w:t xml:space="preserve">حقول </w:t>
            </w:r>
            <w:r w:rsidRPr="004969DC">
              <w:rPr>
                <w:rFonts w:hint="cs"/>
                <w:sz w:val="20"/>
                <w:szCs w:val="22"/>
                <w:rtl/>
              </w:rPr>
              <w:t>فيلوفورا الواقعة</w:t>
            </w:r>
            <w:r w:rsidRPr="004969DC">
              <w:rPr>
                <w:sz w:val="20"/>
                <w:szCs w:val="22"/>
                <w:rtl/>
              </w:rPr>
              <w:t xml:space="preserve"> في شمال غرب البحر الأسود. </w:t>
            </w:r>
            <w:r w:rsidRPr="004969DC">
              <w:rPr>
                <w:rFonts w:hint="cs"/>
                <w:sz w:val="20"/>
                <w:szCs w:val="22"/>
                <w:rtl/>
              </w:rPr>
              <w:t>وقد طورت</w:t>
            </w:r>
            <w:r w:rsidRPr="004969DC">
              <w:rPr>
                <w:sz w:val="20"/>
                <w:szCs w:val="22"/>
                <w:rtl/>
              </w:rPr>
              <w:t xml:space="preserve"> العديد من الأنواع لونًا محمرًا </w:t>
            </w:r>
            <w:r w:rsidRPr="004969DC">
              <w:rPr>
                <w:rFonts w:hint="cs"/>
                <w:sz w:val="20"/>
                <w:szCs w:val="22"/>
                <w:rtl/>
              </w:rPr>
              <w:t>حتى تتخفى، على وجه التحديد،</w:t>
            </w:r>
            <w:r w:rsidRPr="004969DC">
              <w:rPr>
                <w:sz w:val="20"/>
                <w:szCs w:val="22"/>
                <w:rtl/>
              </w:rPr>
              <w:t xml:space="preserve"> داخل الطحال</w:t>
            </w:r>
            <w:r w:rsidRPr="004969DC">
              <w:rPr>
                <w:rFonts w:hint="cs"/>
                <w:sz w:val="20"/>
                <w:szCs w:val="22"/>
                <w:rtl/>
              </w:rPr>
              <w:t>ب.</w:t>
            </w:r>
          </w:p>
          <w:p w:rsidR="000A5DEA" w:rsidRPr="004969DC" w:rsidRDefault="000A5DEA" w:rsidP="004969DC">
            <w:pPr>
              <w:autoSpaceDE w:val="0"/>
              <w:autoSpaceDN w:val="0"/>
              <w:adjustRightInd w:val="0"/>
              <w:spacing w:after="0" w:line="204" w:lineRule="auto"/>
              <w:ind w:left="360"/>
              <w:rPr>
                <w:sz w:val="20"/>
                <w:szCs w:val="22"/>
              </w:rPr>
            </w:pP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L</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Pr>
            </w:pPr>
            <w:r w:rsidRPr="004969DC">
              <w:rPr>
                <w:rFonts w:hint="cs"/>
                <w:bCs/>
                <w:sz w:val="20"/>
                <w:szCs w:val="22"/>
                <w:rtl/>
              </w:rPr>
              <w:t>7-</w:t>
            </w:r>
            <w:r w:rsidRPr="004969DC">
              <w:rPr>
                <w:bCs/>
                <w:sz w:val="20"/>
                <w:szCs w:val="22"/>
                <w:rtl/>
              </w:rPr>
              <w:t xml:space="preserve"> بالاكلافا</w:t>
            </w:r>
          </w:p>
          <w:p w:rsidR="000A5DEA" w:rsidRPr="004969DC" w:rsidRDefault="000A5DEA" w:rsidP="00CD26C5">
            <w:pPr>
              <w:pStyle w:val="ListParagraph"/>
              <w:numPr>
                <w:ilvl w:val="0"/>
                <w:numId w:val="125"/>
              </w:numPr>
              <w:shd w:val="clear" w:color="auto" w:fill="FFFFFF"/>
              <w:bidi/>
              <w:spacing w:after="0" w:line="204" w:lineRule="auto"/>
              <w:rPr>
                <w:rFonts w:cs="Simplified Arabic"/>
                <w:color w:val="212121"/>
                <w:sz w:val="20"/>
                <w:szCs w:val="22"/>
                <w:lang w:val="tr-TR" w:eastAsia="ja-JP"/>
              </w:rPr>
            </w:pPr>
            <w:r w:rsidRPr="004969DC">
              <w:rPr>
                <w:rFonts w:cs="Simplified Arabic"/>
                <w:sz w:val="20"/>
                <w:szCs w:val="22"/>
                <w:rtl/>
                <w:lang w:val="en-US"/>
              </w:rPr>
              <w:t xml:space="preserve">الموقع: تقع هذه المنطقة </w:t>
            </w:r>
            <w:r w:rsidRPr="004969DC">
              <w:rPr>
                <w:rFonts w:cs="Simplified Arabic" w:hint="cs"/>
                <w:sz w:val="20"/>
                <w:szCs w:val="22"/>
                <w:rtl/>
                <w:lang w:val="en-US"/>
              </w:rPr>
              <w:t>عند خطي</w:t>
            </w:r>
            <w:r w:rsidRPr="004969DC">
              <w:rPr>
                <w:rFonts w:cs="Simplified Arabic"/>
                <w:sz w:val="20"/>
                <w:szCs w:val="22"/>
                <w:rtl/>
                <w:lang w:val="en-US"/>
              </w:rPr>
              <w:t xml:space="preserve"> </w:t>
            </w:r>
            <w:r w:rsidRPr="004969DC">
              <w:rPr>
                <w:rFonts w:cs="Simplified Arabic" w:hint="cs"/>
                <w:sz w:val="20"/>
                <w:szCs w:val="22"/>
                <w:rtl/>
                <w:lang w:val="en-US"/>
              </w:rPr>
              <w:t>33</w:t>
            </w:r>
            <w:r w:rsidRPr="004969DC">
              <w:rPr>
                <w:rFonts w:cs="Simplified Arabic"/>
                <w:sz w:val="20"/>
                <w:szCs w:val="22"/>
                <w:rtl/>
                <w:lang w:val="en-US"/>
              </w:rPr>
              <w:t>°</w:t>
            </w:r>
            <w:r w:rsidRPr="004969DC">
              <w:rPr>
                <w:rFonts w:cs="Simplified Arabic" w:hint="cs"/>
                <w:sz w:val="20"/>
                <w:szCs w:val="22"/>
                <w:rtl/>
                <w:lang w:val="en-US"/>
              </w:rPr>
              <w:t xml:space="preserve"> 36</w:t>
            </w:r>
            <w:r w:rsidRPr="004969DC">
              <w:rPr>
                <w:rFonts w:cs="Simplified Arabic"/>
                <w:sz w:val="20"/>
                <w:szCs w:val="22"/>
                <w:rtl/>
                <w:lang w:val="en-US"/>
              </w:rPr>
              <w:t>'</w:t>
            </w:r>
            <w:r w:rsidRPr="004969DC">
              <w:rPr>
                <w:rFonts w:cs="Simplified Arabic" w:hint="cs"/>
                <w:sz w:val="20"/>
                <w:szCs w:val="22"/>
                <w:rtl/>
                <w:lang w:val="en-US"/>
              </w:rPr>
              <w:t xml:space="preserve"> 12,37</w:t>
            </w:r>
            <w:r w:rsidRPr="004969DC">
              <w:rPr>
                <w:rFonts w:cs="Simplified Arabic"/>
                <w:sz w:val="20"/>
                <w:szCs w:val="22"/>
                <w:rtl/>
                <w:lang w:val="en-US"/>
              </w:rPr>
              <w:t>''</w:t>
            </w:r>
            <w:r w:rsidRPr="004969DC">
              <w:rPr>
                <w:rFonts w:cs="Simplified Arabic" w:hint="cs"/>
                <w:sz w:val="20"/>
                <w:szCs w:val="22"/>
                <w:rtl/>
                <w:lang w:val="en-US"/>
              </w:rPr>
              <w:t xml:space="preserve"> شرقاً</w:t>
            </w:r>
            <w:r w:rsidRPr="004969DC">
              <w:rPr>
                <w:rFonts w:cs="Simplified Arabic"/>
                <w:sz w:val="20"/>
                <w:szCs w:val="22"/>
                <w:rtl/>
                <w:lang w:val="en-US"/>
              </w:rPr>
              <w:t xml:space="preserve"> </w:t>
            </w:r>
            <w:r w:rsidRPr="004969DC">
              <w:rPr>
                <w:rFonts w:cs="Simplified Arabic" w:hint="cs"/>
                <w:sz w:val="20"/>
                <w:szCs w:val="22"/>
                <w:rtl/>
                <w:lang w:val="en-US"/>
              </w:rPr>
              <w:t>و44</w:t>
            </w:r>
            <w:r w:rsidRPr="004969DC">
              <w:rPr>
                <w:rFonts w:cs="Simplified Arabic"/>
                <w:sz w:val="20"/>
                <w:szCs w:val="22"/>
                <w:rtl/>
                <w:lang w:val="en-US"/>
              </w:rPr>
              <w:t>°</w:t>
            </w:r>
            <w:r w:rsidRPr="004969DC">
              <w:rPr>
                <w:rFonts w:cs="Simplified Arabic" w:hint="cs"/>
                <w:sz w:val="20"/>
                <w:szCs w:val="22"/>
                <w:rtl/>
                <w:lang w:val="en-US"/>
              </w:rPr>
              <w:t xml:space="preserve"> 26</w:t>
            </w:r>
            <w:r w:rsidRPr="004969DC">
              <w:rPr>
                <w:rFonts w:cs="Simplified Arabic"/>
                <w:sz w:val="20"/>
                <w:szCs w:val="22"/>
                <w:rtl/>
                <w:lang w:val="en-US"/>
              </w:rPr>
              <w:t>'</w:t>
            </w:r>
            <w:r w:rsidRPr="004969DC">
              <w:rPr>
                <w:rFonts w:cs="Simplified Arabic" w:hint="cs"/>
                <w:sz w:val="20"/>
                <w:szCs w:val="22"/>
                <w:rtl/>
                <w:lang w:val="en-US"/>
              </w:rPr>
              <w:t xml:space="preserve"> 32,76</w:t>
            </w:r>
            <w:r w:rsidRPr="004969DC">
              <w:rPr>
                <w:rFonts w:cs="Simplified Arabic"/>
                <w:sz w:val="20"/>
                <w:szCs w:val="22"/>
                <w:rtl/>
                <w:lang w:val="en-US"/>
              </w:rPr>
              <w:t>''</w:t>
            </w:r>
            <w:r w:rsidRPr="004969DC">
              <w:rPr>
                <w:rFonts w:cs="Simplified Arabic" w:hint="cs"/>
                <w:sz w:val="20"/>
                <w:szCs w:val="22"/>
                <w:rtl/>
                <w:lang w:val="en-US"/>
              </w:rPr>
              <w:t xml:space="preserve"> شمالاً،</w:t>
            </w:r>
            <w:r w:rsidRPr="004969DC">
              <w:rPr>
                <w:rFonts w:cs="Simplified Arabic"/>
                <w:sz w:val="20"/>
                <w:szCs w:val="22"/>
                <w:rtl/>
                <w:lang w:val="en-US"/>
              </w:rPr>
              <w:t xml:space="preserve"> في المياه الساحلية</w:t>
            </w:r>
            <w:r w:rsidRPr="004969DC">
              <w:rPr>
                <w:rFonts w:cs="Simplified Arabic" w:hint="cs"/>
                <w:sz w:val="20"/>
                <w:szCs w:val="22"/>
                <w:rtl/>
                <w:lang w:val="en-US"/>
              </w:rPr>
              <w:t xml:space="preserve"> الرابطة</w:t>
            </w:r>
            <w:r w:rsidRPr="004969DC">
              <w:rPr>
                <w:rFonts w:cs="Simplified Arabic"/>
                <w:sz w:val="20"/>
                <w:szCs w:val="22"/>
                <w:rtl/>
                <w:lang w:val="en-US"/>
              </w:rPr>
              <w:t xml:space="preserve"> بين رأسي </w:t>
            </w:r>
            <w:r w:rsidRPr="004969DC">
              <w:rPr>
                <w:rFonts w:cs="Simplified Arabic" w:hint="cs"/>
                <w:sz w:val="20"/>
                <w:szCs w:val="22"/>
                <w:rtl/>
                <w:lang w:val="en-US"/>
              </w:rPr>
              <w:t>فيولنت</w:t>
            </w:r>
            <w:r w:rsidRPr="004969DC">
              <w:rPr>
                <w:rFonts w:cs="Simplified Arabic"/>
                <w:sz w:val="20"/>
                <w:szCs w:val="22"/>
                <w:rtl/>
                <w:lang w:val="en-US"/>
              </w:rPr>
              <w:t xml:space="preserve"> و</w:t>
            </w:r>
            <w:r w:rsidRPr="004969DC">
              <w:rPr>
                <w:rFonts w:cs="Simplified Arabic" w:hint="cs"/>
                <w:sz w:val="20"/>
                <w:szCs w:val="22"/>
                <w:rtl/>
                <w:lang w:val="en-US"/>
              </w:rPr>
              <w:t>ساريتش</w:t>
            </w:r>
            <w:r w:rsidRPr="004969DC">
              <w:rPr>
                <w:rFonts w:cs="Simplified Arabic"/>
                <w:sz w:val="20"/>
                <w:szCs w:val="22"/>
                <w:rtl/>
                <w:lang w:val="en-US"/>
              </w:rPr>
              <w:t xml:space="preserve">، خارج خليج </w:t>
            </w:r>
            <w:r w:rsidRPr="004969DC">
              <w:rPr>
                <w:rFonts w:cs="Simplified Arabic" w:hint="cs"/>
                <w:sz w:val="20"/>
                <w:szCs w:val="22"/>
                <w:rtl/>
                <w:lang w:val="en-US"/>
              </w:rPr>
              <w:t>بالاكلافا</w:t>
            </w:r>
            <w:r w:rsidRPr="004969DC">
              <w:rPr>
                <w:rFonts w:cs="Simplified Arabic"/>
                <w:sz w:val="20"/>
                <w:szCs w:val="22"/>
                <w:rtl/>
                <w:lang w:val="en-US"/>
              </w:rPr>
              <w:t xml:space="preserve">، على أعماق تتراوح </w:t>
            </w:r>
            <w:r w:rsidRPr="004969DC">
              <w:rPr>
                <w:rFonts w:cs="Simplified Arabic" w:hint="cs"/>
                <w:sz w:val="20"/>
                <w:szCs w:val="22"/>
                <w:rtl/>
                <w:lang w:val="en-US"/>
              </w:rPr>
              <w:t>ما بين صفر و70 متراً.</w:t>
            </w:r>
          </w:p>
          <w:p w:rsidR="000A5DEA" w:rsidRPr="004969DC" w:rsidRDefault="000A5DEA" w:rsidP="00CD26C5">
            <w:pPr>
              <w:pStyle w:val="ListParagraph"/>
              <w:numPr>
                <w:ilvl w:val="0"/>
                <w:numId w:val="125"/>
              </w:numPr>
              <w:shd w:val="clear" w:color="auto" w:fill="FFFFFF"/>
              <w:bidi/>
              <w:spacing w:after="0" w:line="204" w:lineRule="auto"/>
              <w:rPr>
                <w:rFonts w:cs="Simplified Arabic"/>
                <w:color w:val="212121"/>
                <w:sz w:val="20"/>
                <w:szCs w:val="22"/>
                <w:lang w:val="tr-TR" w:eastAsia="ja-JP"/>
              </w:rPr>
            </w:pPr>
            <w:r w:rsidRPr="004969DC">
              <w:rPr>
                <w:rFonts w:cs="Simplified Arabic" w:hint="cs"/>
                <w:sz w:val="20"/>
                <w:szCs w:val="22"/>
                <w:rtl/>
              </w:rPr>
              <w:t xml:space="preserve">تشكل </w:t>
            </w:r>
            <w:r w:rsidRPr="004969DC">
              <w:rPr>
                <w:rFonts w:cs="Simplified Arabic"/>
                <w:sz w:val="20"/>
                <w:szCs w:val="22"/>
                <w:rtl/>
              </w:rPr>
              <w:t xml:space="preserve">هذه المنطقة نقطة ساخنة لتوزيع الحيتانيات في البحر الأسود، وقد </w:t>
            </w:r>
            <w:r w:rsidRPr="004969DC">
              <w:rPr>
                <w:rFonts w:cs="Simplified Arabic" w:hint="cs"/>
                <w:sz w:val="20"/>
                <w:szCs w:val="22"/>
                <w:rtl/>
              </w:rPr>
              <w:t>صنفت</w:t>
            </w:r>
            <w:r w:rsidRPr="004969DC">
              <w:rPr>
                <w:rFonts w:cs="Simplified Arabic"/>
                <w:sz w:val="20"/>
                <w:szCs w:val="22"/>
                <w:rtl/>
              </w:rPr>
              <w:t xml:space="preserve"> كمو</w:t>
            </w:r>
            <w:r w:rsidRPr="004969DC">
              <w:rPr>
                <w:rFonts w:cs="Simplified Arabic" w:hint="cs"/>
                <w:sz w:val="20"/>
                <w:szCs w:val="22"/>
                <w:rtl/>
              </w:rPr>
              <w:t>ئل</w:t>
            </w:r>
            <w:r w:rsidRPr="004969DC">
              <w:rPr>
                <w:rFonts w:cs="Simplified Arabic"/>
                <w:sz w:val="20"/>
                <w:szCs w:val="22"/>
                <w:rtl/>
              </w:rPr>
              <w:t xml:space="preserve"> حيوي </w:t>
            </w:r>
            <w:r w:rsidRPr="004969DC">
              <w:rPr>
                <w:rFonts w:cs="Simplified Arabic" w:hint="cs"/>
                <w:sz w:val="20"/>
                <w:szCs w:val="22"/>
                <w:rtl/>
              </w:rPr>
              <w:t>للحيتانيات في إطار</w:t>
            </w:r>
            <w:r w:rsidRPr="004969DC">
              <w:rPr>
                <w:rFonts w:cs="Simplified Arabic"/>
                <w:sz w:val="20"/>
                <w:szCs w:val="22"/>
                <w:rtl/>
              </w:rPr>
              <w:t xml:space="preserve"> الاتفاق المتعلق بحفظ الحوتيات في البحر الأسود والبحر الأبيض المتوسط والمنطقة المتاخمة من المحيط الأطلسي. وهي مو</w:t>
            </w:r>
            <w:r w:rsidRPr="004969DC">
              <w:rPr>
                <w:rFonts w:cs="Simplified Arabic" w:hint="cs"/>
                <w:sz w:val="20"/>
                <w:szCs w:val="22"/>
                <w:rtl/>
              </w:rPr>
              <w:t>ئل</w:t>
            </w:r>
            <w:r w:rsidRPr="004969DC">
              <w:rPr>
                <w:rFonts w:cs="Simplified Arabic"/>
                <w:sz w:val="20"/>
                <w:szCs w:val="22"/>
                <w:rtl/>
              </w:rPr>
              <w:t xml:space="preserve"> ذو أهمية ح</w:t>
            </w:r>
            <w:r w:rsidRPr="004969DC">
              <w:rPr>
                <w:rFonts w:cs="Simplified Arabic" w:hint="cs"/>
                <w:sz w:val="20"/>
                <w:szCs w:val="22"/>
                <w:rtl/>
              </w:rPr>
              <w:t>يوية</w:t>
            </w:r>
            <w:r w:rsidRPr="004969DC">
              <w:rPr>
                <w:rFonts w:cs="Simplified Arabic"/>
                <w:sz w:val="20"/>
                <w:szCs w:val="22"/>
                <w:rtl/>
              </w:rPr>
              <w:t xml:space="preserve"> </w:t>
            </w:r>
            <w:r w:rsidRPr="004969DC">
              <w:rPr>
                <w:rFonts w:cs="Simplified Arabic" w:hint="cs"/>
                <w:sz w:val="20"/>
                <w:szCs w:val="22"/>
                <w:rtl/>
              </w:rPr>
              <w:t>لنوعين من</w:t>
            </w:r>
            <w:r w:rsidRPr="004969DC">
              <w:rPr>
                <w:rFonts w:cs="Simplified Arabic"/>
                <w:sz w:val="20"/>
                <w:szCs w:val="22"/>
                <w:rtl/>
              </w:rPr>
              <w:t xml:space="preserve"> أنواع الحيتان</w:t>
            </w:r>
            <w:r w:rsidRPr="004969DC">
              <w:rPr>
                <w:rFonts w:cs="Simplified Arabic" w:hint="cs"/>
                <w:sz w:val="20"/>
                <w:szCs w:val="22"/>
                <w:rtl/>
              </w:rPr>
              <w:t>يات</w:t>
            </w:r>
            <w:r w:rsidRPr="004969DC">
              <w:rPr>
                <w:rFonts w:cs="Simplified Arabic"/>
                <w:sz w:val="20"/>
                <w:szCs w:val="22"/>
                <w:rtl/>
              </w:rPr>
              <w:t xml:space="preserve">، </w:t>
            </w:r>
            <w:r w:rsidRPr="004969DC">
              <w:rPr>
                <w:rFonts w:cs="Simplified Arabic" w:hint="cs"/>
                <w:sz w:val="20"/>
                <w:szCs w:val="22"/>
                <w:rtl/>
              </w:rPr>
              <w:t xml:space="preserve">هما خنزير البحر الأسود الشائع </w:t>
            </w:r>
            <w:r w:rsidRPr="004969DC">
              <w:rPr>
                <w:rFonts w:cs="Simplified Arabic"/>
                <w:sz w:val="20"/>
                <w:szCs w:val="22"/>
                <w:rtl/>
              </w:rPr>
              <w:t>(</w:t>
            </w:r>
            <w:r w:rsidRPr="004969DC">
              <w:rPr>
                <w:rFonts w:cs="Simplified Arabic"/>
                <w:i/>
                <w:iCs/>
                <w:sz w:val="20"/>
                <w:szCs w:val="22"/>
                <w:lang w:val="tr-TR"/>
              </w:rPr>
              <w:t>Phocoena phocoena relicta</w:t>
            </w:r>
            <w:r w:rsidRPr="004969DC">
              <w:rPr>
                <w:rFonts w:cs="Simplified Arabic"/>
                <w:sz w:val="20"/>
                <w:szCs w:val="22"/>
                <w:rtl/>
              </w:rPr>
              <w:t>)، ودل</w:t>
            </w:r>
            <w:r w:rsidRPr="004969DC">
              <w:rPr>
                <w:rFonts w:cs="Simplified Arabic" w:hint="cs"/>
                <w:sz w:val="20"/>
                <w:szCs w:val="22"/>
                <w:rtl/>
              </w:rPr>
              <w:t>ا</w:t>
            </w:r>
            <w:r w:rsidRPr="004969DC">
              <w:rPr>
                <w:rFonts w:cs="Simplified Arabic"/>
                <w:sz w:val="20"/>
                <w:szCs w:val="22"/>
                <w:rtl/>
              </w:rPr>
              <w:t>فين البحر الأسود</w:t>
            </w:r>
            <w:r w:rsidRPr="004969DC">
              <w:rPr>
                <w:rFonts w:cs="Simplified Arabic" w:hint="cs"/>
                <w:sz w:val="20"/>
                <w:szCs w:val="22"/>
                <w:rtl/>
              </w:rPr>
              <w:t xml:space="preserve"> ذات الأنف</w:t>
            </w:r>
            <w:r w:rsidRPr="004969DC">
              <w:rPr>
                <w:rFonts w:cs="Simplified Arabic"/>
                <w:sz w:val="20"/>
                <w:szCs w:val="22"/>
                <w:rtl/>
              </w:rPr>
              <w:t xml:space="preserve"> القارور</w:t>
            </w:r>
            <w:r w:rsidRPr="004969DC">
              <w:rPr>
                <w:rFonts w:cs="Simplified Arabic" w:hint="cs"/>
                <w:sz w:val="20"/>
                <w:szCs w:val="22"/>
                <w:rtl/>
              </w:rPr>
              <w:t>ي</w:t>
            </w:r>
            <w:r w:rsidRPr="004969DC">
              <w:rPr>
                <w:rFonts w:cs="Simplified Arabic"/>
                <w:sz w:val="20"/>
                <w:szCs w:val="22"/>
                <w:rtl/>
              </w:rPr>
              <w:t xml:space="preserve"> (</w:t>
            </w:r>
            <w:r w:rsidRPr="004969DC">
              <w:rPr>
                <w:rFonts w:cs="Simplified Arabic"/>
                <w:i/>
                <w:iCs/>
                <w:sz w:val="20"/>
                <w:szCs w:val="22"/>
                <w:lang w:val="tr-TR"/>
              </w:rPr>
              <w:t>Tursiops truncatus ponticus</w:t>
            </w:r>
            <w:r w:rsidRPr="004969DC">
              <w:rPr>
                <w:rFonts w:cs="Simplified Arabic"/>
                <w:sz w:val="20"/>
                <w:szCs w:val="22"/>
                <w:rtl/>
              </w:rPr>
              <w:t xml:space="preserve">)، وكلاهما مدرج في القائمة الحمراء للأنواع المهددة بالانقراض الصادرة عن الاتحاد الدولي لحماية الطبيعة. </w:t>
            </w:r>
            <w:r w:rsidRPr="004969DC">
              <w:rPr>
                <w:rFonts w:cs="Simplified Arabic" w:hint="cs"/>
                <w:sz w:val="20"/>
                <w:szCs w:val="22"/>
                <w:rtl/>
              </w:rPr>
              <w:t xml:space="preserve">ويستخدم </w:t>
            </w:r>
            <w:r w:rsidRPr="004969DC">
              <w:rPr>
                <w:rFonts w:cs="Simplified Arabic"/>
                <w:sz w:val="20"/>
                <w:szCs w:val="22"/>
                <w:rtl/>
              </w:rPr>
              <w:t>هذان النوعان من الحيتان</w:t>
            </w:r>
            <w:r w:rsidRPr="004969DC">
              <w:rPr>
                <w:rFonts w:cs="Simplified Arabic" w:hint="cs"/>
                <w:sz w:val="20"/>
                <w:szCs w:val="22"/>
                <w:rtl/>
              </w:rPr>
              <w:t>يات</w:t>
            </w:r>
            <w:r w:rsidRPr="004969DC">
              <w:rPr>
                <w:rFonts w:cs="Simplified Arabic"/>
                <w:sz w:val="20"/>
                <w:szCs w:val="22"/>
                <w:rtl/>
              </w:rPr>
              <w:t xml:space="preserve"> هذه المنطقة للتكاثر والتغذية</w:t>
            </w:r>
            <w:r w:rsidRPr="004969DC">
              <w:rPr>
                <w:rFonts w:cs="Simplified Arabic" w:hint="cs"/>
                <w:sz w:val="20"/>
                <w:szCs w:val="22"/>
                <w:rtl/>
              </w:rPr>
              <w:t xml:space="preserve"> على وجه التحديد.</w:t>
            </w:r>
          </w:p>
          <w:p w:rsidR="000A5DEA" w:rsidRPr="004969DC" w:rsidRDefault="000A5DEA" w:rsidP="004969DC">
            <w:pPr>
              <w:pStyle w:val="ListParagraph"/>
              <w:shd w:val="clear" w:color="auto" w:fill="FFFFFF"/>
              <w:bidi/>
              <w:spacing w:after="0" w:line="204" w:lineRule="auto"/>
              <w:ind w:left="360"/>
              <w:rPr>
                <w:rFonts w:cs="Simplified Arabic"/>
                <w:color w:val="212121"/>
                <w:sz w:val="20"/>
                <w:szCs w:val="22"/>
                <w:lang w:val="tr-TR" w:eastAsia="ja-JP"/>
              </w:rPr>
            </w:pP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uppressAutoHyphens/>
              <w:spacing w:after="0" w:line="204" w:lineRule="auto"/>
              <w:rPr>
                <w:bCs/>
                <w:sz w:val="20"/>
                <w:szCs w:val="22"/>
              </w:rPr>
            </w:pPr>
            <w:r w:rsidRPr="004969DC">
              <w:rPr>
                <w:rFonts w:hint="cs"/>
                <w:bCs/>
                <w:sz w:val="20"/>
                <w:szCs w:val="22"/>
                <w:rtl/>
              </w:rPr>
              <w:lastRenderedPageBreak/>
              <w:t xml:space="preserve">8- </w:t>
            </w:r>
            <w:r w:rsidRPr="004969DC">
              <w:rPr>
                <w:bCs/>
                <w:sz w:val="20"/>
                <w:szCs w:val="22"/>
                <w:rtl/>
              </w:rPr>
              <w:t>خليج ياغورليتسكي</w:t>
            </w:r>
          </w:p>
          <w:p w:rsidR="000A5DEA" w:rsidRPr="00366E36" w:rsidRDefault="000A5DEA" w:rsidP="00CD26C5">
            <w:pPr>
              <w:pStyle w:val="ListParagraph"/>
              <w:numPr>
                <w:ilvl w:val="0"/>
                <w:numId w:val="118"/>
              </w:numPr>
              <w:bidi/>
              <w:spacing w:after="0" w:line="204" w:lineRule="auto"/>
              <w:rPr>
                <w:rFonts w:cs="Simplified Arabic"/>
                <w:sz w:val="20"/>
                <w:szCs w:val="22"/>
                <w:lang w:val="en-US"/>
              </w:rPr>
            </w:pPr>
            <w:r w:rsidRPr="004969DC">
              <w:rPr>
                <w:rFonts w:cs="Simplified Arabic"/>
                <w:sz w:val="20"/>
                <w:szCs w:val="22"/>
                <w:rtl/>
                <w:lang w:val="en-US"/>
              </w:rPr>
              <w:t>الموقع: يقع خليج يا</w:t>
            </w:r>
            <w:r w:rsidRPr="004969DC">
              <w:rPr>
                <w:rFonts w:cs="Simplified Arabic" w:hint="cs"/>
                <w:sz w:val="20"/>
                <w:szCs w:val="22"/>
                <w:rtl/>
                <w:lang w:val="en-US"/>
              </w:rPr>
              <w:t>غ</w:t>
            </w:r>
            <w:r w:rsidRPr="004969DC">
              <w:rPr>
                <w:rFonts w:cs="Simplified Arabic"/>
                <w:sz w:val="20"/>
                <w:szCs w:val="22"/>
                <w:rtl/>
                <w:lang w:val="en-US"/>
              </w:rPr>
              <w:t xml:space="preserve">ورليتسكي على </w:t>
            </w:r>
            <w:r w:rsidRPr="004969DC">
              <w:rPr>
                <w:rFonts w:cs="Simplified Arabic" w:hint="cs"/>
                <w:sz w:val="20"/>
                <w:szCs w:val="22"/>
                <w:rtl/>
                <w:lang w:val="en-US"/>
              </w:rPr>
              <w:t>ال</w:t>
            </w:r>
            <w:r w:rsidRPr="004969DC">
              <w:rPr>
                <w:rFonts w:cs="Simplified Arabic"/>
                <w:sz w:val="20"/>
                <w:szCs w:val="22"/>
                <w:rtl/>
                <w:lang w:val="en-US"/>
              </w:rPr>
              <w:t xml:space="preserve">ساحل </w:t>
            </w:r>
            <w:r w:rsidRPr="004969DC">
              <w:rPr>
                <w:rFonts w:cs="Simplified Arabic" w:hint="cs"/>
                <w:sz w:val="20"/>
                <w:szCs w:val="22"/>
                <w:rtl/>
                <w:lang w:val="en-US"/>
              </w:rPr>
              <w:t>ال</w:t>
            </w:r>
            <w:r w:rsidRPr="004969DC">
              <w:rPr>
                <w:rFonts w:cs="Simplified Arabic"/>
                <w:sz w:val="20"/>
                <w:szCs w:val="22"/>
                <w:rtl/>
                <w:lang w:val="en-US"/>
              </w:rPr>
              <w:t xml:space="preserve">شمال </w:t>
            </w:r>
            <w:r w:rsidRPr="004969DC">
              <w:rPr>
                <w:rFonts w:cs="Simplified Arabic" w:hint="cs"/>
                <w:sz w:val="20"/>
                <w:szCs w:val="22"/>
                <w:rtl/>
                <w:lang w:val="en-US"/>
              </w:rPr>
              <w:t>ال</w:t>
            </w:r>
            <w:r w:rsidRPr="004969DC">
              <w:rPr>
                <w:rFonts w:cs="Simplified Arabic"/>
                <w:sz w:val="20"/>
                <w:szCs w:val="22"/>
                <w:rtl/>
                <w:lang w:val="en-US"/>
              </w:rPr>
              <w:t>غرب</w:t>
            </w:r>
            <w:r w:rsidRPr="004969DC">
              <w:rPr>
                <w:rFonts w:cs="Simplified Arabic" w:hint="cs"/>
                <w:sz w:val="20"/>
                <w:szCs w:val="22"/>
                <w:rtl/>
                <w:lang w:val="en-US"/>
              </w:rPr>
              <w:t>ي</w:t>
            </w:r>
            <w:r w:rsidRPr="004969DC">
              <w:rPr>
                <w:rFonts w:cs="Simplified Arabic"/>
                <w:sz w:val="20"/>
                <w:szCs w:val="22"/>
                <w:rtl/>
                <w:lang w:val="en-US"/>
              </w:rPr>
              <w:t xml:space="preserve"> </w:t>
            </w:r>
            <w:r w:rsidRPr="004969DC">
              <w:rPr>
                <w:rFonts w:cs="Simplified Arabic" w:hint="cs"/>
                <w:sz w:val="20"/>
                <w:szCs w:val="22"/>
                <w:rtl/>
                <w:lang w:val="en-US"/>
              </w:rPr>
              <w:t>ل</w:t>
            </w:r>
            <w:r w:rsidRPr="004969DC">
              <w:rPr>
                <w:rFonts w:cs="Simplified Arabic"/>
                <w:sz w:val="20"/>
                <w:szCs w:val="22"/>
                <w:rtl/>
                <w:lang w:val="en-US"/>
              </w:rPr>
              <w:t>لبحر الأسود بين منطقتي نيكولاييف وخيرسون</w:t>
            </w:r>
            <w:r w:rsidRPr="004969DC">
              <w:rPr>
                <w:rFonts w:cs="Simplified Arabic" w:hint="cs"/>
                <w:sz w:val="20"/>
                <w:szCs w:val="22"/>
                <w:rtl/>
                <w:lang w:val="en-US"/>
              </w:rPr>
              <w:t xml:space="preserve"> التابعتين</w:t>
            </w:r>
            <w:r w:rsidRPr="004969DC">
              <w:rPr>
                <w:rFonts w:cs="Simplified Arabic"/>
                <w:sz w:val="20"/>
                <w:szCs w:val="22"/>
                <w:rtl/>
                <w:lang w:val="en-US"/>
              </w:rPr>
              <w:t xml:space="preserve"> </w:t>
            </w:r>
            <w:r w:rsidRPr="004969DC">
              <w:rPr>
                <w:rFonts w:cs="Simplified Arabic" w:hint="cs"/>
                <w:sz w:val="20"/>
                <w:szCs w:val="22"/>
                <w:rtl/>
                <w:lang w:val="en-US"/>
              </w:rPr>
              <w:t>ل</w:t>
            </w:r>
            <w:r w:rsidRPr="004969DC">
              <w:rPr>
                <w:rFonts w:cs="Simplified Arabic"/>
                <w:sz w:val="20"/>
                <w:szCs w:val="22"/>
                <w:rtl/>
                <w:lang w:val="en-US"/>
              </w:rPr>
              <w:t xml:space="preserve">أوكرانيا. </w:t>
            </w:r>
            <w:r w:rsidRPr="004969DC">
              <w:rPr>
                <w:rFonts w:cs="Simplified Arabic" w:hint="cs"/>
                <w:sz w:val="20"/>
                <w:szCs w:val="22"/>
                <w:rtl/>
                <w:lang w:val="en-US"/>
              </w:rPr>
              <w:t>وفي الشمال، يفصله منحرف كينبورغ عن</w:t>
            </w:r>
            <w:r w:rsidRPr="004969DC">
              <w:rPr>
                <w:rFonts w:cs="Simplified Arabic"/>
                <w:sz w:val="20"/>
                <w:szCs w:val="22"/>
                <w:rtl/>
                <w:lang w:val="en-US"/>
              </w:rPr>
              <w:t xml:space="preserve"> مصب نهر دنيبر-بوغ. </w:t>
            </w:r>
            <w:r w:rsidRPr="004969DC">
              <w:rPr>
                <w:rFonts w:cs="Simplified Arabic" w:hint="cs"/>
                <w:sz w:val="20"/>
                <w:szCs w:val="22"/>
                <w:rtl/>
                <w:lang w:val="en-US"/>
              </w:rPr>
              <w:t>ويصل</w:t>
            </w:r>
            <w:r w:rsidRPr="004969DC">
              <w:rPr>
                <w:rFonts w:cs="Simplified Arabic"/>
                <w:sz w:val="20"/>
                <w:szCs w:val="22"/>
                <w:rtl/>
                <w:lang w:val="en-US"/>
              </w:rPr>
              <w:t xml:space="preserve"> طول الخليج</w:t>
            </w:r>
            <w:r w:rsidRPr="004969DC">
              <w:rPr>
                <w:rFonts w:cs="Simplified Arabic" w:hint="cs"/>
                <w:sz w:val="20"/>
                <w:szCs w:val="22"/>
                <w:rtl/>
                <w:lang w:val="en-US"/>
              </w:rPr>
              <w:t xml:space="preserve"> إلى</w:t>
            </w:r>
            <w:r w:rsidRPr="004969DC">
              <w:rPr>
                <w:rFonts w:cs="Simplified Arabic"/>
                <w:sz w:val="20"/>
                <w:szCs w:val="22"/>
                <w:rtl/>
                <w:lang w:val="en-US"/>
              </w:rPr>
              <w:t xml:space="preserve"> 26 ك</w:t>
            </w:r>
            <w:r w:rsidRPr="004969DC">
              <w:rPr>
                <w:rFonts w:cs="Simplified Arabic" w:hint="cs"/>
                <w:sz w:val="20"/>
                <w:szCs w:val="22"/>
                <w:rtl/>
                <w:lang w:val="en-US"/>
              </w:rPr>
              <w:t>يلومتراً</w:t>
            </w:r>
            <w:r w:rsidRPr="004969DC">
              <w:rPr>
                <w:rFonts w:cs="Simplified Arabic"/>
                <w:sz w:val="20"/>
                <w:szCs w:val="22"/>
                <w:rtl/>
                <w:lang w:val="en-US"/>
              </w:rPr>
              <w:t>، و</w:t>
            </w:r>
            <w:r w:rsidRPr="004969DC">
              <w:rPr>
                <w:rFonts w:cs="Simplified Arabic" w:hint="cs"/>
                <w:sz w:val="20"/>
                <w:szCs w:val="22"/>
                <w:rtl/>
                <w:lang w:val="en-US"/>
              </w:rPr>
              <w:t xml:space="preserve">يبلغ </w:t>
            </w:r>
            <w:r w:rsidRPr="004969DC">
              <w:rPr>
                <w:rFonts w:cs="Simplified Arabic"/>
                <w:sz w:val="20"/>
                <w:szCs w:val="22"/>
                <w:rtl/>
                <w:lang w:val="en-US"/>
              </w:rPr>
              <w:t>مدخله 15 ك</w:t>
            </w:r>
            <w:r w:rsidRPr="004969DC">
              <w:rPr>
                <w:rFonts w:cs="Simplified Arabic" w:hint="cs"/>
                <w:sz w:val="20"/>
                <w:szCs w:val="22"/>
                <w:rtl/>
                <w:lang w:val="en-US"/>
              </w:rPr>
              <w:t>يلومتراً</w:t>
            </w:r>
            <w:r w:rsidRPr="004969DC">
              <w:rPr>
                <w:rFonts w:cs="Simplified Arabic"/>
                <w:sz w:val="20"/>
                <w:szCs w:val="22"/>
                <w:rtl/>
                <w:lang w:val="en-US"/>
              </w:rPr>
              <w:t xml:space="preserve">. </w:t>
            </w:r>
            <w:r w:rsidRPr="004969DC">
              <w:rPr>
                <w:rFonts w:cs="Simplified Arabic" w:hint="cs"/>
                <w:sz w:val="20"/>
                <w:szCs w:val="22"/>
                <w:rtl/>
                <w:lang w:val="en-US"/>
              </w:rPr>
              <w:t>و</w:t>
            </w:r>
            <w:r w:rsidRPr="004969DC">
              <w:rPr>
                <w:rFonts w:cs="Simplified Arabic"/>
                <w:sz w:val="20"/>
                <w:szCs w:val="22"/>
                <w:rtl/>
                <w:lang w:val="en-US"/>
              </w:rPr>
              <w:t>إحداثياته الجغرافية هي</w:t>
            </w:r>
            <w:r w:rsidRPr="004969DC">
              <w:rPr>
                <w:rFonts w:cs="Simplified Arabic" w:hint="cs"/>
                <w:sz w:val="20"/>
                <w:szCs w:val="22"/>
                <w:rtl/>
                <w:lang w:val="en-US"/>
              </w:rPr>
              <w:t xml:space="preserve"> على النحو التالي</w:t>
            </w:r>
            <w:r w:rsidRPr="004969DC">
              <w:rPr>
                <w:rFonts w:cs="Simplified Arabic"/>
                <w:sz w:val="20"/>
                <w:szCs w:val="22"/>
                <w:rtl/>
                <w:lang w:val="en-US"/>
              </w:rPr>
              <w:t>: 46° 29</w:t>
            </w:r>
            <w:r w:rsidRPr="004969DC">
              <w:rPr>
                <w:rFonts w:cs="Simplified Arabic" w:hint="cs"/>
                <w:sz w:val="20"/>
                <w:szCs w:val="22"/>
                <w:rtl/>
                <w:lang w:val="en-US"/>
              </w:rPr>
              <w:t>,</w:t>
            </w:r>
            <w:r w:rsidRPr="004969DC">
              <w:rPr>
                <w:rFonts w:cs="Simplified Arabic"/>
                <w:sz w:val="20"/>
                <w:szCs w:val="22"/>
                <w:rtl/>
                <w:lang w:val="en-US"/>
              </w:rPr>
              <w:t xml:space="preserve">122'- 46° 19،867' </w:t>
            </w:r>
            <w:r w:rsidRPr="004969DC">
              <w:rPr>
                <w:rFonts w:cs="Simplified Arabic" w:hint="cs"/>
                <w:sz w:val="20"/>
                <w:szCs w:val="22"/>
                <w:rtl/>
                <w:lang w:val="en-US"/>
              </w:rPr>
              <w:t>شمالاً</w:t>
            </w:r>
            <w:r w:rsidRPr="004969DC">
              <w:rPr>
                <w:rFonts w:cs="Simplified Arabic"/>
                <w:sz w:val="20"/>
                <w:szCs w:val="22"/>
                <w:rtl/>
                <w:lang w:val="en-US"/>
              </w:rPr>
              <w:t xml:space="preserve"> و31° 47</w:t>
            </w:r>
            <w:r w:rsidRPr="004969DC">
              <w:rPr>
                <w:rFonts w:cs="Simplified Arabic" w:hint="cs"/>
                <w:sz w:val="20"/>
                <w:szCs w:val="22"/>
                <w:rtl/>
                <w:lang w:val="en-US"/>
              </w:rPr>
              <w:t>,</w:t>
            </w:r>
            <w:r w:rsidRPr="004969DC">
              <w:rPr>
                <w:rFonts w:cs="Simplified Arabic"/>
                <w:sz w:val="20"/>
                <w:szCs w:val="22"/>
                <w:rtl/>
                <w:lang w:val="en-US"/>
              </w:rPr>
              <w:t xml:space="preserve">066'- 32° 3،695' </w:t>
            </w:r>
            <w:r w:rsidRPr="004969DC">
              <w:rPr>
                <w:rFonts w:cs="Simplified Arabic" w:hint="cs"/>
                <w:sz w:val="20"/>
                <w:szCs w:val="22"/>
                <w:rtl/>
                <w:lang w:val="en-US"/>
              </w:rPr>
              <w:t>شرقاً.</w:t>
            </w:r>
          </w:p>
          <w:p w:rsidR="000A5DEA" w:rsidRPr="004969DC" w:rsidRDefault="000A5DEA" w:rsidP="00CD26C5">
            <w:pPr>
              <w:numPr>
                <w:ilvl w:val="0"/>
                <w:numId w:val="118"/>
              </w:numPr>
              <w:suppressAutoHyphens/>
              <w:spacing w:after="0" w:line="204" w:lineRule="auto"/>
              <w:rPr>
                <w:sz w:val="20"/>
                <w:szCs w:val="22"/>
              </w:rPr>
            </w:pPr>
            <w:r w:rsidRPr="004969DC">
              <w:rPr>
                <w:sz w:val="20"/>
                <w:szCs w:val="22"/>
                <w:rtl/>
              </w:rPr>
              <w:t>ي</w:t>
            </w:r>
            <w:r w:rsidRPr="004969DC">
              <w:rPr>
                <w:rFonts w:hint="cs"/>
                <w:sz w:val="20"/>
                <w:szCs w:val="22"/>
                <w:rtl/>
              </w:rPr>
              <w:t>شكل</w:t>
            </w:r>
            <w:r w:rsidRPr="004969DC">
              <w:rPr>
                <w:sz w:val="20"/>
                <w:szCs w:val="22"/>
                <w:rtl/>
              </w:rPr>
              <w:t xml:space="preserve"> خليج ياغورليتسكي، بسبب</w:t>
            </w:r>
            <w:r w:rsidRPr="004969DC">
              <w:rPr>
                <w:rFonts w:hint="cs"/>
                <w:sz w:val="20"/>
                <w:szCs w:val="22"/>
                <w:rtl/>
              </w:rPr>
              <w:t xml:space="preserve"> خصوصيات أنظمته</w:t>
            </w:r>
            <w:r w:rsidRPr="004969DC">
              <w:rPr>
                <w:sz w:val="20"/>
                <w:szCs w:val="22"/>
                <w:rtl/>
              </w:rPr>
              <w:t xml:space="preserve"> الهيدرولوجية وال</w:t>
            </w:r>
            <w:r w:rsidRPr="004969DC">
              <w:rPr>
                <w:rFonts w:hint="cs"/>
                <w:sz w:val="20"/>
                <w:szCs w:val="22"/>
                <w:rtl/>
              </w:rPr>
              <w:t>هيدرو</w:t>
            </w:r>
            <w:r w:rsidRPr="004969DC">
              <w:rPr>
                <w:sz w:val="20"/>
                <w:szCs w:val="22"/>
                <w:rtl/>
              </w:rPr>
              <w:t>كيميائية والهيدروبيولوجية، منطقة فريدة</w:t>
            </w:r>
            <w:r w:rsidRPr="004969DC">
              <w:rPr>
                <w:rFonts w:hint="cs"/>
                <w:sz w:val="20"/>
                <w:szCs w:val="22"/>
                <w:rtl/>
              </w:rPr>
              <w:t xml:space="preserve"> من نوعها</w:t>
            </w:r>
            <w:r w:rsidRPr="004969DC">
              <w:rPr>
                <w:sz w:val="20"/>
                <w:szCs w:val="22"/>
                <w:rtl/>
              </w:rPr>
              <w:t xml:space="preserve"> في الجزء الشمالي الغربي </w:t>
            </w:r>
            <w:r w:rsidRPr="004969DC">
              <w:rPr>
                <w:rFonts w:hint="cs"/>
                <w:sz w:val="20"/>
                <w:szCs w:val="22"/>
                <w:rtl/>
              </w:rPr>
              <w:t>للبحر</w:t>
            </w:r>
            <w:r w:rsidRPr="004969DC">
              <w:rPr>
                <w:sz w:val="20"/>
                <w:szCs w:val="22"/>
                <w:rtl/>
              </w:rPr>
              <w:t xml:space="preserve"> الأسود. </w:t>
            </w:r>
            <w:r w:rsidRPr="004969DC">
              <w:rPr>
                <w:rFonts w:hint="cs"/>
                <w:sz w:val="20"/>
                <w:szCs w:val="22"/>
                <w:rtl/>
              </w:rPr>
              <w:t>و</w:t>
            </w:r>
            <w:r w:rsidRPr="004969DC">
              <w:rPr>
                <w:sz w:val="20"/>
                <w:szCs w:val="22"/>
                <w:rtl/>
              </w:rPr>
              <w:t>يتميز مجمع خليج يا</w:t>
            </w:r>
            <w:r w:rsidRPr="004969DC">
              <w:rPr>
                <w:rFonts w:hint="cs"/>
                <w:sz w:val="20"/>
                <w:szCs w:val="22"/>
                <w:rtl/>
              </w:rPr>
              <w:t>غ</w:t>
            </w:r>
            <w:r w:rsidRPr="004969DC">
              <w:rPr>
                <w:sz w:val="20"/>
                <w:szCs w:val="22"/>
                <w:rtl/>
              </w:rPr>
              <w:t>ورليتسكي البحري ال</w:t>
            </w:r>
            <w:r w:rsidRPr="004969DC">
              <w:rPr>
                <w:rFonts w:hint="cs"/>
                <w:sz w:val="20"/>
                <w:szCs w:val="22"/>
                <w:rtl/>
              </w:rPr>
              <w:t>بري</w:t>
            </w:r>
            <w:r w:rsidRPr="004969DC">
              <w:rPr>
                <w:sz w:val="20"/>
                <w:szCs w:val="22"/>
                <w:rtl/>
              </w:rPr>
              <w:t xml:space="preserve"> بمجموعة</w:t>
            </w:r>
            <w:r w:rsidRPr="004969DC">
              <w:rPr>
                <w:rFonts w:hint="cs"/>
                <w:sz w:val="20"/>
                <w:szCs w:val="22"/>
                <w:rtl/>
              </w:rPr>
              <w:t xml:space="preserve"> متنوعة</w:t>
            </w:r>
            <w:r w:rsidRPr="004969DC">
              <w:rPr>
                <w:sz w:val="20"/>
                <w:szCs w:val="22"/>
                <w:rtl/>
              </w:rPr>
              <w:t xml:space="preserve"> غنية من ال</w:t>
            </w:r>
            <w:r w:rsidRPr="004969DC">
              <w:rPr>
                <w:rFonts w:hint="cs"/>
                <w:sz w:val="20"/>
                <w:szCs w:val="22"/>
                <w:rtl/>
              </w:rPr>
              <w:t>كائنات الحية</w:t>
            </w:r>
            <w:r w:rsidRPr="004969DC">
              <w:rPr>
                <w:sz w:val="20"/>
                <w:szCs w:val="22"/>
                <w:rtl/>
              </w:rPr>
              <w:t xml:space="preserve"> النباتية والحيوانية، </w:t>
            </w:r>
            <w:r w:rsidRPr="004969DC">
              <w:rPr>
                <w:rFonts w:hint="cs"/>
                <w:sz w:val="20"/>
                <w:szCs w:val="22"/>
                <w:rtl/>
              </w:rPr>
              <w:t>وبارتفاع معدل الاستيطان،</w:t>
            </w:r>
            <w:r w:rsidRPr="004969DC">
              <w:rPr>
                <w:sz w:val="20"/>
                <w:szCs w:val="22"/>
                <w:rtl/>
              </w:rPr>
              <w:t xml:space="preserve"> </w:t>
            </w:r>
            <w:r w:rsidRPr="004969DC">
              <w:rPr>
                <w:rFonts w:hint="cs"/>
                <w:sz w:val="20"/>
                <w:szCs w:val="22"/>
                <w:rtl/>
              </w:rPr>
              <w:t xml:space="preserve">والتميز </w:t>
            </w:r>
            <w:r w:rsidRPr="004969DC">
              <w:rPr>
                <w:sz w:val="20"/>
                <w:szCs w:val="22"/>
                <w:rtl/>
              </w:rPr>
              <w:t xml:space="preserve">الجيومورفولوجي والتفرد في المناظر الطبيعية، </w:t>
            </w:r>
            <w:r w:rsidRPr="004969DC">
              <w:rPr>
                <w:rFonts w:hint="cs"/>
                <w:sz w:val="20"/>
                <w:szCs w:val="22"/>
                <w:rtl/>
              </w:rPr>
              <w:t>ذات</w:t>
            </w:r>
            <w:r w:rsidRPr="004969DC">
              <w:rPr>
                <w:sz w:val="20"/>
                <w:szCs w:val="22"/>
                <w:rtl/>
              </w:rPr>
              <w:t xml:space="preserve"> أعلى المراكز البيئية ذات الأهمية الدولية. </w:t>
            </w:r>
            <w:r w:rsidRPr="004969DC">
              <w:rPr>
                <w:rFonts w:hint="cs"/>
                <w:sz w:val="20"/>
                <w:szCs w:val="22"/>
                <w:rtl/>
              </w:rPr>
              <w:t xml:space="preserve">وتشكل </w:t>
            </w:r>
            <w:r w:rsidRPr="004969DC">
              <w:rPr>
                <w:sz w:val="20"/>
                <w:szCs w:val="22"/>
                <w:rtl/>
              </w:rPr>
              <w:t>المنطقة البحرية</w:t>
            </w:r>
            <w:r w:rsidRPr="004969DC">
              <w:rPr>
                <w:rFonts w:hint="cs"/>
                <w:sz w:val="20"/>
                <w:szCs w:val="22"/>
                <w:rtl/>
              </w:rPr>
              <w:t xml:space="preserve"> الواقعة</w:t>
            </w:r>
            <w:r w:rsidRPr="004969DC">
              <w:rPr>
                <w:sz w:val="20"/>
                <w:szCs w:val="22"/>
                <w:rtl/>
              </w:rPr>
              <w:t xml:space="preserve"> في خليج ياغورليتسكي جزء</w:t>
            </w:r>
            <w:r w:rsidRPr="004969DC">
              <w:rPr>
                <w:rFonts w:hint="cs"/>
                <w:sz w:val="20"/>
                <w:szCs w:val="22"/>
                <w:rtl/>
              </w:rPr>
              <w:t>اً</w:t>
            </w:r>
            <w:r w:rsidRPr="004969DC">
              <w:rPr>
                <w:sz w:val="20"/>
                <w:szCs w:val="22"/>
                <w:rtl/>
              </w:rPr>
              <w:t xml:space="preserve"> من ال</w:t>
            </w:r>
            <w:r w:rsidRPr="004969DC">
              <w:rPr>
                <w:rFonts w:hint="cs"/>
                <w:sz w:val="20"/>
                <w:szCs w:val="22"/>
                <w:rtl/>
              </w:rPr>
              <w:t>منتزه</w:t>
            </w:r>
            <w:r w:rsidRPr="004969DC">
              <w:rPr>
                <w:sz w:val="20"/>
                <w:szCs w:val="22"/>
                <w:rtl/>
              </w:rPr>
              <w:t xml:space="preserve"> الوطني الطبيعي "</w:t>
            </w:r>
            <w:r w:rsidRPr="004969DC">
              <w:rPr>
                <w:rFonts w:hint="cs"/>
                <w:sz w:val="20"/>
                <w:szCs w:val="22"/>
                <w:rtl/>
              </w:rPr>
              <w:t>بيلوبيريزهيا سفياتوسلافا</w:t>
            </w:r>
            <w:r w:rsidRPr="004969DC">
              <w:rPr>
                <w:sz w:val="20"/>
                <w:szCs w:val="22"/>
                <w:rtl/>
              </w:rPr>
              <w:t>"</w:t>
            </w:r>
            <w:r w:rsidRPr="004969DC">
              <w:rPr>
                <w:rFonts w:hint="cs"/>
                <w:sz w:val="20"/>
                <w:szCs w:val="22"/>
                <w:rtl/>
              </w:rPr>
              <w:t xml:space="preserve"> (</w:t>
            </w:r>
            <w:r w:rsidRPr="004969DC">
              <w:rPr>
                <w:sz w:val="20"/>
                <w:szCs w:val="22"/>
              </w:rPr>
              <w:t>Biloberezhia Sviatoslava</w:t>
            </w:r>
            <w:r w:rsidRPr="004969DC">
              <w:rPr>
                <w:rFonts w:hint="cs"/>
                <w:sz w:val="20"/>
                <w:szCs w:val="22"/>
                <w:rtl/>
              </w:rPr>
              <w:t>)</w:t>
            </w:r>
            <w:r w:rsidRPr="004969DC">
              <w:rPr>
                <w:sz w:val="20"/>
                <w:szCs w:val="22"/>
                <w:rtl/>
              </w:rPr>
              <w:t xml:space="preserve"> ومحمية البحر الأسود</w:t>
            </w:r>
            <w:r w:rsidRPr="004969DC">
              <w:rPr>
                <w:rFonts w:hint="cs"/>
                <w:sz w:val="20"/>
                <w:szCs w:val="22"/>
                <w:rtl/>
              </w:rPr>
              <w:t xml:space="preserve"> الحيوية</w:t>
            </w:r>
            <w:r w:rsidRPr="004969DC">
              <w:rPr>
                <w:sz w:val="20"/>
                <w:szCs w:val="22"/>
                <w:rtl/>
              </w:rPr>
              <w:t xml:space="preserve">. </w:t>
            </w:r>
            <w:r w:rsidRPr="004969DC">
              <w:rPr>
                <w:rFonts w:hint="cs"/>
                <w:sz w:val="20"/>
                <w:szCs w:val="22"/>
                <w:rtl/>
              </w:rPr>
              <w:t>و</w:t>
            </w:r>
            <w:r w:rsidRPr="004969DC">
              <w:rPr>
                <w:sz w:val="20"/>
                <w:szCs w:val="22"/>
                <w:rtl/>
              </w:rPr>
              <w:t xml:space="preserve">لا تمثل المجمعات الطبيعية والإقليمية لهذه المحميات فقط </w:t>
            </w:r>
            <w:r w:rsidRPr="004969DC">
              <w:rPr>
                <w:rFonts w:hint="cs"/>
                <w:sz w:val="20"/>
                <w:szCs w:val="22"/>
                <w:rtl/>
              </w:rPr>
              <w:t>عن طريق</w:t>
            </w:r>
            <w:r w:rsidRPr="004969DC">
              <w:rPr>
                <w:sz w:val="20"/>
                <w:szCs w:val="22"/>
                <w:rtl/>
              </w:rPr>
              <w:t xml:space="preserve"> المجمع المائي للخليج، بل</w:t>
            </w:r>
            <w:r w:rsidRPr="004969DC">
              <w:rPr>
                <w:rFonts w:hint="cs"/>
                <w:sz w:val="20"/>
                <w:szCs w:val="22"/>
                <w:rtl/>
              </w:rPr>
              <w:t xml:space="preserve"> تمثل أيضاً</w:t>
            </w:r>
            <w:r w:rsidRPr="004969DC">
              <w:rPr>
                <w:sz w:val="20"/>
                <w:szCs w:val="22"/>
                <w:rtl/>
              </w:rPr>
              <w:t xml:space="preserve"> </w:t>
            </w:r>
            <w:r w:rsidRPr="004969DC">
              <w:rPr>
                <w:rFonts w:hint="cs"/>
                <w:sz w:val="20"/>
                <w:szCs w:val="22"/>
                <w:rtl/>
              </w:rPr>
              <w:t>ب</w:t>
            </w:r>
            <w:r w:rsidRPr="004969DC">
              <w:rPr>
                <w:sz w:val="20"/>
                <w:szCs w:val="22"/>
                <w:rtl/>
              </w:rPr>
              <w:t>الأراضي الرطبة والسهو</w:t>
            </w:r>
            <w:r w:rsidRPr="004969DC">
              <w:rPr>
                <w:rFonts w:hint="cs"/>
                <w:sz w:val="20"/>
                <w:szCs w:val="22"/>
                <w:rtl/>
              </w:rPr>
              <w:t>ب</w:t>
            </w:r>
            <w:r w:rsidRPr="004969DC">
              <w:rPr>
                <w:sz w:val="20"/>
                <w:szCs w:val="22"/>
                <w:rtl/>
              </w:rPr>
              <w:t xml:space="preserve"> </w:t>
            </w:r>
            <w:r w:rsidRPr="004969DC">
              <w:rPr>
                <w:rFonts w:hint="cs"/>
                <w:sz w:val="20"/>
                <w:szCs w:val="22"/>
                <w:rtl/>
              </w:rPr>
              <w:t>والسبخات</w:t>
            </w:r>
            <w:r w:rsidRPr="004969DC">
              <w:rPr>
                <w:sz w:val="20"/>
                <w:szCs w:val="22"/>
                <w:rtl/>
              </w:rPr>
              <w:t xml:space="preserve"> والمناظر الطبيعية الرملية والغاب</w:t>
            </w:r>
            <w:r w:rsidRPr="004969DC">
              <w:rPr>
                <w:rFonts w:hint="cs"/>
                <w:sz w:val="20"/>
                <w:szCs w:val="22"/>
                <w:rtl/>
              </w:rPr>
              <w:t>ية</w:t>
            </w:r>
            <w:r w:rsidRPr="004969DC">
              <w:rPr>
                <w:sz w:val="20"/>
                <w:szCs w:val="22"/>
                <w:rtl/>
              </w:rPr>
              <w:t xml:space="preserve"> التي تتميز بقيمة عالية</w:t>
            </w:r>
            <w:r w:rsidRPr="004969DC">
              <w:rPr>
                <w:rFonts w:hint="cs"/>
                <w:sz w:val="20"/>
                <w:szCs w:val="22"/>
                <w:rtl/>
              </w:rPr>
              <w:t xml:space="preserve"> على صعيد الحفظ</w:t>
            </w:r>
            <w:r w:rsidRPr="004969DC">
              <w:rPr>
                <w:sz w:val="20"/>
                <w:szCs w:val="22"/>
                <w:rtl/>
              </w:rPr>
              <w:t xml:space="preserve"> و</w:t>
            </w:r>
            <w:r w:rsidRPr="004969DC">
              <w:rPr>
                <w:rFonts w:hint="cs"/>
                <w:sz w:val="20"/>
                <w:szCs w:val="22"/>
                <w:rtl/>
              </w:rPr>
              <w:t>ب</w:t>
            </w:r>
            <w:r w:rsidRPr="004969DC">
              <w:rPr>
                <w:sz w:val="20"/>
                <w:szCs w:val="22"/>
                <w:rtl/>
              </w:rPr>
              <w:t xml:space="preserve">تنوع كبير في </w:t>
            </w:r>
            <w:r w:rsidRPr="004969DC">
              <w:rPr>
                <w:rFonts w:hint="cs"/>
                <w:sz w:val="20"/>
                <w:szCs w:val="22"/>
                <w:rtl/>
              </w:rPr>
              <w:t>المجموعات الأحيائية</w:t>
            </w:r>
            <w:r w:rsidRPr="004969DC">
              <w:rPr>
                <w:sz w:val="20"/>
                <w:szCs w:val="22"/>
                <w:rtl/>
              </w:rPr>
              <w:t xml:space="preserve">. </w:t>
            </w:r>
            <w:r w:rsidRPr="004969DC">
              <w:rPr>
                <w:rFonts w:hint="cs"/>
                <w:sz w:val="20"/>
                <w:szCs w:val="22"/>
                <w:rtl/>
              </w:rPr>
              <w:t>و</w:t>
            </w:r>
            <w:r w:rsidRPr="004969DC">
              <w:rPr>
                <w:sz w:val="20"/>
                <w:szCs w:val="22"/>
                <w:rtl/>
              </w:rPr>
              <w:t>ت</w:t>
            </w:r>
            <w:r w:rsidRPr="004969DC">
              <w:rPr>
                <w:rFonts w:hint="cs"/>
                <w:sz w:val="20"/>
                <w:szCs w:val="22"/>
                <w:rtl/>
              </w:rPr>
              <w:t>ؤدي</w:t>
            </w:r>
            <w:r w:rsidRPr="004969DC">
              <w:rPr>
                <w:sz w:val="20"/>
                <w:szCs w:val="22"/>
                <w:rtl/>
              </w:rPr>
              <w:t xml:space="preserve"> هذه البيئات الحيوية دوراً استثنائياً في الحفاظ على تنوع الأنواع في المنطقة و</w:t>
            </w:r>
            <w:r w:rsidRPr="004969DC">
              <w:rPr>
                <w:rFonts w:hint="cs"/>
                <w:sz w:val="20"/>
                <w:szCs w:val="22"/>
                <w:rtl/>
              </w:rPr>
              <w:t xml:space="preserve">في </w:t>
            </w:r>
            <w:r w:rsidRPr="004969DC">
              <w:rPr>
                <w:sz w:val="20"/>
                <w:szCs w:val="22"/>
                <w:rtl/>
              </w:rPr>
              <w:t xml:space="preserve">البلد؛ </w:t>
            </w:r>
            <w:r w:rsidRPr="004969DC">
              <w:rPr>
                <w:rFonts w:hint="cs"/>
                <w:sz w:val="20"/>
                <w:szCs w:val="22"/>
                <w:rtl/>
              </w:rPr>
              <w:t>وتُستخدم</w:t>
            </w:r>
            <w:r w:rsidRPr="004969DC">
              <w:rPr>
                <w:sz w:val="20"/>
                <w:szCs w:val="22"/>
                <w:rtl/>
              </w:rPr>
              <w:t xml:space="preserve"> لتكاثر أنواع الأسماك التجارية الرئيسية وتغذي</w:t>
            </w:r>
            <w:r w:rsidRPr="004969DC">
              <w:rPr>
                <w:rFonts w:hint="cs"/>
                <w:sz w:val="20"/>
                <w:szCs w:val="22"/>
                <w:rtl/>
              </w:rPr>
              <w:t>تها</w:t>
            </w:r>
            <w:r w:rsidRPr="004969DC">
              <w:rPr>
                <w:sz w:val="20"/>
                <w:szCs w:val="22"/>
                <w:rtl/>
              </w:rPr>
              <w:t>، و</w:t>
            </w:r>
            <w:r w:rsidRPr="004969DC">
              <w:rPr>
                <w:rFonts w:hint="cs"/>
                <w:sz w:val="20"/>
                <w:szCs w:val="22"/>
                <w:rtl/>
              </w:rPr>
              <w:t xml:space="preserve">تشكل </w:t>
            </w:r>
            <w:r w:rsidRPr="004969DC">
              <w:rPr>
                <w:sz w:val="20"/>
                <w:szCs w:val="22"/>
                <w:rtl/>
              </w:rPr>
              <w:t xml:space="preserve">المياه الضحلة </w:t>
            </w:r>
            <w:r w:rsidRPr="004969DC">
              <w:rPr>
                <w:rFonts w:hint="cs"/>
                <w:sz w:val="20"/>
                <w:szCs w:val="22"/>
                <w:rtl/>
              </w:rPr>
              <w:t>ملاذات</w:t>
            </w:r>
            <w:r w:rsidRPr="004969DC">
              <w:rPr>
                <w:sz w:val="20"/>
                <w:szCs w:val="22"/>
                <w:rtl/>
              </w:rPr>
              <w:t xml:space="preserve"> </w:t>
            </w:r>
            <w:r w:rsidRPr="004969DC">
              <w:rPr>
                <w:rFonts w:hint="cs"/>
                <w:sz w:val="20"/>
                <w:szCs w:val="22"/>
                <w:rtl/>
              </w:rPr>
              <w:t xml:space="preserve">تستخدمها الكثير </w:t>
            </w:r>
            <w:r w:rsidRPr="004969DC">
              <w:rPr>
                <w:sz w:val="20"/>
                <w:szCs w:val="22"/>
                <w:rtl/>
              </w:rPr>
              <w:t xml:space="preserve">من الطيور المائية </w:t>
            </w:r>
            <w:r w:rsidRPr="004969DC">
              <w:rPr>
                <w:rFonts w:hint="cs"/>
                <w:sz w:val="20"/>
                <w:szCs w:val="22"/>
                <w:rtl/>
              </w:rPr>
              <w:t>ل</w:t>
            </w:r>
            <w:r w:rsidRPr="004969DC">
              <w:rPr>
                <w:sz w:val="20"/>
                <w:szCs w:val="22"/>
                <w:rtl/>
              </w:rPr>
              <w:t>لتعشيش وال</w:t>
            </w:r>
            <w:r w:rsidRPr="004969DC">
              <w:rPr>
                <w:rFonts w:hint="cs"/>
                <w:sz w:val="20"/>
                <w:szCs w:val="22"/>
                <w:rtl/>
              </w:rPr>
              <w:t>تشتية</w:t>
            </w:r>
            <w:r w:rsidRPr="004969DC">
              <w:rPr>
                <w:sz w:val="20"/>
                <w:szCs w:val="22"/>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L</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H</w:t>
            </w:r>
          </w:p>
        </w:tc>
      </w:tr>
      <w:tr w:rsidR="000A5DEA" w:rsidRPr="00E2695B" w:rsidTr="000A5DEA">
        <w:trPr>
          <w:jc w:val="center"/>
        </w:trPr>
        <w:tc>
          <w:tcPr>
            <w:tcW w:w="9687" w:type="dxa"/>
            <w:shd w:val="clear" w:color="auto" w:fill="auto"/>
          </w:tcPr>
          <w:p w:rsidR="000A5DEA" w:rsidRPr="004969DC" w:rsidRDefault="000A5DEA" w:rsidP="004969DC">
            <w:pPr>
              <w:keepNext/>
              <w:snapToGrid w:val="0"/>
              <w:spacing w:after="0" w:line="204" w:lineRule="auto"/>
              <w:rPr>
                <w:bCs/>
                <w:sz w:val="20"/>
                <w:szCs w:val="22"/>
              </w:rPr>
            </w:pPr>
            <w:r w:rsidRPr="004969DC">
              <w:rPr>
                <w:rFonts w:hint="cs"/>
                <w:bCs/>
                <w:sz w:val="20"/>
                <w:szCs w:val="22"/>
                <w:rtl/>
              </w:rPr>
              <w:t>9- دلتا كوبان</w:t>
            </w:r>
          </w:p>
          <w:p w:rsidR="000A5DEA" w:rsidRPr="004969DC" w:rsidRDefault="000A5DEA" w:rsidP="00CD26C5">
            <w:pPr>
              <w:keepNext/>
              <w:numPr>
                <w:ilvl w:val="0"/>
                <w:numId w:val="119"/>
              </w:numPr>
              <w:suppressAutoHyphens/>
              <w:spacing w:after="0" w:line="204" w:lineRule="auto"/>
              <w:rPr>
                <w:sz w:val="20"/>
                <w:szCs w:val="22"/>
              </w:rPr>
            </w:pPr>
            <w:r w:rsidRPr="004969DC">
              <w:rPr>
                <w:sz w:val="20"/>
                <w:szCs w:val="22"/>
                <w:rtl/>
              </w:rPr>
              <w:t xml:space="preserve">الموقع: تقع هذه المنطقة </w:t>
            </w:r>
            <w:r w:rsidRPr="004969DC">
              <w:rPr>
                <w:rFonts w:hint="cs"/>
                <w:sz w:val="20"/>
                <w:szCs w:val="22"/>
                <w:rtl/>
              </w:rPr>
              <w:t>عند خطي</w:t>
            </w:r>
            <w:r w:rsidRPr="004969DC">
              <w:rPr>
                <w:sz w:val="20"/>
                <w:szCs w:val="22"/>
                <w:rtl/>
              </w:rPr>
              <w:t xml:space="preserve"> 45°30'</w:t>
            </w:r>
            <w:r w:rsidRPr="004969DC">
              <w:rPr>
                <w:rFonts w:hint="cs"/>
                <w:sz w:val="20"/>
                <w:szCs w:val="22"/>
                <w:rtl/>
              </w:rPr>
              <w:t xml:space="preserve"> شمالاً و</w:t>
            </w:r>
            <w:r w:rsidRPr="004969DC">
              <w:rPr>
                <w:sz w:val="20"/>
                <w:szCs w:val="22"/>
                <w:rtl/>
              </w:rPr>
              <w:t>37</w:t>
            </w:r>
            <w:r w:rsidRPr="004969DC">
              <w:rPr>
                <w:sz w:val="20"/>
                <w:szCs w:val="22"/>
              </w:rPr>
              <w:t>'</w:t>
            </w:r>
            <w:r w:rsidRPr="004969DC">
              <w:rPr>
                <w:rFonts w:hint="cs"/>
                <w:sz w:val="20"/>
                <w:szCs w:val="22"/>
                <w:rtl/>
              </w:rPr>
              <w:t>48</w:t>
            </w:r>
            <w:r w:rsidRPr="004969DC">
              <w:rPr>
                <w:sz w:val="20"/>
                <w:szCs w:val="22"/>
              </w:rPr>
              <w:t>°</w:t>
            </w:r>
            <w:r w:rsidRPr="004969DC">
              <w:rPr>
                <w:rFonts w:hint="cs"/>
                <w:sz w:val="20"/>
                <w:szCs w:val="22"/>
                <w:rtl/>
              </w:rPr>
              <w:t xml:space="preserve"> شرقاً</w:t>
            </w:r>
            <w:r w:rsidRPr="004969DC">
              <w:rPr>
                <w:sz w:val="20"/>
                <w:szCs w:val="22"/>
                <w:rtl/>
              </w:rPr>
              <w:t xml:space="preserve">. </w:t>
            </w:r>
            <w:r w:rsidRPr="004969DC">
              <w:rPr>
                <w:rFonts w:hint="cs"/>
                <w:sz w:val="20"/>
                <w:szCs w:val="22"/>
                <w:rtl/>
              </w:rPr>
              <w:t>و</w:t>
            </w:r>
            <w:r w:rsidRPr="004969DC">
              <w:rPr>
                <w:sz w:val="20"/>
                <w:szCs w:val="22"/>
                <w:rtl/>
              </w:rPr>
              <w:t>تقع الحدود الجنوبية ل</w:t>
            </w:r>
            <w:r w:rsidRPr="004969DC">
              <w:rPr>
                <w:rFonts w:hint="cs"/>
                <w:sz w:val="20"/>
                <w:szCs w:val="22"/>
                <w:rtl/>
              </w:rPr>
              <w:t>هذا ا</w:t>
            </w:r>
            <w:r w:rsidRPr="004969DC">
              <w:rPr>
                <w:sz w:val="20"/>
                <w:szCs w:val="22"/>
                <w:rtl/>
              </w:rPr>
              <w:t xml:space="preserve">لموقع على طول شاطئ </w:t>
            </w:r>
            <w:r w:rsidRPr="004969DC">
              <w:rPr>
                <w:rFonts w:hint="cs"/>
                <w:sz w:val="20"/>
                <w:szCs w:val="22"/>
                <w:rtl/>
              </w:rPr>
              <w:t>كورتشانسكي ليمان</w:t>
            </w:r>
            <w:r w:rsidRPr="004969DC">
              <w:rPr>
                <w:sz w:val="20"/>
                <w:szCs w:val="22"/>
                <w:rtl/>
              </w:rPr>
              <w:t xml:space="preserve"> (</w:t>
            </w:r>
            <w:r w:rsidRPr="004969DC">
              <w:rPr>
                <w:rFonts w:hint="cs"/>
                <w:sz w:val="20"/>
                <w:szCs w:val="22"/>
                <w:rtl/>
              </w:rPr>
              <w:t>المصب</w:t>
            </w:r>
            <w:r w:rsidRPr="004969DC">
              <w:rPr>
                <w:sz w:val="20"/>
                <w:szCs w:val="22"/>
                <w:rtl/>
              </w:rPr>
              <w:t>)، وت</w:t>
            </w:r>
            <w:r w:rsidRPr="004969DC">
              <w:rPr>
                <w:rFonts w:hint="cs"/>
                <w:sz w:val="20"/>
                <w:szCs w:val="22"/>
                <w:rtl/>
              </w:rPr>
              <w:t>ضم</w:t>
            </w:r>
            <w:r w:rsidRPr="004969DC">
              <w:rPr>
                <w:sz w:val="20"/>
                <w:szCs w:val="22"/>
                <w:rtl/>
              </w:rPr>
              <w:t xml:space="preserve"> دلتا </w:t>
            </w:r>
            <w:r w:rsidRPr="004969DC">
              <w:rPr>
                <w:rFonts w:hint="cs"/>
                <w:sz w:val="20"/>
                <w:szCs w:val="22"/>
                <w:rtl/>
              </w:rPr>
              <w:t>كوبان</w:t>
            </w:r>
            <w:r w:rsidRPr="004969DC">
              <w:rPr>
                <w:sz w:val="20"/>
                <w:szCs w:val="22"/>
                <w:rtl/>
              </w:rPr>
              <w:t xml:space="preserve"> وتصل إلى بحر آزوف. </w:t>
            </w:r>
            <w:r w:rsidRPr="004969DC">
              <w:rPr>
                <w:rFonts w:hint="cs"/>
                <w:sz w:val="20"/>
                <w:szCs w:val="22"/>
                <w:rtl/>
              </w:rPr>
              <w:t>وإلى ناحيتي</w:t>
            </w:r>
            <w:r w:rsidRPr="004969DC">
              <w:rPr>
                <w:sz w:val="20"/>
                <w:szCs w:val="22"/>
                <w:rtl/>
              </w:rPr>
              <w:t xml:space="preserve"> الغرب والشمال، يمتد الشريط الحدودي على طول ساحل بحر آزوف ويصل إلى النقطة الوسطى ل</w:t>
            </w:r>
            <w:r w:rsidRPr="004969DC">
              <w:rPr>
                <w:rFonts w:hint="cs"/>
                <w:sz w:val="20"/>
                <w:szCs w:val="22"/>
                <w:rtl/>
              </w:rPr>
              <w:t xml:space="preserve">منطقة </w:t>
            </w:r>
            <w:r w:rsidRPr="004969DC">
              <w:rPr>
                <w:sz w:val="20"/>
                <w:szCs w:val="22"/>
                <w:rtl/>
              </w:rPr>
              <w:t>أختارسكي ليمان</w:t>
            </w:r>
            <w:r w:rsidRPr="004969DC">
              <w:rPr>
                <w:sz w:val="20"/>
                <w:szCs w:val="22"/>
              </w:rPr>
              <w:t>.</w:t>
            </w:r>
          </w:p>
          <w:p w:rsidR="000A5DEA" w:rsidRPr="004969DC" w:rsidRDefault="000A5DEA" w:rsidP="00CD26C5">
            <w:pPr>
              <w:keepNext/>
              <w:numPr>
                <w:ilvl w:val="0"/>
                <w:numId w:val="119"/>
              </w:numPr>
              <w:suppressAutoHyphens/>
              <w:spacing w:after="0" w:line="204" w:lineRule="auto"/>
              <w:rPr>
                <w:sz w:val="20"/>
                <w:szCs w:val="22"/>
              </w:rPr>
            </w:pPr>
            <w:r w:rsidRPr="004969DC">
              <w:rPr>
                <w:sz w:val="20"/>
                <w:szCs w:val="22"/>
                <w:rtl/>
              </w:rPr>
              <w:t xml:space="preserve">دلتا كوبان هي ثاني أكبر نظام </w:t>
            </w:r>
            <w:r w:rsidRPr="004969DC">
              <w:rPr>
                <w:rFonts w:hint="cs"/>
                <w:sz w:val="20"/>
                <w:szCs w:val="22"/>
                <w:rtl/>
              </w:rPr>
              <w:t>إيكولوجي دلتي</w:t>
            </w:r>
            <w:r w:rsidRPr="004969DC">
              <w:rPr>
                <w:sz w:val="20"/>
                <w:szCs w:val="22"/>
                <w:rtl/>
              </w:rPr>
              <w:t xml:space="preserve"> في البحر الأسود - حوض بحر آزوف (</w:t>
            </w:r>
            <w:r w:rsidRPr="004969DC">
              <w:rPr>
                <w:rFonts w:hint="cs"/>
                <w:sz w:val="20"/>
                <w:szCs w:val="22"/>
                <w:rtl/>
              </w:rPr>
              <w:t>920 1 كيلومتراً مربعاً</w:t>
            </w:r>
            <w:r w:rsidRPr="004969DC">
              <w:rPr>
                <w:sz w:val="20"/>
                <w:szCs w:val="22"/>
                <w:rtl/>
              </w:rPr>
              <w:t>). و</w:t>
            </w:r>
            <w:r w:rsidRPr="004969DC">
              <w:rPr>
                <w:rFonts w:hint="cs"/>
                <w:sz w:val="20"/>
                <w:szCs w:val="22"/>
                <w:rtl/>
              </w:rPr>
              <w:t>هي تتضمن</w:t>
            </w:r>
            <w:r w:rsidRPr="004969DC">
              <w:rPr>
                <w:sz w:val="20"/>
                <w:szCs w:val="22"/>
                <w:rtl/>
              </w:rPr>
              <w:t xml:space="preserve"> أكثر من 600 </w:t>
            </w:r>
            <w:r w:rsidRPr="004969DC">
              <w:rPr>
                <w:rFonts w:hint="cs"/>
                <w:sz w:val="20"/>
                <w:szCs w:val="22"/>
                <w:rtl/>
              </w:rPr>
              <w:t>جسم مائي تتميز</w:t>
            </w:r>
            <w:r w:rsidRPr="004969DC">
              <w:rPr>
                <w:sz w:val="20"/>
                <w:szCs w:val="22"/>
                <w:rtl/>
              </w:rPr>
              <w:t xml:space="preserve"> </w:t>
            </w:r>
            <w:r w:rsidRPr="004969DC">
              <w:rPr>
                <w:rFonts w:hint="cs"/>
                <w:sz w:val="20"/>
                <w:szCs w:val="22"/>
                <w:rtl/>
              </w:rPr>
              <w:t>ب</w:t>
            </w:r>
            <w:r w:rsidRPr="004969DC">
              <w:rPr>
                <w:sz w:val="20"/>
                <w:szCs w:val="22"/>
                <w:rtl/>
              </w:rPr>
              <w:t xml:space="preserve">أنظمة هيدرولوجية مختلفة. </w:t>
            </w:r>
            <w:r w:rsidRPr="004969DC">
              <w:rPr>
                <w:rFonts w:hint="cs"/>
                <w:sz w:val="20"/>
                <w:szCs w:val="22"/>
                <w:rtl/>
              </w:rPr>
              <w:t>و</w:t>
            </w:r>
            <w:r w:rsidRPr="004969DC">
              <w:rPr>
                <w:sz w:val="20"/>
                <w:szCs w:val="22"/>
                <w:rtl/>
              </w:rPr>
              <w:t>تستخدم ال</w:t>
            </w:r>
            <w:r w:rsidRPr="004969DC">
              <w:rPr>
                <w:rFonts w:hint="cs"/>
                <w:sz w:val="20"/>
                <w:szCs w:val="22"/>
                <w:rtl/>
              </w:rPr>
              <w:t>كثير</w:t>
            </w:r>
            <w:r w:rsidRPr="004969DC">
              <w:rPr>
                <w:sz w:val="20"/>
                <w:szCs w:val="22"/>
                <w:rtl/>
              </w:rPr>
              <w:t xml:space="preserve"> من الطيور المائية الأراضي الرطبة الساحلية ومصبات الدلتا كمناطق توقف أثناء هجر</w:t>
            </w:r>
            <w:r w:rsidRPr="004969DC">
              <w:rPr>
                <w:rFonts w:hint="cs"/>
                <w:sz w:val="20"/>
                <w:szCs w:val="22"/>
                <w:rtl/>
              </w:rPr>
              <w:t>تي</w:t>
            </w:r>
            <w:r w:rsidRPr="004969DC">
              <w:rPr>
                <w:sz w:val="20"/>
                <w:szCs w:val="22"/>
                <w:rtl/>
              </w:rPr>
              <w:t xml:space="preserve"> الربيع والخريف. </w:t>
            </w:r>
            <w:r w:rsidRPr="004969DC">
              <w:rPr>
                <w:rFonts w:hint="cs"/>
                <w:sz w:val="20"/>
                <w:szCs w:val="22"/>
                <w:rtl/>
              </w:rPr>
              <w:t>و</w:t>
            </w:r>
            <w:r w:rsidRPr="004969DC">
              <w:rPr>
                <w:sz w:val="20"/>
                <w:szCs w:val="22"/>
                <w:rtl/>
              </w:rPr>
              <w:t>تتداخل</w:t>
            </w:r>
            <w:r w:rsidRPr="004969DC">
              <w:rPr>
                <w:rFonts w:hint="cs"/>
                <w:sz w:val="20"/>
                <w:szCs w:val="22"/>
                <w:rtl/>
              </w:rPr>
              <w:t xml:space="preserve"> هذه</w:t>
            </w:r>
            <w:r w:rsidRPr="004969DC">
              <w:rPr>
                <w:sz w:val="20"/>
                <w:szCs w:val="22"/>
                <w:rtl/>
              </w:rPr>
              <w:t xml:space="preserve"> المنطقة مع منطقة</w:t>
            </w:r>
            <w:r w:rsidRPr="004969DC">
              <w:rPr>
                <w:rFonts w:hint="cs"/>
                <w:sz w:val="20"/>
                <w:szCs w:val="22"/>
                <w:rtl/>
              </w:rPr>
              <w:t xml:space="preserve"> بحرية</w:t>
            </w:r>
            <w:r w:rsidRPr="004969DC">
              <w:rPr>
                <w:sz w:val="20"/>
                <w:szCs w:val="22"/>
                <w:rtl/>
              </w:rPr>
              <w:t xml:space="preserve"> </w:t>
            </w:r>
            <w:r w:rsidRPr="004969DC">
              <w:rPr>
                <w:rFonts w:hint="cs"/>
                <w:sz w:val="20"/>
                <w:szCs w:val="22"/>
                <w:rtl/>
              </w:rPr>
              <w:t>مهمة</w:t>
            </w:r>
            <w:r w:rsidRPr="004969DC">
              <w:rPr>
                <w:sz w:val="20"/>
                <w:szCs w:val="22"/>
                <w:rtl/>
              </w:rPr>
              <w:t xml:space="preserve"> ل</w:t>
            </w:r>
            <w:r w:rsidRPr="004969DC">
              <w:rPr>
                <w:rFonts w:hint="cs"/>
                <w:sz w:val="20"/>
                <w:szCs w:val="22"/>
                <w:rtl/>
              </w:rPr>
              <w:t>حفظ ا</w:t>
            </w:r>
            <w:r w:rsidRPr="004969DC">
              <w:rPr>
                <w:sz w:val="20"/>
                <w:szCs w:val="22"/>
                <w:rtl/>
              </w:rPr>
              <w:t>لطيور والتنوع البيولوجي</w:t>
            </w:r>
            <w:r w:rsidRPr="004969DC">
              <w:rPr>
                <w:rFonts w:hint="cs"/>
                <w:sz w:val="20"/>
                <w:szCs w:val="22"/>
                <w:rtl/>
              </w:rPr>
              <w:t>،</w:t>
            </w:r>
            <w:r w:rsidRPr="004969DC">
              <w:rPr>
                <w:sz w:val="20"/>
                <w:szCs w:val="22"/>
                <w:rtl/>
              </w:rPr>
              <w:t xml:space="preserve"> وهي أرض رطبة</w:t>
            </w:r>
            <w:r w:rsidRPr="004969DC">
              <w:rPr>
                <w:rFonts w:hint="cs"/>
                <w:sz w:val="20"/>
                <w:szCs w:val="22"/>
                <w:rtl/>
              </w:rPr>
              <w:t xml:space="preserve"> ذات أهمية</w:t>
            </w:r>
            <w:r w:rsidRPr="004969DC">
              <w:rPr>
                <w:sz w:val="20"/>
                <w:szCs w:val="22"/>
                <w:rtl/>
              </w:rPr>
              <w:t xml:space="preserve"> دولية</w:t>
            </w:r>
            <w:r w:rsidRPr="004969DC">
              <w:rPr>
                <w:rFonts w:hint="cs"/>
                <w:sz w:val="20"/>
                <w:szCs w:val="22"/>
                <w:rtl/>
              </w:rPr>
              <w:t xml:space="preserve"> في إطار اتفاقية رامسار</w:t>
            </w:r>
            <w:r w:rsidRPr="004969DC">
              <w:rPr>
                <w:sz w:val="20"/>
                <w:szCs w:val="22"/>
                <w:rtl/>
              </w:rPr>
              <w:t xml:space="preserve">. </w:t>
            </w:r>
            <w:r w:rsidRPr="004969DC">
              <w:rPr>
                <w:rFonts w:hint="cs"/>
                <w:sz w:val="20"/>
                <w:szCs w:val="22"/>
                <w:rtl/>
              </w:rPr>
              <w:t>وهي مهمة لطائر البجع</w:t>
            </w:r>
            <w:r w:rsidRPr="004969DC">
              <w:rPr>
                <w:sz w:val="20"/>
                <w:szCs w:val="22"/>
                <w:rtl/>
              </w:rPr>
              <w:t xml:space="preserve"> الد</w:t>
            </w:r>
            <w:r w:rsidRPr="004969DC">
              <w:rPr>
                <w:rFonts w:hint="cs"/>
                <w:sz w:val="20"/>
                <w:szCs w:val="22"/>
                <w:rtl/>
              </w:rPr>
              <w:t>ا</w:t>
            </w:r>
            <w:r w:rsidRPr="004969DC">
              <w:rPr>
                <w:sz w:val="20"/>
                <w:szCs w:val="22"/>
                <w:rtl/>
              </w:rPr>
              <w:t>لماسي (</w:t>
            </w:r>
            <w:r w:rsidRPr="004969DC">
              <w:rPr>
                <w:i/>
                <w:iCs/>
                <w:sz w:val="20"/>
                <w:szCs w:val="22"/>
              </w:rPr>
              <w:t>Pelecanus crispus</w:t>
            </w:r>
            <w:r w:rsidRPr="004969DC">
              <w:rPr>
                <w:sz w:val="20"/>
                <w:szCs w:val="22"/>
                <w:rtl/>
              </w:rPr>
              <w:t xml:space="preserve">). </w:t>
            </w:r>
            <w:r w:rsidRPr="004969DC">
              <w:rPr>
                <w:rFonts w:hint="cs"/>
                <w:sz w:val="20"/>
                <w:szCs w:val="22"/>
                <w:rtl/>
              </w:rPr>
              <w:t xml:space="preserve">وتشهد </w:t>
            </w:r>
            <w:r w:rsidRPr="004969DC">
              <w:rPr>
                <w:sz w:val="20"/>
                <w:szCs w:val="22"/>
                <w:rtl/>
              </w:rPr>
              <w:t>دلتا كوبان تغير</w:t>
            </w:r>
            <w:r w:rsidRPr="004969DC">
              <w:rPr>
                <w:rFonts w:hint="cs"/>
                <w:sz w:val="20"/>
                <w:szCs w:val="22"/>
                <w:rtl/>
              </w:rPr>
              <w:t>اً</w:t>
            </w:r>
            <w:r w:rsidRPr="004969DC">
              <w:rPr>
                <w:sz w:val="20"/>
                <w:szCs w:val="22"/>
                <w:rtl/>
              </w:rPr>
              <w:t xml:space="preserve"> مستمر</w:t>
            </w:r>
            <w:r w:rsidRPr="004969DC">
              <w:rPr>
                <w:rFonts w:hint="cs"/>
                <w:sz w:val="20"/>
                <w:szCs w:val="22"/>
                <w:rtl/>
              </w:rPr>
              <w:t>اً</w:t>
            </w:r>
            <w:r w:rsidRPr="004969DC">
              <w:rPr>
                <w:sz w:val="20"/>
                <w:szCs w:val="22"/>
                <w:rtl/>
              </w:rPr>
              <w:t xml:space="preserve"> </w:t>
            </w:r>
            <w:r w:rsidRPr="004969DC">
              <w:rPr>
                <w:rFonts w:hint="cs"/>
                <w:sz w:val="20"/>
                <w:szCs w:val="22"/>
                <w:rtl/>
              </w:rPr>
              <w:t>بفعل</w:t>
            </w:r>
            <w:r w:rsidRPr="004969DC">
              <w:rPr>
                <w:sz w:val="20"/>
                <w:szCs w:val="22"/>
                <w:rtl/>
              </w:rPr>
              <w:t xml:space="preserve"> تأثير العوامل الطبيعية والبشرية</w:t>
            </w:r>
            <w:r w:rsidRPr="004969DC">
              <w:rPr>
                <w:rFonts w:hint="cs"/>
                <w:sz w:val="20"/>
                <w:szCs w:val="22"/>
                <w:rtl/>
              </w:rPr>
              <w:t xml:space="preserve"> المنشأ على حد سواء.</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M</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H</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M</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M</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H</w:t>
            </w:r>
          </w:p>
        </w:tc>
        <w:tc>
          <w:tcPr>
            <w:tcW w:w="507" w:type="dxa"/>
            <w:vAlign w:val="center"/>
          </w:tcPr>
          <w:p w:rsidR="000A5DEA" w:rsidRPr="00E2695B" w:rsidRDefault="000A5DEA" w:rsidP="000A5DEA">
            <w:pPr>
              <w:keepNext/>
              <w:snapToGrid w:val="0"/>
              <w:jc w:val="cente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lang w:val="en-CA"/>
              </w:rPr>
            </w:pPr>
            <w:r w:rsidRPr="004969DC">
              <w:rPr>
                <w:rFonts w:hint="cs"/>
                <w:bCs/>
                <w:sz w:val="20"/>
                <w:szCs w:val="22"/>
                <w:rtl/>
              </w:rPr>
              <w:t xml:space="preserve">10- </w:t>
            </w:r>
            <w:r w:rsidRPr="004969DC">
              <w:rPr>
                <w:bCs/>
                <w:sz w:val="20"/>
                <w:szCs w:val="22"/>
              </w:rPr>
              <w:t xml:space="preserve"> </w:t>
            </w:r>
            <w:r w:rsidRPr="004969DC">
              <w:rPr>
                <w:bCs/>
                <w:sz w:val="20"/>
                <w:szCs w:val="22"/>
                <w:rtl/>
              </w:rPr>
              <w:t>خليج تامان ومضيق كيرتش</w:t>
            </w:r>
          </w:p>
          <w:p w:rsidR="000A5DEA" w:rsidRPr="004969DC" w:rsidRDefault="000A5DEA" w:rsidP="00CD26C5">
            <w:pPr>
              <w:pStyle w:val="ListParagraph"/>
              <w:numPr>
                <w:ilvl w:val="0"/>
                <w:numId w:val="120"/>
              </w:numPr>
              <w:bidi/>
              <w:spacing w:after="0" w:line="204" w:lineRule="auto"/>
              <w:rPr>
                <w:rFonts w:eastAsia="MS Mincho" w:cs="Simplified Arabic"/>
                <w:sz w:val="20"/>
                <w:szCs w:val="22"/>
                <w:lang w:val="en-US"/>
              </w:rPr>
            </w:pPr>
            <w:r w:rsidRPr="004969DC">
              <w:rPr>
                <w:rFonts w:cs="Simplified Arabic"/>
                <w:sz w:val="20"/>
                <w:szCs w:val="22"/>
                <w:rtl/>
                <w:lang w:val="en-CA"/>
              </w:rPr>
              <w:t xml:space="preserve">الموقع: خليج تامان خليج ضحل من نوع </w:t>
            </w:r>
            <w:r w:rsidRPr="004969DC">
              <w:rPr>
                <w:rFonts w:cs="Simplified Arabic" w:hint="cs"/>
                <w:sz w:val="20"/>
                <w:szCs w:val="22"/>
                <w:rtl/>
                <w:lang w:val="en-CA"/>
              </w:rPr>
              <w:t>البحيرات الشاطئية،</w:t>
            </w:r>
            <w:r w:rsidRPr="004969DC">
              <w:rPr>
                <w:rFonts w:cs="Simplified Arabic"/>
                <w:sz w:val="20"/>
                <w:szCs w:val="22"/>
                <w:rtl/>
                <w:lang w:val="en-CA"/>
              </w:rPr>
              <w:t xml:space="preserve"> </w:t>
            </w:r>
            <w:r w:rsidRPr="004969DC">
              <w:rPr>
                <w:rFonts w:cs="Simplified Arabic" w:hint="cs"/>
                <w:sz w:val="20"/>
                <w:szCs w:val="22"/>
                <w:rtl/>
                <w:lang w:val="en-CA"/>
              </w:rPr>
              <w:t xml:space="preserve">يقع </w:t>
            </w:r>
            <w:r w:rsidRPr="004969DC">
              <w:rPr>
                <w:rFonts w:cs="Simplified Arabic"/>
                <w:sz w:val="20"/>
                <w:szCs w:val="22"/>
                <w:rtl/>
                <w:lang w:val="en-CA"/>
              </w:rPr>
              <w:t xml:space="preserve">بين </w:t>
            </w:r>
            <w:r w:rsidRPr="004969DC">
              <w:rPr>
                <w:rFonts w:cs="Simplified Arabic" w:hint="cs"/>
                <w:sz w:val="20"/>
                <w:szCs w:val="22"/>
                <w:rtl/>
                <w:lang w:val="en-CA"/>
              </w:rPr>
              <w:t>شمال شبه جزيرة تامان</w:t>
            </w:r>
            <w:r w:rsidRPr="004969DC">
              <w:rPr>
                <w:rFonts w:cs="Simplified Arabic"/>
                <w:sz w:val="20"/>
                <w:szCs w:val="22"/>
                <w:rtl/>
                <w:lang w:val="en-CA"/>
              </w:rPr>
              <w:t xml:space="preserve"> والبحر الأسود، </w:t>
            </w:r>
            <w:r w:rsidRPr="004969DC">
              <w:rPr>
                <w:rFonts w:cs="Simplified Arabic" w:hint="cs"/>
                <w:sz w:val="20"/>
                <w:szCs w:val="22"/>
                <w:rtl/>
                <w:lang w:val="en-CA"/>
              </w:rPr>
              <w:t>بين بحر آزوف والبحر الأسود</w:t>
            </w:r>
            <w:r w:rsidRPr="004969DC">
              <w:rPr>
                <w:rFonts w:cs="Simplified Arabic"/>
                <w:sz w:val="20"/>
                <w:szCs w:val="22"/>
                <w:rtl/>
                <w:lang w:val="en-CA"/>
              </w:rPr>
              <w:t xml:space="preserve">. </w:t>
            </w:r>
            <w:r w:rsidRPr="004969DC">
              <w:rPr>
                <w:rFonts w:cs="Simplified Arabic" w:hint="cs"/>
                <w:sz w:val="20"/>
                <w:szCs w:val="22"/>
                <w:rtl/>
                <w:lang w:val="en-CA"/>
              </w:rPr>
              <w:t>و</w:t>
            </w:r>
            <w:r w:rsidRPr="004969DC">
              <w:rPr>
                <w:rFonts w:cs="Simplified Arabic"/>
                <w:sz w:val="20"/>
                <w:szCs w:val="22"/>
                <w:rtl/>
                <w:lang w:val="en-CA"/>
              </w:rPr>
              <w:t>ي</w:t>
            </w:r>
            <w:r w:rsidRPr="004969DC">
              <w:rPr>
                <w:rFonts w:cs="Simplified Arabic" w:hint="cs"/>
                <w:sz w:val="20"/>
                <w:szCs w:val="22"/>
                <w:rtl/>
                <w:lang w:val="en-CA"/>
              </w:rPr>
              <w:t>ن</w:t>
            </w:r>
            <w:r w:rsidRPr="004969DC">
              <w:rPr>
                <w:rFonts w:cs="Simplified Arabic"/>
                <w:sz w:val="20"/>
                <w:szCs w:val="22"/>
                <w:rtl/>
                <w:lang w:val="en-CA"/>
              </w:rPr>
              <w:t>فتح على مضيق كيرتش ويعتبر جزء</w:t>
            </w:r>
            <w:r w:rsidRPr="004969DC">
              <w:rPr>
                <w:rFonts w:cs="Simplified Arabic" w:hint="cs"/>
                <w:sz w:val="20"/>
                <w:szCs w:val="22"/>
                <w:rtl/>
                <w:lang w:val="en-CA"/>
              </w:rPr>
              <w:t>اً</w:t>
            </w:r>
            <w:r w:rsidRPr="004969DC">
              <w:rPr>
                <w:rFonts w:cs="Simplified Arabic"/>
                <w:sz w:val="20"/>
                <w:szCs w:val="22"/>
                <w:rtl/>
                <w:lang w:val="en-CA"/>
              </w:rPr>
              <w:t xml:space="preserve"> من بحر آزوف. </w:t>
            </w:r>
            <w:r w:rsidRPr="004969DC">
              <w:rPr>
                <w:rFonts w:cs="Simplified Arabic" w:hint="cs"/>
                <w:sz w:val="20"/>
                <w:szCs w:val="22"/>
                <w:rtl/>
                <w:lang w:val="en-CA"/>
              </w:rPr>
              <w:t>ويُحدّد</w:t>
            </w:r>
            <w:r w:rsidRPr="004969DC">
              <w:rPr>
                <w:rFonts w:cs="Simplified Arabic"/>
                <w:sz w:val="20"/>
                <w:szCs w:val="22"/>
                <w:rtl/>
                <w:lang w:val="en-CA"/>
              </w:rPr>
              <w:t xml:space="preserve"> المنطقة البحرية </w:t>
            </w:r>
            <w:r w:rsidRPr="004969DC">
              <w:rPr>
                <w:rFonts w:cs="Simplified Arabic" w:hint="cs"/>
                <w:sz w:val="20"/>
                <w:szCs w:val="22"/>
                <w:rtl/>
                <w:lang w:val="en-CA"/>
              </w:rPr>
              <w:t>لمضيق</w:t>
            </w:r>
            <w:r w:rsidRPr="004969DC">
              <w:rPr>
                <w:rFonts w:cs="Simplified Arabic"/>
                <w:sz w:val="20"/>
                <w:szCs w:val="22"/>
                <w:rtl/>
                <w:lang w:val="en-CA"/>
              </w:rPr>
              <w:t xml:space="preserve"> كيرتش الخط الفاصل بين </w:t>
            </w:r>
            <w:r w:rsidRPr="004969DC">
              <w:rPr>
                <w:rFonts w:cs="Simplified Arabic" w:hint="cs"/>
                <w:sz w:val="20"/>
                <w:szCs w:val="22"/>
                <w:rtl/>
                <w:lang w:val="en-CA"/>
              </w:rPr>
              <w:t>رأس</w:t>
            </w:r>
            <w:r w:rsidRPr="004969DC">
              <w:rPr>
                <w:rFonts w:cs="Simplified Arabic"/>
                <w:sz w:val="20"/>
                <w:szCs w:val="22"/>
                <w:rtl/>
                <w:lang w:val="en-CA"/>
              </w:rPr>
              <w:t xml:space="preserve"> </w:t>
            </w:r>
            <w:r w:rsidRPr="004969DC">
              <w:rPr>
                <w:rFonts w:cs="Simplified Arabic"/>
                <w:sz w:val="20"/>
                <w:szCs w:val="22"/>
                <w:rtl/>
                <w:lang w:val="en-CA"/>
              </w:rPr>
              <w:lastRenderedPageBreak/>
              <w:t>أه</w:t>
            </w:r>
            <w:r w:rsidRPr="004969DC">
              <w:rPr>
                <w:rFonts w:cs="Simplified Arabic" w:hint="cs"/>
                <w:sz w:val="20"/>
                <w:szCs w:val="22"/>
                <w:rtl/>
                <w:lang w:val="en-CA"/>
              </w:rPr>
              <w:t>ي</w:t>
            </w:r>
            <w:r w:rsidRPr="004969DC">
              <w:rPr>
                <w:rFonts w:cs="Simplified Arabic"/>
                <w:sz w:val="20"/>
                <w:szCs w:val="22"/>
                <w:rtl/>
                <w:lang w:val="en-CA"/>
              </w:rPr>
              <w:t>ليون</w:t>
            </w:r>
            <w:r w:rsidRPr="004969DC">
              <w:rPr>
                <w:rFonts w:cs="Simplified Arabic" w:hint="cs"/>
                <w:sz w:val="20"/>
                <w:szCs w:val="22"/>
                <w:rtl/>
                <w:lang w:val="en-CA"/>
              </w:rPr>
              <w:t xml:space="preserve"> الواقع</w:t>
            </w:r>
            <w:r w:rsidRPr="004969DC">
              <w:rPr>
                <w:rFonts w:cs="Simplified Arabic"/>
                <w:sz w:val="20"/>
                <w:szCs w:val="22"/>
                <w:rtl/>
                <w:lang w:val="en-CA"/>
              </w:rPr>
              <w:t xml:space="preserve"> على ساحل شبه جزيرة تامان و</w:t>
            </w:r>
            <w:r w:rsidRPr="004969DC">
              <w:rPr>
                <w:rFonts w:cs="Simplified Arabic" w:hint="cs"/>
                <w:sz w:val="20"/>
                <w:szCs w:val="22"/>
                <w:rtl/>
                <w:lang w:val="en-CA"/>
              </w:rPr>
              <w:t>رأس</w:t>
            </w:r>
            <w:r w:rsidRPr="004969DC">
              <w:rPr>
                <w:rFonts w:cs="Simplified Arabic"/>
                <w:sz w:val="20"/>
                <w:szCs w:val="22"/>
                <w:rtl/>
                <w:lang w:val="en-CA"/>
              </w:rPr>
              <w:t xml:space="preserve"> هروني</w:t>
            </w:r>
            <w:r w:rsidRPr="004969DC">
              <w:rPr>
                <w:rFonts w:cs="Simplified Arabic" w:hint="cs"/>
                <w:sz w:val="20"/>
                <w:szCs w:val="22"/>
                <w:rtl/>
                <w:lang w:val="en-CA"/>
              </w:rPr>
              <w:t xml:space="preserve"> الواقع</w:t>
            </w:r>
            <w:r w:rsidRPr="004969DC">
              <w:rPr>
                <w:rFonts w:cs="Simplified Arabic"/>
                <w:sz w:val="20"/>
                <w:szCs w:val="22"/>
                <w:rtl/>
                <w:lang w:val="en-CA"/>
              </w:rPr>
              <w:t xml:space="preserve"> على ساحل شبه جزيرة كيرتش في الشمال والخط الفاصل بين </w:t>
            </w:r>
            <w:r w:rsidRPr="004969DC">
              <w:rPr>
                <w:rFonts w:cs="Simplified Arabic" w:hint="cs"/>
                <w:sz w:val="20"/>
                <w:szCs w:val="22"/>
                <w:rtl/>
                <w:lang w:val="en-CA"/>
              </w:rPr>
              <w:t>رأس</w:t>
            </w:r>
            <w:r w:rsidRPr="004969DC">
              <w:rPr>
                <w:rFonts w:cs="Simplified Arabic"/>
                <w:sz w:val="20"/>
                <w:szCs w:val="22"/>
                <w:rtl/>
                <w:lang w:val="en-CA"/>
              </w:rPr>
              <w:t xml:space="preserve"> باناجيا (ساحل البر الرئيسي) </w:t>
            </w:r>
            <w:r w:rsidRPr="004969DC">
              <w:rPr>
                <w:rFonts w:cs="Simplified Arabic" w:hint="cs"/>
                <w:sz w:val="20"/>
                <w:szCs w:val="22"/>
                <w:rtl/>
                <w:lang w:val="en-CA"/>
              </w:rPr>
              <w:t xml:space="preserve">ورأس </w:t>
            </w:r>
            <w:r w:rsidRPr="004969DC">
              <w:rPr>
                <w:rFonts w:cs="Simplified Arabic"/>
                <w:sz w:val="20"/>
                <w:szCs w:val="22"/>
                <w:rtl/>
                <w:lang w:val="en-CA"/>
              </w:rPr>
              <w:t>تا</w:t>
            </w:r>
            <w:r w:rsidRPr="004969DC">
              <w:rPr>
                <w:rFonts w:cs="Simplified Arabic" w:hint="cs"/>
                <w:sz w:val="20"/>
                <w:szCs w:val="22"/>
                <w:rtl/>
                <w:lang w:val="en-CA"/>
              </w:rPr>
              <w:t xml:space="preserve">كيل </w:t>
            </w:r>
            <w:r w:rsidRPr="004969DC">
              <w:rPr>
                <w:rFonts w:cs="Simplified Arabic"/>
                <w:sz w:val="20"/>
                <w:szCs w:val="22"/>
                <w:rtl/>
                <w:lang w:val="en-CA"/>
              </w:rPr>
              <w:t xml:space="preserve">(ساحل شبه جزيرة كيرتش) في الجنوب. </w:t>
            </w:r>
            <w:r w:rsidRPr="004969DC">
              <w:rPr>
                <w:rFonts w:cs="Simplified Arabic" w:hint="cs"/>
                <w:sz w:val="20"/>
                <w:szCs w:val="22"/>
                <w:rtl/>
                <w:lang w:val="en-CA"/>
              </w:rPr>
              <w:t>ويفصل لسانا تشوشكا</w:t>
            </w:r>
            <w:r w:rsidRPr="004969DC">
              <w:rPr>
                <w:rFonts w:eastAsia="YouYuan" w:cs="Simplified Arabic"/>
                <w:kern w:val="2"/>
                <w:sz w:val="20"/>
                <w:szCs w:val="22"/>
                <w:rtl/>
                <w:lang w:val="en-CA"/>
              </w:rPr>
              <w:t xml:space="preserve"> </w:t>
            </w:r>
            <w:r w:rsidRPr="004969DC">
              <w:rPr>
                <w:rFonts w:cs="Simplified Arabic" w:hint="cs"/>
                <w:sz w:val="20"/>
                <w:szCs w:val="22"/>
                <w:rtl/>
                <w:lang w:val="en-CA"/>
              </w:rPr>
              <w:t>و</w:t>
            </w:r>
            <w:r w:rsidRPr="004969DC">
              <w:rPr>
                <w:rFonts w:cs="Simplified Arabic"/>
                <w:sz w:val="20"/>
                <w:szCs w:val="22"/>
                <w:rtl/>
                <w:lang w:val="en-CA"/>
              </w:rPr>
              <w:t>توزلا</w:t>
            </w:r>
            <w:r w:rsidRPr="004969DC">
              <w:rPr>
                <w:rFonts w:cs="Simplified Arabic" w:hint="cs"/>
                <w:sz w:val="20"/>
                <w:szCs w:val="22"/>
                <w:rtl/>
                <w:lang w:val="en-CA"/>
              </w:rPr>
              <w:t xml:space="preserve"> جزئياً خليخ</w:t>
            </w:r>
            <w:r w:rsidRPr="004969DC">
              <w:rPr>
                <w:rFonts w:cs="Simplified Arabic"/>
                <w:sz w:val="20"/>
                <w:szCs w:val="22"/>
                <w:rtl/>
                <w:lang w:val="en-CA"/>
              </w:rPr>
              <w:t xml:space="preserve"> تامان </w:t>
            </w:r>
            <w:r w:rsidRPr="004969DC">
              <w:rPr>
                <w:rFonts w:cs="Simplified Arabic" w:hint="cs"/>
                <w:sz w:val="20"/>
                <w:szCs w:val="22"/>
                <w:rtl/>
                <w:lang w:val="en-CA"/>
              </w:rPr>
              <w:t>عن مضيق كيرتش</w:t>
            </w:r>
            <w:r w:rsidRPr="004969DC">
              <w:rPr>
                <w:rFonts w:cs="Simplified Arabic"/>
                <w:sz w:val="20"/>
                <w:szCs w:val="22"/>
                <w:rtl/>
                <w:lang w:val="en-CA"/>
              </w:rPr>
              <w:t xml:space="preserve">. </w:t>
            </w:r>
            <w:r w:rsidRPr="004969DC">
              <w:rPr>
                <w:rFonts w:cs="Simplified Arabic" w:hint="cs"/>
                <w:sz w:val="20"/>
                <w:szCs w:val="22"/>
                <w:rtl/>
                <w:lang w:val="en-CA"/>
              </w:rPr>
              <w:t>و</w:t>
            </w:r>
            <w:r w:rsidRPr="004969DC">
              <w:rPr>
                <w:rFonts w:cs="Simplified Arabic"/>
                <w:sz w:val="20"/>
                <w:szCs w:val="22"/>
                <w:rtl/>
                <w:lang w:val="en-CA"/>
              </w:rPr>
              <w:t xml:space="preserve">تبلغ </w:t>
            </w:r>
            <w:r w:rsidRPr="004969DC">
              <w:rPr>
                <w:rFonts w:cs="Simplified Arabic" w:hint="cs"/>
                <w:sz w:val="20"/>
                <w:szCs w:val="22"/>
                <w:rtl/>
                <w:lang w:val="en-CA"/>
              </w:rPr>
              <w:t>مساحته</w:t>
            </w:r>
            <w:r w:rsidRPr="004969DC">
              <w:rPr>
                <w:rFonts w:cs="Simplified Arabic"/>
                <w:sz w:val="20"/>
                <w:szCs w:val="22"/>
                <w:rtl/>
                <w:lang w:val="en-CA"/>
              </w:rPr>
              <w:t xml:space="preserve"> البحرية الكلية 803 كيلومتر</w:t>
            </w:r>
            <w:r w:rsidRPr="004969DC">
              <w:rPr>
                <w:rFonts w:cs="Simplified Arabic" w:hint="cs"/>
                <w:sz w:val="20"/>
                <w:szCs w:val="22"/>
                <w:rtl/>
                <w:lang w:val="en-CA"/>
              </w:rPr>
              <w:t>اً</w:t>
            </w:r>
            <w:r w:rsidRPr="004969DC">
              <w:rPr>
                <w:rFonts w:cs="Simplified Arabic"/>
                <w:sz w:val="20"/>
                <w:szCs w:val="22"/>
                <w:rtl/>
                <w:lang w:val="en-CA"/>
              </w:rPr>
              <w:t xml:space="preserve"> مرب</w:t>
            </w:r>
            <w:r w:rsidRPr="004969DC">
              <w:rPr>
                <w:rFonts w:cs="Simplified Arabic" w:hint="cs"/>
                <w:sz w:val="20"/>
                <w:szCs w:val="22"/>
                <w:rtl/>
                <w:lang w:val="en-CA"/>
              </w:rPr>
              <w:t>عاً.</w:t>
            </w:r>
            <w:r w:rsidRPr="004969DC">
              <w:rPr>
                <w:rFonts w:cs="Simplified Arabic"/>
                <w:sz w:val="20"/>
                <w:szCs w:val="22"/>
                <w:lang w:val="en-CA" w:eastAsia="ar-SA"/>
              </w:rPr>
              <w:t xml:space="preserve"> </w:t>
            </w:r>
          </w:p>
          <w:p w:rsidR="000A5DEA" w:rsidRPr="004969DC" w:rsidRDefault="000A5DEA" w:rsidP="00CD26C5">
            <w:pPr>
              <w:pStyle w:val="ListBullet"/>
              <w:numPr>
                <w:ilvl w:val="0"/>
                <w:numId w:val="120"/>
              </w:numPr>
              <w:bidi/>
              <w:spacing w:line="204" w:lineRule="auto"/>
              <w:contextualSpacing w:val="0"/>
              <w:jc w:val="both"/>
              <w:rPr>
                <w:rFonts w:cs="Simplified Arabic"/>
                <w:sz w:val="20"/>
                <w:szCs w:val="22"/>
                <w:lang w:val="en-CA"/>
              </w:rPr>
            </w:pPr>
            <w:r w:rsidRPr="004969DC">
              <w:rPr>
                <w:rFonts w:eastAsia="MS Mincho" w:cs="Simplified Arabic"/>
                <w:sz w:val="20"/>
                <w:szCs w:val="22"/>
                <w:rtl/>
                <w:lang w:val="en-US" w:eastAsia="en-US"/>
              </w:rPr>
              <w:t>خليج تامان بحيرة</w:t>
            </w:r>
            <w:r w:rsidRPr="004969DC">
              <w:rPr>
                <w:rFonts w:eastAsia="MS Mincho" w:cs="Simplified Arabic" w:hint="cs"/>
                <w:sz w:val="20"/>
                <w:szCs w:val="22"/>
                <w:rtl/>
                <w:lang w:val="en-US" w:eastAsia="en-US"/>
              </w:rPr>
              <w:t xml:space="preserve"> شاطئية</w:t>
            </w:r>
            <w:r w:rsidRPr="004969DC">
              <w:rPr>
                <w:rFonts w:eastAsia="MS Mincho" w:cs="Simplified Arabic"/>
                <w:sz w:val="20"/>
                <w:szCs w:val="22"/>
                <w:rtl/>
                <w:lang w:val="en-US" w:eastAsia="en-US"/>
              </w:rPr>
              <w:t xml:space="preserve"> بحرية ضحلة </w:t>
            </w:r>
            <w:r w:rsidRPr="004969DC">
              <w:rPr>
                <w:rFonts w:eastAsia="MS Mincho" w:cs="Simplified Arabic" w:hint="cs"/>
                <w:sz w:val="20"/>
                <w:szCs w:val="22"/>
                <w:rtl/>
                <w:lang w:val="en-US" w:eastAsia="en-US"/>
              </w:rPr>
              <w:t>و</w:t>
            </w:r>
            <w:r w:rsidRPr="004969DC">
              <w:rPr>
                <w:rFonts w:eastAsia="MS Mincho" w:cs="Simplified Arabic"/>
                <w:sz w:val="20"/>
                <w:szCs w:val="22"/>
                <w:rtl/>
                <w:lang w:val="en-US" w:eastAsia="en-US"/>
              </w:rPr>
              <w:t xml:space="preserve">شبه مغلقة </w:t>
            </w:r>
            <w:r w:rsidRPr="004969DC">
              <w:rPr>
                <w:rFonts w:eastAsia="MS Mincho" w:cs="Simplified Arabic" w:hint="cs"/>
                <w:sz w:val="20"/>
                <w:szCs w:val="22"/>
                <w:rtl/>
                <w:lang w:val="en-US" w:eastAsia="en-US"/>
              </w:rPr>
              <w:t>ليس لها</w:t>
            </w:r>
            <w:r w:rsidRPr="004969DC">
              <w:rPr>
                <w:rFonts w:eastAsia="MS Mincho" w:cs="Simplified Arabic"/>
                <w:sz w:val="20"/>
                <w:szCs w:val="22"/>
                <w:rtl/>
                <w:lang w:val="en-US" w:eastAsia="en-US"/>
              </w:rPr>
              <w:t xml:space="preserve"> مصدر مستمر </w:t>
            </w:r>
            <w:r w:rsidRPr="004969DC">
              <w:rPr>
                <w:rFonts w:eastAsia="MS Mincho" w:cs="Simplified Arabic" w:hint="cs"/>
                <w:sz w:val="20"/>
                <w:szCs w:val="22"/>
                <w:rtl/>
                <w:lang w:val="en-US" w:eastAsia="en-US"/>
              </w:rPr>
              <w:t>للتدفق النهري</w:t>
            </w:r>
            <w:r w:rsidRPr="004969DC">
              <w:rPr>
                <w:rFonts w:eastAsia="MS Mincho" w:cs="Simplified Arabic"/>
                <w:sz w:val="20"/>
                <w:szCs w:val="22"/>
                <w:rtl/>
                <w:lang w:val="en-US" w:eastAsia="en-US"/>
              </w:rPr>
              <w:t xml:space="preserve">. وهي منطقة بحرية فريدة من نوعها </w:t>
            </w:r>
            <w:r w:rsidRPr="004969DC">
              <w:rPr>
                <w:rFonts w:eastAsia="MS Mincho" w:cs="Simplified Arabic" w:hint="cs"/>
                <w:sz w:val="20"/>
                <w:szCs w:val="22"/>
                <w:rtl/>
                <w:lang w:val="en-US" w:eastAsia="en-US"/>
              </w:rPr>
              <w:t xml:space="preserve">على </w:t>
            </w:r>
            <w:r w:rsidRPr="004969DC">
              <w:rPr>
                <w:rFonts w:eastAsia="MS Mincho" w:cs="Simplified Arabic"/>
                <w:sz w:val="20"/>
                <w:szCs w:val="22"/>
                <w:rtl/>
                <w:lang w:val="en-US" w:eastAsia="en-US"/>
              </w:rPr>
              <w:t xml:space="preserve">ساحل البحر الأسود الروسي </w:t>
            </w:r>
            <w:r w:rsidRPr="004969DC">
              <w:rPr>
                <w:rFonts w:eastAsia="MS Mincho" w:cs="Simplified Arabic" w:hint="cs"/>
                <w:sz w:val="20"/>
                <w:szCs w:val="22"/>
                <w:rtl/>
                <w:lang w:val="en-US" w:eastAsia="en-US"/>
              </w:rPr>
              <w:t>وساحل بحر</w:t>
            </w:r>
            <w:r w:rsidRPr="004969DC">
              <w:rPr>
                <w:rFonts w:eastAsia="MS Mincho" w:cs="Simplified Arabic"/>
                <w:sz w:val="20"/>
                <w:szCs w:val="22"/>
                <w:rtl/>
                <w:lang w:val="en-US" w:eastAsia="en-US"/>
              </w:rPr>
              <w:t xml:space="preserve"> آزوف، </w:t>
            </w:r>
            <w:r w:rsidRPr="004969DC">
              <w:rPr>
                <w:rFonts w:eastAsia="MS Mincho" w:cs="Simplified Arabic" w:hint="cs"/>
                <w:sz w:val="20"/>
                <w:szCs w:val="22"/>
                <w:rtl/>
                <w:lang w:val="en-US" w:eastAsia="en-US"/>
              </w:rPr>
              <w:t>وذات</w:t>
            </w:r>
            <w:r w:rsidRPr="004969DC">
              <w:rPr>
                <w:rFonts w:eastAsia="MS Mincho" w:cs="Simplified Arabic"/>
                <w:sz w:val="20"/>
                <w:szCs w:val="22"/>
                <w:rtl/>
                <w:lang w:val="en-US" w:eastAsia="en-US"/>
              </w:rPr>
              <w:t xml:space="preserve"> إنتاج أولي يعتمد على الأعشاب البحرية. </w:t>
            </w:r>
            <w:r w:rsidRPr="004969DC">
              <w:rPr>
                <w:rFonts w:eastAsia="MS Mincho" w:cs="Simplified Arabic" w:hint="cs"/>
                <w:sz w:val="20"/>
                <w:szCs w:val="22"/>
                <w:rtl/>
                <w:lang w:val="en-US" w:eastAsia="en-US"/>
              </w:rPr>
              <w:t>و</w:t>
            </w:r>
            <w:r w:rsidRPr="004969DC">
              <w:rPr>
                <w:rFonts w:eastAsia="MS Mincho" w:cs="Simplified Arabic"/>
                <w:sz w:val="20"/>
                <w:szCs w:val="22"/>
                <w:rtl/>
                <w:lang w:val="en-US" w:eastAsia="en-US"/>
              </w:rPr>
              <w:t xml:space="preserve">تختلف الكتلة </w:t>
            </w:r>
            <w:r w:rsidRPr="004969DC">
              <w:rPr>
                <w:rFonts w:eastAsia="MS Mincho" w:cs="Simplified Arabic" w:hint="cs"/>
                <w:sz w:val="20"/>
                <w:szCs w:val="22"/>
                <w:rtl/>
                <w:lang w:val="en-US" w:eastAsia="en-US"/>
              </w:rPr>
              <w:t xml:space="preserve">الأحيائية </w:t>
            </w:r>
            <w:r w:rsidRPr="004969DC">
              <w:rPr>
                <w:rFonts w:eastAsia="MS Mincho" w:cs="Simplified Arabic"/>
                <w:sz w:val="20"/>
                <w:szCs w:val="22"/>
                <w:rtl/>
                <w:lang w:val="en-US" w:eastAsia="en-US"/>
              </w:rPr>
              <w:t>للغطاء النباتي القاعي</w:t>
            </w:r>
            <w:r w:rsidRPr="004969DC">
              <w:rPr>
                <w:rFonts w:eastAsia="MS Mincho" w:cs="Simplified Arabic" w:hint="cs"/>
                <w:sz w:val="20"/>
                <w:szCs w:val="22"/>
                <w:rtl/>
                <w:lang w:val="en-US" w:eastAsia="en-US"/>
              </w:rPr>
              <w:t xml:space="preserve"> لخليج تامان</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اختلافاً شديداً</w:t>
            </w:r>
            <w:r w:rsidRPr="004969DC">
              <w:rPr>
                <w:rFonts w:eastAsia="MS Mincho" w:cs="Simplified Arabic"/>
                <w:sz w:val="20"/>
                <w:szCs w:val="22"/>
                <w:rtl/>
                <w:lang w:val="en-US" w:eastAsia="en-US"/>
              </w:rPr>
              <w:t xml:space="preserve"> ويمكن أن تتجاوز </w:t>
            </w:r>
            <w:r w:rsidRPr="004969DC">
              <w:rPr>
                <w:rFonts w:eastAsia="MS Mincho" w:cs="Simplified Arabic" w:hint="cs"/>
                <w:sz w:val="20"/>
                <w:szCs w:val="22"/>
                <w:rtl/>
                <w:lang w:val="en-US" w:eastAsia="en-US"/>
              </w:rPr>
              <w:t xml:space="preserve">000 5 </w:t>
            </w:r>
            <w:r w:rsidRPr="004969DC">
              <w:rPr>
                <w:rFonts w:eastAsia="MS Mincho" w:cs="Simplified Arabic"/>
                <w:sz w:val="20"/>
                <w:szCs w:val="22"/>
                <w:rtl/>
                <w:lang w:val="en-US" w:eastAsia="en-US"/>
              </w:rPr>
              <w:t>غ/م</w:t>
            </w:r>
            <w:r w:rsidRPr="004969DC">
              <w:rPr>
                <w:rFonts w:eastAsia="MS Mincho" w:cs="Simplified Arabic"/>
                <w:sz w:val="20"/>
                <w:szCs w:val="22"/>
                <w:vertAlign w:val="superscript"/>
                <w:rtl/>
                <w:lang w:val="en-US" w:eastAsia="en-US"/>
              </w:rPr>
              <w:t>2</w:t>
            </w:r>
            <w:r w:rsidRPr="004969DC">
              <w:rPr>
                <w:rFonts w:eastAsia="MS Mincho" w:cs="Simplified Arabic"/>
                <w:sz w:val="20"/>
                <w:szCs w:val="22"/>
                <w:rtl/>
                <w:lang w:val="en-US" w:eastAsia="en-US"/>
              </w:rPr>
              <w:t xml:space="preserve"> (الوزن الرطب)، في حين </w:t>
            </w:r>
            <w:r w:rsidRPr="004969DC">
              <w:rPr>
                <w:rFonts w:eastAsia="MS Mincho" w:cs="Simplified Arabic" w:hint="cs"/>
                <w:sz w:val="20"/>
                <w:szCs w:val="22"/>
                <w:rtl/>
                <w:lang w:val="en-US" w:eastAsia="en-US"/>
              </w:rPr>
              <w:t>تبلغ</w:t>
            </w:r>
            <w:r w:rsidRPr="004969DC">
              <w:rPr>
                <w:rFonts w:eastAsia="MS Mincho" w:cs="Simplified Arabic"/>
                <w:sz w:val="20"/>
                <w:szCs w:val="22"/>
                <w:rtl/>
                <w:lang w:val="en-US" w:eastAsia="en-US"/>
              </w:rPr>
              <w:t xml:space="preserve"> الكتلة ال</w:t>
            </w:r>
            <w:r w:rsidRPr="004969DC">
              <w:rPr>
                <w:rFonts w:eastAsia="MS Mincho" w:cs="Simplified Arabic" w:hint="cs"/>
                <w:sz w:val="20"/>
                <w:szCs w:val="22"/>
                <w:rtl/>
                <w:lang w:val="en-US" w:eastAsia="en-US"/>
              </w:rPr>
              <w:t>أحيائية</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للحيوانات القاعية الكبيرة</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500 1</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غ</w:t>
            </w:r>
            <w:r w:rsidRPr="004969DC">
              <w:rPr>
                <w:rFonts w:eastAsia="MS Mincho" w:cs="Simplified Arabic"/>
                <w:sz w:val="20"/>
                <w:szCs w:val="22"/>
                <w:rtl/>
                <w:lang w:val="en-US" w:eastAsia="en-US"/>
              </w:rPr>
              <w:t>/ م</w:t>
            </w:r>
            <w:r w:rsidRPr="004969DC">
              <w:rPr>
                <w:rFonts w:eastAsia="MS Mincho" w:cs="Simplified Arabic"/>
                <w:sz w:val="20"/>
                <w:szCs w:val="22"/>
                <w:vertAlign w:val="superscript"/>
                <w:rtl/>
                <w:lang w:val="en-US" w:eastAsia="en-US"/>
              </w:rPr>
              <w:t>2</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ويتوقف ما يصل 000 000 1 طائر</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في هذا</w:t>
            </w:r>
            <w:r w:rsidRPr="004969DC">
              <w:rPr>
                <w:rFonts w:eastAsia="MS Mincho" w:cs="Simplified Arabic"/>
                <w:sz w:val="20"/>
                <w:szCs w:val="22"/>
                <w:rtl/>
                <w:lang w:val="en-US" w:eastAsia="en-US"/>
              </w:rPr>
              <w:t xml:space="preserve"> الخليج خلال الهجرة الموسمية. </w:t>
            </w:r>
            <w:r w:rsidRPr="004969DC">
              <w:rPr>
                <w:rFonts w:eastAsia="MS Mincho" w:cs="Simplified Arabic" w:hint="cs"/>
                <w:sz w:val="20"/>
                <w:szCs w:val="22"/>
                <w:rtl/>
                <w:lang w:val="en-US" w:eastAsia="en-US"/>
              </w:rPr>
              <w:t>وتعتبر</w:t>
            </w:r>
            <w:r w:rsidRPr="004969DC">
              <w:rPr>
                <w:rFonts w:eastAsia="MS Mincho" w:cs="Simplified Arabic"/>
                <w:sz w:val="20"/>
                <w:szCs w:val="22"/>
                <w:rtl/>
                <w:lang w:val="en-US" w:eastAsia="en-US"/>
              </w:rPr>
              <w:t xml:space="preserve"> الأراضي الرطبة</w:t>
            </w:r>
            <w:r w:rsidRPr="004969DC">
              <w:rPr>
                <w:rFonts w:eastAsia="MS Mincho" w:cs="Simplified Arabic" w:hint="cs"/>
                <w:sz w:val="20"/>
                <w:szCs w:val="22"/>
                <w:rtl/>
                <w:lang w:val="en-US" w:eastAsia="en-US"/>
              </w:rPr>
              <w:t xml:space="preserve"> لخليج تامان</w:t>
            </w:r>
            <w:r w:rsidRPr="004969DC">
              <w:rPr>
                <w:rFonts w:eastAsia="MS Mincho" w:cs="Simplified Arabic"/>
                <w:sz w:val="20"/>
                <w:szCs w:val="22"/>
                <w:rtl/>
                <w:lang w:val="en-US" w:eastAsia="en-US"/>
              </w:rPr>
              <w:t xml:space="preserve"> </w:t>
            </w:r>
            <w:r w:rsidRPr="004969DC">
              <w:rPr>
                <w:rFonts w:eastAsia="MS Mincho" w:cs="Simplified Arabic" w:hint="cs"/>
                <w:sz w:val="20"/>
                <w:szCs w:val="22"/>
                <w:rtl/>
                <w:lang w:val="en-US" w:eastAsia="en-US"/>
              </w:rPr>
              <w:t>منطقة ت</w:t>
            </w:r>
            <w:r w:rsidRPr="004969DC">
              <w:rPr>
                <w:rFonts w:eastAsia="MS Mincho" w:cs="Simplified Arabic"/>
                <w:sz w:val="20"/>
                <w:szCs w:val="22"/>
                <w:rtl/>
                <w:lang w:val="en-US" w:eastAsia="en-US"/>
              </w:rPr>
              <w:t xml:space="preserve">شتية للعديد من أنواع الطيور المائية. </w:t>
            </w:r>
            <w:r w:rsidRPr="004969DC">
              <w:rPr>
                <w:rFonts w:eastAsia="MS Mincho" w:cs="Simplified Arabic" w:hint="cs"/>
                <w:sz w:val="20"/>
                <w:szCs w:val="22"/>
                <w:rtl/>
                <w:lang w:val="en-US" w:eastAsia="en-US"/>
              </w:rPr>
              <w:t>وللموقع</w:t>
            </w:r>
            <w:r w:rsidRPr="004969DC">
              <w:rPr>
                <w:rFonts w:eastAsia="MS Mincho" w:cs="Simplified Arabic"/>
                <w:sz w:val="20"/>
                <w:szCs w:val="22"/>
                <w:rtl/>
                <w:lang w:val="en-US" w:eastAsia="en-US"/>
              </w:rPr>
              <w:t xml:space="preserve"> قيمة كبيرة كمكان لتكاثر أنواع الطيور المائية المدرجة في الكتاب الأحمر للاتحاد الروسي ومقاطعة كراسنودار. </w:t>
            </w:r>
            <w:r w:rsidRPr="004969DC">
              <w:rPr>
                <w:rFonts w:eastAsia="MS Mincho" w:cs="Simplified Arabic" w:hint="cs"/>
                <w:sz w:val="20"/>
                <w:szCs w:val="22"/>
                <w:rtl/>
                <w:lang w:val="en-US" w:eastAsia="en-US"/>
              </w:rPr>
              <w:t>و</w:t>
            </w:r>
            <w:r w:rsidRPr="004969DC">
              <w:rPr>
                <w:rFonts w:eastAsia="MS Mincho" w:cs="Simplified Arabic"/>
                <w:sz w:val="20"/>
                <w:szCs w:val="22"/>
                <w:rtl/>
                <w:lang w:val="en-US" w:eastAsia="en-US"/>
              </w:rPr>
              <w:t>يظهر النظام ا</w:t>
            </w:r>
            <w:r w:rsidRPr="004969DC">
              <w:rPr>
                <w:rFonts w:eastAsia="MS Mincho" w:cs="Simplified Arabic" w:hint="cs"/>
                <w:sz w:val="20"/>
                <w:szCs w:val="22"/>
                <w:rtl/>
                <w:lang w:val="en-US" w:eastAsia="en-US"/>
              </w:rPr>
              <w:t>لإيكولوجي</w:t>
            </w:r>
            <w:r w:rsidRPr="004969DC">
              <w:rPr>
                <w:rFonts w:eastAsia="MS Mincho" w:cs="Simplified Arabic"/>
                <w:sz w:val="20"/>
                <w:szCs w:val="22"/>
                <w:rtl/>
                <w:lang w:val="en-US" w:eastAsia="en-US"/>
              </w:rPr>
              <w:t xml:space="preserve"> للخليج بعض المرونة ويحافظ على نظام شبه مستقر. </w:t>
            </w:r>
            <w:r w:rsidRPr="004969DC">
              <w:rPr>
                <w:rFonts w:eastAsia="MS Mincho" w:cs="Simplified Arabic" w:hint="cs"/>
                <w:sz w:val="20"/>
                <w:szCs w:val="22"/>
                <w:rtl/>
                <w:lang w:val="en-US" w:eastAsia="en-US"/>
              </w:rPr>
              <w:t>و</w:t>
            </w:r>
            <w:r w:rsidRPr="004969DC">
              <w:rPr>
                <w:rFonts w:eastAsia="MS Mincho" w:cs="Simplified Arabic"/>
                <w:sz w:val="20"/>
                <w:szCs w:val="22"/>
                <w:rtl/>
                <w:lang w:val="en-US" w:eastAsia="en-US"/>
              </w:rPr>
              <w:t>يعتبر مضيق كيرتش</w:t>
            </w:r>
            <w:r w:rsidRPr="004969DC">
              <w:rPr>
                <w:rFonts w:eastAsia="MS Mincho" w:cs="Simplified Arabic" w:hint="cs"/>
                <w:sz w:val="20"/>
                <w:szCs w:val="22"/>
                <w:rtl/>
                <w:lang w:val="en-US" w:eastAsia="en-US"/>
              </w:rPr>
              <w:t xml:space="preserve"> المتاخم</w:t>
            </w:r>
            <w:r w:rsidRPr="004969DC">
              <w:rPr>
                <w:rFonts w:eastAsia="MS Mincho" w:cs="Simplified Arabic"/>
                <w:sz w:val="20"/>
                <w:szCs w:val="22"/>
                <w:rtl/>
                <w:lang w:val="en-US" w:eastAsia="en-US"/>
              </w:rPr>
              <w:t xml:space="preserve"> م</w:t>
            </w:r>
            <w:r w:rsidRPr="004969DC">
              <w:rPr>
                <w:rFonts w:eastAsia="MS Mincho" w:cs="Simplified Arabic" w:hint="cs"/>
                <w:sz w:val="20"/>
                <w:szCs w:val="22"/>
                <w:rtl/>
                <w:lang w:val="en-US" w:eastAsia="en-US"/>
              </w:rPr>
              <w:t>سار هجرة</w:t>
            </w:r>
            <w:r w:rsidRPr="004969DC">
              <w:rPr>
                <w:rFonts w:eastAsia="MS Mincho" w:cs="Simplified Arabic"/>
                <w:sz w:val="20"/>
                <w:szCs w:val="22"/>
                <w:rtl/>
                <w:lang w:val="en-US" w:eastAsia="en-US"/>
              </w:rPr>
              <w:t xml:space="preserve"> هام لل</w:t>
            </w:r>
            <w:r w:rsidRPr="004969DC">
              <w:rPr>
                <w:rFonts w:eastAsia="MS Mincho" w:cs="Simplified Arabic" w:hint="cs"/>
                <w:sz w:val="20"/>
                <w:szCs w:val="22"/>
                <w:rtl/>
                <w:lang w:val="en-US" w:eastAsia="en-US"/>
              </w:rPr>
              <w:t>كائنات الحية</w:t>
            </w:r>
            <w:r w:rsidRPr="004969DC">
              <w:rPr>
                <w:rFonts w:eastAsia="MS Mincho" w:cs="Simplified Arabic"/>
                <w:sz w:val="20"/>
                <w:szCs w:val="22"/>
                <w:rtl/>
                <w:lang w:val="en-US" w:eastAsia="en-US"/>
              </w:rPr>
              <w:t xml:space="preserve"> البحرية، بما في ذلك أنواع مختلفة من الأسماك</w:t>
            </w:r>
            <w:r w:rsidRPr="004969DC">
              <w:rPr>
                <w:rFonts w:eastAsia="MS Mincho" w:cs="Simplified Arabic" w:hint="cs"/>
                <w:sz w:val="20"/>
                <w:szCs w:val="22"/>
                <w:rtl/>
                <w:lang w:val="en-US" w:eastAsia="en-US"/>
              </w:rPr>
              <w:t>،</w:t>
            </w:r>
            <w:r w:rsidRPr="004969DC">
              <w:rPr>
                <w:rFonts w:eastAsia="MS Mincho" w:cs="Simplified Arabic"/>
                <w:sz w:val="20"/>
                <w:szCs w:val="22"/>
                <w:rtl/>
                <w:lang w:val="en-US" w:eastAsia="en-US"/>
              </w:rPr>
              <w:t xml:space="preserve"> بالإضافة إلى نوعين من الحيتان</w:t>
            </w:r>
            <w:r w:rsidRPr="004969DC">
              <w:rPr>
                <w:rFonts w:eastAsia="MS Mincho" w:cs="Simplified Arabic" w:hint="cs"/>
                <w:sz w:val="20"/>
                <w:szCs w:val="22"/>
                <w:rtl/>
                <w:lang w:val="en-US" w:eastAsia="en-US"/>
              </w:rPr>
              <w:t>يات</w:t>
            </w:r>
            <w:r w:rsidRPr="004969DC">
              <w:rPr>
                <w:rFonts w:eastAsia="MS Mincho" w:cs="Simplified Arabic"/>
                <w:sz w:val="20"/>
                <w:szCs w:val="22"/>
                <w:rtl/>
                <w:lang w:val="en-US" w:eastAsia="en-US"/>
              </w:rPr>
              <w:t xml:space="preserve"> وخنازير البحر</w:t>
            </w:r>
            <w:r w:rsidRPr="004969DC">
              <w:rPr>
                <w:rFonts w:eastAsia="MS Mincho" w:cs="Simplified Arabic" w:hint="cs"/>
                <w:sz w:val="20"/>
                <w:szCs w:val="22"/>
                <w:rtl/>
                <w:lang w:val="en-US" w:eastAsia="en-US"/>
              </w:rPr>
              <w:t xml:space="preserve"> الشائعة</w:t>
            </w:r>
            <w:r w:rsidRPr="004969DC">
              <w:rPr>
                <w:rFonts w:eastAsia="MS Mincho" w:cs="Simplified Arabic"/>
                <w:sz w:val="20"/>
                <w:szCs w:val="22"/>
                <w:rtl/>
                <w:lang w:val="en-US" w:eastAsia="en-US"/>
              </w:rPr>
              <w:t xml:space="preserve"> (</w:t>
            </w:r>
            <w:r w:rsidRPr="004969DC">
              <w:rPr>
                <w:rFonts w:eastAsia="MS Mincho" w:cs="Simplified Arabic"/>
                <w:i/>
                <w:iCs/>
                <w:sz w:val="20"/>
                <w:szCs w:val="22"/>
                <w:lang w:val="en-US" w:eastAsia="en-US"/>
              </w:rPr>
              <w:t>Phocoena phocoena relicta</w:t>
            </w:r>
            <w:r w:rsidRPr="004969DC">
              <w:rPr>
                <w:rFonts w:eastAsia="MS Mincho" w:cs="Simplified Arabic"/>
                <w:sz w:val="20"/>
                <w:szCs w:val="22"/>
                <w:rtl/>
                <w:lang w:val="en-US" w:eastAsia="en-US"/>
              </w:rPr>
              <w:t>) والدلافين القارورية</w:t>
            </w:r>
            <w:r w:rsidRPr="004969DC">
              <w:rPr>
                <w:rFonts w:eastAsia="MS Mincho" w:cs="Simplified Arabic" w:hint="cs"/>
                <w:sz w:val="20"/>
                <w:szCs w:val="22"/>
                <w:rtl/>
                <w:lang w:val="en-US" w:eastAsia="en-US"/>
              </w:rPr>
              <w:t xml:space="preserve"> الأنف</w:t>
            </w:r>
            <w:r w:rsidRPr="004969DC">
              <w:rPr>
                <w:rFonts w:eastAsia="MS Mincho" w:cs="Simplified Arabic"/>
                <w:sz w:val="20"/>
                <w:szCs w:val="22"/>
                <w:rtl/>
                <w:lang w:val="en-US" w:eastAsia="en-US"/>
              </w:rPr>
              <w:t xml:space="preserve"> (</w:t>
            </w:r>
            <w:r w:rsidRPr="004969DC">
              <w:rPr>
                <w:rFonts w:eastAsia="MS Mincho" w:cs="Simplified Arabic"/>
                <w:i/>
                <w:iCs/>
                <w:sz w:val="20"/>
                <w:szCs w:val="22"/>
                <w:lang w:val="en-US" w:eastAsia="en-US"/>
              </w:rPr>
              <w:t>Tursiops truncates ponticus</w:t>
            </w:r>
            <w:r w:rsidRPr="004969DC">
              <w:rPr>
                <w:rFonts w:eastAsia="MS Mincho" w:cs="Simplified Arabic"/>
                <w:sz w:val="20"/>
                <w:szCs w:val="22"/>
                <w:rtl/>
                <w:lang w:val="en-US" w:eastAsia="en-US"/>
              </w:rPr>
              <w:t>).</w:t>
            </w:r>
          </w:p>
          <w:p w:rsidR="004B128E" w:rsidRPr="004969DC" w:rsidRDefault="004B128E" w:rsidP="004969DC">
            <w:pPr>
              <w:pStyle w:val="ListBullet"/>
              <w:numPr>
                <w:ilvl w:val="0"/>
                <w:numId w:val="0"/>
              </w:numPr>
              <w:bidi/>
              <w:spacing w:line="204" w:lineRule="auto"/>
              <w:ind w:left="360"/>
              <w:contextualSpacing w:val="0"/>
              <w:jc w:val="both"/>
              <w:rPr>
                <w:rFonts w:cs="Simplified Arabic"/>
                <w:sz w:val="20"/>
                <w:szCs w:val="22"/>
                <w:lang w:val="en-CA"/>
              </w:rPr>
            </w:pP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L</w:t>
            </w:r>
          </w:p>
        </w:tc>
        <w:tc>
          <w:tcPr>
            <w:tcW w:w="507" w:type="dxa"/>
            <w:vAlign w:val="center"/>
          </w:tcPr>
          <w:p w:rsidR="000A5DEA" w:rsidRPr="00E2695B" w:rsidRDefault="000A5DEA" w:rsidP="000A5DEA">
            <w:pPr>
              <w:snapToGrid w:val="0"/>
              <w:jc w:val="cente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napToGrid w:val="0"/>
              <w:spacing w:after="0" w:line="204" w:lineRule="auto"/>
              <w:rPr>
                <w:bCs/>
                <w:sz w:val="20"/>
                <w:szCs w:val="22"/>
              </w:rPr>
            </w:pPr>
            <w:r w:rsidRPr="004969DC">
              <w:rPr>
                <w:rFonts w:hint="cs"/>
                <w:bCs/>
                <w:sz w:val="20"/>
                <w:szCs w:val="22"/>
                <w:rtl/>
              </w:rPr>
              <w:lastRenderedPageBreak/>
              <w:t xml:space="preserve">11- </w:t>
            </w:r>
            <w:r w:rsidRPr="004969DC">
              <w:rPr>
                <w:bCs/>
                <w:sz w:val="20"/>
                <w:szCs w:val="22"/>
                <w:rtl/>
              </w:rPr>
              <w:t>الجزء الشمالي من ساحل البحر الأسود القوقازي</w:t>
            </w:r>
          </w:p>
          <w:p w:rsidR="000A5DEA" w:rsidRPr="00366E36" w:rsidRDefault="000A5DEA" w:rsidP="00CD26C5">
            <w:pPr>
              <w:pStyle w:val="ListParagraph"/>
              <w:numPr>
                <w:ilvl w:val="0"/>
                <w:numId w:val="121"/>
              </w:numPr>
              <w:bidi/>
              <w:spacing w:after="0" w:line="204" w:lineRule="auto"/>
              <w:rPr>
                <w:rFonts w:cs="Simplified Arabic"/>
                <w:color w:val="000000"/>
                <w:sz w:val="20"/>
                <w:szCs w:val="22"/>
                <w:lang w:val="en-US"/>
              </w:rPr>
            </w:pPr>
            <w:r w:rsidRPr="004969DC">
              <w:rPr>
                <w:rFonts w:cs="Simplified Arabic"/>
                <w:color w:val="000000"/>
                <w:sz w:val="20"/>
                <w:szCs w:val="22"/>
                <w:rtl/>
                <w:lang w:val="en-CA"/>
              </w:rPr>
              <w:t>الموقع: تضم</w:t>
            </w:r>
            <w:r w:rsidRPr="004969DC">
              <w:rPr>
                <w:rFonts w:cs="Simplified Arabic" w:hint="cs"/>
                <w:color w:val="000000"/>
                <w:sz w:val="20"/>
                <w:szCs w:val="22"/>
                <w:rtl/>
                <w:lang w:val="en-CA"/>
              </w:rPr>
              <w:t xml:space="preserve"> هذه</w:t>
            </w:r>
            <w:r w:rsidRPr="004969DC">
              <w:rPr>
                <w:rFonts w:cs="Simplified Arabic"/>
                <w:color w:val="000000"/>
                <w:sz w:val="20"/>
                <w:szCs w:val="22"/>
                <w:rtl/>
                <w:lang w:val="en-CA"/>
              </w:rPr>
              <w:t xml:space="preserve"> المنطقة</w:t>
            </w:r>
            <w:r w:rsidRPr="004969DC">
              <w:rPr>
                <w:rFonts w:cs="Simplified Arabic" w:hint="cs"/>
                <w:color w:val="000000"/>
                <w:sz w:val="20"/>
                <w:szCs w:val="22"/>
                <w:rtl/>
                <w:lang w:val="en-CA"/>
              </w:rPr>
              <w:t xml:space="preserve"> في مجالها المنطقة</w:t>
            </w:r>
            <w:r w:rsidRPr="004969DC">
              <w:rPr>
                <w:rFonts w:cs="Simplified Arabic"/>
                <w:color w:val="000000"/>
                <w:sz w:val="20"/>
                <w:szCs w:val="22"/>
                <w:rtl/>
                <w:lang w:val="en-CA"/>
              </w:rPr>
              <w:t xml:space="preserve"> الساحلية</w:t>
            </w:r>
            <w:r w:rsidRPr="004969DC">
              <w:rPr>
                <w:rFonts w:cs="Simplified Arabic" w:hint="cs"/>
                <w:color w:val="000000"/>
                <w:sz w:val="20"/>
                <w:szCs w:val="22"/>
                <w:rtl/>
                <w:lang w:val="en-CA"/>
              </w:rPr>
              <w:t xml:space="preserve"> الواقعة</w:t>
            </w:r>
            <w:r w:rsidRPr="004969DC">
              <w:rPr>
                <w:rFonts w:cs="Simplified Arabic"/>
                <w:color w:val="000000"/>
                <w:sz w:val="20"/>
                <w:szCs w:val="22"/>
                <w:rtl/>
                <w:lang w:val="en-CA"/>
              </w:rPr>
              <w:t xml:space="preserve"> على الساحل الشمالي الشرقي للبحر الأسود (</w:t>
            </w:r>
            <w:r w:rsidRPr="004969DC">
              <w:rPr>
                <w:rFonts w:cs="Simplified Arabic" w:hint="cs"/>
                <w:color w:val="000000"/>
                <w:sz w:val="20"/>
                <w:szCs w:val="22"/>
                <w:rtl/>
                <w:lang w:val="en-CA"/>
              </w:rPr>
              <w:t>562 2</w:t>
            </w:r>
            <w:r w:rsidRPr="004969DC">
              <w:rPr>
                <w:rFonts w:cs="Simplified Arabic"/>
                <w:color w:val="000000"/>
                <w:sz w:val="20"/>
                <w:szCs w:val="22"/>
                <w:rtl/>
                <w:lang w:val="en-CA"/>
              </w:rPr>
              <w:t xml:space="preserve"> كيلومتر</w:t>
            </w:r>
            <w:r w:rsidRPr="004969DC">
              <w:rPr>
                <w:rFonts w:cs="Simplified Arabic" w:hint="cs"/>
                <w:color w:val="000000"/>
                <w:sz w:val="20"/>
                <w:szCs w:val="22"/>
                <w:rtl/>
                <w:lang w:val="en-CA"/>
              </w:rPr>
              <w:t>اً</w:t>
            </w:r>
            <w:r w:rsidRPr="004969DC">
              <w:rPr>
                <w:rFonts w:cs="Simplified Arabic"/>
                <w:color w:val="000000"/>
                <w:sz w:val="20"/>
                <w:szCs w:val="22"/>
                <w:rtl/>
                <w:lang w:val="en-CA"/>
              </w:rPr>
              <w:t xml:space="preserve"> مربع</w:t>
            </w:r>
            <w:r w:rsidRPr="004969DC">
              <w:rPr>
                <w:rFonts w:cs="Simplified Arabic" w:hint="cs"/>
                <w:color w:val="000000"/>
                <w:sz w:val="20"/>
                <w:szCs w:val="22"/>
                <w:rtl/>
                <w:lang w:val="en-CA"/>
              </w:rPr>
              <w:t>اً</w:t>
            </w:r>
            <w:r w:rsidRPr="004969DC">
              <w:rPr>
                <w:rFonts w:cs="Simplified Arabic"/>
                <w:color w:val="000000"/>
                <w:sz w:val="20"/>
                <w:szCs w:val="22"/>
                <w:rtl/>
                <w:lang w:val="en-CA"/>
              </w:rPr>
              <w:t xml:space="preserve">). </w:t>
            </w:r>
            <w:r w:rsidRPr="004969DC">
              <w:rPr>
                <w:rFonts w:cs="Simplified Arabic" w:hint="cs"/>
                <w:color w:val="000000"/>
                <w:sz w:val="20"/>
                <w:szCs w:val="22"/>
                <w:rtl/>
                <w:lang w:val="en-CA"/>
              </w:rPr>
              <w:t xml:space="preserve">وتمتد </w:t>
            </w:r>
            <w:r w:rsidRPr="004969DC">
              <w:rPr>
                <w:rFonts w:cs="Simplified Arabic"/>
                <w:color w:val="000000"/>
                <w:sz w:val="20"/>
                <w:szCs w:val="22"/>
                <w:rtl/>
                <w:lang w:val="en-CA"/>
              </w:rPr>
              <w:t>حدودها الغربية من قرية فولنا، وت</w:t>
            </w:r>
            <w:r w:rsidRPr="004969DC">
              <w:rPr>
                <w:rFonts w:cs="Simplified Arabic" w:hint="cs"/>
                <w:color w:val="000000"/>
                <w:sz w:val="20"/>
                <w:szCs w:val="22"/>
                <w:rtl/>
                <w:lang w:val="en-CA"/>
              </w:rPr>
              <w:t>جتاز</w:t>
            </w:r>
            <w:r w:rsidRPr="004969DC">
              <w:rPr>
                <w:rFonts w:cs="Simplified Arabic"/>
                <w:color w:val="000000"/>
                <w:sz w:val="20"/>
                <w:szCs w:val="22"/>
                <w:rtl/>
                <w:lang w:val="en-CA"/>
              </w:rPr>
              <w:t xml:space="preserve"> الشاطئ غرب </w:t>
            </w:r>
            <w:r w:rsidRPr="004969DC">
              <w:rPr>
                <w:rFonts w:cs="Simplified Arabic" w:hint="cs"/>
                <w:color w:val="000000"/>
                <w:sz w:val="20"/>
                <w:szCs w:val="22"/>
                <w:rtl/>
                <w:lang w:val="en-CA"/>
              </w:rPr>
              <w:t>مصب</w:t>
            </w:r>
            <w:r w:rsidRPr="004969DC">
              <w:rPr>
                <w:rFonts w:cs="Simplified Arabic"/>
                <w:color w:val="000000"/>
                <w:sz w:val="20"/>
                <w:szCs w:val="22"/>
                <w:rtl/>
                <w:lang w:val="en-CA"/>
              </w:rPr>
              <w:t xml:space="preserve"> النهر في قرية أركيبو-أوسيبوفكا (45°</w:t>
            </w:r>
            <w:r w:rsidRPr="004969DC">
              <w:rPr>
                <w:rFonts w:cs="Simplified Arabic" w:hint="cs"/>
                <w:color w:val="000000"/>
                <w:sz w:val="20"/>
                <w:szCs w:val="22"/>
                <w:rtl/>
                <w:lang w:val="en-CA"/>
              </w:rPr>
              <w:t xml:space="preserve"> 6</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شمالاً و36</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43</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شرقاً</w:t>
            </w:r>
            <w:r w:rsidRPr="004969DC">
              <w:rPr>
                <w:rFonts w:cs="Simplified Arabic"/>
                <w:color w:val="000000"/>
                <w:sz w:val="20"/>
                <w:szCs w:val="22"/>
                <w:rtl/>
                <w:lang w:val="en-CA"/>
              </w:rPr>
              <w:t xml:space="preserve"> إلى حوالي 4</w:t>
            </w:r>
            <w:r w:rsidRPr="004969DC">
              <w:rPr>
                <w:rFonts w:cs="Simplified Arabic" w:hint="cs"/>
                <w:color w:val="000000"/>
                <w:sz w:val="20"/>
                <w:szCs w:val="22"/>
                <w:rtl/>
                <w:lang w:val="en-CA"/>
              </w:rPr>
              <w:t>4</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30</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شمالاً و36</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51</w:t>
            </w:r>
            <w:r w:rsidRPr="004969DC">
              <w:rPr>
                <w:rFonts w:cs="Simplified Arabic"/>
                <w:color w:val="000000"/>
                <w:sz w:val="20"/>
                <w:szCs w:val="22"/>
                <w:rtl/>
                <w:lang w:val="en-CA"/>
              </w:rPr>
              <w:t>'</w:t>
            </w:r>
            <w:r w:rsidRPr="004969DC">
              <w:rPr>
                <w:rFonts w:cs="Simplified Arabic" w:hint="cs"/>
                <w:color w:val="000000"/>
                <w:sz w:val="20"/>
                <w:szCs w:val="22"/>
                <w:rtl/>
                <w:lang w:val="en-CA"/>
              </w:rPr>
              <w:t xml:space="preserve"> شرقاً</w:t>
            </w:r>
            <w:r w:rsidRPr="004969DC">
              <w:rPr>
                <w:rFonts w:cs="Simplified Arabic"/>
                <w:color w:val="000000"/>
                <w:sz w:val="20"/>
                <w:szCs w:val="22"/>
                <w:rtl/>
                <w:lang w:val="en-CA"/>
              </w:rPr>
              <w:t xml:space="preserve">). </w:t>
            </w:r>
            <w:r w:rsidRPr="004969DC">
              <w:rPr>
                <w:rFonts w:cs="Simplified Arabic" w:hint="cs"/>
                <w:color w:val="000000"/>
                <w:sz w:val="20"/>
                <w:szCs w:val="22"/>
                <w:rtl/>
                <w:lang w:val="en-CA"/>
              </w:rPr>
              <w:t>وتُعيّن</w:t>
            </w:r>
            <w:r w:rsidRPr="004969DC">
              <w:rPr>
                <w:rFonts w:cs="Simplified Arabic"/>
                <w:color w:val="000000"/>
                <w:sz w:val="20"/>
                <w:szCs w:val="22"/>
                <w:rtl/>
                <w:lang w:val="en-CA"/>
              </w:rPr>
              <w:t xml:space="preserve"> الحدود الجنوبية </w:t>
            </w:r>
            <w:r w:rsidRPr="004969DC">
              <w:rPr>
                <w:rFonts w:cs="Simplified Arabic" w:hint="cs"/>
                <w:color w:val="000000"/>
                <w:sz w:val="20"/>
                <w:szCs w:val="22"/>
                <w:rtl/>
                <w:lang w:val="en-CA"/>
              </w:rPr>
              <w:t>بخط</w:t>
            </w:r>
            <w:r w:rsidRPr="004969DC">
              <w:rPr>
                <w:rFonts w:cs="Simplified Arabic"/>
                <w:color w:val="000000"/>
                <w:sz w:val="20"/>
                <w:szCs w:val="22"/>
                <w:rtl/>
                <w:lang w:val="en-CA"/>
              </w:rPr>
              <w:t xml:space="preserve"> التساوي العمقي</w:t>
            </w:r>
            <w:r w:rsidRPr="004969DC">
              <w:rPr>
                <w:rFonts w:cs="Simplified Arabic" w:hint="cs"/>
                <w:color w:val="000000"/>
                <w:sz w:val="20"/>
                <w:szCs w:val="22"/>
                <w:rtl/>
                <w:lang w:val="en-CA"/>
              </w:rPr>
              <w:t xml:space="preserve"> عند</w:t>
            </w:r>
            <w:r w:rsidRPr="004969DC">
              <w:rPr>
                <w:rFonts w:cs="Simplified Arabic"/>
                <w:color w:val="000000"/>
                <w:sz w:val="20"/>
                <w:szCs w:val="22"/>
                <w:rtl/>
                <w:lang w:val="en-CA"/>
              </w:rPr>
              <w:t xml:space="preserve"> 200 متر. </w:t>
            </w:r>
            <w:r w:rsidRPr="004969DC">
              <w:rPr>
                <w:rFonts w:cs="Simplified Arabic" w:hint="cs"/>
                <w:color w:val="000000"/>
                <w:sz w:val="20"/>
                <w:szCs w:val="22"/>
                <w:rtl/>
                <w:lang w:val="en-CA"/>
              </w:rPr>
              <w:t xml:space="preserve">وتبلغ </w:t>
            </w:r>
            <w:r w:rsidRPr="004969DC">
              <w:rPr>
                <w:rFonts w:cs="Simplified Arabic"/>
                <w:color w:val="000000"/>
                <w:sz w:val="20"/>
                <w:szCs w:val="22"/>
                <w:rtl/>
                <w:lang w:val="en-CA"/>
              </w:rPr>
              <w:t xml:space="preserve">الحدود الشمالية </w:t>
            </w:r>
            <w:r w:rsidRPr="004969DC">
              <w:rPr>
                <w:rFonts w:cs="Simplified Arabic" w:hint="cs"/>
                <w:color w:val="000000"/>
                <w:sz w:val="20"/>
                <w:szCs w:val="22"/>
                <w:rtl/>
                <w:lang w:val="en-CA"/>
              </w:rPr>
              <w:t>بوجه عام</w:t>
            </w:r>
            <w:r w:rsidRPr="004969DC">
              <w:rPr>
                <w:rFonts w:cs="Simplified Arabic"/>
                <w:color w:val="000000"/>
                <w:sz w:val="20"/>
                <w:szCs w:val="22"/>
                <w:rtl/>
                <w:lang w:val="en-CA"/>
              </w:rPr>
              <w:t xml:space="preserve"> الخط الساحلي و</w:t>
            </w:r>
            <w:r w:rsidRPr="004969DC">
              <w:rPr>
                <w:rFonts w:cs="Simplified Arabic" w:hint="cs"/>
                <w:color w:val="000000"/>
                <w:sz w:val="20"/>
                <w:szCs w:val="22"/>
                <w:rtl/>
                <w:lang w:val="en-CA"/>
              </w:rPr>
              <w:t>تتضمن</w:t>
            </w:r>
            <w:r w:rsidRPr="004969DC">
              <w:rPr>
                <w:rFonts w:cs="Simplified Arabic"/>
                <w:color w:val="000000"/>
                <w:sz w:val="20"/>
                <w:szCs w:val="22"/>
                <w:rtl/>
                <w:lang w:val="en-CA"/>
              </w:rPr>
              <w:t xml:space="preserve"> أيضا</w:t>
            </w:r>
            <w:r w:rsidRPr="004969DC">
              <w:rPr>
                <w:rFonts w:cs="Simplified Arabic" w:hint="cs"/>
                <w:color w:val="000000"/>
                <w:sz w:val="20"/>
                <w:szCs w:val="22"/>
                <w:rtl/>
                <w:lang w:val="en-CA"/>
              </w:rPr>
              <w:t>ً بوغازسكيي، وكيزيلتاشسكي، وفيتجازيفسكي ليمانز</w:t>
            </w:r>
            <w:r w:rsidRPr="004969DC">
              <w:rPr>
                <w:rFonts w:cs="Simplified Arabic"/>
                <w:color w:val="000000"/>
                <w:sz w:val="20"/>
                <w:szCs w:val="22"/>
                <w:rtl/>
                <w:lang w:val="en-CA"/>
              </w:rPr>
              <w:t xml:space="preserve"> (بحيرات</w:t>
            </w:r>
            <w:r w:rsidRPr="004969DC">
              <w:rPr>
                <w:rFonts w:cs="Simplified Arabic" w:hint="cs"/>
                <w:color w:val="000000"/>
                <w:sz w:val="20"/>
                <w:szCs w:val="22"/>
                <w:rtl/>
                <w:lang w:val="en-CA"/>
              </w:rPr>
              <w:t xml:space="preserve"> شاطئية</w:t>
            </w:r>
            <w:r w:rsidRPr="004969DC">
              <w:rPr>
                <w:rFonts w:cs="Simplified Arabic"/>
                <w:color w:val="000000"/>
                <w:sz w:val="20"/>
                <w:szCs w:val="22"/>
                <w:rtl/>
                <w:lang w:val="en-CA"/>
              </w:rPr>
              <w:t>)، ولكن</w:t>
            </w:r>
            <w:r w:rsidRPr="004969DC">
              <w:rPr>
                <w:rFonts w:cs="Simplified Arabic" w:hint="cs"/>
                <w:color w:val="000000"/>
                <w:sz w:val="20"/>
                <w:szCs w:val="22"/>
                <w:rtl/>
                <w:lang w:val="en-CA"/>
              </w:rPr>
              <w:t>ها</w:t>
            </w:r>
            <w:r w:rsidRPr="004969DC">
              <w:rPr>
                <w:rFonts w:cs="Simplified Arabic"/>
                <w:color w:val="000000"/>
                <w:sz w:val="20"/>
                <w:szCs w:val="22"/>
                <w:rtl/>
                <w:lang w:val="en-CA"/>
              </w:rPr>
              <w:t xml:space="preserve"> لا </w:t>
            </w:r>
            <w:r w:rsidRPr="004969DC">
              <w:rPr>
                <w:rFonts w:cs="Simplified Arabic" w:hint="cs"/>
                <w:color w:val="000000"/>
                <w:sz w:val="20"/>
                <w:szCs w:val="22"/>
                <w:rtl/>
                <w:lang w:val="en-CA"/>
              </w:rPr>
              <w:t>تتضمن</w:t>
            </w:r>
            <w:r w:rsidRPr="004969DC">
              <w:rPr>
                <w:rFonts w:cs="Simplified Arabic"/>
                <w:color w:val="000000"/>
                <w:sz w:val="20"/>
                <w:szCs w:val="22"/>
                <w:rtl/>
                <w:lang w:val="en-CA"/>
              </w:rPr>
              <w:t xml:space="preserve"> خليج</w:t>
            </w:r>
            <w:r w:rsidRPr="004969DC">
              <w:rPr>
                <w:rFonts w:cs="Simplified Arabic" w:hint="cs"/>
                <w:color w:val="000000"/>
                <w:sz w:val="20"/>
                <w:szCs w:val="22"/>
                <w:rtl/>
                <w:lang w:val="en-CA"/>
              </w:rPr>
              <w:t xml:space="preserve"> نوفوروسييسك (تسيميس).</w:t>
            </w:r>
            <w:r w:rsidRPr="004969DC">
              <w:rPr>
                <w:rFonts w:cs="Simplified Arabic"/>
                <w:color w:val="000000"/>
                <w:sz w:val="20"/>
                <w:szCs w:val="22"/>
                <w:rtl/>
                <w:lang w:val="en-CA"/>
              </w:rPr>
              <w:t xml:space="preserve"> </w:t>
            </w:r>
          </w:p>
          <w:p w:rsidR="000A5DEA" w:rsidRPr="004969DC" w:rsidRDefault="000A5DEA" w:rsidP="00CD26C5">
            <w:pPr>
              <w:numPr>
                <w:ilvl w:val="0"/>
                <w:numId w:val="121"/>
              </w:numPr>
              <w:spacing w:after="0" w:line="204" w:lineRule="auto"/>
              <w:rPr>
                <w:sz w:val="20"/>
                <w:szCs w:val="22"/>
              </w:rPr>
            </w:pPr>
            <w:r w:rsidRPr="004969DC">
              <w:rPr>
                <w:rFonts w:hint="cs"/>
                <w:sz w:val="20"/>
                <w:szCs w:val="22"/>
                <w:rtl/>
                <w:lang w:val="en-CA"/>
              </w:rPr>
              <w:t xml:space="preserve">تشكل هذه </w:t>
            </w:r>
            <w:r w:rsidRPr="004969DC">
              <w:rPr>
                <w:sz w:val="20"/>
                <w:szCs w:val="22"/>
                <w:rtl/>
                <w:lang w:val="en-CA"/>
              </w:rPr>
              <w:t>المنطقة جزء</w:t>
            </w:r>
            <w:r w:rsidRPr="004969DC">
              <w:rPr>
                <w:rFonts w:hint="cs"/>
                <w:sz w:val="20"/>
                <w:szCs w:val="22"/>
                <w:rtl/>
                <w:lang w:val="en-CA"/>
              </w:rPr>
              <w:t>اً</w:t>
            </w:r>
            <w:r w:rsidRPr="004969DC">
              <w:rPr>
                <w:sz w:val="20"/>
                <w:szCs w:val="22"/>
                <w:rtl/>
                <w:lang w:val="en-CA"/>
              </w:rPr>
              <w:t xml:space="preserve"> من الر</w:t>
            </w:r>
            <w:r w:rsidRPr="004969DC">
              <w:rPr>
                <w:rFonts w:hint="cs"/>
                <w:sz w:val="20"/>
                <w:szCs w:val="22"/>
                <w:rtl/>
                <w:lang w:val="en-CA"/>
              </w:rPr>
              <w:t>صيف</w:t>
            </w:r>
            <w:r w:rsidRPr="004969DC">
              <w:rPr>
                <w:sz w:val="20"/>
                <w:szCs w:val="22"/>
                <w:rtl/>
                <w:lang w:val="en-CA"/>
              </w:rPr>
              <w:t xml:space="preserve"> و</w:t>
            </w:r>
            <w:r w:rsidRPr="004969DC">
              <w:rPr>
                <w:rFonts w:hint="cs"/>
                <w:sz w:val="20"/>
                <w:szCs w:val="22"/>
                <w:rtl/>
                <w:lang w:val="en-CA"/>
              </w:rPr>
              <w:t>ال</w:t>
            </w:r>
            <w:r w:rsidRPr="004969DC">
              <w:rPr>
                <w:sz w:val="20"/>
                <w:szCs w:val="22"/>
                <w:rtl/>
                <w:lang w:val="en-CA"/>
              </w:rPr>
              <w:t xml:space="preserve">منحدر </w:t>
            </w:r>
            <w:r w:rsidRPr="004969DC">
              <w:rPr>
                <w:rFonts w:hint="cs"/>
                <w:sz w:val="20"/>
                <w:szCs w:val="22"/>
                <w:rtl/>
                <w:lang w:val="en-CA"/>
              </w:rPr>
              <w:t>الواقعين في الشمال الشرقي للبحر</w:t>
            </w:r>
            <w:r w:rsidRPr="004969DC">
              <w:rPr>
                <w:sz w:val="20"/>
                <w:szCs w:val="22"/>
                <w:rtl/>
                <w:lang w:val="en-CA"/>
              </w:rPr>
              <w:t xml:space="preserve"> الأسود، </w:t>
            </w:r>
            <w:r w:rsidRPr="004969DC">
              <w:rPr>
                <w:rFonts w:hint="cs"/>
                <w:sz w:val="20"/>
                <w:szCs w:val="22"/>
                <w:rtl/>
                <w:lang w:val="en-CA"/>
              </w:rPr>
              <w:t>وهي ضيقة</w:t>
            </w:r>
            <w:r w:rsidRPr="004969DC">
              <w:rPr>
                <w:sz w:val="20"/>
                <w:szCs w:val="22"/>
                <w:rtl/>
                <w:lang w:val="en-CA"/>
              </w:rPr>
              <w:t xml:space="preserve"> في الشرق و</w:t>
            </w:r>
            <w:r w:rsidRPr="004969DC">
              <w:rPr>
                <w:rFonts w:hint="cs"/>
                <w:sz w:val="20"/>
                <w:szCs w:val="22"/>
                <w:rtl/>
                <w:lang w:val="en-CA"/>
              </w:rPr>
              <w:t xml:space="preserve">متسعة </w:t>
            </w:r>
            <w:r w:rsidRPr="004969DC">
              <w:rPr>
                <w:sz w:val="20"/>
                <w:szCs w:val="22"/>
                <w:rtl/>
                <w:lang w:val="en-CA"/>
              </w:rPr>
              <w:t xml:space="preserve">نسبياً في الغرب إلى </w:t>
            </w:r>
            <w:r w:rsidRPr="004969DC">
              <w:rPr>
                <w:rFonts w:hint="cs"/>
                <w:sz w:val="20"/>
                <w:szCs w:val="22"/>
                <w:rtl/>
                <w:lang w:val="en-CA"/>
              </w:rPr>
              <w:t>غاية جنوب</w:t>
            </w:r>
            <w:r w:rsidRPr="004969DC">
              <w:rPr>
                <w:sz w:val="20"/>
                <w:szCs w:val="22"/>
                <w:rtl/>
                <w:lang w:val="en-CA"/>
              </w:rPr>
              <w:t xml:space="preserve"> مضيق كيرتش. و</w:t>
            </w:r>
            <w:r w:rsidRPr="004969DC">
              <w:rPr>
                <w:rFonts w:hint="cs"/>
                <w:sz w:val="20"/>
                <w:szCs w:val="22"/>
                <w:rtl/>
                <w:lang w:val="en-CA"/>
              </w:rPr>
              <w:t>تتضمن</w:t>
            </w:r>
            <w:r w:rsidRPr="004969DC">
              <w:rPr>
                <w:sz w:val="20"/>
                <w:szCs w:val="22"/>
                <w:rtl/>
                <w:lang w:val="en-CA"/>
              </w:rPr>
              <w:t xml:space="preserve"> أيضا</w:t>
            </w:r>
            <w:r w:rsidRPr="004969DC">
              <w:rPr>
                <w:rFonts w:hint="cs"/>
                <w:sz w:val="20"/>
                <w:szCs w:val="22"/>
                <w:rtl/>
                <w:lang w:val="en-CA"/>
              </w:rPr>
              <w:t>ً</w:t>
            </w:r>
            <w:r w:rsidRPr="004969DC">
              <w:rPr>
                <w:sz w:val="20"/>
                <w:szCs w:val="22"/>
                <w:rtl/>
                <w:lang w:val="en-CA"/>
              </w:rPr>
              <w:t xml:space="preserve"> بحيرات</w:t>
            </w:r>
            <w:r w:rsidRPr="004969DC">
              <w:rPr>
                <w:rFonts w:hint="cs"/>
                <w:sz w:val="20"/>
                <w:szCs w:val="22"/>
                <w:rtl/>
                <w:lang w:val="en-CA"/>
              </w:rPr>
              <w:t xml:space="preserve"> شاطئية </w:t>
            </w:r>
            <w:r w:rsidRPr="004969DC">
              <w:rPr>
                <w:sz w:val="20"/>
                <w:szCs w:val="22"/>
                <w:rtl/>
                <w:lang w:val="en-CA"/>
              </w:rPr>
              <w:t xml:space="preserve">ضحلة </w:t>
            </w:r>
            <w:r w:rsidRPr="004969DC">
              <w:rPr>
                <w:rFonts w:hint="cs"/>
                <w:sz w:val="20"/>
                <w:szCs w:val="22"/>
                <w:rtl/>
                <w:lang w:val="en-CA"/>
              </w:rPr>
              <w:t>كبيرة تمثل</w:t>
            </w:r>
            <w:r w:rsidRPr="004969DC">
              <w:rPr>
                <w:sz w:val="20"/>
                <w:szCs w:val="22"/>
                <w:rtl/>
                <w:lang w:val="en-CA"/>
              </w:rPr>
              <w:t xml:space="preserve"> بقايا دلتا باليو كوبان. </w:t>
            </w:r>
            <w:r w:rsidRPr="004969DC">
              <w:rPr>
                <w:rFonts w:hint="cs"/>
                <w:sz w:val="20"/>
                <w:szCs w:val="22"/>
                <w:rtl/>
                <w:lang w:val="en-CA"/>
              </w:rPr>
              <w:t>و</w:t>
            </w:r>
            <w:r w:rsidRPr="004969DC">
              <w:rPr>
                <w:sz w:val="20"/>
                <w:szCs w:val="22"/>
                <w:rtl/>
                <w:lang w:val="en-CA"/>
              </w:rPr>
              <w:t>توفر المنطقة ظروف</w:t>
            </w:r>
            <w:r w:rsidRPr="004969DC">
              <w:rPr>
                <w:rFonts w:hint="cs"/>
                <w:sz w:val="20"/>
                <w:szCs w:val="22"/>
                <w:rtl/>
                <w:lang w:val="en-CA"/>
              </w:rPr>
              <w:t>اً</w:t>
            </w:r>
            <w:r w:rsidRPr="004969DC">
              <w:rPr>
                <w:sz w:val="20"/>
                <w:szCs w:val="22"/>
                <w:rtl/>
                <w:lang w:val="en-CA"/>
              </w:rPr>
              <w:t xml:space="preserve"> جيدة </w:t>
            </w:r>
            <w:r w:rsidRPr="004969DC">
              <w:rPr>
                <w:rFonts w:hint="cs"/>
                <w:sz w:val="20"/>
                <w:szCs w:val="22"/>
                <w:rtl/>
                <w:lang w:val="en-CA"/>
              </w:rPr>
              <w:t>لنمو النباتات المائية الكبيرة</w:t>
            </w:r>
            <w:r w:rsidRPr="004969DC">
              <w:rPr>
                <w:sz w:val="20"/>
                <w:szCs w:val="22"/>
                <w:rtl/>
                <w:lang w:val="en-CA"/>
              </w:rPr>
              <w:t xml:space="preserve"> و</w:t>
            </w:r>
            <w:r w:rsidRPr="004969DC">
              <w:rPr>
                <w:rFonts w:hint="cs"/>
                <w:sz w:val="20"/>
                <w:szCs w:val="22"/>
                <w:rtl/>
                <w:lang w:val="en-CA"/>
              </w:rPr>
              <w:t>تتميز ب</w:t>
            </w:r>
            <w:r w:rsidRPr="004969DC">
              <w:rPr>
                <w:sz w:val="20"/>
                <w:szCs w:val="22"/>
                <w:rtl/>
                <w:lang w:val="en-CA"/>
              </w:rPr>
              <w:t>إنتاجي</w:t>
            </w:r>
            <w:r w:rsidRPr="004969DC">
              <w:rPr>
                <w:rFonts w:hint="cs"/>
                <w:sz w:val="20"/>
                <w:szCs w:val="22"/>
                <w:rtl/>
                <w:lang w:val="en-CA"/>
              </w:rPr>
              <w:t>تها</w:t>
            </w:r>
            <w:r w:rsidRPr="004969DC">
              <w:rPr>
                <w:sz w:val="20"/>
                <w:szCs w:val="22"/>
                <w:rtl/>
                <w:lang w:val="en-CA"/>
              </w:rPr>
              <w:t xml:space="preserve"> </w:t>
            </w:r>
            <w:r w:rsidRPr="004969DC">
              <w:rPr>
                <w:rFonts w:hint="cs"/>
                <w:sz w:val="20"/>
                <w:szCs w:val="22"/>
                <w:rtl/>
                <w:lang w:val="en-CA"/>
              </w:rPr>
              <w:t>ال</w:t>
            </w:r>
            <w:r w:rsidRPr="004969DC">
              <w:rPr>
                <w:sz w:val="20"/>
                <w:szCs w:val="22"/>
                <w:rtl/>
                <w:lang w:val="en-CA"/>
              </w:rPr>
              <w:t xml:space="preserve">عالية (على الرغم من </w:t>
            </w:r>
            <w:r w:rsidRPr="004969DC">
              <w:rPr>
                <w:rFonts w:hint="cs"/>
                <w:sz w:val="20"/>
                <w:szCs w:val="22"/>
                <w:rtl/>
                <w:lang w:val="en-CA"/>
              </w:rPr>
              <w:t>عدم بلوغها الحد الأقصى للإنتاج</w:t>
            </w:r>
            <w:r w:rsidRPr="004969DC">
              <w:rPr>
                <w:sz w:val="20"/>
                <w:szCs w:val="22"/>
                <w:rtl/>
                <w:lang w:val="en-CA"/>
              </w:rPr>
              <w:t xml:space="preserve">) على المستوى الإقليمي. </w:t>
            </w:r>
            <w:r w:rsidRPr="004969DC">
              <w:rPr>
                <w:rFonts w:hint="cs"/>
                <w:sz w:val="20"/>
                <w:szCs w:val="22"/>
                <w:rtl/>
                <w:lang w:val="en-CA"/>
              </w:rPr>
              <w:t>وتتصف</w:t>
            </w:r>
            <w:r w:rsidRPr="004969DC">
              <w:rPr>
                <w:sz w:val="20"/>
                <w:szCs w:val="22"/>
                <w:rtl/>
                <w:lang w:val="en-CA"/>
              </w:rPr>
              <w:t xml:space="preserve"> المنطقة </w:t>
            </w:r>
            <w:r w:rsidRPr="004969DC">
              <w:rPr>
                <w:rFonts w:hint="cs"/>
                <w:sz w:val="20"/>
                <w:szCs w:val="22"/>
                <w:rtl/>
                <w:lang w:val="en-CA"/>
              </w:rPr>
              <w:t>ب</w:t>
            </w:r>
            <w:r w:rsidRPr="004969DC">
              <w:rPr>
                <w:sz w:val="20"/>
                <w:szCs w:val="22"/>
                <w:rtl/>
                <w:lang w:val="en-CA"/>
              </w:rPr>
              <w:t xml:space="preserve">بعض السمات الفريدة والنادرة، </w:t>
            </w:r>
            <w:r w:rsidRPr="004969DC">
              <w:rPr>
                <w:rFonts w:hint="cs"/>
                <w:sz w:val="20"/>
                <w:szCs w:val="22"/>
                <w:rtl/>
                <w:lang w:val="en-CA"/>
              </w:rPr>
              <w:t>من قبيل المنصات الكربونية</w:t>
            </w:r>
            <w:r w:rsidRPr="004969DC">
              <w:rPr>
                <w:sz w:val="20"/>
                <w:szCs w:val="22"/>
                <w:rtl/>
                <w:lang w:val="en-CA"/>
              </w:rPr>
              <w:t xml:space="preserve"> </w:t>
            </w:r>
            <w:r w:rsidRPr="004969DC">
              <w:rPr>
                <w:rFonts w:hint="cs"/>
                <w:sz w:val="20"/>
                <w:szCs w:val="22"/>
                <w:rtl/>
                <w:lang w:val="en-CA"/>
              </w:rPr>
              <w:t>غير المألوفة</w:t>
            </w:r>
            <w:r w:rsidRPr="004969DC">
              <w:rPr>
                <w:sz w:val="20"/>
                <w:szCs w:val="22"/>
                <w:rtl/>
                <w:lang w:val="en-CA"/>
              </w:rPr>
              <w:t>، ولكنها</w:t>
            </w:r>
            <w:r w:rsidRPr="004969DC">
              <w:rPr>
                <w:rFonts w:hint="cs"/>
                <w:sz w:val="20"/>
                <w:szCs w:val="22"/>
                <w:rtl/>
                <w:lang w:val="en-CA"/>
              </w:rPr>
              <w:t xml:space="preserve"> تكون</w:t>
            </w:r>
            <w:r w:rsidRPr="004969DC">
              <w:rPr>
                <w:sz w:val="20"/>
                <w:szCs w:val="22"/>
                <w:rtl/>
                <w:lang w:val="en-CA"/>
              </w:rPr>
              <w:t xml:space="preserve"> في </w:t>
            </w:r>
            <w:r w:rsidRPr="004969DC">
              <w:rPr>
                <w:rFonts w:hint="cs"/>
                <w:sz w:val="20"/>
                <w:szCs w:val="22"/>
                <w:rtl/>
                <w:lang w:val="en-CA"/>
              </w:rPr>
              <w:t>العديد</w:t>
            </w:r>
            <w:r w:rsidRPr="004969DC">
              <w:rPr>
                <w:sz w:val="20"/>
                <w:szCs w:val="22"/>
                <w:rtl/>
                <w:lang w:val="en-CA"/>
              </w:rPr>
              <w:t xml:space="preserve"> من النواحي الأخرى أكثر تمثيلاً </w:t>
            </w:r>
            <w:r w:rsidRPr="004969DC">
              <w:rPr>
                <w:rFonts w:hint="cs"/>
                <w:sz w:val="20"/>
                <w:szCs w:val="22"/>
                <w:rtl/>
                <w:lang w:val="en-CA"/>
              </w:rPr>
              <w:t>وأقل تميزاً</w:t>
            </w:r>
            <w:r w:rsidRPr="004969DC">
              <w:rPr>
                <w:sz w:val="20"/>
                <w:szCs w:val="22"/>
                <w:rtl/>
                <w:lang w:val="en-CA"/>
              </w:rPr>
              <w:t xml:space="preserve">. </w:t>
            </w:r>
            <w:r w:rsidRPr="004969DC">
              <w:rPr>
                <w:rFonts w:hint="cs"/>
                <w:sz w:val="20"/>
                <w:szCs w:val="22"/>
                <w:rtl/>
                <w:lang w:val="en-CA"/>
              </w:rPr>
              <w:t>وهي مهمة لفهم تاريخ</w:t>
            </w:r>
            <w:r w:rsidRPr="004969DC">
              <w:rPr>
                <w:sz w:val="20"/>
                <w:szCs w:val="22"/>
                <w:rtl/>
                <w:lang w:val="en-CA"/>
              </w:rPr>
              <w:t xml:space="preserve"> حياة </w:t>
            </w:r>
            <w:r w:rsidRPr="004969DC">
              <w:rPr>
                <w:rFonts w:hint="cs"/>
                <w:sz w:val="20"/>
                <w:szCs w:val="22"/>
                <w:rtl/>
                <w:lang w:val="en-CA"/>
              </w:rPr>
              <w:t>عدد</w:t>
            </w:r>
            <w:r w:rsidRPr="004969DC">
              <w:rPr>
                <w:sz w:val="20"/>
                <w:szCs w:val="22"/>
                <w:rtl/>
                <w:lang w:val="en-CA"/>
              </w:rPr>
              <w:t xml:space="preserve"> من اللافقاريات البحرية وأنواع الأسماك، بما </w:t>
            </w:r>
            <w:r w:rsidRPr="004969DC">
              <w:rPr>
                <w:rFonts w:hint="cs"/>
                <w:sz w:val="20"/>
                <w:szCs w:val="22"/>
                <w:rtl/>
                <w:lang w:val="en-CA"/>
              </w:rPr>
              <w:t>فيها أسماك</w:t>
            </w:r>
            <w:r w:rsidRPr="004969DC">
              <w:rPr>
                <w:sz w:val="20"/>
                <w:szCs w:val="22"/>
                <w:rtl/>
                <w:lang w:val="en-CA"/>
              </w:rPr>
              <w:t xml:space="preserve"> ترس البحر الأسود</w:t>
            </w:r>
            <w:r w:rsidRPr="004969DC">
              <w:rPr>
                <w:rFonts w:hint="cs"/>
                <w:sz w:val="20"/>
                <w:szCs w:val="22"/>
                <w:rtl/>
                <w:lang w:val="en-CA"/>
              </w:rPr>
              <w:t xml:space="preserve"> التي تتناقص أعدادها في الوقت الحالي</w:t>
            </w:r>
            <w:r w:rsidRPr="004969DC">
              <w:rPr>
                <w:sz w:val="20"/>
                <w:szCs w:val="22"/>
                <w:rtl/>
                <w:lang w:val="en-CA"/>
              </w:rPr>
              <w:t>، و</w:t>
            </w:r>
            <w:r w:rsidRPr="004969DC">
              <w:rPr>
                <w:rFonts w:hint="cs"/>
                <w:sz w:val="20"/>
                <w:szCs w:val="22"/>
                <w:rtl/>
                <w:lang w:val="en-CA"/>
              </w:rPr>
              <w:t xml:space="preserve">سمك </w:t>
            </w:r>
            <w:r w:rsidRPr="004969DC">
              <w:rPr>
                <w:sz w:val="20"/>
                <w:szCs w:val="22"/>
                <w:rtl/>
                <w:lang w:val="en-CA"/>
              </w:rPr>
              <w:t xml:space="preserve">الأنشوجة </w:t>
            </w:r>
            <w:r w:rsidRPr="004969DC">
              <w:rPr>
                <w:rFonts w:hint="cs"/>
                <w:sz w:val="20"/>
                <w:szCs w:val="22"/>
                <w:rtl/>
                <w:lang w:val="en-CA"/>
              </w:rPr>
              <w:t xml:space="preserve">وسمك الأسقمري </w:t>
            </w:r>
            <w:r w:rsidRPr="004969DC">
              <w:rPr>
                <w:sz w:val="20"/>
                <w:szCs w:val="22"/>
                <w:rtl/>
                <w:lang w:val="en-CA"/>
              </w:rPr>
              <w:t xml:space="preserve">الحصان. </w:t>
            </w:r>
            <w:r w:rsidRPr="004969DC">
              <w:rPr>
                <w:rFonts w:hint="cs"/>
                <w:sz w:val="20"/>
                <w:szCs w:val="22"/>
                <w:rtl/>
                <w:lang w:val="en-CA"/>
              </w:rPr>
              <w:t>وهي مهمة</w:t>
            </w:r>
            <w:r w:rsidRPr="004969DC">
              <w:rPr>
                <w:sz w:val="20"/>
                <w:szCs w:val="22"/>
                <w:rtl/>
                <w:lang w:val="en-CA"/>
              </w:rPr>
              <w:t xml:space="preserve"> أيضا</w:t>
            </w:r>
            <w:r w:rsidRPr="004969DC">
              <w:rPr>
                <w:rFonts w:hint="cs"/>
                <w:sz w:val="20"/>
                <w:szCs w:val="22"/>
                <w:rtl/>
                <w:lang w:val="en-CA"/>
              </w:rPr>
              <w:t>ً</w:t>
            </w:r>
            <w:r w:rsidRPr="004969DC">
              <w:rPr>
                <w:sz w:val="20"/>
                <w:szCs w:val="22"/>
                <w:rtl/>
                <w:lang w:val="en-CA"/>
              </w:rPr>
              <w:t xml:space="preserve"> للأنواع المهددة بالانقراض </w:t>
            </w:r>
            <w:r w:rsidRPr="004969DC">
              <w:rPr>
                <w:rFonts w:hint="cs"/>
                <w:sz w:val="20"/>
                <w:szCs w:val="22"/>
                <w:rtl/>
                <w:lang w:val="en-CA"/>
              </w:rPr>
              <w:t xml:space="preserve">بوصفها </w:t>
            </w:r>
            <w:r w:rsidRPr="004969DC">
              <w:rPr>
                <w:sz w:val="20"/>
                <w:szCs w:val="22"/>
                <w:rtl/>
                <w:lang w:val="en-CA"/>
              </w:rPr>
              <w:t xml:space="preserve">منطقة هجرة </w:t>
            </w:r>
            <w:r w:rsidRPr="004969DC">
              <w:rPr>
                <w:rFonts w:hint="cs"/>
                <w:sz w:val="20"/>
                <w:szCs w:val="22"/>
                <w:rtl/>
                <w:lang w:val="en-CA"/>
              </w:rPr>
              <w:t>واعتلاف</w:t>
            </w:r>
            <w:r w:rsidRPr="004969DC">
              <w:rPr>
                <w:sz w:val="20"/>
                <w:szCs w:val="22"/>
                <w:rtl/>
                <w:lang w:val="en-CA"/>
              </w:rPr>
              <w:t xml:space="preserve"> </w:t>
            </w:r>
            <w:r w:rsidRPr="004969DC">
              <w:rPr>
                <w:rFonts w:hint="cs"/>
                <w:sz w:val="20"/>
                <w:szCs w:val="22"/>
                <w:rtl/>
                <w:lang w:val="en-CA"/>
              </w:rPr>
              <w:t>ل</w:t>
            </w:r>
            <w:r w:rsidRPr="004969DC">
              <w:rPr>
                <w:sz w:val="20"/>
                <w:szCs w:val="22"/>
                <w:rtl/>
                <w:lang w:val="en-CA"/>
              </w:rPr>
              <w:t xml:space="preserve">سمك الحفش والحيتانيات. </w:t>
            </w:r>
            <w:r w:rsidRPr="004969DC">
              <w:rPr>
                <w:rFonts w:hint="cs"/>
                <w:sz w:val="20"/>
                <w:szCs w:val="22"/>
                <w:rtl/>
                <w:lang w:val="en-CA"/>
              </w:rPr>
              <w:t>ويكون</w:t>
            </w:r>
            <w:r w:rsidRPr="004969DC">
              <w:rPr>
                <w:sz w:val="20"/>
                <w:szCs w:val="22"/>
                <w:rtl/>
                <w:lang w:val="en-CA"/>
              </w:rPr>
              <w:t xml:space="preserve"> التنوع البيولوجي مرتفع</w:t>
            </w:r>
            <w:r w:rsidRPr="004969DC">
              <w:rPr>
                <w:rFonts w:hint="cs"/>
                <w:sz w:val="20"/>
                <w:szCs w:val="22"/>
                <w:rtl/>
                <w:lang w:val="en-CA"/>
              </w:rPr>
              <w:t>اً في هذه المنطقة</w:t>
            </w:r>
            <w:r w:rsidRPr="004969DC">
              <w:rPr>
                <w:sz w:val="20"/>
                <w:szCs w:val="22"/>
                <w:rtl/>
                <w:lang w:val="en-CA"/>
              </w:rPr>
              <w:t xml:space="preserve"> بسبب تنوع البيئات الحيوية، بما في ذلك </w:t>
            </w:r>
            <w:r w:rsidRPr="004969DC">
              <w:rPr>
                <w:rFonts w:hint="cs"/>
                <w:sz w:val="20"/>
                <w:szCs w:val="22"/>
                <w:rtl/>
                <w:lang w:val="en-CA"/>
              </w:rPr>
              <w:t>الألسنة</w:t>
            </w:r>
            <w:r w:rsidRPr="004969DC">
              <w:rPr>
                <w:sz w:val="20"/>
                <w:szCs w:val="22"/>
                <w:rtl/>
                <w:lang w:val="en-CA"/>
              </w:rPr>
              <w:t xml:space="preserve"> الرملية والمسطحات الرملية الضحلة، و</w:t>
            </w:r>
            <w:r w:rsidRPr="004969DC">
              <w:rPr>
                <w:rFonts w:hint="cs"/>
                <w:sz w:val="20"/>
                <w:szCs w:val="22"/>
                <w:rtl/>
                <w:lang w:val="en-CA"/>
              </w:rPr>
              <w:t>المنصات الكربونية الجرفية</w:t>
            </w:r>
            <w:r w:rsidRPr="004969DC">
              <w:rPr>
                <w:sz w:val="20"/>
                <w:szCs w:val="22"/>
                <w:rtl/>
                <w:lang w:val="en-CA"/>
              </w:rPr>
              <w:t xml:space="preserve"> الضحلة، و</w:t>
            </w:r>
            <w:r w:rsidRPr="004969DC">
              <w:rPr>
                <w:rFonts w:hint="cs"/>
                <w:sz w:val="20"/>
                <w:szCs w:val="22"/>
                <w:rtl/>
                <w:lang w:val="en-CA"/>
              </w:rPr>
              <w:t>ال</w:t>
            </w:r>
            <w:r w:rsidRPr="004969DC">
              <w:rPr>
                <w:sz w:val="20"/>
                <w:szCs w:val="22"/>
                <w:rtl/>
                <w:lang w:val="en-CA"/>
              </w:rPr>
              <w:t>شعاب ال</w:t>
            </w:r>
            <w:r w:rsidRPr="004969DC">
              <w:rPr>
                <w:rFonts w:hint="cs"/>
                <w:sz w:val="20"/>
                <w:szCs w:val="22"/>
                <w:rtl/>
                <w:lang w:val="en-CA"/>
              </w:rPr>
              <w:t>صلصالية</w:t>
            </w:r>
            <w:r w:rsidRPr="004969DC">
              <w:rPr>
                <w:sz w:val="20"/>
                <w:szCs w:val="22"/>
                <w:rtl/>
                <w:lang w:val="en-CA"/>
              </w:rPr>
              <w:t xml:space="preserve">، والبيئات الحيوية </w:t>
            </w:r>
            <w:r w:rsidRPr="004969DC">
              <w:rPr>
                <w:sz w:val="20"/>
                <w:szCs w:val="22"/>
                <w:rtl/>
                <w:lang w:val="en-CA"/>
              </w:rPr>
              <w:lastRenderedPageBreak/>
              <w:t>الرملية والموحلة</w:t>
            </w:r>
            <w:r w:rsidRPr="004969DC">
              <w:rPr>
                <w:rFonts w:hint="cs"/>
                <w:sz w:val="20"/>
                <w:szCs w:val="22"/>
                <w:rtl/>
                <w:lang w:val="en-CA"/>
              </w:rPr>
              <w:t xml:space="preserve"> والحصوية</w:t>
            </w:r>
            <w:r w:rsidRPr="004969DC">
              <w:rPr>
                <w:sz w:val="20"/>
                <w:szCs w:val="22"/>
                <w:rtl/>
                <w:lang w:val="en-CA"/>
              </w:rPr>
              <w:t xml:space="preserve"> </w:t>
            </w:r>
            <w:r w:rsidRPr="004969DC">
              <w:rPr>
                <w:rFonts w:hint="cs"/>
                <w:sz w:val="20"/>
                <w:szCs w:val="22"/>
                <w:rtl/>
                <w:lang w:val="en-CA"/>
              </w:rPr>
              <w:t>للرصيف الصخري</w:t>
            </w:r>
            <w:r w:rsidRPr="004969DC">
              <w:rPr>
                <w:sz w:val="20"/>
                <w:szCs w:val="22"/>
                <w:rtl/>
                <w:lang w:val="en-CA"/>
              </w:rPr>
              <w:t>، وال</w:t>
            </w:r>
            <w:r w:rsidRPr="004969DC">
              <w:rPr>
                <w:rFonts w:hint="cs"/>
                <w:sz w:val="20"/>
                <w:szCs w:val="22"/>
                <w:rtl/>
                <w:lang w:val="en-CA"/>
              </w:rPr>
              <w:t>مصطبات المخددة</w:t>
            </w:r>
            <w:r w:rsidRPr="004969DC">
              <w:rPr>
                <w:sz w:val="20"/>
                <w:szCs w:val="22"/>
                <w:rtl/>
                <w:lang w:val="en-CA"/>
              </w:rPr>
              <w:t xml:space="preserve"> المغمورة بالمياه</w:t>
            </w:r>
            <w:r w:rsidRPr="004969DC">
              <w:rPr>
                <w:rFonts w:hint="cs"/>
                <w:sz w:val="20"/>
                <w:szCs w:val="22"/>
                <w:rtl/>
                <w:lang w:val="en-CA"/>
              </w:rPr>
              <w:t xml:space="preserve"> </w:t>
            </w:r>
            <w:r w:rsidRPr="004969DC">
              <w:rPr>
                <w:sz w:val="20"/>
                <w:szCs w:val="22"/>
                <w:rtl/>
                <w:lang w:val="en-CA"/>
              </w:rPr>
              <w:t xml:space="preserve">والصخور شديدة الانحدار </w:t>
            </w:r>
            <w:r w:rsidRPr="004969DC">
              <w:rPr>
                <w:rFonts w:hint="cs"/>
                <w:sz w:val="20"/>
                <w:szCs w:val="22"/>
                <w:rtl/>
                <w:lang w:val="en-CA"/>
              </w:rPr>
              <w:t>والغنية بالمجتمعات</w:t>
            </w:r>
            <w:r w:rsidRPr="004969DC">
              <w:rPr>
                <w:sz w:val="20"/>
                <w:szCs w:val="22"/>
                <w:rtl/>
                <w:lang w:val="en-CA"/>
              </w:rPr>
              <w:t xml:space="preserve"> </w:t>
            </w:r>
            <w:r w:rsidRPr="004969DC">
              <w:rPr>
                <w:rFonts w:hint="cs"/>
                <w:sz w:val="20"/>
                <w:szCs w:val="22"/>
                <w:rtl/>
                <w:lang w:val="en-CA"/>
              </w:rPr>
              <w:t>الطحلبية،</w:t>
            </w:r>
            <w:r w:rsidRPr="004969DC">
              <w:rPr>
                <w:sz w:val="20"/>
                <w:szCs w:val="22"/>
                <w:rtl/>
                <w:lang w:val="en-CA"/>
              </w:rPr>
              <w:t xml:space="preserve"> </w:t>
            </w:r>
            <w:r w:rsidRPr="004969DC">
              <w:rPr>
                <w:rFonts w:hint="cs"/>
                <w:sz w:val="20"/>
                <w:szCs w:val="22"/>
                <w:rtl/>
                <w:lang w:val="en-CA"/>
              </w:rPr>
              <w:t>والبيئات الحيوية</w:t>
            </w:r>
            <w:r w:rsidRPr="004969DC">
              <w:rPr>
                <w:sz w:val="20"/>
                <w:szCs w:val="22"/>
                <w:rtl/>
                <w:lang w:val="en-CA"/>
              </w:rPr>
              <w:t xml:space="preserve"> </w:t>
            </w:r>
            <w:r w:rsidRPr="004969DC">
              <w:rPr>
                <w:rFonts w:hint="cs"/>
                <w:sz w:val="20"/>
                <w:szCs w:val="22"/>
                <w:rtl/>
                <w:lang w:val="en-CA"/>
              </w:rPr>
              <w:t>للانهيارات الأرضية</w:t>
            </w:r>
            <w:r w:rsidRPr="004969DC">
              <w:rPr>
                <w:sz w:val="20"/>
                <w:szCs w:val="22"/>
                <w:rtl/>
                <w:lang w:val="en-CA"/>
              </w:rPr>
              <w:t xml:space="preserve"> تحت الماء و</w:t>
            </w:r>
            <w:r w:rsidRPr="004969DC">
              <w:rPr>
                <w:rFonts w:hint="cs"/>
                <w:sz w:val="20"/>
                <w:szCs w:val="22"/>
                <w:rtl/>
                <w:lang w:val="en-CA"/>
              </w:rPr>
              <w:t>البيئات الحيوية ل</w:t>
            </w:r>
            <w:r w:rsidRPr="004969DC">
              <w:rPr>
                <w:sz w:val="20"/>
                <w:szCs w:val="22"/>
                <w:rtl/>
                <w:lang w:val="en-CA"/>
              </w:rPr>
              <w:t>لبحيرات</w:t>
            </w:r>
            <w:r w:rsidRPr="004969DC">
              <w:rPr>
                <w:rFonts w:hint="cs"/>
                <w:sz w:val="20"/>
                <w:szCs w:val="22"/>
                <w:rtl/>
                <w:lang w:val="en-CA"/>
              </w:rPr>
              <w:t xml:space="preserve"> الشاطئية</w:t>
            </w:r>
            <w:r w:rsidRPr="004969DC">
              <w:rPr>
                <w:sz w:val="20"/>
                <w:szCs w:val="22"/>
                <w:rtl/>
                <w:lang w:val="en-CA"/>
              </w:rPr>
              <w:t xml:space="preserve"> المالحة</w:t>
            </w:r>
            <w:r w:rsidRPr="004969DC">
              <w:rPr>
                <w:sz w:val="20"/>
                <w:szCs w:val="22"/>
              </w:rPr>
              <w:t xml:space="preserve">. </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lastRenderedPageBreak/>
              <w:t>M</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t>H</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t>M</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t>H</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t>M</w:t>
            </w:r>
          </w:p>
        </w:tc>
        <w:tc>
          <w:tcPr>
            <w:tcW w:w="506" w:type="dxa"/>
            <w:vAlign w:val="center"/>
          </w:tcPr>
          <w:p w:rsidR="000A5DEA" w:rsidRPr="00E2695B" w:rsidRDefault="000A5DEA" w:rsidP="000A5DEA">
            <w:pPr>
              <w:snapToGrid w:val="0"/>
              <w:jc w:val="center"/>
              <w:rPr>
                <w:color w:val="000000"/>
                <w:sz w:val="20"/>
                <w:szCs w:val="22"/>
              </w:rPr>
            </w:pPr>
            <w:r w:rsidRPr="00E2695B">
              <w:rPr>
                <w:color w:val="000000"/>
                <w:sz w:val="20"/>
                <w:szCs w:val="22"/>
              </w:rPr>
              <w:t>H</w:t>
            </w:r>
          </w:p>
        </w:tc>
        <w:tc>
          <w:tcPr>
            <w:tcW w:w="507" w:type="dxa"/>
            <w:vAlign w:val="center"/>
          </w:tcPr>
          <w:p w:rsidR="000A5DEA" w:rsidRPr="00E2695B" w:rsidRDefault="000A5DEA" w:rsidP="000A5DEA">
            <w:pPr>
              <w:snapToGrid w:val="0"/>
              <w:jc w:val="cente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n-CA"/>
              </w:rPr>
            </w:pPr>
            <w:bookmarkStart w:id="28" w:name="_Toc524295473"/>
            <w:bookmarkStart w:id="29" w:name="_Toc6071553"/>
            <w:bookmarkStart w:id="30" w:name="_Toc6135991"/>
            <w:r w:rsidRPr="004969DC">
              <w:rPr>
                <w:rFonts w:hint="cs"/>
                <w:bCs/>
                <w:sz w:val="20"/>
                <w:szCs w:val="22"/>
                <w:rtl/>
              </w:rPr>
              <w:lastRenderedPageBreak/>
              <w:t xml:space="preserve">12- </w:t>
            </w:r>
            <w:r w:rsidRPr="004969DC">
              <w:rPr>
                <w:bCs/>
                <w:sz w:val="20"/>
                <w:szCs w:val="22"/>
                <w:rtl/>
              </w:rPr>
              <w:t>منطقة كولخ</w:t>
            </w:r>
            <w:r w:rsidRPr="004969DC">
              <w:rPr>
                <w:rFonts w:hint="cs"/>
                <w:bCs/>
                <w:sz w:val="20"/>
                <w:szCs w:val="22"/>
                <w:rtl/>
              </w:rPr>
              <w:t>ي</w:t>
            </w:r>
            <w:r w:rsidRPr="004969DC">
              <w:rPr>
                <w:bCs/>
                <w:sz w:val="20"/>
                <w:szCs w:val="22"/>
                <w:rtl/>
              </w:rPr>
              <w:t>تي البحرية</w:t>
            </w:r>
            <w:bookmarkEnd w:id="28"/>
            <w:bookmarkEnd w:id="29"/>
            <w:bookmarkEnd w:id="30"/>
          </w:p>
          <w:p w:rsidR="000A5DEA" w:rsidRPr="004969DC" w:rsidRDefault="000A5DEA" w:rsidP="00CD26C5">
            <w:pPr>
              <w:pStyle w:val="ListParagraph"/>
              <w:numPr>
                <w:ilvl w:val="0"/>
                <w:numId w:val="130"/>
              </w:numPr>
              <w:bidi/>
              <w:spacing w:after="0" w:line="204" w:lineRule="auto"/>
              <w:ind w:left="360"/>
              <w:rPr>
                <w:rFonts w:cs="Simplified Arabic"/>
                <w:sz w:val="20"/>
                <w:szCs w:val="22"/>
                <w:lang w:val="en-CA"/>
              </w:rPr>
            </w:pPr>
            <w:r w:rsidRPr="004969DC">
              <w:rPr>
                <w:rFonts w:cs="Simplified Arabic"/>
                <w:sz w:val="20"/>
                <w:szCs w:val="22"/>
                <w:rtl/>
                <w:lang w:val="en-CA"/>
              </w:rPr>
              <w:t>الموقع: تمتد المنطقة على مساحة 502 كيلومتراً مربعاً بين نهر تيكوري ومصب نهر ريوني (بشكل شامل)، وتقع، على التوالي، ضمن خطوط الطول والعرض التالية: 42,3688965 و41,5923238؛ 42,3678906 و41,3485938؛ 42,1492143 و41,3730120؛ 42,1781462 و41,6434212</w:t>
            </w:r>
            <w:r w:rsidRPr="004969DC">
              <w:rPr>
                <w:rFonts w:cs="Simplified Arabic"/>
                <w:sz w:val="20"/>
                <w:szCs w:val="22"/>
                <w:lang w:val="en-CA"/>
              </w:rPr>
              <w:t>.</w:t>
            </w:r>
          </w:p>
          <w:p w:rsidR="000A5DEA" w:rsidRPr="004969DC" w:rsidRDefault="000A5DEA" w:rsidP="00CD26C5">
            <w:pPr>
              <w:pStyle w:val="ListParagraph"/>
              <w:numPr>
                <w:ilvl w:val="0"/>
                <w:numId w:val="130"/>
              </w:numPr>
              <w:bidi/>
              <w:spacing w:after="0" w:line="204" w:lineRule="auto"/>
              <w:ind w:left="360"/>
              <w:rPr>
                <w:rFonts w:cs="Simplified Arabic"/>
                <w:sz w:val="20"/>
                <w:szCs w:val="22"/>
                <w:lang w:val="en-CA"/>
              </w:rPr>
            </w:pPr>
            <w:r w:rsidRPr="004969DC">
              <w:rPr>
                <w:rFonts w:cs="Simplified Arabic"/>
                <w:sz w:val="20"/>
                <w:szCs w:val="22"/>
                <w:rtl/>
                <w:lang w:val="en-CA"/>
              </w:rPr>
              <w:t xml:space="preserve">تتميز هذه المنطقة بكثافة عالية وثراء نسبي </w:t>
            </w:r>
            <w:r w:rsidRPr="004969DC">
              <w:rPr>
                <w:rFonts w:cs="Simplified Arabic" w:hint="cs"/>
                <w:sz w:val="20"/>
                <w:szCs w:val="22"/>
                <w:rtl/>
                <w:lang w:val="en-CA"/>
              </w:rPr>
              <w:t xml:space="preserve">في </w:t>
            </w:r>
            <w:r w:rsidRPr="004969DC">
              <w:rPr>
                <w:rFonts w:cs="Simplified Arabic"/>
                <w:sz w:val="20"/>
                <w:szCs w:val="22"/>
                <w:rtl/>
                <w:lang w:val="en-CA"/>
              </w:rPr>
              <w:t xml:space="preserve">أنواع العوالق الحيوانية وذوات الصدفتين. </w:t>
            </w:r>
            <w:r w:rsidRPr="004969DC">
              <w:rPr>
                <w:rFonts w:cs="Simplified Arabic" w:hint="cs"/>
                <w:sz w:val="20"/>
                <w:szCs w:val="22"/>
                <w:rtl/>
                <w:lang w:val="en-CA"/>
              </w:rPr>
              <w:t>وهي موئل</w:t>
            </w:r>
            <w:r w:rsidRPr="004969DC">
              <w:rPr>
                <w:rFonts w:cs="Simplified Arabic"/>
                <w:sz w:val="20"/>
                <w:szCs w:val="22"/>
                <w:rtl/>
                <w:lang w:val="en-CA"/>
              </w:rPr>
              <w:t xml:space="preserve"> مفضل لأنواع سمك ال</w:t>
            </w:r>
            <w:r w:rsidRPr="004969DC">
              <w:rPr>
                <w:rFonts w:cs="Simplified Arabic" w:hint="cs"/>
                <w:sz w:val="20"/>
                <w:szCs w:val="22"/>
                <w:rtl/>
                <w:lang w:val="en-CA"/>
              </w:rPr>
              <w:t>ترس</w:t>
            </w:r>
            <w:r w:rsidRPr="004969DC">
              <w:rPr>
                <w:rFonts w:cs="Simplified Arabic"/>
                <w:sz w:val="20"/>
                <w:szCs w:val="22"/>
                <w:rtl/>
                <w:lang w:val="en-CA"/>
              </w:rPr>
              <w:t xml:space="preserve"> والسمك المفلطح. </w:t>
            </w:r>
            <w:r w:rsidRPr="004969DC">
              <w:rPr>
                <w:rFonts w:cs="Simplified Arabic" w:hint="cs"/>
                <w:sz w:val="20"/>
                <w:szCs w:val="22"/>
                <w:rtl/>
                <w:lang w:val="en-CA"/>
              </w:rPr>
              <w:t>و</w:t>
            </w:r>
            <w:r w:rsidRPr="004969DC">
              <w:rPr>
                <w:rFonts w:cs="Simplified Arabic"/>
                <w:sz w:val="20"/>
                <w:szCs w:val="22"/>
                <w:rtl/>
                <w:lang w:val="en-CA"/>
              </w:rPr>
              <w:t xml:space="preserve">تستخدم </w:t>
            </w:r>
            <w:r w:rsidRPr="004969DC">
              <w:rPr>
                <w:rFonts w:cs="Simplified Arabic" w:hint="cs"/>
                <w:sz w:val="20"/>
                <w:szCs w:val="22"/>
                <w:rtl/>
                <w:lang w:val="en-CA"/>
              </w:rPr>
              <w:t>تجمعات</w:t>
            </w:r>
            <w:r w:rsidRPr="004969DC">
              <w:rPr>
                <w:rFonts w:cs="Simplified Arabic"/>
                <w:sz w:val="20"/>
                <w:szCs w:val="22"/>
                <w:rtl/>
                <w:lang w:val="en-CA"/>
              </w:rPr>
              <w:t xml:space="preserve"> كبيرة من</w:t>
            </w:r>
            <w:r w:rsidRPr="004969DC">
              <w:rPr>
                <w:rFonts w:cs="Simplified Arabic" w:hint="cs"/>
                <w:sz w:val="20"/>
                <w:szCs w:val="22"/>
                <w:rtl/>
                <w:lang w:val="en-CA"/>
              </w:rPr>
              <w:t xml:space="preserve"> سمك</w:t>
            </w:r>
            <w:r w:rsidRPr="004969DC">
              <w:rPr>
                <w:rFonts w:cs="Simplified Arabic"/>
                <w:sz w:val="20"/>
                <w:szCs w:val="22"/>
                <w:rtl/>
                <w:lang w:val="en-CA"/>
              </w:rPr>
              <w:t xml:space="preserve"> الأنشوجة (</w:t>
            </w:r>
            <w:r w:rsidRPr="004969DC">
              <w:rPr>
                <w:rFonts w:cs="Simplified Arabic"/>
                <w:i/>
                <w:iCs/>
                <w:sz w:val="20"/>
                <w:szCs w:val="22"/>
                <w:lang w:val="en-CA"/>
              </w:rPr>
              <w:t>Engraulis encrasicolus</w:t>
            </w:r>
            <w:r w:rsidRPr="004969DC">
              <w:rPr>
                <w:rFonts w:cs="Simplified Arabic"/>
                <w:sz w:val="20"/>
                <w:szCs w:val="22"/>
                <w:rtl/>
                <w:lang w:val="en-CA"/>
              </w:rPr>
              <w:t xml:space="preserve">) </w:t>
            </w:r>
            <w:r w:rsidRPr="004969DC">
              <w:rPr>
                <w:rFonts w:cs="Simplified Arabic" w:hint="cs"/>
                <w:sz w:val="20"/>
                <w:szCs w:val="22"/>
                <w:rtl/>
                <w:lang w:val="en-CA"/>
              </w:rPr>
              <w:t xml:space="preserve">هذه </w:t>
            </w:r>
            <w:r w:rsidRPr="004969DC">
              <w:rPr>
                <w:rFonts w:cs="Simplified Arabic"/>
                <w:sz w:val="20"/>
                <w:szCs w:val="22"/>
                <w:rtl/>
                <w:lang w:val="en-CA"/>
              </w:rPr>
              <w:t>المنطقة في فصل</w:t>
            </w:r>
            <w:r w:rsidRPr="004969DC">
              <w:rPr>
                <w:rFonts w:cs="Simplified Arabic" w:hint="cs"/>
                <w:sz w:val="20"/>
                <w:szCs w:val="22"/>
                <w:rtl/>
                <w:lang w:val="en-CA"/>
              </w:rPr>
              <w:t>ي</w:t>
            </w:r>
            <w:r w:rsidRPr="004969DC">
              <w:rPr>
                <w:rFonts w:cs="Simplified Arabic"/>
                <w:sz w:val="20"/>
                <w:szCs w:val="22"/>
                <w:rtl/>
                <w:lang w:val="en-CA"/>
              </w:rPr>
              <w:t xml:space="preserve"> الشتاء والربيع كمنطقة </w:t>
            </w:r>
            <w:r w:rsidRPr="004969DC">
              <w:rPr>
                <w:rFonts w:cs="Simplified Arabic" w:hint="cs"/>
                <w:sz w:val="20"/>
                <w:szCs w:val="22"/>
                <w:rtl/>
                <w:lang w:val="en-CA"/>
              </w:rPr>
              <w:t>تشتية وتسرئة</w:t>
            </w:r>
            <w:r w:rsidRPr="004969DC">
              <w:rPr>
                <w:rFonts w:cs="Simplified Arabic"/>
                <w:sz w:val="20"/>
                <w:szCs w:val="22"/>
                <w:rtl/>
                <w:lang w:val="en-CA"/>
              </w:rPr>
              <w:t>. و</w:t>
            </w:r>
            <w:r w:rsidRPr="004969DC">
              <w:rPr>
                <w:rFonts w:cs="Simplified Arabic" w:hint="cs"/>
                <w:sz w:val="20"/>
                <w:szCs w:val="22"/>
                <w:rtl/>
                <w:lang w:val="en-CA"/>
              </w:rPr>
              <w:t>تشكل</w:t>
            </w:r>
            <w:r w:rsidRPr="004969DC">
              <w:rPr>
                <w:rFonts w:cs="Simplified Arabic"/>
                <w:sz w:val="20"/>
                <w:szCs w:val="22"/>
                <w:rtl/>
                <w:lang w:val="en-CA"/>
              </w:rPr>
              <w:t xml:space="preserve"> أيضًا م</w:t>
            </w:r>
            <w:r w:rsidRPr="004969DC">
              <w:rPr>
                <w:rFonts w:cs="Simplified Arabic" w:hint="cs"/>
                <w:sz w:val="20"/>
                <w:szCs w:val="22"/>
                <w:rtl/>
                <w:lang w:val="en-CA"/>
              </w:rPr>
              <w:t>وئلاً</w:t>
            </w:r>
            <w:r w:rsidRPr="004969DC">
              <w:rPr>
                <w:rFonts w:cs="Simplified Arabic"/>
                <w:sz w:val="20"/>
                <w:szCs w:val="22"/>
                <w:rtl/>
                <w:lang w:val="en-CA"/>
              </w:rPr>
              <w:t xml:space="preserve"> و</w:t>
            </w:r>
            <w:r w:rsidRPr="004969DC">
              <w:rPr>
                <w:rFonts w:cs="Simplified Arabic" w:hint="cs"/>
                <w:sz w:val="20"/>
                <w:szCs w:val="22"/>
                <w:rtl/>
                <w:lang w:val="en-CA"/>
              </w:rPr>
              <w:t xml:space="preserve">منطقة </w:t>
            </w:r>
            <w:r w:rsidRPr="004969DC">
              <w:rPr>
                <w:rFonts w:cs="Simplified Arabic"/>
                <w:sz w:val="20"/>
                <w:szCs w:val="22"/>
                <w:rtl/>
                <w:lang w:val="en-CA"/>
              </w:rPr>
              <w:t>ت</w:t>
            </w:r>
            <w:r w:rsidRPr="004969DC">
              <w:rPr>
                <w:rFonts w:cs="Simplified Arabic" w:hint="cs"/>
                <w:sz w:val="20"/>
                <w:szCs w:val="22"/>
                <w:rtl/>
                <w:lang w:val="en-CA"/>
              </w:rPr>
              <w:t>سرئة</w:t>
            </w:r>
            <w:r w:rsidRPr="004969DC">
              <w:rPr>
                <w:rFonts w:cs="Simplified Arabic"/>
                <w:sz w:val="20"/>
                <w:szCs w:val="22"/>
                <w:rtl/>
                <w:lang w:val="en-CA"/>
              </w:rPr>
              <w:t xml:space="preserve"> لأنواع </w:t>
            </w:r>
            <w:r w:rsidRPr="004969DC">
              <w:rPr>
                <w:rFonts w:cs="Simplified Arabic" w:hint="cs"/>
                <w:sz w:val="20"/>
                <w:szCs w:val="22"/>
                <w:rtl/>
                <w:lang w:val="en-CA"/>
              </w:rPr>
              <w:t>الحفش</w:t>
            </w:r>
            <w:r w:rsidRPr="004969DC">
              <w:rPr>
                <w:rFonts w:cs="Simplified Arabic"/>
                <w:sz w:val="20"/>
                <w:szCs w:val="22"/>
                <w:rtl/>
                <w:lang w:val="en-CA"/>
              </w:rPr>
              <w:t xml:space="preserve"> المهددة بالانقراض</w:t>
            </w:r>
            <w:r w:rsidRPr="004969DC">
              <w:rPr>
                <w:rFonts w:cs="Simplified Arabic" w:hint="cs"/>
                <w:sz w:val="20"/>
                <w:szCs w:val="22"/>
                <w:rtl/>
                <w:lang w:val="en-CA"/>
              </w:rPr>
              <w:t>،</w:t>
            </w:r>
            <w:r w:rsidRPr="004969DC">
              <w:rPr>
                <w:rFonts w:cs="Simplified Arabic"/>
                <w:sz w:val="20"/>
                <w:szCs w:val="22"/>
                <w:rtl/>
                <w:lang w:val="en-CA"/>
              </w:rPr>
              <w:t xml:space="preserve"> </w:t>
            </w:r>
            <w:r w:rsidRPr="004969DC">
              <w:rPr>
                <w:rFonts w:cs="Simplified Arabic" w:hint="cs"/>
                <w:sz w:val="20"/>
                <w:szCs w:val="22"/>
                <w:rtl/>
                <w:lang w:val="en-CA"/>
              </w:rPr>
              <w:t>وتستخدم كمنطقة</w:t>
            </w:r>
            <w:r w:rsidRPr="004969DC">
              <w:rPr>
                <w:rFonts w:cs="Simplified Arabic"/>
                <w:sz w:val="20"/>
                <w:szCs w:val="22"/>
                <w:rtl/>
                <w:lang w:val="en-CA"/>
              </w:rPr>
              <w:t xml:space="preserve"> </w:t>
            </w:r>
            <w:r w:rsidRPr="004969DC">
              <w:rPr>
                <w:rFonts w:cs="Simplified Arabic" w:hint="cs"/>
                <w:sz w:val="20"/>
                <w:szCs w:val="22"/>
                <w:rtl/>
                <w:lang w:val="en-CA"/>
              </w:rPr>
              <w:t>تشتية</w:t>
            </w:r>
            <w:r w:rsidRPr="004969DC">
              <w:rPr>
                <w:rFonts w:cs="Simplified Arabic"/>
                <w:sz w:val="20"/>
                <w:szCs w:val="22"/>
                <w:rtl/>
                <w:lang w:val="en-CA"/>
              </w:rPr>
              <w:t xml:space="preserve"> لأعداد كبيرة من الطيور المهاجرة وحيتانيات البحر الأسود. </w:t>
            </w:r>
            <w:r w:rsidRPr="004969DC">
              <w:rPr>
                <w:rFonts w:cs="Simplified Arabic" w:hint="cs"/>
                <w:sz w:val="20"/>
                <w:szCs w:val="22"/>
                <w:rtl/>
                <w:lang w:val="en-CA"/>
              </w:rPr>
              <w:t>وتعتبر منطقة</w:t>
            </w:r>
            <w:r w:rsidRPr="004969DC">
              <w:rPr>
                <w:rFonts w:cs="Simplified Arabic"/>
                <w:sz w:val="20"/>
                <w:szCs w:val="22"/>
                <w:rtl/>
                <w:lang w:val="en-CA"/>
              </w:rPr>
              <w:t xml:space="preserve"> تغذية و</w:t>
            </w:r>
            <w:r w:rsidRPr="004969DC">
              <w:rPr>
                <w:rFonts w:cs="Simplified Arabic" w:hint="cs"/>
                <w:sz w:val="20"/>
                <w:szCs w:val="22"/>
                <w:rtl/>
                <w:lang w:val="en-CA"/>
              </w:rPr>
              <w:t>تفريخ على مدار العام</w:t>
            </w:r>
            <w:r w:rsidRPr="004969DC">
              <w:rPr>
                <w:rFonts w:cs="Simplified Arabic"/>
                <w:sz w:val="20"/>
                <w:szCs w:val="22"/>
                <w:rtl/>
                <w:lang w:val="en-CA"/>
              </w:rPr>
              <w:t xml:space="preserve"> لأنواع </w:t>
            </w:r>
            <w:r w:rsidRPr="004969DC">
              <w:rPr>
                <w:rFonts w:cs="Simplified Arabic" w:hint="cs"/>
                <w:sz w:val="20"/>
                <w:szCs w:val="22"/>
                <w:rtl/>
                <w:lang w:val="en-CA"/>
              </w:rPr>
              <w:t>من الحيتانيات</w:t>
            </w:r>
            <w:r w:rsidRPr="004969DC">
              <w:rPr>
                <w:rFonts w:cs="Simplified Arabic"/>
                <w:sz w:val="20"/>
                <w:szCs w:val="22"/>
                <w:rtl/>
                <w:lang w:val="en-CA"/>
              </w:rPr>
              <w:t xml:space="preserve"> </w:t>
            </w:r>
            <w:r w:rsidRPr="004969DC">
              <w:rPr>
                <w:rFonts w:cs="Simplified Arabic" w:hint="cs"/>
                <w:sz w:val="20"/>
                <w:szCs w:val="22"/>
                <w:rtl/>
                <w:lang w:val="en-CA"/>
              </w:rPr>
              <w:t>(</w:t>
            </w:r>
            <w:r w:rsidRPr="004969DC">
              <w:rPr>
                <w:rFonts w:cs="Simplified Arabic" w:hint="cs"/>
                <w:sz w:val="20"/>
                <w:szCs w:val="22"/>
                <w:rtl/>
              </w:rPr>
              <w:t xml:space="preserve">خنزير البحر الأسود الشائع </w:t>
            </w:r>
            <w:r w:rsidRPr="004969DC">
              <w:rPr>
                <w:rFonts w:cs="Simplified Arabic"/>
                <w:sz w:val="20"/>
                <w:szCs w:val="22"/>
                <w:rtl/>
              </w:rPr>
              <w:t>(</w:t>
            </w:r>
            <w:r w:rsidRPr="004969DC">
              <w:rPr>
                <w:rFonts w:cs="Simplified Arabic"/>
                <w:i/>
                <w:iCs/>
                <w:sz w:val="20"/>
                <w:szCs w:val="22"/>
                <w:lang w:val="en-CA"/>
              </w:rPr>
              <w:t>Phocoena phocoena relicta</w:t>
            </w:r>
            <w:r w:rsidRPr="004969DC">
              <w:rPr>
                <w:rFonts w:cs="Simplified Arabic"/>
                <w:sz w:val="20"/>
                <w:szCs w:val="22"/>
                <w:rtl/>
              </w:rPr>
              <w:t xml:space="preserve">)، </w:t>
            </w:r>
            <w:r w:rsidRPr="004969DC">
              <w:rPr>
                <w:rFonts w:cs="Simplified Arabic" w:hint="cs"/>
                <w:spacing w:val="-10"/>
                <w:sz w:val="20"/>
                <w:szCs w:val="22"/>
                <w:rtl/>
              </w:rPr>
              <w:t>و</w:t>
            </w:r>
            <w:r w:rsidRPr="004969DC">
              <w:rPr>
                <w:rFonts w:cs="Simplified Arabic"/>
                <w:spacing w:val="-10"/>
                <w:sz w:val="20"/>
                <w:szCs w:val="22"/>
                <w:rtl/>
              </w:rPr>
              <w:t>الدلفين الشائع القصير</w:t>
            </w:r>
            <w:r w:rsidRPr="004969DC">
              <w:rPr>
                <w:rFonts w:cs="Simplified Arabic" w:hint="cs"/>
                <w:spacing w:val="-10"/>
                <w:sz w:val="20"/>
                <w:szCs w:val="22"/>
                <w:rtl/>
              </w:rPr>
              <w:t xml:space="preserve"> المنقار (</w:t>
            </w:r>
            <w:r w:rsidRPr="004969DC">
              <w:rPr>
                <w:rFonts w:cs="Simplified Arabic"/>
                <w:i/>
                <w:spacing w:val="-10"/>
                <w:sz w:val="20"/>
                <w:szCs w:val="22"/>
                <w:lang w:val="en-CA"/>
              </w:rPr>
              <w:t>Delphinus delphis ponticus</w:t>
            </w:r>
            <w:r w:rsidRPr="004969DC">
              <w:rPr>
                <w:rFonts w:cs="Simplified Arabic" w:hint="cs"/>
                <w:spacing w:val="-10"/>
                <w:sz w:val="20"/>
                <w:szCs w:val="22"/>
                <w:rtl/>
              </w:rPr>
              <w:t>)، و(</w:t>
            </w:r>
            <w:r w:rsidRPr="004969DC">
              <w:rPr>
                <w:rFonts w:cs="Simplified Arabic"/>
                <w:i/>
                <w:spacing w:val="-10"/>
                <w:sz w:val="20"/>
                <w:szCs w:val="22"/>
                <w:lang w:val="en-CA"/>
              </w:rPr>
              <w:t>Phocoena phocoena relicta</w:t>
            </w:r>
            <w:r w:rsidRPr="004969DC">
              <w:rPr>
                <w:rFonts w:cs="Simplified Arabic" w:hint="cs"/>
                <w:spacing w:val="-10"/>
                <w:sz w:val="20"/>
                <w:szCs w:val="22"/>
                <w:rtl/>
              </w:rPr>
              <w:t>)</w:t>
            </w:r>
            <w:r w:rsidRPr="004969DC">
              <w:rPr>
                <w:rFonts w:cs="Simplified Arabic"/>
                <w:spacing w:val="-10"/>
                <w:sz w:val="20"/>
                <w:szCs w:val="22"/>
                <w:lang w:val="en-CA"/>
              </w:rPr>
              <w:t>.</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6" w:type="dxa"/>
            <w:vAlign w:val="center"/>
          </w:tcPr>
          <w:p w:rsidR="000A5DEA" w:rsidRPr="00E2695B" w:rsidRDefault="000A5DEA" w:rsidP="005C478D">
            <w:pPr>
              <w:rPr>
                <w:color w:val="000000"/>
                <w:sz w:val="20"/>
                <w:szCs w:val="22"/>
              </w:rPr>
            </w:pPr>
            <w:r w:rsidRPr="00E2695B">
              <w:rPr>
                <w:color w:val="000000"/>
                <w:sz w:val="20"/>
                <w:szCs w:val="22"/>
              </w:rPr>
              <w:t>H</w:t>
            </w:r>
          </w:p>
        </w:tc>
        <w:tc>
          <w:tcPr>
            <w:tcW w:w="507" w:type="dxa"/>
            <w:vAlign w:val="center"/>
          </w:tcPr>
          <w:p w:rsidR="000A5DEA" w:rsidRPr="00E2695B" w:rsidRDefault="000A5DEA" w:rsidP="005C478D">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n-CA"/>
              </w:rPr>
            </w:pPr>
            <w:bookmarkStart w:id="31" w:name="_Toc524295474"/>
            <w:bookmarkStart w:id="32" w:name="_Toc6071554"/>
            <w:r w:rsidRPr="004969DC">
              <w:rPr>
                <w:rFonts w:hint="cs"/>
                <w:bCs/>
                <w:sz w:val="20"/>
                <w:szCs w:val="22"/>
                <w:rtl/>
              </w:rPr>
              <w:t xml:space="preserve">13- </w:t>
            </w:r>
            <w:r w:rsidRPr="004969DC">
              <w:rPr>
                <w:bCs/>
                <w:sz w:val="20"/>
                <w:szCs w:val="22"/>
                <w:rtl/>
              </w:rPr>
              <w:t>ساربي</w:t>
            </w:r>
            <w:bookmarkEnd w:id="31"/>
            <w:bookmarkEnd w:id="32"/>
          </w:p>
          <w:p w:rsidR="000A5DEA" w:rsidRPr="004969DC" w:rsidRDefault="000A5DEA" w:rsidP="00CD26C5">
            <w:pPr>
              <w:pStyle w:val="ListParagraph"/>
              <w:numPr>
                <w:ilvl w:val="0"/>
                <w:numId w:val="131"/>
              </w:numPr>
              <w:bidi/>
              <w:spacing w:after="0" w:line="204" w:lineRule="auto"/>
              <w:ind w:left="332" w:hanging="332"/>
              <w:rPr>
                <w:rFonts w:cs="Simplified Arabic"/>
                <w:sz w:val="20"/>
                <w:szCs w:val="22"/>
                <w:lang w:val="en-CA"/>
              </w:rPr>
            </w:pPr>
            <w:r w:rsidRPr="004969DC">
              <w:rPr>
                <w:rFonts w:cs="Simplified Arabic"/>
                <w:sz w:val="20"/>
                <w:szCs w:val="22"/>
                <w:rtl/>
                <w:lang w:val="en-CA"/>
              </w:rPr>
              <w:t>الموقع: تقع هذه المنطقة</w:t>
            </w:r>
            <w:r w:rsidRPr="004969DC">
              <w:rPr>
                <w:rFonts w:cs="Simplified Arabic" w:hint="cs"/>
                <w:sz w:val="20"/>
                <w:szCs w:val="22"/>
                <w:rtl/>
                <w:lang w:val="en-CA"/>
              </w:rPr>
              <w:t xml:space="preserve">، على التوالي، </w:t>
            </w:r>
            <w:r w:rsidRPr="004969DC">
              <w:rPr>
                <w:rFonts w:cs="Simplified Arabic"/>
                <w:sz w:val="20"/>
                <w:szCs w:val="22"/>
                <w:rtl/>
                <w:lang w:val="en-CA"/>
              </w:rPr>
              <w:t>ع</w:t>
            </w:r>
            <w:r w:rsidRPr="004969DC">
              <w:rPr>
                <w:rFonts w:cs="Simplified Arabic" w:hint="cs"/>
                <w:sz w:val="20"/>
                <w:szCs w:val="22"/>
                <w:rtl/>
                <w:lang w:val="en-CA"/>
              </w:rPr>
              <w:t xml:space="preserve">ند </w:t>
            </w:r>
            <w:r w:rsidRPr="004969DC">
              <w:rPr>
                <w:rFonts w:cs="Simplified Arabic"/>
                <w:sz w:val="20"/>
                <w:szCs w:val="22"/>
                <w:rtl/>
                <w:lang w:val="en-CA"/>
              </w:rPr>
              <w:t>خطوط العرض والطول التالية: 41</w:t>
            </w:r>
            <w:r w:rsidRPr="004969DC">
              <w:rPr>
                <w:rFonts w:cs="Simplified Arabic" w:hint="cs"/>
                <w:sz w:val="20"/>
                <w:szCs w:val="22"/>
                <w:rtl/>
                <w:lang w:val="en-CA"/>
              </w:rPr>
              <w:t>,</w:t>
            </w:r>
            <w:r w:rsidRPr="004969DC">
              <w:rPr>
                <w:rFonts w:cs="Simplified Arabic"/>
                <w:sz w:val="20"/>
                <w:szCs w:val="22"/>
                <w:rtl/>
                <w:lang w:val="en-CA"/>
              </w:rPr>
              <w:t>5447181 و41</w:t>
            </w:r>
            <w:r w:rsidRPr="004969DC">
              <w:rPr>
                <w:rFonts w:cs="Simplified Arabic" w:hint="cs"/>
                <w:sz w:val="20"/>
                <w:szCs w:val="22"/>
                <w:rtl/>
                <w:lang w:val="en-CA"/>
              </w:rPr>
              <w:t>,</w:t>
            </w:r>
            <w:r w:rsidRPr="004969DC">
              <w:rPr>
                <w:rFonts w:cs="Simplified Arabic"/>
                <w:sz w:val="20"/>
                <w:szCs w:val="22"/>
                <w:rtl/>
                <w:lang w:val="en-CA"/>
              </w:rPr>
              <w:t>5606554؛ 41</w:t>
            </w:r>
            <w:r w:rsidRPr="004969DC">
              <w:rPr>
                <w:rFonts w:cs="Simplified Arabic" w:hint="cs"/>
                <w:sz w:val="20"/>
                <w:szCs w:val="22"/>
                <w:rtl/>
                <w:lang w:val="en-CA"/>
              </w:rPr>
              <w:t>,</w:t>
            </w:r>
            <w:r w:rsidRPr="004969DC">
              <w:rPr>
                <w:rFonts w:cs="Simplified Arabic"/>
                <w:sz w:val="20"/>
                <w:szCs w:val="22"/>
                <w:rtl/>
                <w:lang w:val="en-CA"/>
              </w:rPr>
              <w:t>5266607 و41</w:t>
            </w:r>
            <w:r w:rsidRPr="004969DC">
              <w:rPr>
                <w:rFonts w:cs="Simplified Arabic" w:hint="cs"/>
                <w:sz w:val="20"/>
                <w:szCs w:val="22"/>
                <w:rtl/>
                <w:lang w:val="en-CA"/>
              </w:rPr>
              <w:t>,</w:t>
            </w:r>
            <w:r w:rsidRPr="004969DC">
              <w:rPr>
                <w:rFonts w:cs="Simplified Arabic"/>
                <w:sz w:val="20"/>
                <w:szCs w:val="22"/>
                <w:rtl/>
                <w:lang w:val="en-CA"/>
              </w:rPr>
              <w:t>5485533</w:t>
            </w:r>
            <w:r w:rsidRPr="004969DC">
              <w:rPr>
                <w:rFonts w:cs="Simplified Arabic" w:hint="cs"/>
                <w:sz w:val="20"/>
                <w:szCs w:val="22"/>
                <w:rtl/>
                <w:lang w:val="en-CA"/>
              </w:rPr>
              <w:t>.</w:t>
            </w:r>
          </w:p>
          <w:p w:rsidR="000A5DEA" w:rsidRPr="004969DC" w:rsidRDefault="000A5DEA" w:rsidP="00CD26C5">
            <w:pPr>
              <w:pStyle w:val="ListParagraph"/>
              <w:numPr>
                <w:ilvl w:val="0"/>
                <w:numId w:val="131"/>
              </w:numPr>
              <w:bidi/>
              <w:spacing w:after="0" w:line="204" w:lineRule="auto"/>
              <w:ind w:left="332" w:hanging="332"/>
              <w:rPr>
                <w:rFonts w:cs="Simplified Arabic"/>
                <w:sz w:val="20"/>
                <w:szCs w:val="22"/>
                <w:lang w:val="en-CA"/>
              </w:rPr>
            </w:pPr>
            <w:r w:rsidRPr="004969DC">
              <w:rPr>
                <w:rFonts w:cs="Simplified Arabic" w:hint="cs"/>
                <w:sz w:val="20"/>
                <w:szCs w:val="22"/>
                <w:rtl/>
                <w:lang w:val="en-CA"/>
              </w:rPr>
              <w:t>تشمل</w:t>
            </w:r>
            <w:r w:rsidRPr="004969DC">
              <w:rPr>
                <w:rFonts w:cs="Simplified Arabic"/>
                <w:sz w:val="20"/>
                <w:szCs w:val="22"/>
                <w:rtl/>
                <w:lang w:val="en-CA"/>
              </w:rPr>
              <w:t xml:space="preserve"> المنطقة صخور</w:t>
            </w:r>
            <w:r w:rsidRPr="004969DC">
              <w:rPr>
                <w:rFonts w:cs="Simplified Arabic" w:hint="cs"/>
                <w:sz w:val="20"/>
                <w:szCs w:val="22"/>
                <w:rtl/>
                <w:lang w:val="en-CA"/>
              </w:rPr>
              <w:t>اً</w:t>
            </w:r>
            <w:r w:rsidRPr="004969DC">
              <w:rPr>
                <w:rFonts w:cs="Simplified Arabic"/>
                <w:sz w:val="20"/>
                <w:szCs w:val="22"/>
                <w:rtl/>
                <w:lang w:val="en-CA"/>
              </w:rPr>
              <w:t xml:space="preserve"> </w:t>
            </w:r>
            <w:r w:rsidRPr="004969DC">
              <w:rPr>
                <w:rFonts w:cs="Simplified Arabic" w:hint="cs"/>
                <w:sz w:val="20"/>
                <w:szCs w:val="22"/>
                <w:rtl/>
                <w:lang w:val="en-CA"/>
              </w:rPr>
              <w:t>بحرية</w:t>
            </w:r>
            <w:r w:rsidRPr="004969DC">
              <w:rPr>
                <w:rFonts w:cs="Simplified Arabic"/>
                <w:sz w:val="20"/>
                <w:szCs w:val="22"/>
                <w:rtl/>
                <w:lang w:val="en-CA"/>
              </w:rPr>
              <w:t xml:space="preserve"> وساحل</w:t>
            </w:r>
            <w:r w:rsidRPr="004969DC">
              <w:rPr>
                <w:rFonts w:cs="Simplified Arabic" w:hint="cs"/>
                <w:sz w:val="20"/>
                <w:szCs w:val="22"/>
                <w:rtl/>
                <w:lang w:val="en-CA"/>
              </w:rPr>
              <w:t>اً</w:t>
            </w:r>
            <w:r w:rsidRPr="004969DC">
              <w:rPr>
                <w:rFonts w:cs="Simplified Arabic"/>
                <w:sz w:val="20"/>
                <w:szCs w:val="22"/>
                <w:rtl/>
                <w:lang w:val="en-CA"/>
              </w:rPr>
              <w:t xml:space="preserve"> حجري</w:t>
            </w:r>
            <w:r w:rsidRPr="004969DC">
              <w:rPr>
                <w:rFonts w:cs="Simplified Arabic" w:hint="cs"/>
                <w:sz w:val="20"/>
                <w:szCs w:val="22"/>
                <w:rtl/>
                <w:lang w:val="en-CA"/>
              </w:rPr>
              <w:t>اً</w:t>
            </w:r>
            <w:r w:rsidRPr="004969DC">
              <w:rPr>
                <w:rFonts w:cs="Simplified Arabic"/>
                <w:sz w:val="20"/>
                <w:szCs w:val="22"/>
                <w:rtl/>
                <w:lang w:val="en-CA"/>
              </w:rPr>
              <w:t>. و</w:t>
            </w:r>
            <w:r w:rsidRPr="004969DC">
              <w:rPr>
                <w:rFonts w:cs="Simplified Arabic" w:hint="cs"/>
                <w:sz w:val="20"/>
                <w:szCs w:val="22"/>
                <w:rtl/>
                <w:lang w:val="en-CA"/>
              </w:rPr>
              <w:t>تشكل</w:t>
            </w:r>
            <w:r w:rsidRPr="004969DC">
              <w:rPr>
                <w:rFonts w:cs="Simplified Arabic"/>
                <w:sz w:val="20"/>
                <w:szCs w:val="22"/>
                <w:rtl/>
                <w:lang w:val="en-CA"/>
              </w:rPr>
              <w:t xml:space="preserve"> أكبر مو</w:t>
            </w:r>
            <w:r w:rsidRPr="004969DC">
              <w:rPr>
                <w:rFonts w:cs="Simplified Arabic" w:hint="cs"/>
                <w:sz w:val="20"/>
                <w:szCs w:val="22"/>
                <w:rtl/>
                <w:lang w:val="en-CA"/>
              </w:rPr>
              <w:t>ئل</w:t>
            </w:r>
            <w:r w:rsidRPr="004969DC">
              <w:rPr>
                <w:rFonts w:cs="Simplified Arabic"/>
                <w:sz w:val="20"/>
                <w:szCs w:val="22"/>
                <w:rtl/>
                <w:lang w:val="en-CA"/>
              </w:rPr>
              <w:t xml:space="preserve"> صخري على الساحل الجورجي. </w:t>
            </w:r>
            <w:r w:rsidRPr="004969DC">
              <w:rPr>
                <w:rFonts w:cs="Simplified Arabic" w:hint="cs"/>
                <w:sz w:val="20"/>
                <w:szCs w:val="22"/>
                <w:rtl/>
                <w:lang w:val="en-CA"/>
              </w:rPr>
              <w:t>ويوفر حقل</w:t>
            </w:r>
            <w:r w:rsidRPr="004969DC">
              <w:rPr>
                <w:rFonts w:cs="Simplified Arabic"/>
                <w:sz w:val="20"/>
                <w:szCs w:val="22"/>
                <w:rtl/>
                <w:lang w:val="en-CA"/>
              </w:rPr>
              <w:t xml:space="preserve"> الطحالب البحرية</w:t>
            </w:r>
            <w:r w:rsidRPr="004969DC">
              <w:rPr>
                <w:rFonts w:cs="Simplified Arabic" w:hint="cs"/>
                <w:sz w:val="20"/>
                <w:szCs w:val="22"/>
                <w:rtl/>
                <w:lang w:val="en-CA"/>
              </w:rPr>
              <w:t xml:space="preserve"> الذي يتضمن نوعي</w:t>
            </w:r>
            <w:r w:rsidRPr="004969DC">
              <w:rPr>
                <w:rFonts w:cs="Simplified Arabic"/>
                <w:sz w:val="20"/>
                <w:szCs w:val="22"/>
                <w:rtl/>
                <w:lang w:val="en-CA"/>
              </w:rPr>
              <w:t xml:space="preserve"> </w:t>
            </w:r>
            <w:r w:rsidRPr="004969DC">
              <w:rPr>
                <w:rFonts w:cs="Simplified Arabic"/>
                <w:i/>
                <w:iCs/>
                <w:sz w:val="20"/>
                <w:szCs w:val="22"/>
                <w:lang w:val="en-CA"/>
              </w:rPr>
              <w:t>Cystoseira barbata</w:t>
            </w:r>
            <w:r w:rsidRPr="004969DC">
              <w:rPr>
                <w:rFonts w:cs="Simplified Arabic"/>
                <w:sz w:val="20"/>
                <w:szCs w:val="22"/>
                <w:rtl/>
                <w:lang w:val="en-CA"/>
              </w:rPr>
              <w:t xml:space="preserve"> و</w:t>
            </w:r>
            <w:r w:rsidRPr="004969DC">
              <w:rPr>
                <w:rFonts w:cs="Simplified Arabic"/>
                <w:i/>
                <w:iCs/>
                <w:sz w:val="20"/>
                <w:szCs w:val="22"/>
                <w:lang w:val="en-CA"/>
              </w:rPr>
              <w:t>Ceramium rubrum</w:t>
            </w:r>
            <w:r w:rsidRPr="004969DC">
              <w:rPr>
                <w:rFonts w:cs="Simplified Arabic"/>
                <w:i/>
                <w:iCs/>
                <w:sz w:val="20"/>
                <w:szCs w:val="22"/>
                <w:rtl/>
                <w:lang w:val="en-CA"/>
              </w:rPr>
              <w:t xml:space="preserve"> </w:t>
            </w:r>
            <w:r w:rsidRPr="004969DC">
              <w:rPr>
                <w:rFonts w:cs="Simplified Arabic" w:hint="cs"/>
                <w:sz w:val="20"/>
                <w:szCs w:val="22"/>
                <w:rtl/>
                <w:lang w:val="en-CA"/>
              </w:rPr>
              <w:t>ملاذاً</w:t>
            </w:r>
            <w:r w:rsidRPr="004969DC">
              <w:rPr>
                <w:rFonts w:cs="Simplified Arabic"/>
                <w:sz w:val="20"/>
                <w:szCs w:val="22"/>
                <w:rtl/>
                <w:lang w:val="en-CA"/>
              </w:rPr>
              <w:t xml:space="preserve"> للعديد من الأسماك والأنواع اللافقارية. </w:t>
            </w:r>
            <w:r w:rsidRPr="004969DC">
              <w:rPr>
                <w:rFonts w:cs="Simplified Arabic" w:hint="cs"/>
                <w:sz w:val="20"/>
                <w:szCs w:val="22"/>
                <w:rtl/>
                <w:lang w:val="en-CA"/>
              </w:rPr>
              <w:t>وي</w:t>
            </w:r>
            <w:r w:rsidRPr="004969DC">
              <w:rPr>
                <w:rFonts w:cs="Simplified Arabic"/>
                <w:sz w:val="20"/>
                <w:szCs w:val="22"/>
                <w:rtl/>
                <w:lang w:val="en-CA"/>
              </w:rPr>
              <w:t>لتصق بلح البحر (</w:t>
            </w:r>
            <w:r w:rsidRPr="004969DC">
              <w:rPr>
                <w:rFonts w:cs="Simplified Arabic"/>
                <w:i/>
                <w:iCs/>
                <w:sz w:val="20"/>
                <w:szCs w:val="22"/>
                <w:lang w:val="en-CA"/>
              </w:rPr>
              <w:t>Mytilus</w:t>
            </w:r>
            <w:r w:rsidRPr="004969DC">
              <w:rPr>
                <w:rFonts w:cs="Simplified Arabic" w:hint="cs"/>
                <w:sz w:val="20"/>
                <w:szCs w:val="22"/>
                <w:rtl/>
                <w:lang w:val="en-CA"/>
              </w:rPr>
              <w:t xml:space="preserve"> </w:t>
            </w:r>
            <w:r w:rsidRPr="004969DC">
              <w:rPr>
                <w:rFonts w:cs="Simplified Arabic"/>
                <w:i/>
                <w:iCs/>
                <w:sz w:val="20"/>
                <w:szCs w:val="22"/>
                <w:lang w:val="en-CA"/>
              </w:rPr>
              <w:t>galloprovincialis</w:t>
            </w:r>
            <w:r w:rsidRPr="004969DC">
              <w:rPr>
                <w:rFonts w:cs="Simplified Arabic"/>
                <w:sz w:val="20"/>
                <w:szCs w:val="22"/>
                <w:rtl/>
                <w:lang w:val="en-CA"/>
              </w:rPr>
              <w:t xml:space="preserve">) </w:t>
            </w:r>
            <w:r w:rsidRPr="004969DC">
              <w:rPr>
                <w:rFonts w:cs="Simplified Arabic" w:hint="cs"/>
                <w:sz w:val="20"/>
                <w:szCs w:val="22"/>
                <w:rtl/>
                <w:lang w:val="en-CA"/>
              </w:rPr>
              <w:t>وغيره من الرخويات ذوات</w:t>
            </w:r>
            <w:r w:rsidRPr="004969DC">
              <w:rPr>
                <w:rFonts w:cs="Simplified Arabic"/>
                <w:sz w:val="20"/>
                <w:szCs w:val="22"/>
                <w:rtl/>
                <w:lang w:val="en-CA"/>
              </w:rPr>
              <w:t xml:space="preserve"> الصدفتين بصخور البحر. </w:t>
            </w:r>
            <w:r w:rsidRPr="004969DC">
              <w:rPr>
                <w:rFonts w:cs="Simplified Arabic" w:hint="cs"/>
                <w:sz w:val="20"/>
                <w:szCs w:val="22"/>
                <w:rtl/>
                <w:lang w:val="en-CA"/>
              </w:rPr>
              <w:t>و</w:t>
            </w:r>
            <w:r w:rsidRPr="004969DC">
              <w:rPr>
                <w:rFonts w:cs="Simplified Arabic"/>
                <w:sz w:val="20"/>
                <w:szCs w:val="22"/>
                <w:rtl/>
                <w:lang w:val="en-CA"/>
              </w:rPr>
              <w:t xml:space="preserve">توفر المنطقة الصخرية </w:t>
            </w:r>
            <w:r w:rsidRPr="004969DC">
              <w:rPr>
                <w:rFonts w:cs="Simplified Arabic" w:hint="cs"/>
                <w:sz w:val="20"/>
                <w:szCs w:val="22"/>
                <w:rtl/>
                <w:lang w:val="en-CA"/>
              </w:rPr>
              <w:t>المأوى وأماكن العلف</w:t>
            </w:r>
            <w:r w:rsidRPr="004969DC">
              <w:rPr>
                <w:rFonts w:cs="Simplified Arabic"/>
                <w:sz w:val="20"/>
                <w:szCs w:val="22"/>
                <w:rtl/>
                <w:lang w:val="en-CA"/>
              </w:rPr>
              <w:t xml:space="preserve"> لأنواع مختلفة من الأسماك.</w:t>
            </w:r>
            <w:r w:rsidRPr="004969DC">
              <w:rPr>
                <w:rFonts w:cs="Simplified Arabic" w:hint="cs"/>
                <w:sz w:val="20"/>
                <w:szCs w:val="22"/>
                <w:rtl/>
                <w:lang w:val="en-CA"/>
              </w:rPr>
              <w:t xml:space="preserve"> وينتشر</w:t>
            </w:r>
            <w:r w:rsidRPr="004969DC">
              <w:rPr>
                <w:rFonts w:cs="Simplified Arabic"/>
                <w:sz w:val="20"/>
                <w:szCs w:val="22"/>
                <w:rtl/>
                <w:lang w:val="en-CA"/>
              </w:rPr>
              <w:t xml:space="preserve"> البعض منه</w:t>
            </w:r>
            <w:r w:rsidRPr="004969DC">
              <w:rPr>
                <w:rFonts w:cs="Simplified Arabic" w:hint="cs"/>
                <w:sz w:val="20"/>
                <w:szCs w:val="22"/>
                <w:rtl/>
                <w:lang w:val="en-CA"/>
              </w:rPr>
              <w:t>ا</w:t>
            </w:r>
            <w:r w:rsidRPr="004969DC">
              <w:rPr>
                <w:rFonts w:cs="Simplified Arabic"/>
                <w:sz w:val="20"/>
                <w:szCs w:val="22"/>
                <w:rtl/>
                <w:lang w:val="en-CA"/>
              </w:rPr>
              <w:t>، مثل</w:t>
            </w:r>
            <w:r w:rsidRPr="004969DC">
              <w:rPr>
                <w:rFonts w:cs="Simplified Arabic" w:hint="cs"/>
                <w:sz w:val="20"/>
                <w:szCs w:val="22"/>
                <w:rtl/>
                <w:lang w:val="en-CA"/>
              </w:rPr>
              <w:t xml:space="preserve"> سمك الرأس</w:t>
            </w:r>
            <w:r w:rsidRPr="004969DC">
              <w:rPr>
                <w:rFonts w:cs="Simplified Arabic"/>
                <w:sz w:val="20"/>
                <w:szCs w:val="22"/>
                <w:rtl/>
                <w:lang w:val="en-CA"/>
              </w:rPr>
              <w:t xml:space="preserve"> الطاووس </w:t>
            </w:r>
            <w:r w:rsidRPr="004969DC">
              <w:rPr>
                <w:rFonts w:cs="Simplified Arabic"/>
                <w:sz w:val="20"/>
                <w:szCs w:val="22"/>
                <w:lang w:val="en-CA"/>
              </w:rPr>
              <w:t>(</w:t>
            </w:r>
            <w:r w:rsidRPr="004969DC">
              <w:rPr>
                <w:rFonts w:cs="Simplified Arabic"/>
                <w:i/>
                <w:sz w:val="20"/>
                <w:szCs w:val="22"/>
                <w:lang w:val="en-CA"/>
              </w:rPr>
              <w:t>Symphodus tinca</w:t>
            </w:r>
            <w:r w:rsidRPr="004969DC">
              <w:rPr>
                <w:rFonts w:cs="Simplified Arabic"/>
                <w:sz w:val="20"/>
                <w:szCs w:val="22"/>
                <w:lang w:val="en-CA"/>
              </w:rPr>
              <w:t>)</w:t>
            </w:r>
            <w:r w:rsidRPr="004969DC">
              <w:rPr>
                <w:rFonts w:cs="Simplified Arabic"/>
                <w:sz w:val="20"/>
                <w:szCs w:val="22"/>
                <w:rtl/>
                <w:lang w:val="en-CA"/>
              </w:rPr>
              <w:t xml:space="preserve">، </w:t>
            </w:r>
            <w:r w:rsidRPr="004969DC">
              <w:rPr>
                <w:rFonts w:cs="Simplified Arabic" w:hint="cs"/>
                <w:sz w:val="20"/>
                <w:szCs w:val="22"/>
                <w:rtl/>
                <w:lang w:val="en-CA"/>
              </w:rPr>
              <w:t xml:space="preserve">بشكل أكبر </w:t>
            </w:r>
            <w:r w:rsidRPr="004969DC">
              <w:rPr>
                <w:rFonts w:cs="Simplified Arabic"/>
                <w:sz w:val="20"/>
                <w:szCs w:val="22"/>
                <w:rtl/>
                <w:lang w:val="en-CA"/>
              </w:rPr>
              <w:t xml:space="preserve">بالقرب من </w:t>
            </w:r>
            <w:r w:rsidRPr="004969DC">
              <w:rPr>
                <w:rFonts w:cs="Simplified Arabic" w:hint="cs"/>
                <w:sz w:val="20"/>
                <w:szCs w:val="22"/>
                <w:rtl/>
                <w:lang w:val="en-CA"/>
              </w:rPr>
              <w:t>منطقة ساربي</w:t>
            </w:r>
            <w:r w:rsidRPr="004969DC">
              <w:rPr>
                <w:rFonts w:cs="Simplified Arabic"/>
                <w:sz w:val="20"/>
                <w:szCs w:val="22"/>
                <w:rtl/>
                <w:lang w:val="en-CA"/>
              </w:rPr>
              <w:t xml:space="preserve"> </w:t>
            </w:r>
            <w:r w:rsidRPr="004969DC">
              <w:rPr>
                <w:rFonts w:cs="Simplified Arabic" w:hint="cs"/>
                <w:sz w:val="20"/>
                <w:szCs w:val="22"/>
                <w:rtl/>
                <w:lang w:val="en-CA"/>
              </w:rPr>
              <w:t>أكثر من انتشاره في</w:t>
            </w:r>
            <w:r w:rsidRPr="004969DC">
              <w:rPr>
                <w:rFonts w:cs="Simplified Arabic"/>
                <w:sz w:val="20"/>
                <w:szCs w:val="22"/>
                <w:rtl/>
                <w:lang w:val="en-CA"/>
              </w:rPr>
              <w:t xml:space="preserve"> أي </w:t>
            </w:r>
            <w:r w:rsidRPr="004969DC">
              <w:rPr>
                <w:rFonts w:cs="Simplified Arabic" w:hint="cs"/>
                <w:sz w:val="20"/>
                <w:szCs w:val="22"/>
                <w:rtl/>
                <w:lang w:val="en-CA"/>
              </w:rPr>
              <w:t>مكان آخر</w:t>
            </w:r>
            <w:r w:rsidRPr="004969DC">
              <w:rPr>
                <w:rFonts w:cs="Simplified Arabic"/>
                <w:sz w:val="20"/>
                <w:szCs w:val="22"/>
                <w:rtl/>
                <w:lang w:val="en-CA"/>
              </w:rPr>
              <w:t xml:space="preserve"> في المنطقة. </w:t>
            </w:r>
            <w:r w:rsidRPr="004969DC">
              <w:rPr>
                <w:rFonts w:cs="Simplified Arabic" w:hint="cs"/>
                <w:sz w:val="20"/>
                <w:szCs w:val="22"/>
                <w:rtl/>
                <w:lang w:val="en-CA"/>
              </w:rPr>
              <w:t>و</w:t>
            </w:r>
            <w:r w:rsidRPr="004969DC">
              <w:rPr>
                <w:rFonts w:cs="Simplified Arabic"/>
                <w:sz w:val="20"/>
                <w:szCs w:val="22"/>
                <w:rtl/>
                <w:lang w:val="en-CA"/>
              </w:rPr>
              <w:t>تتداخل</w:t>
            </w:r>
            <w:r w:rsidRPr="004969DC">
              <w:rPr>
                <w:rFonts w:cs="Simplified Arabic" w:hint="cs"/>
                <w:sz w:val="20"/>
                <w:szCs w:val="22"/>
                <w:rtl/>
                <w:lang w:val="en-CA"/>
              </w:rPr>
              <w:t xml:space="preserve"> هذه</w:t>
            </w:r>
            <w:r w:rsidRPr="004969DC">
              <w:rPr>
                <w:rFonts w:cs="Simplified Arabic"/>
                <w:sz w:val="20"/>
                <w:szCs w:val="22"/>
                <w:rtl/>
                <w:lang w:val="en-CA"/>
              </w:rPr>
              <w:t xml:space="preserve"> المنطقة مع منطقة </w:t>
            </w:r>
            <w:r w:rsidRPr="004969DC">
              <w:rPr>
                <w:rFonts w:cs="Simplified Arabic" w:hint="cs"/>
                <w:sz w:val="20"/>
                <w:szCs w:val="22"/>
                <w:rtl/>
                <w:lang w:val="en-CA"/>
              </w:rPr>
              <w:t>لا تستخدم للإنسال وتنطوي على أهمية عالمية</w:t>
            </w:r>
            <w:r w:rsidRPr="004969DC">
              <w:rPr>
                <w:rFonts w:cs="Simplified Arabic"/>
                <w:sz w:val="20"/>
                <w:szCs w:val="22"/>
                <w:rtl/>
                <w:lang w:val="en-CA"/>
              </w:rPr>
              <w:t xml:space="preserve"> </w:t>
            </w:r>
            <w:r w:rsidRPr="004969DC">
              <w:rPr>
                <w:rFonts w:cs="Simplified Arabic" w:hint="cs"/>
                <w:sz w:val="20"/>
                <w:szCs w:val="22"/>
                <w:rtl/>
                <w:lang w:val="en-CA"/>
              </w:rPr>
              <w:t>لطائر جلم البحر الأبيض المتوسط</w:t>
            </w:r>
            <w:r w:rsidRPr="004969DC">
              <w:rPr>
                <w:rFonts w:cs="Simplified Arabic"/>
                <w:sz w:val="20"/>
                <w:szCs w:val="22"/>
                <w:rtl/>
                <w:lang w:val="en-CA"/>
              </w:rPr>
              <w:t xml:space="preserve"> (</w:t>
            </w:r>
            <w:r w:rsidRPr="004969DC">
              <w:rPr>
                <w:rFonts w:cs="Simplified Arabic"/>
                <w:i/>
                <w:sz w:val="20"/>
                <w:szCs w:val="22"/>
                <w:lang w:val="en-CA"/>
              </w:rPr>
              <w:t>Puffinus yelkouan</w:t>
            </w:r>
            <w:r w:rsidRPr="004969DC">
              <w:rPr>
                <w:rFonts w:cs="Simplified Arabic"/>
                <w:sz w:val="20"/>
                <w:szCs w:val="22"/>
                <w:rtl/>
                <w:lang w:val="en-CA"/>
              </w:rPr>
              <w:t xml:space="preserve">). </w:t>
            </w:r>
            <w:r w:rsidRPr="004969DC">
              <w:rPr>
                <w:rFonts w:cs="Simplified Arabic" w:hint="cs"/>
                <w:sz w:val="20"/>
                <w:szCs w:val="22"/>
                <w:rtl/>
                <w:lang w:val="en-CA"/>
              </w:rPr>
              <w:t>وتقع هذه المنطقة أيضاً</w:t>
            </w:r>
            <w:r w:rsidRPr="004969DC">
              <w:rPr>
                <w:rFonts w:cs="Simplified Arabic"/>
                <w:sz w:val="20"/>
                <w:szCs w:val="22"/>
                <w:rtl/>
                <w:lang w:val="en-CA"/>
              </w:rPr>
              <w:t xml:space="preserve"> بالقرب من مستعمرات </w:t>
            </w:r>
            <w:r w:rsidRPr="004969DC">
              <w:rPr>
                <w:rFonts w:cs="Simplified Arabic" w:hint="cs"/>
                <w:sz w:val="20"/>
                <w:szCs w:val="22"/>
                <w:rtl/>
                <w:lang w:val="en-CA"/>
              </w:rPr>
              <w:t>النُويعات</w:t>
            </w:r>
            <w:r w:rsidRPr="004969DC">
              <w:rPr>
                <w:rFonts w:cs="Simplified Arabic"/>
                <w:sz w:val="20"/>
                <w:szCs w:val="22"/>
                <w:rtl/>
                <w:lang w:val="en-CA"/>
              </w:rPr>
              <w:t xml:space="preserve"> المتوسطية</w:t>
            </w:r>
            <w:r w:rsidRPr="004969DC">
              <w:rPr>
                <w:rFonts w:cs="Simplified Arabic" w:hint="cs"/>
                <w:sz w:val="20"/>
                <w:szCs w:val="22"/>
                <w:rtl/>
                <w:lang w:val="en-CA"/>
              </w:rPr>
              <w:t xml:space="preserve"> المستوطنة</w:t>
            </w:r>
            <w:r w:rsidRPr="004969DC">
              <w:rPr>
                <w:rFonts w:cs="Simplified Arabic"/>
                <w:sz w:val="20"/>
                <w:szCs w:val="22"/>
                <w:rtl/>
                <w:lang w:val="en-CA"/>
              </w:rPr>
              <w:t xml:space="preserve"> </w:t>
            </w:r>
            <w:r w:rsidRPr="004969DC">
              <w:rPr>
                <w:rFonts w:cs="Simplified Arabic" w:hint="cs"/>
                <w:sz w:val="20"/>
                <w:szCs w:val="22"/>
                <w:rtl/>
                <w:lang w:val="en-CA"/>
              </w:rPr>
              <w:t>لطائر</w:t>
            </w:r>
            <w:r w:rsidRPr="004969DC">
              <w:rPr>
                <w:rFonts w:cs="Simplified Arabic"/>
                <w:sz w:val="20"/>
                <w:szCs w:val="22"/>
                <w:rtl/>
                <w:lang w:val="en-CA"/>
              </w:rPr>
              <w:t xml:space="preserve"> ال</w:t>
            </w:r>
            <w:r w:rsidRPr="004969DC">
              <w:rPr>
                <w:rFonts w:cs="Simplified Arabic" w:hint="cs"/>
                <w:sz w:val="20"/>
                <w:szCs w:val="22"/>
                <w:rtl/>
                <w:lang w:val="en-CA"/>
              </w:rPr>
              <w:t>غاقة</w:t>
            </w:r>
            <w:r w:rsidRPr="004969DC">
              <w:rPr>
                <w:rFonts w:cs="Simplified Arabic"/>
                <w:sz w:val="20"/>
                <w:szCs w:val="22"/>
                <w:rtl/>
                <w:lang w:val="en-CA"/>
              </w:rPr>
              <w:t xml:space="preserve"> الأوروبي</w:t>
            </w:r>
            <w:r w:rsidRPr="004969DC">
              <w:rPr>
                <w:rFonts w:cs="Simplified Arabic" w:hint="cs"/>
                <w:sz w:val="20"/>
                <w:szCs w:val="22"/>
                <w:rtl/>
                <w:lang w:val="en-CA"/>
              </w:rPr>
              <w:t>ة</w:t>
            </w:r>
            <w:r w:rsidRPr="004969DC">
              <w:rPr>
                <w:rFonts w:cs="Simplified Arabic"/>
                <w:sz w:val="20"/>
                <w:szCs w:val="22"/>
                <w:rtl/>
                <w:lang w:val="en-CA"/>
              </w:rPr>
              <w:t xml:space="preserve"> (</w:t>
            </w:r>
            <w:r w:rsidRPr="004969DC">
              <w:rPr>
                <w:rFonts w:cs="Simplified Arabic"/>
                <w:i/>
                <w:sz w:val="20"/>
                <w:szCs w:val="22"/>
                <w:lang w:val="en-CA"/>
              </w:rPr>
              <w:t>Phalacrocorax aristotelis desmarestii</w:t>
            </w:r>
            <w:r w:rsidRPr="004969DC">
              <w:rPr>
                <w:rFonts w:cs="Simplified Arabic"/>
                <w:sz w:val="20"/>
                <w:szCs w:val="22"/>
                <w:rtl/>
                <w:lang w:val="en-CA"/>
              </w:rPr>
              <w:t xml:space="preserve">)، </w:t>
            </w:r>
            <w:r w:rsidRPr="004969DC">
              <w:rPr>
                <w:rFonts w:cs="Simplified Arabic" w:hint="cs"/>
                <w:sz w:val="20"/>
                <w:szCs w:val="22"/>
                <w:rtl/>
                <w:lang w:val="en-CA"/>
              </w:rPr>
              <w:t>ومن ثم، فهي ذات أهمية محتملة</w:t>
            </w:r>
            <w:r w:rsidRPr="004969DC">
              <w:rPr>
                <w:rFonts w:cs="Simplified Arabic"/>
                <w:sz w:val="20"/>
                <w:szCs w:val="22"/>
                <w:rtl/>
                <w:lang w:val="en-CA"/>
              </w:rPr>
              <w:t xml:space="preserve"> لهذه </w:t>
            </w:r>
            <w:r w:rsidRPr="004969DC">
              <w:rPr>
                <w:rFonts w:cs="Simplified Arabic" w:hint="cs"/>
                <w:sz w:val="20"/>
                <w:szCs w:val="22"/>
                <w:rtl/>
                <w:lang w:val="en-CA"/>
              </w:rPr>
              <w:t>النُويعات</w:t>
            </w:r>
            <w:r w:rsidRPr="004969DC">
              <w:rPr>
                <w:rFonts w:cs="Simplified Arabic"/>
                <w:sz w:val="20"/>
                <w:szCs w:val="22"/>
                <w:rtl/>
                <w:lang w:val="en-CA"/>
              </w:rPr>
              <w:t xml:space="preserve"> خلال موسم ال</w:t>
            </w:r>
            <w:r w:rsidRPr="004969DC">
              <w:rPr>
                <w:rFonts w:cs="Simplified Arabic" w:hint="cs"/>
                <w:sz w:val="20"/>
                <w:szCs w:val="22"/>
                <w:rtl/>
                <w:lang w:val="en-CA"/>
              </w:rPr>
              <w:t>إنسال</w:t>
            </w:r>
            <w:r w:rsidRPr="004969DC">
              <w:rPr>
                <w:rFonts w:cs="Simplified Arabic"/>
                <w:sz w:val="20"/>
                <w:szCs w:val="22"/>
                <w:rtl/>
                <w:lang w:val="en-CA"/>
              </w:rPr>
              <w:t xml:space="preserve">. </w:t>
            </w:r>
            <w:r w:rsidRPr="004969DC">
              <w:rPr>
                <w:rFonts w:cs="Simplified Arabic" w:hint="cs"/>
                <w:sz w:val="20"/>
                <w:szCs w:val="22"/>
                <w:rtl/>
                <w:lang w:val="en-CA"/>
              </w:rPr>
              <w:t>و</w:t>
            </w:r>
            <w:r w:rsidRPr="004969DC">
              <w:rPr>
                <w:rFonts w:cs="Simplified Arabic"/>
                <w:sz w:val="20"/>
                <w:szCs w:val="22"/>
                <w:rtl/>
                <w:lang w:val="en-CA"/>
              </w:rPr>
              <w:t>تستخدم ح</w:t>
            </w:r>
            <w:r w:rsidRPr="004969DC">
              <w:rPr>
                <w:rFonts w:cs="Simplified Arabic" w:hint="cs"/>
                <w:sz w:val="20"/>
                <w:szCs w:val="22"/>
                <w:rtl/>
                <w:lang w:val="en-CA"/>
              </w:rPr>
              <w:t>يتانيات</w:t>
            </w:r>
            <w:r w:rsidRPr="004969DC">
              <w:rPr>
                <w:rFonts w:cs="Simplified Arabic"/>
                <w:sz w:val="20"/>
                <w:szCs w:val="22"/>
                <w:rtl/>
                <w:lang w:val="en-CA"/>
              </w:rPr>
              <w:t xml:space="preserve"> البحر الأسود</w:t>
            </w:r>
            <w:r w:rsidRPr="004969DC">
              <w:rPr>
                <w:rFonts w:cs="Simplified Arabic" w:hint="cs"/>
                <w:sz w:val="20"/>
                <w:szCs w:val="22"/>
                <w:rtl/>
                <w:lang w:val="en-CA"/>
              </w:rPr>
              <w:t xml:space="preserve"> هذة</w:t>
            </w:r>
            <w:r w:rsidRPr="004969DC">
              <w:rPr>
                <w:rFonts w:cs="Simplified Arabic"/>
                <w:sz w:val="20"/>
                <w:szCs w:val="22"/>
                <w:rtl/>
                <w:lang w:val="en-CA"/>
              </w:rPr>
              <w:t xml:space="preserve"> المنطقة </w:t>
            </w:r>
            <w:r w:rsidRPr="004969DC">
              <w:rPr>
                <w:rFonts w:cs="Simplified Arabic" w:hint="cs"/>
                <w:sz w:val="20"/>
                <w:szCs w:val="22"/>
                <w:rtl/>
                <w:lang w:val="en-CA"/>
              </w:rPr>
              <w:t xml:space="preserve">كمكان </w:t>
            </w:r>
            <w:r w:rsidRPr="004969DC">
              <w:rPr>
                <w:rFonts w:cs="Simplified Arabic"/>
                <w:sz w:val="20"/>
                <w:szCs w:val="22"/>
                <w:rtl/>
                <w:lang w:val="en-CA"/>
              </w:rPr>
              <w:t>للتغذية وربما لل</w:t>
            </w:r>
            <w:r w:rsidRPr="004969DC">
              <w:rPr>
                <w:rFonts w:cs="Simplified Arabic" w:hint="cs"/>
                <w:sz w:val="20"/>
                <w:szCs w:val="22"/>
                <w:rtl/>
                <w:lang w:val="en-CA"/>
              </w:rPr>
              <w:t>إنسال</w:t>
            </w:r>
            <w:r w:rsidRPr="004969DC">
              <w:rPr>
                <w:rFonts w:cs="Simplified Arabic"/>
                <w:sz w:val="20"/>
                <w:szCs w:val="22"/>
                <w:lang w:val="en-CA"/>
              </w:rPr>
              <w:t>.</w:t>
            </w:r>
          </w:p>
        </w:tc>
        <w:tc>
          <w:tcPr>
            <w:tcW w:w="506" w:type="dxa"/>
            <w:vAlign w:val="center"/>
          </w:tcPr>
          <w:p w:rsidR="000A5DEA" w:rsidRPr="00E2695B" w:rsidRDefault="000A5DEA" w:rsidP="005C478D">
            <w:pPr>
              <w:rPr>
                <w:sz w:val="20"/>
                <w:szCs w:val="22"/>
              </w:rPr>
            </w:pPr>
            <w:r w:rsidRPr="00E2695B">
              <w:rPr>
                <w:sz w:val="20"/>
                <w:szCs w:val="22"/>
              </w:rPr>
              <w:t>M</w:t>
            </w:r>
          </w:p>
        </w:tc>
        <w:tc>
          <w:tcPr>
            <w:tcW w:w="506" w:type="dxa"/>
            <w:vAlign w:val="center"/>
          </w:tcPr>
          <w:p w:rsidR="000A5DEA" w:rsidRPr="00E2695B" w:rsidRDefault="000A5DEA" w:rsidP="005C478D">
            <w:pPr>
              <w:rPr>
                <w:sz w:val="20"/>
                <w:szCs w:val="22"/>
              </w:rPr>
            </w:pPr>
            <w:r w:rsidRPr="00E2695B">
              <w:rPr>
                <w:sz w:val="20"/>
                <w:szCs w:val="22"/>
              </w:rPr>
              <w:t>H</w:t>
            </w:r>
          </w:p>
        </w:tc>
        <w:tc>
          <w:tcPr>
            <w:tcW w:w="506" w:type="dxa"/>
            <w:vAlign w:val="center"/>
          </w:tcPr>
          <w:p w:rsidR="000A5DEA" w:rsidRPr="00E2695B" w:rsidRDefault="000A5DEA" w:rsidP="005C478D">
            <w:pPr>
              <w:rPr>
                <w:sz w:val="20"/>
                <w:szCs w:val="22"/>
              </w:rPr>
            </w:pPr>
            <w:r w:rsidRPr="00E2695B">
              <w:rPr>
                <w:sz w:val="20"/>
                <w:szCs w:val="22"/>
              </w:rPr>
              <w:t>M</w:t>
            </w:r>
          </w:p>
        </w:tc>
        <w:tc>
          <w:tcPr>
            <w:tcW w:w="506" w:type="dxa"/>
            <w:vAlign w:val="center"/>
          </w:tcPr>
          <w:p w:rsidR="000A5DEA" w:rsidRPr="00E2695B" w:rsidRDefault="000A5DEA" w:rsidP="005C478D">
            <w:pPr>
              <w:rPr>
                <w:sz w:val="20"/>
                <w:szCs w:val="22"/>
              </w:rPr>
            </w:pPr>
            <w:r w:rsidRPr="00E2695B">
              <w:rPr>
                <w:sz w:val="20"/>
                <w:szCs w:val="22"/>
              </w:rPr>
              <w:t>H</w:t>
            </w:r>
          </w:p>
        </w:tc>
        <w:tc>
          <w:tcPr>
            <w:tcW w:w="506" w:type="dxa"/>
            <w:vAlign w:val="center"/>
          </w:tcPr>
          <w:p w:rsidR="000A5DEA" w:rsidRPr="00E2695B" w:rsidRDefault="000A5DEA" w:rsidP="005C478D">
            <w:pPr>
              <w:rPr>
                <w:sz w:val="20"/>
                <w:szCs w:val="22"/>
              </w:rPr>
            </w:pPr>
            <w:r w:rsidRPr="00E2695B">
              <w:rPr>
                <w:sz w:val="20"/>
                <w:szCs w:val="22"/>
              </w:rPr>
              <w:t>-</w:t>
            </w:r>
          </w:p>
        </w:tc>
        <w:tc>
          <w:tcPr>
            <w:tcW w:w="506" w:type="dxa"/>
            <w:vAlign w:val="center"/>
          </w:tcPr>
          <w:p w:rsidR="000A5DEA" w:rsidRPr="00E2695B" w:rsidRDefault="000A5DEA" w:rsidP="005C478D">
            <w:pPr>
              <w:rPr>
                <w:sz w:val="20"/>
                <w:szCs w:val="22"/>
              </w:rPr>
            </w:pPr>
            <w:r w:rsidRPr="00E2695B">
              <w:rPr>
                <w:sz w:val="20"/>
                <w:szCs w:val="22"/>
              </w:rPr>
              <w:t>H</w:t>
            </w:r>
          </w:p>
        </w:tc>
        <w:tc>
          <w:tcPr>
            <w:tcW w:w="507" w:type="dxa"/>
            <w:vAlign w:val="center"/>
          </w:tcPr>
          <w:p w:rsidR="000A5DEA" w:rsidRPr="00E2695B" w:rsidRDefault="000A5DEA" w:rsidP="005C478D">
            <w:pP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n-CA"/>
              </w:rPr>
            </w:pPr>
            <w:bookmarkStart w:id="33" w:name="_Toc524295475"/>
            <w:bookmarkStart w:id="34" w:name="_Toc6071555"/>
            <w:r w:rsidRPr="004969DC">
              <w:rPr>
                <w:rFonts w:hint="cs"/>
                <w:bCs/>
                <w:sz w:val="20"/>
                <w:szCs w:val="22"/>
                <w:rtl/>
              </w:rPr>
              <w:t>14-</w:t>
            </w:r>
            <w:r w:rsidRPr="004969DC">
              <w:rPr>
                <w:bCs/>
                <w:sz w:val="20"/>
                <w:szCs w:val="22"/>
                <w:rtl/>
              </w:rPr>
              <w:t xml:space="preserve"> </w:t>
            </w:r>
            <w:r w:rsidRPr="004969DC">
              <w:rPr>
                <w:rFonts w:hint="cs"/>
                <w:bCs/>
                <w:sz w:val="20"/>
                <w:szCs w:val="22"/>
                <w:rtl/>
              </w:rPr>
              <w:t>أ</w:t>
            </w:r>
            <w:r w:rsidRPr="004969DC">
              <w:rPr>
                <w:bCs/>
                <w:sz w:val="20"/>
                <w:szCs w:val="22"/>
                <w:rtl/>
              </w:rPr>
              <w:t>رتفين-</w:t>
            </w:r>
            <w:r w:rsidRPr="004969DC">
              <w:rPr>
                <w:rFonts w:hint="cs"/>
                <w:bCs/>
                <w:sz w:val="20"/>
                <w:szCs w:val="22"/>
                <w:rtl/>
              </w:rPr>
              <w:t xml:space="preserve"> </w:t>
            </w:r>
            <w:r w:rsidRPr="004969DC">
              <w:rPr>
                <w:bCs/>
                <w:sz w:val="20"/>
                <w:szCs w:val="22"/>
                <w:rtl/>
              </w:rPr>
              <w:t>أر</w:t>
            </w:r>
            <w:r w:rsidRPr="004969DC">
              <w:rPr>
                <w:rFonts w:hint="cs"/>
                <w:bCs/>
                <w:sz w:val="20"/>
                <w:szCs w:val="22"/>
                <w:rtl/>
              </w:rPr>
              <w:t>ه</w:t>
            </w:r>
            <w:r w:rsidRPr="004969DC">
              <w:rPr>
                <w:bCs/>
                <w:sz w:val="20"/>
                <w:szCs w:val="22"/>
                <w:rtl/>
              </w:rPr>
              <w:t>افي</w:t>
            </w:r>
            <w:bookmarkEnd w:id="33"/>
            <w:bookmarkEnd w:id="34"/>
          </w:p>
          <w:p w:rsidR="000A5DEA" w:rsidRPr="004969DC" w:rsidRDefault="000A5DEA" w:rsidP="00CD26C5">
            <w:pPr>
              <w:pStyle w:val="ListParagraph"/>
              <w:numPr>
                <w:ilvl w:val="0"/>
                <w:numId w:val="132"/>
              </w:numPr>
              <w:bidi/>
              <w:spacing w:after="0" w:line="204" w:lineRule="auto"/>
              <w:ind w:left="332" w:hanging="332"/>
              <w:rPr>
                <w:rFonts w:cs="Simplified Arabic"/>
                <w:sz w:val="20"/>
                <w:szCs w:val="22"/>
                <w:lang w:val="en-CA"/>
              </w:rPr>
            </w:pPr>
            <w:r w:rsidRPr="004969DC">
              <w:rPr>
                <w:rFonts w:cs="Simplified Arabic"/>
                <w:sz w:val="20"/>
                <w:szCs w:val="22"/>
                <w:rtl/>
                <w:lang w:val="en-CA"/>
              </w:rPr>
              <w:t>الموقع: إحداثيات</w:t>
            </w:r>
            <w:r w:rsidRPr="004969DC">
              <w:rPr>
                <w:rFonts w:cs="Simplified Arabic" w:hint="cs"/>
                <w:sz w:val="20"/>
                <w:szCs w:val="22"/>
                <w:rtl/>
                <w:lang w:val="en-CA"/>
              </w:rPr>
              <w:t xml:space="preserve"> هذه</w:t>
            </w:r>
            <w:r w:rsidRPr="004969DC">
              <w:rPr>
                <w:rFonts w:cs="Simplified Arabic"/>
                <w:sz w:val="20"/>
                <w:szCs w:val="22"/>
                <w:rtl/>
                <w:lang w:val="en-CA"/>
              </w:rPr>
              <w:t xml:space="preserve"> المنطقة هي</w:t>
            </w:r>
            <w:r w:rsidRPr="004969DC">
              <w:rPr>
                <w:rFonts w:cs="Simplified Arabic" w:hint="cs"/>
                <w:sz w:val="20"/>
                <w:szCs w:val="22"/>
                <w:rtl/>
                <w:lang w:val="en-CA"/>
              </w:rPr>
              <w:t xml:space="preserve"> على النحو التالي</w:t>
            </w:r>
            <w:r w:rsidRPr="004969DC">
              <w:rPr>
                <w:rFonts w:cs="Simplified Arabic"/>
                <w:sz w:val="20"/>
                <w:szCs w:val="22"/>
                <w:rtl/>
                <w:lang w:val="en-CA"/>
              </w:rPr>
              <w:t>:</w:t>
            </w:r>
            <w:r w:rsidRPr="004969DC">
              <w:rPr>
                <w:rFonts w:cs="Simplified Arabic" w:hint="cs"/>
                <w:sz w:val="20"/>
                <w:szCs w:val="22"/>
                <w:rtl/>
                <w:lang w:val="en-CA"/>
              </w:rPr>
              <w:t xml:space="preserve"> 41 21,48</w:t>
            </w:r>
            <w:r w:rsidRPr="004969DC">
              <w:rPr>
                <w:rFonts w:cs="Simplified Arabic"/>
                <w:sz w:val="20"/>
                <w:szCs w:val="22"/>
                <w:rtl/>
                <w:lang w:val="en-CA"/>
              </w:rPr>
              <w:t>'</w:t>
            </w:r>
            <w:r w:rsidRPr="004969DC">
              <w:rPr>
                <w:rFonts w:cs="Simplified Arabic" w:hint="cs"/>
                <w:sz w:val="20"/>
                <w:szCs w:val="22"/>
                <w:rtl/>
                <w:lang w:val="en-CA"/>
              </w:rPr>
              <w:t xml:space="preserve"> شمالاً- 41 18,824</w:t>
            </w:r>
            <w:r w:rsidRPr="004969DC">
              <w:rPr>
                <w:rFonts w:cs="Simplified Arabic"/>
                <w:sz w:val="20"/>
                <w:szCs w:val="22"/>
                <w:rtl/>
                <w:lang w:val="en-CA"/>
              </w:rPr>
              <w:t>'</w:t>
            </w:r>
            <w:r w:rsidRPr="004969DC">
              <w:rPr>
                <w:rFonts w:cs="Simplified Arabic" w:hint="cs"/>
                <w:sz w:val="20"/>
                <w:szCs w:val="22"/>
                <w:rtl/>
                <w:lang w:val="en-CA"/>
              </w:rPr>
              <w:t xml:space="preserve"> شرقاً،41 22,116</w:t>
            </w:r>
            <w:r w:rsidRPr="004969DC">
              <w:rPr>
                <w:rFonts w:cs="Simplified Arabic"/>
                <w:sz w:val="20"/>
                <w:szCs w:val="22"/>
                <w:rtl/>
                <w:lang w:val="en-CA"/>
              </w:rPr>
              <w:t>'</w:t>
            </w:r>
            <w:r w:rsidRPr="004969DC">
              <w:rPr>
                <w:rFonts w:cs="Simplified Arabic" w:hint="cs"/>
                <w:sz w:val="20"/>
                <w:szCs w:val="22"/>
                <w:rtl/>
                <w:lang w:val="en-CA"/>
              </w:rPr>
              <w:t xml:space="preserve"> شمالاً- 41 18,824</w:t>
            </w:r>
            <w:r w:rsidRPr="004969DC">
              <w:rPr>
                <w:rFonts w:cs="Simplified Arabic"/>
                <w:sz w:val="20"/>
                <w:szCs w:val="22"/>
                <w:rtl/>
                <w:lang w:val="en-CA"/>
              </w:rPr>
              <w:t>'</w:t>
            </w:r>
            <w:r w:rsidRPr="004969DC">
              <w:rPr>
                <w:rFonts w:cs="Simplified Arabic" w:hint="cs"/>
                <w:sz w:val="20"/>
                <w:szCs w:val="22"/>
                <w:rtl/>
                <w:lang w:val="en-CA"/>
              </w:rPr>
              <w:t xml:space="preserve"> شرقاً، 41 22,659</w:t>
            </w:r>
            <w:r w:rsidRPr="004969DC">
              <w:rPr>
                <w:rFonts w:cs="Simplified Arabic"/>
                <w:sz w:val="20"/>
                <w:szCs w:val="22"/>
                <w:rtl/>
                <w:lang w:val="en-CA"/>
              </w:rPr>
              <w:t>'</w:t>
            </w:r>
            <w:r w:rsidRPr="004969DC">
              <w:rPr>
                <w:rFonts w:cs="Simplified Arabic" w:hint="cs"/>
                <w:sz w:val="20"/>
                <w:szCs w:val="22"/>
                <w:rtl/>
                <w:lang w:val="en-CA"/>
              </w:rPr>
              <w:t xml:space="preserve"> شمالاً- 41 20,216</w:t>
            </w:r>
            <w:r w:rsidRPr="004969DC">
              <w:rPr>
                <w:rFonts w:cs="Simplified Arabic"/>
                <w:sz w:val="20"/>
                <w:szCs w:val="22"/>
                <w:rtl/>
                <w:lang w:val="en-CA"/>
              </w:rPr>
              <w:t>'</w:t>
            </w:r>
            <w:r w:rsidRPr="004969DC">
              <w:rPr>
                <w:rFonts w:cs="Simplified Arabic" w:hint="cs"/>
                <w:sz w:val="20"/>
                <w:szCs w:val="22"/>
                <w:rtl/>
                <w:lang w:val="en-CA"/>
              </w:rPr>
              <w:t xml:space="preserve"> شرقاً، 41 22,14</w:t>
            </w:r>
            <w:r w:rsidRPr="004969DC">
              <w:rPr>
                <w:rFonts w:cs="Simplified Arabic"/>
                <w:sz w:val="20"/>
                <w:szCs w:val="22"/>
                <w:rtl/>
                <w:lang w:val="en-CA"/>
              </w:rPr>
              <w:t>'</w:t>
            </w:r>
            <w:r w:rsidRPr="004969DC">
              <w:rPr>
                <w:rFonts w:cs="Simplified Arabic" w:hint="cs"/>
                <w:sz w:val="20"/>
                <w:szCs w:val="22"/>
                <w:rtl/>
                <w:lang w:val="en-CA"/>
              </w:rPr>
              <w:t xml:space="preserve"> شمالاً- 41 20,216</w:t>
            </w:r>
            <w:r w:rsidRPr="004969DC">
              <w:rPr>
                <w:rFonts w:cs="Simplified Arabic"/>
                <w:sz w:val="20"/>
                <w:szCs w:val="22"/>
                <w:rtl/>
                <w:lang w:val="en-CA"/>
              </w:rPr>
              <w:t>'</w:t>
            </w:r>
            <w:r w:rsidRPr="004969DC">
              <w:rPr>
                <w:rFonts w:cs="Simplified Arabic" w:hint="cs"/>
                <w:sz w:val="20"/>
                <w:szCs w:val="22"/>
                <w:rtl/>
                <w:lang w:val="en-CA"/>
              </w:rPr>
              <w:t xml:space="preserve"> شرقاً.</w:t>
            </w:r>
          </w:p>
          <w:p w:rsidR="000A5DEA" w:rsidRPr="004969DC" w:rsidRDefault="000A5DEA" w:rsidP="00CD26C5">
            <w:pPr>
              <w:pStyle w:val="ListParagraph"/>
              <w:numPr>
                <w:ilvl w:val="0"/>
                <w:numId w:val="132"/>
              </w:numPr>
              <w:bidi/>
              <w:spacing w:after="0" w:line="204" w:lineRule="auto"/>
              <w:ind w:left="332" w:hanging="332"/>
              <w:rPr>
                <w:rFonts w:cs="Simplified Arabic"/>
                <w:sz w:val="20"/>
                <w:szCs w:val="22"/>
                <w:lang w:val="en-CA"/>
              </w:rPr>
            </w:pPr>
            <w:r w:rsidRPr="004969DC">
              <w:rPr>
                <w:rFonts w:eastAsia="MS Mincho" w:cs="Simplified Arabic" w:hint="cs"/>
                <w:sz w:val="20"/>
                <w:szCs w:val="22"/>
                <w:rtl/>
              </w:rPr>
              <w:lastRenderedPageBreak/>
              <w:t>تكتسي هذه</w:t>
            </w:r>
            <w:r w:rsidRPr="004969DC">
              <w:rPr>
                <w:rFonts w:eastAsia="MS Mincho" w:cs="Simplified Arabic"/>
                <w:sz w:val="20"/>
                <w:szCs w:val="22"/>
                <w:rtl/>
              </w:rPr>
              <w:t xml:space="preserve"> المنطقة </w:t>
            </w:r>
            <w:r w:rsidRPr="004969DC">
              <w:rPr>
                <w:rFonts w:eastAsia="MS Mincho" w:cs="Simplified Arabic" w:hint="cs"/>
                <w:sz w:val="20"/>
                <w:szCs w:val="22"/>
                <w:rtl/>
              </w:rPr>
              <w:t>أهمية</w:t>
            </w:r>
            <w:r w:rsidRPr="004969DC">
              <w:rPr>
                <w:rFonts w:eastAsia="MS Mincho" w:cs="Simplified Arabic"/>
                <w:sz w:val="20"/>
                <w:szCs w:val="22"/>
                <w:rtl/>
              </w:rPr>
              <w:t xml:space="preserve"> رئيسي</w:t>
            </w:r>
            <w:r w:rsidRPr="004969DC">
              <w:rPr>
                <w:rFonts w:eastAsia="MS Mincho" w:cs="Simplified Arabic" w:hint="cs"/>
                <w:sz w:val="20"/>
                <w:szCs w:val="22"/>
                <w:rtl/>
              </w:rPr>
              <w:t>ة</w:t>
            </w:r>
            <w:r w:rsidRPr="004969DC">
              <w:rPr>
                <w:rFonts w:eastAsia="MS Mincho" w:cs="Simplified Arabic"/>
                <w:sz w:val="20"/>
                <w:szCs w:val="22"/>
                <w:rtl/>
              </w:rPr>
              <w:t xml:space="preserve"> لأنواع الأسماك ال</w:t>
            </w:r>
            <w:r w:rsidRPr="004969DC">
              <w:rPr>
                <w:rFonts w:eastAsia="MS Mincho" w:cs="Simplified Arabic" w:hint="cs"/>
                <w:sz w:val="20"/>
                <w:szCs w:val="22"/>
                <w:rtl/>
              </w:rPr>
              <w:t>يمّية</w:t>
            </w:r>
            <w:r w:rsidRPr="004969DC">
              <w:rPr>
                <w:rFonts w:eastAsia="MS Mincho" w:cs="Simplified Arabic"/>
                <w:sz w:val="20"/>
                <w:szCs w:val="22"/>
                <w:rtl/>
              </w:rPr>
              <w:t xml:space="preserve"> </w:t>
            </w:r>
            <w:r w:rsidRPr="004969DC">
              <w:rPr>
                <w:rFonts w:eastAsia="MS Mincho" w:cs="Simplified Arabic" w:hint="cs"/>
                <w:sz w:val="20"/>
                <w:szCs w:val="22"/>
                <w:rtl/>
              </w:rPr>
              <w:t>والقاعية</w:t>
            </w:r>
            <w:r w:rsidRPr="004969DC">
              <w:rPr>
                <w:rFonts w:eastAsia="MS Mincho" w:cs="Simplified Arabic"/>
                <w:sz w:val="20"/>
                <w:szCs w:val="22"/>
                <w:rtl/>
              </w:rPr>
              <w:t xml:space="preserve"> وأنواع الحيتانيات. </w:t>
            </w:r>
            <w:r w:rsidRPr="004969DC">
              <w:rPr>
                <w:rFonts w:eastAsia="MS Mincho" w:cs="Simplified Arabic" w:hint="cs"/>
                <w:sz w:val="20"/>
                <w:szCs w:val="22"/>
                <w:rtl/>
              </w:rPr>
              <w:t>و</w:t>
            </w:r>
            <w:r w:rsidRPr="004969DC">
              <w:rPr>
                <w:rFonts w:eastAsia="MS Mincho" w:cs="Simplified Arabic"/>
                <w:sz w:val="20"/>
                <w:szCs w:val="22"/>
                <w:rtl/>
              </w:rPr>
              <w:t>فيما يتعلق بالطيور، تتداخل المنطقة مع منطقة</w:t>
            </w:r>
            <w:r w:rsidRPr="004969DC">
              <w:rPr>
                <w:rFonts w:eastAsia="MS Mincho" w:cs="Simplified Arabic" w:hint="cs"/>
                <w:sz w:val="20"/>
                <w:szCs w:val="22"/>
                <w:rtl/>
              </w:rPr>
              <w:t xml:space="preserve"> بحرية</w:t>
            </w:r>
            <w:r w:rsidRPr="004969DC">
              <w:rPr>
                <w:rFonts w:eastAsia="MS Mincho" w:cs="Simplified Arabic"/>
                <w:sz w:val="20"/>
                <w:szCs w:val="22"/>
                <w:rtl/>
              </w:rPr>
              <w:t xml:space="preserve"> </w:t>
            </w:r>
            <w:r w:rsidRPr="004969DC">
              <w:rPr>
                <w:rFonts w:eastAsia="MS Mincho" w:cs="Simplified Arabic" w:hint="cs"/>
                <w:sz w:val="20"/>
                <w:szCs w:val="22"/>
                <w:rtl/>
              </w:rPr>
              <w:t>مهمة</w:t>
            </w:r>
            <w:r w:rsidRPr="004969DC">
              <w:rPr>
                <w:rFonts w:eastAsia="MS Mincho" w:cs="Simplified Arabic"/>
                <w:sz w:val="20"/>
                <w:szCs w:val="22"/>
                <w:rtl/>
              </w:rPr>
              <w:t xml:space="preserve"> ل</w:t>
            </w:r>
            <w:r w:rsidRPr="004969DC">
              <w:rPr>
                <w:rFonts w:eastAsia="MS Mincho" w:cs="Simplified Arabic" w:hint="cs"/>
                <w:sz w:val="20"/>
                <w:szCs w:val="22"/>
                <w:rtl/>
              </w:rPr>
              <w:t>حفظ ا</w:t>
            </w:r>
            <w:r w:rsidRPr="004969DC">
              <w:rPr>
                <w:rFonts w:eastAsia="MS Mincho" w:cs="Simplified Arabic"/>
                <w:sz w:val="20"/>
                <w:szCs w:val="22"/>
                <w:rtl/>
              </w:rPr>
              <w:t>لطيور والتنوع البيولوجي</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وهي مهمة لحفظ الطيور والتنوع البيولوجي على</w:t>
            </w:r>
            <w:r w:rsidRPr="004969DC">
              <w:rPr>
                <w:rFonts w:eastAsia="MS Mincho" w:cs="Simplified Arabic"/>
                <w:sz w:val="20"/>
                <w:szCs w:val="22"/>
                <w:rtl/>
              </w:rPr>
              <w:t xml:space="preserve"> أهمية إقليمية لنوعين من الطيور البحرية</w:t>
            </w:r>
            <w:r w:rsidRPr="004969DC">
              <w:rPr>
                <w:rFonts w:eastAsia="MS Mincho" w:cs="Simplified Arabic" w:hint="cs"/>
                <w:sz w:val="20"/>
                <w:szCs w:val="22"/>
                <w:rtl/>
              </w:rPr>
              <w:t xml:space="preserve"> هما</w:t>
            </w:r>
            <w:r w:rsidRPr="004969DC">
              <w:rPr>
                <w:rFonts w:eastAsia="MS Mincho" w:cs="Simplified Arabic"/>
                <w:sz w:val="20"/>
                <w:szCs w:val="22"/>
                <w:rtl/>
              </w:rPr>
              <w:t xml:space="preserve">: </w:t>
            </w:r>
            <w:r w:rsidRPr="004969DC">
              <w:rPr>
                <w:rFonts w:eastAsia="MS Mincho" w:cs="Simplified Arabic" w:hint="cs"/>
                <w:sz w:val="20"/>
                <w:szCs w:val="22"/>
                <w:rtl/>
              </w:rPr>
              <w:t xml:space="preserve">الأسقطور </w:t>
            </w:r>
            <w:r w:rsidRPr="004969DC">
              <w:rPr>
                <w:rFonts w:eastAsia="MS Mincho" w:cs="Simplified Arabic"/>
                <w:sz w:val="20"/>
                <w:szCs w:val="22"/>
                <w:rtl/>
              </w:rPr>
              <w:t>المخملي</w:t>
            </w:r>
            <w:r w:rsidRPr="004969DC">
              <w:rPr>
                <w:rFonts w:eastAsia="MS Mincho" w:cs="Simplified Arabic" w:hint="cs"/>
                <w:sz w:val="20"/>
                <w:szCs w:val="22"/>
                <w:rtl/>
              </w:rPr>
              <w:t xml:space="preserve"> "</w:t>
            </w:r>
            <w:r w:rsidRPr="004969DC">
              <w:rPr>
                <w:rFonts w:eastAsia="MS Mincho" w:cs="Simplified Arabic"/>
                <w:i/>
                <w:sz w:val="20"/>
                <w:szCs w:val="22"/>
                <w:lang w:val="en-CA"/>
              </w:rPr>
              <w:t xml:space="preserve"> Melanitta fusca</w:t>
            </w:r>
            <w:r w:rsidRPr="004969DC">
              <w:rPr>
                <w:rFonts w:eastAsia="MS Mincho" w:cs="Simplified Arabic" w:hint="cs"/>
                <w:sz w:val="20"/>
                <w:szCs w:val="22"/>
                <w:rtl/>
              </w:rPr>
              <w:t>"</w:t>
            </w:r>
            <w:r w:rsidRPr="004969DC">
              <w:rPr>
                <w:rFonts w:eastAsia="MS Mincho" w:cs="Simplified Arabic"/>
                <w:sz w:val="20"/>
                <w:szCs w:val="22"/>
                <w:rtl/>
              </w:rPr>
              <w:t xml:space="preserve"> و</w:t>
            </w:r>
            <w:r w:rsidRPr="004969DC">
              <w:rPr>
                <w:rFonts w:eastAsia="MS Mincho" w:cs="Simplified Arabic" w:hint="cs"/>
                <w:sz w:val="20"/>
                <w:szCs w:val="22"/>
                <w:rtl/>
              </w:rPr>
              <w:t>النورس القزويني "</w:t>
            </w:r>
            <w:r w:rsidRPr="004969DC">
              <w:rPr>
                <w:rFonts w:eastAsia="MS Mincho" w:cs="Simplified Arabic"/>
                <w:i/>
                <w:sz w:val="20"/>
                <w:szCs w:val="22"/>
                <w:lang w:val="en-CA"/>
              </w:rPr>
              <w:t xml:space="preserve"> Larus cachinnans</w:t>
            </w:r>
            <w:r w:rsidRPr="004969DC">
              <w:rPr>
                <w:rFonts w:eastAsia="MS Mincho" w:cs="Simplified Arabic" w:hint="cs"/>
                <w:sz w:val="20"/>
                <w:szCs w:val="22"/>
                <w:rtl/>
              </w:rPr>
              <w:t>"</w:t>
            </w:r>
            <w:r w:rsidRPr="004969DC">
              <w:rPr>
                <w:rFonts w:eastAsia="MS Mincho" w:cs="Simplified Arabic"/>
                <w:sz w:val="20"/>
                <w:szCs w:val="22"/>
                <w:rtl/>
              </w:rPr>
              <w:t>. ومن المعروف أيضا</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وجود نوع ثالث هو النورس المواء "</w:t>
            </w:r>
            <w:r w:rsidRPr="004969DC">
              <w:rPr>
                <w:rFonts w:eastAsia="MS Mincho" w:cs="Simplified Arabic"/>
                <w:i/>
                <w:sz w:val="20"/>
                <w:szCs w:val="22"/>
                <w:lang w:val="en-CA"/>
              </w:rPr>
              <w:t xml:space="preserve"> Larus canus</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وتوجد</w:t>
            </w:r>
            <w:r w:rsidRPr="004969DC">
              <w:rPr>
                <w:rFonts w:eastAsia="MS Mincho" w:cs="Simplified Arabic"/>
                <w:sz w:val="20"/>
                <w:szCs w:val="22"/>
                <w:rtl/>
              </w:rPr>
              <w:t xml:space="preserve"> خنازير البحر </w:t>
            </w:r>
            <w:r w:rsidRPr="004969DC">
              <w:rPr>
                <w:rFonts w:eastAsia="MS Mincho" w:cs="Simplified Arabic" w:hint="cs"/>
                <w:sz w:val="20"/>
                <w:szCs w:val="22"/>
                <w:rtl/>
              </w:rPr>
              <w:t>الشائعة</w:t>
            </w:r>
            <w:r w:rsidRPr="004969DC">
              <w:rPr>
                <w:rFonts w:eastAsia="MS Mincho" w:cs="Simplified Arabic"/>
                <w:sz w:val="20"/>
                <w:szCs w:val="22"/>
                <w:rtl/>
              </w:rPr>
              <w:t xml:space="preserve"> على </w:t>
            </w:r>
            <w:r w:rsidRPr="004969DC">
              <w:rPr>
                <w:rFonts w:eastAsia="MS Mincho" w:cs="Simplified Arabic" w:hint="cs"/>
                <w:sz w:val="20"/>
                <w:szCs w:val="22"/>
                <w:rtl/>
              </w:rPr>
              <w:t>امتداد</w:t>
            </w:r>
            <w:r w:rsidRPr="004969DC">
              <w:rPr>
                <w:rFonts w:eastAsia="MS Mincho" w:cs="Simplified Arabic"/>
                <w:sz w:val="20"/>
                <w:szCs w:val="22"/>
                <w:rtl/>
              </w:rPr>
              <w:t xml:space="preserve"> </w:t>
            </w:r>
            <w:r w:rsidRPr="004969DC">
              <w:rPr>
                <w:rFonts w:eastAsia="MS Mincho" w:cs="Simplified Arabic" w:hint="cs"/>
                <w:sz w:val="20"/>
                <w:szCs w:val="22"/>
                <w:rtl/>
              </w:rPr>
              <w:t>ال</w:t>
            </w:r>
            <w:r w:rsidRPr="004969DC">
              <w:rPr>
                <w:rFonts w:eastAsia="MS Mincho" w:cs="Simplified Arabic"/>
                <w:sz w:val="20"/>
                <w:szCs w:val="22"/>
                <w:rtl/>
              </w:rPr>
              <w:t>ساحل</w:t>
            </w:r>
            <w:r w:rsidRPr="004969DC">
              <w:rPr>
                <w:rFonts w:eastAsia="MS Mincho" w:cs="Simplified Arabic" w:hint="cs"/>
                <w:sz w:val="20"/>
                <w:szCs w:val="22"/>
                <w:rtl/>
              </w:rPr>
              <w:t xml:space="preserve"> التركي على</w:t>
            </w:r>
            <w:r w:rsidRPr="004969DC">
              <w:rPr>
                <w:rFonts w:eastAsia="MS Mincho" w:cs="Simplified Arabic"/>
                <w:sz w:val="20"/>
                <w:szCs w:val="22"/>
                <w:rtl/>
              </w:rPr>
              <w:t xml:space="preserve"> البحر الأسود </w:t>
            </w:r>
            <w:r w:rsidRPr="004969DC">
              <w:rPr>
                <w:rFonts w:eastAsia="MS Mincho" w:cs="Simplified Arabic" w:hint="cs"/>
                <w:sz w:val="20"/>
                <w:szCs w:val="22"/>
                <w:rtl/>
              </w:rPr>
              <w:t xml:space="preserve">وتتوافر بكثرة </w:t>
            </w:r>
            <w:r w:rsidRPr="004969DC">
              <w:rPr>
                <w:rFonts w:eastAsia="MS Mincho" w:cs="Simplified Arabic"/>
                <w:sz w:val="20"/>
                <w:szCs w:val="22"/>
                <w:rtl/>
              </w:rPr>
              <w:t xml:space="preserve">على طول الساحل الشرقي </w:t>
            </w:r>
            <w:r w:rsidRPr="004969DC">
              <w:rPr>
                <w:rFonts w:eastAsia="MS Mincho" w:cs="Simplified Arabic" w:hint="cs"/>
                <w:sz w:val="20"/>
                <w:szCs w:val="22"/>
                <w:rtl/>
              </w:rPr>
              <w:t>تحديداً</w:t>
            </w:r>
            <w:r w:rsidRPr="004969DC">
              <w:rPr>
                <w:rFonts w:eastAsia="MS Mincho" w:cs="Simplified Arabic"/>
                <w:sz w:val="20"/>
                <w:szCs w:val="22"/>
                <w:rtl/>
              </w:rPr>
              <w:t xml:space="preserve">، حيث </w:t>
            </w:r>
            <w:r w:rsidRPr="004969DC">
              <w:rPr>
                <w:rFonts w:eastAsia="MS Mincho" w:cs="Simplified Arabic" w:hint="cs"/>
                <w:sz w:val="20"/>
                <w:szCs w:val="22"/>
                <w:rtl/>
              </w:rPr>
              <w:t>تصب عدة أنهار</w:t>
            </w:r>
            <w:r w:rsidRPr="004969DC">
              <w:rPr>
                <w:rFonts w:eastAsia="MS Mincho" w:cs="Simplified Arabic"/>
                <w:sz w:val="20"/>
                <w:szCs w:val="22"/>
                <w:rtl/>
              </w:rPr>
              <w:t xml:space="preserve"> في البحر الأسود</w:t>
            </w:r>
            <w:r w:rsidRPr="004969DC">
              <w:rPr>
                <w:rFonts w:cs="Simplified Arabic"/>
                <w:sz w:val="20"/>
                <w:szCs w:val="22"/>
                <w:lang w:val="en-CA"/>
              </w:rPr>
              <w:t>.</w:t>
            </w:r>
          </w:p>
        </w:tc>
        <w:tc>
          <w:tcPr>
            <w:tcW w:w="506" w:type="dxa"/>
            <w:vAlign w:val="center"/>
          </w:tcPr>
          <w:p w:rsidR="000A5DEA" w:rsidRPr="00E2695B" w:rsidRDefault="000A5DEA" w:rsidP="00094717">
            <w:pPr>
              <w:rPr>
                <w:sz w:val="20"/>
                <w:szCs w:val="22"/>
              </w:rPr>
            </w:pPr>
            <w:r w:rsidRPr="00E2695B">
              <w:rPr>
                <w:sz w:val="20"/>
                <w:szCs w:val="22"/>
              </w:rPr>
              <w:lastRenderedPageBreak/>
              <w:t>M</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w:t>
            </w:r>
          </w:p>
        </w:tc>
        <w:tc>
          <w:tcPr>
            <w:tcW w:w="506" w:type="dxa"/>
            <w:vAlign w:val="center"/>
          </w:tcPr>
          <w:p w:rsidR="000A5DEA" w:rsidRPr="00E2695B" w:rsidRDefault="000A5DEA" w:rsidP="00094717">
            <w:pPr>
              <w:rPr>
                <w:sz w:val="20"/>
                <w:szCs w:val="22"/>
              </w:rPr>
            </w:pPr>
            <w:r w:rsidRPr="00E2695B">
              <w:rPr>
                <w:sz w:val="20"/>
                <w:szCs w:val="22"/>
              </w:rPr>
              <w:t>M</w:t>
            </w:r>
          </w:p>
        </w:tc>
        <w:tc>
          <w:tcPr>
            <w:tcW w:w="507" w:type="dxa"/>
            <w:vAlign w:val="center"/>
          </w:tcPr>
          <w:p w:rsidR="000A5DEA" w:rsidRPr="00E2695B" w:rsidRDefault="000A5DEA" w:rsidP="00094717">
            <w:pPr>
              <w:rPr>
                <w:sz w:val="20"/>
                <w:szCs w:val="22"/>
              </w:rPr>
            </w:pPr>
            <w:r w:rsidRPr="00E2695B">
              <w:rPr>
                <w:sz w:val="20"/>
                <w:szCs w:val="22"/>
              </w:rPr>
              <w:t>H</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s-ES"/>
              </w:rPr>
            </w:pPr>
            <w:bookmarkStart w:id="35" w:name="_Toc524295476"/>
            <w:bookmarkStart w:id="36" w:name="_Toc6071556"/>
            <w:r w:rsidRPr="004969DC">
              <w:rPr>
                <w:rFonts w:hint="cs"/>
                <w:bCs/>
                <w:sz w:val="20"/>
                <w:szCs w:val="22"/>
                <w:rtl/>
              </w:rPr>
              <w:lastRenderedPageBreak/>
              <w:t xml:space="preserve">15- </w:t>
            </w:r>
            <w:r w:rsidRPr="004969DC">
              <w:rPr>
                <w:bCs/>
                <w:sz w:val="20"/>
                <w:szCs w:val="22"/>
                <w:rtl/>
              </w:rPr>
              <w:t>طرابزون- سورمين</w:t>
            </w:r>
            <w:r w:rsidRPr="004969DC">
              <w:rPr>
                <w:rFonts w:hint="cs"/>
                <w:bCs/>
                <w:sz w:val="20"/>
                <w:szCs w:val="22"/>
                <w:rtl/>
              </w:rPr>
              <w:t>ه</w:t>
            </w:r>
            <w:bookmarkEnd w:id="35"/>
            <w:bookmarkEnd w:id="36"/>
          </w:p>
          <w:p w:rsidR="000C613F" w:rsidRPr="004969DC" w:rsidRDefault="000A5DEA" w:rsidP="00CD26C5">
            <w:pPr>
              <w:pStyle w:val="ListParagraph"/>
              <w:numPr>
                <w:ilvl w:val="0"/>
                <w:numId w:val="133"/>
              </w:numPr>
              <w:bidi/>
              <w:spacing w:after="0" w:line="204" w:lineRule="auto"/>
              <w:ind w:left="332" w:hanging="332"/>
              <w:rPr>
                <w:rFonts w:cs="Simplified Arabic"/>
                <w:sz w:val="20"/>
                <w:szCs w:val="22"/>
                <w:lang w:val="es-ES"/>
              </w:rPr>
            </w:pPr>
            <w:r w:rsidRPr="004969DC">
              <w:rPr>
                <w:rFonts w:cs="Simplified Arabic"/>
                <w:sz w:val="20"/>
                <w:szCs w:val="22"/>
                <w:rtl/>
              </w:rPr>
              <w:t>الموقع: تقع هذه المنطقة بي</w:t>
            </w:r>
            <w:r w:rsidRPr="004969DC">
              <w:rPr>
                <w:rFonts w:cs="Simplified Arabic" w:hint="cs"/>
                <w:sz w:val="20"/>
                <w:szCs w:val="22"/>
                <w:rtl/>
              </w:rPr>
              <w:t>ن خطوط 40 54,749</w:t>
            </w:r>
            <w:r w:rsidRPr="004969DC">
              <w:rPr>
                <w:rFonts w:cs="Simplified Arabic"/>
                <w:sz w:val="20"/>
                <w:szCs w:val="22"/>
                <w:rtl/>
              </w:rPr>
              <w:t>'</w:t>
            </w:r>
            <w:r w:rsidRPr="004969DC">
              <w:rPr>
                <w:rFonts w:cs="Simplified Arabic" w:hint="cs"/>
                <w:sz w:val="20"/>
                <w:szCs w:val="22"/>
                <w:rtl/>
              </w:rPr>
              <w:t xml:space="preserve"> شمالاً- 40 08,364</w:t>
            </w:r>
            <w:r w:rsidRPr="004969DC">
              <w:rPr>
                <w:rFonts w:cs="Simplified Arabic"/>
                <w:sz w:val="20"/>
                <w:szCs w:val="22"/>
                <w:rtl/>
              </w:rPr>
              <w:t>'</w:t>
            </w:r>
            <w:r w:rsidRPr="004969DC">
              <w:rPr>
                <w:rFonts w:cs="Simplified Arabic" w:hint="cs"/>
                <w:sz w:val="20"/>
                <w:szCs w:val="22"/>
                <w:rtl/>
              </w:rPr>
              <w:t xml:space="preserve"> شرقاً، و40 54,794</w:t>
            </w:r>
            <w:r w:rsidRPr="004969DC">
              <w:rPr>
                <w:rFonts w:cs="Simplified Arabic"/>
                <w:sz w:val="20"/>
                <w:szCs w:val="22"/>
                <w:rtl/>
              </w:rPr>
              <w:t>'</w:t>
            </w:r>
            <w:r w:rsidRPr="004969DC">
              <w:rPr>
                <w:rFonts w:cs="Simplified Arabic" w:hint="cs"/>
                <w:sz w:val="20"/>
                <w:szCs w:val="22"/>
                <w:rtl/>
              </w:rPr>
              <w:t xml:space="preserve"> شمالاً- 40 10,404</w:t>
            </w:r>
            <w:r w:rsidRPr="004969DC">
              <w:rPr>
                <w:rFonts w:cs="Simplified Arabic"/>
                <w:sz w:val="20"/>
                <w:szCs w:val="22"/>
                <w:rtl/>
              </w:rPr>
              <w:t>'</w:t>
            </w:r>
            <w:r w:rsidRPr="004969DC">
              <w:rPr>
                <w:rFonts w:cs="Simplified Arabic" w:hint="cs"/>
                <w:sz w:val="20"/>
                <w:szCs w:val="22"/>
                <w:rtl/>
              </w:rPr>
              <w:t xml:space="preserve"> شرقاً، و40 55,183</w:t>
            </w:r>
            <w:r w:rsidRPr="004969DC">
              <w:rPr>
                <w:rFonts w:cs="Simplified Arabic"/>
                <w:sz w:val="20"/>
                <w:szCs w:val="22"/>
                <w:rtl/>
              </w:rPr>
              <w:t>'</w:t>
            </w:r>
            <w:r w:rsidRPr="004969DC">
              <w:rPr>
                <w:rFonts w:cs="Simplified Arabic" w:hint="cs"/>
                <w:sz w:val="20"/>
                <w:szCs w:val="22"/>
                <w:rtl/>
              </w:rPr>
              <w:t xml:space="preserve"> شمالاً-40 </w:t>
            </w:r>
            <w:r w:rsidRPr="004969DC">
              <w:rPr>
                <w:rFonts w:cs="Simplified Arabic"/>
                <w:sz w:val="20"/>
                <w:szCs w:val="22"/>
                <w:rtl/>
              </w:rPr>
              <w:t>'</w:t>
            </w:r>
            <w:r w:rsidRPr="004969DC">
              <w:rPr>
                <w:rFonts w:cs="Simplified Arabic" w:hint="cs"/>
                <w:sz w:val="20"/>
                <w:szCs w:val="22"/>
                <w:rtl/>
              </w:rPr>
              <w:t>10,404 شرقاً، و40 55,183</w:t>
            </w:r>
            <w:r w:rsidRPr="004969DC">
              <w:rPr>
                <w:rFonts w:cs="Simplified Arabic"/>
                <w:sz w:val="20"/>
                <w:szCs w:val="22"/>
                <w:rtl/>
              </w:rPr>
              <w:t>'</w:t>
            </w:r>
            <w:r w:rsidRPr="004969DC">
              <w:rPr>
                <w:rFonts w:cs="Simplified Arabic" w:hint="cs"/>
                <w:sz w:val="20"/>
                <w:szCs w:val="22"/>
                <w:rtl/>
              </w:rPr>
              <w:t xml:space="preserve"> شمالاً-40 08,364</w:t>
            </w:r>
            <w:r w:rsidRPr="004969DC">
              <w:rPr>
                <w:rFonts w:cs="Simplified Arabic"/>
                <w:sz w:val="20"/>
                <w:szCs w:val="22"/>
                <w:rtl/>
              </w:rPr>
              <w:t>'</w:t>
            </w:r>
            <w:r w:rsidRPr="004969DC">
              <w:rPr>
                <w:rFonts w:cs="Simplified Arabic" w:hint="cs"/>
                <w:sz w:val="20"/>
                <w:szCs w:val="22"/>
                <w:rtl/>
              </w:rPr>
              <w:t xml:space="preserve"> شرقاً</w:t>
            </w:r>
          </w:p>
          <w:p w:rsidR="000A5DEA" w:rsidRPr="004969DC" w:rsidRDefault="000A5DEA" w:rsidP="00CD26C5">
            <w:pPr>
              <w:pStyle w:val="ListParagraph"/>
              <w:numPr>
                <w:ilvl w:val="0"/>
                <w:numId w:val="133"/>
              </w:numPr>
              <w:bidi/>
              <w:spacing w:after="0" w:line="204" w:lineRule="auto"/>
              <w:ind w:left="332" w:hanging="332"/>
              <w:rPr>
                <w:rFonts w:cs="Simplified Arabic"/>
                <w:sz w:val="20"/>
                <w:szCs w:val="22"/>
                <w:lang w:val="es-ES"/>
              </w:rPr>
            </w:pPr>
            <w:r w:rsidRPr="004969DC">
              <w:rPr>
                <w:rFonts w:cs="Simplified Arabic"/>
                <w:sz w:val="20"/>
                <w:szCs w:val="22"/>
                <w:rtl/>
              </w:rPr>
              <w:t>هذه المنطقة مهمة جدًا ل</w:t>
            </w:r>
            <w:r w:rsidRPr="004969DC">
              <w:rPr>
                <w:rFonts w:cs="Simplified Arabic" w:hint="cs"/>
                <w:sz w:val="20"/>
                <w:szCs w:val="22"/>
                <w:rtl/>
              </w:rPr>
              <w:t>إنسال</w:t>
            </w:r>
            <w:r w:rsidRPr="004969DC">
              <w:rPr>
                <w:rFonts w:cs="Simplified Arabic"/>
                <w:sz w:val="20"/>
                <w:szCs w:val="22"/>
                <w:rtl/>
              </w:rPr>
              <w:t xml:space="preserve"> الأسماك</w:t>
            </w:r>
            <w:r w:rsidRPr="004969DC">
              <w:rPr>
                <w:rFonts w:cs="Simplified Arabic" w:hint="cs"/>
                <w:sz w:val="20"/>
                <w:szCs w:val="22"/>
                <w:rtl/>
              </w:rPr>
              <w:t xml:space="preserve"> القاعية واليمّية</w:t>
            </w:r>
            <w:r w:rsidRPr="004969DC">
              <w:rPr>
                <w:rFonts w:cs="Simplified Arabic"/>
                <w:sz w:val="20"/>
                <w:szCs w:val="22"/>
                <w:rtl/>
              </w:rPr>
              <w:t xml:space="preserve"> وتكاثرها وتغذيتها. وهي م</w:t>
            </w:r>
            <w:r w:rsidRPr="004969DC">
              <w:rPr>
                <w:rFonts w:cs="Simplified Arabic" w:hint="cs"/>
                <w:sz w:val="20"/>
                <w:szCs w:val="22"/>
                <w:rtl/>
              </w:rPr>
              <w:t>حمية</w:t>
            </w:r>
            <w:r w:rsidRPr="004969DC">
              <w:rPr>
                <w:rFonts w:cs="Simplified Arabic"/>
                <w:sz w:val="20"/>
                <w:szCs w:val="22"/>
                <w:rtl/>
              </w:rPr>
              <w:t xml:space="preserve"> بيو</w:t>
            </w:r>
            <w:r w:rsidRPr="004969DC">
              <w:rPr>
                <w:rFonts w:cs="Simplified Arabic" w:hint="cs"/>
                <w:sz w:val="20"/>
                <w:szCs w:val="22"/>
                <w:rtl/>
              </w:rPr>
              <w:t>لوجية</w:t>
            </w:r>
            <w:r w:rsidRPr="004969DC">
              <w:rPr>
                <w:rFonts w:cs="Simplified Arabic"/>
                <w:sz w:val="20"/>
                <w:szCs w:val="22"/>
                <w:rtl/>
              </w:rPr>
              <w:t xml:space="preserve"> مغلقة </w:t>
            </w:r>
            <w:r w:rsidRPr="004969DC">
              <w:rPr>
                <w:rFonts w:cs="Simplified Arabic" w:hint="cs"/>
                <w:sz w:val="20"/>
                <w:szCs w:val="22"/>
                <w:rtl/>
              </w:rPr>
              <w:t xml:space="preserve">أمام </w:t>
            </w:r>
            <w:r w:rsidRPr="004969DC">
              <w:rPr>
                <w:rFonts w:cs="Simplified Arabic"/>
                <w:sz w:val="20"/>
                <w:szCs w:val="22"/>
                <w:rtl/>
              </w:rPr>
              <w:t xml:space="preserve">مصايد الأسماك. </w:t>
            </w:r>
            <w:r w:rsidRPr="004969DC">
              <w:rPr>
                <w:rFonts w:cs="Simplified Arabic" w:hint="cs"/>
                <w:sz w:val="20"/>
                <w:szCs w:val="22"/>
                <w:rtl/>
              </w:rPr>
              <w:t>وتتسم</w:t>
            </w:r>
            <w:r w:rsidRPr="004969DC">
              <w:rPr>
                <w:rFonts w:cs="Simplified Arabic"/>
                <w:sz w:val="20"/>
                <w:szCs w:val="22"/>
                <w:rtl/>
              </w:rPr>
              <w:t xml:space="preserve"> </w:t>
            </w:r>
            <w:r w:rsidRPr="004969DC">
              <w:rPr>
                <w:rFonts w:cs="Simplified Arabic" w:hint="cs"/>
                <w:sz w:val="20"/>
                <w:szCs w:val="22"/>
                <w:rtl/>
              </w:rPr>
              <w:t>ب</w:t>
            </w:r>
            <w:r w:rsidRPr="004969DC">
              <w:rPr>
                <w:rFonts w:cs="Simplified Arabic"/>
                <w:sz w:val="20"/>
                <w:szCs w:val="22"/>
                <w:rtl/>
              </w:rPr>
              <w:t xml:space="preserve">بنية </w:t>
            </w:r>
            <w:r w:rsidRPr="004969DC">
              <w:rPr>
                <w:rFonts w:cs="Simplified Arabic" w:hint="cs"/>
                <w:sz w:val="20"/>
                <w:szCs w:val="22"/>
                <w:rtl/>
              </w:rPr>
              <w:t xml:space="preserve">رملية </w:t>
            </w:r>
            <w:r w:rsidRPr="004969DC">
              <w:rPr>
                <w:rFonts w:cs="Simplified Arabic"/>
                <w:sz w:val="20"/>
                <w:szCs w:val="22"/>
                <w:rtl/>
              </w:rPr>
              <w:t xml:space="preserve">صخرية </w:t>
            </w:r>
            <w:r w:rsidRPr="004969DC">
              <w:rPr>
                <w:rFonts w:cs="Simplified Arabic" w:hint="cs"/>
                <w:sz w:val="20"/>
                <w:szCs w:val="22"/>
                <w:rtl/>
              </w:rPr>
              <w:t>كعبية الشكل،</w:t>
            </w:r>
            <w:r w:rsidRPr="004969DC">
              <w:rPr>
                <w:rFonts w:cs="Simplified Arabic"/>
                <w:sz w:val="20"/>
                <w:szCs w:val="22"/>
                <w:rtl/>
              </w:rPr>
              <w:t xml:space="preserve"> </w:t>
            </w:r>
            <w:r w:rsidRPr="004969DC">
              <w:rPr>
                <w:rFonts w:cs="Simplified Arabic" w:hint="cs"/>
                <w:sz w:val="20"/>
                <w:szCs w:val="22"/>
                <w:rtl/>
              </w:rPr>
              <w:t>مع وجود كميات كبيرة</w:t>
            </w:r>
            <w:r w:rsidRPr="004969DC">
              <w:rPr>
                <w:rFonts w:cs="Simplified Arabic"/>
                <w:sz w:val="20"/>
                <w:szCs w:val="22"/>
                <w:rtl/>
              </w:rPr>
              <w:t xml:space="preserve"> من الصخور </w:t>
            </w:r>
            <w:r w:rsidRPr="004969DC">
              <w:rPr>
                <w:rFonts w:cs="Simplified Arabic" w:hint="cs"/>
                <w:sz w:val="20"/>
                <w:szCs w:val="22"/>
                <w:rtl/>
              </w:rPr>
              <w:t>المغمورة</w:t>
            </w:r>
            <w:r w:rsidRPr="004969DC">
              <w:rPr>
                <w:rFonts w:cs="Simplified Arabic"/>
                <w:sz w:val="20"/>
                <w:szCs w:val="22"/>
                <w:rtl/>
              </w:rPr>
              <w:t xml:space="preserve">. </w:t>
            </w:r>
            <w:r w:rsidRPr="004969DC">
              <w:rPr>
                <w:rFonts w:cs="Simplified Arabic" w:hint="cs"/>
                <w:sz w:val="20"/>
                <w:szCs w:val="22"/>
                <w:rtl/>
              </w:rPr>
              <w:t xml:space="preserve">وتشكل </w:t>
            </w:r>
            <w:r w:rsidRPr="004969DC">
              <w:rPr>
                <w:rFonts w:cs="Simplified Arabic"/>
                <w:sz w:val="20"/>
                <w:szCs w:val="22"/>
                <w:rtl/>
              </w:rPr>
              <w:t>المنطقة أيض</w:t>
            </w:r>
            <w:r w:rsidRPr="004969DC">
              <w:rPr>
                <w:rFonts w:cs="Simplified Arabic" w:hint="cs"/>
                <w:sz w:val="20"/>
                <w:szCs w:val="22"/>
                <w:rtl/>
              </w:rPr>
              <w:t>اً</w:t>
            </w:r>
            <w:r w:rsidRPr="004969DC">
              <w:rPr>
                <w:rFonts w:cs="Simplified Arabic"/>
                <w:sz w:val="20"/>
                <w:szCs w:val="22"/>
                <w:rtl/>
              </w:rPr>
              <w:t xml:space="preserve"> </w:t>
            </w:r>
            <w:r w:rsidRPr="004969DC">
              <w:rPr>
                <w:rFonts w:cs="Simplified Arabic" w:hint="cs"/>
                <w:sz w:val="20"/>
                <w:szCs w:val="22"/>
                <w:rtl/>
              </w:rPr>
              <w:t>موئلاً طبيعياً</w:t>
            </w:r>
            <w:r w:rsidRPr="004969DC">
              <w:rPr>
                <w:rFonts w:cs="Simplified Arabic"/>
                <w:sz w:val="20"/>
                <w:szCs w:val="22"/>
                <w:rtl/>
              </w:rPr>
              <w:t xml:space="preserve"> ل</w:t>
            </w:r>
            <w:r w:rsidRPr="004969DC">
              <w:rPr>
                <w:rFonts w:cs="Simplified Arabic" w:hint="cs"/>
                <w:sz w:val="20"/>
                <w:szCs w:val="22"/>
                <w:rtl/>
              </w:rPr>
              <w:t>سمك ا</w:t>
            </w:r>
            <w:r w:rsidRPr="004969DC">
              <w:rPr>
                <w:rFonts w:cs="Simplified Arabic"/>
                <w:sz w:val="20"/>
                <w:szCs w:val="22"/>
                <w:rtl/>
              </w:rPr>
              <w:t>لدنيس</w:t>
            </w:r>
            <w:r w:rsidRPr="004969DC">
              <w:rPr>
                <w:rFonts w:cs="Simplified Arabic" w:hint="cs"/>
                <w:sz w:val="20"/>
                <w:szCs w:val="22"/>
                <w:rtl/>
              </w:rPr>
              <w:t>-</w:t>
            </w:r>
            <w:r w:rsidRPr="004969DC">
              <w:rPr>
                <w:rFonts w:cs="Simplified Arabic"/>
                <w:sz w:val="20"/>
                <w:szCs w:val="22"/>
                <w:rtl/>
              </w:rPr>
              <w:t xml:space="preserve"> وه</w:t>
            </w:r>
            <w:r w:rsidRPr="004969DC">
              <w:rPr>
                <w:rFonts w:cs="Simplified Arabic" w:hint="cs"/>
                <w:sz w:val="20"/>
                <w:szCs w:val="22"/>
                <w:rtl/>
              </w:rPr>
              <w:t>ي</w:t>
            </w:r>
            <w:r w:rsidRPr="004969DC">
              <w:rPr>
                <w:rFonts w:cs="Simplified Arabic"/>
                <w:sz w:val="20"/>
                <w:szCs w:val="22"/>
                <w:rtl/>
              </w:rPr>
              <w:t xml:space="preserve"> المكان الوحيد</w:t>
            </w:r>
            <w:r w:rsidRPr="004969DC">
              <w:rPr>
                <w:rFonts w:cs="Simplified Arabic" w:hint="cs"/>
                <w:sz w:val="20"/>
                <w:szCs w:val="22"/>
                <w:rtl/>
              </w:rPr>
              <w:t xml:space="preserve"> من نوعه</w:t>
            </w:r>
            <w:r w:rsidRPr="004969DC">
              <w:rPr>
                <w:rFonts w:cs="Simplified Arabic"/>
                <w:sz w:val="20"/>
                <w:szCs w:val="22"/>
                <w:rtl/>
              </w:rPr>
              <w:t xml:space="preserve"> في البحر الأسود. </w:t>
            </w:r>
            <w:r w:rsidRPr="004969DC">
              <w:rPr>
                <w:rFonts w:cs="Simplified Arabic" w:hint="cs"/>
                <w:sz w:val="20"/>
                <w:szCs w:val="22"/>
                <w:rtl/>
              </w:rPr>
              <w:t xml:space="preserve">ويتميز </w:t>
            </w:r>
            <w:r w:rsidRPr="004969DC">
              <w:rPr>
                <w:rFonts w:cs="Simplified Arabic"/>
                <w:sz w:val="20"/>
                <w:szCs w:val="22"/>
                <w:rtl/>
              </w:rPr>
              <w:t xml:space="preserve">التنوع البيولوجي لهذا الجزء من البحر الأسود </w:t>
            </w:r>
            <w:r w:rsidRPr="004969DC">
              <w:rPr>
                <w:rFonts w:cs="Simplified Arabic" w:hint="cs"/>
                <w:sz w:val="20"/>
                <w:szCs w:val="22"/>
                <w:rtl/>
              </w:rPr>
              <w:t>بمستوى مرتفع للغاية</w:t>
            </w:r>
            <w:r w:rsidRPr="004969DC">
              <w:rPr>
                <w:rFonts w:cs="Simplified Arabic"/>
                <w:sz w:val="20"/>
                <w:szCs w:val="22"/>
                <w:rtl/>
              </w:rPr>
              <w:t xml:space="preserve">، حيث </w:t>
            </w:r>
            <w:r w:rsidRPr="004969DC">
              <w:rPr>
                <w:rFonts w:cs="Simplified Arabic" w:hint="cs"/>
                <w:sz w:val="20"/>
                <w:szCs w:val="22"/>
                <w:rtl/>
              </w:rPr>
              <w:t>توجد</w:t>
            </w:r>
            <w:r w:rsidRPr="004969DC">
              <w:rPr>
                <w:rFonts w:cs="Simplified Arabic"/>
                <w:sz w:val="20"/>
                <w:szCs w:val="22"/>
                <w:rtl/>
              </w:rPr>
              <w:t xml:space="preserve"> خنازير البحر </w:t>
            </w:r>
            <w:r w:rsidRPr="004969DC">
              <w:rPr>
                <w:rFonts w:cs="Simplified Arabic" w:hint="cs"/>
                <w:sz w:val="20"/>
                <w:szCs w:val="22"/>
                <w:rtl/>
              </w:rPr>
              <w:t>الشائعة</w:t>
            </w:r>
            <w:r w:rsidRPr="004969DC">
              <w:rPr>
                <w:rFonts w:cs="Simplified Arabic"/>
                <w:sz w:val="20"/>
                <w:szCs w:val="22"/>
                <w:rtl/>
              </w:rPr>
              <w:t xml:space="preserve"> على </w:t>
            </w:r>
            <w:r w:rsidRPr="004969DC">
              <w:rPr>
                <w:rFonts w:cs="Simplified Arabic" w:hint="cs"/>
                <w:sz w:val="20"/>
                <w:szCs w:val="22"/>
                <w:rtl/>
              </w:rPr>
              <w:t>امتداد</w:t>
            </w:r>
            <w:r w:rsidRPr="004969DC">
              <w:rPr>
                <w:rFonts w:cs="Simplified Arabic"/>
                <w:sz w:val="20"/>
                <w:szCs w:val="22"/>
                <w:rtl/>
              </w:rPr>
              <w:t xml:space="preserve"> </w:t>
            </w:r>
            <w:r w:rsidRPr="004969DC">
              <w:rPr>
                <w:rFonts w:cs="Simplified Arabic" w:hint="cs"/>
                <w:sz w:val="20"/>
                <w:szCs w:val="22"/>
                <w:rtl/>
              </w:rPr>
              <w:t>ال</w:t>
            </w:r>
            <w:r w:rsidRPr="004969DC">
              <w:rPr>
                <w:rFonts w:cs="Simplified Arabic"/>
                <w:sz w:val="20"/>
                <w:szCs w:val="22"/>
                <w:rtl/>
              </w:rPr>
              <w:t>ساحل</w:t>
            </w:r>
            <w:r w:rsidRPr="004969DC">
              <w:rPr>
                <w:rFonts w:cs="Simplified Arabic" w:hint="cs"/>
                <w:sz w:val="20"/>
                <w:szCs w:val="22"/>
                <w:rtl/>
              </w:rPr>
              <w:t xml:space="preserve"> التركي على</w:t>
            </w:r>
            <w:r w:rsidRPr="004969DC">
              <w:rPr>
                <w:rFonts w:cs="Simplified Arabic"/>
                <w:sz w:val="20"/>
                <w:szCs w:val="22"/>
                <w:rtl/>
              </w:rPr>
              <w:t xml:space="preserve"> البحر الأسود </w:t>
            </w:r>
            <w:r w:rsidRPr="004969DC">
              <w:rPr>
                <w:rFonts w:cs="Simplified Arabic" w:hint="cs"/>
                <w:sz w:val="20"/>
                <w:szCs w:val="22"/>
                <w:rtl/>
              </w:rPr>
              <w:t xml:space="preserve">وتتوافر بكثرة </w:t>
            </w:r>
            <w:r w:rsidRPr="004969DC">
              <w:rPr>
                <w:rFonts w:cs="Simplified Arabic"/>
                <w:sz w:val="20"/>
                <w:szCs w:val="22"/>
                <w:rtl/>
              </w:rPr>
              <w:t xml:space="preserve">على طول الساحل الشرقي </w:t>
            </w:r>
            <w:r w:rsidRPr="004969DC">
              <w:rPr>
                <w:rFonts w:cs="Simplified Arabic" w:hint="cs"/>
                <w:sz w:val="20"/>
                <w:szCs w:val="22"/>
                <w:rtl/>
              </w:rPr>
              <w:t>تحديداً</w:t>
            </w:r>
            <w:r w:rsidRPr="004969DC">
              <w:rPr>
                <w:rFonts w:cs="Simplified Arabic"/>
                <w:sz w:val="20"/>
                <w:szCs w:val="22"/>
                <w:rtl/>
              </w:rPr>
              <w:t xml:space="preserve">، حيث </w:t>
            </w:r>
            <w:r w:rsidRPr="004969DC">
              <w:rPr>
                <w:rFonts w:cs="Simplified Arabic" w:hint="cs"/>
                <w:sz w:val="20"/>
                <w:szCs w:val="22"/>
                <w:rtl/>
              </w:rPr>
              <w:t>تصب عدة أنهار</w:t>
            </w:r>
            <w:r w:rsidRPr="004969DC">
              <w:rPr>
                <w:rFonts w:cs="Simplified Arabic"/>
                <w:sz w:val="20"/>
                <w:szCs w:val="22"/>
                <w:rtl/>
              </w:rPr>
              <w:t xml:space="preserve"> في البحر الأسود.</w:t>
            </w:r>
            <w:r w:rsidRPr="004969DC">
              <w:rPr>
                <w:rFonts w:eastAsia="MS Mincho" w:cs="Simplified Arabic" w:hint="cs"/>
                <w:sz w:val="20"/>
                <w:szCs w:val="22"/>
                <w:rtl/>
              </w:rPr>
              <w:t xml:space="preserve"> و</w:t>
            </w:r>
            <w:r w:rsidRPr="004969DC">
              <w:rPr>
                <w:rFonts w:eastAsia="MS Mincho" w:cs="Simplified Arabic"/>
                <w:sz w:val="20"/>
                <w:szCs w:val="22"/>
                <w:rtl/>
              </w:rPr>
              <w:t>فيما يتعلق بالطيور، تتداخل المنطقة مع منطقة</w:t>
            </w:r>
            <w:r w:rsidRPr="004969DC">
              <w:rPr>
                <w:rFonts w:eastAsia="MS Mincho" w:cs="Simplified Arabic" w:hint="cs"/>
                <w:sz w:val="20"/>
                <w:szCs w:val="22"/>
                <w:rtl/>
              </w:rPr>
              <w:t xml:space="preserve"> بحرية</w:t>
            </w:r>
            <w:r w:rsidRPr="004969DC">
              <w:rPr>
                <w:rFonts w:eastAsia="MS Mincho" w:cs="Simplified Arabic"/>
                <w:sz w:val="20"/>
                <w:szCs w:val="22"/>
                <w:rtl/>
              </w:rPr>
              <w:t xml:space="preserve"> </w:t>
            </w:r>
            <w:r w:rsidRPr="004969DC">
              <w:rPr>
                <w:rFonts w:eastAsia="MS Mincho" w:cs="Simplified Arabic" w:hint="cs"/>
                <w:sz w:val="20"/>
                <w:szCs w:val="22"/>
                <w:rtl/>
              </w:rPr>
              <w:t>مهمة</w:t>
            </w:r>
            <w:r w:rsidRPr="004969DC">
              <w:rPr>
                <w:rFonts w:eastAsia="MS Mincho" w:cs="Simplified Arabic"/>
                <w:sz w:val="20"/>
                <w:szCs w:val="22"/>
                <w:rtl/>
              </w:rPr>
              <w:t xml:space="preserve"> ل</w:t>
            </w:r>
            <w:r w:rsidRPr="004969DC">
              <w:rPr>
                <w:rFonts w:eastAsia="MS Mincho" w:cs="Simplified Arabic" w:hint="cs"/>
                <w:sz w:val="20"/>
                <w:szCs w:val="22"/>
                <w:rtl/>
              </w:rPr>
              <w:t>حفظ ا</w:t>
            </w:r>
            <w:r w:rsidRPr="004969DC">
              <w:rPr>
                <w:rFonts w:eastAsia="MS Mincho" w:cs="Simplified Arabic"/>
                <w:sz w:val="20"/>
                <w:szCs w:val="22"/>
                <w:rtl/>
              </w:rPr>
              <w:t>لطيور والتنوع البيولوجي</w:t>
            </w:r>
            <w:r w:rsidRPr="004969DC">
              <w:rPr>
                <w:rFonts w:eastAsia="MS Mincho" w:cs="Simplified Arabic" w:hint="cs"/>
                <w:sz w:val="20"/>
                <w:szCs w:val="22"/>
                <w:rtl/>
              </w:rPr>
              <w:t xml:space="preserve"> تنطوي على</w:t>
            </w:r>
            <w:r w:rsidRPr="004969DC">
              <w:rPr>
                <w:rFonts w:eastAsia="MS Mincho" w:cs="Simplified Arabic"/>
                <w:sz w:val="20"/>
                <w:szCs w:val="22"/>
                <w:rtl/>
              </w:rPr>
              <w:t xml:space="preserve"> أهمية إقليمية لنوعين من الطيور البحرية</w:t>
            </w:r>
            <w:r w:rsidRPr="004969DC">
              <w:rPr>
                <w:rFonts w:eastAsia="MS Mincho" w:cs="Simplified Arabic" w:hint="cs"/>
                <w:sz w:val="20"/>
                <w:szCs w:val="22"/>
                <w:rtl/>
              </w:rPr>
              <w:t xml:space="preserve"> هما</w:t>
            </w:r>
            <w:r w:rsidRPr="004969DC">
              <w:rPr>
                <w:rFonts w:eastAsia="MS Mincho" w:cs="Simplified Arabic"/>
                <w:sz w:val="20"/>
                <w:szCs w:val="22"/>
                <w:rtl/>
              </w:rPr>
              <w:t xml:space="preserve">: </w:t>
            </w:r>
            <w:r w:rsidRPr="004969DC">
              <w:rPr>
                <w:rFonts w:eastAsia="MS Mincho" w:cs="Simplified Arabic" w:hint="cs"/>
                <w:sz w:val="20"/>
                <w:szCs w:val="22"/>
                <w:rtl/>
              </w:rPr>
              <w:t xml:space="preserve">الأسقطور </w:t>
            </w:r>
            <w:r w:rsidRPr="004969DC">
              <w:rPr>
                <w:rFonts w:eastAsia="MS Mincho" w:cs="Simplified Arabic"/>
                <w:sz w:val="20"/>
                <w:szCs w:val="22"/>
                <w:rtl/>
              </w:rPr>
              <w:t>المخملي</w:t>
            </w:r>
            <w:r w:rsidRPr="004969DC">
              <w:rPr>
                <w:rFonts w:eastAsia="MS Mincho" w:cs="Simplified Arabic" w:hint="cs"/>
                <w:sz w:val="20"/>
                <w:szCs w:val="22"/>
                <w:rtl/>
              </w:rPr>
              <w:t xml:space="preserve"> "</w:t>
            </w:r>
            <w:r w:rsidRPr="004969DC">
              <w:rPr>
                <w:rFonts w:eastAsia="MS Mincho" w:cs="Simplified Arabic"/>
                <w:i/>
                <w:sz w:val="20"/>
                <w:szCs w:val="22"/>
                <w:lang w:val="es-ES"/>
              </w:rPr>
              <w:t xml:space="preserve"> Melanitta fusca</w:t>
            </w:r>
            <w:r w:rsidRPr="004969DC">
              <w:rPr>
                <w:rFonts w:eastAsia="MS Mincho" w:cs="Simplified Arabic" w:hint="cs"/>
                <w:sz w:val="20"/>
                <w:szCs w:val="22"/>
                <w:rtl/>
              </w:rPr>
              <w:t>"</w:t>
            </w:r>
            <w:r w:rsidRPr="004969DC">
              <w:rPr>
                <w:rFonts w:eastAsia="MS Mincho" w:cs="Simplified Arabic"/>
                <w:sz w:val="20"/>
                <w:szCs w:val="22"/>
                <w:rtl/>
              </w:rPr>
              <w:t xml:space="preserve"> و</w:t>
            </w:r>
            <w:r w:rsidRPr="004969DC">
              <w:rPr>
                <w:rFonts w:eastAsia="MS Mincho" w:cs="Simplified Arabic" w:hint="cs"/>
                <w:sz w:val="20"/>
                <w:szCs w:val="22"/>
                <w:rtl/>
              </w:rPr>
              <w:t>النورس القزويني "</w:t>
            </w:r>
            <w:r w:rsidRPr="004969DC">
              <w:rPr>
                <w:rFonts w:eastAsia="MS Mincho" w:cs="Simplified Arabic"/>
                <w:i/>
                <w:sz w:val="20"/>
                <w:szCs w:val="22"/>
                <w:lang w:val="es-ES"/>
              </w:rPr>
              <w:t xml:space="preserve"> Larus cachinnans</w:t>
            </w:r>
            <w:r w:rsidRPr="004969DC">
              <w:rPr>
                <w:rFonts w:eastAsia="MS Mincho" w:cs="Simplified Arabic" w:hint="cs"/>
                <w:sz w:val="20"/>
                <w:szCs w:val="22"/>
                <w:rtl/>
              </w:rPr>
              <w:t>"</w:t>
            </w:r>
            <w:r w:rsidRPr="004969DC">
              <w:rPr>
                <w:rFonts w:eastAsia="MS Mincho" w:cs="Simplified Arabic"/>
                <w:sz w:val="20"/>
                <w:szCs w:val="22"/>
                <w:rtl/>
              </w:rPr>
              <w:t>. ومن المعروف أيضا</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وجود نوع ثالث هو النورس المواء "</w:t>
            </w:r>
            <w:r w:rsidRPr="004969DC">
              <w:rPr>
                <w:rFonts w:eastAsia="MS Mincho" w:cs="Simplified Arabic"/>
                <w:i/>
                <w:sz w:val="20"/>
                <w:szCs w:val="22"/>
                <w:lang w:val="es-ES"/>
              </w:rPr>
              <w:t xml:space="preserve"> Larus canus</w:t>
            </w:r>
            <w:r w:rsidRPr="004969DC">
              <w:rPr>
                <w:rFonts w:eastAsia="MS Mincho" w:cs="Simplified Arabic" w:hint="cs"/>
                <w:sz w:val="20"/>
                <w:szCs w:val="22"/>
                <w:rtl/>
              </w:rPr>
              <w:t>"</w:t>
            </w:r>
            <w:r w:rsidRPr="004969DC">
              <w:rPr>
                <w:rFonts w:eastAsia="MS Mincho" w:cs="Simplified Arabic"/>
                <w:sz w:val="20"/>
                <w:szCs w:val="22"/>
                <w:rtl/>
              </w:rPr>
              <w:t>.</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M</w:t>
            </w:r>
          </w:p>
        </w:tc>
        <w:tc>
          <w:tcPr>
            <w:tcW w:w="507" w:type="dxa"/>
            <w:vAlign w:val="center"/>
          </w:tcPr>
          <w:p w:rsidR="000A5DEA" w:rsidRPr="00E2695B" w:rsidRDefault="000A5DEA" w:rsidP="00094717">
            <w:pP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s-ES"/>
              </w:rPr>
            </w:pPr>
            <w:bookmarkStart w:id="37" w:name="_Toc524295477"/>
            <w:bookmarkStart w:id="38" w:name="_Toc6071557"/>
            <w:r w:rsidRPr="004969DC">
              <w:rPr>
                <w:rFonts w:hint="cs"/>
                <w:bCs/>
                <w:sz w:val="20"/>
                <w:szCs w:val="22"/>
                <w:rtl/>
              </w:rPr>
              <w:t xml:space="preserve">16- </w:t>
            </w:r>
            <w:r w:rsidRPr="004969DC">
              <w:rPr>
                <w:bCs/>
                <w:sz w:val="20"/>
                <w:szCs w:val="22"/>
                <w:rtl/>
              </w:rPr>
              <w:t xml:space="preserve">طرابزون- </w:t>
            </w:r>
            <w:r w:rsidRPr="004969DC">
              <w:rPr>
                <w:rFonts w:hint="cs"/>
                <w:bCs/>
                <w:sz w:val="20"/>
                <w:szCs w:val="22"/>
                <w:rtl/>
              </w:rPr>
              <w:t>أرسين</w:t>
            </w:r>
            <w:bookmarkEnd w:id="37"/>
            <w:bookmarkEnd w:id="38"/>
          </w:p>
          <w:p w:rsidR="000A5DEA" w:rsidRPr="004969DC" w:rsidRDefault="000A5DEA" w:rsidP="00CD26C5">
            <w:pPr>
              <w:pStyle w:val="ListParagraph"/>
              <w:numPr>
                <w:ilvl w:val="0"/>
                <w:numId w:val="134"/>
              </w:numPr>
              <w:bidi/>
              <w:spacing w:after="0" w:line="204" w:lineRule="auto"/>
              <w:ind w:left="332" w:hanging="332"/>
              <w:rPr>
                <w:rFonts w:cs="Simplified Arabic"/>
                <w:sz w:val="20"/>
                <w:szCs w:val="22"/>
                <w:lang w:val="es-ES"/>
              </w:rPr>
            </w:pPr>
            <w:r w:rsidRPr="004969DC">
              <w:rPr>
                <w:rFonts w:cs="Simplified Arabic"/>
                <w:sz w:val="20"/>
                <w:szCs w:val="22"/>
                <w:rtl/>
              </w:rPr>
              <w:t>الموقع: تقع المنطقة بين الإحداثيات التالية: 40 57</w:t>
            </w:r>
            <w:r w:rsidRPr="004969DC">
              <w:rPr>
                <w:rFonts w:cs="Simplified Arabic" w:hint="cs"/>
                <w:sz w:val="20"/>
                <w:szCs w:val="22"/>
                <w:rtl/>
              </w:rPr>
              <w:t>,</w:t>
            </w:r>
            <w:r w:rsidRPr="004969DC">
              <w:rPr>
                <w:rFonts w:cs="Simplified Arabic"/>
                <w:sz w:val="20"/>
                <w:szCs w:val="22"/>
                <w:rtl/>
              </w:rPr>
              <w:t>769</w:t>
            </w:r>
            <w:r w:rsidRPr="004969DC">
              <w:rPr>
                <w:rFonts w:cs="Simplified Arabic"/>
                <w:sz w:val="20"/>
                <w:szCs w:val="22"/>
                <w:lang w:val="es-ES"/>
              </w:rPr>
              <w:t>'</w:t>
            </w:r>
            <w:r w:rsidRPr="004969DC">
              <w:rPr>
                <w:rFonts w:cs="Simplified Arabic"/>
                <w:sz w:val="20"/>
                <w:szCs w:val="22"/>
                <w:rtl/>
              </w:rPr>
              <w:t xml:space="preserve"> </w:t>
            </w:r>
            <w:r w:rsidRPr="004969DC">
              <w:rPr>
                <w:rFonts w:cs="Simplified Arabic" w:hint="cs"/>
                <w:sz w:val="20"/>
                <w:szCs w:val="22"/>
                <w:rtl/>
              </w:rPr>
              <w:t>شمالاً-39 58,532</w:t>
            </w:r>
            <w:r w:rsidRPr="004969DC">
              <w:rPr>
                <w:rFonts w:cs="Simplified Arabic"/>
                <w:sz w:val="20"/>
                <w:szCs w:val="22"/>
                <w:lang w:val="es-ES"/>
              </w:rPr>
              <w:t>'</w:t>
            </w:r>
            <w:r w:rsidRPr="004969DC">
              <w:rPr>
                <w:rFonts w:cs="Simplified Arabic" w:hint="cs"/>
                <w:sz w:val="20"/>
                <w:szCs w:val="22"/>
                <w:rtl/>
              </w:rPr>
              <w:t xml:space="preserve"> شرقاً</w:t>
            </w:r>
            <w:r w:rsidRPr="004969DC">
              <w:rPr>
                <w:rFonts w:cs="Simplified Arabic"/>
                <w:sz w:val="20"/>
                <w:szCs w:val="22"/>
                <w:rtl/>
              </w:rPr>
              <w:t>،</w:t>
            </w:r>
            <w:r w:rsidRPr="004969DC">
              <w:rPr>
                <w:rFonts w:cs="Simplified Arabic" w:hint="cs"/>
                <w:sz w:val="20"/>
                <w:szCs w:val="22"/>
                <w:rtl/>
              </w:rPr>
              <w:t xml:space="preserve"> و</w:t>
            </w:r>
            <w:r w:rsidRPr="004969DC">
              <w:rPr>
                <w:rFonts w:cs="Simplified Arabic"/>
                <w:sz w:val="20"/>
                <w:szCs w:val="22"/>
                <w:rtl/>
              </w:rPr>
              <w:t>40 5</w:t>
            </w:r>
            <w:r w:rsidRPr="004969DC">
              <w:rPr>
                <w:rFonts w:cs="Simplified Arabic" w:hint="cs"/>
                <w:sz w:val="20"/>
                <w:szCs w:val="22"/>
                <w:rtl/>
              </w:rPr>
              <w:t>8,123</w:t>
            </w:r>
            <w:r w:rsidRPr="004969DC">
              <w:rPr>
                <w:rFonts w:cs="Simplified Arabic"/>
                <w:sz w:val="20"/>
                <w:szCs w:val="22"/>
                <w:lang w:val="es-ES"/>
              </w:rPr>
              <w:t>'</w:t>
            </w:r>
            <w:r w:rsidRPr="004969DC">
              <w:rPr>
                <w:rFonts w:cs="Simplified Arabic"/>
                <w:sz w:val="20"/>
                <w:szCs w:val="22"/>
                <w:rtl/>
              </w:rPr>
              <w:t xml:space="preserve"> </w:t>
            </w:r>
            <w:r w:rsidRPr="004969DC">
              <w:rPr>
                <w:rFonts w:cs="Simplified Arabic" w:hint="cs"/>
                <w:sz w:val="20"/>
                <w:szCs w:val="22"/>
                <w:rtl/>
              </w:rPr>
              <w:t>شمالاً-39 58,532</w:t>
            </w:r>
            <w:r w:rsidRPr="004969DC">
              <w:rPr>
                <w:rFonts w:cs="Simplified Arabic"/>
                <w:sz w:val="20"/>
                <w:szCs w:val="22"/>
                <w:lang w:val="es-ES"/>
              </w:rPr>
              <w:t>'</w:t>
            </w:r>
            <w:r w:rsidRPr="004969DC">
              <w:rPr>
                <w:rFonts w:cs="Simplified Arabic" w:hint="cs"/>
                <w:sz w:val="20"/>
                <w:szCs w:val="22"/>
                <w:rtl/>
              </w:rPr>
              <w:t xml:space="preserve"> شرقاً</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40 5</w:t>
            </w:r>
            <w:r w:rsidRPr="004969DC">
              <w:rPr>
                <w:rFonts w:cs="Simplified Arabic" w:hint="cs"/>
                <w:sz w:val="20"/>
                <w:szCs w:val="22"/>
                <w:rtl/>
              </w:rPr>
              <w:t>8,123</w:t>
            </w:r>
            <w:r w:rsidRPr="004969DC">
              <w:rPr>
                <w:rFonts w:cs="Simplified Arabic"/>
                <w:sz w:val="20"/>
                <w:szCs w:val="22"/>
                <w:lang w:val="es-ES"/>
              </w:rPr>
              <w:t>'</w:t>
            </w:r>
            <w:r w:rsidRPr="004969DC">
              <w:rPr>
                <w:rFonts w:cs="Simplified Arabic"/>
                <w:sz w:val="20"/>
                <w:szCs w:val="22"/>
                <w:rtl/>
              </w:rPr>
              <w:t xml:space="preserve"> </w:t>
            </w:r>
            <w:r w:rsidRPr="004969DC">
              <w:rPr>
                <w:rFonts w:cs="Simplified Arabic" w:hint="cs"/>
                <w:sz w:val="20"/>
                <w:szCs w:val="22"/>
                <w:rtl/>
              </w:rPr>
              <w:t>شمالاً-39 59,528</w:t>
            </w:r>
            <w:r w:rsidRPr="004969DC">
              <w:rPr>
                <w:rFonts w:cs="Simplified Arabic"/>
                <w:sz w:val="20"/>
                <w:szCs w:val="22"/>
                <w:lang w:val="es-ES"/>
              </w:rPr>
              <w:t>'</w:t>
            </w:r>
            <w:r w:rsidRPr="004969DC">
              <w:rPr>
                <w:rFonts w:cs="Simplified Arabic" w:hint="cs"/>
                <w:sz w:val="20"/>
                <w:szCs w:val="22"/>
                <w:rtl/>
              </w:rPr>
              <w:t xml:space="preserve"> شرقاً، و</w:t>
            </w:r>
            <w:r w:rsidRPr="004969DC">
              <w:rPr>
                <w:rFonts w:cs="Simplified Arabic"/>
                <w:sz w:val="20"/>
                <w:szCs w:val="22"/>
                <w:rtl/>
              </w:rPr>
              <w:t>40 5</w:t>
            </w:r>
            <w:r w:rsidRPr="004969DC">
              <w:rPr>
                <w:rFonts w:cs="Simplified Arabic" w:hint="cs"/>
                <w:sz w:val="20"/>
                <w:szCs w:val="22"/>
                <w:rtl/>
              </w:rPr>
              <w:t>7,849</w:t>
            </w:r>
            <w:r w:rsidRPr="004969DC">
              <w:rPr>
                <w:rFonts w:cs="Simplified Arabic"/>
                <w:sz w:val="20"/>
                <w:szCs w:val="22"/>
                <w:lang w:val="es-ES"/>
              </w:rPr>
              <w:t>'</w:t>
            </w:r>
            <w:r w:rsidRPr="004969DC">
              <w:rPr>
                <w:rFonts w:cs="Simplified Arabic"/>
                <w:sz w:val="20"/>
                <w:szCs w:val="22"/>
                <w:rtl/>
              </w:rPr>
              <w:t xml:space="preserve"> </w:t>
            </w:r>
            <w:r w:rsidRPr="004969DC">
              <w:rPr>
                <w:rFonts w:cs="Simplified Arabic" w:hint="cs"/>
                <w:sz w:val="20"/>
                <w:szCs w:val="22"/>
                <w:rtl/>
              </w:rPr>
              <w:t>شمالاً-39 59,528</w:t>
            </w:r>
            <w:r w:rsidRPr="004969DC">
              <w:rPr>
                <w:rFonts w:cs="Simplified Arabic"/>
                <w:sz w:val="20"/>
                <w:szCs w:val="22"/>
                <w:lang w:val="es-ES"/>
              </w:rPr>
              <w:t>'</w:t>
            </w:r>
            <w:r w:rsidRPr="004969DC">
              <w:rPr>
                <w:rFonts w:cs="Simplified Arabic" w:hint="cs"/>
                <w:sz w:val="20"/>
                <w:szCs w:val="22"/>
                <w:rtl/>
              </w:rPr>
              <w:t xml:space="preserve"> شرقاً.</w:t>
            </w:r>
          </w:p>
          <w:p w:rsidR="000C613F" w:rsidRPr="004969DC" w:rsidRDefault="000A5DEA" w:rsidP="00CD26C5">
            <w:pPr>
              <w:pStyle w:val="ListParagraph"/>
              <w:numPr>
                <w:ilvl w:val="0"/>
                <w:numId w:val="134"/>
              </w:numPr>
              <w:bidi/>
              <w:spacing w:after="0" w:line="204" w:lineRule="auto"/>
              <w:ind w:left="332" w:hanging="332"/>
              <w:rPr>
                <w:rFonts w:cs="Simplified Arabic"/>
                <w:sz w:val="20"/>
                <w:szCs w:val="22"/>
                <w:lang w:val="es-ES"/>
              </w:rPr>
            </w:pPr>
            <w:r w:rsidRPr="004969DC">
              <w:rPr>
                <w:rStyle w:val="xbe"/>
                <w:rFonts w:cs="Simplified Arabic"/>
                <w:sz w:val="20"/>
                <w:szCs w:val="22"/>
                <w:rtl/>
              </w:rPr>
              <w:t xml:space="preserve">هذه المنطقة مهمة </w:t>
            </w:r>
            <w:r w:rsidRPr="004969DC">
              <w:rPr>
                <w:rStyle w:val="xbe"/>
                <w:rFonts w:cs="Simplified Arabic" w:hint="cs"/>
                <w:sz w:val="20"/>
                <w:szCs w:val="22"/>
                <w:rtl/>
              </w:rPr>
              <w:t>للغاية</w:t>
            </w:r>
            <w:r w:rsidRPr="004969DC">
              <w:rPr>
                <w:rStyle w:val="xbe"/>
                <w:rFonts w:cs="Simplified Arabic"/>
                <w:sz w:val="20"/>
                <w:szCs w:val="22"/>
                <w:rtl/>
              </w:rPr>
              <w:t xml:space="preserve"> لموائل</w:t>
            </w:r>
            <w:r w:rsidRPr="004969DC">
              <w:rPr>
                <w:rStyle w:val="xbe"/>
                <w:rFonts w:cs="Simplified Arabic" w:hint="cs"/>
                <w:sz w:val="20"/>
                <w:szCs w:val="22"/>
                <w:rtl/>
              </w:rPr>
              <w:t xml:space="preserve"> وتكاثر وإنسال</w:t>
            </w:r>
            <w:r w:rsidRPr="004969DC">
              <w:rPr>
                <w:rStyle w:val="xbe"/>
                <w:rFonts w:cs="Simplified Arabic"/>
                <w:sz w:val="20"/>
                <w:szCs w:val="22"/>
                <w:rtl/>
              </w:rPr>
              <w:t xml:space="preserve"> بعض الأنواع</w:t>
            </w:r>
            <w:r w:rsidRPr="004969DC">
              <w:rPr>
                <w:rStyle w:val="xbe"/>
                <w:rFonts w:cs="Simplified Arabic" w:hint="cs"/>
                <w:sz w:val="20"/>
                <w:szCs w:val="22"/>
                <w:rtl/>
              </w:rPr>
              <w:t xml:space="preserve"> اليمية</w:t>
            </w:r>
            <w:r w:rsidRPr="004969DC">
              <w:rPr>
                <w:rStyle w:val="xbe"/>
                <w:rFonts w:cs="Simplified Arabic"/>
                <w:sz w:val="20"/>
                <w:szCs w:val="22"/>
                <w:rtl/>
              </w:rPr>
              <w:t xml:space="preserve"> البحرية </w:t>
            </w:r>
            <w:r w:rsidRPr="004969DC">
              <w:rPr>
                <w:rStyle w:val="xbe"/>
                <w:rFonts w:cs="Simplified Arabic" w:hint="cs"/>
                <w:sz w:val="20"/>
                <w:szCs w:val="22"/>
                <w:rtl/>
              </w:rPr>
              <w:t>والقاعية</w:t>
            </w:r>
            <w:r w:rsidRPr="004969DC">
              <w:rPr>
                <w:rStyle w:val="xbe"/>
                <w:rFonts w:cs="Simplified Arabic"/>
                <w:sz w:val="20"/>
                <w:szCs w:val="22"/>
                <w:rtl/>
              </w:rPr>
              <w:t xml:space="preserve"> النادرة، م</w:t>
            </w:r>
            <w:r w:rsidRPr="004969DC">
              <w:rPr>
                <w:rStyle w:val="xbe"/>
                <w:rFonts w:cs="Simplified Arabic" w:hint="cs"/>
                <w:sz w:val="20"/>
                <w:szCs w:val="22"/>
                <w:rtl/>
              </w:rPr>
              <w:t>ن قبيل</w:t>
            </w:r>
            <w:r w:rsidRPr="004969DC">
              <w:rPr>
                <w:rStyle w:val="xbe"/>
                <w:rFonts w:cs="Simplified Arabic"/>
                <w:sz w:val="20"/>
                <w:szCs w:val="22"/>
                <w:rtl/>
              </w:rPr>
              <w:t xml:space="preserve"> ثلاثة أنواع من الدلافين، و</w:t>
            </w:r>
            <w:r w:rsidRPr="004969DC">
              <w:rPr>
                <w:rStyle w:val="xbe"/>
                <w:rFonts w:cs="Simplified Arabic" w:hint="cs"/>
                <w:sz w:val="20"/>
                <w:szCs w:val="22"/>
                <w:rtl/>
              </w:rPr>
              <w:t>"</w:t>
            </w:r>
            <w:r w:rsidRPr="004969DC">
              <w:rPr>
                <w:rStyle w:val="xbe"/>
                <w:rFonts w:cs="Simplified Arabic"/>
                <w:i/>
                <w:iCs/>
                <w:sz w:val="20"/>
                <w:szCs w:val="22"/>
                <w:lang w:val="es-ES"/>
              </w:rPr>
              <w:t>Psetta maxima</w:t>
            </w:r>
            <w:r w:rsidRPr="004969DC">
              <w:rPr>
                <w:rStyle w:val="xbe"/>
                <w:rFonts w:cs="Simplified Arabic"/>
                <w:sz w:val="20"/>
                <w:szCs w:val="22"/>
                <w:lang w:val="es-ES"/>
              </w:rPr>
              <w:t xml:space="preserve"> </w:t>
            </w:r>
            <w:r w:rsidRPr="004969DC">
              <w:rPr>
                <w:rStyle w:val="xbe"/>
                <w:rFonts w:cs="Simplified Arabic" w:hint="cs"/>
                <w:sz w:val="20"/>
                <w:szCs w:val="22"/>
                <w:rtl/>
              </w:rPr>
              <w:t>" (الطربوت العملاق)</w:t>
            </w:r>
            <w:r w:rsidRPr="004969DC">
              <w:rPr>
                <w:rStyle w:val="xbe"/>
                <w:rFonts w:cs="Simplified Arabic"/>
                <w:sz w:val="20"/>
                <w:szCs w:val="22"/>
                <w:rtl/>
              </w:rPr>
              <w:t xml:space="preserve"> و</w:t>
            </w:r>
            <w:r w:rsidRPr="004969DC">
              <w:rPr>
                <w:rStyle w:val="xbe"/>
                <w:rFonts w:cs="Simplified Arabic" w:hint="cs"/>
                <w:sz w:val="20"/>
                <w:szCs w:val="22"/>
                <w:rtl/>
              </w:rPr>
              <w:t>مروج الحزاميات</w:t>
            </w:r>
            <w:r w:rsidRPr="004969DC">
              <w:rPr>
                <w:rStyle w:val="xbe"/>
                <w:rFonts w:cs="Simplified Arabic"/>
                <w:sz w:val="20"/>
                <w:szCs w:val="22"/>
                <w:rtl/>
              </w:rPr>
              <w:t xml:space="preserve">. </w:t>
            </w:r>
            <w:r w:rsidRPr="004969DC">
              <w:rPr>
                <w:rStyle w:val="xbe"/>
                <w:rFonts w:cs="Simplified Arabic" w:hint="cs"/>
                <w:sz w:val="20"/>
                <w:szCs w:val="22"/>
                <w:rtl/>
              </w:rPr>
              <w:t>وتتوافر بكثرة عدة</w:t>
            </w:r>
            <w:r w:rsidRPr="004969DC">
              <w:rPr>
                <w:rStyle w:val="xbe"/>
                <w:rFonts w:cs="Simplified Arabic"/>
                <w:sz w:val="20"/>
                <w:szCs w:val="22"/>
                <w:rtl/>
              </w:rPr>
              <w:t xml:space="preserve"> أنواع</w:t>
            </w:r>
            <w:r w:rsidRPr="004969DC">
              <w:rPr>
                <w:rStyle w:val="xbe"/>
                <w:rFonts w:cs="Simplified Arabic" w:hint="cs"/>
                <w:sz w:val="20"/>
                <w:szCs w:val="22"/>
                <w:rtl/>
              </w:rPr>
              <w:t xml:space="preserve"> من</w:t>
            </w:r>
            <w:r w:rsidRPr="004969DC">
              <w:rPr>
                <w:rStyle w:val="xbe"/>
                <w:rFonts w:cs="Simplified Arabic"/>
                <w:sz w:val="20"/>
                <w:szCs w:val="22"/>
                <w:rtl/>
              </w:rPr>
              <w:t xml:space="preserve"> الأسماك الأخرى</w:t>
            </w:r>
            <w:r w:rsidRPr="004969DC">
              <w:rPr>
                <w:rStyle w:val="xbe"/>
                <w:rFonts w:cs="Simplified Arabic" w:hint="cs"/>
                <w:sz w:val="20"/>
                <w:szCs w:val="22"/>
                <w:rtl/>
              </w:rPr>
              <w:t>،</w:t>
            </w:r>
            <w:r w:rsidRPr="004969DC">
              <w:rPr>
                <w:rStyle w:val="xbe"/>
                <w:rFonts w:cs="Simplified Arabic"/>
                <w:sz w:val="20"/>
                <w:szCs w:val="22"/>
                <w:rtl/>
              </w:rPr>
              <w:t xml:space="preserve"> مثل</w:t>
            </w:r>
            <w:r w:rsidRPr="004969DC">
              <w:rPr>
                <w:rStyle w:val="xbe"/>
                <w:rFonts w:cs="Simplified Arabic" w:hint="cs"/>
                <w:sz w:val="20"/>
                <w:szCs w:val="22"/>
                <w:rtl/>
              </w:rPr>
              <w:t xml:space="preserve"> سمك</w:t>
            </w:r>
            <w:r w:rsidRPr="004969DC">
              <w:rPr>
                <w:rStyle w:val="xbe"/>
                <w:rFonts w:cs="Simplified Arabic"/>
                <w:sz w:val="20"/>
                <w:szCs w:val="22"/>
                <w:rtl/>
              </w:rPr>
              <w:t xml:space="preserve"> البوري الأحمر </w:t>
            </w:r>
            <w:r w:rsidRPr="004969DC">
              <w:rPr>
                <w:rStyle w:val="xbe"/>
                <w:rFonts w:cs="Simplified Arabic" w:hint="cs"/>
                <w:sz w:val="20"/>
                <w:szCs w:val="22"/>
                <w:rtl/>
              </w:rPr>
              <w:t>"</w:t>
            </w:r>
            <w:r w:rsidRPr="004969DC">
              <w:rPr>
                <w:rFonts w:cs="Simplified Arabic"/>
                <w:i/>
                <w:sz w:val="20"/>
                <w:szCs w:val="22"/>
                <w:lang w:val="es-ES"/>
              </w:rPr>
              <w:t xml:space="preserve"> </w:t>
            </w:r>
            <w:r w:rsidRPr="004969DC">
              <w:rPr>
                <w:rStyle w:val="xbe"/>
                <w:rFonts w:cs="Simplified Arabic"/>
                <w:i/>
                <w:iCs/>
                <w:sz w:val="20"/>
                <w:szCs w:val="22"/>
                <w:lang w:val="es-ES"/>
              </w:rPr>
              <w:t>Mullus barbatus</w:t>
            </w:r>
            <w:r w:rsidRPr="004969DC">
              <w:rPr>
                <w:rStyle w:val="xbe"/>
                <w:rFonts w:cs="Simplified Arabic" w:hint="cs"/>
                <w:sz w:val="20"/>
                <w:szCs w:val="22"/>
                <w:rtl/>
              </w:rPr>
              <w:t>"</w:t>
            </w:r>
            <w:r w:rsidRPr="004969DC">
              <w:rPr>
                <w:rStyle w:val="xbe"/>
                <w:rFonts w:cs="Simplified Arabic"/>
                <w:sz w:val="20"/>
                <w:szCs w:val="22"/>
                <w:rtl/>
              </w:rPr>
              <w:t xml:space="preserve"> </w:t>
            </w:r>
            <w:r w:rsidRPr="004969DC">
              <w:rPr>
                <w:rStyle w:val="xbe"/>
                <w:rFonts w:cs="Simplified Arabic" w:hint="cs"/>
                <w:sz w:val="20"/>
                <w:szCs w:val="22"/>
                <w:rtl/>
              </w:rPr>
              <w:t>و</w:t>
            </w:r>
            <w:r w:rsidRPr="004969DC">
              <w:rPr>
                <w:rStyle w:val="xbe"/>
                <w:rFonts w:cs="Simplified Arabic"/>
                <w:sz w:val="20"/>
                <w:szCs w:val="22"/>
                <w:rtl/>
              </w:rPr>
              <w:t>البوري الرمادي</w:t>
            </w:r>
            <w:r w:rsidRPr="004969DC">
              <w:rPr>
                <w:rStyle w:val="xbe"/>
                <w:rFonts w:cs="Simplified Arabic" w:hint="cs"/>
                <w:sz w:val="20"/>
                <w:szCs w:val="22"/>
                <w:rtl/>
              </w:rPr>
              <w:t xml:space="preserve"> وأنواع البوريات </w:t>
            </w:r>
            <w:r w:rsidRPr="004969DC">
              <w:rPr>
                <w:rStyle w:val="xbe"/>
                <w:rFonts w:cs="Simplified Arabic"/>
                <w:i/>
                <w:iCs/>
                <w:sz w:val="20"/>
                <w:szCs w:val="22"/>
                <w:lang w:val="es-ES"/>
              </w:rPr>
              <w:t>Mugil spp</w:t>
            </w:r>
            <w:r w:rsidRPr="004969DC">
              <w:rPr>
                <w:rStyle w:val="xbe"/>
                <w:rFonts w:cs="Simplified Arabic"/>
                <w:sz w:val="20"/>
                <w:szCs w:val="22"/>
                <w:lang w:val="es-ES"/>
              </w:rPr>
              <w:t>)</w:t>
            </w:r>
            <w:r w:rsidRPr="004969DC">
              <w:rPr>
                <w:rStyle w:val="xbe"/>
                <w:rFonts w:cs="Simplified Arabic" w:hint="cs"/>
                <w:sz w:val="20"/>
                <w:szCs w:val="22"/>
                <w:rtl/>
              </w:rPr>
              <w:t>)</w:t>
            </w:r>
            <w:r w:rsidRPr="004969DC">
              <w:rPr>
                <w:rStyle w:val="xbe"/>
                <w:rFonts w:cs="Simplified Arabic"/>
                <w:sz w:val="20"/>
                <w:szCs w:val="22"/>
                <w:rtl/>
              </w:rPr>
              <w:t xml:space="preserve">. </w:t>
            </w:r>
            <w:r w:rsidRPr="004969DC">
              <w:rPr>
                <w:rStyle w:val="xbe"/>
                <w:rFonts w:cs="Simplified Arabic" w:hint="cs"/>
                <w:sz w:val="20"/>
                <w:szCs w:val="22"/>
                <w:rtl/>
              </w:rPr>
              <w:t>ويشكل الجانب البري</w:t>
            </w:r>
            <w:r w:rsidRPr="004969DC">
              <w:rPr>
                <w:rStyle w:val="xbe"/>
                <w:rFonts w:cs="Simplified Arabic"/>
                <w:sz w:val="20"/>
                <w:szCs w:val="22"/>
                <w:rtl/>
              </w:rPr>
              <w:t xml:space="preserve"> من هذه المنطقة </w:t>
            </w:r>
            <w:r w:rsidRPr="004969DC">
              <w:rPr>
                <w:rStyle w:val="xbe"/>
                <w:rFonts w:cs="Simplified Arabic" w:hint="cs"/>
                <w:sz w:val="20"/>
                <w:szCs w:val="22"/>
                <w:rtl/>
              </w:rPr>
              <w:t>محمية بيولوجية</w:t>
            </w:r>
            <w:r w:rsidRPr="004969DC">
              <w:rPr>
                <w:rStyle w:val="xbe"/>
                <w:rFonts w:cs="Simplified Arabic"/>
                <w:sz w:val="20"/>
                <w:szCs w:val="22"/>
                <w:rtl/>
              </w:rPr>
              <w:t xml:space="preserve"> رسمي</w:t>
            </w:r>
            <w:r w:rsidRPr="004969DC">
              <w:rPr>
                <w:rStyle w:val="xbe"/>
                <w:rFonts w:cs="Simplified Arabic" w:hint="cs"/>
                <w:sz w:val="20"/>
                <w:szCs w:val="22"/>
                <w:rtl/>
              </w:rPr>
              <w:t>ة</w:t>
            </w:r>
            <w:r w:rsidRPr="004969DC">
              <w:rPr>
                <w:rStyle w:val="xbe"/>
                <w:rFonts w:cs="Simplified Arabic"/>
                <w:sz w:val="20"/>
                <w:szCs w:val="22"/>
                <w:rtl/>
              </w:rPr>
              <w:t xml:space="preserve">. </w:t>
            </w:r>
            <w:r w:rsidRPr="004969DC">
              <w:rPr>
                <w:rStyle w:val="xbe"/>
                <w:rFonts w:cs="Simplified Arabic" w:hint="cs"/>
                <w:sz w:val="20"/>
                <w:szCs w:val="22"/>
                <w:rtl/>
              </w:rPr>
              <w:t>وتقيم</w:t>
            </w:r>
            <w:r w:rsidRPr="004969DC">
              <w:rPr>
                <w:rStyle w:val="xbe"/>
                <w:rFonts w:cs="Simplified Arabic"/>
                <w:sz w:val="20"/>
                <w:szCs w:val="22"/>
                <w:rtl/>
              </w:rPr>
              <w:t xml:space="preserve"> العديد من أنواع الأسماك، التي لا تهاجر بسبب الطبيعة الصخرية للجزء الساحلي من المنطقة، في بيئة صخرية ورملية و</w:t>
            </w:r>
            <w:r w:rsidRPr="004969DC">
              <w:rPr>
                <w:rStyle w:val="xbe"/>
                <w:rFonts w:cs="Simplified Arabic" w:hint="cs"/>
                <w:sz w:val="20"/>
                <w:szCs w:val="22"/>
                <w:rtl/>
              </w:rPr>
              <w:t xml:space="preserve">تمتلك </w:t>
            </w:r>
            <w:r w:rsidRPr="004969DC">
              <w:rPr>
                <w:rStyle w:val="xbe"/>
                <w:rFonts w:cs="Simplified Arabic"/>
                <w:sz w:val="20"/>
                <w:szCs w:val="22"/>
                <w:rtl/>
              </w:rPr>
              <w:t>نظام</w:t>
            </w:r>
            <w:r w:rsidRPr="004969DC">
              <w:rPr>
                <w:rStyle w:val="xbe"/>
                <w:rFonts w:cs="Simplified Arabic" w:hint="cs"/>
                <w:sz w:val="20"/>
                <w:szCs w:val="22"/>
                <w:rtl/>
              </w:rPr>
              <w:t>اً</w:t>
            </w:r>
            <w:r w:rsidRPr="004969DC">
              <w:rPr>
                <w:rStyle w:val="xbe"/>
                <w:rFonts w:cs="Simplified Arabic"/>
                <w:sz w:val="20"/>
                <w:szCs w:val="22"/>
                <w:rtl/>
              </w:rPr>
              <w:t xml:space="preserve"> </w:t>
            </w:r>
            <w:r w:rsidRPr="004969DC">
              <w:rPr>
                <w:rStyle w:val="xbe"/>
                <w:rFonts w:cs="Simplified Arabic" w:hint="cs"/>
                <w:sz w:val="20"/>
                <w:szCs w:val="22"/>
                <w:rtl/>
              </w:rPr>
              <w:t>إيكولوجياً</w:t>
            </w:r>
            <w:r w:rsidRPr="004969DC">
              <w:rPr>
                <w:rStyle w:val="xbe"/>
                <w:rFonts w:cs="Simplified Arabic"/>
                <w:sz w:val="20"/>
                <w:szCs w:val="22"/>
                <w:rtl/>
              </w:rPr>
              <w:t xml:space="preserve"> غني</w:t>
            </w:r>
            <w:r w:rsidRPr="004969DC">
              <w:rPr>
                <w:rStyle w:val="xbe"/>
                <w:rFonts w:cs="Simplified Arabic" w:hint="cs"/>
                <w:sz w:val="20"/>
                <w:szCs w:val="22"/>
                <w:rtl/>
              </w:rPr>
              <w:t>اً</w:t>
            </w:r>
            <w:r w:rsidRPr="004969DC">
              <w:rPr>
                <w:rStyle w:val="xbe"/>
                <w:rFonts w:cs="Simplified Arabic"/>
                <w:sz w:val="20"/>
                <w:szCs w:val="22"/>
                <w:rtl/>
              </w:rPr>
              <w:t xml:space="preserve"> </w:t>
            </w:r>
            <w:r w:rsidRPr="004969DC">
              <w:rPr>
                <w:rStyle w:val="xbe"/>
                <w:rFonts w:cs="Simplified Arabic" w:hint="cs"/>
                <w:sz w:val="20"/>
                <w:szCs w:val="22"/>
                <w:rtl/>
              </w:rPr>
              <w:t>لأغراض الإنسال</w:t>
            </w:r>
            <w:r w:rsidRPr="004969DC">
              <w:rPr>
                <w:rStyle w:val="xbe"/>
                <w:rFonts w:cs="Simplified Arabic"/>
                <w:sz w:val="20"/>
                <w:szCs w:val="22"/>
                <w:rtl/>
              </w:rPr>
              <w:t xml:space="preserve"> والتغذية. </w:t>
            </w:r>
            <w:r w:rsidRPr="004969DC">
              <w:rPr>
                <w:rStyle w:val="xbe"/>
                <w:rFonts w:cs="Simplified Arabic" w:hint="cs"/>
                <w:sz w:val="20"/>
                <w:szCs w:val="22"/>
                <w:rtl/>
              </w:rPr>
              <w:t xml:space="preserve">وتعتبر </w:t>
            </w:r>
            <w:r w:rsidRPr="004969DC">
              <w:rPr>
                <w:rStyle w:val="xbe"/>
                <w:rFonts w:cs="Simplified Arabic"/>
                <w:sz w:val="20"/>
                <w:szCs w:val="22"/>
                <w:rtl/>
              </w:rPr>
              <w:t xml:space="preserve">هذه </w:t>
            </w:r>
            <w:r w:rsidRPr="004969DC">
              <w:rPr>
                <w:rStyle w:val="xbe"/>
                <w:rFonts w:cs="Simplified Arabic" w:hint="cs"/>
                <w:sz w:val="20"/>
                <w:szCs w:val="22"/>
                <w:rtl/>
              </w:rPr>
              <w:t>ال</w:t>
            </w:r>
            <w:r w:rsidRPr="004969DC">
              <w:rPr>
                <w:rStyle w:val="xbe"/>
                <w:rFonts w:cs="Simplified Arabic"/>
                <w:sz w:val="20"/>
                <w:szCs w:val="22"/>
                <w:rtl/>
              </w:rPr>
              <w:t xml:space="preserve">منطقة محمية </w:t>
            </w:r>
            <w:r w:rsidRPr="004969DC">
              <w:rPr>
                <w:rStyle w:val="xbe"/>
                <w:rFonts w:cs="Simplified Arabic" w:hint="cs"/>
                <w:sz w:val="20"/>
                <w:szCs w:val="22"/>
                <w:rtl/>
              </w:rPr>
              <w:t>يُمنع فيها صيد</w:t>
            </w:r>
            <w:r w:rsidRPr="004969DC">
              <w:rPr>
                <w:rStyle w:val="xbe"/>
                <w:rFonts w:cs="Simplified Arabic"/>
                <w:sz w:val="20"/>
                <w:szCs w:val="22"/>
                <w:rtl/>
              </w:rPr>
              <w:t xml:space="preserve"> الأسماك.</w:t>
            </w:r>
            <w:r w:rsidRPr="004969DC">
              <w:rPr>
                <w:rStyle w:val="xbe"/>
                <w:rFonts w:cs="Simplified Arabic" w:hint="cs"/>
                <w:sz w:val="20"/>
                <w:szCs w:val="22"/>
                <w:rtl/>
              </w:rPr>
              <w:t xml:space="preserve"> وتتسم ببنية رملية</w:t>
            </w:r>
            <w:r w:rsidRPr="004969DC">
              <w:rPr>
                <w:rStyle w:val="xbe"/>
                <w:rFonts w:cs="Simplified Arabic"/>
                <w:sz w:val="20"/>
                <w:szCs w:val="22"/>
                <w:rtl/>
              </w:rPr>
              <w:t xml:space="preserve"> صخرية </w:t>
            </w:r>
            <w:r w:rsidRPr="004969DC">
              <w:rPr>
                <w:rStyle w:val="xbe"/>
                <w:rFonts w:cs="Simplified Arabic" w:hint="cs"/>
                <w:sz w:val="20"/>
                <w:szCs w:val="22"/>
                <w:rtl/>
              </w:rPr>
              <w:t>مكعبة الشكل</w:t>
            </w:r>
            <w:r w:rsidRPr="004969DC">
              <w:rPr>
                <w:rStyle w:val="xbe"/>
                <w:rFonts w:cs="Simplified Arabic"/>
                <w:sz w:val="20"/>
                <w:szCs w:val="22"/>
                <w:rtl/>
              </w:rPr>
              <w:t xml:space="preserve"> </w:t>
            </w:r>
            <w:r w:rsidRPr="004969DC">
              <w:rPr>
                <w:rStyle w:val="xbe"/>
                <w:rFonts w:cs="Simplified Arabic" w:hint="cs"/>
                <w:sz w:val="20"/>
                <w:szCs w:val="22"/>
                <w:rtl/>
              </w:rPr>
              <w:t>وتمتلك أغنى تنوع في</w:t>
            </w:r>
            <w:r w:rsidRPr="004969DC">
              <w:rPr>
                <w:rStyle w:val="xbe"/>
                <w:rFonts w:cs="Simplified Arabic"/>
                <w:sz w:val="20"/>
                <w:szCs w:val="22"/>
                <w:rtl/>
              </w:rPr>
              <w:t xml:space="preserve"> الأنواع القاعية في المنطقة بسبب وجود صخور </w:t>
            </w:r>
            <w:r w:rsidRPr="004969DC">
              <w:rPr>
                <w:rStyle w:val="xbe"/>
                <w:rFonts w:cs="Simplified Arabic" w:hint="cs"/>
                <w:sz w:val="20"/>
                <w:szCs w:val="22"/>
                <w:rtl/>
              </w:rPr>
              <w:t>مغمورة</w:t>
            </w:r>
            <w:r w:rsidRPr="004969DC">
              <w:rPr>
                <w:rStyle w:val="xbe"/>
                <w:rFonts w:cs="Simplified Arabic"/>
                <w:sz w:val="20"/>
                <w:szCs w:val="22"/>
                <w:rtl/>
              </w:rPr>
              <w:t xml:space="preserve"> ومناطق رملية مسطحة واسعة</w:t>
            </w:r>
            <w:r w:rsidRPr="004969DC">
              <w:rPr>
                <w:rStyle w:val="xbe"/>
                <w:rFonts w:cs="Simplified Arabic" w:hint="cs"/>
                <w:sz w:val="20"/>
                <w:szCs w:val="22"/>
                <w:rtl/>
              </w:rPr>
              <w:t xml:space="preserve"> النطاق</w:t>
            </w:r>
            <w:r w:rsidRPr="004969DC">
              <w:rPr>
                <w:rStyle w:val="xbe"/>
                <w:rFonts w:cs="Simplified Arabic"/>
                <w:sz w:val="20"/>
                <w:szCs w:val="22"/>
                <w:rtl/>
              </w:rPr>
              <w:t xml:space="preserve">. </w:t>
            </w:r>
            <w:r w:rsidRPr="004969DC">
              <w:rPr>
                <w:rStyle w:val="xbe"/>
                <w:rFonts w:cs="Simplified Arabic" w:hint="cs"/>
                <w:sz w:val="20"/>
                <w:szCs w:val="22"/>
                <w:rtl/>
              </w:rPr>
              <w:t>و</w:t>
            </w:r>
            <w:r w:rsidRPr="004969DC">
              <w:rPr>
                <w:rStyle w:val="xbe"/>
                <w:rFonts w:cs="Simplified Arabic"/>
                <w:sz w:val="20"/>
                <w:szCs w:val="22"/>
                <w:rtl/>
              </w:rPr>
              <w:t xml:space="preserve">علاوة على ذلك، </w:t>
            </w:r>
            <w:r w:rsidRPr="004969DC">
              <w:rPr>
                <w:rFonts w:cs="Simplified Arabic" w:hint="cs"/>
                <w:sz w:val="20"/>
                <w:szCs w:val="22"/>
                <w:rtl/>
              </w:rPr>
              <w:t>توجد</w:t>
            </w:r>
            <w:r w:rsidRPr="004969DC">
              <w:rPr>
                <w:rFonts w:cs="Simplified Arabic"/>
                <w:sz w:val="20"/>
                <w:szCs w:val="22"/>
                <w:rtl/>
              </w:rPr>
              <w:t xml:space="preserve"> خنازير البحر </w:t>
            </w:r>
            <w:r w:rsidRPr="004969DC">
              <w:rPr>
                <w:rFonts w:cs="Simplified Arabic" w:hint="cs"/>
                <w:sz w:val="20"/>
                <w:szCs w:val="22"/>
                <w:rtl/>
              </w:rPr>
              <w:t>الشائعة</w:t>
            </w:r>
            <w:r w:rsidRPr="004969DC">
              <w:rPr>
                <w:rFonts w:cs="Simplified Arabic"/>
                <w:sz w:val="20"/>
                <w:szCs w:val="22"/>
                <w:rtl/>
              </w:rPr>
              <w:t xml:space="preserve"> على </w:t>
            </w:r>
            <w:r w:rsidRPr="004969DC">
              <w:rPr>
                <w:rFonts w:cs="Simplified Arabic" w:hint="cs"/>
                <w:sz w:val="20"/>
                <w:szCs w:val="22"/>
                <w:rtl/>
              </w:rPr>
              <w:t>امتداد</w:t>
            </w:r>
            <w:r w:rsidRPr="004969DC">
              <w:rPr>
                <w:rFonts w:cs="Simplified Arabic"/>
                <w:sz w:val="20"/>
                <w:szCs w:val="22"/>
                <w:rtl/>
              </w:rPr>
              <w:t xml:space="preserve"> </w:t>
            </w:r>
            <w:r w:rsidRPr="004969DC">
              <w:rPr>
                <w:rFonts w:cs="Simplified Arabic" w:hint="cs"/>
                <w:sz w:val="20"/>
                <w:szCs w:val="22"/>
                <w:rtl/>
              </w:rPr>
              <w:t>ال</w:t>
            </w:r>
            <w:r w:rsidRPr="004969DC">
              <w:rPr>
                <w:rFonts w:cs="Simplified Arabic"/>
                <w:sz w:val="20"/>
                <w:szCs w:val="22"/>
                <w:rtl/>
              </w:rPr>
              <w:t>ساحل</w:t>
            </w:r>
            <w:r w:rsidRPr="004969DC">
              <w:rPr>
                <w:rFonts w:cs="Simplified Arabic" w:hint="cs"/>
                <w:sz w:val="20"/>
                <w:szCs w:val="22"/>
                <w:rtl/>
              </w:rPr>
              <w:t xml:space="preserve"> التركي على</w:t>
            </w:r>
            <w:r w:rsidRPr="004969DC">
              <w:rPr>
                <w:rFonts w:cs="Simplified Arabic"/>
                <w:sz w:val="20"/>
                <w:szCs w:val="22"/>
                <w:rtl/>
              </w:rPr>
              <w:t xml:space="preserve"> البحر الأسود </w:t>
            </w:r>
            <w:r w:rsidRPr="004969DC">
              <w:rPr>
                <w:rFonts w:cs="Simplified Arabic" w:hint="cs"/>
                <w:sz w:val="20"/>
                <w:szCs w:val="22"/>
                <w:rtl/>
              </w:rPr>
              <w:t xml:space="preserve">وتتوافر بكثرة </w:t>
            </w:r>
            <w:r w:rsidRPr="004969DC">
              <w:rPr>
                <w:rFonts w:cs="Simplified Arabic"/>
                <w:sz w:val="20"/>
                <w:szCs w:val="22"/>
                <w:rtl/>
              </w:rPr>
              <w:t xml:space="preserve">على طول الساحل الشرقي </w:t>
            </w:r>
            <w:r w:rsidRPr="004969DC">
              <w:rPr>
                <w:rFonts w:cs="Simplified Arabic" w:hint="cs"/>
                <w:sz w:val="20"/>
                <w:szCs w:val="22"/>
                <w:rtl/>
              </w:rPr>
              <w:t>تحديداً</w:t>
            </w:r>
            <w:r w:rsidRPr="004969DC">
              <w:rPr>
                <w:rFonts w:cs="Simplified Arabic"/>
                <w:sz w:val="20"/>
                <w:szCs w:val="22"/>
                <w:rtl/>
              </w:rPr>
              <w:t xml:space="preserve">، حيث </w:t>
            </w:r>
            <w:r w:rsidRPr="004969DC">
              <w:rPr>
                <w:rFonts w:cs="Simplified Arabic" w:hint="cs"/>
                <w:sz w:val="20"/>
                <w:szCs w:val="22"/>
                <w:rtl/>
              </w:rPr>
              <w:t xml:space="preserve">تصب عدة </w:t>
            </w:r>
            <w:r w:rsidRPr="004969DC">
              <w:rPr>
                <w:rFonts w:cs="Simplified Arabic" w:hint="cs"/>
                <w:sz w:val="20"/>
                <w:szCs w:val="22"/>
                <w:rtl/>
              </w:rPr>
              <w:lastRenderedPageBreak/>
              <w:t>أنهار</w:t>
            </w:r>
            <w:r w:rsidRPr="004969DC">
              <w:rPr>
                <w:rFonts w:cs="Simplified Arabic"/>
                <w:sz w:val="20"/>
                <w:szCs w:val="22"/>
                <w:rtl/>
              </w:rPr>
              <w:t xml:space="preserve"> في البحر الأسود.</w:t>
            </w:r>
            <w:r w:rsidRPr="004969DC">
              <w:rPr>
                <w:rFonts w:eastAsia="MS Mincho" w:cs="Simplified Arabic" w:hint="cs"/>
                <w:sz w:val="20"/>
                <w:szCs w:val="22"/>
                <w:rtl/>
              </w:rPr>
              <w:t xml:space="preserve"> وبالإضافة إلى ذلك، تقع منطقة التشتية الرئيسية لخنازير البحر الشائعة في جنوب شرق البحر الأسود. </w:t>
            </w:r>
            <w:r w:rsidRPr="004969DC">
              <w:rPr>
                <w:rFonts w:eastAsia="MS Mincho" w:cs="Simplified Arabic" w:hint="cs"/>
                <w:spacing w:val="-10"/>
                <w:sz w:val="20"/>
                <w:szCs w:val="22"/>
                <w:rtl/>
              </w:rPr>
              <w:t>وتتداخل هذه</w:t>
            </w:r>
            <w:r w:rsidRPr="004969DC">
              <w:rPr>
                <w:rFonts w:eastAsia="MS Mincho" w:cs="Simplified Arabic"/>
                <w:spacing w:val="-10"/>
                <w:sz w:val="20"/>
                <w:szCs w:val="22"/>
                <w:rtl/>
              </w:rPr>
              <w:t xml:space="preserve"> المنطقة مع منطقة</w:t>
            </w:r>
            <w:r w:rsidRPr="004969DC">
              <w:rPr>
                <w:rFonts w:eastAsia="MS Mincho" w:cs="Simplified Arabic" w:hint="cs"/>
                <w:spacing w:val="-10"/>
                <w:sz w:val="20"/>
                <w:szCs w:val="22"/>
                <w:rtl/>
              </w:rPr>
              <w:t xml:space="preserve"> بحرية</w:t>
            </w:r>
            <w:r w:rsidRPr="004969DC">
              <w:rPr>
                <w:rFonts w:eastAsia="MS Mincho" w:cs="Simplified Arabic"/>
                <w:spacing w:val="-10"/>
                <w:sz w:val="20"/>
                <w:szCs w:val="22"/>
                <w:rtl/>
              </w:rPr>
              <w:t xml:space="preserve"> </w:t>
            </w:r>
            <w:r w:rsidRPr="004969DC">
              <w:rPr>
                <w:rFonts w:eastAsia="MS Mincho" w:cs="Simplified Arabic" w:hint="cs"/>
                <w:spacing w:val="-10"/>
                <w:sz w:val="20"/>
                <w:szCs w:val="22"/>
                <w:rtl/>
              </w:rPr>
              <w:t>مهمة</w:t>
            </w:r>
            <w:r w:rsidRPr="004969DC">
              <w:rPr>
                <w:rFonts w:eastAsia="MS Mincho" w:cs="Simplified Arabic"/>
                <w:spacing w:val="-10"/>
                <w:sz w:val="20"/>
                <w:szCs w:val="22"/>
                <w:rtl/>
              </w:rPr>
              <w:t xml:space="preserve"> ل</w:t>
            </w:r>
            <w:r w:rsidRPr="004969DC">
              <w:rPr>
                <w:rFonts w:eastAsia="MS Mincho" w:cs="Simplified Arabic" w:hint="cs"/>
                <w:spacing w:val="-10"/>
                <w:sz w:val="20"/>
                <w:szCs w:val="22"/>
                <w:rtl/>
              </w:rPr>
              <w:t>حفظ ا</w:t>
            </w:r>
            <w:r w:rsidRPr="004969DC">
              <w:rPr>
                <w:rFonts w:eastAsia="MS Mincho" w:cs="Simplified Arabic"/>
                <w:spacing w:val="-10"/>
                <w:sz w:val="20"/>
                <w:szCs w:val="22"/>
                <w:rtl/>
              </w:rPr>
              <w:t>لطيور والتنوع البيولوجي</w:t>
            </w:r>
            <w:r w:rsidRPr="004969DC">
              <w:rPr>
                <w:rFonts w:eastAsia="MS Mincho" w:cs="Simplified Arabic" w:hint="cs"/>
                <w:spacing w:val="-10"/>
                <w:sz w:val="20"/>
                <w:szCs w:val="22"/>
                <w:rtl/>
              </w:rPr>
              <w:t xml:space="preserve"> تنطوي على</w:t>
            </w:r>
            <w:r w:rsidRPr="004969DC">
              <w:rPr>
                <w:rFonts w:eastAsia="MS Mincho" w:cs="Simplified Arabic"/>
                <w:spacing w:val="-10"/>
                <w:sz w:val="20"/>
                <w:szCs w:val="22"/>
                <w:rtl/>
              </w:rPr>
              <w:t xml:space="preserve"> أهمية إقليمية لنوعين من الطيور البحرية</w:t>
            </w:r>
            <w:r w:rsidRPr="004969DC">
              <w:rPr>
                <w:rFonts w:eastAsia="MS Mincho" w:cs="Simplified Arabic" w:hint="cs"/>
                <w:spacing w:val="-10"/>
                <w:sz w:val="20"/>
                <w:szCs w:val="22"/>
                <w:rtl/>
              </w:rPr>
              <w:t xml:space="preserve"> هما</w:t>
            </w:r>
            <w:r w:rsidRPr="004969DC">
              <w:rPr>
                <w:rFonts w:eastAsia="MS Mincho" w:cs="Simplified Arabic"/>
                <w:spacing w:val="-10"/>
                <w:sz w:val="20"/>
                <w:szCs w:val="22"/>
                <w:rtl/>
              </w:rPr>
              <w:t xml:space="preserve">: </w:t>
            </w:r>
            <w:r w:rsidRPr="004969DC">
              <w:rPr>
                <w:rFonts w:eastAsia="MS Mincho" w:cs="Simplified Arabic" w:hint="cs"/>
                <w:spacing w:val="-10"/>
                <w:sz w:val="20"/>
                <w:szCs w:val="22"/>
                <w:rtl/>
              </w:rPr>
              <w:t xml:space="preserve">الأسقطور </w:t>
            </w:r>
            <w:r w:rsidRPr="004969DC">
              <w:rPr>
                <w:rFonts w:eastAsia="MS Mincho" w:cs="Simplified Arabic"/>
                <w:spacing w:val="-10"/>
                <w:sz w:val="20"/>
                <w:szCs w:val="22"/>
                <w:rtl/>
              </w:rPr>
              <w:t>المخملي</w:t>
            </w:r>
            <w:r w:rsidRPr="004969DC">
              <w:rPr>
                <w:rFonts w:eastAsia="MS Mincho" w:cs="Simplified Arabic" w:hint="cs"/>
                <w:spacing w:val="-10"/>
                <w:sz w:val="20"/>
                <w:szCs w:val="22"/>
                <w:rtl/>
              </w:rPr>
              <w:t xml:space="preserve"> "</w:t>
            </w:r>
            <w:r w:rsidRPr="004969DC">
              <w:rPr>
                <w:rFonts w:eastAsia="MS Mincho" w:cs="Simplified Arabic"/>
                <w:i/>
                <w:spacing w:val="-10"/>
                <w:sz w:val="20"/>
                <w:szCs w:val="22"/>
                <w:lang w:val="es-ES"/>
              </w:rPr>
              <w:t xml:space="preserve"> Melanitta fusca</w:t>
            </w:r>
            <w:r w:rsidRPr="004969DC">
              <w:rPr>
                <w:rFonts w:eastAsia="MS Mincho" w:cs="Simplified Arabic" w:hint="cs"/>
                <w:spacing w:val="-10"/>
                <w:sz w:val="20"/>
                <w:szCs w:val="22"/>
                <w:rtl/>
              </w:rPr>
              <w:t>"</w:t>
            </w:r>
            <w:r w:rsidRPr="004969DC">
              <w:rPr>
                <w:rFonts w:eastAsia="MS Mincho" w:cs="Simplified Arabic"/>
                <w:spacing w:val="-10"/>
                <w:sz w:val="20"/>
                <w:szCs w:val="22"/>
                <w:rtl/>
              </w:rPr>
              <w:t xml:space="preserve"> و</w:t>
            </w:r>
            <w:r w:rsidRPr="004969DC">
              <w:rPr>
                <w:rFonts w:eastAsia="MS Mincho" w:cs="Simplified Arabic" w:hint="cs"/>
                <w:spacing w:val="-10"/>
                <w:sz w:val="20"/>
                <w:szCs w:val="22"/>
                <w:rtl/>
              </w:rPr>
              <w:t>النورس القزويني "</w:t>
            </w:r>
            <w:r w:rsidRPr="004969DC">
              <w:rPr>
                <w:rFonts w:eastAsia="MS Mincho" w:cs="Simplified Arabic"/>
                <w:i/>
                <w:spacing w:val="-10"/>
                <w:sz w:val="20"/>
                <w:szCs w:val="22"/>
                <w:lang w:val="es-ES"/>
              </w:rPr>
              <w:t xml:space="preserve"> Larus cachinnans</w:t>
            </w:r>
            <w:r w:rsidRPr="004969DC">
              <w:rPr>
                <w:rFonts w:eastAsia="MS Mincho" w:cs="Simplified Arabic" w:hint="cs"/>
                <w:spacing w:val="-10"/>
                <w:sz w:val="20"/>
                <w:szCs w:val="22"/>
                <w:rtl/>
              </w:rPr>
              <w:t>"</w:t>
            </w:r>
            <w:r w:rsidRPr="004969DC">
              <w:rPr>
                <w:rFonts w:eastAsia="MS Mincho" w:cs="Simplified Arabic"/>
                <w:spacing w:val="-10"/>
                <w:sz w:val="20"/>
                <w:szCs w:val="22"/>
                <w:rtl/>
              </w:rPr>
              <w:t>. ومن المعروف أيضا</w:t>
            </w:r>
            <w:r w:rsidRPr="004969DC">
              <w:rPr>
                <w:rFonts w:eastAsia="MS Mincho" w:cs="Simplified Arabic" w:hint="cs"/>
                <w:spacing w:val="-10"/>
                <w:sz w:val="20"/>
                <w:szCs w:val="22"/>
                <w:rtl/>
              </w:rPr>
              <w:t>ً</w:t>
            </w:r>
            <w:r w:rsidRPr="004969DC">
              <w:rPr>
                <w:rFonts w:eastAsia="MS Mincho" w:cs="Simplified Arabic"/>
                <w:spacing w:val="-10"/>
                <w:sz w:val="20"/>
                <w:szCs w:val="22"/>
                <w:rtl/>
              </w:rPr>
              <w:t xml:space="preserve"> </w:t>
            </w:r>
            <w:r w:rsidRPr="004969DC">
              <w:rPr>
                <w:rFonts w:eastAsia="MS Mincho" w:cs="Simplified Arabic" w:hint="cs"/>
                <w:spacing w:val="-10"/>
                <w:sz w:val="20"/>
                <w:szCs w:val="22"/>
                <w:rtl/>
              </w:rPr>
              <w:t>وجود نوع ثالث هو النورس</w:t>
            </w:r>
            <w:r w:rsidRPr="004969DC">
              <w:rPr>
                <w:rFonts w:eastAsia="MS Mincho" w:cs="Simplified Arabic" w:hint="cs"/>
                <w:sz w:val="20"/>
                <w:szCs w:val="22"/>
                <w:rtl/>
              </w:rPr>
              <w:t xml:space="preserve"> المواء "</w:t>
            </w:r>
            <w:r w:rsidRPr="004969DC">
              <w:rPr>
                <w:rFonts w:eastAsia="MS Mincho" w:cs="Simplified Arabic"/>
                <w:i/>
                <w:sz w:val="20"/>
                <w:szCs w:val="22"/>
                <w:lang w:val="es-ES"/>
              </w:rPr>
              <w:t xml:space="preserve"> Larus canus</w:t>
            </w:r>
            <w:r w:rsidRPr="004969DC">
              <w:rPr>
                <w:rFonts w:eastAsia="MS Mincho" w:cs="Simplified Arabic" w:hint="cs"/>
                <w:sz w:val="20"/>
                <w:szCs w:val="22"/>
                <w:rtl/>
              </w:rPr>
              <w:t>"</w:t>
            </w:r>
            <w:r w:rsidRPr="004969DC">
              <w:rPr>
                <w:rFonts w:eastAsia="MS Mincho" w:cs="Simplified Arabic"/>
                <w:sz w:val="20"/>
                <w:szCs w:val="22"/>
                <w:rtl/>
              </w:rPr>
              <w:t>.</w:t>
            </w:r>
          </w:p>
        </w:tc>
        <w:tc>
          <w:tcPr>
            <w:tcW w:w="506" w:type="dxa"/>
            <w:vAlign w:val="center"/>
          </w:tcPr>
          <w:p w:rsidR="000A5DEA" w:rsidRPr="00E2695B" w:rsidRDefault="000A5DEA" w:rsidP="00094717">
            <w:pPr>
              <w:rPr>
                <w:sz w:val="20"/>
                <w:szCs w:val="22"/>
              </w:rPr>
            </w:pPr>
            <w:r w:rsidRPr="00E2695B">
              <w:rPr>
                <w:sz w:val="20"/>
                <w:szCs w:val="22"/>
              </w:rPr>
              <w:lastRenderedPageBreak/>
              <w:t>M</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M</w:t>
            </w:r>
          </w:p>
        </w:tc>
        <w:tc>
          <w:tcPr>
            <w:tcW w:w="507" w:type="dxa"/>
            <w:vAlign w:val="center"/>
          </w:tcPr>
          <w:p w:rsidR="000A5DEA" w:rsidRPr="00E2695B" w:rsidRDefault="000A5DEA" w:rsidP="00094717">
            <w:pP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caps/>
                <w:sz w:val="20"/>
                <w:szCs w:val="22"/>
                <w:lang w:val="es-ES"/>
              </w:rPr>
            </w:pPr>
            <w:bookmarkStart w:id="39" w:name="_Toc524295478"/>
            <w:bookmarkStart w:id="40" w:name="_Toc6071558"/>
            <w:r w:rsidRPr="004969DC">
              <w:rPr>
                <w:rFonts w:hint="cs"/>
                <w:bCs/>
                <w:sz w:val="20"/>
                <w:szCs w:val="22"/>
                <w:rtl/>
                <w:lang w:val="fr-FR"/>
              </w:rPr>
              <w:lastRenderedPageBreak/>
              <w:t>17-</w:t>
            </w:r>
            <w:r w:rsidRPr="004969DC">
              <w:rPr>
                <w:bCs/>
                <w:sz w:val="20"/>
                <w:szCs w:val="22"/>
                <w:lang w:val="fr-FR"/>
              </w:rPr>
              <w:t xml:space="preserve"> </w:t>
            </w:r>
            <w:r w:rsidRPr="004969DC">
              <w:rPr>
                <w:rFonts w:hint="cs"/>
                <w:bCs/>
                <w:sz w:val="20"/>
                <w:szCs w:val="22"/>
                <w:rtl/>
                <w:lang w:val="fr-FR"/>
              </w:rPr>
              <w:t>غ</w:t>
            </w:r>
            <w:r w:rsidRPr="004969DC">
              <w:rPr>
                <w:bCs/>
                <w:sz w:val="20"/>
                <w:szCs w:val="22"/>
                <w:rtl/>
                <w:lang w:val="fr-FR"/>
              </w:rPr>
              <w:t xml:space="preserve">يرسون - </w:t>
            </w:r>
            <w:r w:rsidRPr="004969DC">
              <w:rPr>
                <w:rFonts w:hint="cs"/>
                <w:bCs/>
                <w:sz w:val="20"/>
                <w:szCs w:val="22"/>
                <w:rtl/>
                <w:lang w:val="fr-FR"/>
              </w:rPr>
              <w:t>تيريبولو</w:t>
            </w:r>
            <w:bookmarkEnd w:id="39"/>
            <w:bookmarkEnd w:id="40"/>
          </w:p>
          <w:p w:rsidR="000A5DEA" w:rsidRPr="004969DC" w:rsidRDefault="000A5DEA" w:rsidP="00CD26C5">
            <w:pPr>
              <w:pStyle w:val="ListParagraph"/>
              <w:numPr>
                <w:ilvl w:val="0"/>
                <w:numId w:val="135"/>
              </w:numPr>
              <w:bidi/>
              <w:spacing w:after="0" w:line="204" w:lineRule="auto"/>
              <w:ind w:left="332" w:hanging="332"/>
              <w:rPr>
                <w:rFonts w:cs="Simplified Arabic"/>
                <w:sz w:val="20"/>
                <w:szCs w:val="22"/>
                <w:lang w:val="es-ES"/>
              </w:rPr>
            </w:pPr>
            <w:r w:rsidRPr="004969DC">
              <w:rPr>
                <w:rFonts w:cs="Simplified Arabic"/>
                <w:sz w:val="20"/>
                <w:szCs w:val="22"/>
                <w:rtl/>
              </w:rPr>
              <w:t>الموقع: تقع المنطقة بين الإحداثيات التالية:</w:t>
            </w:r>
            <w:r w:rsidRPr="004969DC">
              <w:rPr>
                <w:rFonts w:cs="Simplified Arabic"/>
                <w:sz w:val="20"/>
                <w:szCs w:val="22"/>
                <w:lang w:val="es-ES"/>
              </w:rPr>
              <w:t xml:space="preserve"> </w:t>
            </w:r>
            <w:r w:rsidRPr="004969DC">
              <w:rPr>
                <w:rFonts w:cs="Simplified Arabic" w:hint="cs"/>
                <w:sz w:val="20"/>
                <w:szCs w:val="22"/>
                <w:rtl/>
              </w:rPr>
              <w:t>40 59,23</w:t>
            </w:r>
            <w:r w:rsidRPr="004969DC">
              <w:rPr>
                <w:rFonts w:cs="Simplified Arabic"/>
                <w:sz w:val="20"/>
                <w:szCs w:val="22"/>
                <w:lang w:val="es-ES"/>
              </w:rPr>
              <w:t>'</w:t>
            </w:r>
            <w:r w:rsidRPr="004969DC">
              <w:rPr>
                <w:rFonts w:cs="Simplified Arabic" w:hint="cs"/>
                <w:sz w:val="20"/>
                <w:szCs w:val="22"/>
                <w:rtl/>
              </w:rPr>
              <w:t xml:space="preserve"> شمالاً-38 46,415</w:t>
            </w:r>
            <w:r w:rsidRPr="004969DC">
              <w:rPr>
                <w:rFonts w:cs="Simplified Arabic"/>
                <w:sz w:val="20"/>
                <w:szCs w:val="22"/>
                <w:lang w:val="es-ES"/>
              </w:rPr>
              <w:t>'</w:t>
            </w:r>
            <w:r w:rsidRPr="004969DC">
              <w:rPr>
                <w:rFonts w:cs="Simplified Arabic" w:hint="cs"/>
                <w:sz w:val="20"/>
                <w:szCs w:val="22"/>
                <w:rtl/>
              </w:rPr>
              <w:t xml:space="preserve"> شرقاً، و41 0,241</w:t>
            </w:r>
            <w:r w:rsidRPr="004969DC">
              <w:rPr>
                <w:rFonts w:cs="Simplified Arabic"/>
                <w:sz w:val="20"/>
                <w:szCs w:val="22"/>
                <w:lang w:val="es-ES"/>
              </w:rPr>
              <w:t>'</w:t>
            </w:r>
            <w:r w:rsidRPr="004969DC">
              <w:rPr>
                <w:rFonts w:cs="Simplified Arabic" w:hint="cs"/>
                <w:sz w:val="20"/>
                <w:szCs w:val="22"/>
                <w:rtl/>
              </w:rPr>
              <w:t xml:space="preserve"> شمالاً-38 46,415</w:t>
            </w:r>
            <w:r w:rsidRPr="004969DC">
              <w:rPr>
                <w:rFonts w:cs="Simplified Arabic"/>
                <w:sz w:val="20"/>
                <w:szCs w:val="22"/>
                <w:lang w:val="es-ES"/>
              </w:rPr>
              <w:t>'</w:t>
            </w:r>
            <w:r w:rsidRPr="004969DC">
              <w:rPr>
                <w:rFonts w:cs="Simplified Arabic" w:hint="cs"/>
                <w:sz w:val="20"/>
                <w:szCs w:val="22"/>
                <w:rtl/>
              </w:rPr>
              <w:t xml:space="preserve"> شرقاً، و41 0,489 شمالاً-38 48,48</w:t>
            </w:r>
            <w:r w:rsidRPr="004969DC">
              <w:rPr>
                <w:rFonts w:cs="Simplified Arabic"/>
                <w:sz w:val="20"/>
                <w:szCs w:val="22"/>
                <w:lang w:val="es-ES"/>
              </w:rPr>
              <w:t>'</w:t>
            </w:r>
            <w:r w:rsidRPr="004969DC">
              <w:rPr>
                <w:rFonts w:cs="Simplified Arabic" w:hint="cs"/>
                <w:sz w:val="20"/>
                <w:szCs w:val="22"/>
                <w:rtl/>
              </w:rPr>
              <w:t xml:space="preserve"> شرقاً، و41 0,24 شمالاً-38 48,48</w:t>
            </w:r>
            <w:r w:rsidRPr="004969DC">
              <w:rPr>
                <w:rFonts w:cs="Simplified Arabic"/>
                <w:sz w:val="20"/>
                <w:szCs w:val="22"/>
                <w:lang w:val="es-ES"/>
              </w:rPr>
              <w:t>'</w:t>
            </w:r>
            <w:r w:rsidRPr="004969DC">
              <w:rPr>
                <w:rFonts w:cs="Simplified Arabic" w:hint="cs"/>
                <w:sz w:val="20"/>
                <w:szCs w:val="22"/>
                <w:rtl/>
              </w:rPr>
              <w:t xml:space="preserve"> شرقاً.</w:t>
            </w:r>
          </w:p>
          <w:p w:rsidR="000A5DEA" w:rsidRPr="004969DC" w:rsidRDefault="000A5DEA" w:rsidP="00CD26C5">
            <w:pPr>
              <w:pStyle w:val="ListParagraph"/>
              <w:numPr>
                <w:ilvl w:val="0"/>
                <w:numId w:val="135"/>
              </w:numPr>
              <w:bidi/>
              <w:spacing w:after="0" w:line="204" w:lineRule="auto"/>
              <w:ind w:left="332" w:hanging="332"/>
              <w:rPr>
                <w:rFonts w:cs="Simplified Arabic"/>
                <w:sz w:val="20"/>
                <w:szCs w:val="22"/>
                <w:lang w:val="es-ES"/>
              </w:rPr>
            </w:pPr>
            <w:r w:rsidRPr="004969DC">
              <w:rPr>
                <w:rFonts w:eastAsia="MS Mincho" w:cs="Simplified Arabic"/>
                <w:sz w:val="20"/>
                <w:szCs w:val="22"/>
                <w:rtl/>
              </w:rPr>
              <w:t xml:space="preserve">هذه المنطقة مهمة للغاية لأنواع الأسماك البحرية </w:t>
            </w:r>
            <w:r w:rsidRPr="004969DC">
              <w:rPr>
                <w:rFonts w:eastAsia="MS Mincho" w:cs="Simplified Arabic" w:hint="cs"/>
                <w:sz w:val="20"/>
                <w:szCs w:val="22"/>
                <w:rtl/>
              </w:rPr>
              <w:t>اليمّية والقاعية</w:t>
            </w:r>
            <w:r w:rsidRPr="004969DC">
              <w:rPr>
                <w:rFonts w:eastAsia="MS Mincho" w:cs="Simplified Arabic"/>
                <w:sz w:val="20"/>
                <w:szCs w:val="22"/>
                <w:rtl/>
              </w:rPr>
              <w:t>، وخاصةً سمك الترس (</w:t>
            </w:r>
            <w:r w:rsidRPr="004969DC">
              <w:rPr>
                <w:rFonts w:eastAsia="MS Mincho" w:cs="Simplified Arabic"/>
                <w:i/>
                <w:iCs/>
                <w:sz w:val="20"/>
                <w:szCs w:val="22"/>
                <w:lang w:val="es-ES"/>
              </w:rPr>
              <w:t>Psetta maxima</w:t>
            </w:r>
            <w:r w:rsidRPr="004969DC">
              <w:rPr>
                <w:rFonts w:eastAsia="MS Mincho" w:cs="Simplified Arabic"/>
                <w:sz w:val="20"/>
                <w:szCs w:val="22"/>
                <w:rtl/>
              </w:rPr>
              <w:t>) والبوري الأحمر (</w:t>
            </w:r>
            <w:r w:rsidRPr="004969DC">
              <w:rPr>
                <w:rFonts w:eastAsia="MS Mincho" w:cs="Simplified Arabic"/>
                <w:i/>
                <w:iCs/>
                <w:sz w:val="20"/>
                <w:szCs w:val="22"/>
                <w:lang w:val="es-ES"/>
              </w:rPr>
              <w:t>Mullus</w:t>
            </w:r>
            <w:r w:rsidRPr="004969DC">
              <w:rPr>
                <w:rFonts w:eastAsia="MS Mincho" w:cs="Simplified Arabic"/>
                <w:sz w:val="20"/>
                <w:szCs w:val="22"/>
                <w:lang w:val="es-ES"/>
              </w:rPr>
              <w:t xml:space="preserve"> </w:t>
            </w:r>
            <w:r w:rsidRPr="004969DC">
              <w:rPr>
                <w:rFonts w:eastAsia="MS Mincho" w:cs="Simplified Arabic"/>
                <w:i/>
                <w:iCs/>
                <w:sz w:val="20"/>
                <w:szCs w:val="22"/>
                <w:lang w:val="es-ES"/>
              </w:rPr>
              <w:t>barbatus</w:t>
            </w:r>
            <w:r w:rsidRPr="004969DC">
              <w:rPr>
                <w:rFonts w:eastAsia="MS Mincho" w:cs="Simplified Arabic"/>
                <w:sz w:val="20"/>
                <w:szCs w:val="22"/>
                <w:rtl/>
              </w:rPr>
              <w:t>) والبوري الرمادي (</w:t>
            </w:r>
            <w:r w:rsidRPr="004969DC">
              <w:rPr>
                <w:rFonts w:eastAsia="MS Mincho" w:cs="Simplified Arabic"/>
                <w:i/>
                <w:sz w:val="20"/>
                <w:szCs w:val="22"/>
                <w:lang w:val="es-ES"/>
              </w:rPr>
              <w:t>Mugil</w:t>
            </w:r>
            <w:r w:rsidRPr="004969DC">
              <w:rPr>
                <w:rFonts w:eastAsia="MS Mincho" w:cs="Simplified Arabic"/>
                <w:sz w:val="20"/>
                <w:szCs w:val="22"/>
                <w:lang w:val="es-ES"/>
              </w:rPr>
              <w:t xml:space="preserve"> spp.</w:t>
            </w:r>
            <w:r w:rsidRPr="004969DC">
              <w:rPr>
                <w:rFonts w:eastAsia="MS Mincho" w:cs="Simplified Arabic"/>
                <w:sz w:val="20"/>
                <w:szCs w:val="22"/>
                <w:rtl/>
              </w:rPr>
              <w:t>) و</w:t>
            </w:r>
            <w:r w:rsidRPr="004969DC">
              <w:rPr>
                <w:rFonts w:eastAsia="MS Mincho" w:cs="Simplified Arabic" w:hint="cs"/>
                <w:sz w:val="20"/>
                <w:szCs w:val="22"/>
                <w:rtl/>
              </w:rPr>
              <w:t>ا</w:t>
            </w:r>
            <w:r w:rsidRPr="004969DC">
              <w:rPr>
                <w:rFonts w:eastAsia="MS Mincho" w:cs="Simplified Arabic"/>
                <w:sz w:val="20"/>
                <w:szCs w:val="22"/>
                <w:rtl/>
              </w:rPr>
              <w:t>لأعشاب البحرية (</w:t>
            </w:r>
            <w:r w:rsidRPr="004969DC">
              <w:rPr>
                <w:rFonts w:eastAsia="MS Mincho" w:cs="Simplified Arabic"/>
                <w:i/>
                <w:sz w:val="20"/>
                <w:szCs w:val="22"/>
                <w:lang w:val="es-ES"/>
              </w:rPr>
              <w:t>Zostera</w:t>
            </w:r>
            <w:r w:rsidRPr="004969DC">
              <w:rPr>
                <w:rFonts w:eastAsia="MS Mincho" w:cs="Simplified Arabic"/>
                <w:sz w:val="20"/>
                <w:szCs w:val="22"/>
                <w:rtl/>
              </w:rPr>
              <w:t xml:space="preserve">). </w:t>
            </w:r>
            <w:r w:rsidRPr="004969DC">
              <w:rPr>
                <w:rFonts w:eastAsia="MS Mincho" w:cs="Simplified Arabic" w:hint="cs"/>
                <w:sz w:val="20"/>
                <w:szCs w:val="22"/>
                <w:rtl/>
              </w:rPr>
              <w:t>وهي تشكل</w:t>
            </w:r>
            <w:r w:rsidRPr="004969DC">
              <w:rPr>
                <w:rFonts w:eastAsia="MS Mincho" w:cs="Simplified Arabic"/>
                <w:sz w:val="20"/>
                <w:szCs w:val="22"/>
                <w:rtl/>
              </w:rPr>
              <w:t xml:space="preserve"> </w:t>
            </w:r>
            <w:r w:rsidRPr="004969DC">
              <w:rPr>
                <w:rFonts w:eastAsia="MS Mincho" w:cs="Simplified Arabic" w:hint="cs"/>
                <w:sz w:val="20"/>
                <w:szCs w:val="22"/>
                <w:rtl/>
              </w:rPr>
              <w:t>أخدود مغمور</w:t>
            </w:r>
            <w:r w:rsidRPr="004969DC">
              <w:rPr>
                <w:rFonts w:eastAsia="MS Mincho" w:cs="Simplified Arabic"/>
                <w:sz w:val="20"/>
                <w:szCs w:val="22"/>
                <w:rtl/>
              </w:rPr>
              <w:t xml:space="preserve"> </w:t>
            </w:r>
            <w:r w:rsidRPr="004969DC">
              <w:rPr>
                <w:rFonts w:eastAsia="MS Mincho" w:cs="Simplified Arabic" w:hint="cs"/>
                <w:sz w:val="20"/>
                <w:szCs w:val="22"/>
                <w:rtl/>
              </w:rPr>
              <w:t>يوفر لأنواع الأسماك القاعية واليمّية مكاناً للتكاثر والتناسل</w:t>
            </w:r>
            <w:r w:rsidRPr="004969DC">
              <w:rPr>
                <w:rFonts w:eastAsia="MS Mincho" w:cs="Simplified Arabic"/>
                <w:sz w:val="20"/>
                <w:szCs w:val="22"/>
                <w:rtl/>
              </w:rPr>
              <w:t xml:space="preserve">. </w:t>
            </w:r>
            <w:r w:rsidRPr="004969DC">
              <w:rPr>
                <w:rFonts w:eastAsia="MS Mincho" w:cs="Simplified Arabic" w:hint="cs"/>
                <w:sz w:val="20"/>
                <w:szCs w:val="22"/>
                <w:rtl/>
              </w:rPr>
              <w:t xml:space="preserve">ويتميز </w:t>
            </w:r>
            <w:r w:rsidRPr="004969DC">
              <w:rPr>
                <w:rFonts w:eastAsia="MS Mincho" w:cs="Simplified Arabic"/>
                <w:sz w:val="20"/>
                <w:szCs w:val="22"/>
                <w:rtl/>
              </w:rPr>
              <w:t xml:space="preserve">التنوع البيولوجي لهذا الجزء من البحر الأسود </w:t>
            </w:r>
            <w:r w:rsidRPr="004969DC">
              <w:rPr>
                <w:rFonts w:eastAsia="MS Mincho" w:cs="Simplified Arabic" w:hint="cs"/>
                <w:sz w:val="20"/>
                <w:szCs w:val="22"/>
                <w:rtl/>
              </w:rPr>
              <w:t>بارتفاعه الكبير</w:t>
            </w:r>
            <w:r w:rsidRPr="004969DC">
              <w:rPr>
                <w:rFonts w:eastAsia="MS Mincho" w:cs="Simplified Arabic"/>
                <w:sz w:val="20"/>
                <w:szCs w:val="22"/>
                <w:rtl/>
              </w:rPr>
              <w:t>، حيث تتداخل المنطقة مع منطقة</w:t>
            </w:r>
            <w:r w:rsidRPr="004969DC">
              <w:rPr>
                <w:rFonts w:eastAsia="MS Mincho" w:cs="Simplified Arabic" w:hint="cs"/>
                <w:sz w:val="20"/>
                <w:szCs w:val="22"/>
                <w:rtl/>
              </w:rPr>
              <w:t xml:space="preserve"> بحرية</w:t>
            </w:r>
            <w:r w:rsidRPr="004969DC">
              <w:rPr>
                <w:rFonts w:eastAsia="MS Mincho" w:cs="Simplified Arabic"/>
                <w:sz w:val="20"/>
                <w:szCs w:val="22"/>
                <w:rtl/>
              </w:rPr>
              <w:t xml:space="preserve"> </w:t>
            </w:r>
            <w:r w:rsidRPr="004969DC">
              <w:rPr>
                <w:rFonts w:eastAsia="MS Mincho" w:cs="Simplified Arabic" w:hint="cs"/>
                <w:sz w:val="20"/>
                <w:szCs w:val="22"/>
                <w:rtl/>
              </w:rPr>
              <w:t>مهمة</w:t>
            </w:r>
            <w:r w:rsidRPr="004969DC">
              <w:rPr>
                <w:rFonts w:eastAsia="MS Mincho" w:cs="Simplified Arabic"/>
                <w:sz w:val="20"/>
                <w:szCs w:val="22"/>
                <w:rtl/>
              </w:rPr>
              <w:t xml:space="preserve"> ل</w:t>
            </w:r>
            <w:r w:rsidRPr="004969DC">
              <w:rPr>
                <w:rFonts w:eastAsia="MS Mincho" w:cs="Simplified Arabic" w:hint="cs"/>
                <w:sz w:val="20"/>
                <w:szCs w:val="22"/>
                <w:rtl/>
              </w:rPr>
              <w:t>حفظ ا</w:t>
            </w:r>
            <w:r w:rsidRPr="004969DC">
              <w:rPr>
                <w:rFonts w:eastAsia="MS Mincho" w:cs="Simplified Arabic"/>
                <w:sz w:val="20"/>
                <w:szCs w:val="22"/>
                <w:rtl/>
              </w:rPr>
              <w:t>لطيور والتنوع البيولوجي،</w:t>
            </w:r>
            <w:r w:rsidRPr="004969DC">
              <w:rPr>
                <w:rFonts w:eastAsia="MS Mincho" w:cs="Simplified Arabic" w:hint="cs"/>
                <w:sz w:val="20"/>
                <w:szCs w:val="22"/>
                <w:rtl/>
              </w:rPr>
              <w:t xml:space="preserve"> حددت أساساً</w:t>
            </w:r>
            <w:r w:rsidRPr="004969DC">
              <w:rPr>
                <w:rFonts w:eastAsia="MS Mincho" w:cs="Simplified Arabic"/>
                <w:sz w:val="20"/>
                <w:szCs w:val="22"/>
                <w:rtl/>
              </w:rPr>
              <w:t xml:space="preserve"> لأهميتها كمنطقة </w:t>
            </w:r>
            <w:r w:rsidRPr="004969DC">
              <w:rPr>
                <w:rFonts w:eastAsia="MS Mincho" w:cs="Simplified Arabic" w:hint="cs"/>
                <w:sz w:val="20"/>
                <w:szCs w:val="22"/>
                <w:rtl/>
              </w:rPr>
              <w:t>تشتية</w:t>
            </w:r>
            <w:r w:rsidRPr="004969DC">
              <w:rPr>
                <w:rFonts w:eastAsia="MS Mincho" w:cs="Simplified Arabic"/>
                <w:sz w:val="20"/>
                <w:szCs w:val="22"/>
                <w:rtl/>
              </w:rPr>
              <w:t xml:space="preserve"> </w:t>
            </w:r>
            <w:r w:rsidRPr="004969DC">
              <w:rPr>
                <w:rFonts w:eastAsia="MS Mincho" w:cs="Simplified Arabic" w:hint="cs"/>
                <w:sz w:val="20"/>
                <w:szCs w:val="22"/>
                <w:rtl/>
              </w:rPr>
              <w:t>لطيور جلم البحر الأبيض المتوسط</w:t>
            </w:r>
            <w:r w:rsidRPr="004969DC">
              <w:rPr>
                <w:rFonts w:eastAsia="MS Mincho" w:cs="Simplified Arabic"/>
                <w:sz w:val="20"/>
                <w:szCs w:val="22"/>
                <w:rtl/>
              </w:rPr>
              <w:t xml:space="preserve"> </w:t>
            </w:r>
            <w:r w:rsidRPr="004969DC">
              <w:rPr>
                <w:rFonts w:eastAsia="MS Mincho" w:cs="Simplified Arabic" w:hint="cs"/>
                <w:sz w:val="20"/>
                <w:szCs w:val="22"/>
                <w:rtl/>
              </w:rPr>
              <w:t>(</w:t>
            </w:r>
            <w:r w:rsidRPr="004969DC">
              <w:rPr>
                <w:rFonts w:eastAsia="MS Mincho" w:cs="Simplified Arabic"/>
                <w:i/>
                <w:sz w:val="20"/>
                <w:szCs w:val="22"/>
                <w:lang w:val="es-ES"/>
              </w:rPr>
              <w:t>Puffinus yelkouan</w:t>
            </w:r>
            <w:r w:rsidRPr="004969DC">
              <w:rPr>
                <w:rFonts w:eastAsia="MS Mincho" w:cs="Simplified Arabic" w:hint="cs"/>
                <w:i/>
                <w:sz w:val="20"/>
                <w:szCs w:val="22"/>
                <w:rtl/>
              </w:rPr>
              <w:t>) قليلة المناعة</w:t>
            </w:r>
            <w:r w:rsidRPr="004969DC">
              <w:rPr>
                <w:rFonts w:eastAsia="MS Mincho" w:cs="Simplified Arabic"/>
                <w:sz w:val="20"/>
                <w:szCs w:val="22"/>
                <w:rtl/>
              </w:rPr>
              <w:t xml:space="preserve">. </w:t>
            </w:r>
            <w:r w:rsidRPr="004969DC">
              <w:rPr>
                <w:rFonts w:eastAsia="MS Mincho" w:cs="Simplified Arabic" w:hint="cs"/>
                <w:sz w:val="20"/>
                <w:szCs w:val="22"/>
                <w:rtl/>
              </w:rPr>
              <w:t>وجلم البحر الأبيض المتوسط هو طائر متوسطي</w:t>
            </w:r>
            <w:r w:rsidRPr="004969DC">
              <w:rPr>
                <w:rFonts w:eastAsia="MS Mincho" w:cs="Simplified Arabic"/>
                <w:sz w:val="20"/>
                <w:szCs w:val="22"/>
                <w:rtl/>
              </w:rPr>
              <w:t xml:space="preserve"> مستوطن</w:t>
            </w:r>
            <w:r w:rsidRPr="004969DC">
              <w:rPr>
                <w:rFonts w:eastAsia="MS Mincho" w:cs="Simplified Arabic" w:hint="cs"/>
                <w:sz w:val="20"/>
                <w:szCs w:val="22"/>
                <w:rtl/>
              </w:rPr>
              <w:t>، يهاجر</w:t>
            </w:r>
            <w:r w:rsidRPr="004969DC">
              <w:rPr>
                <w:rFonts w:eastAsia="MS Mincho" w:cs="Simplified Arabic"/>
                <w:sz w:val="20"/>
                <w:szCs w:val="22"/>
                <w:rtl/>
              </w:rPr>
              <w:t xml:space="preserve"> </w:t>
            </w:r>
            <w:r w:rsidRPr="004969DC">
              <w:rPr>
                <w:rFonts w:eastAsia="MS Mincho" w:cs="Simplified Arabic" w:hint="cs"/>
                <w:sz w:val="20"/>
                <w:szCs w:val="22"/>
                <w:rtl/>
              </w:rPr>
              <w:t>ما بين</w:t>
            </w:r>
            <w:r w:rsidRPr="004969DC">
              <w:rPr>
                <w:rFonts w:eastAsia="MS Mincho" w:cs="Simplified Arabic"/>
                <w:sz w:val="20"/>
                <w:szCs w:val="22"/>
                <w:rtl/>
              </w:rPr>
              <w:t xml:space="preserve"> 30 إلى 40 في المائة من </w:t>
            </w:r>
            <w:r w:rsidRPr="004969DC">
              <w:rPr>
                <w:rFonts w:eastAsia="MS Mincho" w:cs="Simplified Arabic" w:hint="cs"/>
                <w:sz w:val="20"/>
                <w:szCs w:val="22"/>
                <w:rtl/>
              </w:rPr>
              <w:t>أفراده</w:t>
            </w:r>
            <w:r w:rsidRPr="004969DC">
              <w:rPr>
                <w:rFonts w:eastAsia="MS Mincho" w:cs="Simplified Arabic"/>
                <w:sz w:val="20"/>
                <w:szCs w:val="22"/>
                <w:rtl/>
              </w:rPr>
              <w:t xml:space="preserve"> إلى البحر الأسود خلال موسم الت</w:t>
            </w:r>
            <w:r w:rsidRPr="004969DC">
              <w:rPr>
                <w:rFonts w:eastAsia="MS Mincho" w:cs="Simplified Arabic" w:hint="cs"/>
                <w:sz w:val="20"/>
                <w:szCs w:val="22"/>
                <w:rtl/>
              </w:rPr>
              <w:t>ناسل</w:t>
            </w:r>
            <w:r w:rsidRPr="004969DC">
              <w:rPr>
                <w:rFonts w:eastAsia="MS Mincho" w:cs="Simplified Arabic"/>
                <w:sz w:val="20"/>
                <w:szCs w:val="22"/>
                <w:rtl/>
              </w:rPr>
              <w:t>. وأكدت</w:t>
            </w:r>
            <w:r w:rsidRPr="004969DC">
              <w:rPr>
                <w:rFonts w:eastAsia="MS Mincho" w:cs="Simplified Arabic" w:hint="cs"/>
                <w:sz w:val="20"/>
                <w:szCs w:val="22"/>
                <w:rtl/>
              </w:rPr>
              <w:t xml:space="preserve"> الدرسات المستندة إلى تعقب الطيور من مستعمراتها، وكذلك </w:t>
            </w:r>
            <w:r w:rsidRPr="004969DC">
              <w:rPr>
                <w:rFonts w:eastAsia="MS Mincho" w:cs="Simplified Arabic"/>
                <w:sz w:val="20"/>
                <w:szCs w:val="22"/>
                <w:rtl/>
              </w:rPr>
              <w:t xml:space="preserve">الدراسات المتعلقة </w:t>
            </w:r>
            <w:r w:rsidRPr="004969DC">
              <w:rPr>
                <w:rFonts w:eastAsia="MS Mincho" w:cs="Simplified Arabic" w:hint="cs"/>
                <w:sz w:val="20"/>
                <w:szCs w:val="22"/>
                <w:rtl/>
              </w:rPr>
              <w:t>ب</w:t>
            </w:r>
            <w:r w:rsidRPr="004969DC">
              <w:rPr>
                <w:rFonts w:eastAsia="MS Mincho" w:cs="Simplified Arabic"/>
                <w:sz w:val="20"/>
                <w:szCs w:val="22"/>
                <w:rtl/>
              </w:rPr>
              <w:t>ملاءمة الموائل</w:t>
            </w:r>
            <w:r w:rsidRPr="004969DC">
              <w:rPr>
                <w:rFonts w:eastAsia="MS Mincho" w:cs="Simplified Arabic" w:hint="cs"/>
                <w:sz w:val="20"/>
                <w:szCs w:val="22"/>
                <w:rtl/>
              </w:rPr>
              <w:t>، أهمية المنطقة لهذه الأنواع</w:t>
            </w:r>
            <w:r w:rsidRPr="004969DC">
              <w:rPr>
                <w:rFonts w:eastAsia="MS Mincho" w:cs="Simplified Arabic"/>
                <w:sz w:val="20"/>
                <w:szCs w:val="22"/>
                <w:rtl/>
              </w:rPr>
              <w:t xml:space="preserve">. </w:t>
            </w:r>
            <w:r w:rsidRPr="004969DC">
              <w:rPr>
                <w:rFonts w:eastAsia="MS Mincho" w:cs="Simplified Arabic" w:hint="cs"/>
                <w:sz w:val="20"/>
                <w:szCs w:val="22"/>
                <w:rtl/>
              </w:rPr>
              <w:t>وتفيد</w:t>
            </w:r>
            <w:r w:rsidRPr="004969DC">
              <w:rPr>
                <w:rFonts w:eastAsia="MS Mincho" w:cs="Simplified Arabic"/>
                <w:sz w:val="20"/>
                <w:szCs w:val="22"/>
                <w:rtl/>
              </w:rPr>
              <w:t xml:space="preserve"> الدراسات التي أجريت </w:t>
            </w:r>
            <w:r w:rsidRPr="004969DC">
              <w:rPr>
                <w:rFonts w:eastAsia="MS Mincho" w:cs="Simplified Arabic" w:hint="cs"/>
                <w:sz w:val="20"/>
                <w:szCs w:val="22"/>
                <w:rtl/>
              </w:rPr>
              <w:t>بشأن</w:t>
            </w:r>
            <w:r w:rsidRPr="004969DC">
              <w:rPr>
                <w:rFonts w:eastAsia="MS Mincho" w:cs="Simplified Arabic"/>
                <w:sz w:val="20"/>
                <w:szCs w:val="22"/>
                <w:rtl/>
              </w:rPr>
              <w:t xml:space="preserve"> قشريات البيئات الحيوية الرملية الموحلة </w:t>
            </w:r>
            <w:r w:rsidRPr="004969DC">
              <w:rPr>
                <w:rFonts w:eastAsia="MS Mincho" w:cs="Simplified Arabic" w:hint="cs"/>
                <w:sz w:val="20"/>
                <w:szCs w:val="22"/>
                <w:rtl/>
              </w:rPr>
              <w:t>للقيعان البحرية لوسط وشرق</w:t>
            </w:r>
            <w:r w:rsidRPr="004969DC">
              <w:rPr>
                <w:rFonts w:eastAsia="MS Mincho" w:cs="Simplified Arabic"/>
                <w:sz w:val="20"/>
                <w:szCs w:val="22"/>
                <w:rtl/>
              </w:rPr>
              <w:t xml:space="preserve"> البحر الأسود إلى أن تنوع الأنواع مرتفع نسبياً في المياه الضحلة (أقل من 50 م</w:t>
            </w:r>
            <w:r w:rsidRPr="004969DC">
              <w:rPr>
                <w:rFonts w:eastAsia="MS Mincho" w:cs="Simplified Arabic" w:hint="cs"/>
                <w:sz w:val="20"/>
                <w:szCs w:val="22"/>
                <w:rtl/>
              </w:rPr>
              <w:t>تراً</w:t>
            </w:r>
            <w:r w:rsidRPr="004969DC">
              <w:rPr>
                <w:rFonts w:eastAsia="MS Mincho" w:cs="Simplified Arabic"/>
                <w:sz w:val="20"/>
                <w:szCs w:val="22"/>
                <w:rtl/>
              </w:rPr>
              <w:t>) وأن</w:t>
            </w:r>
            <w:r w:rsidRPr="004969DC">
              <w:rPr>
                <w:rFonts w:eastAsia="MS Mincho" w:cs="Simplified Arabic" w:hint="cs"/>
                <w:sz w:val="20"/>
                <w:szCs w:val="22"/>
                <w:rtl/>
              </w:rPr>
              <w:t xml:space="preserve"> انخفاض</w:t>
            </w:r>
            <w:r w:rsidRPr="004969DC">
              <w:rPr>
                <w:rFonts w:eastAsia="MS Mincho" w:cs="Simplified Arabic"/>
                <w:sz w:val="20"/>
                <w:szCs w:val="22"/>
                <w:rtl/>
              </w:rPr>
              <w:t xml:space="preserve"> التنوع </w:t>
            </w:r>
            <w:r w:rsidRPr="004969DC">
              <w:rPr>
                <w:rFonts w:eastAsia="MS Mincho" w:cs="Simplified Arabic" w:hint="cs"/>
                <w:sz w:val="20"/>
                <w:szCs w:val="22"/>
                <w:rtl/>
              </w:rPr>
              <w:t>يرتبط ارتباطاً</w:t>
            </w:r>
            <w:r w:rsidRPr="004969DC">
              <w:rPr>
                <w:rFonts w:eastAsia="MS Mincho" w:cs="Simplified Arabic"/>
                <w:sz w:val="20"/>
                <w:szCs w:val="22"/>
                <w:rtl/>
              </w:rPr>
              <w:t xml:space="preserve"> </w:t>
            </w:r>
            <w:r w:rsidRPr="004969DC">
              <w:rPr>
                <w:rFonts w:eastAsia="MS Mincho" w:cs="Simplified Arabic" w:hint="cs"/>
                <w:sz w:val="20"/>
                <w:szCs w:val="22"/>
                <w:rtl/>
              </w:rPr>
              <w:t>مباشراً</w:t>
            </w:r>
            <w:r w:rsidRPr="004969DC">
              <w:rPr>
                <w:rFonts w:eastAsia="MS Mincho" w:cs="Simplified Arabic"/>
                <w:sz w:val="20"/>
                <w:szCs w:val="22"/>
                <w:rtl/>
              </w:rPr>
              <w:t xml:space="preserve"> </w:t>
            </w:r>
            <w:r w:rsidRPr="004969DC">
              <w:rPr>
                <w:rFonts w:eastAsia="MS Mincho" w:cs="Simplified Arabic" w:hint="cs"/>
                <w:sz w:val="20"/>
                <w:szCs w:val="22"/>
                <w:rtl/>
              </w:rPr>
              <w:t>بتزايد</w:t>
            </w:r>
            <w:r w:rsidRPr="004969DC">
              <w:rPr>
                <w:rFonts w:eastAsia="MS Mincho" w:cs="Simplified Arabic"/>
                <w:sz w:val="20"/>
                <w:szCs w:val="22"/>
                <w:rtl/>
              </w:rPr>
              <w:t xml:space="preserve"> </w:t>
            </w:r>
            <w:r w:rsidRPr="004969DC">
              <w:rPr>
                <w:rFonts w:eastAsia="MS Mincho" w:cs="Simplified Arabic" w:hint="cs"/>
                <w:sz w:val="20"/>
                <w:szCs w:val="22"/>
                <w:rtl/>
              </w:rPr>
              <w:t>العمق</w:t>
            </w:r>
            <w:r w:rsidRPr="004969DC">
              <w:rPr>
                <w:rFonts w:cs="Simplified Arabic"/>
                <w:sz w:val="20"/>
                <w:szCs w:val="22"/>
                <w:lang w:val="es-ES"/>
              </w:rPr>
              <w:t>.</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w:t>
            </w:r>
          </w:p>
        </w:tc>
        <w:tc>
          <w:tcPr>
            <w:tcW w:w="506" w:type="dxa"/>
            <w:vAlign w:val="center"/>
          </w:tcPr>
          <w:p w:rsidR="000A5DEA" w:rsidRPr="00E2695B" w:rsidRDefault="000A5DEA" w:rsidP="00094717">
            <w:pPr>
              <w:rPr>
                <w:sz w:val="20"/>
                <w:szCs w:val="22"/>
              </w:rPr>
            </w:pPr>
            <w:r w:rsidRPr="00E2695B">
              <w:rPr>
                <w:sz w:val="20"/>
                <w:szCs w:val="22"/>
              </w:rPr>
              <w:t>M</w:t>
            </w:r>
          </w:p>
        </w:tc>
        <w:tc>
          <w:tcPr>
            <w:tcW w:w="507" w:type="dxa"/>
            <w:vAlign w:val="center"/>
          </w:tcPr>
          <w:p w:rsidR="000A5DEA" w:rsidRPr="00E2695B" w:rsidRDefault="000A5DEA" w:rsidP="00094717">
            <w:pPr>
              <w:rPr>
                <w:sz w:val="20"/>
                <w:szCs w:val="22"/>
              </w:rPr>
            </w:pPr>
            <w:r w:rsidRPr="00E2695B">
              <w:rPr>
                <w:sz w:val="20"/>
                <w:szCs w:val="22"/>
              </w:rPr>
              <w:t>M</w:t>
            </w:r>
          </w:p>
        </w:tc>
      </w:tr>
      <w:tr w:rsidR="000A5DEA" w:rsidRPr="00E2695B" w:rsidTr="000A5DEA">
        <w:trPr>
          <w:jc w:val="center"/>
        </w:trPr>
        <w:tc>
          <w:tcPr>
            <w:tcW w:w="13230" w:type="dxa"/>
            <w:gridSpan w:val="8"/>
            <w:shd w:val="clear" w:color="auto" w:fill="D9D9D9" w:themeFill="background1" w:themeFillShade="D9"/>
          </w:tcPr>
          <w:p w:rsidR="000A5DEA" w:rsidRPr="004969DC" w:rsidRDefault="000A5DEA" w:rsidP="004969DC">
            <w:pPr>
              <w:spacing w:after="0" w:line="204" w:lineRule="auto"/>
              <w:rPr>
                <w:bCs/>
                <w:sz w:val="20"/>
                <w:szCs w:val="22"/>
              </w:rPr>
            </w:pPr>
            <w:r w:rsidRPr="004969DC">
              <w:rPr>
                <w:rFonts w:hint="cs"/>
                <w:bCs/>
                <w:sz w:val="20"/>
                <w:szCs w:val="22"/>
                <w:rtl/>
              </w:rPr>
              <w:t>بحر قزوين</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rPr>
            </w:pPr>
            <w:bookmarkStart w:id="41" w:name="_Toc524295479"/>
            <w:bookmarkStart w:id="42" w:name="_Toc6071559"/>
            <w:r w:rsidRPr="004969DC">
              <w:rPr>
                <w:rFonts w:hint="cs"/>
                <w:bCs/>
                <w:sz w:val="20"/>
                <w:szCs w:val="22"/>
                <w:rtl/>
              </w:rPr>
              <w:t>18- المنطقة الواقعة قبل مصب</w:t>
            </w:r>
            <w:r w:rsidRPr="004969DC">
              <w:rPr>
                <w:bCs/>
                <w:sz w:val="20"/>
                <w:szCs w:val="22"/>
                <w:rtl/>
              </w:rPr>
              <w:t xml:space="preserve"> نهر الأورال في بحر قزوين</w:t>
            </w:r>
            <w:bookmarkEnd w:id="41"/>
            <w:bookmarkEnd w:id="42"/>
          </w:p>
          <w:p w:rsidR="000A5DEA" w:rsidRPr="00366E36" w:rsidRDefault="000A5DEA" w:rsidP="00CD26C5">
            <w:pPr>
              <w:pStyle w:val="ListParagraph"/>
              <w:numPr>
                <w:ilvl w:val="0"/>
                <w:numId w:val="136"/>
              </w:numPr>
              <w:bidi/>
              <w:spacing w:after="0" w:line="204" w:lineRule="auto"/>
              <w:ind w:left="332" w:hanging="332"/>
              <w:rPr>
                <w:rFonts w:cs="Simplified Arabic"/>
                <w:b/>
                <w:caps/>
                <w:sz w:val="20"/>
                <w:szCs w:val="22"/>
                <w:lang w:val="en-US"/>
              </w:rPr>
            </w:pPr>
            <w:bookmarkStart w:id="43" w:name="_Toc524295480"/>
            <w:bookmarkStart w:id="44" w:name="_Toc6071560"/>
            <w:r w:rsidRPr="004969DC">
              <w:rPr>
                <w:rFonts w:cs="Simplified Arabic"/>
                <w:sz w:val="20"/>
                <w:szCs w:val="22"/>
                <w:rtl/>
              </w:rPr>
              <w:t xml:space="preserve">الموقع: </w:t>
            </w:r>
            <w:r w:rsidRPr="004969DC">
              <w:rPr>
                <w:rFonts w:cs="Simplified Arabic" w:hint="cs"/>
                <w:sz w:val="20"/>
                <w:szCs w:val="22"/>
                <w:rtl/>
              </w:rPr>
              <w:t xml:space="preserve">يشغل المصب البحري </w:t>
            </w:r>
            <w:r w:rsidRPr="004969DC">
              <w:rPr>
                <w:rFonts w:cs="Simplified Arabic"/>
                <w:sz w:val="20"/>
                <w:szCs w:val="22"/>
                <w:rtl/>
              </w:rPr>
              <w:t xml:space="preserve">لنهر الأورال منطقة المياه الضحلة </w:t>
            </w:r>
            <w:r w:rsidRPr="004969DC">
              <w:rPr>
                <w:rFonts w:cs="Simplified Arabic" w:hint="cs"/>
                <w:sz w:val="20"/>
                <w:szCs w:val="22"/>
                <w:rtl/>
              </w:rPr>
              <w:t>والمتوسطة الملوحة</w:t>
            </w:r>
            <w:r w:rsidRPr="004969DC">
              <w:rPr>
                <w:rFonts w:cs="Simplified Arabic"/>
                <w:sz w:val="20"/>
                <w:szCs w:val="22"/>
                <w:rtl/>
              </w:rPr>
              <w:t xml:space="preserve"> في بحر قزوين بالقرب من ملتقى نهر الأورال (</w:t>
            </w:r>
            <w:r w:rsidRPr="004969DC">
              <w:rPr>
                <w:rFonts w:cs="Simplified Arabic" w:hint="cs"/>
                <w:sz w:val="20"/>
                <w:szCs w:val="22"/>
                <w:rtl/>
              </w:rPr>
              <w:t>جاييك</w:t>
            </w:r>
            <w:r w:rsidRPr="004969DC">
              <w:rPr>
                <w:rFonts w:cs="Simplified Arabic"/>
                <w:sz w:val="20"/>
                <w:szCs w:val="22"/>
                <w:rtl/>
              </w:rPr>
              <w:t xml:space="preserve">) في البحر. </w:t>
            </w:r>
            <w:r w:rsidRPr="004969DC">
              <w:rPr>
                <w:rFonts w:cs="Simplified Arabic" w:hint="cs"/>
                <w:sz w:val="20"/>
                <w:szCs w:val="22"/>
                <w:rtl/>
              </w:rPr>
              <w:t>ويعين مجال</w:t>
            </w:r>
            <w:r w:rsidRPr="004969DC">
              <w:rPr>
                <w:rFonts w:cs="Simplified Arabic"/>
                <w:sz w:val="20"/>
                <w:szCs w:val="22"/>
                <w:rtl/>
              </w:rPr>
              <w:t xml:space="preserve"> المصب ا</w:t>
            </w:r>
            <w:r w:rsidRPr="004969DC">
              <w:rPr>
                <w:rFonts w:cs="Simplified Arabic" w:hint="cs"/>
                <w:sz w:val="20"/>
                <w:szCs w:val="22"/>
                <w:rtl/>
              </w:rPr>
              <w:t>لبحري</w:t>
            </w:r>
            <w:r w:rsidRPr="004969DC">
              <w:rPr>
                <w:rFonts w:cs="Simplified Arabic"/>
                <w:sz w:val="20"/>
                <w:szCs w:val="22"/>
                <w:rtl/>
              </w:rPr>
              <w:t xml:space="preserve"> </w:t>
            </w:r>
            <w:r w:rsidRPr="004969DC">
              <w:rPr>
                <w:rFonts w:cs="Simplified Arabic" w:hint="cs"/>
                <w:sz w:val="20"/>
                <w:szCs w:val="22"/>
                <w:rtl/>
              </w:rPr>
              <w:t>بخط</w:t>
            </w:r>
            <w:r w:rsidRPr="004969DC">
              <w:rPr>
                <w:rFonts w:cs="Simplified Arabic"/>
                <w:sz w:val="20"/>
                <w:szCs w:val="22"/>
                <w:rtl/>
              </w:rPr>
              <w:t xml:space="preserve"> التساوي العمقي من 3 أمتار</w:t>
            </w:r>
            <w:r w:rsidRPr="00366E36">
              <w:rPr>
                <w:rFonts w:cs="Simplified Arabic"/>
                <w:sz w:val="20"/>
                <w:szCs w:val="22"/>
                <w:lang w:val="en-US"/>
              </w:rPr>
              <w:t>.</w:t>
            </w:r>
            <w:bookmarkEnd w:id="43"/>
            <w:bookmarkEnd w:id="44"/>
          </w:p>
          <w:p w:rsidR="000A5DEA" w:rsidRPr="00366E36" w:rsidRDefault="000A5DEA" w:rsidP="00CD26C5">
            <w:pPr>
              <w:pStyle w:val="ListParagraph"/>
              <w:numPr>
                <w:ilvl w:val="0"/>
                <w:numId w:val="136"/>
              </w:numPr>
              <w:bidi/>
              <w:spacing w:after="0" w:line="204" w:lineRule="auto"/>
              <w:ind w:left="332" w:hanging="332"/>
              <w:rPr>
                <w:rFonts w:cs="Simplified Arabic"/>
                <w:b/>
                <w:caps/>
                <w:sz w:val="20"/>
                <w:szCs w:val="22"/>
                <w:lang w:val="en-US"/>
              </w:rPr>
            </w:pPr>
            <w:bookmarkStart w:id="45" w:name="_Toc524295481"/>
            <w:bookmarkStart w:id="46" w:name="_Toc6071561"/>
            <w:r w:rsidRPr="004969DC">
              <w:rPr>
                <w:rFonts w:cs="Simplified Arabic"/>
                <w:sz w:val="20"/>
                <w:szCs w:val="22"/>
                <w:rtl/>
              </w:rPr>
              <w:t xml:space="preserve">تقع </w:t>
            </w:r>
            <w:r w:rsidRPr="004969DC">
              <w:rPr>
                <w:rFonts w:cs="Simplified Arabic" w:hint="cs"/>
                <w:sz w:val="20"/>
                <w:szCs w:val="22"/>
                <w:rtl/>
              </w:rPr>
              <w:t>المنطقة الواقعة قبل مصب</w:t>
            </w:r>
            <w:r w:rsidRPr="004969DC">
              <w:rPr>
                <w:rFonts w:cs="Simplified Arabic"/>
                <w:sz w:val="20"/>
                <w:szCs w:val="22"/>
                <w:rtl/>
              </w:rPr>
              <w:t xml:space="preserve"> نهر الأورال (نهر </w:t>
            </w:r>
            <w:r w:rsidRPr="004969DC">
              <w:rPr>
                <w:rFonts w:cs="Simplified Arabic" w:hint="cs"/>
                <w:sz w:val="20"/>
                <w:szCs w:val="22"/>
                <w:rtl/>
              </w:rPr>
              <w:t>جاي</w:t>
            </w:r>
            <w:r w:rsidRPr="004969DC">
              <w:rPr>
                <w:rFonts w:cs="Simplified Arabic"/>
                <w:sz w:val="20"/>
                <w:szCs w:val="22"/>
                <w:rtl/>
              </w:rPr>
              <w:t>يك) في الجزء الشمالي من بحر قزوين، ب</w:t>
            </w:r>
            <w:r w:rsidRPr="004969DC">
              <w:rPr>
                <w:rFonts w:cs="Simplified Arabic" w:hint="cs"/>
                <w:sz w:val="20"/>
                <w:szCs w:val="22"/>
                <w:rtl/>
              </w:rPr>
              <w:t>محاذاة</w:t>
            </w:r>
            <w:r w:rsidRPr="004969DC">
              <w:rPr>
                <w:rFonts w:cs="Simplified Arabic"/>
                <w:sz w:val="20"/>
                <w:szCs w:val="22"/>
                <w:rtl/>
              </w:rPr>
              <w:t xml:space="preserve"> مصب نهر الأورال. </w:t>
            </w:r>
            <w:r w:rsidRPr="004969DC">
              <w:rPr>
                <w:rFonts w:cs="Simplified Arabic" w:hint="cs"/>
                <w:sz w:val="20"/>
                <w:szCs w:val="22"/>
                <w:rtl/>
              </w:rPr>
              <w:t xml:space="preserve">وهي </w:t>
            </w:r>
            <w:r w:rsidRPr="004969DC">
              <w:rPr>
                <w:rFonts w:cs="Simplified Arabic"/>
                <w:sz w:val="20"/>
                <w:szCs w:val="22"/>
                <w:rtl/>
              </w:rPr>
              <w:t>مهم</w:t>
            </w:r>
            <w:r w:rsidRPr="004969DC">
              <w:rPr>
                <w:rFonts w:cs="Simplified Arabic" w:hint="cs"/>
                <w:sz w:val="20"/>
                <w:szCs w:val="22"/>
                <w:rtl/>
              </w:rPr>
              <w:t>ة</w:t>
            </w:r>
            <w:r w:rsidRPr="004969DC">
              <w:rPr>
                <w:rFonts w:cs="Simplified Arabic"/>
                <w:sz w:val="20"/>
                <w:szCs w:val="22"/>
                <w:rtl/>
              </w:rPr>
              <w:t xml:space="preserve"> </w:t>
            </w:r>
            <w:r w:rsidRPr="004969DC">
              <w:rPr>
                <w:rFonts w:cs="Simplified Arabic" w:hint="cs"/>
                <w:sz w:val="20"/>
                <w:szCs w:val="22"/>
                <w:rtl/>
              </w:rPr>
              <w:t>لتكاثر</w:t>
            </w:r>
            <w:r w:rsidRPr="004969DC">
              <w:rPr>
                <w:rFonts w:cs="Simplified Arabic"/>
                <w:sz w:val="20"/>
                <w:szCs w:val="22"/>
                <w:rtl/>
              </w:rPr>
              <w:t xml:space="preserve"> الأسماك</w:t>
            </w:r>
            <w:r w:rsidRPr="004969DC">
              <w:rPr>
                <w:rFonts w:cs="Simplified Arabic"/>
                <w:color w:val="333333"/>
                <w:sz w:val="20"/>
                <w:szCs w:val="22"/>
                <w:rtl/>
              </w:rPr>
              <w:t xml:space="preserve"> </w:t>
            </w:r>
            <w:r w:rsidRPr="004969DC">
              <w:rPr>
                <w:rFonts w:cs="Simplified Arabic"/>
                <w:sz w:val="20"/>
                <w:szCs w:val="22"/>
                <w:rtl/>
              </w:rPr>
              <w:t>نهرية السرء (سمك الحفش) وأسماك</w:t>
            </w:r>
            <w:r w:rsidRPr="004969DC">
              <w:rPr>
                <w:rFonts w:cs="Simplified Arabic" w:hint="cs"/>
                <w:sz w:val="20"/>
                <w:szCs w:val="22"/>
                <w:rtl/>
              </w:rPr>
              <w:t xml:space="preserve"> المياه العذبة</w:t>
            </w:r>
            <w:r w:rsidRPr="004969DC">
              <w:rPr>
                <w:rFonts w:cs="Simplified Arabic"/>
                <w:sz w:val="20"/>
                <w:szCs w:val="22"/>
                <w:rtl/>
              </w:rPr>
              <w:t xml:space="preserve"> (الشبوط، </w:t>
            </w:r>
            <w:r w:rsidRPr="004969DC">
              <w:rPr>
                <w:rFonts w:cs="Simplified Arabic" w:hint="cs"/>
                <w:sz w:val="20"/>
                <w:szCs w:val="22"/>
                <w:rtl/>
              </w:rPr>
              <w:t xml:space="preserve">سمك </w:t>
            </w:r>
            <w:r w:rsidRPr="004969DC">
              <w:rPr>
                <w:rFonts w:cs="Simplified Arabic"/>
                <w:sz w:val="20"/>
                <w:szCs w:val="22"/>
                <w:rtl/>
              </w:rPr>
              <w:t xml:space="preserve">الفرخ). </w:t>
            </w:r>
            <w:r w:rsidRPr="004969DC">
              <w:rPr>
                <w:rFonts w:cs="Simplified Arabic" w:hint="cs"/>
                <w:sz w:val="20"/>
                <w:szCs w:val="22"/>
                <w:rtl/>
              </w:rPr>
              <w:t>و</w:t>
            </w:r>
            <w:r w:rsidRPr="004969DC">
              <w:rPr>
                <w:rFonts w:cs="Simplified Arabic"/>
                <w:sz w:val="20"/>
                <w:szCs w:val="22"/>
                <w:rtl/>
              </w:rPr>
              <w:t>في الربيع، ت</w:t>
            </w:r>
            <w:r w:rsidRPr="004969DC">
              <w:rPr>
                <w:rFonts w:cs="Simplified Arabic" w:hint="cs"/>
                <w:sz w:val="20"/>
                <w:szCs w:val="22"/>
                <w:rtl/>
              </w:rPr>
              <w:t>حتشد هنا</w:t>
            </w:r>
            <w:r w:rsidRPr="004969DC">
              <w:rPr>
                <w:rFonts w:cs="Simplified Arabic"/>
                <w:sz w:val="20"/>
                <w:szCs w:val="22"/>
                <w:rtl/>
              </w:rPr>
              <w:t xml:space="preserve"> جميع </w:t>
            </w:r>
            <w:r w:rsidRPr="004969DC">
              <w:rPr>
                <w:rFonts w:cs="Simplified Arabic" w:hint="cs"/>
                <w:sz w:val="20"/>
                <w:szCs w:val="22"/>
                <w:rtl/>
              </w:rPr>
              <w:t>الأنواع العديدة للأسماك، و</w:t>
            </w:r>
            <w:r w:rsidRPr="004969DC">
              <w:rPr>
                <w:rFonts w:cs="Simplified Arabic"/>
                <w:sz w:val="20"/>
                <w:szCs w:val="22"/>
                <w:rtl/>
              </w:rPr>
              <w:t>تندفع</w:t>
            </w:r>
            <w:r w:rsidRPr="004969DC">
              <w:rPr>
                <w:rFonts w:cs="Simplified Arabic" w:hint="cs"/>
                <w:sz w:val="20"/>
                <w:szCs w:val="22"/>
                <w:rtl/>
              </w:rPr>
              <w:t xml:space="preserve"> هذه التجمعات</w:t>
            </w:r>
            <w:r w:rsidRPr="004969DC">
              <w:rPr>
                <w:rFonts w:cs="Simplified Arabic"/>
                <w:sz w:val="20"/>
                <w:szCs w:val="22"/>
                <w:rtl/>
              </w:rPr>
              <w:t xml:space="preserve"> بعد ذلك </w:t>
            </w:r>
            <w:r w:rsidRPr="004969DC">
              <w:rPr>
                <w:rFonts w:cs="Simplified Arabic" w:hint="cs"/>
                <w:sz w:val="20"/>
                <w:szCs w:val="22"/>
                <w:rtl/>
              </w:rPr>
              <w:t xml:space="preserve">لتضع بيضها </w:t>
            </w:r>
            <w:r w:rsidRPr="004969DC">
              <w:rPr>
                <w:rFonts w:cs="Simplified Arabic"/>
                <w:sz w:val="20"/>
                <w:szCs w:val="22"/>
                <w:rtl/>
              </w:rPr>
              <w:t xml:space="preserve">عند </w:t>
            </w:r>
            <w:r w:rsidRPr="004969DC">
              <w:rPr>
                <w:rFonts w:cs="Simplified Arabic" w:hint="cs"/>
                <w:sz w:val="20"/>
                <w:szCs w:val="22"/>
                <w:rtl/>
              </w:rPr>
              <w:t>منبع</w:t>
            </w:r>
            <w:r w:rsidRPr="004969DC">
              <w:rPr>
                <w:rFonts w:cs="Simplified Arabic"/>
                <w:sz w:val="20"/>
                <w:szCs w:val="22"/>
                <w:rtl/>
              </w:rPr>
              <w:t xml:space="preserve"> نهر الأورال في مناطق </w:t>
            </w:r>
            <w:r w:rsidRPr="004969DC">
              <w:rPr>
                <w:rFonts w:cs="Simplified Arabic" w:hint="cs"/>
                <w:sz w:val="20"/>
                <w:szCs w:val="22"/>
                <w:rtl/>
              </w:rPr>
              <w:t>التسرئة الواقعة</w:t>
            </w:r>
            <w:r w:rsidRPr="004969DC">
              <w:rPr>
                <w:rFonts w:cs="Simplified Arabic"/>
                <w:sz w:val="20"/>
                <w:szCs w:val="22"/>
                <w:rtl/>
              </w:rPr>
              <w:t xml:space="preserve"> في ال</w:t>
            </w:r>
            <w:r w:rsidRPr="004969DC">
              <w:rPr>
                <w:rFonts w:cs="Simplified Arabic" w:hint="cs"/>
                <w:sz w:val="20"/>
                <w:szCs w:val="22"/>
                <w:rtl/>
              </w:rPr>
              <w:t>أجزاء</w:t>
            </w:r>
            <w:r w:rsidRPr="004969DC">
              <w:rPr>
                <w:rFonts w:cs="Simplified Arabic"/>
                <w:sz w:val="20"/>
                <w:szCs w:val="22"/>
                <w:rtl/>
              </w:rPr>
              <w:t xml:space="preserve"> الدنيا والوسطى</w:t>
            </w:r>
            <w:r w:rsidRPr="004969DC">
              <w:rPr>
                <w:rFonts w:cs="Simplified Arabic" w:hint="cs"/>
                <w:sz w:val="20"/>
                <w:szCs w:val="22"/>
                <w:rtl/>
              </w:rPr>
              <w:t xml:space="preserve"> للنهر.</w:t>
            </w:r>
            <w:r w:rsidRPr="004969DC">
              <w:rPr>
                <w:rFonts w:cs="Simplified Arabic"/>
                <w:sz w:val="20"/>
                <w:szCs w:val="22"/>
                <w:rtl/>
              </w:rPr>
              <w:t xml:space="preserve"> وبعد الت</w:t>
            </w:r>
            <w:r w:rsidRPr="004969DC">
              <w:rPr>
                <w:rFonts w:cs="Simplified Arabic" w:hint="cs"/>
                <w:sz w:val="20"/>
                <w:szCs w:val="22"/>
                <w:rtl/>
              </w:rPr>
              <w:t>سرئة</w:t>
            </w:r>
            <w:r w:rsidRPr="004969DC">
              <w:rPr>
                <w:rFonts w:cs="Simplified Arabic"/>
                <w:sz w:val="20"/>
                <w:szCs w:val="22"/>
                <w:rtl/>
              </w:rPr>
              <w:t xml:space="preserve">، </w:t>
            </w:r>
            <w:r w:rsidRPr="004969DC">
              <w:rPr>
                <w:rFonts w:cs="Simplified Arabic" w:hint="cs"/>
                <w:sz w:val="20"/>
                <w:szCs w:val="22"/>
                <w:rtl/>
              </w:rPr>
              <w:t>تهاجر الأسماك المنتجة والأسماك الصغيرة</w:t>
            </w:r>
            <w:r w:rsidRPr="004969DC">
              <w:rPr>
                <w:rFonts w:cs="Simplified Arabic"/>
                <w:sz w:val="20"/>
                <w:szCs w:val="22"/>
                <w:rtl/>
              </w:rPr>
              <w:t xml:space="preserve"> إلى </w:t>
            </w:r>
            <w:r w:rsidRPr="004969DC">
              <w:rPr>
                <w:rFonts w:cs="Simplified Arabic" w:hint="cs"/>
                <w:sz w:val="20"/>
                <w:szCs w:val="22"/>
                <w:rtl/>
              </w:rPr>
              <w:t>منطقة</w:t>
            </w:r>
            <w:r w:rsidRPr="004969DC">
              <w:rPr>
                <w:rFonts w:cs="Simplified Arabic"/>
                <w:sz w:val="20"/>
                <w:szCs w:val="22"/>
                <w:rtl/>
              </w:rPr>
              <w:t xml:space="preserve"> المصب ال</w:t>
            </w:r>
            <w:r w:rsidRPr="004969DC">
              <w:rPr>
                <w:rFonts w:cs="Simplified Arabic" w:hint="cs"/>
                <w:sz w:val="20"/>
                <w:szCs w:val="22"/>
                <w:rtl/>
              </w:rPr>
              <w:t>بحري</w:t>
            </w:r>
            <w:r w:rsidRPr="004969DC">
              <w:rPr>
                <w:rFonts w:cs="Simplified Arabic"/>
                <w:sz w:val="20"/>
                <w:szCs w:val="22"/>
                <w:rtl/>
              </w:rPr>
              <w:t xml:space="preserve"> (</w:t>
            </w:r>
            <w:r w:rsidRPr="004969DC">
              <w:rPr>
                <w:rFonts w:cs="Simplified Arabic" w:hint="cs"/>
                <w:sz w:val="20"/>
                <w:szCs w:val="22"/>
                <w:rtl/>
              </w:rPr>
              <w:t>ال</w:t>
            </w:r>
            <w:r w:rsidRPr="004969DC">
              <w:rPr>
                <w:rFonts w:cs="Simplified Arabic"/>
                <w:sz w:val="20"/>
                <w:szCs w:val="22"/>
                <w:rtl/>
              </w:rPr>
              <w:t xml:space="preserve">جزء </w:t>
            </w:r>
            <w:r w:rsidRPr="004969DC">
              <w:rPr>
                <w:rFonts w:cs="Simplified Arabic" w:hint="cs"/>
                <w:sz w:val="20"/>
                <w:szCs w:val="22"/>
                <w:rtl/>
              </w:rPr>
              <w:t>ال</w:t>
            </w:r>
            <w:r w:rsidRPr="004969DC">
              <w:rPr>
                <w:rFonts w:cs="Simplified Arabic"/>
                <w:sz w:val="20"/>
                <w:szCs w:val="22"/>
                <w:rtl/>
              </w:rPr>
              <w:t xml:space="preserve">ضحل </w:t>
            </w:r>
            <w:r w:rsidRPr="004969DC">
              <w:rPr>
                <w:rFonts w:cs="Simplified Arabic" w:hint="cs"/>
                <w:sz w:val="20"/>
                <w:szCs w:val="22"/>
                <w:rtl/>
              </w:rPr>
              <w:t>المتوسط</w:t>
            </w:r>
            <w:r w:rsidRPr="004969DC">
              <w:rPr>
                <w:rFonts w:cs="Simplified Arabic"/>
                <w:sz w:val="20"/>
                <w:szCs w:val="22"/>
                <w:rtl/>
              </w:rPr>
              <w:t xml:space="preserve"> الملوحة من البحر) لل</w:t>
            </w:r>
            <w:r w:rsidRPr="004969DC">
              <w:rPr>
                <w:rFonts w:cs="Simplified Arabic" w:hint="cs"/>
                <w:sz w:val="20"/>
                <w:szCs w:val="22"/>
                <w:rtl/>
              </w:rPr>
              <w:t>حصول على الغذاء</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هناك </w:t>
            </w:r>
            <w:r w:rsidRPr="004969DC">
              <w:rPr>
                <w:rFonts w:cs="Simplified Arabic" w:hint="cs"/>
                <w:sz w:val="20"/>
                <w:szCs w:val="22"/>
                <w:rtl/>
              </w:rPr>
              <w:t>أرصدة سمكية صغيرة متبقة من</w:t>
            </w:r>
            <w:r w:rsidRPr="004969DC">
              <w:rPr>
                <w:rFonts w:cs="Simplified Arabic"/>
                <w:sz w:val="20"/>
                <w:szCs w:val="22"/>
                <w:rtl/>
              </w:rPr>
              <w:t xml:space="preserve"> سمك الحفش (مثل الحفش الروسي، </w:t>
            </w:r>
            <w:r w:rsidRPr="004969DC">
              <w:rPr>
                <w:rFonts w:cs="Simplified Arabic" w:hint="cs"/>
                <w:sz w:val="20"/>
                <w:szCs w:val="22"/>
                <w:rtl/>
              </w:rPr>
              <w:t>الدرافيل البيضاء</w:t>
            </w:r>
            <w:r w:rsidRPr="004969DC">
              <w:rPr>
                <w:rFonts w:cs="Simplified Arabic"/>
                <w:sz w:val="20"/>
                <w:szCs w:val="22"/>
                <w:rtl/>
              </w:rPr>
              <w:t>، الحفش النجم</w:t>
            </w:r>
            <w:r w:rsidRPr="004969DC">
              <w:rPr>
                <w:rFonts w:cs="Simplified Arabic" w:hint="cs"/>
                <w:sz w:val="20"/>
                <w:szCs w:val="22"/>
                <w:rtl/>
              </w:rPr>
              <w:t>ي</w:t>
            </w:r>
            <w:r w:rsidRPr="004969DC">
              <w:rPr>
                <w:rFonts w:cs="Simplified Arabic"/>
                <w:sz w:val="20"/>
                <w:szCs w:val="22"/>
                <w:rtl/>
              </w:rPr>
              <w:t xml:space="preserve">، </w:t>
            </w:r>
            <w:r w:rsidRPr="004969DC">
              <w:rPr>
                <w:rFonts w:cs="Simplified Arabic" w:hint="cs"/>
                <w:sz w:val="20"/>
                <w:szCs w:val="22"/>
                <w:rtl/>
              </w:rPr>
              <w:t>السمك الشوكي).</w:t>
            </w:r>
            <w:bookmarkEnd w:id="45"/>
            <w:bookmarkEnd w:id="46"/>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M</w:t>
            </w:r>
          </w:p>
        </w:tc>
        <w:tc>
          <w:tcPr>
            <w:tcW w:w="506" w:type="dxa"/>
            <w:vAlign w:val="center"/>
          </w:tcPr>
          <w:p w:rsidR="000A5DEA" w:rsidRPr="00E2695B" w:rsidRDefault="000A5DEA" w:rsidP="00094717">
            <w:pPr>
              <w:rPr>
                <w:sz w:val="20"/>
                <w:szCs w:val="22"/>
              </w:rPr>
            </w:pPr>
            <w:r w:rsidRPr="00E2695B">
              <w:rPr>
                <w:sz w:val="20"/>
                <w:szCs w:val="22"/>
              </w:rPr>
              <w:t>H</w:t>
            </w:r>
          </w:p>
        </w:tc>
        <w:tc>
          <w:tcPr>
            <w:tcW w:w="507" w:type="dxa"/>
            <w:vAlign w:val="center"/>
          </w:tcPr>
          <w:p w:rsidR="000A5DEA" w:rsidRPr="00E2695B" w:rsidRDefault="000A5DEA" w:rsidP="00094717">
            <w:pP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rtl/>
                <w:lang w:val="en-CA"/>
              </w:rPr>
            </w:pPr>
            <w:bookmarkStart w:id="47" w:name="_Toc524295482"/>
            <w:bookmarkStart w:id="48" w:name="_Toc6071562"/>
            <w:r w:rsidRPr="004969DC">
              <w:rPr>
                <w:rFonts w:hint="cs"/>
                <w:bCs/>
                <w:sz w:val="20"/>
                <w:szCs w:val="22"/>
                <w:rtl/>
                <w:lang w:val="en-CA"/>
              </w:rPr>
              <w:lastRenderedPageBreak/>
              <w:t xml:space="preserve">19- </w:t>
            </w:r>
            <w:r w:rsidRPr="004969DC">
              <w:rPr>
                <w:bCs/>
                <w:sz w:val="20"/>
                <w:szCs w:val="22"/>
                <w:rtl/>
                <w:lang w:val="en-CA"/>
              </w:rPr>
              <w:t>خليج كومسومول</w:t>
            </w:r>
            <w:bookmarkEnd w:id="47"/>
            <w:bookmarkEnd w:id="48"/>
          </w:p>
          <w:p w:rsidR="000A5DEA" w:rsidRPr="004969DC" w:rsidRDefault="000A5DEA" w:rsidP="00CD26C5">
            <w:pPr>
              <w:pStyle w:val="ListParagraph"/>
              <w:numPr>
                <w:ilvl w:val="0"/>
                <w:numId w:val="137"/>
              </w:numPr>
              <w:bidi/>
              <w:spacing w:after="0" w:line="204" w:lineRule="auto"/>
              <w:ind w:left="332" w:hanging="332"/>
              <w:rPr>
                <w:rFonts w:cs="Simplified Arabic"/>
                <w:b/>
                <w:caps/>
                <w:sz w:val="20"/>
                <w:szCs w:val="22"/>
                <w:lang w:val="en-CA"/>
              </w:rPr>
            </w:pPr>
            <w:r w:rsidRPr="004969DC">
              <w:rPr>
                <w:rFonts w:cs="Simplified Arabic"/>
                <w:sz w:val="20"/>
                <w:szCs w:val="22"/>
                <w:rtl/>
                <w:lang w:val="en-CA"/>
              </w:rPr>
              <w:t xml:space="preserve">الموقع: يقع خليج كومسومول، بما في ذلك جزر دورنيف، غرب خليج </w:t>
            </w:r>
            <w:r w:rsidRPr="004969DC">
              <w:rPr>
                <w:rFonts w:cs="Simplified Arabic" w:hint="cs"/>
                <w:sz w:val="20"/>
                <w:szCs w:val="22"/>
                <w:rtl/>
                <w:lang w:val="en-CA"/>
              </w:rPr>
              <w:t>ديد</w:t>
            </w:r>
            <w:r w:rsidRPr="004969DC">
              <w:rPr>
                <w:rFonts w:cs="Simplified Arabic"/>
                <w:sz w:val="20"/>
                <w:szCs w:val="22"/>
                <w:rtl/>
                <w:lang w:val="en-CA"/>
              </w:rPr>
              <w:t xml:space="preserve"> كولتوك في </w:t>
            </w:r>
            <w:r w:rsidRPr="004969DC">
              <w:rPr>
                <w:rFonts w:cs="Simplified Arabic" w:hint="cs"/>
                <w:sz w:val="20"/>
                <w:szCs w:val="22"/>
                <w:rtl/>
                <w:lang w:val="en-CA"/>
              </w:rPr>
              <w:t xml:space="preserve">الجزء </w:t>
            </w:r>
            <w:r w:rsidRPr="004969DC">
              <w:rPr>
                <w:rFonts w:cs="Simplified Arabic"/>
                <w:sz w:val="20"/>
                <w:szCs w:val="22"/>
                <w:rtl/>
                <w:lang w:val="en-CA"/>
              </w:rPr>
              <w:t xml:space="preserve">الشمالي الشرقي </w:t>
            </w:r>
            <w:r w:rsidRPr="004969DC">
              <w:rPr>
                <w:rFonts w:cs="Simplified Arabic" w:hint="cs"/>
                <w:sz w:val="20"/>
                <w:szCs w:val="22"/>
                <w:rtl/>
                <w:lang w:val="en-CA"/>
              </w:rPr>
              <w:t>ل</w:t>
            </w:r>
            <w:r w:rsidRPr="004969DC">
              <w:rPr>
                <w:rFonts w:cs="Simplified Arabic"/>
                <w:sz w:val="20"/>
                <w:szCs w:val="22"/>
                <w:rtl/>
                <w:lang w:val="en-CA"/>
              </w:rPr>
              <w:t>بحر قزوين (45</w:t>
            </w:r>
            <w:r w:rsidRPr="004969DC">
              <w:rPr>
                <w:rFonts w:cs="Simplified Arabic" w:hint="cs"/>
                <w:sz w:val="20"/>
                <w:szCs w:val="22"/>
                <w:rtl/>
                <w:lang w:val="en-CA"/>
              </w:rPr>
              <w:t>,</w:t>
            </w:r>
            <w:r w:rsidRPr="004969DC">
              <w:rPr>
                <w:rFonts w:cs="Simplified Arabic"/>
                <w:sz w:val="20"/>
                <w:szCs w:val="22"/>
                <w:rtl/>
                <w:lang w:val="en-CA"/>
              </w:rPr>
              <w:t>38 شمالاً، 52</w:t>
            </w:r>
            <w:r w:rsidRPr="004969DC">
              <w:rPr>
                <w:rFonts w:cs="Simplified Arabic" w:hint="cs"/>
                <w:sz w:val="20"/>
                <w:szCs w:val="22"/>
                <w:rtl/>
                <w:lang w:val="en-CA"/>
              </w:rPr>
              <w:t>,</w:t>
            </w:r>
            <w:r w:rsidRPr="004969DC">
              <w:rPr>
                <w:rFonts w:cs="Simplified Arabic"/>
                <w:sz w:val="20"/>
                <w:szCs w:val="22"/>
                <w:rtl/>
                <w:lang w:val="en-CA"/>
              </w:rPr>
              <w:t>35 شرقاً)</w:t>
            </w:r>
            <w:r w:rsidRPr="004969DC">
              <w:rPr>
                <w:rFonts w:cs="Simplified Arabic"/>
                <w:sz w:val="20"/>
                <w:szCs w:val="22"/>
                <w:lang w:val="en-CA"/>
              </w:rPr>
              <w:t>.</w:t>
            </w:r>
          </w:p>
          <w:p w:rsidR="000C613F" w:rsidRPr="004969DC" w:rsidRDefault="000A5DEA" w:rsidP="00CD26C5">
            <w:pPr>
              <w:pStyle w:val="ListParagraph"/>
              <w:numPr>
                <w:ilvl w:val="0"/>
                <w:numId w:val="137"/>
              </w:numPr>
              <w:bidi/>
              <w:spacing w:after="0" w:line="204" w:lineRule="auto"/>
              <w:ind w:left="332" w:hanging="332"/>
              <w:rPr>
                <w:rFonts w:cs="Simplified Arabic"/>
                <w:b/>
                <w:caps/>
                <w:sz w:val="20"/>
                <w:szCs w:val="22"/>
                <w:lang w:val="en-CA"/>
              </w:rPr>
            </w:pPr>
            <w:r w:rsidRPr="004969DC">
              <w:rPr>
                <w:rFonts w:cs="Simplified Arabic" w:hint="cs"/>
                <w:sz w:val="20"/>
                <w:szCs w:val="22"/>
                <w:rtl/>
              </w:rPr>
              <w:t>تُعتبر فقمة بحر قزوين</w:t>
            </w:r>
            <w:r w:rsidRPr="004969DC">
              <w:rPr>
                <w:rFonts w:cs="Simplified Arabic"/>
                <w:sz w:val="20"/>
                <w:szCs w:val="22"/>
                <w:rtl/>
              </w:rPr>
              <w:t xml:space="preserve"> </w:t>
            </w:r>
            <w:r w:rsidRPr="004969DC">
              <w:rPr>
                <w:rFonts w:cs="Simplified Arabic"/>
                <w:i/>
                <w:iCs/>
                <w:sz w:val="20"/>
                <w:szCs w:val="22"/>
                <w:rtl/>
              </w:rPr>
              <w:t>(</w:t>
            </w:r>
            <w:r w:rsidRPr="004969DC">
              <w:rPr>
                <w:rFonts w:cs="Simplified Arabic"/>
                <w:i/>
                <w:iCs/>
                <w:sz w:val="20"/>
                <w:szCs w:val="22"/>
                <w:lang w:val="en-CA"/>
              </w:rPr>
              <w:t>Phoca caspica</w:t>
            </w:r>
            <w:r w:rsidRPr="004969DC">
              <w:rPr>
                <w:rFonts w:cs="Simplified Arabic"/>
                <w:i/>
                <w:iCs/>
                <w:sz w:val="20"/>
                <w:szCs w:val="22"/>
                <w:rtl/>
              </w:rPr>
              <w:t>)</w:t>
            </w:r>
            <w:r w:rsidRPr="004969DC">
              <w:rPr>
                <w:rFonts w:cs="Simplified Arabic"/>
                <w:sz w:val="20"/>
                <w:szCs w:val="22"/>
                <w:rtl/>
              </w:rPr>
              <w:t>، وه</w:t>
            </w:r>
            <w:r w:rsidRPr="004969DC">
              <w:rPr>
                <w:rFonts w:cs="Simplified Arabic" w:hint="cs"/>
                <w:sz w:val="20"/>
                <w:szCs w:val="22"/>
                <w:rtl/>
              </w:rPr>
              <w:t>ي</w:t>
            </w:r>
            <w:r w:rsidRPr="004969DC">
              <w:rPr>
                <w:rFonts w:cs="Simplified Arabic"/>
                <w:sz w:val="20"/>
                <w:szCs w:val="22"/>
                <w:rtl/>
              </w:rPr>
              <w:t xml:space="preserve"> نوع مستوطن عابر للحدود، الحيوان</w:t>
            </w:r>
            <w:r w:rsidRPr="004969DC">
              <w:rPr>
                <w:rFonts w:cs="Simplified Arabic" w:hint="cs"/>
                <w:sz w:val="20"/>
                <w:szCs w:val="22"/>
                <w:rtl/>
              </w:rPr>
              <w:t xml:space="preserve"> الثديي</w:t>
            </w:r>
            <w:r w:rsidRPr="004969DC">
              <w:rPr>
                <w:rFonts w:cs="Simplified Arabic"/>
                <w:sz w:val="20"/>
                <w:szCs w:val="22"/>
                <w:rtl/>
              </w:rPr>
              <w:t xml:space="preserve"> الوحيد الذي ي</w:t>
            </w:r>
            <w:r w:rsidRPr="004969DC">
              <w:rPr>
                <w:rFonts w:cs="Simplified Arabic" w:hint="cs"/>
                <w:sz w:val="20"/>
                <w:szCs w:val="22"/>
                <w:rtl/>
              </w:rPr>
              <w:t>عيش في</w:t>
            </w:r>
            <w:r w:rsidRPr="004969DC">
              <w:rPr>
                <w:rFonts w:cs="Simplified Arabic"/>
                <w:sz w:val="20"/>
                <w:szCs w:val="22"/>
                <w:rtl/>
              </w:rPr>
              <w:t xml:space="preserve"> بحر قزوين. </w:t>
            </w:r>
            <w:r w:rsidRPr="004969DC">
              <w:rPr>
                <w:rFonts w:cs="Simplified Arabic" w:hint="cs"/>
                <w:sz w:val="20"/>
                <w:szCs w:val="22"/>
                <w:rtl/>
              </w:rPr>
              <w:t>و</w:t>
            </w:r>
            <w:r w:rsidRPr="004969DC">
              <w:rPr>
                <w:rFonts w:cs="Simplified Arabic"/>
                <w:sz w:val="20"/>
                <w:szCs w:val="22"/>
                <w:rtl/>
              </w:rPr>
              <w:t xml:space="preserve">في عام 2008، غير الاتحاد الدولي لحفظ الطبيعة وضع </w:t>
            </w:r>
            <w:r w:rsidRPr="004969DC">
              <w:rPr>
                <w:rFonts w:cs="Simplified Arabic" w:hint="cs"/>
                <w:sz w:val="20"/>
                <w:szCs w:val="22"/>
                <w:rtl/>
              </w:rPr>
              <w:t>فقمة بحر قزوين</w:t>
            </w:r>
            <w:r w:rsidRPr="004969DC">
              <w:rPr>
                <w:rFonts w:cs="Simplified Arabic"/>
                <w:sz w:val="20"/>
                <w:szCs w:val="22"/>
                <w:rtl/>
              </w:rPr>
              <w:t xml:space="preserve"> من</w:t>
            </w:r>
            <w:r w:rsidRPr="004969DC">
              <w:rPr>
                <w:rFonts w:cs="Simplified Arabic" w:hint="cs"/>
                <w:sz w:val="20"/>
                <w:szCs w:val="22"/>
                <w:rtl/>
              </w:rPr>
              <w:t xml:space="preserve"> كائن حي</w:t>
            </w:r>
            <w:r w:rsidRPr="004969DC">
              <w:rPr>
                <w:rFonts w:cs="Simplified Arabic"/>
                <w:sz w:val="20"/>
                <w:szCs w:val="22"/>
                <w:rtl/>
              </w:rPr>
              <w:t xml:space="preserve"> "</w:t>
            </w:r>
            <w:r w:rsidRPr="004969DC">
              <w:rPr>
                <w:rFonts w:cs="Simplified Arabic" w:hint="cs"/>
                <w:sz w:val="20"/>
                <w:szCs w:val="22"/>
                <w:rtl/>
              </w:rPr>
              <w:t>قابل للتأثر</w:t>
            </w:r>
            <w:r w:rsidRPr="004969DC">
              <w:rPr>
                <w:rFonts w:cs="Simplified Arabic"/>
                <w:sz w:val="20"/>
                <w:szCs w:val="22"/>
                <w:rtl/>
              </w:rPr>
              <w:t xml:space="preserve">" إلى "معرض للخطر". </w:t>
            </w:r>
            <w:r w:rsidRPr="004969DC">
              <w:rPr>
                <w:rFonts w:cs="Simplified Arabic" w:hint="cs"/>
                <w:sz w:val="20"/>
                <w:szCs w:val="22"/>
                <w:rtl/>
              </w:rPr>
              <w:t xml:space="preserve">وتبين </w:t>
            </w:r>
            <w:r w:rsidRPr="004969DC">
              <w:rPr>
                <w:rFonts w:cs="Simplified Arabic"/>
                <w:sz w:val="20"/>
                <w:szCs w:val="22"/>
                <w:rtl/>
              </w:rPr>
              <w:t xml:space="preserve">نتائج الأبحاث المتعلقة بتوزيع </w:t>
            </w:r>
            <w:r w:rsidRPr="004969DC">
              <w:rPr>
                <w:rFonts w:cs="Simplified Arabic" w:hint="cs"/>
                <w:sz w:val="20"/>
                <w:szCs w:val="22"/>
                <w:rtl/>
              </w:rPr>
              <w:t xml:space="preserve">مجموعات فقمة </w:t>
            </w:r>
            <w:r w:rsidRPr="004969DC">
              <w:rPr>
                <w:rFonts w:cs="Simplified Arabic"/>
                <w:sz w:val="20"/>
                <w:szCs w:val="22"/>
                <w:rtl/>
              </w:rPr>
              <w:t xml:space="preserve">بحر قزوين </w:t>
            </w:r>
            <w:r w:rsidRPr="004969DC">
              <w:rPr>
                <w:rFonts w:cs="Simplified Arabic" w:hint="cs"/>
                <w:sz w:val="20"/>
                <w:szCs w:val="22"/>
                <w:rtl/>
              </w:rPr>
              <w:t>و</w:t>
            </w:r>
            <w:r w:rsidRPr="004969DC">
              <w:rPr>
                <w:rFonts w:cs="Simplified Arabic"/>
                <w:sz w:val="20"/>
                <w:szCs w:val="22"/>
                <w:rtl/>
              </w:rPr>
              <w:t>وفرة</w:t>
            </w:r>
            <w:r w:rsidRPr="004969DC">
              <w:rPr>
                <w:rFonts w:cs="Simplified Arabic" w:hint="cs"/>
                <w:sz w:val="20"/>
                <w:szCs w:val="22"/>
                <w:rtl/>
              </w:rPr>
              <w:t xml:space="preserve"> أعدادها</w:t>
            </w:r>
            <w:r w:rsidRPr="004969DC">
              <w:rPr>
                <w:rFonts w:cs="Simplified Arabic"/>
                <w:sz w:val="20"/>
                <w:szCs w:val="22"/>
                <w:rtl/>
              </w:rPr>
              <w:t xml:space="preserve"> </w:t>
            </w:r>
            <w:r w:rsidRPr="004969DC">
              <w:rPr>
                <w:rFonts w:cs="Simplified Arabic" w:hint="cs"/>
                <w:sz w:val="20"/>
                <w:szCs w:val="22"/>
                <w:rtl/>
              </w:rPr>
              <w:t>وبنيتها</w:t>
            </w:r>
            <w:r w:rsidRPr="004969DC">
              <w:rPr>
                <w:rFonts w:cs="Simplified Arabic"/>
                <w:sz w:val="20"/>
                <w:szCs w:val="22"/>
                <w:rtl/>
              </w:rPr>
              <w:t xml:space="preserve"> أن </w:t>
            </w:r>
            <w:r w:rsidRPr="004969DC">
              <w:rPr>
                <w:rFonts w:cs="Simplified Arabic" w:hint="cs"/>
                <w:sz w:val="20"/>
                <w:szCs w:val="22"/>
                <w:rtl/>
              </w:rPr>
              <w:t>مستوطنات الفقمة القائمة</w:t>
            </w:r>
            <w:r w:rsidRPr="004969DC">
              <w:rPr>
                <w:rFonts w:cs="Simplified Arabic"/>
                <w:sz w:val="20"/>
                <w:szCs w:val="22"/>
                <w:rtl/>
              </w:rPr>
              <w:t xml:space="preserve"> في جزر دورنف مهمة لحفظ </w:t>
            </w:r>
            <w:r w:rsidRPr="004969DC">
              <w:rPr>
                <w:rFonts w:cs="Simplified Arabic" w:hint="cs"/>
                <w:sz w:val="20"/>
                <w:szCs w:val="22"/>
                <w:rtl/>
              </w:rPr>
              <w:t>أفراد هذه التجمعات.</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w:t>
            </w:r>
          </w:p>
        </w:tc>
        <w:tc>
          <w:tcPr>
            <w:tcW w:w="506" w:type="dxa"/>
            <w:vAlign w:val="center"/>
          </w:tcPr>
          <w:p w:rsidR="000A5DEA" w:rsidRPr="00E2695B" w:rsidRDefault="000A5DEA" w:rsidP="00094717">
            <w:pPr>
              <w:rPr>
                <w:sz w:val="20"/>
                <w:szCs w:val="22"/>
              </w:rPr>
            </w:pPr>
            <w:r w:rsidRPr="00E2695B">
              <w:rPr>
                <w:sz w:val="20"/>
                <w:szCs w:val="22"/>
              </w:rPr>
              <w:t>-</w:t>
            </w:r>
          </w:p>
        </w:tc>
        <w:tc>
          <w:tcPr>
            <w:tcW w:w="507" w:type="dxa"/>
            <w:vAlign w:val="center"/>
          </w:tcPr>
          <w:p w:rsidR="000A5DEA" w:rsidRPr="00E2695B" w:rsidRDefault="000A5DEA" w:rsidP="00094717">
            <w:pPr>
              <w:rPr>
                <w:sz w:val="20"/>
                <w:szCs w:val="22"/>
              </w:rPr>
            </w:pPr>
            <w:r w:rsidRPr="00E2695B">
              <w:rPr>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rFonts w:eastAsia="MS Mincho"/>
                <w:bCs/>
                <w:sz w:val="20"/>
                <w:szCs w:val="22"/>
              </w:rPr>
            </w:pPr>
            <w:bookmarkStart w:id="49" w:name="_Toc524295483"/>
            <w:bookmarkStart w:id="50" w:name="_Toc6071563"/>
            <w:r w:rsidRPr="004969DC">
              <w:rPr>
                <w:rFonts w:hint="cs"/>
                <w:bCs/>
                <w:sz w:val="20"/>
                <w:szCs w:val="22"/>
                <w:rtl/>
              </w:rPr>
              <w:t>20- أماكن تناسل فقمة بحر قزوين</w:t>
            </w:r>
            <w:bookmarkEnd w:id="49"/>
            <w:bookmarkEnd w:id="50"/>
          </w:p>
          <w:p w:rsidR="000A5DEA" w:rsidRPr="00366E36" w:rsidRDefault="000A5DEA" w:rsidP="00CD26C5">
            <w:pPr>
              <w:pStyle w:val="ListParagraph"/>
              <w:numPr>
                <w:ilvl w:val="0"/>
                <w:numId w:val="138"/>
              </w:numPr>
              <w:bidi/>
              <w:spacing w:after="0" w:line="204" w:lineRule="auto"/>
              <w:ind w:left="332" w:hanging="270"/>
              <w:rPr>
                <w:rFonts w:cs="Simplified Arabic"/>
                <w:sz w:val="20"/>
                <w:szCs w:val="22"/>
                <w:lang w:val="en-US"/>
              </w:rPr>
            </w:pPr>
            <w:r w:rsidRPr="004969DC">
              <w:rPr>
                <w:rFonts w:cs="Simplified Arabic"/>
                <w:sz w:val="20"/>
                <w:szCs w:val="22"/>
                <w:rtl/>
              </w:rPr>
              <w:t xml:space="preserve">الموقع: </w:t>
            </w:r>
            <w:r w:rsidRPr="004969DC">
              <w:rPr>
                <w:rFonts w:cs="Simplified Arabic" w:hint="cs"/>
                <w:sz w:val="20"/>
                <w:szCs w:val="22"/>
                <w:rtl/>
              </w:rPr>
              <w:t>يُحدّد</w:t>
            </w:r>
            <w:r w:rsidRPr="004969DC">
              <w:rPr>
                <w:rFonts w:cs="Simplified Arabic"/>
                <w:sz w:val="20"/>
                <w:szCs w:val="22"/>
                <w:rtl/>
              </w:rPr>
              <w:t xml:space="preserve"> موقع</w:t>
            </w:r>
            <w:r w:rsidRPr="004969DC">
              <w:rPr>
                <w:rFonts w:cs="Simplified Arabic" w:hint="cs"/>
                <w:sz w:val="20"/>
                <w:szCs w:val="22"/>
                <w:rtl/>
              </w:rPr>
              <w:t xml:space="preserve"> هذه</w:t>
            </w:r>
            <w:r w:rsidRPr="004969DC">
              <w:rPr>
                <w:rFonts w:cs="Simplified Arabic"/>
                <w:sz w:val="20"/>
                <w:szCs w:val="22"/>
                <w:rtl/>
              </w:rPr>
              <w:t xml:space="preserve"> المنطقة </w:t>
            </w:r>
            <w:r w:rsidRPr="004969DC">
              <w:rPr>
                <w:rFonts w:cs="Simplified Arabic" w:hint="cs"/>
                <w:sz w:val="20"/>
                <w:szCs w:val="22"/>
                <w:rtl/>
              </w:rPr>
              <w:t>بمدى</w:t>
            </w:r>
            <w:r w:rsidRPr="004969DC">
              <w:rPr>
                <w:rFonts w:cs="Simplified Arabic"/>
                <w:sz w:val="20"/>
                <w:szCs w:val="22"/>
                <w:rtl/>
              </w:rPr>
              <w:t xml:space="preserve"> ال</w:t>
            </w:r>
            <w:r w:rsidRPr="004969DC">
              <w:rPr>
                <w:rFonts w:cs="Simplified Arabic" w:hint="cs"/>
                <w:sz w:val="20"/>
                <w:szCs w:val="22"/>
                <w:rtl/>
              </w:rPr>
              <w:t>غطاء</w:t>
            </w:r>
            <w:r w:rsidRPr="004969DC">
              <w:rPr>
                <w:rFonts w:cs="Simplified Arabic"/>
                <w:sz w:val="20"/>
                <w:szCs w:val="22"/>
                <w:rtl/>
              </w:rPr>
              <w:t xml:space="preserve"> الجليدي خلال أشهر الشتاء، حيث </w:t>
            </w:r>
            <w:r w:rsidRPr="004969DC">
              <w:rPr>
                <w:rFonts w:cs="Simplified Arabic" w:hint="cs"/>
                <w:sz w:val="20"/>
                <w:szCs w:val="22"/>
                <w:rtl/>
              </w:rPr>
              <w:t>يمتد</w:t>
            </w:r>
            <w:r w:rsidRPr="004969DC">
              <w:rPr>
                <w:rFonts w:cs="Simplified Arabic"/>
                <w:sz w:val="20"/>
                <w:szCs w:val="22"/>
                <w:rtl/>
              </w:rPr>
              <w:t xml:space="preserve"> موسم </w:t>
            </w:r>
            <w:r w:rsidRPr="004969DC">
              <w:rPr>
                <w:rFonts w:cs="Simplified Arabic" w:hint="cs"/>
                <w:sz w:val="20"/>
                <w:szCs w:val="22"/>
                <w:rtl/>
              </w:rPr>
              <w:t>تناسل الفقمة</w:t>
            </w:r>
            <w:r w:rsidRPr="004969DC">
              <w:rPr>
                <w:rFonts w:cs="Simplified Arabic"/>
                <w:sz w:val="20"/>
                <w:szCs w:val="22"/>
                <w:rtl/>
              </w:rPr>
              <w:t xml:space="preserve"> من </w:t>
            </w:r>
            <w:r w:rsidRPr="004969DC">
              <w:rPr>
                <w:rFonts w:cs="Simplified Arabic" w:hint="cs"/>
                <w:sz w:val="20"/>
                <w:szCs w:val="22"/>
                <w:rtl/>
              </w:rPr>
              <w:t>كانون الثاني/</w:t>
            </w:r>
            <w:r w:rsidRPr="004969DC">
              <w:rPr>
                <w:rFonts w:cs="Simplified Arabic"/>
                <w:sz w:val="20"/>
                <w:szCs w:val="22"/>
                <w:rtl/>
              </w:rPr>
              <w:t xml:space="preserve">يناير حتى أوائل </w:t>
            </w:r>
            <w:r w:rsidRPr="004969DC">
              <w:rPr>
                <w:rFonts w:cs="Simplified Arabic" w:hint="cs"/>
                <w:sz w:val="20"/>
                <w:szCs w:val="22"/>
                <w:rtl/>
              </w:rPr>
              <w:t>آذار/</w:t>
            </w:r>
            <w:r w:rsidRPr="004969DC">
              <w:rPr>
                <w:rFonts w:cs="Simplified Arabic"/>
                <w:sz w:val="20"/>
                <w:szCs w:val="22"/>
                <w:rtl/>
              </w:rPr>
              <w:t xml:space="preserve">مارس. </w:t>
            </w:r>
            <w:r w:rsidRPr="004969DC">
              <w:rPr>
                <w:rFonts w:cs="Simplified Arabic" w:hint="cs"/>
                <w:sz w:val="20"/>
                <w:szCs w:val="22"/>
                <w:rtl/>
              </w:rPr>
              <w:t>وتراعي</w:t>
            </w:r>
            <w:r w:rsidRPr="004969DC">
              <w:rPr>
                <w:rFonts w:cs="Simplified Arabic"/>
                <w:sz w:val="20"/>
                <w:szCs w:val="22"/>
                <w:rtl/>
              </w:rPr>
              <w:t xml:space="preserve"> هذه المنطقة الطبيعة الدينامية ل</w:t>
            </w:r>
            <w:r w:rsidRPr="004969DC">
              <w:rPr>
                <w:rFonts w:cs="Simplified Arabic" w:hint="cs"/>
                <w:sz w:val="20"/>
                <w:szCs w:val="22"/>
                <w:rtl/>
              </w:rPr>
              <w:t>حالة</w:t>
            </w:r>
            <w:r w:rsidRPr="004969DC">
              <w:rPr>
                <w:rFonts w:cs="Simplified Arabic"/>
                <w:sz w:val="20"/>
                <w:szCs w:val="22"/>
                <w:rtl/>
              </w:rPr>
              <w:t xml:space="preserve"> الجليد </w:t>
            </w:r>
            <w:r w:rsidRPr="004969DC">
              <w:rPr>
                <w:rFonts w:cs="Simplified Arabic" w:hint="cs"/>
                <w:sz w:val="20"/>
                <w:szCs w:val="22"/>
                <w:rtl/>
              </w:rPr>
              <w:t>وتوزع الفقمة خلال</w:t>
            </w:r>
            <w:r w:rsidRPr="004969DC">
              <w:rPr>
                <w:rFonts w:cs="Simplified Arabic"/>
                <w:sz w:val="20"/>
                <w:szCs w:val="22"/>
                <w:rtl/>
              </w:rPr>
              <w:t xml:space="preserve"> السنوات وفيما بينها. لذلك، </w:t>
            </w:r>
            <w:r w:rsidRPr="004969DC">
              <w:rPr>
                <w:rFonts w:cs="Simplified Arabic" w:hint="cs"/>
                <w:sz w:val="20"/>
                <w:szCs w:val="22"/>
                <w:rtl/>
              </w:rPr>
              <w:t>يُحدّد</w:t>
            </w:r>
            <w:r w:rsidRPr="004969DC">
              <w:rPr>
                <w:rFonts w:cs="Simplified Arabic"/>
                <w:sz w:val="20"/>
                <w:szCs w:val="22"/>
                <w:rtl/>
              </w:rPr>
              <w:t xml:space="preserve"> شكل المنطقة </w:t>
            </w:r>
            <w:r w:rsidRPr="004969DC">
              <w:rPr>
                <w:rFonts w:cs="Simplified Arabic" w:hint="cs"/>
                <w:sz w:val="20"/>
                <w:szCs w:val="22"/>
                <w:rtl/>
              </w:rPr>
              <w:t>بالمدى</w:t>
            </w:r>
            <w:r w:rsidRPr="004969DC">
              <w:rPr>
                <w:rFonts w:cs="Simplified Arabic"/>
                <w:sz w:val="20"/>
                <w:szCs w:val="22"/>
                <w:rtl/>
              </w:rPr>
              <w:t xml:space="preserve"> الإجمالي الم</w:t>
            </w:r>
            <w:r w:rsidRPr="004969DC">
              <w:rPr>
                <w:rFonts w:cs="Simplified Arabic" w:hint="cs"/>
                <w:sz w:val="20"/>
                <w:szCs w:val="22"/>
                <w:rtl/>
              </w:rPr>
              <w:t>رصود</w:t>
            </w:r>
            <w:r w:rsidRPr="004969DC">
              <w:rPr>
                <w:rFonts w:cs="Simplified Arabic"/>
                <w:sz w:val="20"/>
                <w:szCs w:val="22"/>
                <w:rtl/>
              </w:rPr>
              <w:t xml:space="preserve"> لل</w:t>
            </w:r>
            <w:r w:rsidRPr="004969DC">
              <w:rPr>
                <w:rFonts w:cs="Simplified Arabic" w:hint="cs"/>
                <w:sz w:val="20"/>
                <w:szCs w:val="22"/>
                <w:rtl/>
              </w:rPr>
              <w:t>غطاء</w:t>
            </w:r>
            <w:r w:rsidRPr="004969DC">
              <w:rPr>
                <w:rFonts w:cs="Simplified Arabic"/>
                <w:sz w:val="20"/>
                <w:szCs w:val="22"/>
                <w:rtl/>
              </w:rPr>
              <w:t xml:space="preserve"> الجليدي خلال الشتاء من السجلات التاريخية والتوزعات المرصودة </w:t>
            </w:r>
            <w:r w:rsidRPr="004969DC">
              <w:rPr>
                <w:rFonts w:cs="Simplified Arabic" w:hint="cs"/>
                <w:sz w:val="20"/>
                <w:szCs w:val="22"/>
                <w:rtl/>
              </w:rPr>
              <w:t>للفقمات المتناسلة</w:t>
            </w:r>
            <w:r w:rsidRPr="004969DC">
              <w:rPr>
                <w:rFonts w:cs="Simplified Arabic"/>
                <w:sz w:val="20"/>
                <w:szCs w:val="22"/>
                <w:rtl/>
              </w:rPr>
              <w:t xml:space="preserve"> في </w:t>
            </w:r>
            <w:r w:rsidRPr="004969DC">
              <w:rPr>
                <w:rFonts w:cs="Simplified Arabic" w:hint="cs"/>
                <w:sz w:val="20"/>
                <w:szCs w:val="22"/>
                <w:rtl/>
              </w:rPr>
              <w:t>حالات</w:t>
            </w:r>
            <w:r w:rsidRPr="004969DC">
              <w:rPr>
                <w:rFonts w:cs="Simplified Arabic"/>
                <w:sz w:val="20"/>
                <w:szCs w:val="22"/>
                <w:rtl/>
              </w:rPr>
              <w:t xml:space="preserve"> الجليد المختلفة. </w:t>
            </w:r>
          </w:p>
          <w:p w:rsidR="000A5DEA" w:rsidRPr="00366E36" w:rsidRDefault="000A5DEA" w:rsidP="00CD26C5">
            <w:pPr>
              <w:pStyle w:val="ListParagraph"/>
              <w:numPr>
                <w:ilvl w:val="0"/>
                <w:numId w:val="138"/>
              </w:numPr>
              <w:bidi/>
              <w:spacing w:after="0" w:line="204" w:lineRule="auto"/>
              <w:ind w:left="332" w:hanging="270"/>
              <w:rPr>
                <w:rFonts w:cs="Simplified Arabic"/>
                <w:sz w:val="20"/>
                <w:szCs w:val="22"/>
                <w:lang w:val="en-US"/>
              </w:rPr>
            </w:pPr>
            <w:r w:rsidRPr="004969DC">
              <w:rPr>
                <w:rFonts w:cs="Simplified Arabic" w:hint="cs"/>
                <w:sz w:val="20"/>
                <w:szCs w:val="22"/>
                <w:rtl/>
              </w:rPr>
              <w:t>وفقمة</w:t>
            </w:r>
            <w:r w:rsidRPr="004969DC">
              <w:rPr>
                <w:rFonts w:cs="Simplified Arabic"/>
                <w:sz w:val="20"/>
                <w:szCs w:val="22"/>
                <w:rtl/>
              </w:rPr>
              <w:t xml:space="preserve"> بحر قزوين (</w:t>
            </w:r>
            <w:r w:rsidRPr="00366E36">
              <w:rPr>
                <w:rFonts w:cs="Simplified Arabic"/>
                <w:i/>
                <w:iCs/>
                <w:sz w:val="20"/>
                <w:szCs w:val="22"/>
                <w:lang w:val="en-US"/>
              </w:rPr>
              <w:t>Pusa caspica</w:t>
            </w:r>
            <w:r w:rsidRPr="004969DC">
              <w:rPr>
                <w:rFonts w:cs="Simplified Arabic"/>
                <w:sz w:val="20"/>
                <w:szCs w:val="22"/>
                <w:rtl/>
              </w:rPr>
              <w:t>) هو نوع من أنواع الثدييات البحرية المستوطنة، التي تت</w:t>
            </w:r>
            <w:r w:rsidRPr="004969DC">
              <w:rPr>
                <w:rFonts w:cs="Simplified Arabic" w:hint="cs"/>
                <w:sz w:val="20"/>
                <w:szCs w:val="22"/>
                <w:rtl/>
              </w:rPr>
              <w:t>ناسل على</w:t>
            </w:r>
            <w:r w:rsidRPr="004969DC">
              <w:rPr>
                <w:rFonts w:cs="Simplified Arabic"/>
                <w:sz w:val="20"/>
                <w:szCs w:val="22"/>
                <w:rtl/>
              </w:rPr>
              <w:t xml:space="preserve"> الجليد وتعيش في بحر قزوين </w:t>
            </w:r>
            <w:r w:rsidRPr="004969DC">
              <w:rPr>
                <w:rFonts w:cs="Simplified Arabic" w:hint="cs"/>
                <w:sz w:val="20"/>
                <w:szCs w:val="22"/>
                <w:rtl/>
              </w:rPr>
              <w:t>الداخلي</w:t>
            </w:r>
            <w:r w:rsidRPr="004969DC">
              <w:rPr>
                <w:rFonts w:cs="Simplified Arabic"/>
                <w:sz w:val="20"/>
                <w:szCs w:val="22"/>
                <w:rtl/>
              </w:rPr>
              <w:t>.</w:t>
            </w:r>
            <w:r w:rsidRPr="004969DC">
              <w:rPr>
                <w:rFonts w:cs="Simplified Arabic" w:hint="cs"/>
                <w:sz w:val="20"/>
                <w:szCs w:val="22"/>
                <w:rtl/>
              </w:rPr>
              <w:t xml:space="preserve"> و</w:t>
            </w:r>
            <w:r w:rsidRPr="004969DC">
              <w:rPr>
                <w:rFonts w:cs="Simplified Arabic"/>
                <w:sz w:val="20"/>
                <w:szCs w:val="22"/>
                <w:rtl/>
              </w:rPr>
              <w:t xml:space="preserve">تستخدم </w:t>
            </w:r>
            <w:r w:rsidRPr="004969DC">
              <w:rPr>
                <w:rFonts w:cs="Simplified Arabic" w:hint="cs"/>
                <w:sz w:val="20"/>
                <w:szCs w:val="22"/>
                <w:rtl/>
              </w:rPr>
              <w:t>فقمات</w:t>
            </w:r>
            <w:r w:rsidRPr="004969DC">
              <w:rPr>
                <w:rFonts w:cs="Simplified Arabic"/>
                <w:sz w:val="20"/>
                <w:szCs w:val="22"/>
                <w:rtl/>
              </w:rPr>
              <w:t xml:space="preserve"> بحر قزوين هذا الحقل الجليدي الشتوي </w:t>
            </w:r>
            <w:r w:rsidRPr="004969DC">
              <w:rPr>
                <w:rFonts w:cs="Simplified Arabic" w:hint="cs"/>
                <w:sz w:val="20"/>
                <w:szCs w:val="22"/>
                <w:rtl/>
              </w:rPr>
              <w:t xml:space="preserve">ما </w:t>
            </w:r>
            <w:r w:rsidRPr="004969DC">
              <w:rPr>
                <w:rFonts w:cs="Simplified Arabic"/>
                <w:sz w:val="20"/>
                <w:szCs w:val="22"/>
                <w:rtl/>
              </w:rPr>
              <w:t>بين</w:t>
            </w:r>
            <w:r w:rsidRPr="004969DC">
              <w:rPr>
                <w:rFonts w:cs="Simplified Arabic" w:hint="cs"/>
                <w:sz w:val="20"/>
                <w:szCs w:val="22"/>
                <w:rtl/>
              </w:rPr>
              <w:t xml:space="preserve"> شهري كانون الثاني/</w:t>
            </w:r>
            <w:r w:rsidRPr="004969DC">
              <w:rPr>
                <w:rFonts w:cs="Simplified Arabic"/>
                <w:sz w:val="20"/>
                <w:szCs w:val="22"/>
                <w:rtl/>
              </w:rPr>
              <w:t>يناير و</w:t>
            </w:r>
            <w:r w:rsidRPr="004969DC">
              <w:rPr>
                <w:rFonts w:cs="Simplified Arabic" w:hint="cs"/>
                <w:sz w:val="20"/>
                <w:szCs w:val="22"/>
                <w:rtl/>
              </w:rPr>
              <w:t>آذار/</w:t>
            </w:r>
            <w:r w:rsidRPr="004969DC">
              <w:rPr>
                <w:rFonts w:cs="Simplified Arabic"/>
                <w:sz w:val="20"/>
                <w:szCs w:val="22"/>
                <w:rtl/>
              </w:rPr>
              <w:t xml:space="preserve">مارس من كل عام </w:t>
            </w:r>
            <w:r w:rsidRPr="004969DC">
              <w:rPr>
                <w:rFonts w:cs="Simplified Arabic" w:hint="cs"/>
                <w:sz w:val="20"/>
                <w:szCs w:val="22"/>
                <w:rtl/>
              </w:rPr>
              <w:t>للولادة</w:t>
            </w:r>
            <w:r w:rsidRPr="004969DC">
              <w:rPr>
                <w:rFonts w:cs="Simplified Arabic"/>
                <w:sz w:val="20"/>
                <w:szCs w:val="22"/>
                <w:rtl/>
              </w:rPr>
              <w:t xml:space="preserve"> و</w:t>
            </w:r>
            <w:r w:rsidRPr="004969DC">
              <w:rPr>
                <w:rFonts w:cs="Simplified Arabic" w:hint="cs"/>
                <w:sz w:val="20"/>
                <w:szCs w:val="22"/>
                <w:rtl/>
              </w:rPr>
              <w:t>حضانة الفقمات الصغيرة</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المنطقة مهمة أيضا</w:t>
            </w:r>
            <w:r w:rsidRPr="004969DC">
              <w:rPr>
                <w:rFonts w:cs="Simplified Arabic" w:hint="cs"/>
                <w:sz w:val="20"/>
                <w:szCs w:val="22"/>
                <w:rtl/>
              </w:rPr>
              <w:t>ً</w:t>
            </w:r>
            <w:r w:rsidRPr="004969DC">
              <w:rPr>
                <w:rFonts w:cs="Simplified Arabic"/>
                <w:sz w:val="20"/>
                <w:szCs w:val="22"/>
                <w:rtl/>
              </w:rPr>
              <w:t xml:space="preserve"> لجميع أنواع </w:t>
            </w:r>
            <w:r w:rsidRPr="004969DC">
              <w:rPr>
                <w:rFonts w:cs="Simplified Arabic" w:hint="cs"/>
                <w:sz w:val="20"/>
                <w:szCs w:val="22"/>
                <w:rtl/>
              </w:rPr>
              <w:t>حفش بحر قزوين.</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H</w:t>
            </w:r>
          </w:p>
        </w:tc>
        <w:tc>
          <w:tcPr>
            <w:tcW w:w="506" w:type="dxa"/>
            <w:vAlign w:val="center"/>
          </w:tcPr>
          <w:p w:rsidR="000A5DEA" w:rsidRPr="00E2695B" w:rsidRDefault="000A5DEA" w:rsidP="00094717">
            <w:pPr>
              <w:rPr>
                <w:sz w:val="20"/>
                <w:szCs w:val="22"/>
              </w:rPr>
            </w:pPr>
            <w:r w:rsidRPr="00E2695B">
              <w:rPr>
                <w:sz w:val="20"/>
                <w:szCs w:val="22"/>
              </w:rPr>
              <w:t>-</w:t>
            </w:r>
          </w:p>
        </w:tc>
        <w:tc>
          <w:tcPr>
            <w:tcW w:w="506" w:type="dxa"/>
            <w:vAlign w:val="center"/>
          </w:tcPr>
          <w:p w:rsidR="000A5DEA" w:rsidRPr="00E2695B" w:rsidRDefault="000A5DEA" w:rsidP="00094717">
            <w:pPr>
              <w:rPr>
                <w:sz w:val="20"/>
                <w:szCs w:val="22"/>
              </w:rPr>
            </w:pPr>
            <w:r w:rsidRPr="00E2695B">
              <w:rPr>
                <w:sz w:val="20"/>
                <w:szCs w:val="22"/>
              </w:rPr>
              <w:t>-</w:t>
            </w:r>
          </w:p>
        </w:tc>
        <w:tc>
          <w:tcPr>
            <w:tcW w:w="507" w:type="dxa"/>
            <w:vAlign w:val="center"/>
          </w:tcPr>
          <w:p w:rsidR="000A5DEA" w:rsidRPr="00E2695B" w:rsidRDefault="000A5DEA" w:rsidP="00094717">
            <w:pPr>
              <w:rPr>
                <w:sz w:val="20"/>
                <w:szCs w:val="22"/>
              </w:rPr>
            </w:pPr>
            <w:r w:rsidRPr="00E2695B">
              <w:rPr>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fr-CH"/>
              </w:rPr>
            </w:pPr>
            <w:bookmarkStart w:id="51" w:name="_Toc524295484"/>
            <w:bookmarkStart w:id="52" w:name="_Toc6071564"/>
            <w:r w:rsidRPr="004969DC">
              <w:rPr>
                <w:rFonts w:eastAsia="MS Mincho" w:hint="cs"/>
                <w:bCs/>
                <w:sz w:val="20"/>
                <w:szCs w:val="22"/>
                <w:rtl/>
              </w:rPr>
              <w:t xml:space="preserve">21- </w:t>
            </w:r>
            <w:r w:rsidRPr="004969DC">
              <w:rPr>
                <w:rFonts w:eastAsia="MS Mincho"/>
                <w:bCs/>
                <w:sz w:val="20"/>
                <w:szCs w:val="22"/>
                <w:rtl/>
              </w:rPr>
              <w:t>خليج كينديرلي</w:t>
            </w:r>
            <w:bookmarkEnd w:id="51"/>
            <w:bookmarkEnd w:id="52"/>
          </w:p>
          <w:p w:rsidR="000A5DEA" w:rsidRPr="004969DC" w:rsidRDefault="000A5DEA" w:rsidP="00CD26C5">
            <w:pPr>
              <w:pStyle w:val="ListParagraph"/>
              <w:numPr>
                <w:ilvl w:val="0"/>
                <w:numId w:val="139"/>
              </w:numPr>
              <w:bidi/>
              <w:spacing w:after="0" w:line="204" w:lineRule="auto"/>
              <w:ind w:left="332" w:hanging="332"/>
              <w:rPr>
                <w:rFonts w:cs="Simplified Arabic"/>
                <w:sz w:val="20"/>
                <w:szCs w:val="22"/>
                <w:lang w:val="fr-CH"/>
              </w:rPr>
            </w:pPr>
            <w:r w:rsidRPr="004969DC">
              <w:rPr>
                <w:rFonts w:cs="Simplified Arabic"/>
                <w:sz w:val="20"/>
                <w:szCs w:val="22"/>
                <w:rtl/>
              </w:rPr>
              <w:t xml:space="preserve">الموقع: يقع خليج </w:t>
            </w:r>
            <w:r w:rsidRPr="004969DC">
              <w:rPr>
                <w:rFonts w:cs="Simplified Arabic" w:hint="cs"/>
                <w:sz w:val="20"/>
                <w:szCs w:val="22"/>
                <w:rtl/>
              </w:rPr>
              <w:t>كينديرلي</w:t>
            </w:r>
            <w:r w:rsidRPr="004969DC">
              <w:rPr>
                <w:rFonts w:cs="Simplified Arabic"/>
                <w:sz w:val="20"/>
                <w:szCs w:val="22"/>
                <w:rtl/>
              </w:rPr>
              <w:t xml:space="preserve"> في منطقة المياه العميقة</w:t>
            </w:r>
            <w:r w:rsidRPr="004969DC">
              <w:rPr>
                <w:rFonts w:cs="Simplified Arabic" w:hint="cs"/>
                <w:sz w:val="20"/>
                <w:szCs w:val="22"/>
                <w:rtl/>
              </w:rPr>
              <w:t xml:space="preserve"> الواقعة</w:t>
            </w:r>
            <w:r w:rsidRPr="004969DC">
              <w:rPr>
                <w:rFonts w:cs="Simplified Arabic"/>
                <w:sz w:val="20"/>
                <w:szCs w:val="22"/>
                <w:rtl/>
              </w:rPr>
              <w:t xml:space="preserve"> وسط </w:t>
            </w:r>
            <w:r w:rsidRPr="004969DC">
              <w:rPr>
                <w:rFonts w:cs="Simplified Arabic" w:hint="cs"/>
                <w:sz w:val="20"/>
                <w:szCs w:val="22"/>
                <w:rtl/>
              </w:rPr>
              <w:t>بحر قزوين</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في الجزء الشرقي من خليج </w:t>
            </w:r>
            <w:r w:rsidRPr="004969DC">
              <w:rPr>
                <w:rFonts w:cs="Simplified Arabic" w:hint="cs"/>
                <w:sz w:val="20"/>
                <w:szCs w:val="22"/>
                <w:rtl/>
              </w:rPr>
              <w:t>كازاخ،</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يبلغ طوله 23 ك</w:t>
            </w:r>
            <w:r w:rsidRPr="004969DC">
              <w:rPr>
                <w:rFonts w:cs="Simplified Arabic" w:hint="cs"/>
                <w:sz w:val="20"/>
                <w:szCs w:val="22"/>
                <w:rtl/>
              </w:rPr>
              <w:t>يلومتراً</w:t>
            </w:r>
            <w:r w:rsidRPr="004969DC">
              <w:rPr>
                <w:rFonts w:cs="Simplified Arabic"/>
                <w:sz w:val="20"/>
                <w:szCs w:val="22"/>
                <w:rtl/>
              </w:rPr>
              <w:t xml:space="preserve"> ويبلغ </w:t>
            </w:r>
            <w:r w:rsidRPr="004969DC">
              <w:rPr>
                <w:rFonts w:cs="Simplified Arabic" w:hint="cs"/>
                <w:sz w:val="20"/>
                <w:szCs w:val="22"/>
                <w:rtl/>
              </w:rPr>
              <w:t>أقصى عرض له</w:t>
            </w:r>
            <w:r w:rsidRPr="004969DC">
              <w:rPr>
                <w:rFonts w:cs="Simplified Arabic"/>
                <w:sz w:val="20"/>
                <w:szCs w:val="22"/>
                <w:rtl/>
              </w:rPr>
              <w:t xml:space="preserve"> 1</w:t>
            </w:r>
            <w:r w:rsidRPr="004969DC">
              <w:rPr>
                <w:rFonts w:cs="Simplified Arabic" w:hint="cs"/>
                <w:sz w:val="20"/>
                <w:szCs w:val="22"/>
                <w:rtl/>
              </w:rPr>
              <w:t>,</w:t>
            </w:r>
            <w:r w:rsidRPr="004969DC">
              <w:rPr>
                <w:rFonts w:cs="Simplified Arabic"/>
                <w:sz w:val="20"/>
                <w:szCs w:val="22"/>
                <w:rtl/>
              </w:rPr>
              <w:t>5 ك</w:t>
            </w:r>
            <w:r w:rsidRPr="004969DC">
              <w:rPr>
                <w:rFonts w:cs="Simplified Arabic" w:hint="cs"/>
                <w:sz w:val="20"/>
                <w:szCs w:val="22"/>
                <w:rtl/>
              </w:rPr>
              <w:t>يلومتراً</w:t>
            </w:r>
            <w:r w:rsidRPr="004969DC">
              <w:rPr>
                <w:rFonts w:cs="Simplified Arabic"/>
                <w:sz w:val="20"/>
                <w:szCs w:val="22"/>
                <w:rtl/>
              </w:rPr>
              <w:t xml:space="preserve"> في ال</w:t>
            </w:r>
            <w:r w:rsidRPr="004969DC">
              <w:rPr>
                <w:rFonts w:cs="Simplified Arabic" w:hint="cs"/>
                <w:sz w:val="20"/>
                <w:szCs w:val="22"/>
                <w:rtl/>
              </w:rPr>
              <w:t>وسط</w:t>
            </w:r>
            <w:r w:rsidRPr="004969DC">
              <w:rPr>
                <w:rFonts w:cs="Simplified Arabic"/>
                <w:sz w:val="20"/>
                <w:szCs w:val="22"/>
                <w:rtl/>
              </w:rPr>
              <w:t xml:space="preserve">. </w:t>
            </w:r>
            <w:r w:rsidRPr="004969DC">
              <w:rPr>
                <w:rFonts w:cs="Simplified Arabic" w:hint="cs"/>
                <w:sz w:val="20"/>
                <w:szCs w:val="22"/>
                <w:rtl/>
              </w:rPr>
              <w:t>ويرتبط اللسان الساحلي</w:t>
            </w:r>
            <w:r w:rsidRPr="004969DC">
              <w:rPr>
                <w:rFonts w:cs="Simplified Arabic"/>
                <w:sz w:val="20"/>
                <w:szCs w:val="22"/>
                <w:rtl/>
              </w:rPr>
              <w:t xml:space="preserve"> بالبر الرئيسي في الجنوب الشرقي و</w:t>
            </w:r>
            <w:r w:rsidRPr="004969DC">
              <w:rPr>
                <w:rFonts w:cs="Simplified Arabic" w:hint="cs"/>
                <w:sz w:val="20"/>
                <w:szCs w:val="22"/>
                <w:rtl/>
              </w:rPr>
              <w:t>يمتد</w:t>
            </w:r>
            <w:r w:rsidRPr="004969DC">
              <w:rPr>
                <w:rFonts w:cs="Simplified Arabic"/>
                <w:sz w:val="20"/>
                <w:szCs w:val="22"/>
                <w:rtl/>
              </w:rPr>
              <w:t xml:space="preserve"> في </w:t>
            </w:r>
            <w:r w:rsidRPr="004969DC">
              <w:rPr>
                <w:rFonts w:cs="Simplified Arabic" w:hint="cs"/>
                <w:sz w:val="20"/>
                <w:szCs w:val="22"/>
                <w:rtl/>
              </w:rPr>
              <w:t>ال</w:t>
            </w:r>
            <w:r w:rsidRPr="004969DC">
              <w:rPr>
                <w:rFonts w:cs="Simplified Arabic"/>
                <w:sz w:val="20"/>
                <w:szCs w:val="22"/>
                <w:rtl/>
              </w:rPr>
              <w:t xml:space="preserve">اتجاه </w:t>
            </w:r>
            <w:r w:rsidRPr="004969DC">
              <w:rPr>
                <w:rFonts w:cs="Simplified Arabic" w:hint="cs"/>
                <w:sz w:val="20"/>
                <w:szCs w:val="22"/>
                <w:rtl/>
              </w:rPr>
              <w:t>ال</w:t>
            </w:r>
            <w:r w:rsidRPr="004969DC">
              <w:rPr>
                <w:rFonts w:cs="Simplified Arabic"/>
                <w:sz w:val="20"/>
                <w:szCs w:val="22"/>
                <w:rtl/>
              </w:rPr>
              <w:t xml:space="preserve">شمالي </w:t>
            </w:r>
            <w:r w:rsidRPr="004969DC">
              <w:rPr>
                <w:rFonts w:cs="Simplified Arabic" w:hint="cs"/>
                <w:sz w:val="20"/>
                <w:szCs w:val="22"/>
                <w:rtl/>
              </w:rPr>
              <w:t>ال</w:t>
            </w:r>
            <w:r w:rsidRPr="004969DC">
              <w:rPr>
                <w:rFonts w:cs="Simplified Arabic"/>
                <w:sz w:val="20"/>
                <w:szCs w:val="22"/>
                <w:rtl/>
              </w:rPr>
              <w:t xml:space="preserve">غربي </w:t>
            </w:r>
            <w:r w:rsidRPr="004969DC">
              <w:rPr>
                <w:rFonts w:cs="Simplified Arabic" w:hint="cs"/>
                <w:sz w:val="20"/>
                <w:szCs w:val="22"/>
                <w:rtl/>
              </w:rPr>
              <w:t>ليشكل</w:t>
            </w:r>
            <w:r w:rsidRPr="004969DC">
              <w:rPr>
                <w:rFonts w:cs="Simplified Arabic"/>
                <w:sz w:val="20"/>
                <w:szCs w:val="22"/>
                <w:rtl/>
              </w:rPr>
              <w:t xml:space="preserve"> خليج </w:t>
            </w:r>
            <w:r w:rsidRPr="004969DC">
              <w:rPr>
                <w:rFonts w:cs="Simplified Arabic" w:hint="cs"/>
                <w:sz w:val="20"/>
                <w:szCs w:val="22"/>
                <w:rtl/>
              </w:rPr>
              <w:t>كينديرلي</w:t>
            </w:r>
            <w:r w:rsidRPr="004969DC">
              <w:rPr>
                <w:rFonts w:cs="Simplified Arabic"/>
                <w:sz w:val="20"/>
                <w:szCs w:val="22"/>
                <w:rtl/>
              </w:rPr>
              <w:t>.</w:t>
            </w:r>
            <w:r w:rsidRPr="004969DC">
              <w:rPr>
                <w:rFonts w:cs="Simplified Arabic" w:hint="cs"/>
                <w:sz w:val="20"/>
                <w:szCs w:val="22"/>
                <w:rtl/>
              </w:rPr>
              <w:t xml:space="preserve"> ويضم اللسان الساحلي</w:t>
            </w:r>
            <w:r w:rsidRPr="004969DC">
              <w:rPr>
                <w:rFonts w:cs="Simplified Arabic"/>
                <w:sz w:val="20"/>
                <w:szCs w:val="22"/>
                <w:rtl/>
              </w:rPr>
              <w:t xml:space="preserve"> في الطرف الشمالي الغربي </w:t>
            </w:r>
            <w:r w:rsidRPr="004969DC">
              <w:rPr>
                <w:rFonts w:cs="Simplified Arabic" w:hint="cs"/>
                <w:sz w:val="20"/>
                <w:szCs w:val="22"/>
                <w:rtl/>
              </w:rPr>
              <w:t>خوراً</w:t>
            </w:r>
            <w:r w:rsidRPr="004969DC">
              <w:rPr>
                <w:rFonts w:cs="Simplified Arabic"/>
                <w:sz w:val="20"/>
                <w:szCs w:val="22"/>
                <w:rtl/>
              </w:rPr>
              <w:t xml:space="preserve"> صغير</w:t>
            </w:r>
            <w:r w:rsidRPr="004969DC">
              <w:rPr>
                <w:rFonts w:cs="Simplified Arabic" w:hint="cs"/>
                <w:sz w:val="20"/>
                <w:szCs w:val="22"/>
                <w:rtl/>
              </w:rPr>
              <w:t>اً</w:t>
            </w:r>
            <w:r w:rsidRPr="004969DC">
              <w:rPr>
                <w:rFonts w:cs="Simplified Arabic"/>
                <w:sz w:val="20"/>
                <w:szCs w:val="22"/>
                <w:rtl/>
              </w:rPr>
              <w:t xml:space="preserve">. </w:t>
            </w:r>
            <w:r w:rsidRPr="004969DC">
              <w:rPr>
                <w:rFonts w:cs="Simplified Arabic" w:hint="cs"/>
                <w:sz w:val="20"/>
                <w:szCs w:val="22"/>
                <w:rtl/>
              </w:rPr>
              <w:t>ويتضمن</w:t>
            </w:r>
            <w:r w:rsidRPr="004969DC">
              <w:rPr>
                <w:rFonts w:cs="Simplified Arabic"/>
                <w:sz w:val="20"/>
                <w:szCs w:val="22"/>
                <w:rtl/>
              </w:rPr>
              <w:t xml:space="preserve"> الجزء الشمالي الغربي من الخليج جزيرة</w:t>
            </w:r>
            <w:r w:rsidRPr="004969DC">
              <w:rPr>
                <w:rFonts w:cs="Simplified Arabic" w:hint="cs"/>
                <w:sz w:val="20"/>
                <w:szCs w:val="22"/>
                <w:rtl/>
              </w:rPr>
              <w:t xml:space="preserve"> قد</w:t>
            </w:r>
            <w:r w:rsidRPr="004969DC">
              <w:rPr>
                <w:rFonts w:cs="Simplified Arabic"/>
                <w:sz w:val="20"/>
                <w:szCs w:val="22"/>
                <w:rtl/>
              </w:rPr>
              <w:t xml:space="preserve"> تصل مساحتها </w:t>
            </w:r>
            <w:r w:rsidRPr="004969DC">
              <w:rPr>
                <w:rFonts w:cs="Simplified Arabic"/>
                <w:spacing w:val="-8"/>
                <w:sz w:val="20"/>
                <w:szCs w:val="22"/>
                <w:rtl/>
              </w:rPr>
              <w:t>إلى 0</w:t>
            </w:r>
            <w:r w:rsidRPr="004969DC">
              <w:rPr>
                <w:rFonts w:cs="Simplified Arabic" w:hint="cs"/>
                <w:spacing w:val="-8"/>
                <w:sz w:val="20"/>
                <w:szCs w:val="22"/>
                <w:rtl/>
              </w:rPr>
              <w:t>,</w:t>
            </w:r>
            <w:r w:rsidRPr="004969DC">
              <w:rPr>
                <w:rFonts w:cs="Simplified Arabic"/>
                <w:spacing w:val="-8"/>
                <w:sz w:val="20"/>
                <w:szCs w:val="22"/>
                <w:rtl/>
              </w:rPr>
              <w:t xml:space="preserve">1 كيلومتر مربع، ولكن يمكن تقسيمها إلى عدة جزر أصغر </w:t>
            </w:r>
            <w:r w:rsidRPr="004969DC">
              <w:rPr>
                <w:rFonts w:cs="Simplified Arabic" w:hint="cs"/>
                <w:spacing w:val="-8"/>
                <w:sz w:val="20"/>
                <w:szCs w:val="22"/>
                <w:rtl/>
              </w:rPr>
              <w:t xml:space="preserve">على حسب </w:t>
            </w:r>
            <w:r w:rsidRPr="004969DC">
              <w:rPr>
                <w:rFonts w:cs="Simplified Arabic"/>
                <w:spacing w:val="-8"/>
                <w:sz w:val="20"/>
                <w:szCs w:val="22"/>
                <w:rtl/>
              </w:rPr>
              <w:t>ظواهر</w:t>
            </w:r>
            <w:r w:rsidRPr="004969DC">
              <w:rPr>
                <w:rFonts w:cs="Simplified Arabic" w:hint="cs"/>
                <w:spacing w:val="-8"/>
                <w:sz w:val="20"/>
                <w:szCs w:val="22"/>
                <w:rtl/>
              </w:rPr>
              <w:t xml:space="preserve"> هبوب</w:t>
            </w:r>
            <w:r w:rsidRPr="004969DC">
              <w:rPr>
                <w:rFonts w:cs="Simplified Arabic"/>
                <w:spacing w:val="-8"/>
                <w:sz w:val="20"/>
                <w:szCs w:val="22"/>
                <w:rtl/>
              </w:rPr>
              <w:t xml:space="preserve"> الرياح</w:t>
            </w:r>
            <w:r w:rsidRPr="004969DC">
              <w:rPr>
                <w:rFonts w:cs="Simplified Arabic"/>
                <w:spacing w:val="-8"/>
                <w:sz w:val="20"/>
                <w:szCs w:val="22"/>
                <w:lang w:val="fr-CH"/>
              </w:rPr>
              <w:t xml:space="preserve">. </w:t>
            </w:r>
          </w:p>
          <w:p w:rsidR="000A5DEA" w:rsidRPr="004969DC" w:rsidRDefault="000A5DEA" w:rsidP="00CD26C5">
            <w:pPr>
              <w:pStyle w:val="ListParagraph"/>
              <w:numPr>
                <w:ilvl w:val="0"/>
                <w:numId w:val="139"/>
              </w:numPr>
              <w:bidi/>
              <w:spacing w:after="0" w:line="204" w:lineRule="auto"/>
              <w:ind w:left="332" w:hanging="332"/>
              <w:rPr>
                <w:rFonts w:cs="Simplified Arabic"/>
                <w:sz w:val="20"/>
                <w:szCs w:val="22"/>
                <w:lang w:val="fr-CH"/>
              </w:rPr>
            </w:pPr>
            <w:r w:rsidRPr="004969DC">
              <w:rPr>
                <w:rFonts w:cs="Simplified Arabic" w:hint="cs"/>
                <w:sz w:val="20"/>
                <w:szCs w:val="22"/>
                <w:rtl/>
              </w:rPr>
              <w:t xml:space="preserve">فقمة </w:t>
            </w:r>
            <w:r w:rsidRPr="004969DC">
              <w:rPr>
                <w:rFonts w:cs="Simplified Arabic"/>
                <w:sz w:val="20"/>
                <w:szCs w:val="22"/>
                <w:rtl/>
              </w:rPr>
              <w:t>بحر قزوين (</w:t>
            </w:r>
            <w:r w:rsidRPr="004969DC">
              <w:rPr>
                <w:rFonts w:cs="Simplified Arabic"/>
                <w:i/>
                <w:iCs/>
                <w:sz w:val="20"/>
                <w:szCs w:val="22"/>
                <w:lang w:val="fr-CH"/>
              </w:rPr>
              <w:t>Phoca caspica</w:t>
            </w:r>
            <w:r w:rsidRPr="004969DC">
              <w:rPr>
                <w:rFonts w:cs="Simplified Arabic"/>
                <w:sz w:val="20"/>
                <w:szCs w:val="22"/>
                <w:rtl/>
              </w:rPr>
              <w:t xml:space="preserve">) </w:t>
            </w:r>
            <w:r w:rsidRPr="004969DC">
              <w:rPr>
                <w:rFonts w:cs="Simplified Arabic" w:hint="cs"/>
                <w:sz w:val="20"/>
                <w:szCs w:val="22"/>
                <w:rtl/>
              </w:rPr>
              <w:t>حيوان مستوطن</w:t>
            </w:r>
            <w:r w:rsidRPr="004969DC">
              <w:rPr>
                <w:rFonts w:cs="Simplified Arabic"/>
                <w:sz w:val="20"/>
                <w:szCs w:val="22"/>
                <w:rtl/>
              </w:rPr>
              <w:t xml:space="preserve"> في بحر قزوين</w:t>
            </w:r>
            <w:r w:rsidRPr="004969DC">
              <w:rPr>
                <w:rFonts w:cs="Simplified Arabic" w:hint="cs"/>
                <w:sz w:val="20"/>
                <w:szCs w:val="22"/>
                <w:rtl/>
              </w:rPr>
              <w:t>،</w:t>
            </w:r>
            <w:r w:rsidRPr="004969DC">
              <w:rPr>
                <w:rFonts w:cs="Simplified Arabic"/>
                <w:sz w:val="20"/>
                <w:szCs w:val="22"/>
                <w:rtl/>
              </w:rPr>
              <w:t xml:space="preserve"> وه</w:t>
            </w:r>
            <w:r w:rsidRPr="004969DC">
              <w:rPr>
                <w:rFonts w:cs="Simplified Arabic" w:hint="cs"/>
                <w:sz w:val="20"/>
                <w:szCs w:val="22"/>
                <w:rtl/>
              </w:rPr>
              <w:t>ي</w:t>
            </w:r>
            <w:r w:rsidRPr="004969DC">
              <w:rPr>
                <w:rFonts w:cs="Simplified Arabic"/>
                <w:sz w:val="20"/>
                <w:szCs w:val="22"/>
                <w:rtl/>
              </w:rPr>
              <w:t xml:space="preserve"> أيضا</w:t>
            </w:r>
            <w:r w:rsidRPr="004969DC">
              <w:rPr>
                <w:rFonts w:cs="Simplified Arabic" w:hint="cs"/>
                <w:sz w:val="20"/>
                <w:szCs w:val="22"/>
                <w:rtl/>
              </w:rPr>
              <w:t>ً</w:t>
            </w:r>
            <w:r w:rsidRPr="004969DC">
              <w:rPr>
                <w:rFonts w:cs="Simplified Arabic"/>
                <w:sz w:val="20"/>
                <w:szCs w:val="22"/>
                <w:rtl/>
              </w:rPr>
              <w:t xml:space="preserve"> </w:t>
            </w:r>
            <w:r w:rsidRPr="004969DC">
              <w:rPr>
                <w:rFonts w:cs="Simplified Arabic" w:hint="cs"/>
                <w:sz w:val="20"/>
                <w:szCs w:val="22"/>
                <w:rtl/>
              </w:rPr>
              <w:t>الحيوان</w:t>
            </w:r>
            <w:r w:rsidRPr="004969DC">
              <w:rPr>
                <w:rFonts w:cs="Simplified Arabic"/>
                <w:sz w:val="20"/>
                <w:szCs w:val="22"/>
                <w:rtl/>
              </w:rPr>
              <w:t xml:space="preserve"> الثديي الوحيد</w:t>
            </w:r>
            <w:r w:rsidRPr="004969DC">
              <w:rPr>
                <w:rFonts w:cs="Simplified Arabic" w:hint="cs"/>
                <w:sz w:val="20"/>
                <w:szCs w:val="22"/>
                <w:rtl/>
              </w:rPr>
              <w:t xml:space="preserve"> في هذا البحر</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في عام 2008، غير الاتحاد الدولي لحفظ الطبيعة وضع </w:t>
            </w:r>
            <w:r w:rsidRPr="004969DC">
              <w:rPr>
                <w:rFonts w:cs="Simplified Arabic" w:hint="cs"/>
                <w:sz w:val="20"/>
                <w:szCs w:val="22"/>
                <w:rtl/>
              </w:rPr>
              <w:t>فقمة بحر قزوين</w:t>
            </w:r>
            <w:r w:rsidRPr="004969DC">
              <w:rPr>
                <w:rFonts w:cs="Simplified Arabic"/>
                <w:sz w:val="20"/>
                <w:szCs w:val="22"/>
                <w:rtl/>
              </w:rPr>
              <w:t xml:space="preserve"> من</w:t>
            </w:r>
            <w:r w:rsidRPr="004969DC">
              <w:rPr>
                <w:rFonts w:cs="Simplified Arabic" w:hint="cs"/>
                <w:sz w:val="20"/>
                <w:szCs w:val="22"/>
                <w:rtl/>
              </w:rPr>
              <w:t xml:space="preserve"> كائن حي</w:t>
            </w:r>
            <w:r w:rsidRPr="004969DC">
              <w:rPr>
                <w:rFonts w:cs="Simplified Arabic"/>
                <w:sz w:val="20"/>
                <w:szCs w:val="22"/>
                <w:rtl/>
              </w:rPr>
              <w:t xml:space="preserve"> "</w:t>
            </w:r>
            <w:r w:rsidRPr="004969DC">
              <w:rPr>
                <w:rFonts w:cs="Simplified Arabic" w:hint="cs"/>
                <w:sz w:val="20"/>
                <w:szCs w:val="22"/>
                <w:rtl/>
              </w:rPr>
              <w:t>قابل للتأثر</w:t>
            </w:r>
            <w:r w:rsidRPr="004969DC">
              <w:rPr>
                <w:rFonts w:cs="Simplified Arabic"/>
                <w:sz w:val="20"/>
                <w:szCs w:val="22"/>
                <w:rtl/>
              </w:rPr>
              <w:t xml:space="preserve">" إلى "معرض للخطر". وعلى </w:t>
            </w:r>
            <w:r w:rsidRPr="004969DC">
              <w:rPr>
                <w:rFonts w:cs="Simplified Arabic" w:hint="cs"/>
                <w:sz w:val="20"/>
                <w:szCs w:val="22"/>
                <w:rtl/>
              </w:rPr>
              <w:t xml:space="preserve">عكس </w:t>
            </w:r>
            <w:r w:rsidRPr="004969DC">
              <w:rPr>
                <w:rFonts w:cs="Simplified Arabic"/>
                <w:sz w:val="20"/>
                <w:szCs w:val="22"/>
                <w:rtl/>
              </w:rPr>
              <w:t>الموائل</w:t>
            </w:r>
            <w:r w:rsidRPr="004969DC">
              <w:rPr>
                <w:rFonts w:cs="Simplified Arabic" w:hint="cs"/>
                <w:sz w:val="20"/>
                <w:szCs w:val="22"/>
                <w:rtl/>
              </w:rPr>
              <w:t xml:space="preserve"> الواقعة</w:t>
            </w:r>
            <w:r w:rsidRPr="004969DC">
              <w:rPr>
                <w:rFonts w:cs="Simplified Arabic"/>
                <w:sz w:val="20"/>
                <w:szCs w:val="22"/>
                <w:rtl/>
              </w:rPr>
              <w:t xml:space="preserve"> في شمال بحر قزوين، وفي الجزر الواقعة على طرف </w:t>
            </w:r>
            <w:r w:rsidRPr="004969DC">
              <w:rPr>
                <w:rFonts w:cs="Simplified Arabic" w:hint="cs"/>
                <w:sz w:val="20"/>
                <w:szCs w:val="22"/>
                <w:rtl/>
              </w:rPr>
              <w:t>لسان</w:t>
            </w:r>
            <w:r w:rsidRPr="004969DC">
              <w:rPr>
                <w:rFonts w:cs="Simplified Arabic"/>
                <w:sz w:val="20"/>
                <w:szCs w:val="22"/>
                <w:rtl/>
              </w:rPr>
              <w:t xml:space="preserve"> ك</w:t>
            </w:r>
            <w:r w:rsidRPr="004969DC">
              <w:rPr>
                <w:rFonts w:cs="Simplified Arabic" w:hint="cs"/>
                <w:sz w:val="20"/>
                <w:szCs w:val="22"/>
                <w:rtl/>
              </w:rPr>
              <w:t>ي</w:t>
            </w:r>
            <w:r w:rsidRPr="004969DC">
              <w:rPr>
                <w:rFonts w:cs="Simplified Arabic"/>
                <w:sz w:val="20"/>
                <w:szCs w:val="22"/>
                <w:rtl/>
              </w:rPr>
              <w:t>ند</w:t>
            </w:r>
            <w:r w:rsidRPr="004969DC">
              <w:rPr>
                <w:rFonts w:cs="Simplified Arabic" w:hint="cs"/>
                <w:sz w:val="20"/>
                <w:szCs w:val="22"/>
                <w:rtl/>
              </w:rPr>
              <w:t>ي</w:t>
            </w:r>
            <w:r w:rsidRPr="004969DC">
              <w:rPr>
                <w:rFonts w:cs="Simplified Arabic"/>
                <w:sz w:val="20"/>
                <w:szCs w:val="22"/>
                <w:rtl/>
              </w:rPr>
              <w:t>رلي</w:t>
            </w:r>
            <w:r w:rsidRPr="004969DC">
              <w:rPr>
                <w:rFonts w:cs="Simplified Arabic" w:hint="cs"/>
                <w:sz w:val="20"/>
                <w:szCs w:val="22"/>
                <w:rtl/>
              </w:rPr>
              <w:t xml:space="preserve"> الساحل</w:t>
            </w:r>
            <w:r w:rsidRPr="004969DC">
              <w:rPr>
                <w:rFonts w:cs="Simplified Arabic"/>
                <w:sz w:val="20"/>
                <w:szCs w:val="22"/>
                <w:rtl/>
              </w:rPr>
              <w:t xml:space="preserve"> في خليج كازاخستان، لا يكون لظواهر </w:t>
            </w:r>
            <w:r w:rsidRPr="004969DC">
              <w:rPr>
                <w:rFonts w:cs="Simplified Arabic" w:hint="cs"/>
                <w:sz w:val="20"/>
                <w:szCs w:val="22"/>
                <w:rtl/>
              </w:rPr>
              <w:t xml:space="preserve">هبوب </w:t>
            </w:r>
            <w:r w:rsidRPr="004969DC">
              <w:rPr>
                <w:rFonts w:cs="Simplified Arabic"/>
                <w:sz w:val="20"/>
                <w:szCs w:val="22"/>
                <w:rtl/>
              </w:rPr>
              <w:t xml:space="preserve">الرياح تأثير كبير على </w:t>
            </w:r>
            <w:r w:rsidRPr="004969DC">
              <w:rPr>
                <w:rFonts w:cs="Simplified Arabic" w:hint="cs"/>
                <w:sz w:val="20"/>
                <w:szCs w:val="22"/>
                <w:rtl/>
              </w:rPr>
              <w:t>تنقل المستوطنات</w:t>
            </w:r>
            <w:r w:rsidRPr="004969DC">
              <w:rPr>
                <w:rFonts w:cs="Simplified Arabic"/>
                <w:sz w:val="20"/>
                <w:szCs w:val="22"/>
                <w:rtl/>
              </w:rPr>
              <w:t xml:space="preserve">، وذلك بسبب </w:t>
            </w:r>
            <w:r w:rsidRPr="004969DC">
              <w:rPr>
                <w:rFonts w:cs="Simplified Arabic" w:hint="cs"/>
                <w:sz w:val="20"/>
                <w:szCs w:val="22"/>
                <w:rtl/>
              </w:rPr>
              <w:t>وقوع هذه</w:t>
            </w:r>
            <w:r w:rsidRPr="004969DC">
              <w:rPr>
                <w:rFonts w:cs="Simplified Arabic"/>
                <w:sz w:val="20"/>
                <w:szCs w:val="22"/>
                <w:rtl/>
              </w:rPr>
              <w:t xml:space="preserve"> الجزر في منطقة أع</w:t>
            </w:r>
            <w:r w:rsidRPr="004969DC">
              <w:rPr>
                <w:rFonts w:cs="Simplified Arabic" w:hint="cs"/>
                <w:sz w:val="20"/>
                <w:szCs w:val="22"/>
                <w:rtl/>
              </w:rPr>
              <w:t xml:space="preserve">الي البحار </w:t>
            </w:r>
            <w:r w:rsidRPr="004969DC">
              <w:rPr>
                <w:rFonts w:cs="Simplified Arabic"/>
                <w:sz w:val="20"/>
                <w:szCs w:val="22"/>
                <w:rtl/>
              </w:rPr>
              <w:t xml:space="preserve">في منتصف بحر قزوين. </w:t>
            </w:r>
            <w:r w:rsidRPr="004969DC">
              <w:rPr>
                <w:rFonts w:cs="Simplified Arabic" w:hint="cs"/>
                <w:sz w:val="20"/>
                <w:szCs w:val="22"/>
                <w:rtl/>
              </w:rPr>
              <w:t>ويهيء ذلك</w:t>
            </w:r>
            <w:r w:rsidRPr="004969DC">
              <w:rPr>
                <w:rFonts w:cs="Simplified Arabic"/>
                <w:sz w:val="20"/>
                <w:szCs w:val="22"/>
                <w:rtl/>
              </w:rPr>
              <w:t xml:space="preserve"> الظروف المثالية </w:t>
            </w:r>
            <w:r w:rsidRPr="004969DC">
              <w:rPr>
                <w:rFonts w:cs="Simplified Arabic" w:hint="cs"/>
                <w:sz w:val="20"/>
                <w:szCs w:val="22"/>
                <w:rtl/>
              </w:rPr>
              <w:t>لتشكيل مستوطنات</w:t>
            </w:r>
            <w:r w:rsidRPr="004969DC">
              <w:rPr>
                <w:rFonts w:cs="Simplified Arabic"/>
                <w:sz w:val="20"/>
                <w:szCs w:val="22"/>
                <w:rtl/>
              </w:rPr>
              <w:t xml:space="preserve"> على</w:t>
            </w:r>
            <w:r w:rsidRPr="004969DC">
              <w:rPr>
                <w:rFonts w:cs="Simplified Arabic" w:hint="cs"/>
                <w:sz w:val="20"/>
                <w:szCs w:val="22"/>
                <w:rtl/>
              </w:rPr>
              <w:t xml:space="preserve"> هذه</w:t>
            </w:r>
            <w:r w:rsidRPr="004969DC">
              <w:rPr>
                <w:rFonts w:cs="Simplified Arabic"/>
                <w:sz w:val="20"/>
                <w:szCs w:val="22"/>
                <w:rtl/>
              </w:rPr>
              <w:t xml:space="preserve"> الجزر</w:t>
            </w:r>
            <w:r w:rsidRPr="004969DC">
              <w:rPr>
                <w:rFonts w:cs="Simplified Arabic"/>
                <w:sz w:val="20"/>
                <w:szCs w:val="22"/>
                <w:lang w:val="fr-CH"/>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53" w:name="_Toc524295485"/>
            <w:bookmarkStart w:id="54" w:name="_Toc6071565"/>
            <w:r w:rsidRPr="004969DC">
              <w:rPr>
                <w:rFonts w:hint="cs"/>
                <w:bCs/>
                <w:sz w:val="20"/>
                <w:szCs w:val="22"/>
                <w:rtl/>
              </w:rPr>
              <w:lastRenderedPageBreak/>
              <w:t>22- مضيق قره بوغاز غول</w:t>
            </w:r>
            <w:bookmarkEnd w:id="53"/>
            <w:bookmarkEnd w:id="54"/>
            <w:r w:rsidRPr="004969DC">
              <w:rPr>
                <w:rFonts w:hint="cs"/>
                <w:bCs/>
                <w:sz w:val="20"/>
                <w:szCs w:val="22"/>
                <w:rtl/>
              </w:rPr>
              <w:t xml:space="preserve"> </w:t>
            </w:r>
          </w:p>
          <w:p w:rsidR="000A5DEA" w:rsidRPr="004969DC" w:rsidRDefault="000A5DEA" w:rsidP="00CD26C5">
            <w:pPr>
              <w:pStyle w:val="ListParagraph"/>
              <w:numPr>
                <w:ilvl w:val="0"/>
                <w:numId w:val="140"/>
              </w:numPr>
              <w:bidi/>
              <w:spacing w:after="0" w:line="204" w:lineRule="auto"/>
              <w:ind w:left="332" w:hanging="332"/>
              <w:rPr>
                <w:rFonts w:eastAsia="MS Mincho" w:cs="Simplified Arabic"/>
                <w:sz w:val="20"/>
                <w:szCs w:val="22"/>
                <w:lang w:val="es-ES_tradnl"/>
              </w:rPr>
            </w:pPr>
            <w:r w:rsidRPr="004969DC">
              <w:rPr>
                <w:rFonts w:cs="Simplified Arabic"/>
                <w:sz w:val="20"/>
                <w:szCs w:val="22"/>
                <w:rtl/>
              </w:rPr>
              <w:t xml:space="preserve">الموقع: يقع مضيق </w:t>
            </w:r>
            <w:r w:rsidRPr="004969DC">
              <w:rPr>
                <w:rFonts w:cs="Simplified Arabic" w:hint="cs"/>
                <w:sz w:val="20"/>
                <w:szCs w:val="22"/>
                <w:rtl/>
              </w:rPr>
              <w:t>قره-</w:t>
            </w:r>
            <w:r w:rsidRPr="004969DC">
              <w:rPr>
                <w:rFonts w:cs="Simplified Arabic"/>
                <w:sz w:val="20"/>
                <w:szCs w:val="22"/>
                <w:rtl/>
              </w:rPr>
              <w:t>بوغاز-</w:t>
            </w:r>
            <w:r w:rsidRPr="004969DC">
              <w:rPr>
                <w:rFonts w:cs="Simplified Arabic" w:hint="cs"/>
                <w:sz w:val="20"/>
                <w:szCs w:val="22"/>
                <w:rtl/>
              </w:rPr>
              <w:t>غ</w:t>
            </w:r>
            <w:r w:rsidRPr="004969DC">
              <w:rPr>
                <w:rFonts w:cs="Simplified Arabic"/>
                <w:sz w:val="20"/>
                <w:szCs w:val="22"/>
                <w:rtl/>
              </w:rPr>
              <w:t>ول في</w:t>
            </w:r>
            <w:r w:rsidRPr="004969DC">
              <w:rPr>
                <w:rFonts w:cs="Simplified Arabic" w:hint="cs"/>
                <w:sz w:val="20"/>
                <w:szCs w:val="22"/>
                <w:rtl/>
              </w:rPr>
              <w:t xml:space="preserve"> شرق</w:t>
            </w:r>
            <w:r w:rsidRPr="004969DC">
              <w:rPr>
                <w:rFonts w:cs="Simplified Arabic"/>
                <w:sz w:val="20"/>
                <w:szCs w:val="22"/>
                <w:rtl/>
              </w:rPr>
              <w:t xml:space="preserve"> بحر قزوين، بين بحر قزوين وخليج كارا-بوغا</w:t>
            </w:r>
            <w:r w:rsidRPr="004969DC">
              <w:rPr>
                <w:rFonts w:cs="Simplified Arabic" w:hint="cs"/>
                <w:sz w:val="20"/>
                <w:szCs w:val="22"/>
                <w:rtl/>
              </w:rPr>
              <w:t>ز</w:t>
            </w:r>
            <w:r w:rsidRPr="004969DC">
              <w:rPr>
                <w:rFonts w:cs="Simplified Arabic"/>
                <w:sz w:val="20"/>
                <w:szCs w:val="22"/>
                <w:rtl/>
              </w:rPr>
              <w:t>-</w:t>
            </w:r>
            <w:r w:rsidRPr="004969DC">
              <w:rPr>
                <w:rFonts w:cs="Simplified Arabic" w:hint="cs"/>
                <w:sz w:val="20"/>
                <w:szCs w:val="22"/>
                <w:rtl/>
              </w:rPr>
              <w:t>غ</w:t>
            </w:r>
            <w:r w:rsidRPr="004969DC">
              <w:rPr>
                <w:rFonts w:cs="Simplified Arabic"/>
                <w:sz w:val="20"/>
                <w:szCs w:val="22"/>
                <w:rtl/>
              </w:rPr>
              <w:t xml:space="preserve">ول. </w:t>
            </w:r>
            <w:r w:rsidRPr="004969DC">
              <w:rPr>
                <w:rFonts w:cs="Simplified Arabic" w:hint="cs"/>
                <w:sz w:val="20"/>
                <w:szCs w:val="22"/>
                <w:rtl/>
              </w:rPr>
              <w:t>وتبلغ مساحة هذه المنطقة</w:t>
            </w:r>
            <w:r w:rsidRPr="004969DC">
              <w:rPr>
                <w:rFonts w:cs="Simplified Arabic"/>
                <w:sz w:val="20"/>
                <w:szCs w:val="22"/>
                <w:rtl/>
              </w:rPr>
              <w:t xml:space="preserve"> </w:t>
            </w:r>
            <w:r w:rsidRPr="004969DC">
              <w:rPr>
                <w:rFonts w:cs="Simplified Arabic" w:hint="cs"/>
                <w:sz w:val="20"/>
                <w:szCs w:val="22"/>
                <w:rtl/>
              </w:rPr>
              <w:t>108 4</w:t>
            </w:r>
            <w:r w:rsidRPr="004969DC">
              <w:rPr>
                <w:rFonts w:cs="Simplified Arabic"/>
                <w:sz w:val="20"/>
                <w:szCs w:val="22"/>
                <w:rtl/>
              </w:rPr>
              <w:t xml:space="preserve"> كيلومتر</w:t>
            </w:r>
            <w:r w:rsidRPr="004969DC">
              <w:rPr>
                <w:rFonts w:cs="Simplified Arabic" w:hint="cs"/>
                <w:sz w:val="20"/>
                <w:szCs w:val="22"/>
                <w:rtl/>
              </w:rPr>
              <w:t>ات</w:t>
            </w:r>
            <w:r w:rsidRPr="004969DC">
              <w:rPr>
                <w:rFonts w:cs="Simplified Arabic"/>
                <w:sz w:val="20"/>
                <w:szCs w:val="22"/>
                <w:rtl/>
              </w:rPr>
              <w:t xml:space="preserve"> مربع</w:t>
            </w:r>
            <w:r w:rsidRPr="004969DC">
              <w:rPr>
                <w:rFonts w:cs="Simplified Arabic" w:hint="cs"/>
                <w:sz w:val="20"/>
                <w:szCs w:val="22"/>
                <w:rtl/>
              </w:rPr>
              <w:t>ة</w:t>
            </w:r>
            <w:r w:rsidRPr="004969DC">
              <w:rPr>
                <w:rFonts w:cs="Simplified Arabic"/>
                <w:sz w:val="20"/>
                <w:szCs w:val="22"/>
                <w:rtl/>
              </w:rPr>
              <w:t>، و</w:t>
            </w:r>
            <w:r w:rsidRPr="004969DC">
              <w:rPr>
                <w:rFonts w:cs="Simplified Arabic" w:hint="cs"/>
                <w:sz w:val="20"/>
                <w:szCs w:val="22"/>
                <w:rtl/>
              </w:rPr>
              <w:t>يقع مركزها عند</w:t>
            </w:r>
            <w:r w:rsidRPr="004969DC">
              <w:rPr>
                <w:rFonts w:cs="Simplified Arabic"/>
                <w:sz w:val="20"/>
                <w:szCs w:val="22"/>
                <w:rtl/>
              </w:rPr>
              <w:t xml:space="preserve"> 41</w:t>
            </w:r>
            <w:r w:rsidRPr="004969DC">
              <w:rPr>
                <w:rFonts w:cs="Simplified Arabic" w:hint="cs"/>
                <w:sz w:val="20"/>
                <w:szCs w:val="22"/>
                <w:rtl/>
              </w:rPr>
              <w:t>,</w:t>
            </w:r>
            <w:r w:rsidRPr="004969DC">
              <w:rPr>
                <w:rFonts w:cs="Simplified Arabic"/>
                <w:sz w:val="20"/>
                <w:szCs w:val="22"/>
                <w:rtl/>
              </w:rPr>
              <w:t>093621</w:t>
            </w:r>
            <w:r w:rsidRPr="004969DC">
              <w:rPr>
                <w:rFonts w:cs="Simplified Arabic" w:hint="cs"/>
                <w:sz w:val="20"/>
                <w:szCs w:val="22"/>
                <w:rtl/>
              </w:rPr>
              <w:t xml:space="preserve"> شمالاً</w:t>
            </w:r>
            <w:r w:rsidRPr="004969DC">
              <w:rPr>
                <w:rFonts w:cs="Simplified Arabic"/>
                <w:sz w:val="20"/>
                <w:szCs w:val="22"/>
                <w:rtl/>
              </w:rPr>
              <w:t>، 52</w:t>
            </w:r>
            <w:r w:rsidRPr="004969DC">
              <w:rPr>
                <w:rFonts w:cs="Simplified Arabic" w:hint="cs"/>
                <w:sz w:val="20"/>
                <w:szCs w:val="22"/>
                <w:rtl/>
              </w:rPr>
              <w:t>,</w:t>
            </w:r>
            <w:r w:rsidRPr="004969DC">
              <w:rPr>
                <w:rFonts w:cs="Simplified Arabic"/>
                <w:sz w:val="20"/>
                <w:szCs w:val="22"/>
                <w:rtl/>
              </w:rPr>
              <w:t>915339</w:t>
            </w:r>
            <w:r w:rsidRPr="004969DC">
              <w:rPr>
                <w:rFonts w:cs="Simplified Arabic" w:hint="cs"/>
                <w:sz w:val="20"/>
                <w:szCs w:val="22"/>
                <w:rtl/>
              </w:rPr>
              <w:t xml:space="preserve"> شرقاً.</w:t>
            </w:r>
          </w:p>
          <w:p w:rsidR="000A5DEA" w:rsidRPr="004969DC" w:rsidRDefault="000A5DEA" w:rsidP="00CD26C5">
            <w:pPr>
              <w:pStyle w:val="ListParagraph"/>
              <w:numPr>
                <w:ilvl w:val="0"/>
                <w:numId w:val="140"/>
              </w:numPr>
              <w:bidi/>
              <w:spacing w:after="0" w:line="204" w:lineRule="auto"/>
              <w:ind w:left="332" w:hanging="332"/>
              <w:rPr>
                <w:rFonts w:eastAsia="MS Mincho" w:cs="Simplified Arabic"/>
                <w:sz w:val="20"/>
                <w:szCs w:val="22"/>
                <w:lang w:val="es-ES_tradnl"/>
              </w:rPr>
            </w:pPr>
            <w:r w:rsidRPr="004969DC">
              <w:rPr>
                <w:rFonts w:eastAsia="MS Mincho" w:cs="Simplified Arabic"/>
                <w:sz w:val="20"/>
                <w:szCs w:val="22"/>
                <w:rtl/>
              </w:rPr>
              <w:t>يربط مضيق قره بوغاز غول بحر قزوين بخليج قره بوغاز غول. تشكل المنطقة مجمع</w:t>
            </w:r>
            <w:r w:rsidRPr="004969DC">
              <w:rPr>
                <w:rFonts w:eastAsia="MS Mincho" w:cs="Simplified Arabic" w:hint="cs"/>
                <w:sz w:val="20"/>
                <w:szCs w:val="22"/>
                <w:rtl/>
              </w:rPr>
              <w:t>اً</w:t>
            </w:r>
            <w:r w:rsidRPr="004969DC">
              <w:rPr>
                <w:rFonts w:eastAsia="MS Mincho" w:cs="Simplified Arabic"/>
                <w:sz w:val="20"/>
                <w:szCs w:val="22"/>
                <w:rtl/>
              </w:rPr>
              <w:t xml:space="preserve"> هيدروجيولوجيًا طبيعي</w:t>
            </w:r>
            <w:r w:rsidRPr="004969DC">
              <w:rPr>
                <w:rFonts w:eastAsia="MS Mincho" w:cs="Simplified Arabic" w:hint="cs"/>
                <w:sz w:val="20"/>
                <w:szCs w:val="22"/>
                <w:rtl/>
              </w:rPr>
              <w:t>اً</w:t>
            </w:r>
            <w:r w:rsidRPr="004969DC">
              <w:rPr>
                <w:rFonts w:eastAsia="MS Mincho" w:cs="Simplified Arabic"/>
                <w:sz w:val="20"/>
                <w:szCs w:val="22"/>
                <w:rtl/>
              </w:rPr>
              <w:t xml:space="preserve"> فريدا</w:t>
            </w:r>
            <w:r w:rsidRPr="004969DC">
              <w:rPr>
                <w:rFonts w:eastAsia="MS Mincho" w:cs="Simplified Arabic" w:hint="cs"/>
                <w:sz w:val="20"/>
                <w:szCs w:val="22"/>
                <w:rtl/>
              </w:rPr>
              <w:t>ً من نوعه</w:t>
            </w:r>
            <w:r w:rsidRPr="004969DC">
              <w:rPr>
                <w:rFonts w:eastAsia="MS Mincho" w:cs="Simplified Arabic"/>
                <w:sz w:val="20"/>
                <w:szCs w:val="22"/>
                <w:rtl/>
              </w:rPr>
              <w:t xml:space="preserve">. </w:t>
            </w:r>
            <w:r w:rsidRPr="004969DC">
              <w:rPr>
                <w:rFonts w:eastAsia="MS Mincho" w:cs="Simplified Arabic" w:hint="cs"/>
                <w:sz w:val="20"/>
                <w:szCs w:val="22"/>
                <w:rtl/>
              </w:rPr>
              <w:t xml:space="preserve">ولا توجد أنهار </w:t>
            </w:r>
            <w:r w:rsidRPr="004969DC">
              <w:rPr>
                <w:rFonts w:eastAsia="MS Mincho" w:cs="Simplified Arabic"/>
                <w:sz w:val="20"/>
                <w:szCs w:val="22"/>
                <w:rtl/>
              </w:rPr>
              <w:t>تصب في البحيرة</w:t>
            </w:r>
            <w:r w:rsidRPr="004969DC">
              <w:rPr>
                <w:rFonts w:eastAsia="MS Mincho" w:cs="Simplified Arabic" w:hint="cs"/>
                <w:sz w:val="20"/>
                <w:szCs w:val="22"/>
                <w:rtl/>
              </w:rPr>
              <w:t xml:space="preserve"> الشاطئية</w:t>
            </w:r>
            <w:r w:rsidRPr="004969DC">
              <w:rPr>
                <w:rFonts w:eastAsia="MS Mincho" w:cs="Simplified Arabic"/>
                <w:sz w:val="20"/>
                <w:szCs w:val="22"/>
                <w:rtl/>
              </w:rPr>
              <w:t xml:space="preserve">. </w:t>
            </w:r>
            <w:r w:rsidRPr="004969DC">
              <w:rPr>
                <w:rFonts w:eastAsia="MS Mincho" w:cs="Simplified Arabic" w:hint="cs"/>
                <w:sz w:val="20"/>
                <w:szCs w:val="22"/>
                <w:rtl/>
              </w:rPr>
              <w:t xml:space="preserve">ويتأثر </w:t>
            </w:r>
            <w:r w:rsidRPr="004969DC">
              <w:rPr>
                <w:rFonts w:eastAsia="MS Mincho" w:cs="Simplified Arabic"/>
                <w:sz w:val="20"/>
                <w:szCs w:val="22"/>
                <w:rtl/>
              </w:rPr>
              <w:t xml:space="preserve">هذا النظام الهيدرولوجي </w:t>
            </w:r>
            <w:r w:rsidRPr="004969DC">
              <w:rPr>
                <w:rFonts w:eastAsia="MS Mincho" w:cs="Simplified Arabic" w:hint="cs"/>
                <w:sz w:val="20"/>
                <w:szCs w:val="22"/>
                <w:rtl/>
              </w:rPr>
              <w:t>تأثراً شديداً</w:t>
            </w:r>
            <w:r w:rsidRPr="004969DC">
              <w:rPr>
                <w:rFonts w:eastAsia="MS Mincho" w:cs="Simplified Arabic"/>
                <w:sz w:val="20"/>
                <w:szCs w:val="22"/>
                <w:rtl/>
              </w:rPr>
              <w:t xml:space="preserve"> بديناميات بحر قزوين. </w:t>
            </w:r>
            <w:r w:rsidRPr="004969DC">
              <w:rPr>
                <w:rFonts w:eastAsia="MS Mincho" w:cs="Simplified Arabic" w:hint="cs"/>
                <w:sz w:val="20"/>
                <w:szCs w:val="22"/>
                <w:rtl/>
              </w:rPr>
              <w:t xml:space="preserve">وتتميز </w:t>
            </w:r>
            <w:r w:rsidRPr="004969DC">
              <w:rPr>
                <w:rFonts w:eastAsia="MS Mincho" w:cs="Simplified Arabic"/>
                <w:sz w:val="20"/>
                <w:szCs w:val="22"/>
                <w:rtl/>
              </w:rPr>
              <w:t xml:space="preserve">جميع مكونات النظام </w:t>
            </w:r>
            <w:r w:rsidRPr="004969DC">
              <w:rPr>
                <w:rFonts w:eastAsia="MS Mincho" w:cs="Simplified Arabic" w:hint="cs"/>
                <w:sz w:val="20"/>
                <w:szCs w:val="22"/>
                <w:rtl/>
              </w:rPr>
              <w:t>بدينامية كبيرة للغاية</w:t>
            </w:r>
            <w:r w:rsidRPr="004969DC">
              <w:rPr>
                <w:rFonts w:eastAsia="MS Mincho" w:cs="Simplified Arabic"/>
                <w:sz w:val="20"/>
                <w:szCs w:val="22"/>
                <w:rtl/>
              </w:rPr>
              <w:t xml:space="preserve">، </w:t>
            </w:r>
            <w:r w:rsidRPr="004969DC">
              <w:rPr>
                <w:rFonts w:eastAsia="MS Mincho" w:cs="Simplified Arabic" w:hint="cs"/>
                <w:sz w:val="20"/>
                <w:szCs w:val="22"/>
                <w:rtl/>
              </w:rPr>
              <w:t>وتُحدّد بارامتراتها</w:t>
            </w:r>
            <w:r w:rsidRPr="004969DC">
              <w:rPr>
                <w:rFonts w:eastAsia="MS Mincho" w:cs="Simplified Arabic"/>
                <w:sz w:val="20"/>
                <w:szCs w:val="22"/>
                <w:rtl/>
              </w:rPr>
              <w:t xml:space="preserve"> بواسطة ديناميات مستوى</w:t>
            </w:r>
            <w:r w:rsidRPr="004969DC">
              <w:rPr>
                <w:rFonts w:eastAsia="MS Mincho" w:cs="Simplified Arabic" w:hint="cs"/>
                <w:sz w:val="20"/>
                <w:szCs w:val="22"/>
                <w:rtl/>
              </w:rPr>
              <w:t xml:space="preserve"> سطح</w:t>
            </w:r>
            <w:r w:rsidRPr="004969DC">
              <w:rPr>
                <w:rFonts w:eastAsia="MS Mincho" w:cs="Simplified Arabic"/>
                <w:sz w:val="20"/>
                <w:szCs w:val="22"/>
                <w:rtl/>
              </w:rPr>
              <w:t xml:space="preserve"> البحر. </w:t>
            </w:r>
            <w:r w:rsidRPr="004969DC">
              <w:rPr>
                <w:rFonts w:eastAsia="MS Mincho" w:cs="Simplified Arabic" w:hint="cs"/>
                <w:sz w:val="20"/>
                <w:szCs w:val="22"/>
                <w:rtl/>
              </w:rPr>
              <w:t>و</w:t>
            </w:r>
            <w:r w:rsidRPr="004969DC">
              <w:rPr>
                <w:rFonts w:eastAsia="MS Mincho" w:cs="Simplified Arabic"/>
                <w:sz w:val="20"/>
                <w:szCs w:val="22"/>
                <w:rtl/>
              </w:rPr>
              <w:t>يتركز</w:t>
            </w:r>
            <w:r w:rsidRPr="004969DC">
              <w:rPr>
                <w:rFonts w:eastAsia="MS Mincho" w:cs="Simplified Arabic" w:hint="cs"/>
                <w:sz w:val="20"/>
                <w:szCs w:val="22"/>
                <w:rtl/>
              </w:rPr>
              <w:t xml:space="preserve"> كامل</w:t>
            </w:r>
            <w:r w:rsidRPr="004969DC">
              <w:rPr>
                <w:rFonts w:eastAsia="MS Mincho" w:cs="Simplified Arabic"/>
                <w:sz w:val="20"/>
                <w:szCs w:val="22"/>
                <w:rtl/>
              </w:rPr>
              <w:t xml:space="preserve"> التنوع البيولوجي</w:t>
            </w:r>
            <w:r w:rsidRPr="004969DC">
              <w:rPr>
                <w:rFonts w:eastAsia="MS Mincho" w:cs="Simplified Arabic" w:hint="cs"/>
                <w:sz w:val="20"/>
                <w:szCs w:val="22"/>
                <w:rtl/>
              </w:rPr>
              <w:t xml:space="preserve"> القائم </w:t>
            </w:r>
            <w:r w:rsidRPr="004969DC">
              <w:rPr>
                <w:rFonts w:eastAsia="MS Mincho" w:cs="Simplified Arabic"/>
                <w:sz w:val="20"/>
                <w:szCs w:val="22"/>
                <w:rtl/>
              </w:rPr>
              <w:t xml:space="preserve">في المنطقة الأوسع في المضيق </w:t>
            </w:r>
            <w:r w:rsidRPr="004969DC">
              <w:rPr>
                <w:rFonts w:eastAsia="MS Mincho" w:cs="Simplified Arabic" w:hint="cs"/>
                <w:sz w:val="20"/>
                <w:szCs w:val="22"/>
                <w:rtl/>
              </w:rPr>
              <w:t>بشكل رئيسي</w:t>
            </w:r>
            <w:r w:rsidRPr="004969DC">
              <w:rPr>
                <w:rFonts w:eastAsia="MS Mincho" w:cs="Simplified Arabic"/>
                <w:sz w:val="20"/>
                <w:szCs w:val="22"/>
                <w:rtl/>
              </w:rPr>
              <w:t>، بما في ذلك البكتيريا والنباتات ال</w:t>
            </w:r>
            <w:r w:rsidRPr="004969DC">
              <w:rPr>
                <w:rFonts w:eastAsia="MS Mincho" w:cs="Simplified Arabic" w:hint="cs"/>
                <w:sz w:val="20"/>
                <w:szCs w:val="22"/>
                <w:rtl/>
              </w:rPr>
              <w:t>دنيا</w:t>
            </w:r>
            <w:r w:rsidRPr="004969DC">
              <w:rPr>
                <w:rFonts w:eastAsia="MS Mincho" w:cs="Simplified Arabic"/>
                <w:sz w:val="20"/>
                <w:szCs w:val="22"/>
                <w:rtl/>
              </w:rPr>
              <w:t xml:space="preserve"> واللافقاريات والطيور (ومعظمها من الأنواع المهاجرة). </w:t>
            </w:r>
            <w:r w:rsidRPr="004969DC">
              <w:rPr>
                <w:rFonts w:eastAsia="MS Mincho" w:cs="Simplified Arabic" w:hint="cs"/>
                <w:sz w:val="20"/>
                <w:szCs w:val="22"/>
                <w:rtl/>
              </w:rPr>
              <w:t>و</w:t>
            </w:r>
            <w:r w:rsidRPr="004969DC">
              <w:rPr>
                <w:rFonts w:eastAsia="MS Mincho" w:cs="Simplified Arabic"/>
                <w:sz w:val="20"/>
                <w:szCs w:val="22"/>
                <w:rtl/>
              </w:rPr>
              <w:t>بعض أنواع الأسماك والطيور الموجودة في المنطقة مدرجة في الكتاب الأحمر لتركمانستان</w:t>
            </w:r>
            <w:r w:rsidRPr="004969DC">
              <w:rPr>
                <w:rFonts w:eastAsia="MS Mincho" w:cs="Simplified Arabic"/>
                <w:sz w:val="20"/>
                <w:szCs w:val="22"/>
                <w:lang w:val="es-ES_tradnl"/>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L</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55" w:name="_Toc524295486"/>
            <w:bookmarkStart w:id="56" w:name="_Toc6071566"/>
            <w:r w:rsidRPr="004969DC">
              <w:rPr>
                <w:rFonts w:hint="cs"/>
                <w:bCs/>
                <w:sz w:val="20"/>
                <w:szCs w:val="22"/>
                <w:rtl/>
              </w:rPr>
              <w:t xml:space="preserve">23- خليج </w:t>
            </w:r>
            <w:r w:rsidRPr="004969DC">
              <w:rPr>
                <w:bCs/>
                <w:sz w:val="20"/>
                <w:szCs w:val="22"/>
                <w:rtl/>
              </w:rPr>
              <w:t>تركمانباشي</w:t>
            </w:r>
            <w:bookmarkEnd w:id="55"/>
            <w:bookmarkEnd w:id="56"/>
            <w:r w:rsidRPr="004969DC">
              <w:rPr>
                <w:bCs/>
                <w:sz w:val="20"/>
                <w:szCs w:val="22"/>
                <w:rtl/>
              </w:rPr>
              <w:t xml:space="preserve"> </w:t>
            </w:r>
          </w:p>
          <w:p w:rsidR="000A5DEA" w:rsidRPr="004969DC" w:rsidRDefault="000A5DEA" w:rsidP="00CD26C5">
            <w:pPr>
              <w:pStyle w:val="ListParagraph"/>
              <w:numPr>
                <w:ilvl w:val="0"/>
                <w:numId w:val="141"/>
              </w:numPr>
              <w:bidi/>
              <w:spacing w:after="0" w:line="204" w:lineRule="auto"/>
              <w:ind w:left="332" w:hanging="332"/>
              <w:rPr>
                <w:rFonts w:eastAsia="MS Mincho" w:cs="Simplified Arabic"/>
                <w:sz w:val="20"/>
                <w:szCs w:val="22"/>
                <w:lang w:val="es-ES_tradnl"/>
              </w:rPr>
            </w:pPr>
            <w:r w:rsidRPr="004969DC">
              <w:rPr>
                <w:rFonts w:cs="Simplified Arabic"/>
                <w:sz w:val="20"/>
                <w:szCs w:val="22"/>
                <w:rtl/>
              </w:rPr>
              <w:t xml:space="preserve">الموقع: يقع خليج تركمنباشي على الساحل الشرقي لبحر قزوين. </w:t>
            </w:r>
            <w:r w:rsidRPr="004969DC">
              <w:rPr>
                <w:rFonts w:cs="Simplified Arabic" w:hint="cs"/>
                <w:sz w:val="20"/>
                <w:szCs w:val="22"/>
                <w:rtl/>
              </w:rPr>
              <w:t>ويتصل</w:t>
            </w:r>
            <w:r w:rsidRPr="004969DC">
              <w:rPr>
                <w:rFonts w:cs="Simplified Arabic"/>
                <w:sz w:val="20"/>
                <w:szCs w:val="22"/>
                <w:rtl/>
              </w:rPr>
              <w:t xml:space="preserve"> في الشمال الغربي بخليج سوج</w:t>
            </w:r>
            <w:r w:rsidRPr="004969DC">
              <w:rPr>
                <w:rFonts w:cs="Simplified Arabic" w:hint="cs"/>
                <w:sz w:val="20"/>
                <w:szCs w:val="22"/>
                <w:rtl/>
              </w:rPr>
              <w:t>م</w:t>
            </w:r>
            <w:r w:rsidRPr="004969DC">
              <w:rPr>
                <w:rFonts w:cs="Simplified Arabic"/>
                <w:sz w:val="20"/>
                <w:szCs w:val="22"/>
                <w:rtl/>
              </w:rPr>
              <w:t xml:space="preserve">ونوفا. </w:t>
            </w:r>
            <w:r w:rsidRPr="004969DC">
              <w:rPr>
                <w:rFonts w:cs="Simplified Arabic" w:hint="cs"/>
                <w:sz w:val="20"/>
                <w:szCs w:val="22"/>
                <w:rtl/>
              </w:rPr>
              <w:t>و</w:t>
            </w:r>
            <w:r w:rsidRPr="004969DC">
              <w:rPr>
                <w:rFonts w:cs="Simplified Arabic"/>
                <w:sz w:val="20"/>
                <w:szCs w:val="22"/>
                <w:rtl/>
              </w:rPr>
              <w:t>النقط</w:t>
            </w:r>
            <w:r w:rsidRPr="004969DC">
              <w:rPr>
                <w:rFonts w:cs="Simplified Arabic" w:hint="cs"/>
                <w:sz w:val="20"/>
                <w:szCs w:val="22"/>
                <w:rtl/>
              </w:rPr>
              <w:t>ة</w:t>
            </w:r>
            <w:r w:rsidRPr="004969DC">
              <w:rPr>
                <w:rFonts w:cs="Simplified Arabic"/>
                <w:sz w:val="20"/>
                <w:szCs w:val="22"/>
                <w:rtl/>
              </w:rPr>
              <w:t xml:space="preserve"> </w:t>
            </w:r>
            <w:r w:rsidRPr="004969DC">
              <w:rPr>
                <w:rFonts w:cs="Simplified Arabic" w:hint="cs"/>
                <w:sz w:val="20"/>
                <w:szCs w:val="22"/>
                <w:rtl/>
              </w:rPr>
              <w:t>الجغرافية ترتكز عند</w:t>
            </w:r>
            <w:r w:rsidRPr="004969DC">
              <w:rPr>
                <w:rFonts w:cs="Simplified Arabic"/>
                <w:sz w:val="20"/>
                <w:szCs w:val="22"/>
                <w:rtl/>
              </w:rPr>
              <w:t xml:space="preserve"> 39</w:t>
            </w:r>
            <w:r w:rsidRPr="004969DC">
              <w:rPr>
                <w:rFonts w:cs="Simplified Arabic" w:hint="cs"/>
                <w:sz w:val="20"/>
                <w:szCs w:val="22"/>
                <w:rtl/>
              </w:rPr>
              <w:t>,</w:t>
            </w:r>
            <w:r w:rsidRPr="004969DC">
              <w:rPr>
                <w:rFonts w:cs="Simplified Arabic"/>
                <w:sz w:val="20"/>
                <w:szCs w:val="22"/>
                <w:rtl/>
              </w:rPr>
              <w:t>792556</w:t>
            </w:r>
            <w:r w:rsidRPr="004969DC">
              <w:rPr>
                <w:rFonts w:cs="Simplified Arabic" w:hint="cs"/>
                <w:sz w:val="20"/>
                <w:szCs w:val="22"/>
                <w:rtl/>
              </w:rPr>
              <w:t xml:space="preserve"> شمالاً،</w:t>
            </w:r>
            <w:r w:rsidRPr="004969DC">
              <w:rPr>
                <w:rFonts w:cs="Simplified Arabic"/>
                <w:sz w:val="20"/>
                <w:szCs w:val="22"/>
                <w:rtl/>
              </w:rPr>
              <w:t xml:space="preserve"> 53</w:t>
            </w:r>
            <w:r w:rsidRPr="004969DC">
              <w:rPr>
                <w:rFonts w:cs="Simplified Arabic" w:hint="cs"/>
                <w:sz w:val="20"/>
                <w:szCs w:val="22"/>
                <w:rtl/>
              </w:rPr>
              <w:t>,</w:t>
            </w:r>
            <w:r w:rsidRPr="004969DC">
              <w:rPr>
                <w:rFonts w:cs="Simplified Arabic"/>
                <w:sz w:val="20"/>
                <w:szCs w:val="22"/>
                <w:rtl/>
              </w:rPr>
              <w:t>310004</w:t>
            </w:r>
            <w:r w:rsidRPr="004969DC">
              <w:rPr>
                <w:rFonts w:cs="Simplified Arabic" w:hint="cs"/>
                <w:sz w:val="20"/>
                <w:szCs w:val="22"/>
                <w:rtl/>
              </w:rPr>
              <w:t xml:space="preserve"> شرقاً</w:t>
            </w:r>
            <w:r w:rsidRPr="004969DC">
              <w:rPr>
                <w:rFonts w:cs="Simplified Arabic"/>
                <w:sz w:val="20"/>
                <w:szCs w:val="22"/>
                <w:rtl/>
              </w:rPr>
              <w:t xml:space="preserve">. </w:t>
            </w:r>
            <w:r w:rsidRPr="004969DC">
              <w:rPr>
                <w:rFonts w:cs="Simplified Arabic" w:hint="cs"/>
                <w:sz w:val="20"/>
                <w:szCs w:val="22"/>
                <w:rtl/>
              </w:rPr>
              <w:t xml:space="preserve">وتبلغ </w:t>
            </w:r>
            <w:r w:rsidRPr="004969DC">
              <w:rPr>
                <w:rFonts w:cs="Simplified Arabic"/>
                <w:sz w:val="20"/>
                <w:szCs w:val="22"/>
                <w:rtl/>
              </w:rPr>
              <w:t xml:space="preserve">المساحة الإجمالية لهذا الموقع </w:t>
            </w:r>
            <w:r w:rsidRPr="004969DC">
              <w:rPr>
                <w:rFonts w:cs="Simplified Arabic" w:hint="cs"/>
                <w:sz w:val="20"/>
                <w:szCs w:val="22"/>
                <w:rtl/>
              </w:rPr>
              <w:t>203 2</w:t>
            </w:r>
            <w:r w:rsidRPr="004969DC">
              <w:rPr>
                <w:rFonts w:cs="Simplified Arabic"/>
                <w:sz w:val="20"/>
                <w:szCs w:val="22"/>
                <w:rtl/>
              </w:rPr>
              <w:t xml:space="preserve"> كيلومتر</w:t>
            </w:r>
            <w:r w:rsidRPr="004969DC">
              <w:rPr>
                <w:rFonts w:cs="Simplified Arabic" w:hint="cs"/>
                <w:sz w:val="20"/>
                <w:szCs w:val="22"/>
                <w:rtl/>
              </w:rPr>
              <w:t>ات</w:t>
            </w:r>
            <w:r w:rsidRPr="004969DC">
              <w:rPr>
                <w:rFonts w:cs="Simplified Arabic"/>
                <w:sz w:val="20"/>
                <w:szCs w:val="22"/>
                <w:rtl/>
              </w:rPr>
              <w:t xml:space="preserve"> مرب</w:t>
            </w:r>
            <w:r w:rsidRPr="004969DC">
              <w:rPr>
                <w:rFonts w:cs="Simplified Arabic" w:hint="cs"/>
                <w:sz w:val="20"/>
                <w:szCs w:val="22"/>
                <w:rtl/>
              </w:rPr>
              <w:t>عة</w:t>
            </w:r>
            <w:r w:rsidRPr="004969DC">
              <w:rPr>
                <w:rFonts w:cs="Simplified Arabic"/>
                <w:sz w:val="20"/>
                <w:szCs w:val="22"/>
                <w:lang w:val="es-ES_tradnl"/>
              </w:rPr>
              <w:t>.</w:t>
            </w:r>
          </w:p>
          <w:p w:rsidR="000C613F" w:rsidRPr="004969DC" w:rsidRDefault="000A5DEA" w:rsidP="00CD26C5">
            <w:pPr>
              <w:pStyle w:val="ListParagraph"/>
              <w:numPr>
                <w:ilvl w:val="0"/>
                <w:numId w:val="141"/>
              </w:numPr>
              <w:bidi/>
              <w:spacing w:after="0" w:line="204" w:lineRule="auto"/>
              <w:ind w:left="332" w:hanging="332"/>
              <w:rPr>
                <w:rFonts w:eastAsia="MS Mincho" w:cs="Simplified Arabic"/>
                <w:sz w:val="20"/>
                <w:szCs w:val="22"/>
                <w:lang w:val="es-ES_tradnl"/>
              </w:rPr>
            </w:pPr>
            <w:r w:rsidRPr="004969DC">
              <w:rPr>
                <w:rFonts w:eastAsia="MS Mincho" w:cs="Simplified Arabic"/>
                <w:sz w:val="20"/>
                <w:szCs w:val="22"/>
                <w:rtl/>
              </w:rPr>
              <w:t>اعتبارا</w:t>
            </w:r>
            <w:r w:rsidRPr="004969DC">
              <w:rPr>
                <w:rFonts w:eastAsia="MS Mincho" w:cs="Simplified Arabic" w:hint="cs"/>
                <w:sz w:val="20"/>
                <w:szCs w:val="22"/>
                <w:rtl/>
              </w:rPr>
              <w:t>ً</w:t>
            </w:r>
            <w:r w:rsidRPr="004969DC">
              <w:rPr>
                <w:rFonts w:eastAsia="MS Mincho" w:cs="Simplified Arabic"/>
                <w:sz w:val="20"/>
                <w:szCs w:val="22"/>
                <w:rtl/>
              </w:rPr>
              <w:t xml:space="preserve"> من عام 1968، </w:t>
            </w:r>
            <w:r w:rsidRPr="004969DC">
              <w:rPr>
                <w:rFonts w:eastAsia="MS Mincho" w:cs="Simplified Arabic" w:hint="cs"/>
                <w:sz w:val="20"/>
                <w:szCs w:val="22"/>
                <w:rtl/>
              </w:rPr>
              <w:t xml:space="preserve">أصبح </w:t>
            </w:r>
            <w:r w:rsidRPr="004969DC">
              <w:rPr>
                <w:rFonts w:eastAsia="MS Mincho" w:cs="Simplified Arabic"/>
                <w:sz w:val="20"/>
                <w:szCs w:val="22"/>
                <w:rtl/>
              </w:rPr>
              <w:t>خليج تركمنباشي،</w:t>
            </w:r>
            <w:r w:rsidRPr="004969DC">
              <w:rPr>
                <w:rFonts w:eastAsia="MS Mincho" w:cs="Simplified Arabic" w:hint="cs"/>
                <w:sz w:val="20"/>
                <w:szCs w:val="22"/>
                <w:rtl/>
              </w:rPr>
              <w:t xml:space="preserve"> وهو</w:t>
            </w:r>
            <w:r w:rsidRPr="004969DC">
              <w:rPr>
                <w:rFonts w:eastAsia="MS Mincho" w:cs="Simplified Arabic"/>
                <w:sz w:val="20"/>
                <w:szCs w:val="22"/>
                <w:rtl/>
              </w:rPr>
              <w:t xml:space="preserve"> موقع ال</w:t>
            </w:r>
            <w:r w:rsidRPr="004969DC">
              <w:rPr>
                <w:rFonts w:eastAsia="MS Mincho" w:cs="Simplified Arabic" w:hint="cs"/>
                <w:sz w:val="20"/>
                <w:szCs w:val="22"/>
                <w:rtl/>
              </w:rPr>
              <w:t>تشتية والهجرة</w:t>
            </w:r>
            <w:r w:rsidRPr="004969DC">
              <w:rPr>
                <w:rFonts w:eastAsia="MS Mincho" w:cs="Simplified Arabic"/>
                <w:sz w:val="20"/>
                <w:szCs w:val="22"/>
                <w:rtl/>
              </w:rPr>
              <w:t xml:space="preserve"> </w:t>
            </w:r>
            <w:r w:rsidRPr="004969DC">
              <w:rPr>
                <w:rFonts w:eastAsia="MS Mincho" w:cs="Simplified Arabic" w:hint="cs"/>
                <w:sz w:val="20"/>
                <w:szCs w:val="22"/>
                <w:rtl/>
              </w:rPr>
              <w:t>الجماعية للطيور</w:t>
            </w:r>
            <w:r w:rsidRPr="004969DC">
              <w:rPr>
                <w:rFonts w:eastAsia="MS Mincho" w:cs="Simplified Arabic"/>
                <w:sz w:val="20"/>
                <w:szCs w:val="22"/>
                <w:rtl/>
              </w:rPr>
              <w:t xml:space="preserve"> المائية، </w:t>
            </w:r>
            <w:r w:rsidRPr="004969DC">
              <w:rPr>
                <w:rFonts w:eastAsia="MS Mincho" w:cs="Simplified Arabic" w:hint="cs"/>
                <w:sz w:val="20"/>
                <w:szCs w:val="22"/>
                <w:rtl/>
              </w:rPr>
              <w:t>وكذلك خلجان</w:t>
            </w:r>
            <w:r w:rsidRPr="004969DC">
              <w:rPr>
                <w:rFonts w:eastAsia="MS Mincho" w:cs="Simplified Arabic"/>
                <w:sz w:val="20"/>
                <w:szCs w:val="22"/>
                <w:rtl/>
              </w:rPr>
              <w:t xml:space="preserve"> بالهان، وشيليكين الشمالية، وميها</w:t>
            </w:r>
            <w:r w:rsidRPr="004969DC">
              <w:rPr>
                <w:rFonts w:eastAsia="MS Mincho" w:cs="Simplified Arabic" w:hint="cs"/>
                <w:sz w:val="20"/>
                <w:szCs w:val="22"/>
                <w:rtl/>
              </w:rPr>
              <w:t>ج</w:t>
            </w:r>
            <w:r w:rsidRPr="004969DC">
              <w:rPr>
                <w:rFonts w:eastAsia="MS Mincho" w:cs="Simplified Arabic"/>
                <w:sz w:val="20"/>
                <w:szCs w:val="22"/>
                <w:rtl/>
              </w:rPr>
              <w:t xml:space="preserve">لوفسكي </w:t>
            </w:r>
            <w:r w:rsidRPr="004969DC">
              <w:rPr>
                <w:rFonts w:eastAsia="MS Mincho" w:cs="Simplified Arabic" w:hint="cs"/>
                <w:sz w:val="20"/>
                <w:szCs w:val="22"/>
                <w:rtl/>
              </w:rPr>
              <w:t>و</w:t>
            </w:r>
            <w:r w:rsidRPr="004969DC">
              <w:rPr>
                <w:rFonts w:eastAsia="MS Mincho" w:cs="Simplified Arabic"/>
                <w:sz w:val="20"/>
                <w:szCs w:val="22"/>
                <w:rtl/>
              </w:rPr>
              <w:t xml:space="preserve">الخلجان الصغيرة </w:t>
            </w:r>
            <w:r w:rsidRPr="004969DC">
              <w:rPr>
                <w:rFonts w:eastAsia="MS Mincho" w:cs="Simplified Arabic" w:hint="cs"/>
                <w:sz w:val="20"/>
                <w:szCs w:val="22"/>
                <w:rtl/>
              </w:rPr>
              <w:t>الأخرى</w:t>
            </w:r>
            <w:r w:rsidRPr="004969DC">
              <w:rPr>
                <w:rFonts w:eastAsia="MS Mincho" w:cs="Simplified Arabic"/>
                <w:sz w:val="20"/>
                <w:szCs w:val="22"/>
                <w:rtl/>
              </w:rPr>
              <w:t xml:space="preserve">، </w:t>
            </w:r>
            <w:r w:rsidRPr="004969DC">
              <w:rPr>
                <w:rFonts w:eastAsia="MS Mincho" w:cs="Simplified Arabic" w:hint="cs"/>
                <w:sz w:val="20"/>
                <w:szCs w:val="22"/>
                <w:rtl/>
              </w:rPr>
              <w:t xml:space="preserve">يشكل </w:t>
            </w:r>
            <w:r w:rsidRPr="004969DC">
              <w:rPr>
                <w:rFonts w:eastAsia="MS Mincho" w:cs="Simplified Arabic"/>
                <w:sz w:val="20"/>
                <w:szCs w:val="22"/>
                <w:rtl/>
              </w:rPr>
              <w:t>جزءا</w:t>
            </w:r>
            <w:r w:rsidRPr="004969DC">
              <w:rPr>
                <w:rFonts w:eastAsia="MS Mincho" w:cs="Simplified Arabic" w:hint="cs"/>
                <w:sz w:val="20"/>
                <w:szCs w:val="22"/>
                <w:rtl/>
              </w:rPr>
              <w:t>ً</w:t>
            </w:r>
            <w:r w:rsidRPr="004969DC">
              <w:rPr>
                <w:rFonts w:eastAsia="MS Mincho" w:cs="Simplified Arabic"/>
                <w:sz w:val="20"/>
                <w:szCs w:val="22"/>
                <w:rtl/>
              </w:rPr>
              <w:t xml:space="preserve"> من محمية كراسنوفودسك (</w:t>
            </w:r>
            <w:r w:rsidRPr="004969DC">
              <w:rPr>
                <w:rFonts w:eastAsia="MS Mincho" w:cs="Simplified Arabic" w:hint="cs"/>
                <w:sz w:val="20"/>
                <w:szCs w:val="22"/>
                <w:rtl/>
              </w:rPr>
              <w:t>تعرف</w:t>
            </w:r>
            <w:r w:rsidRPr="004969DC">
              <w:rPr>
                <w:rFonts w:eastAsia="MS Mincho" w:cs="Simplified Arabic"/>
                <w:sz w:val="20"/>
                <w:szCs w:val="22"/>
                <w:rtl/>
              </w:rPr>
              <w:t xml:space="preserve"> </w:t>
            </w:r>
            <w:r w:rsidRPr="004969DC">
              <w:rPr>
                <w:rFonts w:eastAsia="MS Mincho" w:cs="Simplified Arabic" w:hint="cs"/>
                <w:sz w:val="20"/>
                <w:szCs w:val="22"/>
                <w:rtl/>
              </w:rPr>
              <w:t>حالياً</w:t>
            </w:r>
            <w:r w:rsidRPr="004969DC">
              <w:rPr>
                <w:rFonts w:eastAsia="MS Mincho" w:cs="Simplified Arabic"/>
                <w:sz w:val="20"/>
                <w:szCs w:val="22"/>
                <w:rtl/>
              </w:rPr>
              <w:t xml:space="preserve"> باسم هازار) الطبيعية</w:t>
            </w:r>
            <w:r w:rsidRPr="004969DC">
              <w:rPr>
                <w:rFonts w:eastAsia="MS Mincho" w:cs="Simplified Arabic" w:hint="cs"/>
                <w:sz w:val="20"/>
                <w:szCs w:val="22"/>
                <w:rtl/>
              </w:rPr>
              <w:t xml:space="preserve"> التابعة للدولة</w:t>
            </w:r>
            <w:r w:rsidRPr="004969DC">
              <w:rPr>
                <w:rFonts w:eastAsia="MS Mincho" w:cs="Simplified Arabic"/>
                <w:sz w:val="20"/>
                <w:szCs w:val="22"/>
                <w:rtl/>
              </w:rPr>
              <w:t xml:space="preserve">. </w:t>
            </w:r>
            <w:r w:rsidRPr="004969DC">
              <w:rPr>
                <w:rFonts w:eastAsia="MS Mincho" w:cs="Simplified Arabic" w:hint="cs"/>
                <w:sz w:val="20"/>
                <w:szCs w:val="22"/>
                <w:rtl/>
              </w:rPr>
              <w:t xml:space="preserve">وتشكل </w:t>
            </w:r>
            <w:r w:rsidRPr="004969DC">
              <w:rPr>
                <w:rFonts w:eastAsia="MS Mincho" w:cs="Simplified Arabic"/>
                <w:sz w:val="20"/>
                <w:szCs w:val="22"/>
                <w:rtl/>
              </w:rPr>
              <w:t>محمية هازار الطبيعية الجزء الرئيسي من خليج تركمنباشي. وه</w:t>
            </w:r>
            <w:r w:rsidRPr="004969DC">
              <w:rPr>
                <w:rFonts w:eastAsia="MS Mincho" w:cs="Simplified Arabic" w:hint="cs"/>
                <w:sz w:val="20"/>
                <w:szCs w:val="22"/>
                <w:rtl/>
              </w:rPr>
              <w:t>ى</w:t>
            </w:r>
            <w:r w:rsidRPr="004969DC">
              <w:rPr>
                <w:rFonts w:eastAsia="MS Mincho" w:cs="Simplified Arabic"/>
                <w:sz w:val="20"/>
                <w:szCs w:val="22"/>
                <w:rtl/>
              </w:rPr>
              <w:t xml:space="preserve"> </w:t>
            </w:r>
            <w:r w:rsidRPr="004969DC">
              <w:rPr>
                <w:rFonts w:eastAsia="MS Mincho" w:cs="Simplified Arabic" w:hint="cs"/>
                <w:sz w:val="20"/>
                <w:szCs w:val="22"/>
                <w:rtl/>
              </w:rPr>
              <w:t>أراضي رطبة ذات أهمية دولية في إطار اتفاقية</w:t>
            </w:r>
            <w:r w:rsidRPr="004969DC">
              <w:rPr>
                <w:rFonts w:eastAsia="MS Mincho" w:cs="Simplified Arabic"/>
                <w:sz w:val="20"/>
                <w:szCs w:val="22"/>
                <w:rtl/>
              </w:rPr>
              <w:t xml:space="preserve"> رامسار ومنطقة </w:t>
            </w:r>
            <w:r w:rsidRPr="004969DC">
              <w:rPr>
                <w:rFonts w:eastAsia="MS Mincho" w:cs="Simplified Arabic" w:hint="cs"/>
                <w:sz w:val="20"/>
                <w:szCs w:val="22"/>
                <w:rtl/>
              </w:rPr>
              <w:t>مهمة</w:t>
            </w:r>
            <w:r w:rsidRPr="004969DC">
              <w:rPr>
                <w:rFonts w:eastAsia="MS Mincho" w:cs="Simplified Arabic"/>
                <w:sz w:val="20"/>
                <w:szCs w:val="22"/>
                <w:rtl/>
              </w:rPr>
              <w:t xml:space="preserve"> ل</w:t>
            </w:r>
            <w:r w:rsidRPr="004969DC">
              <w:rPr>
                <w:rFonts w:eastAsia="MS Mincho" w:cs="Simplified Arabic" w:hint="cs"/>
                <w:sz w:val="20"/>
                <w:szCs w:val="22"/>
                <w:rtl/>
              </w:rPr>
              <w:t>حفظ ا</w:t>
            </w:r>
            <w:r w:rsidRPr="004969DC">
              <w:rPr>
                <w:rFonts w:eastAsia="MS Mincho" w:cs="Simplified Arabic"/>
                <w:sz w:val="20"/>
                <w:szCs w:val="22"/>
                <w:rtl/>
              </w:rPr>
              <w:t xml:space="preserve">لطيور والتنوع البيولوجي. </w:t>
            </w:r>
            <w:r w:rsidRPr="004969DC">
              <w:rPr>
                <w:rFonts w:eastAsia="MS Mincho" w:cs="Simplified Arabic" w:hint="cs"/>
                <w:sz w:val="20"/>
                <w:szCs w:val="22"/>
                <w:rtl/>
              </w:rPr>
              <w:t>ويندرج ضمن</w:t>
            </w:r>
            <w:r w:rsidRPr="004969DC">
              <w:rPr>
                <w:rFonts w:eastAsia="MS Mincho" w:cs="Simplified Arabic"/>
                <w:sz w:val="20"/>
                <w:szCs w:val="22"/>
                <w:rtl/>
              </w:rPr>
              <w:t xml:space="preserve"> التنوع البيولوجي</w:t>
            </w:r>
            <w:r w:rsidRPr="004969DC">
              <w:rPr>
                <w:rFonts w:eastAsia="MS Mincho" w:cs="Simplified Arabic" w:hint="cs"/>
                <w:sz w:val="20"/>
                <w:szCs w:val="22"/>
                <w:rtl/>
              </w:rPr>
              <w:t xml:space="preserve"> لهذه المنطقة</w:t>
            </w:r>
            <w:r w:rsidRPr="004969DC">
              <w:rPr>
                <w:rFonts w:eastAsia="MS Mincho" w:cs="Simplified Arabic"/>
                <w:sz w:val="20"/>
                <w:szCs w:val="22"/>
                <w:rtl/>
              </w:rPr>
              <w:t xml:space="preserve"> اللافقاريات والفقاريات (الأسماك</w:t>
            </w:r>
            <w:r w:rsidRPr="004969DC">
              <w:rPr>
                <w:rFonts w:eastAsia="MS Mincho" w:cs="Simplified Arabic" w:hint="cs"/>
                <w:sz w:val="20"/>
                <w:szCs w:val="22"/>
                <w:rtl/>
              </w:rPr>
              <w:t xml:space="preserve">، </w:t>
            </w:r>
            <w:r w:rsidRPr="004969DC">
              <w:rPr>
                <w:rFonts w:eastAsia="MS Mincho" w:cs="Simplified Arabic"/>
                <w:sz w:val="20"/>
                <w:szCs w:val="22"/>
                <w:rtl/>
              </w:rPr>
              <w:t>الطيور</w:t>
            </w:r>
            <w:r w:rsidRPr="004969DC">
              <w:rPr>
                <w:rFonts w:eastAsia="MS Mincho" w:cs="Simplified Arabic" w:hint="cs"/>
                <w:sz w:val="20"/>
                <w:szCs w:val="22"/>
                <w:rtl/>
              </w:rPr>
              <w:t xml:space="preserve">، </w:t>
            </w:r>
            <w:r w:rsidRPr="004969DC">
              <w:rPr>
                <w:rFonts w:eastAsia="MS Mincho" w:cs="Simplified Arabic"/>
                <w:sz w:val="20"/>
                <w:szCs w:val="22"/>
                <w:rtl/>
              </w:rPr>
              <w:t>الثدييات)، بما في ذلك الأنواع المدرجة في كتاب البيانات الأحمر لتركمانستان</w:t>
            </w:r>
            <w:r w:rsidRPr="004969DC">
              <w:rPr>
                <w:rFonts w:eastAsia="MS Mincho" w:cs="Simplified Arabic"/>
                <w:sz w:val="20"/>
                <w:szCs w:val="22"/>
                <w:lang w:val="es-ES_tradnl"/>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57" w:name="_Toc524295487"/>
            <w:bookmarkStart w:id="58" w:name="_Toc6071567"/>
            <w:r w:rsidRPr="004969DC">
              <w:rPr>
                <w:rFonts w:hint="cs"/>
                <w:bCs/>
                <w:sz w:val="20"/>
                <w:szCs w:val="22"/>
                <w:rtl/>
              </w:rPr>
              <w:t xml:space="preserve">24- </w:t>
            </w:r>
            <w:r w:rsidRPr="004969DC">
              <w:rPr>
                <w:bCs/>
                <w:sz w:val="20"/>
                <w:szCs w:val="22"/>
                <w:rtl/>
              </w:rPr>
              <w:t xml:space="preserve">تركمان </w:t>
            </w:r>
            <w:r w:rsidRPr="004969DC">
              <w:rPr>
                <w:rFonts w:hint="cs"/>
                <w:bCs/>
                <w:sz w:val="20"/>
                <w:szCs w:val="22"/>
                <w:rtl/>
              </w:rPr>
              <w:t>أ</w:t>
            </w:r>
            <w:r w:rsidRPr="004969DC">
              <w:rPr>
                <w:bCs/>
                <w:sz w:val="20"/>
                <w:szCs w:val="22"/>
                <w:rtl/>
              </w:rPr>
              <w:t>يلاجي</w:t>
            </w:r>
            <w:bookmarkEnd w:id="57"/>
            <w:bookmarkEnd w:id="58"/>
          </w:p>
          <w:p w:rsidR="000A5DEA" w:rsidRPr="004969DC" w:rsidRDefault="000A5DEA" w:rsidP="00CD26C5">
            <w:pPr>
              <w:pStyle w:val="ListParagraph"/>
              <w:numPr>
                <w:ilvl w:val="0"/>
                <w:numId w:val="142"/>
              </w:numPr>
              <w:bidi/>
              <w:spacing w:after="0" w:line="204" w:lineRule="auto"/>
              <w:ind w:left="332" w:hanging="332"/>
              <w:rPr>
                <w:rFonts w:cs="Simplified Arabic"/>
                <w:sz w:val="20"/>
                <w:szCs w:val="22"/>
                <w:lang w:val="es-ES_tradnl"/>
              </w:rPr>
            </w:pPr>
            <w:r w:rsidRPr="004969DC">
              <w:rPr>
                <w:rFonts w:cs="Simplified Arabic"/>
                <w:sz w:val="20"/>
                <w:szCs w:val="22"/>
                <w:rtl/>
              </w:rPr>
              <w:t>الموقع: يح</w:t>
            </w:r>
            <w:r w:rsidRPr="004969DC">
              <w:rPr>
                <w:rFonts w:cs="Simplified Arabic" w:hint="cs"/>
                <w:sz w:val="20"/>
                <w:szCs w:val="22"/>
                <w:rtl/>
              </w:rPr>
              <w:t>د</w:t>
            </w:r>
            <w:r w:rsidRPr="004969DC">
              <w:rPr>
                <w:rFonts w:cs="Simplified Arabic"/>
                <w:sz w:val="20"/>
                <w:szCs w:val="22"/>
                <w:rtl/>
              </w:rPr>
              <w:t xml:space="preserve"> تركمان </w:t>
            </w:r>
            <w:r w:rsidRPr="004969DC">
              <w:rPr>
                <w:rFonts w:cs="Simplified Arabic" w:hint="cs"/>
                <w:sz w:val="20"/>
                <w:szCs w:val="22"/>
                <w:rtl/>
              </w:rPr>
              <w:t>أ</w:t>
            </w:r>
            <w:r w:rsidRPr="004969DC">
              <w:rPr>
                <w:rFonts w:cs="Simplified Arabic"/>
                <w:sz w:val="20"/>
                <w:szCs w:val="22"/>
                <w:rtl/>
              </w:rPr>
              <w:t xml:space="preserve">يلاجي </w:t>
            </w:r>
            <w:r w:rsidRPr="004969DC">
              <w:rPr>
                <w:rFonts w:cs="Simplified Arabic" w:hint="cs"/>
                <w:sz w:val="20"/>
                <w:szCs w:val="22"/>
                <w:rtl/>
              </w:rPr>
              <w:t>من</w:t>
            </w:r>
            <w:r w:rsidRPr="004969DC">
              <w:rPr>
                <w:rFonts w:cs="Simplified Arabic"/>
                <w:sz w:val="20"/>
                <w:szCs w:val="22"/>
                <w:rtl/>
              </w:rPr>
              <w:t xml:space="preserve"> الشمال شبه جزيرة</w:t>
            </w:r>
            <w:r w:rsidRPr="004969DC">
              <w:rPr>
                <w:rFonts w:cs="Simplified Arabic" w:hint="cs"/>
                <w:sz w:val="20"/>
                <w:szCs w:val="22"/>
                <w:rtl/>
              </w:rPr>
              <w:t xml:space="preserve"> شيليكين</w:t>
            </w:r>
            <w:r w:rsidRPr="004969DC">
              <w:rPr>
                <w:rFonts w:cs="Simplified Arabic"/>
                <w:sz w:val="20"/>
                <w:szCs w:val="22"/>
                <w:rtl/>
              </w:rPr>
              <w:t xml:space="preserve"> و</w:t>
            </w:r>
            <w:r w:rsidRPr="004969DC">
              <w:rPr>
                <w:rFonts w:cs="Simplified Arabic" w:hint="cs"/>
                <w:sz w:val="20"/>
                <w:szCs w:val="22"/>
                <w:rtl/>
              </w:rPr>
              <w:t>من</w:t>
            </w:r>
            <w:r w:rsidRPr="004969DC">
              <w:rPr>
                <w:rFonts w:cs="Simplified Arabic"/>
                <w:sz w:val="20"/>
                <w:szCs w:val="22"/>
                <w:rtl/>
              </w:rPr>
              <w:t xml:space="preserve"> الغرب من جزيرة </w:t>
            </w:r>
            <w:r w:rsidRPr="004969DC">
              <w:rPr>
                <w:rFonts w:cs="Simplified Arabic" w:hint="cs"/>
                <w:sz w:val="20"/>
                <w:szCs w:val="22"/>
                <w:rtl/>
              </w:rPr>
              <w:t>أوغوردزالي</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يغطي</w:t>
            </w:r>
            <w:r w:rsidRPr="004969DC">
              <w:rPr>
                <w:rFonts w:cs="Simplified Arabic" w:hint="cs"/>
                <w:sz w:val="20"/>
                <w:szCs w:val="22"/>
                <w:rtl/>
              </w:rPr>
              <w:t xml:space="preserve"> هذا</w:t>
            </w:r>
            <w:r w:rsidRPr="004969DC">
              <w:rPr>
                <w:rFonts w:cs="Simplified Arabic"/>
                <w:sz w:val="20"/>
                <w:szCs w:val="22"/>
                <w:rtl/>
              </w:rPr>
              <w:t xml:space="preserve"> الموقع م</w:t>
            </w:r>
            <w:r w:rsidRPr="004969DC">
              <w:rPr>
                <w:rFonts w:cs="Simplified Arabic" w:hint="cs"/>
                <w:sz w:val="20"/>
                <w:szCs w:val="22"/>
                <w:rtl/>
              </w:rPr>
              <w:t>نطقة</w:t>
            </w:r>
            <w:r w:rsidRPr="004969DC">
              <w:rPr>
                <w:rFonts w:cs="Simplified Arabic"/>
                <w:sz w:val="20"/>
                <w:szCs w:val="22"/>
                <w:rtl/>
              </w:rPr>
              <w:t xml:space="preserve"> المياه في الخليج التركماني، من جزيرة أوغوردزالي (</w:t>
            </w:r>
            <w:r w:rsidRPr="004969DC">
              <w:rPr>
                <w:rFonts w:cs="Simplified Arabic" w:hint="cs"/>
                <w:sz w:val="20"/>
                <w:szCs w:val="22"/>
                <w:rtl/>
              </w:rPr>
              <w:t>بصورة كاملة</w:t>
            </w:r>
            <w:r w:rsidRPr="004969DC">
              <w:rPr>
                <w:rFonts w:cs="Simplified Arabic"/>
                <w:sz w:val="20"/>
                <w:szCs w:val="22"/>
                <w:rtl/>
              </w:rPr>
              <w:t>) في الغرب، إلى جنوب</w:t>
            </w:r>
            <w:r w:rsidRPr="004969DC">
              <w:rPr>
                <w:rFonts w:cs="Simplified Arabic" w:hint="cs"/>
                <w:sz w:val="20"/>
                <w:szCs w:val="22"/>
                <w:rtl/>
              </w:rPr>
              <w:t xml:space="preserve"> خليج</w:t>
            </w:r>
            <w:r w:rsidRPr="004969DC">
              <w:rPr>
                <w:rFonts w:cs="Simplified Arabic"/>
                <w:sz w:val="20"/>
                <w:szCs w:val="22"/>
                <w:rtl/>
              </w:rPr>
              <w:t xml:space="preserve"> شيل</w:t>
            </w:r>
            <w:r w:rsidRPr="004969DC">
              <w:rPr>
                <w:rFonts w:cs="Simplified Arabic" w:hint="cs"/>
                <w:sz w:val="20"/>
                <w:szCs w:val="22"/>
                <w:rtl/>
              </w:rPr>
              <w:t>ي</w:t>
            </w:r>
            <w:r w:rsidRPr="004969DC">
              <w:rPr>
                <w:rFonts w:cs="Simplified Arabic"/>
                <w:sz w:val="20"/>
                <w:szCs w:val="22"/>
                <w:rtl/>
              </w:rPr>
              <w:t xml:space="preserve">كين، </w:t>
            </w:r>
            <w:r w:rsidRPr="004969DC">
              <w:rPr>
                <w:rFonts w:cs="Simplified Arabic" w:hint="cs"/>
                <w:sz w:val="20"/>
                <w:szCs w:val="22"/>
                <w:rtl/>
              </w:rPr>
              <w:t>وتبلغ مساحته</w:t>
            </w:r>
            <w:r w:rsidRPr="004969DC">
              <w:rPr>
                <w:rFonts w:cs="Simplified Arabic"/>
                <w:sz w:val="20"/>
                <w:szCs w:val="22"/>
                <w:rtl/>
              </w:rPr>
              <w:t xml:space="preserve"> </w:t>
            </w:r>
            <w:r w:rsidRPr="004969DC">
              <w:rPr>
                <w:rFonts w:cs="Simplified Arabic" w:hint="cs"/>
                <w:sz w:val="20"/>
                <w:szCs w:val="22"/>
                <w:rtl/>
              </w:rPr>
              <w:t>ال</w:t>
            </w:r>
            <w:r w:rsidRPr="004969DC">
              <w:rPr>
                <w:rFonts w:cs="Simplified Arabic"/>
                <w:sz w:val="20"/>
                <w:szCs w:val="22"/>
                <w:rtl/>
              </w:rPr>
              <w:t xml:space="preserve">إجمالية </w:t>
            </w:r>
            <w:r w:rsidRPr="004969DC">
              <w:rPr>
                <w:rFonts w:cs="Simplified Arabic" w:hint="cs"/>
                <w:sz w:val="20"/>
                <w:szCs w:val="22"/>
                <w:rtl/>
              </w:rPr>
              <w:t>708 3</w:t>
            </w:r>
            <w:r w:rsidRPr="004969DC">
              <w:rPr>
                <w:rFonts w:cs="Simplified Arabic"/>
                <w:sz w:val="20"/>
                <w:szCs w:val="22"/>
                <w:rtl/>
              </w:rPr>
              <w:t xml:space="preserve"> كيلومتر</w:t>
            </w:r>
            <w:r w:rsidRPr="004969DC">
              <w:rPr>
                <w:rFonts w:cs="Simplified Arabic" w:hint="cs"/>
                <w:sz w:val="20"/>
                <w:szCs w:val="22"/>
                <w:rtl/>
              </w:rPr>
              <w:t>ات</w:t>
            </w:r>
            <w:r w:rsidRPr="004969DC">
              <w:rPr>
                <w:rFonts w:cs="Simplified Arabic"/>
                <w:sz w:val="20"/>
                <w:szCs w:val="22"/>
                <w:rtl/>
              </w:rPr>
              <w:t xml:space="preserve"> مربع</w:t>
            </w:r>
            <w:r w:rsidRPr="004969DC">
              <w:rPr>
                <w:rFonts w:cs="Simplified Arabic" w:hint="cs"/>
                <w:sz w:val="20"/>
                <w:szCs w:val="22"/>
                <w:rtl/>
              </w:rPr>
              <w:t>ة</w:t>
            </w:r>
            <w:r w:rsidRPr="004969DC">
              <w:rPr>
                <w:rFonts w:cs="Simplified Arabic"/>
                <w:sz w:val="20"/>
                <w:szCs w:val="22"/>
                <w:rtl/>
              </w:rPr>
              <w:t xml:space="preserve">. جزيرة </w:t>
            </w:r>
            <w:r w:rsidRPr="004969DC">
              <w:rPr>
                <w:rFonts w:cs="Simplified Arabic" w:hint="cs"/>
                <w:sz w:val="20"/>
                <w:szCs w:val="22"/>
                <w:rtl/>
              </w:rPr>
              <w:t>أوغوردزالي</w:t>
            </w:r>
            <w:r w:rsidRPr="004969DC">
              <w:rPr>
                <w:rFonts w:cs="Simplified Arabic"/>
                <w:sz w:val="20"/>
                <w:szCs w:val="22"/>
                <w:rtl/>
              </w:rPr>
              <w:t xml:space="preserve"> </w:t>
            </w:r>
            <w:r w:rsidRPr="004969DC">
              <w:rPr>
                <w:rFonts w:cs="Simplified Arabic" w:hint="cs"/>
                <w:sz w:val="20"/>
                <w:szCs w:val="22"/>
                <w:rtl/>
              </w:rPr>
              <w:t xml:space="preserve">هي عبارة عن </w:t>
            </w:r>
            <w:r w:rsidRPr="004969DC">
              <w:rPr>
                <w:rFonts w:cs="Simplified Arabic"/>
                <w:sz w:val="20"/>
                <w:szCs w:val="22"/>
                <w:rtl/>
              </w:rPr>
              <w:t xml:space="preserve">شريط رملي </w:t>
            </w:r>
            <w:r w:rsidRPr="004969DC">
              <w:rPr>
                <w:rFonts w:cs="Simplified Arabic" w:hint="cs"/>
                <w:sz w:val="20"/>
                <w:szCs w:val="22"/>
                <w:rtl/>
              </w:rPr>
              <w:t xml:space="preserve">يبلغ عرضه </w:t>
            </w:r>
            <w:r w:rsidRPr="004969DC">
              <w:rPr>
                <w:rFonts w:cs="Simplified Arabic"/>
                <w:sz w:val="20"/>
                <w:szCs w:val="22"/>
                <w:rtl/>
              </w:rPr>
              <w:t xml:space="preserve">2 </w:t>
            </w:r>
            <w:r w:rsidRPr="004969DC">
              <w:rPr>
                <w:rFonts w:cs="Simplified Arabic" w:hint="cs"/>
                <w:sz w:val="20"/>
                <w:szCs w:val="22"/>
                <w:rtl/>
              </w:rPr>
              <w:t>كيلومتر</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يمتد </w:t>
            </w:r>
            <w:r w:rsidRPr="004969DC">
              <w:rPr>
                <w:rFonts w:cs="Simplified Arabic" w:hint="cs"/>
                <w:sz w:val="20"/>
                <w:szCs w:val="22"/>
                <w:rtl/>
              </w:rPr>
              <w:t xml:space="preserve">إلى </w:t>
            </w:r>
            <w:r w:rsidRPr="004969DC">
              <w:rPr>
                <w:rFonts w:cs="Simplified Arabic"/>
                <w:sz w:val="20"/>
                <w:szCs w:val="22"/>
                <w:rtl/>
              </w:rPr>
              <w:t>مسافة 40 ك</w:t>
            </w:r>
            <w:r w:rsidRPr="004969DC">
              <w:rPr>
                <w:rFonts w:cs="Simplified Arabic" w:hint="cs"/>
                <w:sz w:val="20"/>
                <w:szCs w:val="22"/>
                <w:rtl/>
              </w:rPr>
              <w:t>يلومتراً من</w:t>
            </w:r>
            <w:r w:rsidRPr="004969DC">
              <w:rPr>
                <w:rFonts w:cs="Simplified Arabic"/>
                <w:sz w:val="20"/>
                <w:szCs w:val="22"/>
                <w:rtl/>
              </w:rPr>
              <w:t xml:space="preserve"> الشمال إلى الجنوب، وتبلغ مساحته </w:t>
            </w:r>
            <w:r w:rsidRPr="004969DC">
              <w:rPr>
                <w:rFonts w:cs="Simplified Arabic" w:hint="cs"/>
                <w:sz w:val="20"/>
                <w:szCs w:val="22"/>
                <w:rtl/>
              </w:rPr>
              <w:t>000 6</w:t>
            </w:r>
            <w:r w:rsidRPr="004969DC">
              <w:rPr>
                <w:rFonts w:cs="Simplified Arabic"/>
                <w:sz w:val="20"/>
                <w:szCs w:val="22"/>
                <w:rtl/>
              </w:rPr>
              <w:t xml:space="preserve"> هكتار. </w:t>
            </w:r>
            <w:r w:rsidRPr="004969DC">
              <w:rPr>
                <w:rFonts w:cs="Simplified Arabic" w:hint="cs"/>
                <w:sz w:val="20"/>
                <w:szCs w:val="22"/>
                <w:rtl/>
              </w:rPr>
              <w:t>و</w:t>
            </w:r>
            <w:r w:rsidRPr="004969DC">
              <w:rPr>
                <w:rFonts w:cs="Simplified Arabic"/>
                <w:sz w:val="20"/>
                <w:szCs w:val="22"/>
                <w:rtl/>
              </w:rPr>
              <w:t>المنطقة متمركزة جغرافي</w:t>
            </w:r>
            <w:r w:rsidRPr="004969DC">
              <w:rPr>
                <w:rFonts w:cs="Simplified Arabic" w:hint="cs"/>
                <w:sz w:val="20"/>
                <w:szCs w:val="22"/>
                <w:rtl/>
              </w:rPr>
              <w:t>اً</w:t>
            </w:r>
            <w:r w:rsidRPr="004969DC">
              <w:rPr>
                <w:rFonts w:cs="Simplified Arabic"/>
                <w:sz w:val="20"/>
                <w:szCs w:val="22"/>
                <w:rtl/>
              </w:rPr>
              <w:t xml:space="preserve"> </w:t>
            </w:r>
            <w:r w:rsidRPr="004969DC">
              <w:rPr>
                <w:rFonts w:cs="Simplified Arabic" w:hint="cs"/>
                <w:sz w:val="20"/>
                <w:szCs w:val="22"/>
                <w:rtl/>
              </w:rPr>
              <w:t>عند نقطتي</w:t>
            </w:r>
            <w:r w:rsidRPr="004969DC">
              <w:rPr>
                <w:rFonts w:cs="Simplified Arabic"/>
                <w:sz w:val="20"/>
                <w:szCs w:val="22"/>
                <w:rtl/>
              </w:rPr>
              <w:t xml:space="preserve"> 39</w:t>
            </w:r>
            <w:r w:rsidRPr="004969DC">
              <w:rPr>
                <w:rFonts w:cs="Simplified Arabic" w:hint="cs"/>
                <w:sz w:val="20"/>
                <w:szCs w:val="22"/>
                <w:rtl/>
              </w:rPr>
              <w:t>,</w:t>
            </w:r>
            <w:r w:rsidRPr="004969DC">
              <w:rPr>
                <w:rFonts w:cs="Simplified Arabic"/>
                <w:sz w:val="20"/>
                <w:szCs w:val="22"/>
                <w:rtl/>
              </w:rPr>
              <w:t>035352</w:t>
            </w:r>
            <w:r w:rsidRPr="004969DC">
              <w:rPr>
                <w:rFonts w:cs="Simplified Arabic" w:hint="cs"/>
                <w:sz w:val="20"/>
                <w:szCs w:val="22"/>
                <w:rtl/>
              </w:rPr>
              <w:t xml:space="preserve"> شمالاً، </w:t>
            </w:r>
            <w:r w:rsidRPr="004969DC">
              <w:rPr>
                <w:rFonts w:cs="Simplified Arabic"/>
                <w:sz w:val="20"/>
                <w:szCs w:val="22"/>
                <w:rtl/>
              </w:rPr>
              <w:t>53</w:t>
            </w:r>
            <w:r w:rsidRPr="004969DC">
              <w:rPr>
                <w:rFonts w:cs="Simplified Arabic" w:hint="cs"/>
                <w:sz w:val="20"/>
                <w:szCs w:val="22"/>
                <w:rtl/>
              </w:rPr>
              <w:t>,</w:t>
            </w:r>
            <w:r w:rsidRPr="004969DC">
              <w:rPr>
                <w:rFonts w:cs="Simplified Arabic"/>
                <w:sz w:val="20"/>
                <w:szCs w:val="22"/>
                <w:rtl/>
              </w:rPr>
              <w:t>439243</w:t>
            </w:r>
            <w:r w:rsidRPr="004969DC">
              <w:rPr>
                <w:rFonts w:cs="Simplified Arabic" w:hint="cs"/>
                <w:sz w:val="20"/>
                <w:szCs w:val="22"/>
                <w:rtl/>
              </w:rPr>
              <w:t xml:space="preserve"> شرقاً.</w:t>
            </w:r>
          </w:p>
          <w:p w:rsidR="006D298F" w:rsidRPr="006D298F" w:rsidRDefault="000A5DEA" w:rsidP="00CD26C5">
            <w:pPr>
              <w:pStyle w:val="ListParagraph"/>
              <w:numPr>
                <w:ilvl w:val="0"/>
                <w:numId w:val="142"/>
              </w:numPr>
              <w:bidi/>
              <w:spacing w:after="0" w:line="204" w:lineRule="auto"/>
              <w:ind w:left="332" w:hanging="332"/>
              <w:rPr>
                <w:rFonts w:eastAsia="MS Mincho" w:cs="Simplified Arabic"/>
                <w:sz w:val="20"/>
                <w:szCs w:val="22"/>
                <w:lang w:val="es-ES_tradnl"/>
              </w:rPr>
            </w:pPr>
            <w:r w:rsidRPr="004969DC">
              <w:rPr>
                <w:rFonts w:cs="Simplified Arabic" w:hint="cs"/>
                <w:sz w:val="20"/>
                <w:szCs w:val="22"/>
                <w:rtl/>
              </w:rPr>
              <w:t>يتضمن</w:t>
            </w:r>
            <w:r w:rsidRPr="004969DC">
              <w:rPr>
                <w:rFonts w:cs="Simplified Arabic"/>
                <w:sz w:val="20"/>
                <w:szCs w:val="22"/>
                <w:rtl/>
              </w:rPr>
              <w:t xml:space="preserve"> تركمان آيلاجي مجمع</w:t>
            </w:r>
            <w:r w:rsidRPr="004969DC">
              <w:rPr>
                <w:rFonts w:cs="Simplified Arabic" w:hint="cs"/>
                <w:sz w:val="20"/>
                <w:szCs w:val="22"/>
                <w:rtl/>
              </w:rPr>
              <w:t>اً</w:t>
            </w:r>
            <w:r w:rsidRPr="004969DC">
              <w:rPr>
                <w:rFonts w:cs="Simplified Arabic"/>
                <w:sz w:val="20"/>
                <w:szCs w:val="22"/>
                <w:rtl/>
              </w:rPr>
              <w:t xml:space="preserve"> فريد</w:t>
            </w:r>
            <w:r w:rsidRPr="004969DC">
              <w:rPr>
                <w:rFonts w:cs="Simplified Arabic" w:hint="cs"/>
                <w:sz w:val="20"/>
                <w:szCs w:val="22"/>
                <w:rtl/>
              </w:rPr>
              <w:t>اً</w:t>
            </w:r>
            <w:r w:rsidRPr="004969DC">
              <w:rPr>
                <w:rFonts w:cs="Simplified Arabic"/>
                <w:sz w:val="20"/>
                <w:szCs w:val="22"/>
                <w:rtl/>
              </w:rPr>
              <w:t xml:space="preserve"> من نوعه للتنوع البيولوجي، </w:t>
            </w:r>
            <w:r w:rsidRPr="004969DC">
              <w:rPr>
                <w:rFonts w:cs="Simplified Arabic" w:hint="cs"/>
                <w:sz w:val="20"/>
                <w:szCs w:val="22"/>
                <w:rtl/>
              </w:rPr>
              <w:t>لا سيما</w:t>
            </w:r>
            <w:r w:rsidRPr="004969DC">
              <w:rPr>
                <w:rFonts w:cs="Simplified Arabic"/>
                <w:sz w:val="20"/>
                <w:szCs w:val="22"/>
                <w:rtl/>
              </w:rPr>
              <w:t xml:space="preserve"> الطيور والأسماك ونوع</w:t>
            </w:r>
            <w:r w:rsidRPr="004969DC">
              <w:rPr>
                <w:rFonts w:cs="Simplified Arabic" w:hint="cs"/>
                <w:sz w:val="20"/>
                <w:szCs w:val="22"/>
                <w:rtl/>
              </w:rPr>
              <w:t>ا</w:t>
            </w:r>
            <w:r w:rsidRPr="004969DC">
              <w:rPr>
                <w:rFonts w:cs="Simplified Arabic"/>
                <w:sz w:val="20"/>
                <w:szCs w:val="22"/>
                <w:rtl/>
              </w:rPr>
              <w:t>ن</w:t>
            </w:r>
            <w:r w:rsidRPr="004969DC">
              <w:rPr>
                <w:rFonts w:cs="Simplified Arabic" w:hint="cs"/>
                <w:sz w:val="20"/>
                <w:szCs w:val="22"/>
                <w:rtl/>
              </w:rPr>
              <w:t xml:space="preserve"> اثنان</w:t>
            </w:r>
            <w:r w:rsidRPr="004969DC">
              <w:rPr>
                <w:rFonts w:cs="Simplified Arabic"/>
                <w:sz w:val="20"/>
                <w:szCs w:val="22"/>
                <w:rtl/>
              </w:rPr>
              <w:t xml:space="preserve"> من الثدييات. </w:t>
            </w:r>
            <w:r w:rsidRPr="004969DC">
              <w:rPr>
                <w:rFonts w:cs="Simplified Arabic" w:hint="cs"/>
                <w:sz w:val="20"/>
                <w:szCs w:val="22"/>
                <w:rtl/>
              </w:rPr>
              <w:t>وهو يتأثر</w:t>
            </w:r>
            <w:r w:rsidRPr="004969DC">
              <w:rPr>
                <w:rFonts w:cs="Simplified Arabic"/>
                <w:sz w:val="20"/>
                <w:szCs w:val="22"/>
                <w:rtl/>
              </w:rPr>
              <w:t xml:space="preserve"> بالتقلبات الموسمية والسنوية </w:t>
            </w:r>
            <w:r w:rsidRPr="004969DC">
              <w:rPr>
                <w:rFonts w:cs="Simplified Arabic" w:hint="cs"/>
                <w:sz w:val="20"/>
                <w:szCs w:val="22"/>
                <w:rtl/>
              </w:rPr>
              <w:t>التي يتعرض لها</w:t>
            </w:r>
            <w:r w:rsidRPr="004969DC">
              <w:rPr>
                <w:rFonts w:cs="Simplified Arabic"/>
                <w:sz w:val="20"/>
                <w:szCs w:val="22"/>
                <w:rtl/>
              </w:rPr>
              <w:t xml:space="preserve"> مستوى بحر قزوين وتحركات رمال درد</w:t>
            </w:r>
            <w:r w:rsidRPr="004969DC">
              <w:rPr>
                <w:rFonts w:cs="Simplified Arabic" w:hint="cs"/>
                <w:sz w:val="20"/>
                <w:szCs w:val="22"/>
                <w:rtl/>
              </w:rPr>
              <w:t>ز</w:t>
            </w:r>
            <w:r w:rsidRPr="004969DC">
              <w:rPr>
                <w:rFonts w:cs="Simplified Arabic"/>
                <w:sz w:val="20"/>
                <w:szCs w:val="22"/>
                <w:rtl/>
              </w:rPr>
              <w:t xml:space="preserve">اكوم. </w:t>
            </w:r>
            <w:r w:rsidRPr="004969DC">
              <w:rPr>
                <w:rFonts w:cs="Simplified Arabic" w:hint="cs"/>
                <w:sz w:val="20"/>
                <w:szCs w:val="22"/>
                <w:rtl/>
              </w:rPr>
              <w:t>و</w:t>
            </w:r>
            <w:r w:rsidRPr="004969DC">
              <w:rPr>
                <w:rFonts w:cs="Simplified Arabic"/>
                <w:sz w:val="20"/>
                <w:szCs w:val="22"/>
                <w:rtl/>
              </w:rPr>
              <w:t xml:space="preserve">خلال فترات ارتفاع مستوى سطح البحر، </w:t>
            </w:r>
            <w:r w:rsidRPr="004969DC">
              <w:rPr>
                <w:rFonts w:cs="Simplified Arabic" w:hint="cs"/>
                <w:sz w:val="20"/>
                <w:szCs w:val="22"/>
                <w:rtl/>
              </w:rPr>
              <w:t>تتهياً</w:t>
            </w:r>
            <w:r w:rsidRPr="004969DC">
              <w:rPr>
                <w:rFonts w:cs="Simplified Arabic"/>
                <w:sz w:val="20"/>
                <w:szCs w:val="22"/>
                <w:rtl/>
              </w:rPr>
              <w:t xml:space="preserve"> </w:t>
            </w:r>
            <w:r w:rsidRPr="004969DC">
              <w:rPr>
                <w:rFonts w:cs="Simplified Arabic" w:hint="cs"/>
                <w:sz w:val="20"/>
                <w:szCs w:val="22"/>
                <w:rtl/>
              </w:rPr>
              <w:t>ال</w:t>
            </w:r>
            <w:r w:rsidRPr="004969DC">
              <w:rPr>
                <w:rFonts w:cs="Simplified Arabic"/>
                <w:sz w:val="20"/>
                <w:szCs w:val="22"/>
                <w:rtl/>
              </w:rPr>
              <w:t xml:space="preserve">ظروف </w:t>
            </w:r>
            <w:r w:rsidRPr="004969DC">
              <w:rPr>
                <w:rFonts w:cs="Simplified Arabic" w:hint="cs"/>
                <w:sz w:val="20"/>
                <w:szCs w:val="22"/>
                <w:rtl/>
              </w:rPr>
              <w:t>ال</w:t>
            </w:r>
            <w:r w:rsidRPr="004969DC">
              <w:rPr>
                <w:rFonts w:cs="Simplified Arabic"/>
                <w:sz w:val="20"/>
                <w:szCs w:val="22"/>
                <w:rtl/>
              </w:rPr>
              <w:t>مواتية ل</w:t>
            </w:r>
            <w:r w:rsidRPr="004969DC">
              <w:rPr>
                <w:rFonts w:cs="Simplified Arabic" w:hint="cs"/>
                <w:sz w:val="20"/>
                <w:szCs w:val="22"/>
                <w:rtl/>
              </w:rPr>
              <w:t>حماية الطيور الموجودة في الخلجان</w:t>
            </w:r>
            <w:r w:rsidRPr="004969DC">
              <w:rPr>
                <w:rFonts w:cs="Simplified Arabic"/>
                <w:sz w:val="20"/>
                <w:szCs w:val="22"/>
                <w:rtl/>
              </w:rPr>
              <w:t xml:space="preserve"> </w:t>
            </w:r>
            <w:r w:rsidRPr="004969DC">
              <w:rPr>
                <w:rFonts w:cs="Simplified Arabic" w:hint="cs"/>
                <w:sz w:val="20"/>
                <w:szCs w:val="22"/>
                <w:rtl/>
              </w:rPr>
              <w:t>وعلفها ولتعشيشها وتشتيتها،</w:t>
            </w:r>
            <w:r w:rsidRPr="004969DC">
              <w:rPr>
                <w:rFonts w:cs="Simplified Arabic"/>
                <w:sz w:val="20"/>
                <w:szCs w:val="22"/>
                <w:rtl/>
              </w:rPr>
              <w:t xml:space="preserve"> </w:t>
            </w:r>
            <w:r w:rsidRPr="004969DC">
              <w:rPr>
                <w:rFonts w:cs="Simplified Arabic" w:hint="cs"/>
                <w:sz w:val="20"/>
                <w:szCs w:val="22"/>
                <w:rtl/>
              </w:rPr>
              <w:t>ومع ذلك،</w:t>
            </w:r>
            <w:r w:rsidRPr="004969DC">
              <w:rPr>
                <w:rFonts w:cs="Simplified Arabic"/>
                <w:sz w:val="20"/>
                <w:szCs w:val="22"/>
                <w:rtl/>
              </w:rPr>
              <w:t xml:space="preserve"> تتشكل تربة ملحية </w:t>
            </w:r>
            <w:r w:rsidRPr="004969DC">
              <w:rPr>
                <w:rFonts w:cs="Simplified Arabic" w:hint="cs"/>
                <w:sz w:val="20"/>
                <w:szCs w:val="22"/>
                <w:rtl/>
              </w:rPr>
              <w:t>واسعة المساحة</w:t>
            </w:r>
          </w:p>
          <w:p w:rsidR="006D298F" w:rsidRPr="006D298F" w:rsidRDefault="006D298F" w:rsidP="006D298F">
            <w:pPr>
              <w:pStyle w:val="ListParagraph"/>
              <w:bidi/>
              <w:spacing w:after="0" w:line="204" w:lineRule="auto"/>
              <w:ind w:left="332"/>
              <w:rPr>
                <w:rFonts w:eastAsia="MS Mincho" w:cs="Simplified Arabic"/>
                <w:sz w:val="20"/>
                <w:szCs w:val="22"/>
                <w:lang w:val="es-ES_tradnl"/>
              </w:rPr>
            </w:pPr>
          </w:p>
          <w:p w:rsidR="006D298F" w:rsidRPr="006D298F" w:rsidRDefault="006D298F" w:rsidP="006D298F">
            <w:pPr>
              <w:pStyle w:val="ListParagraph"/>
              <w:numPr>
                <w:ilvl w:val="0"/>
                <w:numId w:val="142"/>
              </w:numPr>
              <w:bidi/>
              <w:spacing w:after="0" w:line="204" w:lineRule="auto"/>
              <w:ind w:left="332" w:hanging="332"/>
              <w:rPr>
                <w:rFonts w:eastAsia="MS Mincho" w:cs="Simplified Arabic"/>
                <w:sz w:val="20"/>
                <w:szCs w:val="22"/>
                <w:lang w:val="es-ES_tradnl"/>
              </w:rPr>
            </w:pPr>
          </w:p>
          <w:p w:rsidR="000A5DEA" w:rsidRPr="004969DC" w:rsidRDefault="000A5DEA" w:rsidP="006D298F">
            <w:pPr>
              <w:pStyle w:val="ListParagraph"/>
              <w:numPr>
                <w:ilvl w:val="0"/>
                <w:numId w:val="142"/>
              </w:numPr>
              <w:bidi/>
              <w:spacing w:after="0" w:line="204" w:lineRule="auto"/>
              <w:ind w:left="332" w:hanging="332"/>
              <w:rPr>
                <w:rFonts w:eastAsia="MS Mincho" w:cs="Simplified Arabic"/>
                <w:sz w:val="20"/>
                <w:szCs w:val="22"/>
                <w:lang w:val="es-ES_tradnl"/>
              </w:rPr>
            </w:pPr>
            <w:r w:rsidRPr="004969DC">
              <w:rPr>
                <w:rFonts w:cs="Simplified Arabic"/>
                <w:sz w:val="20"/>
                <w:szCs w:val="22"/>
                <w:rtl/>
              </w:rPr>
              <w:lastRenderedPageBreak/>
              <w:t xml:space="preserve"> في مكانها خلال فترات انخفاض مستوى سطح البحر. وتتراوح الأعماق السائدة في </w:t>
            </w:r>
            <w:r w:rsidRPr="004969DC">
              <w:rPr>
                <w:rFonts w:cs="Simplified Arabic" w:hint="cs"/>
                <w:sz w:val="20"/>
                <w:szCs w:val="22"/>
                <w:rtl/>
              </w:rPr>
              <w:t>تركمان أيلاجي</w:t>
            </w:r>
            <w:r w:rsidRPr="004969DC">
              <w:rPr>
                <w:rFonts w:cs="Simplified Arabic"/>
                <w:sz w:val="20"/>
                <w:szCs w:val="22"/>
                <w:rtl/>
              </w:rPr>
              <w:t xml:space="preserve"> من 3-4 أمتار في الشرق إلى 9-11 م</w:t>
            </w:r>
            <w:r w:rsidRPr="004969DC">
              <w:rPr>
                <w:rFonts w:cs="Simplified Arabic" w:hint="cs"/>
                <w:sz w:val="20"/>
                <w:szCs w:val="22"/>
                <w:rtl/>
              </w:rPr>
              <w:t>تراً</w:t>
            </w:r>
            <w:r w:rsidRPr="004969DC">
              <w:rPr>
                <w:rFonts w:cs="Simplified Arabic"/>
                <w:sz w:val="20"/>
                <w:szCs w:val="22"/>
                <w:rtl/>
              </w:rPr>
              <w:t xml:space="preserve"> في الوسط. </w:t>
            </w:r>
            <w:r w:rsidRPr="004969DC">
              <w:rPr>
                <w:rFonts w:cs="Simplified Arabic" w:hint="cs"/>
                <w:sz w:val="20"/>
                <w:szCs w:val="22"/>
                <w:rtl/>
              </w:rPr>
              <w:t>وتحتوي المياه</w:t>
            </w:r>
            <w:r w:rsidRPr="004969DC">
              <w:rPr>
                <w:rFonts w:cs="Simplified Arabic"/>
                <w:sz w:val="20"/>
                <w:szCs w:val="22"/>
                <w:rtl/>
              </w:rPr>
              <w:t xml:space="preserve"> في المنطقة على </w:t>
            </w:r>
            <w:r w:rsidRPr="004969DC">
              <w:rPr>
                <w:rFonts w:cs="Simplified Arabic" w:hint="cs"/>
                <w:sz w:val="20"/>
                <w:szCs w:val="22"/>
                <w:rtl/>
              </w:rPr>
              <w:t>درجة ملوحة</w:t>
            </w:r>
            <w:r w:rsidRPr="004969DC">
              <w:rPr>
                <w:rFonts w:cs="Simplified Arabic"/>
                <w:sz w:val="20"/>
                <w:szCs w:val="22"/>
                <w:rtl/>
              </w:rPr>
              <w:t xml:space="preserve"> أعلى من</w:t>
            </w:r>
            <w:r w:rsidRPr="004969DC">
              <w:rPr>
                <w:rFonts w:cs="Simplified Arabic" w:hint="cs"/>
                <w:sz w:val="20"/>
                <w:szCs w:val="22"/>
                <w:rtl/>
              </w:rPr>
              <w:t xml:space="preserve"> تلك الموجودة في</w:t>
            </w:r>
            <w:r w:rsidRPr="004969DC">
              <w:rPr>
                <w:rFonts w:cs="Simplified Arabic"/>
                <w:sz w:val="20"/>
                <w:szCs w:val="22"/>
                <w:rtl/>
              </w:rPr>
              <w:t xml:space="preserve"> بحر قزوين، </w:t>
            </w:r>
            <w:r w:rsidRPr="004969DC">
              <w:rPr>
                <w:rFonts w:cs="Simplified Arabic" w:hint="cs"/>
                <w:sz w:val="20"/>
                <w:szCs w:val="22"/>
                <w:rtl/>
              </w:rPr>
              <w:t>نظراً لعدم تدفق الأنهار</w:t>
            </w:r>
            <w:r w:rsidRPr="004969DC">
              <w:rPr>
                <w:rFonts w:cs="Simplified Arabic"/>
                <w:sz w:val="20"/>
                <w:szCs w:val="22"/>
                <w:rtl/>
              </w:rPr>
              <w:t xml:space="preserve"> إليه</w:t>
            </w:r>
            <w:r w:rsidRPr="004969DC">
              <w:rPr>
                <w:rFonts w:cs="Simplified Arabic"/>
                <w:sz w:val="20"/>
                <w:szCs w:val="22"/>
                <w:lang w:val="es-ES_tradnl"/>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lastRenderedPageBreak/>
              <w:t>-</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7" w:type="dxa"/>
            <w:vAlign w:val="center"/>
          </w:tcPr>
          <w:p w:rsidR="000A5DEA" w:rsidRPr="00E2695B" w:rsidRDefault="000A5DEA" w:rsidP="00094717">
            <w:pPr>
              <w:rPr>
                <w:color w:val="000000"/>
                <w:sz w:val="20"/>
                <w:szCs w:val="22"/>
              </w:rPr>
            </w:pPr>
            <w:r w:rsidRPr="00E2695B">
              <w:rPr>
                <w:color w:val="000000"/>
                <w:sz w:val="20"/>
                <w:szCs w:val="22"/>
              </w:rPr>
              <w:t>H</w:t>
            </w:r>
          </w:p>
        </w:tc>
      </w:tr>
      <w:tr w:rsidR="000A5DEA" w:rsidRPr="00E2695B" w:rsidTr="000C613F">
        <w:trPr>
          <w:jc w:val="center"/>
        </w:trPr>
        <w:tc>
          <w:tcPr>
            <w:tcW w:w="9687" w:type="dxa"/>
            <w:tcBorders>
              <w:bottom w:val="single" w:sz="4" w:space="0" w:color="auto"/>
            </w:tcBorders>
            <w:shd w:val="clear" w:color="auto" w:fill="auto"/>
          </w:tcPr>
          <w:p w:rsidR="000A5DEA" w:rsidRPr="004969DC" w:rsidRDefault="000A5DEA" w:rsidP="004969DC">
            <w:pPr>
              <w:spacing w:after="0" w:line="204" w:lineRule="auto"/>
              <w:rPr>
                <w:bCs/>
                <w:sz w:val="20"/>
                <w:szCs w:val="22"/>
                <w:lang w:val="fr-CH"/>
              </w:rPr>
            </w:pPr>
            <w:bookmarkStart w:id="59" w:name="_Toc524295488"/>
            <w:bookmarkStart w:id="60" w:name="_Toc6071568"/>
            <w:r w:rsidRPr="004969DC">
              <w:rPr>
                <w:rFonts w:hint="cs"/>
                <w:bCs/>
                <w:sz w:val="20"/>
                <w:szCs w:val="22"/>
                <w:rtl/>
              </w:rPr>
              <w:lastRenderedPageBreak/>
              <w:t>25- ميانكاله-إيسنغولي</w:t>
            </w:r>
            <w:bookmarkEnd w:id="59"/>
            <w:bookmarkEnd w:id="60"/>
          </w:p>
          <w:p w:rsidR="000A5DEA" w:rsidRPr="004969DC" w:rsidRDefault="000A5DEA" w:rsidP="00CD26C5">
            <w:pPr>
              <w:pStyle w:val="ListParagraph"/>
              <w:numPr>
                <w:ilvl w:val="0"/>
                <w:numId w:val="143"/>
              </w:numPr>
              <w:bidi/>
              <w:spacing w:after="0" w:line="204" w:lineRule="auto"/>
              <w:ind w:left="332" w:hanging="332"/>
              <w:rPr>
                <w:rFonts w:eastAsia="MS Mincho" w:cs="Simplified Arabic"/>
                <w:sz w:val="20"/>
                <w:szCs w:val="22"/>
                <w:lang w:val="fr-CH"/>
              </w:rPr>
            </w:pPr>
            <w:r w:rsidRPr="004969DC">
              <w:rPr>
                <w:rFonts w:cs="Simplified Arabic"/>
                <w:sz w:val="20"/>
                <w:szCs w:val="22"/>
                <w:rtl/>
              </w:rPr>
              <w:t xml:space="preserve">الموقع: تقع هذه المنطقة في الركن الجنوبي الشرقي </w:t>
            </w:r>
            <w:r w:rsidRPr="004969DC">
              <w:rPr>
                <w:rFonts w:cs="Simplified Arabic" w:hint="cs"/>
                <w:sz w:val="20"/>
                <w:szCs w:val="22"/>
                <w:rtl/>
              </w:rPr>
              <w:t>ل</w:t>
            </w:r>
            <w:r w:rsidRPr="004969DC">
              <w:rPr>
                <w:rFonts w:cs="Simplified Arabic"/>
                <w:sz w:val="20"/>
                <w:szCs w:val="22"/>
                <w:rtl/>
              </w:rPr>
              <w:t>بحر قزوين وتغطي</w:t>
            </w:r>
            <w:r w:rsidRPr="004969DC">
              <w:rPr>
                <w:rFonts w:cs="Simplified Arabic" w:hint="cs"/>
                <w:sz w:val="20"/>
                <w:szCs w:val="22"/>
                <w:rtl/>
              </w:rPr>
              <w:t xml:space="preserve"> مجالاً يمتد</w:t>
            </w:r>
            <w:r w:rsidRPr="004969DC">
              <w:rPr>
                <w:rFonts w:cs="Simplified Arabic"/>
                <w:sz w:val="20"/>
                <w:szCs w:val="22"/>
                <w:rtl/>
              </w:rPr>
              <w:t xml:space="preserve"> من المياه البحرية والساحلية ل</w:t>
            </w:r>
            <w:r w:rsidRPr="004969DC">
              <w:rPr>
                <w:rFonts w:cs="Simplified Arabic" w:hint="cs"/>
                <w:sz w:val="20"/>
                <w:szCs w:val="22"/>
                <w:rtl/>
              </w:rPr>
              <w:t>ناحية</w:t>
            </w:r>
            <w:r w:rsidRPr="004969DC">
              <w:rPr>
                <w:rFonts w:cs="Simplified Arabic"/>
                <w:sz w:val="20"/>
                <w:szCs w:val="22"/>
                <w:rtl/>
              </w:rPr>
              <w:t xml:space="preserve"> إيك</w:t>
            </w:r>
            <w:r w:rsidRPr="004969DC">
              <w:rPr>
                <w:rFonts w:cs="Simplified Arabic" w:hint="cs"/>
                <w:sz w:val="20"/>
                <w:szCs w:val="22"/>
                <w:rtl/>
              </w:rPr>
              <w:t>ي</w:t>
            </w:r>
            <w:r w:rsidRPr="004969DC">
              <w:rPr>
                <w:rFonts w:cs="Simplified Arabic"/>
                <w:sz w:val="20"/>
                <w:szCs w:val="22"/>
                <w:rtl/>
              </w:rPr>
              <w:t>ر</w:t>
            </w:r>
            <w:r w:rsidRPr="004969DC">
              <w:rPr>
                <w:rFonts w:cs="Simplified Arabic" w:hint="cs"/>
                <w:sz w:val="20"/>
                <w:szCs w:val="22"/>
                <w:rtl/>
              </w:rPr>
              <w:t>ي</w:t>
            </w:r>
            <w:r w:rsidRPr="004969DC">
              <w:rPr>
                <w:rFonts w:cs="Simplified Arabic"/>
                <w:sz w:val="20"/>
                <w:szCs w:val="22"/>
                <w:rtl/>
              </w:rPr>
              <w:t xml:space="preserve">م - إسينغولي في تركمانستان إلى بحيرة جوميشان </w:t>
            </w:r>
            <w:r w:rsidRPr="004969DC">
              <w:rPr>
                <w:rFonts w:cs="Simplified Arabic" w:hint="cs"/>
                <w:sz w:val="20"/>
                <w:szCs w:val="22"/>
                <w:rtl/>
              </w:rPr>
              <w:t>الشاطئية</w:t>
            </w:r>
            <w:r w:rsidRPr="004969DC">
              <w:rPr>
                <w:rFonts w:cs="Simplified Arabic"/>
                <w:sz w:val="20"/>
                <w:szCs w:val="22"/>
                <w:rtl/>
              </w:rPr>
              <w:t xml:space="preserve">، وخليج جورجان، وشبه جزيرة ميانكاله ، ولابو - زاغمارز </w:t>
            </w:r>
            <w:r w:rsidRPr="004969DC">
              <w:rPr>
                <w:rFonts w:cs="Simplified Arabic" w:hint="cs"/>
                <w:sz w:val="20"/>
                <w:szCs w:val="22"/>
                <w:rtl/>
              </w:rPr>
              <w:t>آب باندانس</w:t>
            </w:r>
            <w:r w:rsidRPr="004969DC">
              <w:rPr>
                <w:rFonts w:cs="Simplified Arabic"/>
                <w:sz w:val="20"/>
                <w:szCs w:val="22"/>
                <w:rtl/>
              </w:rPr>
              <w:t xml:space="preserve"> في إيران.</w:t>
            </w:r>
          </w:p>
          <w:p w:rsidR="004969DC" w:rsidRPr="006D298F" w:rsidRDefault="000A5DEA" w:rsidP="006D298F">
            <w:pPr>
              <w:pStyle w:val="ListParagraph"/>
              <w:numPr>
                <w:ilvl w:val="0"/>
                <w:numId w:val="143"/>
              </w:numPr>
              <w:bidi/>
              <w:spacing w:after="0" w:line="204" w:lineRule="auto"/>
              <w:ind w:left="332" w:hanging="332"/>
              <w:rPr>
                <w:rFonts w:eastAsia="MS Mincho" w:cs="Simplified Arabic"/>
                <w:sz w:val="20"/>
                <w:szCs w:val="22"/>
                <w:lang w:val="fr-CH"/>
              </w:rPr>
            </w:pPr>
            <w:r w:rsidRPr="004969DC">
              <w:rPr>
                <w:rFonts w:eastAsia="MS Mincho" w:cs="Simplified Arabic" w:hint="cs"/>
                <w:sz w:val="20"/>
                <w:szCs w:val="22"/>
                <w:rtl/>
              </w:rPr>
              <w:t>هذه المنطقة هي موقع يحتمل ترشيحه ليكون</w:t>
            </w:r>
            <w:r w:rsidRPr="004969DC">
              <w:rPr>
                <w:rFonts w:eastAsia="MS Mincho" w:cs="Simplified Arabic"/>
                <w:sz w:val="20"/>
                <w:szCs w:val="22"/>
                <w:rtl/>
              </w:rPr>
              <w:t xml:space="preserve"> محمية خاصة </w:t>
            </w:r>
            <w:r w:rsidRPr="004969DC">
              <w:rPr>
                <w:rFonts w:eastAsia="MS Mincho" w:cs="Simplified Arabic" w:hint="cs"/>
                <w:sz w:val="20"/>
                <w:szCs w:val="22"/>
                <w:rtl/>
              </w:rPr>
              <w:t>لحيوان الفقمة في</w:t>
            </w:r>
            <w:r w:rsidRPr="004969DC">
              <w:rPr>
                <w:rFonts w:eastAsia="MS Mincho" w:cs="Simplified Arabic"/>
                <w:sz w:val="20"/>
                <w:szCs w:val="22"/>
                <w:rtl/>
              </w:rPr>
              <w:t xml:space="preserve"> </w:t>
            </w:r>
            <w:r w:rsidRPr="004969DC">
              <w:rPr>
                <w:rFonts w:eastAsia="MS Mincho" w:cs="Simplified Arabic" w:hint="cs"/>
                <w:sz w:val="20"/>
                <w:szCs w:val="22"/>
                <w:rtl/>
              </w:rPr>
              <w:t>إطار</w:t>
            </w:r>
            <w:r w:rsidRPr="004969DC">
              <w:rPr>
                <w:rFonts w:eastAsia="MS Mincho" w:cs="Simplified Arabic"/>
                <w:sz w:val="20"/>
                <w:szCs w:val="22"/>
                <w:rtl/>
              </w:rPr>
              <w:t xml:space="preserve"> برنامج بحر قزوين. </w:t>
            </w:r>
            <w:r w:rsidRPr="004969DC">
              <w:rPr>
                <w:rFonts w:eastAsia="MS Mincho" w:cs="Simplified Arabic" w:hint="cs"/>
                <w:sz w:val="20"/>
                <w:szCs w:val="22"/>
                <w:rtl/>
              </w:rPr>
              <w:t>و</w:t>
            </w:r>
            <w:r w:rsidRPr="004969DC">
              <w:rPr>
                <w:rFonts w:eastAsia="MS Mincho" w:cs="Simplified Arabic"/>
                <w:sz w:val="20"/>
                <w:szCs w:val="22"/>
                <w:rtl/>
              </w:rPr>
              <w:t xml:space="preserve">تعد </w:t>
            </w:r>
            <w:r w:rsidRPr="004969DC">
              <w:rPr>
                <w:rFonts w:eastAsia="MS Mincho" w:cs="Simplified Arabic" w:hint="cs"/>
                <w:sz w:val="20"/>
                <w:szCs w:val="22"/>
                <w:rtl/>
              </w:rPr>
              <w:t>أيضاً إحدى</w:t>
            </w:r>
            <w:r w:rsidRPr="004969DC">
              <w:rPr>
                <w:rFonts w:eastAsia="MS Mincho" w:cs="Simplified Arabic"/>
                <w:sz w:val="20"/>
                <w:szCs w:val="22"/>
                <w:rtl/>
              </w:rPr>
              <w:t xml:space="preserve"> أهم مواقع </w:t>
            </w:r>
            <w:r w:rsidRPr="004969DC">
              <w:rPr>
                <w:rFonts w:eastAsia="MS Mincho" w:cs="Simplified Arabic" w:hint="cs"/>
                <w:sz w:val="20"/>
                <w:szCs w:val="22"/>
                <w:rtl/>
              </w:rPr>
              <w:t xml:space="preserve">الاعتلاف </w:t>
            </w:r>
            <w:r w:rsidRPr="004969DC">
              <w:rPr>
                <w:rFonts w:eastAsia="MS Mincho" w:cs="Simplified Arabic"/>
                <w:sz w:val="20"/>
                <w:szCs w:val="22"/>
                <w:rtl/>
              </w:rPr>
              <w:t>وال</w:t>
            </w:r>
            <w:r w:rsidRPr="004969DC">
              <w:rPr>
                <w:rFonts w:eastAsia="MS Mincho" w:cs="Simplified Arabic" w:hint="cs"/>
                <w:sz w:val="20"/>
                <w:szCs w:val="22"/>
                <w:rtl/>
              </w:rPr>
              <w:t>تناسل</w:t>
            </w:r>
            <w:r w:rsidRPr="004969DC">
              <w:rPr>
                <w:rFonts w:eastAsia="MS Mincho" w:cs="Simplified Arabic"/>
                <w:sz w:val="20"/>
                <w:szCs w:val="22"/>
                <w:rtl/>
              </w:rPr>
              <w:t xml:space="preserve"> لجميع أنواع سمك الحفش</w:t>
            </w:r>
            <w:r w:rsidRPr="004969DC">
              <w:rPr>
                <w:rFonts w:eastAsia="MS Mincho" w:cs="Simplified Arabic" w:hint="cs"/>
                <w:sz w:val="20"/>
                <w:szCs w:val="22"/>
                <w:rtl/>
              </w:rPr>
              <w:t xml:space="preserve"> الخمسة</w:t>
            </w:r>
            <w:r w:rsidRPr="004969DC">
              <w:rPr>
                <w:rFonts w:eastAsia="MS Mincho" w:cs="Simplified Arabic"/>
                <w:sz w:val="20"/>
                <w:szCs w:val="22"/>
                <w:rtl/>
              </w:rPr>
              <w:t xml:space="preserve"> المهددة بالانقراض، بما </w:t>
            </w:r>
            <w:r w:rsidRPr="004969DC">
              <w:rPr>
                <w:rFonts w:eastAsia="MS Mincho" w:cs="Simplified Arabic" w:hint="cs"/>
                <w:sz w:val="20"/>
                <w:szCs w:val="22"/>
                <w:rtl/>
              </w:rPr>
              <w:t xml:space="preserve">فيها </w:t>
            </w:r>
            <w:r w:rsidRPr="004969DC">
              <w:rPr>
                <w:rFonts w:eastAsia="MS Mincho" w:cs="Simplified Arabic"/>
                <w:sz w:val="20"/>
                <w:szCs w:val="22"/>
                <w:rtl/>
              </w:rPr>
              <w:t>الحفش الروسي (</w:t>
            </w:r>
            <w:r w:rsidRPr="004969DC">
              <w:rPr>
                <w:rFonts w:eastAsia="MS Mincho" w:cs="Simplified Arabic"/>
                <w:i/>
                <w:iCs/>
                <w:sz w:val="20"/>
                <w:szCs w:val="22"/>
                <w:lang w:val="fr-CH"/>
              </w:rPr>
              <w:t>Acipenser gueldenstaedtii</w:t>
            </w:r>
            <w:r w:rsidRPr="004969DC">
              <w:rPr>
                <w:rFonts w:eastAsia="MS Mincho" w:cs="Simplified Arabic"/>
                <w:sz w:val="20"/>
                <w:szCs w:val="22"/>
                <w:rtl/>
              </w:rPr>
              <w:t>)</w:t>
            </w:r>
            <w:r w:rsidRPr="004969DC">
              <w:rPr>
                <w:rFonts w:eastAsia="MS Mincho" w:cs="Simplified Arabic" w:hint="cs"/>
                <w:sz w:val="20"/>
                <w:szCs w:val="22"/>
                <w:rtl/>
              </w:rPr>
              <w:t>، والحفش الشوكي (</w:t>
            </w:r>
            <w:r w:rsidRPr="004969DC">
              <w:rPr>
                <w:rFonts w:eastAsia="MS Mincho" w:cs="Simplified Arabic"/>
                <w:i/>
                <w:sz w:val="20"/>
                <w:szCs w:val="22"/>
                <w:lang w:val="fr-CH"/>
              </w:rPr>
              <w:t>A. nudiventris</w:t>
            </w:r>
            <w:r w:rsidRPr="004969DC">
              <w:rPr>
                <w:rFonts w:eastAsia="MS Mincho" w:cs="Simplified Arabic" w:hint="cs"/>
                <w:sz w:val="20"/>
                <w:szCs w:val="22"/>
                <w:rtl/>
              </w:rPr>
              <w:t>)، والحفش الفارسي (</w:t>
            </w:r>
            <w:r w:rsidRPr="004969DC">
              <w:rPr>
                <w:rFonts w:eastAsia="MS Mincho" w:cs="Simplified Arabic"/>
                <w:i/>
                <w:sz w:val="20"/>
                <w:szCs w:val="22"/>
                <w:lang w:val="fr-CH"/>
              </w:rPr>
              <w:t>A. persicus</w:t>
            </w:r>
            <w:r w:rsidRPr="004969DC">
              <w:rPr>
                <w:rFonts w:eastAsia="MS Mincho" w:cs="Simplified Arabic" w:hint="cs"/>
                <w:sz w:val="20"/>
                <w:szCs w:val="22"/>
                <w:rtl/>
              </w:rPr>
              <w:t>)،</w:t>
            </w:r>
            <w:r w:rsidRPr="004969DC">
              <w:rPr>
                <w:rFonts w:eastAsia="MS Mincho" w:cs="Simplified Arabic"/>
                <w:sz w:val="20"/>
                <w:szCs w:val="22"/>
                <w:rtl/>
              </w:rPr>
              <w:t xml:space="preserve"> والحفش</w:t>
            </w:r>
            <w:r w:rsidRPr="004969DC">
              <w:rPr>
                <w:rFonts w:eastAsia="MS Mincho" w:cs="Simplified Arabic" w:hint="cs"/>
                <w:sz w:val="20"/>
                <w:szCs w:val="22"/>
                <w:rtl/>
              </w:rPr>
              <w:t xml:space="preserve"> النجمي</w:t>
            </w:r>
            <w:r w:rsidRPr="004969DC">
              <w:rPr>
                <w:rFonts w:eastAsia="MS Mincho" w:cs="Simplified Arabic"/>
                <w:sz w:val="20"/>
                <w:szCs w:val="22"/>
                <w:rtl/>
              </w:rPr>
              <w:t xml:space="preserve"> (</w:t>
            </w:r>
            <w:r w:rsidRPr="004969DC">
              <w:rPr>
                <w:rFonts w:eastAsia="MS Mincho" w:cs="Simplified Arabic"/>
                <w:i/>
                <w:iCs/>
                <w:sz w:val="20"/>
                <w:szCs w:val="22"/>
                <w:lang w:val="fr-CH"/>
              </w:rPr>
              <w:t>A. stellatus</w:t>
            </w:r>
            <w:r w:rsidRPr="004969DC">
              <w:rPr>
                <w:rFonts w:eastAsia="MS Mincho" w:cs="Simplified Arabic"/>
                <w:sz w:val="20"/>
                <w:szCs w:val="22"/>
                <w:rtl/>
              </w:rPr>
              <w:t>)،</w:t>
            </w:r>
            <w:r w:rsidRPr="004969DC">
              <w:rPr>
                <w:rFonts w:eastAsia="MS Mincho" w:cs="Simplified Arabic" w:hint="cs"/>
                <w:sz w:val="20"/>
                <w:szCs w:val="22"/>
                <w:rtl/>
              </w:rPr>
              <w:t xml:space="preserve"> و</w:t>
            </w:r>
            <w:r w:rsidRPr="004969DC">
              <w:rPr>
                <w:rFonts w:eastAsia="MS Mincho" w:cs="Simplified Arabic"/>
                <w:sz w:val="20"/>
                <w:szCs w:val="22"/>
                <w:rtl/>
              </w:rPr>
              <w:t xml:space="preserve">الحفش </w:t>
            </w:r>
            <w:r w:rsidRPr="004969DC">
              <w:rPr>
                <w:rFonts w:eastAsia="MS Mincho" w:cs="Simplified Arabic" w:hint="cs"/>
                <w:sz w:val="20"/>
                <w:szCs w:val="22"/>
                <w:rtl/>
              </w:rPr>
              <w:t>الأوروبي</w:t>
            </w:r>
            <w:r w:rsidRPr="004969DC">
              <w:rPr>
                <w:rFonts w:eastAsia="MS Mincho" w:cs="Simplified Arabic"/>
                <w:sz w:val="20"/>
                <w:szCs w:val="22"/>
                <w:rtl/>
              </w:rPr>
              <w:t xml:space="preserve"> (</w:t>
            </w:r>
            <w:r w:rsidRPr="004969DC">
              <w:rPr>
                <w:rFonts w:eastAsia="MS Mincho" w:cs="Simplified Arabic"/>
                <w:i/>
                <w:iCs/>
                <w:sz w:val="20"/>
                <w:szCs w:val="22"/>
                <w:lang w:val="fr-CH"/>
              </w:rPr>
              <w:t>Huso huso</w:t>
            </w:r>
            <w:r w:rsidRPr="004969DC">
              <w:rPr>
                <w:rFonts w:eastAsia="MS Mincho" w:cs="Simplified Arabic"/>
                <w:sz w:val="20"/>
                <w:szCs w:val="22"/>
                <w:rtl/>
              </w:rPr>
              <w:t>)</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و</w:t>
            </w:r>
            <w:r w:rsidRPr="004969DC">
              <w:rPr>
                <w:rFonts w:eastAsia="MS Mincho" w:cs="Simplified Arabic"/>
                <w:sz w:val="20"/>
                <w:szCs w:val="22"/>
                <w:rtl/>
              </w:rPr>
              <w:t xml:space="preserve">تعتبر منطقة ميانكاله-إسينغولي مهمة للغاية </w:t>
            </w:r>
            <w:r w:rsidRPr="004969DC">
              <w:rPr>
                <w:rFonts w:eastAsia="MS Mincho" w:cs="Simplified Arabic" w:hint="cs"/>
                <w:sz w:val="20"/>
                <w:szCs w:val="22"/>
                <w:rtl/>
              </w:rPr>
              <w:t>لتشتية</w:t>
            </w:r>
            <w:r w:rsidRPr="004969DC">
              <w:rPr>
                <w:rFonts w:eastAsia="MS Mincho" w:cs="Simplified Arabic"/>
                <w:sz w:val="20"/>
                <w:szCs w:val="22"/>
                <w:rtl/>
              </w:rPr>
              <w:t xml:space="preserve"> الطيور المائية</w:t>
            </w:r>
            <w:r w:rsidRPr="004969DC">
              <w:rPr>
                <w:rFonts w:eastAsia="MS Mincho" w:cs="Simplified Arabic" w:hint="cs"/>
                <w:sz w:val="20"/>
                <w:szCs w:val="22"/>
                <w:rtl/>
              </w:rPr>
              <w:t xml:space="preserve"> وعبورها على حد سواء،</w:t>
            </w:r>
            <w:r w:rsidRPr="004969DC">
              <w:rPr>
                <w:rFonts w:eastAsia="MS Mincho" w:cs="Simplified Arabic"/>
                <w:sz w:val="20"/>
                <w:szCs w:val="22"/>
                <w:rtl/>
              </w:rPr>
              <w:t xml:space="preserve"> </w:t>
            </w:r>
            <w:r w:rsidRPr="004969DC">
              <w:rPr>
                <w:rFonts w:eastAsia="MS Mincho" w:cs="Simplified Arabic" w:hint="cs"/>
                <w:sz w:val="20"/>
                <w:szCs w:val="22"/>
                <w:rtl/>
              </w:rPr>
              <w:t>وتضم أحد أكبر أعداد</w:t>
            </w:r>
            <w:r w:rsidRPr="004969DC">
              <w:rPr>
                <w:rFonts w:eastAsia="MS Mincho" w:cs="Simplified Arabic"/>
                <w:sz w:val="20"/>
                <w:szCs w:val="22"/>
                <w:rtl/>
              </w:rPr>
              <w:t xml:space="preserve"> الطيور </w:t>
            </w:r>
            <w:r w:rsidRPr="004969DC">
              <w:rPr>
                <w:rFonts w:eastAsia="MS Mincho" w:cs="Simplified Arabic" w:hint="cs"/>
                <w:sz w:val="20"/>
                <w:szCs w:val="22"/>
                <w:rtl/>
              </w:rPr>
              <w:t>المشتّية</w:t>
            </w:r>
            <w:r w:rsidRPr="004969DC">
              <w:rPr>
                <w:rFonts w:eastAsia="MS Mincho" w:cs="Simplified Arabic"/>
                <w:sz w:val="20"/>
                <w:szCs w:val="22"/>
                <w:rtl/>
              </w:rPr>
              <w:t xml:space="preserve"> في</w:t>
            </w:r>
            <w:r w:rsidRPr="004969DC">
              <w:rPr>
                <w:rFonts w:eastAsia="MS Mincho" w:cs="Simplified Arabic" w:hint="cs"/>
                <w:sz w:val="20"/>
                <w:szCs w:val="22"/>
                <w:rtl/>
              </w:rPr>
              <w:t xml:space="preserve"> منطقة </w:t>
            </w:r>
            <w:r w:rsidRPr="004969DC">
              <w:rPr>
                <w:rFonts w:eastAsia="MS Mincho" w:cs="Simplified Arabic"/>
                <w:sz w:val="20"/>
                <w:szCs w:val="22"/>
                <w:rtl/>
              </w:rPr>
              <w:t xml:space="preserve">جنوب بحر قزوين </w:t>
            </w:r>
            <w:r w:rsidRPr="004969DC">
              <w:rPr>
                <w:rFonts w:eastAsia="MS Mincho" w:cs="Simplified Arabic" w:hint="cs"/>
                <w:sz w:val="20"/>
                <w:szCs w:val="22"/>
                <w:rtl/>
              </w:rPr>
              <w:t>برمتها.</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w:t>
            </w:r>
          </w:p>
        </w:tc>
        <w:tc>
          <w:tcPr>
            <w:tcW w:w="506"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c>
          <w:tcPr>
            <w:tcW w:w="507" w:type="dxa"/>
            <w:tcBorders>
              <w:bottom w:val="single" w:sz="4" w:space="0" w:color="auto"/>
            </w:tcBorders>
            <w:vAlign w:val="center"/>
          </w:tcPr>
          <w:p w:rsidR="000A5DEA" w:rsidRPr="00E2695B" w:rsidRDefault="000A5DEA" w:rsidP="00094717">
            <w:pPr>
              <w:rPr>
                <w:color w:val="000000"/>
                <w:sz w:val="20"/>
                <w:szCs w:val="22"/>
              </w:rPr>
            </w:pPr>
            <w:r w:rsidRPr="00E2695B">
              <w:rPr>
                <w:color w:val="000000"/>
                <w:sz w:val="20"/>
                <w:szCs w:val="22"/>
              </w:rPr>
              <w:t>H</w:t>
            </w:r>
          </w:p>
        </w:tc>
      </w:tr>
      <w:tr w:rsidR="000A5DEA" w:rsidRPr="00E2695B" w:rsidTr="000C613F">
        <w:trPr>
          <w:jc w:val="center"/>
        </w:trPr>
        <w:tc>
          <w:tcPr>
            <w:tcW w:w="9687" w:type="dxa"/>
            <w:tcBorders>
              <w:bottom w:val="nil"/>
            </w:tcBorders>
            <w:shd w:val="clear" w:color="auto" w:fill="auto"/>
          </w:tcPr>
          <w:p w:rsidR="000A5DEA" w:rsidRPr="004969DC" w:rsidRDefault="000A5DEA" w:rsidP="004969DC">
            <w:pPr>
              <w:spacing w:after="0" w:line="204" w:lineRule="auto"/>
              <w:rPr>
                <w:bCs/>
                <w:sz w:val="20"/>
                <w:szCs w:val="22"/>
                <w:rtl/>
                <w:lang w:val="es-ES_tradnl"/>
              </w:rPr>
            </w:pPr>
            <w:bookmarkStart w:id="61" w:name="_Toc524295489"/>
            <w:bookmarkStart w:id="62" w:name="_Toc6071569"/>
            <w:r w:rsidRPr="004969DC">
              <w:rPr>
                <w:rFonts w:hint="cs"/>
                <w:bCs/>
                <w:sz w:val="20"/>
                <w:szCs w:val="22"/>
                <w:rtl/>
              </w:rPr>
              <w:t xml:space="preserve">26- - </w:t>
            </w:r>
            <w:r w:rsidRPr="004969DC">
              <w:rPr>
                <w:bCs/>
                <w:sz w:val="20"/>
                <w:szCs w:val="22"/>
                <w:rtl/>
              </w:rPr>
              <w:t>دلتا سيفيدرود</w:t>
            </w:r>
            <w:bookmarkEnd w:id="61"/>
            <w:bookmarkEnd w:id="62"/>
          </w:p>
          <w:p w:rsidR="000A5DEA" w:rsidRPr="004969DC" w:rsidRDefault="000A5DEA" w:rsidP="00CD26C5">
            <w:pPr>
              <w:pStyle w:val="ListParagraph"/>
              <w:numPr>
                <w:ilvl w:val="0"/>
                <w:numId w:val="144"/>
              </w:numPr>
              <w:bidi/>
              <w:spacing w:after="0" w:line="204" w:lineRule="auto"/>
              <w:ind w:left="331" w:hanging="331"/>
              <w:rPr>
                <w:rFonts w:cs="Simplified Arabic"/>
                <w:sz w:val="20"/>
                <w:szCs w:val="22"/>
                <w:rtl/>
                <w:lang w:val="es-ES_tradnl"/>
              </w:rPr>
            </w:pPr>
            <w:r w:rsidRPr="004969DC">
              <w:rPr>
                <w:rFonts w:cs="Simplified Arabic"/>
                <w:sz w:val="20"/>
                <w:szCs w:val="22"/>
                <w:rtl/>
              </w:rPr>
              <w:t>الموقع: تقع هذه المنطقة في الأراضي المنخفضة لج</w:t>
            </w:r>
            <w:r w:rsidRPr="004969DC">
              <w:rPr>
                <w:rFonts w:cs="Simplified Arabic" w:hint="cs"/>
                <w:sz w:val="20"/>
                <w:szCs w:val="22"/>
                <w:rtl/>
              </w:rPr>
              <w:t>نوب بحر</w:t>
            </w:r>
            <w:r w:rsidRPr="004969DC">
              <w:rPr>
                <w:rFonts w:cs="Simplified Arabic"/>
                <w:sz w:val="20"/>
                <w:szCs w:val="22"/>
                <w:rtl/>
              </w:rPr>
              <w:t xml:space="preserve"> قزوين وتغطي أكبر دلتا في منطقة جنوب بحر قزوين (</w:t>
            </w:r>
            <w:r w:rsidRPr="004969DC">
              <w:rPr>
                <w:rFonts w:cs="Simplified Arabic" w:hint="cs"/>
                <w:sz w:val="20"/>
                <w:szCs w:val="22"/>
                <w:rtl/>
              </w:rPr>
              <w:t>350 1</w:t>
            </w:r>
            <w:r w:rsidRPr="004969DC">
              <w:rPr>
                <w:rFonts w:cs="Simplified Arabic"/>
                <w:sz w:val="20"/>
                <w:szCs w:val="22"/>
                <w:rtl/>
              </w:rPr>
              <w:t>هكتار</w:t>
            </w:r>
            <w:r w:rsidRPr="004969DC">
              <w:rPr>
                <w:rFonts w:cs="Simplified Arabic" w:hint="cs"/>
                <w:sz w:val="20"/>
                <w:szCs w:val="22"/>
                <w:rtl/>
              </w:rPr>
              <w:t xml:space="preserve"> تقريباً</w:t>
            </w:r>
            <w:r w:rsidRPr="004969DC">
              <w:rPr>
                <w:rFonts w:cs="Simplified Arabic"/>
                <w:sz w:val="20"/>
                <w:szCs w:val="22"/>
                <w:rtl/>
              </w:rPr>
              <w:t xml:space="preserve">) وبحيرة بندر كياهشار </w:t>
            </w:r>
            <w:r w:rsidRPr="004969DC">
              <w:rPr>
                <w:rFonts w:cs="Simplified Arabic" w:hint="cs"/>
                <w:sz w:val="20"/>
                <w:szCs w:val="22"/>
                <w:rtl/>
              </w:rPr>
              <w:t>الشاطئية</w:t>
            </w:r>
            <w:r w:rsidRPr="004969DC">
              <w:rPr>
                <w:rFonts w:cs="Simplified Arabic"/>
                <w:sz w:val="20"/>
                <w:szCs w:val="22"/>
                <w:rtl/>
              </w:rPr>
              <w:t xml:space="preserve">، وهي </w:t>
            </w:r>
            <w:r w:rsidRPr="004969DC">
              <w:rPr>
                <w:rFonts w:cs="Simplified Arabic" w:hint="cs"/>
                <w:sz w:val="20"/>
                <w:szCs w:val="22"/>
                <w:rtl/>
              </w:rPr>
              <w:t>إحدى</w:t>
            </w:r>
            <w:r w:rsidRPr="004969DC">
              <w:rPr>
                <w:rFonts w:cs="Simplified Arabic"/>
                <w:sz w:val="20"/>
                <w:szCs w:val="22"/>
                <w:rtl/>
              </w:rPr>
              <w:t xml:space="preserve"> أقدم البحيرات في جنوب بحر قزوين. </w:t>
            </w:r>
            <w:r w:rsidRPr="004969DC">
              <w:rPr>
                <w:rFonts w:cs="Simplified Arabic" w:hint="cs"/>
                <w:sz w:val="20"/>
                <w:szCs w:val="22"/>
                <w:rtl/>
              </w:rPr>
              <w:t>و</w:t>
            </w:r>
            <w:r w:rsidRPr="004969DC">
              <w:rPr>
                <w:rFonts w:cs="Simplified Arabic"/>
                <w:sz w:val="20"/>
                <w:szCs w:val="22"/>
                <w:rtl/>
              </w:rPr>
              <w:t>تقع</w:t>
            </w:r>
            <w:r w:rsidRPr="004969DC">
              <w:rPr>
                <w:rFonts w:cs="Simplified Arabic" w:hint="cs"/>
                <w:sz w:val="20"/>
                <w:szCs w:val="22"/>
                <w:rtl/>
              </w:rPr>
              <w:t xml:space="preserve"> المنطقة</w:t>
            </w:r>
            <w:r w:rsidRPr="004969DC">
              <w:rPr>
                <w:rFonts w:cs="Simplified Arabic"/>
                <w:sz w:val="20"/>
                <w:szCs w:val="22"/>
                <w:rtl/>
              </w:rPr>
              <w:t xml:space="preserve"> في الأراضي المنخفضة </w:t>
            </w:r>
            <w:r w:rsidRPr="004969DC">
              <w:rPr>
                <w:rFonts w:cs="Simplified Arabic" w:hint="cs"/>
                <w:sz w:val="20"/>
                <w:szCs w:val="22"/>
                <w:rtl/>
              </w:rPr>
              <w:t>ل</w:t>
            </w:r>
            <w:r w:rsidRPr="004969DC">
              <w:rPr>
                <w:rFonts w:cs="Simplified Arabic"/>
                <w:sz w:val="20"/>
                <w:szCs w:val="22"/>
                <w:rtl/>
              </w:rPr>
              <w:t xml:space="preserve">جنوب </w:t>
            </w:r>
            <w:r w:rsidR="005C478D" w:rsidRPr="004969DC">
              <w:rPr>
                <w:rFonts w:cs="Simplified Arabic"/>
                <w:sz w:val="20"/>
                <w:szCs w:val="22"/>
                <w:rtl/>
              </w:rPr>
              <w:t>بحر قزوين وتضم أكبر دلتا نهر</w:t>
            </w:r>
            <w:r w:rsidR="005C478D" w:rsidRPr="004969DC">
              <w:rPr>
                <w:rFonts w:cs="Simplified Arabic" w:hint="cs"/>
                <w:sz w:val="20"/>
                <w:szCs w:val="22"/>
                <w:rtl/>
              </w:rPr>
              <w:t>ية</w:t>
            </w:r>
            <w:r w:rsidR="005C478D" w:rsidRPr="004969DC">
              <w:rPr>
                <w:rFonts w:cs="Simplified Arabic"/>
                <w:sz w:val="20"/>
                <w:szCs w:val="22"/>
                <w:rtl/>
              </w:rPr>
              <w:t xml:space="preserve"> في جنوب منطقة</w:t>
            </w:r>
            <w:r w:rsidR="005C478D" w:rsidRPr="004969DC">
              <w:rPr>
                <w:rFonts w:cs="Simplified Arabic" w:hint="cs"/>
                <w:sz w:val="20"/>
                <w:szCs w:val="22"/>
                <w:rtl/>
              </w:rPr>
              <w:t xml:space="preserve"> بحر</w:t>
            </w:r>
            <w:r w:rsidR="005C478D" w:rsidRPr="004969DC">
              <w:rPr>
                <w:rFonts w:cs="Simplified Arabic"/>
                <w:sz w:val="20"/>
                <w:szCs w:val="22"/>
                <w:rtl/>
              </w:rPr>
              <w:t xml:space="preserve"> قزوين</w:t>
            </w:r>
            <w:r w:rsidR="005C478D" w:rsidRPr="004969DC">
              <w:rPr>
                <w:rFonts w:eastAsia="MS Mincho" w:cs="Simplified Arabic"/>
                <w:sz w:val="20"/>
                <w:szCs w:val="22"/>
                <w:lang w:val="es-ES_tradnl"/>
              </w:rPr>
              <w:t>.</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H</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M</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L</w:t>
            </w:r>
          </w:p>
        </w:tc>
        <w:tc>
          <w:tcPr>
            <w:tcW w:w="506"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H</w:t>
            </w:r>
          </w:p>
        </w:tc>
        <w:tc>
          <w:tcPr>
            <w:tcW w:w="507" w:type="dxa"/>
            <w:tcBorders>
              <w:bottom w:val="nil"/>
            </w:tcBorders>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7E33A1" w:rsidTr="000C613F">
        <w:trPr>
          <w:jc w:val="center"/>
        </w:trPr>
        <w:tc>
          <w:tcPr>
            <w:tcW w:w="9687" w:type="dxa"/>
            <w:tcBorders>
              <w:top w:val="nil"/>
            </w:tcBorders>
            <w:shd w:val="clear" w:color="auto" w:fill="auto"/>
          </w:tcPr>
          <w:p w:rsidR="000A5DEA" w:rsidRPr="004969DC" w:rsidRDefault="009E01BD" w:rsidP="00CD26C5">
            <w:pPr>
              <w:pStyle w:val="ListParagraph"/>
              <w:keepNext/>
              <w:numPr>
                <w:ilvl w:val="0"/>
                <w:numId w:val="129"/>
              </w:numPr>
              <w:bidi/>
              <w:spacing w:after="0" w:line="204" w:lineRule="auto"/>
              <w:ind w:left="332" w:right="403" w:hanging="332"/>
              <w:rPr>
                <w:rFonts w:cs="Simplified Arabic"/>
                <w:b/>
                <w:sz w:val="20"/>
                <w:szCs w:val="22"/>
                <w:rtl/>
                <w:lang w:val="es-ES_tradnl"/>
              </w:rPr>
            </w:pPr>
            <w:bookmarkStart w:id="63" w:name="_Toc6071570"/>
            <w:r w:rsidRPr="004969DC">
              <w:rPr>
                <w:rFonts w:eastAsia="MS Mincho" w:cs="Simplified Arabic"/>
                <w:sz w:val="20"/>
                <w:szCs w:val="22"/>
                <w:rtl/>
              </w:rPr>
              <w:t>تعتبر هذه المنطقة مكانا</w:t>
            </w:r>
            <w:r w:rsidRPr="004969DC">
              <w:rPr>
                <w:rFonts w:eastAsia="MS Mincho" w:cs="Simplified Arabic" w:hint="cs"/>
                <w:sz w:val="20"/>
                <w:szCs w:val="22"/>
                <w:rtl/>
              </w:rPr>
              <w:t>ً</w:t>
            </w:r>
            <w:r w:rsidRPr="004969DC">
              <w:rPr>
                <w:rFonts w:eastAsia="MS Mincho" w:cs="Simplified Arabic"/>
                <w:sz w:val="20"/>
                <w:szCs w:val="22"/>
                <w:rtl/>
              </w:rPr>
              <w:t xml:space="preserve"> هاما</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لإعلاف وتناسل</w:t>
            </w:r>
            <w:r w:rsidRPr="004969DC">
              <w:rPr>
                <w:rFonts w:eastAsia="MS Mincho" w:cs="Simplified Arabic"/>
                <w:sz w:val="20"/>
                <w:szCs w:val="22"/>
                <w:rtl/>
              </w:rPr>
              <w:t xml:space="preserve"> أنواع مختلفة من الأسماك، بما في ذلك خمسة أنواع من سمك الحفش المهددة</w:t>
            </w:r>
            <w:r w:rsidRPr="004969DC">
              <w:rPr>
                <w:rFonts w:eastAsia="MS Mincho" w:cs="Simplified Arabic" w:hint="cs"/>
                <w:sz w:val="20"/>
                <w:szCs w:val="22"/>
                <w:rtl/>
              </w:rPr>
              <w:t xml:space="preserve"> بشدة </w:t>
            </w:r>
            <w:r w:rsidR="000A5DEA" w:rsidRPr="004969DC">
              <w:rPr>
                <w:rFonts w:eastAsia="MS Mincho" w:cs="Simplified Arabic"/>
                <w:sz w:val="20"/>
                <w:szCs w:val="22"/>
                <w:rtl/>
              </w:rPr>
              <w:t>بالانقراض</w:t>
            </w:r>
            <w:r w:rsidR="000A5DEA" w:rsidRPr="004969DC">
              <w:rPr>
                <w:rFonts w:eastAsia="MS Mincho" w:cs="Simplified Arabic" w:hint="cs"/>
                <w:sz w:val="20"/>
                <w:szCs w:val="22"/>
                <w:rtl/>
              </w:rPr>
              <w:t>، وهي:</w:t>
            </w:r>
            <w:r w:rsidR="000A5DEA" w:rsidRPr="004969DC">
              <w:rPr>
                <w:rFonts w:eastAsia="MS Mincho" w:cs="Simplified Arabic"/>
                <w:sz w:val="20"/>
                <w:szCs w:val="22"/>
                <w:rtl/>
              </w:rPr>
              <w:t xml:space="preserve"> الحفش الروسي (</w:t>
            </w:r>
            <w:r w:rsidR="000A5DEA" w:rsidRPr="00366E36">
              <w:rPr>
                <w:rFonts w:eastAsia="MS Mincho" w:cs="Simplified Arabic"/>
                <w:i/>
                <w:iCs/>
                <w:sz w:val="20"/>
                <w:szCs w:val="22"/>
                <w:lang w:val="en-US"/>
              </w:rPr>
              <w:t>Acipenser gueldenstaedtii</w:t>
            </w:r>
            <w:r w:rsidR="000A5DEA" w:rsidRPr="004969DC">
              <w:rPr>
                <w:rFonts w:eastAsia="MS Mincho" w:cs="Simplified Arabic"/>
                <w:sz w:val="20"/>
                <w:szCs w:val="22"/>
                <w:rtl/>
              </w:rPr>
              <w:t>)</w:t>
            </w:r>
            <w:r w:rsidR="000A5DEA" w:rsidRPr="004969DC">
              <w:rPr>
                <w:rFonts w:eastAsia="MS Mincho" w:cs="Simplified Arabic" w:hint="cs"/>
                <w:sz w:val="20"/>
                <w:szCs w:val="22"/>
                <w:rtl/>
              </w:rPr>
              <w:t xml:space="preserve">، </w:t>
            </w:r>
            <w:r w:rsidR="000A5DEA" w:rsidRPr="004969DC">
              <w:rPr>
                <w:rFonts w:eastAsia="MS Mincho" w:cs="Simplified Arabic"/>
                <w:sz w:val="20"/>
                <w:szCs w:val="22"/>
                <w:rtl/>
              </w:rPr>
              <w:t>والحفش</w:t>
            </w:r>
            <w:r w:rsidR="000A5DEA" w:rsidRPr="004969DC">
              <w:rPr>
                <w:rFonts w:eastAsia="MS Mincho" w:cs="Simplified Arabic" w:hint="cs"/>
                <w:sz w:val="20"/>
                <w:szCs w:val="22"/>
                <w:rtl/>
              </w:rPr>
              <w:t xml:space="preserve"> النجمي</w:t>
            </w:r>
            <w:r w:rsidR="000A5DEA" w:rsidRPr="004969DC">
              <w:rPr>
                <w:rFonts w:eastAsia="MS Mincho" w:cs="Simplified Arabic"/>
                <w:sz w:val="20"/>
                <w:szCs w:val="22"/>
                <w:rtl/>
              </w:rPr>
              <w:t xml:space="preserve"> (</w:t>
            </w:r>
            <w:r w:rsidR="000A5DEA" w:rsidRPr="00366E36">
              <w:rPr>
                <w:rFonts w:eastAsia="MS Mincho" w:cs="Simplified Arabic"/>
                <w:i/>
                <w:iCs/>
                <w:sz w:val="20"/>
                <w:szCs w:val="22"/>
                <w:lang w:val="en-US"/>
              </w:rPr>
              <w:t>A. stellatus</w:t>
            </w:r>
            <w:r w:rsidR="000A5DEA" w:rsidRPr="004969DC">
              <w:rPr>
                <w:rFonts w:eastAsia="MS Mincho" w:cs="Simplified Arabic"/>
                <w:sz w:val="20"/>
                <w:szCs w:val="22"/>
                <w:rtl/>
              </w:rPr>
              <w:t>)،</w:t>
            </w:r>
            <w:r w:rsidR="000A5DEA" w:rsidRPr="004969DC">
              <w:rPr>
                <w:rFonts w:eastAsia="MS Mincho" w:cs="Simplified Arabic" w:hint="cs"/>
                <w:sz w:val="20"/>
                <w:szCs w:val="22"/>
                <w:rtl/>
              </w:rPr>
              <w:t xml:space="preserve"> والحفش الشوكي (</w:t>
            </w:r>
            <w:r w:rsidR="000A5DEA" w:rsidRPr="00366E36">
              <w:rPr>
                <w:rFonts w:eastAsia="MS Mincho" w:cs="Simplified Arabic"/>
                <w:i/>
                <w:sz w:val="20"/>
                <w:szCs w:val="22"/>
                <w:lang w:val="en-US"/>
              </w:rPr>
              <w:t>A. nudiventris</w:t>
            </w:r>
            <w:r w:rsidR="000A5DEA" w:rsidRPr="004969DC">
              <w:rPr>
                <w:rFonts w:eastAsia="MS Mincho" w:cs="Simplified Arabic" w:hint="cs"/>
                <w:sz w:val="20"/>
                <w:szCs w:val="22"/>
                <w:rtl/>
              </w:rPr>
              <w:t>)، والحفش الفارسي (</w:t>
            </w:r>
            <w:r w:rsidR="000A5DEA" w:rsidRPr="00366E36">
              <w:rPr>
                <w:rFonts w:eastAsia="MS Mincho" w:cs="Simplified Arabic"/>
                <w:i/>
                <w:iCs/>
                <w:sz w:val="20"/>
                <w:szCs w:val="22"/>
                <w:lang w:val="en-US"/>
              </w:rPr>
              <w:t>A. persicus</w:t>
            </w:r>
            <w:r w:rsidR="000A5DEA" w:rsidRPr="004969DC">
              <w:rPr>
                <w:rFonts w:eastAsia="MS Mincho" w:cs="Simplified Arabic" w:hint="cs"/>
                <w:sz w:val="20"/>
                <w:szCs w:val="22"/>
                <w:rtl/>
              </w:rPr>
              <w:t>)، و</w:t>
            </w:r>
            <w:r w:rsidR="000A5DEA" w:rsidRPr="004969DC">
              <w:rPr>
                <w:rFonts w:eastAsia="MS Mincho" w:cs="Simplified Arabic"/>
                <w:sz w:val="20"/>
                <w:szCs w:val="22"/>
                <w:rtl/>
              </w:rPr>
              <w:t xml:space="preserve">الحفش </w:t>
            </w:r>
            <w:r w:rsidR="000A5DEA" w:rsidRPr="004969DC">
              <w:rPr>
                <w:rFonts w:eastAsia="MS Mincho" w:cs="Simplified Arabic" w:hint="cs"/>
                <w:sz w:val="20"/>
                <w:szCs w:val="22"/>
                <w:rtl/>
              </w:rPr>
              <w:t>الأوروبي</w:t>
            </w:r>
            <w:r w:rsidR="000A5DEA" w:rsidRPr="004969DC">
              <w:rPr>
                <w:rFonts w:eastAsia="MS Mincho" w:cs="Simplified Arabic"/>
                <w:sz w:val="20"/>
                <w:szCs w:val="22"/>
                <w:rtl/>
              </w:rPr>
              <w:t xml:space="preserve"> (</w:t>
            </w:r>
            <w:r w:rsidR="000A5DEA" w:rsidRPr="00366E36">
              <w:rPr>
                <w:rFonts w:eastAsia="MS Mincho" w:cs="Simplified Arabic"/>
                <w:i/>
                <w:iCs/>
                <w:sz w:val="20"/>
                <w:szCs w:val="22"/>
                <w:lang w:val="en-US"/>
              </w:rPr>
              <w:t>Huso huso</w:t>
            </w:r>
            <w:r w:rsidR="000A5DEA" w:rsidRPr="004969DC">
              <w:rPr>
                <w:rFonts w:eastAsia="MS Mincho" w:cs="Simplified Arabic"/>
                <w:sz w:val="20"/>
                <w:szCs w:val="22"/>
                <w:rtl/>
              </w:rPr>
              <w:t>)</w:t>
            </w:r>
            <w:r w:rsidR="000A5DEA" w:rsidRPr="004969DC">
              <w:rPr>
                <w:rFonts w:eastAsia="MS Mincho" w:cs="Simplified Arabic" w:hint="cs"/>
                <w:sz w:val="20"/>
                <w:szCs w:val="22"/>
                <w:rtl/>
              </w:rPr>
              <w:t>.</w:t>
            </w:r>
            <w:r w:rsidR="000A5DEA" w:rsidRPr="004969DC">
              <w:rPr>
                <w:rFonts w:eastAsia="MS Mincho" w:cs="Simplified Arabic" w:hint="cs"/>
                <w:b/>
                <w:sz w:val="20"/>
                <w:szCs w:val="22"/>
                <w:rtl/>
              </w:rPr>
              <w:t xml:space="preserve"> </w:t>
            </w:r>
            <w:r w:rsidR="000A5DEA" w:rsidRPr="004969DC">
              <w:rPr>
                <w:rFonts w:eastAsia="MS Mincho" w:cs="Simplified Arabic" w:hint="cs"/>
                <w:sz w:val="20"/>
                <w:szCs w:val="22"/>
                <w:rtl/>
              </w:rPr>
              <w:t>و</w:t>
            </w:r>
            <w:r w:rsidR="000A5DEA" w:rsidRPr="004969DC">
              <w:rPr>
                <w:rFonts w:eastAsia="MS Mincho" w:cs="Simplified Arabic"/>
                <w:sz w:val="20"/>
                <w:szCs w:val="22"/>
                <w:rtl/>
              </w:rPr>
              <w:t xml:space="preserve">دلتا سيفيدرود </w:t>
            </w:r>
            <w:r w:rsidR="000A5DEA" w:rsidRPr="004969DC">
              <w:rPr>
                <w:rFonts w:eastAsia="MS Mincho" w:cs="Simplified Arabic" w:hint="cs"/>
                <w:sz w:val="20"/>
                <w:szCs w:val="22"/>
                <w:rtl/>
              </w:rPr>
              <w:t>مكان هام</w:t>
            </w:r>
            <w:r w:rsidR="000A5DEA" w:rsidRPr="004969DC">
              <w:rPr>
                <w:rFonts w:eastAsia="MS Mincho" w:cs="Simplified Arabic"/>
                <w:sz w:val="20"/>
                <w:szCs w:val="22"/>
                <w:rtl/>
              </w:rPr>
              <w:t xml:space="preserve"> </w:t>
            </w:r>
            <w:r w:rsidR="000A5DEA" w:rsidRPr="004969DC">
              <w:rPr>
                <w:rFonts w:eastAsia="MS Mincho" w:cs="Simplified Arabic" w:hint="cs"/>
                <w:sz w:val="20"/>
                <w:szCs w:val="22"/>
                <w:rtl/>
              </w:rPr>
              <w:t>لهجرة وتشتية</w:t>
            </w:r>
            <w:r w:rsidR="000A5DEA" w:rsidRPr="004969DC">
              <w:rPr>
                <w:rFonts w:eastAsia="MS Mincho" w:cs="Simplified Arabic"/>
                <w:sz w:val="20"/>
                <w:szCs w:val="22"/>
                <w:rtl/>
              </w:rPr>
              <w:t xml:space="preserve"> مجموعة كبيرة ومتنوعة من الطيور المائية المهاجرة، </w:t>
            </w:r>
            <w:r w:rsidR="000A5DEA" w:rsidRPr="004969DC">
              <w:rPr>
                <w:rFonts w:eastAsia="MS Mincho" w:cs="Simplified Arabic" w:hint="cs"/>
                <w:sz w:val="20"/>
                <w:szCs w:val="22"/>
                <w:rtl/>
              </w:rPr>
              <w:t>و</w:t>
            </w:r>
            <w:r w:rsidR="000A5DEA" w:rsidRPr="004969DC">
              <w:rPr>
                <w:rFonts w:eastAsia="MS Mincho" w:cs="Simplified Arabic"/>
                <w:sz w:val="20"/>
                <w:szCs w:val="22"/>
                <w:rtl/>
              </w:rPr>
              <w:t xml:space="preserve">تدعم </w:t>
            </w:r>
            <w:r w:rsidR="000A5DEA" w:rsidRPr="004969DC">
              <w:rPr>
                <w:rFonts w:eastAsia="MS Mincho" w:cs="Simplified Arabic" w:hint="cs"/>
                <w:sz w:val="20"/>
                <w:szCs w:val="22"/>
                <w:rtl/>
              </w:rPr>
              <w:t>بصورة منتظمة</w:t>
            </w:r>
            <w:r w:rsidR="000A5DEA" w:rsidRPr="004969DC">
              <w:rPr>
                <w:rFonts w:eastAsia="MS Mincho" w:cs="Simplified Arabic"/>
                <w:sz w:val="20"/>
                <w:szCs w:val="22"/>
                <w:rtl/>
              </w:rPr>
              <w:t xml:space="preserve"> أكثر من </w:t>
            </w:r>
            <w:r w:rsidR="000A5DEA" w:rsidRPr="004969DC">
              <w:rPr>
                <w:rFonts w:eastAsia="MS Mincho" w:cs="Simplified Arabic" w:hint="cs"/>
                <w:sz w:val="20"/>
                <w:szCs w:val="22"/>
                <w:rtl/>
              </w:rPr>
              <w:t>000 100</w:t>
            </w:r>
            <w:r w:rsidR="000A5DEA" w:rsidRPr="004969DC">
              <w:rPr>
                <w:rFonts w:eastAsia="MS Mincho" w:cs="Simplified Arabic"/>
                <w:sz w:val="20"/>
                <w:szCs w:val="22"/>
                <w:rtl/>
              </w:rPr>
              <w:t xml:space="preserve"> طائر مائي وأكثر من 1 </w:t>
            </w:r>
            <w:r w:rsidR="000A5DEA" w:rsidRPr="004969DC">
              <w:rPr>
                <w:rFonts w:eastAsia="MS Mincho" w:cs="Simplified Arabic" w:hint="cs"/>
                <w:sz w:val="20"/>
                <w:szCs w:val="22"/>
                <w:rtl/>
              </w:rPr>
              <w:t xml:space="preserve">في المائة </w:t>
            </w:r>
            <w:r w:rsidR="000A5DEA" w:rsidRPr="004969DC">
              <w:rPr>
                <w:rFonts w:eastAsia="MS Mincho" w:cs="Simplified Arabic"/>
                <w:sz w:val="20"/>
                <w:szCs w:val="22"/>
                <w:rtl/>
              </w:rPr>
              <w:t xml:space="preserve">من </w:t>
            </w:r>
            <w:r w:rsidR="000A5DEA" w:rsidRPr="004969DC">
              <w:rPr>
                <w:rFonts w:eastAsia="MS Mincho" w:cs="Simplified Arabic" w:hint="cs"/>
                <w:sz w:val="20"/>
                <w:szCs w:val="22"/>
                <w:rtl/>
              </w:rPr>
              <w:t>المجموعات الإقليمية</w:t>
            </w:r>
            <w:r w:rsidR="000A5DEA" w:rsidRPr="004969DC">
              <w:rPr>
                <w:rFonts w:eastAsia="MS Mincho" w:cs="Simplified Arabic"/>
                <w:sz w:val="20"/>
                <w:szCs w:val="22"/>
                <w:rtl/>
              </w:rPr>
              <w:t xml:space="preserve"> للعديد من أنواع الطيور المائية</w:t>
            </w:r>
            <w:r w:rsidR="000A5DEA" w:rsidRPr="00366E36">
              <w:rPr>
                <w:rFonts w:eastAsia="MS Mincho" w:cs="Simplified Arabic"/>
                <w:sz w:val="20"/>
                <w:szCs w:val="22"/>
                <w:lang w:val="en-US"/>
              </w:rPr>
              <w:t>.</w:t>
            </w:r>
            <w:bookmarkEnd w:id="63"/>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6" w:type="dxa"/>
            <w:tcBorders>
              <w:top w:val="nil"/>
            </w:tcBorders>
            <w:vAlign w:val="center"/>
          </w:tcPr>
          <w:p w:rsidR="000A5DEA" w:rsidRPr="007E33A1" w:rsidRDefault="000A5DEA" w:rsidP="00094717">
            <w:pPr>
              <w:snapToGrid w:val="0"/>
              <w:jc w:val="center"/>
              <w:rPr>
                <w:b/>
                <w:color w:val="000000"/>
                <w:sz w:val="20"/>
                <w:szCs w:val="22"/>
              </w:rPr>
            </w:pPr>
          </w:p>
        </w:tc>
        <w:tc>
          <w:tcPr>
            <w:tcW w:w="507" w:type="dxa"/>
            <w:tcBorders>
              <w:top w:val="nil"/>
            </w:tcBorders>
            <w:vAlign w:val="center"/>
          </w:tcPr>
          <w:p w:rsidR="000A5DEA" w:rsidRPr="007E33A1" w:rsidRDefault="000A5DEA" w:rsidP="00094717">
            <w:pPr>
              <w:snapToGrid w:val="0"/>
              <w:jc w:val="center"/>
              <w:rPr>
                <w:b/>
                <w:color w:val="000000"/>
                <w:sz w:val="20"/>
                <w:szCs w:val="22"/>
              </w:rPr>
            </w:pP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64" w:name="_Toc524295490"/>
            <w:bookmarkStart w:id="65" w:name="_Toc6071571"/>
            <w:r w:rsidRPr="004969DC">
              <w:rPr>
                <w:rFonts w:hint="cs"/>
                <w:bCs/>
                <w:sz w:val="20"/>
                <w:szCs w:val="22"/>
                <w:rtl/>
              </w:rPr>
              <w:t>27-</w:t>
            </w:r>
            <w:r w:rsidRPr="004969DC">
              <w:rPr>
                <w:bCs/>
                <w:sz w:val="20"/>
                <w:szCs w:val="22"/>
                <w:rtl/>
              </w:rPr>
              <w:t xml:space="preserve"> مجمع أنزلي </w:t>
            </w:r>
            <w:r w:rsidRPr="004969DC">
              <w:rPr>
                <w:rFonts w:hint="cs"/>
                <w:bCs/>
                <w:sz w:val="20"/>
                <w:szCs w:val="22"/>
                <w:rtl/>
              </w:rPr>
              <w:t>للأراضي الرطبة</w:t>
            </w:r>
            <w:bookmarkEnd w:id="64"/>
            <w:bookmarkEnd w:id="65"/>
          </w:p>
          <w:p w:rsidR="000A5DEA" w:rsidRPr="004969DC" w:rsidRDefault="000A5DEA" w:rsidP="00CD26C5">
            <w:pPr>
              <w:pStyle w:val="ListParagraph"/>
              <w:numPr>
                <w:ilvl w:val="0"/>
                <w:numId w:val="129"/>
              </w:numPr>
              <w:bidi/>
              <w:spacing w:after="0" w:line="204" w:lineRule="auto"/>
              <w:ind w:left="332" w:hanging="332"/>
              <w:rPr>
                <w:rFonts w:eastAsia="MS Mincho" w:cs="Simplified Arabic"/>
                <w:b/>
                <w:sz w:val="20"/>
                <w:szCs w:val="22"/>
                <w:lang w:val="es-ES_tradnl"/>
              </w:rPr>
            </w:pPr>
            <w:r w:rsidRPr="004969DC">
              <w:rPr>
                <w:rFonts w:cs="Simplified Arabic"/>
                <w:sz w:val="20"/>
                <w:szCs w:val="22"/>
                <w:rtl/>
              </w:rPr>
              <w:t>الموقع: يقع مجمع أنزالي للأراضي الرطبة على الساحل الجنوبي الغربي لبحر قزوين، بالقرب من مدينة بندر أنزلي.</w:t>
            </w:r>
          </w:p>
          <w:p w:rsidR="000A5DEA" w:rsidRPr="004969DC" w:rsidRDefault="000A5DEA" w:rsidP="00CD26C5">
            <w:pPr>
              <w:pStyle w:val="ListParagraph"/>
              <w:numPr>
                <w:ilvl w:val="0"/>
                <w:numId w:val="129"/>
              </w:numPr>
              <w:bidi/>
              <w:spacing w:after="0" w:line="204" w:lineRule="auto"/>
              <w:ind w:left="331" w:hanging="331"/>
              <w:rPr>
                <w:rFonts w:eastAsia="MS Mincho" w:cs="Simplified Arabic"/>
                <w:sz w:val="20"/>
                <w:szCs w:val="22"/>
                <w:lang w:val="es-ES_tradnl"/>
              </w:rPr>
            </w:pPr>
            <w:r w:rsidRPr="004969DC">
              <w:rPr>
                <w:rFonts w:eastAsia="MS Mincho" w:cs="Simplified Arabic" w:hint="cs"/>
                <w:sz w:val="20"/>
                <w:szCs w:val="22"/>
                <w:rtl/>
              </w:rPr>
              <w:t>تعتبر</w:t>
            </w:r>
            <w:r w:rsidRPr="004969DC">
              <w:rPr>
                <w:rFonts w:eastAsia="MS Mincho" w:cs="Simplified Arabic"/>
                <w:sz w:val="20"/>
                <w:szCs w:val="22"/>
                <w:rtl/>
              </w:rPr>
              <w:t xml:space="preserve"> هذه المنطقة مثالاً جيدا</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للبحيرات الشاطئية</w:t>
            </w:r>
            <w:r w:rsidRPr="004969DC">
              <w:rPr>
                <w:rFonts w:eastAsia="MS Mincho" w:cs="Simplified Arabic"/>
                <w:sz w:val="20"/>
                <w:szCs w:val="22"/>
                <w:rtl/>
              </w:rPr>
              <w:t xml:space="preserve"> الطبيعية و</w:t>
            </w:r>
            <w:r w:rsidRPr="004969DC">
              <w:rPr>
                <w:rFonts w:eastAsia="MS Mincho" w:cs="Simplified Arabic" w:hint="cs"/>
                <w:sz w:val="20"/>
                <w:szCs w:val="22"/>
                <w:rtl/>
              </w:rPr>
              <w:t xml:space="preserve">نظم </w:t>
            </w:r>
            <w:r w:rsidRPr="004969DC">
              <w:rPr>
                <w:rFonts w:eastAsia="MS Mincho" w:cs="Simplified Arabic"/>
                <w:sz w:val="20"/>
                <w:szCs w:val="22"/>
                <w:rtl/>
              </w:rPr>
              <w:t xml:space="preserve">الأراضي الرطبة التي تتميز بها الأراضي المنخفضة </w:t>
            </w:r>
            <w:r w:rsidRPr="004969DC">
              <w:rPr>
                <w:rFonts w:eastAsia="MS Mincho" w:cs="Simplified Arabic" w:hint="cs"/>
                <w:sz w:val="20"/>
                <w:szCs w:val="22"/>
                <w:rtl/>
              </w:rPr>
              <w:t xml:space="preserve">في </w:t>
            </w:r>
            <w:r w:rsidRPr="004969DC">
              <w:rPr>
                <w:rFonts w:eastAsia="MS Mincho" w:cs="Simplified Arabic"/>
                <w:sz w:val="20"/>
                <w:szCs w:val="22"/>
                <w:rtl/>
              </w:rPr>
              <w:t>ج</w:t>
            </w:r>
            <w:r w:rsidRPr="004969DC">
              <w:rPr>
                <w:rFonts w:eastAsia="MS Mincho" w:cs="Simplified Arabic" w:hint="cs"/>
                <w:sz w:val="20"/>
                <w:szCs w:val="22"/>
                <w:rtl/>
              </w:rPr>
              <w:t>نوب بحر</w:t>
            </w:r>
            <w:r w:rsidRPr="004969DC">
              <w:rPr>
                <w:rFonts w:eastAsia="MS Mincho" w:cs="Simplified Arabic"/>
                <w:sz w:val="20"/>
                <w:szCs w:val="22"/>
                <w:rtl/>
              </w:rPr>
              <w:t xml:space="preserve"> قزوين. </w:t>
            </w:r>
            <w:r w:rsidRPr="004969DC">
              <w:rPr>
                <w:rFonts w:eastAsia="MS Mincho" w:cs="Simplified Arabic" w:hint="cs"/>
                <w:sz w:val="20"/>
                <w:szCs w:val="22"/>
                <w:rtl/>
              </w:rPr>
              <w:t>و</w:t>
            </w:r>
            <w:r w:rsidRPr="004969DC">
              <w:rPr>
                <w:rFonts w:eastAsia="MS Mincho" w:cs="Simplified Arabic"/>
                <w:sz w:val="20"/>
                <w:szCs w:val="22"/>
                <w:rtl/>
              </w:rPr>
              <w:t xml:space="preserve">تدعم هذه المنطقة أكثر من </w:t>
            </w:r>
            <w:r w:rsidRPr="004969DC">
              <w:rPr>
                <w:rFonts w:eastAsia="MS Mincho" w:cs="Simplified Arabic" w:hint="cs"/>
                <w:sz w:val="20"/>
                <w:szCs w:val="22"/>
                <w:rtl/>
              </w:rPr>
              <w:t>000 100</w:t>
            </w:r>
            <w:r w:rsidRPr="004969DC">
              <w:rPr>
                <w:rFonts w:eastAsia="MS Mincho" w:cs="Simplified Arabic"/>
                <w:sz w:val="20"/>
                <w:szCs w:val="22"/>
                <w:rtl/>
              </w:rPr>
              <w:t xml:space="preserve"> طائر مائي</w:t>
            </w:r>
            <w:r w:rsidRPr="004969DC">
              <w:rPr>
                <w:rFonts w:eastAsia="MS Mincho" w:cs="Simplified Arabic" w:hint="cs"/>
                <w:sz w:val="20"/>
                <w:szCs w:val="22"/>
                <w:rtl/>
              </w:rPr>
              <w:t xml:space="preserve"> مشتّ </w:t>
            </w:r>
            <w:r w:rsidRPr="004969DC">
              <w:rPr>
                <w:rFonts w:eastAsia="MS Mincho" w:cs="Simplified Arabic"/>
                <w:sz w:val="20"/>
                <w:szCs w:val="22"/>
                <w:rtl/>
              </w:rPr>
              <w:t xml:space="preserve">وأكثر من 1 </w:t>
            </w:r>
            <w:r w:rsidRPr="004969DC">
              <w:rPr>
                <w:rFonts w:eastAsia="MS Mincho" w:cs="Simplified Arabic" w:hint="cs"/>
                <w:sz w:val="20"/>
                <w:szCs w:val="22"/>
                <w:rtl/>
              </w:rPr>
              <w:t xml:space="preserve">في المائة </w:t>
            </w:r>
            <w:r w:rsidRPr="004969DC">
              <w:rPr>
                <w:rFonts w:eastAsia="MS Mincho" w:cs="Simplified Arabic"/>
                <w:sz w:val="20"/>
                <w:szCs w:val="22"/>
                <w:rtl/>
              </w:rPr>
              <w:t xml:space="preserve">من </w:t>
            </w:r>
            <w:r w:rsidRPr="004969DC">
              <w:rPr>
                <w:rFonts w:eastAsia="MS Mincho" w:cs="Simplified Arabic" w:hint="cs"/>
                <w:sz w:val="20"/>
                <w:szCs w:val="22"/>
                <w:rtl/>
              </w:rPr>
              <w:t>المجموعات الإقليمية</w:t>
            </w:r>
            <w:r w:rsidRPr="004969DC">
              <w:rPr>
                <w:rFonts w:eastAsia="MS Mincho" w:cs="Simplified Arabic"/>
                <w:sz w:val="20"/>
                <w:szCs w:val="22"/>
                <w:rtl/>
              </w:rPr>
              <w:t xml:space="preserve"> للعديد من أنواع الطيور المائية</w:t>
            </w:r>
            <w:r w:rsidRPr="004969DC">
              <w:rPr>
                <w:rFonts w:eastAsia="MS Mincho" w:cs="Simplified Arabic"/>
                <w:sz w:val="20"/>
                <w:szCs w:val="22"/>
                <w:lang w:val="es-ES_tradnl"/>
              </w:rPr>
              <w:t>.</w:t>
            </w:r>
            <w:r w:rsidRPr="004969DC">
              <w:rPr>
                <w:rFonts w:eastAsia="MS Mincho" w:cs="Simplified Arabic"/>
                <w:sz w:val="20"/>
                <w:szCs w:val="22"/>
                <w:rtl/>
              </w:rPr>
              <w:t xml:space="preserve"> </w:t>
            </w:r>
            <w:r w:rsidRPr="004969DC">
              <w:rPr>
                <w:rFonts w:eastAsia="MS Mincho" w:cs="Simplified Arabic" w:hint="cs"/>
                <w:sz w:val="20"/>
                <w:szCs w:val="22"/>
                <w:rtl/>
              </w:rPr>
              <w:t>وتشكل</w:t>
            </w:r>
            <w:r w:rsidRPr="004969DC">
              <w:rPr>
                <w:rFonts w:eastAsia="MS Mincho" w:cs="Simplified Arabic"/>
                <w:sz w:val="20"/>
                <w:szCs w:val="22"/>
                <w:rtl/>
              </w:rPr>
              <w:t xml:space="preserve"> أيضا</w:t>
            </w:r>
            <w:r w:rsidRPr="004969DC">
              <w:rPr>
                <w:rFonts w:eastAsia="MS Mincho" w:cs="Simplified Arabic" w:hint="cs"/>
                <w:sz w:val="20"/>
                <w:szCs w:val="22"/>
                <w:rtl/>
              </w:rPr>
              <w:t>ً</w:t>
            </w:r>
            <w:r w:rsidRPr="004969DC">
              <w:rPr>
                <w:rFonts w:eastAsia="MS Mincho" w:cs="Simplified Arabic"/>
                <w:sz w:val="20"/>
                <w:szCs w:val="22"/>
                <w:rtl/>
              </w:rPr>
              <w:t xml:space="preserve"> موقع</w:t>
            </w:r>
            <w:r w:rsidRPr="004969DC">
              <w:rPr>
                <w:rFonts w:eastAsia="MS Mincho" w:cs="Simplified Arabic" w:hint="cs"/>
                <w:sz w:val="20"/>
                <w:szCs w:val="22"/>
                <w:rtl/>
              </w:rPr>
              <w:t>اً</w:t>
            </w:r>
            <w:r w:rsidRPr="004969DC">
              <w:rPr>
                <w:rFonts w:eastAsia="MS Mincho" w:cs="Simplified Arabic"/>
                <w:sz w:val="20"/>
                <w:szCs w:val="22"/>
                <w:rtl/>
              </w:rPr>
              <w:t xml:space="preserve"> مهما</w:t>
            </w:r>
            <w:r w:rsidRPr="004969DC">
              <w:rPr>
                <w:rFonts w:eastAsia="MS Mincho" w:cs="Simplified Arabic" w:hint="cs"/>
                <w:sz w:val="20"/>
                <w:szCs w:val="22"/>
                <w:rtl/>
              </w:rPr>
              <w:t>ً</w:t>
            </w:r>
            <w:r w:rsidRPr="004969DC">
              <w:rPr>
                <w:rFonts w:eastAsia="MS Mincho" w:cs="Simplified Arabic"/>
                <w:sz w:val="20"/>
                <w:szCs w:val="22"/>
                <w:rtl/>
              </w:rPr>
              <w:t xml:space="preserve"> </w:t>
            </w:r>
            <w:r w:rsidRPr="004969DC">
              <w:rPr>
                <w:rFonts w:eastAsia="MS Mincho" w:cs="Simplified Arabic" w:hint="cs"/>
                <w:sz w:val="20"/>
                <w:szCs w:val="22"/>
                <w:rtl/>
              </w:rPr>
              <w:t>لحفظ</w:t>
            </w:r>
            <w:r w:rsidRPr="004969DC">
              <w:rPr>
                <w:rFonts w:eastAsia="MS Mincho" w:cs="Simplified Arabic"/>
                <w:sz w:val="20"/>
                <w:szCs w:val="22"/>
                <w:rtl/>
              </w:rPr>
              <w:t xml:space="preserve"> الموارد ال</w:t>
            </w:r>
            <w:r w:rsidRPr="004969DC">
              <w:rPr>
                <w:rFonts w:eastAsia="MS Mincho" w:cs="Simplified Arabic" w:hint="cs"/>
                <w:sz w:val="20"/>
                <w:szCs w:val="22"/>
                <w:rtl/>
              </w:rPr>
              <w:t>جينية</w:t>
            </w:r>
            <w:r w:rsidRPr="004969DC">
              <w:rPr>
                <w:rFonts w:eastAsia="MS Mincho" w:cs="Simplified Arabic"/>
                <w:sz w:val="20"/>
                <w:szCs w:val="22"/>
                <w:rtl/>
              </w:rPr>
              <w:t xml:space="preserve"> النباتية والحيوانية والتنوع</w:t>
            </w:r>
            <w:r w:rsidRPr="004969DC">
              <w:rPr>
                <w:rFonts w:eastAsia="MS Mincho" w:cs="Simplified Arabic" w:hint="cs"/>
                <w:sz w:val="20"/>
                <w:szCs w:val="22"/>
                <w:rtl/>
              </w:rPr>
              <w:t xml:space="preserve"> النباتي والحيواني.</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L</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7" w:type="dxa"/>
            <w:vAlign w:val="center"/>
          </w:tcPr>
          <w:p w:rsidR="000A5DEA" w:rsidRPr="00E2695B" w:rsidRDefault="000A5DEA" w:rsidP="00094717">
            <w:pPr>
              <w:rPr>
                <w:color w:val="000000"/>
                <w:sz w:val="20"/>
                <w:szCs w:val="22"/>
              </w:rPr>
            </w:pPr>
            <w:r w:rsidRPr="00E2695B">
              <w:rPr>
                <w:color w:val="000000"/>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66" w:name="_Toc524295491"/>
            <w:bookmarkStart w:id="67" w:name="_Toc6071572"/>
            <w:r w:rsidRPr="004969DC">
              <w:rPr>
                <w:rFonts w:hint="cs"/>
                <w:bCs/>
                <w:sz w:val="20"/>
                <w:szCs w:val="22"/>
                <w:rtl/>
              </w:rPr>
              <w:lastRenderedPageBreak/>
              <w:t>28- مجمع خليج غيزيلاغاتش</w:t>
            </w:r>
            <w:bookmarkEnd w:id="66"/>
            <w:bookmarkEnd w:id="67"/>
          </w:p>
          <w:p w:rsidR="000A5DEA" w:rsidRPr="004969DC" w:rsidRDefault="000A5DEA" w:rsidP="00CD26C5">
            <w:pPr>
              <w:pStyle w:val="ListParagraph"/>
              <w:numPr>
                <w:ilvl w:val="0"/>
                <w:numId w:val="145"/>
              </w:numPr>
              <w:bidi/>
              <w:spacing w:after="0" w:line="204" w:lineRule="auto"/>
              <w:ind w:left="332" w:hanging="332"/>
              <w:rPr>
                <w:rFonts w:eastAsia="MS Mincho" w:cs="Simplified Arabic"/>
                <w:sz w:val="20"/>
                <w:szCs w:val="22"/>
                <w:lang w:val="es-ES_tradnl"/>
              </w:rPr>
            </w:pPr>
            <w:r w:rsidRPr="004969DC">
              <w:rPr>
                <w:rFonts w:cs="Simplified Arabic"/>
                <w:sz w:val="20"/>
                <w:szCs w:val="22"/>
                <w:rtl/>
              </w:rPr>
              <w:t xml:space="preserve">الموقع: يقع مجمع خليج </w:t>
            </w:r>
            <w:r w:rsidRPr="004969DC">
              <w:rPr>
                <w:rFonts w:cs="Simplified Arabic" w:hint="cs"/>
                <w:sz w:val="20"/>
                <w:szCs w:val="22"/>
                <w:rtl/>
              </w:rPr>
              <w:t>غيزيلاغاتش</w:t>
            </w:r>
            <w:r w:rsidRPr="004969DC">
              <w:rPr>
                <w:rFonts w:cs="Simplified Arabic"/>
                <w:sz w:val="20"/>
                <w:szCs w:val="22"/>
                <w:rtl/>
              </w:rPr>
              <w:t xml:space="preserve"> في الجزء الجنوبي الغربي من بحر قزوين على طول ساحل أذربيجان. </w:t>
            </w:r>
            <w:r w:rsidRPr="004969DC">
              <w:rPr>
                <w:rFonts w:cs="Simplified Arabic" w:hint="cs"/>
                <w:sz w:val="20"/>
                <w:szCs w:val="22"/>
                <w:rtl/>
              </w:rPr>
              <w:t>و</w:t>
            </w:r>
            <w:r w:rsidRPr="004969DC">
              <w:rPr>
                <w:rFonts w:cs="Simplified Arabic"/>
                <w:sz w:val="20"/>
                <w:szCs w:val="22"/>
                <w:rtl/>
              </w:rPr>
              <w:t>تغطي</w:t>
            </w:r>
            <w:r w:rsidRPr="004969DC">
              <w:rPr>
                <w:rFonts w:cs="Simplified Arabic" w:hint="cs"/>
                <w:sz w:val="20"/>
                <w:szCs w:val="22"/>
                <w:rtl/>
              </w:rPr>
              <w:t xml:space="preserve"> هذه</w:t>
            </w:r>
            <w:r w:rsidRPr="004969DC">
              <w:rPr>
                <w:rFonts w:cs="Simplified Arabic"/>
                <w:sz w:val="20"/>
                <w:szCs w:val="22"/>
                <w:rtl/>
              </w:rPr>
              <w:t xml:space="preserve"> المنطقة كامل </w:t>
            </w:r>
            <w:r w:rsidRPr="004969DC">
              <w:rPr>
                <w:rFonts w:cs="Simplified Arabic" w:hint="cs"/>
                <w:sz w:val="20"/>
                <w:szCs w:val="22"/>
                <w:rtl/>
              </w:rPr>
              <w:t>ال</w:t>
            </w:r>
            <w:r w:rsidRPr="004969DC">
              <w:rPr>
                <w:rFonts w:cs="Simplified Arabic"/>
                <w:sz w:val="20"/>
                <w:szCs w:val="22"/>
                <w:rtl/>
              </w:rPr>
              <w:t>منطقة ال</w:t>
            </w:r>
            <w:r w:rsidRPr="004969DC">
              <w:rPr>
                <w:rFonts w:cs="Simplified Arabic" w:hint="cs"/>
                <w:sz w:val="20"/>
                <w:szCs w:val="22"/>
                <w:rtl/>
              </w:rPr>
              <w:t>مائية</w:t>
            </w:r>
            <w:r w:rsidRPr="004969DC">
              <w:rPr>
                <w:rFonts w:cs="Simplified Arabic"/>
                <w:sz w:val="20"/>
                <w:szCs w:val="22"/>
                <w:rtl/>
              </w:rPr>
              <w:t xml:space="preserve"> في خليج </w:t>
            </w:r>
            <w:r w:rsidRPr="004969DC">
              <w:rPr>
                <w:rFonts w:cs="Simplified Arabic" w:hint="cs"/>
                <w:sz w:val="20"/>
                <w:szCs w:val="22"/>
                <w:rtl/>
              </w:rPr>
              <w:t>غيزيلاغاتش</w:t>
            </w:r>
            <w:r w:rsidRPr="004969DC">
              <w:rPr>
                <w:rFonts w:cs="Simplified Arabic"/>
                <w:sz w:val="20"/>
                <w:szCs w:val="22"/>
                <w:rtl/>
              </w:rPr>
              <w:t xml:space="preserve"> </w:t>
            </w:r>
            <w:r w:rsidRPr="004969DC">
              <w:rPr>
                <w:rFonts w:cs="Simplified Arabic" w:hint="cs"/>
                <w:sz w:val="20"/>
                <w:szCs w:val="22"/>
                <w:rtl/>
              </w:rPr>
              <w:t>الأكبر</w:t>
            </w:r>
            <w:r w:rsidRPr="004969DC">
              <w:rPr>
                <w:rFonts w:cs="Simplified Arabic"/>
                <w:sz w:val="20"/>
                <w:szCs w:val="22"/>
                <w:rtl/>
              </w:rPr>
              <w:t>، والجزء الشمالي من خليج غيزيلاغاش ال</w:t>
            </w:r>
            <w:r w:rsidRPr="004969DC">
              <w:rPr>
                <w:rFonts w:cs="Simplified Arabic" w:hint="cs"/>
                <w:sz w:val="20"/>
                <w:szCs w:val="22"/>
                <w:rtl/>
              </w:rPr>
              <w:t>أصغر</w:t>
            </w:r>
            <w:r w:rsidRPr="004969DC">
              <w:rPr>
                <w:rFonts w:cs="Simplified Arabic"/>
                <w:sz w:val="20"/>
                <w:szCs w:val="22"/>
                <w:rtl/>
              </w:rPr>
              <w:t xml:space="preserve">، والجزء الغربي من </w:t>
            </w:r>
            <w:r w:rsidRPr="004969DC">
              <w:rPr>
                <w:rFonts w:cs="Simplified Arabic" w:hint="cs"/>
                <w:sz w:val="20"/>
                <w:szCs w:val="22"/>
                <w:rtl/>
              </w:rPr>
              <w:t xml:space="preserve">لسان </w:t>
            </w:r>
            <w:r w:rsidRPr="004969DC">
              <w:rPr>
                <w:rFonts w:cs="Simplified Arabic"/>
                <w:sz w:val="20"/>
                <w:szCs w:val="22"/>
                <w:rtl/>
              </w:rPr>
              <w:t xml:space="preserve">كورا </w:t>
            </w:r>
            <w:r w:rsidRPr="004969DC">
              <w:rPr>
                <w:rFonts w:cs="Simplified Arabic" w:hint="cs"/>
                <w:sz w:val="20"/>
                <w:szCs w:val="22"/>
                <w:rtl/>
              </w:rPr>
              <w:t>الساحلي</w:t>
            </w:r>
            <w:r w:rsidRPr="004969DC">
              <w:rPr>
                <w:rFonts w:cs="Simplified Arabic"/>
                <w:sz w:val="20"/>
                <w:szCs w:val="22"/>
                <w:rtl/>
              </w:rPr>
              <w:t>، والسهوب</w:t>
            </w:r>
            <w:r w:rsidRPr="004969DC">
              <w:rPr>
                <w:rFonts w:cs="Simplified Arabic" w:hint="cs"/>
                <w:sz w:val="20"/>
                <w:szCs w:val="22"/>
                <w:rtl/>
              </w:rPr>
              <w:t xml:space="preserve"> الواقعة</w:t>
            </w:r>
            <w:r w:rsidRPr="004969DC">
              <w:rPr>
                <w:rFonts w:cs="Simplified Arabic"/>
                <w:sz w:val="20"/>
                <w:szCs w:val="22"/>
                <w:rtl/>
              </w:rPr>
              <w:t xml:space="preserve"> </w:t>
            </w:r>
            <w:r w:rsidRPr="004969DC">
              <w:rPr>
                <w:rFonts w:cs="Simplified Arabic" w:hint="cs"/>
                <w:sz w:val="20"/>
                <w:szCs w:val="22"/>
                <w:rtl/>
              </w:rPr>
              <w:t>ناحيتي</w:t>
            </w:r>
            <w:r w:rsidRPr="004969DC">
              <w:rPr>
                <w:rFonts w:cs="Simplified Arabic"/>
                <w:sz w:val="20"/>
                <w:szCs w:val="22"/>
                <w:rtl/>
              </w:rPr>
              <w:t xml:space="preserve"> الشمال والشمال الغربي من خليج </w:t>
            </w:r>
            <w:r w:rsidRPr="004969DC">
              <w:rPr>
                <w:rFonts w:cs="Simplified Arabic" w:hint="cs"/>
                <w:sz w:val="20"/>
                <w:szCs w:val="22"/>
                <w:rtl/>
              </w:rPr>
              <w:t>غيزيلاغاتش</w:t>
            </w:r>
            <w:r w:rsidRPr="004969DC">
              <w:rPr>
                <w:rFonts w:cs="Simplified Arabic"/>
                <w:sz w:val="20"/>
                <w:szCs w:val="22"/>
                <w:rtl/>
              </w:rPr>
              <w:t xml:space="preserve"> </w:t>
            </w:r>
            <w:r w:rsidRPr="004969DC">
              <w:rPr>
                <w:rFonts w:cs="Simplified Arabic" w:hint="cs"/>
                <w:sz w:val="20"/>
                <w:szCs w:val="22"/>
                <w:rtl/>
              </w:rPr>
              <w:t>الأكبر</w:t>
            </w:r>
            <w:r w:rsidRPr="004969DC">
              <w:rPr>
                <w:rFonts w:cs="Simplified Arabic"/>
                <w:sz w:val="20"/>
                <w:szCs w:val="22"/>
                <w:rtl/>
              </w:rPr>
              <w:t xml:space="preserve">، </w:t>
            </w:r>
            <w:r w:rsidRPr="004969DC">
              <w:rPr>
                <w:rFonts w:cs="Simplified Arabic" w:hint="cs"/>
                <w:sz w:val="20"/>
                <w:szCs w:val="22"/>
                <w:rtl/>
              </w:rPr>
              <w:t>وقاعدة</w:t>
            </w:r>
            <w:r w:rsidRPr="004969DC">
              <w:rPr>
                <w:rFonts w:cs="Simplified Arabic"/>
                <w:sz w:val="20"/>
                <w:szCs w:val="22"/>
                <w:rtl/>
              </w:rPr>
              <w:t xml:space="preserve"> شبه جزيرة سارا</w:t>
            </w:r>
            <w:r w:rsidRPr="004969DC">
              <w:rPr>
                <w:rFonts w:cs="Simplified Arabic" w:hint="cs"/>
                <w:sz w:val="20"/>
                <w:szCs w:val="22"/>
                <w:rtl/>
              </w:rPr>
              <w:t xml:space="preserve"> أو الجزء الشمالي منها</w:t>
            </w:r>
            <w:r w:rsidRPr="004969DC">
              <w:rPr>
                <w:rFonts w:cs="Simplified Arabic"/>
                <w:sz w:val="20"/>
                <w:szCs w:val="22"/>
                <w:rtl/>
              </w:rPr>
              <w:t xml:space="preserve">. </w:t>
            </w:r>
            <w:r w:rsidRPr="004969DC">
              <w:rPr>
                <w:rFonts w:cs="Simplified Arabic" w:hint="cs"/>
                <w:sz w:val="20"/>
                <w:szCs w:val="22"/>
                <w:rtl/>
              </w:rPr>
              <w:t xml:space="preserve">ويضم المجمع </w:t>
            </w:r>
            <w:r w:rsidRPr="004969DC">
              <w:rPr>
                <w:rFonts w:cs="Simplified Arabic"/>
                <w:sz w:val="20"/>
                <w:szCs w:val="22"/>
                <w:rtl/>
              </w:rPr>
              <w:t xml:space="preserve">محمية </w:t>
            </w:r>
            <w:r w:rsidRPr="004969DC">
              <w:rPr>
                <w:rFonts w:cs="Simplified Arabic" w:hint="cs"/>
                <w:sz w:val="20"/>
                <w:szCs w:val="22"/>
                <w:rtl/>
              </w:rPr>
              <w:t>غيزيلاغاتش</w:t>
            </w:r>
            <w:r w:rsidRPr="004969DC">
              <w:rPr>
                <w:rFonts w:cs="Simplified Arabic"/>
                <w:sz w:val="20"/>
                <w:szCs w:val="22"/>
                <w:rtl/>
              </w:rPr>
              <w:t xml:space="preserve"> الكبرى التي تغطي مساحة قدرها </w:t>
            </w:r>
            <w:r w:rsidRPr="004969DC">
              <w:rPr>
                <w:rFonts w:cs="Simplified Arabic" w:hint="cs"/>
                <w:sz w:val="20"/>
                <w:szCs w:val="22"/>
                <w:rtl/>
              </w:rPr>
              <w:t xml:space="preserve">360 88 </w:t>
            </w:r>
            <w:r w:rsidRPr="004969DC">
              <w:rPr>
                <w:rFonts w:cs="Simplified Arabic"/>
                <w:sz w:val="20"/>
                <w:szCs w:val="22"/>
                <w:rtl/>
              </w:rPr>
              <w:t>هكتارا</w:t>
            </w:r>
            <w:r w:rsidRPr="004969DC">
              <w:rPr>
                <w:rFonts w:cs="Simplified Arabic" w:hint="cs"/>
                <w:sz w:val="20"/>
                <w:szCs w:val="22"/>
                <w:rtl/>
              </w:rPr>
              <w:t>ً</w:t>
            </w:r>
            <w:r w:rsidRPr="004969DC">
              <w:rPr>
                <w:rFonts w:cs="Simplified Arabic"/>
                <w:sz w:val="20"/>
                <w:szCs w:val="22"/>
                <w:rtl/>
              </w:rPr>
              <w:t xml:space="preserve"> ومحمية </w:t>
            </w:r>
            <w:r w:rsidRPr="004969DC">
              <w:rPr>
                <w:rFonts w:cs="Simplified Arabic" w:hint="cs"/>
                <w:sz w:val="20"/>
                <w:szCs w:val="22"/>
                <w:rtl/>
              </w:rPr>
              <w:t>غيزيلاغاتش</w:t>
            </w:r>
            <w:r w:rsidRPr="004969DC">
              <w:rPr>
                <w:rFonts w:cs="Simplified Arabic"/>
                <w:sz w:val="20"/>
                <w:szCs w:val="22"/>
                <w:rtl/>
              </w:rPr>
              <w:t xml:space="preserve"> ال</w:t>
            </w:r>
            <w:r w:rsidRPr="004969DC">
              <w:rPr>
                <w:rFonts w:cs="Simplified Arabic" w:hint="cs"/>
                <w:sz w:val="20"/>
                <w:szCs w:val="22"/>
                <w:rtl/>
              </w:rPr>
              <w:t>صغ</w:t>
            </w:r>
            <w:r w:rsidRPr="004969DC">
              <w:rPr>
                <w:rFonts w:cs="Simplified Arabic"/>
                <w:sz w:val="20"/>
                <w:szCs w:val="22"/>
                <w:rtl/>
              </w:rPr>
              <w:t xml:space="preserve">رى المجاورة التي تبلغ مساحتها </w:t>
            </w:r>
            <w:r w:rsidRPr="004969DC">
              <w:rPr>
                <w:rFonts w:cs="Simplified Arabic" w:hint="cs"/>
                <w:sz w:val="20"/>
                <w:szCs w:val="22"/>
                <w:rtl/>
              </w:rPr>
              <w:t>700 10</w:t>
            </w:r>
            <w:r w:rsidRPr="004969DC">
              <w:rPr>
                <w:rFonts w:cs="Simplified Arabic"/>
                <w:sz w:val="20"/>
                <w:szCs w:val="22"/>
                <w:rtl/>
              </w:rPr>
              <w:t xml:space="preserve"> هكتار</w:t>
            </w:r>
            <w:r w:rsidRPr="004969DC">
              <w:rPr>
                <w:rFonts w:cs="Simplified Arabic" w:hint="cs"/>
                <w:sz w:val="20"/>
                <w:szCs w:val="22"/>
                <w:rtl/>
              </w:rPr>
              <w:t>اً</w:t>
            </w:r>
            <w:r w:rsidRPr="004969DC">
              <w:rPr>
                <w:rFonts w:cs="Simplified Arabic"/>
                <w:sz w:val="20"/>
                <w:szCs w:val="22"/>
                <w:rtl/>
              </w:rPr>
              <w:t xml:space="preserve"> وتقع على الساحل الجنوبي الغربي لبحر قزوين.</w:t>
            </w:r>
            <w:r w:rsidRPr="004969DC">
              <w:rPr>
                <w:rFonts w:cs="Simplified Arabic"/>
                <w:sz w:val="20"/>
                <w:szCs w:val="22"/>
                <w:lang w:val="es-ES_tradnl"/>
              </w:rPr>
              <w:t xml:space="preserve"> </w:t>
            </w:r>
          </w:p>
          <w:p w:rsidR="000A5DEA" w:rsidRPr="004969DC" w:rsidRDefault="000A5DEA" w:rsidP="00CD26C5">
            <w:pPr>
              <w:pStyle w:val="ListParagraph"/>
              <w:numPr>
                <w:ilvl w:val="0"/>
                <w:numId w:val="145"/>
              </w:numPr>
              <w:bidi/>
              <w:spacing w:after="0" w:line="204" w:lineRule="auto"/>
              <w:ind w:left="332" w:hanging="332"/>
              <w:rPr>
                <w:rFonts w:eastAsia="MS Mincho" w:cs="Simplified Arabic"/>
                <w:sz w:val="20"/>
                <w:szCs w:val="22"/>
                <w:lang w:val="es-ES_tradnl"/>
              </w:rPr>
            </w:pPr>
            <w:r w:rsidRPr="004969DC">
              <w:rPr>
                <w:rFonts w:cs="Simplified Arabic"/>
                <w:sz w:val="20"/>
                <w:szCs w:val="22"/>
                <w:rtl/>
              </w:rPr>
              <w:t>تحتل أذربيجان المرتبة الثالثة في المنطقة القطبية الشمالية</w:t>
            </w:r>
            <w:r w:rsidRPr="004969DC">
              <w:rPr>
                <w:rFonts w:cs="Simplified Arabic" w:hint="cs"/>
                <w:sz w:val="20"/>
                <w:szCs w:val="22"/>
                <w:rtl/>
              </w:rPr>
              <w:t xml:space="preserve"> القديمة</w:t>
            </w:r>
            <w:r w:rsidRPr="004969DC">
              <w:rPr>
                <w:rFonts w:cs="Simplified Arabic"/>
                <w:sz w:val="20"/>
                <w:szCs w:val="22"/>
                <w:rtl/>
              </w:rPr>
              <w:t xml:space="preserve"> الغربية </w:t>
            </w:r>
            <w:r w:rsidRPr="004969DC">
              <w:rPr>
                <w:rFonts w:cs="Simplified Arabic" w:hint="cs"/>
                <w:sz w:val="20"/>
                <w:szCs w:val="22"/>
                <w:rtl/>
              </w:rPr>
              <w:t xml:space="preserve">من حيث </w:t>
            </w:r>
            <w:r w:rsidRPr="004969DC">
              <w:rPr>
                <w:rFonts w:cs="Simplified Arabic"/>
                <w:sz w:val="20"/>
                <w:szCs w:val="22"/>
                <w:rtl/>
              </w:rPr>
              <w:t xml:space="preserve">أعداد الطيور المائية </w:t>
            </w:r>
            <w:r w:rsidRPr="004969DC">
              <w:rPr>
                <w:rFonts w:cs="Simplified Arabic" w:hint="cs"/>
                <w:sz w:val="20"/>
                <w:szCs w:val="22"/>
                <w:rtl/>
              </w:rPr>
              <w:t>المشتّية</w:t>
            </w:r>
            <w:r w:rsidRPr="004969DC">
              <w:rPr>
                <w:rFonts w:cs="Simplified Arabic"/>
                <w:sz w:val="20"/>
                <w:szCs w:val="22"/>
                <w:rtl/>
              </w:rPr>
              <w:t xml:space="preserve"> (أكثر من مليون</w:t>
            </w:r>
            <w:r w:rsidRPr="004969DC">
              <w:rPr>
                <w:rFonts w:cs="Simplified Arabic" w:hint="cs"/>
                <w:sz w:val="20"/>
                <w:szCs w:val="22"/>
                <w:rtl/>
              </w:rPr>
              <w:t xml:space="preserve"> طائر</w:t>
            </w:r>
            <w:r w:rsidRPr="004969DC">
              <w:rPr>
                <w:rFonts w:cs="Simplified Arabic"/>
                <w:sz w:val="20"/>
                <w:szCs w:val="22"/>
                <w:rtl/>
              </w:rPr>
              <w:t xml:space="preserve">) </w:t>
            </w:r>
            <w:r w:rsidRPr="004969DC">
              <w:rPr>
                <w:rFonts w:cs="Simplified Arabic" w:hint="cs"/>
                <w:sz w:val="20"/>
                <w:szCs w:val="22"/>
                <w:rtl/>
              </w:rPr>
              <w:t>في إطار طريق الطيور المهاجرة الممتد ما بين</w:t>
            </w:r>
            <w:r w:rsidRPr="004969DC">
              <w:rPr>
                <w:rFonts w:cs="Simplified Arabic"/>
                <w:sz w:val="20"/>
                <w:szCs w:val="22"/>
                <w:rtl/>
              </w:rPr>
              <w:t xml:space="preserve"> بحر قزوين </w:t>
            </w:r>
            <w:r w:rsidRPr="004969DC">
              <w:rPr>
                <w:rFonts w:cs="Simplified Arabic" w:hint="cs"/>
                <w:sz w:val="20"/>
                <w:szCs w:val="22"/>
                <w:rtl/>
              </w:rPr>
              <w:t>و</w:t>
            </w:r>
            <w:r w:rsidRPr="004969DC">
              <w:rPr>
                <w:rFonts w:cs="Simplified Arabic"/>
                <w:sz w:val="20"/>
                <w:szCs w:val="22"/>
                <w:rtl/>
              </w:rPr>
              <w:t>غرب سيبيريا</w:t>
            </w:r>
            <w:r w:rsidRPr="004969DC">
              <w:rPr>
                <w:rFonts w:cs="Simplified Arabic" w:hint="cs"/>
                <w:sz w:val="20"/>
                <w:szCs w:val="22"/>
                <w:rtl/>
              </w:rPr>
              <w:t xml:space="preserve"> و</w:t>
            </w:r>
            <w:r w:rsidRPr="004969DC">
              <w:rPr>
                <w:rFonts w:cs="Simplified Arabic"/>
                <w:sz w:val="20"/>
                <w:szCs w:val="22"/>
                <w:rtl/>
              </w:rPr>
              <w:t xml:space="preserve">شرق أفريقيا. </w:t>
            </w:r>
            <w:r w:rsidRPr="004969DC">
              <w:rPr>
                <w:rFonts w:cs="Simplified Arabic" w:hint="cs"/>
                <w:sz w:val="20"/>
                <w:szCs w:val="22"/>
                <w:rtl/>
              </w:rPr>
              <w:t xml:space="preserve">وتضم </w:t>
            </w:r>
            <w:r w:rsidRPr="004969DC">
              <w:rPr>
                <w:rFonts w:cs="Simplified Arabic"/>
                <w:sz w:val="20"/>
                <w:szCs w:val="22"/>
                <w:rtl/>
              </w:rPr>
              <w:t xml:space="preserve">المنطقة </w:t>
            </w:r>
            <w:r w:rsidRPr="004969DC">
              <w:rPr>
                <w:rFonts w:cs="Simplified Arabic" w:hint="cs"/>
                <w:sz w:val="20"/>
                <w:szCs w:val="22"/>
                <w:rtl/>
              </w:rPr>
              <w:t>إحدى</w:t>
            </w:r>
            <w:r w:rsidRPr="004969DC">
              <w:rPr>
                <w:rFonts w:cs="Simplified Arabic"/>
                <w:sz w:val="20"/>
                <w:szCs w:val="22"/>
                <w:rtl/>
              </w:rPr>
              <w:t xml:space="preserve"> أهم</w:t>
            </w:r>
            <w:r w:rsidRPr="004969DC">
              <w:rPr>
                <w:rFonts w:cs="Simplified Arabic" w:hint="cs"/>
                <w:sz w:val="20"/>
                <w:szCs w:val="22"/>
                <w:rtl/>
              </w:rPr>
              <w:t xml:space="preserve"> مناطق</w:t>
            </w:r>
            <w:r w:rsidRPr="004969DC">
              <w:rPr>
                <w:rFonts w:cs="Simplified Arabic"/>
                <w:sz w:val="20"/>
                <w:szCs w:val="22"/>
                <w:rtl/>
              </w:rPr>
              <w:t xml:space="preserve"> الأراضي الرطبة</w:t>
            </w:r>
            <w:r w:rsidRPr="004969DC">
              <w:rPr>
                <w:rFonts w:cs="Simplified Arabic" w:hint="cs"/>
                <w:sz w:val="20"/>
                <w:szCs w:val="22"/>
                <w:rtl/>
              </w:rPr>
              <w:t xml:space="preserve"> لتشتية وتناسل</w:t>
            </w:r>
            <w:r w:rsidRPr="004969DC">
              <w:rPr>
                <w:rFonts w:cs="Simplified Arabic"/>
                <w:sz w:val="20"/>
                <w:szCs w:val="22"/>
                <w:rtl/>
              </w:rPr>
              <w:t xml:space="preserve"> الطيور المائية في المنطقة القطبية الشمالية</w:t>
            </w:r>
            <w:r w:rsidRPr="004969DC">
              <w:rPr>
                <w:rFonts w:cs="Simplified Arabic" w:hint="cs"/>
                <w:sz w:val="20"/>
                <w:szCs w:val="22"/>
                <w:rtl/>
              </w:rPr>
              <w:t xml:space="preserve"> القديمة</w:t>
            </w:r>
            <w:r w:rsidRPr="004969DC">
              <w:rPr>
                <w:rFonts w:cs="Simplified Arabic"/>
                <w:sz w:val="20"/>
                <w:szCs w:val="22"/>
                <w:rtl/>
              </w:rPr>
              <w:t xml:space="preserve"> الغربية. </w:t>
            </w:r>
            <w:r w:rsidRPr="004969DC">
              <w:rPr>
                <w:rFonts w:cs="Simplified Arabic" w:hint="cs"/>
                <w:sz w:val="20"/>
                <w:szCs w:val="22"/>
                <w:rtl/>
              </w:rPr>
              <w:t xml:space="preserve">واعتُرف في عام 1975 </w:t>
            </w:r>
            <w:r w:rsidRPr="004969DC">
              <w:rPr>
                <w:rFonts w:cs="Simplified Arabic"/>
                <w:sz w:val="20"/>
                <w:szCs w:val="22"/>
                <w:rtl/>
              </w:rPr>
              <w:t xml:space="preserve">بخليج "غيزيل-أغاج" </w:t>
            </w:r>
            <w:r w:rsidRPr="004969DC">
              <w:rPr>
                <w:rFonts w:cs="Simplified Arabic" w:hint="cs"/>
                <w:sz w:val="20"/>
                <w:szCs w:val="22"/>
                <w:rtl/>
              </w:rPr>
              <w:t>بوصفه</w:t>
            </w:r>
            <w:r w:rsidRPr="004969DC">
              <w:rPr>
                <w:rFonts w:cs="Simplified Arabic"/>
                <w:sz w:val="20"/>
                <w:szCs w:val="22"/>
                <w:rtl/>
              </w:rPr>
              <w:t xml:space="preserve"> من </w:t>
            </w:r>
            <w:r w:rsidRPr="004969DC">
              <w:rPr>
                <w:rFonts w:cs="Simplified Arabic" w:hint="cs"/>
                <w:sz w:val="20"/>
                <w:szCs w:val="22"/>
                <w:rtl/>
              </w:rPr>
              <w:t>الأراضي</w:t>
            </w:r>
            <w:r w:rsidRPr="004969DC">
              <w:rPr>
                <w:rFonts w:cs="Simplified Arabic"/>
                <w:sz w:val="20"/>
                <w:szCs w:val="22"/>
                <w:rtl/>
              </w:rPr>
              <w:t xml:space="preserve"> الرطبة ذات الأهمية الدولية. </w:t>
            </w:r>
            <w:r w:rsidRPr="004969DC">
              <w:rPr>
                <w:rFonts w:cs="Simplified Arabic" w:hint="cs"/>
                <w:sz w:val="20"/>
                <w:szCs w:val="22"/>
                <w:rtl/>
              </w:rPr>
              <w:t>و</w:t>
            </w:r>
            <w:r w:rsidRPr="004969DC">
              <w:rPr>
                <w:rFonts w:cs="Simplified Arabic"/>
                <w:sz w:val="20"/>
                <w:szCs w:val="22"/>
                <w:rtl/>
              </w:rPr>
              <w:t>تضم الحيوانات</w:t>
            </w:r>
            <w:r w:rsidRPr="004969DC">
              <w:rPr>
                <w:rFonts w:cs="Simplified Arabic" w:hint="cs"/>
                <w:sz w:val="20"/>
                <w:szCs w:val="22"/>
                <w:rtl/>
              </w:rPr>
              <w:t xml:space="preserve"> الموجودة</w:t>
            </w:r>
            <w:r w:rsidRPr="004969DC">
              <w:rPr>
                <w:rFonts w:cs="Simplified Arabic"/>
                <w:sz w:val="20"/>
                <w:szCs w:val="22"/>
                <w:rtl/>
              </w:rPr>
              <w:t xml:space="preserve"> في المنطقة 47 نوعا</w:t>
            </w:r>
            <w:r w:rsidRPr="004969DC">
              <w:rPr>
                <w:rFonts w:cs="Simplified Arabic" w:hint="cs"/>
                <w:sz w:val="20"/>
                <w:szCs w:val="22"/>
                <w:rtl/>
              </w:rPr>
              <w:t>ً</w:t>
            </w:r>
            <w:r w:rsidRPr="004969DC">
              <w:rPr>
                <w:rFonts w:cs="Simplified Arabic"/>
                <w:sz w:val="20"/>
                <w:szCs w:val="22"/>
                <w:rtl/>
              </w:rPr>
              <w:t xml:space="preserve"> من الأسماك و</w:t>
            </w:r>
            <w:r w:rsidRPr="004969DC">
              <w:rPr>
                <w:rFonts w:cs="Simplified Arabic" w:hint="cs"/>
                <w:sz w:val="20"/>
                <w:szCs w:val="22"/>
                <w:rtl/>
              </w:rPr>
              <w:t>حوالي</w:t>
            </w:r>
            <w:r w:rsidRPr="004969DC">
              <w:rPr>
                <w:rFonts w:cs="Simplified Arabic"/>
                <w:sz w:val="20"/>
                <w:szCs w:val="22"/>
                <w:rtl/>
              </w:rPr>
              <w:t xml:space="preserve"> 273 نوعا</w:t>
            </w:r>
            <w:r w:rsidRPr="004969DC">
              <w:rPr>
                <w:rFonts w:cs="Simplified Arabic" w:hint="cs"/>
                <w:sz w:val="20"/>
                <w:szCs w:val="22"/>
                <w:rtl/>
              </w:rPr>
              <w:t>ً</w:t>
            </w:r>
            <w:r w:rsidRPr="004969DC">
              <w:rPr>
                <w:rFonts w:cs="Simplified Arabic"/>
                <w:sz w:val="20"/>
                <w:szCs w:val="22"/>
                <w:rtl/>
              </w:rPr>
              <w:t xml:space="preserve"> من الطيور و5 </w:t>
            </w:r>
            <w:r w:rsidRPr="004969DC">
              <w:rPr>
                <w:rFonts w:cs="Simplified Arabic" w:hint="cs"/>
                <w:sz w:val="20"/>
                <w:szCs w:val="22"/>
                <w:rtl/>
              </w:rPr>
              <w:t>كائنات حية من البرمائيات</w:t>
            </w:r>
            <w:r w:rsidRPr="004969DC">
              <w:rPr>
                <w:rFonts w:cs="Simplified Arabic"/>
                <w:sz w:val="20"/>
                <w:szCs w:val="22"/>
                <w:rtl/>
              </w:rPr>
              <w:t xml:space="preserve"> و15 </w:t>
            </w:r>
            <w:r w:rsidRPr="004969DC">
              <w:rPr>
                <w:rFonts w:cs="Simplified Arabic" w:hint="cs"/>
                <w:sz w:val="20"/>
                <w:szCs w:val="22"/>
                <w:rtl/>
              </w:rPr>
              <w:t>كائناً حياً من الزواحف</w:t>
            </w:r>
            <w:r w:rsidRPr="004969DC">
              <w:rPr>
                <w:rFonts w:cs="Simplified Arabic"/>
                <w:sz w:val="20"/>
                <w:szCs w:val="22"/>
                <w:rtl/>
              </w:rPr>
              <w:t xml:space="preserve"> و26 نوعا</w:t>
            </w:r>
            <w:r w:rsidRPr="004969DC">
              <w:rPr>
                <w:rFonts w:cs="Simplified Arabic" w:hint="cs"/>
                <w:sz w:val="20"/>
                <w:szCs w:val="22"/>
                <w:rtl/>
              </w:rPr>
              <w:t>ً</w:t>
            </w:r>
            <w:r w:rsidRPr="004969DC">
              <w:rPr>
                <w:rFonts w:cs="Simplified Arabic"/>
                <w:sz w:val="20"/>
                <w:szCs w:val="22"/>
                <w:rtl/>
              </w:rPr>
              <w:t xml:space="preserve"> من الثدييات. و</w:t>
            </w:r>
            <w:r w:rsidRPr="004969DC">
              <w:rPr>
                <w:rFonts w:cs="Simplified Arabic" w:hint="cs"/>
                <w:sz w:val="20"/>
                <w:szCs w:val="22"/>
                <w:rtl/>
              </w:rPr>
              <w:t xml:space="preserve">تمثل </w:t>
            </w:r>
            <w:r w:rsidRPr="004969DC">
              <w:rPr>
                <w:rFonts w:cs="Simplified Arabic"/>
                <w:sz w:val="20"/>
                <w:szCs w:val="22"/>
                <w:rtl/>
              </w:rPr>
              <w:t>الطيور المائية</w:t>
            </w:r>
            <w:r w:rsidRPr="004969DC">
              <w:rPr>
                <w:rFonts w:cs="Simplified Arabic" w:hint="cs"/>
                <w:sz w:val="20"/>
                <w:szCs w:val="22"/>
                <w:rtl/>
              </w:rPr>
              <w:t xml:space="preserve"> بشكل الطيور الموجودة على الصعيد المحلي</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تقع المنطقة على طول طرق الهجرة</w:t>
            </w:r>
            <w:r w:rsidRPr="004969DC">
              <w:rPr>
                <w:rFonts w:cs="Simplified Arabic" w:hint="cs"/>
                <w:sz w:val="20"/>
                <w:szCs w:val="22"/>
                <w:rtl/>
              </w:rPr>
              <w:t xml:space="preserve"> الممتدة</w:t>
            </w:r>
            <w:r w:rsidRPr="004969DC">
              <w:rPr>
                <w:rFonts w:cs="Simplified Arabic"/>
                <w:sz w:val="20"/>
                <w:szCs w:val="22"/>
                <w:rtl/>
              </w:rPr>
              <w:t xml:space="preserve"> على الساحل الغربي لبحر قزوين، وتتغذى </w:t>
            </w:r>
            <w:r w:rsidRPr="004969DC">
              <w:rPr>
                <w:rFonts w:cs="Simplified Arabic" w:hint="cs"/>
                <w:sz w:val="20"/>
                <w:szCs w:val="22"/>
                <w:rtl/>
              </w:rPr>
              <w:t>أسراب</w:t>
            </w:r>
            <w:r w:rsidRPr="004969DC">
              <w:rPr>
                <w:rFonts w:cs="Simplified Arabic"/>
                <w:sz w:val="20"/>
                <w:szCs w:val="22"/>
                <w:rtl/>
              </w:rPr>
              <w:t xml:space="preserve"> كبيرة من الطيور المهاجرة </w:t>
            </w:r>
            <w:r w:rsidRPr="004969DC">
              <w:rPr>
                <w:rFonts w:cs="Simplified Arabic" w:hint="cs"/>
                <w:sz w:val="20"/>
                <w:szCs w:val="22"/>
                <w:rtl/>
              </w:rPr>
              <w:t>وتستريح</w:t>
            </w:r>
            <w:r w:rsidRPr="004969DC">
              <w:rPr>
                <w:rFonts w:cs="Simplified Arabic"/>
                <w:sz w:val="20"/>
                <w:szCs w:val="22"/>
                <w:rtl/>
              </w:rPr>
              <w:t xml:space="preserve"> في</w:t>
            </w:r>
            <w:r w:rsidRPr="004969DC">
              <w:rPr>
                <w:rFonts w:cs="Simplified Arabic" w:hint="cs"/>
                <w:sz w:val="20"/>
                <w:szCs w:val="22"/>
                <w:rtl/>
              </w:rPr>
              <w:t xml:space="preserve"> هذه</w:t>
            </w:r>
            <w:r w:rsidRPr="004969DC">
              <w:rPr>
                <w:rFonts w:cs="Simplified Arabic"/>
                <w:sz w:val="20"/>
                <w:szCs w:val="22"/>
                <w:rtl/>
              </w:rPr>
              <w:t xml:space="preserve"> المنطقة. </w:t>
            </w:r>
            <w:r w:rsidRPr="004969DC">
              <w:rPr>
                <w:rFonts w:cs="Simplified Arabic" w:hint="cs"/>
                <w:sz w:val="20"/>
                <w:szCs w:val="22"/>
                <w:rtl/>
              </w:rPr>
              <w:t>وأفادت التقارير بأن</w:t>
            </w:r>
            <w:r w:rsidRPr="004969DC">
              <w:rPr>
                <w:rFonts w:cs="Simplified Arabic"/>
                <w:sz w:val="20"/>
                <w:szCs w:val="22"/>
                <w:rtl/>
              </w:rPr>
              <w:t xml:space="preserve"> </w:t>
            </w:r>
            <w:r w:rsidRPr="004969DC">
              <w:rPr>
                <w:rFonts w:cs="Simplified Arabic" w:hint="cs"/>
                <w:sz w:val="20"/>
                <w:szCs w:val="22"/>
                <w:rtl/>
              </w:rPr>
              <w:t>أكثر من</w:t>
            </w:r>
            <w:r w:rsidRPr="004969DC">
              <w:rPr>
                <w:rFonts w:cs="Simplified Arabic"/>
                <w:sz w:val="20"/>
                <w:szCs w:val="22"/>
                <w:rtl/>
              </w:rPr>
              <w:t xml:space="preserve"> 10 مليون طائر </w:t>
            </w:r>
            <w:r w:rsidRPr="004969DC">
              <w:rPr>
                <w:rFonts w:cs="Simplified Arabic" w:hint="cs"/>
                <w:sz w:val="20"/>
                <w:szCs w:val="22"/>
                <w:rtl/>
              </w:rPr>
              <w:t xml:space="preserve">قد أمضى، خلال السنوات الماضية، فصل الشتاء </w:t>
            </w:r>
            <w:r w:rsidRPr="004969DC">
              <w:rPr>
                <w:rFonts w:cs="Simplified Arabic"/>
                <w:sz w:val="20"/>
                <w:szCs w:val="22"/>
                <w:rtl/>
              </w:rPr>
              <w:t>في</w:t>
            </w:r>
            <w:r w:rsidRPr="004969DC">
              <w:rPr>
                <w:rFonts w:cs="Simplified Arabic" w:hint="cs"/>
                <w:sz w:val="20"/>
                <w:szCs w:val="22"/>
                <w:rtl/>
              </w:rPr>
              <w:t xml:space="preserve"> هذا</w:t>
            </w:r>
            <w:r w:rsidRPr="004969DC">
              <w:rPr>
                <w:rFonts w:cs="Simplified Arabic"/>
                <w:sz w:val="20"/>
                <w:szCs w:val="22"/>
                <w:rtl/>
              </w:rPr>
              <w:t xml:space="preserve"> المجمع والمناطق المحيطة </w:t>
            </w:r>
            <w:r w:rsidRPr="004969DC">
              <w:rPr>
                <w:rFonts w:cs="Simplified Arabic" w:hint="cs"/>
                <w:sz w:val="20"/>
                <w:szCs w:val="22"/>
                <w:rtl/>
              </w:rPr>
              <w:t>به.</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68" w:name="_Toc524295492"/>
            <w:bookmarkStart w:id="69" w:name="_Toc6071573"/>
            <w:r w:rsidRPr="004969DC">
              <w:rPr>
                <w:rFonts w:hint="cs"/>
                <w:bCs/>
                <w:sz w:val="20"/>
                <w:szCs w:val="22"/>
                <w:rtl/>
              </w:rPr>
              <w:t xml:space="preserve">29- </w:t>
            </w:r>
            <w:r w:rsidRPr="004969DC">
              <w:rPr>
                <w:bCs/>
                <w:sz w:val="20"/>
                <w:szCs w:val="22"/>
                <w:rtl/>
              </w:rPr>
              <w:t>دلتا كورا</w:t>
            </w:r>
            <w:bookmarkEnd w:id="68"/>
            <w:bookmarkEnd w:id="69"/>
          </w:p>
          <w:p w:rsidR="000A5DEA" w:rsidRPr="004969DC" w:rsidRDefault="000A5DEA" w:rsidP="00CD26C5">
            <w:pPr>
              <w:pStyle w:val="ListParagraph"/>
              <w:numPr>
                <w:ilvl w:val="0"/>
                <w:numId w:val="146"/>
              </w:numPr>
              <w:bidi/>
              <w:spacing w:after="0" w:line="204" w:lineRule="auto"/>
              <w:ind w:left="332" w:hanging="332"/>
              <w:rPr>
                <w:rFonts w:cs="Simplified Arabic"/>
                <w:sz w:val="20"/>
                <w:szCs w:val="22"/>
                <w:lang w:val="es-ES_tradnl"/>
              </w:rPr>
            </w:pPr>
            <w:r w:rsidRPr="004969DC">
              <w:rPr>
                <w:rFonts w:cs="Simplified Arabic"/>
                <w:sz w:val="20"/>
                <w:szCs w:val="22"/>
                <w:rtl/>
              </w:rPr>
              <w:t xml:space="preserve">الموقع: تقع هذه المنطقة </w:t>
            </w:r>
            <w:r w:rsidRPr="004969DC">
              <w:rPr>
                <w:rFonts w:cs="Simplified Arabic" w:hint="cs"/>
                <w:sz w:val="20"/>
                <w:szCs w:val="22"/>
                <w:rtl/>
              </w:rPr>
              <w:t>حيث يتدفق</w:t>
            </w:r>
            <w:r w:rsidRPr="004969DC">
              <w:rPr>
                <w:rFonts w:cs="Simplified Arabic"/>
                <w:sz w:val="20"/>
                <w:szCs w:val="22"/>
                <w:rtl/>
              </w:rPr>
              <w:t xml:space="preserve"> نهر كورا في بحر قزوين في منطقة</w:t>
            </w:r>
            <w:r w:rsidRPr="004969DC">
              <w:rPr>
                <w:rFonts w:cs="Simplified Arabic" w:hint="cs"/>
                <w:sz w:val="20"/>
                <w:szCs w:val="22"/>
                <w:rtl/>
              </w:rPr>
              <w:t xml:space="preserve"> نيفتيتشالينسكي</w:t>
            </w:r>
            <w:r w:rsidRPr="004969DC">
              <w:rPr>
                <w:rFonts w:cs="Simplified Arabic"/>
                <w:sz w:val="20"/>
                <w:szCs w:val="22"/>
                <w:rtl/>
              </w:rPr>
              <w:t>، على بعد 10 ك</w:t>
            </w:r>
            <w:r w:rsidRPr="004969DC">
              <w:rPr>
                <w:rFonts w:cs="Simplified Arabic" w:hint="cs"/>
                <w:sz w:val="20"/>
                <w:szCs w:val="22"/>
                <w:rtl/>
              </w:rPr>
              <w:t>يلومترات</w:t>
            </w:r>
            <w:r w:rsidRPr="004969DC">
              <w:rPr>
                <w:rFonts w:cs="Simplified Arabic"/>
                <w:sz w:val="20"/>
                <w:szCs w:val="22"/>
                <w:rtl/>
              </w:rPr>
              <w:t xml:space="preserve"> إلى الشرق و</w:t>
            </w:r>
            <w:r w:rsidRPr="004969DC">
              <w:rPr>
                <w:rFonts w:cs="Simplified Arabic" w:hint="cs"/>
                <w:sz w:val="20"/>
                <w:szCs w:val="22"/>
                <w:rtl/>
              </w:rPr>
              <w:t>ال</w:t>
            </w:r>
            <w:r w:rsidRPr="004969DC">
              <w:rPr>
                <w:rFonts w:cs="Simplified Arabic"/>
                <w:sz w:val="20"/>
                <w:szCs w:val="22"/>
                <w:rtl/>
              </w:rPr>
              <w:t xml:space="preserve">جنوب </w:t>
            </w:r>
            <w:r w:rsidRPr="004969DC">
              <w:rPr>
                <w:rFonts w:cs="Simplified Arabic" w:hint="cs"/>
                <w:sz w:val="20"/>
                <w:szCs w:val="22"/>
                <w:rtl/>
              </w:rPr>
              <w:t>ال</w:t>
            </w:r>
            <w:r w:rsidRPr="004969DC">
              <w:rPr>
                <w:rFonts w:cs="Simplified Arabic"/>
                <w:sz w:val="20"/>
                <w:szCs w:val="22"/>
                <w:rtl/>
              </w:rPr>
              <w:t>شرق</w:t>
            </w:r>
            <w:r w:rsidRPr="004969DC">
              <w:rPr>
                <w:rFonts w:cs="Simplified Arabic" w:hint="cs"/>
                <w:sz w:val="20"/>
                <w:szCs w:val="22"/>
                <w:rtl/>
              </w:rPr>
              <w:t>ي من</w:t>
            </w:r>
            <w:r w:rsidRPr="004969DC">
              <w:rPr>
                <w:rFonts w:cs="Simplified Arabic"/>
                <w:sz w:val="20"/>
                <w:szCs w:val="22"/>
                <w:rtl/>
              </w:rPr>
              <w:t xml:space="preserve"> مدينة</w:t>
            </w:r>
            <w:r w:rsidRPr="004969DC">
              <w:rPr>
                <w:rFonts w:cs="Simplified Arabic" w:hint="cs"/>
                <w:sz w:val="20"/>
                <w:szCs w:val="22"/>
                <w:rtl/>
              </w:rPr>
              <w:t xml:space="preserve"> نيفتيشال</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تبلغ مساحة المنطقة حوالي </w:t>
            </w:r>
            <w:r w:rsidRPr="004969DC">
              <w:rPr>
                <w:rFonts w:cs="Simplified Arabic" w:hint="cs"/>
                <w:sz w:val="20"/>
                <w:szCs w:val="22"/>
                <w:rtl/>
              </w:rPr>
              <w:t>000 15</w:t>
            </w:r>
            <w:r w:rsidRPr="004969DC">
              <w:rPr>
                <w:rFonts w:cs="Simplified Arabic"/>
                <w:sz w:val="20"/>
                <w:szCs w:val="22"/>
                <w:rtl/>
              </w:rPr>
              <w:t xml:space="preserve"> هكتا</w:t>
            </w:r>
            <w:r w:rsidRPr="004969DC">
              <w:rPr>
                <w:rFonts w:cs="Simplified Arabic" w:hint="cs"/>
                <w:sz w:val="20"/>
                <w:szCs w:val="22"/>
                <w:rtl/>
              </w:rPr>
              <w:t>راً.</w:t>
            </w:r>
            <w:r w:rsidRPr="004969DC">
              <w:rPr>
                <w:rFonts w:cs="Simplified Arabic"/>
                <w:sz w:val="20"/>
                <w:szCs w:val="22"/>
                <w:rtl/>
              </w:rPr>
              <w:t xml:space="preserve"> </w:t>
            </w:r>
            <w:r w:rsidRPr="004969DC">
              <w:rPr>
                <w:rFonts w:cs="Simplified Arabic" w:hint="cs"/>
                <w:sz w:val="20"/>
                <w:szCs w:val="22"/>
                <w:rtl/>
              </w:rPr>
              <w:t>ويصل ارتفاعها عن</w:t>
            </w:r>
            <w:r w:rsidRPr="004969DC">
              <w:rPr>
                <w:rFonts w:cs="Simplified Arabic"/>
                <w:sz w:val="20"/>
                <w:szCs w:val="22"/>
                <w:rtl/>
              </w:rPr>
              <w:t xml:space="preserve"> مستوى سطح البحر</w:t>
            </w:r>
            <w:r w:rsidRPr="004969DC">
              <w:rPr>
                <w:rFonts w:cs="Simplified Arabic" w:hint="cs"/>
                <w:sz w:val="20"/>
                <w:szCs w:val="22"/>
                <w:rtl/>
              </w:rPr>
              <w:t xml:space="preserve"> إلى</w:t>
            </w:r>
            <w:r w:rsidRPr="004969DC">
              <w:rPr>
                <w:rFonts w:cs="Simplified Arabic"/>
                <w:sz w:val="20"/>
                <w:szCs w:val="22"/>
                <w:rtl/>
              </w:rPr>
              <w:t xml:space="preserve"> حوالي 28 </w:t>
            </w:r>
            <w:r w:rsidRPr="004969DC">
              <w:rPr>
                <w:rFonts w:cs="Simplified Arabic" w:hint="cs"/>
                <w:sz w:val="20"/>
                <w:szCs w:val="22"/>
                <w:rtl/>
              </w:rPr>
              <w:t>متراً</w:t>
            </w:r>
            <w:r w:rsidRPr="004969DC">
              <w:rPr>
                <w:rFonts w:cs="Simplified Arabic"/>
                <w:sz w:val="20"/>
                <w:szCs w:val="22"/>
                <w:rtl/>
              </w:rPr>
              <w:t>. والإحداثيات الجغرافية للم</w:t>
            </w:r>
            <w:r w:rsidRPr="004969DC">
              <w:rPr>
                <w:rFonts w:cs="Simplified Arabic" w:hint="cs"/>
                <w:sz w:val="20"/>
                <w:szCs w:val="22"/>
                <w:rtl/>
              </w:rPr>
              <w:t>نطقة</w:t>
            </w:r>
            <w:r w:rsidRPr="004969DC">
              <w:rPr>
                <w:rFonts w:cs="Simplified Arabic"/>
                <w:sz w:val="20"/>
                <w:szCs w:val="22"/>
                <w:rtl/>
              </w:rPr>
              <w:t xml:space="preserve"> القريبة من الساحل هي 39° 16'- 39° 25' </w:t>
            </w:r>
            <w:r w:rsidRPr="004969DC">
              <w:rPr>
                <w:rFonts w:cs="Simplified Arabic" w:hint="cs"/>
                <w:sz w:val="20"/>
                <w:szCs w:val="22"/>
                <w:rtl/>
              </w:rPr>
              <w:t>شمالاً</w:t>
            </w:r>
            <w:r w:rsidRPr="004969DC">
              <w:rPr>
                <w:rFonts w:cs="Simplified Arabic"/>
                <w:sz w:val="20"/>
                <w:szCs w:val="22"/>
                <w:rtl/>
              </w:rPr>
              <w:t>؛ 49° 19'- 49° 28'</w:t>
            </w:r>
            <w:r w:rsidRPr="004969DC">
              <w:rPr>
                <w:rFonts w:cs="Simplified Arabic" w:hint="cs"/>
                <w:sz w:val="20"/>
                <w:szCs w:val="22"/>
                <w:rtl/>
              </w:rPr>
              <w:t xml:space="preserve"> شرقاً.</w:t>
            </w:r>
          </w:p>
          <w:p w:rsidR="000A5DEA" w:rsidRPr="00366E36" w:rsidRDefault="000A5DEA" w:rsidP="00CD26C5">
            <w:pPr>
              <w:pStyle w:val="ListParagraph"/>
              <w:numPr>
                <w:ilvl w:val="0"/>
                <w:numId w:val="146"/>
              </w:numPr>
              <w:bidi/>
              <w:spacing w:after="0" w:line="204" w:lineRule="auto"/>
              <w:ind w:left="332" w:hanging="332"/>
              <w:rPr>
                <w:rFonts w:cs="Simplified Arabic"/>
                <w:sz w:val="20"/>
                <w:szCs w:val="22"/>
                <w:lang w:val="es-ES_tradnl"/>
              </w:rPr>
            </w:pPr>
            <w:r w:rsidRPr="004969DC">
              <w:rPr>
                <w:rFonts w:cs="Simplified Arabic" w:hint="cs"/>
                <w:sz w:val="20"/>
                <w:szCs w:val="22"/>
                <w:rtl/>
              </w:rPr>
              <w:t xml:space="preserve">تشكل </w:t>
            </w:r>
            <w:r w:rsidRPr="004969DC">
              <w:rPr>
                <w:rFonts w:cs="Simplified Arabic"/>
                <w:sz w:val="20"/>
                <w:szCs w:val="22"/>
                <w:rtl/>
              </w:rPr>
              <w:t xml:space="preserve">منطقة نهر كورا </w:t>
            </w:r>
            <w:r w:rsidRPr="004969DC">
              <w:rPr>
                <w:rFonts w:cs="Simplified Arabic" w:hint="cs"/>
                <w:sz w:val="20"/>
                <w:szCs w:val="22"/>
                <w:rtl/>
              </w:rPr>
              <w:t>الواقعة في</w:t>
            </w:r>
            <w:r w:rsidRPr="004969DC">
              <w:rPr>
                <w:rFonts w:cs="Simplified Arabic"/>
                <w:sz w:val="20"/>
                <w:szCs w:val="22"/>
                <w:rtl/>
              </w:rPr>
              <w:t xml:space="preserve"> بحر قزوين منطقة </w:t>
            </w:r>
            <w:r w:rsidRPr="004969DC">
              <w:rPr>
                <w:rFonts w:cs="Simplified Arabic" w:hint="cs"/>
                <w:sz w:val="20"/>
                <w:szCs w:val="22"/>
                <w:rtl/>
              </w:rPr>
              <w:t>إعلاف وتشتية وإنسال وهجرة وتكاثر ل</w:t>
            </w:r>
            <w:r w:rsidRPr="004969DC">
              <w:rPr>
                <w:rFonts w:cs="Simplified Arabic"/>
                <w:sz w:val="20"/>
                <w:szCs w:val="22"/>
                <w:rtl/>
              </w:rPr>
              <w:t xml:space="preserve">جميع أنواع </w:t>
            </w:r>
            <w:r w:rsidRPr="004969DC">
              <w:rPr>
                <w:rFonts w:cs="Simplified Arabic" w:hint="cs"/>
                <w:sz w:val="20"/>
                <w:szCs w:val="22"/>
                <w:rtl/>
              </w:rPr>
              <w:t>فصيلة</w:t>
            </w:r>
            <w:r w:rsidRPr="004969DC">
              <w:rPr>
                <w:rFonts w:cs="Simplified Arabic"/>
                <w:sz w:val="20"/>
                <w:szCs w:val="22"/>
                <w:rtl/>
              </w:rPr>
              <w:t xml:space="preserve"> </w:t>
            </w:r>
            <w:r w:rsidRPr="004969DC">
              <w:rPr>
                <w:rFonts w:cs="Simplified Arabic" w:hint="cs"/>
                <w:sz w:val="20"/>
                <w:szCs w:val="22"/>
                <w:rtl/>
              </w:rPr>
              <w:t>حفش بحر قزوين</w:t>
            </w:r>
            <w:r w:rsidRPr="004969DC">
              <w:rPr>
                <w:rFonts w:cs="Simplified Arabic"/>
                <w:sz w:val="20"/>
                <w:szCs w:val="22"/>
                <w:rtl/>
              </w:rPr>
              <w:t xml:space="preserve"> </w:t>
            </w:r>
            <w:bookmarkStart w:id="70" w:name="_Toc524295493"/>
            <w:bookmarkStart w:id="71" w:name="_Toc6071574"/>
            <w:r w:rsidR="000C613F" w:rsidRPr="004969DC">
              <w:rPr>
                <w:rFonts w:cs="Simplified Arabic"/>
                <w:sz w:val="20"/>
                <w:szCs w:val="22"/>
                <w:rtl/>
              </w:rPr>
              <w:t xml:space="preserve">باستثناء </w:t>
            </w:r>
            <w:r w:rsidR="000C613F" w:rsidRPr="004969DC">
              <w:rPr>
                <w:rFonts w:cs="Simplified Arabic" w:hint="cs"/>
                <w:sz w:val="20"/>
                <w:szCs w:val="22"/>
                <w:rtl/>
              </w:rPr>
              <w:t>الحفش الألماني</w:t>
            </w:r>
            <w:r w:rsidR="000C613F" w:rsidRPr="004969DC">
              <w:rPr>
                <w:rFonts w:cs="Simplified Arabic"/>
                <w:sz w:val="20"/>
                <w:szCs w:val="22"/>
                <w:rtl/>
              </w:rPr>
              <w:t xml:space="preserve">. وهي منطقة ذات قيمة خاصة لسمك الحفش الفارسي </w:t>
            </w:r>
            <w:r w:rsidR="000C613F" w:rsidRPr="004969DC">
              <w:rPr>
                <w:rFonts w:cs="Simplified Arabic" w:hint="cs"/>
                <w:sz w:val="20"/>
                <w:szCs w:val="22"/>
                <w:rtl/>
              </w:rPr>
              <w:t>والتقاطه</w:t>
            </w:r>
            <w:r w:rsidR="000C613F" w:rsidRPr="004969DC">
              <w:rPr>
                <w:rFonts w:cs="Simplified Arabic"/>
                <w:sz w:val="20"/>
                <w:szCs w:val="22"/>
                <w:rtl/>
              </w:rPr>
              <w:t xml:space="preserve">. وبالإضافة إلى ذلك، </w:t>
            </w:r>
            <w:r w:rsidR="000C613F" w:rsidRPr="004969DC">
              <w:rPr>
                <w:rFonts w:cs="Simplified Arabic" w:hint="cs"/>
                <w:sz w:val="20"/>
                <w:szCs w:val="22"/>
                <w:rtl/>
              </w:rPr>
              <w:t>تضم هذه</w:t>
            </w:r>
            <w:r w:rsidR="000C613F" w:rsidRPr="004969DC">
              <w:rPr>
                <w:rFonts w:cs="Simplified Arabic"/>
                <w:sz w:val="20"/>
                <w:szCs w:val="22"/>
                <w:rtl/>
              </w:rPr>
              <w:t xml:space="preserve"> المنطقة </w:t>
            </w:r>
            <w:r w:rsidR="000C613F" w:rsidRPr="004969DC">
              <w:rPr>
                <w:rFonts w:cs="Simplified Arabic" w:hint="cs"/>
                <w:sz w:val="20"/>
                <w:szCs w:val="22"/>
                <w:rtl/>
              </w:rPr>
              <w:t>أراضي</w:t>
            </w:r>
            <w:r w:rsidR="000C613F" w:rsidRPr="004969DC">
              <w:rPr>
                <w:rFonts w:cs="Simplified Arabic"/>
                <w:sz w:val="20"/>
                <w:szCs w:val="22"/>
                <w:rtl/>
              </w:rPr>
              <w:t xml:space="preserve"> </w:t>
            </w:r>
            <w:r w:rsidR="000C613F" w:rsidRPr="004969DC">
              <w:rPr>
                <w:rFonts w:cs="Simplified Arabic" w:hint="cs"/>
                <w:sz w:val="20"/>
                <w:szCs w:val="22"/>
                <w:rtl/>
              </w:rPr>
              <w:t>رطبة واسعة يكتنفها غطاء نباتي</w:t>
            </w:r>
            <w:r w:rsidR="000C613F" w:rsidRPr="004969DC">
              <w:rPr>
                <w:rFonts w:cs="Simplified Arabic"/>
                <w:sz w:val="20"/>
                <w:szCs w:val="22"/>
                <w:rtl/>
              </w:rPr>
              <w:t xml:space="preserve"> كثيف من القصب، وشبكة من السدود</w:t>
            </w:r>
            <w:r w:rsidR="000C613F" w:rsidRPr="004969DC">
              <w:rPr>
                <w:rFonts w:cs="Simplified Arabic" w:hint="cs"/>
                <w:sz w:val="20"/>
                <w:szCs w:val="22"/>
                <w:rtl/>
              </w:rPr>
              <w:t>،</w:t>
            </w:r>
            <w:r w:rsidR="000C613F" w:rsidRPr="004969DC">
              <w:rPr>
                <w:rFonts w:cs="Simplified Arabic"/>
                <w:sz w:val="20"/>
                <w:szCs w:val="22"/>
                <w:rtl/>
              </w:rPr>
              <w:t xml:space="preserve"> وجزيرة </w:t>
            </w:r>
            <w:r w:rsidR="000C613F" w:rsidRPr="004969DC">
              <w:rPr>
                <w:rFonts w:cs="Simplified Arabic" w:hint="cs"/>
                <w:sz w:val="20"/>
                <w:szCs w:val="22"/>
                <w:rtl/>
              </w:rPr>
              <w:t>متسعة تشكل موقعاً هاماً لتشتية وتعشيش</w:t>
            </w:r>
            <w:r w:rsidR="000C613F" w:rsidRPr="004969DC">
              <w:rPr>
                <w:rFonts w:cs="Simplified Arabic"/>
                <w:sz w:val="20"/>
                <w:szCs w:val="22"/>
                <w:rtl/>
              </w:rPr>
              <w:t xml:space="preserve"> بعض أنواع الطيور، وت</w:t>
            </w:r>
            <w:r w:rsidR="000C613F" w:rsidRPr="004969DC">
              <w:rPr>
                <w:rFonts w:cs="Simplified Arabic" w:hint="cs"/>
                <w:sz w:val="20"/>
                <w:szCs w:val="22"/>
                <w:rtl/>
              </w:rPr>
              <w:t>كتسي هذه</w:t>
            </w:r>
            <w:r w:rsidR="000C613F" w:rsidRPr="004969DC">
              <w:rPr>
                <w:rFonts w:cs="Simplified Arabic"/>
                <w:sz w:val="20"/>
                <w:szCs w:val="22"/>
                <w:rtl/>
              </w:rPr>
              <w:t xml:space="preserve"> المنطقة أهمية خاصة </w:t>
            </w:r>
            <w:r w:rsidR="000C613F" w:rsidRPr="004969DC">
              <w:rPr>
                <w:rFonts w:cs="Simplified Arabic" w:hint="cs"/>
                <w:sz w:val="20"/>
                <w:szCs w:val="22"/>
                <w:rtl/>
              </w:rPr>
              <w:t>باعتبارها مكاناً</w:t>
            </w:r>
            <w:r w:rsidR="000C613F" w:rsidRPr="004969DC">
              <w:rPr>
                <w:rFonts w:cs="Simplified Arabic"/>
                <w:sz w:val="20"/>
                <w:szCs w:val="22"/>
                <w:rtl/>
              </w:rPr>
              <w:t xml:space="preserve"> مؤقت</w:t>
            </w:r>
            <w:r w:rsidR="000C613F" w:rsidRPr="004969DC">
              <w:rPr>
                <w:rFonts w:cs="Simplified Arabic" w:hint="cs"/>
                <w:sz w:val="20"/>
                <w:szCs w:val="22"/>
                <w:rtl/>
              </w:rPr>
              <w:t>اً</w:t>
            </w:r>
            <w:r w:rsidR="000C613F" w:rsidRPr="004969DC">
              <w:rPr>
                <w:rFonts w:cs="Simplified Arabic"/>
                <w:sz w:val="20"/>
                <w:szCs w:val="22"/>
                <w:rtl/>
              </w:rPr>
              <w:t xml:space="preserve"> </w:t>
            </w:r>
            <w:r w:rsidR="000C613F" w:rsidRPr="004969DC">
              <w:rPr>
                <w:rFonts w:cs="Simplified Arabic" w:hint="cs"/>
                <w:sz w:val="20"/>
                <w:szCs w:val="22"/>
                <w:rtl/>
              </w:rPr>
              <w:t>يستريح فيه عدد</w:t>
            </w:r>
            <w:r w:rsidR="000C613F" w:rsidRPr="004969DC">
              <w:rPr>
                <w:rFonts w:cs="Simplified Arabic"/>
                <w:sz w:val="20"/>
                <w:szCs w:val="22"/>
                <w:rtl/>
              </w:rPr>
              <w:t xml:space="preserve"> كبير الطيور </w:t>
            </w:r>
            <w:r w:rsidR="000C613F" w:rsidRPr="004969DC">
              <w:rPr>
                <w:rFonts w:cs="Simplified Arabic" w:hint="cs"/>
                <w:sz w:val="20"/>
                <w:szCs w:val="22"/>
                <w:rtl/>
              </w:rPr>
              <w:t>أثناء رحلته</w:t>
            </w:r>
            <w:r w:rsidR="000C613F" w:rsidRPr="004969DC">
              <w:rPr>
                <w:rFonts w:cs="Simplified Arabic"/>
                <w:sz w:val="20"/>
                <w:szCs w:val="22"/>
                <w:rtl/>
              </w:rPr>
              <w:t xml:space="preserve">. </w:t>
            </w:r>
            <w:r w:rsidR="000C613F" w:rsidRPr="004969DC">
              <w:rPr>
                <w:rFonts w:cs="Simplified Arabic" w:hint="cs"/>
                <w:sz w:val="20"/>
                <w:szCs w:val="22"/>
                <w:rtl/>
              </w:rPr>
              <w:t>و</w:t>
            </w:r>
            <w:r w:rsidR="000C613F" w:rsidRPr="004969DC">
              <w:rPr>
                <w:rFonts w:cs="Simplified Arabic"/>
                <w:sz w:val="20"/>
                <w:szCs w:val="22"/>
                <w:rtl/>
              </w:rPr>
              <w:t xml:space="preserve">خلال فترة الهجرة، يصل </w:t>
            </w:r>
            <w:r w:rsidR="000C613F" w:rsidRPr="004969DC">
              <w:rPr>
                <w:rFonts w:cs="Simplified Arabic" w:hint="cs"/>
                <w:sz w:val="20"/>
                <w:szCs w:val="22"/>
                <w:rtl/>
              </w:rPr>
              <w:t>الرقم المسجل ل</w:t>
            </w:r>
            <w:r w:rsidR="000C613F" w:rsidRPr="004969DC">
              <w:rPr>
                <w:rFonts w:cs="Simplified Arabic"/>
                <w:sz w:val="20"/>
                <w:szCs w:val="22"/>
                <w:rtl/>
              </w:rPr>
              <w:t>عدد الطيور المائية</w:t>
            </w:r>
            <w:r w:rsidR="000C613F" w:rsidRPr="004969DC">
              <w:rPr>
                <w:rFonts w:cs="Simplified Arabic" w:hint="cs"/>
                <w:sz w:val="20"/>
                <w:szCs w:val="22"/>
                <w:rtl/>
              </w:rPr>
              <w:t xml:space="preserve"> المهاجرة</w:t>
            </w:r>
            <w:r w:rsidR="000C613F" w:rsidRPr="004969DC">
              <w:rPr>
                <w:rFonts w:cs="Simplified Arabic"/>
                <w:sz w:val="20"/>
                <w:szCs w:val="22"/>
                <w:rtl/>
              </w:rPr>
              <w:t xml:space="preserve"> إلى </w:t>
            </w:r>
            <w:r w:rsidR="000C613F" w:rsidRPr="004969DC">
              <w:rPr>
                <w:rFonts w:cs="Simplified Arabic" w:hint="cs"/>
                <w:sz w:val="20"/>
                <w:szCs w:val="22"/>
                <w:rtl/>
              </w:rPr>
              <w:t>000 75 طائر</w:t>
            </w:r>
            <w:r w:rsidR="000C613F" w:rsidRPr="004969DC">
              <w:rPr>
                <w:rFonts w:cs="Simplified Arabic"/>
                <w:sz w:val="20"/>
                <w:szCs w:val="22"/>
                <w:rtl/>
              </w:rPr>
              <w:t xml:space="preserve">. </w:t>
            </w:r>
            <w:r w:rsidR="000C613F" w:rsidRPr="004969DC">
              <w:rPr>
                <w:rFonts w:cs="Simplified Arabic" w:hint="cs"/>
                <w:sz w:val="20"/>
                <w:szCs w:val="22"/>
                <w:rtl/>
              </w:rPr>
              <w:t>وقد سُجّل في هذا الموقع وجود</w:t>
            </w:r>
            <w:r w:rsidR="000C613F" w:rsidRPr="004969DC">
              <w:rPr>
                <w:rFonts w:cs="Simplified Arabic"/>
                <w:sz w:val="20"/>
                <w:szCs w:val="22"/>
                <w:rtl/>
              </w:rPr>
              <w:t xml:space="preserve"> ال</w:t>
            </w:r>
            <w:r w:rsidR="000C613F" w:rsidRPr="004969DC">
              <w:rPr>
                <w:rFonts w:cs="Simplified Arabic" w:hint="cs"/>
                <w:sz w:val="20"/>
                <w:szCs w:val="22"/>
                <w:rtl/>
              </w:rPr>
              <w:t xml:space="preserve">كثير </w:t>
            </w:r>
            <w:r w:rsidR="000C613F" w:rsidRPr="004969DC">
              <w:rPr>
                <w:rFonts w:cs="Simplified Arabic"/>
                <w:sz w:val="20"/>
                <w:szCs w:val="22"/>
                <w:rtl/>
              </w:rPr>
              <w:t>من</w:t>
            </w:r>
            <w:r w:rsidR="000C613F" w:rsidRPr="004969DC">
              <w:rPr>
                <w:rFonts w:cs="Simplified Arabic" w:hint="cs"/>
                <w:sz w:val="20"/>
                <w:szCs w:val="22"/>
                <w:rtl/>
              </w:rPr>
              <w:t xml:space="preserve"> طيور</w:t>
            </w:r>
            <w:r w:rsidR="000C613F" w:rsidRPr="004969DC">
              <w:rPr>
                <w:rFonts w:cs="Simplified Arabic"/>
                <w:sz w:val="20"/>
                <w:szCs w:val="22"/>
                <w:rtl/>
              </w:rPr>
              <w:t xml:space="preserve"> البجع ال</w:t>
            </w:r>
            <w:r w:rsidR="000C613F" w:rsidRPr="004969DC">
              <w:rPr>
                <w:rFonts w:cs="Simplified Arabic" w:hint="cs"/>
                <w:sz w:val="20"/>
                <w:szCs w:val="22"/>
                <w:rtl/>
              </w:rPr>
              <w:t>دالماسي والرمادي</w:t>
            </w:r>
            <w:r w:rsidR="000C613F" w:rsidRPr="004969DC">
              <w:rPr>
                <w:rFonts w:cs="Simplified Arabic"/>
                <w:sz w:val="20"/>
                <w:szCs w:val="22"/>
                <w:rtl/>
              </w:rPr>
              <w:t xml:space="preserve">، </w:t>
            </w:r>
            <w:r w:rsidR="000C613F" w:rsidRPr="004969DC">
              <w:rPr>
                <w:rFonts w:cs="Simplified Arabic" w:hint="cs"/>
                <w:sz w:val="20"/>
                <w:szCs w:val="22"/>
                <w:rtl/>
              </w:rPr>
              <w:t>و</w:t>
            </w:r>
            <w:r w:rsidR="000C613F" w:rsidRPr="004969DC">
              <w:rPr>
                <w:rFonts w:cs="Simplified Arabic"/>
                <w:sz w:val="20"/>
                <w:szCs w:val="22"/>
                <w:rtl/>
              </w:rPr>
              <w:t xml:space="preserve">الغاق </w:t>
            </w:r>
            <w:r w:rsidR="000C613F" w:rsidRPr="004969DC">
              <w:rPr>
                <w:rFonts w:cs="Simplified Arabic" w:hint="cs"/>
                <w:sz w:val="20"/>
                <w:szCs w:val="22"/>
                <w:rtl/>
              </w:rPr>
              <w:t>الأسود</w:t>
            </w:r>
            <w:r w:rsidR="000C613F" w:rsidRPr="004969DC">
              <w:rPr>
                <w:rFonts w:cs="Simplified Arabic"/>
                <w:sz w:val="20"/>
                <w:szCs w:val="22"/>
                <w:rtl/>
              </w:rPr>
              <w:t xml:space="preserve">، </w:t>
            </w:r>
            <w:r w:rsidR="000C613F" w:rsidRPr="004969DC">
              <w:rPr>
                <w:rFonts w:cs="Simplified Arabic" w:hint="cs"/>
                <w:sz w:val="20"/>
                <w:szCs w:val="22"/>
                <w:rtl/>
              </w:rPr>
              <w:t>وطائر أبو ملعقة</w:t>
            </w:r>
            <w:r w:rsidR="000C613F" w:rsidRPr="004969DC">
              <w:rPr>
                <w:rFonts w:cs="Simplified Arabic"/>
                <w:sz w:val="20"/>
                <w:szCs w:val="22"/>
                <w:rtl/>
              </w:rPr>
              <w:t xml:space="preserve">، </w:t>
            </w:r>
            <w:r w:rsidR="000C613F" w:rsidRPr="004969DC">
              <w:rPr>
                <w:rFonts w:cs="Simplified Arabic" w:hint="cs"/>
                <w:sz w:val="20"/>
                <w:szCs w:val="22"/>
                <w:rtl/>
              </w:rPr>
              <w:t>وطائر</w:t>
            </w:r>
            <w:r w:rsidR="000C613F" w:rsidRPr="004969DC">
              <w:rPr>
                <w:rFonts w:cs="Simplified Arabic"/>
                <w:sz w:val="20"/>
                <w:szCs w:val="22"/>
                <w:rtl/>
              </w:rPr>
              <w:t xml:space="preserve"> السلطان وغيرها من الأنواع النادرة</w:t>
            </w:r>
            <w:r w:rsidR="000C613F" w:rsidRPr="004969DC">
              <w:rPr>
                <w:rFonts w:cs="Simplified Arabic" w:hint="cs"/>
                <w:sz w:val="20"/>
                <w:szCs w:val="22"/>
                <w:rtl/>
              </w:rPr>
              <w:t>.</w:t>
            </w:r>
            <w:bookmarkEnd w:id="70"/>
            <w:bookmarkEnd w:id="71"/>
          </w:p>
          <w:p w:rsidR="00AB0F3E" w:rsidRPr="004969DC" w:rsidRDefault="00AB0F3E" w:rsidP="00AB0F3E">
            <w:pPr>
              <w:pStyle w:val="ListParagraph"/>
              <w:bidi/>
              <w:spacing w:after="0" w:line="204" w:lineRule="auto"/>
              <w:ind w:left="332"/>
              <w:rPr>
                <w:rFonts w:cs="Simplified Arabic"/>
                <w:sz w:val="20"/>
                <w:szCs w:val="22"/>
                <w:rtl/>
              </w:rPr>
            </w:pP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7" w:type="dxa"/>
            <w:vAlign w:val="center"/>
          </w:tcPr>
          <w:p w:rsidR="000A5DEA" w:rsidRPr="00E2695B" w:rsidRDefault="000A5DEA" w:rsidP="00094717">
            <w:pPr>
              <w:rPr>
                <w:color w:val="000000"/>
                <w:sz w:val="20"/>
                <w:szCs w:val="22"/>
              </w:rPr>
            </w:pPr>
            <w:r w:rsidRPr="00E2695B">
              <w:rPr>
                <w:color w:val="000000"/>
                <w:sz w:val="20"/>
                <w:szCs w:val="22"/>
              </w:rPr>
              <w:t>L</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72" w:name="_Toc524295494"/>
            <w:bookmarkStart w:id="73" w:name="_Toc6071575"/>
            <w:r w:rsidRPr="004969DC">
              <w:rPr>
                <w:rFonts w:hint="cs"/>
                <w:bCs/>
                <w:sz w:val="20"/>
                <w:szCs w:val="22"/>
                <w:rtl/>
              </w:rPr>
              <w:lastRenderedPageBreak/>
              <w:t>30-</w:t>
            </w:r>
            <w:r w:rsidRPr="004969DC">
              <w:rPr>
                <w:bCs/>
                <w:sz w:val="20"/>
                <w:szCs w:val="22"/>
                <w:rtl/>
              </w:rPr>
              <w:t xml:space="preserve"> سامور - يالاما</w:t>
            </w:r>
            <w:bookmarkEnd w:id="72"/>
            <w:bookmarkEnd w:id="73"/>
          </w:p>
          <w:p w:rsidR="000A5DEA" w:rsidRPr="004969DC" w:rsidRDefault="000A5DEA" w:rsidP="00CD26C5">
            <w:pPr>
              <w:pStyle w:val="ListParagraph"/>
              <w:numPr>
                <w:ilvl w:val="0"/>
                <w:numId w:val="147"/>
              </w:numPr>
              <w:bidi/>
              <w:spacing w:after="0" w:line="204" w:lineRule="auto"/>
              <w:ind w:left="332" w:hanging="332"/>
              <w:rPr>
                <w:rFonts w:cs="Simplified Arabic"/>
                <w:color w:val="1F497D"/>
                <w:sz w:val="20"/>
                <w:szCs w:val="22"/>
                <w:lang w:val="es-ES_tradnl"/>
              </w:rPr>
            </w:pPr>
            <w:r w:rsidRPr="004969DC">
              <w:rPr>
                <w:rFonts w:cs="Simplified Arabic"/>
                <w:sz w:val="20"/>
                <w:szCs w:val="22"/>
                <w:rtl/>
              </w:rPr>
              <w:t>الموقع: يغطي</w:t>
            </w:r>
            <w:r w:rsidRPr="004969DC">
              <w:rPr>
                <w:rFonts w:cs="Simplified Arabic" w:hint="cs"/>
                <w:sz w:val="20"/>
                <w:szCs w:val="22"/>
                <w:rtl/>
              </w:rPr>
              <w:t xml:space="preserve"> موقع</w:t>
            </w:r>
            <w:r w:rsidRPr="004969DC">
              <w:rPr>
                <w:rFonts w:cs="Simplified Arabic"/>
                <w:sz w:val="20"/>
                <w:szCs w:val="22"/>
                <w:rtl/>
              </w:rPr>
              <w:t xml:space="preserve"> سامور - يالاما مساحة</w:t>
            </w:r>
            <w:r w:rsidRPr="004969DC">
              <w:rPr>
                <w:rFonts w:cs="Simplified Arabic" w:hint="cs"/>
                <w:sz w:val="20"/>
                <w:szCs w:val="22"/>
                <w:rtl/>
              </w:rPr>
              <w:t xml:space="preserve"> مقدارها</w:t>
            </w:r>
            <w:r w:rsidRPr="004969DC">
              <w:rPr>
                <w:rFonts w:cs="Simplified Arabic"/>
                <w:sz w:val="20"/>
                <w:szCs w:val="22"/>
                <w:rtl/>
              </w:rPr>
              <w:t xml:space="preserve"> </w:t>
            </w:r>
            <w:r w:rsidRPr="004969DC">
              <w:rPr>
                <w:rFonts w:cs="Simplified Arabic" w:hint="cs"/>
                <w:sz w:val="20"/>
                <w:szCs w:val="22"/>
                <w:rtl/>
              </w:rPr>
              <w:t>250 1</w:t>
            </w:r>
            <w:r w:rsidRPr="004969DC">
              <w:rPr>
                <w:rFonts w:cs="Simplified Arabic"/>
                <w:sz w:val="20"/>
                <w:szCs w:val="22"/>
                <w:rtl/>
              </w:rPr>
              <w:t xml:space="preserve"> كيلومتر</w:t>
            </w:r>
            <w:r w:rsidRPr="004969DC">
              <w:rPr>
                <w:rFonts w:cs="Simplified Arabic" w:hint="cs"/>
                <w:sz w:val="20"/>
                <w:szCs w:val="22"/>
                <w:rtl/>
              </w:rPr>
              <w:t>اً</w:t>
            </w:r>
            <w:r w:rsidRPr="004969DC">
              <w:rPr>
                <w:rFonts w:cs="Simplified Arabic"/>
                <w:sz w:val="20"/>
                <w:szCs w:val="22"/>
                <w:rtl/>
              </w:rPr>
              <w:t xml:space="preserve"> مربع</w:t>
            </w:r>
            <w:r w:rsidRPr="004969DC">
              <w:rPr>
                <w:rFonts w:cs="Simplified Arabic" w:hint="cs"/>
                <w:sz w:val="20"/>
                <w:szCs w:val="22"/>
                <w:rtl/>
              </w:rPr>
              <w:t>اً</w:t>
            </w:r>
            <w:r w:rsidRPr="004969DC">
              <w:rPr>
                <w:rFonts w:cs="Simplified Arabic"/>
                <w:sz w:val="20"/>
                <w:szCs w:val="22"/>
                <w:rtl/>
              </w:rPr>
              <w:t xml:space="preserve"> على جانبي الحدود الروسية – الأذربيجانية</w:t>
            </w:r>
            <w:r w:rsidRPr="004969DC">
              <w:rPr>
                <w:rFonts w:cs="Simplified Arabic" w:hint="cs"/>
                <w:sz w:val="20"/>
                <w:szCs w:val="22"/>
                <w:rtl/>
              </w:rPr>
              <w:t xml:space="preserve"> التي تتبع خط </w:t>
            </w:r>
            <w:r w:rsidRPr="004969DC">
              <w:rPr>
                <w:rFonts w:cs="Simplified Arabic"/>
                <w:sz w:val="20"/>
                <w:szCs w:val="22"/>
                <w:rtl/>
              </w:rPr>
              <w:t xml:space="preserve">تدفق نهر سامور </w:t>
            </w:r>
            <w:r w:rsidRPr="004969DC">
              <w:rPr>
                <w:rFonts w:cs="Simplified Arabic" w:hint="cs"/>
                <w:sz w:val="20"/>
                <w:szCs w:val="22"/>
                <w:rtl/>
              </w:rPr>
              <w:t>الذي يصب</w:t>
            </w:r>
            <w:r w:rsidRPr="004969DC">
              <w:rPr>
                <w:rFonts w:cs="Simplified Arabic"/>
                <w:sz w:val="20"/>
                <w:szCs w:val="22"/>
                <w:rtl/>
              </w:rPr>
              <w:t xml:space="preserve"> في نهاية المطاف </w:t>
            </w:r>
            <w:r w:rsidRPr="004969DC">
              <w:rPr>
                <w:rFonts w:cs="Simplified Arabic" w:hint="cs"/>
                <w:sz w:val="20"/>
                <w:szCs w:val="22"/>
                <w:rtl/>
              </w:rPr>
              <w:t>في</w:t>
            </w:r>
            <w:r w:rsidRPr="004969DC">
              <w:rPr>
                <w:rFonts w:cs="Simplified Arabic"/>
                <w:sz w:val="20"/>
                <w:szCs w:val="22"/>
                <w:rtl/>
              </w:rPr>
              <w:t xml:space="preserve"> بحر قزوين. </w:t>
            </w:r>
            <w:r w:rsidRPr="004969DC">
              <w:rPr>
                <w:rFonts w:cs="Simplified Arabic" w:hint="cs"/>
                <w:sz w:val="20"/>
                <w:szCs w:val="22"/>
                <w:rtl/>
              </w:rPr>
              <w:t>ويضم</w:t>
            </w:r>
            <w:r w:rsidRPr="004969DC">
              <w:rPr>
                <w:rFonts w:cs="Simplified Arabic"/>
                <w:sz w:val="20"/>
                <w:szCs w:val="22"/>
                <w:rtl/>
              </w:rPr>
              <w:t xml:space="preserve"> الموقع مصب نهر سامور وعدد من الأنهار الأصغر</w:t>
            </w:r>
            <w:r w:rsidRPr="004969DC">
              <w:rPr>
                <w:rFonts w:cs="Simplified Arabic" w:hint="cs"/>
                <w:sz w:val="20"/>
                <w:szCs w:val="22"/>
                <w:rtl/>
              </w:rPr>
              <w:t xml:space="preserve"> حجماً</w:t>
            </w:r>
            <w:r w:rsidRPr="004969DC">
              <w:rPr>
                <w:rFonts w:cs="Simplified Arabic"/>
                <w:sz w:val="20"/>
                <w:szCs w:val="22"/>
                <w:rtl/>
              </w:rPr>
              <w:t xml:space="preserve"> التي </w:t>
            </w:r>
            <w:r w:rsidRPr="004969DC">
              <w:rPr>
                <w:rFonts w:cs="Simplified Arabic" w:hint="cs"/>
                <w:sz w:val="20"/>
                <w:szCs w:val="22"/>
                <w:rtl/>
              </w:rPr>
              <w:t>تنطلق</w:t>
            </w:r>
            <w:r w:rsidRPr="004969DC">
              <w:rPr>
                <w:rFonts w:cs="Simplified Arabic"/>
                <w:sz w:val="20"/>
                <w:szCs w:val="22"/>
                <w:rtl/>
              </w:rPr>
              <w:t xml:space="preserve"> </w:t>
            </w:r>
            <w:r w:rsidRPr="004969DC">
              <w:rPr>
                <w:rFonts w:cs="Simplified Arabic" w:hint="cs"/>
                <w:sz w:val="20"/>
                <w:szCs w:val="22"/>
                <w:rtl/>
              </w:rPr>
              <w:t>من سلسلة جبال</w:t>
            </w:r>
            <w:r w:rsidRPr="004969DC">
              <w:rPr>
                <w:rFonts w:cs="Simplified Arabic"/>
                <w:sz w:val="20"/>
                <w:szCs w:val="22"/>
                <w:rtl/>
              </w:rPr>
              <w:t xml:space="preserve"> القوقاز</w:t>
            </w:r>
            <w:r w:rsidRPr="004969DC">
              <w:rPr>
                <w:rFonts w:cs="Simplified Arabic" w:hint="cs"/>
                <w:sz w:val="20"/>
                <w:szCs w:val="22"/>
                <w:rtl/>
              </w:rPr>
              <w:t>؛ ويحدث التساوي العمقي ل</w:t>
            </w:r>
            <w:r w:rsidRPr="004969DC">
              <w:rPr>
                <w:rFonts w:cs="Simplified Arabic"/>
                <w:sz w:val="20"/>
                <w:szCs w:val="22"/>
                <w:rtl/>
              </w:rPr>
              <w:t>منطقته البحرية</w:t>
            </w:r>
            <w:r w:rsidRPr="004969DC">
              <w:rPr>
                <w:rFonts w:cs="Simplified Arabic" w:hint="cs"/>
                <w:sz w:val="20"/>
                <w:szCs w:val="22"/>
                <w:rtl/>
              </w:rPr>
              <w:t xml:space="preserve"> عند</w:t>
            </w:r>
            <w:r w:rsidRPr="004969DC">
              <w:rPr>
                <w:rFonts w:cs="Simplified Arabic"/>
                <w:sz w:val="20"/>
                <w:szCs w:val="22"/>
                <w:rtl/>
              </w:rPr>
              <w:t xml:space="preserve"> 200 متر</w:t>
            </w:r>
            <w:r w:rsidRPr="004969DC">
              <w:rPr>
                <w:rFonts w:cs="Simplified Arabic"/>
                <w:sz w:val="20"/>
                <w:szCs w:val="22"/>
                <w:lang w:val="es-ES_tradnl"/>
              </w:rPr>
              <w:t>.</w:t>
            </w:r>
          </w:p>
          <w:p w:rsidR="000C613F" w:rsidRPr="004969DC" w:rsidRDefault="000A5DEA" w:rsidP="00CD26C5">
            <w:pPr>
              <w:pStyle w:val="ListParagraph"/>
              <w:numPr>
                <w:ilvl w:val="0"/>
                <w:numId w:val="147"/>
              </w:numPr>
              <w:bidi/>
              <w:spacing w:after="0" w:line="204" w:lineRule="auto"/>
              <w:ind w:left="332" w:hanging="332"/>
              <w:rPr>
                <w:rFonts w:cs="Simplified Arabic"/>
                <w:sz w:val="20"/>
                <w:szCs w:val="22"/>
                <w:lang w:val="es-ES_tradnl"/>
              </w:rPr>
            </w:pPr>
            <w:r w:rsidRPr="004969DC">
              <w:rPr>
                <w:rFonts w:cs="Simplified Arabic"/>
                <w:sz w:val="20"/>
                <w:szCs w:val="22"/>
                <w:rtl/>
              </w:rPr>
              <w:t>تضم المنطقة أعمق منطقة قريبة من ال</w:t>
            </w:r>
            <w:r w:rsidRPr="004969DC">
              <w:rPr>
                <w:rFonts w:cs="Simplified Arabic" w:hint="cs"/>
                <w:sz w:val="20"/>
                <w:szCs w:val="22"/>
                <w:rtl/>
              </w:rPr>
              <w:t>شاطئ</w:t>
            </w:r>
            <w:r w:rsidRPr="004969DC">
              <w:rPr>
                <w:rFonts w:cs="Simplified Arabic"/>
                <w:sz w:val="20"/>
                <w:szCs w:val="22"/>
                <w:rtl/>
              </w:rPr>
              <w:t xml:space="preserve"> في بحر قزوين، </w:t>
            </w:r>
            <w:r w:rsidRPr="004969DC">
              <w:rPr>
                <w:rFonts w:cs="Simplified Arabic" w:hint="cs"/>
                <w:sz w:val="20"/>
                <w:szCs w:val="22"/>
                <w:rtl/>
              </w:rPr>
              <w:t>ويوجد بها</w:t>
            </w:r>
            <w:r w:rsidRPr="004969DC">
              <w:rPr>
                <w:rFonts w:cs="Simplified Arabic"/>
                <w:sz w:val="20"/>
                <w:szCs w:val="22"/>
                <w:rtl/>
              </w:rPr>
              <w:t xml:space="preserve"> منحدر </w:t>
            </w:r>
            <w:r w:rsidRPr="004969DC">
              <w:rPr>
                <w:rFonts w:cs="Simplified Arabic" w:hint="cs"/>
                <w:sz w:val="20"/>
                <w:szCs w:val="22"/>
                <w:rtl/>
              </w:rPr>
              <w:t>شديد</w:t>
            </w:r>
            <w:r w:rsidRPr="004969DC">
              <w:rPr>
                <w:rFonts w:cs="Simplified Arabic"/>
                <w:sz w:val="20"/>
                <w:szCs w:val="22"/>
                <w:rtl/>
              </w:rPr>
              <w:t xml:space="preserve"> تحت الماء. </w:t>
            </w:r>
            <w:r w:rsidRPr="004969DC">
              <w:rPr>
                <w:rFonts w:cs="Simplified Arabic" w:hint="cs"/>
                <w:sz w:val="20"/>
                <w:szCs w:val="22"/>
                <w:rtl/>
              </w:rPr>
              <w:t>وتكتسي هذه المنطقة</w:t>
            </w:r>
            <w:r w:rsidRPr="004969DC">
              <w:rPr>
                <w:rFonts w:cs="Simplified Arabic"/>
                <w:sz w:val="20"/>
                <w:szCs w:val="22"/>
                <w:rtl/>
              </w:rPr>
              <w:t xml:space="preserve"> أهمية </w:t>
            </w:r>
            <w:r w:rsidRPr="004969DC">
              <w:rPr>
                <w:rFonts w:cs="Simplified Arabic" w:hint="cs"/>
                <w:sz w:val="20"/>
                <w:szCs w:val="22"/>
                <w:rtl/>
              </w:rPr>
              <w:t>كبيرة</w:t>
            </w:r>
            <w:r w:rsidRPr="004969DC">
              <w:rPr>
                <w:rFonts w:cs="Simplified Arabic"/>
                <w:sz w:val="20"/>
                <w:szCs w:val="22"/>
                <w:rtl/>
              </w:rPr>
              <w:t xml:space="preserve"> لمراحل تاريخ حياة ما لا يقل عن 20 نوعا</w:t>
            </w:r>
            <w:r w:rsidRPr="004969DC">
              <w:rPr>
                <w:rFonts w:cs="Simplified Arabic" w:hint="cs"/>
                <w:sz w:val="20"/>
                <w:szCs w:val="22"/>
                <w:rtl/>
              </w:rPr>
              <w:t>ً</w:t>
            </w:r>
            <w:r w:rsidRPr="004969DC">
              <w:rPr>
                <w:rFonts w:cs="Simplified Arabic"/>
                <w:sz w:val="20"/>
                <w:szCs w:val="22"/>
                <w:rtl/>
              </w:rPr>
              <w:t xml:space="preserve"> من الأسماك، وهي ممر هجرة ذ</w:t>
            </w:r>
            <w:r w:rsidRPr="004969DC">
              <w:rPr>
                <w:rFonts w:cs="Simplified Arabic" w:hint="cs"/>
                <w:sz w:val="20"/>
                <w:szCs w:val="22"/>
                <w:rtl/>
              </w:rPr>
              <w:t>و</w:t>
            </w:r>
            <w:r w:rsidRPr="004969DC">
              <w:rPr>
                <w:rFonts w:cs="Simplified Arabic"/>
                <w:sz w:val="20"/>
                <w:szCs w:val="22"/>
                <w:rtl/>
              </w:rPr>
              <w:t xml:space="preserve"> أهمية </w:t>
            </w:r>
            <w:r w:rsidRPr="004969DC">
              <w:rPr>
                <w:rFonts w:cs="Simplified Arabic" w:hint="cs"/>
                <w:sz w:val="20"/>
                <w:szCs w:val="22"/>
                <w:rtl/>
              </w:rPr>
              <w:t>بالغة</w:t>
            </w:r>
            <w:r w:rsidRPr="004969DC">
              <w:rPr>
                <w:rFonts w:cs="Simplified Arabic"/>
                <w:sz w:val="20"/>
                <w:szCs w:val="22"/>
                <w:rtl/>
              </w:rPr>
              <w:t xml:space="preserve"> </w:t>
            </w:r>
            <w:r w:rsidRPr="004969DC">
              <w:rPr>
                <w:rFonts w:cs="Simplified Arabic" w:hint="cs"/>
                <w:sz w:val="20"/>
                <w:szCs w:val="22"/>
                <w:rtl/>
              </w:rPr>
              <w:t>ومكان إعلاف</w:t>
            </w:r>
            <w:r w:rsidRPr="004969DC">
              <w:rPr>
                <w:rFonts w:cs="Simplified Arabic"/>
                <w:sz w:val="20"/>
                <w:szCs w:val="22"/>
                <w:rtl/>
              </w:rPr>
              <w:t xml:space="preserve"> </w:t>
            </w:r>
            <w:r w:rsidRPr="004969DC">
              <w:rPr>
                <w:rFonts w:cs="Simplified Arabic" w:hint="cs"/>
                <w:sz w:val="20"/>
                <w:szCs w:val="22"/>
                <w:rtl/>
              </w:rPr>
              <w:t>للطيور البالغة واليافعة على حد سواء</w:t>
            </w:r>
            <w:r w:rsidRPr="004969DC">
              <w:rPr>
                <w:rFonts w:cs="Simplified Arabic"/>
                <w:sz w:val="20"/>
                <w:szCs w:val="22"/>
                <w:rtl/>
              </w:rPr>
              <w:t xml:space="preserve">. </w:t>
            </w:r>
            <w:r w:rsidRPr="004969DC">
              <w:rPr>
                <w:rFonts w:cs="Simplified Arabic" w:hint="cs"/>
                <w:sz w:val="20"/>
                <w:szCs w:val="22"/>
                <w:rtl/>
              </w:rPr>
              <w:t>وهي أيضاً</w:t>
            </w:r>
            <w:r w:rsidRPr="004969DC">
              <w:rPr>
                <w:rFonts w:cs="Simplified Arabic"/>
                <w:sz w:val="20"/>
                <w:szCs w:val="22"/>
                <w:rtl/>
              </w:rPr>
              <w:t xml:space="preserve"> منطقة مهمة للطيو</w:t>
            </w:r>
            <w:r w:rsidRPr="004969DC">
              <w:rPr>
                <w:rFonts w:cs="Simplified Arabic" w:hint="cs"/>
                <w:sz w:val="20"/>
                <w:szCs w:val="22"/>
                <w:rtl/>
              </w:rPr>
              <w:t>ر</w:t>
            </w:r>
            <w:r w:rsidRPr="004969DC">
              <w:rPr>
                <w:rFonts w:cs="Simplified Arabic"/>
                <w:sz w:val="20"/>
                <w:szCs w:val="22"/>
                <w:rtl/>
              </w:rPr>
              <w:t xml:space="preserve">، </w:t>
            </w:r>
            <w:r w:rsidRPr="004969DC">
              <w:rPr>
                <w:rFonts w:cs="Simplified Arabic" w:hint="cs"/>
                <w:sz w:val="20"/>
                <w:szCs w:val="22"/>
                <w:rtl/>
              </w:rPr>
              <w:t xml:space="preserve">وتشكل جزءاً من طريق هجرة </w:t>
            </w:r>
            <w:r w:rsidRPr="004969DC">
              <w:rPr>
                <w:rFonts w:cs="Simplified Arabic"/>
                <w:sz w:val="20"/>
                <w:szCs w:val="22"/>
                <w:rtl/>
              </w:rPr>
              <w:t>و</w:t>
            </w:r>
            <w:r w:rsidRPr="004969DC">
              <w:rPr>
                <w:rFonts w:cs="Simplified Arabic" w:hint="cs"/>
                <w:sz w:val="20"/>
                <w:szCs w:val="22"/>
                <w:rtl/>
              </w:rPr>
              <w:t>مكاناً حيوياً</w:t>
            </w:r>
            <w:r w:rsidRPr="004969DC">
              <w:rPr>
                <w:rFonts w:cs="Simplified Arabic"/>
                <w:sz w:val="20"/>
                <w:szCs w:val="22"/>
                <w:rtl/>
              </w:rPr>
              <w:t xml:space="preserve"> </w:t>
            </w:r>
            <w:r w:rsidRPr="004969DC">
              <w:rPr>
                <w:rFonts w:cs="Simplified Arabic" w:hint="cs"/>
                <w:sz w:val="20"/>
                <w:szCs w:val="22"/>
                <w:rtl/>
              </w:rPr>
              <w:t>ل</w:t>
            </w:r>
            <w:r w:rsidRPr="004969DC">
              <w:rPr>
                <w:rFonts w:cs="Simplified Arabic"/>
                <w:sz w:val="20"/>
                <w:szCs w:val="22"/>
                <w:rtl/>
              </w:rPr>
              <w:t xml:space="preserve">توقف </w:t>
            </w:r>
            <w:r w:rsidRPr="004969DC">
              <w:rPr>
                <w:rFonts w:cs="Simplified Arabic" w:hint="cs"/>
                <w:sz w:val="20"/>
                <w:szCs w:val="22"/>
                <w:rtl/>
              </w:rPr>
              <w:t>طيور الماء وتعشيشها</w:t>
            </w:r>
            <w:r w:rsidRPr="004969DC">
              <w:rPr>
                <w:rFonts w:cs="Simplified Arabic"/>
                <w:sz w:val="20"/>
                <w:szCs w:val="22"/>
                <w:rtl/>
              </w:rPr>
              <w:t xml:space="preserve">. </w:t>
            </w:r>
            <w:r w:rsidRPr="004969DC">
              <w:rPr>
                <w:rFonts w:cs="Simplified Arabic" w:hint="cs"/>
                <w:sz w:val="20"/>
                <w:szCs w:val="22"/>
                <w:rtl/>
              </w:rPr>
              <w:t>وتكتسي أيضاً أهمية بالغة</w:t>
            </w:r>
            <w:r w:rsidRPr="004969DC">
              <w:rPr>
                <w:rFonts w:cs="Simplified Arabic"/>
                <w:sz w:val="20"/>
                <w:szCs w:val="22"/>
                <w:rtl/>
              </w:rPr>
              <w:t xml:space="preserve"> لجميع الأنواع سمك الحفش</w:t>
            </w:r>
            <w:r w:rsidRPr="004969DC">
              <w:rPr>
                <w:rFonts w:cs="Simplified Arabic" w:hint="cs"/>
                <w:sz w:val="20"/>
                <w:szCs w:val="22"/>
                <w:rtl/>
              </w:rPr>
              <w:t xml:space="preserve"> الخمسة</w:t>
            </w:r>
            <w:r w:rsidRPr="004969DC">
              <w:rPr>
                <w:rFonts w:cs="Simplified Arabic"/>
                <w:sz w:val="20"/>
                <w:szCs w:val="22"/>
                <w:rtl/>
              </w:rPr>
              <w:t xml:space="preserve"> المعرضة بشدة للانقراض (القائمة الحمراء </w:t>
            </w:r>
            <w:r w:rsidRPr="004969DC">
              <w:rPr>
                <w:rFonts w:cs="Simplified Arabic" w:hint="cs"/>
                <w:sz w:val="20"/>
                <w:szCs w:val="22"/>
                <w:rtl/>
              </w:rPr>
              <w:t>الصادرة عن الاتحاد الدولي لحفظ الطبيعة</w:t>
            </w:r>
            <w:r w:rsidRPr="004969DC">
              <w:rPr>
                <w:rFonts w:cs="Simplified Arabic"/>
                <w:sz w:val="20"/>
                <w:szCs w:val="22"/>
                <w:rtl/>
              </w:rPr>
              <w:t xml:space="preserve">) </w:t>
            </w:r>
            <w:r w:rsidRPr="004969DC">
              <w:rPr>
                <w:rFonts w:cs="Simplified Arabic" w:hint="cs"/>
                <w:sz w:val="20"/>
                <w:szCs w:val="22"/>
                <w:rtl/>
              </w:rPr>
              <w:t>وعدة أنواع أخرى</w:t>
            </w:r>
            <w:r w:rsidRPr="004969DC">
              <w:rPr>
                <w:rFonts w:cs="Simplified Arabic"/>
                <w:sz w:val="20"/>
                <w:szCs w:val="22"/>
                <w:rtl/>
              </w:rPr>
              <w:t xml:space="preserve"> من الأسماك والطيور</w:t>
            </w:r>
            <w:r w:rsidRPr="004969DC">
              <w:rPr>
                <w:rFonts w:cs="Simplified Arabic" w:hint="cs"/>
                <w:sz w:val="20"/>
                <w:szCs w:val="22"/>
                <w:rtl/>
              </w:rPr>
              <w:t xml:space="preserve"> المحمية.</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lang w:val="es-ES_tradnl"/>
              </w:rPr>
            </w:pPr>
            <w:bookmarkStart w:id="74" w:name="_Toc524295495"/>
            <w:bookmarkStart w:id="75" w:name="_Toc6071576"/>
            <w:r w:rsidRPr="004969DC">
              <w:rPr>
                <w:rFonts w:hint="cs"/>
                <w:bCs/>
                <w:sz w:val="20"/>
                <w:szCs w:val="22"/>
                <w:rtl/>
              </w:rPr>
              <w:t xml:space="preserve">31- </w:t>
            </w:r>
            <w:r w:rsidRPr="004969DC">
              <w:rPr>
                <w:rFonts w:eastAsia="MS Mincho"/>
                <w:bCs/>
                <w:sz w:val="20"/>
                <w:szCs w:val="22"/>
                <w:rtl/>
              </w:rPr>
              <w:t>خليج كيزليار</w:t>
            </w:r>
            <w:bookmarkEnd w:id="74"/>
            <w:bookmarkEnd w:id="75"/>
          </w:p>
          <w:p w:rsidR="000A5DEA" w:rsidRPr="004969DC" w:rsidRDefault="000A5DEA" w:rsidP="00CD26C5">
            <w:pPr>
              <w:pStyle w:val="ListParagraph"/>
              <w:numPr>
                <w:ilvl w:val="0"/>
                <w:numId w:val="148"/>
              </w:numPr>
              <w:bidi/>
              <w:spacing w:after="0" w:line="204" w:lineRule="auto"/>
              <w:ind w:left="332" w:hanging="332"/>
              <w:rPr>
                <w:rFonts w:cs="Simplified Arabic"/>
                <w:sz w:val="20"/>
                <w:szCs w:val="22"/>
                <w:lang w:val="es-ES_tradnl"/>
              </w:rPr>
            </w:pPr>
            <w:r w:rsidRPr="004969DC">
              <w:rPr>
                <w:rFonts w:cs="Simplified Arabic"/>
                <w:sz w:val="20"/>
                <w:szCs w:val="22"/>
                <w:rtl/>
              </w:rPr>
              <w:t>الموقع: تغطي</w:t>
            </w:r>
            <w:r w:rsidRPr="004969DC">
              <w:rPr>
                <w:rFonts w:cs="Simplified Arabic" w:hint="cs"/>
                <w:sz w:val="20"/>
                <w:szCs w:val="22"/>
                <w:rtl/>
              </w:rPr>
              <w:t xml:space="preserve"> هذه</w:t>
            </w:r>
            <w:r w:rsidRPr="004969DC">
              <w:rPr>
                <w:rFonts w:cs="Simplified Arabic"/>
                <w:sz w:val="20"/>
                <w:szCs w:val="22"/>
                <w:rtl/>
              </w:rPr>
              <w:t xml:space="preserve"> المنطقة الساحل الشمالي الغربي لبحر قزوين</w:t>
            </w:r>
            <w:r w:rsidRPr="004969DC">
              <w:rPr>
                <w:rFonts w:cs="Simplified Arabic" w:hint="cs"/>
                <w:sz w:val="20"/>
                <w:szCs w:val="22"/>
                <w:rtl/>
              </w:rPr>
              <w:t xml:space="preserve"> انطلاقاً</w:t>
            </w:r>
            <w:r w:rsidRPr="004969DC">
              <w:rPr>
                <w:rFonts w:cs="Simplified Arabic"/>
                <w:sz w:val="20"/>
                <w:szCs w:val="22"/>
                <w:rtl/>
              </w:rPr>
              <w:t xml:space="preserve"> من دلتا نهر الفولغا إلى شبه جزيرة أغراخان (</w:t>
            </w:r>
            <w:r w:rsidRPr="004969DC">
              <w:rPr>
                <w:rFonts w:cs="Simplified Arabic" w:hint="cs"/>
                <w:sz w:val="20"/>
                <w:szCs w:val="22"/>
                <w:rtl/>
              </w:rPr>
              <w:t>بصورة كاملة</w:t>
            </w:r>
            <w:r w:rsidRPr="004969DC">
              <w:rPr>
                <w:rFonts w:cs="Simplified Arabic"/>
                <w:sz w:val="20"/>
                <w:szCs w:val="22"/>
                <w:rtl/>
              </w:rPr>
              <w:t>) وجز</w:t>
            </w:r>
            <w:r w:rsidRPr="004969DC">
              <w:rPr>
                <w:rFonts w:cs="Simplified Arabic" w:hint="cs"/>
                <w:sz w:val="20"/>
                <w:szCs w:val="22"/>
                <w:rtl/>
              </w:rPr>
              <w:t>يرتي تيولينيي وتشيتشان</w:t>
            </w:r>
            <w:r w:rsidRPr="004969DC">
              <w:rPr>
                <w:rFonts w:cs="Simplified Arabic"/>
                <w:sz w:val="20"/>
                <w:szCs w:val="22"/>
                <w:rtl/>
              </w:rPr>
              <w:t xml:space="preserve">. </w:t>
            </w:r>
            <w:r w:rsidRPr="004969DC">
              <w:rPr>
                <w:rFonts w:cs="Simplified Arabic" w:hint="cs"/>
                <w:sz w:val="20"/>
                <w:szCs w:val="22"/>
                <w:rtl/>
              </w:rPr>
              <w:t>وتعتبر أقصى الخلجان البحرية الشمالية الواقعة على</w:t>
            </w:r>
            <w:r w:rsidRPr="004969DC">
              <w:rPr>
                <w:rFonts w:cs="Simplified Arabic"/>
                <w:sz w:val="20"/>
                <w:szCs w:val="22"/>
                <w:rtl/>
              </w:rPr>
              <w:t xml:space="preserve"> الساحل الغربي لبحر قزوين</w:t>
            </w:r>
            <w:r w:rsidRPr="004969DC">
              <w:rPr>
                <w:rFonts w:cs="Simplified Arabic"/>
                <w:sz w:val="20"/>
                <w:szCs w:val="22"/>
                <w:lang w:val="es-ES_tradnl"/>
              </w:rPr>
              <w:t>.</w:t>
            </w:r>
          </w:p>
          <w:p w:rsidR="000A5DEA" w:rsidRPr="004969DC" w:rsidRDefault="000A5DEA" w:rsidP="00CD26C5">
            <w:pPr>
              <w:pStyle w:val="ListParagraph"/>
              <w:numPr>
                <w:ilvl w:val="0"/>
                <w:numId w:val="148"/>
              </w:numPr>
              <w:bidi/>
              <w:spacing w:after="0" w:line="204" w:lineRule="auto"/>
              <w:ind w:left="332" w:hanging="332"/>
              <w:rPr>
                <w:rFonts w:cs="Simplified Arabic"/>
                <w:sz w:val="20"/>
                <w:szCs w:val="22"/>
                <w:lang w:val="es-ES_tradnl"/>
              </w:rPr>
            </w:pPr>
            <w:r w:rsidRPr="004969DC">
              <w:rPr>
                <w:rFonts w:cs="Simplified Arabic" w:hint="cs"/>
                <w:sz w:val="20"/>
                <w:szCs w:val="22"/>
                <w:rtl/>
              </w:rPr>
              <w:t xml:space="preserve">تكتسي </w:t>
            </w:r>
            <w:r w:rsidRPr="004969DC">
              <w:rPr>
                <w:rFonts w:cs="Simplified Arabic"/>
                <w:sz w:val="20"/>
                <w:szCs w:val="22"/>
                <w:rtl/>
              </w:rPr>
              <w:t xml:space="preserve">هذه المنطقة أهمية </w:t>
            </w:r>
            <w:r w:rsidRPr="004969DC">
              <w:rPr>
                <w:rFonts w:cs="Simplified Arabic" w:hint="cs"/>
                <w:sz w:val="20"/>
                <w:szCs w:val="22"/>
                <w:rtl/>
              </w:rPr>
              <w:t>رئيسية</w:t>
            </w:r>
            <w:r w:rsidRPr="004969DC">
              <w:rPr>
                <w:rFonts w:cs="Simplified Arabic"/>
                <w:sz w:val="20"/>
                <w:szCs w:val="22"/>
                <w:rtl/>
              </w:rPr>
              <w:t xml:space="preserve"> للهجرات الموسمية </w:t>
            </w:r>
            <w:r w:rsidRPr="004969DC">
              <w:rPr>
                <w:rFonts w:cs="Simplified Arabic" w:hint="cs"/>
                <w:sz w:val="20"/>
                <w:szCs w:val="22"/>
                <w:rtl/>
              </w:rPr>
              <w:t>لطيور الماء</w:t>
            </w:r>
            <w:r w:rsidRPr="004969DC">
              <w:rPr>
                <w:rFonts w:cs="Simplified Arabic"/>
                <w:sz w:val="20"/>
                <w:szCs w:val="22"/>
                <w:rtl/>
              </w:rPr>
              <w:t xml:space="preserve"> والطيور المائية التي تنتقل من غرب سيبيريا وأوروبا الشرقية، أو تحلق </w:t>
            </w:r>
            <w:r w:rsidRPr="004969DC">
              <w:rPr>
                <w:rFonts w:cs="Simplified Arabic" w:hint="cs"/>
                <w:sz w:val="20"/>
                <w:szCs w:val="22"/>
                <w:rtl/>
              </w:rPr>
              <w:t>فوق</w:t>
            </w:r>
            <w:r w:rsidRPr="004969DC">
              <w:rPr>
                <w:rFonts w:cs="Simplified Arabic"/>
                <w:sz w:val="20"/>
                <w:szCs w:val="22"/>
                <w:rtl/>
              </w:rPr>
              <w:t xml:space="preserve"> هذا الساحل أو </w:t>
            </w:r>
            <w:r w:rsidRPr="004969DC">
              <w:rPr>
                <w:rFonts w:cs="Simplified Arabic" w:hint="cs"/>
                <w:sz w:val="20"/>
                <w:szCs w:val="22"/>
                <w:rtl/>
              </w:rPr>
              <w:t>تعشش</w:t>
            </w:r>
            <w:r w:rsidRPr="004969DC">
              <w:rPr>
                <w:rFonts w:cs="Simplified Arabic"/>
                <w:sz w:val="20"/>
                <w:szCs w:val="22"/>
                <w:rtl/>
              </w:rPr>
              <w:t xml:space="preserve"> فيه. ويمثل 250 نوع</w:t>
            </w:r>
            <w:r w:rsidRPr="004969DC">
              <w:rPr>
                <w:rFonts w:cs="Simplified Arabic" w:hint="cs"/>
                <w:sz w:val="20"/>
                <w:szCs w:val="22"/>
                <w:rtl/>
              </w:rPr>
              <w:t>اً تركيبة أنواع</w:t>
            </w:r>
            <w:r w:rsidRPr="004969DC">
              <w:rPr>
                <w:rFonts w:cs="Simplified Arabic"/>
                <w:sz w:val="20"/>
                <w:szCs w:val="22"/>
                <w:rtl/>
              </w:rPr>
              <w:t xml:space="preserve"> الطيور </w:t>
            </w:r>
            <w:r w:rsidRPr="004969DC">
              <w:rPr>
                <w:rFonts w:cs="Simplified Arabic" w:hint="cs"/>
                <w:sz w:val="20"/>
                <w:szCs w:val="22"/>
                <w:rtl/>
              </w:rPr>
              <w:t>الموجودة في هذه المنطقة</w:t>
            </w:r>
            <w:r w:rsidRPr="004969DC">
              <w:rPr>
                <w:rFonts w:cs="Simplified Arabic"/>
                <w:sz w:val="20"/>
                <w:szCs w:val="22"/>
                <w:rtl/>
              </w:rPr>
              <w:t xml:space="preserve">، </w:t>
            </w:r>
            <w:r w:rsidRPr="004969DC">
              <w:rPr>
                <w:rFonts w:cs="Simplified Arabic" w:hint="cs"/>
                <w:sz w:val="20"/>
                <w:szCs w:val="22"/>
                <w:rtl/>
              </w:rPr>
              <w:t>و</w:t>
            </w:r>
            <w:r w:rsidRPr="004969DC">
              <w:rPr>
                <w:rFonts w:cs="Simplified Arabic"/>
                <w:sz w:val="20"/>
                <w:szCs w:val="22"/>
                <w:rtl/>
              </w:rPr>
              <w:t xml:space="preserve">معظمها من الطيور المائية. </w:t>
            </w:r>
            <w:r w:rsidRPr="004969DC">
              <w:rPr>
                <w:rFonts w:cs="Simplified Arabic" w:hint="cs"/>
                <w:sz w:val="20"/>
                <w:szCs w:val="22"/>
                <w:rtl/>
              </w:rPr>
              <w:t>وهي مكان رئيسي</w:t>
            </w:r>
            <w:r w:rsidRPr="004969DC">
              <w:rPr>
                <w:rFonts w:cs="Simplified Arabic"/>
                <w:sz w:val="20"/>
                <w:szCs w:val="22"/>
                <w:rtl/>
              </w:rPr>
              <w:t xml:space="preserve"> ل</w:t>
            </w:r>
            <w:r w:rsidRPr="004969DC">
              <w:rPr>
                <w:rFonts w:cs="Simplified Arabic" w:hint="cs"/>
                <w:sz w:val="20"/>
                <w:szCs w:val="22"/>
                <w:rtl/>
              </w:rPr>
              <w:t xml:space="preserve">تجمع </w:t>
            </w:r>
            <w:r w:rsidRPr="004969DC">
              <w:rPr>
                <w:rFonts w:cs="Simplified Arabic"/>
                <w:sz w:val="20"/>
                <w:szCs w:val="22"/>
                <w:rtl/>
              </w:rPr>
              <w:t>أنواع نادرة من الطيور، مثل البجع الد</w:t>
            </w:r>
            <w:r w:rsidRPr="004969DC">
              <w:rPr>
                <w:rFonts w:cs="Simplified Arabic" w:hint="cs"/>
                <w:sz w:val="20"/>
                <w:szCs w:val="22"/>
                <w:rtl/>
              </w:rPr>
              <w:t>ا</w:t>
            </w:r>
            <w:r w:rsidRPr="004969DC">
              <w:rPr>
                <w:rFonts w:cs="Simplified Arabic"/>
                <w:sz w:val="20"/>
                <w:szCs w:val="22"/>
                <w:rtl/>
              </w:rPr>
              <w:t>لماسي (</w:t>
            </w:r>
            <w:r w:rsidRPr="004969DC">
              <w:rPr>
                <w:rFonts w:cs="Simplified Arabic"/>
                <w:i/>
                <w:iCs/>
                <w:sz w:val="20"/>
                <w:szCs w:val="22"/>
                <w:lang w:val="es-ES_tradnl"/>
              </w:rPr>
              <w:t>Pelecanus crispus</w:t>
            </w:r>
            <w:r w:rsidRPr="004969DC">
              <w:rPr>
                <w:rFonts w:cs="Simplified Arabic"/>
                <w:sz w:val="20"/>
                <w:szCs w:val="22"/>
                <w:rtl/>
              </w:rPr>
              <w:t xml:space="preserve">)، </w:t>
            </w:r>
            <w:r w:rsidRPr="004969DC">
              <w:rPr>
                <w:rFonts w:cs="Simplified Arabic" w:hint="cs"/>
                <w:sz w:val="20"/>
                <w:szCs w:val="22"/>
                <w:rtl/>
              </w:rPr>
              <w:t>وكذلك</w:t>
            </w:r>
            <w:r w:rsidRPr="004969DC">
              <w:rPr>
                <w:rFonts w:cs="Simplified Arabic"/>
                <w:sz w:val="20"/>
                <w:szCs w:val="22"/>
                <w:rtl/>
              </w:rPr>
              <w:t xml:space="preserve"> العديد من الأنواع الشائعة (</w:t>
            </w:r>
            <w:r w:rsidRPr="004969DC">
              <w:rPr>
                <w:rFonts w:cs="Simplified Arabic" w:hint="cs"/>
                <w:sz w:val="20"/>
                <w:szCs w:val="22"/>
                <w:rtl/>
              </w:rPr>
              <w:t>مثل</w:t>
            </w:r>
            <w:r w:rsidRPr="004969DC">
              <w:rPr>
                <w:rFonts w:cs="Simplified Arabic"/>
                <w:sz w:val="20"/>
                <w:szCs w:val="22"/>
                <w:rtl/>
              </w:rPr>
              <w:t xml:space="preserve"> </w:t>
            </w:r>
            <w:r w:rsidRPr="004969DC">
              <w:rPr>
                <w:rFonts w:cs="Simplified Arabic" w:hint="cs"/>
                <w:spacing w:val="-8"/>
                <w:sz w:val="20"/>
                <w:szCs w:val="22"/>
                <w:rtl/>
              </w:rPr>
              <w:t>طيور</w:t>
            </w:r>
            <w:r w:rsidRPr="004969DC">
              <w:rPr>
                <w:rFonts w:cs="Simplified Arabic"/>
                <w:color w:val="222222"/>
                <w:spacing w:val="-8"/>
                <w:sz w:val="20"/>
                <w:szCs w:val="22"/>
                <w:rtl/>
              </w:rPr>
              <w:t xml:space="preserve"> </w:t>
            </w:r>
            <w:r w:rsidRPr="004969DC">
              <w:rPr>
                <w:rFonts w:cs="Simplified Arabic"/>
                <w:spacing w:val="-8"/>
                <w:sz w:val="20"/>
                <w:szCs w:val="22"/>
                <w:rtl/>
              </w:rPr>
              <w:t>الغُرَّة</w:t>
            </w:r>
            <w:r w:rsidRPr="004969DC">
              <w:rPr>
                <w:rFonts w:cs="Simplified Arabic" w:hint="cs"/>
                <w:b/>
                <w:bCs/>
                <w:spacing w:val="-8"/>
                <w:sz w:val="20"/>
                <w:szCs w:val="22"/>
                <w:rtl/>
              </w:rPr>
              <w:t xml:space="preserve">، </w:t>
            </w:r>
            <w:r w:rsidRPr="004969DC">
              <w:rPr>
                <w:rFonts w:cs="Simplified Arabic" w:hint="cs"/>
                <w:spacing w:val="-8"/>
                <w:sz w:val="20"/>
                <w:szCs w:val="22"/>
                <w:rtl/>
              </w:rPr>
              <w:t>والإوز الرمادي</w:t>
            </w:r>
            <w:r w:rsidRPr="004969DC">
              <w:rPr>
                <w:rFonts w:cs="Simplified Arabic"/>
                <w:spacing w:val="-8"/>
                <w:sz w:val="20"/>
                <w:szCs w:val="22"/>
                <w:rtl/>
              </w:rPr>
              <w:t xml:space="preserve">، وأنواع مختلفة من البط). </w:t>
            </w:r>
            <w:r w:rsidRPr="004969DC">
              <w:rPr>
                <w:rFonts w:cs="Simplified Arabic" w:hint="cs"/>
                <w:spacing w:val="-8"/>
                <w:sz w:val="20"/>
                <w:szCs w:val="22"/>
                <w:rtl/>
              </w:rPr>
              <w:t xml:space="preserve">وتشكل هذه </w:t>
            </w:r>
            <w:r w:rsidRPr="004969DC">
              <w:rPr>
                <w:rFonts w:cs="Simplified Arabic"/>
                <w:spacing w:val="-8"/>
                <w:sz w:val="20"/>
                <w:szCs w:val="22"/>
                <w:rtl/>
              </w:rPr>
              <w:t xml:space="preserve">المنطقة </w:t>
            </w:r>
            <w:r w:rsidRPr="004969DC">
              <w:rPr>
                <w:rFonts w:cs="Simplified Arabic" w:hint="cs"/>
                <w:spacing w:val="-8"/>
                <w:sz w:val="20"/>
                <w:szCs w:val="22"/>
                <w:rtl/>
              </w:rPr>
              <w:t>مكان إنسال وإعلاف</w:t>
            </w:r>
            <w:r w:rsidRPr="004969DC">
              <w:rPr>
                <w:rFonts w:cs="Simplified Arabic"/>
                <w:spacing w:val="-8"/>
                <w:sz w:val="20"/>
                <w:szCs w:val="22"/>
                <w:rtl/>
              </w:rPr>
              <w:t xml:space="preserve"> وهجرة لأكثر من 60 نوعًا من الأسماك. </w:t>
            </w:r>
            <w:r w:rsidRPr="004969DC">
              <w:rPr>
                <w:rFonts w:cs="Simplified Arabic" w:hint="cs"/>
                <w:spacing w:val="-8"/>
                <w:sz w:val="20"/>
                <w:szCs w:val="22"/>
                <w:rtl/>
              </w:rPr>
              <w:t xml:space="preserve">ويُعتبر خليج كيزليار </w:t>
            </w:r>
            <w:r w:rsidRPr="004969DC">
              <w:rPr>
                <w:rFonts w:cs="Simplified Arabic"/>
                <w:spacing w:val="-8"/>
                <w:sz w:val="20"/>
                <w:szCs w:val="22"/>
                <w:rtl/>
              </w:rPr>
              <w:t xml:space="preserve">موئلاً </w:t>
            </w:r>
            <w:r w:rsidRPr="004969DC">
              <w:rPr>
                <w:rFonts w:cs="Simplified Arabic" w:hint="cs"/>
                <w:spacing w:val="-8"/>
                <w:sz w:val="20"/>
                <w:szCs w:val="22"/>
                <w:rtl/>
              </w:rPr>
              <w:t xml:space="preserve">هاماً </w:t>
            </w:r>
            <w:r w:rsidRPr="004969DC">
              <w:rPr>
                <w:rFonts w:cs="Simplified Arabic"/>
                <w:spacing w:val="-8"/>
                <w:sz w:val="20"/>
                <w:szCs w:val="22"/>
                <w:rtl/>
              </w:rPr>
              <w:t>لأنواع مهددة بالانقراض، مثل</w:t>
            </w:r>
            <w:r w:rsidRPr="004969DC">
              <w:rPr>
                <w:rFonts w:cs="Simplified Arabic" w:hint="cs"/>
                <w:spacing w:val="-8"/>
                <w:sz w:val="20"/>
                <w:szCs w:val="22"/>
                <w:rtl/>
              </w:rPr>
              <w:t xml:space="preserve"> </w:t>
            </w:r>
            <w:r w:rsidRPr="004969DC">
              <w:rPr>
                <w:rFonts w:cs="Simplified Arabic"/>
                <w:spacing w:val="-8"/>
                <w:sz w:val="20"/>
                <w:szCs w:val="22"/>
                <w:rtl/>
              </w:rPr>
              <w:t>سمك الحفش (</w:t>
            </w:r>
            <w:r w:rsidRPr="004969DC">
              <w:rPr>
                <w:rFonts w:eastAsia="MS Mincho" w:cs="Simplified Arabic"/>
                <w:spacing w:val="-8"/>
                <w:sz w:val="20"/>
                <w:szCs w:val="22"/>
                <w:rtl/>
              </w:rPr>
              <w:t xml:space="preserve">الحفش </w:t>
            </w:r>
            <w:r w:rsidRPr="004969DC">
              <w:rPr>
                <w:rFonts w:eastAsia="MS Mincho" w:cs="Simplified Arabic" w:hint="cs"/>
                <w:spacing w:val="-8"/>
                <w:sz w:val="20"/>
                <w:szCs w:val="22"/>
                <w:rtl/>
              </w:rPr>
              <w:t>الأوروبي</w:t>
            </w:r>
            <w:r w:rsidRPr="004969DC">
              <w:rPr>
                <w:rFonts w:eastAsia="MS Mincho" w:cs="Simplified Arabic"/>
                <w:spacing w:val="-8"/>
                <w:sz w:val="20"/>
                <w:szCs w:val="22"/>
                <w:rtl/>
              </w:rPr>
              <w:t xml:space="preserve"> (</w:t>
            </w:r>
            <w:r w:rsidRPr="004969DC">
              <w:rPr>
                <w:rFonts w:eastAsia="MS Mincho" w:cs="Simplified Arabic"/>
                <w:i/>
                <w:iCs/>
                <w:spacing w:val="-8"/>
                <w:sz w:val="20"/>
                <w:szCs w:val="22"/>
                <w:lang w:val="es-ES_tradnl"/>
              </w:rPr>
              <w:t>Huso huso</w:t>
            </w:r>
            <w:r w:rsidRPr="004969DC">
              <w:rPr>
                <w:rFonts w:eastAsia="MS Mincho" w:cs="Simplified Arabic"/>
                <w:spacing w:val="-8"/>
                <w:sz w:val="20"/>
                <w:szCs w:val="22"/>
                <w:rtl/>
              </w:rPr>
              <w:t xml:space="preserve">)، </w:t>
            </w:r>
            <w:r w:rsidRPr="004969DC">
              <w:rPr>
                <w:rFonts w:eastAsia="MS Mincho" w:cs="Simplified Arabic" w:hint="cs"/>
                <w:spacing w:val="-8"/>
                <w:sz w:val="20"/>
                <w:szCs w:val="22"/>
                <w:rtl/>
              </w:rPr>
              <w:t>و</w:t>
            </w:r>
            <w:r w:rsidRPr="004969DC">
              <w:rPr>
                <w:rFonts w:eastAsia="MS Mincho" w:cs="Simplified Arabic"/>
                <w:spacing w:val="-8"/>
                <w:sz w:val="20"/>
                <w:szCs w:val="22"/>
                <w:rtl/>
              </w:rPr>
              <w:t>الحفش الروسي (</w:t>
            </w:r>
            <w:r w:rsidRPr="004969DC">
              <w:rPr>
                <w:rFonts w:eastAsia="MS Mincho" w:cs="Simplified Arabic"/>
                <w:i/>
                <w:iCs/>
                <w:spacing w:val="-8"/>
                <w:sz w:val="20"/>
                <w:szCs w:val="22"/>
                <w:lang w:val="es-ES_tradnl"/>
              </w:rPr>
              <w:t>Acipenser gueldenstaedtii</w:t>
            </w:r>
            <w:r w:rsidRPr="004969DC">
              <w:rPr>
                <w:rFonts w:eastAsia="MS Mincho" w:cs="Simplified Arabic"/>
                <w:spacing w:val="-8"/>
                <w:sz w:val="20"/>
                <w:szCs w:val="22"/>
                <w:rtl/>
              </w:rPr>
              <w:t>) والحفش</w:t>
            </w:r>
            <w:r w:rsidRPr="004969DC">
              <w:rPr>
                <w:rFonts w:eastAsia="MS Mincho" w:cs="Simplified Arabic" w:hint="cs"/>
                <w:spacing w:val="-8"/>
                <w:sz w:val="20"/>
                <w:szCs w:val="22"/>
                <w:rtl/>
              </w:rPr>
              <w:t xml:space="preserve"> النجمي</w:t>
            </w:r>
            <w:r w:rsidRPr="004969DC">
              <w:rPr>
                <w:rFonts w:eastAsia="MS Mincho" w:cs="Simplified Arabic"/>
                <w:spacing w:val="-8"/>
                <w:sz w:val="20"/>
                <w:szCs w:val="22"/>
                <w:rtl/>
              </w:rPr>
              <w:t xml:space="preserve"> (</w:t>
            </w:r>
            <w:r w:rsidRPr="004969DC">
              <w:rPr>
                <w:rFonts w:eastAsia="MS Mincho" w:cs="Simplified Arabic"/>
                <w:i/>
                <w:iCs/>
                <w:spacing w:val="-8"/>
                <w:sz w:val="20"/>
                <w:szCs w:val="22"/>
                <w:lang w:val="es-ES_tradnl"/>
              </w:rPr>
              <w:t>Acipenser stellatus</w:t>
            </w:r>
            <w:r w:rsidRPr="004969DC">
              <w:rPr>
                <w:rFonts w:eastAsia="MS Mincho" w:cs="Simplified Arabic"/>
                <w:spacing w:val="-8"/>
                <w:sz w:val="20"/>
                <w:szCs w:val="22"/>
                <w:rtl/>
              </w:rPr>
              <w:t>)</w:t>
            </w:r>
            <w:r w:rsidRPr="004969DC">
              <w:rPr>
                <w:rFonts w:cs="Simplified Arabic"/>
                <w:spacing w:val="-8"/>
                <w:sz w:val="20"/>
                <w:szCs w:val="22"/>
                <w:rtl/>
              </w:rPr>
              <w:t xml:space="preserve">). </w:t>
            </w:r>
            <w:r w:rsidRPr="004969DC">
              <w:rPr>
                <w:rFonts w:cs="Simplified Arabic" w:hint="cs"/>
                <w:spacing w:val="-8"/>
                <w:sz w:val="20"/>
                <w:szCs w:val="22"/>
                <w:rtl/>
              </w:rPr>
              <w:t xml:space="preserve">وتشكل </w:t>
            </w:r>
            <w:r w:rsidRPr="004969DC">
              <w:rPr>
                <w:rFonts w:cs="Simplified Arabic"/>
                <w:spacing w:val="-8"/>
                <w:sz w:val="20"/>
                <w:szCs w:val="22"/>
                <w:rtl/>
              </w:rPr>
              <w:t xml:space="preserve">الجزر </w:t>
            </w:r>
            <w:r w:rsidRPr="004969DC">
              <w:rPr>
                <w:rFonts w:cs="Simplified Arabic" w:hint="cs"/>
                <w:spacing w:val="-8"/>
                <w:sz w:val="20"/>
                <w:szCs w:val="22"/>
                <w:rtl/>
              </w:rPr>
              <w:t>الواقعة</w:t>
            </w:r>
            <w:r w:rsidRPr="004969DC">
              <w:rPr>
                <w:rFonts w:cs="Simplified Arabic"/>
                <w:spacing w:val="-8"/>
                <w:sz w:val="20"/>
                <w:szCs w:val="22"/>
                <w:rtl/>
              </w:rPr>
              <w:t xml:space="preserve"> </w:t>
            </w:r>
            <w:r w:rsidRPr="004969DC">
              <w:rPr>
                <w:rFonts w:cs="Simplified Arabic" w:hint="cs"/>
                <w:spacing w:val="-8"/>
                <w:sz w:val="20"/>
                <w:szCs w:val="22"/>
                <w:rtl/>
              </w:rPr>
              <w:t>ضمن هذه</w:t>
            </w:r>
            <w:r w:rsidRPr="004969DC">
              <w:rPr>
                <w:rFonts w:cs="Simplified Arabic"/>
                <w:spacing w:val="-8"/>
                <w:sz w:val="20"/>
                <w:szCs w:val="22"/>
                <w:rtl/>
              </w:rPr>
              <w:t xml:space="preserve"> المنطقة مواقع تجمع موسمي ل</w:t>
            </w:r>
            <w:r w:rsidRPr="004969DC">
              <w:rPr>
                <w:rFonts w:cs="Simplified Arabic" w:hint="cs"/>
                <w:spacing w:val="-8"/>
                <w:sz w:val="20"/>
                <w:szCs w:val="22"/>
                <w:rtl/>
              </w:rPr>
              <w:t>فقمة</w:t>
            </w:r>
            <w:r w:rsidRPr="004969DC">
              <w:rPr>
                <w:rFonts w:cs="Simplified Arabic"/>
                <w:spacing w:val="-8"/>
                <w:sz w:val="20"/>
                <w:szCs w:val="22"/>
                <w:rtl/>
              </w:rPr>
              <w:t xml:space="preserve"> بحر قزوين </w:t>
            </w:r>
            <w:r w:rsidRPr="004969DC">
              <w:rPr>
                <w:rFonts w:cs="Simplified Arabic" w:hint="cs"/>
                <w:spacing w:val="-8"/>
                <w:sz w:val="20"/>
                <w:szCs w:val="22"/>
                <w:rtl/>
              </w:rPr>
              <w:t>(</w:t>
            </w:r>
            <w:r w:rsidRPr="004969DC">
              <w:rPr>
                <w:rFonts w:cs="Simplified Arabic"/>
                <w:i/>
                <w:spacing w:val="-8"/>
                <w:sz w:val="20"/>
                <w:szCs w:val="22"/>
                <w:lang w:val="es-ES_tradnl"/>
              </w:rPr>
              <w:t>Phoca caspica</w:t>
            </w:r>
            <w:r w:rsidRPr="004969DC">
              <w:rPr>
                <w:rFonts w:cs="Simplified Arabic" w:hint="cs"/>
                <w:spacing w:val="-8"/>
                <w:sz w:val="20"/>
                <w:szCs w:val="22"/>
                <w:rtl/>
              </w:rPr>
              <w:t>).</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rFonts w:eastAsia="MS Mincho"/>
                <w:bCs/>
                <w:sz w:val="20"/>
                <w:szCs w:val="22"/>
              </w:rPr>
            </w:pPr>
            <w:bookmarkStart w:id="76" w:name="_Toc524295496"/>
            <w:bookmarkStart w:id="77" w:name="_Toc6071577"/>
            <w:r w:rsidRPr="004969DC">
              <w:rPr>
                <w:rFonts w:hint="cs"/>
                <w:bCs/>
                <w:sz w:val="20"/>
                <w:szCs w:val="22"/>
                <w:rtl/>
              </w:rPr>
              <w:t xml:space="preserve">32- جزيرة ماليي جيمتشيزني </w:t>
            </w:r>
            <w:r w:rsidRPr="004969DC">
              <w:rPr>
                <w:bCs/>
                <w:sz w:val="20"/>
                <w:szCs w:val="22"/>
                <w:rtl/>
              </w:rPr>
              <w:t>("</w:t>
            </w:r>
            <w:r w:rsidRPr="004969DC">
              <w:rPr>
                <w:rFonts w:hint="cs"/>
                <w:bCs/>
                <w:sz w:val="20"/>
                <w:szCs w:val="22"/>
                <w:rtl/>
              </w:rPr>
              <w:t>ال</w:t>
            </w:r>
            <w:r w:rsidRPr="004969DC">
              <w:rPr>
                <w:bCs/>
                <w:sz w:val="20"/>
                <w:szCs w:val="22"/>
                <w:rtl/>
              </w:rPr>
              <w:t xml:space="preserve">لؤلؤة </w:t>
            </w:r>
            <w:r w:rsidRPr="004969DC">
              <w:rPr>
                <w:rFonts w:hint="cs"/>
                <w:bCs/>
                <w:sz w:val="20"/>
                <w:szCs w:val="22"/>
                <w:rtl/>
              </w:rPr>
              <w:t>ال</w:t>
            </w:r>
            <w:r w:rsidRPr="004969DC">
              <w:rPr>
                <w:bCs/>
                <w:sz w:val="20"/>
                <w:szCs w:val="22"/>
                <w:rtl/>
              </w:rPr>
              <w:t>صغيرة")</w:t>
            </w:r>
            <w:bookmarkEnd w:id="76"/>
            <w:bookmarkEnd w:id="77"/>
          </w:p>
          <w:p w:rsidR="000A5DEA" w:rsidRPr="00366E36" w:rsidRDefault="000A5DEA" w:rsidP="00CD26C5">
            <w:pPr>
              <w:pStyle w:val="ListParagraph"/>
              <w:numPr>
                <w:ilvl w:val="0"/>
                <w:numId w:val="149"/>
              </w:numPr>
              <w:bidi/>
              <w:spacing w:after="0" w:line="204" w:lineRule="auto"/>
              <w:ind w:left="332" w:hanging="332"/>
              <w:rPr>
                <w:rFonts w:cs="Simplified Arabic"/>
                <w:b/>
                <w:sz w:val="20"/>
                <w:szCs w:val="22"/>
                <w:lang w:val="en-US"/>
              </w:rPr>
            </w:pPr>
            <w:bookmarkStart w:id="78" w:name="_Toc524295497"/>
            <w:bookmarkStart w:id="79" w:name="_Toc6071578"/>
            <w:r w:rsidRPr="004969DC">
              <w:rPr>
                <w:rFonts w:cs="Simplified Arabic"/>
                <w:sz w:val="20"/>
                <w:szCs w:val="22"/>
                <w:rtl/>
              </w:rPr>
              <w:t xml:space="preserve">الموقع: تقع هذه المنطقة في </w:t>
            </w:r>
            <w:r w:rsidRPr="004969DC">
              <w:rPr>
                <w:rFonts w:cs="Simplified Arabic" w:hint="cs"/>
                <w:sz w:val="20"/>
                <w:szCs w:val="22"/>
                <w:rtl/>
              </w:rPr>
              <w:t xml:space="preserve">منتصف </w:t>
            </w:r>
            <w:r w:rsidRPr="004969DC">
              <w:rPr>
                <w:rFonts w:cs="Simplified Arabic"/>
                <w:sz w:val="20"/>
                <w:szCs w:val="22"/>
                <w:rtl/>
              </w:rPr>
              <w:t>شمال بحر قزوين، على بعد 25 ك</w:t>
            </w:r>
            <w:r w:rsidRPr="004969DC">
              <w:rPr>
                <w:rFonts w:cs="Simplified Arabic" w:hint="cs"/>
                <w:sz w:val="20"/>
                <w:szCs w:val="22"/>
                <w:rtl/>
              </w:rPr>
              <w:t>يلومتراً</w:t>
            </w:r>
            <w:r w:rsidRPr="004969DC">
              <w:rPr>
                <w:rFonts w:cs="Simplified Arabic"/>
                <w:sz w:val="20"/>
                <w:szCs w:val="22"/>
                <w:rtl/>
              </w:rPr>
              <w:t xml:space="preserve"> إلى الجنوب الشرقي من جزيرة</w:t>
            </w:r>
            <w:r w:rsidRPr="004969DC">
              <w:rPr>
                <w:rFonts w:cs="Simplified Arabic" w:hint="cs"/>
                <w:sz w:val="20"/>
                <w:szCs w:val="22"/>
                <w:rtl/>
              </w:rPr>
              <w:t xml:space="preserve"> كريستايا بانكا.</w:t>
            </w:r>
            <w:bookmarkEnd w:id="78"/>
            <w:bookmarkEnd w:id="79"/>
            <w:r w:rsidRPr="004969DC">
              <w:rPr>
                <w:rFonts w:cs="Simplified Arabic"/>
                <w:sz w:val="20"/>
                <w:szCs w:val="22"/>
                <w:rtl/>
              </w:rPr>
              <w:t xml:space="preserve"> </w:t>
            </w:r>
          </w:p>
          <w:p w:rsidR="000A5DEA" w:rsidRPr="00366E36" w:rsidRDefault="000A5DEA" w:rsidP="00CD26C5">
            <w:pPr>
              <w:pStyle w:val="ListParagraph"/>
              <w:numPr>
                <w:ilvl w:val="0"/>
                <w:numId w:val="149"/>
              </w:numPr>
              <w:bidi/>
              <w:spacing w:after="0" w:line="204" w:lineRule="auto"/>
              <w:ind w:left="332" w:hanging="332"/>
              <w:rPr>
                <w:rFonts w:cs="Simplified Arabic"/>
                <w:b/>
                <w:sz w:val="20"/>
                <w:szCs w:val="22"/>
                <w:lang w:val="en-US"/>
              </w:rPr>
            </w:pPr>
            <w:bookmarkStart w:id="80" w:name="_Toc524295498"/>
            <w:bookmarkStart w:id="81" w:name="_Toc6071579"/>
            <w:r w:rsidRPr="004969DC">
              <w:rPr>
                <w:rFonts w:cs="Simplified Arabic" w:hint="cs"/>
                <w:spacing w:val="-8"/>
                <w:sz w:val="20"/>
                <w:szCs w:val="22"/>
                <w:rtl/>
              </w:rPr>
              <w:t>جزيرة</w:t>
            </w:r>
            <w:r w:rsidRPr="004969DC">
              <w:rPr>
                <w:rFonts w:cs="Simplified Arabic" w:hint="cs"/>
                <w:bCs/>
                <w:spacing w:val="-8"/>
                <w:sz w:val="20"/>
                <w:szCs w:val="22"/>
                <w:rtl/>
              </w:rPr>
              <w:t xml:space="preserve"> </w:t>
            </w:r>
            <w:r w:rsidRPr="004969DC">
              <w:rPr>
                <w:rFonts w:cs="Simplified Arabic" w:hint="cs"/>
                <w:spacing w:val="-8"/>
                <w:sz w:val="20"/>
                <w:szCs w:val="22"/>
                <w:rtl/>
              </w:rPr>
              <w:t xml:space="preserve">ماليي جيمتشيزني </w:t>
            </w:r>
            <w:r w:rsidRPr="004969DC">
              <w:rPr>
                <w:rFonts w:cs="Simplified Arabic"/>
                <w:spacing w:val="-8"/>
                <w:sz w:val="20"/>
                <w:szCs w:val="22"/>
                <w:rtl/>
              </w:rPr>
              <w:t>هي أكبر موقع تعشيش لطيور الإفجيجيات، بما في ذلك النورس أسود الرأس الكبير</w:t>
            </w:r>
            <w:r w:rsidRPr="004969DC">
              <w:rPr>
                <w:rFonts w:cs="Simplified Arabic" w:hint="cs"/>
                <w:spacing w:val="-8"/>
                <w:sz w:val="20"/>
                <w:szCs w:val="22"/>
                <w:rtl/>
              </w:rPr>
              <w:t xml:space="preserve"> (</w:t>
            </w:r>
            <w:r w:rsidRPr="00366E36">
              <w:rPr>
                <w:rFonts w:cs="Simplified Arabic"/>
                <w:i/>
                <w:iCs/>
                <w:spacing w:val="-8"/>
                <w:sz w:val="20"/>
                <w:szCs w:val="22"/>
                <w:lang w:val="en-US"/>
              </w:rPr>
              <w:t>Larus ichthyaetus</w:t>
            </w:r>
            <w:r w:rsidRPr="004969DC">
              <w:rPr>
                <w:rFonts w:cs="Simplified Arabic" w:hint="cs"/>
                <w:spacing w:val="-8"/>
                <w:sz w:val="20"/>
                <w:szCs w:val="22"/>
                <w:rtl/>
              </w:rPr>
              <w:t>)،</w:t>
            </w:r>
            <w:r w:rsidRPr="004969DC">
              <w:rPr>
                <w:rFonts w:cs="Simplified Arabic" w:hint="cs"/>
                <w:sz w:val="20"/>
                <w:szCs w:val="22"/>
                <w:rtl/>
              </w:rPr>
              <w:t xml:space="preserve"> </w:t>
            </w:r>
            <w:r w:rsidRPr="004969DC">
              <w:rPr>
                <w:rFonts w:cs="Simplified Arabic" w:hint="cs"/>
                <w:spacing w:val="-8"/>
                <w:sz w:val="20"/>
                <w:szCs w:val="22"/>
                <w:rtl/>
              </w:rPr>
              <w:t>والخرشنة القزوينية (</w:t>
            </w:r>
            <w:r w:rsidRPr="00366E36">
              <w:rPr>
                <w:rFonts w:cs="Simplified Arabic"/>
                <w:i/>
                <w:iCs/>
                <w:spacing w:val="-8"/>
                <w:sz w:val="20"/>
                <w:szCs w:val="22"/>
                <w:lang w:val="en-US"/>
              </w:rPr>
              <w:t>Sterna caspia</w:t>
            </w:r>
            <w:r w:rsidRPr="004969DC">
              <w:rPr>
                <w:rFonts w:cs="Simplified Arabic" w:hint="cs"/>
                <w:spacing w:val="-8"/>
                <w:sz w:val="20"/>
                <w:szCs w:val="22"/>
                <w:rtl/>
              </w:rPr>
              <w:t>)</w:t>
            </w:r>
            <w:r w:rsidRPr="004969DC">
              <w:rPr>
                <w:rFonts w:cs="Simplified Arabic"/>
                <w:spacing w:val="-8"/>
                <w:sz w:val="20"/>
                <w:szCs w:val="22"/>
                <w:rtl/>
              </w:rPr>
              <w:t xml:space="preserve">، المدرجة في الكتاب الأحمر للاتحاد الروسي في </w:t>
            </w:r>
            <w:r w:rsidRPr="004969DC">
              <w:rPr>
                <w:rFonts w:cs="Simplified Arabic" w:hint="cs"/>
                <w:spacing w:val="-8"/>
                <w:sz w:val="20"/>
                <w:szCs w:val="22"/>
                <w:rtl/>
              </w:rPr>
              <w:t>شمال قزوين</w:t>
            </w:r>
            <w:r w:rsidRPr="004969DC">
              <w:rPr>
                <w:rFonts w:cs="Simplified Arabic"/>
                <w:spacing w:val="-8"/>
                <w:sz w:val="20"/>
                <w:szCs w:val="22"/>
                <w:rtl/>
              </w:rPr>
              <w:t>.</w:t>
            </w:r>
            <w:r w:rsidRPr="004969DC">
              <w:rPr>
                <w:rFonts w:cs="Simplified Arabic" w:hint="cs"/>
                <w:spacing w:val="-8"/>
                <w:sz w:val="20"/>
                <w:szCs w:val="22"/>
                <w:rtl/>
              </w:rPr>
              <w:t xml:space="preserve"> وفي فصل الربيع، تقيم في الجزيرة </w:t>
            </w:r>
            <w:r w:rsidRPr="004969DC">
              <w:rPr>
                <w:rFonts w:cs="Simplified Arabic"/>
                <w:spacing w:val="-8"/>
                <w:sz w:val="20"/>
                <w:szCs w:val="22"/>
                <w:rtl/>
              </w:rPr>
              <w:t>تجمعات كبيرة (تصل إلى عدة آلاف من الأفراد) ل</w:t>
            </w:r>
            <w:r w:rsidRPr="004969DC">
              <w:rPr>
                <w:rFonts w:cs="Simplified Arabic" w:hint="cs"/>
                <w:spacing w:val="-8"/>
                <w:sz w:val="20"/>
                <w:szCs w:val="22"/>
                <w:rtl/>
              </w:rPr>
              <w:t xml:space="preserve">فقمة </w:t>
            </w:r>
            <w:r w:rsidRPr="004969DC">
              <w:rPr>
                <w:rFonts w:cs="Simplified Arabic"/>
                <w:spacing w:val="-8"/>
                <w:sz w:val="20"/>
                <w:szCs w:val="22"/>
                <w:rtl/>
              </w:rPr>
              <w:t>بحر قزوين (</w:t>
            </w:r>
            <w:r w:rsidRPr="00366E36">
              <w:rPr>
                <w:rFonts w:cs="Simplified Arabic"/>
                <w:i/>
                <w:iCs/>
                <w:spacing w:val="-8"/>
                <w:sz w:val="20"/>
                <w:szCs w:val="22"/>
                <w:lang w:val="en-US"/>
              </w:rPr>
              <w:t>Phoca caspica</w:t>
            </w:r>
            <w:r w:rsidRPr="004969DC">
              <w:rPr>
                <w:rFonts w:cs="Simplified Arabic"/>
                <w:spacing w:val="-8"/>
                <w:sz w:val="20"/>
                <w:szCs w:val="22"/>
                <w:rtl/>
              </w:rPr>
              <w:t xml:space="preserve">). </w:t>
            </w:r>
            <w:r w:rsidRPr="004969DC">
              <w:rPr>
                <w:rFonts w:cs="Simplified Arabic" w:hint="cs"/>
                <w:spacing w:val="-8"/>
                <w:sz w:val="20"/>
                <w:szCs w:val="22"/>
                <w:rtl/>
              </w:rPr>
              <w:t>وتشكل</w:t>
            </w:r>
            <w:r w:rsidRPr="004969DC">
              <w:rPr>
                <w:rFonts w:cs="Simplified Arabic"/>
                <w:spacing w:val="-8"/>
                <w:sz w:val="20"/>
                <w:szCs w:val="22"/>
                <w:rtl/>
              </w:rPr>
              <w:t xml:space="preserve"> منطقة المياه المجاورة مكانا</w:t>
            </w:r>
            <w:r w:rsidRPr="004969DC">
              <w:rPr>
                <w:rFonts w:cs="Simplified Arabic" w:hint="cs"/>
                <w:spacing w:val="-8"/>
                <w:sz w:val="20"/>
                <w:szCs w:val="22"/>
                <w:rtl/>
              </w:rPr>
              <w:t>ً</w:t>
            </w:r>
            <w:r w:rsidRPr="004969DC">
              <w:rPr>
                <w:rFonts w:cs="Simplified Arabic"/>
                <w:spacing w:val="-8"/>
                <w:sz w:val="20"/>
                <w:szCs w:val="22"/>
                <w:rtl/>
              </w:rPr>
              <w:t xml:space="preserve"> مهمًا لتغذية الأسماك، </w:t>
            </w:r>
            <w:r w:rsidRPr="004969DC">
              <w:rPr>
                <w:rFonts w:cs="Simplified Arabic" w:hint="cs"/>
                <w:spacing w:val="-8"/>
                <w:sz w:val="20"/>
                <w:szCs w:val="22"/>
                <w:rtl/>
              </w:rPr>
              <w:t>ولا سيما</w:t>
            </w:r>
            <w:r w:rsidRPr="004969DC">
              <w:rPr>
                <w:rFonts w:cs="Simplified Arabic"/>
                <w:spacing w:val="-8"/>
                <w:sz w:val="20"/>
                <w:szCs w:val="22"/>
                <w:rtl/>
              </w:rPr>
              <w:t xml:space="preserve"> </w:t>
            </w:r>
            <w:r w:rsidRPr="004969DC">
              <w:rPr>
                <w:rFonts w:cs="Simplified Arabic" w:hint="cs"/>
                <w:spacing w:val="-8"/>
                <w:sz w:val="20"/>
                <w:szCs w:val="22"/>
                <w:rtl/>
              </w:rPr>
              <w:t>صغار سمك الحفش</w:t>
            </w:r>
            <w:r w:rsidRPr="004969DC">
              <w:rPr>
                <w:rFonts w:cs="Simplified Arabic"/>
                <w:spacing w:val="-8"/>
                <w:sz w:val="20"/>
                <w:szCs w:val="22"/>
                <w:rtl/>
              </w:rPr>
              <w:t xml:space="preserve"> (</w:t>
            </w:r>
            <w:r w:rsidRPr="004969DC">
              <w:rPr>
                <w:rFonts w:eastAsia="MS Mincho" w:cs="Simplified Arabic"/>
                <w:spacing w:val="-8"/>
                <w:sz w:val="20"/>
                <w:szCs w:val="22"/>
                <w:rtl/>
              </w:rPr>
              <w:t xml:space="preserve">الحفش </w:t>
            </w:r>
            <w:r w:rsidRPr="004969DC">
              <w:rPr>
                <w:rFonts w:eastAsia="MS Mincho" w:cs="Simplified Arabic" w:hint="cs"/>
                <w:spacing w:val="-8"/>
                <w:sz w:val="20"/>
                <w:szCs w:val="22"/>
                <w:rtl/>
              </w:rPr>
              <w:t>الأوروبي</w:t>
            </w:r>
            <w:r w:rsidRPr="004969DC">
              <w:rPr>
                <w:rFonts w:eastAsia="MS Mincho" w:cs="Simplified Arabic"/>
                <w:spacing w:val="-8"/>
                <w:sz w:val="20"/>
                <w:szCs w:val="22"/>
                <w:rtl/>
              </w:rPr>
              <w:t xml:space="preserve"> (</w:t>
            </w:r>
            <w:r w:rsidRPr="00366E36">
              <w:rPr>
                <w:rFonts w:eastAsia="MS Mincho" w:cs="Simplified Arabic"/>
                <w:i/>
                <w:iCs/>
                <w:spacing w:val="-8"/>
                <w:sz w:val="20"/>
                <w:szCs w:val="22"/>
                <w:lang w:val="en-US"/>
              </w:rPr>
              <w:t>Huso huso</w:t>
            </w:r>
            <w:r w:rsidRPr="004969DC">
              <w:rPr>
                <w:rFonts w:eastAsia="MS Mincho" w:cs="Simplified Arabic"/>
                <w:spacing w:val="-8"/>
                <w:sz w:val="20"/>
                <w:szCs w:val="22"/>
                <w:rtl/>
              </w:rPr>
              <w:t xml:space="preserve">)، </w:t>
            </w:r>
            <w:r w:rsidRPr="004969DC">
              <w:rPr>
                <w:rFonts w:eastAsia="MS Mincho" w:cs="Simplified Arabic" w:hint="cs"/>
                <w:spacing w:val="-8"/>
                <w:sz w:val="20"/>
                <w:szCs w:val="22"/>
                <w:rtl/>
              </w:rPr>
              <w:t>و</w:t>
            </w:r>
            <w:r w:rsidRPr="004969DC">
              <w:rPr>
                <w:rFonts w:eastAsia="MS Mincho" w:cs="Simplified Arabic"/>
                <w:spacing w:val="-8"/>
                <w:sz w:val="20"/>
                <w:szCs w:val="22"/>
                <w:rtl/>
              </w:rPr>
              <w:t>الحفش الروسي (</w:t>
            </w:r>
            <w:r w:rsidRPr="00366E36">
              <w:rPr>
                <w:rFonts w:eastAsia="MS Mincho" w:cs="Simplified Arabic"/>
                <w:i/>
                <w:iCs/>
                <w:spacing w:val="-8"/>
                <w:sz w:val="20"/>
                <w:szCs w:val="22"/>
                <w:lang w:val="en-US"/>
              </w:rPr>
              <w:t>Acipenser gueldenstaedtii</w:t>
            </w:r>
            <w:r w:rsidRPr="004969DC">
              <w:rPr>
                <w:rFonts w:eastAsia="MS Mincho" w:cs="Simplified Arabic"/>
                <w:spacing w:val="-8"/>
                <w:sz w:val="20"/>
                <w:szCs w:val="22"/>
                <w:rtl/>
              </w:rPr>
              <w:t>)</w:t>
            </w:r>
            <w:r w:rsidRPr="004969DC">
              <w:rPr>
                <w:rFonts w:eastAsia="MS Mincho" w:cs="Simplified Arabic" w:hint="cs"/>
                <w:spacing w:val="-8"/>
                <w:sz w:val="20"/>
                <w:szCs w:val="22"/>
                <w:rtl/>
              </w:rPr>
              <w:t>،</w:t>
            </w:r>
            <w:r w:rsidRPr="004969DC">
              <w:rPr>
                <w:rFonts w:eastAsia="MS Mincho" w:cs="Simplified Arabic"/>
                <w:spacing w:val="-8"/>
                <w:sz w:val="20"/>
                <w:szCs w:val="22"/>
                <w:rtl/>
              </w:rPr>
              <w:t xml:space="preserve"> والحفش</w:t>
            </w:r>
            <w:r w:rsidRPr="004969DC">
              <w:rPr>
                <w:rFonts w:eastAsia="MS Mincho" w:cs="Simplified Arabic" w:hint="cs"/>
                <w:spacing w:val="-8"/>
                <w:sz w:val="20"/>
                <w:szCs w:val="22"/>
                <w:rtl/>
              </w:rPr>
              <w:t xml:space="preserve"> النجمي</w:t>
            </w:r>
            <w:r w:rsidRPr="004969DC">
              <w:rPr>
                <w:rFonts w:eastAsia="MS Mincho" w:cs="Simplified Arabic"/>
                <w:spacing w:val="-8"/>
                <w:sz w:val="20"/>
                <w:szCs w:val="22"/>
                <w:rtl/>
              </w:rPr>
              <w:t xml:space="preserve"> (</w:t>
            </w:r>
            <w:r w:rsidRPr="00366E36">
              <w:rPr>
                <w:rFonts w:eastAsia="MS Mincho" w:cs="Simplified Arabic"/>
                <w:i/>
                <w:iCs/>
                <w:spacing w:val="-8"/>
                <w:sz w:val="20"/>
                <w:szCs w:val="22"/>
                <w:lang w:val="en-US"/>
              </w:rPr>
              <w:t>Acipenser stellatus</w:t>
            </w:r>
            <w:r w:rsidRPr="004969DC">
              <w:rPr>
                <w:rFonts w:eastAsia="MS Mincho" w:cs="Simplified Arabic"/>
                <w:spacing w:val="-8"/>
                <w:sz w:val="20"/>
                <w:szCs w:val="22"/>
                <w:rtl/>
              </w:rPr>
              <w:t>)</w:t>
            </w:r>
            <w:r w:rsidRPr="004969DC">
              <w:rPr>
                <w:rFonts w:cs="Simplified Arabic"/>
                <w:spacing w:val="-8"/>
                <w:sz w:val="20"/>
                <w:szCs w:val="22"/>
                <w:rtl/>
              </w:rPr>
              <w:t>).</w:t>
            </w:r>
            <w:bookmarkEnd w:id="80"/>
            <w:bookmarkEnd w:id="81"/>
          </w:p>
          <w:p w:rsidR="00AB0F3E" w:rsidRPr="00366E36" w:rsidRDefault="00AB0F3E" w:rsidP="00AB0F3E">
            <w:pPr>
              <w:pStyle w:val="ListParagraph"/>
              <w:bidi/>
              <w:spacing w:after="0" w:line="204" w:lineRule="auto"/>
              <w:ind w:left="332"/>
              <w:rPr>
                <w:rFonts w:cs="Simplified Arabic"/>
                <w:b/>
                <w:sz w:val="20"/>
                <w:szCs w:val="22"/>
                <w:lang w:val="en-US"/>
              </w:rPr>
            </w:pP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L</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r w:rsidR="000A5DEA" w:rsidRPr="00E2695B" w:rsidTr="000A5DEA">
        <w:trPr>
          <w:jc w:val="center"/>
        </w:trPr>
        <w:tc>
          <w:tcPr>
            <w:tcW w:w="9687" w:type="dxa"/>
            <w:shd w:val="clear" w:color="auto" w:fill="auto"/>
          </w:tcPr>
          <w:p w:rsidR="000A5DEA" w:rsidRPr="004969DC" w:rsidRDefault="000A5DEA" w:rsidP="004969DC">
            <w:pPr>
              <w:spacing w:after="0" w:line="204" w:lineRule="auto"/>
              <w:rPr>
                <w:bCs/>
                <w:sz w:val="20"/>
                <w:szCs w:val="22"/>
              </w:rPr>
            </w:pPr>
            <w:r w:rsidRPr="004969DC">
              <w:rPr>
                <w:bCs/>
                <w:sz w:val="20"/>
                <w:szCs w:val="22"/>
                <w:rtl/>
              </w:rPr>
              <w:lastRenderedPageBreak/>
              <w:t>33- المنطقة الواقعة قبل مصب نهر الفولغا</w:t>
            </w:r>
          </w:p>
          <w:p w:rsidR="000A5DEA" w:rsidRPr="00366E36" w:rsidRDefault="000A5DEA" w:rsidP="00CD26C5">
            <w:pPr>
              <w:pStyle w:val="ListParagraph"/>
              <w:numPr>
                <w:ilvl w:val="0"/>
                <w:numId w:val="150"/>
              </w:numPr>
              <w:bidi/>
              <w:spacing w:after="0" w:line="204" w:lineRule="auto"/>
              <w:ind w:left="332" w:hanging="332"/>
              <w:rPr>
                <w:rFonts w:cs="Simplified Arabic"/>
                <w:sz w:val="20"/>
                <w:szCs w:val="22"/>
                <w:lang w:val="en-US"/>
              </w:rPr>
            </w:pPr>
            <w:bookmarkStart w:id="82" w:name="_Toc524295499"/>
            <w:bookmarkStart w:id="83" w:name="_Toc6071580"/>
            <w:r w:rsidRPr="004969DC">
              <w:rPr>
                <w:rFonts w:cs="Simplified Arabic"/>
                <w:sz w:val="20"/>
                <w:szCs w:val="22"/>
                <w:rtl/>
              </w:rPr>
              <w:t>الموقع: تغطي هذه المنطقة المناطق المنخفضة لدلتا نهر الفولغا والمنطقة الواقعة قبل مصب الفولغا. وتلتقي الحدود الشمالية مع الحدود الشمالية للأراضي الرطبة لدلتا الفولغا وتمتد على طول حدود حزام نباتات القصب إلى غاية قناة غانيوشكينسكي. وتغطي المنطقة البحر حتى نقطة التساوي العمقي عند 5 أمتار</w:t>
            </w:r>
            <w:r w:rsidRPr="00366E36">
              <w:rPr>
                <w:rFonts w:cs="Simplified Arabic"/>
                <w:sz w:val="20"/>
                <w:szCs w:val="22"/>
                <w:lang w:val="en-US"/>
              </w:rPr>
              <w:t>.</w:t>
            </w:r>
            <w:bookmarkEnd w:id="82"/>
            <w:bookmarkEnd w:id="83"/>
          </w:p>
          <w:p w:rsidR="000A5DEA" w:rsidRPr="00366E36" w:rsidRDefault="000A5DEA" w:rsidP="00CD26C5">
            <w:pPr>
              <w:pStyle w:val="ListParagraph"/>
              <w:numPr>
                <w:ilvl w:val="0"/>
                <w:numId w:val="150"/>
              </w:numPr>
              <w:bidi/>
              <w:spacing w:after="0" w:line="204" w:lineRule="auto"/>
              <w:ind w:left="332" w:hanging="332"/>
              <w:rPr>
                <w:rFonts w:cs="Simplified Arabic"/>
                <w:sz w:val="20"/>
                <w:szCs w:val="22"/>
                <w:lang w:val="en-US"/>
              </w:rPr>
            </w:pPr>
            <w:bookmarkStart w:id="84" w:name="_Toc524295500"/>
            <w:bookmarkStart w:id="85" w:name="_Toc6071581"/>
            <w:r w:rsidRPr="004969DC">
              <w:rPr>
                <w:rFonts w:cs="Simplified Arabic"/>
                <w:sz w:val="20"/>
                <w:szCs w:val="22"/>
                <w:rtl/>
              </w:rPr>
              <w:t xml:space="preserve">تشكل المنطقة جزءاً من دلتا الفولغا، وهي نظام إيكولوجي طبيعي فريد من نوعه وأكبر دلتا في أوروبا. وتقع دلتا الفولغا في الأراضي المنخفضة لبحر قزوين، وتتراوح ارتفاعاتها من -24 إلى -27 متراً. وتضطلع هذه المنطقة بدور استثنائي في الحفاظ على تجمعات بعض الأنواع المهمة عالمياً، ولا سيما طيور الماء وغيرها من الطيور المائية وشبه المائية. وتُعتبر نقطة تقاطع هامة بين مسارين لهجرة الطيور، تمتد من غرب سيبيريا إلى أوروبا الشرقية. وقد سجل وجود أكثر من 300 نوع من الطيور في هذه المنطقة. وهي تشكل مجالاً رئيسياً لأنواع نادرة من الطيور، مثل الكركي السيبيري </w:t>
            </w:r>
            <w:r w:rsidRPr="004969DC">
              <w:rPr>
                <w:rFonts w:cs="Simplified Arabic"/>
                <w:sz w:val="18"/>
                <w:szCs w:val="18"/>
                <w:rtl/>
              </w:rPr>
              <w:t>(</w:t>
            </w:r>
            <w:r w:rsidRPr="00366E36">
              <w:rPr>
                <w:rFonts w:cs="Simplified Arabic"/>
                <w:i/>
                <w:iCs/>
                <w:sz w:val="18"/>
                <w:szCs w:val="18"/>
                <w:lang w:val="en-US"/>
              </w:rPr>
              <w:t>Leucogeranus leucogeranus</w:t>
            </w:r>
            <w:r w:rsidRPr="004969DC">
              <w:rPr>
                <w:rFonts w:cs="Simplified Arabic"/>
                <w:sz w:val="18"/>
                <w:szCs w:val="18"/>
                <w:rtl/>
              </w:rPr>
              <w:t xml:space="preserve">) </w:t>
            </w:r>
            <w:r w:rsidRPr="004969DC">
              <w:rPr>
                <w:rFonts w:cs="Simplified Arabic"/>
                <w:sz w:val="20"/>
                <w:szCs w:val="22"/>
                <w:rtl/>
              </w:rPr>
              <w:t>والعقاب الأبيض الذنب (</w:t>
            </w:r>
            <w:r w:rsidRPr="00366E36">
              <w:rPr>
                <w:rFonts w:cs="Simplified Arabic"/>
                <w:i/>
                <w:iCs/>
                <w:sz w:val="18"/>
                <w:szCs w:val="18"/>
                <w:lang w:val="en-US"/>
              </w:rPr>
              <w:t>Haliaeetus albicilla</w:t>
            </w:r>
            <w:r w:rsidRPr="004969DC">
              <w:rPr>
                <w:rFonts w:cs="Simplified Arabic"/>
                <w:sz w:val="18"/>
                <w:szCs w:val="18"/>
                <w:rtl/>
              </w:rPr>
              <w:t>)</w:t>
            </w:r>
            <w:r w:rsidRPr="004969DC">
              <w:rPr>
                <w:rFonts w:cs="Simplified Arabic"/>
                <w:sz w:val="20"/>
                <w:szCs w:val="22"/>
                <w:rtl/>
              </w:rPr>
              <w:t xml:space="preserve"> والبجع الدالماسي (</w:t>
            </w:r>
            <w:r w:rsidRPr="00366E36">
              <w:rPr>
                <w:rFonts w:cs="Simplified Arabic"/>
                <w:i/>
                <w:iCs/>
                <w:sz w:val="18"/>
                <w:szCs w:val="18"/>
                <w:lang w:val="en-US"/>
              </w:rPr>
              <w:t>Pelecanus crispus</w:t>
            </w:r>
            <w:r w:rsidRPr="004969DC">
              <w:rPr>
                <w:rFonts w:cs="Simplified Arabic"/>
                <w:sz w:val="18"/>
                <w:szCs w:val="18"/>
                <w:rtl/>
              </w:rPr>
              <w:t>)،</w:t>
            </w:r>
            <w:r w:rsidRPr="004969DC">
              <w:rPr>
                <w:rFonts w:cs="Simplified Arabic"/>
                <w:sz w:val="20"/>
                <w:szCs w:val="22"/>
                <w:rtl/>
              </w:rPr>
              <w:t xml:space="preserve"> وكذلك العديد من الأنواع الشائعة (مثل طيور</w:t>
            </w:r>
            <w:r w:rsidRPr="004969DC">
              <w:rPr>
                <w:rFonts w:cs="Simplified Arabic"/>
                <w:color w:val="222222"/>
                <w:sz w:val="20"/>
                <w:szCs w:val="22"/>
                <w:rtl/>
              </w:rPr>
              <w:t xml:space="preserve"> </w:t>
            </w:r>
            <w:r w:rsidRPr="004969DC">
              <w:rPr>
                <w:rFonts w:cs="Simplified Arabic"/>
                <w:sz w:val="20"/>
                <w:szCs w:val="22"/>
                <w:rtl/>
              </w:rPr>
              <w:t>الغُرَّة</w:t>
            </w:r>
            <w:r w:rsidRPr="004969DC">
              <w:rPr>
                <w:rFonts w:cs="Simplified Arabic"/>
                <w:b/>
                <w:bCs/>
                <w:sz w:val="20"/>
                <w:szCs w:val="22"/>
                <w:rtl/>
              </w:rPr>
              <w:t xml:space="preserve">، </w:t>
            </w:r>
            <w:r w:rsidRPr="004969DC">
              <w:rPr>
                <w:rFonts w:cs="Simplified Arabic"/>
                <w:sz w:val="20"/>
                <w:szCs w:val="22"/>
                <w:rtl/>
              </w:rPr>
              <w:t>الإوز الرمادي، والبط). وتُستخدم هذه المنطقة كمكان إنسال وكموئل علف وهجرة لأكثر من 60 نوعاً من الأسماك. وهناك كثافة عالية للغاية للكائنات الحية السمكية أثناء هجرات التسرئة حينما تدخل أعداد كبيرة من أنواع الأسمال شبه نهرية السرء والأسماك النهرية السرء من شمال بحر قزوين إلى الدلتا. وتشكل هذه المنطقة موقعاً لهجرات التسرئة التي تقوم بها أنواع مهددة بالانقراض مثل سمك الحفش (</w:t>
            </w:r>
            <w:r w:rsidRPr="004969DC">
              <w:rPr>
                <w:rFonts w:eastAsia="MS Mincho" w:cs="Simplified Arabic"/>
                <w:sz w:val="20"/>
                <w:szCs w:val="22"/>
                <w:rtl/>
              </w:rPr>
              <w:t>الحفش الأوروبي (</w:t>
            </w:r>
            <w:r w:rsidRPr="00366E36">
              <w:rPr>
                <w:rFonts w:eastAsia="MS Mincho" w:cs="Simplified Arabic"/>
                <w:i/>
                <w:iCs/>
                <w:sz w:val="20"/>
                <w:szCs w:val="22"/>
                <w:lang w:val="en-US"/>
              </w:rPr>
              <w:t>Huso huso</w:t>
            </w:r>
            <w:r w:rsidRPr="004969DC">
              <w:rPr>
                <w:rFonts w:eastAsia="MS Mincho" w:cs="Simplified Arabic"/>
                <w:sz w:val="20"/>
                <w:szCs w:val="22"/>
                <w:rtl/>
              </w:rPr>
              <w:t xml:space="preserve">)، والحفش الروسي </w:t>
            </w:r>
            <w:r w:rsidRPr="004969DC">
              <w:rPr>
                <w:rFonts w:eastAsia="MS Mincho" w:cs="Simplified Arabic"/>
                <w:sz w:val="18"/>
                <w:szCs w:val="18"/>
                <w:rtl/>
              </w:rPr>
              <w:t>(</w:t>
            </w:r>
            <w:r w:rsidRPr="00366E36">
              <w:rPr>
                <w:rFonts w:eastAsia="MS Mincho" w:cs="Simplified Arabic"/>
                <w:i/>
                <w:iCs/>
                <w:sz w:val="18"/>
                <w:szCs w:val="18"/>
                <w:lang w:val="en-US"/>
              </w:rPr>
              <w:t>Acipenser gueldenstaedtii</w:t>
            </w:r>
            <w:r w:rsidRPr="004969DC">
              <w:rPr>
                <w:rFonts w:eastAsia="MS Mincho" w:cs="Simplified Arabic"/>
                <w:sz w:val="18"/>
                <w:szCs w:val="18"/>
                <w:rtl/>
              </w:rPr>
              <w:t>)،</w:t>
            </w:r>
            <w:r w:rsidRPr="004969DC">
              <w:rPr>
                <w:rFonts w:eastAsia="MS Mincho" w:cs="Simplified Arabic"/>
                <w:sz w:val="20"/>
                <w:szCs w:val="22"/>
                <w:rtl/>
              </w:rPr>
              <w:t xml:space="preserve"> والحفش النجمي (</w:t>
            </w:r>
            <w:r w:rsidRPr="00366E36">
              <w:rPr>
                <w:rFonts w:eastAsia="MS Mincho" w:cs="Simplified Arabic"/>
                <w:i/>
                <w:iCs/>
                <w:sz w:val="18"/>
                <w:szCs w:val="18"/>
                <w:lang w:val="en-US"/>
              </w:rPr>
              <w:t>Acipenser stellatus</w:t>
            </w:r>
            <w:r w:rsidRPr="004969DC">
              <w:rPr>
                <w:rFonts w:eastAsia="MS Mincho" w:cs="Simplified Arabic"/>
                <w:sz w:val="18"/>
                <w:szCs w:val="18"/>
                <w:rtl/>
              </w:rPr>
              <w:t>)،</w:t>
            </w:r>
            <w:r w:rsidRPr="004969DC">
              <w:rPr>
                <w:rFonts w:eastAsia="MS Mincho" w:cs="Simplified Arabic"/>
                <w:sz w:val="20"/>
                <w:szCs w:val="22"/>
                <w:rtl/>
              </w:rPr>
              <w:t xml:space="preserve"> والحفش الفارسي (</w:t>
            </w:r>
            <w:r w:rsidRPr="00366E36">
              <w:rPr>
                <w:rFonts w:cs="Simplified Arabic"/>
                <w:i/>
                <w:sz w:val="20"/>
                <w:szCs w:val="22"/>
                <w:lang w:val="en-US"/>
              </w:rPr>
              <w:t>Acipenser persicus</w:t>
            </w:r>
            <w:r w:rsidRPr="004969DC">
              <w:rPr>
                <w:rFonts w:eastAsia="MS Mincho" w:cs="Simplified Arabic"/>
                <w:sz w:val="20"/>
                <w:szCs w:val="22"/>
                <w:rtl/>
              </w:rPr>
              <w:t xml:space="preserve">)، والحفش الشوكي </w:t>
            </w:r>
            <w:r w:rsidRPr="004969DC">
              <w:rPr>
                <w:rFonts w:eastAsia="MS Mincho" w:cs="Simplified Arabic"/>
                <w:sz w:val="18"/>
                <w:szCs w:val="18"/>
                <w:rtl/>
              </w:rPr>
              <w:t>(</w:t>
            </w:r>
            <w:r w:rsidRPr="00366E36">
              <w:rPr>
                <w:rFonts w:cs="Simplified Arabic"/>
                <w:i/>
                <w:sz w:val="18"/>
                <w:szCs w:val="18"/>
                <w:lang w:val="en-US"/>
              </w:rPr>
              <w:t>Acipenser nudiventris</w:t>
            </w:r>
            <w:r w:rsidRPr="004969DC">
              <w:rPr>
                <w:rFonts w:eastAsia="MS Mincho" w:cs="Simplified Arabic"/>
                <w:sz w:val="18"/>
                <w:szCs w:val="18"/>
                <w:rtl/>
              </w:rPr>
              <w:t>)</w:t>
            </w:r>
            <w:r w:rsidRPr="004969DC">
              <w:rPr>
                <w:rFonts w:cs="Simplified Arabic"/>
                <w:sz w:val="18"/>
                <w:szCs w:val="18"/>
                <w:rtl/>
              </w:rPr>
              <w:t>)</w:t>
            </w:r>
            <w:r w:rsidRPr="004969DC">
              <w:rPr>
                <w:rFonts w:cs="Simplified Arabic"/>
                <w:sz w:val="20"/>
                <w:szCs w:val="22"/>
                <w:rtl/>
              </w:rPr>
              <w:t xml:space="preserve"> والجلكى القزوينية </w:t>
            </w:r>
            <w:r w:rsidRPr="004969DC">
              <w:rPr>
                <w:rFonts w:cs="Simplified Arabic"/>
                <w:sz w:val="18"/>
                <w:szCs w:val="18"/>
                <w:rtl/>
              </w:rPr>
              <w:t>(</w:t>
            </w:r>
            <w:r w:rsidRPr="00366E36">
              <w:rPr>
                <w:rFonts w:cs="Simplified Arabic"/>
                <w:i/>
                <w:sz w:val="18"/>
                <w:szCs w:val="18"/>
                <w:lang w:val="en-US"/>
              </w:rPr>
              <w:t>Caspiomyzon wagneri</w:t>
            </w:r>
            <w:r w:rsidRPr="004969DC">
              <w:rPr>
                <w:rFonts w:cs="Simplified Arabic"/>
                <w:sz w:val="20"/>
                <w:szCs w:val="22"/>
                <w:rtl/>
              </w:rPr>
              <w:t>).</w:t>
            </w:r>
            <w:bookmarkEnd w:id="84"/>
            <w:bookmarkEnd w:id="85"/>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6" w:type="dxa"/>
            <w:vAlign w:val="center"/>
          </w:tcPr>
          <w:p w:rsidR="000A5DEA" w:rsidRPr="00E2695B" w:rsidRDefault="000A5DEA" w:rsidP="00094717">
            <w:pPr>
              <w:rPr>
                <w:color w:val="000000"/>
                <w:sz w:val="20"/>
                <w:szCs w:val="22"/>
              </w:rPr>
            </w:pPr>
            <w:r w:rsidRPr="00E2695B">
              <w:rPr>
                <w:color w:val="000000"/>
                <w:sz w:val="20"/>
                <w:szCs w:val="22"/>
              </w:rPr>
              <w:t>H</w:t>
            </w:r>
          </w:p>
        </w:tc>
        <w:tc>
          <w:tcPr>
            <w:tcW w:w="506" w:type="dxa"/>
            <w:vAlign w:val="center"/>
          </w:tcPr>
          <w:p w:rsidR="000A5DEA" w:rsidRPr="00E2695B" w:rsidRDefault="000A5DEA" w:rsidP="00094717">
            <w:pPr>
              <w:rPr>
                <w:color w:val="000000"/>
                <w:sz w:val="20"/>
                <w:szCs w:val="22"/>
              </w:rPr>
            </w:pPr>
            <w:r w:rsidRPr="00E2695B">
              <w:rPr>
                <w:color w:val="000000"/>
                <w:sz w:val="20"/>
                <w:szCs w:val="22"/>
              </w:rPr>
              <w:t>M</w:t>
            </w:r>
          </w:p>
        </w:tc>
        <w:tc>
          <w:tcPr>
            <w:tcW w:w="507" w:type="dxa"/>
            <w:vAlign w:val="center"/>
          </w:tcPr>
          <w:p w:rsidR="000A5DEA" w:rsidRPr="00E2695B" w:rsidRDefault="000A5DEA" w:rsidP="00094717">
            <w:pPr>
              <w:rPr>
                <w:color w:val="000000"/>
                <w:sz w:val="20"/>
                <w:szCs w:val="22"/>
              </w:rPr>
            </w:pPr>
            <w:r w:rsidRPr="00E2695B">
              <w:rPr>
                <w:color w:val="000000"/>
                <w:sz w:val="20"/>
                <w:szCs w:val="22"/>
              </w:rPr>
              <w:t>M</w:t>
            </w:r>
          </w:p>
        </w:tc>
      </w:tr>
    </w:tbl>
    <w:p w:rsidR="000A5DEA" w:rsidRDefault="000A5DEA" w:rsidP="000A5DEA">
      <w:pPr>
        <w:rPr>
          <w:rFonts w:eastAsia="Times New Roman"/>
          <w:bCs/>
          <w:szCs w:val="22"/>
          <w:rtl/>
        </w:rPr>
      </w:pPr>
      <w:r>
        <w:rPr>
          <w:rFonts w:eastAsia="Times New Roman"/>
          <w:bCs/>
          <w:szCs w:val="22"/>
          <w:rtl/>
        </w:rPr>
        <w:br w:type="page"/>
      </w:r>
    </w:p>
    <w:p w:rsidR="000A5DEA" w:rsidRPr="00D33EF0" w:rsidRDefault="000A5DEA" w:rsidP="000A5DEA">
      <w:pPr>
        <w:rPr>
          <w:bCs/>
          <w:szCs w:val="22"/>
          <w:rtl/>
        </w:rPr>
      </w:pPr>
      <w:r w:rsidRPr="00D33EF0">
        <w:rPr>
          <w:rFonts w:eastAsia="Times New Roman"/>
          <w:bCs/>
          <w:szCs w:val="22"/>
          <w:rtl/>
        </w:rPr>
        <w:lastRenderedPageBreak/>
        <w:t xml:space="preserve">الجدول </w:t>
      </w:r>
      <w:r w:rsidRPr="00D33EF0">
        <w:rPr>
          <w:rFonts w:eastAsia="Times New Roman" w:hint="cs"/>
          <w:bCs/>
          <w:szCs w:val="22"/>
          <w:rtl/>
        </w:rPr>
        <w:t>2</w:t>
      </w:r>
      <w:r w:rsidRPr="00D33EF0">
        <w:rPr>
          <w:rFonts w:eastAsia="Times New Roman"/>
          <w:bCs/>
          <w:szCs w:val="22"/>
          <w:rtl/>
        </w:rPr>
        <w:t xml:space="preserve">- </w:t>
      </w:r>
      <w:r w:rsidRPr="00D33EF0">
        <w:rPr>
          <w:rFonts w:eastAsia="Times New Roman" w:hint="cs"/>
          <w:bCs/>
          <w:szCs w:val="22"/>
          <w:rtl/>
        </w:rPr>
        <w:t xml:space="preserve"> وصف المناطق التي تستوفي معايير </w:t>
      </w:r>
      <w:r w:rsidRPr="00D33EF0">
        <w:rPr>
          <w:rFonts w:hint="cs"/>
          <w:bCs/>
          <w:szCs w:val="22"/>
          <w:rtl/>
        </w:rPr>
        <w:t>المناطق البحرية المهمة إيكولوجياً أو بيولوجياً في بحر البلطيق</w:t>
      </w:r>
    </w:p>
    <w:p w:rsidR="000A5DEA" w:rsidRPr="00D33EF0" w:rsidRDefault="000A5DEA" w:rsidP="000A5DEA">
      <w:pPr>
        <w:rPr>
          <w:szCs w:val="22"/>
          <w:rtl/>
        </w:rPr>
      </w:pPr>
      <w:r w:rsidRPr="00D33EF0">
        <w:rPr>
          <w:rFonts w:hint="cs"/>
          <w:szCs w:val="22"/>
          <w:rtl/>
        </w:rPr>
        <w:t>(</w:t>
      </w:r>
      <w:r w:rsidRPr="00D33EF0">
        <w:rPr>
          <w:i/>
          <w:iCs/>
          <w:szCs w:val="22"/>
          <w:rtl/>
          <w:lang w:val="en-GB"/>
        </w:rPr>
        <w:t>ترد التفاصيل في ال</w:t>
      </w:r>
      <w:r w:rsidRPr="00D33EF0">
        <w:rPr>
          <w:rFonts w:hint="cs"/>
          <w:i/>
          <w:iCs/>
          <w:szCs w:val="22"/>
          <w:rtl/>
          <w:lang w:val="en-GB"/>
        </w:rPr>
        <w:t>تذييل بالمرفق الخامس لتقرير حلقة العمل الإقليمية لتيسير وصف المناطق المهمة إيكولوجيا أو بيولوجيا في بحر البلطيق</w:t>
      </w:r>
      <w:r w:rsidRPr="00D33EF0">
        <w:rPr>
          <w:rFonts w:hint="cs"/>
          <w:szCs w:val="22"/>
          <w:rtl/>
          <w:lang w:val="en-GB"/>
        </w:rPr>
        <w:t xml:space="preserve"> (</w:t>
      </w:r>
      <w:r w:rsidRPr="00D33EF0">
        <w:rPr>
          <w:i/>
          <w:kern w:val="22"/>
          <w:szCs w:val="22"/>
        </w:rPr>
        <w:t>CBD/EBSA/WS/2018/1/4</w:t>
      </w:r>
      <w:r w:rsidRPr="00D33EF0">
        <w:rPr>
          <w:rFonts w:hint="cs"/>
          <w:szCs w:val="22"/>
          <w:rtl/>
          <w:lang w:val="en-GB"/>
        </w:rPr>
        <w:t>)</w:t>
      </w:r>
      <w:r w:rsidRPr="00D33EF0">
        <w:rPr>
          <w:rFonts w:hint="cs"/>
          <w:szCs w:val="22"/>
          <w:rtl/>
        </w:rPr>
        <w:t>)</w:t>
      </w:r>
    </w:p>
    <w:p w:rsidR="000A5DEA" w:rsidRPr="00D33EF0" w:rsidRDefault="000A5DEA" w:rsidP="000A5DEA">
      <w:pPr>
        <w:rPr>
          <w:szCs w:val="22"/>
          <w:rtl/>
        </w:rPr>
      </w:pPr>
    </w:p>
    <w:tbl>
      <w:tblPr>
        <w:bidiVisual/>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0A5DEA" w:rsidRPr="00E2695B" w:rsidTr="000A5DEA">
        <w:trPr>
          <w:trHeight w:val="264"/>
          <w:tblHeader/>
        </w:trPr>
        <w:tc>
          <w:tcPr>
            <w:tcW w:w="9687" w:type="dxa"/>
            <w:vMerge w:val="restart"/>
            <w:shd w:val="clear" w:color="auto" w:fill="auto"/>
          </w:tcPr>
          <w:p w:rsidR="000A5DEA" w:rsidRPr="00E2695B" w:rsidRDefault="000A5DEA" w:rsidP="000A5DEA">
            <w:pPr>
              <w:snapToGrid w:val="0"/>
              <w:jc w:val="center"/>
              <w:rPr>
                <w:rFonts w:eastAsia="MS Mincho"/>
                <w:b/>
                <w:sz w:val="20"/>
                <w:szCs w:val="22"/>
                <w:rtl/>
              </w:rPr>
            </w:pPr>
            <w:r w:rsidRPr="00E2695B">
              <w:rPr>
                <w:rFonts w:hint="cs"/>
                <w:bCs/>
                <w:sz w:val="20"/>
                <w:szCs w:val="22"/>
                <w:rtl/>
                <w:lang w:val="en-GB"/>
              </w:rPr>
              <w:t>الموقع ووصف موجز للمناطق</w:t>
            </w:r>
            <w:r w:rsidRPr="00E2695B">
              <w:rPr>
                <w:rFonts w:eastAsia="MS Mincho"/>
                <w:b/>
                <w:sz w:val="20"/>
                <w:szCs w:val="22"/>
              </w:rPr>
              <w:t xml:space="preserve"> </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C1</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C2</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C3</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C4</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C5</w:t>
            </w:r>
          </w:p>
        </w:tc>
        <w:tc>
          <w:tcPr>
            <w:tcW w:w="506"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C6</w:t>
            </w:r>
          </w:p>
        </w:tc>
        <w:tc>
          <w:tcPr>
            <w:tcW w:w="507" w:type="dxa"/>
          </w:tcPr>
          <w:p w:rsidR="000A5DEA" w:rsidRPr="00E2695B" w:rsidRDefault="000A5DEA" w:rsidP="000A5DEA">
            <w:pPr>
              <w:snapToGrid w:val="0"/>
              <w:jc w:val="center"/>
              <w:rPr>
                <w:rFonts w:eastAsia="MS Mincho"/>
                <w:b/>
                <w:sz w:val="20"/>
                <w:szCs w:val="22"/>
              </w:rPr>
            </w:pPr>
            <w:r w:rsidRPr="00E2695B">
              <w:rPr>
                <w:rFonts w:eastAsia="MS Mincho"/>
                <w:b/>
                <w:sz w:val="20"/>
                <w:szCs w:val="22"/>
              </w:rPr>
              <w:t>C7</w:t>
            </w:r>
          </w:p>
        </w:tc>
      </w:tr>
      <w:tr w:rsidR="000A5DEA" w:rsidRPr="00E2695B" w:rsidTr="000A5DEA">
        <w:trPr>
          <w:trHeight w:val="264"/>
          <w:tblHeader/>
        </w:trPr>
        <w:tc>
          <w:tcPr>
            <w:tcW w:w="9687" w:type="dxa"/>
            <w:vMerge/>
            <w:shd w:val="clear" w:color="auto" w:fill="auto"/>
          </w:tcPr>
          <w:p w:rsidR="000A5DEA" w:rsidRPr="00E2695B" w:rsidRDefault="000A5DEA" w:rsidP="000A5DEA">
            <w:pPr>
              <w:snapToGrid w:val="0"/>
              <w:jc w:val="center"/>
              <w:rPr>
                <w:b/>
                <w:sz w:val="20"/>
                <w:szCs w:val="22"/>
              </w:rPr>
            </w:pPr>
          </w:p>
        </w:tc>
        <w:tc>
          <w:tcPr>
            <w:tcW w:w="3543" w:type="dxa"/>
            <w:gridSpan w:val="7"/>
          </w:tcPr>
          <w:p w:rsidR="000A5DEA" w:rsidRPr="00E2695B" w:rsidRDefault="000A5DEA" w:rsidP="000A5DEA">
            <w:pPr>
              <w:snapToGrid w:val="0"/>
              <w:jc w:val="center"/>
              <w:rPr>
                <w:b/>
                <w:sz w:val="20"/>
                <w:szCs w:val="22"/>
              </w:rPr>
            </w:pPr>
            <w:r>
              <w:rPr>
                <w:rFonts w:hint="cs"/>
                <w:b/>
                <w:sz w:val="20"/>
                <w:szCs w:val="22"/>
                <w:rtl/>
                <w:lang w:val="en-GB"/>
              </w:rPr>
              <w:t>انظر</w:t>
            </w:r>
            <w:r w:rsidRPr="00E2695B">
              <w:rPr>
                <w:rFonts w:hint="cs"/>
                <w:b/>
                <w:sz w:val="20"/>
                <w:szCs w:val="22"/>
                <w:rtl/>
                <w:lang w:val="en-GB"/>
              </w:rPr>
              <w:t xml:space="preserve"> المختصرات</w:t>
            </w:r>
            <w:r>
              <w:rPr>
                <w:rFonts w:hint="cs"/>
                <w:b/>
                <w:sz w:val="20"/>
                <w:szCs w:val="22"/>
                <w:rtl/>
              </w:rPr>
              <w:t xml:space="preserve"> المستخدمة في الجداول أعلاه</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t>1- خليج شمال بوثنيان</w:t>
            </w:r>
          </w:p>
          <w:p w:rsidR="000A5DEA" w:rsidRPr="00366E36" w:rsidRDefault="000A5DEA" w:rsidP="00CD26C5">
            <w:pPr>
              <w:pStyle w:val="ListParagraph"/>
              <w:numPr>
                <w:ilvl w:val="0"/>
                <w:numId w:val="112"/>
              </w:numPr>
              <w:bidi/>
              <w:spacing w:after="0" w:line="204" w:lineRule="auto"/>
              <w:contextualSpacing/>
              <w:rPr>
                <w:rFonts w:cs="Simplified Arabic"/>
                <w:sz w:val="20"/>
                <w:szCs w:val="22"/>
                <w:lang w:val="en-US"/>
              </w:rPr>
            </w:pPr>
            <w:r w:rsidRPr="00E2695B">
              <w:rPr>
                <w:rFonts w:cs="Simplified Arabic"/>
                <w:sz w:val="20"/>
                <w:szCs w:val="22"/>
                <w:rtl/>
              </w:rPr>
              <w:t>الموقع: تضم</w:t>
            </w:r>
            <w:r w:rsidRPr="00E2695B">
              <w:rPr>
                <w:rFonts w:cs="Simplified Arabic" w:hint="cs"/>
                <w:sz w:val="20"/>
                <w:szCs w:val="22"/>
                <w:rtl/>
              </w:rPr>
              <w:t xml:space="preserve"> هذه</w:t>
            </w:r>
            <w:r w:rsidRPr="00E2695B">
              <w:rPr>
                <w:rFonts w:cs="Simplified Arabic"/>
                <w:sz w:val="20"/>
                <w:szCs w:val="22"/>
                <w:rtl/>
              </w:rPr>
              <w:t xml:space="preserve"> المنطقة الجزء الشمالي من خليج بوثنيان. و</w:t>
            </w:r>
            <w:r>
              <w:rPr>
                <w:rFonts w:cs="Simplified Arabic" w:hint="cs"/>
                <w:sz w:val="20"/>
                <w:szCs w:val="22"/>
                <w:rtl/>
              </w:rPr>
              <w:t>تغطي</w:t>
            </w:r>
            <w:r w:rsidRPr="00E2695B">
              <w:rPr>
                <w:rFonts w:cs="Simplified Arabic"/>
                <w:sz w:val="20"/>
                <w:szCs w:val="22"/>
                <w:rtl/>
              </w:rPr>
              <w:t xml:space="preserve"> </w:t>
            </w:r>
            <w:r>
              <w:rPr>
                <w:rFonts w:cs="Simplified Arabic" w:hint="cs"/>
                <w:sz w:val="20"/>
                <w:szCs w:val="22"/>
                <w:rtl/>
              </w:rPr>
              <w:t xml:space="preserve">المنطقة </w:t>
            </w:r>
            <w:r w:rsidRPr="00E2695B">
              <w:rPr>
                <w:rFonts w:cs="Simplified Arabic" w:hint="cs"/>
                <w:sz w:val="20"/>
                <w:szCs w:val="22"/>
                <w:rtl/>
              </w:rPr>
              <w:t>مساحة</w:t>
            </w:r>
            <w:r w:rsidRPr="00E2695B">
              <w:rPr>
                <w:rFonts w:cs="Simplified Arabic"/>
                <w:sz w:val="20"/>
                <w:szCs w:val="22"/>
                <w:rtl/>
              </w:rPr>
              <w:t xml:space="preserve"> </w:t>
            </w:r>
            <w:r w:rsidRPr="00E2695B">
              <w:rPr>
                <w:rFonts w:cs="Simplified Arabic" w:hint="cs"/>
                <w:sz w:val="20"/>
                <w:szCs w:val="22"/>
                <w:rtl/>
              </w:rPr>
              <w:t xml:space="preserve">963 8 </w:t>
            </w:r>
            <w:r w:rsidRPr="00E2695B">
              <w:rPr>
                <w:rFonts w:cs="Simplified Arabic"/>
                <w:sz w:val="20"/>
                <w:szCs w:val="22"/>
                <w:rtl/>
              </w:rPr>
              <w:t>كيلومتر</w:t>
            </w:r>
            <w:r w:rsidRPr="00E2695B">
              <w:rPr>
                <w:rFonts w:cs="Simplified Arabic" w:hint="cs"/>
                <w:sz w:val="20"/>
                <w:szCs w:val="22"/>
                <w:rtl/>
              </w:rPr>
              <w:t>اً</w:t>
            </w:r>
            <w:r w:rsidRPr="00E2695B">
              <w:rPr>
                <w:rFonts w:cs="Simplified Arabic"/>
                <w:sz w:val="20"/>
                <w:szCs w:val="22"/>
                <w:rtl/>
              </w:rPr>
              <w:t xml:space="preserve"> مربع</w:t>
            </w:r>
            <w:r w:rsidRPr="00E2695B">
              <w:rPr>
                <w:rFonts w:cs="Simplified Arabic" w:hint="cs"/>
                <w:sz w:val="20"/>
                <w:szCs w:val="22"/>
                <w:rtl/>
              </w:rPr>
              <w:t>اً</w:t>
            </w:r>
            <w:r>
              <w:rPr>
                <w:rFonts w:cs="Simplified Arabic" w:hint="cs"/>
                <w:sz w:val="20"/>
                <w:szCs w:val="22"/>
                <w:rtl/>
              </w:rPr>
              <w:t xml:space="preserve"> بأكملها</w:t>
            </w:r>
            <w:r w:rsidRPr="00E2695B">
              <w:rPr>
                <w:rFonts w:cs="Simplified Arabic"/>
                <w:sz w:val="20"/>
                <w:szCs w:val="22"/>
                <w:rtl/>
              </w:rPr>
              <w:t xml:space="preserve">، </w:t>
            </w:r>
            <w:r>
              <w:rPr>
                <w:rFonts w:cs="Simplified Arabic" w:hint="cs"/>
                <w:sz w:val="20"/>
                <w:szCs w:val="22"/>
                <w:rtl/>
              </w:rPr>
              <w:t>و</w:t>
            </w:r>
            <w:r w:rsidRPr="00E2695B">
              <w:rPr>
                <w:rFonts w:cs="Simplified Arabic"/>
                <w:sz w:val="20"/>
                <w:szCs w:val="22"/>
                <w:rtl/>
              </w:rPr>
              <w:t xml:space="preserve"> </w:t>
            </w:r>
            <w:r w:rsidRPr="00E2695B">
              <w:rPr>
                <w:rFonts w:cs="Simplified Arabic" w:hint="cs"/>
                <w:sz w:val="20"/>
                <w:szCs w:val="22"/>
                <w:rtl/>
              </w:rPr>
              <w:t>297 8</w:t>
            </w:r>
            <w:r w:rsidRPr="00E2695B">
              <w:rPr>
                <w:rFonts w:cs="Simplified Arabic"/>
                <w:sz w:val="20"/>
                <w:szCs w:val="22"/>
                <w:rtl/>
              </w:rPr>
              <w:t xml:space="preserve"> كيلومتر</w:t>
            </w:r>
            <w:r w:rsidRPr="00E2695B">
              <w:rPr>
                <w:rFonts w:cs="Simplified Arabic" w:hint="cs"/>
                <w:sz w:val="20"/>
                <w:szCs w:val="22"/>
                <w:rtl/>
              </w:rPr>
              <w:t>اً</w:t>
            </w:r>
            <w:r w:rsidRPr="00E2695B">
              <w:rPr>
                <w:rFonts w:cs="Simplified Arabic"/>
                <w:sz w:val="20"/>
                <w:szCs w:val="22"/>
                <w:rtl/>
              </w:rPr>
              <w:t xml:space="preserve"> مربع</w:t>
            </w:r>
            <w:r w:rsidRPr="00E2695B">
              <w:rPr>
                <w:rFonts w:cs="Simplified Arabic" w:hint="cs"/>
                <w:sz w:val="20"/>
                <w:szCs w:val="22"/>
                <w:rtl/>
              </w:rPr>
              <w:t>اً</w:t>
            </w:r>
            <w:r>
              <w:rPr>
                <w:rFonts w:cs="Simplified Arabic" w:hint="cs"/>
                <w:sz w:val="20"/>
                <w:szCs w:val="22"/>
                <w:rtl/>
              </w:rPr>
              <w:t xml:space="preserve"> منها في البحر</w:t>
            </w:r>
            <w:r w:rsidRPr="00366E36">
              <w:rPr>
                <w:rFonts w:cs="Simplified Arabic"/>
                <w:sz w:val="20"/>
                <w:szCs w:val="22"/>
                <w:lang w:val="en-US"/>
              </w:rPr>
              <w:t>.</w:t>
            </w:r>
          </w:p>
          <w:p w:rsidR="000A5DEA" w:rsidRPr="00366E36" w:rsidRDefault="000A5DEA" w:rsidP="00CD26C5">
            <w:pPr>
              <w:pStyle w:val="ListParagraph"/>
              <w:numPr>
                <w:ilvl w:val="0"/>
                <w:numId w:val="112"/>
              </w:numPr>
              <w:bidi/>
              <w:spacing w:after="0" w:line="204" w:lineRule="auto"/>
              <w:contextualSpacing/>
              <w:rPr>
                <w:rFonts w:cs="Simplified Arabic"/>
                <w:sz w:val="20"/>
                <w:szCs w:val="22"/>
                <w:lang w:val="en-US"/>
              </w:rPr>
            </w:pPr>
            <w:r w:rsidRPr="00E2695B">
              <w:rPr>
                <w:rFonts w:cs="Simplified Arabic"/>
                <w:sz w:val="20"/>
                <w:szCs w:val="22"/>
                <w:rtl/>
              </w:rPr>
              <w:t xml:space="preserve">يشكل </w:t>
            </w:r>
            <w:r w:rsidRPr="00E2695B">
              <w:rPr>
                <w:rFonts w:cs="Simplified Arabic" w:hint="cs"/>
                <w:sz w:val="20"/>
                <w:szCs w:val="22"/>
                <w:rtl/>
              </w:rPr>
              <w:t xml:space="preserve">خليج بوثنيان </w:t>
            </w:r>
            <w:r w:rsidRPr="00E2695B">
              <w:rPr>
                <w:rFonts w:cs="Simplified Arabic"/>
                <w:sz w:val="20"/>
                <w:szCs w:val="22"/>
                <w:rtl/>
              </w:rPr>
              <w:t xml:space="preserve">الجزء الشمالي من بحر البلطيق. </w:t>
            </w:r>
            <w:r w:rsidRPr="00E2695B">
              <w:rPr>
                <w:rFonts w:cs="Simplified Arabic" w:hint="cs"/>
                <w:sz w:val="20"/>
                <w:szCs w:val="22"/>
                <w:rtl/>
              </w:rPr>
              <w:t>ويعتبر</w:t>
            </w:r>
            <w:r w:rsidRPr="00E2695B">
              <w:rPr>
                <w:rFonts w:cs="Simplified Arabic"/>
                <w:sz w:val="20"/>
                <w:szCs w:val="22"/>
                <w:rtl/>
              </w:rPr>
              <w:t xml:space="preserve"> </w:t>
            </w:r>
            <w:r w:rsidRPr="00E2695B">
              <w:rPr>
                <w:rFonts w:cs="Simplified Arabic" w:hint="cs"/>
                <w:sz w:val="20"/>
                <w:szCs w:val="22"/>
                <w:rtl/>
              </w:rPr>
              <w:t>أقل أجزاء</w:t>
            </w:r>
            <w:r w:rsidRPr="00E2695B">
              <w:rPr>
                <w:rFonts w:cs="Simplified Arabic"/>
                <w:sz w:val="20"/>
                <w:szCs w:val="22"/>
                <w:rtl/>
              </w:rPr>
              <w:t xml:space="preserve"> بحر البلطيق </w:t>
            </w:r>
            <w:r w:rsidRPr="00E2695B">
              <w:rPr>
                <w:rFonts w:cs="Simplified Arabic" w:hint="cs"/>
                <w:sz w:val="20"/>
                <w:szCs w:val="22"/>
                <w:rtl/>
              </w:rPr>
              <w:t>ملوحة</w:t>
            </w:r>
            <w:r w:rsidRPr="00E2695B">
              <w:rPr>
                <w:rFonts w:cs="Simplified Arabic"/>
                <w:sz w:val="20"/>
                <w:szCs w:val="22"/>
                <w:rtl/>
              </w:rPr>
              <w:t xml:space="preserve">، </w:t>
            </w:r>
            <w:r w:rsidRPr="00E2695B">
              <w:rPr>
                <w:rFonts w:cs="Simplified Arabic" w:hint="cs"/>
                <w:sz w:val="20"/>
                <w:szCs w:val="22"/>
                <w:rtl/>
              </w:rPr>
              <w:t>وهو يتأثر</w:t>
            </w:r>
            <w:r w:rsidRPr="00E2695B">
              <w:rPr>
                <w:rFonts w:cs="Simplified Arabic"/>
                <w:sz w:val="20"/>
                <w:szCs w:val="22"/>
                <w:rtl/>
              </w:rPr>
              <w:t xml:space="preserve"> بشكل كبير بالتصريف </w:t>
            </w:r>
            <w:r w:rsidRPr="00E2695B">
              <w:rPr>
                <w:rFonts w:cs="Simplified Arabic" w:hint="cs"/>
                <w:sz w:val="20"/>
                <w:szCs w:val="22"/>
                <w:rtl/>
              </w:rPr>
              <w:t xml:space="preserve">النهري </w:t>
            </w:r>
            <w:r w:rsidRPr="00E2695B">
              <w:rPr>
                <w:rFonts w:cs="Simplified Arabic"/>
                <w:sz w:val="20"/>
                <w:szCs w:val="22"/>
                <w:rtl/>
              </w:rPr>
              <w:t xml:space="preserve">المشترك </w:t>
            </w:r>
            <w:r w:rsidRPr="00E2695B">
              <w:rPr>
                <w:rFonts w:cs="Simplified Arabic" w:hint="cs"/>
                <w:sz w:val="20"/>
                <w:szCs w:val="22"/>
                <w:rtl/>
              </w:rPr>
              <w:t xml:space="preserve">الصادر عن </w:t>
            </w:r>
            <w:r w:rsidRPr="00E2695B">
              <w:rPr>
                <w:rFonts w:cs="Simplified Arabic"/>
                <w:sz w:val="20"/>
                <w:szCs w:val="22"/>
                <w:rtl/>
              </w:rPr>
              <w:t xml:space="preserve">أربعة أنهار كبيرة </w:t>
            </w:r>
            <w:r w:rsidRPr="00E2695B">
              <w:rPr>
                <w:rFonts w:cs="Simplified Arabic" w:hint="cs"/>
                <w:sz w:val="20"/>
                <w:szCs w:val="22"/>
                <w:rtl/>
              </w:rPr>
              <w:t>ومستجمع مياه</w:t>
            </w:r>
            <w:r w:rsidRPr="00E2695B">
              <w:rPr>
                <w:rFonts w:cs="Simplified Arabic"/>
                <w:sz w:val="20"/>
                <w:szCs w:val="22"/>
                <w:rtl/>
              </w:rPr>
              <w:t xml:space="preserve"> </w:t>
            </w:r>
            <w:r w:rsidRPr="00E2695B">
              <w:rPr>
                <w:rFonts w:cs="Simplified Arabic" w:hint="cs"/>
                <w:sz w:val="20"/>
                <w:szCs w:val="22"/>
                <w:rtl/>
              </w:rPr>
              <w:t>يغطي</w:t>
            </w:r>
            <w:r w:rsidRPr="00E2695B">
              <w:rPr>
                <w:rFonts w:cs="Simplified Arabic"/>
                <w:sz w:val="20"/>
                <w:szCs w:val="22"/>
                <w:rtl/>
              </w:rPr>
              <w:t xml:space="preserve"> معظم </w:t>
            </w:r>
            <w:r w:rsidRPr="00E2695B">
              <w:rPr>
                <w:rFonts w:cs="Simplified Arabic" w:hint="cs"/>
                <w:sz w:val="20"/>
                <w:szCs w:val="22"/>
                <w:rtl/>
              </w:rPr>
              <w:t>منطقة لابلاند</w:t>
            </w:r>
            <w:r w:rsidRPr="00E2695B">
              <w:rPr>
                <w:rFonts w:cs="Simplified Arabic"/>
                <w:sz w:val="20"/>
                <w:szCs w:val="22"/>
                <w:rtl/>
              </w:rPr>
              <w:t xml:space="preserve"> الفنلندية والسويدية. </w:t>
            </w:r>
            <w:r w:rsidRPr="00E2695B">
              <w:rPr>
                <w:rFonts w:cs="Simplified Arabic" w:hint="cs"/>
                <w:sz w:val="20"/>
                <w:szCs w:val="22"/>
                <w:rtl/>
              </w:rPr>
              <w:t>والمنطقة البحرية</w:t>
            </w:r>
            <w:r w:rsidRPr="00E2695B">
              <w:rPr>
                <w:rFonts w:cs="Simplified Arabic"/>
                <w:sz w:val="20"/>
                <w:szCs w:val="22"/>
                <w:rtl/>
              </w:rPr>
              <w:t xml:space="preserve"> ضحلة، ويت</w:t>
            </w:r>
            <w:r w:rsidRPr="00E2695B">
              <w:rPr>
                <w:rFonts w:cs="Simplified Arabic" w:hint="cs"/>
                <w:sz w:val="20"/>
                <w:szCs w:val="22"/>
                <w:rtl/>
              </w:rPr>
              <w:t>كون</w:t>
            </w:r>
            <w:r w:rsidRPr="00E2695B">
              <w:rPr>
                <w:rFonts w:cs="Simplified Arabic"/>
                <w:sz w:val="20"/>
                <w:szCs w:val="22"/>
                <w:rtl/>
              </w:rPr>
              <w:t xml:space="preserve"> قاع البحر</w:t>
            </w:r>
            <w:r w:rsidRPr="00E2695B">
              <w:rPr>
                <w:rFonts w:cs="Simplified Arabic" w:hint="cs"/>
                <w:sz w:val="20"/>
                <w:szCs w:val="22"/>
                <w:rtl/>
              </w:rPr>
              <w:t xml:space="preserve"> بشكل رئيسي</w:t>
            </w:r>
            <w:r w:rsidRPr="00E2695B">
              <w:rPr>
                <w:rFonts w:cs="Simplified Arabic"/>
                <w:sz w:val="20"/>
                <w:szCs w:val="22"/>
                <w:rtl/>
              </w:rPr>
              <w:t xml:space="preserve"> من الرمال. </w:t>
            </w:r>
            <w:r w:rsidRPr="00E2695B">
              <w:rPr>
                <w:rFonts w:cs="Simplified Arabic" w:hint="cs"/>
                <w:sz w:val="20"/>
                <w:szCs w:val="22"/>
                <w:rtl/>
              </w:rPr>
              <w:t>وتظهر هذه المنطقة نفس الأجواء السائدة</w:t>
            </w:r>
            <w:r w:rsidRPr="00E2695B">
              <w:rPr>
                <w:rFonts w:cs="Simplified Arabic"/>
                <w:sz w:val="20"/>
                <w:szCs w:val="22"/>
                <w:rtl/>
              </w:rPr>
              <w:t xml:space="preserve"> القطب الشمالي</w:t>
            </w:r>
            <w:r w:rsidRPr="00E2695B">
              <w:rPr>
                <w:rFonts w:cs="Simplified Arabic" w:hint="cs"/>
                <w:sz w:val="20"/>
                <w:szCs w:val="22"/>
                <w:rtl/>
              </w:rPr>
              <w:t>؛</w:t>
            </w:r>
            <w:r w:rsidRPr="00E2695B">
              <w:rPr>
                <w:rFonts w:cs="Simplified Arabic"/>
                <w:sz w:val="20"/>
                <w:szCs w:val="22"/>
                <w:rtl/>
              </w:rPr>
              <w:t xml:space="preserve"> </w:t>
            </w:r>
            <w:r w:rsidRPr="00E2695B">
              <w:rPr>
                <w:rFonts w:cs="Simplified Arabic" w:hint="cs"/>
                <w:sz w:val="20"/>
                <w:szCs w:val="22"/>
                <w:rtl/>
              </w:rPr>
              <w:t>و</w:t>
            </w:r>
            <w:r w:rsidRPr="00E2695B">
              <w:rPr>
                <w:rFonts w:cs="Simplified Arabic"/>
                <w:sz w:val="20"/>
                <w:szCs w:val="22"/>
                <w:rtl/>
              </w:rPr>
              <w:t>في فصل الشتاء</w:t>
            </w:r>
            <w:r w:rsidRPr="00E2695B">
              <w:rPr>
                <w:rFonts w:cs="Simplified Arabic" w:hint="cs"/>
                <w:sz w:val="20"/>
                <w:szCs w:val="22"/>
                <w:rtl/>
              </w:rPr>
              <w:t>، يغطى</w:t>
            </w:r>
            <w:r w:rsidRPr="00E2695B">
              <w:rPr>
                <w:rFonts w:cs="Simplified Arabic"/>
                <w:kern w:val="2"/>
                <w:sz w:val="20"/>
                <w:szCs w:val="22"/>
                <w:rtl/>
                <w:lang w:val="en-US"/>
              </w:rPr>
              <w:t xml:space="preserve"> </w:t>
            </w:r>
            <w:r w:rsidRPr="00E2695B">
              <w:rPr>
                <w:rFonts w:cs="Simplified Arabic"/>
                <w:sz w:val="20"/>
                <w:szCs w:val="22"/>
                <w:rtl/>
              </w:rPr>
              <w:t>الجليد البحري</w:t>
            </w:r>
            <w:r w:rsidRPr="00E2695B">
              <w:rPr>
                <w:rFonts w:cs="Simplified Arabic" w:hint="cs"/>
                <w:sz w:val="20"/>
                <w:szCs w:val="22"/>
                <w:rtl/>
              </w:rPr>
              <w:t xml:space="preserve"> </w:t>
            </w:r>
            <w:r w:rsidRPr="00E2695B">
              <w:rPr>
                <w:rFonts w:cs="Simplified Arabic"/>
                <w:sz w:val="20"/>
                <w:szCs w:val="22"/>
                <w:rtl/>
              </w:rPr>
              <w:t>المنطقة ب</w:t>
            </w:r>
            <w:r w:rsidRPr="00E2695B">
              <w:rPr>
                <w:rFonts w:cs="Simplified Arabic" w:hint="cs"/>
                <w:sz w:val="20"/>
                <w:szCs w:val="22"/>
                <w:rtl/>
              </w:rPr>
              <w:t>رمتها</w:t>
            </w:r>
            <w:r w:rsidRPr="00E2695B">
              <w:rPr>
                <w:rFonts w:cs="Simplified Arabic"/>
                <w:sz w:val="20"/>
                <w:szCs w:val="22"/>
                <w:rtl/>
              </w:rPr>
              <w:t xml:space="preserve"> (لمدة 5-7 أشهر)، </w:t>
            </w:r>
            <w:r w:rsidRPr="00E2695B">
              <w:rPr>
                <w:rFonts w:cs="Simplified Arabic" w:hint="cs"/>
                <w:sz w:val="20"/>
                <w:szCs w:val="22"/>
                <w:rtl/>
              </w:rPr>
              <w:t>ويستخدم</w:t>
            </w:r>
            <w:r w:rsidRPr="00E2695B">
              <w:rPr>
                <w:rFonts w:cs="Simplified Arabic"/>
                <w:sz w:val="20"/>
                <w:szCs w:val="22"/>
                <w:rtl/>
              </w:rPr>
              <w:t xml:space="preserve"> كموئل </w:t>
            </w:r>
            <w:r w:rsidRPr="00E2695B">
              <w:rPr>
                <w:rFonts w:cs="Simplified Arabic" w:hint="cs"/>
                <w:sz w:val="20"/>
                <w:szCs w:val="22"/>
                <w:rtl/>
              </w:rPr>
              <w:t>لتكاثر الفقمة</w:t>
            </w:r>
            <w:r w:rsidRPr="00E2695B">
              <w:rPr>
                <w:rFonts w:cs="Simplified Arabic"/>
                <w:sz w:val="20"/>
                <w:szCs w:val="22"/>
                <w:rtl/>
              </w:rPr>
              <w:t xml:space="preserve"> الرمادي</w:t>
            </w:r>
            <w:r w:rsidRPr="00E2695B">
              <w:rPr>
                <w:rFonts w:cs="Simplified Arabic" w:hint="cs"/>
                <w:sz w:val="20"/>
                <w:szCs w:val="22"/>
                <w:rtl/>
              </w:rPr>
              <w:t>ة</w:t>
            </w:r>
            <w:r w:rsidRPr="00E2695B">
              <w:rPr>
                <w:rFonts w:cs="Simplified Arabic"/>
                <w:sz w:val="20"/>
                <w:szCs w:val="22"/>
                <w:rtl/>
              </w:rPr>
              <w:t xml:space="preserve"> (</w:t>
            </w:r>
            <w:r w:rsidRPr="00366E36">
              <w:rPr>
                <w:rFonts w:cs="Simplified Arabic"/>
                <w:i/>
                <w:sz w:val="20"/>
                <w:szCs w:val="22"/>
                <w:lang w:val="en-US"/>
              </w:rPr>
              <w:t>Haliochoerus grypus</w:t>
            </w:r>
            <w:r w:rsidRPr="00E2695B">
              <w:rPr>
                <w:rFonts w:cs="Simplified Arabic"/>
                <w:sz w:val="20"/>
                <w:szCs w:val="22"/>
                <w:rtl/>
              </w:rPr>
              <w:t>) ومو</w:t>
            </w:r>
            <w:r w:rsidRPr="00E2695B">
              <w:rPr>
                <w:rFonts w:cs="Simplified Arabic" w:hint="cs"/>
                <w:sz w:val="20"/>
                <w:szCs w:val="22"/>
                <w:rtl/>
              </w:rPr>
              <w:t>ئل</w:t>
            </w:r>
            <w:r w:rsidRPr="00E2695B">
              <w:rPr>
                <w:rFonts w:cs="Simplified Arabic"/>
                <w:sz w:val="20"/>
                <w:szCs w:val="22"/>
                <w:rtl/>
              </w:rPr>
              <w:t xml:space="preserve"> تعشيش </w:t>
            </w:r>
            <w:r w:rsidRPr="00E2695B">
              <w:rPr>
                <w:rFonts w:cs="Simplified Arabic" w:hint="cs"/>
                <w:sz w:val="20"/>
                <w:szCs w:val="22"/>
                <w:rtl/>
              </w:rPr>
              <w:t>ضروري</w:t>
            </w:r>
            <w:r w:rsidRPr="00E2695B">
              <w:rPr>
                <w:rFonts w:cs="Simplified Arabic"/>
                <w:sz w:val="20"/>
                <w:szCs w:val="22"/>
                <w:rtl/>
              </w:rPr>
              <w:t xml:space="preserve"> </w:t>
            </w:r>
            <w:r w:rsidRPr="00E2695B">
              <w:rPr>
                <w:rFonts w:cs="Simplified Arabic" w:hint="cs"/>
                <w:sz w:val="20"/>
                <w:szCs w:val="22"/>
                <w:rtl/>
              </w:rPr>
              <w:t>للفقمة المطوقة</w:t>
            </w:r>
            <w:r w:rsidRPr="00E2695B">
              <w:rPr>
                <w:rFonts w:cs="Simplified Arabic"/>
                <w:sz w:val="20"/>
                <w:szCs w:val="22"/>
                <w:rtl/>
              </w:rPr>
              <w:t xml:space="preserve"> (</w:t>
            </w:r>
            <w:r w:rsidRPr="00366E36">
              <w:rPr>
                <w:rFonts w:cs="Simplified Arabic"/>
                <w:i/>
                <w:iCs/>
                <w:sz w:val="20"/>
                <w:szCs w:val="22"/>
                <w:lang w:val="en-US"/>
              </w:rPr>
              <w:t>Pusa hispida botnica</w:t>
            </w:r>
            <w:r w:rsidRPr="00E2695B">
              <w:rPr>
                <w:rFonts w:cs="Simplified Arabic"/>
                <w:sz w:val="20"/>
                <w:szCs w:val="22"/>
                <w:rtl/>
              </w:rPr>
              <w:t xml:space="preserve">). </w:t>
            </w:r>
            <w:r w:rsidRPr="00E2695B">
              <w:rPr>
                <w:rFonts w:cs="Simplified Arabic" w:hint="cs"/>
                <w:sz w:val="20"/>
                <w:szCs w:val="22"/>
                <w:rtl/>
              </w:rPr>
              <w:t>و</w:t>
            </w:r>
            <w:r w:rsidRPr="00E2695B">
              <w:rPr>
                <w:rFonts w:cs="Simplified Arabic"/>
                <w:sz w:val="20"/>
                <w:szCs w:val="22"/>
                <w:rtl/>
              </w:rPr>
              <w:t>في</w:t>
            </w:r>
            <w:r w:rsidRPr="00E2695B">
              <w:rPr>
                <w:rFonts w:cs="Simplified Arabic" w:hint="cs"/>
                <w:sz w:val="20"/>
                <w:szCs w:val="22"/>
                <w:rtl/>
              </w:rPr>
              <w:t xml:space="preserve"> فصل</w:t>
            </w:r>
            <w:r w:rsidRPr="00E2695B">
              <w:rPr>
                <w:rFonts w:cs="Simplified Arabic"/>
                <w:sz w:val="20"/>
                <w:szCs w:val="22"/>
                <w:rtl/>
              </w:rPr>
              <w:t xml:space="preserve"> الصيف، تكون المنطقة </w:t>
            </w:r>
            <w:r w:rsidRPr="00E2695B">
              <w:rPr>
                <w:rFonts w:cs="Simplified Arabic" w:hint="cs"/>
                <w:sz w:val="20"/>
                <w:szCs w:val="22"/>
                <w:rtl/>
              </w:rPr>
              <w:t>موقع إنتاج</w:t>
            </w:r>
            <w:r w:rsidRPr="00E2695B">
              <w:rPr>
                <w:rFonts w:cs="Simplified Arabic"/>
                <w:sz w:val="20"/>
                <w:szCs w:val="22"/>
                <w:rtl/>
              </w:rPr>
              <w:t xml:space="preserve"> بسبب التعكر الناجم عن </w:t>
            </w:r>
            <w:r w:rsidRPr="00E2695B">
              <w:rPr>
                <w:rFonts w:cs="Simplified Arabic" w:hint="cs"/>
                <w:sz w:val="20"/>
                <w:szCs w:val="22"/>
                <w:rtl/>
              </w:rPr>
              <w:t>التصريف النهري</w:t>
            </w:r>
            <w:r w:rsidRPr="00E2695B">
              <w:rPr>
                <w:rFonts w:cs="Simplified Arabic"/>
                <w:sz w:val="20"/>
                <w:szCs w:val="22"/>
                <w:rtl/>
              </w:rPr>
              <w:t>، وعادة ما ي</w:t>
            </w:r>
            <w:r w:rsidRPr="00E2695B">
              <w:rPr>
                <w:rFonts w:cs="Simplified Arabic" w:hint="cs"/>
                <w:sz w:val="20"/>
                <w:szCs w:val="22"/>
                <w:rtl/>
              </w:rPr>
              <w:t>نحصر</w:t>
            </w:r>
            <w:r w:rsidRPr="00E2695B">
              <w:rPr>
                <w:rFonts w:cs="Simplified Arabic"/>
                <w:sz w:val="20"/>
                <w:szCs w:val="22"/>
                <w:rtl/>
              </w:rPr>
              <w:t xml:space="preserve"> الإنتاج الأولي </w:t>
            </w:r>
            <w:r w:rsidRPr="00E2695B">
              <w:rPr>
                <w:rFonts w:cs="Simplified Arabic" w:hint="cs"/>
                <w:sz w:val="20"/>
                <w:szCs w:val="22"/>
                <w:rtl/>
              </w:rPr>
              <w:t>في</w:t>
            </w:r>
            <w:r w:rsidRPr="00E2695B">
              <w:rPr>
                <w:rFonts w:cs="Simplified Arabic"/>
                <w:sz w:val="20"/>
                <w:szCs w:val="22"/>
                <w:rtl/>
              </w:rPr>
              <w:t xml:space="preserve"> منطقة ضوئية ضيقة (تتراوح </w:t>
            </w:r>
            <w:r w:rsidRPr="00E2695B">
              <w:rPr>
                <w:rFonts w:cs="Simplified Arabic" w:hint="cs"/>
                <w:sz w:val="20"/>
                <w:szCs w:val="22"/>
                <w:rtl/>
              </w:rPr>
              <w:t>أعماقها ما بين</w:t>
            </w:r>
            <w:r w:rsidRPr="00E2695B">
              <w:rPr>
                <w:rFonts w:cs="Simplified Arabic"/>
                <w:sz w:val="20"/>
                <w:szCs w:val="22"/>
                <w:rtl/>
              </w:rPr>
              <w:t xml:space="preserve"> </w:t>
            </w:r>
            <w:r w:rsidRPr="00E2695B">
              <w:rPr>
                <w:rFonts w:cs="Simplified Arabic" w:hint="cs"/>
                <w:sz w:val="20"/>
                <w:szCs w:val="22"/>
                <w:rtl/>
              </w:rPr>
              <w:t>متر واحد</w:t>
            </w:r>
            <w:r w:rsidRPr="00E2695B">
              <w:rPr>
                <w:rFonts w:cs="Simplified Arabic"/>
                <w:sz w:val="20"/>
                <w:szCs w:val="22"/>
                <w:rtl/>
              </w:rPr>
              <w:t xml:space="preserve"> و5 أمتار). </w:t>
            </w:r>
            <w:r w:rsidRPr="00E2695B">
              <w:rPr>
                <w:rFonts w:cs="Simplified Arabic" w:hint="cs"/>
                <w:sz w:val="20"/>
                <w:szCs w:val="22"/>
                <w:rtl/>
              </w:rPr>
              <w:t>ويؤدي الانخفاض الشديد في درجة ملوحة المياه إلى انخفاض</w:t>
            </w:r>
            <w:r w:rsidRPr="00E2695B">
              <w:rPr>
                <w:rFonts w:cs="Simplified Arabic"/>
                <w:sz w:val="20"/>
                <w:szCs w:val="22"/>
                <w:rtl/>
              </w:rPr>
              <w:t xml:space="preserve"> عدد الأنواع البحرية</w:t>
            </w:r>
            <w:r w:rsidRPr="00E2695B">
              <w:rPr>
                <w:rFonts w:cs="Simplified Arabic" w:hint="cs"/>
                <w:sz w:val="20"/>
                <w:szCs w:val="22"/>
                <w:rtl/>
              </w:rPr>
              <w:t>.</w:t>
            </w:r>
            <w:r w:rsidRPr="00E2695B">
              <w:rPr>
                <w:rFonts w:cs="Simplified Arabic"/>
                <w:sz w:val="20"/>
                <w:szCs w:val="22"/>
                <w:rtl/>
              </w:rPr>
              <w:t xml:space="preserve"> ومع ذلك</w:t>
            </w:r>
            <w:r w:rsidRPr="00E2695B">
              <w:rPr>
                <w:rFonts w:cs="Simplified Arabic" w:hint="cs"/>
                <w:sz w:val="20"/>
                <w:szCs w:val="22"/>
                <w:rtl/>
              </w:rPr>
              <w:t>، يرتفع</w:t>
            </w:r>
            <w:r w:rsidRPr="00E2695B">
              <w:rPr>
                <w:rFonts w:cs="Simplified Arabic"/>
                <w:sz w:val="20"/>
                <w:szCs w:val="22"/>
                <w:rtl/>
              </w:rPr>
              <w:t xml:space="preserve"> عدد الأنواع المستوطنة والمهددة لأن</w:t>
            </w:r>
            <w:r w:rsidRPr="00E2695B">
              <w:rPr>
                <w:rFonts w:cs="Simplified Arabic" w:hint="cs"/>
                <w:sz w:val="20"/>
                <w:szCs w:val="22"/>
                <w:rtl/>
              </w:rPr>
              <w:t xml:space="preserve"> هذه</w:t>
            </w:r>
            <w:r w:rsidRPr="00E2695B">
              <w:rPr>
                <w:rFonts w:cs="Simplified Arabic"/>
                <w:sz w:val="20"/>
                <w:szCs w:val="22"/>
                <w:rtl/>
              </w:rPr>
              <w:t xml:space="preserve"> المنطقة </w:t>
            </w:r>
            <w:r w:rsidRPr="00E2695B">
              <w:rPr>
                <w:rFonts w:cs="Simplified Arabic" w:hint="cs"/>
                <w:sz w:val="20"/>
                <w:szCs w:val="22"/>
                <w:rtl/>
              </w:rPr>
              <w:t>تشكل</w:t>
            </w:r>
            <w:r w:rsidRPr="00E2695B">
              <w:rPr>
                <w:rFonts w:cs="Simplified Arabic"/>
                <w:sz w:val="20"/>
                <w:szCs w:val="22"/>
                <w:rtl/>
              </w:rPr>
              <w:t xml:space="preserve"> الملاذ الأخير للأنواع التي </w:t>
            </w:r>
            <w:r w:rsidRPr="00E2695B">
              <w:rPr>
                <w:rFonts w:cs="Simplified Arabic" w:hint="cs"/>
                <w:sz w:val="20"/>
                <w:szCs w:val="22"/>
                <w:rtl/>
              </w:rPr>
              <w:t>تتراجع في اتجاه الشمال</w:t>
            </w:r>
            <w:r w:rsidRPr="00E2695B">
              <w:rPr>
                <w:rFonts w:cs="Simplified Arabic"/>
                <w:sz w:val="20"/>
                <w:szCs w:val="22"/>
                <w:rtl/>
              </w:rPr>
              <w:t xml:space="preserve"> بعد آخر </w:t>
            </w:r>
            <w:r w:rsidRPr="00E2695B">
              <w:rPr>
                <w:rFonts w:cs="Simplified Arabic" w:hint="cs"/>
                <w:sz w:val="20"/>
                <w:szCs w:val="22"/>
                <w:rtl/>
              </w:rPr>
              <w:t>غمر جليدي</w:t>
            </w:r>
            <w:r w:rsidRPr="00E2695B">
              <w:rPr>
                <w:rFonts w:cs="Simplified Arabic"/>
                <w:sz w:val="20"/>
                <w:szCs w:val="22"/>
                <w:rtl/>
              </w:rPr>
              <w:t xml:space="preserve"> (</w:t>
            </w:r>
            <w:r w:rsidRPr="00E2695B">
              <w:rPr>
                <w:rFonts w:cs="Simplified Arabic" w:hint="cs"/>
                <w:sz w:val="20"/>
                <w:szCs w:val="22"/>
                <w:rtl/>
              </w:rPr>
              <w:t>000 10 سنة قبل الحاضر</w:t>
            </w:r>
            <w:r w:rsidRPr="00E2695B">
              <w:rPr>
                <w:rFonts w:cs="Simplified Arabic"/>
                <w:sz w:val="20"/>
                <w:szCs w:val="22"/>
                <w:rtl/>
              </w:rPr>
              <w:t xml:space="preserve">). وهي منطقة تكاثر مهمة للأسماك الساحلية ومنطقة تجمع مهمة </w:t>
            </w:r>
            <w:r w:rsidRPr="00E2695B">
              <w:rPr>
                <w:rFonts w:cs="Simplified Arabic" w:hint="cs"/>
                <w:sz w:val="20"/>
                <w:szCs w:val="22"/>
                <w:rtl/>
              </w:rPr>
              <w:t>لعدة</w:t>
            </w:r>
            <w:r w:rsidRPr="00E2695B">
              <w:rPr>
                <w:rFonts w:cs="Simplified Arabic"/>
                <w:sz w:val="20"/>
                <w:szCs w:val="22"/>
                <w:rtl/>
              </w:rPr>
              <w:t xml:space="preserve"> أنواع </w:t>
            </w:r>
            <w:r w:rsidRPr="00E2695B">
              <w:rPr>
                <w:rFonts w:cs="Simplified Arabic" w:hint="cs"/>
                <w:sz w:val="20"/>
                <w:szCs w:val="22"/>
                <w:rtl/>
              </w:rPr>
              <w:t>نهرية السرء</w:t>
            </w:r>
            <w:r w:rsidRPr="00E2695B">
              <w:rPr>
                <w:rFonts w:cs="Simplified Arabic"/>
                <w:sz w:val="20"/>
                <w:szCs w:val="22"/>
                <w:rtl/>
              </w:rPr>
              <w:t xml:space="preserve">. </w:t>
            </w:r>
            <w:r w:rsidRPr="00E2695B">
              <w:rPr>
                <w:rFonts w:cs="Simplified Arabic" w:hint="cs"/>
                <w:sz w:val="20"/>
                <w:szCs w:val="22"/>
                <w:rtl/>
              </w:rPr>
              <w:t>وتعتبر أنهار</w:t>
            </w:r>
            <w:r w:rsidRPr="00E2695B">
              <w:rPr>
                <w:rFonts w:cs="Simplified Arabic"/>
                <w:sz w:val="20"/>
                <w:szCs w:val="22"/>
                <w:rtl/>
              </w:rPr>
              <w:t xml:space="preserve"> تورن</w:t>
            </w:r>
            <w:r w:rsidRPr="00E2695B">
              <w:rPr>
                <w:rFonts w:cs="Simplified Arabic" w:hint="cs"/>
                <w:sz w:val="20"/>
                <w:szCs w:val="22"/>
                <w:rtl/>
              </w:rPr>
              <w:t>ي</w:t>
            </w:r>
            <w:r w:rsidRPr="00E2695B">
              <w:rPr>
                <w:rFonts w:cs="Simplified Arabic"/>
                <w:sz w:val="20"/>
                <w:szCs w:val="22"/>
                <w:rtl/>
              </w:rPr>
              <w:t xml:space="preserve"> وكاليكس ورا</w:t>
            </w:r>
            <w:r w:rsidRPr="00E2695B">
              <w:rPr>
                <w:rFonts w:cs="Simplified Arabic" w:hint="cs"/>
                <w:sz w:val="20"/>
                <w:szCs w:val="22"/>
                <w:rtl/>
              </w:rPr>
              <w:t>ينيا</w:t>
            </w:r>
            <w:r w:rsidRPr="00E2695B">
              <w:rPr>
                <w:rFonts w:cs="Simplified Arabic"/>
                <w:sz w:val="20"/>
                <w:szCs w:val="22"/>
                <w:rtl/>
              </w:rPr>
              <w:t>، وتصب</w:t>
            </w:r>
            <w:r w:rsidRPr="00E2695B">
              <w:rPr>
                <w:rFonts w:cs="Simplified Arabic" w:hint="cs"/>
                <w:sz w:val="20"/>
                <w:szCs w:val="22"/>
                <w:rtl/>
              </w:rPr>
              <w:t xml:space="preserve"> جميعها</w:t>
            </w:r>
            <w:r w:rsidRPr="00E2695B">
              <w:rPr>
                <w:rFonts w:cs="Simplified Arabic"/>
                <w:sz w:val="20"/>
                <w:szCs w:val="22"/>
                <w:rtl/>
              </w:rPr>
              <w:t xml:space="preserve"> في الجزء الشمالي من المنطقة، </w:t>
            </w:r>
            <w:r w:rsidRPr="00E2695B">
              <w:rPr>
                <w:rFonts w:cs="Simplified Arabic" w:hint="cs"/>
                <w:sz w:val="20"/>
                <w:szCs w:val="22"/>
                <w:rtl/>
              </w:rPr>
              <w:t>أماكن تسرية</w:t>
            </w:r>
            <w:r w:rsidRPr="00E2695B">
              <w:rPr>
                <w:rFonts w:cs="Simplified Arabic"/>
                <w:sz w:val="20"/>
                <w:szCs w:val="22"/>
                <w:rtl/>
              </w:rPr>
              <w:t xml:space="preserve"> ذات أهمية إقليمية </w:t>
            </w:r>
            <w:r w:rsidRPr="00E2695B">
              <w:rPr>
                <w:rFonts w:cs="Simplified Arabic" w:hint="cs"/>
                <w:sz w:val="20"/>
                <w:szCs w:val="22"/>
                <w:rtl/>
              </w:rPr>
              <w:t>للمجموعات البلطيقية</w:t>
            </w:r>
            <w:r w:rsidRPr="00E2695B">
              <w:rPr>
                <w:rFonts w:cs="Simplified Arabic"/>
                <w:sz w:val="20"/>
                <w:szCs w:val="22"/>
                <w:rtl/>
              </w:rPr>
              <w:t xml:space="preserve"> </w:t>
            </w:r>
            <w:r w:rsidRPr="00E2695B">
              <w:rPr>
                <w:rFonts w:cs="Simplified Arabic" w:hint="cs"/>
                <w:sz w:val="20"/>
                <w:szCs w:val="22"/>
                <w:rtl/>
              </w:rPr>
              <w:t>للسلمون</w:t>
            </w:r>
            <w:r w:rsidRPr="00E2695B">
              <w:rPr>
                <w:rFonts w:cs="Simplified Arabic"/>
                <w:sz w:val="20"/>
                <w:szCs w:val="22"/>
                <w:rtl/>
              </w:rPr>
              <w:t xml:space="preserve"> الأطلسي</w:t>
            </w:r>
            <w:r w:rsidRPr="00E2695B">
              <w:rPr>
                <w:rFonts w:cs="Simplified Arabic" w:hint="cs"/>
                <w:sz w:val="20"/>
                <w:szCs w:val="22"/>
                <w:rtl/>
              </w:rPr>
              <w:t xml:space="preserve"> </w:t>
            </w:r>
            <w:r w:rsidRPr="00421CD7">
              <w:rPr>
                <w:rFonts w:cs="Simplified Arabic" w:hint="cs"/>
                <w:i/>
                <w:iCs/>
                <w:sz w:val="20"/>
                <w:szCs w:val="22"/>
                <w:rtl/>
              </w:rPr>
              <w:t>(</w:t>
            </w:r>
            <w:r w:rsidRPr="00366E36">
              <w:rPr>
                <w:rFonts w:cs="Simplified Arabic"/>
                <w:i/>
                <w:iCs/>
                <w:sz w:val="20"/>
                <w:szCs w:val="22"/>
                <w:lang w:val="en-US"/>
              </w:rPr>
              <w:t>Salmo salar</w:t>
            </w:r>
            <w:r w:rsidRPr="00421CD7">
              <w:rPr>
                <w:rFonts w:cs="Simplified Arabic" w:hint="cs"/>
                <w:i/>
                <w:iCs/>
                <w:sz w:val="20"/>
                <w:szCs w:val="22"/>
                <w:rtl/>
              </w:rPr>
              <w:t>)</w:t>
            </w:r>
            <w:r w:rsidRPr="00E2695B">
              <w:rPr>
                <w:rFonts w:cs="Simplified Arabic" w:hint="cs"/>
                <w:sz w:val="20"/>
                <w:szCs w:val="22"/>
                <w:rtl/>
              </w:rPr>
              <w:t>.</w:t>
            </w:r>
            <w:r w:rsidRPr="00E2695B">
              <w:rPr>
                <w:rFonts w:cs="Simplified Arabic"/>
                <w:sz w:val="20"/>
                <w:szCs w:val="22"/>
                <w:rtl/>
              </w:rPr>
              <w:t xml:space="preserve"> </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L</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t>2-</w:t>
            </w:r>
            <w:r w:rsidRPr="00E2695B">
              <w:rPr>
                <w:bCs/>
                <w:sz w:val="20"/>
                <w:szCs w:val="22"/>
                <w:rtl/>
              </w:rPr>
              <w:t xml:space="preserve"> أرخبيل كفاركين</w:t>
            </w:r>
          </w:p>
          <w:p w:rsidR="000A5DEA" w:rsidRPr="00366E36" w:rsidRDefault="000A5DEA" w:rsidP="00CD26C5">
            <w:pPr>
              <w:numPr>
                <w:ilvl w:val="0"/>
                <w:numId w:val="126"/>
              </w:numPr>
              <w:suppressAutoHyphens/>
              <w:snapToGrid w:val="0"/>
              <w:spacing w:after="0" w:line="204" w:lineRule="auto"/>
              <w:rPr>
                <w:rStyle w:val="ItalicBlue"/>
                <w:i w:val="0"/>
                <w:iCs w:val="0"/>
                <w:sz w:val="20"/>
              </w:rPr>
            </w:pPr>
            <w:r w:rsidRPr="00E2695B">
              <w:rPr>
                <w:sz w:val="20"/>
                <w:szCs w:val="22"/>
                <w:rtl/>
              </w:rPr>
              <w:t>الموقع: يقع أرخبيل كفارك</w:t>
            </w:r>
            <w:r w:rsidRPr="00E2695B">
              <w:rPr>
                <w:rFonts w:hint="cs"/>
                <w:sz w:val="20"/>
                <w:szCs w:val="22"/>
                <w:rtl/>
              </w:rPr>
              <w:t>ي</w:t>
            </w:r>
            <w:r w:rsidRPr="00E2695B">
              <w:rPr>
                <w:sz w:val="20"/>
                <w:szCs w:val="22"/>
                <w:rtl/>
              </w:rPr>
              <w:t xml:space="preserve">ن في خليج بوثنيا في الجزء الشمالي من بحر البلطيق. وتبلغ المساحة الإجمالية للأرخبيل </w:t>
            </w:r>
            <w:r w:rsidRPr="00E2695B">
              <w:rPr>
                <w:rFonts w:hint="cs"/>
                <w:sz w:val="20"/>
                <w:szCs w:val="22"/>
                <w:rtl/>
              </w:rPr>
              <w:t>364 10</w:t>
            </w:r>
            <w:r w:rsidRPr="00E2695B">
              <w:rPr>
                <w:sz w:val="20"/>
                <w:szCs w:val="22"/>
                <w:rtl/>
              </w:rPr>
              <w:t xml:space="preserve"> كيلومتراً مربعاً، </w:t>
            </w:r>
            <w:r>
              <w:rPr>
                <w:rFonts w:hint="cs"/>
                <w:sz w:val="20"/>
                <w:szCs w:val="22"/>
                <w:rtl/>
              </w:rPr>
              <w:t>ومنها</w:t>
            </w:r>
            <w:r w:rsidRPr="00E2695B">
              <w:rPr>
                <w:sz w:val="20"/>
                <w:szCs w:val="22"/>
                <w:rtl/>
              </w:rPr>
              <w:t xml:space="preserve"> 968 كيلومتراً مربعاً</w:t>
            </w:r>
            <w:r>
              <w:rPr>
                <w:rFonts w:hint="cs"/>
                <w:sz w:val="20"/>
                <w:szCs w:val="22"/>
                <w:rtl/>
              </w:rPr>
              <w:t xml:space="preserve"> في البحر</w:t>
            </w:r>
            <w:r w:rsidRPr="00E2695B">
              <w:rPr>
                <w:sz w:val="20"/>
                <w:szCs w:val="22"/>
                <w:rtl/>
              </w:rPr>
              <w:t xml:space="preserve">. </w:t>
            </w:r>
            <w:r w:rsidRPr="00E2695B">
              <w:rPr>
                <w:rFonts w:hint="cs"/>
                <w:sz w:val="20"/>
                <w:szCs w:val="22"/>
                <w:rtl/>
              </w:rPr>
              <w:t xml:space="preserve">ويبلغ </w:t>
            </w:r>
            <w:r w:rsidRPr="00E2695B">
              <w:rPr>
                <w:sz w:val="20"/>
                <w:szCs w:val="22"/>
                <w:rtl/>
              </w:rPr>
              <w:t xml:space="preserve">متوسط عمق المنطقة 22 </w:t>
            </w:r>
            <w:r w:rsidRPr="00E2695B">
              <w:rPr>
                <w:rFonts w:hint="cs"/>
                <w:sz w:val="20"/>
                <w:szCs w:val="22"/>
                <w:rtl/>
              </w:rPr>
              <w:t>متراً</w:t>
            </w:r>
            <w:r w:rsidRPr="00E2695B">
              <w:rPr>
                <w:sz w:val="20"/>
                <w:szCs w:val="22"/>
                <w:rtl/>
              </w:rPr>
              <w:t xml:space="preserve">، </w:t>
            </w:r>
            <w:r w:rsidRPr="00E2695B">
              <w:rPr>
                <w:rFonts w:hint="cs"/>
                <w:sz w:val="20"/>
                <w:szCs w:val="22"/>
                <w:rtl/>
              </w:rPr>
              <w:t xml:space="preserve">وتصل </w:t>
            </w:r>
            <w:r w:rsidRPr="00E2695B">
              <w:rPr>
                <w:sz w:val="20"/>
                <w:szCs w:val="22"/>
                <w:rtl/>
              </w:rPr>
              <w:t xml:space="preserve">أعمق نقطة في البحر المفتوح </w:t>
            </w:r>
            <w:r w:rsidRPr="00E2695B">
              <w:rPr>
                <w:rFonts w:hint="cs"/>
                <w:sz w:val="20"/>
                <w:szCs w:val="22"/>
                <w:rtl/>
              </w:rPr>
              <w:t>إلى</w:t>
            </w:r>
            <w:r w:rsidRPr="00E2695B">
              <w:rPr>
                <w:sz w:val="20"/>
                <w:szCs w:val="22"/>
                <w:rtl/>
              </w:rPr>
              <w:t xml:space="preserve"> 133 </w:t>
            </w:r>
            <w:r w:rsidRPr="00E2695B">
              <w:rPr>
                <w:rFonts w:hint="cs"/>
                <w:sz w:val="20"/>
                <w:szCs w:val="22"/>
                <w:rtl/>
              </w:rPr>
              <w:t>متراً</w:t>
            </w:r>
            <w:r w:rsidRPr="00E2695B">
              <w:rPr>
                <w:sz w:val="20"/>
                <w:szCs w:val="22"/>
              </w:rPr>
              <w:t>.</w:t>
            </w:r>
          </w:p>
          <w:p w:rsidR="000A5DEA" w:rsidRPr="009E01BD" w:rsidRDefault="000A5DEA" w:rsidP="00CD26C5">
            <w:pPr>
              <w:numPr>
                <w:ilvl w:val="0"/>
                <w:numId w:val="126"/>
              </w:numPr>
              <w:suppressAutoHyphens/>
              <w:snapToGrid w:val="0"/>
              <w:spacing w:after="0" w:line="204" w:lineRule="auto"/>
              <w:rPr>
                <w:i/>
                <w:iCs/>
                <w:sz w:val="20"/>
                <w:szCs w:val="22"/>
              </w:rPr>
            </w:pPr>
            <w:r w:rsidRPr="009E01BD">
              <w:rPr>
                <w:rStyle w:val="ItalicBlue"/>
                <w:rFonts w:hAnsi="Times New Roman" w:cs="Simplified Arabic"/>
                <w:i w:val="0"/>
                <w:iCs w:val="0"/>
                <w:color w:val="auto"/>
                <w:sz w:val="20"/>
                <w:rtl/>
              </w:rPr>
              <w:t>يتألف أرخبيل كفارك</w:t>
            </w:r>
            <w:r w:rsidRPr="009E01BD">
              <w:rPr>
                <w:rStyle w:val="ItalicBlue"/>
                <w:rFonts w:hAnsi="Times New Roman" w:cs="Simplified Arabic" w:hint="cs"/>
                <w:i w:val="0"/>
                <w:iCs w:val="0"/>
                <w:color w:val="auto"/>
                <w:sz w:val="20"/>
                <w:rtl/>
              </w:rPr>
              <w:t>ي</w:t>
            </w:r>
            <w:r w:rsidRPr="009E01BD">
              <w:rPr>
                <w:rStyle w:val="ItalicBlue"/>
                <w:rFonts w:hAnsi="Times New Roman" w:cs="Simplified Arabic"/>
                <w:i w:val="0"/>
                <w:iCs w:val="0"/>
                <w:color w:val="auto"/>
                <w:sz w:val="20"/>
                <w:rtl/>
              </w:rPr>
              <w:t>ن من م</w:t>
            </w:r>
            <w:r w:rsidRPr="009E01BD">
              <w:rPr>
                <w:rStyle w:val="ItalicBlue"/>
                <w:rFonts w:hAnsi="Times New Roman" w:cs="Simplified Arabic" w:hint="cs"/>
                <w:i w:val="0"/>
                <w:iCs w:val="0"/>
                <w:color w:val="auto"/>
                <w:sz w:val="20"/>
                <w:rtl/>
              </w:rPr>
              <w:t>مر</w:t>
            </w:r>
            <w:r w:rsidRPr="009E01BD">
              <w:rPr>
                <w:rStyle w:val="ItalicBlue"/>
                <w:rFonts w:hAnsi="Times New Roman" w:cs="Simplified Arabic"/>
                <w:i w:val="0"/>
                <w:iCs w:val="0"/>
                <w:color w:val="auto"/>
                <w:sz w:val="20"/>
                <w:rtl/>
              </w:rPr>
              <w:t xml:space="preserve"> ضيق (26 </w:t>
            </w:r>
            <w:r w:rsidRPr="009E01BD">
              <w:rPr>
                <w:rStyle w:val="ItalicBlue"/>
                <w:rFonts w:hAnsi="Times New Roman" w:cs="Simplified Arabic" w:hint="cs"/>
                <w:i w:val="0"/>
                <w:iCs w:val="0"/>
                <w:color w:val="auto"/>
                <w:sz w:val="20"/>
                <w:rtl/>
              </w:rPr>
              <w:t>كيلومتراً</w:t>
            </w:r>
            <w:r w:rsidRPr="009E01BD">
              <w:rPr>
                <w:rStyle w:val="ItalicBlue"/>
                <w:rFonts w:hAnsi="Times New Roman" w:cs="Simplified Arabic"/>
                <w:i w:val="0"/>
                <w:iCs w:val="0"/>
                <w:color w:val="auto"/>
                <w:sz w:val="20"/>
                <w:rtl/>
              </w:rPr>
              <w:t xml:space="preserve">) بين السويد وفنلندا، </w:t>
            </w:r>
            <w:r w:rsidRPr="009E01BD">
              <w:rPr>
                <w:rStyle w:val="ItalicBlue"/>
                <w:rFonts w:hAnsi="Times New Roman" w:cs="Simplified Arabic" w:hint="cs"/>
                <w:i w:val="0"/>
                <w:iCs w:val="0"/>
                <w:color w:val="auto"/>
                <w:sz w:val="20"/>
                <w:rtl/>
              </w:rPr>
              <w:t>وعدد وافر</w:t>
            </w:r>
            <w:r w:rsidRPr="009E01BD">
              <w:rPr>
                <w:rStyle w:val="ItalicBlue"/>
                <w:rFonts w:hAnsi="Times New Roman" w:cs="Simplified Arabic"/>
                <w:i w:val="0"/>
                <w:iCs w:val="0"/>
                <w:color w:val="auto"/>
                <w:sz w:val="20"/>
                <w:rtl/>
              </w:rPr>
              <w:t xml:space="preserve"> من الجزر وال</w:t>
            </w:r>
            <w:r w:rsidRPr="009E01BD">
              <w:rPr>
                <w:rStyle w:val="ItalicBlue"/>
                <w:rFonts w:hAnsi="Times New Roman" w:cs="Simplified Arabic" w:hint="cs"/>
                <w:i w:val="0"/>
                <w:iCs w:val="0"/>
                <w:color w:val="auto"/>
                <w:sz w:val="20"/>
                <w:rtl/>
              </w:rPr>
              <w:t>جزر الصغيرة</w:t>
            </w:r>
            <w:r w:rsidRPr="009E01BD">
              <w:rPr>
                <w:rStyle w:val="ItalicBlue"/>
                <w:rFonts w:hAnsi="Times New Roman" w:cs="Simplified Arabic"/>
                <w:i w:val="0"/>
                <w:iCs w:val="0"/>
                <w:color w:val="auto"/>
                <w:sz w:val="20"/>
                <w:rtl/>
              </w:rPr>
              <w:t xml:space="preserve"> على كلا الجانبين. </w:t>
            </w:r>
            <w:r w:rsidRPr="009E01BD">
              <w:rPr>
                <w:rStyle w:val="ItalicBlue"/>
                <w:rFonts w:hAnsi="Times New Roman" w:cs="Simplified Arabic" w:hint="cs"/>
                <w:i w:val="0"/>
                <w:iCs w:val="0"/>
                <w:color w:val="auto"/>
                <w:sz w:val="20"/>
                <w:rtl/>
              </w:rPr>
              <w:t>و</w:t>
            </w:r>
            <w:r w:rsidRPr="009E01BD">
              <w:rPr>
                <w:rStyle w:val="ItalicBlue"/>
                <w:rFonts w:hAnsi="Times New Roman" w:cs="Simplified Arabic"/>
                <w:i w:val="0"/>
                <w:iCs w:val="0"/>
                <w:color w:val="auto"/>
                <w:sz w:val="20"/>
                <w:rtl/>
              </w:rPr>
              <w:t>يقسم أرخبيل كفارك</w:t>
            </w:r>
            <w:r w:rsidRPr="009E01BD">
              <w:rPr>
                <w:rStyle w:val="ItalicBlue"/>
                <w:rFonts w:hAnsi="Times New Roman" w:cs="Simplified Arabic" w:hint="cs"/>
                <w:i w:val="0"/>
                <w:iCs w:val="0"/>
                <w:color w:val="auto"/>
                <w:sz w:val="20"/>
                <w:rtl/>
              </w:rPr>
              <w:t>ي</w:t>
            </w:r>
            <w:r w:rsidRPr="009E01BD">
              <w:rPr>
                <w:rStyle w:val="ItalicBlue"/>
                <w:rFonts w:hAnsi="Times New Roman" w:cs="Simplified Arabic"/>
                <w:i w:val="0"/>
                <w:iCs w:val="0"/>
                <w:color w:val="auto"/>
                <w:sz w:val="20"/>
                <w:rtl/>
              </w:rPr>
              <w:t>ن أيضاً خليج بوثنيا، ل</w:t>
            </w:r>
            <w:r w:rsidRPr="009E01BD">
              <w:rPr>
                <w:rStyle w:val="ItalicBlue"/>
                <w:rFonts w:hAnsi="Times New Roman" w:cs="Simplified Arabic" w:hint="cs"/>
                <w:i w:val="0"/>
                <w:iCs w:val="0"/>
                <w:color w:val="auto"/>
                <w:sz w:val="20"/>
                <w:rtl/>
              </w:rPr>
              <w:t>يشكل</w:t>
            </w:r>
            <w:r w:rsidRPr="009E01BD">
              <w:rPr>
                <w:rStyle w:val="ItalicBlue"/>
                <w:rFonts w:hAnsi="Times New Roman" w:cs="Simplified Arabic"/>
                <w:i w:val="0"/>
                <w:iCs w:val="0"/>
                <w:color w:val="auto"/>
                <w:sz w:val="20"/>
                <w:rtl/>
              </w:rPr>
              <w:t xml:space="preserve"> عتبة ضحلة </w:t>
            </w:r>
            <w:r w:rsidRPr="009E01BD">
              <w:rPr>
                <w:rStyle w:val="ItalicBlue"/>
                <w:rFonts w:hAnsi="Times New Roman" w:cs="Simplified Arabic" w:hint="cs"/>
                <w:i w:val="0"/>
                <w:iCs w:val="0"/>
                <w:color w:val="auto"/>
                <w:sz w:val="20"/>
                <w:rtl/>
              </w:rPr>
              <w:t>مغمورة</w:t>
            </w:r>
            <w:r w:rsidRPr="009E01BD">
              <w:rPr>
                <w:rStyle w:val="ItalicBlue"/>
                <w:rFonts w:hAnsi="Times New Roman" w:cs="Simplified Arabic"/>
                <w:i w:val="0"/>
                <w:iCs w:val="0"/>
                <w:color w:val="auto"/>
                <w:sz w:val="20"/>
                <w:rtl/>
              </w:rPr>
              <w:t xml:space="preserve"> (أقصى عمق</w:t>
            </w:r>
            <w:r w:rsidRPr="009E01BD">
              <w:rPr>
                <w:rStyle w:val="ItalicBlue"/>
                <w:rFonts w:hAnsi="Times New Roman" w:cs="Simplified Arabic" w:hint="cs"/>
                <w:i w:val="0"/>
                <w:iCs w:val="0"/>
                <w:color w:val="auto"/>
                <w:sz w:val="20"/>
                <w:rtl/>
              </w:rPr>
              <w:t xml:space="preserve"> لها</w:t>
            </w:r>
            <w:r w:rsidRPr="009E01BD">
              <w:rPr>
                <w:rStyle w:val="ItalicBlue"/>
                <w:rFonts w:hAnsi="Times New Roman" w:cs="Simplified Arabic"/>
                <w:i w:val="0"/>
                <w:iCs w:val="0"/>
                <w:color w:val="auto"/>
                <w:sz w:val="20"/>
                <w:rtl/>
              </w:rPr>
              <w:t xml:space="preserve"> 26 م</w:t>
            </w:r>
            <w:r w:rsidRPr="009E01BD">
              <w:rPr>
                <w:rStyle w:val="ItalicBlue"/>
                <w:rFonts w:hAnsi="Times New Roman" w:cs="Simplified Arabic" w:hint="cs"/>
                <w:i w:val="0"/>
                <w:iCs w:val="0"/>
                <w:color w:val="auto"/>
                <w:sz w:val="20"/>
                <w:rtl/>
              </w:rPr>
              <w:t>تراً</w:t>
            </w:r>
            <w:r w:rsidRPr="009E01BD">
              <w:rPr>
                <w:rStyle w:val="ItalicBlue"/>
                <w:rFonts w:hAnsi="Times New Roman" w:cs="Simplified Arabic"/>
                <w:i w:val="0"/>
                <w:iCs w:val="0"/>
                <w:color w:val="auto"/>
                <w:sz w:val="20"/>
                <w:rtl/>
              </w:rPr>
              <w:t xml:space="preserve">) بين خليج بوثينيان في الشمال وبحر بوتنيان في الجنوب. </w:t>
            </w:r>
            <w:r w:rsidRPr="009E01BD">
              <w:rPr>
                <w:rStyle w:val="ItalicBlue"/>
                <w:rFonts w:hAnsi="Times New Roman" w:cs="Simplified Arabic" w:hint="cs"/>
                <w:i w:val="0"/>
                <w:iCs w:val="0"/>
                <w:color w:val="auto"/>
                <w:sz w:val="20"/>
                <w:rtl/>
              </w:rPr>
              <w:t>و</w:t>
            </w:r>
            <w:r w:rsidRPr="009E01BD">
              <w:rPr>
                <w:rStyle w:val="ItalicBlue"/>
                <w:rFonts w:hAnsi="Times New Roman" w:cs="Simplified Arabic"/>
                <w:i w:val="0"/>
                <w:iCs w:val="0"/>
                <w:color w:val="auto"/>
                <w:sz w:val="20"/>
                <w:rtl/>
              </w:rPr>
              <w:t>تتميز المنطقة بمناظرها الفريدة</w:t>
            </w:r>
            <w:r w:rsidRPr="009E01BD">
              <w:rPr>
                <w:rStyle w:val="ItalicBlue"/>
                <w:rFonts w:hAnsi="Times New Roman" w:cs="Simplified Arabic" w:hint="cs"/>
                <w:i w:val="0"/>
                <w:iCs w:val="0"/>
                <w:color w:val="auto"/>
                <w:sz w:val="20"/>
                <w:rtl/>
              </w:rPr>
              <w:t xml:space="preserve"> التي تتكون</w:t>
            </w:r>
            <w:r w:rsidRPr="009E01BD">
              <w:rPr>
                <w:rStyle w:val="ItalicBlue"/>
                <w:rFonts w:hAnsi="Times New Roman" w:cs="Simplified Arabic"/>
                <w:i w:val="0"/>
                <w:iCs w:val="0"/>
                <w:color w:val="auto"/>
                <w:sz w:val="20"/>
                <w:rtl/>
              </w:rPr>
              <w:t xml:space="preserve"> من آلاف تشكيلات</w:t>
            </w:r>
            <w:r w:rsidRPr="009E01BD">
              <w:rPr>
                <w:rStyle w:val="ItalicBlue"/>
                <w:rFonts w:hAnsi="Times New Roman" w:cs="Simplified Arabic" w:hint="cs"/>
                <w:i w:val="0"/>
                <w:iCs w:val="0"/>
                <w:color w:val="auto"/>
                <w:sz w:val="20"/>
                <w:rtl/>
              </w:rPr>
              <w:t xml:space="preserve"> الركام الجليدي</w:t>
            </w:r>
            <w:r w:rsidRPr="009E01BD">
              <w:rPr>
                <w:rStyle w:val="ItalicBlue"/>
                <w:rFonts w:hAnsi="Times New Roman" w:cs="Simplified Arabic"/>
                <w:i w:val="0"/>
                <w:iCs w:val="0"/>
                <w:color w:val="auto"/>
                <w:sz w:val="20"/>
                <w:rtl/>
              </w:rPr>
              <w:t xml:space="preserve"> المختلفة التي تشكلت خلال ال</w:t>
            </w:r>
            <w:r w:rsidRPr="009E01BD">
              <w:rPr>
                <w:rStyle w:val="ItalicBlue"/>
                <w:rFonts w:hAnsi="Times New Roman" w:cs="Simplified Arabic" w:hint="cs"/>
                <w:i w:val="0"/>
                <w:iCs w:val="0"/>
                <w:color w:val="auto"/>
                <w:sz w:val="20"/>
                <w:rtl/>
              </w:rPr>
              <w:t>غمر الجليدي</w:t>
            </w:r>
            <w:r w:rsidRPr="009E01BD">
              <w:rPr>
                <w:rStyle w:val="ItalicBlue"/>
                <w:rFonts w:hAnsi="Times New Roman" w:cs="Simplified Arabic"/>
                <w:i w:val="0"/>
                <w:iCs w:val="0"/>
                <w:color w:val="auto"/>
                <w:sz w:val="20"/>
                <w:rtl/>
              </w:rPr>
              <w:t xml:space="preserve"> الأخير (</w:t>
            </w:r>
            <w:r w:rsidRPr="009E01BD">
              <w:rPr>
                <w:rStyle w:val="ItalicBlue"/>
                <w:rFonts w:hAnsi="Times New Roman" w:cs="Simplified Arabic" w:hint="cs"/>
                <w:i w:val="0"/>
                <w:iCs w:val="0"/>
                <w:color w:val="auto"/>
                <w:sz w:val="20"/>
                <w:rtl/>
              </w:rPr>
              <w:t>000 10</w:t>
            </w:r>
            <w:r w:rsidRPr="009E01BD">
              <w:rPr>
                <w:rStyle w:val="ItalicBlue"/>
                <w:rFonts w:hAnsi="Times New Roman" w:cs="Simplified Arabic"/>
                <w:i w:val="0"/>
                <w:iCs w:val="0"/>
                <w:color w:val="auto"/>
                <w:sz w:val="20"/>
                <w:rtl/>
              </w:rPr>
              <w:t xml:space="preserve"> – </w:t>
            </w:r>
            <w:r w:rsidRPr="009E01BD">
              <w:rPr>
                <w:rStyle w:val="ItalicBlue"/>
                <w:rFonts w:hAnsi="Times New Roman" w:cs="Simplified Arabic" w:hint="cs"/>
                <w:i w:val="0"/>
                <w:iCs w:val="0"/>
                <w:color w:val="auto"/>
                <w:sz w:val="20"/>
                <w:rtl/>
              </w:rPr>
              <w:t>000 8 سنة قبل الحاضر</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وتتعرض</w:t>
            </w:r>
            <w:r w:rsidRPr="009E01BD">
              <w:rPr>
                <w:rStyle w:val="ItalicBlue"/>
                <w:rFonts w:hAnsi="Times New Roman" w:cs="Simplified Arabic"/>
                <w:i w:val="0"/>
                <w:iCs w:val="0"/>
                <w:color w:val="auto"/>
                <w:sz w:val="20"/>
                <w:rtl/>
              </w:rPr>
              <w:t xml:space="preserve"> المنطقة </w:t>
            </w:r>
            <w:r w:rsidRPr="009E01BD">
              <w:rPr>
                <w:rStyle w:val="ItalicBlue"/>
                <w:rFonts w:hAnsi="Times New Roman" w:cs="Simplified Arabic" w:hint="cs"/>
                <w:i w:val="0"/>
                <w:iCs w:val="0"/>
                <w:color w:val="auto"/>
                <w:sz w:val="20"/>
                <w:rtl/>
              </w:rPr>
              <w:t>للتغيير على نحو</w:t>
            </w:r>
            <w:r w:rsidRPr="009E01BD">
              <w:rPr>
                <w:rStyle w:val="ItalicBlue"/>
                <w:rFonts w:hAnsi="Times New Roman" w:cs="Simplified Arabic"/>
                <w:i w:val="0"/>
                <w:iCs w:val="0"/>
                <w:color w:val="auto"/>
                <w:sz w:val="20"/>
                <w:rtl/>
              </w:rPr>
              <w:t xml:space="preserve"> مستمر. </w:t>
            </w:r>
            <w:r w:rsidRPr="009E01BD">
              <w:rPr>
                <w:rStyle w:val="ItalicBlue"/>
                <w:rFonts w:hAnsi="Times New Roman" w:cs="Simplified Arabic" w:hint="cs"/>
                <w:i w:val="0"/>
                <w:iCs w:val="0"/>
                <w:color w:val="auto"/>
                <w:sz w:val="20"/>
                <w:rtl/>
              </w:rPr>
              <w:t>ويؤثر ال</w:t>
            </w:r>
            <w:r w:rsidRPr="009E01BD">
              <w:rPr>
                <w:rStyle w:val="ItalicBlue"/>
                <w:rFonts w:hAnsi="Times New Roman" w:cs="Simplified Arabic"/>
                <w:i w:val="0"/>
                <w:iCs w:val="0"/>
                <w:color w:val="auto"/>
                <w:sz w:val="20"/>
                <w:rtl/>
              </w:rPr>
              <w:t>ارتفاع</w:t>
            </w:r>
            <w:r w:rsidRPr="009E01BD">
              <w:rPr>
                <w:rStyle w:val="ItalicBlue"/>
                <w:rFonts w:hAnsi="Times New Roman" w:cs="Simplified Arabic" w:hint="cs"/>
                <w:i w:val="0"/>
                <w:iCs w:val="0"/>
                <w:color w:val="auto"/>
                <w:sz w:val="20"/>
                <w:rtl/>
              </w:rPr>
              <w:t xml:space="preserve"> المتوازن الجاري </w:t>
            </w:r>
            <w:r w:rsidRPr="009E01BD">
              <w:rPr>
                <w:rStyle w:val="ItalicBlue"/>
                <w:rFonts w:hAnsi="Times New Roman" w:cs="Simplified Arabic" w:hint="cs"/>
                <w:i w:val="0"/>
                <w:iCs w:val="0"/>
                <w:color w:val="auto"/>
                <w:sz w:val="20"/>
                <w:rtl/>
              </w:rPr>
              <w:lastRenderedPageBreak/>
              <w:t>في القشرة</w:t>
            </w:r>
            <w:r w:rsidRPr="009E01BD">
              <w:rPr>
                <w:rStyle w:val="ItalicBlue"/>
                <w:rFonts w:hAnsi="Times New Roman" w:cs="Simplified Arabic"/>
                <w:i w:val="0"/>
                <w:iCs w:val="0"/>
                <w:color w:val="auto"/>
                <w:sz w:val="20"/>
                <w:rtl/>
              </w:rPr>
              <w:t xml:space="preserve"> الأرض</w:t>
            </w:r>
            <w:r w:rsidRPr="009E01BD">
              <w:rPr>
                <w:rStyle w:val="ItalicBlue"/>
                <w:rFonts w:hAnsi="Times New Roman" w:cs="Simplified Arabic" w:hint="cs"/>
                <w:i w:val="0"/>
                <w:iCs w:val="0"/>
                <w:color w:val="auto"/>
                <w:sz w:val="20"/>
                <w:rtl/>
              </w:rPr>
              <w:t>ية</w:t>
            </w:r>
            <w:r w:rsidRPr="009E01BD">
              <w:rPr>
                <w:rStyle w:val="ItalicBlue"/>
                <w:rFonts w:hAnsi="Times New Roman" w:cs="Simplified Arabic"/>
                <w:i w:val="0"/>
                <w:iCs w:val="0"/>
                <w:color w:val="auto"/>
                <w:sz w:val="20"/>
                <w:rtl/>
              </w:rPr>
              <w:t xml:space="preserve"> (بمعدل 8 ملم في السنة) بشكل مستمر على جميع البيئات الحيوية والموائل، </w:t>
            </w:r>
            <w:r w:rsidRPr="009E01BD">
              <w:rPr>
                <w:rStyle w:val="ItalicBlue"/>
                <w:rFonts w:hAnsi="Times New Roman" w:cs="Simplified Arabic" w:hint="cs"/>
                <w:i w:val="0"/>
                <w:iCs w:val="0"/>
                <w:color w:val="auto"/>
                <w:sz w:val="20"/>
                <w:rtl/>
              </w:rPr>
              <w:t>وهو ما يتسبب بشكل دائم في انتقال</w:t>
            </w:r>
            <w:r w:rsidRPr="009E01BD">
              <w:rPr>
                <w:rStyle w:val="ItalicBlue"/>
                <w:rFonts w:hAnsi="Times New Roman" w:cs="Simplified Arabic"/>
                <w:i w:val="0"/>
                <w:iCs w:val="0"/>
                <w:color w:val="auto"/>
                <w:sz w:val="20"/>
                <w:rtl/>
              </w:rPr>
              <w:t xml:space="preserve"> مناطق جديدة إلى المنطقة الضوئية. </w:t>
            </w:r>
            <w:r w:rsidRPr="009E01BD">
              <w:rPr>
                <w:rStyle w:val="ItalicBlue"/>
                <w:rFonts w:hAnsi="Times New Roman" w:cs="Simplified Arabic" w:hint="cs"/>
                <w:i w:val="0"/>
                <w:iCs w:val="0"/>
                <w:color w:val="auto"/>
                <w:sz w:val="20"/>
                <w:rtl/>
              </w:rPr>
              <w:t xml:space="preserve">ويُعتبر </w:t>
            </w:r>
            <w:r w:rsidRPr="009E01BD">
              <w:rPr>
                <w:rStyle w:val="ItalicBlue"/>
                <w:rFonts w:hAnsi="Times New Roman" w:cs="Simplified Arabic"/>
                <w:i w:val="0"/>
                <w:iCs w:val="0"/>
                <w:color w:val="auto"/>
                <w:sz w:val="20"/>
                <w:rtl/>
              </w:rPr>
              <w:t>أرخبيل كفارك</w:t>
            </w:r>
            <w:r w:rsidRPr="009E01BD">
              <w:rPr>
                <w:rStyle w:val="ItalicBlue"/>
                <w:rFonts w:hAnsi="Times New Roman" w:cs="Simplified Arabic" w:hint="cs"/>
                <w:i w:val="0"/>
                <w:iCs w:val="0"/>
                <w:color w:val="auto"/>
                <w:sz w:val="20"/>
                <w:rtl/>
              </w:rPr>
              <w:t>ي</w:t>
            </w:r>
            <w:r w:rsidRPr="009E01BD">
              <w:rPr>
                <w:rStyle w:val="ItalicBlue"/>
                <w:rFonts w:hAnsi="Times New Roman" w:cs="Simplified Arabic"/>
                <w:i w:val="0"/>
                <w:iCs w:val="0"/>
                <w:color w:val="auto"/>
                <w:sz w:val="20"/>
                <w:rtl/>
              </w:rPr>
              <w:t>ن منطقة انتقالية تتحول فيها</w:t>
            </w:r>
            <w:r w:rsidRPr="009E01BD">
              <w:rPr>
                <w:rStyle w:val="ItalicBlue"/>
                <w:rFonts w:hAnsi="Times New Roman" w:cs="Simplified Arabic" w:hint="cs"/>
                <w:i w:val="0"/>
                <w:iCs w:val="0"/>
                <w:color w:val="auto"/>
                <w:sz w:val="20"/>
                <w:rtl/>
              </w:rPr>
              <w:t>،</w:t>
            </w:r>
            <w:r w:rsidRPr="009E01BD">
              <w:rPr>
                <w:rFonts w:eastAsia="Arial Unicode MS"/>
                <w:i/>
                <w:iCs/>
                <w:sz w:val="20"/>
                <w:szCs w:val="22"/>
                <w:u w:color="000000"/>
                <w:rtl/>
              </w:rPr>
              <w:t xml:space="preserve"> من</w:t>
            </w:r>
            <w:r w:rsidRPr="009E01BD">
              <w:rPr>
                <w:rFonts w:eastAsia="Arial Unicode MS" w:hint="cs"/>
                <w:i/>
                <w:iCs/>
                <w:sz w:val="20"/>
                <w:szCs w:val="22"/>
                <w:u w:color="000000"/>
                <w:rtl/>
              </w:rPr>
              <w:t xml:space="preserve"> مناطق</w:t>
            </w:r>
            <w:r w:rsidRPr="009E01BD">
              <w:rPr>
                <w:rFonts w:eastAsia="Arial Unicode MS"/>
                <w:i/>
                <w:iCs/>
                <w:sz w:val="20"/>
                <w:szCs w:val="22"/>
                <w:u w:color="000000"/>
                <w:rtl/>
              </w:rPr>
              <w:t xml:space="preserve"> الشمال إلى الجنوب</w:t>
            </w:r>
            <w:r w:rsidRPr="009E01BD">
              <w:rPr>
                <w:rFonts w:eastAsia="Arial Unicode MS" w:hint="cs"/>
                <w:i/>
                <w:iCs/>
                <w:sz w:val="20"/>
                <w:szCs w:val="22"/>
                <w:u w:color="000000"/>
                <w:rtl/>
              </w:rPr>
              <w:t>،</w:t>
            </w:r>
            <w:r w:rsidRPr="009E01BD">
              <w:rPr>
                <w:rStyle w:val="ItalicBlue"/>
                <w:rFonts w:hAnsi="Times New Roman" w:cs="Simplified Arabic" w:hint="cs"/>
                <w:i w:val="0"/>
                <w:iCs w:val="0"/>
                <w:color w:val="auto"/>
                <w:sz w:val="20"/>
                <w:rtl/>
              </w:rPr>
              <w:t xml:space="preserve"> الحيوانات</w:t>
            </w:r>
            <w:r w:rsidRPr="009E01BD">
              <w:rPr>
                <w:rStyle w:val="ItalicBlue"/>
                <w:rFonts w:hAnsi="Times New Roman" w:cs="Simplified Arabic"/>
                <w:i w:val="0"/>
                <w:iCs w:val="0"/>
                <w:color w:val="auto"/>
                <w:sz w:val="20"/>
                <w:rtl/>
              </w:rPr>
              <w:t xml:space="preserve"> والنباتات البحرية </w:t>
            </w:r>
            <w:r w:rsidRPr="009E01BD">
              <w:rPr>
                <w:rStyle w:val="ItalicBlue"/>
                <w:rFonts w:hAnsi="Times New Roman" w:cs="Simplified Arabic" w:hint="cs"/>
                <w:i w:val="0"/>
                <w:iCs w:val="0"/>
                <w:color w:val="auto"/>
                <w:sz w:val="20"/>
                <w:rtl/>
              </w:rPr>
              <w:t>المهيمنة والموائل التي تستخدمها هذه الكائنات</w:t>
            </w:r>
            <w:r w:rsidRPr="009E01BD">
              <w:rPr>
                <w:rStyle w:val="ItalicBlue"/>
                <w:rFonts w:hAnsi="Times New Roman" w:cs="Simplified Arabic"/>
                <w:i w:val="0"/>
                <w:iCs w:val="0"/>
                <w:color w:val="auto"/>
                <w:sz w:val="20"/>
                <w:rtl/>
              </w:rPr>
              <w:t xml:space="preserve"> بسرعة من أنواع </w:t>
            </w:r>
            <w:r w:rsidRPr="009E01BD">
              <w:rPr>
                <w:rStyle w:val="ItalicBlue"/>
                <w:rFonts w:hAnsi="Times New Roman" w:cs="Simplified Arabic" w:hint="cs"/>
                <w:i w:val="0"/>
                <w:iCs w:val="0"/>
                <w:color w:val="auto"/>
                <w:sz w:val="20"/>
                <w:rtl/>
              </w:rPr>
              <w:t>ل</w:t>
            </w:r>
            <w:r w:rsidRPr="009E01BD">
              <w:rPr>
                <w:rStyle w:val="ItalicBlue"/>
                <w:rFonts w:hAnsi="Times New Roman" w:cs="Simplified Arabic"/>
                <w:i w:val="0"/>
                <w:iCs w:val="0"/>
                <w:color w:val="auto"/>
                <w:sz w:val="20"/>
                <w:rtl/>
              </w:rPr>
              <w:t>لمياه العذبة إلى أنواع بحرية</w:t>
            </w:r>
            <w:r w:rsidRPr="009E01BD">
              <w:rPr>
                <w:rStyle w:val="ItalicBlue"/>
                <w:rFonts w:hAnsi="Times New Roman" w:cs="Simplified Arabic" w:hint="cs"/>
                <w:i w:val="0"/>
                <w:iCs w:val="0"/>
                <w:color w:val="auto"/>
                <w:sz w:val="20"/>
                <w:rtl/>
              </w:rPr>
              <w:t>. و</w:t>
            </w:r>
            <w:r w:rsidRPr="009E01BD">
              <w:rPr>
                <w:rStyle w:val="ItalicBlue"/>
                <w:rFonts w:hAnsi="Times New Roman" w:cs="Simplified Arabic"/>
                <w:i w:val="0"/>
                <w:iCs w:val="0"/>
                <w:color w:val="auto"/>
                <w:sz w:val="20"/>
                <w:rtl/>
              </w:rPr>
              <w:t>يعتبر التغير</w:t>
            </w:r>
            <w:r w:rsidRPr="009E01BD">
              <w:rPr>
                <w:rStyle w:val="ItalicBlue"/>
                <w:rFonts w:hAnsi="Times New Roman" w:cs="Simplified Arabic" w:hint="cs"/>
                <w:i w:val="0"/>
                <w:iCs w:val="0"/>
                <w:color w:val="auto"/>
                <w:sz w:val="20"/>
                <w:rtl/>
              </w:rPr>
              <w:t xml:space="preserve"> </w:t>
            </w:r>
            <w:r w:rsidRPr="009E01BD">
              <w:rPr>
                <w:rStyle w:val="ItalicBlue"/>
                <w:rFonts w:hAnsi="Times New Roman" w:cs="Simplified Arabic"/>
                <w:i w:val="0"/>
                <w:iCs w:val="0"/>
                <w:color w:val="auto"/>
                <w:sz w:val="20"/>
                <w:rtl/>
              </w:rPr>
              <w:t>النسبي</w:t>
            </w:r>
            <w:r w:rsidRPr="009E01BD">
              <w:rPr>
                <w:rStyle w:val="ItalicBlue"/>
                <w:rFonts w:hAnsi="Times New Roman" w:cs="Simplified Arabic" w:hint="cs"/>
                <w:i w:val="0"/>
                <w:iCs w:val="0"/>
                <w:color w:val="auto"/>
                <w:sz w:val="20"/>
                <w:rtl/>
              </w:rPr>
              <w:t xml:space="preserve"> لخطوط العرض</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فيما يتعلق بدرجة الملوحة</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أعلى تغير يشهده</w:t>
            </w:r>
            <w:r w:rsidRPr="009E01BD">
              <w:rPr>
                <w:rStyle w:val="ItalicBlue"/>
                <w:rFonts w:hAnsi="Times New Roman" w:cs="Simplified Arabic"/>
                <w:i w:val="0"/>
                <w:iCs w:val="0"/>
                <w:color w:val="auto"/>
                <w:sz w:val="20"/>
                <w:rtl/>
              </w:rPr>
              <w:t xml:space="preserve"> بحر البلطيق. </w:t>
            </w:r>
            <w:r w:rsidRPr="009E01BD">
              <w:rPr>
                <w:rStyle w:val="ItalicBlue"/>
                <w:rFonts w:hAnsi="Times New Roman" w:cs="Simplified Arabic" w:hint="cs"/>
                <w:i w:val="0"/>
                <w:iCs w:val="0"/>
                <w:color w:val="auto"/>
                <w:sz w:val="20"/>
                <w:rtl/>
              </w:rPr>
              <w:t>و</w:t>
            </w:r>
            <w:r w:rsidRPr="009E01BD">
              <w:rPr>
                <w:rStyle w:val="ItalicBlue"/>
                <w:rFonts w:hAnsi="Times New Roman" w:cs="Simplified Arabic"/>
                <w:i w:val="0"/>
                <w:iCs w:val="0"/>
                <w:color w:val="auto"/>
                <w:sz w:val="20"/>
                <w:rtl/>
              </w:rPr>
              <w:t>يضيف ال</w:t>
            </w:r>
            <w:r w:rsidRPr="009E01BD">
              <w:rPr>
                <w:rStyle w:val="ItalicBlue"/>
                <w:rFonts w:hAnsi="Times New Roman" w:cs="Simplified Arabic" w:hint="cs"/>
                <w:i w:val="0"/>
                <w:iCs w:val="0"/>
                <w:color w:val="auto"/>
                <w:sz w:val="20"/>
                <w:rtl/>
              </w:rPr>
              <w:t>اختلاط</w:t>
            </w:r>
            <w:r w:rsidRPr="009E01BD">
              <w:rPr>
                <w:rStyle w:val="ItalicBlue"/>
                <w:rFonts w:hAnsi="Times New Roman" w:cs="Simplified Arabic"/>
                <w:i w:val="0"/>
                <w:iCs w:val="0"/>
                <w:color w:val="auto"/>
                <w:sz w:val="20"/>
                <w:rtl/>
              </w:rPr>
              <w:t xml:space="preserve"> المستمر للمياه </w:t>
            </w:r>
            <w:r w:rsidRPr="009E01BD">
              <w:rPr>
                <w:rStyle w:val="ItalicBlue"/>
                <w:rFonts w:hAnsi="Times New Roman" w:cs="Simplified Arabic" w:hint="cs"/>
                <w:i w:val="0"/>
                <w:iCs w:val="0"/>
                <w:color w:val="auto"/>
                <w:sz w:val="20"/>
                <w:rtl/>
              </w:rPr>
              <w:t>المزيد</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 xml:space="preserve">من </w:t>
            </w:r>
            <w:r w:rsidRPr="009E01BD">
              <w:rPr>
                <w:rStyle w:val="ItalicBlue"/>
                <w:rFonts w:hAnsi="Times New Roman" w:cs="Simplified Arabic"/>
                <w:i w:val="0"/>
                <w:iCs w:val="0"/>
                <w:color w:val="auto"/>
                <w:sz w:val="20"/>
                <w:rtl/>
              </w:rPr>
              <w:t>الضغط ال</w:t>
            </w:r>
            <w:r w:rsidRPr="009E01BD">
              <w:rPr>
                <w:rStyle w:val="ItalicBlue"/>
                <w:rFonts w:hAnsi="Times New Roman" w:cs="Simplified Arabic" w:hint="cs"/>
                <w:i w:val="0"/>
                <w:iCs w:val="0"/>
                <w:color w:val="auto"/>
                <w:sz w:val="20"/>
                <w:rtl/>
              </w:rPr>
              <w:t>إيكولوجي</w:t>
            </w:r>
            <w:r w:rsidRPr="009E01BD">
              <w:rPr>
                <w:rStyle w:val="ItalicBlue"/>
                <w:rFonts w:hAnsi="Times New Roman" w:cs="Simplified Arabic"/>
                <w:i w:val="0"/>
                <w:iCs w:val="0"/>
                <w:color w:val="auto"/>
                <w:sz w:val="20"/>
                <w:rtl/>
              </w:rPr>
              <w:t xml:space="preserve"> والتطوري </w:t>
            </w:r>
            <w:r w:rsidRPr="009E01BD">
              <w:rPr>
                <w:rStyle w:val="ItalicBlue"/>
                <w:rFonts w:hAnsi="Times New Roman" w:cs="Simplified Arabic" w:hint="cs"/>
                <w:i w:val="0"/>
                <w:iCs w:val="0"/>
                <w:color w:val="auto"/>
                <w:sz w:val="20"/>
                <w:rtl/>
              </w:rPr>
              <w:t>على النظام الإيكولوجي</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وتؤدي الضحالة وتنوع المواد التحتية</w:t>
            </w:r>
            <w:r w:rsidRPr="009E01BD">
              <w:rPr>
                <w:rStyle w:val="ItalicBlue"/>
                <w:rFonts w:hAnsi="Times New Roman" w:cs="Simplified Arabic"/>
                <w:i w:val="0"/>
                <w:iCs w:val="0"/>
                <w:color w:val="auto"/>
                <w:sz w:val="20"/>
                <w:rtl/>
              </w:rPr>
              <w:t xml:space="preserve">، </w:t>
            </w:r>
            <w:r w:rsidRPr="009E01BD">
              <w:rPr>
                <w:rStyle w:val="ItalicBlue"/>
                <w:rFonts w:hAnsi="Times New Roman" w:cs="Simplified Arabic" w:hint="cs"/>
                <w:i w:val="0"/>
                <w:iCs w:val="0"/>
                <w:color w:val="auto"/>
                <w:sz w:val="20"/>
                <w:rtl/>
              </w:rPr>
              <w:t>إلى جانب شروق الشمس لما يصل إلى</w:t>
            </w:r>
            <w:r w:rsidRPr="009E01BD">
              <w:rPr>
                <w:rStyle w:val="ItalicBlue"/>
                <w:rFonts w:hAnsi="Times New Roman" w:cs="Simplified Arabic"/>
                <w:i w:val="0"/>
                <w:iCs w:val="0"/>
                <w:color w:val="auto"/>
                <w:sz w:val="20"/>
                <w:rtl/>
              </w:rPr>
              <w:t xml:space="preserve"> 20 ساعة </w:t>
            </w:r>
            <w:r w:rsidRPr="009E01BD">
              <w:rPr>
                <w:rStyle w:val="ItalicBlue"/>
                <w:rFonts w:hAnsi="Times New Roman" w:cs="Simplified Arabic" w:hint="cs"/>
                <w:i w:val="0"/>
                <w:iCs w:val="0"/>
                <w:color w:val="auto"/>
                <w:sz w:val="20"/>
                <w:rtl/>
              </w:rPr>
              <w:t>في اليوم خلال فصل</w:t>
            </w:r>
            <w:r w:rsidRPr="009E01BD">
              <w:rPr>
                <w:rStyle w:val="ItalicBlue"/>
                <w:rFonts w:hAnsi="Times New Roman" w:cs="Simplified Arabic"/>
                <w:i w:val="0"/>
                <w:iCs w:val="0"/>
                <w:color w:val="auto"/>
                <w:sz w:val="20"/>
                <w:rtl/>
              </w:rPr>
              <w:t xml:space="preserve"> الصيف</w:t>
            </w:r>
            <w:r w:rsidRPr="009E01BD">
              <w:rPr>
                <w:rStyle w:val="ItalicBlue"/>
                <w:rFonts w:hAnsi="Times New Roman" w:cs="Simplified Arabic" w:hint="cs"/>
                <w:i w:val="0"/>
                <w:iCs w:val="0"/>
                <w:color w:val="auto"/>
                <w:sz w:val="20"/>
                <w:rtl/>
              </w:rPr>
              <w:t xml:space="preserve">، إلى جعل هذه </w:t>
            </w:r>
            <w:r w:rsidRPr="009E01BD">
              <w:rPr>
                <w:rStyle w:val="ItalicBlue"/>
                <w:rFonts w:hAnsi="Times New Roman" w:cs="Simplified Arabic"/>
                <w:i w:val="0"/>
                <w:iCs w:val="0"/>
                <w:color w:val="auto"/>
                <w:sz w:val="20"/>
                <w:rtl/>
              </w:rPr>
              <w:t>المنطقة عالية الإنتاجية ومهمة لعدد كبير من أنواع الأسماك والطيور</w:t>
            </w:r>
            <w:r w:rsidRPr="00366E36">
              <w:rPr>
                <w:rStyle w:val="ItalicBlue"/>
                <w:rFonts w:hAnsi="Times New Roman" w:cs="Simplified Arabic"/>
                <w:i w:val="0"/>
                <w:iCs w:val="0"/>
                <w:color w:val="auto"/>
                <w:sz w:val="20"/>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lastRenderedPageBreak/>
              <w:t>3- بحر آلاند</w:t>
            </w:r>
            <w:r w:rsidRPr="00E2695B">
              <w:rPr>
                <w:bCs/>
                <w:sz w:val="20"/>
                <w:szCs w:val="22"/>
                <w:rtl/>
              </w:rPr>
              <w:t xml:space="preserve"> </w:t>
            </w:r>
            <w:r w:rsidRPr="00E2695B">
              <w:rPr>
                <w:rFonts w:hint="cs"/>
                <w:bCs/>
                <w:sz w:val="20"/>
                <w:szCs w:val="22"/>
                <w:rtl/>
              </w:rPr>
              <w:t>و</w:t>
            </w:r>
            <w:r w:rsidRPr="00E2695B">
              <w:rPr>
                <w:bCs/>
                <w:sz w:val="20"/>
                <w:szCs w:val="22"/>
                <w:rtl/>
              </w:rPr>
              <w:t xml:space="preserve">جزر آلاند </w:t>
            </w:r>
            <w:r w:rsidRPr="00E2695B">
              <w:rPr>
                <w:rFonts w:hint="cs"/>
                <w:bCs/>
                <w:sz w:val="20"/>
                <w:szCs w:val="22"/>
                <w:rtl/>
              </w:rPr>
              <w:t>وبحر أرخبيل فنلندا</w:t>
            </w:r>
          </w:p>
          <w:p w:rsidR="000A5DEA" w:rsidRPr="00E2695B" w:rsidRDefault="000A5DEA" w:rsidP="00CD26C5">
            <w:pPr>
              <w:numPr>
                <w:ilvl w:val="0"/>
                <w:numId w:val="114"/>
              </w:numPr>
              <w:suppressAutoHyphens/>
              <w:spacing w:after="0" w:line="204" w:lineRule="auto"/>
              <w:rPr>
                <w:i/>
                <w:sz w:val="20"/>
                <w:szCs w:val="22"/>
              </w:rPr>
            </w:pPr>
            <w:r w:rsidRPr="00E2695B">
              <w:rPr>
                <w:sz w:val="20"/>
                <w:szCs w:val="22"/>
                <w:rtl/>
              </w:rPr>
              <w:t>الموقع: تقع</w:t>
            </w:r>
            <w:r w:rsidRPr="00E2695B">
              <w:rPr>
                <w:rFonts w:hint="cs"/>
                <w:sz w:val="20"/>
                <w:szCs w:val="22"/>
                <w:rtl/>
              </w:rPr>
              <w:t xml:space="preserve"> هذه</w:t>
            </w:r>
            <w:r w:rsidRPr="00E2695B">
              <w:rPr>
                <w:sz w:val="20"/>
                <w:szCs w:val="22"/>
                <w:rtl/>
              </w:rPr>
              <w:t xml:space="preserve"> المنطقة في شمال بحر البلطيق</w:t>
            </w:r>
            <w:r w:rsidRPr="00E2695B">
              <w:rPr>
                <w:rFonts w:hint="cs"/>
                <w:sz w:val="20"/>
                <w:szCs w:val="22"/>
                <w:rtl/>
              </w:rPr>
              <w:t>،</w:t>
            </w:r>
            <w:r w:rsidRPr="00E2695B">
              <w:rPr>
                <w:sz w:val="20"/>
                <w:szCs w:val="22"/>
                <w:rtl/>
              </w:rPr>
              <w:t xml:space="preserve"> وتشكل الحدود</w:t>
            </w:r>
            <w:r w:rsidRPr="00E2695B">
              <w:rPr>
                <w:rFonts w:hint="cs"/>
                <w:sz w:val="20"/>
                <w:szCs w:val="22"/>
                <w:rtl/>
              </w:rPr>
              <w:t xml:space="preserve"> الفاصلة</w:t>
            </w:r>
            <w:r w:rsidRPr="00E2695B">
              <w:rPr>
                <w:sz w:val="20"/>
                <w:szCs w:val="22"/>
                <w:rtl/>
              </w:rPr>
              <w:t xml:space="preserve"> بين بحر البلطيق ال</w:t>
            </w:r>
            <w:r w:rsidRPr="00E2695B">
              <w:rPr>
                <w:rFonts w:hint="cs"/>
                <w:sz w:val="20"/>
                <w:szCs w:val="22"/>
                <w:rtl/>
              </w:rPr>
              <w:t>حقيقي</w:t>
            </w:r>
            <w:r w:rsidRPr="00E2695B">
              <w:rPr>
                <w:sz w:val="20"/>
                <w:szCs w:val="22"/>
                <w:rtl/>
              </w:rPr>
              <w:t xml:space="preserve"> وخليج بوثنيا. </w:t>
            </w:r>
            <w:r w:rsidRPr="00E2695B">
              <w:rPr>
                <w:rFonts w:hint="cs"/>
                <w:sz w:val="20"/>
                <w:szCs w:val="22"/>
                <w:rtl/>
              </w:rPr>
              <w:t>وتمتد</w:t>
            </w:r>
            <w:r w:rsidRPr="00E2695B">
              <w:rPr>
                <w:sz w:val="20"/>
                <w:szCs w:val="22"/>
                <w:rtl/>
              </w:rPr>
              <w:t xml:space="preserve"> من الساحل السويدي في الغرب</w:t>
            </w:r>
            <w:r w:rsidRPr="00E2695B">
              <w:rPr>
                <w:rFonts w:hint="cs"/>
                <w:sz w:val="20"/>
                <w:szCs w:val="22"/>
                <w:rtl/>
              </w:rPr>
              <w:t xml:space="preserve"> عبر</w:t>
            </w:r>
            <w:r w:rsidRPr="00E2695B">
              <w:rPr>
                <w:sz w:val="20"/>
                <w:szCs w:val="22"/>
                <w:rtl/>
              </w:rPr>
              <w:t xml:space="preserve"> جزر آلاند إلى بحر</w:t>
            </w:r>
            <w:r w:rsidRPr="00E2695B">
              <w:rPr>
                <w:rFonts w:hint="cs"/>
                <w:sz w:val="20"/>
                <w:szCs w:val="22"/>
                <w:rtl/>
              </w:rPr>
              <w:t xml:space="preserve"> ال</w:t>
            </w:r>
            <w:r w:rsidRPr="00E2695B">
              <w:rPr>
                <w:sz w:val="20"/>
                <w:szCs w:val="22"/>
                <w:rtl/>
              </w:rPr>
              <w:t xml:space="preserve">أرخبيل الفنلندي وشبه جزيرة هانكو في الشرق. </w:t>
            </w:r>
            <w:r w:rsidRPr="00E2695B">
              <w:rPr>
                <w:rFonts w:hint="cs"/>
                <w:sz w:val="20"/>
                <w:szCs w:val="22"/>
                <w:rtl/>
              </w:rPr>
              <w:t>ويصل عرضها إلى</w:t>
            </w:r>
            <w:r w:rsidRPr="00E2695B">
              <w:rPr>
                <w:sz w:val="20"/>
                <w:szCs w:val="22"/>
                <w:rtl/>
              </w:rPr>
              <w:t xml:space="preserve"> حوالي 375 ك</w:t>
            </w:r>
            <w:r w:rsidRPr="00E2695B">
              <w:rPr>
                <w:rFonts w:hint="cs"/>
                <w:sz w:val="20"/>
                <w:szCs w:val="22"/>
                <w:rtl/>
              </w:rPr>
              <w:t xml:space="preserve">يلومتراً </w:t>
            </w:r>
            <w:r w:rsidRPr="00E2695B">
              <w:rPr>
                <w:sz w:val="20"/>
                <w:szCs w:val="22"/>
                <w:rtl/>
              </w:rPr>
              <w:t>و</w:t>
            </w:r>
            <w:r w:rsidRPr="00E2695B">
              <w:rPr>
                <w:rFonts w:hint="cs"/>
                <w:sz w:val="20"/>
                <w:szCs w:val="22"/>
                <w:rtl/>
              </w:rPr>
              <w:t xml:space="preserve">يصل </w:t>
            </w:r>
            <w:r w:rsidRPr="00E2695B">
              <w:rPr>
                <w:sz w:val="20"/>
                <w:szCs w:val="22"/>
                <w:rtl/>
              </w:rPr>
              <w:t>طول</w:t>
            </w:r>
            <w:r w:rsidRPr="00E2695B">
              <w:rPr>
                <w:rFonts w:hint="cs"/>
                <w:sz w:val="20"/>
                <w:szCs w:val="22"/>
                <w:rtl/>
              </w:rPr>
              <w:t>ها إلى</w:t>
            </w:r>
            <w:r w:rsidRPr="00E2695B">
              <w:rPr>
                <w:sz w:val="20"/>
                <w:szCs w:val="22"/>
                <w:rtl/>
              </w:rPr>
              <w:t xml:space="preserve"> 100 ك</w:t>
            </w:r>
            <w:r w:rsidRPr="00E2695B">
              <w:rPr>
                <w:rFonts w:hint="cs"/>
                <w:sz w:val="20"/>
                <w:szCs w:val="22"/>
                <w:rtl/>
              </w:rPr>
              <w:t>يلومتر</w:t>
            </w:r>
            <w:r w:rsidRPr="00E2695B">
              <w:rPr>
                <w:sz w:val="20"/>
                <w:szCs w:val="22"/>
                <w:rtl/>
              </w:rPr>
              <w:t xml:space="preserve"> (في </w:t>
            </w:r>
            <w:r w:rsidRPr="00E2695B">
              <w:rPr>
                <w:rFonts w:hint="cs"/>
                <w:sz w:val="20"/>
                <w:szCs w:val="22"/>
                <w:rtl/>
              </w:rPr>
              <w:t>ال</w:t>
            </w:r>
            <w:r w:rsidRPr="00E2695B">
              <w:rPr>
                <w:sz w:val="20"/>
                <w:szCs w:val="22"/>
                <w:rtl/>
              </w:rPr>
              <w:t xml:space="preserve">اتجاه </w:t>
            </w:r>
            <w:r w:rsidRPr="00E2695B">
              <w:rPr>
                <w:rFonts w:hint="cs"/>
                <w:sz w:val="20"/>
                <w:szCs w:val="22"/>
                <w:rtl/>
              </w:rPr>
              <w:t>الشرقي -الغربي والشمالي-الجنوبي</w:t>
            </w:r>
            <w:r w:rsidRPr="00E2695B">
              <w:rPr>
                <w:sz w:val="20"/>
                <w:szCs w:val="22"/>
                <w:rtl/>
              </w:rPr>
              <w:t xml:space="preserve">، على التوالي). </w:t>
            </w:r>
            <w:r>
              <w:rPr>
                <w:rFonts w:hint="cs"/>
                <w:sz w:val="20"/>
                <w:szCs w:val="22"/>
                <w:rtl/>
              </w:rPr>
              <w:t>وتغطي</w:t>
            </w:r>
            <w:r w:rsidRPr="00E2695B">
              <w:rPr>
                <w:sz w:val="20"/>
                <w:szCs w:val="22"/>
                <w:rtl/>
              </w:rPr>
              <w:t xml:space="preserve"> </w:t>
            </w:r>
            <w:r w:rsidRPr="00E2695B">
              <w:rPr>
                <w:rFonts w:hint="cs"/>
                <w:sz w:val="20"/>
                <w:szCs w:val="22"/>
                <w:rtl/>
              </w:rPr>
              <w:t>524 18</w:t>
            </w:r>
            <w:r w:rsidRPr="00E2695B">
              <w:rPr>
                <w:sz w:val="20"/>
                <w:szCs w:val="22"/>
                <w:rtl/>
              </w:rPr>
              <w:t xml:space="preserve"> كيلومتر</w:t>
            </w:r>
            <w:r w:rsidRPr="00E2695B">
              <w:rPr>
                <w:rFonts w:hint="cs"/>
                <w:sz w:val="20"/>
                <w:szCs w:val="22"/>
                <w:rtl/>
              </w:rPr>
              <w:t>اً</w:t>
            </w:r>
            <w:r w:rsidRPr="00E2695B">
              <w:rPr>
                <w:sz w:val="20"/>
                <w:szCs w:val="22"/>
                <w:rtl/>
              </w:rPr>
              <w:t xml:space="preserve"> مربع</w:t>
            </w:r>
            <w:r w:rsidRPr="00E2695B">
              <w:rPr>
                <w:rFonts w:hint="cs"/>
                <w:sz w:val="20"/>
                <w:szCs w:val="22"/>
                <w:rtl/>
              </w:rPr>
              <w:t>اً</w:t>
            </w:r>
            <w:r>
              <w:rPr>
                <w:rFonts w:hint="cs"/>
                <w:sz w:val="20"/>
                <w:szCs w:val="22"/>
                <w:rtl/>
              </w:rPr>
              <w:t xml:space="preserve"> في مجموعها</w:t>
            </w:r>
            <w:r w:rsidRPr="00E2695B">
              <w:rPr>
                <w:rFonts w:hint="cs"/>
                <w:sz w:val="20"/>
                <w:szCs w:val="22"/>
                <w:rtl/>
              </w:rPr>
              <w:t>.</w:t>
            </w:r>
          </w:p>
          <w:p w:rsidR="000A5DEA" w:rsidRPr="00E2695B" w:rsidRDefault="000A5DEA" w:rsidP="00CD26C5">
            <w:pPr>
              <w:numPr>
                <w:ilvl w:val="0"/>
                <w:numId w:val="114"/>
              </w:numPr>
              <w:suppressAutoHyphens/>
              <w:spacing w:after="0" w:line="204" w:lineRule="auto"/>
              <w:rPr>
                <w:sz w:val="20"/>
                <w:szCs w:val="22"/>
              </w:rPr>
            </w:pPr>
            <w:r w:rsidRPr="00E2695B">
              <w:rPr>
                <w:sz w:val="20"/>
                <w:szCs w:val="22"/>
                <w:rtl/>
              </w:rPr>
              <w:t>ت</w:t>
            </w:r>
            <w:r w:rsidRPr="00E2695B">
              <w:rPr>
                <w:rFonts w:hint="cs"/>
                <w:sz w:val="20"/>
                <w:szCs w:val="22"/>
                <w:rtl/>
              </w:rPr>
              <w:t>تضمن</w:t>
            </w:r>
            <w:r w:rsidRPr="00E2695B">
              <w:rPr>
                <w:sz w:val="20"/>
                <w:szCs w:val="22"/>
                <w:rtl/>
              </w:rPr>
              <w:t xml:space="preserve"> المنطقة بعض</w:t>
            </w:r>
            <w:r w:rsidRPr="00E2695B">
              <w:rPr>
                <w:rFonts w:hint="cs"/>
                <w:sz w:val="20"/>
                <w:szCs w:val="22"/>
                <w:rtl/>
              </w:rPr>
              <w:t xml:space="preserve"> أكثر</w:t>
            </w:r>
            <w:r w:rsidRPr="00E2695B">
              <w:rPr>
                <w:sz w:val="20"/>
                <w:szCs w:val="22"/>
                <w:rtl/>
              </w:rPr>
              <w:t xml:space="preserve"> البيئات البحرية </w:t>
            </w:r>
            <w:r w:rsidRPr="00E2695B">
              <w:rPr>
                <w:rFonts w:hint="cs"/>
                <w:sz w:val="20"/>
                <w:szCs w:val="22"/>
                <w:rtl/>
              </w:rPr>
              <w:t>تغيراً من النواحي</w:t>
            </w:r>
            <w:r w:rsidRPr="00E2695B">
              <w:rPr>
                <w:sz w:val="20"/>
                <w:szCs w:val="22"/>
                <w:rtl/>
              </w:rPr>
              <w:t xml:space="preserve"> </w:t>
            </w:r>
            <w:r w:rsidRPr="00E2695B">
              <w:rPr>
                <w:rFonts w:hint="cs"/>
                <w:sz w:val="20"/>
                <w:szCs w:val="22"/>
                <w:rtl/>
              </w:rPr>
              <w:t>ال</w:t>
            </w:r>
            <w:r w:rsidRPr="00E2695B">
              <w:rPr>
                <w:sz w:val="20"/>
                <w:szCs w:val="22"/>
                <w:rtl/>
              </w:rPr>
              <w:t>جيومورفولوجي</w:t>
            </w:r>
            <w:r w:rsidRPr="00E2695B">
              <w:rPr>
                <w:rFonts w:hint="cs"/>
                <w:sz w:val="20"/>
                <w:szCs w:val="22"/>
                <w:rtl/>
              </w:rPr>
              <w:t>ة</w:t>
            </w:r>
            <w:r w:rsidRPr="00E2695B">
              <w:rPr>
                <w:sz w:val="20"/>
                <w:szCs w:val="22"/>
                <w:rtl/>
              </w:rPr>
              <w:t xml:space="preserve"> </w:t>
            </w:r>
            <w:r w:rsidRPr="00E2695B">
              <w:rPr>
                <w:rFonts w:hint="cs"/>
                <w:sz w:val="20"/>
                <w:szCs w:val="22"/>
                <w:rtl/>
              </w:rPr>
              <w:t>والبيولوجية والإيكولوجية</w:t>
            </w:r>
            <w:r w:rsidRPr="00E2695B">
              <w:rPr>
                <w:sz w:val="20"/>
                <w:szCs w:val="22"/>
                <w:rtl/>
              </w:rPr>
              <w:t xml:space="preserve"> في بحر البلطيق، وربما في العالم</w:t>
            </w:r>
            <w:r w:rsidRPr="00E2695B">
              <w:rPr>
                <w:rFonts w:hint="cs"/>
                <w:sz w:val="20"/>
                <w:szCs w:val="22"/>
                <w:rtl/>
              </w:rPr>
              <w:t xml:space="preserve"> بأسره</w:t>
            </w:r>
            <w:r w:rsidRPr="00E2695B">
              <w:rPr>
                <w:sz w:val="20"/>
                <w:szCs w:val="22"/>
                <w:rtl/>
              </w:rPr>
              <w:t xml:space="preserve">. </w:t>
            </w:r>
            <w:r w:rsidRPr="00E2695B">
              <w:rPr>
                <w:rFonts w:hint="cs"/>
                <w:sz w:val="20"/>
                <w:szCs w:val="22"/>
                <w:rtl/>
              </w:rPr>
              <w:t>وتتميز</w:t>
            </w:r>
            <w:r w:rsidRPr="00E2695B">
              <w:rPr>
                <w:sz w:val="20"/>
                <w:szCs w:val="22"/>
                <w:rtl/>
              </w:rPr>
              <w:t xml:space="preserve"> </w:t>
            </w:r>
            <w:r>
              <w:rPr>
                <w:rFonts w:hint="cs"/>
                <w:sz w:val="20"/>
                <w:szCs w:val="22"/>
                <w:rtl/>
              </w:rPr>
              <w:t xml:space="preserve">المنطقة </w:t>
            </w:r>
            <w:r w:rsidRPr="00E2695B">
              <w:rPr>
                <w:sz w:val="20"/>
                <w:szCs w:val="22"/>
                <w:rtl/>
              </w:rPr>
              <w:t xml:space="preserve">بوجود أرخبيل </w:t>
            </w:r>
            <w:r w:rsidRPr="00E2695B">
              <w:rPr>
                <w:rFonts w:hint="cs"/>
                <w:sz w:val="20"/>
                <w:szCs w:val="22"/>
                <w:rtl/>
              </w:rPr>
              <w:t>فسيفسائي و</w:t>
            </w:r>
            <w:r w:rsidRPr="00E2695B">
              <w:rPr>
                <w:sz w:val="20"/>
                <w:szCs w:val="22"/>
                <w:rtl/>
              </w:rPr>
              <w:t xml:space="preserve">فسيح للغاية يمتد من </w:t>
            </w:r>
            <w:r w:rsidRPr="00E2695B">
              <w:rPr>
                <w:rFonts w:hint="cs"/>
                <w:sz w:val="20"/>
                <w:szCs w:val="22"/>
                <w:rtl/>
              </w:rPr>
              <w:t>مجموعة جزر ضحلة ومحمية وداخلية</w:t>
            </w:r>
            <w:r w:rsidRPr="00E2695B">
              <w:rPr>
                <w:sz w:val="20"/>
                <w:szCs w:val="22"/>
                <w:rtl/>
              </w:rPr>
              <w:t xml:space="preserve">، </w:t>
            </w:r>
            <w:r w:rsidRPr="00E2695B">
              <w:rPr>
                <w:rFonts w:hint="cs"/>
                <w:sz w:val="20"/>
                <w:szCs w:val="22"/>
                <w:rtl/>
              </w:rPr>
              <w:t>عبر منتصف</w:t>
            </w:r>
            <w:r w:rsidRPr="00E2695B">
              <w:rPr>
                <w:sz w:val="20"/>
                <w:szCs w:val="22"/>
                <w:rtl/>
              </w:rPr>
              <w:t xml:space="preserve"> </w:t>
            </w:r>
            <w:r w:rsidRPr="00E2695B">
              <w:rPr>
                <w:rFonts w:hint="cs"/>
                <w:sz w:val="20"/>
                <w:szCs w:val="22"/>
                <w:rtl/>
              </w:rPr>
              <w:t>أرخبيل يضم</w:t>
            </w:r>
            <w:r w:rsidRPr="00E2695B">
              <w:rPr>
                <w:sz w:val="20"/>
                <w:szCs w:val="22"/>
                <w:rtl/>
              </w:rPr>
              <w:t xml:space="preserve"> </w:t>
            </w:r>
            <w:r w:rsidRPr="00E2695B">
              <w:rPr>
                <w:rFonts w:hint="cs"/>
                <w:sz w:val="20"/>
                <w:szCs w:val="22"/>
                <w:rtl/>
              </w:rPr>
              <w:t>جزراً أكبر مساحة</w:t>
            </w:r>
            <w:r w:rsidRPr="00E2695B">
              <w:rPr>
                <w:sz w:val="20"/>
                <w:szCs w:val="22"/>
                <w:rtl/>
              </w:rPr>
              <w:t xml:space="preserve">، إلى أرخبيل خارجي </w:t>
            </w:r>
            <w:r w:rsidRPr="00E2695B">
              <w:rPr>
                <w:rFonts w:hint="cs"/>
                <w:sz w:val="20"/>
                <w:szCs w:val="22"/>
                <w:rtl/>
              </w:rPr>
              <w:t>معرض للأمواج</w:t>
            </w:r>
            <w:r w:rsidRPr="00E2695B">
              <w:rPr>
                <w:sz w:val="20"/>
                <w:szCs w:val="22"/>
                <w:rtl/>
              </w:rPr>
              <w:t xml:space="preserve"> ويتألف من آلاف الجزر </w:t>
            </w:r>
            <w:r w:rsidRPr="00E2695B">
              <w:rPr>
                <w:rFonts w:hint="cs"/>
                <w:sz w:val="20"/>
                <w:szCs w:val="22"/>
                <w:rtl/>
              </w:rPr>
              <w:t>والجزر الصغيرة</w:t>
            </w:r>
            <w:r w:rsidRPr="00E2695B">
              <w:rPr>
                <w:sz w:val="20"/>
                <w:szCs w:val="22"/>
                <w:rtl/>
              </w:rPr>
              <w:t>. وعلى ال</w:t>
            </w:r>
            <w:r w:rsidRPr="00E2695B">
              <w:rPr>
                <w:rFonts w:hint="cs"/>
                <w:sz w:val="20"/>
                <w:szCs w:val="22"/>
                <w:rtl/>
              </w:rPr>
              <w:t>عكس</w:t>
            </w:r>
            <w:r w:rsidRPr="00E2695B">
              <w:rPr>
                <w:sz w:val="20"/>
                <w:szCs w:val="22"/>
                <w:rtl/>
              </w:rPr>
              <w:t xml:space="preserve"> من ذلك، </w:t>
            </w:r>
            <w:r w:rsidRPr="00E2695B">
              <w:rPr>
                <w:rFonts w:hint="cs"/>
                <w:sz w:val="20"/>
                <w:szCs w:val="22"/>
                <w:rtl/>
              </w:rPr>
              <w:t xml:space="preserve">يشكل </w:t>
            </w:r>
            <w:r w:rsidRPr="00E2695B">
              <w:rPr>
                <w:sz w:val="20"/>
                <w:szCs w:val="22"/>
                <w:rtl/>
              </w:rPr>
              <w:t xml:space="preserve">بحر آلاند منطقة </w:t>
            </w:r>
            <w:r w:rsidRPr="00E2695B">
              <w:rPr>
                <w:rFonts w:hint="cs"/>
                <w:sz w:val="20"/>
                <w:szCs w:val="22"/>
                <w:rtl/>
              </w:rPr>
              <w:t>أعالي البحار وله</w:t>
            </w:r>
            <w:r w:rsidRPr="00E2695B">
              <w:rPr>
                <w:sz w:val="20"/>
                <w:szCs w:val="22"/>
                <w:rtl/>
              </w:rPr>
              <w:t xml:space="preserve"> </w:t>
            </w:r>
            <w:r w:rsidRPr="00E2695B">
              <w:rPr>
                <w:rFonts w:hint="cs"/>
                <w:sz w:val="20"/>
                <w:szCs w:val="22"/>
                <w:rtl/>
              </w:rPr>
              <w:t>أجواء</w:t>
            </w:r>
            <w:r w:rsidRPr="00E2695B">
              <w:rPr>
                <w:sz w:val="20"/>
                <w:szCs w:val="22"/>
                <w:rtl/>
              </w:rPr>
              <w:t xml:space="preserve"> محيطية </w:t>
            </w:r>
            <w:r w:rsidRPr="00E2695B">
              <w:rPr>
                <w:rFonts w:hint="cs"/>
                <w:sz w:val="20"/>
                <w:szCs w:val="22"/>
                <w:rtl/>
              </w:rPr>
              <w:t>على وجه التقريب</w:t>
            </w:r>
            <w:r w:rsidRPr="00E2695B">
              <w:rPr>
                <w:sz w:val="20"/>
                <w:szCs w:val="22"/>
                <w:rtl/>
              </w:rPr>
              <w:t xml:space="preserve"> و</w:t>
            </w:r>
            <w:r w:rsidRPr="00E2695B">
              <w:rPr>
                <w:rFonts w:hint="cs"/>
                <w:sz w:val="20"/>
                <w:szCs w:val="22"/>
                <w:rtl/>
              </w:rPr>
              <w:t>به</w:t>
            </w:r>
            <w:r w:rsidRPr="00E2695B">
              <w:rPr>
                <w:sz w:val="20"/>
                <w:szCs w:val="22"/>
                <w:rtl/>
              </w:rPr>
              <w:t xml:space="preserve"> ثاني أعمق خندق في بحر البلطيق </w:t>
            </w:r>
            <w:r w:rsidRPr="00E2695B">
              <w:rPr>
                <w:rFonts w:hint="cs"/>
                <w:sz w:val="20"/>
                <w:szCs w:val="22"/>
                <w:rtl/>
              </w:rPr>
              <w:t>بعمق يبلغ</w:t>
            </w:r>
            <w:r w:rsidRPr="00E2695B">
              <w:rPr>
                <w:sz w:val="20"/>
                <w:szCs w:val="22"/>
                <w:rtl/>
              </w:rPr>
              <w:t xml:space="preserve"> 300 متر. </w:t>
            </w:r>
            <w:r w:rsidRPr="00E2695B">
              <w:rPr>
                <w:rFonts w:hint="cs"/>
                <w:sz w:val="20"/>
                <w:szCs w:val="22"/>
                <w:rtl/>
              </w:rPr>
              <w:t xml:space="preserve">ويشكل </w:t>
            </w:r>
            <w:r w:rsidRPr="00E2695B">
              <w:rPr>
                <w:sz w:val="20"/>
                <w:szCs w:val="22"/>
                <w:rtl/>
              </w:rPr>
              <w:t>الخندق أيضا</w:t>
            </w:r>
            <w:r w:rsidRPr="00E2695B">
              <w:rPr>
                <w:rFonts w:hint="cs"/>
                <w:sz w:val="20"/>
                <w:szCs w:val="22"/>
                <w:rtl/>
              </w:rPr>
              <w:t>ً</w:t>
            </w:r>
            <w:r w:rsidRPr="00E2695B">
              <w:rPr>
                <w:sz w:val="20"/>
                <w:szCs w:val="22"/>
                <w:rtl/>
              </w:rPr>
              <w:t xml:space="preserve"> أعمق منطقة </w:t>
            </w:r>
            <w:r w:rsidRPr="00E2695B">
              <w:rPr>
                <w:rFonts w:hint="cs"/>
                <w:sz w:val="20"/>
                <w:szCs w:val="22"/>
                <w:rtl/>
              </w:rPr>
              <w:t>مؤكسجة</w:t>
            </w:r>
            <w:r w:rsidRPr="00E2695B">
              <w:rPr>
                <w:sz w:val="20"/>
                <w:szCs w:val="22"/>
                <w:rtl/>
              </w:rPr>
              <w:t xml:space="preserve"> في بحر البلطيق. ونظراً لانخفاض</w:t>
            </w:r>
            <w:r w:rsidRPr="00E2695B">
              <w:rPr>
                <w:rFonts w:hint="cs"/>
                <w:sz w:val="20"/>
                <w:szCs w:val="22"/>
                <w:rtl/>
              </w:rPr>
              <w:t xml:space="preserve"> درجة</w:t>
            </w:r>
            <w:r w:rsidRPr="00E2695B">
              <w:rPr>
                <w:sz w:val="20"/>
                <w:szCs w:val="22"/>
                <w:rtl/>
              </w:rPr>
              <w:t xml:space="preserve"> ملوح</w:t>
            </w:r>
            <w:r w:rsidRPr="00E2695B">
              <w:rPr>
                <w:rFonts w:hint="cs"/>
                <w:sz w:val="20"/>
                <w:szCs w:val="22"/>
                <w:rtl/>
              </w:rPr>
              <w:t>ة هذه المنطقة</w:t>
            </w:r>
            <w:r w:rsidRPr="00E2695B">
              <w:rPr>
                <w:sz w:val="20"/>
                <w:szCs w:val="22"/>
                <w:rtl/>
              </w:rPr>
              <w:t xml:space="preserve"> (من 0 إلى 7 </w:t>
            </w:r>
            <w:r w:rsidRPr="00E2695B">
              <w:rPr>
                <w:rFonts w:hint="cs"/>
                <w:sz w:val="20"/>
                <w:szCs w:val="22"/>
                <w:rtl/>
              </w:rPr>
              <w:t>وحدة ملوحة عملية</w:t>
            </w:r>
            <w:r w:rsidRPr="00E2695B">
              <w:rPr>
                <w:sz w:val="20"/>
                <w:szCs w:val="22"/>
                <w:rtl/>
              </w:rPr>
              <w:t xml:space="preserve">)، فإن تركيبة الأنواع </w:t>
            </w:r>
            <w:r w:rsidRPr="00E2695B">
              <w:rPr>
                <w:rFonts w:hint="cs"/>
                <w:sz w:val="20"/>
                <w:szCs w:val="22"/>
                <w:rtl/>
              </w:rPr>
              <w:t>فيها</w:t>
            </w:r>
            <w:r w:rsidRPr="00E2695B">
              <w:rPr>
                <w:sz w:val="20"/>
                <w:szCs w:val="22"/>
                <w:rtl/>
              </w:rPr>
              <w:t xml:space="preserve"> هي </w:t>
            </w:r>
            <w:r w:rsidRPr="00E2695B">
              <w:rPr>
                <w:rFonts w:hint="cs"/>
                <w:sz w:val="20"/>
                <w:szCs w:val="22"/>
                <w:rtl/>
              </w:rPr>
              <w:t xml:space="preserve">عبارة عن </w:t>
            </w:r>
            <w:r w:rsidRPr="00E2695B">
              <w:rPr>
                <w:sz w:val="20"/>
                <w:szCs w:val="22"/>
                <w:rtl/>
              </w:rPr>
              <w:t>خليط من كائنات ال</w:t>
            </w:r>
            <w:r w:rsidRPr="00E2695B">
              <w:rPr>
                <w:rFonts w:hint="cs"/>
                <w:sz w:val="20"/>
                <w:szCs w:val="22"/>
                <w:rtl/>
              </w:rPr>
              <w:t>مياه</w:t>
            </w:r>
            <w:r w:rsidRPr="00E2695B">
              <w:rPr>
                <w:sz w:val="20"/>
                <w:szCs w:val="22"/>
                <w:rtl/>
              </w:rPr>
              <w:t xml:space="preserve"> العذبة </w:t>
            </w:r>
            <w:r w:rsidRPr="00E2695B">
              <w:rPr>
                <w:rFonts w:hint="cs"/>
                <w:sz w:val="20"/>
                <w:szCs w:val="22"/>
                <w:rtl/>
              </w:rPr>
              <w:t>والمياه المتوسطة الملوحة والكائنات البحرية</w:t>
            </w:r>
            <w:r w:rsidRPr="00E2695B">
              <w:rPr>
                <w:sz w:val="20"/>
                <w:szCs w:val="22"/>
                <w:rtl/>
              </w:rPr>
              <w:t xml:space="preserve">، مع </w:t>
            </w:r>
            <w:r w:rsidRPr="00E2695B">
              <w:rPr>
                <w:rFonts w:hint="cs"/>
                <w:sz w:val="20"/>
                <w:szCs w:val="22"/>
                <w:rtl/>
              </w:rPr>
              <w:t xml:space="preserve">وجود </w:t>
            </w:r>
            <w:r w:rsidRPr="00E2695B">
              <w:rPr>
                <w:sz w:val="20"/>
                <w:szCs w:val="22"/>
                <w:rtl/>
              </w:rPr>
              <w:t xml:space="preserve">تنوع عالٍ في النباتات </w:t>
            </w:r>
            <w:r w:rsidRPr="00E2695B">
              <w:rPr>
                <w:rFonts w:hint="cs"/>
                <w:sz w:val="20"/>
                <w:szCs w:val="22"/>
                <w:rtl/>
              </w:rPr>
              <w:t>الوعائية والكارياتية</w:t>
            </w:r>
            <w:r w:rsidRPr="00E2695B">
              <w:rPr>
                <w:sz w:val="20"/>
                <w:szCs w:val="22"/>
                <w:rtl/>
              </w:rPr>
              <w:t xml:space="preserve"> المائية، على وجه ال</w:t>
            </w:r>
            <w:r w:rsidRPr="00E2695B">
              <w:rPr>
                <w:rFonts w:hint="cs"/>
                <w:sz w:val="20"/>
                <w:szCs w:val="22"/>
                <w:rtl/>
              </w:rPr>
              <w:t>تحديد</w:t>
            </w:r>
            <w:r w:rsidRPr="00E2695B">
              <w:rPr>
                <w:sz w:val="20"/>
                <w:szCs w:val="22"/>
                <w:rtl/>
              </w:rPr>
              <w:t xml:space="preserve">. </w:t>
            </w:r>
            <w:r w:rsidRPr="00E2695B">
              <w:rPr>
                <w:rFonts w:hint="cs"/>
                <w:sz w:val="20"/>
                <w:szCs w:val="22"/>
                <w:rtl/>
              </w:rPr>
              <w:t>وتتضمن</w:t>
            </w:r>
            <w:r w:rsidRPr="00E2695B">
              <w:rPr>
                <w:sz w:val="20"/>
                <w:szCs w:val="22"/>
                <w:rtl/>
              </w:rPr>
              <w:t xml:space="preserve"> المنطقة مئات البحيرات </w:t>
            </w:r>
            <w:r w:rsidRPr="00E2695B">
              <w:rPr>
                <w:rFonts w:hint="cs"/>
                <w:sz w:val="20"/>
                <w:szCs w:val="22"/>
                <w:rtl/>
              </w:rPr>
              <w:t>الشاطئية</w:t>
            </w:r>
            <w:r w:rsidRPr="00E2695B">
              <w:rPr>
                <w:sz w:val="20"/>
                <w:szCs w:val="22"/>
                <w:rtl/>
              </w:rPr>
              <w:t>، والمداخل الضيقة، والخلجان الضحلة، ومصبات الأنهار والأراضي الرطبة</w:t>
            </w:r>
            <w:r w:rsidRPr="00E2695B">
              <w:rPr>
                <w:rFonts w:hint="cs"/>
                <w:sz w:val="20"/>
                <w:szCs w:val="22"/>
                <w:rtl/>
              </w:rPr>
              <w:t>،</w:t>
            </w:r>
            <w:r w:rsidRPr="00E2695B">
              <w:rPr>
                <w:sz w:val="20"/>
                <w:szCs w:val="22"/>
                <w:rtl/>
              </w:rPr>
              <w:t xml:space="preserve"> وهي مناطق مهمة للأسماك والطيور. </w:t>
            </w:r>
            <w:r w:rsidRPr="00E2695B">
              <w:rPr>
                <w:rFonts w:hint="cs"/>
                <w:sz w:val="20"/>
                <w:szCs w:val="22"/>
                <w:rtl/>
              </w:rPr>
              <w:t xml:space="preserve">وتشكل </w:t>
            </w:r>
            <w:r w:rsidRPr="00E2695B">
              <w:rPr>
                <w:sz w:val="20"/>
                <w:szCs w:val="22"/>
                <w:rtl/>
              </w:rPr>
              <w:t>الكتلة ال</w:t>
            </w:r>
            <w:r w:rsidRPr="00E2695B">
              <w:rPr>
                <w:rFonts w:hint="cs"/>
                <w:sz w:val="20"/>
                <w:szCs w:val="22"/>
                <w:rtl/>
              </w:rPr>
              <w:t>أحيائية</w:t>
            </w:r>
            <w:r w:rsidRPr="00E2695B">
              <w:rPr>
                <w:sz w:val="20"/>
                <w:szCs w:val="22"/>
                <w:rtl/>
              </w:rPr>
              <w:t xml:space="preserve"> القاعية</w:t>
            </w:r>
            <w:r w:rsidRPr="00E2695B">
              <w:rPr>
                <w:rFonts w:hint="cs"/>
                <w:sz w:val="20"/>
                <w:szCs w:val="22"/>
                <w:rtl/>
              </w:rPr>
              <w:t xml:space="preserve"> الموجودة</w:t>
            </w:r>
            <w:r w:rsidRPr="00E2695B">
              <w:rPr>
                <w:sz w:val="20"/>
                <w:szCs w:val="22"/>
                <w:rtl/>
              </w:rPr>
              <w:t xml:space="preserve"> في المناطق الضحلة </w:t>
            </w:r>
            <w:r w:rsidRPr="00E2695B">
              <w:rPr>
                <w:rFonts w:hint="cs"/>
                <w:sz w:val="20"/>
                <w:szCs w:val="22"/>
                <w:rtl/>
              </w:rPr>
              <w:t>أعلى الكتل الأحيائية</w:t>
            </w:r>
            <w:r w:rsidRPr="00E2695B">
              <w:rPr>
                <w:sz w:val="20"/>
                <w:szCs w:val="22"/>
                <w:rtl/>
              </w:rPr>
              <w:t xml:space="preserve"> في بحر البلطيق الشمالي. </w:t>
            </w:r>
            <w:r w:rsidRPr="00E2695B">
              <w:rPr>
                <w:rFonts w:hint="cs"/>
                <w:sz w:val="20"/>
                <w:szCs w:val="22"/>
                <w:rtl/>
              </w:rPr>
              <w:t>و</w:t>
            </w:r>
            <w:r w:rsidRPr="00E2695B">
              <w:rPr>
                <w:sz w:val="20"/>
                <w:szCs w:val="22"/>
                <w:rtl/>
              </w:rPr>
              <w:t>تدعم المنطقة أيضا</w:t>
            </w:r>
            <w:r w:rsidRPr="00E2695B">
              <w:rPr>
                <w:rFonts w:hint="cs"/>
                <w:sz w:val="20"/>
                <w:szCs w:val="22"/>
                <w:rtl/>
              </w:rPr>
              <w:t>ً</w:t>
            </w:r>
            <w:r w:rsidRPr="00E2695B">
              <w:rPr>
                <w:sz w:val="20"/>
                <w:szCs w:val="22"/>
                <w:rtl/>
              </w:rPr>
              <w:t xml:space="preserve"> مجموعات مهمة من الفقم</w:t>
            </w:r>
            <w:r w:rsidRPr="00E2695B">
              <w:rPr>
                <w:rFonts w:hint="cs"/>
                <w:sz w:val="20"/>
                <w:szCs w:val="22"/>
                <w:rtl/>
              </w:rPr>
              <w:t>ات</w:t>
            </w:r>
            <w:r w:rsidRPr="00E2695B">
              <w:rPr>
                <w:sz w:val="20"/>
                <w:szCs w:val="22"/>
                <w:rtl/>
              </w:rPr>
              <w:t xml:space="preserve"> الحلقية (</w:t>
            </w:r>
            <w:r w:rsidRPr="00E2695B">
              <w:rPr>
                <w:i/>
                <w:sz w:val="20"/>
                <w:szCs w:val="22"/>
              </w:rPr>
              <w:t>Pusa hispida botnica</w:t>
            </w:r>
            <w:r w:rsidRPr="00E2695B">
              <w:rPr>
                <w:sz w:val="20"/>
                <w:szCs w:val="22"/>
                <w:rtl/>
              </w:rPr>
              <w:t xml:space="preserve">) </w:t>
            </w:r>
            <w:r w:rsidRPr="00E2695B">
              <w:rPr>
                <w:rFonts w:hint="cs"/>
                <w:sz w:val="20"/>
                <w:szCs w:val="22"/>
                <w:rtl/>
              </w:rPr>
              <w:t>والفقمات الرمادية</w:t>
            </w:r>
            <w:r w:rsidRPr="00E2695B">
              <w:rPr>
                <w:sz w:val="20"/>
                <w:szCs w:val="22"/>
                <w:rtl/>
              </w:rPr>
              <w:t xml:space="preserve"> (</w:t>
            </w:r>
            <w:r w:rsidRPr="00E2695B">
              <w:rPr>
                <w:i/>
                <w:sz w:val="20"/>
                <w:szCs w:val="22"/>
              </w:rPr>
              <w:t>Halichoerus grypus</w:t>
            </w:r>
            <w:r w:rsidRPr="00E2695B">
              <w:rPr>
                <w:sz w:val="20"/>
                <w:szCs w:val="22"/>
                <w:rtl/>
              </w:rPr>
              <w:t xml:space="preserve">). </w:t>
            </w:r>
            <w:r w:rsidRPr="00E2695B">
              <w:rPr>
                <w:rFonts w:hint="cs"/>
                <w:sz w:val="20"/>
                <w:szCs w:val="22"/>
                <w:rtl/>
              </w:rPr>
              <w:t>ويتردد خنزي البحر الشائع</w:t>
            </w:r>
            <w:r w:rsidRPr="00E2695B">
              <w:rPr>
                <w:sz w:val="20"/>
                <w:szCs w:val="22"/>
                <w:rtl/>
              </w:rPr>
              <w:t xml:space="preserve"> (</w:t>
            </w:r>
            <w:r w:rsidRPr="00E2695B">
              <w:rPr>
                <w:i/>
                <w:sz w:val="20"/>
                <w:szCs w:val="22"/>
              </w:rPr>
              <w:t>Phocoena phocoena</w:t>
            </w:r>
            <w:r w:rsidRPr="00E2695B">
              <w:rPr>
                <w:sz w:val="20"/>
                <w:szCs w:val="22"/>
                <w:rtl/>
              </w:rPr>
              <w:t xml:space="preserve">) </w:t>
            </w:r>
            <w:r w:rsidRPr="00E2695B">
              <w:rPr>
                <w:rFonts w:hint="cs"/>
                <w:sz w:val="20"/>
                <w:szCs w:val="22"/>
                <w:rtl/>
              </w:rPr>
              <w:t xml:space="preserve">على هذه </w:t>
            </w:r>
            <w:r w:rsidRPr="00E2695B">
              <w:rPr>
                <w:sz w:val="20"/>
                <w:szCs w:val="22"/>
                <w:rtl/>
              </w:rPr>
              <w:t>المنطقة بانتظام</w:t>
            </w:r>
            <w:r w:rsidRPr="00E2695B">
              <w:rPr>
                <w:sz w:val="20"/>
                <w:szCs w:val="22"/>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t>4- الخليج الشرقي</w:t>
            </w:r>
            <w:r w:rsidRPr="00E2695B">
              <w:rPr>
                <w:bCs/>
                <w:sz w:val="20"/>
                <w:szCs w:val="22"/>
                <w:rtl/>
              </w:rPr>
              <w:t xml:space="preserve"> </w:t>
            </w:r>
            <w:r w:rsidRPr="00E2695B">
              <w:rPr>
                <w:rFonts w:hint="cs"/>
                <w:bCs/>
                <w:sz w:val="20"/>
                <w:szCs w:val="22"/>
                <w:rtl/>
              </w:rPr>
              <w:t>ل</w:t>
            </w:r>
            <w:r w:rsidRPr="00E2695B">
              <w:rPr>
                <w:bCs/>
                <w:sz w:val="20"/>
                <w:szCs w:val="22"/>
                <w:rtl/>
              </w:rPr>
              <w:t>فنلندا</w:t>
            </w:r>
          </w:p>
          <w:p w:rsidR="000A5DEA" w:rsidRPr="00E2695B" w:rsidRDefault="000A5DEA" w:rsidP="00CD26C5">
            <w:pPr>
              <w:widowControl w:val="0"/>
              <w:numPr>
                <w:ilvl w:val="0"/>
                <w:numId w:val="115"/>
              </w:numPr>
              <w:suppressAutoHyphens/>
              <w:autoSpaceDE w:val="0"/>
              <w:spacing w:after="0" w:line="204" w:lineRule="auto"/>
              <w:rPr>
                <w:sz w:val="20"/>
                <w:szCs w:val="22"/>
              </w:rPr>
            </w:pPr>
            <w:r w:rsidRPr="00E2695B">
              <w:rPr>
                <w:rStyle w:val="Italic"/>
                <w:rFonts w:eastAsia="Malgun Gothic"/>
                <w:rtl/>
              </w:rPr>
              <w:t xml:space="preserve">الموقع: تقع هذه المنطقة في شمال شرق فنلندا وخليجها الشرقي، في بحر البلطيق الشمالي. </w:t>
            </w:r>
            <w:r w:rsidRPr="00E2695B">
              <w:rPr>
                <w:rStyle w:val="Italic"/>
                <w:rFonts w:eastAsia="Malgun Gothic" w:hint="cs"/>
                <w:rtl/>
              </w:rPr>
              <w:t>وتمتد من الشرق إلى الغرب</w:t>
            </w:r>
            <w:r w:rsidRPr="00E2695B">
              <w:rPr>
                <w:rStyle w:val="Italic"/>
                <w:rFonts w:eastAsia="Malgun Gothic"/>
                <w:rtl/>
              </w:rPr>
              <w:t xml:space="preserve"> على طول </w:t>
            </w:r>
            <w:r w:rsidRPr="00E2695B">
              <w:rPr>
                <w:rStyle w:val="Italic"/>
                <w:rFonts w:eastAsia="Malgun Gothic"/>
                <w:rtl/>
              </w:rPr>
              <w:lastRenderedPageBreak/>
              <w:t xml:space="preserve">247 </w:t>
            </w:r>
            <w:r w:rsidRPr="00E2695B">
              <w:rPr>
                <w:rStyle w:val="Italic"/>
                <w:rFonts w:eastAsia="Malgun Gothic" w:hint="cs"/>
                <w:rtl/>
              </w:rPr>
              <w:t>كيلومتراً</w:t>
            </w:r>
            <w:r w:rsidRPr="00E2695B">
              <w:rPr>
                <w:rStyle w:val="Italic"/>
                <w:rFonts w:eastAsia="Malgun Gothic"/>
                <w:rtl/>
              </w:rPr>
              <w:t xml:space="preserve"> و</w:t>
            </w:r>
            <w:r w:rsidRPr="00E2695B">
              <w:rPr>
                <w:rStyle w:val="Italic"/>
                <w:rFonts w:eastAsia="Malgun Gothic" w:hint="cs"/>
                <w:rtl/>
              </w:rPr>
              <w:t>من الشمال إلى الجنوب على طول</w:t>
            </w:r>
            <w:r w:rsidRPr="00E2695B">
              <w:rPr>
                <w:rStyle w:val="Italic"/>
                <w:rFonts w:eastAsia="Malgun Gothic"/>
                <w:rtl/>
              </w:rPr>
              <w:t xml:space="preserve"> 122 </w:t>
            </w:r>
            <w:r w:rsidRPr="00E2695B">
              <w:rPr>
                <w:rStyle w:val="Italic"/>
                <w:rFonts w:eastAsia="Malgun Gothic" w:hint="cs"/>
                <w:rtl/>
              </w:rPr>
              <w:t>كيلومتراً</w:t>
            </w:r>
            <w:r w:rsidRPr="00E2695B">
              <w:rPr>
                <w:rStyle w:val="Italic"/>
                <w:rFonts w:eastAsia="Malgun Gothic"/>
                <w:rtl/>
              </w:rPr>
              <w:t xml:space="preserve">. </w:t>
            </w:r>
            <w:r>
              <w:rPr>
                <w:rStyle w:val="Italic"/>
                <w:rFonts w:eastAsia="Malgun Gothic" w:hint="cs"/>
                <w:rtl/>
              </w:rPr>
              <w:t>وتغطي مساحة</w:t>
            </w:r>
            <w:r w:rsidRPr="00E2695B">
              <w:rPr>
                <w:rStyle w:val="Italic"/>
                <w:rFonts w:eastAsia="Malgun Gothic"/>
                <w:rtl/>
              </w:rPr>
              <w:t xml:space="preserve"> </w:t>
            </w:r>
            <w:r w:rsidRPr="00E2695B">
              <w:rPr>
                <w:rStyle w:val="Italic"/>
                <w:rFonts w:eastAsia="Malgun Gothic" w:hint="cs"/>
                <w:rtl/>
              </w:rPr>
              <w:t xml:space="preserve">411 13 </w:t>
            </w:r>
            <w:r w:rsidRPr="00E2695B">
              <w:rPr>
                <w:rStyle w:val="Italic"/>
                <w:rFonts w:eastAsia="Malgun Gothic"/>
                <w:rtl/>
              </w:rPr>
              <w:t>كيلومتر</w:t>
            </w:r>
            <w:r w:rsidRPr="00E2695B">
              <w:rPr>
                <w:rStyle w:val="Italic"/>
                <w:rFonts w:eastAsia="Malgun Gothic" w:hint="cs"/>
                <w:rtl/>
              </w:rPr>
              <w:t>اً</w:t>
            </w:r>
            <w:r w:rsidRPr="00E2695B">
              <w:rPr>
                <w:rStyle w:val="Italic"/>
                <w:rFonts w:eastAsia="Malgun Gothic"/>
                <w:rtl/>
              </w:rPr>
              <w:t xml:space="preserve"> مربع</w:t>
            </w:r>
            <w:r w:rsidRPr="00E2695B">
              <w:rPr>
                <w:rStyle w:val="Italic"/>
                <w:rFonts w:eastAsia="Malgun Gothic" w:hint="cs"/>
                <w:rtl/>
              </w:rPr>
              <w:t>اً</w:t>
            </w:r>
            <w:r>
              <w:rPr>
                <w:rStyle w:val="Italic"/>
                <w:rFonts w:eastAsia="Malgun Gothic" w:hint="cs"/>
                <w:rtl/>
              </w:rPr>
              <w:t xml:space="preserve"> في مجموعها</w:t>
            </w:r>
            <w:r w:rsidRPr="00E2695B">
              <w:rPr>
                <w:rStyle w:val="Italic"/>
                <w:rFonts w:eastAsia="Malgun Gothic" w:hint="cs"/>
                <w:rtl/>
              </w:rPr>
              <w:t>.</w:t>
            </w:r>
          </w:p>
          <w:p w:rsidR="000A5DEA" w:rsidRPr="00366E36" w:rsidRDefault="000A5DEA" w:rsidP="00CD26C5">
            <w:pPr>
              <w:pStyle w:val="ListParagraph"/>
              <w:numPr>
                <w:ilvl w:val="0"/>
                <w:numId w:val="115"/>
              </w:numPr>
              <w:bidi/>
              <w:spacing w:after="0" w:line="204" w:lineRule="auto"/>
              <w:contextualSpacing/>
              <w:rPr>
                <w:rFonts w:cs="Simplified Arabic"/>
                <w:sz w:val="20"/>
                <w:szCs w:val="22"/>
                <w:lang w:val="en-US"/>
              </w:rPr>
            </w:pPr>
            <w:r w:rsidRPr="00E2695B">
              <w:rPr>
                <w:rFonts w:cs="Simplified Arabic" w:hint="cs"/>
                <w:sz w:val="20"/>
                <w:szCs w:val="22"/>
                <w:rtl/>
              </w:rPr>
              <w:t xml:space="preserve">تمثل هذه </w:t>
            </w:r>
            <w:r w:rsidRPr="00E2695B">
              <w:rPr>
                <w:rFonts w:cs="Simplified Arabic"/>
                <w:sz w:val="20"/>
                <w:szCs w:val="22"/>
                <w:rtl/>
              </w:rPr>
              <w:t xml:space="preserve">المنطقة </w:t>
            </w:r>
            <w:r w:rsidRPr="00E2695B">
              <w:rPr>
                <w:rFonts w:cs="Simplified Arabic" w:hint="cs"/>
                <w:sz w:val="20"/>
                <w:szCs w:val="22"/>
                <w:rtl/>
              </w:rPr>
              <w:t>أرخبيلاً ضحلاً</w:t>
            </w:r>
            <w:r w:rsidRPr="00E2695B">
              <w:rPr>
                <w:rFonts w:cs="Simplified Arabic"/>
                <w:sz w:val="20"/>
                <w:szCs w:val="22"/>
                <w:rtl/>
              </w:rPr>
              <w:t xml:space="preserve"> نسبيا</w:t>
            </w:r>
            <w:r w:rsidRPr="00E2695B">
              <w:rPr>
                <w:rFonts w:cs="Simplified Arabic" w:hint="cs"/>
                <w:sz w:val="20"/>
                <w:szCs w:val="22"/>
                <w:rtl/>
              </w:rPr>
              <w:t>ً</w:t>
            </w:r>
            <w:r w:rsidRPr="00E2695B">
              <w:rPr>
                <w:rFonts w:cs="Simplified Arabic"/>
                <w:sz w:val="20"/>
                <w:szCs w:val="22"/>
                <w:rtl/>
              </w:rPr>
              <w:t xml:space="preserve"> (</w:t>
            </w:r>
            <w:r w:rsidRPr="00E2695B">
              <w:rPr>
                <w:rFonts w:cs="Simplified Arabic" w:hint="cs"/>
                <w:sz w:val="20"/>
                <w:szCs w:val="22"/>
                <w:rtl/>
              </w:rPr>
              <w:t xml:space="preserve">يصل </w:t>
            </w:r>
            <w:r w:rsidRPr="00E2695B">
              <w:rPr>
                <w:rFonts w:cs="Simplified Arabic"/>
                <w:sz w:val="20"/>
                <w:szCs w:val="22"/>
                <w:rtl/>
              </w:rPr>
              <w:t>أقصى عمق</w:t>
            </w:r>
            <w:r w:rsidRPr="00E2695B">
              <w:rPr>
                <w:rFonts w:cs="Simplified Arabic" w:hint="cs"/>
                <w:sz w:val="20"/>
                <w:szCs w:val="22"/>
                <w:rtl/>
              </w:rPr>
              <w:t xml:space="preserve"> لها إلى</w:t>
            </w:r>
            <w:r w:rsidRPr="00E2695B">
              <w:rPr>
                <w:rFonts w:cs="Simplified Arabic"/>
                <w:sz w:val="20"/>
                <w:szCs w:val="22"/>
                <w:rtl/>
              </w:rPr>
              <w:t xml:space="preserve"> 80 مترا</w:t>
            </w:r>
            <w:r w:rsidRPr="00E2695B">
              <w:rPr>
                <w:rFonts w:cs="Simplified Arabic" w:hint="cs"/>
                <w:sz w:val="20"/>
                <w:szCs w:val="22"/>
                <w:rtl/>
              </w:rPr>
              <w:t>ً</w:t>
            </w:r>
            <w:r w:rsidRPr="00E2695B">
              <w:rPr>
                <w:rFonts w:cs="Simplified Arabic"/>
                <w:sz w:val="20"/>
                <w:szCs w:val="22"/>
                <w:rtl/>
              </w:rPr>
              <w:t>) و</w:t>
            </w:r>
            <w:r w:rsidRPr="00E2695B">
              <w:rPr>
                <w:rFonts w:cs="Simplified Arabic" w:hint="cs"/>
                <w:sz w:val="20"/>
                <w:szCs w:val="22"/>
                <w:rtl/>
              </w:rPr>
              <w:t>ت</w:t>
            </w:r>
            <w:r w:rsidRPr="00E2695B">
              <w:rPr>
                <w:rFonts w:cs="Simplified Arabic"/>
                <w:sz w:val="20"/>
                <w:szCs w:val="22"/>
                <w:rtl/>
              </w:rPr>
              <w:t>تميز ب</w:t>
            </w:r>
            <w:r w:rsidRPr="00E2695B">
              <w:rPr>
                <w:rFonts w:cs="Simplified Arabic" w:hint="cs"/>
                <w:sz w:val="20"/>
                <w:szCs w:val="22"/>
                <w:rtl/>
              </w:rPr>
              <w:t xml:space="preserve">وجود </w:t>
            </w:r>
            <w:r w:rsidRPr="00E2695B">
              <w:rPr>
                <w:rFonts w:cs="Simplified Arabic"/>
                <w:sz w:val="20"/>
                <w:szCs w:val="22"/>
                <w:rtl/>
              </w:rPr>
              <w:t xml:space="preserve">مئات الجزر </w:t>
            </w:r>
            <w:r w:rsidRPr="00E2695B">
              <w:rPr>
                <w:rFonts w:cs="Simplified Arabic" w:hint="cs"/>
                <w:sz w:val="20"/>
                <w:szCs w:val="22"/>
                <w:rtl/>
              </w:rPr>
              <w:t xml:space="preserve">الصغيرة </w:t>
            </w:r>
            <w:r w:rsidRPr="00E2695B">
              <w:rPr>
                <w:rFonts w:cs="Simplified Arabic"/>
                <w:sz w:val="20"/>
                <w:szCs w:val="22"/>
                <w:rtl/>
              </w:rPr>
              <w:t>والجزر ال</w:t>
            </w:r>
            <w:r w:rsidRPr="00E2695B">
              <w:rPr>
                <w:rFonts w:cs="Simplified Arabic" w:hint="cs"/>
                <w:sz w:val="20"/>
                <w:szCs w:val="22"/>
                <w:rtl/>
              </w:rPr>
              <w:t xml:space="preserve">أصغر </w:t>
            </w:r>
            <w:r w:rsidRPr="00E2695B">
              <w:rPr>
                <w:rFonts w:cs="Simplified Arabic"/>
                <w:sz w:val="20"/>
                <w:szCs w:val="22"/>
                <w:rtl/>
              </w:rPr>
              <w:t>والبحيرات الساحلية</w:t>
            </w:r>
            <w:r w:rsidRPr="00E2695B">
              <w:rPr>
                <w:rFonts w:cs="Simplified Arabic" w:hint="cs"/>
                <w:sz w:val="20"/>
                <w:szCs w:val="22"/>
                <w:rtl/>
              </w:rPr>
              <w:t xml:space="preserve"> </w:t>
            </w:r>
            <w:r w:rsidRPr="00E2695B">
              <w:rPr>
                <w:rFonts w:cs="Simplified Arabic"/>
                <w:sz w:val="20"/>
                <w:szCs w:val="22"/>
                <w:rtl/>
              </w:rPr>
              <w:t xml:space="preserve">والمداخل الضيقة الشمالية، فضلاً عن </w:t>
            </w:r>
            <w:r w:rsidRPr="00E2695B">
              <w:rPr>
                <w:rFonts w:cs="Simplified Arabic" w:hint="cs"/>
                <w:sz w:val="20"/>
                <w:szCs w:val="22"/>
                <w:rtl/>
              </w:rPr>
              <w:t>منطقة واسعة</w:t>
            </w:r>
            <w:r w:rsidRPr="00E2695B">
              <w:rPr>
                <w:rFonts w:cs="Simplified Arabic"/>
                <w:sz w:val="20"/>
                <w:szCs w:val="22"/>
                <w:rtl/>
              </w:rPr>
              <w:t xml:space="preserve"> من </w:t>
            </w:r>
            <w:r w:rsidRPr="00E2695B">
              <w:rPr>
                <w:rFonts w:cs="Simplified Arabic" w:hint="cs"/>
                <w:sz w:val="20"/>
                <w:szCs w:val="22"/>
                <w:rtl/>
              </w:rPr>
              <w:t>أعالي البحار</w:t>
            </w:r>
            <w:r w:rsidRPr="00E2695B">
              <w:rPr>
                <w:rFonts w:cs="Simplified Arabic"/>
                <w:sz w:val="20"/>
                <w:szCs w:val="22"/>
                <w:rtl/>
              </w:rPr>
              <w:t>. و</w:t>
            </w:r>
            <w:r w:rsidRPr="00E2695B">
              <w:rPr>
                <w:rFonts w:cs="Simplified Arabic" w:hint="cs"/>
                <w:sz w:val="20"/>
                <w:szCs w:val="22"/>
                <w:rtl/>
              </w:rPr>
              <w:t>تدل</w:t>
            </w:r>
            <w:r w:rsidRPr="00E2695B">
              <w:rPr>
                <w:rFonts w:cs="Simplified Arabic"/>
                <w:sz w:val="20"/>
                <w:szCs w:val="22"/>
                <w:rtl/>
              </w:rPr>
              <w:t xml:space="preserve"> جيومورفولوجيا المنطقة</w:t>
            </w:r>
            <w:r w:rsidRPr="00E2695B">
              <w:rPr>
                <w:rFonts w:cs="Simplified Arabic" w:hint="cs"/>
                <w:sz w:val="20"/>
                <w:szCs w:val="22"/>
                <w:rtl/>
              </w:rPr>
              <w:t xml:space="preserve"> على وجود</w:t>
            </w:r>
            <w:r w:rsidRPr="00E2695B">
              <w:rPr>
                <w:rFonts w:cs="Simplified Arabic"/>
                <w:sz w:val="20"/>
                <w:szCs w:val="22"/>
                <w:rtl/>
              </w:rPr>
              <w:t xml:space="preserve"> علامات واضحة من آخر </w:t>
            </w:r>
            <w:r w:rsidRPr="00E2695B">
              <w:rPr>
                <w:rFonts w:cs="Simplified Arabic" w:hint="cs"/>
                <w:sz w:val="20"/>
                <w:szCs w:val="22"/>
                <w:rtl/>
              </w:rPr>
              <w:t>غمر جليدي</w:t>
            </w:r>
            <w:r w:rsidRPr="00E2695B">
              <w:rPr>
                <w:rFonts w:cs="Simplified Arabic"/>
                <w:sz w:val="20"/>
                <w:szCs w:val="22"/>
                <w:rtl/>
              </w:rPr>
              <w:t xml:space="preserve">، مثل </w:t>
            </w:r>
            <w:r w:rsidRPr="00E2695B">
              <w:rPr>
                <w:rFonts w:cs="Simplified Arabic" w:hint="cs"/>
                <w:sz w:val="20"/>
                <w:szCs w:val="22"/>
                <w:rtl/>
              </w:rPr>
              <w:t>الركامات الجليدية الطرفية</w:t>
            </w:r>
            <w:r w:rsidRPr="00E2695B">
              <w:rPr>
                <w:rFonts w:cs="Simplified Arabic"/>
                <w:sz w:val="20"/>
                <w:szCs w:val="22"/>
                <w:rtl/>
              </w:rPr>
              <w:t xml:space="preserve">، والشواطئ الرملية، والجزر الصخرية، ومجموعات الكتل </w:t>
            </w:r>
            <w:r w:rsidRPr="00E2695B">
              <w:rPr>
                <w:rFonts w:cs="Simplified Arabic" w:hint="cs"/>
                <w:sz w:val="20"/>
                <w:szCs w:val="22"/>
                <w:rtl/>
              </w:rPr>
              <w:t>المجروفة</w:t>
            </w:r>
            <w:r w:rsidRPr="00E2695B">
              <w:rPr>
                <w:rFonts w:cs="Simplified Arabic"/>
                <w:sz w:val="20"/>
                <w:szCs w:val="22"/>
                <w:rtl/>
              </w:rPr>
              <w:t>. ونظراً لانخفاض</w:t>
            </w:r>
            <w:r w:rsidRPr="00E2695B">
              <w:rPr>
                <w:rFonts w:cs="Simplified Arabic" w:hint="cs"/>
                <w:sz w:val="20"/>
                <w:szCs w:val="22"/>
                <w:rtl/>
              </w:rPr>
              <w:t xml:space="preserve"> درجة</w:t>
            </w:r>
            <w:r w:rsidRPr="00E2695B">
              <w:rPr>
                <w:rFonts w:cs="Simplified Arabic"/>
                <w:sz w:val="20"/>
                <w:szCs w:val="22"/>
                <w:rtl/>
              </w:rPr>
              <w:t xml:space="preserve"> الملوحة (من </w:t>
            </w:r>
            <w:r w:rsidRPr="00E2695B">
              <w:rPr>
                <w:rFonts w:cs="Simplified Arabic" w:hint="cs"/>
                <w:sz w:val="20"/>
                <w:szCs w:val="22"/>
                <w:rtl/>
              </w:rPr>
              <w:t>ال</w:t>
            </w:r>
            <w:r w:rsidRPr="00E2695B">
              <w:rPr>
                <w:rFonts w:cs="Simplified Arabic"/>
                <w:sz w:val="20"/>
                <w:szCs w:val="22"/>
                <w:rtl/>
              </w:rPr>
              <w:t xml:space="preserve">صفر إلى </w:t>
            </w:r>
            <w:r w:rsidRPr="00E2695B">
              <w:rPr>
                <w:rFonts w:cs="Simplified Arabic" w:hint="cs"/>
                <w:sz w:val="20"/>
                <w:szCs w:val="22"/>
                <w:rtl/>
              </w:rPr>
              <w:t>5 في الألف في</w:t>
            </w:r>
            <w:r w:rsidRPr="00E2695B">
              <w:rPr>
                <w:rFonts w:cs="Simplified Arabic"/>
                <w:sz w:val="20"/>
                <w:szCs w:val="22"/>
                <w:rtl/>
              </w:rPr>
              <w:t xml:space="preserve"> طبقة سطح البحر)، </w:t>
            </w:r>
            <w:r w:rsidRPr="00E2695B">
              <w:rPr>
                <w:rFonts w:cs="Simplified Arabic" w:hint="cs"/>
                <w:sz w:val="20"/>
                <w:szCs w:val="22"/>
                <w:rtl/>
              </w:rPr>
              <w:t>تمثل</w:t>
            </w:r>
            <w:r w:rsidRPr="00E2695B">
              <w:rPr>
                <w:rFonts w:cs="Simplified Arabic"/>
                <w:sz w:val="20"/>
                <w:szCs w:val="22"/>
                <w:rtl/>
              </w:rPr>
              <w:t xml:space="preserve"> تركيبة الأنواع </w:t>
            </w:r>
            <w:r w:rsidRPr="00E2695B">
              <w:rPr>
                <w:rFonts w:cs="Simplified Arabic" w:hint="cs"/>
                <w:sz w:val="20"/>
                <w:szCs w:val="22"/>
                <w:rtl/>
              </w:rPr>
              <w:t>مزيجاً</w:t>
            </w:r>
            <w:r w:rsidRPr="00E2695B">
              <w:rPr>
                <w:rFonts w:cs="Simplified Arabic"/>
                <w:sz w:val="20"/>
                <w:szCs w:val="22"/>
                <w:rtl/>
              </w:rPr>
              <w:t xml:space="preserve"> من </w:t>
            </w:r>
            <w:r w:rsidRPr="00E2695B">
              <w:rPr>
                <w:rFonts w:cs="Simplified Arabic" w:hint="cs"/>
                <w:sz w:val="20"/>
                <w:szCs w:val="22"/>
                <w:rtl/>
              </w:rPr>
              <w:t>كائنات المياه</w:t>
            </w:r>
            <w:r w:rsidRPr="00E2695B">
              <w:rPr>
                <w:rFonts w:cs="Simplified Arabic"/>
                <w:sz w:val="20"/>
                <w:szCs w:val="22"/>
                <w:rtl/>
              </w:rPr>
              <w:t xml:space="preserve"> العذبة والكائنات البحرية، </w:t>
            </w:r>
            <w:r w:rsidRPr="00E2695B">
              <w:rPr>
                <w:rFonts w:cs="Simplified Arabic" w:hint="cs"/>
                <w:sz w:val="20"/>
                <w:szCs w:val="22"/>
                <w:rtl/>
              </w:rPr>
              <w:t xml:space="preserve">ويتميز </w:t>
            </w:r>
            <w:r w:rsidRPr="00E2695B">
              <w:rPr>
                <w:rFonts w:cs="Simplified Arabic"/>
                <w:sz w:val="20"/>
                <w:szCs w:val="22"/>
                <w:rtl/>
              </w:rPr>
              <w:t>تنوع النباتات المائية</w:t>
            </w:r>
            <w:r w:rsidRPr="00E2695B">
              <w:rPr>
                <w:rFonts w:cs="Simplified Arabic" w:hint="cs"/>
                <w:sz w:val="20"/>
                <w:szCs w:val="22"/>
                <w:rtl/>
              </w:rPr>
              <w:t>، على وجه التحديد،</w:t>
            </w:r>
            <w:r w:rsidRPr="00E2695B">
              <w:rPr>
                <w:rFonts w:cs="Simplified Arabic"/>
                <w:sz w:val="20"/>
                <w:szCs w:val="22"/>
                <w:rtl/>
              </w:rPr>
              <w:t xml:space="preserve"> </w:t>
            </w:r>
            <w:r w:rsidRPr="00E2695B">
              <w:rPr>
                <w:rFonts w:cs="Simplified Arabic" w:hint="cs"/>
                <w:sz w:val="20"/>
                <w:szCs w:val="22"/>
                <w:rtl/>
              </w:rPr>
              <w:t>بمستواه المرتفع</w:t>
            </w:r>
            <w:r w:rsidRPr="00E2695B">
              <w:rPr>
                <w:rFonts w:cs="Simplified Arabic"/>
                <w:sz w:val="20"/>
                <w:szCs w:val="22"/>
                <w:rtl/>
              </w:rPr>
              <w:t>.</w:t>
            </w:r>
            <w:r w:rsidRPr="00E2695B">
              <w:rPr>
                <w:rFonts w:cs="Simplified Arabic" w:hint="cs"/>
                <w:sz w:val="20"/>
                <w:szCs w:val="22"/>
                <w:rtl/>
              </w:rPr>
              <w:t xml:space="preserve"> </w:t>
            </w:r>
            <w:r w:rsidRPr="00E2695B">
              <w:rPr>
                <w:rFonts w:cs="Simplified Arabic"/>
                <w:sz w:val="20"/>
                <w:szCs w:val="22"/>
                <w:rtl/>
              </w:rPr>
              <w:t>وتعيش العديد من الأنواع البحرية، بما فيها الأنواع الرئيسية التي تستخدم الموائل، مثل الفوقس الحويصلي (</w:t>
            </w:r>
            <w:r w:rsidRPr="00366E36">
              <w:rPr>
                <w:rFonts w:cs="Simplified Arabic"/>
                <w:i/>
                <w:sz w:val="20"/>
                <w:szCs w:val="22"/>
                <w:lang w:val="en-US"/>
              </w:rPr>
              <w:t>Fucus vesiculosus</w:t>
            </w:r>
            <w:r w:rsidRPr="00E2695B">
              <w:rPr>
                <w:rFonts w:cs="Simplified Arabic"/>
                <w:sz w:val="20"/>
                <w:szCs w:val="22"/>
                <w:rtl/>
              </w:rPr>
              <w:t>) وبلح البحر الأزرق (</w:t>
            </w:r>
            <w:r w:rsidRPr="00366E36">
              <w:rPr>
                <w:rFonts w:cs="Simplified Arabic"/>
                <w:i/>
                <w:sz w:val="20"/>
                <w:szCs w:val="22"/>
                <w:lang w:val="en-US"/>
              </w:rPr>
              <w:t>Mytilus trossulus</w:t>
            </w:r>
            <w:r w:rsidRPr="00E2695B">
              <w:rPr>
                <w:rFonts w:cs="Simplified Arabic"/>
                <w:sz w:val="20"/>
                <w:szCs w:val="22"/>
                <w:rtl/>
              </w:rPr>
              <w:t>)، في حدود توزيعها الجغرافي، وهو ما يجعلها عرضة للاضطرابات التي يحدثها الإنسان ولآثار تغير المناخ. وتأوي المنطقة عدداً وافراً من الطيور وتدعم إحدى أكثر مجموعات الفقمة الحلقية (</w:t>
            </w:r>
            <w:r w:rsidRPr="00366E36">
              <w:rPr>
                <w:rFonts w:cs="Simplified Arabic"/>
                <w:i/>
                <w:iCs/>
                <w:sz w:val="20"/>
                <w:szCs w:val="22"/>
                <w:lang w:val="en-US"/>
              </w:rPr>
              <w:t>Pusa hispida botnica</w:t>
            </w:r>
            <w:r w:rsidRPr="00E2695B">
              <w:rPr>
                <w:rFonts w:cs="Simplified Arabic"/>
                <w:sz w:val="20"/>
                <w:szCs w:val="22"/>
                <w:rtl/>
              </w:rPr>
              <w:t>) المهددة بالانقراض في بحر البلطيق.</w:t>
            </w: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lastRenderedPageBreak/>
              <w:t xml:space="preserve">5- </w:t>
            </w:r>
            <w:r w:rsidRPr="00E2695B">
              <w:rPr>
                <w:bCs/>
                <w:sz w:val="20"/>
                <w:szCs w:val="22"/>
                <w:rtl/>
              </w:rPr>
              <w:t>البحر الداخلي للأرخبيل الغربي ال</w:t>
            </w:r>
            <w:r w:rsidRPr="00E2695B">
              <w:rPr>
                <w:rFonts w:hint="cs"/>
                <w:bCs/>
                <w:sz w:val="20"/>
                <w:szCs w:val="22"/>
                <w:rtl/>
              </w:rPr>
              <w:t>إ</w:t>
            </w:r>
            <w:r w:rsidRPr="00E2695B">
              <w:rPr>
                <w:bCs/>
                <w:sz w:val="20"/>
                <w:szCs w:val="22"/>
                <w:rtl/>
              </w:rPr>
              <w:t>ستوني</w:t>
            </w:r>
          </w:p>
          <w:p w:rsidR="000A5DEA" w:rsidRPr="00FB5F9E" w:rsidRDefault="000A5DEA" w:rsidP="00CD26C5">
            <w:pPr>
              <w:numPr>
                <w:ilvl w:val="0"/>
                <w:numId w:val="116"/>
              </w:numPr>
              <w:suppressAutoHyphens/>
              <w:snapToGrid w:val="0"/>
              <w:spacing w:after="0" w:line="204" w:lineRule="auto"/>
              <w:rPr>
                <w:rStyle w:val="Italic"/>
                <w:rFonts w:eastAsia="Times New Roman"/>
                <w:i w:val="0"/>
              </w:rPr>
            </w:pPr>
            <w:r w:rsidRPr="00E2695B">
              <w:rPr>
                <w:rStyle w:val="Italic"/>
                <w:rFonts w:eastAsia="Malgun Gothic"/>
                <w:rtl/>
              </w:rPr>
              <w:t>الموقع: تقع</w:t>
            </w:r>
            <w:r w:rsidRPr="00E2695B">
              <w:rPr>
                <w:rStyle w:val="Italic"/>
                <w:rFonts w:eastAsia="Malgun Gothic" w:hint="cs"/>
                <w:rtl/>
              </w:rPr>
              <w:t xml:space="preserve"> هذه</w:t>
            </w:r>
            <w:r w:rsidRPr="00E2695B">
              <w:rPr>
                <w:rStyle w:val="Italic"/>
                <w:rFonts w:eastAsia="Malgun Gothic"/>
                <w:rtl/>
              </w:rPr>
              <w:t xml:space="preserve"> المنطقة في </w:t>
            </w:r>
            <w:r w:rsidRPr="00E2695B">
              <w:rPr>
                <w:rStyle w:val="Italic"/>
                <w:rFonts w:eastAsia="Malgun Gothic" w:hint="cs"/>
                <w:rtl/>
              </w:rPr>
              <w:t>ال</w:t>
            </w:r>
            <w:r w:rsidRPr="00E2695B">
              <w:rPr>
                <w:rStyle w:val="Italic"/>
                <w:rFonts w:eastAsia="Malgun Gothic"/>
                <w:rtl/>
              </w:rPr>
              <w:t>م</w:t>
            </w:r>
            <w:r w:rsidRPr="00E2695B">
              <w:rPr>
                <w:rStyle w:val="Italic"/>
                <w:rFonts w:eastAsia="Malgun Gothic" w:hint="cs"/>
                <w:rtl/>
              </w:rPr>
              <w:t>جال</w:t>
            </w:r>
            <w:r w:rsidRPr="00E2695B">
              <w:rPr>
                <w:rStyle w:val="Italic"/>
                <w:rFonts w:eastAsia="Malgun Gothic"/>
                <w:rtl/>
              </w:rPr>
              <w:t xml:space="preserve"> البحر</w:t>
            </w:r>
            <w:r w:rsidRPr="00E2695B">
              <w:rPr>
                <w:rStyle w:val="Italic"/>
                <w:rFonts w:eastAsia="Malgun Gothic" w:hint="cs"/>
                <w:rtl/>
              </w:rPr>
              <w:t>ي</w:t>
            </w:r>
            <w:r w:rsidRPr="00E2695B">
              <w:rPr>
                <w:rStyle w:val="Italic"/>
                <w:rFonts w:eastAsia="Malgun Gothic"/>
                <w:rtl/>
              </w:rPr>
              <w:t xml:space="preserve"> الداخلي </w:t>
            </w:r>
            <w:r w:rsidRPr="00E2695B">
              <w:rPr>
                <w:rStyle w:val="Italic"/>
                <w:rFonts w:eastAsia="Malgun Gothic" w:hint="cs"/>
                <w:rtl/>
              </w:rPr>
              <w:t>للأرخبيل</w:t>
            </w:r>
            <w:r w:rsidRPr="00E2695B">
              <w:rPr>
                <w:rStyle w:val="Italic"/>
                <w:rFonts w:eastAsia="Malgun Gothic"/>
                <w:rtl/>
              </w:rPr>
              <w:t xml:space="preserve"> الغربي ا</w:t>
            </w:r>
            <w:r w:rsidRPr="00E2695B">
              <w:rPr>
                <w:rStyle w:val="Italic"/>
                <w:rFonts w:eastAsia="Malgun Gothic" w:hint="cs"/>
                <w:rtl/>
              </w:rPr>
              <w:t>لإستوني الواقع</w:t>
            </w:r>
            <w:r w:rsidRPr="00E2695B">
              <w:rPr>
                <w:rStyle w:val="Italic"/>
                <w:rFonts w:eastAsia="Malgun Gothic"/>
                <w:rtl/>
              </w:rPr>
              <w:t xml:space="preserve"> في شمال شرق بحر البلطيق</w:t>
            </w:r>
            <w:r w:rsidRPr="00FB5F9E">
              <w:rPr>
                <w:rStyle w:val="Italic"/>
                <w:rFonts w:eastAsia="Malgun Gothic"/>
              </w:rPr>
              <w:t>.</w:t>
            </w:r>
          </w:p>
          <w:p w:rsidR="000A5DEA" w:rsidRPr="00AE5E25" w:rsidRDefault="000A5DEA" w:rsidP="00CD26C5">
            <w:pPr>
              <w:numPr>
                <w:ilvl w:val="0"/>
                <w:numId w:val="116"/>
              </w:numPr>
              <w:suppressAutoHyphens/>
              <w:snapToGrid w:val="0"/>
              <w:spacing w:after="0" w:line="204" w:lineRule="auto"/>
              <w:rPr>
                <w:sz w:val="20"/>
                <w:szCs w:val="22"/>
              </w:rPr>
            </w:pPr>
            <w:r w:rsidRPr="00E2695B">
              <w:rPr>
                <w:sz w:val="20"/>
                <w:szCs w:val="22"/>
                <w:rtl/>
              </w:rPr>
              <w:t>تشكل هذه المنطقة نظاما</w:t>
            </w:r>
            <w:r w:rsidRPr="00E2695B">
              <w:rPr>
                <w:rFonts w:hint="cs"/>
                <w:sz w:val="20"/>
                <w:szCs w:val="22"/>
                <w:rtl/>
              </w:rPr>
              <w:t>ً</w:t>
            </w:r>
            <w:r w:rsidRPr="00E2695B">
              <w:rPr>
                <w:sz w:val="20"/>
                <w:szCs w:val="22"/>
                <w:rtl/>
              </w:rPr>
              <w:t xml:space="preserve"> </w:t>
            </w:r>
            <w:r w:rsidRPr="00E2695B">
              <w:rPr>
                <w:rFonts w:hint="cs"/>
                <w:sz w:val="20"/>
                <w:szCs w:val="22"/>
                <w:rtl/>
              </w:rPr>
              <w:t xml:space="preserve">إيكولوجياً </w:t>
            </w:r>
            <w:r w:rsidRPr="00E2695B">
              <w:rPr>
                <w:sz w:val="20"/>
                <w:szCs w:val="22"/>
                <w:rtl/>
              </w:rPr>
              <w:t>فريدا</w:t>
            </w:r>
            <w:r w:rsidRPr="00E2695B">
              <w:rPr>
                <w:rFonts w:hint="cs"/>
                <w:sz w:val="20"/>
                <w:szCs w:val="22"/>
                <w:rtl/>
              </w:rPr>
              <w:t>ً من نوعه</w:t>
            </w:r>
            <w:r w:rsidRPr="00E2695B">
              <w:rPr>
                <w:sz w:val="20"/>
                <w:szCs w:val="22"/>
                <w:rtl/>
              </w:rPr>
              <w:t xml:space="preserve"> في الجزء الشمالي الشرقي من بحر البلطيق. </w:t>
            </w:r>
            <w:r w:rsidRPr="00E2695B">
              <w:rPr>
                <w:rFonts w:hint="cs"/>
                <w:sz w:val="20"/>
                <w:szCs w:val="22"/>
                <w:rtl/>
              </w:rPr>
              <w:t>ومن الناحية الجيولوجية، تمثل المنطقة</w:t>
            </w:r>
            <w:r w:rsidRPr="00E2695B">
              <w:rPr>
                <w:sz w:val="20"/>
                <w:szCs w:val="22"/>
                <w:rtl/>
              </w:rPr>
              <w:t xml:space="preserve"> تكوين</w:t>
            </w:r>
            <w:r w:rsidRPr="00E2695B">
              <w:rPr>
                <w:rFonts w:hint="cs"/>
                <w:sz w:val="20"/>
                <w:szCs w:val="22"/>
                <w:rtl/>
              </w:rPr>
              <w:t>اً</w:t>
            </w:r>
            <w:r w:rsidRPr="00E2695B">
              <w:rPr>
                <w:sz w:val="20"/>
                <w:szCs w:val="22"/>
                <w:rtl/>
              </w:rPr>
              <w:t xml:space="preserve"> جليدي</w:t>
            </w:r>
            <w:r w:rsidRPr="00E2695B">
              <w:rPr>
                <w:rFonts w:hint="cs"/>
                <w:sz w:val="20"/>
                <w:szCs w:val="22"/>
                <w:rtl/>
              </w:rPr>
              <w:t>اً</w:t>
            </w:r>
            <w:r w:rsidRPr="00E2695B">
              <w:rPr>
                <w:sz w:val="20"/>
                <w:szCs w:val="22"/>
                <w:rtl/>
              </w:rPr>
              <w:t xml:space="preserve"> يت</w:t>
            </w:r>
            <w:r w:rsidRPr="00E2695B">
              <w:rPr>
                <w:rFonts w:hint="cs"/>
                <w:sz w:val="20"/>
                <w:szCs w:val="22"/>
                <w:rtl/>
              </w:rPr>
              <w:t>ألف</w:t>
            </w:r>
            <w:r w:rsidRPr="00E2695B">
              <w:rPr>
                <w:sz w:val="20"/>
                <w:szCs w:val="22"/>
                <w:rtl/>
              </w:rPr>
              <w:t xml:space="preserve"> من</w:t>
            </w:r>
            <w:r w:rsidRPr="00E2695B">
              <w:rPr>
                <w:rFonts w:hint="cs"/>
                <w:sz w:val="20"/>
                <w:szCs w:val="22"/>
                <w:rtl/>
              </w:rPr>
              <w:t xml:space="preserve"> مواد تحتية</w:t>
            </w:r>
            <w:r w:rsidRPr="00E2695B">
              <w:rPr>
                <w:sz w:val="20"/>
                <w:szCs w:val="22"/>
                <w:rtl/>
              </w:rPr>
              <w:t xml:space="preserve"> متغيرة من </w:t>
            </w:r>
            <w:r w:rsidRPr="00E2695B">
              <w:rPr>
                <w:rFonts w:hint="cs"/>
                <w:sz w:val="20"/>
                <w:szCs w:val="22"/>
                <w:rtl/>
              </w:rPr>
              <w:t>ال</w:t>
            </w:r>
            <w:r w:rsidRPr="00E2695B">
              <w:rPr>
                <w:sz w:val="20"/>
                <w:szCs w:val="22"/>
                <w:rtl/>
              </w:rPr>
              <w:t xml:space="preserve">ركام الجليدي. </w:t>
            </w:r>
            <w:r w:rsidRPr="00E2695B">
              <w:rPr>
                <w:rFonts w:hint="cs"/>
                <w:sz w:val="20"/>
                <w:szCs w:val="22"/>
                <w:rtl/>
              </w:rPr>
              <w:t>وهي ضحلة للغاية</w:t>
            </w:r>
            <w:r w:rsidRPr="00E2695B">
              <w:rPr>
                <w:sz w:val="20"/>
                <w:szCs w:val="22"/>
                <w:rtl/>
              </w:rPr>
              <w:t xml:space="preserve"> </w:t>
            </w:r>
            <w:r w:rsidRPr="00E2695B">
              <w:rPr>
                <w:rFonts w:hint="cs"/>
                <w:sz w:val="20"/>
                <w:szCs w:val="22"/>
                <w:rtl/>
              </w:rPr>
              <w:t>ويقل متوسط عمقها عن</w:t>
            </w:r>
            <w:r w:rsidRPr="00E2695B">
              <w:rPr>
                <w:sz w:val="20"/>
                <w:szCs w:val="22"/>
                <w:rtl/>
              </w:rPr>
              <w:t xml:space="preserve"> 4 </w:t>
            </w:r>
            <w:r w:rsidRPr="00E2695B">
              <w:rPr>
                <w:rFonts w:hint="cs"/>
                <w:sz w:val="20"/>
                <w:szCs w:val="22"/>
                <w:rtl/>
              </w:rPr>
              <w:t>أمتار،</w:t>
            </w:r>
            <w:r w:rsidRPr="00E2695B">
              <w:rPr>
                <w:sz w:val="20"/>
                <w:szCs w:val="22"/>
                <w:rtl/>
              </w:rPr>
              <w:t xml:space="preserve"> </w:t>
            </w:r>
            <w:r w:rsidRPr="00E2695B">
              <w:rPr>
                <w:rFonts w:hint="cs"/>
                <w:sz w:val="20"/>
                <w:szCs w:val="22"/>
                <w:rtl/>
              </w:rPr>
              <w:t>وتقع معظم</w:t>
            </w:r>
            <w:r w:rsidRPr="00E2695B">
              <w:rPr>
                <w:sz w:val="20"/>
                <w:szCs w:val="22"/>
                <w:rtl/>
              </w:rPr>
              <w:t xml:space="preserve"> </w:t>
            </w:r>
            <w:r w:rsidRPr="00E2695B">
              <w:rPr>
                <w:rFonts w:hint="cs"/>
                <w:sz w:val="20"/>
                <w:szCs w:val="22"/>
                <w:rtl/>
              </w:rPr>
              <w:t>مناطق قاع</w:t>
            </w:r>
            <w:r w:rsidRPr="00E2695B">
              <w:rPr>
                <w:sz w:val="20"/>
                <w:szCs w:val="22"/>
                <w:rtl/>
              </w:rPr>
              <w:t xml:space="preserve"> </w:t>
            </w:r>
            <w:r w:rsidRPr="00E2695B">
              <w:rPr>
                <w:rFonts w:hint="cs"/>
                <w:sz w:val="20"/>
                <w:szCs w:val="22"/>
                <w:rtl/>
              </w:rPr>
              <w:t>البحر</w:t>
            </w:r>
            <w:r w:rsidRPr="00E2695B">
              <w:rPr>
                <w:sz w:val="20"/>
                <w:szCs w:val="22"/>
                <w:rtl/>
              </w:rPr>
              <w:t xml:space="preserve"> </w:t>
            </w:r>
            <w:r w:rsidRPr="00E2695B">
              <w:rPr>
                <w:rFonts w:hint="cs"/>
                <w:sz w:val="20"/>
                <w:szCs w:val="22"/>
                <w:rtl/>
              </w:rPr>
              <w:t>في</w:t>
            </w:r>
            <w:r w:rsidRPr="00E2695B">
              <w:rPr>
                <w:sz w:val="20"/>
                <w:szCs w:val="22"/>
                <w:rtl/>
              </w:rPr>
              <w:t xml:space="preserve"> </w:t>
            </w:r>
            <w:r w:rsidRPr="00E2695B">
              <w:rPr>
                <w:rFonts w:hint="cs"/>
                <w:sz w:val="20"/>
                <w:szCs w:val="22"/>
                <w:rtl/>
              </w:rPr>
              <w:t>المنطقة</w:t>
            </w:r>
            <w:r w:rsidRPr="00E2695B">
              <w:rPr>
                <w:sz w:val="20"/>
                <w:szCs w:val="22"/>
                <w:rtl/>
              </w:rPr>
              <w:t xml:space="preserve"> </w:t>
            </w:r>
            <w:r w:rsidRPr="00E2695B">
              <w:rPr>
                <w:rFonts w:hint="cs"/>
                <w:sz w:val="20"/>
                <w:szCs w:val="22"/>
                <w:rtl/>
              </w:rPr>
              <w:t>الضوئية</w:t>
            </w:r>
            <w:r w:rsidRPr="00E2695B">
              <w:rPr>
                <w:sz w:val="20"/>
                <w:szCs w:val="22"/>
                <w:rtl/>
              </w:rPr>
              <w:t xml:space="preserve">. </w:t>
            </w:r>
            <w:r w:rsidRPr="00E2695B">
              <w:rPr>
                <w:rFonts w:hint="cs"/>
                <w:sz w:val="20"/>
                <w:szCs w:val="22"/>
                <w:rtl/>
              </w:rPr>
              <w:t>ويؤدي</w:t>
            </w:r>
            <w:r w:rsidRPr="00E2695B">
              <w:rPr>
                <w:sz w:val="20"/>
                <w:szCs w:val="22"/>
                <w:rtl/>
              </w:rPr>
              <w:t xml:space="preserve"> تدرج </w:t>
            </w:r>
            <w:r w:rsidRPr="00E2695B">
              <w:rPr>
                <w:rFonts w:hint="cs"/>
                <w:sz w:val="20"/>
                <w:szCs w:val="22"/>
                <w:rtl/>
              </w:rPr>
              <w:t>الملوحة في هذه المنطقة</w:t>
            </w:r>
            <w:r w:rsidRPr="00E2695B">
              <w:rPr>
                <w:sz w:val="20"/>
                <w:szCs w:val="22"/>
                <w:rtl/>
              </w:rPr>
              <w:t xml:space="preserve"> من ظروف المياه العذبة داخل الأجزاء الشرقية القصوى </w:t>
            </w:r>
            <w:r w:rsidRPr="00E2695B">
              <w:rPr>
                <w:rFonts w:hint="cs"/>
                <w:sz w:val="20"/>
                <w:szCs w:val="22"/>
                <w:rtl/>
              </w:rPr>
              <w:t>ل</w:t>
            </w:r>
            <w:r w:rsidRPr="00E2695B">
              <w:rPr>
                <w:sz w:val="20"/>
                <w:szCs w:val="22"/>
                <w:rtl/>
              </w:rPr>
              <w:t xml:space="preserve">خليج ماتسالو إلى ما يصل إلى 6-7 </w:t>
            </w:r>
            <w:r w:rsidRPr="00E2695B">
              <w:rPr>
                <w:rFonts w:hint="cs"/>
                <w:sz w:val="20"/>
                <w:szCs w:val="22"/>
                <w:rtl/>
              </w:rPr>
              <w:t>وحدات ملوحة عملية</w:t>
            </w:r>
            <w:r w:rsidRPr="00E2695B">
              <w:rPr>
                <w:sz w:val="20"/>
                <w:szCs w:val="22"/>
                <w:rtl/>
              </w:rPr>
              <w:t xml:space="preserve"> في الجزء الغربي من مضيق سويلا، و</w:t>
            </w:r>
            <w:r w:rsidRPr="00E2695B">
              <w:rPr>
                <w:rFonts w:hint="cs"/>
                <w:sz w:val="20"/>
                <w:szCs w:val="22"/>
                <w:rtl/>
              </w:rPr>
              <w:t xml:space="preserve">وجود </w:t>
            </w:r>
            <w:r w:rsidRPr="00E2695B">
              <w:rPr>
                <w:sz w:val="20"/>
                <w:szCs w:val="22"/>
                <w:rtl/>
              </w:rPr>
              <w:t>منطقة</w:t>
            </w:r>
            <w:r w:rsidRPr="00E2695B">
              <w:rPr>
                <w:rFonts w:hint="cs"/>
                <w:sz w:val="20"/>
                <w:szCs w:val="22"/>
                <w:rtl/>
              </w:rPr>
              <w:t xml:space="preserve"> أمامية</w:t>
            </w:r>
            <w:r w:rsidRPr="00E2695B">
              <w:rPr>
                <w:sz w:val="20"/>
                <w:szCs w:val="22"/>
                <w:rtl/>
              </w:rPr>
              <w:t xml:space="preserve"> هيدرولوجية دينامية واسعة النطاق، </w:t>
            </w:r>
            <w:r w:rsidRPr="00E2695B">
              <w:rPr>
                <w:rFonts w:hint="cs"/>
                <w:sz w:val="20"/>
                <w:szCs w:val="22"/>
                <w:rtl/>
              </w:rPr>
              <w:t>إلى تهيئة ظروف</w:t>
            </w:r>
            <w:r w:rsidRPr="00E2695B">
              <w:rPr>
                <w:sz w:val="20"/>
                <w:szCs w:val="22"/>
                <w:rtl/>
              </w:rPr>
              <w:t xml:space="preserve"> فريدة</w:t>
            </w:r>
            <w:r w:rsidRPr="00E2695B">
              <w:rPr>
                <w:rFonts w:hint="cs"/>
                <w:sz w:val="20"/>
                <w:szCs w:val="22"/>
                <w:rtl/>
              </w:rPr>
              <w:t xml:space="preserve"> من نوعها</w:t>
            </w:r>
            <w:r w:rsidRPr="00E2695B">
              <w:rPr>
                <w:sz w:val="20"/>
                <w:szCs w:val="22"/>
                <w:rtl/>
              </w:rPr>
              <w:t xml:space="preserve"> للأنواع المحلية والمهاجرة. </w:t>
            </w:r>
            <w:r w:rsidRPr="00E2695B">
              <w:rPr>
                <w:rFonts w:hint="cs"/>
                <w:sz w:val="20"/>
                <w:szCs w:val="22"/>
                <w:rtl/>
              </w:rPr>
              <w:t xml:space="preserve">وتجعل </w:t>
            </w:r>
            <w:r w:rsidRPr="00E2695B">
              <w:rPr>
                <w:sz w:val="20"/>
                <w:szCs w:val="22"/>
                <w:rtl/>
              </w:rPr>
              <w:t xml:space="preserve">الإنتاجية القاعية العالية </w:t>
            </w:r>
            <w:r w:rsidRPr="00E2695B">
              <w:rPr>
                <w:rFonts w:hint="cs"/>
                <w:sz w:val="20"/>
                <w:szCs w:val="22"/>
                <w:rtl/>
              </w:rPr>
              <w:t>الناجمة عن</w:t>
            </w:r>
            <w:r w:rsidRPr="00E2695B">
              <w:rPr>
                <w:sz w:val="20"/>
                <w:szCs w:val="22"/>
                <w:rtl/>
              </w:rPr>
              <w:t xml:space="preserve"> الظروف ال</w:t>
            </w:r>
            <w:r w:rsidRPr="00E2695B">
              <w:rPr>
                <w:rFonts w:hint="cs"/>
                <w:sz w:val="20"/>
                <w:szCs w:val="22"/>
                <w:rtl/>
              </w:rPr>
              <w:t>جبهية</w:t>
            </w:r>
            <w:r w:rsidRPr="00E2695B">
              <w:rPr>
                <w:sz w:val="20"/>
                <w:szCs w:val="22"/>
                <w:rtl/>
              </w:rPr>
              <w:t xml:space="preserve"> وجريان المياه العذبة </w:t>
            </w:r>
            <w:r w:rsidRPr="00E2695B">
              <w:rPr>
                <w:rFonts w:hint="cs"/>
                <w:sz w:val="20"/>
                <w:szCs w:val="22"/>
                <w:rtl/>
              </w:rPr>
              <w:t xml:space="preserve">منها </w:t>
            </w:r>
            <w:r w:rsidRPr="00E2695B">
              <w:rPr>
                <w:sz w:val="20"/>
                <w:szCs w:val="22"/>
                <w:rtl/>
              </w:rPr>
              <w:t xml:space="preserve">منطقة </w:t>
            </w:r>
            <w:r w:rsidRPr="00E2695B">
              <w:rPr>
                <w:rFonts w:hint="cs"/>
                <w:sz w:val="20"/>
                <w:szCs w:val="22"/>
                <w:rtl/>
              </w:rPr>
              <w:t>إعلاف مهمة للغاية</w:t>
            </w:r>
            <w:r w:rsidRPr="00E2695B">
              <w:rPr>
                <w:sz w:val="20"/>
                <w:szCs w:val="22"/>
                <w:rtl/>
              </w:rPr>
              <w:t xml:space="preserve"> للأنواع المهاجرة. </w:t>
            </w:r>
            <w:r w:rsidRPr="00E2695B">
              <w:rPr>
                <w:rFonts w:hint="cs"/>
                <w:sz w:val="20"/>
                <w:szCs w:val="22"/>
                <w:rtl/>
              </w:rPr>
              <w:t xml:space="preserve">وتتيح </w:t>
            </w:r>
            <w:r w:rsidRPr="00E2695B">
              <w:rPr>
                <w:sz w:val="20"/>
                <w:szCs w:val="22"/>
                <w:rtl/>
              </w:rPr>
              <w:t xml:space="preserve">الظروف الهيدرومورفولوجية المحلية الفريدة من نوعها وجود </w:t>
            </w:r>
            <w:r w:rsidRPr="00E2695B">
              <w:rPr>
                <w:rFonts w:hint="cs"/>
                <w:sz w:val="20"/>
                <w:szCs w:val="22"/>
                <w:rtl/>
              </w:rPr>
              <w:t>مجتمعات</w:t>
            </w:r>
            <w:r w:rsidRPr="00E2695B">
              <w:rPr>
                <w:sz w:val="20"/>
                <w:szCs w:val="22"/>
                <w:rtl/>
              </w:rPr>
              <w:t xml:space="preserve"> للطحالب الحمراء</w:t>
            </w:r>
            <w:r w:rsidRPr="00E2695B">
              <w:rPr>
                <w:rFonts w:hint="cs"/>
                <w:sz w:val="20"/>
                <w:szCs w:val="22"/>
                <w:rtl/>
              </w:rPr>
              <w:t xml:space="preserve"> العريضة من نوع "</w:t>
            </w:r>
            <w:r w:rsidRPr="00E2695B">
              <w:rPr>
                <w:i/>
                <w:iCs/>
                <w:sz w:val="20"/>
                <w:szCs w:val="22"/>
              </w:rPr>
              <w:t>Furcellaria lumbricalis</w:t>
            </w:r>
            <w:r w:rsidRPr="00E2695B">
              <w:rPr>
                <w:rFonts w:hint="cs"/>
                <w:sz w:val="20"/>
                <w:szCs w:val="22"/>
                <w:rtl/>
              </w:rPr>
              <w:t>"</w:t>
            </w:r>
            <w:r w:rsidRPr="00E2695B">
              <w:rPr>
                <w:sz w:val="20"/>
                <w:szCs w:val="22"/>
                <w:rtl/>
              </w:rPr>
              <w:t xml:space="preserve"> </w:t>
            </w:r>
            <w:r w:rsidRPr="00E2695B">
              <w:rPr>
                <w:rFonts w:hint="cs"/>
                <w:sz w:val="20"/>
                <w:szCs w:val="22"/>
                <w:rtl/>
              </w:rPr>
              <w:t>والتي تطفو بحرية</w:t>
            </w:r>
            <w:r w:rsidRPr="00E2695B">
              <w:rPr>
                <w:sz w:val="20"/>
                <w:szCs w:val="22"/>
                <w:rtl/>
              </w:rPr>
              <w:t xml:space="preserve"> في</w:t>
            </w:r>
            <w:r w:rsidRPr="00E2695B">
              <w:rPr>
                <w:rFonts w:hint="cs"/>
                <w:sz w:val="20"/>
                <w:szCs w:val="22"/>
                <w:rtl/>
              </w:rPr>
              <w:t xml:space="preserve"> الماء</w:t>
            </w:r>
            <w:r w:rsidRPr="00E2695B">
              <w:rPr>
                <w:sz w:val="20"/>
                <w:szCs w:val="22"/>
                <w:rtl/>
              </w:rPr>
              <w:t xml:space="preserve"> في هذه المنطقة</w:t>
            </w:r>
            <w:r w:rsidRPr="00E2695B">
              <w:rPr>
                <w:rFonts w:hint="cs"/>
                <w:sz w:val="20"/>
                <w:szCs w:val="22"/>
                <w:rtl/>
              </w:rPr>
              <w:t xml:space="preserve"> بمفردها</w:t>
            </w:r>
            <w:r w:rsidRPr="00E2695B">
              <w:rPr>
                <w:sz w:val="20"/>
                <w:szCs w:val="22"/>
                <w:rtl/>
              </w:rPr>
              <w:t xml:space="preserve">. </w:t>
            </w:r>
            <w:r w:rsidRPr="00E2695B">
              <w:rPr>
                <w:rFonts w:hint="cs"/>
                <w:sz w:val="20"/>
                <w:szCs w:val="22"/>
                <w:rtl/>
              </w:rPr>
              <w:t>و</w:t>
            </w:r>
            <w:r w:rsidRPr="00E2695B">
              <w:rPr>
                <w:sz w:val="20"/>
                <w:szCs w:val="22"/>
                <w:rtl/>
              </w:rPr>
              <w:t>نظرًا لوجود العديد من الجزر الصغيرة غير المأهولة</w:t>
            </w:r>
            <w:r w:rsidRPr="00E2695B">
              <w:rPr>
                <w:rFonts w:hint="cs"/>
                <w:sz w:val="20"/>
                <w:szCs w:val="22"/>
                <w:rtl/>
              </w:rPr>
              <w:t xml:space="preserve"> في هذه المنطقة</w:t>
            </w:r>
            <w:r w:rsidRPr="00E2695B">
              <w:rPr>
                <w:sz w:val="20"/>
                <w:szCs w:val="22"/>
                <w:rtl/>
              </w:rPr>
              <w:t xml:space="preserve"> و</w:t>
            </w:r>
            <w:r w:rsidRPr="00E2695B">
              <w:rPr>
                <w:rFonts w:hint="cs"/>
                <w:sz w:val="20"/>
                <w:szCs w:val="22"/>
                <w:rtl/>
              </w:rPr>
              <w:t>نظراً لل</w:t>
            </w:r>
            <w:r w:rsidRPr="00E2695B">
              <w:rPr>
                <w:sz w:val="20"/>
                <w:szCs w:val="22"/>
                <w:rtl/>
              </w:rPr>
              <w:t>ظروف الجليد</w:t>
            </w:r>
            <w:r w:rsidRPr="00E2695B">
              <w:rPr>
                <w:rFonts w:hint="cs"/>
                <w:sz w:val="20"/>
                <w:szCs w:val="22"/>
                <w:rtl/>
              </w:rPr>
              <w:t>ية</w:t>
            </w:r>
            <w:r w:rsidRPr="00E2695B">
              <w:rPr>
                <w:sz w:val="20"/>
                <w:szCs w:val="22"/>
                <w:rtl/>
              </w:rPr>
              <w:t xml:space="preserve"> الخاصة </w:t>
            </w:r>
            <w:r w:rsidRPr="00E2695B">
              <w:rPr>
                <w:rFonts w:hint="cs"/>
                <w:sz w:val="20"/>
                <w:szCs w:val="22"/>
                <w:rtl/>
              </w:rPr>
              <w:t>التي تكتنفها</w:t>
            </w:r>
            <w:r w:rsidRPr="00E2695B">
              <w:rPr>
                <w:sz w:val="20"/>
                <w:szCs w:val="22"/>
                <w:rtl/>
              </w:rPr>
              <w:t xml:space="preserve">، </w:t>
            </w:r>
            <w:r w:rsidRPr="00E2695B">
              <w:rPr>
                <w:rFonts w:hint="cs"/>
                <w:sz w:val="20"/>
                <w:szCs w:val="22"/>
                <w:rtl/>
              </w:rPr>
              <w:t>فهي</w:t>
            </w:r>
            <w:r w:rsidRPr="00E2695B">
              <w:rPr>
                <w:sz w:val="20"/>
                <w:szCs w:val="22"/>
                <w:rtl/>
              </w:rPr>
              <w:t xml:space="preserve"> مهمة لنوعين </w:t>
            </w:r>
            <w:r w:rsidRPr="00E2695B">
              <w:rPr>
                <w:rFonts w:hint="cs"/>
                <w:sz w:val="20"/>
                <w:szCs w:val="22"/>
                <w:rtl/>
              </w:rPr>
              <w:t>اثنين من أنواع الفقمة</w:t>
            </w:r>
            <w:r w:rsidRPr="00E2695B">
              <w:rPr>
                <w:sz w:val="20"/>
                <w:szCs w:val="22"/>
                <w:rtl/>
              </w:rPr>
              <w:t xml:space="preserve">. </w:t>
            </w:r>
            <w:r w:rsidRPr="00E2695B">
              <w:rPr>
                <w:rFonts w:hint="cs"/>
                <w:sz w:val="20"/>
                <w:szCs w:val="22"/>
                <w:rtl/>
              </w:rPr>
              <w:t>و</w:t>
            </w:r>
            <w:r w:rsidRPr="00E2695B">
              <w:rPr>
                <w:sz w:val="20"/>
                <w:szCs w:val="22"/>
                <w:rtl/>
              </w:rPr>
              <w:t xml:space="preserve">هي موطن لعدد كبير من الأنواع المهاجرة وغيرها </w:t>
            </w:r>
            <w:r w:rsidRPr="00E2695B">
              <w:rPr>
                <w:rFonts w:hint="cs"/>
                <w:sz w:val="20"/>
                <w:szCs w:val="22"/>
                <w:rtl/>
              </w:rPr>
              <w:t>من الأنواع</w:t>
            </w:r>
            <w:r w:rsidRPr="00E2695B">
              <w:rPr>
                <w:sz w:val="20"/>
                <w:szCs w:val="22"/>
                <w:rtl/>
              </w:rPr>
              <w:t xml:space="preserve">، </w:t>
            </w:r>
            <w:r w:rsidRPr="00E2695B">
              <w:rPr>
                <w:rFonts w:hint="cs"/>
                <w:sz w:val="20"/>
                <w:szCs w:val="22"/>
                <w:rtl/>
              </w:rPr>
              <w:t>وقد صنفت</w:t>
            </w:r>
            <w:r w:rsidRPr="00E2695B">
              <w:rPr>
                <w:sz w:val="20"/>
                <w:szCs w:val="22"/>
                <w:rtl/>
              </w:rPr>
              <w:t xml:space="preserve"> كمنطقة</w:t>
            </w:r>
            <w:r w:rsidRPr="00E2695B">
              <w:rPr>
                <w:rFonts w:hint="cs"/>
                <w:sz w:val="20"/>
                <w:szCs w:val="22"/>
                <w:rtl/>
              </w:rPr>
              <w:t xml:space="preserve"> بحرية</w:t>
            </w:r>
            <w:r w:rsidRPr="00E2695B">
              <w:rPr>
                <w:sz w:val="20"/>
                <w:szCs w:val="22"/>
                <w:rtl/>
              </w:rPr>
              <w:t xml:space="preserve"> </w:t>
            </w:r>
            <w:r w:rsidRPr="00E2695B">
              <w:rPr>
                <w:rFonts w:hint="cs"/>
                <w:sz w:val="20"/>
                <w:szCs w:val="22"/>
                <w:rtl/>
              </w:rPr>
              <w:t>مهمة</w:t>
            </w:r>
            <w:r w:rsidRPr="00E2695B">
              <w:rPr>
                <w:sz w:val="20"/>
                <w:szCs w:val="22"/>
                <w:rtl/>
              </w:rPr>
              <w:t xml:space="preserve"> ل</w:t>
            </w:r>
            <w:r w:rsidRPr="00E2695B">
              <w:rPr>
                <w:rFonts w:hint="cs"/>
                <w:sz w:val="20"/>
                <w:szCs w:val="22"/>
                <w:rtl/>
              </w:rPr>
              <w:t>حفظ ا</w:t>
            </w:r>
            <w:r w:rsidRPr="00E2695B">
              <w:rPr>
                <w:sz w:val="20"/>
                <w:szCs w:val="22"/>
                <w:rtl/>
              </w:rPr>
              <w:t>لطيور والتنوع البيولوجي</w:t>
            </w:r>
            <w:r w:rsidRPr="00E2695B">
              <w:rPr>
                <w:rFonts w:hint="cs"/>
                <w:sz w:val="20"/>
                <w:szCs w:val="22"/>
                <w:rtl/>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L</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t>6-</w:t>
            </w:r>
            <w:r w:rsidRPr="00E2695B">
              <w:rPr>
                <w:bCs/>
                <w:sz w:val="20"/>
                <w:szCs w:val="22"/>
                <w:rtl/>
              </w:rPr>
              <w:t xml:space="preserve"> </w:t>
            </w:r>
            <w:r w:rsidRPr="00E2695B">
              <w:rPr>
                <w:rFonts w:hint="cs"/>
                <w:bCs/>
                <w:sz w:val="20"/>
                <w:szCs w:val="22"/>
                <w:rtl/>
              </w:rPr>
              <w:t xml:space="preserve">المياه الضحلة في </w:t>
            </w:r>
            <w:r w:rsidRPr="00E2695B">
              <w:rPr>
                <w:bCs/>
                <w:sz w:val="20"/>
                <w:szCs w:val="22"/>
                <w:rtl/>
              </w:rPr>
              <w:t xml:space="preserve">جنوب شرق بحر البلطيق </w:t>
            </w:r>
          </w:p>
          <w:p w:rsidR="000A5DEA" w:rsidRPr="00FB5F9E" w:rsidRDefault="000A5DEA" w:rsidP="00CD26C5">
            <w:pPr>
              <w:numPr>
                <w:ilvl w:val="0"/>
                <w:numId w:val="117"/>
              </w:numPr>
              <w:snapToGrid w:val="0"/>
              <w:spacing w:after="0" w:line="204" w:lineRule="auto"/>
              <w:rPr>
                <w:rStyle w:val="Italic"/>
                <w:rFonts w:eastAsia="Times New Roman"/>
                <w:i w:val="0"/>
              </w:rPr>
            </w:pPr>
            <w:r w:rsidRPr="00E2695B">
              <w:rPr>
                <w:rStyle w:val="Italic"/>
                <w:rFonts w:eastAsia="Malgun Gothic"/>
                <w:rtl/>
              </w:rPr>
              <w:t xml:space="preserve">الموقع: </w:t>
            </w:r>
            <w:r w:rsidRPr="00E2695B">
              <w:rPr>
                <w:rStyle w:val="Italic"/>
                <w:rFonts w:eastAsia="Malgun Gothic" w:hint="cs"/>
                <w:rtl/>
              </w:rPr>
              <w:t>تضم</w:t>
            </w:r>
            <w:r w:rsidRPr="00E2695B">
              <w:rPr>
                <w:rStyle w:val="Italic"/>
                <w:rFonts w:eastAsia="Malgun Gothic"/>
                <w:rtl/>
              </w:rPr>
              <w:t xml:space="preserve"> </w:t>
            </w:r>
            <w:r w:rsidRPr="00E2695B">
              <w:rPr>
                <w:rFonts w:eastAsia="Malgun Gothic" w:hint="cs"/>
                <w:b/>
                <w:sz w:val="20"/>
                <w:szCs w:val="22"/>
                <w:rtl/>
              </w:rPr>
              <w:t xml:space="preserve">المياه الضحلة في </w:t>
            </w:r>
            <w:r w:rsidRPr="00E2695B">
              <w:rPr>
                <w:rFonts w:eastAsia="Malgun Gothic"/>
                <w:b/>
                <w:sz w:val="20"/>
                <w:szCs w:val="22"/>
                <w:rtl/>
              </w:rPr>
              <w:t>جنوب شرق بحر البلطيق</w:t>
            </w:r>
            <w:r w:rsidRPr="00E2695B">
              <w:rPr>
                <w:rFonts w:eastAsia="Malgun Gothic"/>
                <w:bCs/>
                <w:sz w:val="20"/>
                <w:szCs w:val="22"/>
                <w:rtl/>
              </w:rPr>
              <w:t xml:space="preserve"> </w:t>
            </w:r>
            <w:r w:rsidRPr="00E2695B">
              <w:rPr>
                <w:rStyle w:val="Italic"/>
                <w:rFonts w:eastAsia="Malgun Gothic"/>
                <w:rtl/>
              </w:rPr>
              <w:t xml:space="preserve">عدة مناطق جيومورفولوجية </w:t>
            </w:r>
            <w:r w:rsidRPr="00E2695B">
              <w:rPr>
                <w:rFonts w:eastAsia="Malgun Gothic"/>
                <w:sz w:val="20"/>
                <w:szCs w:val="22"/>
                <w:rtl/>
              </w:rPr>
              <w:t>متميزة</w:t>
            </w:r>
            <w:r w:rsidRPr="00E2695B">
              <w:rPr>
                <w:rStyle w:val="Italic"/>
                <w:rFonts w:eastAsia="Malgun Gothic"/>
                <w:rtl/>
              </w:rPr>
              <w:t xml:space="preserve">، بما </w:t>
            </w:r>
            <w:r w:rsidRPr="00E2695B">
              <w:rPr>
                <w:rStyle w:val="Italic"/>
                <w:rFonts w:eastAsia="Malgun Gothic" w:hint="cs"/>
                <w:rtl/>
              </w:rPr>
              <w:t>فيها</w:t>
            </w:r>
            <w:r w:rsidRPr="00E2695B">
              <w:rPr>
                <w:rStyle w:val="Italic"/>
                <w:rFonts w:eastAsia="Malgun Gothic"/>
                <w:rtl/>
              </w:rPr>
              <w:t xml:space="preserve"> هضبة كلايبيدا-فنتسبيلز في الشمال، وهضبة كورونيان-سامبيان في الجنوب، و</w:t>
            </w:r>
            <w:r w:rsidRPr="00E2695B">
              <w:rPr>
                <w:rStyle w:val="Italic"/>
                <w:rFonts w:eastAsia="Malgun Gothic" w:hint="cs"/>
                <w:rtl/>
              </w:rPr>
              <w:t>ضفة</w:t>
            </w:r>
            <w:r w:rsidRPr="00E2695B">
              <w:rPr>
                <w:rStyle w:val="Italic"/>
                <w:rFonts w:eastAsia="Malgun Gothic"/>
                <w:rtl/>
              </w:rPr>
              <w:t xml:space="preserve"> كلايبيدا في الجزء الشمالي الغربي من المنطقة</w:t>
            </w:r>
            <w:r w:rsidRPr="00E2695B">
              <w:rPr>
                <w:rStyle w:val="Italic"/>
                <w:rFonts w:eastAsia="Malgun Gothic" w:hint="cs"/>
                <w:rtl/>
              </w:rPr>
              <w:t>،</w:t>
            </w:r>
            <w:r w:rsidRPr="00E2695B">
              <w:rPr>
                <w:rStyle w:val="Italic"/>
                <w:rFonts w:eastAsia="Malgun Gothic"/>
                <w:rtl/>
              </w:rPr>
              <w:t xml:space="preserve"> بالإضافة إلى أكبر </w:t>
            </w:r>
            <w:r w:rsidRPr="00E2695B">
              <w:rPr>
                <w:rStyle w:val="Italic"/>
                <w:rFonts w:eastAsia="Malgun Gothic" w:hint="cs"/>
                <w:rtl/>
              </w:rPr>
              <w:t xml:space="preserve">بحيرتين </w:t>
            </w:r>
            <w:r w:rsidRPr="00E2695B">
              <w:rPr>
                <w:rStyle w:val="Italic"/>
                <w:rFonts w:eastAsia="Malgun Gothic" w:hint="cs"/>
                <w:rtl/>
              </w:rPr>
              <w:lastRenderedPageBreak/>
              <w:t>شاطئيتين</w:t>
            </w:r>
            <w:r w:rsidRPr="00E2695B">
              <w:rPr>
                <w:rStyle w:val="Italic"/>
                <w:rFonts w:eastAsia="Malgun Gothic"/>
                <w:rtl/>
              </w:rPr>
              <w:t xml:space="preserve"> في بحر البلطيق الشرقي، </w:t>
            </w:r>
            <w:r w:rsidRPr="00E2695B">
              <w:rPr>
                <w:rStyle w:val="Italic"/>
                <w:rFonts w:eastAsia="Malgun Gothic" w:hint="cs"/>
                <w:rtl/>
              </w:rPr>
              <w:t>وهما بحيرتا كورونيان وفيستولا</w:t>
            </w:r>
            <w:r w:rsidRPr="00E2695B">
              <w:rPr>
                <w:rStyle w:val="Italic"/>
                <w:rFonts w:eastAsia="Malgun Gothic"/>
                <w:rtl/>
              </w:rPr>
              <w:t xml:space="preserve"> </w:t>
            </w:r>
            <w:r w:rsidRPr="00E2695B">
              <w:rPr>
                <w:rStyle w:val="Italic"/>
                <w:rFonts w:eastAsia="Malgun Gothic" w:hint="cs"/>
                <w:rtl/>
              </w:rPr>
              <w:t>اللتان</w:t>
            </w:r>
            <w:r w:rsidRPr="00E2695B">
              <w:rPr>
                <w:rStyle w:val="Italic"/>
                <w:rFonts w:eastAsia="Malgun Gothic"/>
                <w:rtl/>
              </w:rPr>
              <w:t xml:space="preserve"> يفصل بينهما </w:t>
            </w:r>
            <w:r w:rsidRPr="00E2695B">
              <w:rPr>
                <w:rStyle w:val="Italic"/>
                <w:rFonts w:eastAsia="Malgun Gothic" w:hint="cs"/>
                <w:rtl/>
              </w:rPr>
              <w:t>لسان ساحلي</w:t>
            </w:r>
            <w:r w:rsidRPr="00E2695B">
              <w:rPr>
                <w:rStyle w:val="Italic"/>
                <w:rFonts w:eastAsia="Malgun Gothic"/>
                <w:rtl/>
              </w:rPr>
              <w:t xml:space="preserve"> ضيق. </w:t>
            </w:r>
            <w:r w:rsidRPr="00E2695B">
              <w:rPr>
                <w:rStyle w:val="Italic"/>
                <w:rFonts w:eastAsia="Malgun Gothic" w:hint="cs"/>
                <w:rtl/>
              </w:rPr>
              <w:t>و</w:t>
            </w:r>
            <w:r w:rsidRPr="00E2695B">
              <w:rPr>
                <w:rStyle w:val="Italic"/>
                <w:rFonts w:eastAsia="Malgun Gothic"/>
                <w:rtl/>
              </w:rPr>
              <w:t>تمتد</w:t>
            </w:r>
            <w:r w:rsidRPr="00E2695B">
              <w:rPr>
                <w:rStyle w:val="Italic"/>
                <w:rFonts w:eastAsia="Malgun Gothic" w:hint="cs"/>
                <w:rtl/>
              </w:rPr>
              <w:t xml:space="preserve"> هذه</w:t>
            </w:r>
            <w:r w:rsidRPr="00E2695B">
              <w:rPr>
                <w:rStyle w:val="Italic"/>
                <w:rFonts w:eastAsia="Malgun Gothic"/>
                <w:rtl/>
              </w:rPr>
              <w:t xml:space="preserve"> المنطقة</w:t>
            </w:r>
            <w:r w:rsidRPr="00E2695B">
              <w:rPr>
                <w:rStyle w:val="Italic"/>
                <w:rFonts w:eastAsia="Malgun Gothic" w:hint="cs"/>
                <w:rtl/>
              </w:rPr>
              <w:t xml:space="preserve"> على مساحة</w:t>
            </w:r>
            <w:r w:rsidRPr="00E2695B">
              <w:rPr>
                <w:rStyle w:val="Italic"/>
                <w:rFonts w:eastAsia="Malgun Gothic"/>
                <w:rtl/>
              </w:rPr>
              <w:t xml:space="preserve"> </w:t>
            </w:r>
            <w:r w:rsidRPr="00E2695B">
              <w:rPr>
                <w:rStyle w:val="Italic"/>
                <w:rFonts w:eastAsia="Malgun Gothic" w:hint="cs"/>
                <w:rtl/>
              </w:rPr>
              <w:t>266 11 كيلومتراً مربعاً.</w:t>
            </w:r>
          </w:p>
          <w:p w:rsidR="000A5DEA" w:rsidRPr="00E2695B" w:rsidRDefault="000A5DEA" w:rsidP="00CD26C5">
            <w:pPr>
              <w:numPr>
                <w:ilvl w:val="0"/>
                <w:numId w:val="117"/>
              </w:numPr>
              <w:suppressAutoHyphens/>
              <w:snapToGrid w:val="0"/>
              <w:spacing w:after="0" w:line="204" w:lineRule="auto"/>
              <w:rPr>
                <w:sz w:val="20"/>
                <w:szCs w:val="22"/>
              </w:rPr>
            </w:pPr>
            <w:r w:rsidRPr="00E2695B">
              <w:rPr>
                <w:sz w:val="20"/>
                <w:szCs w:val="22"/>
                <w:rtl/>
              </w:rPr>
              <w:t>ي</w:t>
            </w:r>
            <w:r w:rsidRPr="00E2695B">
              <w:rPr>
                <w:rFonts w:hint="cs"/>
                <w:sz w:val="20"/>
                <w:szCs w:val="22"/>
                <w:rtl/>
              </w:rPr>
              <w:t>تضمن</w:t>
            </w:r>
            <w:r w:rsidRPr="00E2695B">
              <w:rPr>
                <w:sz w:val="20"/>
                <w:szCs w:val="22"/>
                <w:rtl/>
              </w:rPr>
              <w:t xml:space="preserve"> بحر جنوب شرق بحر البلطيق</w:t>
            </w:r>
            <w:r w:rsidRPr="00E2695B">
              <w:rPr>
                <w:rFonts w:hint="cs"/>
                <w:sz w:val="20"/>
                <w:szCs w:val="22"/>
                <w:rtl/>
              </w:rPr>
              <w:t xml:space="preserve"> </w:t>
            </w:r>
            <w:r w:rsidRPr="00E2695B">
              <w:rPr>
                <w:sz w:val="20"/>
                <w:szCs w:val="22"/>
                <w:rtl/>
              </w:rPr>
              <w:t xml:space="preserve">عدة مناطق جيومورفولوجية متميزة، بما </w:t>
            </w:r>
            <w:r w:rsidRPr="00E2695B">
              <w:rPr>
                <w:rFonts w:hint="cs"/>
                <w:sz w:val="20"/>
                <w:szCs w:val="22"/>
                <w:rtl/>
              </w:rPr>
              <w:t>فيها</w:t>
            </w:r>
            <w:r w:rsidRPr="00E2695B">
              <w:rPr>
                <w:sz w:val="20"/>
                <w:szCs w:val="22"/>
                <w:rtl/>
              </w:rPr>
              <w:t xml:space="preserve"> هضبة كلايبيدا-فنتسبيلز في الشمال، وهضبة كورونيان-سامبيان في الجنوب، و</w:t>
            </w:r>
            <w:r w:rsidRPr="00E2695B">
              <w:rPr>
                <w:rFonts w:hint="cs"/>
                <w:sz w:val="20"/>
                <w:szCs w:val="22"/>
                <w:rtl/>
              </w:rPr>
              <w:t>ضفة</w:t>
            </w:r>
            <w:r w:rsidRPr="00E2695B">
              <w:rPr>
                <w:sz w:val="20"/>
                <w:szCs w:val="22"/>
                <w:rtl/>
              </w:rPr>
              <w:t xml:space="preserve"> كلايبيدا في الجزء الشمالي الغربي من المنطقة</w:t>
            </w:r>
            <w:r w:rsidRPr="00E2695B">
              <w:rPr>
                <w:rFonts w:hint="cs"/>
                <w:sz w:val="20"/>
                <w:szCs w:val="22"/>
                <w:rtl/>
              </w:rPr>
              <w:t>،</w:t>
            </w:r>
            <w:r w:rsidRPr="00E2695B">
              <w:rPr>
                <w:sz w:val="20"/>
                <w:szCs w:val="22"/>
                <w:rtl/>
              </w:rPr>
              <w:t xml:space="preserve"> بالإضافة إلى أكبر </w:t>
            </w:r>
            <w:r w:rsidRPr="00E2695B">
              <w:rPr>
                <w:rFonts w:hint="cs"/>
                <w:sz w:val="20"/>
                <w:szCs w:val="22"/>
                <w:rtl/>
              </w:rPr>
              <w:t>بحيرتين شاطئيتين</w:t>
            </w:r>
            <w:r w:rsidRPr="00E2695B">
              <w:rPr>
                <w:sz w:val="20"/>
                <w:szCs w:val="22"/>
                <w:rtl/>
              </w:rPr>
              <w:t xml:space="preserve"> في بحر البلطيق الشرقي، </w:t>
            </w:r>
            <w:r w:rsidRPr="00E2695B">
              <w:rPr>
                <w:rFonts w:hint="cs"/>
                <w:sz w:val="20"/>
                <w:szCs w:val="22"/>
                <w:rtl/>
              </w:rPr>
              <w:t>وهما بحيرتا كورونيان وفيستولا</w:t>
            </w:r>
            <w:r w:rsidRPr="00E2695B">
              <w:rPr>
                <w:sz w:val="20"/>
                <w:szCs w:val="22"/>
                <w:rtl/>
              </w:rPr>
              <w:t xml:space="preserve"> </w:t>
            </w:r>
            <w:r w:rsidRPr="00E2695B">
              <w:rPr>
                <w:rFonts w:hint="cs"/>
                <w:sz w:val="20"/>
                <w:szCs w:val="22"/>
                <w:rtl/>
              </w:rPr>
              <w:t>اللتان</w:t>
            </w:r>
            <w:r w:rsidRPr="00E2695B">
              <w:rPr>
                <w:sz w:val="20"/>
                <w:szCs w:val="22"/>
                <w:rtl/>
              </w:rPr>
              <w:t xml:space="preserve"> يفصل بينهما </w:t>
            </w:r>
            <w:r w:rsidRPr="00E2695B">
              <w:rPr>
                <w:rFonts w:hint="cs"/>
                <w:sz w:val="20"/>
                <w:szCs w:val="22"/>
                <w:rtl/>
              </w:rPr>
              <w:t>لسان ساحلي</w:t>
            </w:r>
            <w:r w:rsidRPr="00E2695B">
              <w:rPr>
                <w:sz w:val="20"/>
                <w:szCs w:val="22"/>
                <w:rtl/>
              </w:rPr>
              <w:t xml:space="preserve"> ضيق</w:t>
            </w:r>
            <w:r w:rsidRPr="00E2695B">
              <w:rPr>
                <w:rFonts w:hint="cs"/>
                <w:sz w:val="20"/>
                <w:szCs w:val="22"/>
                <w:rtl/>
              </w:rPr>
              <w:t>. وتعتبر هذه المنطقة، التي تتحكم فيها</w:t>
            </w:r>
            <w:r w:rsidRPr="00E2695B">
              <w:rPr>
                <w:sz w:val="20"/>
                <w:szCs w:val="22"/>
                <w:rtl/>
              </w:rPr>
              <w:t xml:space="preserve"> هياكل جيومورفولوجية معقدة، نقطة ساخنة للتنوع البيولوجي في المياه الساحلية والبحرية</w:t>
            </w:r>
            <w:r w:rsidRPr="00E2695B">
              <w:rPr>
                <w:rFonts w:hint="cs"/>
                <w:sz w:val="20"/>
                <w:szCs w:val="22"/>
                <w:rtl/>
              </w:rPr>
              <w:t xml:space="preserve"> على حد سواء</w:t>
            </w:r>
            <w:r w:rsidRPr="00E2695B">
              <w:rPr>
                <w:sz w:val="20"/>
                <w:szCs w:val="22"/>
                <w:rtl/>
              </w:rPr>
              <w:t xml:space="preserve">. </w:t>
            </w:r>
            <w:r w:rsidRPr="00E2695B">
              <w:rPr>
                <w:rFonts w:hint="cs"/>
                <w:sz w:val="20"/>
                <w:szCs w:val="22"/>
                <w:rtl/>
              </w:rPr>
              <w:t>وتشكل منطقة المياه</w:t>
            </w:r>
            <w:r w:rsidRPr="00E2695B">
              <w:rPr>
                <w:sz w:val="20"/>
                <w:szCs w:val="22"/>
                <w:rtl/>
              </w:rPr>
              <w:t xml:space="preserve"> الضحلة </w:t>
            </w:r>
            <w:r w:rsidRPr="00E2695B">
              <w:rPr>
                <w:rFonts w:hint="cs"/>
                <w:sz w:val="20"/>
                <w:szCs w:val="22"/>
                <w:rtl/>
              </w:rPr>
              <w:t>إحدى</w:t>
            </w:r>
            <w:r w:rsidRPr="00E2695B">
              <w:rPr>
                <w:sz w:val="20"/>
                <w:szCs w:val="22"/>
                <w:rtl/>
              </w:rPr>
              <w:t xml:space="preserve"> أهم الموائل للمجتمعات القاعية. وتحافظ </w:t>
            </w:r>
            <w:r w:rsidRPr="00E2695B">
              <w:rPr>
                <w:rFonts w:hint="cs"/>
                <w:sz w:val="20"/>
                <w:szCs w:val="22"/>
                <w:rtl/>
              </w:rPr>
              <w:t>الشعاب المغمورة الموجودة في هذه المنطقة</w:t>
            </w:r>
            <w:r w:rsidRPr="00E2695B">
              <w:rPr>
                <w:sz w:val="20"/>
                <w:szCs w:val="22"/>
                <w:rtl/>
              </w:rPr>
              <w:t xml:space="preserve"> على المجتمعات القاعية الساحلية، و</w:t>
            </w:r>
            <w:r w:rsidRPr="00E2695B">
              <w:rPr>
                <w:rFonts w:hint="cs"/>
                <w:sz w:val="20"/>
                <w:szCs w:val="22"/>
                <w:rtl/>
              </w:rPr>
              <w:t xml:space="preserve">على </w:t>
            </w:r>
            <w:r w:rsidRPr="00E2695B">
              <w:rPr>
                <w:sz w:val="20"/>
                <w:szCs w:val="22"/>
                <w:rtl/>
              </w:rPr>
              <w:t xml:space="preserve">تنوع بيولوجي </w:t>
            </w:r>
            <w:r w:rsidRPr="00E2695B">
              <w:rPr>
                <w:rFonts w:hint="cs"/>
                <w:sz w:val="20"/>
                <w:szCs w:val="22"/>
                <w:rtl/>
              </w:rPr>
              <w:t>مرتفع</w:t>
            </w:r>
            <w:r w:rsidRPr="00E2695B">
              <w:rPr>
                <w:sz w:val="20"/>
                <w:szCs w:val="22"/>
                <w:rtl/>
              </w:rPr>
              <w:t xml:space="preserve"> للافقاريات والأسماك والطيور ال</w:t>
            </w:r>
            <w:r w:rsidRPr="00E2695B">
              <w:rPr>
                <w:rFonts w:hint="cs"/>
                <w:sz w:val="20"/>
                <w:szCs w:val="22"/>
                <w:rtl/>
              </w:rPr>
              <w:t>مشتّية</w:t>
            </w:r>
            <w:r w:rsidRPr="00E2695B">
              <w:rPr>
                <w:sz w:val="20"/>
                <w:szCs w:val="22"/>
                <w:rtl/>
              </w:rPr>
              <w:t>. وتستخدم الشعاب أيضا</w:t>
            </w:r>
            <w:r w:rsidRPr="00E2695B">
              <w:rPr>
                <w:rFonts w:hint="cs"/>
                <w:sz w:val="20"/>
                <w:szCs w:val="22"/>
                <w:rtl/>
              </w:rPr>
              <w:t>ً</w:t>
            </w:r>
            <w:r w:rsidRPr="00E2695B">
              <w:rPr>
                <w:sz w:val="20"/>
                <w:szCs w:val="22"/>
                <w:rtl/>
              </w:rPr>
              <w:t xml:space="preserve"> </w:t>
            </w:r>
            <w:r w:rsidRPr="00E2695B">
              <w:rPr>
                <w:rFonts w:hint="cs"/>
                <w:sz w:val="20"/>
                <w:szCs w:val="22"/>
                <w:rtl/>
              </w:rPr>
              <w:t>كأماكن تسرئة</w:t>
            </w:r>
            <w:r w:rsidRPr="00E2695B">
              <w:rPr>
                <w:sz w:val="20"/>
                <w:szCs w:val="22"/>
                <w:rtl/>
              </w:rPr>
              <w:t xml:space="preserve"> </w:t>
            </w:r>
            <w:r w:rsidRPr="00E2695B">
              <w:rPr>
                <w:rFonts w:hint="cs"/>
                <w:sz w:val="20"/>
                <w:szCs w:val="22"/>
                <w:rtl/>
              </w:rPr>
              <w:t>و</w:t>
            </w:r>
            <w:r w:rsidRPr="00E2695B">
              <w:rPr>
                <w:sz w:val="20"/>
                <w:szCs w:val="22"/>
                <w:rtl/>
              </w:rPr>
              <w:t xml:space="preserve">حضانة </w:t>
            </w:r>
            <w:r w:rsidRPr="00E2695B">
              <w:rPr>
                <w:rFonts w:hint="cs"/>
                <w:sz w:val="20"/>
                <w:szCs w:val="22"/>
                <w:rtl/>
              </w:rPr>
              <w:t>ل</w:t>
            </w:r>
            <w:r w:rsidRPr="00E2695B">
              <w:rPr>
                <w:sz w:val="20"/>
                <w:szCs w:val="22"/>
                <w:rtl/>
              </w:rPr>
              <w:t>أنواع الأسماك الهامة تجاريا</w:t>
            </w:r>
            <w:r w:rsidRPr="00E2695B">
              <w:rPr>
                <w:rFonts w:hint="cs"/>
                <w:sz w:val="20"/>
                <w:szCs w:val="22"/>
                <w:rtl/>
              </w:rPr>
              <w:t>ً</w:t>
            </w:r>
            <w:r w:rsidRPr="00E2695B">
              <w:rPr>
                <w:sz w:val="20"/>
                <w:szCs w:val="22"/>
                <w:rtl/>
              </w:rPr>
              <w:t>، مثل سمك ال</w:t>
            </w:r>
            <w:r w:rsidRPr="00E2695B">
              <w:rPr>
                <w:rFonts w:hint="cs"/>
                <w:sz w:val="20"/>
                <w:szCs w:val="22"/>
                <w:rtl/>
              </w:rPr>
              <w:t>صابوغة</w:t>
            </w:r>
            <w:r w:rsidRPr="00E2695B">
              <w:rPr>
                <w:sz w:val="20"/>
                <w:szCs w:val="22"/>
                <w:rtl/>
              </w:rPr>
              <w:t xml:space="preserve"> والرنجة وسمك الترس والسمك المفلطح. </w:t>
            </w:r>
            <w:r w:rsidRPr="00E2695B">
              <w:rPr>
                <w:rFonts w:hint="cs"/>
                <w:sz w:val="20"/>
                <w:szCs w:val="22"/>
                <w:rtl/>
              </w:rPr>
              <w:t>وتستخدم المصطبات البحرية</w:t>
            </w:r>
            <w:r w:rsidRPr="00E2695B">
              <w:rPr>
                <w:sz w:val="20"/>
                <w:szCs w:val="22"/>
                <w:rtl/>
              </w:rPr>
              <w:t xml:space="preserve"> كملاذ للأنواع ال</w:t>
            </w:r>
            <w:r w:rsidRPr="00E2695B">
              <w:rPr>
                <w:rFonts w:hint="cs"/>
                <w:sz w:val="20"/>
                <w:szCs w:val="22"/>
                <w:rtl/>
              </w:rPr>
              <w:t xml:space="preserve">متنقلة التي تسعى إلى تفادي نقص </w:t>
            </w:r>
            <w:r w:rsidRPr="00E2695B">
              <w:rPr>
                <w:sz w:val="20"/>
                <w:szCs w:val="22"/>
                <w:rtl/>
              </w:rPr>
              <w:t>الأكسج</w:t>
            </w:r>
            <w:r w:rsidRPr="00E2695B">
              <w:rPr>
                <w:rFonts w:hint="cs"/>
                <w:sz w:val="20"/>
                <w:szCs w:val="22"/>
                <w:rtl/>
              </w:rPr>
              <w:t>ين</w:t>
            </w:r>
            <w:r w:rsidRPr="00E2695B">
              <w:rPr>
                <w:sz w:val="20"/>
                <w:szCs w:val="22"/>
                <w:rtl/>
              </w:rPr>
              <w:t xml:space="preserve"> </w:t>
            </w:r>
            <w:r w:rsidRPr="00E2695B">
              <w:rPr>
                <w:rFonts w:hint="cs"/>
                <w:sz w:val="20"/>
                <w:szCs w:val="22"/>
                <w:rtl/>
              </w:rPr>
              <w:t>على المدى القصير</w:t>
            </w:r>
            <w:r w:rsidRPr="00E2695B">
              <w:rPr>
                <w:sz w:val="20"/>
                <w:szCs w:val="22"/>
                <w:rtl/>
              </w:rPr>
              <w:t xml:space="preserve"> في الأجزاء الأعمق من حوض </w:t>
            </w:r>
            <w:r w:rsidRPr="00E2695B">
              <w:rPr>
                <w:rFonts w:hint="cs"/>
                <w:sz w:val="20"/>
                <w:szCs w:val="22"/>
                <w:rtl/>
              </w:rPr>
              <w:t>غ</w:t>
            </w:r>
            <w:r w:rsidRPr="00E2695B">
              <w:rPr>
                <w:sz w:val="20"/>
                <w:szCs w:val="22"/>
                <w:rtl/>
              </w:rPr>
              <w:t xml:space="preserve">وتلاند. </w:t>
            </w:r>
            <w:r w:rsidRPr="00E2695B">
              <w:rPr>
                <w:rFonts w:hint="cs"/>
                <w:sz w:val="20"/>
                <w:szCs w:val="22"/>
                <w:rtl/>
              </w:rPr>
              <w:t xml:space="preserve">ويشكل </w:t>
            </w:r>
            <w:r w:rsidRPr="00E2695B">
              <w:rPr>
                <w:sz w:val="20"/>
                <w:szCs w:val="22"/>
                <w:rtl/>
              </w:rPr>
              <w:t xml:space="preserve">الساحل موقع توقف </w:t>
            </w:r>
            <w:r w:rsidRPr="00E2695B">
              <w:rPr>
                <w:rFonts w:hint="cs"/>
                <w:sz w:val="20"/>
                <w:szCs w:val="22"/>
                <w:rtl/>
              </w:rPr>
              <w:t xml:space="preserve">مهم </w:t>
            </w:r>
            <w:r w:rsidRPr="00E2695B">
              <w:rPr>
                <w:sz w:val="20"/>
                <w:szCs w:val="22"/>
                <w:rtl/>
              </w:rPr>
              <w:t xml:space="preserve">للطيور المائية. </w:t>
            </w:r>
            <w:r w:rsidRPr="00E2695B">
              <w:rPr>
                <w:rFonts w:hint="cs"/>
                <w:sz w:val="20"/>
                <w:szCs w:val="22"/>
                <w:rtl/>
              </w:rPr>
              <w:t>و</w:t>
            </w:r>
            <w:r w:rsidRPr="00E2695B">
              <w:rPr>
                <w:sz w:val="20"/>
                <w:szCs w:val="22"/>
                <w:rtl/>
              </w:rPr>
              <w:t xml:space="preserve">خلال فصل الشتاء </w:t>
            </w:r>
            <w:r w:rsidRPr="00E2695B">
              <w:rPr>
                <w:rFonts w:hint="cs"/>
                <w:sz w:val="20"/>
                <w:szCs w:val="22"/>
                <w:rtl/>
              </w:rPr>
              <w:t>الشديدة القساوة،</w:t>
            </w:r>
            <w:r w:rsidRPr="00E2695B">
              <w:rPr>
                <w:sz w:val="20"/>
                <w:szCs w:val="22"/>
                <w:rtl/>
              </w:rPr>
              <w:t xml:space="preserve"> </w:t>
            </w:r>
            <w:r w:rsidRPr="00E2695B">
              <w:rPr>
                <w:rFonts w:hint="cs"/>
                <w:sz w:val="20"/>
                <w:szCs w:val="22"/>
                <w:rtl/>
              </w:rPr>
              <w:t>قد تتضاعف أعداد بعض</w:t>
            </w:r>
            <w:r w:rsidRPr="00E2695B">
              <w:rPr>
                <w:sz w:val="20"/>
                <w:szCs w:val="22"/>
                <w:rtl/>
              </w:rPr>
              <w:t xml:space="preserve"> أنواع الطيور البحرية </w:t>
            </w:r>
            <w:r w:rsidRPr="00E2695B">
              <w:rPr>
                <w:rFonts w:hint="cs"/>
                <w:sz w:val="20"/>
                <w:szCs w:val="22"/>
                <w:rtl/>
              </w:rPr>
              <w:t>المشتّية</w:t>
            </w:r>
            <w:r w:rsidRPr="00E2695B">
              <w:rPr>
                <w:sz w:val="20"/>
                <w:szCs w:val="22"/>
                <w:rtl/>
              </w:rPr>
              <w:t xml:space="preserve"> (</w:t>
            </w:r>
            <w:r w:rsidRPr="00E2695B">
              <w:rPr>
                <w:rFonts w:hint="cs"/>
                <w:sz w:val="20"/>
                <w:szCs w:val="22"/>
                <w:rtl/>
              </w:rPr>
              <w:t xml:space="preserve">على </w:t>
            </w:r>
            <w:r w:rsidRPr="00E2695B">
              <w:rPr>
                <w:sz w:val="20"/>
                <w:szCs w:val="22"/>
                <w:rtl/>
              </w:rPr>
              <w:t>سبيل المثال</w:t>
            </w:r>
            <w:r w:rsidRPr="00E2695B">
              <w:rPr>
                <w:rFonts w:hint="cs"/>
                <w:sz w:val="20"/>
                <w:szCs w:val="22"/>
                <w:rtl/>
              </w:rPr>
              <w:t xml:space="preserve"> البط</w:t>
            </w:r>
            <w:r w:rsidRPr="00E2695B">
              <w:rPr>
                <w:sz w:val="20"/>
                <w:szCs w:val="22"/>
                <w:rtl/>
              </w:rPr>
              <w:t xml:space="preserve"> طويل الذيل</w:t>
            </w:r>
            <w:r w:rsidRPr="00E2695B">
              <w:rPr>
                <w:rFonts w:hint="cs"/>
                <w:sz w:val="20"/>
                <w:szCs w:val="22"/>
                <w:rtl/>
              </w:rPr>
              <w:t xml:space="preserve"> "</w:t>
            </w:r>
            <w:r w:rsidRPr="00E2695B">
              <w:rPr>
                <w:sz w:val="20"/>
                <w:szCs w:val="22"/>
              </w:rPr>
              <w:t xml:space="preserve"> </w:t>
            </w:r>
            <w:r w:rsidRPr="00D921C4">
              <w:rPr>
                <w:i/>
                <w:iCs/>
                <w:sz w:val="20"/>
                <w:szCs w:val="22"/>
              </w:rPr>
              <w:t>Clangula</w:t>
            </w:r>
            <w:r w:rsidRPr="00E2695B">
              <w:rPr>
                <w:sz w:val="20"/>
                <w:szCs w:val="22"/>
              </w:rPr>
              <w:t xml:space="preserve"> </w:t>
            </w:r>
            <w:r w:rsidRPr="00D921C4">
              <w:rPr>
                <w:i/>
                <w:iCs/>
                <w:sz w:val="20"/>
                <w:szCs w:val="22"/>
              </w:rPr>
              <w:t>hyemalis</w:t>
            </w:r>
            <w:r w:rsidRPr="00E2695B">
              <w:rPr>
                <w:rFonts w:hint="cs"/>
                <w:sz w:val="20"/>
                <w:szCs w:val="22"/>
                <w:rtl/>
              </w:rPr>
              <w:t>"</w:t>
            </w:r>
            <w:r w:rsidRPr="00E2695B">
              <w:rPr>
                <w:sz w:val="20"/>
                <w:szCs w:val="22"/>
                <w:rtl/>
              </w:rPr>
              <w:t xml:space="preserve">، </w:t>
            </w:r>
            <w:r w:rsidRPr="00E2695B">
              <w:rPr>
                <w:rFonts w:hint="cs"/>
                <w:sz w:val="20"/>
                <w:szCs w:val="22"/>
                <w:rtl/>
              </w:rPr>
              <w:t>وال</w:t>
            </w:r>
            <w:r w:rsidRPr="00E2695B">
              <w:rPr>
                <w:sz w:val="20"/>
                <w:szCs w:val="22"/>
                <w:rtl/>
              </w:rPr>
              <w:t xml:space="preserve">أسقطور </w:t>
            </w:r>
            <w:r w:rsidRPr="00E2695B">
              <w:rPr>
                <w:rFonts w:hint="cs"/>
                <w:sz w:val="20"/>
                <w:szCs w:val="22"/>
                <w:rtl/>
              </w:rPr>
              <w:t>ال</w:t>
            </w:r>
            <w:r w:rsidRPr="00E2695B">
              <w:rPr>
                <w:sz w:val="20"/>
                <w:szCs w:val="22"/>
                <w:rtl/>
              </w:rPr>
              <w:t xml:space="preserve">مخملي </w:t>
            </w:r>
            <w:r w:rsidRPr="00E2695B">
              <w:rPr>
                <w:rFonts w:hint="cs"/>
                <w:sz w:val="20"/>
                <w:szCs w:val="22"/>
                <w:rtl/>
              </w:rPr>
              <w:t>"</w:t>
            </w:r>
            <w:r w:rsidRPr="00D921C4">
              <w:rPr>
                <w:i/>
                <w:iCs/>
                <w:sz w:val="20"/>
                <w:szCs w:val="22"/>
              </w:rPr>
              <w:t>Melanitta fusca</w:t>
            </w:r>
            <w:r w:rsidRPr="00E2695B">
              <w:rPr>
                <w:rFonts w:hint="cs"/>
                <w:sz w:val="20"/>
                <w:szCs w:val="22"/>
                <w:rtl/>
              </w:rPr>
              <w:t xml:space="preserve">"، </w:t>
            </w:r>
            <w:r w:rsidRPr="00E2695B">
              <w:rPr>
                <w:sz w:val="20"/>
                <w:szCs w:val="22"/>
                <w:rtl/>
              </w:rPr>
              <w:t>و</w:t>
            </w:r>
            <w:r w:rsidRPr="00E2695B">
              <w:rPr>
                <w:rFonts w:hint="cs"/>
                <w:sz w:val="20"/>
                <w:szCs w:val="22"/>
                <w:rtl/>
              </w:rPr>
              <w:t>ال</w:t>
            </w:r>
            <w:r w:rsidRPr="00E2695B">
              <w:rPr>
                <w:sz w:val="20"/>
                <w:szCs w:val="22"/>
                <w:rtl/>
              </w:rPr>
              <w:t xml:space="preserve">غواص أحمر حنجرة </w:t>
            </w:r>
            <w:r w:rsidRPr="00E2695B">
              <w:rPr>
                <w:rFonts w:hint="cs"/>
                <w:sz w:val="20"/>
                <w:szCs w:val="22"/>
                <w:rtl/>
              </w:rPr>
              <w:t>"</w:t>
            </w:r>
            <w:r w:rsidRPr="00E2695B">
              <w:rPr>
                <w:sz w:val="20"/>
                <w:szCs w:val="22"/>
              </w:rPr>
              <w:t xml:space="preserve"> </w:t>
            </w:r>
            <w:r w:rsidRPr="00D921C4">
              <w:rPr>
                <w:i/>
                <w:iCs/>
                <w:sz w:val="20"/>
                <w:szCs w:val="22"/>
              </w:rPr>
              <w:t>Gavia stellata</w:t>
            </w:r>
            <w:r w:rsidRPr="00E2695B">
              <w:rPr>
                <w:rFonts w:hint="cs"/>
                <w:sz w:val="20"/>
                <w:szCs w:val="22"/>
                <w:rtl/>
              </w:rPr>
              <w:t>"</w:t>
            </w:r>
            <w:r w:rsidRPr="00E2695B">
              <w:rPr>
                <w:sz w:val="20"/>
                <w:szCs w:val="22"/>
                <w:rtl/>
              </w:rPr>
              <w:t xml:space="preserve">) </w:t>
            </w:r>
            <w:r w:rsidRPr="00E2695B">
              <w:rPr>
                <w:rFonts w:hint="cs"/>
                <w:sz w:val="20"/>
                <w:szCs w:val="22"/>
                <w:rtl/>
              </w:rPr>
              <w:t>بمرات أو</w:t>
            </w:r>
            <w:r w:rsidRPr="00E2695B">
              <w:rPr>
                <w:sz w:val="20"/>
                <w:szCs w:val="22"/>
                <w:rtl/>
              </w:rPr>
              <w:t xml:space="preserve"> </w:t>
            </w:r>
            <w:r w:rsidRPr="00E2695B">
              <w:rPr>
                <w:rFonts w:hint="cs"/>
                <w:sz w:val="20"/>
                <w:szCs w:val="22"/>
                <w:rtl/>
              </w:rPr>
              <w:t>ب</w:t>
            </w:r>
            <w:r w:rsidRPr="00E2695B">
              <w:rPr>
                <w:sz w:val="20"/>
                <w:szCs w:val="22"/>
                <w:rtl/>
              </w:rPr>
              <w:t xml:space="preserve">عشرات المرات. </w:t>
            </w:r>
            <w:r w:rsidRPr="00E2695B">
              <w:rPr>
                <w:rFonts w:hint="cs"/>
                <w:sz w:val="20"/>
                <w:szCs w:val="22"/>
                <w:rtl/>
              </w:rPr>
              <w:t>وتوجد بحيرات شاطئية مثلما توجود</w:t>
            </w:r>
            <w:r w:rsidRPr="00E2695B">
              <w:rPr>
                <w:sz w:val="20"/>
                <w:szCs w:val="22"/>
                <w:rtl/>
              </w:rPr>
              <w:t xml:space="preserve"> مجمعات</w:t>
            </w:r>
            <w:r w:rsidRPr="00E2695B">
              <w:rPr>
                <w:rFonts w:hint="cs"/>
                <w:sz w:val="20"/>
                <w:szCs w:val="22"/>
                <w:rtl/>
              </w:rPr>
              <w:t xml:space="preserve"> كبيرة ومتعددة</w:t>
            </w:r>
            <w:r w:rsidRPr="00E2695B">
              <w:rPr>
                <w:sz w:val="20"/>
                <w:szCs w:val="22"/>
                <w:rtl/>
              </w:rPr>
              <w:t xml:space="preserve"> </w:t>
            </w:r>
            <w:r w:rsidRPr="00E2695B">
              <w:rPr>
                <w:rFonts w:hint="cs"/>
                <w:sz w:val="20"/>
                <w:szCs w:val="22"/>
                <w:rtl/>
              </w:rPr>
              <w:t>للكائنات الحية السمكية التي تعيش في</w:t>
            </w:r>
            <w:r w:rsidRPr="00E2695B">
              <w:rPr>
                <w:sz w:val="20"/>
                <w:szCs w:val="22"/>
                <w:rtl/>
              </w:rPr>
              <w:t xml:space="preserve"> المياه العذبة</w:t>
            </w:r>
            <w:r w:rsidRPr="00E2695B">
              <w:rPr>
                <w:rFonts w:hint="cs"/>
                <w:sz w:val="20"/>
                <w:szCs w:val="22"/>
                <w:rtl/>
              </w:rPr>
              <w:t>،</w:t>
            </w:r>
            <w:r w:rsidRPr="00E2695B">
              <w:rPr>
                <w:sz w:val="20"/>
                <w:szCs w:val="22"/>
                <w:rtl/>
              </w:rPr>
              <w:t xml:space="preserve"> وموائل دائمة أو مؤقتة لأنواع الأسماك المهاجرة والبحرية. </w:t>
            </w:r>
            <w:r w:rsidRPr="00E2695B">
              <w:rPr>
                <w:rFonts w:hint="cs"/>
                <w:sz w:val="20"/>
                <w:szCs w:val="22"/>
                <w:rtl/>
              </w:rPr>
              <w:t>و</w:t>
            </w:r>
            <w:r w:rsidRPr="00E2695B">
              <w:rPr>
                <w:sz w:val="20"/>
                <w:szCs w:val="22"/>
                <w:rtl/>
              </w:rPr>
              <w:t>ت</w:t>
            </w:r>
            <w:r w:rsidRPr="00E2695B">
              <w:rPr>
                <w:rFonts w:hint="cs"/>
                <w:sz w:val="20"/>
                <w:szCs w:val="22"/>
                <w:rtl/>
              </w:rPr>
              <w:t>شكل</w:t>
            </w:r>
            <w:r w:rsidRPr="00E2695B">
              <w:rPr>
                <w:sz w:val="20"/>
                <w:szCs w:val="22"/>
                <w:rtl/>
              </w:rPr>
              <w:t xml:space="preserve"> بحيرة كورونيان </w:t>
            </w:r>
            <w:r w:rsidRPr="00E2695B">
              <w:rPr>
                <w:rFonts w:hint="cs"/>
                <w:sz w:val="20"/>
                <w:szCs w:val="22"/>
                <w:rtl/>
              </w:rPr>
              <w:t>الشاطئية</w:t>
            </w:r>
            <w:r w:rsidRPr="00E2695B">
              <w:rPr>
                <w:sz w:val="20"/>
                <w:szCs w:val="22"/>
                <w:rtl/>
              </w:rPr>
              <w:t xml:space="preserve"> منطقة إقليمية مهمة ل</w:t>
            </w:r>
            <w:r w:rsidRPr="00E2695B">
              <w:rPr>
                <w:rFonts w:hint="cs"/>
                <w:sz w:val="20"/>
                <w:szCs w:val="22"/>
                <w:rtl/>
              </w:rPr>
              <w:t>تسرئة</w:t>
            </w:r>
            <w:r w:rsidRPr="00E2695B">
              <w:rPr>
                <w:sz w:val="20"/>
                <w:szCs w:val="22"/>
                <w:rtl/>
              </w:rPr>
              <w:t xml:space="preserve"> </w:t>
            </w:r>
            <w:r w:rsidRPr="00E2695B">
              <w:rPr>
                <w:rFonts w:hint="cs"/>
                <w:sz w:val="20"/>
                <w:szCs w:val="22"/>
                <w:rtl/>
              </w:rPr>
              <w:t>وانتعاش سمك الشاد من نوع (</w:t>
            </w:r>
            <w:r w:rsidRPr="00D921C4">
              <w:rPr>
                <w:i/>
                <w:iCs/>
                <w:sz w:val="20"/>
                <w:szCs w:val="22"/>
              </w:rPr>
              <w:t>Allosa fallax</w:t>
            </w:r>
            <w:r w:rsidRPr="00E2695B">
              <w:rPr>
                <w:rFonts w:hint="cs"/>
                <w:sz w:val="20"/>
                <w:szCs w:val="22"/>
                <w:rtl/>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snapToGrid w:val="0"/>
              <w:spacing w:line="204" w:lineRule="auto"/>
              <w:rPr>
                <w:bCs/>
                <w:sz w:val="20"/>
                <w:szCs w:val="22"/>
              </w:rPr>
            </w:pPr>
            <w:r w:rsidRPr="00E2695B">
              <w:rPr>
                <w:rFonts w:hint="cs"/>
                <w:bCs/>
                <w:sz w:val="20"/>
                <w:szCs w:val="22"/>
                <w:rtl/>
              </w:rPr>
              <w:lastRenderedPageBreak/>
              <w:t xml:space="preserve">7-  </w:t>
            </w:r>
            <w:r w:rsidRPr="00E2695B">
              <w:rPr>
                <w:bCs/>
                <w:sz w:val="20"/>
                <w:szCs w:val="22"/>
                <w:rtl/>
              </w:rPr>
              <w:t xml:space="preserve">منطقة </w:t>
            </w:r>
            <w:r w:rsidRPr="00E2695B">
              <w:rPr>
                <w:rFonts w:hint="cs"/>
                <w:bCs/>
                <w:sz w:val="20"/>
                <w:szCs w:val="22"/>
                <w:rtl/>
              </w:rPr>
              <w:t>خنزير البحر الشائع في جنوب غوتلاند</w:t>
            </w:r>
          </w:p>
          <w:p w:rsidR="000A5DEA" w:rsidRPr="00FB5F9E" w:rsidRDefault="000A5DEA" w:rsidP="00CD26C5">
            <w:pPr>
              <w:numPr>
                <w:ilvl w:val="0"/>
                <w:numId w:val="127"/>
              </w:numPr>
              <w:suppressAutoHyphens/>
              <w:spacing w:after="0" w:line="204" w:lineRule="auto"/>
              <w:rPr>
                <w:rStyle w:val="Italic"/>
                <w:b/>
                <w:i w:val="0"/>
              </w:rPr>
            </w:pPr>
            <w:r w:rsidRPr="00E2695B">
              <w:rPr>
                <w:rStyle w:val="Italic"/>
                <w:rFonts w:eastAsia="Malgun Gothic"/>
                <w:rtl/>
              </w:rPr>
              <w:t>الموقع: تقع هذه المنطقة بين الساحل وجزر غوتلاند وأولاند، وتمتد إلى الجنوب لتشمل ثلاث</w:t>
            </w:r>
            <w:r w:rsidRPr="00E2695B">
              <w:rPr>
                <w:rStyle w:val="Italic"/>
                <w:rFonts w:eastAsia="Malgun Gothic" w:hint="cs"/>
                <w:rtl/>
              </w:rPr>
              <w:t>اً</w:t>
            </w:r>
            <w:r w:rsidRPr="00E2695B">
              <w:rPr>
                <w:rStyle w:val="Italic"/>
                <w:rFonts w:eastAsia="Malgun Gothic"/>
                <w:rtl/>
              </w:rPr>
              <w:t xml:space="preserve"> من أربع </w:t>
            </w:r>
            <w:r w:rsidRPr="00E2695B">
              <w:rPr>
                <w:rStyle w:val="Italic"/>
                <w:rFonts w:eastAsia="Malgun Gothic" w:hint="cs"/>
                <w:rtl/>
              </w:rPr>
              <w:t>مصطبات</w:t>
            </w:r>
            <w:r w:rsidRPr="00E2695B">
              <w:rPr>
                <w:rStyle w:val="Italic"/>
                <w:rFonts w:eastAsia="Malgun Gothic"/>
                <w:rtl/>
              </w:rPr>
              <w:t xml:space="preserve"> بحرية كبيرة في بحر البلطيق (خط</w:t>
            </w:r>
            <w:r w:rsidRPr="00E2695B">
              <w:rPr>
                <w:rStyle w:val="Italic"/>
                <w:rFonts w:eastAsia="Malgun Gothic" w:hint="cs"/>
                <w:rtl/>
              </w:rPr>
              <w:t>وط</w:t>
            </w:r>
            <w:r w:rsidRPr="00E2695B">
              <w:rPr>
                <w:rStyle w:val="Italic"/>
                <w:rFonts w:eastAsia="Malgun Gothic"/>
                <w:rtl/>
              </w:rPr>
              <w:t xml:space="preserve"> العرض </w:t>
            </w:r>
            <w:r w:rsidRPr="00E2695B">
              <w:rPr>
                <w:rStyle w:val="Italic"/>
                <w:rFonts w:eastAsia="Malgun Gothic" w:hint="cs"/>
                <w:rtl/>
              </w:rPr>
              <w:t xml:space="preserve">ما </w:t>
            </w:r>
            <w:r w:rsidRPr="00E2695B">
              <w:rPr>
                <w:rStyle w:val="Italic"/>
                <w:rFonts w:eastAsia="Malgun Gothic"/>
                <w:rtl/>
              </w:rPr>
              <w:t>بين 58</w:t>
            </w:r>
            <w:r w:rsidRPr="00E2695B">
              <w:rPr>
                <w:rStyle w:val="Italic"/>
                <w:rFonts w:eastAsia="Malgun Gothic" w:hint="cs"/>
                <w:rtl/>
              </w:rPr>
              <w:t>,</w:t>
            </w:r>
            <w:r w:rsidRPr="00E2695B">
              <w:rPr>
                <w:rStyle w:val="Italic"/>
                <w:rFonts w:eastAsia="Malgun Gothic"/>
                <w:rtl/>
              </w:rPr>
              <w:t xml:space="preserve">1 </w:t>
            </w:r>
            <w:r w:rsidRPr="00E2695B">
              <w:rPr>
                <w:rStyle w:val="Italic"/>
                <w:rFonts w:eastAsia="Malgun Gothic" w:hint="cs"/>
                <w:rtl/>
              </w:rPr>
              <w:t>شمالاً</w:t>
            </w:r>
            <w:r w:rsidRPr="00E2695B">
              <w:rPr>
                <w:rStyle w:val="Italic"/>
                <w:rFonts w:eastAsia="Malgun Gothic"/>
                <w:rtl/>
              </w:rPr>
              <w:t xml:space="preserve"> و55</w:t>
            </w:r>
            <w:r w:rsidRPr="00E2695B">
              <w:rPr>
                <w:rStyle w:val="Italic"/>
                <w:rFonts w:eastAsia="Malgun Gothic" w:hint="cs"/>
                <w:rtl/>
              </w:rPr>
              <w:t>,</w:t>
            </w:r>
            <w:r w:rsidRPr="00E2695B">
              <w:rPr>
                <w:rStyle w:val="Italic"/>
                <w:rFonts w:eastAsia="Malgun Gothic"/>
                <w:rtl/>
              </w:rPr>
              <w:t xml:space="preserve">4 </w:t>
            </w:r>
            <w:r w:rsidRPr="00E2695B">
              <w:rPr>
                <w:rStyle w:val="Italic"/>
                <w:rFonts w:eastAsia="Malgun Gothic" w:hint="cs"/>
                <w:rtl/>
              </w:rPr>
              <w:t>شمالاً</w:t>
            </w:r>
            <w:r w:rsidRPr="00E2695B">
              <w:rPr>
                <w:rStyle w:val="Italic"/>
                <w:rFonts w:eastAsia="Malgun Gothic"/>
                <w:rtl/>
              </w:rPr>
              <w:t xml:space="preserve">، </w:t>
            </w:r>
            <w:r w:rsidRPr="00E2695B">
              <w:rPr>
                <w:rStyle w:val="Italic"/>
                <w:rFonts w:eastAsia="Malgun Gothic" w:hint="cs"/>
                <w:rtl/>
              </w:rPr>
              <w:t>وخطوط الطول ما بين</w:t>
            </w:r>
            <w:r w:rsidRPr="00E2695B">
              <w:rPr>
                <w:rStyle w:val="Italic"/>
                <w:rFonts w:eastAsia="Malgun Gothic"/>
                <w:rtl/>
              </w:rPr>
              <w:t xml:space="preserve"> 14</w:t>
            </w:r>
            <w:r w:rsidRPr="00E2695B">
              <w:rPr>
                <w:rStyle w:val="Italic"/>
                <w:rFonts w:eastAsia="Malgun Gothic" w:hint="cs"/>
                <w:rtl/>
              </w:rPr>
              <w:t>,</w:t>
            </w:r>
            <w:r w:rsidRPr="00E2695B">
              <w:rPr>
                <w:rStyle w:val="Italic"/>
                <w:rFonts w:eastAsia="Malgun Gothic"/>
                <w:rtl/>
              </w:rPr>
              <w:t xml:space="preserve">68 </w:t>
            </w:r>
            <w:r w:rsidRPr="00E2695B">
              <w:rPr>
                <w:rStyle w:val="Italic"/>
                <w:rFonts w:eastAsia="Malgun Gothic" w:hint="cs"/>
                <w:rtl/>
              </w:rPr>
              <w:t>شرقاً</w:t>
            </w:r>
            <w:r w:rsidRPr="00E2695B">
              <w:rPr>
                <w:rStyle w:val="Italic"/>
                <w:rFonts w:eastAsia="Malgun Gothic"/>
                <w:rtl/>
              </w:rPr>
              <w:t xml:space="preserve"> و19</w:t>
            </w:r>
            <w:r w:rsidRPr="00E2695B">
              <w:rPr>
                <w:rStyle w:val="Italic"/>
                <w:rFonts w:eastAsia="Malgun Gothic" w:hint="cs"/>
                <w:rtl/>
              </w:rPr>
              <w:t>,</w:t>
            </w:r>
            <w:r w:rsidRPr="00E2695B">
              <w:rPr>
                <w:rStyle w:val="Italic"/>
                <w:rFonts w:eastAsia="Malgun Gothic"/>
                <w:rtl/>
              </w:rPr>
              <w:t>55 شرق</w:t>
            </w:r>
            <w:r w:rsidRPr="00E2695B">
              <w:rPr>
                <w:rStyle w:val="Italic"/>
                <w:rFonts w:eastAsia="Malgun Gothic" w:hint="cs"/>
                <w:rtl/>
              </w:rPr>
              <w:t>اً</w:t>
            </w:r>
            <w:r w:rsidRPr="00E2695B">
              <w:rPr>
                <w:rStyle w:val="Italic"/>
                <w:rFonts w:eastAsia="Malgun Gothic"/>
                <w:rtl/>
              </w:rPr>
              <w:t xml:space="preserve">). </w:t>
            </w:r>
            <w:r w:rsidRPr="00E2695B">
              <w:rPr>
                <w:rStyle w:val="Italic"/>
                <w:rFonts w:eastAsia="Malgun Gothic" w:hint="cs"/>
                <w:rtl/>
              </w:rPr>
              <w:t>وتبلغ مساحتها</w:t>
            </w:r>
            <w:r w:rsidRPr="00E2695B">
              <w:rPr>
                <w:rStyle w:val="Italic"/>
                <w:rFonts w:eastAsia="Malgun Gothic"/>
                <w:rtl/>
              </w:rPr>
              <w:t xml:space="preserve"> الكلية </w:t>
            </w:r>
            <w:r w:rsidRPr="00E2695B">
              <w:rPr>
                <w:rStyle w:val="Italic"/>
                <w:rFonts w:eastAsia="Malgun Gothic" w:hint="cs"/>
                <w:rtl/>
              </w:rPr>
              <w:t>242 29 كيلومتراً مربعاً.</w:t>
            </w:r>
          </w:p>
          <w:p w:rsidR="000A5DEA" w:rsidRPr="00E2695B" w:rsidRDefault="000A5DEA" w:rsidP="00CD26C5">
            <w:pPr>
              <w:numPr>
                <w:ilvl w:val="0"/>
                <w:numId w:val="127"/>
              </w:numPr>
              <w:suppressAutoHyphens/>
              <w:spacing w:after="0" w:line="204" w:lineRule="auto"/>
              <w:rPr>
                <w:rFonts w:eastAsia="MS Mincho"/>
                <w:sz w:val="20"/>
                <w:szCs w:val="22"/>
              </w:rPr>
            </w:pPr>
            <w:r w:rsidRPr="00E2695B">
              <w:rPr>
                <w:rFonts w:eastAsia="MS Mincho" w:hint="cs"/>
                <w:sz w:val="20"/>
                <w:szCs w:val="22"/>
                <w:rtl/>
              </w:rPr>
              <w:t>يغطي هذا الموقع</w:t>
            </w:r>
            <w:r w:rsidRPr="00E2695B">
              <w:rPr>
                <w:rFonts w:eastAsia="MS Mincho"/>
                <w:sz w:val="20"/>
                <w:szCs w:val="22"/>
                <w:rtl/>
              </w:rPr>
              <w:t xml:space="preserve"> منطقة التوزع ال</w:t>
            </w:r>
            <w:r w:rsidRPr="00E2695B">
              <w:rPr>
                <w:rFonts w:eastAsia="MS Mincho" w:hint="cs"/>
                <w:sz w:val="20"/>
                <w:szCs w:val="22"/>
                <w:rtl/>
              </w:rPr>
              <w:t>رئيسية</w:t>
            </w:r>
            <w:r w:rsidRPr="00E2695B">
              <w:rPr>
                <w:rFonts w:eastAsia="MS Mincho"/>
                <w:sz w:val="20"/>
                <w:szCs w:val="22"/>
                <w:rtl/>
              </w:rPr>
              <w:t xml:space="preserve"> </w:t>
            </w:r>
            <w:r w:rsidRPr="00E2695B">
              <w:rPr>
                <w:rFonts w:eastAsia="MS Mincho" w:hint="cs"/>
                <w:sz w:val="20"/>
                <w:szCs w:val="22"/>
                <w:rtl/>
              </w:rPr>
              <w:t>للتجمعات الثانوية لخنازير البحر الشائعة</w:t>
            </w:r>
            <w:r w:rsidRPr="00E2695B">
              <w:rPr>
                <w:rFonts w:eastAsia="MS Mincho"/>
                <w:sz w:val="20"/>
                <w:szCs w:val="22"/>
                <w:rtl/>
              </w:rPr>
              <w:t xml:space="preserve"> (</w:t>
            </w:r>
            <w:r w:rsidRPr="00E2695B">
              <w:rPr>
                <w:rFonts w:eastAsia="MS Mincho"/>
                <w:i/>
                <w:iCs/>
                <w:sz w:val="20"/>
                <w:szCs w:val="22"/>
              </w:rPr>
              <w:t>Phocoena phocoena</w:t>
            </w:r>
            <w:r w:rsidRPr="00E2695B">
              <w:rPr>
                <w:rFonts w:eastAsia="MS Mincho"/>
                <w:sz w:val="20"/>
                <w:szCs w:val="22"/>
                <w:rtl/>
              </w:rPr>
              <w:t>) المهددة</w:t>
            </w:r>
            <w:r w:rsidRPr="00E2695B">
              <w:rPr>
                <w:rFonts w:eastAsia="MS Mincho" w:hint="cs"/>
                <w:sz w:val="20"/>
                <w:szCs w:val="22"/>
                <w:rtl/>
              </w:rPr>
              <w:t xml:space="preserve"> بشدة</w:t>
            </w:r>
            <w:r w:rsidRPr="00E2695B">
              <w:rPr>
                <w:rFonts w:eastAsia="MS Mincho"/>
                <w:sz w:val="20"/>
                <w:szCs w:val="22"/>
                <w:rtl/>
              </w:rPr>
              <w:t xml:space="preserve"> بالانقراض في بحر البلطيق حول </w:t>
            </w:r>
            <w:r w:rsidRPr="00E2695B">
              <w:rPr>
                <w:rFonts w:eastAsia="MS Mincho" w:hint="cs"/>
                <w:sz w:val="20"/>
                <w:szCs w:val="22"/>
                <w:rtl/>
              </w:rPr>
              <w:t>جزيرتي</w:t>
            </w:r>
            <w:r w:rsidRPr="00E2695B">
              <w:rPr>
                <w:rFonts w:eastAsia="MS Mincho"/>
                <w:sz w:val="20"/>
                <w:szCs w:val="22"/>
                <w:rtl/>
              </w:rPr>
              <w:t xml:space="preserve"> أولاند و</w:t>
            </w:r>
            <w:r w:rsidRPr="00E2695B">
              <w:rPr>
                <w:rFonts w:eastAsia="MS Mincho" w:hint="cs"/>
                <w:sz w:val="20"/>
                <w:szCs w:val="22"/>
                <w:rtl/>
              </w:rPr>
              <w:t>غ</w:t>
            </w:r>
            <w:r w:rsidRPr="00E2695B">
              <w:rPr>
                <w:rFonts w:eastAsia="MS Mincho"/>
                <w:sz w:val="20"/>
                <w:szCs w:val="22"/>
                <w:rtl/>
              </w:rPr>
              <w:t xml:space="preserve">وتلاند، </w:t>
            </w:r>
            <w:r w:rsidRPr="00E2695B">
              <w:rPr>
                <w:rFonts w:eastAsia="MS Mincho" w:hint="cs"/>
                <w:sz w:val="20"/>
                <w:szCs w:val="22"/>
                <w:rtl/>
              </w:rPr>
              <w:t>ويشكل مكان إنسال</w:t>
            </w:r>
            <w:r w:rsidRPr="00E2695B">
              <w:rPr>
                <w:rFonts w:eastAsia="MS Mincho"/>
                <w:sz w:val="20"/>
                <w:szCs w:val="22"/>
                <w:rtl/>
              </w:rPr>
              <w:t xml:space="preserve"> رئيسي </w:t>
            </w:r>
            <w:r w:rsidRPr="00E2695B">
              <w:rPr>
                <w:rFonts w:eastAsia="MS Mincho" w:hint="cs"/>
                <w:sz w:val="20"/>
                <w:szCs w:val="22"/>
                <w:rtl/>
              </w:rPr>
              <w:t>لهذه المجموعات</w:t>
            </w:r>
            <w:r w:rsidRPr="00E2695B">
              <w:rPr>
                <w:rFonts w:eastAsia="MS Mincho"/>
                <w:sz w:val="20"/>
                <w:szCs w:val="22"/>
                <w:rtl/>
              </w:rPr>
              <w:t xml:space="preserve">. </w:t>
            </w:r>
            <w:r w:rsidRPr="00E2695B">
              <w:rPr>
                <w:rFonts w:eastAsia="MS Mincho" w:hint="cs"/>
                <w:sz w:val="20"/>
                <w:szCs w:val="22"/>
                <w:rtl/>
              </w:rPr>
              <w:t>وتشكل مصطبة ميدسجوبانكارنا وهوبورغ</w:t>
            </w:r>
            <w:r w:rsidRPr="00E2695B">
              <w:rPr>
                <w:rFonts w:eastAsia="MS Mincho"/>
                <w:sz w:val="20"/>
                <w:szCs w:val="22"/>
                <w:rtl/>
              </w:rPr>
              <w:t xml:space="preserve"> أهم من</w:t>
            </w:r>
            <w:r w:rsidRPr="00E2695B">
              <w:rPr>
                <w:rFonts w:eastAsia="MS Mincho" w:hint="cs"/>
                <w:sz w:val="20"/>
                <w:szCs w:val="22"/>
                <w:rtl/>
              </w:rPr>
              <w:t>اطق</w:t>
            </w:r>
            <w:r w:rsidRPr="00E2695B">
              <w:rPr>
                <w:rFonts w:eastAsia="MS Mincho"/>
                <w:sz w:val="20"/>
                <w:szCs w:val="22"/>
                <w:rtl/>
              </w:rPr>
              <w:t xml:space="preserve"> خنزير بحر البلطيق</w:t>
            </w:r>
            <w:r w:rsidRPr="00E2695B">
              <w:rPr>
                <w:rFonts w:eastAsia="MS Mincho" w:hint="cs"/>
                <w:sz w:val="20"/>
                <w:szCs w:val="22"/>
                <w:rtl/>
              </w:rPr>
              <w:t xml:space="preserve"> الشائع</w:t>
            </w:r>
            <w:r w:rsidRPr="00E2695B">
              <w:rPr>
                <w:rFonts w:eastAsia="MS Mincho"/>
                <w:sz w:val="20"/>
                <w:szCs w:val="22"/>
                <w:rtl/>
              </w:rPr>
              <w:t xml:space="preserve">. </w:t>
            </w:r>
            <w:r w:rsidRPr="00E2695B">
              <w:rPr>
                <w:rFonts w:eastAsia="MS Mincho" w:hint="cs"/>
                <w:sz w:val="20"/>
                <w:szCs w:val="22"/>
                <w:rtl/>
              </w:rPr>
              <w:t>و</w:t>
            </w:r>
            <w:r w:rsidRPr="00E2695B">
              <w:rPr>
                <w:rFonts w:eastAsia="MS Mincho"/>
                <w:sz w:val="20"/>
                <w:szCs w:val="22"/>
                <w:rtl/>
              </w:rPr>
              <w:t xml:space="preserve">يقدر عدد </w:t>
            </w:r>
            <w:r w:rsidRPr="00E2695B">
              <w:rPr>
                <w:rFonts w:eastAsia="MS Mincho" w:hint="cs"/>
                <w:sz w:val="20"/>
                <w:szCs w:val="22"/>
                <w:rtl/>
              </w:rPr>
              <w:t>أفراده بـ</w:t>
            </w:r>
            <w:r w:rsidRPr="00E2695B">
              <w:rPr>
                <w:rFonts w:eastAsia="MS Mincho"/>
                <w:sz w:val="20"/>
                <w:szCs w:val="22"/>
                <w:rtl/>
              </w:rPr>
              <w:t xml:space="preserve"> 497 </w:t>
            </w:r>
            <w:r w:rsidRPr="00E2695B">
              <w:rPr>
                <w:rFonts w:eastAsia="MS Mincho" w:hint="cs"/>
                <w:sz w:val="20"/>
                <w:szCs w:val="22"/>
                <w:rtl/>
              </w:rPr>
              <w:t>حيوان، وقد انخفضت أعداد خنزير البحر الشائع</w:t>
            </w:r>
            <w:r w:rsidRPr="00E2695B">
              <w:rPr>
                <w:rFonts w:eastAsia="MS Mincho"/>
                <w:sz w:val="20"/>
                <w:szCs w:val="22"/>
                <w:rtl/>
              </w:rPr>
              <w:t xml:space="preserve"> بشكل كبير منذ منتصف القرن العشرين. </w:t>
            </w:r>
            <w:r w:rsidRPr="00E2695B">
              <w:rPr>
                <w:rFonts w:eastAsia="MS Mincho" w:hint="cs"/>
                <w:sz w:val="20"/>
                <w:szCs w:val="22"/>
                <w:rtl/>
              </w:rPr>
              <w:t>وتشكل هذه المنطقة</w:t>
            </w:r>
            <w:r w:rsidRPr="00E2695B">
              <w:rPr>
                <w:rFonts w:eastAsia="MS Mincho"/>
                <w:sz w:val="20"/>
                <w:szCs w:val="22"/>
                <w:rtl/>
              </w:rPr>
              <w:t xml:space="preserve"> أيضا</w:t>
            </w:r>
            <w:r w:rsidRPr="00E2695B">
              <w:rPr>
                <w:rFonts w:eastAsia="MS Mincho" w:hint="cs"/>
                <w:sz w:val="20"/>
                <w:szCs w:val="22"/>
                <w:rtl/>
              </w:rPr>
              <w:t>ً</w:t>
            </w:r>
            <w:r w:rsidRPr="00E2695B">
              <w:rPr>
                <w:rFonts w:eastAsia="MS Mincho"/>
                <w:sz w:val="20"/>
                <w:szCs w:val="22"/>
                <w:rtl/>
              </w:rPr>
              <w:t xml:space="preserve"> موطن</w:t>
            </w:r>
            <w:r w:rsidRPr="00E2695B">
              <w:rPr>
                <w:rFonts w:eastAsia="MS Mincho" w:hint="cs"/>
                <w:sz w:val="20"/>
                <w:szCs w:val="22"/>
                <w:rtl/>
              </w:rPr>
              <w:t>اً</w:t>
            </w:r>
            <w:r w:rsidRPr="00E2695B">
              <w:rPr>
                <w:rFonts w:eastAsia="MS Mincho"/>
                <w:sz w:val="20"/>
                <w:szCs w:val="22"/>
                <w:rtl/>
              </w:rPr>
              <w:t xml:space="preserve"> </w:t>
            </w:r>
            <w:r w:rsidRPr="00E2695B">
              <w:rPr>
                <w:rFonts w:eastAsia="MS Mincho" w:hint="cs"/>
                <w:sz w:val="20"/>
                <w:szCs w:val="22"/>
                <w:rtl/>
              </w:rPr>
              <w:t>للتجمعات الثانوية لخنزير البحر الشائع</w:t>
            </w:r>
            <w:r w:rsidRPr="00E2695B">
              <w:rPr>
                <w:rFonts w:eastAsia="MS Mincho"/>
                <w:sz w:val="20"/>
                <w:szCs w:val="22"/>
                <w:rtl/>
              </w:rPr>
              <w:t xml:space="preserve"> (</w:t>
            </w:r>
            <w:r w:rsidRPr="00E2695B">
              <w:rPr>
                <w:rFonts w:eastAsia="MS Mincho"/>
                <w:i/>
                <w:iCs/>
                <w:sz w:val="20"/>
                <w:szCs w:val="22"/>
              </w:rPr>
              <w:t>Phoca vitulina vitulina</w:t>
            </w:r>
            <w:r w:rsidRPr="00E2695B">
              <w:rPr>
                <w:rFonts w:eastAsia="MS Mincho"/>
                <w:sz w:val="20"/>
                <w:szCs w:val="22"/>
                <w:rtl/>
              </w:rPr>
              <w:t>)</w:t>
            </w:r>
            <w:r w:rsidRPr="00E2695B">
              <w:rPr>
                <w:rFonts w:eastAsia="MS Mincho" w:hint="cs"/>
                <w:sz w:val="20"/>
                <w:szCs w:val="22"/>
                <w:rtl/>
              </w:rPr>
              <w:t xml:space="preserve"> في مضيق كالمار، وهي مكان التشتية</w:t>
            </w:r>
            <w:r w:rsidRPr="00E2695B">
              <w:rPr>
                <w:rFonts w:eastAsia="MS Mincho"/>
                <w:sz w:val="20"/>
                <w:szCs w:val="22"/>
                <w:rtl/>
              </w:rPr>
              <w:t xml:space="preserve"> الرئيسي </w:t>
            </w:r>
            <w:r w:rsidRPr="00E2695B">
              <w:rPr>
                <w:rFonts w:hint="cs"/>
                <w:sz w:val="20"/>
                <w:szCs w:val="22"/>
                <w:rtl/>
              </w:rPr>
              <w:t>للبط</w:t>
            </w:r>
            <w:r w:rsidRPr="00E2695B">
              <w:rPr>
                <w:sz w:val="20"/>
                <w:szCs w:val="22"/>
                <w:rtl/>
              </w:rPr>
              <w:t xml:space="preserve"> طويل الذيل</w:t>
            </w:r>
            <w:r w:rsidRPr="00E2695B">
              <w:rPr>
                <w:rFonts w:hint="cs"/>
                <w:sz w:val="20"/>
                <w:szCs w:val="22"/>
                <w:rtl/>
              </w:rPr>
              <w:t xml:space="preserve"> "</w:t>
            </w:r>
            <w:r w:rsidRPr="00E2695B">
              <w:rPr>
                <w:sz w:val="20"/>
                <w:szCs w:val="22"/>
              </w:rPr>
              <w:t xml:space="preserve"> </w:t>
            </w:r>
            <w:r w:rsidRPr="00E2695B">
              <w:rPr>
                <w:i/>
                <w:iCs/>
                <w:sz w:val="20"/>
                <w:szCs w:val="22"/>
              </w:rPr>
              <w:t>Clangula hyemalis</w:t>
            </w:r>
            <w:r w:rsidRPr="00E2695B">
              <w:rPr>
                <w:rFonts w:hint="cs"/>
                <w:sz w:val="20"/>
                <w:szCs w:val="22"/>
                <w:rtl/>
              </w:rPr>
              <w:t>"</w:t>
            </w:r>
            <w:r w:rsidRPr="00E2695B">
              <w:rPr>
                <w:sz w:val="20"/>
                <w:szCs w:val="22"/>
                <w:rtl/>
              </w:rPr>
              <w:t xml:space="preserve">، </w:t>
            </w:r>
            <w:r w:rsidRPr="00E2695B">
              <w:rPr>
                <w:rFonts w:eastAsia="MS Mincho"/>
                <w:sz w:val="20"/>
                <w:szCs w:val="22"/>
                <w:rtl/>
              </w:rPr>
              <w:t xml:space="preserve">المهدد بالانقراض. </w:t>
            </w:r>
            <w:r w:rsidRPr="00E2695B">
              <w:rPr>
                <w:rFonts w:eastAsia="MS Mincho" w:hint="cs"/>
                <w:sz w:val="20"/>
                <w:szCs w:val="22"/>
                <w:rtl/>
              </w:rPr>
              <w:t>و</w:t>
            </w:r>
            <w:r w:rsidRPr="00E2695B">
              <w:rPr>
                <w:rFonts w:eastAsia="MS Mincho"/>
                <w:sz w:val="20"/>
                <w:szCs w:val="22"/>
                <w:rtl/>
              </w:rPr>
              <w:t>ت</w:t>
            </w:r>
            <w:r w:rsidRPr="00E2695B">
              <w:rPr>
                <w:rFonts w:eastAsia="MS Mincho" w:hint="cs"/>
                <w:sz w:val="20"/>
                <w:szCs w:val="22"/>
                <w:rtl/>
              </w:rPr>
              <w:t>برز هذه</w:t>
            </w:r>
            <w:r w:rsidRPr="00E2695B">
              <w:rPr>
                <w:rFonts w:eastAsia="MS Mincho"/>
                <w:sz w:val="20"/>
                <w:szCs w:val="22"/>
                <w:rtl/>
              </w:rPr>
              <w:t xml:space="preserve"> المنطقة مجموعة متنوعة من الخصائص الجيولوجية والمورفولوجية، </w:t>
            </w:r>
            <w:r w:rsidRPr="00E2695B">
              <w:rPr>
                <w:rFonts w:eastAsia="MS Mincho" w:hint="cs"/>
                <w:sz w:val="20"/>
                <w:szCs w:val="22"/>
                <w:rtl/>
              </w:rPr>
              <w:t>وتضم</w:t>
            </w:r>
            <w:r w:rsidRPr="00E2695B">
              <w:rPr>
                <w:rFonts w:eastAsia="MS Mincho"/>
                <w:sz w:val="20"/>
                <w:szCs w:val="22"/>
                <w:rtl/>
              </w:rPr>
              <w:t xml:space="preserve"> ثلاث</w:t>
            </w:r>
            <w:r w:rsidRPr="00E2695B">
              <w:rPr>
                <w:rFonts w:eastAsia="MS Mincho" w:hint="cs"/>
                <w:sz w:val="20"/>
                <w:szCs w:val="22"/>
                <w:rtl/>
              </w:rPr>
              <w:t>اً</w:t>
            </w:r>
            <w:r w:rsidRPr="00E2695B">
              <w:rPr>
                <w:rFonts w:eastAsia="MS Mincho"/>
                <w:sz w:val="20"/>
                <w:szCs w:val="22"/>
                <w:rtl/>
              </w:rPr>
              <w:t xml:space="preserve"> من ال</w:t>
            </w:r>
            <w:r w:rsidRPr="00E2695B">
              <w:rPr>
                <w:rFonts w:eastAsia="MS Mincho" w:hint="cs"/>
                <w:sz w:val="20"/>
                <w:szCs w:val="22"/>
                <w:rtl/>
              </w:rPr>
              <w:t xml:space="preserve">مصطبات </w:t>
            </w:r>
            <w:r w:rsidRPr="00E2695B">
              <w:rPr>
                <w:rFonts w:eastAsia="MS Mincho"/>
                <w:sz w:val="20"/>
                <w:szCs w:val="22"/>
                <w:rtl/>
              </w:rPr>
              <w:t xml:space="preserve">البحرية الأربعة الكبرى في بحر البلطيق، التي تشكل بيئة </w:t>
            </w:r>
            <w:r w:rsidRPr="00E2695B">
              <w:rPr>
                <w:rFonts w:eastAsia="MS Mincho"/>
                <w:sz w:val="20"/>
                <w:szCs w:val="22"/>
                <w:rtl/>
              </w:rPr>
              <w:lastRenderedPageBreak/>
              <w:t xml:space="preserve">فريدة عالية الطاقة. </w:t>
            </w:r>
            <w:r w:rsidRPr="00E2695B">
              <w:rPr>
                <w:rFonts w:eastAsia="MS Mincho" w:hint="cs"/>
                <w:sz w:val="20"/>
                <w:szCs w:val="22"/>
                <w:rtl/>
              </w:rPr>
              <w:t xml:space="preserve">وتهيئ </w:t>
            </w:r>
            <w:r w:rsidRPr="00E2695B">
              <w:rPr>
                <w:rFonts w:eastAsia="MS Mincho"/>
                <w:sz w:val="20"/>
                <w:szCs w:val="22"/>
                <w:rtl/>
              </w:rPr>
              <w:t xml:space="preserve">هذه المناطق الضحلة </w:t>
            </w:r>
            <w:r w:rsidRPr="00E2695B">
              <w:rPr>
                <w:rFonts w:eastAsia="MS Mincho" w:hint="cs"/>
                <w:sz w:val="20"/>
                <w:szCs w:val="22"/>
                <w:rtl/>
              </w:rPr>
              <w:t>الظروف الملائمة</w:t>
            </w:r>
            <w:r w:rsidRPr="00E2695B">
              <w:rPr>
                <w:rFonts w:eastAsia="MS Mincho"/>
                <w:sz w:val="20"/>
                <w:szCs w:val="22"/>
                <w:rtl/>
              </w:rPr>
              <w:t xml:space="preserve"> ل</w:t>
            </w:r>
            <w:r w:rsidRPr="00E2695B">
              <w:rPr>
                <w:rFonts w:eastAsia="MS Mincho" w:hint="cs"/>
                <w:sz w:val="20"/>
                <w:szCs w:val="22"/>
                <w:rtl/>
              </w:rPr>
              <w:t xml:space="preserve">تحقيق </w:t>
            </w:r>
            <w:r w:rsidRPr="00E2695B">
              <w:rPr>
                <w:rFonts w:eastAsia="MS Mincho"/>
                <w:sz w:val="20"/>
                <w:szCs w:val="22"/>
                <w:rtl/>
              </w:rPr>
              <w:t xml:space="preserve">إنتاجية عالية </w:t>
            </w:r>
            <w:r w:rsidRPr="00E2695B">
              <w:rPr>
                <w:rFonts w:eastAsia="MS Mincho" w:hint="cs"/>
                <w:sz w:val="20"/>
                <w:szCs w:val="22"/>
                <w:rtl/>
              </w:rPr>
              <w:t>ل</w:t>
            </w:r>
            <w:r w:rsidRPr="00E2695B">
              <w:rPr>
                <w:rFonts w:eastAsia="MS Mincho"/>
                <w:sz w:val="20"/>
                <w:szCs w:val="22"/>
                <w:rtl/>
              </w:rPr>
              <w:t xml:space="preserve">لحيوانات </w:t>
            </w:r>
            <w:r w:rsidRPr="00E2695B">
              <w:rPr>
                <w:rFonts w:eastAsia="MS Mincho" w:hint="cs"/>
                <w:sz w:val="20"/>
                <w:szCs w:val="22"/>
                <w:rtl/>
              </w:rPr>
              <w:t>ذات التغذية الترشيحية</w:t>
            </w:r>
            <w:r w:rsidRPr="00E2695B">
              <w:rPr>
                <w:rFonts w:eastAsia="MS Mincho"/>
                <w:sz w:val="20"/>
                <w:szCs w:val="22"/>
                <w:rtl/>
              </w:rPr>
              <w:t xml:space="preserve"> </w:t>
            </w:r>
            <w:r w:rsidRPr="00E2695B">
              <w:rPr>
                <w:rFonts w:eastAsia="MS Mincho" w:hint="cs"/>
                <w:sz w:val="20"/>
                <w:szCs w:val="22"/>
                <w:rtl/>
              </w:rPr>
              <w:t>و</w:t>
            </w:r>
            <w:r w:rsidRPr="00E2695B">
              <w:rPr>
                <w:rFonts w:eastAsia="MS Mincho"/>
                <w:sz w:val="20"/>
                <w:szCs w:val="22"/>
                <w:rtl/>
              </w:rPr>
              <w:t>التي تشكل القاعدة الغذائية للأسماك المفلطحة و</w:t>
            </w:r>
            <w:r w:rsidRPr="00E2695B">
              <w:rPr>
                <w:rFonts w:eastAsia="MS Mincho" w:hint="cs"/>
                <w:sz w:val="20"/>
                <w:szCs w:val="22"/>
                <w:rtl/>
              </w:rPr>
              <w:t>أعداد</w:t>
            </w:r>
            <w:r w:rsidRPr="00E2695B">
              <w:rPr>
                <w:rFonts w:eastAsia="MS Mincho"/>
                <w:sz w:val="20"/>
                <w:szCs w:val="22"/>
                <w:rtl/>
              </w:rPr>
              <w:t xml:space="preserve"> كبيرة من الطيور ال</w:t>
            </w:r>
            <w:r w:rsidRPr="00E2695B">
              <w:rPr>
                <w:rFonts w:eastAsia="MS Mincho" w:hint="cs"/>
                <w:sz w:val="20"/>
                <w:szCs w:val="22"/>
                <w:rtl/>
              </w:rPr>
              <w:t>مشتية</w:t>
            </w:r>
            <w:r w:rsidRPr="00E2695B">
              <w:rPr>
                <w:rFonts w:eastAsia="MS Mincho"/>
                <w:sz w:val="20"/>
                <w:szCs w:val="22"/>
              </w:rPr>
              <w:t>.</w:t>
            </w:r>
          </w:p>
        </w:tc>
        <w:tc>
          <w:tcPr>
            <w:tcW w:w="506" w:type="dxa"/>
            <w:vAlign w:val="center"/>
          </w:tcPr>
          <w:p w:rsidR="000A5DEA" w:rsidRPr="00E2695B" w:rsidRDefault="000A5DEA" w:rsidP="000A5DEA">
            <w:pPr>
              <w:snapToGrid w:val="0"/>
              <w:jc w:val="center"/>
              <w:rPr>
                <w:sz w:val="20"/>
                <w:szCs w:val="22"/>
              </w:rPr>
            </w:pPr>
            <w:r w:rsidRPr="00E2695B">
              <w:rPr>
                <w:sz w:val="20"/>
                <w:szCs w:val="22"/>
              </w:rPr>
              <w:lastRenderedPageBreak/>
              <w:t>H</w:t>
            </w:r>
          </w:p>
        </w:tc>
        <w:tc>
          <w:tcPr>
            <w:tcW w:w="506" w:type="dxa"/>
            <w:vAlign w:val="center"/>
          </w:tcPr>
          <w:p w:rsidR="000A5DEA" w:rsidRPr="00E2695B" w:rsidRDefault="000A5DEA" w:rsidP="000A5DEA">
            <w:pPr>
              <w:snapToGrid w:val="0"/>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H</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6" w:type="dxa"/>
            <w:vAlign w:val="center"/>
          </w:tcPr>
          <w:p w:rsidR="000A5DEA" w:rsidRPr="00E2695B" w:rsidRDefault="000A5DEA" w:rsidP="000A5DEA">
            <w:pPr>
              <w:snapToGrid w:val="0"/>
              <w:jc w:val="center"/>
              <w:rPr>
                <w:sz w:val="20"/>
                <w:szCs w:val="22"/>
              </w:rPr>
            </w:pPr>
            <w:r w:rsidRPr="00E2695B">
              <w:rPr>
                <w:sz w:val="20"/>
                <w:szCs w:val="22"/>
              </w:rPr>
              <w:t>M</w:t>
            </w:r>
          </w:p>
        </w:tc>
        <w:tc>
          <w:tcPr>
            <w:tcW w:w="507" w:type="dxa"/>
            <w:vAlign w:val="center"/>
          </w:tcPr>
          <w:p w:rsidR="000A5DEA" w:rsidRPr="00E2695B" w:rsidRDefault="000A5DEA" w:rsidP="000A5DEA">
            <w:pPr>
              <w:snapToGrid w:val="0"/>
              <w:jc w:val="center"/>
              <w:rPr>
                <w:sz w:val="20"/>
                <w:szCs w:val="22"/>
              </w:rPr>
            </w:pPr>
            <w:r w:rsidRPr="00E2695B">
              <w:rPr>
                <w:sz w:val="20"/>
                <w:szCs w:val="22"/>
              </w:rPr>
              <w:t>M</w:t>
            </w:r>
          </w:p>
        </w:tc>
      </w:tr>
      <w:tr w:rsidR="000A5DEA" w:rsidRPr="00E2695B" w:rsidTr="000A5DEA">
        <w:tc>
          <w:tcPr>
            <w:tcW w:w="9687" w:type="dxa"/>
            <w:shd w:val="clear" w:color="auto" w:fill="auto"/>
          </w:tcPr>
          <w:p w:rsidR="000A5DEA" w:rsidRPr="00E2695B" w:rsidRDefault="000A5DEA" w:rsidP="000A5DEA">
            <w:pPr>
              <w:keepNext/>
              <w:snapToGrid w:val="0"/>
              <w:spacing w:line="204" w:lineRule="auto"/>
              <w:rPr>
                <w:bCs/>
                <w:sz w:val="20"/>
                <w:szCs w:val="22"/>
              </w:rPr>
            </w:pPr>
            <w:r w:rsidRPr="00E2695B">
              <w:rPr>
                <w:rFonts w:hint="cs"/>
                <w:bCs/>
                <w:sz w:val="20"/>
                <w:szCs w:val="22"/>
                <w:rtl/>
              </w:rPr>
              <w:lastRenderedPageBreak/>
              <w:t xml:space="preserve">8- </w:t>
            </w:r>
            <w:r w:rsidRPr="00E2695B">
              <w:rPr>
                <w:bCs/>
                <w:sz w:val="20"/>
                <w:szCs w:val="22"/>
                <w:rtl/>
              </w:rPr>
              <w:t>حزام فيهمارن</w:t>
            </w:r>
          </w:p>
          <w:p w:rsidR="000A5DEA" w:rsidRPr="00E2695B" w:rsidRDefault="000A5DEA" w:rsidP="00CD26C5">
            <w:pPr>
              <w:keepNext/>
              <w:numPr>
                <w:ilvl w:val="0"/>
                <w:numId w:val="119"/>
              </w:numPr>
              <w:suppressAutoHyphens/>
              <w:spacing w:after="0" w:line="204" w:lineRule="auto"/>
              <w:rPr>
                <w:rFonts w:eastAsia="MS Mincho"/>
                <w:color w:val="000000"/>
                <w:sz w:val="20"/>
                <w:szCs w:val="22"/>
                <w:bdr w:val="nil"/>
              </w:rPr>
            </w:pPr>
            <w:r w:rsidRPr="00E2695B">
              <w:rPr>
                <w:sz w:val="20"/>
                <w:szCs w:val="22"/>
                <w:rtl/>
              </w:rPr>
              <w:t xml:space="preserve">الموقع: تغطي </w:t>
            </w:r>
            <w:r w:rsidRPr="00E2695B">
              <w:rPr>
                <w:rFonts w:hint="cs"/>
                <w:sz w:val="20"/>
                <w:szCs w:val="22"/>
                <w:rtl/>
              </w:rPr>
              <w:t xml:space="preserve">هذه </w:t>
            </w:r>
            <w:r w:rsidRPr="00E2695B">
              <w:rPr>
                <w:sz w:val="20"/>
                <w:szCs w:val="22"/>
                <w:rtl/>
              </w:rPr>
              <w:t xml:space="preserve">المنطقة </w:t>
            </w:r>
            <w:r w:rsidRPr="00E2695B">
              <w:rPr>
                <w:rFonts w:hint="cs"/>
                <w:sz w:val="20"/>
                <w:szCs w:val="22"/>
                <w:rtl/>
              </w:rPr>
              <w:t xml:space="preserve">مساحة قدرها 652 1 </w:t>
            </w:r>
            <w:r w:rsidRPr="00E2695B">
              <w:rPr>
                <w:sz w:val="20"/>
                <w:szCs w:val="22"/>
                <w:rtl/>
              </w:rPr>
              <w:t>كيلومتر</w:t>
            </w:r>
            <w:r w:rsidRPr="00E2695B">
              <w:rPr>
                <w:rFonts w:hint="cs"/>
                <w:sz w:val="20"/>
                <w:szCs w:val="22"/>
                <w:rtl/>
              </w:rPr>
              <w:t>اً</w:t>
            </w:r>
            <w:r w:rsidRPr="00E2695B">
              <w:rPr>
                <w:sz w:val="20"/>
                <w:szCs w:val="22"/>
                <w:rtl/>
              </w:rPr>
              <w:t xml:space="preserve"> مربع</w:t>
            </w:r>
            <w:r w:rsidRPr="00E2695B">
              <w:rPr>
                <w:rFonts w:hint="cs"/>
                <w:sz w:val="20"/>
                <w:szCs w:val="22"/>
                <w:rtl/>
              </w:rPr>
              <w:t>اً</w:t>
            </w:r>
            <w:r w:rsidRPr="00E2695B">
              <w:rPr>
                <w:sz w:val="20"/>
                <w:szCs w:val="22"/>
                <w:rtl/>
              </w:rPr>
              <w:t xml:space="preserve"> في الجزء الجنوبي الغربي من بحر البلطيق في </w:t>
            </w:r>
            <w:r w:rsidRPr="00E2695B">
              <w:rPr>
                <w:rFonts w:hint="cs"/>
                <w:sz w:val="20"/>
                <w:szCs w:val="22"/>
                <w:rtl/>
              </w:rPr>
              <w:t>الأحواض</w:t>
            </w:r>
            <w:r w:rsidRPr="00E2695B">
              <w:rPr>
                <w:sz w:val="20"/>
                <w:szCs w:val="22"/>
                <w:rtl/>
              </w:rPr>
              <w:t xml:space="preserve"> الفرعية</w:t>
            </w:r>
            <w:r w:rsidRPr="00E2695B">
              <w:rPr>
                <w:rFonts w:hint="cs"/>
                <w:sz w:val="20"/>
                <w:szCs w:val="22"/>
                <w:rtl/>
              </w:rPr>
              <w:t xml:space="preserve"> للجنة هلسنكي</w:t>
            </w:r>
            <w:r w:rsidRPr="00E2695B">
              <w:rPr>
                <w:sz w:val="20"/>
                <w:szCs w:val="22"/>
                <w:rtl/>
              </w:rPr>
              <w:t xml:space="preserve"> وخليج ك</w:t>
            </w:r>
            <w:r w:rsidRPr="00E2695B">
              <w:rPr>
                <w:rFonts w:hint="cs"/>
                <w:sz w:val="20"/>
                <w:szCs w:val="22"/>
                <w:rtl/>
              </w:rPr>
              <w:t>ي</w:t>
            </w:r>
            <w:r w:rsidRPr="00E2695B">
              <w:rPr>
                <w:sz w:val="20"/>
                <w:szCs w:val="22"/>
                <w:rtl/>
              </w:rPr>
              <w:t xml:space="preserve">يل </w:t>
            </w:r>
            <w:r w:rsidRPr="00E2695B">
              <w:rPr>
                <w:rFonts w:hint="cs"/>
                <w:sz w:val="20"/>
                <w:szCs w:val="22"/>
                <w:rtl/>
              </w:rPr>
              <w:t>وخليج</w:t>
            </w:r>
            <w:r w:rsidRPr="00E2695B">
              <w:rPr>
                <w:sz w:val="20"/>
                <w:szCs w:val="22"/>
                <w:rtl/>
              </w:rPr>
              <w:t xml:space="preserve"> مكلنبورغ</w:t>
            </w:r>
            <w:r w:rsidRPr="00E2695B">
              <w:rPr>
                <w:rFonts w:hint="cs"/>
                <w:sz w:val="20"/>
                <w:szCs w:val="22"/>
                <w:rtl/>
              </w:rPr>
              <w:t>.</w:t>
            </w:r>
          </w:p>
          <w:p w:rsidR="000A5DEA" w:rsidRPr="00E2695B" w:rsidRDefault="000A5DEA" w:rsidP="00CD26C5">
            <w:pPr>
              <w:keepNext/>
              <w:numPr>
                <w:ilvl w:val="0"/>
                <w:numId w:val="119"/>
              </w:numPr>
              <w:suppressAutoHyphens/>
              <w:spacing w:after="0" w:line="204" w:lineRule="auto"/>
              <w:rPr>
                <w:sz w:val="20"/>
                <w:szCs w:val="22"/>
              </w:rPr>
            </w:pPr>
            <w:r w:rsidRPr="00E2695B">
              <w:rPr>
                <w:rFonts w:eastAsia="MS Mincho" w:hint="cs"/>
                <w:color w:val="000000"/>
                <w:sz w:val="20"/>
                <w:szCs w:val="22"/>
                <w:bdr w:val="nil"/>
                <w:rtl/>
              </w:rPr>
              <w:t xml:space="preserve">يشكل </w:t>
            </w:r>
            <w:r w:rsidRPr="00E2695B">
              <w:rPr>
                <w:rFonts w:eastAsia="MS Mincho"/>
                <w:color w:val="000000"/>
                <w:sz w:val="20"/>
                <w:szCs w:val="22"/>
                <w:bdr w:val="nil"/>
                <w:rtl/>
              </w:rPr>
              <w:t>حزام فيهمارن الطريق الرئيسي لتبادل المياه بين بحر البلطيق والمحيط الأطلسي، وي</w:t>
            </w:r>
            <w:r w:rsidRPr="00E2695B">
              <w:rPr>
                <w:rFonts w:eastAsia="MS Mincho" w:hint="cs"/>
                <w:color w:val="000000"/>
                <w:sz w:val="20"/>
                <w:szCs w:val="22"/>
                <w:bdr w:val="nil"/>
                <w:rtl/>
              </w:rPr>
              <w:t>نقل</w:t>
            </w:r>
            <w:r w:rsidRPr="00E2695B">
              <w:rPr>
                <w:rFonts w:eastAsia="MS Mincho"/>
                <w:color w:val="000000"/>
                <w:sz w:val="20"/>
                <w:szCs w:val="22"/>
                <w:bdr w:val="nil"/>
                <w:rtl/>
              </w:rPr>
              <w:t xml:space="preserve"> ما بين 70 و75 في المائة من </w:t>
            </w:r>
            <w:r w:rsidRPr="00E2695B">
              <w:rPr>
                <w:rFonts w:eastAsia="MS Mincho" w:hint="cs"/>
                <w:color w:val="000000"/>
                <w:sz w:val="20"/>
                <w:szCs w:val="22"/>
                <w:bdr w:val="nil"/>
                <w:rtl/>
              </w:rPr>
              <w:t>الكتل المائية</w:t>
            </w:r>
            <w:r w:rsidRPr="00E2695B">
              <w:rPr>
                <w:rFonts w:eastAsia="MS Mincho"/>
                <w:color w:val="000000"/>
                <w:sz w:val="20"/>
                <w:szCs w:val="22"/>
                <w:bdr w:val="nil"/>
                <w:rtl/>
              </w:rPr>
              <w:t xml:space="preserve">. </w:t>
            </w:r>
            <w:r w:rsidRPr="00E2695B">
              <w:rPr>
                <w:rFonts w:eastAsia="MS Mincho" w:hint="cs"/>
                <w:color w:val="000000"/>
                <w:sz w:val="20"/>
                <w:szCs w:val="22"/>
                <w:bdr w:val="nil"/>
                <w:rtl/>
              </w:rPr>
              <w:t xml:space="preserve">وهذه </w:t>
            </w:r>
            <w:r w:rsidRPr="00E2695B">
              <w:rPr>
                <w:rFonts w:eastAsia="MS Mincho"/>
                <w:color w:val="000000"/>
                <w:sz w:val="20"/>
                <w:szCs w:val="22"/>
                <w:bdr w:val="nil"/>
                <w:rtl/>
              </w:rPr>
              <w:t xml:space="preserve">المنطقة مهمة للأنواع المائية المهاجرة، مثل </w:t>
            </w:r>
            <w:r w:rsidRPr="00E2695B">
              <w:rPr>
                <w:rFonts w:eastAsia="MS Mincho" w:hint="cs"/>
                <w:color w:val="000000"/>
                <w:sz w:val="20"/>
                <w:szCs w:val="22"/>
                <w:bdr w:val="nil"/>
                <w:rtl/>
              </w:rPr>
              <w:t>المجموعات الغربية لخنزير البحر الشائع</w:t>
            </w:r>
            <w:r w:rsidRPr="00E2695B">
              <w:rPr>
                <w:rFonts w:eastAsia="MS Mincho"/>
                <w:color w:val="000000"/>
                <w:sz w:val="20"/>
                <w:szCs w:val="22"/>
                <w:bdr w:val="nil"/>
                <w:rtl/>
              </w:rPr>
              <w:t xml:space="preserve">. </w:t>
            </w:r>
            <w:r w:rsidRPr="00E2695B">
              <w:rPr>
                <w:rFonts w:eastAsia="MS Mincho" w:hint="cs"/>
                <w:color w:val="000000"/>
                <w:sz w:val="20"/>
                <w:szCs w:val="22"/>
                <w:bdr w:val="nil"/>
                <w:rtl/>
              </w:rPr>
              <w:t>وتكتسي أيضاً</w:t>
            </w:r>
            <w:r w:rsidRPr="00E2695B">
              <w:rPr>
                <w:rFonts w:eastAsia="MS Mincho"/>
                <w:color w:val="000000"/>
                <w:sz w:val="20"/>
                <w:szCs w:val="22"/>
                <w:bdr w:val="nil"/>
                <w:rtl/>
              </w:rPr>
              <w:t xml:space="preserve"> أهمية إقليمية عالية لطيور الماء المهاجرة وال</w:t>
            </w:r>
            <w:r w:rsidRPr="00E2695B">
              <w:rPr>
                <w:rFonts w:eastAsia="MS Mincho" w:hint="cs"/>
                <w:color w:val="000000"/>
                <w:sz w:val="20"/>
                <w:szCs w:val="22"/>
                <w:bdr w:val="nil"/>
                <w:rtl/>
              </w:rPr>
              <w:t>مشتية</w:t>
            </w:r>
            <w:r w:rsidRPr="00E2695B">
              <w:rPr>
                <w:rFonts w:eastAsia="MS Mincho"/>
                <w:color w:val="000000"/>
                <w:sz w:val="20"/>
                <w:szCs w:val="22"/>
                <w:bdr w:val="nil"/>
                <w:rtl/>
              </w:rPr>
              <w:t xml:space="preserve">. </w:t>
            </w:r>
            <w:r w:rsidRPr="00E2695B">
              <w:rPr>
                <w:rFonts w:eastAsia="MS Mincho" w:hint="cs"/>
                <w:color w:val="000000"/>
                <w:sz w:val="20"/>
                <w:szCs w:val="22"/>
                <w:bdr w:val="nil"/>
                <w:rtl/>
              </w:rPr>
              <w:t>و</w:t>
            </w:r>
            <w:r w:rsidRPr="00E2695B">
              <w:rPr>
                <w:rFonts w:eastAsia="MS Mincho"/>
                <w:color w:val="000000"/>
                <w:sz w:val="20"/>
                <w:szCs w:val="22"/>
                <w:bdr w:val="nil"/>
                <w:rtl/>
              </w:rPr>
              <w:t>يؤدي الجمع بين التعرض الدائم للمياه المالحة و</w:t>
            </w:r>
            <w:r w:rsidRPr="00E2695B">
              <w:rPr>
                <w:rFonts w:eastAsia="MS Mincho" w:hint="cs"/>
                <w:color w:val="000000"/>
                <w:sz w:val="20"/>
                <w:szCs w:val="22"/>
                <w:bdr w:val="nil"/>
                <w:rtl/>
              </w:rPr>
              <w:t xml:space="preserve">مدى </w:t>
            </w:r>
            <w:r w:rsidRPr="00E2695B">
              <w:rPr>
                <w:rFonts w:eastAsia="MS Mincho"/>
                <w:color w:val="000000"/>
                <w:sz w:val="20"/>
                <w:szCs w:val="22"/>
                <w:bdr w:val="nil"/>
                <w:rtl/>
              </w:rPr>
              <w:t>تعقيد الهياكل القاعية إلى</w:t>
            </w:r>
            <w:r w:rsidRPr="00E2695B">
              <w:rPr>
                <w:rFonts w:eastAsia="MS Mincho" w:hint="cs"/>
                <w:color w:val="000000"/>
                <w:sz w:val="20"/>
                <w:szCs w:val="22"/>
                <w:bdr w:val="nil"/>
                <w:rtl/>
              </w:rPr>
              <w:t xml:space="preserve"> تكون</w:t>
            </w:r>
            <w:r w:rsidRPr="00E2695B">
              <w:rPr>
                <w:rFonts w:eastAsia="MS Mincho"/>
                <w:color w:val="000000"/>
                <w:sz w:val="20"/>
                <w:szCs w:val="22"/>
                <w:bdr w:val="nil"/>
                <w:rtl/>
              </w:rPr>
              <w:t xml:space="preserve"> فسيفساء معقدة من الب</w:t>
            </w:r>
            <w:r w:rsidRPr="00E2695B">
              <w:rPr>
                <w:rFonts w:eastAsia="MS Mincho" w:hint="cs"/>
                <w:color w:val="000000"/>
                <w:sz w:val="20"/>
                <w:szCs w:val="22"/>
                <w:bdr w:val="nil"/>
                <w:rtl/>
              </w:rPr>
              <w:t>يئات</w:t>
            </w:r>
            <w:r w:rsidRPr="00E2695B">
              <w:rPr>
                <w:rFonts w:eastAsia="MS Mincho"/>
                <w:color w:val="000000"/>
                <w:sz w:val="20"/>
                <w:szCs w:val="22"/>
                <w:bdr w:val="nil"/>
                <w:rtl/>
              </w:rPr>
              <w:t xml:space="preserve"> الحيوية القاعية التي ت</w:t>
            </w:r>
            <w:r w:rsidRPr="00E2695B">
              <w:rPr>
                <w:rFonts w:eastAsia="MS Mincho" w:hint="cs"/>
                <w:color w:val="000000"/>
                <w:sz w:val="20"/>
                <w:szCs w:val="22"/>
                <w:bdr w:val="nil"/>
                <w:rtl/>
              </w:rPr>
              <w:t>قيم بها</w:t>
            </w:r>
            <w:r w:rsidRPr="00E2695B">
              <w:rPr>
                <w:rFonts w:eastAsia="MS Mincho"/>
                <w:color w:val="000000"/>
                <w:sz w:val="20"/>
                <w:szCs w:val="22"/>
                <w:bdr w:val="nil"/>
                <w:rtl/>
              </w:rPr>
              <w:t xml:space="preserve"> مجموعة متنوعة من المجتمعات الغنية بالأنواع. </w:t>
            </w:r>
            <w:r w:rsidRPr="00E2695B">
              <w:rPr>
                <w:rFonts w:eastAsia="MS Mincho" w:hint="cs"/>
                <w:color w:val="000000"/>
                <w:sz w:val="20"/>
                <w:szCs w:val="22"/>
                <w:bdr w:val="nil"/>
                <w:rtl/>
              </w:rPr>
              <w:t>وبالإضافة إلى</w:t>
            </w:r>
            <w:r w:rsidRPr="00E2695B">
              <w:rPr>
                <w:rFonts w:eastAsia="MS Mincho"/>
                <w:color w:val="000000"/>
                <w:sz w:val="20"/>
                <w:szCs w:val="22"/>
                <w:bdr w:val="nil"/>
                <w:rtl/>
              </w:rPr>
              <w:t xml:space="preserve"> وجود </w:t>
            </w:r>
            <w:r w:rsidRPr="00E2695B">
              <w:rPr>
                <w:rFonts w:eastAsia="MS Mincho" w:hint="cs"/>
                <w:color w:val="000000"/>
                <w:sz w:val="20"/>
                <w:szCs w:val="22"/>
                <w:bdr w:val="nil"/>
                <w:rtl/>
              </w:rPr>
              <w:t>عدة موائل</w:t>
            </w:r>
            <w:r w:rsidRPr="00E2695B">
              <w:rPr>
                <w:rFonts w:eastAsia="MS Mincho"/>
                <w:color w:val="000000"/>
                <w:sz w:val="20"/>
                <w:szCs w:val="22"/>
                <w:bdr w:val="nil"/>
                <w:rtl/>
              </w:rPr>
              <w:t xml:space="preserve"> وأنواع</w:t>
            </w:r>
            <w:r w:rsidRPr="00E2695B">
              <w:rPr>
                <w:rFonts w:eastAsia="MS Mincho" w:hint="cs"/>
                <w:color w:val="000000"/>
                <w:sz w:val="20"/>
                <w:szCs w:val="22"/>
                <w:bdr w:val="nil"/>
                <w:rtl/>
              </w:rPr>
              <w:t xml:space="preserve"> </w:t>
            </w:r>
            <w:r w:rsidRPr="00E2695B">
              <w:rPr>
                <w:rFonts w:eastAsia="MS Mincho"/>
                <w:color w:val="000000"/>
                <w:sz w:val="20"/>
                <w:szCs w:val="22"/>
                <w:bdr w:val="nil"/>
                <w:rtl/>
              </w:rPr>
              <w:t>قاعية مهددة بالانقراض</w:t>
            </w:r>
            <w:r w:rsidRPr="00E2695B">
              <w:rPr>
                <w:rFonts w:eastAsia="MS Mincho" w:hint="cs"/>
                <w:color w:val="000000"/>
                <w:sz w:val="20"/>
                <w:szCs w:val="22"/>
                <w:bdr w:val="nil"/>
                <w:rtl/>
              </w:rPr>
              <w:t xml:space="preserve"> في هذه المنطقة</w:t>
            </w:r>
            <w:r w:rsidRPr="00E2695B">
              <w:rPr>
                <w:rFonts w:eastAsia="MS Mincho"/>
                <w:color w:val="000000"/>
                <w:sz w:val="20"/>
                <w:szCs w:val="22"/>
                <w:bdr w:val="nil"/>
                <w:rtl/>
              </w:rPr>
              <w:t xml:space="preserve">، </w:t>
            </w:r>
            <w:r w:rsidRPr="00E2695B">
              <w:rPr>
                <w:rFonts w:eastAsia="MS Mincho" w:hint="cs"/>
                <w:color w:val="000000"/>
                <w:sz w:val="20"/>
                <w:szCs w:val="22"/>
                <w:bdr w:val="nil"/>
                <w:rtl/>
              </w:rPr>
              <w:t xml:space="preserve">فهي </w:t>
            </w:r>
            <w:r w:rsidRPr="00E2695B">
              <w:rPr>
                <w:rFonts w:eastAsia="MS Mincho"/>
                <w:color w:val="000000"/>
                <w:sz w:val="20"/>
                <w:szCs w:val="22"/>
                <w:bdr w:val="nil"/>
                <w:rtl/>
              </w:rPr>
              <w:t xml:space="preserve">مهمة إقليمياً </w:t>
            </w:r>
            <w:r w:rsidRPr="00E2695B">
              <w:rPr>
                <w:rFonts w:eastAsia="MS Mincho" w:hint="cs"/>
                <w:color w:val="000000"/>
                <w:sz w:val="20"/>
                <w:szCs w:val="22"/>
                <w:bdr w:val="nil"/>
                <w:rtl/>
              </w:rPr>
              <w:t>لإحدى البيئات الحيوية</w:t>
            </w:r>
            <w:r w:rsidRPr="00E2695B">
              <w:rPr>
                <w:rFonts w:eastAsia="MS Mincho"/>
                <w:color w:val="000000"/>
                <w:sz w:val="20"/>
                <w:szCs w:val="22"/>
                <w:bdr w:val="nil"/>
                <w:rtl/>
              </w:rPr>
              <w:t xml:space="preserve"> المهددة</w:t>
            </w:r>
            <w:r w:rsidRPr="00E2695B">
              <w:rPr>
                <w:rFonts w:eastAsia="MS Mincho" w:hint="cs"/>
                <w:color w:val="000000"/>
                <w:sz w:val="20"/>
                <w:szCs w:val="22"/>
                <w:bdr w:val="nil"/>
                <w:rtl/>
              </w:rPr>
              <w:t xml:space="preserve"> بشدة</w:t>
            </w:r>
            <w:r w:rsidRPr="00E2695B">
              <w:rPr>
                <w:rFonts w:eastAsia="MS Mincho"/>
                <w:color w:val="000000"/>
                <w:sz w:val="20"/>
                <w:szCs w:val="22"/>
                <w:bdr w:val="nil"/>
                <w:rtl/>
              </w:rPr>
              <w:t xml:space="preserve"> بالانقراض والتي </w:t>
            </w:r>
            <w:r w:rsidRPr="00E2695B">
              <w:rPr>
                <w:rFonts w:eastAsia="MS Mincho" w:hint="cs"/>
                <w:color w:val="000000"/>
                <w:sz w:val="20"/>
                <w:szCs w:val="22"/>
                <w:bdr w:val="nil"/>
                <w:rtl/>
              </w:rPr>
              <w:t>ت</w:t>
            </w:r>
            <w:r w:rsidRPr="00E2695B">
              <w:rPr>
                <w:rFonts w:eastAsia="MS Mincho"/>
                <w:color w:val="000000"/>
                <w:sz w:val="20"/>
                <w:szCs w:val="22"/>
                <w:bdr w:val="nil"/>
                <w:rtl/>
              </w:rPr>
              <w:t xml:space="preserve">هيمن عليها </w:t>
            </w:r>
            <w:r w:rsidRPr="00E2695B">
              <w:rPr>
                <w:rFonts w:eastAsia="MS Mincho" w:hint="cs"/>
                <w:color w:val="000000"/>
                <w:sz w:val="20"/>
                <w:szCs w:val="22"/>
                <w:bdr w:val="nil"/>
                <w:rtl/>
              </w:rPr>
              <w:t>قوقعة</w:t>
            </w:r>
            <w:r w:rsidRPr="00E2695B">
              <w:rPr>
                <w:rFonts w:eastAsia="MS Mincho"/>
                <w:color w:val="000000"/>
                <w:sz w:val="20"/>
                <w:szCs w:val="22"/>
                <w:bdr w:val="nil"/>
                <w:rtl/>
              </w:rPr>
              <w:t xml:space="preserve"> المحيط، وه</w:t>
            </w:r>
            <w:r w:rsidRPr="00E2695B">
              <w:rPr>
                <w:rFonts w:eastAsia="MS Mincho" w:hint="cs"/>
                <w:color w:val="000000"/>
                <w:sz w:val="20"/>
                <w:szCs w:val="22"/>
                <w:bdr w:val="nil"/>
                <w:rtl/>
              </w:rPr>
              <w:t>ي</w:t>
            </w:r>
            <w:r w:rsidRPr="00E2695B">
              <w:rPr>
                <w:rFonts w:eastAsia="MS Mincho"/>
                <w:color w:val="000000"/>
                <w:sz w:val="20"/>
                <w:szCs w:val="22"/>
                <w:bdr w:val="nil"/>
                <w:rtl/>
              </w:rPr>
              <w:t xml:space="preserve"> أحد</w:t>
            </w:r>
            <w:r w:rsidRPr="00E2695B">
              <w:rPr>
                <w:rFonts w:eastAsia="MS Mincho" w:hint="cs"/>
                <w:color w:val="000000"/>
                <w:sz w:val="20"/>
                <w:szCs w:val="22"/>
                <w:bdr w:val="nil"/>
                <w:rtl/>
              </w:rPr>
              <w:t xml:space="preserve"> أطول</w:t>
            </w:r>
            <w:r w:rsidRPr="00E2695B">
              <w:rPr>
                <w:rFonts w:eastAsia="MS Mincho"/>
                <w:color w:val="000000"/>
                <w:sz w:val="20"/>
                <w:szCs w:val="22"/>
                <w:bdr w:val="nil"/>
                <w:rtl/>
              </w:rPr>
              <w:t xml:space="preserve"> الأنواع عمر</w:t>
            </w:r>
            <w:r w:rsidRPr="00E2695B">
              <w:rPr>
                <w:rFonts w:eastAsia="MS Mincho" w:hint="cs"/>
                <w:color w:val="000000"/>
                <w:sz w:val="20"/>
                <w:szCs w:val="22"/>
                <w:bdr w:val="nil"/>
                <w:rtl/>
              </w:rPr>
              <w:t>اً</w:t>
            </w:r>
            <w:r w:rsidRPr="00E2695B">
              <w:rPr>
                <w:rFonts w:eastAsia="MS Mincho"/>
                <w:color w:val="000000"/>
                <w:sz w:val="20"/>
                <w:szCs w:val="22"/>
                <w:bdr w:val="nil"/>
                <w:rtl/>
              </w:rPr>
              <w:t xml:space="preserve"> في العال</w:t>
            </w:r>
            <w:r w:rsidRPr="00E2695B">
              <w:rPr>
                <w:rFonts w:eastAsia="MS Mincho" w:hint="cs"/>
                <w:color w:val="000000"/>
                <w:sz w:val="20"/>
                <w:szCs w:val="22"/>
                <w:bdr w:val="nil"/>
                <w:rtl/>
              </w:rPr>
              <w:t>م.</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H</w:t>
            </w:r>
          </w:p>
        </w:tc>
        <w:tc>
          <w:tcPr>
            <w:tcW w:w="506" w:type="dxa"/>
            <w:vAlign w:val="center"/>
          </w:tcPr>
          <w:p w:rsidR="000A5DEA" w:rsidRPr="00E2695B" w:rsidRDefault="000A5DEA" w:rsidP="000A5DEA">
            <w:pPr>
              <w:keepNext/>
              <w:snapToGrid w:val="0"/>
              <w:rPr>
                <w:sz w:val="20"/>
                <w:szCs w:val="22"/>
              </w:rPr>
            </w:pPr>
            <w:r w:rsidRPr="00E2695B">
              <w:rPr>
                <w:sz w:val="20"/>
                <w:szCs w:val="22"/>
              </w:rPr>
              <w:t>H</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H</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M</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L</w:t>
            </w:r>
          </w:p>
        </w:tc>
        <w:tc>
          <w:tcPr>
            <w:tcW w:w="506" w:type="dxa"/>
            <w:vAlign w:val="center"/>
          </w:tcPr>
          <w:p w:rsidR="000A5DEA" w:rsidRPr="00E2695B" w:rsidRDefault="000A5DEA" w:rsidP="000A5DEA">
            <w:pPr>
              <w:keepNext/>
              <w:snapToGrid w:val="0"/>
              <w:jc w:val="center"/>
              <w:rPr>
                <w:sz w:val="20"/>
                <w:szCs w:val="22"/>
              </w:rPr>
            </w:pPr>
            <w:r w:rsidRPr="00E2695B">
              <w:rPr>
                <w:sz w:val="20"/>
                <w:szCs w:val="22"/>
              </w:rPr>
              <w:t>H</w:t>
            </w:r>
          </w:p>
        </w:tc>
        <w:tc>
          <w:tcPr>
            <w:tcW w:w="507" w:type="dxa"/>
            <w:vAlign w:val="center"/>
          </w:tcPr>
          <w:p w:rsidR="000A5DEA" w:rsidRPr="007E33A1" w:rsidRDefault="000A5DEA" w:rsidP="000A5DEA">
            <w:pPr>
              <w:keepNext/>
              <w:snapToGrid w:val="0"/>
              <w:jc w:val="center"/>
              <w:rPr>
                <w:sz w:val="20"/>
                <w:szCs w:val="22"/>
              </w:rPr>
            </w:pPr>
            <w:r w:rsidRPr="00E2695B">
              <w:rPr>
                <w:sz w:val="20"/>
                <w:szCs w:val="22"/>
              </w:rPr>
              <w:t>M</w:t>
            </w:r>
          </w:p>
        </w:tc>
      </w:tr>
      <w:tr w:rsidR="000A5DEA" w:rsidRPr="00E2695B" w:rsidTr="000A5DEA">
        <w:trPr>
          <w:trHeight w:val="3445"/>
        </w:trPr>
        <w:tc>
          <w:tcPr>
            <w:tcW w:w="9687" w:type="dxa"/>
            <w:shd w:val="clear" w:color="auto" w:fill="auto"/>
          </w:tcPr>
          <w:p w:rsidR="000A5DEA" w:rsidRPr="00E2695B" w:rsidRDefault="000A5DEA" w:rsidP="000A5DEA">
            <w:pPr>
              <w:snapToGrid w:val="0"/>
              <w:spacing w:line="204" w:lineRule="auto"/>
              <w:rPr>
                <w:b/>
                <w:sz w:val="20"/>
                <w:szCs w:val="22"/>
              </w:rPr>
            </w:pPr>
            <w:r w:rsidRPr="00E2695B">
              <w:rPr>
                <w:rFonts w:hint="cs"/>
                <w:bCs/>
                <w:sz w:val="20"/>
                <w:szCs w:val="22"/>
                <w:rtl/>
              </w:rPr>
              <w:t xml:space="preserve">9- </w:t>
            </w:r>
            <w:r w:rsidRPr="00E2695B">
              <w:rPr>
                <w:bCs/>
                <w:sz w:val="20"/>
                <w:szCs w:val="22"/>
                <w:rtl/>
              </w:rPr>
              <w:t xml:space="preserve"> فلاد</w:t>
            </w:r>
            <w:r w:rsidRPr="00E2695B">
              <w:rPr>
                <w:rFonts w:hint="cs"/>
                <w:bCs/>
                <w:sz w:val="20"/>
                <w:szCs w:val="22"/>
                <w:rtl/>
              </w:rPr>
              <w:t>ي</w:t>
            </w:r>
            <w:r w:rsidRPr="00E2695B">
              <w:rPr>
                <w:bCs/>
                <w:sz w:val="20"/>
                <w:szCs w:val="22"/>
                <w:rtl/>
              </w:rPr>
              <w:t>ن وستورا ميدلغروند وليلا ميدلغروند</w:t>
            </w:r>
            <w:r w:rsidRPr="00E2695B">
              <w:rPr>
                <w:rFonts w:hint="cs"/>
                <w:b/>
                <w:sz w:val="20"/>
                <w:szCs w:val="22"/>
                <w:rtl/>
              </w:rPr>
              <w:t xml:space="preserve"> (</w:t>
            </w:r>
            <w:r w:rsidRPr="00E2695B">
              <w:rPr>
                <w:b/>
                <w:sz w:val="20"/>
                <w:szCs w:val="22"/>
              </w:rPr>
              <w:t>Fladen and Stora Middelgrun</w:t>
            </w:r>
            <w:r>
              <w:rPr>
                <w:b/>
                <w:sz w:val="20"/>
                <w:szCs w:val="22"/>
              </w:rPr>
              <w:t xml:space="preserve">d </w:t>
            </w:r>
            <w:r w:rsidRPr="00E2695B">
              <w:rPr>
                <w:b/>
                <w:sz w:val="20"/>
                <w:szCs w:val="22"/>
              </w:rPr>
              <w:t>and Lilla Middelgrund</w:t>
            </w:r>
            <w:r w:rsidRPr="00E2695B">
              <w:rPr>
                <w:rFonts w:hint="cs"/>
                <w:b/>
                <w:sz w:val="20"/>
                <w:szCs w:val="22"/>
                <w:rtl/>
              </w:rPr>
              <w:t>)</w:t>
            </w:r>
          </w:p>
          <w:p w:rsidR="000A5DEA" w:rsidRPr="00366E36" w:rsidRDefault="000A5DEA" w:rsidP="00CD26C5">
            <w:pPr>
              <w:pStyle w:val="ListBullet"/>
              <w:numPr>
                <w:ilvl w:val="0"/>
                <w:numId w:val="120"/>
              </w:numPr>
              <w:bidi/>
              <w:spacing w:line="204" w:lineRule="auto"/>
              <w:contextualSpacing w:val="0"/>
              <w:jc w:val="both"/>
              <w:rPr>
                <w:rFonts w:eastAsia="MS Mincho" w:cs="Simplified Arabic"/>
                <w:b/>
                <w:sz w:val="20"/>
                <w:szCs w:val="22"/>
                <w:lang w:val="en-US"/>
              </w:rPr>
            </w:pPr>
            <w:r w:rsidRPr="00E2695B">
              <w:rPr>
                <w:rFonts w:cs="Simplified Arabic"/>
                <w:b/>
                <w:sz w:val="20"/>
                <w:szCs w:val="22"/>
                <w:rtl/>
                <w:lang w:val="en-US"/>
              </w:rPr>
              <w:t xml:space="preserve">الموقع: تقع </w:t>
            </w:r>
            <w:r w:rsidRPr="00E2695B">
              <w:rPr>
                <w:rFonts w:cs="Simplified Arabic" w:hint="cs"/>
                <w:b/>
                <w:sz w:val="20"/>
                <w:szCs w:val="22"/>
                <w:rtl/>
                <w:lang w:val="en-US"/>
              </w:rPr>
              <w:t>هذه ال</w:t>
            </w:r>
            <w:r w:rsidRPr="00E2695B">
              <w:rPr>
                <w:rFonts w:cs="Simplified Arabic"/>
                <w:b/>
                <w:sz w:val="20"/>
                <w:szCs w:val="22"/>
                <w:rtl/>
                <w:lang w:val="en-US"/>
              </w:rPr>
              <w:t>منطقة تقريبا</w:t>
            </w:r>
            <w:r w:rsidRPr="00E2695B">
              <w:rPr>
                <w:rFonts w:cs="Simplified Arabic" w:hint="cs"/>
                <w:b/>
                <w:sz w:val="20"/>
                <w:szCs w:val="22"/>
                <w:rtl/>
                <w:lang w:val="en-US"/>
              </w:rPr>
              <w:t>ً</w:t>
            </w:r>
            <w:r w:rsidRPr="00E2695B">
              <w:rPr>
                <w:rFonts w:cs="Simplified Arabic"/>
                <w:b/>
                <w:sz w:val="20"/>
                <w:szCs w:val="22"/>
                <w:rtl/>
                <w:lang w:val="en-US"/>
              </w:rPr>
              <w:t xml:space="preserve"> بين خطي </w:t>
            </w:r>
            <w:r w:rsidRPr="00E2695B">
              <w:rPr>
                <w:rFonts w:cs="Simplified Arabic" w:hint="cs"/>
                <w:b/>
                <w:sz w:val="20"/>
                <w:szCs w:val="22"/>
                <w:rtl/>
                <w:lang w:val="en-US"/>
              </w:rPr>
              <w:t>العرض 56</w:t>
            </w:r>
            <w:r w:rsidRPr="00E2695B">
              <w:rPr>
                <w:rFonts w:cs="Simplified Arabic"/>
                <w:sz w:val="20"/>
                <w:szCs w:val="22"/>
                <w:rtl/>
                <w:lang w:val="en-US"/>
              </w:rPr>
              <w:t>°</w:t>
            </w:r>
            <w:r w:rsidRPr="00E2695B">
              <w:rPr>
                <w:rFonts w:cs="Simplified Arabic" w:hint="cs"/>
                <w:b/>
                <w:sz w:val="20"/>
                <w:szCs w:val="22"/>
                <w:rtl/>
                <w:lang w:val="en-US"/>
              </w:rPr>
              <w:t xml:space="preserve"> 30</w:t>
            </w:r>
            <w:r w:rsidRPr="00E2695B">
              <w:rPr>
                <w:rFonts w:cs="Simplified Arabic"/>
                <w:sz w:val="20"/>
                <w:szCs w:val="22"/>
                <w:rtl/>
                <w:lang w:val="en-US"/>
              </w:rPr>
              <w:t>'</w:t>
            </w:r>
            <w:r w:rsidRPr="00E2695B">
              <w:rPr>
                <w:rFonts w:cs="Simplified Arabic" w:hint="cs"/>
                <w:sz w:val="20"/>
                <w:szCs w:val="22"/>
                <w:rtl/>
                <w:lang w:val="en-US"/>
              </w:rPr>
              <w:t xml:space="preserve"> </w:t>
            </w:r>
            <w:r w:rsidRPr="00E2695B">
              <w:rPr>
                <w:rFonts w:cs="Simplified Arabic" w:hint="cs"/>
                <w:b/>
                <w:sz w:val="20"/>
                <w:szCs w:val="22"/>
                <w:rtl/>
                <w:lang w:val="en-US"/>
              </w:rPr>
              <w:t>شمالاً و57</w:t>
            </w:r>
            <w:r w:rsidRPr="00E2695B">
              <w:rPr>
                <w:rFonts w:cs="Simplified Arabic"/>
                <w:sz w:val="20"/>
                <w:szCs w:val="22"/>
                <w:rtl/>
                <w:lang w:val="en-US"/>
              </w:rPr>
              <w:t>°</w:t>
            </w:r>
            <w:r w:rsidRPr="00E2695B">
              <w:rPr>
                <w:rFonts w:cs="Simplified Arabic" w:hint="cs"/>
                <w:sz w:val="20"/>
                <w:szCs w:val="22"/>
                <w:rtl/>
                <w:lang w:val="en-US"/>
              </w:rPr>
              <w:t xml:space="preserve"> 14</w:t>
            </w:r>
            <w:r w:rsidRPr="00E2695B">
              <w:rPr>
                <w:rFonts w:cs="Simplified Arabic"/>
                <w:sz w:val="20"/>
                <w:szCs w:val="22"/>
                <w:rtl/>
                <w:lang w:val="en-US"/>
              </w:rPr>
              <w:t>'</w:t>
            </w:r>
            <w:r w:rsidRPr="00E2695B">
              <w:rPr>
                <w:rFonts w:cs="Simplified Arabic" w:hint="cs"/>
                <w:sz w:val="20"/>
                <w:szCs w:val="22"/>
                <w:rtl/>
                <w:lang w:val="en-US"/>
              </w:rPr>
              <w:t xml:space="preserve"> </w:t>
            </w:r>
            <w:r w:rsidRPr="00E2695B">
              <w:rPr>
                <w:rFonts w:cs="Simplified Arabic" w:hint="cs"/>
                <w:b/>
                <w:sz w:val="20"/>
                <w:szCs w:val="22"/>
                <w:rtl/>
                <w:lang w:val="en-US"/>
              </w:rPr>
              <w:t>شمالاً وخطي الطول 11</w:t>
            </w:r>
            <w:r w:rsidRPr="00E2695B">
              <w:rPr>
                <w:rFonts w:cs="Simplified Arabic"/>
                <w:sz w:val="20"/>
                <w:szCs w:val="22"/>
                <w:rtl/>
                <w:lang w:val="en-US"/>
              </w:rPr>
              <w:t>°</w:t>
            </w:r>
            <w:r w:rsidRPr="00E2695B">
              <w:rPr>
                <w:rFonts w:cs="Simplified Arabic" w:hint="cs"/>
                <w:sz w:val="20"/>
                <w:szCs w:val="22"/>
                <w:rtl/>
                <w:lang w:val="en-US"/>
              </w:rPr>
              <w:t xml:space="preserve"> 40</w:t>
            </w:r>
            <w:r w:rsidRPr="00E2695B">
              <w:rPr>
                <w:rFonts w:cs="Simplified Arabic"/>
                <w:sz w:val="20"/>
                <w:szCs w:val="22"/>
                <w:rtl/>
                <w:lang w:val="en-US"/>
              </w:rPr>
              <w:t>'</w:t>
            </w:r>
            <w:r w:rsidRPr="00E2695B">
              <w:rPr>
                <w:rFonts w:cs="Simplified Arabic" w:hint="cs"/>
                <w:b/>
                <w:sz w:val="20"/>
                <w:szCs w:val="22"/>
                <w:rtl/>
                <w:lang w:val="en-US"/>
              </w:rPr>
              <w:t xml:space="preserve"> شرقاً و12</w:t>
            </w:r>
            <w:r w:rsidRPr="00E2695B">
              <w:rPr>
                <w:rFonts w:cs="Simplified Arabic"/>
                <w:b/>
                <w:sz w:val="20"/>
                <w:szCs w:val="22"/>
                <w:rtl/>
                <w:lang w:val="en-US"/>
              </w:rPr>
              <w:t>°</w:t>
            </w:r>
            <w:r w:rsidRPr="00E2695B">
              <w:rPr>
                <w:rFonts w:cs="Simplified Arabic" w:hint="cs"/>
                <w:b/>
                <w:sz w:val="20"/>
                <w:szCs w:val="22"/>
                <w:rtl/>
                <w:lang w:val="en-US"/>
              </w:rPr>
              <w:t xml:space="preserve"> صفر</w:t>
            </w:r>
            <w:r w:rsidRPr="00E2695B">
              <w:rPr>
                <w:rFonts w:cs="Simplified Arabic"/>
                <w:sz w:val="20"/>
                <w:szCs w:val="22"/>
                <w:rtl/>
                <w:lang w:val="en-US"/>
              </w:rPr>
              <w:t>'</w:t>
            </w:r>
            <w:r w:rsidRPr="00E2695B">
              <w:rPr>
                <w:rFonts w:cs="Simplified Arabic" w:hint="cs"/>
                <w:b/>
                <w:sz w:val="20"/>
                <w:szCs w:val="22"/>
                <w:rtl/>
                <w:lang w:val="en-US"/>
              </w:rPr>
              <w:t xml:space="preserve"> شرقاً</w:t>
            </w:r>
            <w:r w:rsidRPr="00E2695B">
              <w:rPr>
                <w:rFonts w:cs="Simplified Arabic"/>
                <w:bCs/>
                <w:sz w:val="20"/>
                <w:szCs w:val="22"/>
                <w:rtl/>
                <w:lang w:val="en-US"/>
              </w:rPr>
              <w:t>،</w:t>
            </w:r>
            <w:r w:rsidRPr="00E2695B">
              <w:rPr>
                <w:rFonts w:cs="Simplified Arabic"/>
                <w:b/>
                <w:sz w:val="20"/>
                <w:szCs w:val="22"/>
                <w:rtl/>
                <w:lang w:val="en-US"/>
              </w:rPr>
              <w:t xml:space="preserve"> و</w:t>
            </w:r>
            <w:r w:rsidRPr="00E2695B">
              <w:rPr>
                <w:rFonts w:cs="Simplified Arabic" w:hint="cs"/>
                <w:b/>
                <w:sz w:val="20"/>
                <w:szCs w:val="22"/>
                <w:rtl/>
                <w:lang w:val="en-US"/>
              </w:rPr>
              <w:t xml:space="preserve">تتضمن </w:t>
            </w:r>
            <w:r w:rsidRPr="00E2695B">
              <w:rPr>
                <w:rFonts w:cs="Simplified Arabic"/>
                <w:b/>
                <w:sz w:val="20"/>
                <w:szCs w:val="22"/>
                <w:rtl/>
                <w:lang w:val="en-US"/>
              </w:rPr>
              <w:t>الجزء ال</w:t>
            </w:r>
            <w:r w:rsidRPr="00E2695B">
              <w:rPr>
                <w:rFonts w:cs="Simplified Arabic" w:hint="cs"/>
                <w:b/>
                <w:sz w:val="20"/>
                <w:szCs w:val="22"/>
                <w:rtl/>
                <w:lang w:val="en-US"/>
              </w:rPr>
              <w:t>أوسط</w:t>
            </w:r>
            <w:r w:rsidRPr="00E2695B">
              <w:rPr>
                <w:rFonts w:cs="Simplified Arabic"/>
                <w:b/>
                <w:sz w:val="20"/>
                <w:szCs w:val="22"/>
                <w:rtl/>
                <w:lang w:val="en-US"/>
              </w:rPr>
              <w:t xml:space="preserve"> من كاتيغات (منطقة بحرية ضحلة بين السويد والدنمارك). </w:t>
            </w:r>
            <w:r w:rsidRPr="00E2695B">
              <w:rPr>
                <w:rFonts w:cs="Simplified Arabic" w:hint="cs"/>
                <w:b/>
                <w:sz w:val="20"/>
                <w:szCs w:val="22"/>
                <w:rtl/>
                <w:lang w:val="en-US"/>
              </w:rPr>
              <w:t>وتبلغ مساحتها الإجمالية</w:t>
            </w:r>
            <w:r w:rsidRPr="00E2695B">
              <w:rPr>
                <w:rFonts w:cs="Simplified Arabic"/>
                <w:b/>
                <w:sz w:val="20"/>
                <w:szCs w:val="22"/>
                <w:rtl/>
                <w:lang w:val="en-US"/>
              </w:rPr>
              <w:t xml:space="preserve"> 615 </w:t>
            </w:r>
            <w:r w:rsidRPr="00E2695B">
              <w:rPr>
                <w:rFonts w:cs="Simplified Arabic" w:hint="cs"/>
                <w:b/>
                <w:sz w:val="20"/>
                <w:szCs w:val="22"/>
                <w:rtl/>
                <w:lang w:val="en-US"/>
              </w:rPr>
              <w:t>كيلومتراً مربعاً.</w:t>
            </w:r>
          </w:p>
          <w:p w:rsidR="000A5DEA" w:rsidRPr="00366E36" w:rsidRDefault="000A5DEA" w:rsidP="00CD26C5">
            <w:pPr>
              <w:pStyle w:val="ListBullet"/>
              <w:numPr>
                <w:ilvl w:val="0"/>
                <w:numId w:val="120"/>
              </w:numPr>
              <w:bidi/>
              <w:spacing w:line="204" w:lineRule="auto"/>
              <w:contextualSpacing w:val="0"/>
              <w:jc w:val="both"/>
              <w:rPr>
                <w:rFonts w:eastAsia="MS Mincho" w:cs="Simplified Arabic"/>
                <w:b/>
                <w:sz w:val="20"/>
                <w:szCs w:val="22"/>
                <w:lang w:val="en-US"/>
              </w:rPr>
            </w:pPr>
            <w:r w:rsidRPr="00E2695B">
              <w:rPr>
                <w:rFonts w:eastAsia="MS Mincho" w:cs="Simplified Arabic"/>
                <w:b/>
                <w:sz w:val="20"/>
                <w:szCs w:val="22"/>
                <w:rtl/>
              </w:rPr>
              <w:t xml:space="preserve">فلانتا وستورا </w:t>
            </w:r>
            <w:r w:rsidRPr="00D921C4">
              <w:rPr>
                <w:rFonts w:cs="Simplified Arabic"/>
                <w:b/>
                <w:sz w:val="20"/>
                <w:szCs w:val="22"/>
                <w:rtl/>
              </w:rPr>
              <w:t>ميدلغروند</w:t>
            </w:r>
            <w:r w:rsidRPr="00E2695B">
              <w:rPr>
                <w:rFonts w:eastAsia="MS Mincho" w:cs="Simplified Arabic"/>
                <w:b/>
                <w:sz w:val="20"/>
                <w:szCs w:val="22"/>
                <w:rtl/>
              </w:rPr>
              <w:t xml:space="preserve"> وليلا ميدلغروند ه</w:t>
            </w:r>
            <w:r w:rsidRPr="00E2695B">
              <w:rPr>
                <w:rFonts w:eastAsia="MS Mincho" w:cs="Simplified Arabic" w:hint="cs"/>
                <w:b/>
                <w:sz w:val="20"/>
                <w:szCs w:val="22"/>
                <w:rtl/>
              </w:rPr>
              <w:t>ي</w:t>
            </w:r>
            <w:r w:rsidRPr="00E2695B">
              <w:rPr>
                <w:rFonts w:eastAsia="MS Mincho" w:cs="Simplified Arabic"/>
                <w:b/>
                <w:sz w:val="20"/>
                <w:szCs w:val="22"/>
                <w:rtl/>
              </w:rPr>
              <w:t xml:space="preserve"> ثلاث </w:t>
            </w:r>
            <w:r w:rsidRPr="00E2695B">
              <w:rPr>
                <w:rFonts w:eastAsia="MS Mincho" w:cs="Simplified Arabic" w:hint="cs"/>
                <w:b/>
                <w:sz w:val="20"/>
                <w:szCs w:val="22"/>
                <w:rtl/>
              </w:rPr>
              <w:t>مصطبات بحرية</w:t>
            </w:r>
            <w:r w:rsidRPr="00E2695B">
              <w:rPr>
                <w:rFonts w:eastAsia="MS Mincho" w:cs="Simplified Arabic"/>
                <w:b/>
                <w:sz w:val="20"/>
                <w:szCs w:val="22"/>
                <w:rtl/>
              </w:rPr>
              <w:t xml:space="preserve"> كبيرة في</w:t>
            </w:r>
            <w:r w:rsidRPr="00E2695B">
              <w:rPr>
                <w:rFonts w:eastAsia="MS Mincho" w:cs="Simplified Arabic" w:hint="cs"/>
                <w:b/>
                <w:sz w:val="20"/>
                <w:szCs w:val="22"/>
                <w:rtl/>
              </w:rPr>
              <w:t xml:space="preserve"> منطقة</w:t>
            </w:r>
            <w:r w:rsidRPr="00E2695B">
              <w:rPr>
                <w:rFonts w:eastAsia="MS Mincho" w:cs="Simplified Arabic"/>
                <w:b/>
                <w:sz w:val="20"/>
                <w:szCs w:val="22"/>
                <w:rtl/>
              </w:rPr>
              <w:t xml:space="preserve"> كاتيغات. </w:t>
            </w:r>
            <w:r w:rsidRPr="00E2695B">
              <w:rPr>
                <w:rFonts w:eastAsia="MS Mincho" w:cs="Simplified Arabic" w:hint="cs"/>
                <w:b/>
                <w:sz w:val="20"/>
                <w:szCs w:val="22"/>
                <w:rtl/>
              </w:rPr>
              <w:t>وتتسم هذه المصطبات</w:t>
            </w:r>
            <w:r w:rsidRPr="00E2695B">
              <w:rPr>
                <w:rFonts w:eastAsia="MS Mincho" w:cs="Simplified Arabic"/>
                <w:b/>
                <w:sz w:val="20"/>
                <w:szCs w:val="22"/>
                <w:rtl/>
              </w:rPr>
              <w:t xml:space="preserve"> ب</w:t>
            </w:r>
            <w:r w:rsidRPr="00E2695B">
              <w:rPr>
                <w:rFonts w:eastAsia="MS Mincho" w:cs="Simplified Arabic" w:hint="cs"/>
                <w:b/>
                <w:sz w:val="20"/>
                <w:szCs w:val="22"/>
                <w:rtl/>
              </w:rPr>
              <w:t>تباين</w:t>
            </w:r>
            <w:r w:rsidRPr="00E2695B">
              <w:rPr>
                <w:rFonts w:eastAsia="MS Mincho" w:cs="Simplified Arabic"/>
                <w:b/>
                <w:sz w:val="20"/>
                <w:szCs w:val="22"/>
                <w:rtl/>
              </w:rPr>
              <w:t xml:space="preserve"> طوبوغرافي كبير يتكون من </w:t>
            </w:r>
            <w:r w:rsidRPr="00E2695B">
              <w:rPr>
                <w:rFonts w:eastAsia="MS Mincho" w:cs="Simplified Arabic" w:hint="cs"/>
                <w:b/>
                <w:sz w:val="20"/>
                <w:szCs w:val="22"/>
                <w:rtl/>
              </w:rPr>
              <w:t>جلاميد</w:t>
            </w:r>
            <w:r w:rsidRPr="00E2695B">
              <w:rPr>
                <w:rFonts w:eastAsia="MS Mincho" w:cs="Simplified Arabic"/>
                <w:b/>
                <w:sz w:val="20"/>
                <w:szCs w:val="22"/>
                <w:rtl/>
              </w:rPr>
              <w:t xml:space="preserve"> وصخور. </w:t>
            </w:r>
            <w:r w:rsidRPr="00E2695B">
              <w:rPr>
                <w:rFonts w:eastAsia="MS Mincho" w:cs="Simplified Arabic" w:hint="cs"/>
                <w:b/>
                <w:sz w:val="20"/>
                <w:szCs w:val="22"/>
                <w:rtl/>
              </w:rPr>
              <w:t>وتتضمن</w:t>
            </w:r>
            <w:r w:rsidRPr="00E2695B">
              <w:rPr>
                <w:rFonts w:eastAsia="MS Mincho" w:cs="Simplified Arabic"/>
                <w:b/>
                <w:sz w:val="20"/>
                <w:szCs w:val="22"/>
                <w:rtl/>
              </w:rPr>
              <w:t xml:space="preserve"> المنطقة أيضا</w:t>
            </w:r>
            <w:r w:rsidRPr="00E2695B">
              <w:rPr>
                <w:rFonts w:eastAsia="MS Mincho" w:cs="Simplified Arabic" w:hint="cs"/>
                <w:b/>
                <w:sz w:val="20"/>
                <w:szCs w:val="22"/>
                <w:rtl/>
              </w:rPr>
              <w:t>ً</w:t>
            </w:r>
            <w:r w:rsidRPr="00E2695B">
              <w:rPr>
                <w:rFonts w:eastAsia="MS Mincho" w:cs="Simplified Arabic"/>
                <w:b/>
                <w:sz w:val="20"/>
                <w:szCs w:val="22"/>
                <w:rtl/>
              </w:rPr>
              <w:t xml:space="preserve"> الرمال </w:t>
            </w:r>
            <w:r w:rsidRPr="00E2695B">
              <w:rPr>
                <w:rFonts w:eastAsia="MS Mincho" w:cs="Simplified Arabic" w:hint="cs"/>
                <w:b/>
                <w:sz w:val="20"/>
                <w:szCs w:val="22"/>
                <w:rtl/>
              </w:rPr>
              <w:t>مصطبات رملية</w:t>
            </w:r>
            <w:r w:rsidRPr="00E2695B">
              <w:rPr>
                <w:rFonts w:eastAsia="MS Mincho" w:cs="Simplified Arabic"/>
                <w:b/>
                <w:sz w:val="20"/>
                <w:szCs w:val="22"/>
                <w:rtl/>
              </w:rPr>
              <w:t xml:space="preserve"> وحصى</w:t>
            </w:r>
            <w:r w:rsidRPr="00E2695B">
              <w:rPr>
                <w:rFonts w:eastAsia="MS Mincho" w:cs="Simplified Arabic" w:hint="cs"/>
                <w:b/>
                <w:sz w:val="20"/>
                <w:szCs w:val="22"/>
                <w:rtl/>
              </w:rPr>
              <w:t xml:space="preserve"> صدفي</w:t>
            </w:r>
            <w:r w:rsidRPr="00E2695B">
              <w:rPr>
                <w:rFonts w:eastAsia="MS Mincho" w:cs="Simplified Arabic"/>
                <w:b/>
                <w:sz w:val="20"/>
                <w:szCs w:val="22"/>
                <w:rtl/>
              </w:rPr>
              <w:t xml:space="preserve"> يزيد من تنوع موائلها. ويبلغ عمق الأجزاء ال</w:t>
            </w:r>
            <w:r w:rsidRPr="00E2695B">
              <w:rPr>
                <w:rFonts w:eastAsia="MS Mincho" w:cs="Simplified Arabic" w:hint="cs"/>
                <w:b/>
                <w:sz w:val="20"/>
                <w:szCs w:val="22"/>
                <w:rtl/>
              </w:rPr>
              <w:t>أكثر ضحالة</w:t>
            </w:r>
            <w:r w:rsidRPr="00E2695B">
              <w:rPr>
                <w:rFonts w:eastAsia="MS Mincho" w:cs="Simplified Arabic"/>
                <w:b/>
                <w:sz w:val="20"/>
                <w:szCs w:val="22"/>
                <w:rtl/>
              </w:rPr>
              <w:t xml:space="preserve"> </w:t>
            </w:r>
            <w:r w:rsidRPr="00E2695B">
              <w:rPr>
                <w:rFonts w:eastAsia="MS Mincho" w:cs="Simplified Arabic" w:hint="cs"/>
                <w:b/>
                <w:sz w:val="20"/>
                <w:szCs w:val="22"/>
                <w:rtl/>
              </w:rPr>
              <w:t>في هذه</w:t>
            </w:r>
            <w:r w:rsidRPr="00E2695B">
              <w:rPr>
                <w:rFonts w:eastAsia="MS Mincho" w:cs="Simplified Arabic"/>
                <w:b/>
                <w:sz w:val="20"/>
                <w:szCs w:val="22"/>
                <w:rtl/>
              </w:rPr>
              <w:t xml:space="preserve"> المنطقة حوالي 6 أمتار وهي مغطاة بكثافة بغابة </w:t>
            </w:r>
            <w:r w:rsidRPr="00E2695B">
              <w:rPr>
                <w:rFonts w:eastAsia="MS Mincho" w:cs="Simplified Arabic" w:hint="cs"/>
                <w:b/>
                <w:sz w:val="20"/>
                <w:szCs w:val="22"/>
                <w:rtl/>
              </w:rPr>
              <w:t>من طحالب الكليب</w:t>
            </w:r>
            <w:r w:rsidRPr="00E2695B">
              <w:rPr>
                <w:rFonts w:eastAsia="MS Mincho" w:cs="Simplified Arabic"/>
                <w:b/>
                <w:sz w:val="20"/>
                <w:szCs w:val="22"/>
                <w:rtl/>
              </w:rPr>
              <w:t xml:space="preserve"> التي ترتبط بتنوع </w:t>
            </w:r>
            <w:r w:rsidRPr="00E2695B">
              <w:rPr>
                <w:rFonts w:eastAsia="MS Mincho" w:cs="Simplified Arabic" w:hint="cs"/>
                <w:b/>
                <w:sz w:val="20"/>
                <w:szCs w:val="22"/>
                <w:rtl/>
              </w:rPr>
              <w:t>مرتفع</w:t>
            </w:r>
            <w:r w:rsidRPr="00E2695B">
              <w:rPr>
                <w:rFonts w:eastAsia="MS Mincho" w:cs="Simplified Arabic"/>
                <w:b/>
                <w:sz w:val="20"/>
                <w:szCs w:val="22"/>
                <w:rtl/>
              </w:rPr>
              <w:t xml:space="preserve"> من الأسماك والأنواع اللافقارية. وتوجد في هذه المنطقة موائل فريدة مثل الشعاب </w:t>
            </w:r>
            <w:r w:rsidRPr="00E2695B">
              <w:rPr>
                <w:rFonts w:eastAsia="MS Mincho" w:cs="Simplified Arabic" w:hint="cs"/>
                <w:b/>
                <w:sz w:val="20"/>
                <w:szCs w:val="22"/>
                <w:rtl/>
              </w:rPr>
              <w:t>الفقاعية</w:t>
            </w:r>
            <w:r w:rsidRPr="00E2695B">
              <w:rPr>
                <w:rFonts w:eastAsia="MS Mincho" w:cs="Simplified Arabic"/>
                <w:b/>
                <w:sz w:val="20"/>
                <w:szCs w:val="22"/>
                <w:rtl/>
              </w:rPr>
              <w:t xml:space="preserve"> </w:t>
            </w:r>
            <w:r w:rsidRPr="00E2695B">
              <w:rPr>
                <w:rFonts w:eastAsia="MS Mincho" w:cs="Simplified Arabic" w:hint="cs"/>
                <w:b/>
                <w:sz w:val="20"/>
                <w:szCs w:val="22"/>
                <w:rtl/>
              </w:rPr>
              <w:t>وأحواض إنتاج الكائنات الحية</w:t>
            </w:r>
            <w:r w:rsidRPr="00E2695B">
              <w:rPr>
                <w:rFonts w:eastAsia="MS Mincho" w:cs="Simplified Arabic"/>
                <w:b/>
                <w:sz w:val="20"/>
                <w:szCs w:val="22"/>
                <w:rtl/>
              </w:rPr>
              <w:t xml:space="preserve">، بالإضافة إلى </w:t>
            </w:r>
            <w:r w:rsidRPr="00E2695B">
              <w:rPr>
                <w:rFonts w:eastAsia="MS Mincho" w:cs="Simplified Arabic" w:hint="cs"/>
                <w:b/>
                <w:sz w:val="20"/>
                <w:szCs w:val="22"/>
                <w:rtl/>
              </w:rPr>
              <w:t>أحواض</w:t>
            </w:r>
            <w:r w:rsidRPr="00E2695B">
              <w:rPr>
                <w:rFonts w:eastAsia="MS Mincho" w:cs="Simplified Arabic"/>
                <w:b/>
                <w:sz w:val="20"/>
                <w:szCs w:val="22"/>
                <w:rtl/>
              </w:rPr>
              <w:t xml:space="preserve"> واسعة </w:t>
            </w:r>
            <w:r w:rsidRPr="00E2695B">
              <w:rPr>
                <w:rFonts w:eastAsia="MS Mincho" w:cs="Simplified Arabic" w:hint="cs"/>
                <w:b/>
                <w:sz w:val="20"/>
                <w:szCs w:val="22"/>
                <w:rtl/>
              </w:rPr>
              <w:t>ل</w:t>
            </w:r>
            <w:r w:rsidRPr="00E2695B">
              <w:rPr>
                <w:rFonts w:eastAsia="MS Mincho" w:cs="Simplified Arabic"/>
                <w:b/>
                <w:sz w:val="20"/>
                <w:szCs w:val="22"/>
                <w:rtl/>
              </w:rPr>
              <w:t>بلح البحر</w:t>
            </w:r>
            <w:r w:rsidRPr="00E2695B">
              <w:rPr>
                <w:rFonts w:eastAsia="MS Mincho" w:cs="Simplified Arabic" w:hint="cs"/>
                <w:b/>
                <w:sz w:val="20"/>
                <w:szCs w:val="22"/>
                <w:rtl/>
              </w:rPr>
              <w:t xml:space="preserve"> من النوع</w:t>
            </w:r>
            <w:r w:rsidRPr="00E2695B">
              <w:rPr>
                <w:rFonts w:eastAsia="MS Mincho" w:cs="Simplified Arabic"/>
                <w:b/>
                <w:sz w:val="20"/>
                <w:szCs w:val="22"/>
                <w:rtl/>
              </w:rPr>
              <w:t xml:space="preserve"> (</w:t>
            </w:r>
            <w:r w:rsidRPr="00366E36">
              <w:rPr>
                <w:rFonts w:eastAsia="MS Mincho" w:cs="Simplified Arabic"/>
                <w:bCs/>
                <w:i/>
                <w:iCs/>
                <w:sz w:val="20"/>
                <w:szCs w:val="22"/>
                <w:lang w:val="en-US"/>
              </w:rPr>
              <w:t>Modiolus modiolus</w:t>
            </w:r>
            <w:r w:rsidRPr="00E2695B">
              <w:rPr>
                <w:rFonts w:eastAsia="MS Mincho" w:cs="Simplified Arabic"/>
                <w:b/>
                <w:sz w:val="20"/>
                <w:szCs w:val="22"/>
                <w:rtl/>
              </w:rPr>
              <w:t xml:space="preserve">). </w:t>
            </w:r>
            <w:r w:rsidRPr="00E2695B">
              <w:rPr>
                <w:rFonts w:eastAsia="MS Mincho" w:cs="Simplified Arabic" w:hint="cs"/>
                <w:b/>
                <w:sz w:val="20"/>
                <w:szCs w:val="22"/>
                <w:rtl/>
              </w:rPr>
              <w:t>وتستقطب</w:t>
            </w:r>
            <w:r w:rsidRPr="00E2695B">
              <w:rPr>
                <w:rFonts w:eastAsia="MS Mincho" w:cs="Simplified Arabic"/>
                <w:b/>
                <w:sz w:val="20"/>
                <w:szCs w:val="22"/>
                <w:rtl/>
              </w:rPr>
              <w:t xml:space="preserve"> المنطقة تنوعا</w:t>
            </w:r>
            <w:r w:rsidRPr="00E2695B">
              <w:rPr>
                <w:rFonts w:eastAsia="MS Mincho" w:cs="Simplified Arabic" w:hint="cs"/>
                <w:b/>
                <w:sz w:val="20"/>
                <w:szCs w:val="22"/>
                <w:rtl/>
              </w:rPr>
              <w:t>ً</w:t>
            </w:r>
            <w:r w:rsidRPr="00E2695B">
              <w:rPr>
                <w:rFonts w:eastAsia="MS Mincho" w:cs="Simplified Arabic"/>
                <w:b/>
                <w:sz w:val="20"/>
                <w:szCs w:val="22"/>
                <w:rtl/>
              </w:rPr>
              <w:t xml:space="preserve"> كبيرا</w:t>
            </w:r>
            <w:r w:rsidRPr="00E2695B">
              <w:rPr>
                <w:rFonts w:eastAsia="MS Mincho" w:cs="Simplified Arabic" w:hint="cs"/>
                <w:b/>
                <w:sz w:val="20"/>
                <w:szCs w:val="22"/>
                <w:rtl/>
              </w:rPr>
              <w:t>ً</w:t>
            </w:r>
            <w:r w:rsidRPr="00E2695B">
              <w:rPr>
                <w:rFonts w:eastAsia="MS Mincho" w:cs="Simplified Arabic"/>
                <w:b/>
                <w:sz w:val="20"/>
                <w:szCs w:val="22"/>
                <w:rtl/>
              </w:rPr>
              <w:t xml:space="preserve"> من الأسماك واللافقاريات والطحالب</w:t>
            </w:r>
            <w:r w:rsidRPr="00E2695B">
              <w:rPr>
                <w:rFonts w:eastAsia="MS Mincho" w:cs="Simplified Arabic" w:hint="cs"/>
                <w:b/>
                <w:sz w:val="20"/>
                <w:szCs w:val="22"/>
                <w:rtl/>
              </w:rPr>
              <w:t>،</w:t>
            </w:r>
            <w:r w:rsidRPr="00E2695B">
              <w:rPr>
                <w:rFonts w:eastAsia="MS Mincho" w:cs="Simplified Arabic"/>
                <w:b/>
                <w:sz w:val="20"/>
                <w:szCs w:val="22"/>
                <w:rtl/>
              </w:rPr>
              <w:t xml:space="preserve"> </w:t>
            </w:r>
            <w:r w:rsidRPr="00E2695B">
              <w:rPr>
                <w:rFonts w:eastAsia="MS Mincho" w:cs="Simplified Arabic" w:hint="cs"/>
                <w:b/>
                <w:sz w:val="20"/>
                <w:szCs w:val="22"/>
                <w:rtl/>
              </w:rPr>
              <w:t>بالإضافة إلى أعداد</w:t>
            </w:r>
            <w:r w:rsidRPr="00E2695B">
              <w:rPr>
                <w:rFonts w:eastAsia="MS Mincho" w:cs="Simplified Arabic"/>
                <w:b/>
                <w:sz w:val="20"/>
                <w:szCs w:val="22"/>
                <w:rtl/>
              </w:rPr>
              <w:t xml:space="preserve"> كبيرة من الأنواع النادرة والمهددة بالانقراض. </w:t>
            </w:r>
            <w:r w:rsidRPr="00E2695B">
              <w:rPr>
                <w:rFonts w:eastAsia="MS Mincho" w:cs="Simplified Arabic" w:hint="cs"/>
                <w:b/>
                <w:sz w:val="20"/>
                <w:szCs w:val="22"/>
                <w:rtl/>
              </w:rPr>
              <w:t>ولهذه المصطبات</w:t>
            </w:r>
            <w:r w:rsidRPr="00E2695B">
              <w:rPr>
                <w:rFonts w:eastAsia="MS Mincho" w:cs="Simplified Arabic"/>
                <w:b/>
                <w:sz w:val="20"/>
                <w:szCs w:val="22"/>
                <w:rtl/>
              </w:rPr>
              <w:t xml:space="preserve"> أهمية دولية للطيور البحرية، وعلاوة على ذلك، </w:t>
            </w:r>
            <w:r w:rsidRPr="00E2695B">
              <w:rPr>
                <w:rFonts w:eastAsia="MS Mincho" w:cs="Simplified Arabic" w:hint="cs"/>
                <w:b/>
                <w:sz w:val="20"/>
                <w:szCs w:val="22"/>
                <w:rtl/>
              </w:rPr>
              <w:t>فقد تسنى تسجيل</w:t>
            </w:r>
            <w:r w:rsidRPr="00E2695B">
              <w:rPr>
                <w:rFonts w:eastAsia="MS Mincho" w:cs="Simplified Arabic"/>
                <w:b/>
                <w:sz w:val="20"/>
                <w:szCs w:val="22"/>
                <w:rtl/>
              </w:rPr>
              <w:t xml:space="preserve"> </w:t>
            </w:r>
            <w:r w:rsidRPr="00E2695B">
              <w:rPr>
                <w:rFonts w:eastAsia="MS Mincho" w:cs="Simplified Arabic" w:hint="cs"/>
                <w:b/>
                <w:sz w:val="20"/>
                <w:szCs w:val="22"/>
                <w:rtl/>
              </w:rPr>
              <w:t>أعداد كثيفة</w:t>
            </w:r>
            <w:r w:rsidRPr="00E2695B">
              <w:rPr>
                <w:rFonts w:eastAsia="MS Mincho" w:cs="Simplified Arabic"/>
                <w:b/>
                <w:sz w:val="20"/>
                <w:szCs w:val="22"/>
                <w:rtl/>
              </w:rPr>
              <w:t xml:space="preserve"> من خنازير البحر </w:t>
            </w:r>
            <w:r w:rsidRPr="00E2695B">
              <w:rPr>
                <w:rFonts w:eastAsia="MS Mincho" w:cs="Simplified Arabic" w:hint="cs"/>
                <w:b/>
                <w:sz w:val="20"/>
                <w:szCs w:val="22"/>
                <w:rtl/>
              </w:rPr>
              <w:t>الشائعة في هذه المناطق</w:t>
            </w:r>
            <w:r w:rsidRPr="00E2695B">
              <w:rPr>
                <w:rFonts w:eastAsia="MS Mincho" w:cs="Simplified Arabic"/>
                <w:b/>
                <w:sz w:val="20"/>
                <w:szCs w:val="22"/>
                <w:rtl/>
              </w:rPr>
              <w:t xml:space="preserve">. بالإضافة إلى ذلك، </w:t>
            </w:r>
            <w:r w:rsidRPr="00E2695B">
              <w:rPr>
                <w:rFonts w:eastAsia="MS Mincho" w:cs="Simplified Arabic" w:hint="cs"/>
                <w:b/>
                <w:sz w:val="20"/>
                <w:szCs w:val="22"/>
                <w:rtl/>
              </w:rPr>
              <w:t>تعتبر هذه</w:t>
            </w:r>
            <w:r w:rsidRPr="00E2695B">
              <w:rPr>
                <w:rFonts w:eastAsia="MS Mincho" w:cs="Simplified Arabic"/>
                <w:b/>
                <w:sz w:val="20"/>
                <w:szCs w:val="22"/>
                <w:rtl/>
              </w:rPr>
              <w:t xml:space="preserve"> المنطقة مهمة </w:t>
            </w:r>
            <w:r w:rsidRPr="00E2695B">
              <w:rPr>
                <w:rFonts w:eastAsia="MS Mincho" w:cs="Simplified Arabic" w:hint="cs"/>
                <w:b/>
                <w:sz w:val="20"/>
                <w:szCs w:val="22"/>
                <w:rtl/>
              </w:rPr>
              <w:t>كمكان سرء</w:t>
            </w:r>
            <w:r w:rsidRPr="00E2695B">
              <w:rPr>
                <w:rFonts w:eastAsia="MS Mincho" w:cs="Simplified Arabic"/>
                <w:b/>
                <w:sz w:val="20"/>
                <w:szCs w:val="22"/>
                <w:rtl/>
              </w:rPr>
              <w:t xml:space="preserve"> لعدد من أنواع الأسماك</w:t>
            </w:r>
            <w:r w:rsidRPr="00366E36">
              <w:rPr>
                <w:rFonts w:eastAsia="MS Mincho" w:cs="Simplified Arabic"/>
                <w:b/>
                <w:sz w:val="20"/>
                <w:szCs w:val="22"/>
                <w:lang w:val="en-US"/>
              </w:rPr>
              <w:t>.</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H</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H</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H</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H</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M</w:t>
            </w:r>
          </w:p>
        </w:tc>
        <w:tc>
          <w:tcPr>
            <w:tcW w:w="506" w:type="dxa"/>
            <w:vAlign w:val="center"/>
          </w:tcPr>
          <w:p w:rsidR="000A5DEA" w:rsidRPr="00E2695B" w:rsidRDefault="000A5DEA" w:rsidP="000A5DEA">
            <w:pPr>
              <w:snapToGrid w:val="0"/>
              <w:jc w:val="center"/>
              <w:rPr>
                <w:bCs/>
                <w:sz w:val="20"/>
                <w:szCs w:val="22"/>
              </w:rPr>
            </w:pPr>
            <w:r w:rsidRPr="00E2695B">
              <w:rPr>
                <w:bCs/>
                <w:sz w:val="20"/>
                <w:szCs w:val="22"/>
              </w:rPr>
              <w:t>H</w:t>
            </w:r>
          </w:p>
        </w:tc>
        <w:tc>
          <w:tcPr>
            <w:tcW w:w="507" w:type="dxa"/>
            <w:vAlign w:val="center"/>
          </w:tcPr>
          <w:p w:rsidR="000A5DEA" w:rsidRPr="00E2695B" w:rsidRDefault="000A5DEA" w:rsidP="000A5DEA">
            <w:pPr>
              <w:snapToGrid w:val="0"/>
              <w:jc w:val="center"/>
              <w:rPr>
                <w:bCs/>
                <w:sz w:val="20"/>
                <w:szCs w:val="22"/>
              </w:rPr>
            </w:pPr>
            <w:r w:rsidRPr="00E2695B">
              <w:rPr>
                <w:bCs/>
                <w:sz w:val="20"/>
                <w:szCs w:val="22"/>
              </w:rPr>
              <w:t>M</w:t>
            </w:r>
          </w:p>
        </w:tc>
      </w:tr>
    </w:tbl>
    <w:p w:rsidR="000A5DEA" w:rsidRPr="00D33EF0" w:rsidRDefault="000A5DEA" w:rsidP="000A5DEA">
      <w:pPr>
        <w:pStyle w:val="ListParagraph"/>
        <w:bidi/>
        <w:spacing w:after="100" w:line="204" w:lineRule="auto"/>
        <w:ind w:left="0"/>
        <w:rPr>
          <w:rFonts w:cs="Simplified Arabic"/>
          <w:rtl/>
        </w:rPr>
      </w:pPr>
    </w:p>
    <w:p w:rsidR="000A5DEA" w:rsidRPr="00D33EF0" w:rsidRDefault="000A5DEA" w:rsidP="000A5DEA">
      <w:pPr>
        <w:pStyle w:val="ListParagraph"/>
        <w:bidi/>
        <w:spacing w:after="100" w:line="204" w:lineRule="auto"/>
        <w:ind w:left="0"/>
        <w:rPr>
          <w:rFonts w:cs="Simplified Arabic"/>
          <w:rtl/>
        </w:rPr>
        <w:sectPr w:rsidR="000A5DEA" w:rsidRPr="00D33EF0" w:rsidSect="000A5DEA">
          <w:headerReference w:type="first" r:id="rId63"/>
          <w:pgSz w:w="15840" w:h="12240" w:orient="landscape" w:code="1"/>
          <w:pgMar w:top="1440" w:right="1008" w:bottom="1440" w:left="1008" w:header="461" w:footer="720" w:gutter="0"/>
          <w:cols w:space="708"/>
          <w:titlePg/>
          <w:docGrid w:linePitch="360"/>
        </w:sectPr>
      </w:pPr>
    </w:p>
    <w:p w:rsidR="000A5DEA" w:rsidRPr="00D33EF0" w:rsidRDefault="000A5DEA" w:rsidP="000A5DEA">
      <w:pPr>
        <w:spacing w:after="100" w:line="204" w:lineRule="auto"/>
        <w:jc w:val="center"/>
        <w:rPr>
          <w:i/>
          <w:iCs/>
          <w:rtl/>
        </w:rPr>
      </w:pPr>
      <w:r w:rsidRPr="00D33EF0">
        <w:rPr>
          <w:rFonts w:hint="cs"/>
          <w:i/>
          <w:iCs/>
          <w:rtl/>
        </w:rPr>
        <w:lastRenderedPageBreak/>
        <w:t>المرفق الثاني</w:t>
      </w:r>
    </w:p>
    <w:p w:rsidR="000A5DEA" w:rsidRPr="00D33EF0" w:rsidRDefault="000A5DEA" w:rsidP="000A5DEA">
      <w:pPr>
        <w:spacing w:after="100" w:line="204" w:lineRule="auto"/>
        <w:jc w:val="center"/>
        <w:rPr>
          <w:b/>
          <w:bCs/>
          <w:rtl/>
        </w:rPr>
      </w:pPr>
      <w:r>
        <w:rPr>
          <w:rFonts w:hint="cs"/>
          <w:b/>
          <w:bCs/>
          <w:rtl/>
        </w:rPr>
        <w:t>[طرائق</w:t>
      </w:r>
      <w:r w:rsidRPr="00D33EF0">
        <w:rPr>
          <w:b/>
          <w:bCs/>
          <w:rtl/>
        </w:rPr>
        <w:t xml:space="preserve"> لتعديل وصف المناطق البحرية المهمة إيكولوجيا</w:t>
      </w:r>
      <w:r w:rsidRPr="00D33EF0">
        <w:rPr>
          <w:rFonts w:hint="cs"/>
          <w:b/>
          <w:bCs/>
          <w:rtl/>
        </w:rPr>
        <w:t>ً</w:t>
      </w:r>
      <w:r w:rsidRPr="00D33EF0">
        <w:rPr>
          <w:b/>
          <w:bCs/>
          <w:rtl/>
        </w:rPr>
        <w:t xml:space="preserve"> أو بيولوجيا</w:t>
      </w:r>
      <w:r w:rsidRPr="00D33EF0">
        <w:rPr>
          <w:rFonts w:hint="cs"/>
          <w:b/>
          <w:bCs/>
          <w:rtl/>
        </w:rPr>
        <w:t>ً</w:t>
      </w:r>
      <w:r w:rsidRPr="00D33EF0">
        <w:rPr>
          <w:b/>
          <w:bCs/>
          <w:rtl/>
        </w:rPr>
        <w:t>، ووصف مناطق جديدة، وتعزيز المصداقية العلمية والشفافية لهذه العملية</w:t>
      </w:r>
    </w:p>
    <w:p w:rsidR="000A5DEA" w:rsidRPr="00D33EF0" w:rsidRDefault="000A5DEA" w:rsidP="000A5DEA">
      <w:pPr>
        <w:spacing w:after="100" w:line="204" w:lineRule="auto"/>
        <w:jc w:val="center"/>
        <w:rPr>
          <w:b/>
          <w:bCs/>
          <w:rtl/>
        </w:rPr>
      </w:pPr>
      <w:r w:rsidRPr="00D33EF0">
        <w:rPr>
          <w:b/>
          <w:bCs/>
          <w:rtl/>
        </w:rPr>
        <w:t>أولا-</w:t>
      </w:r>
      <w:r w:rsidRPr="00D33EF0">
        <w:rPr>
          <w:b/>
          <w:bCs/>
          <w:rtl/>
        </w:rPr>
        <w:tab/>
        <w:t>تعديل أوصاف المناطق البحرية المهمة إيكولوجيا</w:t>
      </w:r>
      <w:r w:rsidRPr="00D33EF0">
        <w:rPr>
          <w:rFonts w:hint="cs"/>
          <w:b/>
          <w:bCs/>
          <w:rtl/>
        </w:rPr>
        <w:t>ً</w:t>
      </w:r>
      <w:r w:rsidRPr="00D33EF0">
        <w:rPr>
          <w:b/>
          <w:bCs/>
          <w:rtl/>
        </w:rPr>
        <w:t xml:space="preserve"> أو بيولوجيا</w:t>
      </w:r>
      <w:r w:rsidRPr="00D33EF0">
        <w:rPr>
          <w:rFonts w:hint="cs"/>
          <w:b/>
          <w:bCs/>
          <w:rtl/>
        </w:rPr>
        <w:t>ً</w:t>
      </w:r>
    </w:p>
    <w:p w:rsidR="000A5DEA" w:rsidRPr="00D33EF0" w:rsidRDefault="000A5DEA" w:rsidP="000A5DEA">
      <w:pPr>
        <w:spacing w:after="100" w:line="204" w:lineRule="auto"/>
        <w:jc w:val="center"/>
        <w:rPr>
          <w:b/>
          <w:bCs/>
          <w:rtl/>
        </w:rPr>
      </w:pPr>
      <w:r w:rsidRPr="00D33EF0">
        <w:rPr>
          <w:b/>
          <w:bCs/>
          <w:rtl/>
        </w:rPr>
        <w:t>ألف-</w:t>
      </w:r>
      <w:r w:rsidRPr="00D33EF0">
        <w:rPr>
          <w:b/>
          <w:bCs/>
          <w:rtl/>
        </w:rPr>
        <w:tab/>
        <w:t>المقدمة</w:t>
      </w:r>
    </w:p>
    <w:p w:rsidR="000A5DEA" w:rsidRDefault="000A5DEA" w:rsidP="00CD26C5">
      <w:pPr>
        <w:numPr>
          <w:ilvl w:val="0"/>
          <w:numId w:val="128"/>
        </w:numPr>
        <w:spacing w:after="100" w:line="204" w:lineRule="auto"/>
        <w:ind w:left="0" w:firstLine="0"/>
      </w:pPr>
      <w:r>
        <w:rPr>
          <w:rFonts w:hint="cs"/>
          <w:rtl/>
        </w:rPr>
        <w:t>ينبغي أن يكون هذا المرفق وتنفيذه دون المساس</w:t>
      </w:r>
      <w:r w:rsidRPr="00D33EF0">
        <w:rPr>
          <w:rFonts w:hint="cs"/>
          <w:rtl/>
        </w:rPr>
        <w:t xml:space="preserve"> </w:t>
      </w:r>
      <w:r>
        <w:rPr>
          <w:rFonts w:hint="cs"/>
          <w:rtl/>
        </w:rPr>
        <w:t>ب</w:t>
      </w:r>
      <w:r w:rsidRPr="00D33EF0">
        <w:rPr>
          <w:rFonts w:hint="cs"/>
          <w:rtl/>
        </w:rPr>
        <w:t>الوضع القانوني لأي بلد أو إقليم أو مدينة أو منطقة أو لسلطات أي منها أو بشأن تعيين تخومها أو حدودها</w:t>
      </w:r>
      <w:r w:rsidRPr="00D33EF0">
        <w:t>.</w:t>
      </w:r>
      <w:r w:rsidRPr="00D33EF0">
        <w:rPr>
          <w:rFonts w:hint="cs"/>
          <w:rtl/>
        </w:rPr>
        <w:t xml:space="preserve"> و</w:t>
      </w:r>
      <w:r w:rsidRPr="00D33EF0">
        <w:rPr>
          <w:rtl/>
        </w:rPr>
        <w:t>لا تترتب عليه آثار اقتصادية أو قانونية</w:t>
      </w:r>
      <w:r w:rsidRPr="00D33EF0">
        <w:rPr>
          <w:rFonts w:hint="cs"/>
          <w:rtl/>
        </w:rPr>
        <w:t>؛</w:t>
      </w:r>
      <w:r w:rsidRPr="00D33EF0">
        <w:rPr>
          <w:rtl/>
        </w:rPr>
        <w:t xml:space="preserve"> </w:t>
      </w:r>
      <w:r w:rsidRPr="00D33EF0">
        <w:rPr>
          <w:rFonts w:hint="cs"/>
          <w:rtl/>
        </w:rPr>
        <w:t>وهو يشكل ممارسة</w:t>
      </w:r>
      <w:r w:rsidRPr="00D33EF0">
        <w:rPr>
          <w:rtl/>
        </w:rPr>
        <w:t xml:space="preserve"> علمية وتقنية</w:t>
      </w:r>
      <w:r>
        <w:rPr>
          <w:rFonts w:hint="cs"/>
          <w:rtl/>
        </w:rPr>
        <w:t xml:space="preserve"> بحتة.</w:t>
      </w:r>
    </w:p>
    <w:p w:rsidR="000A5DEA" w:rsidRPr="00D33EF0" w:rsidRDefault="000A5DEA" w:rsidP="00CD26C5">
      <w:pPr>
        <w:numPr>
          <w:ilvl w:val="0"/>
          <w:numId w:val="128"/>
        </w:numPr>
        <w:spacing w:after="100" w:line="204" w:lineRule="auto"/>
        <w:ind w:left="0" w:firstLine="0"/>
      </w:pPr>
      <w:r>
        <w:rPr>
          <w:rFonts w:hint="cs"/>
          <w:rtl/>
        </w:rPr>
        <w:t>و</w:t>
      </w:r>
      <w:r w:rsidRPr="00D33EF0">
        <w:rPr>
          <w:rtl/>
        </w:rPr>
        <w:t>يشمل وصف المناطق التي تستوفي المعايير لتكون منطقة بحرية 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وصفا نصيا وشكلا مضلعا للمنطقة، على النحو الوارد في المقررات ذات الصلة الصادرة عن مؤتمر الأطراف في الاتفاقية، بما فيها المقررات 11/17 و12/22 و13/12، </w:t>
      </w:r>
      <w:r w:rsidRPr="00D33EF0">
        <w:rPr>
          <w:rFonts w:hint="cs"/>
          <w:rtl/>
        </w:rPr>
        <w:t>والمدرج</w:t>
      </w:r>
      <w:r w:rsidRPr="00D33EF0">
        <w:rPr>
          <w:rtl/>
        </w:rPr>
        <w:t xml:space="preserve">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Default="000A5DEA" w:rsidP="00CD26C5">
      <w:pPr>
        <w:numPr>
          <w:ilvl w:val="0"/>
          <w:numId w:val="128"/>
        </w:numPr>
        <w:spacing w:after="100" w:line="204" w:lineRule="auto"/>
        <w:ind w:left="4" w:firstLine="0"/>
      </w:pPr>
      <w:r w:rsidRPr="00D33EF0">
        <w:rPr>
          <w:rtl/>
        </w:rPr>
        <w:t>وتشكل تعديلات أوصاف المناطق البحرية المهمة إيكولوجيا أو بيولوجيا تعديلات تؤثر على الأوصاف النصية للمناطق التي تستوفي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على النحو الوارد في المقررات المذكورة أعلاه و/أو الأشكال المضلعة للمناطق، على النحو الوارد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ويمكن تعديل الأوصاف الواردة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حسبما طلب مؤتمر الأطراف في المقررات 11/17 و12/22 و13/12، من خلال مقررات مؤتمر الأطراف.</w:t>
      </w:r>
    </w:p>
    <w:p w:rsidR="000A5DEA" w:rsidRPr="00C556F1" w:rsidRDefault="000A5DEA" w:rsidP="00CD26C5">
      <w:pPr>
        <w:numPr>
          <w:ilvl w:val="0"/>
          <w:numId w:val="128"/>
        </w:numPr>
        <w:spacing w:after="100" w:line="204" w:lineRule="auto"/>
        <w:ind w:left="4" w:firstLine="0"/>
      </w:pPr>
      <w:r w:rsidRPr="00C556F1">
        <w:rPr>
          <w:rFonts w:hint="cs"/>
          <w:rtl/>
        </w:rPr>
        <w:t>[ومع ملاحظة أن الطرائق المحددة أدناه تسمح بتعدليل وصف المناطق البحرية المهمة إيكولوجيا أو بيولوجيا الواردة في المستوطع عملا بمقرر من مؤتمر الأطراف أو بأي وسيلة أخرى بخلاف مقرر من مؤتمر الأطراف.]</w:t>
      </w:r>
    </w:p>
    <w:p w:rsidR="000A5DEA" w:rsidRPr="00D33EF0" w:rsidRDefault="000A5DEA" w:rsidP="000A5DEA">
      <w:pPr>
        <w:spacing w:after="100" w:line="204" w:lineRule="auto"/>
        <w:jc w:val="center"/>
        <w:rPr>
          <w:b/>
          <w:bCs/>
          <w:rtl/>
        </w:rPr>
      </w:pPr>
      <w:r w:rsidRPr="00D33EF0">
        <w:rPr>
          <w:b/>
          <w:bCs/>
          <w:rtl/>
        </w:rPr>
        <w:t>باء-</w:t>
      </w:r>
      <w:r w:rsidRPr="00D33EF0">
        <w:rPr>
          <w:b/>
          <w:bCs/>
          <w:rtl/>
        </w:rPr>
        <w:tab/>
        <w:t>أسباب تعديل أوصاف المناطق البحرية المهمة إيكولوجيا</w:t>
      </w:r>
      <w:r w:rsidRPr="00D33EF0">
        <w:rPr>
          <w:rFonts w:hint="cs"/>
          <w:b/>
          <w:bCs/>
          <w:rtl/>
        </w:rPr>
        <w:t>ً</w:t>
      </w:r>
      <w:r w:rsidRPr="00D33EF0">
        <w:rPr>
          <w:b/>
          <w:bCs/>
          <w:rtl/>
        </w:rPr>
        <w:t xml:space="preserve"> أو بيولوجيا</w:t>
      </w:r>
      <w:r w:rsidRPr="00D33EF0">
        <w:rPr>
          <w:rFonts w:hint="cs"/>
          <w:b/>
          <w:bCs/>
          <w:rtl/>
        </w:rPr>
        <w:t>ً</w:t>
      </w:r>
      <w:r w:rsidRPr="00D33EF0">
        <w:rPr>
          <w:b/>
          <w:bCs/>
          <w:rtl/>
        </w:rPr>
        <w:t xml:space="preserve"> </w:t>
      </w:r>
    </w:p>
    <w:p w:rsidR="000A5DEA" w:rsidRPr="00D33EF0" w:rsidRDefault="000A5DEA" w:rsidP="00CD26C5">
      <w:pPr>
        <w:numPr>
          <w:ilvl w:val="0"/>
          <w:numId w:val="128"/>
        </w:numPr>
        <w:spacing w:after="100" w:line="204" w:lineRule="auto"/>
        <w:ind w:left="4" w:firstLine="0"/>
      </w:pPr>
      <w:r w:rsidRPr="00D33EF0">
        <w:rPr>
          <w:rtl/>
        </w:rPr>
        <w:t>الأسباب لتعديل أوصاف المناطق البحرية المهمة إيكولوجيا</w:t>
      </w:r>
      <w:r w:rsidRPr="00D33EF0">
        <w:rPr>
          <w:rFonts w:hint="cs"/>
          <w:rtl/>
        </w:rPr>
        <w:t>ً</w:t>
      </w:r>
      <w:r w:rsidRPr="00D33EF0">
        <w:rPr>
          <w:rtl/>
        </w:rPr>
        <w:t xml:space="preserve"> أو بيولوجيا</w:t>
      </w:r>
      <w:r w:rsidRPr="00D33EF0">
        <w:rPr>
          <w:rFonts w:hint="cs"/>
          <w:rtl/>
        </w:rPr>
        <w:t>ً</w:t>
      </w:r>
      <w:r>
        <w:rPr>
          <w:rtl/>
        </w:rPr>
        <w:t xml:space="preserve"> هي ما يلي:</w:t>
      </w:r>
    </w:p>
    <w:p w:rsidR="000A5DEA" w:rsidRPr="00D33EF0" w:rsidRDefault="000A5DEA" w:rsidP="00CD26C5">
      <w:pPr>
        <w:numPr>
          <w:ilvl w:val="0"/>
          <w:numId w:val="55"/>
        </w:numPr>
        <w:spacing w:after="100" w:line="204" w:lineRule="auto"/>
        <w:ind w:left="0" w:firstLine="720"/>
      </w:pPr>
      <w:r w:rsidRPr="00D33EF0">
        <w:rPr>
          <w:rtl/>
        </w:rPr>
        <w:t>وجود معلومات علمية وتقنية جديدة متوفرة/</w:t>
      </w:r>
      <w:r w:rsidRPr="00D33EF0">
        <w:rPr>
          <w:rFonts w:hint="cs"/>
          <w:rtl/>
        </w:rPr>
        <w:t>يمكن الحصول عليها</w:t>
      </w:r>
      <w:r w:rsidRPr="00D33EF0">
        <w:rPr>
          <w:rtl/>
        </w:rPr>
        <w:t xml:space="preserve">، بما في ذلك من خلال الخبرة المتقدمة والنهج المنهجية أو الأساليب التحليلية وكذلك المعارف </w:t>
      </w:r>
      <w:r w:rsidRPr="00D33EF0">
        <w:rPr>
          <w:rFonts w:hint="cs"/>
          <w:rtl/>
        </w:rPr>
        <w:t xml:space="preserve">التقليدية </w:t>
      </w:r>
      <w:r w:rsidRPr="00D33EF0">
        <w:rPr>
          <w:rtl/>
        </w:rPr>
        <w:t>التي أمكن الوصول إليها حديثا، بشأن ا</w:t>
      </w:r>
      <w:r>
        <w:rPr>
          <w:rtl/>
        </w:rPr>
        <w:t>لسمات المرتبطة بمنطقة ما؛</w:t>
      </w:r>
    </w:p>
    <w:p w:rsidR="000A5DEA" w:rsidRPr="00D33EF0" w:rsidRDefault="000A5DEA" w:rsidP="00CD26C5">
      <w:pPr>
        <w:numPr>
          <w:ilvl w:val="0"/>
          <w:numId w:val="55"/>
        </w:numPr>
        <w:spacing w:after="100" w:line="204" w:lineRule="auto"/>
        <w:ind w:left="0" w:firstLine="720"/>
      </w:pPr>
      <w:r w:rsidRPr="00D33EF0">
        <w:rPr>
          <w:rtl/>
        </w:rPr>
        <w:t>حدوث تغيير في المعلومات المستخدمة في وصف المناطق البحرية المهمة إيكولوجيا أو بيولوجيا؛</w:t>
      </w:r>
    </w:p>
    <w:p w:rsidR="000A5DEA" w:rsidRPr="00D33EF0" w:rsidRDefault="000A5DEA" w:rsidP="00CD26C5">
      <w:pPr>
        <w:numPr>
          <w:ilvl w:val="0"/>
          <w:numId w:val="55"/>
        </w:numPr>
        <w:spacing w:after="100" w:line="204" w:lineRule="auto"/>
        <w:ind w:left="0" w:firstLine="720"/>
      </w:pPr>
      <w:r w:rsidRPr="00D33EF0">
        <w:rPr>
          <w:rtl/>
        </w:rPr>
        <w:t>حدوث تغيُّر في السمة (السمات) الإيكولوجية أو البيولوجية لإحدى المناطق البحرية المهمة إيكولوجيا أو بيولوجيا، مما قد يؤدي إلى تغير في ترتيب المنطقة مقابل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أو التغير في الشكل المضلع للمنطقة؛</w:t>
      </w:r>
    </w:p>
    <w:p w:rsidR="000A5DEA" w:rsidRPr="00D33EF0" w:rsidRDefault="000A5DEA" w:rsidP="00CD26C5">
      <w:pPr>
        <w:numPr>
          <w:ilvl w:val="0"/>
          <w:numId w:val="55"/>
        </w:numPr>
        <w:spacing w:after="100" w:line="204" w:lineRule="auto"/>
        <w:ind w:left="0" w:firstLine="720"/>
      </w:pPr>
      <w:r w:rsidRPr="00D33EF0">
        <w:rPr>
          <w:rtl/>
        </w:rPr>
        <w:t>تحديد أخطاء علمية في أوصاف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D33EF0" w:rsidRDefault="000A5DEA" w:rsidP="00CD26C5">
      <w:pPr>
        <w:numPr>
          <w:ilvl w:val="0"/>
          <w:numId w:val="55"/>
        </w:numPr>
        <w:spacing w:after="100" w:line="204" w:lineRule="auto"/>
        <w:ind w:left="0" w:firstLine="720"/>
        <w:rPr>
          <w:rStyle w:val="shorttext"/>
        </w:rPr>
      </w:pPr>
      <w:r w:rsidRPr="00D33EF0">
        <w:rPr>
          <w:rStyle w:val="shorttext"/>
          <w:rtl/>
        </w:rPr>
        <w:t>إدخال تعديلات على نموذج المناطق البحرية المهمة إيكولوجيا</w:t>
      </w:r>
      <w:r w:rsidRPr="00D33EF0">
        <w:rPr>
          <w:rStyle w:val="shorttext"/>
          <w:rFonts w:hint="cs"/>
          <w:rtl/>
        </w:rPr>
        <w:t>ً</w:t>
      </w:r>
      <w:r w:rsidRPr="00D33EF0">
        <w:rPr>
          <w:rStyle w:val="shorttext"/>
          <w:rtl/>
        </w:rPr>
        <w:t xml:space="preserve"> أو بيولوجيا</w:t>
      </w:r>
      <w:r w:rsidRPr="00D33EF0">
        <w:rPr>
          <w:rStyle w:val="shorttext"/>
          <w:rFonts w:hint="cs"/>
          <w:rtl/>
        </w:rPr>
        <w:t>ً</w:t>
      </w:r>
      <w:r w:rsidRPr="00D33EF0">
        <w:rPr>
          <w:rStyle w:val="shorttext"/>
          <w:rtl/>
        </w:rPr>
        <w:t xml:space="preserve">؛ </w:t>
      </w:r>
    </w:p>
    <w:p w:rsidR="000A5DEA" w:rsidRPr="00D33EF0" w:rsidRDefault="000A5DEA" w:rsidP="00CD26C5">
      <w:pPr>
        <w:numPr>
          <w:ilvl w:val="0"/>
          <w:numId w:val="55"/>
        </w:numPr>
        <w:spacing w:after="100" w:line="204" w:lineRule="auto"/>
        <w:ind w:left="0" w:firstLine="720"/>
      </w:pPr>
      <w:r w:rsidRPr="00D33EF0">
        <w:rPr>
          <w:rtl/>
        </w:rPr>
        <w:t>أي سبب آخر يستند إلى المعلومات العلمية والتقنية.</w:t>
      </w:r>
    </w:p>
    <w:p w:rsidR="000A5DEA" w:rsidRPr="00D33EF0" w:rsidRDefault="000A5DEA" w:rsidP="000A5DEA">
      <w:pPr>
        <w:kinsoku w:val="0"/>
        <w:overflowPunct w:val="0"/>
        <w:autoSpaceDE w:val="0"/>
        <w:autoSpaceDN w:val="0"/>
        <w:spacing w:after="100" w:line="204" w:lineRule="auto"/>
        <w:jc w:val="center"/>
        <w:rPr>
          <w:b/>
          <w:bCs/>
          <w:rtl/>
        </w:rPr>
      </w:pPr>
      <w:r w:rsidRPr="00D33EF0">
        <w:rPr>
          <w:b/>
          <w:bCs/>
          <w:rtl/>
        </w:rPr>
        <w:t>جيم-</w:t>
      </w:r>
      <w:r w:rsidRPr="00D33EF0">
        <w:rPr>
          <w:b/>
          <w:bCs/>
          <w:rtl/>
        </w:rPr>
        <w:tab/>
        <w:t>الجهات الفاعلة التي يمكنها اقتراح تعديل أوصاف المناطق البحرية المهمة إيكولوجيا</w:t>
      </w:r>
      <w:r w:rsidRPr="00D33EF0">
        <w:rPr>
          <w:rFonts w:hint="cs"/>
          <w:b/>
          <w:bCs/>
          <w:rtl/>
        </w:rPr>
        <w:t>ً</w:t>
      </w:r>
      <w:r w:rsidRPr="00D33EF0">
        <w:rPr>
          <w:b/>
          <w:bCs/>
          <w:rtl/>
        </w:rPr>
        <w:t xml:space="preserve"> أو بيولوجيا</w:t>
      </w:r>
      <w:r w:rsidRPr="00D33EF0">
        <w:rPr>
          <w:rFonts w:hint="cs"/>
          <w:b/>
          <w:bCs/>
          <w:rtl/>
        </w:rPr>
        <w:t>ً</w:t>
      </w:r>
      <w:r w:rsidRPr="00D33EF0">
        <w:rPr>
          <w:b/>
          <w:bCs/>
          <w:rtl/>
        </w:rPr>
        <w:t xml:space="preserve"> </w:t>
      </w:r>
    </w:p>
    <w:p w:rsidR="000A5DEA" w:rsidRPr="00D33EF0" w:rsidRDefault="000A5DEA" w:rsidP="00CD26C5">
      <w:pPr>
        <w:numPr>
          <w:ilvl w:val="0"/>
          <w:numId w:val="128"/>
        </w:numPr>
        <w:spacing w:after="100" w:line="204" w:lineRule="auto"/>
        <w:ind w:left="4" w:firstLine="0"/>
      </w:pPr>
      <w:r w:rsidRPr="00D33EF0">
        <w:rPr>
          <w:rtl/>
        </w:rPr>
        <w:t>يمكن للجهات الفاعلة التالية اقتراح تعديل أوصاف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في أي وقت:</w:t>
      </w:r>
    </w:p>
    <w:p w:rsidR="000A5DEA" w:rsidRDefault="000A5DEA" w:rsidP="000A5DEA">
      <w:pPr>
        <w:tabs>
          <w:tab w:val="right" w:pos="713"/>
        </w:tabs>
        <w:spacing w:after="100" w:line="204" w:lineRule="auto"/>
        <w:ind w:left="4" w:firstLine="709"/>
        <w:rPr>
          <w:rtl/>
        </w:rPr>
      </w:pPr>
      <w:r>
        <w:rPr>
          <w:rtl/>
        </w:rPr>
        <w:t>(أ)</w:t>
      </w:r>
      <w:r>
        <w:rPr>
          <w:rtl/>
        </w:rPr>
        <w:tab/>
        <w:t>بالنسبة لمن</w:t>
      </w:r>
      <w:r w:rsidRPr="00D33EF0">
        <w:rPr>
          <w:rtl/>
        </w:rPr>
        <w:t>طق</w:t>
      </w:r>
      <w:r>
        <w:rPr>
          <w:rFonts w:hint="cs"/>
          <w:rtl/>
        </w:rPr>
        <w:t>ة</w:t>
      </w:r>
      <w:r>
        <w:rPr>
          <w:rtl/>
        </w:rPr>
        <w:t xml:space="preserve"> بحرية </w:t>
      </w:r>
      <w:r w:rsidRPr="00D33EF0">
        <w:rPr>
          <w:rtl/>
        </w:rPr>
        <w:t>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الواقعة </w:t>
      </w:r>
      <w:r>
        <w:rPr>
          <w:rFonts w:hint="cs"/>
          <w:rtl/>
        </w:rPr>
        <w:t xml:space="preserve">بالكامل </w:t>
      </w:r>
      <w:r w:rsidRPr="00D33EF0">
        <w:rPr>
          <w:rtl/>
        </w:rPr>
        <w:t>داخل نطاق الولاية الوطنية</w:t>
      </w:r>
      <w:r>
        <w:rPr>
          <w:rFonts w:hint="cs"/>
          <w:rtl/>
        </w:rPr>
        <w:t xml:space="preserve"> للدولة</w:t>
      </w:r>
      <w:r w:rsidRPr="00D33EF0">
        <w:rPr>
          <w:rtl/>
        </w:rPr>
        <w:t xml:space="preserve">: الدولة </w:t>
      </w:r>
      <w:r>
        <w:rPr>
          <w:rFonts w:hint="cs"/>
          <w:rtl/>
        </w:rPr>
        <w:t xml:space="preserve">(الساحلية أو الأرخبيلية) </w:t>
      </w:r>
      <w:r w:rsidRPr="00D33EF0">
        <w:rPr>
          <w:rtl/>
        </w:rPr>
        <w:t xml:space="preserve">التي </w:t>
      </w:r>
      <w:r>
        <w:rPr>
          <w:rFonts w:hint="cs"/>
          <w:rtl/>
        </w:rPr>
        <w:t>يقترح التعديل</w:t>
      </w:r>
      <w:r w:rsidRPr="00D33EF0">
        <w:rPr>
          <w:rtl/>
        </w:rPr>
        <w:t xml:space="preserve"> </w:t>
      </w:r>
      <w:r>
        <w:rPr>
          <w:rFonts w:hint="cs"/>
          <w:rtl/>
        </w:rPr>
        <w:t>داخل ولايتها</w:t>
      </w:r>
      <w:r w:rsidRPr="00D33EF0">
        <w:rPr>
          <w:rtl/>
        </w:rPr>
        <w:t>؛</w:t>
      </w:r>
    </w:p>
    <w:p w:rsidR="000A5DEA" w:rsidRDefault="000A5DEA" w:rsidP="000A5DEA">
      <w:pPr>
        <w:tabs>
          <w:tab w:val="right" w:pos="713"/>
        </w:tabs>
        <w:spacing w:after="100" w:line="204" w:lineRule="auto"/>
        <w:ind w:left="4" w:firstLine="709"/>
        <w:rPr>
          <w:rtl/>
        </w:rPr>
      </w:pPr>
      <w:r>
        <w:rPr>
          <w:rFonts w:hint="cs"/>
          <w:rtl/>
        </w:rPr>
        <w:lastRenderedPageBreak/>
        <w:t>(ب)</w:t>
      </w:r>
      <w:r>
        <w:rPr>
          <w:rFonts w:hint="cs"/>
          <w:rtl/>
        </w:rPr>
        <w:tab/>
      </w:r>
      <w:r>
        <w:rPr>
          <w:rtl/>
        </w:rPr>
        <w:t>بالنسبة لمن</w:t>
      </w:r>
      <w:r w:rsidRPr="00D33EF0">
        <w:rPr>
          <w:rtl/>
        </w:rPr>
        <w:t>طق</w:t>
      </w:r>
      <w:r>
        <w:rPr>
          <w:rFonts w:hint="cs"/>
          <w:rtl/>
        </w:rPr>
        <w:t>ة</w:t>
      </w:r>
      <w:r>
        <w:rPr>
          <w:rtl/>
        </w:rPr>
        <w:t xml:space="preserve"> بحرية </w:t>
      </w:r>
      <w:r w:rsidRPr="00D33EF0">
        <w:rPr>
          <w:rtl/>
        </w:rPr>
        <w:t>مهمة إيكولوجيا</w:t>
      </w:r>
      <w:r w:rsidRPr="00D33EF0">
        <w:rPr>
          <w:rFonts w:hint="cs"/>
          <w:rtl/>
        </w:rPr>
        <w:t>ً</w:t>
      </w:r>
      <w:r w:rsidRPr="00D33EF0">
        <w:rPr>
          <w:rtl/>
        </w:rPr>
        <w:t xml:space="preserve"> أو بيولوجيا</w:t>
      </w:r>
      <w:r w:rsidRPr="00D33EF0">
        <w:rPr>
          <w:rFonts w:hint="cs"/>
          <w:rtl/>
        </w:rPr>
        <w:t>ً</w:t>
      </w:r>
      <w:r>
        <w:rPr>
          <w:rtl/>
        </w:rPr>
        <w:t xml:space="preserve"> </w:t>
      </w:r>
      <w:r w:rsidRPr="00D33EF0">
        <w:rPr>
          <w:rtl/>
        </w:rPr>
        <w:t xml:space="preserve">واقعة </w:t>
      </w:r>
      <w:r>
        <w:rPr>
          <w:rFonts w:hint="cs"/>
          <w:rtl/>
        </w:rPr>
        <w:t xml:space="preserve">بالكامل </w:t>
      </w:r>
      <w:r w:rsidRPr="00D33EF0">
        <w:rPr>
          <w:rtl/>
        </w:rPr>
        <w:t xml:space="preserve">داخل نطاق الولاية الوطنية: الدولة </w:t>
      </w:r>
      <w:r>
        <w:rPr>
          <w:rFonts w:hint="cs"/>
          <w:rtl/>
        </w:rPr>
        <w:t>(الدول) (</w:t>
      </w:r>
      <w:r>
        <w:rPr>
          <w:rtl/>
        </w:rPr>
        <w:t>الساحلية</w:t>
      </w:r>
      <w:r>
        <w:rPr>
          <w:rFonts w:hint="cs"/>
          <w:rtl/>
        </w:rPr>
        <w:t xml:space="preserve"> أو الأرخبيلية)، التي تقع فيها المنطقة البحرية المهمة إيكولوجيا أو بيولوجيا [بالتعاون مع] [بتشجيع المشاورة، والتعاون حسب الاقتضاء، وبما في ذلك من خلال إخطار من الأمينة التنفيذية إلى]، الدول الأخرى؛</w:t>
      </w:r>
    </w:p>
    <w:p w:rsidR="000A5DEA" w:rsidRPr="00D33EF0" w:rsidRDefault="000A5DEA" w:rsidP="000A5DEA">
      <w:pPr>
        <w:tabs>
          <w:tab w:val="right" w:pos="713"/>
        </w:tabs>
        <w:spacing w:after="100" w:line="204" w:lineRule="auto"/>
        <w:ind w:left="4" w:firstLine="709"/>
      </w:pPr>
      <w:r>
        <w:rPr>
          <w:rFonts w:hint="cs"/>
          <w:rtl/>
        </w:rPr>
        <w:t>[</w:t>
      </w:r>
      <w:r w:rsidRPr="00D33EF0">
        <w:rPr>
          <w:rFonts w:hint="cs"/>
          <w:rtl/>
        </w:rPr>
        <w:t>(ج)</w:t>
      </w:r>
      <w:r w:rsidRPr="00D33EF0">
        <w:rPr>
          <w:rFonts w:hint="cs"/>
          <w:rtl/>
        </w:rPr>
        <w:tab/>
      </w:r>
      <w:r>
        <w:rPr>
          <w:rtl/>
        </w:rPr>
        <w:t>بالنسبة لمن</w:t>
      </w:r>
      <w:r w:rsidRPr="00D33EF0">
        <w:rPr>
          <w:rtl/>
        </w:rPr>
        <w:t>طق</w:t>
      </w:r>
      <w:r>
        <w:rPr>
          <w:rFonts w:hint="cs"/>
          <w:rtl/>
        </w:rPr>
        <w:t>ة</w:t>
      </w:r>
      <w:r>
        <w:rPr>
          <w:rtl/>
        </w:rPr>
        <w:t xml:space="preserve"> بحرية </w:t>
      </w:r>
      <w:r w:rsidRPr="00D33EF0">
        <w:rPr>
          <w:rtl/>
        </w:rPr>
        <w:t>مهمة إيكولوجيا</w:t>
      </w:r>
      <w:r w:rsidRPr="00D33EF0">
        <w:rPr>
          <w:rFonts w:hint="cs"/>
          <w:rtl/>
        </w:rPr>
        <w:t>ً</w:t>
      </w:r>
      <w:r w:rsidRPr="00D33EF0">
        <w:rPr>
          <w:rtl/>
        </w:rPr>
        <w:t xml:space="preserve"> أو بيولوجيا</w:t>
      </w:r>
      <w:r w:rsidRPr="00D33EF0">
        <w:rPr>
          <w:rFonts w:hint="cs"/>
          <w:rtl/>
        </w:rPr>
        <w:t>ً</w:t>
      </w:r>
      <w:r>
        <w:rPr>
          <w:rtl/>
        </w:rPr>
        <w:t xml:space="preserve"> </w:t>
      </w:r>
      <w:r w:rsidRPr="00D33EF0">
        <w:rPr>
          <w:rtl/>
        </w:rPr>
        <w:t>واقعة خارج</w:t>
      </w:r>
      <w:r w:rsidRPr="00D33EF0">
        <w:rPr>
          <w:rFonts w:hint="cs"/>
          <w:rtl/>
        </w:rPr>
        <w:t xml:space="preserve"> </w:t>
      </w:r>
      <w:r w:rsidRPr="00D33EF0">
        <w:rPr>
          <w:rtl/>
        </w:rPr>
        <w:t>نطاق الولاية الوطنية:</w:t>
      </w:r>
      <w:r w:rsidRPr="00D33EF0">
        <w:t xml:space="preserve"> </w:t>
      </w:r>
      <w:r w:rsidRPr="00D33EF0">
        <w:rPr>
          <w:rtl/>
        </w:rPr>
        <w:t xml:space="preserve">أي دولة و/أو منظمة حكومية دولية مختصة، مع تقديم إشعار لجميع الدول، </w:t>
      </w:r>
      <w:r>
        <w:rPr>
          <w:rFonts w:hint="cs"/>
          <w:rtl/>
        </w:rPr>
        <w:t xml:space="preserve">من خلال إخطار إلى جميع الدول، بما في ذلك إخطار من الأمينة التنفيذية، </w:t>
      </w:r>
      <w:r w:rsidRPr="00D33EF0">
        <w:rPr>
          <w:rFonts w:hint="cs"/>
          <w:rtl/>
        </w:rPr>
        <w:t>[</w:t>
      </w:r>
      <w:r w:rsidRPr="00D33EF0">
        <w:rPr>
          <w:rtl/>
        </w:rPr>
        <w:t xml:space="preserve">دون المساس </w:t>
      </w:r>
      <w:r>
        <w:rPr>
          <w:rFonts w:hint="cs"/>
          <w:rtl/>
        </w:rPr>
        <w:t>بأي تطورات أخرى في إطار اتفاقية الأمم المتحدة لقانون البحار]]</w:t>
      </w:r>
      <w:r w:rsidRPr="00D33EF0">
        <w:rPr>
          <w:rtl/>
        </w:rPr>
        <w:t>؛</w:t>
      </w:r>
    </w:p>
    <w:p w:rsidR="000A5DEA" w:rsidRPr="002908C3" w:rsidRDefault="000A5DEA" w:rsidP="000A5DEA">
      <w:pPr>
        <w:spacing w:after="100" w:line="204" w:lineRule="auto"/>
        <w:ind w:left="18" w:firstLine="702"/>
        <w:rPr>
          <w:rtl/>
        </w:rPr>
      </w:pPr>
      <w:r w:rsidRPr="00D33EF0">
        <w:rPr>
          <w:rFonts w:hint="cs"/>
          <w:rtl/>
        </w:rPr>
        <w:t>(د)</w:t>
      </w:r>
      <w:r w:rsidRPr="00D33EF0">
        <w:rPr>
          <w:rFonts w:hint="cs"/>
          <w:rtl/>
        </w:rPr>
        <w:tab/>
      </w:r>
      <w:r>
        <w:rPr>
          <w:rtl/>
        </w:rPr>
        <w:t>بالنسبة لمن</w:t>
      </w:r>
      <w:r w:rsidRPr="00D33EF0">
        <w:rPr>
          <w:rtl/>
        </w:rPr>
        <w:t>طق</w:t>
      </w:r>
      <w:r>
        <w:rPr>
          <w:rFonts w:hint="cs"/>
          <w:rtl/>
        </w:rPr>
        <w:t>ة</w:t>
      </w:r>
      <w:r>
        <w:rPr>
          <w:rtl/>
        </w:rPr>
        <w:t xml:space="preserve"> بحرية </w:t>
      </w:r>
      <w:r w:rsidRPr="00D33EF0">
        <w:rPr>
          <w:rtl/>
        </w:rPr>
        <w:t>مهمة إيكولوجيا</w:t>
      </w:r>
      <w:r w:rsidRPr="00D33EF0">
        <w:rPr>
          <w:rFonts w:hint="cs"/>
          <w:rtl/>
        </w:rPr>
        <w:t>ً</w:t>
      </w:r>
      <w:r w:rsidRPr="00D33EF0">
        <w:rPr>
          <w:rtl/>
        </w:rPr>
        <w:t xml:space="preserve"> أو بيولوجيا</w:t>
      </w:r>
      <w:r w:rsidRPr="00D33EF0">
        <w:rPr>
          <w:rFonts w:hint="cs"/>
          <w:rtl/>
        </w:rPr>
        <w:t>ً</w:t>
      </w:r>
      <w:r>
        <w:rPr>
          <w:rtl/>
        </w:rPr>
        <w:t xml:space="preserve"> </w:t>
      </w:r>
      <w:r w:rsidRPr="00D33EF0">
        <w:rPr>
          <w:rtl/>
        </w:rPr>
        <w:t xml:space="preserve">واقعة داخل </w:t>
      </w:r>
      <w:r>
        <w:rPr>
          <w:rFonts w:hint="cs"/>
          <w:rtl/>
        </w:rPr>
        <w:t xml:space="preserve">وخارج </w:t>
      </w:r>
      <w:r w:rsidRPr="00D33EF0">
        <w:rPr>
          <w:rtl/>
        </w:rPr>
        <w:t>نطاق الولاية الوطنية</w:t>
      </w:r>
      <w:r>
        <w:rPr>
          <w:rFonts w:hint="cs"/>
          <w:rtl/>
        </w:rPr>
        <w:t>: الدولة (الدول) (</w:t>
      </w:r>
      <w:r>
        <w:rPr>
          <w:rtl/>
        </w:rPr>
        <w:t>الساحلية</w:t>
      </w:r>
      <w:r>
        <w:rPr>
          <w:rFonts w:hint="cs"/>
          <w:rtl/>
        </w:rPr>
        <w:t xml:space="preserve"> أو الأرخبيلية)، </w:t>
      </w:r>
      <w:r w:rsidRPr="00D33EF0">
        <w:rPr>
          <w:rtl/>
        </w:rPr>
        <w:t xml:space="preserve">التي </w:t>
      </w:r>
      <w:r>
        <w:rPr>
          <w:rFonts w:hint="cs"/>
          <w:rtl/>
        </w:rPr>
        <w:t>يقترح التعديل</w:t>
      </w:r>
      <w:r w:rsidRPr="00D33EF0">
        <w:rPr>
          <w:rtl/>
        </w:rPr>
        <w:t xml:space="preserve"> </w:t>
      </w:r>
      <w:r>
        <w:rPr>
          <w:rFonts w:hint="cs"/>
          <w:rtl/>
        </w:rPr>
        <w:t>داخل ولايتها،</w:t>
      </w:r>
      <w:r w:rsidRPr="00D33EF0">
        <w:rPr>
          <w:rtl/>
        </w:rPr>
        <w:t xml:space="preserve"> </w:t>
      </w:r>
      <w:r>
        <w:rPr>
          <w:rFonts w:hint="cs"/>
          <w:rtl/>
        </w:rPr>
        <w:t>[بالتعاون مع الدول المعنية]، [مع تشجيع المشاورات، والتعاون حسب الاقتضاء، وبما في ذلك من خلال إخطار من الأمينة التنفيذية إلى الدول المعنية]؛ فضلا عن للتعديلات المقترحة في المناطق الواقعة خارج نطاق الولاية الوطنية، أي دولة و/أو منظمة حكومية دولية مختصة، عند الاقتضاء، مع شرط بالإخطار المسبق لجميع الدول.</w:t>
      </w:r>
    </w:p>
    <w:p w:rsidR="000A5DEA" w:rsidRPr="00D33EF0" w:rsidRDefault="000A5DEA" w:rsidP="00CD26C5">
      <w:pPr>
        <w:numPr>
          <w:ilvl w:val="0"/>
          <w:numId w:val="128"/>
        </w:numPr>
        <w:spacing w:after="100" w:line="204" w:lineRule="auto"/>
        <w:ind w:left="4" w:firstLine="0"/>
        <w:rPr>
          <w:rtl/>
        </w:rPr>
      </w:pPr>
      <w:r w:rsidRPr="00D33EF0">
        <w:rPr>
          <w:rFonts w:hint="cs"/>
          <w:rtl/>
        </w:rPr>
        <w:t>و</w:t>
      </w:r>
      <w:r w:rsidRPr="00D33EF0">
        <w:rPr>
          <w:rtl/>
        </w:rPr>
        <w:t xml:space="preserve">ينبغي تشجيع حائزي المعارف، بما في ذلك منظمات البحث العلمي والمنظمات غير الحكومية وأصحاب المعارف </w:t>
      </w:r>
      <w:r w:rsidRPr="00D33EF0">
        <w:rPr>
          <w:rFonts w:hint="cs"/>
          <w:rtl/>
        </w:rPr>
        <w:t>التقليدية</w:t>
      </w:r>
      <w:r w:rsidRPr="00D33EF0">
        <w:rPr>
          <w:rtl/>
        </w:rPr>
        <w:t xml:space="preserve"> على لفت انتباه الجهات الفاعلة المحددة في </w:t>
      </w:r>
      <w:r>
        <w:rPr>
          <w:rFonts w:hint="cs"/>
          <w:rtl/>
        </w:rPr>
        <w:t>القسم</w:t>
      </w:r>
      <w:r>
        <w:rPr>
          <w:rtl/>
        </w:rPr>
        <w:t xml:space="preserve"> الفرعي</w:t>
      </w:r>
      <w:r w:rsidRPr="00D33EF0">
        <w:rPr>
          <w:rtl/>
        </w:rPr>
        <w:t xml:space="preserve"> (ج</w:t>
      </w:r>
      <w:r>
        <w:rPr>
          <w:rFonts w:hint="cs"/>
          <w:rtl/>
        </w:rPr>
        <w:t>يم</w:t>
      </w:r>
      <w:r w:rsidRPr="00D33EF0">
        <w:rPr>
          <w:rtl/>
        </w:rPr>
        <w:t>)</w:t>
      </w:r>
      <w:r>
        <w:rPr>
          <w:rFonts w:hint="cs"/>
          <w:rtl/>
        </w:rPr>
        <w:t>،</w:t>
      </w:r>
      <w:r w:rsidRPr="00D33EF0">
        <w:rPr>
          <w:rtl/>
        </w:rPr>
        <w:t xml:space="preserve"> الفقرة </w:t>
      </w:r>
      <w:r>
        <w:rPr>
          <w:rFonts w:hint="cs"/>
          <w:rtl/>
        </w:rPr>
        <w:t>6</w:t>
      </w:r>
      <w:r w:rsidRPr="00D33EF0">
        <w:rPr>
          <w:rtl/>
        </w:rPr>
        <w:t xml:space="preserve"> أعلاه إلى أي من الأسباب المذكورة أعلاه لتعديل وصف المناطق البحرية المهمة إيكولوجيا</w:t>
      </w:r>
      <w:r>
        <w:rPr>
          <w:rFonts w:hint="cs"/>
          <w:rtl/>
        </w:rPr>
        <w:t>ً</w:t>
      </w:r>
      <w:r w:rsidRPr="00D33EF0">
        <w:rPr>
          <w:rtl/>
        </w:rPr>
        <w:t xml:space="preserve"> أو بيولوجيا</w:t>
      </w:r>
      <w:r>
        <w:rPr>
          <w:rFonts w:hint="cs"/>
          <w:rtl/>
        </w:rPr>
        <w:t>ً</w:t>
      </w:r>
      <w:r w:rsidRPr="00D33EF0">
        <w:rPr>
          <w:rtl/>
        </w:rPr>
        <w:t xml:space="preserve"> الحالية </w:t>
      </w:r>
      <w:r>
        <w:rPr>
          <w:rFonts w:hint="cs"/>
          <w:rtl/>
        </w:rPr>
        <w:t xml:space="preserve">الملاحظة في القسم الفرعي باء، الفقرة 5 أعلاه، </w:t>
      </w:r>
      <w:r w:rsidRPr="00D33EF0">
        <w:rPr>
          <w:rtl/>
        </w:rPr>
        <w:t>وعلى دعم هذه الجهات الفاعلة، عند الطلب، في إعداد مقترحات الت</w:t>
      </w:r>
      <w:r>
        <w:rPr>
          <w:rtl/>
        </w:rPr>
        <w:t>عديل.</w:t>
      </w:r>
    </w:p>
    <w:p w:rsidR="000A5DEA" w:rsidRPr="005C478D" w:rsidRDefault="000A5DEA" w:rsidP="005C478D">
      <w:pPr>
        <w:jc w:val="center"/>
        <w:rPr>
          <w:b/>
          <w:bCs/>
          <w:snapToGrid w:val="0"/>
          <w:kern w:val="22"/>
          <w:rtl/>
        </w:rPr>
      </w:pPr>
      <w:bookmarkStart w:id="86" w:name="_Toc524295501"/>
      <w:bookmarkStart w:id="87" w:name="_Toc6071582"/>
      <w:r w:rsidRPr="005C478D">
        <w:rPr>
          <w:b/>
          <w:bCs/>
          <w:rtl/>
        </w:rPr>
        <w:t>دال-</w:t>
      </w:r>
      <w:r w:rsidRPr="005C478D">
        <w:rPr>
          <w:b/>
          <w:bCs/>
          <w:rtl/>
        </w:rPr>
        <w:tab/>
        <w:t>طرائق عملية التعديل</w:t>
      </w:r>
      <w:bookmarkEnd w:id="86"/>
      <w:bookmarkEnd w:id="87"/>
    </w:p>
    <w:p w:rsidR="000A5DEA" w:rsidRPr="00D33EF0" w:rsidRDefault="000A5DEA" w:rsidP="00CD26C5">
      <w:pPr>
        <w:numPr>
          <w:ilvl w:val="0"/>
          <w:numId w:val="128"/>
        </w:numPr>
        <w:spacing w:after="100" w:line="204" w:lineRule="auto"/>
        <w:ind w:left="4" w:firstLine="0"/>
        <w:rPr>
          <w:snapToGrid w:val="0"/>
          <w:kern w:val="22"/>
          <w:rtl/>
        </w:rPr>
      </w:pPr>
      <w:r w:rsidRPr="00D33EF0">
        <w:rPr>
          <w:rtl/>
        </w:rPr>
        <w:t>تتمثل طرائق تعديل وصف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فيما يلي:</w:t>
      </w:r>
    </w:p>
    <w:p w:rsidR="000A5DEA" w:rsidRPr="00D33EF0" w:rsidRDefault="000A5DEA" w:rsidP="000A5DEA">
      <w:pPr>
        <w:kinsoku w:val="0"/>
        <w:overflowPunct w:val="0"/>
        <w:autoSpaceDE w:val="0"/>
        <w:autoSpaceDN w:val="0"/>
        <w:spacing w:after="100" w:line="204" w:lineRule="auto"/>
        <w:ind w:firstLine="4"/>
        <w:rPr>
          <w:b/>
          <w:bCs/>
          <w:rtl/>
        </w:rPr>
      </w:pPr>
      <w:r>
        <w:rPr>
          <w:rFonts w:hint="cs"/>
          <w:rtl/>
        </w:rPr>
        <w:t>8-1</w:t>
      </w:r>
      <w:r>
        <w:rPr>
          <w:rFonts w:hint="cs"/>
          <w:rtl/>
        </w:rPr>
        <w:tab/>
      </w:r>
      <w:r w:rsidRPr="00D33EF0">
        <w:rPr>
          <w:rFonts w:hint="cs"/>
          <w:rtl/>
        </w:rPr>
        <w:t>بالنسبة للمناطق الواقعة خارج نطاق الولاية الوطنية، وحيثما ترغب الدول الساحلية في ذلك، للمناطق الواقعة ضمن الولاية الوطنية:</w:t>
      </w:r>
    </w:p>
    <w:p w:rsidR="000A5DEA" w:rsidRPr="00D33EF0" w:rsidRDefault="000A5DEA" w:rsidP="000A5DEA">
      <w:pPr>
        <w:kinsoku w:val="0"/>
        <w:overflowPunct w:val="0"/>
        <w:autoSpaceDE w:val="0"/>
        <w:autoSpaceDN w:val="0"/>
        <w:spacing w:after="100" w:line="204" w:lineRule="auto"/>
        <w:ind w:firstLine="709"/>
        <w:rPr>
          <w:snapToGrid w:val="0"/>
          <w:kern w:val="22"/>
          <w:rtl/>
        </w:rPr>
      </w:pPr>
      <w:r w:rsidRPr="00D33EF0">
        <w:rPr>
          <w:rtl/>
        </w:rPr>
        <w:t>(أ)</w:t>
      </w:r>
      <w:r w:rsidRPr="00D33EF0">
        <w:rPr>
          <w:rtl/>
        </w:rPr>
        <w:tab/>
        <w:t xml:space="preserve">تتولى الأمانة تجميع المقترحات الخاصة بالتعديلات التي أعدتها الجهات الفاعلة المحددة في </w:t>
      </w:r>
      <w:r>
        <w:rPr>
          <w:rFonts w:hint="cs"/>
          <w:rtl/>
        </w:rPr>
        <w:t>القسم</w:t>
      </w:r>
      <w:r>
        <w:rPr>
          <w:rtl/>
        </w:rPr>
        <w:t xml:space="preserve"> الفرعي</w:t>
      </w:r>
      <w:r w:rsidRPr="00D33EF0">
        <w:rPr>
          <w:rtl/>
        </w:rPr>
        <w:t xml:space="preserve"> (ج</w:t>
      </w:r>
      <w:r>
        <w:rPr>
          <w:rFonts w:hint="cs"/>
          <w:rtl/>
        </w:rPr>
        <w:t>يم</w:t>
      </w:r>
      <w:r>
        <w:rPr>
          <w:rtl/>
        </w:rPr>
        <w:t>)</w:t>
      </w:r>
      <w:r>
        <w:rPr>
          <w:rFonts w:hint="cs"/>
          <w:rtl/>
        </w:rPr>
        <w:t xml:space="preserve">، </w:t>
      </w:r>
      <w:r w:rsidRPr="00D33EF0">
        <w:rPr>
          <w:rtl/>
        </w:rPr>
        <w:t xml:space="preserve">الفقرة </w:t>
      </w:r>
      <w:r>
        <w:rPr>
          <w:rFonts w:hint="cs"/>
          <w:rtl/>
        </w:rPr>
        <w:t>6</w:t>
      </w:r>
      <w:r w:rsidRPr="00D33EF0">
        <w:rPr>
          <w:rtl/>
        </w:rPr>
        <w:t>؛</w:t>
      </w:r>
    </w:p>
    <w:p w:rsidR="000A5DEA" w:rsidRPr="00D33EF0" w:rsidRDefault="000A5DEA" w:rsidP="000A5DEA">
      <w:pPr>
        <w:kinsoku w:val="0"/>
        <w:overflowPunct w:val="0"/>
        <w:autoSpaceDE w:val="0"/>
        <w:autoSpaceDN w:val="0"/>
        <w:spacing w:after="100" w:line="204" w:lineRule="auto"/>
        <w:ind w:firstLine="709"/>
        <w:rPr>
          <w:snapToGrid w:val="0"/>
          <w:kern w:val="22"/>
          <w:rtl/>
        </w:rPr>
      </w:pPr>
      <w:r w:rsidRPr="00D33EF0">
        <w:rPr>
          <w:rtl/>
        </w:rPr>
        <w:t>(ب)</w:t>
      </w:r>
      <w:r w:rsidRPr="00D33EF0">
        <w:rPr>
          <w:rtl/>
        </w:rPr>
        <w:tab/>
        <w:t>استنادا إلى المقترحات المجمَّعة، يقدم الفريق الاستشاري غير الرسمي المشورة إلى الأمينة التنفيذية بشأن التعديل المقترح، تمشيا مع الإرشادات/المعايير المتعلقة بإجراء تعديلات كبيرة أو طفيفة التي وضعها الفريق الاستشاري غير الرسمي المعني بالمناطق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683FD0" w:rsidRDefault="000A5DEA" w:rsidP="00683FD0">
      <w:pPr>
        <w:ind w:firstLine="720"/>
        <w:rPr>
          <w:i/>
          <w:iCs/>
          <w:snapToGrid w:val="0"/>
          <w:kern w:val="22"/>
        </w:rPr>
      </w:pPr>
      <w:bookmarkStart w:id="88" w:name="_Toc524295502"/>
      <w:bookmarkStart w:id="89" w:name="_Toc6071583"/>
      <w:r w:rsidRPr="00683FD0">
        <w:rPr>
          <w:rtl/>
        </w:rPr>
        <w:t>(ج)</w:t>
      </w:r>
      <w:r w:rsidRPr="00683FD0">
        <w:rPr>
          <w:rtl/>
        </w:rPr>
        <w:tab/>
        <w:t xml:space="preserve">تتمثل طرائق إجراء </w:t>
      </w:r>
      <w:r w:rsidRPr="00683FD0">
        <w:rPr>
          <w:rFonts w:hint="cs"/>
          <w:rtl/>
        </w:rPr>
        <w:t>ال</w:t>
      </w:r>
      <w:r w:rsidRPr="00683FD0">
        <w:rPr>
          <w:rtl/>
        </w:rPr>
        <w:t xml:space="preserve">تعديلات </w:t>
      </w:r>
      <w:r w:rsidRPr="00683FD0">
        <w:rPr>
          <w:rFonts w:hint="cs"/>
          <w:rtl/>
        </w:rPr>
        <w:t>ال</w:t>
      </w:r>
      <w:r w:rsidRPr="00683FD0">
        <w:rPr>
          <w:rtl/>
        </w:rPr>
        <w:t xml:space="preserve">كبيرة أو </w:t>
      </w:r>
      <w:r w:rsidRPr="00683FD0">
        <w:rPr>
          <w:rFonts w:hint="cs"/>
          <w:rtl/>
        </w:rPr>
        <w:t>ال</w:t>
      </w:r>
      <w:r w:rsidRPr="00683FD0">
        <w:rPr>
          <w:rtl/>
        </w:rPr>
        <w:t>طفيفة فيما يلي:</w:t>
      </w:r>
      <w:bookmarkEnd w:id="88"/>
      <w:bookmarkEnd w:id="89"/>
      <w:r w:rsidRPr="00683FD0">
        <w:rPr>
          <w:i/>
          <w:iCs/>
          <w:snapToGrid w:val="0"/>
          <w:kern w:val="22"/>
        </w:rPr>
        <w:t xml:space="preserve"> </w:t>
      </w:r>
    </w:p>
    <w:p w:rsidR="000A5DEA" w:rsidRPr="00683FD0" w:rsidRDefault="000A5DEA" w:rsidP="00683FD0">
      <w:pPr>
        <w:ind w:left="1440" w:hanging="720"/>
        <w:rPr>
          <w:snapToGrid w:val="0"/>
          <w:kern w:val="22"/>
          <w:rtl/>
        </w:rPr>
      </w:pPr>
      <w:bookmarkStart w:id="90" w:name="_Toc524295503"/>
      <w:bookmarkStart w:id="91" w:name="_Toc6071584"/>
      <w:r w:rsidRPr="00683FD0">
        <w:rPr>
          <w:rtl/>
        </w:rPr>
        <w:t>(1)</w:t>
      </w:r>
      <w:r w:rsidRPr="00683FD0">
        <w:rPr>
          <w:rtl/>
        </w:rPr>
        <w:tab/>
        <w:t>لإجراء تعديل كبير:</w:t>
      </w:r>
      <w:r w:rsidRPr="00683FD0">
        <w:rPr>
          <w:rFonts w:hint="cs"/>
          <w:rtl/>
        </w:rPr>
        <w:t xml:space="preserve"> سيتم استخدام الإجراء الموضح في الفقرة 11 (ج) و(د) من القسم الثاني من هذه الوثيقة. و</w:t>
      </w:r>
      <w:r w:rsidRPr="00683FD0">
        <w:rPr>
          <w:rtl/>
        </w:rPr>
        <w:t>تعقد أمانة اتفاقية التنوع البيولوجي حلقة عمل وفقا لإجراءات تنظيم حلقات العمل الإقليمية الواردة في المقرر 10/29، ويقدَّم تقريرها إلى الهيئة الفرعية للمشورة العلمية والتقنية والتكنولوجية وإلى مؤتمر الأطراف للنظر فيه؛</w:t>
      </w:r>
      <w:bookmarkEnd w:id="90"/>
      <w:bookmarkEnd w:id="91"/>
    </w:p>
    <w:p w:rsidR="000A5DEA" w:rsidRPr="00D33EF0" w:rsidRDefault="000A5DEA" w:rsidP="000A5DEA">
      <w:pPr>
        <w:kinsoku w:val="0"/>
        <w:overflowPunct w:val="0"/>
        <w:autoSpaceDE w:val="0"/>
        <w:autoSpaceDN w:val="0"/>
        <w:spacing w:after="100" w:line="204" w:lineRule="auto"/>
        <w:ind w:left="1440" w:hanging="720"/>
        <w:rPr>
          <w:bCs/>
          <w:iCs/>
          <w:snapToGrid w:val="0"/>
          <w:kern w:val="22"/>
        </w:rPr>
      </w:pPr>
      <w:r w:rsidRPr="00D33EF0">
        <w:rPr>
          <w:rtl/>
        </w:rPr>
        <w:t>(2)</w:t>
      </w:r>
      <w:r w:rsidRPr="00D33EF0">
        <w:rPr>
          <w:rtl/>
        </w:rPr>
        <w:tab/>
        <w:t>لإجراء تعديل طفيف: تُعِد أمانة اتفاقية التنوع البيولوجي، بعد التشاور مع الدولة (الدول) المعنية أو الخبراء الإقليميين المعنيين،</w:t>
      </w:r>
      <w:r>
        <w:rPr>
          <w:rStyle w:val="FootnoteReference"/>
          <w:rtl/>
        </w:rPr>
        <w:footnoteReference w:id="167"/>
      </w:r>
      <w:r w:rsidRPr="00D33EF0">
        <w:rPr>
          <w:rtl/>
        </w:rPr>
        <w:t xml:space="preserve"> تقريرا عن التعديلات، ويقدَّم هذا التقرير إلى الهيئة الفرعية للمشورة العلمية والتقنية والتكنولوجية وإلى مؤتمر الأطراف للنظر فيه.</w:t>
      </w:r>
    </w:p>
    <w:p w:rsidR="000A5DEA" w:rsidRPr="00D33EF0" w:rsidRDefault="000A5DEA" w:rsidP="000A5DEA">
      <w:pPr>
        <w:kinsoku w:val="0"/>
        <w:overflowPunct w:val="0"/>
        <w:autoSpaceDE w:val="0"/>
        <w:autoSpaceDN w:val="0"/>
        <w:spacing w:after="100" w:line="204" w:lineRule="auto"/>
        <w:rPr>
          <w:b/>
          <w:i/>
          <w:snapToGrid w:val="0"/>
          <w:kern w:val="22"/>
        </w:rPr>
      </w:pPr>
      <w:r>
        <w:rPr>
          <w:rStyle w:val="shorttext"/>
          <w:rFonts w:hint="cs"/>
          <w:rtl/>
        </w:rPr>
        <w:t>8-2</w:t>
      </w:r>
      <w:r>
        <w:rPr>
          <w:rStyle w:val="shorttext"/>
          <w:rFonts w:hint="cs"/>
          <w:rtl/>
        </w:rPr>
        <w:tab/>
      </w:r>
      <w:r w:rsidRPr="00D33EF0">
        <w:rPr>
          <w:rStyle w:val="shorttext"/>
          <w:rFonts w:hint="cs"/>
          <w:rtl/>
        </w:rPr>
        <w:t xml:space="preserve">للمناطق </w:t>
      </w:r>
      <w:r>
        <w:rPr>
          <w:rStyle w:val="shorttext"/>
          <w:rFonts w:hint="cs"/>
          <w:rtl/>
        </w:rPr>
        <w:t xml:space="preserve">الواقعة </w:t>
      </w:r>
      <w:r w:rsidRPr="00D33EF0">
        <w:rPr>
          <w:rStyle w:val="shorttext"/>
          <w:rFonts w:hint="cs"/>
          <w:rtl/>
        </w:rPr>
        <w:t>داخل نطاق الولاية الوطنية:</w:t>
      </w:r>
    </w:p>
    <w:p w:rsidR="000A5DEA" w:rsidRPr="00D33EF0" w:rsidRDefault="000A5DEA" w:rsidP="000A5DEA">
      <w:pPr>
        <w:kinsoku w:val="0"/>
        <w:overflowPunct w:val="0"/>
        <w:autoSpaceDE w:val="0"/>
        <w:autoSpaceDN w:val="0"/>
        <w:spacing w:after="100" w:line="204" w:lineRule="auto"/>
        <w:ind w:firstLine="720"/>
      </w:pPr>
      <w:r w:rsidRPr="00D33EF0">
        <w:rPr>
          <w:rtl/>
        </w:rPr>
        <w:lastRenderedPageBreak/>
        <w:t>(أ)</w:t>
      </w:r>
      <w:r w:rsidRPr="00D33EF0">
        <w:rPr>
          <w:rtl/>
        </w:rPr>
        <w:tab/>
      </w:r>
      <w:r>
        <w:rPr>
          <w:rFonts w:hint="cs"/>
          <w:rtl/>
        </w:rPr>
        <w:t xml:space="preserve">استنادا إلى </w:t>
      </w:r>
      <w:r w:rsidRPr="00D33EF0">
        <w:rPr>
          <w:rtl/>
        </w:rPr>
        <w:t>الإجراء المنصوص عليه في</w:t>
      </w:r>
      <w:r>
        <w:rPr>
          <w:rFonts w:hint="cs"/>
          <w:rtl/>
        </w:rPr>
        <w:t xml:space="preserve"> </w:t>
      </w:r>
      <w:r w:rsidRPr="00D33EF0">
        <w:rPr>
          <w:rtl/>
        </w:rPr>
        <w:t xml:space="preserve">الفقرة </w:t>
      </w:r>
      <w:r>
        <w:rPr>
          <w:rFonts w:hint="cs"/>
          <w:rtl/>
        </w:rPr>
        <w:t>7</w:t>
      </w:r>
      <w:r w:rsidRPr="00D33EF0">
        <w:rPr>
          <w:rtl/>
        </w:rPr>
        <w:t xml:space="preserve"> من المقرر 12/22، </w:t>
      </w:r>
      <w:r>
        <w:rPr>
          <w:rFonts w:hint="cs"/>
          <w:rtl/>
        </w:rPr>
        <w:t xml:space="preserve">ووفقا للفقرة 3 من المقرر 13/12، </w:t>
      </w:r>
      <w:r w:rsidRPr="00D33EF0">
        <w:rPr>
          <w:rtl/>
        </w:rPr>
        <w:t xml:space="preserve">يجوز للدولة أن تقدم </w:t>
      </w:r>
      <w:r>
        <w:rPr>
          <w:rFonts w:hint="cs"/>
          <w:rtl/>
        </w:rPr>
        <w:t xml:space="preserve">أيضا </w:t>
      </w:r>
      <w:r w:rsidRPr="00D33EF0">
        <w:rPr>
          <w:rtl/>
        </w:rPr>
        <w:t>تحديثا للوصف المدرج في المستودع العالمي للمناطق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r w:rsidRPr="00D33EF0">
        <w:rPr>
          <w:rFonts w:hint="cs"/>
          <w:rtl/>
        </w:rPr>
        <w:t xml:space="preserve"> </w:t>
      </w:r>
      <w:r w:rsidRPr="00D33EF0">
        <w:rPr>
          <w:rtl/>
        </w:rPr>
        <w:t xml:space="preserve">وفقا للأسباب المذكورة </w:t>
      </w:r>
      <w:r>
        <w:rPr>
          <w:rFonts w:hint="cs"/>
          <w:rtl/>
        </w:rPr>
        <w:t>في القسم الفرعي باء، الفقرة 5 أعلاه</w:t>
      </w:r>
      <w:r w:rsidRPr="00D33EF0">
        <w:rPr>
          <w:rtl/>
        </w:rPr>
        <w:t xml:space="preserve">، وأن تقدم معلومات </w:t>
      </w:r>
      <w:r>
        <w:rPr>
          <w:rFonts w:hint="cs"/>
          <w:rtl/>
        </w:rPr>
        <w:t>عن</w:t>
      </w:r>
      <w:r w:rsidRPr="00D33EF0">
        <w:rPr>
          <w:rtl/>
        </w:rPr>
        <w:t xml:space="preserve"> العملية العلمية والتقنية، وكذلك </w:t>
      </w:r>
      <w:r>
        <w:rPr>
          <w:rFonts w:hint="cs"/>
          <w:rtl/>
        </w:rPr>
        <w:t>نتيجة ال</w:t>
      </w:r>
      <w:r w:rsidRPr="00D33EF0">
        <w:rPr>
          <w:rtl/>
        </w:rPr>
        <w:t xml:space="preserve">عملية </w:t>
      </w:r>
      <w:r>
        <w:rPr>
          <w:rFonts w:hint="cs"/>
          <w:rtl/>
        </w:rPr>
        <w:t>العلمية السليمة وطنيا ل</w:t>
      </w:r>
      <w:r w:rsidRPr="00D33EF0">
        <w:rPr>
          <w:rtl/>
        </w:rPr>
        <w:t>استعراض النظراء</w:t>
      </w:r>
      <w:r>
        <w:rPr>
          <w:rStyle w:val="FootnoteReference"/>
          <w:rtl/>
        </w:rPr>
        <w:footnoteReference w:id="168"/>
      </w:r>
      <w:r>
        <w:rPr>
          <w:rFonts w:hint="cs"/>
          <w:rtl/>
        </w:rPr>
        <w:t xml:space="preserve"> التي تدعم التحديث، وذلك إلى الأمينة التنفيذية لتتيحها إلى </w:t>
      </w:r>
      <w:r w:rsidRPr="00D33EF0">
        <w:rPr>
          <w:rtl/>
        </w:rPr>
        <w:t xml:space="preserve">الهيئة الفرعية للمشورة العلمية والتقنية والتكنولوجية ومؤتمر الأطراف </w:t>
      </w:r>
      <w:r>
        <w:rPr>
          <w:rFonts w:hint="cs"/>
          <w:rtl/>
        </w:rPr>
        <w:t>[للنظر فيها] [لإعلامهما] [بهدف إدراجها] [لإدراجها] في المستودع.</w:t>
      </w:r>
      <w:r w:rsidRPr="00D33EF0">
        <w:rPr>
          <w:rFonts w:hint="cs"/>
          <w:rtl/>
        </w:rPr>
        <w:t xml:space="preserve"> </w:t>
      </w:r>
      <w:r>
        <w:rPr>
          <w:rFonts w:hint="cs"/>
          <w:rtl/>
        </w:rPr>
        <w:t>والأوصاف السابقة المدرجة عملا بمقرر من مؤتمر الأطراف ستظل متاحة في المستودع. وينبغي أن يظهر في المستودع تاريخ إدراج وصف المناطق البحرية المهمة إيكولوجيا أو بيولوجيا وما إذا كان إدراجها قد تم عملا بمقرر صادر عن مؤتمر الأطراف أو بناء على طلب من أحد الأطراف.</w:t>
      </w:r>
    </w:p>
    <w:p w:rsidR="000A5DEA" w:rsidRPr="005C478D" w:rsidRDefault="000A5DEA" w:rsidP="005C478D">
      <w:pPr>
        <w:jc w:val="center"/>
        <w:rPr>
          <w:b/>
          <w:bCs/>
          <w:snapToGrid w:val="0"/>
          <w:kern w:val="22"/>
          <w:rtl/>
        </w:rPr>
      </w:pPr>
      <w:bookmarkStart w:id="92" w:name="_Toc524295504"/>
      <w:bookmarkStart w:id="93" w:name="_Toc6071585"/>
      <w:r w:rsidRPr="005C478D">
        <w:rPr>
          <w:b/>
          <w:bCs/>
          <w:rtl/>
        </w:rPr>
        <w:t>هاء-</w:t>
      </w:r>
      <w:r w:rsidRPr="005C478D">
        <w:rPr>
          <w:b/>
          <w:bCs/>
          <w:rtl/>
        </w:rPr>
        <w:tab/>
        <w:t>الاعتبارات الرئيسية للتعديلات</w:t>
      </w:r>
      <w:bookmarkEnd w:id="92"/>
      <w:bookmarkEnd w:id="93"/>
    </w:p>
    <w:p w:rsidR="000A5DEA" w:rsidRPr="00D33EF0" w:rsidRDefault="000A5DEA" w:rsidP="00CD26C5">
      <w:pPr>
        <w:numPr>
          <w:ilvl w:val="0"/>
          <w:numId w:val="128"/>
        </w:numPr>
        <w:spacing w:after="100" w:line="204" w:lineRule="auto"/>
        <w:ind w:left="4" w:firstLine="0"/>
        <w:rPr>
          <w:snapToGrid w:val="0"/>
          <w:kern w:val="22"/>
          <w:rtl/>
        </w:rPr>
      </w:pPr>
      <w:r w:rsidRPr="00D33EF0">
        <w:rPr>
          <w:rtl/>
        </w:rPr>
        <w:t xml:space="preserve">ينبغي إبلاغ الأطراف والحكومات الأخرى، وكذلك المنظمات الحكومية الدولية المختصة، </w:t>
      </w:r>
      <w:r>
        <w:rPr>
          <w:rFonts w:hint="cs"/>
          <w:rtl/>
        </w:rPr>
        <w:t xml:space="preserve">في أقرب وقت ممكن </w:t>
      </w:r>
      <w:r w:rsidRPr="00D33EF0">
        <w:rPr>
          <w:rFonts w:hint="cs"/>
          <w:rtl/>
        </w:rPr>
        <w:t>بأي</w:t>
      </w:r>
      <w:r w:rsidRPr="00D33EF0">
        <w:rPr>
          <w:rtl/>
        </w:rPr>
        <w:t xml:space="preserve"> تقديم للمقترحات لتعديل أوصاف المناطق البحرية المهمة إيكولوجيا أو بيولوجيا الحالية من خلال إخطار من اتفاقية التنوع البيولوجي والموقع الشبكي للمناطق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D33EF0" w:rsidRDefault="000A5DEA" w:rsidP="00CD26C5">
      <w:pPr>
        <w:numPr>
          <w:ilvl w:val="0"/>
          <w:numId w:val="128"/>
        </w:numPr>
        <w:spacing w:after="100" w:line="204" w:lineRule="auto"/>
        <w:ind w:left="4" w:firstLine="0"/>
        <w:rPr>
          <w:snapToGrid w:val="0"/>
          <w:kern w:val="22"/>
          <w:rtl/>
        </w:rPr>
      </w:pPr>
      <w:r w:rsidRPr="00D33EF0">
        <w:rPr>
          <w:rtl/>
        </w:rPr>
        <w:t>وينبغي مراعاة الاعتبارات التالية:</w:t>
      </w:r>
    </w:p>
    <w:p w:rsidR="000A5DEA" w:rsidRPr="00D33EF0" w:rsidRDefault="000A5DEA" w:rsidP="000A5DEA">
      <w:pPr>
        <w:kinsoku w:val="0"/>
        <w:overflowPunct w:val="0"/>
        <w:autoSpaceDE w:val="0"/>
        <w:autoSpaceDN w:val="0"/>
        <w:spacing w:after="100" w:line="204" w:lineRule="auto"/>
        <w:ind w:firstLine="720"/>
      </w:pPr>
      <w:r w:rsidRPr="00D33EF0">
        <w:rPr>
          <w:rStyle w:val="hps"/>
          <w:rtl/>
        </w:rPr>
        <w:t>(أ)</w:t>
      </w:r>
      <w:r w:rsidRPr="00D33EF0">
        <w:rPr>
          <w:rStyle w:val="hps"/>
          <w:rtl/>
        </w:rPr>
        <w:tab/>
        <w:t xml:space="preserve">أهمية إدماج </w:t>
      </w:r>
      <w:r w:rsidRPr="00D33EF0">
        <w:rPr>
          <w:rtl/>
        </w:rPr>
        <w:t xml:space="preserve">المعارف </w:t>
      </w:r>
      <w:r w:rsidRPr="00D33EF0">
        <w:rPr>
          <w:rFonts w:hint="cs"/>
          <w:rtl/>
        </w:rPr>
        <w:t>التقليدية</w:t>
      </w:r>
      <w:r w:rsidRPr="00D33EF0">
        <w:rPr>
          <w:rtl/>
        </w:rPr>
        <w:t xml:space="preserve"> في عملية تعديل أوصاف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الحالية وضمان المشاركة الكاملة والفعالة للشعوب الأصلية والمجتمعات المحلية</w:t>
      </w:r>
      <w:r>
        <w:rPr>
          <w:rFonts w:hint="cs"/>
          <w:rtl/>
        </w:rPr>
        <w:t>، حسب الاقتضاء ووفقا للقانون الوطني المحلي والالتزامات الدولية</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t>(ب)</w:t>
      </w:r>
      <w:r w:rsidRPr="00D33EF0">
        <w:rPr>
          <w:rtl/>
        </w:rPr>
        <w:tab/>
        <w:t xml:space="preserve">قد يتطلب تعزيز إدماج المعارف </w:t>
      </w:r>
      <w:r w:rsidRPr="00D33EF0">
        <w:rPr>
          <w:rFonts w:hint="cs"/>
          <w:rtl/>
        </w:rPr>
        <w:t>التقليدية</w:t>
      </w:r>
      <w:r w:rsidRPr="00D33EF0">
        <w:rPr>
          <w:rtl/>
        </w:rPr>
        <w:t xml:space="preserve"> تنقيح نموذج وصف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t>(ج)</w:t>
      </w:r>
      <w:r w:rsidRPr="00D33EF0">
        <w:rPr>
          <w:rtl/>
        </w:rPr>
        <w:tab/>
        <w:t xml:space="preserve">الحاجة إلى قاعدة علمية وتقنية قوية، بما في ذلك قاعدة المعارف </w:t>
      </w:r>
      <w:r w:rsidRPr="00D33EF0">
        <w:rPr>
          <w:rFonts w:hint="cs"/>
          <w:rtl/>
        </w:rPr>
        <w:t>التقليدية</w:t>
      </w:r>
      <w:r w:rsidRPr="00D33EF0">
        <w:rPr>
          <w:rtl/>
        </w:rPr>
        <w:t xml:space="preserve">، </w:t>
      </w:r>
      <w:r w:rsidRPr="00D33EF0">
        <w:rPr>
          <w:rFonts w:hint="cs"/>
          <w:rtl/>
        </w:rPr>
        <w:t>لأي</w:t>
      </w:r>
      <w:r w:rsidRPr="00D33EF0">
        <w:rPr>
          <w:rtl/>
        </w:rPr>
        <w:t xml:space="preserve"> تعديل مقترح؛</w:t>
      </w:r>
    </w:p>
    <w:p w:rsidR="000A5DEA" w:rsidRPr="00D33EF0" w:rsidRDefault="000A5DEA" w:rsidP="000A5DEA">
      <w:pPr>
        <w:kinsoku w:val="0"/>
        <w:overflowPunct w:val="0"/>
        <w:autoSpaceDE w:val="0"/>
        <w:autoSpaceDN w:val="0"/>
        <w:spacing w:after="100" w:line="204" w:lineRule="auto"/>
        <w:ind w:firstLine="720"/>
        <w:rPr>
          <w:rtl/>
        </w:rPr>
      </w:pPr>
      <w:r w:rsidRPr="00D33EF0">
        <w:rPr>
          <w:rtl/>
        </w:rPr>
        <w:t>(د)</w:t>
      </w:r>
      <w:r w:rsidRPr="00D33EF0">
        <w:rPr>
          <w:rtl/>
        </w:rPr>
        <w:tab/>
        <w:t>أهمية الشفافية في عملية التعديل؛</w:t>
      </w:r>
    </w:p>
    <w:p w:rsidR="000A5DEA" w:rsidRPr="00D33EF0" w:rsidRDefault="000A5DEA" w:rsidP="000A5DEA">
      <w:pPr>
        <w:kinsoku w:val="0"/>
        <w:overflowPunct w:val="0"/>
        <w:autoSpaceDE w:val="0"/>
        <w:autoSpaceDN w:val="0"/>
        <w:spacing w:after="100" w:line="204" w:lineRule="auto"/>
        <w:ind w:firstLine="720"/>
        <w:rPr>
          <w:rtl/>
        </w:rPr>
      </w:pPr>
      <w:r w:rsidRPr="00D33EF0">
        <w:rPr>
          <w:rtl/>
        </w:rPr>
        <w:t>(ه)</w:t>
      </w:r>
      <w:r w:rsidRPr="00D33EF0">
        <w:rPr>
          <w:rtl/>
        </w:rPr>
        <w:tab/>
        <w:t>فرص استخدام طرائق فعالة من حيث التكلفة؛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(و)</w:t>
      </w:r>
      <w:r w:rsidRPr="00D33EF0">
        <w:rPr>
          <w:rtl/>
        </w:rPr>
        <w:tab/>
        <w:t xml:space="preserve">الحاجة إلى الاحتفاظ بسجل للمعلومات المتعلقة </w:t>
      </w:r>
      <w:r w:rsidRPr="00D33EF0">
        <w:rPr>
          <w:rFonts w:hint="cs"/>
          <w:rtl/>
        </w:rPr>
        <w:t>بأي</w:t>
      </w:r>
      <w:r w:rsidRPr="00D33EF0">
        <w:rPr>
          <w:rtl/>
        </w:rPr>
        <w:t xml:space="preserve"> مناطق بحرية 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سبق وصفها وعُدِّلت أو حُذفت من المستودع.</w:t>
      </w:r>
    </w:p>
    <w:p w:rsidR="000A5DEA" w:rsidRPr="005C478D" w:rsidRDefault="000A5DEA" w:rsidP="005C478D">
      <w:pPr>
        <w:jc w:val="center"/>
        <w:rPr>
          <w:b/>
          <w:bCs/>
          <w:snapToGrid w:val="0"/>
          <w:kern w:val="22"/>
          <w:sz w:val="24"/>
        </w:rPr>
      </w:pPr>
      <w:bookmarkStart w:id="94" w:name="_Toc524295505"/>
      <w:bookmarkStart w:id="95" w:name="_Toc6071586"/>
      <w:r w:rsidRPr="005C478D">
        <w:rPr>
          <w:b/>
          <w:bCs/>
          <w:sz w:val="24"/>
          <w:rtl/>
        </w:rPr>
        <w:t>ثانيا-</w:t>
      </w:r>
      <w:r w:rsidRPr="005C478D">
        <w:rPr>
          <w:b/>
          <w:bCs/>
          <w:sz w:val="24"/>
          <w:rtl/>
        </w:rPr>
        <w:tab/>
        <w:t>وصف المناطق الجديدة التي تستوفي معايير المناطق البحرية المهمة إيكولوجيا</w:t>
      </w:r>
      <w:r w:rsidRPr="005C478D">
        <w:rPr>
          <w:rFonts w:hint="cs"/>
          <w:b/>
          <w:bCs/>
          <w:sz w:val="24"/>
          <w:rtl/>
        </w:rPr>
        <w:t>ً</w:t>
      </w:r>
      <w:r w:rsidRPr="005C478D">
        <w:rPr>
          <w:b/>
          <w:bCs/>
          <w:sz w:val="24"/>
          <w:rtl/>
        </w:rPr>
        <w:t xml:space="preserve"> أو بيولوجيا</w:t>
      </w:r>
      <w:r w:rsidRPr="005C478D">
        <w:rPr>
          <w:rFonts w:hint="cs"/>
          <w:b/>
          <w:bCs/>
          <w:sz w:val="24"/>
          <w:rtl/>
        </w:rPr>
        <w:t>ً</w:t>
      </w:r>
      <w:bookmarkEnd w:id="94"/>
      <w:bookmarkEnd w:id="95"/>
    </w:p>
    <w:p w:rsidR="000A5DEA" w:rsidRPr="005C478D" w:rsidRDefault="000A5DEA" w:rsidP="005C478D">
      <w:pPr>
        <w:ind w:left="2520" w:hanging="900"/>
        <w:jc w:val="left"/>
        <w:rPr>
          <w:b/>
          <w:bCs/>
          <w:snapToGrid w:val="0"/>
          <w:kern w:val="22"/>
          <w:sz w:val="24"/>
          <w:rtl/>
        </w:rPr>
      </w:pPr>
      <w:bookmarkStart w:id="96" w:name="_Toc524295506"/>
      <w:bookmarkStart w:id="97" w:name="_Toc6071587"/>
      <w:r w:rsidRPr="005C478D">
        <w:rPr>
          <w:b/>
          <w:bCs/>
          <w:sz w:val="24"/>
          <w:rtl/>
        </w:rPr>
        <w:t>ألف-</w:t>
      </w:r>
      <w:r w:rsidRPr="005C478D">
        <w:rPr>
          <w:b/>
          <w:bCs/>
          <w:sz w:val="24"/>
          <w:rtl/>
        </w:rPr>
        <w:tab/>
        <w:t>الجهات الفاعلة التي يمكنها الشروع في وصف مناطق جديدة تستوفي معايير المناطق البحرية المهمة إيكولوجيا</w:t>
      </w:r>
      <w:r w:rsidRPr="005C478D">
        <w:rPr>
          <w:rFonts w:hint="cs"/>
          <w:b/>
          <w:bCs/>
          <w:sz w:val="24"/>
          <w:rtl/>
        </w:rPr>
        <w:t>ً</w:t>
      </w:r>
      <w:r w:rsidRPr="005C478D">
        <w:rPr>
          <w:b/>
          <w:bCs/>
          <w:sz w:val="24"/>
          <w:rtl/>
        </w:rPr>
        <w:t xml:space="preserve"> أو بيولوجيا</w:t>
      </w:r>
      <w:r w:rsidRPr="005C478D">
        <w:rPr>
          <w:rFonts w:hint="cs"/>
          <w:b/>
          <w:bCs/>
          <w:snapToGrid w:val="0"/>
          <w:kern w:val="22"/>
          <w:sz w:val="24"/>
          <w:rtl/>
        </w:rPr>
        <w:t>ً</w:t>
      </w:r>
      <w:bookmarkEnd w:id="96"/>
      <w:bookmarkEnd w:id="97"/>
    </w:p>
    <w:p w:rsidR="000A5DEA" w:rsidRPr="00D33EF0" w:rsidRDefault="000A5DEA" w:rsidP="00CD26C5">
      <w:pPr>
        <w:numPr>
          <w:ilvl w:val="0"/>
          <w:numId w:val="128"/>
        </w:numPr>
        <w:spacing w:after="100" w:line="204" w:lineRule="auto"/>
        <w:ind w:left="4" w:firstLine="0"/>
        <w:rPr>
          <w:snapToGrid w:val="0"/>
          <w:kern w:val="22"/>
          <w:rtl/>
        </w:rPr>
      </w:pPr>
      <w:r w:rsidRPr="00D33EF0">
        <w:rPr>
          <w:rtl/>
        </w:rPr>
        <w:t>تستطيع الجهات الفاعلة التالية الشروع في وصف المناطق الجديدة التي تستوفي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D33EF0" w:rsidRDefault="000A5DEA" w:rsidP="000A5DEA">
      <w:pPr>
        <w:kinsoku w:val="0"/>
        <w:overflowPunct w:val="0"/>
        <w:autoSpaceDE w:val="0"/>
        <w:autoSpaceDN w:val="0"/>
        <w:spacing w:after="100" w:line="204" w:lineRule="auto"/>
        <w:ind w:firstLine="720"/>
        <w:rPr>
          <w:snapToGrid w:val="0"/>
          <w:kern w:val="22"/>
        </w:rPr>
      </w:pPr>
      <w:r w:rsidRPr="00D33EF0">
        <w:rPr>
          <w:rtl/>
        </w:rPr>
        <w:t>(أ)</w:t>
      </w:r>
      <w:r w:rsidRPr="00D33EF0">
        <w:rPr>
          <w:rtl/>
        </w:rPr>
        <w:tab/>
        <w:t>داخل نطاق الولاية الوطنية</w:t>
      </w:r>
      <w:r>
        <w:rPr>
          <w:rFonts w:hint="cs"/>
          <w:rtl/>
        </w:rPr>
        <w:t xml:space="preserve"> للدولة</w:t>
      </w:r>
      <w:r w:rsidRPr="00D33EF0">
        <w:rPr>
          <w:rtl/>
        </w:rPr>
        <w:t xml:space="preserve">: الدولة </w:t>
      </w:r>
      <w:r>
        <w:rPr>
          <w:rFonts w:hint="cs"/>
          <w:rtl/>
        </w:rPr>
        <w:t>(الدول) (</w:t>
      </w:r>
      <w:r>
        <w:rPr>
          <w:rtl/>
        </w:rPr>
        <w:t>الساحلية</w:t>
      </w:r>
      <w:r>
        <w:rPr>
          <w:rFonts w:hint="cs"/>
          <w:rtl/>
        </w:rPr>
        <w:t xml:space="preserve">، أو الأرخبيلية) </w:t>
      </w:r>
      <w:r w:rsidRPr="00D33EF0">
        <w:rPr>
          <w:rtl/>
        </w:rPr>
        <w:t xml:space="preserve">التي </w:t>
      </w:r>
      <w:r>
        <w:rPr>
          <w:rFonts w:hint="cs"/>
          <w:rtl/>
        </w:rPr>
        <w:t>يقع الوصف الجديد المقترح في</w:t>
      </w:r>
      <w:r w:rsidRPr="00D33EF0">
        <w:rPr>
          <w:rtl/>
        </w:rPr>
        <w:t xml:space="preserve"> ولاي</w:t>
      </w:r>
      <w:r>
        <w:rPr>
          <w:rFonts w:hint="cs"/>
          <w:rtl/>
        </w:rPr>
        <w:t>تها</w:t>
      </w:r>
      <w:r w:rsidRPr="00D33EF0">
        <w:rPr>
          <w:rtl/>
        </w:rPr>
        <w:t xml:space="preserve"> </w:t>
      </w:r>
      <w:r>
        <w:rPr>
          <w:rFonts w:hint="cs"/>
          <w:rtl/>
        </w:rPr>
        <w:t>ال</w:t>
      </w:r>
      <w:r>
        <w:rPr>
          <w:rtl/>
        </w:rPr>
        <w:t>قضائية</w:t>
      </w:r>
      <w:r>
        <w:rPr>
          <w:rFonts w:hint="cs"/>
          <w:rtl/>
        </w:rPr>
        <w:t>، [بالتعاون مع] [مع تشجيع المشاورات، وبالتعاون مع، حسب الاقتضاء، وبما في ذلك إخطار من الأمينة التنفيذية إلى] الدول الأخرى</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lastRenderedPageBreak/>
        <w:t>(ب)</w:t>
      </w:r>
      <w:r w:rsidRPr="00D33EF0">
        <w:rPr>
          <w:rtl/>
        </w:rPr>
        <w:tab/>
        <w:t>داخل نطاق الولاية الوطنية لدول متعددة: الدول</w:t>
      </w:r>
      <w:r>
        <w:rPr>
          <w:rFonts w:hint="cs"/>
          <w:rtl/>
        </w:rPr>
        <w:t>ة (الدول)</w:t>
      </w:r>
      <w:r w:rsidRPr="00D33EF0">
        <w:rPr>
          <w:rtl/>
        </w:rPr>
        <w:t xml:space="preserve"> </w:t>
      </w:r>
      <w:r>
        <w:rPr>
          <w:rFonts w:hint="cs"/>
          <w:rtl/>
        </w:rPr>
        <w:t>(</w:t>
      </w:r>
      <w:r>
        <w:rPr>
          <w:rtl/>
        </w:rPr>
        <w:t>الساحلية</w:t>
      </w:r>
      <w:r>
        <w:rPr>
          <w:rFonts w:hint="cs"/>
          <w:rtl/>
        </w:rPr>
        <w:t xml:space="preserve"> أو الأرخبيلية) </w:t>
      </w:r>
      <w:r w:rsidRPr="00D33EF0">
        <w:rPr>
          <w:rtl/>
        </w:rPr>
        <w:t xml:space="preserve">التي يقع الوصف </w:t>
      </w:r>
      <w:r>
        <w:rPr>
          <w:rFonts w:hint="cs"/>
          <w:rtl/>
        </w:rPr>
        <w:t xml:space="preserve">الجديد </w:t>
      </w:r>
      <w:r w:rsidRPr="00D33EF0">
        <w:rPr>
          <w:rtl/>
        </w:rPr>
        <w:t>المقترح ضمن ولايتها القضائية</w:t>
      </w:r>
      <w:r>
        <w:rPr>
          <w:rFonts w:hint="cs"/>
          <w:rtl/>
        </w:rPr>
        <w:t>، [بالتعاون مع] [مع تشجيع المشاورات، وبالتعاون مع، حسب الاقتضاء، وبما في ذلك إخطار من الأمينة التنفيذية إلى] الدول الأخرى</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t>(ج)</w:t>
      </w:r>
      <w:r w:rsidRPr="00D33EF0">
        <w:rPr>
          <w:rtl/>
        </w:rPr>
        <w:tab/>
      </w:r>
      <w:r>
        <w:rPr>
          <w:rFonts w:hint="cs"/>
          <w:rtl/>
        </w:rPr>
        <w:t>[</w:t>
      </w:r>
      <w:r w:rsidRPr="00D33EF0">
        <w:rPr>
          <w:rtl/>
        </w:rPr>
        <w:t xml:space="preserve">في المناطق الواقعة خارج نطاق الولاية الوطنية: أي دولة و/أو منظمة حكومية دولية مختصة، مع توجيه إشعار لجميع الدول، </w:t>
      </w:r>
      <w:r>
        <w:rPr>
          <w:rFonts w:hint="cs"/>
          <w:rtl/>
        </w:rPr>
        <w:t>بما في ذلك إخطار من الأمينة التنفيذية، [</w:t>
      </w:r>
      <w:r w:rsidRPr="00D33EF0">
        <w:rPr>
          <w:rtl/>
        </w:rPr>
        <w:t xml:space="preserve">دون </w:t>
      </w:r>
      <w:r w:rsidRPr="00D33EF0">
        <w:rPr>
          <w:rFonts w:hint="cs"/>
          <w:rtl/>
        </w:rPr>
        <w:t>ال</w:t>
      </w:r>
      <w:r w:rsidRPr="00D33EF0">
        <w:rPr>
          <w:rtl/>
        </w:rPr>
        <w:t xml:space="preserve">مساس بالتطورات في </w:t>
      </w:r>
      <w:r>
        <w:rPr>
          <w:rFonts w:hint="cs"/>
          <w:rtl/>
        </w:rPr>
        <w:t>إطار اتفاقية الأمم المتحدة لقانون البحار]]</w:t>
      </w:r>
      <w:r w:rsidRPr="00D33EF0">
        <w:rPr>
          <w:rtl/>
        </w:rPr>
        <w:t>؛</w:t>
      </w:r>
    </w:p>
    <w:p w:rsidR="000A5DEA" w:rsidRPr="00D33EF0" w:rsidRDefault="000A5DEA" w:rsidP="000A5DEA">
      <w:pPr>
        <w:kinsoku w:val="0"/>
        <w:overflowPunct w:val="0"/>
        <w:autoSpaceDE w:val="0"/>
        <w:autoSpaceDN w:val="0"/>
        <w:spacing w:after="100" w:line="204" w:lineRule="auto"/>
        <w:ind w:firstLine="720"/>
        <w:rPr>
          <w:snapToGrid w:val="0"/>
          <w:kern w:val="22"/>
          <w:rtl/>
        </w:rPr>
      </w:pPr>
      <w:r w:rsidRPr="00D33EF0">
        <w:rPr>
          <w:rtl/>
        </w:rPr>
        <w:t>(د)</w:t>
      </w:r>
      <w:r w:rsidRPr="00D33EF0">
        <w:rPr>
          <w:rtl/>
        </w:rPr>
        <w:tab/>
      </w:r>
      <w:r>
        <w:rPr>
          <w:rFonts w:hint="cs"/>
          <w:rtl/>
        </w:rPr>
        <w:t>بالنسبة ل</w:t>
      </w:r>
      <w:r w:rsidRPr="00D33EF0">
        <w:rPr>
          <w:rtl/>
        </w:rPr>
        <w:t xml:space="preserve">لمناطق الواقعة داخل وخارج نطاق الولاية الوطنية: الدولة </w:t>
      </w:r>
      <w:r>
        <w:rPr>
          <w:rFonts w:hint="cs"/>
          <w:rtl/>
        </w:rPr>
        <w:t>(الدول) (الساحلية أو الأرخبيلية) التي لديها ولاية قضائية على المنطقة التي يقترح فيها الوصف الجديد، [بالتعاون مع الدول المعنية] [مع تشجيع المشاورات، وبالتعاون مع، حسب الاقتضاء، وبما في ذلك إخطار من الأمينة التنفيذية إلى الدول المعنية]؛ فضلا عن الأوصاف الجديدة المقترحة في مناطق الواقعة خارج نطاق الولاية الوطنية، أي دولة و/أو منظمة حكومية دولية مختصة، حسب الاقتضاء، بشرط إخطار مسبق إلى جميع الدول.</w:t>
      </w:r>
    </w:p>
    <w:p w:rsidR="000A5DEA" w:rsidRPr="005C478D" w:rsidRDefault="000A5DEA" w:rsidP="005C478D">
      <w:pPr>
        <w:ind w:left="2070" w:right="990" w:hanging="900"/>
        <w:jc w:val="left"/>
        <w:rPr>
          <w:b/>
          <w:bCs/>
          <w:snapToGrid w:val="0"/>
          <w:kern w:val="22"/>
          <w:rtl/>
        </w:rPr>
      </w:pPr>
      <w:bookmarkStart w:id="98" w:name="_Toc524295507"/>
      <w:bookmarkStart w:id="99" w:name="_Toc6071588"/>
      <w:r w:rsidRPr="005C478D">
        <w:rPr>
          <w:b/>
          <w:bCs/>
          <w:rtl/>
        </w:rPr>
        <w:t>باء-</w:t>
      </w:r>
      <w:r w:rsidRPr="005C478D">
        <w:rPr>
          <w:b/>
          <w:bCs/>
          <w:rtl/>
        </w:rPr>
        <w:tab/>
        <w:t>طرائق الاضطلاع بوصف المناطق الجديدة التي تستوفي معايير المناطق البحرية المهمة إيكولوجيا</w:t>
      </w:r>
      <w:r w:rsidRPr="005C478D">
        <w:rPr>
          <w:rFonts w:hint="cs"/>
          <w:b/>
          <w:bCs/>
          <w:rtl/>
        </w:rPr>
        <w:t>ً</w:t>
      </w:r>
      <w:r w:rsidRPr="005C478D">
        <w:rPr>
          <w:b/>
          <w:bCs/>
          <w:rtl/>
        </w:rPr>
        <w:t xml:space="preserve"> أو بيولوجيا</w:t>
      </w:r>
      <w:r w:rsidRPr="005C478D">
        <w:rPr>
          <w:rFonts w:hint="cs"/>
          <w:b/>
          <w:bCs/>
          <w:rtl/>
        </w:rPr>
        <w:t>ً</w:t>
      </w:r>
      <w:bookmarkEnd w:id="98"/>
      <w:bookmarkEnd w:id="99"/>
    </w:p>
    <w:p w:rsidR="000A5DEA" w:rsidRDefault="000A5DEA" w:rsidP="00CD26C5">
      <w:pPr>
        <w:numPr>
          <w:ilvl w:val="0"/>
          <w:numId w:val="128"/>
        </w:numPr>
        <w:spacing w:after="100" w:line="204" w:lineRule="auto"/>
        <w:ind w:left="4" w:firstLine="0"/>
        <w:rPr>
          <w:snapToGrid w:val="0"/>
          <w:kern w:val="22"/>
        </w:rPr>
      </w:pPr>
      <w:r w:rsidRPr="00D33EF0">
        <w:rPr>
          <w:rtl/>
        </w:rPr>
        <w:t>يرد وصف للعمليات الوطنية لوصف المناطق الجديدة التي تستوفي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في القسم الفرعي جيم من القسم الثالث أدناه</w:t>
      </w:r>
      <w:r>
        <w:rPr>
          <w:rFonts w:hint="cs"/>
          <w:snapToGrid w:val="0"/>
          <w:kern w:val="22"/>
          <w:rtl/>
        </w:rPr>
        <w:t>.</w:t>
      </w:r>
    </w:p>
    <w:p w:rsidR="000A5DEA" w:rsidRPr="00553A7B" w:rsidRDefault="000A5DEA" w:rsidP="00CD26C5">
      <w:pPr>
        <w:numPr>
          <w:ilvl w:val="0"/>
          <w:numId w:val="128"/>
        </w:numPr>
        <w:spacing w:after="100" w:line="204" w:lineRule="auto"/>
        <w:ind w:left="4" w:firstLine="0"/>
        <w:rPr>
          <w:snapToGrid w:val="0"/>
          <w:kern w:val="22"/>
        </w:rPr>
      </w:pPr>
      <w:r>
        <w:rPr>
          <w:rFonts w:hint="cs"/>
          <w:snapToGrid w:val="0"/>
          <w:kern w:val="22"/>
          <w:rtl/>
        </w:rPr>
        <w:t>وبالنسبة لجميع العمليات لإعداد أوصاف لمناطق بحرية جديدة مهمة إيكولوجيا أو بيولوجيا، فيما يلي الطرائق التالية إلتي يسرتها الأمانة، من خلال عملية تعاونية:</w:t>
      </w:r>
    </w:p>
    <w:p w:rsidR="000A5DEA" w:rsidRPr="00D33EF0" w:rsidRDefault="000A5DEA" w:rsidP="000A5DEA">
      <w:pPr>
        <w:kinsoku w:val="0"/>
        <w:overflowPunct w:val="0"/>
        <w:autoSpaceDE w:val="0"/>
        <w:autoSpaceDN w:val="0"/>
        <w:spacing w:after="100" w:line="204" w:lineRule="auto"/>
        <w:ind w:firstLine="720"/>
      </w:pPr>
      <w:r w:rsidRPr="00D33EF0">
        <w:rPr>
          <w:rtl/>
        </w:rPr>
        <w:t>(أ)</w:t>
      </w:r>
      <w:r w:rsidRPr="00D33EF0">
        <w:rPr>
          <w:rtl/>
        </w:rPr>
        <w:tab/>
        <w:t>تقدَّم المعلومات الجديدة (باستخدام نموذج وصف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في أي وقت، إلى الأمانة؛</w:t>
      </w:r>
    </w:p>
    <w:p w:rsidR="000A5DEA" w:rsidRPr="00D33EF0" w:rsidRDefault="000A5DEA" w:rsidP="000A5DEA">
      <w:pPr>
        <w:kinsoku w:val="0"/>
        <w:overflowPunct w:val="0"/>
        <w:autoSpaceDE w:val="0"/>
        <w:autoSpaceDN w:val="0"/>
        <w:spacing w:after="100" w:line="204" w:lineRule="auto"/>
        <w:ind w:firstLine="720"/>
        <w:rPr>
          <w:rtl/>
        </w:rPr>
      </w:pPr>
      <w:r w:rsidRPr="002D0911">
        <w:rPr>
          <w:rtl/>
        </w:rPr>
        <w:t>(ب)</w:t>
      </w:r>
      <w:r w:rsidRPr="002D0911">
        <w:rPr>
          <w:rtl/>
        </w:rPr>
        <w:tab/>
        <w:t>ت</w:t>
      </w:r>
      <w:r>
        <w:rPr>
          <w:rFonts w:hint="cs"/>
          <w:rtl/>
        </w:rPr>
        <w:t>خطر</w:t>
      </w:r>
      <w:r w:rsidRPr="002D0911">
        <w:rPr>
          <w:rtl/>
        </w:rPr>
        <w:t xml:space="preserve"> الأمانة</w:t>
      </w:r>
      <w:r>
        <w:rPr>
          <w:rFonts w:hint="cs"/>
          <w:rtl/>
        </w:rPr>
        <w:t>، من خلال إخطارات اتفاقية التنوع البيولوجي والموقع الشبكي للمناطق البحرية المهمة إيكولوجيا أو بيولوجيا، تخطر الأطراف، والحكومات الأخرى، والمنظمات الحكومية الدولية المختصة والفريق الاستشاري غير الرسمي المعني بالمناطق البحرية المهمة إيكولوجيا أو بيولوجيا، بأي مقترحات لوصف مناطق جديدة؛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(ج)</w:t>
      </w:r>
      <w:r w:rsidRPr="00D33EF0">
        <w:rPr>
          <w:rtl/>
        </w:rPr>
        <w:tab/>
      </w:r>
      <w:r>
        <w:rPr>
          <w:rFonts w:hint="cs"/>
          <w:rtl/>
        </w:rPr>
        <w:t>وتمشيا مع المرففق الثالث للمقرر 13/2، استنادا إلى الإرشادات التي أعدها الفريق الاستشاري غير الرسمي المعني بالمناطق البحرية المهمة إيكولوجيا أو بيولوجيا، تستعرض الأمينة التنفيذية المقترحات وتنظم، بالتعاون مع الأطراف والحكومات الأخرى، حسب الاقتضاء، حلقات عمل إقليمية جديدة.</w:t>
      </w:r>
      <w:r w:rsidRPr="00D33EF0">
        <w:rPr>
          <w:rtl/>
        </w:rPr>
        <w:t xml:space="preserve"> ويمكن أن يؤدي إجراء تحليل علمي للثغرات إلى إثراء عملية الاستعراض هذه وتحديد الحاجة إلى إجراء تحليل مواضيعي، وهو ما يمكن أن يكون مكملا لحلقات العمل الإقليمية؛</w:t>
      </w:r>
    </w:p>
    <w:p w:rsidR="000A5DEA" w:rsidRPr="00CF430E" w:rsidRDefault="000A5DEA" w:rsidP="000A5DEA">
      <w:pPr>
        <w:kinsoku w:val="0"/>
        <w:overflowPunct w:val="0"/>
        <w:autoSpaceDE w:val="0"/>
        <w:autoSpaceDN w:val="0"/>
        <w:spacing w:after="100" w:line="204" w:lineRule="auto"/>
        <w:ind w:firstLine="720"/>
      </w:pPr>
      <w:r w:rsidRPr="00D33EF0">
        <w:rPr>
          <w:rtl/>
        </w:rPr>
        <w:t>(د)</w:t>
      </w:r>
      <w:r w:rsidRPr="00D33EF0">
        <w:rPr>
          <w:rtl/>
        </w:rPr>
        <w:tab/>
        <w:t>يتبع وصف مناطق جديدة من خلال حلقات عمل إقليمية عملية التقديم الحالية إلى الهيئة الفرعية للمشورة العلمية والتقنية والتكنولوجية ومؤتمر الأطراف للنظر فيه وإمكانية إدراجه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p>
    <w:p w:rsidR="000A5DEA" w:rsidRPr="005C478D" w:rsidRDefault="000A5DEA" w:rsidP="005C478D">
      <w:pPr>
        <w:ind w:left="1980" w:right="1080" w:hanging="1080"/>
        <w:jc w:val="left"/>
        <w:rPr>
          <w:b/>
          <w:bCs/>
          <w:snapToGrid w:val="0"/>
          <w:kern w:val="22"/>
          <w:rtl/>
        </w:rPr>
      </w:pPr>
      <w:bookmarkStart w:id="100" w:name="_Toc524295508"/>
      <w:bookmarkStart w:id="101" w:name="_Toc6071589"/>
      <w:r w:rsidRPr="005C478D">
        <w:rPr>
          <w:b/>
          <w:bCs/>
          <w:rtl/>
        </w:rPr>
        <w:t>جيم-</w:t>
      </w:r>
      <w:r w:rsidRPr="005C478D">
        <w:rPr>
          <w:b/>
          <w:bCs/>
          <w:rtl/>
        </w:rPr>
        <w:tab/>
        <w:t>الاعتبارات الرئيسية لوصف المناطق الجديدة التي تستوفي معايير المناطق البحرية المهمة إيكولوجيا</w:t>
      </w:r>
      <w:r w:rsidRPr="005C478D">
        <w:rPr>
          <w:rFonts w:hint="cs"/>
          <w:b/>
          <w:bCs/>
          <w:rtl/>
        </w:rPr>
        <w:t>ً</w:t>
      </w:r>
      <w:r w:rsidRPr="005C478D">
        <w:rPr>
          <w:b/>
          <w:bCs/>
          <w:rtl/>
        </w:rPr>
        <w:t xml:space="preserve"> أو بيولوجيا</w:t>
      </w:r>
      <w:r w:rsidRPr="005C478D">
        <w:rPr>
          <w:rFonts w:hint="cs"/>
          <w:b/>
          <w:bCs/>
          <w:snapToGrid w:val="0"/>
          <w:kern w:val="22"/>
          <w:rtl/>
        </w:rPr>
        <w:t>ً</w:t>
      </w:r>
      <w:bookmarkEnd w:id="100"/>
      <w:bookmarkEnd w:id="101"/>
    </w:p>
    <w:p w:rsidR="000A5DEA" w:rsidRPr="00D33EF0" w:rsidRDefault="000A5DEA" w:rsidP="00CD26C5">
      <w:pPr>
        <w:numPr>
          <w:ilvl w:val="0"/>
          <w:numId w:val="128"/>
        </w:numPr>
        <w:spacing w:after="100" w:line="204" w:lineRule="auto"/>
        <w:ind w:left="4" w:firstLine="0"/>
        <w:rPr>
          <w:snapToGrid w:val="0"/>
          <w:kern w:val="22"/>
          <w:rtl/>
        </w:rPr>
      </w:pPr>
      <w:r w:rsidRPr="00D33EF0">
        <w:rPr>
          <w:rtl/>
        </w:rPr>
        <w:t>ينبغي مراعاة الاعتبارات التالية:</w:t>
      </w:r>
    </w:p>
    <w:p w:rsidR="000A5DEA" w:rsidRPr="00D33EF0" w:rsidRDefault="000A5DEA" w:rsidP="000A5DEA">
      <w:pPr>
        <w:kinsoku w:val="0"/>
        <w:overflowPunct w:val="0"/>
        <w:autoSpaceDE w:val="0"/>
        <w:autoSpaceDN w:val="0"/>
        <w:spacing w:after="100" w:line="204" w:lineRule="auto"/>
        <w:ind w:firstLine="720"/>
      </w:pPr>
      <w:r w:rsidRPr="00D33EF0">
        <w:rPr>
          <w:rtl/>
        </w:rPr>
        <w:t>(أ)</w:t>
      </w:r>
      <w:r w:rsidRPr="00D33EF0">
        <w:rPr>
          <w:rtl/>
        </w:rPr>
        <w:tab/>
        <w:t xml:space="preserve">ينبغي إبلاغ الأطراف والحكومات الأخرى، وكذلك المنظمات الحكومية الدولية المختصة، </w:t>
      </w:r>
      <w:r w:rsidRPr="00D33EF0">
        <w:rPr>
          <w:rFonts w:hint="cs"/>
          <w:rtl/>
        </w:rPr>
        <w:t>بأي</w:t>
      </w:r>
      <w:r w:rsidRPr="00D33EF0">
        <w:rPr>
          <w:rtl/>
        </w:rPr>
        <w:t xml:space="preserve"> تقديم للمقترحات لوصف المناطق الجديدة من خلال إخطار من اتفاقية التنوع البيولوجي والموقع الشبكي للمناطق البحر</w:t>
      </w:r>
      <w:r>
        <w:rPr>
          <w:rtl/>
        </w:rPr>
        <w:t>ية المهمة إيكولوجيا أو بيولوجيا</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lastRenderedPageBreak/>
        <w:t>(ب)</w:t>
      </w:r>
      <w:r w:rsidRPr="00D33EF0">
        <w:rPr>
          <w:rtl/>
        </w:rPr>
        <w:tab/>
        <w:t xml:space="preserve">أهمية إدماج المعارف </w:t>
      </w:r>
      <w:r w:rsidRPr="00D33EF0">
        <w:rPr>
          <w:rFonts w:hint="cs"/>
          <w:rtl/>
        </w:rPr>
        <w:t>التقليدية</w:t>
      </w:r>
      <w:r w:rsidRPr="00D33EF0">
        <w:rPr>
          <w:rtl/>
        </w:rPr>
        <w:t xml:space="preserve"> في عملية وصف المناطق الجديدة وضمان المشاركة الكاملة والفعالة للشعوب الأصلية والمجتمعات المحلية</w:t>
      </w:r>
      <w:r>
        <w:rPr>
          <w:rFonts w:hint="cs"/>
          <w:rtl/>
        </w:rPr>
        <w:t>، حسب الاقتضاء، ووفقا للقانون الوطني المحلي والالتزامات الدولية</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t>(ج)</w:t>
      </w:r>
      <w:r w:rsidRPr="00D33EF0">
        <w:rPr>
          <w:rtl/>
        </w:rPr>
        <w:tab/>
        <w:t xml:space="preserve">الحاجة إلى قاعدة علمية وتقنية قوية </w:t>
      </w:r>
      <w:r w:rsidRPr="00D33EF0">
        <w:rPr>
          <w:rFonts w:hint="cs"/>
          <w:rtl/>
        </w:rPr>
        <w:t>لأي</w:t>
      </w:r>
      <w:r w:rsidRPr="00D33EF0">
        <w:rPr>
          <w:rtl/>
        </w:rPr>
        <w:t xml:space="preserve"> مقترح جديد؛</w:t>
      </w:r>
    </w:p>
    <w:p w:rsidR="000A5DEA" w:rsidRPr="00D33EF0" w:rsidRDefault="000A5DEA" w:rsidP="000A5DEA">
      <w:pPr>
        <w:kinsoku w:val="0"/>
        <w:overflowPunct w:val="0"/>
        <w:autoSpaceDE w:val="0"/>
        <w:autoSpaceDN w:val="0"/>
        <w:spacing w:after="100" w:line="204" w:lineRule="auto"/>
        <w:ind w:firstLine="720"/>
        <w:rPr>
          <w:rtl/>
        </w:rPr>
      </w:pPr>
      <w:r w:rsidRPr="00D33EF0">
        <w:rPr>
          <w:rtl/>
        </w:rPr>
        <w:t>(د)</w:t>
      </w:r>
      <w:r w:rsidRPr="00D33EF0">
        <w:rPr>
          <w:rtl/>
        </w:rPr>
        <w:tab/>
        <w:t>أهمية الشفافية في عملية وصف المناطق الجديدة؛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(ه)</w:t>
      </w:r>
      <w:r w:rsidRPr="00D33EF0">
        <w:rPr>
          <w:rtl/>
        </w:rPr>
        <w:tab/>
        <w:t>فرص استخدام طرائق فعالة من حيث التكلفة؛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(و)</w:t>
      </w:r>
      <w:r w:rsidRPr="00D33EF0">
        <w:rPr>
          <w:rtl/>
        </w:rPr>
        <w:tab/>
        <w:t>ينبغي مراعاة الفروق الإق</w:t>
      </w:r>
      <w:r>
        <w:rPr>
          <w:rFonts w:hint="cs"/>
          <w:rtl/>
        </w:rPr>
        <w:t>ا</w:t>
      </w:r>
      <w:r w:rsidRPr="00D33EF0">
        <w:rPr>
          <w:rtl/>
        </w:rPr>
        <w:t>ليمية في توافر البيانات والجهود البحثية عند وصف مناطق بحرية 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جديدة.</w:t>
      </w:r>
    </w:p>
    <w:p w:rsidR="000A5DEA" w:rsidRPr="005C478D" w:rsidRDefault="000A5DEA" w:rsidP="005C478D">
      <w:pPr>
        <w:pStyle w:val="Heading1longmultiline"/>
        <w:keepNext w:val="0"/>
        <w:tabs>
          <w:tab w:val="clear" w:pos="720"/>
        </w:tabs>
        <w:kinsoku w:val="0"/>
        <w:overflowPunct w:val="0"/>
        <w:autoSpaceDE w:val="0"/>
        <w:autoSpaceDN w:val="0"/>
        <w:bidi/>
        <w:spacing w:before="0" w:after="100" w:line="204" w:lineRule="auto"/>
        <w:ind w:left="1440" w:hanging="720"/>
        <w:jc w:val="both"/>
        <w:outlineLvl w:val="9"/>
        <w:rPr>
          <w:rFonts w:cs="Simplified Arabic"/>
          <w:snapToGrid w:val="0"/>
          <w:kern w:val="22"/>
          <w:szCs w:val="24"/>
          <w:rtl/>
          <w:lang w:bidi="ar-EG"/>
        </w:rPr>
      </w:pPr>
      <w:bookmarkStart w:id="102" w:name="_Toc524295509"/>
      <w:bookmarkStart w:id="103" w:name="_Toc6071590"/>
      <w:r w:rsidRPr="005C478D">
        <w:rPr>
          <w:rFonts w:cs="Simplified Arabic"/>
          <w:b w:val="0"/>
          <w:bCs/>
          <w:szCs w:val="24"/>
          <w:rtl/>
          <w:lang w:bidi="ar-EG"/>
        </w:rPr>
        <w:t>ثالثا-</w:t>
      </w:r>
      <w:r w:rsidRPr="005C478D">
        <w:rPr>
          <w:rFonts w:cs="Simplified Arabic"/>
          <w:b w:val="0"/>
          <w:bCs/>
          <w:szCs w:val="24"/>
          <w:rtl/>
          <w:lang w:bidi="ar-EG"/>
        </w:rPr>
        <w:tab/>
        <w:t>خيارات لتعزيز المصداقية العلمية والشفافية لعملية المناطق البحرية المهمة إيكولوجيا</w:t>
      </w:r>
      <w:r w:rsidRPr="005C478D">
        <w:rPr>
          <w:rFonts w:cs="Simplified Arabic" w:hint="cs"/>
          <w:b w:val="0"/>
          <w:bCs/>
          <w:szCs w:val="24"/>
          <w:rtl/>
          <w:lang w:bidi="ar-EG"/>
        </w:rPr>
        <w:t>ً</w:t>
      </w:r>
      <w:r w:rsidRPr="005C478D">
        <w:rPr>
          <w:rFonts w:cs="Simplified Arabic"/>
          <w:b w:val="0"/>
          <w:bCs/>
          <w:szCs w:val="24"/>
          <w:rtl/>
          <w:lang w:bidi="ar-EG"/>
        </w:rPr>
        <w:t xml:space="preserve"> أو بيولوجيا</w:t>
      </w:r>
      <w:bookmarkEnd w:id="102"/>
      <w:bookmarkEnd w:id="103"/>
    </w:p>
    <w:p w:rsidR="000A5DEA" w:rsidRPr="005C478D" w:rsidRDefault="000A5DEA" w:rsidP="005C478D">
      <w:pPr>
        <w:jc w:val="center"/>
        <w:rPr>
          <w:b/>
          <w:bCs/>
          <w:snapToGrid w:val="0"/>
          <w:kern w:val="22"/>
          <w:rtl/>
        </w:rPr>
      </w:pPr>
      <w:bookmarkStart w:id="104" w:name="_Toc524295510"/>
      <w:bookmarkStart w:id="105" w:name="_Toc6071591"/>
      <w:r w:rsidRPr="005C478D">
        <w:rPr>
          <w:b/>
          <w:bCs/>
          <w:rtl/>
        </w:rPr>
        <w:t>ألف-</w:t>
      </w:r>
      <w:r w:rsidRPr="005C478D">
        <w:rPr>
          <w:b/>
          <w:bCs/>
          <w:rtl/>
        </w:rPr>
        <w:tab/>
        <w:t>المصداقية العلمية لعملية المناطق البحرية المهمة إيكولوجيا</w:t>
      </w:r>
      <w:r w:rsidRPr="005C478D">
        <w:rPr>
          <w:rFonts w:hint="cs"/>
          <w:b/>
          <w:bCs/>
          <w:rtl/>
        </w:rPr>
        <w:t>ً</w:t>
      </w:r>
      <w:r w:rsidRPr="005C478D">
        <w:rPr>
          <w:b/>
          <w:bCs/>
          <w:rtl/>
        </w:rPr>
        <w:t xml:space="preserve"> أو بيولوجيا</w:t>
      </w:r>
      <w:r w:rsidRPr="005C478D">
        <w:rPr>
          <w:rFonts w:hint="cs"/>
          <w:b/>
          <w:bCs/>
          <w:snapToGrid w:val="0"/>
          <w:kern w:val="22"/>
          <w:rtl/>
        </w:rPr>
        <w:t>ً</w:t>
      </w:r>
      <w:bookmarkEnd w:id="104"/>
      <w:bookmarkEnd w:id="105"/>
    </w:p>
    <w:p w:rsidR="000A5DEA" w:rsidRPr="00D33EF0" w:rsidRDefault="000A5DEA" w:rsidP="00CD26C5">
      <w:pPr>
        <w:numPr>
          <w:ilvl w:val="0"/>
          <w:numId w:val="128"/>
        </w:numPr>
        <w:spacing w:after="100" w:line="204" w:lineRule="auto"/>
        <w:ind w:left="4" w:firstLine="0"/>
        <w:rPr>
          <w:snapToGrid w:val="0"/>
          <w:kern w:val="22"/>
          <w:rtl/>
        </w:rPr>
      </w:pPr>
      <w:r w:rsidRPr="00D33EF0">
        <w:rPr>
          <w:rtl/>
        </w:rPr>
        <w:t>فيما يتعلق بتعزيز المصداقية العلمية لعملية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يمكن الاضطلاع بما يلي:</w:t>
      </w:r>
    </w:p>
    <w:p w:rsidR="000A5DEA" w:rsidRPr="00D33EF0" w:rsidRDefault="000A5DEA" w:rsidP="000A5DEA">
      <w:pPr>
        <w:kinsoku w:val="0"/>
        <w:overflowPunct w:val="0"/>
        <w:autoSpaceDE w:val="0"/>
        <w:autoSpaceDN w:val="0"/>
        <w:spacing w:after="100" w:line="204" w:lineRule="auto"/>
        <w:ind w:firstLine="720"/>
        <w:rPr>
          <w:rtl/>
        </w:rPr>
      </w:pPr>
      <w:r w:rsidRPr="00D33EF0">
        <w:rPr>
          <w:rtl/>
        </w:rPr>
        <w:t>(أ)</w:t>
      </w:r>
      <w:r w:rsidRPr="00D33EF0">
        <w:rPr>
          <w:rtl/>
        </w:rPr>
        <w:tab/>
        <w:t>تخطيط حلقات العمل بالتعاون مع الفريق الاستشاري غير الرسمي المعني بالمناطق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لضمان توفير المعلومات العلمية والمعارف </w:t>
      </w:r>
      <w:r w:rsidRPr="00D33EF0">
        <w:rPr>
          <w:rFonts w:hint="cs"/>
          <w:rtl/>
        </w:rPr>
        <w:t>[</w:t>
      </w:r>
      <w:r w:rsidRPr="00D33EF0">
        <w:rPr>
          <w:rtl/>
        </w:rPr>
        <w:t>الأصلية والمحلية</w:t>
      </w:r>
      <w:r w:rsidRPr="00D33EF0">
        <w:rPr>
          <w:rFonts w:hint="cs"/>
          <w:rtl/>
        </w:rPr>
        <w:t>] [التقليدية]</w:t>
      </w:r>
      <w:r w:rsidRPr="00D33EF0">
        <w:rPr>
          <w:rtl/>
        </w:rPr>
        <w:t xml:space="preserve"> على نطاقات ملائمة؛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(ب)</w:t>
      </w:r>
      <w:r w:rsidRPr="00D33EF0">
        <w:rPr>
          <w:rtl/>
        </w:rPr>
        <w:tab/>
        <w:t>معالجة أي اختلالات على وجه الخصوص في مجالات الخبرة، بما في ذلك من خلال استكشاف الروابط المحتملة مع مبادرة التصنيف العالمية التابعة لاتفاقية التنوع البيولوجي</w:t>
      </w:r>
      <w:r>
        <w:rPr>
          <w:rFonts w:hint="cs"/>
          <w:rtl/>
        </w:rPr>
        <w:t xml:space="preserve"> والعملية </w:t>
      </w:r>
      <w:r w:rsidRPr="00CF430E">
        <w:rPr>
          <w:rFonts w:ascii="Simplified Arabic" w:hAnsi="Simplified Arabic"/>
          <w:color w:val="000000"/>
          <w:rtl/>
        </w:rPr>
        <w:t xml:space="preserve">المنتظمة </w:t>
      </w:r>
      <w:r>
        <w:rPr>
          <w:rFonts w:ascii="Simplified Arabic" w:hAnsi="Simplified Arabic" w:hint="cs"/>
          <w:color w:val="000000"/>
          <w:rtl/>
        </w:rPr>
        <w:t xml:space="preserve">لجكعية الأمم المتحدة </w:t>
      </w:r>
      <w:r w:rsidRPr="00CF430E">
        <w:rPr>
          <w:rFonts w:ascii="Simplified Arabic" w:hAnsi="Simplified Arabic"/>
          <w:color w:val="000000"/>
          <w:rtl/>
        </w:rPr>
        <w:t>للإبلاغ العالمي عن حالة البيئة البحرية وتقييمها، بما في ذلك الجوانب الاجتماعية والاقتصادية</w:t>
      </w:r>
      <w:r>
        <w:rPr>
          <w:rFonts w:ascii="Simplified Arabic" w:hAnsi="Simplified Arabic" w:hint="cs"/>
          <w:color w:val="000000"/>
          <w:rtl/>
        </w:rPr>
        <w:t>،</w:t>
      </w:r>
      <w:r w:rsidRPr="00D33EF0">
        <w:rPr>
          <w:rtl/>
        </w:rPr>
        <w:t xml:space="preserve"> </w:t>
      </w:r>
      <w:r w:rsidRPr="00D33EF0">
        <w:rPr>
          <w:rFonts w:hint="cs"/>
          <w:rtl/>
        </w:rPr>
        <w:t>وتعزيز الشبكات</w:t>
      </w:r>
      <w:r w:rsidRPr="00D33EF0">
        <w:rPr>
          <w:rtl/>
        </w:rPr>
        <w:t xml:space="preserve"> مع المنظمات الأخرى</w:t>
      </w:r>
      <w:r>
        <w:rPr>
          <w:rFonts w:hint="cs"/>
          <w:rtl/>
        </w:rPr>
        <w:t xml:space="preserve"> ذات الصلة</w:t>
      </w:r>
      <w:r w:rsidRPr="00D33EF0">
        <w:rPr>
          <w:rtl/>
        </w:rPr>
        <w:t>، حسب الاقتضاء.</w:t>
      </w:r>
    </w:p>
    <w:p w:rsidR="000A5DEA" w:rsidRPr="00D33EF0" w:rsidRDefault="000A5DEA" w:rsidP="00CD26C5">
      <w:pPr>
        <w:numPr>
          <w:ilvl w:val="0"/>
          <w:numId w:val="128"/>
        </w:numPr>
        <w:spacing w:after="100" w:line="204" w:lineRule="auto"/>
        <w:ind w:left="4" w:firstLine="0"/>
        <w:rPr>
          <w:snapToGrid w:val="0"/>
          <w:kern w:val="22"/>
          <w:rtl/>
        </w:rPr>
      </w:pPr>
      <w:r w:rsidRPr="00D33EF0">
        <w:rPr>
          <w:rtl/>
        </w:rPr>
        <w:t>وينبغي مراعاة الاعتبارات التالية:</w:t>
      </w:r>
    </w:p>
    <w:p w:rsidR="000A5DEA" w:rsidRPr="00D33EF0" w:rsidRDefault="000A5DEA" w:rsidP="000A5DEA">
      <w:pPr>
        <w:kinsoku w:val="0"/>
        <w:overflowPunct w:val="0"/>
        <w:autoSpaceDE w:val="0"/>
        <w:autoSpaceDN w:val="0"/>
        <w:spacing w:after="100" w:line="204" w:lineRule="auto"/>
        <w:ind w:firstLine="720"/>
      </w:pPr>
      <w:r w:rsidRPr="00D33EF0">
        <w:rPr>
          <w:rtl/>
        </w:rPr>
        <w:t>(أ)</w:t>
      </w:r>
      <w:r w:rsidRPr="00D33EF0">
        <w:rPr>
          <w:rtl/>
        </w:rPr>
        <w:tab/>
      </w:r>
      <w:r w:rsidRPr="00D33EF0">
        <w:rPr>
          <w:rFonts w:hint="cs"/>
          <w:rtl/>
        </w:rPr>
        <w:t>مواصلة</w:t>
      </w:r>
      <w:r w:rsidRPr="00D33EF0">
        <w:rPr>
          <w:rtl/>
        </w:rPr>
        <w:t xml:space="preserve"> التعاون مع نظام المعلومات البيولوجية الجغرافية بشأن المحيطات التابع للجنة الحكومية الدولية لعلوم المحيطات التابعة لمنظمة الأمم المتحدة للتربية والعلم والثقافة</w:t>
      </w:r>
      <w:r>
        <w:rPr>
          <w:rtl/>
        </w:rPr>
        <w:t xml:space="preserve"> (اليون</w:t>
      </w:r>
      <w:r w:rsidRPr="00D33EF0">
        <w:rPr>
          <w:rtl/>
        </w:rPr>
        <w:t>سكو) في الوصول إلى المعلومات العلمية دعما لحلقات العمل الإقليمية؛</w:t>
      </w:r>
    </w:p>
    <w:p w:rsidR="000A5DEA" w:rsidRPr="00D33EF0" w:rsidRDefault="000A5DEA" w:rsidP="000A5DEA">
      <w:pPr>
        <w:kinsoku w:val="0"/>
        <w:overflowPunct w:val="0"/>
        <w:autoSpaceDE w:val="0"/>
        <w:autoSpaceDN w:val="0"/>
        <w:spacing w:after="100" w:line="204" w:lineRule="auto"/>
        <w:ind w:firstLine="720"/>
        <w:rPr>
          <w:rtl/>
        </w:rPr>
      </w:pPr>
      <w:r w:rsidRPr="00D33EF0">
        <w:rPr>
          <w:rtl/>
        </w:rPr>
        <w:t>(ب)</w:t>
      </w:r>
      <w:r w:rsidRPr="00D33EF0">
        <w:rPr>
          <w:rtl/>
        </w:rPr>
        <w:tab/>
        <w:t xml:space="preserve">تعزيز تقديم الإرشادات وحشد الموارد، عند الضرورة، من أجل إجراء التحضيرات على المستوى الوطني والإقليمي قبل عقد حلقة عمل إقليمية لضمان جمع المعلومات العلمية والمعارف </w:t>
      </w:r>
      <w:r w:rsidRPr="00D33EF0">
        <w:rPr>
          <w:rFonts w:hint="cs"/>
          <w:rtl/>
        </w:rPr>
        <w:t>[</w:t>
      </w:r>
      <w:r w:rsidRPr="00D33EF0">
        <w:rPr>
          <w:rtl/>
        </w:rPr>
        <w:t>الأصلية والمحلية</w:t>
      </w:r>
      <w:r w:rsidRPr="00D33EF0">
        <w:rPr>
          <w:rFonts w:hint="cs"/>
          <w:rtl/>
        </w:rPr>
        <w:t>] [التقليدية]</w:t>
      </w:r>
      <w:r w:rsidRPr="00D33EF0">
        <w:rPr>
          <w:rtl/>
        </w:rPr>
        <w:t xml:space="preserve"> في الوقت المناسب؛</w:t>
      </w:r>
    </w:p>
    <w:p w:rsidR="000A5DEA" w:rsidRPr="00D33EF0" w:rsidRDefault="000A5DEA" w:rsidP="000A5DEA">
      <w:pPr>
        <w:kinsoku w:val="0"/>
        <w:overflowPunct w:val="0"/>
        <w:autoSpaceDE w:val="0"/>
        <w:autoSpaceDN w:val="0"/>
        <w:spacing w:after="100" w:line="204" w:lineRule="auto"/>
        <w:ind w:firstLine="720"/>
        <w:rPr>
          <w:rtl/>
        </w:rPr>
      </w:pPr>
      <w:r w:rsidRPr="00D33EF0">
        <w:rPr>
          <w:rtl/>
        </w:rPr>
        <w:t>(ج)</w:t>
      </w:r>
      <w:r w:rsidRPr="00D33EF0">
        <w:rPr>
          <w:rtl/>
        </w:rPr>
        <w:tab/>
        <w:t>تقديم التدريب قبل عقد حلق</w:t>
      </w:r>
      <w:r w:rsidRPr="00D33EF0">
        <w:rPr>
          <w:rFonts w:hint="cs"/>
          <w:rtl/>
        </w:rPr>
        <w:t>ات ال</w:t>
      </w:r>
      <w:r w:rsidRPr="00D33EF0">
        <w:rPr>
          <w:rtl/>
        </w:rPr>
        <w:t>عمل؛</w:t>
      </w:r>
    </w:p>
    <w:p w:rsidR="000A5DEA" w:rsidRPr="00D33EF0" w:rsidRDefault="000A5DEA" w:rsidP="000A5DEA">
      <w:pPr>
        <w:kinsoku w:val="0"/>
        <w:overflowPunct w:val="0"/>
        <w:autoSpaceDE w:val="0"/>
        <w:autoSpaceDN w:val="0"/>
        <w:spacing w:after="100" w:line="204" w:lineRule="auto"/>
        <w:ind w:firstLine="720"/>
        <w:rPr>
          <w:rtl/>
        </w:rPr>
      </w:pPr>
      <w:r w:rsidRPr="00D33EF0">
        <w:rPr>
          <w:rtl/>
        </w:rPr>
        <w:t>(د)</w:t>
      </w:r>
      <w:r w:rsidRPr="00D33EF0">
        <w:rPr>
          <w:rtl/>
        </w:rPr>
        <w:tab/>
        <w:t>استخدام الدليل التدريبي المتعلق بإدماج المعارف التقليدية في وصف وتحديد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w:t>
      </w:r>
      <w:r w:rsidRPr="00D33EF0">
        <w:rPr>
          <w:szCs w:val="22"/>
          <w:rtl/>
        </w:rPr>
        <w:t>(</w:t>
      </w:r>
      <w:r w:rsidRPr="00D33EF0">
        <w:rPr>
          <w:szCs w:val="22"/>
        </w:rPr>
        <w:t>UNEP/CBD/SBSTTA/20/INF/21</w:t>
      </w:r>
      <w:r w:rsidRPr="00D33EF0">
        <w:rPr>
          <w:szCs w:val="22"/>
          <w:rtl/>
        </w:rPr>
        <w:t>)</w:t>
      </w:r>
      <w:r w:rsidRPr="00D33EF0">
        <w:rPr>
          <w:rtl/>
        </w:rPr>
        <w:t>؛</w:t>
      </w:r>
    </w:p>
    <w:p w:rsidR="000A5DEA" w:rsidRPr="00D33EF0" w:rsidRDefault="000A5DEA" w:rsidP="000A5DEA">
      <w:pPr>
        <w:kinsoku w:val="0"/>
        <w:overflowPunct w:val="0"/>
        <w:autoSpaceDE w:val="0"/>
        <w:autoSpaceDN w:val="0"/>
        <w:spacing w:after="100" w:line="204" w:lineRule="auto"/>
        <w:ind w:firstLine="720"/>
        <w:rPr>
          <w:rtl/>
        </w:rPr>
      </w:pPr>
      <w:r w:rsidRPr="00D33EF0">
        <w:rPr>
          <w:rtl/>
        </w:rPr>
        <w:t>(ﻫ)</w:t>
      </w:r>
      <w:r w:rsidRPr="00D33EF0">
        <w:rPr>
          <w:rtl/>
        </w:rPr>
        <w:tab/>
        <w:t>يمكن تعزيز تطبيق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من خلال الإحالة قدر الإمكان إلى المنشورات التي استعرضها النظراء وإدماج المعارف </w:t>
      </w:r>
      <w:r>
        <w:rPr>
          <w:rFonts w:hint="cs"/>
          <w:rtl/>
        </w:rPr>
        <w:t>التقليدية</w:t>
      </w:r>
      <w:r w:rsidRPr="00D33EF0">
        <w:rPr>
          <w:rtl/>
        </w:rPr>
        <w:t>.</w:t>
      </w:r>
    </w:p>
    <w:p w:rsidR="000A5DEA" w:rsidRPr="005C478D" w:rsidRDefault="000A5DEA" w:rsidP="005C478D">
      <w:pPr>
        <w:jc w:val="center"/>
        <w:rPr>
          <w:b/>
          <w:bCs/>
          <w:snapToGrid w:val="0"/>
          <w:kern w:val="22"/>
          <w:rtl/>
        </w:rPr>
      </w:pPr>
      <w:bookmarkStart w:id="106" w:name="_Toc524295511"/>
      <w:bookmarkStart w:id="107" w:name="_Toc6071592"/>
      <w:r w:rsidRPr="005C478D">
        <w:rPr>
          <w:b/>
          <w:bCs/>
          <w:rtl/>
        </w:rPr>
        <w:t>باء-</w:t>
      </w:r>
      <w:r w:rsidRPr="005C478D">
        <w:rPr>
          <w:b/>
          <w:bCs/>
          <w:rtl/>
        </w:rPr>
        <w:tab/>
        <w:t>شفافية عملية المناطق البحرية المهمة إيكولوجيا أو بيولوجيا</w:t>
      </w:r>
      <w:bookmarkEnd w:id="106"/>
      <w:bookmarkEnd w:id="107"/>
    </w:p>
    <w:p w:rsidR="000A5DEA" w:rsidRPr="00D33EF0" w:rsidRDefault="000A5DEA" w:rsidP="00CD26C5">
      <w:pPr>
        <w:numPr>
          <w:ilvl w:val="0"/>
          <w:numId w:val="128"/>
        </w:numPr>
        <w:spacing w:after="100" w:line="204" w:lineRule="auto"/>
        <w:ind w:left="4" w:firstLine="0"/>
        <w:rPr>
          <w:snapToGrid w:val="0"/>
          <w:kern w:val="22"/>
          <w:rtl/>
        </w:rPr>
      </w:pPr>
      <w:r w:rsidRPr="00D33EF0">
        <w:rPr>
          <w:rtl/>
        </w:rPr>
        <w:t>يمكن تعزيز شفافية عملية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عن طريق إتاحة ما يلي:</w:t>
      </w:r>
    </w:p>
    <w:p w:rsidR="000A5DEA" w:rsidRPr="00D33EF0" w:rsidRDefault="000A5DEA" w:rsidP="000A5DEA">
      <w:pPr>
        <w:kinsoku w:val="0"/>
        <w:overflowPunct w:val="0"/>
        <w:autoSpaceDE w:val="0"/>
        <w:autoSpaceDN w:val="0"/>
        <w:spacing w:after="60" w:line="204" w:lineRule="auto"/>
        <w:ind w:firstLine="720"/>
      </w:pPr>
      <w:r w:rsidRPr="00D33EF0">
        <w:rPr>
          <w:rtl/>
        </w:rPr>
        <w:t>(أ)</w:t>
      </w:r>
      <w:r w:rsidRPr="00D33EF0">
        <w:rPr>
          <w:rtl/>
        </w:rPr>
        <w:tab/>
        <w:t>قائمة الخبراء الذين ساهموا في تقديم أوصاف جديدة أو مراجعة أوصاف حالية؛</w:t>
      </w:r>
    </w:p>
    <w:p w:rsidR="000A5DEA" w:rsidRPr="00D33EF0" w:rsidRDefault="000A5DEA" w:rsidP="000A5DEA">
      <w:pPr>
        <w:kinsoku w:val="0"/>
        <w:overflowPunct w:val="0"/>
        <w:autoSpaceDE w:val="0"/>
        <w:autoSpaceDN w:val="0"/>
        <w:spacing w:after="60" w:line="204" w:lineRule="auto"/>
        <w:ind w:firstLine="720"/>
        <w:rPr>
          <w:rtl/>
        </w:rPr>
      </w:pPr>
      <w:r w:rsidRPr="00D33EF0">
        <w:rPr>
          <w:rtl/>
        </w:rPr>
        <w:lastRenderedPageBreak/>
        <w:t>(ب)</w:t>
      </w:r>
      <w:r w:rsidRPr="00D33EF0">
        <w:rPr>
          <w:rtl/>
        </w:rPr>
        <w:tab/>
        <w:t xml:space="preserve">معلومات عن </w:t>
      </w:r>
      <w:r>
        <w:rPr>
          <w:rFonts w:hint="cs"/>
          <w:rtl/>
        </w:rPr>
        <w:t xml:space="preserve">المشاركة الكاملة والفعالة وعن </w:t>
      </w:r>
      <w:r w:rsidRPr="00D33EF0">
        <w:rPr>
          <w:rtl/>
        </w:rPr>
        <w:t>الموافقة الحرة المسبقة عن علم للشعوب الأصلية والمجتمعات المحلية</w:t>
      </w:r>
      <w:r>
        <w:rPr>
          <w:rFonts w:hint="cs"/>
          <w:rtl/>
        </w:rPr>
        <w:t>، حسب الاقتضاء ووفقا للقانون الوطني المحلي والالتزامات الدولية،</w:t>
      </w:r>
      <w:r w:rsidRPr="00D33EF0">
        <w:rPr>
          <w:rtl/>
        </w:rPr>
        <w:t xml:space="preserve"> في الحالات التي أُدمجت فيها المعارف </w:t>
      </w:r>
      <w:r w:rsidRPr="00D33EF0">
        <w:rPr>
          <w:rFonts w:hint="cs"/>
          <w:rtl/>
        </w:rPr>
        <w:t>التقليدية</w:t>
      </w:r>
      <w:r w:rsidRPr="00D33EF0">
        <w:rPr>
          <w:rtl/>
        </w:rPr>
        <w:t xml:space="preserve"> في وصف المناطق البحرية المهمة إيكولوجيا أو بيولوجيا؛</w:t>
      </w:r>
    </w:p>
    <w:p w:rsidR="000A5DEA" w:rsidRPr="00D33EF0" w:rsidRDefault="000A5DEA" w:rsidP="000A5DEA">
      <w:pPr>
        <w:kinsoku w:val="0"/>
        <w:overflowPunct w:val="0"/>
        <w:autoSpaceDE w:val="0"/>
        <w:autoSpaceDN w:val="0"/>
        <w:spacing w:after="60" w:line="204" w:lineRule="auto"/>
        <w:ind w:firstLine="720"/>
        <w:rPr>
          <w:rtl/>
        </w:rPr>
      </w:pPr>
      <w:r w:rsidRPr="00D33EF0">
        <w:rPr>
          <w:rtl/>
        </w:rPr>
        <w:t>(ج)</w:t>
      </w:r>
      <w:r w:rsidRPr="00D33EF0">
        <w:rPr>
          <w:rtl/>
        </w:rPr>
        <w:tab/>
        <w:t>النطاق الجغرافي لحلقات العمل الإقليمية في المستودع؛</w:t>
      </w:r>
    </w:p>
    <w:p w:rsidR="000A5DEA" w:rsidRPr="00D33EF0" w:rsidRDefault="000A5DEA" w:rsidP="000A5DEA">
      <w:pPr>
        <w:kinsoku w:val="0"/>
        <w:overflowPunct w:val="0"/>
        <w:autoSpaceDE w:val="0"/>
        <w:autoSpaceDN w:val="0"/>
        <w:spacing w:after="100" w:line="204" w:lineRule="auto"/>
        <w:ind w:firstLine="720"/>
        <w:rPr>
          <w:rtl/>
        </w:rPr>
      </w:pPr>
      <w:r w:rsidRPr="00D33EF0">
        <w:rPr>
          <w:rtl/>
        </w:rPr>
        <w:t>(د)</w:t>
      </w:r>
      <w:r w:rsidRPr="00D33EF0">
        <w:rPr>
          <w:rtl/>
        </w:rPr>
        <w:tab/>
        <w:t xml:space="preserve">الوصول إلى البيانات/المعلومات (مثل الصور الساتلية، وروابط الوصول إلى ورقات أكاديمية مرجعية، وتوثيق المعارف </w:t>
      </w:r>
      <w:r w:rsidRPr="00D33EF0">
        <w:rPr>
          <w:rFonts w:hint="cs"/>
          <w:rtl/>
        </w:rPr>
        <w:t>[</w:t>
      </w:r>
      <w:r w:rsidRPr="00D33EF0">
        <w:rPr>
          <w:rtl/>
        </w:rPr>
        <w:t>الأصلية والمحلية</w:t>
      </w:r>
      <w:r w:rsidRPr="00D33EF0">
        <w:rPr>
          <w:rFonts w:hint="cs"/>
          <w:rtl/>
        </w:rPr>
        <w:t>] [التقليدية]</w:t>
      </w:r>
      <w:r w:rsidRPr="00D33EF0">
        <w:rPr>
          <w:rtl/>
        </w:rPr>
        <w:t>) المستخدمة في حلقات العمل الإقليمية</w:t>
      </w:r>
      <w:r w:rsidRPr="00D33EF0">
        <w:rPr>
          <w:rFonts w:hint="cs"/>
          <w:rtl/>
        </w:rPr>
        <w:t>؛</w:t>
      </w:r>
    </w:p>
    <w:p w:rsidR="000A5DEA" w:rsidRPr="00422262" w:rsidRDefault="000A5DEA" w:rsidP="00CD26C5">
      <w:pPr>
        <w:pStyle w:val="ListParagraph"/>
        <w:numPr>
          <w:ilvl w:val="0"/>
          <w:numId w:val="128"/>
        </w:numPr>
        <w:kinsoku w:val="0"/>
        <w:overflowPunct w:val="0"/>
        <w:autoSpaceDE w:val="0"/>
        <w:autoSpaceDN w:val="0"/>
        <w:bidi/>
        <w:spacing w:after="100" w:line="204" w:lineRule="auto"/>
        <w:ind w:left="18" w:firstLine="0"/>
        <w:contextualSpacing/>
        <w:rPr>
          <w:rFonts w:cs="Simplified Arabic"/>
        </w:rPr>
      </w:pPr>
      <w:r>
        <w:rPr>
          <w:rFonts w:cs="Simplified Arabic" w:hint="cs"/>
          <w:rtl/>
        </w:rPr>
        <w:t>و</w:t>
      </w:r>
      <w:r w:rsidRPr="00422262">
        <w:rPr>
          <w:rFonts w:cs="Simplified Arabic"/>
          <w:rtl/>
        </w:rPr>
        <w:t>في الحالات التي استُخدمت فيها عمليات وطنية لوصف المناطق البحرية المهمة إيكولوجيا</w:t>
      </w:r>
      <w:r w:rsidRPr="00422262">
        <w:rPr>
          <w:rFonts w:cs="Simplified Arabic" w:hint="cs"/>
          <w:rtl/>
        </w:rPr>
        <w:t>ً</w:t>
      </w:r>
      <w:r w:rsidRPr="00422262">
        <w:rPr>
          <w:rFonts w:cs="Simplified Arabic"/>
          <w:rtl/>
        </w:rPr>
        <w:t xml:space="preserve"> أو بيولوجيا</w:t>
      </w:r>
      <w:r w:rsidRPr="00422262">
        <w:rPr>
          <w:rFonts w:cs="Simplified Arabic" w:hint="cs"/>
          <w:rtl/>
        </w:rPr>
        <w:t>ً</w:t>
      </w:r>
      <w:r w:rsidRPr="00422262">
        <w:rPr>
          <w:rFonts w:cs="Simplified Arabic"/>
          <w:rtl/>
        </w:rPr>
        <w:t xml:space="preserve">، ينبغي أن يرافق الأوصاف شرح </w:t>
      </w:r>
      <w:r w:rsidRPr="00422262">
        <w:rPr>
          <w:rFonts w:cs="Simplified Arabic" w:hint="cs"/>
          <w:rtl/>
        </w:rPr>
        <w:t>ل</w:t>
      </w:r>
      <w:r w:rsidRPr="00422262">
        <w:rPr>
          <w:rFonts w:cs="Simplified Arabic"/>
          <w:rtl/>
        </w:rPr>
        <w:t xml:space="preserve">لعمليات الوطنية، بما في ذلك كيفية إجراء استعراض </w:t>
      </w:r>
      <w:r w:rsidRPr="00422262">
        <w:rPr>
          <w:rFonts w:cs="Simplified Arabic" w:hint="cs"/>
          <w:rtl/>
        </w:rPr>
        <w:t>ال</w:t>
      </w:r>
      <w:r w:rsidRPr="00422262">
        <w:rPr>
          <w:rFonts w:cs="Simplified Arabic"/>
          <w:rtl/>
        </w:rPr>
        <w:t xml:space="preserve">نظراء </w:t>
      </w:r>
      <w:r w:rsidRPr="00422262">
        <w:rPr>
          <w:rFonts w:cs="Simplified Arabic" w:hint="cs"/>
          <w:rtl/>
        </w:rPr>
        <w:t xml:space="preserve">الوطنيين </w:t>
      </w:r>
      <w:r w:rsidRPr="00422262">
        <w:rPr>
          <w:rFonts w:cs="Simplified Arabic"/>
          <w:rtl/>
        </w:rPr>
        <w:t>للنتائج.</w:t>
      </w:r>
    </w:p>
    <w:p w:rsidR="000A5DEA" w:rsidRPr="005C478D" w:rsidRDefault="000A5DEA" w:rsidP="005C478D">
      <w:pPr>
        <w:jc w:val="center"/>
        <w:rPr>
          <w:b/>
          <w:bCs/>
          <w:snapToGrid w:val="0"/>
          <w:kern w:val="22"/>
          <w:rtl/>
        </w:rPr>
      </w:pPr>
      <w:bookmarkStart w:id="108" w:name="_Toc524295512"/>
      <w:bookmarkStart w:id="109" w:name="_Toc6071593"/>
      <w:r w:rsidRPr="005C478D">
        <w:rPr>
          <w:b/>
          <w:bCs/>
          <w:rtl/>
        </w:rPr>
        <w:t>جيم-</w:t>
      </w:r>
      <w:r w:rsidRPr="005C478D">
        <w:rPr>
          <w:b/>
          <w:bCs/>
          <w:rtl/>
        </w:rPr>
        <w:tab/>
        <w:t>العمليات الوطنية</w:t>
      </w:r>
      <w:bookmarkEnd w:id="108"/>
      <w:bookmarkEnd w:id="109"/>
    </w:p>
    <w:p w:rsidR="000A5DEA" w:rsidRPr="00D33EF0" w:rsidRDefault="000A5DEA" w:rsidP="00CD26C5">
      <w:pPr>
        <w:numPr>
          <w:ilvl w:val="0"/>
          <w:numId w:val="128"/>
        </w:numPr>
        <w:spacing w:after="100" w:line="204" w:lineRule="auto"/>
        <w:ind w:left="4" w:firstLine="0"/>
        <w:rPr>
          <w:rtl/>
          <w:lang w:val="en-GB"/>
        </w:rPr>
      </w:pPr>
      <w:r w:rsidRPr="00D33EF0">
        <w:rPr>
          <w:rtl/>
        </w:rPr>
        <w:t>يمكن إدراج نتائج العمليات الوطنية</w:t>
      </w:r>
      <w:r>
        <w:rPr>
          <w:rFonts w:hint="cs"/>
          <w:rtl/>
        </w:rPr>
        <w:t>، تماشيا مع الفقرة 3 من المقرر 13/12،</w:t>
      </w:r>
      <w:r w:rsidRPr="00D33EF0">
        <w:rPr>
          <w:rtl/>
        </w:rPr>
        <w:t xml:space="preserve">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من خلال أحد المسارات التالية:</w:t>
      </w:r>
    </w:p>
    <w:p w:rsidR="000A5DEA" w:rsidRPr="00D33EF0" w:rsidRDefault="000A5DEA" w:rsidP="000A5DEA">
      <w:pPr>
        <w:kinsoku w:val="0"/>
        <w:overflowPunct w:val="0"/>
        <w:autoSpaceDE w:val="0"/>
        <w:autoSpaceDN w:val="0"/>
        <w:spacing w:after="60" w:line="204" w:lineRule="auto"/>
        <w:ind w:firstLine="720"/>
        <w:rPr>
          <w:snapToGrid w:val="0"/>
          <w:kern w:val="22"/>
        </w:rPr>
      </w:pPr>
      <w:r w:rsidRPr="00D33EF0">
        <w:rPr>
          <w:rtl/>
        </w:rPr>
        <w:t>(أ)</w:t>
      </w:r>
      <w:r w:rsidRPr="00D33EF0">
        <w:rPr>
          <w:rtl/>
        </w:rPr>
        <w:tab/>
        <w:t xml:space="preserve">تقدَّم </w:t>
      </w:r>
      <w:r>
        <w:rPr>
          <w:rFonts w:hint="cs"/>
          <w:rtl/>
        </w:rPr>
        <w:t xml:space="preserve">الأطراف أو الحكومات الأخرى </w:t>
      </w:r>
      <w:r w:rsidRPr="00D33EF0">
        <w:rPr>
          <w:rtl/>
        </w:rPr>
        <w:t xml:space="preserve">نتائج </w:t>
      </w:r>
      <w:r w:rsidRPr="00D33EF0">
        <w:rPr>
          <w:rFonts w:hint="cs"/>
          <w:rtl/>
        </w:rPr>
        <w:t>عملياتها</w:t>
      </w:r>
      <w:r w:rsidRPr="00D33EF0">
        <w:rPr>
          <w:rtl/>
        </w:rPr>
        <w:t xml:space="preserve"> الوطني</w:t>
      </w:r>
      <w:r w:rsidRPr="00D33EF0">
        <w:rPr>
          <w:rFonts w:hint="cs"/>
          <w:rtl/>
        </w:rPr>
        <w:t>ة</w:t>
      </w:r>
      <w:r w:rsidRPr="00D33EF0">
        <w:rPr>
          <w:rtl/>
        </w:rPr>
        <w:t xml:space="preserve"> إلى حلقة عمل إقليمية، ثم تنظر فيها الهيئة الفرعية للمشورة العلمية والتقنية والتكنولوجية ومؤتمر الأطراف، لإمكانية إدراجها في مستودع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w:t>
      </w:r>
      <w:r>
        <w:rPr>
          <w:rFonts w:hint="cs"/>
          <w:snapToGrid w:val="0"/>
          <w:kern w:val="22"/>
          <w:rtl/>
        </w:rPr>
        <w:t xml:space="preserve"> أو</w:t>
      </w:r>
    </w:p>
    <w:p w:rsidR="000A5DEA" w:rsidRPr="00D33EF0" w:rsidRDefault="000A5DEA" w:rsidP="000A5DEA">
      <w:pPr>
        <w:kinsoku w:val="0"/>
        <w:overflowPunct w:val="0"/>
        <w:autoSpaceDE w:val="0"/>
        <w:autoSpaceDN w:val="0"/>
        <w:spacing w:after="100" w:line="204" w:lineRule="auto"/>
        <w:ind w:firstLine="720"/>
      </w:pPr>
      <w:r w:rsidRPr="00D33EF0">
        <w:rPr>
          <w:rtl/>
        </w:rPr>
        <w:t>(ب)</w:t>
      </w:r>
      <w:r w:rsidRPr="00D33EF0">
        <w:rPr>
          <w:rtl/>
        </w:rPr>
        <w:tab/>
        <w:t xml:space="preserve">استنادا إلى الإجراء المنصوص عليه في الفقرة 7 من المقرر 12/22، يجوز </w:t>
      </w:r>
      <w:r>
        <w:rPr>
          <w:rFonts w:hint="cs"/>
          <w:rtl/>
        </w:rPr>
        <w:t xml:space="preserve">للطرف أو منظمة أخرى </w:t>
      </w:r>
      <w:r w:rsidRPr="00D33EF0">
        <w:rPr>
          <w:rtl/>
        </w:rPr>
        <w:t>أن تقدم نتائج العمليات الوطنية المتعلقة بوصف المناطق</w:t>
      </w:r>
      <w:r>
        <w:rPr>
          <w:rFonts w:hint="cs"/>
          <w:rtl/>
        </w:rPr>
        <w:t xml:space="preserve"> الجديدة</w:t>
      </w:r>
      <w:r w:rsidRPr="00D33EF0">
        <w:rPr>
          <w:rtl/>
        </w:rPr>
        <w:t xml:space="preserve"> التي تستوفي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مصحوبة بمعلومات </w:t>
      </w:r>
      <w:r>
        <w:rPr>
          <w:rFonts w:hint="cs"/>
          <w:rtl/>
        </w:rPr>
        <w:t>ع</w:t>
      </w:r>
      <w:r w:rsidRPr="00D33EF0">
        <w:rPr>
          <w:rtl/>
        </w:rPr>
        <w:t>ن العملية العلمية والتقنية</w:t>
      </w:r>
      <w:r>
        <w:rPr>
          <w:rFonts w:hint="cs"/>
          <w:rtl/>
        </w:rPr>
        <w:t xml:space="preserve"> السليمة</w:t>
      </w:r>
      <w:r w:rsidRPr="00D33EF0">
        <w:rPr>
          <w:rtl/>
        </w:rPr>
        <w:t>، وكذلك عملية استعراض النظراء</w:t>
      </w:r>
      <w:r>
        <w:rPr>
          <w:rStyle w:val="FootnoteReference"/>
          <w:rtl/>
        </w:rPr>
        <w:footnoteReference w:id="169"/>
      </w:r>
      <w:r>
        <w:rPr>
          <w:rFonts w:hint="cs"/>
          <w:rtl/>
        </w:rPr>
        <w:t xml:space="preserve"> التي تدعم هذا الوصف إلى الأمينة التنفيذية</w:t>
      </w:r>
      <w:r w:rsidRPr="00D33EF0">
        <w:rPr>
          <w:rtl/>
        </w:rPr>
        <w:t xml:space="preserve">، </w:t>
      </w:r>
      <w:r>
        <w:rPr>
          <w:rFonts w:hint="cs"/>
          <w:rtl/>
        </w:rPr>
        <w:t xml:space="preserve">لتتيحها إلى </w:t>
      </w:r>
      <w:r w:rsidRPr="00D33EF0">
        <w:rPr>
          <w:rtl/>
        </w:rPr>
        <w:t xml:space="preserve">الهيئة الفرعية للمشورة العلمية والتقنية والتكنولوجية ومؤتمر الأطراف </w:t>
      </w:r>
      <w:r>
        <w:rPr>
          <w:rFonts w:hint="cs"/>
          <w:rtl/>
        </w:rPr>
        <w:t>[للنظر فيها] [إعلامهما] [بهدف إدراجها] [لإدراجها] في المستودع.</w:t>
      </w:r>
    </w:p>
    <w:p w:rsidR="000A5DEA" w:rsidRPr="00D33EF0" w:rsidRDefault="000A5DEA" w:rsidP="00CD26C5">
      <w:pPr>
        <w:numPr>
          <w:ilvl w:val="0"/>
          <w:numId w:val="128"/>
        </w:numPr>
        <w:spacing w:after="100" w:line="204" w:lineRule="auto"/>
        <w:ind w:left="4" w:firstLine="0"/>
        <w:rPr>
          <w:snapToGrid w:val="0"/>
          <w:kern w:val="22"/>
          <w:rtl/>
        </w:rPr>
      </w:pPr>
      <w:r w:rsidRPr="00D33EF0">
        <w:rPr>
          <w:rtl/>
        </w:rPr>
        <w:t>وهناك حاجة إلى ما يلي:</w:t>
      </w:r>
    </w:p>
    <w:p w:rsidR="000A5DEA" w:rsidRPr="00D33EF0" w:rsidRDefault="000A5DEA" w:rsidP="000A5DEA">
      <w:pPr>
        <w:kinsoku w:val="0"/>
        <w:overflowPunct w:val="0"/>
        <w:autoSpaceDE w:val="0"/>
        <w:autoSpaceDN w:val="0"/>
        <w:spacing w:after="60" w:line="204" w:lineRule="auto"/>
        <w:ind w:firstLine="720"/>
        <w:rPr>
          <w:rtl/>
        </w:rPr>
      </w:pPr>
      <w:r w:rsidRPr="00D33EF0">
        <w:rPr>
          <w:rtl/>
        </w:rPr>
        <w:t>(أ)</w:t>
      </w:r>
      <w:r w:rsidRPr="00D33EF0">
        <w:rPr>
          <w:rtl/>
        </w:rPr>
        <w:tab/>
        <w:t xml:space="preserve">بناء القدرات </w:t>
      </w:r>
      <w:r w:rsidRPr="00D33EF0">
        <w:rPr>
          <w:rFonts w:hint="cs"/>
          <w:rtl/>
        </w:rPr>
        <w:t>المتعلقة ب</w:t>
      </w:r>
      <w:r w:rsidRPr="00D33EF0">
        <w:rPr>
          <w:rtl/>
        </w:rPr>
        <w:t>أفضل الممارسات لتطبيق معايير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على المستوى الوطني، لا سيما في البلدان النامية؛</w:t>
      </w:r>
    </w:p>
    <w:p w:rsidR="000A5DEA" w:rsidRPr="00D33EF0" w:rsidRDefault="000A5DEA" w:rsidP="000A5DEA">
      <w:pPr>
        <w:kinsoku w:val="0"/>
        <w:overflowPunct w:val="0"/>
        <w:autoSpaceDE w:val="0"/>
        <w:autoSpaceDN w:val="0"/>
        <w:spacing w:after="60" w:line="204" w:lineRule="auto"/>
        <w:ind w:firstLine="720"/>
        <w:rPr>
          <w:rtl/>
        </w:rPr>
      </w:pPr>
      <w:r w:rsidRPr="00D33EF0">
        <w:rPr>
          <w:rtl/>
        </w:rPr>
        <w:t>(ب)</w:t>
      </w:r>
      <w:r w:rsidRPr="00D33EF0">
        <w:rPr>
          <w:rtl/>
        </w:rPr>
        <w:tab/>
        <w:t>تقديم الحوافز لتعزيز إمكانية الوصول إلى المعلومات المحلية/الوطنية؛</w:t>
      </w:r>
    </w:p>
    <w:p w:rsidR="000A5DEA" w:rsidRPr="00D33EF0" w:rsidRDefault="000A5DEA" w:rsidP="000A5DEA">
      <w:pPr>
        <w:kinsoku w:val="0"/>
        <w:overflowPunct w:val="0"/>
        <w:autoSpaceDE w:val="0"/>
        <w:autoSpaceDN w:val="0"/>
        <w:spacing w:after="60" w:line="204" w:lineRule="auto"/>
        <w:ind w:firstLine="720"/>
        <w:rPr>
          <w:rtl/>
        </w:rPr>
      </w:pPr>
      <w:r w:rsidRPr="00D33EF0">
        <w:rPr>
          <w:rtl/>
        </w:rPr>
        <w:t>(ج)</w:t>
      </w:r>
      <w:r w:rsidRPr="00D33EF0">
        <w:rPr>
          <w:rtl/>
        </w:rPr>
        <w:tab/>
        <w:t>التنسيق بين الوكالات لإجراء عمليات وطنية فعالة؛</w:t>
      </w:r>
    </w:p>
    <w:p w:rsidR="000A5DEA" w:rsidRPr="00D33EF0" w:rsidRDefault="000A5DEA" w:rsidP="000A5DEA">
      <w:pPr>
        <w:kinsoku w:val="0"/>
        <w:overflowPunct w:val="0"/>
        <w:autoSpaceDE w:val="0"/>
        <w:autoSpaceDN w:val="0"/>
        <w:spacing w:after="60" w:line="204" w:lineRule="auto"/>
        <w:ind w:firstLine="720"/>
        <w:rPr>
          <w:snapToGrid w:val="0"/>
          <w:kern w:val="22"/>
          <w:rtl/>
        </w:rPr>
      </w:pPr>
      <w:r w:rsidRPr="00D33EF0">
        <w:rPr>
          <w:rtl/>
        </w:rPr>
        <w:t>(د)</w:t>
      </w:r>
      <w:r w:rsidRPr="00D33EF0">
        <w:rPr>
          <w:rtl/>
        </w:rPr>
        <w:tab/>
        <w:t>توفير الموارد المالية اللازمة لإجراء العمليات الوطنية.</w:t>
      </w:r>
    </w:p>
    <w:p w:rsidR="000A5DEA" w:rsidRPr="005C478D" w:rsidRDefault="000A5DEA" w:rsidP="005C478D">
      <w:pPr>
        <w:ind w:left="2160" w:hanging="990"/>
        <w:jc w:val="left"/>
        <w:rPr>
          <w:b/>
          <w:bCs/>
          <w:rtl/>
        </w:rPr>
      </w:pPr>
      <w:bookmarkStart w:id="110" w:name="_Toc524295513"/>
      <w:bookmarkStart w:id="111" w:name="_Toc6071594"/>
      <w:r w:rsidRPr="005C478D">
        <w:rPr>
          <w:b/>
          <w:bCs/>
          <w:rtl/>
        </w:rPr>
        <w:t>رابعا-</w:t>
      </w:r>
      <w:r w:rsidRPr="005C478D">
        <w:rPr>
          <w:b/>
          <w:bCs/>
          <w:rtl/>
        </w:rPr>
        <w:tab/>
        <w:t>الاحتياجات في مجال بناء القدرات لتعديل وصف المناطق البحرية المهمة إيكولوجيا</w:t>
      </w:r>
      <w:r w:rsidRPr="005C478D">
        <w:rPr>
          <w:rFonts w:hint="cs"/>
          <w:b/>
          <w:bCs/>
          <w:rtl/>
        </w:rPr>
        <w:t>ً</w:t>
      </w:r>
      <w:r w:rsidRPr="005C478D">
        <w:rPr>
          <w:b/>
          <w:bCs/>
          <w:rtl/>
        </w:rPr>
        <w:t xml:space="preserve"> أو بيولوجيا</w:t>
      </w:r>
      <w:r w:rsidRPr="005C478D">
        <w:rPr>
          <w:rFonts w:hint="cs"/>
          <w:b/>
          <w:bCs/>
          <w:rtl/>
        </w:rPr>
        <w:t>ً</w:t>
      </w:r>
      <w:r w:rsidRPr="005C478D">
        <w:rPr>
          <w:b/>
          <w:bCs/>
          <w:rtl/>
        </w:rPr>
        <w:t xml:space="preserve"> ولوصف المناطق البحرية المهمة إيكولوجيا</w:t>
      </w:r>
      <w:r w:rsidRPr="005C478D">
        <w:rPr>
          <w:rFonts w:hint="cs"/>
          <w:b/>
          <w:bCs/>
          <w:rtl/>
        </w:rPr>
        <w:t>ً</w:t>
      </w:r>
      <w:r w:rsidRPr="005C478D">
        <w:rPr>
          <w:b/>
          <w:bCs/>
          <w:rtl/>
        </w:rPr>
        <w:t xml:space="preserve"> أو بيولوجيا</w:t>
      </w:r>
      <w:r w:rsidRPr="005C478D">
        <w:rPr>
          <w:rFonts w:hint="cs"/>
          <w:b/>
          <w:bCs/>
          <w:rtl/>
        </w:rPr>
        <w:t>ً</w:t>
      </w:r>
      <w:r w:rsidRPr="005C478D">
        <w:rPr>
          <w:b/>
          <w:bCs/>
          <w:rtl/>
        </w:rPr>
        <w:t xml:space="preserve"> الجديدة</w:t>
      </w:r>
      <w:bookmarkEnd w:id="110"/>
      <w:bookmarkEnd w:id="111"/>
    </w:p>
    <w:p w:rsidR="000A5DEA" w:rsidRPr="00D33EF0" w:rsidRDefault="000A5DEA" w:rsidP="00CD26C5">
      <w:pPr>
        <w:numPr>
          <w:ilvl w:val="0"/>
          <w:numId w:val="128"/>
        </w:numPr>
        <w:spacing w:after="100" w:line="204" w:lineRule="auto"/>
        <w:ind w:left="4" w:firstLine="0"/>
        <w:rPr>
          <w:snapToGrid w:val="0"/>
          <w:kern w:val="22"/>
          <w:rtl/>
        </w:rPr>
      </w:pPr>
      <w:r w:rsidRPr="00D33EF0">
        <w:rPr>
          <w:rtl/>
        </w:rPr>
        <w:t>تشمل الاحتياجات في مجال بناء القدرات اللازمة لتعديل وصف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ولوصف المناطق البحرية المهمة إيكولوجيا</w:t>
      </w:r>
      <w:r w:rsidRPr="00D33EF0">
        <w:rPr>
          <w:rFonts w:hint="cs"/>
          <w:rtl/>
        </w:rPr>
        <w:t>ً</w:t>
      </w:r>
      <w:r w:rsidRPr="00D33EF0">
        <w:rPr>
          <w:rtl/>
        </w:rPr>
        <w:t xml:space="preserve"> أو بيولوجيا</w:t>
      </w:r>
      <w:r w:rsidRPr="00D33EF0">
        <w:rPr>
          <w:rFonts w:hint="cs"/>
          <w:rtl/>
        </w:rPr>
        <w:t>ً</w:t>
      </w:r>
      <w:r w:rsidRPr="00D33EF0">
        <w:rPr>
          <w:rtl/>
        </w:rPr>
        <w:t xml:space="preserve"> الجديدة ما يلي:</w:t>
      </w:r>
    </w:p>
    <w:p w:rsidR="000A5DEA" w:rsidRPr="00D33EF0" w:rsidRDefault="000A5DEA" w:rsidP="000A5DEA">
      <w:pPr>
        <w:pStyle w:val="ListParagraph"/>
        <w:kinsoku w:val="0"/>
        <w:overflowPunct w:val="0"/>
        <w:autoSpaceDE w:val="0"/>
        <w:autoSpaceDN w:val="0"/>
        <w:bidi/>
        <w:spacing w:after="60" w:line="204" w:lineRule="auto"/>
        <w:ind w:left="0" w:firstLine="720"/>
        <w:rPr>
          <w:rFonts w:cs="Simplified Arabic"/>
          <w:snapToGrid w:val="0"/>
          <w:color w:val="000000"/>
          <w:kern w:val="22"/>
        </w:rPr>
      </w:pPr>
      <w:r w:rsidRPr="00D33EF0">
        <w:rPr>
          <w:rFonts w:cs="Simplified Arabic"/>
          <w:rtl/>
        </w:rPr>
        <w:t>(أ)</w:t>
      </w:r>
      <w:r w:rsidRPr="00D33EF0">
        <w:rPr>
          <w:rFonts w:cs="Simplified Arabic"/>
          <w:rtl/>
        </w:rPr>
        <w:tab/>
        <w:t xml:space="preserve">استخدام المعلومات العلمية والتقنية والمعارف </w:t>
      </w:r>
      <w:r>
        <w:rPr>
          <w:rFonts w:cs="Simplified Arabic" w:hint="cs"/>
          <w:rtl/>
        </w:rPr>
        <w:t>التقليدية</w:t>
      </w:r>
      <w:r w:rsidRPr="00D33EF0">
        <w:rPr>
          <w:rFonts w:cs="Simplified Arabic" w:hint="cs"/>
          <w:rtl/>
        </w:rPr>
        <w:t xml:space="preserve"> </w:t>
      </w:r>
      <w:r w:rsidRPr="00D33EF0">
        <w:rPr>
          <w:rFonts w:cs="Simplified Arabic"/>
          <w:rtl/>
        </w:rPr>
        <w:t>لوصف المناطق التي تستوفي معايير المناطق البحرية المهمة إيكولوجيا</w:t>
      </w:r>
      <w:r w:rsidRPr="00D33EF0">
        <w:rPr>
          <w:rFonts w:cs="Simplified Arabic" w:hint="cs"/>
          <w:rtl/>
        </w:rPr>
        <w:t>ً</w:t>
      </w:r>
      <w:r w:rsidRPr="00D33EF0">
        <w:rPr>
          <w:rFonts w:cs="Simplified Arabic"/>
          <w:rtl/>
        </w:rPr>
        <w:t xml:space="preserve"> أو بيولوجيا</w:t>
      </w:r>
      <w:r w:rsidRPr="00D33EF0">
        <w:rPr>
          <w:rFonts w:cs="Simplified Arabic" w:hint="cs"/>
          <w:rtl/>
        </w:rPr>
        <w:t>ً</w:t>
      </w:r>
      <w:r w:rsidRPr="00D33EF0">
        <w:rPr>
          <w:rFonts w:cs="Simplified Arabic"/>
          <w:rtl/>
        </w:rPr>
        <w:t xml:space="preserve"> ولتعديل وصف المناطق البحرية المهمة إيكولوجيا</w:t>
      </w:r>
      <w:r w:rsidRPr="00D33EF0">
        <w:rPr>
          <w:rFonts w:cs="Simplified Arabic" w:hint="cs"/>
          <w:rtl/>
        </w:rPr>
        <w:t>ً</w:t>
      </w:r>
      <w:r w:rsidRPr="00D33EF0">
        <w:rPr>
          <w:rFonts w:cs="Simplified Arabic"/>
          <w:rtl/>
        </w:rPr>
        <w:t xml:space="preserve"> أو بيولوجيا</w:t>
      </w:r>
      <w:r w:rsidRPr="00D33EF0">
        <w:rPr>
          <w:rFonts w:cs="Simplified Arabic" w:hint="cs"/>
          <w:rtl/>
        </w:rPr>
        <w:t>ً</w:t>
      </w:r>
      <w:r w:rsidRPr="00D33EF0">
        <w:rPr>
          <w:rFonts w:cs="Simplified Arabic"/>
          <w:rtl/>
        </w:rPr>
        <w:t>؛</w:t>
      </w:r>
    </w:p>
    <w:p w:rsidR="000A5DEA" w:rsidRPr="00D33EF0" w:rsidRDefault="000A5DEA" w:rsidP="000A5DEA">
      <w:pPr>
        <w:pStyle w:val="ListParagraph"/>
        <w:kinsoku w:val="0"/>
        <w:overflowPunct w:val="0"/>
        <w:autoSpaceDE w:val="0"/>
        <w:autoSpaceDN w:val="0"/>
        <w:bidi/>
        <w:spacing w:after="60" w:line="204" w:lineRule="auto"/>
        <w:ind w:left="0" w:firstLine="720"/>
        <w:rPr>
          <w:rFonts w:cs="Simplified Arabic"/>
          <w:rtl/>
        </w:rPr>
      </w:pPr>
      <w:r w:rsidRPr="00D33EF0">
        <w:rPr>
          <w:rFonts w:cs="Simplified Arabic"/>
          <w:rtl/>
        </w:rPr>
        <w:t>(ب)</w:t>
      </w:r>
      <w:r w:rsidRPr="00D33EF0">
        <w:rPr>
          <w:rFonts w:cs="Simplified Arabic"/>
          <w:rtl/>
        </w:rPr>
        <w:tab/>
      </w:r>
      <w:r w:rsidRPr="00D33EF0">
        <w:rPr>
          <w:rStyle w:val="shorttext"/>
          <w:rFonts w:cs="Simplified Arabic"/>
          <w:rtl/>
        </w:rPr>
        <w:t xml:space="preserve">التوعية بشأن عملية المناطق </w:t>
      </w:r>
      <w:r w:rsidRPr="00D33EF0">
        <w:rPr>
          <w:rFonts w:cs="Simplified Arabic"/>
          <w:rtl/>
        </w:rPr>
        <w:t>البحرية</w:t>
      </w:r>
      <w:r w:rsidRPr="00D33EF0">
        <w:rPr>
          <w:rStyle w:val="shorttext"/>
          <w:rFonts w:cs="Simplified Arabic"/>
          <w:rtl/>
        </w:rPr>
        <w:t xml:space="preserve"> المهمة إيكولوجيا</w:t>
      </w:r>
      <w:r w:rsidRPr="00D33EF0">
        <w:rPr>
          <w:rStyle w:val="shorttext"/>
          <w:rFonts w:cs="Simplified Arabic" w:hint="cs"/>
          <w:rtl/>
        </w:rPr>
        <w:t>ً</w:t>
      </w:r>
      <w:r w:rsidRPr="00D33EF0">
        <w:rPr>
          <w:rStyle w:val="shorttext"/>
          <w:rFonts w:cs="Simplified Arabic"/>
          <w:rtl/>
        </w:rPr>
        <w:t xml:space="preserve"> أو بيولوجيا</w:t>
      </w:r>
      <w:r w:rsidRPr="00D33EF0">
        <w:rPr>
          <w:rStyle w:val="shorttext"/>
          <w:rFonts w:cs="Simplified Arabic" w:hint="cs"/>
          <w:rtl/>
        </w:rPr>
        <w:t>ً</w:t>
      </w:r>
      <w:r w:rsidRPr="00D33EF0">
        <w:rPr>
          <w:rStyle w:val="shorttext"/>
          <w:rFonts w:cs="Simplified Arabic"/>
          <w:rtl/>
        </w:rPr>
        <w:t xml:space="preserve"> وفهمها</w:t>
      </w:r>
      <w:r w:rsidRPr="00D33EF0">
        <w:rPr>
          <w:rFonts w:cs="Simplified Arabic"/>
          <w:rtl/>
        </w:rPr>
        <w:t>؛</w:t>
      </w:r>
    </w:p>
    <w:p w:rsidR="000A5DEA" w:rsidRPr="00D33EF0" w:rsidRDefault="000A5DEA" w:rsidP="000A5DEA">
      <w:pPr>
        <w:pStyle w:val="ListParagraph"/>
        <w:kinsoku w:val="0"/>
        <w:overflowPunct w:val="0"/>
        <w:autoSpaceDE w:val="0"/>
        <w:autoSpaceDN w:val="0"/>
        <w:bidi/>
        <w:spacing w:after="60" w:line="204" w:lineRule="auto"/>
        <w:ind w:left="0" w:firstLine="720"/>
        <w:rPr>
          <w:rFonts w:cs="Simplified Arabic"/>
          <w:rtl/>
        </w:rPr>
      </w:pPr>
      <w:r w:rsidRPr="00D33EF0">
        <w:rPr>
          <w:rFonts w:cs="Simplified Arabic"/>
          <w:rtl/>
        </w:rPr>
        <w:lastRenderedPageBreak/>
        <w:t>(ج)</w:t>
      </w:r>
      <w:r w:rsidRPr="00D33EF0">
        <w:rPr>
          <w:rFonts w:cs="Simplified Arabic"/>
          <w:rtl/>
        </w:rPr>
        <w:tab/>
      </w:r>
      <w:r w:rsidRPr="00D33EF0">
        <w:rPr>
          <w:rFonts w:cs="Simplified Arabic" w:hint="cs"/>
          <w:rtl/>
        </w:rPr>
        <w:t>إجراء</w:t>
      </w:r>
      <w:r w:rsidRPr="00D33EF0">
        <w:rPr>
          <w:rFonts w:cs="Simplified Arabic"/>
          <w:rtl/>
        </w:rPr>
        <w:t xml:space="preserve"> حوار بين حائزي المعارف </w:t>
      </w:r>
      <w:r>
        <w:rPr>
          <w:rFonts w:cs="Simplified Arabic" w:hint="cs"/>
          <w:rtl/>
        </w:rPr>
        <w:t>التقليدية</w:t>
      </w:r>
      <w:r w:rsidRPr="00D33EF0">
        <w:rPr>
          <w:rFonts w:cs="Simplified Arabic"/>
          <w:rtl/>
        </w:rPr>
        <w:t xml:space="preserve"> والعلماء بشأن استخدام المعارف </w:t>
      </w:r>
      <w:r w:rsidRPr="00D33EF0">
        <w:rPr>
          <w:rFonts w:cs="Simplified Arabic" w:hint="cs"/>
          <w:rtl/>
        </w:rPr>
        <w:t xml:space="preserve">التقليدية </w:t>
      </w:r>
      <w:r w:rsidRPr="00D33EF0">
        <w:rPr>
          <w:rFonts w:cs="Simplified Arabic"/>
          <w:rtl/>
        </w:rPr>
        <w:t>في وصف المناطق البحرية المهمة إيكولوجيا</w:t>
      </w:r>
      <w:r w:rsidRPr="00D33EF0">
        <w:rPr>
          <w:rFonts w:cs="Simplified Arabic" w:hint="cs"/>
          <w:rtl/>
        </w:rPr>
        <w:t>ً</w:t>
      </w:r>
      <w:r w:rsidRPr="00D33EF0">
        <w:rPr>
          <w:rFonts w:cs="Simplified Arabic"/>
          <w:rtl/>
        </w:rPr>
        <w:t xml:space="preserve"> أو بيولوجيا</w:t>
      </w:r>
      <w:r w:rsidRPr="00D33EF0">
        <w:rPr>
          <w:rFonts w:cs="Simplified Arabic" w:hint="cs"/>
          <w:rtl/>
        </w:rPr>
        <w:t>ً</w:t>
      </w:r>
      <w:r w:rsidRPr="00D33EF0">
        <w:rPr>
          <w:rFonts w:cs="Simplified Arabic"/>
          <w:rtl/>
        </w:rPr>
        <w:t xml:space="preserve"> وتعديل وصف المناطق البحرية المهمة إيكولوجيا</w:t>
      </w:r>
      <w:r w:rsidRPr="00D33EF0">
        <w:rPr>
          <w:rFonts w:cs="Simplified Arabic" w:hint="cs"/>
          <w:rtl/>
        </w:rPr>
        <w:t>ً</w:t>
      </w:r>
      <w:r w:rsidRPr="00D33EF0">
        <w:rPr>
          <w:rFonts w:cs="Simplified Arabic"/>
          <w:rtl/>
        </w:rPr>
        <w:t xml:space="preserve"> أو بيولوجيا</w:t>
      </w:r>
      <w:r w:rsidRPr="00D33EF0">
        <w:rPr>
          <w:rFonts w:cs="Simplified Arabic" w:hint="cs"/>
          <w:rtl/>
        </w:rPr>
        <w:t>ً</w:t>
      </w:r>
      <w:r w:rsidRPr="00D33EF0">
        <w:rPr>
          <w:rFonts w:cs="Simplified Arabic"/>
          <w:rtl/>
        </w:rPr>
        <w:t>؛</w:t>
      </w:r>
    </w:p>
    <w:p w:rsidR="000A5DEA" w:rsidRPr="00D33EF0" w:rsidRDefault="000A5DEA" w:rsidP="000A5DEA">
      <w:pPr>
        <w:pStyle w:val="ListParagraph"/>
        <w:kinsoku w:val="0"/>
        <w:overflowPunct w:val="0"/>
        <w:autoSpaceDE w:val="0"/>
        <w:autoSpaceDN w:val="0"/>
        <w:bidi/>
        <w:spacing w:after="100" w:line="204" w:lineRule="auto"/>
        <w:ind w:left="0" w:firstLine="658"/>
        <w:rPr>
          <w:rFonts w:cs="Simplified Arabic"/>
          <w:snapToGrid w:val="0"/>
          <w:color w:val="000000"/>
          <w:kern w:val="22"/>
        </w:rPr>
      </w:pPr>
      <w:r w:rsidRPr="00D33EF0">
        <w:rPr>
          <w:rFonts w:cs="Simplified Arabic"/>
          <w:rtl/>
        </w:rPr>
        <w:t>(د)</w:t>
      </w:r>
      <w:r w:rsidRPr="00D33EF0">
        <w:rPr>
          <w:rFonts w:cs="Simplified Arabic"/>
          <w:rtl/>
        </w:rPr>
        <w:tab/>
        <w:t>فهم الروابط القائمة بين عملية المناطق البحرية المهمة إيكولوجيا</w:t>
      </w:r>
      <w:r w:rsidRPr="00D33EF0">
        <w:rPr>
          <w:rFonts w:cs="Simplified Arabic" w:hint="cs"/>
          <w:rtl/>
        </w:rPr>
        <w:t>ً</w:t>
      </w:r>
      <w:r w:rsidRPr="00D33EF0">
        <w:rPr>
          <w:rFonts w:cs="Simplified Arabic"/>
          <w:rtl/>
        </w:rPr>
        <w:t xml:space="preserve"> أو بيولوجيا</w:t>
      </w:r>
      <w:r w:rsidRPr="00D33EF0">
        <w:rPr>
          <w:rFonts w:cs="Simplified Arabic" w:hint="cs"/>
          <w:rtl/>
        </w:rPr>
        <w:t>ً</w:t>
      </w:r>
      <w:r w:rsidRPr="00D33EF0">
        <w:rPr>
          <w:rFonts w:cs="Simplified Arabic"/>
          <w:rtl/>
        </w:rPr>
        <w:t xml:space="preserve"> والعمليات الأخرى ذات الصلة.</w:t>
      </w:r>
      <w:r>
        <w:rPr>
          <w:rFonts w:cs="Simplified Arabic" w:hint="cs"/>
          <w:snapToGrid w:val="0"/>
          <w:color w:val="000000"/>
          <w:kern w:val="22"/>
          <w:rtl/>
        </w:rPr>
        <w:t>]</w:t>
      </w:r>
    </w:p>
    <w:p w:rsidR="000A5DEA" w:rsidRPr="00D33EF0" w:rsidRDefault="000A5DEA" w:rsidP="000A5DEA">
      <w:pPr>
        <w:jc w:val="center"/>
        <w:rPr>
          <w:i/>
          <w:iCs/>
          <w:rtl/>
          <w:lang w:val="en-GB"/>
        </w:rPr>
      </w:pPr>
      <w:r w:rsidRPr="00D33EF0">
        <w:rPr>
          <w:rFonts w:hint="cs"/>
          <w:i/>
          <w:iCs/>
          <w:rtl/>
          <w:lang w:val="en-GB"/>
        </w:rPr>
        <w:t>المرفق الثالث</w:t>
      </w:r>
    </w:p>
    <w:p w:rsidR="000A5DEA" w:rsidRPr="00D33EF0" w:rsidRDefault="000A5DEA" w:rsidP="000A5DEA">
      <w:pPr>
        <w:spacing w:after="100" w:line="204" w:lineRule="auto"/>
        <w:jc w:val="center"/>
        <w:rPr>
          <w:b/>
          <w:bCs/>
          <w:rtl/>
          <w:lang w:val="en-GB"/>
        </w:rPr>
      </w:pPr>
      <w:r w:rsidRPr="00D33EF0">
        <w:rPr>
          <w:rFonts w:hint="cs"/>
          <w:b/>
          <w:bCs/>
          <w:rtl/>
          <w:lang w:val="en-GB"/>
        </w:rPr>
        <w:t>إضافة لاختصاصات الفريق الاستشاري غير الرسمي المعني بالمناطق البحرية المهمة إيكولوجياً أو بيولوجياُ</w:t>
      </w:r>
    </w:p>
    <w:p w:rsidR="000A5DEA" w:rsidRPr="00D33EF0" w:rsidRDefault="000A5DEA" w:rsidP="000A5DEA">
      <w:pPr>
        <w:spacing w:after="100" w:line="204" w:lineRule="auto"/>
        <w:ind w:firstLine="720"/>
        <w:rPr>
          <w:rtl/>
          <w:lang w:val="en-GB"/>
        </w:rPr>
      </w:pPr>
      <w:r w:rsidRPr="00D33EF0">
        <w:rPr>
          <w:rFonts w:hint="cs"/>
          <w:rtl/>
          <w:lang w:val="en-GB"/>
        </w:rPr>
        <w:t xml:space="preserve">بالإضافة إلى الأحكام المذكورة في القسم الأول (الولايات) من المرفق الثالث بالمقرر 13/12، </w:t>
      </w:r>
      <w:r>
        <w:rPr>
          <w:rFonts w:hint="cs"/>
          <w:rtl/>
          <w:lang w:val="en-GB"/>
        </w:rPr>
        <w:t>تم تعديل</w:t>
      </w:r>
      <w:r w:rsidRPr="00D33EF0">
        <w:rPr>
          <w:rFonts w:hint="cs"/>
          <w:rtl/>
          <w:lang w:val="en-GB"/>
        </w:rPr>
        <w:t xml:space="preserve"> أهداف الفريق الاستشاري غير الرسمي </w:t>
      </w:r>
      <w:r>
        <w:rPr>
          <w:rFonts w:hint="cs"/>
          <w:rtl/>
          <w:lang w:val="en-GB"/>
        </w:rPr>
        <w:t xml:space="preserve">لتتضمن </w:t>
      </w:r>
      <w:r w:rsidRPr="00D33EF0">
        <w:rPr>
          <w:rFonts w:hint="cs"/>
          <w:rtl/>
          <w:lang w:val="en-GB"/>
        </w:rPr>
        <w:t>ما يلي:</w:t>
      </w:r>
    </w:p>
    <w:p w:rsidR="000A5DEA" w:rsidRPr="00D33EF0" w:rsidRDefault="000A5DEA" w:rsidP="000A5DEA">
      <w:pPr>
        <w:kinsoku w:val="0"/>
        <w:overflowPunct w:val="0"/>
        <w:autoSpaceDE w:val="0"/>
        <w:autoSpaceDN w:val="0"/>
        <w:spacing w:after="60" w:line="204" w:lineRule="auto"/>
        <w:ind w:firstLine="720"/>
        <w:rPr>
          <w:rtl/>
          <w:lang w:val="en-GB"/>
        </w:rPr>
      </w:pPr>
      <w:r w:rsidRPr="00D33EF0">
        <w:rPr>
          <w:rFonts w:hint="cs"/>
          <w:rtl/>
          <w:lang w:val="en-GB"/>
        </w:rPr>
        <w:t>(</w:t>
      </w:r>
      <w:r>
        <w:rPr>
          <w:rFonts w:hint="cs"/>
          <w:rtl/>
          <w:lang w:val="en-GB"/>
        </w:rPr>
        <w:t>أ</w:t>
      </w:r>
      <w:r w:rsidRPr="00D33EF0">
        <w:rPr>
          <w:rFonts w:hint="cs"/>
          <w:rtl/>
          <w:lang w:val="en-GB"/>
        </w:rPr>
        <w:t>)</w:t>
      </w:r>
      <w:r w:rsidRPr="00D33EF0">
        <w:rPr>
          <w:rFonts w:hint="cs"/>
          <w:rtl/>
          <w:lang w:val="en-GB"/>
        </w:rPr>
        <w:tab/>
      </w:r>
      <w:r>
        <w:rPr>
          <w:rFonts w:hint="cs"/>
          <w:rtl/>
          <w:lang w:val="en-GB"/>
        </w:rPr>
        <w:t xml:space="preserve">تمشيا مع المقرر 13/12، الفقرة 8، إعداد الإرشادات للأمينة التنفيذية بشأن عقد حلقات عمل جديدة لتيسير وصف </w:t>
      </w:r>
      <w:r w:rsidRPr="00D33EF0">
        <w:rPr>
          <w:rFonts w:hint="cs"/>
          <w:rtl/>
          <w:lang w:val="en-GB"/>
        </w:rPr>
        <w:t xml:space="preserve">المناطق التي تستوفي معايير المناطق البحرية المهمة إيكولوجياً أو بيولوجياً؛ </w:t>
      </w:r>
      <w:r>
        <w:rPr>
          <w:rFonts w:hint="cs"/>
          <w:rtl/>
          <w:lang w:val="en-GB"/>
        </w:rPr>
        <w:t>و</w:t>
      </w:r>
      <w:r w:rsidRPr="00D33EF0">
        <w:rPr>
          <w:rFonts w:hint="cs"/>
          <w:rtl/>
          <w:lang w:val="en-GB"/>
        </w:rPr>
        <w:t>تحديد الحاجة إلى إجراء تحليل علمي للفجوات و/أو تحليل موضوعي، من شأنه أن يكمل حلقات العمل الإقليمية؛ وعند الاقتضاء، إسداء المشورة إلى الأمينة التنفيذية، استنادا إلى نتائج مثل هذا التحليل</w:t>
      </w:r>
      <w:r>
        <w:rPr>
          <w:rFonts w:hint="cs"/>
          <w:rtl/>
          <w:lang w:val="en-GB"/>
        </w:rPr>
        <w:t>، وتقديم مشروع الإرشادات إلى اجتماع قادم للهيئة الفرعية للمشورة العلمية والتقنية والتكنولوجية لكي تنظر فيه؛</w:t>
      </w:r>
    </w:p>
    <w:p w:rsidR="000A5DEA" w:rsidRDefault="000A5DEA" w:rsidP="000A5DEA">
      <w:pPr>
        <w:spacing w:after="100" w:line="204" w:lineRule="auto"/>
        <w:ind w:firstLine="720"/>
        <w:rPr>
          <w:rtl/>
          <w:lang w:val="en-GB"/>
        </w:rPr>
      </w:pPr>
      <w:r w:rsidRPr="00D33EF0">
        <w:rPr>
          <w:rFonts w:hint="cs"/>
          <w:rtl/>
          <w:lang w:val="en-GB"/>
        </w:rPr>
        <w:t>(</w:t>
      </w:r>
      <w:r>
        <w:rPr>
          <w:rFonts w:hint="cs"/>
          <w:rtl/>
          <w:lang w:val="en-GB"/>
        </w:rPr>
        <w:t>ب</w:t>
      </w:r>
      <w:r w:rsidRPr="00D33EF0">
        <w:rPr>
          <w:rFonts w:hint="cs"/>
          <w:rtl/>
          <w:lang w:val="en-GB"/>
        </w:rPr>
        <w:t>)</w:t>
      </w:r>
      <w:r w:rsidRPr="00D33EF0">
        <w:rPr>
          <w:rFonts w:hint="cs"/>
          <w:rtl/>
          <w:lang w:val="en-GB"/>
        </w:rPr>
        <w:tab/>
      </w:r>
      <w:r>
        <w:rPr>
          <w:rFonts w:hint="cs"/>
          <w:rtl/>
          <w:lang w:val="en-GB"/>
        </w:rPr>
        <w:t>إسداء المشورة ل</w:t>
      </w:r>
      <w:r w:rsidRPr="00D33EF0">
        <w:rPr>
          <w:rFonts w:hint="cs"/>
          <w:rtl/>
          <w:lang w:val="en-GB"/>
        </w:rPr>
        <w:t>لأمينة التنفيذية في التخطيط لحلقات العمل الإقليمية بشأن المناطق البحرية المهمة إيكولوجياً أو بيولوجيا لضمان توفير المعارف العلمية والتقنية</w:t>
      </w:r>
      <w:r>
        <w:rPr>
          <w:rFonts w:hint="cs"/>
          <w:rtl/>
          <w:lang w:val="en-GB"/>
        </w:rPr>
        <w:t>،</w:t>
      </w:r>
      <w:r w:rsidRPr="00D33EF0">
        <w:rPr>
          <w:rFonts w:hint="cs"/>
          <w:rtl/>
          <w:lang w:val="en-GB"/>
        </w:rPr>
        <w:t xml:space="preserve"> و</w:t>
      </w:r>
      <w:r>
        <w:rPr>
          <w:rFonts w:hint="cs"/>
          <w:rtl/>
          <w:lang w:val="en-GB"/>
        </w:rPr>
        <w:t xml:space="preserve">كذلك </w:t>
      </w:r>
      <w:r w:rsidRPr="00D33EF0">
        <w:rPr>
          <w:rFonts w:hint="cs"/>
          <w:rtl/>
          <w:lang w:val="en-GB"/>
        </w:rPr>
        <w:t xml:space="preserve">المعارف </w:t>
      </w:r>
      <w:r>
        <w:rPr>
          <w:rFonts w:hint="cs"/>
          <w:rtl/>
          <w:lang w:val="en-GB"/>
        </w:rPr>
        <w:t>التقليدية</w:t>
      </w:r>
      <w:r w:rsidRPr="00D33EF0">
        <w:rPr>
          <w:rFonts w:hint="cs"/>
          <w:rtl/>
          <w:lang w:val="en-GB"/>
        </w:rPr>
        <w:t xml:space="preserve"> على المستويات المناسبة</w:t>
      </w:r>
      <w:r>
        <w:rPr>
          <w:rFonts w:hint="cs"/>
          <w:rtl/>
          <w:lang w:val="en-GB"/>
        </w:rPr>
        <w:t>؛</w:t>
      </w:r>
    </w:p>
    <w:p w:rsidR="000A5DEA" w:rsidRDefault="000A5DEA" w:rsidP="000A5DEA">
      <w:pPr>
        <w:spacing w:line="204" w:lineRule="auto"/>
        <w:ind w:firstLine="720"/>
        <w:rPr>
          <w:rtl/>
          <w:lang w:val="en-GB"/>
        </w:rPr>
      </w:pPr>
      <w:r>
        <w:rPr>
          <w:rFonts w:hint="cs"/>
          <w:rtl/>
          <w:lang w:val="en-GB"/>
        </w:rPr>
        <w:t>(</w:t>
      </w:r>
      <w:r>
        <w:rPr>
          <w:rFonts w:ascii="Simplified Arabic" w:hAnsi="Simplified Arabic" w:hint="cs"/>
          <w:rtl/>
          <w:lang w:val="en-GB"/>
        </w:rPr>
        <w:t>ج</w:t>
      </w:r>
      <w:r>
        <w:rPr>
          <w:rFonts w:hint="cs"/>
          <w:rtl/>
          <w:lang w:val="en-GB"/>
        </w:rPr>
        <w:t>)</w:t>
      </w:r>
      <w:r>
        <w:rPr>
          <w:rFonts w:hint="cs"/>
          <w:rtl/>
          <w:lang w:val="en-GB"/>
        </w:rPr>
        <w:tab/>
        <w:t>إسداء المشورة ل</w:t>
      </w:r>
      <w:r w:rsidRPr="00D33EF0">
        <w:rPr>
          <w:rFonts w:hint="cs"/>
          <w:rtl/>
          <w:lang w:val="en-GB"/>
        </w:rPr>
        <w:t>لأمينة التنفيذية</w:t>
      </w:r>
      <w:r>
        <w:rPr>
          <w:rFonts w:hint="cs"/>
          <w:rtl/>
          <w:lang w:val="en-GB"/>
        </w:rPr>
        <w:t xml:space="preserve"> عند إعداد المبادئ التوجيهية الطوعية للعمليات العلمية لاستعراض النظراء</w:t>
      </w:r>
      <w:r w:rsidRPr="00D33EF0">
        <w:rPr>
          <w:rFonts w:hint="cs"/>
          <w:rtl/>
          <w:lang w:val="en-GB"/>
        </w:rPr>
        <w:t>.</w:t>
      </w:r>
    </w:p>
    <w:p w:rsidR="000A5DEA" w:rsidRPr="007F1434" w:rsidRDefault="000A5DEA" w:rsidP="000A5DEA">
      <w:pPr>
        <w:spacing w:line="204" w:lineRule="auto"/>
        <w:rPr>
          <w:rtl/>
          <w:lang w:val="en-GB"/>
        </w:rPr>
      </w:pPr>
    </w:p>
    <w:p w:rsidR="00E36426" w:rsidRPr="009E01BD" w:rsidRDefault="00D21AB0" w:rsidP="005C478D">
      <w:pPr>
        <w:pStyle w:val="Heading2"/>
        <w:keepNext w:val="0"/>
        <w:rPr>
          <w:rFonts w:ascii="Simplified Arabic" w:hAnsi="Simplified Arabic"/>
          <w:lang w:val="en-GB"/>
        </w:rPr>
      </w:pPr>
      <w:r>
        <w:rPr>
          <w:sz w:val="24"/>
          <w:rtl/>
        </w:rPr>
        <w:br w:type="page"/>
      </w:r>
      <w:bookmarkStart w:id="112" w:name="_Toc6071595"/>
      <w:bookmarkStart w:id="113" w:name="_Toc6139971"/>
      <w:r w:rsidR="00E36426" w:rsidRPr="009E01BD">
        <w:rPr>
          <w:rFonts w:ascii="Simplified Arabic" w:hAnsi="Simplified Arabic"/>
          <w:rtl/>
          <w:lang w:val="en-GB"/>
        </w:rPr>
        <w:lastRenderedPageBreak/>
        <w:t>المقرر 14/10</w:t>
      </w:r>
      <w:r w:rsidR="00E36426" w:rsidRPr="009E01BD">
        <w:rPr>
          <w:rFonts w:ascii="Simplified Arabic" w:hAnsi="Simplified Arabic"/>
          <w:rtl/>
          <w:lang w:val="en-GB"/>
        </w:rPr>
        <w:tab/>
        <w:t>المسائل الأخرى ذات الصلة بالتنوع البيولوجي البحري والساحلي</w:t>
      </w:r>
      <w:bookmarkEnd w:id="112"/>
      <w:bookmarkEnd w:id="113"/>
    </w:p>
    <w:p w:rsidR="00E36426" w:rsidRDefault="00E36426" w:rsidP="00E36426">
      <w:pPr>
        <w:ind w:firstLine="720"/>
        <w:rPr>
          <w:i/>
          <w:iCs/>
          <w:rtl/>
          <w:lang w:val="en-GB"/>
        </w:rPr>
      </w:pPr>
      <w:r w:rsidRPr="00DC488F">
        <w:rPr>
          <w:rFonts w:hint="cs"/>
          <w:i/>
          <w:iCs/>
          <w:rtl/>
          <w:lang w:val="en-GB"/>
        </w:rPr>
        <w:t>إن مؤتمر الأطراف،</w:t>
      </w:r>
    </w:p>
    <w:p w:rsidR="00E36426" w:rsidRDefault="00E36426" w:rsidP="00E36426">
      <w:pPr>
        <w:ind w:firstLine="720"/>
        <w:rPr>
          <w:rtl/>
          <w:lang w:val="en-GB"/>
        </w:rPr>
      </w:pPr>
      <w:r>
        <w:rPr>
          <w:rFonts w:hint="cs"/>
          <w:i/>
          <w:iCs/>
          <w:rtl/>
          <w:lang w:val="en-GB"/>
        </w:rPr>
        <w:t xml:space="preserve">إذ يشير </w:t>
      </w:r>
      <w:r>
        <w:rPr>
          <w:rFonts w:hint="cs"/>
          <w:rtl/>
          <w:lang w:val="en-GB"/>
        </w:rPr>
        <w:t>إلى</w:t>
      </w:r>
      <w:r>
        <w:rPr>
          <w:rFonts w:ascii="Arial" w:hAnsi="Arial" w:cs="Arial" w:hint="cs"/>
          <w:color w:val="222222"/>
          <w:rtl/>
        </w:rPr>
        <w:t xml:space="preserve"> خطة</w:t>
      </w:r>
      <w:r w:rsidRPr="00FD1045">
        <w:rPr>
          <w:rtl/>
          <w:lang w:val="en-GB"/>
        </w:rPr>
        <w:t xml:space="preserve"> التنمية المستدامة لعام 2030 وأهداف </w:t>
      </w:r>
      <w:r>
        <w:rPr>
          <w:rFonts w:hint="cs"/>
          <w:rtl/>
          <w:lang w:val="en-GB"/>
        </w:rPr>
        <w:t>ا</w:t>
      </w:r>
      <w:r>
        <w:rPr>
          <w:rtl/>
          <w:lang w:val="en-GB"/>
        </w:rPr>
        <w:t>لتنمية المستدامة</w:t>
      </w:r>
      <w:r>
        <w:rPr>
          <w:rFonts w:hint="cs"/>
          <w:rtl/>
          <w:lang w:val="en-GB"/>
        </w:rPr>
        <w:t xml:space="preserve"> الواردة فيها</w:t>
      </w:r>
      <w:r w:rsidRPr="00FD1045">
        <w:rPr>
          <w:rtl/>
          <w:lang w:val="en-GB"/>
        </w:rPr>
        <w:t>، ولا سيما الهدف 14</w:t>
      </w:r>
      <w:r>
        <w:rPr>
          <w:rFonts w:hint="cs"/>
          <w:rtl/>
          <w:lang w:val="en-GB"/>
        </w:rPr>
        <w:t>،</w:t>
      </w:r>
      <w:r>
        <w:rPr>
          <w:rStyle w:val="FootnoteReference"/>
          <w:rtl/>
          <w:lang w:val="en-GB"/>
        </w:rPr>
        <w:footnoteReference w:id="170"/>
      </w:r>
    </w:p>
    <w:p w:rsidR="00E36426" w:rsidRPr="007B1986" w:rsidRDefault="00E36426" w:rsidP="00E36426">
      <w:pPr>
        <w:ind w:firstLine="720"/>
        <w:rPr>
          <w:rtl/>
          <w:lang w:val="en-GB"/>
        </w:rPr>
      </w:pPr>
      <w:r>
        <w:rPr>
          <w:rFonts w:hint="cs"/>
          <w:i/>
          <w:iCs/>
          <w:rtl/>
          <w:lang w:val="en-GB"/>
        </w:rPr>
        <w:t>إذ يشير أيضا</w:t>
      </w:r>
      <w:r w:rsidRPr="00D43922">
        <w:rPr>
          <w:rFonts w:hint="cs"/>
          <w:rtl/>
          <w:lang w:val="en-GB"/>
        </w:rPr>
        <w:t xml:space="preserve"> إلى المقرر 13/10 بشأن</w:t>
      </w:r>
      <w:r w:rsidRPr="00D43922">
        <w:rPr>
          <w:rFonts w:eastAsia="Malgun Gothic"/>
          <w:rtl/>
          <w:lang w:val="en-GB"/>
        </w:rPr>
        <w:t xml:space="preserve"> </w:t>
      </w:r>
      <w:r w:rsidRPr="00D43922">
        <w:rPr>
          <w:rtl/>
          <w:lang w:val="en-GB"/>
        </w:rPr>
        <w:t>الحطام البحري</w:t>
      </w:r>
      <w:r w:rsidRPr="00D43922">
        <w:rPr>
          <w:rFonts w:hint="cs"/>
          <w:rtl/>
          <w:lang w:val="en-GB"/>
        </w:rPr>
        <w:t xml:space="preserve"> </w:t>
      </w:r>
      <w:r w:rsidRPr="00D43922">
        <w:rPr>
          <w:rFonts w:ascii="Simplified Arabic" w:hAnsi="Simplified Arabic" w:hint="cs"/>
          <w:color w:val="222222"/>
          <w:rtl/>
        </w:rPr>
        <w:t>وال</w:t>
      </w:r>
      <w:r w:rsidRPr="00D43922">
        <w:rPr>
          <w:rtl/>
          <w:lang w:val="en-GB"/>
        </w:rPr>
        <w:t>ضوضاء</w:t>
      </w:r>
      <w:r w:rsidRPr="00D43922">
        <w:rPr>
          <w:rFonts w:hint="cs"/>
          <w:rtl/>
          <w:lang w:val="en-GB"/>
        </w:rPr>
        <w:t xml:space="preserve"> </w:t>
      </w:r>
      <w:r>
        <w:rPr>
          <w:rFonts w:hint="cs"/>
          <w:rtl/>
          <w:lang w:val="en-GB"/>
        </w:rPr>
        <w:t xml:space="preserve">تحت الماء </w:t>
      </w:r>
      <w:r w:rsidRPr="00D43922">
        <w:rPr>
          <w:rFonts w:hint="cs"/>
          <w:rtl/>
          <w:lang w:val="en-GB"/>
        </w:rPr>
        <w:t>الناجمة عن الأنشطة</w:t>
      </w:r>
      <w:r w:rsidRPr="00D43922">
        <w:rPr>
          <w:rtl/>
          <w:lang w:val="en-GB"/>
        </w:rPr>
        <w:t xml:space="preserve"> البشرية والمقرر</w:t>
      </w:r>
      <w:r w:rsidRPr="000E2BA4">
        <w:rPr>
          <w:i/>
          <w:iCs/>
          <w:rtl/>
          <w:lang w:val="en-GB"/>
        </w:rPr>
        <w:t xml:space="preserve"> </w:t>
      </w:r>
      <w:r w:rsidRPr="007B1986">
        <w:rPr>
          <w:rtl/>
          <w:lang w:val="en-GB"/>
        </w:rPr>
        <w:t>13/11</w:t>
      </w:r>
      <w:r w:rsidRPr="000E2BA4">
        <w:rPr>
          <w:i/>
          <w:iCs/>
          <w:rtl/>
          <w:lang w:val="en-GB"/>
        </w:rPr>
        <w:t xml:space="preserve"> </w:t>
      </w:r>
      <w:r w:rsidRPr="00D43922">
        <w:rPr>
          <w:rtl/>
          <w:lang w:val="en-GB"/>
        </w:rPr>
        <w:t>بشأن التنوع البيولوجي في مناطق المياه الباردة</w:t>
      </w:r>
      <w:r>
        <w:rPr>
          <w:rFonts w:hint="cs"/>
          <w:i/>
          <w:iCs/>
          <w:rtl/>
          <w:lang w:val="en-GB"/>
        </w:rPr>
        <w:t>،</w:t>
      </w:r>
    </w:p>
    <w:p w:rsidR="00E36426" w:rsidRPr="007B1986" w:rsidRDefault="00E36426" w:rsidP="00E36426">
      <w:pPr>
        <w:ind w:firstLine="673"/>
        <w:rPr>
          <w:rtl/>
          <w:lang w:val="en-GB"/>
        </w:rPr>
      </w:pPr>
      <w:r w:rsidRPr="000E2BA4">
        <w:rPr>
          <w:i/>
          <w:iCs/>
          <w:rtl/>
          <w:lang w:val="en-GB"/>
        </w:rPr>
        <w:t>و</w:t>
      </w:r>
      <w:r>
        <w:rPr>
          <w:rFonts w:hint="cs"/>
          <w:i/>
          <w:iCs/>
          <w:rtl/>
          <w:lang w:val="en-GB"/>
        </w:rPr>
        <w:t xml:space="preserve">إذ </w:t>
      </w:r>
      <w:r w:rsidRPr="000E2BA4">
        <w:rPr>
          <w:i/>
          <w:iCs/>
          <w:rtl/>
          <w:lang w:val="en-GB"/>
        </w:rPr>
        <w:t xml:space="preserve">يلاحظ </w:t>
      </w:r>
      <w:r w:rsidRPr="00D43922">
        <w:rPr>
          <w:rtl/>
          <w:lang w:val="en-GB"/>
        </w:rPr>
        <w:t xml:space="preserve">نتائج مؤتمر الأمم المتحدة لدعم تنفيذ </w:t>
      </w:r>
      <w:r>
        <w:rPr>
          <w:rFonts w:hint="cs"/>
          <w:rtl/>
          <w:lang w:val="en-GB"/>
        </w:rPr>
        <w:t>ال</w:t>
      </w:r>
      <w:r w:rsidRPr="00D43922">
        <w:rPr>
          <w:rFonts w:hint="cs"/>
          <w:rtl/>
          <w:lang w:val="en-GB"/>
        </w:rPr>
        <w:t>هدف</w:t>
      </w:r>
      <w:r>
        <w:rPr>
          <w:rFonts w:hint="cs"/>
          <w:rtl/>
          <w:lang w:val="en-GB"/>
        </w:rPr>
        <w:t xml:space="preserve"> 14 من أهداف</w:t>
      </w:r>
      <w:r w:rsidRPr="00D43922">
        <w:rPr>
          <w:rFonts w:hint="cs"/>
          <w:rtl/>
          <w:lang w:val="en-GB"/>
        </w:rPr>
        <w:t xml:space="preserve"> </w:t>
      </w:r>
      <w:r w:rsidRPr="00D43922">
        <w:rPr>
          <w:rtl/>
          <w:lang w:val="en-GB"/>
        </w:rPr>
        <w:t>التنمية المستدامة</w:t>
      </w:r>
      <w:r w:rsidRPr="000E2BA4">
        <w:rPr>
          <w:rFonts w:hint="cs"/>
          <w:i/>
          <w:iCs/>
          <w:rtl/>
          <w:lang w:val="en-GB"/>
        </w:rPr>
        <w:t>،</w:t>
      </w:r>
      <w:r w:rsidRPr="007B1986">
        <w:rPr>
          <w:vertAlign w:val="superscript"/>
          <w:rtl/>
          <w:lang w:val="en-GB"/>
        </w:rPr>
        <w:footnoteReference w:id="171"/>
      </w:r>
      <w:r w:rsidRPr="007B1986">
        <w:rPr>
          <w:rFonts w:hint="cs"/>
          <w:rtl/>
          <w:lang w:val="en-GB"/>
        </w:rPr>
        <w:t xml:space="preserve"> </w:t>
      </w:r>
    </w:p>
    <w:p w:rsidR="00E36426" w:rsidRPr="000E2BA4" w:rsidRDefault="00E36426" w:rsidP="00E36426">
      <w:pPr>
        <w:ind w:firstLine="673"/>
        <w:rPr>
          <w:i/>
          <w:iCs/>
          <w:lang w:val="en-GB"/>
        </w:rPr>
      </w:pPr>
      <w:r w:rsidRPr="000E2BA4">
        <w:rPr>
          <w:rFonts w:hint="cs"/>
          <w:i/>
          <w:iCs/>
          <w:rtl/>
          <w:lang w:val="en-GB"/>
        </w:rPr>
        <w:t xml:space="preserve">وإذ يشير </w:t>
      </w:r>
      <w:r w:rsidRPr="00D43922">
        <w:rPr>
          <w:rFonts w:hint="cs"/>
          <w:rtl/>
          <w:lang w:val="en-GB"/>
        </w:rPr>
        <w:t xml:space="preserve">أيضاً إلى قرار جمعية الأمم المتحدة للبيئة 3/7 بشأن القمامة البحرية والجزيئات البلاستيكية، لا سيما </w:t>
      </w:r>
      <w:r w:rsidRPr="00DD0CE6">
        <w:rPr>
          <w:rtl/>
          <w:lang w:val="en-GB"/>
        </w:rPr>
        <w:t xml:space="preserve">الدعوة الموجهة إلى المنظمات والاتفاقيات الدولية والإقليمية ذات الصلة، بما في ذلك اتفاقية التنوع البيولوجي، حسب الاقتضاء، </w:t>
      </w:r>
      <w:r>
        <w:rPr>
          <w:rFonts w:hint="cs"/>
          <w:rtl/>
          <w:lang w:val="en-GB"/>
        </w:rPr>
        <w:t>و</w:t>
      </w:r>
      <w:r w:rsidRPr="00DD0CE6">
        <w:rPr>
          <w:rtl/>
          <w:lang w:val="en-GB"/>
        </w:rPr>
        <w:t xml:space="preserve">في إطار ولاياتها، من أجل زيادة إجراءاتها لمنع القمامة البحرية واللدائن الدقيقة والحد منها ومن وتأثيراتها الضارة، والتنسيق، عند الاقتضاء، لتحقيق هذه الغاية، وكذلك قرار </w:t>
      </w:r>
      <w:r w:rsidRPr="00DD0CE6">
        <w:rPr>
          <w:rFonts w:hint="cs"/>
          <w:rtl/>
          <w:lang w:val="en-GB"/>
        </w:rPr>
        <w:t xml:space="preserve">إنشاء </w:t>
      </w:r>
      <w:r w:rsidRPr="00DD0CE6">
        <w:rPr>
          <w:rtl/>
          <w:lang w:val="en-GB"/>
        </w:rPr>
        <w:t xml:space="preserve">فريق خبراء مخصص مفتوح العضوية في إطار جمعية الأمم المتحدة للبيئة لمواصلة دراسة عوائق محاربة </w:t>
      </w:r>
      <w:r>
        <w:rPr>
          <w:rFonts w:hint="cs"/>
          <w:rtl/>
          <w:lang w:val="en-GB"/>
        </w:rPr>
        <w:t>قمامة</w:t>
      </w:r>
      <w:r w:rsidRPr="00DD0CE6">
        <w:rPr>
          <w:rtl/>
          <w:lang w:val="en-GB"/>
        </w:rPr>
        <w:t xml:space="preserve"> البلاستيك البحري واللدائن الدقيقة من جميع المصادر، وخاصة المصادر ا</w:t>
      </w:r>
      <w:r>
        <w:rPr>
          <w:rtl/>
          <w:lang w:val="en-GB"/>
        </w:rPr>
        <w:t>لبرية والخيارات المطروحة بشأنها</w:t>
      </w:r>
      <w:r w:rsidRPr="007C2A8E">
        <w:rPr>
          <w:rFonts w:hint="cs"/>
          <w:rtl/>
          <w:lang w:val="en-GB"/>
        </w:rPr>
        <w:t>،</w:t>
      </w:r>
    </w:p>
    <w:p w:rsidR="00E36426" w:rsidRPr="00DC488F" w:rsidRDefault="00E36426" w:rsidP="00CD26C5">
      <w:pPr>
        <w:numPr>
          <w:ilvl w:val="1"/>
          <w:numId w:val="55"/>
        </w:numPr>
        <w:kinsoku w:val="0"/>
        <w:overflowPunct w:val="0"/>
        <w:autoSpaceDE w:val="0"/>
        <w:autoSpaceDN w:val="0"/>
        <w:ind w:left="28" w:firstLine="709"/>
        <w:rPr>
          <w:rFonts w:eastAsia="Malgun Gothic"/>
          <w:rtl/>
          <w:lang w:val="en-GB"/>
        </w:rPr>
      </w:pPr>
      <w:r w:rsidRPr="00DC488F">
        <w:rPr>
          <w:rFonts w:eastAsia="Malgun Gothic"/>
          <w:i/>
          <w:iCs/>
          <w:rtl/>
          <w:lang w:val="en-GB"/>
        </w:rPr>
        <w:t>يحث</w:t>
      </w:r>
      <w:r w:rsidRPr="00DC488F">
        <w:rPr>
          <w:rFonts w:eastAsia="Malgun Gothic"/>
          <w:rtl/>
          <w:lang w:val="en-GB"/>
        </w:rPr>
        <w:t xml:space="preserve"> الأطراف على زيادة جهودها فيما يتعلق بما يلي:</w:t>
      </w:r>
    </w:p>
    <w:p w:rsidR="00E36426" w:rsidRPr="00DC488F" w:rsidRDefault="00E36426" w:rsidP="00E36426">
      <w:pPr>
        <w:kinsoku w:val="0"/>
        <w:overflowPunct w:val="0"/>
        <w:autoSpaceDE w:val="0"/>
        <w:autoSpaceDN w:val="0"/>
        <w:ind w:firstLine="1304"/>
        <w:rPr>
          <w:rtl/>
        </w:rPr>
      </w:pPr>
      <w:r w:rsidRPr="00DC488F">
        <w:rPr>
          <w:rtl/>
        </w:rPr>
        <w:t>(أ)</w:t>
      </w:r>
      <w:r w:rsidRPr="00DC488F">
        <w:rPr>
          <w:rFonts w:hint="cs"/>
          <w:rtl/>
        </w:rPr>
        <w:tab/>
      </w:r>
      <w:r>
        <w:rPr>
          <w:rFonts w:hint="cs"/>
          <w:rtl/>
        </w:rPr>
        <w:t xml:space="preserve">تجنب </w:t>
      </w:r>
      <w:r w:rsidRPr="00DC488F">
        <w:rPr>
          <w:rtl/>
        </w:rPr>
        <w:t>الحطام البحري و</w:t>
      </w:r>
      <w:r>
        <w:rPr>
          <w:rFonts w:hint="cs"/>
          <w:rtl/>
        </w:rPr>
        <w:t>ت</w:t>
      </w:r>
      <w:r w:rsidRPr="00DC488F">
        <w:rPr>
          <w:rtl/>
        </w:rPr>
        <w:t>قليل</w:t>
      </w:r>
      <w:r>
        <w:rPr>
          <w:rFonts w:hint="cs"/>
          <w:rtl/>
        </w:rPr>
        <w:t>ه</w:t>
      </w:r>
      <w:r w:rsidRPr="00DC488F">
        <w:rPr>
          <w:rtl/>
        </w:rPr>
        <w:t xml:space="preserve"> إلى </w:t>
      </w:r>
      <w:r w:rsidRPr="00DC488F">
        <w:rPr>
          <w:rFonts w:hint="cs"/>
          <w:rtl/>
        </w:rPr>
        <w:t>أدنى حد</w:t>
      </w:r>
      <w:r w:rsidRPr="00DC488F">
        <w:rPr>
          <w:rtl/>
        </w:rPr>
        <w:t xml:space="preserve"> </w:t>
      </w:r>
      <w:r>
        <w:rPr>
          <w:rFonts w:hint="cs"/>
          <w:rtl/>
        </w:rPr>
        <w:t>و</w:t>
      </w:r>
      <w:r w:rsidRPr="00DC488F">
        <w:rPr>
          <w:rtl/>
        </w:rPr>
        <w:t xml:space="preserve">تخفيف حدته، ولا سيما </w:t>
      </w:r>
      <w:r w:rsidRPr="00DC488F">
        <w:rPr>
          <w:rFonts w:hint="cs"/>
          <w:rtl/>
        </w:rPr>
        <w:t>ال</w:t>
      </w:r>
      <w:r w:rsidRPr="00DC488F">
        <w:rPr>
          <w:rtl/>
        </w:rPr>
        <w:t xml:space="preserve">تلوث </w:t>
      </w:r>
      <w:r w:rsidRPr="00DC488F">
        <w:rPr>
          <w:rFonts w:hint="cs"/>
          <w:rtl/>
        </w:rPr>
        <w:t xml:space="preserve">الناجم عن المواد </w:t>
      </w:r>
      <w:r w:rsidRPr="00DC488F">
        <w:rPr>
          <w:rtl/>
        </w:rPr>
        <w:t>البلاستيك</w:t>
      </w:r>
      <w:r w:rsidRPr="00DC488F">
        <w:rPr>
          <w:rFonts w:hint="cs"/>
          <w:rtl/>
        </w:rPr>
        <w:t>ية</w:t>
      </w:r>
      <w:r w:rsidRPr="00DC488F">
        <w:rPr>
          <w:rtl/>
        </w:rPr>
        <w:t xml:space="preserve">، على التنوع البيولوجي </w:t>
      </w:r>
      <w:r>
        <w:rPr>
          <w:rFonts w:hint="cs"/>
          <w:rtl/>
        </w:rPr>
        <w:t xml:space="preserve">والموائل </w:t>
      </w:r>
      <w:r w:rsidRPr="00DC488F">
        <w:rPr>
          <w:rtl/>
        </w:rPr>
        <w:t>البحري</w:t>
      </w:r>
      <w:r>
        <w:rPr>
          <w:rFonts w:hint="cs"/>
          <w:rtl/>
        </w:rPr>
        <w:t>ة</w:t>
      </w:r>
      <w:r w:rsidRPr="00DC488F">
        <w:rPr>
          <w:rtl/>
        </w:rPr>
        <w:t xml:space="preserve"> والساحلي</w:t>
      </w:r>
      <w:r>
        <w:rPr>
          <w:rFonts w:hint="cs"/>
          <w:rtl/>
        </w:rPr>
        <w:t>ة</w:t>
      </w:r>
      <w:r w:rsidRPr="00DC488F">
        <w:rPr>
          <w:rtl/>
        </w:rPr>
        <w:t>؛</w:t>
      </w:r>
    </w:p>
    <w:p w:rsidR="00E36426" w:rsidRPr="00DC488F" w:rsidRDefault="00E36426" w:rsidP="00E36426">
      <w:pPr>
        <w:kinsoku w:val="0"/>
        <w:overflowPunct w:val="0"/>
        <w:autoSpaceDE w:val="0"/>
        <w:autoSpaceDN w:val="0"/>
        <w:ind w:firstLine="1304"/>
        <w:rPr>
          <w:rtl/>
        </w:rPr>
      </w:pPr>
      <w:r w:rsidRPr="00DC488F">
        <w:rPr>
          <w:rtl/>
        </w:rPr>
        <w:t>(ب)</w:t>
      </w:r>
      <w:r w:rsidRPr="00DC488F">
        <w:rPr>
          <w:rFonts w:hint="cs"/>
          <w:rtl/>
        </w:rPr>
        <w:tab/>
      </w:r>
      <w:r w:rsidRPr="00DC488F">
        <w:rPr>
          <w:rtl/>
        </w:rPr>
        <w:t>معالجة الآثار المحتملة للتعدين في قاع البحار على التنوع البيولوجي البحري؛</w:t>
      </w:r>
    </w:p>
    <w:p w:rsidR="00E36426" w:rsidRPr="00DC488F" w:rsidRDefault="00E36426" w:rsidP="00E36426">
      <w:pPr>
        <w:kinsoku w:val="0"/>
        <w:overflowPunct w:val="0"/>
        <w:autoSpaceDE w:val="0"/>
        <w:autoSpaceDN w:val="0"/>
        <w:ind w:firstLine="1304"/>
        <w:rPr>
          <w:rtl/>
        </w:rPr>
      </w:pPr>
      <w:r w:rsidRPr="00DC488F">
        <w:rPr>
          <w:rtl/>
        </w:rPr>
        <w:t>(ج)</w:t>
      </w:r>
      <w:r w:rsidRPr="00DC488F">
        <w:rPr>
          <w:rFonts w:hint="cs"/>
          <w:rtl/>
        </w:rPr>
        <w:tab/>
      </w:r>
      <w:r w:rsidRPr="00DC488F">
        <w:rPr>
          <w:rtl/>
        </w:rPr>
        <w:t>حماية التنوع البيولوجي في مناطق المياه الباردة</w:t>
      </w:r>
      <w:r>
        <w:rPr>
          <w:rFonts w:hint="cs"/>
          <w:rtl/>
        </w:rPr>
        <w:t>،</w:t>
      </w:r>
      <w:r w:rsidRPr="00FD1045">
        <w:rPr>
          <w:rFonts w:ascii="Arial" w:hAnsi="Arial" w:cs="Arial"/>
          <w:color w:val="222222"/>
          <w:rtl/>
        </w:rPr>
        <w:t xml:space="preserve"> </w:t>
      </w:r>
      <w:r w:rsidRPr="00FD1045">
        <w:rPr>
          <w:rtl/>
        </w:rPr>
        <w:t>مع الإشارة بصفة خاصة إلى إبرام اتفاقية منع الصيد غير المنظم في أعالي البحار في المحيط المتجمد الشمالي</w:t>
      </w:r>
      <w:r>
        <w:rPr>
          <w:rFonts w:hint="cs"/>
          <w:rtl/>
        </w:rPr>
        <w:t xml:space="preserve"> الأوسط</w:t>
      </w:r>
      <w:r w:rsidRPr="00DC488F">
        <w:rPr>
          <w:rtl/>
        </w:rPr>
        <w:t>؛</w:t>
      </w:r>
    </w:p>
    <w:p w:rsidR="00E36426" w:rsidRPr="005A07A4" w:rsidRDefault="00E36426" w:rsidP="00CD26C5">
      <w:pPr>
        <w:numPr>
          <w:ilvl w:val="1"/>
          <w:numId w:val="55"/>
        </w:numPr>
        <w:kinsoku w:val="0"/>
        <w:overflowPunct w:val="0"/>
        <w:autoSpaceDE w:val="0"/>
        <w:autoSpaceDN w:val="0"/>
        <w:ind w:left="28" w:firstLine="709"/>
        <w:rPr>
          <w:rFonts w:eastAsia="Malgun Gothic"/>
          <w:lang w:val="en-GB"/>
        </w:rPr>
      </w:pPr>
      <w:r w:rsidRPr="00DC488F">
        <w:rPr>
          <w:rFonts w:eastAsia="Malgun Gothic"/>
          <w:i/>
          <w:iCs/>
          <w:rtl/>
          <w:lang w:val="en-GB"/>
        </w:rPr>
        <w:t>يرحب</w:t>
      </w:r>
      <w:r w:rsidRPr="00DC488F">
        <w:rPr>
          <w:rFonts w:eastAsia="Malgun Gothic"/>
          <w:rtl/>
          <w:lang w:val="en-GB"/>
        </w:rPr>
        <w:t xml:space="preserve"> بعمل </w:t>
      </w:r>
      <w:r>
        <w:rPr>
          <w:rFonts w:eastAsia="Malgun Gothic" w:hint="cs"/>
          <w:rtl/>
          <w:lang w:val="en-GB"/>
        </w:rPr>
        <w:t xml:space="preserve">فريق خبراء </w:t>
      </w:r>
      <w:r w:rsidRPr="008E0174">
        <w:rPr>
          <w:sz w:val="20"/>
          <w:rtl/>
        </w:rPr>
        <w:t>جمعية الأمم المتحدة للبيئة المفتوح العضوية المخصص للقمامة البحرية</w:t>
      </w:r>
      <w:r>
        <w:rPr>
          <w:rFonts w:eastAsia="Malgun Gothic" w:hint="cs"/>
          <w:rtl/>
          <w:lang w:val="en-GB"/>
        </w:rPr>
        <w:t xml:space="preserve"> </w:t>
      </w:r>
      <w:r w:rsidRPr="00DD0CE6">
        <w:rPr>
          <w:rFonts w:eastAsia="Malgun Gothic" w:hint="cs"/>
          <w:i/>
          <w:iCs/>
          <w:rtl/>
          <w:lang w:val="en-GB"/>
        </w:rPr>
        <w:t>ويطلب</w:t>
      </w:r>
      <w:r>
        <w:rPr>
          <w:rFonts w:eastAsia="Malgun Gothic" w:hint="cs"/>
          <w:rtl/>
          <w:lang w:val="en-GB"/>
        </w:rPr>
        <w:t xml:space="preserve"> إلى </w:t>
      </w:r>
      <w:r w:rsidRPr="00DC488F">
        <w:rPr>
          <w:rFonts w:eastAsia="Malgun Gothic"/>
          <w:rtl/>
          <w:lang w:val="en-GB"/>
        </w:rPr>
        <w:t>الأمينة التنفيذية</w:t>
      </w:r>
      <w:r w:rsidRPr="008E0174">
        <w:rPr>
          <w:sz w:val="20"/>
          <w:rtl/>
        </w:rPr>
        <w:t xml:space="preserve"> </w:t>
      </w:r>
      <w:r>
        <w:rPr>
          <w:rFonts w:hint="cs"/>
          <w:sz w:val="20"/>
          <w:rtl/>
        </w:rPr>
        <w:t xml:space="preserve">إبلاغ فريق الخبراء </w:t>
      </w:r>
      <w:r w:rsidRPr="008E0174">
        <w:rPr>
          <w:sz w:val="20"/>
          <w:rtl/>
        </w:rPr>
        <w:t xml:space="preserve">بالأعمال ذات الصلة التي تضطلع بها الاتفاقية، وكذلك </w:t>
      </w:r>
      <w:r>
        <w:rPr>
          <w:rFonts w:hint="cs"/>
          <w:sz w:val="20"/>
          <w:rtl/>
        </w:rPr>
        <w:t>المساهمة</w:t>
      </w:r>
      <w:r w:rsidRPr="008E0174">
        <w:rPr>
          <w:sz w:val="20"/>
          <w:rtl/>
        </w:rPr>
        <w:t>، حسب الاقتضاء، في أعمال فريق الخبراء</w:t>
      </w:r>
      <w:r>
        <w:rPr>
          <w:rFonts w:hint="cs"/>
          <w:sz w:val="20"/>
          <w:rtl/>
        </w:rPr>
        <w:t>، فيما يتعلق، ضمن أمور أخرى، بالقرار 3/7 الصادر عن جمعية الأمم المتحدة للبيئة بشأن القمامة البحرية واللدائن الدقيقة</w:t>
      </w:r>
      <w:r w:rsidRPr="008E0174">
        <w:rPr>
          <w:sz w:val="20"/>
          <w:rtl/>
        </w:rPr>
        <w:t>؛</w:t>
      </w:r>
    </w:p>
    <w:p w:rsidR="00E36426" w:rsidRDefault="00E36426" w:rsidP="00CD26C5">
      <w:pPr>
        <w:numPr>
          <w:ilvl w:val="1"/>
          <w:numId w:val="55"/>
        </w:numPr>
        <w:kinsoku w:val="0"/>
        <w:overflowPunct w:val="0"/>
        <w:autoSpaceDE w:val="0"/>
        <w:autoSpaceDN w:val="0"/>
        <w:ind w:left="28" w:firstLine="709"/>
        <w:rPr>
          <w:rFonts w:eastAsia="Malgun Gothic"/>
          <w:lang w:val="en-GB"/>
        </w:rPr>
      </w:pPr>
      <w:r>
        <w:rPr>
          <w:rFonts w:eastAsia="Malgun Gothic" w:hint="cs"/>
          <w:i/>
          <w:iCs/>
          <w:rtl/>
          <w:lang w:val="en-GB"/>
        </w:rPr>
        <w:t>يرحب</w:t>
      </w:r>
      <w:r w:rsidRPr="005A07A4">
        <w:rPr>
          <w:rFonts w:eastAsia="Malgun Gothic"/>
          <w:rtl/>
          <w:lang w:val="en-GB"/>
        </w:rPr>
        <w:t xml:space="preserve"> بالتقدم المحرز في أعمال السلطة الدولية لقاع البحار، ولا سيما بشأن مشاريع </w:t>
      </w:r>
      <w:r>
        <w:rPr>
          <w:rFonts w:eastAsia="Malgun Gothic" w:hint="cs"/>
          <w:rtl/>
          <w:lang w:val="en-GB"/>
        </w:rPr>
        <w:t>القواعد</w:t>
      </w:r>
      <w:r w:rsidRPr="005A07A4">
        <w:rPr>
          <w:rFonts w:eastAsia="Malgun Gothic"/>
          <w:rtl/>
          <w:lang w:val="en-GB"/>
        </w:rPr>
        <w:t xml:space="preserve"> المتعلقة باستغلال الموارد المعدنية في المنطقة؛</w:t>
      </w:r>
    </w:p>
    <w:p w:rsidR="00E36426" w:rsidRPr="002E253D" w:rsidRDefault="00E36426" w:rsidP="00CD26C5">
      <w:pPr>
        <w:numPr>
          <w:ilvl w:val="1"/>
          <w:numId w:val="55"/>
        </w:numPr>
        <w:kinsoku w:val="0"/>
        <w:overflowPunct w:val="0"/>
        <w:autoSpaceDE w:val="0"/>
        <w:autoSpaceDN w:val="0"/>
        <w:ind w:left="28" w:firstLine="709"/>
        <w:rPr>
          <w:rFonts w:eastAsia="Malgun Gothic"/>
          <w:lang w:val="en-GB"/>
        </w:rPr>
      </w:pPr>
      <w:r>
        <w:rPr>
          <w:rFonts w:eastAsia="Malgun Gothic" w:hint="cs"/>
          <w:i/>
          <w:iCs/>
          <w:rtl/>
          <w:lang w:val="en-GB"/>
        </w:rPr>
        <w:t xml:space="preserve">يقر </w:t>
      </w:r>
      <w:r w:rsidRPr="00DD0CE6">
        <w:rPr>
          <w:rFonts w:eastAsia="Malgun Gothic" w:hint="cs"/>
          <w:rtl/>
          <w:lang w:val="en-GB"/>
        </w:rPr>
        <w:t xml:space="preserve">بالحاجة إلى المزيد من </w:t>
      </w:r>
      <w:r w:rsidRPr="00DD0CE6">
        <w:rPr>
          <w:rFonts w:eastAsia="Malgun Gothic"/>
          <w:rtl/>
          <w:lang w:val="en-GB"/>
        </w:rPr>
        <w:t>البحوث المتعلقة ب</w:t>
      </w:r>
      <w:r>
        <w:rPr>
          <w:rFonts w:eastAsia="Malgun Gothic" w:hint="cs"/>
          <w:rtl/>
          <w:lang w:val="en-GB"/>
        </w:rPr>
        <w:t>آثار</w:t>
      </w:r>
      <w:r w:rsidRPr="00DD0CE6">
        <w:rPr>
          <w:rFonts w:eastAsia="Malgun Gothic"/>
          <w:rtl/>
          <w:lang w:val="en-GB"/>
        </w:rPr>
        <w:t xml:space="preserve"> الحطام البحري</w:t>
      </w:r>
      <w:r>
        <w:rPr>
          <w:rFonts w:eastAsia="Malgun Gothic" w:hint="cs"/>
          <w:rtl/>
          <w:lang w:val="en-GB"/>
        </w:rPr>
        <w:t>، بما في ذلك المواد البلاستيكية واللدائن الدقيقة،</w:t>
      </w:r>
      <w:r w:rsidRPr="00DD0CE6">
        <w:rPr>
          <w:rFonts w:eastAsia="Malgun Gothic"/>
          <w:rtl/>
          <w:lang w:val="en-GB"/>
        </w:rPr>
        <w:t xml:space="preserve"> على التنوع البيولوجي والموائل البحرية والساحلية</w:t>
      </w:r>
      <w:r>
        <w:rPr>
          <w:rFonts w:eastAsia="Malgun Gothic" w:hint="cs"/>
          <w:rtl/>
          <w:lang w:val="en-GB"/>
        </w:rPr>
        <w:t>،</w:t>
      </w:r>
      <w:r w:rsidRPr="00DD0CE6">
        <w:rPr>
          <w:rFonts w:eastAsia="Malgun Gothic" w:hint="cs"/>
          <w:rtl/>
          <w:lang w:val="en-GB"/>
        </w:rPr>
        <w:t xml:space="preserve"> </w:t>
      </w:r>
      <w:r w:rsidRPr="00DD0CE6">
        <w:rPr>
          <w:rFonts w:eastAsia="Malgun Gothic" w:hint="cs"/>
          <w:i/>
          <w:iCs/>
          <w:rtl/>
          <w:lang w:val="en-GB"/>
        </w:rPr>
        <w:t>وي</w:t>
      </w:r>
      <w:r w:rsidRPr="00DD0CE6">
        <w:rPr>
          <w:rFonts w:eastAsia="Malgun Gothic"/>
          <w:i/>
          <w:iCs/>
          <w:rtl/>
          <w:lang w:val="en-GB"/>
        </w:rPr>
        <w:t>شدد</w:t>
      </w:r>
      <w:r w:rsidRPr="00DD0CE6">
        <w:rPr>
          <w:rFonts w:eastAsia="Malgun Gothic"/>
          <w:rtl/>
          <w:lang w:val="en-GB"/>
        </w:rPr>
        <w:t xml:space="preserve"> على الحاجة إلى تنظيف وإزالة الحطام البحري</w:t>
      </w:r>
      <w:r>
        <w:rPr>
          <w:rFonts w:eastAsia="Malgun Gothic" w:hint="cs"/>
          <w:rtl/>
          <w:lang w:val="en-GB"/>
        </w:rPr>
        <w:t>، حيثما كان ذلك ملائما وعمليا، وعلى أن هذه الجهود تعتبر ملحة بصفة خاصة</w:t>
      </w:r>
      <w:r w:rsidRPr="00DD0CE6">
        <w:rPr>
          <w:rFonts w:eastAsia="Malgun Gothic"/>
          <w:rtl/>
          <w:lang w:val="en-GB"/>
        </w:rPr>
        <w:t xml:space="preserve"> حيث</w:t>
      </w:r>
      <w:r w:rsidRPr="00DD0CE6">
        <w:rPr>
          <w:rFonts w:eastAsia="Malgun Gothic" w:hint="cs"/>
          <w:rtl/>
          <w:lang w:val="en-GB"/>
        </w:rPr>
        <w:t>ما ي</w:t>
      </w:r>
      <w:r w:rsidRPr="00DD0CE6">
        <w:rPr>
          <w:rFonts w:eastAsia="Malgun Gothic"/>
          <w:rtl/>
          <w:lang w:val="en-GB"/>
        </w:rPr>
        <w:t>شكل</w:t>
      </w:r>
      <w:r>
        <w:rPr>
          <w:rFonts w:eastAsia="Malgun Gothic" w:hint="cs"/>
          <w:rtl/>
          <w:lang w:val="en-GB"/>
        </w:rPr>
        <w:t xml:space="preserve"> الحطام البحري</w:t>
      </w:r>
      <w:r w:rsidRPr="00DD0CE6">
        <w:rPr>
          <w:rFonts w:eastAsia="Malgun Gothic"/>
          <w:rtl/>
          <w:lang w:val="en-GB"/>
        </w:rPr>
        <w:t xml:space="preserve"> </w:t>
      </w:r>
      <w:r w:rsidRPr="00DD0CE6">
        <w:rPr>
          <w:rFonts w:eastAsia="Malgun Gothic" w:hint="cs"/>
          <w:rtl/>
          <w:lang w:val="en-GB"/>
        </w:rPr>
        <w:t>تهديدا</w:t>
      </w:r>
      <w:r w:rsidRPr="00DD0CE6">
        <w:rPr>
          <w:rFonts w:eastAsia="Malgun Gothic"/>
          <w:rtl/>
          <w:lang w:val="en-GB"/>
        </w:rPr>
        <w:t xml:space="preserve"> للتنوع البيولوجي والموائل البحرية والساحلية الحساسة</w:t>
      </w:r>
      <w:r w:rsidRPr="00DD0CE6">
        <w:rPr>
          <w:rFonts w:eastAsia="Malgun Gothic" w:hint="cs"/>
          <w:rtl/>
          <w:lang w:val="en-GB"/>
        </w:rPr>
        <w:t>؛</w:t>
      </w:r>
    </w:p>
    <w:p w:rsidR="00E36426" w:rsidRDefault="00E36426" w:rsidP="00CD26C5">
      <w:pPr>
        <w:numPr>
          <w:ilvl w:val="1"/>
          <w:numId w:val="55"/>
        </w:numPr>
        <w:kinsoku w:val="0"/>
        <w:overflowPunct w:val="0"/>
        <w:autoSpaceDE w:val="0"/>
        <w:autoSpaceDN w:val="0"/>
        <w:ind w:left="28" w:firstLine="709"/>
        <w:rPr>
          <w:rFonts w:eastAsia="Malgun Gothic"/>
          <w:lang w:val="en-GB"/>
        </w:rPr>
      </w:pPr>
      <w:r>
        <w:rPr>
          <w:rFonts w:eastAsia="Malgun Gothic" w:hint="cs"/>
          <w:i/>
          <w:iCs/>
          <w:rtl/>
          <w:lang w:val="en-GB"/>
        </w:rPr>
        <w:t xml:space="preserve">يحيط علما </w:t>
      </w:r>
      <w:r>
        <w:rPr>
          <w:rFonts w:eastAsia="Malgun Gothic" w:hint="cs"/>
          <w:rtl/>
          <w:lang w:val="en-GB"/>
        </w:rPr>
        <w:t xml:space="preserve">بعمل الأمينة التنفيذية، </w:t>
      </w:r>
      <w:r w:rsidRPr="009957D6">
        <w:rPr>
          <w:rFonts w:eastAsia="Malgun Gothic" w:hint="cs"/>
          <w:i/>
          <w:iCs/>
          <w:rtl/>
          <w:lang w:val="en-GB"/>
        </w:rPr>
        <w:t>ويطلب</w:t>
      </w:r>
      <w:r>
        <w:rPr>
          <w:rFonts w:eastAsia="Malgun Gothic" w:hint="cs"/>
          <w:rtl/>
          <w:lang w:val="en-GB"/>
        </w:rPr>
        <w:t xml:space="preserve"> إلى الأمينة التنفيذية أن تواصل العمل على </w:t>
      </w:r>
      <w:r w:rsidRPr="00DC488F">
        <w:rPr>
          <w:rFonts w:eastAsia="Malgun Gothic"/>
          <w:rtl/>
          <w:lang w:val="en-GB"/>
        </w:rPr>
        <w:t xml:space="preserve">تجميع </w:t>
      </w:r>
      <w:r w:rsidRPr="00DD0CE6">
        <w:rPr>
          <w:rFonts w:eastAsia="Malgun Gothic" w:hint="cs"/>
          <w:rtl/>
          <w:lang w:val="en-GB"/>
        </w:rPr>
        <w:t>ال</w:t>
      </w:r>
      <w:r w:rsidRPr="00DC488F">
        <w:rPr>
          <w:rFonts w:eastAsia="Malgun Gothic"/>
          <w:rtl/>
          <w:lang w:val="en-GB"/>
        </w:rPr>
        <w:t xml:space="preserve">معلومات </w:t>
      </w:r>
      <w:r w:rsidRPr="00DD0CE6">
        <w:rPr>
          <w:rFonts w:eastAsia="Malgun Gothic" w:hint="cs"/>
          <w:rtl/>
          <w:lang w:val="en-GB"/>
        </w:rPr>
        <w:t>وتوليفها فيما يتعلق بما يلي</w:t>
      </w:r>
      <w:r>
        <w:rPr>
          <w:rFonts w:eastAsia="Malgun Gothic" w:hint="cs"/>
          <w:rtl/>
          <w:lang w:val="en-GB"/>
        </w:rPr>
        <w:t>:</w:t>
      </w:r>
    </w:p>
    <w:p w:rsidR="00E36426" w:rsidRPr="002E253D" w:rsidRDefault="00E36426" w:rsidP="00CD26C5">
      <w:pPr>
        <w:pStyle w:val="ListParagraph"/>
        <w:numPr>
          <w:ilvl w:val="2"/>
          <w:numId w:val="55"/>
        </w:numPr>
        <w:kinsoku w:val="0"/>
        <w:overflowPunct w:val="0"/>
        <w:autoSpaceDE w:val="0"/>
        <w:autoSpaceDN w:val="0"/>
        <w:bidi/>
        <w:spacing w:line="216" w:lineRule="auto"/>
        <w:ind w:left="0" w:firstLine="720"/>
        <w:rPr>
          <w:rFonts w:cs="Simplified Arabic"/>
        </w:rPr>
      </w:pPr>
      <w:r w:rsidRPr="002E253D">
        <w:rPr>
          <w:rFonts w:eastAsia="YouYuan" w:cs="Simplified Arabic"/>
          <w:kern w:val="2"/>
          <w:rtl/>
        </w:rPr>
        <w:lastRenderedPageBreak/>
        <w:t>آثار الضوضاء تحت الماء الناجمة عن الأنشطة البشرية على التنوع البيولوجي البحري والساحلي ووسائل الحد من هذه الآثار والتخفيف من حدتها</w:t>
      </w:r>
      <w:r w:rsidRPr="002E253D">
        <w:rPr>
          <w:rFonts w:eastAsia="YouYuan" w:cs="Simplified Arabic" w:hint="cs"/>
          <w:kern w:val="2"/>
          <w:rtl/>
        </w:rPr>
        <w:t>؛</w:t>
      </w:r>
      <w:r w:rsidRPr="002E253D">
        <w:rPr>
          <w:rFonts w:eastAsia="YouYuan" w:cs="Simplified Arabic"/>
          <w:kern w:val="2"/>
          <w:vertAlign w:val="superscript"/>
          <w:rtl/>
        </w:rPr>
        <w:footnoteReference w:id="172"/>
      </w:r>
    </w:p>
    <w:p w:rsidR="00E36426" w:rsidRPr="002E253D" w:rsidRDefault="00E36426" w:rsidP="00CD26C5">
      <w:pPr>
        <w:pStyle w:val="ListParagraph"/>
        <w:numPr>
          <w:ilvl w:val="2"/>
          <w:numId w:val="55"/>
        </w:numPr>
        <w:kinsoku w:val="0"/>
        <w:overflowPunct w:val="0"/>
        <w:autoSpaceDE w:val="0"/>
        <w:autoSpaceDN w:val="0"/>
        <w:bidi/>
        <w:spacing w:line="216" w:lineRule="auto"/>
        <w:ind w:left="0" w:firstLine="720"/>
        <w:rPr>
          <w:rFonts w:cs="Simplified Arabic"/>
        </w:rPr>
      </w:pPr>
      <w:r w:rsidRPr="002E253D">
        <w:rPr>
          <w:rFonts w:eastAsia="YouYuan" w:cs="Simplified Arabic"/>
          <w:kern w:val="2"/>
          <w:rtl/>
        </w:rPr>
        <w:t>الخبرات المتعلقة بتطبيق التخطيط المكاني البحري؛</w:t>
      </w:r>
      <w:r w:rsidRPr="002E253D">
        <w:rPr>
          <w:rFonts w:eastAsia="YouYuan" w:cs="Simplified Arabic"/>
          <w:kern w:val="2"/>
          <w:vertAlign w:val="superscript"/>
          <w:rtl/>
        </w:rPr>
        <w:footnoteReference w:id="173"/>
      </w:r>
    </w:p>
    <w:p w:rsidR="00E36426" w:rsidRPr="00866EB6" w:rsidRDefault="00E36426" w:rsidP="00CD26C5">
      <w:pPr>
        <w:numPr>
          <w:ilvl w:val="1"/>
          <w:numId w:val="55"/>
        </w:numPr>
        <w:kinsoku w:val="0"/>
        <w:overflowPunct w:val="0"/>
        <w:autoSpaceDE w:val="0"/>
        <w:autoSpaceDN w:val="0"/>
        <w:ind w:left="28" w:firstLine="709"/>
        <w:rPr>
          <w:rFonts w:eastAsia="Malgun Gothic"/>
          <w:lang w:val="en-GB"/>
        </w:rPr>
      </w:pPr>
      <w:r w:rsidRPr="00866EB6">
        <w:rPr>
          <w:i/>
          <w:iCs/>
          <w:sz w:val="20"/>
          <w:rtl/>
        </w:rPr>
        <w:t>يشجع</w:t>
      </w:r>
      <w:r w:rsidRPr="00866EB6">
        <w:rPr>
          <w:sz w:val="20"/>
          <w:rtl/>
        </w:rPr>
        <w:t xml:space="preserve"> الأطراف</w:t>
      </w:r>
      <w:r>
        <w:rPr>
          <w:rFonts w:hint="cs"/>
          <w:sz w:val="20"/>
          <w:rtl/>
        </w:rPr>
        <w:t>،</w:t>
      </w:r>
      <w:r w:rsidRPr="00866EB6">
        <w:rPr>
          <w:sz w:val="20"/>
          <w:rtl/>
        </w:rPr>
        <w:t xml:space="preserve"> </w:t>
      </w:r>
      <w:r w:rsidRPr="009957D6">
        <w:rPr>
          <w:i/>
          <w:iCs/>
          <w:sz w:val="20"/>
          <w:rtl/>
        </w:rPr>
        <w:t>و</w:t>
      </w:r>
      <w:r w:rsidRPr="009957D6">
        <w:rPr>
          <w:rFonts w:hint="cs"/>
          <w:i/>
          <w:iCs/>
          <w:sz w:val="20"/>
          <w:rtl/>
        </w:rPr>
        <w:t>يدعو</w:t>
      </w:r>
      <w:r>
        <w:rPr>
          <w:rFonts w:hint="cs"/>
          <w:sz w:val="20"/>
          <w:rtl/>
        </w:rPr>
        <w:t xml:space="preserve"> </w:t>
      </w:r>
      <w:r w:rsidRPr="00866EB6">
        <w:rPr>
          <w:sz w:val="20"/>
          <w:rtl/>
        </w:rPr>
        <w:t>الحكومات الأخرى والمنظمات ذات الصلة على الاستفادة من المعلومات</w:t>
      </w:r>
      <w:r>
        <w:rPr>
          <w:rFonts w:hint="cs"/>
          <w:sz w:val="20"/>
          <w:rtl/>
        </w:rPr>
        <w:t xml:space="preserve"> الملاحظة أعلاه</w:t>
      </w:r>
      <w:r w:rsidRPr="00866EB6">
        <w:rPr>
          <w:sz w:val="20"/>
          <w:rtl/>
        </w:rPr>
        <w:t xml:space="preserve">، بما في ذلك في جهودها الرامية إلى </w:t>
      </w:r>
      <w:r>
        <w:rPr>
          <w:rFonts w:hint="cs"/>
          <w:sz w:val="20"/>
          <w:rtl/>
        </w:rPr>
        <w:t>تجنب و</w:t>
      </w:r>
      <w:r w:rsidRPr="00866EB6">
        <w:rPr>
          <w:sz w:val="20"/>
          <w:rtl/>
        </w:rPr>
        <w:t>تقليل آثار الضوضاء تحت الماء الناجمة عن الأنشطة البشرية والتخفيف من حدتها وتطبيق التخطيط المكاني البحري</w:t>
      </w:r>
      <w:r>
        <w:rPr>
          <w:rFonts w:hint="cs"/>
          <w:sz w:val="20"/>
          <w:rtl/>
        </w:rPr>
        <w:t>، تمشيا مع المقرر 13/9</w:t>
      </w:r>
      <w:r w:rsidRPr="00866EB6">
        <w:rPr>
          <w:sz w:val="20"/>
          <w:rtl/>
        </w:rPr>
        <w:t>؛</w:t>
      </w:r>
    </w:p>
    <w:p w:rsidR="00E36426" w:rsidRPr="00866EB6" w:rsidRDefault="00E36426" w:rsidP="00CD26C5">
      <w:pPr>
        <w:numPr>
          <w:ilvl w:val="0"/>
          <w:numId w:val="56"/>
        </w:numPr>
        <w:kinsoku w:val="0"/>
        <w:overflowPunct w:val="0"/>
        <w:autoSpaceDE w:val="0"/>
        <w:autoSpaceDN w:val="0"/>
        <w:ind w:left="29" w:firstLine="708"/>
        <w:rPr>
          <w:rFonts w:eastAsia="Malgun Gothic"/>
          <w:lang w:val="en-GB"/>
        </w:rPr>
      </w:pPr>
      <w:r w:rsidRPr="00866EB6">
        <w:rPr>
          <w:i/>
          <w:iCs/>
          <w:sz w:val="20"/>
          <w:rtl/>
        </w:rPr>
        <w:t>يرحب</w:t>
      </w:r>
      <w:r w:rsidRPr="00866EB6">
        <w:rPr>
          <w:sz w:val="20"/>
          <w:rtl/>
        </w:rPr>
        <w:t xml:space="preserve"> بعمل الأمينة التنفيذية في تجميع معلومات عن تعميم التنوع البيولوجي في مصايد الأسماك، بما في ذلك من خلال نهج النظام الإيكولوجي لمصايد الأسماك،</w:t>
      </w:r>
      <w:r w:rsidRPr="00866EB6">
        <w:rPr>
          <w:sz w:val="20"/>
          <w:vertAlign w:val="superscript"/>
          <w:rtl/>
        </w:rPr>
        <w:footnoteReference w:id="174"/>
      </w:r>
      <w:r w:rsidRPr="00866EB6">
        <w:rPr>
          <w:sz w:val="20"/>
          <w:rtl/>
        </w:rPr>
        <w:t xml:space="preserve"> و</w:t>
      </w:r>
      <w:r w:rsidRPr="00866EB6">
        <w:rPr>
          <w:i/>
          <w:iCs/>
          <w:sz w:val="20"/>
          <w:rtl/>
        </w:rPr>
        <w:t>يشجع</w:t>
      </w:r>
      <w:r w:rsidRPr="00866EB6">
        <w:rPr>
          <w:sz w:val="20"/>
          <w:rtl/>
        </w:rPr>
        <w:t xml:space="preserve"> الأطراف </w:t>
      </w:r>
      <w:r w:rsidRPr="00866EB6">
        <w:rPr>
          <w:i/>
          <w:iCs/>
          <w:sz w:val="20"/>
          <w:rtl/>
        </w:rPr>
        <w:t>ويدعو</w:t>
      </w:r>
      <w:r w:rsidRPr="00866EB6">
        <w:rPr>
          <w:sz w:val="20"/>
          <w:rtl/>
        </w:rPr>
        <w:t xml:space="preserve"> الحكومات الأخرى والمنظمات ذات الصلة إلى الاستفادة من هذه المعلومات؛</w:t>
      </w:r>
    </w:p>
    <w:p w:rsidR="00E36426" w:rsidRPr="00DC488F" w:rsidRDefault="00E36426" w:rsidP="00CD26C5">
      <w:pPr>
        <w:numPr>
          <w:ilvl w:val="0"/>
          <w:numId w:val="56"/>
        </w:numPr>
        <w:kinsoku w:val="0"/>
        <w:overflowPunct w:val="0"/>
        <w:autoSpaceDE w:val="0"/>
        <w:autoSpaceDN w:val="0"/>
        <w:ind w:left="28" w:firstLine="709"/>
        <w:rPr>
          <w:rFonts w:eastAsia="Malgun Gothic"/>
          <w:lang w:val="en-GB"/>
        </w:rPr>
      </w:pPr>
      <w:r w:rsidRPr="00DC488F">
        <w:rPr>
          <w:rFonts w:eastAsia="Malgun Gothic"/>
          <w:i/>
          <w:iCs/>
          <w:rtl/>
          <w:lang w:val="en-GB"/>
        </w:rPr>
        <w:t>يرحب</w:t>
      </w:r>
      <w:r w:rsidRPr="00DC488F">
        <w:rPr>
          <w:rFonts w:eastAsia="Malgun Gothic"/>
          <w:rtl/>
          <w:lang w:val="en-GB"/>
        </w:rPr>
        <w:t xml:space="preserve"> بأنشطة بناء القدرات والشراكة التي يسّرتها الأمينة التنفيذية من خلال مبادرة المحيطات المستدامة على المستويات الوطنية والإقليمية والعالمية بالتعاون مع الأطراف والحكومات الأخرى والمنظمات المعنية، </w:t>
      </w:r>
      <w:r w:rsidRPr="00DC488F">
        <w:rPr>
          <w:rFonts w:eastAsia="Malgun Gothic"/>
          <w:i/>
          <w:iCs/>
          <w:rtl/>
          <w:lang w:val="en-GB"/>
        </w:rPr>
        <w:t>ويعرب عن امتنانه</w:t>
      </w:r>
      <w:r w:rsidRPr="00DC488F">
        <w:rPr>
          <w:rFonts w:eastAsia="Malgun Gothic"/>
          <w:rtl/>
          <w:lang w:val="en-GB"/>
        </w:rPr>
        <w:t xml:space="preserve"> لحكومات اليابان </w:t>
      </w:r>
      <w:r w:rsidRPr="00DC488F">
        <w:rPr>
          <w:rFonts w:eastAsia="Malgun Gothic" w:hint="cs"/>
          <w:rtl/>
          <w:lang w:val="en-GB"/>
        </w:rPr>
        <w:t xml:space="preserve">وفرنسا </w:t>
      </w:r>
      <w:r w:rsidRPr="00DC488F">
        <w:rPr>
          <w:rFonts w:eastAsia="Malgun Gothic"/>
          <w:rtl/>
          <w:lang w:val="en-GB"/>
        </w:rPr>
        <w:t>وجمهورية كوريا والسويد</w:t>
      </w:r>
      <w:r>
        <w:rPr>
          <w:rFonts w:eastAsia="Malgun Gothic" w:hint="cs"/>
          <w:rtl/>
          <w:lang w:val="en-GB"/>
        </w:rPr>
        <w:t>،</w:t>
      </w:r>
      <w:r w:rsidRPr="00DC488F">
        <w:rPr>
          <w:rFonts w:eastAsia="Malgun Gothic"/>
          <w:rtl/>
          <w:lang w:val="en-GB"/>
        </w:rPr>
        <w:t xml:space="preserve"> وللاتحاد الأوروبي والعديد من الشركاء الآخرين لتقديمهم الدعم المالي والتقني لتنفيذ أنشطة</w:t>
      </w:r>
      <w:r>
        <w:rPr>
          <w:rFonts w:eastAsia="Malgun Gothic" w:hint="cs"/>
          <w:rtl/>
          <w:lang w:val="en-GB"/>
        </w:rPr>
        <w:t xml:space="preserve"> بناء القدرات والشراكة</w:t>
      </w:r>
      <w:r w:rsidRPr="00DC488F">
        <w:rPr>
          <w:rFonts w:eastAsia="Malgun Gothic"/>
          <w:rtl/>
          <w:lang w:val="en-GB"/>
        </w:rPr>
        <w:t xml:space="preserve"> </w:t>
      </w:r>
      <w:r>
        <w:rPr>
          <w:rFonts w:eastAsia="Malgun Gothic" w:hint="cs"/>
          <w:rtl/>
          <w:lang w:val="en-GB"/>
        </w:rPr>
        <w:t>في إطار</w:t>
      </w:r>
      <w:r w:rsidRPr="00DC488F">
        <w:rPr>
          <w:rFonts w:eastAsia="Malgun Gothic"/>
          <w:rtl/>
          <w:lang w:val="en-GB"/>
        </w:rPr>
        <w:t xml:space="preserve"> المبادرة المستدامة للمحيطات؛ </w:t>
      </w:r>
      <w:r w:rsidRPr="00DC488F">
        <w:rPr>
          <w:rFonts w:eastAsia="Malgun Gothic"/>
          <w:i/>
          <w:iCs/>
          <w:rtl/>
          <w:lang w:val="en-GB"/>
        </w:rPr>
        <w:t>ويطلب</w:t>
      </w:r>
      <w:r w:rsidRPr="00DC488F">
        <w:rPr>
          <w:rFonts w:eastAsia="Malgun Gothic"/>
          <w:rtl/>
          <w:lang w:val="en-GB"/>
        </w:rPr>
        <w:t xml:space="preserve"> إلى الأمينة التنفيذية أن تواصل هذه الأنشطة</w:t>
      </w:r>
      <w:r>
        <w:rPr>
          <w:rFonts w:eastAsia="Malgun Gothic" w:hint="cs"/>
          <w:rtl/>
          <w:lang w:val="en-GB"/>
        </w:rPr>
        <w:t xml:space="preserve">، بما في ذلك بشأن </w:t>
      </w:r>
      <w:r w:rsidRPr="00DC488F">
        <w:rPr>
          <w:rFonts w:eastAsia="Malgun Gothic" w:hint="cs"/>
          <w:rtl/>
          <w:lang w:val="en-GB"/>
        </w:rPr>
        <w:t>مواضيع محددة</w:t>
      </w:r>
      <w:r>
        <w:rPr>
          <w:rFonts w:eastAsia="Malgun Gothic" w:hint="cs"/>
          <w:rtl/>
          <w:lang w:val="en-GB"/>
        </w:rPr>
        <w:t xml:space="preserve"> تتعلق ب</w:t>
      </w:r>
      <w:r w:rsidRPr="00866EB6">
        <w:rPr>
          <w:rFonts w:eastAsia="Malgun Gothic"/>
          <w:rtl/>
          <w:lang w:val="en-GB"/>
        </w:rPr>
        <w:t xml:space="preserve">الحفظ </w:t>
      </w:r>
      <w:r>
        <w:rPr>
          <w:rFonts w:eastAsia="Malgun Gothic" w:hint="cs"/>
          <w:rtl/>
          <w:lang w:val="en-GB"/>
        </w:rPr>
        <w:t>والاستخدام</w:t>
      </w:r>
      <w:r w:rsidRPr="00866EB6">
        <w:rPr>
          <w:rFonts w:eastAsia="Malgun Gothic"/>
          <w:rtl/>
          <w:lang w:val="en-GB"/>
        </w:rPr>
        <w:t xml:space="preserve"> المستدام للتنوع البيولوجي البحري والساحلي</w:t>
      </w:r>
      <w:r w:rsidRPr="00DC488F">
        <w:rPr>
          <w:rFonts w:eastAsia="Malgun Gothic"/>
          <w:rtl/>
          <w:lang w:val="en-GB"/>
        </w:rPr>
        <w:t>؛</w:t>
      </w:r>
    </w:p>
    <w:p w:rsidR="00E36426" w:rsidRPr="00DC488F" w:rsidRDefault="00E36426" w:rsidP="00CD26C5">
      <w:pPr>
        <w:numPr>
          <w:ilvl w:val="0"/>
          <w:numId w:val="56"/>
        </w:numPr>
        <w:kinsoku w:val="0"/>
        <w:overflowPunct w:val="0"/>
        <w:autoSpaceDE w:val="0"/>
        <w:autoSpaceDN w:val="0"/>
        <w:ind w:left="28" w:firstLine="709"/>
        <w:rPr>
          <w:rFonts w:eastAsia="Malgun Gothic"/>
          <w:lang w:val="en-GB"/>
        </w:rPr>
      </w:pPr>
      <w:r w:rsidRPr="00DC488F">
        <w:rPr>
          <w:rFonts w:eastAsia="Malgun Gothic"/>
          <w:i/>
          <w:iCs/>
          <w:rtl/>
          <w:lang w:val="en-GB"/>
        </w:rPr>
        <w:t>يرحب أيضا</w:t>
      </w:r>
      <w:r w:rsidRPr="00DC488F">
        <w:rPr>
          <w:rFonts w:eastAsia="Malgun Gothic"/>
          <w:rtl/>
          <w:lang w:val="en-GB"/>
        </w:rPr>
        <w:t xml:space="preserve"> بالجهود التعاونية بين الأمانة وبرنامج الأمم المتحدة للبيئة ومنظمة الأغذية والزراعة للأمم المتحدة و</w:t>
      </w:r>
      <w:r w:rsidRPr="00DC488F">
        <w:rPr>
          <w:rFonts w:eastAsia="Malgun Gothic" w:hint="cs"/>
          <w:rtl/>
          <w:lang w:val="en-GB"/>
        </w:rPr>
        <w:t>ال</w:t>
      </w:r>
      <w:r w:rsidRPr="00DC488F">
        <w:rPr>
          <w:rFonts w:eastAsia="Malgun Gothic"/>
          <w:rtl/>
          <w:lang w:val="en-GB"/>
        </w:rPr>
        <w:t xml:space="preserve">اتفاقيات وخطط </w:t>
      </w:r>
      <w:r w:rsidRPr="00DC488F">
        <w:rPr>
          <w:rFonts w:eastAsia="Malgun Gothic" w:hint="cs"/>
          <w:rtl/>
          <w:lang w:val="en-GB"/>
        </w:rPr>
        <w:t>ال</w:t>
      </w:r>
      <w:r w:rsidRPr="00DC488F">
        <w:rPr>
          <w:rFonts w:eastAsia="Malgun Gothic"/>
          <w:rtl/>
          <w:lang w:val="en-GB"/>
        </w:rPr>
        <w:t xml:space="preserve">عمل الإقليمية </w:t>
      </w:r>
      <w:r w:rsidRPr="00DC488F">
        <w:rPr>
          <w:rFonts w:eastAsia="Malgun Gothic" w:hint="cs"/>
          <w:rtl/>
          <w:lang w:val="en-GB"/>
        </w:rPr>
        <w:t xml:space="preserve">بشأن </w:t>
      </w:r>
      <w:r w:rsidRPr="00DC488F">
        <w:rPr>
          <w:rFonts w:eastAsia="Malgun Gothic"/>
          <w:rtl/>
          <w:lang w:val="en-GB"/>
        </w:rPr>
        <w:t xml:space="preserve">البحار وهيئات مصايد الأسماك الإقليمية ومشروعات/برامج النظم الإيكولوجية البحرية </w:t>
      </w:r>
      <w:r w:rsidRPr="00DC488F">
        <w:rPr>
          <w:rFonts w:eastAsia="Malgun Gothic" w:hint="cs"/>
          <w:rtl/>
          <w:lang w:val="en-GB"/>
        </w:rPr>
        <w:t>الكبيرة</w:t>
      </w:r>
      <w:r w:rsidRPr="00DC488F">
        <w:rPr>
          <w:rFonts w:eastAsia="Malgun Gothic"/>
          <w:rtl/>
          <w:lang w:val="en-GB"/>
        </w:rPr>
        <w:t xml:space="preserve"> والمبادرات الإقليمية الأخرى ذات الصلة، لتعزيز التعاون </w:t>
      </w:r>
      <w:r w:rsidRPr="00DC488F">
        <w:rPr>
          <w:rFonts w:eastAsia="Malgun Gothic" w:hint="cs"/>
          <w:rtl/>
          <w:lang w:val="en-GB"/>
        </w:rPr>
        <w:t>عبر</w:t>
      </w:r>
      <w:r w:rsidRPr="00DC488F">
        <w:rPr>
          <w:rFonts w:eastAsia="Malgun Gothic"/>
          <w:rtl/>
          <w:lang w:val="en-GB"/>
        </w:rPr>
        <w:t xml:space="preserve"> القطاعات على المستوى الإقليمي من أجل تسريع إحراز تقدم نحو تحقيق أهداف أيشي للتنوع البيولوجي وأهداف التنمية المستدامة ذات الصلة، بما في ذلك من خلال الحوار العالمي لمبادرة المحيطات المستدامة مع منظمات البحار الإقليمية وهيئات مصايد الأسماك الإقليمية، </w:t>
      </w:r>
      <w:r w:rsidRPr="00DC488F">
        <w:rPr>
          <w:rFonts w:eastAsia="Malgun Gothic"/>
          <w:i/>
          <w:iCs/>
          <w:rtl/>
          <w:lang w:val="en-GB"/>
        </w:rPr>
        <w:t>ويطلب</w:t>
      </w:r>
      <w:r w:rsidRPr="00DC488F">
        <w:rPr>
          <w:rFonts w:eastAsia="Malgun Gothic"/>
          <w:rtl/>
          <w:lang w:val="en-GB"/>
        </w:rPr>
        <w:t xml:space="preserve"> إلى الأمينة التنفيذية أن تحيل نتائج الاجتماعين الأول والثاني للحوار العالمي لمبادرة المحيطات المستدامة إلى العمليات العالمية والإقليمية ذات الصلة وأن تتعاون مع الأطراف والحكومات الأخرى والمنظمات ذات الصلة والجهات المانحة لتيسير تنفيذ هذه النتائج على أرض الواقع؛</w:t>
      </w:r>
    </w:p>
    <w:p w:rsidR="00F04E10" w:rsidRDefault="00E36426" w:rsidP="00F04E10">
      <w:pPr>
        <w:numPr>
          <w:ilvl w:val="0"/>
          <w:numId w:val="56"/>
        </w:numPr>
        <w:kinsoku w:val="0"/>
        <w:overflowPunct w:val="0"/>
        <w:autoSpaceDE w:val="0"/>
        <w:autoSpaceDN w:val="0"/>
        <w:ind w:left="28" w:firstLine="709"/>
        <w:rPr>
          <w:rFonts w:eastAsia="Malgun Gothic"/>
          <w:rtl/>
          <w:lang w:val="en-GB"/>
        </w:rPr>
      </w:pPr>
      <w:r w:rsidRPr="00DC488F">
        <w:rPr>
          <w:rFonts w:eastAsia="Malgun Gothic"/>
          <w:i/>
          <w:iCs/>
          <w:rtl/>
          <w:lang w:val="en-GB"/>
        </w:rPr>
        <w:t>يدعو</w:t>
      </w:r>
      <w:r w:rsidRPr="00DC488F">
        <w:rPr>
          <w:rFonts w:eastAsia="Malgun Gothic"/>
          <w:rtl/>
          <w:lang w:val="en-GB"/>
        </w:rPr>
        <w:t xml:space="preserve"> منظمة الأغذية والزراعة للأمم المتحدة وهيئات مصايد الأسماك الإقليمية إلى المساهمة بالمعلومات العلمية والخبرات والدروس المستفادة، حسب الاقتضاء، بما في ذلك التقارير ذات الصلة من مدونة السلوك بشأن استبيان الصيد الرشيد، باعتبارها معطيات لإعداد </w:t>
      </w:r>
      <w:r w:rsidRPr="00DC488F">
        <w:rPr>
          <w:rFonts w:eastAsia="Malgun Gothic" w:hint="cs"/>
          <w:rtl/>
          <w:lang w:val="en-GB"/>
        </w:rPr>
        <w:t>الإصدار</w:t>
      </w:r>
      <w:r w:rsidRPr="00DC488F">
        <w:rPr>
          <w:rFonts w:eastAsia="Malgun Gothic"/>
          <w:rtl/>
          <w:lang w:val="en-GB"/>
        </w:rPr>
        <w:t xml:space="preserve"> الخامس من</w:t>
      </w:r>
      <w:r w:rsidRPr="001D712D">
        <w:rPr>
          <w:rFonts w:eastAsia="Malgun Gothic"/>
          <w:rtl/>
          <w:lang w:val="en-GB"/>
        </w:rPr>
        <w:t xml:space="preserve"> نشرة</w:t>
      </w:r>
      <w:r w:rsidRPr="00DC488F">
        <w:rPr>
          <w:rFonts w:eastAsia="Malgun Gothic"/>
          <w:i/>
          <w:iCs/>
          <w:rtl/>
          <w:lang w:val="en-GB"/>
        </w:rPr>
        <w:t xml:space="preserve"> التوقعات العالمية للتنوع البيولوجي</w:t>
      </w:r>
      <w:r w:rsidRPr="00DC488F">
        <w:rPr>
          <w:rFonts w:eastAsia="Malgun Gothic"/>
          <w:rtl/>
          <w:lang w:val="en-GB"/>
        </w:rPr>
        <w:t>؛</w:t>
      </w:r>
    </w:p>
    <w:p w:rsidR="00366E36" w:rsidRDefault="00366E36" w:rsidP="00477B14">
      <w:pPr>
        <w:kinsoku w:val="0"/>
        <w:overflowPunct w:val="0"/>
        <w:autoSpaceDE w:val="0"/>
        <w:autoSpaceDN w:val="0"/>
        <w:rPr>
          <w:rFonts w:eastAsia="Malgun Gothic"/>
          <w:rtl/>
          <w:lang w:val="en-GB"/>
        </w:rPr>
      </w:pPr>
    </w:p>
    <w:p w:rsidR="00477B14" w:rsidRPr="00F04E10" w:rsidRDefault="00725407" w:rsidP="00725407">
      <w:pPr>
        <w:kinsoku w:val="0"/>
        <w:overflowPunct w:val="0"/>
        <w:autoSpaceDE w:val="0"/>
        <w:autoSpaceDN w:val="0"/>
        <w:ind w:firstLine="720"/>
        <w:rPr>
          <w:rFonts w:eastAsia="Malgun Gothic"/>
          <w:lang w:val="en-GB"/>
        </w:rPr>
      </w:pPr>
      <w:r>
        <w:rPr>
          <w:rFonts w:eastAsia="Malgun Gothic"/>
          <w:rtl/>
          <w:lang w:val="en-GB"/>
        </w:rPr>
        <w:t xml:space="preserve"> </w:t>
      </w:r>
      <w:r w:rsidR="00477B14">
        <w:rPr>
          <w:rFonts w:eastAsia="Malgun Gothic"/>
          <w:rtl/>
          <w:lang w:val="en-GB"/>
        </w:rPr>
        <w:t xml:space="preserve">11- </w:t>
      </w:r>
      <w:r>
        <w:rPr>
          <w:rFonts w:eastAsia="Malgun Gothic"/>
          <w:rtl/>
          <w:lang w:val="en-GB"/>
        </w:rPr>
        <w:t xml:space="preserve"> </w:t>
      </w:r>
      <w:r w:rsidR="00477B14" w:rsidRPr="00477B14">
        <w:rPr>
          <w:rFonts w:eastAsia="Malgun Gothic"/>
          <w:lang w:val="en-GB"/>
        </w:rPr>
        <w:t xml:space="preserve"> </w:t>
      </w:r>
      <w:r w:rsidR="00477B14" w:rsidRPr="00DC488F">
        <w:rPr>
          <w:rFonts w:eastAsia="Malgun Gothic"/>
          <w:i/>
          <w:iCs/>
          <w:rtl/>
          <w:lang w:val="en-GB"/>
        </w:rPr>
        <w:t>يرحب</w:t>
      </w:r>
      <w:r w:rsidR="00477B14" w:rsidRPr="00DC488F">
        <w:rPr>
          <w:rFonts w:eastAsia="Malgun Gothic"/>
          <w:rtl/>
          <w:lang w:val="en-GB"/>
        </w:rPr>
        <w:t xml:space="preserve"> بالتعاون بين منظمة الأغذية والزراعة للأمم المتحدة وفريق خبراء مصايد الأسماك للجنة إدارة </w:t>
      </w:r>
      <w:r w:rsidR="00477B14" w:rsidRPr="00DC488F">
        <w:rPr>
          <w:rFonts w:eastAsia="Malgun Gothic" w:hint="cs"/>
          <w:rtl/>
          <w:lang w:val="en-GB"/>
        </w:rPr>
        <w:t>النظم</w:t>
      </w:r>
      <w:r w:rsidR="00477B14" w:rsidRPr="00DC488F">
        <w:rPr>
          <w:rFonts w:eastAsia="Malgun Gothic"/>
          <w:rtl/>
          <w:lang w:val="en-GB"/>
        </w:rPr>
        <w:t xml:space="preserve"> الإيكولوجية </w:t>
      </w:r>
      <w:r w:rsidR="00477B14">
        <w:rPr>
          <w:rFonts w:eastAsia="Malgun Gothic" w:hint="cs"/>
          <w:rtl/>
          <w:lang w:val="en-GB"/>
        </w:rPr>
        <w:t>في إطار ا</w:t>
      </w:r>
      <w:r w:rsidR="00477B14" w:rsidRPr="00DC488F">
        <w:rPr>
          <w:rFonts w:eastAsia="Malgun Gothic"/>
          <w:rtl/>
          <w:lang w:val="en-GB"/>
        </w:rPr>
        <w:t>لاتحاد الدولي لحفظ الطبيعة</w:t>
      </w:r>
      <w:r w:rsidR="00477B14">
        <w:rPr>
          <w:rFonts w:eastAsia="Malgun Gothic" w:hint="cs"/>
          <w:rtl/>
          <w:lang w:val="en-GB"/>
        </w:rPr>
        <w:t>،</w:t>
      </w:r>
      <w:r w:rsidR="00477B14" w:rsidRPr="00DC488F">
        <w:rPr>
          <w:rFonts w:eastAsia="Malgun Gothic"/>
          <w:rtl/>
          <w:lang w:val="en-GB"/>
        </w:rPr>
        <w:t xml:space="preserve"> والأمانة لدعم وتحسين التقارير عن تحقيق الهدف 6 من أهداف أيشي للتنوع البيولوجي</w:t>
      </w:r>
    </w:p>
    <w:p w:rsidR="00477B14" w:rsidRPr="00366E36" w:rsidRDefault="00477B14" w:rsidP="00477B14">
      <w:pPr>
        <w:spacing w:after="0" w:line="240" w:lineRule="auto"/>
        <w:jc w:val="left"/>
        <w:rPr>
          <w:rFonts w:eastAsia="Malgun Gothic"/>
          <w:rtl/>
          <w:lang w:val="en-GB"/>
        </w:rPr>
      </w:pPr>
    </w:p>
    <w:p w:rsidR="00477B14" w:rsidRDefault="00477B14" w:rsidP="00477B14">
      <w:pPr>
        <w:spacing w:after="0" w:line="240" w:lineRule="auto"/>
        <w:jc w:val="left"/>
        <w:rPr>
          <w:sz w:val="24"/>
          <w:rtl/>
        </w:rPr>
      </w:pPr>
      <w:r>
        <w:rPr>
          <w:sz w:val="24"/>
          <w:rtl/>
        </w:rPr>
        <w:br w:type="page"/>
      </w:r>
    </w:p>
    <w:p w:rsidR="00E36426" w:rsidRDefault="00E36426" w:rsidP="00477B14">
      <w:pPr>
        <w:kinsoku w:val="0"/>
        <w:overflowPunct w:val="0"/>
        <w:autoSpaceDE w:val="0"/>
        <w:autoSpaceDN w:val="0"/>
        <w:ind w:left="90" w:firstLine="720"/>
        <w:rPr>
          <w:sz w:val="24"/>
          <w:rtl/>
        </w:rPr>
      </w:pPr>
    </w:p>
    <w:p w:rsidR="00EE0FD7" w:rsidRPr="009E01BD" w:rsidRDefault="00EE0FD7" w:rsidP="009E01BD">
      <w:pPr>
        <w:pStyle w:val="Heading2"/>
        <w:rPr>
          <w:rFonts w:ascii="Simplified Arabic" w:hAnsi="Simplified Arabic"/>
          <w:sz w:val="24"/>
        </w:rPr>
      </w:pPr>
      <w:bookmarkStart w:id="114" w:name="_Toc6071596"/>
      <w:bookmarkStart w:id="115" w:name="_Toc6139972"/>
      <w:r w:rsidRPr="009E01BD">
        <w:rPr>
          <w:rFonts w:ascii="Simplified Arabic" w:hAnsi="Simplified Arabic"/>
          <w:sz w:val="24"/>
          <w:rtl/>
        </w:rPr>
        <w:t>المقرر 14/11</w:t>
      </w:r>
      <w:r w:rsidRPr="009E01BD">
        <w:rPr>
          <w:rFonts w:ascii="Simplified Arabic" w:hAnsi="Simplified Arabic"/>
          <w:sz w:val="24"/>
          <w:rtl/>
        </w:rPr>
        <w:tab/>
        <w:t>الأنواع الغريبة الغازية</w:t>
      </w:r>
      <w:bookmarkEnd w:id="114"/>
      <w:bookmarkEnd w:id="115"/>
    </w:p>
    <w:p w:rsidR="00EE0FD7" w:rsidRPr="00632E92" w:rsidRDefault="00EE0FD7" w:rsidP="00EE0FD7">
      <w:pPr>
        <w:ind w:firstLine="720"/>
        <w:rPr>
          <w:i/>
          <w:iCs/>
          <w:rtl/>
        </w:rPr>
      </w:pPr>
      <w:r w:rsidRPr="00632E92">
        <w:rPr>
          <w:rFonts w:hint="cs"/>
          <w:i/>
          <w:iCs/>
          <w:rtl/>
        </w:rPr>
        <w:t>إن مؤتمر الأطراف،</w:t>
      </w:r>
    </w:p>
    <w:p w:rsidR="00EE0FD7" w:rsidRPr="00632E92" w:rsidRDefault="00EE0FD7" w:rsidP="00EE0FD7">
      <w:pPr>
        <w:ind w:firstLine="720"/>
        <w:rPr>
          <w:rtl/>
        </w:rPr>
      </w:pPr>
      <w:r w:rsidRPr="00632E92">
        <w:rPr>
          <w:rFonts w:hint="cs"/>
          <w:i/>
          <w:iCs/>
          <w:rtl/>
        </w:rPr>
        <w:t>إ</w:t>
      </w:r>
      <w:r w:rsidRPr="00632E92">
        <w:rPr>
          <w:i/>
          <w:iCs/>
          <w:rtl/>
        </w:rPr>
        <w:t xml:space="preserve">ذ </w:t>
      </w:r>
      <w:r w:rsidRPr="00632E92">
        <w:rPr>
          <w:rFonts w:hint="cs"/>
          <w:i/>
          <w:iCs/>
          <w:rtl/>
        </w:rPr>
        <w:t>يقر</w:t>
      </w:r>
      <w:r w:rsidRPr="00632E92">
        <w:rPr>
          <w:i/>
          <w:iCs/>
          <w:rtl/>
        </w:rPr>
        <w:t xml:space="preserve"> </w:t>
      </w:r>
      <w:r w:rsidRPr="00632E92">
        <w:rPr>
          <w:rFonts w:hint="cs"/>
          <w:rtl/>
        </w:rPr>
        <w:t>بن</w:t>
      </w:r>
      <w:r w:rsidRPr="00632E92">
        <w:rPr>
          <w:rtl/>
        </w:rPr>
        <w:t xml:space="preserve">مو التجارة الإلكترونية في الأنواع الغريبة الغازية والحاجة إلى </w:t>
      </w:r>
      <w:r w:rsidRPr="00632E92">
        <w:rPr>
          <w:rFonts w:hint="cs"/>
          <w:rtl/>
        </w:rPr>
        <w:t>التعاون</w:t>
      </w:r>
      <w:r w:rsidRPr="00632E92">
        <w:rPr>
          <w:rtl/>
        </w:rPr>
        <w:t xml:space="preserve"> للتقليل من المخاطر المرتبطة بها،</w:t>
      </w:r>
    </w:p>
    <w:p w:rsidR="00EE0FD7" w:rsidRDefault="00EE0FD7" w:rsidP="00EE0FD7">
      <w:pPr>
        <w:ind w:firstLine="720"/>
        <w:rPr>
          <w:rtl/>
        </w:rPr>
      </w:pPr>
      <w:r w:rsidRPr="00632E92">
        <w:rPr>
          <w:rFonts w:hint="cs"/>
          <w:i/>
          <w:iCs/>
          <w:rtl/>
        </w:rPr>
        <w:t xml:space="preserve">وإذ يقر أيضا </w:t>
      </w:r>
      <w:r w:rsidRPr="00632E92">
        <w:rPr>
          <w:rFonts w:hint="cs"/>
          <w:rtl/>
        </w:rPr>
        <w:t>ب</w:t>
      </w:r>
      <w:r w:rsidRPr="00632E92">
        <w:rPr>
          <w:rtl/>
        </w:rPr>
        <w:t>الآثار الضارة للأنواع الغريبة الغازية على</w:t>
      </w:r>
      <w:r w:rsidRPr="005714ED">
        <w:rPr>
          <w:rtl/>
        </w:rPr>
        <w:t xml:space="preserve"> التنوع البيولوجي ومكوناته، </w:t>
      </w:r>
      <w:r>
        <w:rPr>
          <w:rFonts w:hint="cs"/>
          <w:rtl/>
        </w:rPr>
        <w:t>و</w:t>
      </w:r>
      <w:r w:rsidRPr="005714ED">
        <w:rPr>
          <w:rtl/>
        </w:rPr>
        <w:t>لا سيما</w:t>
      </w:r>
      <w:r w:rsidRPr="00632E92">
        <w:rPr>
          <w:rtl/>
        </w:rPr>
        <w:t xml:space="preserve"> النظم الإيكولوجية الضعيفة</w:t>
      </w:r>
      <w:r>
        <w:rPr>
          <w:rFonts w:hint="cs"/>
          <w:rtl/>
        </w:rPr>
        <w:t xml:space="preserve">، </w:t>
      </w:r>
      <w:r w:rsidRPr="005714ED">
        <w:rPr>
          <w:rtl/>
        </w:rPr>
        <w:t>مثل الأراضي الرطبة و</w:t>
      </w:r>
      <w:r>
        <w:rPr>
          <w:rFonts w:hint="cs"/>
          <w:rtl/>
        </w:rPr>
        <w:t>غابات</w:t>
      </w:r>
      <w:r w:rsidRPr="005714ED">
        <w:rPr>
          <w:rtl/>
        </w:rPr>
        <w:t xml:space="preserve"> المنغروف</w:t>
      </w:r>
      <w:r>
        <w:rPr>
          <w:rFonts w:hint="cs"/>
          <w:rtl/>
        </w:rPr>
        <w:t>،</w:t>
      </w:r>
      <w:r w:rsidRPr="00632E92">
        <w:rPr>
          <w:rFonts w:hint="cs"/>
          <w:rtl/>
        </w:rPr>
        <w:t xml:space="preserve"> </w:t>
      </w:r>
      <w:r>
        <w:rPr>
          <w:rFonts w:hint="cs"/>
          <w:rtl/>
        </w:rPr>
        <w:t>و</w:t>
      </w:r>
      <w:r w:rsidRPr="00632E92">
        <w:rPr>
          <w:rFonts w:hint="cs"/>
          <w:rtl/>
        </w:rPr>
        <w:t>الجزر ومناطق القطب الشمالي،</w:t>
      </w:r>
      <w:r w:rsidRPr="00632E92">
        <w:rPr>
          <w:rtl/>
        </w:rPr>
        <w:t xml:space="preserve"> وكذلك ا</w:t>
      </w:r>
      <w:r>
        <w:rPr>
          <w:rFonts w:hint="cs"/>
          <w:rtl/>
        </w:rPr>
        <w:t>لجوانب</w:t>
      </w:r>
      <w:r w:rsidRPr="00632E92">
        <w:rPr>
          <w:rtl/>
        </w:rPr>
        <w:t xml:space="preserve"> الاجتماعية و</w:t>
      </w:r>
      <w:r>
        <w:rPr>
          <w:rFonts w:hint="cs"/>
          <w:rtl/>
        </w:rPr>
        <w:t xml:space="preserve">القيم </w:t>
      </w:r>
      <w:r w:rsidRPr="00632E92">
        <w:rPr>
          <w:rtl/>
        </w:rPr>
        <w:t>الاقتصادية والثقافية</w:t>
      </w:r>
      <w:r w:rsidRPr="00632E92">
        <w:rPr>
          <w:rFonts w:hint="cs"/>
          <w:rtl/>
        </w:rPr>
        <w:t>، بما في ذلك تلك</w:t>
      </w:r>
      <w:r w:rsidRPr="00632E92">
        <w:rPr>
          <w:rtl/>
        </w:rPr>
        <w:t xml:space="preserve"> المرتبطة بالشعوب الأصلية والمجتمعات المحلية،</w:t>
      </w:r>
    </w:p>
    <w:p w:rsidR="00EE0FD7" w:rsidRDefault="00EE0FD7" w:rsidP="00EE0FD7">
      <w:pPr>
        <w:ind w:firstLine="720"/>
        <w:rPr>
          <w:rtl/>
        </w:rPr>
      </w:pPr>
      <w:r w:rsidRPr="00B02E14">
        <w:rPr>
          <w:rFonts w:hint="cs"/>
          <w:i/>
          <w:iCs/>
          <w:rtl/>
        </w:rPr>
        <w:t>وإذ يشير</w:t>
      </w:r>
      <w:r>
        <w:rPr>
          <w:rFonts w:hint="cs"/>
          <w:rtl/>
        </w:rPr>
        <w:t xml:space="preserve"> إلى المقرر 12/16،</w:t>
      </w:r>
    </w:p>
    <w:p w:rsidR="00EE0FD7" w:rsidRPr="00632E92" w:rsidRDefault="00EE0FD7" w:rsidP="00CD26C5">
      <w:pPr>
        <w:numPr>
          <w:ilvl w:val="0"/>
          <w:numId w:val="57"/>
        </w:numPr>
        <w:ind w:left="0" w:firstLine="720"/>
      </w:pPr>
      <w:r w:rsidRPr="00632E92">
        <w:rPr>
          <w:rFonts w:hint="cs"/>
          <w:i/>
          <w:iCs/>
          <w:rtl/>
        </w:rPr>
        <w:t>ي</w:t>
      </w:r>
      <w:r w:rsidRPr="00632E92">
        <w:rPr>
          <w:i/>
          <w:iCs/>
          <w:rtl/>
        </w:rPr>
        <w:t>رحب</w:t>
      </w:r>
      <w:r w:rsidRPr="00632E92">
        <w:rPr>
          <w:rtl/>
        </w:rPr>
        <w:t xml:space="preserve"> بالمقرر 6/1 للاجتماع العام للم</w:t>
      </w:r>
      <w:r w:rsidRPr="00632E92">
        <w:rPr>
          <w:rFonts w:hint="cs"/>
          <w:rtl/>
        </w:rPr>
        <w:t>نبر</w:t>
      </w:r>
      <w:r w:rsidRPr="00632E92">
        <w:rPr>
          <w:rtl/>
        </w:rPr>
        <w:t xml:space="preserve"> الحكومي الدولي للعلوم والسياسات </w:t>
      </w:r>
      <w:r w:rsidRPr="00632E92">
        <w:rPr>
          <w:rFonts w:hint="cs"/>
          <w:rtl/>
        </w:rPr>
        <w:t xml:space="preserve">في مجال </w:t>
      </w:r>
      <w:r w:rsidRPr="00632E92">
        <w:rPr>
          <w:rtl/>
        </w:rPr>
        <w:t xml:space="preserve">التنوع البيولوجي وخدمات النظم الإيكولوجية، والذي وافق فيه الاجتماع العام، من بين أمور أخرى، على إجراء تقييم مواضيعي للأنواع الغريبة الغازية </w:t>
      </w:r>
      <w:r w:rsidRPr="00632E92">
        <w:rPr>
          <w:rFonts w:hint="cs"/>
          <w:rtl/>
        </w:rPr>
        <w:t>والسيطرة عليها</w:t>
      </w:r>
      <w:r>
        <w:rPr>
          <w:rFonts w:hint="cs"/>
          <w:rtl/>
        </w:rPr>
        <w:t>، مع أخذ</w:t>
      </w:r>
      <w:r w:rsidRPr="004F6C3B">
        <w:rPr>
          <w:rtl/>
        </w:rPr>
        <w:t xml:space="preserve"> الهدف 9 من أهداف أيشي للتنوع البيولوجي</w:t>
      </w:r>
      <w:r>
        <w:rPr>
          <w:rFonts w:hint="cs"/>
          <w:rtl/>
        </w:rPr>
        <w:t xml:space="preserve"> في الاعتبار</w:t>
      </w:r>
      <w:r w:rsidRPr="00632E92">
        <w:rPr>
          <w:rtl/>
        </w:rPr>
        <w:t>؛</w:t>
      </w:r>
    </w:p>
    <w:p w:rsidR="00EE0FD7" w:rsidRPr="00632E92" w:rsidRDefault="00EE0FD7" w:rsidP="00CD26C5">
      <w:pPr>
        <w:numPr>
          <w:ilvl w:val="0"/>
          <w:numId w:val="57"/>
        </w:numPr>
        <w:ind w:left="0" w:firstLine="720"/>
      </w:pPr>
      <w:r w:rsidRPr="00632E92">
        <w:rPr>
          <w:i/>
          <w:iCs/>
          <w:rtl/>
        </w:rPr>
        <w:t>يرحب</w:t>
      </w:r>
      <w:r>
        <w:rPr>
          <w:rFonts w:hint="cs"/>
          <w:i/>
          <w:iCs/>
          <w:rtl/>
        </w:rPr>
        <w:t xml:space="preserve"> أيضا </w:t>
      </w:r>
      <w:r w:rsidRPr="00632E92">
        <w:rPr>
          <w:rFonts w:hint="cs"/>
          <w:rtl/>
        </w:rPr>
        <w:t>بالإرشادات الطوعية</w:t>
      </w:r>
      <w:r w:rsidRPr="00632E92">
        <w:rPr>
          <w:rtl/>
        </w:rPr>
        <w:t xml:space="preserve"> </w:t>
      </w:r>
      <w:r w:rsidRPr="00632E92">
        <w:rPr>
          <w:rFonts w:hint="cs"/>
          <w:rtl/>
        </w:rPr>
        <w:t>التكميلية</w:t>
      </w:r>
      <w:r w:rsidRPr="00632E92">
        <w:rPr>
          <w:rtl/>
        </w:rPr>
        <w:t xml:space="preserve"> </w:t>
      </w:r>
      <w:r w:rsidRPr="00632E92">
        <w:rPr>
          <w:rFonts w:hint="cs"/>
          <w:rtl/>
        </w:rPr>
        <w:t>الرامية إلى تجنب</w:t>
      </w:r>
      <w:r w:rsidRPr="00632E92">
        <w:rPr>
          <w:rtl/>
        </w:rPr>
        <w:t xml:space="preserve"> الإدخال غير المقصود للأنواع الغريبة الغازية المرتبطة بالتجارة في </w:t>
      </w:r>
      <w:r w:rsidRPr="00632E92">
        <w:rPr>
          <w:rFonts w:hint="cs"/>
          <w:rtl/>
        </w:rPr>
        <w:t>الكائنات</w:t>
      </w:r>
      <w:r w:rsidRPr="00632E92">
        <w:rPr>
          <w:rtl/>
        </w:rPr>
        <w:t xml:space="preserve"> الحية المرفق</w:t>
      </w:r>
      <w:r w:rsidRPr="00632E92">
        <w:rPr>
          <w:rFonts w:hint="cs"/>
          <w:rtl/>
        </w:rPr>
        <w:t>ة</w:t>
      </w:r>
      <w:r w:rsidRPr="00632E92">
        <w:rPr>
          <w:rtl/>
        </w:rPr>
        <w:t xml:space="preserve"> بهذا المقرر؛</w:t>
      </w:r>
    </w:p>
    <w:p w:rsidR="00EE0FD7" w:rsidRDefault="00EE0FD7" w:rsidP="00CD26C5">
      <w:pPr>
        <w:numPr>
          <w:ilvl w:val="0"/>
          <w:numId w:val="57"/>
        </w:numPr>
        <w:ind w:left="0" w:firstLine="720"/>
      </w:pPr>
      <w:r w:rsidRPr="00632E92">
        <w:rPr>
          <w:rFonts w:hint="cs"/>
          <w:i/>
          <w:iCs/>
          <w:rtl/>
        </w:rPr>
        <w:t>يشجع</w:t>
      </w:r>
      <w:r w:rsidRPr="00632E92">
        <w:rPr>
          <w:rtl/>
        </w:rPr>
        <w:t xml:space="preserve"> الأطراف و</w:t>
      </w:r>
      <w:r w:rsidRPr="00632E92">
        <w:rPr>
          <w:rFonts w:hint="cs"/>
          <w:i/>
          <w:iCs/>
          <w:rtl/>
        </w:rPr>
        <w:t>يدعو</w:t>
      </w:r>
      <w:r w:rsidRPr="00632E92">
        <w:rPr>
          <w:rFonts w:hint="cs"/>
          <w:rtl/>
        </w:rPr>
        <w:t xml:space="preserve"> </w:t>
      </w:r>
      <w:r w:rsidRPr="00632E92">
        <w:rPr>
          <w:rtl/>
        </w:rPr>
        <w:t xml:space="preserve">الحكومات الأخرى </w:t>
      </w:r>
      <w:r>
        <w:rPr>
          <w:rFonts w:hint="cs"/>
          <w:rtl/>
        </w:rPr>
        <w:t xml:space="preserve">والقطاعات </w:t>
      </w:r>
      <w:r w:rsidRPr="00632E92">
        <w:rPr>
          <w:rtl/>
        </w:rPr>
        <w:t xml:space="preserve">والمنظمات ذات الصلة إلى </w:t>
      </w:r>
      <w:r w:rsidRPr="00632E92">
        <w:rPr>
          <w:rFonts w:hint="cs"/>
          <w:rtl/>
        </w:rPr>
        <w:t>الاستفادة من</w:t>
      </w:r>
      <w:r w:rsidRPr="00632E92">
        <w:rPr>
          <w:rtl/>
        </w:rPr>
        <w:t xml:space="preserve"> الإرشادات</w:t>
      </w:r>
      <w:r w:rsidRPr="00632E92">
        <w:rPr>
          <w:rFonts w:hint="cs"/>
          <w:rtl/>
        </w:rPr>
        <w:t xml:space="preserve"> الطوعية</w:t>
      </w:r>
      <w:r w:rsidRPr="00632E92">
        <w:rPr>
          <w:rtl/>
        </w:rPr>
        <w:t xml:space="preserve"> التكميلية لتجنب الإدخا</w:t>
      </w:r>
      <w:r w:rsidRPr="00632E92">
        <w:rPr>
          <w:rFonts w:hint="cs"/>
          <w:rtl/>
        </w:rPr>
        <w:t>ل</w:t>
      </w:r>
      <w:r w:rsidRPr="00632E92">
        <w:rPr>
          <w:rtl/>
        </w:rPr>
        <w:t xml:space="preserve"> غير المقصود للأنواع الغريبة الغازية المرتبطة بالتجارة في </w:t>
      </w:r>
      <w:r w:rsidRPr="00632E92">
        <w:rPr>
          <w:rFonts w:hint="cs"/>
          <w:rtl/>
        </w:rPr>
        <w:t>الكائنات</w:t>
      </w:r>
      <w:r w:rsidRPr="00632E92">
        <w:rPr>
          <w:rtl/>
        </w:rPr>
        <w:t xml:space="preserve"> الحية؛</w:t>
      </w:r>
    </w:p>
    <w:p w:rsidR="00EE0FD7" w:rsidRDefault="00EE0FD7" w:rsidP="00CD26C5">
      <w:pPr>
        <w:numPr>
          <w:ilvl w:val="0"/>
          <w:numId w:val="57"/>
        </w:numPr>
        <w:ind w:left="0" w:firstLine="720"/>
      </w:pPr>
      <w:r w:rsidRPr="00D61E85">
        <w:rPr>
          <w:i/>
          <w:iCs/>
          <w:rtl/>
        </w:rPr>
        <w:t>يحيط علماً</w:t>
      </w:r>
      <w:r w:rsidRPr="00D61E85">
        <w:rPr>
          <w:rtl/>
        </w:rPr>
        <w:t xml:space="preserve"> بالعمل الذي اضطلعت به منظمات </w:t>
      </w:r>
      <w:r>
        <w:rPr>
          <w:rFonts w:hint="cs"/>
          <w:rtl/>
        </w:rPr>
        <w:t>ومبادرات الخبراء</w:t>
      </w:r>
      <w:r w:rsidRPr="00D61E85">
        <w:rPr>
          <w:rtl/>
        </w:rPr>
        <w:t xml:space="preserve"> </w:t>
      </w:r>
      <w:r>
        <w:rPr>
          <w:rFonts w:hint="cs"/>
          <w:rtl/>
        </w:rPr>
        <w:t>ال</w:t>
      </w:r>
      <w:r w:rsidRPr="00D61E85">
        <w:rPr>
          <w:rtl/>
        </w:rPr>
        <w:t xml:space="preserve">متخصصة </w:t>
      </w:r>
      <w:r>
        <w:rPr>
          <w:rFonts w:hint="cs"/>
          <w:rtl/>
        </w:rPr>
        <w:t>ال</w:t>
      </w:r>
      <w:r w:rsidRPr="00D61E85">
        <w:rPr>
          <w:rtl/>
        </w:rPr>
        <w:t>أخرى</w:t>
      </w:r>
      <w:r>
        <w:rPr>
          <w:rFonts w:hint="cs"/>
          <w:rtl/>
        </w:rPr>
        <w:t>، والمتمثل فيما يلي</w:t>
      </w:r>
      <w:r w:rsidRPr="00D61E85">
        <w:rPr>
          <w:rtl/>
        </w:rPr>
        <w:t>:</w:t>
      </w:r>
    </w:p>
    <w:p w:rsidR="00EE0FD7" w:rsidRDefault="00EE0FD7" w:rsidP="00EE0FD7">
      <w:pPr>
        <w:ind w:firstLine="720"/>
        <w:rPr>
          <w:rtl/>
        </w:rPr>
      </w:pPr>
      <w:bookmarkStart w:id="116" w:name="_Hlk531125896"/>
      <w:r>
        <w:rPr>
          <w:rFonts w:hint="cs"/>
          <w:rtl/>
        </w:rPr>
        <w:t>(أ)</w:t>
      </w:r>
      <w:r>
        <w:rPr>
          <w:rtl/>
        </w:rPr>
        <w:tab/>
      </w:r>
      <w:r w:rsidRPr="00394EAF">
        <w:rPr>
          <w:rtl/>
        </w:rPr>
        <w:t>نتائج منتدى المبادرة العالمية للتصنيف</w:t>
      </w:r>
      <w:r>
        <w:rPr>
          <w:rFonts w:hint="cs"/>
          <w:rtl/>
        </w:rPr>
        <w:t xml:space="preserve"> المنعقد</w:t>
      </w:r>
      <w:r w:rsidRPr="00394EAF">
        <w:rPr>
          <w:rtl/>
        </w:rPr>
        <w:t xml:space="preserve"> في 16 </w:t>
      </w:r>
      <w:r>
        <w:rPr>
          <w:rFonts w:hint="cs"/>
          <w:rtl/>
        </w:rPr>
        <w:t>تشرين الثاني/</w:t>
      </w:r>
      <w:r w:rsidRPr="00394EAF">
        <w:rPr>
          <w:rtl/>
        </w:rPr>
        <w:t xml:space="preserve">نوفمبر 2018 في شرم الشيخ </w:t>
      </w:r>
      <w:r>
        <w:rPr>
          <w:rFonts w:hint="cs"/>
          <w:rtl/>
        </w:rPr>
        <w:t>ب</w:t>
      </w:r>
      <w:r w:rsidRPr="00394EAF">
        <w:rPr>
          <w:rtl/>
        </w:rPr>
        <w:t>مصر،</w:t>
      </w:r>
      <w:bookmarkStart w:id="117" w:name="_Hlk531124253"/>
      <w:r w:rsidRPr="00632E92">
        <w:rPr>
          <w:vertAlign w:val="superscript"/>
          <w:rtl/>
        </w:rPr>
        <w:footnoteReference w:id="175"/>
      </w:r>
      <w:bookmarkEnd w:id="117"/>
      <w:r w:rsidRPr="00394EAF">
        <w:rPr>
          <w:rtl/>
        </w:rPr>
        <w:t xml:space="preserve"> </w:t>
      </w:r>
      <w:r>
        <w:rPr>
          <w:rFonts w:hint="cs"/>
          <w:rtl/>
        </w:rPr>
        <w:t>والذي تناول</w:t>
      </w:r>
      <w:r w:rsidRPr="00394EAF">
        <w:rPr>
          <w:rtl/>
        </w:rPr>
        <w:t xml:space="preserve"> أيضاً </w:t>
      </w:r>
      <w:r>
        <w:rPr>
          <w:rFonts w:hint="cs"/>
          <w:rtl/>
        </w:rPr>
        <w:t>ال</w:t>
      </w:r>
      <w:r w:rsidRPr="00394EAF">
        <w:rPr>
          <w:rtl/>
        </w:rPr>
        <w:t>احتياجات</w:t>
      </w:r>
      <w:r>
        <w:rPr>
          <w:rFonts w:hint="cs"/>
          <w:rtl/>
        </w:rPr>
        <w:t xml:space="preserve"> المتعلقة</w:t>
      </w:r>
      <w:r w:rsidRPr="00394EAF">
        <w:rPr>
          <w:rtl/>
        </w:rPr>
        <w:t xml:space="preserve"> </w:t>
      </w:r>
      <w:r>
        <w:rPr>
          <w:rFonts w:hint="cs"/>
          <w:rtl/>
        </w:rPr>
        <w:t>ب</w:t>
      </w:r>
      <w:r w:rsidRPr="00394EAF">
        <w:rPr>
          <w:rtl/>
        </w:rPr>
        <w:t>بناء القدرات لتحديد الأنواع الغريبة؛</w:t>
      </w:r>
    </w:p>
    <w:p w:rsidR="00EE0FD7" w:rsidRDefault="00EE0FD7" w:rsidP="00EE0FD7">
      <w:pPr>
        <w:ind w:firstLine="720"/>
        <w:rPr>
          <w:rtl/>
        </w:rPr>
      </w:pPr>
      <w:r>
        <w:rPr>
          <w:rFonts w:hint="cs"/>
          <w:rtl/>
        </w:rPr>
        <w:t>(ب)</w:t>
      </w:r>
      <w:r>
        <w:rPr>
          <w:rtl/>
        </w:rPr>
        <w:tab/>
      </w:r>
      <w:r w:rsidRPr="00394EAF">
        <w:rPr>
          <w:rtl/>
        </w:rPr>
        <w:t xml:space="preserve">تقرير </w:t>
      </w:r>
      <w:r>
        <w:rPr>
          <w:rFonts w:hint="cs"/>
          <w:rtl/>
        </w:rPr>
        <w:t>فريق الأخصائيين المعني بالأنواع الغازية</w:t>
      </w:r>
      <w:r w:rsidRPr="00394EAF">
        <w:rPr>
          <w:rtl/>
        </w:rPr>
        <w:t xml:space="preserve"> التابع للاتحاد الدولي لحفظ الطبيعة بشأن تطبيق الم</w:t>
      </w:r>
      <w:r>
        <w:rPr>
          <w:rFonts w:hint="cs"/>
          <w:rtl/>
        </w:rPr>
        <w:t>كافحة</w:t>
      </w:r>
      <w:r w:rsidRPr="00394EAF">
        <w:rPr>
          <w:rtl/>
        </w:rPr>
        <w:t xml:space="preserve"> البيولوجية التقليدية لإدارة الأنواع الغريبة الغازية</w:t>
      </w:r>
      <w:r>
        <w:rPr>
          <w:rFonts w:hint="cs"/>
          <w:rtl/>
        </w:rPr>
        <w:t xml:space="preserve"> القائمة</w:t>
      </w:r>
      <w:r w:rsidRPr="00394EAF">
        <w:rPr>
          <w:rtl/>
        </w:rPr>
        <w:t xml:space="preserve"> </w:t>
      </w:r>
      <w:r>
        <w:rPr>
          <w:rFonts w:hint="cs"/>
          <w:rtl/>
        </w:rPr>
        <w:t>التي تُحدث تأثيرات بيئية</w:t>
      </w:r>
      <w:r w:rsidRPr="00394EAF">
        <w:rPr>
          <w:rtl/>
        </w:rPr>
        <w:t>؛</w:t>
      </w:r>
      <w:r w:rsidRPr="00632E92">
        <w:rPr>
          <w:vertAlign w:val="superscript"/>
          <w:rtl/>
        </w:rPr>
        <w:footnoteReference w:id="176"/>
      </w:r>
    </w:p>
    <w:p w:rsidR="00EE0FD7" w:rsidRPr="00632E92" w:rsidRDefault="00EE0FD7" w:rsidP="00EE0FD7">
      <w:pPr>
        <w:ind w:firstLine="720"/>
      </w:pPr>
      <w:r>
        <w:rPr>
          <w:rFonts w:hint="cs"/>
          <w:rtl/>
        </w:rPr>
        <w:t>(ج)</w:t>
      </w:r>
      <w:r>
        <w:rPr>
          <w:rtl/>
        </w:rPr>
        <w:tab/>
      </w:r>
      <w:r w:rsidRPr="00394EAF">
        <w:rPr>
          <w:rtl/>
        </w:rPr>
        <w:t xml:space="preserve">السجل العالمي للأنواع </w:t>
      </w:r>
      <w:r w:rsidRPr="00632E92">
        <w:rPr>
          <w:rtl/>
        </w:rPr>
        <w:t>المُدخلة</w:t>
      </w:r>
      <w:r>
        <w:rPr>
          <w:rFonts w:hint="cs"/>
          <w:rtl/>
        </w:rPr>
        <w:t xml:space="preserve"> والغازية،</w:t>
      </w:r>
      <w:r w:rsidRPr="00394EAF">
        <w:rPr>
          <w:rtl/>
        </w:rPr>
        <w:t xml:space="preserve"> </w:t>
      </w:r>
      <w:r>
        <w:rPr>
          <w:rFonts w:hint="cs"/>
          <w:rtl/>
        </w:rPr>
        <w:t>والذي أعدته</w:t>
      </w:r>
      <w:r w:rsidRPr="00394EAF">
        <w:rPr>
          <w:rtl/>
        </w:rPr>
        <w:t xml:space="preserve"> الشراكة العالمية </w:t>
      </w:r>
      <w:r>
        <w:rPr>
          <w:rFonts w:hint="cs"/>
          <w:rtl/>
        </w:rPr>
        <w:t>ل</w:t>
      </w:r>
      <w:r w:rsidRPr="00394EAF">
        <w:rPr>
          <w:rtl/>
        </w:rPr>
        <w:t>لمعلومات ا</w:t>
      </w:r>
      <w:r>
        <w:rPr>
          <w:rFonts w:hint="cs"/>
          <w:rtl/>
        </w:rPr>
        <w:t>لمتعلقة با</w:t>
      </w:r>
      <w:r w:rsidRPr="00394EAF">
        <w:rPr>
          <w:rtl/>
        </w:rPr>
        <w:t>لأنواع الغريبة الغازية؛</w:t>
      </w:r>
    </w:p>
    <w:bookmarkEnd w:id="116"/>
    <w:p w:rsidR="00EE0FD7" w:rsidRPr="00632E92" w:rsidRDefault="00EE0FD7" w:rsidP="00CD26C5">
      <w:pPr>
        <w:numPr>
          <w:ilvl w:val="0"/>
          <w:numId w:val="57"/>
        </w:numPr>
        <w:ind w:left="0" w:firstLine="720"/>
      </w:pPr>
      <w:r w:rsidRPr="00632E92">
        <w:rPr>
          <w:rFonts w:hint="cs"/>
          <w:i/>
          <w:iCs/>
          <w:rtl/>
        </w:rPr>
        <w:t>يقرر</w:t>
      </w:r>
      <w:r w:rsidRPr="00632E92">
        <w:rPr>
          <w:rFonts w:hint="cs"/>
          <w:rtl/>
        </w:rPr>
        <w:t>،</w:t>
      </w:r>
      <w:r w:rsidRPr="00632E92">
        <w:rPr>
          <w:rtl/>
        </w:rPr>
        <w:t xml:space="preserve"> رهنا بتوافر الموارد، إنشاء فريق </w:t>
      </w:r>
      <w:r w:rsidRPr="00632E92">
        <w:rPr>
          <w:rFonts w:hint="cs"/>
          <w:rtl/>
        </w:rPr>
        <w:t>خبراء تقنيين مخصص ب</w:t>
      </w:r>
      <w:r w:rsidRPr="00632E92">
        <w:rPr>
          <w:rtl/>
        </w:rPr>
        <w:t xml:space="preserve">الاختصاصات الواردة في المرفق الثاني </w:t>
      </w:r>
      <w:r w:rsidRPr="00632E92">
        <w:rPr>
          <w:rFonts w:hint="cs"/>
          <w:rtl/>
        </w:rPr>
        <w:t>ب</w:t>
      </w:r>
      <w:r w:rsidRPr="00632E92">
        <w:rPr>
          <w:rtl/>
        </w:rPr>
        <w:t xml:space="preserve">هذا المقرر، </w:t>
      </w:r>
      <w:r w:rsidRPr="00632E92">
        <w:rPr>
          <w:rFonts w:hint="cs"/>
          <w:rtl/>
        </w:rPr>
        <w:t>يجتمع</w:t>
      </w:r>
      <w:r w:rsidRPr="00632E92">
        <w:rPr>
          <w:rtl/>
        </w:rPr>
        <w:t xml:space="preserve"> حسب </w:t>
      </w:r>
      <w:r w:rsidRPr="00632E92">
        <w:rPr>
          <w:rFonts w:hint="cs"/>
          <w:rtl/>
        </w:rPr>
        <w:t>الاقتضاء،</w:t>
      </w:r>
      <w:r w:rsidRPr="00632E92">
        <w:rPr>
          <w:rtl/>
        </w:rPr>
        <w:t xml:space="preserve"> لضمان تقديم المشورة في الوقت المناسب بشأن تحقيق الهدف 9 من أهداف </w:t>
      </w:r>
      <w:r w:rsidRPr="00632E92">
        <w:rPr>
          <w:rFonts w:hint="cs"/>
          <w:rtl/>
        </w:rPr>
        <w:t>أيشي</w:t>
      </w:r>
      <w:r w:rsidRPr="00632E92">
        <w:rPr>
          <w:rtl/>
        </w:rPr>
        <w:t xml:space="preserve"> للتنوع البيولوجي، وحيثما أمكن ذلك، </w:t>
      </w:r>
      <w:r w:rsidRPr="00632E92">
        <w:rPr>
          <w:rFonts w:hint="cs"/>
          <w:rtl/>
        </w:rPr>
        <w:t xml:space="preserve">عقد </w:t>
      </w:r>
      <w:r w:rsidRPr="00632E92">
        <w:rPr>
          <w:rtl/>
        </w:rPr>
        <w:t>اجتماع</w:t>
      </w:r>
      <w:r w:rsidRPr="00632E92">
        <w:rPr>
          <w:rFonts w:hint="cs"/>
          <w:rtl/>
        </w:rPr>
        <w:t xml:space="preserve">ات متعاقبة مع </w:t>
      </w:r>
      <w:r w:rsidRPr="00632E92">
        <w:rPr>
          <w:rtl/>
        </w:rPr>
        <w:t>الاجتماعات الأخرى ذات الصلة، و</w:t>
      </w:r>
      <w:r w:rsidRPr="00632E92">
        <w:rPr>
          <w:i/>
          <w:iCs/>
          <w:rtl/>
        </w:rPr>
        <w:t xml:space="preserve">يطلب </w:t>
      </w:r>
      <w:r w:rsidRPr="00632E92">
        <w:rPr>
          <w:rtl/>
        </w:rPr>
        <w:t>إلى</w:t>
      </w:r>
      <w:r w:rsidRPr="00632E92">
        <w:rPr>
          <w:i/>
          <w:iCs/>
          <w:rtl/>
        </w:rPr>
        <w:t xml:space="preserve"> </w:t>
      </w:r>
      <w:r w:rsidRPr="00632E92">
        <w:rPr>
          <w:rtl/>
        </w:rPr>
        <w:t>الأمين</w:t>
      </w:r>
      <w:r w:rsidRPr="00632E92">
        <w:rPr>
          <w:rFonts w:hint="cs"/>
          <w:rtl/>
        </w:rPr>
        <w:t>ة</w:t>
      </w:r>
      <w:r w:rsidRPr="00632E92">
        <w:rPr>
          <w:rtl/>
        </w:rPr>
        <w:t xml:space="preserve"> التنفيذي</w:t>
      </w:r>
      <w:r w:rsidRPr="00632E92">
        <w:rPr>
          <w:rFonts w:hint="cs"/>
          <w:rtl/>
        </w:rPr>
        <w:t>ة</w:t>
      </w:r>
      <w:r w:rsidRPr="00632E92">
        <w:rPr>
          <w:rtl/>
        </w:rPr>
        <w:t xml:space="preserve"> </w:t>
      </w:r>
      <w:r w:rsidRPr="00632E92">
        <w:rPr>
          <w:rFonts w:hint="cs"/>
          <w:rtl/>
        </w:rPr>
        <w:t>عقد</w:t>
      </w:r>
      <w:r w:rsidRPr="00632E92">
        <w:rPr>
          <w:rtl/>
        </w:rPr>
        <w:t xml:space="preserve"> منتدى نقاش مفتوح على الإنترنت، لدعم مداولات فريق الخبراء التقنيين المخصص؛</w:t>
      </w:r>
    </w:p>
    <w:p w:rsidR="00EE0FD7" w:rsidRPr="00632E92" w:rsidRDefault="00EE0FD7" w:rsidP="00CD26C5">
      <w:pPr>
        <w:numPr>
          <w:ilvl w:val="0"/>
          <w:numId w:val="57"/>
        </w:numPr>
        <w:ind w:left="0" w:firstLine="720"/>
      </w:pPr>
      <w:r w:rsidRPr="00632E92">
        <w:rPr>
          <w:i/>
          <w:iCs/>
          <w:rtl/>
        </w:rPr>
        <w:t>يطلب</w:t>
      </w:r>
      <w:r w:rsidRPr="00632E92">
        <w:rPr>
          <w:rtl/>
        </w:rPr>
        <w:t xml:space="preserve"> إلى الهيئة الفرعية </w:t>
      </w:r>
      <w:r w:rsidRPr="00632E92">
        <w:rPr>
          <w:rFonts w:hint="cs"/>
          <w:rtl/>
        </w:rPr>
        <w:t>للمشورة</w:t>
      </w:r>
      <w:r w:rsidRPr="00632E92">
        <w:rPr>
          <w:rtl/>
        </w:rPr>
        <w:t xml:space="preserve"> العلمية والتقنية والتكنولوجية أن تنظر في نتائج المنتدى الإلكتروني وفريق الخبراء التقنيين المخصص في اجتماع يعقد قبل الاجتماع الخامس عشر لمؤتمر الأطراف؛</w:t>
      </w:r>
    </w:p>
    <w:p w:rsidR="00EE0FD7" w:rsidRDefault="00EE0FD7" w:rsidP="00CD26C5">
      <w:pPr>
        <w:numPr>
          <w:ilvl w:val="0"/>
          <w:numId w:val="57"/>
        </w:numPr>
        <w:ind w:left="0" w:firstLine="720"/>
      </w:pPr>
      <w:r w:rsidRPr="00632E92">
        <w:rPr>
          <w:i/>
          <w:iCs/>
          <w:rtl/>
        </w:rPr>
        <w:lastRenderedPageBreak/>
        <w:t>يشجع</w:t>
      </w:r>
      <w:r w:rsidRPr="00632E92">
        <w:rPr>
          <w:rtl/>
        </w:rPr>
        <w:t xml:space="preserve"> الأطراف</w:t>
      </w:r>
      <w:r w:rsidRPr="00632E92">
        <w:rPr>
          <w:rFonts w:hint="cs"/>
          <w:rtl/>
        </w:rPr>
        <w:t xml:space="preserve"> </w:t>
      </w:r>
      <w:r w:rsidRPr="00632E92">
        <w:rPr>
          <w:rFonts w:hint="cs"/>
          <w:i/>
          <w:iCs/>
          <w:rtl/>
        </w:rPr>
        <w:t>ويدعو</w:t>
      </w:r>
      <w:r w:rsidRPr="00632E92">
        <w:rPr>
          <w:rFonts w:hint="cs"/>
          <w:rtl/>
        </w:rPr>
        <w:t xml:space="preserve"> الحكومات الأخرى</w:t>
      </w:r>
      <w:r w:rsidRPr="00632E92">
        <w:rPr>
          <w:rtl/>
        </w:rPr>
        <w:t xml:space="preserve"> </w:t>
      </w:r>
      <w:r w:rsidRPr="00632E92">
        <w:rPr>
          <w:rFonts w:hint="cs"/>
          <w:rtl/>
        </w:rPr>
        <w:t>إلى</w:t>
      </w:r>
      <w:r w:rsidRPr="00632E92">
        <w:rPr>
          <w:rtl/>
        </w:rPr>
        <w:t xml:space="preserve"> تقاسم المعلومات بشأن </w:t>
      </w:r>
      <w:r w:rsidRPr="00632E92">
        <w:rPr>
          <w:rFonts w:hint="cs"/>
          <w:rtl/>
        </w:rPr>
        <w:t>ال</w:t>
      </w:r>
      <w:r w:rsidRPr="00632E92">
        <w:rPr>
          <w:rtl/>
        </w:rPr>
        <w:t>لوائح الوطنية ذات الصلة بالأنواع الغريبة الغازية</w:t>
      </w:r>
      <w:r w:rsidRPr="00632E92">
        <w:rPr>
          <w:rFonts w:hint="cs"/>
          <w:rtl/>
        </w:rPr>
        <w:t>، وكذلك اللوائح الإقليمية</w:t>
      </w:r>
      <w:r w:rsidRPr="00222B1D">
        <w:rPr>
          <w:rtl/>
        </w:rPr>
        <w:t xml:space="preserve"> والمبادئ التوجيهية التقنية وأفضل الممارسات والقوائم</w:t>
      </w:r>
      <w:r w:rsidRPr="00632E92">
        <w:rPr>
          <w:rFonts w:hint="cs"/>
          <w:rtl/>
        </w:rPr>
        <w:t xml:space="preserve"> المتعلقة بالأنواع الغريبة الغازية،</w:t>
      </w:r>
      <w:r w:rsidRPr="00632E92">
        <w:rPr>
          <w:rtl/>
        </w:rPr>
        <w:t xml:space="preserve"> من خلال آلية غرفة تبادل المعلومات أو ما يعادلها من وسائل</w:t>
      </w:r>
      <w:r>
        <w:rPr>
          <w:rFonts w:hint="cs"/>
          <w:rtl/>
        </w:rPr>
        <w:t xml:space="preserve"> أخرى</w:t>
      </w:r>
      <w:r w:rsidRPr="00632E92">
        <w:rPr>
          <w:rtl/>
        </w:rPr>
        <w:t>؛</w:t>
      </w:r>
    </w:p>
    <w:p w:rsidR="00EE0FD7" w:rsidRPr="00632E92" w:rsidRDefault="00EE0FD7" w:rsidP="00CD26C5">
      <w:pPr>
        <w:numPr>
          <w:ilvl w:val="0"/>
          <w:numId w:val="57"/>
        </w:numPr>
        <w:ind w:left="0" w:firstLine="720"/>
      </w:pPr>
      <w:r w:rsidRPr="00632E92">
        <w:rPr>
          <w:rFonts w:hint="cs"/>
          <w:i/>
          <w:iCs/>
          <w:rtl/>
        </w:rPr>
        <w:t>ي</w:t>
      </w:r>
      <w:r w:rsidRPr="00632E92">
        <w:rPr>
          <w:i/>
          <w:iCs/>
          <w:rtl/>
        </w:rPr>
        <w:t>شجع</w:t>
      </w:r>
      <w:r w:rsidRPr="00632E92">
        <w:rPr>
          <w:rtl/>
        </w:rPr>
        <w:t xml:space="preserve"> الأطراف و</w:t>
      </w:r>
      <w:r w:rsidRPr="008D5201">
        <w:rPr>
          <w:rFonts w:hint="cs"/>
          <w:i/>
          <w:iCs/>
          <w:rtl/>
        </w:rPr>
        <w:t>يدعو</w:t>
      </w:r>
      <w:r>
        <w:rPr>
          <w:rFonts w:hint="cs"/>
          <w:rtl/>
        </w:rPr>
        <w:t xml:space="preserve"> </w:t>
      </w:r>
      <w:r w:rsidRPr="00632E92">
        <w:rPr>
          <w:rtl/>
        </w:rPr>
        <w:t xml:space="preserve">الحكومات الأخرى والمنظمات ذات الصلة </w:t>
      </w:r>
      <w:r>
        <w:rPr>
          <w:rFonts w:hint="cs"/>
          <w:rtl/>
        </w:rPr>
        <w:t>إلى</w:t>
      </w:r>
      <w:r w:rsidRPr="00632E92">
        <w:rPr>
          <w:rtl/>
        </w:rPr>
        <w:t xml:space="preserve"> التعاون مع قطاع الأعمال من أجل </w:t>
      </w:r>
      <w:r w:rsidRPr="00632E92">
        <w:rPr>
          <w:rFonts w:hint="cs"/>
          <w:rtl/>
        </w:rPr>
        <w:t>تناول</w:t>
      </w:r>
      <w:r w:rsidRPr="00632E92">
        <w:rPr>
          <w:rtl/>
        </w:rPr>
        <w:t xml:space="preserve"> مسألة الأنواع الغريبة الغازية، ويدعوها إلى استكشاف فرص جديدة تعزز الأنشطة الرامية إلى تحقيق الهدف 9 من أهداف أيشي</w:t>
      </w:r>
      <w:r w:rsidRPr="00632E92">
        <w:rPr>
          <w:rFonts w:hint="cs"/>
          <w:rtl/>
        </w:rPr>
        <w:t xml:space="preserve"> للتنوع البيولوجي</w:t>
      </w:r>
      <w:r w:rsidRPr="008D5201">
        <w:rPr>
          <w:rtl/>
        </w:rPr>
        <w:t xml:space="preserve">، </w:t>
      </w:r>
      <w:r>
        <w:rPr>
          <w:rFonts w:hint="cs"/>
          <w:rtl/>
        </w:rPr>
        <w:t>لا سيما</w:t>
      </w:r>
      <w:r w:rsidRPr="008D5201">
        <w:rPr>
          <w:rtl/>
        </w:rPr>
        <w:t xml:space="preserve"> في </w:t>
      </w:r>
      <w:r>
        <w:rPr>
          <w:rFonts w:hint="cs"/>
          <w:rtl/>
        </w:rPr>
        <w:t>مجالات الدعم المالي</w:t>
      </w:r>
      <w:r w:rsidRPr="008D5201">
        <w:rPr>
          <w:rtl/>
        </w:rPr>
        <w:t xml:space="preserve"> والتعاون التقني والاتصالات والتثقيف والتوعية العامة بشأن الأنواع الغريبة الغازية؛</w:t>
      </w:r>
    </w:p>
    <w:p w:rsidR="00EE0FD7" w:rsidRPr="00632E92" w:rsidRDefault="00EE0FD7" w:rsidP="00CD26C5">
      <w:pPr>
        <w:numPr>
          <w:ilvl w:val="0"/>
          <w:numId w:val="57"/>
        </w:numPr>
        <w:ind w:left="0" w:firstLine="720"/>
      </w:pPr>
      <w:r w:rsidRPr="00632E92">
        <w:rPr>
          <w:rFonts w:hint="cs"/>
          <w:i/>
          <w:iCs/>
          <w:rtl/>
        </w:rPr>
        <w:t>ي</w:t>
      </w:r>
      <w:r w:rsidRPr="00632E92">
        <w:rPr>
          <w:i/>
          <w:iCs/>
          <w:rtl/>
        </w:rPr>
        <w:t>شجع</w:t>
      </w:r>
      <w:r w:rsidRPr="00632E92">
        <w:rPr>
          <w:rtl/>
        </w:rPr>
        <w:t xml:space="preserve"> الأطراف و</w:t>
      </w:r>
      <w:r w:rsidRPr="008D5201">
        <w:rPr>
          <w:rFonts w:hint="cs"/>
          <w:i/>
          <w:iCs/>
          <w:rtl/>
        </w:rPr>
        <w:t xml:space="preserve">يدعو </w:t>
      </w:r>
      <w:r w:rsidRPr="00632E92">
        <w:rPr>
          <w:rtl/>
        </w:rPr>
        <w:t xml:space="preserve">الحكومات الأخرى ومنظمات الخبراء ذات الصلة على تعزيز </w:t>
      </w:r>
      <w:r>
        <w:rPr>
          <w:rFonts w:hint="cs"/>
          <w:rtl/>
        </w:rPr>
        <w:t>حشد</w:t>
      </w:r>
      <w:r w:rsidRPr="00632E92">
        <w:rPr>
          <w:rtl/>
        </w:rPr>
        <w:t xml:space="preserve"> البيانات، </w:t>
      </w:r>
      <w:r w:rsidRPr="00632E92">
        <w:rPr>
          <w:rFonts w:hint="cs"/>
          <w:rtl/>
        </w:rPr>
        <w:t>مثل</w:t>
      </w:r>
      <w:r w:rsidRPr="00632E92">
        <w:rPr>
          <w:rtl/>
        </w:rPr>
        <w:t xml:space="preserve"> السجل العالمي للأنواع </w:t>
      </w:r>
      <w:bookmarkStart w:id="118" w:name="_Hlk531127137"/>
      <w:r w:rsidRPr="00632E92">
        <w:rPr>
          <w:rtl/>
        </w:rPr>
        <w:t>المُدخلة</w:t>
      </w:r>
      <w:bookmarkEnd w:id="118"/>
      <w:r w:rsidRPr="00632E92">
        <w:rPr>
          <w:rtl/>
        </w:rPr>
        <w:t xml:space="preserve"> والغازية </w:t>
      </w:r>
      <w:r w:rsidRPr="00632E92">
        <w:rPr>
          <w:rFonts w:hint="cs"/>
          <w:rtl/>
        </w:rPr>
        <w:t>الذي يتم إعداده</w:t>
      </w:r>
      <w:r w:rsidRPr="00632E92">
        <w:rPr>
          <w:rtl/>
        </w:rPr>
        <w:t xml:space="preserve"> من خلال الشراكة العالمية </w:t>
      </w:r>
      <w:r>
        <w:rPr>
          <w:rFonts w:hint="cs"/>
          <w:rtl/>
        </w:rPr>
        <w:t>ل</w:t>
      </w:r>
      <w:r w:rsidRPr="00632E92">
        <w:rPr>
          <w:rtl/>
        </w:rPr>
        <w:t>لمعلومات ا</w:t>
      </w:r>
      <w:r>
        <w:rPr>
          <w:rFonts w:hint="cs"/>
          <w:rtl/>
        </w:rPr>
        <w:t>لمتعلقة با</w:t>
      </w:r>
      <w:r w:rsidRPr="00632E92">
        <w:rPr>
          <w:rtl/>
        </w:rPr>
        <w:t>لأنواع الغريبة الغازية، ومن خلال دعم تطوير تصنيف ال</w:t>
      </w:r>
      <w:r>
        <w:rPr>
          <w:rFonts w:hint="cs"/>
          <w:rtl/>
        </w:rPr>
        <w:t>آثار</w:t>
      </w:r>
      <w:r w:rsidRPr="00632E92">
        <w:rPr>
          <w:rtl/>
        </w:rPr>
        <w:t xml:space="preserve"> البيئية </w:t>
      </w:r>
      <w:r w:rsidRPr="00632E92">
        <w:rPr>
          <w:rFonts w:hint="cs"/>
          <w:rtl/>
        </w:rPr>
        <w:t>للأنواع</w:t>
      </w:r>
      <w:r w:rsidRPr="00632E92">
        <w:rPr>
          <w:rtl/>
        </w:rPr>
        <w:t xml:space="preserve"> الغريبة </w:t>
      </w:r>
      <w:r w:rsidRPr="00632E92">
        <w:rPr>
          <w:rFonts w:hint="cs"/>
          <w:rtl/>
        </w:rPr>
        <w:t>من قبل</w:t>
      </w:r>
      <w:r w:rsidRPr="00632E92">
        <w:rPr>
          <w:rtl/>
        </w:rPr>
        <w:t xml:space="preserve"> الاتحاد الدولي </w:t>
      </w:r>
      <w:r w:rsidRPr="00632E92">
        <w:rPr>
          <w:rFonts w:hint="cs"/>
          <w:rtl/>
        </w:rPr>
        <w:t>لحفظ</w:t>
      </w:r>
      <w:r w:rsidRPr="00632E92">
        <w:rPr>
          <w:rtl/>
        </w:rPr>
        <w:t xml:space="preserve"> الطبيعة</w:t>
      </w:r>
      <w:r>
        <w:rPr>
          <w:rFonts w:hint="cs"/>
          <w:rtl/>
        </w:rPr>
        <w:t>،</w:t>
      </w:r>
      <w:r w:rsidRPr="008D5201">
        <w:rPr>
          <w:rtl/>
        </w:rPr>
        <w:t xml:space="preserve"> حسب الاقتضاء و</w:t>
      </w:r>
      <w:r>
        <w:rPr>
          <w:rFonts w:hint="cs"/>
          <w:rtl/>
        </w:rPr>
        <w:t>بما يتماشى</w:t>
      </w:r>
      <w:r w:rsidRPr="008D5201">
        <w:rPr>
          <w:rtl/>
        </w:rPr>
        <w:t xml:space="preserve"> مع القدرات الوطنية؛</w:t>
      </w:r>
    </w:p>
    <w:p w:rsidR="00EE0FD7" w:rsidRDefault="00EE0FD7" w:rsidP="00CD26C5">
      <w:pPr>
        <w:numPr>
          <w:ilvl w:val="0"/>
          <w:numId w:val="57"/>
        </w:numPr>
        <w:ind w:left="0" w:firstLine="720"/>
      </w:pPr>
      <w:r w:rsidRPr="00632E92">
        <w:rPr>
          <w:i/>
          <w:iCs/>
          <w:rtl/>
        </w:rPr>
        <w:t>يحث</w:t>
      </w:r>
      <w:r w:rsidRPr="00632E92">
        <w:rPr>
          <w:rtl/>
        </w:rPr>
        <w:t xml:space="preserve"> الأطراف والحكومات الأخرى على التنسيق مع </w:t>
      </w:r>
      <w:r w:rsidRPr="00632E92">
        <w:rPr>
          <w:rFonts w:hint="cs"/>
          <w:rtl/>
        </w:rPr>
        <w:t>السلطات الجمركية</w:t>
      </w:r>
      <w:r w:rsidRPr="00632E92">
        <w:rPr>
          <w:rtl/>
        </w:rPr>
        <w:t xml:space="preserve"> </w:t>
      </w:r>
      <w:r w:rsidRPr="00632E92">
        <w:rPr>
          <w:rFonts w:hint="cs"/>
          <w:rtl/>
        </w:rPr>
        <w:t xml:space="preserve">والسلطات </w:t>
      </w:r>
      <w:r>
        <w:rPr>
          <w:rFonts w:hint="cs"/>
          <w:rtl/>
        </w:rPr>
        <w:t>المسؤولة عن مراقبة</w:t>
      </w:r>
      <w:r w:rsidRPr="00632E92">
        <w:rPr>
          <w:rFonts w:hint="cs"/>
          <w:rtl/>
        </w:rPr>
        <w:t xml:space="preserve"> الحدود</w:t>
      </w:r>
      <w:r w:rsidRPr="00632E92">
        <w:rPr>
          <w:rtl/>
        </w:rPr>
        <w:t xml:space="preserve"> و</w:t>
      </w:r>
      <w:r w:rsidRPr="00632E92">
        <w:rPr>
          <w:rFonts w:hint="cs"/>
          <w:rtl/>
        </w:rPr>
        <w:t>ال</w:t>
      </w:r>
      <w:r w:rsidRPr="00632E92">
        <w:rPr>
          <w:rtl/>
        </w:rPr>
        <w:t>تدابير الصح</w:t>
      </w:r>
      <w:r w:rsidRPr="00632E92">
        <w:rPr>
          <w:rFonts w:hint="cs"/>
          <w:rtl/>
        </w:rPr>
        <w:t>ي</w:t>
      </w:r>
      <w:r w:rsidRPr="00632E92">
        <w:rPr>
          <w:rtl/>
        </w:rPr>
        <w:t>ة و</w:t>
      </w:r>
      <w:r w:rsidRPr="00632E92">
        <w:rPr>
          <w:rFonts w:hint="cs"/>
          <w:rtl/>
        </w:rPr>
        <w:t xml:space="preserve">تدابير </w:t>
      </w:r>
      <w:r w:rsidRPr="00632E92">
        <w:rPr>
          <w:rtl/>
        </w:rPr>
        <w:t xml:space="preserve">الصحة النباتية </w:t>
      </w:r>
      <w:r w:rsidRPr="00632E92">
        <w:rPr>
          <w:rFonts w:hint="cs"/>
          <w:rtl/>
        </w:rPr>
        <w:t>و</w:t>
      </w:r>
      <w:r w:rsidRPr="00632E92">
        <w:rPr>
          <w:rtl/>
        </w:rPr>
        <w:t>الهيئات المختصة</w:t>
      </w:r>
      <w:r w:rsidRPr="00632E92">
        <w:rPr>
          <w:rFonts w:hint="cs"/>
          <w:rtl/>
        </w:rPr>
        <w:t xml:space="preserve"> الأخرى</w:t>
      </w:r>
      <w:r w:rsidRPr="00632E92">
        <w:rPr>
          <w:rtl/>
        </w:rPr>
        <w:t xml:space="preserve"> ذات الصلة على المستويين الوطني والإقليمي، من أجل منع الإدخال غير المقصود للأنواع الغريبة الغازية المرتبطة بالتجارة </w:t>
      </w:r>
      <w:r w:rsidRPr="00632E92">
        <w:rPr>
          <w:rFonts w:hint="cs"/>
          <w:rtl/>
        </w:rPr>
        <w:t>بالكائنات</w:t>
      </w:r>
      <w:r w:rsidRPr="00632E92">
        <w:rPr>
          <w:rtl/>
        </w:rPr>
        <w:t xml:space="preserve"> الحية؛</w:t>
      </w:r>
    </w:p>
    <w:p w:rsidR="00EE0FD7" w:rsidRDefault="00EE0FD7" w:rsidP="00CD26C5">
      <w:pPr>
        <w:numPr>
          <w:ilvl w:val="0"/>
          <w:numId w:val="57"/>
        </w:numPr>
        <w:ind w:left="0" w:firstLine="720"/>
      </w:pPr>
      <w:r w:rsidRPr="008D5201">
        <w:rPr>
          <w:i/>
          <w:iCs/>
          <w:rtl/>
        </w:rPr>
        <w:t>يشجع</w:t>
      </w:r>
      <w:r w:rsidRPr="008D5201">
        <w:rPr>
          <w:rtl/>
        </w:rPr>
        <w:t xml:space="preserve"> الأطراف و</w:t>
      </w:r>
      <w:r w:rsidRPr="008D5201">
        <w:rPr>
          <w:i/>
          <w:iCs/>
          <w:rtl/>
        </w:rPr>
        <w:t>يدعو</w:t>
      </w:r>
      <w:r w:rsidRPr="008D5201">
        <w:rPr>
          <w:rtl/>
        </w:rPr>
        <w:t xml:space="preserve"> الحكومات الأخرى</w:t>
      </w:r>
      <w:r>
        <w:rPr>
          <w:rFonts w:hint="cs"/>
          <w:rtl/>
        </w:rPr>
        <w:t xml:space="preserve"> الاضطلاع بما يلي</w:t>
      </w:r>
      <w:r w:rsidRPr="008D5201">
        <w:rPr>
          <w:rtl/>
        </w:rPr>
        <w:t>:</w:t>
      </w:r>
    </w:p>
    <w:p w:rsidR="00EE0FD7" w:rsidRDefault="00EE0FD7" w:rsidP="00EE0FD7">
      <w:pPr>
        <w:ind w:firstLine="720"/>
        <w:rPr>
          <w:rtl/>
        </w:rPr>
      </w:pPr>
      <w:r>
        <w:rPr>
          <w:rFonts w:hint="cs"/>
          <w:rtl/>
        </w:rPr>
        <w:t>(أ)</w:t>
      </w:r>
      <w:r>
        <w:rPr>
          <w:rtl/>
        </w:rPr>
        <w:tab/>
      </w:r>
      <w:r w:rsidRPr="002E4249">
        <w:rPr>
          <w:rtl/>
        </w:rPr>
        <w:t xml:space="preserve">إعداد </w:t>
      </w:r>
      <w:r>
        <w:rPr>
          <w:rFonts w:hint="cs"/>
          <w:rtl/>
        </w:rPr>
        <w:t xml:space="preserve">وتبادل </w:t>
      </w:r>
      <w:r w:rsidRPr="002E4249">
        <w:rPr>
          <w:rtl/>
        </w:rPr>
        <w:t xml:space="preserve">قائمة </w:t>
      </w:r>
      <w:r>
        <w:rPr>
          <w:rtl/>
        </w:rPr>
        <w:t>للأنواع الغريبة الغازية المنظمة</w:t>
      </w:r>
      <w:r w:rsidRPr="002E4249">
        <w:rPr>
          <w:rtl/>
        </w:rPr>
        <w:t xml:space="preserve">، استناداً إلى نتائج تحليل المخاطر، </w:t>
      </w:r>
      <w:r>
        <w:rPr>
          <w:rFonts w:hint="cs"/>
          <w:rtl/>
        </w:rPr>
        <w:t>حسب</w:t>
      </w:r>
      <w:r w:rsidRPr="002E4249">
        <w:rPr>
          <w:rtl/>
        </w:rPr>
        <w:t xml:space="preserve"> الاقتضاء</w:t>
      </w:r>
      <w:r w:rsidRPr="00394EAF">
        <w:rPr>
          <w:rtl/>
        </w:rPr>
        <w:t>؛</w:t>
      </w:r>
    </w:p>
    <w:p w:rsidR="00EE0FD7" w:rsidRDefault="00EE0FD7" w:rsidP="00EE0FD7">
      <w:pPr>
        <w:ind w:firstLine="720"/>
        <w:rPr>
          <w:rtl/>
        </w:rPr>
      </w:pPr>
      <w:r>
        <w:rPr>
          <w:rFonts w:hint="cs"/>
          <w:rtl/>
        </w:rPr>
        <w:t>(ب)</w:t>
      </w:r>
      <w:r>
        <w:rPr>
          <w:rtl/>
        </w:rPr>
        <w:tab/>
      </w:r>
      <w:r w:rsidRPr="002E4249">
        <w:rPr>
          <w:rtl/>
        </w:rPr>
        <w:t xml:space="preserve">تبادل المعلومات </w:t>
      </w:r>
      <w:r>
        <w:rPr>
          <w:rFonts w:hint="cs"/>
          <w:rtl/>
        </w:rPr>
        <w:t>المتعلقة</w:t>
      </w:r>
      <w:r w:rsidRPr="002E4249">
        <w:rPr>
          <w:rtl/>
        </w:rPr>
        <w:t xml:space="preserve"> </w:t>
      </w:r>
      <w:r>
        <w:rPr>
          <w:rFonts w:hint="cs"/>
          <w:rtl/>
        </w:rPr>
        <w:t>ب</w:t>
      </w:r>
      <w:r w:rsidRPr="002E4249">
        <w:rPr>
          <w:rtl/>
        </w:rPr>
        <w:t>تو</w:t>
      </w:r>
      <w:r>
        <w:rPr>
          <w:rFonts w:hint="cs"/>
          <w:rtl/>
        </w:rPr>
        <w:t>اتر حالات</w:t>
      </w:r>
      <w:r w:rsidRPr="002E4249">
        <w:rPr>
          <w:rtl/>
        </w:rPr>
        <w:t xml:space="preserve"> الأنواع الغريبة الغازية في </w:t>
      </w:r>
      <w:r>
        <w:rPr>
          <w:rFonts w:hint="cs"/>
          <w:rtl/>
        </w:rPr>
        <w:t>المناطق ذات</w:t>
      </w:r>
      <w:r w:rsidRPr="002E4249">
        <w:rPr>
          <w:rtl/>
        </w:rPr>
        <w:t xml:space="preserve"> </w:t>
      </w:r>
      <w:r>
        <w:rPr>
          <w:rFonts w:hint="cs"/>
          <w:rtl/>
        </w:rPr>
        <w:t>ال</w:t>
      </w:r>
      <w:r w:rsidRPr="002E4249">
        <w:rPr>
          <w:rtl/>
        </w:rPr>
        <w:t>أهمية</w:t>
      </w:r>
      <w:r>
        <w:rPr>
          <w:rFonts w:hint="cs"/>
          <w:rtl/>
        </w:rPr>
        <w:t xml:space="preserve"> في مجال</w:t>
      </w:r>
      <w:r w:rsidRPr="002E4249">
        <w:rPr>
          <w:rtl/>
        </w:rPr>
        <w:t xml:space="preserve"> الحفظ</w:t>
      </w:r>
      <w:r w:rsidRPr="00394EAF">
        <w:rPr>
          <w:rtl/>
        </w:rPr>
        <w:t>؛</w:t>
      </w:r>
    </w:p>
    <w:p w:rsidR="00EE0FD7" w:rsidRPr="00632E92" w:rsidRDefault="00EE0FD7" w:rsidP="00EE0FD7">
      <w:pPr>
        <w:ind w:firstLine="720"/>
        <w:rPr>
          <w:rtl/>
        </w:rPr>
      </w:pPr>
      <w:r>
        <w:rPr>
          <w:rFonts w:hint="cs"/>
          <w:rtl/>
        </w:rPr>
        <w:t>(ج)</w:t>
      </w:r>
      <w:r>
        <w:rPr>
          <w:rtl/>
        </w:rPr>
        <w:tab/>
      </w:r>
      <w:r w:rsidRPr="002E4249">
        <w:rPr>
          <w:rtl/>
        </w:rPr>
        <w:t xml:space="preserve">التعاون </w:t>
      </w:r>
      <w:r>
        <w:rPr>
          <w:rFonts w:hint="cs"/>
          <w:rtl/>
        </w:rPr>
        <w:t xml:space="preserve">من أجل </w:t>
      </w:r>
      <w:r w:rsidRPr="002E4249">
        <w:rPr>
          <w:rtl/>
        </w:rPr>
        <w:t xml:space="preserve">منع </w:t>
      </w:r>
      <w:r>
        <w:rPr>
          <w:rFonts w:hint="cs"/>
          <w:rtl/>
        </w:rPr>
        <w:t>دخول تلك</w:t>
      </w:r>
      <w:r w:rsidRPr="002E4249">
        <w:rPr>
          <w:rtl/>
        </w:rPr>
        <w:t xml:space="preserve"> الأنواع المثيرة للقلق </w:t>
      </w:r>
      <w:r>
        <w:rPr>
          <w:rFonts w:hint="cs"/>
          <w:rtl/>
        </w:rPr>
        <w:t>وانتشارها من جديد</w:t>
      </w:r>
      <w:r w:rsidRPr="00394EAF">
        <w:rPr>
          <w:rtl/>
        </w:rPr>
        <w:t>؛</w:t>
      </w:r>
    </w:p>
    <w:p w:rsidR="00EE0FD7" w:rsidRPr="00632E92" w:rsidRDefault="00EE0FD7" w:rsidP="00CD26C5">
      <w:pPr>
        <w:numPr>
          <w:ilvl w:val="0"/>
          <w:numId w:val="57"/>
        </w:numPr>
        <w:ind w:left="0" w:firstLine="720"/>
      </w:pPr>
      <w:r w:rsidRPr="00632E92">
        <w:rPr>
          <w:rFonts w:hint="cs"/>
          <w:i/>
          <w:iCs/>
          <w:rtl/>
        </w:rPr>
        <w:t>ي</w:t>
      </w:r>
      <w:r w:rsidRPr="00632E92">
        <w:rPr>
          <w:i/>
          <w:iCs/>
          <w:rtl/>
        </w:rPr>
        <w:t>قر</w:t>
      </w:r>
      <w:r w:rsidRPr="00632E92">
        <w:rPr>
          <w:rtl/>
        </w:rPr>
        <w:t xml:space="preserve"> بأن العمل الإضافي بشأن آثار الأنواع الغريبة الغازية على ال</w:t>
      </w:r>
      <w:r>
        <w:rPr>
          <w:rFonts w:hint="cs"/>
          <w:rtl/>
        </w:rPr>
        <w:t xml:space="preserve">جوانب </w:t>
      </w:r>
      <w:r w:rsidRPr="00632E92">
        <w:rPr>
          <w:rtl/>
        </w:rPr>
        <w:t>الاجتماعية و</w:t>
      </w:r>
      <w:r>
        <w:rPr>
          <w:rFonts w:hint="cs"/>
          <w:rtl/>
        </w:rPr>
        <w:t xml:space="preserve">القيم </w:t>
      </w:r>
      <w:r w:rsidRPr="00632E92">
        <w:rPr>
          <w:rtl/>
        </w:rPr>
        <w:t>الاقتصادية والثقافية للشعوب الأصلية والمجتمعات المحلية أمر حتمي وينبغي تنفيذه بالتعاون الوثيق مع الشعوب الأصلية والمجتمعات المحلية، و</w:t>
      </w:r>
      <w:r w:rsidRPr="00632E92">
        <w:rPr>
          <w:i/>
          <w:iCs/>
          <w:rtl/>
        </w:rPr>
        <w:t>يشجع</w:t>
      </w:r>
      <w:r w:rsidRPr="00632E92">
        <w:rPr>
          <w:rtl/>
        </w:rPr>
        <w:t xml:space="preserve"> </w:t>
      </w:r>
      <w:r w:rsidRPr="00632E92">
        <w:rPr>
          <w:rFonts w:hint="cs"/>
          <w:rtl/>
        </w:rPr>
        <w:t xml:space="preserve">على </w:t>
      </w:r>
      <w:r w:rsidRPr="00632E92">
        <w:rPr>
          <w:rtl/>
        </w:rPr>
        <w:t xml:space="preserve">مواصلة </w:t>
      </w:r>
      <w:r w:rsidRPr="00632E92">
        <w:rPr>
          <w:rFonts w:hint="cs"/>
          <w:rtl/>
        </w:rPr>
        <w:t>العمل بشأن تصنيف</w:t>
      </w:r>
      <w:r w:rsidRPr="00632E92">
        <w:rPr>
          <w:rtl/>
        </w:rPr>
        <w:t xml:space="preserve"> الاتحاد الدولي لحفظ الطبيعة لأثر الأنواع الغريبة الغازية على ال</w:t>
      </w:r>
      <w:r>
        <w:rPr>
          <w:rFonts w:hint="cs"/>
          <w:rtl/>
        </w:rPr>
        <w:t>جوانب</w:t>
      </w:r>
      <w:r w:rsidRPr="00632E92">
        <w:rPr>
          <w:rtl/>
        </w:rPr>
        <w:t xml:space="preserve"> الاجتماعية و</w:t>
      </w:r>
      <w:r>
        <w:rPr>
          <w:rFonts w:hint="cs"/>
          <w:rtl/>
        </w:rPr>
        <w:t xml:space="preserve">القيم </w:t>
      </w:r>
      <w:r w:rsidRPr="00632E92">
        <w:rPr>
          <w:rtl/>
        </w:rPr>
        <w:t>الاقتصادية والثقافية</w:t>
      </w:r>
      <w:r w:rsidRPr="00632E92">
        <w:rPr>
          <w:rFonts w:hint="cs"/>
          <w:rtl/>
        </w:rPr>
        <w:t>؛</w:t>
      </w:r>
    </w:p>
    <w:p w:rsidR="00EE0FD7" w:rsidRDefault="00EE0FD7" w:rsidP="00CD26C5">
      <w:pPr>
        <w:numPr>
          <w:ilvl w:val="0"/>
          <w:numId w:val="57"/>
        </w:numPr>
        <w:ind w:left="0" w:firstLine="720"/>
      </w:pPr>
      <w:r w:rsidRPr="00632E92">
        <w:rPr>
          <w:rFonts w:hint="cs"/>
          <w:i/>
          <w:iCs/>
          <w:rtl/>
        </w:rPr>
        <w:t>يطلب</w:t>
      </w:r>
      <w:r w:rsidRPr="00632E92">
        <w:rPr>
          <w:rFonts w:hint="cs"/>
          <w:rtl/>
        </w:rPr>
        <w:t xml:space="preserve"> </w:t>
      </w:r>
      <w:r w:rsidRPr="00EF4364">
        <w:rPr>
          <w:rFonts w:hint="cs"/>
          <w:i/>
          <w:iCs/>
          <w:rtl/>
        </w:rPr>
        <w:t>إلى</w:t>
      </w:r>
      <w:r w:rsidRPr="00632E92">
        <w:rPr>
          <w:rFonts w:hint="cs"/>
          <w:rtl/>
        </w:rPr>
        <w:t xml:space="preserve"> الأمينة التنفيذية، رهنا بتوافر الموارد، أن:</w:t>
      </w:r>
    </w:p>
    <w:p w:rsidR="00EE0FD7" w:rsidRPr="00632E92" w:rsidRDefault="00EE0FD7" w:rsidP="00EE0FD7">
      <w:pPr>
        <w:ind w:firstLine="720"/>
        <w:rPr>
          <w:rtl/>
        </w:rPr>
      </w:pPr>
      <w:r w:rsidRPr="00632E92">
        <w:rPr>
          <w:rFonts w:hint="cs"/>
          <w:rtl/>
        </w:rPr>
        <w:t>(أ)</w:t>
      </w:r>
      <w:r w:rsidRPr="00632E92">
        <w:rPr>
          <w:rtl/>
        </w:rPr>
        <w:tab/>
      </w:r>
      <w:r w:rsidRPr="00632E92">
        <w:rPr>
          <w:rFonts w:hint="cs"/>
          <w:rtl/>
        </w:rPr>
        <w:t>تقوم</w:t>
      </w:r>
      <w:r w:rsidRPr="00632E92">
        <w:rPr>
          <w:rtl/>
        </w:rPr>
        <w:t xml:space="preserve"> مع أمانة المجلس الاقتصادي والاجتماعي التابع للأمم المتحدة،</w:t>
      </w:r>
      <w:r w:rsidRPr="00632E92">
        <w:rPr>
          <w:rFonts w:hint="cs"/>
          <w:rtl/>
        </w:rPr>
        <w:t xml:space="preserve"> ومنظمة الجمارك العالمية </w:t>
      </w:r>
      <w:r w:rsidRPr="00632E92">
        <w:rPr>
          <w:rtl/>
        </w:rPr>
        <w:t>وكذلك فريق الاتصال المشترك بين الوكالات والمعني بالأنواع الغريبة الغازية</w:t>
      </w:r>
      <w:r w:rsidRPr="00632E92">
        <w:rPr>
          <w:rFonts w:hint="cs"/>
          <w:rtl/>
        </w:rPr>
        <w:t>،</w:t>
      </w:r>
      <w:r w:rsidRPr="00632E92">
        <w:rPr>
          <w:rtl/>
        </w:rPr>
        <w:t xml:space="preserve"> باستكشاف إمكانية إعداد نظام للتصنيف ووضع العلامات</w:t>
      </w:r>
      <w:r w:rsidRPr="00632E92">
        <w:rPr>
          <w:rFonts w:hint="cs"/>
          <w:rtl/>
        </w:rPr>
        <w:t xml:space="preserve"> لشحنات الكائنات الحية </w:t>
      </w:r>
      <w:r w:rsidRPr="00632E92">
        <w:rPr>
          <w:rtl/>
        </w:rPr>
        <w:t xml:space="preserve">التي تشكل خطرا أو </w:t>
      </w:r>
      <w:r w:rsidRPr="00632E92">
        <w:rPr>
          <w:rFonts w:hint="cs"/>
          <w:rtl/>
        </w:rPr>
        <w:t>م</w:t>
      </w:r>
      <w:r w:rsidRPr="00632E92">
        <w:rPr>
          <w:rtl/>
        </w:rPr>
        <w:t>خ</w:t>
      </w:r>
      <w:r w:rsidRPr="00632E92">
        <w:rPr>
          <w:rFonts w:hint="cs"/>
          <w:rtl/>
        </w:rPr>
        <w:t>ا</w:t>
      </w:r>
      <w:r w:rsidRPr="00632E92">
        <w:rPr>
          <w:rtl/>
        </w:rPr>
        <w:t>طر على التنوع البيولوجي المرتبط بالأنواع الغريبة الغازية</w:t>
      </w:r>
      <w:r w:rsidRPr="00632E92">
        <w:rPr>
          <w:rFonts w:hint="cs"/>
          <w:rtl/>
        </w:rPr>
        <w:t>، بحيث يكون متسقا ومنسجما مع الا</w:t>
      </w:r>
      <w:r>
        <w:rPr>
          <w:rFonts w:hint="cs"/>
          <w:rtl/>
        </w:rPr>
        <w:t xml:space="preserve">تفاقات </w:t>
      </w:r>
      <w:r w:rsidRPr="00632E92">
        <w:rPr>
          <w:rFonts w:hint="cs"/>
          <w:rtl/>
        </w:rPr>
        <w:t>الدولية،</w:t>
      </w:r>
      <w:r w:rsidRPr="00632E92">
        <w:rPr>
          <w:rtl/>
        </w:rPr>
        <w:t xml:space="preserve"> </w:t>
      </w:r>
      <w:r w:rsidRPr="00632E92">
        <w:rPr>
          <w:rFonts w:hint="cs"/>
          <w:rtl/>
        </w:rPr>
        <w:t>ومكملا</w:t>
      </w:r>
      <w:r w:rsidRPr="00632E92">
        <w:rPr>
          <w:rtl/>
        </w:rPr>
        <w:t xml:space="preserve"> للمعايير الدولية القائمة</w:t>
      </w:r>
      <w:r>
        <w:rPr>
          <w:rFonts w:hint="cs"/>
          <w:rtl/>
        </w:rPr>
        <w:t xml:space="preserve"> ومتمشياً معها</w:t>
      </w:r>
      <w:r w:rsidRPr="00632E92">
        <w:rPr>
          <w:rtl/>
        </w:rPr>
        <w:t>، وتقديم تقرير عن التقدم المحرز فيه إلى الهيئة الفرعية للمشورة العلمية والتقنية والتكنولوجية في اجتماع يُعقد قبل الاجتماع الخامس عشر لمؤتمر الأطراف</w:t>
      </w:r>
      <w:r w:rsidRPr="00632E92">
        <w:rPr>
          <w:rFonts w:hint="cs"/>
          <w:rtl/>
        </w:rPr>
        <w:t>؛</w:t>
      </w:r>
    </w:p>
    <w:p w:rsidR="00EE0FD7" w:rsidRDefault="00EE0FD7" w:rsidP="00EE0FD7">
      <w:pPr>
        <w:ind w:firstLine="720"/>
        <w:rPr>
          <w:rtl/>
        </w:rPr>
      </w:pPr>
      <w:r w:rsidRPr="00632E92">
        <w:rPr>
          <w:rFonts w:hint="cs"/>
          <w:rtl/>
        </w:rPr>
        <w:t>(ب)</w:t>
      </w:r>
      <w:r w:rsidRPr="00632E92">
        <w:rPr>
          <w:rtl/>
        </w:rPr>
        <w:tab/>
      </w:r>
      <w:r w:rsidRPr="00632E92">
        <w:rPr>
          <w:rFonts w:hint="cs"/>
          <w:rtl/>
        </w:rPr>
        <w:t>تيسِّر</w:t>
      </w:r>
      <w:r w:rsidRPr="00632E92">
        <w:rPr>
          <w:rtl/>
        </w:rPr>
        <w:t xml:space="preserve"> عمل المنتدى </w:t>
      </w:r>
      <w:r w:rsidRPr="00632E92">
        <w:rPr>
          <w:rFonts w:hint="cs"/>
          <w:rtl/>
        </w:rPr>
        <w:t>الإلكتروني</w:t>
      </w:r>
      <w:r w:rsidRPr="00632E92">
        <w:rPr>
          <w:rtl/>
        </w:rPr>
        <w:t xml:space="preserve"> وفريق الخبراء التقنيين المخصص المشار إليه في الفقرة </w:t>
      </w:r>
      <w:r>
        <w:rPr>
          <w:rFonts w:hint="cs"/>
          <w:rtl/>
        </w:rPr>
        <w:t>5</w:t>
      </w:r>
      <w:r w:rsidRPr="00632E92">
        <w:rPr>
          <w:rtl/>
        </w:rPr>
        <w:t xml:space="preserve"> أعلاه، من خلال إعداد تجميع وتوليف </w:t>
      </w:r>
      <w:r w:rsidRPr="00632E92">
        <w:rPr>
          <w:rFonts w:hint="cs"/>
          <w:rtl/>
        </w:rPr>
        <w:t>للمساهمات</w:t>
      </w:r>
      <w:r w:rsidRPr="00632E92">
        <w:rPr>
          <w:rtl/>
        </w:rPr>
        <w:t xml:space="preserve"> والمناقشات</w:t>
      </w:r>
      <w:r>
        <w:rPr>
          <w:rFonts w:hint="cs"/>
          <w:rtl/>
        </w:rPr>
        <w:t>؛</w:t>
      </w:r>
    </w:p>
    <w:p w:rsidR="00EE0FD7" w:rsidRPr="00EF4364" w:rsidRDefault="00EE0FD7" w:rsidP="00EE0FD7">
      <w:pPr>
        <w:ind w:firstLine="720"/>
      </w:pPr>
      <w:r>
        <w:rPr>
          <w:rFonts w:hint="cs"/>
          <w:rtl/>
        </w:rPr>
        <w:t>(ج)</w:t>
      </w:r>
      <w:r>
        <w:rPr>
          <w:rtl/>
        </w:rPr>
        <w:tab/>
      </w:r>
      <w:r>
        <w:rPr>
          <w:rFonts w:hint="cs"/>
          <w:rtl/>
        </w:rPr>
        <w:t>تزيد من</w:t>
      </w:r>
      <w:r w:rsidRPr="00704E40">
        <w:rPr>
          <w:rtl/>
        </w:rPr>
        <w:t xml:space="preserve"> تيسير</w:t>
      </w:r>
      <w:r>
        <w:rPr>
          <w:rFonts w:hint="cs"/>
          <w:rtl/>
        </w:rPr>
        <w:t xml:space="preserve"> إعداد</w:t>
      </w:r>
      <w:r w:rsidRPr="00704E40">
        <w:rPr>
          <w:rtl/>
        </w:rPr>
        <w:t xml:space="preserve"> واستخدام المعلومات </w:t>
      </w:r>
      <w:r>
        <w:rPr>
          <w:rFonts w:hint="cs"/>
          <w:rtl/>
        </w:rPr>
        <w:t>المتعلقة ب</w:t>
      </w:r>
      <w:r w:rsidRPr="00704E40">
        <w:rPr>
          <w:rtl/>
        </w:rPr>
        <w:t>مسارات ال</w:t>
      </w:r>
      <w:r>
        <w:rPr>
          <w:rFonts w:hint="cs"/>
          <w:rtl/>
        </w:rPr>
        <w:t>إدخال</w:t>
      </w:r>
      <w:r w:rsidRPr="00704E40">
        <w:rPr>
          <w:rtl/>
        </w:rPr>
        <w:t xml:space="preserve"> وأثرها،</w:t>
      </w:r>
      <w:r>
        <w:rPr>
          <w:rFonts w:hint="cs"/>
          <w:rtl/>
        </w:rPr>
        <w:t xml:space="preserve"> وذلك</w:t>
      </w:r>
      <w:r w:rsidRPr="00704E40">
        <w:rPr>
          <w:rtl/>
        </w:rPr>
        <w:t xml:space="preserve"> بالتعاون مع الشراكة العالمية للمعلومات المتعلقة بالأنواع الغريبة الغازية، مع مراعاة ضرورة رصد تدفق الأنواع الغريبة </w:t>
      </w:r>
      <w:r>
        <w:rPr>
          <w:rFonts w:hint="cs"/>
          <w:rtl/>
        </w:rPr>
        <w:t>التي تُباع عن طريق</w:t>
      </w:r>
      <w:r w:rsidRPr="00704E40">
        <w:rPr>
          <w:rtl/>
        </w:rPr>
        <w:t xml:space="preserve"> التجارة الإلكترونية؛</w:t>
      </w:r>
    </w:p>
    <w:p w:rsidR="00EE0FD7" w:rsidRPr="00EF4364" w:rsidRDefault="00EE0FD7" w:rsidP="00CD26C5">
      <w:pPr>
        <w:numPr>
          <w:ilvl w:val="0"/>
          <w:numId w:val="57"/>
        </w:numPr>
        <w:ind w:left="0" w:firstLine="720"/>
      </w:pPr>
      <w:r w:rsidRPr="00EF4364">
        <w:rPr>
          <w:i/>
          <w:iCs/>
          <w:rtl/>
        </w:rPr>
        <w:lastRenderedPageBreak/>
        <w:t xml:space="preserve">يشجع </w:t>
      </w:r>
      <w:r w:rsidRPr="00EF4364">
        <w:rPr>
          <w:rtl/>
        </w:rPr>
        <w:t>مرفق البيئة العالمية والجهات المانحة الأخرى ووكالات التمويل على تقديم المساعدة المالية، بما في ذلك أنشطة بناء القدرات، للمشاريع الوطنية والإقليمية ذات الصلة بالأنواع الغريبة الغازية.</w:t>
      </w:r>
    </w:p>
    <w:p w:rsidR="00EE0FD7" w:rsidRPr="00632E92" w:rsidRDefault="00EE0FD7" w:rsidP="00702979">
      <w:pPr>
        <w:keepNext/>
        <w:spacing w:after="100"/>
        <w:jc w:val="center"/>
        <w:rPr>
          <w:i/>
          <w:iCs/>
          <w:rtl/>
        </w:rPr>
      </w:pPr>
      <w:r w:rsidRPr="00632E92">
        <w:rPr>
          <w:rFonts w:hint="cs"/>
          <w:i/>
          <w:iCs/>
          <w:rtl/>
        </w:rPr>
        <w:t>المرفق الأول</w:t>
      </w:r>
    </w:p>
    <w:p w:rsidR="00EE0FD7" w:rsidRPr="00632E92" w:rsidRDefault="00EE0FD7" w:rsidP="008F1A01">
      <w:pPr>
        <w:spacing w:after="100" w:line="204" w:lineRule="auto"/>
        <w:ind w:left="1886" w:right="1555" w:hanging="806"/>
        <w:jc w:val="center"/>
        <w:rPr>
          <w:b/>
          <w:bCs/>
          <w:rtl/>
        </w:rPr>
      </w:pPr>
      <w:r w:rsidRPr="00632E92">
        <w:rPr>
          <w:rFonts w:hint="cs"/>
          <w:b/>
          <w:bCs/>
          <w:rtl/>
        </w:rPr>
        <w:t>الإرشادات الطوعية التكميلية لتجنب الإدخال غير المقصود للأنواع الغريبة الغازية المرتبطة بالتجارة بالكائنات الحية</w:t>
      </w:r>
    </w:p>
    <w:p w:rsidR="00EE0FD7" w:rsidRPr="00632E92" w:rsidRDefault="00EE0FD7" w:rsidP="00EE0FD7">
      <w:pPr>
        <w:rPr>
          <w:rtl/>
        </w:rPr>
      </w:pPr>
      <w:r w:rsidRPr="00632E92">
        <w:rPr>
          <w:rFonts w:hint="cs"/>
          <w:rtl/>
        </w:rPr>
        <w:t>1-</w:t>
      </w:r>
      <w:r w:rsidRPr="00632E92">
        <w:rPr>
          <w:rFonts w:hint="cs"/>
          <w:rtl/>
        </w:rPr>
        <w:tab/>
        <w:t xml:space="preserve">هذه الإرشادات تكمل الإرشادات بشأن صياغة وتنفيذ تدابير للتصدي للمخاطر المرتبطة بإدخال الأنواع الغريبة كحيوانات أليفة، وكأنواع </w:t>
      </w:r>
      <w:r w:rsidRPr="008F1A01">
        <w:rPr>
          <w:rFonts w:hint="cs"/>
          <w:spacing w:val="-10"/>
          <w:rtl/>
        </w:rPr>
        <w:t>لأحواض الكائنات الحية المائية ولأحواض الكائنات</w:t>
      </w:r>
      <w:r w:rsidRPr="00632E92">
        <w:rPr>
          <w:rFonts w:hint="cs"/>
          <w:rtl/>
        </w:rPr>
        <w:t xml:space="preserve"> </w:t>
      </w:r>
      <w:r w:rsidRPr="008F1A01">
        <w:rPr>
          <w:rFonts w:hint="cs"/>
          <w:spacing w:val="-10"/>
          <w:rtl/>
        </w:rPr>
        <w:t>الأرضية، وكطعم حي وأغذية حية المرفقة بالمقرر </w:t>
      </w:r>
      <w:hyperlink r:id="rId64" w:history="1">
        <w:r w:rsidRPr="008F1A01">
          <w:rPr>
            <w:rFonts w:hint="cs"/>
            <w:color w:val="0000FF"/>
            <w:spacing w:val="-10"/>
            <w:u w:val="single"/>
            <w:rtl/>
          </w:rPr>
          <w:t>12/16</w:t>
        </w:r>
      </w:hyperlink>
      <w:r w:rsidRPr="008F1A01">
        <w:rPr>
          <w:rFonts w:hint="cs"/>
          <w:spacing w:val="-10"/>
          <w:rtl/>
        </w:rPr>
        <w:t>.</w:t>
      </w:r>
    </w:p>
    <w:p w:rsidR="00EE0FD7" w:rsidRPr="00886EF3" w:rsidRDefault="00EE0FD7" w:rsidP="00EE0FD7">
      <w:pPr>
        <w:rPr>
          <w:rtl/>
          <w:lang w:val="en-GB"/>
        </w:rPr>
      </w:pPr>
      <w:r w:rsidRPr="00632E92">
        <w:rPr>
          <w:rFonts w:hint="cs"/>
          <w:rtl/>
        </w:rPr>
        <w:t>2-</w:t>
      </w:r>
      <w:r w:rsidRPr="00632E92">
        <w:rPr>
          <w:rFonts w:hint="cs"/>
          <w:rtl/>
        </w:rPr>
        <w:tab/>
        <w:t>والغرض من هذه الإرشادات يتمثل في التقليل إلى الحد الأدنى من مخاطر الغزو البيولوجي للأنواع الغريبة العابرة لحدود الولاية الوطنية والمناطق البيو</w:t>
      </w:r>
      <w:r>
        <w:rPr>
          <w:rFonts w:hint="cs"/>
          <w:rtl/>
        </w:rPr>
        <w:t>ج</w:t>
      </w:r>
      <w:r w:rsidRPr="00632E92">
        <w:rPr>
          <w:rFonts w:hint="cs"/>
          <w:rtl/>
        </w:rPr>
        <w:t>غرافية الواضحة من خلال مسارات الإدخال غير المقصود الموصوفة في تصنيف مسار الاتفاقية المتعلقة بالتنوع البيولوجي بالاقتران مع التجارة بالكائنات الحية.</w:t>
      </w:r>
    </w:p>
    <w:p w:rsidR="00EE0FD7" w:rsidRPr="00632E92" w:rsidRDefault="00EE0FD7" w:rsidP="00EE0FD7">
      <w:pPr>
        <w:rPr>
          <w:rtl/>
        </w:rPr>
      </w:pPr>
      <w:r w:rsidRPr="00632E92">
        <w:rPr>
          <w:rFonts w:hint="cs"/>
          <w:rtl/>
        </w:rPr>
        <w:t>3-</w:t>
      </w:r>
      <w:r w:rsidRPr="00632E92">
        <w:rPr>
          <w:rFonts w:hint="cs"/>
          <w:rtl/>
        </w:rPr>
        <w:tab/>
        <w:t>وتعتبر هذه الإرشادات ذات صلة بالدول، والمنظمات ذات الصلة، والصناعات والمستهلكين، بما في ذلك جميع الجهات الفاعلة المشاركة في سلسلة القيمة بأكملها للتجارة بالكائنات الحية (من قبيل المصدرين والمستوردين والمربيين، بما في ذلك الجامعين الهواة، والمشاركين في المعارض، وتجار الجملة، وتجار التجزئة، والعملاء). وبالنسبة لحالة تجارة الأغذية الحية، يشتمل الأشخاص المشتركون في سلسلة القيمة أيضا على الأفراد في أعمال المطاعم وأسواق الأغذية.</w:t>
      </w:r>
    </w:p>
    <w:p w:rsidR="00EE0FD7" w:rsidRPr="00632E92" w:rsidRDefault="00EE0FD7" w:rsidP="00EE0FD7">
      <w:pPr>
        <w:jc w:val="center"/>
        <w:rPr>
          <w:b/>
          <w:bCs/>
          <w:sz w:val="24"/>
          <w:rtl/>
        </w:rPr>
      </w:pPr>
      <w:r w:rsidRPr="00632E92">
        <w:rPr>
          <w:rFonts w:hint="cs"/>
          <w:b/>
          <w:bCs/>
          <w:sz w:val="24"/>
          <w:rtl/>
        </w:rPr>
        <w:t>أولا-</w:t>
      </w:r>
      <w:r w:rsidRPr="00632E92">
        <w:rPr>
          <w:rFonts w:hint="cs"/>
          <w:b/>
          <w:bCs/>
          <w:sz w:val="24"/>
          <w:rtl/>
        </w:rPr>
        <w:tab/>
        <w:t>النطاق</w:t>
      </w:r>
    </w:p>
    <w:p w:rsidR="00EE0FD7" w:rsidRPr="00632E92" w:rsidRDefault="00EE0FD7" w:rsidP="00EE0FD7">
      <w:pPr>
        <w:rPr>
          <w:rtl/>
        </w:rPr>
      </w:pPr>
      <w:r w:rsidRPr="00632E92">
        <w:rPr>
          <w:rFonts w:hint="cs"/>
          <w:rtl/>
        </w:rPr>
        <w:t>4-</w:t>
      </w:r>
      <w:r w:rsidRPr="00632E92">
        <w:rPr>
          <w:rFonts w:hint="cs"/>
          <w:rtl/>
        </w:rPr>
        <w:tab/>
        <w:t>هذه الإرشادات طوعية وتهدف إلى استخدامها جنبا إلى جنب مع الإرشادات الأخرى ذات الصلة، وأن تدعم بعضها البعض، على سبيل المثال: المبادئ الموجهة لمنع الإدخال والتخفيف من تأثيرات الأنواع الغريبة الغازية التي تهدد سلامة النظم الإيكولوجية والموائل والأنواع (المقرر 6/23)؛</w:t>
      </w:r>
      <w:bookmarkStart w:id="119" w:name="_Hlk531124168"/>
      <w:r w:rsidRPr="00632E92">
        <w:rPr>
          <w:vertAlign w:val="superscript"/>
          <w:rtl/>
        </w:rPr>
        <w:footnoteReference w:id="177"/>
      </w:r>
      <w:bookmarkEnd w:id="119"/>
      <w:r w:rsidRPr="00632E92">
        <w:rPr>
          <w:rFonts w:hint="cs"/>
          <w:rtl/>
        </w:rPr>
        <w:t xml:space="preserve"> والمعايير الدولية لتدابير الصحة النباتية؛ ومدونة صحة الحيوانات الأرضية ومرجع الاختبارات التشخيصية للحيوانات الأرضية ولقاحاتها للمنظمة العالمية لصحة الحيوان؛ ومدونة صحة الحيوانات المائية للمنظمة العالمية لصحة الحيوان؛ ومرجع الاختبارات التشخيصية للحيوانات المائية لهذه المنظمة وغير ذلك من المعايير والإرشادات التي أعدتها المنظمات الدولية ذات الصلة.</w:t>
      </w:r>
    </w:p>
    <w:p w:rsidR="00EE0FD7" w:rsidRPr="00632E92" w:rsidRDefault="00EE0FD7" w:rsidP="00EE0FD7">
      <w:pPr>
        <w:rPr>
          <w:rtl/>
        </w:rPr>
      </w:pPr>
      <w:r w:rsidRPr="00632E92">
        <w:rPr>
          <w:rFonts w:hint="cs"/>
          <w:rtl/>
        </w:rPr>
        <w:t>5-</w:t>
      </w:r>
      <w:r w:rsidRPr="00632E92">
        <w:rPr>
          <w:rFonts w:hint="cs"/>
          <w:rtl/>
        </w:rPr>
        <w:tab/>
        <w:t xml:space="preserve">وتوضح هذه الإرشادات أيضا العمليات المتكاملة من أجل تنفيذها جنبا إلى جنب مع الإرشادات المرفقة بالمقرر </w:t>
      </w:r>
      <w:hyperlink r:id="rId65" w:history="1">
        <w:r w:rsidRPr="00632E92">
          <w:rPr>
            <w:rFonts w:hint="cs"/>
            <w:color w:val="0000FF"/>
            <w:u w:val="single"/>
            <w:rtl/>
          </w:rPr>
          <w:t>12/16</w:t>
        </w:r>
      </w:hyperlink>
      <w:r w:rsidRPr="00632E92">
        <w:rPr>
          <w:rFonts w:hint="cs"/>
          <w:rtl/>
        </w:rPr>
        <w:t xml:space="preserve"> والمعايير الدولية القائمة الموضوعة من أجل حماية التنوع البيولوجي وصحة الحيوانات، والنباتات والبشر.</w:t>
      </w:r>
    </w:p>
    <w:p w:rsidR="00EE0FD7" w:rsidRPr="00632E92" w:rsidRDefault="00EE0FD7" w:rsidP="00EE0FD7">
      <w:pPr>
        <w:rPr>
          <w:rtl/>
        </w:rPr>
      </w:pPr>
      <w:r w:rsidRPr="00632E92">
        <w:rPr>
          <w:rFonts w:hint="cs"/>
          <w:rtl/>
        </w:rPr>
        <w:t>6-</w:t>
      </w:r>
      <w:r w:rsidRPr="00632E92">
        <w:rPr>
          <w:rFonts w:hint="cs"/>
          <w:rtl/>
        </w:rPr>
        <w:tab/>
        <w:t>ويمكن للأطراف والحكومات الأخرى أن تنفذ هذه الإرشادات من خلال التعاون عبر القطاعات فيما بين السلطات المعنية بالحفظ، وسلطات مراقبة الحدود، والهيئات التنظيمية المعنية بالمخاطر فيما يتعلق بالتجارة الدولية فضلا عن الصناعات ذات الصلة والمستهلكين المشاركين في سلسلة القيمة للتجارة بالكائنات الحية.</w:t>
      </w:r>
    </w:p>
    <w:p w:rsidR="00EE0FD7" w:rsidRPr="00632E92" w:rsidRDefault="00EE0FD7" w:rsidP="00EE0FD7">
      <w:pPr>
        <w:ind w:left="2132" w:right="1980" w:hanging="1052"/>
        <w:jc w:val="left"/>
        <w:rPr>
          <w:b/>
          <w:bCs/>
          <w:sz w:val="24"/>
          <w:rtl/>
        </w:rPr>
      </w:pPr>
      <w:r w:rsidRPr="00632E92">
        <w:rPr>
          <w:rFonts w:hint="cs"/>
          <w:b/>
          <w:bCs/>
          <w:sz w:val="24"/>
          <w:rtl/>
        </w:rPr>
        <w:t>ثانيا-</w:t>
      </w:r>
      <w:r w:rsidRPr="00632E92">
        <w:rPr>
          <w:rFonts w:hint="cs"/>
          <w:b/>
          <w:bCs/>
          <w:sz w:val="24"/>
          <w:rtl/>
        </w:rPr>
        <w:tab/>
        <w:t>تدابير للحد من مخاطر الأنواع الغريبة الغازية التي تتحرك دون قصد في المسارات المرتبطة بالتجارة بالكائنات الحية</w:t>
      </w:r>
    </w:p>
    <w:p w:rsidR="00EE0FD7" w:rsidRPr="00632E92" w:rsidRDefault="00EE0FD7" w:rsidP="00EE0FD7">
      <w:pPr>
        <w:jc w:val="center"/>
        <w:rPr>
          <w:b/>
          <w:bCs/>
          <w:sz w:val="24"/>
          <w:rtl/>
        </w:rPr>
      </w:pPr>
      <w:r w:rsidRPr="00632E92">
        <w:rPr>
          <w:rFonts w:hint="cs"/>
          <w:b/>
          <w:bCs/>
          <w:sz w:val="24"/>
          <w:rtl/>
        </w:rPr>
        <w:t>ألف-</w:t>
      </w:r>
      <w:r w:rsidRPr="00632E92">
        <w:rPr>
          <w:rFonts w:hint="cs"/>
          <w:b/>
          <w:bCs/>
          <w:sz w:val="24"/>
          <w:rtl/>
        </w:rPr>
        <w:tab/>
        <w:t>التوافق مع المعايير الدولية القائمة وغيرها من الإرشادات ذات الصلة بالأنواع الغريبة الغازية</w:t>
      </w:r>
    </w:p>
    <w:p w:rsidR="00EE0FD7" w:rsidRPr="00632E92" w:rsidRDefault="00EE0FD7" w:rsidP="00EE0FD7">
      <w:pPr>
        <w:rPr>
          <w:rtl/>
        </w:rPr>
      </w:pPr>
      <w:r w:rsidRPr="00632E92">
        <w:rPr>
          <w:rFonts w:hint="cs"/>
          <w:rtl/>
        </w:rPr>
        <w:lastRenderedPageBreak/>
        <w:t>7-</w:t>
      </w:r>
      <w:r w:rsidRPr="00632E92">
        <w:rPr>
          <w:rFonts w:hint="cs"/>
          <w:rtl/>
        </w:rPr>
        <w:tab/>
        <w:t>بالنسبة لجميع الحيوانات أو المنتجات الحيوانية الموجودة في شحنة للكائنات الحية، ينبغي استخدام المعايير الصحية المناسبة الموضوعة بموجب عمليات وضع المعايير في المنظمة العالمية لصحة الحيوان من أجل تنسيق التدابير الوطنية، في البلدان المصدرة والمستوردة على حد سواء.</w:t>
      </w:r>
    </w:p>
    <w:p w:rsidR="00EE0FD7" w:rsidRPr="00632E92" w:rsidRDefault="00EE0FD7" w:rsidP="00EE0FD7">
      <w:pPr>
        <w:rPr>
          <w:rtl/>
        </w:rPr>
      </w:pPr>
      <w:r w:rsidRPr="00632E92">
        <w:rPr>
          <w:rFonts w:hint="cs"/>
          <w:rtl/>
        </w:rPr>
        <w:t>8-</w:t>
      </w:r>
      <w:r w:rsidRPr="00632E92">
        <w:rPr>
          <w:rFonts w:hint="cs"/>
          <w:rtl/>
        </w:rPr>
        <w:tab/>
        <w:t>وبالنسبة لجميع النباتات أو المنتجات النباتية،</w:t>
      </w:r>
      <w:r w:rsidRPr="00632E92">
        <w:rPr>
          <w:rtl/>
        </w:rPr>
        <w:t xml:space="preserve"> بما </w:t>
      </w:r>
      <w:r w:rsidRPr="00632E92">
        <w:rPr>
          <w:rFonts w:hint="cs"/>
          <w:rtl/>
        </w:rPr>
        <w:t>فيها</w:t>
      </w:r>
      <w:r w:rsidRPr="00632E92">
        <w:rPr>
          <w:rtl/>
        </w:rPr>
        <w:t xml:space="preserve"> أي تربة أو فضلات أوراق</w:t>
      </w:r>
      <w:r w:rsidRPr="00632E92">
        <w:rPr>
          <w:rFonts w:hint="cs"/>
          <w:rtl/>
        </w:rPr>
        <w:t xml:space="preserve"> الأشجار</w:t>
      </w:r>
      <w:r w:rsidRPr="00632E92">
        <w:rPr>
          <w:rtl/>
        </w:rPr>
        <w:t xml:space="preserve"> أو قش أو </w:t>
      </w:r>
      <w:r w:rsidRPr="00632E92">
        <w:rPr>
          <w:rFonts w:hint="cs"/>
          <w:rtl/>
        </w:rPr>
        <w:t>مواد تحتية</w:t>
      </w:r>
      <w:r w:rsidRPr="00632E92">
        <w:rPr>
          <w:rtl/>
        </w:rPr>
        <w:t xml:space="preserve"> أخرى أو </w:t>
      </w:r>
      <w:r w:rsidRPr="00632E92">
        <w:rPr>
          <w:rFonts w:hint="cs"/>
          <w:rtl/>
        </w:rPr>
        <w:t>تبن</w:t>
      </w:r>
      <w:r w:rsidRPr="00632E92">
        <w:rPr>
          <w:rtl/>
        </w:rPr>
        <w:t xml:space="preserve"> أو بذور أو فواكه أو مصادر </w:t>
      </w:r>
      <w:r w:rsidRPr="00632E92">
        <w:rPr>
          <w:rFonts w:hint="cs"/>
          <w:rtl/>
        </w:rPr>
        <w:t>غذاء أخرى، الموجودة في شحنة للكائنات الحية، ينبغي استخدام معايير الصحة النباتية المناسبة الموضوعة بموجب عمليات وضع المعايير للاتفاقية الدولية لوقاية النباتات من أجل تنسيق التدابير الوطنية، في البلدان المصدرة والمستوردة على حد سواء.</w:t>
      </w:r>
    </w:p>
    <w:p w:rsidR="00EE0FD7" w:rsidRPr="00632E92" w:rsidRDefault="00EE0FD7" w:rsidP="00EE0FD7">
      <w:pPr>
        <w:rPr>
          <w:rtl/>
        </w:rPr>
      </w:pPr>
      <w:r w:rsidRPr="00632E92">
        <w:rPr>
          <w:rFonts w:hint="cs"/>
          <w:rtl/>
        </w:rPr>
        <w:t>9-</w:t>
      </w:r>
      <w:r w:rsidRPr="00632E92">
        <w:rPr>
          <w:rFonts w:hint="cs"/>
          <w:rtl/>
        </w:rPr>
        <w:tab/>
        <w:t xml:space="preserve">وينبغي أن يثبت أي مرسل/مصدر للكائنات الحية أن السلعة الجاري تصديرها، </w:t>
      </w:r>
      <w:r w:rsidRPr="00632E92">
        <w:rPr>
          <w:rtl/>
        </w:rPr>
        <w:t xml:space="preserve">بما في ذلك </w:t>
      </w:r>
      <w:r w:rsidRPr="00632E92">
        <w:rPr>
          <w:rFonts w:hint="cs"/>
          <w:rtl/>
        </w:rPr>
        <w:t>مواد الشحن</w:t>
      </w:r>
      <w:r w:rsidRPr="00632E92">
        <w:rPr>
          <w:rtl/>
        </w:rPr>
        <w:t xml:space="preserve"> المرتبطة بها (الماء، </w:t>
      </w:r>
      <w:r w:rsidRPr="00632E92">
        <w:rPr>
          <w:rFonts w:hint="cs"/>
          <w:rtl/>
        </w:rPr>
        <w:t>والغذاء</w:t>
      </w:r>
      <w:r w:rsidRPr="00632E92">
        <w:rPr>
          <w:rtl/>
        </w:rPr>
        <w:t xml:space="preserve">، </w:t>
      </w:r>
      <w:r w:rsidRPr="00632E92">
        <w:rPr>
          <w:rFonts w:hint="cs"/>
          <w:rtl/>
        </w:rPr>
        <w:t>وفراش حاوية الشحن، على سبيل المثال</w:t>
      </w:r>
      <w:r w:rsidRPr="00632E92">
        <w:rPr>
          <w:rtl/>
        </w:rPr>
        <w:t>)،</w:t>
      </w:r>
      <w:r w:rsidRPr="00632E92">
        <w:rPr>
          <w:rFonts w:hint="cs"/>
          <w:rtl/>
        </w:rPr>
        <w:t xml:space="preserve"> لا تشكل خطرا على الصحة وعلى الصحة النباتية المتعلقة بالتنوع البيولوجي للبلد المستورد. ويمكن إبلاغ سلطة الحدود الوطنية في البلد الم</w:t>
      </w:r>
      <w:r>
        <w:rPr>
          <w:rFonts w:hint="cs"/>
          <w:rtl/>
        </w:rPr>
        <w:t>ستورد</w:t>
      </w:r>
      <w:r w:rsidRPr="00632E92">
        <w:rPr>
          <w:rFonts w:hint="cs"/>
          <w:rtl/>
        </w:rPr>
        <w:t xml:space="preserve"> بهذا الأمر من خلال تقديم شهادة صادرة عن السلطة البيطرية المصدرة/السلطة المختصة بالحيوانات، أو عن طريق تقديم شهادة صحة نباتية صادرة عن المنظمة الوطنية المصدرة المعنية بحماية النباتات فيما يتعلق بالنباتات في أي بلد مصدر، وفقا للوائح الاستيراد الوطنية، التي تستند إلى تحليل مخاطر الآفات.</w:t>
      </w:r>
    </w:p>
    <w:p w:rsidR="00EE0FD7" w:rsidRPr="00632E92" w:rsidRDefault="00EE0FD7" w:rsidP="00EE0FD7">
      <w:pPr>
        <w:rPr>
          <w:rtl/>
        </w:rPr>
      </w:pPr>
      <w:r w:rsidRPr="00632E92">
        <w:rPr>
          <w:rFonts w:hint="cs"/>
          <w:rtl/>
        </w:rPr>
        <w:t>10-</w:t>
      </w:r>
      <w:r w:rsidRPr="00632E92">
        <w:rPr>
          <w:rFonts w:hint="cs"/>
          <w:rtl/>
        </w:rPr>
        <w:tab/>
        <w:t>وينبغي أن تستجيب الناقلات الحاملة لشحنات الكائنات الحية للإرشادات الدولية القائمة الموضوعة في إطار منظمات دولية، من قبيل مدونة الممارسات بشأن تعبئة وحدات نقل البضائع للمنظمة البحرية الدولية/منظمة العمل الدولية/لجنة الأمم المتحدة الاقتصادية لأوروبا،</w:t>
      </w:r>
      <w:r w:rsidRPr="00632E92">
        <w:rPr>
          <w:vertAlign w:val="superscript"/>
          <w:rtl/>
        </w:rPr>
        <w:footnoteReference w:id="178"/>
      </w:r>
      <w:r w:rsidRPr="00632E92">
        <w:rPr>
          <w:rFonts w:hint="cs"/>
          <w:rtl/>
        </w:rPr>
        <w:t xml:space="preserve"> إلا أنه لا ينبغي أن يقتصر الأمر على ذلك.</w:t>
      </w:r>
    </w:p>
    <w:p w:rsidR="00EE0FD7" w:rsidRPr="00632E92" w:rsidRDefault="00EE0FD7" w:rsidP="00EE0FD7">
      <w:pPr>
        <w:jc w:val="center"/>
        <w:rPr>
          <w:b/>
          <w:bCs/>
          <w:sz w:val="24"/>
          <w:rtl/>
        </w:rPr>
      </w:pPr>
      <w:r w:rsidRPr="00632E92">
        <w:rPr>
          <w:rFonts w:hint="cs"/>
          <w:b/>
          <w:bCs/>
          <w:sz w:val="24"/>
          <w:rtl/>
        </w:rPr>
        <w:t>باء-</w:t>
      </w:r>
      <w:r w:rsidRPr="00632E92">
        <w:rPr>
          <w:rFonts w:hint="cs"/>
          <w:b/>
          <w:bCs/>
          <w:sz w:val="24"/>
          <w:rtl/>
        </w:rPr>
        <w:tab/>
        <w:t>الإعداد المسؤول لشحنات الكائنات الحية</w:t>
      </w:r>
    </w:p>
    <w:p w:rsidR="00EE0FD7" w:rsidRPr="00632E92" w:rsidRDefault="00EE0FD7" w:rsidP="00EE0FD7">
      <w:pPr>
        <w:spacing w:line="204" w:lineRule="auto"/>
        <w:rPr>
          <w:rtl/>
        </w:rPr>
      </w:pPr>
      <w:r w:rsidRPr="00632E92">
        <w:rPr>
          <w:rFonts w:hint="cs"/>
          <w:rtl/>
        </w:rPr>
        <w:t>11-</w:t>
      </w:r>
      <w:r w:rsidRPr="00632E92">
        <w:rPr>
          <w:rFonts w:hint="cs"/>
          <w:rtl/>
        </w:rPr>
        <w:tab/>
        <w:t>ينبغي أن يكون أي مرسل/مصدر للكائنات الحية على دراية تامة بالمخاطر المحتملة للغزوات البيولوجية الناتجة عن حركة الكائنات الغريبة من خلال مسارات الإدخال غير المقصود المرتبطة بالتجارة بالكائنات الحية وينبغي له أن يضمن: (أ)</w:t>
      </w:r>
      <w:r w:rsidRPr="00632E92">
        <w:t> </w:t>
      </w:r>
      <w:r w:rsidRPr="00632E92">
        <w:rPr>
          <w:rFonts w:hint="cs"/>
          <w:rtl/>
        </w:rPr>
        <w:t>أن أي شحنة تستوفي متطلبات الصحة والصحة النباتية التي يحددها البلد المستورد؛ (ب)</w:t>
      </w:r>
      <w:r w:rsidRPr="00632E92">
        <w:rPr>
          <w:rtl/>
        </w:rPr>
        <w:t xml:space="preserve"> </w:t>
      </w:r>
      <w:r w:rsidRPr="00632E92">
        <w:rPr>
          <w:rFonts w:hint="cs"/>
          <w:rtl/>
        </w:rPr>
        <w:t>ا</w:t>
      </w:r>
      <w:r w:rsidRPr="00632E92">
        <w:rPr>
          <w:rtl/>
        </w:rPr>
        <w:t>لامتثال للوائح الوطنية والإقليمية بشأن استيراد وتصدير الأنواع الغريبة الغازية؛</w:t>
      </w:r>
      <w:r w:rsidRPr="00632E92">
        <w:rPr>
          <w:rFonts w:hint="cs"/>
          <w:rtl/>
        </w:rPr>
        <w:t xml:space="preserve"> (ج) </w:t>
      </w:r>
      <w:r>
        <w:rPr>
          <w:rFonts w:hint="cs"/>
          <w:rtl/>
        </w:rPr>
        <w:t>و</w:t>
      </w:r>
      <w:r w:rsidRPr="00632E92">
        <w:rPr>
          <w:rFonts w:hint="cs"/>
          <w:rtl/>
        </w:rPr>
        <w:t xml:space="preserve">تطبيق تدابير لتقليل مخاطر عمليات الإدخال </w:t>
      </w:r>
      <w:r w:rsidRPr="008F1A01">
        <w:rPr>
          <w:rFonts w:hint="cs"/>
          <w:spacing w:val="-10"/>
          <w:rtl/>
        </w:rPr>
        <w:t>غير المقصود إلى أدنى حد.</w:t>
      </w:r>
    </w:p>
    <w:p w:rsidR="00EE0FD7" w:rsidRPr="00632E92" w:rsidRDefault="00EE0FD7" w:rsidP="00EE0FD7">
      <w:pPr>
        <w:spacing w:line="204" w:lineRule="auto"/>
        <w:rPr>
          <w:rtl/>
        </w:rPr>
      </w:pPr>
      <w:r w:rsidRPr="00632E92">
        <w:rPr>
          <w:rFonts w:hint="cs"/>
          <w:rtl/>
        </w:rPr>
        <w:t>12-</w:t>
      </w:r>
      <w:r w:rsidRPr="00632E92">
        <w:rPr>
          <w:rFonts w:hint="cs"/>
          <w:rtl/>
        </w:rPr>
        <w:tab/>
        <w:t>وينبغي لأي مرسل/مصدر لشحنة كائنات حية أن يبلغ المستورد/المستقبِل بالمخاطر المحتملة للغزو البيولوجي للأنواع الغريبة في وثيقة مرفقة بالشحنة التي تحتوي على الكائنات الحية، موجهة إلى سلطات مراقبة الحدود، أو المنظمات الوطنية المعنية بحماية النباتات أو السلطات البيطرية. وفي بعض الحالات، ينبغي تقديم هذه المعلومات إلى السلطات المختصة في بلد أو بلدان المرور العابر، للسماح باتخاذ التدابير الملائمة لإدارة المخاطر أثناء عملية المرور العابر.</w:t>
      </w:r>
    </w:p>
    <w:p w:rsidR="00EE0FD7" w:rsidRPr="00632E92" w:rsidRDefault="00EE0FD7" w:rsidP="00EE0FD7">
      <w:pPr>
        <w:spacing w:line="204" w:lineRule="auto"/>
      </w:pPr>
      <w:r w:rsidRPr="00632E92">
        <w:rPr>
          <w:rFonts w:hint="cs"/>
          <w:rtl/>
        </w:rPr>
        <w:t>13-</w:t>
      </w:r>
      <w:r w:rsidRPr="00632E92">
        <w:rPr>
          <w:rFonts w:hint="cs"/>
          <w:rtl/>
        </w:rPr>
        <w:tab/>
        <w:t xml:space="preserve">وينبغي لأي مرسل/مصدر للكائنات الحية أن يطبق </w:t>
      </w:r>
      <w:r>
        <w:rPr>
          <w:rFonts w:hint="cs"/>
          <w:rtl/>
        </w:rPr>
        <w:t xml:space="preserve">جميع </w:t>
      </w:r>
      <w:r w:rsidRPr="00632E92">
        <w:rPr>
          <w:rFonts w:hint="cs"/>
          <w:rtl/>
        </w:rPr>
        <w:t>تدابير الصحة والصحة النباتية الملائمة لضمان شحن الكائنات الحية خالية من الآفات، والعوامل المسببة للأمراض والكائنات الغريبة التي قد تحمل مخاطر الغزوات البيولوجية في البلد المستورد أو المناطق البيو</w:t>
      </w:r>
      <w:r>
        <w:rPr>
          <w:rFonts w:hint="cs"/>
          <w:rtl/>
        </w:rPr>
        <w:t>ج</w:t>
      </w:r>
      <w:r w:rsidRPr="00632E92">
        <w:rPr>
          <w:rFonts w:hint="cs"/>
          <w:rtl/>
        </w:rPr>
        <w:t>غرافية التي تتلقاها.</w:t>
      </w:r>
    </w:p>
    <w:p w:rsidR="00EE0FD7" w:rsidRPr="00632E92" w:rsidRDefault="00EE0FD7" w:rsidP="00EE0FD7">
      <w:pPr>
        <w:spacing w:line="204" w:lineRule="auto"/>
        <w:jc w:val="center"/>
        <w:rPr>
          <w:b/>
          <w:bCs/>
          <w:sz w:val="24"/>
          <w:rtl/>
        </w:rPr>
      </w:pPr>
      <w:r w:rsidRPr="00632E92">
        <w:rPr>
          <w:rFonts w:hint="cs"/>
          <w:b/>
          <w:bCs/>
          <w:sz w:val="24"/>
          <w:rtl/>
        </w:rPr>
        <w:t>جيم-</w:t>
      </w:r>
      <w:r w:rsidRPr="00632E92">
        <w:rPr>
          <w:rFonts w:hint="cs"/>
          <w:b/>
          <w:bCs/>
          <w:sz w:val="24"/>
          <w:rtl/>
        </w:rPr>
        <w:tab/>
        <w:t>حاويات التعبئة/الشحنة</w:t>
      </w:r>
    </w:p>
    <w:p w:rsidR="00EE0FD7" w:rsidRPr="00632E92" w:rsidRDefault="00EE0FD7" w:rsidP="00EE0FD7">
      <w:pPr>
        <w:spacing w:line="204" w:lineRule="auto"/>
        <w:rPr>
          <w:rtl/>
        </w:rPr>
      </w:pPr>
      <w:r w:rsidRPr="00632E92">
        <w:rPr>
          <w:rFonts w:hint="cs"/>
          <w:rtl/>
        </w:rPr>
        <w:t>14-</w:t>
      </w:r>
      <w:r w:rsidRPr="00632E92">
        <w:rPr>
          <w:rFonts w:hint="cs"/>
          <w:rtl/>
        </w:rPr>
        <w:tab/>
      </w:r>
      <w:r w:rsidRPr="00632E92">
        <w:rPr>
          <w:rtl/>
        </w:rPr>
        <w:t>ينبغي أن تو</w:t>
      </w:r>
      <w:r w:rsidRPr="00632E92">
        <w:rPr>
          <w:rFonts w:hint="cs"/>
          <w:rtl/>
        </w:rPr>
        <w:t>ضع علامات بشكل ملائم على</w:t>
      </w:r>
      <w:r w:rsidRPr="00632E92">
        <w:rPr>
          <w:rtl/>
        </w:rPr>
        <w:t xml:space="preserve"> كل </w:t>
      </w:r>
      <w:r w:rsidRPr="00632E92">
        <w:rPr>
          <w:rFonts w:hint="cs"/>
          <w:rtl/>
        </w:rPr>
        <w:t>شحنة</w:t>
      </w:r>
      <w:r w:rsidRPr="00632E92">
        <w:rPr>
          <w:rtl/>
        </w:rPr>
        <w:t xml:space="preserve"> </w:t>
      </w:r>
      <w:r w:rsidRPr="00632E92">
        <w:rPr>
          <w:rFonts w:hint="cs"/>
          <w:rtl/>
        </w:rPr>
        <w:t>تشير إلى</w:t>
      </w:r>
      <w:r w:rsidRPr="00632E92">
        <w:rPr>
          <w:rtl/>
        </w:rPr>
        <w:t xml:space="preserve"> "خطر محتمل على التنوع البيولوجي" عندما يكون ذلك ممكنا، مع الأخذ في الاعتبار خطر الغزوات البيولوجية التي قد تطرحها ال</w:t>
      </w:r>
      <w:r w:rsidRPr="00632E92">
        <w:rPr>
          <w:rFonts w:hint="cs"/>
          <w:rtl/>
        </w:rPr>
        <w:t>كائنات</w:t>
      </w:r>
      <w:r w:rsidRPr="00632E92">
        <w:rPr>
          <w:rtl/>
        </w:rPr>
        <w:t xml:space="preserve"> الحية </w:t>
      </w:r>
      <w:r w:rsidRPr="00632E92">
        <w:rPr>
          <w:rFonts w:hint="cs"/>
          <w:rtl/>
        </w:rPr>
        <w:t>المرتبطة</w:t>
      </w:r>
      <w:r w:rsidRPr="00632E92">
        <w:rPr>
          <w:rtl/>
        </w:rPr>
        <w:t xml:space="preserve"> </w:t>
      </w:r>
      <w:r w:rsidRPr="00632E92">
        <w:rPr>
          <w:rFonts w:hint="cs"/>
          <w:rtl/>
        </w:rPr>
        <w:t>ب</w:t>
      </w:r>
      <w:r w:rsidRPr="00632E92">
        <w:rPr>
          <w:rtl/>
        </w:rPr>
        <w:t>الشحنة، من جانب المرسل/المصدر، وعلى وجه الخصوص عندما يتم الحصول على ال</w:t>
      </w:r>
      <w:r w:rsidRPr="00632E92">
        <w:rPr>
          <w:rFonts w:hint="cs"/>
          <w:rtl/>
        </w:rPr>
        <w:t>كائنات</w:t>
      </w:r>
      <w:r w:rsidRPr="00632E92">
        <w:rPr>
          <w:rtl/>
        </w:rPr>
        <w:t xml:space="preserve"> الحية أو جمعها من الطبيعة البرية، من أجل إبلاغ الأشخاص المشاركين في سلسلة القيمة بأكملها بالمخاطر المحتملة على التنوع البيولوجي</w:t>
      </w:r>
      <w:r w:rsidRPr="00632E92">
        <w:rPr>
          <w:rFonts w:hint="cs"/>
          <w:rtl/>
        </w:rPr>
        <w:t>.</w:t>
      </w:r>
    </w:p>
    <w:p w:rsidR="00EE0FD7" w:rsidRPr="00632E92" w:rsidRDefault="00EE0FD7" w:rsidP="00EE0FD7">
      <w:pPr>
        <w:spacing w:line="204" w:lineRule="auto"/>
        <w:rPr>
          <w:rtl/>
        </w:rPr>
      </w:pPr>
      <w:r w:rsidRPr="00632E92">
        <w:rPr>
          <w:rFonts w:hint="cs"/>
          <w:rtl/>
        </w:rPr>
        <w:lastRenderedPageBreak/>
        <w:t>15-</w:t>
      </w:r>
      <w:r w:rsidRPr="00632E92">
        <w:rPr>
          <w:rFonts w:hint="cs"/>
          <w:rtl/>
        </w:rPr>
        <w:tab/>
        <w:t>وينبغي أن تخلو مواد أو حاويات التعبئة المرتبطة بحركة الكائنات الحية من الآفات، والعوامل المسببة للأمراض والأنواع الغريبة الغازية التي تثير قلق البلد المستورد لها، أو بلد العبور أو المناطق ال</w:t>
      </w:r>
      <w:r>
        <w:rPr>
          <w:rFonts w:hint="cs"/>
          <w:rtl/>
        </w:rPr>
        <w:t>بيو</w:t>
      </w:r>
      <w:r w:rsidRPr="00632E92">
        <w:rPr>
          <w:rFonts w:hint="cs"/>
          <w:rtl/>
        </w:rPr>
        <w:t>جغرافية المعنية. وإذا كانت مادة التعبئة مصنوعة من الخشب، ينبغي تطبيق المعالجة المناسبة الموصوفة في المعيار الدولي 15 لتدابير الصحة النباتية (تنظيم مواد التعبئة الخشبية في التجارة الدولية) وكذلك الل</w:t>
      </w:r>
      <w:r>
        <w:rPr>
          <w:rFonts w:hint="cs"/>
          <w:rtl/>
        </w:rPr>
        <w:t>وائح الوطنية والإقليمية الأخرى.</w:t>
      </w:r>
    </w:p>
    <w:p w:rsidR="00EE0FD7" w:rsidRPr="00632E92" w:rsidRDefault="00EE0FD7" w:rsidP="00EE0FD7">
      <w:pPr>
        <w:spacing w:line="204" w:lineRule="auto"/>
        <w:rPr>
          <w:rtl/>
        </w:rPr>
      </w:pPr>
      <w:r w:rsidRPr="00632E92">
        <w:rPr>
          <w:rFonts w:hint="cs"/>
          <w:rtl/>
        </w:rPr>
        <w:t>16-</w:t>
      </w:r>
      <w:r w:rsidRPr="00632E92">
        <w:rPr>
          <w:rFonts w:hint="cs"/>
          <w:rtl/>
        </w:rPr>
        <w:tab/>
        <w:t>وفي حالة إعادة استخدام حاوية التعبئة، ي</w:t>
      </w:r>
      <w:r>
        <w:rPr>
          <w:rFonts w:hint="cs"/>
          <w:rtl/>
        </w:rPr>
        <w:t>نبغي</w:t>
      </w:r>
      <w:r w:rsidRPr="00632E92">
        <w:rPr>
          <w:rFonts w:hint="cs"/>
          <w:rtl/>
        </w:rPr>
        <w:t xml:space="preserve"> على المرسل/المصدر أن يغسلها ويطهرها قبل الشحن وفحصها مرئيا قبل إعادة استخدامها.</w:t>
      </w:r>
    </w:p>
    <w:p w:rsidR="00EE0FD7" w:rsidRPr="00632E92" w:rsidRDefault="00EE0FD7" w:rsidP="00EE0FD7">
      <w:pPr>
        <w:spacing w:line="204" w:lineRule="auto"/>
        <w:rPr>
          <w:rtl/>
        </w:rPr>
      </w:pPr>
      <w:r w:rsidRPr="00632E92">
        <w:rPr>
          <w:rFonts w:hint="cs"/>
          <w:rtl/>
        </w:rPr>
        <w:t>17-</w:t>
      </w:r>
      <w:r w:rsidRPr="00632E92">
        <w:rPr>
          <w:rFonts w:hint="cs"/>
          <w:rtl/>
        </w:rPr>
        <w:tab/>
        <w:t>وينبغي أن يغلق</w:t>
      </w:r>
      <w:r w:rsidRPr="00632E92">
        <w:rPr>
          <w:rtl/>
        </w:rPr>
        <w:t xml:space="preserve"> المرسل/المصدر</w:t>
      </w:r>
      <w:r w:rsidRPr="00632E92">
        <w:rPr>
          <w:rFonts w:hint="cs"/>
          <w:rtl/>
        </w:rPr>
        <w:t xml:space="preserve"> حاويات التعبئة للأنواع المائية </w:t>
      </w:r>
      <w:r w:rsidRPr="00632E92">
        <w:rPr>
          <w:rtl/>
        </w:rPr>
        <w:t xml:space="preserve">بشكل مُحكم لمنع تسرب المياه و/أو التلوث إلى أو من الشحنة أثناء </w:t>
      </w:r>
      <w:r w:rsidRPr="00632E92">
        <w:rPr>
          <w:rFonts w:hint="cs"/>
          <w:rtl/>
        </w:rPr>
        <w:t>ال</w:t>
      </w:r>
      <w:r w:rsidRPr="00632E92">
        <w:rPr>
          <w:rtl/>
        </w:rPr>
        <w:t xml:space="preserve">نقل </w:t>
      </w:r>
      <w:r w:rsidRPr="00632E92">
        <w:rPr>
          <w:rFonts w:hint="cs"/>
          <w:rtl/>
        </w:rPr>
        <w:t xml:space="preserve">عبر </w:t>
      </w:r>
      <w:r w:rsidRPr="00632E92">
        <w:rPr>
          <w:rtl/>
        </w:rPr>
        <w:t>سلسلة القيمة بأكملها</w:t>
      </w:r>
      <w:r w:rsidRPr="00632E92">
        <w:rPr>
          <w:rFonts w:hint="cs"/>
          <w:rtl/>
        </w:rPr>
        <w:t>.</w:t>
      </w:r>
    </w:p>
    <w:p w:rsidR="00EE0FD7" w:rsidRPr="00632E92" w:rsidRDefault="00EE0FD7" w:rsidP="00EE0FD7">
      <w:pPr>
        <w:spacing w:line="204" w:lineRule="auto"/>
        <w:jc w:val="center"/>
        <w:rPr>
          <w:b/>
          <w:bCs/>
          <w:sz w:val="24"/>
          <w:rtl/>
        </w:rPr>
      </w:pPr>
      <w:r w:rsidRPr="00632E92">
        <w:rPr>
          <w:rFonts w:hint="cs"/>
          <w:b/>
          <w:bCs/>
          <w:sz w:val="24"/>
          <w:rtl/>
        </w:rPr>
        <w:t>دال-</w:t>
      </w:r>
      <w:r w:rsidRPr="00632E92">
        <w:rPr>
          <w:rFonts w:hint="cs"/>
          <w:b/>
          <w:bCs/>
          <w:sz w:val="24"/>
          <w:rtl/>
        </w:rPr>
        <w:tab/>
        <w:t>المواد المرتبطة بحاويات التعبئة</w:t>
      </w:r>
    </w:p>
    <w:p w:rsidR="00EE0FD7" w:rsidRPr="00632E92" w:rsidRDefault="00EE0FD7" w:rsidP="00EE0FD7">
      <w:pPr>
        <w:spacing w:line="204" w:lineRule="auto"/>
        <w:rPr>
          <w:rtl/>
        </w:rPr>
      </w:pPr>
      <w:r w:rsidRPr="00632E92">
        <w:rPr>
          <w:rFonts w:hint="cs"/>
          <w:rtl/>
        </w:rPr>
        <w:t>18-</w:t>
      </w:r>
      <w:r w:rsidRPr="00632E92">
        <w:rPr>
          <w:rFonts w:hint="cs"/>
          <w:rtl/>
        </w:rPr>
        <w:tab/>
        <w:t>ينبغي لمرسل/مصدر الكائنات الحية أن يضمن معالجة فراش الحيوانات قبل الشحن بالطريقة (الطرق) المناسبة لضمان خلوه من الآفات، والعوامل المسببة للأمراض والأنواع الغريبة الغازية التي تثير قلق البلد المستورد لها، أو بلدان العبور، أو المناطق ال</w:t>
      </w:r>
      <w:r>
        <w:rPr>
          <w:rFonts w:hint="cs"/>
          <w:rtl/>
        </w:rPr>
        <w:t>بيو</w:t>
      </w:r>
      <w:r w:rsidRPr="00632E92">
        <w:rPr>
          <w:rFonts w:hint="cs"/>
          <w:rtl/>
        </w:rPr>
        <w:t>جغرافية المعنية.</w:t>
      </w:r>
    </w:p>
    <w:p w:rsidR="00EE0FD7" w:rsidRPr="00632E92" w:rsidRDefault="00EE0FD7" w:rsidP="00EE0FD7">
      <w:pPr>
        <w:spacing w:line="204" w:lineRule="auto"/>
        <w:rPr>
          <w:rtl/>
        </w:rPr>
      </w:pPr>
      <w:r w:rsidRPr="00632E92">
        <w:rPr>
          <w:rFonts w:hint="cs"/>
          <w:rtl/>
        </w:rPr>
        <w:t>19-</w:t>
      </w:r>
      <w:r w:rsidRPr="00632E92">
        <w:rPr>
          <w:rFonts w:hint="cs"/>
          <w:rtl/>
        </w:rPr>
        <w:tab/>
        <w:t>وينبغي أن تخلو مياه الكائنات الحية المائية وأي وسائط تتعلق بها يتعين استخدامها أثناء عملية النقل من الآفات، والعوامل المسببة للأمراض والأنواع الغريبة الغازية التي تثير قلق البلد المستورد لها أو المناطق ال</w:t>
      </w:r>
      <w:r>
        <w:rPr>
          <w:rFonts w:hint="cs"/>
          <w:rtl/>
        </w:rPr>
        <w:t>بيو</w:t>
      </w:r>
      <w:r w:rsidRPr="00632E92">
        <w:rPr>
          <w:rFonts w:hint="cs"/>
          <w:rtl/>
        </w:rPr>
        <w:t>جغرافية التي تتلقاها وينبغي معالجتها على النحو المطلوب.</w:t>
      </w:r>
    </w:p>
    <w:p w:rsidR="00EE0FD7" w:rsidRPr="00632E92" w:rsidRDefault="00EE0FD7" w:rsidP="00EE0FD7">
      <w:pPr>
        <w:spacing w:line="204" w:lineRule="auto"/>
        <w:rPr>
          <w:rtl/>
        </w:rPr>
      </w:pPr>
      <w:r w:rsidRPr="00632E92">
        <w:rPr>
          <w:rFonts w:hint="cs"/>
          <w:rtl/>
        </w:rPr>
        <w:t>20-</w:t>
      </w:r>
      <w:r w:rsidRPr="00632E92">
        <w:rPr>
          <w:rFonts w:hint="cs"/>
          <w:rtl/>
        </w:rPr>
        <w:tab/>
        <w:t>وينبغي أن يخلو الهواء والأجهزة التي توفر الهواء المرتبطة بشحنات الكائنات المائية من الآفات، والعوامل المسببة للأمراض وال</w:t>
      </w:r>
      <w:r>
        <w:rPr>
          <w:rFonts w:hint="cs"/>
          <w:rtl/>
        </w:rPr>
        <w:t>أنواع</w:t>
      </w:r>
      <w:r w:rsidRPr="00632E92">
        <w:rPr>
          <w:rFonts w:hint="cs"/>
          <w:rtl/>
        </w:rPr>
        <w:t xml:space="preserve"> الغريبة الغازية التي تثير قلق البلد المستورد لها أو المناطق ال</w:t>
      </w:r>
      <w:r>
        <w:rPr>
          <w:rFonts w:hint="cs"/>
          <w:rtl/>
        </w:rPr>
        <w:t>بيو</w:t>
      </w:r>
      <w:r w:rsidRPr="00632E92">
        <w:rPr>
          <w:rFonts w:hint="cs"/>
          <w:rtl/>
        </w:rPr>
        <w:t>جغرافية التي تتلقاها.</w:t>
      </w:r>
    </w:p>
    <w:p w:rsidR="00EE0FD7" w:rsidRPr="00632E92" w:rsidRDefault="00EE0FD7" w:rsidP="00EE0FD7">
      <w:pPr>
        <w:spacing w:line="204" w:lineRule="auto"/>
        <w:rPr>
          <w:rtl/>
        </w:rPr>
      </w:pPr>
      <w:r w:rsidRPr="00632E92">
        <w:rPr>
          <w:rFonts w:hint="cs"/>
          <w:rtl/>
        </w:rPr>
        <w:t>21-</w:t>
      </w:r>
      <w:r w:rsidRPr="00632E92">
        <w:rPr>
          <w:rFonts w:hint="cs"/>
          <w:rtl/>
        </w:rPr>
        <w:tab/>
        <w:t>وينبغي لأي مرسل/مصدر التخلص من أي تربة أو مواد تتعلق بالتربة لها صلة بنقل الكائنات الحية قبل الشحن. وإذا تعذر إزالة التربة أو المواد المتعلقة بالتربة من حاويات التعبئة، ي</w:t>
      </w:r>
      <w:r>
        <w:rPr>
          <w:rFonts w:hint="cs"/>
          <w:rtl/>
        </w:rPr>
        <w:t>نبغي</w:t>
      </w:r>
      <w:r w:rsidRPr="00632E92">
        <w:rPr>
          <w:rFonts w:hint="cs"/>
          <w:rtl/>
        </w:rPr>
        <w:t xml:space="preserve"> على المرسل/المصدر الرجوع إلى لوائح الاستيراد الخاصة بالمنظمة الوطنية المعنية بحماية النباتات في البلد المستورد والامتثال لها.</w:t>
      </w:r>
    </w:p>
    <w:p w:rsidR="00EE0FD7" w:rsidRPr="00632E92" w:rsidRDefault="00EE0FD7" w:rsidP="00EE0FD7">
      <w:pPr>
        <w:spacing w:line="204" w:lineRule="auto"/>
        <w:jc w:val="center"/>
        <w:rPr>
          <w:b/>
          <w:bCs/>
          <w:sz w:val="24"/>
          <w:rtl/>
        </w:rPr>
      </w:pPr>
      <w:r w:rsidRPr="00632E92">
        <w:rPr>
          <w:rFonts w:hint="cs"/>
          <w:b/>
          <w:bCs/>
          <w:sz w:val="24"/>
          <w:rtl/>
        </w:rPr>
        <w:t>هاء-</w:t>
      </w:r>
      <w:r w:rsidRPr="00632E92">
        <w:rPr>
          <w:rFonts w:hint="cs"/>
          <w:b/>
          <w:bCs/>
          <w:sz w:val="24"/>
          <w:rtl/>
        </w:rPr>
        <w:tab/>
        <w:t>أعلاف أو أغذية للحيوانات الحية</w:t>
      </w:r>
    </w:p>
    <w:p w:rsidR="00EE0FD7" w:rsidRPr="00632E92" w:rsidRDefault="00EE0FD7" w:rsidP="00EE0FD7">
      <w:pPr>
        <w:spacing w:line="204" w:lineRule="auto"/>
        <w:rPr>
          <w:rtl/>
        </w:rPr>
      </w:pPr>
      <w:r w:rsidRPr="00632E92">
        <w:rPr>
          <w:rFonts w:hint="cs"/>
          <w:rtl/>
        </w:rPr>
        <w:t>22-</w:t>
      </w:r>
      <w:r w:rsidRPr="00632E92">
        <w:rPr>
          <w:rFonts w:hint="cs"/>
          <w:rtl/>
        </w:rPr>
        <w:tab/>
        <w:t>ينبغي أن يضمن أي مرسل/مصدر للكائنات الحية ألا تحتوي أي أعلاف أو أغذية موجودة في الشحنة على بذور صالحة للبقاء، أو أجزاء من النباتات أو الحيوانات التي تحظى بالقدرة على الاستقرار في بلد المقصد. وينبغي أن يضمن المرسلون/المصدرون أن تخلو الأعلاف أو الأغذية من الآفات، والعوامل المسببة للأمراض والأنواع الغريبة الغازية التي تثير البلد المستورد لها، أو بلدان ا</w:t>
      </w:r>
      <w:r>
        <w:rPr>
          <w:rFonts w:hint="cs"/>
          <w:rtl/>
        </w:rPr>
        <w:t>لعبور، أو المناطق البيو</w:t>
      </w:r>
      <w:r w:rsidRPr="00632E92">
        <w:rPr>
          <w:rFonts w:hint="cs"/>
          <w:rtl/>
        </w:rPr>
        <w:t>جغرافية المعنية.</w:t>
      </w:r>
    </w:p>
    <w:p w:rsidR="00EE0FD7" w:rsidRPr="00632E92" w:rsidRDefault="00EE0FD7" w:rsidP="00EE0FD7">
      <w:pPr>
        <w:spacing w:line="204" w:lineRule="auto"/>
        <w:jc w:val="center"/>
        <w:rPr>
          <w:b/>
          <w:bCs/>
          <w:sz w:val="24"/>
          <w:rtl/>
        </w:rPr>
      </w:pPr>
      <w:r w:rsidRPr="00632E92">
        <w:rPr>
          <w:rFonts w:hint="cs"/>
          <w:b/>
          <w:bCs/>
          <w:sz w:val="24"/>
          <w:rtl/>
        </w:rPr>
        <w:t>واو-</w:t>
      </w:r>
      <w:r w:rsidRPr="00632E92">
        <w:rPr>
          <w:rFonts w:hint="cs"/>
          <w:b/>
          <w:bCs/>
          <w:sz w:val="24"/>
          <w:rtl/>
        </w:rPr>
        <w:tab/>
        <w:t>معالجة المنتجات الثانوية، والنفايات، والمياه والوسائط</w:t>
      </w:r>
    </w:p>
    <w:p w:rsidR="00EE0FD7" w:rsidRPr="00632E92" w:rsidRDefault="00EE0FD7" w:rsidP="00EE0FD7">
      <w:pPr>
        <w:spacing w:line="204" w:lineRule="auto"/>
        <w:rPr>
          <w:rtl/>
        </w:rPr>
      </w:pPr>
      <w:r w:rsidRPr="00632E92">
        <w:rPr>
          <w:rFonts w:hint="cs"/>
          <w:rtl/>
        </w:rPr>
        <w:t>23-</w:t>
      </w:r>
      <w:r w:rsidRPr="00632E92">
        <w:rPr>
          <w:rFonts w:hint="cs"/>
          <w:rtl/>
        </w:rPr>
        <w:tab/>
        <w:t>ينبغي إزالة المنتجات الثانوية والنفايات الناتجة أثناء نقل الكائنات الحية من الشحنة ومعالجتها أو إعدامها في أسرع وقت ممكن لدى وصولها إلى البلد المتلقي. وي</w:t>
      </w:r>
      <w:r>
        <w:rPr>
          <w:rFonts w:hint="cs"/>
          <w:rtl/>
        </w:rPr>
        <w:t>نبغي</w:t>
      </w:r>
      <w:r w:rsidRPr="00632E92">
        <w:rPr>
          <w:rFonts w:hint="cs"/>
          <w:rtl/>
        </w:rPr>
        <w:t xml:space="preserve"> على متلقي الشحنة أن يطبق المعالجة المناسبة، بما في ذلك التطهير،</w:t>
      </w:r>
      <w:r w:rsidRPr="00632E92">
        <w:rPr>
          <w:vertAlign w:val="superscript"/>
          <w:rtl/>
        </w:rPr>
        <w:footnoteReference w:id="179"/>
      </w:r>
      <w:r w:rsidRPr="00632E92">
        <w:rPr>
          <w:rFonts w:hint="cs"/>
          <w:rtl/>
        </w:rPr>
        <w:t xml:space="preserve"> أو الترميد، أو التبطين، أو التعقيم، أو أي تدابير أخرى بشأن حاويات التعبئة، والمواد الأخرى المرتبطة بها، والمنتجات الثانوية والنفايات قبل التخلص منها بهدف تقليل المخاطر التي تشكلها الأنواع الغريبة الغازية إلى أدنى حد.</w:t>
      </w:r>
    </w:p>
    <w:p w:rsidR="00EE0FD7" w:rsidRPr="00632E92" w:rsidRDefault="00EE0FD7" w:rsidP="00EE0FD7">
      <w:pPr>
        <w:spacing w:line="204" w:lineRule="auto"/>
        <w:jc w:val="center"/>
        <w:rPr>
          <w:b/>
          <w:bCs/>
          <w:sz w:val="24"/>
          <w:rtl/>
        </w:rPr>
      </w:pPr>
      <w:r w:rsidRPr="00632E92">
        <w:rPr>
          <w:rFonts w:hint="cs"/>
          <w:b/>
          <w:bCs/>
          <w:sz w:val="24"/>
          <w:rtl/>
        </w:rPr>
        <w:t>زاي-</w:t>
      </w:r>
      <w:r w:rsidRPr="00632E92">
        <w:rPr>
          <w:rFonts w:hint="cs"/>
          <w:b/>
          <w:bCs/>
          <w:sz w:val="24"/>
          <w:rtl/>
        </w:rPr>
        <w:tab/>
        <w:t>حالة الناقلات الحاملة</w:t>
      </w:r>
    </w:p>
    <w:p w:rsidR="00EE0FD7" w:rsidRPr="00632E92" w:rsidRDefault="00EE0FD7" w:rsidP="00EE0FD7">
      <w:pPr>
        <w:spacing w:line="204" w:lineRule="auto"/>
        <w:rPr>
          <w:rtl/>
        </w:rPr>
      </w:pPr>
      <w:r w:rsidRPr="00632E92">
        <w:rPr>
          <w:rFonts w:hint="cs"/>
          <w:rtl/>
        </w:rPr>
        <w:lastRenderedPageBreak/>
        <w:t>24-</w:t>
      </w:r>
      <w:r w:rsidRPr="00632E92">
        <w:rPr>
          <w:rFonts w:hint="cs"/>
          <w:rtl/>
        </w:rPr>
        <w:tab/>
        <w:t>إذا كان من المتوقع تحميل الكائنات الحية أو تم تحميلها من قبل، ينبغي لمالكي ومشغلي الناقلات الحاملة التأكد من غسيل الناقلات أو تطهيرها أو معالجتها بطريقة مناسبة. وينبغي لمالكي الناقلات الحاملة اتخاذ تدابير مسؤولة لتطبيق العلاج فور وصول ناقل حامل إلى بلد المقصد والحفاظ على الحالة المعالجة حتى الاستخدام التالي.</w:t>
      </w:r>
    </w:p>
    <w:p w:rsidR="00EE0FD7" w:rsidRPr="00632E92" w:rsidRDefault="00EE0FD7" w:rsidP="00EE0FD7">
      <w:pPr>
        <w:spacing w:line="204" w:lineRule="auto"/>
        <w:rPr>
          <w:rtl/>
        </w:rPr>
      </w:pPr>
      <w:r w:rsidRPr="00632E92">
        <w:rPr>
          <w:rFonts w:hint="cs"/>
          <w:rtl/>
        </w:rPr>
        <w:t>25-</w:t>
      </w:r>
      <w:r w:rsidRPr="00632E92">
        <w:rPr>
          <w:rFonts w:hint="cs"/>
          <w:rtl/>
        </w:rPr>
        <w:tab/>
        <w:t>وقبل التشغيل، ينبغي فحص أي ناقل حامل لتحديد حالته الصحية والصحية النباتية لضمان تقليل الإدخال غير المقصود من الآفات والعوامل المسببة للأمراض والأنواع الغريبة الغازية إلى أدنى حد.</w:t>
      </w:r>
    </w:p>
    <w:p w:rsidR="00EE0FD7" w:rsidRPr="00632E92" w:rsidRDefault="00EE0FD7" w:rsidP="00EE0FD7">
      <w:pPr>
        <w:spacing w:line="204" w:lineRule="auto"/>
        <w:rPr>
          <w:rtl/>
        </w:rPr>
      </w:pPr>
      <w:r w:rsidRPr="00632E92">
        <w:rPr>
          <w:rFonts w:hint="cs"/>
          <w:rtl/>
        </w:rPr>
        <w:t>26-</w:t>
      </w:r>
      <w:r w:rsidRPr="00632E92">
        <w:rPr>
          <w:rFonts w:hint="cs"/>
          <w:rtl/>
        </w:rPr>
        <w:tab/>
        <w:t>وفي حالة هروب الكائنات الحية أو حدوث أي انسكاب أو تسرب عرضي من إحدى الشحنات، ينبغي لمالك ومشغلي الناقلات الحاملة اتخاذ التدابير اللازمة لاستعادة واحتواء الكائنات الحية والأنواع الغريبة العالقة بها</w:t>
      </w:r>
      <w:r w:rsidRPr="00632E92">
        <w:rPr>
          <w:rtl/>
        </w:rPr>
        <w:t xml:space="preserve"> وإخطار السلطات الم</w:t>
      </w:r>
      <w:r w:rsidRPr="00632E92">
        <w:rPr>
          <w:rFonts w:hint="cs"/>
          <w:rtl/>
        </w:rPr>
        <w:t>عنية</w:t>
      </w:r>
      <w:r w:rsidRPr="00632E92">
        <w:rPr>
          <w:rtl/>
        </w:rPr>
        <w:t xml:space="preserve"> في ذلك البلد على الفور بأي هروب </w:t>
      </w:r>
      <w:r w:rsidRPr="00632E92">
        <w:rPr>
          <w:rFonts w:hint="cs"/>
          <w:rtl/>
        </w:rPr>
        <w:t>للكائنات</w:t>
      </w:r>
      <w:r w:rsidRPr="00632E92">
        <w:rPr>
          <w:rtl/>
        </w:rPr>
        <w:t xml:space="preserve"> الحية أو </w:t>
      </w:r>
      <w:r w:rsidRPr="00632E92">
        <w:rPr>
          <w:rFonts w:hint="cs"/>
          <w:rtl/>
        </w:rPr>
        <w:t xml:space="preserve">أي انسكاب أو تسرب عرضي </w:t>
      </w:r>
      <w:r w:rsidRPr="00632E92">
        <w:rPr>
          <w:rtl/>
        </w:rPr>
        <w:t>من</w:t>
      </w:r>
      <w:r w:rsidRPr="00632E92">
        <w:rPr>
          <w:rFonts w:hint="cs"/>
          <w:rtl/>
        </w:rPr>
        <w:t xml:space="preserve"> إحدى</w:t>
      </w:r>
      <w:r w:rsidRPr="00632E92">
        <w:rPr>
          <w:rtl/>
        </w:rPr>
        <w:t xml:space="preserve"> </w:t>
      </w:r>
      <w:r w:rsidRPr="00632E92">
        <w:rPr>
          <w:rFonts w:hint="cs"/>
          <w:rtl/>
        </w:rPr>
        <w:t xml:space="preserve">الشحنات. وينبغي لمالكي ومشغلي الناقلات الحاملة غسلها وتطهيرها أو معالجتها بشكل مناسب، وإبلاغ السلطات الوطنية المعنية في البلد المتضرر (بلد المرور العابر أو بلد المقصد) عن طبيعة الهروب </w:t>
      </w:r>
      <w:r w:rsidRPr="001B2FCC">
        <w:rPr>
          <w:rFonts w:hint="cs"/>
          <w:spacing w:val="-6"/>
          <w:rtl/>
        </w:rPr>
        <w:t>أو الانسكاب أو التسرب والتدابير التي اتخذها مالكو أو مشغلو الناقلات الحاملة.</w:t>
      </w:r>
    </w:p>
    <w:p w:rsidR="00EE0FD7" w:rsidRPr="00632E92" w:rsidRDefault="00EE0FD7" w:rsidP="00EE0FD7">
      <w:pPr>
        <w:spacing w:line="204" w:lineRule="auto"/>
        <w:jc w:val="center"/>
        <w:rPr>
          <w:b/>
          <w:bCs/>
          <w:sz w:val="24"/>
          <w:rtl/>
        </w:rPr>
      </w:pPr>
      <w:bookmarkStart w:id="120" w:name="_Hlk518712081"/>
      <w:r w:rsidRPr="00632E92">
        <w:rPr>
          <w:rFonts w:hint="cs"/>
          <w:b/>
          <w:bCs/>
          <w:sz w:val="24"/>
          <w:rtl/>
        </w:rPr>
        <w:t>حاء-</w:t>
      </w:r>
      <w:r w:rsidRPr="00632E92">
        <w:rPr>
          <w:rFonts w:hint="cs"/>
          <w:b/>
          <w:bCs/>
          <w:sz w:val="24"/>
          <w:rtl/>
        </w:rPr>
        <w:tab/>
        <w:t>دور المستلم/المستورد</w:t>
      </w:r>
    </w:p>
    <w:bookmarkEnd w:id="120"/>
    <w:p w:rsidR="00EE0FD7" w:rsidRPr="00632E92" w:rsidRDefault="00EE0FD7" w:rsidP="00EE0FD7">
      <w:pPr>
        <w:spacing w:line="204" w:lineRule="auto"/>
        <w:rPr>
          <w:rtl/>
        </w:rPr>
      </w:pPr>
      <w:r w:rsidRPr="00632E92">
        <w:rPr>
          <w:rFonts w:hint="cs"/>
          <w:rtl/>
        </w:rPr>
        <w:t>27-</w:t>
      </w:r>
      <w:r w:rsidRPr="00632E92">
        <w:rPr>
          <w:rFonts w:hint="cs"/>
          <w:rtl/>
        </w:rPr>
        <w:tab/>
      </w:r>
      <w:r w:rsidRPr="00632E92">
        <w:rPr>
          <w:rtl/>
        </w:rPr>
        <w:t>ي</w:t>
      </w:r>
      <w:r w:rsidRPr="00632E92">
        <w:rPr>
          <w:rFonts w:hint="cs"/>
          <w:rtl/>
        </w:rPr>
        <w:t xml:space="preserve">نبغي </w:t>
      </w:r>
      <w:r w:rsidRPr="00632E92">
        <w:rPr>
          <w:rtl/>
        </w:rPr>
        <w:t>أن يكون المستلم/المستورد على دراية ب</w:t>
      </w:r>
      <w:r w:rsidRPr="00632E92">
        <w:rPr>
          <w:rFonts w:hint="cs"/>
          <w:rtl/>
        </w:rPr>
        <w:t>شروط</w:t>
      </w:r>
      <w:r w:rsidRPr="00632E92">
        <w:rPr>
          <w:rtl/>
        </w:rPr>
        <w:t xml:space="preserve"> الاستيراد التي يحددها البلد المستورد والتأكد من </w:t>
      </w:r>
      <w:r w:rsidRPr="00632E92">
        <w:rPr>
          <w:rFonts w:hint="cs"/>
          <w:rtl/>
        </w:rPr>
        <w:t>استيفاء شروط</w:t>
      </w:r>
      <w:r w:rsidRPr="00632E92">
        <w:rPr>
          <w:rtl/>
        </w:rPr>
        <w:t xml:space="preserve"> الاستيراد. </w:t>
      </w:r>
      <w:r w:rsidRPr="00632E92">
        <w:rPr>
          <w:rFonts w:hint="cs"/>
          <w:rtl/>
        </w:rPr>
        <w:t>وينبغي للمستورد</w:t>
      </w:r>
      <w:r w:rsidRPr="00632E92">
        <w:rPr>
          <w:rtl/>
        </w:rPr>
        <w:t xml:space="preserve"> إبلاغ السلطات ال</w:t>
      </w:r>
      <w:r w:rsidRPr="00632E92">
        <w:rPr>
          <w:rFonts w:hint="cs"/>
          <w:rtl/>
        </w:rPr>
        <w:t>معنية عما إذا</w:t>
      </w:r>
      <w:r w:rsidRPr="00632E92">
        <w:rPr>
          <w:rtl/>
        </w:rPr>
        <w:t xml:space="preserve"> كانت الشحنة ملوثة، لضمان اتخاذ التدابير اللازمة لاحتواء الملوثات والتخلص منها</w:t>
      </w:r>
      <w:r w:rsidRPr="00632E92">
        <w:rPr>
          <w:rFonts w:hint="cs"/>
          <w:rtl/>
        </w:rPr>
        <w:t>.</w:t>
      </w:r>
    </w:p>
    <w:p w:rsidR="00EE0FD7" w:rsidRPr="00632E92" w:rsidRDefault="00EE0FD7" w:rsidP="00EE0FD7">
      <w:pPr>
        <w:spacing w:line="204" w:lineRule="auto"/>
        <w:jc w:val="center"/>
        <w:rPr>
          <w:b/>
          <w:bCs/>
          <w:sz w:val="24"/>
          <w:rtl/>
        </w:rPr>
      </w:pPr>
      <w:r w:rsidRPr="00632E92">
        <w:rPr>
          <w:rFonts w:hint="cs"/>
          <w:b/>
          <w:bCs/>
          <w:sz w:val="24"/>
          <w:rtl/>
        </w:rPr>
        <w:t>طاء-</w:t>
      </w:r>
      <w:r w:rsidRPr="00632E92">
        <w:rPr>
          <w:rFonts w:hint="cs"/>
          <w:b/>
          <w:bCs/>
          <w:sz w:val="24"/>
          <w:rtl/>
        </w:rPr>
        <w:tab/>
        <w:t>دور الدول والسلطات الوطنية فيما يتعلق بالأنواع الغريبة الغازية</w:t>
      </w:r>
    </w:p>
    <w:p w:rsidR="00EE0FD7" w:rsidRPr="00632E92" w:rsidRDefault="00EE0FD7" w:rsidP="00EE0FD7">
      <w:pPr>
        <w:spacing w:after="100" w:line="204" w:lineRule="auto"/>
        <w:rPr>
          <w:rtl/>
        </w:rPr>
      </w:pPr>
      <w:r w:rsidRPr="00632E92">
        <w:rPr>
          <w:rFonts w:hint="cs"/>
          <w:rtl/>
        </w:rPr>
        <w:t>28-</w:t>
      </w:r>
      <w:r w:rsidRPr="00632E92">
        <w:rPr>
          <w:rFonts w:hint="cs"/>
          <w:rtl/>
        </w:rPr>
        <w:tab/>
      </w:r>
      <w:r w:rsidRPr="00632E92">
        <w:rPr>
          <w:rtl/>
        </w:rPr>
        <w:t xml:space="preserve">يوصى بجمع السجلات ذات الصلة </w:t>
      </w:r>
      <w:r w:rsidRPr="00632E92">
        <w:rPr>
          <w:rFonts w:hint="cs"/>
          <w:rtl/>
        </w:rPr>
        <w:t>بالشحنات</w:t>
      </w:r>
      <w:r w:rsidRPr="00632E92">
        <w:rPr>
          <w:rtl/>
        </w:rPr>
        <w:t xml:space="preserve"> التي تحتوي على ال</w:t>
      </w:r>
      <w:r w:rsidRPr="00632E92">
        <w:rPr>
          <w:rFonts w:hint="cs"/>
          <w:rtl/>
        </w:rPr>
        <w:t>كائنات</w:t>
      </w:r>
      <w:r w:rsidRPr="00632E92">
        <w:rPr>
          <w:rtl/>
        </w:rPr>
        <w:t xml:space="preserve"> الحية والمستوردة إلى بلد ما والمحافظة عليها فيما يتعلق بالمرسلين/المصدرين والمستلمين/المستوردين واسم الأنواع </w:t>
      </w:r>
      <w:r w:rsidRPr="00632E92">
        <w:rPr>
          <w:rFonts w:hint="cs"/>
          <w:rtl/>
        </w:rPr>
        <w:t>ومنشأ</w:t>
      </w:r>
      <w:r w:rsidRPr="00632E92">
        <w:rPr>
          <w:rtl/>
        </w:rPr>
        <w:t xml:space="preserve"> ال</w:t>
      </w:r>
      <w:r w:rsidRPr="00632E92">
        <w:rPr>
          <w:rFonts w:hint="cs"/>
          <w:rtl/>
        </w:rPr>
        <w:t>كائنات</w:t>
      </w:r>
      <w:r w:rsidRPr="00632E92">
        <w:rPr>
          <w:rtl/>
        </w:rPr>
        <w:t xml:space="preserve"> أو </w:t>
      </w:r>
      <w:r w:rsidRPr="00632E92">
        <w:rPr>
          <w:rFonts w:hint="cs"/>
          <w:rtl/>
        </w:rPr>
        <w:t>السلع</w:t>
      </w:r>
      <w:r w:rsidRPr="00632E92">
        <w:rPr>
          <w:rtl/>
        </w:rPr>
        <w:t xml:space="preserve">. وفي حالة اكتشاف ملوثات في الشحنة، ينبغي أيضا تسجيل التدابير المتخذة لمنع </w:t>
      </w:r>
      <w:r>
        <w:rPr>
          <w:rFonts w:hint="cs"/>
          <w:rtl/>
        </w:rPr>
        <w:t>إدخال</w:t>
      </w:r>
      <w:r w:rsidRPr="00632E92">
        <w:rPr>
          <w:rtl/>
        </w:rPr>
        <w:t xml:space="preserve"> وانتشار الأنواع الغريبة الغازية والآفات </w:t>
      </w:r>
      <w:r w:rsidRPr="00632E92">
        <w:rPr>
          <w:rFonts w:hint="cs"/>
          <w:rtl/>
        </w:rPr>
        <w:t>والعوامل المسببة للأمراض</w:t>
      </w:r>
      <w:r w:rsidRPr="00632E92">
        <w:rPr>
          <w:rtl/>
        </w:rPr>
        <w:t xml:space="preserve"> والحالة الصحية للحيوان وظروف الصحة النباتية </w:t>
      </w:r>
      <w:r w:rsidRPr="00632E92">
        <w:rPr>
          <w:rFonts w:hint="cs"/>
          <w:rtl/>
        </w:rPr>
        <w:t>للنباتات</w:t>
      </w:r>
      <w:r w:rsidRPr="00632E92">
        <w:rPr>
          <w:rtl/>
        </w:rPr>
        <w:t>.</w:t>
      </w:r>
    </w:p>
    <w:p w:rsidR="00EE0FD7" w:rsidRPr="008F1A01" w:rsidRDefault="00EE0FD7" w:rsidP="00EE0FD7">
      <w:pPr>
        <w:spacing w:after="100" w:line="204" w:lineRule="auto"/>
        <w:rPr>
          <w:spacing w:val="-10"/>
          <w:rtl/>
        </w:rPr>
      </w:pPr>
      <w:r w:rsidRPr="00632E92">
        <w:rPr>
          <w:rFonts w:hint="cs"/>
          <w:rtl/>
        </w:rPr>
        <w:t>29-</w:t>
      </w:r>
      <w:r w:rsidRPr="00632E92">
        <w:rPr>
          <w:rtl/>
        </w:rPr>
        <w:tab/>
      </w:r>
      <w:r w:rsidRPr="00632E92">
        <w:rPr>
          <w:rFonts w:hint="cs"/>
          <w:rtl/>
        </w:rPr>
        <w:t xml:space="preserve">وينبغي أن تطبق الدول تدابير مناسبة لإدارة مخاطر الحدود الوطنية وفقا للإرشادات الدولية القائمة واللوائح والسياسات الوطنية بهدف تقليل مخاطر الإدخال غير المقصود للأنواع </w:t>
      </w:r>
      <w:r w:rsidRPr="008F1A01">
        <w:rPr>
          <w:rFonts w:hint="cs"/>
          <w:spacing w:val="-10"/>
          <w:rtl/>
        </w:rPr>
        <w:t>الغريبة الغازية المرتبط بتجارة الكائنات الحية إلى أدنى حد.</w:t>
      </w:r>
    </w:p>
    <w:p w:rsidR="00EE0FD7" w:rsidRPr="00632E92" w:rsidRDefault="00EE0FD7" w:rsidP="00EE0FD7">
      <w:pPr>
        <w:spacing w:after="100" w:line="204" w:lineRule="auto"/>
        <w:rPr>
          <w:rtl/>
        </w:rPr>
      </w:pPr>
      <w:r w:rsidRPr="00632E92">
        <w:rPr>
          <w:rFonts w:hint="cs"/>
          <w:rtl/>
        </w:rPr>
        <w:t>30-</w:t>
      </w:r>
      <w:r w:rsidRPr="00632E92">
        <w:rPr>
          <w:rtl/>
        </w:rPr>
        <w:tab/>
        <w:t xml:space="preserve">وقد تشجِّع الدول على استخدام تكنولوجيات </w:t>
      </w:r>
      <w:r w:rsidRPr="00632E92">
        <w:rPr>
          <w:rFonts w:hint="cs"/>
          <w:rtl/>
        </w:rPr>
        <w:t>التحديد التصنيفي</w:t>
      </w:r>
      <w:r w:rsidRPr="00632E92">
        <w:rPr>
          <w:rtl/>
        </w:rPr>
        <w:t xml:space="preserve"> القائمة على تسلسل الحمض النووي، مثل ترميز ال</w:t>
      </w:r>
      <w:r w:rsidRPr="00632E92">
        <w:rPr>
          <w:rFonts w:hint="cs"/>
          <w:rtl/>
        </w:rPr>
        <w:t>حمض النووي</w:t>
      </w:r>
      <w:r w:rsidRPr="00632E92">
        <w:rPr>
          <w:rtl/>
        </w:rPr>
        <w:t>، كأدوات لتحديد الأنواع الغريبة التي ت</w:t>
      </w:r>
      <w:r w:rsidRPr="00632E92">
        <w:rPr>
          <w:rFonts w:hint="cs"/>
          <w:rtl/>
        </w:rPr>
        <w:t>ثير قلق</w:t>
      </w:r>
      <w:r w:rsidRPr="00632E92">
        <w:rPr>
          <w:rtl/>
        </w:rPr>
        <w:t xml:space="preserve"> الدولة.</w:t>
      </w:r>
    </w:p>
    <w:p w:rsidR="00EE0FD7" w:rsidRPr="00632E92" w:rsidRDefault="00EE0FD7" w:rsidP="00EE0FD7">
      <w:pPr>
        <w:spacing w:after="100" w:line="204" w:lineRule="auto"/>
        <w:rPr>
          <w:rtl/>
        </w:rPr>
      </w:pPr>
      <w:r w:rsidRPr="00632E92">
        <w:rPr>
          <w:rFonts w:hint="cs"/>
          <w:rtl/>
        </w:rPr>
        <w:t>31-</w:t>
      </w:r>
      <w:r w:rsidRPr="00632E92">
        <w:rPr>
          <w:rFonts w:hint="cs"/>
          <w:rtl/>
        </w:rPr>
        <w:tab/>
        <w:t>وعندما تدخل الأنواع الغريبة الغازية دون قصد أو تصبح مستقرة، ينبغي إخطار السلطات المعنية، بما في ذلك، حسب الاقتضاء، السلطات المعنية بالبيئة والسلطة البيطرية/السلطة المختصة والمنظمة الوطنية المعنية بحماية النباتات، لضمان أن يكون البلد القائم بالتصدير أو إعادة التصدير والبلدان المجاورة وبلدان العبور على دراية بالحدث للحيلولة دون زيادة انتشار الأنواع الغريبة الغازية.</w:t>
      </w:r>
    </w:p>
    <w:p w:rsidR="00EE0FD7" w:rsidRPr="00632E92" w:rsidRDefault="00EE0FD7" w:rsidP="00EE0FD7">
      <w:pPr>
        <w:spacing w:after="100" w:line="204" w:lineRule="auto"/>
        <w:rPr>
          <w:rtl/>
        </w:rPr>
      </w:pPr>
      <w:r w:rsidRPr="00632E92">
        <w:rPr>
          <w:rFonts w:hint="cs"/>
          <w:rtl/>
        </w:rPr>
        <w:t>32-</w:t>
      </w:r>
      <w:r w:rsidRPr="00632E92">
        <w:rPr>
          <w:rFonts w:hint="cs"/>
          <w:rtl/>
        </w:rPr>
        <w:tab/>
        <w:t xml:space="preserve">وينبغي للدول أن تقوم، بالتعاون مع المنظمات ذات الصلة، بإتاحة معلومات للجمهور مجانا بشأن: (أ) متطلبات الاستيراد للتجارة بالكائنات الحية </w:t>
      </w:r>
      <w:r w:rsidRPr="00632E92">
        <w:rPr>
          <w:rtl/>
        </w:rPr>
        <w:t xml:space="preserve">وغيرها من اللوائح والسياسات الوطنية والإقليمية ذات الصلة المتعلقة بالأنواع الغريبة الغازية؛ (ب) </w:t>
      </w:r>
      <w:r>
        <w:rPr>
          <w:rFonts w:hint="cs"/>
          <w:rtl/>
        </w:rPr>
        <w:t>و</w:t>
      </w:r>
      <w:r w:rsidRPr="00632E92">
        <w:rPr>
          <w:rtl/>
        </w:rPr>
        <w:t xml:space="preserve">نتائج تحليل مخاطر المسارات، إذا </w:t>
      </w:r>
      <w:r w:rsidRPr="00632E92">
        <w:rPr>
          <w:rFonts w:hint="cs"/>
          <w:rtl/>
        </w:rPr>
        <w:t xml:space="preserve">ما </w:t>
      </w:r>
      <w:r w:rsidRPr="00632E92">
        <w:rPr>
          <w:rtl/>
        </w:rPr>
        <w:t>تم الاضطلاع بها.</w:t>
      </w:r>
    </w:p>
    <w:p w:rsidR="00EE0FD7" w:rsidRPr="00632E92" w:rsidRDefault="00EE0FD7" w:rsidP="00EE0FD7">
      <w:pPr>
        <w:spacing w:after="100" w:line="204" w:lineRule="auto"/>
        <w:rPr>
          <w:rtl/>
        </w:rPr>
      </w:pPr>
      <w:r w:rsidRPr="00632E92">
        <w:rPr>
          <w:rFonts w:hint="cs"/>
          <w:rtl/>
        </w:rPr>
        <w:t>33-</w:t>
      </w:r>
      <w:r w:rsidRPr="00632E92">
        <w:rPr>
          <w:rFonts w:hint="cs"/>
          <w:rtl/>
        </w:rPr>
        <w:tab/>
        <w:t>وينبغي للدول المتلقية للكائنات الحية، وحكوماتها دون الوطنية،</w:t>
      </w:r>
      <w:r w:rsidRPr="00632E92">
        <w:rPr>
          <w:rtl/>
        </w:rPr>
        <w:t xml:space="preserve"> والمنظمات ذات الصلة والصناعة المعنية </w:t>
      </w:r>
      <w:r w:rsidRPr="00632E92">
        <w:rPr>
          <w:rFonts w:hint="cs"/>
          <w:rtl/>
        </w:rPr>
        <w:t>بتجارة</w:t>
      </w:r>
      <w:r w:rsidRPr="00632E92">
        <w:rPr>
          <w:rtl/>
        </w:rPr>
        <w:t xml:space="preserve"> ال</w:t>
      </w:r>
      <w:r w:rsidRPr="00632E92">
        <w:rPr>
          <w:rFonts w:hint="cs"/>
          <w:rtl/>
        </w:rPr>
        <w:t>كائنات</w:t>
      </w:r>
      <w:r w:rsidRPr="00632E92">
        <w:rPr>
          <w:rtl/>
        </w:rPr>
        <w:t xml:space="preserve"> الحية </w:t>
      </w:r>
      <w:r w:rsidRPr="00632E92">
        <w:rPr>
          <w:rFonts w:hint="cs"/>
          <w:rtl/>
        </w:rPr>
        <w:t>أن تزيد ال</w:t>
      </w:r>
      <w:r>
        <w:rPr>
          <w:rFonts w:hint="cs"/>
          <w:rtl/>
        </w:rPr>
        <w:t>ت</w:t>
      </w:r>
      <w:r w:rsidRPr="00632E92">
        <w:rPr>
          <w:rFonts w:hint="cs"/>
          <w:rtl/>
        </w:rPr>
        <w:t>وعي</w:t>
      </w:r>
      <w:r>
        <w:rPr>
          <w:rFonts w:hint="cs"/>
          <w:rtl/>
        </w:rPr>
        <w:t>ة</w:t>
      </w:r>
      <w:r w:rsidRPr="00632E92">
        <w:rPr>
          <w:rFonts w:hint="cs"/>
          <w:rtl/>
        </w:rPr>
        <w:t xml:space="preserve"> بمخاطر الإدخال غير المقصود للآفات والعوامل المسببة للأمراض والكائنات الغريبة الغازية للأشخاص المشاركين في سلسة القيمة بأكملها. ويتضمن ذلك حملات زيادة ال</w:t>
      </w:r>
      <w:r>
        <w:rPr>
          <w:rFonts w:hint="cs"/>
          <w:rtl/>
        </w:rPr>
        <w:t>ت</w:t>
      </w:r>
      <w:r w:rsidRPr="00632E92">
        <w:rPr>
          <w:rFonts w:hint="cs"/>
          <w:rtl/>
        </w:rPr>
        <w:t>وعي</w:t>
      </w:r>
      <w:r>
        <w:rPr>
          <w:rFonts w:hint="cs"/>
          <w:rtl/>
        </w:rPr>
        <w:t>ة</w:t>
      </w:r>
      <w:r w:rsidRPr="00632E92">
        <w:rPr>
          <w:rtl/>
        </w:rPr>
        <w:t xml:space="preserve"> </w:t>
      </w:r>
      <w:r w:rsidRPr="00632E92">
        <w:rPr>
          <w:rFonts w:hint="cs"/>
          <w:rtl/>
        </w:rPr>
        <w:t>التي تستخدم</w:t>
      </w:r>
      <w:r w:rsidRPr="00632E92">
        <w:rPr>
          <w:rtl/>
        </w:rPr>
        <w:t xml:space="preserve"> دراسات </w:t>
      </w:r>
      <w:r>
        <w:rPr>
          <w:rFonts w:hint="cs"/>
          <w:rtl/>
        </w:rPr>
        <w:t>الحالة</w:t>
      </w:r>
      <w:r w:rsidRPr="00632E92">
        <w:rPr>
          <w:rFonts w:hint="cs"/>
          <w:rtl/>
        </w:rPr>
        <w:t xml:space="preserve"> </w:t>
      </w:r>
      <w:r w:rsidRPr="00632E92">
        <w:rPr>
          <w:rtl/>
        </w:rPr>
        <w:t>للغز</w:t>
      </w:r>
      <w:r w:rsidRPr="00632E92">
        <w:rPr>
          <w:rFonts w:hint="cs"/>
          <w:rtl/>
        </w:rPr>
        <w:t>و</w:t>
      </w:r>
      <w:r>
        <w:rPr>
          <w:rFonts w:hint="cs"/>
          <w:rtl/>
        </w:rPr>
        <w:t>ات</w:t>
      </w:r>
      <w:r w:rsidRPr="00632E92">
        <w:rPr>
          <w:rtl/>
        </w:rPr>
        <w:t xml:space="preserve"> البيولوجي</w:t>
      </w:r>
      <w:r>
        <w:rPr>
          <w:rFonts w:hint="cs"/>
          <w:rtl/>
        </w:rPr>
        <w:t>ة</w:t>
      </w:r>
      <w:r w:rsidRPr="00632E92">
        <w:rPr>
          <w:rtl/>
        </w:rPr>
        <w:t xml:space="preserve"> النا</w:t>
      </w:r>
      <w:r w:rsidRPr="00632E92">
        <w:rPr>
          <w:rFonts w:hint="cs"/>
          <w:rtl/>
        </w:rPr>
        <w:t>جم</w:t>
      </w:r>
      <w:r>
        <w:rPr>
          <w:rFonts w:hint="cs"/>
          <w:rtl/>
        </w:rPr>
        <w:t>ة</w:t>
      </w:r>
      <w:r w:rsidRPr="00632E92">
        <w:rPr>
          <w:rFonts w:hint="cs"/>
          <w:rtl/>
        </w:rPr>
        <w:t xml:space="preserve"> </w:t>
      </w:r>
      <w:r w:rsidRPr="00632E92">
        <w:rPr>
          <w:rtl/>
        </w:rPr>
        <w:t>عن الإدخال غير المقصود للأنواع الغريبة الغازية</w:t>
      </w:r>
      <w:r w:rsidRPr="00632E92">
        <w:rPr>
          <w:rFonts w:hint="cs"/>
          <w:rtl/>
        </w:rPr>
        <w:t xml:space="preserve"> والموجهة إلى الجمهور والمشغلين المحتملين (المربيين الهواة، وما إلى ذلك)</w:t>
      </w:r>
      <w:r w:rsidRPr="00632E92">
        <w:rPr>
          <w:rtl/>
        </w:rPr>
        <w:t xml:space="preserve"> </w:t>
      </w:r>
      <w:r w:rsidRPr="00632E92">
        <w:rPr>
          <w:rFonts w:hint="cs"/>
          <w:rtl/>
        </w:rPr>
        <w:t>وا</w:t>
      </w:r>
      <w:r w:rsidRPr="00632E92">
        <w:rPr>
          <w:rtl/>
        </w:rPr>
        <w:t>لأشخاص المشاركين في سلسلة القيمة بأكملها.</w:t>
      </w:r>
    </w:p>
    <w:p w:rsidR="00EE0FD7" w:rsidRPr="00632E92" w:rsidRDefault="00EE0FD7" w:rsidP="00702979">
      <w:pPr>
        <w:spacing w:after="100" w:line="204" w:lineRule="auto"/>
        <w:jc w:val="center"/>
        <w:rPr>
          <w:b/>
          <w:bCs/>
          <w:sz w:val="24"/>
          <w:rtl/>
        </w:rPr>
      </w:pPr>
      <w:r w:rsidRPr="00632E92">
        <w:rPr>
          <w:rFonts w:hint="cs"/>
          <w:b/>
          <w:bCs/>
          <w:sz w:val="24"/>
          <w:rtl/>
        </w:rPr>
        <w:t>طاء-</w:t>
      </w:r>
      <w:r w:rsidRPr="00632E92">
        <w:rPr>
          <w:rFonts w:hint="cs"/>
          <w:b/>
          <w:bCs/>
          <w:sz w:val="24"/>
          <w:rtl/>
        </w:rPr>
        <w:tab/>
        <w:t>الرصد</w:t>
      </w:r>
    </w:p>
    <w:p w:rsidR="00EE0FD7" w:rsidRPr="00632E92" w:rsidRDefault="00EE0FD7" w:rsidP="00EE0FD7">
      <w:pPr>
        <w:spacing w:after="100" w:line="204" w:lineRule="auto"/>
        <w:rPr>
          <w:rtl/>
        </w:rPr>
      </w:pPr>
      <w:r w:rsidRPr="00632E92">
        <w:rPr>
          <w:rFonts w:hint="cs"/>
          <w:rtl/>
        </w:rPr>
        <w:lastRenderedPageBreak/>
        <w:t>34-</w:t>
      </w:r>
      <w:r w:rsidRPr="00632E92">
        <w:rPr>
          <w:rFonts w:hint="cs"/>
          <w:rtl/>
        </w:rPr>
        <w:tab/>
        <w:t>ينبغي للدول أن ترصد الأنواع الغريبة الغازية التي قد تصل دون قصد إلى أراضيها، لا سيما في المناطق المحتمل أن تصل إليها (من قبيل الموانئ، ومرافق الإرساء والتخزين، وساحات الحاويات خارج مرافق الإرساء، والطرق وخطوط السكك الحديدية المتصلة) التي قد تدخلها أو تستقر فيها أو تكون في المرحلة المبكرة من الانتشار بها.</w:t>
      </w:r>
    </w:p>
    <w:p w:rsidR="00EE0FD7" w:rsidRPr="00632E92" w:rsidRDefault="00EE0FD7" w:rsidP="00EE0FD7">
      <w:pPr>
        <w:spacing w:after="100" w:line="204" w:lineRule="auto"/>
        <w:rPr>
          <w:rtl/>
        </w:rPr>
      </w:pPr>
      <w:r w:rsidRPr="00632E92">
        <w:rPr>
          <w:rFonts w:hint="cs"/>
          <w:rtl/>
        </w:rPr>
        <w:t>35-</w:t>
      </w:r>
      <w:r w:rsidRPr="00632E92">
        <w:rPr>
          <w:rFonts w:hint="cs"/>
          <w:rtl/>
        </w:rPr>
        <w:tab/>
        <w:t xml:space="preserve">وعند ملاحظة الإدخال غير المقصود في المناطق المحتمل أن تصل إليها الأنواع، ينبغي للدول تكثيف رصد الأنواع الغريبة الغازية في المناطق القريبة التي توجد بها شواغل بشأن حماية التنوع البيولوجي، وينبغي اتخاذ استجابات سريعة لاحتواء الأنواع الغريبة </w:t>
      </w:r>
      <w:r>
        <w:rPr>
          <w:rFonts w:hint="cs"/>
          <w:rtl/>
        </w:rPr>
        <w:t>الغازية ومكافحتها، وإن أمكن، القضاء عليها.</w:t>
      </w:r>
    </w:p>
    <w:p w:rsidR="00EE0FD7" w:rsidRPr="00632E92" w:rsidRDefault="00EE0FD7" w:rsidP="00EE0FD7">
      <w:pPr>
        <w:spacing w:after="100" w:line="204" w:lineRule="auto"/>
      </w:pPr>
      <w:r w:rsidRPr="00632E92">
        <w:rPr>
          <w:rFonts w:hint="cs"/>
          <w:rtl/>
        </w:rPr>
        <w:t>36-</w:t>
      </w:r>
      <w:r w:rsidRPr="00632E92">
        <w:rPr>
          <w:rFonts w:hint="cs"/>
          <w:rtl/>
        </w:rPr>
        <w:tab/>
        <w:t>وينبغي للدول أن تراقب حركة الكائنات الغريبة الغازية، المدخلة دون قصد مع استيراد الكائنات الحية، وانتشارها داخل البلد بالتعاون مع السلطات دون الوطنية أو المحلية بغية تقليل أثر الأنواع الغازية وانتشارها إلى أدنى حد.</w:t>
      </w:r>
    </w:p>
    <w:p w:rsidR="00EE0FD7" w:rsidRPr="00632E92" w:rsidRDefault="00EE0FD7" w:rsidP="00EE0FD7">
      <w:pPr>
        <w:spacing w:after="100" w:line="204" w:lineRule="auto"/>
        <w:jc w:val="center"/>
        <w:rPr>
          <w:b/>
          <w:bCs/>
          <w:sz w:val="24"/>
          <w:rtl/>
        </w:rPr>
      </w:pPr>
      <w:r w:rsidRPr="00632E92">
        <w:rPr>
          <w:rFonts w:hint="cs"/>
          <w:b/>
          <w:bCs/>
          <w:sz w:val="24"/>
          <w:rtl/>
        </w:rPr>
        <w:t>ياء-</w:t>
      </w:r>
      <w:r w:rsidRPr="00632E92">
        <w:rPr>
          <w:rFonts w:hint="cs"/>
          <w:b/>
          <w:bCs/>
          <w:sz w:val="24"/>
          <w:rtl/>
        </w:rPr>
        <w:tab/>
        <w:t>تدابير أخرى</w:t>
      </w:r>
    </w:p>
    <w:p w:rsidR="00EE0FD7" w:rsidRPr="00632E92" w:rsidRDefault="00EE0FD7" w:rsidP="00EE0FD7">
      <w:pPr>
        <w:spacing w:line="204" w:lineRule="auto"/>
        <w:rPr>
          <w:rtl/>
        </w:rPr>
      </w:pPr>
      <w:r w:rsidRPr="00632E92">
        <w:rPr>
          <w:rFonts w:hint="cs"/>
          <w:rtl/>
        </w:rPr>
        <w:t>37-</w:t>
      </w:r>
      <w:r w:rsidRPr="00632E92">
        <w:rPr>
          <w:rFonts w:hint="cs"/>
          <w:rtl/>
        </w:rPr>
        <w:tab/>
        <w:t>يجوز، في نطاق هذه الإرشادات الطوعية التكميلية، تطبيق أي تدابير وطنية لإدارة المخاطر بشأن مسارات الإدخال غير المقصود في البلدان المصدرة والمستوردة، ومدونات السلوك التي وضعتها الهيئات الدولية ذات الصلة بخدمات الشحن والتوصيل.</w:t>
      </w:r>
    </w:p>
    <w:p w:rsidR="00EE0FD7" w:rsidRDefault="00EE0FD7" w:rsidP="00EE0FD7">
      <w:pPr>
        <w:spacing w:line="204" w:lineRule="auto"/>
        <w:rPr>
          <w:rtl/>
        </w:rPr>
      </w:pPr>
      <w:r w:rsidRPr="00632E92">
        <w:rPr>
          <w:rFonts w:hint="cs"/>
          <w:rtl/>
        </w:rPr>
        <w:t>38-</w:t>
      </w:r>
      <w:r w:rsidRPr="00632E92">
        <w:rPr>
          <w:rFonts w:hint="cs"/>
          <w:rtl/>
        </w:rPr>
        <w:tab/>
        <w:t>و</w:t>
      </w:r>
      <w:r>
        <w:rPr>
          <w:rFonts w:hint="cs"/>
          <w:rtl/>
        </w:rPr>
        <w:t>ينبغي</w:t>
      </w:r>
      <w:r w:rsidRPr="00632E92">
        <w:rPr>
          <w:rtl/>
        </w:rPr>
        <w:t xml:space="preserve"> الأخذ في الاعتبار مخاطر نقل الأنواع الأخرى عن غير قصد </w:t>
      </w:r>
      <w:r w:rsidRPr="00632E92">
        <w:rPr>
          <w:rFonts w:hint="cs"/>
          <w:rtl/>
        </w:rPr>
        <w:t>كملوثات</w:t>
      </w:r>
      <w:r w:rsidRPr="00632E92">
        <w:rPr>
          <w:rtl/>
        </w:rPr>
        <w:t xml:space="preserve">، على سبيل المثال، </w:t>
      </w:r>
      <w:r w:rsidRPr="00632E92">
        <w:rPr>
          <w:rFonts w:hint="cs"/>
          <w:rtl/>
        </w:rPr>
        <w:t xml:space="preserve">في </w:t>
      </w:r>
      <w:r w:rsidRPr="00632E92">
        <w:rPr>
          <w:rtl/>
        </w:rPr>
        <w:t xml:space="preserve">مواد الفراش، أو </w:t>
      </w:r>
      <w:r w:rsidRPr="00632E92">
        <w:rPr>
          <w:rFonts w:hint="cs"/>
          <w:rtl/>
        </w:rPr>
        <w:t>في</w:t>
      </w:r>
      <w:r w:rsidRPr="00632E92">
        <w:rPr>
          <w:rtl/>
        </w:rPr>
        <w:t xml:space="preserve"> حاوية الشحن والوسائط المرتبطة بها، ك</w:t>
      </w:r>
      <w:r w:rsidRPr="00632E92">
        <w:rPr>
          <w:rFonts w:hint="cs"/>
          <w:rtl/>
        </w:rPr>
        <w:t>ال</w:t>
      </w:r>
      <w:r w:rsidRPr="00632E92">
        <w:rPr>
          <w:rtl/>
        </w:rPr>
        <w:t xml:space="preserve">غذاء أو </w:t>
      </w:r>
      <w:r w:rsidRPr="00632E92">
        <w:rPr>
          <w:rFonts w:hint="cs"/>
          <w:rtl/>
        </w:rPr>
        <w:t>ال</w:t>
      </w:r>
      <w:r w:rsidRPr="00632E92">
        <w:rPr>
          <w:rtl/>
        </w:rPr>
        <w:t>أعلاف</w:t>
      </w:r>
      <w:r w:rsidRPr="00632E92">
        <w:rPr>
          <w:rFonts w:hint="cs"/>
          <w:rtl/>
        </w:rPr>
        <w:t>،</w:t>
      </w:r>
      <w:r w:rsidRPr="00632E92">
        <w:rPr>
          <w:rtl/>
        </w:rPr>
        <w:t xml:space="preserve"> في تقييم مخاطر ال</w:t>
      </w:r>
      <w:r w:rsidRPr="00632E92">
        <w:rPr>
          <w:rFonts w:hint="cs"/>
          <w:rtl/>
        </w:rPr>
        <w:t>كائنات</w:t>
      </w:r>
      <w:r w:rsidRPr="00632E92">
        <w:rPr>
          <w:rtl/>
        </w:rPr>
        <w:t xml:space="preserve"> </w:t>
      </w:r>
      <w:r>
        <w:rPr>
          <w:rFonts w:hint="cs"/>
          <w:rtl/>
        </w:rPr>
        <w:t xml:space="preserve">الحية </w:t>
      </w:r>
      <w:r w:rsidRPr="00632E92">
        <w:rPr>
          <w:rtl/>
        </w:rPr>
        <w:t xml:space="preserve">التي يُراد استيرادها لاستخدامها كحيوانات أليفة، وكأنواع لأحواض الكائنات الحية المائية ولأحواض الكائنات الأرضية، </w:t>
      </w:r>
      <w:r w:rsidRPr="00632E92">
        <w:rPr>
          <w:rFonts w:hint="cs"/>
          <w:rtl/>
        </w:rPr>
        <w:t>و</w:t>
      </w:r>
      <w:r w:rsidRPr="00632E92">
        <w:rPr>
          <w:rtl/>
        </w:rPr>
        <w:t>كطعم حي وأغذية حية.</w:t>
      </w:r>
    </w:p>
    <w:p w:rsidR="00EE0FD7" w:rsidRPr="00632E92" w:rsidRDefault="00EE0FD7" w:rsidP="00E85EEB">
      <w:pPr>
        <w:spacing w:line="204" w:lineRule="auto"/>
        <w:jc w:val="center"/>
        <w:rPr>
          <w:i/>
          <w:iCs/>
          <w:rtl/>
        </w:rPr>
      </w:pPr>
      <w:r w:rsidRPr="00632E92">
        <w:rPr>
          <w:rFonts w:hint="cs"/>
          <w:i/>
          <w:iCs/>
          <w:rtl/>
        </w:rPr>
        <w:t>المرفق الثاني</w:t>
      </w:r>
    </w:p>
    <w:p w:rsidR="00EE0FD7" w:rsidRPr="00632E92" w:rsidRDefault="00EE0FD7" w:rsidP="00E85EEB">
      <w:pPr>
        <w:spacing w:line="204" w:lineRule="auto"/>
        <w:jc w:val="center"/>
        <w:rPr>
          <w:b/>
          <w:bCs/>
          <w:rtl/>
        </w:rPr>
      </w:pPr>
      <w:r w:rsidRPr="00632E92">
        <w:rPr>
          <w:rFonts w:hint="cs"/>
          <w:b/>
          <w:bCs/>
          <w:rtl/>
        </w:rPr>
        <w:t>اختصاصات فريق الخبراء التقنيين المخصص للأنواع الغريبة الغازية</w:t>
      </w:r>
    </w:p>
    <w:p w:rsidR="00EE0FD7" w:rsidRPr="008F1A01" w:rsidRDefault="00EE0FD7" w:rsidP="00EE0FD7">
      <w:pPr>
        <w:spacing w:line="204" w:lineRule="auto"/>
        <w:rPr>
          <w:spacing w:val="-10"/>
          <w:rtl/>
        </w:rPr>
      </w:pPr>
      <w:r w:rsidRPr="00632E92">
        <w:rPr>
          <w:rFonts w:hint="cs"/>
          <w:rtl/>
        </w:rPr>
        <w:t>1-</w:t>
      </w:r>
      <w:r w:rsidRPr="00632E92">
        <w:rPr>
          <w:rFonts w:hint="cs"/>
          <w:rtl/>
        </w:rPr>
        <w:tab/>
        <w:t>س</w:t>
      </w:r>
      <w:r w:rsidRPr="00632E92">
        <w:rPr>
          <w:rtl/>
        </w:rPr>
        <w:t>يتناول فريق الخبراء التقنيين المخصص المسائل التي لا يغطيها تقييم المنبر الحكومي الدولي للعلوم والسياسات في مجال التنوع البيولوجي وخدم</w:t>
      </w:r>
      <w:r w:rsidRPr="00632E92">
        <w:rPr>
          <w:rFonts w:hint="cs"/>
          <w:rtl/>
        </w:rPr>
        <w:t>ات</w:t>
      </w:r>
      <w:r w:rsidRPr="00632E92">
        <w:rPr>
          <w:rtl/>
        </w:rPr>
        <w:t xml:space="preserve"> النظم الإيكولوجية</w:t>
      </w:r>
      <w:r w:rsidRPr="00632E92">
        <w:rPr>
          <w:rFonts w:hint="cs"/>
          <w:rtl/>
        </w:rPr>
        <w:t>.</w:t>
      </w:r>
      <w:r w:rsidRPr="00632E92">
        <w:rPr>
          <w:rtl/>
        </w:rPr>
        <w:t xml:space="preserve"> </w:t>
      </w:r>
      <w:r w:rsidRPr="00632E92">
        <w:rPr>
          <w:rFonts w:hint="cs"/>
          <w:rtl/>
        </w:rPr>
        <w:t>واستنادا إلى عمل منسق المنتدى الإلكتروني والمعارف والخبرات المتراكمة في مختلف القطاعات، س</w:t>
      </w:r>
      <w:r w:rsidRPr="00632E92">
        <w:rPr>
          <w:rtl/>
        </w:rPr>
        <w:t xml:space="preserve">يقدم فريق الخبراء التقنيين المخصص المشورة أو </w:t>
      </w:r>
      <w:r w:rsidRPr="00632E92">
        <w:rPr>
          <w:rFonts w:hint="cs"/>
          <w:rtl/>
        </w:rPr>
        <w:t xml:space="preserve">يضع </w:t>
      </w:r>
      <w:r w:rsidRPr="00632E92">
        <w:rPr>
          <w:rtl/>
        </w:rPr>
        <w:t xml:space="preserve">عناصر </w:t>
      </w:r>
      <w:r w:rsidRPr="00632E92">
        <w:rPr>
          <w:rFonts w:hint="cs"/>
          <w:rtl/>
        </w:rPr>
        <w:t>إرشادات تقنية</w:t>
      </w:r>
      <w:r w:rsidRPr="00632E92">
        <w:rPr>
          <w:rtl/>
        </w:rPr>
        <w:t xml:space="preserve"> </w:t>
      </w:r>
      <w:r w:rsidRPr="00632E92">
        <w:rPr>
          <w:rFonts w:hint="cs"/>
          <w:rtl/>
        </w:rPr>
        <w:t xml:space="preserve">بشأن </w:t>
      </w:r>
      <w:r w:rsidRPr="00632E92">
        <w:rPr>
          <w:rtl/>
        </w:rPr>
        <w:t xml:space="preserve">تدابير الإدارة </w:t>
      </w:r>
      <w:r w:rsidRPr="00632E92">
        <w:rPr>
          <w:rFonts w:hint="cs"/>
          <w:rtl/>
        </w:rPr>
        <w:t>المتعلقة</w:t>
      </w:r>
      <w:r w:rsidRPr="00632E92">
        <w:rPr>
          <w:rtl/>
        </w:rPr>
        <w:t xml:space="preserve"> </w:t>
      </w:r>
      <w:r w:rsidRPr="00632E92">
        <w:rPr>
          <w:rFonts w:hint="cs"/>
          <w:rtl/>
        </w:rPr>
        <w:t>ب</w:t>
      </w:r>
      <w:r w:rsidRPr="00632E92">
        <w:rPr>
          <w:rtl/>
        </w:rPr>
        <w:t xml:space="preserve">الأنواع الغريبة الغازية التي ستنفذها قطاعات واسعة لتيسير تحقيق </w:t>
      </w:r>
      <w:r w:rsidRPr="00632E92">
        <w:rPr>
          <w:rFonts w:hint="cs"/>
          <w:rtl/>
        </w:rPr>
        <w:t>ال</w:t>
      </w:r>
      <w:r w:rsidRPr="00632E92">
        <w:rPr>
          <w:rtl/>
        </w:rPr>
        <w:t xml:space="preserve">هدف </w:t>
      </w:r>
      <w:r w:rsidRPr="00632E92">
        <w:rPr>
          <w:rFonts w:hint="cs"/>
          <w:rtl/>
        </w:rPr>
        <w:t xml:space="preserve">9 </w:t>
      </w:r>
      <w:r w:rsidRPr="008F1A01">
        <w:rPr>
          <w:rFonts w:hint="cs"/>
          <w:spacing w:val="-10"/>
          <w:rtl/>
        </w:rPr>
        <w:t xml:space="preserve">من أهداف </w:t>
      </w:r>
      <w:r w:rsidRPr="008F1A01">
        <w:rPr>
          <w:spacing w:val="-10"/>
          <w:rtl/>
        </w:rPr>
        <w:t>أيشي للتنوع البيولوجي وما بعده</w:t>
      </w:r>
      <w:r w:rsidRPr="008F1A01">
        <w:rPr>
          <w:rFonts w:hint="cs"/>
          <w:spacing w:val="-10"/>
          <w:rtl/>
        </w:rPr>
        <w:t>:</w:t>
      </w:r>
    </w:p>
    <w:p w:rsidR="00EE0FD7" w:rsidRPr="00632E92" w:rsidRDefault="00EE0FD7" w:rsidP="00EE0FD7">
      <w:pPr>
        <w:spacing w:line="204" w:lineRule="auto"/>
        <w:ind w:firstLine="720"/>
        <w:rPr>
          <w:rtl/>
        </w:rPr>
      </w:pPr>
      <w:r w:rsidRPr="00632E92">
        <w:rPr>
          <w:rFonts w:hint="cs"/>
          <w:rtl/>
        </w:rPr>
        <w:t>(أ)</w:t>
      </w:r>
      <w:r w:rsidRPr="00632E92">
        <w:rPr>
          <w:rFonts w:hint="cs"/>
          <w:rtl/>
        </w:rPr>
        <w:tab/>
        <w:t>طرائق لتحليل التكاليف والمنافع والفعالية من حيث التكلفة التي تنطبق على أفضل وجه على إدارة الأنواع الغريبة الغازية؛</w:t>
      </w:r>
    </w:p>
    <w:p w:rsidR="00EE0FD7" w:rsidRPr="00632E92" w:rsidRDefault="00EE0FD7" w:rsidP="00EE0FD7">
      <w:pPr>
        <w:spacing w:line="204" w:lineRule="auto"/>
        <w:ind w:firstLine="720"/>
        <w:rPr>
          <w:rtl/>
        </w:rPr>
      </w:pPr>
      <w:r w:rsidRPr="00632E92">
        <w:rPr>
          <w:rFonts w:hint="cs"/>
          <w:rtl/>
        </w:rPr>
        <w:t>(ب)</w:t>
      </w:r>
      <w:r w:rsidRPr="00632E92">
        <w:rPr>
          <w:rFonts w:hint="cs"/>
          <w:rtl/>
        </w:rPr>
        <w:tab/>
        <w:t>طرائق وأدوات وتدابير لتحديد وتقليل المخاطر الإضافية المرتبطة بالتجارة الإلكترونية عبر الحدود في الكائنات الحية إل</w:t>
      </w:r>
      <w:r>
        <w:rPr>
          <w:rFonts w:hint="cs"/>
          <w:rtl/>
        </w:rPr>
        <w:t>ى أقصى حد والآثار الناجمة عنها؛</w:t>
      </w:r>
    </w:p>
    <w:p w:rsidR="00EE0FD7" w:rsidRDefault="00EE0FD7" w:rsidP="00EE0FD7">
      <w:pPr>
        <w:spacing w:line="204" w:lineRule="auto"/>
        <w:ind w:firstLine="720"/>
        <w:rPr>
          <w:rtl/>
        </w:rPr>
      </w:pPr>
      <w:r w:rsidRPr="00632E92">
        <w:rPr>
          <w:rFonts w:hint="cs"/>
          <w:rtl/>
        </w:rPr>
        <w:t>(ج)</w:t>
      </w:r>
      <w:r w:rsidRPr="00632E92">
        <w:rPr>
          <w:rFonts w:hint="cs"/>
          <w:rtl/>
        </w:rPr>
        <w:tab/>
      </w:r>
      <w:r w:rsidRPr="00EF4364">
        <w:rPr>
          <w:rtl/>
        </w:rPr>
        <w:t xml:space="preserve">طرائق وأدوات واستراتيجيات </w:t>
      </w:r>
      <w:r w:rsidRPr="00632E92">
        <w:rPr>
          <w:rFonts w:hint="cs"/>
          <w:rtl/>
        </w:rPr>
        <w:t>إدارة الأنواع الغريبة الغازية، من حيث صلتها ب</w:t>
      </w:r>
      <w:r>
        <w:rPr>
          <w:rFonts w:hint="cs"/>
          <w:rtl/>
        </w:rPr>
        <w:t xml:space="preserve">منع </w:t>
      </w:r>
      <w:r w:rsidRPr="00632E92">
        <w:rPr>
          <w:rFonts w:hint="cs"/>
          <w:rtl/>
        </w:rPr>
        <w:t>المخاطر المحتملة الناشئة عن تغير المناخ وما يرتبط به من كوارث طبيعية وتغيرات استخدام الأراضي؛</w:t>
      </w:r>
    </w:p>
    <w:p w:rsidR="00EE0FD7" w:rsidRPr="008F1A01" w:rsidRDefault="00EE0FD7" w:rsidP="00EE0FD7">
      <w:pPr>
        <w:spacing w:line="204" w:lineRule="auto"/>
        <w:ind w:firstLine="720"/>
        <w:rPr>
          <w:spacing w:val="-10"/>
          <w:rtl/>
        </w:rPr>
      </w:pPr>
      <w:r w:rsidRPr="00632E92">
        <w:rPr>
          <w:rFonts w:hint="cs"/>
          <w:rtl/>
        </w:rPr>
        <w:t>(د)</w:t>
      </w:r>
      <w:r w:rsidRPr="00632E92">
        <w:rPr>
          <w:rFonts w:hint="cs"/>
          <w:rtl/>
        </w:rPr>
        <w:tab/>
        <w:t xml:space="preserve">تحليل المخاطر بشأن </w:t>
      </w:r>
      <w:r w:rsidRPr="008F1A01">
        <w:rPr>
          <w:rFonts w:hint="cs"/>
          <w:spacing w:val="-10"/>
          <w:rtl/>
        </w:rPr>
        <w:t>العواقب المحتملة لإدخال الأنواع الغريبة</w:t>
      </w:r>
      <w:r w:rsidRPr="00632E92">
        <w:rPr>
          <w:rFonts w:hint="cs"/>
          <w:rtl/>
        </w:rPr>
        <w:t xml:space="preserve"> </w:t>
      </w:r>
      <w:r w:rsidRPr="008F1A01">
        <w:rPr>
          <w:rFonts w:hint="cs"/>
          <w:spacing w:val="-10"/>
          <w:rtl/>
        </w:rPr>
        <w:t>الغازية على القيم الاجتماعية، والاقتصادية والثقافية؛</w:t>
      </w:r>
    </w:p>
    <w:p w:rsidR="00EE0FD7" w:rsidRPr="00632E92" w:rsidRDefault="00EE0FD7" w:rsidP="00EE0FD7">
      <w:pPr>
        <w:spacing w:line="204" w:lineRule="auto"/>
        <w:ind w:firstLine="720"/>
        <w:rPr>
          <w:rtl/>
        </w:rPr>
      </w:pPr>
      <w:r w:rsidRPr="00632E92">
        <w:rPr>
          <w:rFonts w:hint="cs"/>
          <w:rtl/>
        </w:rPr>
        <w:t>(ه)</w:t>
      </w:r>
      <w:r w:rsidRPr="00632E92">
        <w:rPr>
          <w:rFonts w:hint="cs"/>
          <w:rtl/>
        </w:rPr>
        <w:tab/>
      </w:r>
      <w:r w:rsidRPr="00632E92">
        <w:rPr>
          <w:rtl/>
        </w:rPr>
        <w:t xml:space="preserve">استخدام قواعد البيانات الحالية المتعلقة بالأنواع الغريبة الغازية وآثارها، لدعم </w:t>
      </w:r>
      <w:r w:rsidRPr="00632E92">
        <w:rPr>
          <w:rFonts w:hint="cs"/>
          <w:rtl/>
        </w:rPr>
        <w:t xml:space="preserve">الإبلاغ عن </w:t>
      </w:r>
      <w:r w:rsidRPr="00632E92">
        <w:rPr>
          <w:rtl/>
        </w:rPr>
        <w:t>المخاطر.</w:t>
      </w:r>
    </w:p>
    <w:p w:rsidR="00EE0FD7" w:rsidRDefault="00EE0FD7" w:rsidP="00EE0FD7">
      <w:pPr>
        <w:spacing w:line="204" w:lineRule="auto"/>
        <w:rPr>
          <w:rtl/>
        </w:rPr>
      </w:pPr>
      <w:r w:rsidRPr="00632E92">
        <w:rPr>
          <w:rFonts w:hint="cs"/>
          <w:rtl/>
        </w:rPr>
        <w:t>2-</w:t>
      </w:r>
      <w:r w:rsidRPr="00632E92">
        <w:rPr>
          <w:rFonts w:hint="cs"/>
          <w:rtl/>
        </w:rPr>
        <w:tab/>
        <w:t xml:space="preserve">ورهنا بتوافر الموارد، سيجتمع </w:t>
      </w:r>
      <w:r w:rsidRPr="00632E92">
        <w:rPr>
          <w:rtl/>
        </w:rPr>
        <w:t>فريق الخبراء التقنيين المخصص</w:t>
      </w:r>
      <w:r w:rsidRPr="00632E92">
        <w:rPr>
          <w:rFonts w:hint="cs"/>
          <w:rtl/>
        </w:rPr>
        <w:t xml:space="preserve"> قبل الاجتماع الخامس عشر لمؤتمر الأطراف وفقا لطريقة تشغيل الهيئة الفرعية للمشورة العلمية والتقنية والتكنولوجية.</w:t>
      </w:r>
      <w:r w:rsidRPr="00B02E14">
        <w:rPr>
          <w:vertAlign w:val="superscript"/>
          <w:rtl/>
        </w:rPr>
        <w:footnoteReference w:id="180"/>
      </w:r>
      <w:r w:rsidRPr="00632E92">
        <w:rPr>
          <w:rFonts w:hint="cs"/>
          <w:rtl/>
        </w:rPr>
        <w:t xml:space="preserve"> و</w:t>
      </w:r>
      <w:r w:rsidRPr="00632E92">
        <w:rPr>
          <w:rtl/>
        </w:rPr>
        <w:t>ينبغي أن يتألف فريق الخبراء التقنيين المخصص من خبراء ساهموا بنشاط في عملية منتدى المناقشة عبر الإنترنت في المجالات ذات الصلة بالفقر</w:t>
      </w:r>
      <w:r>
        <w:rPr>
          <w:rFonts w:hint="cs"/>
          <w:rtl/>
        </w:rPr>
        <w:t>ة</w:t>
      </w:r>
      <w:r w:rsidRPr="00632E92">
        <w:rPr>
          <w:rtl/>
        </w:rPr>
        <w:t xml:space="preserve"> 1 من الاختصاصات الحالية، ب</w:t>
      </w:r>
      <w:r>
        <w:rPr>
          <w:rFonts w:hint="cs"/>
          <w:rtl/>
        </w:rPr>
        <w:t>ما في ذلك مع ال</w:t>
      </w:r>
      <w:r w:rsidRPr="00632E92">
        <w:rPr>
          <w:rtl/>
        </w:rPr>
        <w:t>مشاركة</w:t>
      </w:r>
      <w:r>
        <w:rPr>
          <w:rFonts w:hint="cs"/>
          <w:rtl/>
        </w:rPr>
        <w:t xml:space="preserve"> الكاملة والفعالة</w:t>
      </w:r>
      <w:r w:rsidRPr="00632E92">
        <w:rPr>
          <w:rtl/>
        </w:rPr>
        <w:t xml:space="preserve"> الشعوب </w:t>
      </w:r>
      <w:r>
        <w:rPr>
          <w:rFonts w:hint="cs"/>
          <w:rtl/>
        </w:rPr>
        <w:t>ل</w:t>
      </w:r>
      <w:r w:rsidRPr="00632E92">
        <w:rPr>
          <w:rtl/>
        </w:rPr>
        <w:t xml:space="preserve">لأصلية والمجتمعات المحلية والدول الجزرية الصغيرة النامية، مع الأخذ في </w:t>
      </w:r>
      <w:r w:rsidRPr="00632E92">
        <w:rPr>
          <w:rtl/>
        </w:rPr>
        <w:lastRenderedPageBreak/>
        <w:t>الاعتبار تجاربها للتصدي للمخاطر التي تشكلها الأنواع الغريبة الغازية على القيم الاجتماعية والاقتصادية والثقافية، والتنوع البيولوجي الضعيف في النظم الإيكولوجية الجزرية، على التوالي.</w:t>
      </w:r>
    </w:p>
    <w:p w:rsidR="00EE0FD7" w:rsidRDefault="00EE0FD7" w:rsidP="008F1A01">
      <w:pPr>
        <w:spacing w:after="0" w:line="240" w:lineRule="auto"/>
        <w:jc w:val="left"/>
        <w:rPr>
          <w:sz w:val="24"/>
          <w:rtl/>
        </w:rPr>
      </w:pPr>
      <w:r>
        <w:rPr>
          <w:sz w:val="24"/>
          <w:rtl/>
        </w:rPr>
        <w:br w:type="page"/>
      </w:r>
    </w:p>
    <w:p w:rsidR="00EE0FD7" w:rsidRPr="009E01BD" w:rsidRDefault="00EE0FD7" w:rsidP="009E01BD">
      <w:pPr>
        <w:pStyle w:val="Heading2"/>
        <w:rPr>
          <w:rFonts w:ascii="Simplified Arabic" w:hAnsi="Simplified Arabic"/>
          <w:sz w:val="24"/>
        </w:rPr>
      </w:pPr>
      <w:bookmarkStart w:id="121" w:name="_Toc6071597"/>
      <w:bookmarkStart w:id="122" w:name="_Toc6139973"/>
      <w:r w:rsidRPr="009E01BD">
        <w:rPr>
          <w:rFonts w:ascii="Simplified Arabic" w:hAnsi="Simplified Arabic"/>
          <w:sz w:val="24"/>
          <w:rtl/>
        </w:rPr>
        <w:lastRenderedPageBreak/>
        <w:t>المقرر 14/12</w:t>
      </w:r>
      <w:r w:rsidRPr="009E01BD">
        <w:rPr>
          <w:rFonts w:ascii="Simplified Arabic" w:hAnsi="Simplified Arabic"/>
          <w:sz w:val="24"/>
          <w:rtl/>
        </w:rPr>
        <w:tab/>
        <w:t>المبادئ التوجيهية الطوعية روتسوليهيرساجيك لإعادة توطين المعارف التقليدية للشعوب الأصلية والمجتمعات المحلية ذات الصلة بحفظ التنوع البيولوجي واستخدامه المستدام</w:t>
      </w:r>
      <w:bookmarkEnd w:id="121"/>
      <w:bookmarkEnd w:id="122"/>
    </w:p>
    <w:p w:rsidR="00EE0FD7" w:rsidRPr="005A0BBE" w:rsidRDefault="00EE0FD7" w:rsidP="00EE0FD7">
      <w:pPr>
        <w:ind w:firstLine="720"/>
        <w:rPr>
          <w:i/>
          <w:iCs/>
          <w:rtl/>
        </w:rPr>
      </w:pPr>
      <w:r w:rsidRPr="005A0BBE">
        <w:rPr>
          <w:i/>
          <w:iCs/>
          <w:rtl/>
        </w:rPr>
        <w:t>إن مؤتمر الأطراف،</w:t>
      </w:r>
    </w:p>
    <w:p w:rsidR="00EE0FD7" w:rsidRPr="00366E36" w:rsidRDefault="00EE0FD7" w:rsidP="00EE0FD7">
      <w:pPr>
        <w:ind w:firstLine="720"/>
        <w:rPr>
          <w:lang w:val="fr-CA"/>
        </w:rPr>
      </w:pPr>
      <w:r w:rsidRPr="005A0BBE">
        <w:rPr>
          <w:i/>
          <w:iCs/>
          <w:rtl/>
        </w:rPr>
        <w:t xml:space="preserve">إذ </w:t>
      </w:r>
      <w:r w:rsidRPr="005A0BBE">
        <w:rPr>
          <w:rFonts w:hint="cs"/>
          <w:i/>
          <w:iCs/>
          <w:rtl/>
        </w:rPr>
        <w:t>ي</w:t>
      </w:r>
      <w:r w:rsidRPr="005A0BBE">
        <w:rPr>
          <w:i/>
          <w:iCs/>
          <w:rtl/>
        </w:rPr>
        <w:t>شير</w:t>
      </w:r>
      <w:r w:rsidRPr="005A0BBE">
        <w:rPr>
          <w:rtl/>
        </w:rPr>
        <w:t xml:space="preserve"> إلى المادة 17 من الاتفاقية التي تقتضي من الأطراف تيسير تبادل المعلومات، </w:t>
      </w:r>
      <w:r w:rsidRPr="005A0BBE">
        <w:rPr>
          <w:rFonts w:hint="cs"/>
          <w:rtl/>
        </w:rPr>
        <w:t>من جميع المصادر العامة المتاحة، ذات الصلة بحفظ التنوع البيولوجي واستخدامه المستدام، بما في ذلك تبادل نتائج البحوث التقنية والعلمية والاجتماعية والاقتصادية، فضلا عن معلومات بشأن برامج التدريب والمسح، والمعارف المتخصصة، والمعارف الأصلية والتقليدية</w:t>
      </w:r>
      <w:r w:rsidRPr="005A0BBE">
        <w:rPr>
          <w:rtl/>
        </w:rPr>
        <w:t xml:space="preserve"> </w:t>
      </w:r>
      <w:r w:rsidRPr="005A0BBE">
        <w:rPr>
          <w:rFonts w:hint="cs"/>
          <w:rtl/>
        </w:rPr>
        <w:t>وحيث أمكن ذلك، إعادة توطين المعلومات،</w:t>
      </w:r>
    </w:p>
    <w:p w:rsidR="00EE0FD7" w:rsidRPr="005A0BBE" w:rsidRDefault="00EE0FD7" w:rsidP="00EE0FD7">
      <w:pPr>
        <w:ind w:firstLine="720"/>
        <w:rPr>
          <w:rtl/>
        </w:rPr>
      </w:pPr>
      <w:r w:rsidRPr="005A0BBE">
        <w:rPr>
          <w:rFonts w:hint="cs"/>
          <w:i/>
          <w:iCs/>
          <w:rtl/>
        </w:rPr>
        <w:t>وإذ يشير</w:t>
      </w:r>
      <w:r w:rsidRPr="005A0BBE">
        <w:rPr>
          <w:rFonts w:hint="cs"/>
          <w:rtl/>
        </w:rPr>
        <w:t xml:space="preserve"> أيضا إلى </w:t>
      </w:r>
      <w:r w:rsidRPr="005A0BBE">
        <w:rPr>
          <w:rtl/>
        </w:rPr>
        <w:t xml:space="preserve">المادة 18 </w:t>
      </w:r>
      <w:r w:rsidRPr="005A0BBE">
        <w:rPr>
          <w:rFonts w:hint="cs"/>
          <w:rtl/>
        </w:rPr>
        <w:t xml:space="preserve">من الاتفاقية </w:t>
      </w:r>
      <w:r w:rsidRPr="005A0BBE">
        <w:rPr>
          <w:rtl/>
        </w:rPr>
        <w:t xml:space="preserve">التي </w:t>
      </w:r>
      <w:r w:rsidRPr="005A0BBE">
        <w:rPr>
          <w:rFonts w:hint="cs"/>
          <w:rtl/>
        </w:rPr>
        <w:t>تقتضي من</w:t>
      </w:r>
      <w:r w:rsidRPr="005A0BBE">
        <w:rPr>
          <w:rtl/>
        </w:rPr>
        <w:t xml:space="preserve"> الأطراف</w:t>
      </w:r>
      <w:r w:rsidRPr="005A0BBE">
        <w:rPr>
          <w:rFonts w:hint="cs"/>
          <w:rtl/>
        </w:rPr>
        <w:t>، ضمن جملة أمور،</w:t>
      </w:r>
      <w:r w:rsidRPr="005A0BBE">
        <w:rPr>
          <w:rtl/>
        </w:rPr>
        <w:t xml:space="preserve"> تعزيز التعاون</w:t>
      </w:r>
      <w:r w:rsidRPr="005A0BBE">
        <w:rPr>
          <w:rFonts w:hint="cs"/>
          <w:rtl/>
        </w:rPr>
        <w:t xml:space="preserve"> التقني و</w:t>
      </w:r>
      <w:r w:rsidRPr="005A0BBE">
        <w:rPr>
          <w:rtl/>
        </w:rPr>
        <w:t>العلمي</w:t>
      </w:r>
      <w:r w:rsidRPr="005A0BBE">
        <w:rPr>
          <w:rFonts w:hint="cs"/>
          <w:rtl/>
        </w:rPr>
        <w:t xml:space="preserve"> وكذلك تشجيع</w:t>
      </w:r>
      <w:r w:rsidRPr="005A0BBE">
        <w:rPr>
          <w:rtl/>
        </w:rPr>
        <w:t xml:space="preserve"> </w:t>
      </w:r>
      <w:r w:rsidRPr="005A0BBE">
        <w:rPr>
          <w:rFonts w:hint="cs"/>
          <w:rtl/>
        </w:rPr>
        <w:t>وإعداد طرائق ل</w:t>
      </w:r>
      <w:r w:rsidRPr="005A0BBE">
        <w:rPr>
          <w:rtl/>
        </w:rPr>
        <w:t>لتعاون من أجل تطوير واستخدام التكنولوجيات، بما في ذلك المعارف الأصلية والتقليدية،</w:t>
      </w:r>
      <w:r w:rsidRPr="005A0BBE">
        <w:rPr>
          <w:rFonts w:hint="cs"/>
          <w:rtl/>
        </w:rPr>
        <w:t xml:space="preserve"> وفقا للتشريعات والسياسات الوطنية،</w:t>
      </w:r>
    </w:p>
    <w:p w:rsidR="00EE0FD7" w:rsidRPr="005A0BBE" w:rsidRDefault="00EE0FD7" w:rsidP="00EE0FD7">
      <w:pPr>
        <w:ind w:firstLine="720"/>
        <w:rPr>
          <w:rtl/>
        </w:rPr>
      </w:pPr>
      <w:r w:rsidRPr="005A0BBE">
        <w:rPr>
          <w:rFonts w:hint="cs"/>
          <w:i/>
          <w:iCs/>
          <w:rtl/>
        </w:rPr>
        <w:t>وإذ يشدد</w:t>
      </w:r>
      <w:r w:rsidRPr="005A0BBE">
        <w:rPr>
          <w:rFonts w:hint="cs"/>
          <w:rtl/>
        </w:rPr>
        <w:t xml:space="preserve"> على أن الهدف من </w:t>
      </w:r>
      <w:r w:rsidRPr="005A0BBE">
        <w:rPr>
          <w:rtl/>
        </w:rPr>
        <w:t xml:space="preserve">المبادئ التوجيهية الطوعية </w:t>
      </w:r>
      <w:r w:rsidRPr="005A0BBE">
        <w:rPr>
          <w:rFonts w:hint="cs"/>
          <w:rtl/>
        </w:rPr>
        <w:t>روتسوليهيرساجيك</w:t>
      </w:r>
      <w:r w:rsidRPr="005A0BBE">
        <w:rPr>
          <w:vertAlign w:val="superscript"/>
          <w:rtl/>
        </w:rPr>
        <w:footnoteReference w:id="181"/>
      </w:r>
      <w:r w:rsidRPr="005A0BBE">
        <w:rPr>
          <w:rtl/>
        </w:rPr>
        <w:t xml:space="preserve"> </w:t>
      </w:r>
      <w:r w:rsidRPr="005A0BBE">
        <w:rPr>
          <w:rFonts w:hint="cs"/>
          <w:rtl/>
        </w:rPr>
        <w:t>لإعادة توطين</w:t>
      </w:r>
      <w:r w:rsidRPr="005A0BBE">
        <w:rPr>
          <w:rtl/>
        </w:rPr>
        <w:t xml:space="preserve"> المعارف التقليدية </w:t>
      </w:r>
      <w:r>
        <w:rPr>
          <w:rFonts w:hint="cs"/>
          <w:rtl/>
        </w:rPr>
        <w:t xml:space="preserve">للشعوب الأصلية والمجتمعات المحلية </w:t>
      </w:r>
      <w:r w:rsidRPr="005A0BBE">
        <w:rPr>
          <w:rtl/>
        </w:rPr>
        <w:t xml:space="preserve">ذات الصلة بحفظ التنوع البيولوجي واستخدامه المستدام </w:t>
      </w:r>
      <w:r w:rsidRPr="005A0BBE">
        <w:rPr>
          <w:rFonts w:hint="cs"/>
          <w:rtl/>
        </w:rPr>
        <w:t>هو تيسير استعادة المعارف التقليدية ذات الصلة بحفظ التنوع البيولوجي واست</w:t>
      </w:r>
      <w:r>
        <w:rPr>
          <w:rFonts w:hint="cs"/>
          <w:rtl/>
        </w:rPr>
        <w:t>خدامه المستدام، على النحو المبي</w:t>
      </w:r>
      <w:r w:rsidRPr="005A0BBE">
        <w:rPr>
          <w:rFonts w:hint="cs"/>
          <w:rtl/>
        </w:rPr>
        <w:t xml:space="preserve">ن في </w:t>
      </w:r>
      <w:hyperlink r:id="rId66" w:history="1">
        <w:r w:rsidRPr="005A0BBE">
          <w:rPr>
            <w:rFonts w:hint="cs"/>
            <w:color w:val="0000FF"/>
            <w:u w:val="single"/>
            <w:rtl/>
          </w:rPr>
          <w:t>المقرر</w:t>
        </w:r>
        <w:r w:rsidRPr="005A0BBE">
          <w:rPr>
            <w:rFonts w:hint="eastAsia"/>
            <w:color w:val="0000FF"/>
            <w:u w:val="single"/>
            <w:rtl/>
          </w:rPr>
          <w:t> </w:t>
        </w:r>
        <w:r w:rsidRPr="005A0BBE">
          <w:rPr>
            <w:rFonts w:hint="cs"/>
            <w:color w:val="0000FF"/>
            <w:u w:val="single"/>
            <w:rtl/>
          </w:rPr>
          <w:t>13/19</w:t>
        </w:r>
      </w:hyperlink>
      <w:r w:rsidRPr="005A0BBE">
        <w:rPr>
          <w:rFonts w:hint="cs"/>
          <w:rtl/>
        </w:rPr>
        <w:t>،</w:t>
      </w:r>
    </w:p>
    <w:p w:rsidR="00EE0FD7" w:rsidRDefault="00EE0FD7" w:rsidP="00EE0FD7">
      <w:pPr>
        <w:ind w:firstLine="720"/>
        <w:rPr>
          <w:rtl/>
        </w:rPr>
      </w:pPr>
      <w:r w:rsidRPr="005A0BBE">
        <w:rPr>
          <w:i/>
          <w:iCs/>
          <w:rtl/>
        </w:rPr>
        <w:t xml:space="preserve">وإذ </w:t>
      </w:r>
      <w:r w:rsidRPr="005A0BBE">
        <w:rPr>
          <w:rFonts w:hint="cs"/>
          <w:i/>
          <w:iCs/>
          <w:rtl/>
        </w:rPr>
        <w:t>يأخذ بعين الاعتبار</w:t>
      </w:r>
      <w:r w:rsidRPr="005A0BBE">
        <w:rPr>
          <w:rtl/>
        </w:rPr>
        <w:t xml:space="preserve"> أهمية التعاون الدولي </w:t>
      </w:r>
      <w:r w:rsidRPr="005A0BBE">
        <w:rPr>
          <w:rFonts w:hint="cs"/>
          <w:rtl/>
        </w:rPr>
        <w:t>ل</w:t>
      </w:r>
      <w:r w:rsidRPr="005A0BBE">
        <w:rPr>
          <w:rtl/>
        </w:rPr>
        <w:t>إعادة توطين المعارف التقليدية</w:t>
      </w:r>
      <w:r w:rsidRPr="005A0BBE">
        <w:rPr>
          <w:rFonts w:hint="cs"/>
          <w:rtl/>
        </w:rPr>
        <w:t xml:space="preserve"> ذات الصلة بحفظ التنوع البيولوجي واستخدامه المستدام، </w:t>
      </w:r>
      <w:r w:rsidRPr="005A0BBE">
        <w:rPr>
          <w:rtl/>
        </w:rPr>
        <w:t xml:space="preserve">والمعلومات ذات الصلة و/أو التكميلية للشعوب الأصلية والمجتمعات المحلية لتيسير استعادة المعارف التقليدية </w:t>
      </w:r>
      <w:r w:rsidRPr="005A0BBE">
        <w:rPr>
          <w:rFonts w:hint="cs"/>
          <w:rtl/>
        </w:rPr>
        <w:t>ذات الصلة با</w:t>
      </w:r>
      <w:r w:rsidRPr="005A0BBE">
        <w:rPr>
          <w:rtl/>
        </w:rPr>
        <w:t>لتنوع البيولوجي،</w:t>
      </w:r>
      <w:r w:rsidRPr="005A0BBE">
        <w:rPr>
          <w:rFonts w:hint="cs"/>
          <w:rtl/>
        </w:rPr>
        <w:t xml:space="preserve"> </w:t>
      </w:r>
      <w:r w:rsidRPr="005A0BBE">
        <w:rPr>
          <w:i/>
          <w:iCs/>
          <w:rtl/>
        </w:rPr>
        <w:t xml:space="preserve">وإذ </w:t>
      </w:r>
      <w:r w:rsidRPr="005A0BBE">
        <w:rPr>
          <w:rFonts w:hint="cs"/>
          <w:i/>
          <w:iCs/>
          <w:rtl/>
        </w:rPr>
        <w:t xml:space="preserve">يأخذ بعين الاعتبار </w:t>
      </w:r>
      <w:r w:rsidRPr="005A0BBE">
        <w:rPr>
          <w:rFonts w:hint="cs"/>
          <w:rtl/>
        </w:rPr>
        <w:t>أهمية الحوكمة لدى ا</w:t>
      </w:r>
      <w:r w:rsidRPr="005A0BBE">
        <w:rPr>
          <w:rtl/>
        </w:rPr>
        <w:t>لشعوب الأصلية والمجتمعات المحلية</w:t>
      </w:r>
      <w:r w:rsidRPr="005A0BBE">
        <w:rPr>
          <w:rFonts w:hint="cs"/>
          <w:rtl/>
        </w:rPr>
        <w:t xml:space="preserve"> من أجل استعادة معارفها التقليدية وإدارتها،</w:t>
      </w:r>
    </w:p>
    <w:p w:rsidR="00EE0FD7" w:rsidRPr="005A0BBE" w:rsidRDefault="00EE0FD7" w:rsidP="00EE0FD7">
      <w:pPr>
        <w:ind w:firstLine="720"/>
        <w:rPr>
          <w:rtl/>
        </w:rPr>
      </w:pPr>
      <w:r w:rsidRPr="005A0BBE">
        <w:rPr>
          <w:i/>
          <w:iCs/>
          <w:rtl/>
        </w:rPr>
        <w:t xml:space="preserve">وإذ </w:t>
      </w:r>
      <w:r w:rsidRPr="005A0BBE">
        <w:rPr>
          <w:rFonts w:hint="cs"/>
          <w:i/>
          <w:iCs/>
          <w:rtl/>
        </w:rPr>
        <w:t>ي</w:t>
      </w:r>
      <w:r w:rsidRPr="005A0BBE">
        <w:rPr>
          <w:i/>
          <w:iCs/>
          <w:rtl/>
        </w:rPr>
        <w:t>ضع في اعتباره</w:t>
      </w:r>
      <w:r w:rsidRPr="005A0BBE">
        <w:rPr>
          <w:rFonts w:hint="cs"/>
          <w:rtl/>
        </w:rPr>
        <w:t xml:space="preserve"> أهمية التنفيذ الفعال لمختلف الترتيبات والصكوك والبرامج والاستراتيجيات والمعايير والمبادئ التوجيهية والتقارير والعمليات الدولية ذات الصلة، والحفاظ على دعمها المتبادل، مع مراعاة التشريعات الوطنية، ودون المساس بحقوق الشعوب الأصلية والمجتمعات المحلية،</w:t>
      </w:r>
    </w:p>
    <w:p w:rsidR="00EE0FD7" w:rsidRPr="005A0BBE" w:rsidRDefault="00EE0FD7" w:rsidP="00EE0FD7">
      <w:pPr>
        <w:ind w:firstLine="720"/>
        <w:rPr>
          <w:rtl/>
        </w:rPr>
      </w:pPr>
      <w:r w:rsidRPr="005A0BBE">
        <w:rPr>
          <w:rFonts w:hint="cs"/>
          <w:i/>
          <w:iCs/>
          <w:rtl/>
        </w:rPr>
        <w:t xml:space="preserve">وإذ يضع في اعتباره أيضا </w:t>
      </w:r>
      <w:r w:rsidRPr="005A0BBE">
        <w:rPr>
          <w:rFonts w:hint="cs"/>
          <w:rtl/>
        </w:rPr>
        <w:t xml:space="preserve">الطابع المعقد الذي تنطوي عليه بعض المفاهيم التي تتناولها </w:t>
      </w:r>
      <w:r w:rsidRPr="005A0BBE">
        <w:rPr>
          <w:rtl/>
        </w:rPr>
        <w:t xml:space="preserve">المبادئ التوجيهية الطوعية </w:t>
      </w:r>
      <w:r w:rsidRPr="005A0BBE">
        <w:rPr>
          <w:rFonts w:hint="cs"/>
          <w:rtl/>
        </w:rPr>
        <w:t>روتسوليهيرساجيك، مثل المعارف التقليدية "المتاحة للجمهور"،</w:t>
      </w:r>
    </w:p>
    <w:p w:rsidR="00EE0FD7" w:rsidRPr="001B7A0F" w:rsidRDefault="00EE0FD7" w:rsidP="00EE0FD7">
      <w:pPr>
        <w:ind w:firstLine="720"/>
        <w:rPr>
          <w:rtl/>
        </w:rPr>
      </w:pPr>
      <w:r w:rsidRPr="005A0BBE">
        <w:rPr>
          <w:rFonts w:hint="cs"/>
          <w:i/>
          <w:iCs/>
          <w:rtl/>
        </w:rPr>
        <w:t>وإذ يشدد على</w:t>
      </w:r>
      <w:r w:rsidRPr="005A0BBE">
        <w:rPr>
          <w:rFonts w:hint="cs"/>
          <w:rtl/>
        </w:rPr>
        <w:t xml:space="preserve"> أهمية الشرعية والشفافية والاحترام المتبادل والتفاهم </w:t>
      </w:r>
      <w:r w:rsidRPr="005A0BBE">
        <w:rPr>
          <w:rtl/>
        </w:rPr>
        <w:t>في العلاقات</w:t>
      </w:r>
      <w:r w:rsidRPr="005A0BBE">
        <w:rPr>
          <w:rFonts w:hint="cs"/>
          <w:rtl/>
        </w:rPr>
        <w:t xml:space="preserve"> بين الشعوب الأصلية والمجتمعات المحلية، من ناحية، والأكاديميين والأوساط العلمية والقطاع الخاص والجهات</w:t>
      </w:r>
      <w:r w:rsidRPr="005A0BBE">
        <w:rPr>
          <w:rtl/>
        </w:rPr>
        <w:t xml:space="preserve"> التعليم</w:t>
      </w:r>
      <w:r w:rsidRPr="005A0BBE">
        <w:rPr>
          <w:rFonts w:hint="cs"/>
          <w:rtl/>
        </w:rPr>
        <w:t>ية</w:t>
      </w:r>
      <w:r w:rsidRPr="005A0BBE">
        <w:rPr>
          <w:rtl/>
        </w:rPr>
        <w:t xml:space="preserve"> والحكوم</w:t>
      </w:r>
      <w:r w:rsidRPr="005A0BBE">
        <w:rPr>
          <w:rFonts w:hint="cs"/>
          <w:rtl/>
        </w:rPr>
        <w:t>ي</w:t>
      </w:r>
      <w:r w:rsidRPr="005A0BBE">
        <w:rPr>
          <w:rtl/>
        </w:rPr>
        <w:t xml:space="preserve">ة وغيرهم من مستخدمي </w:t>
      </w:r>
      <w:r w:rsidRPr="005A0BBE">
        <w:rPr>
          <w:rFonts w:hint="cs"/>
          <w:rtl/>
        </w:rPr>
        <w:t xml:space="preserve">المعارف التقليدية للشعوب الأصلية والمجتمعات المحلية، من الناحية الأخرى، </w:t>
      </w:r>
    </w:p>
    <w:p w:rsidR="00EE0FD7" w:rsidRPr="005A0BBE" w:rsidRDefault="00EE0FD7" w:rsidP="00EE0FD7">
      <w:pPr>
        <w:ind w:firstLine="720"/>
        <w:rPr>
          <w:rtl/>
        </w:rPr>
      </w:pPr>
      <w:r w:rsidRPr="005A0BBE">
        <w:rPr>
          <w:rFonts w:hint="cs"/>
          <w:rtl/>
        </w:rPr>
        <w:t>1-</w:t>
      </w:r>
      <w:r w:rsidRPr="005A0BBE">
        <w:rPr>
          <w:rFonts w:hint="cs"/>
          <w:rtl/>
        </w:rPr>
        <w:tab/>
      </w:r>
      <w:r w:rsidRPr="005A0BBE">
        <w:rPr>
          <w:rFonts w:hint="cs"/>
          <w:i/>
          <w:iCs/>
          <w:rtl/>
        </w:rPr>
        <w:t>ي</w:t>
      </w:r>
      <w:r w:rsidRPr="005A0BBE">
        <w:rPr>
          <w:i/>
          <w:iCs/>
          <w:rtl/>
        </w:rPr>
        <w:t>عتمد</w:t>
      </w:r>
      <w:r w:rsidRPr="005A0BBE">
        <w:rPr>
          <w:rtl/>
        </w:rPr>
        <w:t xml:space="preserve"> المبادئ التوجيهية الطوعية </w:t>
      </w:r>
      <w:r w:rsidRPr="005A0BBE">
        <w:rPr>
          <w:rFonts w:hint="cs"/>
          <w:rtl/>
        </w:rPr>
        <w:t>روتسوليهيرساجيك</w:t>
      </w:r>
      <w:r w:rsidRPr="005A0BBE">
        <w:rPr>
          <w:rtl/>
        </w:rPr>
        <w:t xml:space="preserve"> لإعادة توطين المعارف التقليدية للشعوب الأصلية والمجتمعات المحلية ذات الصلة بحفظ التنوع البيولوجي و</w:t>
      </w:r>
      <w:r w:rsidRPr="005A0BBE">
        <w:rPr>
          <w:rFonts w:hint="cs"/>
          <w:rtl/>
        </w:rPr>
        <w:t>استخدامه</w:t>
      </w:r>
      <w:r>
        <w:rPr>
          <w:rtl/>
        </w:rPr>
        <w:t xml:space="preserve"> المستدام</w:t>
      </w:r>
      <w:r w:rsidRPr="005A0BBE">
        <w:rPr>
          <w:rtl/>
        </w:rPr>
        <w:t>؛</w:t>
      </w:r>
    </w:p>
    <w:p w:rsidR="00EE0FD7" w:rsidRPr="005A0BBE" w:rsidRDefault="00EE0FD7" w:rsidP="00EE0FD7">
      <w:pPr>
        <w:ind w:firstLine="720"/>
        <w:rPr>
          <w:rtl/>
        </w:rPr>
      </w:pPr>
      <w:r w:rsidRPr="005A0BBE">
        <w:rPr>
          <w:rtl/>
        </w:rPr>
        <w:t>2</w:t>
      </w:r>
      <w:r w:rsidRPr="005A0BBE">
        <w:rPr>
          <w:rFonts w:hint="cs"/>
          <w:rtl/>
        </w:rPr>
        <w:t>-</w:t>
      </w:r>
      <w:r w:rsidRPr="005A0BBE">
        <w:rPr>
          <w:rFonts w:hint="cs"/>
          <w:rtl/>
        </w:rPr>
        <w:tab/>
      </w:r>
      <w:r w:rsidRPr="005A0BBE">
        <w:rPr>
          <w:i/>
          <w:iCs/>
          <w:rtl/>
        </w:rPr>
        <w:t>يدعو</w:t>
      </w:r>
      <w:r w:rsidRPr="005A0BBE">
        <w:rPr>
          <w:rtl/>
        </w:rPr>
        <w:t xml:space="preserve"> الأطراف والحكومات الأخرى والمنظمات ذات الصلة والكيانات </w:t>
      </w:r>
      <w:r w:rsidRPr="005A0BBE">
        <w:rPr>
          <w:rFonts w:hint="cs"/>
          <w:rtl/>
        </w:rPr>
        <w:t xml:space="preserve">الحائزة على </w:t>
      </w:r>
      <w:r w:rsidRPr="005A0BBE">
        <w:rPr>
          <w:rtl/>
        </w:rPr>
        <w:t xml:space="preserve">مجموعات من المعارف التقليدية والمعلومات ذات الصلة أو </w:t>
      </w:r>
      <w:r w:rsidRPr="005A0BBE">
        <w:rPr>
          <w:rFonts w:hint="cs"/>
          <w:rtl/>
        </w:rPr>
        <w:t>التكميلية، أو التي تخزنها أو تستضيفها</w:t>
      </w:r>
      <w:r w:rsidRPr="005A0BBE">
        <w:rPr>
          <w:rtl/>
        </w:rPr>
        <w:t>، فضلا عن الشعوب الأصلية والمجتمعات المحلية</w:t>
      </w:r>
      <w:r w:rsidRPr="005A0BBE">
        <w:rPr>
          <w:rFonts w:hint="cs"/>
          <w:rtl/>
        </w:rPr>
        <w:t xml:space="preserve"> وأصحاب المصلحة الآخرين إلى ما يلي</w:t>
      </w:r>
      <w:r w:rsidRPr="005A0BBE">
        <w:rPr>
          <w:rtl/>
        </w:rPr>
        <w:t>:</w:t>
      </w:r>
    </w:p>
    <w:p w:rsidR="00EE0FD7" w:rsidRPr="008F1A01" w:rsidRDefault="00EE0FD7" w:rsidP="005C478D">
      <w:pPr>
        <w:ind w:firstLine="720"/>
        <w:rPr>
          <w:spacing w:val="-8"/>
          <w:rtl/>
        </w:rPr>
      </w:pPr>
      <w:bookmarkStart w:id="123" w:name="_Toc6071598"/>
      <w:r w:rsidRPr="005A0BBE">
        <w:rPr>
          <w:rFonts w:ascii="Simplified Arabic" w:hAnsi="Simplified Arabic"/>
          <w:rtl/>
        </w:rPr>
        <w:lastRenderedPageBreak/>
        <w:t>(أ)</w:t>
      </w:r>
      <w:r w:rsidRPr="005A0BBE">
        <w:rPr>
          <w:rFonts w:ascii="Simplified Arabic" w:hAnsi="Simplified Arabic" w:hint="cs"/>
          <w:rtl/>
        </w:rPr>
        <w:tab/>
      </w:r>
      <w:r w:rsidRPr="005A0BBE">
        <w:rPr>
          <w:rFonts w:ascii="Simplified Arabic" w:hAnsi="Simplified Arabic"/>
          <w:rtl/>
        </w:rPr>
        <w:t>استخدام المبادئ التوجيهية الطوعية</w:t>
      </w:r>
      <w:r w:rsidRPr="005A0BBE">
        <w:rPr>
          <w:rFonts w:hint="cs"/>
          <w:rtl/>
        </w:rPr>
        <w:t xml:space="preserve"> </w:t>
      </w:r>
      <w:r w:rsidRPr="005A0BBE">
        <w:rPr>
          <w:rFonts w:ascii="Simplified Arabic" w:hAnsi="Simplified Arabic" w:hint="cs"/>
          <w:rtl/>
        </w:rPr>
        <w:t>روتسوليهيرساجيك</w:t>
      </w:r>
      <w:r w:rsidRPr="005A0BBE">
        <w:rPr>
          <w:rFonts w:ascii="Simplified Arabic" w:hAnsi="Simplified Arabic"/>
          <w:rtl/>
        </w:rPr>
        <w:t xml:space="preserve">، حسب الاقتضاء، في </w:t>
      </w:r>
      <w:r w:rsidRPr="005A0BBE">
        <w:rPr>
          <w:rFonts w:ascii="Simplified Arabic" w:hAnsi="Simplified Arabic" w:hint="cs"/>
          <w:rtl/>
        </w:rPr>
        <w:t>جهودها</w:t>
      </w:r>
      <w:r w:rsidRPr="005A0BBE">
        <w:rPr>
          <w:rFonts w:ascii="Simplified Arabic" w:hAnsi="Simplified Arabic"/>
          <w:rtl/>
        </w:rPr>
        <w:t xml:space="preserve"> الرامية إلى إعادة توطين واستعاد</w:t>
      </w:r>
      <w:r w:rsidRPr="005A0BBE">
        <w:rPr>
          <w:rFonts w:ascii="Simplified Arabic" w:hAnsi="Simplified Arabic" w:hint="cs"/>
          <w:rtl/>
        </w:rPr>
        <w:t>ة</w:t>
      </w:r>
      <w:r w:rsidRPr="005A0BBE">
        <w:rPr>
          <w:rFonts w:ascii="Simplified Arabic" w:hAnsi="Simplified Arabic"/>
          <w:rtl/>
        </w:rPr>
        <w:t xml:space="preserve"> المعارف التقليدية ذات الصلة بحفظ التنوع البيولوجي واستخدامه المستدام</w:t>
      </w:r>
      <w:r w:rsidRPr="005A0BBE">
        <w:rPr>
          <w:rFonts w:ascii="Simplified Arabic" w:hAnsi="Simplified Arabic" w:hint="cs"/>
          <w:rtl/>
        </w:rPr>
        <w:t xml:space="preserve"> إلى حائزي المعارف الأصليين، وحيثما ينطبق، تيسير </w:t>
      </w:r>
      <w:r>
        <w:rPr>
          <w:rFonts w:ascii="Simplified Arabic" w:hAnsi="Simplified Arabic" w:hint="cs"/>
          <w:rtl/>
        </w:rPr>
        <w:t>ال</w:t>
      </w:r>
      <w:r w:rsidRPr="005A0BBE">
        <w:rPr>
          <w:rFonts w:ascii="Simplified Arabic" w:hAnsi="Simplified Arabic" w:hint="cs"/>
          <w:rtl/>
        </w:rPr>
        <w:t>تقاسم</w:t>
      </w:r>
      <w:r>
        <w:rPr>
          <w:rFonts w:ascii="Simplified Arabic" w:hAnsi="Simplified Arabic" w:hint="cs"/>
          <w:rtl/>
        </w:rPr>
        <w:t xml:space="preserve"> العادل</w:t>
      </w:r>
      <w:r w:rsidRPr="005A0BBE">
        <w:rPr>
          <w:rFonts w:ascii="Simplified Arabic" w:hAnsi="Simplified Arabic" w:hint="cs"/>
          <w:rtl/>
        </w:rPr>
        <w:t xml:space="preserve"> </w:t>
      </w:r>
      <w:r>
        <w:rPr>
          <w:rFonts w:ascii="Simplified Arabic" w:hAnsi="Simplified Arabic" w:hint="cs"/>
          <w:rtl/>
        </w:rPr>
        <w:t>ل</w:t>
      </w:r>
      <w:r w:rsidRPr="005A0BBE">
        <w:rPr>
          <w:rFonts w:ascii="Simplified Arabic" w:hAnsi="Simplified Arabic" w:hint="cs"/>
          <w:rtl/>
        </w:rPr>
        <w:t xml:space="preserve">لمنافع الناشئة </w:t>
      </w:r>
      <w:r w:rsidRPr="008F1A01">
        <w:rPr>
          <w:rFonts w:hint="cs"/>
          <w:spacing w:val="-8"/>
          <w:rtl/>
        </w:rPr>
        <w:t>عن استخدام المعارف التقليدية، ولا</w:t>
      </w:r>
      <w:r w:rsidRPr="005A0BBE">
        <w:rPr>
          <w:rFonts w:ascii="Simplified Arabic" w:hAnsi="Simplified Arabic" w:hint="cs"/>
          <w:rtl/>
        </w:rPr>
        <w:t xml:space="preserve"> سيما </w:t>
      </w:r>
      <w:r w:rsidRPr="008F1A01">
        <w:rPr>
          <w:rFonts w:hint="cs"/>
          <w:spacing w:val="-8"/>
          <w:rtl/>
        </w:rPr>
        <w:t>وفق شروط متفق عليها بصورة متبادلة؛</w:t>
      </w:r>
      <w:bookmarkEnd w:id="123"/>
    </w:p>
    <w:p w:rsidR="00EE0FD7" w:rsidRPr="005A0BBE" w:rsidRDefault="00EE0FD7" w:rsidP="005C478D">
      <w:pPr>
        <w:ind w:firstLine="720"/>
        <w:rPr>
          <w:rFonts w:ascii="Simplified Arabic" w:hAnsi="Simplified Arabic"/>
          <w:rtl/>
        </w:rPr>
      </w:pPr>
      <w:bookmarkStart w:id="124" w:name="_Toc6071599"/>
      <w:r w:rsidRPr="005A0BBE">
        <w:rPr>
          <w:rFonts w:ascii="Simplified Arabic" w:hAnsi="Simplified Arabic"/>
          <w:rtl/>
        </w:rPr>
        <w:t>(ب)</w:t>
      </w:r>
      <w:r w:rsidRPr="005A0BBE">
        <w:rPr>
          <w:rFonts w:ascii="Simplified Arabic" w:hAnsi="Simplified Arabic" w:hint="cs"/>
          <w:rtl/>
        </w:rPr>
        <w:tab/>
      </w:r>
      <w:r w:rsidRPr="005A0BBE">
        <w:rPr>
          <w:rFonts w:ascii="Simplified Arabic" w:hAnsi="Simplified Arabic"/>
          <w:rtl/>
        </w:rPr>
        <w:t xml:space="preserve">تعزيز المبادئ التوجيهية الطوعية </w:t>
      </w:r>
      <w:r w:rsidRPr="005A0BBE">
        <w:rPr>
          <w:rFonts w:ascii="Simplified Arabic" w:hAnsi="Simplified Arabic" w:hint="cs"/>
          <w:rtl/>
        </w:rPr>
        <w:t>روتسوليهيرساجيك</w:t>
      </w:r>
      <w:r w:rsidRPr="005A0BBE">
        <w:rPr>
          <w:rFonts w:ascii="Simplified Arabic" w:hAnsi="Simplified Arabic"/>
          <w:rtl/>
        </w:rPr>
        <w:t xml:space="preserve"> من خلال أنشطة التثقيف والتوعية، حسب الاقتضاء؛</w:t>
      </w:r>
      <w:bookmarkEnd w:id="124"/>
    </w:p>
    <w:p w:rsidR="00EE0FD7" w:rsidRPr="005A0BBE" w:rsidRDefault="00EE0FD7" w:rsidP="005C478D">
      <w:pPr>
        <w:ind w:firstLine="720"/>
        <w:rPr>
          <w:rFonts w:ascii="Simplified Arabic" w:hAnsi="Simplified Arabic"/>
          <w:rtl/>
        </w:rPr>
      </w:pPr>
      <w:bookmarkStart w:id="125" w:name="_Toc6071600"/>
      <w:r w:rsidRPr="005A0BBE">
        <w:rPr>
          <w:rFonts w:ascii="Simplified Arabic" w:hAnsi="Simplified Arabic"/>
          <w:rtl/>
        </w:rPr>
        <w:t>(ج)</w:t>
      </w:r>
      <w:r w:rsidRPr="005A0BBE">
        <w:rPr>
          <w:rFonts w:ascii="Simplified Arabic" w:hAnsi="Simplified Arabic" w:hint="cs"/>
          <w:rtl/>
        </w:rPr>
        <w:tab/>
        <w:t>إتاحة</w:t>
      </w:r>
      <w:r w:rsidRPr="005A0BBE">
        <w:rPr>
          <w:rFonts w:ascii="Simplified Arabic" w:hAnsi="Simplified Arabic"/>
          <w:rtl/>
        </w:rPr>
        <w:t xml:space="preserve">، </w:t>
      </w:r>
      <w:r w:rsidRPr="005A0BBE">
        <w:rPr>
          <w:rFonts w:ascii="Simplified Arabic" w:hAnsi="Simplified Arabic" w:hint="cs"/>
          <w:rtl/>
        </w:rPr>
        <w:t>حسب</w:t>
      </w:r>
      <w:r w:rsidRPr="005A0BBE">
        <w:rPr>
          <w:rFonts w:ascii="Simplified Arabic" w:hAnsi="Simplified Arabic"/>
          <w:rtl/>
        </w:rPr>
        <w:t xml:space="preserve"> الاقتضاء، أفضل الممارسات والدروس المستفادة والأمثلة الجيدة </w:t>
      </w:r>
      <w:r w:rsidRPr="005A0BBE">
        <w:rPr>
          <w:rFonts w:ascii="Simplified Arabic" w:hAnsi="Simplified Arabic" w:hint="cs"/>
          <w:rtl/>
        </w:rPr>
        <w:t>والمنافع الناجمة عن</w:t>
      </w:r>
      <w:r w:rsidRPr="005A0BBE">
        <w:rPr>
          <w:rFonts w:ascii="Simplified Arabic" w:hAnsi="Simplified Arabic"/>
          <w:rtl/>
        </w:rPr>
        <w:t xml:space="preserve"> إعادة توطين المعارف التقليدية ذات الصلة بحفظ التنوع البيولوجي واستخدامه المستدام،</w:t>
      </w:r>
      <w:r w:rsidRPr="005A0BBE">
        <w:rPr>
          <w:rFonts w:ascii="Simplified Arabic" w:hAnsi="Simplified Arabic" w:hint="cs"/>
          <w:rtl/>
        </w:rPr>
        <w:t xml:space="preserve"> والتقاسم المنصف والعادل للمنافع،</w:t>
      </w:r>
      <w:r w:rsidRPr="005A0BBE">
        <w:rPr>
          <w:rFonts w:ascii="Simplified Arabic" w:hAnsi="Simplified Arabic"/>
          <w:rtl/>
        </w:rPr>
        <w:t xml:space="preserve"> بما في ذلك عمليات التبادل </w:t>
      </w:r>
      <w:r w:rsidRPr="005A0BBE">
        <w:rPr>
          <w:rFonts w:ascii="Simplified Arabic" w:hAnsi="Simplified Arabic" w:hint="cs"/>
          <w:rtl/>
        </w:rPr>
        <w:t xml:space="preserve">فيما </w:t>
      </w:r>
      <w:r w:rsidRPr="005A0BBE">
        <w:rPr>
          <w:rFonts w:ascii="Simplified Arabic" w:hAnsi="Simplified Arabic"/>
          <w:rtl/>
        </w:rPr>
        <w:t>بين المجتمعات من خلال بوابة</w:t>
      </w:r>
      <w:r w:rsidRPr="005A0BBE">
        <w:rPr>
          <w:rFonts w:ascii="Simplified Arabic" w:hAnsi="Simplified Arabic" w:hint="cs"/>
          <w:rtl/>
        </w:rPr>
        <w:t xml:space="preserve"> معلومات</w:t>
      </w:r>
      <w:r w:rsidRPr="005A0BBE">
        <w:rPr>
          <w:rFonts w:ascii="Simplified Arabic" w:hAnsi="Simplified Arabic"/>
          <w:rtl/>
        </w:rPr>
        <w:t xml:space="preserve"> المعارف التقليدية</w:t>
      </w:r>
      <w:r w:rsidRPr="005A0BBE">
        <w:rPr>
          <w:rFonts w:ascii="Simplified Arabic" w:hAnsi="Simplified Arabic" w:hint="cs"/>
          <w:rtl/>
        </w:rPr>
        <w:t xml:space="preserve"> وآلية غرفة تبادل المعلومات، وحسب الاقتضاء </w:t>
      </w:r>
      <w:r w:rsidRPr="005A0BBE">
        <w:rPr>
          <w:rFonts w:ascii="Simplified Arabic" w:hAnsi="Simplified Arabic"/>
          <w:rtl/>
        </w:rPr>
        <w:t xml:space="preserve">من خلال </w:t>
      </w:r>
      <w:r w:rsidRPr="005A0BBE">
        <w:rPr>
          <w:rFonts w:ascii="Simplified Arabic" w:hAnsi="Simplified Arabic" w:hint="cs"/>
          <w:rtl/>
        </w:rPr>
        <w:t>ال</w:t>
      </w:r>
      <w:r w:rsidRPr="005A0BBE">
        <w:rPr>
          <w:rFonts w:ascii="Simplified Arabic" w:hAnsi="Simplified Arabic"/>
          <w:rtl/>
        </w:rPr>
        <w:t>منصات الأخرى</w:t>
      </w:r>
      <w:r w:rsidRPr="005A0BBE">
        <w:rPr>
          <w:rFonts w:ascii="Simplified Arabic" w:hAnsi="Simplified Arabic" w:hint="cs"/>
          <w:rtl/>
        </w:rPr>
        <w:t xml:space="preserve"> ل</w:t>
      </w:r>
      <w:r w:rsidRPr="005A0BBE">
        <w:rPr>
          <w:rFonts w:ascii="Simplified Arabic" w:hAnsi="Simplified Arabic"/>
          <w:rtl/>
        </w:rPr>
        <w:t>تبادل المعارف؛</w:t>
      </w:r>
      <w:bookmarkEnd w:id="125"/>
    </w:p>
    <w:p w:rsidR="00EE0FD7" w:rsidRPr="005A0BBE" w:rsidRDefault="00EE0FD7" w:rsidP="005C478D">
      <w:pPr>
        <w:ind w:firstLine="720"/>
        <w:rPr>
          <w:rFonts w:ascii="Simplified Arabic" w:hAnsi="Simplified Arabic"/>
          <w:rtl/>
        </w:rPr>
      </w:pPr>
      <w:bookmarkStart w:id="126" w:name="_Toc6071601"/>
      <w:r w:rsidRPr="005A0BBE">
        <w:rPr>
          <w:rFonts w:ascii="Simplified Arabic" w:hAnsi="Simplified Arabic"/>
          <w:rtl/>
        </w:rPr>
        <w:t>(د)</w:t>
      </w:r>
      <w:r w:rsidRPr="005A0BBE">
        <w:rPr>
          <w:rFonts w:ascii="Simplified Arabic" w:hAnsi="Simplified Arabic" w:hint="cs"/>
          <w:rtl/>
        </w:rPr>
        <w:tab/>
        <w:t>الإبلاغ</w:t>
      </w:r>
      <w:r w:rsidRPr="005A0BBE">
        <w:rPr>
          <w:rFonts w:ascii="Simplified Arabic" w:hAnsi="Simplified Arabic"/>
          <w:rtl/>
        </w:rPr>
        <w:t xml:space="preserve"> عن الخبرات المكتسبة </w:t>
      </w:r>
      <w:r w:rsidRPr="005A0BBE">
        <w:rPr>
          <w:rFonts w:ascii="Simplified Arabic" w:hAnsi="Simplified Arabic" w:hint="cs"/>
          <w:rtl/>
        </w:rPr>
        <w:t>في</w:t>
      </w:r>
      <w:r w:rsidRPr="005A0BBE">
        <w:rPr>
          <w:rFonts w:ascii="Simplified Arabic" w:hAnsi="Simplified Arabic"/>
          <w:rtl/>
        </w:rPr>
        <w:t xml:space="preserve"> استخدام المبادئ التوجيهية الطوعية</w:t>
      </w:r>
      <w:r w:rsidRPr="005A0BBE">
        <w:rPr>
          <w:rFonts w:hint="cs"/>
          <w:rtl/>
        </w:rPr>
        <w:t xml:space="preserve"> </w:t>
      </w:r>
      <w:r w:rsidRPr="005A0BBE">
        <w:rPr>
          <w:rFonts w:ascii="Simplified Arabic" w:hAnsi="Simplified Arabic" w:hint="cs"/>
          <w:rtl/>
        </w:rPr>
        <w:t>روتسوليهيرساجيك</w:t>
      </w:r>
      <w:r w:rsidRPr="005A0BBE">
        <w:rPr>
          <w:rFonts w:ascii="Simplified Arabic" w:hAnsi="Simplified Arabic"/>
          <w:rtl/>
        </w:rPr>
        <w:t xml:space="preserve">، </w:t>
      </w:r>
      <w:r w:rsidRPr="005A0BBE">
        <w:rPr>
          <w:rFonts w:ascii="Simplified Arabic" w:hAnsi="Simplified Arabic" w:hint="cs"/>
          <w:rtl/>
        </w:rPr>
        <w:t>وتبادل أفضل الممارسات المتعلقة بالتدابير ذات الصلة، أينما</w:t>
      </w:r>
      <w:r w:rsidRPr="005A0BBE">
        <w:rPr>
          <w:rFonts w:ascii="Simplified Arabic" w:hAnsi="Simplified Arabic"/>
          <w:rtl/>
        </w:rPr>
        <w:t xml:space="preserve"> وجدت</w:t>
      </w:r>
      <w:r w:rsidRPr="005A0BBE">
        <w:rPr>
          <w:rFonts w:ascii="Simplified Arabic" w:hAnsi="Simplified Arabic" w:hint="cs"/>
          <w:rtl/>
        </w:rPr>
        <w:t xml:space="preserve">، بهدف تعزيز </w:t>
      </w:r>
      <w:r w:rsidRPr="005A0BBE">
        <w:rPr>
          <w:rFonts w:ascii="Simplified Arabic" w:hAnsi="Simplified Arabic"/>
          <w:rtl/>
        </w:rPr>
        <w:t>التعاون الدولي والإقليمي وال</w:t>
      </w:r>
      <w:r w:rsidRPr="005A0BBE">
        <w:rPr>
          <w:rFonts w:ascii="Simplified Arabic" w:hAnsi="Simplified Arabic" w:hint="cs"/>
          <w:rtl/>
        </w:rPr>
        <w:t>ثنائي</w:t>
      </w:r>
      <w:r w:rsidRPr="005A0BBE">
        <w:rPr>
          <w:rFonts w:ascii="Simplified Arabic" w:hAnsi="Simplified Arabic"/>
          <w:rtl/>
        </w:rPr>
        <w:t xml:space="preserve">، </w:t>
      </w:r>
      <w:r w:rsidRPr="005A0BBE">
        <w:rPr>
          <w:rFonts w:ascii="Simplified Arabic" w:hAnsi="Simplified Arabic" w:hint="cs"/>
          <w:rtl/>
        </w:rPr>
        <w:t>فيما يتعلق</w:t>
      </w:r>
      <w:r w:rsidRPr="005A0BBE">
        <w:rPr>
          <w:rFonts w:ascii="Simplified Arabic" w:hAnsi="Simplified Arabic"/>
          <w:rtl/>
        </w:rPr>
        <w:t xml:space="preserve"> بإعادة توطين المعارف التقليدية</w:t>
      </w:r>
      <w:r w:rsidRPr="005A0BBE">
        <w:rPr>
          <w:rFonts w:ascii="Simplified Arabic" w:hAnsi="Simplified Arabic" w:hint="cs"/>
          <w:rtl/>
        </w:rPr>
        <w:t>، بما في ذلك إعادة توطين المعارف التقليدية</w:t>
      </w:r>
      <w:r w:rsidRPr="005A0BBE">
        <w:rPr>
          <w:rFonts w:ascii="Simplified Arabic" w:hAnsi="Simplified Arabic"/>
          <w:rtl/>
        </w:rPr>
        <w:t xml:space="preserve"> المشتركة عبر الحدود، من خلال التقارير الوطنية </w:t>
      </w:r>
      <w:r w:rsidRPr="005A0BBE">
        <w:rPr>
          <w:rFonts w:ascii="Simplified Arabic" w:hAnsi="Simplified Arabic" w:hint="cs"/>
          <w:rtl/>
        </w:rPr>
        <w:t xml:space="preserve">وآلية غرفة تبادل المعلومات </w:t>
      </w:r>
      <w:r w:rsidRPr="005A0BBE">
        <w:rPr>
          <w:rFonts w:ascii="Simplified Arabic" w:hAnsi="Simplified Arabic"/>
          <w:rtl/>
        </w:rPr>
        <w:t>وبوابة</w:t>
      </w:r>
      <w:r w:rsidRPr="005A0BBE">
        <w:rPr>
          <w:rFonts w:ascii="Simplified Arabic" w:hAnsi="Simplified Arabic" w:hint="cs"/>
          <w:rtl/>
        </w:rPr>
        <w:t xml:space="preserve"> معلومات</w:t>
      </w:r>
      <w:r w:rsidRPr="005A0BBE">
        <w:rPr>
          <w:rFonts w:ascii="Simplified Arabic" w:hAnsi="Simplified Arabic"/>
          <w:rtl/>
        </w:rPr>
        <w:t xml:space="preserve"> المعارف التقليدية</w:t>
      </w:r>
      <w:r w:rsidRPr="005A0BBE">
        <w:rPr>
          <w:vertAlign w:val="superscript"/>
          <w:rtl/>
        </w:rPr>
        <w:footnoteReference w:id="182"/>
      </w:r>
      <w:r w:rsidRPr="005A0BBE">
        <w:rPr>
          <w:rFonts w:ascii="Simplified Arabic" w:hAnsi="Simplified Arabic"/>
          <w:rtl/>
        </w:rPr>
        <w:t xml:space="preserve"> </w:t>
      </w:r>
      <w:r w:rsidRPr="005A0BBE">
        <w:rPr>
          <w:rFonts w:ascii="Simplified Arabic" w:hAnsi="Simplified Arabic" w:hint="cs"/>
          <w:rtl/>
        </w:rPr>
        <w:t>كمساهمة</w:t>
      </w:r>
      <w:r w:rsidRPr="005A0BBE">
        <w:rPr>
          <w:rFonts w:ascii="Simplified Arabic" w:hAnsi="Simplified Arabic"/>
          <w:rtl/>
        </w:rPr>
        <w:t xml:space="preserve"> في الإبلاغ عن التقدم المحرز في تنفيذ المادة 8(ي) والأحكام المتصلة بها إلى الهيئة </w:t>
      </w:r>
      <w:r w:rsidRPr="005A0BBE">
        <w:rPr>
          <w:rFonts w:ascii="Simplified Arabic" w:hAnsi="Simplified Arabic" w:hint="cs"/>
          <w:rtl/>
        </w:rPr>
        <w:t>الفرعية</w:t>
      </w:r>
      <w:r w:rsidRPr="005A0BBE">
        <w:rPr>
          <w:rFonts w:ascii="Simplified Arabic" w:hAnsi="Simplified Arabic"/>
          <w:rtl/>
        </w:rPr>
        <w:t xml:space="preserve"> </w:t>
      </w:r>
      <w:r>
        <w:rPr>
          <w:rFonts w:ascii="Simplified Arabic" w:hAnsi="Simplified Arabic" w:hint="cs"/>
          <w:rtl/>
        </w:rPr>
        <w:t>ل</w:t>
      </w:r>
      <w:r w:rsidRPr="005A0BBE">
        <w:rPr>
          <w:rFonts w:ascii="Simplified Arabic" w:hAnsi="Simplified Arabic"/>
          <w:rtl/>
        </w:rPr>
        <w:t>لتنفيذ و</w:t>
      </w:r>
      <w:r w:rsidRPr="005A0BBE">
        <w:rPr>
          <w:rFonts w:ascii="Simplified Arabic" w:hAnsi="Simplified Arabic" w:hint="cs"/>
          <w:rtl/>
        </w:rPr>
        <w:t>الفريق</w:t>
      </w:r>
      <w:r w:rsidRPr="005A0BBE">
        <w:rPr>
          <w:rFonts w:ascii="Simplified Arabic" w:hAnsi="Simplified Arabic"/>
          <w:rtl/>
        </w:rPr>
        <w:t xml:space="preserve"> المفتوح العضوية </w:t>
      </w:r>
      <w:r w:rsidRPr="005A0BBE">
        <w:rPr>
          <w:rFonts w:ascii="Simplified Arabic" w:hAnsi="Simplified Arabic" w:hint="cs"/>
          <w:rtl/>
        </w:rPr>
        <w:t xml:space="preserve">العامل </w:t>
      </w:r>
      <w:r w:rsidRPr="005A0BBE">
        <w:rPr>
          <w:rFonts w:ascii="Simplified Arabic" w:hAnsi="Simplified Arabic"/>
          <w:rtl/>
        </w:rPr>
        <w:t xml:space="preserve">بين الدورات المخصص </w:t>
      </w:r>
      <w:r w:rsidRPr="005A0BBE">
        <w:rPr>
          <w:rFonts w:ascii="Simplified Arabic" w:hAnsi="Simplified Arabic" w:hint="cs"/>
          <w:rtl/>
        </w:rPr>
        <w:t>ل</w:t>
      </w:r>
      <w:r w:rsidRPr="005A0BBE">
        <w:rPr>
          <w:rFonts w:ascii="Simplified Arabic" w:hAnsi="Simplified Arabic"/>
          <w:rtl/>
        </w:rPr>
        <w:t>لمادة 8(ي) والأحكام المتصلة بها في اجتماعاته</w:t>
      </w:r>
      <w:r w:rsidRPr="005A0BBE">
        <w:rPr>
          <w:rFonts w:ascii="Simplified Arabic" w:hAnsi="Simplified Arabic" w:hint="cs"/>
          <w:rtl/>
        </w:rPr>
        <w:t>م</w:t>
      </w:r>
      <w:r w:rsidRPr="005A0BBE">
        <w:rPr>
          <w:rFonts w:ascii="Simplified Arabic" w:hAnsi="Simplified Arabic"/>
          <w:rtl/>
        </w:rPr>
        <w:t>ا المقبلة</w:t>
      </w:r>
      <w:r>
        <w:rPr>
          <w:rFonts w:hint="cs"/>
          <w:rtl/>
        </w:rPr>
        <w:t>، و</w:t>
      </w:r>
      <w:r w:rsidRPr="007B465C">
        <w:rPr>
          <w:rFonts w:ascii="Simplified Arabic" w:hAnsi="Simplified Arabic"/>
          <w:rtl/>
        </w:rPr>
        <w:t>دعوة الأطراف والحكومات</w:t>
      </w:r>
      <w:r>
        <w:rPr>
          <w:rFonts w:ascii="Simplified Arabic" w:hAnsi="Simplified Arabic" w:hint="cs"/>
          <w:rtl/>
        </w:rPr>
        <w:t xml:space="preserve"> الأخرى</w:t>
      </w:r>
      <w:r w:rsidRPr="007B465C">
        <w:rPr>
          <w:rFonts w:ascii="Simplified Arabic" w:hAnsi="Simplified Arabic"/>
          <w:rtl/>
        </w:rPr>
        <w:t xml:space="preserve"> والمنظمات </w:t>
      </w:r>
      <w:r>
        <w:rPr>
          <w:rFonts w:ascii="Simplified Arabic" w:hAnsi="Simplified Arabic" w:hint="cs"/>
          <w:rtl/>
        </w:rPr>
        <w:t xml:space="preserve">إلى </w:t>
      </w:r>
      <w:r w:rsidRPr="007B465C">
        <w:rPr>
          <w:rFonts w:ascii="Simplified Arabic" w:hAnsi="Simplified Arabic"/>
          <w:rtl/>
        </w:rPr>
        <w:t>حشد الموارد</w:t>
      </w:r>
      <w:r>
        <w:rPr>
          <w:rFonts w:ascii="Simplified Arabic" w:hAnsi="Simplified Arabic" w:hint="cs"/>
          <w:rtl/>
        </w:rPr>
        <w:t xml:space="preserve"> اللازمة</w:t>
      </w:r>
      <w:r w:rsidRPr="007B465C">
        <w:rPr>
          <w:rFonts w:ascii="Simplified Arabic" w:hAnsi="Simplified Arabic"/>
          <w:rtl/>
        </w:rPr>
        <w:t xml:space="preserve"> لتمويل الأنشطة المذكورة أعلاه؛</w:t>
      </w:r>
      <w:bookmarkEnd w:id="126"/>
    </w:p>
    <w:p w:rsidR="00EE0FD7" w:rsidRPr="005A0BBE" w:rsidRDefault="00EE0FD7" w:rsidP="005C478D">
      <w:pPr>
        <w:ind w:firstLine="720"/>
        <w:rPr>
          <w:rFonts w:ascii="Simplified Arabic" w:hAnsi="Simplified Arabic"/>
          <w:rtl/>
        </w:rPr>
      </w:pPr>
      <w:bookmarkStart w:id="127" w:name="_Toc6071602"/>
      <w:r w:rsidRPr="005A0BBE">
        <w:rPr>
          <w:rFonts w:ascii="Simplified Arabic" w:hAnsi="Simplified Arabic" w:hint="cs"/>
          <w:rtl/>
        </w:rPr>
        <w:t>3-</w:t>
      </w:r>
      <w:r w:rsidRPr="005A0BBE">
        <w:rPr>
          <w:rFonts w:ascii="Simplified Arabic" w:hAnsi="Simplified Arabic" w:hint="cs"/>
          <w:rtl/>
        </w:rPr>
        <w:tab/>
      </w:r>
      <w:r w:rsidRPr="005A0BBE">
        <w:rPr>
          <w:rFonts w:ascii="Simplified Arabic" w:hAnsi="Simplified Arabic" w:hint="cs"/>
          <w:i/>
          <w:iCs/>
          <w:rtl/>
        </w:rPr>
        <w:t>يدعو</w:t>
      </w:r>
      <w:r w:rsidRPr="005A0BBE">
        <w:rPr>
          <w:rFonts w:ascii="Simplified Arabic" w:hAnsi="Simplified Arabic"/>
        </w:rPr>
        <w:t xml:space="preserve"> </w:t>
      </w:r>
      <w:r w:rsidRPr="005A0BBE">
        <w:rPr>
          <w:rFonts w:ascii="Simplified Arabic" w:hAnsi="Simplified Arabic"/>
          <w:rtl/>
        </w:rPr>
        <w:t>منظمة الأمم المتحدة للتربية والعلم والثقافة</w:t>
      </w:r>
      <w:r w:rsidRPr="005A0BBE">
        <w:rPr>
          <w:rFonts w:ascii="Simplified Arabic" w:hAnsi="Simplified Arabic"/>
        </w:rPr>
        <w:t xml:space="preserve"> </w:t>
      </w:r>
      <w:r w:rsidRPr="005A0BBE">
        <w:rPr>
          <w:rFonts w:ascii="Simplified Arabic" w:hAnsi="Simplified Arabic" w:hint="cs"/>
          <w:rtl/>
        </w:rPr>
        <w:t>إلى أن تأخذ المبادئ التوجيهية الطوعية روتسوليهيرساجيك في الاعتبار؛</w:t>
      </w:r>
      <w:bookmarkEnd w:id="127"/>
    </w:p>
    <w:p w:rsidR="00EE0FD7" w:rsidRPr="005A0BBE" w:rsidRDefault="00EE0FD7" w:rsidP="005C478D">
      <w:pPr>
        <w:ind w:firstLine="720"/>
        <w:rPr>
          <w:rFonts w:ascii="Simplified Arabic" w:hAnsi="Simplified Arabic"/>
          <w:rtl/>
        </w:rPr>
      </w:pPr>
      <w:bookmarkStart w:id="128" w:name="_Toc6071603"/>
      <w:r w:rsidRPr="005A0BBE">
        <w:rPr>
          <w:rFonts w:ascii="Simplified Arabic" w:hAnsi="Simplified Arabic" w:hint="cs"/>
          <w:rtl/>
        </w:rPr>
        <w:t>4-</w:t>
      </w:r>
      <w:r w:rsidRPr="005A0BBE">
        <w:rPr>
          <w:rFonts w:ascii="Simplified Arabic" w:hAnsi="Simplified Arabic" w:hint="cs"/>
          <w:rtl/>
        </w:rPr>
        <w:tab/>
      </w:r>
      <w:r w:rsidRPr="005A0BBE">
        <w:rPr>
          <w:rFonts w:ascii="Simplified Arabic" w:hAnsi="Simplified Arabic" w:hint="cs"/>
          <w:i/>
          <w:iCs/>
          <w:rtl/>
        </w:rPr>
        <w:t>يطلب</w:t>
      </w:r>
      <w:r w:rsidRPr="005A0BBE">
        <w:rPr>
          <w:rFonts w:ascii="Simplified Arabic" w:hAnsi="Simplified Arabic" w:hint="cs"/>
          <w:rtl/>
        </w:rPr>
        <w:t xml:space="preserve"> إلى الأمينة التنفيذية، بالتعاون مع المنظمات ذات الصلة، دعم وتيسير الجهود الرامية إلى استخدام المبادئ التوجيهية الطوعية</w:t>
      </w:r>
      <w:r w:rsidRPr="005A0BBE">
        <w:rPr>
          <w:rFonts w:hint="cs"/>
          <w:rtl/>
        </w:rPr>
        <w:t xml:space="preserve"> </w:t>
      </w:r>
      <w:r w:rsidRPr="005A0BBE">
        <w:rPr>
          <w:rFonts w:ascii="Simplified Arabic" w:hAnsi="Simplified Arabic" w:hint="cs"/>
          <w:rtl/>
        </w:rPr>
        <w:t>روتسوليهيرساجيك، حسب الاقتضاء.</w:t>
      </w:r>
      <w:bookmarkEnd w:id="128"/>
    </w:p>
    <w:p w:rsidR="00EE0FD7" w:rsidRPr="007B465C" w:rsidRDefault="00EE0FD7" w:rsidP="00D91228">
      <w:pPr>
        <w:jc w:val="center"/>
        <w:rPr>
          <w:i/>
          <w:iCs/>
          <w:rtl/>
        </w:rPr>
      </w:pPr>
      <w:r w:rsidRPr="005A0BBE">
        <w:rPr>
          <w:i/>
          <w:iCs/>
          <w:rtl/>
        </w:rPr>
        <w:t>المرفق</w:t>
      </w:r>
    </w:p>
    <w:p w:rsidR="00EE0FD7" w:rsidRPr="005A0BBE" w:rsidRDefault="00EE0FD7" w:rsidP="00D91228">
      <w:pPr>
        <w:jc w:val="center"/>
        <w:rPr>
          <w:b/>
          <w:bCs/>
          <w:rtl/>
        </w:rPr>
      </w:pPr>
      <w:r w:rsidRPr="005A0BBE">
        <w:rPr>
          <w:b/>
          <w:bCs/>
          <w:rtl/>
        </w:rPr>
        <w:t xml:space="preserve">مقدمة </w:t>
      </w:r>
      <w:r w:rsidRPr="005A0BBE">
        <w:rPr>
          <w:rFonts w:hint="cs"/>
          <w:b/>
          <w:bCs/>
          <w:rtl/>
        </w:rPr>
        <w:t>ل</w:t>
      </w:r>
      <w:r w:rsidRPr="005A0BBE">
        <w:rPr>
          <w:b/>
          <w:bCs/>
          <w:rtl/>
        </w:rPr>
        <w:t xml:space="preserve">لمبادئ التوجيهية الطوعية </w:t>
      </w:r>
      <w:r w:rsidRPr="005A0BBE">
        <w:rPr>
          <w:rFonts w:hint="cs"/>
          <w:b/>
          <w:bCs/>
          <w:rtl/>
        </w:rPr>
        <w:t>روتسوليهيرساجيك</w:t>
      </w:r>
      <w:r w:rsidRPr="005A0BBE">
        <w:rPr>
          <w:b/>
          <w:bCs/>
          <w:rtl/>
        </w:rPr>
        <w:t xml:space="preserve"> لإعادة توطين المعارف التقليدية للشعوب الأصلية والمجتمعات المحلية ذات الصلة بحفظ التنوع البيولوجي و</w:t>
      </w:r>
      <w:r w:rsidRPr="005A0BBE">
        <w:rPr>
          <w:rFonts w:hint="cs"/>
          <w:b/>
          <w:bCs/>
          <w:rtl/>
        </w:rPr>
        <w:t>استخدامه</w:t>
      </w:r>
      <w:r w:rsidRPr="005A0BBE">
        <w:rPr>
          <w:b/>
          <w:bCs/>
          <w:rtl/>
        </w:rPr>
        <w:t xml:space="preserve"> المستدام</w:t>
      </w:r>
    </w:p>
    <w:p w:rsidR="00EE0FD7" w:rsidRPr="005A0BBE" w:rsidRDefault="00EE0FD7" w:rsidP="00CD26C5">
      <w:pPr>
        <w:numPr>
          <w:ilvl w:val="0"/>
          <w:numId w:val="58"/>
        </w:numPr>
        <w:ind w:left="0" w:firstLine="0"/>
        <w:rPr>
          <w:rtl/>
        </w:rPr>
      </w:pPr>
      <w:r w:rsidRPr="005A0BBE">
        <w:rPr>
          <w:rFonts w:hint="cs"/>
          <w:rtl/>
        </w:rPr>
        <w:t>أقر</w:t>
      </w:r>
      <w:r w:rsidRPr="005A0BBE">
        <w:rPr>
          <w:rtl/>
        </w:rPr>
        <w:t xml:space="preserve"> المجتمع الدولي بالاعتماد الوثيق والتقليدي لكثير من الشعوب الأصلية والمجتمعات المحلية على الموارد البيولوجية، ولا سيما في ديباجة اتفاقية التنوع البيولوجي. وهناك أيضا اعتراف واسع بالمساهمة التي يمكن أن تقدمها المعارف التقليدية </w:t>
      </w:r>
      <w:r w:rsidRPr="005A0BBE">
        <w:rPr>
          <w:rFonts w:hint="cs"/>
          <w:rtl/>
        </w:rPr>
        <w:t xml:space="preserve">لكل من </w:t>
      </w:r>
      <w:r w:rsidRPr="005A0BBE">
        <w:rPr>
          <w:rtl/>
        </w:rPr>
        <w:t xml:space="preserve">حفظ التنوع البيولوجي واستخدامه </w:t>
      </w:r>
      <w:r w:rsidRPr="005A0BBE">
        <w:rPr>
          <w:rFonts w:hint="cs"/>
          <w:rtl/>
        </w:rPr>
        <w:t>ال</w:t>
      </w:r>
      <w:r w:rsidRPr="005A0BBE">
        <w:rPr>
          <w:rtl/>
        </w:rPr>
        <w:t>مستدام –</w:t>
      </w:r>
      <w:r w:rsidRPr="005A0BBE">
        <w:rPr>
          <w:rFonts w:hint="cs"/>
          <w:rtl/>
        </w:rPr>
        <w:t xml:space="preserve"> </w:t>
      </w:r>
      <w:r w:rsidRPr="005A0BBE">
        <w:rPr>
          <w:rtl/>
        </w:rPr>
        <w:t>وهما هدفان أساسيان للاتفاقية –</w:t>
      </w:r>
      <w:r w:rsidRPr="005A0BBE">
        <w:rPr>
          <w:rFonts w:hint="cs"/>
          <w:rtl/>
        </w:rPr>
        <w:t xml:space="preserve"> </w:t>
      </w:r>
      <w:r w:rsidRPr="005A0BBE">
        <w:rPr>
          <w:rtl/>
        </w:rPr>
        <w:t>والحاجة إلى ضمان التقاسم المنصف</w:t>
      </w:r>
      <w:r w:rsidRPr="005A0BBE">
        <w:rPr>
          <w:rFonts w:hint="cs"/>
          <w:rtl/>
        </w:rPr>
        <w:t xml:space="preserve"> والعادل</w:t>
      </w:r>
      <w:r w:rsidRPr="005A0BBE">
        <w:rPr>
          <w:rtl/>
        </w:rPr>
        <w:t xml:space="preserve"> للمنافع الناشئة عن استخدام </w:t>
      </w:r>
      <w:r w:rsidRPr="005A0BBE">
        <w:rPr>
          <w:rFonts w:hint="cs"/>
          <w:rtl/>
        </w:rPr>
        <w:t>المعارف التقليدية</w:t>
      </w:r>
      <w:r w:rsidRPr="005A0BBE">
        <w:rPr>
          <w:rtl/>
        </w:rPr>
        <w:t xml:space="preserve">. ولهذا السبب، </w:t>
      </w:r>
      <w:r w:rsidRPr="005A0BBE">
        <w:rPr>
          <w:rFonts w:hint="cs"/>
          <w:rtl/>
        </w:rPr>
        <w:t>تعهدت</w:t>
      </w:r>
      <w:r w:rsidRPr="005A0BBE">
        <w:rPr>
          <w:rtl/>
        </w:rPr>
        <w:t xml:space="preserve"> الأطراف في الاتفاقية في المادة</w:t>
      </w:r>
      <w:r w:rsidRPr="005A0BBE">
        <w:rPr>
          <w:rFonts w:hint="cs"/>
          <w:rtl/>
        </w:rPr>
        <w:t> </w:t>
      </w:r>
      <w:r w:rsidRPr="005A0BBE">
        <w:rPr>
          <w:rtl/>
        </w:rPr>
        <w:t xml:space="preserve">8(ي)، رهنا بتشريعاتها الوطنية، باحترام وحفظ </w:t>
      </w:r>
      <w:r w:rsidRPr="005A0BBE">
        <w:rPr>
          <w:rFonts w:hint="cs"/>
          <w:rtl/>
        </w:rPr>
        <w:t>وصون</w:t>
      </w:r>
      <w:r w:rsidRPr="005A0BBE">
        <w:rPr>
          <w:rtl/>
        </w:rPr>
        <w:t xml:space="preserve"> معارف وابتكارات وممارسات المجتمعات الأصلية والمحلية التي تجسد أساليب الحياة التقليدية ذات الصلة بحفظ التنوع البيولوجي واستخدام</w:t>
      </w:r>
      <w:r w:rsidRPr="005A0BBE">
        <w:rPr>
          <w:rFonts w:hint="cs"/>
          <w:rtl/>
        </w:rPr>
        <w:t>ه</w:t>
      </w:r>
      <w:r w:rsidRPr="005A0BBE">
        <w:rPr>
          <w:rtl/>
        </w:rPr>
        <w:t xml:space="preserve"> المستدام، وتشجيع تطبيقها على نطاق أوسع بموافقة و</w:t>
      </w:r>
      <w:r w:rsidRPr="005A0BBE">
        <w:rPr>
          <w:rFonts w:hint="cs"/>
          <w:rtl/>
        </w:rPr>
        <w:t>مشاركة حائزي</w:t>
      </w:r>
      <w:r w:rsidRPr="005A0BBE">
        <w:rPr>
          <w:rtl/>
        </w:rPr>
        <w:t xml:space="preserve"> هذه المعارف والابتكارات والممارسات، وتشجيع التقاسم المنصف للمنافع الناشئة عن استخدام هذه المعارف والابتكارات والممارسات.</w:t>
      </w:r>
    </w:p>
    <w:p w:rsidR="00EE0FD7" w:rsidRPr="005A0BBE" w:rsidRDefault="00EE0FD7" w:rsidP="00CD26C5">
      <w:pPr>
        <w:numPr>
          <w:ilvl w:val="0"/>
          <w:numId w:val="58"/>
        </w:numPr>
        <w:ind w:left="0" w:firstLine="0"/>
        <w:rPr>
          <w:rtl/>
        </w:rPr>
      </w:pPr>
      <w:r w:rsidRPr="005A0BBE">
        <w:rPr>
          <w:rtl/>
        </w:rPr>
        <w:t xml:space="preserve">ولتنفيذ </w:t>
      </w:r>
      <w:r w:rsidRPr="005A0BBE">
        <w:rPr>
          <w:rFonts w:hint="cs"/>
          <w:rtl/>
        </w:rPr>
        <w:t>ا</w:t>
      </w:r>
      <w:r w:rsidRPr="005A0BBE">
        <w:rPr>
          <w:rtl/>
        </w:rPr>
        <w:t>لمادة 8(ي) والأحكام المتصلة بها</w:t>
      </w:r>
      <w:r w:rsidRPr="005A0BBE">
        <w:rPr>
          <w:rFonts w:hint="cs"/>
          <w:rtl/>
        </w:rPr>
        <w:t xml:space="preserve"> على نحو فعال</w:t>
      </w:r>
      <w:r w:rsidRPr="005A0BBE">
        <w:rPr>
          <w:rtl/>
        </w:rPr>
        <w:t xml:space="preserve">، اعتمد مؤتمر الأطراف في اتفاقية التنوع البيولوجي، في المقرر 5/16، برنامج العمل </w:t>
      </w:r>
      <w:r w:rsidRPr="005A0BBE">
        <w:rPr>
          <w:rFonts w:hint="cs"/>
          <w:rtl/>
        </w:rPr>
        <w:t>المتعلق ب</w:t>
      </w:r>
      <w:r w:rsidRPr="005A0BBE">
        <w:rPr>
          <w:rtl/>
        </w:rPr>
        <w:t xml:space="preserve">المادة 8(ي) والأحكام المتصلة بها، </w:t>
      </w:r>
      <w:r w:rsidRPr="005A0BBE">
        <w:rPr>
          <w:rFonts w:hint="cs"/>
          <w:rtl/>
        </w:rPr>
        <w:t>بما في ذلك المهمة 15، التي</w:t>
      </w:r>
      <w:r w:rsidRPr="005A0BBE">
        <w:rPr>
          <w:rtl/>
        </w:rPr>
        <w:t xml:space="preserve"> طلب فيه</w:t>
      </w:r>
      <w:r w:rsidRPr="005A0BBE">
        <w:rPr>
          <w:rFonts w:hint="cs"/>
          <w:rtl/>
        </w:rPr>
        <w:t>ا</w:t>
      </w:r>
      <w:r w:rsidRPr="005A0BBE">
        <w:rPr>
          <w:rtl/>
        </w:rPr>
        <w:t xml:space="preserve"> إلى الفريق </w:t>
      </w:r>
      <w:r w:rsidRPr="005A0BBE">
        <w:rPr>
          <w:rtl/>
        </w:rPr>
        <w:lastRenderedPageBreak/>
        <w:t xml:space="preserve">العامل المفتوح العضوية المخصص </w:t>
      </w:r>
      <w:r w:rsidRPr="005A0BBE">
        <w:rPr>
          <w:rFonts w:hint="cs"/>
          <w:rtl/>
        </w:rPr>
        <w:t>ل</w:t>
      </w:r>
      <w:r w:rsidRPr="005A0BBE">
        <w:rPr>
          <w:rtl/>
        </w:rPr>
        <w:t xml:space="preserve">لمادة 8(ي) </w:t>
      </w:r>
      <w:r w:rsidRPr="005A0BBE">
        <w:rPr>
          <w:rFonts w:hint="cs"/>
          <w:rtl/>
        </w:rPr>
        <w:t>والأحكام المتصلة بها</w:t>
      </w:r>
      <w:r w:rsidRPr="005A0BBE">
        <w:rPr>
          <w:rtl/>
        </w:rPr>
        <w:t xml:space="preserve"> </w:t>
      </w:r>
      <w:r w:rsidRPr="005A0BBE">
        <w:rPr>
          <w:rFonts w:hint="cs"/>
          <w:rtl/>
        </w:rPr>
        <w:t>إعداد</w:t>
      </w:r>
      <w:r w:rsidRPr="005A0BBE">
        <w:rPr>
          <w:rtl/>
        </w:rPr>
        <w:t xml:space="preserve"> مبادئ توجيهية من شأنها أن تيسر إعادة توطين المعلومات، بما في ذلك الممتلكات الثقافية، وفقا للفقرة 2 من المادة 17 من اتفاقية التنوع البيولوجي من أجل تيسير استعادة المعارف التقليدية </w:t>
      </w:r>
      <w:r w:rsidRPr="005A0BBE">
        <w:rPr>
          <w:rFonts w:hint="cs"/>
          <w:rtl/>
        </w:rPr>
        <w:t>ذات الصلة با</w:t>
      </w:r>
      <w:r w:rsidRPr="005A0BBE">
        <w:rPr>
          <w:rtl/>
        </w:rPr>
        <w:t>لتنوع البيولوجي.</w:t>
      </w:r>
    </w:p>
    <w:p w:rsidR="00EE0FD7" w:rsidRPr="005A0BBE" w:rsidRDefault="00EE0FD7" w:rsidP="00CD26C5">
      <w:pPr>
        <w:numPr>
          <w:ilvl w:val="0"/>
          <w:numId w:val="58"/>
        </w:numPr>
        <w:ind w:left="0" w:firstLine="0"/>
      </w:pPr>
      <w:r w:rsidRPr="005A0BBE">
        <w:rPr>
          <w:rtl/>
        </w:rPr>
        <w:t xml:space="preserve">ونظر مؤتمر الأطراف كذلك في </w:t>
      </w:r>
      <w:r w:rsidRPr="005A0BBE">
        <w:rPr>
          <w:rFonts w:hint="cs"/>
          <w:rtl/>
        </w:rPr>
        <w:t xml:space="preserve">تلك </w:t>
      </w:r>
      <w:r w:rsidRPr="005A0BBE">
        <w:rPr>
          <w:rtl/>
        </w:rPr>
        <w:t>المهمة في الفقرة 6</w:t>
      </w:r>
      <w:r w:rsidRPr="005A0BBE">
        <w:rPr>
          <w:rFonts w:hint="cs"/>
          <w:rtl/>
        </w:rPr>
        <w:t xml:space="preserve"> من </w:t>
      </w:r>
      <w:r w:rsidRPr="005A0BBE">
        <w:rPr>
          <w:rtl/>
        </w:rPr>
        <w:t>مقرره 10/43،</w:t>
      </w:r>
      <w:r w:rsidRPr="005A0BBE">
        <w:rPr>
          <w:vertAlign w:val="superscript"/>
          <w:rtl/>
        </w:rPr>
        <w:footnoteReference w:id="183"/>
      </w:r>
      <w:r w:rsidRPr="005A0BBE">
        <w:rPr>
          <w:rtl/>
        </w:rPr>
        <w:t xml:space="preserve"> واعتمد </w:t>
      </w:r>
      <w:r w:rsidRPr="005A0BBE">
        <w:rPr>
          <w:rFonts w:hint="cs"/>
          <w:rtl/>
        </w:rPr>
        <w:t xml:space="preserve">اختصاصات </w:t>
      </w:r>
      <w:r w:rsidRPr="005A0BBE">
        <w:rPr>
          <w:rtl/>
        </w:rPr>
        <w:t xml:space="preserve">في </w:t>
      </w:r>
      <w:r w:rsidRPr="005A0BBE">
        <w:rPr>
          <w:rFonts w:hint="cs"/>
          <w:rtl/>
        </w:rPr>
        <w:t>المرفق ب</w:t>
      </w:r>
      <w:r w:rsidRPr="005A0BBE">
        <w:rPr>
          <w:rtl/>
        </w:rPr>
        <w:t>مقرره 11/14</w:t>
      </w:r>
      <w:r w:rsidRPr="005A0BBE">
        <w:rPr>
          <w:rFonts w:hint="cs"/>
          <w:rtl/>
        </w:rPr>
        <w:t xml:space="preserve"> دال </w:t>
      </w:r>
      <w:r w:rsidRPr="005A0BBE">
        <w:rPr>
          <w:rtl/>
        </w:rPr>
        <w:t xml:space="preserve">للمضي قدما في المهمة </w:t>
      </w:r>
      <w:r w:rsidRPr="005A0BBE">
        <w:rPr>
          <w:rFonts w:hint="cs"/>
          <w:rtl/>
        </w:rPr>
        <w:t>موضحا</w:t>
      </w:r>
      <w:r w:rsidRPr="005A0BBE">
        <w:rPr>
          <w:rtl/>
        </w:rPr>
        <w:t xml:space="preserve"> أن الغرض من المهمة 15 </w:t>
      </w:r>
      <w:r w:rsidRPr="005A0BBE">
        <w:rPr>
          <w:rFonts w:hint="cs"/>
          <w:rtl/>
        </w:rPr>
        <w:t xml:space="preserve">هو </w:t>
      </w:r>
      <w:r w:rsidRPr="005A0BBE">
        <w:rPr>
          <w:rtl/>
        </w:rPr>
        <w:t xml:space="preserve">وضع </w:t>
      </w:r>
      <w:r w:rsidRPr="005A0BBE">
        <w:rPr>
          <w:rFonts w:hint="cs"/>
          <w:rtl/>
        </w:rPr>
        <w:t>مبادئ توجيهية لأفضل الممارسات "لإعادة توطين المعارف الأصلية والتقليدية ذات الصلة بحفظ التنوع البيولوجي واستخدامه المستدام، بما في ذلك المعارف الأصلية والتقليدية المرتبطة بالممتلكات الثقافية، وفقا للمادة 8(ي) والفقرة 2 من المادة 17 من الاتفاقية، من أجل تيسير استعادة المعارف التقليدية ذات الصلة بالتنوع البيولوجي</w:t>
      </w:r>
      <w:r>
        <w:rPr>
          <w:rFonts w:hint="cs"/>
          <w:rtl/>
        </w:rPr>
        <w:t>.</w:t>
      </w:r>
      <w:r w:rsidRPr="005A0BBE">
        <w:rPr>
          <w:rtl/>
        </w:rPr>
        <w:t>"</w:t>
      </w:r>
    </w:p>
    <w:p w:rsidR="00EE0FD7" w:rsidRPr="005A0BBE" w:rsidRDefault="00EE0FD7" w:rsidP="00CD26C5">
      <w:pPr>
        <w:numPr>
          <w:ilvl w:val="0"/>
          <w:numId w:val="58"/>
        </w:numPr>
        <w:ind w:left="0" w:firstLine="0"/>
        <w:rPr>
          <w:rtl/>
        </w:rPr>
      </w:pPr>
      <w:r w:rsidRPr="005A0BBE">
        <w:rPr>
          <w:rFonts w:hint="cs"/>
          <w:rtl/>
        </w:rPr>
        <w:t>و</w:t>
      </w:r>
      <w:r w:rsidRPr="005A0BBE">
        <w:rPr>
          <w:rtl/>
        </w:rPr>
        <w:t xml:space="preserve">جميع الأدوات والمبادئ التوجيهية التي وضعت في إطار الفريق العامل المعني بالمادة 8(ي) والأحكام المتصلة بها مترابطة </w:t>
      </w:r>
      <w:r w:rsidRPr="005A0BBE">
        <w:rPr>
          <w:rFonts w:hint="cs"/>
          <w:rtl/>
        </w:rPr>
        <w:t>وتدعم بعضها البعض</w:t>
      </w:r>
      <w:r w:rsidRPr="005A0BBE">
        <w:rPr>
          <w:rtl/>
        </w:rPr>
        <w:t>، ولا سيما المبادئ التوجيهية الطوعية موتز كوستال للمعارف التقليدية.</w:t>
      </w:r>
      <w:r w:rsidRPr="005A0BBE">
        <w:rPr>
          <w:vertAlign w:val="superscript"/>
          <w:rtl/>
        </w:rPr>
        <w:footnoteReference w:id="184"/>
      </w:r>
      <w:r w:rsidRPr="005A0BBE">
        <w:rPr>
          <w:rtl/>
        </w:rPr>
        <w:t xml:space="preserve"> وتستند المبادئ التوجيهية لإعادة توطين المعارف التقليدية إلى </w:t>
      </w:r>
      <w:r w:rsidRPr="005A0BBE">
        <w:rPr>
          <w:rFonts w:hint="cs"/>
          <w:rtl/>
        </w:rPr>
        <w:t>المقررات</w:t>
      </w:r>
      <w:r w:rsidRPr="005A0BBE">
        <w:rPr>
          <w:rtl/>
        </w:rPr>
        <w:t xml:space="preserve"> ذات الصلة الصادرة عن مؤتمر الأطراف، بما في ذلك الفقرة 23 من مدونة السلوك الأخلاقي </w:t>
      </w:r>
      <w:r w:rsidRPr="005A0BBE">
        <w:rPr>
          <w:rFonts w:hint="cs"/>
          <w:i/>
          <w:rtl/>
        </w:rPr>
        <w:t>تغاريوايي:ري</w:t>
      </w:r>
      <w:r w:rsidRPr="005A0BBE">
        <w:rPr>
          <w:rtl/>
        </w:rPr>
        <w:t xml:space="preserve"> لضمان احترام التراث الثقافي والفكري للمجتمعات الأصلية والمحلية ذات الصلة بحفظ </w:t>
      </w:r>
      <w:r w:rsidRPr="005A0BBE">
        <w:rPr>
          <w:rFonts w:hint="cs"/>
          <w:rtl/>
        </w:rPr>
        <w:t>ا</w:t>
      </w:r>
      <w:r w:rsidRPr="005A0BBE">
        <w:rPr>
          <w:rtl/>
        </w:rPr>
        <w:t>لتنوع البيولوجي واستخدام</w:t>
      </w:r>
      <w:r w:rsidRPr="005A0BBE">
        <w:rPr>
          <w:rFonts w:hint="cs"/>
          <w:rtl/>
        </w:rPr>
        <w:t>ه</w:t>
      </w:r>
      <w:r w:rsidRPr="005A0BBE">
        <w:rPr>
          <w:rtl/>
        </w:rPr>
        <w:t xml:space="preserve"> المستدام،</w:t>
      </w:r>
      <w:r w:rsidRPr="005A0BBE">
        <w:rPr>
          <w:vertAlign w:val="superscript"/>
          <w:rtl/>
        </w:rPr>
        <w:footnoteReference w:id="185"/>
      </w:r>
      <w:r w:rsidRPr="005A0BBE">
        <w:rPr>
          <w:rtl/>
        </w:rPr>
        <w:t xml:space="preserve"> فضلا عن المقرر 7/16 فيما يتعلق بالسجلات وقواعد البيانات، وه</w:t>
      </w:r>
      <w:r w:rsidRPr="005A0BBE">
        <w:rPr>
          <w:rFonts w:hint="cs"/>
          <w:rtl/>
        </w:rPr>
        <w:t>ي</w:t>
      </w:r>
      <w:r w:rsidRPr="005A0BBE">
        <w:rPr>
          <w:rtl/>
        </w:rPr>
        <w:t xml:space="preserve"> </w:t>
      </w:r>
      <w:r w:rsidRPr="005A0BBE">
        <w:rPr>
          <w:rFonts w:hint="cs"/>
          <w:rtl/>
        </w:rPr>
        <w:t>تكميلية</w:t>
      </w:r>
      <w:r w:rsidRPr="005A0BBE">
        <w:rPr>
          <w:rtl/>
        </w:rPr>
        <w:t xml:space="preserve"> للأدوات الأخرى التي </w:t>
      </w:r>
      <w:r w:rsidRPr="005A0BBE">
        <w:rPr>
          <w:rFonts w:hint="cs"/>
          <w:rtl/>
        </w:rPr>
        <w:t>أعدها</w:t>
      </w:r>
      <w:r w:rsidRPr="005A0BBE">
        <w:rPr>
          <w:rtl/>
        </w:rPr>
        <w:t xml:space="preserve"> الفريق العامل المعني بالمادة 8(ي) والأحكام المتصلة بها، </w:t>
      </w:r>
      <w:r w:rsidRPr="005A0BBE">
        <w:rPr>
          <w:rFonts w:hint="cs"/>
          <w:rtl/>
        </w:rPr>
        <w:t>و</w:t>
      </w:r>
      <w:r w:rsidRPr="005A0BBE">
        <w:rPr>
          <w:rtl/>
        </w:rPr>
        <w:t>اعتمدها مؤتمر الأطراف في اتفاقية التنوع البيولوجي.</w:t>
      </w:r>
    </w:p>
    <w:p w:rsidR="00EE0FD7" w:rsidRPr="005A0BBE" w:rsidRDefault="00EE0FD7" w:rsidP="00CD26C5">
      <w:pPr>
        <w:numPr>
          <w:ilvl w:val="0"/>
          <w:numId w:val="58"/>
        </w:numPr>
        <w:ind w:left="0" w:firstLine="0"/>
        <w:rPr>
          <w:rtl/>
        </w:rPr>
      </w:pPr>
      <w:r w:rsidRPr="005A0BBE">
        <w:rPr>
          <w:rFonts w:hint="cs"/>
          <w:rtl/>
        </w:rPr>
        <w:t>و</w:t>
      </w:r>
      <w:r w:rsidRPr="005A0BBE">
        <w:rPr>
          <w:rtl/>
        </w:rPr>
        <w:t xml:space="preserve">تأخذ المبادئ التوجيهية الطوعية </w:t>
      </w:r>
      <w:r w:rsidRPr="005A0BBE">
        <w:rPr>
          <w:rFonts w:hint="cs"/>
          <w:rtl/>
        </w:rPr>
        <w:t>روتسوليهيرساجيك</w:t>
      </w:r>
      <w:r w:rsidRPr="005A0BBE">
        <w:rPr>
          <w:rtl/>
        </w:rPr>
        <w:t xml:space="preserve"> في الاعتبار مختلف الهيئات والصكوك والبرامج والاستراتيجيات والمعايير</w:t>
      </w:r>
      <w:r w:rsidRPr="005A0BBE">
        <w:rPr>
          <w:rFonts w:hint="cs"/>
          <w:rtl/>
        </w:rPr>
        <w:t xml:space="preserve"> والمبادئ</w:t>
      </w:r>
      <w:r w:rsidRPr="005A0BBE">
        <w:rPr>
          <w:rtl/>
        </w:rPr>
        <w:t xml:space="preserve"> التوجيهية والتقارير والعمليات </w:t>
      </w:r>
      <w:r w:rsidRPr="005A0BBE">
        <w:rPr>
          <w:rFonts w:hint="cs"/>
          <w:rtl/>
        </w:rPr>
        <w:t xml:space="preserve">الدولية </w:t>
      </w:r>
      <w:r w:rsidRPr="005A0BBE">
        <w:rPr>
          <w:rtl/>
        </w:rPr>
        <w:t>ذات الصلة وأهمية مواءمتها وتكاملها وتنفيذ</w:t>
      </w:r>
      <w:r w:rsidRPr="005A0BBE">
        <w:rPr>
          <w:rFonts w:hint="cs"/>
          <w:rtl/>
        </w:rPr>
        <w:t>ها على نحو</w:t>
      </w:r>
      <w:r w:rsidRPr="005A0BBE">
        <w:rPr>
          <w:rtl/>
        </w:rPr>
        <w:t xml:space="preserve"> فعال، بما في ذلك إعلان الأمم المتحدة بشأن حقوق الشعوب الأصلية،</w:t>
      </w:r>
      <w:r w:rsidRPr="005A0BBE">
        <w:rPr>
          <w:vertAlign w:val="superscript"/>
          <w:rtl/>
        </w:rPr>
        <w:footnoteReference w:id="186"/>
      </w:r>
      <w:r w:rsidRPr="005A0BBE">
        <w:rPr>
          <w:rtl/>
        </w:rPr>
        <w:t xml:space="preserve"> حسب الاقتضاء، ولا سيما ولاية منظمة الأمم المتحدة للتربية والعلم والثقافة المتعلقة بالملكية الثقافية، فضلا </w:t>
      </w:r>
      <w:r w:rsidRPr="008F1A01">
        <w:rPr>
          <w:spacing w:val="-8"/>
          <w:rtl/>
        </w:rPr>
        <w:t>عن المنظمة العالمية للملكية الفكرية التي</w:t>
      </w:r>
      <w:r w:rsidRPr="005A0BBE">
        <w:rPr>
          <w:rtl/>
        </w:rPr>
        <w:t xml:space="preserve"> </w:t>
      </w:r>
      <w:r w:rsidRPr="008F1A01">
        <w:rPr>
          <w:rFonts w:hint="cs"/>
          <w:spacing w:val="-8"/>
          <w:rtl/>
        </w:rPr>
        <w:t>تتمثل ولايتها في تناول</w:t>
      </w:r>
      <w:r w:rsidRPr="008F1A01">
        <w:rPr>
          <w:spacing w:val="-8"/>
          <w:rtl/>
        </w:rPr>
        <w:t xml:space="preserve"> </w:t>
      </w:r>
      <w:r w:rsidRPr="008F1A01">
        <w:rPr>
          <w:rFonts w:hint="cs"/>
          <w:spacing w:val="-8"/>
          <w:rtl/>
        </w:rPr>
        <w:t>مسائل</w:t>
      </w:r>
      <w:r w:rsidRPr="008F1A01">
        <w:rPr>
          <w:spacing w:val="-8"/>
          <w:rtl/>
        </w:rPr>
        <w:t xml:space="preserve"> الملكية الفكرية.</w:t>
      </w:r>
    </w:p>
    <w:p w:rsidR="00EE0FD7" w:rsidRPr="005A0BBE" w:rsidRDefault="00EE0FD7" w:rsidP="00CD26C5">
      <w:pPr>
        <w:numPr>
          <w:ilvl w:val="0"/>
          <w:numId w:val="58"/>
        </w:numPr>
        <w:ind w:left="0" w:firstLine="0"/>
        <w:rPr>
          <w:rtl/>
        </w:rPr>
      </w:pPr>
      <w:r w:rsidRPr="005A0BBE">
        <w:rPr>
          <w:rtl/>
        </w:rPr>
        <w:t xml:space="preserve">وعلى هذا النحو، فإنها تسلط الضوء على أهمية التعاون الدولي </w:t>
      </w:r>
      <w:r w:rsidRPr="005A0BBE">
        <w:rPr>
          <w:rFonts w:hint="cs"/>
          <w:rtl/>
        </w:rPr>
        <w:t>ل</w:t>
      </w:r>
      <w:r w:rsidRPr="005A0BBE">
        <w:rPr>
          <w:rtl/>
        </w:rPr>
        <w:t xml:space="preserve">إعادة توطين المعارف التقليدية، بما في ذلك </w:t>
      </w:r>
      <w:r w:rsidRPr="005A0BBE">
        <w:rPr>
          <w:rFonts w:hint="cs"/>
          <w:rtl/>
        </w:rPr>
        <w:t>عن طريق</w:t>
      </w:r>
      <w:r w:rsidRPr="005A0BBE">
        <w:rPr>
          <w:rtl/>
        </w:rPr>
        <w:t xml:space="preserve"> إتاحة الوصول إلى المعارف التقليدية والمعلومات ذات الصلة أو التكميلية للشعوب الأصلية والمجتمعات المحلية، من أجل تيسير إعادة توطين المعارف التقليدية ذات الصلة </w:t>
      </w:r>
      <w:r w:rsidRPr="005A0BBE">
        <w:rPr>
          <w:rFonts w:hint="cs"/>
          <w:rtl/>
        </w:rPr>
        <w:t>بحفظ التنوع البيولوجي واستخدامه المستدام</w:t>
      </w:r>
      <w:r w:rsidRPr="005A0BBE">
        <w:rPr>
          <w:rtl/>
        </w:rPr>
        <w:t xml:space="preserve">، لمساعدة هذه المجتمعات في استعادة </w:t>
      </w:r>
      <w:r w:rsidRPr="005A0BBE">
        <w:rPr>
          <w:rFonts w:hint="cs"/>
          <w:rtl/>
        </w:rPr>
        <w:t xml:space="preserve">معارفها وتراثها </w:t>
      </w:r>
      <w:r w:rsidRPr="005A0BBE">
        <w:rPr>
          <w:rtl/>
        </w:rPr>
        <w:t>الثقافي.</w:t>
      </w:r>
    </w:p>
    <w:p w:rsidR="00EE0FD7" w:rsidRPr="005A0BBE" w:rsidRDefault="00EE0FD7" w:rsidP="00EE0FD7">
      <w:pPr>
        <w:ind w:left="720" w:right="1170"/>
        <w:jc w:val="center"/>
        <w:rPr>
          <w:b/>
          <w:bCs/>
          <w:rtl/>
        </w:rPr>
      </w:pPr>
      <w:r w:rsidRPr="005A0BBE">
        <w:rPr>
          <w:b/>
          <w:bCs/>
          <w:rtl/>
        </w:rPr>
        <w:t xml:space="preserve">المبادئ التوجيهية الطوعية </w:t>
      </w:r>
      <w:r w:rsidRPr="005A0BBE">
        <w:rPr>
          <w:rFonts w:hint="cs"/>
          <w:b/>
          <w:bCs/>
          <w:rtl/>
        </w:rPr>
        <w:t>روتسوليهيرساجيك</w:t>
      </w:r>
      <w:r w:rsidRPr="005A0BBE">
        <w:rPr>
          <w:vertAlign w:val="superscript"/>
          <w:rtl/>
        </w:rPr>
        <w:footnoteReference w:id="187"/>
      </w:r>
      <w:r w:rsidRPr="005A0BBE">
        <w:rPr>
          <w:b/>
          <w:bCs/>
          <w:rtl/>
        </w:rPr>
        <w:t xml:space="preserve"> </w:t>
      </w:r>
      <w:r w:rsidRPr="005A0BBE">
        <w:rPr>
          <w:rFonts w:hint="cs"/>
          <w:b/>
          <w:bCs/>
          <w:rtl/>
        </w:rPr>
        <w:t>لإعادة توطين</w:t>
      </w:r>
      <w:r w:rsidRPr="005A0BBE">
        <w:rPr>
          <w:b/>
          <w:bCs/>
          <w:rtl/>
        </w:rPr>
        <w:t xml:space="preserve"> المعارف التقليدية ذات الصلة بحفظ التنوع البيولوجي واستخدامه المستدام</w:t>
      </w:r>
    </w:p>
    <w:p w:rsidR="00EE0FD7" w:rsidRPr="005A0BBE" w:rsidRDefault="00EE0FD7" w:rsidP="00EE0FD7">
      <w:pPr>
        <w:jc w:val="center"/>
        <w:rPr>
          <w:b/>
          <w:bCs/>
          <w:rtl/>
        </w:rPr>
      </w:pPr>
      <w:r w:rsidRPr="005A0BBE">
        <w:rPr>
          <w:rFonts w:hint="cs"/>
          <w:b/>
          <w:bCs/>
          <w:rtl/>
        </w:rPr>
        <w:t>أولا-</w:t>
      </w:r>
      <w:r w:rsidRPr="005A0BBE">
        <w:rPr>
          <w:rFonts w:hint="cs"/>
          <w:b/>
          <w:bCs/>
          <w:rtl/>
        </w:rPr>
        <w:tab/>
      </w:r>
      <w:r w:rsidRPr="005A0BBE">
        <w:rPr>
          <w:b/>
          <w:bCs/>
          <w:rtl/>
        </w:rPr>
        <w:t>الأهداف</w:t>
      </w:r>
    </w:p>
    <w:p w:rsidR="00EE0FD7" w:rsidRPr="005A0BBE" w:rsidRDefault="00EE0FD7" w:rsidP="00CD26C5">
      <w:pPr>
        <w:numPr>
          <w:ilvl w:val="0"/>
          <w:numId w:val="58"/>
        </w:numPr>
        <w:ind w:left="0" w:firstLine="0"/>
        <w:rPr>
          <w:rtl/>
        </w:rPr>
      </w:pPr>
      <w:r w:rsidRPr="005A0BBE">
        <w:rPr>
          <w:rFonts w:hint="cs"/>
          <w:rtl/>
        </w:rPr>
        <w:t xml:space="preserve">يتمثل </w:t>
      </w:r>
      <w:r w:rsidRPr="005A0BBE">
        <w:rPr>
          <w:rtl/>
        </w:rPr>
        <w:t xml:space="preserve">الهدف من </w:t>
      </w:r>
      <w:r w:rsidRPr="005A0BBE">
        <w:rPr>
          <w:rFonts w:hint="cs"/>
          <w:rtl/>
        </w:rPr>
        <w:t>المبادئ التوجيهية الطوعية روتسوليهيرساجيك في</w:t>
      </w:r>
      <w:r w:rsidRPr="005A0BBE">
        <w:rPr>
          <w:rtl/>
        </w:rPr>
        <w:t xml:space="preserve"> تيسير إعادة توطين المعارف التقليدية للشعوب الأصلية والمجتمعات المحلية التي تجسد أساليب الحياة التقليدية ذات الصلة بحفظ التنوع البيولوجي واستخدامه المستدام، بما في ذلك المعلومات ذات الصلة أو التكميلية، وفقا للمادة 8(ي) والفقرة 2 من المادة 17 من الاتفاقية، </w:t>
      </w:r>
      <w:r w:rsidRPr="005A0BBE">
        <w:rPr>
          <w:rFonts w:hint="cs"/>
          <w:rtl/>
        </w:rPr>
        <w:t xml:space="preserve">من أجل </w:t>
      </w:r>
      <w:r w:rsidRPr="005A0BBE">
        <w:rPr>
          <w:rtl/>
        </w:rPr>
        <w:t xml:space="preserve">تيسير استعادة </w:t>
      </w:r>
      <w:r w:rsidRPr="005A0BBE">
        <w:rPr>
          <w:rtl/>
        </w:rPr>
        <w:lastRenderedPageBreak/>
        <w:t>المعارف التقليدية ذات الصلة بحفظ التنوع البيولوجي واستخدامه المستدام،</w:t>
      </w:r>
      <w:r w:rsidRPr="005A0BBE">
        <w:rPr>
          <w:vertAlign w:val="superscript"/>
          <w:rtl/>
        </w:rPr>
        <w:footnoteReference w:id="188"/>
      </w:r>
      <w:r w:rsidRPr="005A0BBE">
        <w:rPr>
          <w:rtl/>
        </w:rPr>
        <w:t xml:space="preserve"> ودون </w:t>
      </w:r>
      <w:r w:rsidRPr="005A0BBE">
        <w:rPr>
          <w:rFonts w:hint="cs"/>
          <w:rtl/>
        </w:rPr>
        <w:t>حصر</w:t>
      </w:r>
      <w:r w:rsidRPr="005A0BBE">
        <w:rPr>
          <w:rtl/>
        </w:rPr>
        <w:t xml:space="preserve"> أو تقييد استمرار استخدامه</w:t>
      </w:r>
      <w:r w:rsidRPr="005A0BBE">
        <w:rPr>
          <w:rFonts w:hint="cs"/>
          <w:rtl/>
        </w:rPr>
        <w:t>ا</w:t>
      </w:r>
      <w:r w:rsidRPr="005A0BBE">
        <w:rPr>
          <w:rtl/>
        </w:rPr>
        <w:t xml:space="preserve"> وإمكانية الوصول إليه</w:t>
      </w:r>
      <w:r w:rsidRPr="005A0BBE">
        <w:rPr>
          <w:rFonts w:hint="cs"/>
          <w:rtl/>
        </w:rPr>
        <w:t>ا،</w:t>
      </w:r>
      <w:r w:rsidRPr="005A0BBE">
        <w:rPr>
          <w:vertAlign w:val="superscript"/>
          <w:rtl/>
        </w:rPr>
        <w:footnoteReference w:id="189"/>
      </w:r>
      <w:r w:rsidRPr="005A0BBE">
        <w:rPr>
          <w:rFonts w:hint="cs"/>
          <w:rtl/>
        </w:rPr>
        <w:t xml:space="preserve"> إلا بموجب شروط متفق عليها </w:t>
      </w:r>
      <w:r>
        <w:rPr>
          <w:rFonts w:hint="cs"/>
          <w:rtl/>
        </w:rPr>
        <w:t>ب</w:t>
      </w:r>
      <w:r w:rsidRPr="005A0BBE">
        <w:rPr>
          <w:rFonts w:hint="cs"/>
          <w:rtl/>
        </w:rPr>
        <w:t>صورة متبادلة</w:t>
      </w:r>
      <w:r w:rsidRPr="005A0BBE">
        <w:rPr>
          <w:rtl/>
        </w:rPr>
        <w:t>.</w:t>
      </w:r>
    </w:p>
    <w:p w:rsidR="00EE0FD7" w:rsidRPr="005A0BBE" w:rsidRDefault="00EE0FD7" w:rsidP="00CD26C5">
      <w:pPr>
        <w:numPr>
          <w:ilvl w:val="0"/>
          <w:numId w:val="58"/>
        </w:numPr>
        <w:ind w:left="0" w:firstLine="0"/>
      </w:pPr>
      <w:r w:rsidRPr="005A0BBE">
        <w:rPr>
          <w:rtl/>
        </w:rPr>
        <w:t xml:space="preserve">ويمكن أن تساعد المبادئ التوجيهية أيضا في التنفيذ الفعال لخطة العمل العالمية </w:t>
      </w:r>
      <w:r w:rsidRPr="005A0BBE">
        <w:rPr>
          <w:rFonts w:hint="cs"/>
          <w:rtl/>
        </w:rPr>
        <w:t>المتعلقة ب</w:t>
      </w:r>
      <w:r w:rsidRPr="005A0BBE">
        <w:rPr>
          <w:rtl/>
        </w:rPr>
        <w:t>الاستخدام المألوف المستدام للتنوع البيولوجي، التي أقرها مؤتمر الأطراف في المقرر 12/12 باء.</w:t>
      </w:r>
    </w:p>
    <w:p w:rsidR="00EE0FD7" w:rsidRPr="005A0BBE" w:rsidRDefault="00EE0FD7" w:rsidP="00EE0FD7">
      <w:pPr>
        <w:jc w:val="center"/>
        <w:rPr>
          <w:b/>
          <w:bCs/>
          <w:rtl/>
        </w:rPr>
      </w:pPr>
      <w:r w:rsidRPr="005A0BBE">
        <w:rPr>
          <w:rFonts w:hint="cs"/>
          <w:b/>
          <w:bCs/>
          <w:rtl/>
        </w:rPr>
        <w:t>ثانيا-</w:t>
      </w:r>
      <w:r w:rsidRPr="005A0BBE">
        <w:rPr>
          <w:rFonts w:hint="cs"/>
          <w:b/>
          <w:bCs/>
          <w:rtl/>
        </w:rPr>
        <w:tab/>
        <w:t>ال</w:t>
      </w:r>
      <w:r w:rsidRPr="005A0BBE">
        <w:rPr>
          <w:b/>
          <w:bCs/>
          <w:rtl/>
        </w:rPr>
        <w:t>غرض</w:t>
      </w:r>
    </w:p>
    <w:p w:rsidR="00EE0FD7" w:rsidRPr="005A0BBE" w:rsidRDefault="00EE0FD7" w:rsidP="00EE0FD7">
      <w:pPr>
        <w:rPr>
          <w:b/>
          <w:bCs/>
          <w:sz w:val="28"/>
          <w:szCs w:val="28"/>
          <w:rtl/>
        </w:rPr>
      </w:pPr>
      <w:r w:rsidRPr="005A0BBE">
        <w:rPr>
          <w:rFonts w:hint="cs"/>
          <w:rtl/>
        </w:rPr>
        <w:t>9-</w:t>
      </w:r>
      <w:r w:rsidRPr="005A0BBE">
        <w:rPr>
          <w:rFonts w:hint="cs"/>
          <w:rtl/>
        </w:rPr>
        <w:tab/>
      </w:r>
      <w:r w:rsidRPr="005A0BBE">
        <w:rPr>
          <w:rtl/>
        </w:rPr>
        <w:t xml:space="preserve">لأغراض </w:t>
      </w:r>
      <w:r w:rsidRPr="005A0BBE">
        <w:rPr>
          <w:rFonts w:hint="cs"/>
          <w:rtl/>
        </w:rPr>
        <w:t>المبادئ التوجيهية الطوعية روتسوليهيرساجيك</w:t>
      </w:r>
      <w:r w:rsidRPr="005A0BBE">
        <w:rPr>
          <w:rtl/>
        </w:rPr>
        <w:t xml:space="preserve">، </w:t>
      </w:r>
      <w:r w:rsidRPr="005A0BBE">
        <w:rPr>
          <w:rFonts w:hint="cs"/>
          <w:rtl/>
        </w:rPr>
        <w:t>فإن عبارة</w:t>
      </w:r>
      <w:r w:rsidRPr="005A0BBE">
        <w:rPr>
          <w:rtl/>
        </w:rPr>
        <w:t xml:space="preserve"> "إعادة التوطين" في سياق المعارف التقليدية ذات الصلة بحفظ التنوع البيولوجي واستخدامه المستدام، </w:t>
      </w:r>
      <w:r w:rsidRPr="005A0BBE">
        <w:rPr>
          <w:rFonts w:hint="cs"/>
          <w:rtl/>
        </w:rPr>
        <w:t>تعني "إعادة</w:t>
      </w:r>
      <w:r w:rsidRPr="005A0BBE">
        <w:rPr>
          <w:rtl/>
        </w:rPr>
        <w:t xml:space="preserve"> معارف وابتكارات وممارسات الشعوب الأصلية والمجتمعات المحلية</w:t>
      </w:r>
      <w:r w:rsidRPr="005A0BBE">
        <w:rPr>
          <w:vertAlign w:val="superscript"/>
          <w:rtl/>
        </w:rPr>
        <w:footnoteReference w:id="190"/>
      </w:r>
      <w:r w:rsidRPr="005A0BBE">
        <w:rPr>
          <w:rFonts w:hint="cs"/>
          <w:rtl/>
        </w:rPr>
        <w:t xml:space="preserve"> </w:t>
      </w:r>
      <w:r w:rsidRPr="005A0BBE">
        <w:rPr>
          <w:rtl/>
        </w:rPr>
        <w:t xml:space="preserve">إلى حيث نشأت أو تم الحصول عليها لاستعادة </w:t>
      </w:r>
      <w:r w:rsidRPr="005A0BBE">
        <w:rPr>
          <w:rFonts w:hint="cs"/>
          <w:rtl/>
        </w:rPr>
        <w:t>معارف</w:t>
      </w:r>
      <w:r w:rsidRPr="005A0BBE">
        <w:rPr>
          <w:rtl/>
        </w:rPr>
        <w:t xml:space="preserve"> بشأن التنوع البيولوجي</w:t>
      </w:r>
      <w:r w:rsidRPr="005A0BBE">
        <w:rPr>
          <w:rFonts w:hint="cs"/>
          <w:rtl/>
        </w:rPr>
        <w:t xml:space="preserve"> وإعادة إحيائها وحمايتها</w:t>
      </w:r>
      <w:r w:rsidRPr="005A0BBE">
        <w:rPr>
          <w:rtl/>
        </w:rPr>
        <w:t>".</w:t>
      </w:r>
      <w:r w:rsidRPr="005A0BBE">
        <w:rPr>
          <w:vertAlign w:val="superscript"/>
          <w:rtl/>
        </w:rPr>
        <w:footnoteReference w:id="191"/>
      </w:r>
    </w:p>
    <w:p w:rsidR="00EE0FD7" w:rsidRPr="005A0BBE" w:rsidRDefault="00EE0FD7" w:rsidP="00EE0FD7">
      <w:pPr>
        <w:rPr>
          <w:rtl/>
        </w:rPr>
      </w:pPr>
      <w:r w:rsidRPr="005A0BBE">
        <w:rPr>
          <w:rFonts w:hint="cs"/>
          <w:rtl/>
        </w:rPr>
        <w:t>10-</w:t>
      </w:r>
      <w:r w:rsidRPr="005A0BBE">
        <w:rPr>
          <w:rFonts w:hint="cs"/>
          <w:rtl/>
        </w:rPr>
        <w:tab/>
      </w:r>
      <w:r w:rsidRPr="005A0BBE">
        <w:rPr>
          <w:rtl/>
        </w:rPr>
        <w:t xml:space="preserve">والغرض من المبادئ التوجيهية هو أن تكون </w:t>
      </w:r>
      <w:r w:rsidRPr="005A0BBE">
        <w:rPr>
          <w:rFonts w:hint="cs"/>
          <w:rtl/>
        </w:rPr>
        <w:t>بمثابة توجيهات</w:t>
      </w:r>
      <w:r w:rsidRPr="005A0BBE">
        <w:rPr>
          <w:rtl/>
        </w:rPr>
        <w:t xml:space="preserve"> عملية للأطراف والحكومات</w:t>
      </w:r>
      <w:r w:rsidRPr="005A0BBE">
        <w:rPr>
          <w:vertAlign w:val="superscript"/>
          <w:rtl/>
        </w:rPr>
        <w:footnoteReference w:id="192"/>
      </w:r>
      <w:r w:rsidRPr="005A0BBE">
        <w:rPr>
          <w:rtl/>
        </w:rPr>
        <w:t xml:space="preserve"> والمنظمات الدولية والإقليمية والمتاحف والجامعات وحدائق </w:t>
      </w:r>
      <w:r w:rsidRPr="005A0BBE">
        <w:rPr>
          <w:rFonts w:hint="cs"/>
          <w:rtl/>
        </w:rPr>
        <w:t>الأعشاب والنباتات والحيوانات</w:t>
      </w:r>
      <w:r w:rsidRPr="005A0BBE">
        <w:rPr>
          <w:rtl/>
        </w:rPr>
        <w:t xml:space="preserve"> وقواعد البيانات والسجلات ومصارف الجينات والمكتبات ودور المحفوظات و</w:t>
      </w:r>
      <w:r w:rsidRPr="005A0BBE">
        <w:rPr>
          <w:rFonts w:hint="cs"/>
          <w:rtl/>
        </w:rPr>
        <w:t xml:space="preserve">دوائر </w:t>
      </w:r>
      <w:r w:rsidRPr="005A0BBE">
        <w:rPr>
          <w:rtl/>
        </w:rPr>
        <w:t>المعلومات والمجموعات الخاصة</w:t>
      </w:r>
      <w:r w:rsidRPr="005A0BBE">
        <w:rPr>
          <w:rFonts w:hint="cs"/>
          <w:rtl/>
        </w:rPr>
        <w:t>، والقطاع الخاص</w:t>
      </w:r>
      <w:r w:rsidRPr="005A0BBE">
        <w:rPr>
          <w:rtl/>
        </w:rPr>
        <w:t xml:space="preserve"> والكيانات الأخرى </w:t>
      </w:r>
      <w:r w:rsidRPr="005A0BBE">
        <w:rPr>
          <w:rFonts w:hint="cs"/>
          <w:rtl/>
        </w:rPr>
        <w:t>الحائزة على</w:t>
      </w:r>
      <w:r w:rsidRPr="005A0BBE">
        <w:rPr>
          <w:rtl/>
        </w:rPr>
        <w:t xml:space="preserve"> المعارف التقليدية والمعلومات ذات الصلة أو التكميلية</w:t>
      </w:r>
      <w:r w:rsidRPr="005A0BBE">
        <w:rPr>
          <w:rFonts w:hint="cs"/>
          <w:rtl/>
        </w:rPr>
        <w:t xml:space="preserve"> أو تخزنها أو تستضيفها</w:t>
      </w:r>
      <w:r w:rsidRPr="005A0BBE">
        <w:rPr>
          <w:rtl/>
        </w:rPr>
        <w:t>، والشعوب الأصلية والمجتمعات المحلية، في الجهود الرامية إلى إعادة توطين المعارف التقليدية.</w:t>
      </w:r>
    </w:p>
    <w:p w:rsidR="00EE0FD7" w:rsidRPr="008F1A01" w:rsidRDefault="00EE0FD7" w:rsidP="00EE0FD7">
      <w:pPr>
        <w:rPr>
          <w:spacing w:val="-8"/>
        </w:rPr>
      </w:pPr>
      <w:r w:rsidRPr="005A0BBE">
        <w:rPr>
          <w:rFonts w:hint="cs"/>
          <w:rtl/>
        </w:rPr>
        <w:t>11-</w:t>
      </w:r>
      <w:r w:rsidRPr="005A0BBE">
        <w:rPr>
          <w:rFonts w:hint="cs"/>
          <w:rtl/>
        </w:rPr>
        <w:tab/>
      </w:r>
      <w:r w:rsidRPr="00624F91">
        <w:rPr>
          <w:rtl/>
        </w:rPr>
        <w:t>و</w:t>
      </w:r>
      <w:r w:rsidRPr="00624F91">
        <w:rPr>
          <w:rFonts w:hint="cs"/>
          <w:rtl/>
        </w:rPr>
        <w:t xml:space="preserve">تمثل </w:t>
      </w:r>
      <w:r w:rsidRPr="00624F91">
        <w:rPr>
          <w:rtl/>
        </w:rPr>
        <w:t>المبادئ التوجيهية دليل</w:t>
      </w:r>
      <w:r w:rsidRPr="00624F91">
        <w:rPr>
          <w:rFonts w:hint="cs"/>
          <w:rtl/>
        </w:rPr>
        <w:t>ا</w:t>
      </w:r>
      <w:r w:rsidRPr="00624F91">
        <w:rPr>
          <w:rtl/>
        </w:rPr>
        <w:t xml:space="preserve"> </w:t>
      </w:r>
      <w:r w:rsidRPr="00624F91">
        <w:rPr>
          <w:rFonts w:hint="cs"/>
          <w:rtl/>
        </w:rPr>
        <w:t>ل</w:t>
      </w:r>
      <w:r w:rsidRPr="00624F91">
        <w:rPr>
          <w:rtl/>
        </w:rPr>
        <w:t>لممارس</w:t>
      </w:r>
      <w:r w:rsidRPr="00624F91">
        <w:rPr>
          <w:rFonts w:hint="cs"/>
          <w:rtl/>
        </w:rPr>
        <w:t>ة</w:t>
      </w:r>
      <w:r w:rsidRPr="003C1914">
        <w:rPr>
          <w:color w:val="FF0000"/>
          <w:rtl/>
        </w:rPr>
        <w:t xml:space="preserve"> </w:t>
      </w:r>
      <w:r w:rsidRPr="005A0BBE">
        <w:rPr>
          <w:rtl/>
        </w:rPr>
        <w:t xml:space="preserve">الجيدة التي </w:t>
      </w:r>
      <w:r w:rsidRPr="005A0BBE">
        <w:rPr>
          <w:rFonts w:hint="cs"/>
          <w:rtl/>
        </w:rPr>
        <w:t>س</w:t>
      </w:r>
      <w:r w:rsidRPr="005A0BBE">
        <w:rPr>
          <w:rtl/>
        </w:rPr>
        <w:t xml:space="preserve">يتعين تفسيرها مع مراعاة التنوع السياسي والقانوني والاقتصادي والبيئي والثقافي، حسب الاقتضاء، لكل طرف </w:t>
      </w:r>
      <w:r w:rsidRPr="005A0BBE">
        <w:rPr>
          <w:rFonts w:hint="cs"/>
          <w:rtl/>
        </w:rPr>
        <w:t>و</w:t>
      </w:r>
      <w:r w:rsidRPr="005A0BBE">
        <w:rPr>
          <w:rtl/>
        </w:rPr>
        <w:t>حكوم</w:t>
      </w:r>
      <w:r w:rsidRPr="005A0BBE">
        <w:rPr>
          <w:rFonts w:hint="cs"/>
          <w:rtl/>
        </w:rPr>
        <w:t>ة و</w:t>
      </w:r>
      <w:r w:rsidRPr="005A0BBE">
        <w:rPr>
          <w:rtl/>
        </w:rPr>
        <w:t>مؤسس</w:t>
      </w:r>
      <w:r w:rsidRPr="005A0BBE">
        <w:rPr>
          <w:rFonts w:hint="cs"/>
          <w:rtl/>
        </w:rPr>
        <w:t>ة</w:t>
      </w:r>
      <w:r w:rsidRPr="005A0BBE">
        <w:rPr>
          <w:rtl/>
        </w:rPr>
        <w:t xml:space="preserve"> وكيان</w:t>
      </w:r>
      <w:r w:rsidRPr="005A0BBE">
        <w:rPr>
          <w:rFonts w:hint="cs"/>
          <w:rtl/>
        </w:rPr>
        <w:t xml:space="preserve"> ول</w:t>
      </w:r>
      <w:r w:rsidRPr="005A0BBE">
        <w:rPr>
          <w:rtl/>
        </w:rPr>
        <w:t xml:space="preserve">لشعوب الأصلية والمجتمعات المحلية، وتطبيقها في سياق مهمة كل منظمة ومجموعاتها والمجتمعات ذات الصلة، مع </w:t>
      </w:r>
      <w:r w:rsidRPr="008F1A01">
        <w:rPr>
          <w:spacing w:val="-8"/>
          <w:rtl/>
        </w:rPr>
        <w:t>مراعاة البروتوكولات المجتمعية</w:t>
      </w:r>
      <w:r w:rsidRPr="005A0BBE">
        <w:rPr>
          <w:rtl/>
        </w:rPr>
        <w:t xml:space="preserve"> </w:t>
      </w:r>
      <w:r w:rsidRPr="008F1A01">
        <w:rPr>
          <w:spacing w:val="-8"/>
          <w:rtl/>
        </w:rPr>
        <w:t>والإجراءات الأخرى ذات الصلة.</w:t>
      </w:r>
    </w:p>
    <w:p w:rsidR="00EE0FD7" w:rsidRPr="005A0BBE" w:rsidRDefault="00EE0FD7" w:rsidP="00EE0FD7">
      <w:pPr>
        <w:rPr>
          <w:rtl/>
        </w:rPr>
      </w:pPr>
      <w:r w:rsidRPr="005A0BBE">
        <w:rPr>
          <w:rFonts w:hint="cs"/>
          <w:rtl/>
        </w:rPr>
        <w:t>12-</w:t>
      </w:r>
      <w:r w:rsidRPr="005A0BBE">
        <w:rPr>
          <w:rFonts w:hint="cs"/>
          <w:rtl/>
        </w:rPr>
        <w:tab/>
      </w:r>
      <w:r w:rsidRPr="005A0BBE">
        <w:rPr>
          <w:rtl/>
        </w:rPr>
        <w:t>والمبادئ التوجيهية ليست إلزامية أو نهائية.</w:t>
      </w:r>
    </w:p>
    <w:p w:rsidR="00EE0FD7" w:rsidRPr="005A0BBE" w:rsidRDefault="00EE0FD7" w:rsidP="00EE0FD7">
      <w:pPr>
        <w:rPr>
          <w:rtl/>
        </w:rPr>
      </w:pPr>
      <w:r w:rsidRPr="005A0BBE">
        <w:rPr>
          <w:rFonts w:hint="cs"/>
          <w:rtl/>
        </w:rPr>
        <w:t>13-</w:t>
      </w:r>
      <w:r w:rsidRPr="005A0BBE">
        <w:rPr>
          <w:rFonts w:hint="cs"/>
          <w:rtl/>
        </w:rPr>
        <w:tab/>
      </w:r>
      <w:r w:rsidRPr="005A0BBE">
        <w:rPr>
          <w:rtl/>
        </w:rPr>
        <w:t>و</w:t>
      </w:r>
      <w:r w:rsidRPr="005A0BBE">
        <w:rPr>
          <w:rFonts w:hint="cs"/>
          <w:rtl/>
        </w:rPr>
        <w:t>نظرا ل</w:t>
      </w:r>
      <w:r w:rsidRPr="005A0BBE">
        <w:rPr>
          <w:rtl/>
        </w:rPr>
        <w:t xml:space="preserve">لتنوع السياسي والقانوني والاقتصادي والبيئي والثقافي للدول والمؤسسات والكيانات والشعوب الأصلية والمجتمعات المحلية التي قد تشارك في عملية إعادة التوطين، من غير المرجح أن تغطي هذه المبادئ التوجيهية جميع المسائل التي قد تنشأ في </w:t>
      </w:r>
      <w:r w:rsidRPr="005A0BBE">
        <w:rPr>
          <w:rFonts w:hint="cs"/>
          <w:rtl/>
        </w:rPr>
        <w:t>الممارسة</w:t>
      </w:r>
      <w:r w:rsidRPr="005A0BBE">
        <w:rPr>
          <w:rtl/>
        </w:rPr>
        <w:t xml:space="preserve"> المهنية. </w:t>
      </w:r>
      <w:r w:rsidRPr="005A0BBE">
        <w:rPr>
          <w:rFonts w:hint="cs"/>
          <w:rtl/>
        </w:rPr>
        <w:t>غير</w:t>
      </w:r>
      <w:r w:rsidRPr="005A0BBE">
        <w:rPr>
          <w:rtl/>
        </w:rPr>
        <w:t xml:space="preserve"> أنه</w:t>
      </w:r>
      <w:r w:rsidRPr="005A0BBE">
        <w:rPr>
          <w:rFonts w:hint="cs"/>
          <w:rtl/>
        </w:rPr>
        <w:t>ا</w:t>
      </w:r>
      <w:r w:rsidRPr="005A0BBE">
        <w:rPr>
          <w:rtl/>
        </w:rPr>
        <w:t xml:space="preserve"> ينبغي أن توفر توجيهات عملية لأولئك الذين يرغبون في </w:t>
      </w:r>
      <w:r w:rsidRPr="005A0BBE">
        <w:rPr>
          <w:rFonts w:hint="cs"/>
          <w:rtl/>
        </w:rPr>
        <w:t>المشاركة في عمليات</w:t>
      </w:r>
      <w:r w:rsidRPr="005A0BBE">
        <w:rPr>
          <w:rtl/>
        </w:rPr>
        <w:t xml:space="preserve"> إعادة التوطين.</w:t>
      </w:r>
    </w:p>
    <w:p w:rsidR="00EE0FD7" w:rsidRPr="005A0BBE" w:rsidRDefault="00EE0FD7" w:rsidP="00EE0FD7">
      <w:pPr>
        <w:rPr>
          <w:rtl/>
        </w:rPr>
      </w:pPr>
      <w:r w:rsidRPr="005A0BBE">
        <w:rPr>
          <w:rFonts w:hint="cs"/>
          <w:rtl/>
        </w:rPr>
        <w:t>14-</w:t>
      </w:r>
      <w:r w:rsidRPr="005A0BBE">
        <w:rPr>
          <w:rFonts w:hint="cs"/>
          <w:rtl/>
        </w:rPr>
        <w:tab/>
      </w:r>
      <w:r w:rsidRPr="005A0BBE">
        <w:rPr>
          <w:rtl/>
        </w:rPr>
        <w:t>وينبغي أن تمك</w:t>
      </w:r>
      <w:r w:rsidRPr="005A0BBE">
        <w:rPr>
          <w:rFonts w:hint="cs"/>
          <w:rtl/>
        </w:rPr>
        <w:t>ّ</w:t>
      </w:r>
      <w:r w:rsidRPr="005A0BBE">
        <w:rPr>
          <w:rtl/>
        </w:rPr>
        <w:t xml:space="preserve">ن </w:t>
      </w:r>
      <w:r w:rsidRPr="005A0BBE">
        <w:rPr>
          <w:rFonts w:hint="cs"/>
          <w:rtl/>
        </w:rPr>
        <w:t>ا</w:t>
      </w:r>
      <w:r w:rsidRPr="005A0BBE">
        <w:rPr>
          <w:rtl/>
        </w:rPr>
        <w:t>لمبادئ التوجيهية أولئك الذين يعملون في مجال إعادة التوطين، بم</w:t>
      </w:r>
      <w:r>
        <w:rPr>
          <w:rFonts w:hint="cs"/>
          <w:rtl/>
        </w:rPr>
        <w:t>ا</w:t>
      </w:r>
      <w:r w:rsidRPr="005A0BBE">
        <w:rPr>
          <w:rtl/>
        </w:rPr>
        <w:t xml:space="preserve"> في</w:t>
      </w:r>
      <w:r>
        <w:rPr>
          <w:rFonts w:hint="cs"/>
          <w:rtl/>
        </w:rPr>
        <w:t xml:space="preserve"> ذلك</w:t>
      </w:r>
      <w:r w:rsidRPr="005A0BBE">
        <w:rPr>
          <w:rtl/>
        </w:rPr>
        <w:t xml:space="preserve"> مهني</w:t>
      </w:r>
      <w:r>
        <w:rPr>
          <w:rFonts w:hint="cs"/>
          <w:rtl/>
        </w:rPr>
        <w:t>ي</w:t>
      </w:r>
      <w:r w:rsidRPr="005A0BBE">
        <w:rPr>
          <w:rtl/>
        </w:rPr>
        <w:t xml:space="preserve"> المعلومات،</w:t>
      </w:r>
      <w:r w:rsidRPr="005A0BBE">
        <w:rPr>
          <w:vertAlign w:val="superscript"/>
          <w:rtl/>
        </w:rPr>
        <w:footnoteReference w:id="193"/>
      </w:r>
      <w:r w:rsidRPr="005A0BBE">
        <w:rPr>
          <w:rtl/>
        </w:rPr>
        <w:t xml:space="preserve"> من </w:t>
      </w:r>
      <w:r w:rsidRPr="005A0BBE">
        <w:rPr>
          <w:rFonts w:hint="cs"/>
          <w:rtl/>
        </w:rPr>
        <w:t>اتخاذ</w:t>
      </w:r>
      <w:r w:rsidRPr="005A0BBE">
        <w:rPr>
          <w:rtl/>
        </w:rPr>
        <w:t xml:space="preserve"> </w:t>
      </w:r>
      <w:r w:rsidRPr="005A0BBE">
        <w:rPr>
          <w:rFonts w:hint="cs"/>
          <w:rtl/>
        </w:rPr>
        <w:t>قرارات</w:t>
      </w:r>
      <w:r w:rsidRPr="005A0BBE">
        <w:rPr>
          <w:rtl/>
        </w:rPr>
        <w:t xml:space="preserve"> سليمة بشأن الاستجابات المناسبة لأي مسائل</w:t>
      </w:r>
      <w:r w:rsidRPr="005A0BBE">
        <w:rPr>
          <w:rFonts w:hint="cs"/>
          <w:rtl/>
        </w:rPr>
        <w:t xml:space="preserve"> ذات صلة</w:t>
      </w:r>
      <w:r w:rsidRPr="005A0BBE">
        <w:rPr>
          <w:rtl/>
        </w:rPr>
        <w:t xml:space="preserve">، أو </w:t>
      </w:r>
      <w:r w:rsidRPr="005A0BBE">
        <w:rPr>
          <w:rFonts w:hint="cs"/>
          <w:rtl/>
        </w:rPr>
        <w:t>أن توفر</w:t>
      </w:r>
      <w:r w:rsidRPr="005A0BBE">
        <w:rPr>
          <w:rtl/>
        </w:rPr>
        <w:t xml:space="preserve"> بعض الأفكار بشأن </w:t>
      </w:r>
      <w:r w:rsidRPr="005A0BBE">
        <w:rPr>
          <w:rFonts w:hint="cs"/>
          <w:rtl/>
        </w:rPr>
        <w:t>ال</w:t>
      </w:r>
      <w:r w:rsidRPr="005A0BBE">
        <w:rPr>
          <w:rtl/>
        </w:rPr>
        <w:t xml:space="preserve">أماكن </w:t>
      </w:r>
      <w:r w:rsidRPr="005A0BBE">
        <w:rPr>
          <w:rFonts w:hint="cs"/>
          <w:rtl/>
        </w:rPr>
        <w:t xml:space="preserve">التي يمكن اللجوء إليها للحصول على </w:t>
      </w:r>
      <w:r w:rsidRPr="005A0BBE">
        <w:rPr>
          <w:rtl/>
        </w:rPr>
        <w:t xml:space="preserve">مساعدة إذا </w:t>
      </w:r>
      <w:r w:rsidRPr="005A0BBE">
        <w:rPr>
          <w:rFonts w:hint="cs"/>
          <w:rtl/>
        </w:rPr>
        <w:t xml:space="preserve">كانت هناك حاجة إلى </w:t>
      </w:r>
      <w:r w:rsidRPr="005A0BBE">
        <w:rPr>
          <w:rtl/>
        </w:rPr>
        <w:t>مزيد من الخبرات.</w:t>
      </w:r>
    </w:p>
    <w:p w:rsidR="00EE0FD7" w:rsidRPr="005A0BBE" w:rsidRDefault="00EE0FD7" w:rsidP="00EE0FD7">
      <w:pPr>
        <w:rPr>
          <w:rtl/>
        </w:rPr>
      </w:pPr>
      <w:r w:rsidRPr="005A0BBE">
        <w:rPr>
          <w:rFonts w:hint="cs"/>
          <w:rtl/>
        </w:rPr>
        <w:lastRenderedPageBreak/>
        <w:t>15-</w:t>
      </w:r>
      <w:r w:rsidRPr="005A0BBE">
        <w:rPr>
          <w:rFonts w:hint="cs"/>
          <w:rtl/>
        </w:rPr>
        <w:tab/>
        <w:t>و</w:t>
      </w:r>
      <w:r w:rsidRPr="005A0BBE">
        <w:rPr>
          <w:rtl/>
        </w:rPr>
        <w:t xml:space="preserve">ينبغي أن تساعد المبادئ التوجيهية الشعوب الأصلية والمجتمعات المحلية في </w:t>
      </w:r>
      <w:r w:rsidRPr="005A0BBE">
        <w:rPr>
          <w:rFonts w:hint="cs"/>
          <w:rtl/>
        </w:rPr>
        <w:t>استعادة</w:t>
      </w:r>
      <w:r w:rsidRPr="005A0BBE">
        <w:rPr>
          <w:rtl/>
        </w:rPr>
        <w:t xml:space="preserve"> معارفها التقليدية </w:t>
      </w:r>
      <w:r w:rsidRPr="005A0BBE">
        <w:rPr>
          <w:rFonts w:hint="cs"/>
          <w:rtl/>
        </w:rPr>
        <w:t>ذات الصلة</w:t>
      </w:r>
      <w:r w:rsidRPr="005A0BBE">
        <w:rPr>
          <w:rtl/>
        </w:rPr>
        <w:t xml:space="preserve"> بحفظ التنوع البيولوجي واستخدامه المستدام</w:t>
      </w:r>
      <w:r w:rsidRPr="005A0BBE">
        <w:rPr>
          <w:rFonts w:hint="cs"/>
          <w:rtl/>
        </w:rPr>
        <w:t>، وإعادة إحيائها وحمايتها</w:t>
      </w:r>
      <w:r w:rsidRPr="005A0BBE">
        <w:rPr>
          <w:rtl/>
        </w:rPr>
        <w:t>.</w:t>
      </w:r>
    </w:p>
    <w:p w:rsidR="00EE0FD7" w:rsidRPr="005A0BBE" w:rsidRDefault="00EE0FD7" w:rsidP="00EE0FD7">
      <w:pPr>
        <w:jc w:val="center"/>
        <w:rPr>
          <w:b/>
          <w:bCs/>
          <w:rtl/>
        </w:rPr>
      </w:pPr>
      <w:r w:rsidRPr="005A0BBE">
        <w:rPr>
          <w:rFonts w:hint="cs"/>
          <w:b/>
          <w:bCs/>
          <w:rtl/>
        </w:rPr>
        <w:t>ثالثا-</w:t>
      </w:r>
      <w:r w:rsidRPr="005A0BBE">
        <w:rPr>
          <w:rFonts w:hint="cs"/>
          <w:b/>
          <w:bCs/>
          <w:rtl/>
        </w:rPr>
        <w:tab/>
        <w:t>ال</w:t>
      </w:r>
      <w:r w:rsidRPr="005A0BBE">
        <w:rPr>
          <w:b/>
          <w:bCs/>
          <w:rtl/>
        </w:rPr>
        <w:t>نطاق</w:t>
      </w:r>
    </w:p>
    <w:p w:rsidR="00EE0FD7" w:rsidRPr="005A0BBE" w:rsidRDefault="00EE0FD7" w:rsidP="00EE0FD7">
      <w:pPr>
        <w:rPr>
          <w:rtl/>
        </w:rPr>
      </w:pPr>
      <w:r w:rsidRPr="005A0BBE">
        <w:rPr>
          <w:rFonts w:hint="cs"/>
          <w:rtl/>
        </w:rPr>
        <w:t>16-</w:t>
      </w:r>
      <w:r w:rsidRPr="005A0BBE">
        <w:rPr>
          <w:rFonts w:hint="cs"/>
          <w:rtl/>
        </w:rPr>
        <w:tab/>
      </w:r>
      <w:r w:rsidRPr="005A0BBE">
        <w:rPr>
          <w:rtl/>
        </w:rPr>
        <w:t xml:space="preserve">تنطبق </w:t>
      </w:r>
      <w:r w:rsidRPr="005A0BBE">
        <w:rPr>
          <w:rFonts w:hint="cs"/>
          <w:rtl/>
        </w:rPr>
        <w:t>المبادئ التوجيهية الطوعية روتسوليهيرساجيك</w:t>
      </w:r>
      <w:r w:rsidRPr="005A0BBE">
        <w:rPr>
          <w:rtl/>
        </w:rPr>
        <w:t xml:space="preserve"> على معارف وابتكارات وممارسات الشعوب الأصلية والمجتمعات المحلية ذات الصلة بحفظ التنوع البيولوجي واستخدامه المستدام.</w:t>
      </w:r>
    </w:p>
    <w:p w:rsidR="00EE0FD7" w:rsidRPr="005A0BBE" w:rsidRDefault="00EE0FD7" w:rsidP="00EE0FD7">
      <w:pPr>
        <w:jc w:val="center"/>
        <w:rPr>
          <w:b/>
          <w:bCs/>
          <w:rtl/>
        </w:rPr>
      </w:pPr>
      <w:r w:rsidRPr="005A0BBE">
        <w:rPr>
          <w:rFonts w:hint="cs"/>
          <w:b/>
          <w:bCs/>
          <w:rtl/>
        </w:rPr>
        <w:t>رابعا-</w:t>
      </w:r>
      <w:r w:rsidRPr="005A0BBE">
        <w:rPr>
          <w:rFonts w:hint="cs"/>
          <w:b/>
          <w:bCs/>
          <w:rtl/>
        </w:rPr>
        <w:tab/>
      </w:r>
      <w:r w:rsidRPr="005A0BBE">
        <w:rPr>
          <w:b/>
          <w:bCs/>
          <w:rtl/>
        </w:rPr>
        <w:t xml:space="preserve">المبادئ </w:t>
      </w:r>
      <w:r w:rsidRPr="005A0BBE">
        <w:rPr>
          <w:rFonts w:hint="cs"/>
          <w:b/>
          <w:bCs/>
          <w:rtl/>
        </w:rPr>
        <w:t>الإرشادية لإعادة التوطين</w:t>
      </w:r>
    </w:p>
    <w:p w:rsidR="00EE0FD7" w:rsidRPr="005A0BBE" w:rsidRDefault="00EE0FD7" w:rsidP="00EE0FD7">
      <w:pPr>
        <w:rPr>
          <w:rtl/>
        </w:rPr>
      </w:pPr>
      <w:r w:rsidRPr="005A0BBE">
        <w:rPr>
          <w:rFonts w:hint="cs"/>
          <w:rtl/>
        </w:rPr>
        <w:t>17-</w:t>
      </w:r>
      <w:r w:rsidRPr="005A0BBE">
        <w:rPr>
          <w:rFonts w:hint="cs"/>
          <w:rtl/>
        </w:rPr>
        <w:tab/>
        <w:t xml:space="preserve">تستند أفضل طريقة لتيسير </w:t>
      </w:r>
      <w:r w:rsidRPr="005A0BBE">
        <w:rPr>
          <w:rtl/>
        </w:rPr>
        <w:t>إعادة التوطين إلى المبادئ والاعتبارات التالية:</w:t>
      </w:r>
    </w:p>
    <w:p w:rsidR="00EE0FD7" w:rsidRPr="005A0BBE" w:rsidRDefault="00EE0FD7" w:rsidP="00683FD0">
      <w:pPr>
        <w:ind w:firstLine="720"/>
        <w:rPr>
          <w:rFonts w:ascii="Simplified Arabic" w:hAnsi="Simplified Arabic"/>
          <w:rtl/>
        </w:rPr>
      </w:pPr>
      <w:bookmarkStart w:id="129" w:name="_Toc6071604"/>
      <w:r w:rsidRPr="005A0BBE">
        <w:rPr>
          <w:rFonts w:ascii="Simplified Arabic" w:hAnsi="Simplified Arabic"/>
          <w:rtl/>
        </w:rPr>
        <w:t>(أ)</w:t>
      </w:r>
      <w:r w:rsidRPr="005A0BBE">
        <w:rPr>
          <w:rFonts w:ascii="Simplified Arabic" w:hAnsi="Simplified Arabic" w:hint="cs"/>
          <w:rtl/>
        </w:rPr>
        <w:tab/>
      </w:r>
      <w:r w:rsidRPr="005A0BBE">
        <w:rPr>
          <w:rFonts w:ascii="Simplified Arabic" w:hAnsi="Simplified Arabic"/>
          <w:rtl/>
        </w:rPr>
        <w:t xml:space="preserve">ينبغي أن يكون للشعوب الأصلية والمجتمعات المحلية، كلما أمكن ذلك، الحق في إعادة </w:t>
      </w:r>
      <w:r w:rsidRPr="005A0BBE">
        <w:rPr>
          <w:rFonts w:ascii="Simplified Arabic" w:hAnsi="Simplified Arabic" w:hint="cs"/>
          <w:rtl/>
        </w:rPr>
        <w:t xml:space="preserve">توطين </w:t>
      </w:r>
      <w:r w:rsidRPr="005A0BBE">
        <w:rPr>
          <w:rFonts w:ascii="Simplified Arabic" w:hAnsi="Simplified Arabic"/>
          <w:rtl/>
        </w:rPr>
        <w:t xml:space="preserve">معارفها التقليدية، بما في ذلك عبر الحدود الدولية، لمساعدتها </w:t>
      </w:r>
      <w:r w:rsidRPr="005A0BBE">
        <w:rPr>
          <w:rFonts w:ascii="Simplified Arabic" w:hAnsi="Simplified Arabic" w:hint="cs"/>
          <w:rtl/>
        </w:rPr>
        <w:t>في</w:t>
      </w:r>
      <w:r w:rsidRPr="005A0BBE">
        <w:rPr>
          <w:rFonts w:ascii="Simplified Arabic" w:hAnsi="Simplified Arabic"/>
          <w:rtl/>
        </w:rPr>
        <w:t xml:space="preserve"> استعادة المعارف التقليدية ذات الصلة ب</w:t>
      </w:r>
      <w:r w:rsidRPr="005A0BBE">
        <w:rPr>
          <w:rFonts w:ascii="Simplified Arabic" w:hAnsi="Simplified Arabic" w:hint="cs"/>
          <w:rtl/>
        </w:rPr>
        <w:t xml:space="preserve">حفظ </w:t>
      </w:r>
      <w:r w:rsidRPr="005A0BBE">
        <w:rPr>
          <w:rFonts w:ascii="Simplified Arabic" w:hAnsi="Simplified Arabic"/>
          <w:rtl/>
        </w:rPr>
        <w:t>التنوع البيولوجي</w:t>
      </w:r>
      <w:r w:rsidRPr="005A0BBE">
        <w:rPr>
          <w:rFonts w:ascii="Simplified Arabic" w:hAnsi="Simplified Arabic" w:hint="cs"/>
          <w:rtl/>
        </w:rPr>
        <w:t xml:space="preserve"> واستخدامه المستدام</w:t>
      </w:r>
      <w:r w:rsidRPr="005A0BBE">
        <w:rPr>
          <w:rFonts w:ascii="Simplified Arabic" w:hAnsi="Simplified Arabic"/>
          <w:rtl/>
        </w:rPr>
        <w:t>؛</w:t>
      </w:r>
      <w:bookmarkEnd w:id="129"/>
    </w:p>
    <w:p w:rsidR="00EE0FD7" w:rsidRPr="005A0BBE" w:rsidRDefault="00EE0FD7" w:rsidP="00683FD0">
      <w:pPr>
        <w:ind w:firstLine="720"/>
        <w:rPr>
          <w:rFonts w:ascii="Simplified Arabic" w:hAnsi="Simplified Arabic"/>
          <w:rtl/>
        </w:rPr>
      </w:pPr>
      <w:bookmarkStart w:id="130" w:name="_Toc6071605"/>
      <w:r w:rsidRPr="005A0BBE">
        <w:rPr>
          <w:rFonts w:ascii="Simplified Arabic" w:hAnsi="Simplified Arabic"/>
          <w:rtl/>
        </w:rPr>
        <w:t>(ب)</w:t>
      </w:r>
      <w:r w:rsidRPr="005A0BBE">
        <w:rPr>
          <w:rFonts w:ascii="Simplified Arabic" w:hAnsi="Simplified Arabic" w:hint="cs"/>
          <w:rtl/>
        </w:rPr>
        <w:tab/>
        <w:t>ترتكز</w:t>
      </w:r>
      <w:r w:rsidRPr="005A0BBE">
        <w:rPr>
          <w:rFonts w:ascii="Simplified Arabic" w:hAnsi="Simplified Arabic"/>
          <w:rtl/>
        </w:rPr>
        <w:t xml:space="preserve"> جهود إعادة التوطين الناجحة </w:t>
      </w:r>
      <w:r w:rsidRPr="005A0BBE">
        <w:rPr>
          <w:rFonts w:ascii="Simplified Arabic" w:hAnsi="Simplified Arabic" w:hint="cs"/>
          <w:rtl/>
        </w:rPr>
        <w:t>على</w:t>
      </w:r>
      <w:r w:rsidRPr="005A0BBE">
        <w:rPr>
          <w:rFonts w:ascii="Simplified Arabic" w:hAnsi="Simplified Arabic"/>
          <w:rtl/>
        </w:rPr>
        <w:t xml:space="preserve"> مفهوم "احترام" المعارف التقليدية</w:t>
      </w:r>
      <w:r w:rsidRPr="005A0BBE">
        <w:rPr>
          <w:rFonts w:ascii="Simplified Arabic" w:hAnsi="Simplified Arabic" w:hint="cs"/>
          <w:rtl/>
        </w:rPr>
        <w:t xml:space="preserve"> المنصوص عليه</w:t>
      </w:r>
      <w:r w:rsidRPr="005A0BBE">
        <w:rPr>
          <w:rFonts w:ascii="Simplified Arabic" w:hAnsi="Simplified Arabic"/>
          <w:rtl/>
        </w:rPr>
        <w:t xml:space="preserve"> في المادة 8(ي)، مع مراعاة إعلان الأمم المتحدة بشأن حقوق الشعوب الأصلية، والصكوك</w:t>
      </w:r>
      <w:r w:rsidRPr="005A0BBE">
        <w:rPr>
          <w:rFonts w:ascii="Simplified Arabic" w:hAnsi="Simplified Arabic" w:hint="cs"/>
          <w:rtl/>
        </w:rPr>
        <w:t xml:space="preserve"> الأخرى</w:t>
      </w:r>
      <w:r w:rsidRPr="005A0BBE">
        <w:rPr>
          <w:rFonts w:ascii="Simplified Arabic" w:hAnsi="Simplified Arabic"/>
          <w:rtl/>
        </w:rPr>
        <w:t>، حسب الاقتضاء؛</w:t>
      </w:r>
      <w:r w:rsidRPr="005A0BBE">
        <w:rPr>
          <w:vertAlign w:val="superscript"/>
          <w:rtl/>
        </w:rPr>
        <w:footnoteReference w:id="194"/>
      </w:r>
      <w:bookmarkEnd w:id="130"/>
    </w:p>
    <w:p w:rsidR="00EE0FD7" w:rsidRPr="005A0BBE" w:rsidRDefault="00EE0FD7" w:rsidP="005C478D">
      <w:pPr>
        <w:ind w:firstLine="720"/>
        <w:rPr>
          <w:rFonts w:ascii="Simplified Arabic" w:hAnsi="Simplified Arabic"/>
          <w:rtl/>
        </w:rPr>
      </w:pPr>
      <w:bookmarkStart w:id="131" w:name="_Toc6071606"/>
      <w:r w:rsidRPr="005A0BBE">
        <w:rPr>
          <w:rFonts w:ascii="Simplified Arabic" w:hAnsi="Simplified Arabic"/>
          <w:rtl/>
        </w:rPr>
        <w:t>(ج)</w:t>
      </w:r>
      <w:r w:rsidRPr="005A0BBE">
        <w:rPr>
          <w:rFonts w:ascii="Simplified Arabic" w:hAnsi="Simplified Arabic" w:hint="cs"/>
          <w:rtl/>
        </w:rPr>
        <w:tab/>
      </w:r>
      <w:r w:rsidRPr="005A0BBE">
        <w:rPr>
          <w:rFonts w:ascii="Simplified Arabic" w:hAnsi="Simplified Arabic"/>
          <w:rtl/>
        </w:rPr>
        <w:t>يقتضي احترام المعارف التقليدية احترام</w:t>
      </w:r>
      <w:r w:rsidRPr="005A0BBE">
        <w:rPr>
          <w:rFonts w:ascii="Simplified Arabic" w:hAnsi="Simplified Arabic" w:hint="cs"/>
          <w:rtl/>
        </w:rPr>
        <w:t>، ضمن أمور أخرى،</w:t>
      </w:r>
      <w:r w:rsidRPr="005A0BBE">
        <w:rPr>
          <w:rFonts w:ascii="Simplified Arabic" w:hAnsi="Simplified Arabic"/>
          <w:rtl/>
        </w:rPr>
        <w:t xml:space="preserve"> القيم والممارسات والآراء العالمية والقوانين العرفية والبروتوكولات المجتمعية وحقوق ومصالح الشعوب الأصلية والمجتمعات المحلية</w:t>
      </w:r>
      <w:r w:rsidRPr="005A0BBE">
        <w:rPr>
          <w:rFonts w:ascii="Simplified Arabic" w:hAnsi="Simplified Arabic" w:hint="cs"/>
          <w:rtl/>
        </w:rPr>
        <w:t>، بما يتسق</w:t>
      </w:r>
      <w:r w:rsidRPr="005A0BBE">
        <w:rPr>
          <w:rFonts w:ascii="Simplified Arabic" w:hAnsi="Simplified Arabic"/>
          <w:rtl/>
        </w:rPr>
        <w:t xml:space="preserve"> </w:t>
      </w:r>
      <w:r w:rsidRPr="005A0BBE">
        <w:rPr>
          <w:rFonts w:ascii="Simplified Arabic" w:hAnsi="Simplified Arabic" w:hint="cs"/>
          <w:rtl/>
        </w:rPr>
        <w:t>مع الالتزامات</w:t>
      </w:r>
      <w:r w:rsidRPr="005A0BBE">
        <w:rPr>
          <w:rFonts w:ascii="Simplified Arabic" w:hAnsi="Simplified Arabic"/>
          <w:rtl/>
        </w:rPr>
        <w:t xml:space="preserve"> الدولية</w:t>
      </w:r>
      <w:r w:rsidRPr="005A0BBE">
        <w:rPr>
          <w:rFonts w:ascii="Simplified Arabic" w:hAnsi="Simplified Arabic" w:hint="cs"/>
          <w:rtl/>
        </w:rPr>
        <w:t xml:space="preserve"> والظروف الوطنية</w:t>
      </w:r>
      <w:r w:rsidRPr="005A0BBE">
        <w:rPr>
          <w:rFonts w:ascii="Simplified Arabic" w:hAnsi="Simplified Arabic"/>
          <w:rtl/>
        </w:rPr>
        <w:t>؛</w:t>
      </w:r>
      <w:bookmarkEnd w:id="131"/>
    </w:p>
    <w:p w:rsidR="00EE0FD7" w:rsidRPr="005A0BBE" w:rsidRDefault="00EE0FD7" w:rsidP="005C478D">
      <w:pPr>
        <w:ind w:firstLine="720"/>
        <w:rPr>
          <w:rFonts w:ascii="Simplified Arabic" w:hAnsi="Simplified Arabic"/>
          <w:rtl/>
        </w:rPr>
      </w:pPr>
      <w:bookmarkStart w:id="132" w:name="_Toc6071607"/>
      <w:r w:rsidRPr="005A0BBE">
        <w:rPr>
          <w:rFonts w:ascii="Simplified Arabic" w:hAnsi="Simplified Arabic"/>
          <w:rtl/>
        </w:rPr>
        <w:t>(د)</w:t>
      </w:r>
      <w:r w:rsidRPr="005A0BBE">
        <w:rPr>
          <w:rFonts w:ascii="Simplified Arabic" w:hAnsi="Simplified Arabic" w:hint="cs"/>
          <w:rtl/>
        </w:rPr>
        <w:tab/>
      </w:r>
      <w:r w:rsidRPr="005A0BBE">
        <w:rPr>
          <w:rFonts w:ascii="Simplified Arabic" w:hAnsi="Simplified Arabic"/>
          <w:rtl/>
        </w:rPr>
        <w:t xml:space="preserve">تتطلب إعادة التوطين إقامة علاقات دائمة مع الشعوب الأصلية والمجتمعات المحلية، من أجل بناء الثقة والعلاقات الطيبة والتفاهم المتبادل </w:t>
      </w:r>
      <w:r w:rsidRPr="005A0BBE">
        <w:rPr>
          <w:rFonts w:ascii="Simplified Arabic" w:hAnsi="Simplified Arabic" w:hint="cs"/>
          <w:rtl/>
        </w:rPr>
        <w:t>والمجالات</w:t>
      </w:r>
      <w:r w:rsidRPr="005A0BBE">
        <w:rPr>
          <w:rFonts w:ascii="Simplified Arabic" w:hAnsi="Simplified Arabic"/>
          <w:rtl/>
        </w:rPr>
        <w:t xml:space="preserve"> المشتركة بين الثقافات وتبادل المعارف والمصالحة. </w:t>
      </w:r>
      <w:r w:rsidRPr="005A0BBE">
        <w:rPr>
          <w:rFonts w:ascii="Simplified Arabic" w:hAnsi="Simplified Arabic" w:hint="cs"/>
          <w:rtl/>
        </w:rPr>
        <w:t>و</w:t>
      </w:r>
      <w:r w:rsidRPr="005A0BBE">
        <w:rPr>
          <w:rFonts w:ascii="Simplified Arabic" w:hAnsi="Simplified Arabic"/>
          <w:rtl/>
        </w:rPr>
        <w:t xml:space="preserve">يمكن أن تكون هذه العلاقات مفيدة </w:t>
      </w:r>
      <w:r w:rsidRPr="005A0BBE">
        <w:rPr>
          <w:rFonts w:ascii="Simplified Arabic" w:hAnsi="Simplified Arabic" w:hint="cs"/>
          <w:rtl/>
        </w:rPr>
        <w:t>لجميع الأطراف</w:t>
      </w:r>
      <w:r w:rsidRPr="005A0BBE">
        <w:rPr>
          <w:rFonts w:ascii="Simplified Arabic" w:hAnsi="Simplified Arabic"/>
          <w:rtl/>
        </w:rPr>
        <w:t xml:space="preserve"> وتجسد مفهوم المعاملة بالمثل؛</w:t>
      </w:r>
      <w:r w:rsidRPr="005A0BBE">
        <w:rPr>
          <w:vertAlign w:val="superscript"/>
          <w:rtl/>
        </w:rPr>
        <w:footnoteReference w:id="195"/>
      </w:r>
      <w:bookmarkEnd w:id="132"/>
    </w:p>
    <w:p w:rsidR="00EE0FD7" w:rsidRPr="005A0BBE" w:rsidRDefault="00EE0FD7" w:rsidP="005C478D">
      <w:pPr>
        <w:ind w:firstLine="720"/>
        <w:rPr>
          <w:rFonts w:ascii="Simplified Arabic" w:hAnsi="Simplified Arabic"/>
          <w:rtl/>
        </w:rPr>
      </w:pPr>
      <w:bookmarkStart w:id="133" w:name="_Toc6071608"/>
      <w:r w:rsidRPr="005A0BBE">
        <w:rPr>
          <w:rFonts w:ascii="Simplified Arabic" w:hAnsi="Simplified Arabic"/>
          <w:rtl/>
        </w:rPr>
        <w:t>(ه)</w:t>
      </w:r>
      <w:r w:rsidRPr="005A0BBE">
        <w:rPr>
          <w:rFonts w:ascii="Simplified Arabic" w:hAnsi="Simplified Arabic" w:hint="cs"/>
          <w:rtl/>
        </w:rPr>
        <w:tab/>
      </w:r>
      <w:r w:rsidRPr="005A0BBE">
        <w:rPr>
          <w:rFonts w:ascii="Simplified Arabic" w:hAnsi="Simplified Arabic"/>
          <w:rtl/>
        </w:rPr>
        <w:t xml:space="preserve">ينبغي أن تكون جهود إعادة التوطين تطلعية، وأن تعزز بناء العلاقات، وأن تشجع على إيجاد </w:t>
      </w:r>
      <w:r w:rsidRPr="005A0BBE">
        <w:rPr>
          <w:rFonts w:ascii="Simplified Arabic" w:hAnsi="Simplified Arabic" w:hint="cs"/>
          <w:rtl/>
        </w:rPr>
        <w:t>مجالات</w:t>
      </w:r>
      <w:r w:rsidRPr="005A0BBE">
        <w:rPr>
          <w:rFonts w:ascii="Simplified Arabic" w:hAnsi="Simplified Arabic"/>
          <w:rtl/>
        </w:rPr>
        <w:t xml:space="preserve"> مشتركة بين الثقافات وتقاسم المعارف؛</w:t>
      </w:r>
      <w:bookmarkEnd w:id="133"/>
    </w:p>
    <w:p w:rsidR="00EE0FD7" w:rsidRPr="005A0BBE" w:rsidRDefault="00EE0FD7" w:rsidP="005C478D">
      <w:pPr>
        <w:ind w:firstLine="720"/>
        <w:rPr>
          <w:rFonts w:ascii="Simplified Arabic" w:hAnsi="Simplified Arabic"/>
          <w:rtl/>
        </w:rPr>
      </w:pPr>
      <w:bookmarkStart w:id="134" w:name="_Toc6071609"/>
      <w:r w:rsidRPr="005A0BBE">
        <w:rPr>
          <w:rFonts w:ascii="Simplified Arabic" w:hAnsi="Simplified Arabic"/>
          <w:rtl/>
        </w:rPr>
        <w:t>(و)</w:t>
      </w:r>
      <w:r w:rsidRPr="005A0BBE">
        <w:rPr>
          <w:rFonts w:ascii="Simplified Arabic" w:hAnsi="Simplified Arabic" w:hint="cs"/>
          <w:rtl/>
        </w:rPr>
        <w:tab/>
      </w:r>
      <w:r w:rsidRPr="005A0BBE">
        <w:rPr>
          <w:rFonts w:ascii="Simplified Arabic" w:hAnsi="Simplified Arabic"/>
          <w:rtl/>
        </w:rPr>
        <w:t xml:space="preserve">يعد استعداد المؤسسات </w:t>
      </w:r>
      <w:r w:rsidRPr="005A0BBE">
        <w:rPr>
          <w:rFonts w:ascii="Simplified Arabic" w:hAnsi="Simplified Arabic" w:hint="cs"/>
          <w:rtl/>
        </w:rPr>
        <w:t>الحائزة على</w:t>
      </w:r>
      <w:r w:rsidRPr="005A0BBE">
        <w:rPr>
          <w:rFonts w:ascii="Simplified Arabic" w:hAnsi="Simplified Arabic"/>
          <w:rtl/>
        </w:rPr>
        <w:t xml:space="preserve"> المعارف التقليدية والمعلومات ذات الصلة أو التكميلية ذات الصلة </w:t>
      </w:r>
      <w:r w:rsidRPr="005A0BBE">
        <w:rPr>
          <w:rFonts w:ascii="Simplified Arabic" w:hAnsi="Simplified Arabic" w:hint="cs"/>
          <w:rtl/>
        </w:rPr>
        <w:t>بحفظ التنوع البيولوجي واستخدامه المستدام أو التي تخزنها أو تستضيفها</w:t>
      </w:r>
      <w:r w:rsidRPr="005A0BBE">
        <w:rPr>
          <w:rFonts w:ascii="Simplified Arabic" w:hAnsi="Simplified Arabic"/>
          <w:rtl/>
        </w:rPr>
        <w:t xml:space="preserve">، </w:t>
      </w:r>
      <w:r w:rsidRPr="005A0BBE">
        <w:rPr>
          <w:rFonts w:ascii="Simplified Arabic" w:hAnsi="Simplified Arabic" w:hint="cs"/>
          <w:rtl/>
        </w:rPr>
        <w:t>ل</w:t>
      </w:r>
      <w:r w:rsidRPr="005A0BBE">
        <w:rPr>
          <w:rFonts w:ascii="Simplified Arabic" w:hAnsi="Simplified Arabic"/>
          <w:rtl/>
        </w:rPr>
        <w:t xml:space="preserve">إعادة التوطين، بما في ذلك </w:t>
      </w:r>
      <w:r w:rsidRPr="005A0BBE">
        <w:rPr>
          <w:rFonts w:ascii="Simplified Arabic" w:hAnsi="Simplified Arabic" w:hint="cs"/>
          <w:rtl/>
        </w:rPr>
        <w:t>الاستعداد</w:t>
      </w:r>
      <w:r w:rsidRPr="005A0BBE">
        <w:rPr>
          <w:rFonts w:ascii="Simplified Arabic" w:hAnsi="Simplified Arabic"/>
          <w:rtl/>
        </w:rPr>
        <w:t xml:space="preserve"> للتعاون مع الشعوب الأصلية والمجتمعات المحلية لوضع تدابير مناسبة، أمرا أساسيا لنجاح العملية؛</w:t>
      </w:r>
      <w:bookmarkEnd w:id="134"/>
    </w:p>
    <w:p w:rsidR="00EE0FD7" w:rsidRPr="005A0BBE" w:rsidRDefault="00EE0FD7" w:rsidP="005C478D">
      <w:pPr>
        <w:ind w:firstLine="720"/>
        <w:rPr>
          <w:rFonts w:ascii="Simplified Arabic" w:hAnsi="Simplified Arabic"/>
          <w:rtl/>
        </w:rPr>
      </w:pPr>
      <w:bookmarkStart w:id="135" w:name="_Toc6071610"/>
      <w:r w:rsidRPr="005A0BBE">
        <w:rPr>
          <w:rFonts w:ascii="Simplified Arabic" w:hAnsi="Simplified Arabic"/>
          <w:rtl/>
        </w:rPr>
        <w:t>(ز)</w:t>
      </w:r>
      <w:r w:rsidRPr="005A0BBE">
        <w:rPr>
          <w:rFonts w:ascii="Simplified Arabic" w:hAnsi="Simplified Arabic" w:hint="cs"/>
          <w:rtl/>
        </w:rPr>
        <w:tab/>
      </w:r>
      <w:r w:rsidRPr="005A0BBE">
        <w:rPr>
          <w:rFonts w:ascii="Simplified Arabic" w:hAnsi="Simplified Arabic"/>
          <w:rtl/>
        </w:rPr>
        <w:t xml:space="preserve">قد تتطلب إعادة التوطين مساعدة الشعوب الأصلية والمجتمعات المحلية على </w:t>
      </w:r>
      <w:r w:rsidRPr="005A0BBE">
        <w:rPr>
          <w:rFonts w:ascii="Simplified Arabic" w:hAnsi="Simplified Arabic" w:hint="cs"/>
          <w:rtl/>
        </w:rPr>
        <w:t>الاستعداد</w:t>
      </w:r>
      <w:r w:rsidRPr="005A0BBE">
        <w:rPr>
          <w:rFonts w:ascii="Simplified Arabic" w:hAnsi="Simplified Arabic"/>
          <w:rtl/>
        </w:rPr>
        <w:t xml:space="preserve"> </w:t>
      </w:r>
      <w:r w:rsidRPr="005A0BBE">
        <w:rPr>
          <w:rFonts w:ascii="Simplified Arabic" w:hAnsi="Simplified Arabic" w:hint="cs"/>
          <w:rtl/>
        </w:rPr>
        <w:t>لاستلام</w:t>
      </w:r>
      <w:r w:rsidRPr="005A0BBE">
        <w:rPr>
          <w:rFonts w:ascii="Simplified Arabic" w:hAnsi="Simplified Arabic"/>
          <w:rtl/>
        </w:rPr>
        <w:t xml:space="preserve"> المعارف التقليدية </w:t>
      </w:r>
      <w:r w:rsidRPr="005A0BBE">
        <w:rPr>
          <w:rFonts w:ascii="Simplified Arabic" w:hAnsi="Simplified Arabic" w:hint="cs"/>
          <w:rtl/>
        </w:rPr>
        <w:t xml:space="preserve">المعاد توطينها </w:t>
      </w:r>
      <w:r w:rsidRPr="005A0BBE">
        <w:rPr>
          <w:rFonts w:ascii="Simplified Arabic" w:hAnsi="Simplified Arabic"/>
          <w:rtl/>
        </w:rPr>
        <w:t xml:space="preserve">والمعلومات </w:t>
      </w:r>
      <w:r w:rsidRPr="005A0BBE">
        <w:rPr>
          <w:rFonts w:ascii="Simplified Arabic" w:hAnsi="Simplified Arabic" w:hint="cs"/>
          <w:rtl/>
        </w:rPr>
        <w:t>ذات الصلة</w:t>
      </w:r>
      <w:r w:rsidRPr="005A0BBE">
        <w:rPr>
          <w:rFonts w:ascii="Simplified Arabic" w:hAnsi="Simplified Arabic"/>
          <w:rtl/>
        </w:rPr>
        <w:t xml:space="preserve"> والحفاظ عليها، ب</w:t>
      </w:r>
      <w:r>
        <w:rPr>
          <w:rFonts w:ascii="Simplified Arabic" w:hAnsi="Simplified Arabic" w:hint="cs"/>
          <w:rtl/>
        </w:rPr>
        <w:t>وسائل</w:t>
      </w:r>
      <w:r w:rsidRPr="005A0BBE">
        <w:rPr>
          <w:rFonts w:ascii="Simplified Arabic" w:hAnsi="Simplified Arabic"/>
          <w:rtl/>
        </w:rPr>
        <w:t xml:space="preserve"> مناسبة ثقافيا، على النحو الذي تحدده</w:t>
      </w:r>
      <w:r w:rsidRPr="005A0BBE">
        <w:rPr>
          <w:rFonts w:ascii="Simplified Arabic" w:hAnsi="Simplified Arabic" w:hint="cs"/>
          <w:rtl/>
        </w:rPr>
        <w:t xml:space="preserve"> هذه</w:t>
      </w:r>
      <w:r w:rsidRPr="005A0BBE">
        <w:rPr>
          <w:rFonts w:ascii="Simplified Arabic" w:hAnsi="Simplified Arabic"/>
          <w:rtl/>
        </w:rPr>
        <w:t xml:space="preserve"> الشعوب والمجتمعات؛</w:t>
      </w:r>
      <w:bookmarkEnd w:id="135"/>
    </w:p>
    <w:p w:rsidR="00EE0FD7" w:rsidRPr="005A0BBE" w:rsidRDefault="00EE0FD7" w:rsidP="005C478D">
      <w:pPr>
        <w:ind w:firstLine="720"/>
        <w:rPr>
          <w:rFonts w:ascii="Simplified Arabic" w:hAnsi="Simplified Arabic"/>
          <w:rtl/>
        </w:rPr>
      </w:pPr>
      <w:bookmarkStart w:id="136" w:name="_Toc6071611"/>
      <w:r w:rsidRPr="005A0BBE">
        <w:rPr>
          <w:rFonts w:ascii="Simplified Arabic" w:hAnsi="Simplified Arabic"/>
          <w:rtl/>
        </w:rPr>
        <w:lastRenderedPageBreak/>
        <w:t>(ح)</w:t>
      </w:r>
      <w:r w:rsidRPr="005A0BBE">
        <w:rPr>
          <w:rFonts w:ascii="Simplified Arabic" w:hAnsi="Simplified Arabic" w:hint="cs"/>
          <w:rtl/>
        </w:rPr>
        <w:tab/>
      </w:r>
      <w:r w:rsidRPr="005A0BBE">
        <w:rPr>
          <w:rFonts w:ascii="Simplified Arabic" w:hAnsi="Simplified Arabic"/>
          <w:rtl/>
        </w:rPr>
        <w:t xml:space="preserve">ينبغي أن </w:t>
      </w:r>
      <w:r w:rsidRPr="005A0BBE">
        <w:rPr>
          <w:rFonts w:ascii="Simplified Arabic" w:hAnsi="Simplified Arabic" w:hint="cs"/>
          <w:rtl/>
        </w:rPr>
        <w:t>تدرك</w:t>
      </w:r>
      <w:r w:rsidRPr="005A0BBE">
        <w:rPr>
          <w:rFonts w:ascii="Simplified Arabic" w:hAnsi="Simplified Arabic"/>
          <w:rtl/>
        </w:rPr>
        <w:t xml:space="preserve"> </w:t>
      </w:r>
      <w:r w:rsidRPr="005A0BBE">
        <w:rPr>
          <w:rFonts w:ascii="Simplified Arabic" w:hAnsi="Simplified Arabic" w:hint="cs"/>
          <w:rtl/>
        </w:rPr>
        <w:t>ا</w:t>
      </w:r>
      <w:r w:rsidRPr="005A0BBE">
        <w:rPr>
          <w:rFonts w:ascii="Simplified Arabic" w:hAnsi="Simplified Arabic"/>
          <w:rtl/>
        </w:rPr>
        <w:t xml:space="preserve">لأطراف </w:t>
      </w:r>
      <w:r w:rsidRPr="005A0BBE">
        <w:rPr>
          <w:rFonts w:ascii="Simplified Arabic" w:hAnsi="Simplified Arabic" w:hint="cs"/>
          <w:rtl/>
        </w:rPr>
        <w:t>و</w:t>
      </w:r>
      <w:r w:rsidRPr="005A0BBE">
        <w:rPr>
          <w:rFonts w:ascii="Simplified Arabic" w:hAnsi="Simplified Arabic"/>
          <w:rtl/>
        </w:rPr>
        <w:t xml:space="preserve">المؤسسات والكيانات </w:t>
      </w:r>
      <w:r w:rsidRPr="005A0BBE">
        <w:rPr>
          <w:rFonts w:ascii="Simplified Arabic" w:hAnsi="Simplified Arabic" w:hint="cs"/>
          <w:rtl/>
        </w:rPr>
        <w:t>التي تقوم بإعادة ال</w:t>
      </w:r>
      <w:r w:rsidRPr="005A0BBE">
        <w:rPr>
          <w:rFonts w:ascii="Simplified Arabic" w:hAnsi="Simplified Arabic"/>
          <w:rtl/>
        </w:rPr>
        <w:t>توطين أهمية إعادة توطين المعارف التقليدية السرية أو المقدسة أو الجنسانية أو الحساسة،</w:t>
      </w:r>
      <w:r w:rsidRPr="005A0BBE">
        <w:rPr>
          <w:vertAlign w:val="superscript"/>
          <w:rtl/>
        </w:rPr>
        <w:footnoteReference w:id="196"/>
      </w:r>
      <w:r w:rsidRPr="005A0BBE">
        <w:rPr>
          <w:rFonts w:ascii="Simplified Arabic" w:hAnsi="Simplified Arabic"/>
          <w:rtl/>
        </w:rPr>
        <w:t xml:space="preserve"> </w:t>
      </w:r>
      <w:r w:rsidRPr="005A0BBE">
        <w:rPr>
          <w:rFonts w:ascii="Simplified Arabic" w:hAnsi="Simplified Arabic" w:hint="cs"/>
          <w:rtl/>
        </w:rPr>
        <w:t xml:space="preserve">على النحو الذي تحدده </w:t>
      </w:r>
      <w:r w:rsidRPr="005A0BBE">
        <w:rPr>
          <w:rFonts w:ascii="Simplified Arabic" w:hAnsi="Simplified Arabic"/>
          <w:rtl/>
        </w:rPr>
        <w:t xml:space="preserve">الشعوب الأصلية والمجتمعات المحلية </w:t>
      </w:r>
      <w:r w:rsidRPr="005A0BBE">
        <w:rPr>
          <w:rFonts w:ascii="Simplified Arabic" w:hAnsi="Simplified Arabic" w:hint="cs"/>
          <w:rtl/>
        </w:rPr>
        <w:t>المعنية</w:t>
      </w:r>
      <w:r w:rsidRPr="005A0BBE">
        <w:rPr>
          <w:rFonts w:ascii="Simplified Arabic" w:hAnsi="Simplified Arabic"/>
          <w:rtl/>
        </w:rPr>
        <w:t>، كأولوية للشعوب الأصلية والمجتمعات المحلية؛</w:t>
      </w:r>
      <w:bookmarkEnd w:id="136"/>
    </w:p>
    <w:p w:rsidR="00EE0FD7" w:rsidRPr="005A0BBE" w:rsidRDefault="00EE0FD7" w:rsidP="005C478D">
      <w:pPr>
        <w:ind w:firstLine="720"/>
        <w:rPr>
          <w:rFonts w:ascii="Simplified Arabic" w:hAnsi="Simplified Arabic"/>
          <w:rtl/>
        </w:rPr>
      </w:pPr>
      <w:bookmarkStart w:id="137" w:name="_Toc6071612"/>
      <w:r w:rsidRPr="005A0BBE">
        <w:rPr>
          <w:rFonts w:ascii="Simplified Arabic" w:hAnsi="Simplified Arabic"/>
          <w:rtl/>
        </w:rPr>
        <w:t>(ط)</w:t>
      </w:r>
      <w:r w:rsidRPr="005A0BBE">
        <w:rPr>
          <w:rFonts w:ascii="Simplified Arabic" w:hAnsi="Simplified Arabic" w:hint="cs"/>
          <w:rtl/>
        </w:rPr>
        <w:tab/>
      </w:r>
      <w:r w:rsidRPr="005A0BBE">
        <w:rPr>
          <w:rFonts w:ascii="Simplified Arabic" w:hAnsi="Simplified Arabic"/>
          <w:rtl/>
        </w:rPr>
        <w:t xml:space="preserve">يمكن تعزيز إعادة التوطين عن طريق </w:t>
      </w:r>
      <w:r w:rsidRPr="005A0BBE">
        <w:rPr>
          <w:rFonts w:ascii="Simplified Arabic" w:hAnsi="Simplified Arabic" w:hint="cs"/>
          <w:rtl/>
        </w:rPr>
        <w:t>زيادة</w:t>
      </w:r>
      <w:r w:rsidRPr="005A0BBE">
        <w:rPr>
          <w:rFonts w:ascii="Simplified Arabic" w:hAnsi="Simplified Arabic"/>
          <w:rtl/>
        </w:rPr>
        <w:t xml:space="preserve"> وعي العاملين في مجال إعادة التوطين</w:t>
      </w:r>
      <w:r w:rsidRPr="005A0BBE">
        <w:rPr>
          <w:rFonts w:ascii="Simplified Arabic" w:hAnsi="Simplified Arabic" w:hint="cs"/>
          <w:rtl/>
        </w:rPr>
        <w:t xml:space="preserve"> وتطوير ممارساتهم المهنية</w:t>
      </w:r>
      <w:r w:rsidRPr="005A0BBE">
        <w:rPr>
          <w:rFonts w:ascii="Simplified Arabic" w:hAnsi="Simplified Arabic"/>
          <w:rtl/>
        </w:rPr>
        <w:t>، بم</w:t>
      </w:r>
      <w:r>
        <w:rPr>
          <w:rFonts w:ascii="Simplified Arabic" w:hAnsi="Simplified Arabic" w:hint="cs"/>
          <w:rtl/>
        </w:rPr>
        <w:t>ا</w:t>
      </w:r>
      <w:r w:rsidRPr="005A0BBE">
        <w:rPr>
          <w:rFonts w:ascii="Simplified Arabic" w:hAnsi="Simplified Arabic"/>
          <w:rtl/>
        </w:rPr>
        <w:t xml:space="preserve"> في</w:t>
      </w:r>
      <w:r>
        <w:rPr>
          <w:rFonts w:ascii="Simplified Arabic" w:hAnsi="Simplified Arabic" w:hint="cs"/>
          <w:rtl/>
        </w:rPr>
        <w:t xml:space="preserve"> ذلك</w:t>
      </w:r>
      <w:r w:rsidRPr="005A0BBE">
        <w:rPr>
          <w:rFonts w:ascii="Simplified Arabic" w:hAnsi="Simplified Arabic"/>
          <w:rtl/>
        </w:rPr>
        <w:t xml:space="preserve"> مهني</w:t>
      </w:r>
      <w:r>
        <w:rPr>
          <w:rFonts w:ascii="Simplified Arabic" w:hAnsi="Simplified Arabic" w:hint="cs"/>
          <w:rtl/>
        </w:rPr>
        <w:t>ي</w:t>
      </w:r>
      <w:r w:rsidRPr="005A0BBE">
        <w:rPr>
          <w:rFonts w:ascii="Simplified Arabic" w:hAnsi="Simplified Arabic"/>
          <w:rtl/>
        </w:rPr>
        <w:t xml:space="preserve"> المعلومات والشعوب الأصلية والمجتمعات المحلية، وفقا لأفضل ممارسات </w:t>
      </w:r>
      <w:r w:rsidRPr="005A0BBE">
        <w:rPr>
          <w:rFonts w:ascii="Simplified Arabic" w:hAnsi="Simplified Arabic" w:hint="cs"/>
          <w:rtl/>
        </w:rPr>
        <w:t>ا</w:t>
      </w:r>
      <w:r w:rsidRPr="005A0BBE">
        <w:rPr>
          <w:rFonts w:ascii="Simplified Arabic" w:hAnsi="Simplified Arabic"/>
          <w:rtl/>
        </w:rPr>
        <w:t xml:space="preserve">لمعايير الأخلاقية، بما في ذلك مدونة السلوك الأخلاقي </w:t>
      </w:r>
      <w:r w:rsidRPr="005A0BBE">
        <w:rPr>
          <w:rFonts w:ascii="Simplified Arabic" w:hAnsi="Simplified Arabic" w:hint="cs"/>
          <w:i/>
          <w:rtl/>
        </w:rPr>
        <w:t>تغاريوايي:ري</w:t>
      </w:r>
      <w:r w:rsidRPr="005A0BBE">
        <w:rPr>
          <w:rFonts w:ascii="Simplified Arabic" w:hAnsi="Simplified Arabic"/>
          <w:rtl/>
        </w:rPr>
        <w:t xml:space="preserve"> </w:t>
      </w:r>
      <w:r w:rsidRPr="005A0BBE">
        <w:rPr>
          <w:rFonts w:ascii="Simplified Arabic" w:hAnsi="Simplified Arabic" w:hint="cs"/>
          <w:rtl/>
        </w:rPr>
        <w:t>لضمان احترام ا</w:t>
      </w:r>
      <w:r w:rsidRPr="005A0BBE">
        <w:rPr>
          <w:rFonts w:ascii="Simplified Arabic" w:hAnsi="Simplified Arabic"/>
          <w:rtl/>
        </w:rPr>
        <w:t>لتراث الثقافي والفكري للمجتمعات الأصلية والمحلية ذ</w:t>
      </w:r>
      <w:r w:rsidRPr="005A0BBE">
        <w:rPr>
          <w:rFonts w:ascii="Simplified Arabic" w:hAnsi="Simplified Arabic" w:hint="cs"/>
          <w:rtl/>
        </w:rPr>
        <w:t>ي</w:t>
      </w:r>
      <w:r w:rsidRPr="005A0BBE">
        <w:rPr>
          <w:rFonts w:ascii="Simplified Arabic" w:hAnsi="Simplified Arabic"/>
          <w:rtl/>
        </w:rPr>
        <w:t xml:space="preserve"> الصلة بحفظ التنوع البيولوجي واستخدامه المستدام؛</w:t>
      </w:r>
      <w:r w:rsidRPr="005A0BBE">
        <w:rPr>
          <w:vertAlign w:val="superscript"/>
          <w:rtl/>
        </w:rPr>
        <w:footnoteReference w:id="197"/>
      </w:r>
      <w:bookmarkEnd w:id="137"/>
    </w:p>
    <w:p w:rsidR="00EE0FD7" w:rsidRPr="005A0BBE" w:rsidRDefault="00EE0FD7" w:rsidP="005C478D">
      <w:pPr>
        <w:ind w:firstLine="720"/>
        <w:rPr>
          <w:rFonts w:ascii="Simplified Arabic" w:hAnsi="Simplified Arabic"/>
          <w:rtl/>
        </w:rPr>
      </w:pPr>
      <w:bookmarkStart w:id="138" w:name="_Toc6071613"/>
      <w:r w:rsidRPr="005A0BBE">
        <w:rPr>
          <w:rFonts w:ascii="Simplified Arabic" w:hAnsi="Simplified Arabic"/>
          <w:rtl/>
        </w:rPr>
        <w:t>(ي)</w:t>
      </w:r>
      <w:r w:rsidRPr="005A0BBE">
        <w:rPr>
          <w:rFonts w:ascii="Simplified Arabic" w:hAnsi="Simplified Arabic" w:hint="cs"/>
          <w:rtl/>
        </w:rPr>
        <w:tab/>
      </w:r>
      <w:r w:rsidRPr="005A0BBE">
        <w:rPr>
          <w:rFonts w:ascii="Simplified Arabic" w:hAnsi="Simplified Arabic"/>
          <w:rtl/>
        </w:rPr>
        <w:t xml:space="preserve">تشمل إعادة التوطين الاعتراف </w:t>
      </w:r>
      <w:r w:rsidRPr="005A0BBE">
        <w:rPr>
          <w:rFonts w:ascii="Simplified Arabic" w:hAnsi="Simplified Arabic" w:hint="cs"/>
          <w:rtl/>
        </w:rPr>
        <w:t>ب</w:t>
      </w:r>
      <w:r w:rsidRPr="005A0BBE">
        <w:rPr>
          <w:rFonts w:ascii="Simplified Arabic" w:hAnsi="Simplified Arabic"/>
          <w:rtl/>
        </w:rPr>
        <w:t xml:space="preserve">الجهود المبذولة </w:t>
      </w:r>
      <w:r w:rsidRPr="005A0BBE">
        <w:rPr>
          <w:rFonts w:ascii="Simplified Arabic" w:hAnsi="Simplified Arabic" w:hint="cs"/>
          <w:rtl/>
        </w:rPr>
        <w:t>فيما بين</w:t>
      </w:r>
      <w:r w:rsidRPr="005A0BBE">
        <w:rPr>
          <w:rFonts w:ascii="Simplified Arabic" w:hAnsi="Simplified Arabic"/>
          <w:rtl/>
        </w:rPr>
        <w:t xml:space="preserve"> المجتمعات لاستعادة المعارف التقليدية ذات الصلة بحفظ التنوع البيولوجي واستخدامه المستدام</w:t>
      </w:r>
      <w:r w:rsidRPr="005A0BBE">
        <w:rPr>
          <w:rFonts w:ascii="Simplified Arabic" w:hAnsi="Simplified Arabic" w:hint="cs"/>
          <w:rtl/>
        </w:rPr>
        <w:t xml:space="preserve"> ودعم تلك الجهود</w:t>
      </w:r>
      <w:r w:rsidRPr="005A0BBE">
        <w:rPr>
          <w:rFonts w:ascii="Simplified Arabic" w:hAnsi="Simplified Arabic"/>
          <w:rtl/>
        </w:rPr>
        <w:t>؛</w:t>
      </w:r>
      <w:bookmarkEnd w:id="138"/>
    </w:p>
    <w:p w:rsidR="00EE0FD7" w:rsidRPr="005A0BBE" w:rsidRDefault="00EE0FD7" w:rsidP="005C478D">
      <w:pPr>
        <w:ind w:firstLine="720"/>
        <w:rPr>
          <w:rFonts w:ascii="Simplified Arabic" w:hAnsi="Simplified Arabic"/>
        </w:rPr>
      </w:pPr>
      <w:bookmarkStart w:id="139" w:name="_Toc6071614"/>
      <w:r w:rsidRPr="005A0BBE">
        <w:rPr>
          <w:rFonts w:ascii="Simplified Arabic" w:hAnsi="Simplified Arabic" w:hint="cs"/>
          <w:rtl/>
        </w:rPr>
        <w:t>(ك)</w:t>
      </w:r>
      <w:r w:rsidRPr="005A0BBE">
        <w:rPr>
          <w:rFonts w:ascii="Simplified Arabic" w:hAnsi="Simplified Arabic" w:hint="cs"/>
          <w:rtl/>
        </w:rPr>
        <w:tab/>
        <w:t xml:space="preserve">قد تشمل </w:t>
      </w:r>
      <w:r w:rsidRPr="005A0BBE">
        <w:rPr>
          <w:rFonts w:ascii="Simplified Arabic" w:hAnsi="Simplified Arabic"/>
          <w:rtl/>
        </w:rPr>
        <w:t>إعادة التوطين</w:t>
      </w:r>
      <w:r w:rsidRPr="005A0BBE">
        <w:rPr>
          <w:rFonts w:ascii="Simplified Arabic" w:hAnsi="Simplified Arabic" w:hint="cs"/>
          <w:rtl/>
        </w:rPr>
        <w:t xml:space="preserve"> جهودا لكي تستعيد الشعوب الأصلية والمجتمعات المحلية القدرة على إدارة معارفها التقليدية، وقد تنطوي على الموافقة</w:t>
      </w:r>
      <w:r w:rsidRPr="005A0BBE">
        <w:rPr>
          <w:rFonts w:ascii="Simplified Arabic" w:hAnsi="Simplified Arabic"/>
          <w:rtl/>
        </w:rPr>
        <w:t xml:space="preserve"> المسبقة عن علم</w:t>
      </w:r>
      <w:r w:rsidRPr="005A0BBE">
        <w:rPr>
          <w:rFonts w:ascii="Simplified Arabic" w:hAnsi="Simplified Arabic" w:hint="cs"/>
          <w:rtl/>
        </w:rPr>
        <w:t>،</w:t>
      </w:r>
      <w:r w:rsidRPr="005A0BBE">
        <w:rPr>
          <w:rFonts w:ascii="Simplified Arabic" w:hAnsi="Simplified Arabic"/>
          <w:rtl/>
        </w:rPr>
        <w:t xml:space="preserve"> أو الموافقة الحرة والمسبقة عن علم</w:t>
      </w:r>
      <w:r w:rsidRPr="005A0BBE">
        <w:rPr>
          <w:rFonts w:ascii="Simplified Arabic" w:hAnsi="Simplified Arabic" w:hint="cs"/>
          <w:rtl/>
        </w:rPr>
        <w:t>،</w:t>
      </w:r>
      <w:r w:rsidRPr="005A0BBE">
        <w:rPr>
          <w:rFonts w:ascii="Simplified Arabic" w:hAnsi="Simplified Arabic"/>
          <w:rtl/>
        </w:rPr>
        <w:t xml:space="preserve"> أو ال</w:t>
      </w:r>
      <w:r>
        <w:rPr>
          <w:rFonts w:ascii="Simplified Arabic" w:hAnsi="Simplified Arabic" w:hint="cs"/>
          <w:rtl/>
        </w:rPr>
        <w:t>قبول</w:t>
      </w:r>
      <w:r w:rsidRPr="005A0BBE">
        <w:rPr>
          <w:rFonts w:ascii="Simplified Arabic" w:hAnsi="Simplified Arabic"/>
          <w:rtl/>
        </w:rPr>
        <w:t xml:space="preserve"> والمشاركة</w:t>
      </w:r>
      <w:r w:rsidRPr="005A0BBE">
        <w:rPr>
          <w:rFonts w:ascii="Simplified Arabic" w:hAnsi="Simplified Arabic" w:hint="cs"/>
          <w:rtl/>
        </w:rPr>
        <w:t>، حسب الاقتضاء، وفقا لشروط متفق عليها بصورة متبادلة وترتيبات بشأن تقاسم المنافع، حسب الاقتضاء؛</w:t>
      </w:r>
      <w:bookmarkEnd w:id="139"/>
    </w:p>
    <w:p w:rsidR="00EE0FD7" w:rsidRPr="005A0BBE" w:rsidRDefault="00EE0FD7" w:rsidP="005C478D">
      <w:pPr>
        <w:ind w:firstLine="720"/>
        <w:rPr>
          <w:rFonts w:ascii="Simplified Arabic" w:hAnsi="Simplified Arabic"/>
          <w:rtl/>
        </w:rPr>
      </w:pPr>
      <w:bookmarkStart w:id="140" w:name="_Toc6071615"/>
      <w:r w:rsidRPr="005A0BBE">
        <w:rPr>
          <w:rFonts w:ascii="Simplified Arabic" w:hAnsi="Simplified Arabic"/>
          <w:rtl/>
        </w:rPr>
        <w:t>(</w:t>
      </w:r>
      <w:r w:rsidRPr="005A0BBE">
        <w:rPr>
          <w:rFonts w:ascii="Simplified Arabic" w:hAnsi="Simplified Arabic" w:hint="cs"/>
          <w:rtl/>
        </w:rPr>
        <w:t>ل</w:t>
      </w:r>
      <w:r w:rsidRPr="005A0BBE">
        <w:rPr>
          <w:rFonts w:ascii="Simplified Arabic" w:hAnsi="Simplified Arabic"/>
          <w:rtl/>
        </w:rPr>
        <w:t>)</w:t>
      </w:r>
      <w:r w:rsidRPr="005A0BBE">
        <w:rPr>
          <w:rFonts w:ascii="Simplified Arabic" w:hAnsi="Simplified Arabic" w:hint="cs"/>
          <w:rtl/>
        </w:rPr>
        <w:tab/>
      </w:r>
      <w:r w:rsidRPr="005A0BBE">
        <w:rPr>
          <w:rFonts w:ascii="Simplified Arabic" w:hAnsi="Simplified Arabic"/>
          <w:rtl/>
        </w:rPr>
        <w:t xml:space="preserve">ينبغي أن تيسر إعادة توطين المعارف التقليدية والمعلومات ذات الصلة تبادل المعلومات، بدلا من </w:t>
      </w:r>
      <w:r w:rsidRPr="005A0BBE">
        <w:rPr>
          <w:rFonts w:ascii="Simplified Arabic" w:hAnsi="Simplified Arabic" w:hint="cs"/>
          <w:rtl/>
        </w:rPr>
        <w:t>حصرها</w:t>
      </w:r>
      <w:r w:rsidRPr="005A0BBE">
        <w:rPr>
          <w:rFonts w:ascii="Simplified Arabic" w:hAnsi="Simplified Arabic"/>
          <w:rtl/>
        </w:rPr>
        <w:t xml:space="preserve"> أو تقييدها، مع احترام حقوق </w:t>
      </w:r>
      <w:r w:rsidRPr="005A0BBE">
        <w:rPr>
          <w:rFonts w:ascii="Simplified Arabic" w:hAnsi="Simplified Arabic" w:hint="cs"/>
          <w:rtl/>
        </w:rPr>
        <w:t>حائزها</w:t>
      </w:r>
      <w:r w:rsidRPr="005A0BBE">
        <w:rPr>
          <w:rFonts w:ascii="Simplified Arabic" w:hAnsi="Simplified Arabic"/>
          <w:rtl/>
        </w:rPr>
        <w:t xml:space="preserve"> الأصلي، </w:t>
      </w:r>
      <w:r w:rsidRPr="005A0BBE">
        <w:rPr>
          <w:rFonts w:ascii="Simplified Arabic" w:hAnsi="Simplified Arabic" w:hint="cs"/>
          <w:rtl/>
        </w:rPr>
        <w:t>وألا تعوق</w:t>
      </w:r>
      <w:r w:rsidRPr="005A0BBE">
        <w:rPr>
          <w:rFonts w:ascii="Simplified Arabic" w:hAnsi="Simplified Arabic"/>
          <w:rtl/>
        </w:rPr>
        <w:t xml:space="preserve"> استخدام المعارف التقليدية المتاحة للجمهور في </w:t>
      </w:r>
      <w:r w:rsidRPr="005A0BBE">
        <w:rPr>
          <w:rFonts w:ascii="Simplified Arabic" w:hAnsi="Simplified Arabic" w:hint="cs"/>
          <w:rtl/>
        </w:rPr>
        <w:t xml:space="preserve">البلد </w:t>
      </w:r>
      <w:r w:rsidRPr="005A0BBE">
        <w:rPr>
          <w:rFonts w:ascii="Simplified Arabic" w:hAnsi="Simplified Arabic"/>
          <w:rtl/>
        </w:rPr>
        <w:t xml:space="preserve">الطرف أو </w:t>
      </w:r>
      <w:r w:rsidRPr="005A0BBE">
        <w:rPr>
          <w:rFonts w:ascii="Simplified Arabic" w:hAnsi="Simplified Arabic" w:hint="cs"/>
          <w:rtl/>
        </w:rPr>
        <w:t xml:space="preserve">التي تكون لدى </w:t>
      </w:r>
      <w:r w:rsidRPr="005A0BBE">
        <w:rPr>
          <w:rFonts w:ascii="Simplified Arabic" w:hAnsi="Simplified Arabic"/>
          <w:rtl/>
        </w:rPr>
        <w:t>المؤسسة أو الكيان الذي يقرر إعاد</w:t>
      </w:r>
      <w:r w:rsidRPr="005A0BBE">
        <w:rPr>
          <w:rFonts w:ascii="Simplified Arabic" w:hAnsi="Simplified Arabic" w:hint="cs"/>
          <w:rtl/>
        </w:rPr>
        <w:t>ة توطينها</w:t>
      </w:r>
      <w:r w:rsidRPr="005A0BBE">
        <w:rPr>
          <w:rFonts w:ascii="Simplified Arabic" w:hAnsi="Simplified Arabic"/>
          <w:rtl/>
        </w:rPr>
        <w:t>.</w:t>
      </w:r>
      <w:bookmarkEnd w:id="140"/>
    </w:p>
    <w:p w:rsidR="00EE0FD7" w:rsidRPr="005A0BBE" w:rsidRDefault="00EE0FD7" w:rsidP="00EE0FD7">
      <w:pPr>
        <w:ind w:left="2131" w:right="720" w:hanging="1411"/>
        <w:rPr>
          <w:b/>
          <w:bCs/>
          <w:rtl/>
        </w:rPr>
      </w:pPr>
      <w:r w:rsidRPr="005A0BBE">
        <w:rPr>
          <w:b/>
          <w:bCs/>
          <w:rtl/>
        </w:rPr>
        <w:t>خامسا-</w:t>
      </w:r>
      <w:r w:rsidRPr="005A0BBE">
        <w:rPr>
          <w:rFonts w:hint="cs"/>
          <w:b/>
          <w:bCs/>
          <w:rtl/>
        </w:rPr>
        <w:tab/>
      </w:r>
      <w:r w:rsidRPr="005A0BBE">
        <w:rPr>
          <w:b/>
          <w:bCs/>
          <w:rtl/>
        </w:rPr>
        <w:t xml:space="preserve">الممارسات والإجراءات الجيدة </w:t>
      </w:r>
      <w:r w:rsidRPr="005A0BBE">
        <w:rPr>
          <w:rFonts w:hint="cs"/>
          <w:b/>
          <w:bCs/>
          <w:rtl/>
        </w:rPr>
        <w:t>المضطلع بها</w:t>
      </w:r>
      <w:r w:rsidRPr="005A0BBE">
        <w:rPr>
          <w:b/>
          <w:bCs/>
          <w:rtl/>
        </w:rPr>
        <w:t xml:space="preserve"> على مختلف</w:t>
      </w:r>
      <w:r w:rsidRPr="005A0BBE">
        <w:rPr>
          <w:rFonts w:hint="cs"/>
          <w:b/>
          <w:bCs/>
          <w:rtl/>
        </w:rPr>
        <w:t xml:space="preserve"> ال</w:t>
      </w:r>
      <w:r w:rsidRPr="005A0BBE">
        <w:rPr>
          <w:b/>
          <w:bCs/>
          <w:rtl/>
        </w:rPr>
        <w:t xml:space="preserve">مستويات، بما في ذلك من خلال عمليات التبادل </w:t>
      </w:r>
      <w:r w:rsidRPr="005A0BBE">
        <w:rPr>
          <w:rFonts w:hint="cs"/>
          <w:b/>
          <w:bCs/>
          <w:rtl/>
        </w:rPr>
        <w:t xml:space="preserve">فيما </w:t>
      </w:r>
      <w:r w:rsidRPr="005A0BBE">
        <w:rPr>
          <w:b/>
          <w:bCs/>
          <w:rtl/>
        </w:rPr>
        <w:t xml:space="preserve">بين المجتمعات، </w:t>
      </w:r>
      <w:r w:rsidRPr="005A0BBE">
        <w:rPr>
          <w:rFonts w:hint="cs"/>
          <w:b/>
          <w:bCs/>
          <w:rtl/>
        </w:rPr>
        <w:t xml:space="preserve">لإعادة توطين واستلام </w:t>
      </w:r>
      <w:r w:rsidRPr="005A0BBE">
        <w:rPr>
          <w:b/>
          <w:bCs/>
          <w:rtl/>
        </w:rPr>
        <w:t>واستعادة المعارف التقليدية ذات الصلة بحفظ التنوع البيولوجي واستخدامه المستدام</w:t>
      </w:r>
    </w:p>
    <w:p w:rsidR="00EE0FD7" w:rsidRPr="005A0BBE" w:rsidRDefault="00EE0FD7" w:rsidP="00EE0FD7">
      <w:pPr>
        <w:rPr>
          <w:rtl/>
        </w:rPr>
      </w:pPr>
      <w:r w:rsidRPr="005A0BBE">
        <w:rPr>
          <w:rFonts w:hint="cs"/>
          <w:rtl/>
        </w:rPr>
        <w:t>18-</w:t>
      </w:r>
      <w:r w:rsidRPr="005A0BBE">
        <w:rPr>
          <w:rFonts w:hint="cs"/>
          <w:rtl/>
        </w:rPr>
        <w:tab/>
      </w:r>
      <w:r w:rsidRPr="00557B06">
        <w:rPr>
          <w:rtl/>
        </w:rPr>
        <w:t>تهدف الممارسات والإجراءات</w:t>
      </w:r>
      <w:r>
        <w:rPr>
          <w:rFonts w:hint="cs"/>
          <w:rtl/>
        </w:rPr>
        <w:t xml:space="preserve"> </w:t>
      </w:r>
      <w:r w:rsidRPr="005A0BBE">
        <w:rPr>
          <w:rtl/>
        </w:rPr>
        <w:t xml:space="preserve">الجيدة التالية لإعادة توطين المعارف التقليدية إلى تقديم مشورة </w:t>
      </w:r>
      <w:r w:rsidRPr="005A0BBE">
        <w:rPr>
          <w:rFonts w:hint="cs"/>
          <w:rtl/>
        </w:rPr>
        <w:t>إلى ا</w:t>
      </w:r>
      <w:r w:rsidRPr="005A0BBE">
        <w:rPr>
          <w:rtl/>
        </w:rPr>
        <w:t xml:space="preserve">لمؤسسات والكيانات التي يمكن أن </w:t>
      </w:r>
      <w:r w:rsidRPr="005A0BBE">
        <w:rPr>
          <w:rFonts w:hint="cs"/>
          <w:rtl/>
        </w:rPr>
        <w:t>تكون حائزة على</w:t>
      </w:r>
      <w:r w:rsidRPr="005A0BBE">
        <w:rPr>
          <w:rtl/>
        </w:rPr>
        <w:t xml:space="preserve"> المعارف التقليدية والمعلومات ذات الصلة</w:t>
      </w:r>
      <w:r w:rsidRPr="005A0BBE">
        <w:rPr>
          <w:rFonts w:hint="cs"/>
          <w:rtl/>
        </w:rPr>
        <w:t xml:space="preserve"> أو تخزنها أو تستضيفها</w:t>
      </w:r>
      <w:r w:rsidRPr="005A0BBE">
        <w:rPr>
          <w:rtl/>
        </w:rPr>
        <w:t xml:space="preserve"> والتي تخدم الشعوب الأصلية والمجتمعات المحلية و/أو </w:t>
      </w:r>
      <w:r w:rsidRPr="005A0BBE">
        <w:rPr>
          <w:rFonts w:hint="cs"/>
          <w:rtl/>
        </w:rPr>
        <w:t xml:space="preserve">تكون حائزة على </w:t>
      </w:r>
      <w:r w:rsidRPr="005A0BBE">
        <w:rPr>
          <w:rtl/>
        </w:rPr>
        <w:t xml:space="preserve">مواد </w:t>
      </w:r>
      <w:r w:rsidRPr="005A0BBE">
        <w:rPr>
          <w:rFonts w:hint="cs"/>
          <w:rtl/>
        </w:rPr>
        <w:t>ذات محتويات أو منظورات خاصة با</w:t>
      </w:r>
      <w:r w:rsidRPr="005A0BBE">
        <w:rPr>
          <w:rtl/>
        </w:rPr>
        <w:t xml:space="preserve">لشعوب الأصلية والمحلية. ويمكن أن تشمل هذه، على سبيل المثال لا الحصر، الإدارات الحكومية والمنظمات الدولية </w:t>
      </w:r>
      <w:r w:rsidRPr="005A0BBE">
        <w:rPr>
          <w:rFonts w:hint="cs"/>
          <w:rtl/>
        </w:rPr>
        <w:t xml:space="preserve">والقطاع الخاص </w:t>
      </w:r>
      <w:r w:rsidRPr="005A0BBE">
        <w:rPr>
          <w:rtl/>
        </w:rPr>
        <w:t xml:space="preserve">والمتاحف وحدائق </w:t>
      </w:r>
      <w:r w:rsidRPr="005A0BBE">
        <w:rPr>
          <w:rFonts w:hint="cs"/>
          <w:rtl/>
        </w:rPr>
        <w:t>الأعشاب والنباتات و</w:t>
      </w:r>
      <w:r w:rsidRPr="005A0BBE">
        <w:rPr>
          <w:rtl/>
        </w:rPr>
        <w:t>الحيوان</w:t>
      </w:r>
      <w:r w:rsidRPr="005A0BBE">
        <w:rPr>
          <w:rFonts w:hint="cs"/>
          <w:rtl/>
        </w:rPr>
        <w:t>ات</w:t>
      </w:r>
      <w:r w:rsidRPr="005A0BBE">
        <w:rPr>
          <w:rtl/>
        </w:rPr>
        <w:t xml:space="preserve"> وقواعد البيانات والسجلات ومصارف الجين</w:t>
      </w:r>
      <w:r w:rsidRPr="005A0BBE">
        <w:rPr>
          <w:rFonts w:hint="cs"/>
          <w:rtl/>
        </w:rPr>
        <w:t>ات</w:t>
      </w:r>
      <w:r w:rsidRPr="005A0BBE">
        <w:rPr>
          <w:rtl/>
        </w:rPr>
        <w:t xml:space="preserve"> والمكتبات ودور المحفوظات </w:t>
      </w:r>
      <w:r w:rsidRPr="005A0BBE">
        <w:rPr>
          <w:rFonts w:hint="cs"/>
          <w:rtl/>
        </w:rPr>
        <w:t xml:space="preserve">والمجموعات الخاصة </w:t>
      </w:r>
      <w:r w:rsidRPr="005A0BBE">
        <w:rPr>
          <w:rtl/>
        </w:rPr>
        <w:t>و</w:t>
      </w:r>
      <w:r w:rsidRPr="005A0BBE">
        <w:rPr>
          <w:rFonts w:hint="cs"/>
          <w:rtl/>
        </w:rPr>
        <w:t>دوائر</w:t>
      </w:r>
      <w:r w:rsidRPr="005A0BBE">
        <w:rPr>
          <w:rtl/>
        </w:rPr>
        <w:t xml:space="preserve"> المعلومات. وتغطي هذه الممارسات والإجراءات الجيدة مجالات مثل الحوكمة والإدارة والتعاون.</w:t>
      </w:r>
    </w:p>
    <w:p w:rsidR="00EE0FD7" w:rsidRPr="005A0BBE" w:rsidRDefault="00EE0FD7" w:rsidP="00EE0FD7">
      <w:pPr>
        <w:rPr>
          <w:rtl/>
        </w:rPr>
      </w:pPr>
      <w:r w:rsidRPr="005A0BBE">
        <w:rPr>
          <w:rFonts w:hint="cs"/>
          <w:rtl/>
        </w:rPr>
        <w:t>19-</w:t>
      </w:r>
      <w:r w:rsidRPr="005A0BBE">
        <w:rPr>
          <w:rFonts w:hint="cs"/>
          <w:rtl/>
        </w:rPr>
        <w:tab/>
      </w:r>
      <w:r w:rsidRPr="005A0BBE">
        <w:rPr>
          <w:rtl/>
        </w:rPr>
        <w:t>وت</w:t>
      </w:r>
      <w:r w:rsidRPr="005A0BBE">
        <w:rPr>
          <w:rFonts w:hint="cs"/>
          <w:rtl/>
        </w:rPr>
        <w:t>ُ</w:t>
      </w:r>
      <w:r w:rsidRPr="005A0BBE">
        <w:rPr>
          <w:rtl/>
        </w:rPr>
        <w:t>رتب العناصر التالية ترتيب</w:t>
      </w:r>
      <w:r w:rsidRPr="005A0BBE">
        <w:rPr>
          <w:rFonts w:hint="cs"/>
          <w:rtl/>
        </w:rPr>
        <w:t>ا</w:t>
      </w:r>
      <w:r w:rsidRPr="005A0BBE">
        <w:rPr>
          <w:rtl/>
        </w:rPr>
        <w:t xml:space="preserve"> تسلسلي</w:t>
      </w:r>
      <w:r w:rsidRPr="005A0BBE">
        <w:rPr>
          <w:rFonts w:hint="cs"/>
          <w:rtl/>
        </w:rPr>
        <w:t>ا</w:t>
      </w:r>
      <w:r w:rsidRPr="005A0BBE">
        <w:rPr>
          <w:rtl/>
        </w:rPr>
        <w:t xml:space="preserve">؛ </w:t>
      </w:r>
      <w:r w:rsidRPr="005A0BBE">
        <w:rPr>
          <w:rFonts w:hint="cs"/>
          <w:rtl/>
        </w:rPr>
        <w:t>غير</w:t>
      </w:r>
      <w:r w:rsidRPr="005A0BBE">
        <w:rPr>
          <w:rtl/>
        </w:rPr>
        <w:t xml:space="preserve"> أن الأطراف و</w:t>
      </w:r>
      <w:r w:rsidRPr="005A0BBE">
        <w:rPr>
          <w:rFonts w:hint="cs"/>
          <w:rtl/>
        </w:rPr>
        <w:t>الجهات الأخرى التي تستخدم</w:t>
      </w:r>
      <w:r w:rsidRPr="005A0BBE">
        <w:rPr>
          <w:rtl/>
        </w:rPr>
        <w:t xml:space="preserve"> </w:t>
      </w:r>
      <w:r w:rsidRPr="005A0BBE">
        <w:rPr>
          <w:rFonts w:hint="cs"/>
          <w:rtl/>
        </w:rPr>
        <w:t>المبادئ التوجيهية الطوعية روتسوليهيرساجيك</w:t>
      </w:r>
      <w:r w:rsidRPr="005A0BBE">
        <w:rPr>
          <w:rtl/>
        </w:rPr>
        <w:t xml:space="preserve"> قد </w:t>
      </w:r>
      <w:r w:rsidRPr="005A0BBE">
        <w:rPr>
          <w:rFonts w:hint="cs"/>
          <w:rtl/>
        </w:rPr>
        <w:t>ترغب</w:t>
      </w:r>
      <w:r w:rsidRPr="005A0BBE">
        <w:rPr>
          <w:rtl/>
        </w:rPr>
        <w:t xml:space="preserve"> في النظر في</w:t>
      </w:r>
      <w:r w:rsidRPr="005A0BBE">
        <w:rPr>
          <w:rFonts w:hint="cs"/>
          <w:rtl/>
        </w:rPr>
        <w:t>ها</w:t>
      </w:r>
      <w:r w:rsidRPr="005A0BBE">
        <w:rPr>
          <w:rtl/>
        </w:rPr>
        <w:t xml:space="preserve">، حسب ما </w:t>
      </w:r>
      <w:r w:rsidRPr="005A0BBE">
        <w:rPr>
          <w:rFonts w:hint="cs"/>
          <w:rtl/>
        </w:rPr>
        <w:t>ت</w:t>
      </w:r>
      <w:r w:rsidRPr="005A0BBE">
        <w:rPr>
          <w:rtl/>
        </w:rPr>
        <w:t xml:space="preserve">راه مناسبا، مع مراعاة </w:t>
      </w:r>
      <w:r w:rsidRPr="005A0BBE">
        <w:rPr>
          <w:rFonts w:hint="cs"/>
          <w:rtl/>
        </w:rPr>
        <w:t>الأوضاع</w:t>
      </w:r>
      <w:r w:rsidRPr="005A0BBE">
        <w:rPr>
          <w:rtl/>
        </w:rPr>
        <w:t xml:space="preserve"> الفريدة لكل طرف أو مؤسسة أو كيان.</w:t>
      </w:r>
    </w:p>
    <w:p w:rsidR="00EE0FD7" w:rsidRPr="005A0BBE" w:rsidRDefault="00EE0FD7" w:rsidP="00EE0FD7">
      <w:pPr>
        <w:jc w:val="center"/>
        <w:rPr>
          <w:b/>
          <w:bCs/>
          <w:rtl/>
        </w:rPr>
      </w:pPr>
      <w:r w:rsidRPr="005A0BBE">
        <w:rPr>
          <w:b/>
          <w:bCs/>
          <w:rtl/>
        </w:rPr>
        <w:t>ألف</w:t>
      </w:r>
      <w:r w:rsidRPr="005A0BBE">
        <w:rPr>
          <w:rFonts w:hint="cs"/>
          <w:b/>
          <w:bCs/>
          <w:rtl/>
        </w:rPr>
        <w:t>-</w:t>
      </w:r>
      <w:r w:rsidRPr="005A0BBE">
        <w:rPr>
          <w:rFonts w:hint="cs"/>
          <w:b/>
          <w:bCs/>
          <w:rtl/>
        </w:rPr>
        <w:tab/>
      </w:r>
      <w:r w:rsidRPr="005A0BBE">
        <w:rPr>
          <w:b/>
          <w:bCs/>
          <w:rtl/>
        </w:rPr>
        <w:t>الاعتبارات الإجرائية</w:t>
      </w:r>
    </w:p>
    <w:p w:rsidR="00EE0FD7" w:rsidRPr="005A0BBE" w:rsidRDefault="00EE0FD7" w:rsidP="00EE0FD7">
      <w:pPr>
        <w:jc w:val="center"/>
        <w:rPr>
          <w:i/>
          <w:iCs/>
          <w:rtl/>
        </w:rPr>
      </w:pPr>
      <w:r w:rsidRPr="005A0BBE">
        <w:rPr>
          <w:rFonts w:hint="cs"/>
          <w:i/>
          <w:iCs/>
          <w:rtl/>
        </w:rPr>
        <w:t>1-</w:t>
      </w:r>
      <w:r w:rsidRPr="005A0BBE">
        <w:rPr>
          <w:rFonts w:hint="cs"/>
          <w:i/>
          <w:iCs/>
          <w:rtl/>
        </w:rPr>
        <w:tab/>
      </w:r>
      <w:r w:rsidRPr="005A0BBE">
        <w:rPr>
          <w:i/>
          <w:iCs/>
          <w:rtl/>
        </w:rPr>
        <w:t>إنشاء فريق</w:t>
      </w:r>
    </w:p>
    <w:p w:rsidR="00EE0FD7" w:rsidRPr="005A0BBE" w:rsidRDefault="00EE0FD7" w:rsidP="00EE0FD7">
      <w:pPr>
        <w:rPr>
          <w:rtl/>
        </w:rPr>
      </w:pPr>
      <w:r w:rsidRPr="005A0BBE">
        <w:rPr>
          <w:rFonts w:hint="cs"/>
          <w:rtl/>
        </w:rPr>
        <w:t>20-</w:t>
      </w:r>
      <w:r w:rsidRPr="005A0BBE">
        <w:rPr>
          <w:rFonts w:hint="cs"/>
          <w:rtl/>
        </w:rPr>
        <w:tab/>
      </w:r>
      <w:r w:rsidRPr="005A0BBE">
        <w:rPr>
          <w:rtl/>
        </w:rPr>
        <w:t xml:space="preserve">تبعا للمؤسسة </w:t>
      </w:r>
      <w:r w:rsidRPr="005A0BBE">
        <w:rPr>
          <w:rFonts w:hint="cs"/>
          <w:rtl/>
        </w:rPr>
        <w:t>التي تقوم بإعادة التوطين</w:t>
      </w:r>
      <w:r w:rsidRPr="005A0BBE">
        <w:rPr>
          <w:rtl/>
        </w:rPr>
        <w:t xml:space="preserve">، </w:t>
      </w:r>
      <w:r w:rsidRPr="005A0BBE">
        <w:rPr>
          <w:rFonts w:hint="cs"/>
          <w:rtl/>
        </w:rPr>
        <w:t>يتعين ال</w:t>
      </w:r>
      <w:r w:rsidRPr="005A0BBE">
        <w:rPr>
          <w:rtl/>
        </w:rPr>
        <w:t xml:space="preserve">نظر في إنشاء فريق ذي خبرة تقنية، </w:t>
      </w:r>
      <w:r w:rsidRPr="005A0BBE">
        <w:rPr>
          <w:rFonts w:hint="cs"/>
          <w:rtl/>
        </w:rPr>
        <w:t>وتوجهه</w:t>
      </w:r>
      <w:r w:rsidRPr="005A0BBE">
        <w:rPr>
          <w:rtl/>
        </w:rPr>
        <w:t xml:space="preserve"> لجنة </w:t>
      </w:r>
      <w:r w:rsidRPr="005A0BBE">
        <w:rPr>
          <w:rFonts w:hint="cs"/>
          <w:rtl/>
        </w:rPr>
        <w:t>متعددة</w:t>
      </w:r>
      <w:r w:rsidRPr="005A0BBE">
        <w:rPr>
          <w:rtl/>
        </w:rPr>
        <w:t xml:space="preserve"> أصحاب المصلحة، من أجل بناء علاقات بين الشعوب الأصلية والمجتمعات المحلية </w:t>
      </w:r>
      <w:r w:rsidRPr="005A0BBE">
        <w:rPr>
          <w:rFonts w:hint="cs"/>
          <w:rtl/>
        </w:rPr>
        <w:t xml:space="preserve">المعنية </w:t>
      </w:r>
      <w:r w:rsidRPr="005A0BBE">
        <w:rPr>
          <w:rtl/>
        </w:rPr>
        <w:t xml:space="preserve">والمؤسسات والكيانات الأخرى </w:t>
      </w:r>
      <w:r w:rsidRPr="005A0BBE">
        <w:rPr>
          <w:rFonts w:hint="cs"/>
          <w:rtl/>
        </w:rPr>
        <w:t>الحائزة على</w:t>
      </w:r>
      <w:r w:rsidRPr="005A0BBE">
        <w:rPr>
          <w:rtl/>
        </w:rPr>
        <w:t xml:space="preserve"> المعارف التقليدية. وينبغي أن تشارك الشعوب الأصلية والمجتمعات المحلية مشاركة فعالة في هذه الترتيبات.</w:t>
      </w:r>
    </w:p>
    <w:p w:rsidR="00EE0FD7" w:rsidRPr="005A0BBE" w:rsidRDefault="00EE0FD7" w:rsidP="00EE0FD7">
      <w:pPr>
        <w:rPr>
          <w:rtl/>
        </w:rPr>
      </w:pPr>
      <w:r w:rsidRPr="005A0BBE">
        <w:rPr>
          <w:rFonts w:hint="cs"/>
          <w:rtl/>
        </w:rPr>
        <w:lastRenderedPageBreak/>
        <w:t>21-</w:t>
      </w:r>
      <w:r w:rsidRPr="005A0BBE">
        <w:rPr>
          <w:rFonts w:hint="cs"/>
          <w:rtl/>
        </w:rPr>
        <w:tab/>
        <w:t>و</w:t>
      </w:r>
      <w:r w:rsidRPr="005A0BBE">
        <w:rPr>
          <w:rtl/>
        </w:rPr>
        <w:t xml:space="preserve">قد تكون الشعوب الأصلية والمجتمعات المحلية المشاركة في </w:t>
      </w:r>
      <w:r w:rsidRPr="005A0BBE">
        <w:rPr>
          <w:rFonts w:hint="cs"/>
          <w:rtl/>
        </w:rPr>
        <w:t>ال</w:t>
      </w:r>
      <w:r w:rsidRPr="005A0BBE">
        <w:rPr>
          <w:rtl/>
        </w:rPr>
        <w:t xml:space="preserve">لجان </w:t>
      </w:r>
      <w:r w:rsidRPr="005A0BBE">
        <w:rPr>
          <w:rFonts w:hint="cs"/>
          <w:rtl/>
        </w:rPr>
        <w:t xml:space="preserve">متعددة </w:t>
      </w:r>
      <w:r w:rsidRPr="005A0BBE">
        <w:rPr>
          <w:rtl/>
        </w:rPr>
        <w:t xml:space="preserve">أصحاب المصلحة </w:t>
      </w:r>
      <w:r w:rsidRPr="005A0BBE">
        <w:rPr>
          <w:rFonts w:hint="cs"/>
          <w:rtl/>
        </w:rPr>
        <w:t>المعنية ب</w:t>
      </w:r>
      <w:r w:rsidRPr="005A0BBE">
        <w:rPr>
          <w:rtl/>
        </w:rPr>
        <w:t xml:space="preserve">إعادة التوطين في </w:t>
      </w:r>
      <w:r w:rsidRPr="005A0BBE">
        <w:rPr>
          <w:rFonts w:hint="cs"/>
          <w:rtl/>
        </w:rPr>
        <w:t xml:space="preserve">أفضل </w:t>
      </w:r>
      <w:r w:rsidRPr="005A0BBE">
        <w:rPr>
          <w:rtl/>
        </w:rPr>
        <w:t xml:space="preserve">وضع لتحديد ما إذا كانت هناك بروتوكولات مجتمعية و/أو عمليات عرفية قائمة </w:t>
      </w:r>
      <w:r w:rsidRPr="005A0BBE">
        <w:rPr>
          <w:rFonts w:hint="cs"/>
          <w:rtl/>
        </w:rPr>
        <w:t>لإعادة</w:t>
      </w:r>
      <w:r w:rsidRPr="005A0BBE">
        <w:rPr>
          <w:rtl/>
        </w:rPr>
        <w:t xml:space="preserve"> المعارف التقليدية.</w:t>
      </w:r>
    </w:p>
    <w:p w:rsidR="00EE0FD7" w:rsidRPr="005A0BBE" w:rsidRDefault="00EE0FD7" w:rsidP="00E85EEB">
      <w:pPr>
        <w:jc w:val="center"/>
        <w:rPr>
          <w:i/>
          <w:iCs/>
          <w:rtl/>
        </w:rPr>
      </w:pPr>
      <w:r w:rsidRPr="005A0BBE">
        <w:rPr>
          <w:rFonts w:hint="cs"/>
          <w:i/>
          <w:iCs/>
          <w:rtl/>
        </w:rPr>
        <w:t>2-</w:t>
      </w:r>
      <w:r w:rsidRPr="005A0BBE">
        <w:rPr>
          <w:rFonts w:hint="cs"/>
          <w:i/>
          <w:iCs/>
          <w:rtl/>
        </w:rPr>
        <w:tab/>
      </w:r>
      <w:r w:rsidRPr="005A0BBE">
        <w:rPr>
          <w:i/>
          <w:iCs/>
          <w:rtl/>
        </w:rPr>
        <w:t xml:space="preserve">تدريب الجهات الفاعلة </w:t>
      </w:r>
      <w:r w:rsidRPr="005A0BBE">
        <w:rPr>
          <w:rFonts w:hint="cs"/>
          <w:i/>
          <w:iCs/>
          <w:rtl/>
        </w:rPr>
        <w:t>على</w:t>
      </w:r>
      <w:r w:rsidRPr="005A0BBE">
        <w:rPr>
          <w:i/>
          <w:iCs/>
          <w:rtl/>
        </w:rPr>
        <w:t xml:space="preserve"> عملية إعادة التوطين</w:t>
      </w:r>
    </w:p>
    <w:p w:rsidR="00EE0FD7" w:rsidRPr="005A0BBE" w:rsidRDefault="00EE0FD7" w:rsidP="00EE0FD7">
      <w:pPr>
        <w:rPr>
          <w:rtl/>
        </w:rPr>
      </w:pPr>
      <w:r w:rsidRPr="005A0BBE">
        <w:rPr>
          <w:rFonts w:hint="cs"/>
          <w:rtl/>
        </w:rPr>
        <w:t>22-</w:t>
      </w:r>
      <w:r w:rsidRPr="005A0BBE">
        <w:rPr>
          <w:rFonts w:hint="cs"/>
          <w:rtl/>
        </w:rPr>
        <w:tab/>
      </w:r>
      <w:r w:rsidRPr="005A0BBE">
        <w:rPr>
          <w:rtl/>
        </w:rPr>
        <w:t xml:space="preserve">قد تتطلب الجهات الفاعلة </w:t>
      </w:r>
      <w:r w:rsidRPr="005A0BBE">
        <w:rPr>
          <w:rFonts w:hint="cs"/>
          <w:rtl/>
        </w:rPr>
        <w:t>ال</w:t>
      </w:r>
      <w:r w:rsidRPr="005A0BBE">
        <w:rPr>
          <w:rtl/>
        </w:rPr>
        <w:t>مختلف</w:t>
      </w:r>
      <w:r w:rsidRPr="005A0BBE">
        <w:rPr>
          <w:rFonts w:hint="cs"/>
          <w:rtl/>
        </w:rPr>
        <w:t>ة</w:t>
      </w:r>
      <w:r w:rsidRPr="005A0BBE">
        <w:rPr>
          <w:rtl/>
        </w:rPr>
        <w:t xml:space="preserve"> المشاركة في عملية إعادة التوطين، بما في ذلك موظفو المؤسسات والكيانات </w:t>
      </w:r>
      <w:r w:rsidRPr="005A0BBE">
        <w:rPr>
          <w:rFonts w:hint="cs"/>
          <w:rtl/>
        </w:rPr>
        <w:t>التي تقوم بإعادة التوطين</w:t>
      </w:r>
      <w:r w:rsidRPr="005A0BBE">
        <w:rPr>
          <w:rtl/>
        </w:rPr>
        <w:t xml:space="preserve">، وممثلو الشعوب الأصلية أو المجتمعات المحلية </w:t>
      </w:r>
      <w:r w:rsidRPr="005A0BBE">
        <w:rPr>
          <w:rFonts w:hint="cs"/>
          <w:rtl/>
        </w:rPr>
        <w:t xml:space="preserve">المعنية </w:t>
      </w:r>
      <w:r w:rsidRPr="005A0BBE">
        <w:rPr>
          <w:rtl/>
        </w:rPr>
        <w:t xml:space="preserve">تدريبا على إعادة التوطين. </w:t>
      </w:r>
      <w:r w:rsidRPr="005A0BBE">
        <w:rPr>
          <w:rFonts w:hint="cs"/>
          <w:rtl/>
        </w:rPr>
        <w:t>فا</w:t>
      </w:r>
      <w:r w:rsidRPr="005A0BBE">
        <w:rPr>
          <w:rtl/>
        </w:rPr>
        <w:t xml:space="preserve">لتدريب </w:t>
      </w:r>
      <w:r w:rsidRPr="005A0BBE">
        <w:rPr>
          <w:rFonts w:hint="cs"/>
          <w:rtl/>
        </w:rPr>
        <w:t xml:space="preserve">يمكن </w:t>
      </w:r>
      <w:r w:rsidRPr="005A0BBE">
        <w:rPr>
          <w:rtl/>
        </w:rPr>
        <w:t>أن يزود الشعوب الأصلية والمجتمعات المحلية بالمعارف والمهارات اللازمة للمشاركة بفعالية في عملية إعادة التوطين</w:t>
      </w:r>
      <w:r w:rsidRPr="005A0BBE">
        <w:rPr>
          <w:rFonts w:hint="cs"/>
          <w:rtl/>
        </w:rPr>
        <w:t>، ولكن في الوقت ذاته، يمكن أيضا للشعوب الأصلية والمجتمعات المحلية أن تؤدي دورا في تدريب مختلف الجهات الفاعلة الأخرى لضمان مراعاة الحساسيات والمتطلبات الثقافية المدرجة في عمليات إعادة التوطين</w:t>
      </w:r>
      <w:r w:rsidRPr="005A0BBE">
        <w:rPr>
          <w:rtl/>
        </w:rPr>
        <w:t>. وقد يساعد التدريب</w:t>
      </w:r>
      <w:r w:rsidRPr="005A0BBE">
        <w:rPr>
          <w:rFonts w:hint="cs"/>
          <w:rtl/>
        </w:rPr>
        <w:t xml:space="preserve"> أيضا</w:t>
      </w:r>
      <w:r w:rsidRPr="005A0BBE">
        <w:rPr>
          <w:rtl/>
        </w:rPr>
        <w:t xml:space="preserve"> الجهات الفاعلة </w:t>
      </w:r>
      <w:r w:rsidRPr="005A0BBE">
        <w:rPr>
          <w:rFonts w:hint="cs"/>
          <w:rtl/>
        </w:rPr>
        <w:t>ال</w:t>
      </w:r>
      <w:r w:rsidRPr="005A0BBE">
        <w:rPr>
          <w:rtl/>
        </w:rPr>
        <w:t>مختلف</w:t>
      </w:r>
      <w:r w:rsidRPr="005A0BBE">
        <w:rPr>
          <w:rFonts w:hint="cs"/>
          <w:rtl/>
        </w:rPr>
        <w:t>ة</w:t>
      </w:r>
      <w:r w:rsidRPr="005A0BBE">
        <w:rPr>
          <w:rtl/>
        </w:rPr>
        <w:t xml:space="preserve"> المشاركة في الاتفاق على فهم مشترك </w:t>
      </w:r>
      <w:r w:rsidRPr="005A0BBE">
        <w:rPr>
          <w:rFonts w:hint="cs"/>
          <w:rtl/>
        </w:rPr>
        <w:t>للشروط</w:t>
      </w:r>
      <w:r w:rsidRPr="005A0BBE">
        <w:rPr>
          <w:rtl/>
        </w:rPr>
        <w:t xml:space="preserve"> المستخدمة في عملية إعادة التوطين.</w:t>
      </w:r>
    </w:p>
    <w:p w:rsidR="00EE0FD7" w:rsidRPr="005A0BBE" w:rsidRDefault="00EE0FD7" w:rsidP="00EE0FD7">
      <w:pPr>
        <w:rPr>
          <w:rtl/>
        </w:rPr>
      </w:pPr>
      <w:r w:rsidRPr="005A0BBE">
        <w:rPr>
          <w:rFonts w:hint="cs"/>
          <w:rtl/>
        </w:rPr>
        <w:t>23-</w:t>
      </w:r>
      <w:r w:rsidRPr="005A0BBE">
        <w:rPr>
          <w:rFonts w:hint="cs"/>
          <w:rtl/>
        </w:rPr>
        <w:tab/>
      </w:r>
      <w:r w:rsidRPr="005A0BBE">
        <w:rPr>
          <w:rtl/>
        </w:rPr>
        <w:t xml:space="preserve">ويمكن أن يساعد التدريب أيضا موظفي المؤسسات والكيانات </w:t>
      </w:r>
      <w:r w:rsidRPr="005A0BBE">
        <w:rPr>
          <w:rFonts w:hint="cs"/>
          <w:rtl/>
        </w:rPr>
        <w:t xml:space="preserve">التي تقوم بإعادة التوطين </w:t>
      </w:r>
      <w:r w:rsidRPr="005A0BBE">
        <w:rPr>
          <w:rtl/>
        </w:rPr>
        <w:t xml:space="preserve">على </w:t>
      </w:r>
      <w:r w:rsidRPr="005A0BBE">
        <w:rPr>
          <w:rFonts w:hint="cs"/>
          <w:rtl/>
        </w:rPr>
        <w:t>أن تكون على علم ب</w:t>
      </w:r>
      <w:r w:rsidRPr="005A0BBE">
        <w:rPr>
          <w:rtl/>
        </w:rPr>
        <w:t xml:space="preserve">مسائل مثل حقوق الشعوب الأصلية والمجتمعات المحلية </w:t>
      </w:r>
      <w:r w:rsidRPr="005A0BBE">
        <w:rPr>
          <w:rFonts w:hint="cs"/>
          <w:rtl/>
        </w:rPr>
        <w:t>والمسائل ذات الصلة</w:t>
      </w:r>
      <w:r w:rsidRPr="005A0BBE">
        <w:rPr>
          <w:rtl/>
        </w:rPr>
        <w:t xml:space="preserve"> بمعارفه</w:t>
      </w:r>
      <w:r w:rsidRPr="005A0BBE">
        <w:rPr>
          <w:rFonts w:hint="cs"/>
          <w:rtl/>
        </w:rPr>
        <w:t>ا</w:t>
      </w:r>
      <w:r w:rsidRPr="005A0BBE">
        <w:rPr>
          <w:rtl/>
        </w:rPr>
        <w:t xml:space="preserve"> التقليدية، </w:t>
      </w:r>
      <w:r w:rsidRPr="005A0BBE">
        <w:rPr>
          <w:rFonts w:hint="cs"/>
          <w:rtl/>
        </w:rPr>
        <w:t>وأن يساعد كذلك</w:t>
      </w:r>
      <w:r w:rsidRPr="005A0BBE">
        <w:rPr>
          <w:rtl/>
        </w:rPr>
        <w:t xml:space="preserve"> في وضع اتفاقات لعملية إعادة التوطين. ويمكن أن يساعد التدريب </w:t>
      </w:r>
      <w:r w:rsidRPr="005A0BBE">
        <w:rPr>
          <w:rFonts w:hint="cs"/>
          <w:rtl/>
        </w:rPr>
        <w:t>المتعدد</w:t>
      </w:r>
      <w:r w:rsidRPr="005A0BBE">
        <w:rPr>
          <w:rtl/>
        </w:rPr>
        <w:t xml:space="preserve"> الثقافات لموظفي المؤسسات </w:t>
      </w:r>
      <w:r w:rsidRPr="005A0BBE">
        <w:rPr>
          <w:rFonts w:hint="cs"/>
          <w:rtl/>
        </w:rPr>
        <w:t>الحائزة على</w:t>
      </w:r>
      <w:r w:rsidRPr="005A0BBE">
        <w:rPr>
          <w:rtl/>
        </w:rPr>
        <w:t xml:space="preserve"> معارف تقليدية</w:t>
      </w:r>
      <w:r w:rsidRPr="005A0BBE">
        <w:rPr>
          <w:rFonts w:hint="cs"/>
          <w:rtl/>
        </w:rPr>
        <w:t xml:space="preserve"> أو تخزنها أو تستضيفها</w:t>
      </w:r>
      <w:r w:rsidRPr="005A0BBE">
        <w:rPr>
          <w:rtl/>
        </w:rPr>
        <w:t xml:space="preserve"> و</w:t>
      </w:r>
      <w:r w:rsidRPr="005A0BBE">
        <w:rPr>
          <w:rFonts w:hint="cs"/>
          <w:rtl/>
        </w:rPr>
        <w:t>ل</w:t>
      </w:r>
      <w:r w:rsidRPr="005A0BBE">
        <w:rPr>
          <w:rtl/>
        </w:rPr>
        <w:t xml:space="preserve">لشعوب الأصلية والمجتمعات المحلية على زيادة التفاهم المتبادل </w:t>
      </w:r>
      <w:r w:rsidRPr="005A0BBE">
        <w:rPr>
          <w:rFonts w:hint="cs"/>
          <w:rtl/>
        </w:rPr>
        <w:t xml:space="preserve">ووضع </w:t>
      </w:r>
      <w:r w:rsidRPr="005A0BBE">
        <w:rPr>
          <w:rtl/>
        </w:rPr>
        <w:t>عمليات ناجحة لإعادة التوطين. وينبغي تشجيع موظفي</w:t>
      </w:r>
      <w:r w:rsidRPr="005A0BBE">
        <w:rPr>
          <w:rFonts w:hint="cs"/>
          <w:rtl/>
        </w:rPr>
        <w:t xml:space="preserve"> </w:t>
      </w:r>
      <w:r w:rsidRPr="005A0BBE">
        <w:rPr>
          <w:rtl/>
        </w:rPr>
        <w:t xml:space="preserve">المؤسسات أو الكيانات </w:t>
      </w:r>
      <w:r w:rsidRPr="005A0BBE">
        <w:rPr>
          <w:rFonts w:hint="cs"/>
          <w:rtl/>
        </w:rPr>
        <w:t>التي تقوم بإعادة التوطين</w:t>
      </w:r>
      <w:r w:rsidRPr="005A0BBE">
        <w:rPr>
          <w:rtl/>
        </w:rPr>
        <w:t xml:space="preserve"> على </w:t>
      </w:r>
      <w:r w:rsidRPr="005A0BBE">
        <w:rPr>
          <w:rFonts w:hint="cs"/>
          <w:rtl/>
        </w:rPr>
        <w:t>المشاركة</w:t>
      </w:r>
      <w:r w:rsidRPr="005A0BBE">
        <w:rPr>
          <w:rtl/>
        </w:rPr>
        <w:t xml:space="preserve">، حيثما يكون ذلك ملائما ومتاحا، </w:t>
      </w:r>
      <w:r w:rsidRPr="005A0BBE">
        <w:rPr>
          <w:rFonts w:hint="cs"/>
          <w:rtl/>
        </w:rPr>
        <w:t xml:space="preserve">في </w:t>
      </w:r>
      <w:r w:rsidRPr="005A0BBE">
        <w:rPr>
          <w:rtl/>
        </w:rPr>
        <w:t>التدريب على العادات و</w:t>
      </w:r>
      <w:r w:rsidRPr="005A0BBE">
        <w:rPr>
          <w:rFonts w:hint="cs"/>
          <w:rtl/>
        </w:rPr>
        <w:t>/أو الآراء</w:t>
      </w:r>
      <w:r w:rsidRPr="005A0BBE">
        <w:rPr>
          <w:rtl/>
        </w:rPr>
        <w:t xml:space="preserve"> العالمية و/أو أولويات الشعوب الأصلية والمجتمعات المحلية ذات الصلة بمؤسستهم أو مجموعاتهم قبل إعادة التوطين وبناء علاقات دائمة بطريقة مستمرة. وقد </w:t>
      </w:r>
      <w:r w:rsidRPr="005A0BBE">
        <w:rPr>
          <w:rFonts w:hint="cs"/>
          <w:rtl/>
        </w:rPr>
        <w:t>أشار</w:t>
      </w:r>
      <w:r w:rsidRPr="005A0BBE">
        <w:rPr>
          <w:rtl/>
        </w:rPr>
        <w:t xml:space="preserve"> </w:t>
      </w:r>
      <w:r w:rsidRPr="005A0BBE">
        <w:rPr>
          <w:rFonts w:hint="cs"/>
          <w:rtl/>
        </w:rPr>
        <w:t>أفراد الشعوب</w:t>
      </w:r>
      <w:r w:rsidRPr="005A0BBE">
        <w:rPr>
          <w:rtl/>
        </w:rPr>
        <w:t xml:space="preserve"> الأصلي</w:t>
      </w:r>
      <w:r w:rsidRPr="005A0BBE">
        <w:rPr>
          <w:rFonts w:hint="cs"/>
          <w:rtl/>
        </w:rPr>
        <w:t>ة</w:t>
      </w:r>
      <w:r w:rsidRPr="005A0BBE">
        <w:rPr>
          <w:rtl/>
        </w:rPr>
        <w:t xml:space="preserve"> والمجتمعات المحلية الذين كتبوا عن المكتبات ومراكز الموارد الأخرى </w:t>
      </w:r>
      <w:r w:rsidRPr="005A0BBE">
        <w:rPr>
          <w:rFonts w:hint="cs"/>
          <w:rtl/>
        </w:rPr>
        <w:t>بشكل دائم إلى</w:t>
      </w:r>
      <w:r w:rsidRPr="005A0BBE">
        <w:rPr>
          <w:rtl/>
        </w:rPr>
        <w:t xml:space="preserve"> أهمية شعورهم بالراحة فيها. </w:t>
      </w:r>
      <w:r w:rsidRPr="005A0BBE">
        <w:rPr>
          <w:rFonts w:hint="cs"/>
          <w:rtl/>
        </w:rPr>
        <w:t>ووجود</w:t>
      </w:r>
      <w:r w:rsidRPr="005A0BBE">
        <w:rPr>
          <w:rtl/>
        </w:rPr>
        <w:t xml:space="preserve"> موظف</w:t>
      </w:r>
      <w:r w:rsidRPr="005A0BBE">
        <w:rPr>
          <w:rFonts w:hint="cs"/>
          <w:rtl/>
        </w:rPr>
        <w:t>ي</w:t>
      </w:r>
      <w:r w:rsidRPr="005A0BBE">
        <w:rPr>
          <w:rtl/>
        </w:rPr>
        <w:t>ن ودي</w:t>
      </w:r>
      <w:r w:rsidRPr="005A0BBE">
        <w:rPr>
          <w:rFonts w:hint="cs"/>
          <w:rtl/>
        </w:rPr>
        <w:t>ي</w:t>
      </w:r>
      <w:r w:rsidRPr="005A0BBE">
        <w:rPr>
          <w:rtl/>
        </w:rPr>
        <w:t>ن وموظف</w:t>
      </w:r>
      <w:r w:rsidRPr="005A0BBE">
        <w:rPr>
          <w:rFonts w:hint="cs"/>
          <w:rtl/>
        </w:rPr>
        <w:t>ي</w:t>
      </w:r>
      <w:r w:rsidRPr="005A0BBE">
        <w:rPr>
          <w:rtl/>
        </w:rPr>
        <w:t>ن ذو</w:t>
      </w:r>
      <w:r w:rsidRPr="005A0BBE">
        <w:rPr>
          <w:rFonts w:hint="cs"/>
          <w:rtl/>
        </w:rPr>
        <w:t>ي</w:t>
      </w:r>
      <w:r w:rsidRPr="005A0BBE">
        <w:rPr>
          <w:rtl/>
        </w:rPr>
        <w:t xml:space="preserve"> </w:t>
      </w:r>
      <w:r w:rsidRPr="005A0BBE">
        <w:rPr>
          <w:rFonts w:hint="cs"/>
          <w:rtl/>
        </w:rPr>
        <w:t>معرفة/</w:t>
      </w:r>
      <w:r w:rsidRPr="005A0BBE">
        <w:rPr>
          <w:rtl/>
        </w:rPr>
        <w:t xml:space="preserve">حساسية ثقافية أن </w:t>
      </w:r>
      <w:r w:rsidRPr="005A0BBE">
        <w:rPr>
          <w:rFonts w:hint="cs"/>
          <w:rtl/>
        </w:rPr>
        <w:t>أفراد الشعوب</w:t>
      </w:r>
      <w:r w:rsidRPr="005A0BBE">
        <w:rPr>
          <w:rtl/>
        </w:rPr>
        <w:t xml:space="preserve"> الأصلي</w:t>
      </w:r>
      <w:r w:rsidRPr="005A0BBE">
        <w:rPr>
          <w:rFonts w:hint="cs"/>
          <w:rtl/>
        </w:rPr>
        <w:t>ة</w:t>
      </w:r>
      <w:r w:rsidRPr="005A0BBE">
        <w:rPr>
          <w:rtl/>
        </w:rPr>
        <w:t xml:space="preserve"> والمجتمعات المحلية </w:t>
      </w:r>
      <w:r w:rsidRPr="005A0BBE">
        <w:rPr>
          <w:rFonts w:hint="cs"/>
          <w:rtl/>
        </w:rPr>
        <w:t>لن</w:t>
      </w:r>
      <w:r w:rsidRPr="005A0BBE">
        <w:rPr>
          <w:rtl/>
        </w:rPr>
        <w:t xml:space="preserve"> يشعرو</w:t>
      </w:r>
      <w:r w:rsidRPr="005A0BBE">
        <w:rPr>
          <w:rFonts w:hint="cs"/>
          <w:rtl/>
        </w:rPr>
        <w:t>ا</w:t>
      </w:r>
      <w:r w:rsidRPr="005A0BBE">
        <w:rPr>
          <w:rtl/>
        </w:rPr>
        <w:t xml:space="preserve"> </w:t>
      </w:r>
      <w:r w:rsidRPr="005A0BBE">
        <w:rPr>
          <w:rFonts w:hint="cs"/>
          <w:rtl/>
        </w:rPr>
        <w:t>بالرهبة</w:t>
      </w:r>
      <w:r w:rsidRPr="005A0BBE">
        <w:rPr>
          <w:rtl/>
        </w:rPr>
        <w:t xml:space="preserve"> من نظام ثقافي </w:t>
      </w:r>
      <w:r w:rsidRPr="005A0BBE">
        <w:rPr>
          <w:rFonts w:hint="cs"/>
          <w:rtl/>
        </w:rPr>
        <w:t>غريب عليهم</w:t>
      </w:r>
      <w:r w:rsidRPr="005A0BBE">
        <w:rPr>
          <w:rtl/>
        </w:rPr>
        <w:t xml:space="preserve"> أو </w:t>
      </w:r>
      <w:r w:rsidRPr="005A0BBE">
        <w:rPr>
          <w:rFonts w:hint="cs"/>
          <w:rtl/>
        </w:rPr>
        <w:t>ي</w:t>
      </w:r>
      <w:r w:rsidRPr="005A0BBE">
        <w:rPr>
          <w:rtl/>
        </w:rPr>
        <w:t>جعلهم يشعرون دون قصد أنهم أقل شأنا إذا لم يكونوا يعرفون كيف</w:t>
      </w:r>
      <w:r w:rsidRPr="005A0BBE">
        <w:rPr>
          <w:rFonts w:hint="cs"/>
          <w:rtl/>
        </w:rPr>
        <w:t xml:space="preserve"> يمكن </w:t>
      </w:r>
      <w:r w:rsidRPr="005A0BBE">
        <w:rPr>
          <w:rtl/>
        </w:rPr>
        <w:t xml:space="preserve">العثور على المعلومات. وهذه الاقتراحات </w:t>
      </w:r>
      <w:r w:rsidRPr="005A0BBE">
        <w:rPr>
          <w:rFonts w:hint="cs"/>
          <w:rtl/>
        </w:rPr>
        <w:t xml:space="preserve">تعني </w:t>
      </w:r>
      <w:r w:rsidRPr="005A0BBE">
        <w:rPr>
          <w:rtl/>
        </w:rPr>
        <w:t>أنه ينبغي إعداد المؤسسات أو الكيانات المهتمة بإعادة توطين المعارف التقليدية.</w:t>
      </w:r>
      <w:r w:rsidRPr="005A0BBE">
        <w:rPr>
          <w:vertAlign w:val="superscript"/>
          <w:rtl/>
        </w:rPr>
        <w:footnoteReference w:id="198"/>
      </w:r>
    </w:p>
    <w:p w:rsidR="00EE0FD7" w:rsidRPr="005A0BBE" w:rsidRDefault="00EE0FD7" w:rsidP="00EE0FD7">
      <w:pPr>
        <w:rPr>
          <w:rtl/>
        </w:rPr>
      </w:pPr>
      <w:r w:rsidRPr="005A0BBE">
        <w:rPr>
          <w:rFonts w:hint="cs"/>
          <w:rtl/>
        </w:rPr>
        <w:t>24-</w:t>
      </w:r>
      <w:r w:rsidRPr="005A0BBE">
        <w:rPr>
          <w:rFonts w:hint="cs"/>
          <w:rtl/>
        </w:rPr>
        <w:tab/>
      </w:r>
      <w:r w:rsidRPr="005A0BBE">
        <w:rPr>
          <w:rtl/>
        </w:rPr>
        <w:t xml:space="preserve">ويمكن أن يأخذ </w:t>
      </w:r>
      <w:r w:rsidRPr="005A0BBE">
        <w:rPr>
          <w:rFonts w:hint="cs"/>
          <w:rtl/>
        </w:rPr>
        <w:t>ا</w:t>
      </w:r>
      <w:r w:rsidRPr="005A0BBE">
        <w:rPr>
          <w:rtl/>
        </w:rPr>
        <w:t xml:space="preserve">لتدريب في الاعتبار الخبرات المكتسبة والدروس المستفادة </w:t>
      </w:r>
      <w:r w:rsidRPr="005A0BBE">
        <w:rPr>
          <w:rFonts w:hint="cs"/>
          <w:rtl/>
        </w:rPr>
        <w:t>من</w:t>
      </w:r>
      <w:r w:rsidRPr="005A0BBE">
        <w:rPr>
          <w:rtl/>
        </w:rPr>
        <w:t xml:space="preserve"> عمليات إعادة التوطين الأخرى، حسب الاقتضاء.</w:t>
      </w:r>
      <w:r w:rsidRPr="005A0BBE">
        <w:rPr>
          <w:vertAlign w:val="superscript"/>
          <w:rtl/>
        </w:rPr>
        <w:footnoteReference w:id="199"/>
      </w:r>
    </w:p>
    <w:p w:rsidR="00EE0FD7" w:rsidRPr="005A0BBE" w:rsidRDefault="00EE0FD7" w:rsidP="008F1A01">
      <w:pPr>
        <w:ind w:left="2132" w:right="900" w:hanging="706"/>
        <w:rPr>
          <w:i/>
          <w:iCs/>
          <w:rtl/>
        </w:rPr>
      </w:pPr>
      <w:r w:rsidRPr="005A0BBE">
        <w:rPr>
          <w:rFonts w:hint="cs"/>
          <w:i/>
          <w:iCs/>
          <w:rtl/>
        </w:rPr>
        <w:t>3-</w:t>
      </w:r>
      <w:r w:rsidRPr="005A0BBE">
        <w:rPr>
          <w:rFonts w:hint="cs"/>
          <w:i/>
          <w:iCs/>
          <w:rtl/>
        </w:rPr>
        <w:tab/>
      </w:r>
      <w:r w:rsidRPr="005A0BBE">
        <w:rPr>
          <w:i/>
          <w:iCs/>
          <w:rtl/>
        </w:rPr>
        <w:t xml:space="preserve">تحديد المجموعات </w:t>
      </w:r>
      <w:r w:rsidRPr="005A0BBE">
        <w:rPr>
          <w:rFonts w:hint="cs"/>
          <w:i/>
          <w:iCs/>
          <w:rtl/>
        </w:rPr>
        <w:t>الحائزة على</w:t>
      </w:r>
      <w:r w:rsidRPr="005A0BBE">
        <w:rPr>
          <w:i/>
          <w:iCs/>
          <w:rtl/>
        </w:rPr>
        <w:t xml:space="preserve"> المعارف التقليدية والمعلومات ذات الصلة أو التكميلية</w:t>
      </w:r>
      <w:r w:rsidRPr="005A0BBE">
        <w:rPr>
          <w:rFonts w:hint="cs"/>
          <w:i/>
          <w:iCs/>
          <w:rtl/>
        </w:rPr>
        <w:t xml:space="preserve"> أو تخزنها أو تستضيفها</w:t>
      </w:r>
      <w:r w:rsidRPr="005A0BBE">
        <w:rPr>
          <w:i/>
          <w:iCs/>
          <w:rtl/>
        </w:rPr>
        <w:t xml:space="preserve"> </w:t>
      </w:r>
      <w:r w:rsidRPr="005A0BBE">
        <w:rPr>
          <w:rFonts w:hint="cs"/>
          <w:i/>
          <w:iCs/>
          <w:rtl/>
        </w:rPr>
        <w:t>لاحتمال</w:t>
      </w:r>
      <w:r w:rsidRPr="005A0BBE">
        <w:rPr>
          <w:i/>
          <w:iCs/>
          <w:rtl/>
        </w:rPr>
        <w:t xml:space="preserve"> إعادة التوطين</w:t>
      </w:r>
    </w:p>
    <w:p w:rsidR="00EE0FD7" w:rsidRPr="005A0BBE" w:rsidRDefault="00EE0FD7" w:rsidP="00EE0FD7">
      <w:r w:rsidRPr="005A0BBE">
        <w:rPr>
          <w:rFonts w:hint="cs"/>
          <w:rtl/>
        </w:rPr>
        <w:t>25-</w:t>
      </w:r>
      <w:r w:rsidRPr="005A0BBE">
        <w:rPr>
          <w:rFonts w:hint="cs"/>
          <w:rtl/>
        </w:rPr>
        <w:tab/>
      </w:r>
      <w:r w:rsidRPr="005A0BBE">
        <w:rPr>
          <w:rtl/>
        </w:rPr>
        <w:t xml:space="preserve">بعد إنشاء فريق متعدد أصحاب المصلحة وتدريب المشاركين، تتمثل الخطوة الملموسة الأولية في عملية إعادة التوطين في تحديد </w:t>
      </w:r>
      <w:r w:rsidRPr="005A0BBE">
        <w:rPr>
          <w:rFonts w:hint="cs"/>
          <w:rtl/>
        </w:rPr>
        <w:t>ال</w:t>
      </w:r>
      <w:r w:rsidRPr="005A0BBE">
        <w:rPr>
          <w:rtl/>
        </w:rPr>
        <w:t>مجموعات و</w:t>
      </w:r>
      <w:r w:rsidRPr="005A0BBE">
        <w:rPr>
          <w:rFonts w:hint="cs"/>
          <w:rtl/>
        </w:rPr>
        <w:t>ال</w:t>
      </w:r>
      <w:r w:rsidRPr="005A0BBE">
        <w:rPr>
          <w:rtl/>
        </w:rPr>
        <w:t>مضمون</w:t>
      </w:r>
      <w:r w:rsidRPr="005A0BBE">
        <w:rPr>
          <w:vertAlign w:val="superscript"/>
          <w:rtl/>
        </w:rPr>
        <w:footnoteReference w:id="200"/>
      </w:r>
      <w:r w:rsidRPr="005A0BBE">
        <w:rPr>
          <w:rtl/>
        </w:rPr>
        <w:t xml:space="preserve"> </w:t>
      </w:r>
      <w:r w:rsidRPr="005A0BBE">
        <w:rPr>
          <w:rFonts w:hint="cs"/>
          <w:rtl/>
        </w:rPr>
        <w:t>لاحتمال</w:t>
      </w:r>
      <w:r w:rsidRPr="005A0BBE">
        <w:rPr>
          <w:rtl/>
        </w:rPr>
        <w:t xml:space="preserve"> إعادة التوطين.</w:t>
      </w:r>
    </w:p>
    <w:p w:rsidR="00EE0FD7" w:rsidRPr="005A0BBE" w:rsidRDefault="00EE0FD7" w:rsidP="00EE0FD7">
      <w:pPr>
        <w:rPr>
          <w:rtl/>
        </w:rPr>
      </w:pPr>
      <w:r w:rsidRPr="005A0BBE">
        <w:rPr>
          <w:rFonts w:hint="cs"/>
          <w:rtl/>
        </w:rPr>
        <w:t>26-</w:t>
      </w:r>
      <w:r w:rsidRPr="005A0BBE">
        <w:rPr>
          <w:rFonts w:hint="cs"/>
          <w:rtl/>
        </w:rPr>
        <w:tab/>
      </w:r>
      <w:r w:rsidRPr="005A0BBE">
        <w:rPr>
          <w:rtl/>
        </w:rPr>
        <w:t>و</w:t>
      </w:r>
      <w:r w:rsidRPr="005A0BBE">
        <w:rPr>
          <w:rFonts w:hint="cs"/>
          <w:rtl/>
        </w:rPr>
        <w:t xml:space="preserve">على </w:t>
      </w:r>
      <w:r w:rsidRPr="005A0BBE">
        <w:rPr>
          <w:rtl/>
        </w:rPr>
        <w:t xml:space="preserve">كل مؤسسة أو كيان </w:t>
      </w:r>
      <w:r w:rsidRPr="005A0BBE">
        <w:rPr>
          <w:rFonts w:hint="cs"/>
          <w:rtl/>
        </w:rPr>
        <w:t>حائز على</w:t>
      </w:r>
      <w:r w:rsidRPr="005A0BBE">
        <w:rPr>
          <w:rtl/>
        </w:rPr>
        <w:t xml:space="preserve"> معارف تقليدية ومعلومات ذات صلة</w:t>
      </w:r>
      <w:r w:rsidRPr="005A0BBE">
        <w:rPr>
          <w:rFonts w:hint="cs"/>
          <w:rtl/>
        </w:rPr>
        <w:t xml:space="preserve"> أو يخزنها أو يستضيفها</w:t>
      </w:r>
      <w:r w:rsidRPr="005A0BBE">
        <w:rPr>
          <w:rtl/>
        </w:rPr>
        <w:t xml:space="preserve"> تحديد المحتوى في مجموعات </w:t>
      </w:r>
      <w:r w:rsidRPr="005A0BBE">
        <w:rPr>
          <w:rFonts w:hint="cs"/>
          <w:rtl/>
        </w:rPr>
        <w:t>لاحتمال</w:t>
      </w:r>
      <w:r w:rsidRPr="005A0BBE">
        <w:rPr>
          <w:rtl/>
        </w:rPr>
        <w:t xml:space="preserve"> </w:t>
      </w:r>
      <w:r w:rsidRPr="005A0BBE">
        <w:rPr>
          <w:rFonts w:hint="cs"/>
          <w:rtl/>
        </w:rPr>
        <w:t>إعادة التوطين</w:t>
      </w:r>
      <w:r w:rsidRPr="005A0BBE">
        <w:rPr>
          <w:rtl/>
        </w:rPr>
        <w:t xml:space="preserve"> واتخاذ القرارات المتعلقة بإعادة التوطين. وفي الوقت نفسه</w:t>
      </w:r>
      <w:r w:rsidRPr="005A0BBE">
        <w:rPr>
          <w:rFonts w:hint="cs"/>
          <w:rtl/>
        </w:rPr>
        <w:t>،</w:t>
      </w:r>
      <w:r w:rsidRPr="005A0BBE">
        <w:rPr>
          <w:rtl/>
        </w:rPr>
        <w:t xml:space="preserve"> قد ترغب الشعوب الأصلية والمجتمعات المحلية في مساعدة المؤسسات أو الكيانات </w:t>
      </w:r>
      <w:r w:rsidRPr="005A0BBE">
        <w:rPr>
          <w:rFonts w:hint="cs"/>
          <w:rtl/>
        </w:rPr>
        <w:t>الحائزة على</w:t>
      </w:r>
      <w:r w:rsidRPr="005A0BBE">
        <w:rPr>
          <w:rtl/>
        </w:rPr>
        <w:t xml:space="preserve"> المعارف التقليدية</w:t>
      </w:r>
      <w:r w:rsidRPr="005A0BBE">
        <w:rPr>
          <w:rFonts w:hint="cs"/>
          <w:rtl/>
        </w:rPr>
        <w:t xml:space="preserve"> أو تخزنها أو تستضيفها</w:t>
      </w:r>
      <w:r w:rsidRPr="005A0BBE">
        <w:rPr>
          <w:rtl/>
        </w:rPr>
        <w:t xml:space="preserve"> في تحديد </w:t>
      </w:r>
      <w:r w:rsidRPr="005A0BBE">
        <w:rPr>
          <w:rFonts w:hint="cs"/>
          <w:rtl/>
        </w:rPr>
        <w:t>المحتوى لاحتمال</w:t>
      </w:r>
      <w:r w:rsidRPr="005A0BBE">
        <w:rPr>
          <w:rtl/>
        </w:rPr>
        <w:t xml:space="preserve"> إعادة </w:t>
      </w:r>
      <w:r w:rsidRPr="005A0BBE">
        <w:rPr>
          <w:rFonts w:hint="cs"/>
          <w:rtl/>
        </w:rPr>
        <w:t>ال</w:t>
      </w:r>
      <w:r w:rsidRPr="005A0BBE">
        <w:rPr>
          <w:rtl/>
        </w:rPr>
        <w:t>توطين، و</w:t>
      </w:r>
      <w:r w:rsidRPr="005A0BBE">
        <w:rPr>
          <w:rFonts w:hint="cs"/>
          <w:rtl/>
        </w:rPr>
        <w:t>إصدار</w:t>
      </w:r>
      <w:r w:rsidRPr="005A0BBE">
        <w:rPr>
          <w:rtl/>
        </w:rPr>
        <w:t xml:space="preserve"> طلبات لفحص </w:t>
      </w:r>
      <w:r w:rsidRPr="005A0BBE">
        <w:rPr>
          <w:rFonts w:hint="cs"/>
          <w:rtl/>
        </w:rPr>
        <w:t>مجموعات المعلومات أو المعارف</w:t>
      </w:r>
      <w:r w:rsidRPr="005A0BBE">
        <w:rPr>
          <w:rtl/>
        </w:rPr>
        <w:t xml:space="preserve"> من أجل تحديد المحتوى، </w:t>
      </w:r>
      <w:r w:rsidRPr="005A0BBE">
        <w:rPr>
          <w:rFonts w:hint="cs"/>
          <w:rtl/>
        </w:rPr>
        <w:t>والتي</w:t>
      </w:r>
      <w:r w:rsidRPr="005A0BBE">
        <w:rPr>
          <w:rtl/>
        </w:rPr>
        <w:t xml:space="preserve"> قد </w:t>
      </w:r>
      <w:r w:rsidRPr="005A0BBE">
        <w:rPr>
          <w:rFonts w:hint="cs"/>
          <w:rtl/>
        </w:rPr>
        <w:t>ت</w:t>
      </w:r>
      <w:r w:rsidRPr="005A0BBE">
        <w:rPr>
          <w:rtl/>
        </w:rPr>
        <w:t>ؤدي إلى طلبات إعادة التوطين.</w:t>
      </w:r>
    </w:p>
    <w:p w:rsidR="00EE0FD7" w:rsidRPr="005A0BBE" w:rsidRDefault="00EE0FD7" w:rsidP="00EE0FD7">
      <w:pPr>
        <w:rPr>
          <w:rtl/>
        </w:rPr>
      </w:pPr>
      <w:r w:rsidRPr="005A0BBE">
        <w:rPr>
          <w:rFonts w:hint="cs"/>
          <w:rtl/>
        </w:rPr>
        <w:lastRenderedPageBreak/>
        <w:t>27-</w:t>
      </w:r>
      <w:r w:rsidRPr="005A0BBE">
        <w:rPr>
          <w:rFonts w:hint="cs"/>
          <w:rtl/>
        </w:rPr>
        <w:tab/>
      </w:r>
      <w:r w:rsidRPr="005A0BBE">
        <w:rPr>
          <w:rtl/>
        </w:rPr>
        <w:t xml:space="preserve">وقد يتطلب تحديد عناصر المعارف التقليدية </w:t>
      </w:r>
      <w:r w:rsidRPr="005A0BBE">
        <w:rPr>
          <w:rFonts w:hint="cs"/>
          <w:rtl/>
        </w:rPr>
        <w:t>لاحتمال</w:t>
      </w:r>
      <w:r w:rsidRPr="005A0BBE">
        <w:rPr>
          <w:rtl/>
        </w:rPr>
        <w:t xml:space="preserve"> </w:t>
      </w:r>
      <w:r w:rsidRPr="005A0BBE">
        <w:rPr>
          <w:rFonts w:hint="cs"/>
          <w:rtl/>
        </w:rPr>
        <w:t>إعادة التوطين</w:t>
      </w:r>
      <w:r w:rsidRPr="005A0BBE">
        <w:rPr>
          <w:rtl/>
        </w:rPr>
        <w:t xml:space="preserve"> تعاونا إقليميا أو دوليا وفقا للمادة 17 من الاتفاقية بشأن تبادل المعلومات. وتقتضي المادة 17 من الأطراف المتعاقدة تيسير تبادل المعلومات، من جميع المصادر المتاحة للجمهور، ذات الصلة بحفظ التنوع البيولوجي واستخدامه المستدام، بما في ذلك المعارف المتخصصة والمعارف الأصلية والتقليدية</w:t>
      </w:r>
      <w:r w:rsidRPr="005A0BBE">
        <w:rPr>
          <w:rFonts w:hint="cs"/>
          <w:rtl/>
        </w:rPr>
        <w:t>، بما في ذلك</w:t>
      </w:r>
      <w:r w:rsidRPr="005A0BBE">
        <w:rPr>
          <w:rtl/>
        </w:rPr>
        <w:t xml:space="preserve">، حيثما </w:t>
      </w:r>
      <w:r w:rsidRPr="005A0BBE">
        <w:rPr>
          <w:rFonts w:hint="cs"/>
          <w:rtl/>
        </w:rPr>
        <w:t>ي</w:t>
      </w:r>
      <w:r w:rsidRPr="005A0BBE">
        <w:rPr>
          <w:rtl/>
        </w:rPr>
        <w:t>مكن، إعادة توطين المعلومات ذات الصلة أو التكميلية.</w:t>
      </w:r>
    </w:p>
    <w:p w:rsidR="00EE0FD7" w:rsidRPr="005A0BBE" w:rsidRDefault="00EE0FD7" w:rsidP="00EE0FD7">
      <w:pPr>
        <w:rPr>
          <w:rtl/>
        </w:rPr>
      </w:pPr>
      <w:r w:rsidRPr="005A0BBE">
        <w:rPr>
          <w:rFonts w:hint="cs"/>
          <w:rtl/>
        </w:rPr>
        <w:t>28-</w:t>
      </w:r>
      <w:r w:rsidRPr="005A0BBE">
        <w:rPr>
          <w:rFonts w:hint="cs"/>
          <w:rtl/>
        </w:rPr>
        <w:tab/>
        <w:t>ويمكن</w:t>
      </w:r>
      <w:r w:rsidRPr="005A0BBE">
        <w:rPr>
          <w:rtl/>
        </w:rPr>
        <w:t xml:space="preserve"> أن تش</w:t>
      </w:r>
      <w:r w:rsidRPr="005A0BBE">
        <w:rPr>
          <w:rFonts w:hint="cs"/>
          <w:rtl/>
        </w:rPr>
        <w:t>ت</w:t>
      </w:r>
      <w:r w:rsidRPr="005A0BBE">
        <w:rPr>
          <w:rtl/>
        </w:rPr>
        <w:t xml:space="preserve">مل </w:t>
      </w:r>
      <w:r w:rsidRPr="005A0BBE">
        <w:rPr>
          <w:i/>
          <w:iCs/>
          <w:rtl/>
        </w:rPr>
        <w:t>المعلومات ذات الصلة أو التكميلية</w:t>
      </w:r>
      <w:r w:rsidRPr="005A0BBE">
        <w:rPr>
          <w:rtl/>
        </w:rPr>
        <w:t xml:space="preserve"> التي </w:t>
      </w:r>
      <w:r w:rsidRPr="005A0BBE">
        <w:rPr>
          <w:rFonts w:hint="cs"/>
          <w:rtl/>
        </w:rPr>
        <w:t>يتعين وضعها</w:t>
      </w:r>
      <w:r w:rsidRPr="005A0BBE">
        <w:rPr>
          <w:rtl/>
        </w:rPr>
        <w:t xml:space="preserve"> في الاعتبار عند إعادة توطين المعارف التقليدية، على سبيل المثال لا الحصر، </w:t>
      </w:r>
      <w:r w:rsidRPr="005A0BBE">
        <w:rPr>
          <w:rFonts w:hint="cs"/>
          <w:rtl/>
        </w:rPr>
        <w:t xml:space="preserve">على </w:t>
      </w:r>
      <w:r w:rsidRPr="005A0BBE">
        <w:rPr>
          <w:rtl/>
        </w:rPr>
        <w:t>معلومات عن متى ومن أين</w:t>
      </w:r>
      <w:r w:rsidRPr="005A0BBE">
        <w:rPr>
          <w:rFonts w:hint="cs"/>
          <w:rtl/>
        </w:rPr>
        <w:t xml:space="preserve"> وكيف</w:t>
      </w:r>
      <w:r w:rsidRPr="005A0BBE">
        <w:rPr>
          <w:rtl/>
        </w:rPr>
        <w:t xml:space="preserve"> </w:t>
      </w:r>
      <w:r w:rsidRPr="005A0BBE">
        <w:rPr>
          <w:rFonts w:hint="cs"/>
          <w:rtl/>
        </w:rPr>
        <w:t xml:space="preserve">ومن من </w:t>
      </w:r>
      <w:r w:rsidRPr="005A0BBE">
        <w:rPr>
          <w:rtl/>
        </w:rPr>
        <w:t xml:space="preserve">تم الوصول إلى </w:t>
      </w:r>
      <w:r w:rsidRPr="005A0BBE">
        <w:rPr>
          <w:rFonts w:hint="cs"/>
          <w:rtl/>
        </w:rPr>
        <w:t>المعارف</w:t>
      </w:r>
      <w:r w:rsidRPr="005A0BBE">
        <w:rPr>
          <w:rtl/>
        </w:rPr>
        <w:t xml:space="preserve"> المعنية أو جمعها</w:t>
      </w:r>
      <w:r w:rsidRPr="005A0BBE">
        <w:rPr>
          <w:rFonts w:hint="cs"/>
          <w:rtl/>
        </w:rPr>
        <w:t xml:space="preserve"> لأول مرة</w:t>
      </w:r>
      <w:r w:rsidRPr="005A0BBE">
        <w:rPr>
          <w:rtl/>
        </w:rPr>
        <w:t>، و</w:t>
      </w:r>
      <w:r w:rsidRPr="005A0BBE">
        <w:rPr>
          <w:rFonts w:hint="cs"/>
          <w:rtl/>
        </w:rPr>
        <w:t>وصول المعارف في المؤسسات و</w:t>
      </w:r>
      <w:r w:rsidRPr="005A0BBE">
        <w:rPr>
          <w:rtl/>
        </w:rPr>
        <w:t xml:space="preserve">الكيانات </w:t>
      </w:r>
      <w:r w:rsidRPr="005A0BBE">
        <w:rPr>
          <w:rFonts w:hint="cs"/>
          <w:rtl/>
        </w:rPr>
        <w:t>الحائزة على</w:t>
      </w:r>
      <w:r w:rsidRPr="005A0BBE">
        <w:rPr>
          <w:rtl/>
        </w:rPr>
        <w:t xml:space="preserve"> معارف تقليدية (مثل المكان والتاريخ) و</w:t>
      </w:r>
      <w:r w:rsidRPr="005A0BBE">
        <w:rPr>
          <w:rFonts w:hint="cs"/>
          <w:rtl/>
        </w:rPr>
        <w:t xml:space="preserve">جهات </w:t>
      </w:r>
      <w:r w:rsidRPr="005A0BBE">
        <w:rPr>
          <w:rtl/>
        </w:rPr>
        <w:t>الاتصال الأولية في تلك الأماكن و/أو المعارف الأصلية والتقليدية المرتبطة بالممتلكات الثقافية.</w:t>
      </w:r>
      <w:r w:rsidRPr="005A0BBE">
        <w:rPr>
          <w:vertAlign w:val="superscript"/>
          <w:rtl/>
        </w:rPr>
        <w:footnoteReference w:id="201"/>
      </w:r>
      <w:r w:rsidRPr="005A0BBE">
        <w:rPr>
          <w:rtl/>
        </w:rPr>
        <w:t xml:space="preserve"> ويمكن أن تساعد هذه المعلومات في تحديد </w:t>
      </w:r>
      <w:r w:rsidRPr="005A0BBE">
        <w:rPr>
          <w:rFonts w:hint="cs"/>
          <w:rtl/>
        </w:rPr>
        <w:t>الحائزين الأصليين على ا</w:t>
      </w:r>
      <w:r w:rsidRPr="005A0BBE">
        <w:rPr>
          <w:rtl/>
        </w:rPr>
        <w:t>لمعارف.</w:t>
      </w:r>
    </w:p>
    <w:p w:rsidR="00EE0FD7" w:rsidRPr="005A0BBE" w:rsidRDefault="00EE0FD7" w:rsidP="00EE0FD7">
      <w:pPr>
        <w:rPr>
          <w:rtl/>
        </w:rPr>
      </w:pPr>
      <w:r w:rsidRPr="005A0BBE">
        <w:rPr>
          <w:rFonts w:hint="cs"/>
          <w:rtl/>
        </w:rPr>
        <w:t>29-</w:t>
      </w:r>
      <w:r w:rsidRPr="005A0BBE">
        <w:rPr>
          <w:rFonts w:hint="cs"/>
          <w:rtl/>
        </w:rPr>
        <w:tab/>
      </w:r>
      <w:r w:rsidRPr="005A0BBE">
        <w:rPr>
          <w:rtl/>
        </w:rPr>
        <w:t>ويمكن أن تش</w:t>
      </w:r>
      <w:r w:rsidRPr="005A0BBE">
        <w:rPr>
          <w:rFonts w:hint="cs"/>
          <w:rtl/>
        </w:rPr>
        <w:t>ت</w:t>
      </w:r>
      <w:r w:rsidRPr="005A0BBE">
        <w:rPr>
          <w:rtl/>
        </w:rPr>
        <w:t xml:space="preserve">مل المعلومات ذات الصلة أو التكميلية أيضا </w:t>
      </w:r>
      <w:r w:rsidRPr="005A0BBE">
        <w:rPr>
          <w:rFonts w:hint="cs"/>
          <w:rtl/>
        </w:rPr>
        <w:t>على معلومات مثل</w:t>
      </w:r>
      <w:r w:rsidRPr="005A0BBE">
        <w:rPr>
          <w:rtl/>
        </w:rPr>
        <w:t xml:space="preserve"> بيانات </w:t>
      </w:r>
      <w:r w:rsidRPr="005A0BBE">
        <w:rPr>
          <w:rFonts w:hint="cs"/>
          <w:rtl/>
        </w:rPr>
        <w:t xml:space="preserve">على </w:t>
      </w:r>
      <w:r w:rsidRPr="005A0BBE">
        <w:rPr>
          <w:rtl/>
        </w:rPr>
        <w:t xml:space="preserve">مستوى الأنواع </w:t>
      </w:r>
      <w:r w:rsidRPr="005A0BBE">
        <w:rPr>
          <w:rFonts w:hint="cs"/>
          <w:rtl/>
        </w:rPr>
        <w:t xml:space="preserve">مصنفة </w:t>
      </w:r>
      <w:r w:rsidRPr="005A0BBE">
        <w:rPr>
          <w:rtl/>
        </w:rPr>
        <w:t>جغرافي</w:t>
      </w:r>
      <w:r w:rsidRPr="005A0BBE">
        <w:rPr>
          <w:rFonts w:hint="cs"/>
          <w:rtl/>
        </w:rPr>
        <w:t>ا</w:t>
      </w:r>
      <w:r w:rsidRPr="005A0BBE">
        <w:rPr>
          <w:rtl/>
        </w:rPr>
        <w:t xml:space="preserve"> والمعلومات ذات الصلة، و</w:t>
      </w:r>
      <w:r w:rsidRPr="005A0BBE">
        <w:rPr>
          <w:rFonts w:hint="cs"/>
          <w:rtl/>
        </w:rPr>
        <w:t>ال</w:t>
      </w:r>
      <w:r w:rsidRPr="005A0BBE">
        <w:rPr>
          <w:rtl/>
        </w:rPr>
        <w:t xml:space="preserve">أنواع </w:t>
      </w:r>
      <w:r w:rsidRPr="005A0BBE">
        <w:rPr>
          <w:rFonts w:hint="cs"/>
          <w:rtl/>
        </w:rPr>
        <w:t>ال</w:t>
      </w:r>
      <w:r w:rsidRPr="005A0BBE">
        <w:rPr>
          <w:rtl/>
        </w:rPr>
        <w:t>أخرى من المعلومات</w:t>
      </w:r>
      <w:r w:rsidRPr="005A0BBE">
        <w:rPr>
          <w:rFonts w:hint="cs"/>
          <w:rtl/>
        </w:rPr>
        <w:t xml:space="preserve"> المحتفظ بها</w:t>
      </w:r>
      <w:r w:rsidRPr="005A0BBE">
        <w:rPr>
          <w:rtl/>
        </w:rPr>
        <w:t xml:space="preserve"> في مجموعات أو قواعد بيانات قد تكون مفيدة لتكملة المعارف التقليدية </w:t>
      </w:r>
      <w:r w:rsidRPr="005A0BBE">
        <w:rPr>
          <w:rFonts w:hint="cs"/>
          <w:rtl/>
        </w:rPr>
        <w:t>المعاد توطينها</w:t>
      </w:r>
      <w:r w:rsidRPr="005A0BBE">
        <w:rPr>
          <w:rtl/>
        </w:rPr>
        <w:t xml:space="preserve"> من أجل حفظ التنوع البيولوجي</w:t>
      </w:r>
      <w:r w:rsidRPr="005A0BBE">
        <w:rPr>
          <w:rFonts w:hint="cs"/>
          <w:rtl/>
        </w:rPr>
        <w:t xml:space="preserve"> واستخدامه المستدام</w:t>
      </w:r>
      <w:r w:rsidRPr="005A0BBE">
        <w:rPr>
          <w:rtl/>
        </w:rPr>
        <w:t>.</w:t>
      </w:r>
    </w:p>
    <w:p w:rsidR="00EE0FD7" w:rsidRPr="005A0BBE" w:rsidRDefault="00EE0FD7" w:rsidP="00EE0FD7">
      <w:pPr>
        <w:jc w:val="center"/>
        <w:rPr>
          <w:i/>
          <w:iCs/>
          <w:rtl/>
        </w:rPr>
      </w:pPr>
      <w:r w:rsidRPr="005A0BBE">
        <w:rPr>
          <w:rFonts w:hint="cs"/>
          <w:i/>
          <w:iCs/>
          <w:rtl/>
        </w:rPr>
        <w:t>4-</w:t>
      </w:r>
      <w:r w:rsidRPr="005A0BBE">
        <w:rPr>
          <w:rFonts w:hint="cs"/>
          <w:i/>
          <w:iCs/>
          <w:rtl/>
        </w:rPr>
        <w:tab/>
      </w:r>
      <w:r w:rsidRPr="005A0BBE">
        <w:rPr>
          <w:i/>
          <w:iCs/>
          <w:rtl/>
        </w:rPr>
        <w:t xml:space="preserve">تحديد منشأ المعارف التقليدية والمعلومات ذات الصلة أو التكميلية </w:t>
      </w:r>
      <w:r w:rsidRPr="005A0BBE">
        <w:rPr>
          <w:rFonts w:hint="cs"/>
          <w:i/>
          <w:iCs/>
          <w:rtl/>
        </w:rPr>
        <w:t>لاحتمال</w:t>
      </w:r>
      <w:r w:rsidRPr="005A0BBE">
        <w:rPr>
          <w:i/>
          <w:iCs/>
          <w:rtl/>
        </w:rPr>
        <w:t xml:space="preserve"> إعادة التوطين</w:t>
      </w:r>
    </w:p>
    <w:p w:rsidR="00EE0FD7" w:rsidRPr="005A0BBE" w:rsidRDefault="00EE0FD7" w:rsidP="00EE0FD7">
      <w:pPr>
        <w:rPr>
          <w:rtl/>
        </w:rPr>
      </w:pPr>
      <w:r w:rsidRPr="005A0BBE">
        <w:rPr>
          <w:rFonts w:hint="cs"/>
          <w:rtl/>
        </w:rPr>
        <w:t>30-</w:t>
      </w:r>
      <w:r w:rsidRPr="005A0BBE">
        <w:rPr>
          <w:rFonts w:hint="cs"/>
          <w:rtl/>
        </w:rPr>
        <w:tab/>
      </w:r>
      <w:r w:rsidRPr="005A0BBE">
        <w:rPr>
          <w:rtl/>
        </w:rPr>
        <w:t xml:space="preserve">قد </w:t>
      </w:r>
      <w:r w:rsidRPr="005A0BBE">
        <w:rPr>
          <w:rFonts w:hint="cs"/>
          <w:rtl/>
        </w:rPr>
        <w:t>يعتمد</w:t>
      </w:r>
      <w:r w:rsidRPr="005A0BBE">
        <w:rPr>
          <w:rtl/>
        </w:rPr>
        <w:t xml:space="preserve"> تحديد </w:t>
      </w:r>
      <w:r w:rsidRPr="005A0BBE">
        <w:rPr>
          <w:rFonts w:hint="cs"/>
          <w:rtl/>
        </w:rPr>
        <w:t>منشأ</w:t>
      </w:r>
      <w:r w:rsidRPr="005A0BBE">
        <w:rPr>
          <w:rtl/>
        </w:rPr>
        <w:t xml:space="preserve"> المعارف التقليدية المعنية على إمكانية الحصول على "المعلومات ذات الصلة أو التكميلية"، مثل</w:t>
      </w:r>
      <w:r w:rsidRPr="005A0BBE">
        <w:rPr>
          <w:rFonts w:hint="cs"/>
          <w:rtl/>
        </w:rPr>
        <w:t xml:space="preserve"> متى</w:t>
      </w:r>
      <w:r w:rsidRPr="005A0BBE">
        <w:rPr>
          <w:rtl/>
        </w:rPr>
        <w:t xml:space="preserve"> تم الحصول على المعارف التقليدية المعنية</w:t>
      </w:r>
      <w:r w:rsidRPr="005A0BBE">
        <w:rPr>
          <w:rFonts w:hint="cs"/>
          <w:rtl/>
        </w:rPr>
        <w:t xml:space="preserve"> وأين وكيف ومن من وفي أي </w:t>
      </w:r>
      <w:r w:rsidRPr="005A0BBE">
        <w:rPr>
          <w:rtl/>
        </w:rPr>
        <w:t>شكل</w:t>
      </w:r>
      <w:r w:rsidRPr="005A0BBE">
        <w:rPr>
          <w:rFonts w:hint="cs"/>
          <w:rtl/>
        </w:rPr>
        <w:t>، فضلا عن البيانات على مستوى الأنواع المصنفة جغرافيا والمعلومات ذات الصلة، والأنواع الأخرى من المعلومات المحتفظ بها في مجموعات أو قواعد بيانات قد تكون مفيدة لتكملة المعارف التقليدية المعاد توطينها من أجل حفظ التنوع البيولوجي واستخدامه المستدام.</w:t>
      </w:r>
    </w:p>
    <w:p w:rsidR="00EE0FD7" w:rsidRPr="005A0BBE" w:rsidRDefault="00EE0FD7" w:rsidP="00EE0FD7">
      <w:pPr>
        <w:rPr>
          <w:rtl/>
        </w:rPr>
      </w:pPr>
      <w:r w:rsidRPr="005A0BBE">
        <w:rPr>
          <w:rFonts w:hint="cs"/>
          <w:rtl/>
        </w:rPr>
        <w:t>31-</w:t>
      </w:r>
      <w:r w:rsidRPr="005A0BBE">
        <w:rPr>
          <w:rFonts w:hint="cs"/>
          <w:rtl/>
        </w:rPr>
        <w:tab/>
      </w:r>
      <w:r w:rsidRPr="005A0BBE">
        <w:rPr>
          <w:rtl/>
        </w:rPr>
        <w:t xml:space="preserve">وينبغي أن تشارك </w:t>
      </w:r>
      <w:r w:rsidRPr="005A0BBE">
        <w:rPr>
          <w:rFonts w:hint="cs"/>
          <w:rtl/>
        </w:rPr>
        <w:t>ا</w:t>
      </w:r>
      <w:r w:rsidRPr="005A0BBE">
        <w:rPr>
          <w:rtl/>
        </w:rPr>
        <w:t xml:space="preserve">لشعوب الأصلية والمجتمعات المحلية بفعالية في تحديد </w:t>
      </w:r>
      <w:r w:rsidRPr="005A0BBE">
        <w:rPr>
          <w:rFonts w:hint="cs"/>
          <w:rtl/>
        </w:rPr>
        <w:t>منشأ</w:t>
      </w:r>
      <w:r w:rsidRPr="005A0BBE">
        <w:rPr>
          <w:rtl/>
        </w:rPr>
        <w:t xml:space="preserve"> المعارف التقليدية المعنية، وأن تسترشد في بعض الحالات ب</w:t>
      </w:r>
      <w:r w:rsidRPr="005A0BBE">
        <w:rPr>
          <w:rFonts w:hint="cs"/>
          <w:rtl/>
        </w:rPr>
        <w:t xml:space="preserve">القصص </w:t>
      </w:r>
      <w:r w:rsidRPr="005A0BBE">
        <w:rPr>
          <w:rtl/>
        </w:rPr>
        <w:t>التاريخ</w:t>
      </w:r>
      <w:r w:rsidRPr="005A0BBE">
        <w:rPr>
          <w:rFonts w:hint="cs"/>
          <w:rtl/>
        </w:rPr>
        <w:t>ية</w:t>
      </w:r>
      <w:r w:rsidRPr="005A0BBE">
        <w:rPr>
          <w:rtl/>
        </w:rPr>
        <w:t xml:space="preserve"> الشفوي</w:t>
      </w:r>
      <w:r w:rsidRPr="005A0BBE">
        <w:rPr>
          <w:rFonts w:hint="cs"/>
          <w:rtl/>
        </w:rPr>
        <w:t>ة</w:t>
      </w:r>
      <w:r w:rsidRPr="005A0BBE">
        <w:rPr>
          <w:rtl/>
        </w:rPr>
        <w:t xml:space="preserve"> و</w:t>
      </w:r>
      <w:r w:rsidRPr="005A0BBE">
        <w:rPr>
          <w:rFonts w:hint="cs"/>
          <w:rtl/>
        </w:rPr>
        <w:t>ال</w:t>
      </w:r>
      <w:r w:rsidRPr="005A0BBE">
        <w:rPr>
          <w:rtl/>
        </w:rPr>
        <w:t xml:space="preserve">أشكال </w:t>
      </w:r>
      <w:r w:rsidRPr="005A0BBE">
        <w:rPr>
          <w:rFonts w:hint="cs"/>
          <w:rtl/>
        </w:rPr>
        <w:t xml:space="preserve">الأخرى من </w:t>
      </w:r>
      <w:r w:rsidRPr="005A0BBE">
        <w:rPr>
          <w:rtl/>
        </w:rPr>
        <w:t>المعلومات.</w:t>
      </w:r>
    </w:p>
    <w:p w:rsidR="00EE0FD7" w:rsidRPr="005A0BBE" w:rsidRDefault="00EE0FD7" w:rsidP="00EE0FD7">
      <w:pPr>
        <w:rPr>
          <w:rtl/>
        </w:rPr>
      </w:pPr>
      <w:r w:rsidRPr="005A0BBE">
        <w:rPr>
          <w:rFonts w:hint="cs"/>
          <w:rtl/>
        </w:rPr>
        <w:t>32-</w:t>
      </w:r>
      <w:r w:rsidRPr="005A0BBE">
        <w:rPr>
          <w:rFonts w:hint="cs"/>
          <w:rtl/>
        </w:rPr>
        <w:tab/>
        <w:t>و</w:t>
      </w:r>
      <w:r w:rsidRPr="005A0BBE">
        <w:rPr>
          <w:rtl/>
        </w:rPr>
        <w:t xml:space="preserve">ينبغي أن تنظر </w:t>
      </w:r>
      <w:r w:rsidRPr="005A0BBE">
        <w:rPr>
          <w:rFonts w:hint="cs"/>
          <w:rtl/>
        </w:rPr>
        <w:t>ا</w:t>
      </w:r>
      <w:r w:rsidRPr="005A0BBE">
        <w:rPr>
          <w:rtl/>
        </w:rPr>
        <w:t xml:space="preserve">لأطراف والحكومات في ترتيبات استباقية لتيسير تحديد </w:t>
      </w:r>
      <w:r w:rsidRPr="005A0BBE">
        <w:rPr>
          <w:rFonts w:hint="cs"/>
          <w:rtl/>
        </w:rPr>
        <w:t>منشأ</w:t>
      </w:r>
      <w:r w:rsidRPr="005A0BBE">
        <w:rPr>
          <w:rtl/>
        </w:rPr>
        <w:t xml:space="preserve"> المعارف التقليدية </w:t>
      </w:r>
      <w:r w:rsidRPr="005A0BBE">
        <w:rPr>
          <w:rFonts w:hint="cs"/>
          <w:rtl/>
        </w:rPr>
        <w:t>والحائزين</w:t>
      </w:r>
      <w:r w:rsidRPr="005A0BBE">
        <w:rPr>
          <w:rtl/>
        </w:rPr>
        <w:t xml:space="preserve"> الأصليين</w:t>
      </w:r>
      <w:r w:rsidRPr="005A0BBE">
        <w:rPr>
          <w:rFonts w:hint="cs"/>
          <w:rtl/>
        </w:rPr>
        <w:t xml:space="preserve"> على ا</w:t>
      </w:r>
      <w:r w:rsidRPr="005A0BBE">
        <w:rPr>
          <w:rtl/>
        </w:rPr>
        <w:t>لمعارف. ويمكن أن تشمل هذه الترتيبات اشتراطات في القانون الوطني أن يذكر المؤلف</w:t>
      </w:r>
      <w:r w:rsidRPr="005A0BBE">
        <w:rPr>
          <w:rFonts w:hint="cs"/>
          <w:rtl/>
        </w:rPr>
        <w:t>و</w:t>
      </w:r>
      <w:r w:rsidRPr="005A0BBE">
        <w:rPr>
          <w:rtl/>
        </w:rPr>
        <w:t xml:space="preserve">ن </w:t>
      </w:r>
      <w:r w:rsidRPr="005A0BBE">
        <w:rPr>
          <w:rFonts w:hint="cs"/>
          <w:rtl/>
        </w:rPr>
        <w:t>منشأ</w:t>
      </w:r>
      <w:r w:rsidRPr="005A0BBE">
        <w:rPr>
          <w:rtl/>
        </w:rPr>
        <w:t xml:space="preserve"> الحصول على المعارف التقليدية في جميع المنشورات والاستخدامات و</w:t>
      </w:r>
      <w:r w:rsidRPr="005A0BBE">
        <w:rPr>
          <w:rFonts w:hint="cs"/>
          <w:rtl/>
        </w:rPr>
        <w:t>عمليات التطوير و</w:t>
      </w:r>
      <w:r w:rsidRPr="005A0BBE">
        <w:rPr>
          <w:rtl/>
        </w:rPr>
        <w:t>النشر</w:t>
      </w:r>
      <w:r w:rsidRPr="005A0BBE">
        <w:rPr>
          <w:rFonts w:hint="cs"/>
          <w:rtl/>
        </w:rPr>
        <w:t xml:space="preserve"> الأخرى.</w:t>
      </w:r>
    </w:p>
    <w:p w:rsidR="00EE0FD7" w:rsidRPr="005A0BBE" w:rsidRDefault="00EE0FD7" w:rsidP="00EE0FD7">
      <w:pPr>
        <w:jc w:val="center"/>
        <w:rPr>
          <w:i/>
          <w:iCs/>
          <w:rtl/>
        </w:rPr>
      </w:pPr>
      <w:r w:rsidRPr="005A0BBE">
        <w:rPr>
          <w:rFonts w:hint="cs"/>
          <w:i/>
          <w:iCs/>
          <w:rtl/>
        </w:rPr>
        <w:t>5-</w:t>
      </w:r>
      <w:r w:rsidRPr="005A0BBE">
        <w:rPr>
          <w:rFonts w:hint="cs"/>
          <w:i/>
          <w:iCs/>
          <w:rtl/>
        </w:rPr>
        <w:tab/>
      </w:r>
      <w:r w:rsidRPr="005A0BBE">
        <w:rPr>
          <w:i/>
          <w:iCs/>
          <w:rtl/>
        </w:rPr>
        <w:t xml:space="preserve">تحديد </w:t>
      </w:r>
      <w:r w:rsidRPr="005A0BBE">
        <w:rPr>
          <w:rFonts w:hint="cs"/>
          <w:i/>
          <w:iCs/>
          <w:rtl/>
        </w:rPr>
        <w:t>الحائزين</w:t>
      </w:r>
      <w:r w:rsidRPr="005A0BBE">
        <w:rPr>
          <w:i/>
          <w:iCs/>
          <w:rtl/>
        </w:rPr>
        <w:t xml:space="preserve"> الأصليين</w:t>
      </w:r>
      <w:r w:rsidRPr="005A0BBE">
        <w:rPr>
          <w:rFonts w:hint="cs"/>
          <w:i/>
          <w:iCs/>
          <w:rtl/>
        </w:rPr>
        <w:t xml:space="preserve"> على ا</w:t>
      </w:r>
      <w:r w:rsidRPr="005A0BBE">
        <w:rPr>
          <w:i/>
          <w:iCs/>
          <w:rtl/>
        </w:rPr>
        <w:t xml:space="preserve">لمعارف التقليدية </w:t>
      </w:r>
    </w:p>
    <w:p w:rsidR="00EE0FD7" w:rsidRPr="005A0BBE" w:rsidRDefault="00EE0FD7" w:rsidP="00EE0FD7">
      <w:pPr>
        <w:rPr>
          <w:rtl/>
        </w:rPr>
      </w:pPr>
      <w:r w:rsidRPr="005A0BBE">
        <w:rPr>
          <w:rFonts w:hint="cs"/>
          <w:rtl/>
        </w:rPr>
        <w:t>33-</w:t>
      </w:r>
      <w:r w:rsidRPr="005A0BBE">
        <w:rPr>
          <w:rFonts w:hint="cs"/>
          <w:rtl/>
        </w:rPr>
        <w:tab/>
        <w:t>يعد</w:t>
      </w:r>
      <w:r w:rsidRPr="005A0BBE">
        <w:rPr>
          <w:rtl/>
        </w:rPr>
        <w:t xml:space="preserve"> تحديد </w:t>
      </w:r>
      <w:r w:rsidRPr="005A0BBE">
        <w:rPr>
          <w:rFonts w:hint="cs"/>
          <w:rtl/>
        </w:rPr>
        <w:t>الحائزين الأصليين على المعارف</w:t>
      </w:r>
      <w:r w:rsidRPr="005A0BBE">
        <w:rPr>
          <w:rtl/>
        </w:rPr>
        <w:t xml:space="preserve"> التقليدية أمر</w:t>
      </w:r>
      <w:r w:rsidRPr="005A0BBE">
        <w:rPr>
          <w:rFonts w:hint="cs"/>
          <w:rtl/>
        </w:rPr>
        <w:t>ا</w:t>
      </w:r>
      <w:r w:rsidRPr="005A0BBE">
        <w:rPr>
          <w:rtl/>
        </w:rPr>
        <w:t xml:space="preserve"> أساسي</w:t>
      </w:r>
      <w:r w:rsidRPr="005A0BBE">
        <w:rPr>
          <w:rFonts w:hint="cs"/>
          <w:rtl/>
        </w:rPr>
        <w:t>ا</w:t>
      </w:r>
      <w:r w:rsidRPr="005A0BBE">
        <w:rPr>
          <w:rtl/>
        </w:rPr>
        <w:t xml:space="preserve"> في </w:t>
      </w:r>
      <w:r w:rsidRPr="005A0BBE">
        <w:rPr>
          <w:rFonts w:hint="cs"/>
          <w:rtl/>
        </w:rPr>
        <w:t>نجاح إعادة توطين ا</w:t>
      </w:r>
      <w:r w:rsidRPr="005A0BBE">
        <w:rPr>
          <w:rtl/>
        </w:rPr>
        <w:t>لمعارف التقليدية.</w:t>
      </w:r>
    </w:p>
    <w:p w:rsidR="00EE0FD7" w:rsidRPr="005A0BBE" w:rsidRDefault="00EE0FD7" w:rsidP="00EE0FD7">
      <w:pPr>
        <w:rPr>
          <w:rtl/>
        </w:rPr>
      </w:pPr>
      <w:r w:rsidRPr="005A0BBE">
        <w:rPr>
          <w:rFonts w:hint="cs"/>
          <w:rtl/>
        </w:rPr>
        <w:t>34-</w:t>
      </w:r>
      <w:r w:rsidRPr="005A0BBE">
        <w:rPr>
          <w:rFonts w:hint="cs"/>
          <w:rtl/>
        </w:rPr>
        <w:tab/>
        <w:t>ومن أجل</w:t>
      </w:r>
      <w:r w:rsidRPr="005A0BBE">
        <w:rPr>
          <w:rtl/>
        </w:rPr>
        <w:t xml:space="preserve"> تحديد </w:t>
      </w:r>
      <w:r w:rsidRPr="005A0BBE">
        <w:rPr>
          <w:rFonts w:hint="cs"/>
          <w:rtl/>
        </w:rPr>
        <w:t>الحائزين الأصليين على المعارف</w:t>
      </w:r>
      <w:r w:rsidRPr="005A0BBE">
        <w:rPr>
          <w:rtl/>
        </w:rPr>
        <w:t xml:space="preserve"> التقليدية، </w:t>
      </w:r>
      <w:r w:rsidRPr="005A0BBE">
        <w:rPr>
          <w:rFonts w:hint="cs"/>
          <w:rtl/>
        </w:rPr>
        <w:t xml:space="preserve">يتعين </w:t>
      </w:r>
      <w:r w:rsidRPr="005A0BBE">
        <w:rPr>
          <w:rtl/>
        </w:rPr>
        <w:t xml:space="preserve">أولا </w:t>
      </w:r>
      <w:r w:rsidRPr="005A0BBE">
        <w:rPr>
          <w:rFonts w:hint="cs"/>
          <w:rtl/>
        </w:rPr>
        <w:t>تحديد منشأ</w:t>
      </w:r>
      <w:r w:rsidRPr="005A0BBE">
        <w:rPr>
          <w:rtl/>
        </w:rPr>
        <w:t xml:space="preserve"> المعارف التقليدية المعنية، بما في ذلك متى تم اقتناؤها، </w:t>
      </w:r>
      <w:r w:rsidRPr="005A0BBE">
        <w:rPr>
          <w:rFonts w:hint="cs"/>
          <w:rtl/>
        </w:rPr>
        <w:t>وأين وكيف ومن من وبأ</w:t>
      </w:r>
      <w:r w:rsidRPr="005A0BBE">
        <w:rPr>
          <w:rtl/>
        </w:rPr>
        <w:t>ي شكل.</w:t>
      </w:r>
      <w:r w:rsidRPr="005A0BBE">
        <w:rPr>
          <w:vertAlign w:val="superscript"/>
          <w:rtl/>
        </w:rPr>
        <w:footnoteReference w:id="202"/>
      </w:r>
      <w:r w:rsidRPr="005A0BBE">
        <w:rPr>
          <w:rtl/>
        </w:rPr>
        <w:t xml:space="preserve"> وفي مثل هذه الحالات، </w:t>
      </w:r>
      <w:r w:rsidRPr="005A0BBE">
        <w:rPr>
          <w:rFonts w:hint="cs"/>
          <w:rtl/>
        </w:rPr>
        <w:t>يمكن أن</w:t>
      </w:r>
      <w:r w:rsidRPr="005A0BBE">
        <w:rPr>
          <w:rtl/>
        </w:rPr>
        <w:t xml:space="preserve"> تكون المعلومات ذات الصلة أو التكميلية المذكورة آنفا </w:t>
      </w:r>
      <w:r w:rsidRPr="005A0BBE">
        <w:rPr>
          <w:rFonts w:hint="cs"/>
          <w:rtl/>
        </w:rPr>
        <w:t>مفيدة</w:t>
      </w:r>
      <w:r w:rsidRPr="005A0BBE">
        <w:rPr>
          <w:rtl/>
        </w:rPr>
        <w:t>.</w:t>
      </w:r>
    </w:p>
    <w:p w:rsidR="00EE0FD7" w:rsidRPr="005A0BBE" w:rsidRDefault="00EE0FD7" w:rsidP="00EE0FD7">
      <w:pPr>
        <w:rPr>
          <w:rtl/>
        </w:rPr>
      </w:pPr>
      <w:r w:rsidRPr="005A0BBE">
        <w:rPr>
          <w:rFonts w:hint="cs"/>
          <w:rtl/>
        </w:rPr>
        <w:t>35-</w:t>
      </w:r>
      <w:r w:rsidRPr="005A0BBE">
        <w:rPr>
          <w:rFonts w:hint="cs"/>
          <w:rtl/>
        </w:rPr>
        <w:tab/>
      </w:r>
      <w:r w:rsidRPr="005A0BBE">
        <w:rPr>
          <w:rtl/>
        </w:rPr>
        <w:t>ويمكن أن تش</w:t>
      </w:r>
      <w:r w:rsidRPr="005A0BBE">
        <w:rPr>
          <w:rFonts w:hint="cs"/>
          <w:rtl/>
        </w:rPr>
        <w:t>ت</w:t>
      </w:r>
      <w:r w:rsidRPr="005A0BBE">
        <w:rPr>
          <w:rtl/>
        </w:rPr>
        <w:t xml:space="preserve">مل عمليات المجتمعات الأصلية والمحلية </w:t>
      </w:r>
      <w:r w:rsidRPr="005A0BBE">
        <w:rPr>
          <w:rFonts w:hint="cs"/>
          <w:rtl/>
        </w:rPr>
        <w:t>ل</w:t>
      </w:r>
      <w:r w:rsidRPr="005A0BBE">
        <w:rPr>
          <w:rtl/>
        </w:rPr>
        <w:t>إعادة توطين المعارف التقليدية</w:t>
      </w:r>
      <w:r w:rsidRPr="005A0BBE">
        <w:rPr>
          <w:rFonts w:hint="cs"/>
          <w:rtl/>
        </w:rPr>
        <w:t xml:space="preserve"> على ال</w:t>
      </w:r>
      <w:r w:rsidRPr="005A0BBE">
        <w:rPr>
          <w:rtl/>
        </w:rPr>
        <w:t>استنا</w:t>
      </w:r>
      <w:r w:rsidRPr="005A0BBE">
        <w:rPr>
          <w:rFonts w:hint="cs"/>
          <w:rtl/>
        </w:rPr>
        <w:t>د</w:t>
      </w:r>
      <w:r w:rsidRPr="005A0BBE">
        <w:rPr>
          <w:rtl/>
        </w:rPr>
        <w:t xml:space="preserve"> إلى </w:t>
      </w:r>
      <w:r w:rsidRPr="005A0BBE">
        <w:rPr>
          <w:rFonts w:hint="cs"/>
          <w:rtl/>
        </w:rPr>
        <w:t>قصصها ال</w:t>
      </w:r>
      <w:r w:rsidRPr="005A0BBE">
        <w:rPr>
          <w:rtl/>
        </w:rPr>
        <w:t>تاريخ</w:t>
      </w:r>
      <w:r w:rsidRPr="005A0BBE">
        <w:rPr>
          <w:rFonts w:hint="cs"/>
          <w:rtl/>
        </w:rPr>
        <w:t>ية</w:t>
      </w:r>
      <w:r w:rsidRPr="005A0BBE">
        <w:rPr>
          <w:rtl/>
        </w:rPr>
        <w:t xml:space="preserve"> الشفوية</w:t>
      </w:r>
      <w:r w:rsidRPr="005A0BBE">
        <w:rPr>
          <w:rFonts w:hint="cs"/>
          <w:rtl/>
        </w:rPr>
        <w:t xml:space="preserve"> </w:t>
      </w:r>
      <w:r w:rsidRPr="005A0BBE">
        <w:rPr>
          <w:rtl/>
        </w:rPr>
        <w:t xml:space="preserve">وتقاليدها </w:t>
      </w:r>
      <w:r w:rsidRPr="005A0BBE">
        <w:rPr>
          <w:rFonts w:hint="cs"/>
          <w:rtl/>
        </w:rPr>
        <w:t>ل</w:t>
      </w:r>
      <w:r w:rsidRPr="005A0BBE">
        <w:rPr>
          <w:rtl/>
        </w:rPr>
        <w:t xml:space="preserve">تحديد ما يلي: </w:t>
      </w:r>
      <w:r w:rsidRPr="005A0BBE">
        <w:rPr>
          <w:rFonts w:hint="cs"/>
          <w:rtl/>
        </w:rPr>
        <w:t>أين</w:t>
      </w:r>
      <w:r w:rsidRPr="005A0BBE">
        <w:rPr>
          <w:rtl/>
        </w:rPr>
        <w:t xml:space="preserve"> يمكن </w:t>
      </w:r>
      <w:r w:rsidRPr="005A0BBE">
        <w:rPr>
          <w:rFonts w:hint="cs"/>
          <w:rtl/>
        </w:rPr>
        <w:t>حيازة</w:t>
      </w:r>
      <w:r w:rsidRPr="005A0BBE">
        <w:rPr>
          <w:rtl/>
        </w:rPr>
        <w:t xml:space="preserve"> المعارف التقليدية</w:t>
      </w:r>
      <w:r w:rsidRPr="005A0BBE">
        <w:rPr>
          <w:rFonts w:hint="cs"/>
          <w:rtl/>
        </w:rPr>
        <w:t xml:space="preserve"> أو تخزينها أو استضافتها؛</w:t>
      </w:r>
      <w:r w:rsidRPr="005A0BBE">
        <w:rPr>
          <w:rtl/>
        </w:rPr>
        <w:t xml:space="preserve"> ومتى وأين ومن</w:t>
      </w:r>
      <w:r w:rsidRPr="005A0BBE">
        <w:rPr>
          <w:rFonts w:hint="cs"/>
          <w:rtl/>
        </w:rPr>
        <w:t xml:space="preserve"> من</w:t>
      </w:r>
      <w:r w:rsidRPr="005A0BBE">
        <w:rPr>
          <w:rtl/>
        </w:rPr>
        <w:t xml:space="preserve"> تم </w:t>
      </w:r>
      <w:r w:rsidRPr="005A0BBE">
        <w:rPr>
          <w:rtl/>
        </w:rPr>
        <w:lastRenderedPageBreak/>
        <w:t xml:space="preserve">جمع </w:t>
      </w:r>
      <w:r w:rsidRPr="005A0BBE">
        <w:rPr>
          <w:rFonts w:hint="cs"/>
          <w:rtl/>
        </w:rPr>
        <w:t>المعارف</w:t>
      </w:r>
      <w:r w:rsidRPr="005A0BBE">
        <w:rPr>
          <w:rtl/>
        </w:rPr>
        <w:t xml:space="preserve"> المعنية وبأي شكل؛ ومعلومات عن وصول </w:t>
      </w:r>
      <w:r w:rsidRPr="005A0BBE">
        <w:rPr>
          <w:rFonts w:hint="cs"/>
          <w:rtl/>
        </w:rPr>
        <w:t>المعارف</w:t>
      </w:r>
      <w:r w:rsidRPr="005A0BBE">
        <w:rPr>
          <w:rtl/>
        </w:rPr>
        <w:t xml:space="preserve"> </w:t>
      </w:r>
      <w:r w:rsidRPr="005A0BBE">
        <w:rPr>
          <w:rFonts w:hint="cs"/>
          <w:rtl/>
        </w:rPr>
        <w:t>إلى</w:t>
      </w:r>
      <w:r w:rsidRPr="005A0BBE">
        <w:rPr>
          <w:rtl/>
        </w:rPr>
        <w:t xml:space="preserve"> تلك الأماكن، بما في ذلك التواريخ و</w:t>
      </w:r>
      <w:r w:rsidRPr="005A0BBE">
        <w:rPr>
          <w:rFonts w:hint="cs"/>
          <w:rtl/>
        </w:rPr>
        <w:t xml:space="preserve">جهات </w:t>
      </w:r>
      <w:r w:rsidRPr="005A0BBE">
        <w:rPr>
          <w:rtl/>
        </w:rPr>
        <w:t>الاتصال الأولي</w:t>
      </w:r>
      <w:r w:rsidRPr="005A0BBE">
        <w:rPr>
          <w:rFonts w:hint="cs"/>
          <w:rtl/>
        </w:rPr>
        <w:t xml:space="preserve">ة للموظفين </w:t>
      </w:r>
      <w:r w:rsidRPr="005A0BBE">
        <w:rPr>
          <w:rtl/>
        </w:rPr>
        <w:t xml:space="preserve">في </w:t>
      </w:r>
      <w:r w:rsidRPr="005A0BBE">
        <w:rPr>
          <w:rFonts w:hint="cs"/>
          <w:rtl/>
        </w:rPr>
        <w:t>ا</w:t>
      </w:r>
      <w:r w:rsidRPr="005A0BBE">
        <w:rPr>
          <w:rtl/>
        </w:rPr>
        <w:t>لأماكن التي تخزن المعارف التقليدية</w:t>
      </w:r>
      <w:r w:rsidRPr="005A0BBE">
        <w:rPr>
          <w:rFonts w:hint="cs"/>
          <w:rtl/>
        </w:rPr>
        <w:t xml:space="preserve"> أو تستخدمه</w:t>
      </w:r>
      <w:r w:rsidRPr="005A0BBE">
        <w:rPr>
          <w:rtl/>
        </w:rPr>
        <w:t>ا.</w:t>
      </w:r>
    </w:p>
    <w:p w:rsidR="00EE0FD7" w:rsidRPr="005A0BBE" w:rsidRDefault="00EE0FD7" w:rsidP="00EE0FD7">
      <w:pPr>
        <w:rPr>
          <w:rtl/>
        </w:rPr>
      </w:pPr>
      <w:r w:rsidRPr="005A0BBE">
        <w:rPr>
          <w:rFonts w:hint="cs"/>
          <w:rtl/>
        </w:rPr>
        <w:t>36-</w:t>
      </w:r>
      <w:r w:rsidRPr="005A0BBE">
        <w:rPr>
          <w:rFonts w:hint="cs"/>
          <w:rtl/>
        </w:rPr>
        <w:tab/>
      </w:r>
      <w:r w:rsidRPr="005A0BBE">
        <w:rPr>
          <w:rtl/>
        </w:rPr>
        <w:t xml:space="preserve">ويمكن أن تساعد </w:t>
      </w:r>
      <w:r w:rsidRPr="005A0BBE">
        <w:rPr>
          <w:rFonts w:hint="cs"/>
          <w:rtl/>
        </w:rPr>
        <w:t>القصص ال</w:t>
      </w:r>
      <w:r w:rsidRPr="005A0BBE">
        <w:rPr>
          <w:rtl/>
        </w:rPr>
        <w:t>تاريخ</w:t>
      </w:r>
      <w:r w:rsidRPr="005A0BBE">
        <w:rPr>
          <w:rFonts w:hint="cs"/>
          <w:rtl/>
        </w:rPr>
        <w:t>ية</w:t>
      </w:r>
      <w:r w:rsidRPr="005A0BBE">
        <w:rPr>
          <w:rtl/>
        </w:rPr>
        <w:t xml:space="preserve"> الشفوية، مقترنة بالجهود التي تبذلها المؤسسات لجعل مجموعاتها متاحة للجمهور، في تحديد </w:t>
      </w:r>
      <w:r w:rsidRPr="005A0BBE">
        <w:rPr>
          <w:rFonts w:hint="cs"/>
          <w:rtl/>
        </w:rPr>
        <w:t>الحائزين</w:t>
      </w:r>
      <w:r w:rsidRPr="005A0BBE">
        <w:rPr>
          <w:rtl/>
        </w:rPr>
        <w:t xml:space="preserve"> الأصليين </w:t>
      </w:r>
      <w:r w:rsidRPr="005A0BBE">
        <w:rPr>
          <w:rFonts w:hint="cs"/>
          <w:rtl/>
        </w:rPr>
        <w:t xml:space="preserve">عليها </w:t>
      </w:r>
      <w:r w:rsidRPr="005A0BBE">
        <w:rPr>
          <w:rtl/>
        </w:rPr>
        <w:t xml:space="preserve">من أجل </w:t>
      </w:r>
      <w:r w:rsidRPr="005A0BBE">
        <w:rPr>
          <w:rFonts w:hint="cs"/>
          <w:rtl/>
        </w:rPr>
        <w:t>احتمال إعادة التوطين</w:t>
      </w:r>
      <w:r w:rsidRPr="005A0BBE">
        <w:rPr>
          <w:rtl/>
        </w:rPr>
        <w:t>.</w:t>
      </w:r>
    </w:p>
    <w:p w:rsidR="00EE0FD7" w:rsidRPr="005A0BBE" w:rsidRDefault="00EE0FD7" w:rsidP="00EE0FD7">
      <w:pPr>
        <w:rPr>
          <w:rtl/>
        </w:rPr>
      </w:pPr>
      <w:r w:rsidRPr="005A0BBE">
        <w:rPr>
          <w:rFonts w:hint="cs"/>
          <w:rtl/>
        </w:rPr>
        <w:t>37-</w:t>
      </w:r>
      <w:r w:rsidRPr="005A0BBE">
        <w:rPr>
          <w:rFonts w:hint="cs"/>
          <w:rtl/>
        </w:rPr>
        <w:tab/>
      </w:r>
      <w:r w:rsidRPr="005A0BBE">
        <w:rPr>
          <w:rtl/>
        </w:rPr>
        <w:t xml:space="preserve">وينبغي أن تعمل </w:t>
      </w:r>
      <w:r w:rsidRPr="005A0BBE">
        <w:rPr>
          <w:rFonts w:hint="cs"/>
          <w:rtl/>
        </w:rPr>
        <w:t>ا</w:t>
      </w:r>
      <w:r w:rsidRPr="005A0BBE">
        <w:rPr>
          <w:rtl/>
        </w:rPr>
        <w:t xml:space="preserve">لإدارات الحكومية والمؤسسات والكيانات </w:t>
      </w:r>
      <w:r w:rsidRPr="005A0BBE">
        <w:rPr>
          <w:rFonts w:hint="cs"/>
          <w:rtl/>
        </w:rPr>
        <w:t>الحائزة على</w:t>
      </w:r>
      <w:r w:rsidRPr="005A0BBE">
        <w:rPr>
          <w:rtl/>
        </w:rPr>
        <w:t xml:space="preserve"> معارف تقليدية</w:t>
      </w:r>
      <w:r w:rsidRPr="005A0BBE">
        <w:rPr>
          <w:rFonts w:hint="cs"/>
          <w:rtl/>
        </w:rPr>
        <w:t xml:space="preserve"> أو تخزنها أو تستضيفها</w:t>
      </w:r>
      <w:r w:rsidRPr="005A0BBE">
        <w:rPr>
          <w:rtl/>
        </w:rPr>
        <w:t xml:space="preserve"> في شراكة مع الشعوب الأصلية والمجتمعات المحلية </w:t>
      </w:r>
      <w:r w:rsidRPr="005A0BBE">
        <w:rPr>
          <w:rFonts w:hint="cs"/>
          <w:rtl/>
        </w:rPr>
        <w:t>المعنية</w:t>
      </w:r>
      <w:r w:rsidRPr="005A0BBE">
        <w:rPr>
          <w:rtl/>
        </w:rPr>
        <w:t xml:space="preserve"> وأن </w:t>
      </w:r>
      <w:r w:rsidRPr="005A0BBE">
        <w:rPr>
          <w:rFonts w:hint="cs"/>
          <w:rtl/>
        </w:rPr>
        <w:t>تضمن</w:t>
      </w:r>
      <w:r w:rsidRPr="005A0BBE">
        <w:rPr>
          <w:rtl/>
        </w:rPr>
        <w:t xml:space="preserve"> مشاركتها</w:t>
      </w:r>
      <w:r w:rsidRPr="005A0BBE">
        <w:rPr>
          <w:rFonts w:hint="cs"/>
          <w:rtl/>
        </w:rPr>
        <w:t xml:space="preserve"> الكاملة</w:t>
      </w:r>
      <w:r w:rsidRPr="005A0BBE">
        <w:rPr>
          <w:rtl/>
        </w:rPr>
        <w:t xml:space="preserve"> </w:t>
      </w:r>
      <w:r w:rsidRPr="005A0BBE">
        <w:rPr>
          <w:rFonts w:hint="cs"/>
          <w:rtl/>
        </w:rPr>
        <w:t>و</w:t>
      </w:r>
      <w:r w:rsidRPr="005A0BBE">
        <w:rPr>
          <w:rtl/>
        </w:rPr>
        <w:t xml:space="preserve">الفعالة في تحديد </w:t>
      </w:r>
      <w:r w:rsidRPr="005A0BBE">
        <w:rPr>
          <w:rFonts w:hint="cs"/>
          <w:rtl/>
        </w:rPr>
        <w:t>الحائزين الأصليين على المعارف</w:t>
      </w:r>
      <w:r w:rsidRPr="005A0BBE">
        <w:rPr>
          <w:rtl/>
        </w:rPr>
        <w:t>.</w:t>
      </w:r>
      <w:r w:rsidRPr="005A0BBE">
        <w:rPr>
          <w:vertAlign w:val="superscript"/>
          <w:rtl/>
        </w:rPr>
        <w:footnoteReference w:id="203"/>
      </w:r>
    </w:p>
    <w:p w:rsidR="00EE0FD7" w:rsidRPr="005A0BBE" w:rsidRDefault="00EE0FD7" w:rsidP="00EE0FD7">
      <w:pPr>
        <w:jc w:val="center"/>
        <w:rPr>
          <w:i/>
          <w:iCs/>
          <w:rtl/>
        </w:rPr>
      </w:pPr>
      <w:r w:rsidRPr="005A0BBE">
        <w:rPr>
          <w:rFonts w:hint="cs"/>
          <w:i/>
          <w:iCs/>
          <w:rtl/>
        </w:rPr>
        <w:t>6-</w:t>
      </w:r>
      <w:r w:rsidRPr="005A0BBE">
        <w:rPr>
          <w:rFonts w:hint="cs"/>
          <w:i/>
          <w:iCs/>
          <w:rtl/>
        </w:rPr>
        <w:tab/>
      </w:r>
      <w:r w:rsidRPr="005A0BBE">
        <w:rPr>
          <w:i/>
          <w:iCs/>
          <w:rtl/>
        </w:rPr>
        <w:t>اتفاقات إعادة التوطين</w:t>
      </w:r>
    </w:p>
    <w:p w:rsidR="00EE0FD7" w:rsidRPr="005A0BBE" w:rsidRDefault="00EE0FD7" w:rsidP="00EE0FD7">
      <w:r w:rsidRPr="005A0BBE">
        <w:rPr>
          <w:rFonts w:hint="cs"/>
          <w:rtl/>
        </w:rPr>
        <w:t>38-</w:t>
      </w:r>
      <w:r w:rsidRPr="005A0BBE">
        <w:rPr>
          <w:rFonts w:hint="cs"/>
          <w:rtl/>
        </w:rPr>
        <w:tab/>
        <w:t xml:space="preserve">من أجل </w:t>
      </w:r>
      <w:r w:rsidRPr="005A0BBE">
        <w:rPr>
          <w:rtl/>
        </w:rPr>
        <w:t>توضيح عملية إعادة توطين، قد ترغب الشعوب الأصلية والمجتمعات المحلية في تحديد إجراءات</w:t>
      </w:r>
      <w:r w:rsidRPr="005A0BBE">
        <w:rPr>
          <w:rFonts w:hint="cs"/>
          <w:rtl/>
        </w:rPr>
        <w:t>ها</w:t>
      </w:r>
      <w:r w:rsidRPr="005A0BBE">
        <w:rPr>
          <w:rtl/>
        </w:rPr>
        <w:t xml:space="preserve"> العرفية أو </w:t>
      </w:r>
      <w:r w:rsidRPr="005A0BBE">
        <w:rPr>
          <w:rFonts w:hint="cs"/>
          <w:rtl/>
        </w:rPr>
        <w:t>وضع</w:t>
      </w:r>
      <w:r w:rsidRPr="005A0BBE">
        <w:rPr>
          <w:rtl/>
        </w:rPr>
        <w:t xml:space="preserve"> بروتوكولات مجتمعية </w:t>
      </w:r>
      <w:r w:rsidRPr="005A0BBE">
        <w:rPr>
          <w:rFonts w:hint="cs"/>
          <w:rtl/>
        </w:rPr>
        <w:t>تتناول</w:t>
      </w:r>
      <w:r w:rsidRPr="005A0BBE">
        <w:rPr>
          <w:rtl/>
        </w:rPr>
        <w:t xml:space="preserve"> إعادة توطين المعارف التقليدية.</w:t>
      </w:r>
      <w:r w:rsidRPr="005A0BBE">
        <w:rPr>
          <w:vertAlign w:val="superscript"/>
        </w:rPr>
        <w:footnoteReference w:id="204"/>
      </w:r>
    </w:p>
    <w:p w:rsidR="00EE0FD7" w:rsidRPr="005A0BBE" w:rsidRDefault="00EE0FD7" w:rsidP="00EE0FD7">
      <w:pPr>
        <w:rPr>
          <w:rtl/>
        </w:rPr>
      </w:pPr>
      <w:r w:rsidRPr="005A0BBE">
        <w:rPr>
          <w:rFonts w:hint="cs"/>
          <w:rtl/>
        </w:rPr>
        <w:t>39-</w:t>
      </w:r>
      <w:r w:rsidRPr="005A0BBE">
        <w:rPr>
          <w:rFonts w:hint="cs"/>
          <w:rtl/>
        </w:rPr>
        <w:tab/>
      </w:r>
      <w:r w:rsidRPr="005A0BBE">
        <w:rPr>
          <w:rtl/>
        </w:rPr>
        <w:t>وبوجه عام، ينبغي أن تعترف اتفاقات إعادة التوطين ب</w:t>
      </w:r>
      <w:r w:rsidRPr="005A0BBE">
        <w:rPr>
          <w:rFonts w:hint="cs"/>
          <w:rtl/>
        </w:rPr>
        <w:t xml:space="preserve">أي </w:t>
      </w:r>
      <w:r w:rsidRPr="005A0BBE">
        <w:rPr>
          <w:rtl/>
        </w:rPr>
        <w:t xml:space="preserve">حقوق قد </w:t>
      </w:r>
      <w:r w:rsidRPr="005A0BBE">
        <w:rPr>
          <w:rFonts w:hint="cs"/>
          <w:rtl/>
        </w:rPr>
        <w:t>تكون لدى الحائزين الأصليين على المعارف</w:t>
      </w:r>
      <w:r w:rsidRPr="005A0BBE">
        <w:rPr>
          <w:rtl/>
        </w:rPr>
        <w:t xml:space="preserve"> التقليدية</w:t>
      </w:r>
      <w:r w:rsidRPr="005A0BBE">
        <w:rPr>
          <w:rFonts w:hint="cs"/>
          <w:rtl/>
        </w:rPr>
        <w:t>، بما في ذلك الحق في الحصول على الموافقة المسبقة عن علم، أو الموافقة الحرة والمسبقة عن علم،</w:t>
      </w:r>
      <w:r w:rsidRPr="005A0BBE">
        <w:rPr>
          <w:rtl/>
        </w:rPr>
        <w:t xml:space="preserve"> </w:t>
      </w:r>
      <w:r w:rsidRPr="005A0BBE">
        <w:rPr>
          <w:rFonts w:hint="cs"/>
          <w:rtl/>
        </w:rPr>
        <w:t xml:space="preserve">أو </w:t>
      </w:r>
      <w:r w:rsidRPr="005A0BBE">
        <w:rPr>
          <w:rtl/>
        </w:rPr>
        <w:t>ال</w:t>
      </w:r>
      <w:r>
        <w:rPr>
          <w:rFonts w:hint="cs"/>
          <w:rtl/>
        </w:rPr>
        <w:t>قبول</w:t>
      </w:r>
      <w:r w:rsidRPr="005A0BBE">
        <w:rPr>
          <w:rtl/>
        </w:rPr>
        <w:t xml:space="preserve"> </w:t>
      </w:r>
      <w:r w:rsidRPr="005A0BBE">
        <w:rPr>
          <w:rFonts w:hint="cs"/>
          <w:rtl/>
        </w:rPr>
        <w:t>والمشاركة، بالنسبة ل</w:t>
      </w:r>
      <w:r w:rsidRPr="005A0BBE">
        <w:rPr>
          <w:rtl/>
        </w:rPr>
        <w:t xml:space="preserve">عملية إعادة توطين </w:t>
      </w:r>
      <w:r w:rsidRPr="005A0BBE">
        <w:rPr>
          <w:rFonts w:hint="cs"/>
          <w:rtl/>
        </w:rPr>
        <w:t>ا</w:t>
      </w:r>
      <w:r w:rsidRPr="005A0BBE">
        <w:rPr>
          <w:rtl/>
        </w:rPr>
        <w:t>لمعارف التقليدية المعنية، و</w:t>
      </w:r>
      <w:r w:rsidRPr="005A0BBE">
        <w:rPr>
          <w:rFonts w:hint="cs"/>
          <w:rtl/>
        </w:rPr>
        <w:t xml:space="preserve">أن </w:t>
      </w:r>
      <w:r w:rsidRPr="005A0BBE">
        <w:rPr>
          <w:rtl/>
        </w:rPr>
        <w:t>تهدف إلى وضع شروط متفق عليها بصورة متبادلة لعملية إعادة التوطين.</w:t>
      </w:r>
    </w:p>
    <w:p w:rsidR="00EE0FD7" w:rsidRPr="005A0BBE" w:rsidRDefault="00EE0FD7" w:rsidP="00EE0FD7">
      <w:pPr>
        <w:rPr>
          <w:rtl/>
        </w:rPr>
      </w:pPr>
      <w:r w:rsidRPr="005A0BBE">
        <w:rPr>
          <w:rFonts w:hint="cs"/>
          <w:rtl/>
        </w:rPr>
        <w:t>40-</w:t>
      </w:r>
      <w:r w:rsidRPr="005A0BBE">
        <w:rPr>
          <w:rFonts w:hint="cs"/>
          <w:rtl/>
        </w:rPr>
        <w:tab/>
      </w:r>
      <w:r w:rsidRPr="005A0BBE">
        <w:rPr>
          <w:rtl/>
        </w:rPr>
        <w:t xml:space="preserve">ويمكن أن تكون </w:t>
      </w:r>
      <w:r w:rsidRPr="005A0BBE">
        <w:rPr>
          <w:rFonts w:hint="cs"/>
          <w:rtl/>
        </w:rPr>
        <w:t>ا</w:t>
      </w:r>
      <w:r w:rsidRPr="005A0BBE">
        <w:rPr>
          <w:rtl/>
        </w:rPr>
        <w:t>لمؤسسات والكيانات</w:t>
      </w:r>
      <w:r w:rsidRPr="005A0BBE">
        <w:rPr>
          <w:vertAlign w:val="superscript"/>
          <w:rtl/>
        </w:rPr>
        <w:footnoteReference w:id="205"/>
      </w:r>
      <w:r w:rsidRPr="005A0BBE">
        <w:rPr>
          <w:rtl/>
        </w:rPr>
        <w:t xml:space="preserve"> المهتمة بإعادة توطين المعارف التقليدية قادرة على </w:t>
      </w:r>
      <w:r w:rsidRPr="005A0BBE">
        <w:rPr>
          <w:rFonts w:hint="cs"/>
          <w:rtl/>
        </w:rPr>
        <w:t>تعديل</w:t>
      </w:r>
      <w:r w:rsidRPr="005A0BBE">
        <w:rPr>
          <w:rtl/>
        </w:rPr>
        <w:t xml:space="preserve"> الاتفاقات الإطارية </w:t>
      </w:r>
      <w:r w:rsidRPr="005A0BBE">
        <w:rPr>
          <w:rFonts w:hint="cs"/>
          <w:rtl/>
        </w:rPr>
        <w:t>القياسية</w:t>
      </w:r>
      <w:r w:rsidRPr="005A0BBE">
        <w:rPr>
          <w:rtl/>
        </w:rPr>
        <w:t xml:space="preserve">، مثل مذكرات التفاهم أو التعاون </w:t>
      </w:r>
      <w:r w:rsidRPr="005A0BBE">
        <w:rPr>
          <w:rFonts w:hint="cs"/>
          <w:rtl/>
        </w:rPr>
        <w:t>لإدراج</w:t>
      </w:r>
      <w:r w:rsidRPr="005A0BBE">
        <w:rPr>
          <w:rtl/>
        </w:rPr>
        <w:t xml:space="preserve"> إعادة توطين المعارف التقليدية. وقد تكون هذه الاتفاقات الإطارية آليات مفيدة لتوجيه إعادة التوطين، ولا سيما من منظور المؤسسة.</w:t>
      </w:r>
    </w:p>
    <w:p w:rsidR="00EE0FD7" w:rsidRPr="005A0BBE" w:rsidRDefault="00EE0FD7" w:rsidP="00EE0FD7">
      <w:pPr>
        <w:rPr>
          <w:rtl/>
        </w:rPr>
      </w:pPr>
      <w:r w:rsidRPr="005A0BBE">
        <w:rPr>
          <w:rFonts w:hint="cs"/>
          <w:rtl/>
        </w:rPr>
        <w:t>41-</w:t>
      </w:r>
      <w:r w:rsidRPr="005A0BBE">
        <w:rPr>
          <w:rFonts w:hint="cs"/>
          <w:rtl/>
        </w:rPr>
        <w:tab/>
      </w:r>
      <w:r w:rsidRPr="005A0BBE">
        <w:rPr>
          <w:rtl/>
        </w:rPr>
        <w:t xml:space="preserve">وإذا استندت عملية إعادة التوطين إلى اتفاقات إطارية مقترنة ببروتوكولات مجتمعية أو إجراءات عرفية، فمن الأرجح أن </w:t>
      </w:r>
      <w:r w:rsidRPr="005A0BBE">
        <w:rPr>
          <w:rFonts w:hint="cs"/>
          <w:rtl/>
        </w:rPr>
        <w:t>تفي</w:t>
      </w:r>
      <w:r w:rsidRPr="005A0BBE">
        <w:rPr>
          <w:rtl/>
        </w:rPr>
        <w:t xml:space="preserve"> العملية </w:t>
      </w:r>
      <w:r w:rsidRPr="005A0BBE">
        <w:rPr>
          <w:rFonts w:hint="cs"/>
          <w:rtl/>
        </w:rPr>
        <w:t>ب</w:t>
      </w:r>
      <w:r w:rsidRPr="005A0BBE">
        <w:rPr>
          <w:rtl/>
        </w:rPr>
        <w:t xml:space="preserve">احتياجات الجهات الفاعلة </w:t>
      </w:r>
      <w:r w:rsidRPr="005A0BBE">
        <w:rPr>
          <w:rFonts w:hint="cs"/>
          <w:rtl/>
        </w:rPr>
        <w:t>ال</w:t>
      </w:r>
      <w:r w:rsidRPr="005A0BBE">
        <w:rPr>
          <w:rtl/>
        </w:rPr>
        <w:t>مختلف</w:t>
      </w:r>
      <w:r w:rsidRPr="005A0BBE">
        <w:rPr>
          <w:rFonts w:hint="cs"/>
          <w:rtl/>
        </w:rPr>
        <w:t>ة</w:t>
      </w:r>
      <w:r w:rsidRPr="005A0BBE">
        <w:rPr>
          <w:rtl/>
        </w:rPr>
        <w:t xml:space="preserve"> المشاركة في عملية إعادة التوطين.</w:t>
      </w:r>
    </w:p>
    <w:p w:rsidR="00EE0FD7" w:rsidRPr="005A0BBE" w:rsidRDefault="00EE0FD7" w:rsidP="00EE0FD7">
      <w:pPr>
        <w:rPr>
          <w:rtl/>
        </w:rPr>
      </w:pPr>
      <w:r w:rsidRPr="005A0BBE">
        <w:rPr>
          <w:rFonts w:hint="cs"/>
          <w:rtl/>
        </w:rPr>
        <w:t>42-</w:t>
      </w:r>
      <w:r w:rsidRPr="005A0BBE">
        <w:rPr>
          <w:rFonts w:hint="cs"/>
          <w:rtl/>
        </w:rPr>
        <w:tab/>
      </w:r>
      <w:r w:rsidRPr="005A0BBE">
        <w:rPr>
          <w:rtl/>
        </w:rPr>
        <w:t>وبالإضافة إلى ذلك، من أجل تيسير عمليات إعادة التوطين</w:t>
      </w:r>
      <w:r w:rsidRPr="005A0BBE">
        <w:rPr>
          <w:rFonts w:hint="cs"/>
          <w:rtl/>
        </w:rPr>
        <w:t xml:space="preserve">، </w:t>
      </w:r>
      <w:r w:rsidRPr="005A0BBE">
        <w:rPr>
          <w:rtl/>
        </w:rPr>
        <w:t>من المستصوب</w:t>
      </w:r>
      <w:r w:rsidRPr="005A0BBE">
        <w:rPr>
          <w:rFonts w:hint="cs"/>
          <w:rtl/>
        </w:rPr>
        <w:t xml:space="preserve"> </w:t>
      </w:r>
      <w:r w:rsidRPr="005A0BBE">
        <w:rPr>
          <w:rtl/>
        </w:rPr>
        <w:t>إبقاء التدابير والتكاليف الإدارية عند أدنى حد ممكن.</w:t>
      </w:r>
    </w:p>
    <w:p w:rsidR="00EE0FD7" w:rsidRPr="005A0BBE" w:rsidRDefault="00EE0FD7" w:rsidP="00EE0FD7">
      <w:pPr>
        <w:rPr>
          <w:rtl/>
        </w:rPr>
      </w:pPr>
      <w:r w:rsidRPr="005A0BBE">
        <w:rPr>
          <w:rFonts w:hint="cs"/>
          <w:rtl/>
        </w:rPr>
        <w:t>43-</w:t>
      </w:r>
      <w:r w:rsidRPr="005A0BBE">
        <w:rPr>
          <w:rFonts w:hint="cs"/>
          <w:rtl/>
        </w:rPr>
        <w:tab/>
        <w:t>ويمكن النظر ضمن أي اتفاق في إدراج أحكام للجوء إلى عمليات تسوية النزاعات في حالات النزاعات المتعلقة بإعادة التوطين، حسب الاقتضاء.</w:t>
      </w:r>
    </w:p>
    <w:p w:rsidR="00EE0FD7" w:rsidRPr="005A0BBE" w:rsidRDefault="00EE0FD7" w:rsidP="00EE0FD7">
      <w:pPr>
        <w:jc w:val="center"/>
        <w:rPr>
          <w:i/>
          <w:iCs/>
          <w:rtl/>
        </w:rPr>
      </w:pPr>
      <w:r w:rsidRPr="005A0BBE">
        <w:rPr>
          <w:rFonts w:hint="cs"/>
          <w:i/>
          <w:iCs/>
          <w:rtl/>
        </w:rPr>
        <w:t>7-</w:t>
      </w:r>
      <w:r w:rsidRPr="005A0BBE">
        <w:rPr>
          <w:rFonts w:hint="cs"/>
          <w:i/>
          <w:iCs/>
          <w:rtl/>
        </w:rPr>
        <w:tab/>
        <w:t>الاستعداد للاستلام</w:t>
      </w:r>
    </w:p>
    <w:p w:rsidR="00EE0FD7" w:rsidRPr="005A0BBE" w:rsidRDefault="00EE0FD7" w:rsidP="00EE0FD7">
      <w:pPr>
        <w:rPr>
          <w:rtl/>
        </w:rPr>
      </w:pPr>
      <w:r w:rsidRPr="005A0BBE">
        <w:rPr>
          <w:rFonts w:hint="cs"/>
          <w:rtl/>
        </w:rPr>
        <w:t>44-</w:t>
      </w:r>
      <w:r w:rsidRPr="005A0BBE">
        <w:rPr>
          <w:rFonts w:hint="cs"/>
          <w:rtl/>
        </w:rPr>
        <w:tab/>
      </w:r>
      <w:r w:rsidRPr="005A0BBE">
        <w:rPr>
          <w:rtl/>
        </w:rPr>
        <w:t>من منظور الشعوب الأصلية والمجتمعات المحلية</w:t>
      </w:r>
      <w:r w:rsidRPr="005A0BBE">
        <w:rPr>
          <w:rFonts w:hint="cs"/>
          <w:rtl/>
        </w:rPr>
        <w:t>، يشمل</w:t>
      </w:r>
      <w:r w:rsidRPr="005A0BBE">
        <w:rPr>
          <w:rtl/>
        </w:rPr>
        <w:t xml:space="preserve"> "</w:t>
      </w:r>
      <w:r w:rsidRPr="005A0BBE">
        <w:rPr>
          <w:rFonts w:hint="cs"/>
          <w:rtl/>
        </w:rPr>
        <w:t>الاستعداد للاستلام</w:t>
      </w:r>
      <w:r w:rsidRPr="005A0BBE">
        <w:rPr>
          <w:rtl/>
        </w:rPr>
        <w:t xml:space="preserve">" قدرة الشعوب الأصلية والمجتمعات المحلية المعنية على </w:t>
      </w:r>
      <w:r w:rsidRPr="005A0BBE">
        <w:rPr>
          <w:rFonts w:hint="cs"/>
          <w:rtl/>
        </w:rPr>
        <w:t>استلام</w:t>
      </w:r>
      <w:r w:rsidRPr="005A0BBE">
        <w:rPr>
          <w:rtl/>
        </w:rPr>
        <w:t xml:space="preserve"> المعارف التقليدية وتخزينها واستعادتها و</w:t>
      </w:r>
      <w:r w:rsidRPr="005A0BBE">
        <w:rPr>
          <w:rFonts w:hint="cs"/>
          <w:rtl/>
        </w:rPr>
        <w:t>إنشاء</w:t>
      </w:r>
      <w:r w:rsidRPr="005A0BBE">
        <w:rPr>
          <w:rtl/>
        </w:rPr>
        <w:t xml:space="preserve"> آليات محلية لحماية </w:t>
      </w:r>
      <w:r w:rsidRPr="005A0BBE">
        <w:rPr>
          <w:rFonts w:hint="cs"/>
          <w:rtl/>
        </w:rPr>
        <w:t>وتعزيز</w:t>
      </w:r>
      <w:r w:rsidRPr="005A0BBE">
        <w:rPr>
          <w:rtl/>
        </w:rPr>
        <w:t xml:space="preserve"> (بما في ذلك </w:t>
      </w:r>
      <w:r w:rsidRPr="005A0BBE">
        <w:rPr>
          <w:rFonts w:hint="cs"/>
          <w:rtl/>
        </w:rPr>
        <w:t>النقل</w:t>
      </w:r>
      <w:r w:rsidRPr="005A0BBE">
        <w:rPr>
          <w:rtl/>
        </w:rPr>
        <w:t xml:space="preserve"> بين الأجيال) المعارف التقليدية واستراتيجية </w:t>
      </w:r>
      <w:r w:rsidRPr="005A0BBE">
        <w:rPr>
          <w:rFonts w:hint="cs"/>
          <w:rtl/>
        </w:rPr>
        <w:t>الصون</w:t>
      </w:r>
      <w:r w:rsidRPr="005A0BBE">
        <w:rPr>
          <w:rtl/>
        </w:rPr>
        <w:t>. وقد ينطوي ذلك على إعادة إدخال أو إعادة إنشاء أو استعادة الموارد البيولوجية ذات الصلة، مثل المحاصيل التقليدية وسلالات الحيوانات</w:t>
      </w:r>
      <w:r w:rsidRPr="005A0BBE">
        <w:rPr>
          <w:rFonts w:hint="cs"/>
          <w:rtl/>
        </w:rPr>
        <w:t>، وفق</w:t>
      </w:r>
      <w:r>
        <w:rPr>
          <w:rFonts w:hint="cs"/>
          <w:rtl/>
        </w:rPr>
        <w:t>ا</w:t>
      </w:r>
      <w:r w:rsidRPr="005A0BBE">
        <w:rPr>
          <w:rFonts w:hint="cs"/>
          <w:rtl/>
        </w:rPr>
        <w:t xml:space="preserve"> </w:t>
      </w:r>
      <w:r>
        <w:rPr>
          <w:rFonts w:hint="cs"/>
          <w:rtl/>
        </w:rPr>
        <w:t>ل</w:t>
      </w:r>
      <w:r w:rsidRPr="005A0BBE">
        <w:rPr>
          <w:rFonts w:hint="cs"/>
          <w:rtl/>
        </w:rPr>
        <w:t>لتشريعات الوطنية</w:t>
      </w:r>
      <w:r w:rsidRPr="005A0BBE">
        <w:rPr>
          <w:rtl/>
        </w:rPr>
        <w:t>.</w:t>
      </w:r>
    </w:p>
    <w:p w:rsidR="00EE0FD7" w:rsidRPr="005A0BBE" w:rsidRDefault="00EE0FD7" w:rsidP="00EE0FD7">
      <w:pPr>
        <w:rPr>
          <w:rtl/>
        </w:rPr>
      </w:pPr>
      <w:r w:rsidRPr="005A0BBE">
        <w:rPr>
          <w:rFonts w:hint="cs"/>
          <w:rtl/>
        </w:rPr>
        <w:lastRenderedPageBreak/>
        <w:t>45-</w:t>
      </w:r>
      <w:r w:rsidRPr="005A0BBE">
        <w:rPr>
          <w:rFonts w:hint="cs"/>
          <w:rtl/>
        </w:rPr>
        <w:tab/>
      </w:r>
      <w:r w:rsidRPr="005A0BBE">
        <w:rPr>
          <w:rtl/>
        </w:rPr>
        <w:t>ومن ثم</w:t>
      </w:r>
      <w:r w:rsidRPr="005A0BBE">
        <w:rPr>
          <w:rFonts w:hint="cs"/>
          <w:rtl/>
        </w:rPr>
        <w:t>،</w:t>
      </w:r>
      <w:r w:rsidRPr="005A0BBE">
        <w:rPr>
          <w:rtl/>
        </w:rPr>
        <w:t xml:space="preserve"> ينبغي </w:t>
      </w:r>
      <w:r w:rsidRPr="005A0BBE">
        <w:rPr>
          <w:rFonts w:hint="cs"/>
          <w:rtl/>
        </w:rPr>
        <w:t>أن تكون</w:t>
      </w:r>
      <w:r w:rsidRPr="005A0BBE">
        <w:rPr>
          <w:rtl/>
        </w:rPr>
        <w:t xml:space="preserve"> الشعوب الأصلية والمجتمعات المحلية التي تسعى إلى إعادة توطين المعارف التقليدية و/أو المعلومات ذات الصلة أو التكميلية </w:t>
      </w:r>
      <w:r w:rsidRPr="005A0BBE">
        <w:rPr>
          <w:rFonts w:hint="cs"/>
          <w:rtl/>
        </w:rPr>
        <w:t>على استعداد لاستلام</w:t>
      </w:r>
      <w:r w:rsidRPr="005A0BBE">
        <w:rPr>
          <w:rtl/>
        </w:rPr>
        <w:t xml:space="preserve"> المعارف التقليدية التي </w:t>
      </w:r>
      <w:r w:rsidRPr="005A0BBE">
        <w:rPr>
          <w:rFonts w:hint="cs"/>
          <w:rtl/>
        </w:rPr>
        <w:t>ت</w:t>
      </w:r>
      <w:r w:rsidRPr="005A0BBE">
        <w:rPr>
          <w:rtl/>
        </w:rPr>
        <w:t xml:space="preserve">تم </w:t>
      </w:r>
      <w:r w:rsidRPr="005A0BBE">
        <w:rPr>
          <w:rFonts w:hint="cs"/>
          <w:rtl/>
        </w:rPr>
        <w:t>إعادتها</w:t>
      </w:r>
      <w:r w:rsidRPr="005A0BBE">
        <w:rPr>
          <w:rtl/>
        </w:rPr>
        <w:t xml:space="preserve"> والنظر في </w:t>
      </w:r>
      <w:r w:rsidRPr="005A0BBE">
        <w:rPr>
          <w:rFonts w:hint="cs"/>
          <w:rtl/>
        </w:rPr>
        <w:t>البنية التحتية المناسبة</w:t>
      </w:r>
      <w:r>
        <w:rPr>
          <w:rFonts w:hint="cs"/>
          <w:rtl/>
        </w:rPr>
        <w:t>،</w:t>
      </w:r>
      <w:r w:rsidRPr="005A0BBE">
        <w:rPr>
          <w:vertAlign w:val="superscript"/>
          <w:rtl/>
        </w:rPr>
        <w:footnoteReference w:id="206"/>
      </w:r>
      <w:r w:rsidRPr="005A0BBE">
        <w:rPr>
          <w:rFonts w:hint="cs"/>
          <w:rtl/>
        </w:rPr>
        <w:t xml:space="preserve"> حسب الحاجة، من أجل حيازة</w:t>
      </w:r>
      <w:r w:rsidRPr="005A0BBE">
        <w:rPr>
          <w:rtl/>
        </w:rPr>
        <w:t xml:space="preserve"> المعارف التقليدية المعادة وحفظها</w:t>
      </w:r>
      <w:r w:rsidRPr="005A0BBE">
        <w:rPr>
          <w:rFonts w:hint="cs"/>
          <w:rtl/>
        </w:rPr>
        <w:t xml:space="preserve"> بطريقة آمنة</w:t>
      </w:r>
      <w:r w:rsidRPr="005A0BBE">
        <w:rPr>
          <w:rtl/>
        </w:rPr>
        <w:t>.</w:t>
      </w:r>
    </w:p>
    <w:p w:rsidR="00EE0FD7" w:rsidRPr="005A0BBE" w:rsidRDefault="00EE0FD7" w:rsidP="00EE0FD7">
      <w:pPr>
        <w:rPr>
          <w:rtl/>
        </w:rPr>
      </w:pPr>
      <w:r w:rsidRPr="005A0BBE">
        <w:rPr>
          <w:rFonts w:hint="cs"/>
          <w:rtl/>
        </w:rPr>
        <w:t>46-</w:t>
      </w:r>
      <w:r w:rsidRPr="005A0BBE">
        <w:rPr>
          <w:rFonts w:hint="cs"/>
          <w:rtl/>
        </w:rPr>
        <w:tab/>
      </w:r>
      <w:r w:rsidRPr="005A0BBE">
        <w:rPr>
          <w:rtl/>
        </w:rPr>
        <w:t>وت</w:t>
      </w:r>
      <w:r w:rsidRPr="005A0BBE">
        <w:rPr>
          <w:rFonts w:hint="cs"/>
          <w:rtl/>
        </w:rPr>
        <w:t>ُ</w:t>
      </w:r>
      <w:r w:rsidRPr="005A0BBE">
        <w:rPr>
          <w:rtl/>
        </w:rPr>
        <w:t>ش</w:t>
      </w:r>
      <w:r w:rsidRPr="005A0BBE">
        <w:rPr>
          <w:rFonts w:hint="cs"/>
          <w:rtl/>
        </w:rPr>
        <w:t>ّ</w:t>
      </w:r>
      <w:r w:rsidRPr="005A0BBE">
        <w:rPr>
          <w:rtl/>
        </w:rPr>
        <w:t xml:space="preserve">جع الأطراف والحكومات والمؤسسات والكيانات المهتمة أو </w:t>
      </w:r>
      <w:r w:rsidRPr="005A0BBE">
        <w:rPr>
          <w:rFonts w:hint="cs"/>
          <w:rtl/>
        </w:rPr>
        <w:t xml:space="preserve">العاملة في مجال </w:t>
      </w:r>
      <w:r w:rsidRPr="005A0BBE">
        <w:rPr>
          <w:rtl/>
        </w:rPr>
        <w:t xml:space="preserve">إعادة التوطين على دعم الشعوب الأصلية والمجتمعات المحلية </w:t>
      </w:r>
      <w:r w:rsidRPr="005A0BBE">
        <w:rPr>
          <w:rFonts w:hint="cs"/>
          <w:rtl/>
        </w:rPr>
        <w:t>في</w:t>
      </w:r>
      <w:r w:rsidRPr="005A0BBE">
        <w:rPr>
          <w:rtl/>
        </w:rPr>
        <w:t xml:space="preserve"> </w:t>
      </w:r>
      <w:r w:rsidRPr="005A0BBE">
        <w:rPr>
          <w:rFonts w:hint="cs"/>
          <w:rtl/>
        </w:rPr>
        <w:t>الاستعداد وتقديم المساعدة، بما في ذلك من خلال نقل التكنولوجيا، حسب الاقتضاء، في بناء قدراتها على استلام</w:t>
      </w:r>
      <w:r w:rsidRPr="005A0BBE">
        <w:rPr>
          <w:rtl/>
        </w:rPr>
        <w:t xml:space="preserve"> المعارف التقليدية والمعلومات ذات الصلة أو </w:t>
      </w:r>
      <w:r w:rsidRPr="005A0BBE">
        <w:rPr>
          <w:rFonts w:hint="cs"/>
          <w:rtl/>
        </w:rPr>
        <w:t>التكميلية</w:t>
      </w:r>
      <w:r w:rsidRPr="005A0BBE">
        <w:rPr>
          <w:rtl/>
        </w:rPr>
        <w:t xml:space="preserve"> التي تعاد إليها.</w:t>
      </w:r>
    </w:p>
    <w:p w:rsidR="00EE0FD7" w:rsidRPr="005A0BBE" w:rsidRDefault="00EE0FD7" w:rsidP="00EE0FD7">
      <w:pPr>
        <w:jc w:val="center"/>
        <w:rPr>
          <w:i/>
          <w:iCs/>
          <w:rtl/>
        </w:rPr>
      </w:pPr>
      <w:r w:rsidRPr="005A0BBE">
        <w:rPr>
          <w:rFonts w:hint="cs"/>
          <w:i/>
          <w:iCs/>
          <w:rtl/>
        </w:rPr>
        <w:t>8-</w:t>
      </w:r>
      <w:r w:rsidRPr="005A0BBE">
        <w:rPr>
          <w:rFonts w:hint="cs"/>
          <w:i/>
          <w:iCs/>
          <w:rtl/>
        </w:rPr>
        <w:tab/>
      </w:r>
      <w:r w:rsidRPr="005A0BBE">
        <w:rPr>
          <w:i/>
          <w:iCs/>
          <w:rtl/>
        </w:rPr>
        <w:t>تسجيل المعارف التقليدية وتوثيقها ورقمنتها</w:t>
      </w:r>
      <w:r w:rsidRPr="005A0BBE">
        <w:rPr>
          <w:i/>
          <w:iCs/>
          <w:vertAlign w:val="superscript"/>
          <w:rtl/>
        </w:rPr>
        <w:footnoteReference w:id="207"/>
      </w:r>
      <w:r w:rsidRPr="005A0BBE">
        <w:rPr>
          <w:i/>
          <w:iCs/>
          <w:rtl/>
        </w:rPr>
        <w:t xml:space="preserve"> –</w:t>
      </w:r>
      <w:r w:rsidRPr="005A0BBE">
        <w:rPr>
          <w:rFonts w:hint="cs"/>
          <w:i/>
          <w:iCs/>
          <w:rtl/>
        </w:rPr>
        <w:t xml:space="preserve"> </w:t>
      </w:r>
      <w:r w:rsidRPr="005A0BBE">
        <w:rPr>
          <w:i/>
          <w:iCs/>
          <w:rtl/>
        </w:rPr>
        <w:t xml:space="preserve">النظر في الأشكال التي </w:t>
      </w:r>
      <w:r w:rsidRPr="005A0BBE">
        <w:rPr>
          <w:rFonts w:hint="cs"/>
          <w:i/>
          <w:iCs/>
          <w:rtl/>
        </w:rPr>
        <w:t>تتيح</w:t>
      </w:r>
      <w:r w:rsidRPr="005A0BBE">
        <w:rPr>
          <w:i/>
          <w:iCs/>
          <w:rtl/>
        </w:rPr>
        <w:t xml:space="preserve"> إعادة التوطين</w:t>
      </w:r>
    </w:p>
    <w:p w:rsidR="00EE0FD7" w:rsidRPr="005A0BBE" w:rsidRDefault="00EE0FD7" w:rsidP="00EE0FD7">
      <w:pPr>
        <w:rPr>
          <w:rtl/>
        </w:rPr>
      </w:pPr>
      <w:r w:rsidRPr="005A0BBE">
        <w:rPr>
          <w:rFonts w:hint="cs"/>
          <w:rtl/>
        </w:rPr>
        <w:t>47-</w:t>
      </w:r>
      <w:r w:rsidRPr="005A0BBE">
        <w:rPr>
          <w:rFonts w:hint="cs"/>
          <w:rtl/>
        </w:rPr>
        <w:tab/>
        <w:t>في حين</w:t>
      </w:r>
      <w:r w:rsidRPr="005A0BBE">
        <w:rPr>
          <w:rtl/>
        </w:rPr>
        <w:t xml:space="preserve"> أن الرقمنة قد </w:t>
      </w:r>
      <w:r w:rsidRPr="005A0BBE">
        <w:rPr>
          <w:rFonts w:hint="cs"/>
          <w:rtl/>
        </w:rPr>
        <w:t>ت</w:t>
      </w:r>
      <w:r w:rsidRPr="005A0BBE">
        <w:rPr>
          <w:rtl/>
        </w:rPr>
        <w:t>كون مفيد</w:t>
      </w:r>
      <w:r w:rsidRPr="005A0BBE">
        <w:rPr>
          <w:rFonts w:hint="cs"/>
          <w:rtl/>
        </w:rPr>
        <w:t>ة</w:t>
      </w:r>
      <w:r w:rsidRPr="005A0BBE">
        <w:rPr>
          <w:rtl/>
        </w:rPr>
        <w:t>، فقد أثير عدد من المسائل في إطار الاتفاقية</w:t>
      </w:r>
      <w:r w:rsidRPr="005A0BBE">
        <w:rPr>
          <w:vertAlign w:val="superscript"/>
          <w:rtl/>
        </w:rPr>
        <w:footnoteReference w:id="208"/>
      </w:r>
      <w:r w:rsidRPr="005A0BBE">
        <w:rPr>
          <w:rFonts w:hint="cs"/>
          <w:rtl/>
        </w:rPr>
        <w:t xml:space="preserve"> </w:t>
      </w:r>
      <w:r w:rsidRPr="005A0BBE">
        <w:rPr>
          <w:rtl/>
        </w:rPr>
        <w:t xml:space="preserve">فيما يتعلق بتوثيق المعارف التقليدية، بما في ذلك التحديات والفرص المحتملة. ومراعاة لذلك، </w:t>
      </w:r>
      <w:r w:rsidRPr="005A0BBE">
        <w:rPr>
          <w:rFonts w:hint="cs"/>
          <w:rtl/>
        </w:rPr>
        <w:t>على ا</w:t>
      </w:r>
      <w:r w:rsidRPr="005A0BBE">
        <w:rPr>
          <w:rtl/>
        </w:rPr>
        <w:t>لمؤسسات والكيانات التي تنظر في رقمنة المجموعات، كمساعدة</w:t>
      </w:r>
      <w:r w:rsidRPr="005A0BBE">
        <w:rPr>
          <w:rFonts w:hint="cs"/>
          <w:rtl/>
        </w:rPr>
        <w:t xml:space="preserve"> في عملية </w:t>
      </w:r>
      <w:r w:rsidRPr="005A0BBE">
        <w:rPr>
          <w:rtl/>
        </w:rPr>
        <w:t xml:space="preserve">إعادة التوطين، أن </w:t>
      </w:r>
      <w:r w:rsidRPr="005A0BBE">
        <w:rPr>
          <w:rFonts w:hint="cs"/>
          <w:rtl/>
        </w:rPr>
        <w:t>تقوم</w:t>
      </w:r>
      <w:r w:rsidRPr="005A0BBE">
        <w:rPr>
          <w:rtl/>
        </w:rPr>
        <w:t xml:space="preserve"> </w:t>
      </w:r>
      <w:r>
        <w:rPr>
          <w:rFonts w:hint="cs"/>
          <w:rtl/>
        </w:rPr>
        <w:t>ب</w:t>
      </w:r>
      <w:r w:rsidRPr="005A0BBE">
        <w:rPr>
          <w:rtl/>
        </w:rPr>
        <w:t xml:space="preserve">ذلك بمشاركة </w:t>
      </w:r>
      <w:r w:rsidRPr="005A0BBE">
        <w:rPr>
          <w:rFonts w:hint="cs"/>
          <w:rtl/>
        </w:rPr>
        <w:t>كاملة و</w:t>
      </w:r>
      <w:r w:rsidRPr="005A0BBE">
        <w:rPr>
          <w:rtl/>
        </w:rPr>
        <w:t xml:space="preserve">فعالة </w:t>
      </w:r>
      <w:r w:rsidRPr="005A0BBE">
        <w:rPr>
          <w:rFonts w:hint="cs"/>
          <w:rtl/>
        </w:rPr>
        <w:t>ل</w:t>
      </w:r>
      <w:r w:rsidRPr="005A0BBE">
        <w:rPr>
          <w:rtl/>
        </w:rPr>
        <w:t>لشعوب الأصلية والمجتمعات</w:t>
      </w:r>
      <w:r w:rsidRPr="005A0BBE">
        <w:rPr>
          <w:rFonts w:hint="cs"/>
          <w:rtl/>
        </w:rPr>
        <w:t xml:space="preserve"> </w:t>
      </w:r>
      <w:r w:rsidRPr="005A0BBE">
        <w:rPr>
          <w:rtl/>
        </w:rPr>
        <w:t xml:space="preserve">المحلية، </w:t>
      </w:r>
      <w:r w:rsidRPr="005A0BBE">
        <w:rPr>
          <w:rFonts w:hint="cs"/>
          <w:rtl/>
        </w:rPr>
        <w:t>وهي تدرك تماما كل من ا</w:t>
      </w:r>
      <w:r w:rsidRPr="005A0BBE">
        <w:rPr>
          <w:rtl/>
        </w:rPr>
        <w:t>لتحديات و</w:t>
      </w:r>
      <w:r w:rsidRPr="005A0BBE">
        <w:rPr>
          <w:rFonts w:hint="cs"/>
          <w:rtl/>
        </w:rPr>
        <w:t>المنافع</w:t>
      </w:r>
      <w:r w:rsidRPr="005A0BBE">
        <w:rPr>
          <w:rtl/>
        </w:rPr>
        <w:t xml:space="preserve"> </w:t>
      </w:r>
      <w:r w:rsidRPr="005A0BBE">
        <w:rPr>
          <w:rFonts w:hint="cs"/>
          <w:rtl/>
        </w:rPr>
        <w:t>المرتبطة ب</w:t>
      </w:r>
      <w:r w:rsidRPr="005A0BBE">
        <w:rPr>
          <w:rtl/>
        </w:rPr>
        <w:t xml:space="preserve">توثيق المعارف التقليدية، بما في ذلك الرقمنة </w:t>
      </w:r>
      <w:r w:rsidRPr="005A0BBE">
        <w:rPr>
          <w:rFonts w:hint="cs"/>
          <w:rtl/>
        </w:rPr>
        <w:t>وإتاحتها</w:t>
      </w:r>
      <w:r w:rsidRPr="005A0BBE">
        <w:rPr>
          <w:rtl/>
        </w:rPr>
        <w:t xml:space="preserve"> للجمهور.</w:t>
      </w:r>
    </w:p>
    <w:p w:rsidR="00EE0FD7" w:rsidRPr="005A0BBE" w:rsidRDefault="00EE0FD7" w:rsidP="00EE0FD7">
      <w:pPr>
        <w:rPr>
          <w:rtl/>
        </w:rPr>
      </w:pPr>
      <w:r w:rsidRPr="005A0BBE">
        <w:rPr>
          <w:rFonts w:hint="cs"/>
          <w:rtl/>
        </w:rPr>
        <w:t>48-</w:t>
      </w:r>
      <w:r w:rsidRPr="005A0BBE">
        <w:rPr>
          <w:rFonts w:hint="cs"/>
          <w:rtl/>
        </w:rPr>
        <w:tab/>
        <w:t>و</w:t>
      </w:r>
      <w:r w:rsidRPr="005A0BBE">
        <w:rPr>
          <w:rtl/>
        </w:rPr>
        <w:t xml:space="preserve">توصي بعض المؤسسات العاملة في مجال المعارف التقليدية والمعلومات ذات الصلة أو </w:t>
      </w:r>
      <w:r w:rsidRPr="005A0BBE">
        <w:rPr>
          <w:rFonts w:hint="cs"/>
          <w:rtl/>
        </w:rPr>
        <w:t>التكميلية</w:t>
      </w:r>
      <w:r w:rsidRPr="005A0BBE">
        <w:rPr>
          <w:rtl/>
        </w:rPr>
        <w:t xml:space="preserve"> برقمنة المجموعات، من أجل تيسير إعادة التوطين، مع السماح أيضا للمؤسسة </w:t>
      </w:r>
      <w:r w:rsidRPr="005A0BBE">
        <w:rPr>
          <w:rFonts w:hint="cs"/>
          <w:rtl/>
        </w:rPr>
        <w:t>التي تقوم بإعادة التوطين</w:t>
      </w:r>
      <w:r w:rsidRPr="005A0BBE">
        <w:rPr>
          <w:rtl/>
        </w:rPr>
        <w:t xml:space="preserve"> </w:t>
      </w:r>
      <w:r w:rsidRPr="005A0BBE">
        <w:rPr>
          <w:rFonts w:hint="cs"/>
          <w:rtl/>
        </w:rPr>
        <w:t>بالاحتفاظ ب</w:t>
      </w:r>
      <w:r w:rsidRPr="005A0BBE">
        <w:rPr>
          <w:rtl/>
        </w:rPr>
        <w:t xml:space="preserve">المعلومات، </w:t>
      </w:r>
      <w:r w:rsidRPr="005A0BBE">
        <w:rPr>
          <w:rFonts w:hint="cs"/>
          <w:rtl/>
        </w:rPr>
        <w:t>كوسيلة احتياطية</w:t>
      </w:r>
      <w:r w:rsidRPr="005A0BBE">
        <w:rPr>
          <w:rtl/>
        </w:rPr>
        <w:t xml:space="preserve"> لحفظها.</w:t>
      </w:r>
      <w:r w:rsidRPr="005A0BBE">
        <w:rPr>
          <w:vertAlign w:val="superscript"/>
          <w:rtl/>
        </w:rPr>
        <w:footnoteReference w:id="209"/>
      </w:r>
      <w:r w:rsidRPr="005A0BBE">
        <w:rPr>
          <w:rtl/>
        </w:rPr>
        <w:t xml:space="preserve"> ويمكن أن تش</w:t>
      </w:r>
      <w:r w:rsidRPr="005A0BBE">
        <w:rPr>
          <w:rFonts w:hint="cs"/>
          <w:rtl/>
        </w:rPr>
        <w:t>ت</w:t>
      </w:r>
      <w:r w:rsidRPr="005A0BBE">
        <w:rPr>
          <w:rtl/>
        </w:rPr>
        <w:t xml:space="preserve">مل الممارسات الجيدة لإعادة التوطين أيضا </w:t>
      </w:r>
      <w:r w:rsidRPr="005A0BBE">
        <w:rPr>
          <w:rFonts w:hint="cs"/>
          <w:rtl/>
        </w:rPr>
        <w:t>على إتاحة</w:t>
      </w:r>
      <w:r w:rsidRPr="005A0BBE">
        <w:rPr>
          <w:rtl/>
        </w:rPr>
        <w:t xml:space="preserve"> المجموعات والبيانات على الإنترنت </w:t>
      </w:r>
      <w:r w:rsidRPr="005A0BBE">
        <w:rPr>
          <w:rFonts w:hint="cs"/>
          <w:rtl/>
        </w:rPr>
        <w:t>ب</w:t>
      </w:r>
      <w:r>
        <w:rPr>
          <w:rFonts w:hint="cs"/>
          <w:rtl/>
        </w:rPr>
        <w:t>المجان</w:t>
      </w:r>
      <w:r w:rsidRPr="005A0BBE">
        <w:rPr>
          <w:rtl/>
        </w:rPr>
        <w:t xml:space="preserve">، فضلا عن تيسير الوصول إلى المجموعات غير </w:t>
      </w:r>
      <w:r w:rsidRPr="005A0BBE">
        <w:rPr>
          <w:rFonts w:hint="cs"/>
          <w:rtl/>
        </w:rPr>
        <w:t>ال</w:t>
      </w:r>
      <w:r w:rsidRPr="005A0BBE">
        <w:rPr>
          <w:rtl/>
        </w:rPr>
        <w:t>رقمي</w:t>
      </w:r>
      <w:r w:rsidRPr="005A0BBE">
        <w:rPr>
          <w:rFonts w:hint="cs"/>
          <w:rtl/>
        </w:rPr>
        <w:t>ة</w:t>
      </w:r>
      <w:r w:rsidRPr="005A0BBE">
        <w:rPr>
          <w:rtl/>
        </w:rPr>
        <w:t xml:space="preserve">. وتتيح العديد من الكيانات </w:t>
      </w:r>
      <w:r w:rsidRPr="005A0BBE">
        <w:rPr>
          <w:rFonts w:hint="cs"/>
          <w:rtl/>
        </w:rPr>
        <w:t xml:space="preserve">الحائزة على </w:t>
      </w:r>
      <w:r w:rsidRPr="005A0BBE">
        <w:rPr>
          <w:rtl/>
        </w:rPr>
        <w:t>معارف تقليدية</w:t>
      </w:r>
      <w:r w:rsidRPr="005A0BBE">
        <w:rPr>
          <w:rFonts w:hint="cs"/>
          <w:rtl/>
        </w:rPr>
        <w:t xml:space="preserve"> أو تخزنها أو تستضيفها</w:t>
      </w:r>
      <w:r w:rsidRPr="005A0BBE">
        <w:rPr>
          <w:rtl/>
        </w:rPr>
        <w:t xml:space="preserve">، مثل المتاحف، بصورة روتينية الوصول </w:t>
      </w:r>
      <w:r w:rsidRPr="005A0BBE">
        <w:rPr>
          <w:rFonts w:hint="cs"/>
          <w:rtl/>
        </w:rPr>
        <w:t xml:space="preserve">الحر </w:t>
      </w:r>
      <w:r w:rsidRPr="005A0BBE">
        <w:rPr>
          <w:rtl/>
        </w:rPr>
        <w:t xml:space="preserve">إلى المعارف التقليدية </w:t>
      </w:r>
      <w:r w:rsidRPr="005A0BBE">
        <w:rPr>
          <w:rFonts w:hint="cs"/>
          <w:rtl/>
        </w:rPr>
        <w:t>ذات الصلة</w:t>
      </w:r>
      <w:r w:rsidRPr="005A0BBE">
        <w:rPr>
          <w:rtl/>
        </w:rPr>
        <w:t xml:space="preserve"> بالتنوع البيولوجي </w:t>
      </w:r>
      <w:r w:rsidRPr="005A0BBE">
        <w:rPr>
          <w:rFonts w:hint="cs"/>
          <w:rtl/>
        </w:rPr>
        <w:t>و</w:t>
      </w:r>
      <w:r w:rsidRPr="005A0BBE">
        <w:rPr>
          <w:rtl/>
        </w:rPr>
        <w:t>المتاحة للجمهور.</w:t>
      </w:r>
    </w:p>
    <w:p w:rsidR="00EE0FD7" w:rsidRPr="005A0BBE" w:rsidRDefault="00EE0FD7" w:rsidP="00EE0FD7">
      <w:pPr>
        <w:rPr>
          <w:rtl/>
        </w:rPr>
      </w:pPr>
      <w:r w:rsidRPr="005A0BBE">
        <w:rPr>
          <w:rFonts w:hint="cs"/>
          <w:rtl/>
        </w:rPr>
        <w:t>49-</w:t>
      </w:r>
      <w:r w:rsidRPr="005A0BBE">
        <w:rPr>
          <w:rFonts w:hint="cs"/>
          <w:rtl/>
        </w:rPr>
        <w:tab/>
      </w:r>
      <w:r w:rsidRPr="005A0BBE">
        <w:rPr>
          <w:rtl/>
        </w:rPr>
        <w:t xml:space="preserve">وبالإضافة إلى ذلك، يمكن أن </w:t>
      </w:r>
      <w:r w:rsidRPr="005A0BBE">
        <w:rPr>
          <w:rFonts w:hint="cs"/>
          <w:rtl/>
        </w:rPr>
        <w:t>ي</w:t>
      </w:r>
      <w:r w:rsidRPr="005A0BBE">
        <w:rPr>
          <w:rtl/>
        </w:rPr>
        <w:t xml:space="preserve">كون </w:t>
      </w:r>
      <w:r w:rsidRPr="005A0BBE">
        <w:rPr>
          <w:rFonts w:hint="cs"/>
          <w:rtl/>
        </w:rPr>
        <w:t xml:space="preserve">نشر </w:t>
      </w:r>
      <w:r w:rsidRPr="005A0BBE">
        <w:rPr>
          <w:i/>
          <w:iCs/>
          <w:rtl/>
        </w:rPr>
        <w:t>مجموعة أدوات توثيق المعارف التقليدية</w:t>
      </w:r>
      <w:r w:rsidRPr="005A0BBE">
        <w:rPr>
          <w:rtl/>
        </w:rPr>
        <w:t xml:space="preserve"> للمنظمة العالمية للملكية الفكرية</w:t>
      </w:r>
      <w:r w:rsidRPr="005A0BBE">
        <w:rPr>
          <w:vertAlign w:val="superscript"/>
          <w:rtl/>
        </w:rPr>
        <w:footnoteReference w:id="210"/>
      </w:r>
      <w:r w:rsidRPr="005A0BBE">
        <w:rPr>
          <w:rtl/>
        </w:rPr>
        <w:t xml:space="preserve"> ذات صلة أيضا في هذا السياق لأنها توفر معلومات أساسية، بما في ذلك </w:t>
      </w:r>
      <w:r w:rsidRPr="005A0BBE">
        <w:rPr>
          <w:rFonts w:hint="cs"/>
          <w:rtl/>
        </w:rPr>
        <w:t>المنافع</w:t>
      </w:r>
      <w:r w:rsidRPr="005A0BBE">
        <w:rPr>
          <w:rtl/>
        </w:rPr>
        <w:t xml:space="preserve"> والتحديات المحتملة، لكي تنظر فيها الشعوب الأصلية والمجتمعات المحلية عند البت فيما إذا كانت </w:t>
      </w:r>
      <w:r w:rsidRPr="005A0BBE">
        <w:rPr>
          <w:rFonts w:hint="cs"/>
          <w:rtl/>
        </w:rPr>
        <w:t xml:space="preserve">ترغب أو لا </w:t>
      </w:r>
      <w:r w:rsidRPr="005A0BBE">
        <w:rPr>
          <w:rtl/>
        </w:rPr>
        <w:t xml:space="preserve">في </w:t>
      </w:r>
      <w:r w:rsidRPr="005A0BBE">
        <w:rPr>
          <w:rFonts w:hint="cs"/>
          <w:rtl/>
        </w:rPr>
        <w:t>مواصلة</w:t>
      </w:r>
      <w:r w:rsidRPr="005A0BBE">
        <w:rPr>
          <w:rtl/>
        </w:rPr>
        <w:t xml:space="preserve"> توثيق معارفه</w:t>
      </w:r>
      <w:r w:rsidRPr="005A0BBE">
        <w:rPr>
          <w:rFonts w:hint="cs"/>
          <w:rtl/>
        </w:rPr>
        <w:t>ا</w:t>
      </w:r>
      <w:r w:rsidRPr="005A0BBE">
        <w:rPr>
          <w:rtl/>
        </w:rPr>
        <w:t>.</w:t>
      </w:r>
    </w:p>
    <w:p w:rsidR="00EE0FD7" w:rsidRPr="005A0BBE" w:rsidRDefault="00EE0FD7" w:rsidP="00EE0FD7">
      <w:pPr>
        <w:rPr>
          <w:rtl/>
        </w:rPr>
      </w:pPr>
      <w:r w:rsidRPr="005A0BBE">
        <w:rPr>
          <w:rFonts w:hint="cs"/>
          <w:rtl/>
        </w:rPr>
        <w:t>50-</w:t>
      </w:r>
      <w:r w:rsidRPr="005A0BBE">
        <w:rPr>
          <w:rFonts w:hint="cs"/>
          <w:rtl/>
        </w:rPr>
        <w:tab/>
        <w:t xml:space="preserve">والجهات التي تضع مجموعات وبيانات بشأن المعارف التقليدية ذات صلة بحفظ التنوع البيولوجي واستخدامه المستدام بالمجان على الإنترنت، ينبغي أن تنظر في الحاجة إلى القيام بذلك مع المشاركة الفعالة للشعوب الأصلية والمجتمعات المحلية، وفقا للموافقة </w:t>
      </w:r>
      <w:r w:rsidRPr="005A0BBE">
        <w:rPr>
          <w:rtl/>
        </w:rPr>
        <w:t>المسبقة عن علم، أو الموافقة الحرة والمسبقة عن علم، أو ال</w:t>
      </w:r>
      <w:r>
        <w:rPr>
          <w:rFonts w:hint="cs"/>
          <w:rtl/>
        </w:rPr>
        <w:t>قبول</w:t>
      </w:r>
      <w:r w:rsidRPr="005A0BBE">
        <w:rPr>
          <w:rtl/>
        </w:rPr>
        <w:t xml:space="preserve"> والمشاركة</w:t>
      </w:r>
      <w:r w:rsidRPr="005A0BBE">
        <w:rPr>
          <w:rFonts w:hint="cs"/>
          <w:rtl/>
        </w:rPr>
        <w:t>، حسب الاقتضاء، ووفق شروط متفق عليها بصورة متبادلة، مع الإدراك الكامل لما تنطوي عليه عملية إتاحة المعارف التقليدية بالمجان من تحديات ومنافع على حد سواء.</w:t>
      </w:r>
    </w:p>
    <w:p w:rsidR="00EE0FD7" w:rsidRPr="005A0BBE" w:rsidRDefault="00EE0FD7" w:rsidP="00EE0FD7">
      <w:pPr>
        <w:rPr>
          <w:rtl/>
        </w:rPr>
      </w:pPr>
      <w:r w:rsidRPr="005A0BBE">
        <w:rPr>
          <w:rFonts w:hint="cs"/>
          <w:rtl/>
        </w:rPr>
        <w:t>51-</w:t>
      </w:r>
      <w:r w:rsidRPr="005A0BBE">
        <w:rPr>
          <w:rFonts w:hint="cs"/>
          <w:rtl/>
        </w:rPr>
        <w:tab/>
      </w:r>
      <w:r w:rsidRPr="005A0BBE">
        <w:rPr>
          <w:rtl/>
        </w:rPr>
        <w:t>ومن الأمور ذات الصلة أيضا بتسجيل المعارف التقليدية وتوثيقها ورقمنتها وإعاد</w:t>
      </w:r>
      <w:r w:rsidRPr="005A0BBE">
        <w:rPr>
          <w:rFonts w:hint="cs"/>
          <w:rtl/>
        </w:rPr>
        <w:t>ة توطينها</w:t>
      </w:r>
      <w:r w:rsidRPr="005A0BBE">
        <w:rPr>
          <w:rtl/>
        </w:rPr>
        <w:t>، وكإجراء لتعزيز مبادئ بناء العلاقات والمعاملة بالمثل، ينبغي</w:t>
      </w:r>
      <w:r w:rsidRPr="005A0BBE">
        <w:rPr>
          <w:rFonts w:hint="cs"/>
          <w:rtl/>
        </w:rPr>
        <w:t>،</w:t>
      </w:r>
      <w:r w:rsidRPr="005A0BBE">
        <w:rPr>
          <w:rtl/>
        </w:rPr>
        <w:t xml:space="preserve"> حيثما </w:t>
      </w:r>
      <w:r w:rsidRPr="005A0BBE">
        <w:rPr>
          <w:rFonts w:hint="cs"/>
          <w:rtl/>
        </w:rPr>
        <w:t>ي</w:t>
      </w:r>
      <w:r w:rsidRPr="005A0BBE">
        <w:rPr>
          <w:rtl/>
        </w:rPr>
        <w:t>مكن</w:t>
      </w:r>
      <w:r w:rsidRPr="005A0BBE">
        <w:rPr>
          <w:rFonts w:hint="cs"/>
          <w:rtl/>
        </w:rPr>
        <w:t xml:space="preserve">، تقاسم </w:t>
      </w:r>
      <w:r w:rsidRPr="005A0BBE">
        <w:rPr>
          <w:rtl/>
        </w:rPr>
        <w:t xml:space="preserve">المعارف التقليدية والمعلومات ذات الصلة المستمدة من </w:t>
      </w:r>
      <w:r w:rsidRPr="005A0BBE">
        <w:rPr>
          <w:rtl/>
        </w:rPr>
        <w:lastRenderedPageBreak/>
        <w:t>الأنشطة/التفاعلات مع الشعوب الأصلية والمجتمعات المحلية</w:t>
      </w:r>
      <w:r w:rsidRPr="005A0BBE">
        <w:rPr>
          <w:rFonts w:hint="cs"/>
          <w:rtl/>
        </w:rPr>
        <w:t xml:space="preserve"> معها</w:t>
      </w:r>
      <w:r w:rsidRPr="005A0BBE">
        <w:rPr>
          <w:rtl/>
        </w:rPr>
        <w:t xml:space="preserve"> </w:t>
      </w:r>
      <w:r w:rsidRPr="005A0BBE">
        <w:rPr>
          <w:rFonts w:hint="cs"/>
          <w:rtl/>
        </w:rPr>
        <w:t>حيثما يمكن</w:t>
      </w:r>
      <w:r w:rsidRPr="005A0BBE">
        <w:rPr>
          <w:rtl/>
        </w:rPr>
        <w:t xml:space="preserve"> باللغات الأصلية والمحلية</w:t>
      </w:r>
      <w:r w:rsidRPr="005A0BBE">
        <w:rPr>
          <w:rFonts w:hint="cs"/>
          <w:rtl/>
        </w:rPr>
        <w:t xml:space="preserve"> وب</w:t>
      </w:r>
      <w:r w:rsidRPr="005A0BBE">
        <w:rPr>
          <w:rtl/>
        </w:rPr>
        <w:t xml:space="preserve">أشكال مفهومة وملائمة ثقافيا، بغية تعزيز عمليات التبادل ونقل المعارف </w:t>
      </w:r>
      <w:r w:rsidRPr="005A0BBE">
        <w:rPr>
          <w:rFonts w:hint="cs"/>
          <w:rtl/>
        </w:rPr>
        <w:t>و</w:t>
      </w:r>
      <w:r w:rsidRPr="005A0BBE">
        <w:rPr>
          <w:rtl/>
        </w:rPr>
        <w:t>التكنولوجيا و</w:t>
      </w:r>
      <w:r w:rsidRPr="005A0BBE">
        <w:rPr>
          <w:rFonts w:hint="cs"/>
          <w:rtl/>
        </w:rPr>
        <w:t xml:space="preserve">أوجه </w:t>
      </w:r>
      <w:r w:rsidRPr="005A0BBE">
        <w:rPr>
          <w:rtl/>
        </w:rPr>
        <w:t>التآزر والتكامل بين الثقافات.</w:t>
      </w:r>
      <w:r w:rsidRPr="005A0BBE">
        <w:rPr>
          <w:vertAlign w:val="superscript"/>
          <w:rtl/>
        </w:rPr>
        <w:footnoteReference w:id="211"/>
      </w:r>
    </w:p>
    <w:p w:rsidR="00EE0FD7" w:rsidRPr="005A0BBE" w:rsidRDefault="00EE0FD7" w:rsidP="00EE0FD7">
      <w:pPr>
        <w:jc w:val="center"/>
        <w:rPr>
          <w:b/>
          <w:bCs/>
          <w:rtl/>
        </w:rPr>
      </w:pPr>
      <w:r w:rsidRPr="005A0BBE">
        <w:rPr>
          <w:b/>
          <w:bCs/>
          <w:rtl/>
        </w:rPr>
        <w:t>باء</w:t>
      </w:r>
      <w:r w:rsidRPr="005A0BBE">
        <w:rPr>
          <w:rFonts w:hint="cs"/>
          <w:b/>
          <w:bCs/>
          <w:rtl/>
        </w:rPr>
        <w:t>-</w:t>
      </w:r>
      <w:r w:rsidRPr="005A0BBE">
        <w:rPr>
          <w:rFonts w:hint="cs"/>
          <w:b/>
          <w:bCs/>
          <w:rtl/>
        </w:rPr>
        <w:tab/>
        <w:t>ال</w:t>
      </w:r>
      <w:r w:rsidRPr="005A0BBE">
        <w:rPr>
          <w:b/>
          <w:bCs/>
          <w:rtl/>
        </w:rPr>
        <w:t xml:space="preserve">اعتبارات </w:t>
      </w:r>
      <w:r w:rsidRPr="005A0BBE">
        <w:rPr>
          <w:rFonts w:hint="cs"/>
          <w:b/>
          <w:bCs/>
          <w:rtl/>
        </w:rPr>
        <w:t>ال</w:t>
      </w:r>
      <w:r w:rsidRPr="005A0BBE">
        <w:rPr>
          <w:b/>
          <w:bCs/>
          <w:rtl/>
        </w:rPr>
        <w:t>خاصة</w:t>
      </w:r>
    </w:p>
    <w:p w:rsidR="00EE0FD7" w:rsidRPr="005A0BBE" w:rsidRDefault="00EE0FD7" w:rsidP="00D91228">
      <w:pPr>
        <w:ind w:left="2130" w:right="1440" w:hanging="708"/>
        <w:rPr>
          <w:i/>
          <w:iCs/>
        </w:rPr>
      </w:pPr>
      <w:r w:rsidRPr="005A0BBE">
        <w:rPr>
          <w:rFonts w:hint="cs"/>
          <w:i/>
          <w:iCs/>
          <w:rtl/>
        </w:rPr>
        <w:t>1-</w:t>
      </w:r>
      <w:r w:rsidRPr="005A0BBE">
        <w:rPr>
          <w:rFonts w:hint="cs"/>
          <w:i/>
          <w:iCs/>
          <w:rtl/>
        </w:rPr>
        <w:tab/>
      </w:r>
      <w:r w:rsidRPr="005A0BBE">
        <w:rPr>
          <w:i/>
          <w:iCs/>
          <w:rtl/>
        </w:rPr>
        <w:t>المعارف التقليدية المتاحة للجمهور</w:t>
      </w:r>
      <w:r w:rsidRPr="005A0BBE">
        <w:rPr>
          <w:rFonts w:hint="cs"/>
          <w:i/>
          <w:iCs/>
          <w:rtl/>
        </w:rPr>
        <w:t xml:space="preserve"> وذات الصلة بحفظ التنوع البيولوجي واستخدامه المستدام</w:t>
      </w:r>
      <w:r w:rsidRPr="005A0BBE">
        <w:rPr>
          <w:i/>
          <w:iCs/>
          <w:rtl/>
        </w:rPr>
        <w:t xml:space="preserve"> والاستخدام الجاري وتقاسم المنافع</w:t>
      </w:r>
    </w:p>
    <w:p w:rsidR="00EE0FD7" w:rsidRPr="005A0BBE" w:rsidRDefault="00EE0FD7" w:rsidP="00EE0FD7">
      <w:pPr>
        <w:rPr>
          <w:rtl/>
        </w:rPr>
      </w:pPr>
      <w:r w:rsidRPr="005A0BBE">
        <w:rPr>
          <w:rFonts w:hint="cs"/>
          <w:rtl/>
        </w:rPr>
        <w:t>52-</w:t>
      </w:r>
      <w:r w:rsidRPr="005A0BBE">
        <w:rPr>
          <w:rFonts w:hint="cs"/>
          <w:rtl/>
        </w:rPr>
        <w:tab/>
      </w:r>
      <w:r w:rsidRPr="005A0BBE">
        <w:rPr>
          <w:rtl/>
        </w:rPr>
        <w:t xml:space="preserve">حيثما يكون هناك استخدام </w:t>
      </w:r>
      <w:r w:rsidRPr="005A0BBE">
        <w:rPr>
          <w:rFonts w:hint="cs"/>
          <w:rtl/>
        </w:rPr>
        <w:t>جار</w:t>
      </w:r>
      <w:r w:rsidRPr="005A0BBE">
        <w:rPr>
          <w:rtl/>
        </w:rPr>
        <w:t xml:space="preserve"> للمعارف التقليدية، ينبغي أن ينظر الم</w:t>
      </w:r>
      <w:r w:rsidRPr="005A0BBE">
        <w:rPr>
          <w:rFonts w:hint="cs"/>
          <w:rtl/>
        </w:rPr>
        <w:t>ُ</w:t>
      </w:r>
      <w:r w:rsidRPr="005A0BBE">
        <w:rPr>
          <w:rtl/>
        </w:rPr>
        <w:t>ستخد</w:t>
      </w:r>
      <w:r w:rsidRPr="005A0BBE">
        <w:rPr>
          <w:rFonts w:hint="cs"/>
          <w:rtl/>
        </w:rPr>
        <w:t>ِ</w:t>
      </w:r>
      <w:r w:rsidRPr="005A0BBE">
        <w:rPr>
          <w:rtl/>
        </w:rPr>
        <w:t xml:space="preserve">م في اتخاذ تدابير خاصة لمعالجة تقاسم المنافع، </w:t>
      </w:r>
      <w:r w:rsidRPr="005A0BBE">
        <w:rPr>
          <w:rFonts w:hint="cs"/>
          <w:rtl/>
        </w:rPr>
        <w:t>حسب الاقتضاء</w:t>
      </w:r>
      <w:r w:rsidRPr="005A0BBE">
        <w:rPr>
          <w:rtl/>
        </w:rPr>
        <w:t xml:space="preserve">. ويمكن أن تشمل هذه التدابير: </w:t>
      </w:r>
      <w:r w:rsidRPr="005A0BBE">
        <w:rPr>
          <w:rFonts w:hint="cs"/>
          <w:rtl/>
        </w:rPr>
        <w:t>(أ)</w:t>
      </w:r>
      <w:r>
        <w:rPr>
          <w:rFonts w:hint="cs"/>
          <w:rtl/>
        </w:rPr>
        <w:t xml:space="preserve"> </w:t>
      </w:r>
      <w:r w:rsidRPr="005A0BBE">
        <w:rPr>
          <w:rtl/>
        </w:rPr>
        <w:t xml:space="preserve">التعويض أو </w:t>
      </w:r>
      <w:r w:rsidRPr="005A0BBE">
        <w:rPr>
          <w:rFonts w:hint="cs"/>
          <w:rtl/>
        </w:rPr>
        <w:t>التقاسم العادل والمنصف</w:t>
      </w:r>
      <w:r w:rsidRPr="005A0BBE">
        <w:rPr>
          <w:rtl/>
        </w:rPr>
        <w:t xml:space="preserve"> </w:t>
      </w:r>
      <w:r w:rsidRPr="005A0BBE">
        <w:rPr>
          <w:rFonts w:hint="cs"/>
          <w:rtl/>
        </w:rPr>
        <w:t>لل</w:t>
      </w:r>
      <w:r w:rsidRPr="005A0BBE">
        <w:rPr>
          <w:rtl/>
        </w:rPr>
        <w:t>منافع</w:t>
      </w:r>
      <w:r w:rsidRPr="005A0BBE">
        <w:rPr>
          <w:rFonts w:hint="cs"/>
          <w:rtl/>
        </w:rPr>
        <w:t xml:space="preserve"> الناشئة على ا</w:t>
      </w:r>
      <w:r w:rsidRPr="005A0BBE">
        <w:rPr>
          <w:rtl/>
        </w:rPr>
        <w:t xml:space="preserve">لاستخدام الجاري؛ </w:t>
      </w:r>
      <w:r w:rsidRPr="005A0BBE">
        <w:rPr>
          <w:rFonts w:hint="cs"/>
          <w:rtl/>
        </w:rPr>
        <w:t>أو (ب)</w:t>
      </w:r>
      <w:r>
        <w:rPr>
          <w:rFonts w:hint="cs"/>
          <w:rtl/>
        </w:rPr>
        <w:t xml:space="preserve"> </w:t>
      </w:r>
      <w:r w:rsidRPr="005A0BBE">
        <w:rPr>
          <w:rtl/>
        </w:rPr>
        <w:t>تشجيع المستخدمين الحاليين على</w:t>
      </w:r>
      <w:r w:rsidRPr="005A0BBE">
        <w:rPr>
          <w:rFonts w:hint="cs"/>
          <w:rtl/>
        </w:rPr>
        <w:t xml:space="preserve"> التماس الموافقة المسبقة عن علم، أو الموافقة الحرة والمسبقة عن علم، أو القبول والمشاركة، والدخول في</w:t>
      </w:r>
      <w:r w:rsidRPr="005A0BBE">
        <w:rPr>
          <w:rtl/>
        </w:rPr>
        <w:t xml:space="preserve"> شروط متفق عليها بصورة متبادلة للتقاسم </w:t>
      </w:r>
      <w:r w:rsidRPr="005A0BBE">
        <w:rPr>
          <w:rFonts w:hint="cs"/>
          <w:rtl/>
        </w:rPr>
        <w:t>المنصف</w:t>
      </w:r>
      <w:r w:rsidRPr="005A0BBE">
        <w:rPr>
          <w:rtl/>
        </w:rPr>
        <w:t xml:space="preserve"> للمنافع</w:t>
      </w:r>
      <w:r w:rsidRPr="005A0BBE">
        <w:rPr>
          <w:rFonts w:hint="cs"/>
          <w:rtl/>
        </w:rPr>
        <w:t>؛</w:t>
      </w:r>
      <w:r w:rsidRPr="005A0BBE">
        <w:rPr>
          <w:rtl/>
        </w:rPr>
        <w:t xml:space="preserve"> </w:t>
      </w:r>
      <w:r w:rsidRPr="005A0BBE">
        <w:rPr>
          <w:rFonts w:hint="cs"/>
          <w:rtl/>
        </w:rPr>
        <w:t>أو (ج)</w:t>
      </w:r>
      <w:r>
        <w:rPr>
          <w:rFonts w:hint="cs"/>
          <w:rtl/>
        </w:rPr>
        <w:t xml:space="preserve"> </w:t>
      </w:r>
      <w:r w:rsidRPr="005A0BBE">
        <w:rPr>
          <w:rtl/>
        </w:rPr>
        <w:t xml:space="preserve">إعادة </w:t>
      </w:r>
      <w:r w:rsidRPr="005A0BBE">
        <w:rPr>
          <w:rFonts w:hint="cs"/>
          <w:rtl/>
        </w:rPr>
        <w:t>الحقوق</w:t>
      </w:r>
      <w:r w:rsidRPr="005A0BBE">
        <w:rPr>
          <w:rtl/>
        </w:rPr>
        <w:t xml:space="preserve"> إلى </w:t>
      </w:r>
      <w:r w:rsidRPr="005A0BBE">
        <w:rPr>
          <w:rFonts w:hint="cs"/>
          <w:rtl/>
        </w:rPr>
        <w:t>الحائزين الأصليين على المعارف، حيثما أمكن، ووفقا للقوانين المعمول بها</w:t>
      </w:r>
      <w:r w:rsidRPr="005A0BBE">
        <w:rPr>
          <w:rtl/>
        </w:rPr>
        <w:t>؛ أو</w:t>
      </w:r>
      <w:r w:rsidRPr="005A0BBE">
        <w:rPr>
          <w:rFonts w:hint="cs"/>
          <w:rtl/>
        </w:rPr>
        <w:t xml:space="preserve"> (د)</w:t>
      </w:r>
      <w:r>
        <w:rPr>
          <w:rFonts w:hint="cs"/>
          <w:rtl/>
        </w:rPr>
        <w:t xml:space="preserve"> </w:t>
      </w:r>
      <w:r w:rsidRPr="005A0BBE">
        <w:rPr>
          <w:rFonts w:hint="cs"/>
          <w:rtl/>
        </w:rPr>
        <w:t>وضع</w:t>
      </w:r>
      <w:r w:rsidRPr="005A0BBE">
        <w:rPr>
          <w:rtl/>
        </w:rPr>
        <w:t xml:space="preserve"> آليات للتقاسم</w:t>
      </w:r>
      <w:r w:rsidRPr="005A0BBE">
        <w:rPr>
          <w:rFonts w:hint="cs"/>
          <w:rtl/>
        </w:rPr>
        <w:t xml:space="preserve"> العادل</w:t>
      </w:r>
      <w:r w:rsidRPr="005A0BBE">
        <w:rPr>
          <w:rtl/>
        </w:rPr>
        <w:t xml:space="preserve"> </w:t>
      </w:r>
      <w:r w:rsidRPr="005A0BBE">
        <w:rPr>
          <w:rFonts w:hint="cs"/>
          <w:rtl/>
        </w:rPr>
        <w:t>والمنصف</w:t>
      </w:r>
      <w:r w:rsidRPr="005A0BBE">
        <w:rPr>
          <w:rtl/>
        </w:rPr>
        <w:t xml:space="preserve"> للمنافع </w:t>
      </w:r>
      <w:r w:rsidRPr="005A0BBE">
        <w:rPr>
          <w:rFonts w:hint="cs"/>
          <w:rtl/>
        </w:rPr>
        <w:t>الناشئة عن</w:t>
      </w:r>
      <w:r w:rsidRPr="005A0BBE">
        <w:rPr>
          <w:rtl/>
        </w:rPr>
        <w:t xml:space="preserve"> المعارف التقليدية التي تم جمعها واستخدامها لفترة محددة أو مستمرة. وفي </w:t>
      </w:r>
      <w:r w:rsidRPr="005A0BBE">
        <w:rPr>
          <w:rFonts w:hint="cs"/>
          <w:rtl/>
        </w:rPr>
        <w:t xml:space="preserve">مثل </w:t>
      </w:r>
      <w:r w:rsidRPr="005A0BBE">
        <w:rPr>
          <w:rtl/>
        </w:rPr>
        <w:t>هذه الحالات، ينبغي أن تكون المنافع</w:t>
      </w:r>
      <w:r w:rsidRPr="005A0BBE">
        <w:rPr>
          <w:rFonts w:hint="cs"/>
          <w:rtl/>
        </w:rPr>
        <w:t xml:space="preserve"> ملائمة</w:t>
      </w:r>
      <w:r w:rsidRPr="005A0BBE">
        <w:rPr>
          <w:rtl/>
        </w:rPr>
        <w:t xml:space="preserve"> إلى أقصى حد ممكن</w:t>
      </w:r>
      <w:r w:rsidRPr="005A0BBE">
        <w:rPr>
          <w:rFonts w:hint="cs"/>
          <w:rtl/>
        </w:rPr>
        <w:t xml:space="preserve"> </w:t>
      </w:r>
      <w:r w:rsidRPr="005A0BBE">
        <w:rPr>
          <w:rtl/>
        </w:rPr>
        <w:t xml:space="preserve">للسياق الثقافي والاجتماعي واحتياجات وتطلعات الشعوب الأصلية والمجتمعات المحلية المعنية. وينبغي أيضا تشجيع </w:t>
      </w:r>
      <w:r w:rsidRPr="005A0BBE">
        <w:rPr>
          <w:rFonts w:hint="cs"/>
          <w:rtl/>
        </w:rPr>
        <w:t>التقاسم العادل والمنصف للمنافع</w:t>
      </w:r>
      <w:r w:rsidRPr="005A0BBE">
        <w:rPr>
          <w:rtl/>
        </w:rPr>
        <w:t xml:space="preserve"> كلما </w:t>
      </w:r>
      <w:r w:rsidRPr="005A0BBE">
        <w:rPr>
          <w:rFonts w:hint="cs"/>
          <w:rtl/>
        </w:rPr>
        <w:t>يتم</w:t>
      </w:r>
      <w:r w:rsidRPr="005A0BBE">
        <w:rPr>
          <w:rtl/>
        </w:rPr>
        <w:t xml:space="preserve"> ال</w:t>
      </w:r>
      <w:r w:rsidRPr="005A0BBE">
        <w:rPr>
          <w:rFonts w:hint="cs"/>
          <w:rtl/>
        </w:rPr>
        <w:t>ح</w:t>
      </w:r>
      <w:r w:rsidRPr="005A0BBE">
        <w:rPr>
          <w:rtl/>
        </w:rPr>
        <w:t xml:space="preserve">صول </w:t>
      </w:r>
      <w:r w:rsidRPr="005A0BBE">
        <w:rPr>
          <w:rFonts w:hint="cs"/>
          <w:rtl/>
        </w:rPr>
        <w:t>ع</w:t>
      </w:r>
      <w:r w:rsidRPr="005A0BBE">
        <w:rPr>
          <w:rtl/>
        </w:rPr>
        <w:t>لى المعارف التقليدية واستخدامها لأغراض تجارية أو غير تجارية</w:t>
      </w:r>
      <w:r w:rsidRPr="005A0BBE">
        <w:rPr>
          <w:rFonts w:hint="cs"/>
          <w:rtl/>
        </w:rPr>
        <w:t>، إلا إذا تم التنازل عنها وفقا لشروط متفق عليها بصورة متبادلة</w:t>
      </w:r>
      <w:r w:rsidRPr="005A0BBE">
        <w:rPr>
          <w:rtl/>
        </w:rPr>
        <w:t>.</w:t>
      </w:r>
      <w:r w:rsidRPr="005A0BBE">
        <w:rPr>
          <w:vertAlign w:val="superscript"/>
          <w:rtl/>
        </w:rPr>
        <w:footnoteReference w:id="212"/>
      </w:r>
    </w:p>
    <w:p w:rsidR="00EE0FD7" w:rsidRPr="005A0BBE" w:rsidRDefault="00EE0FD7" w:rsidP="00EE0FD7">
      <w:pPr>
        <w:rPr>
          <w:rtl/>
        </w:rPr>
      </w:pPr>
      <w:r w:rsidRPr="005A0BBE">
        <w:rPr>
          <w:rFonts w:hint="cs"/>
          <w:rtl/>
        </w:rPr>
        <w:t>53-</w:t>
      </w:r>
      <w:r w:rsidRPr="005A0BBE">
        <w:rPr>
          <w:rFonts w:hint="cs"/>
          <w:rtl/>
        </w:rPr>
        <w:tab/>
      </w:r>
      <w:r w:rsidRPr="005A0BBE">
        <w:rPr>
          <w:rtl/>
        </w:rPr>
        <w:t xml:space="preserve">وإلحاقا بمسألة تقاسم المنافع، اعتمد مؤتمر الأطراف في مقرره </w:t>
      </w:r>
      <w:r w:rsidRPr="005A0BBE">
        <w:rPr>
          <w:rFonts w:hint="cs"/>
          <w:rtl/>
        </w:rPr>
        <w:t>13</w:t>
      </w:r>
      <w:r w:rsidRPr="005A0BBE">
        <w:rPr>
          <w:rtl/>
        </w:rPr>
        <w:t xml:space="preserve">/18 المبادئ التوجيهية الطوعية للمعارف التقليدية موتز كوستال التي </w:t>
      </w:r>
      <w:r w:rsidRPr="005A0BBE">
        <w:rPr>
          <w:rFonts w:hint="cs"/>
          <w:rtl/>
        </w:rPr>
        <w:t>تحتوي على</w:t>
      </w:r>
      <w:r w:rsidRPr="005A0BBE">
        <w:rPr>
          <w:rtl/>
        </w:rPr>
        <w:t xml:space="preserve"> مشورة بشأن تقاسم </w:t>
      </w:r>
      <w:r w:rsidRPr="00A65131">
        <w:rPr>
          <w:spacing w:val="-8"/>
          <w:rtl/>
        </w:rPr>
        <w:t>المنافع التي يمكن تطبيقها أيضا في سياق إعادة التوطين و</w:t>
      </w:r>
      <w:r w:rsidRPr="00A65131">
        <w:rPr>
          <w:rFonts w:hint="cs"/>
          <w:spacing w:val="-8"/>
          <w:rtl/>
        </w:rPr>
        <w:t>الا</w:t>
      </w:r>
      <w:r w:rsidRPr="00A65131">
        <w:rPr>
          <w:spacing w:val="-8"/>
          <w:rtl/>
        </w:rPr>
        <w:t>ستخدام</w:t>
      </w:r>
      <w:r w:rsidRPr="00A65131">
        <w:rPr>
          <w:rFonts w:hint="cs"/>
          <w:spacing w:val="-8"/>
          <w:rtl/>
        </w:rPr>
        <w:t xml:space="preserve"> المستمر</w:t>
      </w:r>
      <w:r w:rsidRPr="00A65131">
        <w:rPr>
          <w:spacing w:val="-8"/>
          <w:rtl/>
        </w:rPr>
        <w:t>.</w:t>
      </w:r>
    </w:p>
    <w:p w:rsidR="00EE0FD7" w:rsidRPr="005A0BBE" w:rsidRDefault="00EE0FD7" w:rsidP="00EE0FD7">
      <w:pPr>
        <w:rPr>
          <w:rtl/>
        </w:rPr>
      </w:pPr>
      <w:r w:rsidRPr="005A0BBE">
        <w:rPr>
          <w:rFonts w:hint="cs"/>
          <w:rtl/>
        </w:rPr>
        <w:t>54-</w:t>
      </w:r>
      <w:r w:rsidRPr="005A0BBE">
        <w:rPr>
          <w:rFonts w:hint="cs"/>
          <w:rtl/>
        </w:rPr>
        <w:tab/>
        <w:t xml:space="preserve">وإضافة إلى مسألة الحصول واستعمال المعارف التقليدية المتاحة للجمهور، تتضمن </w:t>
      </w:r>
      <w:r w:rsidRPr="005A0BBE">
        <w:rPr>
          <w:rtl/>
        </w:rPr>
        <w:t>المبادئ التوجيهية الطوعية للمعارف التقليدية موتز كوستال</w:t>
      </w:r>
      <w:r w:rsidRPr="005A0BBE">
        <w:rPr>
          <w:rFonts w:hint="cs"/>
          <w:rtl/>
        </w:rPr>
        <w:t xml:space="preserve"> نصائح بشأن "الموافقة المسبقة عن علم" و"الموافقة الحرة والمسبقة عن علم" أو "ال</w:t>
      </w:r>
      <w:r>
        <w:rPr>
          <w:rFonts w:hint="cs"/>
          <w:rtl/>
        </w:rPr>
        <w:t>قبول</w:t>
      </w:r>
      <w:r w:rsidRPr="005A0BBE">
        <w:rPr>
          <w:rFonts w:hint="cs"/>
          <w:rtl/>
        </w:rPr>
        <w:t xml:space="preserve"> والمشاركة" فيما يتعلق بإعادة توطين المعارف التقليدية ذات الصلة بحفظ التنوع البيولوجي واستخدامه المستدام.</w:t>
      </w:r>
    </w:p>
    <w:p w:rsidR="00EE0FD7" w:rsidRPr="00A65131" w:rsidRDefault="00EE0FD7" w:rsidP="00EE0FD7">
      <w:pPr>
        <w:rPr>
          <w:spacing w:val="-8"/>
          <w:rtl/>
        </w:rPr>
      </w:pPr>
      <w:r w:rsidRPr="005A0BBE">
        <w:rPr>
          <w:rFonts w:hint="cs"/>
          <w:rtl/>
        </w:rPr>
        <w:t>55-</w:t>
      </w:r>
      <w:r w:rsidRPr="005A0BBE">
        <w:rPr>
          <w:rFonts w:hint="cs"/>
          <w:rtl/>
        </w:rPr>
        <w:tab/>
        <w:t>وبالإشارة</w:t>
      </w:r>
      <w:r w:rsidRPr="005A0BBE">
        <w:rPr>
          <w:rtl/>
        </w:rPr>
        <w:t xml:space="preserve"> إلى أن طبيعة </w:t>
      </w:r>
      <w:r w:rsidRPr="005A0BBE">
        <w:rPr>
          <w:rFonts w:hint="cs"/>
          <w:rtl/>
        </w:rPr>
        <w:t>المبادئ التوجيهية الطوعية روتسوليهيرساجيك</w:t>
      </w:r>
      <w:r w:rsidRPr="005A0BBE">
        <w:rPr>
          <w:rtl/>
        </w:rPr>
        <w:t xml:space="preserve"> </w:t>
      </w:r>
      <w:r w:rsidRPr="005A0BBE">
        <w:rPr>
          <w:rFonts w:hint="cs"/>
          <w:rtl/>
        </w:rPr>
        <w:t>تتمثل في</w:t>
      </w:r>
      <w:r w:rsidRPr="005A0BBE">
        <w:rPr>
          <w:rtl/>
        </w:rPr>
        <w:t xml:space="preserve"> تعزيز إعادة توطين المعارف التقليدية بهدف نهائي يتمثل في إعادة توطين</w:t>
      </w:r>
      <w:r w:rsidRPr="005A0BBE">
        <w:rPr>
          <w:rFonts w:hint="cs"/>
          <w:rtl/>
        </w:rPr>
        <w:t xml:space="preserve"> واستعادة</w:t>
      </w:r>
      <w:r w:rsidRPr="005A0BBE">
        <w:rPr>
          <w:rtl/>
        </w:rPr>
        <w:t xml:space="preserve"> المعارف التقليدية ذات الصلة بالحفظ والاستخدام المستدام إلى </w:t>
      </w:r>
      <w:r w:rsidRPr="005A0BBE">
        <w:rPr>
          <w:rFonts w:hint="cs"/>
          <w:rtl/>
        </w:rPr>
        <w:t>الحائزين الأصليين على المعارف</w:t>
      </w:r>
      <w:r w:rsidRPr="005A0BBE">
        <w:rPr>
          <w:rtl/>
        </w:rPr>
        <w:t>، فمن المهم أن تجر</w:t>
      </w:r>
      <w:r w:rsidRPr="005A0BBE">
        <w:rPr>
          <w:rFonts w:hint="cs"/>
          <w:rtl/>
        </w:rPr>
        <w:t>ى</w:t>
      </w:r>
      <w:r w:rsidRPr="005A0BBE">
        <w:rPr>
          <w:rtl/>
        </w:rPr>
        <w:t xml:space="preserve"> أي مناقشات بشأن </w:t>
      </w:r>
      <w:r w:rsidRPr="005A0BBE">
        <w:rPr>
          <w:rFonts w:hint="cs"/>
          <w:rtl/>
        </w:rPr>
        <w:t>التقاسم العادل والمنصف للمنافع</w:t>
      </w:r>
      <w:r w:rsidRPr="005A0BBE">
        <w:rPr>
          <w:rtl/>
        </w:rPr>
        <w:t xml:space="preserve"> في سياق هذه المبادئ التوجيهية لا </w:t>
      </w:r>
      <w:r>
        <w:rPr>
          <w:rFonts w:hint="cs"/>
          <w:rtl/>
        </w:rPr>
        <w:t>ت</w:t>
      </w:r>
      <w:r w:rsidRPr="005A0BBE">
        <w:rPr>
          <w:rtl/>
        </w:rPr>
        <w:t xml:space="preserve">نتقص من </w:t>
      </w:r>
      <w:r w:rsidRPr="005A0BBE">
        <w:rPr>
          <w:rFonts w:hint="cs"/>
          <w:rtl/>
        </w:rPr>
        <w:t>المنفعة</w:t>
      </w:r>
      <w:r w:rsidRPr="005A0BBE">
        <w:rPr>
          <w:rtl/>
        </w:rPr>
        <w:t xml:space="preserve"> العامة </w:t>
      </w:r>
      <w:r w:rsidRPr="005A0BBE">
        <w:rPr>
          <w:rFonts w:hint="cs"/>
          <w:rtl/>
        </w:rPr>
        <w:t>من</w:t>
      </w:r>
      <w:r w:rsidRPr="005A0BBE">
        <w:rPr>
          <w:rtl/>
        </w:rPr>
        <w:t xml:space="preserve"> إعادة توطين </w:t>
      </w:r>
      <w:r w:rsidRPr="005A0BBE">
        <w:rPr>
          <w:rFonts w:hint="cs"/>
          <w:rtl/>
        </w:rPr>
        <w:t xml:space="preserve">واستعادة </w:t>
      </w:r>
      <w:r w:rsidRPr="005A0BBE">
        <w:rPr>
          <w:rtl/>
        </w:rPr>
        <w:t xml:space="preserve">المعارف </w:t>
      </w:r>
      <w:r w:rsidRPr="00A65131">
        <w:rPr>
          <w:spacing w:val="-8"/>
          <w:rtl/>
        </w:rPr>
        <w:t>ذات الصلة بحفظ التنوع البيولوجي واستخدامه المستدام.</w:t>
      </w:r>
    </w:p>
    <w:p w:rsidR="00EE0FD7" w:rsidRPr="005A0BBE" w:rsidRDefault="00EE0FD7" w:rsidP="00EE0FD7">
      <w:pPr>
        <w:jc w:val="center"/>
        <w:rPr>
          <w:i/>
          <w:iCs/>
          <w:rtl/>
        </w:rPr>
      </w:pPr>
      <w:r w:rsidRPr="005A0BBE">
        <w:rPr>
          <w:rFonts w:hint="cs"/>
          <w:i/>
          <w:iCs/>
          <w:rtl/>
        </w:rPr>
        <w:t>2-</w:t>
      </w:r>
      <w:r w:rsidRPr="005A0BBE">
        <w:rPr>
          <w:rFonts w:hint="cs"/>
          <w:i/>
          <w:iCs/>
          <w:rtl/>
        </w:rPr>
        <w:tab/>
        <w:t>المعارف</w:t>
      </w:r>
      <w:r w:rsidRPr="005A0BBE">
        <w:rPr>
          <w:i/>
          <w:iCs/>
          <w:rtl/>
        </w:rPr>
        <w:t xml:space="preserve"> السرية أو المقدسة أو </w:t>
      </w:r>
      <w:r w:rsidRPr="005A0BBE">
        <w:rPr>
          <w:rFonts w:hint="cs"/>
          <w:i/>
          <w:iCs/>
          <w:rtl/>
        </w:rPr>
        <w:t>الجنسانية</w:t>
      </w:r>
    </w:p>
    <w:p w:rsidR="00EE0FD7" w:rsidRPr="005A0BBE" w:rsidRDefault="00EE0FD7" w:rsidP="00EE0FD7">
      <w:pPr>
        <w:rPr>
          <w:rtl/>
        </w:rPr>
      </w:pPr>
      <w:r w:rsidRPr="005A0BBE">
        <w:rPr>
          <w:rFonts w:hint="cs"/>
          <w:rtl/>
        </w:rPr>
        <w:t>56-</w:t>
      </w:r>
      <w:r w:rsidRPr="005A0BBE">
        <w:rPr>
          <w:rFonts w:hint="cs"/>
          <w:rtl/>
        </w:rPr>
        <w:tab/>
      </w:r>
      <w:r w:rsidRPr="005A0BBE">
        <w:rPr>
          <w:rtl/>
        </w:rPr>
        <w:t xml:space="preserve">هناك حاجة إلى اعتبارات خاصة من أجل </w:t>
      </w:r>
      <w:r w:rsidRPr="005A0BBE">
        <w:rPr>
          <w:rFonts w:hint="cs"/>
          <w:rtl/>
        </w:rPr>
        <w:t>المعارف</w:t>
      </w:r>
      <w:r w:rsidRPr="005A0BBE">
        <w:rPr>
          <w:rtl/>
        </w:rPr>
        <w:t xml:space="preserve"> السرية أو المقدسة أو </w:t>
      </w:r>
      <w:r w:rsidRPr="005A0BBE">
        <w:rPr>
          <w:rFonts w:hint="cs"/>
          <w:rtl/>
        </w:rPr>
        <w:t>الجنسانية</w:t>
      </w:r>
      <w:r w:rsidRPr="005A0BBE">
        <w:rPr>
          <w:rtl/>
        </w:rPr>
        <w:t xml:space="preserve"> </w:t>
      </w:r>
      <w:r w:rsidRPr="005A0BBE">
        <w:rPr>
          <w:rFonts w:hint="cs"/>
          <w:rtl/>
        </w:rPr>
        <w:t>ل</w:t>
      </w:r>
      <w:r w:rsidRPr="005A0BBE">
        <w:rPr>
          <w:rtl/>
        </w:rPr>
        <w:t xml:space="preserve">كل من المؤسسات والكيانات </w:t>
      </w:r>
      <w:r w:rsidRPr="005A0BBE">
        <w:rPr>
          <w:rFonts w:hint="cs"/>
          <w:rtl/>
        </w:rPr>
        <w:t>القائمة بإعادة التوطين</w:t>
      </w:r>
      <w:r w:rsidRPr="005A0BBE">
        <w:rPr>
          <w:rtl/>
        </w:rPr>
        <w:t xml:space="preserve"> والمجتمعات </w:t>
      </w:r>
      <w:r w:rsidRPr="005A0BBE">
        <w:rPr>
          <w:rFonts w:hint="cs"/>
          <w:rtl/>
        </w:rPr>
        <w:t>المستلمة،</w:t>
      </w:r>
      <w:r w:rsidRPr="005A0BBE">
        <w:rPr>
          <w:rtl/>
        </w:rPr>
        <w:t xml:space="preserve"> </w:t>
      </w:r>
      <w:r w:rsidRPr="005A0BBE">
        <w:rPr>
          <w:rFonts w:hint="cs"/>
          <w:rtl/>
        </w:rPr>
        <w:t>لأن بعض المعارف</w:t>
      </w:r>
      <w:r w:rsidRPr="005A0BBE">
        <w:rPr>
          <w:rtl/>
        </w:rPr>
        <w:t xml:space="preserve"> السرية أو المقدسة</w:t>
      </w:r>
      <w:r w:rsidRPr="005A0BBE">
        <w:rPr>
          <w:rFonts w:hint="cs"/>
          <w:rtl/>
        </w:rPr>
        <w:t xml:space="preserve"> قد لا يطلع عليها أو يصل إليها إلا بعض الأفراد. ولذلك، تعتبر المشاركة الكاملة والفعالة للشعوب الأصلية والمجتمعات المحلية في عملية تحديد الحائزين الأصليين للمعلومات أمرا هاما. و</w:t>
      </w:r>
      <w:r w:rsidRPr="005A0BBE">
        <w:rPr>
          <w:rtl/>
        </w:rPr>
        <w:t xml:space="preserve">على سبيل المثال، </w:t>
      </w:r>
      <w:r w:rsidRPr="005A0BBE">
        <w:rPr>
          <w:rFonts w:hint="cs"/>
          <w:rtl/>
        </w:rPr>
        <w:t xml:space="preserve">تتسم </w:t>
      </w:r>
      <w:r w:rsidRPr="005A0BBE">
        <w:rPr>
          <w:rtl/>
        </w:rPr>
        <w:t xml:space="preserve">بعض المواد </w:t>
      </w:r>
      <w:r w:rsidRPr="005A0BBE">
        <w:rPr>
          <w:rFonts w:hint="cs"/>
          <w:rtl/>
        </w:rPr>
        <w:t xml:space="preserve">الموجودة </w:t>
      </w:r>
      <w:r w:rsidRPr="005A0BBE">
        <w:rPr>
          <w:rtl/>
        </w:rPr>
        <w:t>في المكتبات ودور المحفوظات و</w:t>
      </w:r>
      <w:r w:rsidRPr="005A0BBE">
        <w:rPr>
          <w:rFonts w:hint="cs"/>
          <w:rtl/>
        </w:rPr>
        <w:t>دوائر</w:t>
      </w:r>
      <w:r w:rsidRPr="005A0BBE">
        <w:rPr>
          <w:rtl/>
        </w:rPr>
        <w:t xml:space="preserve"> المعلومات </w:t>
      </w:r>
      <w:r w:rsidRPr="005A0BBE">
        <w:rPr>
          <w:rFonts w:hint="cs"/>
          <w:rtl/>
        </w:rPr>
        <w:t>بال</w:t>
      </w:r>
      <w:r w:rsidRPr="005A0BBE">
        <w:rPr>
          <w:rtl/>
        </w:rPr>
        <w:t xml:space="preserve">سرية أو </w:t>
      </w:r>
      <w:r w:rsidRPr="005A0BBE">
        <w:rPr>
          <w:rFonts w:hint="cs"/>
          <w:rtl/>
        </w:rPr>
        <w:t>ال</w:t>
      </w:r>
      <w:r w:rsidRPr="005A0BBE">
        <w:rPr>
          <w:rtl/>
        </w:rPr>
        <w:t>حساس</w:t>
      </w:r>
      <w:r w:rsidRPr="005A0BBE">
        <w:rPr>
          <w:rFonts w:hint="cs"/>
          <w:rtl/>
        </w:rPr>
        <w:t>ي</w:t>
      </w:r>
      <w:r w:rsidRPr="005A0BBE">
        <w:rPr>
          <w:rtl/>
        </w:rPr>
        <w:t xml:space="preserve">ة وقد تتطلب بعض القيود على الوصول لأسباب تنظيمية أو تجارية أو </w:t>
      </w:r>
      <w:r w:rsidRPr="005A0BBE">
        <w:rPr>
          <w:rFonts w:hint="cs"/>
          <w:rtl/>
        </w:rPr>
        <w:t>متعلقة بالحفظ</w:t>
      </w:r>
      <w:r w:rsidRPr="005A0BBE">
        <w:rPr>
          <w:rtl/>
        </w:rPr>
        <w:t xml:space="preserve"> أو أمنية </w:t>
      </w:r>
      <w:r w:rsidRPr="005A0BBE">
        <w:rPr>
          <w:rtl/>
        </w:rPr>
        <w:lastRenderedPageBreak/>
        <w:t>أو مجتمعية.</w:t>
      </w:r>
      <w:r w:rsidRPr="005A0BBE">
        <w:rPr>
          <w:vertAlign w:val="superscript"/>
          <w:rtl/>
        </w:rPr>
        <w:footnoteReference w:id="213"/>
      </w:r>
      <w:r w:rsidRPr="005A0BBE">
        <w:rPr>
          <w:rtl/>
        </w:rPr>
        <w:t xml:space="preserve"> وست</w:t>
      </w:r>
      <w:r w:rsidRPr="005A0BBE">
        <w:rPr>
          <w:rFonts w:hint="cs"/>
          <w:rtl/>
        </w:rPr>
        <w:t>عتمد</w:t>
      </w:r>
      <w:r w:rsidRPr="005A0BBE">
        <w:rPr>
          <w:rtl/>
        </w:rPr>
        <w:t xml:space="preserve"> ممارسات الإدارة المناسبة على كل من المواد والمجتمعات التي تخدمها المنظمات. وينبغي </w:t>
      </w:r>
      <w:r w:rsidRPr="005A0BBE">
        <w:rPr>
          <w:rFonts w:hint="cs"/>
          <w:rtl/>
        </w:rPr>
        <w:t xml:space="preserve">أن يطلع على </w:t>
      </w:r>
      <w:r w:rsidRPr="005A0BBE">
        <w:rPr>
          <w:rtl/>
        </w:rPr>
        <w:t xml:space="preserve">المعارف التقليدية </w:t>
      </w:r>
      <w:r w:rsidRPr="005A0BBE">
        <w:rPr>
          <w:rFonts w:hint="cs"/>
          <w:rtl/>
        </w:rPr>
        <w:t>الجنسانية</w:t>
      </w:r>
      <w:r w:rsidRPr="005A0BBE">
        <w:rPr>
          <w:rtl/>
        </w:rPr>
        <w:t xml:space="preserve"> والمعلومات ذات الصلة أشخاص ذو</w:t>
      </w:r>
      <w:r w:rsidRPr="005A0BBE">
        <w:rPr>
          <w:rFonts w:hint="cs"/>
          <w:rtl/>
        </w:rPr>
        <w:t>و</w:t>
      </w:r>
      <w:r w:rsidRPr="005A0BBE">
        <w:rPr>
          <w:rtl/>
        </w:rPr>
        <w:t xml:space="preserve"> صلة ثقافي</w:t>
      </w:r>
      <w:r w:rsidRPr="005A0BBE">
        <w:rPr>
          <w:rFonts w:hint="cs"/>
          <w:rtl/>
        </w:rPr>
        <w:t>ة مناسبة و</w:t>
      </w:r>
      <w:r w:rsidRPr="005A0BBE">
        <w:rPr>
          <w:rtl/>
        </w:rPr>
        <w:t xml:space="preserve">يمكن </w:t>
      </w:r>
      <w:r w:rsidRPr="005A0BBE">
        <w:rPr>
          <w:rFonts w:hint="cs"/>
          <w:rtl/>
        </w:rPr>
        <w:t xml:space="preserve">أن </w:t>
      </w:r>
      <w:r w:rsidRPr="005A0BBE">
        <w:rPr>
          <w:rtl/>
        </w:rPr>
        <w:t xml:space="preserve">تقدم المجتمعات </w:t>
      </w:r>
      <w:r w:rsidRPr="005A0BBE">
        <w:rPr>
          <w:rFonts w:hint="cs"/>
          <w:rtl/>
        </w:rPr>
        <w:t>المستلمة</w:t>
      </w:r>
      <w:r w:rsidRPr="005A0BBE">
        <w:rPr>
          <w:rtl/>
        </w:rPr>
        <w:t xml:space="preserve"> مشورة </w:t>
      </w:r>
      <w:r w:rsidRPr="005A0BBE">
        <w:rPr>
          <w:rFonts w:hint="cs"/>
          <w:rtl/>
        </w:rPr>
        <w:t>في هذا ال</w:t>
      </w:r>
      <w:r w:rsidRPr="005A0BBE">
        <w:rPr>
          <w:rtl/>
        </w:rPr>
        <w:t>شأن.</w:t>
      </w:r>
      <w:r w:rsidRPr="005A0BBE">
        <w:rPr>
          <w:vertAlign w:val="superscript"/>
          <w:rtl/>
        </w:rPr>
        <w:footnoteReference w:id="214"/>
      </w:r>
    </w:p>
    <w:p w:rsidR="00EE0FD7" w:rsidRPr="005A0BBE" w:rsidRDefault="00EE0FD7" w:rsidP="00E85EEB">
      <w:pPr>
        <w:jc w:val="center"/>
        <w:rPr>
          <w:b/>
          <w:bCs/>
          <w:rtl/>
        </w:rPr>
      </w:pPr>
      <w:r w:rsidRPr="005A0BBE">
        <w:rPr>
          <w:b/>
          <w:bCs/>
          <w:rtl/>
        </w:rPr>
        <w:t>جيم</w:t>
      </w:r>
      <w:r w:rsidRPr="005A0BBE">
        <w:rPr>
          <w:rFonts w:hint="cs"/>
          <w:b/>
          <w:bCs/>
          <w:rtl/>
        </w:rPr>
        <w:t>-</w:t>
      </w:r>
      <w:r w:rsidRPr="005A0BBE">
        <w:rPr>
          <w:rFonts w:hint="cs"/>
          <w:b/>
          <w:bCs/>
          <w:rtl/>
        </w:rPr>
        <w:tab/>
      </w:r>
      <w:r w:rsidRPr="005A0BBE">
        <w:rPr>
          <w:b/>
          <w:bCs/>
          <w:rtl/>
        </w:rPr>
        <w:t>الآليات التي قد تساعد في إعادة توطين المعارف التقليدية</w:t>
      </w:r>
    </w:p>
    <w:p w:rsidR="00EE0FD7" w:rsidRPr="005A0BBE" w:rsidRDefault="00EE0FD7" w:rsidP="00EE0FD7">
      <w:pPr>
        <w:jc w:val="center"/>
        <w:rPr>
          <w:i/>
          <w:iCs/>
          <w:rtl/>
        </w:rPr>
      </w:pPr>
      <w:r w:rsidRPr="005A0BBE">
        <w:rPr>
          <w:rFonts w:hint="cs"/>
          <w:i/>
          <w:iCs/>
          <w:rtl/>
        </w:rPr>
        <w:t>1-</w:t>
      </w:r>
      <w:r w:rsidRPr="005A0BBE">
        <w:rPr>
          <w:rFonts w:hint="cs"/>
          <w:i/>
          <w:iCs/>
          <w:rtl/>
        </w:rPr>
        <w:tab/>
      </w:r>
      <w:r w:rsidRPr="005A0BBE">
        <w:rPr>
          <w:i/>
          <w:iCs/>
          <w:rtl/>
        </w:rPr>
        <w:t>عمليات التبادل فيما بين المجتمعات</w:t>
      </w:r>
    </w:p>
    <w:p w:rsidR="00EE0FD7" w:rsidRPr="005A0BBE" w:rsidRDefault="00EE0FD7" w:rsidP="00EE0FD7">
      <w:pPr>
        <w:rPr>
          <w:rtl/>
        </w:rPr>
      </w:pPr>
      <w:r w:rsidRPr="005A0BBE">
        <w:rPr>
          <w:rFonts w:hint="cs"/>
          <w:rtl/>
        </w:rPr>
        <w:t>57-</w:t>
      </w:r>
      <w:r w:rsidRPr="005A0BBE">
        <w:rPr>
          <w:rFonts w:hint="cs"/>
          <w:rtl/>
        </w:rPr>
        <w:tab/>
      </w:r>
      <w:r w:rsidRPr="005A0BBE">
        <w:rPr>
          <w:rtl/>
        </w:rPr>
        <w:t xml:space="preserve">بصفة عامة، تتيح </w:t>
      </w:r>
      <w:r w:rsidRPr="005A0BBE">
        <w:rPr>
          <w:i/>
          <w:iCs/>
          <w:rtl/>
        </w:rPr>
        <w:t>عمليات التبادل فيما بين المجتمعات</w:t>
      </w:r>
      <w:r w:rsidRPr="005A0BBE">
        <w:rPr>
          <w:rtl/>
        </w:rPr>
        <w:t xml:space="preserve"> </w:t>
      </w:r>
      <w:r w:rsidRPr="005A0BBE">
        <w:rPr>
          <w:rFonts w:hint="cs"/>
          <w:rtl/>
        </w:rPr>
        <w:t>ل</w:t>
      </w:r>
      <w:r w:rsidRPr="005A0BBE">
        <w:rPr>
          <w:rtl/>
        </w:rPr>
        <w:t xml:space="preserve">لمجتمعات التي احتفظت بمعارفها التقليدية أن تتقاسمها مع المجتمعات الأخرى التي فقدت معارفها التقليدية، وأن </w:t>
      </w:r>
      <w:r w:rsidRPr="005A0BBE">
        <w:rPr>
          <w:rFonts w:hint="cs"/>
          <w:rtl/>
        </w:rPr>
        <w:t>تقوم</w:t>
      </w:r>
      <w:r w:rsidRPr="005A0BBE">
        <w:rPr>
          <w:rtl/>
        </w:rPr>
        <w:t xml:space="preserve"> ذلك ب</w:t>
      </w:r>
      <w:r>
        <w:rPr>
          <w:rFonts w:hint="cs"/>
          <w:rtl/>
        </w:rPr>
        <w:t>وسائل</w:t>
      </w:r>
      <w:r w:rsidRPr="005A0BBE">
        <w:rPr>
          <w:rtl/>
        </w:rPr>
        <w:t xml:space="preserve"> ملائمة ثقافيا.</w:t>
      </w:r>
    </w:p>
    <w:p w:rsidR="00EE0FD7" w:rsidRPr="005A0BBE" w:rsidRDefault="00EE0FD7" w:rsidP="00EE0FD7">
      <w:pPr>
        <w:rPr>
          <w:rtl/>
        </w:rPr>
      </w:pPr>
      <w:r w:rsidRPr="005A0BBE">
        <w:rPr>
          <w:rFonts w:hint="cs"/>
          <w:rtl/>
        </w:rPr>
        <w:t>58-</w:t>
      </w:r>
      <w:r w:rsidRPr="005A0BBE">
        <w:rPr>
          <w:rFonts w:hint="cs"/>
          <w:rtl/>
        </w:rPr>
        <w:tab/>
      </w:r>
      <w:r w:rsidRPr="005A0BBE">
        <w:rPr>
          <w:rtl/>
        </w:rPr>
        <w:t xml:space="preserve">وتزداد شعبية ونجاح عمليات التبادل فيما بين المجتمعات من أجل استعادة </w:t>
      </w:r>
      <w:r w:rsidRPr="005A0BBE">
        <w:rPr>
          <w:rFonts w:hint="cs"/>
          <w:rtl/>
        </w:rPr>
        <w:t>المعارف</w:t>
      </w:r>
      <w:r w:rsidRPr="005A0BBE">
        <w:rPr>
          <w:rtl/>
        </w:rPr>
        <w:t xml:space="preserve">، ويمكن أن </w:t>
      </w:r>
      <w:r w:rsidRPr="005A0BBE">
        <w:rPr>
          <w:rFonts w:hint="cs"/>
          <w:rtl/>
        </w:rPr>
        <w:t>تغطي</w:t>
      </w:r>
      <w:r w:rsidRPr="005A0BBE">
        <w:rPr>
          <w:rtl/>
        </w:rPr>
        <w:t xml:space="preserve"> مسائل مثل إدارة الحرائق، وإدارة المياه، ومناطق </w:t>
      </w:r>
      <w:r w:rsidRPr="005A0BBE">
        <w:rPr>
          <w:rFonts w:hint="cs"/>
          <w:rtl/>
        </w:rPr>
        <w:t>ال</w:t>
      </w:r>
      <w:r w:rsidRPr="005A0BBE">
        <w:rPr>
          <w:rtl/>
        </w:rPr>
        <w:t>حفظ المجتمعية، و</w:t>
      </w:r>
      <w:r w:rsidRPr="005A0BBE">
        <w:rPr>
          <w:rFonts w:hint="cs"/>
          <w:rtl/>
        </w:rPr>
        <w:t>ال</w:t>
      </w:r>
      <w:r w:rsidRPr="005A0BBE">
        <w:rPr>
          <w:rtl/>
        </w:rPr>
        <w:t xml:space="preserve">حفظ </w:t>
      </w:r>
      <w:r w:rsidRPr="005A0BBE">
        <w:rPr>
          <w:rFonts w:hint="cs"/>
          <w:rtl/>
        </w:rPr>
        <w:t xml:space="preserve">داخل الموقع </w:t>
      </w:r>
      <w:r w:rsidRPr="005A0BBE">
        <w:rPr>
          <w:rtl/>
        </w:rPr>
        <w:t>الطبيع</w:t>
      </w:r>
      <w:r w:rsidRPr="005A0BBE">
        <w:rPr>
          <w:rFonts w:hint="cs"/>
          <w:rtl/>
        </w:rPr>
        <w:t>ي</w:t>
      </w:r>
      <w:r w:rsidRPr="005A0BBE">
        <w:rPr>
          <w:rtl/>
        </w:rPr>
        <w:t xml:space="preserve"> (</w:t>
      </w:r>
      <w:r w:rsidRPr="005A0BBE">
        <w:rPr>
          <w:rFonts w:hint="cs"/>
          <w:rtl/>
        </w:rPr>
        <w:t>ل</w:t>
      </w:r>
      <w:r w:rsidRPr="005A0BBE">
        <w:rPr>
          <w:rtl/>
        </w:rPr>
        <w:t>لنظم الغذائية التقليدية، وصحة الإنسان ورفاه</w:t>
      </w:r>
      <w:r w:rsidRPr="005A0BBE">
        <w:rPr>
          <w:rFonts w:hint="cs"/>
          <w:rtl/>
        </w:rPr>
        <w:t>يت</w:t>
      </w:r>
      <w:r w:rsidRPr="005A0BBE">
        <w:rPr>
          <w:rtl/>
        </w:rPr>
        <w:t>ه)</w:t>
      </w:r>
      <w:r w:rsidRPr="005A0BBE">
        <w:rPr>
          <w:rFonts w:hint="cs"/>
          <w:rtl/>
        </w:rPr>
        <w:t>،</w:t>
      </w:r>
      <w:r w:rsidRPr="005A0BBE">
        <w:rPr>
          <w:rtl/>
        </w:rPr>
        <w:t xml:space="preserve"> ورسم خرائط </w:t>
      </w:r>
      <w:r w:rsidRPr="005A0BBE">
        <w:rPr>
          <w:rFonts w:hint="cs"/>
          <w:rtl/>
        </w:rPr>
        <w:t>ال</w:t>
      </w:r>
      <w:r w:rsidRPr="005A0BBE">
        <w:rPr>
          <w:rtl/>
        </w:rPr>
        <w:t xml:space="preserve">موارد المجتمعية ورصدها، ونظم الإدارة المستدامة </w:t>
      </w:r>
      <w:r w:rsidRPr="005A0BBE">
        <w:rPr>
          <w:rFonts w:hint="cs"/>
          <w:rtl/>
        </w:rPr>
        <w:t>للتنوع البيولوجي</w:t>
      </w:r>
      <w:r w:rsidRPr="005A0BBE">
        <w:rPr>
          <w:rtl/>
        </w:rPr>
        <w:t>،</w:t>
      </w:r>
      <w:r w:rsidRPr="005A0BBE">
        <w:rPr>
          <w:rFonts w:hint="cs"/>
          <w:rtl/>
        </w:rPr>
        <w:t xml:space="preserve"> بما في ذلك النظم المستدامة لصيد الحيوانات والجمع،</w:t>
      </w:r>
      <w:r w:rsidRPr="005A0BBE">
        <w:rPr>
          <w:rtl/>
        </w:rPr>
        <w:t xml:space="preserve"> وأنشطة التراث الثقافي، ورصد صحة الأنواع والموائل، ودوريات الامتثال والتدريب وتقديم المشورة لمديري الأراضي و</w:t>
      </w:r>
      <w:r w:rsidRPr="005A0BBE">
        <w:rPr>
          <w:rFonts w:hint="cs"/>
          <w:rtl/>
        </w:rPr>
        <w:t xml:space="preserve">المناطق </w:t>
      </w:r>
      <w:r w:rsidRPr="005A0BBE">
        <w:rPr>
          <w:rtl/>
        </w:rPr>
        <w:t>البحرية بشأن استراتيجيات تعزيز حماية المناطق المحمية وإدارتها.</w:t>
      </w:r>
    </w:p>
    <w:p w:rsidR="00EE0FD7" w:rsidRPr="005A0BBE" w:rsidRDefault="00EE0FD7" w:rsidP="00EE0FD7">
      <w:pPr>
        <w:rPr>
          <w:rtl/>
        </w:rPr>
      </w:pPr>
      <w:r w:rsidRPr="005A0BBE">
        <w:rPr>
          <w:rFonts w:hint="cs"/>
          <w:rtl/>
        </w:rPr>
        <w:t>59-</w:t>
      </w:r>
      <w:r w:rsidRPr="005A0BBE">
        <w:rPr>
          <w:rFonts w:hint="cs"/>
          <w:rtl/>
        </w:rPr>
        <w:tab/>
      </w:r>
      <w:r w:rsidRPr="005A0BBE">
        <w:rPr>
          <w:rtl/>
        </w:rPr>
        <w:t>ومن خلال عمليات التبادل فيما بين المجتمعات، ت</w:t>
      </w:r>
      <w:r w:rsidRPr="005A0BBE">
        <w:rPr>
          <w:rFonts w:hint="cs"/>
          <w:rtl/>
        </w:rPr>
        <w:t>ُ</w:t>
      </w:r>
      <w:r w:rsidRPr="005A0BBE">
        <w:rPr>
          <w:rtl/>
        </w:rPr>
        <w:t xml:space="preserve">شجع المجتمعات التي </w:t>
      </w:r>
      <w:r w:rsidRPr="005A0BBE">
        <w:rPr>
          <w:rFonts w:hint="cs"/>
          <w:rtl/>
        </w:rPr>
        <w:t>لا تزال</w:t>
      </w:r>
      <w:r w:rsidRPr="005A0BBE">
        <w:rPr>
          <w:rtl/>
        </w:rPr>
        <w:t xml:space="preserve"> معارفها التقليدية </w:t>
      </w:r>
      <w:r w:rsidRPr="005A0BBE">
        <w:rPr>
          <w:rFonts w:hint="cs"/>
          <w:rtl/>
        </w:rPr>
        <w:t xml:space="preserve">بحالة جيدة </w:t>
      </w:r>
      <w:r w:rsidRPr="005A0BBE">
        <w:rPr>
          <w:rtl/>
        </w:rPr>
        <w:t>على تقاسم</w:t>
      </w:r>
      <w:r w:rsidRPr="005A0BBE">
        <w:rPr>
          <w:rFonts w:hint="cs"/>
          <w:rtl/>
        </w:rPr>
        <w:t>ها</w:t>
      </w:r>
      <w:r w:rsidRPr="005A0BBE">
        <w:rPr>
          <w:rtl/>
        </w:rPr>
        <w:t xml:space="preserve"> ومساعدة المجتمعات الأخرى </w:t>
      </w:r>
      <w:r w:rsidRPr="005A0BBE">
        <w:rPr>
          <w:rFonts w:hint="cs"/>
          <w:rtl/>
        </w:rPr>
        <w:t>في</w:t>
      </w:r>
      <w:r w:rsidRPr="005A0BBE">
        <w:rPr>
          <w:rtl/>
        </w:rPr>
        <w:t xml:space="preserve"> استعادة معارفها التقليدية، بما في ذلك في الحالات العابرة للحدود، و</w:t>
      </w:r>
      <w:r w:rsidRPr="005A0BBE">
        <w:rPr>
          <w:rFonts w:hint="cs"/>
          <w:rtl/>
        </w:rPr>
        <w:t>أن تقوم</w:t>
      </w:r>
      <w:r w:rsidRPr="005A0BBE">
        <w:rPr>
          <w:rtl/>
        </w:rPr>
        <w:t xml:space="preserve"> بذلك ب</w:t>
      </w:r>
      <w:r>
        <w:rPr>
          <w:rFonts w:hint="cs"/>
          <w:rtl/>
        </w:rPr>
        <w:t>وسائل</w:t>
      </w:r>
      <w:r w:rsidRPr="005A0BBE">
        <w:rPr>
          <w:rtl/>
        </w:rPr>
        <w:t xml:space="preserve"> ملائمة ثقافيا.</w:t>
      </w:r>
      <w:r w:rsidRPr="005A0BBE">
        <w:rPr>
          <w:rFonts w:hint="cs"/>
          <w:rtl/>
        </w:rPr>
        <w:t xml:space="preserve"> وينبغي تشجيع دعم عمليات التبادل والتعلم فيما بين المجتمعات من أجل إعادة توطين المعارف التقليدية واستعادتها.</w:t>
      </w:r>
    </w:p>
    <w:p w:rsidR="00EE0FD7" w:rsidRPr="005A0BBE" w:rsidRDefault="00EE0FD7" w:rsidP="00EE0FD7">
      <w:pPr>
        <w:rPr>
          <w:rtl/>
        </w:rPr>
      </w:pPr>
      <w:r>
        <w:rPr>
          <w:rFonts w:hint="cs"/>
          <w:rtl/>
        </w:rPr>
        <w:t>60-</w:t>
      </w:r>
      <w:r>
        <w:rPr>
          <w:rFonts w:hint="cs"/>
          <w:rtl/>
        </w:rPr>
        <w:tab/>
      </w:r>
      <w:r w:rsidRPr="005A0BBE">
        <w:rPr>
          <w:rFonts w:hint="cs"/>
          <w:rtl/>
        </w:rPr>
        <w:t>ويُنظر إلى</w:t>
      </w:r>
      <w:r w:rsidRPr="005A0BBE">
        <w:rPr>
          <w:rtl/>
        </w:rPr>
        <w:t xml:space="preserve"> عمليات التبادل فيما بين المجتمعات من أجل إعادة توطين </w:t>
      </w:r>
      <w:r w:rsidRPr="005A0BBE">
        <w:rPr>
          <w:rFonts w:hint="cs"/>
          <w:rtl/>
        </w:rPr>
        <w:t xml:space="preserve">واستلام </w:t>
      </w:r>
      <w:r w:rsidRPr="005A0BBE">
        <w:rPr>
          <w:rtl/>
        </w:rPr>
        <w:t xml:space="preserve">واستعادة المعارف التقليدية ذات الصلة بحفظ التنوع البيولوجي واستخدامه المستدام، </w:t>
      </w:r>
      <w:r w:rsidRPr="005A0BBE">
        <w:rPr>
          <w:rFonts w:hint="cs"/>
          <w:rtl/>
        </w:rPr>
        <w:t xml:space="preserve">على أنها </w:t>
      </w:r>
      <w:r w:rsidRPr="005A0BBE">
        <w:rPr>
          <w:rtl/>
        </w:rPr>
        <w:t xml:space="preserve">أفضل ممارسة لإعادة التوطين واستعادة المعارف. ويتم تشجيع المهتمين أو المشاركين في عملية إعادة التوطين على </w:t>
      </w:r>
      <w:r w:rsidRPr="005A0BBE">
        <w:rPr>
          <w:rFonts w:hint="cs"/>
          <w:rtl/>
        </w:rPr>
        <w:t>وضع</w:t>
      </w:r>
      <w:r w:rsidRPr="005A0BBE">
        <w:rPr>
          <w:rtl/>
        </w:rPr>
        <w:t xml:space="preserve"> هذا الأمر </w:t>
      </w:r>
      <w:r w:rsidRPr="005A0BBE">
        <w:rPr>
          <w:rFonts w:hint="cs"/>
          <w:rtl/>
        </w:rPr>
        <w:t>في</w:t>
      </w:r>
      <w:r w:rsidRPr="005A0BBE">
        <w:rPr>
          <w:rtl/>
        </w:rPr>
        <w:t xml:space="preserve"> الاعتبار، وحيثما يكون ذلك ممكنا وملائما، </w:t>
      </w:r>
      <w:r w:rsidRPr="005A0BBE">
        <w:rPr>
          <w:rFonts w:hint="cs"/>
          <w:rtl/>
        </w:rPr>
        <w:t>دعم</w:t>
      </w:r>
      <w:r w:rsidRPr="005A0BBE">
        <w:rPr>
          <w:rtl/>
        </w:rPr>
        <w:t xml:space="preserve"> المبادرات التي </w:t>
      </w:r>
      <w:r w:rsidRPr="005A0BBE">
        <w:rPr>
          <w:rFonts w:hint="cs"/>
          <w:rtl/>
        </w:rPr>
        <w:t>ت</w:t>
      </w:r>
      <w:r w:rsidRPr="005A0BBE">
        <w:rPr>
          <w:rtl/>
        </w:rPr>
        <w:t>قودها المجتمع</w:t>
      </w:r>
      <w:r w:rsidRPr="005A0BBE">
        <w:rPr>
          <w:rFonts w:hint="cs"/>
          <w:rtl/>
        </w:rPr>
        <w:t>ات المحلية</w:t>
      </w:r>
      <w:r w:rsidRPr="005A0BBE">
        <w:rPr>
          <w:rtl/>
        </w:rPr>
        <w:t>.</w:t>
      </w:r>
    </w:p>
    <w:p w:rsidR="00EE0FD7" w:rsidRPr="005A0BBE" w:rsidRDefault="00EE0FD7" w:rsidP="00EE0FD7">
      <w:pPr>
        <w:rPr>
          <w:rtl/>
        </w:rPr>
      </w:pPr>
      <w:r w:rsidRPr="005A0BBE">
        <w:rPr>
          <w:rFonts w:hint="cs"/>
          <w:rtl/>
        </w:rPr>
        <w:t>61-</w:t>
      </w:r>
      <w:r w:rsidRPr="005A0BBE">
        <w:rPr>
          <w:rFonts w:hint="cs"/>
          <w:rtl/>
        </w:rPr>
        <w:tab/>
      </w:r>
      <w:r w:rsidRPr="005A0BBE">
        <w:rPr>
          <w:rtl/>
        </w:rPr>
        <w:t>و</w:t>
      </w:r>
      <w:r w:rsidRPr="005A0BBE">
        <w:rPr>
          <w:rFonts w:hint="cs"/>
          <w:rtl/>
        </w:rPr>
        <w:t xml:space="preserve">تعتبر </w:t>
      </w:r>
      <w:r w:rsidRPr="005A0BBE">
        <w:rPr>
          <w:i/>
          <w:iCs/>
          <w:rtl/>
        </w:rPr>
        <w:t xml:space="preserve">اتفاقات </w:t>
      </w:r>
      <w:r w:rsidRPr="005A0BBE">
        <w:rPr>
          <w:rFonts w:hint="cs"/>
          <w:i/>
          <w:iCs/>
          <w:rtl/>
        </w:rPr>
        <w:t>ال</w:t>
      </w:r>
      <w:r w:rsidRPr="005A0BBE">
        <w:rPr>
          <w:i/>
          <w:iCs/>
          <w:rtl/>
        </w:rPr>
        <w:t xml:space="preserve">استخدام </w:t>
      </w:r>
      <w:r w:rsidRPr="005A0BBE">
        <w:rPr>
          <w:rFonts w:hint="cs"/>
          <w:i/>
          <w:iCs/>
          <w:rtl/>
        </w:rPr>
        <w:t>ال</w:t>
      </w:r>
      <w:r w:rsidRPr="005A0BBE">
        <w:rPr>
          <w:i/>
          <w:iCs/>
          <w:rtl/>
        </w:rPr>
        <w:t>تقليدي</w:t>
      </w:r>
      <w:r w:rsidRPr="005A0BBE">
        <w:rPr>
          <w:rtl/>
        </w:rPr>
        <w:t xml:space="preserve"> بين المجتمعات التي تتقاسم موارد أو نظم إيكولوجية مشتركة</w:t>
      </w:r>
      <w:r w:rsidRPr="005A0BBE">
        <w:rPr>
          <w:rFonts w:hint="cs"/>
          <w:rtl/>
        </w:rPr>
        <w:t xml:space="preserve"> تكميلية لعمليات </w:t>
      </w:r>
      <w:r w:rsidRPr="005A0BBE">
        <w:rPr>
          <w:rtl/>
        </w:rPr>
        <w:t>التبادل فيما بين المجتمعات. وي</w:t>
      </w:r>
      <w:r>
        <w:rPr>
          <w:rtl/>
        </w:rPr>
        <w:t>مكن لاتفاقات الاستخدام التقليدي</w:t>
      </w:r>
      <w:r w:rsidRPr="005A0BBE">
        <w:rPr>
          <w:rtl/>
        </w:rPr>
        <w:t xml:space="preserve"> أن تساعد في ضمان </w:t>
      </w:r>
      <w:r w:rsidRPr="005A0BBE">
        <w:rPr>
          <w:rFonts w:hint="cs"/>
          <w:rtl/>
        </w:rPr>
        <w:t>ال</w:t>
      </w:r>
      <w:r w:rsidRPr="005A0BBE">
        <w:rPr>
          <w:rtl/>
        </w:rPr>
        <w:t xml:space="preserve">فهم </w:t>
      </w:r>
      <w:r w:rsidRPr="005A0BBE">
        <w:rPr>
          <w:rFonts w:hint="cs"/>
          <w:rtl/>
        </w:rPr>
        <w:t>ال</w:t>
      </w:r>
      <w:r w:rsidRPr="005A0BBE">
        <w:rPr>
          <w:rtl/>
        </w:rPr>
        <w:t>م</w:t>
      </w:r>
      <w:r w:rsidRPr="005A0BBE">
        <w:rPr>
          <w:rFonts w:hint="cs"/>
          <w:rtl/>
        </w:rPr>
        <w:t>وحد</w:t>
      </w:r>
      <w:r w:rsidRPr="005A0BBE">
        <w:rPr>
          <w:rtl/>
        </w:rPr>
        <w:t xml:space="preserve"> للقوانين العرفية، بما في ذلك المعارف التقليدية والحقوق والالتزامات ذات الصلة عبر مختلف المجموعات التي تشغل منطقة مشتركة أو نظاما </w:t>
      </w:r>
      <w:r w:rsidRPr="005A0BBE">
        <w:rPr>
          <w:rFonts w:hint="cs"/>
          <w:rtl/>
        </w:rPr>
        <w:t>إيكولوجيا</w:t>
      </w:r>
      <w:r w:rsidRPr="005A0BBE">
        <w:rPr>
          <w:rtl/>
        </w:rPr>
        <w:t xml:space="preserve"> و/أو </w:t>
      </w:r>
      <w:r w:rsidRPr="005A0BBE">
        <w:rPr>
          <w:rFonts w:hint="cs"/>
          <w:rtl/>
        </w:rPr>
        <w:t>تتقاسم</w:t>
      </w:r>
      <w:r w:rsidRPr="005A0BBE">
        <w:rPr>
          <w:rtl/>
        </w:rPr>
        <w:t xml:space="preserve"> موارد طبيعية أو بيولوجية مشتركة، وتساعد بذلك على استعادة المعارف التقليدية </w:t>
      </w:r>
      <w:r w:rsidRPr="005A0BBE">
        <w:rPr>
          <w:rFonts w:hint="cs"/>
          <w:rtl/>
        </w:rPr>
        <w:t>الخاصة ب</w:t>
      </w:r>
      <w:r w:rsidRPr="005A0BBE">
        <w:rPr>
          <w:rtl/>
        </w:rPr>
        <w:t xml:space="preserve">الاستخدام المستدام للموارد الطبيعية أو البيولوجية المشتركة والنظم الإيكولوجية </w:t>
      </w:r>
      <w:r w:rsidRPr="005A0BBE">
        <w:rPr>
          <w:rFonts w:hint="cs"/>
          <w:rtl/>
        </w:rPr>
        <w:t>المتقاسمة</w:t>
      </w:r>
      <w:r w:rsidRPr="005A0BBE">
        <w:rPr>
          <w:rtl/>
        </w:rPr>
        <w:t xml:space="preserve">. وتصف هذه الاتفاقات كيف ستدير كل مجموعة مواردها الطبيعية، فضلا عن أدوارها في أنشطة الامتثال وفي رصد </w:t>
      </w:r>
      <w:r w:rsidRPr="005A0BBE">
        <w:rPr>
          <w:rFonts w:hint="cs"/>
          <w:rtl/>
        </w:rPr>
        <w:t>الأوضاع</w:t>
      </w:r>
      <w:r w:rsidRPr="005A0BBE">
        <w:rPr>
          <w:rtl/>
        </w:rPr>
        <w:t xml:space="preserve"> البيئية. </w:t>
      </w:r>
      <w:r w:rsidRPr="005A0BBE">
        <w:rPr>
          <w:rFonts w:hint="cs"/>
          <w:rtl/>
        </w:rPr>
        <w:t>وبالتالي</w:t>
      </w:r>
      <w:r w:rsidRPr="005A0BBE">
        <w:rPr>
          <w:rtl/>
        </w:rPr>
        <w:t xml:space="preserve">، يمكن أن تسهم اتفاقات الاستخدام التقليدي في إعادة </w:t>
      </w:r>
      <w:r w:rsidRPr="005A0BBE">
        <w:rPr>
          <w:rFonts w:hint="cs"/>
          <w:rtl/>
        </w:rPr>
        <w:t>توطين ا</w:t>
      </w:r>
      <w:r w:rsidRPr="005A0BBE">
        <w:rPr>
          <w:rtl/>
        </w:rPr>
        <w:t xml:space="preserve">لمعارف التقليدية </w:t>
      </w:r>
      <w:r w:rsidRPr="005A0BBE">
        <w:rPr>
          <w:rFonts w:hint="cs"/>
          <w:rtl/>
        </w:rPr>
        <w:t xml:space="preserve">من جانب </w:t>
      </w:r>
      <w:r w:rsidRPr="005A0BBE">
        <w:rPr>
          <w:rtl/>
        </w:rPr>
        <w:t>المجتمعات المحلية، بهدف استعادة نظم المعارف عبر النظم الإيكولوجية المشتركة.</w:t>
      </w:r>
    </w:p>
    <w:p w:rsidR="00EE0FD7" w:rsidRPr="005A0BBE" w:rsidRDefault="00EE0FD7" w:rsidP="00EE0FD7">
      <w:pPr>
        <w:jc w:val="center"/>
        <w:rPr>
          <w:i/>
          <w:iCs/>
          <w:rtl/>
        </w:rPr>
      </w:pPr>
      <w:r w:rsidRPr="005A0BBE">
        <w:rPr>
          <w:rFonts w:hint="cs"/>
          <w:i/>
          <w:iCs/>
          <w:rtl/>
        </w:rPr>
        <w:t>2-</w:t>
      </w:r>
      <w:r w:rsidRPr="005A0BBE">
        <w:rPr>
          <w:rFonts w:hint="cs"/>
          <w:i/>
          <w:iCs/>
          <w:rtl/>
        </w:rPr>
        <w:tab/>
        <w:t>منابر</w:t>
      </w:r>
      <w:r w:rsidRPr="005A0BBE">
        <w:rPr>
          <w:i/>
          <w:iCs/>
          <w:rtl/>
        </w:rPr>
        <w:t xml:space="preserve"> تقاسم </w:t>
      </w:r>
      <w:r w:rsidRPr="005A0BBE">
        <w:rPr>
          <w:rFonts w:hint="cs"/>
          <w:i/>
          <w:iCs/>
          <w:rtl/>
        </w:rPr>
        <w:t>المعارف</w:t>
      </w:r>
    </w:p>
    <w:p w:rsidR="00EE0FD7" w:rsidRPr="005A0BBE" w:rsidRDefault="00EE0FD7" w:rsidP="00EE0FD7">
      <w:pPr>
        <w:rPr>
          <w:rtl/>
        </w:rPr>
      </w:pPr>
      <w:r w:rsidRPr="005A0BBE">
        <w:rPr>
          <w:rFonts w:hint="cs"/>
          <w:rtl/>
        </w:rPr>
        <w:t>62-</w:t>
      </w:r>
      <w:r w:rsidRPr="005A0BBE">
        <w:rPr>
          <w:rFonts w:hint="cs"/>
          <w:rtl/>
        </w:rPr>
        <w:tab/>
      </w:r>
      <w:r w:rsidRPr="005A0BBE">
        <w:rPr>
          <w:rtl/>
        </w:rPr>
        <w:t xml:space="preserve">قد ترغب الأطراف والمؤسسات والكيانات المهتمة بإعادة توطين المعارف والشعوب الأصلية والمجتمعات المحلية في النظر في إنشاء منابر وطنية أو محلية لتقاسم المعارف على المستويات </w:t>
      </w:r>
      <w:r w:rsidRPr="005A0BBE">
        <w:rPr>
          <w:rFonts w:hint="cs"/>
          <w:rtl/>
        </w:rPr>
        <w:t>والنطاقات</w:t>
      </w:r>
      <w:r w:rsidRPr="005A0BBE">
        <w:rPr>
          <w:rtl/>
        </w:rPr>
        <w:t xml:space="preserve"> ذات الصلة،</w:t>
      </w:r>
      <w:r w:rsidRPr="005A0BBE">
        <w:rPr>
          <w:rFonts w:hint="cs"/>
          <w:rtl/>
        </w:rPr>
        <w:t xml:space="preserve"> مع أخذ القوانين العرفية بعين </w:t>
      </w:r>
      <w:r w:rsidRPr="005A0BBE">
        <w:rPr>
          <w:rFonts w:hint="cs"/>
          <w:rtl/>
        </w:rPr>
        <w:lastRenderedPageBreak/>
        <w:t>الاعتبار،</w:t>
      </w:r>
      <w:r w:rsidRPr="005A0BBE">
        <w:rPr>
          <w:rtl/>
        </w:rPr>
        <w:t xml:space="preserve"> بما في ذلك برامج ال</w:t>
      </w:r>
      <w:r>
        <w:rPr>
          <w:rFonts w:hint="cs"/>
          <w:rtl/>
        </w:rPr>
        <w:t>رصد</w:t>
      </w:r>
      <w:r>
        <w:rPr>
          <w:rtl/>
        </w:rPr>
        <w:t xml:space="preserve"> المجتمعي</w:t>
      </w:r>
      <w:r w:rsidRPr="005A0BBE">
        <w:rPr>
          <w:rtl/>
        </w:rPr>
        <w:t xml:space="preserve"> الرامية إلى تحسين الإدارة المستدامة </w:t>
      </w:r>
      <w:r w:rsidRPr="005A0BBE">
        <w:rPr>
          <w:rFonts w:hint="cs"/>
          <w:rtl/>
        </w:rPr>
        <w:t>ل</w:t>
      </w:r>
      <w:r w:rsidRPr="005A0BBE">
        <w:rPr>
          <w:rtl/>
        </w:rPr>
        <w:t xml:space="preserve">لموارد الطبيعية. ويمكن أن يساعد ذلك المجتمعات التي </w:t>
      </w:r>
      <w:r w:rsidRPr="005A0BBE">
        <w:rPr>
          <w:rFonts w:hint="cs"/>
          <w:rtl/>
        </w:rPr>
        <w:t>تتقاسم</w:t>
      </w:r>
      <w:r w:rsidRPr="005A0BBE">
        <w:rPr>
          <w:rtl/>
        </w:rPr>
        <w:t xml:space="preserve"> النظم الإيكولوجية والموارد الطبيعية والبيولوجية في </w:t>
      </w:r>
      <w:r w:rsidRPr="005A0BBE">
        <w:rPr>
          <w:rFonts w:hint="cs"/>
          <w:rtl/>
        </w:rPr>
        <w:t>التوصل إلى</w:t>
      </w:r>
      <w:r w:rsidRPr="005A0BBE">
        <w:rPr>
          <w:rtl/>
        </w:rPr>
        <w:t xml:space="preserve"> فهم مشترك للقوانين العرفية والمعارف التقليدية ذات الصلة من أجل ضمان الاستخدام المستدام.</w:t>
      </w:r>
    </w:p>
    <w:p w:rsidR="00EE0FD7" w:rsidRPr="005A0BBE" w:rsidRDefault="00EE0FD7" w:rsidP="00EE0FD7">
      <w:pPr>
        <w:rPr>
          <w:rtl/>
        </w:rPr>
      </w:pPr>
      <w:r w:rsidRPr="005A0BBE">
        <w:rPr>
          <w:rFonts w:hint="cs"/>
          <w:rtl/>
        </w:rPr>
        <w:t>63-</w:t>
      </w:r>
      <w:r w:rsidRPr="005A0BBE">
        <w:rPr>
          <w:rFonts w:hint="cs"/>
          <w:rtl/>
        </w:rPr>
        <w:tab/>
      </w:r>
      <w:r w:rsidRPr="005A0BBE">
        <w:rPr>
          <w:rtl/>
        </w:rPr>
        <w:t xml:space="preserve">ويمكن للمعارف التقليدية جنبا إلى جنب مع </w:t>
      </w:r>
      <w:r w:rsidRPr="005A0BBE">
        <w:rPr>
          <w:rFonts w:hint="cs"/>
          <w:rtl/>
        </w:rPr>
        <w:t>مشاهدات</w:t>
      </w:r>
      <w:r w:rsidRPr="005A0BBE">
        <w:rPr>
          <w:rtl/>
        </w:rPr>
        <w:t xml:space="preserve"> المجتمعات أن ت</w:t>
      </w:r>
      <w:r w:rsidRPr="005A0BBE">
        <w:rPr>
          <w:rFonts w:hint="cs"/>
          <w:rtl/>
        </w:rPr>
        <w:t>ُ</w:t>
      </w:r>
      <w:r w:rsidRPr="005A0BBE">
        <w:rPr>
          <w:rtl/>
        </w:rPr>
        <w:t>رش</w:t>
      </w:r>
      <w:r w:rsidRPr="005A0BBE">
        <w:rPr>
          <w:rFonts w:hint="cs"/>
          <w:rtl/>
        </w:rPr>
        <w:t>ِ</w:t>
      </w:r>
      <w:r w:rsidRPr="005A0BBE">
        <w:rPr>
          <w:rtl/>
        </w:rPr>
        <w:t xml:space="preserve">د </w:t>
      </w:r>
      <w:r w:rsidRPr="005A0BBE">
        <w:rPr>
          <w:rFonts w:hint="cs"/>
          <w:rtl/>
        </w:rPr>
        <w:t>أنشطة</w:t>
      </w:r>
      <w:r w:rsidRPr="005A0BBE">
        <w:rPr>
          <w:rtl/>
        </w:rPr>
        <w:t xml:space="preserve"> الإدارة، مثل التغييرات التي تطرأ على مواسم صيد </w:t>
      </w:r>
      <w:r w:rsidRPr="005A0BBE">
        <w:rPr>
          <w:rFonts w:hint="cs"/>
          <w:rtl/>
        </w:rPr>
        <w:t xml:space="preserve">الحيوانات </w:t>
      </w:r>
      <w:r w:rsidRPr="005A0BBE">
        <w:rPr>
          <w:rtl/>
        </w:rPr>
        <w:t xml:space="preserve">وصيد الأسماك بالنسبة لبعض الأنواع، والتغييرات في حصص </w:t>
      </w:r>
      <w:r w:rsidRPr="005A0BBE">
        <w:rPr>
          <w:rFonts w:hint="cs"/>
          <w:rtl/>
        </w:rPr>
        <w:t>حصاد</w:t>
      </w:r>
      <w:r w:rsidRPr="005A0BBE">
        <w:rPr>
          <w:rtl/>
        </w:rPr>
        <w:t xml:space="preserve"> النباتات و</w:t>
      </w:r>
      <w:r w:rsidRPr="005A0BBE">
        <w:rPr>
          <w:rFonts w:hint="cs"/>
          <w:rtl/>
        </w:rPr>
        <w:t xml:space="preserve">تربية </w:t>
      </w:r>
      <w:r w:rsidRPr="005A0BBE">
        <w:rPr>
          <w:rtl/>
        </w:rPr>
        <w:t xml:space="preserve">الحيوانات لضمان الاستخدام المستدام والتعديلات على القوانين واللوائح المحلية، مثل فرض قيود على أساليب صيد </w:t>
      </w:r>
      <w:r w:rsidRPr="005A0BBE">
        <w:rPr>
          <w:rFonts w:hint="cs"/>
          <w:rtl/>
        </w:rPr>
        <w:t xml:space="preserve">الأسماك </w:t>
      </w:r>
      <w:r w:rsidRPr="005A0BBE">
        <w:rPr>
          <w:rtl/>
        </w:rPr>
        <w:t>والمعدات المسموح بها.</w:t>
      </w:r>
    </w:p>
    <w:p w:rsidR="00EE0FD7" w:rsidRPr="005A0BBE" w:rsidRDefault="00EE0FD7" w:rsidP="00EE0FD7">
      <w:pPr>
        <w:rPr>
          <w:rtl/>
        </w:rPr>
      </w:pPr>
      <w:r w:rsidRPr="005A0BBE">
        <w:rPr>
          <w:rFonts w:hint="cs"/>
          <w:rtl/>
        </w:rPr>
        <w:t>64-</w:t>
      </w:r>
      <w:r w:rsidRPr="005A0BBE">
        <w:rPr>
          <w:rFonts w:hint="cs"/>
          <w:rtl/>
        </w:rPr>
        <w:tab/>
      </w:r>
      <w:r w:rsidRPr="005A0BBE">
        <w:rPr>
          <w:rtl/>
        </w:rPr>
        <w:t xml:space="preserve">وبالمثل، يمكن أن تسهم </w:t>
      </w:r>
      <w:r w:rsidRPr="005A0BBE">
        <w:rPr>
          <w:rFonts w:hint="cs"/>
          <w:rtl/>
        </w:rPr>
        <w:t>ا</w:t>
      </w:r>
      <w:r w:rsidRPr="005A0BBE">
        <w:rPr>
          <w:rtl/>
        </w:rPr>
        <w:t xml:space="preserve">لمنابر الدولية </w:t>
      </w:r>
      <w:r w:rsidRPr="005A0BBE">
        <w:rPr>
          <w:rFonts w:hint="cs"/>
          <w:rtl/>
        </w:rPr>
        <w:t>لتقاسم</w:t>
      </w:r>
      <w:r w:rsidRPr="005A0BBE">
        <w:rPr>
          <w:rtl/>
        </w:rPr>
        <w:t xml:space="preserve"> المعارف في تقاسم المعارف والابتكارات والممارسات </w:t>
      </w:r>
      <w:r w:rsidRPr="005A0BBE">
        <w:rPr>
          <w:rFonts w:hint="cs"/>
          <w:rtl/>
        </w:rPr>
        <w:t>والمشاهدات</w:t>
      </w:r>
      <w:r w:rsidRPr="005A0BBE">
        <w:rPr>
          <w:rtl/>
        </w:rPr>
        <w:t xml:space="preserve"> التقليدية، مما يسمح للمجتمعات التي فقدت المعارف ذات الصلة باستعادتها واستخدامها ب</w:t>
      </w:r>
      <w:r>
        <w:rPr>
          <w:rFonts w:hint="cs"/>
          <w:rtl/>
        </w:rPr>
        <w:t>وسائل</w:t>
      </w:r>
      <w:r w:rsidRPr="005A0BBE">
        <w:rPr>
          <w:rtl/>
        </w:rPr>
        <w:t xml:space="preserve"> عملية، مما يسهم في الإدارة الفعالة والاستخدام المستدام </w:t>
      </w:r>
      <w:r w:rsidRPr="005A0BBE">
        <w:rPr>
          <w:rFonts w:hint="cs"/>
          <w:rtl/>
        </w:rPr>
        <w:t>ل</w:t>
      </w:r>
      <w:r w:rsidRPr="005A0BBE">
        <w:rPr>
          <w:rtl/>
        </w:rPr>
        <w:t>لموارد البيولوجية.</w:t>
      </w:r>
    </w:p>
    <w:p w:rsidR="00EE0FD7" w:rsidRDefault="00EE0FD7" w:rsidP="00EE0FD7">
      <w:pPr>
        <w:rPr>
          <w:rtl/>
        </w:rPr>
      </w:pPr>
      <w:r w:rsidRPr="005A0BBE">
        <w:rPr>
          <w:rFonts w:hint="cs"/>
          <w:rtl/>
        </w:rPr>
        <w:t>65-</w:t>
      </w:r>
      <w:r w:rsidRPr="005A0BBE">
        <w:rPr>
          <w:rFonts w:hint="cs"/>
          <w:rtl/>
        </w:rPr>
        <w:tab/>
      </w:r>
      <w:r w:rsidRPr="005A0BBE">
        <w:rPr>
          <w:rtl/>
        </w:rPr>
        <w:t xml:space="preserve">ويمكن </w:t>
      </w:r>
      <w:r w:rsidRPr="005A0BBE">
        <w:rPr>
          <w:rFonts w:hint="cs"/>
          <w:rtl/>
        </w:rPr>
        <w:t>لمنابر</w:t>
      </w:r>
      <w:r w:rsidRPr="005A0BBE">
        <w:rPr>
          <w:rtl/>
        </w:rPr>
        <w:t xml:space="preserve"> تقاسم المعارف التي </w:t>
      </w:r>
      <w:r w:rsidRPr="005A0BBE">
        <w:rPr>
          <w:rFonts w:hint="cs"/>
          <w:rtl/>
        </w:rPr>
        <w:t>يتم إنشاؤها</w:t>
      </w:r>
      <w:r w:rsidRPr="005A0BBE">
        <w:rPr>
          <w:rtl/>
        </w:rPr>
        <w:t xml:space="preserve"> على النطاقات ذات الصلة ب</w:t>
      </w:r>
      <w:r w:rsidRPr="005A0BBE">
        <w:rPr>
          <w:rFonts w:hint="cs"/>
          <w:rtl/>
        </w:rPr>
        <w:t>ال</w:t>
      </w:r>
      <w:r w:rsidRPr="005A0BBE">
        <w:rPr>
          <w:rtl/>
        </w:rPr>
        <w:t xml:space="preserve">مشاركة </w:t>
      </w:r>
      <w:r w:rsidRPr="005A0BBE">
        <w:rPr>
          <w:rFonts w:hint="cs"/>
          <w:rtl/>
        </w:rPr>
        <w:t>ال</w:t>
      </w:r>
      <w:r w:rsidRPr="005A0BBE">
        <w:rPr>
          <w:rtl/>
        </w:rPr>
        <w:t xml:space="preserve">فعالة </w:t>
      </w:r>
      <w:r w:rsidRPr="005A0BBE">
        <w:rPr>
          <w:rFonts w:hint="cs"/>
          <w:rtl/>
        </w:rPr>
        <w:t>ل</w:t>
      </w:r>
      <w:r w:rsidRPr="005A0BBE">
        <w:rPr>
          <w:rtl/>
        </w:rPr>
        <w:t xml:space="preserve">لشعوب الأصلية والمجتمعات المحلية أن تساعد المجتمعات المحلية على تبادل المعارف والمعلومات الرامية إلى استعادة المعارف التقليدية عبر النظم الإيكولوجية </w:t>
      </w:r>
      <w:r w:rsidRPr="005A0BBE">
        <w:rPr>
          <w:rFonts w:hint="cs"/>
          <w:rtl/>
        </w:rPr>
        <w:t>المتقاسمة</w:t>
      </w:r>
      <w:r w:rsidRPr="005A0BBE">
        <w:rPr>
          <w:rtl/>
        </w:rPr>
        <w:t xml:space="preserve"> من أجل حفظ الموارد </w:t>
      </w:r>
      <w:r w:rsidRPr="005A0BBE">
        <w:rPr>
          <w:rFonts w:hint="cs"/>
          <w:rtl/>
        </w:rPr>
        <w:t>البيولوجية</w:t>
      </w:r>
      <w:r w:rsidRPr="005A0BBE">
        <w:rPr>
          <w:rtl/>
        </w:rPr>
        <w:t xml:space="preserve"> واستخدامها المستدام</w:t>
      </w:r>
      <w:r w:rsidRPr="005A0BBE">
        <w:rPr>
          <w:rFonts w:hint="cs"/>
          <w:rtl/>
        </w:rPr>
        <w:t>.</w:t>
      </w:r>
    </w:p>
    <w:p w:rsidR="00EE0FD7" w:rsidRPr="007B465C" w:rsidRDefault="00EE0FD7" w:rsidP="00EE0FD7">
      <w:pPr>
        <w:spacing w:line="204" w:lineRule="auto"/>
        <w:rPr>
          <w:lang w:val="en-GB"/>
        </w:rPr>
      </w:pPr>
    </w:p>
    <w:p w:rsidR="00EE0FD7" w:rsidRPr="00EE0FD7" w:rsidRDefault="00EE0FD7" w:rsidP="00EE0FD7">
      <w:pPr>
        <w:spacing w:after="0" w:line="240" w:lineRule="auto"/>
        <w:jc w:val="left"/>
        <w:rPr>
          <w:sz w:val="24"/>
          <w:rtl/>
          <w:lang w:val="en-GB"/>
        </w:rPr>
      </w:pPr>
    </w:p>
    <w:p w:rsidR="00EE0FD7" w:rsidRDefault="00EE0FD7" w:rsidP="00EE0FD7">
      <w:pPr>
        <w:spacing w:after="0" w:line="240" w:lineRule="auto"/>
        <w:jc w:val="left"/>
        <w:rPr>
          <w:sz w:val="24"/>
          <w:rtl/>
        </w:rPr>
      </w:pPr>
      <w:r>
        <w:rPr>
          <w:sz w:val="24"/>
          <w:rtl/>
        </w:rPr>
        <w:br w:type="page"/>
      </w:r>
    </w:p>
    <w:p w:rsidR="00E93E73" w:rsidRPr="009E01BD" w:rsidRDefault="00E93E73" w:rsidP="009E01BD">
      <w:pPr>
        <w:pStyle w:val="Heading2"/>
        <w:ind w:left="2250" w:right="1530" w:hanging="1530"/>
        <w:jc w:val="left"/>
        <w:rPr>
          <w:rFonts w:ascii="Simplified Arabic" w:hAnsi="Simplified Arabic"/>
          <w:b w:val="0"/>
          <w:bCs w:val="0"/>
          <w:sz w:val="24"/>
          <w:rtl/>
          <w:lang w:val="en-GB"/>
        </w:rPr>
      </w:pPr>
      <w:bookmarkStart w:id="141" w:name="_Toc6071616"/>
      <w:bookmarkStart w:id="142" w:name="_Toc6139974"/>
      <w:r w:rsidRPr="009E01BD">
        <w:rPr>
          <w:rFonts w:ascii="Simplified Arabic" w:hAnsi="Simplified Arabic"/>
          <w:sz w:val="24"/>
          <w:rtl/>
          <w:lang w:val="en-GB"/>
        </w:rPr>
        <w:lastRenderedPageBreak/>
        <w:t>المقرر 14/13</w:t>
      </w:r>
      <w:r w:rsidRPr="009E01BD">
        <w:rPr>
          <w:rFonts w:ascii="Simplified Arabic" w:hAnsi="Simplified Arabic"/>
          <w:sz w:val="24"/>
          <w:rtl/>
          <w:lang w:val="en-GB"/>
        </w:rPr>
        <w:tab/>
        <w:t>مسرد المصطلحات والمفاهيم الرئيسية ذات الصلة في سياق المادة 8(ي) والأحكام المتصلة بها</w:t>
      </w:r>
      <w:bookmarkEnd w:id="141"/>
      <w:bookmarkEnd w:id="142"/>
    </w:p>
    <w:p w:rsidR="00E93E73" w:rsidRPr="003062F4" w:rsidRDefault="00E93E73" w:rsidP="00E93E73">
      <w:pPr>
        <w:ind w:firstLine="720"/>
        <w:rPr>
          <w:i/>
          <w:iCs/>
          <w:rtl/>
        </w:rPr>
      </w:pPr>
      <w:r w:rsidRPr="003062F4">
        <w:rPr>
          <w:i/>
          <w:iCs/>
          <w:rtl/>
        </w:rPr>
        <w:t>إن مؤتمر الأطراف،</w:t>
      </w:r>
    </w:p>
    <w:p w:rsidR="00E93E73" w:rsidRDefault="00E93E73" w:rsidP="00E93E73">
      <w:pPr>
        <w:ind w:firstLine="720"/>
        <w:rPr>
          <w:rFonts w:ascii="Simplified Arabic" w:hAnsi="Simplified Arabic"/>
          <w:lang w:val="en-CA"/>
        </w:rPr>
      </w:pPr>
      <w:r>
        <w:rPr>
          <w:rFonts w:ascii="Simplified Arabic" w:hAnsi="Simplified Arabic"/>
          <w:i/>
          <w:iCs/>
          <w:rtl/>
          <w:lang w:val="en-CA"/>
        </w:rPr>
        <w:t>إذ يلاحظ</w:t>
      </w:r>
      <w:r>
        <w:rPr>
          <w:rFonts w:ascii="Simplified Arabic" w:hAnsi="Simplified Arabic"/>
          <w:rtl/>
          <w:lang w:val="en-CA"/>
        </w:rPr>
        <w:t xml:space="preserve"> أن الوضوح في </w:t>
      </w:r>
      <w:r>
        <w:rPr>
          <w:rFonts w:ascii="Simplified Arabic" w:hAnsi="Simplified Arabic" w:hint="cs"/>
          <w:rtl/>
          <w:lang w:val="en-CA"/>
        </w:rPr>
        <w:t xml:space="preserve">استخدام </w:t>
      </w:r>
      <w:r>
        <w:rPr>
          <w:rFonts w:ascii="Simplified Arabic" w:hAnsi="Simplified Arabic"/>
          <w:rtl/>
          <w:lang w:val="en-CA"/>
        </w:rPr>
        <w:t xml:space="preserve">المصطلحات والمفاهيم في سياق المادة 8(ي) والأحكام المتصلة بها يمكن أن </w:t>
      </w:r>
      <w:r>
        <w:rPr>
          <w:rFonts w:ascii="Simplified Arabic" w:hAnsi="Simplified Arabic" w:hint="cs"/>
          <w:rtl/>
          <w:lang w:val="en-CA"/>
        </w:rPr>
        <w:t>يسهم في إيجاد فهم مشترك ويساعد في تنفيذها</w:t>
      </w:r>
      <w:r>
        <w:rPr>
          <w:rFonts w:ascii="Simplified Arabic" w:hAnsi="Simplified Arabic"/>
          <w:rtl/>
          <w:lang w:val="en-CA"/>
        </w:rPr>
        <w:t xml:space="preserve"> من أجل تحقيق الهدف 18 من أهداف </w:t>
      </w:r>
      <w:r w:rsidRPr="00E93E73">
        <w:rPr>
          <w:rFonts w:ascii="Simplified Arabic" w:hAnsi="Simplified Arabic"/>
          <w:spacing w:val="-8"/>
          <w:rtl/>
          <w:lang w:val="en-CA"/>
        </w:rPr>
        <w:t>أيشي للتنوع البيولوجي بحلول عام 2020،</w:t>
      </w:r>
    </w:p>
    <w:p w:rsidR="00E93E73" w:rsidRDefault="00E93E73" w:rsidP="00E93E73">
      <w:pPr>
        <w:ind w:firstLine="720"/>
        <w:rPr>
          <w:rFonts w:ascii="Simplified Arabic" w:hAnsi="Simplified Arabic"/>
          <w:rtl/>
          <w:lang w:val="en-CA"/>
        </w:rPr>
      </w:pPr>
      <w:r>
        <w:rPr>
          <w:rFonts w:ascii="Simplified Arabic" w:hAnsi="Simplified Arabic"/>
          <w:i/>
          <w:iCs/>
          <w:rtl/>
          <w:lang w:val="en-CA"/>
        </w:rPr>
        <w:t>وإذ يلاحظ أيضا</w:t>
      </w:r>
      <w:r>
        <w:rPr>
          <w:rFonts w:ascii="Simplified Arabic" w:hAnsi="Simplified Arabic"/>
          <w:rtl/>
          <w:lang w:val="en-CA"/>
        </w:rPr>
        <w:t xml:space="preserve"> أن الفهم المشترك للمصطلحات والمفاهيم </w:t>
      </w:r>
      <w:r>
        <w:rPr>
          <w:rFonts w:ascii="Simplified Arabic" w:hAnsi="Simplified Arabic" w:hint="cs"/>
          <w:rtl/>
          <w:lang w:val="en-CA"/>
        </w:rPr>
        <w:t>الرئيسية</w:t>
      </w:r>
      <w:r>
        <w:rPr>
          <w:rFonts w:ascii="Simplified Arabic" w:hAnsi="Simplified Arabic"/>
          <w:rtl/>
          <w:lang w:val="en-CA"/>
        </w:rPr>
        <w:t xml:space="preserve"> في سياق المادة 8(ي) والأحكام المتصلة بها، في الاجتماعات التي تعقد بموجب الاتفاقية، </w:t>
      </w:r>
      <w:r>
        <w:rPr>
          <w:rFonts w:ascii="Simplified Arabic" w:hAnsi="Simplified Arabic" w:hint="cs"/>
          <w:rtl/>
          <w:lang w:val="en-CA"/>
        </w:rPr>
        <w:t>يمكن أن</w:t>
      </w:r>
      <w:r>
        <w:rPr>
          <w:rFonts w:ascii="Simplified Arabic" w:hAnsi="Simplified Arabic"/>
          <w:rtl/>
          <w:lang w:val="en-CA"/>
        </w:rPr>
        <w:t xml:space="preserve"> يساعد الأطراف على التوصل إلى توافق في الآراء بشأن </w:t>
      </w:r>
      <w:r>
        <w:rPr>
          <w:rFonts w:ascii="Simplified Arabic" w:hAnsi="Simplified Arabic" w:hint="cs"/>
          <w:rtl/>
          <w:lang w:val="en-CA"/>
        </w:rPr>
        <w:t>المقررات</w:t>
      </w:r>
      <w:r>
        <w:rPr>
          <w:rFonts w:ascii="Simplified Arabic" w:hAnsi="Simplified Arabic"/>
          <w:rtl/>
          <w:lang w:val="en-CA"/>
        </w:rPr>
        <w:t xml:space="preserve"> والتوجيهات </w:t>
      </w:r>
      <w:r>
        <w:rPr>
          <w:rFonts w:ascii="Simplified Arabic" w:hAnsi="Simplified Arabic" w:hint="cs"/>
          <w:rtl/>
          <w:lang w:val="en-CA"/>
        </w:rPr>
        <w:t>المستقبلية</w:t>
      </w:r>
      <w:r>
        <w:rPr>
          <w:rFonts w:ascii="Simplified Arabic" w:hAnsi="Simplified Arabic"/>
          <w:rtl/>
          <w:lang w:val="en-CA"/>
        </w:rPr>
        <w:t xml:space="preserve"> التي تُتخذ بموجب الاتفاقية، بما في ذلك في وضع ترتيبات ما بعد عام</w:t>
      </w:r>
      <w:r>
        <w:rPr>
          <w:rFonts w:ascii="Simplified Arabic" w:hAnsi="Simplified Arabic" w:hint="cs"/>
          <w:rtl/>
          <w:lang w:val="en-CA"/>
        </w:rPr>
        <w:t> </w:t>
      </w:r>
      <w:r>
        <w:rPr>
          <w:rFonts w:ascii="Simplified Arabic" w:hAnsi="Simplified Arabic"/>
          <w:rtl/>
          <w:lang w:val="en-CA"/>
        </w:rPr>
        <w:t>2020،</w:t>
      </w:r>
    </w:p>
    <w:p w:rsidR="00E93E73" w:rsidRPr="001B089E" w:rsidRDefault="00E93E73" w:rsidP="00E93E73">
      <w:pPr>
        <w:ind w:firstLine="720"/>
        <w:rPr>
          <w:rFonts w:ascii="Simplified Arabic" w:hAnsi="Simplified Arabic"/>
          <w:rtl/>
          <w:lang w:val="en-CA"/>
        </w:rPr>
      </w:pPr>
      <w:r w:rsidRPr="001B089E">
        <w:rPr>
          <w:rFonts w:ascii="Simplified Arabic" w:hAnsi="Simplified Arabic"/>
          <w:i/>
          <w:iCs/>
          <w:rtl/>
          <w:lang w:val="en-CA"/>
        </w:rPr>
        <w:t xml:space="preserve">وإذ </w:t>
      </w:r>
      <w:r w:rsidRPr="001B089E">
        <w:rPr>
          <w:rFonts w:ascii="Simplified Arabic" w:hAnsi="Simplified Arabic" w:hint="cs"/>
          <w:i/>
          <w:iCs/>
          <w:rtl/>
          <w:lang w:val="en-CA"/>
        </w:rPr>
        <w:t>ي</w:t>
      </w:r>
      <w:r w:rsidRPr="001B089E">
        <w:rPr>
          <w:rFonts w:ascii="Simplified Arabic" w:hAnsi="Simplified Arabic"/>
          <w:i/>
          <w:iCs/>
          <w:rtl/>
          <w:lang w:val="en-CA"/>
        </w:rPr>
        <w:t>شدد</w:t>
      </w:r>
      <w:r w:rsidRPr="001B089E">
        <w:rPr>
          <w:rFonts w:ascii="Simplified Arabic" w:hAnsi="Simplified Arabic"/>
          <w:rtl/>
          <w:lang w:val="en-CA"/>
        </w:rPr>
        <w:t xml:space="preserve"> على أن استخدام مسرد </w:t>
      </w:r>
      <w:r>
        <w:rPr>
          <w:rFonts w:ascii="Simplified Arabic" w:hAnsi="Simplified Arabic" w:hint="cs"/>
          <w:rtl/>
          <w:lang w:val="en-CA"/>
        </w:rPr>
        <w:t xml:space="preserve">المصطلحات </w:t>
      </w:r>
      <w:r w:rsidRPr="001B089E">
        <w:rPr>
          <w:rFonts w:ascii="Simplified Arabic" w:hAnsi="Simplified Arabic"/>
          <w:rtl/>
          <w:lang w:val="en-CA"/>
        </w:rPr>
        <w:t xml:space="preserve">لا </w:t>
      </w:r>
      <w:r>
        <w:rPr>
          <w:rFonts w:ascii="Simplified Arabic" w:hAnsi="Simplified Arabic" w:hint="cs"/>
          <w:rtl/>
          <w:lang w:val="en-CA"/>
        </w:rPr>
        <w:t>يخل</w:t>
      </w:r>
      <w:r w:rsidRPr="001B089E">
        <w:rPr>
          <w:rFonts w:ascii="Simplified Arabic" w:hAnsi="Simplified Arabic"/>
          <w:rtl/>
          <w:lang w:val="en-CA"/>
        </w:rPr>
        <w:t xml:space="preserve"> بالمصطلحات المستخدمة في الاتفاقية ولا </w:t>
      </w:r>
      <w:r>
        <w:rPr>
          <w:rFonts w:ascii="Simplified Arabic" w:hAnsi="Simplified Arabic" w:hint="cs"/>
          <w:rtl/>
          <w:lang w:val="en-CA"/>
        </w:rPr>
        <w:t>يشكل</w:t>
      </w:r>
      <w:r w:rsidRPr="001B089E">
        <w:rPr>
          <w:rFonts w:ascii="Simplified Arabic" w:hAnsi="Simplified Arabic"/>
          <w:rtl/>
          <w:lang w:val="en-CA"/>
        </w:rPr>
        <w:t xml:space="preserve"> تفسيرا لل</w:t>
      </w:r>
      <w:r>
        <w:rPr>
          <w:rFonts w:ascii="Simplified Arabic" w:hAnsi="Simplified Arabic" w:hint="cs"/>
          <w:rtl/>
          <w:lang w:val="en-CA"/>
        </w:rPr>
        <w:t>اتفاقي</w:t>
      </w:r>
      <w:r w:rsidRPr="001B089E">
        <w:rPr>
          <w:rFonts w:ascii="Simplified Arabic" w:hAnsi="Simplified Arabic"/>
          <w:rtl/>
          <w:lang w:val="en-CA"/>
        </w:rPr>
        <w:t>ة أو لتطبيق أحكامها وفقا لاتفاقية فيينا لقانون المعاهدات،</w:t>
      </w:r>
      <w:r>
        <w:rPr>
          <w:rStyle w:val="FootnoteReference"/>
          <w:rtl/>
          <w:lang w:val="en-CA"/>
        </w:rPr>
        <w:footnoteReference w:id="215"/>
      </w:r>
      <w:r w:rsidRPr="001B089E">
        <w:rPr>
          <w:rFonts w:ascii="Simplified Arabic" w:hAnsi="Simplified Arabic"/>
          <w:rtl/>
          <w:lang w:val="en-CA"/>
        </w:rPr>
        <w:t xml:space="preserve"> ولا </w:t>
      </w:r>
      <w:r>
        <w:rPr>
          <w:rFonts w:ascii="Simplified Arabic" w:hAnsi="Simplified Arabic" w:hint="cs"/>
          <w:rtl/>
          <w:lang w:val="en-CA"/>
        </w:rPr>
        <w:t>يخل بمواصلة</w:t>
      </w:r>
      <w:r w:rsidRPr="001B089E">
        <w:rPr>
          <w:rFonts w:ascii="Simplified Arabic" w:hAnsi="Simplified Arabic"/>
          <w:rtl/>
          <w:lang w:val="en-CA"/>
        </w:rPr>
        <w:t xml:space="preserve"> المناقشات المتعلقة بالمصطلحات في إطار </w:t>
      </w:r>
      <w:r>
        <w:rPr>
          <w:rFonts w:ascii="Simplified Arabic" w:hAnsi="Simplified Arabic" w:hint="cs"/>
          <w:rtl/>
          <w:lang w:val="en-CA"/>
        </w:rPr>
        <w:t>المنتديات ال</w:t>
      </w:r>
      <w:r w:rsidRPr="001B089E">
        <w:rPr>
          <w:rFonts w:ascii="Simplified Arabic" w:hAnsi="Simplified Arabic"/>
          <w:rtl/>
          <w:lang w:val="en-CA"/>
        </w:rPr>
        <w:t xml:space="preserve">دولية </w:t>
      </w:r>
      <w:r>
        <w:rPr>
          <w:rFonts w:ascii="Simplified Arabic" w:hAnsi="Simplified Arabic" w:hint="cs"/>
          <w:rtl/>
          <w:lang w:val="en-CA"/>
        </w:rPr>
        <w:t>ال</w:t>
      </w:r>
      <w:r w:rsidRPr="001B089E">
        <w:rPr>
          <w:rFonts w:ascii="Simplified Arabic" w:hAnsi="Simplified Arabic"/>
          <w:rtl/>
          <w:lang w:val="en-CA"/>
        </w:rPr>
        <w:t>أخرى،</w:t>
      </w:r>
    </w:p>
    <w:p w:rsidR="00E93E73" w:rsidRDefault="00E93E73" w:rsidP="00CD26C5">
      <w:pPr>
        <w:numPr>
          <w:ilvl w:val="0"/>
          <w:numId w:val="63"/>
        </w:numPr>
        <w:ind w:left="0" w:firstLine="720"/>
        <w:rPr>
          <w:rFonts w:ascii="Simplified Arabic" w:eastAsia="Times New Roman" w:hAnsi="Simplified Arabic"/>
          <w:i/>
          <w:color w:val="000000"/>
          <w:kern w:val="22"/>
          <w:rtl/>
        </w:rPr>
      </w:pPr>
      <w:r>
        <w:rPr>
          <w:rFonts w:ascii="Simplified Arabic" w:eastAsia="Times New Roman" w:hAnsi="Simplified Arabic" w:hint="cs"/>
          <w:iCs/>
          <w:color w:val="000000"/>
          <w:kern w:val="22"/>
          <w:rtl/>
        </w:rPr>
        <w:t>يعتمد</w:t>
      </w:r>
      <w:r>
        <w:rPr>
          <w:rFonts w:ascii="Simplified Arabic" w:eastAsia="Times New Roman" w:hAnsi="Simplified Arabic" w:hint="cs"/>
          <w:i/>
          <w:color w:val="000000"/>
          <w:kern w:val="22"/>
          <w:rtl/>
        </w:rPr>
        <w:t xml:space="preserve"> </w:t>
      </w:r>
      <w:r>
        <w:rPr>
          <w:rFonts w:ascii="Simplified Arabic" w:eastAsia="Times New Roman" w:hAnsi="Simplified Arabic"/>
          <w:i/>
          <w:color w:val="000000"/>
          <w:kern w:val="22"/>
          <w:rtl/>
        </w:rPr>
        <w:t xml:space="preserve">مسرد المصطلحات </w:t>
      </w:r>
      <w:r>
        <w:rPr>
          <w:rFonts w:ascii="Simplified Arabic" w:eastAsia="Times New Roman" w:hAnsi="Simplified Arabic" w:hint="cs"/>
          <w:i/>
          <w:color w:val="000000"/>
          <w:kern w:val="22"/>
          <w:rtl/>
        </w:rPr>
        <w:t xml:space="preserve">الطوعي </w:t>
      </w:r>
      <w:r>
        <w:rPr>
          <w:rFonts w:ascii="Simplified Arabic" w:eastAsia="Times New Roman" w:hAnsi="Simplified Arabic"/>
          <w:i/>
          <w:color w:val="000000"/>
          <w:kern w:val="22"/>
          <w:rtl/>
        </w:rPr>
        <w:t xml:space="preserve">والمفاهيم </w:t>
      </w:r>
      <w:r>
        <w:rPr>
          <w:rFonts w:ascii="Simplified Arabic" w:eastAsia="Times New Roman" w:hAnsi="Simplified Arabic" w:hint="cs"/>
          <w:i/>
          <w:color w:val="000000"/>
          <w:kern w:val="22"/>
          <w:rtl/>
        </w:rPr>
        <w:t>الرئيسية</w:t>
      </w:r>
      <w:r>
        <w:rPr>
          <w:rFonts w:ascii="Simplified Arabic" w:eastAsia="Times New Roman" w:hAnsi="Simplified Arabic"/>
          <w:i/>
          <w:color w:val="000000"/>
          <w:kern w:val="22"/>
          <w:rtl/>
        </w:rPr>
        <w:t xml:space="preserve"> في سياق المادة 8(ي) والأحكام المتصلة بها </w:t>
      </w:r>
      <w:r>
        <w:rPr>
          <w:rFonts w:ascii="Simplified Arabic" w:eastAsia="Times New Roman" w:hAnsi="Simplified Arabic" w:hint="cs"/>
          <w:i/>
          <w:color w:val="000000"/>
          <w:kern w:val="22"/>
          <w:rtl/>
        </w:rPr>
        <w:t xml:space="preserve">على النحو </w:t>
      </w:r>
      <w:r>
        <w:rPr>
          <w:rFonts w:ascii="Simplified Arabic" w:eastAsia="Times New Roman" w:hAnsi="Simplified Arabic"/>
          <w:i/>
          <w:color w:val="000000"/>
          <w:kern w:val="22"/>
          <w:rtl/>
        </w:rPr>
        <w:t>الوارد في مرفق هذا المقرر</w:t>
      </w:r>
      <w:r>
        <w:rPr>
          <w:rFonts w:ascii="Simplified Arabic" w:eastAsia="Times New Roman" w:hAnsi="Simplified Arabic" w:hint="cs"/>
          <w:i/>
          <w:color w:val="000000"/>
          <w:kern w:val="22"/>
          <w:rtl/>
        </w:rPr>
        <w:t xml:space="preserve">، مع مراعاة أن المصطلحات والمفاهيم </w:t>
      </w:r>
      <w:r w:rsidRPr="00093A78">
        <w:rPr>
          <w:rFonts w:ascii="Simplified Arabic" w:eastAsia="Times New Roman" w:hAnsi="Simplified Arabic"/>
          <w:i/>
          <w:color w:val="000000"/>
          <w:kern w:val="22"/>
          <w:rtl/>
        </w:rPr>
        <w:t>تخضع للتشريع الوطني و</w:t>
      </w:r>
      <w:r w:rsidRPr="00093A78">
        <w:rPr>
          <w:rFonts w:ascii="Simplified Arabic" w:eastAsia="Times New Roman" w:hAnsi="Simplified Arabic" w:hint="cs"/>
          <w:i/>
          <w:color w:val="000000"/>
          <w:kern w:val="22"/>
          <w:rtl/>
        </w:rPr>
        <w:t>ل</w:t>
      </w:r>
      <w:r w:rsidRPr="00093A78">
        <w:rPr>
          <w:rFonts w:ascii="Simplified Arabic" w:eastAsia="Times New Roman" w:hAnsi="Simplified Arabic"/>
          <w:i/>
          <w:color w:val="000000"/>
          <w:kern w:val="22"/>
          <w:rtl/>
        </w:rPr>
        <w:t xml:space="preserve">لظروف الوطنية المتنوعة لكل طرف أو حكومة، وأن العديد من الأطراف لديها </w:t>
      </w:r>
      <w:r w:rsidRPr="00093A78">
        <w:rPr>
          <w:rFonts w:ascii="Simplified Arabic" w:eastAsia="Times New Roman" w:hAnsi="Simplified Arabic" w:hint="cs"/>
          <w:i/>
          <w:color w:val="000000"/>
          <w:kern w:val="22"/>
          <w:rtl/>
        </w:rPr>
        <w:t>فهم</w:t>
      </w:r>
      <w:r w:rsidRPr="00093A78">
        <w:rPr>
          <w:rFonts w:ascii="Simplified Arabic" w:eastAsia="Times New Roman" w:hAnsi="Simplified Arabic"/>
          <w:i/>
          <w:color w:val="000000"/>
          <w:kern w:val="22"/>
          <w:rtl/>
        </w:rPr>
        <w:t xml:space="preserve"> محدد للمصطلحات والمفاهيم التي قد </w:t>
      </w:r>
      <w:r w:rsidRPr="00093A78">
        <w:rPr>
          <w:rFonts w:ascii="Simplified Arabic" w:eastAsia="Times New Roman" w:hAnsi="Simplified Arabic" w:hint="cs"/>
          <w:i/>
          <w:color w:val="000000"/>
          <w:kern w:val="22"/>
          <w:rtl/>
        </w:rPr>
        <w:t>تكون م</w:t>
      </w:r>
      <w:r w:rsidRPr="00093A78">
        <w:rPr>
          <w:rFonts w:ascii="Simplified Arabic" w:eastAsia="Times New Roman" w:hAnsi="Simplified Arabic"/>
          <w:i/>
          <w:color w:val="000000"/>
          <w:kern w:val="22"/>
          <w:rtl/>
        </w:rPr>
        <w:t>طبق</w:t>
      </w:r>
      <w:r w:rsidRPr="00093A78">
        <w:rPr>
          <w:rFonts w:ascii="Simplified Arabic" w:eastAsia="Times New Roman" w:hAnsi="Simplified Arabic" w:hint="cs"/>
          <w:i/>
          <w:color w:val="000000"/>
          <w:kern w:val="22"/>
          <w:rtl/>
        </w:rPr>
        <w:t>ة</w:t>
      </w:r>
      <w:r>
        <w:rPr>
          <w:rFonts w:ascii="Simplified Arabic" w:eastAsia="Times New Roman" w:hAnsi="Simplified Arabic"/>
          <w:i/>
          <w:color w:val="000000"/>
          <w:kern w:val="22"/>
          <w:rtl/>
        </w:rPr>
        <w:t xml:space="preserve"> بالفعل في ولايتها؛</w:t>
      </w:r>
    </w:p>
    <w:p w:rsidR="00E93E73" w:rsidRPr="00617B55" w:rsidRDefault="00E93E73" w:rsidP="00CD26C5">
      <w:pPr>
        <w:numPr>
          <w:ilvl w:val="0"/>
          <w:numId w:val="63"/>
        </w:numPr>
        <w:ind w:left="0" w:firstLine="720"/>
        <w:rPr>
          <w:rFonts w:ascii="Simplified Arabic" w:eastAsia="Times New Roman" w:hAnsi="Simplified Arabic"/>
          <w:iCs/>
          <w:color w:val="000000"/>
          <w:kern w:val="22"/>
        </w:rPr>
      </w:pPr>
      <w:r>
        <w:rPr>
          <w:rFonts w:ascii="Simplified Arabic" w:eastAsia="Times New Roman" w:hAnsi="Simplified Arabic"/>
          <w:iCs/>
          <w:color w:val="000000"/>
          <w:kern w:val="22"/>
          <w:rtl/>
        </w:rPr>
        <w:t>يشجع</w:t>
      </w:r>
      <w:r>
        <w:rPr>
          <w:rFonts w:ascii="Simplified Arabic" w:eastAsia="Times New Roman" w:hAnsi="Simplified Arabic"/>
          <w:i/>
          <w:color w:val="000000"/>
          <w:kern w:val="22"/>
          <w:rtl/>
        </w:rPr>
        <w:t xml:space="preserve"> الأطراف والحكومات الأخرى والمراقبين</w:t>
      </w:r>
      <w:r>
        <w:rPr>
          <w:rFonts w:ascii="Simplified Arabic" w:eastAsia="Times New Roman" w:hAnsi="Simplified Arabic" w:hint="cs"/>
          <w:i/>
          <w:color w:val="000000"/>
          <w:kern w:val="22"/>
          <w:rtl/>
        </w:rPr>
        <w:t>، ب</w:t>
      </w:r>
      <w:r w:rsidRPr="00D663C6">
        <w:rPr>
          <w:rFonts w:ascii="Simplified Arabic" w:eastAsia="Times New Roman" w:hAnsi="Simplified Arabic"/>
          <w:i/>
          <w:color w:val="000000"/>
          <w:kern w:val="22"/>
          <w:rtl/>
        </w:rPr>
        <w:t>المشاركة الكاملة والفعالة للشعوب الأصلية والمجتمعات المحلية</w:t>
      </w:r>
      <w:r>
        <w:rPr>
          <w:rFonts w:ascii="Simplified Arabic" w:eastAsia="Times New Roman" w:hAnsi="Simplified Arabic" w:hint="cs"/>
          <w:i/>
          <w:color w:val="000000"/>
          <w:kern w:val="22"/>
          <w:rtl/>
        </w:rPr>
        <w:t xml:space="preserve">، على </w:t>
      </w:r>
      <w:r w:rsidRPr="00D663C6">
        <w:rPr>
          <w:rFonts w:ascii="Simplified Arabic" w:eastAsia="Times New Roman" w:hAnsi="Simplified Arabic"/>
          <w:i/>
          <w:color w:val="000000"/>
          <w:kern w:val="22"/>
          <w:rtl/>
        </w:rPr>
        <w:t xml:space="preserve">نشر واستخدام مسرد </w:t>
      </w:r>
      <w:r>
        <w:rPr>
          <w:rFonts w:ascii="Simplified Arabic" w:eastAsia="Times New Roman" w:hAnsi="Simplified Arabic" w:hint="cs"/>
          <w:i/>
          <w:color w:val="000000"/>
          <w:kern w:val="22"/>
          <w:rtl/>
        </w:rPr>
        <w:t xml:space="preserve">المصطلحات </w:t>
      </w:r>
      <w:r w:rsidRPr="00D663C6">
        <w:rPr>
          <w:rFonts w:ascii="Simplified Arabic" w:eastAsia="Times New Roman" w:hAnsi="Simplified Arabic"/>
          <w:i/>
          <w:color w:val="000000"/>
          <w:kern w:val="22"/>
          <w:rtl/>
        </w:rPr>
        <w:t xml:space="preserve">لدعم تنفيذ المادة 8(ي) والأحكام </w:t>
      </w:r>
      <w:r>
        <w:rPr>
          <w:rFonts w:ascii="Simplified Arabic" w:eastAsia="Times New Roman" w:hAnsi="Simplified Arabic" w:hint="cs"/>
          <w:i/>
          <w:color w:val="000000"/>
          <w:kern w:val="22"/>
          <w:rtl/>
        </w:rPr>
        <w:t>المتصلة بها</w:t>
      </w:r>
      <w:r w:rsidRPr="00D663C6">
        <w:rPr>
          <w:rFonts w:ascii="Simplified Arabic" w:eastAsia="Times New Roman" w:hAnsi="Simplified Arabic"/>
          <w:i/>
          <w:color w:val="000000"/>
          <w:kern w:val="22"/>
          <w:rtl/>
        </w:rPr>
        <w:t>،</w:t>
      </w:r>
      <w:r>
        <w:rPr>
          <w:rFonts w:ascii="Simplified Arabic" w:eastAsia="Times New Roman" w:hAnsi="Simplified Arabic"/>
          <w:i/>
          <w:color w:val="000000"/>
          <w:kern w:val="22"/>
          <w:rtl/>
        </w:rPr>
        <w:t xml:space="preserve"> وفقا للتشريعات والظروف الوطنية</w:t>
      </w:r>
      <w:r w:rsidRPr="00D663C6">
        <w:rPr>
          <w:rFonts w:ascii="Simplified Arabic" w:eastAsia="Times New Roman" w:hAnsi="Simplified Arabic"/>
          <w:i/>
          <w:color w:val="000000"/>
          <w:kern w:val="22"/>
          <w:rtl/>
        </w:rPr>
        <w:t xml:space="preserve">، حسب الاقتضاء، </w:t>
      </w:r>
      <w:r>
        <w:rPr>
          <w:rFonts w:ascii="Simplified Arabic" w:eastAsia="Times New Roman" w:hAnsi="Simplified Arabic" w:hint="cs"/>
          <w:i/>
          <w:color w:val="000000"/>
          <w:kern w:val="22"/>
          <w:rtl/>
        </w:rPr>
        <w:t>ووضعه</w:t>
      </w:r>
      <w:r w:rsidRPr="00D663C6">
        <w:rPr>
          <w:rFonts w:ascii="Simplified Arabic" w:eastAsia="Times New Roman" w:hAnsi="Simplified Arabic"/>
          <w:i/>
          <w:color w:val="000000"/>
          <w:kern w:val="22"/>
          <w:rtl/>
        </w:rPr>
        <w:t xml:space="preserve"> في الاعتبار في الأعمال </w:t>
      </w:r>
      <w:r>
        <w:rPr>
          <w:rFonts w:ascii="Simplified Arabic" w:eastAsia="Times New Roman" w:hAnsi="Simplified Arabic" w:hint="cs"/>
          <w:i/>
          <w:color w:val="000000"/>
          <w:kern w:val="22"/>
          <w:rtl/>
        </w:rPr>
        <w:t>المستقبلية</w:t>
      </w:r>
      <w:r w:rsidRPr="00D663C6">
        <w:rPr>
          <w:rFonts w:ascii="Simplified Arabic" w:eastAsia="Times New Roman" w:hAnsi="Simplified Arabic"/>
          <w:i/>
          <w:color w:val="000000"/>
          <w:kern w:val="22"/>
          <w:rtl/>
        </w:rPr>
        <w:t xml:space="preserve"> بموجب الاتفاقية</w:t>
      </w:r>
      <w:r>
        <w:rPr>
          <w:rFonts w:ascii="Simplified Arabic" w:eastAsia="Times New Roman" w:hAnsi="Simplified Arabic"/>
          <w:i/>
          <w:color w:val="000000"/>
          <w:kern w:val="22"/>
          <w:rtl/>
        </w:rPr>
        <w:t>؛</w:t>
      </w:r>
    </w:p>
    <w:p w:rsidR="00E93E73" w:rsidRPr="002B3C94" w:rsidRDefault="00E93E73" w:rsidP="00CD26C5">
      <w:pPr>
        <w:numPr>
          <w:ilvl w:val="0"/>
          <w:numId w:val="63"/>
        </w:numPr>
        <w:ind w:left="0" w:firstLine="720"/>
        <w:rPr>
          <w:rFonts w:ascii="Simplified Arabic" w:eastAsia="Times New Roman" w:hAnsi="Simplified Arabic"/>
          <w:iCs/>
          <w:color w:val="000000"/>
          <w:kern w:val="22"/>
        </w:rPr>
      </w:pPr>
      <w:r>
        <w:rPr>
          <w:rFonts w:ascii="Simplified Arabic" w:eastAsia="Times New Roman" w:hAnsi="Simplified Arabic"/>
          <w:iCs/>
          <w:color w:val="000000"/>
          <w:kern w:val="22"/>
          <w:rtl/>
        </w:rPr>
        <w:t>يطلب</w:t>
      </w:r>
      <w:r>
        <w:rPr>
          <w:rFonts w:ascii="Simplified Arabic" w:eastAsia="Times New Roman" w:hAnsi="Simplified Arabic"/>
          <w:i/>
          <w:color w:val="000000"/>
          <w:kern w:val="22"/>
          <w:rtl/>
        </w:rPr>
        <w:t xml:space="preserve"> إلى </w:t>
      </w:r>
      <w:r w:rsidRPr="00D663C6">
        <w:rPr>
          <w:rFonts w:ascii="Simplified Arabic" w:eastAsia="Times New Roman" w:hAnsi="Simplified Arabic"/>
          <w:i/>
          <w:color w:val="000000"/>
          <w:kern w:val="22"/>
          <w:rtl/>
        </w:rPr>
        <w:t xml:space="preserve">الفريق </w:t>
      </w:r>
      <w:r>
        <w:rPr>
          <w:rFonts w:ascii="Simplified Arabic" w:eastAsia="Times New Roman" w:hAnsi="Simplified Arabic" w:hint="cs"/>
          <w:i/>
          <w:color w:val="000000"/>
          <w:kern w:val="22"/>
          <w:rtl/>
        </w:rPr>
        <w:t xml:space="preserve">العامل </w:t>
      </w:r>
      <w:r w:rsidRPr="00D663C6">
        <w:rPr>
          <w:rFonts w:ascii="Simplified Arabic" w:eastAsia="Times New Roman" w:hAnsi="Simplified Arabic"/>
          <w:i/>
          <w:color w:val="000000"/>
          <w:kern w:val="22"/>
          <w:rtl/>
        </w:rPr>
        <w:t xml:space="preserve">المفتوح العضوية المخصص </w:t>
      </w:r>
      <w:r w:rsidRPr="00D663C6">
        <w:rPr>
          <w:rFonts w:ascii="Simplified Arabic" w:eastAsia="Times New Roman" w:hAnsi="Simplified Arabic" w:hint="cs"/>
          <w:i/>
          <w:color w:val="000000"/>
          <w:kern w:val="22"/>
          <w:rtl/>
        </w:rPr>
        <w:t>ل</w:t>
      </w:r>
      <w:r w:rsidRPr="00D663C6">
        <w:rPr>
          <w:rFonts w:ascii="Simplified Arabic" w:eastAsia="Times New Roman" w:hAnsi="Simplified Arabic"/>
          <w:i/>
          <w:color w:val="000000"/>
          <w:kern w:val="22"/>
          <w:rtl/>
        </w:rPr>
        <w:t xml:space="preserve">لمادة 8(ي) </w:t>
      </w:r>
      <w:r w:rsidRPr="00D663C6">
        <w:rPr>
          <w:rFonts w:ascii="Simplified Arabic" w:eastAsia="Times New Roman" w:hAnsi="Simplified Arabic" w:hint="cs"/>
          <w:i/>
          <w:color w:val="000000"/>
          <w:kern w:val="22"/>
          <w:rtl/>
        </w:rPr>
        <w:t>وال</w:t>
      </w:r>
      <w:r w:rsidRPr="00D663C6">
        <w:rPr>
          <w:rFonts w:ascii="Simplified Arabic" w:eastAsia="Times New Roman" w:hAnsi="Simplified Arabic"/>
          <w:i/>
          <w:color w:val="000000"/>
          <w:kern w:val="22"/>
          <w:rtl/>
        </w:rPr>
        <w:t xml:space="preserve">أحكام </w:t>
      </w:r>
      <w:r w:rsidRPr="00D663C6">
        <w:rPr>
          <w:rFonts w:ascii="Simplified Arabic" w:eastAsia="Times New Roman" w:hAnsi="Simplified Arabic" w:hint="cs"/>
          <w:i/>
          <w:color w:val="000000"/>
          <w:kern w:val="22"/>
          <w:rtl/>
        </w:rPr>
        <w:t>المتصلة بها</w:t>
      </w:r>
      <w:r w:rsidRPr="00D663C6">
        <w:rPr>
          <w:rFonts w:ascii="Simplified Arabic" w:eastAsia="Times New Roman" w:hAnsi="Simplified Arabic"/>
          <w:i/>
          <w:color w:val="000000"/>
          <w:kern w:val="22"/>
          <w:rtl/>
        </w:rPr>
        <w:t xml:space="preserve"> </w:t>
      </w:r>
      <w:r>
        <w:rPr>
          <w:rFonts w:ascii="Simplified Arabic" w:eastAsia="Times New Roman" w:hAnsi="Simplified Arabic"/>
          <w:i/>
          <w:color w:val="000000"/>
          <w:kern w:val="22"/>
          <w:rtl/>
        </w:rPr>
        <w:t>أن يضع في اعتباره مسرد المصطلحات في عمله في المستقبل بوصفه موردا ومرجعا حيا، وأن يعمل على مراجعة وتحديث مسرد المصطلحات</w:t>
      </w:r>
      <w:r w:rsidRPr="00D663C6">
        <w:rPr>
          <w:rFonts w:ascii="Simplified Arabic" w:eastAsia="Times New Roman" w:hAnsi="Simplified Arabic"/>
          <w:i/>
          <w:color w:val="000000"/>
          <w:kern w:val="22"/>
          <w:rtl/>
        </w:rPr>
        <w:t>،</w:t>
      </w:r>
      <w:r>
        <w:rPr>
          <w:rFonts w:ascii="Simplified Arabic" w:eastAsia="Times New Roman" w:hAnsi="Simplified Arabic" w:hint="cs"/>
          <w:i/>
          <w:color w:val="000000"/>
          <w:kern w:val="22"/>
          <w:rtl/>
        </w:rPr>
        <w:t xml:space="preserve"> عند الاقتضاء،</w:t>
      </w:r>
      <w:r w:rsidRPr="00D663C6">
        <w:rPr>
          <w:rFonts w:ascii="Simplified Arabic" w:eastAsia="Times New Roman" w:hAnsi="Simplified Arabic"/>
          <w:i/>
          <w:color w:val="000000"/>
          <w:kern w:val="22"/>
          <w:rtl/>
        </w:rPr>
        <w:t xml:space="preserve"> حسبما يكون ملائما كجزء من ترتيب ما بعد عام 2020</w:t>
      </w:r>
      <w:r>
        <w:rPr>
          <w:rFonts w:ascii="Simplified Arabic" w:eastAsia="Times New Roman" w:hAnsi="Simplified Arabic"/>
          <w:i/>
          <w:color w:val="000000"/>
          <w:kern w:val="22"/>
          <w:rtl/>
        </w:rPr>
        <w:t>.</w:t>
      </w:r>
    </w:p>
    <w:p w:rsidR="00E93E73" w:rsidRPr="00617B55" w:rsidRDefault="00E93E73" w:rsidP="00E93E73">
      <w:pPr>
        <w:pStyle w:val="ListParagraph"/>
        <w:autoSpaceDE w:val="0"/>
        <w:autoSpaceDN w:val="0"/>
        <w:bidi/>
        <w:adjustRightInd w:val="0"/>
        <w:spacing w:line="216" w:lineRule="auto"/>
        <w:ind w:left="0"/>
        <w:jc w:val="center"/>
        <w:rPr>
          <w:rFonts w:ascii="Simplified Arabic" w:hAnsi="Simplified Arabic"/>
          <w:i/>
          <w:iCs/>
          <w:rtl/>
          <w:lang w:val="en-CA"/>
        </w:rPr>
      </w:pPr>
      <w:r w:rsidRPr="00617B55">
        <w:rPr>
          <w:rFonts w:ascii="Simplified Arabic" w:hAnsi="Simplified Arabic" w:hint="cs"/>
          <w:i/>
          <w:iCs/>
          <w:rtl/>
          <w:lang w:val="en-CA"/>
        </w:rPr>
        <w:t>المرفق</w:t>
      </w:r>
    </w:p>
    <w:p w:rsidR="00E93E73" w:rsidRPr="00617B55" w:rsidRDefault="00E93E73" w:rsidP="00E93E73">
      <w:pPr>
        <w:pStyle w:val="ListParagraph"/>
        <w:autoSpaceDE w:val="0"/>
        <w:autoSpaceDN w:val="0"/>
        <w:bidi/>
        <w:adjustRightInd w:val="0"/>
        <w:spacing w:line="216" w:lineRule="auto"/>
        <w:ind w:left="0"/>
        <w:jc w:val="center"/>
        <w:rPr>
          <w:rFonts w:ascii="Simplified Arabic" w:hAnsi="Simplified Arabic"/>
          <w:b/>
          <w:bCs/>
          <w:sz w:val="24"/>
          <w:lang w:val="en-CA"/>
        </w:rPr>
      </w:pPr>
      <w:r w:rsidRPr="00617B55">
        <w:rPr>
          <w:rFonts w:ascii="Simplified Arabic" w:hAnsi="Simplified Arabic"/>
          <w:b/>
          <w:bCs/>
          <w:sz w:val="24"/>
          <w:rtl/>
          <w:lang w:val="en-CA"/>
        </w:rPr>
        <w:t xml:space="preserve">مسرد المصطلحات </w:t>
      </w:r>
      <w:r w:rsidRPr="00617B55">
        <w:rPr>
          <w:rFonts w:ascii="Simplified Arabic" w:hAnsi="Simplified Arabic" w:hint="cs"/>
          <w:b/>
          <w:bCs/>
          <w:sz w:val="24"/>
          <w:rtl/>
          <w:lang w:val="en-CA"/>
        </w:rPr>
        <w:t xml:space="preserve">الطوعي </w:t>
      </w:r>
      <w:r w:rsidRPr="00617B55">
        <w:rPr>
          <w:rFonts w:ascii="Simplified Arabic" w:hAnsi="Simplified Arabic"/>
          <w:b/>
          <w:bCs/>
          <w:sz w:val="24"/>
          <w:rtl/>
          <w:lang w:val="en-CA"/>
        </w:rPr>
        <w:t>والمفاهيم الرئيسية ذات الصلة في سياق المادة 8(ي) والأحكام المتصلة بها</w:t>
      </w:r>
    </w:p>
    <w:p w:rsidR="00E93E73" w:rsidRPr="00617B55" w:rsidRDefault="00E93E73" w:rsidP="00E93E73">
      <w:pPr>
        <w:autoSpaceDE w:val="0"/>
        <w:autoSpaceDN w:val="0"/>
        <w:adjustRightInd w:val="0"/>
        <w:spacing w:after="100"/>
        <w:ind w:firstLine="720"/>
        <w:rPr>
          <w:rFonts w:ascii="Simplified Arabic" w:hAnsi="Simplified Arabic"/>
          <w:rtl/>
          <w:lang w:val="en-CA"/>
        </w:rPr>
      </w:pPr>
      <w:r w:rsidRPr="00617B55">
        <w:rPr>
          <w:rFonts w:ascii="Simplified Arabic" w:hAnsi="Simplified Arabic"/>
          <w:rtl/>
          <w:lang w:val="en-CA"/>
        </w:rPr>
        <w:t xml:space="preserve">يقدم المسرد الحالي وصفا لعدد من المصطلحات والمفاهيم المستخدمة في سياق المادة 8(ي) والأحكام المتصلة بها. ولا يقصد أن يقدم </w:t>
      </w:r>
      <w:r w:rsidRPr="00617B55">
        <w:rPr>
          <w:rFonts w:ascii="Simplified Arabic" w:hAnsi="Simplified Arabic" w:hint="cs"/>
          <w:rtl/>
          <w:lang w:val="en-CA"/>
        </w:rPr>
        <w:t xml:space="preserve">هذا المسرد </w:t>
      </w:r>
      <w:r w:rsidRPr="00617B55">
        <w:rPr>
          <w:rFonts w:ascii="Simplified Arabic" w:hAnsi="Simplified Arabic"/>
          <w:rtl/>
          <w:lang w:val="en-CA"/>
        </w:rPr>
        <w:t xml:space="preserve">تعاريف رسمية أو أن يكون شاملا. </w:t>
      </w:r>
      <w:r>
        <w:rPr>
          <w:rFonts w:ascii="Simplified Arabic" w:hAnsi="Simplified Arabic" w:hint="cs"/>
          <w:rtl/>
          <w:lang w:val="en-CA"/>
        </w:rPr>
        <w:t>و</w:t>
      </w:r>
      <w:r w:rsidRPr="00617B55">
        <w:rPr>
          <w:rFonts w:ascii="Simplified Arabic" w:hAnsi="Simplified Arabic" w:hint="cs"/>
          <w:rtl/>
          <w:lang w:val="en-CA"/>
        </w:rPr>
        <w:t>يتمثل الغرض في استخدام</w:t>
      </w:r>
      <w:r w:rsidRPr="00617B55">
        <w:rPr>
          <w:rFonts w:ascii="Simplified Arabic" w:hAnsi="Simplified Arabic"/>
          <w:rtl/>
          <w:lang w:val="en-CA"/>
        </w:rPr>
        <w:t xml:space="preserve"> المسرد على أساس طوعي.</w:t>
      </w:r>
    </w:p>
    <w:p w:rsidR="00E93E73" w:rsidRPr="00617B55" w:rsidRDefault="00E93E73" w:rsidP="00E93E73">
      <w:pPr>
        <w:autoSpaceDE w:val="0"/>
        <w:autoSpaceDN w:val="0"/>
        <w:adjustRightInd w:val="0"/>
        <w:spacing w:after="100"/>
        <w:ind w:firstLine="720"/>
        <w:rPr>
          <w:rFonts w:ascii="Simplified Arabic" w:hAnsi="Simplified Arabic"/>
          <w:rtl/>
          <w:lang w:val="en-CA"/>
        </w:rPr>
      </w:pPr>
      <w:r w:rsidRPr="00617B55">
        <w:rPr>
          <w:rFonts w:ascii="Simplified Arabic" w:hAnsi="Simplified Arabic" w:hint="cs"/>
          <w:rtl/>
          <w:lang w:val="en-CA"/>
        </w:rPr>
        <w:t>ولا يمس استخدام المسرد بالمصطلحات المستخدمة في الاتفاقية ولا يمكن تفسيره على أنه يعني تغيير في الحقوق أو الالتزامات لأي طرف في إطار الاتفاقية.</w:t>
      </w:r>
    </w:p>
    <w:p w:rsidR="00E93E73" w:rsidRPr="00617B55" w:rsidRDefault="00E93E73" w:rsidP="00E93E73">
      <w:pPr>
        <w:autoSpaceDE w:val="0"/>
        <w:autoSpaceDN w:val="0"/>
        <w:adjustRightInd w:val="0"/>
        <w:spacing w:after="100"/>
        <w:ind w:firstLine="720"/>
        <w:rPr>
          <w:rFonts w:ascii="Simplified Arabic" w:hAnsi="Simplified Arabic"/>
          <w:rtl/>
          <w:lang w:val="en-CA"/>
        </w:rPr>
      </w:pPr>
      <w:r w:rsidRPr="00617B55">
        <w:rPr>
          <w:rFonts w:ascii="Simplified Arabic" w:hAnsi="Simplified Arabic" w:hint="cs"/>
          <w:rtl/>
          <w:lang w:val="en-CA"/>
        </w:rPr>
        <w:t>والغرض من المسرد هو تيسير فهم عام للمصطلحات والمفاهيم المستخدمة في سياق المادة 8(ي) والأحكام المتصلة بها، في الاجتماعات المنعقدة في إطار الاتفاقية.</w:t>
      </w:r>
    </w:p>
    <w:p w:rsidR="00E93E73" w:rsidRPr="00617B55" w:rsidRDefault="00E93E73" w:rsidP="00E93E73">
      <w:pPr>
        <w:autoSpaceDE w:val="0"/>
        <w:autoSpaceDN w:val="0"/>
        <w:adjustRightInd w:val="0"/>
        <w:spacing w:after="100"/>
        <w:ind w:firstLine="720"/>
        <w:rPr>
          <w:rFonts w:ascii="Simplified Arabic" w:hAnsi="Simplified Arabic"/>
          <w:rtl/>
          <w:lang w:val="en-CA"/>
        </w:rPr>
      </w:pPr>
      <w:r w:rsidRPr="00617B55">
        <w:rPr>
          <w:rFonts w:ascii="Simplified Arabic" w:hAnsi="Simplified Arabic" w:hint="cs"/>
          <w:rtl/>
          <w:lang w:val="en-CA"/>
        </w:rPr>
        <w:t xml:space="preserve">وفيما يتعلق بالاستخدام الوطني، تخضع المصطلحات والمفاهيم للتشريعات الوطنية </w:t>
      </w:r>
      <w:r w:rsidRPr="00617B55">
        <w:rPr>
          <w:rFonts w:ascii="Simplified Arabic" w:hAnsi="Simplified Arabic"/>
          <w:i/>
          <w:rtl/>
          <w:lang w:val="en-CA"/>
        </w:rPr>
        <w:t>و</w:t>
      </w:r>
      <w:r w:rsidRPr="00617B55">
        <w:rPr>
          <w:rFonts w:ascii="Simplified Arabic" w:hAnsi="Simplified Arabic" w:hint="cs"/>
          <w:i/>
          <w:rtl/>
          <w:lang w:val="en-CA"/>
        </w:rPr>
        <w:t>ل</w:t>
      </w:r>
      <w:r w:rsidRPr="00617B55">
        <w:rPr>
          <w:rFonts w:ascii="Simplified Arabic" w:hAnsi="Simplified Arabic"/>
          <w:i/>
          <w:rtl/>
          <w:lang w:val="en-CA"/>
        </w:rPr>
        <w:t xml:space="preserve">لظروف الوطنية المتنوعة لكل طرف أو حكومة، </w:t>
      </w:r>
      <w:r w:rsidRPr="00617B55">
        <w:rPr>
          <w:rFonts w:ascii="Simplified Arabic" w:hAnsi="Simplified Arabic" w:hint="cs"/>
          <w:i/>
          <w:rtl/>
          <w:lang w:val="en-CA"/>
        </w:rPr>
        <w:t>مع الإشارة إلى أن</w:t>
      </w:r>
      <w:r w:rsidRPr="00617B55">
        <w:rPr>
          <w:rFonts w:ascii="Simplified Arabic" w:hAnsi="Simplified Arabic"/>
          <w:i/>
          <w:rtl/>
          <w:lang w:val="en-CA"/>
        </w:rPr>
        <w:t xml:space="preserve"> العديد من الأطراف لديها </w:t>
      </w:r>
      <w:r w:rsidRPr="00617B55">
        <w:rPr>
          <w:rFonts w:ascii="Simplified Arabic" w:hAnsi="Simplified Arabic" w:hint="cs"/>
          <w:i/>
          <w:rtl/>
          <w:lang w:val="en-CA"/>
        </w:rPr>
        <w:t>فهم</w:t>
      </w:r>
      <w:r w:rsidRPr="00617B55">
        <w:rPr>
          <w:rFonts w:ascii="Simplified Arabic" w:hAnsi="Simplified Arabic"/>
          <w:i/>
          <w:rtl/>
          <w:lang w:val="en-CA"/>
        </w:rPr>
        <w:t xml:space="preserve"> محدد للمصطلحات والمفاهيم التي قد </w:t>
      </w:r>
      <w:r w:rsidRPr="00617B55">
        <w:rPr>
          <w:rFonts w:ascii="Simplified Arabic" w:hAnsi="Simplified Arabic" w:hint="cs"/>
          <w:i/>
          <w:rtl/>
          <w:lang w:val="en-CA"/>
        </w:rPr>
        <w:t>تكون م</w:t>
      </w:r>
      <w:r w:rsidRPr="00617B55">
        <w:rPr>
          <w:rFonts w:ascii="Simplified Arabic" w:hAnsi="Simplified Arabic"/>
          <w:i/>
          <w:rtl/>
          <w:lang w:val="en-CA"/>
        </w:rPr>
        <w:t>طبق</w:t>
      </w:r>
      <w:r w:rsidRPr="00617B55">
        <w:rPr>
          <w:rFonts w:ascii="Simplified Arabic" w:hAnsi="Simplified Arabic" w:hint="cs"/>
          <w:i/>
          <w:rtl/>
          <w:lang w:val="en-CA"/>
        </w:rPr>
        <w:t>ة</w:t>
      </w:r>
      <w:r w:rsidRPr="00617B55">
        <w:rPr>
          <w:rFonts w:ascii="Simplified Arabic" w:hAnsi="Simplified Arabic"/>
          <w:i/>
          <w:rtl/>
          <w:lang w:val="en-CA"/>
        </w:rPr>
        <w:t xml:space="preserve"> بالفعل في نطاق ولايتها</w:t>
      </w:r>
      <w:r w:rsidRPr="00617B55">
        <w:rPr>
          <w:rFonts w:ascii="Simplified Arabic" w:hAnsi="Simplified Arabic" w:hint="cs"/>
          <w:rtl/>
          <w:lang w:val="en-CA"/>
        </w:rPr>
        <w:t>.</w:t>
      </w:r>
    </w:p>
    <w:p w:rsidR="00E93E73" w:rsidRPr="00617B55" w:rsidRDefault="00E93E73" w:rsidP="00E93E73">
      <w:pPr>
        <w:autoSpaceDE w:val="0"/>
        <w:autoSpaceDN w:val="0"/>
        <w:adjustRightInd w:val="0"/>
        <w:spacing w:after="100"/>
        <w:ind w:firstLine="720"/>
        <w:rPr>
          <w:rFonts w:ascii="Simplified Arabic" w:hAnsi="Simplified Arabic"/>
          <w:rtl/>
          <w:lang w:val="en-CA"/>
        </w:rPr>
      </w:pPr>
      <w:r w:rsidRPr="00617B55">
        <w:rPr>
          <w:rFonts w:ascii="Simplified Arabic" w:hAnsi="Simplified Arabic"/>
          <w:rtl/>
          <w:lang w:val="en-CA"/>
        </w:rPr>
        <w:t>وت</w:t>
      </w:r>
      <w:r w:rsidRPr="00617B55">
        <w:rPr>
          <w:rFonts w:ascii="Simplified Arabic" w:hAnsi="Simplified Arabic" w:hint="cs"/>
          <w:rtl/>
          <w:lang w:val="en-CA"/>
        </w:rPr>
        <w:t>ُ</w:t>
      </w:r>
      <w:r w:rsidRPr="00617B55">
        <w:rPr>
          <w:rFonts w:ascii="Simplified Arabic" w:hAnsi="Simplified Arabic"/>
          <w:rtl/>
          <w:lang w:val="en-CA"/>
        </w:rPr>
        <w:t>كم</w:t>
      </w:r>
      <w:r w:rsidRPr="00617B55">
        <w:rPr>
          <w:rFonts w:ascii="Simplified Arabic" w:hAnsi="Simplified Arabic" w:hint="cs"/>
          <w:rtl/>
          <w:lang w:val="en-CA"/>
        </w:rPr>
        <w:t>ِ</w:t>
      </w:r>
      <w:r w:rsidRPr="00617B55">
        <w:rPr>
          <w:rFonts w:ascii="Simplified Arabic" w:hAnsi="Simplified Arabic"/>
          <w:rtl/>
          <w:lang w:val="en-CA"/>
        </w:rPr>
        <w:t xml:space="preserve">ل المصطلحات والمفاهيم </w:t>
      </w:r>
      <w:r w:rsidRPr="00617B55">
        <w:rPr>
          <w:rFonts w:ascii="Simplified Arabic" w:hAnsi="Simplified Arabic" w:hint="cs"/>
          <w:rtl/>
          <w:lang w:val="en-CA"/>
        </w:rPr>
        <w:t>الوارد وصفها</w:t>
      </w:r>
      <w:r w:rsidRPr="00617B55">
        <w:rPr>
          <w:rFonts w:ascii="Simplified Arabic" w:hAnsi="Simplified Arabic"/>
          <w:rtl/>
          <w:lang w:val="en-CA"/>
        </w:rPr>
        <w:t xml:space="preserve"> أدناه ال</w:t>
      </w:r>
      <w:r>
        <w:rPr>
          <w:rFonts w:ascii="Simplified Arabic" w:hAnsi="Simplified Arabic" w:hint="cs"/>
          <w:rtl/>
          <w:lang w:val="en-CA"/>
        </w:rPr>
        <w:t>مصطلحات</w:t>
      </w:r>
      <w:r w:rsidRPr="00617B55">
        <w:rPr>
          <w:rFonts w:ascii="Simplified Arabic" w:hAnsi="Simplified Arabic"/>
          <w:rtl/>
          <w:lang w:val="en-CA"/>
        </w:rPr>
        <w:t xml:space="preserve"> الواردة في الاتفاقية وبروتوكول ناغويا.</w:t>
      </w:r>
    </w:p>
    <w:p w:rsidR="00E93E73" w:rsidRPr="00617B55" w:rsidRDefault="00E93E73" w:rsidP="00E93E73">
      <w:pPr>
        <w:autoSpaceDE w:val="0"/>
        <w:autoSpaceDN w:val="0"/>
        <w:adjustRightInd w:val="0"/>
        <w:ind w:firstLine="720"/>
        <w:rPr>
          <w:rFonts w:ascii="Simplified Arabic" w:hAnsi="Simplified Arabic"/>
          <w:rtl/>
          <w:lang w:val="en-CA"/>
        </w:rPr>
      </w:pPr>
      <w:r w:rsidRPr="00617B55">
        <w:rPr>
          <w:rFonts w:ascii="Simplified Arabic" w:hAnsi="Simplified Arabic" w:hint="cs"/>
          <w:rtl/>
          <w:lang w:val="en-CA"/>
        </w:rPr>
        <w:lastRenderedPageBreak/>
        <w:t xml:space="preserve">وقد أدرجت </w:t>
      </w:r>
      <w:r w:rsidRPr="00617B55">
        <w:rPr>
          <w:rFonts w:ascii="Simplified Arabic" w:hAnsi="Simplified Arabic"/>
          <w:rtl/>
          <w:lang w:val="en-CA"/>
        </w:rPr>
        <w:t xml:space="preserve">المصطلحات والمفاهيم الواردة في </w:t>
      </w:r>
      <w:r w:rsidRPr="00617B55">
        <w:rPr>
          <w:rFonts w:ascii="Simplified Arabic" w:hAnsi="Simplified Arabic" w:hint="cs"/>
          <w:rtl/>
          <w:lang w:val="en-CA"/>
        </w:rPr>
        <w:t>ال</w:t>
      </w:r>
      <w:r w:rsidRPr="00617B55">
        <w:rPr>
          <w:rFonts w:ascii="Simplified Arabic" w:hAnsi="Simplified Arabic"/>
          <w:rtl/>
          <w:lang w:val="en-CA"/>
        </w:rPr>
        <w:t>مبادئ التوجيهية الطوعية أ</w:t>
      </w:r>
      <w:r w:rsidRPr="00617B55">
        <w:rPr>
          <w:rFonts w:ascii="Simplified Arabic" w:hAnsi="Simplified Arabic" w:hint="cs"/>
          <w:rtl/>
          <w:lang w:val="en-CA"/>
        </w:rPr>
        <w:t>غ</w:t>
      </w:r>
      <w:r w:rsidRPr="00617B55">
        <w:rPr>
          <w:rFonts w:ascii="Simplified Arabic" w:hAnsi="Simplified Arabic"/>
          <w:rtl/>
          <w:lang w:val="en-CA"/>
        </w:rPr>
        <w:t>و</w:t>
      </w:r>
      <w:r w:rsidRPr="00617B55">
        <w:rPr>
          <w:rFonts w:ascii="Simplified Arabic" w:hAnsi="Simplified Arabic" w:hint="cs"/>
          <w:rtl/>
          <w:lang w:val="en-CA"/>
        </w:rPr>
        <w:t>ا</w:t>
      </w:r>
      <w:r w:rsidRPr="00617B55">
        <w:rPr>
          <w:rFonts w:ascii="Simplified Arabic" w:hAnsi="Simplified Arabic"/>
          <w:rtl/>
          <w:lang w:val="en-CA"/>
        </w:rPr>
        <w:t xml:space="preserve">ي: </w:t>
      </w:r>
      <w:r w:rsidRPr="00617B55">
        <w:rPr>
          <w:rFonts w:ascii="Simplified Arabic" w:hAnsi="Simplified Arabic" w:hint="cs"/>
          <w:rtl/>
          <w:lang w:val="en-CA"/>
        </w:rPr>
        <w:t>غ</w:t>
      </w:r>
      <w:r w:rsidRPr="00617B55">
        <w:rPr>
          <w:rFonts w:ascii="Simplified Arabic" w:hAnsi="Simplified Arabic"/>
          <w:rtl/>
          <w:lang w:val="en-CA"/>
        </w:rPr>
        <w:t xml:space="preserve">و لإجراء تقييم الأثر الثقافي والبيئي والاجتماعي فيما يتعلق بالتطورات المقترح اتخاذها أو المحتمل أن تؤثر على المواقع المقدسة وعلى الأراضي والمياه التي تقطنها أو تستخدمها تقليديا المجتمعات الأصلية والمحلية، التي </w:t>
      </w:r>
      <w:r w:rsidRPr="00617B55">
        <w:rPr>
          <w:rFonts w:ascii="Simplified Arabic" w:hAnsi="Simplified Arabic" w:hint="cs"/>
          <w:rtl/>
          <w:lang w:val="en-CA"/>
        </w:rPr>
        <w:t>تم تأييدها</w:t>
      </w:r>
      <w:r w:rsidRPr="00617B55">
        <w:rPr>
          <w:rFonts w:ascii="Simplified Arabic" w:hAnsi="Simplified Arabic"/>
          <w:rtl/>
          <w:lang w:val="en-CA"/>
        </w:rPr>
        <w:t xml:space="preserve"> في المقرر 7/16 واو، و</w:t>
      </w:r>
      <w:r w:rsidRPr="00617B55">
        <w:rPr>
          <w:rFonts w:ascii="Simplified Arabic" w:hAnsi="Simplified Arabic" w:hint="cs"/>
          <w:rtl/>
          <w:lang w:val="en-CA"/>
        </w:rPr>
        <w:t>ال</w:t>
      </w:r>
      <w:r w:rsidRPr="00617B55">
        <w:rPr>
          <w:rFonts w:ascii="Simplified Arabic" w:hAnsi="Simplified Arabic"/>
          <w:rtl/>
          <w:lang w:val="en-CA"/>
        </w:rPr>
        <w:t xml:space="preserve">مبادئ التوجيهية الطوعية موتز كوستال التي </w:t>
      </w:r>
      <w:r w:rsidRPr="00617B55">
        <w:rPr>
          <w:rFonts w:ascii="Simplified Arabic" w:hAnsi="Simplified Arabic" w:hint="cs"/>
          <w:rtl/>
          <w:lang w:val="en-CA"/>
        </w:rPr>
        <w:t>تم اعتمادها والترحيب</w:t>
      </w:r>
      <w:r w:rsidRPr="00617B55">
        <w:rPr>
          <w:rFonts w:ascii="Simplified Arabic" w:hAnsi="Simplified Arabic"/>
          <w:rtl/>
          <w:lang w:val="en-CA"/>
        </w:rPr>
        <w:t xml:space="preserve"> بها في المقرر 1</w:t>
      </w:r>
      <w:r>
        <w:rPr>
          <w:rFonts w:ascii="Simplified Arabic" w:hAnsi="Simplified Arabic" w:hint="cs"/>
          <w:rtl/>
          <w:lang w:val="en-CA"/>
        </w:rPr>
        <w:t>3</w:t>
      </w:r>
      <w:r w:rsidRPr="00617B55">
        <w:rPr>
          <w:rFonts w:ascii="Simplified Arabic" w:hAnsi="Simplified Arabic"/>
          <w:rtl/>
          <w:lang w:val="en-CA"/>
        </w:rPr>
        <w:t>/18، نظرا لأنها تتصل مباشرة بالمادة 8(ي) والأحكام المتصلة بها.</w:t>
      </w:r>
    </w:p>
    <w:p w:rsidR="00E93E73" w:rsidRPr="00617B55" w:rsidRDefault="00E93E73" w:rsidP="00E93E73">
      <w:pPr>
        <w:autoSpaceDE w:val="0"/>
        <w:autoSpaceDN w:val="0"/>
        <w:adjustRightInd w:val="0"/>
        <w:ind w:firstLine="720"/>
        <w:rPr>
          <w:rFonts w:ascii="Simplified Arabic" w:hAnsi="Simplified Arabic"/>
          <w:rtl/>
          <w:lang w:val="en-CA"/>
        </w:rPr>
      </w:pPr>
      <w:r w:rsidRPr="00617B55">
        <w:rPr>
          <w:rFonts w:ascii="Simplified Arabic" w:hAnsi="Simplified Arabic"/>
          <w:rtl/>
          <w:lang w:val="en-CA"/>
        </w:rPr>
        <w:t>ويتاح المسرد كمورد ينبغي النظر فيه واستخدامه، حسب الاقتضاء، في سياق المادة 8(ي) والأحكام المتصلة بها، في الاجتماعات التي تعقد بموجب الاتفاقية.</w:t>
      </w:r>
    </w:p>
    <w:p w:rsidR="00E93E73" w:rsidRPr="00617B55" w:rsidRDefault="00E93E73" w:rsidP="00E93E73">
      <w:pPr>
        <w:autoSpaceDE w:val="0"/>
        <w:autoSpaceDN w:val="0"/>
        <w:adjustRightInd w:val="0"/>
        <w:ind w:firstLine="720"/>
        <w:rPr>
          <w:rFonts w:ascii="Simplified Arabic" w:hAnsi="Simplified Arabic"/>
          <w:rtl/>
          <w:lang w:val="en-CA"/>
        </w:rPr>
      </w:pPr>
      <w:r w:rsidRPr="00617B55">
        <w:rPr>
          <w:rFonts w:ascii="Simplified Arabic" w:hAnsi="Simplified Arabic"/>
          <w:rtl/>
          <w:lang w:val="en-CA"/>
        </w:rPr>
        <w:t>ويعتبر المسرد مكملا لقواعد السلوك الأخلاقي تغاريوايي:ري لضمان احترام التراث الثقافي والفكري للمجتمعات الأصلية والمحلية، المعتمدة في المقرر 10/42.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5"/>
        <w:gridCol w:w="6671"/>
      </w:tblGrid>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jc w:val="center"/>
              <w:rPr>
                <w:rFonts w:ascii="Simplified Arabic" w:hAnsi="Simplified Arabic"/>
                <w:bCs/>
                <w:rtl/>
              </w:rPr>
            </w:pPr>
            <w:r w:rsidRPr="00617B55">
              <w:rPr>
                <w:snapToGrid w:val="0"/>
                <w:kern w:val="22"/>
                <w:rtl/>
              </w:rPr>
              <w:br w:type="page"/>
            </w:r>
            <w:r w:rsidRPr="00617B55">
              <w:rPr>
                <w:rFonts w:ascii="Simplified Arabic" w:hAnsi="Simplified Arabic" w:hint="cs"/>
                <w:bCs/>
                <w:szCs w:val="22"/>
                <w:rtl/>
              </w:rPr>
              <w:t>القسم</w:t>
            </w:r>
            <w:r w:rsidRPr="00617B55">
              <w:rPr>
                <w:rFonts w:ascii="Simplified Arabic" w:hAnsi="Simplified Arabic"/>
                <w:bCs/>
                <w:szCs w:val="22"/>
                <w:rtl/>
              </w:rPr>
              <w:t xml:space="preserve"> الأول</w:t>
            </w:r>
          </w:p>
          <w:p w:rsidR="00E93E73" w:rsidRPr="00617B55" w:rsidRDefault="00E93E73" w:rsidP="00FA2E1F">
            <w:pPr>
              <w:spacing w:before="40" w:after="40"/>
              <w:jc w:val="center"/>
              <w:rPr>
                <w:rFonts w:ascii="Simplified Arabic" w:hAnsi="Simplified Arabic"/>
                <w:bCs/>
              </w:rPr>
            </w:pPr>
            <w:r w:rsidRPr="00617B55">
              <w:rPr>
                <w:rFonts w:ascii="Simplified Arabic" w:hAnsi="Simplified Arabic"/>
                <w:bCs/>
                <w:szCs w:val="22"/>
                <w:rtl/>
              </w:rPr>
              <w:t xml:space="preserve">المصطلحات والمفاهيم المستمدة من نص اتفاقية التنوع البيولوجي أو </w:t>
            </w:r>
            <w:r w:rsidRPr="00617B55">
              <w:rPr>
                <w:rFonts w:ascii="Simplified Arabic" w:hAnsi="Simplified Arabic" w:hint="cs"/>
                <w:bCs/>
                <w:szCs w:val="22"/>
                <w:rtl/>
              </w:rPr>
              <w:t>المقررات</w:t>
            </w:r>
            <w:r w:rsidRPr="00617B55">
              <w:rPr>
                <w:rFonts w:ascii="Simplified Arabic" w:hAnsi="Simplified Arabic"/>
                <w:bCs/>
                <w:szCs w:val="22"/>
                <w:rtl/>
              </w:rPr>
              <w:t xml:space="preserve"> المتخذة بموجب الاتفاقية</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jc w:val="center"/>
              <w:rPr>
                <w:rFonts w:ascii="Simplified Arabic" w:hAnsi="Simplified Arabic"/>
                <w:bCs/>
              </w:rPr>
            </w:pPr>
            <w:r w:rsidRPr="00617B55">
              <w:rPr>
                <w:rFonts w:ascii="Simplified Arabic" w:hAnsi="Simplified Arabic"/>
                <w:bCs/>
                <w:szCs w:val="22"/>
                <w:rtl/>
              </w:rPr>
              <w:t>المصطلح أو المفهوم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jc w:val="center"/>
              <w:rPr>
                <w:rFonts w:ascii="Simplified Arabic" w:hAnsi="Simplified Arabic"/>
                <w:bCs/>
              </w:rPr>
            </w:pPr>
            <w:r w:rsidRPr="00617B55">
              <w:rPr>
                <w:rFonts w:ascii="Simplified Arabic" w:hAnsi="Simplified Arabic"/>
                <w:bCs/>
                <w:szCs w:val="22"/>
                <w:rtl/>
              </w:rPr>
              <w:t>فهم المصطلح أو المفهوم في سياق الاتفاقية</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snapToGrid w:val="0"/>
                <w:kern w:val="22"/>
                <w:sz w:val="32"/>
                <w:szCs w:val="22"/>
                <w:rtl/>
              </w:rPr>
              <w:t xml:space="preserve">المعارف </w:t>
            </w:r>
            <w:r w:rsidRPr="00617B55">
              <w:rPr>
                <w:rFonts w:ascii="Simplified Arabic" w:eastAsia="Times New Roman" w:hAnsi="Simplified Arabic" w:hint="cs"/>
                <w:snapToGrid w:val="0"/>
                <w:kern w:val="22"/>
                <w:sz w:val="32"/>
                <w:szCs w:val="22"/>
                <w:rtl/>
              </w:rPr>
              <w:t>التقليدية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snapToGrid w:val="0"/>
                <w:kern w:val="22"/>
                <w:sz w:val="32"/>
                <w:szCs w:val="22"/>
                <w:rtl/>
              </w:rPr>
              <w:t>معارف وابتكارات وممارسات المجتمعات الأصلية والمحلية التي تجسد أساليب الحياة التقليدية ذات الصلة بحفظ التنوع البيولوجي واستخدامه المستدام</w:t>
            </w:r>
            <w:r w:rsidRPr="00617B55">
              <w:rPr>
                <w:rFonts w:ascii="Simplified Arabic" w:eastAsia="Times New Roman" w:hAnsi="Simplified Arabic" w:hint="cs"/>
                <w:snapToGrid w:val="0"/>
                <w:kern w:val="22"/>
                <w:sz w:val="32"/>
                <w:szCs w:val="22"/>
                <w:rtl/>
              </w:rPr>
              <w:t>.</w:t>
            </w:r>
            <w:r w:rsidRPr="00617B55">
              <w:rPr>
                <w:rStyle w:val="FootnoteReference"/>
                <w:snapToGrid w:val="0"/>
                <w:kern w:val="22"/>
                <w:szCs w:val="22"/>
              </w:rPr>
              <w:footnoteReference w:id="216"/>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الاستخدام المألوف المستدام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E93E73">
            <w:pPr>
              <w:rPr>
                <w:rFonts w:eastAsia="Times New Roman"/>
                <w:snapToGrid w:val="0"/>
                <w:kern w:val="22"/>
                <w:rtl/>
              </w:rPr>
            </w:pPr>
            <w:r w:rsidRPr="00617B55">
              <w:rPr>
                <w:rFonts w:ascii="Simplified Arabic" w:eastAsia="Times New Roman" w:hAnsi="Simplified Arabic"/>
                <w:snapToGrid w:val="0"/>
                <w:kern w:val="22"/>
                <w:sz w:val="32"/>
                <w:szCs w:val="22"/>
                <w:rtl/>
              </w:rPr>
              <w:t>استخدامات الموارد البيولوجية وفقا للممارسات الثقافية التقليدية التي تتوافق مع متطلبات الحفظ أو الاستخدام المستدام</w:t>
            </w:r>
            <w:r w:rsidRPr="00617B55">
              <w:rPr>
                <w:rFonts w:ascii="Simplified Arabic" w:eastAsia="Times New Roman" w:hAnsi="Simplified Arabic" w:hint="cs"/>
                <w:snapToGrid w:val="0"/>
                <w:kern w:val="22"/>
                <w:sz w:val="32"/>
                <w:szCs w:val="22"/>
                <w:rtl/>
              </w:rPr>
              <w:t>.</w:t>
            </w:r>
            <w:r w:rsidRPr="00617B55">
              <w:rPr>
                <w:rStyle w:val="FootnoteReference"/>
                <w:snapToGrid w:val="0"/>
                <w:kern w:val="22"/>
                <w:szCs w:val="22"/>
              </w:rPr>
              <w:footnoteReference w:id="217"/>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snapToGrid w:val="0"/>
                <w:kern w:val="22"/>
                <w:sz w:val="32"/>
                <w:szCs w:val="22"/>
                <w:rtl/>
              </w:rPr>
              <w:t>المجتمعات الأصلية والمحلية أو</w:t>
            </w:r>
            <w:r>
              <w:rPr>
                <w:rFonts w:ascii="Simplified Arabic" w:eastAsia="Times New Roman" w:hAnsi="Simplified Arabic" w:hint="cs"/>
                <w:snapToGrid w:val="0"/>
                <w:kern w:val="22"/>
                <w:sz w:val="32"/>
                <w:szCs w:val="22"/>
                <w:rtl/>
              </w:rPr>
              <w:t xml:space="preserve"> </w:t>
            </w:r>
            <w:r w:rsidRPr="00617B55">
              <w:rPr>
                <w:rFonts w:ascii="Simplified Arabic" w:eastAsia="Times New Roman" w:hAnsi="Simplified Arabic"/>
                <w:snapToGrid w:val="0"/>
                <w:kern w:val="22"/>
                <w:sz w:val="32"/>
                <w:szCs w:val="22"/>
                <w:rtl/>
              </w:rPr>
              <w:t xml:space="preserve">الشعوب الأصلية </w:t>
            </w:r>
            <w:r w:rsidRPr="00617B55">
              <w:rPr>
                <w:rFonts w:ascii="Simplified Arabic" w:eastAsia="Times New Roman" w:hAnsi="Simplified Arabic" w:hint="cs"/>
                <w:snapToGrid w:val="0"/>
                <w:kern w:val="22"/>
                <w:sz w:val="32"/>
                <w:szCs w:val="22"/>
                <w:rtl/>
              </w:rPr>
              <w:t>وال</w:t>
            </w:r>
            <w:r w:rsidRPr="00617B55">
              <w:rPr>
                <w:rFonts w:ascii="Simplified Arabic" w:eastAsia="Times New Roman" w:hAnsi="Simplified Arabic"/>
                <w:snapToGrid w:val="0"/>
                <w:kern w:val="22"/>
                <w:sz w:val="32"/>
                <w:szCs w:val="22"/>
                <w:rtl/>
              </w:rPr>
              <w:t>مجتمعات المحلية</w:t>
            </w:r>
            <w:r w:rsidRPr="0033424E">
              <w:rPr>
                <w:rFonts w:eastAsia="Times New Roman"/>
                <w:snapToGrid w:val="0"/>
                <w:kern w:val="22"/>
                <w:sz w:val="24"/>
                <w:vertAlign w:val="superscript"/>
              </w:rPr>
              <w:footnoteReference w:id="218"/>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snapToGrid w:val="0"/>
                <w:kern w:val="22"/>
                <w:sz w:val="32"/>
                <w:szCs w:val="22"/>
                <w:rtl/>
              </w:rPr>
              <w:t>لا تُعرف اتفاقية التنوع البيولوجي مصطلحات "المجتمعات الأصلية والمحلية" أو "الشعوب الأصلية والمجتمعات المحلية". ولا يعتمد إعلان الأمم المتحدة بشأن حقوق الشعوب الأصلية تعريفا عالميا "للشعوب الأصلية"، ول</w:t>
            </w:r>
            <w:r w:rsidRPr="00617B55">
              <w:rPr>
                <w:rFonts w:ascii="Simplified Arabic" w:eastAsia="Times New Roman" w:hAnsi="Simplified Arabic" w:hint="cs"/>
                <w:snapToGrid w:val="0"/>
                <w:kern w:val="22"/>
                <w:sz w:val="32"/>
                <w:szCs w:val="22"/>
                <w:rtl/>
              </w:rPr>
              <w:t>ا</w:t>
            </w:r>
            <w:r w:rsidRPr="00617B55">
              <w:rPr>
                <w:rFonts w:ascii="Simplified Arabic" w:eastAsia="Times New Roman" w:hAnsi="Simplified Arabic"/>
                <w:snapToGrid w:val="0"/>
                <w:kern w:val="22"/>
                <w:sz w:val="32"/>
                <w:szCs w:val="22"/>
                <w:rtl/>
              </w:rPr>
              <w:t xml:space="preserve"> يوص</w:t>
            </w:r>
            <w:r w:rsidRPr="00617B55">
              <w:rPr>
                <w:rFonts w:ascii="Simplified Arabic" w:eastAsia="Times New Roman" w:hAnsi="Simplified Arabic" w:hint="cs"/>
                <w:snapToGrid w:val="0"/>
                <w:kern w:val="22"/>
                <w:sz w:val="32"/>
                <w:szCs w:val="22"/>
                <w:rtl/>
              </w:rPr>
              <w:t>ى</w:t>
            </w:r>
            <w:r w:rsidRPr="00617B55">
              <w:rPr>
                <w:rFonts w:ascii="Simplified Arabic" w:eastAsia="Times New Roman" w:hAnsi="Simplified Arabic"/>
                <w:snapToGrid w:val="0"/>
                <w:kern w:val="22"/>
                <w:sz w:val="32"/>
                <w:szCs w:val="22"/>
                <w:rtl/>
              </w:rPr>
              <w:t xml:space="preserve"> بتعريف معين.</w:t>
            </w:r>
            <w:r w:rsidRPr="00617B55">
              <w:rPr>
                <w:rStyle w:val="FootnoteReference"/>
                <w:snapToGrid w:val="0"/>
                <w:kern w:val="22"/>
                <w:szCs w:val="22"/>
              </w:rPr>
              <w:footnoteReference w:id="219"/>
            </w:r>
            <w:r w:rsidRPr="00617B55">
              <w:rPr>
                <w:rFonts w:ascii="Simplified Arabic" w:eastAsia="Times New Roman" w:hAnsi="Simplified Arabic" w:hint="cs"/>
                <w:snapToGrid w:val="0"/>
                <w:kern w:val="22"/>
                <w:sz w:val="32"/>
                <w:szCs w:val="22"/>
                <w:vertAlign w:val="superscript"/>
                <w:rtl/>
              </w:rPr>
              <w:t>،</w:t>
            </w:r>
            <w:r w:rsidRPr="00617B55">
              <w:rPr>
                <w:rFonts w:eastAsia="Times New Roman" w:hint="cs"/>
                <w:snapToGrid w:val="0"/>
                <w:kern w:val="22"/>
                <w:szCs w:val="22"/>
                <w:vertAlign w:val="superscript"/>
                <w:rtl/>
              </w:rPr>
              <w:t xml:space="preserve"> </w:t>
            </w:r>
            <w:r w:rsidRPr="00617B55">
              <w:rPr>
                <w:rFonts w:eastAsia="Times New Roman"/>
                <w:snapToGrid w:val="0"/>
                <w:kern w:val="22"/>
                <w:szCs w:val="22"/>
                <w:vertAlign w:val="superscript"/>
              </w:rPr>
              <w:footnoteReference w:id="220"/>
            </w:r>
          </w:p>
        </w:tc>
      </w:tr>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93E73" w:rsidRPr="00617B55" w:rsidRDefault="00E93E73" w:rsidP="00FA2E1F">
            <w:pPr>
              <w:jc w:val="center"/>
              <w:rPr>
                <w:rFonts w:ascii="Simplified Arabic" w:hAnsi="Simplified Arabic"/>
                <w:bCs/>
                <w:rtl/>
              </w:rPr>
            </w:pPr>
            <w:r w:rsidRPr="00617B55">
              <w:rPr>
                <w:rFonts w:ascii="Simplified Arabic" w:hAnsi="Simplified Arabic" w:hint="cs"/>
                <w:bCs/>
                <w:szCs w:val="22"/>
                <w:rtl/>
              </w:rPr>
              <w:t>القسم</w:t>
            </w:r>
            <w:r w:rsidRPr="00617B55">
              <w:rPr>
                <w:rFonts w:ascii="Simplified Arabic" w:hAnsi="Simplified Arabic"/>
                <w:bCs/>
                <w:szCs w:val="22"/>
                <w:rtl/>
              </w:rPr>
              <w:t xml:space="preserve"> الثاني</w:t>
            </w:r>
          </w:p>
          <w:p w:rsidR="00E93E73" w:rsidRPr="00617B55" w:rsidRDefault="00E93E73" w:rsidP="00FA2E1F">
            <w:pPr>
              <w:spacing w:before="40" w:after="40"/>
              <w:jc w:val="center"/>
              <w:rPr>
                <w:rFonts w:ascii="Simplified Arabic" w:hAnsi="Simplified Arabic"/>
                <w:bCs/>
              </w:rPr>
            </w:pPr>
            <w:r w:rsidRPr="00617B55">
              <w:rPr>
                <w:rFonts w:ascii="Simplified Arabic" w:hAnsi="Simplified Arabic"/>
                <w:bCs/>
                <w:szCs w:val="22"/>
                <w:rtl/>
              </w:rPr>
              <w:t xml:space="preserve">المصطلحات والمفاهيم المستمدة من مخرجات برنامج العمل بشأن المادة 8(ي) والأحكام المتصلة بها والتي اعتمدها أو </w:t>
            </w:r>
            <w:r w:rsidRPr="00617B55">
              <w:rPr>
                <w:rFonts w:ascii="Simplified Arabic" w:hAnsi="Simplified Arabic" w:hint="cs"/>
                <w:bCs/>
                <w:szCs w:val="22"/>
                <w:rtl/>
              </w:rPr>
              <w:t>أيدها</w:t>
            </w:r>
            <w:r w:rsidRPr="00617B55">
              <w:rPr>
                <w:rFonts w:ascii="Simplified Arabic" w:hAnsi="Simplified Arabic"/>
                <w:bCs/>
                <w:szCs w:val="22"/>
                <w:rtl/>
              </w:rPr>
              <w:t xml:space="preserve"> مؤتمر الأطراف في اتفاقية التنوع البيولوجي</w:t>
            </w:r>
          </w:p>
        </w:tc>
      </w:tr>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jc w:val="center"/>
              <w:rPr>
                <w:rFonts w:ascii="Simplified Arabic" w:hAnsi="Simplified Arabic"/>
                <w:bCs/>
              </w:rPr>
            </w:pPr>
            <w:r w:rsidRPr="00617B55">
              <w:rPr>
                <w:rFonts w:ascii="Simplified Arabic" w:hAnsi="Simplified Arabic" w:hint="cs"/>
                <w:bCs/>
                <w:szCs w:val="22"/>
                <w:rtl/>
              </w:rPr>
              <w:t>ال</w:t>
            </w:r>
            <w:r w:rsidRPr="00617B55">
              <w:rPr>
                <w:rFonts w:ascii="Simplified Arabic" w:hAnsi="Simplified Arabic"/>
                <w:bCs/>
                <w:szCs w:val="22"/>
                <w:rtl/>
              </w:rPr>
              <w:t>مبادئ التوجيهية الطوعية أ</w:t>
            </w:r>
            <w:r w:rsidRPr="00617B55">
              <w:rPr>
                <w:rFonts w:ascii="Simplified Arabic" w:hAnsi="Simplified Arabic" w:hint="cs"/>
                <w:bCs/>
                <w:szCs w:val="22"/>
                <w:rtl/>
              </w:rPr>
              <w:t>غ</w:t>
            </w:r>
            <w:r w:rsidRPr="00617B55">
              <w:rPr>
                <w:rFonts w:ascii="Simplified Arabic" w:hAnsi="Simplified Arabic"/>
                <w:bCs/>
                <w:szCs w:val="22"/>
                <w:rtl/>
              </w:rPr>
              <w:t>و</w:t>
            </w:r>
            <w:r w:rsidRPr="00617B55">
              <w:rPr>
                <w:rFonts w:ascii="Simplified Arabic" w:hAnsi="Simplified Arabic" w:hint="cs"/>
                <w:bCs/>
                <w:szCs w:val="22"/>
                <w:rtl/>
              </w:rPr>
              <w:t>ا</w:t>
            </w:r>
            <w:r w:rsidRPr="00617B55">
              <w:rPr>
                <w:rFonts w:ascii="Simplified Arabic" w:hAnsi="Simplified Arabic"/>
                <w:bCs/>
                <w:szCs w:val="22"/>
                <w:rtl/>
              </w:rPr>
              <w:t xml:space="preserve">ي: </w:t>
            </w:r>
            <w:r w:rsidRPr="00617B55">
              <w:rPr>
                <w:rFonts w:ascii="Simplified Arabic" w:hAnsi="Simplified Arabic" w:hint="cs"/>
                <w:bCs/>
                <w:szCs w:val="22"/>
                <w:rtl/>
              </w:rPr>
              <w:t>غ</w:t>
            </w:r>
            <w:r w:rsidRPr="00617B55">
              <w:rPr>
                <w:rFonts w:ascii="Simplified Arabic" w:hAnsi="Simplified Arabic"/>
                <w:bCs/>
                <w:szCs w:val="22"/>
                <w:rtl/>
              </w:rPr>
              <w:t>و لإجراء تقييم الأثر الثقافي والبيئي والاجتماعي فيما يتعلق بالتطورات المقترح اتخاذها أو التي من المرجح أن تؤثر على المواقع المقدسة وعلى الأراضي والمياه التي تقطنها المجتمعات الأصلية والمحلية أو تستخدمها تقليديا</w:t>
            </w:r>
            <w:r w:rsidRPr="00617B55">
              <w:rPr>
                <w:rFonts w:ascii="Simplified Arabic" w:hAnsi="Simplified Arabic" w:hint="cs"/>
                <w:bCs/>
                <w:szCs w:val="22"/>
                <w:rtl/>
              </w:rPr>
              <w:t xml:space="preserve"> </w:t>
            </w:r>
            <w:r w:rsidRPr="00617B55">
              <w:rPr>
                <w:rFonts w:ascii="Simplified Arabic" w:hAnsi="Simplified Arabic" w:hint="cs"/>
                <w:b/>
                <w:szCs w:val="22"/>
                <w:rtl/>
              </w:rPr>
              <w:t>(المقرر 7/16 واو، المرفق)</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after="60"/>
              <w:rPr>
                <w:rFonts w:eastAsia="Times New Roman"/>
                <w:snapToGrid w:val="0"/>
                <w:kern w:val="22"/>
              </w:rPr>
            </w:pPr>
            <w:r w:rsidRPr="00617B55">
              <w:rPr>
                <w:rFonts w:ascii="Simplified Arabic" w:hAnsi="Simplified Arabic"/>
                <w:bCs/>
                <w:szCs w:val="22"/>
                <w:rtl/>
              </w:rPr>
              <w:lastRenderedPageBreak/>
              <w:t>المصطلح أو المفهوم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after="60"/>
              <w:rPr>
                <w:rFonts w:ascii="Simplified Arabic" w:hAnsi="Simplified Arabic"/>
                <w:bCs/>
                <w:rtl/>
              </w:rPr>
            </w:pPr>
            <w:r w:rsidRPr="00617B55">
              <w:rPr>
                <w:rFonts w:ascii="Simplified Arabic" w:hAnsi="Simplified Arabic"/>
                <w:bCs/>
                <w:szCs w:val="22"/>
                <w:rtl/>
              </w:rPr>
              <w:t>فهم المصطلح أو المفهوم في سياق الاتفاقي</w:t>
            </w:r>
            <w:r w:rsidRPr="00617B55">
              <w:rPr>
                <w:rFonts w:ascii="Simplified Arabic" w:hAnsi="Simplified Arabic" w:hint="cs"/>
                <w:bCs/>
                <w:szCs w:val="22"/>
                <w:rtl/>
              </w:rPr>
              <w:t>ة</w:t>
            </w:r>
          </w:p>
          <w:p w:rsidR="00E93E73" w:rsidRPr="00617B55" w:rsidRDefault="00E93E73" w:rsidP="00FA2E1F">
            <w:pPr>
              <w:rPr>
                <w:rFonts w:ascii="Simplified Arabic" w:eastAsia="Times New Roman" w:hAnsi="Simplified Arabic"/>
                <w:snapToGrid w:val="0"/>
                <w:kern w:val="22"/>
                <w:sz w:val="32"/>
              </w:rPr>
            </w:pPr>
            <w:r w:rsidRPr="00617B55">
              <w:rPr>
                <w:rFonts w:eastAsia="Times New Roman"/>
                <w:i/>
                <w:snapToGrid w:val="0"/>
                <w:kern w:val="22"/>
                <w:szCs w:val="22"/>
              </w:rPr>
              <w:t>*</w:t>
            </w:r>
            <w:r w:rsidRPr="00617B55">
              <w:rPr>
                <w:rFonts w:eastAsia="Times New Roman" w:hint="eastAsia"/>
                <w:i/>
                <w:snapToGrid w:val="0"/>
                <w:kern w:val="22"/>
                <w:szCs w:val="22"/>
                <w:rtl/>
              </w:rPr>
              <w:t xml:space="preserve"> </w:t>
            </w:r>
            <w:r w:rsidRPr="00617B55">
              <w:rPr>
                <w:rFonts w:ascii="Simplified Arabic" w:eastAsia="Times New Roman" w:hAnsi="Simplified Arabic"/>
                <w:i/>
                <w:iCs/>
                <w:snapToGrid w:val="0"/>
                <w:kern w:val="22"/>
                <w:sz w:val="32"/>
                <w:szCs w:val="22"/>
                <w:rtl/>
              </w:rPr>
              <w:t xml:space="preserve">يلاحظ أن مؤتمر الأطراف قد وافق على المصطلحات والمفاهيم التالية في المقرر 7/16 واو بشأن </w:t>
            </w:r>
            <w:r w:rsidRPr="00617B55">
              <w:rPr>
                <w:rFonts w:ascii="Simplified Arabic" w:eastAsia="Times New Roman" w:hAnsi="Simplified Arabic" w:hint="cs"/>
                <w:i/>
                <w:iCs/>
                <w:snapToGrid w:val="0"/>
                <w:kern w:val="22"/>
                <w:sz w:val="32"/>
                <w:szCs w:val="22"/>
                <w:rtl/>
              </w:rPr>
              <w:t>ال</w:t>
            </w:r>
            <w:r w:rsidRPr="00617B55">
              <w:rPr>
                <w:rFonts w:ascii="Simplified Arabic" w:eastAsia="Times New Roman" w:hAnsi="Simplified Arabic"/>
                <w:i/>
                <w:iCs/>
                <w:snapToGrid w:val="0"/>
                <w:kern w:val="22"/>
                <w:sz w:val="32"/>
                <w:szCs w:val="22"/>
                <w:rtl/>
              </w:rPr>
              <w:t>مبادئ التوجيهية الطوعية أ</w:t>
            </w:r>
            <w:r w:rsidRPr="00617B55">
              <w:rPr>
                <w:rFonts w:ascii="Simplified Arabic" w:eastAsia="Times New Roman" w:hAnsi="Simplified Arabic" w:hint="cs"/>
                <w:i/>
                <w:iCs/>
                <w:snapToGrid w:val="0"/>
                <w:kern w:val="22"/>
                <w:sz w:val="32"/>
                <w:szCs w:val="22"/>
                <w:rtl/>
              </w:rPr>
              <w:t>غ</w:t>
            </w:r>
            <w:r w:rsidRPr="00617B55">
              <w:rPr>
                <w:rFonts w:ascii="Simplified Arabic" w:eastAsia="Times New Roman" w:hAnsi="Simplified Arabic"/>
                <w:i/>
                <w:iCs/>
                <w:snapToGrid w:val="0"/>
                <w:kern w:val="22"/>
                <w:sz w:val="32"/>
                <w:szCs w:val="22"/>
                <w:rtl/>
              </w:rPr>
              <w:t>و</w:t>
            </w:r>
            <w:r w:rsidRPr="00617B55">
              <w:rPr>
                <w:rFonts w:ascii="Simplified Arabic" w:eastAsia="Times New Roman" w:hAnsi="Simplified Arabic" w:hint="cs"/>
                <w:i/>
                <w:iCs/>
                <w:snapToGrid w:val="0"/>
                <w:kern w:val="22"/>
                <w:sz w:val="32"/>
                <w:szCs w:val="22"/>
                <w:rtl/>
              </w:rPr>
              <w:t>ا</w:t>
            </w:r>
            <w:r w:rsidRPr="00617B55">
              <w:rPr>
                <w:rFonts w:ascii="Simplified Arabic" w:eastAsia="Times New Roman" w:hAnsi="Simplified Arabic"/>
                <w:i/>
                <w:iCs/>
                <w:snapToGrid w:val="0"/>
                <w:kern w:val="22"/>
                <w:sz w:val="32"/>
                <w:szCs w:val="22"/>
                <w:rtl/>
              </w:rPr>
              <w:t xml:space="preserve">ي: </w:t>
            </w:r>
            <w:r w:rsidRPr="00617B55">
              <w:rPr>
                <w:rFonts w:ascii="Simplified Arabic" w:eastAsia="Times New Roman" w:hAnsi="Simplified Arabic" w:hint="cs"/>
                <w:i/>
                <w:iCs/>
                <w:snapToGrid w:val="0"/>
                <w:kern w:val="22"/>
                <w:sz w:val="32"/>
                <w:szCs w:val="22"/>
                <w:rtl/>
              </w:rPr>
              <w:t>غ</w:t>
            </w:r>
            <w:r w:rsidRPr="00617B55">
              <w:rPr>
                <w:rFonts w:ascii="Simplified Arabic" w:eastAsia="Times New Roman" w:hAnsi="Simplified Arabic"/>
                <w:i/>
                <w:iCs/>
                <w:snapToGrid w:val="0"/>
                <w:kern w:val="22"/>
                <w:sz w:val="32"/>
                <w:szCs w:val="22"/>
                <w:rtl/>
              </w:rPr>
              <w:t xml:space="preserve">و وينبغي أن </w:t>
            </w:r>
            <w:r w:rsidRPr="00617B55">
              <w:rPr>
                <w:rFonts w:ascii="Simplified Arabic" w:eastAsia="Times New Roman" w:hAnsi="Simplified Arabic" w:hint="cs"/>
                <w:i/>
                <w:iCs/>
                <w:snapToGrid w:val="0"/>
                <w:kern w:val="22"/>
                <w:sz w:val="32"/>
                <w:szCs w:val="22"/>
                <w:rtl/>
              </w:rPr>
              <w:t>ت</w:t>
            </w:r>
            <w:r w:rsidRPr="00617B55">
              <w:rPr>
                <w:rFonts w:ascii="Simplified Arabic" w:eastAsia="Times New Roman" w:hAnsi="Simplified Arabic"/>
                <w:i/>
                <w:iCs/>
                <w:snapToGrid w:val="0"/>
                <w:kern w:val="22"/>
                <w:sz w:val="32"/>
                <w:szCs w:val="22"/>
                <w:rtl/>
              </w:rPr>
              <w:t>طبق أيضا في سياق المادة 14 من ا</w:t>
            </w:r>
            <w:r>
              <w:rPr>
                <w:rFonts w:ascii="Simplified Arabic" w:eastAsia="Times New Roman" w:hAnsi="Simplified Arabic" w:hint="cs"/>
                <w:i/>
                <w:iCs/>
                <w:snapToGrid w:val="0"/>
                <w:kern w:val="22"/>
                <w:sz w:val="32"/>
                <w:szCs w:val="22"/>
                <w:rtl/>
              </w:rPr>
              <w:t>لا</w:t>
            </w:r>
            <w:r w:rsidRPr="00617B55">
              <w:rPr>
                <w:rFonts w:ascii="Simplified Arabic" w:eastAsia="Times New Roman" w:hAnsi="Simplified Arabic"/>
                <w:i/>
                <w:iCs/>
                <w:snapToGrid w:val="0"/>
                <w:kern w:val="22"/>
                <w:sz w:val="32"/>
                <w:szCs w:val="22"/>
                <w:rtl/>
              </w:rPr>
              <w:t xml:space="preserve">تفاقية </w:t>
            </w:r>
            <w:r>
              <w:rPr>
                <w:rFonts w:ascii="Simplified Arabic" w:eastAsia="Times New Roman" w:hAnsi="Simplified Arabic" w:hint="cs"/>
                <w:i/>
                <w:iCs/>
                <w:snapToGrid w:val="0"/>
                <w:kern w:val="22"/>
                <w:sz w:val="32"/>
                <w:szCs w:val="22"/>
                <w:rtl/>
              </w:rPr>
              <w:t xml:space="preserve">على </w:t>
            </w:r>
            <w:r w:rsidRPr="00617B55">
              <w:rPr>
                <w:rFonts w:ascii="Simplified Arabic" w:eastAsia="Times New Roman" w:hAnsi="Simplified Arabic"/>
                <w:i/>
                <w:iCs/>
                <w:snapToGrid w:val="0"/>
                <w:kern w:val="22"/>
                <w:sz w:val="32"/>
                <w:szCs w:val="22"/>
                <w:rtl/>
              </w:rPr>
              <w:t>تقييم الأثر وتقليل الآثار المعاكسة إلى الحد الأدنى</w:t>
            </w:r>
            <w:r w:rsidRPr="00617B55">
              <w:rPr>
                <w:rFonts w:ascii="Simplified Arabic" w:eastAsia="Times New Roman" w:hAnsi="Simplified Arabic"/>
                <w:snapToGrid w:val="0"/>
                <w:kern w:val="22"/>
                <w:sz w:val="32"/>
                <w:szCs w:val="22"/>
                <w:rtl/>
              </w:rPr>
              <w:t>.</w:t>
            </w:r>
            <w:r w:rsidRPr="00617B55">
              <w:rPr>
                <w:rFonts w:eastAsia="Times New Roman" w:hint="cs"/>
                <w:snapToGrid w:val="0"/>
                <w:kern w:val="22"/>
                <w:szCs w:val="22"/>
                <w:vertAlign w:val="superscript"/>
              </w:rPr>
              <w:t xml:space="preserve"> </w:t>
            </w:r>
            <w:r w:rsidRPr="00617B55">
              <w:rPr>
                <w:rFonts w:eastAsia="Times New Roman"/>
                <w:snapToGrid w:val="0"/>
                <w:kern w:val="22"/>
                <w:szCs w:val="22"/>
                <w:vertAlign w:val="superscript"/>
              </w:rPr>
              <w:footnoteReference w:id="221"/>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تقييم الأثر الثقافي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hint="cs"/>
                <w:snapToGrid w:val="0"/>
                <w:kern w:val="22"/>
                <w:sz w:val="32"/>
                <w:szCs w:val="22"/>
                <w:rtl/>
              </w:rPr>
              <w:t xml:space="preserve">عملية </w:t>
            </w:r>
            <w:r w:rsidRPr="00617B55">
              <w:rPr>
                <w:rFonts w:ascii="Simplified Arabic" w:eastAsia="Times New Roman" w:hAnsi="Simplified Arabic"/>
                <w:snapToGrid w:val="0"/>
                <w:kern w:val="22"/>
                <w:sz w:val="32"/>
                <w:szCs w:val="22"/>
                <w:rtl/>
              </w:rPr>
              <w:t xml:space="preserve">تقييم </w:t>
            </w:r>
            <w:r w:rsidRPr="00617B55">
              <w:rPr>
                <w:rFonts w:ascii="Simplified Arabic" w:eastAsia="Times New Roman" w:hAnsi="Simplified Arabic" w:hint="cs"/>
                <w:snapToGrid w:val="0"/>
                <w:kern w:val="22"/>
                <w:sz w:val="32"/>
                <w:szCs w:val="22"/>
                <w:rtl/>
              </w:rPr>
              <w:t>الآثار المحتملة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ل</w:t>
            </w:r>
            <w:r w:rsidRPr="00617B55">
              <w:rPr>
                <w:rFonts w:ascii="Simplified Arabic" w:eastAsia="Times New Roman" w:hAnsi="Simplified Arabic"/>
                <w:snapToGrid w:val="0"/>
                <w:kern w:val="22"/>
                <w:sz w:val="32"/>
                <w:szCs w:val="22"/>
                <w:rtl/>
              </w:rPr>
              <w:t xml:space="preserve">مشروع إنمائي مقترح </w:t>
            </w:r>
            <w:r w:rsidRPr="00617B55">
              <w:rPr>
                <w:rFonts w:ascii="Simplified Arabic" w:eastAsia="Times New Roman" w:hAnsi="Simplified Arabic" w:hint="cs"/>
                <w:snapToGrid w:val="0"/>
                <w:kern w:val="22"/>
                <w:sz w:val="32"/>
                <w:szCs w:val="22"/>
                <w:rtl/>
              </w:rPr>
              <w:t xml:space="preserve">على </w:t>
            </w:r>
            <w:r w:rsidRPr="00617B55">
              <w:rPr>
                <w:rFonts w:ascii="Simplified Arabic" w:eastAsia="Times New Roman" w:hAnsi="Simplified Arabic"/>
                <w:snapToGrid w:val="0"/>
                <w:kern w:val="22"/>
                <w:sz w:val="32"/>
                <w:szCs w:val="22"/>
                <w:rtl/>
              </w:rPr>
              <w:t>طريقة معيشة مجموعة معينة أو مجتمع من الناس</w:t>
            </w:r>
            <w:r w:rsidRPr="00617B55">
              <w:rPr>
                <w:rFonts w:ascii="Simplified Arabic" w:eastAsia="Times New Roman" w:hAnsi="Simplified Arabic" w:hint="cs"/>
                <w:snapToGrid w:val="0"/>
                <w:kern w:val="22"/>
                <w:sz w:val="32"/>
                <w:szCs w:val="22"/>
                <w:rtl/>
              </w:rPr>
              <w:t>،</w:t>
            </w:r>
            <w:r w:rsidRPr="00617B55">
              <w:rPr>
                <w:szCs w:val="22"/>
                <w:rtl/>
              </w:rPr>
              <w:t xml:space="preserve"> </w:t>
            </w:r>
            <w:r w:rsidRPr="00617B55">
              <w:rPr>
                <w:rFonts w:ascii="Simplified Arabic" w:eastAsia="Times New Roman" w:hAnsi="Simplified Arabic"/>
                <w:snapToGrid w:val="0"/>
                <w:kern w:val="22"/>
                <w:sz w:val="32"/>
                <w:szCs w:val="22"/>
                <w:rtl/>
              </w:rPr>
              <w:t xml:space="preserve">مع المشاركة الكاملة لهذه المجموعة أو مجتمع </w:t>
            </w:r>
            <w:r w:rsidRPr="00617B55">
              <w:rPr>
                <w:rFonts w:ascii="Simplified Arabic" w:eastAsia="Times New Roman" w:hAnsi="Simplified Arabic" w:hint="cs"/>
                <w:snapToGrid w:val="0"/>
                <w:kern w:val="22"/>
                <w:sz w:val="32"/>
                <w:szCs w:val="22"/>
                <w:rtl/>
              </w:rPr>
              <w:t xml:space="preserve">من </w:t>
            </w:r>
            <w:r w:rsidRPr="00617B55">
              <w:rPr>
                <w:rFonts w:ascii="Simplified Arabic" w:eastAsia="Times New Roman" w:hAnsi="Simplified Arabic"/>
                <w:snapToGrid w:val="0"/>
                <w:kern w:val="22"/>
                <w:sz w:val="32"/>
                <w:szCs w:val="22"/>
                <w:rtl/>
              </w:rPr>
              <w:t xml:space="preserve">السكان وربما من قبل هذه المجموعة أو مجتمع </w:t>
            </w:r>
            <w:r w:rsidRPr="00617B55">
              <w:rPr>
                <w:rFonts w:ascii="Simplified Arabic" w:eastAsia="Times New Roman" w:hAnsi="Simplified Arabic" w:hint="cs"/>
                <w:snapToGrid w:val="0"/>
                <w:kern w:val="22"/>
                <w:sz w:val="32"/>
                <w:szCs w:val="22"/>
                <w:rtl/>
              </w:rPr>
              <w:t xml:space="preserve">من </w:t>
            </w:r>
            <w:r w:rsidRPr="00617B55">
              <w:rPr>
                <w:rFonts w:ascii="Simplified Arabic" w:eastAsia="Times New Roman" w:hAnsi="Simplified Arabic"/>
                <w:snapToGrid w:val="0"/>
                <w:kern w:val="22"/>
                <w:sz w:val="32"/>
                <w:szCs w:val="22"/>
                <w:rtl/>
              </w:rPr>
              <w:t xml:space="preserve">السكان: تقييم الأثر الثقافي يعالج في المعتاد </w:t>
            </w:r>
            <w:r w:rsidRPr="00617B55">
              <w:rPr>
                <w:rFonts w:ascii="Simplified Arabic" w:eastAsia="Times New Roman" w:hAnsi="Simplified Arabic" w:hint="cs"/>
                <w:snapToGrid w:val="0"/>
                <w:kern w:val="22"/>
                <w:sz w:val="32"/>
                <w:szCs w:val="22"/>
                <w:rtl/>
              </w:rPr>
              <w:t>الآثار</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ال</w:t>
            </w:r>
            <w:r w:rsidRPr="00617B55">
              <w:rPr>
                <w:rFonts w:ascii="Simplified Arabic" w:eastAsia="Times New Roman" w:hAnsi="Simplified Arabic"/>
                <w:snapToGrid w:val="0"/>
                <w:kern w:val="22"/>
                <w:sz w:val="32"/>
                <w:szCs w:val="22"/>
                <w:rtl/>
              </w:rPr>
              <w:t>مفيد</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وال</w:t>
            </w:r>
            <w:r w:rsidRPr="00617B55">
              <w:rPr>
                <w:rFonts w:ascii="Simplified Arabic" w:eastAsia="Times New Roman" w:hAnsi="Simplified Arabic"/>
                <w:snapToGrid w:val="0"/>
                <w:kern w:val="22"/>
                <w:sz w:val="32"/>
                <w:szCs w:val="22"/>
                <w:rtl/>
              </w:rPr>
              <w:t>ضار</w:t>
            </w:r>
            <w:r w:rsidRPr="00617B55">
              <w:rPr>
                <w:rFonts w:ascii="Simplified Arabic" w:eastAsia="Times New Roman" w:hAnsi="Simplified Arabic" w:hint="cs"/>
                <w:snapToGrid w:val="0"/>
                <w:kern w:val="22"/>
                <w:sz w:val="32"/>
                <w:szCs w:val="22"/>
                <w:rtl/>
              </w:rPr>
              <w:t>ة</w:t>
            </w:r>
            <w:r>
              <w:rPr>
                <w:rFonts w:ascii="Simplified Arabic" w:eastAsia="Times New Roman" w:hAnsi="Simplified Arabic" w:hint="cs"/>
                <w:snapToGrid w:val="0"/>
                <w:kern w:val="22"/>
                <w:sz w:val="32"/>
                <w:szCs w:val="22"/>
                <w:rtl/>
              </w:rPr>
              <w:t>،</w:t>
            </w:r>
            <w:r w:rsidRPr="00617B55">
              <w:rPr>
                <w:rFonts w:ascii="Simplified Arabic" w:eastAsia="Times New Roman" w:hAnsi="Simplified Arabic"/>
                <w:snapToGrid w:val="0"/>
                <w:kern w:val="22"/>
                <w:sz w:val="32"/>
                <w:szCs w:val="22"/>
                <w:rtl/>
              </w:rPr>
              <w:t xml:space="preserve"> لنشاط إن</w:t>
            </w:r>
            <w:r w:rsidRPr="00617B55">
              <w:rPr>
                <w:rFonts w:ascii="Simplified Arabic" w:eastAsia="Times New Roman" w:hAnsi="Simplified Arabic" w:hint="cs"/>
                <w:snapToGrid w:val="0"/>
                <w:kern w:val="22"/>
                <w:sz w:val="32"/>
                <w:szCs w:val="22"/>
                <w:rtl/>
              </w:rPr>
              <w:t>م</w:t>
            </w:r>
            <w:r w:rsidRPr="00617B55">
              <w:rPr>
                <w:rFonts w:ascii="Simplified Arabic" w:eastAsia="Times New Roman" w:hAnsi="Simplified Arabic"/>
                <w:snapToGrid w:val="0"/>
                <w:kern w:val="22"/>
                <w:sz w:val="32"/>
                <w:szCs w:val="22"/>
                <w:rtl/>
              </w:rPr>
              <w:t xml:space="preserve">ائي مقترح يمكن أن يؤثر مثلا </w:t>
            </w:r>
            <w:r w:rsidRPr="00617B55">
              <w:rPr>
                <w:rFonts w:ascii="Simplified Arabic" w:eastAsia="Times New Roman" w:hAnsi="Simplified Arabic" w:hint="cs"/>
                <w:snapToGrid w:val="0"/>
                <w:kern w:val="22"/>
                <w:sz w:val="32"/>
                <w:szCs w:val="22"/>
                <w:rtl/>
              </w:rPr>
              <w:t>على</w:t>
            </w:r>
            <w:r w:rsidRPr="00617B55">
              <w:rPr>
                <w:rFonts w:ascii="Simplified Arabic" w:eastAsia="Times New Roman" w:hAnsi="Simplified Arabic"/>
                <w:snapToGrid w:val="0"/>
                <w:kern w:val="22"/>
                <w:sz w:val="32"/>
                <w:szCs w:val="22"/>
                <w:rtl/>
              </w:rPr>
              <w:t xml:space="preserve"> القيم </w:t>
            </w:r>
            <w:r w:rsidRPr="00617B55">
              <w:rPr>
                <w:rFonts w:ascii="Simplified Arabic" w:eastAsia="Times New Roman" w:hAnsi="Simplified Arabic" w:hint="cs"/>
                <w:snapToGrid w:val="0"/>
                <w:kern w:val="22"/>
                <w:sz w:val="32"/>
                <w:szCs w:val="22"/>
                <w:rtl/>
              </w:rPr>
              <w:t>ونظم</w:t>
            </w:r>
            <w:r w:rsidRPr="00617B55">
              <w:rPr>
                <w:rFonts w:ascii="Simplified Arabic" w:eastAsia="Times New Roman" w:hAnsi="Simplified Arabic"/>
                <w:snapToGrid w:val="0"/>
                <w:kern w:val="22"/>
                <w:sz w:val="32"/>
                <w:szCs w:val="22"/>
                <w:rtl/>
              </w:rPr>
              <w:t xml:space="preserve"> المعتقدات والقوانين العرفية واللغة </w:t>
            </w:r>
            <w:r w:rsidRPr="00617B55">
              <w:rPr>
                <w:rFonts w:ascii="Simplified Arabic" w:eastAsia="Times New Roman" w:hAnsi="Simplified Arabic" w:hint="cs"/>
                <w:snapToGrid w:val="0"/>
                <w:kern w:val="22"/>
                <w:sz w:val="32"/>
                <w:szCs w:val="22"/>
                <w:rtl/>
              </w:rPr>
              <w:t>(</w:t>
            </w:r>
            <w:r w:rsidRPr="00617B55">
              <w:rPr>
                <w:rFonts w:ascii="Simplified Arabic" w:eastAsia="Times New Roman" w:hAnsi="Simplified Arabic"/>
                <w:snapToGrid w:val="0"/>
                <w:kern w:val="22"/>
                <w:sz w:val="32"/>
                <w:szCs w:val="22"/>
                <w:rtl/>
              </w:rPr>
              <w:t>اللغات</w:t>
            </w:r>
            <w:r w:rsidRPr="00617B55">
              <w:rPr>
                <w:rFonts w:ascii="Simplified Arabic" w:eastAsia="Times New Roman" w:hAnsi="Simplified Arabic" w:hint="cs"/>
                <w:snapToGrid w:val="0"/>
                <w:kern w:val="22"/>
                <w:sz w:val="32"/>
                <w:szCs w:val="22"/>
                <w:rtl/>
              </w:rPr>
              <w:t>)</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والأعراف</w:t>
            </w:r>
            <w:r w:rsidRPr="00617B55">
              <w:rPr>
                <w:rFonts w:ascii="Simplified Arabic" w:eastAsia="Times New Roman" w:hAnsi="Simplified Arabic"/>
                <w:snapToGrid w:val="0"/>
                <w:kern w:val="22"/>
                <w:sz w:val="32"/>
                <w:szCs w:val="22"/>
                <w:rtl/>
              </w:rPr>
              <w:t xml:space="preserve"> والاقتصاد والعلاقات بالبيئة المحلية وبأنواع معينة وبالتنظيم الاجتماعي والتقاليد التي لدى المجتمع المتأثر بالموضوع.</w:t>
            </w:r>
            <w:r w:rsidRPr="00617B55">
              <w:rPr>
                <w:rStyle w:val="FootnoteReference"/>
                <w:szCs w:val="22"/>
                <w:rtl/>
              </w:rPr>
              <w:footnoteReference w:id="222"/>
            </w:r>
          </w:p>
        </w:tc>
      </w:tr>
      <w:tr w:rsidR="00E93E73" w:rsidRPr="00617B55" w:rsidTr="00FA2E1F">
        <w:trPr>
          <w:trHeight w:val="328"/>
        </w:trPr>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 xml:space="preserve">تقييم </w:t>
            </w:r>
            <w:r w:rsidRPr="00617B55">
              <w:rPr>
                <w:rFonts w:ascii="Simplified Arabic" w:hAnsi="Simplified Arabic" w:hint="cs"/>
                <w:b/>
                <w:szCs w:val="22"/>
                <w:rtl/>
              </w:rPr>
              <w:t>ال</w:t>
            </w:r>
            <w:r w:rsidRPr="00617B55">
              <w:rPr>
                <w:rFonts w:ascii="Simplified Arabic" w:hAnsi="Simplified Arabic"/>
                <w:b/>
                <w:szCs w:val="22"/>
                <w:rtl/>
              </w:rPr>
              <w:t xml:space="preserve">أثر </w:t>
            </w:r>
            <w:r w:rsidRPr="00617B55">
              <w:rPr>
                <w:rFonts w:ascii="Simplified Arabic" w:hAnsi="Simplified Arabic" w:hint="cs"/>
                <w:b/>
                <w:szCs w:val="22"/>
                <w:rtl/>
              </w:rPr>
              <w:t xml:space="preserve">على </w:t>
            </w:r>
            <w:r w:rsidRPr="00617B55">
              <w:rPr>
                <w:rFonts w:ascii="Simplified Arabic" w:hAnsi="Simplified Arabic"/>
                <w:b/>
                <w:szCs w:val="22"/>
                <w:rtl/>
              </w:rPr>
              <w:t>التراث الثقافي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hint="cs"/>
                <w:snapToGrid w:val="0"/>
                <w:kern w:val="22"/>
                <w:sz w:val="32"/>
                <w:szCs w:val="22"/>
                <w:rtl/>
              </w:rPr>
              <w:t>عملية تقييم الآثار</w:t>
            </w:r>
            <w:r w:rsidRPr="00617B55">
              <w:rPr>
                <w:rFonts w:ascii="Simplified Arabic" w:eastAsia="Times New Roman" w:hAnsi="Simplified Arabic"/>
                <w:snapToGrid w:val="0"/>
                <w:kern w:val="22"/>
                <w:sz w:val="32"/>
                <w:szCs w:val="22"/>
                <w:rtl/>
              </w:rPr>
              <w:t xml:space="preserve"> المحتمل</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ال</w:t>
            </w:r>
            <w:r w:rsidRPr="00617B55">
              <w:rPr>
                <w:rFonts w:ascii="Simplified Arabic" w:eastAsia="Times New Roman" w:hAnsi="Simplified Arabic"/>
                <w:snapToGrid w:val="0"/>
                <w:kern w:val="22"/>
                <w:sz w:val="32"/>
                <w:szCs w:val="22"/>
                <w:rtl/>
              </w:rPr>
              <w:t>مفيد</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وال</w:t>
            </w:r>
            <w:r w:rsidRPr="00617B55">
              <w:rPr>
                <w:rFonts w:ascii="Simplified Arabic" w:eastAsia="Times New Roman" w:hAnsi="Simplified Arabic"/>
                <w:snapToGrid w:val="0"/>
                <w:kern w:val="22"/>
                <w:sz w:val="32"/>
                <w:szCs w:val="22"/>
                <w:rtl/>
              </w:rPr>
              <w:t>ضار</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xml:space="preserve">، لنشاط إنمائي مقترح على الظواهر </w:t>
            </w:r>
            <w:r w:rsidRPr="00617B55">
              <w:rPr>
                <w:rFonts w:ascii="Simplified Arabic" w:eastAsia="Times New Roman" w:hAnsi="Simplified Arabic" w:hint="cs"/>
                <w:snapToGrid w:val="0"/>
                <w:kern w:val="22"/>
                <w:sz w:val="32"/>
                <w:szCs w:val="22"/>
                <w:rtl/>
              </w:rPr>
              <w:t>المادية</w:t>
            </w:r>
            <w:r w:rsidRPr="00617B55">
              <w:rPr>
                <w:rFonts w:ascii="Simplified Arabic" w:eastAsia="Times New Roman" w:hAnsi="Simplified Arabic"/>
                <w:snapToGrid w:val="0"/>
                <w:kern w:val="22"/>
                <w:sz w:val="32"/>
                <w:szCs w:val="22"/>
                <w:rtl/>
              </w:rPr>
              <w:t xml:space="preserve"> ل</w:t>
            </w:r>
            <w:r w:rsidRPr="00617B55">
              <w:rPr>
                <w:rFonts w:ascii="Simplified Arabic" w:eastAsia="Times New Roman" w:hAnsi="Simplified Arabic" w:hint="cs"/>
                <w:snapToGrid w:val="0"/>
                <w:kern w:val="22"/>
                <w:sz w:val="32"/>
                <w:szCs w:val="22"/>
                <w:rtl/>
              </w:rPr>
              <w:t>ل</w:t>
            </w:r>
            <w:r w:rsidRPr="00617B55">
              <w:rPr>
                <w:rFonts w:ascii="Simplified Arabic" w:eastAsia="Times New Roman" w:hAnsi="Simplified Arabic"/>
                <w:snapToGrid w:val="0"/>
                <w:kern w:val="22"/>
                <w:sz w:val="32"/>
                <w:szCs w:val="22"/>
                <w:rtl/>
              </w:rPr>
              <w:t>تراث الثقافي لأحد المجتمعات</w:t>
            </w:r>
            <w:r w:rsidRPr="00617B55">
              <w:rPr>
                <w:rFonts w:ascii="Simplified Arabic" w:eastAsia="Times New Roman" w:hAnsi="Simplified Arabic" w:hint="cs"/>
                <w:snapToGrid w:val="0"/>
                <w:kern w:val="22"/>
                <w:sz w:val="32"/>
                <w:szCs w:val="22"/>
                <w:rtl/>
              </w:rPr>
              <w:t xml:space="preserve"> المحلية</w:t>
            </w:r>
            <w:r w:rsidRPr="00617B55">
              <w:rPr>
                <w:rFonts w:ascii="Simplified Arabic" w:eastAsia="Times New Roman" w:hAnsi="Simplified Arabic"/>
                <w:snapToGrid w:val="0"/>
                <w:kern w:val="22"/>
                <w:sz w:val="32"/>
                <w:szCs w:val="22"/>
                <w:rtl/>
              </w:rPr>
              <w:t xml:space="preserve">، شاملا المواقع والهياكل والبقايا ذات القيمة أو الأهمية </w:t>
            </w:r>
            <w:r w:rsidRPr="00617B55">
              <w:rPr>
                <w:rFonts w:ascii="Simplified Arabic" w:eastAsia="Times New Roman" w:hAnsi="Simplified Arabic" w:hint="cs"/>
                <w:snapToGrid w:val="0"/>
                <w:kern w:val="22"/>
                <w:sz w:val="32"/>
                <w:szCs w:val="22"/>
                <w:rtl/>
              </w:rPr>
              <w:t>الأثرية</w:t>
            </w:r>
            <w:r w:rsidRPr="00617B55">
              <w:rPr>
                <w:rFonts w:ascii="Simplified Arabic" w:eastAsia="Times New Roman" w:hAnsi="Simplified Arabic"/>
                <w:snapToGrid w:val="0"/>
                <w:kern w:val="22"/>
                <w:sz w:val="32"/>
                <w:szCs w:val="22"/>
                <w:rtl/>
              </w:rPr>
              <w:t xml:space="preserve"> أو المعمارية أو التاريخية أو الدينية أو الروحية أو الثقافية أو البيئية </w:t>
            </w:r>
            <w:r w:rsidRPr="00617B55">
              <w:rPr>
                <w:rFonts w:ascii="Simplified Arabic" w:eastAsia="Times New Roman" w:hAnsi="Simplified Arabic" w:hint="cs"/>
                <w:snapToGrid w:val="0"/>
                <w:kern w:val="22"/>
                <w:sz w:val="32"/>
                <w:szCs w:val="22"/>
                <w:rtl/>
              </w:rPr>
              <w:t xml:space="preserve">أو </w:t>
            </w:r>
            <w:r w:rsidRPr="00617B55">
              <w:rPr>
                <w:rFonts w:ascii="Simplified Arabic" w:eastAsia="Times New Roman" w:hAnsi="Simplified Arabic"/>
                <w:snapToGrid w:val="0"/>
                <w:kern w:val="22"/>
                <w:sz w:val="32"/>
                <w:szCs w:val="22"/>
                <w:rtl/>
              </w:rPr>
              <w:t>الجمالية.</w:t>
            </w:r>
            <w:r w:rsidRPr="00617B55">
              <w:rPr>
                <w:rStyle w:val="FootnoteReference"/>
                <w:szCs w:val="22"/>
                <w:rtl/>
              </w:rPr>
              <w:footnoteReference w:id="223"/>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القانون العرفي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 xml:space="preserve">القانون الذي يتألف من </w:t>
            </w:r>
            <w:r w:rsidRPr="00617B55">
              <w:rPr>
                <w:rFonts w:ascii="Simplified Arabic" w:eastAsia="Times New Roman" w:hAnsi="Simplified Arabic" w:hint="cs"/>
                <w:snapToGrid w:val="0"/>
                <w:kern w:val="22"/>
                <w:sz w:val="32"/>
                <w:szCs w:val="22"/>
                <w:rtl/>
              </w:rPr>
              <w:t>أعراف</w:t>
            </w:r>
            <w:r w:rsidRPr="00617B55">
              <w:rPr>
                <w:rFonts w:ascii="Simplified Arabic" w:eastAsia="Times New Roman" w:hAnsi="Simplified Arabic"/>
                <w:snapToGrid w:val="0"/>
                <w:kern w:val="22"/>
                <w:sz w:val="32"/>
                <w:szCs w:val="22"/>
                <w:rtl/>
              </w:rPr>
              <w:t xml:space="preserve"> مقبولة باعتبارها متطلبات قانونية أو قواعد سلوك إجبارية؛ وممارسات ومعتقدات لها من القيمة الجوهرية وتعد جزءا لا يتجزأ من نظام اجتماعي واقتصادي يجعلها تعامل باعتبارها بمثابة قوانين</w:t>
            </w:r>
            <w:r w:rsidRPr="00617B55">
              <w:rPr>
                <w:rFonts w:ascii="Simplified Arabic" w:eastAsia="Times New Roman" w:hAnsi="Simplified Arabic" w:hint="cs"/>
                <w:snapToGrid w:val="0"/>
                <w:kern w:val="22"/>
                <w:sz w:val="32"/>
                <w:szCs w:val="22"/>
                <w:rtl/>
              </w:rPr>
              <w:t>.</w:t>
            </w:r>
            <w:r w:rsidRPr="00617B55">
              <w:rPr>
                <w:rStyle w:val="FootnoteReference"/>
                <w:szCs w:val="22"/>
                <w:rtl/>
              </w:rPr>
              <w:footnoteReference w:id="224"/>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تقييم الأثر البيئي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 xml:space="preserve">عملية تقييم الآثار البيئية المحتملة لمشروع إنمائي مقترح، واقتراح تدابير التخفيف المناسبة، مع الأخذ في </w:t>
            </w:r>
            <w:r w:rsidRPr="00617B55">
              <w:rPr>
                <w:rFonts w:ascii="Simplified Arabic" w:eastAsia="Times New Roman" w:hAnsi="Simplified Arabic" w:hint="cs"/>
                <w:snapToGrid w:val="0"/>
                <w:kern w:val="22"/>
                <w:sz w:val="32"/>
                <w:szCs w:val="22"/>
                <w:rtl/>
              </w:rPr>
              <w:t>الحسبان</w:t>
            </w:r>
            <w:r w:rsidRPr="00617B55">
              <w:rPr>
                <w:rFonts w:ascii="Simplified Arabic" w:eastAsia="Times New Roman" w:hAnsi="Simplified Arabic"/>
                <w:snapToGrid w:val="0"/>
                <w:kern w:val="22"/>
                <w:sz w:val="32"/>
                <w:szCs w:val="22"/>
                <w:rtl/>
              </w:rPr>
              <w:t xml:space="preserve"> الآثار </w:t>
            </w:r>
            <w:r>
              <w:rPr>
                <w:rFonts w:ascii="Simplified Arabic" w:eastAsia="Times New Roman" w:hAnsi="Simplified Arabic" w:hint="cs"/>
                <w:snapToGrid w:val="0"/>
                <w:kern w:val="22"/>
                <w:sz w:val="32"/>
                <w:szCs w:val="22"/>
                <w:rtl/>
              </w:rPr>
              <w:t xml:space="preserve">المترابطة </w:t>
            </w:r>
            <w:r w:rsidRPr="00617B55">
              <w:rPr>
                <w:rFonts w:ascii="Simplified Arabic" w:eastAsia="Times New Roman" w:hAnsi="Simplified Arabic"/>
                <w:snapToGrid w:val="0"/>
                <w:kern w:val="22"/>
                <w:sz w:val="32"/>
                <w:szCs w:val="22"/>
                <w:rtl/>
              </w:rPr>
              <w:t>الاجتماعية والاقتصادية والثقافية و</w:t>
            </w:r>
            <w:r>
              <w:rPr>
                <w:rFonts w:ascii="Simplified Arabic" w:eastAsia="Times New Roman" w:hAnsi="Simplified Arabic" w:hint="cs"/>
                <w:snapToGrid w:val="0"/>
                <w:kern w:val="22"/>
                <w:sz w:val="32"/>
                <w:szCs w:val="22"/>
                <w:rtl/>
              </w:rPr>
              <w:t>على صحة الإنسان</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ال</w:t>
            </w:r>
            <w:r w:rsidRPr="00617B55">
              <w:rPr>
                <w:rFonts w:ascii="Simplified Arabic" w:eastAsia="Times New Roman" w:hAnsi="Simplified Arabic"/>
                <w:snapToGrid w:val="0"/>
                <w:kern w:val="22"/>
                <w:sz w:val="32"/>
                <w:szCs w:val="22"/>
                <w:rtl/>
              </w:rPr>
              <w:t>مفيد</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وال</w:t>
            </w:r>
            <w:r w:rsidRPr="00617B55">
              <w:rPr>
                <w:rFonts w:ascii="Simplified Arabic" w:eastAsia="Times New Roman" w:hAnsi="Simplified Arabic"/>
                <w:snapToGrid w:val="0"/>
                <w:kern w:val="22"/>
                <w:sz w:val="32"/>
                <w:szCs w:val="22"/>
                <w:rtl/>
              </w:rPr>
              <w:t>ضار</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w:t>
            </w:r>
            <w:r w:rsidRPr="00617B55">
              <w:rPr>
                <w:rStyle w:val="FootnoteReference"/>
                <w:szCs w:val="22"/>
                <w:rtl/>
              </w:rPr>
              <w:footnoteReference w:id="225"/>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موقع مقدس</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hint="cs"/>
                <w:snapToGrid w:val="0"/>
                <w:kern w:val="22"/>
                <w:sz w:val="32"/>
                <w:szCs w:val="22"/>
                <w:rtl/>
              </w:rPr>
              <w:t xml:space="preserve">يمكن أن يشير إلى </w:t>
            </w:r>
            <w:r w:rsidRPr="00617B55">
              <w:rPr>
                <w:rFonts w:ascii="Simplified Arabic" w:eastAsia="Times New Roman" w:hAnsi="Simplified Arabic"/>
                <w:snapToGrid w:val="0"/>
                <w:kern w:val="22"/>
                <w:sz w:val="32"/>
                <w:szCs w:val="22"/>
                <w:rtl/>
              </w:rPr>
              <w:t xml:space="preserve">موقع أو </w:t>
            </w:r>
            <w:r w:rsidRPr="00617B55">
              <w:rPr>
                <w:rFonts w:ascii="Simplified Arabic" w:eastAsia="Times New Roman" w:hAnsi="Simplified Arabic" w:hint="cs"/>
                <w:snapToGrid w:val="0"/>
                <w:kern w:val="22"/>
                <w:sz w:val="32"/>
                <w:szCs w:val="22"/>
                <w:rtl/>
              </w:rPr>
              <w:t>شيء</w:t>
            </w:r>
            <w:r w:rsidRPr="00617B55">
              <w:rPr>
                <w:rFonts w:ascii="Simplified Arabic" w:eastAsia="Times New Roman" w:hAnsi="Simplified Arabic"/>
                <w:snapToGrid w:val="0"/>
                <w:kern w:val="22"/>
                <w:sz w:val="32"/>
                <w:szCs w:val="22"/>
                <w:rtl/>
              </w:rPr>
              <w:t xml:space="preserve"> أو هيكل أو منطقة أو سمة أو مساحة طبيعية تحوزها الحكومات الوطنية أو المجتمعات الأصلية</w:t>
            </w:r>
            <w:r w:rsidRPr="00617B55">
              <w:rPr>
                <w:rFonts w:ascii="Simplified Arabic" w:eastAsia="Times New Roman" w:hAnsi="Simplified Arabic" w:hint="cs"/>
                <w:snapToGrid w:val="0"/>
                <w:kern w:val="22"/>
                <w:sz w:val="32"/>
                <w:szCs w:val="22"/>
                <w:rtl/>
              </w:rPr>
              <w:t xml:space="preserve"> </w:t>
            </w:r>
            <w:r w:rsidRPr="00617B55">
              <w:rPr>
                <w:rFonts w:ascii="Simplified Arabic" w:eastAsia="Times New Roman" w:hAnsi="Simplified Arabic"/>
                <w:snapToGrid w:val="0"/>
                <w:kern w:val="22"/>
                <w:sz w:val="32"/>
                <w:szCs w:val="22"/>
                <w:rtl/>
              </w:rPr>
              <w:t xml:space="preserve">تعد ذات أهمية خاصة وفقا </w:t>
            </w:r>
            <w:r w:rsidRPr="00617B55">
              <w:rPr>
                <w:rFonts w:ascii="Simplified Arabic" w:eastAsia="Times New Roman" w:hAnsi="Simplified Arabic" w:hint="cs"/>
                <w:snapToGrid w:val="0"/>
                <w:kern w:val="22"/>
                <w:sz w:val="32"/>
                <w:szCs w:val="22"/>
                <w:rtl/>
              </w:rPr>
              <w:t>لأعراف</w:t>
            </w:r>
            <w:r w:rsidRPr="00617B55">
              <w:rPr>
                <w:rFonts w:ascii="Simplified Arabic" w:eastAsia="Times New Roman" w:hAnsi="Simplified Arabic"/>
                <w:snapToGrid w:val="0"/>
                <w:kern w:val="22"/>
                <w:sz w:val="32"/>
                <w:szCs w:val="22"/>
                <w:rtl/>
              </w:rPr>
              <w:t xml:space="preserve"> مجتمع من السكان الأصليين أو المحليين، بسبب أهميتها الدينية و/أو الروحية.</w:t>
            </w:r>
            <w:r w:rsidRPr="00617B55">
              <w:rPr>
                <w:rStyle w:val="FootnoteReference"/>
                <w:szCs w:val="22"/>
                <w:rtl/>
              </w:rPr>
              <w:footnoteReference w:id="226"/>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تقييم الأثر الاجتماعي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hint="cs"/>
                <w:snapToGrid w:val="0"/>
                <w:kern w:val="22"/>
                <w:sz w:val="32"/>
                <w:szCs w:val="22"/>
                <w:rtl/>
              </w:rPr>
              <w:t>عملية تقييم الآثار المحتملة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ال</w:t>
            </w:r>
            <w:r w:rsidRPr="00617B55">
              <w:rPr>
                <w:rFonts w:ascii="Simplified Arabic" w:eastAsia="Times New Roman" w:hAnsi="Simplified Arabic"/>
                <w:snapToGrid w:val="0"/>
                <w:kern w:val="22"/>
                <w:sz w:val="32"/>
                <w:szCs w:val="22"/>
                <w:rtl/>
              </w:rPr>
              <w:t>مفيد</w:t>
            </w:r>
            <w:r w:rsidRPr="00617B55">
              <w:rPr>
                <w:rFonts w:ascii="Simplified Arabic" w:eastAsia="Times New Roman" w:hAnsi="Simplified Arabic" w:hint="cs"/>
                <w:snapToGrid w:val="0"/>
                <w:kern w:val="22"/>
                <w:sz w:val="32"/>
                <w:szCs w:val="22"/>
                <w:rtl/>
              </w:rPr>
              <w:t>ة وال</w:t>
            </w:r>
            <w:r w:rsidRPr="00617B55">
              <w:rPr>
                <w:rFonts w:ascii="Simplified Arabic" w:eastAsia="Times New Roman" w:hAnsi="Simplified Arabic"/>
                <w:snapToGrid w:val="0"/>
                <w:kern w:val="22"/>
                <w:sz w:val="32"/>
                <w:szCs w:val="22"/>
                <w:rtl/>
              </w:rPr>
              <w:t>ضار</w:t>
            </w:r>
            <w:r w:rsidRPr="00617B55">
              <w:rPr>
                <w:rFonts w:ascii="Simplified Arabic" w:eastAsia="Times New Roman" w:hAnsi="Simplified Arabic" w:hint="cs"/>
                <w:snapToGrid w:val="0"/>
                <w:kern w:val="22"/>
                <w:sz w:val="32"/>
                <w:szCs w:val="22"/>
                <w:rtl/>
              </w:rPr>
              <w:t>ة</w:t>
            </w:r>
            <w:r w:rsidRPr="00617B55">
              <w:rPr>
                <w:rFonts w:ascii="Simplified Arabic" w:eastAsia="Times New Roman" w:hAnsi="Simplified Arabic"/>
                <w:snapToGrid w:val="0"/>
                <w:kern w:val="22"/>
                <w:sz w:val="32"/>
                <w:szCs w:val="22"/>
                <w:rtl/>
              </w:rPr>
              <w:t>، لنشاط إنمائي</w:t>
            </w:r>
            <w:r w:rsidRPr="00617B55">
              <w:rPr>
                <w:rFonts w:ascii="Simplified Arabic" w:eastAsia="Times New Roman" w:hAnsi="Simplified Arabic" w:hint="cs"/>
                <w:snapToGrid w:val="0"/>
                <w:kern w:val="22"/>
                <w:sz w:val="32"/>
                <w:szCs w:val="22"/>
                <w:rtl/>
              </w:rPr>
              <w:t xml:space="preserve"> والتي يمكن أن </w:t>
            </w:r>
            <w:r w:rsidRPr="00617B55">
              <w:rPr>
                <w:rFonts w:ascii="Simplified Arabic" w:eastAsia="Times New Roman" w:hAnsi="Simplified Arabic"/>
                <w:snapToGrid w:val="0"/>
                <w:kern w:val="22"/>
                <w:sz w:val="32"/>
                <w:szCs w:val="22"/>
                <w:rtl/>
              </w:rPr>
              <w:t>تؤثر على الحقوق، التي لها ب</w:t>
            </w:r>
            <w:r w:rsidRPr="00617B55">
              <w:rPr>
                <w:rFonts w:ascii="Simplified Arabic" w:eastAsia="Times New Roman" w:hAnsi="Simplified Arabic" w:hint="cs"/>
                <w:snapToGrid w:val="0"/>
                <w:kern w:val="22"/>
                <w:sz w:val="32"/>
                <w:szCs w:val="22"/>
                <w:rtl/>
              </w:rPr>
              <w:t>ُ</w:t>
            </w:r>
            <w:r w:rsidRPr="00617B55">
              <w:rPr>
                <w:rFonts w:ascii="Simplified Arabic" w:eastAsia="Times New Roman" w:hAnsi="Simplified Arabic"/>
                <w:snapToGrid w:val="0"/>
                <w:kern w:val="22"/>
                <w:sz w:val="32"/>
                <w:szCs w:val="22"/>
                <w:rtl/>
              </w:rPr>
              <w:t xml:space="preserve">عد اقتصادي واجتماعي وثقافي ومدني وسياسي، فضلا عن الرفاه والحيوية والقدرة على </w:t>
            </w:r>
            <w:r w:rsidRPr="00617B55">
              <w:rPr>
                <w:rFonts w:ascii="Simplified Arabic" w:eastAsia="Times New Roman" w:hAnsi="Simplified Arabic" w:hint="cs"/>
                <w:snapToGrid w:val="0"/>
                <w:kern w:val="22"/>
                <w:sz w:val="32"/>
                <w:szCs w:val="22"/>
                <w:rtl/>
              </w:rPr>
              <w:t>البقاء</w:t>
            </w:r>
            <w:r w:rsidRPr="00617B55">
              <w:rPr>
                <w:rFonts w:ascii="Simplified Arabic" w:eastAsia="Times New Roman" w:hAnsi="Simplified Arabic"/>
                <w:snapToGrid w:val="0"/>
                <w:kern w:val="22"/>
                <w:sz w:val="32"/>
                <w:szCs w:val="22"/>
                <w:rtl/>
              </w:rPr>
              <w:t xml:space="preserve">، لمجتمع متضرر - أي </w:t>
            </w:r>
            <w:r w:rsidRPr="00617B55">
              <w:rPr>
                <w:rFonts w:ascii="Simplified Arabic" w:eastAsia="Times New Roman" w:hAnsi="Simplified Arabic" w:hint="cs"/>
                <w:snapToGrid w:val="0"/>
                <w:kern w:val="22"/>
                <w:sz w:val="32"/>
                <w:szCs w:val="22"/>
                <w:rtl/>
              </w:rPr>
              <w:t>ت</w:t>
            </w:r>
            <w:r w:rsidRPr="00617B55">
              <w:rPr>
                <w:rFonts w:ascii="Simplified Arabic" w:eastAsia="Times New Roman" w:hAnsi="Simplified Arabic"/>
                <w:snapToGrid w:val="0"/>
                <w:kern w:val="22"/>
                <w:sz w:val="32"/>
                <w:szCs w:val="22"/>
                <w:rtl/>
              </w:rPr>
              <w:t xml:space="preserve">ؤثر </w:t>
            </w:r>
            <w:r w:rsidRPr="00617B55">
              <w:rPr>
                <w:rFonts w:ascii="Simplified Arabic" w:eastAsia="Times New Roman" w:hAnsi="Simplified Arabic" w:hint="cs"/>
                <w:snapToGrid w:val="0"/>
                <w:kern w:val="22"/>
                <w:sz w:val="32"/>
                <w:szCs w:val="22"/>
                <w:rtl/>
              </w:rPr>
              <w:t>على</w:t>
            </w:r>
            <w:r w:rsidRPr="00617B55">
              <w:rPr>
                <w:rFonts w:ascii="Simplified Arabic" w:eastAsia="Times New Roman" w:hAnsi="Simplified Arabic"/>
                <w:snapToGrid w:val="0"/>
                <w:kern w:val="22"/>
                <w:sz w:val="32"/>
                <w:szCs w:val="22"/>
                <w:rtl/>
              </w:rPr>
              <w:t xml:space="preserve"> نوعية حياة مجتمع من المجتمعات</w:t>
            </w:r>
            <w:r w:rsidRPr="00617B55">
              <w:rPr>
                <w:rFonts w:ascii="Simplified Arabic" w:eastAsia="Times New Roman" w:hAnsi="Simplified Arabic" w:hint="cs"/>
                <w:snapToGrid w:val="0"/>
                <w:kern w:val="22"/>
                <w:sz w:val="32"/>
                <w:szCs w:val="22"/>
                <w:rtl/>
              </w:rPr>
              <w:t xml:space="preserve"> المحلية</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 xml:space="preserve">حسبما </w:t>
            </w:r>
            <w:r w:rsidRPr="00617B55">
              <w:rPr>
                <w:rFonts w:ascii="Simplified Arabic" w:eastAsia="Times New Roman" w:hAnsi="Simplified Arabic"/>
                <w:snapToGrid w:val="0"/>
                <w:kern w:val="22"/>
                <w:sz w:val="32"/>
                <w:szCs w:val="22"/>
                <w:rtl/>
              </w:rPr>
              <w:t xml:space="preserve">تقاس </w:t>
            </w:r>
            <w:r w:rsidRPr="00617B55">
              <w:rPr>
                <w:rFonts w:ascii="Simplified Arabic" w:eastAsia="Times New Roman" w:hAnsi="Simplified Arabic" w:hint="cs"/>
                <w:snapToGrid w:val="0"/>
                <w:kern w:val="22"/>
                <w:sz w:val="32"/>
                <w:szCs w:val="22"/>
                <w:rtl/>
              </w:rPr>
              <w:t>ب</w:t>
            </w:r>
            <w:r w:rsidRPr="00617B55">
              <w:rPr>
                <w:rFonts w:ascii="Simplified Arabic" w:eastAsia="Times New Roman" w:hAnsi="Simplified Arabic"/>
                <w:snapToGrid w:val="0"/>
                <w:kern w:val="22"/>
                <w:sz w:val="32"/>
                <w:szCs w:val="22"/>
                <w:rtl/>
              </w:rPr>
              <w:t>مؤشرات اجتماعية اقتصادية شتى</w:t>
            </w:r>
            <w:r w:rsidRPr="00617B55">
              <w:rPr>
                <w:rFonts w:ascii="Simplified Arabic" w:eastAsia="Times New Roman" w:hAnsi="Simplified Arabic" w:hint="cs"/>
                <w:snapToGrid w:val="0"/>
                <w:kern w:val="22"/>
                <w:sz w:val="32"/>
                <w:szCs w:val="22"/>
                <w:rtl/>
              </w:rPr>
              <w:t xml:space="preserve">، </w:t>
            </w:r>
            <w:r w:rsidRPr="00617B55">
              <w:rPr>
                <w:rFonts w:ascii="Simplified Arabic" w:eastAsia="Times New Roman" w:hAnsi="Simplified Arabic"/>
                <w:snapToGrid w:val="0"/>
                <w:kern w:val="22"/>
                <w:sz w:val="32"/>
                <w:szCs w:val="22"/>
                <w:rtl/>
              </w:rPr>
              <w:t>مثل توزيع الدخل، والسلامة البدنية والاجتماعية، وحماية الأفراد والمجتمعات</w:t>
            </w:r>
            <w:r w:rsidRPr="00617B55">
              <w:rPr>
                <w:rFonts w:ascii="Simplified Arabic" w:eastAsia="Times New Roman" w:hAnsi="Simplified Arabic" w:hint="cs"/>
                <w:snapToGrid w:val="0"/>
                <w:kern w:val="22"/>
                <w:sz w:val="32"/>
                <w:szCs w:val="22"/>
                <w:rtl/>
              </w:rPr>
              <w:t xml:space="preserve"> المحلية</w:t>
            </w:r>
            <w:r w:rsidRPr="00617B55">
              <w:rPr>
                <w:rFonts w:ascii="Simplified Arabic" w:eastAsia="Times New Roman" w:hAnsi="Simplified Arabic"/>
                <w:snapToGrid w:val="0"/>
                <w:kern w:val="22"/>
                <w:sz w:val="32"/>
                <w:szCs w:val="22"/>
                <w:rtl/>
              </w:rPr>
              <w:t xml:space="preserve">، ومستويات وفرص العمل، والصحة والرعاية الاجتماعية، والتعليم، </w:t>
            </w:r>
            <w:r w:rsidRPr="00617B55">
              <w:rPr>
                <w:rFonts w:ascii="Simplified Arabic" w:eastAsia="Times New Roman" w:hAnsi="Simplified Arabic" w:hint="cs"/>
                <w:snapToGrid w:val="0"/>
                <w:kern w:val="22"/>
                <w:sz w:val="32"/>
                <w:szCs w:val="22"/>
                <w:rtl/>
              </w:rPr>
              <w:t>وتوافر الإسكان</w:t>
            </w:r>
            <w:r w:rsidRPr="00617B55">
              <w:rPr>
                <w:rFonts w:ascii="Simplified Arabic" w:eastAsia="Times New Roman" w:hAnsi="Simplified Arabic"/>
                <w:snapToGrid w:val="0"/>
                <w:kern w:val="22"/>
                <w:sz w:val="32"/>
                <w:szCs w:val="22"/>
                <w:rtl/>
              </w:rPr>
              <w:t xml:space="preserve"> ومعايير</w:t>
            </w:r>
            <w:r w:rsidRPr="00617B55">
              <w:rPr>
                <w:rFonts w:ascii="Simplified Arabic" w:eastAsia="Times New Roman" w:hAnsi="Simplified Arabic" w:hint="cs"/>
                <w:snapToGrid w:val="0"/>
                <w:kern w:val="22"/>
                <w:sz w:val="32"/>
                <w:szCs w:val="22"/>
                <w:rtl/>
              </w:rPr>
              <w:t>ه</w:t>
            </w:r>
            <w:r w:rsidRPr="00617B55">
              <w:rPr>
                <w:rFonts w:ascii="Simplified Arabic" w:eastAsia="Times New Roman" w:hAnsi="Simplified Arabic"/>
                <w:snapToGrid w:val="0"/>
                <w:kern w:val="22"/>
                <w:sz w:val="32"/>
                <w:szCs w:val="22"/>
                <w:rtl/>
              </w:rPr>
              <w:t xml:space="preserve"> والإقامة، والبنية التحتية، والخدمات.</w:t>
            </w:r>
            <w:r w:rsidRPr="00617B55">
              <w:rPr>
                <w:rStyle w:val="FootnoteReference"/>
                <w:szCs w:val="22"/>
                <w:rtl/>
              </w:rPr>
              <w:footnoteReference w:id="227"/>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hint="cs"/>
                <w:b/>
                <w:szCs w:val="22"/>
                <w:rtl/>
              </w:rPr>
              <w:lastRenderedPageBreak/>
              <w:t>ال</w:t>
            </w:r>
            <w:r w:rsidRPr="00617B55">
              <w:rPr>
                <w:rFonts w:ascii="Simplified Arabic" w:hAnsi="Simplified Arabic"/>
                <w:b/>
                <w:szCs w:val="22"/>
                <w:rtl/>
              </w:rPr>
              <w:t xml:space="preserve">تقييم </w:t>
            </w:r>
            <w:r w:rsidRPr="00617B55">
              <w:rPr>
                <w:rFonts w:ascii="Simplified Arabic" w:hAnsi="Simplified Arabic" w:hint="cs"/>
                <w:b/>
                <w:szCs w:val="22"/>
                <w:rtl/>
              </w:rPr>
              <w:t>ال</w:t>
            </w:r>
            <w:r w:rsidRPr="00617B55">
              <w:rPr>
                <w:rFonts w:ascii="Simplified Arabic" w:hAnsi="Simplified Arabic"/>
                <w:b/>
                <w:szCs w:val="22"/>
                <w:rtl/>
              </w:rPr>
              <w:t xml:space="preserve">بيئي </w:t>
            </w:r>
            <w:r w:rsidRPr="00617B55">
              <w:rPr>
                <w:rFonts w:ascii="Simplified Arabic" w:hAnsi="Simplified Arabic" w:hint="cs"/>
                <w:b/>
                <w:szCs w:val="22"/>
                <w:rtl/>
              </w:rPr>
              <w:t>ال</w:t>
            </w:r>
            <w:r w:rsidRPr="00617B55">
              <w:rPr>
                <w:rFonts w:ascii="Simplified Arabic" w:hAnsi="Simplified Arabic"/>
                <w:b/>
                <w:szCs w:val="22"/>
                <w:rtl/>
              </w:rPr>
              <w:t>استراتيجي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عملية تقييم الآثار البيئية المحتملة للسياسات أو الخطط أو البرامج المقترحة لضمان إدراجها بشكل كامل ومعالجتها في مرحلة مبكرة من صنع القرار، إلى جانب الاعتبارات الاقتصادية والاجتماعية.</w:t>
            </w:r>
            <w:r w:rsidRPr="00617B55">
              <w:rPr>
                <w:rStyle w:val="FootnoteReference"/>
                <w:szCs w:val="22"/>
                <w:rtl/>
              </w:rPr>
              <w:footnoteReference w:id="228"/>
            </w:r>
          </w:p>
        </w:tc>
      </w:tr>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jc w:val="center"/>
              <w:rPr>
                <w:rFonts w:ascii="Simplified Arabic" w:eastAsia="Times New Roman" w:hAnsi="Simplified Arabic"/>
                <w:b/>
                <w:snapToGrid w:val="0"/>
                <w:kern w:val="22"/>
              </w:rPr>
            </w:pPr>
            <w:r w:rsidRPr="00617B55">
              <w:rPr>
                <w:rFonts w:ascii="Simplified Arabic" w:eastAsia="Times New Roman" w:hAnsi="Simplified Arabic"/>
                <w:bCs/>
                <w:snapToGrid w:val="0"/>
                <w:kern w:val="22"/>
                <w:szCs w:val="22"/>
                <w:rtl/>
              </w:rPr>
              <w:t>باء</w:t>
            </w:r>
            <w:r w:rsidRPr="00617B55">
              <w:rPr>
                <w:rFonts w:ascii="Simplified Arabic" w:eastAsia="Times New Roman" w:hAnsi="Simplified Arabic" w:hint="cs"/>
                <w:bCs/>
                <w:snapToGrid w:val="0"/>
                <w:kern w:val="22"/>
                <w:szCs w:val="22"/>
                <w:rtl/>
              </w:rPr>
              <w:t>-</w:t>
            </w:r>
            <w:r w:rsidRPr="00617B55">
              <w:rPr>
                <w:rFonts w:ascii="Simplified Arabic" w:eastAsia="Times New Roman" w:hAnsi="Simplified Arabic"/>
                <w:bCs/>
                <w:snapToGrid w:val="0"/>
                <w:kern w:val="22"/>
                <w:szCs w:val="22"/>
                <w:rtl/>
              </w:rPr>
              <w:t xml:space="preserve"> </w:t>
            </w:r>
            <w:r w:rsidRPr="00617B55">
              <w:rPr>
                <w:rFonts w:ascii="Simplified Arabic" w:eastAsia="Times New Roman" w:hAnsi="Simplified Arabic" w:hint="cs"/>
                <w:bCs/>
                <w:snapToGrid w:val="0"/>
                <w:kern w:val="22"/>
                <w:szCs w:val="22"/>
                <w:rtl/>
              </w:rPr>
              <w:t>ال</w:t>
            </w:r>
            <w:r w:rsidRPr="00617B55">
              <w:rPr>
                <w:rFonts w:ascii="Simplified Arabic" w:eastAsia="Times New Roman" w:hAnsi="Simplified Arabic"/>
                <w:bCs/>
                <w:snapToGrid w:val="0"/>
                <w:kern w:val="22"/>
                <w:szCs w:val="22"/>
                <w:rtl/>
              </w:rPr>
              <w:t>مبادئ التوجيهية الطوعية موتز كوستال</w:t>
            </w:r>
            <w:r w:rsidRPr="00617B55">
              <w:rPr>
                <w:rFonts w:hint="cs"/>
                <w:color w:val="000000"/>
                <w:sz w:val="27"/>
                <w:szCs w:val="22"/>
                <w:rtl/>
              </w:rPr>
              <w:t xml:space="preserve"> </w:t>
            </w:r>
            <w:r w:rsidRPr="00617B55">
              <w:rPr>
                <w:rFonts w:ascii="Simplified Arabic" w:eastAsia="Times New Roman" w:hAnsi="Simplified Arabic" w:hint="cs"/>
                <w:b/>
                <w:snapToGrid w:val="0"/>
                <w:kern w:val="22"/>
                <w:szCs w:val="22"/>
                <w:rtl/>
              </w:rPr>
              <w:t>(المقرر 13/18، المرفق)</w:t>
            </w:r>
            <w:r w:rsidRPr="00617B55">
              <w:rPr>
                <w:rStyle w:val="FootnoteReference"/>
                <w:snapToGrid w:val="0"/>
                <w:kern w:val="22"/>
                <w:szCs w:val="22"/>
                <w:rtl/>
              </w:rPr>
              <w:footnoteReference w:id="229"/>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hAnsi="Simplified Arabic"/>
                <w:bCs/>
                <w:szCs w:val="22"/>
                <w:rtl/>
              </w:rPr>
              <w:t>المصطلح أو المفهوم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keepNext/>
              <w:rPr>
                <w:rFonts w:ascii="Simplified Arabic" w:hAnsi="Simplified Arabic"/>
                <w:bCs/>
                <w:rtl/>
              </w:rPr>
            </w:pPr>
            <w:r w:rsidRPr="00617B55">
              <w:rPr>
                <w:rFonts w:ascii="Simplified Arabic" w:hAnsi="Simplified Arabic"/>
                <w:bCs/>
                <w:szCs w:val="22"/>
                <w:rtl/>
              </w:rPr>
              <w:t xml:space="preserve">فهم المصطلح أو المفهوم في سياق </w:t>
            </w:r>
            <w:r w:rsidRPr="00617B55">
              <w:rPr>
                <w:rFonts w:ascii="Simplified Arabic" w:hAnsi="Simplified Arabic" w:hint="cs"/>
                <w:bCs/>
                <w:szCs w:val="22"/>
                <w:rtl/>
              </w:rPr>
              <w:t xml:space="preserve">المادة 8(ي) من </w:t>
            </w:r>
            <w:r w:rsidRPr="00617B55">
              <w:rPr>
                <w:rFonts w:ascii="Simplified Arabic" w:hAnsi="Simplified Arabic"/>
                <w:bCs/>
                <w:szCs w:val="22"/>
                <w:rtl/>
              </w:rPr>
              <w:t>الاتفاقية</w:t>
            </w:r>
            <w:r w:rsidRPr="00617B55">
              <w:rPr>
                <w:rFonts w:ascii="Simplified Arabic" w:hAnsi="Simplified Arabic" w:hint="cs"/>
                <w:bCs/>
                <w:szCs w:val="22"/>
              </w:rPr>
              <w:t xml:space="preserve"> </w:t>
            </w:r>
          </w:p>
          <w:p w:rsidR="00E93E73" w:rsidRPr="00617B55" w:rsidRDefault="00E93E73" w:rsidP="00FA2E1F">
            <w:pPr>
              <w:keepNext/>
              <w:rPr>
                <w:rFonts w:ascii="Simplified Arabic" w:hAnsi="Simplified Arabic"/>
                <w:b/>
                <w:i/>
                <w:iCs/>
              </w:rPr>
            </w:pPr>
            <w:r w:rsidRPr="00617B55">
              <w:rPr>
                <w:rFonts w:ascii="Simplified Arabic" w:hAnsi="Simplified Arabic"/>
                <w:b/>
                <w:i/>
                <w:iCs/>
                <w:szCs w:val="22"/>
                <w:rtl/>
              </w:rPr>
              <w:t>يلاحظ أن هذه المصطلحات مفهومة في سياق الحصول على المعارف التقليدية في إطار ولاية اتفاقية التنوع البيولوجي</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"الموافقة المسبقة عن علم" أو "الموافقة الحرة والمسبقة عن علم" أو "ال</w:t>
            </w:r>
            <w:r>
              <w:rPr>
                <w:rFonts w:ascii="Simplified Arabic" w:hAnsi="Simplified Arabic" w:hint="cs"/>
                <w:b/>
                <w:szCs w:val="22"/>
                <w:rtl/>
              </w:rPr>
              <w:t>قبول</w:t>
            </w:r>
            <w:r w:rsidRPr="00617B55">
              <w:rPr>
                <w:rFonts w:ascii="Simplified Arabic" w:hAnsi="Simplified Arabic"/>
                <w:b/>
                <w:szCs w:val="22"/>
                <w:rtl/>
              </w:rPr>
              <w:t xml:space="preserve"> والمشاركة"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الموافقة الحرة تعني أن الشعوب الأصلية والمجتمعات المحلية لا تتعرض </w:t>
            </w:r>
            <w:r w:rsidRPr="00617B55">
              <w:rPr>
                <w:rFonts w:ascii="Simplified Arabic" w:eastAsia="Times New Roman" w:hAnsi="Simplified Arabic" w:hint="cs"/>
                <w:snapToGrid w:val="0"/>
                <w:kern w:val="22"/>
                <w:sz w:val="32"/>
                <w:szCs w:val="22"/>
                <w:rtl/>
              </w:rPr>
              <w:t>ل</w:t>
            </w:r>
            <w:r w:rsidRPr="00617B55">
              <w:rPr>
                <w:rFonts w:ascii="Simplified Arabic" w:eastAsia="Times New Roman" w:hAnsi="Simplified Arabic"/>
                <w:snapToGrid w:val="0"/>
                <w:kern w:val="22"/>
                <w:sz w:val="32"/>
                <w:szCs w:val="22"/>
                <w:rtl/>
              </w:rPr>
              <w:t>لضغوط أو الترهيب أو التلاعب أو التأثير بلا مبرر، وأن موافقتها تُبدى دون إكراه؛</w:t>
            </w:r>
          </w:p>
          <w:p w:rsidR="00E93E73" w:rsidRPr="00617B55" w:rsidRDefault="00E93E73" w:rsidP="00FA2E1F">
            <w:pPr>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الموافقة المسبقة </w:t>
            </w:r>
            <w:r w:rsidRPr="00617B55">
              <w:rPr>
                <w:rFonts w:ascii="Simplified Arabic" w:eastAsia="Times New Roman" w:hAnsi="Simplified Arabic" w:hint="cs"/>
                <w:snapToGrid w:val="0"/>
                <w:kern w:val="22"/>
                <w:sz w:val="32"/>
                <w:szCs w:val="22"/>
                <w:rtl/>
              </w:rPr>
              <w:t>تعني السعي إلى ا</w:t>
            </w:r>
            <w:r w:rsidRPr="00617B55">
              <w:rPr>
                <w:rFonts w:ascii="Simplified Arabic" w:eastAsia="Times New Roman" w:hAnsi="Simplified Arabic"/>
                <w:snapToGrid w:val="0"/>
                <w:kern w:val="22"/>
                <w:sz w:val="32"/>
                <w:szCs w:val="22"/>
                <w:rtl/>
              </w:rPr>
              <w:t xml:space="preserve">لحصول على موافقة أو موافقة </w:t>
            </w:r>
            <w:r w:rsidRPr="00617B55">
              <w:rPr>
                <w:rFonts w:ascii="Simplified Arabic" w:eastAsia="Times New Roman" w:hAnsi="Simplified Arabic" w:hint="cs"/>
                <w:snapToGrid w:val="0"/>
                <w:kern w:val="22"/>
                <w:sz w:val="32"/>
                <w:szCs w:val="22"/>
                <w:rtl/>
              </w:rPr>
              <w:t xml:space="preserve">سابقة بوقت كاف </w:t>
            </w:r>
            <w:r w:rsidRPr="00617B55">
              <w:rPr>
                <w:rFonts w:ascii="Simplified Arabic" w:eastAsia="Times New Roman" w:hAnsi="Simplified Arabic"/>
                <w:snapToGrid w:val="0"/>
                <w:kern w:val="22"/>
                <w:sz w:val="32"/>
                <w:szCs w:val="22"/>
                <w:rtl/>
              </w:rPr>
              <w:t xml:space="preserve">قبل أي ترخيص للوصول إلى المعارف التقليدية </w:t>
            </w:r>
            <w:r w:rsidRPr="00617B55">
              <w:rPr>
                <w:rFonts w:ascii="Simplified Arabic" w:eastAsia="Times New Roman" w:hAnsi="Simplified Arabic" w:hint="cs"/>
                <w:snapToGrid w:val="0"/>
                <w:kern w:val="22"/>
                <w:sz w:val="32"/>
                <w:szCs w:val="22"/>
                <w:rtl/>
              </w:rPr>
              <w:t>مع احترام</w:t>
            </w:r>
            <w:r w:rsidRPr="00617B55">
              <w:rPr>
                <w:rFonts w:ascii="Simplified Arabic" w:eastAsia="Times New Roman" w:hAnsi="Simplified Arabic"/>
                <w:snapToGrid w:val="0"/>
                <w:kern w:val="22"/>
                <w:sz w:val="32"/>
                <w:szCs w:val="22"/>
                <w:rtl/>
              </w:rPr>
              <w:t xml:space="preserve"> عمليات صنع القرار العرفي وفقا للتشريع الوطني ومتطلبات الوقت للشعوب الأصلية والمجتمعات المحلية؛</w:t>
            </w:r>
          </w:p>
          <w:p w:rsidR="00E93E73" w:rsidRPr="00617B55" w:rsidRDefault="00E93E73" w:rsidP="00FA2E1F">
            <w:pPr>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الموافقة </w:t>
            </w:r>
            <w:r w:rsidRPr="00617B55">
              <w:rPr>
                <w:rFonts w:ascii="Simplified Arabic" w:eastAsia="Times New Roman" w:hAnsi="Simplified Arabic" w:hint="cs"/>
                <w:snapToGrid w:val="0"/>
                <w:kern w:val="22"/>
                <w:sz w:val="32"/>
                <w:szCs w:val="22"/>
                <w:rtl/>
              </w:rPr>
              <w:t>عن علم</w:t>
            </w:r>
            <w:r w:rsidRPr="00617B55">
              <w:rPr>
                <w:rFonts w:ascii="Simplified Arabic" w:eastAsia="Times New Roman" w:hAnsi="Simplified Arabic"/>
                <w:snapToGrid w:val="0"/>
                <w:kern w:val="22"/>
                <w:sz w:val="32"/>
                <w:szCs w:val="22"/>
                <w:rtl/>
              </w:rPr>
              <w:t xml:space="preserve"> تعني أنه يتم توفير معلومات تغطي جوانب ذات صلة، مثل: الغرض المقصود من الوصول؛ ومدته ونطاقه؛ </w:t>
            </w:r>
            <w:r w:rsidRPr="00617B55">
              <w:rPr>
                <w:rFonts w:ascii="Simplified Arabic" w:eastAsia="Times New Roman" w:hAnsi="Simplified Arabic" w:hint="cs"/>
                <w:snapToGrid w:val="0"/>
                <w:kern w:val="22"/>
                <w:sz w:val="32"/>
                <w:szCs w:val="22"/>
                <w:rtl/>
              </w:rPr>
              <w:t>و</w:t>
            </w:r>
            <w:r w:rsidRPr="00617B55">
              <w:rPr>
                <w:rFonts w:ascii="Simplified Arabic" w:eastAsia="Times New Roman" w:hAnsi="Simplified Arabic"/>
                <w:snapToGrid w:val="0"/>
                <w:kern w:val="22"/>
                <w:sz w:val="32"/>
                <w:szCs w:val="22"/>
                <w:rtl/>
              </w:rPr>
              <w:t xml:space="preserve">تقييم أولي للآثار الاقتصادية والاجتماعية والثقافية والبيئية المحتملة، بما في ذلك المخاطر المحتملة؛ </w:t>
            </w:r>
            <w:r w:rsidRPr="00617B55">
              <w:rPr>
                <w:rFonts w:ascii="Simplified Arabic" w:eastAsia="Times New Roman" w:hAnsi="Simplified Arabic" w:hint="cs"/>
                <w:snapToGrid w:val="0"/>
                <w:kern w:val="22"/>
                <w:sz w:val="32"/>
                <w:szCs w:val="22"/>
                <w:rtl/>
              </w:rPr>
              <w:t>و</w:t>
            </w:r>
            <w:r w:rsidRPr="00617B55">
              <w:rPr>
                <w:rFonts w:ascii="Simplified Arabic" w:eastAsia="Times New Roman" w:hAnsi="Simplified Arabic"/>
                <w:snapToGrid w:val="0"/>
                <w:kern w:val="22"/>
                <w:sz w:val="32"/>
                <w:szCs w:val="22"/>
                <w:rtl/>
              </w:rPr>
              <w:t xml:space="preserve">الموظفين المحتمل أن يشاركوا في تنفيذ الوصول؛ </w:t>
            </w:r>
            <w:r w:rsidRPr="00617B55">
              <w:rPr>
                <w:rFonts w:ascii="Simplified Arabic" w:eastAsia="Times New Roman" w:hAnsi="Simplified Arabic" w:hint="cs"/>
                <w:snapToGrid w:val="0"/>
                <w:kern w:val="22"/>
                <w:sz w:val="32"/>
                <w:szCs w:val="22"/>
                <w:rtl/>
              </w:rPr>
              <w:t>و</w:t>
            </w:r>
            <w:r w:rsidRPr="00617B55">
              <w:rPr>
                <w:rFonts w:ascii="Simplified Arabic" w:eastAsia="Times New Roman" w:hAnsi="Simplified Arabic"/>
                <w:snapToGrid w:val="0"/>
                <w:kern w:val="22"/>
                <w:sz w:val="32"/>
                <w:szCs w:val="22"/>
                <w:rtl/>
              </w:rPr>
              <w:t>الإجراءات التي قد ينطوي عليها الوصول وترتيبات تقاسم المنافع؛</w:t>
            </w:r>
          </w:p>
          <w:p w:rsidR="00E93E73" w:rsidRPr="00617B55" w:rsidRDefault="00E93E73" w:rsidP="00FA2E1F">
            <w:pPr>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الموافقة أو القبول هي موافقة الشعوب الأصلية والمجتمعات المحلية الحائزة </w:t>
            </w:r>
            <w:r w:rsidRPr="00617B55">
              <w:rPr>
                <w:rFonts w:ascii="Simplified Arabic" w:eastAsia="Times New Roman" w:hAnsi="Simplified Arabic" w:hint="cs"/>
                <w:snapToGrid w:val="0"/>
                <w:kern w:val="22"/>
                <w:sz w:val="32"/>
                <w:szCs w:val="22"/>
                <w:rtl/>
              </w:rPr>
              <w:t>على ال</w:t>
            </w:r>
            <w:r w:rsidRPr="00617B55">
              <w:rPr>
                <w:rFonts w:ascii="Simplified Arabic" w:eastAsia="Times New Roman" w:hAnsi="Simplified Arabic"/>
                <w:snapToGrid w:val="0"/>
                <w:kern w:val="22"/>
                <w:sz w:val="32"/>
                <w:szCs w:val="22"/>
                <w:rtl/>
              </w:rPr>
              <w:t>معارف التقليدية أو السلطات المختصة لتلك الشعوب الأصلية والمجتمعات المحلية، حسب الاقتضاء، على منح الوصول إلى معارفه</w:t>
            </w:r>
            <w:r w:rsidRPr="00617B55">
              <w:rPr>
                <w:rFonts w:ascii="Simplified Arabic" w:eastAsia="Times New Roman" w:hAnsi="Simplified Arabic" w:hint="cs"/>
                <w:snapToGrid w:val="0"/>
                <w:kern w:val="22"/>
                <w:sz w:val="32"/>
                <w:szCs w:val="22"/>
                <w:rtl/>
              </w:rPr>
              <w:t>ا</w:t>
            </w:r>
            <w:r w:rsidRPr="00617B55">
              <w:rPr>
                <w:rFonts w:ascii="Simplified Arabic" w:eastAsia="Times New Roman" w:hAnsi="Simplified Arabic"/>
                <w:snapToGrid w:val="0"/>
                <w:kern w:val="22"/>
                <w:sz w:val="32"/>
                <w:szCs w:val="22"/>
                <w:rtl/>
              </w:rPr>
              <w:t xml:space="preserve"> التقليدية للمستعملين المحتملين، ويشمل ذلك الحق </w:t>
            </w:r>
            <w:r w:rsidRPr="00617B55">
              <w:rPr>
                <w:rFonts w:ascii="Simplified Arabic" w:eastAsia="Times New Roman" w:hAnsi="Simplified Arabic" w:hint="cs"/>
                <w:snapToGrid w:val="0"/>
                <w:kern w:val="22"/>
                <w:sz w:val="32"/>
                <w:szCs w:val="22"/>
                <w:rtl/>
              </w:rPr>
              <w:t xml:space="preserve">في عدم </w:t>
            </w:r>
            <w:r w:rsidRPr="00617B55">
              <w:rPr>
                <w:rFonts w:ascii="Simplified Arabic" w:eastAsia="Times New Roman" w:hAnsi="Simplified Arabic"/>
                <w:snapToGrid w:val="0"/>
                <w:kern w:val="22"/>
                <w:sz w:val="32"/>
                <w:szCs w:val="22"/>
                <w:rtl/>
              </w:rPr>
              <w:t>منح الموافقة أو القبول؛</w:t>
            </w:r>
          </w:p>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المشاركة تشير إلى المشاركة الكاملة والفعالة للشعوب الأصلية والمجتمعات المحلية في عمليات اتخاذ القرار المتصلة بالحصول على معارفه</w:t>
            </w:r>
            <w:r w:rsidRPr="00617B55">
              <w:rPr>
                <w:rFonts w:ascii="Simplified Arabic" w:eastAsia="Times New Roman" w:hAnsi="Simplified Arabic" w:hint="cs"/>
                <w:snapToGrid w:val="0"/>
                <w:kern w:val="22"/>
                <w:sz w:val="32"/>
                <w:szCs w:val="22"/>
                <w:rtl/>
              </w:rPr>
              <w:t>ا</w:t>
            </w:r>
            <w:r w:rsidRPr="00617B55">
              <w:rPr>
                <w:rFonts w:ascii="Simplified Arabic" w:eastAsia="Times New Roman" w:hAnsi="Simplified Arabic"/>
                <w:snapToGrid w:val="0"/>
                <w:kern w:val="22"/>
                <w:sz w:val="32"/>
                <w:szCs w:val="22"/>
                <w:rtl/>
              </w:rPr>
              <w:t xml:space="preserve"> التقليدية. وتشكل المشاورات والمشاركة الكاملة والفعالة للشعوب الأصلية والمجتمعات المحلية عناصر حاسمة في عملية الموافقة أو القبول</w:t>
            </w:r>
            <w:r w:rsidRPr="00617B55">
              <w:rPr>
                <w:rFonts w:ascii="Simplified Arabic" w:eastAsia="Times New Roman" w:hAnsi="Simplified Arabic" w:hint="cs"/>
                <w:snapToGrid w:val="0"/>
                <w:kern w:val="22"/>
                <w:sz w:val="32"/>
                <w:szCs w:val="22"/>
                <w:rtl/>
              </w:rPr>
              <w:t>.</w:t>
            </w:r>
            <w:r w:rsidRPr="00617B55">
              <w:rPr>
                <w:rStyle w:val="FootnoteReference"/>
                <w:szCs w:val="22"/>
                <w:rtl/>
              </w:rPr>
              <w:footnoteReference w:id="230"/>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البروتوكولات المجتمعية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snapToGrid w:val="0"/>
                <w:kern w:val="22"/>
              </w:rPr>
            </w:pPr>
            <w:r w:rsidRPr="00617B55">
              <w:rPr>
                <w:rFonts w:ascii="Simplified Arabic" w:eastAsia="Times New Roman" w:hAnsi="Simplified Arabic"/>
                <w:snapToGrid w:val="0"/>
                <w:kern w:val="22"/>
                <w:sz w:val="32"/>
                <w:szCs w:val="22"/>
                <w:rtl/>
              </w:rPr>
              <w:t xml:space="preserve">تغطي مجموعة واسعة من التعبيرات، والمبادئ، والقواعد والممارسات التي تولدها المجتمعات المحلية لتحديد كيف تتوقع </w:t>
            </w:r>
            <w:r w:rsidRPr="00617B55">
              <w:rPr>
                <w:rFonts w:ascii="Simplified Arabic" w:eastAsia="Times New Roman" w:hAnsi="Simplified Arabic" w:hint="cs"/>
                <w:snapToGrid w:val="0"/>
                <w:kern w:val="22"/>
                <w:sz w:val="32"/>
                <w:szCs w:val="22"/>
                <w:rtl/>
              </w:rPr>
              <w:t>انخراط</w:t>
            </w:r>
            <w:r w:rsidRPr="00617B55">
              <w:rPr>
                <w:rFonts w:ascii="Simplified Arabic" w:eastAsia="Times New Roman" w:hAnsi="Simplified Arabic"/>
                <w:snapToGrid w:val="0"/>
                <w:kern w:val="22"/>
                <w:sz w:val="32"/>
                <w:szCs w:val="22"/>
                <w:rtl/>
              </w:rPr>
              <w:t xml:space="preserve"> أصحاب المصلحة الآخرين </w:t>
            </w:r>
            <w:r w:rsidRPr="00617B55">
              <w:rPr>
                <w:rFonts w:ascii="Simplified Arabic" w:eastAsia="Times New Roman" w:hAnsi="Simplified Arabic" w:hint="cs"/>
                <w:snapToGrid w:val="0"/>
                <w:kern w:val="22"/>
                <w:sz w:val="32"/>
                <w:szCs w:val="22"/>
                <w:rtl/>
              </w:rPr>
              <w:t>معها</w:t>
            </w:r>
            <w:r w:rsidRPr="00617B55">
              <w:rPr>
                <w:rFonts w:ascii="Simplified Arabic" w:eastAsia="Times New Roman" w:hAnsi="Simplified Arabic"/>
                <w:snapToGrid w:val="0"/>
                <w:kern w:val="22"/>
                <w:sz w:val="32"/>
                <w:szCs w:val="22"/>
                <w:rtl/>
              </w:rPr>
              <w:t xml:space="preserve">. ويجوز لهذه المجتمعات المحلية </w:t>
            </w:r>
            <w:r w:rsidRPr="00617B55">
              <w:rPr>
                <w:rFonts w:ascii="Simplified Arabic" w:eastAsia="Times New Roman" w:hAnsi="Simplified Arabic" w:hint="cs"/>
                <w:snapToGrid w:val="0"/>
                <w:kern w:val="22"/>
                <w:sz w:val="32"/>
                <w:szCs w:val="22"/>
                <w:rtl/>
              </w:rPr>
              <w:t>الاستناد</w:t>
            </w:r>
            <w:r w:rsidRPr="00617B55">
              <w:rPr>
                <w:rFonts w:ascii="Simplified Arabic" w:eastAsia="Times New Roman" w:hAnsi="Simplified Arabic"/>
                <w:snapToGrid w:val="0"/>
                <w:kern w:val="22"/>
                <w:sz w:val="32"/>
                <w:szCs w:val="22"/>
                <w:rtl/>
              </w:rPr>
              <w:t xml:space="preserve"> إلى القوانين العرفية وكذلك القوانين الوطنية أو الدولية لتأكيد حقوقها في التعامل معها وفقا لمجموعة معينة من المعايير. </w:t>
            </w:r>
            <w:r w:rsidRPr="00617B55">
              <w:rPr>
                <w:rFonts w:ascii="Simplified Arabic" w:eastAsia="Times New Roman" w:hAnsi="Simplified Arabic" w:hint="cs"/>
                <w:snapToGrid w:val="0"/>
                <w:kern w:val="22"/>
                <w:sz w:val="32"/>
                <w:szCs w:val="22"/>
                <w:rtl/>
              </w:rPr>
              <w:t>ومن شأن</w:t>
            </w:r>
            <w:r w:rsidRPr="00617B55">
              <w:rPr>
                <w:rFonts w:ascii="Simplified Arabic" w:eastAsia="Times New Roman" w:hAnsi="Simplified Arabic"/>
                <w:snapToGrid w:val="0"/>
                <w:kern w:val="22"/>
                <w:sz w:val="32"/>
                <w:szCs w:val="22"/>
                <w:rtl/>
              </w:rPr>
              <w:t xml:space="preserve"> توضيح المعلومات والعوامل ذات الصلة وتفاصيل القوانين العرفية والسلطات التقليدية </w:t>
            </w:r>
            <w:r w:rsidRPr="00617B55">
              <w:rPr>
                <w:rFonts w:ascii="Simplified Arabic" w:eastAsia="Times New Roman" w:hAnsi="Simplified Arabic" w:hint="cs"/>
                <w:snapToGrid w:val="0"/>
                <w:kern w:val="22"/>
                <w:sz w:val="32"/>
                <w:szCs w:val="22"/>
                <w:rtl/>
              </w:rPr>
              <w:t xml:space="preserve">أن </w:t>
            </w:r>
            <w:r w:rsidRPr="00617B55">
              <w:rPr>
                <w:rFonts w:ascii="Simplified Arabic" w:eastAsia="Times New Roman" w:hAnsi="Simplified Arabic"/>
                <w:snapToGrid w:val="0"/>
                <w:kern w:val="22"/>
                <w:sz w:val="32"/>
                <w:szCs w:val="22"/>
                <w:rtl/>
              </w:rPr>
              <w:t xml:space="preserve">يساعد أصحاب المصلحة الآخرين على فهم قيم المجتمع والقوانين العرفية بشكل أفضل. وتوفر البروتوكولات المجتمعية للمجتمعات المحلية فرصة للتركيز على تطلعاتها </w:t>
            </w:r>
            <w:r w:rsidRPr="00617B55">
              <w:rPr>
                <w:rFonts w:ascii="Simplified Arabic" w:eastAsia="Times New Roman" w:hAnsi="Simplified Arabic" w:hint="cs"/>
                <w:snapToGrid w:val="0"/>
                <w:kern w:val="22"/>
                <w:sz w:val="32"/>
                <w:szCs w:val="22"/>
                <w:rtl/>
              </w:rPr>
              <w:t>الإنمائية مقابل</w:t>
            </w:r>
            <w:r w:rsidRPr="00617B55">
              <w:rPr>
                <w:rFonts w:ascii="Simplified Arabic" w:eastAsia="Times New Roman" w:hAnsi="Simplified Arabic"/>
                <w:snapToGrid w:val="0"/>
                <w:kern w:val="22"/>
                <w:sz w:val="32"/>
                <w:szCs w:val="22"/>
                <w:rtl/>
              </w:rPr>
              <w:t xml:space="preserve"> حقوقها، وأن توضح لنفسها وللمستخدمين فهمها لتراثها الثقافي البيولوجي وبالتالي توضيح </w:t>
            </w:r>
            <w:r w:rsidRPr="00617B55">
              <w:rPr>
                <w:rFonts w:ascii="Simplified Arabic" w:eastAsia="Times New Roman" w:hAnsi="Simplified Arabic" w:hint="cs"/>
                <w:snapToGrid w:val="0"/>
                <w:kern w:val="22"/>
                <w:sz w:val="32"/>
                <w:szCs w:val="22"/>
                <w:rtl/>
              </w:rPr>
              <w:t>الأساس الذي ستستند إليه في</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انخراطها</w:t>
            </w:r>
            <w:r w:rsidRPr="00617B55">
              <w:rPr>
                <w:rFonts w:ascii="Simplified Arabic" w:eastAsia="Times New Roman" w:hAnsi="Simplified Arabic"/>
                <w:snapToGrid w:val="0"/>
                <w:kern w:val="22"/>
                <w:sz w:val="32"/>
                <w:szCs w:val="22"/>
                <w:rtl/>
              </w:rPr>
              <w:t xml:space="preserve"> مع </w:t>
            </w:r>
            <w:r w:rsidRPr="00617B55">
              <w:rPr>
                <w:rFonts w:ascii="Simplified Arabic" w:eastAsia="Times New Roman" w:hAnsi="Simplified Arabic" w:hint="cs"/>
                <w:snapToGrid w:val="0"/>
                <w:kern w:val="22"/>
                <w:sz w:val="32"/>
                <w:szCs w:val="22"/>
                <w:rtl/>
              </w:rPr>
              <w:lastRenderedPageBreak/>
              <w:t>ال</w:t>
            </w:r>
            <w:r w:rsidRPr="00617B55">
              <w:rPr>
                <w:rFonts w:ascii="Simplified Arabic" w:eastAsia="Times New Roman" w:hAnsi="Simplified Arabic"/>
                <w:snapToGrid w:val="0"/>
                <w:kern w:val="22"/>
                <w:sz w:val="32"/>
                <w:szCs w:val="22"/>
                <w:rtl/>
              </w:rPr>
              <w:t xml:space="preserve">مجموعة </w:t>
            </w:r>
            <w:r w:rsidRPr="00617B55">
              <w:rPr>
                <w:rFonts w:ascii="Simplified Arabic" w:eastAsia="Times New Roman" w:hAnsi="Simplified Arabic" w:hint="cs"/>
                <w:snapToGrid w:val="0"/>
                <w:kern w:val="22"/>
                <w:sz w:val="32"/>
                <w:szCs w:val="22"/>
                <w:rtl/>
              </w:rPr>
              <w:t>ال</w:t>
            </w:r>
            <w:r w:rsidRPr="00617B55">
              <w:rPr>
                <w:rFonts w:ascii="Simplified Arabic" w:eastAsia="Times New Roman" w:hAnsi="Simplified Arabic"/>
                <w:snapToGrid w:val="0"/>
                <w:kern w:val="22"/>
                <w:sz w:val="32"/>
                <w:szCs w:val="22"/>
                <w:rtl/>
              </w:rPr>
              <w:t>متنوعة من أصحاب المصلحة. ومن خلال النظر في الترابط بين حقوقه</w:t>
            </w:r>
            <w:r w:rsidRPr="00617B55">
              <w:rPr>
                <w:rFonts w:ascii="Simplified Arabic" w:eastAsia="Times New Roman" w:hAnsi="Simplified Arabic" w:hint="cs"/>
                <w:snapToGrid w:val="0"/>
                <w:kern w:val="22"/>
                <w:sz w:val="32"/>
                <w:szCs w:val="22"/>
                <w:rtl/>
              </w:rPr>
              <w:t>ا على</w:t>
            </w:r>
            <w:r w:rsidRPr="00617B55">
              <w:rPr>
                <w:rFonts w:ascii="Simplified Arabic" w:eastAsia="Times New Roman" w:hAnsi="Simplified Arabic"/>
                <w:snapToGrid w:val="0"/>
                <w:kern w:val="22"/>
                <w:sz w:val="32"/>
                <w:szCs w:val="22"/>
                <w:rtl/>
              </w:rPr>
              <w:t xml:space="preserve"> الأراضي والحالة الاجتماعية والاقتصادية الراهنة والشواغل البيئية والقوانين العرفية والمعارف التقليدية، فإن المجتمعات المحلية في وضع أفضل لتحديد كيفية تفاوضه</w:t>
            </w:r>
            <w:r w:rsidRPr="00617B55">
              <w:rPr>
                <w:rFonts w:ascii="Simplified Arabic" w:eastAsia="Times New Roman" w:hAnsi="Simplified Arabic" w:hint="cs"/>
                <w:snapToGrid w:val="0"/>
                <w:kern w:val="22"/>
                <w:sz w:val="32"/>
                <w:szCs w:val="22"/>
                <w:rtl/>
              </w:rPr>
              <w:t>ا</w:t>
            </w:r>
            <w:r w:rsidRPr="00617B55">
              <w:rPr>
                <w:rFonts w:ascii="Simplified Arabic" w:eastAsia="Times New Roman" w:hAnsi="Simplified Arabic"/>
                <w:snapToGrid w:val="0"/>
                <w:kern w:val="22"/>
                <w:sz w:val="32"/>
                <w:szCs w:val="22"/>
                <w:rtl/>
              </w:rPr>
              <w:t xml:space="preserve"> مع مجموعة متنوعة من الجهات الفاعلة</w:t>
            </w:r>
            <w:r w:rsidRPr="00617B55">
              <w:rPr>
                <w:rFonts w:ascii="Simplified Arabic" w:eastAsia="Times New Roman" w:hAnsi="Simplified Arabic" w:hint="cs"/>
                <w:snapToGrid w:val="0"/>
                <w:kern w:val="22"/>
                <w:sz w:val="32"/>
                <w:szCs w:val="22"/>
                <w:rtl/>
              </w:rPr>
              <w:t>.</w:t>
            </w:r>
            <w:r w:rsidRPr="00617B55">
              <w:rPr>
                <w:rStyle w:val="FootnoteReference"/>
                <w:snapToGrid w:val="0"/>
                <w:kern w:val="22"/>
                <w:sz w:val="32"/>
                <w:szCs w:val="22"/>
                <w:rtl/>
              </w:rPr>
              <w:footnoteReference w:id="231"/>
            </w:r>
            <w:r w:rsidRPr="00617B55">
              <w:rPr>
                <w:snapToGrid w:val="0"/>
                <w:kern w:val="22"/>
                <w:szCs w:val="22"/>
              </w:rPr>
              <w:t xml:space="preserve"> </w:t>
            </w:r>
          </w:p>
        </w:tc>
      </w:tr>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93E73" w:rsidRPr="00617B55" w:rsidRDefault="00E93E73" w:rsidP="00FA2E1F">
            <w:pPr>
              <w:jc w:val="center"/>
              <w:rPr>
                <w:rFonts w:ascii="Simplified Arabic" w:eastAsia="Times New Roman" w:hAnsi="Simplified Arabic"/>
                <w:bCs/>
                <w:snapToGrid w:val="0"/>
                <w:kern w:val="22"/>
                <w:rtl/>
              </w:rPr>
            </w:pPr>
            <w:r w:rsidRPr="00617B55">
              <w:rPr>
                <w:rFonts w:ascii="Simplified Arabic" w:eastAsia="Times New Roman" w:hAnsi="Simplified Arabic" w:hint="cs"/>
                <w:bCs/>
                <w:snapToGrid w:val="0"/>
                <w:kern w:val="22"/>
                <w:szCs w:val="22"/>
                <w:rtl/>
              </w:rPr>
              <w:lastRenderedPageBreak/>
              <w:t>القسم</w:t>
            </w:r>
            <w:r w:rsidRPr="00617B55">
              <w:rPr>
                <w:rFonts w:ascii="Simplified Arabic" w:eastAsia="Times New Roman" w:hAnsi="Simplified Arabic"/>
                <w:bCs/>
                <w:snapToGrid w:val="0"/>
                <w:kern w:val="22"/>
                <w:szCs w:val="22"/>
                <w:rtl/>
              </w:rPr>
              <w:t xml:space="preserve"> الثالث</w:t>
            </w:r>
          </w:p>
          <w:p w:rsidR="00E93E73" w:rsidRPr="00617B55" w:rsidRDefault="00E93E73" w:rsidP="00FA2E1F">
            <w:pPr>
              <w:keepNext/>
              <w:jc w:val="center"/>
              <w:rPr>
                <w:rFonts w:eastAsia="Times New Roman"/>
                <w:snapToGrid w:val="0"/>
                <w:kern w:val="22"/>
              </w:rPr>
            </w:pPr>
            <w:r w:rsidRPr="00617B55">
              <w:rPr>
                <w:rFonts w:ascii="Simplified Arabic" w:eastAsia="Times New Roman" w:hAnsi="Simplified Arabic"/>
                <w:bCs/>
                <w:snapToGrid w:val="0"/>
                <w:kern w:val="22"/>
                <w:szCs w:val="22"/>
                <w:rtl/>
              </w:rPr>
              <w:t>المصطلحات والمفاهيم التي وضعها الفريق العامل</w:t>
            </w:r>
            <w:r w:rsidRPr="00617B55">
              <w:rPr>
                <w:rFonts w:hint="cs"/>
                <w:b/>
                <w:szCs w:val="22"/>
              </w:rPr>
              <w:t xml:space="preserve"> </w:t>
            </w:r>
            <w:r w:rsidRPr="00617B55">
              <w:rPr>
                <w:rStyle w:val="FootnoteReference"/>
                <w:szCs w:val="22"/>
              </w:rPr>
              <w:footnoteReference w:id="232"/>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hAnsi="Simplified Arabic"/>
                <w:bCs/>
                <w:szCs w:val="22"/>
                <w:rtl/>
              </w:rPr>
              <w:t>المصطلح أو المفهوم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i/>
                <w:snapToGrid w:val="0"/>
                <w:kern w:val="22"/>
              </w:rPr>
            </w:pPr>
            <w:r w:rsidRPr="00617B55">
              <w:rPr>
                <w:rFonts w:ascii="Simplified Arabic" w:hAnsi="Simplified Arabic"/>
                <w:bCs/>
                <w:szCs w:val="22"/>
                <w:rtl/>
              </w:rPr>
              <w:t>فهم المصطلح أو المفهوم في سياق الاتفاقية</w:t>
            </w:r>
            <w:r w:rsidRPr="00617B55">
              <w:rPr>
                <w:rFonts w:eastAsia="Times New Roman" w:hint="cs"/>
                <w:i/>
                <w:snapToGrid w:val="0"/>
                <w:kern w:val="22"/>
                <w:szCs w:val="22"/>
              </w:rPr>
              <w:t xml:space="preserve"> </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التنوع البيولوجي الثقافي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b/>
                <w:bCs/>
                <w:i/>
                <w:iCs/>
                <w:lang w:val="en-AU"/>
              </w:rPr>
            </w:pPr>
            <w:r w:rsidRPr="00617B55">
              <w:rPr>
                <w:rFonts w:ascii="Simplified Arabic" w:eastAsia="Times New Roman" w:hAnsi="Simplified Arabic"/>
                <w:snapToGrid w:val="0"/>
                <w:kern w:val="22"/>
                <w:sz w:val="32"/>
                <w:szCs w:val="22"/>
                <w:rtl/>
              </w:rPr>
              <w:t xml:space="preserve">يعتبر </w:t>
            </w:r>
            <w:r w:rsidRPr="00617B55">
              <w:rPr>
                <w:rFonts w:ascii="Simplified Arabic" w:eastAsia="Times New Roman" w:hAnsi="Simplified Arabic"/>
                <w:i/>
                <w:iCs/>
                <w:snapToGrid w:val="0"/>
                <w:kern w:val="22"/>
                <w:sz w:val="32"/>
                <w:szCs w:val="22"/>
                <w:rtl/>
              </w:rPr>
              <w:t>التنوع البيولوجي الثقافي</w:t>
            </w:r>
            <w:r w:rsidRPr="00617B55">
              <w:rPr>
                <w:rFonts w:ascii="Simplified Arabic" w:eastAsia="Times New Roman" w:hAnsi="Simplified Arabic"/>
                <w:snapToGrid w:val="0"/>
                <w:kern w:val="22"/>
                <w:sz w:val="32"/>
                <w:szCs w:val="22"/>
                <w:rtl/>
              </w:rPr>
              <w:t xml:space="preserve"> بمثابة تنوع بيولوجي و</w:t>
            </w:r>
            <w:r w:rsidRPr="00617B55">
              <w:rPr>
                <w:rFonts w:ascii="Simplified Arabic" w:eastAsia="Times New Roman" w:hAnsi="Simplified Arabic" w:hint="cs"/>
                <w:snapToGrid w:val="0"/>
                <w:kern w:val="22"/>
                <w:sz w:val="32"/>
                <w:szCs w:val="22"/>
                <w:rtl/>
              </w:rPr>
              <w:t xml:space="preserve">تنوع </w:t>
            </w:r>
            <w:r w:rsidRPr="00617B55">
              <w:rPr>
                <w:rFonts w:ascii="Simplified Arabic" w:eastAsia="Times New Roman" w:hAnsi="Simplified Arabic"/>
                <w:snapToGrid w:val="0"/>
                <w:kern w:val="22"/>
                <w:sz w:val="32"/>
                <w:szCs w:val="22"/>
                <w:rtl/>
              </w:rPr>
              <w:t xml:space="preserve">ثقافي والصلات بينهما. </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tcPr>
          <w:p w:rsidR="00E93E73" w:rsidRPr="00617B55" w:rsidRDefault="00E93E73" w:rsidP="00FA2E1F">
            <w:pPr>
              <w:rPr>
                <w:rFonts w:ascii="Simplified Arabic" w:hAnsi="Simplified Arabic"/>
                <w:b/>
              </w:rPr>
            </w:pPr>
            <w:r w:rsidRPr="00617B55">
              <w:rPr>
                <w:rFonts w:ascii="Simplified Arabic" w:hAnsi="Simplified Arabic"/>
                <w:b/>
                <w:szCs w:val="22"/>
                <w:rtl/>
              </w:rPr>
              <w:t>التراث البيولوجي الثقافي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 xml:space="preserve">يعكس </w:t>
            </w:r>
            <w:r w:rsidRPr="00617B55">
              <w:rPr>
                <w:rFonts w:ascii="Simplified Arabic" w:eastAsia="Times New Roman" w:hAnsi="Simplified Arabic"/>
                <w:i/>
                <w:iCs/>
                <w:snapToGrid w:val="0"/>
                <w:kern w:val="22"/>
                <w:sz w:val="32"/>
                <w:szCs w:val="22"/>
                <w:rtl/>
              </w:rPr>
              <w:t>التراث البيولوجي الثقافي</w:t>
            </w:r>
            <w:r w:rsidRPr="00617B55">
              <w:rPr>
                <w:rFonts w:ascii="Simplified Arabic" w:eastAsia="Times New Roman" w:hAnsi="Simplified Arabic"/>
                <w:snapToGrid w:val="0"/>
                <w:kern w:val="22"/>
                <w:sz w:val="32"/>
                <w:szCs w:val="22"/>
                <w:rtl/>
              </w:rPr>
              <w:t xml:space="preserve"> النهج الشامل لكثير من الشعوب الأصلية والمجتمعات المحلية. ويعترف هذا النهج المفاهيمي الشامل والجماعي أيضا </w:t>
            </w:r>
            <w:r w:rsidRPr="00617B55">
              <w:rPr>
                <w:rFonts w:ascii="Simplified Arabic" w:eastAsia="Times New Roman" w:hAnsi="Simplified Arabic" w:hint="cs"/>
                <w:snapToGrid w:val="0"/>
                <w:kern w:val="22"/>
                <w:sz w:val="32"/>
                <w:szCs w:val="22"/>
                <w:rtl/>
              </w:rPr>
              <w:t>بالمعارف</w:t>
            </w:r>
            <w:r w:rsidRPr="00617B55">
              <w:rPr>
                <w:rFonts w:ascii="Simplified Arabic" w:eastAsia="Times New Roman" w:hAnsi="Simplified Arabic"/>
                <w:snapToGrid w:val="0"/>
                <w:kern w:val="22"/>
                <w:sz w:val="32"/>
                <w:szCs w:val="22"/>
                <w:rtl/>
              </w:rPr>
              <w:t xml:space="preserve"> </w:t>
            </w:r>
            <w:r w:rsidRPr="00617B55">
              <w:rPr>
                <w:rFonts w:ascii="Simplified Arabic" w:eastAsia="Times New Roman" w:hAnsi="Simplified Arabic" w:hint="cs"/>
                <w:snapToGrid w:val="0"/>
                <w:kern w:val="22"/>
                <w:sz w:val="32"/>
                <w:szCs w:val="22"/>
                <w:rtl/>
              </w:rPr>
              <w:t xml:space="preserve">على </w:t>
            </w:r>
            <w:r w:rsidRPr="00617B55">
              <w:rPr>
                <w:rFonts w:ascii="Simplified Arabic" w:eastAsia="Times New Roman" w:hAnsi="Simplified Arabic"/>
                <w:snapToGrid w:val="0"/>
                <w:kern w:val="22"/>
                <w:sz w:val="32"/>
                <w:szCs w:val="22"/>
                <w:rtl/>
              </w:rPr>
              <w:t xml:space="preserve">أنها "تراث"، مما يعكس طابعها الحاضن والمتعدد الأجيال. والمناظر الطبيعية الثقافية المدرجة في اتفاقية التراث العالمي هي أمثلة على التراث </w:t>
            </w:r>
            <w:r w:rsidRPr="00617B55">
              <w:rPr>
                <w:rFonts w:ascii="Simplified Arabic" w:eastAsia="Times New Roman" w:hAnsi="Simplified Arabic" w:hint="cs"/>
                <w:snapToGrid w:val="0"/>
                <w:kern w:val="22"/>
                <w:sz w:val="32"/>
                <w:szCs w:val="22"/>
                <w:rtl/>
              </w:rPr>
              <w:t>البيولوجي</w:t>
            </w:r>
            <w:r w:rsidRPr="00617B55">
              <w:rPr>
                <w:rFonts w:ascii="Simplified Arabic" w:eastAsia="Times New Roman" w:hAnsi="Simplified Arabic"/>
                <w:snapToGrid w:val="0"/>
                <w:kern w:val="22"/>
                <w:sz w:val="32"/>
                <w:szCs w:val="22"/>
                <w:rtl/>
              </w:rPr>
              <w:t xml:space="preserve"> الثقافي.</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التراث الثقافي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uppressLineNumbers/>
              <w:suppressAutoHyphens/>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يشمل المظاهر المادية (الملموسة) و/أو غير المادية (غير الملموسة) للتراث الثقافي للشعوب الأصلية والمجتمعات المحلية، وفقا للميراث والانتقال التقليدي. ويشمل التراث الثقافي الملموس، على سبيل المثال لا الحصر، المناظر الطبيعية الثقافية، والمواقع، والهياكل، والبقايا الأثرية أو المعمارية أو التاريخية أو الدينية أو الروحية أو الثقافية أو الجمالية </w:t>
            </w:r>
            <w:r w:rsidRPr="00617B55">
              <w:rPr>
                <w:rFonts w:ascii="Simplified Arabic" w:eastAsia="Times New Roman" w:hAnsi="Simplified Arabic" w:hint="cs"/>
                <w:snapToGrid w:val="0"/>
                <w:kern w:val="22"/>
                <w:sz w:val="32"/>
                <w:szCs w:val="22"/>
                <w:rtl/>
              </w:rPr>
              <w:t xml:space="preserve">ذات القيمة </w:t>
            </w:r>
            <w:r w:rsidRPr="00617B55">
              <w:rPr>
                <w:rFonts w:ascii="Simplified Arabic" w:eastAsia="Times New Roman" w:hAnsi="Simplified Arabic"/>
                <w:snapToGrid w:val="0"/>
                <w:kern w:val="22"/>
                <w:sz w:val="32"/>
                <w:szCs w:val="22"/>
                <w:rtl/>
              </w:rPr>
              <w:t>أو الأهمية</w:t>
            </w:r>
            <w:r w:rsidRPr="00617B55">
              <w:rPr>
                <w:rFonts w:ascii="Simplified Arabic" w:eastAsia="Times New Roman" w:hAnsi="Simplified Arabic" w:hint="cs"/>
                <w:snapToGrid w:val="0"/>
                <w:kern w:val="22"/>
                <w:sz w:val="32"/>
                <w:szCs w:val="22"/>
                <w:rtl/>
              </w:rPr>
              <w:t>، وكذلك رفات الموتى</w:t>
            </w:r>
            <w:r w:rsidRPr="00617B55">
              <w:rPr>
                <w:rFonts w:ascii="Simplified Arabic" w:eastAsia="Times New Roman" w:hAnsi="Simplified Arabic"/>
                <w:snapToGrid w:val="0"/>
                <w:kern w:val="22"/>
                <w:sz w:val="32"/>
                <w:szCs w:val="22"/>
                <w:rtl/>
              </w:rPr>
              <w:t xml:space="preserve">. ويشمل التراث الثقافي غير الملموس، على سبيل المثال لا الحصر، المعارف التقليدية، بما في ذلك </w:t>
            </w:r>
            <w:r w:rsidRPr="00617B55">
              <w:rPr>
                <w:rFonts w:ascii="Simplified Arabic" w:eastAsia="Times New Roman" w:hAnsi="Simplified Arabic" w:hint="cs"/>
                <w:snapToGrid w:val="0"/>
                <w:kern w:val="22"/>
                <w:sz w:val="32"/>
                <w:szCs w:val="22"/>
                <w:rtl/>
              </w:rPr>
              <w:t>ل</w:t>
            </w:r>
            <w:r w:rsidRPr="00617B55">
              <w:rPr>
                <w:rFonts w:ascii="Simplified Arabic" w:eastAsia="Times New Roman" w:hAnsi="Simplified Arabic"/>
                <w:snapToGrid w:val="0"/>
                <w:kern w:val="22"/>
                <w:sz w:val="32"/>
                <w:szCs w:val="22"/>
                <w:rtl/>
              </w:rPr>
              <w:t xml:space="preserve">لطب، وإعداد الأغذية التقليدية </w:t>
            </w:r>
            <w:r w:rsidRPr="00617B55">
              <w:rPr>
                <w:rFonts w:ascii="Simplified Arabic" w:eastAsia="Times New Roman" w:hAnsi="Simplified Arabic" w:hint="cs"/>
                <w:snapToGrid w:val="0"/>
                <w:kern w:val="22"/>
                <w:sz w:val="32"/>
                <w:szCs w:val="22"/>
                <w:rtl/>
              </w:rPr>
              <w:t>والنظم</w:t>
            </w:r>
            <w:r w:rsidRPr="00617B55">
              <w:rPr>
                <w:rFonts w:ascii="Simplified Arabic" w:eastAsia="Times New Roman" w:hAnsi="Simplified Arabic"/>
                <w:snapToGrid w:val="0"/>
                <w:kern w:val="22"/>
                <w:sz w:val="32"/>
                <w:szCs w:val="22"/>
                <w:rtl/>
              </w:rPr>
              <w:t xml:space="preserve"> الغذائية، فضلا عن إدارة الأنواع والنظم الإيكولوجية وأشكال التعبير الثقافي التقليدي، بما في ذلك الأغاني والرقصات والتعبيرات الفنية والقصص والمعتقدات والعلاقات وما يرتبط بها من قيم وتاريخ.</w:t>
            </w:r>
            <w:r w:rsidRPr="00617B55">
              <w:rPr>
                <w:rFonts w:ascii="Simplified Arabic" w:eastAsia="Times New Roman" w:hAnsi="Simplified Arabic" w:hint="cs"/>
                <w:snapToGrid w:val="0"/>
                <w:kern w:val="22"/>
                <w:sz w:val="32"/>
                <w:szCs w:val="22"/>
                <w:rtl/>
              </w:rPr>
              <w:t xml:space="preserve"> وتمثل في شكلها الشفوي والكتابي تاريخها التقليدي وعلمها بشأن الكون وثقافتها.</w:t>
            </w:r>
          </w:p>
          <w:p w:rsidR="00E93E73" w:rsidRPr="00617B55" w:rsidRDefault="00E93E73" w:rsidP="00FA2E1F">
            <w:pPr>
              <w:rPr>
                <w:snapToGrid w:val="0"/>
                <w:kern w:val="22"/>
              </w:rPr>
            </w:pPr>
            <w:r w:rsidRPr="00617B55">
              <w:rPr>
                <w:rFonts w:ascii="Simplified Arabic" w:eastAsia="Times New Roman" w:hAnsi="Simplified Arabic"/>
                <w:snapToGrid w:val="0"/>
                <w:kern w:val="22"/>
                <w:sz w:val="32"/>
                <w:szCs w:val="22"/>
                <w:rtl/>
              </w:rPr>
              <w:t>ويمكن أن يشمل المفهوم أيضا قيم تراثية محددة حسب النوع الجنساني.</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الأنواع المقدسة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uppressLineNumbers/>
              <w:suppressAutoHyphens/>
              <w:rPr>
                <w:rFonts w:ascii="Simplified Arabic" w:eastAsia="Times New Roman" w:hAnsi="Simplified Arabic"/>
                <w:snapToGrid w:val="0"/>
                <w:kern w:val="22"/>
                <w:sz w:val="32"/>
              </w:rPr>
            </w:pPr>
            <w:r w:rsidRPr="00617B55">
              <w:rPr>
                <w:rFonts w:ascii="Simplified Arabic" w:eastAsia="Times New Roman" w:hAnsi="Simplified Arabic"/>
                <w:snapToGrid w:val="0"/>
                <w:kern w:val="22"/>
                <w:sz w:val="32"/>
                <w:szCs w:val="22"/>
                <w:rtl/>
              </w:rPr>
              <w:t xml:space="preserve">نبات أو حيوان </w:t>
            </w:r>
            <w:r w:rsidRPr="00617B55">
              <w:rPr>
                <w:rFonts w:ascii="Simplified Arabic" w:eastAsia="Times New Roman" w:hAnsi="Simplified Arabic" w:hint="cs"/>
                <w:snapToGrid w:val="0"/>
                <w:kern w:val="22"/>
                <w:sz w:val="32"/>
                <w:szCs w:val="22"/>
                <w:rtl/>
              </w:rPr>
              <w:t>ترى ا</w:t>
            </w:r>
            <w:r w:rsidRPr="00617B55">
              <w:rPr>
                <w:rFonts w:ascii="Simplified Arabic" w:eastAsia="Times New Roman" w:hAnsi="Simplified Arabic"/>
                <w:snapToGrid w:val="0"/>
                <w:kern w:val="22"/>
                <w:sz w:val="32"/>
                <w:szCs w:val="22"/>
                <w:rtl/>
              </w:rPr>
              <w:t xml:space="preserve">لشعوب الأصلية والمجتمعات المحلية </w:t>
            </w:r>
            <w:r w:rsidRPr="00617B55">
              <w:rPr>
                <w:rFonts w:ascii="Simplified Arabic" w:eastAsia="Times New Roman" w:hAnsi="Simplified Arabic" w:hint="cs"/>
                <w:snapToGrid w:val="0"/>
                <w:kern w:val="22"/>
                <w:sz w:val="32"/>
                <w:szCs w:val="22"/>
                <w:rtl/>
              </w:rPr>
              <w:t>أن له</w:t>
            </w:r>
            <w:r w:rsidRPr="00617B55">
              <w:rPr>
                <w:rFonts w:ascii="Simplified Arabic" w:eastAsia="Times New Roman" w:hAnsi="Simplified Arabic"/>
                <w:snapToGrid w:val="0"/>
                <w:kern w:val="22"/>
                <w:sz w:val="32"/>
                <w:szCs w:val="22"/>
                <w:rtl/>
              </w:rPr>
              <w:t xml:space="preserve"> أهمية خاصة وفقا للتقاليد و/أو </w:t>
            </w:r>
            <w:r w:rsidRPr="00617B55">
              <w:rPr>
                <w:rFonts w:ascii="Simplified Arabic" w:eastAsia="Times New Roman" w:hAnsi="Simplified Arabic" w:hint="cs"/>
                <w:snapToGrid w:val="0"/>
                <w:kern w:val="22"/>
                <w:sz w:val="32"/>
                <w:szCs w:val="22"/>
                <w:rtl/>
              </w:rPr>
              <w:t>الأعراف</w:t>
            </w:r>
            <w:r w:rsidRPr="00617B55">
              <w:rPr>
                <w:rFonts w:ascii="Simplified Arabic" w:eastAsia="Times New Roman" w:hAnsi="Simplified Arabic"/>
                <w:snapToGrid w:val="0"/>
                <w:kern w:val="22"/>
                <w:sz w:val="32"/>
                <w:szCs w:val="22"/>
                <w:rtl/>
              </w:rPr>
              <w:t xml:space="preserve"> بسبب </w:t>
            </w:r>
            <w:r w:rsidRPr="00617B55">
              <w:rPr>
                <w:rFonts w:ascii="Simplified Arabic" w:eastAsia="Times New Roman" w:hAnsi="Simplified Arabic" w:hint="cs"/>
                <w:snapToGrid w:val="0"/>
                <w:kern w:val="22"/>
                <w:sz w:val="32"/>
                <w:szCs w:val="22"/>
                <w:rtl/>
              </w:rPr>
              <w:t>أهميته</w:t>
            </w:r>
            <w:r w:rsidRPr="00617B55">
              <w:rPr>
                <w:rFonts w:ascii="Simplified Arabic" w:eastAsia="Times New Roman" w:hAnsi="Simplified Arabic"/>
                <w:snapToGrid w:val="0"/>
                <w:kern w:val="22"/>
                <w:sz w:val="32"/>
                <w:szCs w:val="22"/>
                <w:rtl/>
              </w:rPr>
              <w:t xml:space="preserve"> الدينية أو الروحية.</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الحارس التقليدي</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uppressLineNumbers/>
              <w:suppressAutoHyphens/>
              <w:rPr>
                <w:rFonts w:eastAsia="Times New Roman"/>
                <w:snapToGrid w:val="0"/>
                <w:kern w:val="22"/>
              </w:rPr>
            </w:pPr>
            <w:r w:rsidRPr="00617B55">
              <w:rPr>
                <w:rFonts w:ascii="Simplified Arabic" w:eastAsia="Times New Roman" w:hAnsi="Simplified Arabic"/>
                <w:snapToGrid w:val="0"/>
                <w:kern w:val="22"/>
                <w:sz w:val="32"/>
                <w:szCs w:val="22"/>
                <w:rtl/>
              </w:rPr>
              <w:t xml:space="preserve">جماعة أو عشيرة أو مجموعة من السكان أو الأفراد المعترف بهم من قبل جماعة أو عشيرة أو مجموعة من السكان، الذين يعهد إليهم بحضانة أو حماية </w:t>
            </w:r>
            <w:r w:rsidRPr="00617B55">
              <w:rPr>
                <w:rFonts w:ascii="Simplified Arabic" w:eastAsia="Times New Roman" w:hAnsi="Simplified Arabic" w:hint="cs"/>
                <w:snapToGrid w:val="0"/>
                <w:kern w:val="22"/>
                <w:sz w:val="32"/>
                <w:szCs w:val="22"/>
                <w:rtl/>
              </w:rPr>
              <w:t>المعارف التقليدية و</w:t>
            </w:r>
            <w:r w:rsidRPr="00617B55">
              <w:rPr>
                <w:rFonts w:ascii="Simplified Arabic" w:eastAsia="Times New Roman" w:hAnsi="Simplified Arabic"/>
                <w:snapToGrid w:val="0"/>
                <w:kern w:val="22"/>
                <w:sz w:val="32"/>
                <w:szCs w:val="22"/>
                <w:rtl/>
              </w:rPr>
              <w:t>أشكال التعبير الثقافي وفقا للقانون العرفي وممارسات تلك الجماعة أو العشيرة أو المجتمع المحلي.</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 xml:space="preserve">الموارد </w:t>
            </w:r>
            <w:r w:rsidRPr="00617B55">
              <w:rPr>
                <w:rFonts w:ascii="Simplified Arabic" w:hAnsi="Simplified Arabic" w:hint="cs"/>
                <w:b/>
                <w:szCs w:val="22"/>
                <w:rtl/>
              </w:rPr>
              <w:t xml:space="preserve">البيولوجية </w:t>
            </w:r>
            <w:r w:rsidRPr="00617B55">
              <w:rPr>
                <w:rFonts w:ascii="Simplified Arabic" w:hAnsi="Simplified Arabic"/>
                <w:b/>
                <w:szCs w:val="22"/>
                <w:rtl/>
              </w:rPr>
              <w:t>التقليدية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uppressLineNumbers/>
              <w:suppressAutoHyphens/>
              <w:rPr>
                <w:rFonts w:eastAsia="Times New Roman"/>
                <w:snapToGrid w:val="0"/>
                <w:kern w:val="22"/>
              </w:rPr>
            </w:pPr>
            <w:r w:rsidRPr="00617B55">
              <w:rPr>
                <w:rFonts w:ascii="Simplified Arabic" w:eastAsia="Times New Roman" w:hAnsi="Simplified Arabic" w:hint="cs"/>
                <w:snapToGrid w:val="0"/>
                <w:kern w:val="22"/>
                <w:sz w:val="32"/>
                <w:szCs w:val="22"/>
                <w:rtl/>
              </w:rPr>
              <w:t xml:space="preserve">الموارد البيولوجية على النحو المعرف في </w:t>
            </w:r>
            <w:r>
              <w:rPr>
                <w:rFonts w:ascii="Simplified Arabic" w:eastAsia="Times New Roman" w:hAnsi="Simplified Arabic" w:hint="cs"/>
                <w:snapToGrid w:val="0"/>
                <w:kern w:val="22"/>
                <w:sz w:val="32"/>
                <w:szCs w:val="22"/>
                <w:rtl/>
              </w:rPr>
              <w:t>المادة 2 من الاتفاقية والمستخدم</w:t>
            </w:r>
            <w:r w:rsidRPr="00617B55">
              <w:rPr>
                <w:rFonts w:ascii="Simplified Arabic" w:eastAsia="Times New Roman" w:hAnsi="Simplified Arabic" w:hint="cs"/>
                <w:snapToGrid w:val="0"/>
                <w:kern w:val="22"/>
                <w:sz w:val="32"/>
                <w:szCs w:val="22"/>
                <w:rtl/>
              </w:rPr>
              <w:t xml:space="preserve"> </w:t>
            </w:r>
            <w:r w:rsidRPr="00617B55">
              <w:rPr>
                <w:rFonts w:ascii="Simplified Arabic" w:eastAsia="Times New Roman" w:hAnsi="Simplified Arabic"/>
                <w:snapToGrid w:val="0"/>
                <w:kern w:val="22"/>
                <w:sz w:val="32"/>
                <w:szCs w:val="22"/>
                <w:rtl/>
              </w:rPr>
              <w:t>تقليديا من قبل الشعوب الأصلية والمجتمعات المحلية</w:t>
            </w:r>
            <w:r w:rsidRPr="00617B55">
              <w:rPr>
                <w:rFonts w:ascii="Simplified Arabic" w:eastAsia="Times New Roman" w:hAnsi="Simplified Arabic" w:hint="cs"/>
                <w:snapToGrid w:val="0"/>
                <w:kern w:val="22"/>
                <w:sz w:val="32"/>
                <w:szCs w:val="22"/>
                <w:rtl/>
              </w:rPr>
              <w:t>، وفقا للتشريعات الوطنية، حسب الاقتضاء</w:t>
            </w:r>
            <w:r>
              <w:rPr>
                <w:rFonts w:ascii="Simplified Arabic" w:eastAsia="Times New Roman" w:hAnsi="Simplified Arabic" w:hint="cs"/>
                <w:snapToGrid w:val="0"/>
                <w:kern w:val="22"/>
                <w:sz w:val="32"/>
                <w:szCs w:val="22"/>
                <w:rtl/>
              </w:rPr>
              <w:t>.</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hAnsi="Simplified Arabic"/>
                <w:b/>
              </w:rPr>
            </w:pPr>
            <w:r w:rsidRPr="00617B55">
              <w:rPr>
                <w:rFonts w:ascii="Simplified Arabic" w:hAnsi="Simplified Arabic"/>
                <w:b/>
                <w:szCs w:val="22"/>
                <w:rtl/>
              </w:rPr>
              <w:t>الأراضي الإقليمية</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eastAsia="Times New Roman"/>
                <w:snapToGrid w:val="0"/>
                <w:kern w:val="22"/>
              </w:rPr>
            </w:pPr>
            <w:r w:rsidRPr="00617B55">
              <w:rPr>
                <w:rFonts w:ascii="Simplified Arabic" w:eastAsia="Times New Roman" w:hAnsi="Simplified Arabic"/>
                <w:snapToGrid w:val="0"/>
                <w:kern w:val="22"/>
                <w:sz w:val="32"/>
                <w:szCs w:val="22"/>
                <w:rtl/>
              </w:rPr>
              <w:t>الأراضي والمياه التي تشغلها الشعوب الأصلية والمجتمعات المحلية أو تس</w:t>
            </w:r>
            <w:r w:rsidRPr="00617B55">
              <w:rPr>
                <w:rFonts w:ascii="Simplified Arabic" w:eastAsia="Times New Roman" w:hAnsi="Simplified Arabic" w:hint="cs"/>
                <w:snapToGrid w:val="0"/>
                <w:kern w:val="22"/>
                <w:sz w:val="32"/>
                <w:szCs w:val="22"/>
                <w:rtl/>
              </w:rPr>
              <w:t>ت</w:t>
            </w:r>
            <w:r w:rsidRPr="00617B55">
              <w:rPr>
                <w:rFonts w:ascii="Simplified Arabic" w:eastAsia="Times New Roman" w:hAnsi="Simplified Arabic"/>
                <w:snapToGrid w:val="0"/>
                <w:kern w:val="22"/>
                <w:sz w:val="32"/>
                <w:szCs w:val="22"/>
                <w:rtl/>
              </w:rPr>
              <w:t>خدمها تقليديا</w:t>
            </w:r>
            <w:r w:rsidRPr="00617B55">
              <w:rPr>
                <w:rFonts w:eastAsia="Times New Roman" w:hint="cs"/>
                <w:snapToGrid w:val="0"/>
                <w:kern w:val="22"/>
                <w:szCs w:val="22"/>
                <w:rtl/>
              </w:rPr>
              <w:t>.</w:t>
            </w:r>
            <w:r w:rsidRPr="00617B55">
              <w:rPr>
                <w:rStyle w:val="FootnoteReference"/>
                <w:snapToGrid w:val="0"/>
                <w:kern w:val="22"/>
                <w:szCs w:val="22"/>
              </w:rPr>
              <w:footnoteReference w:id="233"/>
            </w:r>
          </w:p>
        </w:tc>
      </w:tr>
      <w:tr w:rsidR="00E93E73" w:rsidRPr="00617B55" w:rsidTr="00FA2E1F">
        <w:tc>
          <w:tcPr>
            <w:tcW w:w="95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93E73" w:rsidRDefault="00E93E73" w:rsidP="00FA2E1F">
            <w:pPr>
              <w:keepNext/>
              <w:spacing w:before="40" w:after="40"/>
              <w:jc w:val="center"/>
              <w:rPr>
                <w:rFonts w:ascii="Simplified Arabic" w:hAnsi="Simplified Arabic"/>
                <w:bCs/>
                <w:rtl/>
              </w:rPr>
            </w:pPr>
            <w:r w:rsidRPr="00617B55">
              <w:rPr>
                <w:rFonts w:ascii="Simplified Arabic" w:hAnsi="Simplified Arabic" w:hint="cs"/>
                <w:bCs/>
                <w:szCs w:val="22"/>
                <w:rtl/>
              </w:rPr>
              <w:lastRenderedPageBreak/>
              <w:t>القسم</w:t>
            </w:r>
            <w:r w:rsidRPr="00617B55">
              <w:rPr>
                <w:rFonts w:ascii="Simplified Arabic" w:hAnsi="Simplified Arabic"/>
                <w:bCs/>
                <w:szCs w:val="22"/>
                <w:rtl/>
              </w:rPr>
              <w:t xml:space="preserve"> الرابع</w:t>
            </w:r>
          </w:p>
          <w:p w:rsidR="00E93E73" w:rsidRPr="00617B55" w:rsidRDefault="00E93E73" w:rsidP="00FA2E1F">
            <w:pPr>
              <w:keepNext/>
              <w:spacing w:before="40" w:after="40"/>
              <w:jc w:val="center"/>
              <w:rPr>
                <w:rFonts w:ascii="Simplified Arabic" w:hAnsi="Simplified Arabic"/>
                <w:bCs/>
              </w:rPr>
            </w:pPr>
            <w:r w:rsidRPr="00617B55">
              <w:rPr>
                <w:rFonts w:ascii="Simplified Arabic" w:hAnsi="Simplified Arabic"/>
                <w:bCs/>
                <w:szCs w:val="22"/>
                <w:rtl/>
              </w:rPr>
              <w:t xml:space="preserve">المصطلحات </w:t>
            </w:r>
            <w:r w:rsidRPr="00617B55">
              <w:rPr>
                <w:rFonts w:ascii="Simplified Arabic" w:eastAsia="Times New Roman" w:hAnsi="Simplified Arabic"/>
                <w:bCs/>
                <w:snapToGrid w:val="0"/>
                <w:kern w:val="22"/>
                <w:szCs w:val="22"/>
                <w:rtl/>
              </w:rPr>
              <w:t>والمفاهيم</w:t>
            </w:r>
            <w:r w:rsidRPr="00617B55">
              <w:rPr>
                <w:rFonts w:ascii="Simplified Arabic" w:hAnsi="Simplified Arabic"/>
                <w:bCs/>
                <w:szCs w:val="22"/>
                <w:rtl/>
              </w:rPr>
              <w:t xml:space="preserve"> الأخرى ذات الصلة</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rPr>
                <w:rFonts w:eastAsia="Times New Roman"/>
                <w:snapToGrid w:val="0"/>
                <w:kern w:val="22"/>
              </w:rPr>
            </w:pPr>
            <w:r w:rsidRPr="00617B55">
              <w:rPr>
                <w:rFonts w:ascii="Simplified Arabic" w:hAnsi="Simplified Arabic"/>
                <w:bCs/>
                <w:szCs w:val="22"/>
                <w:rtl/>
              </w:rPr>
              <w:t>المصطلح أو المفهوم</w:t>
            </w: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spacing w:before="40" w:after="40"/>
              <w:rPr>
                <w:rFonts w:eastAsia="Times New Roman"/>
                <w:i/>
                <w:snapToGrid w:val="0"/>
                <w:kern w:val="22"/>
              </w:rPr>
            </w:pPr>
            <w:r w:rsidRPr="00617B55">
              <w:rPr>
                <w:rFonts w:ascii="Simplified Arabic" w:hAnsi="Simplified Arabic"/>
                <w:bCs/>
                <w:szCs w:val="22"/>
                <w:rtl/>
              </w:rPr>
              <w:t>فهم المصطلح أو المفهوم في سياق الاتفاقية</w:t>
            </w:r>
            <w:r w:rsidRPr="00617B55">
              <w:rPr>
                <w:rFonts w:eastAsia="Times New Roman" w:hint="cs"/>
                <w:i/>
                <w:snapToGrid w:val="0"/>
                <w:kern w:val="22"/>
                <w:szCs w:val="22"/>
              </w:rPr>
              <w:t xml:space="preserve"> </w:t>
            </w:r>
          </w:p>
        </w:tc>
      </w:tr>
      <w:tr w:rsidR="00E93E73" w:rsidRPr="00617B55" w:rsidTr="00FA2E1F">
        <w:tc>
          <w:tcPr>
            <w:tcW w:w="2905" w:type="dxa"/>
            <w:tcBorders>
              <w:top w:val="single" w:sz="4" w:space="0" w:color="auto"/>
              <w:left w:val="single" w:sz="4" w:space="0" w:color="auto"/>
              <w:bottom w:val="single" w:sz="4" w:space="0" w:color="auto"/>
              <w:right w:val="single" w:sz="4" w:space="0" w:color="auto"/>
            </w:tcBorders>
          </w:tcPr>
          <w:p w:rsidR="00E93E73" w:rsidRPr="00617B55" w:rsidRDefault="00E93E73" w:rsidP="00FA2E1F">
            <w:pPr>
              <w:rPr>
                <w:rFonts w:ascii="Simplified Arabic" w:hAnsi="Simplified Arabic"/>
                <w:b/>
                <w:rtl/>
              </w:rPr>
            </w:pPr>
            <w:r w:rsidRPr="00617B55">
              <w:rPr>
                <w:rFonts w:ascii="Simplified Arabic" w:hAnsi="Simplified Arabic" w:hint="cs"/>
                <w:b/>
                <w:szCs w:val="22"/>
                <w:rtl/>
              </w:rPr>
              <w:t>الأراضي و</w:t>
            </w:r>
            <w:r w:rsidRPr="00617B55">
              <w:rPr>
                <w:rFonts w:ascii="Simplified Arabic" w:hAnsi="Simplified Arabic"/>
                <w:b/>
                <w:szCs w:val="22"/>
                <w:rtl/>
              </w:rPr>
              <w:t>المناطق التي تحفظها الشعوب الأصلية والمجتمعات المحلية</w:t>
            </w:r>
          </w:p>
          <w:p w:rsidR="00E93E73" w:rsidRPr="00617B55" w:rsidRDefault="00E93E73" w:rsidP="00FA2E1F">
            <w:pPr>
              <w:rPr>
                <w:rFonts w:ascii="Simplified Arabic" w:hAnsi="Simplified Arabic"/>
                <w:bCs/>
              </w:rPr>
            </w:pPr>
          </w:p>
        </w:tc>
        <w:tc>
          <w:tcPr>
            <w:tcW w:w="6671" w:type="dxa"/>
            <w:tcBorders>
              <w:top w:val="single" w:sz="4" w:space="0" w:color="auto"/>
              <w:left w:val="single" w:sz="4" w:space="0" w:color="auto"/>
              <w:bottom w:val="single" w:sz="4" w:space="0" w:color="auto"/>
              <w:right w:val="single" w:sz="4" w:space="0" w:color="auto"/>
            </w:tcBorders>
            <w:hideMark/>
          </w:tcPr>
          <w:p w:rsidR="00E93E73" w:rsidRPr="00617B55" w:rsidRDefault="00E93E73" w:rsidP="00FA2E1F">
            <w:pPr>
              <w:rPr>
                <w:rFonts w:ascii="Simplified Arabic" w:eastAsia="Times New Roman" w:hAnsi="Simplified Arabic"/>
                <w:snapToGrid w:val="0"/>
                <w:kern w:val="22"/>
                <w:sz w:val="32"/>
                <w:rtl/>
              </w:rPr>
            </w:pPr>
            <w:r w:rsidRPr="00617B55">
              <w:rPr>
                <w:rFonts w:ascii="Simplified Arabic" w:eastAsia="Times New Roman" w:hAnsi="Simplified Arabic"/>
                <w:snapToGrid w:val="0"/>
                <w:kern w:val="22"/>
                <w:sz w:val="32"/>
                <w:szCs w:val="22"/>
                <w:rtl/>
              </w:rPr>
              <w:t xml:space="preserve">إن </w:t>
            </w:r>
            <w:r w:rsidRPr="00617B55">
              <w:rPr>
                <w:rFonts w:ascii="Simplified Arabic" w:hAnsi="Simplified Arabic" w:hint="cs"/>
                <w:b/>
                <w:szCs w:val="22"/>
                <w:rtl/>
              </w:rPr>
              <w:t>الأراضي و</w:t>
            </w:r>
            <w:r w:rsidRPr="00617B55">
              <w:rPr>
                <w:rFonts w:ascii="Simplified Arabic" w:hAnsi="Simplified Arabic"/>
                <w:b/>
                <w:szCs w:val="22"/>
                <w:rtl/>
              </w:rPr>
              <w:t xml:space="preserve">المناطق </w:t>
            </w:r>
            <w:r w:rsidRPr="00617B55">
              <w:rPr>
                <w:rFonts w:ascii="Simplified Arabic" w:eastAsia="Times New Roman" w:hAnsi="Simplified Arabic"/>
                <w:snapToGrid w:val="0"/>
                <w:kern w:val="22"/>
                <w:sz w:val="32"/>
                <w:szCs w:val="22"/>
                <w:rtl/>
              </w:rPr>
              <w:t>التي تحفظها الشعوب الأصلية والمجتمعات المحلية هي نظم إيكولوجية طبيعية و/أو معدلة تحتوي على قيم بيولوجية هامة وخدمات إيكولوجية وقيم ثقافية تحافظ عليها طواعية الشعوب الأصلية والمجتمعات المحلية المستقرة والمتنقلة من خلال القوانين العرفية أو الوسائل الفعالة الأخرى.</w:t>
            </w:r>
            <w:r w:rsidRPr="00617B55">
              <w:rPr>
                <w:rStyle w:val="FootnoteReference"/>
                <w:szCs w:val="22"/>
                <w:lang w:val="en-CA"/>
              </w:rPr>
              <w:footnoteReference w:id="234"/>
            </w:r>
          </w:p>
          <w:p w:rsidR="00E93E73" w:rsidRPr="00617B55" w:rsidRDefault="00E93E73" w:rsidP="00FA2E1F">
            <w:pPr>
              <w:rPr>
                <w:rFonts w:ascii="Simplified Arabic" w:eastAsia="Times New Roman" w:hAnsi="Simplified Arabic"/>
                <w:snapToGrid w:val="0"/>
                <w:kern w:val="22"/>
                <w:sz w:val="32"/>
              </w:rPr>
            </w:pPr>
            <w:r w:rsidRPr="00617B55">
              <w:rPr>
                <w:rFonts w:ascii="Simplified Arabic" w:eastAsia="Times New Roman" w:hAnsi="Simplified Arabic" w:hint="cs"/>
                <w:snapToGrid w:val="0"/>
                <w:kern w:val="22"/>
                <w:sz w:val="32"/>
                <w:szCs w:val="22"/>
                <w:rtl/>
              </w:rPr>
              <w:t>ويمكن الاعتراف ب</w:t>
            </w:r>
            <w:r w:rsidRPr="00617B55">
              <w:rPr>
                <w:rFonts w:ascii="Simplified Arabic" w:eastAsia="Times New Roman" w:hAnsi="Simplified Arabic"/>
                <w:snapToGrid w:val="0"/>
                <w:kern w:val="22"/>
                <w:sz w:val="32"/>
                <w:szCs w:val="22"/>
                <w:rtl/>
              </w:rPr>
              <w:t>المناطق التي تحفظها الشعوب الأصلية والمجتمعات المحلية</w:t>
            </w:r>
            <w:r w:rsidRPr="00617B55">
              <w:rPr>
                <w:rFonts w:ascii="Simplified Arabic" w:eastAsia="Times New Roman" w:hAnsi="Simplified Arabic" w:hint="cs"/>
                <w:snapToGrid w:val="0"/>
                <w:kern w:val="22"/>
                <w:sz w:val="32"/>
                <w:szCs w:val="22"/>
                <w:rtl/>
              </w:rPr>
              <w:t xml:space="preserve"> كمناطق محمية أو محفوظة، رهنا "الموافقة المسبقة عن علم" أو "الموافقة </w:t>
            </w:r>
            <w:r w:rsidRPr="00617B55">
              <w:rPr>
                <w:rFonts w:ascii="Simplified Arabic" w:eastAsia="Times New Roman" w:hAnsi="Simplified Arabic"/>
                <w:snapToGrid w:val="0"/>
                <w:kern w:val="22"/>
                <w:sz w:val="32"/>
                <w:szCs w:val="22"/>
                <w:rtl/>
              </w:rPr>
              <w:t>الحرة والمسبقة عن علم</w:t>
            </w:r>
            <w:r w:rsidRPr="00617B55">
              <w:rPr>
                <w:rFonts w:ascii="Simplified Arabic" w:eastAsia="Times New Roman" w:hAnsi="Simplified Arabic" w:hint="cs"/>
                <w:snapToGrid w:val="0"/>
                <w:kern w:val="22"/>
                <w:sz w:val="32"/>
                <w:szCs w:val="22"/>
                <w:rtl/>
              </w:rPr>
              <w:t>" أو "ال</w:t>
            </w:r>
            <w:r>
              <w:rPr>
                <w:rFonts w:ascii="Simplified Arabic" w:eastAsia="Times New Roman" w:hAnsi="Simplified Arabic" w:hint="cs"/>
                <w:snapToGrid w:val="0"/>
                <w:kern w:val="22"/>
                <w:sz w:val="32"/>
                <w:szCs w:val="22"/>
                <w:rtl/>
              </w:rPr>
              <w:t>قبول</w:t>
            </w:r>
            <w:r w:rsidRPr="00617B55">
              <w:rPr>
                <w:rFonts w:ascii="Simplified Arabic" w:eastAsia="Times New Roman" w:hAnsi="Simplified Arabic" w:hint="cs"/>
                <w:snapToGrid w:val="0"/>
                <w:kern w:val="22"/>
                <w:sz w:val="32"/>
                <w:szCs w:val="22"/>
                <w:rtl/>
              </w:rPr>
              <w:t xml:space="preserve"> والمشاركة" لتلك الشعوب والمجتمعات أو طلبها، وفقا للظروف الوطنية.</w:t>
            </w:r>
          </w:p>
        </w:tc>
      </w:tr>
    </w:tbl>
    <w:p w:rsidR="00E93E73" w:rsidRDefault="00E93E73" w:rsidP="00E93E73">
      <w:pPr>
        <w:adjustRightInd w:val="0"/>
        <w:snapToGrid w:val="0"/>
        <w:spacing w:before="120" w:line="240" w:lineRule="auto"/>
        <w:jc w:val="left"/>
        <w:outlineLvl w:val="0"/>
        <w:rPr>
          <w:b/>
          <w:bCs/>
          <w:lang w:val="en-GB"/>
        </w:rPr>
      </w:pPr>
    </w:p>
    <w:p w:rsidR="00A5088C" w:rsidRDefault="00A5088C">
      <w:pPr>
        <w:bidi w:val="0"/>
        <w:spacing w:after="0" w:line="240" w:lineRule="auto"/>
        <w:jc w:val="left"/>
        <w:rPr>
          <w:b/>
          <w:bCs/>
          <w:sz w:val="24"/>
          <w:rtl/>
        </w:rPr>
      </w:pPr>
      <w:r>
        <w:rPr>
          <w:b/>
          <w:bCs/>
          <w:sz w:val="24"/>
          <w:rtl/>
        </w:rPr>
        <w:br w:type="page"/>
      </w:r>
    </w:p>
    <w:p w:rsidR="00E93E73" w:rsidRPr="00AB0F3E" w:rsidRDefault="00E93E73" w:rsidP="00E93E73">
      <w:pPr>
        <w:pStyle w:val="Heading1"/>
        <w:rPr>
          <w:rFonts w:eastAsia="Malgun Gothic" w:hint="eastAsia"/>
          <w:b w:val="0"/>
          <w:bCs w:val="0"/>
          <w:szCs w:val="24"/>
          <w:lang w:val="en-GB"/>
        </w:rPr>
      </w:pPr>
      <w:bookmarkStart w:id="143" w:name="_Toc6071617"/>
      <w:bookmarkStart w:id="144" w:name="_Toc6139975"/>
      <w:r w:rsidRPr="00AB0F3E">
        <w:rPr>
          <w:rFonts w:eastAsia="Malgun Gothic" w:hint="cs"/>
          <w:szCs w:val="24"/>
          <w:rtl/>
          <w:lang w:val="en-GB"/>
        </w:rPr>
        <w:lastRenderedPageBreak/>
        <w:t>المقرر 14/14</w:t>
      </w:r>
      <w:r w:rsidRPr="00AB0F3E">
        <w:rPr>
          <w:rFonts w:eastAsia="Malgun Gothic" w:hint="cs"/>
          <w:szCs w:val="24"/>
          <w:rtl/>
          <w:lang w:val="en-GB"/>
        </w:rPr>
        <w:tab/>
        <w:t>المسائل الأخرى ذات الصلة بالمادة 8(ي) والأحكام المتصلة بها</w:t>
      </w:r>
      <w:bookmarkEnd w:id="143"/>
      <w:bookmarkEnd w:id="144"/>
    </w:p>
    <w:p w:rsidR="00E93E73" w:rsidRPr="0003755A" w:rsidRDefault="00E93E73" w:rsidP="00E93E73">
      <w:pPr>
        <w:tabs>
          <w:tab w:val="left" w:pos="5858"/>
        </w:tabs>
        <w:spacing w:after="100" w:line="204" w:lineRule="auto"/>
        <w:ind w:firstLine="720"/>
        <w:rPr>
          <w:i/>
          <w:iCs/>
          <w:sz w:val="20"/>
          <w:rtl/>
        </w:rPr>
      </w:pPr>
      <w:r w:rsidRPr="0003755A">
        <w:rPr>
          <w:i/>
          <w:iCs/>
          <w:sz w:val="20"/>
          <w:rtl/>
        </w:rPr>
        <w:t>إن مؤتمر الأطراف،</w:t>
      </w:r>
    </w:p>
    <w:p w:rsidR="00E93E73" w:rsidRPr="0003755A" w:rsidRDefault="00E93E73" w:rsidP="00E93E73">
      <w:pPr>
        <w:spacing w:after="100" w:line="204" w:lineRule="auto"/>
        <w:ind w:firstLine="720"/>
        <w:rPr>
          <w:rFonts w:ascii="Simplified Arabic" w:hAnsi="Simplified Arabic"/>
          <w:rtl/>
          <w:lang w:val="en-CA"/>
        </w:rPr>
      </w:pPr>
      <w:r w:rsidRPr="0003755A">
        <w:rPr>
          <w:rFonts w:ascii="Simplified Arabic" w:hAnsi="Simplified Arabic" w:hint="cs"/>
          <w:i/>
          <w:iCs/>
          <w:rtl/>
          <w:lang w:val="en-CA"/>
        </w:rPr>
        <w:t>إذ يلاحظ</w:t>
      </w:r>
      <w:r w:rsidRPr="0003755A">
        <w:rPr>
          <w:rFonts w:ascii="Simplified Arabic" w:hAnsi="Simplified Arabic" w:hint="cs"/>
          <w:rtl/>
          <w:lang w:val="en-CA"/>
        </w:rPr>
        <w:t xml:space="preserve"> أن الفريق المفتوح العضوية العامل بين الدورات المخصص للمادة 8(ي) والأحكام المتصلة بها قد أجرى، في اجتماعه العاشر، حوارا متعمقا بشأن موضوع "مساهمة المعارف والابتكارات والممارسات التقليدية للشعوب الأصلية والمجتمعات المحلية في تنفيذ خطة التنمية المستدامة لعام </w:t>
      </w:r>
      <w:r w:rsidRPr="0003755A">
        <w:rPr>
          <w:rFonts w:ascii="Simplified Arabic" w:hAnsi="Simplified Arabic"/>
          <w:rtl/>
          <w:lang w:val="en-CA"/>
        </w:rPr>
        <w:t>2030،</w:t>
      </w:r>
      <w:r w:rsidRPr="0003755A">
        <w:rPr>
          <w:rFonts w:ascii="Simplified Arabic" w:hAnsi="Simplified Arabic"/>
          <w:sz w:val="20"/>
          <w:vertAlign w:val="superscript"/>
          <w:rtl/>
          <w:lang w:val="en-CA"/>
        </w:rPr>
        <w:footnoteReference w:id="235"/>
      </w:r>
      <w:r w:rsidRPr="0003755A">
        <w:rPr>
          <w:rFonts w:ascii="Simplified Arabic" w:hAnsi="Simplified Arabic"/>
          <w:rtl/>
          <w:lang w:val="en-CA"/>
        </w:rPr>
        <w:t xml:space="preserve"> </w:t>
      </w:r>
      <w:r w:rsidRPr="0003755A">
        <w:rPr>
          <w:rFonts w:ascii="Simplified Arabic" w:hAnsi="Simplified Arabic" w:hint="cs"/>
          <w:rtl/>
          <w:lang w:val="en-CA"/>
        </w:rPr>
        <w:t>مع التركيز بوجه خاص على حفظ التنوع البيولوجي واستخدامه المستدام"،</w:t>
      </w:r>
    </w:p>
    <w:p w:rsidR="00E93E73" w:rsidRPr="0003755A" w:rsidRDefault="00E93E73" w:rsidP="00E93E73">
      <w:pPr>
        <w:spacing w:after="100" w:line="204" w:lineRule="auto"/>
        <w:ind w:firstLine="720"/>
        <w:rPr>
          <w:rFonts w:ascii="Simplified Arabic" w:hAnsi="Simplified Arabic"/>
          <w:rtl/>
          <w:lang w:val="en-CA"/>
        </w:rPr>
      </w:pPr>
      <w:r w:rsidRPr="0003755A">
        <w:rPr>
          <w:rFonts w:ascii="Simplified Arabic" w:hAnsi="Simplified Arabic"/>
          <w:i/>
          <w:iCs/>
          <w:rtl/>
          <w:lang w:val="en-CA"/>
        </w:rPr>
        <w:t xml:space="preserve">وإذ </w:t>
      </w:r>
      <w:r w:rsidRPr="0003755A">
        <w:rPr>
          <w:rFonts w:ascii="Simplified Arabic" w:hAnsi="Simplified Arabic" w:hint="cs"/>
          <w:i/>
          <w:iCs/>
          <w:rtl/>
          <w:lang w:val="en-CA"/>
        </w:rPr>
        <w:t>يقر</w:t>
      </w:r>
      <w:r w:rsidRPr="0003755A">
        <w:rPr>
          <w:rFonts w:ascii="Simplified Arabic" w:hAnsi="Simplified Arabic"/>
          <w:rtl/>
          <w:lang w:val="en-CA"/>
        </w:rPr>
        <w:t xml:space="preserve"> </w:t>
      </w:r>
      <w:r w:rsidRPr="0003755A">
        <w:rPr>
          <w:rFonts w:ascii="Simplified Arabic" w:hAnsi="Simplified Arabic" w:hint="cs"/>
          <w:rtl/>
          <w:lang w:val="en-CA"/>
        </w:rPr>
        <w:t>ب</w:t>
      </w:r>
      <w:r w:rsidRPr="0003755A">
        <w:rPr>
          <w:rFonts w:ascii="Simplified Arabic" w:hAnsi="Simplified Arabic"/>
          <w:rtl/>
          <w:lang w:val="en-CA"/>
        </w:rPr>
        <w:t>المساهمة الهامة التي يمكن أن تقدمها المعارف والابتكارات والممارسات التقليدية</w:t>
      </w:r>
      <w:r w:rsidRPr="0003755A">
        <w:rPr>
          <w:rFonts w:ascii="Simplified Arabic" w:hAnsi="Simplified Arabic" w:hint="cs"/>
          <w:rtl/>
          <w:lang w:val="en-CA"/>
        </w:rPr>
        <w:t>،</w:t>
      </w:r>
      <w:r w:rsidRPr="0003755A">
        <w:rPr>
          <w:rFonts w:ascii="Simplified Arabic" w:hAnsi="Simplified Arabic"/>
          <w:rtl/>
          <w:lang w:val="en-CA"/>
        </w:rPr>
        <w:t xml:space="preserve"> والاستخدام المألوف للتنوع البيولوجي من جانب الشعوب</w:t>
      </w:r>
      <w:r w:rsidRPr="0003755A">
        <w:rPr>
          <w:rFonts w:ascii="Simplified Arabic" w:hAnsi="Simplified Arabic" w:hint="cs"/>
          <w:rtl/>
          <w:lang w:val="en-CA"/>
        </w:rPr>
        <w:t xml:space="preserve"> الأصلية</w:t>
      </w:r>
      <w:r w:rsidRPr="0003755A">
        <w:rPr>
          <w:rFonts w:ascii="Simplified Arabic" w:hAnsi="Simplified Arabic"/>
          <w:rtl/>
          <w:lang w:val="en-CA"/>
        </w:rPr>
        <w:t xml:space="preserve"> والمجتمعات المحلية </w:t>
      </w:r>
      <w:r w:rsidRPr="0003755A">
        <w:rPr>
          <w:rFonts w:ascii="Simplified Arabic" w:hAnsi="Simplified Arabic" w:hint="cs"/>
          <w:rtl/>
          <w:lang w:val="en-CA"/>
        </w:rPr>
        <w:t>ل</w:t>
      </w:r>
      <w:r w:rsidRPr="0003755A">
        <w:rPr>
          <w:rFonts w:ascii="Simplified Arabic" w:hAnsi="Simplified Arabic"/>
          <w:rtl/>
          <w:lang w:val="en-CA"/>
        </w:rPr>
        <w:t>حفظ التنوع البيولوجي واستخدامه المستدام في تحقيق معظم أهداف التنمية المستدامة،</w:t>
      </w:r>
    </w:p>
    <w:p w:rsidR="00E93E73" w:rsidRPr="0003755A" w:rsidRDefault="00E93E73" w:rsidP="00CD26C5">
      <w:pPr>
        <w:numPr>
          <w:ilvl w:val="0"/>
          <w:numId w:val="64"/>
        </w:numPr>
        <w:spacing w:after="100" w:line="204" w:lineRule="auto"/>
        <w:ind w:left="0" w:firstLine="720"/>
        <w:rPr>
          <w:rFonts w:ascii="Simplified Arabic" w:hAnsi="Simplified Arabic"/>
          <w:rtl/>
          <w:lang w:val="en-CA"/>
        </w:rPr>
      </w:pPr>
      <w:r w:rsidRPr="0003755A">
        <w:rPr>
          <w:rFonts w:ascii="Simplified Arabic" w:hAnsi="Simplified Arabic" w:hint="cs"/>
          <w:i/>
          <w:iCs/>
          <w:rtl/>
          <w:lang w:val="en-CA"/>
        </w:rPr>
        <w:t>ي</w:t>
      </w:r>
      <w:r w:rsidRPr="0003755A">
        <w:rPr>
          <w:rFonts w:ascii="Simplified Arabic" w:hAnsi="Simplified Arabic"/>
          <w:i/>
          <w:iCs/>
          <w:rtl/>
          <w:lang w:val="en-CA"/>
        </w:rPr>
        <w:t>دعو</w:t>
      </w:r>
      <w:r w:rsidRPr="0003755A">
        <w:rPr>
          <w:rFonts w:ascii="Simplified Arabic" w:hAnsi="Simplified Arabic"/>
          <w:rtl/>
          <w:lang w:val="en-CA"/>
        </w:rPr>
        <w:t xml:space="preserve"> الأطراف</w:t>
      </w:r>
      <w:r w:rsidRPr="0003755A">
        <w:rPr>
          <w:rFonts w:ascii="Simplified Arabic" w:hAnsi="Simplified Arabic" w:hint="cs"/>
          <w:rtl/>
          <w:lang w:val="en-CA"/>
        </w:rPr>
        <w:t xml:space="preserve"> إلى أن تعمم</w:t>
      </w:r>
      <w:r w:rsidRPr="0003755A">
        <w:rPr>
          <w:rFonts w:ascii="Simplified Arabic" w:hAnsi="Simplified Arabic"/>
          <w:rtl/>
          <w:lang w:val="en-CA"/>
        </w:rPr>
        <w:t xml:space="preserve">، </w:t>
      </w:r>
      <w:r w:rsidRPr="0003755A">
        <w:rPr>
          <w:rFonts w:ascii="Simplified Arabic" w:hAnsi="Simplified Arabic" w:hint="cs"/>
          <w:rtl/>
          <w:lang w:val="en-CA"/>
        </w:rPr>
        <w:t>أثناء</w:t>
      </w:r>
      <w:r w:rsidRPr="0003755A">
        <w:rPr>
          <w:rFonts w:ascii="Simplified Arabic" w:hAnsi="Simplified Arabic"/>
          <w:rtl/>
          <w:lang w:val="en-CA"/>
        </w:rPr>
        <w:t xml:space="preserve"> تنفيذ خطة التنمية المستدامة لعام 2030،</w:t>
      </w:r>
      <w:r>
        <w:rPr>
          <w:rFonts w:ascii="Simplified Arabic" w:hAnsi="Simplified Arabic" w:hint="cs"/>
          <w:sz w:val="20"/>
          <w:vertAlign w:val="superscript"/>
          <w:rtl/>
          <w:lang w:val="en-CA"/>
        </w:rPr>
        <w:t>1</w:t>
      </w:r>
      <w:r w:rsidRPr="0003755A">
        <w:rPr>
          <w:rFonts w:ascii="Simplified Arabic" w:hAnsi="Simplified Arabic"/>
          <w:rtl/>
          <w:lang w:val="en-CA"/>
        </w:rPr>
        <w:t xml:space="preserve"> المعارف والابتكارات والممارسات التقليدية</w:t>
      </w:r>
      <w:r w:rsidRPr="0003755A">
        <w:rPr>
          <w:rFonts w:ascii="Simplified Arabic" w:hAnsi="Simplified Arabic" w:hint="cs"/>
          <w:rtl/>
          <w:lang w:val="en-CA"/>
        </w:rPr>
        <w:t>،</w:t>
      </w:r>
      <w:r w:rsidRPr="0003755A">
        <w:rPr>
          <w:rFonts w:ascii="Simplified Arabic" w:hAnsi="Simplified Arabic"/>
          <w:rtl/>
          <w:lang w:val="en-CA"/>
        </w:rPr>
        <w:t xml:space="preserve"> بما في</w:t>
      </w:r>
      <w:r w:rsidRPr="0003755A">
        <w:rPr>
          <w:rFonts w:ascii="Simplified Arabic" w:hAnsi="Simplified Arabic" w:hint="cs"/>
          <w:rtl/>
          <w:lang w:val="en-CA"/>
        </w:rPr>
        <w:t xml:space="preserve">ها </w:t>
      </w:r>
      <w:r w:rsidRPr="0003755A">
        <w:rPr>
          <w:rFonts w:ascii="Simplified Arabic" w:eastAsia="Malgun Gothic" w:hAnsi="Simplified Arabic" w:hint="cs"/>
          <w:rtl/>
          <w:lang w:val="en-CA"/>
        </w:rPr>
        <w:t>تلك</w:t>
      </w:r>
      <w:r w:rsidRPr="0003755A">
        <w:rPr>
          <w:rFonts w:ascii="Simplified Arabic" w:hAnsi="Simplified Arabic" w:hint="cs"/>
          <w:rtl/>
          <w:lang w:val="en-CA"/>
        </w:rPr>
        <w:t xml:space="preserve"> المتعلقة</w:t>
      </w:r>
      <w:r w:rsidRPr="0003755A">
        <w:rPr>
          <w:rFonts w:ascii="Simplified Arabic" w:hAnsi="Simplified Arabic"/>
          <w:rtl/>
          <w:lang w:val="en-CA"/>
        </w:rPr>
        <w:t xml:space="preserve"> </w:t>
      </w:r>
      <w:r w:rsidRPr="0003755A">
        <w:rPr>
          <w:rFonts w:ascii="Simplified Arabic" w:hAnsi="Simplified Arabic" w:hint="cs"/>
          <w:rtl/>
          <w:lang w:val="en-CA"/>
        </w:rPr>
        <w:t>ب</w:t>
      </w:r>
      <w:r w:rsidRPr="0003755A">
        <w:rPr>
          <w:rFonts w:ascii="Simplified Arabic" w:hAnsi="Simplified Arabic"/>
          <w:rtl/>
          <w:lang w:val="en-CA"/>
        </w:rPr>
        <w:t>الاستخدام المألوف المستدام للتنوع البيولوجي</w:t>
      </w:r>
      <w:r w:rsidRPr="0003755A">
        <w:rPr>
          <w:rFonts w:ascii="Simplified Arabic" w:hAnsi="Simplified Arabic" w:hint="cs"/>
          <w:rtl/>
          <w:lang w:val="en-CA"/>
        </w:rPr>
        <w:t>،</w:t>
      </w:r>
      <w:r w:rsidRPr="0003755A">
        <w:rPr>
          <w:rFonts w:ascii="Simplified Arabic" w:hAnsi="Simplified Arabic"/>
          <w:rtl/>
          <w:lang w:val="en-CA"/>
        </w:rPr>
        <w:t xml:space="preserve"> في تنفيذ جميع أهداف التنمية المستدامة ذات الصلة </w:t>
      </w:r>
      <w:r w:rsidRPr="0003755A">
        <w:rPr>
          <w:rFonts w:ascii="Simplified Arabic" w:hAnsi="Simplified Arabic" w:hint="cs"/>
          <w:rtl/>
          <w:lang w:val="en-CA"/>
        </w:rPr>
        <w:t>ب</w:t>
      </w:r>
      <w:r w:rsidRPr="0003755A">
        <w:rPr>
          <w:rFonts w:ascii="Simplified Arabic" w:hAnsi="Simplified Arabic"/>
          <w:rtl/>
          <w:lang w:val="en-CA"/>
        </w:rPr>
        <w:t>المشاركة الكاملة والفعالة للشعوب الأصلية والمجتمعات المحلية</w:t>
      </w:r>
      <w:r>
        <w:rPr>
          <w:rFonts w:ascii="Simplified Arabic" w:hAnsi="Simplified Arabic" w:hint="cs"/>
          <w:rtl/>
          <w:lang w:val="en-CA"/>
        </w:rPr>
        <w:t xml:space="preserve"> وبموافقتها المسبقة عن علم أو الموافقة الحرة والمسبقة عن علم أو القبول والمشاركة، حسب الاقتضاء، وبما يتسق مع التشريعات والظروف الوطنية، ووفقا للالتزامات الدولية</w:t>
      </w:r>
      <w:r w:rsidRPr="0003755A">
        <w:rPr>
          <w:rFonts w:ascii="Simplified Arabic" w:hAnsi="Simplified Arabic"/>
          <w:rtl/>
          <w:lang w:val="en-CA"/>
        </w:rPr>
        <w:t>؛</w:t>
      </w:r>
    </w:p>
    <w:p w:rsidR="00E93E73" w:rsidRPr="0003755A" w:rsidRDefault="00E93E73" w:rsidP="00CD26C5">
      <w:pPr>
        <w:numPr>
          <w:ilvl w:val="0"/>
          <w:numId w:val="64"/>
        </w:numPr>
        <w:spacing w:after="100" w:line="204" w:lineRule="auto"/>
        <w:ind w:left="0" w:firstLine="720"/>
        <w:rPr>
          <w:rFonts w:ascii="Simplified Arabic" w:eastAsia="Malgun Gothic" w:hAnsi="Simplified Arabic"/>
          <w:rtl/>
          <w:lang w:val="en-CA"/>
        </w:rPr>
      </w:pPr>
      <w:r w:rsidRPr="0003755A">
        <w:rPr>
          <w:rFonts w:ascii="Simplified Arabic" w:eastAsia="Malgun Gothic" w:hAnsi="Simplified Arabic"/>
          <w:i/>
          <w:iCs/>
          <w:rtl/>
          <w:lang w:val="en-CA"/>
        </w:rPr>
        <w:t>يقرر</w:t>
      </w:r>
      <w:r w:rsidRPr="0003755A">
        <w:rPr>
          <w:rFonts w:ascii="Simplified Arabic" w:eastAsia="Malgun Gothic" w:hAnsi="Simplified Arabic"/>
          <w:rtl/>
          <w:lang w:val="en-CA"/>
        </w:rPr>
        <w:t xml:space="preserve"> أن يكون موضوع الحوار المتعمق الذي سي</w:t>
      </w:r>
      <w:r w:rsidRPr="0003755A">
        <w:rPr>
          <w:rFonts w:ascii="Simplified Arabic" w:eastAsia="Malgun Gothic" w:hAnsi="Simplified Arabic" w:hint="cs"/>
          <w:rtl/>
          <w:lang w:val="en-CA"/>
        </w:rPr>
        <w:t>ُعقد</w:t>
      </w:r>
      <w:r w:rsidRPr="0003755A">
        <w:rPr>
          <w:rFonts w:ascii="Simplified Arabic" w:eastAsia="Malgun Gothic" w:hAnsi="Simplified Arabic"/>
          <w:rtl/>
          <w:lang w:val="en-CA"/>
        </w:rPr>
        <w:t xml:space="preserve"> </w:t>
      </w:r>
      <w:r w:rsidRPr="0003755A">
        <w:rPr>
          <w:rFonts w:ascii="Simplified Arabic" w:eastAsia="Malgun Gothic" w:hAnsi="Simplified Arabic" w:hint="cs"/>
          <w:rtl/>
          <w:lang w:val="en-CA"/>
        </w:rPr>
        <w:t xml:space="preserve">في الاجتماع الحادي عشر للفريق المفتوح العضوية العامل بين الدورات المخصص للمادة 8(ي) والأحكام المتصلة بها على النحو التالي: "مساهمة المعارف والابتكارات والممارسات التقليدية للشعوب الأصلية والمجتمعات المحلية والتنوع الثقافي في </w:t>
      </w:r>
      <w:r>
        <w:rPr>
          <w:rFonts w:ascii="Simplified Arabic" w:eastAsia="Malgun Gothic" w:hAnsi="Simplified Arabic" w:hint="cs"/>
          <w:rtl/>
          <w:lang w:val="en-CA"/>
        </w:rPr>
        <w:t>ال</w:t>
      </w:r>
      <w:r w:rsidRPr="0003755A">
        <w:rPr>
          <w:rFonts w:ascii="Simplified Arabic" w:eastAsia="Malgun Gothic" w:hAnsi="Simplified Arabic" w:hint="cs"/>
          <w:rtl/>
          <w:lang w:val="en-CA"/>
        </w:rPr>
        <w:t>إطار ا</w:t>
      </w:r>
      <w:r>
        <w:rPr>
          <w:rFonts w:ascii="Simplified Arabic" w:eastAsia="Malgun Gothic" w:hAnsi="Simplified Arabic" w:hint="cs"/>
          <w:rtl/>
          <w:lang w:val="en-CA"/>
        </w:rPr>
        <w:t>لعالمي ل</w:t>
      </w:r>
      <w:r w:rsidRPr="0003755A">
        <w:rPr>
          <w:rFonts w:ascii="Simplified Arabic" w:eastAsia="Malgun Gothic" w:hAnsi="Simplified Arabic" w:hint="cs"/>
          <w:rtl/>
          <w:lang w:val="en-CA"/>
        </w:rPr>
        <w:t>لتنوع البي</w:t>
      </w:r>
      <w:r>
        <w:rPr>
          <w:rFonts w:ascii="Simplified Arabic" w:eastAsia="Malgun Gothic" w:hAnsi="Simplified Arabic" w:hint="cs"/>
          <w:rtl/>
          <w:lang w:val="en-CA"/>
        </w:rPr>
        <w:t>ولوجي لما بعد عام 2020"؛</w:t>
      </w:r>
    </w:p>
    <w:p w:rsidR="00E93E73" w:rsidRPr="005F7CD9" w:rsidRDefault="00E93E73" w:rsidP="00CD26C5">
      <w:pPr>
        <w:numPr>
          <w:ilvl w:val="0"/>
          <w:numId w:val="64"/>
        </w:numPr>
        <w:spacing w:after="60"/>
        <w:ind w:left="0" w:firstLine="720"/>
        <w:rPr>
          <w:kern w:val="20"/>
          <w:szCs w:val="22"/>
          <w:lang w:val="en-GB"/>
        </w:rPr>
      </w:pPr>
      <w:r w:rsidRPr="0003755A">
        <w:rPr>
          <w:rFonts w:ascii="Simplified Arabic" w:hAnsi="Simplified Arabic" w:hint="cs"/>
          <w:i/>
          <w:iCs/>
          <w:sz w:val="20"/>
          <w:rtl/>
          <w:lang w:val="en-CA"/>
        </w:rPr>
        <w:t>يحيط</w:t>
      </w:r>
      <w:r w:rsidRPr="0003755A">
        <w:rPr>
          <w:rFonts w:ascii="Simplified Arabic" w:hAnsi="Simplified Arabic" w:hint="cs"/>
          <w:i/>
          <w:iCs/>
          <w:sz w:val="20"/>
          <w:rtl/>
        </w:rPr>
        <w:t xml:space="preserve"> علما</w:t>
      </w:r>
      <w:r w:rsidRPr="0003755A">
        <w:rPr>
          <w:rFonts w:ascii="Simplified Arabic" w:hAnsi="Simplified Arabic" w:hint="cs"/>
          <w:sz w:val="20"/>
          <w:rtl/>
        </w:rPr>
        <w:t xml:space="preserve"> بالتوصيات المنبثقة عن الدورتين الخامسة عشرة </w:t>
      </w:r>
      <w:r w:rsidRPr="0003755A">
        <w:rPr>
          <w:rFonts w:ascii="Simplified Arabic" w:eastAsia="Malgun Gothic" w:hAnsi="Simplified Arabic" w:hint="cs"/>
          <w:rtl/>
          <w:lang w:val="en-CA"/>
        </w:rPr>
        <w:t>والسادسة</w:t>
      </w:r>
      <w:r w:rsidRPr="0003755A">
        <w:rPr>
          <w:rFonts w:ascii="Simplified Arabic" w:hAnsi="Simplified Arabic" w:hint="cs"/>
          <w:sz w:val="20"/>
          <w:rtl/>
        </w:rPr>
        <w:t xml:space="preserve"> عشرة لمنتدى الأمم المتحدة الدائم المعني بقضايا الشعوب الأصلية،</w:t>
      </w:r>
      <w:r>
        <w:rPr>
          <w:rStyle w:val="FootnoteReference"/>
          <w:rFonts w:ascii="Simplified Arabic" w:hAnsi="Simplified Arabic"/>
          <w:sz w:val="20"/>
          <w:rtl/>
        </w:rPr>
        <w:footnoteReference w:id="236"/>
      </w:r>
      <w:r w:rsidRPr="0003755A">
        <w:rPr>
          <w:rFonts w:ascii="Simplified Arabic" w:hAnsi="Simplified Arabic" w:hint="cs"/>
          <w:sz w:val="20"/>
          <w:rtl/>
        </w:rPr>
        <w:t xml:space="preserve"> </w:t>
      </w:r>
      <w:r w:rsidRPr="0003755A">
        <w:rPr>
          <w:rFonts w:ascii="Simplified Arabic" w:hAnsi="Simplified Arabic" w:hint="cs"/>
          <w:i/>
          <w:iCs/>
          <w:sz w:val="20"/>
          <w:rtl/>
        </w:rPr>
        <w:t>ويطلب</w:t>
      </w:r>
      <w:r w:rsidRPr="0003755A">
        <w:rPr>
          <w:rFonts w:ascii="Simplified Arabic" w:hAnsi="Simplified Arabic" w:hint="cs"/>
          <w:sz w:val="20"/>
          <w:rtl/>
        </w:rPr>
        <w:t xml:space="preserve"> إلى الأمانة مواصلة إطلاع المنتدى الدائم بالتطورات ذات الاهتمام المتبادل.</w:t>
      </w:r>
    </w:p>
    <w:p w:rsidR="00E36426" w:rsidRPr="00E93E73" w:rsidRDefault="00E36426" w:rsidP="00E36426">
      <w:pPr>
        <w:spacing w:after="0" w:line="240" w:lineRule="auto"/>
        <w:jc w:val="left"/>
        <w:rPr>
          <w:sz w:val="24"/>
          <w:rtl/>
          <w:lang w:val="en-GB"/>
        </w:rPr>
      </w:pPr>
    </w:p>
    <w:p w:rsidR="001D61EA" w:rsidRDefault="001D61EA">
      <w:pPr>
        <w:bidi w:val="0"/>
        <w:spacing w:after="0" w:line="240" w:lineRule="auto"/>
        <w:jc w:val="left"/>
        <w:rPr>
          <w:b/>
          <w:bCs/>
          <w:sz w:val="24"/>
          <w:rtl/>
        </w:rPr>
      </w:pPr>
      <w:r>
        <w:rPr>
          <w:b/>
          <w:bCs/>
          <w:sz w:val="24"/>
          <w:rtl/>
        </w:rPr>
        <w:br w:type="page"/>
      </w:r>
    </w:p>
    <w:p w:rsidR="00FA2E1F" w:rsidRPr="00AB0F3E" w:rsidRDefault="00FA2E1F" w:rsidP="00FA2E1F">
      <w:pPr>
        <w:pStyle w:val="Heading1"/>
        <w:rPr>
          <w:b w:val="0"/>
          <w:bCs w:val="0"/>
          <w:szCs w:val="24"/>
          <w:rtl/>
        </w:rPr>
      </w:pPr>
      <w:bookmarkStart w:id="145" w:name="_Toc6071618"/>
      <w:bookmarkStart w:id="146" w:name="_Toc6139976"/>
      <w:r w:rsidRPr="00AB0F3E">
        <w:rPr>
          <w:rFonts w:hint="cs"/>
          <w:szCs w:val="24"/>
          <w:rtl/>
        </w:rPr>
        <w:lastRenderedPageBreak/>
        <w:t>المقرر 14/15</w:t>
      </w:r>
      <w:r w:rsidRPr="00AB0F3E">
        <w:rPr>
          <w:rFonts w:hint="cs"/>
          <w:szCs w:val="24"/>
          <w:rtl/>
        </w:rPr>
        <w:tab/>
        <w:t>الضمانات في آليات تمويل التنوع البيولوجي</w:t>
      </w:r>
      <w:bookmarkEnd w:id="145"/>
      <w:bookmarkEnd w:id="146"/>
    </w:p>
    <w:p w:rsidR="00FA2E1F" w:rsidRPr="00E2446D" w:rsidRDefault="00FA2E1F" w:rsidP="00FA2E1F">
      <w:pPr>
        <w:spacing w:line="204" w:lineRule="auto"/>
        <w:ind w:firstLine="720"/>
        <w:rPr>
          <w:i/>
          <w:iCs/>
          <w:sz w:val="20"/>
          <w:rtl/>
        </w:rPr>
      </w:pPr>
      <w:r w:rsidRPr="00E2446D">
        <w:rPr>
          <w:rFonts w:hint="cs"/>
          <w:i/>
          <w:iCs/>
          <w:sz w:val="20"/>
          <w:rtl/>
        </w:rPr>
        <w:t>إن مؤتمر الأطر</w:t>
      </w:r>
      <w:r>
        <w:rPr>
          <w:rFonts w:hint="cs"/>
          <w:i/>
          <w:iCs/>
          <w:sz w:val="20"/>
          <w:rtl/>
        </w:rPr>
        <w:t>ا</w:t>
      </w:r>
      <w:r w:rsidRPr="00E2446D">
        <w:rPr>
          <w:rFonts w:hint="cs"/>
          <w:i/>
          <w:iCs/>
          <w:sz w:val="20"/>
          <w:rtl/>
        </w:rPr>
        <w:t>ف،</w:t>
      </w:r>
    </w:p>
    <w:p w:rsidR="00FA2E1F" w:rsidRPr="00E2446D" w:rsidRDefault="00FA2E1F" w:rsidP="00FA2E1F">
      <w:pPr>
        <w:spacing w:line="204" w:lineRule="auto"/>
        <w:ind w:firstLine="720"/>
        <w:rPr>
          <w:sz w:val="20"/>
          <w:lang w:val="en-GB"/>
        </w:rPr>
      </w:pPr>
      <w:r w:rsidRPr="00E2446D">
        <w:rPr>
          <w:rFonts w:hint="cs"/>
          <w:i/>
          <w:iCs/>
          <w:sz w:val="20"/>
          <w:rtl/>
          <w:lang w:val="en-GB"/>
        </w:rPr>
        <w:t>إذ يشير</w:t>
      </w:r>
      <w:r w:rsidRPr="00E2446D">
        <w:rPr>
          <w:rFonts w:hint="cs"/>
          <w:sz w:val="20"/>
          <w:rtl/>
          <w:lang w:val="en-GB"/>
        </w:rPr>
        <w:t xml:space="preserve"> إلى المقرر 12/3، الذي اعتمد بموجبه مؤتمر الأطراف المبادئ </w:t>
      </w:r>
      <w:r w:rsidRPr="00E2446D">
        <w:rPr>
          <w:sz w:val="20"/>
          <w:rtl/>
          <w:lang w:val="en-GB"/>
        </w:rPr>
        <w:t>التوجيهية الطوعية بشأن الضمانات في آليات تمويل التنوع البيولوجي</w:t>
      </w:r>
      <w:r w:rsidRPr="00E2446D">
        <w:rPr>
          <w:rFonts w:hint="cs"/>
          <w:sz w:val="20"/>
          <w:rtl/>
          <w:lang w:val="en-GB"/>
        </w:rPr>
        <w:t>؛</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يسلط الضوء</w:t>
      </w:r>
      <w:r w:rsidRPr="00E2446D">
        <w:rPr>
          <w:rFonts w:hint="cs"/>
          <w:sz w:val="20"/>
          <w:rtl/>
        </w:rPr>
        <w:t xml:space="preserve"> مع التقدير على أوجه التقارب التي تظهر</w:t>
      </w:r>
      <w:r>
        <w:rPr>
          <w:rFonts w:hint="cs"/>
          <w:sz w:val="20"/>
          <w:rtl/>
        </w:rPr>
        <w:t xml:space="preserve"> بين العمليات القائمة لتطوير و/</w:t>
      </w:r>
      <w:r w:rsidRPr="00E2446D">
        <w:rPr>
          <w:rFonts w:hint="cs"/>
          <w:sz w:val="20"/>
          <w:rtl/>
        </w:rPr>
        <w:t xml:space="preserve">أو تحسين نظم الضمانات لآليات التمويل والمبادئ التوجيهية الطوعية للاتفاقية بشأن الضمانات في آليات تمويل التنوع البيولوجي، </w:t>
      </w:r>
      <w:r w:rsidRPr="00E2446D">
        <w:rPr>
          <w:rFonts w:hint="cs"/>
          <w:i/>
          <w:iCs/>
          <w:sz w:val="20"/>
          <w:rtl/>
        </w:rPr>
        <w:t>ويشجع</w:t>
      </w:r>
      <w:r w:rsidRPr="00E2446D">
        <w:rPr>
          <w:rFonts w:hint="cs"/>
          <w:sz w:val="20"/>
          <w:rtl/>
        </w:rPr>
        <w:t xml:space="preserve"> جميع هذه العمليات على مواصلة الرجوع إلى المبادئ التوجيهية من أجل خلق تقارب أكثر؛</w:t>
      </w:r>
    </w:p>
    <w:p w:rsidR="00FA2E1F" w:rsidRPr="0040059B" w:rsidRDefault="00FA2E1F" w:rsidP="00CD26C5">
      <w:pPr>
        <w:numPr>
          <w:ilvl w:val="0"/>
          <w:numId w:val="65"/>
        </w:numPr>
        <w:spacing w:line="204" w:lineRule="auto"/>
        <w:ind w:left="0" w:firstLine="720"/>
        <w:rPr>
          <w:sz w:val="20"/>
          <w:lang w:val="en-GB"/>
        </w:rPr>
      </w:pPr>
      <w:r w:rsidRPr="00E2446D">
        <w:rPr>
          <w:rFonts w:hint="cs"/>
          <w:i/>
          <w:iCs/>
          <w:sz w:val="20"/>
          <w:rtl/>
        </w:rPr>
        <w:t>يسلم</w:t>
      </w:r>
      <w:r w:rsidRPr="00E2446D">
        <w:rPr>
          <w:rFonts w:hint="cs"/>
          <w:sz w:val="20"/>
          <w:rtl/>
        </w:rPr>
        <w:t xml:space="preserve"> بأهمية حيازة الأراضي التقليدية للشعوب الأصلية والمجتمعات المحلية من أجل بقائها على قيد الحياة وطرائق حياتها، بما يتماشى مع الالتزامات والأُطر الدولية، مثل إعلان الأمم المتحدة بشأن حقوق الشعوب الأصلية،</w:t>
      </w:r>
      <w:r w:rsidRPr="00E2446D">
        <w:rPr>
          <w:sz w:val="20"/>
          <w:vertAlign w:val="superscript"/>
          <w:rtl/>
        </w:rPr>
        <w:footnoteReference w:id="237"/>
      </w:r>
      <w:r w:rsidRPr="00E2446D">
        <w:rPr>
          <w:rFonts w:hint="cs"/>
          <w:sz w:val="20"/>
          <w:rtl/>
        </w:rPr>
        <w:t xml:space="preserve"> والصكوك والمقررات والمبادئ التوجيهية لاتفاقية التنوع البيولوجي، بما في ذلك المشاركة الكاملة والفعالة للشعوب الأصلية والمجتمعات المحلية </w:t>
      </w:r>
      <w:r>
        <w:rPr>
          <w:rFonts w:hint="cs"/>
          <w:sz w:val="20"/>
          <w:rtl/>
        </w:rPr>
        <w:t>وفقا للتشريعات الوطنية؛</w:t>
      </w:r>
    </w:p>
    <w:p w:rsidR="00FA2E1F" w:rsidRPr="00E2446D" w:rsidRDefault="00FA2E1F" w:rsidP="00CD26C5">
      <w:pPr>
        <w:numPr>
          <w:ilvl w:val="0"/>
          <w:numId w:val="65"/>
        </w:numPr>
        <w:spacing w:line="204" w:lineRule="auto"/>
        <w:ind w:left="0" w:firstLine="720"/>
        <w:rPr>
          <w:sz w:val="20"/>
          <w:lang w:val="en-GB"/>
        </w:rPr>
      </w:pPr>
      <w:r>
        <w:rPr>
          <w:rFonts w:hint="cs"/>
          <w:i/>
          <w:iCs/>
          <w:sz w:val="20"/>
          <w:rtl/>
          <w:lang w:val="en-GB"/>
        </w:rPr>
        <w:t xml:space="preserve">يسلم أيضا </w:t>
      </w:r>
      <w:r>
        <w:rPr>
          <w:rFonts w:hint="cs"/>
          <w:sz w:val="20"/>
          <w:rtl/>
          <w:lang w:val="en-GB"/>
        </w:rPr>
        <w:t xml:space="preserve">بأهمية المشاورات والتعاون مع الشعوب الأصلية والمجتمعات المحلية من خلال المؤسسات التي تمثلها، حسب الاقتضاء، من أجل الحصول على </w:t>
      </w:r>
      <w:r w:rsidRPr="00E2446D">
        <w:rPr>
          <w:rFonts w:hint="cs"/>
          <w:sz w:val="20"/>
          <w:rtl/>
        </w:rPr>
        <w:t>موافقتها الحرة المسبقة عن علم، أو موافقتها المسبقة عن علم أو القبول و</w:t>
      </w:r>
      <w:r>
        <w:rPr>
          <w:rFonts w:hint="cs"/>
          <w:sz w:val="20"/>
          <w:rtl/>
        </w:rPr>
        <w:t>المشاركة</w:t>
      </w:r>
      <w:r w:rsidRPr="00E2446D">
        <w:rPr>
          <w:rFonts w:hint="cs"/>
          <w:sz w:val="20"/>
          <w:rtl/>
        </w:rPr>
        <w:t xml:space="preserve"> </w:t>
      </w:r>
      <w:r>
        <w:rPr>
          <w:rFonts w:hint="cs"/>
          <w:sz w:val="20"/>
          <w:rtl/>
        </w:rPr>
        <w:t>ل</w:t>
      </w:r>
      <w:r w:rsidRPr="00E2446D">
        <w:rPr>
          <w:rFonts w:hint="cs"/>
          <w:sz w:val="20"/>
          <w:rtl/>
        </w:rPr>
        <w:t>لشعوب الأصلية والمجتمعات المحلية، وفقا للعمليات الوطنية، والسياسات، والتشريعات، حسب الاقتضاء؛</w:t>
      </w:r>
    </w:p>
    <w:p w:rsidR="00FA2E1F" w:rsidRPr="0040059B" w:rsidRDefault="00FA2E1F" w:rsidP="00CD26C5">
      <w:pPr>
        <w:numPr>
          <w:ilvl w:val="0"/>
          <w:numId w:val="65"/>
        </w:numPr>
        <w:spacing w:line="204" w:lineRule="auto"/>
        <w:ind w:left="0" w:firstLine="720"/>
        <w:rPr>
          <w:i/>
          <w:iCs/>
          <w:sz w:val="20"/>
          <w:lang w:val="en-GB"/>
        </w:rPr>
      </w:pPr>
      <w:r w:rsidRPr="0040059B">
        <w:rPr>
          <w:rFonts w:hint="cs"/>
          <w:i/>
          <w:iCs/>
          <w:sz w:val="20"/>
          <w:rtl/>
          <w:lang w:val="en-GB"/>
        </w:rPr>
        <w:t xml:space="preserve">يسلم كذلك </w:t>
      </w:r>
      <w:r>
        <w:rPr>
          <w:rFonts w:hint="cs"/>
          <w:sz w:val="20"/>
          <w:rtl/>
          <w:lang w:val="en-GB"/>
        </w:rPr>
        <w:t xml:space="preserve">بأهمية حيازة الشعوب الأصلية والمجتمعات المحلية للأراضي والمياه بالنسبة لبعض الأطراف، وبأن ضمانات شاملة وقوية تدعمها المساءلة الشفافة واليقظة المستمرة هي لازمة بالتالي لتلك الأطراف، وفقا </w:t>
      </w:r>
      <w:r w:rsidRPr="00E2446D">
        <w:rPr>
          <w:rFonts w:hint="cs"/>
          <w:sz w:val="20"/>
          <w:rtl/>
        </w:rPr>
        <w:t>للعمليات الوطنية، والسياسات، والتشريعات، حسب الاقتضاء؛</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يحيط علما</w:t>
      </w:r>
      <w:r w:rsidRPr="00E2446D">
        <w:rPr>
          <w:rFonts w:hint="cs"/>
          <w:sz w:val="20"/>
          <w:rtl/>
        </w:rPr>
        <w:t xml:space="preserve"> على وجه الخصوص بالعمليات التي تضطلع بها الكيانات العاملة في الآلية المالية التابعة لاتفاقية الأمم المتحدة الإطارية بشأن تغير المناخ لتصميم وإنشاء وتطبيق نظم للضمانات التي تغطي كل التمويل المتصل بالمناخ في إطار مسؤوليتها؛</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يرحب</w:t>
      </w:r>
      <w:r w:rsidRPr="00E2446D">
        <w:rPr>
          <w:rFonts w:hint="cs"/>
          <w:sz w:val="20"/>
          <w:rtl/>
        </w:rPr>
        <w:t xml:space="preserve"> على وجه الخصوص بعملية مرفق البيئة العالمية لاستعراض وت</w:t>
      </w:r>
      <w:r>
        <w:rPr>
          <w:rFonts w:hint="cs"/>
          <w:sz w:val="20"/>
          <w:rtl/>
        </w:rPr>
        <w:t>حديث</w:t>
      </w:r>
      <w:r w:rsidRPr="00E2446D">
        <w:rPr>
          <w:rFonts w:hint="cs"/>
          <w:sz w:val="20"/>
          <w:rtl/>
        </w:rPr>
        <w:t xml:space="preserve"> ضماناته البيئية والاجتماعية والنظم ذات الصلة في وكالاته،</w:t>
      </w:r>
      <w:r>
        <w:rPr>
          <w:rFonts w:hint="cs"/>
          <w:sz w:val="20"/>
          <w:rtl/>
        </w:rPr>
        <w:t xml:space="preserve"> بالإضافة إلى إرشاداته للنهوض بالاعتبارات الجنسانية في استراتيجيته الجديدة للتنفيذ بشأن الاعتبارات الجنسانية،</w:t>
      </w:r>
      <w:r w:rsidRPr="00E2446D">
        <w:rPr>
          <w:rFonts w:hint="cs"/>
          <w:sz w:val="20"/>
          <w:rtl/>
        </w:rPr>
        <w:t xml:space="preserve"> مع ملاحظة أن </w:t>
      </w:r>
      <w:r>
        <w:rPr>
          <w:rFonts w:hint="cs"/>
          <w:sz w:val="20"/>
          <w:rtl/>
        </w:rPr>
        <w:t>النتائج</w:t>
      </w:r>
      <w:r w:rsidRPr="00E2446D">
        <w:rPr>
          <w:rFonts w:hint="cs"/>
          <w:sz w:val="20"/>
          <w:rtl/>
        </w:rPr>
        <w:t xml:space="preserve"> سوف تنطبق على جميع المشاريع التي يمولها المرفق، </w:t>
      </w:r>
      <w:r w:rsidRPr="00E2446D">
        <w:rPr>
          <w:rFonts w:hint="cs"/>
          <w:i/>
          <w:iCs/>
          <w:sz w:val="20"/>
          <w:rtl/>
        </w:rPr>
        <w:t>ويدعو</w:t>
      </w:r>
      <w:r w:rsidRPr="00E2446D">
        <w:rPr>
          <w:rFonts w:hint="cs"/>
          <w:sz w:val="20"/>
          <w:rtl/>
        </w:rPr>
        <w:t xml:space="preserve"> المرفق إلى إبلاغ مؤتمر الأطراف عن كيفية مراعاة المبادئ التوجيهية الطوعية للاتفاقية بشأن الضمانات في آليات تمويل التنوع البيولوجي في عمليته الهامة؛</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يحث</w:t>
      </w:r>
      <w:r w:rsidRPr="00E2446D">
        <w:rPr>
          <w:rFonts w:hint="cs"/>
          <w:sz w:val="20"/>
          <w:rtl/>
        </w:rPr>
        <w:t xml:space="preserve"> الأطراف ومنظمات أصحاب المصلحة الأخرى وغيرها من المؤسسات على مواصلة استخدام المبادئ التوجيهية الطوعية للاتفاقية بشأن الضمانات في آليات تمويل التنوع البيولوجي في تصميم وتشغيل آليات تمويلها وفي إنشاء أنظمتها المتعلقة بالضمانات، والاستفادة، حسب الاقتضاء، من القائمة المرجعية الواردة في </w:t>
      </w:r>
      <w:r>
        <w:rPr>
          <w:rFonts w:hint="cs"/>
          <w:sz w:val="20"/>
          <w:rtl/>
        </w:rPr>
        <w:t>ال</w:t>
      </w:r>
      <w:r w:rsidRPr="00E2446D">
        <w:rPr>
          <w:rFonts w:hint="cs"/>
          <w:sz w:val="20"/>
          <w:rtl/>
        </w:rPr>
        <w:t xml:space="preserve">مرفق </w:t>
      </w:r>
      <w:r>
        <w:rPr>
          <w:rFonts w:hint="cs"/>
          <w:sz w:val="20"/>
          <w:rtl/>
        </w:rPr>
        <w:t>ب</w:t>
      </w:r>
      <w:r w:rsidRPr="00E2446D">
        <w:rPr>
          <w:rFonts w:hint="cs"/>
          <w:sz w:val="20"/>
          <w:rtl/>
        </w:rPr>
        <w:t>هذا المقرر؛</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يدعو</w:t>
      </w:r>
      <w:r w:rsidRPr="00E2446D">
        <w:rPr>
          <w:rFonts w:hint="cs"/>
          <w:sz w:val="20"/>
          <w:rtl/>
        </w:rPr>
        <w:t xml:space="preserve"> الأطراف</w:t>
      </w:r>
      <w:r>
        <w:rPr>
          <w:rFonts w:hint="cs"/>
          <w:sz w:val="20"/>
          <w:rtl/>
        </w:rPr>
        <w:t>، والحكومات الأخرى، والشعوب الأصلية والمجتمعات المحلية،</w:t>
      </w:r>
      <w:r w:rsidRPr="00E2446D">
        <w:rPr>
          <w:rFonts w:hint="cs"/>
          <w:sz w:val="20"/>
          <w:rtl/>
        </w:rPr>
        <w:t xml:space="preserve"> ومنظمات أصحاب المصلحة الأخرى وغيرها من المؤسسات إلى المساهمة بآرائها بشأن الخبرات والفرص والخيارات للنهوض بتطبيق المبادئ التوجيهية الطوعية للاتفاقية بشأن الضمانات في آليات تمويل التنوع البيولوجي </w:t>
      </w:r>
      <w:r>
        <w:rPr>
          <w:rFonts w:hint="cs"/>
          <w:sz w:val="20"/>
          <w:rtl/>
        </w:rPr>
        <w:t xml:space="preserve">على </w:t>
      </w:r>
      <w:r w:rsidRPr="00E2446D">
        <w:rPr>
          <w:rFonts w:hint="cs"/>
          <w:sz w:val="20"/>
          <w:rtl/>
        </w:rPr>
        <w:t>تصميم وتشغيل آليات تمويل التنوع البيولوجي؛</w:t>
      </w:r>
    </w:p>
    <w:p w:rsidR="00FA2E1F" w:rsidRPr="00E2446D" w:rsidRDefault="00FA2E1F" w:rsidP="00CD26C5">
      <w:pPr>
        <w:numPr>
          <w:ilvl w:val="0"/>
          <w:numId w:val="65"/>
        </w:numPr>
        <w:spacing w:line="204" w:lineRule="auto"/>
        <w:ind w:left="0" w:firstLine="720"/>
        <w:rPr>
          <w:sz w:val="20"/>
          <w:lang w:val="en-GB"/>
        </w:rPr>
      </w:pPr>
      <w:r w:rsidRPr="00E2446D">
        <w:rPr>
          <w:rFonts w:hint="cs"/>
          <w:i/>
          <w:iCs/>
          <w:sz w:val="20"/>
          <w:rtl/>
        </w:rPr>
        <w:t>يطلب</w:t>
      </w:r>
      <w:r w:rsidRPr="00E2446D">
        <w:rPr>
          <w:rFonts w:hint="cs"/>
          <w:sz w:val="20"/>
          <w:rtl/>
        </w:rPr>
        <w:t xml:space="preserve"> إلى الأمينة التنفيذية تجميع المزيد من المعلومات عن استخدام وقيمة المبادئ التوجيهية الطوعية للاتفاقية بشأن الضمانات في آليات تمويل التنوع البيولوجي وغيرها من الإرشادات ذات الصلة بموجب الاتفاقية من جانب </w:t>
      </w:r>
      <w:r w:rsidRPr="00E2446D">
        <w:rPr>
          <w:rFonts w:hint="cs"/>
          <w:sz w:val="20"/>
          <w:rtl/>
        </w:rPr>
        <w:lastRenderedPageBreak/>
        <w:t>الأطراف</w:t>
      </w:r>
      <w:r>
        <w:rPr>
          <w:rFonts w:hint="cs"/>
          <w:sz w:val="20"/>
          <w:rtl/>
        </w:rPr>
        <w:t>، والحكومات الأخرى، والشعوب الأصلية والمجتمعات المحلية،</w:t>
      </w:r>
      <w:r w:rsidRPr="00E2446D">
        <w:rPr>
          <w:rFonts w:hint="cs"/>
          <w:sz w:val="20"/>
          <w:rtl/>
        </w:rPr>
        <w:t xml:space="preserve"> ومنظمات أصحاب المصلحة الأخرى والمؤسسات الدولية فيما يتعلق بوضع وتطبيق أنظمة الضمانات ذات الصلة؛</w:t>
      </w:r>
    </w:p>
    <w:p w:rsidR="00FA2E1F" w:rsidRPr="00DF0348" w:rsidRDefault="00FA2E1F" w:rsidP="00CD26C5">
      <w:pPr>
        <w:numPr>
          <w:ilvl w:val="0"/>
          <w:numId w:val="65"/>
        </w:numPr>
        <w:spacing w:after="240" w:line="204" w:lineRule="auto"/>
        <w:ind w:left="0" w:firstLine="720"/>
        <w:rPr>
          <w:sz w:val="20"/>
          <w:lang w:val="en-GB"/>
        </w:rPr>
      </w:pPr>
      <w:r w:rsidRPr="00E2446D">
        <w:rPr>
          <w:rFonts w:hint="cs"/>
          <w:i/>
          <w:iCs/>
          <w:sz w:val="20"/>
          <w:rtl/>
        </w:rPr>
        <w:t>يطلب</w:t>
      </w:r>
      <w:r w:rsidRPr="00E2446D">
        <w:rPr>
          <w:rFonts w:hint="cs"/>
          <w:sz w:val="20"/>
          <w:rtl/>
        </w:rPr>
        <w:t xml:space="preserve"> </w:t>
      </w:r>
      <w:r w:rsidRPr="00E2446D">
        <w:rPr>
          <w:rFonts w:hint="cs"/>
          <w:i/>
          <w:iCs/>
          <w:sz w:val="20"/>
          <w:rtl/>
        </w:rPr>
        <w:t>أيضا</w:t>
      </w:r>
      <w:r w:rsidRPr="00E2446D">
        <w:rPr>
          <w:rFonts w:hint="cs"/>
          <w:sz w:val="20"/>
          <w:rtl/>
        </w:rPr>
        <w:t xml:space="preserve"> إلى الأمينة التنفيذية أن تدرج، للنظر فيه كعنصر عمل محتمل في برنامج العمل المتكامل تماما بشأن المادة 8 (ي) والأحكام المتصلة بها، ضمن إطار التنوع البيولوجي لما بعد عام 2020، وضع إطار ضمانات محدد لما بعد 2020 بشأن الشعوب الأصلية والمجتمعات المحلية بموجب الاتفاقية، استناداً إلى المبادئ والمعايير والمبادئ التوجيهية المعتمدة بموجب الاتفاقية، ومعالجة أي ثغرات إضافية محددة،</w:t>
      </w:r>
      <w:r>
        <w:rPr>
          <w:rFonts w:hint="cs"/>
          <w:sz w:val="20"/>
          <w:rtl/>
        </w:rPr>
        <w:t xml:space="preserve"> بما في ذلك اعتبارات المساواة بين الجنسين،</w:t>
      </w:r>
      <w:r w:rsidRPr="00E2446D">
        <w:rPr>
          <w:rFonts w:hint="cs"/>
          <w:sz w:val="20"/>
          <w:rtl/>
        </w:rPr>
        <w:t xml:space="preserve"> مع الإشارة إلى أنه سيتم إعداد قائمة إرشادية بالعناصر والمهام الممكنة لكي ينظر فيها مؤتمر الأطراف في اجتماعه </w:t>
      </w:r>
      <w:r>
        <w:rPr>
          <w:rFonts w:hint="cs"/>
          <w:sz w:val="20"/>
          <w:rtl/>
        </w:rPr>
        <w:t>الخامس</w:t>
      </w:r>
      <w:r w:rsidRPr="00E2446D">
        <w:rPr>
          <w:rFonts w:hint="cs"/>
          <w:sz w:val="20"/>
          <w:rtl/>
        </w:rPr>
        <w:t xml:space="preserve"> عشر وكذلك الفريق العامل المعني بالمادة 8(ي) والأحكام المتصلة بها في اجتماعه الحادي عشر.</w:t>
      </w:r>
    </w:p>
    <w:p w:rsidR="00FA2E1F" w:rsidRPr="00E2446D" w:rsidRDefault="00FA2E1F" w:rsidP="00FA2E1F">
      <w:pPr>
        <w:spacing w:line="204" w:lineRule="auto"/>
        <w:jc w:val="center"/>
        <w:rPr>
          <w:i/>
          <w:iCs/>
          <w:sz w:val="20"/>
          <w:rtl/>
        </w:rPr>
      </w:pPr>
      <w:r w:rsidRPr="00E2446D">
        <w:rPr>
          <w:rFonts w:hint="cs"/>
          <w:i/>
          <w:iCs/>
          <w:sz w:val="20"/>
          <w:rtl/>
        </w:rPr>
        <w:t>المرفق</w:t>
      </w:r>
    </w:p>
    <w:p w:rsidR="00FA2E1F" w:rsidRPr="00E2446D" w:rsidRDefault="00FA2E1F" w:rsidP="00FA2E1F">
      <w:pPr>
        <w:spacing w:line="204" w:lineRule="auto"/>
        <w:jc w:val="center"/>
        <w:rPr>
          <w:b/>
          <w:bCs/>
          <w:rtl/>
        </w:rPr>
      </w:pPr>
      <w:r w:rsidRPr="00E2446D">
        <w:rPr>
          <w:rFonts w:hint="cs"/>
          <w:b/>
          <w:bCs/>
          <w:rtl/>
        </w:rPr>
        <w:t>قائمة</w:t>
      </w:r>
      <w:r>
        <w:rPr>
          <w:rFonts w:hint="cs"/>
          <w:b/>
          <w:bCs/>
          <w:rtl/>
        </w:rPr>
        <w:t xml:space="preserve"> مرجعية ل</w:t>
      </w:r>
      <w:r w:rsidRPr="00E2446D">
        <w:rPr>
          <w:rFonts w:hint="cs"/>
          <w:b/>
          <w:bCs/>
          <w:rtl/>
        </w:rPr>
        <w:t>لضمانات في آليات تمويل التنوع البيولوجي في إطار اتفاقية التنوع البيولوجي</w:t>
      </w:r>
    </w:p>
    <w:p w:rsidR="00FA2E1F" w:rsidRPr="00E2446D" w:rsidRDefault="00FA2E1F" w:rsidP="00FA2E1F">
      <w:pPr>
        <w:spacing w:line="204" w:lineRule="auto"/>
        <w:rPr>
          <w:rtl/>
        </w:rPr>
      </w:pPr>
      <w:r w:rsidRPr="00E2446D">
        <w:rPr>
          <w:rtl/>
        </w:rPr>
        <w:t>يمكن استخدام الأسئلة التالية كقائمة مرجعية للامتثال لمتطلبات المبادئ التوجيهية الطوعية للاتفاقية بشأن الضمانات في آليات تمويل التنوع البيولوجي</w:t>
      </w:r>
      <w:r w:rsidRPr="00E2446D">
        <w:rPr>
          <w:rFonts w:hint="cs"/>
          <w:rtl/>
        </w:rPr>
        <w:t>.</w:t>
      </w:r>
    </w:p>
    <w:p w:rsidR="00FA2E1F" w:rsidRPr="00E2446D" w:rsidRDefault="00FA2E1F" w:rsidP="00FA2E1F">
      <w:pPr>
        <w:spacing w:line="204" w:lineRule="auto"/>
        <w:rPr>
          <w:b/>
          <w:bCs/>
          <w:rtl/>
        </w:rPr>
      </w:pPr>
      <w:r w:rsidRPr="00E2446D">
        <w:rPr>
          <w:rFonts w:hint="cs"/>
          <w:b/>
          <w:bCs/>
          <w:rtl/>
        </w:rPr>
        <w:t>السؤال العام عن الغرض من المبادئ التوجيهية الطوعية للاتفاقية بشأن الضمانات في آليات تمويل التنوع البيولوجي</w:t>
      </w:r>
    </w:p>
    <w:p w:rsidR="00FA2E1F" w:rsidRPr="00E2446D" w:rsidRDefault="00FA2E1F" w:rsidP="00FA2E1F">
      <w:pPr>
        <w:spacing w:line="204" w:lineRule="auto"/>
        <w:rPr>
          <w:rtl/>
        </w:rPr>
      </w:pPr>
      <w:r w:rsidRPr="00E2446D">
        <w:rPr>
          <w:rFonts w:hint="cs"/>
          <w:rtl/>
        </w:rPr>
        <w:t>هل لدى آلية التمويل نظام ضمانات يهدف بفعالية إلى تجنب أو تخفيف آثارها غير المقصودة على حقوق الشعوب الأصلية والمجتمعات المحلية وسبل عيشها، وفقا للتشريع الوطني، وإلى زيادة فرص دعمها؟</w:t>
      </w:r>
    </w:p>
    <w:p w:rsidR="00FA2E1F" w:rsidRPr="00E2446D" w:rsidRDefault="00FA2E1F" w:rsidP="00FA2E1F">
      <w:pPr>
        <w:spacing w:line="204" w:lineRule="auto"/>
        <w:rPr>
          <w:b/>
          <w:bCs/>
          <w:rtl/>
        </w:rPr>
      </w:pPr>
      <w:r w:rsidRPr="00E2446D">
        <w:rPr>
          <w:b/>
          <w:bCs/>
          <w:rtl/>
        </w:rPr>
        <w:t>المبدأ التوجيهي ألف: ينبغي الاعتراف بدور التنوع البيولوجي ووظائف النظم الإيكولوجية من أجل سبل العيش المحلية والقدرة على الصمود، فضلا عن القيم الجوهرية للتنوع البيولوجي، في اختيار وتصميم وتنفيذ آليات تمويل التنوع البيولوجي.</w:t>
      </w:r>
    </w:p>
    <w:p w:rsidR="00FA2E1F" w:rsidRPr="00E2446D" w:rsidRDefault="00FA2E1F" w:rsidP="00FA2E1F">
      <w:pPr>
        <w:spacing w:line="204" w:lineRule="auto"/>
        <w:rPr>
          <w:rtl/>
        </w:rPr>
      </w:pPr>
      <w:r w:rsidRPr="00E2446D">
        <w:rPr>
          <w:rFonts w:hint="cs"/>
          <w:rtl/>
        </w:rPr>
        <w:t>ألف-1</w:t>
      </w:r>
      <w:r w:rsidRPr="00E2446D">
        <w:rPr>
          <w:rFonts w:hint="cs"/>
          <w:rtl/>
        </w:rPr>
        <w:tab/>
      </w:r>
      <w:r w:rsidRPr="00E2446D">
        <w:rPr>
          <w:rtl/>
        </w:rPr>
        <w:t xml:space="preserve">هل </w:t>
      </w:r>
      <w:r w:rsidRPr="00E2446D">
        <w:rPr>
          <w:rFonts w:hint="cs"/>
          <w:rtl/>
        </w:rPr>
        <w:t>يُعترف ب</w:t>
      </w:r>
      <w:r w:rsidRPr="00E2446D">
        <w:rPr>
          <w:rtl/>
        </w:rPr>
        <w:t xml:space="preserve">دور التنوع البيولوجي ووظائف النظم الإيكولوجية في سبل العيش المحلية والقدرة على الصمود </w:t>
      </w:r>
      <w:r w:rsidRPr="00E2446D">
        <w:rPr>
          <w:rFonts w:hint="cs"/>
          <w:rtl/>
        </w:rPr>
        <w:t>عند</w:t>
      </w:r>
      <w:r w:rsidRPr="00E2446D">
        <w:rPr>
          <w:rtl/>
        </w:rPr>
        <w:t xml:space="preserve"> اختيار آلية </w:t>
      </w:r>
      <w:r w:rsidRPr="00E2446D">
        <w:rPr>
          <w:rFonts w:hint="cs"/>
          <w:rtl/>
        </w:rPr>
        <w:t xml:space="preserve">التمويل </w:t>
      </w:r>
      <w:r w:rsidRPr="00E2446D">
        <w:rPr>
          <w:rtl/>
        </w:rPr>
        <w:t>وتصميمها وتنفيذها؟</w:t>
      </w:r>
    </w:p>
    <w:p w:rsidR="00FA2E1F" w:rsidRPr="00E2446D" w:rsidRDefault="00FA2E1F" w:rsidP="00FA2E1F">
      <w:pPr>
        <w:spacing w:line="204" w:lineRule="auto"/>
        <w:rPr>
          <w:rtl/>
        </w:rPr>
      </w:pPr>
      <w:r w:rsidRPr="00E2446D">
        <w:rPr>
          <w:rFonts w:hint="cs"/>
          <w:rtl/>
        </w:rPr>
        <w:t>ألف-2</w:t>
      </w:r>
      <w:r w:rsidRPr="00E2446D">
        <w:rPr>
          <w:rFonts w:hint="cs"/>
          <w:rtl/>
        </w:rPr>
        <w:tab/>
      </w:r>
      <w:r w:rsidRPr="00E2446D">
        <w:rPr>
          <w:rtl/>
        </w:rPr>
        <w:t xml:space="preserve">هل </w:t>
      </w:r>
      <w:r w:rsidRPr="00E2446D">
        <w:rPr>
          <w:rFonts w:hint="cs"/>
          <w:rtl/>
        </w:rPr>
        <w:t>يُعترف ب</w:t>
      </w:r>
      <w:r w:rsidRPr="00E2446D">
        <w:rPr>
          <w:rtl/>
        </w:rPr>
        <w:t>القيم الجوهرية للتنوع البيولوجي</w:t>
      </w:r>
      <w:r w:rsidRPr="00E2446D">
        <w:rPr>
          <w:rFonts w:hint="cs"/>
          <w:rtl/>
        </w:rPr>
        <w:t>؟</w:t>
      </w:r>
    </w:p>
    <w:p w:rsidR="00FA2E1F" w:rsidRPr="00E2446D" w:rsidRDefault="00FA2E1F" w:rsidP="00FA2E1F">
      <w:pPr>
        <w:spacing w:line="204" w:lineRule="auto"/>
        <w:rPr>
          <w:b/>
          <w:bCs/>
          <w:rtl/>
        </w:rPr>
      </w:pPr>
      <w:r w:rsidRPr="00E2446D">
        <w:rPr>
          <w:b/>
          <w:bCs/>
          <w:rtl/>
        </w:rPr>
        <w:t>المبدأ التوجيهي باء: ينبغي أن تحدد ح</w:t>
      </w:r>
      <w:r>
        <w:rPr>
          <w:b/>
          <w:bCs/>
          <w:rtl/>
        </w:rPr>
        <w:t>قوق ومسؤوليات الجهات الفاعلة و/</w:t>
      </w:r>
      <w:r w:rsidRPr="00E2446D">
        <w:rPr>
          <w:b/>
          <w:bCs/>
          <w:rtl/>
        </w:rPr>
        <w:t xml:space="preserve">أو أصحاب المصلحة في آليات تمويل التنوع البيولوجي بعناية، على الصعيد الوطني، بطريقة عادلة ومنصفة، </w:t>
      </w:r>
      <w:r w:rsidRPr="00E2446D">
        <w:rPr>
          <w:rFonts w:hint="cs"/>
          <w:b/>
          <w:bCs/>
          <w:rtl/>
        </w:rPr>
        <w:t>مع ال</w:t>
      </w:r>
      <w:r w:rsidRPr="00E2446D">
        <w:rPr>
          <w:b/>
          <w:bCs/>
          <w:rtl/>
        </w:rPr>
        <w:t xml:space="preserve">مشاركة </w:t>
      </w:r>
      <w:r w:rsidRPr="00E2446D">
        <w:rPr>
          <w:rFonts w:hint="cs"/>
          <w:b/>
          <w:bCs/>
          <w:rtl/>
        </w:rPr>
        <w:t>ال</w:t>
      </w:r>
      <w:r w:rsidRPr="00E2446D">
        <w:rPr>
          <w:b/>
          <w:bCs/>
          <w:rtl/>
        </w:rPr>
        <w:t xml:space="preserve">فعالة من جميع الجهات الفاعلة المعنية، بما في ذلك الموافقة </w:t>
      </w:r>
      <w:r w:rsidRPr="00E2446D">
        <w:rPr>
          <w:rFonts w:hint="cs"/>
          <w:b/>
          <w:bCs/>
          <w:rtl/>
        </w:rPr>
        <w:t xml:space="preserve">الحرة </w:t>
      </w:r>
      <w:r w:rsidRPr="00E2446D">
        <w:rPr>
          <w:b/>
          <w:bCs/>
          <w:rtl/>
        </w:rPr>
        <w:t>المسبقة عن علم</w:t>
      </w:r>
      <w:r>
        <w:rPr>
          <w:rFonts w:hint="cs"/>
          <w:b/>
          <w:bCs/>
          <w:rtl/>
        </w:rPr>
        <w:t>،</w:t>
      </w:r>
      <w:r w:rsidRPr="00E2446D">
        <w:rPr>
          <w:b/>
          <w:bCs/>
          <w:rtl/>
        </w:rPr>
        <w:t xml:space="preserve"> أو </w:t>
      </w:r>
      <w:r>
        <w:rPr>
          <w:rFonts w:hint="cs"/>
          <w:b/>
          <w:bCs/>
          <w:rtl/>
        </w:rPr>
        <w:t>الموافقة المسبقة عن علم أو قبول</w:t>
      </w:r>
      <w:r w:rsidRPr="00E2446D">
        <w:rPr>
          <w:b/>
          <w:bCs/>
          <w:rtl/>
        </w:rPr>
        <w:t xml:space="preserve"> ومشاركة </w:t>
      </w:r>
      <w:r w:rsidRPr="00E2446D">
        <w:rPr>
          <w:rFonts w:hint="cs"/>
          <w:b/>
          <w:bCs/>
          <w:rtl/>
        </w:rPr>
        <w:t>ا</w:t>
      </w:r>
      <w:r w:rsidRPr="00E2446D">
        <w:rPr>
          <w:b/>
          <w:bCs/>
          <w:rtl/>
        </w:rPr>
        <w:t>ل</w:t>
      </w:r>
      <w:r w:rsidRPr="00E2446D">
        <w:rPr>
          <w:rFonts w:hint="cs"/>
          <w:b/>
          <w:bCs/>
          <w:rtl/>
        </w:rPr>
        <w:t>شعوب الأصلية وال</w:t>
      </w:r>
      <w:r w:rsidRPr="00E2446D">
        <w:rPr>
          <w:b/>
          <w:bCs/>
          <w:rtl/>
        </w:rPr>
        <w:t>مجتمعات المحلية، مع مراعاة اتفاقية التنوع البيولوجي ومقرراتها وإرشاداتها ومبادئها ذات الصلة، و</w:t>
      </w:r>
      <w:r w:rsidRPr="00E2446D">
        <w:rPr>
          <w:rFonts w:hint="cs"/>
          <w:b/>
          <w:bCs/>
          <w:rtl/>
        </w:rPr>
        <w:t xml:space="preserve">حسب الاقتضاء، </w:t>
      </w:r>
      <w:r w:rsidRPr="00E2446D">
        <w:rPr>
          <w:b/>
          <w:bCs/>
          <w:rtl/>
        </w:rPr>
        <w:t xml:space="preserve">إعلان الأمم المتحدة </w:t>
      </w:r>
      <w:r w:rsidRPr="00E2446D">
        <w:rPr>
          <w:rFonts w:hint="cs"/>
          <w:b/>
          <w:bCs/>
          <w:rtl/>
        </w:rPr>
        <w:t xml:space="preserve">بشأن </w:t>
      </w:r>
      <w:r w:rsidRPr="00E2446D">
        <w:rPr>
          <w:b/>
          <w:bCs/>
          <w:rtl/>
        </w:rPr>
        <w:t>حقوق الشعوب الأصلي</w:t>
      </w:r>
      <w:r w:rsidRPr="00E2446D">
        <w:rPr>
          <w:rFonts w:hint="cs"/>
          <w:b/>
          <w:bCs/>
          <w:rtl/>
        </w:rPr>
        <w:t>ة</w:t>
      </w:r>
      <w:r w:rsidRPr="00E2446D">
        <w:rPr>
          <w:b/>
          <w:bCs/>
          <w:rtl/>
        </w:rPr>
        <w:t>.</w:t>
      </w:r>
    </w:p>
    <w:p w:rsidR="00FA2E1F" w:rsidRPr="00E2446D" w:rsidRDefault="00FA2E1F" w:rsidP="00FA2E1F">
      <w:pPr>
        <w:spacing w:line="204" w:lineRule="auto"/>
        <w:rPr>
          <w:rtl/>
        </w:rPr>
      </w:pPr>
      <w:r w:rsidRPr="00E2446D">
        <w:rPr>
          <w:rFonts w:hint="cs"/>
          <w:rtl/>
        </w:rPr>
        <w:t>باء-1</w:t>
      </w:r>
      <w:r w:rsidRPr="00E2446D">
        <w:rPr>
          <w:rFonts w:hint="cs"/>
          <w:rtl/>
        </w:rPr>
        <w:tab/>
      </w:r>
      <w:r w:rsidRPr="00E2446D">
        <w:rPr>
          <w:rtl/>
        </w:rPr>
        <w:t xml:space="preserve">هل </w:t>
      </w:r>
      <w:r w:rsidRPr="00E2446D">
        <w:rPr>
          <w:rFonts w:hint="cs"/>
          <w:rtl/>
        </w:rPr>
        <w:t>حقوق</w:t>
      </w:r>
      <w:r w:rsidRPr="00E2446D">
        <w:rPr>
          <w:rtl/>
        </w:rPr>
        <w:t xml:space="preserve"> </w:t>
      </w:r>
      <w:r w:rsidRPr="00E2446D">
        <w:rPr>
          <w:rFonts w:hint="cs"/>
          <w:rtl/>
        </w:rPr>
        <w:t>ومسؤوليات</w:t>
      </w:r>
      <w:r w:rsidRPr="00E2446D">
        <w:rPr>
          <w:rtl/>
        </w:rPr>
        <w:t xml:space="preserve"> </w:t>
      </w:r>
      <w:r w:rsidRPr="00E2446D">
        <w:rPr>
          <w:rFonts w:hint="cs"/>
          <w:rtl/>
        </w:rPr>
        <w:t>الجهات</w:t>
      </w:r>
      <w:r w:rsidRPr="00E2446D">
        <w:rPr>
          <w:rtl/>
        </w:rPr>
        <w:t xml:space="preserve"> </w:t>
      </w:r>
      <w:r w:rsidRPr="00E2446D">
        <w:rPr>
          <w:rFonts w:hint="cs"/>
          <w:rtl/>
        </w:rPr>
        <w:t>الفاعلة</w:t>
      </w:r>
      <w:r w:rsidRPr="00E2446D">
        <w:rPr>
          <w:rtl/>
        </w:rPr>
        <w:t xml:space="preserve"> </w:t>
      </w:r>
      <w:r w:rsidRPr="00E2446D">
        <w:rPr>
          <w:rFonts w:hint="cs"/>
          <w:rtl/>
        </w:rPr>
        <w:t>و</w:t>
      </w:r>
      <w:r>
        <w:rPr>
          <w:rtl/>
        </w:rPr>
        <w:t>/</w:t>
      </w:r>
      <w:r w:rsidRPr="00E2446D">
        <w:rPr>
          <w:rFonts w:hint="cs"/>
          <w:rtl/>
        </w:rPr>
        <w:t>أو</w:t>
      </w:r>
      <w:r w:rsidRPr="00E2446D">
        <w:rPr>
          <w:rtl/>
        </w:rPr>
        <w:t xml:space="preserve"> </w:t>
      </w:r>
      <w:r w:rsidRPr="00E2446D">
        <w:rPr>
          <w:rFonts w:hint="cs"/>
          <w:rtl/>
        </w:rPr>
        <w:t>أصحاب</w:t>
      </w:r>
      <w:r w:rsidRPr="00E2446D">
        <w:rPr>
          <w:rtl/>
        </w:rPr>
        <w:t xml:space="preserve"> </w:t>
      </w:r>
      <w:r w:rsidRPr="00E2446D">
        <w:rPr>
          <w:rFonts w:hint="cs"/>
          <w:rtl/>
        </w:rPr>
        <w:t>المصلحة</w:t>
      </w:r>
      <w:r w:rsidRPr="00E2446D">
        <w:rPr>
          <w:rtl/>
        </w:rPr>
        <w:t xml:space="preserve"> </w:t>
      </w:r>
      <w:r w:rsidRPr="00E2446D">
        <w:rPr>
          <w:rFonts w:hint="cs"/>
          <w:rtl/>
        </w:rPr>
        <w:t>محددة</w:t>
      </w:r>
      <w:r w:rsidRPr="00E2446D">
        <w:rPr>
          <w:rtl/>
        </w:rPr>
        <w:t xml:space="preserve"> </w:t>
      </w:r>
      <w:r w:rsidRPr="00E2446D">
        <w:rPr>
          <w:rFonts w:hint="cs"/>
          <w:rtl/>
        </w:rPr>
        <w:t>بدقة</w:t>
      </w:r>
      <w:r w:rsidRPr="00E2446D">
        <w:rPr>
          <w:rtl/>
        </w:rPr>
        <w:t xml:space="preserve"> </w:t>
      </w:r>
      <w:r w:rsidRPr="00E2446D">
        <w:rPr>
          <w:rFonts w:hint="cs"/>
          <w:rtl/>
        </w:rPr>
        <w:t>ومنصفة؟</w:t>
      </w:r>
    </w:p>
    <w:p w:rsidR="00FA2E1F" w:rsidRPr="00E2446D" w:rsidRDefault="00FA2E1F" w:rsidP="00FA2E1F">
      <w:pPr>
        <w:spacing w:line="204" w:lineRule="auto"/>
        <w:rPr>
          <w:rtl/>
        </w:rPr>
      </w:pPr>
      <w:r w:rsidRPr="00E2446D">
        <w:rPr>
          <w:rFonts w:hint="cs"/>
          <w:rtl/>
        </w:rPr>
        <w:t>باء-2</w:t>
      </w:r>
      <w:r w:rsidRPr="00E2446D">
        <w:rPr>
          <w:rFonts w:hint="cs"/>
          <w:rtl/>
        </w:rPr>
        <w:tab/>
      </w:r>
      <w:r w:rsidRPr="00E2446D">
        <w:rPr>
          <w:rtl/>
        </w:rPr>
        <w:t>هل كانت هناك مشاركة فعالة من جانب جميع الجهات الفاعلة المعنية في تحديد هذه الأدوار والمسؤوليات؟</w:t>
      </w:r>
    </w:p>
    <w:p w:rsidR="00FA2E1F" w:rsidRPr="00E2446D" w:rsidRDefault="00FA2E1F" w:rsidP="00FA2E1F">
      <w:pPr>
        <w:spacing w:line="204" w:lineRule="auto"/>
        <w:rPr>
          <w:rtl/>
        </w:rPr>
      </w:pPr>
      <w:r w:rsidRPr="00E2446D">
        <w:rPr>
          <w:rFonts w:hint="cs"/>
          <w:rtl/>
        </w:rPr>
        <w:t>باء-3</w:t>
      </w:r>
      <w:r w:rsidRPr="00E2446D">
        <w:rPr>
          <w:rFonts w:hint="cs"/>
          <w:rtl/>
        </w:rPr>
        <w:tab/>
      </w:r>
      <w:r w:rsidRPr="00E2446D">
        <w:rPr>
          <w:rtl/>
        </w:rPr>
        <w:t xml:space="preserve">هل كانت هناك موافقة </w:t>
      </w:r>
      <w:r w:rsidRPr="00E2446D">
        <w:rPr>
          <w:rFonts w:hint="cs"/>
          <w:rtl/>
        </w:rPr>
        <w:t xml:space="preserve">حرة </w:t>
      </w:r>
      <w:r w:rsidRPr="00E2446D">
        <w:rPr>
          <w:rtl/>
        </w:rPr>
        <w:t>مسبقة عن علم</w:t>
      </w:r>
      <w:r w:rsidRPr="00E2446D">
        <w:rPr>
          <w:rFonts w:hint="cs"/>
          <w:rtl/>
        </w:rPr>
        <w:t>، أو موافقة مسبقة عن علم</w:t>
      </w:r>
      <w:r w:rsidRPr="00E2446D">
        <w:rPr>
          <w:rtl/>
        </w:rPr>
        <w:t xml:space="preserve"> أو </w:t>
      </w:r>
      <w:r w:rsidRPr="00E2446D">
        <w:rPr>
          <w:rFonts w:hint="cs"/>
          <w:rtl/>
        </w:rPr>
        <w:t>قبول</w:t>
      </w:r>
      <w:r w:rsidRPr="00E2446D">
        <w:rPr>
          <w:rtl/>
        </w:rPr>
        <w:t xml:space="preserve"> ومشاركة من </w:t>
      </w:r>
      <w:r w:rsidRPr="00E2446D">
        <w:rPr>
          <w:rFonts w:hint="cs"/>
          <w:rtl/>
        </w:rPr>
        <w:t>الشعوب الأصلية و</w:t>
      </w:r>
      <w:r w:rsidRPr="00E2446D">
        <w:rPr>
          <w:rtl/>
        </w:rPr>
        <w:t>المجتمعات المحلية في تحديد هذه الأدوار والمسؤوليات؟</w:t>
      </w:r>
    </w:p>
    <w:p w:rsidR="00FA2E1F" w:rsidRPr="00E2446D" w:rsidRDefault="00FA2E1F" w:rsidP="00FA2E1F">
      <w:pPr>
        <w:spacing w:line="204" w:lineRule="auto"/>
        <w:rPr>
          <w:rtl/>
        </w:rPr>
      </w:pPr>
      <w:r w:rsidRPr="00E2446D">
        <w:rPr>
          <w:rFonts w:hint="cs"/>
          <w:rtl/>
        </w:rPr>
        <w:t>باء-4</w:t>
      </w:r>
      <w:r w:rsidRPr="00E2446D">
        <w:rPr>
          <w:rFonts w:hint="cs"/>
          <w:rtl/>
        </w:rPr>
        <w:tab/>
      </w:r>
      <w:r w:rsidRPr="00E2446D">
        <w:rPr>
          <w:rtl/>
        </w:rPr>
        <w:t xml:space="preserve">هل </w:t>
      </w:r>
      <w:r w:rsidRPr="00E2446D">
        <w:rPr>
          <w:rFonts w:hint="cs"/>
          <w:rtl/>
        </w:rPr>
        <w:t>راعت</w:t>
      </w:r>
      <w:r w:rsidRPr="00E2446D">
        <w:rPr>
          <w:rtl/>
        </w:rPr>
        <w:t xml:space="preserve"> الآلية اتفاقية التنوع البيولوجي ومقرراتها و</w:t>
      </w:r>
      <w:r w:rsidRPr="00E2446D">
        <w:rPr>
          <w:rFonts w:hint="cs"/>
          <w:rtl/>
        </w:rPr>
        <w:t>إرشادا</w:t>
      </w:r>
      <w:r w:rsidRPr="00E2446D">
        <w:rPr>
          <w:rtl/>
        </w:rPr>
        <w:t>تها ومبادئها ذات الصلة، و</w:t>
      </w:r>
      <w:r w:rsidRPr="00E2446D">
        <w:rPr>
          <w:rFonts w:hint="cs"/>
          <w:rtl/>
        </w:rPr>
        <w:t xml:space="preserve">حسب الاقتضاء، </w:t>
      </w:r>
      <w:r w:rsidRPr="00E2446D">
        <w:rPr>
          <w:rtl/>
        </w:rPr>
        <w:t>إعلان الأمم المتحدة بشأن حقوق الشعوب الأصلية؟</w:t>
      </w:r>
    </w:p>
    <w:p w:rsidR="00FA2E1F" w:rsidRPr="00E2446D" w:rsidRDefault="00FA2E1F" w:rsidP="00FA2E1F">
      <w:pPr>
        <w:spacing w:line="204" w:lineRule="auto"/>
        <w:rPr>
          <w:b/>
          <w:bCs/>
          <w:rtl/>
        </w:rPr>
      </w:pPr>
      <w:r w:rsidRPr="00E2446D">
        <w:rPr>
          <w:b/>
          <w:bCs/>
          <w:rtl/>
        </w:rPr>
        <w:t>المبدأ التوجيهي جيم: ينبغي أن تستند الضمانات في آليات تمويل التنوع البيولوجي إلى الظروف المحلية، وأن يتم تطويرها بما يتماشى مع العمليات الق</w:t>
      </w:r>
      <w:r w:rsidRPr="00E2446D">
        <w:rPr>
          <w:rFonts w:hint="cs"/>
          <w:b/>
          <w:bCs/>
          <w:rtl/>
        </w:rPr>
        <w:t>ُ</w:t>
      </w:r>
      <w:r w:rsidRPr="00E2446D">
        <w:rPr>
          <w:b/>
          <w:bCs/>
          <w:rtl/>
        </w:rPr>
        <w:t>طرية</w:t>
      </w:r>
      <w:r w:rsidRPr="00E2446D">
        <w:rPr>
          <w:rFonts w:hint="cs"/>
          <w:b/>
          <w:bCs/>
          <w:rtl/>
        </w:rPr>
        <w:t>/ العمليات المحددة</w:t>
      </w:r>
      <w:r w:rsidRPr="00E2446D">
        <w:rPr>
          <w:b/>
          <w:bCs/>
          <w:rtl/>
        </w:rPr>
        <w:t xml:space="preserve"> ذات </w:t>
      </w:r>
      <w:r w:rsidRPr="00E2446D">
        <w:rPr>
          <w:rFonts w:hint="cs"/>
          <w:b/>
          <w:bCs/>
          <w:rtl/>
        </w:rPr>
        <w:t>الصلة</w:t>
      </w:r>
      <w:r w:rsidRPr="00E2446D">
        <w:rPr>
          <w:b/>
          <w:bCs/>
          <w:rtl/>
        </w:rPr>
        <w:t xml:space="preserve">، وكذلك التشريعات والأولويات الوطنية، وأن تأخذ في الاعتبار الاتفاقات والإعلانات والإرشادات الدولية ذات الصلة التي وضعت في إطار اتفاقية التنوع البيولوجي، وحسب </w:t>
      </w:r>
      <w:r w:rsidRPr="00E2446D">
        <w:rPr>
          <w:b/>
          <w:bCs/>
          <w:rtl/>
        </w:rPr>
        <w:lastRenderedPageBreak/>
        <w:t xml:space="preserve">الاقتضاء، اتفاقية الأمم المتحدة الإطارية </w:t>
      </w:r>
      <w:r w:rsidRPr="00E2446D">
        <w:rPr>
          <w:rFonts w:hint="cs"/>
          <w:b/>
          <w:bCs/>
          <w:rtl/>
        </w:rPr>
        <w:t xml:space="preserve">بشأن </w:t>
      </w:r>
      <w:r w:rsidRPr="00E2446D">
        <w:rPr>
          <w:b/>
          <w:bCs/>
          <w:rtl/>
        </w:rPr>
        <w:t>تغير المناخ، والمعاهدات الدولية لحقوق الإنسان، وإعلان الأمم المتحدة بشأن حقوق الشعوب الأصلية، وغيرها</w:t>
      </w:r>
      <w:r w:rsidRPr="00E2446D">
        <w:rPr>
          <w:rFonts w:hint="cs"/>
          <w:b/>
          <w:bCs/>
          <w:rtl/>
        </w:rPr>
        <w:t>.</w:t>
      </w:r>
    </w:p>
    <w:p w:rsidR="00FA2E1F" w:rsidRPr="00E2446D" w:rsidRDefault="00FA2E1F" w:rsidP="00FA2E1F">
      <w:pPr>
        <w:spacing w:line="204" w:lineRule="auto"/>
        <w:rPr>
          <w:rtl/>
        </w:rPr>
      </w:pPr>
      <w:r w:rsidRPr="00E2446D">
        <w:rPr>
          <w:rFonts w:hint="cs"/>
          <w:rtl/>
        </w:rPr>
        <w:t>جيم-1</w:t>
      </w:r>
      <w:r w:rsidRPr="00E2446D">
        <w:rPr>
          <w:rFonts w:hint="cs"/>
          <w:rtl/>
        </w:rPr>
        <w:tab/>
      </w:r>
      <w:r w:rsidRPr="00E2446D">
        <w:rPr>
          <w:rtl/>
        </w:rPr>
        <w:t>هل ترتكز ضمانات آلية التمويل على الظروف المحلية</w:t>
      </w:r>
      <w:r w:rsidRPr="00E2446D">
        <w:rPr>
          <w:rFonts w:hint="cs"/>
          <w:rtl/>
        </w:rPr>
        <w:t>؟</w:t>
      </w:r>
    </w:p>
    <w:p w:rsidR="00FA2E1F" w:rsidRPr="00E2446D" w:rsidRDefault="00FA2E1F" w:rsidP="00FA2E1F">
      <w:pPr>
        <w:spacing w:line="204" w:lineRule="auto"/>
        <w:rPr>
          <w:rtl/>
        </w:rPr>
      </w:pPr>
      <w:r w:rsidRPr="00E2446D">
        <w:rPr>
          <w:rFonts w:hint="cs"/>
          <w:rtl/>
        </w:rPr>
        <w:t>جيم-2</w:t>
      </w:r>
      <w:r w:rsidRPr="00E2446D">
        <w:rPr>
          <w:rFonts w:hint="cs"/>
          <w:rtl/>
        </w:rPr>
        <w:tab/>
      </w:r>
      <w:r w:rsidRPr="00E2446D">
        <w:rPr>
          <w:rtl/>
        </w:rPr>
        <w:t xml:space="preserve">هل تتسق الضمانات مع العمليات </w:t>
      </w:r>
      <w:r w:rsidRPr="00E2446D">
        <w:rPr>
          <w:rFonts w:hint="cs"/>
          <w:rtl/>
        </w:rPr>
        <w:t xml:space="preserve">القطرية/العمليات المحددة </w:t>
      </w:r>
      <w:r w:rsidRPr="00E2446D">
        <w:rPr>
          <w:rtl/>
        </w:rPr>
        <w:t>ذات الصلة، وكذلك التشريعات والأولويات الوطنية؟</w:t>
      </w:r>
    </w:p>
    <w:p w:rsidR="00FA2E1F" w:rsidRPr="00E2446D" w:rsidRDefault="00FA2E1F" w:rsidP="00FA2E1F">
      <w:pPr>
        <w:spacing w:line="204" w:lineRule="auto"/>
        <w:rPr>
          <w:rtl/>
        </w:rPr>
      </w:pPr>
      <w:r w:rsidRPr="00E2446D">
        <w:rPr>
          <w:rFonts w:hint="cs"/>
          <w:rtl/>
        </w:rPr>
        <w:t>جيم-3</w:t>
      </w:r>
      <w:r w:rsidRPr="00E2446D">
        <w:rPr>
          <w:rFonts w:hint="cs"/>
          <w:rtl/>
        </w:rPr>
        <w:tab/>
      </w:r>
      <w:r w:rsidRPr="00E2446D">
        <w:rPr>
          <w:rtl/>
        </w:rPr>
        <w:t xml:space="preserve">هل </w:t>
      </w:r>
      <w:r w:rsidRPr="00E2446D">
        <w:rPr>
          <w:rFonts w:hint="cs"/>
          <w:rtl/>
        </w:rPr>
        <w:t>تراعي الضمانات</w:t>
      </w:r>
      <w:r w:rsidRPr="00E2446D">
        <w:rPr>
          <w:rtl/>
        </w:rPr>
        <w:t xml:space="preserve"> الصكوك المذكورة في النقطة باء</w:t>
      </w:r>
      <w:r w:rsidRPr="00E2446D">
        <w:rPr>
          <w:rFonts w:hint="cs"/>
          <w:rtl/>
        </w:rPr>
        <w:t>-</w:t>
      </w:r>
      <w:r w:rsidRPr="00E2446D">
        <w:rPr>
          <w:rtl/>
        </w:rPr>
        <w:t>4</w:t>
      </w:r>
      <w:r w:rsidRPr="00E2446D">
        <w:rPr>
          <w:rFonts w:hint="cs"/>
          <w:rtl/>
        </w:rPr>
        <w:t xml:space="preserve"> أعلاه</w:t>
      </w:r>
      <w:r w:rsidRPr="00E2446D">
        <w:rPr>
          <w:rtl/>
        </w:rPr>
        <w:t xml:space="preserve"> واتفاقية الأمم المتحدة الإطارية </w:t>
      </w:r>
      <w:r w:rsidRPr="00E2446D">
        <w:rPr>
          <w:rFonts w:hint="cs"/>
          <w:rtl/>
        </w:rPr>
        <w:t xml:space="preserve">بشأن </w:t>
      </w:r>
      <w:r w:rsidRPr="00E2446D">
        <w:rPr>
          <w:rtl/>
        </w:rPr>
        <w:t xml:space="preserve">تغير المناخ، </w:t>
      </w:r>
      <w:r>
        <w:rPr>
          <w:rFonts w:hint="cs"/>
          <w:rtl/>
        </w:rPr>
        <w:t xml:space="preserve">واتفاقية القضاء على جميع أشكال التمييز ضد المرأة، </w:t>
      </w:r>
      <w:r w:rsidRPr="00E2446D">
        <w:rPr>
          <w:rtl/>
        </w:rPr>
        <w:t>والمعاهدات الدولية لحقوق الإنسان</w:t>
      </w:r>
      <w:r>
        <w:rPr>
          <w:rFonts w:hint="cs"/>
          <w:rtl/>
        </w:rPr>
        <w:t xml:space="preserve">، </w:t>
      </w:r>
      <w:r w:rsidRPr="00E2446D">
        <w:rPr>
          <w:rtl/>
        </w:rPr>
        <w:t>وغيرها، حسب الاقتضاء؟</w:t>
      </w:r>
    </w:p>
    <w:p w:rsidR="00FA2E1F" w:rsidRPr="00E2446D" w:rsidRDefault="00FA2E1F" w:rsidP="00FA2E1F">
      <w:pPr>
        <w:spacing w:line="204" w:lineRule="auto"/>
        <w:rPr>
          <w:b/>
          <w:bCs/>
          <w:rtl/>
        </w:rPr>
      </w:pPr>
      <w:r w:rsidRPr="00E2446D">
        <w:rPr>
          <w:b/>
          <w:bCs/>
          <w:rtl/>
        </w:rPr>
        <w:t>المبدأ التوجيهي دال: تتسم الأطر المؤسسية المناسبة والفعالة بأهمية قصوى بالنسبة للضمانات التي ينبغي أن تكون جاهزة للعمل، وينبغي وضعها موضع التنفيذ، بما في ذلك آليات الإنفاذ والتقييم التي تكفل الشفافية والمساءلة، فضلا عن الامتثال للضمانات ذات الصلة</w:t>
      </w:r>
      <w:r w:rsidRPr="00E2446D">
        <w:rPr>
          <w:rFonts w:hint="cs"/>
          <w:b/>
          <w:bCs/>
          <w:rtl/>
        </w:rPr>
        <w:t>.</w:t>
      </w:r>
    </w:p>
    <w:p w:rsidR="00FA2E1F" w:rsidRPr="00E2446D" w:rsidRDefault="00FA2E1F" w:rsidP="00FA2E1F">
      <w:pPr>
        <w:spacing w:line="204" w:lineRule="auto"/>
        <w:rPr>
          <w:rtl/>
        </w:rPr>
      </w:pPr>
      <w:r w:rsidRPr="00E2446D">
        <w:rPr>
          <w:rFonts w:hint="cs"/>
          <w:rtl/>
        </w:rPr>
        <w:t>دال-1</w:t>
      </w:r>
      <w:r w:rsidRPr="00E2446D">
        <w:rPr>
          <w:rFonts w:hint="cs"/>
          <w:rtl/>
        </w:rPr>
        <w:tab/>
      </w:r>
      <w:r w:rsidRPr="00E2446D">
        <w:rPr>
          <w:rtl/>
        </w:rPr>
        <w:t>هل توجد أطر مؤسسية مناسبة وفعالة لضمان تطبيق الضمانات؟</w:t>
      </w:r>
    </w:p>
    <w:p w:rsidR="00FA2E1F" w:rsidRPr="00E2446D" w:rsidRDefault="00FA2E1F" w:rsidP="00FA2E1F">
      <w:pPr>
        <w:spacing w:line="204" w:lineRule="auto"/>
        <w:rPr>
          <w:rtl/>
        </w:rPr>
      </w:pPr>
      <w:r w:rsidRPr="00E2446D">
        <w:rPr>
          <w:rFonts w:hint="cs"/>
          <w:rtl/>
        </w:rPr>
        <w:t>دال-2</w:t>
      </w:r>
      <w:r w:rsidRPr="00E2446D">
        <w:rPr>
          <w:rFonts w:hint="cs"/>
          <w:rtl/>
        </w:rPr>
        <w:tab/>
      </w:r>
      <w:r w:rsidRPr="00E2446D">
        <w:rPr>
          <w:rtl/>
        </w:rPr>
        <w:t>هل يشمل نظام الضمانات آليات ال</w:t>
      </w:r>
      <w:r w:rsidRPr="00E2446D">
        <w:rPr>
          <w:rFonts w:hint="cs"/>
          <w:rtl/>
        </w:rPr>
        <w:t>إنفاذ</w:t>
      </w:r>
      <w:r w:rsidRPr="00E2446D">
        <w:rPr>
          <w:rtl/>
        </w:rPr>
        <w:t xml:space="preserve"> والتقييم</w:t>
      </w:r>
      <w:r w:rsidRPr="00E2446D">
        <w:rPr>
          <w:rFonts w:hint="cs"/>
          <w:rtl/>
        </w:rPr>
        <w:t>؟</w:t>
      </w:r>
    </w:p>
    <w:p w:rsidR="00FA2E1F" w:rsidRPr="00E2446D" w:rsidRDefault="00FA2E1F" w:rsidP="00FA2E1F">
      <w:pPr>
        <w:spacing w:line="204" w:lineRule="auto"/>
        <w:rPr>
          <w:rtl/>
        </w:rPr>
      </w:pPr>
      <w:r w:rsidRPr="00E2446D">
        <w:rPr>
          <w:rFonts w:hint="cs"/>
          <w:rtl/>
        </w:rPr>
        <w:t>دال-3</w:t>
      </w:r>
      <w:r w:rsidRPr="00E2446D">
        <w:rPr>
          <w:rFonts w:hint="cs"/>
          <w:rtl/>
        </w:rPr>
        <w:tab/>
      </w:r>
      <w:r w:rsidRPr="00E2446D">
        <w:rPr>
          <w:rtl/>
        </w:rPr>
        <w:t xml:space="preserve">هل </w:t>
      </w:r>
      <w:r w:rsidRPr="00E2446D">
        <w:rPr>
          <w:rFonts w:hint="cs"/>
          <w:rtl/>
        </w:rPr>
        <w:t>تم إدراج</w:t>
      </w:r>
      <w:r w:rsidRPr="00E2446D">
        <w:rPr>
          <w:rtl/>
        </w:rPr>
        <w:t xml:space="preserve"> متطلبات الشفافية والمساءلة</w:t>
      </w:r>
      <w:r w:rsidRPr="00E2446D">
        <w:rPr>
          <w:rFonts w:hint="cs"/>
          <w:rtl/>
        </w:rPr>
        <w:t>؟</w:t>
      </w:r>
    </w:p>
    <w:p w:rsidR="00FA2E1F" w:rsidRPr="00E2446D" w:rsidRDefault="00FA2E1F" w:rsidP="00FA2E1F">
      <w:pPr>
        <w:spacing w:line="204" w:lineRule="auto"/>
        <w:rPr>
          <w:rtl/>
        </w:rPr>
      </w:pPr>
      <w:r w:rsidRPr="00E2446D">
        <w:rPr>
          <w:rFonts w:hint="cs"/>
          <w:rtl/>
        </w:rPr>
        <w:t>دال-4</w:t>
      </w:r>
      <w:r w:rsidRPr="00E2446D">
        <w:rPr>
          <w:rFonts w:hint="cs"/>
          <w:rtl/>
        </w:rPr>
        <w:tab/>
      </w:r>
      <w:r w:rsidRPr="00E2446D">
        <w:rPr>
          <w:rtl/>
        </w:rPr>
        <w:t xml:space="preserve">هل جميع أصحاب المصلحة </w:t>
      </w:r>
      <w:r w:rsidRPr="00E2446D">
        <w:rPr>
          <w:rFonts w:hint="cs"/>
          <w:rtl/>
        </w:rPr>
        <w:t>المشاركين يلتزمون ب</w:t>
      </w:r>
      <w:r w:rsidRPr="00E2446D">
        <w:rPr>
          <w:rtl/>
        </w:rPr>
        <w:t>الضمانات</w:t>
      </w:r>
      <w:r w:rsidRPr="00E2446D">
        <w:rPr>
          <w:rFonts w:hint="cs"/>
          <w:rtl/>
        </w:rPr>
        <w:t xml:space="preserve"> ذات الصلة</w:t>
      </w:r>
      <w:r w:rsidRPr="00E2446D">
        <w:rPr>
          <w:rtl/>
        </w:rPr>
        <w:t>؟</w:t>
      </w:r>
    </w:p>
    <w:p w:rsidR="00FA2E1F" w:rsidRPr="00E2446D" w:rsidRDefault="00FA2E1F" w:rsidP="00FA2E1F">
      <w:pPr>
        <w:spacing w:line="204" w:lineRule="auto"/>
        <w:rPr>
          <w:b/>
          <w:bCs/>
          <w:rtl/>
        </w:rPr>
      </w:pPr>
      <w:r w:rsidRPr="00E2446D">
        <w:rPr>
          <w:b/>
          <w:bCs/>
          <w:rtl/>
        </w:rPr>
        <w:t xml:space="preserve">وستشمل الأسئلة الإضافية التي </w:t>
      </w:r>
      <w:r w:rsidRPr="00E2446D">
        <w:rPr>
          <w:rFonts w:hint="cs"/>
          <w:b/>
          <w:bCs/>
          <w:rtl/>
        </w:rPr>
        <w:t xml:space="preserve">وضعت بناء على </w:t>
      </w:r>
      <w:r w:rsidRPr="00E2446D">
        <w:rPr>
          <w:b/>
          <w:bCs/>
          <w:rtl/>
        </w:rPr>
        <w:t>المقررات وال</w:t>
      </w:r>
      <w:r w:rsidRPr="00E2446D">
        <w:rPr>
          <w:rFonts w:hint="cs"/>
          <w:b/>
          <w:bCs/>
          <w:rtl/>
        </w:rPr>
        <w:t>إرشاد</w:t>
      </w:r>
      <w:r w:rsidRPr="00E2446D">
        <w:rPr>
          <w:b/>
          <w:bCs/>
          <w:rtl/>
        </w:rPr>
        <w:t>ات والمبادئ ذات الصلة بموجب اتفاقية التنوع البيولوجي ما يلي:</w:t>
      </w:r>
    </w:p>
    <w:p w:rsidR="00FA2E1F" w:rsidRPr="00E2446D" w:rsidRDefault="00FA2E1F" w:rsidP="00FA2E1F">
      <w:pPr>
        <w:spacing w:line="204" w:lineRule="auto"/>
        <w:ind w:left="720" w:hanging="720"/>
        <w:rPr>
          <w:rtl/>
        </w:rPr>
      </w:pPr>
      <w:r>
        <w:rPr>
          <w:rFonts w:hint="cs"/>
          <w:rtl/>
        </w:rPr>
        <w:t>هاء-</w:t>
      </w:r>
      <w:r w:rsidRPr="00E2446D">
        <w:rPr>
          <w:rFonts w:hint="cs"/>
          <w:rtl/>
        </w:rPr>
        <w:tab/>
      </w:r>
      <w:r>
        <w:rPr>
          <w:rFonts w:hint="cs"/>
          <w:rtl/>
        </w:rPr>
        <w:t>هل</w:t>
      </w:r>
      <w:r w:rsidRPr="00E2446D">
        <w:rPr>
          <w:rtl/>
        </w:rPr>
        <w:t xml:space="preserve"> </w:t>
      </w:r>
      <w:r w:rsidRPr="00E2446D">
        <w:rPr>
          <w:rFonts w:hint="cs"/>
          <w:rtl/>
        </w:rPr>
        <w:t>توجد</w:t>
      </w:r>
      <w:r w:rsidRPr="00E2446D">
        <w:rPr>
          <w:rtl/>
        </w:rPr>
        <w:t xml:space="preserve"> </w:t>
      </w:r>
      <w:r w:rsidRPr="00E2446D">
        <w:rPr>
          <w:rFonts w:hint="cs"/>
          <w:rtl/>
        </w:rPr>
        <w:t>أحكام</w:t>
      </w:r>
      <w:r w:rsidRPr="00E2446D">
        <w:rPr>
          <w:rtl/>
        </w:rPr>
        <w:t xml:space="preserve"> </w:t>
      </w:r>
      <w:r w:rsidRPr="00E2446D">
        <w:rPr>
          <w:rFonts w:hint="cs"/>
          <w:rtl/>
        </w:rPr>
        <w:t>للتشجيع على الإنصاف،</w:t>
      </w:r>
      <w:r w:rsidRPr="00E2446D">
        <w:rPr>
          <w:rtl/>
        </w:rPr>
        <w:t xml:space="preserve"> </w:t>
      </w:r>
      <w:r w:rsidRPr="00E2446D">
        <w:rPr>
          <w:rFonts w:hint="cs"/>
          <w:rtl/>
        </w:rPr>
        <w:t>أو</w:t>
      </w:r>
      <w:r w:rsidRPr="00E2446D">
        <w:rPr>
          <w:rtl/>
        </w:rPr>
        <w:t xml:space="preserve"> </w:t>
      </w:r>
      <w:r w:rsidRPr="00E2446D">
        <w:rPr>
          <w:rFonts w:hint="cs"/>
          <w:rtl/>
        </w:rPr>
        <w:t>الحد</w:t>
      </w:r>
      <w:r w:rsidRPr="00E2446D">
        <w:rPr>
          <w:rtl/>
        </w:rPr>
        <w:t xml:space="preserve"> </w:t>
      </w:r>
      <w:r w:rsidRPr="00E2446D">
        <w:rPr>
          <w:rFonts w:hint="cs"/>
          <w:rtl/>
        </w:rPr>
        <w:t>من</w:t>
      </w:r>
      <w:r w:rsidRPr="00E2446D">
        <w:rPr>
          <w:rtl/>
        </w:rPr>
        <w:t xml:space="preserve"> </w:t>
      </w:r>
      <w:r w:rsidRPr="00E2446D">
        <w:rPr>
          <w:rFonts w:hint="cs"/>
          <w:rtl/>
        </w:rPr>
        <w:t>مخاطر</w:t>
      </w:r>
      <w:r w:rsidRPr="00E2446D">
        <w:rPr>
          <w:rtl/>
        </w:rPr>
        <w:t xml:space="preserve"> </w:t>
      </w:r>
      <w:r w:rsidRPr="00E2446D">
        <w:rPr>
          <w:rFonts w:hint="cs"/>
          <w:rtl/>
        </w:rPr>
        <w:t>عدم</w:t>
      </w:r>
      <w:r w:rsidRPr="00E2446D">
        <w:rPr>
          <w:rtl/>
        </w:rPr>
        <w:t xml:space="preserve"> </w:t>
      </w:r>
      <w:r w:rsidRPr="00E2446D">
        <w:rPr>
          <w:rFonts w:hint="cs"/>
          <w:rtl/>
        </w:rPr>
        <w:t>المساواة</w:t>
      </w:r>
      <w:r w:rsidRPr="00E2446D">
        <w:rPr>
          <w:rtl/>
        </w:rPr>
        <w:t xml:space="preserve"> </w:t>
      </w:r>
      <w:r w:rsidRPr="00E2446D">
        <w:rPr>
          <w:rFonts w:hint="cs"/>
          <w:rtl/>
        </w:rPr>
        <w:t>في</w:t>
      </w:r>
      <w:r w:rsidRPr="00E2446D">
        <w:rPr>
          <w:rtl/>
        </w:rPr>
        <w:t xml:space="preserve"> </w:t>
      </w:r>
      <w:r w:rsidRPr="00E2446D">
        <w:rPr>
          <w:rFonts w:hint="cs"/>
          <w:rtl/>
        </w:rPr>
        <w:t>تقاسم</w:t>
      </w:r>
      <w:r w:rsidRPr="00E2446D">
        <w:rPr>
          <w:rtl/>
        </w:rPr>
        <w:t xml:space="preserve"> </w:t>
      </w:r>
      <w:r w:rsidRPr="00E2446D">
        <w:rPr>
          <w:rFonts w:hint="cs"/>
          <w:rtl/>
        </w:rPr>
        <w:t>المنافع؟</w:t>
      </w:r>
    </w:p>
    <w:p w:rsidR="00FA2E1F" w:rsidRPr="00E2446D" w:rsidRDefault="00FA2E1F" w:rsidP="00FA2E1F">
      <w:pPr>
        <w:spacing w:line="204" w:lineRule="auto"/>
        <w:ind w:left="720" w:hanging="720"/>
        <w:rPr>
          <w:rtl/>
        </w:rPr>
      </w:pPr>
      <w:r>
        <w:rPr>
          <w:rFonts w:hint="cs"/>
          <w:rtl/>
        </w:rPr>
        <w:t>واو-</w:t>
      </w:r>
      <w:r w:rsidRPr="00E2446D">
        <w:rPr>
          <w:rFonts w:hint="cs"/>
          <w:rtl/>
        </w:rPr>
        <w:tab/>
      </w:r>
      <w:r>
        <w:rPr>
          <w:rFonts w:hint="cs"/>
          <w:rtl/>
        </w:rPr>
        <w:t>هل</w:t>
      </w:r>
      <w:r w:rsidRPr="00E2446D">
        <w:rPr>
          <w:rtl/>
        </w:rPr>
        <w:t xml:space="preserve"> </w:t>
      </w:r>
      <w:r w:rsidRPr="00E2446D">
        <w:rPr>
          <w:rFonts w:hint="cs"/>
          <w:rtl/>
        </w:rPr>
        <w:t>تم إدراج</w:t>
      </w:r>
      <w:r w:rsidRPr="00E2446D">
        <w:rPr>
          <w:rtl/>
        </w:rPr>
        <w:t xml:space="preserve"> إجراءات تقييم الأثر الثقافي في أدوات ال</w:t>
      </w:r>
      <w:r w:rsidRPr="00E2446D">
        <w:rPr>
          <w:rFonts w:hint="cs"/>
          <w:rtl/>
        </w:rPr>
        <w:t>ضمانات</w:t>
      </w:r>
      <w:r w:rsidRPr="00E2446D">
        <w:rPr>
          <w:rtl/>
        </w:rPr>
        <w:t>؟ وهل تشمل تحديدا احترام القيم الروحية للشعوب الأصلية والمجتمعات المحلية؟</w:t>
      </w:r>
    </w:p>
    <w:p w:rsidR="00FA2E1F" w:rsidRPr="00E2446D" w:rsidRDefault="00FA2E1F" w:rsidP="00FA2E1F">
      <w:pPr>
        <w:spacing w:line="204" w:lineRule="auto"/>
        <w:ind w:left="720" w:hanging="720"/>
        <w:rPr>
          <w:rtl/>
        </w:rPr>
      </w:pPr>
      <w:r>
        <w:rPr>
          <w:rFonts w:hint="cs"/>
          <w:rtl/>
        </w:rPr>
        <w:t>زاي-</w:t>
      </w:r>
      <w:r w:rsidRPr="00E2446D">
        <w:rPr>
          <w:rFonts w:hint="cs"/>
          <w:rtl/>
        </w:rPr>
        <w:tab/>
      </w:r>
      <w:r>
        <w:rPr>
          <w:rFonts w:hint="cs"/>
          <w:rtl/>
        </w:rPr>
        <w:t>هل</w:t>
      </w:r>
      <w:r w:rsidRPr="00E2446D">
        <w:rPr>
          <w:rtl/>
        </w:rPr>
        <w:t xml:space="preserve"> </w:t>
      </w:r>
      <w:r w:rsidRPr="00E2446D">
        <w:rPr>
          <w:rFonts w:hint="cs"/>
          <w:rtl/>
        </w:rPr>
        <w:t>تم مراعاة</w:t>
      </w:r>
      <w:r w:rsidRPr="00E2446D">
        <w:rPr>
          <w:rtl/>
        </w:rPr>
        <w:t xml:space="preserve"> الاستخدام ال</w:t>
      </w:r>
      <w:r w:rsidRPr="00E2446D">
        <w:rPr>
          <w:rFonts w:hint="cs"/>
          <w:rtl/>
        </w:rPr>
        <w:t>مألوف</w:t>
      </w:r>
      <w:r w:rsidRPr="00E2446D">
        <w:rPr>
          <w:rtl/>
        </w:rPr>
        <w:t xml:space="preserve"> في تجنب المخاطر</w:t>
      </w:r>
      <w:r w:rsidRPr="00E2446D">
        <w:rPr>
          <w:rFonts w:hint="cs"/>
          <w:rtl/>
        </w:rPr>
        <w:t>؟</w:t>
      </w:r>
    </w:p>
    <w:p w:rsidR="00FA2E1F" w:rsidRPr="003A5205" w:rsidRDefault="00FA2E1F" w:rsidP="00FA2E1F">
      <w:pPr>
        <w:spacing w:line="204" w:lineRule="auto"/>
        <w:ind w:left="720" w:hanging="720"/>
        <w:rPr>
          <w:rtl/>
          <w:lang w:val="en-GB"/>
        </w:rPr>
      </w:pPr>
      <w:r w:rsidRPr="00E2446D">
        <w:rPr>
          <w:rFonts w:hint="cs"/>
          <w:rtl/>
        </w:rPr>
        <w:t>ح</w:t>
      </w:r>
      <w:r>
        <w:rPr>
          <w:rFonts w:hint="cs"/>
          <w:rtl/>
        </w:rPr>
        <w:t>اء-</w:t>
      </w:r>
      <w:r w:rsidRPr="00E2446D">
        <w:rPr>
          <w:rFonts w:hint="cs"/>
          <w:rtl/>
        </w:rPr>
        <w:tab/>
      </w:r>
      <w:r>
        <w:rPr>
          <w:rFonts w:hint="cs"/>
          <w:rtl/>
        </w:rPr>
        <w:t>هل</w:t>
      </w:r>
      <w:r w:rsidRPr="00E2446D">
        <w:rPr>
          <w:rtl/>
        </w:rPr>
        <w:t xml:space="preserve"> توجد </w:t>
      </w:r>
      <w:r w:rsidRPr="00E2446D">
        <w:rPr>
          <w:rFonts w:hint="cs"/>
          <w:rtl/>
        </w:rPr>
        <w:t xml:space="preserve">الضمانات ذات الصلة </w:t>
      </w:r>
      <w:r w:rsidRPr="00E2446D">
        <w:rPr>
          <w:rtl/>
        </w:rPr>
        <w:t>بالمعارف التقليدية للشعوب الأصلية والمجتمعات المحلية، ولا سيما فيما يتعلق بحماية حقوقها المعرفية؟</w:t>
      </w:r>
      <w:r>
        <w:rPr>
          <w:rFonts w:hint="cs"/>
          <w:rtl/>
        </w:rPr>
        <w:t xml:space="preserve"> </w:t>
      </w:r>
    </w:p>
    <w:p w:rsidR="001D61EA" w:rsidRDefault="001D61EA" w:rsidP="0044570B">
      <w:pPr>
        <w:spacing w:after="0" w:line="240" w:lineRule="auto"/>
        <w:jc w:val="left"/>
        <w:rPr>
          <w:sz w:val="24"/>
          <w:rtl/>
        </w:rPr>
      </w:pPr>
    </w:p>
    <w:p w:rsidR="00FA2E1F" w:rsidRPr="00AB0F3E" w:rsidRDefault="0044570B" w:rsidP="00E85EEB">
      <w:pPr>
        <w:pStyle w:val="Heading1"/>
        <w:rPr>
          <w:bCs w:val="0"/>
          <w:kern w:val="22"/>
          <w:szCs w:val="24"/>
          <w:rtl/>
        </w:rPr>
      </w:pPr>
      <w:r>
        <w:rPr>
          <w:b w:val="0"/>
          <w:bCs w:val="0"/>
          <w:rtl/>
        </w:rPr>
        <w:br w:type="page"/>
      </w:r>
      <w:bookmarkStart w:id="147" w:name="_Toc6071619"/>
      <w:bookmarkStart w:id="148" w:name="_Toc6139977"/>
      <w:r w:rsidR="00FA2E1F" w:rsidRPr="00AB0F3E">
        <w:rPr>
          <w:rFonts w:hint="cs"/>
          <w:szCs w:val="24"/>
          <w:rtl/>
        </w:rPr>
        <w:lastRenderedPageBreak/>
        <w:t>المقرر 14/16</w:t>
      </w:r>
      <w:r w:rsidR="00FA2E1F" w:rsidRPr="00AB0F3E">
        <w:rPr>
          <w:rFonts w:hint="cs"/>
          <w:szCs w:val="24"/>
          <w:rtl/>
        </w:rPr>
        <w:tab/>
      </w:r>
      <w:r w:rsidR="00FA2E1F" w:rsidRPr="00AB0F3E">
        <w:rPr>
          <w:szCs w:val="24"/>
          <w:rtl/>
        </w:rPr>
        <w:t>الإرشادات المنهجية المتعلقة بمساهمات الشعوب الأصلية والمجتمعات الم</w:t>
      </w:r>
      <w:r w:rsidR="00FA2E1F" w:rsidRPr="00AB0F3E">
        <w:rPr>
          <w:kern w:val="22"/>
          <w:szCs w:val="24"/>
          <w:rtl/>
        </w:rPr>
        <w:t>حلية</w:t>
      </w:r>
      <w:bookmarkEnd w:id="147"/>
      <w:bookmarkEnd w:id="148"/>
    </w:p>
    <w:p w:rsidR="00FA2E1F" w:rsidRPr="004E2AAE" w:rsidRDefault="00FA2E1F" w:rsidP="00FA2E1F">
      <w:pPr>
        <w:kinsoku w:val="0"/>
        <w:overflowPunct w:val="0"/>
        <w:autoSpaceDE w:val="0"/>
        <w:autoSpaceDN w:val="0"/>
        <w:adjustRightInd w:val="0"/>
        <w:snapToGrid w:val="0"/>
        <w:ind w:firstLine="720"/>
        <w:rPr>
          <w:i/>
          <w:iCs/>
          <w:snapToGrid w:val="0"/>
          <w:kern w:val="22"/>
          <w:szCs w:val="22"/>
        </w:rPr>
      </w:pPr>
      <w:r w:rsidRPr="00017B71">
        <w:rPr>
          <w:rFonts w:ascii="Simplified Arabic" w:hAnsi="Simplified Arabic"/>
          <w:i/>
          <w:iCs/>
          <w:sz w:val="24"/>
          <w:rtl/>
        </w:rPr>
        <w:t>إن مؤتمر الأطراف،</w:t>
      </w:r>
    </w:p>
    <w:p w:rsidR="00FA2E1F" w:rsidRPr="00602837" w:rsidRDefault="00FA2E1F" w:rsidP="00FA2E1F">
      <w:pPr>
        <w:kinsoku w:val="0"/>
        <w:overflowPunct w:val="0"/>
        <w:autoSpaceDE w:val="0"/>
        <w:autoSpaceDN w:val="0"/>
        <w:adjustRightInd w:val="0"/>
        <w:snapToGrid w:val="0"/>
        <w:ind w:firstLine="720"/>
        <w:rPr>
          <w:rFonts w:eastAsia="Batang"/>
          <w:snapToGrid w:val="0"/>
          <w:kern w:val="22"/>
          <w:szCs w:val="22"/>
        </w:rPr>
      </w:pPr>
      <w:r w:rsidRPr="00017B71">
        <w:rPr>
          <w:rFonts w:ascii="Simplified Arabic" w:hAnsi="Simplified Arabic"/>
          <w:i/>
          <w:iCs/>
          <w:sz w:val="24"/>
          <w:rtl/>
        </w:rPr>
        <w:t>إذ يشير</w:t>
      </w:r>
      <w:r w:rsidRPr="00017B71">
        <w:rPr>
          <w:rFonts w:ascii="Simplified Arabic" w:hAnsi="Simplified Arabic"/>
          <w:sz w:val="24"/>
          <w:rtl/>
        </w:rPr>
        <w:t xml:space="preserve"> إلى المقرر 13/20، الذي طلب فيه مؤتمر الأطراف إلى الأمين التنفيذي أن يضع عناصر للإرشادات المنهجية بشأن مساهمات الشعوب الأصلية والمجتمعات المحلية،</w:t>
      </w:r>
    </w:p>
    <w:p w:rsidR="00FA2E1F" w:rsidRPr="00602837" w:rsidRDefault="00FA2E1F" w:rsidP="00FA2E1F">
      <w:pPr>
        <w:kinsoku w:val="0"/>
        <w:overflowPunct w:val="0"/>
        <w:autoSpaceDE w:val="0"/>
        <w:autoSpaceDN w:val="0"/>
        <w:adjustRightInd w:val="0"/>
        <w:snapToGrid w:val="0"/>
        <w:ind w:firstLine="720"/>
        <w:rPr>
          <w:rFonts w:eastAsia="MS Mincho"/>
          <w:snapToGrid w:val="0"/>
          <w:kern w:val="22"/>
          <w:szCs w:val="22"/>
        </w:rPr>
      </w:pPr>
      <w:r w:rsidRPr="00017B71">
        <w:rPr>
          <w:rFonts w:ascii="Simplified Arabic" w:hAnsi="Simplified Arabic"/>
          <w:i/>
          <w:iCs/>
          <w:sz w:val="24"/>
          <w:rtl/>
        </w:rPr>
        <w:t>وإذ يسلم</w:t>
      </w:r>
      <w:r w:rsidRPr="00017B71">
        <w:rPr>
          <w:rFonts w:ascii="Simplified Arabic" w:hAnsi="Simplified Arabic"/>
          <w:sz w:val="24"/>
          <w:rtl/>
        </w:rPr>
        <w:t xml:space="preserve"> بأهمية العمل الجماعي الكلي</w:t>
      </w:r>
      <w:r>
        <w:rPr>
          <w:rFonts w:ascii="Simplified Arabic" w:hAnsi="Simplified Arabic" w:hint="cs"/>
          <w:sz w:val="24"/>
          <w:rtl/>
        </w:rPr>
        <w:t xml:space="preserve"> </w:t>
      </w:r>
      <w:r w:rsidRPr="00017B71">
        <w:rPr>
          <w:rFonts w:ascii="Simplified Arabic" w:hAnsi="Simplified Arabic"/>
          <w:sz w:val="24"/>
          <w:rtl/>
        </w:rPr>
        <w:t>للشعوب الأصلية والمجتمعات المحلية في تحقيق أهداف الخطة الاستراتيجية للتنوع البيولوجي 2011-2020</w:t>
      </w:r>
      <w:r w:rsidRPr="00017B71">
        <w:rPr>
          <w:rStyle w:val="FootnoteReference"/>
          <w:rFonts w:ascii="Simplified Arabic" w:hAnsi="Simplified Arabic"/>
          <w:sz w:val="24"/>
          <w:rtl/>
        </w:rPr>
        <w:footnoteReference w:id="238"/>
      </w:r>
      <w:r w:rsidRPr="00017B71">
        <w:rPr>
          <w:rFonts w:ascii="Simplified Arabic" w:hAnsi="Simplified Arabic"/>
          <w:sz w:val="24"/>
          <w:rtl/>
        </w:rPr>
        <w:t xml:space="preserve"> وأهداف أيشي للتنوع البيولوجي ضمن إطار الحقوق، والمبادئ الأخلاقية والقيم، والحوكمة، والأدوار المتباينة التي يضطلع بها النساء والرجال بين الشعوب الأصلية والمجتمعات المحلية،</w:t>
      </w:r>
    </w:p>
    <w:p w:rsidR="00FA2E1F" w:rsidRPr="00602837" w:rsidRDefault="00FA2E1F" w:rsidP="00FA2E1F">
      <w:pPr>
        <w:kinsoku w:val="0"/>
        <w:overflowPunct w:val="0"/>
        <w:autoSpaceDE w:val="0"/>
        <w:autoSpaceDN w:val="0"/>
        <w:adjustRightInd w:val="0"/>
        <w:snapToGrid w:val="0"/>
        <w:ind w:firstLine="720"/>
        <w:rPr>
          <w:iCs/>
          <w:snapToGrid w:val="0"/>
          <w:kern w:val="22"/>
          <w:szCs w:val="22"/>
        </w:rPr>
      </w:pPr>
      <w:r w:rsidRPr="00017B71">
        <w:rPr>
          <w:rFonts w:ascii="Simplified Arabic" w:hAnsi="Simplified Arabic"/>
          <w:sz w:val="24"/>
          <w:rtl/>
        </w:rPr>
        <w:t>1-</w:t>
      </w:r>
      <w:r w:rsidRPr="00017B71">
        <w:rPr>
          <w:rFonts w:ascii="Simplified Arabic" w:hAnsi="Simplified Arabic"/>
          <w:sz w:val="24"/>
          <w:rtl/>
        </w:rPr>
        <w:tab/>
      </w:r>
      <w:r w:rsidRPr="00017B71">
        <w:rPr>
          <w:rFonts w:ascii="Simplified Arabic" w:hAnsi="Simplified Arabic"/>
          <w:i/>
          <w:iCs/>
          <w:sz w:val="24"/>
          <w:rtl/>
        </w:rPr>
        <w:t>يحيط علما</w:t>
      </w:r>
      <w:r w:rsidRPr="00017B71">
        <w:rPr>
          <w:rFonts w:ascii="Simplified Arabic" w:hAnsi="Simplified Arabic"/>
          <w:sz w:val="24"/>
          <w:rtl/>
        </w:rPr>
        <w:t xml:space="preserve"> بالقائمة الإرشادية وغير الحصرية لعناصر الإرشادات المنهجية لتحديد ورصد وتقييم مساهمة الشعوب الأصلية والمجتمعات المحلية في تحقيق أهداف الخطة الاستراتيجية للتنوع البيولوجي 2011-2020 وأهداف أيشي للتنوع البيولوجي، الواردة في </w:t>
      </w:r>
      <w:r>
        <w:rPr>
          <w:rFonts w:ascii="Simplified Arabic" w:hAnsi="Simplified Arabic" w:hint="cs"/>
          <w:sz w:val="24"/>
          <w:rtl/>
        </w:rPr>
        <w:t>ال</w:t>
      </w:r>
      <w:r w:rsidRPr="00017B71">
        <w:rPr>
          <w:rFonts w:ascii="Simplified Arabic" w:hAnsi="Simplified Arabic"/>
          <w:sz w:val="24"/>
          <w:rtl/>
        </w:rPr>
        <w:t xml:space="preserve">مرفق </w:t>
      </w:r>
      <w:r>
        <w:rPr>
          <w:rFonts w:ascii="Simplified Arabic" w:hAnsi="Simplified Arabic" w:hint="cs"/>
          <w:sz w:val="24"/>
          <w:rtl/>
        </w:rPr>
        <w:t>ب</w:t>
      </w:r>
      <w:r w:rsidRPr="00017B71">
        <w:rPr>
          <w:rFonts w:ascii="Simplified Arabic" w:hAnsi="Simplified Arabic"/>
          <w:sz w:val="24"/>
          <w:rtl/>
        </w:rPr>
        <w:t>هذا المقرر؛</w:t>
      </w:r>
    </w:p>
    <w:p w:rsidR="00FA2E1F" w:rsidRPr="00602837" w:rsidRDefault="00FA2E1F" w:rsidP="00FA2E1F">
      <w:pPr>
        <w:kinsoku w:val="0"/>
        <w:overflowPunct w:val="0"/>
        <w:autoSpaceDE w:val="0"/>
        <w:autoSpaceDN w:val="0"/>
        <w:adjustRightInd w:val="0"/>
        <w:snapToGrid w:val="0"/>
        <w:ind w:firstLine="720"/>
        <w:rPr>
          <w:iCs/>
          <w:snapToGrid w:val="0"/>
          <w:kern w:val="22"/>
          <w:szCs w:val="22"/>
        </w:rPr>
      </w:pPr>
      <w:r w:rsidRPr="00DD105D">
        <w:rPr>
          <w:rFonts w:ascii="Simplified Arabic" w:hAnsi="Simplified Arabic"/>
          <w:rtl/>
        </w:rPr>
        <w:t>2-</w:t>
      </w:r>
      <w:r w:rsidRPr="00DD105D">
        <w:rPr>
          <w:rFonts w:ascii="Simplified Arabic" w:hAnsi="Simplified Arabic"/>
          <w:rtl/>
        </w:rPr>
        <w:tab/>
      </w:r>
      <w:r>
        <w:rPr>
          <w:rFonts w:ascii="Simplified Arabic" w:hAnsi="Simplified Arabic" w:hint="cs"/>
          <w:i/>
          <w:iCs/>
          <w:rtl/>
        </w:rPr>
        <w:t>يشجع</w:t>
      </w:r>
      <w:r w:rsidRPr="00DD105D">
        <w:rPr>
          <w:rFonts w:ascii="Simplified Arabic" w:hAnsi="Simplified Arabic"/>
          <w:rtl/>
        </w:rPr>
        <w:t xml:space="preserve"> الأطراف والحكومات الأخرى ومنظمات أصحاب المصلحة ذات الصلة إلى الاستفادة من المبادئ التوجيهية المتعلقة بتقييم مساهمة العمل الجماعي للشعوب الأصلية والمجتمعات المحلية، الواردة في </w:t>
      </w:r>
      <w:r>
        <w:rPr>
          <w:rFonts w:ascii="Simplified Arabic" w:hAnsi="Simplified Arabic" w:hint="cs"/>
          <w:rtl/>
        </w:rPr>
        <w:t>ال</w:t>
      </w:r>
      <w:r w:rsidRPr="00DD105D">
        <w:rPr>
          <w:rFonts w:ascii="Simplified Arabic" w:hAnsi="Simplified Arabic"/>
          <w:rtl/>
        </w:rPr>
        <w:t xml:space="preserve">مرفق </w:t>
      </w:r>
      <w:r>
        <w:rPr>
          <w:rFonts w:ascii="Simplified Arabic" w:hAnsi="Simplified Arabic" w:hint="cs"/>
          <w:rtl/>
        </w:rPr>
        <w:t>ب</w:t>
      </w:r>
      <w:r w:rsidRPr="00DD105D">
        <w:rPr>
          <w:rFonts w:ascii="Simplified Arabic" w:hAnsi="Simplified Arabic"/>
          <w:rtl/>
        </w:rPr>
        <w:t xml:space="preserve">المقرر 13/20، إلى </w:t>
      </w:r>
      <w:r>
        <w:rPr>
          <w:rFonts w:ascii="Simplified Arabic" w:hAnsi="Simplified Arabic" w:hint="cs"/>
          <w:rtl/>
        </w:rPr>
        <w:t>ا</w:t>
      </w:r>
      <w:r w:rsidRPr="00DD105D">
        <w:rPr>
          <w:rFonts w:ascii="Simplified Arabic" w:hAnsi="Simplified Arabic"/>
          <w:rtl/>
        </w:rPr>
        <w:t xml:space="preserve">لنظر في استخدام القائمة الإرشادية وغير الحصرية لعناصر الإرشادات المنهجية الواردة في </w:t>
      </w:r>
      <w:r>
        <w:rPr>
          <w:rFonts w:ascii="Simplified Arabic" w:hAnsi="Simplified Arabic" w:hint="cs"/>
          <w:rtl/>
        </w:rPr>
        <w:t>ال</w:t>
      </w:r>
      <w:r w:rsidRPr="00DD105D">
        <w:rPr>
          <w:rFonts w:ascii="Simplified Arabic" w:hAnsi="Simplified Arabic"/>
          <w:rtl/>
        </w:rPr>
        <w:t xml:space="preserve">مرفق </w:t>
      </w:r>
      <w:r>
        <w:rPr>
          <w:rFonts w:ascii="Simplified Arabic" w:hAnsi="Simplified Arabic" w:hint="cs"/>
          <w:rtl/>
        </w:rPr>
        <w:t>ب</w:t>
      </w:r>
      <w:r w:rsidRPr="00DD105D">
        <w:rPr>
          <w:rFonts w:ascii="Simplified Arabic" w:hAnsi="Simplified Arabic"/>
          <w:rtl/>
        </w:rPr>
        <w:t>المقرر الحالي، عند تصميم وتطبيق نُهج منهجية لتقييم مساهمة الشعوب الأصلية والمجتمعات المحلية في تحقيق أهداف الخطة الاستراتيجية للتنوع البيولوجي 2011-2020 وأهداف أيشي للتنوع البيولوجي وعند الإبلاغ من خلال آلية الإبلاغ المالي</w:t>
      </w:r>
      <w:r>
        <w:rPr>
          <w:rFonts w:ascii="Simplified Arabic" w:hAnsi="Simplified Arabic" w:hint="cs"/>
          <w:rtl/>
        </w:rPr>
        <w:t>؛</w:t>
      </w:r>
    </w:p>
    <w:p w:rsidR="00FA2E1F" w:rsidRPr="0019219B" w:rsidRDefault="00FA2E1F" w:rsidP="00FA2E1F">
      <w:pPr>
        <w:kinsoku w:val="0"/>
        <w:overflowPunct w:val="0"/>
        <w:autoSpaceDE w:val="0"/>
        <w:autoSpaceDN w:val="0"/>
        <w:adjustRightInd w:val="0"/>
        <w:snapToGrid w:val="0"/>
        <w:ind w:firstLine="720"/>
        <w:rPr>
          <w:i/>
          <w:snapToGrid w:val="0"/>
          <w:kern w:val="22"/>
          <w:szCs w:val="22"/>
          <w:rtl/>
        </w:rPr>
      </w:pPr>
      <w:r w:rsidRPr="00D14F07">
        <w:rPr>
          <w:rFonts w:ascii="Simplified Arabic" w:hAnsi="Simplified Arabic"/>
          <w:sz w:val="24"/>
          <w:rtl/>
        </w:rPr>
        <w:t>3-</w:t>
      </w:r>
      <w:r>
        <w:rPr>
          <w:rFonts w:ascii="Simplified Arabic" w:hAnsi="Simplified Arabic" w:hint="cs"/>
          <w:sz w:val="24"/>
          <w:rtl/>
        </w:rPr>
        <w:tab/>
      </w:r>
      <w:r w:rsidRPr="00DD105D">
        <w:rPr>
          <w:rFonts w:ascii="Simplified Arabic" w:hAnsi="Simplified Arabic"/>
          <w:i/>
          <w:iCs/>
          <w:sz w:val="24"/>
          <w:rtl/>
        </w:rPr>
        <w:t>يدعو</w:t>
      </w:r>
      <w:r w:rsidRPr="00D14F07">
        <w:rPr>
          <w:rFonts w:ascii="Simplified Arabic" w:hAnsi="Simplified Arabic"/>
          <w:sz w:val="24"/>
          <w:rtl/>
        </w:rPr>
        <w:t xml:space="preserve"> المنبر الحكومي الدولي </w:t>
      </w:r>
      <w:r>
        <w:rPr>
          <w:rFonts w:ascii="Simplified Arabic" w:hAnsi="Simplified Arabic" w:hint="cs"/>
          <w:sz w:val="24"/>
          <w:rtl/>
        </w:rPr>
        <w:t xml:space="preserve">للعلوم والسياسات </w:t>
      </w:r>
      <w:r w:rsidRPr="005165E0">
        <w:rPr>
          <w:rtl/>
        </w:rPr>
        <w:t>في مجال التنوع</w:t>
      </w:r>
      <w:r w:rsidRPr="00D14F07">
        <w:rPr>
          <w:rFonts w:ascii="Simplified Arabic" w:hAnsi="Simplified Arabic"/>
          <w:sz w:val="24"/>
          <w:rtl/>
        </w:rPr>
        <w:t xml:space="preserve"> البيولوجي وخدمات النظم الإيكولوجي</w:t>
      </w:r>
      <w:r>
        <w:rPr>
          <w:rFonts w:ascii="Simplified Arabic" w:hAnsi="Simplified Arabic" w:hint="cs"/>
          <w:sz w:val="24"/>
          <w:rtl/>
        </w:rPr>
        <w:t xml:space="preserve">ة </w:t>
      </w:r>
      <w:r w:rsidRPr="0006515A">
        <w:rPr>
          <w:szCs w:val="22"/>
        </w:rPr>
        <w:t>(IPBES)</w:t>
      </w:r>
      <w:r w:rsidRPr="00D14F07">
        <w:rPr>
          <w:rFonts w:ascii="Simplified Arabic" w:hAnsi="Simplified Arabic"/>
          <w:sz w:val="24"/>
          <w:rtl/>
        </w:rPr>
        <w:t xml:space="preserve"> إلى </w:t>
      </w:r>
      <w:r>
        <w:rPr>
          <w:rFonts w:ascii="Simplified Arabic" w:hAnsi="Simplified Arabic" w:hint="cs"/>
          <w:sz w:val="24"/>
          <w:rtl/>
        </w:rPr>
        <w:t>أن يأخذ في الاعتبار</w:t>
      </w:r>
      <w:r w:rsidRPr="00D14F07">
        <w:rPr>
          <w:rFonts w:ascii="Simplified Arabic" w:hAnsi="Simplified Arabic"/>
          <w:sz w:val="24"/>
          <w:rtl/>
        </w:rPr>
        <w:t xml:space="preserve"> قائمة </w:t>
      </w:r>
      <w:r w:rsidRPr="00017B71">
        <w:rPr>
          <w:rFonts w:ascii="Simplified Arabic" w:hAnsi="Simplified Arabic"/>
          <w:sz w:val="24"/>
          <w:rtl/>
        </w:rPr>
        <w:t>عناصر الإرشادات المنهجية</w:t>
      </w:r>
      <w:r w:rsidRPr="00D14F07">
        <w:rPr>
          <w:rFonts w:ascii="Simplified Arabic" w:hAnsi="Simplified Arabic"/>
          <w:sz w:val="24"/>
          <w:rtl/>
        </w:rPr>
        <w:t xml:space="preserve"> الواردة في </w:t>
      </w:r>
      <w:r>
        <w:rPr>
          <w:rFonts w:ascii="Simplified Arabic" w:hAnsi="Simplified Arabic" w:hint="cs"/>
          <w:sz w:val="24"/>
          <w:rtl/>
        </w:rPr>
        <w:t>ال</w:t>
      </w:r>
      <w:r w:rsidRPr="00D14F07">
        <w:rPr>
          <w:rFonts w:ascii="Simplified Arabic" w:hAnsi="Simplified Arabic"/>
          <w:sz w:val="24"/>
          <w:rtl/>
        </w:rPr>
        <w:t xml:space="preserve">مرفق </w:t>
      </w:r>
      <w:r>
        <w:rPr>
          <w:rFonts w:ascii="Simplified Arabic" w:hAnsi="Simplified Arabic" w:hint="cs"/>
          <w:sz w:val="24"/>
          <w:rtl/>
        </w:rPr>
        <w:t>ب</w:t>
      </w:r>
      <w:r w:rsidRPr="00D14F07">
        <w:rPr>
          <w:rFonts w:ascii="Simplified Arabic" w:hAnsi="Simplified Arabic"/>
          <w:sz w:val="24"/>
          <w:rtl/>
        </w:rPr>
        <w:t>هذا المقرر</w:t>
      </w:r>
      <w:r>
        <w:rPr>
          <w:rFonts w:ascii="Simplified Arabic" w:hAnsi="Simplified Arabic" w:hint="cs"/>
          <w:sz w:val="24"/>
          <w:rtl/>
        </w:rPr>
        <w:t>.</w:t>
      </w:r>
    </w:p>
    <w:p w:rsidR="00FA2E1F" w:rsidRPr="00E43697" w:rsidRDefault="00FA2E1F" w:rsidP="005C478D">
      <w:pPr>
        <w:jc w:val="center"/>
        <w:rPr>
          <w:i/>
          <w:kern w:val="22"/>
          <w:sz w:val="24"/>
        </w:rPr>
      </w:pPr>
      <w:bookmarkStart w:id="149" w:name="_Toc6071620"/>
      <w:r w:rsidRPr="00E43697">
        <w:rPr>
          <w:rFonts w:ascii="Simplified Arabic" w:hAnsi="Simplified Arabic"/>
          <w:i/>
          <w:iCs/>
          <w:sz w:val="24"/>
          <w:rtl/>
        </w:rPr>
        <w:t>المرفق</w:t>
      </w:r>
      <w:bookmarkEnd w:id="149"/>
    </w:p>
    <w:p w:rsidR="00FA2E1F" w:rsidRPr="005C478D" w:rsidRDefault="00FA2E1F" w:rsidP="00FA2E1F">
      <w:pPr>
        <w:kinsoku w:val="0"/>
        <w:overflowPunct w:val="0"/>
        <w:autoSpaceDE w:val="0"/>
        <w:autoSpaceDN w:val="0"/>
        <w:adjustRightInd w:val="0"/>
        <w:snapToGrid w:val="0"/>
        <w:jc w:val="center"/>
        <w:rPr>
          <w:b/>
          <w:snapToGrid w:val="0"/>
          <w:kern w:val="22"/>
          <w:sz w:val="24"/>
        </w:rPr>
      </w:pPr>
      <w:r w:rsidRPr="005C478D">
        <w:rPr>
          <w:rFonts w:ascii="Simplified Arabic" w:hAnsi="Simplified Arabic"/>
          <w:b/>
          <w:bCs/>
          <w:sz w:val="24"/>
          <w:rtl/>
        </w:rPr>
        <w:t>قائمة عناصر الإرشادات المنهجية</w:t>
      </w:r>
    </w:p>
    <w:p w:rsidR="00FA2E1F" w:rsidRPr="00602837" w:rsidRDefault="00FA2E1F" w:rsidP="00FA2E1F">
      <w:pPr>
        <w:kinsoku w:val="0"/>
        <w:overflowPunct w:val="0"/>
        <w:autoSpaceDE w:val="0"/>
        <w:autoSpaceDN w:val="0"/>
        <w:adjustRightInd w:val="0"/>
        <w:snapToGrid w:val="0"/>
        <w:ind w:firstLine="720"/>
        <w:rPr>
          <w:iCs/>
          <w:snapToGrid w:val="0"/>
          <w:kern w:val="22"/>
          <w:szCs w:val="22"/>
        </w:rPr>
      </w:pPr>
      <w:r w:rsidRPr="00B677EF">
        <w:rPr>
          <w:rFonts w:ascii="Simplified Arabic" w:hAnsi="Simplified Arabic"/>
          <w:sz w:val="24"/>
          <w:rtl/>
        </w:rPr>
        <w:t>تحث النُهج المنهجية لتحديد ورصد وتقييم مساهمة الشعوب الأصلية والمجتمعات المحلية في تحقيق أهداف الخطة الاستراتيجية للتنوع البيولوجي 2011-2020 وأهداف أيشي للتنوع البيولوجي على الاستفادة من المبادئ التوجيهية الواردة في المقرر 13/20 الصادر عن مؤتمر الأطراف في اتفاقية التنوع البيولوجي، تبعا للظروف الوطنية، لوضع إطار وتوجيه عملية تصميم وتطبيق هذه المنهجيات، وتُدعى إلى النظر في القائمة الإرشادية وغير الحصرية التالية للعناصر المنهجية في تصميمها وتطبيقها:</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(أ)</w:t>
      </w:r>
      <w:r w:rsidRPr="00B677EF">
        <w:rPr>
          <w:rFonts w:ascii="Simplified Arabic" w:hAnsi="Simplified Arabic"/>
          <w:sz w:val="24"/>
          <w:rtl/>
        </w:rPr>
        <w:tab/>
        <w:t>الاعتراف بالمعارف التقليدية وإدماجها بالكامل، وضمان تكامل نظم المعارف، وتهيئة الظروف المواتية لإجراء حوار فعال فيما بين نظم المعارف، بما في ذلك العلوم، والعمليات التي تسمح بالمشاركة في إنشاء المعارف منذ البداية؛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(ب)</w:t>
      </w:r>
      <w:r w:rsidRPr="00B677EF">
        <w:rPr>
          <w:rFonts w:ascii="Simplified Arabic" w:hAnsi="Simplified Arabic"/>
          <w:sz w:val="24"/>
          <w:rtl/>
        </w:rPr>
        <w:tab/>
        <w:t>إدراج مجموعة واسعة من النُهج المنهجية على النحو الذي تقتضيه خصوصية السياقات، مع مراعاة تنوع الظروف الوطنية والتنوع الثقافي للشعوب الأصلية والمجتمعات المحلية، وتطبيقها بطريقة مصممة وفقا للظروف المحلية؛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(ج)</w:t>
      </w:r>
      <w:r w:rsidRPr="00B677EF">
        <w:rPr>
          <w:rFonts w:ascii="Simplified Arabic" w:hAnsi="Simplified Arabic"/>
          <w:sz w:val="24"/>
          <w:rtl/>
        </w:rPr>
        <w:tab/>
        <w:t>الاعتراف بالمنظورات المتعددة والآراء العالمية المتعلقة بالقيم، بما في ذلك القيم الاجتماعية والاقتصادية والثقافية والروحية، المرتبطة بحفظ التنوع البيولوجي واستخدامه المستدام، وعكسها في اختيار النُهج والأدوات المنهجية؛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(د)</w:t>
      </w:r>
      <w:r w:rsidRPr="00B677EF">
        <w:rPr>
          <w:rFonts w:ascii="Simplified Arabic" w:hAnsi="Simplified Arabic"/>
          <w:sz w:val="24"/>
          <w:rtl/>
        </w:rPr>
        <w:tab/>
        <w:t>استخدام طرائق مختلطة للبحث ومنهجيات أخرى يمكن أن تعمل مع أنواع مختلفة من البيانات، ولا سيما الجمع بين المعلومات والبيانات الكمية والنوعية؛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lastRenderedPageBreak/>
        <w:t>(ﻫ)</w:t>
      </w:r>
      <w:r w:rsidRPr="00B677EF">
        <w:rPr>
          <w:rFonts w:ascii="Simplified Arabic" w:hAnsi="Simplified Arabic"/>
          <w:sz w:val="24"/>
          <w:rtl/>
        </w:rPr>
        <w:tab/>
        <w:t>تطبيق النُهج والعمليات والأدوات متعددة النطاقات، من أجل رصد وتقييم الحالة على المستوى المحلي والنظر في الوقت نفسه في الروابط في المناظر الطبيعية وفي أطر السياسات الوطنية ودون الوطنية؛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(و)</w:t>
      </w:r>
      <w:r w:rsidRPr="00B677EF">
        <w:rPr>
          <w:rFonts w:ascii="Simplified Arabic" w:hAnsi="Simplified Arabic"/>
          <w:sz w:val="24"/>
          <w:rtl/>
        </w:rPr>
        <w:tab/>
        <w:t>اختبار وتحسين النُهج المنهجية من خلال المشاريع الرائدة، والاعتراف بأن هذا مجال ناشئ وأنه يلزم تطويرها من خلال الدروس المستمدة من التجارب ومن مجموعة متنوعة من السياقات؛</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(ز)</w:t>
      </w:r>
      <w:r w:rsidRPr="00B677EF">
        <w:rPr>
          <w:rFonts w:ascii="Simplified Arabic" w:hAnsi="Simplified Arabic"/>
          <w:sz w:val="24"/>
          <w:rtl/>
        </w:rPr>
        <w:tab/>
        <w:t>ضمان المشاركة الكاملة والفعالة للشعوب الأصلية والمجتمعات المحلية في جميع مراحل عملية وضع النُهج وتطبيقها، مع الاهتمام بشكل خاص بإشراك النساء والشباب والشيوخ وجميع الفئات الأخرى التي تشكل جزءا من المجتمعات المحلية؛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(ح)</w:t>
      </w:r>
      <w:r w:rsidRPr="00B677EF">
        <w:rPr>
          <w:rFonts w:ascii="Simplified Arabic" w:hAnsi="Simplified Arabic"/>
          <w:sz w:val="24"/>
          <w:rtl/>
        </w:rPr>
        <w:tab/>
        <w:t>تشجيع التفاعلات بين الأجيال في عمليات التقييم، من خلال إشراك الشباب والشيوخ والفئات الأخرى، من أجل حفز التعلم والمساهمة في حماية وتعزيز نقل المعارف والابتكارات والممارسات التقليدية بين الأجيال؛</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(ط)</w:t>
      </w:r>
      <w:r w:rsidRPr="00B677EF">
        <w:rPr>
          <w:rFonts w:ascii="Simplified Arabic" w:hAnsi="Simplified Arabic"/>
          <w:sz w:val="24"/>
          <w:rtl/>
        </w:rPr>
        <w:tab/>
        <w:t>إدراج تحليل للأدوار المتمايزة بين الجنسين في التقييمات، واستكشاف الفرص والظروف الكفيلة بتعزيز المساواة بين الجنسين؛</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(ي)</w:t>
      </w:r>
      <w:r w:rsidRPr="00B677EF">
        <w:rPr>
          <w:rFonts w:ascii="Simplified Arabic" w:hAnsi="Simplified Arabic"/>
          <w:sz w:val="24"/>
          <w:rtl/>
        </w:rPr>
        <w:tab/>
        <w:t>الاعتراف بأن العمل الجماعي يتعلق بالاستخدام المألوف المستدام وأن النتائج قد تكون واسعة النطاق، وتشمل مسائل مثل سبل العيش والأمن الغذائي، وكذلك الرفاه العقلي والبدني؛</w:t>
      </w:r>
    </w:p>
    <w:p w:rsidR="00FA2E1F" w:rsidRPr="00602837" w:rsidRDefault="00FA2E1F" w:rsidP="00FA2E1F">
      <w:pPr>
        <w:kinsoku w:val="0"/>
        <w:overflowPunct w:val="0"/>
        <w:autoSpaceDE w:val="0"/>
        <w:autoSpaceDN w:val="0"/>
        <w:adjustRightInd w:val="0"/>
        <w:snapToGrid w:val="0"/>
        <w:ind w:firstLine="720"/>
        <w:rPr>
          <w:snapToGrid w:val="0"/>
          <w:kern w:val="22"/>
          <w:szCs w:val="22"/>
          <w:rtl/>
        </w:rPr>
      </w:pPr>
      <w:r w:rsidRPr="00B677EF">
        <w:rPr>
          <w:rFonts w:ascii="Simplified Arabic" w:hAnsi="Simplified Arabic"/>
          <w:sz w:val="24"/>
          <w:rtl/>
        </w:rPr>
        <w:t>(ك)</w:t>
      </w:r>
      <w:r w:rsidRPr="00B677EF">
        <w:rPr>
          <w:rFonts w:ascii="Simplified Arabic" w:hAnsi="Simplified Arabic"/>
          <w:sz w:val="24"/>
          <w:rtl/>
        </w:rPr>
        <w:tab/>
        <w:t>السعي إلى المساهمة في الاعتراف بالحقوق، ولا سيما حيازة الأراضي</w:t>
      </w:r>
      <w:r w:rsidRPr="00B677EF">
        <w:rPr>
          <w:rFonts w:ascii="Simplified Arabic" w:hAnsi="Simplified Arabic"/>
          <w:sz w:val="24"/>
          <w:vertAlign w:val="superscript"/>
          <w:rtl/>
        </w:rPr>
        <w:footnoteReference w:id="239"/>
      </w:r>
      <w:r w:rsidRPr="00B677EF">
        <w:rPr>
          <w:rFonts w:ascii="Simplified Arabic" w:hAnsi="Simplified Arabic"/>
          <w:sz w:val="24"/>
          <w:rtl/>
        </w:rPr>
        <w:t xml:space="preserve"> والحصول على الموارد العرفية</w:t>
      </w:r>
      <w:r w:rsidRPr="00B677EF">
        <w:rPr>
          <w:rFonts w:ascii="Simplified Arabic" w:hAnsi="Simplified Arabic"/>
          <w:sz w:val="24"/>
          <w:vertAlign w:val="superscript"/>
          <w:rtl/>
        </w:rPr>
        <w:footnoteReference w:id="240"/>
      </w:r>
      <w:r w:rsidRPr="00B677EF">
        <w:rPr>
          <w:rFonts w:ascii="Simplified Arabic" w:hAnsi="Simplified Arabic"/>
          <w:sz w:val="24"/>
          <w:rtl/>
        </w:rPr>
        <w:t xml:space="preserve"> وتأثيرها على فعالية العمل الجماعي، ومن خلال تمكين المجتمعات المحلية للنهوض بأمن الحيازة والوصول؛</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(ل)</w:t>
      </w:r>
      <w:r w:rsidRPr="00B677EF">
        <w:rPr>
          <w:rFonts w:ascii="Simplified Arabic" w:hAnsi="Simplified Arabic"/>
          <w:sz w:val="24"/>
          <w:rtl/>
        </w:rPr>
        <w:tab/>
        <w:t>إدراج عناصر أخرى ذات صلة بتقييمات الحوكمة، وتحديدا دور نظم الحوكمة العرفية وسماتها وحيويتها؛</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(م)</w:t>
      </w:r>
      <w:r w:rsidRPr="00B677EF">
        <w:rPr>
          <w:rFonts w:ascii="Simplified Arabic" w:hAnsi="Simplified Arabic"/>
          <w:sz w:val="24"/>
          <w:rtl/>
        </w:rPr>
        <w:tab/>
        <w:t>إدراج تحديد النزاعات الفعلية أو المحتملة التي تؤثر على العمل الجماعي في التقييمات، واستخدام عمليات التقييم لتعزيز الحوار بين المجموعات التي قد تكون لها مصالح متنافسة، واستكشاف المزيد من الفرص لتسوية</w:t>
      </w:r>
      <w:r>
        <w:rPr>
          <w:rFonts w:ascii="Simplified Arabic" w:hAnsi="Simplified Arabic" w:hint="cs"/>
          <w:sz w:val="24"/>
          <w:rtl/>
        </w:rPr>
        <w:t xml:space="preserve"> </w:t>
      </w:r>
      <w:r w:rsidRPr="00B677EF">
        <w:rPr>
          <w:rFonts w:ascii="Simplified Arabic" w:hAnsi="Simplified Arabic"/>
          <w:sz w:val="24"/>
          <w:rtl/>
        </w:rPr>
        <w:t>النزاعات عن طريق الحوار والتعاون، بما في ذلك من خلال آليات</w:t>
      </w:r>
      <w:r>
        <w:rPr>
          <w:rFonts w:ascii="Simplified Arabic" w:hAnsi="Simplified Arabic" w:hint="cs"/>
          <w:sz w:val="24"/>
          <w:rtl/>
        </w:rPr>
        <w:t xml:space="preserve"> </w:t>
      </w:r>
      <w:r w:rsidRPr="00B677EF">
        <w:rPr>
          <w:rFonts w:ascii="Simplified Arabic" w:hAnsi="Simplified Arabic"/>
          <w:sz w:val="24"/>
          <w:rtl/>
        </w:rPr>
        <w:t>مناسبة ثقافيا لتسوية النزاعات؛</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(ن)</w:t>
      </w:r>
      <w:r w:rsidRPr="00B677EF">
        <w:rPr>
          <w:rFonts w:ascii="Simplified Arabic" w:hAnsi="Simplified Arabic"/>
          <w:sz w:val="24"/>
          <w:rtl/>
        </w:rPr>
        <w:tab/>
        <w:t>النظر في التقييمات القائمة على المناطق والتي تركز على الأراضي والموارد التي تملكها أو تشغلها أو تستخدمها الشعوب الأصلية والمجتمعات المحلية، وعلى</w:t>
      </w:r>
      <w:r>
        <w:rPr>
          <w:rFonts w:ascii="Simplified Arabic" w:hAnsi="Simplified Arabic" w:hint="cs"/>
          <w:sz w:val="24"/>
          <w:rtl/>
        </w:rPr>
        <w:t xml:space="preserve"> </w:t>
      </w:r>
      <w:r w:rsidRPr="00B677EF">
        <w:rPr>
          <w:rFonts w:ascii="Simplified Arabic" w:hAnsi="Simplified Arabic"/>
          <w:sz w:val="24"/>
          <w:rtl/>
        </w:rPr>
        <w:t>مكونات محددة من التنوع البيولوجي، مثل الأنواع التي تحدث عبر الموائل والتي تخضع لعمل جماعي؛</w:t>
      </w:r>
    </w:p>
    <w:p w:rsidR="00FA2E1F" w:rsidRDefault="00FA2E1F" w:rsidP="00FA2E1F">
      <w:pPr>
        <w:kinsoku w:val="0"/>
        <w:overflowPunct w:val="0"/>
        <w:autoSpaceDE w:val="0"/>
        <w:autoSpaceDN w:val="0"/>
        <w:adjustRightInd w:val="0"/>
        <w:snapToGrid w:val="0"/>
        <w:ind w:firstLine="720"/>
        <w:rPr>
          <w:snapToGrid w:val="0"/>
          <w:kern w:val="22"/>
          <w:szCs w:val="22"/>
          <w:rtl/>
        </w:rPr>
      </w:pPr>
      <w:r w:rsidRPr="00B677EF">
        <w:rPr>
          <w:rFonts w:ascii="Simplified Arabic" w:hAnsi="Simplified Arabic"/>
          <w:sz w:val="24"/>
          <w:rtl/>
        </w:rPr>
        <w:t>(س)</w:t>
      </w:r>
      <w:r w:rsidRPr="00B677EF">
        <w:rPr>
          <w:rFonts w:ascii="Simplified Arabic" w:hAnsi="Simplified Arabic"/>
          <w:sz w:val="24"/>
          <w:rtl/>
        </w:rPr>
        <w:tab/>
        <w:t xml:space="preserve">النظر في مراعاة القدرات التقنية وقدرات الاستدامة الوطنية عند استخدام أشكال مختلفة من التحليل الجغرافي المكاني للتقييمات القائمة على المناطق، بطريقة تجمع بين الأدوات التكنولوجية والمعارف التقليدية، وتسعى إلى جعلها في متناول المجتمعات المحلية، </w:t>
      </w:r>
      <w:r>
        <w:rPr>
          <w:rFonts w:ascii="Simplified Arabic" w:hAnsi="Simplified Arabic" w:hint="cs"/>
          <w:sz w:val="24"/>
          <w:rtl/>
        </w:rPr>
        <w:t>مع ال</w:t>
      </w:r>
      <w:r w:rsidRPr="00B677EF">
        <w:rPr>
          <w:rFonts w:ascii="Simplified Arabic" w:hAnsi="Simplified Arabic"/>
          <w:sz w:val="24"/>
          <w:rtl/>
        </w:rPr>
        <w:t xml:space="preserve">مشاركة </w:t>
      </w:r>
      <w:r>
        <w:rPr>
          <w:rFonts w:ascii="Simplified Arabic" w:hAnsi="Simplified Arabic" w:hint="cs"/>
          <w:sz w:val="24"/>
          <w:rtl/>
        </w:rPr>
        <w:t>المباشرة ل</w:t>
      </w:r>
      <w:r w:rsidRPr="00B677EF">
        <w:rPr>
          <w:rFonts w:ascii="Simplified Arabic" w:hAnsi="Simplified Arabic"/>
          <w:sz w:val="24"/>
          <w:rtl/>
        </w:rPr>
        <w:t>هذه</w:t>
      </w:r>
      <w:r>
        <w:rPr>
          <w:rFonts w:ascii="Simplified Arabic" w:hAnsi="Simplified Arabic"/>
          <w:sz w:val="24"/>
          <w:rtl/>
        </w:rPr>
        <w:t xml:space="preserve"> المجتمعات</w:t>
      </w:r>
      <w:r w:rsidRPr="00B677EF">
        <w:rPr>
          <w:rFonts w:ascii="Simplified Arabic" w:hAnsi="Simplified Arabic"/>
          <w:sz w:val="24"/>
          <w:rtl/>
        </w:rPr>
        <w:t>؛</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(ع)</w:t>
      </w:r>
      <w:r w:rsidRPr="00B677EF">
        <w:rPr>
          <w:rFonts w:ascii="Simplified Arabic" w:hAnsi="Simplified Arabic"/>
          <w:sz w:val="24"/>
          <w:rtl/>
        </w:rPr>
        <w:tab/>
        <w:t>المضي قدما بتطوير مجموعات قوية من المؤشرات ونظم المقاييس لتقييم العمل الجماعي، وجمع مؤشرات مختلفة الأنواع –</w:t>
      </w:r>
      <w:r>
        <w:rPr>
          <w:rFonts w:ascii="Simplified Arabic" w:hAnsi="Simplified Arabic" w:hint="cs"/>
          <w:sz w:val="24"/>
          <w:rtl/>
        </w:rPr>
        <w:t xml:space="preserve"> </w:t>
      </w:r>
      <w:r w:rsidRPr="00B677EF">
        <w:rPr>
          <w:rFonts w:ascii="Simplified Arabic" w:hAnsi="Simplified Arabic"/>
          <w:sz w:val="24"/>
          <w:rtl/>
        </w:rPr>
        <w:t>الكمية والنوعية والمتعلقة بالعمليات والنتائج، والفردية والإجمالية، وما إلى ذلك – ودمج المؤشرات القائمة على الثقافة التي تعكس نظم القيم للمجتمعات المحلية وخصوصيات السياقات، مع الإشارة أيضا إلى أن استخدام مؤشرات متسقة مع مرور الوقت سيتيح إجراء مقارنات على المستويات الزمنية وأن إنشاء خط أساس سيسمح بإجراء تقييم أكبر للتغييرات أو الاتجاهات؛</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lastRenderedPageBreak/>
        <w:t>(ف)</w:t>
      </w:r>
      <w:r w:rsidRPr="00B677EF">
        <w:rPr>
          <w:rFonts w:ascii="Simplified Arabic" w:hAnsi="Simplified Arabic"/>
          <w:sz w:val="24"/>
          <w:rtl/>
        </w:rPr>
        <w:tab/>
        <w:t xml:space="preserve">إدماج النُهج المستخدمة لتحليل حالة واتجاهات التغيير في التقييمات، فضلا عن فهم </w:t>
      </w:r>
      <w:r>
        <w:rPr>
          <w:rFonts w:ascii="Simplified Arabic" w:hAnsi="Simplified Arabic" w:hint="cs"/>
          <w:sz w:val="24"/>
          <w:rtl/>
        </w:rPr>
        <w:t>محركات</w:t>
      </w:r>
      <w:r w:rsidRPr="00B677EF">
        <w:rPr>
          <w:rFonts w:ascii="Simplified Arabic" w:hAnsi="Simplified Arabic"/>
          <w:sz w:val="24"/>
          <w:rtl/>
        </w:rPr>
        <w:t xml:space="preserve"> </w:t>
      </w:r>
      <w:r>
        <w:rPr>
          <w:rFonts w:ascii="Simplified Arabic" w:hAnsi="Simplified Arabic" w:hint="cs"/>
          <w:sz w:val="24"/>
          <w:rtl/>
        </w:rPr>
        <w:t>ا</w:t>
      </w:r>
      <w:r w:rsidRPr="00B677EF">
        <w:rPr>
          <w:rFonts w:ascii="Simplified Arabic" w:hAnsi="Simplified Arabic"/>
          <w:sz w:val="24"/>
          <w:rtl/>
        </w:rPr>
        <w:t>لتغيير والشروط اللازمة لتحقيق نتائج ناجحة؛</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(ص)</w:t>
      </w:r>
      <w:r w:rsidRPr="00B677EF">
        <w:rPr>
          <w:rFonts w:ascii="Simplified Arabic" w:hAnsi="Simplified Arabic"/>
          <w:sz w:val="24"/>
          <w:rtl/>
        </w:rPr>
        <w:tab/>
        <w:t>المضي قدما، حسب الاقتضاء، بالعمل المتعلق بمنهجيات التقييم ذات الصلة والتي يمكن تطبيقها على السياقات، وضمان مراعاة المجموعة الكاملة من قيم التنوع البيولوجي للمجتمعات المحلية وعملها الجماعي، واستخدام نتائج التقييم لتوضيح سبب الحاجة إلى مزيد من الاحترام</w:t>
      </w:r>
      <w:r>
        <w:rPr>
          <w:rFonts w:ascii="Simplified Arabic" w:hAnsi="Simplified Arabic" w:hint="cs"/>
          <w:sz w:val="24"/>
          <w:rtl/>
        </w:rPr>
        <w:t xml:space="preserve"> </w:t>
      </w:r>
      <w:r w:rsidRPr="00B677EF">
        <w:rPr>
          <w:rFonts w:ascii="Simplified Arabic" w:hAnsi="Simplified Arabic"/>
          <w:sz w:val="24"/>
          <w:rtl/>
        </w:rPr>
        <w:t>بالعمل الجماعي والاعتراف به ودعمه؛</w:t>
      </w:r>
    </w:p>
    <w:p w:rsidR="00FA2E1F" w:rsidRPr="00602837" w:rsidRDefault="00FA2E1F" w:rsidP="00FA2E1F">
      <w:pPr>
        <w:kinsoku w:val="0"/>
        <w:overflowPunct w:val="0"/>
        <w:autoSpaceDE w:val="0"/>
        <w:autoSpaceDN w:val="0"/>
        <w:adjustRightInd w:val="0"/>
        <w:snapToGrid w:val="0"/>
        <w:ind w:firstLine="720"/>
        <w:rPr>
          <w:snapToGrid w:val="0"/>
          <w:kern w:val="22"/>
          <w:szCs w:val="22"/>
        </w:rPr>
      </w:pPr>
      <w:r w:rsidRPr="00B677EF">
        <w:rPr>
          <w:rFonts w:ascii="Simplified Arabic" w:hAnsi="Simplified Arabic"/>
          <w:sz w:val="24"/>
          <w:rtl/>
        </w:rPr>
        <w:t>(ق)</w:t>
      </w:r>
      <w:r w:rsidRPr="00B677EF">
        <w:rPr>
          <w:rFonts w:ascii="Simplified Arabic" w:hAnsi="Simplified Arabic"/>
          <w:sz w:val="24"/>
          <w:rtl/>
        </w:rPr>
        <w:tab/>
        <w:t>النظر في إدراج، في التقييمات، تحليل لنقاط القوة والتهديدات في السياقات المحددة، بهدف تحسين فهم العوامل والظروف التي تتطلب تعزيزا أو دعما إضافيا؛</w:t>
      </w:r>
    </w:p>
    <w:p w:rsidR="00FA2E1F" w:rsidRDefault="00FA2E1F" w:rsidP="00FA2E1F">
      <w:pPr>
        <w:kinsoku w:val="0"/>
        <w:overflowPunct w:val="0"/>
        <w:autoSpaceDE w:val="0"/>
        <w:autoSpaceDN w:val="0"/>
        <w:adjustRightInd w:val="0"/>
        <w:snapToGrid w:val="0"/>
        <w:ind w:firstLine="720"/>
        <w:rPr>
          <w:snapToGrid w:val="0"/>
          <w:kern w:val="22"/>
          <w:szCs w:val="22"/>
          <w:rtl/>
        </w:rPr>
      </w:pPr>
      <w:r w:rsidRPr="00B677EF">
        <w:rPr>
          <w:rFonts w:ascii="Simplified Arabic" w:hAnsi="Simplified Arabic"/>
          <w:sz w:val="24"/>
          <w:rtl/>
        </w:rPr>
        <w:t>(ر)</w:t>
      </w:r>
      <w:r w:rsidRPr="00B677EF">
        <w:rPr>
          <w:rFonts w:ascii="Simplified Arabic" w:hAnsi="Simplified Arabic"/>
          <w:sz w:val="24"/>
          <w:rtl/>
        </w:rPr>
        <w:tab/>
        <w:t>تشجيع التعاون والتبادل والتعلم المتبادل وإقامة الشبكات بين مختلف النُهج والسعي إلى تحقيق مزيد من أوجه التآزر والنتائج المتزامنة.</w:t>
      </w:r>
    </w:p>
    <w:p w:rsidR="00FA2E1F" w:rsidRPr="00A41134" w:rsidRDefault="00FA2E1F" w:rsidP="00FA2E1F">
      <w:pPr>
        <w:kinsoku w:val="0"/>
        <w:overflowPunct w:val="0"/>
        <w:autoSpaceDE w:val="0"/>
        <w:autoSpaceDN w:val="0"/>
        <w:adjustRightInd w:val="0"/>
        <w:snapToGrid w:val="0"/>
        <w:ind w:firstLine="720"/>
        <w:rPr>
          <w:snapToGrid w:val="0"/>
          <w:kern w:val="22"/>
          <w:szCs w:val="22"/>
        </w:rPr>
      </w:pPr>
      <w:r w:rsidRPr="000C2707">
        <w:rPr>
          <w:rFonts w:ascii="Simplified Arabic" w:hAnsi="Simplified Arabic"/>
          <w:sz w:val="24"/>
          <w:rtl/>
        </w:rPr>
        <w:t xml:space="preserve">(ش) النظر في بناء القدرات ونقل التكنولوجيا، حسب الاقتضاء، لضمان </w:t>
      </w:r>
      <w:r>
        <w:rPr>
          <w:rFonts w:ascii="Simplified Arabic" w:hAnsi="Simplified Arabic" w:hint="cs"/>
          <w:sz w:val="24"/>
          <w:rtl/>
        </w:rPr>
        <w:t>إ</w:t>
      </w:r>
      <w:r w:rsidRPr="000C2707">
        <w:rPr>
          <w:rFonts w:ascii="Simplified Arabic" w:hAnsi="Simplified Arabic"/>
          <w:sz w:val="24"/>
          <w:rtl/>
        </w:rPr>
        <w:t>سه</w:t>
      </w:r>
      <w:r>
        <w:rPr>
          <w:rFonts w:ascii="Simplified Arabic" w:hAnsi="Simplified Arabic" w:hint="cs"/>
          <w:sz w:val="24"/>
          <w:rtl/>
        </w:rPr>
        <w:t>ا</w:t>
      </w:r>
      <w:r w:rsidRPr="000C2707">
        <w:rPr>
          <w:rFonts w:ascii="Simplified Arabic" w:hAnsi="Simplified Arabic"/>
          <w:sz w:val="24"/>
          <w:rtl/>
        </w:rPr>
        <w:t xml:space="preserve">م المعلومات الجديدة، </w:t>
      </w:r>
      <w:r>
        <w:rPr>
          <w:rFonts w:ascii="Simplified Arabic" w:hAnsi="Simplified Arabic" w:hint="cs"/>
          <w:sz w:val="24"/>
          <w:rtl/>
        </w:rPr>
        <w:t>من بينها</w:t>
      </w:r>
      <w:r w:rsidRPr="000C2707">
        <w:rPr>
          <w:rFonts w:ascii="Simplified Arabic" w:hAnsi="Simplified Arabic"/>
          <w:sz w:val="24"/>
          <w:rtl/>
        </w:rPr>
        <w:t xml:space="preserve"> العل</w:t>
      </w:r>
      <w:r>
        <w:rPr>
          <w:rFonts w:ascii="Simplified Arabic" w:hAnsi="Simplified Arabic" w:hint="cs"/>
          <w:sz w:val="24"/>
          <w:rtl/>
        </w:rPr>
        <w:t>و</w:t>
      </w:r>
      <w:r w:rsidRPr="000C2707">
        <w:rPr>
          <w:rFonts w:ascii="Simplified Arabic" w:hAnsi="Simplified Arabic"/>
          <w:sz w:val="24"/>
          <w:rtl/>
        </w:rPr>
        <w:t>م والتكنولوجيا، في تمكين</w:t>
      </w:r>
      <w:r>
        <w:rPr>
          <w:rFonts w:ascii="Simplified Arabic" w:hAnsi="Simplified Arabic" w:hint="cs"/>
          <w:sz w:val="24"/>
          <w:rtl/>
        </w:rPr>
        <w:t xml:space="preserve"> </w:t>
      </w:r>
      <w:r w:rsidRPr="000C2707">
        <w:rPr>
          <w:rFonts w:ascii="Simplified Arabic" w:hAnsi="Simplified Arabic"/>
          <w:sz w:val="24"/>
          <w:rtl/>
        </w:rPr>
        <w:t>الشعوب الأصلية</w:t>
      </w:r>
      <w:r>
        <w:rPr>
          <w:rFonts w:ascii="Simplified Arabic" w:hAnsi="Simplified Arabic" w:hint="cs"/>
          <w:sz w:val="24"/>
          <w:rtl/>
        </w:rPr>
        <w:t xml:space="preserve"> </w:t>
      </w:r>
      <w:r w:rsidRPr="000C2707">
        <w:rPr>
          <w:rFonts w:ascii="Simplified Arabic" w:hAnsi="Simplified Arabic"/>
          <w:sz w:val="24"/>
          <w:rtl/>
        </w:rPr>
        <w:t>والمجتمع</w:t>
      </w:r>
      <w:r>
        <w:rPr>
          <w:rFonts w:ascii="Simplified Arabic" w:hAnsi="Simplified Arabic" w:hint="cs"/>
          <w:sz w:val="24"/>
          <w:rtl/>
        </w:rPr>
        <w:t>ات</w:t>
      </w:r>
      <w:r w:rsidRPr="000C2707">
        <w:rPr>
          <w:rFonts w:ascii="Simplified Arabic" w:hAnsi="Simplified Arabic"/>
          <w:sz w:val="24"/>
          <w:rtl/>
        </w:rPr>
        <w:t xml:space="preserve"> المحلي</w:t>
      </w:r>
      <w:r>
        <w:rPr>
          <w:rFonts w:ascii="Simplified Arabic" w:hAnsi="Simplified Arabic" w:hint="cs"/>
          <w:sz w:val="24"/>
          <w:rtl/>
        </w:rPr>
        <w:t>ة</w:t>
      </w:r>
      <w:r w:rsidRPr="000C2707">
        <w:rPr>
          <w:rFonts w:ascii="Simplified Arabic" w:hAnsi="Simplified Arabic"/>
          <w:sz w:val="24"/>
          <w:rtl/>
        </w:rPr>
        <w:t xml:space="preserve"> و</w:t>
      </w:r>
      <w:r>
        <w:rPr>
          <w:rFonts w:ascii="Simplified Arabic" w:hAnsi="Simplified Arabic" w:hint="cs"/>
          <w:sz w:val="24"/>
          <w:rtl/>
        </w:rPr>
        <w:t xml:space="preserve">تحسين </w:t>
      </w:r>
      <w:r w:rsidRPr="000C2707">
        <w:rPr>
          <w:rFonts w:ascii="Simplified Arabic" w:hAnsi="Simplified Arabic"/>
          <w:sz w:val="24"/>
          <w:rtl/>
        </w:rPr>
        <w:t>قدرته</w:t>
      </w:r>
      <w:r>
        <w:rPr>
          <w:rFonts w:ascii="Simplified Arabic" w:hAnsi="Simplified Arabic" w:hint="cs"/>
          <w:sz w:val="24"/>
          <w:rtl/>
        </w:rPr>
        <w:t>م</w:t>
      </w:r>
      <w:r w:rsidRPr="000C2707">
        <w:rPr>
          <w:rFonts w:ascii="Simplified Arabic" w:hAnsi="Simplified Arabic"/>
          <w:sz w:val="24"/>
          <w:rtl/>
        </w:rPr>
        <w:t xml:space="preserve"> على الصمود واكتفا</w:t>
      </w:r>
      <w:r>
        <w:rPr>
          <w:rFonts w:ascii="Simplified Arabic" w:hAnsi="Simplified Arabic" w:hint="cs"/>
          <w:sz w:val="24"/>
          <w:rtl/>
        </w:rPr>
        <w:t>ئهم</w:t>
      </w:r>
      <w:r w:rsidRPr="000C2707">
        <w:rPr>
          <w:rFonts w:ascii="Simplified Arabic" w:hAnsi="Simplified Arabic"/>
          <w:sz w:val="24"/>
          <w:rtl/>
        </w:rPr>
        <w:t xml:space="preserve"> الذاتي</w:t>
      </w:r>
      <w:r>
        <w:rPr>
          <w:rFonts w:ascii="Simplified Arabic" w:hAnsi="Simplified Arabic" w:hint="cs"/>
          <w:sz w:val="24"/>
          <w:rtl/>
        </w:rPr>
        <w:t>.</w:t>
      </w:r>
    </w:p>
    <w:p w:rsidR="001D61EA" w:rsidRPr="00FA2E1F" w:rsidRDefault="001D61EA" w:rsidP="00FA2E1F">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FA2E1F" w:rsidRPr="00C84495" w:rsidRDefault="00FA2E1F" w:rsidP="00696773">
      <w:pPr>
        <w:pStyle w:val="Heading2"/>
        <w:ind w:left="2880" w:right="720" w:hanging="1440"/>
        <w:jc w:val="left"/>
        <w:rPr>
          <w:b w:val="0"/>
          <w:bCs w:val="0"/>
          <w:sz w:val="24"/>
        </w:rPr>
      </w:pPr>
      <w:bookmarkStart w:id="150" w:name="_Toc6071621"/>
      <w:bookmarkStart w:id="151" w:name="_Toc6139978"/>
      <w:r>
        <w:rPr>
          <w:rFonts w:hint="cs"/>
          <w:sz w:val="24"/>
          <w:rtl/>
        </w:rPr>
        <w:lastRenderedPageBreak/>
        <w:t>المقرر 14/17</w:t>
      </w:r>
      <w:r>
        <w:rPr>
          <w:rFonts w:hint="cs"/>
          <w:sz w:val="24"/>
          <w:rtl/>
        </w:rPr>
        <w:tab/>
      </w:r>
      <w:r w:rsidRPr="00C84495">
        <w:rPr>
          <w:rFonts w:hint="cs"/>
          <w:sz w:val="24"/>
          <w:rtl/>
        </w:rPr>
        <w:t>إدراج المادة 8(ي) والأحكام المتصلة بالشعوب الأصلية والمجتمعات المحلية في عمل الاتفاقية وبروتوكوليها</w:t>
      </w:r>
      <w:bookmarkEnd w:id="150"/>
      <w:bookmarkEnd w:id="151"/>
    </w:p>
    <w:p w:rsidR="00FA2E1F" w:rsidRPr="00DB5824" w:rsidRDefault="00FA2E1F" w:rsidP="00FA2E1F">
      <w:pPr>
        <w:ind w:firstLine="720"/>
        <w:rPr>
          <w:rFonts w:ascii="Simplified Arabic" w:hAnsi="Simplified Arabic"/>
          <w:i/>
          <w:iCs/>
          <w:rtl/>
        </w:rPr>
      </w:pPr>
      <w:r w:rsidRPr="00DB5824">
        <w:rPr>
          <w:rFonts w:ascii="Simplified Arabic" w:hAnsi="Simplified Arabic" w:hint="cs"/>
          <w:i/>
          <w:iCs/>
          <w:rtl/>
        </w:rPr>
        <w:t>إن مؤتمر الأطراف،</w:t>
      </w:r>
      <w:r>
        <w:rPr>
          <w:rFonts w:ascii="Simplified Arabic" w:hAnsi="Simplified Arabic" w:hint="cs"/>
          <w:i/>
          <w:iCs/>
          <w:rtl/>
        </w:rPr>
        <w:t xml:space="preserve"> </w:t>
      </w:r>
    </w:p>
    <w:p w:rsidR="00FA2E1F" w:rsidRPr="00DB5824" w:rsidRDefault="00FA2E1F" w:rsidP="00FA2E1F">
      <w:pPr>
        <w:ind w:left="4" w:firstLine="720"/>
        <w:rPr>
          <w:rFonts w:ascii="Simplified Arabic" w:hAnsi="Simplified Arabic"/>
          <w:rtl/>
        </w:rPr>
      </w:pPr>
      <w:r w:rsidRPr="00DB5824">
        <w:rPr>
          <w:rFonts w:ascii="Simplified Arabic" w:hAnsi="Simplified Arabic" w:hint="cs"/>
          <w:i/>
          <w:iCs/>
          <w:rtl/>
        </w:rPr>
        <w:t xml:space="preserve">إذ يشير </w:t>
      </w:r>
      <w:r w:rsidRPr="00DB5824">
        <w:rPr>
          <w:rFonts w:ascii="Simplified Arabic" w:hAnsi="Simplified Arabic" w:hint="cs"/>
          <w:rtl/>
        </w:rPr>
        <w:t>إلى</w:t>
      </w:r>
      <w:r w:rsidRPr="00DB5824">
        <w:rPr>
          <w:rFonts w:ascii="Simplified Arabic" w:hAnsi="Simplified Arabic" w:hint="cs"/>
          <w:i/>
          <w:iCs/>
          <w:rtl/>
        </w:rPr>
        <w:t xml:space="preserve"> </w:t>
      </w:r>
      <w:hyperlink r:id="rId67" w:history="1">
        <w:r w:rsidRPr="00DB5824">
          <w:rPr>
            <w:rFonts w:ascii="Simplified Arabic" w:hAnsi="Simplified Arabic" w:hint="cs"/>
            <w:color w:val="0000FF"/>
            <w:u w:val="single"/>
            <w:rtl/>
          </w:rPr>
          <w:t>المقرر 5/16</w:t>
        </w:r>
      </w:hyperlink>
      <w:r w:rsidRPr="00DB5824">
        <w:rPr>
          <w:rFonts w:ascii="Simplified Arabic" w:hAnsi="Simplified Arabic" w:hint="cs"/>
          <w:rtl/>
        </w:rPr>
        <w:t>، الذي أنشأ بموجبه برنامج العمل بشأن 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 xml:space="preserve">بها، </w:t>
      </w:r>
      <w:hyperlink r:id="rId68" w:history="1">
        <w:r w:rsidRPr="00DB5824">
          <w:rPr>
            <w:rFonts w:ascii="Simplified Arabic" w:hAnsi="Simplified Arabic" w:hint="cs"/>
            <w:color w:val="0000FF"/>
            <w:u w:val="single"/>
            <w:rtl/>
          </w:rPr>
          <w:t>والمقرر</w:t>
        </w:r>
        <w:r>
          <w:rPr>
            <w:rFonts w:ascii="Simplified Arabic" w:hAnsi="Simplified Arabic" w:hint="cs"/>
            <w:color w:val="0000FF"/>
            <w:u w:val="single"/>
            <w:rtl/>
          </w:rPr>
          <w:t> </w:t>
        </w:r>
        <w:r w:rsidRPr="00DB5824">
          <w:rPr>
            <w:rFonts w:ascii="Simplified Arabic" w:hAnsi="Simplified Arabic" w:hint="cs"/>
            <w:color w:val="0000FF"/>
            <w:u w:val="single"/>
            <w:rtl/>
          </w:rPr>
          <w:t>10/43</w:t>
        </w:r>
      </w:hyperlink>
      <w:r w:rsidRPr="00DB5824">
        <w:rPr>
          <w:rFonts w:ascii="Simplified Arabic" w:hAnsi="Simplified Arabic" w:hint="cs"/>
          <w:rtl/>
        </w:rPr>
        <w:t>،</w:t>
      </w:r>
      <w:r w:rsidRPr="00B352DB">
        <w:rPr>
          <w:kern w:val="22"/>
          <w:szCs w:val="22"/>
          <w:vertAlign w:val="superscript"/>
        </w:rPr>
        <w:footnoteReference w:id="241"/>
      </w:r>
      <w:r w:rsidRPr="00DB5824">
        <w:rPr>
          <w:rFonts w:ascii="Simplified Arabic" w:hAnsi="Simplified Arabic" w:hint="cs"/>
          <w:rtl/>
        </w:rPr>
        <w:t xml:space="preserve"> الذي نقح فيه برنامج العمل المتعدد السنوات للفترة 2010-2020،</w:t>
      </w:r>
    </w:p>
    <w:p w:rsidR="00FA2E1F" w:rsidRPr="00DB5824" w:rsidRDefault="00FA2E1F" w:rsidP="00FA2E1F">
      <w:pPr>
        <w:ind w:left="4" w:firstLine="720"/>
        <w:rPr>
          <w:rFonts w:ascii="Simplified Arabic" w:hAnsi="Simplified Arabic"/>
          <w:rtl/>
        </w:rPr>
      </w:pPr>
      <w:r w:rsidRPr="00DB5824">
        <w:rPr>
          <w:rFonts w:ascii="Simplified Arabic" w:hAnsi="Simplified Arabic" w:hint="cs"/>
          <w:i/>
          <w:iCs/>
          <w:rtl/>
        </w:rPr>
        <w:t xml:space="preserve">وإذ يلاحظ </w:t>
      </w:r>
      <w:r w:rsidRPr="00DB5824">
        <w:rPr>
          <w:rFonts w:ascii="Simplified Arabic" w:hAnsi="Simplified Arabic" w:hint="cs"/>
          <w:rtl/>
        </w:rPr>
        <w:t>أن المهام المؤجلة 6 و11 و13 و14 و17 من برنامج العمل المتعدد السنوات جرت معالجتها من خلال إتمام مهام أخرى بموجب برنامج العمل بشأن 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بها،</w:t>
      </w:r>
    </w:p>
    <w:p w:rsidR="00FA2E1F" w:rsidRPr="00DB5824" w:rsidRDefault="00FA2E1F" w:rsidP="00FA2E1F">
      <w:pPr>
        <w:ind w:left="4" w:firstLine="720"/>
        <w:rPr>
          <w:rFonts w:ascii="Simplified Arabic" w:hAnsi="Simplified Arabic"/>
          <w:rtl/>
        </w:rPr>
      </w:pPr>
      <w:r w:rsidRPr="00DB5824">
        <w:rPr>
          <w:rFonts w:ascii="Simplified Arabic" w:hAnsi="Simplified Arabic" w:hint="cs"/>
          <w:i/>
          <w:iCs/>
          <w:rtl/>
        </w:rPr>
        <w:t>وإذ يعترف</w:t>
      </w:r>
      <w:r w:rsidRPr="00DB5824">
        <w:rPr>
          <w:rFonts w:ascii="Simplified Arabic" w:hAnsi="Simplified Arabic" w:hint="cs"/>
          <w:rtl/>
        </w:rPr>
        <w:t xml:space="preserve"> بالحاجة إلى برنامج عمل </w:t>
      </w:r>
      <w:r>
        <w:rPr>
          <w:rFonts w:ascii="Simplified Arabic" w:hAnsi="Simplified Arabic" w:hint="cs"/>
          <w:rtl/>
        </w:rPr>
        <w:t>أكثر شمولا وتطلعي و</w:t>
      </w:r>
      <w:r w:rsidRPr="00DB5824">
        <w:rPr>
          <w:rFonts w:ascii="Simplified Arabic" w:hAnsi="Simplified Arabic" w:hint="cs"/>
          <w:rtl/>
        </w:rPr>
        <w:t xml:space="preserve">متكامل، مع أخذ آخر التطورات في الاعتبار، بما في ذلك خطة التنمية المستدامة لعام 2030 </w:t>
      </w:r>
      <w:r>
        <w:rPr>
          <w:rFonts w:ascii="Simplified Arabic" w:hAnsi="Simplified Arabic" w:hint="cs"/>
          <w:rtl/>
        </w:rPr>
        <w:t>وأهدافها،</w:t>
      </w:r>
      <w:r w:rsidRPr="00B352DB">
        <w:rPr>
          <w:kern w:val="22"/>
          <w:szCs w:val="22"/>
          <w:vertAlign w:val="superscript"/>
        </w:rPr>
        <w:footnoteReference w:id="242"/>
      </w:r>
      <w:r w:rsidRPr="00DB5824">
        <w:rPr>
          <w:rFonts w:ascii="Simplified Arabic" w:hAnsi="Simplified Arabic" w:hint="cs"/>
          <w:rtl/>
        </w:rPr>
        <w:t xml:space="preserve"> </w:t>
      </w:r>
      <w:r>
        <w:rPr>
          <w:rFonts w:hint="cs"/>
          <w:rtl/>
        </w:rPr>
        <w:t>واتفاق باريس</w:t>
      </w:r>
      <w:r>
        <w:rPr>
          <w:rStyle w:val="FootnoteReference"/>
          <w:rtl/>
        </w:rPr>
        <w:footnoteReference w:id="243"/>
      </w:r>
      <w:r>
        <w:rPr>
          <w:rFonts w:hint="cs"/>
          <w:rtl/>
        </w:rPr>
        <w:t xml:space="preserve"> بموجب اتفاقية الأمم المتحدة الإطارية بشأن تغير المناخ</w:t>
      </w:r>
      <w:r>
        <w:rPr>
          <w:rFonts w:ascii="Simplified Arabic" w:hAnsi="Simplified Arabic" w:hint="cs"/>
          <w:rtl/>
        </w:rPr>
        <w:t>،</w:t>
      </w:r>
      <w:r w:rsidRPr="00DB5824">
        <w:rPr>
          <w:rFonts w:ascii="Simplified Arabic" w:hAnsi="Simplified Arabic" w:hint="cs"/>
          <w:rtl/>
        </w:rPr>
        <w:t xml:space="preserve"> فضلا عن إطار التنوع البيولوجي المستقبلي لما بعد عام 2020،</w:t>
      </w:r>
    </w:p>
    <w:p w:rsidR="00FA2E1F" w:rsidRPr="00DB5824" w:rsidRDefault="00FA2E1F" w:rsidP="00FA2E1F">
      <w:pPr>
        <w:ind w:left="4" w:firstLine="720"/>
        <w:rPr>
          <w:rFonts w:ascii="Simplified Arabic" w:hAnsi="Simplified Arabic"/>
          <w:rtl/>
        </w:rPr>
      </w:pPr>
      <w:r w:rsidRPr="00DB5824">
        <w:rPr>
          <w:rFonts w:ascii="Simplified Arabic" w:hAnsi="Simplified Arabic" w:hint="cs"/>
          <w:i/>
          <w:iCs/>
          <w:rtl/>
        </w:rPr>
        <w:t xml:space="preserve">وإذ يضع في الاعتبار </w:t>
      </w:r>
      <w:r w:rsidRPr="00DB5824">
        <w:rPr>
          <w:rFonts w:ascii="Simplified Arabic" w:hAnsi="Simplified Arabic" w:hint="cs"/>
          <w:rtl/>
        </w:rPr>
        <w:t xml:space="preserve">نتائج "مؤتمر قمة موشتمبال بشأن تجارب المجتمعات الأصلية والمحلية </w:t>
      </w:r>
      <w:r w:rsidRPr="00DB5824">
        <w:rPr>
          <w:rFonts w:ascii="Simplified Arabic" w:hAnsi="Simplified Arabic"/>
          <w:rtl/>
        </w:rPr>
        <w:t>–</w:t>
      </w:r>
      <w:r w:rsidRPr="00DB5824">
        <w:rPr>
          <w:rFonts w:ascii="Simplified Arabic" w:hAnsi="Simplified Arabic" w:hint="cs"/>
          <w:rtl/>
        </w:rPr>
        <w:t xml:space="preserve"> المعارف التقليدية</w:t>
      </w:r>
      <w:r>
        <w:rPr>
          <w:rFonts w:ascii="Simplified Arabic" w:hAnsi="Simplified Arabic" w:hint="cs"/>
          <w:rtl/>
        </w:rPr>
        <w:t>،</w:t>
      </w:r>
      <w:r w:rsidRPr="00DB5824">
        <w:rPr>
          <w:rFonts w:ascii="Simplified Arabic" w:hAnsi="Simplified Arabic" w:hint="cs"/>
          <w:rtl/>
        </w:rPr>
        <w:t xml:space="preserve"> والتنوع البيولوجي والثقافي </w:t>
      </w:r>
      <w:r w:rsidRPr="00DB5824">
        <w:rPr>
          <w:rFonts w:ascii="Simplified Arabic" w:hAnsi="Simplified Arabic"/>
          <w:rtl/>
        </w:rPr>
        <w:t>–</w:t>
      </w:r>
      <w:r w:rsidRPr="00DB5824">
        <w:rPr>
          <w:rFonts w:ascii="Simplified Arabic" w:hAnsi="Simplified Arabic" w:hint="cs"/>
          <w:rtl/>
        </w:rPr>
        <w:t xml:space="preserve"> تعميم مساهمة المعارف والابتكارات والممارسات التقليدية عبر قطاعات الزراعة ومصا</w:t>
      </w:r>
      <w:r>
        <w:rPr>
          <w:rFonts w:ascii="Simplified Arabic" w:hAnsi="Simplified Arabic" w:hint="cs"/>
          <w:rtl/>
        </w:rPr>
        <w:t>ي</w:t>
      </w:r>
      <w:r w:rsidRPr="00DB5824">
        <w:rPr>
          <w:rFonts w:ascii="Simplified Arabic" w:hAnsi="Simplified Arabic" w:hint="cs"/>
          <w:rtl/>
        </w:rPr>
        <w:t>د الأسماك والحراجة والسياحة لحفظ التنوع البيولوجي واستخدامه المستدام من أجل تحقيق الرفاهية"،</w:t>
      </w:r>
      <w:r w:rsidRPr="00B352DB">
        <w:rPr>
          <w:kern w:val="22"/>
          <w:szCs w:val="22"/>
          <w:vertAlign w:val="superscript"/>
        </w:rPr>
        <w:footnoteReference w:id="244"/>
      </w:r>
    </w:p>
    <w:p w:rsidR="00FA2E1F" w:rsidRPr="00DB5824" w:rsidRDefault="00FA2E1F" w:rsidP="00FA2E1F">
      <w:pPr>
        <w:ind w:left="4" w:firstLine="720"/>
        <w:rPr>
          <w:rFonts w:ascii="Simplified Arabic" w:hAnsi="Simplified Arabic"/>
          <w:rtl/>
        </w:rPr>
      </w:pPr>
      <w:r w:rsidRPr="00DB5824">
        <w:rPr>
          <w:rFonts w:ascii="Simplified Arabic" w:hAnsi="Simplified Arabic" w:hint="cs"/>
          <w:i/>
          <w:iCs/>
          <w:rtl/>
        </w:rPr>
        <w:t xml:space="preserve">وإذ يستند </w:t>
      </w:r>
      <w:r w:rsidRPr="00DB5824">
        <w:rPr>
          <w:rFonts w:ascii="Simplified Arabic" w:hAnsi="Simplified Arabic" w:hint="cs"/>
          <w:rtl/>
        </w:rPr>
        <w:t>إلى التقرير التجميعي بشأن حالة واتجاهات المعارف التقليدية والمبادئ التوجيهية وغيرها من الأدوات والمعايير التي وضعها بالفعل الفريق العامل المفتوح</w:t>
      </w:r>
      <w:r w:rsidRPr="00DB5824">
        <w:rPr>
          <w:rFonts w:ascii="Simplified Arabic" w:hAnsi="Simplified Arabic"/>
          <w:rtl/>
        </w:rPr>
        <w:t xml:space="preserve"> </w:t>
      </w:r>
      <w:r w:rsidRPr="00DB5824">
        <w:rPr>
          <w:rFonts w:ascii="Simplified Arabic" w:hAnsi="Simplified Arabic" w:hint="cs"/>
          <w:rtl/>
        </w:rPr>
        <w:t>العضوية</w:t>
      </w:r>
      <w:r w:rsidRPr="00DB5824">
        <w:rPr>
          <w:rFonts w:ascii="Simplified Arabic" w:hAnsi="Simplified Arabic"/>
          <w:rtl/>
        </w:rPr>
        <w:t xml:space="preserve"> </w:t>
      </w:r>
      <w:r w:rsidRPr="00DB5824">
        <w:rPr>
          <w:rFonts w:ascii="Simplified Arabic" w:hAnsi="Simplified Arabic" w:hint="cs"/>
          <w:rtl/>
        </w:rPr>
        <w:t>المخصص</w:t>
      </w:r>
      <w:r w:rsidRPr="00DB5824">
        <w:rPr>
          <w:rFonts w:ascii="Simplified Arabic" w:hAnsi="Simplified Arabic"/>
          <w:rtl/>
        </w:rPr>
        <w:t xml:space="preserve"> </w:t>
      </w:r>
      <w:r w:rsidRPr="00DB5824">
        <w:rPr>
          <w:rFonts w:ascii="Simplified Arabic" w:hAnsi="Simplified Arabic" w:hint="cs"/>
          <w:rtl/>
        </w:rPr>
        <w:t>للمادة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بها، بما في ذلك:</w:t>
      </w:r>
    </w:p>
    <w:p w:rsidR="00FA2E1F" w:rsidRPr="00DB5824" w:rsidRDefault="00FA2E1F" w:rsidP="00FA2E1F">
      <w:pPr>
        <w:ind w:left="4" w:firstLine="720"/>
        <w:rPr>
          <w:rFonts w:ascii="Simplified Arabic" w:hAnsi="Simplified Arabic"/>
          <w:rtl/>
        </w:rPr>
      </w:pPr>
      <w:r w:rsidRPr="00DB5824">
        <w:rPr>
          <w:rFonts w:ascii="Simplified Arabic" w:hAnsi="Simplified Arabic" w:hint="cs"/>
          <w:rtl/>
        </w:rPr>
        <w:t>(أ)</w:t>
      </w:r>
      <w:r w:rsidRPr="00DB5824">
        <w:rPr>
          <w:rFonts w:ascii="Simplified Arabic" w:hAnsi="Simplified Arabic" w:hint="cs"/>
          <w:rtl/>
        </w:rPr>
        <w:tab/>
        <w:t>المبادئ التوجيهية الطوعية أغواي: غو بشأن إجراء عمليات تقييم الأثر الثقافي والبيئي والاجتماعي فيما</w:t>
      </w:r>
      <w:r w:rsidRPr="00DB5824">
        <w:rPr>
          <w:rFonts w:ascii="Simplified Arabic" w:hAnsi="Simplified Arabic"/>
          <w:rtl/>
        </w:rPr>
        <w:t xml:space="preserve"> </w:t>
      </w:r>
      <w:r w:rsidRPr="00DB5824">
        <w:rPr>
          <w:rFonts w:ascii="Simplified Arabic" w:hAnsi="Simplified Arabic" w:hint="cs"/>
          <w:rtl/>
        </w:rPr>
        <w:t>يتعلق</w:t>
      </w:r>
      <w:r w:rsidRPr="00DB5824">
        <w:rPr>
          <w:rFonts w:ascii="Simplified Arabic" w:hAnsi="Simplified Arabic"/>
          <w:rtl/>
        </w:rPr>
        <w:t xml:space="preserve"> </w:t>
      </w:r>
      <w:r w:rsidRPr="00DB5824">
        <w:rPr>
          <w:rFonts w:ascii="Simplified Arabic" w:hAnsi="Simplified Arabic" w:hint="cs"/>
          <w:rtl/>
        </w:rPr>
        <w:t>بالتطورات</w:t>
      </w:r>
      <w:r w:rsidRPr="00DB5824">
        <w:rPr>
          <w:rFonts w:ascii="Simplified Arabic" w:hAnsi="Simplified Arabic"/>
          <w:rtl/>
        </w:rPr>
        <w:t xml:space="preserve"> </w:t>
      </w:r>
      <w:r w:rsidRPr="00DB5824">
        <w:rPr>
          <w:rFonts w:ascii="Simplified Arabic" w:hAnsi="Simplified Arabic" w:hint="cs"/>
          <w:rtl/>
        </w:rPr>
        <w:t>المقترح إجراؤها أو التي من المرجح أن يكون لها تأثير</w:t>
      </w:r>
      <w:r w:rsidRPr="00DB5824">
        <w:rPr>
          <w:rFonts w:ascii="Simplified Arabic" w:hAnsi="Simplified Arabic"/>
          <w:rtl/>
        </w:rPr>
        <w:t xml:space="preserve"> </w:t>
      </w:r>
      <w:r w:rsidRPr="00DB5824">
        <w:rPr>
          <w:rFonts w:ascii="Simplified Arabic" w:hAnsi="Simplified Arabic" w:hint="cs"/>
          <w:rtl/>
        </w:rPr>
        <w:t>على</w:t>
      </w:r>
      <w:r w:rsidRPr="00DB5824">
        <w:rPr>
          <w:rFonts w:ascii="Simplified Arabic" w:hAnsi="Simplified Arabic"/>
          <w:rtl/>
        </w:rPr>
        <w:t xml:space="preserve"> </w:t>
      </w:r>
      <w:r w:rsidRPr="00DB5824">
        <w:rPr>
          <w:rFonts w:ascii="Simplified Arabic" w:hAnsi="Simplified Arabic" w:hint="cs"/>
          <w:rtl/>
        </w:rPr>
        <w:t>المواقع</w:t>
      </w:r>
      <w:r w:rsidRPr="00DB5824">
        <w:rPr>
          <w:rFonts w:ascii="Simplified Arabic" w:hAnsi="Simplified Arabic"/>
          <w:rtl/>
        </w:rPr>
        <w:t xml:space="preserve"> </w:t>
      </w:r>
      <w:r w:rsidRPr="00DB5824">
        <w:rPr>
          <w:rFonts w:ascii="Simplified Arabic" w:hAnsi="Simplified Arabic" w:hint="cs"/>
          <w:rtl/>
        </w:rPr>
        <w:t>المقدسة</w:t>
      </w:r>
      <w:r w:rsidRPr="00DB5824">
        <w:rPr>
          <w:rFonts w:ascii="Simplified Arabic" w:hAnsi="Simplified Arabic"/>
          <w:rtl/>
        </w:rPr>
        <w:t xml:space="preserve"> </w:t>
      </w:r>
      <w:r w:rsidRPr="00DB5824">
        <w:rPr>
          <w:rFonts w:ascii="Simplified Arabic" w:hAnsi="Simplified Arabic" w:hint="cs"/>
          <w:rtl/>
        </w:rPr>
        <w:t>والأراضي</w:t>
      </w:r>
      <w:r w:rsidRPr="00DB5824">
        <w:rPr>
          <w:rFonts w:ascii="Simplified Arabic" w:hAnsi="Simplified Arabic"/>
          <w:rtl/>
        </w:rPr>
        <w:t xml:space="preserve"> </w:t>
      </w:r>
      <w:r w:rsidRPr="00DB5824">
        <w:rPr>
          <w:rFonts w:ascii="Simplified Arabic" w:hAnsi="Simplified Arabic" w:hint="cs"/>
          <w:rtl/>
        </w:rPr>
        <w:t>والمياه</w:t>
      </w:r>
      <w:r w:rsidRPr="00DB5824">
        <w:rPr>
          <w:rFonts w:ascii="Simplified Arabic" w:hAnsi="Simplified Arabic"/>
          <w:rtl/>
        </w:rPr>
        <w:t xml:space="preserve"> </w:t>
      </w:r>
      <w:r w:rsidRPr="00DB5824">
        <w:rPr>
          <w:rFonts w:ascii="Simplified Arabic" w:hAnsi="Simplified Arabic" w:hint="cs"/>
          <w:rtl/>
        </w:rPr>
        <w:t>التي</w:t>
      </w:r>
      <w:r w:rsidRPr="00DB5824">
        <w:rPr>
          <w:rFonts w:ascii="Simplified Arabic" w:hAnsi="Simplified Arabic"/>
          <w:rtl/>
        </w:rPr>
        <w:t xml:space="preserve"> </w:t>
      </w:r>
      <w:r w:rsidRPr="00DB5824">
        <w:rPr>
          <w:rFonts w:ascii="Simplified Arabic" w:hAnsi="Simplified Arabic" w:hint="cs"/>
          <w:rtl/>
        </w:rPr>
        <w:t>تشغلها</w:t>
      </w:r>
      <w:r w:rsidRPr="00DB5824">
        <w:rPr>
          <w:rFonts w:ascii="Simplified Arabic" w:hAnsi="Simplified Arabic"/>
          <w:rtl/>
        </w:rPr>
        <w:t xml:space="preserve"> </w:t>
      </w:r>
      <w:r w:rsidRPr="00DB5824">
        <w:rPr>
          <w:rFonts w:ascii="Simplified Arabic" w:hAnsi="Simplified Arabic" w:hint="cs"/>
          <w:rtl/>
        </w:rPr>
        <w:t>أو</w:t>
      </w:r>
      <w:r w:rsidRPr="00DB5824">
        <w:rPr>
          <w:rFonts w:ascii="Simplified Arabic" w:hAnsi="Simplified Arabic"/>
          <w:rtl/>
        </w:rPr>
        <w:t xml:space="preserve"> </w:t>
      </w:r>
      <w:r w:rsidRPr="00DB5824">
        <w:rPr>
          <w:rFonts w:ascii="Simplified Arabic" w:hAnsi="Simplified Arabic" w:hint="cs"/>
          <w:rtl/>
        </w:rPr>
        <w:t>تستعملها</w:t>
      </w:r>
      <w:r w:rsidRPr="00DB5824">
        <w:rPr>
          <w:rFonts w:ascii="Simplified Arabic" w:hAnsi="Simplified Arabic"/>
          <w:rtl/>
        </w:rPr>
        <w:t xml:space="preserve"> </w:t>
      </w:r>
      <w:r w:rsidRPr="00DB5824">
        <w:rPr>
          <w:rFonts w:ascii="Simplified Arabic" w:hAnsi="Simplified Arabic" w:hint="cs"/>
          <w:rtl/>
        </w:rPr>
        <w:t>تقليديا</w:t>
      </w:r>
      <w:r w:rsidRPr="00DB5824">
        <w:rPr>
          <w:rFonts w:ascii="Simplified Arabic" w:hAnsi="Simplified Arabic"/>
          <w:rtl/>
        </w:rPr>
        <w:t xml:space="preserve"> </w:t>
      </w:r>
      <w:r w:rsidRPr="00DB5824">
        <w:rPr>
          <w:rFonts w:ascii="Simplified Arabic" w:hAnsi="Simplified Arabic" w:hint="cs"/>
          <w:rtl/>
        </w:rPr>
        <w:t>المجتمعات</w:t>
      </w:r>
      <w:r w:rsidRPr="00DB5824">
        <w:rPr>
          <w:rFonts w:ascii="Simplified Arabic" w:hAnsi="Simplified Arabic"/>
          <w:rtl/>
        </w:rPr>
        <w:t xml:space="preserve"> </w:t>
      </w:r>
      <w:r w:rsidRPr="00DB5824">
        <w:rPr>
          <w:rFonts w:ascii="Simplified Arabic" w:hAnsi="Simplified Arabic" w:hint="cs"/>
          <w:rtl/>
        </w:rPr>
        <w:t>الأصلية</w:t>
      </w:r>
      <w:r w:rsidRPr="00DB5824">
        <w:rPr>
          <w:rFonts w:ascii="Simplified Arabic" w:hAnsi="Simplified Arabic"/>
          <w:rtl/>
        </w:rPr>
        <w:t xml:space="preserve"> </w:t>
      </w:r>
      <w:r w:rsidRPr="00DB5824">
        <w:rPr>
          <w:rFonts w:ascii="Simplified Arabic" w:hAnsi="Simplified Arabic" w:hint="cs"/>
          <w:rtl/>
        </w:rPr>
        <w:t>والمحلية؛</w:t>
      </w:r>
      <w:r w:rsidRPr="00B352DB">
        <w:rPr>
          <w:kern w:val="22"/>
          <w:szCs w:val="22"/>
          <w:vertAlign w:val="superscript"/>
        </w:rPr>
        <w:footnoteReference w:id="245"/>
      </w:r>
    </w:p>
    <w:p w:rsidR="00FA2E1F" w:rsidRPr="00DB5824" w:rsidRDefault="00FA2E1F" w:rsidP="00FA2E1F">
      <w:pPr>
        <w:ind w:left="4" w:firstLine="720"/>
        <w:rPr>
          <w:rFonts w:ascii="Simplified Arabic" w:hAnsi="Simplified Arabic"/>
          <w:rtl/>
        </w:rPr>
      </w:pPr>
      <w:r w:rsidRPr="00DB5824">
        <w:rPr>
          <w:rFonts w:ascii="Simplified Arabic" w:hAnsi="Simplified Arabic" w:hint="cs"/>
          <w:rtl/>
        </w:rPr>
        <w:t>(ب)</w:t>
      </w:r>
      <w:r w:rsidRPr="00DB5824">
        <w:rPr>
          <w:rFonts w:ascii="Simplified Arabic" w:hAnsi="Simplified Arabic" w:hint="cs"/>
          <w:rtl/>
        </w:rPr>
        <w:tab/>
        <w:t>مدونة</w:t>
      </w:r>
      <w:r w:rsidRPr="00DB5824">
        <w:rPr>
          <w:rFonts w:ascii="Simplified Arabic" w:hAnsi="Simplified Arabic"/>
          <w:rtl/>
        </w:rPr>
        <w:t xml:space="preserve"> </w:t>
      </w:r>
      <w:r w:rsidRPr="00DB5824">
        <w:rPr>
          <w:rFonts w:ascii="Simplified Arabic" w:hAnsi="Simplified Arabic" w:hint="cs"/>
          <w:rtl/>
        </w:rPr>
        <w:t>السلوك</w:t>
      </w:r>
      <w:r w:rsidRPr="00DB5824">
        <w:rPr>
          <w:rFonts w:ascii="Simplified Arabic" w:hAnsi="Simplified Arabic"/>
          <w:rtl/>
        </w:rPr>
        <w:t xml:space="preserve"> </w:t>
      </w:r>
      <w:r w:rsidRPr="00DB5824">
        <w:rPr>
          <w:rFonts w:ascii="Simplified Arabic" w:hAnsi="Simplified Arabic" w:hint="cs"/>
          <w:rtl/>
        </w:rPr>
        <w:t>الأخلاقي</w:t>
      </w:r>
      <w:r w:rsidRPr="00DB5824">
        <w:rPr>
          <w:rFonts w:ascii="Simplified Arabic" w:hAnsi="Simplified Arabic"/>
          <w:rtl/>
        </w:rPr>
        <w:t xml:space="preserve"> تغاريوايي:ري</w:t>
      </w:r>
      <w:r w:rsidRPr="00DB5824">
        <w:rPr>
          <w:rFonts w:ascii="Simplified Arabic" w:hAnsi="Simplified Arabic" w:hint="cs"/>
          <w:rtl/>
        </w:rPr>
        <w:t xml:space="preserve"> لضمان احترام التراث الثقافي والفكري للمجتمعات الأصلية والمحلية؛</w:t>
      </w:r>
      <w:r w:rsidRPr="00B352DB">
        <w:rPr>
          <w:kern w:val="22"/>
          <w:szCs w:val="22"/>
          <w:vertAlign w:val="superscript"/>
        </w:rPr>
        <w:footnoteReference w:id="246"/>
      </w:r>
    </w:p>
    <w:p w:rsidR="00FA2E1F" w:rsidRPr="00DB5824" w:rsidRDefault="00FA2E1F" w:rsidP="00FA2E1F">
      <w:pPr>
        <w:ind w:left="4" w:firstLine="720"/>
        <w:rPr>
          <w:rFonts w:ascii="Simplified Arabic" w:hAnsi="Simplified Arabic"/>
          <w:rtl/>
        </w:rPr>
      </w:pPr>
      <w:r w:rsidRPr="00DB5824">
        <w:rPr>
          <w:rFonts w:ascii="Simplified Arabic" w:hAnsi="Simplified Arabic" w:hint="cs"/>
          <w:rtl/>
        </w:rPr>
        <w:t>(ج)</w:t>
      </w:r>
      <w:r w:rsidRPr="00DB5824">
        <w:rPr>
          <w:rFonts w:ascii="Simplified Arabic" w:hAnsi="Simplified Arabic" w:hint="cs"/>
          <w:rtl/>
        </w:rPr>
        <w:tab/>
      </w:r>
      <w:r w:rsidRPr="00DB5824">
        <w:rPr>
          <w:rFonts w:ascii="Simplified Arabic" w:hAnsi="Simplified Arabic"/>
          <w:rtl/>
        </w:rPr>
        <w:t>المبادئ التوجيهية الطوعية</w:t>
      </w:r>
      <w:r w:rsidRPr="00DB5824">
        <w:rPr>
          <w:rFonts w:ascii="Simplified Arabic" w:hAnsi="Simplified Arabic" w:hint="cs"/>
          <w:rtl/>
        </w:rPr>
        <w:t xml:space="preserve"> </w:t>
      </w:r>
      <w:r w:rsidRPr="00DB5824">
        <w:rPr>
          <w:rFonts w:ascii="Simplified Arabic" w:hAnsi="Simplified Arabic"/>
          <w:rtl/>
        </w:rPr>
        <w:t>موتز كوستال</w:t>
      </w:r>
      <w:r w:rsidRPr="00B352DB">
        <w:rPr>
          <w:kern w:val="22"/>
          <w:szCs w:val="22"/>
          <w:vertAlign w:val="superscript"/>
        </w:rPr>
        <w:footnoteReference w:id="247"/>
      </w:r>
      <w:r w:rsidRPr="00DB5824">
        <w:rPr>
          <w:rFonts w:ascii="Simplified Arabic" w:hAnsi="Simplified Arabic" w:hint="cs"/>
          <w:rtl/>
        </w:rPr>
        <w:t xml:space="preserve"> </w:t>
      </w:r>
      <w:r w:rsidRPr="00DB5824">
        <w:rPr>
          <w:rFonts w:ascii="Simplified Arabic" w:hAnsi="Simplified Arabic"/>
          <w:rtl/>
        </w:rPr>
        <w:t xml:space="preserve">لإعداد آليات </w:t>
      </w:r>
      <w:r w:rsidRPr="00DB5824">
        <w:rPr>
          <w:rFonts w:ascii="Simplified Arabic" w:hAnsi="Simplified Arabic" w:hint="cs"/>
          <w:rtl/>
        </w:rPr>
        <w:t xml:space="preserve">أو </w:t>
      </w:r>
      <w:r w:rsidRPr="00DB5824">
        <w:rPr>
          <w:rFonts w:ascii="Simplified Arabic" w:hAnsi="Simplified Arabic"/>
          <w:rtl/>
        </w:rPr>
        <w:t>تشريعات أو مبادرات مناسبة أخرى لضمان "الموافقة المسبقة عن علم" أو "الموافقة الحرة والمسبقة عن علم" أو "ال</w:t>
      </w:r>
      <w:r>
        <w:rPr>
          <w:rFonts w:ascii="Simplified Arabic" w:hAnsi="Simplified Arabic" w:hint="cs"/>
          <w:rtl/>
        </w:rPr>
        <w:t>قبول</w:t>
      </w:r>
      <w:r w:rsidRPr="00DB5824">
        <w:rPr>
          <w:rFonts w:ascii="Simplified Arabic" w:hAnsi="Simplified Arabic"/>
          <w:rtl/>
        </w:rPr>
        <w:t xml:space="preserve"> والمشاركة"، تبعا للظروف الوطنية، للشعوب الأصلية والمجتمعات </w:t>
      </w:r>
      <w:r w:rsidRPr="00DB5824">
        <w:rPr>
          <w:rFonts w:hint="cs"/>
          <w:rtl/>
        </w:rPr>
        <w:t>المحلية</w:t>
      </w:r>
      <w:r w:rsidRPr="00B352DB">
        <w:rPr>
          <w:kern w:val="22"/>
          <w:szCs w:val="22"/>
          <w:vertAlign w:val="superscript"/>
        </w:rPr>
        <w:footnoteReference w:id="248"/>
      </w:r>
      <w:r w:rsidRPr="00DB5824">
        <w:rPr>
          <w:rFonts w:hint="cs"/>
          <w:rtl/>
        </w:rPr>
        <w:t xml:space="preserve"> </w:t>
      </w:r>
      <w:r w:rsidRPr="00DB5824">
        <w:rPr>
          <w:rFonts w:ascii="Simplified Arabic" w:hAnsi="Simplified Arabic"/>
          <w:rtl/>
        </w:rPr>
        <w:t xml:space="preserve">للحصول على معارفها وابتكاراتها وممارساتها، للتقاسم العادل والمنصف للمنافع الناشئة عن استخدام </w:t>
      </w:r>
      <w:r w:rsidRPr="00DB5824">
        <w:rPr>
          <w:rFonts w:ascii="Simplified Arabic" w:hAnsi="Simplified Arabic"/>
          <w:rtl/>
        </w:rPr>
        <w:lastRenderedPageBreak/>
        <w:t>هذه المعارف والابتكارات والممارسات ذات الصلة بحفظ التنوع البيولوجي واستخدامه المستدام، وللإبلاغ عن ال</w:t>
      </w:r>
      <w:r>
        <w:rPr>
          <w:rFonts w:ascii="Simplified Arabic" w:hAnsi="Simplified Arabic" w:hint="cs"/>
          <w:rtl/>
        </w:rPr>
        <w:t>استيلاء</w:t>
      </w:r>
      <w:r w:rsidRPr="00DB5824">
        <w:rPr>
          <w:rFonts w:ascii="Simplified Arabic" w:hAnsi="Simplified Arabic"/>
          <w:rtl/>
        </w:rPr>
        <w:t xml:space="preserve"> غير المشروع على المعارف </w:t>
      </w:r>
      <w:r>
        <w:rPr>
          <w:rFonts w:ascii="Simplified Arabic" w:hAnsi="Simplified Arabic" w:hint="cs"/>
          <w:rtl/>
        </w:rPr>
        <w:t xml:space="preserve">التقليدية </w:t>
      </w:r>
      <w:r w:rsidRPr="00DB5824">
        <w:rPr>
          <w:rFonts w:ascii="Simplified Arabic" w:hAnsi="Simplified Arabic"/>
          <w:rtl/>
        </w:rPr>
        <w:t>ومنعه</w:t>
      </w:r>
      <w:r w:rsidRPr="00DB5824">
        <w:rPr>
          <w:rFonts w:hint="cs"/>
          <w:rtl/>
        </w:rPr>
        <w:t>؛</w:t>
      </w:r>
      <w:r w:rsidRPr="00B352DB">
        <w:rPr>
          <w:kern w:val="22"/>
          <w:szCs w:val="22"/>
          <w:vertAlign w:val="superscript"/>
        </w:rPr>
        <w:footnoteReference w:id="249"/>
      </w:r>
    </w:p>
    <w:p w:rsidR="00FA2E1F" w:rsidRPr="00DB5824" w:rsidRDefault="00FA2E1F" w:rsidP="00FA2E1F">
      <w:pPr>
        <w:ind w:left="4" w:firstLine="720"/>
        <w:rPr>
          <w:rtl/>
        </w:rPr>
      </w:pPr>
      <w:r w:rsidRPr="00DB5824">
        <w:rPr>
          <w:rFonts w:hint="cs"/>
          <w:rtl/>
        </w:rPr>
        <w:t>(د)</w:t>
      </w:r>
      <w:r w:rsidRPr="00DB5824">
        <w:rPr>
          <w:rFonts w:hint="cs"/>
          <w:rtl/>
        </w:rPr>
        <w:tab/>
        <w:t>المبادئ</w:t>
      </w:r>
      <w:r w:rsidRPr="00DB5824">
        <w:rPr>
          <w:rtl/>
        </w:rPr>
        <w:t xml:space="preserve"> </w:t>
      </w:r>
      <w:r w:rsidRPr="00DB5824">
        <w:rPr>
          <w:rFonts w:ascii="Simplified Arabic" w:hAnsi="Simplified Arabic" w:hint="cs"/>
          <w:rtl/>
        </w:rPr>
        <w:t>التوجيهية</w:t>
      </w:r>
      <w:r w:rsidRPr="00DB5824">
        <w:rPr>
          <w:rtl/>
        </w:rPr>
        <w:t xml:space="preserve"> </w:t>
      </w:r>
      <w:r w:rsidRPr="00DB5824">
        <w:rPr>
          <w:rFonts w:hint="cs"/>
          <w:rtl/>
        </w:rPr>
        <w:t>الطوعية</w:t>
      </w:r>
      <w:r w:rsidRPr="00DB5824">
        <w:rPr>
          <w:rtl/>
        </w:rPr>
        <w:t xml:space="preserve"> </w:t>
      </w:r>
      <w:r w:rsidRPr="00DB5824">
        <w:rPr>
          <w:rFonts w:hint="cs"/>
          <w:rtl/>
        </w:rPr>
        <w:t>روتسوليهيرساجيك</w:t>
      </w:r>
      <w:r w:rsidRPr="00DB5824">
        <w:rPr>
          <w:rtl/>
        </w:rPr>
        <w:t xml:space="preserve"> </w:t>
      </w:r>
      <w:r w:rsidRPr="00DB5824">
        <w:rPr>
          <w:rFonts w:hint="cs"/>
          <w:rtl/>
        </w:rPr>
        <w:t>لإعادة</w:t>
      </w:r>
      <w:r w:rsidRPr="00DB5824">
        <w:rPr>
          <w:rtl/>
        </w:rPr>
        <w:t xml:space="preserve"> </w:t>
      </w:r>
      <w:r w:rsidRPr="00DB5824">
        <w:rPr>
          <w:rFonts w:hint="cs"/>
          <w:rtl/>
        </w:rPr>
        <w:t>توطين</w:t>
      </w:r>
      <w:r w:rsidRPr="00DB5824">
        <w:rPr>
          <w:rtl/>
        </w:rPr>
        <w:t xml:space="preserve"> </w:t>
      </w:r>
      <w:r w:rsidRPr="00DB5824">
        <w:rPr>
          <w:rFonts w:hint="cs"/>
          <w:rtl/>
        </w:rPr>
        <w:t>المعارف</w:t>
      </w:r>
      <w:r w:rsidRPr="00DB5824">
        <w:rPr>
          <w:rtl/>
        </w:rPr>
        <w:t xml:space="preserve"> </w:t>
      </w:r>
      <w:r w:rsidRPr="00DB5824">
        <w:rPr>
          <w:rFonts w:hint="cs"/>
          <w:rtl/>
        </w:rPr>
        <w:t>التقليدية</w:t>
      </w:r>
      <w:r w:rsidRPr="00DB5824">
        <w:rPr>
          <w:rtl/>
        </w:rPr>
        <w:t xml:space="preserve"> </w:t>
      </w:r>
      <w:r w:rsidRPr="00DB5824">
        <w:rPr>
          <w:rFonts w:hint="cs"/>
          <w:rtl/>
        </w:rPr>
        <w:t>للشعوب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ذات</w:t>
      </w:r>
      <w:r w:rsidRPr="00DB5824">
        <w:rPr>
          <w:rtl/>
        </w:rPr>
        <w:t xml:space="preserve"> </w:t>
      </w:r>
      <w:r w:rsidRPr="00DB5824">
        <w:rPr>
          <w:rFonts w:hint="cs"/>
          <w:rtl/>
        </w:rPr>
        <w:t>الصلة</w:t>
      </w:r>
      <w:r w:rsidRPr="00DB5824">
        <w:rPr>
          <w:rtl/>
        </w:rPr>
        <w:t xml:space="preserve"> </w:t>
      </w:r>
      <w:r w:rsidRPr="00DB5824">
        <w:rPr>
          <w:rFonts w:hint="cs"/>
          <w:rtl/>
        </w:rPr>
        <w:t>بحفظ</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واستخدامه</w:t>
      </w:r>
      <w:r w:rsidRPr="00DB5824">
        <w:rPr>
          <w:rtl/>
        </w:rPr>
        <w:t xml:space="preserve"> </w:t>
      </w:r>
      <w:r w:rsidRPr="00DB5824">
        <w:rPr>
          <w:rFonts w:hint="cs"/>
          <w:rtl/>
        </w:rPr>
        <w:t>المستدام؛</w:t>
      </w:r>
      <w:r w:rsidRPr="00B352DB">
        <w:rPr>
          <w:kern w:val="22"/>
          <w:szCs w:val="22"/>
          <w:vertAlign w:val="superscript"/>
        </w:rPr>
        <w:footnoteReference w:id="250"/>
      </w:r>
    </w:p>
    <w:p w:rsidR="00FA2E1F" w:rsidRPr="00DB5824" w:rsidRDefault="00FA2E1F" w:rsidP="00FA2E1F">
      <w:pPr>
        <w:ind w:left="4" w:firstLine="720"/>
        <w:rPr>
          <w:rtl/>
        </w:rPr>
      </w:pPr>
      <w:r w:rsidRPr="00DB5824">
        <w:rPr>
          <w:rFonts w:hint="cs"/>
          <w:rtl/>
        </w:rPr>
        <w:t>(هـ)</w:t>
      </w:r>
      <w:r w:rsidRPr="00DB5824">
        <w:rPr>
          <w:rFonts w:hint="cs"/>
          <w:rtl/>
        </w:rPr>
        <w:tab/>
        <w:t xml:space="preserve">خطة العمل </w:t>
      </w:r>
      <w:r w:rsidRPr="00DB5824">
        <w:rPr>
          <w:rFonts w:ascii="Simplified Arabic" w:hAnsi="Simplified Arabic" w:hint="cs"/>
          <w:rtl/>
        </w:rPr>
        <w:t>العالمية</w:t>
      </w:r>
      <w:r w:rsidRPr="00DB5824">
        <w:rPr>
          <w:rFonts w:hint="cs"/>
          <w:rtl/>
        </w:rPr>
        <w:t xml:space="preserve"> بشأن الاستخدام المألوف المستدام للتنوع البيولوجي؛</w:t>
      </w:r>
      <w:r w:rsidRPr="00DB5824">
        <w:rPr>
          <w:kern w:val="22"/>
          <w:vertAlign w:val="superscript"/>
        </w:rPr>
        <w:footnoteReference w:id="251"/>
      </w:r>
    </w:p>
    <w:p w:rsidR="00FA2E1F" w:rsidRPr="00DB5824" w:rsidRDefault="00FA2E1F" w:rsidP="00FA2E1F">
      <w:pPr>
        <w:ind w:left="4" w:firstLine="720"/>
        <w:rPr>
          <w:rtl/>
        </w:rPr>
      </w:pPr>
      <w:r w:rsidRPr="00DB5824">
        <w:rPr>
          <w:rFonts w:hint="cs"/>
          <w:i/>
          <w:iCs/>
          <w:rtl/>
        </w:rPr>
        <w:t xml:space="preserve">وإذ يضع في الاعتبار </w:t>
      </w:r>
      <w:r w:rsidRPr="00DB5824">
        <w:rPr>
          <w:rFonts w:hint="cs"/>
          <w:rtl/>
        </w:rPr>
        <w:t>برنامج العمل المشترك ما بين أمانة اتفاقية التنوع البيولوجي ومنظمة</w:t>
      </w:r>
      <w:r w:rsidRPr="00DB5824">
        <w:rPr>
          <w:rtl/>
        </w:rPr>
        <w:t xml:space="preserve"> </w:t>
      </w:r>
      <w:r w:rsidRPr="00DB5824">
        <w:rPr>
          <w:rFonts w:hint="cs"/>
          <w:rtl/>
        </w:rPr>
        <w:t>الأمم</w:t>
      </w:r>
      <w:r w:rsidRPr="00DB5824">
        <w:rPr>
          <w:rtl/>
        </w:rPr>
        <w:t xml:space="preserve"> </w:t>
      </w:r>
      <w:r w:rsidRPr="00DB5824">
        <w:rPr>
          <w:rFonts w:hint="cs"/>
          <w:rtl/>
        </w:rPr>
        <w:t>المتحدة</w:t>
      </w:r>
      <w:r w:rsidRPr="00DB5824">
        <w:rPr>
          <w:rtl/>
        </w:rPr>
        <w:t xml:space="preserve"> </w:t>
      </w:r>
      <w:r w:rsidRPr="00DB5824">
        <w:rPr>
          <w:rFonts w:hint="cs"/>
          <w:rtl/>
        </w:rPr>
        <w:t>للتربية</w:t>
      </w:r>
      <w:r w:rsidRPr="00DB5824">
        <w:rPr>
          <w:rtl/>
        </w:rPr>
        <w:t xml:space="preserve"> </w:t>
      </w:r>
      <w:r w:rsidRPr="00DB5824">
        <w:rPr>
          <w:rFonts w:hint="cs"/>
          <w:rtl/>
        </w:rPr>
        <w:t>والعلم</w:t>
      </w:r>
      <w:r w:rsidRPr="00DB5824">
        <w:rPr>
          <w:rtl/>
        </w:rPr>
        <w:t xml:space="preserve"> </w:t>
      </w:r>
      <w:r w:rsidRPr="00DB5824">
        <w:rPr>
          <w:rFonts w:hint="cs"/>
          <w:rtl/>
        </w:rPr>
        <w:t>والثقافة</w:t>
      </w:r>
      <w:r w:rsidRPr="00DB5824">
        <w:t xml:space="preserve"> </w:t>
      </w:r>
      <w:r w:rsidRPr="00DB5824">
        <w:rPr>
          <w:rFonts w:hint="cs"/>
          <w:rtl/>
        </w:rPr>
        <w:t>بشأن الروابط الموجودة بين التنوع البيولوجي والثقافي،</w:t>
      </w:r>
      <w:r w:rsidRPr="00B352DB">
        <w:rPr>
          <w:kern w:val="22"/>
          <w:szCs w:val="22"/>
          <w:vertAlign w:val="superscript"/>
        </w:rPr>
        <w:footnoteReference w:id="252"/>
      </w:r>
    </w:p>
    <w:p w:rsidR="00FA2E1F" w:rsidRPr="00DB5824" w:rsidRDefault="00FA2E1F" w:rsidP="00FA2E1F">
      <w:pPr>
        <w:ind w:left="4" w:firstLine="720"/>
        <w:rPr>
          <w:rtl/>
        </w:rPr>
      </w:pPr>
      <w:r w:rsidRPr="00DB5824">
        <w:rPr>
          <w:rFonts w:hint="cs"/>
          <w:i/>
          <w:iCs/>
          <w:rtl/>
        </w:rPr>
        <w:t xml:space="preserve">وإذ يرحب </w:t>
      </w:r>
      <w:r w:rsidRPr="00DB5824">
        <w:rPr>
          <w:rFonts w:hint="cs"/>
          <w:rtl/>
        </w:rPr>
        <w:t>بإنهاء العمل بشأن المهمة 15 عن طريق اعتماد المبادئ</w:t>
      </w:r>
      <w:r w:rsidRPr="00DB5824">
        <w:rPr>
          <w:rtl/>
        </w:rPr>
        <w:t xml:space="preserve"> </w:t>
      </w:r>
      <w:r w:rsidRPr="00DB5824">
        <w:rPr>
          <w:rFonts w:hint="cs"/>
          <w:rtl/>
        </w:rPr>
        <w:t>التوجيهية</w:t>
      </w:r>
      <w:r w:rsidRPr="00DB5824">
        <w:rPr>
          <w:rtl/>
        </w:rPr>
        <w:t xml:space="preserve"> </w:t>
      </w:r>
      <w:r w:rsidRPr="00DB5824">
        <w:rPr>
          <w:rFonts w:hint="cs"/>
          <w:rtl/>
        </w:rPr>
        <w:t>الطوعية</w:t>
      </w:r>
      <w:r w:rsidRPr="00DB5824">
        <w:rPr>
          <w:rtl/>
        </w:rPr>
        <w:t xml:space="preserve"> </w:t>
      </w:r>
      <w:r w:rsidRPr="00DB5824">
        <w:rPr>
          <w:rFonts w:hint="cs"/>
          <w:rtl/>
        </w:rPr>
        <w:t>روتسوليهيرساجيك</w:t>
      </w:r>
      <w:r w:rsidRPr="00DB5824">
        <w:rPr>
          <w:rtl/>
        </w:rPr>
        <w:t xml:space="preserve"> </w:t>
      </w:r>
      <w:r w:rsidRPr="00DB5824">
        <w:rPr>
          <w:rFonts w:hint="cs"/>
          <w:rtl/>
        </w:rPr>
        <w:t>لإعادة</w:t>
      </w:r>
      <w:r w:rsidRPr="00DB5824">
        <w:rPr>
          <w:rtl/>
        </w:rPr>
        <w:t xml:space="preserve"> </w:t>
      </w:r>
      <w:r w:rsidRPr="00DB5824">
        <w:rPr>
          <w:rFonts w:hint="cs"/>
          <w:rtl/>
        </w:rPr>
        <w:t>توطين</w:t>
      </w:r>
      <w:r w:rsidRPr="00DB5824">
        <w:rPr>
          <w:rtl/>
        </w:rPr>
        <w:t xml:space="preserve"> </w:t>
      </w:r>
      <w:r w:rsidRPr="00DB5824">
        <w:rPr>
          <w:rFonts w:hint="cs"/>
          <w:rtl/>
        </w:rPr>
        <w:t>المعارف</w:t>
      </w:r>
      <w:r w:rsidRPr="00DB5824">
        <w:rPr>
          <w:rtl/>
        </w:rPr>
        <w:t xml:space="preserve"> </w:t>
      </w:r>
      <w:r w:rsidRPr="00DB5824">
        <w:rPr>
          <w:rFonts w:hint="cs"/>
          <w:rtl/>
        </w:rPr>
        <w:t>التقليدية</w:t>
      </w:r>
      <w:r w:rsidRPr="00DB5824">
        <w:rPr>
          <w:rtl/>
        </w:rPr>
        <w:t xml:space="preserve"> </w:t>
      </w:r>
      <w:r w:rsidRPr="00DB5824">
        <w:rPr>
          <w:rFonts w:hint="cs"/>
          <w:rtl/>
        </w:rPr>
        <w:t>للشعوب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ذات</w:t>
      </w:r>
      <w:r w:rsidRPr="00DB5824">
        <w:rPr>
          <w:rtl/>
        </w:rPr>
        <w:t xml:space="preserve"> </w:t>
      </w:r>
      <w:r w:rsidRPr="00DB5824">
        <w:rPr>
          <w:rFonts w:hint="cs"/>
          <w:rtl/>
        </w:rPr>
        <w:t>الصلة</w:t>
      </w:r>
      <w:r w:rsidRPr="00DB5824">
        <w:rPr>
          <w:rtl/>
        </w:rPr>
        <w:t xml:space="preserve"> </w:t>
      </w:r>
      <w:r w:rsidRPr="00DB5824">
        <w:rPr>
          <w:rFonts w:hint="cs"/>
          <w:rtl/>
        </w:rPr>
        <w:t>بحفظ</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واستخدامه</w:t>
      </w:r>
      <w:r w:rsidRPr="00DB5824">
        <w:rPr>
          <w:rtl/>
        </w:rPr>
        <w:t xml:space="preserve"> </w:t>
      </w:r>
      <w:r w:rsidRPr="00DB5824">
        <w:rPr>
          <w:rFonts w:hint="cs"/>
          <w:rtl/>
        </w:rPr>
        <w:t>المستدام،</w:t>
      </w:r>
      <w:r w:rsidRPr="00B352DB">
        <w:rPr>
          <w:kern w:val="22"/>
          <w:szCs w:val="22"/>
          <w:vertAlign w:val="superscript"/>
        </w:rPr>
        <w:footnoteReference w:id="253"/>
      </w:r>
    </w:p>
    <w:p w:rsidR="00FA2E1F" w:rsidRPr="00DB5824" w:rsidRDefault="00FA2E1F" w:rsidP="00FA2E1F">
      <w:pPr>
        <w:ind w:left="4" w:firstLine="720"/>
        <w:rPr>
          <w:rtl/>
        </w:rPr>
      </w:pPr>
      <w:r w:rsidRPr="00DB5824">
        <w:rPr>
          <w:rFonts w:hint="cs"/>
          <w:i/>
          <w:iCs/>
          <w:rtl/>
        </w:rPr>
        <w:t>وإذ يشير</w:t>
      </w:r>
      <w:r w:rsidRPr="00DB5824">
        <w:rPr>
          <w:rFonts w:hint="cs"/>
          <w:rtl/>
        </w:rPr>
        <w:t xml:space="preserve"> إلى أن المهام 1 و2 و4، فضلا عن تنفيذ المبادئ التوجيهية والمعايير المذكورة أعلاه التي اعتمدها مؤتمر الأطراف تمثل مسؤوليات مستمرة تتعهد بها الأطراف،</w:t>
      </w:r>
    </w:p>
    <w:p w:rsidR="00FA2E1F" w:rsidRPr="00DB5824" w:rsidRDefault="00FA2E1F" w:rsidP="00FA2E1F">
      <w:pPr>
        <w:ind w:left="4" w:firstLine="720"/>
        <w:rPr>
          <w:rtl/>
        </w:rPr>
      </w:pPr>
      <w:r w:rsidRPr="00DB5824">
        <w:rPr>
          <w:rFonts w:hint="cs"/>
          <w:i/>
          <w:iCs/>
          <w:rtl/>
        </w:rPr>
        <w:t xml:space="preserve">وإذ يشدد </w:t>
      </w:r>
      <w:r w:rsidRPr="00DB5824">
        <w:rPr>
          <w:rFonts w:hint="cs"/>
          <w:rtl/>
        </w:rPr>
        <w:t>على الحاجة إلى التنفيذ الفعال للمبادئ التوجيهية والمعايير ذات الصلة ب</w:t>
      </w:r>
      <w:r w:rsidRPr="00DB5824">
        <w:rPr>
          <w:rFonts w:ascii="Simplified Arabic" w:hAnsi="Simplified Arabic" w:hint="cs"/>
          <w:rtl/>
        </w:rPr>
        <w:t>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 xml:space="preserve">بها على الصعيد الوطني من أجل إحراز تقدم نحو تحقيق </w:t>
      </w:r>
      <w:r w:rsidRPr="00DB5824">
        <w:rPr>
          <w:rtl/>
        </w:rPr>
        <w:t xml:space="preserve">الهدف 18 من أهداف أيشي للتنوع البيولوجي </w:t>
      </w:r>
      <w:r w:rsidRPr="00DB5824">
        <w:rPr>
          <w:rFonts w:hint="cs"/>
          <w:rtl/>
        </w:rPr>
        <w:t>من الخطة الاستراتيجية للتنوع البيولوجي 2011- 2020،</w:t>
      </w:r>
    </w:p>
    <w:p w:rsidR="00FA2E1F" w:rsidRPr="00DB5824" w:rsidRDefault="00FA2E1F" w:rsidP="00CD26C5">
      <w:pPr>
        <w:numPr>
          <w:ilvl w:val="0"/>
          <w:numId w:val="66"/>
        </w:numPr>
        <w:ind w:left="4" w:firstLine="727"/>
        <w:rPr>
          <w:rFonts w:ascii="Simplified Arabic" w:hAnsi="Simplified Arabic"/>
          <w:rtl/>
        </w:rPr>
      </w:pPr>
      <w:r w:rsidRPr="00DB5824">
        <w:rPr>
          <w:rFonts w:hint="cs"/>
          <w:i/>
          <w:iCs/>
          <w:rtl/>
        </w:rPr>
        <w:t xml:space="preserve">يقرر </w:t>
      </w:r>
      <w:r w:rsidRPr="00DB5824">
        <w:rPr>
          <w:rFonts w:hint="cs"/>
          <w:rtl/>
        </w:rPr>
        <w:t xml:space="preserve">إتمام </w:t>
      </w:r>
      <w:r w:rsidRPr="00DB5824">
        <w:rPr>
          <w:rFonts w:ascii="Simplified Arabic" w:hAnsi="Simplified Arabic" w:hint="cs"/>
          <w:rtl/>
        </w:rPr>
        <w:t xml:space="preserve">برنامج العمل الحالي </w:t>
      </w:r>
      <w:r w:rsidRPr="00DB5824">
        <w:rPr>
          <w:rFonts w:ascii="Simplified Arabic" w:hAnsi="Simplified Arabic" w:hint="cs"/>
          <w:i/>
          <w:color w:val="000000"/>
          <w:kern w:val="22"/>
          <w:rtl/>
        </w:rPr>
        <w:t>بشأن 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بها في موعد أقصاه الاجتماع الخامس عشر لمؤتمر الأطراف؛</w:t>
      </w:r>
    </w:p>
    <w:p w:rsidR="00FA2E1F" w:rsidRPr="00DB5824" w:rsidRDefault="00FA2E1F" w:rsidP="00CD26C5">
      <w:pPr>
        <w:numPr>
          <w:ilvl w:val="0"/>
          <w:numId w:val="66"/>
        </w:numPr>
        <w:ind w:left="4" w:firstLine="727"/>
        <w:rPr>
          <w:rFonts w:ascii="Simplified Arabic" w:hAnsi="Simplified Arabic"/>
          <w:rtl/>
        </w:rPr>
      </w:pPr>
      <w:r w:rsidRPr="00DB5824">
        <w:rPr>
          <w:rFonts w:hint="cs"/>
          <w:i/>
          <w:iCs/>
          <w:rtl/>
        </w:rPr>
        <w:t>يقرر أيضا</w:t>
      </w:r>
      <w:r w:rsidRPr="00DB5824">
        <w:rPr>
          <w:rFonts w:hint="cs"/>
          <w:rtl/>
        </w:rPr>
        <w:t xml:space="preserve"> النظر في وضع برنامج عمل متكامل تماما بشأن </w:t>
      </w:r>
      <w:r w:rsidRPr="00DB5824">
        <w:rPr>
          <w:rFonts w:ascii="Simplified Arabic" w:hAnsi="Simplified Arabic" w:hint="cs"/>
          <w:rtl/>
        </w:rPr>
        <w:t>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بها ضمن إطار ال</w:t>
      </w:r>
      <w:r>
        <w:rPr>
          <w:rFonts w:ascii="Simplified Arabic" w:hAnsi="Simplified Arabic" w:hint="cs"/>
          <w:rtl/>
        </w:rPr>
        <w:t xml:space="preserve">تنوع البيولوجي لما بعد عام 2020، </w:t>
      </w:r>
      <w:r>
        <w:rPr>
          <w:rFonts w:hint="cs"/>
          <w:rtl/>
        </w:rPr>
        <w:t>للسماح بالمشاركة الكاملة والفعالة للشعوب الأصلية والمجتمعات المحلية في عمل الاتفاقية</w:t>
      </w:r>
      <w:r>
        <w:rPr>
          <w:rFonts w:ascii="Simplified Arabic" w:hAnsi="Simplified Arabic" w:hint="cs"/>
          <w:rtl/>
        </w:rPr>
        <w:t xml:space="preserve">، </w:t>
      </w:r>
      <w:r w:rsidRPr="00DB5824">
        <w:rPr>
          <w:rFonts w:ascii="Simplified Arabic" w:hAnsi="Simplified Arabic" w:hint="cs"/>
          <w:rtl/>
        </w:rPr>
        <w:t>على أساس الإنجازات التي تحققت حتى الآن</w:t>
      </w:r>
      <w:r>
        <w:rPr>
          <w:rFonts w:ascii="Simplified Arabic" w:hAnsi="Simplified Arabic" w:hint="cs"/>
          <w:rtl/>
        </w:rPr>
        <w:t>، مع مراعاة المهام الجارية والمؤجلة للأطراف</w:t>
      </w:r>
      <w:r w:rsidRPr="00DB5824">
        <w:rPr>
          <w:rFonts w:ascii="Simplified Arabic" w:hAnsi="Simplified Arabic" w:hint="cs"/>
          <w:rtl/>
        </w:rPr>
        <w:t xml:space="preserve">، </w:t>
      </w:r>
      <w:r>
        <w:rPr>
          <w:rFonts w:ascii="Simplified Arabic" w:hAnsi="Simplified Arabic" w:hint="cs"/>
          <w:rtl/>
        </w:rPr>
        <w:t>و</w:t>
      </w:r>
      <w:r w:rsidRPr="00DB5824">
        <w:rPr>
          <w:rFonts w:ascii="Simplified Arabic" w:hAnsi="Simplified Arabic" w:hint="cs"/>
          <w:rtl/>
        </w:rPr>
        <w:t xml:space="preserve">مع مراعاة أيضا خطة التنمية المستدامة لعام 2030، </w:t>
      </w:r>
      <w:r w:rsidRPr="00102EB8">
        <w:rPr>
          <w:rFonts w:ascii="Simplified Arabic" w:hAnsi="Simplified Arabic" w:hint="cs"/>
          <w:rtl/>
        </w:rPr>
        <w:t>وأهدافها</w:t>
      </w:r>
      <w:r>
        <w:rPr>
          <w:rFonts w:ascii="Simplified Arabic" w:hAnsi="Simplified Arabic" w:hint="cs"/>
          <w:rtl/>
        </w:rPr>
        <w:t>،</w:t>
      </w:r>
      <w:r w:rsidRPr="00AE2AAA">
        <w:rPr>
          <w:rFonts w:hint="cs"/>
          <w:kern w:val="22"/>
          <w:szCs w:val="22"/>
          <w:vertAlign w:val="superscript"/>
          <w:rtl/>
        </w:rPr>
        <w:t>2</w:t>
      </w:r>
      <w:r w:rsidRPr="00102EB8">
        <w:rPr>
          <w:rFonts w:ascii="Simplified Arabic" w:hAnsi="Simplified Arabic" w:hint="cs"/>
          <w:rtl/>
        </w:rPr>
        <w:t xml:space="preserve"> </w:t>
      </w:r>
      <w:r>
        <w:rPr>
          <w:rFonts w:ascii="Simplified Arabic" w:hAnsi="Simplified Arabic" w:hint="cs"/>
          <w:rtl/>
        </w:rPr>
        <w:t>و</w:t>
      </w:r>
      <w:r>
        <w:rPr>
          <w:rFonts w:hint="cs"/>
          <w:rtl/>
        </w:rPr>
        <w:t>اتفاق باريس</w:t>
      </w:r>
      <w:r>
        <w:rPr>
          <w:rFonts w:hint="cs"/>
          <w:vertAlign w:val="superscript"/>
          <w:rtl/>
        </w:rPr>
        <w:t>3</w:t>
      </w:r>
      <w:r>
        <w:rPr>
          <w:rFonts w:hint="cs"/>
          <w:rtl/>
        </w:rPr>
        <w:t xml:space="preserve"> بموجب اتفاقية الأمم المتحدة الإطارية بشأن تغير المناخ، و</w:t>
      </w:r>
      <w:r>
        <w:rPr>
          <w:rFonts w:ascii="Simplified Arabic" w:hAnsi="Simplified Arabic" w:hint="cs"/>
          <w:rtl/>
        </w:rPr>
        <w:t>الفجوات المحددة</w:t>
      </w:r>
      <w:r w:rsidRPr="00DB5824">
        <w:rPr>
          <w:rFonts w:ascii="Simplified Arabic" w:hAnsi="Simplified Arabic" w:hint="cs"/>
          <w:rtl/>
        </w:rPr>
        <w:t>؛</w:t>
      </w:r>
    </w:p>
    <w:p w:rsidR="00FA2E1F" w:rsidRPr="00DB5824" w:rsidRDefault="00FA2E1F" w:rsidP="00CD26C5">
      <w:pPr>
        <w:numPr>
          <w:ilvl w:val="0"/>
          <w:numId w:val="66"/>
        </w:numPr>
        <w:ind w:left="4" w:firstLine="727"/>
        <w:rPr>
          <w:rtl/>
        </w:rPr>
      </w:pPr>
      <w:r w:rsidRPr="00DB5824">
        <w:rPr>
          <w:rFonts w:ascii="Simplified Arabic" w:hAnsi="Simplified Arabic" w:hint="cs"/>
          <w:i/>
          <w:iCs/>
          <w:rtl/>
        </w:rPr>
        <w:t>يدعو</w:t>
      </w:r>
      <w:r w:rsidRPr="00DB5824">
        <w:rPr>
          <w:rFonts w:ascii="Simplified Arabic" w:hAnsi="Simplified Arabic" w:hint="cs"/>
          <w:rtl/>
        </w:rPr>
        <w:t xml:space="preserve"> الأطراف إلى جمع الخبرات </w:t>
      </w:r>
      <w:r w:rsidRPr="00DB5824">
        <w:rPr>
          <w:rFonts w:hint="cs"/>
          <w:rtl/>
        </w:rPr>
        <w:t>بشأن</w:t>
      </w:r>
      <w:r w:rsidRPr="00DB5824">
        <w:rPr>
          <w:rFonts w:ascii="Simplified Arabic" w:hAnsi="Simplified Arabic" w:hint="cs"/>
          <w:rtl/>
        </w:rPr>
        <w:t xml:space="preserve"> تنفيذ </w:t>
      </w:r>
      <w:r w:rsidRPr="00DB5824">
        <w:rPr>
          <w:rFonts w:hint="cs"/>
          <w:rtl/>
        </w:rPr>
        <w:t>المبادئ التوجيهية والمعايير ذات الصلة ب</w:t>
      </w:r>
      <w:r w:rsidRPr="00DB5824">
        <w:rPr>
          <w:rFonts w:ascii="Simplified Arabic" w:hAnsi="Simplified Arabic" w:hint="cs"/>
          <w:rtl/>
        </w:rPr>
        <w:t>المادة</w:t>
      </w:r>
      <w:r w:rsidRPr="00DB5824">
        <w:rPr>
          <w:rFonts w:ascii="Simplified Arabic" w:hAnsi="Simplified Arabic"/>
          <w:rtl/>
        </w:rPr>
        <w:t xml:space="preserve"> 8(</w:t>
      </w:r>
      <w:r w:rsidRPr="00DB5824">
        <w:rPr>
          <w:rFonts w:ascii="Simplified Arabic" w:hAnsi="Simplified Arabic" w:hint="cs"/>
          <w:rtl/>
        </w:rPr>
        <w:t>ي</w:t>
      </w:r>
      <w:r w:rsidRPr="00DB5824">
        <w:rPr>
          <w:rFonts w:ascii="Simplified Arabic" w:hAnsi="Simplified Arabic"/>
          <w:rtl/>
        </w:rPr>
        <w:t xml:space="preserve">) </w:t>
      </w:r>
      <w:r w:rsidRPr="00DB5824">
        <w:rPr>
          <w:rFonts w:ascii="Simplified Arabic" w:hAnsi="Simplified Arabic" w:hint="cs"/>
          <w:rtl/>
        </w:rPr>
        <w:t>والأحكام</w:t>
      </w:r>
      <w:r w:rsidRPr="00DB5824">
        <w:rPr>
          <w:rFonts w:ascii="Simplified Arabic" w:hAnsi="Simplified Arabic"/>
          <w:rtl/>
        </w:rPr>
        <w:t xml:space="preserve"> </w:t>
      </w:r>
      <w:r w:rsidRPr="00DB5824">
        <w:rPr>
          <w:rFonts w:ascii="Simplified Arabic" w:hAnsi="Simplified Arabic" w:hint="cs"/>
          <w:rtl/>
        </w:rPr>
        <w:t>المتصلة</w:t>
      </w:r>
      <w:r w:rsidRPr="00DB5824">
        <w:rPr>
          <w:rFonts w:ascii="Simplified Arabic" w:hAnsi="Simplified Arabic"/>
          <w:rtl/>
        </w:rPr>
        <w:t xml:space="preserve"> </w:t>
      </w:r>
      <w:r w:rsidRPr="00DB5824">
        <w:rPr>
          <w:rFonts w:ascii="Simplified Arabic" w:hAnsi="Simplified Arabic" w:hint="cs"/>
          <w:rtl/>
        </w:rPr>
        <w:t xml:space="preserve">بها على الصعيد الوطني، والنظر في ضوء هذه الخبرات في الحاجة إلى القيام بمزيد من العمل بشأن هذه المسائل بغية وضع </w:t>
      </w:r>
      <w:r w:rsidRPr="00DB5824">
        <w:rPr>
          <w:rFonts w:hint="cs"/>
          <w:rtl/>
        </w:rPr>
        <w:t>برنامج عمل متكامل تماما؛</w:t>
      </w:r>
    </w:p>
    <w:p w:rsidR="00FA2E1F" w:rsidRPr="00DB5824" w:rsidRDefault="00FA2E1F" w:rsidP="00CD26C5">
      <w:pPr>
        <w:numPr>
          <w:ilvl w:val="0"/>
          <w:numId w:val="66"/>
        </w:numPr>
        <w:ind w:left="4" w:firstLine="727"/>
        <w:rPr>
          <w:rtl/>
        </w:rPr>
      </w:pPr>
      <w:r w:rsidRPr="00DB5824">
        <w:rPr>
          <w:rFonts w:hint="cs"/>
          <w:i/>
          <w:iCs/>
          <w:rtl/>
        </w:rPr>
        <w:t>يشجع</w:t>
      </w:r>
      <w:r w:rsidRPr="00DB5824">
        <w:rPr>
          <w:rFonts w:hint="cs"/>
          <w:rtl/>
        </w:rPr>
        <w:t xml:space="preserve"> الأطراف على المشاركة مع الشعوب الأصلية والمجتمعات المحلية في تنفيذ الاتفاقية، بما في ذلك من خلال الاعتراف بأعمالها الجماعية ودعمها وتقديرها، بما في ذلك جهودها لحماية وحفظ أراضيها ومناطقها، لأغراض الاتفاقية، و</w:t>
      </w:r>
      <w:r>
        <w:rPr>
          <w:rFonts w:hint="cs"/>
          <w:rtl/>
        </w:rPr>
        <w:t>القيام ب</w:t>
      </w:r>
      <w:r w:rsidRPr="00DB5824">
        <w:rPr>
          <w:rFonts w:hint="cs"/>
          <w:rtl/>
        </w:rPr>
        <w:t xml:space="preserve">إشراكها بالكامل في عملية إعداد التقارير الوطنية، ومراجعة وتنفيذ الاستراتيجيات وخطط العمل الوطنية للتنوع البيولوجي، وعملية </w:t>
      </w:r>
      <w:r>
        <w:rPr>
          <w:rFonts w:hint="cs"/>
          <w:rtl/>
        </w:rPr>
        <w:t>إعداد</w:t>
      </w:r>
      <w:r w:rsidRPr="00DB5824">
        <w:rPr>
          <w:rFonts w:hint="cs"/>
          <w:rtl/>
        </w:rPr>
        <w:t xml:space="preserve"> إطار التنوع البيولوجي لما بعد عام 2020 الخاص بالاتفاقية؛</w:t>
      </w:r>
    </w:p>
    <w:p w:rsidR="00FA2E1F" w:rsidRPr="00DB5824" w:rsidRDefault="00FA2E1F" w:rsidP="00CD26C5">
      <w:pPr>
        <w:numPr>
          <w:ilvl w:val="0"/>
          <w:numId w:val="66"/>
        </w:numPr>
        <w:ind w:left="4" w:firstLine="727"/>
        <w:rPr>
          <w:rtl/>
        </w:rPr>
      </w:pPr>
      <w:r w:rsidRPr="00DB5824">
        <w:rPr>
          <w:rFonts w:hint="cs"/>
          <w:i/>
          <w:iCs/>
          <w:rtl/>
        </w:rPr>
        <w:lastRenderedPageBreak/>
        <w:t>يدعو</w:t>
      </w:r>
      <w:r w:rsidRPr="00DB5824">
        <w:rPr>
          <w:rtl/>
        </w:rPr>
        <w:t xml:space="preserve"> </w:t>
      </w:r>
      <w:r w:rsidRPr="00DB5824">
        <w:rPr>
          <w:rFonts w:hint="cs"/>
          <w:rtl/>
        </w:rPr>
        <w:t>الأطراف</w:t>
      </w:r>
      <w:r w:rsidRPr="00DB5824">
        <w:rPr>
          <w:rtl/>
        </w:rPr>
        <w:t xml:space="preserve"> </w:t>
      </w:r>
      <w:r w:rsidRPr="00DB5824">
        <w:rPr>
          <w:rFonts w:hint="cs"/>
          <w:rtl/>
        </w:rPr>
        <w:t>والحكومات</w:t>
      </w:r>
      <w:r w:rsidRPr="00DB5824">
        <w:rPr>
          <w:rtl/>
        </w:rPr>
        <w:t xml:space="preserve"> </w:t>
      </w:r>
      <w:r w:rsidRPr="00DB5824">
        <w:rPr>
          <w:rFonts w:hint="cs"/>
          <w:rtl/>
        </w:rPr>
        <w:t>الأخرى</w:t>
      </w:r>
      <w:r w:rsidRPr="00DB5824">
        <w:rPr>
          <w:rtl/>
        </w:rPr>
        <w:t xml:space="preserve"> </w:t>
      </w:r>
      <w:r w:rsidRPr="00DB5824">
        <w:rPr>
          <w:rFonts w:hint="cs"/>
          <w:rtl/>
        </w:rPr>
        <w:t>إلى</w:t>
      </w:r>
      <w:r w:rsidRPr="00DB5824">
        <w:rPr>
          <w:rtl/>
        </w:rPr>
        <w:t xml:space="preserve"> </w:t>
      </w:r>
      <w:r w:rsidRPr="00DB5824">
        <w:rPr>
          <w:rFonts w:hint="cs"/>
          <w:rtl/>
        </w:rPr>
        <w:t>الإبلاغ</w:t>
      </w:r>
      <w:r w:rsidRPr="00DB5824">
        <w:rPr>
          <w:rtl/>
        </w:rPr>
        <w:t xml:space="preserve"> </w:t>
      </w:r>
      <w:r w:rsidRPr="00DB5824">
        <w:rPr>
          <w:rFonts w:hint="cs"/>
          <w:rtl/>
        </w:rPr>
        <w:t>عن</w:t>
      </w:r>
      <w:r w:rsidRPr="00DB5824">
        <w:rPr>
          <w:rtl/>
        </w:rPr>
        <w:t xml:space="preserve"> </w:t>
      </w:r>
      <w:r w:rsidRPr="00DB5824">
        <w:rPr>
          <w:rFonts w:hint="cs"/>
          <w:rtl/>
        </w:rPr>
        <w:t>تنفيذ</w:t>
      </w:r>
      <w:r w:rsidRPr="00DB5824">
        <w:rPr>
          <w:rtl/>
        </w:rPr>
        <w:t xml:space="preserve"> </w:t>
      </w:r>
      <w:r w:rsidRPr="00DB5824">
        <w:rPr>
          <w:rFonts w:hint="cs"/>
          <w:rtl/>
        </w:rPr>
        <w:t>برنامج</w:t>
      </w:r>
      <w:r w:rsidRPr="00DB5824">
        <w:rPr>
          <w:rtl/>
        </w:rPr>
        <w:t xml:space="preserve"> </w:t>
      </w:r>
      <w:r w:rsidRPr="00DB5824">
        <w:rPr>
          <w:rFonts w:hint="cs"/>
          <w:rtl/>
        </w:rPr>
        <w:t>العمل</w:t>
      </w:r>
      <w:r w:rsidRPr="00DB5824">
        <w:rPr>
          <w:rtl/>
        </w:rPr>
        <w:t xml:space="preserve"> </w:t>
      </w:r>
      <w:r w:rsidRPr="00DB5824">
        <w:rPr>
          <w:rFonts w:hint="cs"/>
          <w:rtl/>
        </w:rPr>
        <w:t>بشأن</w:t>
      </w:r>
      <w:r w:rsidRPr="00DB5824">
        <w:rPr>
          <w:rtl/>
        </w:rPr>
        <w:t xml:space="preserve"> </w:t>
      </w:r>
      <w:r w:rsidRPr="00DB5824">
        <w:rPr>
          <w:rFonts w:hint="cs"/>
          <w:rtl/>
        </w:rPr>
        <w:t>المادة</w:t>
      </w:r>
      <w:r w:rsidRPr="00DB5824">
        <w:rPr>
          <w:rtl/>
        </w:rPr>
        <w:t xml:space="preserve"> 8(ي)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بها،</w:t>
      </w:r>
      <w:r w:rsidRPr="00DB5824">
        <w:rPr>
          <w:rtl/>
        </w:rPr>
        <w:t xml:space="preserve"> </w:t>
      </w:r>
      <w:r w:rsidRPr="00DB5824">
        <w:rPr>
          <w:rFonts w:hint="cs"/>
          <w:rtl/>
        </w:rPr>
        <w:t>ولا</w:t>
      </w:r>
      <w:r w:rsidRPr="00DB5824">
        <w:rPr>
          <w:rtl/>
        </w:rPr>
        <w:t xml:space="preserve"> </w:t>
      </w:r>
      <w:r w:rsidRPr="00DB5824">
        <w:rPr>
          <w:rFonts w:hint="cs"/>
          <w:rtl/>
        </w:rPr>
        <w:t>سيما</w:t>
      </w:r>
      <w:r w:rsidRPr="00DB5824">
        <w:rPr>
          <w:rtl/>
        </w:rPr>
        <w:t xml:space="preserve"> </w:t>
      </w:r>
      <w:r w:rsidRPr="00DB5824">
        <w:rPr>
          <w:rFonts w:hint="cs"/>
          <w:rtl/>
        </w:rPr>
        <w:t>المهام</w:t>
      </w:r>
      <w:r w:rsidRPr="00DB5824">
        <w:rPr>
          <w:rtl/>
        </w:rPr>
        <w:t xml:space="preserve"> 1 </w:t>
      </w:r>
      <w:r w:rsidRPr="006D424F">
        <w:rPr>
          <w:rFonts w:ascii="Simplified Arabic" w:hAnsi="Simplified Arabic"/>
          <w:rtl/>
        </w:rPr>
        <w:t>و</w:t>
      </w:r>
      <w:r w:rsidRPr="00194AED">
        <w:rPr>
          <w:rFonts w:ascii="Simplified Arabic" w:hAnsi="Simplified Arabic"/>
          <w:sz w:val="24"/>
        </w:rPr>
        <w:t>2</w:t>
      </w:r>
      <w:r w:rsidRPr="00DB5824">
        <w:rPr>
          <w:rFonts w:hint="cs"/>
          <w:rtl/>
        </w:rPr>
        <w:t xml:space="preserve"> و4 وتنفيذ</w:t>
      </w:r>
      <w:r w:rsidRPr="00DB5824">
        <w:rPr>
          <w:rtl/>
        </w:rPr>
        <w:t xml:space="preserve"> </w:t>
      </w:r>
      <w:r w:rsidRPr="00DB5824">
        <w:rPr>
          <w:rFonts w:hint="cs"/>
          <w:rtl/>
        </w:rPr>
        <w:t>خطة</w:t>
      </w:r>
      <w:r w:rsidRPr="00DB5824">
        <w:rPr>
          <w:rtl/>
        </w:rPr>
        <w:t xml:space="preserve"> </w:t>
      </w:r>
      <w:r w:rsidRPr="00DB5824">
        <w:rPr>
          <w:rFonts w:hint="cs"/>
          <w:rtl/>
        </w:rPr>
        <w:t>العمل</w:t>
      </w:r>
      <w:r w:rsidRPr="00DB5824">
        <w:rPr>
          <w:rtl/>
        </w:rPr>
        <w:t xml:space="preserve"> </w:t>
      </w:r>
      <w:r w:rsidRPr="00DB5824">
        <w:rPr>
          <w:rFonts w:hint="cs"/>
          <w:rtl/>
        </w:rPr>
        <w:t>بشأن</w:t>
      </w:r>
      <w:r w:rsidRPr="00DB5824">
        <w:rPr>
          <w:rtl/>
        </w:rPr>
        <w:t xml:space="preserve"> </w:t>
      </w:r>
      <w:r w:rsidRPr="00DB5824">
        <w:rPr>
          <w:rFonts w:hint="cs"/>
          <w:rtl/>
        </w:rPr>
        <w:t>الاستخدام</w:t>
      </w:r>
      <w:r w:rsidRPr="00DB5824">
        <w:rPr>
          <w:rtl/>
        </w:rPr>
        <w:t xml:space="preserve"> </w:t>
      </w:r>
      <w:r w:rsidRPr="00DB5824">
        <w:rPr>
          <w:rFonts w:hint="cs"/>
          <w:rtl/>
        </w:rPr>
        <w:t>المألوف</w:t>
      </w:r>
      <w:r w:rsidRPr="00DB5824">
        <w:rPr>
          <w:rtl/>
        </w:rPr>
        <w:t xml:space="preserve"> </w:t>
      </w:r>
      <w:r w:rsidRPr="00DB5824">
        <w:rPr>
          <w:rFonts w:hint="cs"/>
          <w:rtl/>
        </w:rPr>
        <w:t>المستدام،</w:t>
      </w:r>
      <w:r w:rsidRPr="00DB5824">
        <w:rPr>
          <w:rtl/>
        </w:rPr>
        <w:t xml:space="preserve"> </w:t>
      </w:r>
      <w:r w:rsidRPr="00DB5824">
        <w:rPr>
          <w:rFonts w:hint="cs"/>
          <w:rtl/>
        </w:rPr>
        <w:t>فضلا</w:t>
      </w:r>
      <w:r w:rsidRPr="00DB5824">
        <w:rPr>
          <w:rtl/>
        </w:rPr>
        <w:t xml:space="preserve"> </w:t>
      </w:r>
      <w:r w:rsidRPr="00DB5824">
        <w:rPr>
          <w:rFonts w:hint="cs"/>
          <w:rtl/>
        </w:rPr>
        <w:t>عن</w:t>
      </w:r>
      <w:r w:rsidRPr="00DB5824">
        <w:rPr>
          <w:rtl/>
        </w:rPr>
        <w:t xml:space="preserve"> </w:t>
      </w:r>
      <w:r w:rsidRPr="00DB5824">
        <w:rPr>
          <w:rFonts w:hint="cs"/>
          <w:rtl/>
        </w:rPr>
        <w:t>تطبيق</w:t>
      </w:r>
      <w:r w:rsidRPr="00DB5824">
        <w:rPr>
          <w:rtl/>
        </w:rPr>
        <w:t xml:space="preserve"> </w:t>
      </w:r>
      <w:r w:rsidRPr="00DB5824">
        <w:rPr>
          <w:rFonts w:hint="cs"/>
          <w:rtl/>
        </w:rPr>
        <w:t>مختلف</w:t>
      </w:r>
      <w:r w:rsidRPr="00DB5824">
        <w:rPr>
          <w:rtl/>
        </w:rPr>
        <w:t xml:space="preserve"> </w:t>
      </w:r>
      <w:r w:rsidRPr="00DB5824">
        <w:rPr>
          <w:rFonts w:hint="cs"/>
          <w:rtl/>
        </w:rPr>
        <w:t>المبادئ</w:t>
      </w:r>
      <w:r w:rsidRPr="00DB5824">
        <w:rPr>
          <w:rtl/>
        </w:rPr>
        <w:t xml:space="preserve"> </w:t>
      </w:r>
      <w:r w:rsidRPr="00DB5824">
        <w:rPr>
          <w:rFonts w:hint="cs"/>
          <w:rtl/>
        </w:rPr>
        <w:t>التوجيهية</w:t>
      </w:r>
      <w:r w:rsidRPr="00DB5824">
        <w:rPr>
          <w:rtl/>
        </w:rPr>
        <w:t xml:space="preserve"> </w:t>
      </w:r>
      <w:r w:rsidRPr="00DB5824">
        <w:rPr>
          <w:rFonts w:hint="cs"/>
          <w:rtl/>
        </w:rPr>
        <w:t>والمعايير</w:t>
      </w:r>
      <w:r w:rsidRPr="00DB5824">
        <w:rPr>
          <w:rtl/>
        </w:rPr>
        <w:t xml:space="preserve"> </w:t>
      </w:r>
      <w:r w:rsidRPr="00DB5824">
        <w:rPr>
          <w:rFonts w:hint="cs"/>
          <w:rtl/>
        </w:rPr>
        <w:t>التي</w:t>
      </w:r>
      <w:r w:rsidRPr="00DB5824">
        <w:rPr>
          <w:rtl/>
        </w:rPr>
        <w:t xml:space="preserve"> </w:t>
      </w:r>
      <w:r w:rsidRPr="00DB5824">
        <w:rPr>
          <w:rFonts w:hint="cs"/>
          <w:rtl/>
        </w:rPr>
        <w:t>وضعت</w:t>
      </w:r>
      <w:r w:rsidRPr="00DB5824">
        <w:rPr>
          <w:rtl/>
        </w:rPr>
        <w:t xml:space="preserve"> </w:t>
      </w:r>
      <w:r w:rsidRPr="00DB5824">
        <w:rPr>
          <w:rFonts w:hint="cs"/>
          <w:rtl/>
        </w:rPr>
        <w:t>تحت</w:t>
      </w:r>
      <w:r w:rsidRPr="00DB5824">
        <w:rPr>
          <w:rtl/>
        </w:rPr>
        <w:t xml:space="preserve"> </w:t>
      </w:r>
      <w:r w:rsidRPr="00DB5824">
        <w:rPr>
          <w:rFonts w:hint="cs"/>
          <w:rtl/>
        </w:rPr>
        <w:t>رعاية</w:t>
      </w:r>
      <w:r w:rsidRPr="00DB5824">
        <w:rPr>
          <w:rtl/>
        </w:rPr>
        <w:t xml:space="preserve"> </w:t>
      </w:r>
      <w:r w:rsidRPr="00DB5824">
        <w:rPr>
          <w:rFonts w:hint="cs"/>
          <w:rtl/>
        </w:rPr>
        <w:t>الفريق</w:t>
      </w:r>
      <w:r w:rsidRPr="00DB5824">
        <w:rPr>
          <w:rtl/>
        </w:rPr>
        <w:t xml:space="preserve"> </w:t>
      </w:r>
      <w:r w:rsidRPr="00DB5824">
        <w:rPr>
          <w:rFonts w:hint="cs"/>
          <w:rtl/>
        </w:rPr>
        <w:t>العامل</w:t>
      </w:r>
      <w:r w:rsidRPr="00DB5824">
        <w:rPr>
          <w:rtl/>
        </w:rPr>
        <w:t xml:space="preserve"> </w:t>
      </w:r>
      <w:r w:rsidRPr="00DB5824">
        <w:rPr>
          <w:rFonts w:hint="cs"/>
          <w:rtl/>
        </w:rPr>
        <w:t>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8(ي) </w:t>
      </w:r>
      <w:r w:rsidRPr="00DB5824">
        <w:rPr>
          <w:rFonts w:hint="cs"/>
          <w:rtl/>
        </w:rPr>
        <w:t>والأحكام المتصلة بها</w:t>
      </w:r>
      <w:r w:rsidRPr="00DB5824">
        <w:rPr>
          <w:rtl/>
        </w:rPr>
        <w:t xml:space="preserve"> </w:t>
      </w:r>
      <w:r w:rsidRPr="00DB5824">
        <w:rPr>
          <w:rFonts w:hint="cs"/>
          <w:rtl/>
        </w:rPr>
        <w:t>والتي</w:t>
      </w:r>
      <w:r w:rsidRPr="00DB5824">
        <w:rPr>
          <w:rtl/>
        </w:rPr>
        <w:t xml:space="preserve"> </w:t>
      </w:r>
      <w:r w:rsidRPr="00DB5824">
        <w:rPr>
          <w:rFonts w:hint="cs"/>
          <w:rtl/>
        </w:rPr>
        <w:t>اعتمدها</w:t>
      </w:r>
      <w:r w:rsidRPr="00DB5824">
        <w:rPr>
          <w:rtl/>
        </w:rPr>
        <w:t xml:space="preserve"> </w:t>
      </w:r>
      <w:r w:rsidRPr="00DB5824">
        <w:rPr>
          <w:rFonts w:hint="cs"/>
          <w:rtl/>
        </w:rPr>
        <w:t>مؤتمر</w:t>
      </w:r>
      <w:r w:rsidRPr="00DB5824">
        <w:rPr>
          <w:rtl/>
        </w:rPr>
        <w:t xml:space="preserve"> </w:t>
      </w:r>
      <w:r w:rsidRPr="00DB5824">
        <w:rPr>
          <w:rFonts w:hint="cs"/>
          <w:rtl/>
        </w:rPr>
        <w:t>الأطراف،</w:t>
      </w:r>
      <w:r w:rsidRPr="00DB5824">
        <w:rPr>
          <w:rtl/>
        </w:rPr>
        <w:t xml:space="preserve"> </w:t>
      </w:r>
      <w:r w:rsidRPr="00DB5824">
        <w:rPr>
          <w:rFonts w:hint="cs"/>
          <w:rtl/>
        </w:rPr>
        <w:t>من</w:t>
      </w:r>
      <w:r w:rsidRPr="00DB5824">
        <w:rPr>
          <w:rtl/>
        </w:rPr>
        <w:t xml:space="preserve"> </w:t>
      </w:r>
      <w:r w:rsidRPr="00DB5824">
        <w:rPr>
          <w:rFonts w:hint="cs"/>
          <w:rtl/>
        </w:rPr>
        <w:t>خلال</w:t>
      </w:r>
      <w:r w:rsidRPr="00DB5824">
        <w:rPr>
          <w:rtl/>
        </w:rPr>
        <w:t xml:space="preserve"> </w:t>
      </w:r>
      <w:r w:rsidRPr="00DB5824">
        <w:rPr>
          <w:rFonts w:hint="cs"/>
          <w:rtl/>
        </w:rPr>
        <w:t>التقارير</w:t>
      </w:r>
      <w:r w:rsidRPr="00DB5824">
        <w:rPr>
          <w:rtl/>
        </w:rPr>
        <w:t xml:space="preserve"> </w:t>
      </w:r>
      <w:r w:rsidRPr="00DB5824">
        <w:rPr>
          <w:rFonts w:hint="cs"/>
          <w:rtl/>
        </w:rPr>
        <w:t>الوطنية</w:t>
      </w:r>
      <w:r w:rsidRPr="00DB5824">
        <w:rPr>
          <w:rtl/>
        </w:rPr>
        <w:t xml:space="preserve"> </w:t>
      </w:r>
      <w:r w:rsidRPr="00DB5824">
        <w:rPr>
          <w:rFonts w:hint="cs"/>
          <w:rtl/>
        </w:rPr>
        <w:t>أو</w:t>
      </w:r>
      <w:r w:rsidRPr="00DB5824">
        <w:rPr>
          <w:rtl/>
        </w:rPr>
        <w:t xml:space="preserve"> </w:t>
      </w:r>
      <w:r w:rsidRPr="00DB5824">
        <w:rPr>
          <w:rFonts w:hint="cs"/>
          <w:rtl/>
        </w:rPr>
        <w:t>آلية</w:t>
      </w:r>
      <w:r w:rsidRPr="00DB5824">
        <w:rPr>
          <w:rtl/>
        </w:rPr>
        <w:t xml:space="preserve"> </w:t>
      </w:r>
      <w:r w:rsidRPr="00DB5824">
        <w:rPr>
          <w:rFonts w:hint="cs"/>
          <w:rtl/>
        </w:rPr>
        <w:t>غرفة</w:t>
      </w:r>
      <w:r w:rsidRPr="00DB5824">
        <w:rPr>
          <w:rtl/>
        </w:rPr>
        <w:t xml:space="preserve"> </w:t>
      </w:r>
      <w:r w:rsidRPr="00DB5824">
        <w:rPr>
          <w:rFonts w:hint="cs"/>
          <w:rtl/>
        </w:rPr>
        <w:t>تبادل</w:t>
      </w:r>
      <w:r w:rsidRPr="00DB5824">
        <w:rPr>
          <w:rtl/>
        </w:rPr>
        <w:t xml:space="preserve"> </w:t>
      </w:r>
      <w:r w:rsidRPr="00DB5824">
        <w:rPr>
          <w:rFonts w:hint="cs"/>
          <w:rtl/>
        </w:rPr>
        <w:t>المعلومات</w:t>
      </w:r>
      <w:r>
        <w:rPr>
          <w:rFonts w:hint="cs"/>
          <w:rtl/>
        </w:rPr>
        <w:t>،</w:t>
      </w:r>
      <w:r w:rsidRPr="00DB5824">
        <w:rPr>
          <w:rtl/>
        </w:rPr>
        <w:t xml:space="preserve"> </w:t>
      </w:r>
      <w:r w:rsidRPr="00DB5824">
        <w:rPr>
          <w:rFonts w:hint="cs"/>
          <w:rtl/>
        </w:rPr>
        <w:t>من</w:t>
      </w:r>
      <w:r w:rsidRPr="00DB5824">
        <w:rPr>
          <w:rtl/>
        </w:rPr>
        <w:t xml:space="preserve"> </w:t>
      </w:r>
      <w:r w:rsidRPr="00DB5824">
        <w:rPr>
          <w:rFonts w:hint="cs"/>
          <w:rtl/>
        </w:rPr>
        <w:t>أجل</w:t>
      </w:r>
      <w:r w:rsidRPr="00DB5824">
        <w:rPr>
          <w:rtl/>
        </w:rPr>
        <w:t xml:space="preserve"> </w:t>
      </w:r>
      <w:r w:rsidRPr="00DB5824">
        <w:rPr>
          <w:rFonts w:hint="cs"/>
          <w:rtl/>
        </w:rPr>
        <w:t>تحديد</w:t>
      </w:r>
      <w:r w:rsidRPr="00DB5824">
        <w:rPr>
          <w:rtl/>
        </w:rPr>
        <w:t xml:space="preserve"> </w:t>
      </w:r>
      <w:r w:rsidRPr="00DB5824">
        <w:rPr>
          <w:rFonts w:hint="cs"/>
          <w:rtl/>
        </w:rPr>
        <w:t>التقدم</w:t>
      </w:r>
      <w:r w:rsidRPr="00DB5824">
        <w:rPr>
          <w:rtl/>
        </w:rPr>
        <w:t xml:space="preserve"> </w:t>
      </w:r>
      <w:r w:rsidRPr="00DB5824">
        <w:rPr>
          <w:rFonts w:hint="cs"/>
          <w:rtl/>
        </w:rPr>
        <w:t>المحرز</w:t>
      </w:r>
      <w:r w:rsidRPr="00DB5824">
        <w:rPr>
          <w:rtl/>
        </w:rPr>
        <w:t xml:space="preserve"> </w:t>
      </w:r>
      <w:r w:rsidRPr="00DB5824">
        <w:rPr>
          <w:rFonts w:hint="cs"/>
          <w:rtl/>
        </w:rPr>
        <w:t>وإرشاد</w:t>
      </w:r>
      <w:r w:rsidRPr="00DB5824">
        <w:rPr>
          <w:rtl/>
        </w:rPr>
        <w:t xml:space="preserve"> </w:t>
      </w:r>
      <w:r w:rsidRPr="00DB5824">
        <w:rPr>
          <w:rFonts w:hint="cs"/>
          <w:rtl/>
        </w:rPr>
        <w:t>عملية إعداد</w:t>
      </w:r>
      <w:r w:rsidRPr="00DB5824">
        <w:rPr>
          <w:rtl/>
        </w:rPr>
        <w:t xml:space="preserve"> </w:t>
      </w:r>
      <w:r w:rsidRPr="00DB5824">
        <w:rPr>
          <w:rFonts w:hint="cs"/>
          <w:rtl/>
        </w:rPr>
        <w:t>إطار</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لما</w:t>
      </w:r>
      <w:r w:rsidRPr="00DB5824">
        <w:rPr>
          <w:rtl/>
        </w:rPr>
        <w:t xml:space="preserve"> </w:t>
      </w:r>
      <w:r w:rsidRPr="00DB5824">
        <w:rPr>
          <w:rFonts w:hint="cs"/>
          <w:rtl/>
        </w:rPr>
        <w:t>بعد</w:t>
      </w:r>
      <w:r w:rsidRPr="00DB5824">
        <w:rPr>
          <w:rtl/>
        </w:rPr>
        <w:t xml:space="preserve"> </w:t>
      </w:r>
      <w:r w:rsidRPr="00DB5824">
        <w:rPr>
          <w:rFonts w:hint="cs"/>
          <w:rtl/>
        </w:rPr>
        <w:t>عام</w:t>
      </w:r>
      <w:r w:rsidRPr="00DB5824">
        <w:rPr>
          <w:rtl/>
        </w:rPr>
        <w:t xml:space="preserve"> 2020</w:t>
      </w:r>
      <w:r w:rsidRPr="00DB5824">
        <w:rPr>
          <w:rFonts w:hint="cs"/>
          <w:rtl/>
        </w:rPr>
        <w:t>؛</w:t>
      </w:r>
    </w:p>
    <w:p w:rsidR="00FA2E1F" w:rsidRDefault="00FA2E1F" w:rsidP="00CD26C5">
      <w:pPr>
        <w:numPr>
          <w:ilvl w:val="0"/>
          <w:numId w:val="66"/>
        </w:numPr>
        <w:ind w:left="4" w:firstLine="720"/>
      </w:pPr>
      <w:r w:rsidRPr="007104B6">
        <w:rPr>
          <w:rFonts w:hint="cs"/>
          <w:i/>
          <w:iCs/>
          <w:rtl/>
        </w:rPr>
        <w:t>يطلب</w:t>
      </w:r>
      <w:r w:rsidRPr="007104B6">
        <w:rPr>
          <w:rFonts w:hint="cs"/>
          <w:rtl/>
        </w:rPr>
        <w:t xml:space="preserve"> إلى الأمينة التنفيذية تيسير تنظيم منتدى إلكتروني يدعو الأطراف والحكومات الأخرى والشعوب الأصلية والمجتمعات المحلية والمنظمات الدولية ذات الصلة وأصحاب المصلحة الم</w:t>
      </w:r>
      <w:r>
        <w:rPr>
          <w:rFonts w:hint="cs"/>
          <w:rtl/>
        </w:rPr>
        <w:t>هتم</w:t>
      </w:r>
      <w:r w:rsidRPr="007104B6">
        <w:rPr>
          <w:rFonts w:hint="cs"/>
          <w:rtl/>
        </w:rPr>
        <w:t>ين إلى تبادل أولي للآراء والمعلومات، حسب الاقتضاء، بشأن</w:t>
      </w:r>
      <w:r>
        <w:rPr>
          <w:rFonts w:hint="cs"/>
          <w:rtl/>
        </w:rPr>
        <w:t>:</w:t>
      </w:r>
    </w:p>
    <w:p w:rsidR="00FA2E1F" w:rsidRDefault="00FA2E1F" w:rsidP="00FA2E1F">
      <w:pPr>
        <w:ind w:firstLine="724"/>
        <w:rPr>
          <w:rtl/>
        </w:rPr>
      </w:pPr>
      <w:r w:rsidRPr="00F54459">
        <w:rPr>
          <w:rFonts w:hint="cs"/>
          <w:rtl/>
        </w:rPr>
        <w:t>(أ)</w:t>
      </w:r>
      <w:r>
        <w:rPr>
          <w:rFonts w:hint="cs"/>
          <w:i/>
          <w:iCs/>
          <w:rtl/>
        </w:rPr>
        <w:tab/>
      </w:r>
      <w:r>
        <w:rPr>
          <w:rFonts w:hint="cs"/>
          <w:rtl/>
        </w:rPr>
        <w:t>الأهداف الممكنة التي ينبغي النظر فيها لتحقيق التكامل الفعال في عمل الهيئات الفرعية بشأن المسائل ذات الصلة المباشرة بالشعوب الأصلية والمجتمعات المحلية، ولتمكين المشاركة الكاملة والفعالة للشعوب الأصلية والمجتمعات المحلية في عمل الاتفاقية؛</w:t>
      </w:r>
    </w:p>
    <w:p w:rsidR="00FA2E1F" w:rsidRDefault="00FA2E1F" w:rsidP="00FA2E1F">
      <w:pPr>
        <w:ind w:firstLine="724"/>
        <w:rPr>
          <w:rtl/>
        </w:rPr>
      </w:pPr>
      <w:r>
        <w:rPr>
          <w:rFonts w:hint="cs"/>
          <w:rtl/>
        </w:rPr>
        <w:t>(ب)</w:t>
      </w:r>
      <w:r>
        <w:rPr>
          <w:rFonts w:hint="cs"/>
          <w:rtl/>
        </w:rPr>
        <w:tab/>
        <w:t>ال</w:t>
      </w:r>
      <w:r w:rsidRPr="007104B6">
        <w:rPr>
          <w:rFonts w:hint="cs"/>
          <w:rtl/>
        </w:rPr>
        <w:t xml:space="preserve">عناصر </w:t>
      </w:r>
      <w:r>
        <w:rPr>
          <w:rFonts w:hint="cs"/>
          <w:rtl/>
        </w:rPr>
        <w:t>الممكن</w:t>
      </w:r>
      <w:r w:rsidRPr="007104B6">
        <w:rPr>
          <w:rFonts w:hint="cs"/>
          <w:rtl/>
        </w:rPr>
        <w:t>ة لبرنامج</w:t>
      </w:r>
      <w:r w:rsidRPr="007104B6">
        <w:rPr>
          <w:rtl/>
        </w:rPr>
        <w:t xml:space="preserve"> </w:t>
      </w:r>
      <w:r w:rsidRPr="007104B6">
        <w:rPr>
          <w:rFonts w:hint="cs"/>
          <w:rtl/>
        </w:rPr>
        <w:t>العمل</w:t>
      </w:r>
      <w:r w:rsidRPr="007104B6">
        <w:rPr>
          <w:rtl/>
        </w:rPr>
        <w:t xml:space="preserve"> </w:t>
      </w:r>
      <w:r w:rsidRPr="007104B6">
        <w:rPr>
          <w:rFonts w:hint="cs"/>
          <w:rtl/>
        </w:rPr>
        <w:t>بشأن</w:t>
      </w:r>
      <w:r w:rsidRPr="007104B6">
        <w:rPr>
          <w:rtl/>
        </w:rPr>
        <w:t xml:space="preserve"> </w:t>
      </w:r>
      <w:r w:rsidRPr="007104B6">
        <w:rPr>
          <w:rFonts w:hint="cs"/>
          <w:rtl/>
        </w:rPr>
        <w:t>المادة</w:t>
      </w:r>
      <w:r w:rsidRPr="007104B6">
        <w:rPr>
          <w:rtl/>
        </w:rPr>
        <w:t xml:space="preserve"> 8(ي) </w:t>
      </w:r>
      <w:r w:rsidRPr="007104B6">
        <w:rPr>
          <w:rFonts w:hint="cs"/>
          <w:rtl/>
        </w:rPr>
        <w:t>والأحكام</w:t>
      </w:r>
      <w:r w:rsidRPr="007104B6">
        <w:rPr>
          <w:rtl/>
        </w:rPr>
        <w:t xml:space="preserve"> </w:t>
      </w:r>
      <w:r w:rsidRPr="007104B6">
        <w:rPr>
          <w:rFonts w:hint="cs"/>
          <w:rtl/>
        </w:rPr>
        <w:t>المتصلة</w:t>
      </w:r>
      <w:r w:rsidRPr="007104B6">
        <w:rPr>
          <w:rtl/>
        </w:rPr>
        <w:t xml:space="preserve"> </w:t>
      </w:r>
      <w:r w:rsidRPr="007104B6">
        <w:rPr>
          <w:rFonts w:hint="cs"/>
          <w:rtl/>
        </w:rPr>
        <w:t>بها كجزء من إطار</w:t>
      </w:r>
      <w:r w:rsidRPr="007104B6">
        <w:rPr>
          <w:rtl/>
        </w:rPr>
        <w:t xml:space="preserve"> </w:t>
      </w:r>
      <w:r w:rsidRPr="007104B6">
        <w:rPr>
          <w:rFonts w:hint="cs"/>
          <w:rtl/>
        </w:rPr>
        <w:t>التنوع</w:t>
      </w:r>
      <w:r w:rsidRPr="007104B6">
        <w:rPr>
          <w:rtl/>
        </w:rPr>
        <w:t xml:space="preserve"> </w:t>
      </w:r>
      <w:r w:rsidRPr="007104B6">
        <w:rPr>
          <w:rFonts w:hint="cs"/>
          <w:rtl/>
        </w:rPr>
        <w:t>البيولوجي</w:t>
      </w:r>
      <w:r w:rsidRPr="007104B6">
        <w:rPr>
          <w:rtl/>
        </w:rPr>
        <w:t xml:space="preserve"> </w:t>
      </w:r>
      <w:r w:rsidRPr="007104B6">
        <w:rPr>
          <w:rFonts w:hint="cs"/>
          <w:rtl/>
        </w:rPr>
        <w:t>لما</w:t>
      </w:r>
      <w:r w:rsidRPr="007104B6">
        <w:rPr>
          <w:rtl/>
        </w:rPr>
        <w:t xml:space="preserve"> </w:t>
      </w:r>
      <w:r w:rsidRPr="007104B6">
        <w:rPr>
          <w:rFonts w:hint="cs"/>
          <w:rtl/>
        </w:rPr>
        <w:t>بعد</w:t>
      </w:r>
      <w:r w:rsidRPr="007104B6">
        <w:rPr>
          <w:rtl/>
        </w:rPr>
        <w:t xml:space="preserve"> </w:t>
      </w:r>
      <w:r w:rsidRPr="007104B6">
        <w:rPr>
          <w:rFonts w:hint="cs"/>
          <w:rtl/>
        </w:rPr>
        <w:t>عام</w:t>
      </w:r>
      <w:r w:rsidRPr="007104B6">
        <w:rPr>
          <w:rtl/>
        </w:rPr>
        <w:t xml:space="preserve"> 2020</w:t>
      </w:r>
      <w:r>
        <w:rPr>
          <w:rFonts w:hint="cs"/>
          <w:rtl/>
        </w:rPr>
        <w:t>؛</w:t>
      </w:r>
    </w:p>
    <w:p w:rsidR="00FA2E1F" w:rsidRPr="007104B6" w:rsidRDefault="00FA2E1F" w:rsidP="00FA2E1F">
      <w:pPr>
        <w:ind w:firstLine="724"/>
        <w:rPr>
          <w:rtl/>
        </w:rPr>
      </w:pPr>
      <w:r>
        <w:rPr>
          <w:rFonts w:hint="cs"/>
          <w:rtl/>
        </w:rPr>
        <w:t>(ج)</w:t>
      </w:r>
      <w:r>
        <w:rPr>
          <w:rFonts w:hint="cs"/>
          <w:rtl/>
        </w:rPr>
        <w:tab/>
      </w:r>
      <w:r w:rsidRPr="007104B6">
        <w:rPr>
          <w:rFonts w:hint="cs"/>
          <w:rtl/>
        </w:rPr>
        <w:t>الترتيبات المؤسسية الم</w:t>
      </w:r>
      <w:r>
        <w:rPr>
          <w:rFonts w:hint="cs"/>
          <w:rtl/>
        </w:rPr>
        <w:t>مكن</w:t>
      </w:r>
      <w:r w:rsidRPr="007104B6">
        <w:rPr>
          <w:rFonts w:hint="cs"/>
          <w:rtl/>
        </w:rPr>
        <w:t>ة والدروس المستفادة ومزايا وسلبيات الترتيبات الحالية؛</w:t>
      </w:r>
    </w:p>
    <w:p w:rsidR="00FA2E1F" w:rsidRPr="00DB5824" w:rsidRDefault="00FA2E1F" w:rsidP="00CD26C5">
      <w:pPr>
        <w:numPr>
          <w:ilvl w:val="0"/>
          <w:numId w:val="66"/>
        </w:numPr>
        <w:ind w:left="4" w:firstLine="727"/>
        <w:rPr>
          <w:rtl/>
        </w:rPr>
      </w:pPr>
      <w:r w:rsidRPr="00DB5824">
        <w:rPr>
          <w:rFonts w:hint="cs"/>
          <w:i/>
          <w:iCs/>
          <w:rtl/>
        </w:rPr>
        <w:t>يطلب</w:t>
      </w:r>
      <w:r w:rsidRPr="00DB5824">
        <w:rPr>
          <w:rFonts w:hint="cs"/>
          <w:rtl/>
        </w:rPr>
        <w:t xml:space="preserve"> </w:t>
      </w:r>
      <w:r w:rsidRPr="007104B6">
        <w:rPr>
          <w:rFonts w:hint="cs"/>
          <w:i/>
          <w:iCs/>
          <w:rtl/>
        </w:rPr>
        <w:t>أيضا</w:t>
      </w:r>
      <w:r w:rsidRPr="00DB5824">
        <w:rPr>
          <w:rFonts w:hint="cs"/>
          <w:rtl/>
        </w:rPr>
        <w:t xml:space="preserve"> إلى الأمينة التنفيذية إعداد وإتاحة موجز عن تبادل الآراء المقدمة خلال المنتدى الإلكتروني للفريق العامل 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 xml:space="preserve">بها </w:t>
      </w:r>
      <w:r>
        <w:rPr>
          <w:rFonts w:hint="cs"/>
          <w:rtl/>
        </w:rPr>
        <w:t>في</w:t>
      </w:r>
      <w:r w:rsidRPr="00DB5824">
        <w:rPr>
          <w:rFonts w:hint="cs"/>
          <w:rtl/>
        </w:rPr>
        <w:t xml:space="preserve"> اجتماعه الحادي عشر؛</w:t>
      </w:r>
    </w:p>
    <w:p w:rsidR="00FA2E1F" w:rsidRPr="00DB5824" w:rsidRDefault="00FA2E1F" w:rsidP="00CD26C5">
      <w:pPr>
        <w:numPr>
          <w:ilvl w:val="0"/>
          <w:numId w:val="66"/>
        </w:numPr>
        <w:ind w:left="4" w:firstLine="727"/>
        <w:rPr>
          <w:rtl/>
        </w:rPr>
      </w:pPr>
      <w:r w:rsidRPr="00DB5824">
        <w:rPr>
          <w:rFonts w:hint="cs"/>
          <w:i/>
          <w:iCs/>
          <w:rtl/>
        </w:rPr>
        <w:t>يدعو</w:t>
      </w:r>
      <w:r w:rsidRPr="00DB5824">
        <w:rPr>
          <w:rtl/>
        </w:rPr>
        <w:t xml:space="preserve"> </w:t>
      </w:r>
      <w:r w:rsidRPr="00DB5824">
        <w:rPr>
          <w:rFonts w:hint="cs"/>
          <w:rtl/>
        </w:rPr>
        <w:t>الأطراف</w:t>
      </w:r>
      <w:r w:rsidRPr="00DB5824">
        <w:rPr>
          <w:rtl/>
        </w:rPr>
        <w:t xml:space="preserve"> </w:t>
      </w:r>
      <w:r w:rsidRPr="00DB5824">
        <w:rPr>
          <w:rFonts w:hint="cs"/>
          <w:rtl/>
        </w:rPr>
        <w:t>والحكومات</w:t>
      </w:r>
      <w:r w:rsidRPr="00DB5824">
        <w:rPr>
          <w:rtl/>
        </w:rPr>
        <w:t xml:space="preserve"> </w:t>
      </w:r>
      <w:r w:rsidRPr="00DB5824">
        <w:rPr>
          <w:rFonts w:hint="cs"/>
          <w:rtl/>
        </w:rPr>
        <w:t>والشعوب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والمنظمات</w:t>
      </w:r>
      <w:r w:rsidRPr="00DB5824">
        <w:rPr>
          <w:rtl/>
        </w:rPr>
        <w:t xml:space="preserve"> </w:t>
      </w:r>
      <w:r w:rsidRPr="00DB5824">
        <w:rPr>
          <w:rFonts w:hint="cs"/>
          <w:rtl/>
        </w:rPr>
        <w:t>الدولية</w:t>
      </w:r>
      <w:r w:rsidRPr="00DB5824">
        <w:rPr>
          <w:rtl/>
        </w:rPr>
        <w:t xml:space="preserve"> </w:t>
      </w:r>
      <w:r w:rsidRPr="00DB5824">
        <w:rPr>
          <w:rFonts w:hint="cs"/>
          <w:rtl/>
        </w:rPr>
        <w:t>ذات</w:t>
      </w:r>
      <w:r w:rsidRPr="00DB5824">
        <w:rPr>
          <w:rtl/>
        </w:rPr>
        <w:t xml:space="preserve"> </w:t>
      </w:r>
      <w:r w:rsidRPr="00DB5824">
        <w:rPr>
          <w:rFonts w:hint="cs"/>
          <w:rtl/>
        </w:rPr>
        <w:t>الصلة</w:t>
      </w:r>
      <w:r>
        <w:rPr>
          <w:rFonts w:hint="cs"/>
          <w:rtl/>
        </w:rPr>
        <w:t>،</w:t>
      </w:r>
      <w:r w:rsidRPr="00DB5824">
        <w:rPr>
          <w:rtl/>
        </w:rPr>
        <w:t xml:space="preserve"> </w:t>
      </w:r>
      <w:r w:rsidRPr="00DB5824">
        <w:rPr>
          <w:rFonts w:hint="cs"/>
          <w:rtl/>
        </w:rPr>
        <w:t>ولا</w:t>
      </w:r>
      <w:r w:rsidRPr="00DB5824">
        <w:rPr>
          <w:rtl/>
        </w:rPr>
        <w:t xml:space="preserve"> </w:t>
      </w:r>
      <w:r w:rsidRPr="00DB5824">
        <w:rPr>
          <w:rFonts w:hint="cs"/>
          <w:rtl/>
        </w:rPr>
        <w:t>سيما</w:t>
      </w:r>
      <w:r w:rsidRPr="00DB5824">
        <w:rPr>
          <w:rtl/>
        </w:rPr>
        <w:t xml:space="preserve"> </w:t>
      </w:r>
      <w:r w:rsidRPr="00DB5824">
        <w:rPr>
          <w:rFonts w:hint="cs"/>
          <w:rtl/>
        </w:rPr>
        <w:t>الاتفاقيات</w:t>
      </w:r>
      <w:r w:rsidRPr="00DB5824">
        <w:rPr>
          <w:rtl/>
        </w:rPr>
        <w:t xml:space="preserve"> </w:t>
      </w:r>
      <w:r w:rsidRPr="00DB5824">
        <w:rPr>
          <w:rFonts w:hint="cs"/>
          <w:rtl/>
        </w:rPr>
        <w:t>الأخرى</w:t>
      </w:r>
      <w:r w:rsidRPr="00DB5824">
        <w:rPr>
          <w:rtl/>
        </w:rPr>
        <w:t xml:space="preserve"> </w:t>
      </w:r>
      <w:r w:rsidRPr="00DB5824">
        <w:rPr>
          <w:rFonts w:hint="cs"/>
          <w:rtl/>
        </w:rPr>
        <w:t>المتعلقة</w:t>
      </w:r>
      <w:r w:rsidRPr="00DB5824">
        <w:rPr>
          <w:rtl/>
        </w:rPr>
        <w:t xml:space="preserve"> </w:t>
      </w:r>
      <w:r w:rsidRPr="00DB5824">
        <w:rPr>
          <w:rFonts w:hint="cs"/>
          <w:rtl/>
        </w:rPr>
        <w:t>بالتنوع</w:t>
      </w:r>
      <w:r w:rsidRPr="00DB5824">
        <w:rPr>
          <w:rtl/>
        </w:rPr>
        <w:t xml:space="preserve"> </w:t>
      </w:r>
      <w:r w:rsidRPr="00DB5824">
        <w:rPr>
          <w:rFonts w:hint="cs"/>
          <w:rtl/>
        </w:rPr>
        <w:t>البيولوجي</w:t>
      </w:r>
      <w:r>
        <w:rPr>
          <w:rFonts w:hint="cs"/>
          <w:rtl/>
        </w:rPr>
        <w:t>،</w:t>
      </w:r>
      <w:r w:rsidRPr="00DB5824">
        <w:rPr>
          <w:rtl/>
        </w:rPr>
        <w:t xml:space="preserve"> </w:t>
      </w:r>
      <w:r w:rsidRPr="00DB5824">
        <w:rPr>
          <w:rFonts w:hint="cs"/>
          <w:rtl/>
        </w:rPr>
        <w:t>وأصحاب</w:t>
      </w:r>
      <w:r w:rsidRPr="00DB5824">
        <w:rPr>
          <w:rtl/>
        </w:rPr>
        <w:t xml:space="preserve"> </w:t>
      </w:r>
      <w:r w:rsidRPr="00DB5824">
        <w:rPr>
          <w:rFonts w:hint="cs"/>
          <w:rtl/>
        </w:rPr>
        <w:t>المصلحة</w:t>
      </w:r>
      <w:r w:rsidRPr="00DB5824">
        <w:rPr>
          <w:rtl/>
        </w:rPr>
        <w:t xml:space="preserve"> </w:t>
      </w:r>
      <w:r w:rsidRPr="00DB5824">
        <w:rPr>
          <w:rFonts w:hint="cs"/>
          <w:rtl/>
        </w:rPr>
        <w:t>المهتمين</w:t>
      </w:r>
      <w:r w:rsidRPr="00DB5824">
        <w:rPr>
          <w:rtl/>
        </w:rPr>
        <w:t xml:space="preserve"> </w:t>
      </w:r>
      <w:r w:rsidRPr="00DB5824">
        <w:rPr>
          <w:rFonts w:hint="cs"/>
          <w:rtl/>
        </w:rPr>
        <w:t>إلى</w:t>
      </w:r>
      <w:r w:rsidRPr="00DB5824">
        <w:rPr>
          <w:rtl/>
        </w:rPr>
        <w:t xml:space="preserve"> </w:t>
      </w:r>
      <w:r w:rsidRPr="00DB5824">
        <w:rPr>
          <w:rFonts w:hint="cs"/>
          <w:rtl/>
        </w:rPr>
        <w:t>تقديم</w:t>
      </w:r>
      <w:r w:rsidRPr="00DB5824">
        <w:rPr>
          <w:rtl/>
        </w:rPr>
        <w:t xml:space="preserve"> </w:t>
      </w:r>
      <w:r w:rsidRPr="00DB5824">
        <w:rPr>
          <w:rFonts w:hint="cs"/>
          <w:rtl/>
        </w:rPr>
        <w:t>آراء</w:t>
      </w:r>
      <w:r w:rsidRPr="00DB5824">
        <w:rPr>
          <w:rtl/>
        </w:rPr>
        <w:t xml:space="preserve"> </w:t>
      </w:r>
      <w:r w:rsidRPr="00DB5824">
        <w:rPr>
          <w:rFonts w:hint="cs"/>
          <w:rtl/>
        </w:rPr>
        <w:t>إلى</w:t>
      </w:r>
      <w:r w:rsidRPr="00DB5824">
        <w:rPr>
          <w:rtl/>
        </w:rPr>
        <w:t xml:space="preserve"> </w:t>
      </w:r>
      <w:r w:rsidRPr="00DB5824">
        <w:rPr>
          <w:rFonts w:hint="cs"/>
          <w:rtl/>
        </w:rPr>
        <w:t>الأمينة</w:t>
      </w:r>
      <w:r w:rsidRPr="00DB5824">
        <w:rPr>
          <w:rtl/>
        </w:rPr>
        <w:t xml:space="preserve"> </w:t>
      </w:r>
      <w:r w:rsidRPr="00DB5824">
        <w:rPr>
          <w:rFonts w:hint="cs"/>
          <w:rtl/>
        </w:rPr>
        <w:t>التنفيذية</w:t>
      </w:r>
      <w:r w:rsidRPr="00DB5824">
        <w:rPr>
          <w:rtl/>
        </w:rPr>
        <w:t xml:space="preserve"> </w:t>
      </w:r>
      <w:r w:rsidRPr="00DB5824">
        <w:rPr>
          <w:rFonts w:hint="cs"/>
          <w:rtl/>
        </w:rPr>
        <w:t>بشأن</w:t>
      </w:r>
      <w:r w:rsidRPr="00DB5824">
        <w:rPr>
          <w:rtl/>
        </w:rPr>
        <w:t xml:space="preserve"> </w:t>
      </w:r>
      <w:r w:rsidRPr="00DB5824">
        <w:rPr>
          <w:rFonts w:hint="cs"/>
          <w:rtl/>
        </w:rPr>
        <w:t>العناصر</w:t>
      </w:r>
      <w:r w:rsidRPr="00DB5824">
        <w:rPr>
          <w:rtl/>
        </w:rPr>
        <w:t xml:space="preserve"> </w:t>
      </w:r>
      <w:r w:rsidRPr="00DB5824">
        <w:rPr>
          <w:rFonts w:hint="cs"/>
          <w:rtl/>
        </w:rPr>
        <w:t>الم</w:t>
      </w:r>
      <w:r>
        <w:rPr>
          <w:rFonts w:hint="cs"/>
          <w:rtl/>
        </w:rPr>
        <w:t>مكن</w:t>
      </w:r>
      <w:r w:rsidRPr="00DB5824">
        <w:rPr>
          <w:rFonts w:hint="cs"/>
          <w:rtl/>
        </w:rPr>
        <w:t>ة</w:t>
      </w:r>
      <w:r w:rsidRPr="00DB5824">
        <w:rPr>
          <w:rtl/>
        </w:rPr>
        <w:t xml:space="preserve"> </w:t>
      </w:r>
      <w:r w:rsidRPr="00DB5824">
        <w:rPr>
          <w:rFonts w:hint="cs"/>
          <w:rtl/>
        </w:rPr>
        <w:t>لبرنامج</w:t>
      </w:r>
      <w:r w:rsidRPr="00DB5824">
        <w:rPr>
          <w:rtl/>
        </w:rPr>
        <w:t xml:space="preserve"> </w:t>
      </w:r>
      <w:r w:rsidRPr="00DB5824">
        <w:rPr>
          <w:rFonts w:hint="cs"/>
          <w:rtl/>
        </w:rPr>
        <w:t>عمل</w:t>
      </w:r>
      <w:r w:rsidRPr="00DB5824">
        <w:rPr>
          <w:rtl/>
        </w:rPr>
        <w:t xml:space="preserve"> </w:t>
      </w:r>
      <w:r w:rsidRPr="00DB5824">
        <w:rPr>
          <w:rFonts w:hint="cs"/>
          <w:rtl/>
        </w:rPr>
        <w:t>متكامل</w:t>
      </w:r>
      <w:r w:rsidRPr="00DB5824">
        <w:rPr>
          <w:rtl/>
        </w:rPr>
        <w:t xml:space="preserve"> </w:t>
      </w:r>
      <w:r w:rsidRPr="00DB5824">
        <w:rPr>
          <w:rFonts w:hint="cs"/>
          <w:rtl/>
        </w:rPr>
        <w:t>تماما</w:t>
      </w:r>
      <w:r w:rsidRPr="00DB5824">
        <w:rPr>
          <w:rtl/>
        </w:rPr>
        <w:t xml:space="preserve"> </w:t>
      </w:r>
      <w:r w:rsidRPr="00DB5824">
        <w:rPr>
          <w:rFonts w:hint="cs"/>
          <w:rtl/>
        </w:rPr>
        <w:t>كجزء</w:t>
      </w:r>
      <w:r w:rsidRPr="00DB5824">
        <w:rPr>
          <w:rtl/>
        </w:rPr>
        <w:t xml:space="preserve"> </w:t>
      </w:r>
      <w:r w:rsidRPr="00DB5824">
        <w:rPr>
          <w:rFonts w:hint="cs"/>
          <w:rtl/>
        </w:rPr>
        <w:t>من</w:t>
      </w:r>
      <w:r w:rsidRPr="00DB5824">
        <w:rPr>
          <w:rtl/>
        </w:rPr>
        <w:t xml:space="preserve"> </w:t>
      </w:r>
      <w:r w:rsidRPr="00DB5824">
        <w:rPr>
          <w:rFonts w:hint="cs"/>
          <w:rtl/>
        </w:rPr>
        <w:t>إطار التنوع</w:t>
      </w:r>
      <w:r w:rsidRPr="00DB5824">
        <w:rPr>
          <w:rtl/>
        </w:rPr>
        <w:t xml:space="preserve"> </w:t>
      </w:r>
      <w:r w:rsidRPr="00DB5824">
        <w:rPr>
          <w:rFonts w:hint="cs"/>
          <w:rtl/>
        </w:rPr>
        <w:t>البيولوجي</w:t>
      </w:r>
      <w:r w:rsidRPr="00DB5824">
        <w:rPr>
          <w:rtl/>
        </w:rPr>
        <w:t xml:space="preserve"> </w:t>
      </w:r>
      <w:r w:rsidRPr="00DB5824">
        <w:rPr>
          <w:rFonts w:hint="cs"/>
          <w:rtl/>
        </w:rPr>
        <w:t>لما</w:t>
      </w:r>
      <w:r w:rsidRPr="00DB5824">
        <w:rPr>
          <w:rtl/>
        </w:rPr>
        <w:t xml:space="preserve"> </w:t>
      </w:r>
      <w:r w:rsidRPr="00DB5824">
        <w:rPr>
          <w:rFonts w:hint="cs"/>
          <w:rtl/>
        </w:rPr>
        <w:t>بعد</w:t>
      </w:r>
      <w:r w:rsidRPr="00DB5824">
        <w:rPr>
          <w:rtl/>
        </w:rPr>
        <w:t xml:space="preserve"> </w:t>
      </w:r>
      <w:r w:rsidRPr="00DB5824">
        <w:rPr>
          <w:rFonts w:hint="cs"/>
          <w:rtl/>
        </w:rPr>
        <w:t>عام</w:t>
      </w:r>
      <w:r w:rsidRPr="00DB5824">
        <w:rPr>
          <w:rtl/>
        </w:rPr>
        <w:t xml:space="preserve"> 2020</w:t>
      </w:r>
      <w:r w:rsidRPr="00DB5824">
        <w:rPr>
          <w:rFonts w:hint="cs"/>
          <w:rtl/>
        </w:rPr>
        <w:t>؛</w:t>
      </w:r>
    </w:p>
    <w:p w:rsidR="00FA2E1F" w:rsidRPr="00DB5824" w:rsidRDefault="00FA2E1F" w:rsidP="00CD26C5">
      <w:pPr>
        <w:numPr>
          <w:ilvl w:val="0"/>
          <w:numId w:val="66"/>
        </w:numPr>
        <w:ind w:left="4" w:firstLine="727"/>
        <w:rPr>
          <w:rtl/>
        </w:rPr>
      </w:pPr>
      <w:r w:rsidRPr="00DB5824">
        <w:rPr>
          <w:rFonts w:hint="cs"/>
          <w:i/>
          <w:iCs/>
          <w:rtl/>
        </w:rPr>
        <w:t>يدعو</w:t>
      </w:r>
      <w:r w:rsidRPr="00DB5824">
        <w:rPr>
          <w:rtl/>
        </w:rPr>
        <w:t xml:space="preserve"> </w:t>
      </w:r>
      <w:r w:rsidRPr="00DB5824">
        <w:rPr>
          <w:rFonts w:hint="cs"/>
          <w:rtl/>
        </w:rPr>
        <w:t>الأطراف</w:t>
      </w:r>
      <w:r w:rsidRPr="00DB5824">
        <w:rPr>
          <w:rtl/>
        </w:rPr>
        <w:t xml:space="preserve"> </w:t>
      </w:r>
      <w:r w:rsidRPr="00DB5824">
        <w:rPr>
          <w:rFonts w:hint="cs"/>
          <w:rtl/>
        </w:rPr>
        <w:t>والحكومات</w:t>
      </w:r>
      <w:r w:rsidRPr="00DB5824">
        <w:rPr>
          <w:rtl/>
        </w:rPr>
        <w:t xml:space="preserve"> </w:t>
      </w:r>
      <w:r w:rsidRPr="00DB5824">
        <w:rPr>
          <w:rFonts w:hint="cs"/>
          <w:rtl/>
        </w:rPr>
        <w:t>والشعوب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إلى</w:t>
      </w:r>
      <w:r w:rsidRPr="00DB5824">
        <w:rPr>
          <w:rtl/>
        </w:rPr>
        <w:t xml:space="preserve"> </w:t>
      </w:r>
      <w:r w:rsidRPr="00DB5824">
        <w:rPr>
          <w:rFonts w:hint="cs"/>
          <w:rtl/>
        </w:rPr>
        <w:t>تقديم</w:t>
      </w:r>
      <w:r w:rsidRPr="00DB5824">
        <w:rPr>
          <w:rtl/>
        </w:rPr>
        <w:t xml:space="preserve"> </w:t>
      </w:r>
      <w:r w:rsidRPr="00DB5824">
        <w:rPr>
          <w:rFonts w:hint="cs"/>
          <w:rtl/>
        </w:rPr>
        <w:t>آراء</w:t>
      </w:r>
      <w:r w:rsidRPr="00DB5824">
        <w:rPr>
          <w:rtl/>
        </w:rPr>
        <w:t xml:space="preserve"> </w:t>
      </w:r>
      <w:r w:rsidRPr="00DB5824">
        <w:rPr>
          <w:rFonts w:hint="cs"/>
          <w:rtl/>
        </w:rPr>
        <w:t>إلى</w:t>
      </w:r>
      <w:r w:rsidRPr="00DB5824">
        <w:rPr>
          <w:rtl/>
        </w:rPr>
        <w:t xml:space="preserve"> </w:t>
      </w:r>
      <w:r w:rsidRPr="00DB5824">
        <w:rPr>
          <w:rFonts w:hint="cs"/>
          <w:rtl/>
        </w:rPr>
        <w:t>الأمينة</w:t>
      </w:r>
      <w:r w:rsidRPr="00DB5824">
        <w:rPr>
          <w:rtl/>
        </w:rPr>
        <w:t xml:space="preserve"> </w:t>
      </w:r>
      <w:r w:rsidRPr="00DB5824">
        <w:rPr>
          <w:rFonts w:hint="cs"/>
          <w:rtl/>
        </w:rPr>
        <w:t>التنفيذية</w:t>
      </w:r>
      <w:r w:rsidRPr="00DB5824">
        <w:rPr>
          <w:rtl/>
        </w:rPr>
        <w:t xml:space="preserve"> </w:t>
      </w:r>
      <w:r w:rsidRPr="00DB5824">
        <w:rPr>
          <w:rFonts w:hint="cs"/>
          <w:rtl/>
        </w:rPr>
        <w:t>بشأن</w:t>
      </w:r>
      <w:r w:rsidRPr="00DB5824">
        <w:rPr>
          <w:rtl/>
        </w:rPr>
        <w:t xml:space="preserve"> </w:t>
      </w:r>
      <w:r w:rsidRPr="00DB5824">
        <w:rPr>
          <w:rFonts w:hint="cs"/>
          <w:rtl/>
        </w:rPr>
        <w:t>الترتيبات</w:t>
      </w:r>
      <w:r w:rsidRPr="00DB5824">
        <w:rPr>
          <w:rtl/>
        </w:rPr>
        <w:t xml:space="preserve"> </w:t>
      </w:r>
      <w:r w:rsidRPr="00DB5824">
        <w:rPr>
          <w:rFonts w:hint="cs"/>
          <w:rtl/>
        </w:rPr>
        <w:t>المؤسسية</w:t>
      </w:r>
      <w:r w:rsidRPr="00DB5824">
        <w:rPr>
          <w:rtl/>
        </w:rPr>
        <w:t xml:space="preserve"> </w:t>
      </w:r>
      <w:r w:rsidRPr="00DB5824">
        <w:rPr>
          <w:rFonts w:hint="cs"/>
          <w:rtl/>
        </w:rPr>
        <w:t>الم</w:t>
      </w:r>
      <w:r>
        <w:rPr>
          <w:rFonts w:hint="cs"/>
          <w:rtl/>
        </w:rPr>
        <w:t>مكن</w:t>
      </w:r>
      <w:r w:rsidRPr="00DB5824">
        <w:rPr>
          <w:rFonts w:hint="cs"/>
          <w:rtl/>
        </w:rPr>
        <w:t>ة</w:t>
      </w:r>
      <w:r>
        <w:rPr>
          <w:rFonts w:hint="cs"/>
          <w:rtl/>
        </w:rPr>
        <w:t xml:space="preserve"> </w:t>
      </w:r>
      <w:r w:rsidRPr="00DB5824">
        <w:rPr>
          <w:rFonts w:hint="cs"/>
          <w:rtl/>
        </w:rPr>
        <w:t>وطريقة</w:t>
      </w:r>
      <w:r w:rsidRPr="00DB5824">
        <w:rPr>
          <w:rtl/>
        </w:rPr>
        <w:t xml:space="preserve"> </w:t>
      </w:r>
      <w:r w:rsidRPr="00DB5824">
        <w:rPr>
          <w:rFonts w:hint="cs"/>
          <w:rtl/>
        </w:rPr>
        <w:t>عملها،</w:t>
      </w:r>
      <w:r w:rsidRPr="00DB5824">
        <w:rPr>
          <w:rtl/>
        </w:rPr>
        <w:t xml:space="preserve"> </w:t>
      </w:r>
      <w:r w:rsidRPr="00DB5824">
        <w:rPr>
          <w:rFonts w:hint="cs"/>
          <w:rtl/>
        </w:rPr>
        <w:t>من أجل تنفيذ المادة 8(ي) والأحكام المتصلة بها</w:t>
      </w:r>
      <w:r>
        <w:rPr>
          <w:rFonts w:hint="cs"/>
          <w:rtl/>
        </w:rPr>
        <w:t>،</w:t>
      </w:r>
      <w:r w:rsidRPr="00DB5824">
        <w:rPr>
          <w:rFonts w:hint="cs"/>
          <w:rtl/>
        </w:rPr>
        <w:t xml:space="preserve"> على</w:t>
      </w:r>
      <w:r w:rsidRPr="00DB5824">
        <w:rPr>
          <w:rtl/>
        </w:rPr>
        <w:t xml:space="preserve"> </w:t>
      </w:r>
      <w:r w:rsidRPr="00DB5824">
        <w:rPr>
          <w:rFonts w:hint="cs"/>
          <w:rtl/>
        </w:rPr>
        <w:t>سبيل</w:t>
      </w:r>
      <w:r w:rsidRPr="00DB5824">
        <w:rPr>
          <w:rtl/>
        </w:rPr>
        <w:t xml:space="preserve"> </w:t>
      </w:r>
      <w:r w:rsidRPr="00DB5824">
        <w:rPr>
          <w:rFonts w:hint="cs"/>
          <w:rtl/>
        </w:rPr>
        <w:t>المثال</w:t>
      </w:r>
      <w:r w:rsidRPr="00DB5824">
        <w:rPr>
          <w:rtl/>
        </w:rPr>
        <w:t xml:space="preserve"> </w:t>
      </w:r>
      <w:r w:rsidRPr="00DB5824">
        <w:rPr>
          <w:rFonts w:hint="cs"/>
          <w:rtl/>
        </w:rPr>
        <w:t>لا</w:t>
      </w:r>
      <w:r w:rsidRPr="00DB5824">
        <w:rPr>
          <w:rtl/>
        </w:rPr>
        <w:t xml:space="preserve"> </w:t>
      </w:r>
      <w:r w:rsidRPr="00DB5824">
        <w:rPr>
          <w:rFonts w:hint="cs"/>
          <w:rtl/>
        </w:rPr>
        <w:t>الحصر</w:t>
      </w:r>
      <w:r w:rsidRPr="00DB5824">
        <w:rPr>
          <w:rtl/>
        </w:rPr>
        <w:t xml:space="preserve"> </w:t>
      </w:r>
      <w:r w:rsidRPr="00DB5824">
        <w:rPr>
          <w:rFonts w:hint="cs"/>
          <w:rtl/>
        </w:rPr>
        <w:t>ما</w:t>
      </w:r>
      <w:r w:rsidRPr="00DB5824">
        <w:rPr>
          <w:rtl/>
        </w:rPr>
        <w:t xml:space="preserve"> </w:t>
      </w:r>
      <w:r w:rsidRPr="00DB5824">
        <w:rPr>
          <w:rFonts w:hint="cs"/>
          <w:rtl/>
        </w:rPr>
        <w:t>يلي</w:t>
      </w:r>
      <w:r w:rsidRPr="00DB5824">
        <w:rPr>
          <w:rtl/>
        </w:rPr>
        <w:t>:</w:t>
      </w:r>
    </w:p>
    <w:p w:rsidR="00FA2E1F" w:rsidRPr="00DB5824" w:rsidRDefault="00FA2E1F" w:rsidP="00FA2E1F">
      <w:pPr>
        <w:ind w:left="4" w:firstLine="708"/>
        <w:rPr>
          <w:rtl/>
        </w:rPr>
      </w:pPr>
      <w:r w:rsidRPr="00DB5824">
        <w:rPr>
          <w:rFonts w:hint="cs"/>
          <w:rtl/>
        </w:rPr>
        <w:t>(أ)</w:t>
      </w:r>
      <w:r w:rsidRPr="00DB5824">
        <w:rPr>
          <w:rFonts w:hint="cs"/>
          <w:rtl/>
        </w:rPr>
        <w:tab/>
        <w:t>إنشاء هيئة فرعية</w:t>
      </w:r>
      <w:r>
        <w:rPr>
          <w:rFonts w:hint="cs"/>
          <w:rtl/>
        </w:rPr>
        <w:t xml:space="preserve"> معنية بالمادة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 xml:space="preserve">بها تسند لها ولاية تقديم المشورة إلى مؤتمر الأطراف والهيئات الفرعية الأخرى، ورهنا بموافقته، مؤتمر الأطراف العامل كاجتماع للأطراف في </w:t>
      </w:r>
      <w:r>
        <w:rPr>
          <w:rFonts w:hint="cs"/>
          <w:rtl/>
        </w:rPr>
        <w:t xml:space="preserve">كل بروتوكول من </w:t>
      </w:r>
      <w:r w:rsidRPr="00DB5824">
        <w:rPr>
          <w:rFonts w:hint="cs"/>
          <w:rtl/>
        </w:rPr>
        <w:t xml:space="preserve">البروتوكولين، بشأن </w:t>
      </w:r>
      <w:r>
        <w:rPr>
          <w:rFonts w:hint="cs"/>
          <w:rtl/>
        </w:rPr>
        <w:t>ال</w:t>
      </w:r>
      <w:r w:rsidRPr="00DB5824">
        <w:rPr>
          <w:rFonts w:hint="cs"/>
          <w:rtl/>
        </w:rPr>
        <w:t xml:space="preserve">مسائل ذات </w:t>
      </w:r>
      <w:r>
        <w:rPr>
          <w:rFonts w:hint="cs"/>
          <w:rtl/>
        </w:rPr>
        <w:t>ال</w:t>
      </w:r>
      <w:r w:rsidRPr="00DB5824">
        <w:rPr>
          <w:rFonts w:hint="cs"/>
          <w:rtl/>
        </w:rPr>
        <w:t>صلة بالشعوب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 وتكون ضمن نطاق الاتفاقية؛</w:t>
      </w:r>
    </w:p>
    <w:p w:rsidR="00FA2E1F" w:rsidRPr="00DB5824" w:rsidRDefault="00FA2E1F" w:rsidP="00FA2E1F">
      <w:pPr>
        <w:ind w:left="4" w:firstLine="708"/>
        <w:rPr>
          <w:rtl/>
        </w:rPr>
      </w:pPr>
      <w:r w:rsidRPr="00DB5824">
        <w:rPr>
          <w:rFonts w:hint="cs"/>
          <w:rtl/>
        </w:rPr>
        <w:t>(ب)</w:t>
      </w:r>
      <w:r w:rsidRPr="00DB5824">
        <w:tab/>
      </w:r>
      <w:r w:rsidRPr="00DB5824">
        <w:rPr>
          <w:rFonts w:hint="cs"/>
          <w:rtl/>
        </w:rPr>
        <w:t>مواصلة</w:t>
      </w:r>
      <w:r w:rsidRPr="00DB5824">
        <w:rPr>
          <w:rtl/>
        </w:rPr>
        <w:t xml:space="preserve"> </w:t>
      </w:r>
      <w:r w:rsidRPr="00DB5824">
        <w:rPr>
          <w:rFonts w:hint="cs"/>
          <w:rtl/>
        </w:rPr>
        <w:t>عمل الفريق</w:t>
      </w:r>
      <w:r w:rsidRPr="00DB5824">
        <w:rPr>
          <w:rtl/>
        </w:rPr>
        <w:t xml:space="preserve"> </w:t>
      </w:r>
      <w:r w:rsidRPr="00DB5824">
        <w:rPr>
          <w:rFonts w:hint="cs"/>
          <w:rtl/>
        </w:rPr>
        <w:t>العامل 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بها</w:t>
      </w:r>
      <w:r w:rsidRPr="00DB5824">
        <w:rPr>
          <w:rtl/>
        </w:rPr>
        <w:t xml:space="preserve"> </w:t>
      </w:r>
      <w:r w:rsidRPr="00DB5824">
        <w:rPr>
          <w:rFonts w:hint="cs"/>
          <w:rtl/>
        </w:rPr>
        <w:t xml:space="preserve">من خلال </w:t>
      </w:r>
      <w:r>
        <w:rPr>
          <w:rFonts w:hint="cs"/>
          <w:rtl/>
        </w:rPr>
        <w:t>ولاية منقحة ضمن إطار عمل إطار التنوع البيولوجي لما بعد عام 2020</w:t>
      </w:r>
      <w:r w:rsidRPr="00DB5824">
        <w:rPr>
          <w:rFonts w:hint="cs"/>
          <w:rtl/>
        </w:rPr>
        <w:t>؛</w:t>
      </w:r>
    </w:p>
    <w:p w:rsidR="00FA2E1F" w:rsidRPr="00DB5824" w:rsidRDefault="00FA2E1F" w:rsidP="00FA2E1F">
      <w:pPr>
        <w:ind w:left="4" w:firstLine="708"/>
        <w:rPr>
          <w:rtl/>
        </w:rPr>
      </w:pPr>
      <w:r w:rsidRPr="00DB5824">
        <w:rPr>
          <w:rFonts w:hint="cs"/>
          <w:rtl/>
        </w:rPr>
        <w:t>(ج)</w:t>
      </w:r>
      <w:r w:rsidRPr="00DB5824">
        <w:rPr>
          <w:rFonts w:hint="cs"/>
          <w:rtl/>
        </w:rPr>
        <w:tab/>
        <w:t>تطبيق</w:t>
      </w:r>
      <w:r w:rsidRPr="00DB5824">
        <w:rPr>
          <w:rtl/>
        </w:rPr>
        <w:t xml:space="preserve"> </w:t>
      </w:r>
      <w:r w:rsidRPr="00DB5824">
        <w:rPr>
          <w:rFonts w:hint="cs"/>
          <w:rtl/>
        </w:rPr>
        <w:t>آليات</w:t>
      </w:r>
      <w:r w:rsidRPr="00DB5824">
        <w:rPr>
          <w:rtl/>
        </w:rPr>
        <w:t xml:space="preserve"> </w:t>
      </w:r>
      <w:r w:rsidRPr="00DB5824">
        <w:rPr>
          <w:rFonts w:hint="cs"/>
          <w:rtl/>
        </w:rPr>
        <w:t>المشاركة</w:t>
      </w:r>
      <w:r w:rsidRPr="00DB5824">
        <w:rPr>
          <w:rtl/>
        </w:rPr>
        <w:t xml:space="preserve"> </w:t>
      </w:r>
      <w:r w:rsidRPr="00DB5824">
        <w:rPr>
          <w:rFonts w:hint="cs"/>
          <w:rtl/>
        </w:rPr>
        <w:t>المعززة</w:t>
      </w:r>
      <w:r w:rsidRPr="00DB5824">
        <w:rPr>
          <w:rtl/>
        </w:rPr>
        <w:t xml:space="preserve"> </w:t>
      </w:r>
      <w:r w:rsidRPr="00DB5824">
        <w:rPr>
          <w:rFonts w:hint="cs"/>
          <w:rtl/>
        </w:rPr>
        <w:t>التي</w:t>
      </w:r>
      <w:r w:rsidRPr="00DB5824">
        <w:rPr>
          <w:rtl/>
        </w:rPr>
        <w:t xml:space="preserve"> </w:t>
      </w:r>
      <w:r w:rsidRPr="00DB5824">
        <w:rPr>
          <w:rFonts w:hint="cs"/>
          <w:rtl/>
        </w:rPr>
        <w:t>يستخدمها</w:t>
      </w:r>
      <w:r w:rsidRPr="00DB5824">
        <w:rPr>
          <w:rtl/>
        </w:rPr>
        <w:t xml:space="preserve"> </w:t>
      </w:r>
      <w:r w:rsidRPr="00DB5824">
        <w:rPr>
          <w:rFonts w:hint="cs"/>
          <w:rtl/>
        </w:rPr>
        <w:t>الفريق</w:t>
      </w:r>
      <w:r w:rsidRPr="00DB5824">
        <w:rPr>
          <w:rtl/>
        </w:rPr>
        <w:t xml:space="preserve"> </w:t>
      </w:r>
      <w:r w:rsidRPr="00DB5824">
        <w:rPr>
          <w:rFonts w:hint="cs"/>
          <w:rtl/>
        </w:rPr>
        <w:t>العامل 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بها لمشاركة</w:t>
      </w:r>
      <w:r w:rsidRPr="00DB5824">
        <w:rPr>
          <w:rtl/>
        </w:rPr>
        <w:t xml:space="preserve"> </w:t>
      </w:r>
      <w:r w:rsidRPr="00DB5824">
        <w:rPr>
          <w:rFonts w:hint="cs"/>
          <w:rtl/>
        </w:rPr>
        <w:t>ممثلي</w:t>
      </w:r>
      <w:r w:rsidRPr="00DB5824">
        <w:rPr>
          <w:rtl/>
        </w:rPr>
        <w:t xml:space="preserve"> </w:t>
      </w:r>
      <w:r w:rsidRPr="00DB5824">
        <w:rPr>
          <w:rFonts w:hint="cs"/>
          <w:rtl/>
        </w:rPr>
        <w:t>الشعوب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حسب</w:t>
      </w:r>
      <w:r w:rsidRPr="00DB5824">
        <w:rPr>
          <w:rtl/>
        </w:rPr>
        <w:t xml:space="preserve"> </w:t>
      </w:r>
      <w:r w:rsidRPr="00DB5824">
        <w:rPr>
          <w:rFonts w:hint="cs"/>
          <w:rtl/>
        </w:rPr>
        <w:t>الاقتضاء،</w:t>
      </w:r>
      <w:r w:rsidRPr="00DB5824">
        <w:rPr>
          <w:rtl/>
        </w:rPr>
        <w:t xml:space="preserve"> </w:t>
      </w:r>
      <w:r w:rsidRPr="00DB5824">
        <w:rPr>
          <w:rFonts w:hint="cs"/>
          <w:rtl/>
        </w:rPr>
        <w:t>عند</w:t>
      </w:r>
      <w:r w:rsidRPr="00DB5824">
        <w:rPr>
          <w:rtl/>
        </w:rPr>
        <w:t xml:space="preserve"> </w:t>
      </w:r>
      <w:r w:rsidRPr="00DB5824">
        <w:rPr>
          <w:rFonts w:hint="cs"/>
          <w:rtl/>
        </w:rPr>
        <w:t>معالجة</w:t>
      </w:r>
      <w:r w:rsidRPr="00DB5824">
        <w:rPr>
          <w:rtl/>
        </w:rPr>
        <w:t xml:space="preserve"> </w:t>
      </w:r>
      <w:r w:rsidRPr="00DB5824">
        <w:rPr>
          <w:rFonts w:hint="cs"/>
          <w:rtl/>
        </w:rPr>
        <w:t>المسائل</w:t>
      </w:r>
      <w:r w:rsidRPr="00DB5824">
        <w:rPr>
          <w:rtl/>
        </w:rPr>
        <w:t xml:space="preserve"> </w:t>
      </w:r>
      <w:r w:rsidRPr="00DB5824">
        <w:rPr>
          <w:rFonts w:hint="cs"/>
          <w:rtl/>
        </w:rPr>
        <w:t>ذات</w:t>
      </w:r>
      <w:r w:rsidRPr="00DB5824">
        <w:rPr>
          <w:rtl/>
        </w:rPr>
        <w:t xml:space="preserve"> </w:t>
      </w:r>
      <w:r w:rsidRPr="00DB5824">
        <w:rPr>
          <w:rFonts w:hint="cs"/>
          <w:rtl/>
        </w:rPr>
        <w:t>الصلة</w:t>
      </w:r>
      <w:r w:rsidRPr="00DB5824">
        <w:rPr>
          <w:rtl/>
        </w:rPr>
        <w:t xml:space="preserve"> </w:t>
      </w:r>
      <w:r w:rsidRPr="00DB5824">
        <w:rPr>
          <w:rFonts w:hint="cs"/>
          <w:rtl/>
        </w:rPr>
        <w:t>المباشرة</w:t>
      </w:r>
      <w:r w:rsidRPr="00DB5824">
        <w:rPr>
          <w:rtl/>
        </w:rPr>
        <w:t xml:space="preserve"> </w:t>
      </w:r>
      <w:r w:rsidRPr="00DB5824">
        <w:rPr>
          <w:rFonts w:hint="cs"/>
          <w:rtl/>
        </w:rPr>
        <w:t>بالشعوب</w:t>
      </w:r>
      <w:r w:rsidRPr="00DB5824">
        <w:rPr>
          <w:rtl/>
        </w:rPr>
        <w:t xml:space="preserve"> </w:t>
      </w:r>
      <w:r w:rsidRPr="00DB5824">
        <w:rPr>
          <w:rFonts w:hint="cs"/>
          <w:rtl/>
        </w:rPr>
        <w:t>الأصلية</w:t>
      </w:r>
      <w:r w:rsidRPr="00DB5824">
        <w:rPr>
          <w:rtl/>
        </w:rPr>
        <w:t xml:space="preserve"> </w:t>
      </w:r>
      <w:r w:rsidRPr="00DB5824">
        <w:rPr>
          <w:rFonts w:hint="cs"/>
          <w:rtl/>
        </w:rPr>
        <w:t>والمجتمعات</w:t>
      </w:r>
      <w:r w:rsidRPr="00DB5824">
        <w:rPr>
          <w:rtl/>
        </w:rPr>
        <w:t xml:space="preserve"> </w:t>
      </w:r>
      <w:r w:rsidRPr="00DB5824">
        <w:rPr>
          <w:rFonts w:hint="cs"/>
          <w:rtl/>
        </w:rPr>
        <w:t>المحلية</w:t>
      </w:r>
      <w:r w:rsidRPr="00DB5824">
        <w:rPr>
          <w:rtl/>
        </w:rPr>
        <w:t xml:space="preserve"> </w:t>
      </w:r>
      <w:r w:rsidRPr="00DB5824">
        <w:rPr>
          <w:rFonts w:hint="cs"/>
          <w:rtl/>
        </w:rPr>
        <w:t>في</w:t>
      </w:r>
      <w:r w:rsidRPr="00DB5824">
        <w:rPr>
          <w:rtl/>
        </w:rPr>
        <w:t xml:space="preserve"> </w:t>
      </w:r>
      <w:r w:rsidRPr="00DB5824">
        <w:rPr>
          <w:rFonts w:hint="cs"/>
          <w:rtl/>
        </w:rPr>
        <w:t>الهيئات</w:t>
      </w:r>
      <w:r w:rsidRPr="00DB5824">
        <w:rPr>
          <w:rtl/>
        </w:rPr>
        <w:t xml:space="preserve"> </w:t>
      </w:r>
      <w:r w:rsidRPr="00DB5824">
        <w:rPr>
          <w:rFonts w:hint="cs"/>
          <w:rtl/>
        </w:rPr>
        <w:t>الفرعية،</w:t>
      </w:r>
      <w:r w:rsidRPr="00DB5824">
        <w:rPr>
          <w:rtl/>
        </w:rPr>
        <w:t xml:space="preserve"> </w:t>
      </w:r>
      <w:r w:rsidRPr="00DB5824">
        <w:rPr>
          <w:rFonts w:hint="cs"/>
          <w:rtl/>
        </w:rPr>
        <w:t>بغية</w:t>
      </w:r>
      <w:r w:rsidRPr="00DB5824">
        <w:rPr>
          <w:rtl/>
        </w:rPr>
        <w:t xml:space="preserve"> </w:t>
      </w:r>
      <w:r w:rsidRPr="00DB5824">
        <w:rPr>
          <w:rFonts w:hint="cs"/>
          <w:rtl/>
        </w:rPr>
        <w:t>ضمان</w:t>
      </w:r>
      <w:r w:rsidRPr="00DB5824">
        <w:rPr>
          <w:rtl/>
        </w:rPr>
        <w:t xml:space="preserve"> </w:t>
      </w:r>
      <w:r w:rsidRPr="00DB5824">
        <w:rPr>
          <w:rFonts w:hint="cs"/>
          <w:rtl/>
        </w:rPr>
        <w:t>مشاركتها</w:t>
      </w:r>
      <w:r w:rsidRPr="00DB5824">
        <w:rPr>
          <w:rtl/>
        </w:rPr>
        <w:t xml:space="preserve"> </w:t>
      </w:r>
      <w:r w:rsidRPr="00DB5824">
        <w:rPr>
          <w:rFonts w:hint="cs"/>
          <w:rtl/>
        </w:rPr>
        <w:t>الفعالة</w:t>
      </w:r>
      <w:r w:rsidRPr="00DB5824">
        <w:rPr>
          <w:rtl/>
        </w:rPr>
        <w:t xml:space="preserve"> </w:t>
      </w:r>
      <w:r w:rsidRPr="00DB5824">
        <w:rPr>
          <w:rFonts w:hint="cs"/>
          <w:rtl/>
        </w:rPr>
        <w:t>وإدماجها</w:t>
      </w:r>
      <w:r w:rsidRPr="00DB5824">
        <w:rPr>
          <w:rtl/>
        </w:rPr>
        <w:t xml:space="preserve"> </w:t>
      </w:r>
      <w:r w:rsidRPr="00DB5824">
        <w:rPr>
          <w:rFonts w:hint="cs"/>
          <w:rtl/>
        </w:rPr>
        <w:t>بالكامل</w:t>
      </w:r>
      <w:r w:rsidRPr="00DB5824">
        <w:rPr>
          <w:rtl/>
        </w:rPr>
        <w:t xml:space="preserve"> </w:t>
      </w:r>
      <w:r w:rsidRPr="00DB5824">
        <w:rPr>
          <w:rFonts w:hint="cs"/>
          <w:rtl/>
        </w:rPr>
        <w:t>في</w:t>
      </w:r>
      <w:r w:rsidRPr="00DB5824">
        <w:rPr>
          <w:rtl/>
        </w:rPr>
        <w:t xml:space="preserve"> </w:t>
      </w:r>
      <w:r w:rsidRPr="00DB5824">
        <w:rPr>
          <w:rFonts w:hint="cs"/>
          <w:rtl/>
        </w:rPr>
        <w:t>عمل</w:t>
      </w:r>
      <w:r w:rsidRPr="00DB5824">
        <w:rPr>
          <w:rtl/>
        </w:rPr>
        <w:t xml:space="preserve"> </w:t>
      </w:r>
      <w:r w:rsidRPr="00DB5824">
        <w:rPr>
          <w:rFonts w:hint="cs"/>
          <w:rtl/>
        </w:rPr>
        <w:t>الاتفاقية؛</w:t>
      </w:r>
    </w:p>
    <w:p w:rsidR="00FA2E1F" w:rsidRDefault="00FA2E1F" w:rsidP="00CD26C5">
      <w:pPr>
        <w:numPr>
          <w:ilvl w:val="0"/>
          <w:numId w:val="66"/>
        </w:numPr>
        <w:ind w:left="4" w:firstLine="727"/>
      </w:pPr>
      <w:r w:rsidRPr="00DB5824">
        <w:rPr>
          <w:rFonts w:hint="cs"/>
          <w:i/>
          <w:iCs/>
          <w:rtl/>
        </w:rPr>
        <w:t>يطلب</w:t>
      </w:r>
      <w:r w:rsidRPr="00DB5824">
        <w:rPr>
          <w:rtl/>
        </w:rPr>
        <w:t xml:space="preserve"> </w:t>
      </w:r>
      <w:r w:rsidRPr="00DB5824">
        <w:rPr>
          <w:rFonts w:hint="cs"/>
          <w:rtl/>
        </w:rPr>
        <w:t>إلى</w:t>
      </w:r>
      <w:r w:rsidRPr="00DB5824">
        <w:rPr>
          <w:rtl/>
        </w:rPr>
        <w:t xml:space="preserve"> </w:t>
      </w:r>
      <w:r w:rsidRPr="00DB5824">
        <w:rPr>
          <w:rFonts w:hint="cs"/>
          <w:rtl/>
        </w:rPr>
        <w:t>الأمينة</w:t>
      </w:r>
      <w:r w:rsidRPr="00DB5824">
        <w:rPr>
          <w:rtl/>
        </w:rPr>
        <w:t xml:space="preserve"> </w:t>
      </w:r>
      <w:r w:rsidRPr="00DB5824">
        <w:rPr>
          <w:rFonts w:hint="cs"/>
          <w:rtl/>
        </w:rPr>
        <w:t>التنفيذية</w:t>
      </w:r>
      <w:r w:rsidRPr="00DB5824">
        <w:rPr>
          <w:rtl/>
        </w:rPr>
        <w:t xml:space="preserve"> </w:t>
      </w:r>
      <w:r w:rsidRPr="00DB5824">
        <w:rPr>
          <w:rFonts w:hint="cs"/>
          <w:rtl/>
        </w:rPr>
        <w:t>تجميع</w:t>
      </w:r>
      <w:r w:rsidRPr="00DB5824">
        <w:rPr>
          <w:rtl/>
        </w:rPr>
        <w:t xml:space="preserve"> </w:t>
      </w:r>
      <w:r w:rsidRPr="00DB5824">
        <w:rPr>
          <w:rFonts w:hint="cs"/>
          <w:rtl/>
        </w:rPr>
        <w:t>وتحليل</w:t>
      </w:r>
      <w:r w:rsidRPr="00DB5824">
        <w:rPr>
          <w:rtl/>
        </w:rPr>
        <w:t xml:space="preserve"> </w:t>
      </w:r>
      <w:r w:rsidRPr="00DB5824">
        <w:rPr>
          <w:rFonts w:hint="cs"/>
          <w:rtl/>
        </w:rPr>
        <w:t>المعلومات</w:t>
      </w:r>
      <w:r w:rsidRPr="00DB5824">
        <w:rPr>
          <w:rtl/>
        </w:rPr>
        <w:t xml:space="preserve"> </w:t>
      </w:r>
      <w:r w:rsidRPr="00DB5824">
        <w:rPr>
          <w:rFonts w:hint="cs"/>
          <w:rtl/>
        </w:rPr>
        <w:t>ال</w:t>
      </w:r>
      <w:r>
        <w:rPr>
          <w:rFonts w:hint="cs"/>
          <w:rtl/>
        </w:rPr>
        <w:t>مستلم</w:t>
      </w:r>
      <w:r w:rsidRPr="00DB5824">
        <w:rPr>
          <w:rFonts w:hint="cs"/>
          <w:rtl/>
        </w:rPr>
        <w:t>ة</w:t>
      </w:r>
      <w:r w:rsidRPr="00DB5824">
        <w:rPr>
          <w:rtl/>
        </w:rPr>
        <w:t xml:space="preserve"> </w:t>
      </w:r>
      <w:r w:rsidRPr="00DB5824">
        <w:rPr>
          <w:rFonts w:hint="cs"/>
          <w:rtl/>
        </w:rPr>
        <w:t>بهدف</w:t>
      </w:r>
      <w:r w:rsidRPr="00DB5824">
        <w:rPr>
          <w:rtl/>
        </w:rPr>
        <w:t xml:space="preserve"> </w:t>
      </w:r>
      <w:r w:rsidRPr="00DB5824">
        <w:rPr>
          <w:rFonts w:hint="cs"/>
          <w:rtl/>
        </w:rPr>
        <w:t>اقتراح</w:t>
      </w:r>
      <w:r w:rsidRPr="00DB5824">
        <w:rPr>
          <w:rtl/>
        </w:rPr>
        <w:t xml:space="preserve"> </w:t>
      </w:r>
      <w:r w:rsidRPr="00DB5824">
        <w:rPr>
          <w:rFonts w:hint="cs"/>
          <w:rtl/>
        </w:rPr>
        <w:t>عناصر</w:t>
      </w:r>
      <w:r w:rsidRPr="00DB5824">
        <w:rPr>
          <w:rtl/>
        </w:rPr>
        <w:t xml:space="preserve"> </w:t>
      </w:r>
      <w:r w:rsidRPr="00DB5824">
        <w:rPr>
          <w:rFonts w:hint="cs"/>
          <w:rtl/>
        </w:rPr>
        <w:t>م</w:t>
      </w:r>
      <w:r>
        <w:rPr>
          <w:rFonts w:hint="cs"/>
          <w:rtl/>
        </w:rPr>
        <w:t>مكن</w:t>
      </w:r>
      <w:r w:rsidRPr="00DB5824">
        <w:rPr>
          <w:rFonts w:hint="cs"/>
          <w:rtl/>
        </w:rPr>
        <w:t>ة</w:t>
      </w:r>
      <w:r w:rsidRPr="00DB5824">
        <w:rPr>
          <w:rtl/>
        </w:rPr>
        <w:t xml:space="preserve"> </w:t>
      </w:r>
      <w:r w:rsidRPr="00DB5824">
        <w:rPr>
          <w:rFonts w:hint="cs"/>
          <w:rtl/>
        </w:rPr>
        <w:t>لبرنامج</w:t>
      </w:r>
      <w:r w:rsidRPr="00DB5824">
        <w:rPr>
          <w:rtl/>
        </w:rPr>
        <w:t xml:space="preserve"> </w:t>
      </w:r>
      <w:r w:rsidRPr="00DB5824">
        <w:rPr>
          <w:rFonts w:hint="cs"/>
          <w:rtl/>
        </w:rPr>
        <w:t>عمل</w:t>
      </w:r>
      <w:r w:rsidRPr="00DB5824">
        <w:rPr>
          <w:rtl/>
        </w:rPr>
        <w:t xml:space="preserve"> </w:t>
      </w:r>
      <w:r w:rsidRPr="00DB5824">
        <w:rPr>
          <w:rFonts w:hint="cs"/>
          <w:rtl/>
        </w:rPr>
        <w:t>متكامل</w:t>
      </w:r>
      <w:r w:rsidRPr="00DB5824">
        <w:rPr>
          <w:rtl/>
        </w:rPr>
        <w:t xml:space="preserve"> </w:t>
      </w:r>
      <w:r w:rsidRPr="00DB5824">
        <w:rPr>
          <w:rFonts w:hint="cs"/>
          <w:rtl/>
        </w:rPr>
        <w:t>تماما</w:t>
      </w:r>
      <w:r w:rsidRPr="00DB5824">
        <w:rPr>
          <w:rtl/>
        </w:rPr>
        <w:t xml:space="preserve"> </w:t>
      </w:r>
      <w:r w:rsidRPr="00DB5824">
        <w:rPr>
          <w:rFonts w:hint="cs"/>
          <w:rtl/>
        </w:rPr>
        <w:t>كجزء</w:t>
      </w:r>
      <w:r w:rsidRPr="00DB5824">
        <w:rPr>
          <w:rtl/>
        </w:rPr>
        <w:t xml:space="preserve"> </w:t>
      </w:r>
      <w:r w:rsidRPr="00DB5824">
        <w:rPr>
          <w:rFonts w:hint="cs"/>
          <w:rtl/>
        </w:rPr>
        <w:t>من</w:t>
      </w:r>
      <w:r w:rsidRPr="00DB5824">
        <w:rPr>
          <w:rtl/>
        </w:rPr>
        <w:t xml:space="preserve"> </w:t>
      </w:r>
      <w:r w:rsidRPr="00DB5824">
        <w:rPr>
          <w:rFonts w:hint="cs"/>
          <w:rtl/>
        </w:rPr>
        <w:t>إطار</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لما</w:t>
      </w:r>
      <w:r w:rsidRPr="00DB5824">
        <w:rPr>
          <w:rtl/>
        </w:rPr>
        <w:t xml:space="preserve"> </w:t>
      </w:r>
      <w:r w:rsidRPr="00DB5824">
        <w:rPr>
          <w:rFonts w:hint="cs"/>
          <w:rtl/>
        </w:rPr>
        <w:t>بعد</w:t>
      </w:r>
      <w:r w:rsidRPr="00DB5824">
        <w:rPr>
          <w:rtl/>
        </w:rPr>
        <w:t xml:space="preserve"> </w:t>
      </w:r>
      <w:r w:rsidRPr="00DB5824">
        <w:rPr>
          <w:rFonts w:hint="cs"/>
          <w:rtl/>
        </w:rPr>
        <w:t>عام</w:t>
      </w:r>
      <w:r w:rsidRPr="00DB5824">
        <w:rPr>
          <w:rtl/>
        </w:rPr>
        <w:t xml:space="preserve"> 2020</w:t>
      </w:r>
      <w:r w:rsidRPr="00DB5824">
        <w:rPr>
          <w:rFonts w:hint="cs"/>
          <w:rtl/>
        </w:rPr>
        <w:t>،</w:t>
      </w:r>
      <w:r w:rsidRPr="00DB5824">
        <w:rPr>
          <w:rtl/>
        </w:rPr>
        <w:t xml:space="preserve"> </w:t>
      </w:r>
      <w:r w:rsidRPr="00DB5824">
        <w:rPr>
          <w:rFonts w:hint="cs"/>
          <w:rtl/>
        </w:rPr>
        <w:t>فضلا</w:t>
      </w:r>
      <w:r w:rsidRPr="00DB5824">
        <w:rPr>
          <w:rtl/>
        </w:rPr>
        <w:t xml:space="preserve"> </w:t>
      </w:r>
      <w:r w:rsidRPr="00DB5824">
        <w:rPr>
          <w:rFonts w:hint="cs"/>
          <w:rtl/>
        </w:rPr>
        <w:t>عن</w:t>
      </w:r>
      <w:r w:rsidRPr="00DB5824">
        <w:rPr>
          <w:rtl/>
        </w:rPr>
        <w:t xml:space="preserve"> </w:t>
      </w:r>
      <w:r w:rsidRPr="00DB5824">
        <w:rPr>
          <w:rFonts w:hint="cs"/>
          <w:rtl/>
        </w:rPr>
        <w:t>الترتيبات</w:t>
      </w:r>
      <w:r w:rsidRPr="00DB5824">
        <w:rPr>
          <w:rtl/>
        </w:rPr>
        <w:t xml:space="preserve"> </w:t>
      </w:r>
      <w:r w:rsidRPr="00DB5824">
        <w:rPr>
          <w:rFonts w:hint="cs"/>
          <w:rtl/>
        </w:rPr>
        <w:t>المؤسسية</w:t>
      </w:r>
      <w:r w:rsidRPr="00DB5824">
        <w:rPr>
          <w:rtl/>
        </w:rPr>
        <w:t xml:space="preserve"> </w:t>
      </w:r>
      <w:r w:rsidRPr="00DB5824">
        <w:rPr>
          <w:rFonts w:hint="cs"/>
          <w:rtl/>
        </w:rPr>
        <w:t>الم</w:t>
      </w:r>
      <w:r>
        <w:rPr>
          <w:rFonts w:hint="cs"/>
          <w:rtl/>
        </w:rPr>
        <w:t>مكن</w:t>
      </w:r>
      <w:r w:rsidRPr="00DB5824">
        <w:rPr>
          <w:rFonts w:hint="cs"/>
          <w:rtl/>
        </w:rPr>
        <w:t>ة</w:t>
      </w:r>
      <w:r w:rsidRPr="00DB5824">
        <w:rPr>
          <w:rtl/>
        </w:rPr>
        <w:t xml:space="preserve"> </w:t>
      </w:r>
      <w:r w:rsidRPr="00DB5824">
        <w:rPr>
          <w:rFonts w:hint="cs"/>
          <w:rtl/>
        </w:rPr>
        <w:t>وطريقة</w:t>
      </w:r>
      <w:r w:rsidRPr="00DB5824">
        <w:rPr>
          <w:rtl/>
        </w:rPr>
        <w:t xml:space="preserve"> </w:t>
      </w:r>
      <w:r w:rsidRPr="00DB5824">
        <w:rPr>
          <w:rFonts w:hint="cs"/>
          <w:rtl/>
        </w:rPr>
        <w:t>عملها</w:t>
      </w:r>
      <w:r w:rsidRPr="00DB5824">
        <w:rPr>
          <w:rtl/>
        </w:rPr>
        <w:t xml:space="preserve"> </w:t>
      </w:r>
      <w:r w:rsidRPr="00DB5824">
        <w:rPr>
          <w:rFonts w:hint="cs"/>
          <w:rtl/>
        </w:rPr>
        <w:t>لكي ينظر فيها</w:t>
      </w:r>
      <w:r w:rsidRPr="00DB5824">
        <w:rPr>
          <w:rtl/>
        </w:rPr>
        <w:t xml:space="preserve"> </w:t>
      </w:r>
      <w:r w:rsidRPr="00DB5824">
        <w:rPr>
          <w:rFonts w:hint="cs"/>
          <w:rtl/>
        </w:rPr>
        <w:t>الفريق</w:t>
      </w:r>
      <w:r w:rsidRPr="00DB5824">
        <w:rPr>
          <w:rtl/>
        </w:rPr>
        <w:t xml:space="preserve"> </w:t>
      </w:r>
      <w:r w:rsidRPr="00DB5824">
        <w:rPr>
          <w:rFonts w:hint="cs"/>
          <w:rtl/>
        </w:rPr>
        <w:t>العامل 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 xml:space="preserve">بها </w:t>
      </w:r>
      <w:r>
        <w:rPr>
          <w:rFonts w:hint="cs"/>
          <w:rtl/>
        </w:rPr>
        <w:t>في</w:t>
      </w:r>
      <w:r w:rsidRPr="00DB5824">
        <w:rPr>
          <w:rtl/>
        </w:rPr>
        <w:t xml:space="preserve"> </w:t>
      </w:r>
      <w:r w:rsidRPr="00DB5824">
        <w:rPr>
          <w:rFonts w:hint="cs"/>
          <w:rtl/>
        </w:rPr>
        <w:t>اجتماعه</w:t>
      </w:r>
      <w:r w:rsidRPr="00DB5824">
        <w:rPr>
          <w:rtl/>
        </w:rPr>
        <w:t xml:space="preserve"> </w:t>
      </w:r>
      <w:r w:rsidRPr="00DB5824">
        <w:rPr>
          <w:rFonts w:hint="cs"/>
          <w:rtl/>
        </w:rPr>
        <w:t>الحادي</w:t>
      </w:r>
      <w:r w:rsidRPr="00DB5824">
        <w:rPr>
          <w:rtl/>
        </w:rPr>
        <w:t xml:space="preserve"> </w:t>
      </w:r>
      <w:r w:rsidRPr="00DB5824">
        <w:rPr>
          <w:rFonts w:hint="cs"/>
          <w:rtl/>
        </w:rPr>
        <w:t>عشر؛</w:t>
      </w:r>
    </w:p>
    <w:p w:rsidR="00FA2E1F" w:rsidRPr="00DB5824" w:rsidRDefault="00FA2E1F" w:rsidP="00CD26C5">
      <w:pPr>
        <w:numPr>
          <w:ilvl w:val="0"/>
          <w:numId w:val="66"/>
        </w:numPr>
        <w:ind w:left="4" w:firstLine="727"/>
        <w:rPr>
          <w:rtl/>
        </w:rPr>
      </w:pPr>
      <w:r>
        <w:rPr>
          <w:rFonts w:hint="cs"/>
          <w:i/>
          <w:iCs/>
          <w:rtl/>
        </w:rPr>
        <w:lastRenderedPageBreak/>
        <w:t xml:space="preserve">يطلب أيضا </w:t>
      </w:r>
      <w:r w:rsidRPr="007104B6">
        <w:rPr>
          <w:rFonts w:hint="cs"/>
          <w:rtl/>
        </w:rPr>
        <w:t>إلى</w:t>
      </w:r>
      <w:r>
        <w:rPr>
          <w:rFonts w:hint="cs"/>
          <w:i/>
          <w:iCs/>
          <w:rtl/>
        </w:rPr>
        <w:t xml:space="preserve"> </w:t>
      </w:r>
      <w:r>
        <w:rPr>
          <w:rFonts w:hint="cs"/>
          <w:rtl/>
        </w:rPr>
        <w:t xml:space="preserve">الأمينة التنفيذية إعداد تصور للآثار المالية والآثار المرتبطة بالحوكمة للترتيبات المؤسسية الممكنة من أجل تنفيذ المادة 8(ي)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 xml:space="preserve">بها </w:t>
      </w:r>
      <w:r>
        <w:rPr>
          <w:rFonts w:hint="cs"/>
          <w:rtl/>
        </w:rPr>
        <w:t>لفترة السنتين 2021-2022 لكي تنظر فيه الهيئة الفرعية للتنفيذ في اجتماعها الثالث؛</w:t>
      </w:r>
    </w:p>
    <w:p w:rsidR="00FA2E1F" w:rsidRPr="00DB5824" w:rsidRDefault="00FA2E1F" w:rsidP="00CD26C5">
      <w:pPr>
        <w:numPr>
          <w:ilvl w:val="0"/>
          <w:numId w:val="66"/>
        </w:numPr>
        <w:ind w:left="4" w:firstLine="727"/>
        <w:rPr>
          <w:rtl/>
        </w:rPr>
      </w:pPr>
      <w:r w:rsidRPr="00DB5824">
        <w:rPr>
          <w:rFonts w:hint="cs"/>
          <w:i/>
          <w:iCs/>
          <w:rtl/>
        </w:rPr>
        <w:t>يطلب</w:t>
      </w:r>
      <w:r>
        <w:rPr>
          <w:rFonts w:hint="cs"/>
          <w:i/>
          <w:iCs/>
          <w:rtl/>
        </w:rPr>
        <w:t xml:space="preserve"> </w:t>
      </w:r>
      <w:r w:rsidRPr="00DB5824">
        <w:rPr>
          <w:rFonts w:hint="cs"/>
          <w:rtl/>
        </w:rPr>
        <w:t>إلى</w:t>
      </w:r>
      <w:r w:rsidRPr="00DB5824">
        <w:rPr>
          <w:rtl/>
        </w:rPr>
        <w:t xml:space="preserve"> </w:t>
      </w:r>
      <w:r w:rsidRPr="00DB5824">
        <w:rPr>
          <w:rFonts w:hint="cs"/>
          <w:rtl/>
        </w:rPr>
        <w:t>الفريق</w:t>
      </w:r>
      <w:r w:rsidRPr="00DB5824">
        <w:rPr>
          <w:rtl/>
        </w:rPr>
        <w:t xml:space="preserve"> </w:t>
      </w:r>
      <w:r w:rsidRPr="00DB5824">
        <w:rPr>
          <w:rFonts w:hint="cs"/>
          <w:rtl/>
        </w:rPr>
        <w:t>العامل المفتوح</w:t>
      </w:r>
      <w:r w:rsidRPr="00DB5824">
        <w:rPr>
          <w:rtl/>
        </w:rPr>
        <w:t xml:space="preserve"> </w:t>
      </w:r>
      <w:r w:rsidRPr="00DB5824">
        <w:rPr>
          <w:rFonts w:hint="cs"/>
          <w:rtl/>
        </w:rPr>
        <w:t>العضوية</w:t>
      </w:r>
      <w:r w:rsidRPr="00DB5824">
        <w:rPr>
          <w:rtl/>
        </w:rPr>
        <w:t xml:space="preserve"> </w:t>
      </w:r>
      <w:r w:rsidRPr="00DB5824">
        <w:rPr>
          <w:rFonts w:hint="cs"/>
          <w:rtl/>
        </w:rPr>
        <w:t>المخصص</w:t>
      </w:r>
      <w:r w:rsidRPr="00DB5824">
        <w:rPr>
          <w:rtl/>
        </w:rPr>
        <w:t xml:space="preserve"> </w:t>
      </w:r>
      <w:r w:rsidRPr="00DB5824">
        <w:rPr>
          <w:rFonts w:hint="cs"/>
          <w:rtl/>
        </w:rPr>
        <w:t>للمادة</w:t>
      </w:r>
      <w:r w:rsidRPr="00DB5824">
        <w:rPr>
          <w:rtl/>
        </w:rPr>
        <w:t xml:space="preserve"> 8(</w:t>
      </w:r>
      <w:r w:rsidRPr="00DB5824">
        <w:rPr>
          <w:rFonts w:hint="cs"/>
          <w:rtl/>
        </w:rPr>
        <w:t>ي</w:t>
      </w:r>
      <w:r w:rsidRPr="00DB5824">
        <w:rPr>
          <w:rtl/>
        </w:rPr>
        <w:t xml:space="preserve">) </w:t>
      </w:r>
      <w:r w:rsidRPr="00DB5824">
        <w:rPr>
          <w:rFonts w:hint="cs"/>
          <w:rtl/>
        </w:rPr>
        <w:t>والأحكام</w:t>
      </w:r>
      <w:r w:rsidRPr="00DB5824">
        <w:rPr>
          <w:rtl/>
        </w:rPr>
        <w:t xml:space="preserve"> </w:t>
      </w:r>
      <w:r w:rsidRPr="00DB5824">
        <w:rPr>
          <w:rFonts w:hint="cs"/>
          <w:rtl/>
        </w:rPr>
        <w:t>المتصلة</w:t>
      </w:r>
      <w:r w:rsidRPr="00DB5824">
        <w:rPr>
          <w:rtl/>
        </w:rPr>
        <w:t xml:space="preserve"> </w:t>
      </w:r>
      <w:r w:rsidRPr="00DB5824">
        <w:rPr>
          <w:rFonts w:hint="cs"/>
          <w:rtl/>
        </w:rPr>
        <w:t>بها أن</w:t>
      </w:r>
      <w:r w:rsidRPr="00DB5824">
        <w:rPr>
          <w:rtl/>
        </w:rPr>
        <w:t xml:space="preserve"> </w:t>
      </w:r>
      <w:r w:rsidRPr="00DB5824">
        <w:rPr>
          <w:rFonts w:hint="cs"/>
          <w:rtl/>
        </w:rPr>
        <w:t>يضع،</w:t>
      </w:r>
      <w:r w:rsidRPr="00DB5824">
        <w:rPr>
          <w:rtl/>
        </w:rPr>
        <w:t xml:space="preserve"> </w:t>
      </w:r>
      <w:r>
        <w:rPr>
          <w:rFonts w:hint="cs"/>
          <w:rtl/>
        </w:rPr>
        <w:t>في</w:t>
      </w:r>
      <w:r w:rsidRPr="00DB5824">
        <w:rPr>
          <w:rtl/>
        </w:rPr>
        <w:t xml:space="preserve"> </w:t>
      </w:r>
      <w:r w:rsidRPr="00DB5824">
        <w:rPr>
          <w:rFonts w:hint="cs"/>
          <w:rtl/>
        </w:rPr>
        <w:t>اجتماعه</w:t>
      </w:r>
      <w:r w:rsidRPr="00DB5824">
        <w:rPr>
          <w:rtl/>
        </w:rPr>
        <w:t xml:space="preserve"> </w:t>
      </w:r>
      <w:r w:rsidRPr="00DB5824">
        <w:rPr>
          <w:rFonts w:hint="cs"/>
          <w:rtl/>
        </w:rPr>
        <w:t>الحادي</w:t>
      </w:r>
      <w:r w:rsidRPr="00DB5824">
        <w:rPr>
          <w:rtl/>
        </w:rPr>
        <w:t xml:space="preserve"> </w:t>
      </w:r>
      <w:r w:rsidRPr="00DB5824">
        <w:rPr>
          <w:rFonts w:hint="cs"/>
          <w:rtl/>
        </w:rPr>
        <w:t>عشر،</w:t>
      </w:r>
      <w:r w:rsidRPr="00DB5824">
        <w:rPr>
          <w:rtl/>
        </w:rPr>
        <w:t xml:space="preserve"> </w:t>
      </w:r>
      <w:r w:rsidRPr="00DB5824">
        <w:rPr>
          <w:rFonts w:hint="cs"/>
          <w:rtl/>
        </w:rPr>
        <w:t>مقترحات</w:t>
      </w:r>
      <w:r w:rsidRPr="00DB5824">
        <w:rPr>
          <w:rtl/>
        </w:rPr>
        <w:t xml:space="preserve"> </w:t>
      </w:r>
      <w:r w:rsidRPr="00DB5824">
        <w:rPr>
          <w:rFonts w:hint="cs"/>
          <w:rtl/>
        </w:rPr>
        <w:t>بشأن</w:t>
      </w:r>
      <w:r w:rsidRPr="00DB5824">
        <w:rPr>
          <w:rtl/>
        </w:rPr>
        <w:t xml:space="preserve"> </w:t>
      </w:r>
      <w:r w:rsidRPr="00DB5824">
        <w:rPr>
          <w:rFonts w:hint="cs"/>
          <w:rtl/>
        </w:rPr>
        <w:t>الأعمال</w:t>
      </w:r>
      <w:r w:rsidRPr="00DB5824">
        <w:rPr>
          <w:rtl/>
        </w:rPr>
        <w:t xml:space="preserve"> </w:t>
      </w:r>
      <w:r w:rsidRPr="00DB5824">
        <w:rPr>
          <w:rFonts w:hint="cs"/>
          <w:rtl/>
        </w:rPr>
        <w:t>المقبلة</w:t>
      </w:r>
      <w:r w:rsidRPr="00DB5824">
        <w:rPr>
          <w:rtl/>
        </w:rPr>
        <w:t xml:space="preserve"> </w:t>
      </w:r>
      <w:r w:rsidRPr="00DB5824">
        <w:rPr>
          <w:rFonts w:hint="cs"/>
          <w:rtl/>
        </w:rPr>
        <w:t>الم</w:t>
      </w:r>
      <w:r>
        <w:rPr>
          <w:rFonts w:hint="cs"/>
          <w:rtl/>
        </w:rPr>
        <w:t>مكن</w:t>
      </w:r>
      <w:r w:rsidRPr="00DB5824">
        <w:rPr>
          <w:rFonts w:hint="cs"/>
          <w:rtl/>
        </w:rPr>
        <w:t>ة،</w:t>
      </w:r>
      <w:r w:rsidRPr="00DB5824">
        <w:rPr>
          <w:rtl/>
        </w:rPr>
        <w:t xml:space="preserve"> </w:t>
      </w:r>
      <w:r w:rsidRPr="00DB5824">
        <w:rPr>
          <w:rFonts w:hint="cs"/>
          <w:rtl/>
        </w:rPr>
        <w:t>بما</w:t>
      </w:r>
      <w:r w:rsidRPr="00DB5824">
        <w:rPr>
          <w:rtl/>
        </w:rPr>
        <w:t xml:space="preserve"> </w:t>
      </w:r>
      <w:r w:rsidRPr="00DB5824">
        <w:rPr>
          <w:rFonts w:hint="cs"/>
          <w:rtl/>
        </w:rPr>
        <w:t>في</w:t>
      </w:r>
      <w:r w:rsidRPr="00DB5824">
        <w:rPr>
          <w:rtl/>
        </w:rPr>
        <w:t xml:space="preserve"> </w:t>
      </w:r>
      <w:r w:rsidRPr="00DB5824">
        <w:rPr>
          <w:rFonts w:hint="cs"/>
          <w:rtl/>
        </w:rPr>
        <w:t>ذلك</w:t>
      </w:r>
      <w:r w:rsidRPr="00DB5824">
        <w:rPr>
          <w:rtl/>
        </w:rPr>
        <w:t xml:space="preserve"> </w:t>
      </w:r>
      <w:r w:rsidRPr="00DB5824">
        <w:rPr>
          <w:rFonts w:hint="cs"/>
          <w:rtl/>
        </w:rPr>
        <w:t>مقترحات</w:t>
      </w:r>
      <w:r w:rsidRPr="00DB5824">
        <w:rPr>
          <w:rtl/>
        </w:rPr>
        <w:t xml:space="preserve"> </w:t>
      </w:r>
      <w:r w:rsidRPr="00DB5824">
        <w:rPr>
          <w:rFonts w:hint="cs"/>
          <w:rtl/>
        </w:rPr>
        <w:t>لمرحلة</w:t>
      </w:r>
      <w:r w:rsidRPr="00DB5824">
        <w:rPr>
          <w:rtl/>
        </w:rPr>
        <w:t xml:space="preserve"> </w:t>
      </w:r>
      <w:r w:rsidRPr="00DB5824">
        <w:rPr>
          <w:rFonts w:hint="cs"/>
          <w:rtl/>
        </w:rPr>
        <w:t>ثانية</w:t>
      </w:r>
      <w:r w:rsidRPr="00DB5824">
        <w:rPr>
          <w:rtl/>
        </w:rPr>
        <w:t xml:space="preserve"> </w:t>
      </w:r>
      <w:r w:rsidRPr="00DB5824">
        <w:rPr>
          <w:rFonts w:hint="cs"/>
          <w:rtl/>
        </w:rPr>
        <w:t>من</w:t>
      </w:r>
      <w:r w:rsidRPr="00DB5824">
        <w:rPr>
          <w:rtl/>
        </w:rPr>
        <w:t xml:space="preserve"> </w:t>
      </w:r>
      <w:r w:rsidRPr="00DB5824">
        <w:rPr>
          <w:rFonts w:hint="cs"/>
          <w:rtl/>
        </w:rPr>
        <w:t>العمل</w:t>
      </w:r>
      <w:r w:rsidRPr="00DB5824">
        <w:rPr>
          <w:rtl/>
        </w:rPr>
        <w:t xml:space="preserve"> </w:t>
      </w:r>
      <w:r w:rsidRPr="00DB5824">
        <w:rPr>
          <w:rFonts w:hint="cs"/>
          <w:rtl/>
        </w:rPr>
        <w:t>بشأن</w:t>
      </w:r>
      <w:r w:rsidRPr="00DB5824">
        <w:rPr>
          <w:rtl/>
        </w:rPr>
        <w:t xml:space="preserve"> </w:t>
      </w:r>
      <w:r w:rsidRPr="00DB5824">
        <w:rPr>
          <w:rFonts w:hint="cs"/>
          <w:rtl/>
        </w:rPr>
        <w:t>خطة</w:t>
      </w:r>
      <w:r w:rsidRPr="00DB5824">
        <w:rPr>
          <w:rtl/>
        </w:rPr>
        <w:t xml:space="preserve"> </w:t>
      </w:r>
      <w:r w:rsidRPr="00DB5824">
        <w:rPr>
          <w:rFonts w:hint="cs"/>
          <w:rtl/>
        </w:rPr>
        <w:t>العمل</w:t>
      </w:r>
      <w:r w:rsidRPr="00DB5824">
        <w:rPr>
          <w:rtl/>
        </w:rPr>
        <w:t xml:space="preserve"> </w:t>
      </w:r>
      <w:r w:rsidRPr="00DB5824">
        <w:rPr>
          <w:rFonts w:hint="cs"/>
          <w:rtl/>
        </w:rPr>
        <w:t>بشأن</w:t>
      </w:r>
      <w:r w:rsidRPr="00DB5824">
        <w:rPr>
          <w:rtl/>
        </w:rPr>
        <w:t xml:space="preserve"> </w:t>
      </w:r>
      <w:r w:rsidRPr="00DB5824">
        <w:rPr>
          <w:rFonts w:hint="cs"/>
          <w:rtl/>
        </w:rPr>
        <w:t>الاستخدام</w:t>
      </w:r>
      <w:r w:rsidRPr="00DB5824">
        <w:rPr>
          <w:rtl/>
        </w:rPr>
        <w:t xml:space="preserve"> </w:t>
      </w:r>
      <w:r w:rsidRPr="00DB5824">
        <w:rPr>
          <w:rFonts w:hint="cs"/>
          <w:rtl/>
        </w:rPr>
        <w:t>المألوف</w:t>
      </w:r>
      <w:r w:rsidRPr="00DB5824">
        <w:rPr>
          <w:rtl/>
        </w:rPr>
        <w:t xml:space="preserve"> </w:t>
      </w:r>
      <w:r w:rsidRPr="00DB5824">
        <w:rPr>
          <w:rFonts w:hint="cs"/>
          <w:rtl/>
        </w:rPr>
        <w:t>المستدام،</w:t>
      </w:r>
      <w:r w:rsidRPr="00DB5824">
        <w:rPr>
          <w:rtl/>
        </w:rPr>
        <w:t xml:space="preserve"> </w:t>
      </w:r>
      <w:r w:rsidRPr="00DB5824">
        <w:rPr>
          <w:rFonts w:hint="cs"/>
          <w:rtl/>
        </w:rPr>
        <w:t>فضلا</w:t>
      </w:r>
      <w:r w:rsidRPr="00DB5824">
        <w:rPr>
          <w:rtl/>
        </w:rPr>
        <w:t xml:space="preserve"> </w:t>
      </w:r>
      <w:r w:rsidRPr="00DB5824">
        <w:rPr>
          <w:rFonts w:hint="cs"/>
          <w:rtl/>
        </w:rPr>
        <w:t>عن</w:t>
      </w:r>
      <w:r w:rsidRPr="00DB5824">
        <w:rPr>
          <w:rtl/>
        </w:rPr>
        <w:t xml:space="preserve"> </w:t>
      </w:r>
      <w:r w:rsidRPr="00DB5824">
        <w:rPr>
          <w:rFonts w:hint="cs"/>
          <w:rtl/>
        </w:rPr>
        <w:t>الترتيبات المؤسسية الم</w:t>
      </w:r>
      <w:r>
        <w:rPr>
          <w:rFonts w:hint="cs"/>
          <w:rtl/>
        </w:rPr>
        <w:t>مكن</w:t>
      </w:r>
      <w:r w:rsidRPr="00DB5824">
        <w:rPr>
          <w:rFonts w:hint="cs"/>
          <w:rtl/>
        </w:rPr>
        <w:t>ة وطريقة عملها</w:t>
      </w:r>
      <w:r w:rsidRPr="00DB5824">
        <w:rPr>
          <w:rtl/>
        </w:rPr>
        <w:t xml:space="preserve"> </w:t>
      </w:r>
      <w:r w:rsidRPr="00DB5824">
        <w:rPr>
          <w:rFonts w:hint="cs"/>
          <w:rtl/>
        </w:rPr>
        <w:t>لكي</w:t>
      </w:r>
      <w:r w:rsidRPr="00DB5824">
        <w:rPr>
          <w:rtl/>
        </w:rPr>
        <w:t xml:space="preserve"> </w:t>
      </w:r>
      <w:r w:rsidRPr="00DB5824">
        <w:rPr>
          <w:rFonts w:hint="cs"/>
          <w:rtl/>
        </w:rPr>
        <w:t>تنظر</w:t>
      </w:r>
      <w:r w:rsidRPr="00DB5824">
        <w:rPr>
          <w:rtl/>
        </w:rPr>
        <w:t xml:space="preserve"> </w:t>
      </w:r>
      <w:r w:rsidRPr="00DB5824">
        <w:rPr>
          <w:rFonts w:hint="cs"/>
          <w:rtl/>
        </w:rPr>
        <w:t>فيها</w:t>
      </w:r>
      <w:r w:rsidRPr="00DB5824">
        <w:rPr>
          <w:rtl/>
        </w:rPr>
        <w:t xml:space="preserve"> </w:t>
      </w:r>
      <w:r w:rsidRPr="00DB5824">
        <w:rPr>
          <w:rFonts w:hint="cs"/>
          <w:rtl/>
        </w:rPr>
        <w:t>الهيئة</w:t>
      </w:r>
      <w:r w:rsidRPr="00DB5824">
        <w:rPr>
          <w:rtl/>
        </w:rPr>
        <w:t xml:space="preserve"> </w:t>
      </w:r>
      <w:r w:rsidRPr="00DB5824">
        <w:rPr>
          <w:rFonts w:hint="cs"/>
          <w:rtl/>
        </w:rPr>
        <w:t>الفرعية</w:t>
      </w:r>
      <w:r w:rsidRPr="00DB5824">
        <w:rPr>
          <w:rtl/>
        </w:rPr>
        <w:t xml:space="preserve"> </w:t>
      </w:r>
      <w:r w:rsidRPr="00DB5824">
        <w:rPr>
          <w:rFonts w:hint="cs"/>
          <w:rtl/>
        </w:rPr>
        <w:t>للتنفيذ</w:t>
      </w:r>
      <w:r w:rsidRPr="00DB5824">
        <w:rPr>
          <w:rtl/>
        </w:rPr>
        <w:t xml:space="preserve"> </w:t>
      </w:r>
      <w:r w:rsidRPr="00DB5824">
        <w:rPr>
          <w:rFonts w:hint="cs"/>
          <w:rtl/>
        </w:rPr>
        <w:t>في</w:t>
      </w:r>
      <w:r w:rsidRPr="00DB5824">
        <w:rPr>
          <w:rtl/>
        </w:rPr>
        <w:t xml:space="preserve"> </w:t>
      </w:r>
      <w:r w:rsidRPr="00DB5824">
        <w:rPr>
          <w:rFonts w:hint="cs"/>
          <w:rtl/>
        </w:rPr>
        <w:t>اجتماعها</w:t>
      </w:r>
      <w:r w:rsidRPr="00DB5824">
        <w:rPr>
          <w:rtl/>
        </w:rPr>
        <w:t xml:space="preserve"> </w:t>
      </w:r>
      <w:r w:rsidRPr="00DB5824">
        <w:rPr>
          <w:rFonts w:hint="cs"/>
          <w:rtl/>
        </w:rPr>
        <w:t>الثالث</w:t>
      </w:r>
      <w:r w:rsidRPr="00DB5824">
        <w:rPr>
          <w:rtl/>
        </w:rPr>
        <w:t xml:space="preserve"> </w:t>
      </w:r>
      <w:r w:rsidRPr="00DB5824">
        <w:rPr>
          <w:rFonts w:hint="cs"/>
          <w:rtl/>
        </w:rPr>
        <w:t>من</w:t>
      </w:r>
      <w:r w:rsidRPr="00DB5824">
        <w:rPr>
          <w:rtl/>
        </w:rPr>
        <w:t xml:space="preserve"> </w:t>
      </w:r>
      <w:r w:rsidRPr="00DB5824">
        <w:rPr>
          <w:rFonts w:hint="cs"/>
          <w:rtl/>
        </w:rPr>
        <w:t>أجل</w:t>
      </w:r>
      <w:r w:rsidRPr="00DB5824">
        <w:rPr>
          <w:rtl/>
        </w:rPr>
        <w:t xml:space="preserve"> </w:t>
      </w:r>
      <w:r w:rsidRPr="00DB5824">
        <w:rPr>
          <w:rFonts w:hint="cs"/>
          <w:rtl/>
        </w:rPr>
        <w:t>إرشاد عملية</w:t>
      </w:r>
      <w:r w:rsidRPr="00DB5824">
        <w:rPr>
          <w:rtl/>
        </w:rPr>
        <w:t xml:space="preserve"> </w:t>
      </w:r>
      <w:r w:rsidRPr="00DB5824">
        <w:rPr>
          <w:rFonts w:hint="cs"/>
          <w:rtl/>
        </w:rPr>
        <w:t>وضع</w:t>
      </w:r>
      <w:r w:rsidRPr="00DB5824">
        <w:rPr>
          <w:rtl/>
        </w:rPr>
        <w:t xml:space="preserve"> </w:t>
      </w:r>
      <w:r w:rsidRPr="00DB5824">
        <w:rPr>
          <w:rFonts w:hint="cs"/>
          <w:rtl/>
        </w:rPr>
        <w:t>برنامج</w:t>
      </w:r>
      <w:r w:rsidRPr="00DB5824">
        <w:rPr>
          <w:rtl/>
        </w:rPr>
        <w:t xml:space="preserve"> </w:t>
      </w:r>
      <w:r w:rsidRPr="00DB5824">
        <w:rPr>
          <w:rFonts w:hint="cs"/>
          <w:rtl/>
        </w:rPr>
        <w:t>عمل</w:t>
      </w:r>
      <w:r w:rsidRPr="00DB5824">
        <w:rPr>
          <w:rtl/>
        </w:rPr>
        <w:t xml:space="preserve"> </w:t>
      </w:r>
      <w:r w:rsidRPr="00DB5824">
        <w:rPr>
          <w:rFonts w:hint="cs"/>
          <w:rtl/>
        </w:rPr>
        <w:t>متكامل</w:t>
      </w:r>
      <w:r w:rsidRPr="00DB5824">
        <w:rPr>
          <w:rtl/>
        </w:rPr>
        <w:t xml:space="preserve"> </w:t>
      </w:r>
      <w:r w:rsidRPr="00DB5824">
        <w:rPr>
          <w:rFonts w:hint="cs"/>
          <w:rtl/>
        </w:rPr>
        <w:t>تماما</w:t>
      </w:r>
      <w:r w:rsidRPr="00DB5824">
        <w:rPr>
          <w:rtl/>
        </w:rPr>
        <w:t xml:space="preserve"> </w:t>
      </w:r>
      <w:r w:rsidRPr="00DB5824">
        <w:rPr>
          <w:rFonts w:hint="cs"/>
          <w:rtl/>
        </w:rPr>
        <w:t>كجزء</w:t>
      </w:r>
      <w:r w:rsidRPr="00DB5824">
        <w:rPr>
          <w:rtl/>
        </w:rPr>
        <w:t xml:space="preserve"> </w:t>
      </w:r>
      <w:r w:rsidRPr="00DB5824">
        <w:rPr>
          <w:rFonts w:hint="cs"/>
          <w:rtl/>
        </w:rPr>
        <w:t>من</w:t>
      </w:r>
      <w:r w:rsidRPr="00DB5824">
        <w:rPr>
          <w:rtl/>
        </w:rPr>
        <w:t xml:space="preserve"> </w:t>
      </w:r>
      <w:r w:rsidRPr="00DB5824">
        <w:rPr>
          <w:rFonts w:hint="cs"/>
          <w:rtl/>
        </w:rPr>
        <w:t>إطار</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لما</w:t>
      </w:r>
      <w:r w:rsidRPr="00DB5824">
        <w:rPr>
          <w:rtl/>
        </w:rPr>
        <w:t xml:space="preserve"> </w:t>
      </w:r>
      <w:r w:rsidRPr="00DB5824">
        <w:rPr>
          <w:rFonts w:hint="cs"/>
          <w:rtl/>
        </w:rPr>
        <w:t>بعد</w:t>
      </w:r>
      <w:r w:rsidRPr="00DB5824">
        <w:rPr>
          <w:rtl/>
        </w:rPr>
        <w:t xml:space="preserve"> </w:t>
      </w:r>
      <w:r w:rsidRPr="00DB5824">
        <w:rPr>
          <w:rFonts w:hint="cs"/>
          <w:rtl/>
        </w:rPr>
        <w:t>عام</w:t>
      </w:r>
      <w:r w:rsidRPr="00DB5824">
        <w:rPr>
          <w:rtl/>
        </w:rPr>
        <w:t xml:space="preserve"> 2020 </w:t>
      </w:r>
      <w:r w:rsidRPr="00DB5824">
        <w:rPr>
          <w:rFonts w:hint="cs"/>
          <w:rtl/>
        </w:rPr>
        <w:t>يأخذ</w:t>
      </w:r>
      <w:r w:rsidRPr="00DB5824">
        <w:rPr>
          <w:rtl/>
        </w:rPr>
        <w:t xml:space="preserve"> </w:t>
      </w:r>
      <w:r w:rsidRPr="00DB5824">
        <w:rPr>
          <w:rFonts w:hint="cs"/>
          <w:rtl/>
        </w:rPr>
        <w:t>في</w:t>
      </w:r>
      <w:r w:rsidRPr="00DB5824">
        <w:rPr>
          <w:rtl/>
        </w:rPr>
        <w:t xml:space="preserve"> </w:t>
      </w:r>
      <w:r w:rsidRPr="00DB5824">
        <w:rPr>
          <w:rFonts w:hint="cs"/>
          <w:rtl/>
        </w:rPr>
        <w:t>الاعتبار</w:t>
      </w:r>
      <w:r w:rsidRPr="00DB5824">
        <w:rPr>
          <w:rtl/>
        </w:rPr>
        <w:t xml:space="preserve"> </w:t>
      </w:r>
      <w:r w:rsidRPr="00DB5824">
        <w:rPr>
          <w:rFonts w:hint="cs"/>
          <w:rtl/>
        </w:rPr>
        <w:t>التطورات في المنتديات</w:t>
      </w:r>
      <w:r w:rsidRPr="00DB5824">
        <w:rPr>
          <w:rtl/>
        </w:rPr>
        <w:t xml:space="preserve"> </w:t>
      </w:r>
      <w:r w:rsidRPr="00DB5824">
        <w:rPr>
          <w:rFonts w:hint="cs"/>
          <w:rtl/>
        </w:rPr>
        <w:t>والمنظمات</w:t>
      </w:r>
      <w:r w:rsidRPr="00DB5824">
        <w:rPr>
          <w:rtl/>
        </w:rPr>
        <w:t xml:space="preserve"> </w:t>
      </w:r>
      <w:r w:rsidRPr="00DB5824">
        <w:rPr>
          <w:rFonts w:hint="cs"/>
          <w:rtl/>
        </w:rPr>
        <w:t>الدولية الأخرى</w:t>
      </w:r>
      <w:r w:rsidRPr="00DB5824">
        <w:rPr>
          <w:rtl/>
        </w:rPr>
        <w:t xml:space="preserve"> </w:t>
      </w:r>
      <w:r w:rsidRPr="00DB5824">
        <w:rPr>
          <w:rFonts w:hint="cs"/>
          <w:rtl/>
        </w:rPr>
        <w:t>ذات</w:t>
      </w:r>
      <w:r w:rsidRPr="00DB5824">
        <w:rPr>
          <w:rtl/>
        </w:rPr>
        <w:t xml:space="preserve"> </w:t>
      </w:r>
      <w:r w:rsidRPr="00DB5824">
        <w:rPr>
          <w:rFonts w:hint="cs"/>
          <w:rtl/>
        </w:rPr>
        <w:t>الصلة؛</w:t>
      </w:r>
    </w:p>
    <w:p w:rsidR="00FA2E1F" w:rsidRPr="00DB5824" w:rsidRDefault="00FA2E1F" w:rsidP="00CD26C5">
      <w:pPr>
        <w:numPr>
          <w:ilvl w:val="0"/>
          <w:numId w:val="66"/>
        </w:numPr>
        <w:ind w:left="4" w:firstLine="727"/>
      </w:pPr>
      <w:r w:rsidRPr="00DB5824">
        <w:rPr>
          <w:rFonts w:hint="cs"/>
          <w:i/>
          <w:iCs/>
          <w:rtl/>
        </w:rPr>
        <w:t>يطلب</w:t>
      </w:r>
      <w:r w:rsidRPr="00DB5824">
        <w:rPr>
          <w:rFonts w:hint="cs"/>
          <w:rtl/>
        </w:rPr>
        <w:t xml:space="preserve"> إلى الأمينة التنفيذية، رهنا بتوافر الموارد، توسيع نطاق المساعدة المناسبة</w:t>
      </w:r>
      <w:r>
        <w:rPr>
          <w:rFonts w:hint="cs"/>
          <w:rtl/>
        </w:rPr>
        <w:t xml:space="preserve"> التي تمكن ممثلي الشعوب الأصلية والمجتمعات المحلية من المشاركة بفعالية</w:t>
      </w:r>
      <w:r w:rsidRPr="00DB5824">
        <w:rPr>
          <w:rFonts w:hint="cs"/>
          <w:rtl/>
        </w:rPr>
        <w:t xml:space="preserve"> في</w:t>
      </w:r>
      <w:r w:rsidRPr="00DB5824">
        <w:rPr>
          <w:rtl/>
        </w:rPr>
        <w:t xml:space="preserve"> </w:t>
      </w:r>
      <w:r w:rsidRPr="00DB5824">
        <w:rPr>
          <w:rFonts w:hint="cs"/>
          <w:rtl/>
        </w:rPr>
        <w:t>المناقشات</w:t>
      </w:r>
      <w:r w:rsidRPr="00DB5824">
        <w:rPr>
          <w:rtl/>
        </w:rPr>
        <w:t xml:space="preserve"> </w:t>
      </w:r>
      <w:r w:rsidRPr="00DB5824">
        <w:rPr>
          <w:rFonts w:hint="cs"/>
          <w:rtl/>
        </w:rPr>
        <w:t>والعمليات</w:t>
      </w:r>
      <w:r w:rsidRPr="00DB5824">
        <w:rPr>
          <w:rtl/>
        </w:rPr>
        <w:t xml:space="preserve"> </w:t>
      </w:r>
      <w:r w:rsidRPr="00DB5824">
        <w:rPr>
          <w:rFonts w:hint="cs"/>
          <w:rtl/>
        </w:rPr>
        <w:t>الأوسع</w:t>
      </w:r>
      <w:r w:rsidRPr="00DB5824">
        <w:rPr>
          <w:rtl/>
        </w:rPr>
        <w:t xml:space="preserve"> </w:t>
      </w:r>
      <w:r w:rsidRPr="00DB5824">
        <w:rPr>
          <w:rFonts w:hint="cs"/>
          <w:rtl/>
        </w:rPr>
        <w:t>نطاقا</w:t>
      </w:r>
      <w:r w:rsidRPr="00DB5824">
        <w:rPr>
          <w:rtl/>
        </w:rPr>
        <w:t xml:space="preserve"> </w:t>
      </w:r>
      <w:r w:rsidRPr="00DB5824">
        <w:rPr>
          <w:rFonts w:hint="cs"/>
          <w:rtl/>
        </w:rPr>
        <w:t>في</w:t>
      </w:r>
      <w:r w:rsidRPr="00DB5824">
        <w:rPr>
          <w:rtl/>
        </w:rPr>
        <w:t xml:space="preserve"> </w:t>
      </w:r>
      <w:r w:rsidRPr="00DB5824">
        <w:rPr>
          <w:rFonts w:hint="cs"/>
          <w:rtl/>
        </w:rPr>
        <w:t>إطار</w:t>
      </w:r>
      <w:r w:rsidRPr="00DB5824">
        <w:rPr>
          <w:rtl/>
        </w:rPr>
        <w:t xml:space="preserve"> </w:t>
      </w:r>
      <w:r w:rsidRPr="00DB5824">
        <w:rPr>
          <w:rFonts w:hint="cs"/>
          <w:rtl/>
        </w:rPr>
        <w:t>الاتفاقية،</w:t>
      </w:r>
      <w:r w:rsidRPr="00DB5824">
        <w:rPr>
          <w:rtl/>
        </w:rPr>
        <w:t xml:space="preserve"> </w:t>
      </w:r>
      <w:r w:rsidRPr="00DB5824">
        <w:rPr>
          <w:rFonts w:hint="cs"/>
          <w:rtl/>
        </w:rPr>
        <w:t>بما</w:t>
      </w:r>
      <w:r w:rsidRPr="00DB5824">
        <w:rPr>
          <w:rtl/>
        </w:rPr>
        <w:t xml:space="preserve"> </w:t>
      </w:r>
      <w:r w:rsidRPr="00DB5824">
        <w:rPr>
          <w:rFonts w:hint="cs"/>
          <w:rtl/>
        </w:rPr>
        <w:t>في</w:t>
      </w:r>
      <w:r w:rsidRPr="00DB5824">
        <w:rPr>
          <w:rtl/>
        </w:rPr>
        <w:t xml:space="preserve"> </w:t>
      </w:r>
      <w:r w:rsidRPr="00DB5824">
        <w:rPr>
          <w:rFonts w:hint="cs"/>
          <w:rtl/>
        </w:rPr>
        <w:t>ذلك</w:t>
      </w:r>
      <w:r w:rsidRPr="00DB5824">
        <w:rPr>
          <w:rtl/>
        </w:rPr>
        <w:t xml:space="preserve"> </w:t>
      </w:r>
      <w:r w:rsidRPr="00DB5824">
        <w:rPr>
          <w:rFonts w:hint="cs"/>
          <w:rtl/>
        </w:rPr>
        <w:t>من</w:t>
      </w:r>
      <w:r w:rsidRPr="00DB5824">
        <w:rPr>
          <w:rtl/>
        </w:rPr>
        <w:t xml:space="preserve"> </w:t>
      </w:r>
      <w:r w:rsidRPr="00DB5824">
        <w:rPr>
          <w:rFonts w:hint="cs"/>
          <w:rtl/>
        </w:rPr>
        <w:t>خلال</w:t>
      </w:r>
      <w:r w:rsidRPr="00DB5824">
        <w:rPr>
          <w:rtl/>
        </w:rPr>
        <w:t xml:space="preserve"> </w:t>
      </w:r>
      <w:r w:rsidRPr="00DB5824">
        <w:rPr>
          <w:rFonts w:hint="cs"/>
          <w:rtl/>
        </w:rPr>
        <w:t>المشاورات</w:t>
      </w:r>
      <w:r w:rsidRPr="00DB5824">
        <w:rPr>
          <w:rtl/>
        </w:rPr>
        <w:t xml:space="preserve"> </w:t>
      </w:r>
      <w:r w:rsidRPr="00DB5824">
        <w:rPr>
          <w:rFonts w:hint="cs"/>
          <w:rtl/>
        </w:rPr>
        <w:t>الإقليمية</w:t>
      </w:r>
      <w:r w:rsidRPr="00DB5824">
        <w:rPr>
          <w:rtl/>
        </w:rPr>
        <w:t xml:space="preserve"> </w:t>
      </w:r>
      <w:r w:rsidRPr="00DB5824">
        <w:rPr>
          <w:rFonts w:hint="cs"/>
          <w:rtl/>
        </w:rPr>
        <w:t>التي</w:t>
      </w:r>
      <w:r w:rsidRPr="00DB5824">
        <w:rPr>
          <w:rtl/>
        </w:rPr>
        <w:t xml:space="preserve"> </w:t>
      </w:r>
      <w:r w:rsidRPr="00DB5824">
        <w:rPr>
          <w:rFonts w:hint="cs"/>
          <w:rtl/>
        </w:rPr>
        <w:t>ستحدد</w:t>
      </w:r>
      <w:r w:rsidRPr="00DB5824">
        <w:rPr>
          <w:rtl/>
        </w:rPr>
        <w:t xml:space="preserve"> </w:t>
      </w:r>
      <w:r w:rsidRPr="00DB5824">
        <w:rPr>
          <w:rFonts w:hint="cs"/>
          <w:rtl/>
        </w:rPr>
        <w:t>إطار</w:t>
      </w:r>
      <w:r w:rsidRPr="00DB5824">
        <w:rPr>
          <w:rtl/>
        </w:rPr>
        <w:t xml:space="preserve"> </w:t>
      </w:r>
      <w:r w:rsidRPr="00DB5824">
        <w:rPr>
          <w:rFonts w:hint="cs"/>
          <w:rtl/>
        </w:rPr>
        <w:t>التنوع</w:t>
      </w:r>
      <w:r w:rsidRPr="00DB5824">
        <w:rPr>
          <w:rtl/>
        </w:rPr>
        <w:t xml:space="preserve"> </w:t>
      </w:r>
      <w:r w:rsidRPr="00DB5824">
        <w:rPr>
          <w:rFonts w:hint="cs"/>
          <w:rtl/>
        </w:rPr>
        <w:t>البيولوجي</w:t>
      </w:r>
      <w:r w:rsidRPr="00DB5824">
        <w:rPr>
          <w:rtl/>
        </w:rPr>
        <w:t xml:space="preserve"> </w:t>
      </w:r>
      <w:r w:rsidRPr="00DB5824">
        <w:rPr>
          <w:rFonts w:hint="cs"/>
          <w:rtl/>
        </w:rPr>
        <w:t>لما</w:t>
      </w:r>
      <w:r w:rsidRPr="00DB5824">
        <w:rPr>
          <w:rtl/>
        </w:rPr>
        <w:t xml:space="preserve"> </w:t>
      </w:r>
      <w:r w:rsidRPr="00DB5824">
        <w:rPr>
          <w:rFonts w:hint="cs"/>
          <w:rtl/>
        </w:rPr>
        <w:t>بعد</w:t>
      </w:r>
      <w:r w:rsidRPr="00DB5824">
        <w:rPr>
          <w:rtl/>
        </w:rPr>
        <w:t xml:space="preserve"> </w:t>
      </w:r>
      <w:r w:rsidRPr="00DB5824">
        <w:rPr>
          <w:rFonts w:hint="cs"/>
          <w:rtl/>
        </w:rPr>
        <w:t>عام</w:t>
      </w:r>
      <w:r w:rsidRPr="00DB5824">
        <w:rPr>
          <w:rtl/>
        </w:rPr>
        <w:t xml:space="preserve"> 2020</w:t>
      </w:r>
      <w:r w:rsidRPr="00DB5824">
        <w:rPr>
          <w:rFonts w:hint="cs"/>
          <w:rtl/>
        </w:rPr>
        <w:t>،</w:t>
      </w:r>
      <w:r w:rsidRPr="00DB5824">
        <w:rPr>
          <w:rtl/>
        </w:rPr>
        <w:t xml:space="preserve"> </w:t>
      </w:r>
      <w:r w:rsidRPr="00DB5824">
        <w:rPr>
          <w:rFonts w:hint="cs"/>
          <w:rtl/>
        </w:rPr>
        <w:t>من</w:t>
      </w:r>
      <w:r w:rsidRPr="00DB5824">
        <w:rPr>
          <w:rtl/>
        </w:rPr>
        <w:t xml:space="preserve"> </w:t>
      </w:r>
      <w:r w:rsidRPr="00DB5824">
        <w:rPr>
          <w:rFonts w:hint="cs"/>
          <w:rtl/>
        </w:rPr>
        <w:t>أجل</w:t>
      </w:r>
      <w:r w:rsidRPr="00DB5824">
        <w:rPr>
          <w:rtl/>
        </w:rPr>
        <w:t xml:space="preserve"> </w:t>
      </w:r>
      <w:r w:rsidRPr="00DB5824">
        <w:rPr>
          <w:rFonts w:hint="cs"/>
          <w:rtl/>
        </w:rPr>
        <w:t>تيسير</w:t>
      </w:r>
      <w:r w:rsidRPr="00DB5824">
        <w:rPr>
          <w:rtl/>
        </w:rPr>
        <w:t xml:space="preserve"> </w:t>
      </w:r>
      <w:r w:rsidRPr="00DB5824">
        <w:rPr>
          <w:rFonts w:hint="cs"/>
          <w:rtl/>
        </w:rPr>
        <w:t>إدماج</w:t>
      </w:r>
      <w:r w:rsidRPr="00DB5824">
        <w:rPr>
          <w:rtl/>
        </w:rPr>
        <w:t xml:space="preserve"> </w:t>
      </w:r>
      <w:r w:rsidRPr="00DB5824">
        <w:rPr>
          <w:rFonts w:hint="cs"/>
          <w:rtl/>
        </w:rPr>
        <w:t>أي</w:t>
      </w:r>
      <w:r w:rsidRPr="00DB5824">
        <w:rPr>
          <w:rtl/>
        </w:rPr>
        <w:t xml:space="preserve"> </w:t>
      </w:r>
      <w:r w:rsidRPr="00DB5824">
        <w:rPr>
          <w:rFonts w:hint="cs"/>
          <w:rtl/>
        </w:rPr>
        <w:t>عمل</w:t>
      </w:r>
      <w:r w:rsidRPr="00DB5824">
        <w:rPr>
          <w:rtl/>
        </w:rPr>
        <w:t xml:space="preserve"> </w:t>
      </w:r>
      <w:r w:rsidRPr="00DB5824">
        <w:rPr>
          <w:rFonts w:hint="cs"/>
          <w:rtl/>
        </w:rPr>
        <w:t>آخر</w:t>
      </w:r>
      <w:r w:rsidRPr="00DB5824">
        <w:rPr>
          <w:rtl/>
        </w:rPr>
        <w:t xml:space="preserve"> </w:t>
      </w:r>
      <w:r w:rsidRPr="00DB5824">
        <w:rPr>
          <w:rFonts w:hint="cs"/>
          <w:rtl/>
        </w:rPr>
        <w:t>بشأن</w:t>
      </w:r>
      <w:r w:rsidRPr="00DB5824">
        <w:rPr>
          <w:rtl/>
        </w:rPr>
        <w:t xml:space="preserve"> </w:t>
      </w:r>
      <w:r w:rsidRPr="00DB5824">
        <w:rPr>
          <w:rFonts w:hint="cs"/>
          <w:rtl/>
        </w:rPr>
        <w:t>المادة</w:t>
      </w:r>
      <w:r w:rsidRPr="00DB5824">
        <w:rPr>
          <w:rtl/>
        </w:rPr>
        <w:t xml:space="preserve"> 8(ي) </w:t>
      </w:r>
      <w:r w:rsidRPr="00DB5824">
        <w:rPr>
          <w:rFonts w:hint="cs"/>
          <w:rtl/>
        </w:rPr>
        <w:t>والأحكام المتصلة بها</w:t>
      </w:r>
      <w:r w:rsidRPr="00DB5824">
        <w:rPr>
          <w:rtl/>
        </w:rPr>
        <w:t xml:space="preserve"> </w:t>
      </w:r>
      <w:r w:rsidRPr="00DB5824">
        <w:rPr>
          <w:rFonts w:hint="cs"/>
          <w:rtl/>
        </w:rPr>
        <w:t>في</w:t>
      </w:r>
      <w:r w:rsidRPr="00DB5824">
        <w:rPr>
          <w:rtl/>
        </w:rPr>
        <w:t xml:space="preserve"> </w:t>
      </w:r>
      <w:r w:rsidRPr="00DB5824">
        <w:rPr>
          <w:rFonts w:hint="cs"/>
          <w:rtl/>
        </w:rPr>
        <w:t>عمل</w:t>
      </w:r>
      <w:r w:rsidRPr="00DB5824">
        <w:rPr>
          <w:rtl/>
        </w:rPr>
        <w:t xml:space="preserve"> </w:t>
      </w:r>
      <w:r w:rsidRPr="00DB5824">
        <w:rPr>
          <w:rFonts w:hint="cs"/>
          <w:rtl/>
        </w:rPr>
        <w:t>الاتفاقية</w:t>
      </w:r>
      <w:r w:rsidRPr="00DB5824">
        <w:rPr>
          <w:rtl/>
        </w:rPr>
        <w:t>.</w:t>
      </w:r>
    </w:p>
    <w:p w:rsidR="001D61EA" w:rsidRPr="00FA2E1F" w:rsidRDefault="001D61EA" w:rsidP="001D61EA">
      <w:pPr>
        <w:spacing w:after="0" w:line="240" w:lineRule="auto"/>
        <w:jc w:val="left"/>
        <w:rPr>
          <w:sz w:val="24"/>
          <w:rtl/>
        </w:rPr>
      </w:pPr>
    </w:p>
    <w:p w:rsidR="00D11ACC" w:rsidRPr="007740F4" w:rsidRDefault="001D61EA" w:rsidP="00696773">
      <w:pPr>
        <w:pStyle w:val="Heading2"/>
        <w:rPr>
          <w:b w:val="0"/>
          <w:bCs w:val="0"/>
          <w:rtl/>
        </w:rPr>
      </w:pPr>
      <w:r>
        <w:rPr>
          <w:b w:val="0"/>
          <w:bCs w:val="0"/>
          <w:sz w:val="24"/>
          <w:rtl/>
        </w:rPr>
        <w:br w:type="page"/>
      </w:r>
      <w:bookmarkStart w:id="152" w:name="_Toc6071622"/>
      <w:bookmarkStart w:id="153" w:name="_Toc6139979"/>
      <w:r w:rsidR="00D11ACC">
        <w:rPr>
          <w:rFonts w:hint="cs"/>
          <w:rtl/>
        </w:rPr>
        <w:lastRenderedPageBreak/>
        <w:t>المقرر 14/18</w:t>
      </w:r>
      <w:r w:rsidR="00D11ACC">
        <w:rPr>
          <w:rFonts w:hint="cs"/>
          <w:rtl/>
        </w:rPr>
        <w:tab/>
      </w:r>
      <w:r w:rsidR="00D11ACC" w:rsidRPr="007740F4">
        <w:rPr>
          <w:rFonts w:hint="cs"/>
          <w:rtl/>
        </w:rPr>
        <w:t xml:space="preserve">خطة </w:t>
      </w:r>
      <w:r w:rsidR="00D11ACC" w:rsidRPr="007740F4">
        <w:rPr>
          <w:rtl/>
        </w:rPr>
        <w:t>عمل الاعتبارات الجنسانية</w:t>
      </w:r>
      <w:bookmarkEnd w:id="152"/>
      <w:bookmarkEnd w:id="153"/>
    </w:p>
    <w:p w:rsidR="00D11ACC" w:rsidRPr="003062F4" w:rsidRDefault="00D11ACC" w:rsidP="00D11ACC">
      <w:pPr>
        <w:ind w:left="720" w:firstLine="18"/>
        <w:rPr>
          <w:i/>
          <w:iCs/>
          <w:rtl/>
        </w:rPr>
      </w:pPr>
      <w:r w:rsidRPr="003062F4">
        <w:rPr>
          <w:i/>
          <w:iCs/>
          <w:rtl/>
        </w:rPr>
        <w:t>إن مؤتمر الأطراف،</w:t>
      </w:r>
    </w:p>
    <w:p w:rsidR="00D11ACC" w:rsidRPr="003A5205" w:rsidRDefault="00D11ACC" w:rsidP="00D11ACC">
      <w:pPr>
        <w:ind w:firstLine="720"/>
        <w:rPr>
          <w:rtl/>
          <w:lang w:val="en-GB"/>
        </w:rPr>
      </w:pPr>
      <w:r w:rsidRPr="003A5205">
        <w:rPr>
          <w:rFonts w:hint="cs"/>
          <w:i/>
          <w:iCs/>
          <w:rtl/>
          <w:lang w:val="en-GB"/>
        </w:rPr>
        <w:t>إذ يشير</w:t>
      </w:r>
      <w:r w:rsidRPr="003A5205">
        <w:rPr>
          <w:rFonts w:hint="cs"/>
          <w:rtl/>
          <w:lang w:val="en-GB"/>
        </w:rPr>
        <w:t xml:space="preserve"> إلى المقرر 12/7، الذي رحب فيه بخطة عمل الاعتبارات الجنسانية 2015-2020 في إطار الاتفاقية،</w:t>
      </w:r>
    </w:p>
    <w:p w:rsidR="00D11ACC" w:rsidRPr="003A5205" w:rsidRDefault="00D11ACC" w:rsidP="00D11ACC">
      <w:pPr>
        <w:ind w:firstLine="720"/>
        <w:rPr>
          <w:rtl/>
          <w:lang w:val="en-GB"/>
        </w:rPr>
      </w:pPr>
      <w:r w:rsidRPr="003A5205">
        <w:rPr>
          <w:rFonts w:hint="cs"/>
          <w:i/>
          <w:iCs/>
          <w:rtl/>
          <w:lang w:val="en-GB"/>
        </w:rPr>
        <w:t>وإذ يلاحظ</w:t>
      </w:r>
      <w:r w:rsidRPr="003A5205">
        <w:rPr>
          <w:rFonts w:hint="cs"/>
          <w:rtl/>
          <w:lang w:val="en-GB"/>
        </w:rPr>
        <w:t xml:space="preserve"> أن خطة عمل الاعتبارات الجنسانية 2015-2020 هي عند نقطة منتصف الطريق، </w:t>
      </w:r>
      <w:r w:rsidRPr="003A5205">
        <w:rPr>
          <w:rFonts w:hint="cs"/>
          <w:i/>
          <w:iCs/>
          <w:rtl/>
          <w:lang w:val="en-GB"/>
        </w:rPr>
        <w:t>وإذ يقرّ</w:t>
      </w:r>
      <w:r w:rsidRPr="003A5205">
        <w:rPr>
          <w:rFonts w:hint="cs"/>
          <w:rtl/>
          <w:lang w:val="en-GB"/>
        </w:rPr>
        <w:t xml:space="preserve"> بالحاجة إلى التنفيذ الفعال للخطة، بما في ذلك نحو تحقيق أهداف أيشي للتنوع البيولوجي والخطة الاستراتيجية للتنوع البيولوجي 2011-2020،</w:t>
      </w:r>
    </w:p>
    <w:p w:rsidR="00D11ACC" w:rsidRPr="003A5205" w:rsidRDefault="00D11ACC" w:rsidP="00D11ACC">
      <w:pPr>
        <w:ind w:firstLine="720"/>
        <w:rPr>
          <w:rtl/>
          <w:lang w:val="en-GB"/>
        </w:rPr>
      </w:pPr>
      <w:r w:rsidRPr="003A5205">
        <w:rPr>
          <w:rFonts w:hint="cs"/>
          <w:rtl/>
          <w:lang w:val="en-GB"/>
        </w:rPr>
        <w:t>1-</w:t>
      </w:r>
      <w:r w:rsidRPr="003A5205">
        <w:rPr>
          <w:rtl/>
          <w:lang w:val="en-GB"/>
        </w:rPr>
        <w:tab/>
      </w:r>
      <w:r w:rsidRPr="003A5205">
        <w:rPr>
          <w:rFonts w:hint="cs"/>
          <w:i/>
          <w:iCs/>
          <w:rtl/>
          <w:lang w:val="en-GB"/>
        </w:rPr>
        <w:t>ي</w:t>
      </w:r>
      <w:r w:rsidRPr="003A5205">
        <w:rPr>
          <w:i/>
          <w:iCs/>
          <w:rtl/>
          <w:lang w:val="en-GB"/>
        </w:rPr>
        <w:t>رحب</w:t>
      </w:r>
      <w:r w:rsidRPr="003A5205">
        <w:rPr>
          <w:rtl/>
          <w:lang w:val="en-GB"/>
        </w:rPr>
        <w:t xml:space="preserve"> بالتقييم المحدث للتقدم المحرز في تنفيذ خطة عمل</w:t>
      </w:r>
      <w:r w:rsidRPr="003A5205">
        <w:rPr>
          <w:rFonts w:hint="cs"/>
          <w:rtl/>
          <w:lang w:val="en-GB"/>
        </w:rPr>
        <w:t xml:space="preserve"> الاعتبارات</w:t>
      </w:r>
      <w:r w:rsidRPr="003A5205">
        <w:rPr>
          <w:rtl/>
          <w:lang w:val="en-GB"/>
        </w:rPr>
        <w:t xml:space="preserve"> الجنسانية 2015-2020؛</w:t>
      </w:r>
      <w:r w:rsidRPr="003A5205">
        <w:rPr>
          <w:vertAlign w:val="superscript"/>
          <w:lang w:val="en-GB"/>
        </w:rPr>
        <w:footnoteReference w:id="254"/>
      </w:r>
    </w:p>
    <w:p w:rsidR="00D11ACC" w:rsidRPr="003A5205" w:rsidRDefault="00D11ACC" w:rsidP="00D11ACC">
      <w:pPr>
        <w:ind w:firstLine="720"/>
        <w:rPr>
          <w:rtl/>
          <w:lang w:val="en-GB"/>
        </w:rPr>
      </w:pPr>
      <w:r w:rsidRPr="003A5205">
        <w:rPr>
          <w:rFonts w:hint="cs"/>
          <w:rtl/>
          <w:lang w:val="en-GB"/>
        </w:rPr>
        <w:t>2-</w:t>
      </w:r>
      <w:r w:rsidRPr="003A5205">
        <w:rPr>
          <w:rtl/>
          <w:lang w:val="en-GB"/>
        </w:rPr>
        <w:tab/>
      </w:r>
      <w:r w:rsidRPr="003A5205">
        <w:rPr>
          <w:rFonts w:hint="cs"/>
          <w:i/>
          <w:iCs/>
          <w:rtl/>
          <w:lang w:val="en-GB"/>
        </w:rPr>
        <w:t>يشدّد</w:t>
      </w:r>
      <w:r w:rsidRPr="003A5205">
        <w:rPr>
          <w:rFonts w:hint="cs"/>
          <w:rtl/>
          <w:lang w:val="en-GB"/>
        </w:rPr>
        <w:t xml:space="preserve"> على الحاجة إلى معالجة الاعتبارات الجنسانية في إعداد إطار التنوع البيولوجي لما بعد عام 2020 وبما يتماشى مع الأهداف الجنسانية لأهداف التنمية المستدامة؛</w:t>
      </w:r>
      <w:r w:rsidRPr="003A5205">
        <w:rPr>
          <w:vertAlign w:val="superscript"/>
          <w:lang w:val="en-GB"/>
        </w:rPr>
        <w:footnoteReference w:id="255"/>
      </w:r>
    </w:p>
    <w:p w:rsidR="00D11ACC" w:rsidRPr="003A5205" w:rsidRDefault="00D11ACC" w:rsidP="00D11ACC">
      <w:pPr>
        <w:ind w:firstLine="720"/>
        <w:rPr>
          <w:rtl/>
          <w:lang w:val="en-GB"/>
        </w:rPr>
      </w:pPr>
      <w:r w:rsidRPr="003A5205">
        <w:rPr>
          <w:rFonts w:hint="cs"/>
          <w:rtl/>
          <w:lang w:val="en-GB"/>
        </w:rPr>
        <w:t>3-</w:t>
      </w:r>
      <w:r w:rsidRPr="003A5205">
        <w:rPr>
          <w:rtl/>
          <w:lang w:val="en-GB"/>
        </w:rPr>
        <w:tab/>
      </w:r>
      <w:r w:rsidRPr="003A5205">
        <w:rPr>
          <w:rFonts w:hint="cs"/>
          <w:i/>
          <w:iCs/>
          <w:rtl/>
          <w:lang w:val="en-GB"/>
        </w:rPr>
        <w:t>ي</w:t>
      </w:r>
      <w:r w:rsidRPr="003A5205">
        <w:rPr>
          <w:i/>
          <w:iCs/>
          <w:rtl/>
          <w:lang w:val="en-GB"/>
        </w:rPr>
        <w:t>شجع</w:t>
      </w:r>
      <w:r w:rsidRPr="003A5205">
        <w:rPr>
          <w:rtl/>
          <w:lang w:val="en-GB"/>
        </w:rPr>
        <w:t xml:space="preserve"> </w:t>
      </w:r>
      <w:r w:rsidRPr="003A5205">
        <w:rPr>
          <w:rFonts w:hint="cs"/>
          <w:rtl/>
          <w:lang w:val="en-GB"/>
        </w:rPr>
        <w:t xml:space="preserve">الأطراف </w:t>
      </w:r>
      <w:r w:rsidRPr="003A5205">
        <w:rPr>
          <w:rtl/>
          <w:lang w:val="en-GB"/>
        </w:rPr>
        <w:t xml:space="preserve">على </w:t>
      </w:r>
      <w:r w:rsidRPr="003A5205">
        <w:rPr>
          <w:rFonts w:hint="cs"/>
          <w:rtl/>
          <w:lang w:val="en-GB"/>
        </w:rPr>
        <w:t>إعداد</w:t>
      </w:r>
      <w:r w:rsidRPr="003A5205">
        <w:rPr>
          <w:rtl/>
          <w:lang w:val="en-GB"/>
        </w:rPr>
        <w:t xml:space="preserve"> وتنفيذ استراتيجيات وإجراءات </w:t>
      </w:r>
      <w:r w:rsidRPr="003A5205">
        <w:rPr>
          <w:rFonts w:hint="cs"/>
          <w:rtl/>
          <w:lang w:val="en-GB"/>
        </w:rPr>
        <w:t>مراعية للاعتبارات</w:t>
      </w:r>
      <w:r w:rsidRPr="003A5205">
        <w:rPr>
          <w:rtl/>
          <w:lang w:val="en-GB"/>
        </w:rPr>
        <w:t xml:space="preserve"> الجنساني</w:t>
      </w:r>
      <w:r w:rsidRPr="003A5205">
        <w:rPr>
          <w:rFonts w:hint="cs"/>
          <w:rtl/>
          <w:lang w:val="en-GB"/>
        </w:rPr>
        <w:t>ة</w:t>
      </w:r>
      <w:r w:rsidRPr="003A5205">
        <w:rPr>
          <w:rtl/>
          <w:lang w:val="en-GB"/>
        </w:rPr>
        <w:t xml:space="preserve"> لدعم تنفيذ الاتفاقية والخطة الاستراتيجية للتنوع البيولوجي 2011-2020</w:t>
      </w:r>
      <w:r w:rsidRPr="003A5205">
        <w:rPr>
          <w:rFonts w:hint="cs"/>
          <w:rtl/>
          <w:lang w:val="en-GB"/>
        </w:rPr>
        <w:t>؛</w:t>
      </w:r>
    </w:p>
    <w:p w:rsidR="00D11ACC" w:rsidRPr="003A5205" w:rsidRDefault="00D11ACC" w:rsidP="00D11ACC">
      <w:pPr>
        <w:ind w:firstLine="720"/>
        <w:rPr>
          <w:rtl/>
          <w:lang w:val="en-GB"/>
        </w:rPr>
      </w:pPr>
      <w:r w:rsidRPr="003A5205">
        <w:rPr>
          <w:rFonts w:hint="cs"/>
          <w:rtl/>
          <w:lang w:val="en-GB"/>
        </w:rPr>
        <w:t>4-</w:t>
      </w:r>
      <w:r w:rsidRPr="003A5205">
        <w:rPr>
          <w:rtl/>
          <w:lang w:val="en-GB"/>
        </w:rPr>
        <w:tab/>
      </w:r>
      <w:r w:rsidRPr="003A5205">
        <w:rPr>
          <w:rFonts w:hint="cs"/>
          <w:i/>
          <w:iCs/>
          <w:rtl/>
          <w:lang w:val="en-GB"/>
        </w:rPr>
        <w:t>يشجع</w:t>
      </w:r>
      <w:r w:rsidRPr="003A5205">
        <w:rPr>
          <w:rFonts w:hint="cs"/>
          <w:rtl/>
          <w:lang w:val="en-GB"/>
        </w:rPr>
        <w:t xml:space="preserve"> الأطراف </w:t>
      </w:r>
      <w:r w:rsidRPr="003A5205">
        <w:rPr>
          <w:rFonts w:hint="cs"/>
          <w:i/>
          <w:iCs/>
          <w:rtl/>
          <w:lang w:val="en-GB"/>
        </w:rPr>
        <w:t>ويدعو</w:t>
      </w:r>
      <w:r w:rsidRPr="003A5205">
        <w:rPr>
          <w:rFonts w:hint="cs"/>
          <w:rtl/>
          <w:lang w:val="en-GB"/>
        </w:rPr>
        <w:t xml:space="preserve"> أصحاب المصلحة المعنيين الآخرين إلى دعم الإجراءات الرامية إلى تعزيز المعارف المتعلقة بالروابط القائمة بين الاعتبارات الجنسانية والتنوع البيولوجي، بوسائل منها توفير الموارد لبناء القدرات في مجال القضايا الجنسانية والتنوع البيولوجي، وجمع البيانات المصنّفة حسب نوع الجنس؛</w:t>
      </w:r>
    </w:p>
    <w:p w:rsidR="00D11ACC" w:rsidRPr="003A5205" w:rsidRDefault="00D11ACC" w:rsidP="00D11ACC">
      <w:pPr>
        <w:ind w:firstLine="720"/>
        <w:rPr>
          <w:rtl/>
          <w:lang w:val="en-GB"/>
        </w:rPr>
      </w:pPr>
      <w:r w:rsidRPr="003A5205">
        <w:rPr>
          <w:rFonts w:hint="cs"/>
          <w:rtl/>
          <w:lang w:val="en-GB"/>
        </w:rPr>
        <w:t>5-</w:t>
      </w:r>
      <w:r w:rsidRPr="003A5205">
        <w:rPr>
          <w:rtl/>
          <w:lang w:val="en-GB"/>
        </w:rPr>
        <w:tab/>
      </w:r>
      <w:r w:rsidRPr="003A5205">
        <w:rPr>
          <w:rFonts w:hint="cs"/>
          <w:i/>
          <w:iCs/>
          <w:rtl/>
          <w:lang w:val="en-GB"/>
        </w:rPr>
        <w:t>يشجع</w:t>
      </w:r>
      <w:r w:rsidRPr="003A5205">
        <w:rPr>
          <w:rFonts w:hint="cs"/>
          <w:rtl/>
          <w:lang w:val="en-GB"/>
        </w:rPr>
        <w:t xml:space="preserve"> الأطراف </w:t>
      </w:r>
      <w:r w:rsidRPr="003A5205">
        <w:rPr>
          <w:rFonts w:hint="cs"/>
          <w:i/>
          <w:iCs/>
          <w:rtl/>
          <w:lang w:val="en-GB"/>
        </w:rPr>
        <w:t>ويدعو</w:t>
      </w:r>
      <w:r w:rsidRPr="003A5205">
        <w:rPr>
          <w:rFonts w:hint="cs"/>
          <w:rtl/>
          <w:lang w:val="en-GB"/>
        </w:rPr>
        <w:t xml:space="preserve"> أصحاب المصلحة المعنيين الآخرين إلى دعم النُهج المتناسقة في مجال بناء القدرات وتنفيذ التدابير المراعية للاعتبارات الجنسانية في مجال التنوع البيولوجي </w:t>
      </w:r>
      <w:r w:rsidRPr="003A5205">
        <w:rPr>
          <w:rtl/>
          <w:lang w:val="en-GB"/>
        </w:rPr>
        <w:t>عبر الاتفاقات البيئية المتعددة الأطراف؛</w:t>
      </w:r>
    </w:p>
    <w:p w:rsidR="00D11ACC" w:rsidRPr="003A5205" w:rsidRDefault="00D11ACC" w:rsidP="00D11ACC">
      <w:pPr>
        <w:ind w:firstLine="720"/>
        <w:rPr>
          <w:rtl/>
          <w:lang w:val="en-GB"/>
        </w:rPr>
      </w:pPr>
      <w:r w:rsidRPr="003A5205">
        <w:rPr>
          <w:rFonts w:hint="cs"/>
          <w:rtl/>
          <w:lang w:val="en-GB"/>
        </w:rPr>
        <w:t>6-</w:t>
      </w:r>
      <w:r w:rsidRPr="003A5205">
        <w:rPr>
          <w:rtl/>
          <w:lang w:val="en-GB"/>
        </w:rPr>
        <w:tab/>
      </w:r>
      <w:r w:rsidRPr="003A5205">
        <w:rPr>
          <w:rFonts w:hint="cs"/>
          <w:i/>
          <w:iCs/>
          <w:rtl/>
          <w:lang w:val="en-GB"/>
        </w:rPr>
        <w:t>يطلب</w:t>
      </w:r>
      <w:r w:rsidRPr="003A5205">
        <w:rPr>
          <w:rFonts w:hint="cs"/>
          <w:rtl/>
          <w:lang w:val="en-GB"/>
        </w:rPr>
        <w:t xml:space="preserve"> </w:t>
      </w:r>
      <w:r w:rsidRPr="003A5205">
        <w:rPr>
          <w:rFonts w:hint="cs"/>
          <w:i/>
          <w:iCs/>
          <w:rtl/>
          <w:lang w:val="en-GB"/>
        </w:rPr>
        <w:t>إلى</w:t>
      </w:r>
      <w:r w:rsidRPr="003A5205">
        <w:rPr>
          <w:rFonts w:hint="cs"/>
          <w:rtl/>
          <w:lang w:val="en-GB"/>
        </w:rPr>
        <w:t xml:space="preserve"> الأمينة التنفيذية أن تجري، رهناً بتوافر الموارد، استعراضا لتنفيذ خطة عمل الاعتبارات الجنسانية 2015-2020، بالتوازي مع إعداد الإصدار الخامس لنشرة</w:t>
      </w:r>
      <w:r>
        <w:rPr>
          <w:rFonts w:hint="cs"/>
          <w:rtl/>
          <w:lang w:val="en-GB"/>
        </w:rPr>
        <w:t xml:space="preserve"> </w:t>
      </w:r>
      <w:r w:rsidRPr="003A5205">
        <w:rPr>
          <w:rFonts w:hint="cs"/>
          <w:rtl/>
          <w:lang w:val="en-GB"/>
        </w:rPr>
        <w:t xml:space="preserve"> </w:t>
      </w:r>
      <w:r w:rsidRPr="003A5205">
        <w:rPr>
          <w:rFonts w:hint="cs"/>
          <w:i/>
          <w:iCs/>
          <w:rtl/>
          <w:lang w:val="en-GB"/>
        </w:rPr>
        <w:t xml:space="preserve">التوقعات العالمية للتنوع البيولوجي </w:t>
      </w:r>
      <w:r w:rsidRPr="003A5205">
        <w:rPr>
          <w:rFonts w:hint="cs"/>
          <w:rtl/>
          <w:lang w:val="en-GB"/>
        </w:rPr>
        <w:t xml:space="preserve">والإصدار الثاني لنشرة </w:t>
      </w:r>
      <w:r w:rsidRPr="003A5205">
        <w:rPr>
          <w:rFonts w:hint="cs"/>
          <w:i/>
          <w:iCs/>
          <w:rtl/>
          <w:lang w:val="en-GB"/>
        </w:rPr>
        <w:t>التوقعات المحلية للتنوع البيولوجي</w:t>
      </w:r>
      <w:r w:rsidRPr="003A5205">
        <w:rPr>
          <w:rFonts w:hint="cs"/>
          <w:rtl/>
          <w:lang w:val="en-GB"/>
        </w:rPr>
        <w:t>، من أجل تحديد الفجوات، وأفضل الممارسات والدروس المستفادة؛</w:t>
      </w:r>
    </w:p>
    <w:p w:rsidR="00D11ACC" w:rsidRPr="003A5205" w:rsidRDefault="00D11ACC" w:rsidP="00D11ACC">
      <w:pPr>
        <w:ind w:firstLine="720"/>
        <w:rPr>
          <w:rtl/>
          <w:lang w:val="en-GB"/>
        </w:rPr>
      </w:pPr>
      <w:r w:rsidRPr="003A5205">
        <w:rPr>
          <w:rFonts w:hint="cs"/>
          <w:rtl/>
          <w:lang w:val="en-GB"/>
        </w:rPr>
        <w:t>7-</w:t>
      </w:r>
      <w:r w:rsidRPr="003A5205">
        <w:rPr>
          <w:rtl/>
          <w:lang w:val="en-GB"/>
        </w:rPr>
        <w:tab/>
      </w:r>
      <w:r w:rsidRPr="003A5205">
        <w:rPr>
          <w:i/>
          <w:iCs/>
          <w:rtl/>
          <w:lang w:val="en-GB"/>
        </w:rPr>
        <w:t>يطلب أيضا</w:t>
      </w:r>
      <w:r w:rsidRPr="003A5205">
        <w:rPr>
          <w:rFonts w:hint="cs"/>
          <w:i/>
          <w:iCs/>
          <w:rtl/>
          <w:lang w:val="en-GB"/>
        </w:rPr>
        <w:t>ً</w:t>
      </w:r>
      <w:r w:rsidRPr="003A5205">
        <w:rPr>
          <w:i/>
          <w:iCs/>
          <w:rtl/>
          <w:lang w:val="en-GB"/>
        </w:rPr>
        <w:t xml:space="preserve"> إلى</w:t>
      </w:r>
      <w:r w:rsidRPr="003A5205">
        <w:rPr>
          <w:rtl/>
          <w:lang w:val="en-GB"/>
        </w:rPr>
        <w:t xml:space="preserve"> الأمين</w:t>
      </w:r>
      <w:r w:rsidRPr="003A5205">
        <w:rPr>
          <w:rFonts w:hint="cs"/>
          <w:rtl/>
          <w:lang w:val="en-GB"/>
        </w:rPr>
        <w:t>ة</w:t>
      </w:r>
      <w:r w:rsidRPr="003A5205">
        <w:rPr>
          <w:rtl/>
          <w:lang w:val="en-GB"/>
        </w:rPr>
        <w:t xml:space="preserve"> التنفيذي</w:t>
      </w:r>
      <w:r w:rsidRPr="003A5205">
        <w:rPr>
          <w:rFonts w:hint="cs"/>
          <w:rtl/>
          <w:lang w:val="en-GB"/>
        </w:rPr>
        <w:t>ة أن تنظم</w:t>
      </w:r>
      <w:r w:rsidRPr="003A5205">
        <w:rPr>
          <w:rtl/>
          <w:lang w:val="en-GB"/>
        </w:rPr>
        <w:t>، رهنا</w:t>
      </w:r>
      <w:r w:rsidRPr="003A5205">
        <w:rPr>
          <w:rFonts w:hint="cs"/>
          <w:rtl/>
          <w:lang w:val="en-GB"/>
        </w:rPr>
        <w:t>ً</w:t>
      </w:r>
      <w:r w:rsidRPr="003A5205">
        <w:rPr>
          <w:rtl/>
          <w:lang w:val="en-GB"/>
        </w:rPr>
        <w:t xml:space="preserve"> بتوافر الموارد، حلقات عمل إقليمية بشأن الروابط</w:t>
      </w:r>
      <w:r w:rsidRPr="003A5205">
        <w:rPr>
          <w:rFonts w:hint="cs"/>
          <w:rtl/>
          <w:lang w:val="en-GB"/>
        </w:rPr>
        <w:t xml:space="preserve"> </w:t>
      </w:r>
      <w:r w:rsidRPr="003A5205">
        <w:rPr>
          <w:rtl/>
          <w:lang w:val="en-GB"/>
        </w:rPr>
        <w:t>بين ال</w:t>
      </w:r>
      <w:r w:rsidRPr="003A5205">
        <w:rPr>
          <w:rFonts w:hint="cs"/>
          <w:rtl/>
          <w:lang w:val="en-GB"/>
        </w:rPr>
        <w:t>اعتبا</w:t>
      </w:r>
      <w:r w:rsidRPr="003A5205">
        <w:rPr>
          <w:rtl/>
          <w:lang w:val="en-GB"/>
        </w:rPr>
        <w:t>ر</w:t>
      </w:r>
      <w:r w:rsidRPr="003A5205">
        <w:rPr>
          <w:rFonts w:hint="cs"/>
          <w:rtl/>
          <w:lang w:val="en-GB"/>
        </w:rPr>
        <w:t>ات</w:t>
      </w:r>
      <w:r w:rsidRPr="003A5205">
        <w:rPr>
          <w:rtl/>
          <w:lang w:val="en-GB"/>
        </w:rPr>
        <w:t xml:space="preserve"> الجنساني</w:t>
      </w:r>
      <w:r w:rsidRPr="003A5205">
        <w:rPr>
          <w:rFonts w:hint="cs"/>
          <w:rtl/>
          <w:lang w:val="en-GB"/>
        </w:rPr>
        <w:t>ة</w:t>
      </w:r>
      <w:r w:rsidRPr="003A5205">
        <w:rPr>
          <w:rtl/>
          <w:lang w:val="en-GB"/>
        </w:rPr>
        <w:t xml:space="preserve"> والتنوع البيولوجي، والدروس المستفادة من تنفيذ خطة </w:t>
      </w:r>
      <w:r w:rsidRPr="003A5205">
        <w:rPr>
          <w:rFonts w:hint="cs"/>
          <w:rtl/>
          <w:lang w:val="en-GB"/>
        </w:rPr>
        <w:t>عمل الاعتبارات الجنسانية 2015-2020؛</w:t>
      </w:r>
    </w:p>
    <w:p w:rsidR="00D11ACC" w:rsidRPr="003A5205" w:rsidRDefault="00D11ACC" w:rsidP="00D11ACC">
      <w:pPr>
        <w:ind w:firstLine="720"/>
        <w:rPr>
          <w:rtl/>
          <w:lang w:val="en-GB"/>
        </w:rPr>
      </w:pPr>
      <w:r w:rsidRPr="003A5205">
        <w:rPr>
          <w:rFonts w:hint="cs"/>
          <w:rtl/>
          <w:lang w:val="en-GB"/>
        </w:rPr>
        <w:t>8-</w:t>
      </w:r>
      <w:r w:rsidRPr="003A5205">
        <w:rPr>
          <w:rFonts w:hint="cs"/>
          <w:rtl/>
          <w:lang w:val="en-GB"/>
        </w:rPr>
        <w:tab/>
      </w:r>
      <w:r w:rsidRPr="003A5205">
        <w:rPr>
          <w:rFonts w:hint="cs"/>
          <w:i/>
          <w:iCs/>
          <w:rtl/>
          <w:lang w:val="en-GB"/>
        </w:rPr>
        <w:t>يطلب كذلك</w:t>
      </w:r>
      <w:r w:rsidRPr="003A5205">
        <w:rPr>
          <w:rFonts w:hint="cs"/>
          <w:rtl/>
          <w:lang w:val="en-GB"/>
        </w:rPr>
        <w:t xml:space="preserve"> إلى الأمينة التنفيذية أن تدرج، رهنا بتوافر الموارد، المناقشات حول الروابط بين الاعتبارات الجنسانية والتنوع البيولوجي، والدروس المستفادة من تنفيذ خطة عمل الاعتبارات الجنسانية 2015-2020 ضمن المشاورات الإقليمية حول الإطار العالمي للتنوع البيولوجي لما بعد عام 2020.</w:t>
      </w:r>
    </w:p>
    <w:p w:rsidR="001D61EA" w:rsidRDefault="001D61EA" w:rsidP="00D11ACC">
      <w:pPr>
        <w:spacing w:after="0" w:line="240" w:lineRule="auto"/>
        <w:jc w:val="left"/>
        <w:rPr>
          <w:b/>
          <w:bCs/>
          <w:sz w:val="24"/>
          <w:rtl/>
        </w:rPr>
      </w:pPr>
      <w:r>
        <w:rPr>
          <w:b/>
          <w:bCs/>
          <w:sz w:val="24"/>
          <w:rtl/>
        </w:rPr>
        <w:br w:type="page"/>
      </w:r>
    </w:p>
    <w:p w:rsidR="00D11ACC" w:rsidRPr="00964E89" w:rsidRDefault="00D11ACC" w:rsidP="00696773">
      <w:pPr>
        <w:pStyle w:val="Heading2"/>
        <w:rPr>
          <w:b w:val="0"/>
          <w:bCs w:val="0"/>
          <w:rtl/>
        </w:rPr>
      </w:pPr>
      <w:bookmarkStart w:id="154" w:name="_Toc6071623"/>
      <w:bookmarkStart w:id="155" w:name="_Toc6139980"/>
      <w:r>
        <w:rPr>
          <w:rFonts w:hint="cs"/>
          <w:rtl/>
        </w:rPr>
        <w:lastRenderedPageBreak/>
        <w:t>المقرر 14/19</w:t>
      </w:r>
      <w:r>
        <w:rPr>
          <w:rFonts w:hint="cs"/>
          <w:rtl/>
        </w:rPr>
        <w:tab/>
      </w:r>
      <w:r w:rsidRPr="00964E89">
        <w:rPr>
          <w:rFonts w:hint="cs"/>
          <w:rtl/>
        </w:rPr>
        <w:t>البيولوجيا التركيبية</w:t>
      </w:r>
      <w:bookmarkEnd w:id="154"/>
      <w:bookmarkEnd w:id="155"/>
    </w:p>
    <w:p w:rsidR="00D11ACC" w:rsidRPr="00F927F9" w:rsidRDefault="00D11ACC" w:rsidP="00D11ACC">
      <w:pPr>
        <w:spacing w:after="100" w:line="204" w:lineRule="auto"/>
        <w:ind w:firstLine="673"/>
        <w:rPr>
          <w:i/>
          <w:iCs/>
          <w:rtl/>
        </w:rPr>
      </w:pPr>
      <w:r w:rsidRPr="00F927F9">
        <w:rPr>
          <w:rFonts w:hint="cs"/>
          <w:i/>
          <w:iCs/>
          <w:rtl/>
        </w:rPr>
        <w:t xml:space="preserve">إن </w:t>
      </w:r>
      <w:r w:rsidRPr="00F927F9">
        <w:rPr>
          <w:i/>
          <w:iCs/>
          <w:rtl/>
        </w:rPr>
        <w:t>مؤتمر الأطراف،</w:t>
      </w:r>
    </w:p>
    <w:p w:rsidR="00D11ACC" w:rsidRPr="00F927F9" w:rsidRDefault="00D11ACC" w:rsidP="00D11ACC">
      <w:pPr>
        <w:spacing w:after="100" w:line="204" w:lineRule="auto"/>
        <w:ind w:firstLine="673"/>
        <w:rPr>
          <w:rtl/>
        </w:rPr>
      </w:pPr>
      <w:r w:rsidRPr="00F927F9">
        <w:rPr>
          <w:i/>
          <w:iCs/>
          <w:rtl/>
        </w:rPr>
        <w:t>إذ يشير</w:t>
      </w:r>
      <w:r w:rsidRPr="00F927F9">
        <w:rPr>
          <w:rtl/>
        </w:rPr>
        <w:t xml:space="preserve"> إلى المقررين 12/24 و13/17،</w:t>
      </w:r>
    </w:p>
    <w:p w:rsidR="00D11ACC" w:rsidRPr="00F927F9" w:rsidRDefault="00D11ACC" w:rsidP="00CD26C5">
      <w:pPr>
        <w:numPr>
          <w:ilvl w:val="0"/>
          <w:numId w:val="67"/>
        </w:numPr>
        <w:spacing w:after="100" w:line="204" w:lineRule="auto"/>
        <w:ind w:left="0" w:firstLine="673"/>
        <w:rPr>
          <w:rtl/>
        </w:rPr>
      </w:pPr>
      <w:r w:rsidRPr="00F927F9">
        <w:rPr>
          <w:rFonts w:hint="cs"/>
          <w:i/>
          <w:iCs/>
          <w:rtl/>
        </w:rPr>
        <w:t>يرحب</w:t>
      </w:r>
      <w:r w:rsidRPr="00F927F9">
        <w:rPr>
          <w:rtl/>
        </w:rPr>
        <w:t xml:space="preserve"> بنتائج اجتماع فريق الخبراء التقنيين المخصص للبيولوجيا التركيبية الذي عقد في مونتريال، كندا، من 5 إلى 8 ديسمبر/كانون الأول 2017؛</w:t>
      </w:r>
      <w:bookmarkStart w:id="156" w:name="_Hlk531213843"/>
      <w:r w:rsidRPr="00F927F9">
        <w:rPr>
          <w:vertAlign w:val="superscript"/>
          <w:rtl/>
        </w:rPr>
        <w:footnoteReference w:id="256"/>
      </w:r>
      <w:bookmarkEnd w:id="156"/>
    </w:p>
    <w:p w:rsidR="00D11ACC" w:rsidRPr="00F927F9" w:rsidRDefault="00D11ACC" w:rsidP="00CD26C5">
      <w:pPr>
        <w:numPr>
          <w:ilvl w:val="0"/>
          <w:numId w:val="67"/>
        </w:numPr>
        <w:spacing w:after="100" w:line="204" w:lineRule="auto"/>
        <w:ind w:left="0" w:firstLine="673"/>
      </w:pPr>
      <w:r w:rsidRPr="00F927F9">
        <w:rPr>
          <w:rFonts w:hint="cs"/>
          <w:i/>
          <w:iCs/>
          <w:rtl/>
        </w:rPr>
        <w:t>يقر</w:t>
      </w:r>
      <w:r w:rsidRPr="00F927F9">
        <w:rPr>
          <w:rtl/>
        </w:rPr>
        <w:t xml:space="preserve"> </w:t>
      </w:r>
      <w:r w:rsidRPr="00F927F9">
        <w:rPr>
          <w:rFonts w:hint="cs"/>
          <w:rtl/>
        </w:rPr>
        <w:t>ب</w:t>
      </w:r>
      <w:r w:rsidRPr="00F927F9">
        <w:rPr>
          <w:rtl/>
        </w:rPr>
        <w:t xml:space="preserve">أن البيولوجيا التركيبية هي </w:t>
      </w:r>
      <w:r w:rsidRPr="00F927F9">
        <w:rPr>
          <w:rFonts w:hint="cs"/>
          <w:rtl/>
        </w:rPr>
        <w:t>مسألة</w:t>
      </w:r>
      <w:r w:rsidRPr="00F927F9">
        <w:rPr>
          <w:rtl/>
        </w:rPr>
        <w:t xml:space="preserve"> </w:t>
      </w:r>
      <w:r w:rsidRPr="00F927F9">
        <w:rPr>
          <w:rFonts w:hint="cs"/>
          <w:rtl/>
        </w:rPr>
        <w:t>سريعة التطور و</w:t>
      </w:r>
      <w:r w:rsidRPr="00F927F9">
        <w:rPr>
          <w:rtl/>
        </w:rPr>
        <w:t>شاملة</w:t>
      </w:r>
      <w:r w:rsidRPr="00F927F9">
        <w:rPr>
          <w:rFonts w:hint="cs"/>
          <w:rtl/>
        </w:rPr>
        <w:t>،</w:t>
      </w:r>
      <w:r w:rsidRPr="00F927F9">
        <w:rPr>
          <w:rtl/>
        </w:rPr>
        <w:t xml:space="preserve"> </w:t>
      </w:r>
      <w:r w:rsidRPr="00F927F9">
        <w:rPr>
          <w:rFonts w:hint="cs"/>
          <w:rtl/>
        </w:rPr>
        <w:t xml:space="preserve">مع منافع محتملة وتأثيرات ضارة محتملة مقابل </w:t>
      </w:r>
      <w:r w:rsidRPr="00F927F9">
        <w:rPr>
          <w:rtl/>
        </w:rPr>
        <w:t>الأهداف الثلاثة لاتفاقية التنوع البيولوجي؛</w:t>
      </w:r>
    </w:p>
    <w:p w:rsidR="00D11ACC" w:rsidRPr="00F927F9" w:rsidRDefault="00D11ACC" w:rsidP="00CD26C5">
      <w:pPr>
        <w:numPr>
          <w:ilvl w:val="0"/>
          <w:numId w:val="67"/>
        </w:numPr>
        <w:spacing w:after="100" w:line="204" w:lineRule="auto"/>
        <w:ind w:left="0" w:firstLine="673"/>
        <w:rPr>
          <w:rtl/>
        </w:rPr>
      </w:pPr>
      <w:r w:rsidRPr="00F927F9">
        <w:rPr>
          <w:rFonts w:hint="cs"/>
          <w:i/>
          <w:iCs/>
          <w:rtl/>
        </w:rPr>
        <w:t>يوافق</w:t>
      </w:r>
      <w:r w:rsidRPr="00F927F9">
        <w:rPr>
          <w:rtl/>
        </w:rPr>
        <w:t xml:space="preserve"> </w:t>
      </w:r>
      <w:r w:rsidRPr="00F927F9">
        <w:rPr>
          <w:rFonts w:hint="cs"/>
          <w:rtl/>
        </w:rPr>
        <w:t xml:space="preserve">على </w:t>
      </w:r>
      <w:r w:rsidRPr="00F927F9">
        <w:rPr>
          <w:rtl/>
        </w:rPr>
        <w:t xml:space="preserve">أن </w:t>
      </w:r>
      <w:r w:rsidRPr="00F927F9">
        <w:rPr>
          <w:rFonts w:hint="cs"/>
          <w:rtl/>
        </w:rPr>
        <w:t xml:space="preserve">هناك حاجة إلى </w:t>
      </w:r>
      <w:r w:rsidRPr="00F927F9">
        <w:rPr>
          <w:rtl/>
        </w:rPr>
        <w:t xml:space="preserve">إجراء مسح أفقي </w:t>
      </w:r>
      <w:r>
        <w:rPr>
          <w:rFonts w:hint="cs"/>
          <w:rtl/>
        </w:rPr>
        <w:t>واسع و</w:t>
      </w:r>
      <w:r w:rsidRPr="00F927F9">
        <w:rPr>
          <w:rtl/>
        </w:rPr>
        <w:t xml:space="preserve">منتظم ورصد وتقييم </w:t>
      </w:r>
      <w:r w:rsidRPr="00F927F9">
        <w:rPr>
          <w:rFonts w:hint="cs"/>
          <w:rtl/>
        </w:rPr>
        <w:t>ل</w:t>
      </w:r>
      <w:r>
        <w:rPr>
          <w:rFonts w:hint="cs"/>
          <w:rtl/>
        </w:rPr>
        <w:t>أحدث ا</w:t>
      </w:r>
      <w:r w:rsidRPr="00F927F9">
        <w:rPr>
          <w:rtl/>
        </w:rPr>
        <w:t>لتطورا</w:t>
      </w:r>
      <w:r>
        <w:rPr>
          <w:rFonts w:hint="cs"/>
          <w:rtl/>
        </w:rPr>
        <w:t xml:space="preserve">ت التكنولوجية </w:t>
      </w:r>
      <w:r w:rsidRPr="00F927F9">
        <w:rPr>
          <w:rtl/>
        </w:rPr>
        <w:t xml:space="preserve">لاستعراض المعلومات الجديدة المتعلقة بالآثار الإيجابية </w:t>
      </w:r>
      <w:r w:rsidRPr="00F927F9">
        <w:rPr>
          <w:rFonts w:hint="cs"/>
          <w:rtl/>
        </w:rPr>
        <w:t xml:space="preserve">المحتملة </w:t>
      </w:r>
      <w:r w:rsidRPr="00F927F9">
        <w:rPr>
          <w:rtl/>
        </w:rPr>
        <w:t>و</w:t>
      </w:r>
      <w:r w:rsidRPr="00F927F9">
        <w:rPr>
          <w:rFonts w:hint="cs"/>
          <w:rtl/>
        </w:rPr>
        <w:t xml:space="preserve">الآثار </w:t>
      </w:r>
      <w:r w:rsidRPr="00F927F9">
        <w:rPr>
          <w:rtl/>
        </w:rPr>
        <w:t>السلبية</w:t>
      </w:r>
      <w:r w:rsidRPr="00F927F9">
        <w:rPr>
          <w:rFonts w:hint="cs"/>
          <w:rtl/>
        </w:rPr>
        <w:t xml:space="preserve"> المحتملة</w:t>
      </w:r>
      <w:r w:rsidRPr="00F927F9">
        <w:rPr>
          <w:rtl/>
        </w:rPr>
        <w:t xml:space="preserve"> للبيولوجيا التركيبية مقابل الأهداف الثلاثة للاتفاقية </w:t>
      </w:r>
      <w:r>
        <w:rPr>
          <w:rFonts w:hint="cs"/>
          <w:rtl/>
        </w:rPr>
        <w:t xml:space="preserve">وأهداف </w:t>
      </w:r>
      <w:r w:rsidRPr="00F927F9">
        <w:rPr>
          <w:rtl/>
        </w:rPr>
        <w:t>بروتوكول</w:t>
      </w:r>
      <w:r>
        <w:rPr>
          <w:rFonts w:hint="cs"/>
          <w:rtl/>
        </w:rPr>
        <w:t xml:space="preserve"> قرطاجنة وبروتوكول ناغويا</w:t>
      </w:r>
      <w:r w:rsidRPr="00F927F9">
        <w:rPr>
          <w:rFonts w:hint="cs"/>
          <w:rtl/>
        </w:rPr>
        <w:t>؛</w:t>
      </w:r>
    </w:p>
    <w:p w:rsidR="00D11ACC" w:rsidRPr="00F927F9" w:rsidRDefault="00D11ACC" w:rsidP="00CD26C5">
      <w:pPr>
        <w:numPr>
          <w:ilvl w:val="0"/>
          <w:numId w:val="67"/>
        </w:numPr>
        <w:spacing w:after="100" w:line="204" w:lineRule="auto"/>
        <w:ind w:left="0" w:firstLine="673"/>
        <w:rPr>
          <w:rtl/>
        </w:rPr>
      </w:pPr>
      <w:r w:rsidRPr="00F927F9">
        <w:rPr>
          <w:rFonts w:hint="cs"/>
          <w:i/>
          <w:iCs/>
          <w:rtl/>
        </w:rPr>
        <w:t xml:space="preserve">يقرّ </w:t>
      </w:r>
      <w:r w:rsidRPr="00F927F9">
        <w:rPr>
          <w:rtl/>
        </w:rPr>
        <w:t xml:space="preserve">بالحاجة إلى إجراء تحليل للبيولوجيا </w:t>
      </w:r>
      <w:r w:rsidRPr="00F927F9">
        <w:rPr>
          <w:rFonts w:hint="cs"/>
          <w:rtl/>
        </w:rPr>
        <w:t>ا</w:t>
      </w:r>
      <w:r w:rsidRPr="00F927F9">
        <w:rPr>
          <w:rtl/>
        </w:rPr>
        <w:t>لتركيبية مقابل المعايير الواردة في الفقرة 12</w:t>
      </w:r>
      <w:r w:rsidRPr="00F927F9">
        <w:rPr>
          <w:rFonts w:hint="cs"/>
          <w:rtl/>
        </w:rPr>
        <w:t xml:space="preserve"> من </w:t>
      </w:r>
      <w:r w:rsidRPr="00F927F9">
        <w:rPr>
          <w:rtl/>
        </w:rPr>
        <w:t xml:space="preserve">المقرر </w:t>
      </w:r>
      <w:r w:rsidRPr="00F927F9">
        <w:rPr>
          <w:rFonts w:hint="cs"/>
          <w:rtl/>
        </w:rPr>
        <w:t>9</w:t>
      </w:r>
      <w:r w:rsidRPr="00F927F9">
        <w:rPr>
          <w:rtl/>
        </w:rPr>
        <w:t>/29، من أجل استكمال التحليل المطلوب في الفقرة 2 من المقرر 12/24 والفقرة 13 من ال</w:t>
      </w:r>
      <w:r w:rsidRPr="00F927F9">
        <w:rPr>
          <w:rFonts w:hint="cs"/>
          <w:rtl/>
        </w:rPr>
        <w:t>مقرر</w:t>
      </w:r>
      <w:r w:rsidRPr="00F927F9">
        <w:rPr>
          <w:rtl/>
        </w:rPr>
        <w:t xml:space="preserve"> 13/1</w:t>
      </w:r>
      <w:r w:rsidRPr="00F927F9">
        <w:rPr>
          <w:rFonts w:hint="cs"/>
          <w:rtl/>
        </w:rPr>
        <w:t>7</w:t>
      </w:r>
      <w:r w:rsidRPr="00F927F9">
        <w:rPr>
          <w:rtl/>
        </w:rPr>
        <w:t>؛</w:t>
      </w:r>
    </w:p>
    <w:p w:rsidR="00D11ACC" w:rsidRPr="00F927F9" w:rsidRDefault="00D11ACC" w:rsidP="00CD26C5">
      <w:pPr>
        <w:numPr>
          <w:ilvl w:val="0"/>
          <w:numId w:val="67"/>
        </w:numPr>
        <w:spacing w:after="100" w:line="204" w:lineRule="auto"/>
        <w:ind w:left="0" w:firstLine="673"/>
      </w:pPr>
      <w:r w:rsidRPr="00F927F9">
        <w:rPr>
          <w:rFonts w:hint="cs"/>
          <w:i/>
          <w:iCs/>
          <w:rtl/>
        </w:rPr>
        <w:t>ي</w:t>
      </w:r>
      <w:r w:rsidRPr="00F927F9">
        <w:rPr>
          <w:i/>
          <w:iCs/>
          <w:rtl/>
        </w:rPr>
        <w:t>قر</w:t>
      </w:r>
      <w:r w:rsidRPr="00F927F9">
        <w:rPr>
          <w:rFonts w:hint="cs"/>
          <w:i/>
          <w:iCs/>
          <w:rtl/>
        </w:rPr>
        <w:t>ّ</w:t>
      </w:r>
      <w:r w:rsidRPr="00F927F9">
        <w:rPr>
          <w:i/>
          <w:iCs/>
          <w:rtl/>
        </w:rPr>
        <w:t xml:space="preserve"> أيضا</w:t>
      </w:r>
      <w:r w:rsidRPr="00F927F9">
        <w:rPr>
          <w:rtl/>
        </w:rPr>
        <w:t xml:space="preserve"> بأن التطورات الناشئة عن البحث والتطوير في مجال البيولوجيا </w:t>
      </w:r>
      <w:r w:rsidRPr="00F927F9">
        <w:rPr>
          <w:rFonts w:hint="cs"/>
          <w:rtl/>
        </w:rPr>
        <w:t>ا</w:t>
      </w:r>
      <w:r w:rsidRPr="00F927F9">
        <w:rPr>
          <w:rtl/>
        </w:rPr>
        <w:t xml:space="preserve">لتركيبية قد تشكل تحديات أمام قدرة بعض البلدان، ولا سيما البلدان النامية، </w:t>
      </w:r>
      <w:r w:rsidRPr="00F927F9">
        <w:rPr>
          <w:rFonts w:hint="cs"/>
          <w:rtl/>
        </w:rPr>
        <w:t>وخاصة</w:t>
      </w:r>
      <w:r w:rsidRPr="00F927F9">
        <w:rPr>
          <w:rtl/>
        </w:rPr>
        <w:t xml:space="preserve"> البلدان ذات الخبرة أو الموارد المحدودة، على تقييم النطاق الكامل للتطبيقات والآثار المحتملة للبيولوجيا </w:t>
      </w:r>
      <w:r w:rsidRPr="00F927F9">
        <w:rPr>
          <w:rFonts w:hint="cs"/>
          <w:rtl/>
        </w:rPr>
        <w:t>ا</w:t>
      </w:r>
      <w:r w:rsidRPr="00F927F9">
        <w:rPr>
          <w:rtl/>
        </w:rPr>
        <w:t>لتركيبية على الأهداف الثلاثة للاتفاقية</w:t>
      </w:r>
      <w:r w:rsidRPr="00F927F9">
        <w:rPr>
          <w:rFonts w:hint="cs"/>
          <w:rtl/>
        </w:rPr>
        <w:t>؛</w:t>
      </w:r>
    </w:p>
    <w:p w:rsidR="00D11ACC" w:rsidRPr="00F927F9" w:rsidRDefault="00D11ACC" w:rsidP="00CD26C5">
      <w:pPr>
        <w:numPr>
          <w:ilvl w:val="0"/>
          <w:numId w:val="67"/>
        </w:numPr>
        <w:spacing w:after="100" w:line="204" w:lineRule="auto"/>
        <w:ind w:left="0" w:firstLine="673"/>
      </w:pPr>
      <w:r w:rsidRPr="00F927F9">
        <w:rPr>
          <w:rFonts w:hint="cs"/>
          <w:i/>
          <w:iCs/>
          <w:rtl/>
        </w:rPr>
        <w:t xml:space="preserve">يقر </w:t>
      </w:r>
      <w:r w:rsidRPr="00F927F9">
        <w:rPr>
          <w:i/>
          <w:iCs/>
          <w:rtl/>
        </w:rPr>
        <w:t>كذلك</w:t>
      </w:r>
      <w:r w:rsidRPr="00F927F9">
        <w:rPr>
          <w:rtl/>
        </w:rPr>
        <w:t xml:space="preserve"> بدور المعلومات والموارد في إطار آلية </w:t>
      </w:r>
      <w:r w:rsidRPr="00F927F9">
        <w:rPr>
          <w:rFonts w:hint="cs"/>
          <w:rtl/>
        </w:rPr>
        <w:t xml:space="preserve">غرفة </w:t>
      </w:r>
      <w:r w:rsidRPr="00F927F9">
        <w:rPr>
          <w:rtl/>
        </w:rPr>
        <w:t>تبادل المعلومات التابعة للاتفاقية وغرفة تبادل معلومات السلامة الأحيائية التابعة لبروتوكول قرطاجنة ومبادرات بناء القدرات في مساعدة تلك البلدان؛</w:t>
      </w:r>
    </w:p>
    <w:p w:rsidR="00D11ACC" w:rsidRPr="00F927F9" w:rsidRDefault="00D11ACC" w:rsidP="00CD26C5">
      <w:pPr>
        <w:numPr>
          <w:ilvl w:val="0"/>
          <w:numId w:val="67"/>
        </w:numPr>
        <w:spacing w:after="100" w:line="204" w:lineRule="auto"/>
        <w:ind w:left="0" w:firstLine="673"/>
      </w:pPr>
      <w:r w:rsidRPr="00F927F9">
        <w:rPr>
          <w:i/>
          <w:iCs/>
          <w:rtl/>
        </w:rPr>
        <w:t xml:space="preserve">يشدد </w:t>
      </w:r>
      <w:r w:rsidRPr="00F927F9">
        <w:rPr>
          <w:rtl/>
        </w:rPr>
        <w:t>على الحاجة إلى نهج منسق وتكميلي وغير ازدواجي بشأن المسائل المتصلة بالبيولوجيا التركيبية بموجب الاتفاقية وبروتوكوليها، وكذلك بين الاتفاقيات الأخرى والمنظمات والمبادرات ذات الصلة؛</w:t>
      </w:r>
    </w:p>
    <w:p w:rsidR="00D11ACC" w:rsidRDefault="00D11ACC" w:rsidP="00CD26C5">
      <w:pPr>
        <w:numPr>
          <w:ilvl w:val="0"/>
          <w:numId w:val="67"/>
        </w:numPr>
        <w:spacing w:after="100" w:line="204" w:lineRule="auto"/>
        <w:ind w:left="0" w:firstLine="673"/>
      </w:pPr>
      <w:r w:rsidRPr="00F927F9">
        <w:rPr>
          <w:i/>
          <w:iCs/>
          <w:rtl/>
        </w:rPr>
        <w:t>يحيط علماً</w:t>
      </w:r>
      <w:r w:rsidRPr="00F927F9">
        <w:rPr>
          <w:rtl/>
        </w:rPr>
        <w:t xml:space="preserve"> بالجهود الحالية التي تبذلها الأطراف والحكومات الأخرى والمنظمات ذات الصلة وغيرها من</w:t>
      </w:r>
      <w:r w:rsidRPr="00F927F9">
        <w:rPr>
          <w:rFonts w:hint="cs"/>
          <w:rtl/>
        </w:rPr>
        <w:t xml:space="preserve"> الجهات</w:t>
      </w:r>
      <w:r w:rsidRPr="00F927F9">
        <w:rPr>
          <w:rtl/>
        </w:rPr>
        <w:t xml:space="preserve"> </w:t>
      </w:r>
      <w:r w:rsidRPr="00F927F9">
        <w:rPr>
          <w:rFonts w:hint="cs"/>
          <w:rtl/>
        </w:rPr>
        <w:t xml:space="preserve">من </w:t>
      </w:r>
      <w:r w:rsidRPr="00F927F9">
        <w:rPr>
          <w:rtl/>
        </w:rPr>
        <w:t>أجل تقديم معلومات عن الت</w:t>
      </w:r>
      <w:r w:rsidRPr="00F927F9">
        <w:rPr>
          <w:rFonts w:hint="cs"/>
          <w:rtl/>
        </w:rPr>
        <w:t>طورات</w:t>
      </w:r>
      <w:r w:rsidRPr="00F927F9">
        <w:rPr>
          <w:rtl/>
        </w:rPr>
        <w:t xml:space="preserve"> والثغرات في المعارف وغيرها من المسائل ذات الصلة بأهداف الاتفاقية فيما يتعلق بالبيولوجيا التركيبية</w:t>
      </w:r>
      <w:r w:rsidRPr="00F927F9">
        <w:rPr>
          <w:rFonts w:hint="cs"/>
          <w:rtl/>
        </w:rPr>
        <w:t>؛</w:t>
      </w:r>
    </w:p>
    <w:p w:rsidR="00D11ACC" w:rsidRDefault="00D11ACC" w:rsidP="00CD26C5">
      <w:pPr>
        <w:numPr>
          <w:ilvl w:val="0"/>
          <w:numId w:val="67"/>
        </w:numPr>
        <w:spacing w:after="100" w:line="204" w:lineRule="auto"/>
        <w:ind w:left="0" w:firstLine="673"/>
        <w:rPr>
          <w:i/>
          <w:iCs/>
        </w:rPr>
      </w:pPr>
      <w:r w:rsidRPr="00F927F9">
        <w:rPr>
          <w:i/>
          <w:iCs/>
          <w:rtl/>
        </w:rPr>
        <w:t>يقر</w:t>
      </w:r>
      <w:r w:rsidRPr="00F927F9">
        <w:t xml:space="preserve"> </w:t>
      </w:r>
      <w:r w:rsidRPr="00F927F9">
        <w:rPr>
          <w:rtl/>
        </w:rPr>
        <w:t>بأنه قد تكون هناك تأثيرات ضارة محتملة ناشئة عن</w:t>
      </w:r>
      <w:r w:rsidRPr="00F927F9">
        <w:t xml:space="preserve"> </w:t>
      </w:r>
      <w:r w:rsidRPr="00F927F9">
        <w:rPr>
          <w:rtl/>
        </w:rPr>
        <w:t>الكائنات التي تحتوي على محركات الجينات المحورة هندسيا، قبل أن يتم النظر في تلك</w:t>
      </w:r>
      <w:r w:rsidRPr="00F927F9">
        <w:t xml:space="preserve"> </w:t>
      </w:r>
      <w:r w:rsidRPr="00F927F9">
        <w:rPr>
          <w:rtl/>
        </w:rPr>
        <w:t xml:space="preserve">الكائنات للإطلاق في البيئة، يلزم إجراء البحوث والتحليل، وقد تكون الإرشادات </w:t>
      </w:r>
      <w:r w:rsidRPr="00F927F9">
        <w:rPr>
          <w:rFonts w:hint="cs"/>
          <w:rtl/>
        </w:rPr>
        <w:t xml:space="preserve">المحددة </w:t>
      </w:r>
      <w:r w:rsidRPr="00F927F9">
        <w:rPr>
          <w:rtl/>
        </w:rPr>
        <w:t>مفيدة</w:t>
      </w:r>
      <w:r w:rsidRPr="00F927F9">
        <w:rPr>
          <w:rFonts w:hint="cs"/>
          <w:rtl/>
        </w:rPr>
        <w:t>،</w:t>
      </w:r>
      <w:r w:rsidRPr="00F927F9">
        <w:rPr>
          <w:vertAlign w:val="superscript"/>
          <w:rtl/>
        </w:rPr>
        <w:footnoteReference w:id="257"/>
      </w:r>
      <w:r w:rsidRPr="00F927F9">
        <w:rPr>
          <w:rFonts w:hint="cs"/>
          <w:vertAlign w:val="superscript"/>
          <w:rtl/>
        </w:rPr>
        <w:t xml:space="preserve"> </w:t>
      </w:r>
      <w:r w:rsidRPr="00F927F9">
        <w:rPr>
          <w:rFonts w:hint="cs"/>
          <w:rtl/>
        </w:rPr>
        <w:t>لدعم</w:t>
      </w:r>
      <w:r w:rsidRPr="00F927F9">
        <w:rPr>
          <w:rFonts w:hint="cs"/>
        </w:rPr>
        <w:t xml:space="preserve"> </w:t>
      </w:r>
      <w:r w:rsidRPr="00F927F9">
        <w:rPr>
          <w:rtl/>
        </w:rPr>
        <w:t>تقييم مخاطر كل حالة على حدة؛</w:t>
      </w:r>
    </w:p>
    <w:p w:rsidR="00D11ACC" w:rsidRPr="00F74F73" w:rsidRDefault="00D11ACC" w:rsidP="00CD26C5">
      <w:pPr>
        <w:numPr>
          <w:ilvl w:val="0"/>
          <w:numId w:val="67"/>
        </w:numPr>
        <w:spacing w:after="100" w:line="204" w:lineRule="auto"/>
        <w:ind w:left="0" w:firstLine="673"/>
      </w:pPr>
      <w:r w:rsidRPr="00F927F9">
        <w:rPr>
          <w:i/>
          <w:iCs/>
          <w:rtl/>
        </w:rPr>
        <w:t>يلاحظ</w:t>
      </w:r>
      <w:r w:rsidRPr="00F927F9">
        <w:t xml:space="preserve"> </w:t>
      </w:r>
      <w:r w:rsidRPr="00F927F9">
        <w:rPr>
          <w:rtl/>
        </w:rPr>
        <w:t>أن استنتاجات فريق الخبراء التقنيين المخصص للبيولوجيا التركيب</w:t>
      </w:r>
      <w:r w:rsidRPr="00F927F9">
        <w:rPr>
          <w:rFonts w:hint="cs"/>
          <w:rtl/>
        </w:rPr>
        <w:t>ية،</w:t>
      </w:r>
      <w:r w:rsidRPr="00F927F9">
        <w:rPr>
          <w:vertAlign w:val="superscript"/>
          <w:rtl/>
        </w:rPr>
        <w:footnoteReference w:id="258"/>
      </w:r>
      <w:r w:rsidRPr="00F927F9">
        <w:rPr>
          <w:rFonts w:hint="cs"/>
          <w:rtl/>
        </w:rPr>
        <w:t xml:space="preserve"> التي تفيد بأنه</w:t>
      </w:r>
      <w:r w:rsidRPr="00F927F9">
        <w:rPr>
          <w:rFonts w:hint="cs"/>
        </w:rPr>
        <w:t xml:space="preserve"> </w:t>
      </w:r>
      <w:r w:rsidRPr="00F927F9">
        <w:rPr>
          <w:rtl/>
        </w:rPr>
        <w:t xml:space="preserve">نظرا </w:t>
      </w:r>
      <w:r w:rsidRPr="00F927F9">
        <w:rPr>
          <w:rFonts w:hint="cs"/>
          <w:rtl/>
        </w:rPr>
        <w:t>لأوجه</w:t>
      </w:r>
      <w:r w:rsidRPr="00F927F9">
        <w:rPr>
          <w:rtl/>
        </w:rPr>
        <w:t xml:space="preserve"> عدم اليقين الحالية بخصوص محركات الجينات المحورة هندسيا، يلزم الأمر</w:t>
      </w:r>
      <w:r w:rsidRPr="00F927F9">
        <w:rPr>
          <w:rFonts w:hint="cs"/>
        </w:rPr>
        <w:t xml:space="preserve"> </w:t>
      </w:r>
      <w:r w:rsidRPr="00F927F9">
        <w:rPr>
          <w:rFonts w:hint="cs"/>
          <w:rtl/>
        </w:rPr>
        <w:t>ضمان</w:t>
      </w:r>
      <w:r w:rsidRPr="00F927F9">
        <w:t xml:space="preserve"> </w:t>
      </w:r>
      <w:r w:rsidRPr="00F927F9">
        <w:rPr>
          <w:rtl/>
        </w:rPr>
        <w:t>الحصول على الموافقة الحرة والمسبقة والمستنيرة للشعوب الأصلية والمجتمعات المحلية</w:t>
      </w:r>
      <w:r w:rsidRPr="00F927F9">
        <w:t xml:space="preserve"> </w:t>
      </w:r>
      <w:r w:rsidRPr="00F927F9">
        <w:rPr>
          <w:rtl/>
        </w:rPr>
        <w:t>عند النظر في الإطلاق الممكن للكائنات التي تحتوي على محركات الجينات المحورة هندسيا</w:t>
      </w:r>
      <w:r w:rsidRPr="00F927F9">
        <w:t xml:space="preserve"> </w:t>
      </w:r>
      <w:r w:rsidRPr="00F927F9">
        <w:rPr>
          <w:rtl/>
        </w:rPr>
        <w:t>التي يمكن أن تؤثر على معارفها وابتكاراتها وممارساتها وعلى سبل عيشها</w:t>
      </w:r>
      <w:r w:rsidRPr="00F927F9">
        <w:t xml:space="preserve"> </w:t>
      </w:r>
      <w:r w:rsidRPr="00F927F9">
        <w:rPr>
          <w:rtl/>
        </w:rPr>
        <w:t>التقليدية واستخدامها للأراضي والمياه؛</w:t>
      </w:r>
    </w:p>
    <w:p w:rsidR="00D11ACC" w:rsidRDefault="00D11ACC" w:rsidP="00CD26C5">
      <w:pPr>
        <w:numPr>
          <w:ilvl w:val="0"/>
          <w:numId w:val="67"/>
        </w:numPr>
        <w:spacing w:after="100" w:line="204" w:lineRule="auto"/>
        <w:ind w:left="0" w:firstLine="673"/>
      </w:pPr>
      <w:r w:rsidRPr="00F74F73">
        <w:rPr>
          <w:i/>
          <w:iCs/>
          <w:rtl/>
        </w:rPr>
        <w:lastRenderedPageBreak/>
        <w:t>يدعو</w:t>
      </w:r>
      <w:r w:rsidRPr="00F74F73">
        <w:rPr>
          <w:rtl/>
        </w:rPr>
        <w:t xml:space="preserve"> الأطراف، والحكومات الأخرى</w:t>
      </w:r>
      <w:r w:rsidRPr="00F74F73">
        <w:rPr>
          <w:rFonts w:hint="cs"/>
          <w:rtl/>
        </w:rPr>
        <w:t>،</w:t>
      </w:r>
      <w:r w:rsidRPr="00F74F73">
        <w:rPr>
          <w:rtl/>
        </w:rPr>
        <w:t xml:space="preserve"> مع مراعاة أوجه عدم اليقين الحالية بخصوص محركات الجينات المحورة هندسيا، إلى تطبيق نهج تحوطي</w:t>
      </w:r>
      <w:r w:rsidRPr="00F927F9">
        <w:rPr>
          <w:rtl/>
        </w:rPr>
        <w:t>،</w:t>
      </w:r>
      <w:r w:rsidRPr="00F74F73">
        <w:rPr>
          <w:vertAlign w:val="superscript"/>
          <w:rtl/>
        </w:rPr>
        <w:footnoteReference w:id="259"/>
      </w:r>
      <w:r w:rsidRPr="00F74F73">
        <w:rPr>
          <w:rtl/>
        </w:rPr>
        <w:t xml:space="preserve"> وفقاً لأهداف الاتفاقي</w:t>
      </w:r>
      <w:r w:rsidRPr="00F74F73">
        <w:rPr>
          <w:i/>
          <w:iCs/>
          <w:rtl/>
        </w:rPr>
        <w:t xml:space="preserve">ة </w:t>
      </w:r>
      <w:r w:rsidRPr="00F74F73">
        <w:rPr>
          <w:rFonts w:hint="cs"/>
          <w:i/>
          <w:iCs/>
          <w:rtl/>
        </w:rPr>
        <w:t>وي</w:t>
      </w:r>
      <w:r w:rsidRPr="00F74F73">
        <w:rPr>
          <w:i/>
          <w:iCs/>
          <w:rtl/>
        </w:rPr>
        <w:t>دعو</w:t>
      </w:r>
      <w:r w:rsidRPr="00F74F73">
        <w:rPr>
          <w:rFonts w:hint="cs"/>
          <w:i/>
          <w:iCs/>
          <w:rtl/>
        </w:rPr>
        <w:t xml:space="preserve"> أيضا</w:t>
      </w:r>
      <w:r w:rsidRPr="00F74F73">
        <w:rPr>
          <w:rtl/>
        </w:rPr>
        <w:t xml:space="preserve"> الأطراف، والحكومات الأخرى</w:t>
      </w:r>
      <w:r w:rsidRPr="00F74F73">
        <w:rPr>
          <w:rFonts w:hint="cs"/>
          <w:rtl/>
        </w:rPr>
        <w:t xml:space="preserve"> إلى عدم النظر إلا في إدخال الكائنات التي تحتوي على </w:t>
      </w:r>
      <w:r w:rsidRPr="00F74F73">
        <w:rPr>
          <w:rtl/>
        </w:rPr>
        <w:t>محركات الجينات المحورة هندسيا</w:t>
      </w:r>
      <w:r w:rsidRPr="00F74F73">
        <w:rPr>
          <w:rFonts w:hint="cs"/>
          <w:rtl/>
        </w:rPr>
        <w:t xml:space="preserve"> في البيئة، بما في ذلك للإطلاقات التجريبية وأغراض البحث والتطوير، عندما:</w:t>
      </w:r>
    </w:p>
    <w:p w:rsidR="00D11ACC" w:rsidRDefault="00D11ACC" w:rsidP="00D11ACC">
      <w:pPr>
        <w:spacing w:after="100" w:line="204" w:lineRule="auto"/>
        <w:ind w:firstLine="720"/>
        <w:rPr>
          <w:rtl/>
        </w:rPr>
      </w:pPr>
      <w:r w:rsidRPr="00792CE9">
        <w:rPr>
          <w:rFonts w:hint="cs"/>
          <w:rtl/>
        </w:rPr>
        <w:t>(أ)</w:t>
      </w:r>
      <w:r w:rsidRPr="00792CE9">
        <w:rPr>
          <w:rtl/>
        </w:rPr>
        <w:tab/>
      </w:r>
      <w:r>
        <w:rPr>
          <w:rFonts w:hint="cs"/>
          <w:rtl/>
        </w:rPr>
        <w:t>يكون قد تم إجراء تقييمات سليمة علميا للمخاطر على أساس كل حالة على حدة؛</w:t>
      </w:r>
    </w:p>
    <w:p w:rsidR="00D11ACC" w:rsidRDefault="00D11ACC" w:rsidP="00D11ACC">
      <w:pPr>
        <w:spacing w:after="100" w:line="204" w:lineRule="auto"/>
        <w:ind w:firstLine="720"/>
        <w:rPr>
          <w:rtl/>
        </w:rPr>
      </w:pPr>
      <w:r>
        <w:rPr>
          <w:rFonts w:hint="cs"/>
          <w:rtl/>
        </w:rPr>
        <w:t>(ب)</w:t>
      </w:r>
      <w:r>
        <w:rPr>
          <w:rtl/>
        </w:rPr>
        <w:tab/>
      </w:r>
      <w:r>
        <w:rPr>
          <w:rFonts w:hint="cs"/>
          <w:rtl/>
        </w:rPr>
        <w:t>تكون هناك تدابير لإدارة المخاطر لتجنب أو تقليل إلى أدنى حد الآثار السلبية المحتملة، حسب الاقتضاء؛</w:t>
      </w:r>
    </w:p>
    <w:p w:rsidR="00D11ACC" w:rsidRPr="00F927F9" w:rsidRDefault="00D11ACC" w:rsidP="00D11ACC">
      <w:pPr>
        <w:spacing w:after="100" w:line="204" w:lineRule="auto"/>
        <w:ind w:firstLine="720"/>
      </w:pPr>
      <w:r>
        <w:rPr>
          <w:rFonts w:hint="cs"/>
          <w:rtl/>
        </w:rPr>
        <w:t>(ج)</w:t>
      </w:r>
      <w:r>
        <w:rPr>
          <w:rtl/>
        </w:rPr>
        <w:tab/>
      </w:r>
      <w:r>
        <w:rPr>
          <w:rFonts w:hint="cs"/>
          <w:rtl/>
        </w:rPr>
        <w:t>يتم التماس أو الحصول، حسب الاقتضاء، "</w:t>
      </w:r>
      <w:r w:rsidRPr="00F927F9">
        <w:rPr>
          <w:rtl/>
        </w:rPr>
        <w:t xml:space="preserve">الموافقة المسبقة </w:t>
      </w:r>
      <w:r>
        <w:rPr>
          <w:rFonts w:hint="cs"/>
          <w:rtl/>
        </w:rPr>
        <w:t>عن علم" أو "</w:t>
      </w:r>
      <w:r w:rsidRPr="00F927F9">
        <w:rPr>
          <w:rtl/>
        </w:rPr>
        <w:t xml:space="preserve">الموافقة الحرة والمسبقة </w:t>
      </w:r>
      <w:r>
        <w:rPr>
          <w:rFonts w:hint="cs"/>
          <w:rtl/>
        </w:rPr>
        <w:t>عن علم" أو "القبول والمشاركة"</w:t>
      </w:r>
      <w:r>
        <w:rPr>
          <w:rStyle w:val="FootnoteReference"/>
          <w:rtl/>
        </w:rPr>
        <w:footnoteReference w:id="260"/>
      </w:r>
      <w:r>
        <w:rPr>
          <w:rFonts w:hint="cs"/>
          <w:rtl/>
        </w:rPr>
        <w:t xml:space="preserve"> </w:t>
      </w:r>
      <w:r w:rsidRPr="00F927F9">
        <w:rPr>
          <w:rtl/>
        </w:rPr>
        <w:t>للشعوب الأصلية والمجتمعات المحلية</w:t>
      </w:r>
      <w:r>
        <w:rPr>
          <w:rFonts w:hint="cs"/>
          <w:rtl/>
        </w:rPr>
        <w:t xml:space="preserve"> المحتمل أن تتأثر، حيثما ينطبق وفقا للظروف والتشريعات الوطنية؛</w:t>
      </w:r>
    </w:p>
    <w:p w:rsidR="00D11ACC" w:rsidRPr="00F927F9" w:rsidRDefault="00D11ACC" w:rsidP="00CD26C5">
      <w:pPr>
        <w:numPr>
          <w:ilvl w:val="0"/>
          <w:numId w:val="67"/>
        </w:numPr>
        <w:spacing w:after="100" w:line="204" w:lineRule="auto"/>
        <w:ind w:left="0" w:firstLine="673"/>
      </w:pPr>
      <w:r w:rsidRPr="00F927F9">
        <w:rPr>
          <w:i/>
          <w:iCs/>
          <w:rtl/>
        </w:rPr>
        <w:t>يدعو</w:t>
      </w:r>
      <w:r w:rsidRPr="00F927F9">
        <w:t xml:space="preserve"> </w:t>
      </w:r>
      <w:r w:rsidRPr="00F927F9">
        <w:rPr>
          <w:rtl/>
        </w:rPr>
        <w:t xml:space="preserve">الأطراف، والحكومات الأخرى والمنظمات ذات الصلة إلى مواصلة </w:t>
      </w:r>
      <w:r w:rsidRPr="00F927F9">
        <w:rPr>
          <w:rFonts w:hint="cs"/>
          <w:rtl/>
        </w:rPr>
        <w:t>وضع</w:t>
      </w:r>
      <w:r w:rsidRPr="00F927F9">
        <w:rPr>
          <w:rtl/>
        </w:rPr>
        <w:t xml:space="preserve"> </w:t>
      </w:r>
      <w:r w:rsidRPr="00F927F9">
        <w:rPr>
          <w:rFonts w:hint="cs"/>
          <w:rtl/>
        </w:rPr>
        <w:t xml:space="preserve">أو </w:t>
      </w:r>
      <w:r w:rsidRPr="00F927F9">
        <w:rPr>
          <w:rtl/>
        </w:rPr>
        <w:t>تنفيذ،</w:t>
      </w:r>
      <w:r w:rsidRPr="00F927F9">
        <w:t xml:space="preserve"> </w:t>
      </w:r>
      <w:r w:rsidRPr="00F927F9">
        <w:rPr>
          <w:rtl/>
        </w:rPr>
        <w:t xml:space="preserve">حسب الاقتضاء، تدابير لمنع أو </w:t>
      </w:r>
      <w:r w:rsidRPr="00F927F9">
        <w:rPr>
          <w:rFonts w:hint="cs"/>
          <w:rtl/>
        </w:rPr>
        <w:t>ال</w:t>
      </w:r>
      <w:r w:rsidRPr="00F927F9">
        <w:rPr>
          <w:rtl/>
        </w:rPr>
        <w:t xml:space="preserve">تقليل إلى أدنى حد </w:t>
      </w:r>
      <w:r w:rsidRPr="00F927F9">
        <w:rPr>
          <w:rFonts w:ascii="Simplified Arabic" w:hAnsi="Simplified Arabic"/>
          <w:sz w:val="20"/>
          <w:rtl/>
        </w:rPr>
        <w:t xml:space="preserve">من الآثار الضارة المحتملة الناشئة عن </w:t>
      </w:r>
      <w:r w:rsidRPr="00F927F9">
        <w:rPr>
          <w:rtl/>
        </w:rPr>
        <w:t>تعرض البيئة لكائنات البيولوجيا</w:t>
      </w:r>
      <w:r w:rsidRPr="00F927F9">
        <w:t xml:space="preserve"> </w:t>
      </w:r>
      <w:r w:rsidRPr="00F927F9">
        <w:rPr>
          <w:rtl/>
        </w:rPr>
        <w:t>التركيبية، ومكوناتها ومنتجاتها في إطار الاستخدام المعزول</w:t>
      </w:r>
      <w:r w:rsidRPr="00F927F9">
        <w:rPr>
          <w:rFonts w:hint="cs"/>
          <w:rtl/>
        </w:rPr>
        <w:t>،</w:t>
      </w:r>
      <w:r w:rsidRPr="00F927F9">
        <w:rPr>
          <w:rtl/>
        </w:rPr>
        <w:t xml:space="preserve"> </w:t>
      </w:r>
      <w:r w:rsidRPr="00F927F9">
        <w:rPr>
          <w:rFonts w:hint="cs"/>
          <w:sz w:val="20"/>
          <w:rtl/>
        </w:rPr>
        <w:t>بما</w:t>
      </w:r>
      <w:r w:rsidRPr="00F927F9">
        <w:rPr>
          <w:rFonts w:hint="cs"/>
          <w:sz w:val="20"/>
        </w:rPr>
        <w:t xml:space="preserve"> </w:t>
      </w:r>
      <w:r w:rsidRPr="00F927F9">
        <w:rPr>
          <w:rFonts w:hint="cs"/>
          <w:sz w:val="20"/>
          <w:rtl/>
        </w:rPr>
        <w:t>في</w:t>
      </w:r>
      <w:r w:rsidRPr="00F927F9">
        <w:rPr>
          <w:rFonts w:hint="cs"/>
          <w:sz w:val="20"/>
        </w:rPr>
        <w:t xml:space="preserve"> </w:t>
      </w:r>
      <w:r w:rsidRPr="00F927F9">
        <w:rPr>
          <w:rFonts w:hint="cs"/>
          <w:sz w:val="20"/>
          <w:rtl/>
        </w:rPr>
        <w:t>ذلك</w:t>
      </w:r>
      <w:r w:rsidRPr="00F927F9">
        <w:rPr>
          <w:rtl/>
        </w:rPr>
        <w:t xml:space="preserve"> تدابير</w:t>
      </w:r>
      <w:r w:rsidRPr="00F927F9">
        <w:t xml:space="preserve"> </w:t>
      </w:r>
      <w:r w:rsidRPr="00F927F9">
        <w:rPr>
          <w:rtl/>
        </w:rPr>
        <w:t xml:space="preserve">للكشف وتحديد </w:t>
      </w:r>
      <w:r w:rsidRPr="00F927F9">
        <w:rPr>
          <w:rFonts w:hint="cs"/>
          <w:rtl/>
        </w:rPr>
        <w:t>ال</w:t>
      </w:r>
      <w:r w:rsidRPr="00F927F9">
        <w:rPr>
          <w:rtl/>
        </w:rPr>
        <w:t>هوي</w:t>
      </w:r>
      <w:r w:rsidRPr="00F927F9">
        <w:rPr>
          <w:rFonts w:hint="cs"/>
          <w:rtl/>
        </w:rPr>
        <w:t>ة وال</w:t>
      </w:r>
      <w:r w:rsidRPr="00F927F9">
        <w:rPr>
          <w:rtl/>
        </w:rPr>
        <w:t>رصد،</w:t>
      </w:r>
      <w:r w:rsidRPr="00F927F9">
        <w:rPr>
          <w:rFonts w:hint="cs"/>
          <w:rtl/>
        </w:rPr>
        <w:t xml:space="preserve"> وفقا للظروف المحلية أو المبادئ التوجيهية الدولية المتفق عليها، حسب الاقتضاء، مع إيلاء </w:t>
      </w:r>
      <w:r w:rsidRPr="00F927F9">
        <w:rPr>
          <w:rtl/>
        </w:rPr>
        <w:t xml:space="preserve">اعتبار خاص لمراكز </w:t>
      </w:r>
      <w:r w:rsidRPr="00F927F9">
        <w:rPr>
          <w:rFonts w:hint="cs"/>
          <w:rtl/>
        </w:rPr>
        <w:t>ال</w:t>
      </w:r>
      <w:r w:rsidRPr="00F927F9">
        <w:rPr>
          <w:rtl/>
        </w:rPr>
        <w:t>منشأ و</w:t>
      </w:r>
      <w:r w:rsidRPr="00F927F9">
        <w:rPr>
          <w:rFonts w:hint="cs"/>
          <w:rtl/>
        </w:rPr>
        <w:t>ال</w:t>
      </w:r>
      <w:r w:rsidRPr="00F927F9">
        <w:rPr>
          <w:rtl/>
        </w:rPr>
        <w:t xml:space="preserve">تنوع </w:t>
      </w:r>
      <w:r w:rsidRPr="00F927F9">
        <w:rPr>
          <w:rFonts w:hint="cs"/>
          <w:rtl/>
        </w:rPr>
        <w:t>الجيني</w:t>
      </w:r>
      <w:r w:rsidRPr="00F927F9">
        <w:rPr>
          <w:rtl/>
        </w:rPr>
        <w:t>؛</w:t>
      </w:r>
      <w:r w:rsidRPr="00F927F9">
        <w:rPr>
          <w:rFonts w:hint="cs"/>
          <w:sz w:val="20"/>
        </w:rPr>
        <w:t xml:space="preserve"> </w:t>
      </w:r>
    </w:p>
    <w:p w:rsidR="00D11ACC" w:rsidRPr="00F927F9" w:rsidRDefault="00D11ACC" w:rsidP="00CD26C5">
      <w:pPr>
        <w:numPr>
          <w:ilvl w:val="0"/>
          <w:numId w:val="67"/>
        </w:numPr>
        <w:spacing w:after="100" w:line="204" w:lineRule="auto"/>
        <w:ind w:left="0" w:firstLine="673"/>
        <w:rPr>
          <w:rFonts w:ascii="Simplified Arabic" w:hAnsi="Simplified Arabic"/>
          <w:sz w:val="20"/>
        </w:rPr>
      </w:pPr>
      <w:r w:rsidRPr="00F927F9">
        <w:rPr>
          <w:rFonts w:ascii="Simplified Arabic" w:hAnsi="Simplified Arabic"/>
          <w:i/>
          <w:iCs/>
          <w:sz w:val="20"/>
          <w:rtl/>
        </w:rPr>
        <w:t>يدعو أيضاً</w:t>
      </w:r>
      <w:r w:rsidRPr="00F927F9">
        <w:rPr>
          <w:rFonts w:ascii="Simplified Arabic" w:hAnsi="Simplified Arabic"/>
          <w:sz w:val="20"/>
          <w:rtl/>
        </w:rPr>
        <w:t xml:space="preserve"> الأطراف والحكومات الأخرى والمنظمات ذات الصلة إلى مواصلة نشر المعلومات</w:t>
      </w:r>
      <w:r w:rsidRPr="00F927F9">
        <w:rPr>
          <w:rFonts w:ascii="Simplified Arabic" w:hAnsi="Simplified Arabic" w:hint="cs"/>
          <w:sz w:val="20"/>
        </w:rPr>
        <w:t xml:space="preserve"> </w:t>
      </w:r>
      <w:r w:rsidRPr="00F927F9">
        <w:rPr>
          <w:rFonts w:ascii="Simplified Arabic" w:hAnsi="Simplified Arabic" w:hint="cs"/>
          <w:sz w:val="20"/>
          <w:rtl/>
        </w:rPr>
        <w:t>وتبادل</w:t>
      </w:r>
      <w:r w:rsidRPr="00F927F9">
        <w:rPr>
          <w:rFonts w:ascii="Simplified Arabic" w:hAnsi="Simplified Arabic" w:hint="cs"/>
          <w:sz w:val="20"/>
        </w:rPr>
        <w:t xml:space="preserve"> </w:t>
      </w:r>
      <w:r w:rsidRPr="00F927F9">
        <w:rPr>
          <w:rFonts w:ascii="Simplified Arabic" w:hAnsi="Simplified Arabic" w:hint="cs"/>
          <w:sz w:val="20"/>
          <w:rtl/>
        </w:rPr>
        <w:t>تجاربها</w:t>
      </w:r>
      <w:r w:rsidRPr="00F927F9">
        <w:rPr>
          <w:rFonts w:ascii="Simplified Arabic" w:hAnsi="Simplified Arabic"/>
          <w:sz w:val="20"/>
          <w:rtl/>
        </w:rPr>
        <w:t xml:space="preserve">، لا سيما من خلال آليات </w:t>
      </w:r>
      <w:r w:rsidRPr="00F927F9">
        <w:rPr>
          <w:rFonts w:ascii="Simplified Arabic" w:hAnsi="Simplified Arabic" w:hint="cs"/>
          <w:sz w:val="20"/>
          <w:rtl/>
        </w:rPr>
        <w:t>غرفة</w:t>
      </w:r>
      <w:r w:rsidRPr="00F927F9">
        <w:rPr>
          <w:rFonts w:ascii="Simplified Arabic" w:hAnsi="Simplified Arabic" w:hint="cs"/>
          <w:sz w:val="20"/>
        </w:rPr>
        <w:t xml:space="preserve"> </w:t>
      </w:r>
      <w:r w:rsidRPr="00F927F9">
        <w:rPr>
          <w:rFonts w:ascii="Simplified Arabic" w:hAnsi="Simplified Arabic"/>
          <w:sz w:val="20"/>
          <w:rtl/>
        </w:rPr>
        <w:t xml:space="preserve">تبادل </w:t>
      </w:r>
      <w:r w:rsidRPr="00F927F9">
        <w:rPr>
          <w:rtl/>
        </w:rPr>
        <w:t>المعلومات</w:t>
      </w:r>
      <w:r w:rsidRPr="00F927F9">
        <w:rPr>
          <w:rFonts w:ascii="Simplified Arabic" w:hAnsi="Simplified Arabic"/>
          <w:sz w:val="20"/>
          <w:rtl/>
        </w:rPr>
        <w:t xml:space="preserve"> التابعة للاتفاقية وغرفة تبادل معلومات السلامة الأحيائية، بشأن التقييمات العلمية للفوائد المحتملة والآثار الضارة المحتملة </w:t>
      </w:r>
      <w:r w:rsidRPr="00F927F9">
        <w:rPr>
          <w:rFonts w:ascii="Simplified Arabic" w:hAnsi="Simplified Arabic" w:hint="cs"/>
          <w:sz w:val="20"/>
          <w:rtl/>
        </w:rPr>
        <w:t>ل</w:t>
      </w:r>
      <w:r w:rsidRPr="00F927F9">
        <w:rPr>
          <w:rtl/>
        </w:rPr>
        <w:t>لبيولوجيا التركيبية</w:t>
      </w:r>
      <w:r w:rsidRPr="00F927F9">
        <w:rPr>
          <w:rFonts w:hint="cs"/>
        </w:rPr>
        <w:t xml:space="preserve"> </w:t>
      </w:r>
      <w:r w:rsidRPr="00F927F9">
        <w:rPr>
          <w:rFonts w:hint="cs"/>
          <w:rtl/>
        </w:rPr>
        <w:t>على</w:t>
      </w:r>
      <w:r w:rsidRPr="00F927F9">
        <w:rPr>
          <w:rFonts w:ascii="Simplified Arabic" w:hAnsi="Simplified Arabic"/>
          <w:sz w:val="20"/>
          <w:rtl/>
        </w:rPr>
        <w:t xml:space="preserve"> التنوع البيولوجي، بما في ذلك، ضمن أمور أخرى، التطبيقات الخاصة بالكائنات التي تحتوي على محركات الجينات المحورة هندسيا، ومن استخدام الكائنات الحية المحورة التي تم إطلاقها في البيئة؛</w:t>
      </w:r>
    </w:p>
    <w:p w:rsidR="00D11ACC" w:rsidRPr="00F927F9" w:rsidRDefault="00D11ACC" w:rsidP="00CD26C5">
      <w:pPr>
        <w:numPr>
          <w:ilvl w:val="0"/>
          <w:numId w:val="67"/>
        </w:numPr>
        <w:spacing w:after="100" w:line="204" w:lineRule="auto"/>
        <w:ind w:left="0" w:firstLine="673"/>
        <w:rPr>
          <w:rtl/>
        </w:rPr>
      </w:pPr>
      <w:r w:rsidRPr="00F927F9">
        <w:rPr>
          <w:i/>
          <w:iCs/>
          <w:rtl/>
        </w:rPr>
        <w:t xml:space="preserve">يقرر </w:t>
      </w:r>
      <w:r w:rsidRPr="00F927F9">
        <w:rPr>
          <w:rtl/>
        </w:rPr>
        <w:t xml:space="preserve">تمديد </w:t>
      </w:r>
      <w:r w:rsidRPr="00F927F9">
        <w:rPr>
          <w:rFonts w:hint="cs"/>
          <w:rtl/>
        </w:rPr>
        <w:t>ولاية</w:t>
      </w:r>
      <w:r w:rsidRPr="00F927F9">
        <w:rPr>
          <w:rFonts w:hint="cs"/>
        </w:rPr>
        <w:t xml:space="preserve"> </w:t>
      </w:r>
      <w:r w:rsidRPr="00F927F9">
        <w:rPr>
          <w:rtl/>
        </w:rPr>
        <w:t xml:space="preserve">فريق الخبراء التقنيين المخصص للبيولوجيا التركيبية بعضوية متجددة، مع الأخذ في </w:t>
      </w:r>
      <w:r w:rsidRPr="00F927F9">
        <w:rPr>
          <w:rFonts w:hint="cs"/>
          <w:rtl/>
        </w:rPr>
        <w:t>الحسبان،</w:t>
      </w:r>
      <w:r w:rsidRPr="00F927F9">
        <w:rPr>
          <w:rtl/>
        </w:rPr>
        <w:t xml:space="preserve"> في جملة أمور، العمل المتعلق بتقييم المخاطر بموجب بروتوكول قرطاجنة، للعمل وفقاً </w:t>
      </w:r>
      <w:r w:rsidRPr="00F927F9">
        <w:rPr>
          <w:rFonts w:hint="cs"/>
          <w:rtl/>
        </w:rPr>
        <w:t>للاختصاصات</w:t>
      </w:r>
      <w:r w:rsidRPr="00F927F9">
        <w:rPr>
          <w:rtl/>
        </w:rPr>
        <w:t xml:space="preserve"> المرفقة </w:t>
      </w:r>
      <w:r>
        <w:rPr>
          <w:rFonts w:hint="cs"/>
          <w:rtl/>
        </w:rPr>
        <w:t>أدناه</w:t>
      </w:r>
      <w:r w:rsidRPr="00F927F9">
        <w:rPr>
          <w:rtl/>
        </w:rPr>
        <w:t>؛</w:t>
      </w:r>
    </w:p>
    <w:p w:rsidR="00D11ACC" w:rsidRPr="00F927F9" w:rsidRDefault="00D11ACC" w:rsidP="00CD26C5">
      <w:pPr>
        <w:numPr>
          <w:ilvl w:val="0"/>
          <w:numId w:val="67"/>
        </w:numPr>
        <w:spacing w:after="100" w:line="204" w:lineRule="auto"/>
        <w:ind w:left="0" w:firstLine="673"/>
      </w:pPr>
      <w:r w:rsidRPr="00F927F9">
        <w:rPr>
          <w:i/>
          <w:iCs/>
          <w:rtl/>
        </w:rPr>
        <w:t>يقرر أيضا</w:t>
      </w:r>
      <w:r w:rsidRPr="00F927F9">
        <w:t xml:space="preserve"> </w:t>
      </w:r>
      <w:r w:rsidRPr="00F927F9">
        <w:rPr>
          <w:rtl/>
        </w:rPr>
        <w:t>تمديد المنتدى الإلكتروني المفتوح العضوية المعني بالبيولوجيا التركيبية،</w:t>
      </w:r>
      <w:r w:rsidRPr="00F927F9">
        <w:t xml:space="preserve"> </w:t>
      </w:r>
      <w:r w:rsidRPr="00F927F9">
        <w:rPr>
          <w:rtl/>
        </w:rPr>
        <w:t>مع مراعاة العمل المتعلق بتقييم المخاطر في إطار بروتوكول قرطاجنة، لدعم مداولات</w:t>
      </w:r>
      <w:r w:rsidRPr="00F927F9">
        <w:t xml:space="preserve"> </w:t>
      </w:r>
      <w:r w:rsidRPr="00F927F9">
        <w:rPr>
          <w:rtl/>
        </w:rPr>
        <w:t>فريق الخبراء التقنيين المخصص للبيولوجيا التركيبية،</w:t>
      </w:r>
      <w:r w:rsidRPr="00F927F9">
        <w:t xml:space="preserve"> </w:t>
      </w:r>
      <w:r w:rsidRPr="00F927F9">
        <w:rPr>
          <w:i/>
          <w:iCs/>
          <w:rtl/>
        </w:rPr>
        <w:t>ويدعو</w:t>
      </w:r>
      <w:r w:rsidRPr="00F927F9">
        <w:t xml:space="preserve"> </w:t>
      </w:r>
      <w:r w:rsidRPr="00F927F9">
        <w:rPr>
          <w:rtl/>
        </w:rPr>
        <w:t>الأطراف، والحكومات الأخرى، والشعوب الأصلية والمجتمعات المحلية والمنظمات ذات</w:t>
      </w:r>
      <w:r w:rsidRPr="00F927F9">
        <w:t xml:space="preserve"> </w:t>
      </w:r>
      <w:r w:rsidRPr="00F927F9">
        <w:rPr>
          <w:rtl/>
        </w:rPr>
        <w:t>الصلة إلى مواصلة ترشيح خبراء للمشاركة في المنتدى الإلكتروني المعني بالبيولوجيا</w:t>
      </w:r>
      <w:r w:rsidRPr="00F927F9">
        <w:t xml:space="preserve"> </w:t>
      </w:r>
      <w:r w:rsidRPr="00F927F9">
        <w:rPr>
          <w:rtl/>
        </w:rPr>
        <w:t>التركيبية؛</w:t>
      </w:r>
    </w:p>
    <w:p w:rsidR="00D11ACC" w:rsidRPr="00F927F9" w:rsidRDefault="00D11ACC" w:rsidP="00CD26C5">
      <w:pPr>
        <w:numPr>
          <w:ilvl w:val="0"/>
          <w:numId w:val="67"/>
        </w:numPr>
        <w:spacing w:after="100" w:line="204" w:lineRule="auto"/>
        <w:ind w:left="0" w:firstLine="673"/>
      </w:pPr>
      <w:r w:rsidRPr="00F927F9">
        <w:rPr>
          <w:i/>
          <w:iCs/>
          <w:rtl/>
        </w:rPr>
        <w:t>يدعو</w:t>
      </w:r>
      <w:r w:rsidRPr="00F927F9">
        <w:t xml:space="preserve"> </w:t>
      </w:r>
      <w:r w:rsidRPr="00F927F9">
        <w:rPr>
          <w:rtl/>
        </w:rPr>
        <w:t xml:space="preserve">الأطراف، والحكومات الأخرى، والشعوب الأصلية والمجتمعات المحلية، </w:t>
      </w:r>
      <w:r w:rsidRPr="00F927F9">
        <w:rPr>
          <w:rFonts w:hint="cs"/>
          <w:rtl/>
        </w:rPr>
        <w:t>والمنظمات</w:t>
      </w:r>
      <w:r w:rsidRPr="00F927F9">
        <w:rPr>
          <w:rFonts w:hint="cs"/>
        </w:rPr>
        <w:t xml:space="preserve"> </w:t>
      </w:r>
      <w:r w:rsidRPr="00F927F9">
        <w:rPr>
          <w:rFonts w:hint="cs"/>
          <w:rtl/>
        </w:rPr>
        <w:t>ذات</w:t>
      </w:r>
      <w:r w:rsidRPr="00F927F9">
        <w:rPr>
          <w:rtl/>
        </w:rPr>
        <w:t xml:space="preserve"> الصلة إلى تزويد الأمينة التنفيذية بالمعلومات ذات الصلة بالفقرات</w:t>
      </w:r>
      <w:r w:rsidRPr="00F927F9">
        <w:t xml:space="preserve"> </w:t>
      </w:r>
      <w:r w:rsidRPr="00F927F9">
        <w:rPr>
          <w:rtl/>
        </w:rPr>
        <w:t xml:space="preserve">(أ) إلى (د) من المرفق </w:t>
      </w:r>
      <w:r w:rsidRPr="00F927F9">
        <w:rPr>
          <w:rFonts w:hint="cs"/>
          <w:rtl/>
        </w:rPr>
        <w:t>من أجل ا</w:t>
      </w:r>
      <w:r w:rsidRPr="00F927F9">
        <w:rPr>
          <w:rtl/>
        </w:rPr>
        <w:t>لمساهمة في عمل فريق الخبراء التقنيين المخصص؛</w:t>
      </w:r>
    </w:p>
    <w:p w:rsidR="00D11ACC" w:rsidRPr="00F927F9" w:rsidRDefault="00D11ACC" w:rsidP="00CD26C5">
      <w:pPr>
        <w:numPr>
          <w:ilvl w:val="0"/>
          <w:numId w:val="67"/>
        </w:numPr>
        <w:spacing w:after="100" w:line="204" w:lineRule="auto"/>
        <w:ind w:left="0" w:firstLine="673"/>
        <w:rPr>
          <w:rtl/>
        </w:rPr>
      </w:pPr>
      <w:r w:rsidRPr="00F927F9">
        <w:rPr>
          <w:i/>
          <w:iCs/>
          <w:rtl/>
        </w:rPr>
        <w:t>يطلب</w:t>
      </w:r>
      <w:r w:rsidRPr="00F927F9">
        <w:t xml:space="preserve"> </w:t>
      </w:r>
      <w:r w:rsidRPr="00F927F9">
        <w:rPr>
          <w:rtl/>
        </w:rPr>
        <w:t>إلى الأمينة التنفيذية</w:t>
      </w:r>
      <w:r w:rsidRPr="00F927F9">
        <w:rPr>
          <w:rFonts w:hint="cs"/>
          <w:rtl/>
        </w:rPr>
        <w:t xml:space="preserve"> القيام بما يلي</w:t>
      </w:r>
      <w:r w:rsidRPr="00F927F9">
        <w:rPr>
          <w:rtl/>
        </w:rPr>
        <w:t>، رهنا بتوافر الموارد</w:t>
      </w:r>
      <w:r w:rsidRPr="00F927F9">
        <w:t>:</w:t>
      </w:r>
    </w:p>
    <w:p w:rsidR="00D11ACC" w:rsidRPr="00F927F9" w:rsidRDefault="00D11ACC" w:rsidP="00D11ACC">
      <w:pPr>
        <w:spacing w:after="100" w:line="204" w:lineRule="auto"/>
        <w:ind w:firstLine="673"/>
        <w:rPr>
          <w:rtl/>
        </w:rPr>
      </w:pPr>
      <w:r w:rsidRPr="00F927F9">
        <w:rPr>
          <w:rtl/>
        </w:rPr>
        <w:t>(أ)</w:t>
      </w:r>
      <w:r w:rsidRPr="00F927F9">
        <w:rPr>
          <w:rtl/>
        </w:rPr>
        <w:tab/>
        <w:t>إجراء مناقشات إلكترونية على الإنترنت في إطار المنتدى الإلكتروني المفتوح العضوية المعني بالبيولوجيا التركيبية؛</w:t>
      </w:r>
    </w:p>
    <w:p w:rsidR="00D11ACC" w:rsidRPr="00F927F9" w:rsidRDefault="00D11ACC" w:rsidP="00D11ACC">
      <w:pPr>
        <w:spacing w:after="100" w:line="204" w:lineRule="auto"/>
        <w:ind w:firstLine="673"/>
      </w:pPr>
      <w:r w:rsidRPr="00F927F9">
        <w:rPr>
          <w:rtl/>
        </w:rPr>
        <w:t>(ب)</w:t>
      </w:r>
      <w:r w:rsidRPr="00F927F9">
        <w:rPr>
          <w:rtl/>
        </w:rPr>
        <w:tab/>
        <w:t xml:space="preserve">تيسير عمل فريق الخبراء التقنيين المخصص للبيولوجيا التركيبية، من خلال جملة أمور من بينها جمع </w:t>
      </w:r>
      <w:r w:rsidRPr="00F927F9">
        <w:rPr>
          <w:rFonts w:hint="cs"/>
          <w:rtl/>
        </w:rPr>
        <w:t>ا</w:t>
      </w:r>
      <w:r w:rsidRPr="00F927F9">
        <w:rPr>
          <w:rtl/>
        </w:rPr>
        <w:t xml:space="preserve">لمعلومات ذات الصلة </w:t>
      </w:r>
      <w:r w:rsidRPr="00F927F9">
        <w:rPr>
          <w:rFonts w:hint="cs"/>
          <w:rtl/>
        </w:rPr>
        <w:t xml:space="preserve">الخاضعة </w:t>
      </w:r>
      <w:r w:rsidRPr="00F927F9">
        <w:rPr>
          <w:rtl/>
        </w:rPr>
        <w:t>لاستعراض النظراء وتوليف</w:t>
      </w:r>
      <w:r w:rsidRPr="00F927F9">
        <w:rPr>
          <w:rFonts w:hint="cs"/>
          <w:rtl/>
        </w:rPr>
        <w:t>ها</w:t>
      </w:r>
      <w:r w:rsidRPr="00F927F9">
        <w:rPr>
          <w:rtl/>
        </w:rPr>
        <w:t xml:space="preserve"> وترتيب</w:t>
      </w:r>
      <w:r w:rsidRPr="00F927F9">
        <w:rPr>
          <w:rFonts w:hint="cs"/>
          <w:rtl/>
        </w:rPr>
        <w:t>ها</w:t>
      </w:r>
      <w:r w:rsidRPr="00F927F9">
        <w:rPr>
          <w:rtl/>
        </w:rPr>
        <w:t xml:space="preserve">، وعقد اجتماع واحد على الأقل </w:t>
      </w:r>
      <w:r w:rsidRPr="00F927F9">
        <w:rPr>
          <w:rFonts w:hint="cs"/>
          <w:rtl/>
        </w:rPr>
        <w:t>وجها لوجه؛</w:t>
      </w:r>
    </w:p>
    <w:p w:rsidR="00D11ACC" w:rsidRPr="00F927F9" w:rsidRDefault="00D11ACC" w:rsidP="00D11ACC">
      <w:pPr>
        <w:spacing w:after="100" w:line="204" w:lineRule="auto"/>
        <w:ind w:firstLine="673"/>
        <w:rPr>
          <w:rtl/>
        </w:rPr>
      </w:pPr>
      <w:r w:rsidRPr="00F927F9">
        <w:rPr>
          <w:rtl/>
        </w:rPr>
        <w:t>(ج)</w:t>
      </w:r>
      <w:r w:rsidRPr="00F927F9">
        <w:rPr>
          <w:rtl/>
        </w:rPr>
        <w:tab/>
      </w:r>
      <w:r w:rsidRPr="00F927F9">
        <w:rPr>
          <w:rFonts w:hint="cs"/>
          <w:rtl/>
        </w:rPr>
        <w:t>تحديث السلسلة التقنية بشأن البيولوجيا التركيبية لنظر الهيئة الفرعية للمشورة العلمية والتقنية والتكنولوجي</w:t>
      </w:r>
      <w:r>
        <w:rPr>
          <w:rFonts w:hint="cs"/>
          <w:rtl/>
        </w:rPr>
        <w:t>ة</w:t>
      </w:r>
      <w:r w:rsidRPr="00F927F9">
        <w:t xml:space="preserve"> </w:t>
      </w:r>
      <w:r w:rsidRPr="00F927F9">
        <w:rPr>
          <w:rtl/>
        </w:rPr>
        <w:t xml:space="preserve">استناداً إلى </w:t>
      </w:r>
      <w:r w:rsidRPr="00F927F9">
        <w:rPr>
          <w:rFonts w:hint="cs"/>
          <w:rtl/>
        </w:rPr>
        <w:t>استعراض</w:t>
      </w:r>
      <w:r w:rsidRPr="00F927F9">
        <w:rPr>
          <w:rtl/>
        </w:rPr>
        <w:t xml:space="preserve"> ال</w:t>
      </w:r>
      <w:r>
        <w:rPr>
          <w:rFonts w:hint="cs"/>
          <w:rtl/>
        </w:rPr>
        <w:t>نظراء</w:t>
      </w:r>
      <w:r w:rsidRPr="00F927F9">
        <w:rPr>
          <w:rtl/>
        </w:rPr>
        <w:t xml:space="preserve"> للمعلومات العلمية والمعلومات الأخرى ذات الصلة؛</w:t>
      </w:r>
    </w:p>
    <w:p w:rsidR="00D11ACC" w:rsidRPr="00F927F9" w:rsidRDefault="00D11ACC" w:rsidP="00D11ACC">
      <w:pPr>
        <w:spacing w:after="100" w:line="204" w:lineRule="auto"/>
        <w:ind w:firstLine="673"/>
        <w:rPr>
          <w:rtl/>
        </w:rPr>
      </w:pPr>
      <w:r w:rsidRPr="00F927F9">
        <w:rPr>
          <w:rFonts w:hint="cs"/>
          <w:rtl/>
        </w:rPr>
        <w:lastRenderedPageBreak/>
        <w:t>(د)</w:t>
      </w:r>
      <w:r w:rsidRPr="00F927F9">
        <w:rPr>
          <w:rFonts w:hint="cs"/>
          <w:rtl/>
        </w:rPr>
        <w:tab/>
      </w:r>
      <w:r w:rsidRPr="00F927F9">
        <w:rPr>
          <w:rtl/>
        </w:rPr>
        <w:t>مواصلة التعاون مع المنظمات والاتفاقيات والمبادرات الأخرى، بما في ذلك المؤسسات الأكاديمية والبحثية، من جميع المناطق، بشأن المسائل المتعلقة بالبيولوجيا التركيبية</w:t>
      </w:r>
      <w:r w:rsidRPr="00F927F9">
        <w:rPr>
          <w:rFonts w:hint="cs"/>
          <w:rtl/>
        </w:rPr>
        <w:t>،</w:t>
      </w:r>
      <w:r w:rsidRPr="00F927F9">
        <w:rPr>
          <w:rFonts w:hint="cs"/>
        </w:rPr>
        <w:t xml:space="preserve"> </w:t>
      </w:r>
      <w:r w:rsidRPr="00F927F9">
        <w:rPr>
          <w:rFonts w:hint="cs"/>
          <w:rtl/>
        </w:rPr>
        <w:t>بما</w:t>
      </w:r>
      <w:r w:rsidRPr="00F927F9">
        <w:rPr>
          <w:rFonts w:hint="cs"/>
        </w:rPr>
        <w:t xml:space="preserve"> </w:t>
      </w:r>
      <w:r w:rsidRPr="00F927F9">
        <w:rPr>
          <w:rFonts w:hint="cs"/>
          <w:rtl/>
        </w:rPr>
        <w:t>في</w:t>
      </w:r>
      <w:r w:rsidRPr="00F927F9">
        <w:rPr>
          <w:rFonts w:hint="cs"/>
        </w:rPr>
        <w:t xml:space="preserve"> </w:t>
      </w:r>
      <w:r w:rsidRPr="00F927F9">
        <w:rPr>
          <w:rFonts w:hint="cs"/>
          <w:rtl/>
        </w:rPr>
        <w:t>ذلك</w:t>
      </w:r>
      <w:r w:rsidRPr="00F927F9">
        <w:t xml:space="preserve"> </w:t>
      </w:r>
      <w:r w:rsidRPr="00F927F9">
        <w:rPr>
          <w:rtl/>
        </w:rPr>
        <w:t>تبادل</w:t>
      </w:r>
      <w:r w:rsidRPr="00F927F9">
        <w:rPr>
          <w:rFonts w:hint="cs"/>
        </w:rPr>
        <w:t xml:space="preserve"> </w:t>
      </w:r>
      <w:r w:rsidRPr="00F927F9">
        <w:rPr>
          <w:rFonts w:hint="cs"/>
          <w:rtl/>
        </w:rPr>
        <w:t>الخبرات</w:t>
      </w:r>
      <w:r w:rsidRPr="00F927F9">
        <w:rPr>
          <w:rFonts w:hint="cs"/>
        </w:rPr>
        <w:t xml:space="preserve"> </w:t>
      </w:r>
      <w:r w:rsidRPr="00F927F9">
        <w:rPr>
          <w:rFonts w:hint="cs"/>
          <w:rtl/>
        </w:rPr>
        <w:t>والمعلومات؛</w:t>
      </w:r>
    </w:p>
    <w:p w:rsidR="00D11ACC" w:rsidRPr="00F927F9" w:rsidRDefault="00D11ACC" w:rsidP="00D11ACC">
      <w:pPr>
        <w:spacing w:after="100" w:line="204" w:lineRule="auto"/>
        <w:ind w:firstLine="673"/>
        <w:rPr>
          <w:rtl/>
        </w:rPr>
      </w:pPr>
      <w:r w:rsidRPr="00F927F9">
        <w:rPr>
          <w:rtl/>
        </w:rPr>
        <w:t>(</w:t>
      </w:r>
      <w:r w:rsidRPr="00F927F9">
        <w:rPr>
          <w:rFonts w:hint="cs"/>
          <w:rtl/>
        </w:rPr>
        <w:t>ﻫ</w:t>
      </w:r>
      <w:r w:rsidRPr="00F927F9">
        <w:rPr>
          <w:rtl/>
        </w:rPr>
        <w:t>)</w:t>
      </w:r>
      <w:r w:rsidRPr="00F927F9">
        <w:rPr>
          <w:rtl/>
        </w:rPr>
        <w:tab/>
        <w:t xml:space="preserve">استكشاف </w:t>
      </w:r>
      <w:r w:rsidRPr="00F927F9">
        <w:rPr>
          <w:rFonts w:hint="cs"/>
          <w:rtl/>
        </w:rPr>
        <w:t>وسائل</w:t>
      </w:r>
      <w:r w:rsidRPr="00F927F9">
        <w:rPr>
          <w:rtl/>
        </w:rPr>
        <w:t xml:space="preserve"> لتيسير وتعزيز ودعم بناء القدرات و</w:t>
      </w:r>
      <w:r w:rsidRPr="00F927F9">
        <w:rPr>
          <w:rFonts w:hint="cs"/>
          <w:rtl/>
        </w:rPr>
        <w:t>تبادل</w:t>
      </w:r>
      <w:r w:rsidRPr="00F927F9">
        <w:rPr>
          <w:rtl/>
        </w:rPr>
        <w:t xml:space="preserve"> المعارف فيما يتعلق بالبيولوجيا التركيبية، مع مراعاة احتياجات الأطراف والشعوب الأصلية والمجتمعات المحلية، بما في ذلك من خلال التمويل اللازم، </w:t>
      </w:r>
      <w:r w:rsidRPr="00F927F9">
        <w:rPr>
          <w:rFonts w:hint="cs"/>
          <w:rtl/>
        </w:rPr>
        <w:t>وال</w:t>
      </w:r>
      <w:r w:rsidRPr="00F927F9">
        <w:rPr>
          <w:rtl/>
        </w:rPr>
        <w:t xml:space="preserve">تصميم </w:t>
      </w:r>
      <w:r w:rsidRPr="00F927F9">
        <w:rPr>
          <w:rFonts w:hint="cs"/>
          <w:rtl/>
        </w:rPr>
        <w:t>المشترك للمعلومات وال</w:t>
      </w:r>
      <w:r w:rsidRPr="00F927F9">
        <w:rPr>
          <w:rtl/>
        </w:rPr>
        <w:t>مواد التدريب</w:t>
      </w:r>
      <w:r w:rsidRPr="00F927F9">
        <w:rPr>
          <w:rFonts w:hint="cs"/>
          <w:rtl/>
        </w:rPr>
        <w:t>ية</w:t>
      </w:r>
      <w:r w:rsidRPr="00F927F9">
        <w:rPr>
          <w:rtl/>
        </w:rPr>
        <w:t xml:space="preserve"> </w:t>
      </w:r>
      <w:r w:rsidRPr="00F927F9">
        <w:rPr>
          <w:rFonts w:hint="cs"/>
          <w:rtl/>
        </w:rPr>
        <w:t>باللغات الرسمية للأمم المتحدة، وكلما أمكن، باللغات المحلي</w:t>
      </w:r>
      <w:r w:rsidRPr="00F927F9">
        <w:rPr>
          <w:rtl/>
        </w:rPr>
        <w:t>ة</w:t>
      </w:r>
      <w:r w:rsidRPr="00F927F9">
        <w:rPr>
          <w:rFonts w:hint="cs"/>
          <w:rtl/>
        </w:rPr>
        <w:t>؛</w:t>
      </w:r>
    </w:p>
    <w:p w:rsidR="00D11ACC" w:rsidRPr="00F927F9" w:rsidRDefault="00D11ACC" w:rsidP="00D11ACC">
      <w:pPr>
        <w:spacing w:after="100" w:line="204" w:lineRule="auto"/>
        <w:ind w:firstLine="673"/>
        <w:rPr>
          <w:rtl/>
        </w:rPr>
      </w:pPr>
      <w:r w:rsidRPr="00F927F9">
        <w:rPr>
          <w:rFonts w:hint="cs"/>
          <w:rtl/>
        </w:rPr>
        <w:t>(و)</w:t>
      </w:r>
      <w:r w:rsidRPr="00F927F9">
        <w:rPr>
          <w:rFonts w:hint="cs"/>
          <w:rtl/>
        </w:rPr>
        <w:tab/>
      </w:r>
      <w:r w:rsidRPr="00F927F9">
        <w:rPr>
          <w:rFonts w:ascii="Simplified Arabic" w:hAnsi="Simplified Arabic"/>
          <w:sz w:val="20"/>
          <w:rtl/>
        </w:rPr>
        <w:t>التعاون وعقد مناقشات، بما في ذلك من خلال شبكة المختبرات للكشف عن الكائنات الحية المحورة</w:t>
      </w:r>
      <w:r w:rsidRPr="00DC6CF4">
        <w:rPr>
          <w:rFonts w:ascii="Simplified Arabic" w:hAnsi="Simplified Arabic"/>
          <w:sz w:val="20"/>
          <w:rtl/>
        </w:rPr>
        <w:t xml:space="preserve"> </w:t>
      </w:r>
      <w:r w:rsidRPr="00F927F9">
        <w:rPr>
          <w:rFonts w:ascii="Simplified Arabic" w:hAnsi="Simplified Arabic"/>
          <w:sz w:val="20"/>
          <w:rtl/>
        </w:rPr>
        <w:t>وتحديد هويتها</w:t>
      </w:r>
      <w:r w:rsidRPr="00D2011A">
        <w:rPr>
          <w:rFonts w:ascii="Simplified Arabic" w:hAnsi="Simplified Arabic" w:hint="cs"/>
          <w:sz w:val="20"/>
          <w:rtl/>
        </w:rPr>
        <w:t>،</w:t>
      </w:r>
      <w:r w:rsidRPr="00F927F9">
        <w:rPr>
          <w:rFonts w:ascii="Simplified Arabic" w:hAnsi="Simplified Arabic"/>
          <w:sz w:val="20"/>
          <w:vertAlign w:val="superscript"/>
          <w:rtl/>
        </w:rPr>
        <w:footnoteReference w:id="261"/>
      </w:r>
      <w:r w:rsidRPr="00F927F9">
        <w:rPr>
          <w:rFonts w:ascii="Simplified Arabic" w:hAnsi="Simplified Arabic"/>
          <w:sz w:val="20"/>
          <w:rtl/>
        </w:rPr>
        <w:t xml:space="preserve"> </w:t>
      </w:r>
      <w:r w:rsidRPr="00F927F9">
        <w:rPr>
          <w:rFonts w:ascii="Simplified Arabic" w:hAnsi="Simplified Arabic" w:hint="cs"/>
          <w:sz w:val="20"/>
          <w:rtl/>
        </w:rPr>
        <w:t>من</w:t>
      </w:r>
      <w:r w:rsidRPr="00F927F9">
        <w:rPr>
          <w:rFonts w:ascii="Simplified Arabic" w:hAnsi="Simplified Arabic" w:hint="cs"/>
          <w:sz w:val="20"/>
        </w:rPr>
        <w:t xml:space="preserve"> </w:t>
      </w:r>
      <w:r w:rsidRPr="00F927F9">
        <w:rPr>
          <w:rFonts w:ascii="Simplified Arabic" w:hAnsi="Simplified Arabic" w:hint="cs"/>
          <w:sz w:val="20"/>
          <w:rtl/>
        </w:rPr>
        <w:t>أجل</w:t>
      </w:r>
      <w:r w:rsidRPr="00F927F9">
        <w:rPr>
          <w:rFonts w:ascii="Simplified Arabic" w:hAnsi="Simplified Arabic" w:hint="cs"/>
          <w:sz w:val="20"/>
        </w:rPr>
        <w:t xml:space="preserve"> </w:t>
      </w:r>
      <w:r w:rsidRPr="00F927F9">
        <w:rPr>
          <w:rFonts w:ascii="Simplified Arabic" w:hAnsi="Simplified Arabic"/>
          <w:sz w:val="20"/>
          <w:rtl/>
        </w:rPr>
        <w:t xml:space="preserve">تبادل الخبرات </w:t>
      </w:r>
      <w:r w:rsidRPr="00F927F9">
        <w:rPr>
          <w:rFonts w:ascii="Simplified Arabic" w:hAnsi="Simplified Arabic" w:hint="cs"/>
          <w:sz w:val="20"/>
          <w:rtl/>
        </w:rPr>
        <w:t>في</w:t>
      </w:r>
      <w:r w:rsidRPr="00F927F9">
        <w:rPr>
          <w:rFonts w:ascii="Simplified Arabic" w:hAnsi="Simplified Arabic" w:hint="cs"/>
          <w:sz w:val="20"/>
        </w:rPr>
        <w:t xml:space="preserve"> </w:t>
      </w:r>
      <w:r w:rsidRPr="00F927F9">
        <w:rPr>
          <w:rFonts w:ascii="Simplified Arabic" w:hAnsi="Simplified Arabic" w:hint="cs"/>
          <w:sz w:val="20"/>
          <w:rtl/>
        </w:rPr>
        <w:t>مجال</w:t>
      </w:r>
      <w:r w:rsidRPr="00F927F9">
        <w:rPr>
          <w:rFonts w:ascii="Simplified Arabic" w:hAnsi="Simplified Arabic"/>
          <w:sz w:val="20"/>
          <w:rtl/>
        </w:rPr>
        <w:t xml:space="preserve"> </w:t>
      </w:r>
      <w:r>
        <w:rPr>
          <w:rFonts w:ascii="Simplified Arabic" w:hAnsi="Simplified Arabic" w:hint="cs"/>
          <w:sz w:val="20"/>
          <w:rtl/>
        </w:rPr>
        <w:t>ال</w:t>
      </w:r>
      <w:r w:rsidRPr="00F927F9">
        <w:rPr>
          <w:rFonts w:ascii="Simplified Arabic" w:hAnsi="Simplified Arabic"/>
          <w:sz w:val="20"/>
          <w:rtl/>
        </w:rPr>
        <w:t xml:space="preserve">كشف </w:t>
      </w:r>
      <w:r>
        <w:rPr>
          <w:rFonts w:ascii="Simplified Arabic" w:hAnsi="Simplified Arabic" w:hint="cs"/>
          <w:sz w:val="20"/>
          <w:rtl/>
        </w:rPr>
        <w:t xml:space="preserve">عن </w:t>
      </w:r>
      <w:r w:rsidRPr="00F927F9">
        <w:rPr>
          <w:rFonts w:ascii="Simplified Arabic" w:hAnsi="Simplified Arabic"/>
          <w:sz w:val="20"/>
          <w:rtl/>
        </w:rPr>
        <w:t xml:space="preserve">كائنات ومكونات ومنتجات البيولوجيا </w:t>
      </w:r>
      <w:r w:rsidRPr="00F927F9">
        <w:rPr>
          <w:rtl/>
        </w:rPr>
        <w:t>التركيبية</w:t>
      </w:r>
      <w:r w:rsidRPr="00F927F9">
        <w:rPr>
          <w:rFonts w:hint="cs"/>
        </w:rPr>
        <w:t xml:space="preserve"> </w:t>
      </w:r>
      <w:r w:rsidRPr="00F927F9">
        <w:rPr>
          <w:rFonts w:ascii="Simplified Arabic" w:hAnsi="Simplified Arabic"/>
          <w:sz w:val="20"/>
          <w:rtl/>
        </w:rPr>
        <w:t>وتحديد</w:t>
      </w:r>
      <w:r w:rsidRPr="00F927F9">
        <w:rPr>
          <w:rFonts w:ascii="Simplified Arabic" w:hAnsi="Simplified Arabic" w:hint="cs"/>
          <w:sz w:val="20"/>
        </w:rPr>
        <w:t xml:space="preserve"> </w:t>
      </w:r>
      <w:r w:rsidRPr="00F927F9">
        <w:rPr>
          <w:rFonts w:ascii="Simplified Arabic" w:hAnsi="Simplified Arabic" w:hint="cs"/>
          <w:sz w:val="20"/>
          <w:rtl/>
        </w:rPr>
        <w:t>هويتها</w:t>
      </w:r>
      <w:r w:rsidRPr="00F927F9">
        <w:rPr>
          <w:rFonts w:ascii="Simplified Arabic" w:hAnsi="Simplified Arabic"/>
          <w:sz w:val="20"/>
          <w:rtl/>
        </w:rPr>
        <w:t xml:space="preserve"> و</w:t>
      </w:r>
      <w:r w:rsidRPr="00F927F9">
        <w:rPr>
          <w:rFonts w:ascii="Simplified Arabic" w:hAnsi="Simplified Arabic" w:hint="cs"/>
          <w:sz w:val="20"/>
          <w:rtl/>
        </w:rPr>
        <w:t>رصدها</w:t>
      </w:r>
      <w:r w:rsidRPr="00F927F9">
        <w:rPr>
          <w:rFonts w:ascii="Simplified Arabic" w:hAnsi="Simplified Arabic"/>
          <w:sz w:val="20"/>
          <w:rtl/>
        </w:rPr>
        <w:t>، ومواصلة دعوة المختبرات، بما في</w:t>
      </w:r>
      <w:r w:rsidRPr="00F927F9">
        <w:rPr>
          <w:rFonts w:ascii="Simplified Arabic" w:hAnsi="Simplified Arabic" w:hint="cs"/>
          <w:sz w:val="20"/>
        </w:rPr>
        <w:t xml:space="preserve"> </w:t>
      </w:r>
      <w:r w:rsidRPr="00F927F9">
        <w:rPr>
          <w:rFonts w:ascii="Simplified Arabic" w:hAnsi="Simplified Arabic" w:hint="cs"/>
          <w:sz w:val="20"/>
          <w:rtl/>
        </w:rPr>
        <w:t>ذلك</w:t>
      </w:r>
      <w:r w:rsidRPr="00F927F9">
        <w:rPr>
          <w:rFonts w:ascii="Simplified Arabic" w:hAnsi="Simplified Arabic"/>
          <w:sz w:val="20"/>
          <w:rtl/>
        </w:rPr>
        <w:t xml:space="preserve"> </w:t>
      </w:r>
      <w:r w:rsidRPr="00F927F9">
        <w:rPr>
          <w:rFonts w:ascii="Simplified Arabic" w:hAnsi="Simplified Arabic" w:hint="cs"/>
          <w:sz w:val="20"/>
          <w:rtl/>
        </w:rPr>
        <w:t>ال</w:t>
      </w:r>
      <w:r w:rsidRPr="00F927F9">
        <w:rPr>
          <w:rFonts w:ascii="Simplified Arabic" w:hAnsi="Simplified Arabic"/>
          <w:sz w:val="20"/>
          <w:rtl/>
        </w:rPr>
        <w:t>مختبرات</w:t>
      </w:r>
      <w:r w:rsidRPr="00F927F9">
        <w:rPr>
          <w:rFonts w:ascii="Simplified Arabic" w:hAnsi="Simplified Arabic" w:hint="cs"/>
          <w:sz w:val="20"/>
        </w:rPr>
        <w:t xml:space="preserve"> </w:t>
      </w:r>
      <w:r w:rsidRPr="00F927F9">
        <w:rPr>
          <w:rFonts w:ascii="Simplified Arabic" w:hAnsi="Simplified Arabic"/>
          <w:sz w:val="20"/>
          <w:rtl/>
        </w:rPr>
        <w:t>التحليلية، للانضمام إلى الشبكة؛</w:t>
      </w:r>
    </w:p>
    <w:p w:rsidR="00D11ACC" w:rsidRPr="00F927F9" w:rsidRDefault="00D11ACC" w:rsidP="00D11ACC">
      <w:pPr>
        <w:spacing w:after="100" w:line="204" w:lineRule="auto"/>
        <w:ind w:firstLine="673"/>
        <w:rPr>
          <w:rtl/>
        </w:rPr>
      </w:pPr>
      <w:r w:rsidRPr="00F927F9">
        <w:rPr>
          <w:rFonts w:hint="cs"/>
          <w:rtl/>
        </w:rPr>
        <w:t>(ز)</w:t>
      </w:r>
      <w:r w:rsidRPr="00F927F9">
        <w:rPr>
          <w:rFonts w:hint="cs"/>
          <w:rtl/>
        </w:rPr>
        <w:tab/>
        <w:t xml:space="preserve">ضمان المشاركة الكاملة والفعالة للشعوب الأصلية والمجتمعات المحلية في المناقشات </w:t>
      </w:r>
      <w:r>
        <w:rPr>
          <w:rFonts w:hint="cs"/>
          <w:rtl/>
        </w:rPr>
        <w:t>وفي الأعمال المتعلقة</w:t>
      </w:r>
      <w:r w:rsidRPr="00F927F9">
        <w:rPr>
          <w:rFonts w:hint="cs"/>
          <w:rtl/>
        </w:rPr>
        <w:t xml:space="preserve"> </w:t>
      </w:r>
      <w:r>
        <w:rPr>
          <w:rFonts w:hint="cs"/>
          <w:rtl/>
        </w:rPr>
        <w:t>ب</w:t>
      </w:r>
      <w:r w:rsidRPr="00F927F9">
        <w:rPr>
          <w:rFonts w:hint="cs"/>
          <w:rtl/>
        </w:rPr>
        <w:t>البيولوجيا التركيبية</w:t>
      </w:r>
      <w:r>
        <w:rPr>
          <w:rFonts w:hint="cs"/>
          <w:rtl/>
        </w:rPr>
        <w:t xml:space="preserve"> في إطار الاتفاقية</w:t>
      </w:r>
      <w:r w:rsidRPr="00F927F9">
        <w:rPr>
          <w:rFonts w:hint="cs"/>
          <w:rtl/>
        </w:rPr>
        <w:t>، وفقا للمقرر 10/40؛</w:t>
      </w:r>
    </w:p>
    <w:p w:rsidR="00D11ACC" w:rsidRPr="00F927F9" w:rsidRDefault="00D11ACC" w:rsidP="00CD26C5">
      <w:pPr>
        <w:numPr>
          <w:ilvl w:val="0"/>
          <w:numId w:val="67"/>
        </w:numPr>
        <w:spacing w:after="100" w:line="204" w:lineRule="auto"/>
        <w:ind w:left="0" w:firstLine="673"/>
      </w:pPr>
      <w:r w:rsidRPr="00F927F9">
        <w:rPr>
          <w:i/>
          <w:iCs/>
          <w:rtl/>
        </w:rPr>
        <w:t>يطلب</w:t>
      </w:r>
      <w:r w:rsidRPr="00F927F9">
        <w:rPr>
          <w:rtl/>
        </w:rPr>
        <w:t xml:space="preserve"> إلى الهيئة الفرعية </w:t>
      </w:r>
      <w:r w:rsidRPr="00F927F9">
        <w:rPr>
          <w:rFonts w:hint="cs"/>
          <w:rtl/>
        </w:rPr>
        <w:t>ل</w:t>
      </w:r>
      <w:r w:rsidRPr="00F927F9">
        <w:rPr>
          <w:rtl/>
        </w:rPr>
        <w:t>لمشورة العلمية والتقنية والتكنولوجية</w:t>
      </w:r>
      <w:r w:rsidRPr="00F927F9">
        <w:rPr>
          <w:rFonts w:hint="cs"/>
          <w:rtl/>
        </w:rPr>
        <w:t xml:space="preserve"> القيام بما يلي:</w:t>
      </w:r>
    </w:p>
    <w:p w:rsidR="00D11ACC" w:rsidRPr="00F927F9" w:rsidRDefault="00D11ACC" w:rsidP="00CD26C5">
      <w:pPr>
        <w:numPr>
          <w:ilvl w:val="0"/>
          <w:numId w:val="68"/>
        </w:numPr>
        <w:spacing w:after="100" w:line="204" w:lineRule="auto"/>
        <w:ind w:left="0" w:firstLine="673"/>
        <w:rPr>
          <w:rFonts w:eastAsia="Malgun Gothic"/>
          <w:lang w:val="en-GB"/>
        </w:rPr>
      </w:pPr>
      <w:r w:rsidRPr="00F927F9">
        <w:rPr>
          <w:rFonts w:eastAsia="Malgun Gothic" w:hint="cs"/>
          <w:rtl/>
          <w:lang w:val="en-GB"/>
        </w:rPr>
        <w:t>ال</w:t>
      </w:r>
      <w:r w:rsidRPr="00F927F9">
        <w:rPr>
          <w:rFonts w:eastAsia="Malgun Gothic"/>
          <w:rtl/>
          <w:lang w:val="en-GB"/>
        </w:rPr>
        <w:t>نظر في أعمال</w:t>
      </w:r>
      <w:r w:rsidRPr="00F927F9">
        <w:rPr>
          <w:rFonts w:eastAsia="Malgun Gothic" w:hint="cs"/>
          <w:rtl/>
          <w:lang w:val="en-GB"/>
        </w:rPr>
        <w:t xml:space="preserve"> المنتدى الإلكتروني المفتوح العضوية و</w:t>
      </w:r>
      <w:r w:rsidRPr="00F927F9">
        <w:rPr>
          <w:rFonts w:eastAsia="Malgun Gothic"/>
          <w:rtl/>
          <w:lang w:val="en-GB"/>
        </w:rPr>
        <w:t>فريق الخبراء التقنيين المخصص للبيولوجيا التركيبية</w:t>
      </w:r>
      <w:r w:rsidRPr="00F927F9">
        <w:rPr>
          <w:rFonts w:eastAsia="Malgun Gothic" w:hint="cs"/>
          <w:rtl/>
          <w:lang w:val="en-GB"/>
        </w:rPr>
        <w:t>؛</w:t>
      </w:r>
    </w:p>
    <w:p w:rsidR="00D11ACC" w:rsidRPr="00F927F9" w:rsidRDefault="00D11ACC" w:rsidP="00D11ACC">
      <w:pPr>
        <w:spacing w:after="100" w:line="204" w:lineRule="auto"/>
        <w:ind w:firstLine="673"/>
        <w:rPr>
          <w:rtl/>
        </w:rPr>
      </w:pPr>
      <w:r w:rsidRPr="00F927F9">
        <w:rPr>
          <w:rFonts w:hint="cs"/>
          <w:rtl/>
        </w:rPr>
        <w:t>(ب)</w:t>
      </w:r>
      <w:r w:rsidRPr="00F927F9">
        <w:rPr>
          <w:rFonts w:hint="cs"/>
          <w:rtl/>
        </w:rPr>
        <w:tab/>
      </w:r>
      <w:r>
        <w:rPr>
          <w:rFonts w:ascii="Simplified Arabic" w:hAnsi="Simplified Arabic"/>
          <w:sz w:val="20"/>
          <w:rtl/>
        </w:rPr>
        <w:t>ملاحظة التحليل الأولي</w:t>
      </w:r>
      <w:r w:rsidRPr="00F927F9">
        <w:rPr>
          <w:rFonts w:ascii="Simplified Arabic" w:hAnsi="Simplified Arabic"/>
          <w:sz w:val="20"/>
          <w:rtl/>
        </w:rPr>
        <w:t xml:space="preserve"> ال</w:t>
      </w:r>
      <w:r>
        <w:rPr>
          <w:rFonts w:ascii="Simplified Arabic" w:hAnsi="Simplified Arabic" w:hint="cs"/>
          <w:sz w:val="20"/>
          <w:rtl/>
        </w:rPr>
        <w:t>ذ</w:t>
      </w:r>
      <w:r w:rsidRPr="00F927F9">
        <w:rPr>
          <w:rFonts w:ascii="Simplified Arabic" w:hAnsi="Simplified Arabic"/>
          <w:sz w:val="20"/>
          <w:rtl/>
        </w:rPr>
        <w:t>ي أجر</w:t>
      </w:r>
      <w:r w:rsidRPr="00F927F9">
        <w:rPr>
          <w:rFonts w:ascii="Simplified Arabic" w:hAnsi="Simplified Arabic" w:hint="cs"/>
          <w:sz w:val="20"/>
          <w:rtl/>
        </w:rPr>
        <w:t>ت</w:t>
      </w:r>
      <w:r>
        <w:rPr>
          <w:rFonts w:ascii="Simplified Arabic" w:hAnsi="Simplified Arabic"/>
          <w:sz w:val="20"/>
          <w:rtl/>
        </w:rPr>
        <w:t>ه</w:t>
      </w:r>
      <w:r w:rsidRPr="00F927F9">
        <w:rPr>
          <w:rFonts w:ascii="Simplified Arabic" w:hAnsi="Simplified Arabic"/>
          <w:sz w:val="20"/>
          <w:rtl/>
        </w:rPr>
        <w:t xml:space="preserve"> الأمين</w:t>
      </w:r>
      <w:r w:rsidRPr="00F927F9">
        <w:rPr>
          <w:rFonts w:ascii="Simplified Arabic" w:hAnsi="Simplified Arabic" w:hint="cs"/>
          <w:sz w:val="20"/>
          <w:rtl/>
        </w:rPr>
        <w:t>ة</w:t>
      </w:r>
      <w:r w:rsidRPr="00F927F9">
        <w:rPr>
          <w:rFonts w:ascii="Simplified Arabic" w:hAnsi="Simplified Arabic"/>
          <w:sz w:val="20"/>
          <w:rtl/>
        </w:rPr>
        <w:t xml:space="preserve"> التنفيذي</w:t>
      </w:r>
      <w:r w:rsidRPr="00F927F9">
        <w:rPr>
          <w:rFonts w:ascii="Simplified Arabic" w:hAnsi="Simplified Arabic" w:hint="cs"/>
          <w:sz w:val="20"/>
          <w:rtl/>
        </w:rPr>
        <w:t>ة</w:t>
      </w:r>
      <w:r w:rsidRPr="00F927F9">
        <w:rPr>
          <w:rFonts w:ascii="Simplified Arabic" w:hAnsi="Simplified Arabic"/>
          <w:sz w:val="20"/>
          <w:vertAlign w:val="superscript"/>
          <w:rtl/>
        </w:rPr>
        <w:footnoteReference w:id="262"/>
      </w:r>
      <w:r w:rsidRPr="00F927F9">
        <w:rPr>
          <w:rFonts w:ascii="Simplified Arabic" w:hAnsi="Simplified Arabic"/>
          <w:sz w:val="20"/>
          <w:rtl/>
        </w:rPr>
        <w:t xml:space="preserve"> والنظر في المزيد من التحليلات والمشورة من فريق الخبراء التقنيين المخصص للبيولوجيا التركيبية </w:t>
      </w:r>
      <w:r w:rsidRPr="00F927F9">
        <w:rPr>
          <w:rFonts w:ascii="Simplified Arabic" w:hAnsi="Simplified Arabic" w:hint="cs"/>
          <w:sz w:val="20"/>
          <w:rtl/>
        </w:rPr>
        <w:t>بشأن</w:t>
      </w:r>
      <w:r w:rsidRPr="00F927F9">
        <w:rPr>
          <w:rFonts w:ascii="Simplified Arabic" w:hAnsi="Simplified Arabic" w:hint="cs"/>
          <w:sz w:val="20"/>
        </w:rPr>
        <w:t xml:space="preserve"> </w:t>
      </w:r>
      <w:r w:rsidRPr="00F927F9">
        <w:rPr>
          <w:rFonts w:ascii="Simplified Arabic" w:hAnsi="Simplified Arabic" w:hint="cs"/>
          <w:sz w:val="20"/>
          <w:rtl/>
        </w:rPr>
        <w:t>ا</w:t>
      </w:r>
      <w:r w:rsidRPr="00F927F9">
        <w:rPr>
          <w:rFonts w:ascii="Simplified Arabic" w:hAnsi="Simplified Arabic"/>
          <w:sz w:val="20"/>
          <w:rtl/>
        </w:rPr>
        <w:t xml:space="preserve">لعلاقة بين البيولوجيا التركيبية والمعايير </w:t>
      </w:r>
      <w:r w:rsidRPr="00F927F9">
        <w:rPr>
          <w:rFonts w:hint="cs"/>
          <w:sz w:val="20"/>
          <w:rtl/>
        </w:rPr>
        <w:t xml:space="preserve">المنصوص عليها في </w:t>
      </w:r>
      <w:r>
        <w:rPr>
          <w:rFonts w:hint="cs"/>
          <w:sz w:val="20"/>
          <w:rtl/>
        </w:rPr>
        <w:t xml:space="preserve">الفقرة 12 من </w:t>
      </w:r>
      <w:r w:rsidRPr="00F927F9">
        <w:rPr>
          <w:rFonts w:hint="cs"/>
          <w:sz w:val="20"/>
          <w:rtl/>
        </w:rPr>
        <w:t>المقرر 9/29</w:t>
      </w:r>
      <w:r>
        <w:rPr>
          <w:rFonts w:hint="cs"/>
          <w:sz w:val="20"/>
          <w:rtl/>
        </w:rPr>
        <w:t xml:space="preserve">، </w:t>
      </w:r>
      <w:r w:rsidRPr="00F927F9">
        <w:rPr>
          <w:rFonts w:hint="cs"/>
          <w:sz w:val="20"/>
          <w:rtl/>
        </w:rPr>
        <w:t xml:space="preserve">من أجل المساهمة في استكمال التحليل المطلوب في </w:t>
      </w:r>
      <w:r>
        <w:rPr>
          <w:rFonts w:hint="cs"/>
          <w:sz w:val="20"/>
          <w:rtl/>
        </w:rPr>
        <w:t xml:space="preserve">الفقرة 2 من </w:t>
      </w:r>
      <w:r w:rsidRPr="00F927F9">
        <w:rPr>
          <w:rFonts w:hint="cs"/>
          <w:sz w:val="20"/>
          <w:rtl/>
        </w:rPr>
        <w:t>المقرر 12/24</w:t>
      </w:r>
      <w:r w:rsidRPr="00F927F9">
        <w:rPr>
          <w:rFonts w:ascii="Simplified Arabic" w:hAnsi="Simplified Arabic"/>
          <w:sz w:val="20"/>
          <w:rtl/>
        </w:rPr>
        <w:t>؛</w:t>
      </w:r>
    </w:p>
    <w:p w:rsidR="00D11ACC" w:rsidRPr="00F927F9" w:rsidRDefault="00D11ACC" w:rsidP="00D11ACC">
      <w:pPr>
        <w:spacing w:after="100" w:line="204" w:lineRule="auto"/>
        <w:ind w:firstLine="673"/>
        <w:rPr>
          <w:rtl/>
        </w:rPr>
      </w:pPr>
      <w:r w:rsidRPr="00F927F9">
        <w:rPr>
          <w:rFonts w:hint="cs"/>
          <w:rtl/>
        </w:rPr>
        <w:t>(ج)</w:t>
      </w:r>
      <w:r w:rsidRPr="00F927F9">
        <w:rPr>
          <w:rFonts w:hint="cs"/>
          <w:rtl/>
        </w:rPr>
        <w:tab/>
      </w:r>
      <w:r w:rsidRPr="00F927F9">
        <w:rPr>
          <w:rtl/>
        </w:rPr>
        <w:t>تقد</w:t>
      </w:r>
      <w:r w:rsidRPr="00F927F9">
        <w:rPr>
          <w:rFonts w:hint="cs"/>
          <w:rtl/>
        </w:rPr>
        <w:t>ي</w:t>
      </w:r>
      <w:r w:rsidRPr="00F927F9">
        <w:rPr>
          <w:rtl/>
        </w:rPr>
        <w:t>م توصية إلى مؤتمر الأطراف في اجتماعه الخامس عشر.</w:t>
      </w:r>
    </w:p>
    <w:p w:rsidR="00D11ACC" w:rsidRPr="00F927F9" w:rsidRDefault="00D11ACC" w:rsidP="00D11ACC">
      <w:pPr>
        <w:spacing w:after="100" w:line="204" w:lineRule="auto"/>
        <w:jc w:val="center"/>
        <w:rPr>
          <w:i/>
          <w:iCs/>
          <w:sz w:val="20"/>
          <w:rtl/>
        </w:rPr>
      </w:pPr>
      <w:r w:rsidRPr="00F927F9">
        <w:rPr>
          <w:rFonts w:hint="cs"/>
          <w:i/>
          <w:iCs/>
          <w:sz w:val="20"/>
          <w:rtl/>
        </w:rPr>
        <w:t>المرفق</w:t>
      </w:r>
    </w:p>
    <w:p w:rsidR="00D11ACC" w:rsidRPr="00F927F9" w:rsidRDefault="00D11ACC" w:rsidP="00D11ACC">
      <w:pPr>
        <w:spacing w:after="100" w:line="204" w:lineRule="auto"/>
        <w:jc w:val="center"/>
        <w:rPr>
          <w:b/>
          <w:bCs/>
          <w:sz w:val="20"/>
          <w:rtl/>
        </w:rPr>
      </w:pPr>
      <w:r w:rsidRPr="00F927F9">
        <w:rPr>
          <w:rFonts w:hint="cs"/>
          <w:b/>
          <w:bCs/>
          <w:sz w:val="20"/>
          <w:rtl/>
        </w:rPr>
        <w:t>اختصاصات فريق الخبراء التقنيين المخصص للبيولوجيا التركيبية</w:t>
      </w:r>
    </w:p>
    <w:p w:rsidR="00D11ACC" w:rsidRPr="00F927F9" w:rsidRDefault="00D11ACC" w:rsidP="00D11ACC">
      <w:pPr>
        <w:spacing w:after="100" w:line="204" w:lineRule="auto"/>
        <w:rPr>
          <w:sz w:val="20"/>
          <w:rtl/>
        </w:rPr>
      </w:pPr>
      <w:r w:rsidRPr="00F927F9">
        <w:rPr>
          <w:rFonts w:hint="cs"/>
          <w:sz w:val="20"/>
          <w:rtl/>
        </w:rPr>
        <w:t>ينبغي أن يقوم فريق الخبراء التقنيين المخصص للبيولوجيا التركيبية بما يلي:</w:t>
      </w:r>
    </w:p>
    <w:p w:rsidR="00D11ACC" w:rsidRPr="00F927F9" w:rsidRDefault="00D11ACC" w:rsidP="00D11ACC">
      <w:pPr>
        <w:spacing w:after="100" w:line="204" w:lineRule="auto"/>
        <w:ind w:firstLine="720"/>
        <w:rPr>
          <w:sz w:val="20"/>
          <w:rtl/>
        </w:rPr>
      </w:pPr>
      <w:r w:rsidRPr="00F927F9">
        <w:rPr>
          <w:rFonts w:hint="cs"/>
          <w:sz w:val="20"/>
          <w:rtl/>
        </w:rPr>
        <w:t>(أ)</w:t>
      </w:r>
      <w:r w:rsidRPr="00F927F9">
        <w:rPr>
          <w:rFonts w:hint="cs"/>
          <w:sz w:val="20"/>
          <w:rtl/>
        </w:rPr>
        <w:tab/>
      </w:r>
      <w:r w:rsidRPr="00F927F9">
        <w:rPr>
          <w:rFonts w:ascii="Simplified Arabic" w:hAnsi="Simplified Arabic"/>
          <w:sz w:val="20"/>
          <w:rtl/>
        </w:rPr>
        <w:t xml:space="preserve">تقديم مشورة بشأن العلاقة بين البيولوجيا التركيبية والمعايير </w:t>
      </w:r>
      <w:r w:rsidRPr="00F927F9">
        <w:rPr>
          <w:rFonts w:hint="cs"/>
          <w:sz w:val="20"/>
          <w:rtl/>
        </w:rPr>
        <w:t xml:space="preserve">المنصوص عليها في </w:t>
      </w:r>
      <w:r>
        <w:rPr>
          <w:rFonts w:hint="cs"/>
          <w:sz w:val="20"/>
          <w:rtl/>
        </w:rPr>
        <w:t xml:space="preserve">الفقرة 12 من </w:t>
      </w:r>
      <w:r w:rsidRPr="00F927F9">
        <w:rPr>
          <w:rFonts w:hint="cs"/>
          <w:sz w:val="20"/>
          <w:rtl/>
        </w:rPr>
        <w:t>المقرر 9/29</w:t>
      </w:r>
      <w:r>
        <w:rPr>
          <w:rFonts w:hint="cs"/>
          <w:sz w:val="20"/>
          <w:rtl/>
        </w:rPr>
        <w:t xml:space="preserve">، </w:t>
      </w:r>
      <w:r w:rsidRPr="00F927F9">
        <w:rPr>
          <w:rFonts w:hint="cs"/>
          <w:sz w:val="20"/>
          <w:rtl/>
        </w:rPr>
        <w:t xml:space="preserve">من أجل المساهمة في استكمال التقييم المطلوب في </w:t>
      </w:r>
      <w:r>
        <w:rPr>
          <w:rFonts w:hint="cs"/>
          <w:sz w:val="20"/>
          <w:rtl/>
        </w:rPr>
        <w:t xml:space="preserve">الفقرة 2 من </w:t>
      </w:r>
      <w:r w:rsidRPr="00F927F9">
        <w:rPr>
          <w:rFonts w:hint="cs"/>
          <w:sz w:val="20"/>
          <w:rtl/>
        </w:rPr>
        <w:t>المقرر 12/24</w:t>
      </w:r>
      <w:r w:rsidRPr="00F927F9">
        <w:rPr>
          <w:rFonts w:ascii="Simplified Arabic" w:hAnsi="Simplified Arabic"/>
          <w:sz w:val="20"/>
          <w:rtl/>
        </w:rPr>
        <w:t>، بالاستناد إلى التحليل الأولي الذي أعد</w:t>
      </w:r>
      <w:r w:rsidRPr="00F927F9">
        <w:rPr>
          <w:rFonts w:ascii="Simplified Arabic" w:hAnsi="Simplified Arabic" w:hint="cs"/>
          <w:sz w:val="20"/>
          <w:rtl/>
        </w:rPr>
        <w:t>ت</w:t>
      </w:r>
      <w:r w:rsidRPr="00F927F9">
        <w:rPr>
          <w:rFonts w:ascii="Simplified Arabic" w:hAnsi="Simplified Arabic"/>
          <w:sz w:val="20"/>
          <w:rtl/>
        </w:rPr>
        <w:t>ه الأمين</w:t>
      </w:r>
      <w:r w:rsidRPr="00F927F9">
        <w:rPr>
          <w:rFonts w:ascii="Simplified Arabic" w:hAnsi="Simplified Arabic" w:hint="cs"/>
          <w:sz w:val="20"/>
          <w:rtl/>
        </w:rPr>
        <w:t>ة</w:t>
      </w:r>
      <w:r w:rsidRPr="00F927F9">
        <w:rPr>
          <w:rFonts w:ascii="Simplified Arabic" w:hAnsi="Simplified Arabic"/>
          <w:sz w:val="20"/>
          <w:rtl/>
        </w:rPr>
        <w:t xml:space="preserve"> التنفيذي</w:t>
      </w:r>
      <w:r w:rsidRPr="00F927F9">
        <w:rPr>
          <w:rFonts w:ascii="Simplified Arabic" w:hAnsi="Simplified Arabic" w:hint="cs"/>
          <w:sz w:val="20"/>
          <w:rtl/>
        </w:rPr>
        <w:t>ة</w:t>
      </w:r>
      <w:r w:rsidRPr="00F927F9">
        <w:rPr>
          <w:rFonts w:ascii="Simplified Arabic" w:hAnsi="Simplified Arabic"/>
          <w:sz w:val="20"/>
          <w:rtl/>
        </w:rPr>
        <w:t xml:space="preserve"> في الوثيقة </w:t>
      </w:r>
      <w:r>
        <w:rPr>
          <w:snapToGrid w:val="0"/>
          <w:kern w:val="22"/>
          <w:szCs w:val="22"/>
        </w:rPr>
        <w:t>CBD/</w:t>
      </w:r>
      <w:r w:rsidRPr="005279A5">
        <w:rPr>
          <w:snapToGrid w:val="0"/>
          <w:kern w:val="22"/>
          <w:szCs w:val="22"/>
        </w:rPr>
        <w:t>SBSTTA/22/INF/17</w:t>
      </w:r>
      <w:r w:rsidRPr="00F927F9">
        <w:rPr>
          <w:rFonts w:ascii="Simplified Arabic" w:hAnsi="Simplified Arabic"/>
          <w:sz w:val="20"/>
          <w:rtl/>
        </w:rPr>
        <w:t>؛</w:t>
      </w:r>
    </w:p>
    <w:p w:rsidR="00D11ACC" w:rsidRDefault="00D11ACC" w:rsidP="00D11ACC">
      <w:pPr>
        <w:spacing w:after="100" w:line="204" w:lineRule="auto"/>
        <w:ind w:firstLine="720"/>
        <w:rPr>
          <w:sz w:val="20"/>
          <w:rtl/>
        </w:rPr>
      </w:pPr>
      <w:r w:rsidRPr="00F927F9">
        <w:rPr>
          <w:rFonts w:hint="cs"/>
          <w:sz w:val="20"/>
          <w:rtl/>
        </w:rPr>
        <w:t>(ب)</w:t>
      </w:r>
      <w:r w:rsidRPr="00F927F9">
        <w:rPr>
          <w:sz w:val="20"/>
        </w:rPr>
        <w:tab/>
      </w:r>
      <w:r w:rsidRPr="00F927F9">
        <w:rPr>
          <w:rFonts w:hint="cs"/>
          <w:sz w:val="20"/>
          <w:rtl/>
        </w:rPr>
        <w:t>ت</w:t>
      </w:r>
      <w:r w:rsidRPr="00F927F9">
        <w:rPr>
          <w:sz w:val="20"/>
          <w:rtl/>
        </w:rPr>
        <w:t>قييم التطورات</w:t>
      </w:r>
      <w:r>
        <w:rPr>
          <w:rFonts w:hint="cs"/>
          <w:sz w:val="20"/>
          <w:rtl/>
        </w:rPr>
        <w:t xml:space="preserve"> التكنولوجية</w:t>
      </w:r>
      <w:r w:rsidRPr="00F927F9">
        <w:rPr>
          <w:sz w:val="20"/>
          <w:rtl/>
        </w:rPr>
        <w:t xml:space="preserve"> الجديدة في </w:t>
      </w:r>
      <w:r w:rsidRPr="00F927F9">
        <w:rPr>
          <w:rFonts w:hint="cs"/>
          <w:sz w:val="20"/>
          <w:rtl/>
        </w:rPr>
        <w:t>مجال</w:t>
      </w:r>
      <w:r w:rsidRPr="00F927F9">
        <w:rPr>
          <w:sz w:val="20"/>
          <w:rtl/>
        </w:rPr>
        <w:t xml:space="preserve"> البيولوجيا التركيبية منذ الاجتماع الأخير لفريق الخبراء التقنيين المخصص</w:t>
      </w:r>
      <w:r>
        <w:rPr>
          <w:rFonts w:hint="cs"/>
          <w:sz w:val="20"/>
          <w:rtl/>
        </w:rPr>
        <w:t>،</w:t>
      </w:r>
      <w:r>
        <w:rPr>
          <w:sz w:val="20"/>
        </w:rPr>
        <w:t xml:space="preserve"> </w:t>
      </w:r>
      <w:r>
        <w:rPr>
          <w:rFonts w:hint="cs"/>
          <w:sz w:val="20"/>
          <w:rtl/>
        </w:rPr>
        <w:t>بما في ذلك النظر، من بين أمور أخرى</w:t>
      </w:r>
      <w:r w:rsidRPr="007940DC">
        <w:rPr>
          <w:sz w:val="20"/>
          <w:rtl/>
        </w:rPr>
        <w:t xml:space="preserve">، في التطبيقات الملموسة </w:t>
      </w:r>
      <w:r>
        <w:rPr>
          <w:rFonts w:hint="cs"/>
          <w:sz w:val="20"/>
          <w:rtl/>
        </w:rPr>
        <w:t>المتعلقة بتعديل الجينات</w:t>
      </w:r>
      <w:r w:rsidRPr="007940DC">
        <w:rPr>
          <w:sz w:val="20"/>
          <w:rtl/>
        </w:rPr>
        <w:t xml:space="preserve"> إذا كانت تتعلق بالبيولوجيا التركيبية</w:t>
      </w:r>
      <w:r>
        <w:rPr>
          <w:rFonts w:hint="cs"/>
          <w:sz w:val="20"/>
          <w:rtl/>
        </w:rPr>
        <w:t xml:space="preserve">، </w:t>
      </w:r>
      <w:r w:rsidRPr="00F927F9">
        <w:rPr>
          <w:sz w:val="20"/>
          <w:rtl/>
        </w:rPr>
        <w:t xml:space="preserve">من أجل دعم عملية </w:t>
      </w:r>
      <w:r w:rsidRPr="00F927F9">
        <w:rPr>
          <w:rFonts w:hint="cs"/>
          <w:sz w:val="20"/>
          <w:rtl/>
        </w:rPr>
        <w:t xml:space="preserve">لإجراء </w:t>
      </w:r>
      <w:r w:rsidRPr="00F927F9">
        <w:rPr>
          <w:sz w:val="20"/>
          <w:rtl/>
        </w:rPr>
        <w:t xml:space="preserve">مسح أفقي </w:t>
      </w:r>
      <w:r w:rsidRPr="00F927F9">
        <w:rPr>
          <w:rFonts w:hint="cs"/>
          <w:sz w:val="20"/>
          <w:rtl/>
        </w:rPr>
        <w:t>بشكل</w:t>
      </w:r>
      <w:r>
        <w:rPr>
          <w:rFonts w:hint="cs"/>
          <w:sz w:val="20"/>
          <w:rtl/>
        </w:rPr>
        <w:t xml:space="preserve"> واسع النطاق</w:t>
      </w:r>
      <w:r w:rsidRPr="00F927F9">
        <w:rPr>
          <w:rFonts w:hint="cs"/>
          <w:sz w:val="20"/>
          <w:rtl/>
        </w:rPr>
        <w:t xml:space="preserve"> </w:t>
      </w:r>
      <w:r>
        <w:rPr>
          <w:rFonts w:hint="cs"/>
          <w:sz w:val="20"/>
          <w:rtl/>
        </w:rPr>
        <w:t xml:space="preserve">وعلى نحو </w:t>
      </w:r>
      <w:r w:rsidRPr="00F927F9">
        <w:rPr>
          <w:sz w:val="20"/>
          <w:rtl/>
        </w:rPr>
        <w:t>منتظم؛</w:t>
      </w:r>
    </w:p>
    <w:p w:rsidR="00D11ACC" w:rsidRPr="00F927F9" w:rsidRDefault="00D11ACC" w:rsidP="00D11ACC">
      <w:pPr>
        <w:spacing w:after="100" w:line="204" w:lineRule="auto"/>
        <w:ind w:firstLine="720"/>
        <w:rPr>
          <w:sz w:val="20"/>
          <w:rtl/>
        </w:rPr>
      </w:pPr>
      <w:r w:rsidRPr="00F927F9">
        <w:rPr>
          <w:sz w:val="20"/>
          <w:rtl/>
        </w:rPr>
        <w:t>(</w:t>
      </w:r>
      <w:r w:rsidRPr="00F927F9">
        <w:rPr>
          <w:rFonts w:hint="cs"/>
          <w:sz w:val="20"/>
          <w:rtl/>
        </w:rPr>
        <w:t>ج</w:t>
      </w:r>
      <w:r w:rsidRPr="00F927F9">
        <w:rPr>
          <w:sz w:val="20"/>
          <w:rtl/>
        </w:rPr>
        <w:t>)</w:t>
      </w:r>
      <w:r w:rsidRPr="00F927F9">
        <w:rPr>
          <w:rFonts w:hint="cs"/>
          <w:sz w:val="20"/>
          <w:rtl/>
        </w:rPr>
        <w:tab/>
      </w:r>
      <w:bookmarkStart w:id="157" w:name="_Hlk518718831"/>
      <w:r w:rsidRPr="00F927F9">
        <w:rPr>
          <w:sz w:val="20"/>
          <w:rtl/>
        </w:rPr>
        <w:t>إ</w:t>
      </w:r>
      <w:r w:rsidRPr="00F927F9">
        <w:rPr>
          <w:rFonts w:hint="cs"/>
          <w:sz w:val="20"/>
          <w:rtl/>
        </w:rPr>
        <w:t>جراء</w:t>
      </w:r>
      <w:r w:rsidRPr="00F927F9">
        <w:rPr>
          <w:sz w:val="20"/>
          <w:rtl/>
        </w:rPr>
        <w:t xml:space="preserve"> استعراض للحالة الراهنة </w:t>
      </w:r>
      <w:r w:rsidRPr="00F927F9">
        <w:rPr>
          <w:rFonts w:hint="cs"/>
          <w:sz w:val="20"/>
          <w:rtl/>
        </w:rPr>
        <w:t>للمعارف</w:t>
      </w:r>
      <w:r w:rsidRPr="00F927F9">
        <w:rPr>
          <w:sz w:val="20"/>
          <w:rtl/>
        </w:rPr>
        <w:t xml:space="preserve"> عن طريق تحليل المعلومات، بما في ذلك على سبيل المثال لا الحصر </w:t>
      </w:r>
      <w:r w:rsidRPr="00F927F9">
        <w:rPr>
          <w:rFonts w:hint="cs"/>
          <w:sz w:val="20"/>
          <w:rtl/>
        </w:rPr>
        <w:t>الأدبيات</w:t>
      </w:r>
      <w:r w:rsidRPr="00F927F9">
        <w:rPr>
          <w:sz w:val="20"/>
          <w:rtl/>
        </w:rPr>
        <w:t xml:space="preserve"> المنشورة </w:t>
      </w:r>
      <w:r w:rsidRPr="00F927F9">
        <w:rPr>
          <w:rFonts w:hint="cs"/>
          <w:sz w:val="20"/>
          <w:rtl/>
        </w:rPr>
        <w:t>التي استعرضها</w:t>
      </w:r>
      <w:r w:rsidRPr="00F927F9">
        <w:rPr>
          <w:sz w:val="20"/>
          <w:rtl/>
        </w:rPr>
        <w:t xml:space="preserve"> النظراء، </w:t>
      </w:r>
      <w:r w:rsidRPr="00F927F9">
        <w:rPr>
          <w:rFonts w:hint="cs"/>
          <w:sz w:val="20"/>
          <w:rtl/>
        </w:rPr>
        <w:t>المتعلقة ب</w:t>
      </w:r>
      <w:r w:rsidRPr="00F927F9">
        <w:rPr>
          <w:sz w:val="20"/>
          <w:rtl/>
        </w:rPr>
        <w:t>الآثار البيئية الإيجابية والسلبية المحتملة</w:t>
      </w:r>
      <w:r w:rsidRPr="00F927F9">
        <w:rPr>
          <w:rFonts w:hint="cs"/>
          <w:sz w:val="20"/>
          <w:rtl/>
        </w:rPr>
        <w:t>، مع مراعاة الآثار على صحة الإنسان والآثار الثقافية والاجتماعية والاقتصادية، وخاصة فيما يتعلق بقيمة التنوع البيولوجي للشعوب الأصلية والمجتمعات المحلية،</w:t>
      </w:r>
      <w:r w:rsidRPr="00F927F9">
        <w:rPr>
          <w:sz w:val="20"/>
          <w:rtl/>
        </w:rPr>
        <w:t xml:space="preserve"> لتطبيقات البيولوجيا التركيبية الحالية </w:t>
      </w:r>
      <w:r w:rsidRPr="00F927F9">
        <w:rPr>
          <w:rFonts w:hint="cs"/>
          <w:sz w:val="20"/>
          <w:rtl/>
        </w:rPr>
        <w:t xml:space="preserve">والمنتظرة في </w:t>
      </w:r>
      <w:r w:rsidRPr="00F927F9">
        <w:rPr>
          <w:sz w:val="20"/>
          <w:rtl/>
        </w:rPr>
        <w:t>المستقبل</w:t>
      </w:r>
      <w:r w:rsidRPr="00F927F9">
        <w:rPr>
          <w:rFonts w:hint="cs"/>
          <w:sz w:val="20"/>
          <w:rtl/>
        </w:rPr>
        <w:t xml:space="preserve"> القريب</w:t>
      </w:r>
      <w:r w:rsidRPr="00F927F9">
        <w:rPr>
          <w:sz w:val="20"/>
          <w:rtl/>
        </w:rPr>
        <w:t xml:space="preserve">، </w:t>
      </w:r>
      <w:r>
        <w:rPr>
          <w:rFonts w:hint="cs"/>
          <w:sz w:val="20"/>
          <w:rtl/>
        </w:rPr>
        <w:t>بما في ذلك</w:t>
      </w:r>
      <w:r w:rsidRPr="00F927F9">
        <w:rPr>
          <w:rFonts w:hint="cs"/>
          <w:sz w:val="20"/>
          <w:rtl/>
        </w:rPr>
        <w:t xml:space="preserve"> التطبيقات التي تنطوي على كائنات تحتوي على </w:t>
      </w:r>
      <w:r w:rsidRPr="00F927F9">
        <w:rPr>
          <w:sz w:val="20"/>
          <w:rtl/>
        </w:rPr>
        <w:t>محركات الجينات المحورة هندسيا</w:t>
      </w:r>
      <w:r w:rsidRPr="00F927F9">
        <w:rPr>
          <w:rFonts w:hint="cs"/>
          <w:sz w:val="20"/>
          <w:rtl/>
        </w:rPr>
        <w:t>، مع مراعاة السمات والأنواع المحتمل إطلاقها وديناميات نشرها</w:t>
      </w:r>
      <w:r w:rsidRPr="00F927F9">
        <w:rPr>
          <w:sz w:val="20"/>
          <w:rtl/>
        </w:rPr>
        <w:t>؛</w:t>
      </w:r>
      <w:r w:rsidRPr="00F927F9">
        <w:rPr>
          <w:rFonts w:hint="cs"/>
          <w:sz w:val="20"/>
        </w:rPr>
        <w:t xml:space="preserve"> </w:t>
      </w:r>
      <w:r w:rsidRPr="00F927F9">
        <w:rPr>
          <w:rFonts w:ascii="Simplified Arabic" w:hAnsi="Simplified Arabic"/>
          <w:sz w:val="20"/>
          <w:rtl/>
        </w:rPr>
        <w:t>وكذلك الحاجة إلى تجنب الازدواجية مع العمل المتعلق بتقييم المخاطر بموجب بروتوكول قرطاجنة للسلامة الأحيائية؛</w:t>
      </w:r>
    </w:p>
    <w:bookmarkEnd w:id="157"/>
    <w:p w:rsidR="00D11ACC" w:rsidRPr="00F927F9" w:rsidRDefault="00D11ACC" w:rsidP="00D11ACC">
      <w:pPr>
        <w:spacing w:after="100" w:line="204" w:lineRule="auto"/>
        <w:ind w:firstLine="720"/>
        <w:rPr>
          <w:sz w:val="20"/>
          <w:rtl/>
        </w:rPr>
      </w:pPr>
      <w:r w:rsidRPr="00F927F9">
        <w:rPr>
          <w:sz w:val="20"/>
          <w:rtl/>
        </w:rPr>
        <w:lastRenderedPageBreak/>
        <w:t>(</w:t>
      </w:r>
      <w:r w:rsidRPr="00F927F9">
        <w:rPr>
          <w:rFonts w:hint="cs"/>
          <w:sz w:val="20"/>
          <w:rtl/>
        </w:rPr>
        <w:t>د</w:t>
      </w:r>
      <w:r w:rsidRPr="00F927F9">
        <w:rPr>
          <w:sz w:val="20"/>
          <w:rtl/>
        </w:rPr>
        <w:t>)</w:t>
      </w:r>
      <w:r w:rsidRPr="00F927F9">
        <w:rPr>
          <w:rFonts w:hint="cs"/>
          <w:sz w:val="20"/>
          <w:rtl/>
        </w:rPr>
        <w:tab/>
        <w:t>النظر فيما إذا كان أي كائن حي مطور حتى الآن من خلال التطورات الحديثة في البيولوجيا التركيبية يقع خارج تعريف الكائنات الحية المحورة حسب بروتوكول قرطاجنة؛</w:t>
      </w:r>
    </w:p>
    <w:p w:rsidR="00D11ACC" w:rsidRPr="00F927F9" w:rsidRDefault="00D11ACC" w:rsidP="00D11ACC">
      <w:pPr>
        <w:spacing w:after="100" w:line="204" w:lineRule="auto"/>
        <w:ind w:firstLine="720"/>
        <w:rPr>
          <w:sz w:val="20"/>
          <w:rtl/>
        </w:rPr>
      </w:pPr>
      <w:r w:rsidRPr="00F927F9">
        <w:rPr>
          <w:rFonts w:hint="cs"/>
          <w:sz w:val="20"/>
          <w:rtl/>
        </w:rPr>
        <w:t>(ه)</w:t>
      </w:r>
      <w:r w:rsidRPr="00F927F9">
        <w:rPr>
          <w:rFonts w:hint="cs"/>
          <w:sz w:val="20"/>
          <w:rtl/>
        </w:rPr>
        <w:tab/>
      </w:r>
      <w:r w:rsidRPr="00F927F9">
        <w:rPr>
          <w:rFonts w:ascii="Simplified Arabic" w:hAnsi="Simplified Arabic"/>
          <w:sz w:val="20"/>
          <w:rtl/>
        </w:rPr>
        <w:t xml:space="preserve">إعداد تقرير استشرافي عن تطبيقات البيولوجيا </w:t>
      </w:r>
      <w:r w:rsidRPr="00F927F9">
        <w:rPr>
          <w:sz w:val="20"/>
          <w:rtl/>
        </w:rPr>
        <w:t>التركيبية</w:t>
      </w:r>
      <w:r w:rsidRPr="00F927F9">
        <w:rPr>
          <w:rFonts w:ascii="Simplified Arabic" w:hAnsi="Simplified Arabic"/>
          <w:sz w:val="20"/>
          <w:rtl/>
        </w:rPr>
        <w:t xml:space="preserve"> في المراحل المبكرة من البحث والتطوير مقابل الأهداف الثلاثة للاتفاقية، عن طريق تجميع وتحليل المعلومات، بما في ذلك على سبيل المثال </w:t>
      </w:r>
      <w:r w:rsidRPr="00F927F9">
        <w:rPr>
          <w:rFonts w:hint="cs"/>
          <w:sz w:val="20"/>
          <w:rtl/>
        </w:rPr>
        <w:t>لا</w:t>
      </w:r>
      <w:r w:rsidRPr="00F927F9">
        <w:rPr>
          <w:sz w:val="20"/>
          <w:rtl/>
        </w:rPr>
        <w:t xml:space="preserve"> الحصر</w:t>
      </w:r>
      <w:r w:rsidRPr="00F927F9">
        <w:rPr>
          <w:rFonts w:hint="cs"/>
          <w:sz w:val="20"/>
          <w:rtl/>
        </w:rPr>
        <w:t>،</w:t>
      </w:r>
      <w:r w:rsidRPr="00F927F9">
        <w:rPr>
          <w:rFonts w:ascii="Simplified Arabic" w:hAnsi="Simplified Arabic"/>
          <w:sz w:val="20"/>
          <w:rtl/>
        </w:rPr>
        <w:t xml:space="preserve"> </w:t>
      </w:r>
      <w:r w:rsidRPr="00F927F9">
        <w:rPr>
          <w:sz w:val="20"/>
          <w:rtl/>
        </w:rPr>
        <w:t>الأدبيات</w:t>
      </w:r>
      <w:r w:rsidRPr="00F927F9">
        <w:rPr>
          <w:sz w:val="20"/>
        </w:rPr>
        <w:t xml:space="preserve"> </w:t>
      </w:r>
      <w:r w:rsidRPr="00F927F9">
        <w:rPr>
          <w:sz w:val="20"/>
          <w:rtl/>
        </w:rPr>
        <w:t>المنشورة التي استعرضها النظراء؛</w:t>
      </w:r>
    </w:p>
    <w:p w:rsidR="00D11ACC" w:rsidRPr="00E31834" w:rsidRDefault="00D11ACC" w:rsidP="00D11ACC">
      <w:pPr>
        <w:spacing w:after="100" w:line="204" w:lineRule="auto"/>
        <w:ind w:firstLine="720"/>
        <w:rPr>
          <w:rFonts w:ascii="Simplified Arabic" w:hAnsi="Simplified Arabic"/>
          <w:sz w:val="20"/>
          <w:rtl/>
        </w:rPr>
      </w:pPr>
      <w:r w:rsidRPr="00F927F9">
        <w:rPr>
          <w:rFonts w:ascii="Simplified Arabic" w:hAnsi="Simplified Arabic" w:hint="cs"/>
          <w:sz w:val="20"/>
          <w:rtl/>
        </w:rPr>
        <w:t>(و)</w:t>
      </w:r>
      <w:r w:rsidRPr="00F927F9">
        <w:rPr>
          <w:rFonts w:ascii="Simplified Arabic" w:hAnsi="Simplified Arabic" w:hint="cs"/>
          <w:sz w:val="20"/>
          <w:rtl/>
        </w:rPr>
        <w:tab/>
      </w:r>
      <w:r w:rsidRPr="00E31834">
        <w:rPr>
          <w:rFonts w:ascii="Simplified Arabic" w:hAnsi="Simplified Arabic" w:hint="cs"/>
          <w:sz w:val="20"/>
          <w:rtl/>
        </w:rPr>
        <w:t xml:space="preserve">التوصية بخيارات لإجراء </w:t>
      </w:r>
      <w:r w:rsidRPr="00E31834">
        <w:rPr>
          <w:rFonts w:ascii="Simplified Arabic" w:hAnsi="Simplified Arabic"/>
          <w:sz w:val="20"/>
          <w:rtl/>
        </w:rPr>
        <w:t xml:space="preserve">المسح الأفقي المنتظم </w:t>
      </w:r>
      <w:r w:rsidRPr="00E31834">
        <w:rPr>
          <w:rFonts w:ascii="Simplified Arabic" w:hAnsi="Simplified Arabic" w:hint="cs"/>
          <w:sz w:val="20"/>
          <w:rtl/>
        </w:rPr>
        <w:t>ل</w:t>
      </w:r>
      <w:r w:rsidRPr="00E31834">
        <w:rPr>
          <w:rFonts w:ascii="Simplified Arabic" w:hAnsi="Simplified Arabic"/>
          <w:sz w:val="20"/>
          <w:rtl/>
        </w:rPr>
        <w:t xml:space="preserve">لتطورات </w:t>
      </w:r>
      <w:r>
        <w:rPr>
          <w:rFonts w:ascii="Simplified Arabic" w:hAnsi="Simplified Arabic" w:hint="cs"/>
          <w:sz w:val="20"/>
          <w:rtl/>
        </w:rPr>
        <w:t xml:space="preserve">المشار إليها في الفقرة 3 من المقرر </w:t>
      </w:r>
      <w:r w:rsidRPr="005279A5">
        <w:rPr>
          <w:rFonts w:ascii="Simplified Arabic" w:hAnsi="Simplified Arabic"/>
          <w:rtl/>
          <w:lang w:val="en-CA"/>
        </w:rPr>
        <w:t>14/19</w:t>
      </w:r>
      <w:r w:rsidRPr="00E31834">
        <w:rPr>
          <w:rFonts w:ascii="Simplified Arabic" w:hAnsi="Simplified Arabic" w:hint="cs"/>
          <w:szCs w:val="28"/>
          <w:rtl/>
          <w:lang w:val="en-CA"/>
        </w:rPr>
        <w:t xml:space="preserve"> </w:t>
      </w:r>
      <w:r w:rsidRPr="00E31834">
        <w:rPr>
          <w:rFonts w:ascii="Simplified Arabic" w:hAnsi="Simplified Arabic"/>
          <w:sz w:val="20"/>
          <w:rtl/>
        </w:rPr>
        <w:t>ورصدها وتقييمها</w:t>
      </w:r>
      <w:r>
        <w:rPr>
          <w:rFonts w:ascii="Simplified Arabic" w:hAnsi="Simplified Arabic" w:hint="cs"/>
          <w:sz w:val="20"/>
          <w:rtl/>
        </w:rPr>
        <w:t>؛</w:t>
      </w:r>
    </w:p>
    <w:p w:rsidR="00D11ACC" w:rsidRDefault="00D11ACC" w:rsidP="00D11ACC">
      <w:pPr>
        <w:spacing w:after="100" w:line="204" w:lineRule="auto"/>
        <w:ind w:firstLine="720"/>
        <w:rPr>
          <w:sz w:val="20"/>
          <w:rtl/>
        </w:rPr>
      </w:pPr>
      <w:r>
        <w:rPr>
          <w:rFonts w:hint="cs"/>
          <w:sz w:val="20"/>
          <w:rtl/>
        </w:rPr>
        <w:t>(ز)</w:t>
      </w:r>
      <w:r>
        <w:rPr>
          <w:sz w:val="20"/>
          <w:rtl/>
        </w:rPr>
        <w:tab/>
      </w:r>
      <w:r w:rsidRPr="00F927F9">
        <w:rPr>
          <w:sz w:val="20"/>
          <w:rtl/>
        </w:rPr>
        <w:t>إعداد تقرير عن نتائج أعماله لتنظر فيه الهيئة الفرعية للمشورة العلمية والتقنية والتكنولوجية</w:t>
      </w:r>
      <w:r w:rsidRPr="00F927F9">
        <w:rPr>
          <w:rFonts w:hint="cs"/>
          <w:sz w:val="20"/>
        </w:rPr>
        <w:t xml:space="preserve"> </w:t>
      </w:r>
      <w:r w:rsidRPr="00F927F9">
        <w:rPr>
          <w:sz w:val="20"/>
          <w:rtl/>
        </w:rPr>
        <w:t>في اجتماع ي</w:t>
      </w:r>
      <w:r w:rsidRPr="00F927F9">
        <w:rPr>
          <w:rFonts w:hint="cs"/>
          <w:sz w:val="20"/>
          <w:rtl/>
        </w:rPr>
        <w:t>ُ</w:t>
      </w:r>
      <w:r w:rsidRPr="00F927F9">
        <w:rPr>
          <w:sz w:val="20"/>
          <w:rtl/>
        </w:rPr>
        <w:t>عقد قبل الاجتماع الخامس عشر لمؤتمر الأطراف.</w:t>
      </w:r>
    </w:p>
    <w:p w:rsidR="001D61EA" w:rsidRDefault="001D61EA" w:rsidP="001D61EA">
      <w:pPr>
        <w:spacing w:after="0" w:line="240" w:lineRule="auto"/>
        <w:jc w:val="left"/>
        <w:rPr>
          <w:b/>
          <w:bCs/>
          <w:sz w:val="24"/>
          <w:rtl/>
        </w:rPr>
      </w:pPr>
    </w:p>
    <w:p w:rsidR="001D61EA" w:rsidRDefault="001D61EA" w:rsidP="001D61EA">
      <w:pPr>
        <w:spacing w:after="0" w:line="240" w:lineRule="auto"/>
        <w:jc w:val="left"/>
        <w:rPr>
          <w:b/>
          <w:bCs/>
          <w:sz w:val="24"/>
          <w:rtl/>
        </w:rPr>
      </w:pPr>
      <w:r>
        <w:rPr>
          <w:b/>
          <w:bCs/>
          <w:sz w:val="24"/>
          <w:rtl/>
        </w:rPr>
        <w:br w:type="page"/>
      </w:r>
    </w:p>
    <w:p w:rsidR="001C1C1D" w:rsidRPr="005C0AC4" w:rsidRDefault="001C1C1D" w:rsidP="00696773">
      <w:pPr>
        <w:pStyle w:val="Heading2"/>
        <w:rPr>
          <w:b w:val="0"/>
          <w:bCs w:val="0"/>
          <w:rtl/>
        </w:rPr>
      </w:pPr>
      <w:bookmarkStart w:id="158" w:name="_Toc6071624"/>
      <w:bookmarkStart w:id="159" w:name="_Toc6139981"/>
      <w:r>
        <w:rPr>
          <w:rFonts w:hint="cs"/>
          <w:rtl/>
        </w:rPr>
        <w:lastRenderedPageBreak/>
        <w:t>المقرر 14/20</w:t>
      </w:r>
      <w:r>
        <w:rPr>
          <w:rFonts w:hint="cs"/>
          <w:rtl/>
        </w:rPr>
        <w:tab/>
      </w:r>
      <w:r w:rsidRPr="005C0AC4">
        <w:rPr>
          <w:rFonts w:hint="cs"/>
          <w:rtl/>
        </w:rPr>
        <w:t>معلومات التسلسل الرقمي بشأن الموارد الجينية</w:t>
      </w:r>
      <w:bookmarkEnd w:id="158"/>
      <w:bookmarkEnd w:id="159"/>
    </w:p>
    <w:p w:rsidR="001C1C1D" w:rsidRDefault="001C1C1D" w:rsidP="001C1C1D">
      <w:pPr>
        <w:ind w:firstLine="709"/>
        <w:rPr>
          <w:i/>
          <w:iCs/>
          <w:rtl/>
        </w:rPr>
      </w:pPr>
      <w:r>
        <w:rPr>
          <w:rFonts w:hint="cs"/>
          <w:i/>
          <w:iCs/>
          <w:rtl/>
        </w:rPr>
        <w:t>إن مؤتمر الأطراف</w:t>
      </w:r>
    </w:p>
    <w:p w:rsidR="001C1C1D" w:rsidRDefault="001C1C1D" w:rsidP="001C1C1D">
      <w:pPr>
        <w:ind w:firstLine="709"/>
        <w:rPr>
          <w:rtl/>
        </w:rPr>
      </w:pPr>
      <w:r>
        <w:rPr>
          <w:rFonts w:hint="cs"/>
          <w:i/>
          <w:iCs/>
          <w:rtl/>
        </w:rPr>
        <w:t xml:space="preserve">إذ يضع في اعتباره </w:t>
      </w:r>
      <w:r>
        <w:rPr>
          <w:rFonts w:hint="cs"/>
          <w:rtl/>
        </w:rPr>
        <w:t>أهداف الاتفاقية الثلاثة،</w:t>
      </w:r>
    </w:p>
    <w:p w:rsidR="001C1C1D" w:rsidRDefault="001C1C1D" w:rsidP="001C1C1D">
      <w:pPr>
        <w:ind w:firstLine="709"/>
        <w:rPr>
          <w:rtl/>
        </w:rPr>
      </w:pPr>
      <w:r>
        <w:rPr>
          <w:rFonts w:hint="cs"/>
          <w:i/>
          <w:iCs/>
          <w:rtl/>
        </w:rPr>
        <w:t xml:space="preserve">وإذ يشير إلى </w:t>
      </w:r>
      <w:r>
        <w:rPr>
          <w:rFonts w:hint="cs"/>
          <w:rtl/>
        </w:rPr>
        <w:t>المواد 12، و15، و16، و17، و18 من الاتفاقية،</w:t>
      </w:r>
    </w:p>
    <w:p w:rsidR="001C1C1D" w:rsidRDefault="001C1C1D" w:rsidP="001C1C1D">
      <w:pPr>
        <w:ind w:firstLine="709"/>
        <w:rPr>
          <w:rtl/>
        </w:rPr>
      </w:pPr>
      <w:r>
        <w:rPr>
          <w:rFonts w:hint="cs"/>
          <w:i/>
          <w:iCs/>
          <w:rtl/>
        </w:rPr>
        <w:t xml:space="preserve">وإذ يضع في اعتباره </w:t>
      </w:r>
      <w:r>
        <w:rPr>
          <w:rFonts w:hint="cs"/>
          <w:rtl/>
        </w:rPr>
        <w:t>تزايد توليد واستخدام معلومات التسلسل الرقمي بشأن الموارد الجينية، ونشرها في قواعد البيانات العامة والخاصة، والتطورات في تحليلات البيانات،</w:t>
      </w:r>
    </w:p>
    <w:p w:rsidR="001C1C1D" w:rsidRDefault="001C1C1D" w:rsidP="001C1C1D">
      <w:pPr>
        <w:ind w:firstLine="709"/>
        <w:rPr>
          <w:rtl/>
        </w:rPr>
      </w:pPr>
      <w:r>
        <w:rPr>
          <w:rFonts w:hint="cs"/>
          <w:i/>
          <w:iCs/>
          <w:rtl/>
        </w:rPr>
        <w:t xml:space="preserve">وإذ يلاحظ </w:t>
      </w:r>
      <w:r>
        <w:rPr>
          <w:rFonts w:hint="cs"/>
          <w:rtl/>
        </w:rPr>
        <w:t xml:space="preserve">أن مصطلح "معلومات التسلسل الرقمي" قد لا يكون هو المصطلح الأكثر ملاءمة، </w:t>
      </w:r>
      <w:r>
        <w:rPr>
          <w:rFonts w:ascii="Simplified Arabic" w:hAnsi="Simplified Arabic" w:hint="cs"/>
          <w:rtl/>
        </w:rPr>
        <w:t>وأنه يستخدم كمصطلح نائب حتى يتم الاتفاق على مصطلح بديل</w:t>
      </w:r>
      <w:r>
        <w:rPr>
          <w:rFonts w:hint="cs"/>
          <w:rtl/>
        </w:rPr>
        <w:t>،</w:t>
      </w:r>
    </w:p>
    <w:p w:rsidR="001C1C1D" w:rsidRDefault="001C1C1D" w:rsidP="001C1C1D">
      <w:pPr>
        <w:ind w:firstLine="709"/>
        <w:rPr>
          <w:rtl/>
        </w:rPr>
      </w:pPr>
      <w:r>
        <w:rPr>
          <w:rFonts w:hint="cs"/>
          <w:i/>
          <w:iCs/>
          <w:rtl/>
        </w:rPr>
        <w:t xml:space="preserve">وإذ يدرك </w:t>
      </w:r>
      <w:r>
        <w:rPr>
          <w:rFonts w:hint="cs"/>
          <w:rtl/>
        </w:rPr>
        <w:t>أهمية التكنولوجيات الجديدة بالنسبة لاستخدام الموارد الجينية الآن وفي المستقبل، وإذ يلاحظ أن الوسائط التي يتم تخزين المعلومات وتقاسمها تتطور باستمرار،</w:t>
      </w:r>
    </w:p>
    <w:p w:rsidR="001C1C1D" w:rsidRDefault="001C1C1D" w:rsidP="001C1C1D">
      <w:pPr>
        <w:ind w:firstLine="709"/>
        <w:rPr>
          <w:rtl/>
        </w:rPr>
      </w:pPr>
      <w:r>
        <w:rPr>
          <w:rFonts w:hint="cs"/>
          <w:i/>
          <w:iCs/>
          <w:rtl/>
        </w:rPr>
        <w:t xml:space="preserve">وإذ يضع في اعتباره </w:t>
      </w:r>
      <w:r>
        <w:rPr>
          <w:rFonts w:hint="cs"/>
          <w:rtl/>
        </w:rPr>
        <w:t>أن الإطار العالمي للتنوع البيولوجي لما بعد عام 2020 سيوفر إرشادات بشأن التوجهات الاستراتيجية الطويلة الأجل لرؤية عام 2050 للتنوع البيولوجي،</w:t>
      </w:r>
    </w:p>
    <w:p w:rsidR="001C1C1D" w:rsidRDefault="001C1C1D" w:rsidP="001C1C1D">
      <w:pPr>
        <w:ind w:firstLine="709"/>
        <w:rPr>
          <w:rtl/>
        </w:rPr>
      </w:pPr>
      <w:r>
        <w:rPr>
          <w:rFonts w:hint="cs"/>
          <w:i/>
          <w:iCs/>
          <w:rtl/>
        </w:rPr>
        <w:t xml:space="preserve">وإذ يشير إلى </w:t>
      </w:r>
      <w:r>
        <w:rPr>
          <w:rFonts w:hint="cs"/>
          <w:rtl/>
        </w:rPr>
        <w:t>المناقشات ذات الصلة بشأن معلومات التسلسل الرقمي بشأن الموارد الجينية والمسائل ذات الصلة في هيئات الأمم المتحدة وصكوكها الأخرى، من قبيل منظمة الأغذية والزراعة للأمم المتحدة، والمعاهدة الدولية بشأن الموارد الوراثية النباتية للأغذية والزراعة، ومنظمة الصحة العالمية، والمنظمة العالمية للملكية الفكرية، والجمعية العامة للأمم المتحدة،</w:t>
      </w:r>
    </w:p>
    <w:p w:rsidR="001C1C1D" w:rsidRDefault="001C1C1D" w:rsidP="001C1C1D">
      <w:pPr>
        <w:ind w:firstLine="709"/>
        <w:rPr>
          <w:rtl/>
        </w:rPr>
      </w:pPr>
      <w:r>
        <w:rPr>
          <w:rFonts w:hint="cs"/>
          <w:rtl/>
        </w:rPr>
        <w:t>1-</w:t>
      </w:r>
      <w:r>
        <w:rPr>
          <w:rFonts w:hint="cs"/>
          <w:rtl/>
        </w:rPr>
        <w:tab/>
      </w:r>
      <w:r>
        <w:rPr>
          <w:rFonts w:hint="cs"/>
          <w:i/>
          <w:iCs/>
          <w:rtl/>
        </w:rPr>
        <w:t xml:space="preserve">يدرك </w:t>
      </w:r>
      <w:r>
        <w:rPr>
          <w:rFonts w:hint="cs"/>
          <w:rtl/>
        </w:rPr>
        <w:t>أهمية معلومات التسلسل الرقمي بشأن الموارد الجينية لأهداف الاتفاقية الثلاثة التي تدعم بعضها البعض، على الرغم من أن هناك حاجة إلى المزيد من العمل لتوفير الوضوح المفاهيمي بشأن معلومات التسلسل الرقمي بشأن الموارد الجينية؛</w:t>
      </w:r>
    </w:p>
    <w:p w:rsidR="001C1C1D" w:rsidRDefault="001C1C1D" w:rsidP="001C1C1D">
      <w:pPr>
        <w:ind w:firstLine="709"/>
        <w:rPr>
          <w:rtl/>
        </w:rPr>
      </w:pPr>
      <w:r>
        <w:rPr>
          <w:rFonts w:hint="cs"/>
          <w:rtl/>
        </w:rPr>
        <w:t>2-</w:t>
      </w:r>
      <w:r>
        <w:rPr>
          <w:rtl/>
        </w:rPr>
        <w:tab/>
      </w:r>
      <w:r>
        <w:rPr>
          <w:rFonts w:hint="cs"/>
          <w:i/>
          <w:iCs/>
          <w:rtl/>
        </w:rPr>
        <w:t xml:space="preserve">يدرك </w:t>
      </w:r>
      <w:r>
        <w:rPr>
          <w:rFonts w:hint="cs"/>
          <w:rtl/>
        </w:rPr>
        <w:t>أن الحصول على معلومات التسلسل الرقمي بشأن الموارد الجينية واستخدامها يساهم في البحث العلمي وكذلك في الأنشطة غير التجارية والتجارية في مجالات مثل التنوع البيولوجي، والأمن الغذائي، وصحة الإنسان والحيوان والنباتات؛</w:t>
      </w:r>
    </w:p>
    <w:p w:rsidR="001C1C1D" w:rsidRDefault="001C1C1D" w:rsidP="001C1C1D">
      <w:pPr>
        <w:ind w:firstLine="709"/>
        <w:rPr>
          <w:rtl/>
        </w:rPr>
      </w:pPr>
      <w:r>
        <w:rPr>
          <w:rFonts w:hint="cs"/>
          <w:rtl/>
        </w:rPr>
        <w:t>3-</w:t>
      </w:r>
      <w:r>
        <w:rPr>
          <w:rFonts w:hint="cs"/>
          <w:rtl/>
        </w:rPr>
        <w:tab/>
      </w:r>
      <w:r>
        <w:rPr>
          <w:rFonts w:hint="cs"/>
          <w:i/>
          <w:iCs/>
          <w:rtl/>
        </w:rPr>
        <w:t xml:space="preserve">يدرك أيضا </w:t>
      </w:r>
      <w:r>
        <w:rPr>
          <w:rFonts w:hint="cs"/>
          <w:rtl/>
        </w:rPr>
        <w:t xml:space="preserve">أن هناك حاجة إلى قدرات إضافية فيما يتعلق بالحصول على معلومات التسلسل الرقمي بشأن الموارد الجينية واستخدامها وتوليدها وتحليلها في العديد من البلدان، </w:t>
      </w:r>
      <w:r>
        <w:rPr>
          <w:rFonts w:hint="cs"/>
          <w:i/>
          <w:iCs/>
          <w:rtl/>
        </w:rPr>
        <w:t xml:space="preserve">ويشجع </w:t>
      </w:r>
      <w:r>
        <w:rPr>
          <w:rFonts w:hint="cs"/>
          <w:rtl/>
        </w:rPr>
        <w:t>الأطراف، والحكومات الأخرى، والمنظمات ذات الصلة على دعم أنشطة بناء القدرات ونقل التكنولوجيا، حسب الاقتضاء، للمساعدة في الحصول على معلومات التسلسل الرقمي بشأن الموارد الجينية واستخدامها وتوليدها وتحليلها من أجل حفظ التنوع البيولوجي واستخدامه المستدام وتقاسم المنافع؛</w:t>
      </w:r>
    </w:p>
    <w:p w:rsidR="001C1C1D" w:rsidRDefault="001C1C1D" w:rsidP="001C1C1D">
      <w:pPr>
        <w:ind w:firstLine="709"/>
        <w:rPr>
          <w:rtl/>
        </w:rPr>
      </w:pPr>
      <w:r>
        <w:rPr>
          <w:rFonts w:hint="cs"/>
          <w:rtl/>
        </w:rPr>
        <w:t>4-</w:t>
      </w:r>
      <w:r>
        <w:rPr>
          <w:rFonts w:hint="cs"/>
          <w:rtl/>
        </w:rPr>
        <w:tab/>
      </w:r>
      <w:r>
        <w:rPr>
          <w:rFonts w:hint="cs"/>
          <w:i/>
          <w:iCs/>
          <w:rtl/>
        </w:rPr>
        <w:t xml:space="preserve">يلاحظ </w:t>
      </w:r>
      <w:r>
        <w:rPr>
          <w:rFonts w:hint="cs"/>
          <w:rtl/>
        </w:rPr>
        <w:t>أن توليد معلومات التسلسل الرقمي بشأن الموارد الجينية يتطلب في معظم الأحيان الحصول على مورد جيني، بالرغم من أنه قد يكون من الصعب ربط معلومات التسلسل الرقمي بالمورد الجيني المتولدة منه؛</w:t>
      </w:r>
    </w:p>
    <w:p w:rsidR="001C1C1D" w:rsidRDefault="001C1C1D" w:rsidP="001C1C1D">
      <w:pPr>
        <w:ind w:firstLine="709"/>
        <w:rPr>
          <w:rtl/>
        </w:rPr>
      </w:pPr>
      <w:r>
        <w:rPr>
          <w:rFonts w:hint="cs"/>
          <w:rtl/>
        </w:rPr>
        <w:t>5-</w:t>
      </w:r>
      <w:r>
        <w:rPr>
          <w:rFonts w:hint="cs"/>
          <w:rtl/>
        </w:rPr>
        <w:tab/>
      </w:r>
      <w:r>
        <w:rPr>
          <w:rFonts w:hint="cs"/>
          <w:i/>
          <w:iCs/>
          <w:rtl/>
        </w:rPr>
        <w:t xml:space="preserve">يلاحظ </w:t>
      </w:r>
      <w:r w:rsidRPr="00733C4A">
        <w:rPr>
          <w:rFonts w:hint="cs"/>
          <w:i/>
          <w:iCs/>
          <w:rtl/>
        </w:rPr>
        <w:t>أيضا</w:t>
      </w:r>
      <w:r>
        <w:rPr>
          <w:rFonts w:hint="cs"/>
          <w:rtl/>
        </w:rPr>
        <w:t xml:space="preserve"> أن بعض الأطراف قد اعتمدت تدابير محلية تنظم الحصول على معلومات التسلسل الرقمي بشأن الموارد الجينية واستخدامها كجزء من أُطرها المتعلقة بالحصول وتقاسم المنافع؛</w:t>
      </w:r>
    </w:p>
    <w:p w:rsidR="001C1C1D" w:rsidRPr="00283994" w:rsidRDefault="001C1C1D" w:rsidP="001C1C1D">
      <w:pPr>
        <w:ind w:firstLine="709"/>
        <w:rPr>
          <w:rtl/>
        </w:rPr>
      </w:pPr>
      <w:r>
        <w:rPr>
          <w:rFonts w:hint="cs"/>
          <w:rtl/>
        </w:rPr>
        <w:t>6-</w:t>
      </w:r>
      <w:r>
        <w:rPr>
          <w:rFonts w:hint="cs"/>
          <w:rtl/>
        </w:rPr>
        <w:tab/>
      </w:r>
      <w:r w:rsidRPr="009C3763">
        <w:rPr>
          <w:rFonts w:ascii="Simplified Arabic" w:hAnsi="Simplified Arabic"/>
          <w:i/>
          <w:iCs/>
          <w:rtl/>
        </w:rPr>
        <w:t>يلاحظ</w:t>
      </w:r>
      <w:r w:rsidRPr="00680CAD">
        <w:rPr>
          <w:rFonts w:ascii="Simplified Arabic" w:hAnsi="Simplified Arabic"/>
          <w:rtl/>
        </w:rPr>
        <w:t xml:space="preserve"> </w:t>
      </w:r>
      <w:r>
        <w:rPr>
          <w:rFonts w:ascii="Simplified Arabic" w:hAnsi="Simplified Arabic" w:hint="cs"/>
          <w:i/>
          <w:iCs/>
          <w:rtl/>
        </w:rPr>
        <w:t xml:space="preserve">كذلك </w:t>
      </w:r>
      <w:r>
        <w:rPr>
          <w:rFonts w:ascii="Simplified Arabic" w:hAnsi="Simplified Arabic" w:hint="cs"/>
          <w:rtl/>
        </w:rPr>
        <w:t>أنه</w:t>
      </w:r>
      <w:r w:rsidRPr="00680CAD">
        <w:rPr>
          <w:rFonts w:ascii="Simplified Arabic" w:hAnsi="Simplified Arabic"/>
          <w:rtl/>
        </w:rPr>
        <w:t xml:space="preserve"> </w:t>
      </w:r>
      <w:r>
        <w:rPr>
          <w:rFonts w:ascii="Simplified Arabic" w:hAnsi="Simplified Arabic" w:hint="cs"/>
          <w:rtl/>
        </w:rPr>
        <w:t>نظرا</w:t>
      </w:r>
      <w:r w:rsidRPr="00680CAD">
        <w:rPr>
          <w:rFonts w:ascii="Simplified Arabic" w:hAnsi="Simplified Arabic"/>
          <w:rtl/>
        </w:rPr>
        <w:t xml:space="preserve"> </w:t>
      </w:r>
      <w:r>
        <w:rPr>
          <w:rFonts w:ascii="Simplified Arabic" w:hAnsi="Simplified Arabic" w:hint="cs"/>
          <w:rtl/>
        </w:rPr>
        <w:t>ل</w:t>
      </w:r>
      <w:r w:rsidRPr="00680CAD">
        <w:rPr>
          <w:rFonts w:ascii="Simplified Arabic" w:hAnsi="Simplified Arabic"/>
          <w:rtl/>
        </w:rPr>
        <w:t xml:space="preserve">اختلاف وجهات النظر بين الأطراف فيما يتعلق بتقاسم المنافع عند استخدام معلومات التسلسل </w:t>
      </w:r>
      <w:r>
        <w:rPr>
          <w:rFonts w:ascii="Simplified Arabic" w:hAnsi="Simplified Arabic"/>
          <w:rtl/>
        </w:rPr>
        <w:t>الرقمي بشأن الموارد الجينية</w:t>
      </w:r>
      <w:r w:rsidRPr="00680CAD">
        <w:rPr>
          <w:rFonts w:ascii="Simplified Arabic" w:hAnsi="Simplified Arabic"/>
          <w:rtl/>
        </w:rPr>
        <w:t xml:space="preserve">، </w:t>
      </w:r>
      <w:r>
        <w:rPr>
          <w:rFonts w:ascii="Simplified Arabic" w:hAnsi="Simplified Arabic" w:hint="cs"/>
          <w:rtl/>
        </w:rPr>
        <w:t>تلتزم</w:t>
      </w:r>
      <w:r>
        <w:rPr>
          <w:rFonts w:ascii="Simplified Arabic" w:hAnsi="Simplified Arabic"/>
          <w:rtl/>
        </w:rPr>
        <w:t xml:space="preserve"> الأطراف </w:t>
      </w:r>
      <w:r>
        <w:rPr>
          <w:rFonts w:ascii="Simplified Arabic" w:hAnsi="Simplified Arabic" w:hint="cs"/>
          <w:rtl/>
        </w:rPr>
        <w:t xml:space="preserve">بالعمل على </w:t>
      </w:r>
      <w:r>
        <w:rPr>
          <w:rFonts w:ascii="Simplified Arabic" w:hAnsi="Simplified Arabic"/>
          <w:rtl/>
        </w:rPr>
        <w:t xml:space="preserve">حل هذا الاختلاف </w:t>
      </w:r>
      <w:r>
        <w:rPr>
          <w:rFonts w:ascii="Simplified Arabic" w:hAnsi="Simplified Arabic" w:hint="cs"/>
          <w:rtl/>
        </w:rPr>
        <w:t>من خلال العملية المحددة في هذا المقرر، من أجل تعزيز استيفاء الهدف الثالث للاتفاقية والفقرة 7 من المادة 15، دون المساس بالظروف التي تنطبق هذه المادة عليها؛</w:t>
      </w:r>
    </w:p>
    <w:p w:rsidR="001C1C1D" w:rsidRDefault="001C1C1D" w:rsidP="001C1C1D">
      <w:pPr>
        <w:ind w:firstLine="709"/>
        <w:rPr>
          <w:rtl/>
        </w:rPr>
      </w:pPr>
      <w:r>
        <w:rPr>
          <w:rFonts w:hint="cs"/>
          <w:rtl/>
        </w:rPr>
        <w:lastRenderedPageBreak/>
        <w:t>7-</w:t>
      </w:r>
      <w:r>
        <w:rPr>
          <w:rFonts w:hint="cs"/>
          <w:rtl/>
        </w:rPr>
        <w:tab/>
      </w:r>
      <w:r>
        <w:rPr>
          <w:rFonts w:hint="cs"/>
          <w:i/>
          <w:iCs/>
          <w:rtl/>
        </w:rPr>
        <w:t xml:space="preserve">يلاحظ </w:t>
      </w:r>
      <w:r>
        <w:rPr>
          <w:rFonts w:hint="cs"/>
          <w:rtl/>
        </w:rPr>
        <w:t>أنه عندما يتم الحصول على الموارد الجينية لاستخدامها، يمكن أن تشمل الشروط المتفق عليها بصورة متبادلة المنافع الناشئة عن الاستخدام التجاري و/أو غير التجاري لمعلومات التسلسل الرقمي بشأن هذه الموارد الجينية، وفقا للتدابير المحلية المطبقة؛</w:t>
      </w:r>
    </w:p>
    <w:p w:rsidR="001C1C1D" w:rsidRDefault="001C1C1D" w:rsidP="001C1C1D">
      <w:pPr>
        <w:ind w:firstLine="709"/>
        <w:rPr>
          <w:rtl/>
        </w:rPr>
      </w:pPr>
      <w:r>
        <w:rPr>
          <w:rFonts w:hint="cs"/>
          <w:rtl/>
        </w:rPr>
        <w:t>8-</w:t>
      </w:r>
      <w:r>
        <w:rPr>
          <w:rFonts w:hint="cs"/>
          <w:rtl/>
        </w:rPr>
        <w:tab/>
      </w:r>
      <w:r>
        <w:rPr>
          <w:rFonts w:hint="cs"/>
          <w:i/>
          <w:iCs/>
          <w:rtl/>
        </w:rPr>
        <w:t xml:space="preserve">يقرر </w:t>
      </w:r>
      <w:r>
        <w:rPr>
          <w:rFonts w:hint="cs"/>
          <w:rtl/>
        </w:rPr>
        <w:t>إنشاء عملية تستند إلى العلم والسياسة بشأن معلومات التسلسل الرقمي بشأن الموارد الجينية على النحو المبين في الفقرات من 9 إلى 12 أدناه؛</w:t>
      </w:r>
    </w:p>
    <w:p w:rsidR="001C1C1D" w:rsidRDefault="001C1C1D" w:rsidP="001C1C1D">
      <w:pPr>
        <w:ind w:firstLine="709"/>
        <w:rPr>
          <w:rtl/>
        </w:rPr>
      </w:pPr>
      <w:r>
        <w:rPr>
          <w:rFonts w:hint="cs"/>
          <w:rtl/>
        </w:rPr>
        <w:t>9-</w:t>
      </w:r>
      <w:r>
        <w:rPr>
          <w:rFonts w:hint="cs"/>
          <w:rtl/>
        </w:rPr>
        <w:tab/>
      </w:r>
      <w:r>
        <w:rPr>
          <w:rFonts w:hint="cs"/>
          <w:i/>
          <w:iCs/>
          <w:rtl/>
        </w:rPr>
        <w:t xml:space="preserve">يدعو </w:t>
      </w:r>
      <w:r>
        <w:rPr>
          <w:rFonts w:hint="cs"/>
          <w:rtl/>
        </w:rPr>
        <w:t>الأطراف، والحكومات الأخرى، والشعوب الأصلية والمجتمعات المحلية، وأصحاب المصلحة المعنيين والمنظمات ذات الصلة إلى تقديم آرائها ومعلومات:</w:t>
      </w:r>
    </w:p>
    <w:p w:rsidR="001C1C1D" w:rsidRDefault="001C1C1D" w:rsidP="001C1C1D">
      <w:pPr>
        <w:ind w:firstLine="709"/>
        <w:rPr>
          <w:rtl/>
        </w:rPr>
      </w:pPr>
      <w:r>
        <w:rPr>
          <w:rFonts w:hint="cs"/>
          <w:rtl/>
        </w:rPr>
        <w:t>(أ)</w:t>
      </w:r>
      <w:r>
        <w:rPr>
          <w:rFonts w:hint="cs"/>
          <w:rtl/>
        </w:rPr>
        <w:tab/>
        <w:t>لتوضيح المفهوم، بما في ذلك المصطلح والنطاق ذوي الصلة لمعلومات التسلسل الرقمي بشأن الموارد الجينية وما إذا كانت التدابير المحلية للحصول وتقاسم المنافع تراعي معلومات التسلسل الرقمي بشأن الموارد الجينية وإلى أي مدى؛</w:t>
      </w:r>
    </w:p>
    <w:p w:rsidR="001C1C1D" w:rsidRDefault="001C1C1D" w:rsidP="001C1C1D">
      <w:pPr>
        <w:ind w:firstLine="709"/>
        <w:rPr>
          <w:rtl/>
        </w:rPr>
      </w:pPr>
      <w:r>
        <w:rPr>
          <w:rFonts w:hint="cs"/>
          <w:rtl/>
        </w:rPr>
        <w:t>(ب)</w:t>
      </w:r>
      <w:r>
        <w:rPr>
          <w:rFonts w:hint="cs"/>
          <w:rtl/>
        </w:rPr>
        <w:tab/>
        <w:t>وبشأن ترتيبات الحصول وتقاسم المنافع من الاستخدام التجاري وغير التجاري لمعلومات التسلسل الرقمي بشأن الموارد الجينية؛</w:t>
      </w:r>
    </w:p>
    <w:p w:rsidR="001C1C1D" w:rsidRDefault="001C1C1D" w:rsidP="001C1C1D">
      <w:pPr>
        <w:ind w:firstLine="709"/>
        <w:rPr>
          <w:rtl/>
        </w:rPr>
      </w:pPr>
      <w:r>
        <w:rPr>
          <w:rFonts w:hint="cs"/>
          <w:rtl/>
        </w:rPr>
        <w:t>10-</w:t>
      </w:r>
      <w:r>
        <w:rPr>
          <w:rFonts w:hint="cs"/>
          <w:rtl/>
        </w:rPr>
        <w:tab/>
      </w:r>
      <w:r>
        <w:rPr>
          <w:rFonts w:hint="cs"/>
          <w:i/>
          <w:iCs/>
          <w:rtl/>
        </w:rPr>
        <w:t xml:space="preserve">يدعو </w:t>
      </w:r>
      <w:r>
        <w:rPr>
          <w:rFonts w:hint="cs"/>
          <w:rtl/>
        </w:rPr>
        <w:t>الأطراف، والحكومات الأخرى، والشعوب الأصلية والمجتمعات المحلية إلى تقديم معلومات عن احتياجاتها من بناء القدرات فيما يتعلق بالحصول على معلومات التسلسل الرقمي بشأن الموارد الجينية واستخدامها وتوليدها وتحليلها، خاصة فيما يتعلق بأهداف الاتفاقية الثلاثة؛</w:t>
      </w:r>
    </w:p>
    <w:p w:rsidR="001C1C1D" w:rsidRDefault="001C1C1D" w:rsidP="001C1C1D">
      <w:pPr>
        <w:ind w:firstLine="709"/>
        <w:rPr>
          <w:rtl/>
        </w:rPr>
      </w:pPr>
      <w:r>
        <w:rPr>
          <w:rFonts w:hint="cs"/>
          <w:rtl/>
        </w:rPr>
        <w:t>11-</w:t>
      </w:r>
      <w:r>
        <w:rPr>
          <w:rFonts w:hint="cs"/>
          <w:rtl/>
        </w:rPr>
        <w:tab/>
      </w:r>
      <w:r>
        <w:rPr>
          <w:rFonts w:hint="cs"/>
          <w:i/>
          <w:iCs/>
          <w:rtl/>
        </w:rPr>
        <w:t xml:space="preserve">يقرر </w:t>
      </w:r>
      <w:r>
        <w:rPr>
          <w:rFonts w:hint="cs"/>
          <w:rtl/>
        </w:rPr>
        <w:t>تشكيل فريق خبراء تقنيين مخصص موسع،</w:t>
      </w:r>
      <w:r>
        <w:rPr>
          <w:rStyle w:val="FootnoteReference"/>
          <w:rtl/>
        </w:rPr>
        <w:footnoteReference w:id="263"/>
      </w:r>
      <w:r>
        <w:rPr>
          <w:rFonts w:hint="cs"/>
          <w:rtl/>
        </w:rPr>
        <w:t xml:space="preserve"> بما في ذلك مشاركة الشعوب الأصلية والمجتمعات المحلية، </w:t>
      </w:r>
      <w:r>
        <w:rPr>
          <w:rFonts w:hint="cs"/>
          <w:i/>
          <w:iCs/>
          <w:rtl/>
        </w:rPr>
        <w:t xml:space="preserve">ويطلب إلى </w:t>
      </w:r>
      <w:r>
        <w:rPr>
          <w:rFonts w:hint="cs"/>
          <w:rtl/>
        </w:rPr>
        <w:t>الأمينة التنفيذية أن تقوم، رهنا بتوافر الموارد، بما يلي:</w:t>
      </w:r>
    </w:p>
    <w:p w:rsidR="001C1C1D" w:rsidRDefault="001C1C1D" w:rsidP="001C1C1D">
      <w:pPr>
        <w:ind w:firstLine="709"/>
        <w:rPr>
          <w:rtl/>
        </w:rPr>
      </w:pPr>
      <w:r>
        <w:rPr>
          <w:rFonts w:hint="cs"/>
          <w:rtl/>
        </w:rPr>
        <w:t>(أ)</w:t>
      </w:r>
      <w:r>
        <w:rPr>
          <w:rFonts w:hint="cs"/>
          <w:rtl/>
        </w:rPr>
        <w:tab/>
        <w:t>تجميع وتوليف الآراء والمعلومات المقدمة عملا بالفقرتين 9 و10 أعلاه؛</w:t>
      </w:r>
    </w:p>
    <w:p w:rsidR="001C1C1D" w:rsidRDefault="001C1C1D" w:rsidP="001C1C1D">
      <w:pPr>
        <w:ind w:firstLine="709"/>
        <w:rPr>
          <w:rtl/>
        </w:rPr>
      </w:pPr>
      <w:r>
        <w:rPr>
          <w:rFonts w:hint="cs"/>
          <w:rtl/>
        </w:rPr>
        <w:t>(ب)</w:t>
      </w:r>
      <w:r>
        <w:rPr>
          <w:rFonts w:hint="cs"/>
          <w:rtl/>
        </w:rPr>
        <w:tab/>
        <w:t>التكليف بإجراء دراسة تقصي حقائق يستعرضها النظراء وتقوم على العلم بشأن مفهوم ونطاق معلومات التسلسل الرقمي بشأن الموارد الجينية والكيفية التي يجرى بها استخدام معلومات التسلسل الرقمي بشأن الموارد الجينية حاليا استنادا إلى الدراسة الحالية لتقصى الحقائق وتحديد النطاق؛</w:t>
      </w:r>
      <w:r>
        <w:rPr>
          <w:rStyle w:val="FootnoteReference"/>
          <w:rtl/>
        </w:rPr>
        <w:footnoteReference w:id="264"/>
      </w:r>
    </w:p>
    <w:p w:rsidR="001C1C1D" w:rsidRDefault="001C1C1D" w:rsidP="001C1C1D">
      <w:pPr>
        <w:ind w:firstLine="709"/>
        <w:rPr>
          <w:rtl/>
        </w:rPr>
      </w:pPr>
      <w:r>
        <w:rPr>
          <w:rFonts w:hint="cs"/>
          <w:rtl/>
        </w:rPr>
        <w:t>(ج)</w:t>
      </w:r>
      <w:r>
        <w:rPr>
          <w:rFonts w:hint="cs"/>
          <w:rtl/>
        </w:rPr>
        <w:tab/>
        <w:t>التكليف بإجراء دراسة يستعرضها النظراء بشأن التطورات الجارية في مجال قابلية معلومات التسلسل الرقمي بشأن الموارد الجينية للتتبع، بما في ذلك مدى تناول إمكانية التتبع من خلال قواعد البيانات، وكيف يمكن أن تساعد هذه التطورات على إثراء المناقشات بشأن معلومات التسلسل الرقمي بشأن الموارد الجينية؛</w:t>
      </w:r>
    </w:p>
    <w:p w:rsidR="001C1C1D" w:rsidRDefault="001C1C1D" w:rsidP="001C1C1D">
      <w:pPr>
        <w:ind w:firstLine="709"/>
        <w:rPr>
          <w:rtl/>
        </w:rPr>
      </w:pPr>
      <w:r>
        <w:rPr>
          <w:rFonts w:hint="cs"/>
          <w:rtl/>
        </w:rPr>
        <w:t>(د)</w:t>
      </w:r>
      <w:r>
        <w:rPr>
          <w:rFonts w:hint="cs"/>
          <w:rtl/>
        </w:rPr>
        <w:tab/>
        <w:t xml:space="preserve">التكليف بإجراء دراسة يستعرضها النظراء بشأن قواعد البيانات العامة، وإلى أقصى حد ممكن، قواعد البيانات الخاصة لمعلومات التسلسل الرقمي بشأن الموارد الجينية، بما في ذلك الشروط والأحكام التي يتم بموجبها منح أو ضبط الحصول عليها، والنطاق البيولوجي لقواعد البيانات وحجمها، وعدد مرات الوصول إليها وأصلها، والسياسات الحاكمة، ومقدمي معلومات التسلسل الرقمي بشأن الموارد الجينية ومستخدميها </w:t>
      </w:r>
      <w:r w:rsidRPr="007E2335">
        <w:rPr>
          <w:rFonts w:hint="cs"/>
          <w:rtl/>
        </w:rPr>
        <w:t>ويشجع</w:t>
      </w:r>
      <w:r w:rsidRPr="00347CBC">
        <w:rPr>
          <w:rFonts w:hint="cs"/>
          <w:rtl/>
        </w:rPr>
        <w:t xml:space="preserve"> أصحاب قواعد البيانات الخاصة على توفير المعلومات </w:t>
      </w:r>
      <w:r>
        <w:rPr>
          <w:rFonts w:hint="cs"/>
          <w:rtl/>
        </w:rPr>
        <w:t>اللازمة</w:t>
      </w:r>
      <w:r w:rsidRPr="00347CBC">
        <w:rPr>
          <w:rFonts w:hint="cs"/>
          <w:rtl/>
        </w:rPr>
        <w:t>؛</w:t>
      </w:r>
    </w:p>
    <w:p w:rsidR="001C1C1D" w:rsidRPr="003D2BF0" w:rsidRDefault="001C1C1D" w:rsidP="001C1C1D">
      <w:pPr>
        <w:ind w:firstLine="709"/>
        <w:rPr>
          <w:rFonts w:ascii="Simplified Arabic" w:hAnsi="Simplified Arabic"/>
          <w:rtl/>
        </w:rPr>
      </w:pPr>
      <w:r>
        <w:rPr>
          <w:rFonts w:hint="cs"/>
          <w:rtl/>
        </w:rPr>
        <w:lastRenderedPageBreak/>
        <w:t>(ه)</w:t>
      </w:r>
      <w:r>
        <w:rPr>
          <w:rFonts w:hint="cs"/>
          <w:rtl/>
        </w:rPr>
        <w:tab/>
      </w:r>
      <w:r>
        <w:rPr>
          <w:rFonts w:ascii="Simplified Arabic" w:hAnsi="Simplified Arabic" w:hint="cs"/>
          <w:rtl/>
        </w:rPr>
        <w:t>ال</w:t>
      </w:r>
      <w:r w:rsidRPr="003D2BF0">
        <w:rPr>
          <w:rFonts w:ascii="Simplified Arabic" w:hAnsi="Simplified Arabic"/>
          <w:rtl/>
        </w:rPr>
        <w:t xml:space="preserve">تكليف </w:t>
      </w:r>
      <w:r>
        <w:rPr>
          <w:rFonts w:ascii="Simplified Arabic" w:hAnsi="Simplified Arabic" w:hint="cs"/>
          <w:rtl/>
        </w:rPr>
        <w:t>بإجراء د</w:t>
      </w:r>
      <w:r w:rsidRPr="003D2BF0">
        <w:rPr>
          <w:rFonts w:ascii="Simplified Arabic" w:hAnsi="Simplified Arabic"/>
          <w:rtl/>
        </w:rPr>
        <w:t xml:space="preserve">راسة </w:t>
      </w:r>
      <w:r>
        <w:rPr>
          <w:rFonts w:ascii="Simplified Arabic" w:hAnsi="Simplified Arabic" w:hint="cs"/>
          <w:rtl/>
        </w:rPr>
        <w:t>يستعرضها</w:t>
      </w:r>
      <w:r w:rsidRPr="003D2BF0">
        <w:rPr>
          <w:rFonts w:ascii="Simplified Arabic" w:hAnsi="Simplified Arabic"/>
          <w:rtl/>
        </w:rPr>
        <w:t xml:space="preserve"> النظراء </w:t>
      </w:r>
      <w:r>
        <w:rPr>
          <w:rFonts w:ascii="Simplified Arabic" w:hAnsi="Simplified Arabic" w:hint="cs"/>
          <w:rtl/>
        </w:rPr>
        <w:t>بشأن</w:t>
      </w:r>
      <w:r w:rsidRPr="003D2BF0">
        <w:rPr>
          <w:rFonts w:ascii="Simplified Arabic" w:hAnsi="Simplified Arabic"/>
          <w:rtl/>
        </w:rPr>
        <w:t xml:space="preserve"> كيفية </w:t>
      </w:r>
      <w:r>
        <w:rPr>
          <w:rFonts w:ascii="Simplified Arabic" w:hAnsi="Simplified Arabic" w:hint="cs"/>
          <w:rtl/>
        </w:rPr>
        <w:t>تناول</w:t>
      </w:r>
      <w:r w:rsidRPr="003D2BF0">
        <w:rPr>
          <w:rFonts w:ascii="Simplified Arabic" w:hAnsi="Simplified Arabic"/>
          <w:rtl/>
        </w:rPr>
        <w:t xml:space="preserve"> التدابير المحلية لتقاسم المنافع الناشئة عن الاستخدام التجاري وغير التجاري لمعلومات التسلسل الرقمي بشأن الموارد الجينية </w:t>
      </w:r>
      <w:r>
        <w:rPr>
          <w:rFonts w:ascii="Simplified Arabic" w:hAnsi="Simplified Arabic" w:hint="cs"/>
          <w:rtl/>
        </w:rPr>
        <w:t>وتناول</w:t>
      </w:r>
      <w:r w:rsidRPr="003D2BF0">
        <w:rPr>
          <w:rFonts w:ascii="Simplified Arabic" w:hAnsi="Simplified Arabic"/>
          <w:rtl/>
        </w:rPr>
        <w:t xml:space="preserve"> استخدام معلومات التسلسل الرقمي بشأن الموار</w:t>
      </w:r>
      <w:r>
        <w:rPr>
          <w:rFonts w:ascii="Simplified Arabic" w:hAnsi="Simplified Arabic"/>
          <w:rtl/>
        </w:rPr>
        <w:t>د الجينية لأغراض البحث والتطوير</w:t>
      </w:r>
      <w:r w:rsidRPr="003D2BF0">
        <w:rPr>
          <w:rFonts w:ascii="Simplified Arabic" w:hAnsi="Simplified Arabic"/>
          <w:rtl/>
        </w:rPr>
        <w:t xml:space="preserve">، مع مراعاة </w:t>
      </w:r>
      <w:r>
        <w:rPr>
          <w:rFonts w:hint="cs"/>
          <w:rtl/>
        </w:rPr>
        <w:t>التقديمات الواردة في الفقرة 9؛</w:t>
      </w:r>
    </w:p>
    <w:p w:rsidR="001C1C1D" w:rsidRDefault="001C1C1D" w:rsidP="001C1C1D">
      <w:pPr>
        <w:ind w:firstLine="709"/>
        <w:rPr>
          <w:rtl/>
        </w:rPr>
      </w:pPr>
      <w:r>
        <w:rPr>
          <w:rFonts w:hint="cs"/>
          <w:rtl/>
        </w:rPr>
        <w:t>(و)</w:t>
      </w:r>
      <w:r>
        <w:rPr>
          <w:rFonts w:hint="cs"/>
          <w:rtl/>
        </w:rPr>
        <w:tab/>
        <w:t>عقد اجتماع لفريق الخبراء التقنيين المخصص الموسع للقيام بما يلي:</w:t>
      </w:r>
    </w:p>
    <w:p w:rsidR="001C1C1D" w:rsidRDefault="001C1C1D" w:rsidP="001C1C1D">
      <w:pPr>
        <w:ind w:left="1440" w:hanging="731"/>
        <w:rPr>
          <w:rtl/>
        </w:rPr>
      </w:pPr>
      <w:r>
        <w:rPr>
          <w:rFonts w:hint="cs"/>
          <w:rtl/>
        </w:rPr>
        <w:t>(1)</w:t>
      </w:r>
      <w:r>
        <w:rPr>
          <w:rFonts w:hint="cs"/>
          <w:rtl/>
        </w:rPr>
        <w:tab/>
        <w:t>النظر في تجميع وتوليف الآراء والمعلومات والدراسات التي يستعرضها النظراء المشار إليها أعلاه؛</w:t>
      </w:r>
    </w:p>
    <w:p w:rsidR="001C1C1D" w:rsidRDefault="001C1C1D" w:rsidP="001C1C1D">
      <w:pPr>
        <w:ind w:left="1440" w:hanging="731"/>
        <w:rPr>
          <w:rtl/>
        </w:rPr>
      </w:pPr>
      <w:r>
        <w:rPr>
          <w:rFonts w:hint="cs"/>
          <w:rtl/>
        </w:rPr>
        <w:t>(2)</w:t>
      </w:r>
      <w:r>
        <w:rPr>
          <w:rFonts w:hint="cs"/>
          <w:rtl/>
        </w:rPr>
        <w:tab/>
      </w:r>
      <w:r w:rsidRPr="0021484C">
        <w:rPr>
          <w:rFonts w:hint="cs"/>
          <w:rtl/>
        </w:rPr>
        <w:t xml:space="preserve">وضع خيارات </w:t>
      </w:r>
      <w:r>
        <w:rPr>
          <w:rFonts w:hint="cs"/>
          <w:rtl/>
        </w:rPr>
        <w:t>للمصطلحات</w:t>
      </w:r>
      <w:r w:rsidRPr="0021484C">
        <w:rPr>
          <w:rFonts w:hint="cs"/>
          <w:rtl/>
        </w:rPr>
        <w:t xml:space="preserve"> التشغيلية وآثارها لتوفير الوضوح المفاهيمي بشأن معلومات التسلسل الرقمي بشأن الموارد الجينية</w:t>
      </w:r>
      <w:r>
        <w:rPr>
          <w:rFonts w:hint="cs"/>
          <w:rtl/>
        </w:rPr>
        <w:t>، على أن تُراعى بوجه خاص الدراسة المُشار إليها في الفقرة 11(ب) أعلاه؛</w:t>
      </w:r>
    </w:p>
    <w:p w:rsidR="001C1C1D" w:rsidRDefault="001C1C1D" w:rsidP="001C1C1D">
      <w:pPr>
        <w:ind w:left="1440" w:hanging="731"/>
        <w:rPr>
          <w:rtl/>
        </w:rPr>
      </w:pPr>
      <w:r>
        <w:rPr>
          <w:rFonts w:hint="cs"/>
          <w:rtl/>
        </w:rPr>
        <w:t>(3)</w:t>
      </w:r>
      <w:r>
        <w:rPr>
          <w:rFonts w:hint="cs"/>
          <w:rtl/>
        </w:rPr>
        <w:tab/>
        <w:t>تحديد المجالات الرئيسية لبناء القدرات؛</w:t>
      </w:r>
    </w:p>
    <w:p w:rsidR="001C1C1D" w:rsidRDefault="001C1C1D" w:rsidP="001C1C1D">
      <w:pPr>
        <w:ind w:left="1440" w:hanging="731"/>
        <w:rPr>
          <w:rtl/>
        </w:rPr>
      </w:pPr>
      <w:r>
        <w:rPr>
          <w:rFonts w:hint="cs"/>
          <w:rtl/>
        </w:rPr>
        <w:t>(4)</w:t>
      </w:r>
      <w:r>
        <w:rPr>
          <w:rFonts w:hint="cs"/>
          <w:rtl/>
        </w:rPr>
        <w:tab/>
      </w:r>
      <w:r w:rsidRPr="00652F81">
        <w:rPr>
          <w:rFonts w:hint="cs"/>
          <w:rtl/>
        </w:rPr>
        <w:t xml:space="preserve">تقديم </w:t>
      </w:r>
      <w:r>
        <w:rPr>
          <w:rFonts w:hint="cs"/>
          <w:rtl/>
        </w:rPr>
        <w:t>نتائجه</w:t>
      </w:r>
      <w:r w:rsidRPr="00652F81">
        <w:rPr>
          <w:rFonts w:hint="cs"/>
          <w:rtl/>
        </w:rPr>
        <w:t xml:space="preserve"> للنظر فيها من خلال اجتماع </w:t>
      </w:r>
      <w:r>
        <w:rPr>
          <w:rFonts w:hint="cs"/>
          <w:rtl/>
        </w:rPr>
        <w:t>الفريق العامل المفتوح العضوية المنشئ بموجب المقرر 14/34</w:t>
      </w:r>
      <w:r w:rsidRPr="00652F81">
        <w:rPr>
          <w:rFonts w:hint="cs"/>
          <w:rtl/>
        </w:rPr>
        <w:t xml:space="preserve"> الذي سيعقد قبل الاجتماع الخامس عشر لمؤتمر الأطراف</w:t>
      </w:r>
      <w:r>
        <w:rPr>
          <w:rFonts w:hint="cs"/>
          <w:rtl/>
        </w:rPr>
        <w:t>؛</w:t>
      </w:r>
    </w:p>
    <w:p w:rsidR="001C1C1D" w:rsidRDefault="001C1C1D" w:rsidP="001C1C1D">
      <w:pPr>
        <w:ind w:firstLine="709"/>
        <w:rPr>
          <w:rtl/>
        </w:rPr>
      </w:pPr>
      <w:r>
        <w:rPr>
          <w:rFonts w:hint="cs"/>
          <w:rtl/>
        </w:rPr>
        <w:t>12-</w:t>
      </w:r>
      <w:r>
        <w:rPr>
          <w:rFonts w:hint="cs"/>
          <w:rtl/>
        </w:rPr>
        <w:tab/>
      </w:r>
      <w:r w:rsidRPr="007E2335">
        <w:rPr>
          <w:rFonts w:hint="cs"/>
          <w:i/>
          <w:iCs/>
          <w:rtl/>
          <w:lang w:val="en-GB"/>
        </w:rPr>
        <w:t>يطلب</w:t>
      </w:r>
      <w:r w:rsidRPr="00754074">
        <w:rPr>
          <w:rFonts w:hint="cs"/>
          <w:rtl/>
          <w:lang w:val="en-GB"/>
        </w:rPr>
        <w:t xml:space="preserve"> إلى </w:t>
      </w:r>
      <w:r w:rsidRPr="00754074">
        <w:rPr>
          <w:rFonts w:hint="cs"/>
          <w:rtl/>
        </w:rPr>
        <w:t>الفريق العامل المفتوح العضوية</w:t>
      </w:r>
      <w:r w:rsidRPr="00754074">
        <w:rPr>
          <w:rFonts w:hint="cs"/>
          <w:rtl/>
          <w:lang w:val="en-GB"/>
        </w:rPr>
        <w:t xml:space="preserve"> </w:t>
      </w:r>
      <w:r>
        <w:rPr>
          <w:rFonts w:hint="cs"/>
          <w:rtl/>
          <w:lang w:val="en-GB"/>
        </w:rPr>
        <w:t xml:space="preserve">المنشئ </w:t>
      </w:r>
      <w:r w:rsidRPr="00754074">
        <w:rPr>
          <w:rFonts w:hint="cs"/>
          <w:rtl/>
        </w:rPr>
        <w:t xml:space="preserve">بموجب </w:t>
      </w:r>
      <w:r>
        <w:rPr>
          <w:rFonts w:hint="cs"/>
          <w:rtl/>
        </w:rPr>
        <w:t>ال</w:t>
      </w:r>
      <w:r w:rsidRPr="00754074">
        <w:rPr>
          <w:rFonts w:hint="cs"/>
          <w:rtl/>
        </w:rPr>
        <w:t>مقرر 14/</w:t>
      </w:r>
      <w:r>
        <w:rPr>
          <w:rFonts w:hint="cs"/>
          <w:rtl/>
        </w:rPr>
        <w:t>34</w:t>
      </w:r>
      <w:r w:rsidRPr="00754074">
        <w:rPr>
          <w:rStyle w:val="FootnoteReference"/>
          <w:rtl/>
          <w:lang w:val="en-GB"/>
        </w:rPr>
        <w:footnoteReference w:id="265"/>
      </w:r>
      <w:r>
        <w:rPr>
          <w:rFonts w:hint="cs"/>
          <w:rtl/>
          <w:lang w:val="en-GB"/>
        </w:rPr>
        <w:t xml:space="preserve"> أن ينظر في نتائج فريق الخبراء التقنيين المخصص الموسع وأن يقدم توصيات إلى مؤتمر الأطراف في اجتماعه الخامس عشر بشأن الكيفية التي ينبغي بها تناول معلومات </w:t>
      </w:r>
      <w:r>
        <w:rPr>
          <w:rFonts w:hint="cs"/>
          <w:rtl/>
        </w:rPr>
        <w:t>التسلسل الرقمي بشأن الموارد الجينية في سياق الإطار العالمي للتنوع البيولوجي لما بعد عام 2020؛</w:t>
      </w:r>
    </w:p>
    <w:p w:rsidR="001C1C1D" w:rsidRPr="00230383" w:rsidRDefault="001C1C1D" w:rsidP="001C1C1D">
      <w:pPr>
        <w:ind w:firstLine="706"/>
        <w:rPr>
          <w:rtl/>
          <w:lang w:val="en-GB"/>
        </w:rPr>
      </w:pPr>
      <w:r>
        <w:rPr>
          <w:rFonts w:hint="cs"/>
          <w:rtl/>
        </w:rPr>
        <w:t>13-</w:t>
      </w:r>
      <w:r>
        <w:rPr>
          <w:rFonts w:hint="cs"/>
          <w:rtl/>
        </w:rPr>
        <w:tab/>
      </w:r>
      <w:r>
        <w:rPr>
          <w:rFonts w:hint="cs"/>
          <w:i/>
          <w:iCs/>
          <w:rtl/>
        </w:rPr>
        <w:t>يطلب</w:t>
      </w:r>
      <w:r>
        <w:rPr>
          <w:rFonts w:hint="cs"/>
          <w:rtl/>
        </w:rPr>
        <w:t xml:space="preserve"> إلى الأمينة التنفيذية أن تتعاون مع المنظمات الحكومية الدولية الأخرى وأن تطلعها على العملية المحددة أعلاه وأن تأخذ في الاعتبار العمل والنُّهج والنتائج التي تحدثها هذه المنظمات في المجال المعني.</w:t>
      </w:r>
    </w:p>
    <w:p w:rsidR="001D61EA" w:rsidRDefault="001D61EA" w:rsidP="001D61EA">
      <w:pPr>
        <w:spacing w:after="0" w:line="240" w:lineRule="auto"/>
        <w:jc w:val="left"/>
        <w:rPr>
          <w:b/>
          <w:bCs/>
          <w:sz w:val="24"/>
          <w:rtl/>
        </w:rPr>
      </w:pPr>
      <w:r>
        <w:rPr>
          <w:b/>
          <w:bCs/>
          <w:sz w:val="24"/>
          <w:rtl/>
        </w:rPr>
        <w:br w:type="page"/>
      </w:r>
    </w:p>
    <w:p w:rsidR="001C1C1D" w:rsidRPr="00FC49AD" w:rsidRDefault="001C1C1D" w:rsidP="00696773">
      <w:pPr>
        <w:pStyle w:val="Heading2"/>
        <w:rPr>
          <w:b w:val="0"/>
          <w:bCs w:val="0"/>
          <w:rtl/>
        </w:rPr>
      </w:pPr>
      <w:bookmarkStart w:id="160" w:name="_Toc6071625"/>
      <w:bookmarkStart w:id="161" w:name="_Toc6139982"/>
      <w:r>
        <w:rPr>
          <w:rFonts w:hint="cs"/>
          <w:rtl/>
        </w:rPr>
        <w:lastRenderedPageBreak/>
        <w:t>المقرر 14/21</w:t>
      </w:r>
      <w:r>
        <w:rPr>
          <w:rFonts w:hint="cs"/>
          <w:rtl/>
        </w:rPr>
        <w:tab/>
        <w:t>المسؤولية والجبر التعويضي (المادة 14، الفقرة 2)</w:t>
      </w:r>
      <w:bookmarkEnd w:id="160"/>
      <w:bookmarkEnd w:id="161"/>
    </w:p>
    <w:p w:rsidR="001C1C1D" w:rsidRPr="00966219" w:rsidRDefault="001C1C1D" w:rsidP="001C1C1D">
      <w:pPr>
        <w:pStyle w:val="Para10"/>
        <w:numPr>
          <w:ilvl w:val="0"/>
          <w:numId w:val="0"/>
        </w:numPr>
        <w:tabs>
          <w:tab w:val="left" w:pos="709"/>
        </w:tabs>
        <w:bidi/>
        <w:spacing w:before="0" w:line="216" w:lineRule="auto"/>
        <w:ind w:left="720"/>
        <w:rPr>
          <w:rFonts w:ascii="Simplified Arabic" w:hAnsi="Simplified Arabic" w:cs="Simplified Arabic"/>
          <w:i/>
          <w:iCs/>
          <w:sz w:val="24"/>
          <w:szCs w:val="24"/>
          <w:rtl/>
        </w:rPr>
      </w:pPr>
      <w:r w:rsidRPr="00966219">
        <w:rPr>
          <w:rFonts w:ascii="Simplified Arabic" w:hAnsi="Simplified Arabic" w:cs="Simplified Arabic" w:hint="cs"/>
          <w:i/>
          <w:iCs/>
          <w:sz w:val="24"/>
          <w:szCs w:val="24"/>
          <w:rtl/>
        </w:rPr>
        <w:t>إن مؤتمر الأطراف</w:t>
      </w:r>
      <w:r>
        <w:rPr>
          <w:rFonts w:ascii="Simplified Arabic" w:hAnsi="Simplified Arabic" w:cs="Simplified Arabic"/>
          <w:i/>
          <w:iCs/>
          <w:sz w:val="24"/>
          <w:szCs w:val="24"/>
        </w:rPr>
        <w:t xml:space="preserve"> </w:t>
      </w:r>
    </w:p>
    <w:p w:rsidR="001C1C1D" w:rsidRDefault="001C1C1D" w:rsidP="001C1C1D">
      <w:pPr>
        <w:pStyle w:val="Para10"/>
        <w:numPr>
          <w:ilvl w:val="0"/>
          <w:numId w:val="0"/>
        </w:numPr>
        <w:bidi/>
        <w:spacing w:before="0" w:line="216" w:lineRule="auto"/>
        <w:ind w:left="720"/>
        <w:rPr>
          <w:rFonts w:ascii="Simplified Arabic" w:hAnsi="Simplified Arabic" w:cs="Simplified Arabic"/>
          <w:sz w:val="26"/>
          <w:szCs w:val="26"/>
          <w:rtl/>
        </w:rPr>
      </w:pPr>
      <w:r w:rsidRPr="00966219">
        <w:rPr>
          <w:rFonts w:ascii="Simplified Arabic" w:hAnsi="Simplified Arabic" w:cs="Simplified Arabic" w:hint="cs"/>
          <w:i/>
          <w:iCs/>
          <w:sz w:val="24"/>
          <w:szCs w:val="24"/>
          <w:rtl/>
        </w:rPr>
        <w:t xml:space="preserve">إذ </w:t>
      </w:r>
      <w:r>
        <w:rPr>
          <w:rFonts w:ascii="Simplified Arabic" w:hAnsi="Simplified Arabic" w:cs="Simplified Arabic" w:hint="cs"/>
          <w:i/>
          <w:iCs/>
          <w:sz w:val="24"/>
          <w:szCs w:val="24"/>
          <w:rtl/>
        </w:rPr>
        <w:t xml:space="preserve">يشير إلى </w:t>
      </w:r>
      <w:r w:rsidRPr="00966219">
        <w:rPr>
          <w:rFonts w:ascii="Simplified Arabic" w:hAnsi="Simplified Arabic" w:cs="Simplified Arabic" w:hint="cs"/>
          <w:sz w:val="24"/>
          <w:szCs w:val="24"/>
          <w:rtl/>
        </w:rPr>
        <w:t>المقرر 12/14،</w:t>
      </w:r>
    </w:p>
    <w:p w:rsidR="001C1C1D" w:rsidRPr="00966219" w:rsidRDefault="001C1C1D" w:rsidP="001C1C1D">
      <w:pPr>
        <w:pStyle w:val="Para10"/>
        <w:numPr>
          <w:ilvl w:val="0"/>
          <w:numId w:val="0"/>
        </w:numPr>
        <w:bidi/>
        <w:spacing w:before="0" w:line="216" w:lineRule="auto"/>
        <w:ind w:left="720"/>
        <w:rPr>
          <w:rFonts w:ascii="Simplified Arabic" w:hAnsi="Simplified Arabic" w:cs="Simplified Arabic"/>
          <w:kern w:val="22"/>
          <w:sz w:val="24"/>
          <w:szCs w:val="24"/>
        </w:rPr>
      </w:pPr>
      <w:r w:rsidRPr="00966219">
        <w:rPr>
          <w:rFonts w:ascii="Simplified Arabic" w:hAnsi="Simplified Arabic" w:cs="Simplified Arabic"/>
          <w:i/>
          <w:iCs/>
          <w:sz w:val="24"/>
          <w:szCs w:val="24"/>
          <w:rtl/>
        </w:rPr>
        <w:t>وإذ يحيط علما</w:t>
      </w:r>
      <w:r w:rsidRPr="00966219">
        <w:rPr>
          <w:rFonts w:ascii="Simplified Arabic" w:hAnsi="Simplified Arabic" w:cs="Simplified Arabic"/>
          <w:sz w:val="24"/>
          <w:szCs w:val="24"/>
          <w:rtl/>
        </w:rPr>
        <w:t xml:space="preserve"> بالمعلومات التي قدم</w:t>
      </w:r>
      <w:r>
        <w:rPr>
          <w:rFonts w:ascii="Simplified Arabic" w:hAnsi="Simplified Arabic" w:cs="Simplified Arabic" w:hint="cs"/>
          <w:sz w:val="24"/>
          <w:szCs w:val="24"/>
          <w:rtl/>
        </w:rPr>
        <w:t>ت</w:t>
      </w:r>
      <w:r w:rsidRPr="00966219">
        <w:rPr>
          <w:rFonts w:ascii="Simplified Arabic" w:hAnsi="Simplified Arabic" w:cs="Simplified Arabic"/>
          <w:sz w:val="24"/>
          <w:szCs w:val="24"/>
          <w:rtl/>
        </w:rPr>
        <w:t>ها الأمين</w:t>
      </w:r>
      <w:r>
        <w:rPr>
          <w:rFonts w:ascii="Simplified Arabic" w:hAnsi="Simplified Arabic" w:cs="Simplified Arabic" w:hint="cs"/>
          <w:sz w:val="24"/>
          <w:szCs w:val="24"/>
          <w:rtl/>
        </w:rPr>
        <w:t>ة</w:t>
      </w:r>
      <w:r w:rsidRPr="00966219">
        <w:rPr>
          <w:rFonts w:ascii="Simplified Arabic" w:hAnsi="Simplified Arabic" w:cs="Simplified Arabic"/>
          <w:sz w:val="24"/>
          <w:szCs w:val="24"/>
          <w:rtl/>
        </w:rPr>
        <w:t xml:space="preserve"> التنفيذي</w:t>
      </w:r>
      <w:r>
        <w:rPr>
          <w:rFonts w:ascii="Simplified Arabic" w:hAnsi="Simplified Arabic" w:cs="Simplified Arabic" w:hint="cs"/>
          <w:sz w:val="24"/>
          <w:szCs w:val="24"/>
          <w:rtl/>
        </w:rPr>
        <w:t>ة</w:t>
      </w:r>
      <w:r w:rsidRPr="00966219">
        <w:rPr>
          <w:rFonts w:ascii="Simplified Arabic" w:hAnsi="Simplified Arabic" w:cs="Simplified Arabic"/>
          <w:sz w:val="24"/>
          <w:szCs w:val="24"/>
          <w:rtl/>
        </w:rPr>
        <w:t xml:space="preserve"> بشأن التطورات الجديدة المتعلقة بالمسؤولية والجبر التعويضي عن الأضرار التي تلحق بالبيئة بوجه عام وبالتنوع البيولوجي بوجه خاص</w:t>
      </w:r>
      <w:r>
        <w:rPr>
          <w:rFonts w:ascii="Simplified Arabic" w:hAnsi="Simplified Arabic" w:cs="Simplified Arabic" w:hint="cs"/>
          <w:sz w:val="24"/>
          <w:szCs w:val="24"/>
          <w:rtl/>
        </w:rPr>
        <w:t>؛</w:t>
      </w:r>
      <w:r>
        <w:rPr>
          <w:rStyle w:val="FootnoteReference"/>
          <w:rFonts w:ascii="Simplified Arabic" w:hAnsi="Simplified Arabic"/>
          <w:sz w:val="24"/>
          <w:rtl/>
        </w:rPr>
        <w:footnoteReference w:id="266"/>
      </w:r>
    </w:p>
    <w:p w:rsidR="001C1C1D" w:rsidRDefault="001C1C1D" w:rsidP="001C1C1D">
      <w:pPr>
        <w:pStyle w:val="Body"/>
        <w:bidi/>
        <w:spacing w:after="120" w:line="216" w:lineRule="auto"/>
        <w:ind w:firstLine="720"/>
        <w:rPr>
          <w:kern w:val="22"/>
          <w:rtl/>
        </w:rPr>
      </w:pPr>
      <w:r>
        <w:rPr>
          <w:rFonts w:ascii="Simplified Arabic" w:hAnsi="Simplified Arabic" w:cs="Simplified Arabic" w:hint="cs"/>
          <w:sz w:val="24"/>
          <w:szCs w:val="24"/>
          <w:rtl/>
        </w:rPr>
        <w:t>1-</w:t>
      </w:r>
      <w:r>
        <w:rPr>
          <w:rFonts w:ascii="Simplified Arabic" w:hAnsi="Simplified Arabic" w:cs="Simplified Arabic" w:hint="cs"/>
          <w:sz w:val="24"/>
          <w:szCs w:val="24"/>
          <w:rtl/>
        </w:rPr>
        <w:tab/>
      </w:r>
      <w:r w:rsidRPr="00FB3F13">
        <w:rPr>
          <w:rFonts w:ascii="Simplified Arabic" w:hAnsi="Simplified Arabic" w:cs="Simplified Arabic" w:hint="cs"/>
          <w:i/>
          <w:iCs/>
          <w:sz w:val="24"/>
          <w:szCs w:val="24"/>
          <w:rtl/>
        </w:rPr>
        <w:t>ي</w:t>
      </w:r>
      <w:r w:rsidRPr="00FB3F13">
        <w:rPr>
          <w:rFonts w:ascii="Simplified Arabic" w:hAnsi="Simplified Arabic" w:cs="Simplified Arabic"/>
          <w:i/>
          <w:iCs/>
          <w:sz w:val="24"/>
          <w:szCs w:val="24"/>
          <w:rtl/>
        </w:rPr>
        <w:t>رحب</w:t>
      </w:r>
      <w:r w:rsidRPr="00206425">
        <w:rPr>
          <w:rFonts w:ascii="Simplified Arabic" w:hAnsi="Simplified Arabic" w:cs="Simplified Arabic"/>
          <w:sz w:val="24"/>
          <w:szCs w:val="24"/>
          <w:rtl/>
        </w:rPr>
        <w:t xml:space="preserve"> </w:t>
      </w:r>
      <w:r>
        <w:rPr>
          <w:rFonts w:ascii="Simplified Arabic" w:hAnsi="Simplified Arabic" w:cs="Simplified Arabic" w:hint="cs"/>
          <w:sz w:val="24"/>
          <w:szCs w:val="24"/>
          <w:rtl/>
        </w:rPr>
        <w:t>بدخول</w:t>
      </w:r>
      <w:r w:rsidRPr="00206425">
        <w:rPr>
          <w:rFonts w:ascii="Simplified Arabic" w:hAnsi="Simplified Arabic" w:cs="Simplified Arabic"/>
          <w:sz w:val="24"/>
          <w:szCs w:val="24"/>
          <w:rtl/>
        </w:rPr>
        <w:t xml:space="preserve"> </w:t>
      </w:r>
      <w:r w:rsidRPr="00415C1A">
        <w:rPr>
          <w:rFonts w:ascii="Simplified Arabic" w:hAnsi="Simplified Arabic" w:cs="Simplified Arabic"/>
          <w:sz w:val="24"/>
          <w:szCs w:val="24"/>
          <w:rtl/>
        </w:rPr>
        <w:t xml:space="preserve">بروتوكول </w:t>
      </w:r>
      <w:r w:rsidRPr="008E5D79">
        <w:rPr>
          <w:rFonts w:ascii="Simplified Arabic" w:hAnsi="Simplified Arabic" w:cs="Simplified Arabic"/>
          <w:sz w:val="24"/>
          <w:szCs w:val="24"/>
          <w:rtl/>
        </w:rPr>
        <w:t>ناغويا-</w:t>
      </w:r>
      <w:r>
        <w:rPr>
          <w:rFonts w:ascii="Simplified Arabic" w:hAnsi="Simplified Arabic" w:cs="Simplified Arabic" w:hint="cs"/>
          <w:sz w:val="24"/>
          <w:szCs w:val="24"/>
          <w:rtl/>
        </w:rPr>
        <w:t xml:space="preserve"> </w:t>
      </w:r>
      <w:r w:rsidRPr="008E5D79">
        <w:rPr>
          <w:rFonts w:ascii="Simplified Arabic" w:hAnsi="Simplified Arabic" w:cs="Simplified Arabic"/>
          <w:sz w:val="24"/>
          <w:szCs w:val="24"/>
          <w:rtl/>
        </w:rPr>
        <w:t>كوالالمبور</w:t>
      </w:r>
      <w:r w:rsidRPr="00415C1A">
        <w:rPr>
          <w:rFonts w:ascii="Simplified Arabic" w:hAnsi="Simplified Arabic" w:cs="Simplified Arabic"/>
          <w:sz w:val="24"/>
          <w:szCs w:val="24"/>
          <w:rtl/>
        </w:rPr>
        <w:t xml:space="preserve"> التكميلي بشأن المسؤولية والجبر التعويضي</w:t>
      </w:r>
      <w:r>
        <w:rPr>
          <w:rFonts w:ascii="Simplified Arabic" w:hAnsi="Simplified Arabic" w:cs="Simplified Arabic" w:hint="cs"/>
          <w:sz w:val="24"/>
          <w:szCs w:val="24"/>
          <w:rtl/>
        </w:rPr>
        <w:t xml:space="preserve"> حيز النفاذ</w:t>
      </w:r>
      <w:r w:rsidRPr="00206425">
        <w:rPr>
          <w:rFonts w:ascii="Simplified Arabic" w:hAnsi="Simplified Arabic" w:cs="Simplified Arabic"/>
          <w:sz w:val="24"/>
          <w:szCs w:val="24"/>
          <w:rtl/>
        </w:rPr>
        <w:t>؛</w:t>
      </w:r>
    </w:p>
    <w:p w:rsidR="001C1C1D" w:rsidRDefault="001C1C1D" w:rsidP="001C1C1D">
      <w:pPr>
        <w:pStyle w:val="Body"/>
        <w:bidi/>
        <w:spacing w:after="120" w:line="216" w:lineRule="auto"/>
        <w:ind w:firstLine="720"/>
        <w:rPr>
          <w:rFonts w:ascii="Simplified Arabic" w:hAnsi="Simplified Arabic" w:cs="Simplified Arabic"/>
          <w:sz w:val="24"/>
          <w:szCs w:val="24"/>
          <w:rtl/>
        </w:rPr>
      </w:pPr>
      <w:r>
        <w:rPr>
          <w:rFonts w:ascii="Simplified Arabic" w:hAnsi="Simplified Arabic" w:cs="Simplified Arabic"/>
          <w:sz w:val="24"/>
          <w:szCs w:val="24"/>
        </w:rPr>
        <w:t>2</w:t>
      </w:r>
      <w:r>
        <w:rPr>
          <w:rFonts w:ascii="Simplified Arabic" w:hAnsi="Simplified Arabic" w:cs="Simplified Arabic" w:hint="cs"/>
          <w:sz w:val="24"/>
          <w:szCs w:val="24"/>
          <w:rtl/>
        </w:rPr>
        <w:t>-</w:t>
      </w:r>
      <w:r>
        <w:rPr>
          <w:rFonts w:ascii="Simplified Arabic" w:hAnsi="Simplified Arabic" w:cs="Simplified Arabic" w:hint="cs"/>
          <w:sz w:val="24"/>
          <w:szCs w:val="24"/>
          <w:rtl/>
        </w:rPr>
        <w:tab/>
      </w:r>
      <w:r w:rsidRPr="00FB3F13">
        <w:rPr>
          <w:rFonts w:ascii="Simplified Arabic" w:hAnsi="Simplified Arabic" w:cs="Simplified Arabic"/>
          <w:i/>
          <w:iCs/>
          <w:sz w:val="24"/>
          <w:szCs w:val="24"/>
          <w:rtl/>
        </w:rPr>
        <w:t>يدعو</w:t>
      </w:r>
      <w:r w:rsidRPr="00206425">
        <w:rPr>
          <w:rFonts w:ascii="Simplified Arabic" w:hAnsi="Simplified Arabic" w:cs="Simplified Arabic"/>
          <w:sz w:val="24"/>
          <w:szCs w:val="24"/>
          <w:rtl/>
        </w:rPr>
        <w:t xml:space="preserve"> الأطراف إلى مواصلة </w:t>
      </w:r>
      <w:r>
        <w:rPr>
          <w:rFonts w:ascii="Simplified Arabic" w:hAnsi="Simplified Arabic" w:cs="Simplified Arabic" w:hint="cs"/>
          <w:sz w:val="24"/>
          <w:szCs w:val="24"/>
          <w:rtl/>
        </w:rPr>
        <w:t>تناول</w:t>
      </w:r>
      <w:r w:rsidRPr="00206425">
        <w:rPr>
          <w:rFonts w:ascii="Simplified Arabic" w:hAnsi="Simplified Arabic" w:cs="Simplified Arabic"/>
          <w:sz w:val="24"/>
          <w:szCs w:val="24"/>
          <w:rtl/>
        </w:rPr>
        <w:t xml:space="preserve"> مسألة المسؤولية والجبر التعويضي</w:t>
      </w:r>
      <w:r>
        <w:rPr>
          <w:rFonts w:ascii="Simplified Arabic" w:hAnsi="Simplified Arabic" w:cs="Simplified Arabic" w:hint="cs"/>
          <w:sz w:val="24"/>
          <w:szCs w:val="24"/>
          <w:rtl/>
        </w:rPr>
        <w:t xml:space="preserve"> في سياق المادة 14، الفقرة 2</w:t>
      </w:r>
      <w:r w:rsidRPr="001F206B">
        <w:rPr>
          <w:rFonts w:ascii="Simplified Arabic" w:hAnsi="Simplified Arabic" w:cs="Simplified Arabic" w:hint="cs"/>
          <w:sz w:val="24"/>
          <w:szCs w:val="24"/>
          <w:rtl/>
        </w:rPr>
        <w:t>، بما في ذلك الاستعادة والتعويض</w:t>
      </w:r>
      <w:r w:rsidRPr="00206425">
        <w:rPr>
          <w:rFonts w:ascii="Simplified Arabic" w:hAnsi="Simplified Arabic" w:cs="Simplified Arabic"/>
          <w:sz w:val="24"/>
          <w:szCs w:val="24"/>
          <w:rtl/>
        </w:rPr>
        <w:t xml:space="preserve"> عن </w:t>
      </w:r>
      <w:r>
        <w:rPr>
          <w:rFonts w:ascii="Simplified Arabic" w:hAnsi="Simplified Arabic" w:cs="Simplified Arabic" w:hint="cs"/>
          <w:sz w:val="24"/>
          <w:szCs w:val="24"/>
          <w:rtl/>
        </w:rPr>
        <w:t>الأضرار التي تلحق ب</w:t>
      </w:r>
      <w:r>
        <w:rPr>
          <w:rFonts w:ascii="Simplified Arabic" w:hAnsi="Simplified Arabic" w:cs="Simplified Arabic"/>
          <w:sz w:val="24"/>
          <w:szCs w:val="24"/>
          <w:rtl/>
        </w:rPr>
        <w:t>التنوع البيولوجي</w:t>
      </w:r>
      <w:r w:rsidRPr="00206425">
        <w:rPr>
          <w:rFonts w:ascii="Simplified Arabic" w:hAnsi="Simplified Arabic" w:cs="Simplified Arabic"/>
          <w:sz w:val="24"/>
          <w:szCs w:val="24"/>
          <w:rtl/>
        </w:rPr>
        <w:t xml:space="preserve"> من خلال </w:t>
      </w:r>
      <w:r>
        <w:rPr>
          <w:rFonts w:ascii="Simplified Arabic" w:hAnsi="Simplified Arabic" w:cs="Simplified Arabic" w:hint="cs"/>
          <w:sz w:val="24"/>
          <w:szCs w:val="24"/>
          <w:rtl/>
        </w:rPr>
        <w:t xml:space="preserve">وضع، حسب الاقتضاء، </w:t>
      </w:r>
      <w:r>
        <w:rPr>
          <w:rFonts w:ascii="Simplified Arabic" w:hAnsi="Simplified Arabic" w:cs="Simplified Arabic"/>
          <w:sz w:val="24"/>
          <w:szCs w:val="24"/>
          <w:rtl/>
        </w:rPr>
        <w:t>سياسات وتشريعات وطنية</w:t>
      </w:r>
      <w:r>
        <w:rPr>
          <w:rFonts w:ascii="Simplified Arabic" w:hAnsi="Simplified Arabic" w:cs="Simplified Arabic" w:hint="cs"/>
          <w:sz w:val="24"/>
          <w:szCs w:val="24"/>
          <w:rtl/>
        </w:rPr>
        <w:t xml:space="preserve"> </w:t>
      </w:r>
      <w:r w:rsidRPr="00206425">
        <w:rPr>
          <w:rFonts w:ascii="Simplified Arabic" w:hAnsi="Simplified Arabic" w:cs="Simplified Arabic"/>
          <w:sz w:val="24"/>
          <w:szCs w:val="24"/>
          <w:rtl/>
        </w:rPr>
        <w:t>و</w:t>
      </w:r>
      <w:r>
        <w:rPr>
          <w:rFonts w:ascii="Simplified Arabic" w:hAnsi="Simplified Arabic" w:cs="Simplified Arabic" w:hint="cs"/>
          <w:sz w:val="24"/>
          <w:szCs w:val="24"/>
          <w:rtl/>
        </w:rPr>
        <w:t>استراتيجيات و</w:t>
      </w:r>
      <w:r w:rsidRPr="00206425">
        <w:rPr>
          <w:rFonts w:ascii="Simplified Arabic" w:hAnsi="Simplified Arabic" w:cs="Simplified Arabic"/>
          <w:sz w:val="24"/>
          <w:szCs w:val="24"/>
          <w:rtl/>
        </w:rPr>
        <w:t>خط</w:t>
      </w:r>
      <w:r>
        <w:rPr>
          <w:rFonts w:ascii="Simplified Arabic" w:hAnsi="Simplified Arabic" w:cs="Simplified Arabic" w:hint="cs"/>
          <w:sz w:val="24"/>
          <w:szCs w:val="24"/>
          <w:rtl/>
        </w:rPr>
        <w:t>ط</w:t>
      </w:r>
      <w:r w:rsidRPr="00206425">
        <w:rPr>
          <w:rFonts w:ascii="Simplified Arabic" w:hAnsi="Simplified Arabic" w:cs="Simplified Arabic"/>
          <w:sz w:val="24"/>
          <w:szCs w:val="24"/>
          <w:rtl/>
        </w:rPr>
        <w:t xml:space="preserve"> عمل وطنية للتنوع البيولوجي</w:t>
      </w:r>
      <w:r>
        <w:rPr>
          <w:rFonts w:ascii="Simplified Arabic" w:hAnsi="Simplified Arabic" w:cs="Simplified Arabic" w:hint="cs"/>
          <w:sz w:val="24"/>
          <w:szCs w:val="24"/>
          <w:rtl/>
        </w:rPr>
        <w:t>؛</w:t>
      </w:r>
    </w:p>
    <w:p w:rsidR="001C1C1D" w:rsidRPr="002A5799" w:rsidRDefault="001C1C1D" w:rsidP="001C1C1D">
      <w:pPr>
        <w:pStyle w:val="Body"/>
        <w:bidi/>
        <w:spacing w:after="120" w:line="216" w:lineRule="auto"/>
        <w:ind w:firstLine="720"/>
        <w:rPr>
          <w:rFonts w:ascii="Simplified Arabic" w:hAnsi="Simplified Arabic" w:cs="Simplified Arabic"/>
          <w:sz w:val="24"/>
          <w:szCs w:val="24"/>
        </w:rPr>
      </w:pPr>
      <w:r>
        <w:rPr>
          <w:rFonts w:ascii="Simplified Arabic" w:hAnsi="Simplified Arabic" w:cs="Simplified Arabic" w:hint="cs"/>
          <w:sz w:val="24"/>
          <w:szCs w:val="24"/>
          <w:rtl/>
        </w:rPr>
        <w:t>3-</w:t>
      </w:r>
      <w:r>
        <w:rPr>
          <w:rFonts w:ascii="Simplified Arabic" w:hAnsi="Simplified Arabic" w:cs="Simplified Arabic" w:hint="cs"/>
          <w:sz w:val="24"/>
          <w:szCs w:val="24"/>
          <w:rtl/>
        </w:rPr>
        <w:tab/>
      </w:r>
      <w:r w:rsidRPr="002A5799">
        <w:rPr>
          <w:rFonts w:ascii="Simplified Arabic" w:hAnsi="Simplified Arabic" w:cs="Simplified Arabic" w:hint="cs"/>
          <w:i/>
          <w:iCs/>
          <w:sz w:val="24"/>
          <w:szCs w:val="24"/>
          <w:rtl/>
        </w:rPr>
        <w:t>يدعو</w:t>
      </w:r>
      <w:r w:rsidRPr="002A5799">
        <w:rPr>
          <w:rFonts w:ascii="Simplified Arabic" w:hAnsi="Simplified Arabic" w:cs="Simplified Arabic" w:hint="cs"/>
          <w:sz w:val="24"/>
          <w:szCs w:val="24"/>
          <w:rtl/>
        </w:rPr>
        <w:t xml:space="preserve"> الأطراف والحكومات الأخرى إلى تقديم معلومات إلى الأمين</w:t>
      </w:r>
      <w:r>
        <w:rPr>
          <w:rFonts w:ascii="Simplified Arabic" w:hAnsi="Simplified Arabic" w:cs="Simplified Arabic" w:hint="cs"/>
          <w:sz w:val="24"/>
          <w:szCs w:val="24"/>
          <w:rtl/>
        </w:rPr>
        <w:t>ة</w:t>
      </w:r>
      <w:r w:rsidRPr="002A5799">
        <w:rPr>
          <w:rFonts w:ascii="Simplified Arabic" w:hAnsi="Simplified Arabic" w:cs="Simplified Arabic" w:hint="cs"/>
          <w:sz w:val="24"/>
          <w:szCs w:val="24"/>
          <w:rtl/>
        </w:rPr>
        <w:t xml:space="preserve"> التنفيذي</w:t>
      </w:r>
      <w:r>
        <w:rPr>
          <w:rFonts w:ascii="Simplified Arabic" w:hAnsi="Simplified Arabic" w:cs="Simplified Arabic" w:hint="cs"/>
          <w:sz w:val="24"/>
          <w:szCs w:val="24"/>
          <w:rtl/>
        </w:rPr>
        <w:t>ة</w:t>
      </w:r>
      <w:r w:rsidRPr="002A5799">
        <w:rPr>
          <w:rFonts w:ascii="Simplified Arabic" w:hAnsi="Simplified Arabic" w:cs="Simplified Arabic" w:hint="cs"/>
          <w:sz w:val="24"/>
          <w:szCs w:val="24"/>
          <w:rtl/>
        </w:rPr>
        <w:t xml:space="preserve"> عن </w:t>
      </w:r>
      <w:r>
        <w:rPr>
          <w:rFonts w:ascii="Simplified Arabic" w:hAnsi="Simplified Arabic" w:cs="Simplified Arabic" w:hint="cs"/>
          <w:sz w:val="24"/>
          <w:szCs w:val="24"/>
          <w:rtl/>
        </w:rPr>
        <w:t>تجربتهم</w:t>
      </w:r>
      <w:r w:rsidRPr="002A5799">
        <w:rPr>
          <w:rFonts w:ascii="Simplified Arabic" w:hAnsi="Simplified Arabic" w:cs="Simplified Arabic" w:hint="cs"/>
          <w:sz w:val="24"/>
          <w:szCs w:val="24"/>
          <w:rtl/>
        </w:rPr>
        <w:t xml:space="preserve"> في تنفيذ مقررات مؤتمر الأطراف في الاتفاقية المتعلقة بالفقرة 2 من </w:t>
      </w:r>
      <w:r>
        <w:rPr>
          <w:rFonts w:ascii="Simplified Arabic" w:hAnsi="Simplified Arabic" w:cs="Simplified Arabic" w:hint="cs"/>
          <w:sz w:val="24"/>
          <w:szCs w:val="24"/>
          <w:rtl/>
        </w:rPr>
        <w:t>المادة 14</w:t>
      </w:r>
      <w:r w:rsidRPr="002A5799">
        <w:rPr>
          <w:rFonts w:ascii="Simplified Arabic" w:hAnsi="Simplified Arabic" w:cs="Simplified Arabic" w:hint="cs"/>
          <w:sz w:val="24"/>
          <w:szCs w:val="24"/>
          <w:rtl/>
        </w:rPr>
        <w:t xml:space="preserve">، </w:t>
      </w:r>
      <w:r w:rsidRPr="00FC49AD">
        <w:rPr>
          <w:rFonts w:ascii="Simplified Arabic" w:hAnsi="Simplified Arabic" w:cs="Simplified Arabic" w:hint="cs"/>
          <w:i/>
          <w:iCs/>
          <w:sz w:val="24"/>
          <w:szCs w:val="24"/>
          <w:rtl/>
        </w:rPr>
        <w:t>ويطلب</w:t>
      </w:r>
      <w:r w:rsidRPr="002A5799">
        <w:rPr>
          <w:rFonts w:ascii="Simplified Arabic" w:hAnsi="Simplified Arabic" w:cs="Simplified Arabic" w:hint="cs"/>
          <w:sz w:val="24"/>
          <w:szCs w:val="24"/>
          <w:rtl/>
        </w:rPr>
        <w:t xml:space="preserve"> إلى الأمين</w:t>
      </w:r>
      <w:r>
        <w:rPr>
          <w:rFonts w:ascii="Simplified Arabic" w:hAnsi="Simplified Arabic" w:cs="Simplified Arabic" w:hint="cs"/>
          <w:sz w:val="24"/>
          <w:szCs w:val="24"/>
          <w:rtl/>
        </w:rPr>
        <w:t>ة</w:t>
      </w:r>
      <w:r w:rsidRPr="002A5799">
        <w:rPr>
          <w:rFonts w:ascii="Simplified Arabic" w:hAnsi="Simplified Arabic" w:cs="Simplified Arabic" w:hint="cs"/>
          <w:sz w:val="24"/>
          <w:szCs w:val="24"/>
          <w:rtl/>
        </w:rPr>
        <w:t xml:space="preserve"> التنفيذي</w:t>
      </w:r>
      <w:r>
        <w:rPr>
          <w:rFonts w:ascii="Simplified Arabic" w:hAnsi="Simplified Arabic" w:cs="Simplified Arabic" w:hint="cs"/>
          <w:sz w:val="24"/>
          <w:szCs w:val="24"/>
          <w:rtl/>
        </w:rPr>
        <w:t>ة</w:t>
      </w:r>
      <w:r w:rsidRPr="002A5799">
        <w:rPr>
          <w:rFonts w:ascii="Simplified Arabic" w:hAnsi="Simplified Arabic" w:cs="Simplified Arabic" w:hint="cs"/>
          <w:sz w:val="24"/>
          <w:szCs w:val="24"/>
          <w:rtl/>
        </w:rPr>
        <w:t xml:space="preserve"> تجميع هذه المعلومات، وكذلك المعلومات </w:t>
      </w:r>
      <w:r>
        <w:rPr>
          <w:rFonts w:ascii="Simplified Arabic" w:hAnsi="Simplified Arabic" w:cs="Simplified Arabic" w:hint="cs"/>
          <w:sz w:val="24"/>
          <w:szCs w:val="24"/>
          <w:rtl/>
        </w:rPr>
        <w:t>ع</w:t>
      </w:r>
      <w:r w:rsidRPr="002A5799">
        <w:rPr>
          <w:rFonts w:ascii="Simplified Arabic" w:hAnsi="Simplified Arabic" w:cs="Simplified Arabic" w:hint="cs"/>
          <w:sz w:val="24"/>
          <w:szCs w:val="24"/>
          <w:rtl/>
        </w:rPr>
        <w:t>ن أي تطورات حديثة، وإتاحتها لكي ينظر فيها مؤتمر الأطراف في اجتماعه السادس عشر</w:t>
      </w:r>
      <w:r>
        <w:rPr>
          <w:rFonts w:ascii="Simplified Arabic" w:hAnsi="Simplified Arabic" w:cs="Simplified Arabic" w:hint="cs"/>
          <w:sz w:val="24"/>
          <w:szCs w:val="24"/>
          <w:rtl/>
        </w:rPr>
        <w:t>.</w:t>
      </w:r>
    </w:p>
    <w:p w:rsidR="001D61EA" w:rsidRDefault="001D61EA" w:rsidP="001D61EA">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1C1C1D" w:rsidRPr="0008207E" w:rsidRDefault="001C1C1D" w:rsidP="00696773">
      <w:pPr>
        <w:pStyle w:val="Heading2"/>
        <w:rPr>
          <w:b w:val="0"/>
          <w:bCs w:val="0"/>
          <w:caps/>
          <w:kern w:val="22"/>
          <w:sz w:val="24"/>
          <w:rtl/>
        </w:rPr>
      </w:pPr>
      <w:bookmarkStart w:id="162" w:name="_Toc6071626"/>
      <w:bookmarkStart w:id="163" w:name="_Toc6139983"/>
      <w:r w:rsidRPr="0008207E">
        <w:rPr>
          <w:rFonts w:hint="cs"/>
          <w:sz w:val="24"/>
          <w:rtl/>
        </w:rPr>
        <w:lastRenderedPageBreak/>
        <w:t>المقرر 14/22</w:t>
      </w:r>
      <w:r w:rsidRPr="0008207E">
        <w:rPr>
          <w:rFonts w:hint="cs"/>
          <w:sz w:val="24"/>
          <w:rtl/>
        </w:rPr>
        <w:tab/>
      </w:r>
      <w:r w:rsidRPr="0008207E">
        <w:rPr>
          <w:sz w:val="24"/>
          <w:rtl/>
        </w:rPr>
        <w:t>حشد الموارد</w:t>
      </w:r>
      <w:bookmarkEnd w:id="162"/>
      <w:bookmarkEnd w:id="163"/>
    </w:p>
    <w:p w:rsidR="001C1C1D" w:rsidRPr="00A216C8" w:rsidRDefault="001C1C1D" w:rsidP="001C1C1D">
      <w:pPr>
        <w:kinsoku w:val="0"/>
        <w:overflowPunct w:val="0"/>
        <w:autoSpaceDE w:val="0"/>
        <w:autoSpaceDN w:val="0"/>
        <w:adjustRightInd w:val="0"/>
        <w:snapToGrid w:val="0"/>
        <w:spacing w:line="204" w:lineRule="auto"/>
        <w:ind w:firstLine="851"/>
        <w:rPr>
          <w:rFonts w:ascii="Simplified Arabic" w:hAnsi="Simplified Arabic"/>
          <w:i/>
          <w:snapToGrid w:val="0"/>
          <w:kern w:val="22"/>
          <w:szCs w:val="22"/>
          <w:rtl/>
        </w:rPr>
      </w:pPr>
      <w:r w:rsidRPr="00A216C8">
        <w:rPr>
          <w:rFonts w:ascii="Simplified Arabic" w:hAnsi="Simplified Arabic"/>
          <w:i/>
          <w:iCs/>
          <w:rtl/>
        </w:rPr>
        <w:t>إن مؤتمر الأطراف،</w:t>
      </w:r>
    </w:p>
    <w:p w:rsidR="001C1C1D" w:rsidRPr="00A216C8" w:rsidRDefault="001C1C1D" w:rsidP="001C1C1D">
      <w:pPr>
        <w:tabs>
          <w:tab w:val="left" w:pos="926"/>
        </w:tabs>
        <w:kinsoku w:val="0"/>
        <w:overflowPunct w:val="0"/>
        <w:autoSpaceDE w:val="0"/>
        <w:autoSpaceDN w:val="0"/>
        <w:adjustRightInd w:val="0"/>
        <w:snapToGrid w:val="0"/>
        <w:spacing w:line="204" w:lineRule="auto"/>
        <w:jc w:val="center"/>
        <w:rPr>
          <w:rFonts w:ascii="Simplified Arabic" w:hAnsi="Simplified Arabic"/>
          <w:b/>
          <w:bCs/>
          <w:snapToGrid w:val="0"/>
          <w:kern w:val="22"/>
          <w:sz w:val="24"/>
        </w:rPr>
      </w:pPr>
      <w:r>
        <w:rPr>
          <w:rFonts w:ascii="Simplified Arabic" w:hAnsi="Simplified Arabic" w:hint="cs"/>
          <w:b/>
          <w:bCs/>
          <w:sz w:val="24"/>
          <w:rtl/>
        </w:rPr>
        <w:t>ألف-</w:t>
      </w:r>
      <w:r>
        <w:rPr>
          <w:rFonts w:ascii="Simplified Arabic" w:hAnsi="Simplified Arabic"/>
          <w:b/>
          <w:bCs/>
          <w:sz w:val="24"/>
          <w:rtl/>
        </w:rPr>
        <w:tab/>
      </w:r>
      <w:r w:rsidRPr="00A216C8">
        <w:rPr>
          <w:rFonts w:ascii="Simplified Arabic" w:hAnsi="Simplified Arabic"/>
          <w:b/>
          <w:bCs/>
          <w:sz w:val="24"/>
          <w:rtl/>
        </w:rPr>
        <w:t>الإبلاغ المالي</w:t>
      </w:r>
    </w:p>
    <w:p w:rsidR="001C1C1D" w:rsidRPr="00E719E5" w:rsidRDefault="001C1C1D" w:rsidP="00CD26C5">
      <w:pPr>
        <w:pStyle w:val="ListParagraph"/>
        <w:numPr>
          <w:ilvl w:val="0"/>
          <w:numId w:val="69"/>
        </w:numPr>
        <w:kinsoku w:val="0"/>
        <w:overflowPunct w:val="0"/>
        <w:autoSpaceDE w:val="0"/>
        <w:autoSpaceDN w:val="0"/>
        <w:bidi/>
        <w:adjustRightInd w:val="0"/>
        <w:snapToGrid w:val="0"/>
        <w:spacing w:line="204" w:lineRule="auto"/>
        <w:ind w:left="0" w:firstLine="720"/>
        <w:contextualSpacing/>
        <w:rPr>
          <w:rFonts w:ascii="Simplified Arabic" w:hAnsi="Simplified Arabic" w:cs="Simplified Arabic"/>
          <w:snapToGrid w:val="0"/>
          <w:kern w:val="22"/>
          <w:sz w:val="24"/>
          <w:rtl/>
        </w:rPr>
      </w:pPr>
      <w:r w:rsidRPr="00E719E5">
        <w:rPr>
          <w:rFonts w:ascii="Simplified Arabic" w:hAnsi="Simplified Arabic" w:cs="Simplified Arabic"/>
          <w:i/>
          <w:iCs/>
          <w:sz w:val="24"/>
          <w:rtl/>
        </w:rPr>
        <w:t xml:space="preserve">يحيط علما مع التقدير </w:t>
      </w:r>
      <w:r w:rsidRPr="00E719E5">
        <w:rPr>
          <w:rFonts w:ascii="Simplified Arabic" w:hAnsi="Simplified Arabic" w:cs="Simplified Arabic"/>
          <w:sz w:val="24"/>
          <w:rtl/>
        </w:rPr>
        <w:t>بالمعلومات المقدمة من الأطراف من خلال إطار الإبلاغ المالي؛</w:t>
      </w:r>
    </w:p>
    <w:p w:rsidR="001C1C1D" w:rsidRPr="00A216C8" w:rsidRDefault="001C1C1D" w:rsidP="001C1C1D">
      <w:pPr>
        <w:kinsoku w:val="0"/>
        <w:overflowPunct w:val="0"/>
        <w:autoSpaceDE w:val="0"/>
        <w:autoSpaceDN w:val="0"/>
        <w:adjustRightInd w:val="0"/>
        <w:snapToGrid w:val="0"/>
        <w:spacing w:line="204" w:lineRule="auto"/>
        <w:ind w:firstLine="732"/>
        <w:rPr>
          <w:rFonts w:ascii="Simplified Arabic" w:hAnsi="Simplified Arabic"/>
          <w:snapToGrid w:val="0"/>
          <w:kern w:val="22"/>
          <w:sz w:val="24"/>
          <w:rtl/>
        </w:rPr>
      </w:pPr>
      <w:r w:rsidRPr="00A216C8">
        <w:rPr>
          <w:rFonts w:ascii="Simplified Arabic" w:hAnsi="Simplified Arabic"/>
          <w:snapToGrid w:val="0"/>
          <w:kern w:val="22"/>
          <w:sz w:val="24"/>
          <w:rtl/>
        </w:rPr>
        <w:t>2-</w:t>
      </w:r>
      <w:r w:rsidRPr="00A216C8">
        <w:rPr>
          <w:rFonts w:ascii="Simplified Arabic" w:hAnsi="Simplified Arabic"/>
          <w:snapToGrid w:val="0"/>
          <w:kern w:val="22"/>
          <w:sz w:val="24"/>
          <w:rtl/>
        </w:rPr>
        <w:tab/>
      </w:r>
      <w:r w:rsidRPr="00A216C8">
        <w:rPr>
          <w:rFonts w:ascii="Simplified Arabic" w:hAnsi="Simplified Arabic"/>
          <w:i/>
          <w:iCs/>
          <w:sz w:val="24"/>
          <w:rtl/>
        </w:rPr>
        <w:t xml:space="preserve">يحيط علما </w:t>
      </w:r>
      <w:r w:rsidRPr="00A216C8">
        <w:rPr>
          <w:rFonts w:ascii="Simplified Arabic" w:hAnsi="Simplified Arabic"/>
          <w:sz w:val="24"/>
          <w:rtl/>
        </w:rPr>
        <w:t>بتحليل المعلومات المقدمة من الأطراف من خلال إطار الإبلاغ المالي، ولاسيما التقدم المحرز نحو تحقيق الأهداف المعتمدة في المقرر 12/3، على النحو الوارد في المذكرة التي أعدتها الأمينة التنفيذية بشأن حشد الموارد: التقييم والتحليل المحدث للمعلومات المقدمة من خلال إطار الإبلاغ المالي؛</w:t>
      </w:r>
      <w:r w:rsidRPr="00A216C8">
        <w:rPr>
          <w:rFonts w:ascii="Simplified Arabic" w:hAnsi="Simplified Arabic"/>
          <w:sz w:val="24"/>
          <w:vertAlign w:val="superscript"/>
          <w:rtl/>
        </w:rPr>
        <w:footnoteReference w:id="267"/>
      </w:r>
    </w:p>
    <w:p w:rsidR="001C1C1D" w:rsidRPr="00A216C8" w:rsidRDefault="001C1C1D" w:rsidP="001C1C1D">
      <w:pPr>
        <w:kinsoku w:val="0"/>
        <w:overflowPunct w:val="0"/>
        <w:autoSpaceDE w:val="0"/>
        <w:autoSpaceDN w:val="0"/>
        <w:adjustRightInd w:val="0"/>
        <w:snapToGrid w:val="0"/>
        <w:spacing w:line="204" w:lineRule="auto"/>
        <w:ind w:firstLine="732"/>
        <w:rPr>
          <w:rFonts w:ascii="Simplified Arabic" w:hAnsi="Simplified Arabic"/>
          <w:snapToGrid w:val="0"/>
          <w:kern w:val="22"/>
          <w:sz w:val="24"/>
          <w:rtl/>
        </w:rPr>
      </w:pPr>
      <w:r w:rsidRPr="00A216C8">
        <w:rPr>
          <w:rFonts w:ascii="Simplified Arabic" w:hAnsi="Simplified Arabic"/>
          <w:snapToGrid w:val="0"/>
          <w:kern w:val="22"/>
          <w:sz w:val="24"/>
          <w:rtl/>
        </w:rPr>
        <w:t>3-</w:t>
      </w:r>
      <w:r w:rsidRPr="00A216C8">
        <w:rPr>
          <w:rFonts w:ascii="Simplified Arabic" w:hAnsi="Simplified Arabic"/>
          <w:snapToGrid w:val="0"/>
          <w:kern w:val="22"/>
          <w:sz w:val="24"/>
          <w:rtl/>
        </w:rPr>
        <w:tab/>
      </w:r>
      <w:r w:rsidRPr="00A216C8">
        <w:rPr>
          <w:rFonts w:ascii="Simplified Arabic" w:hAnsi="Simplified Arabic"/>
          <w:i/>
          <w:iCs/>
          <w:sz w:val="24"/>
          <w:rtl/>
        </w:rPr>
        <w:t xml:space="preserve">يحث </w:t>
      </w:r>
      <w:r w:rsidRPr="00A216C8">
        <w:rPr>
          <w:rFonts w:ascii="Simplified Arabic" w:hAnsi="Simplified Arabic"/>
          <w:sz w:val="24"/>
          <w:rtl/>
        </w:rPr>
        <w:t>الأطراف إلى الإبلاغ، باستخدام إطار الإبلاغ المالي على شبكة الإنترنت، عن مساهماتها الإضافية في الجهود الجماعية الرامية إلى بلوغ الأهداف العالمية بشأن حشد الموارد، مقابل خط الأساس المحدد، بالاقتران مع تقاريرها الوطنية السادسة، بحلول 31 ديسمبر/كانون الأول 2018؛</w:t>
      </w:r>
    </w:p>
    <w:p w:rsidR="001C1C1D" w:rsidRPr="00267100" w:rsidRDefault="001C1C1D" w:rsidP="001C1C1D">
      <w:pPr>
        <w:tabs>
          <w:tab w:val="left" w:pos="1556"/>
        </w:tabs>
        <w:kinsoku w:val="0"/>
        <w:overflowPunct w:val="0"/>
        <w:autoSpaceDE w:val="0"/>
        <w:autoSpaceDN w:val="0"/>
        <w:adjustRightInd w:val="0"/>
        <w:snapToGrid w:val="0"/>
        <w:spacing w:line="204" w:lineRule="auto"/>
        <w:ind w:firstLine="851"/>
        <w:jc w:val="center"/>
        <w:rPr>
          <w:rFonts w:ascii="Simplified Arabic" w:hAnsi="Simplified Arabic"/>
          <w:b/>
          <w:bCs/>
          <w:snapToGrid w:val="0"/>
          <w:kern w:val="22"/>
          <w:sz w:val="24"/>
        </w:rPr>
      </w:pPr>
      <w:r>
        <w:rPr>
          <w:rFonts w:ascii="Simplified Arabic" w:hAnsi="Simplified Arabic" w:hint="cs"/>
          <w:b/>
          <w:bCs/>
          <w:sz w:val="24"/>
          <w:rtl/>
        </w:rPr>
        <w:t>باء-</w:t>
      </w:r>
      <w:r>
        <w:rPr>
          <w:rFonts w:ascii="Simplified Arabic" w:hAnsi="Simplified Arabic"/>
          <w:b/>
          <w:bCs/>
          <w:sz w:val="24"/>
          <w:rtl/>
        </w:rPr>
        <w:tab/>
      </w:r>
      <w:r w:rsidRPr="00267100">
        <w:rPr>
          <w:rFonts w:ascii="Simplified Arabic" w:hAnsi="Simplified Arabic"/>
          <w:b/>
          <w:bCs/>
          <w:sz w:val="24"/>
          <w:rtl/>
        </w:rPr>
        <w:t>بناء القدرات والدعم التقني</w:t>
      </w:r>
    </w:p>
    <w:p w:rsidR="001C1C1D" w:rsidRPr="00267100" w:rsidRDefault="001C1C1D" w:rsidP="001C1C1D">
      <w:pPr>
        <w:kinsoku w:val="0"/>
        <w:overflowPunct w:val="0"/>
        <w:autoSpaceDE w:val="0"/>
        <w:autoSpaceDN w:val="0"/>
        <w:adjustRightInd w:val="0"/>
        <w:snapToGrid w:val="0"/>
        <w:spacing w:line="204" w:lineRule="auto"/>
        <w:ind w:firstLine="851"/>
        <w:rPr>
          <w:rFonts w:ascii="Simplified Arabic" w:hAnsi="Simplified Arabic"/>
          <w:snapToGrid w:val="0"/>
          <w:kern w:val="22"/>
          <w:sz w:val="24"/>
          <w:rtl/>
        </w:rPr>
      </w:pPr>
      <w:r w:rsidRPr="00267100">
        <w:rPr>
          <w:rFonts w:ascii="Simplified Arabic" w:hAnsi="Simplified Arabic"/>
          <w:sz w:val="24"/>
          <w:rtl/>
        </w:rPr>
        <w:t>4-</w:t>
      </w:r>
      <w:r w:rsidRPr="00267100">
        <w:rPr>
          <w:rFonts w:ascii="Simplified Arabic" w:hAnsi="Simplified Arabic"/>
          <w:i/>
          <w:iCs/>
          <w:sz w:val="24"/>
          <w:rtl/>
        </w:rPr>
        <w:tab/>
        <w:t xml:space="preserve">يرحب </w:t>
      </w:r>
      <w:r w:rsidRPr="00267100">
        <w:rPr>
          <w:rFonts w:ascii="Simplified Arabic" w:hAnsi="Simplified Arabic"/>
          <w:sz w:val="24"/>
          <w:rtl/>
        </w:rPr>
        <w:t xml:space="preserve">بعمل المنظمات والمبادرات ذات الصلة، بما في ذلك مبادرة تمويل التنوع البيولوجي التابعة لبرنامج الأمم المتحدة الإنمائي، بشأن تقديم الدعم التقني وبناء القدرات للأطراف المهتمة من البلدان النامية، ولاسيما أقل البلدان نموا والدول الجزرية الصغيرة النامية، فضلا عن البلدان التي تمر اقتصاداتها بمرحلة انتقالية، بما في ذلك الشعوب الأصلية والمجتمعات المحلية وغيرهم من أصحاب المصلحة المعنيين داخل تلك البلدان، بشأن تحديد احتياجات التمويل، والفجوات والأولويات، وإعداد وتنفيذ الاستراتيجيات الوطنية لحشد الموارد، وبشأن الإبلاغ المالي، </w:t>
      </w:r>
      <w:r w:rsidRPr="003F201D">
        <w:rPr>
          <w:rFonts w:ascii="Simplified Arabic" w:hAnsi="Simplified Arabic"/>
          <w:i/>
          <w:iCs/>
          <w:sz w:val="24"/>
          <w:rtl/>
        </w:rPr>
        <w:t>ويدعو</w:t>
      </w:r>
      <w:r w:rsidRPr="00267100">
        <w:rPr>
          <w:rFonts w:ascii="Simplified Arabic" w:hAnsi="Simplified Arabic"/>
          <w:sz w:val="24"/>
          <w:rtl/>
        </w:rPr>
        <w:t xml:space="preserve"> مبادرة تمويل التنوع البيولوجي والبرامج أو المبادرات المشابهة إلى زيادة توفير الدعم المالي والتقني وبناء القدرات للأطراف من البلدان النامية المهتمة من أجل المشاركة في المبادرة؛</w:t>
      </w:r>
    </w:p>
    <w:p w:rsidR="001C1C1D" w:rsidRPr="00267100" w:rsidRDefault="001C1C1D" w:rsidP="001C1C1D">
      <w:pPr>
        <w:kinsoku w:val="0"/>
        <w:overflowPunct w:val="0"/>
        <w:autoSpaceDE w:val="0"/>
        <w:autoSpaceDN w:val="0"/>
        <w:adjustRightInd w:val="0"/>
        <w:snapToGrid w:val="0"/>
        <w:spacing w:line="204" w:lineRule="auto"/>
        <w:ind w:firstLine="851"/>
        <w:rPr>
          <w:rFonts w:ascii="Simplified Arabic" w:hAnsi="Simplified Arabic"/>
          <w:snapToGrid w:val="0"/>
          <w:kern w:val="22"/>
          <w:sz w:val="24"/>
          <w:rtl/>
        </w:rPr>
      </w:pPr>
      <w:r w:rsidRPr="00267100">
        <w:rPr>
          <w:rFonts w:ascii="Simplified Arabic" w:hAnsi="Simplified Arabic"/>
          <w:snapToGrid w:val="0"/>
          <w:kern w:val="22"/>
          <w:sz w:val="24"/>
          <w:rtl/>
        </w:rPr>
        <w:t>5-</w:t>
      </w:r>
      <w:r w:rsidRPr="00267100">
        <w:rPr>
          <w:rFonts w:ascii="Simplified Arabic" w:hAnsi="Simplified Arabic"/>
          <w:snapToGrid w:val="0"/>
          <w:kern w:val="22"/>
          <w:sz w:val="24"/>
          <w:rtl/>
        </w:rPr>
        <w:tab/>
      </w:r>
      <w:r w:rsidRPr="00267100">
        <w:rPr>
          <w:rFonts w:ascii="Simplified Arabic" w:hAnsi="Simplified Arabic"/>
          <w:i/>
          <w:iCs/>
          <w:sz w:val="24"/>
          <w:rtl/>
        </w:rPr>
        <w:t>يدعو</w:t>
      </w:r>
      <w:r>
        <w:rPr>
          <w:rFonts w:ascii="Simplified Arabic" w:hAnsi="Simplified Arabic"/>
          <w:sz w:val="24"/>
          <w:rtl/>
        </w:rPr>
        <w:t xml:space="preserve"> الأطراف</w:t>
      </w:r>
      <w:r>
        <w:rPr>
          <w:rFonts w:ascii="Simplified Arabic" w:hAnsi="Simplified Arabic" w:hint="cs"/>
          <w:sz w:val="24"/>
          <w:rtl/>
        </w:rPr>
        <w:t xml:space="preserve"> </w:t>
      </w:r>
      <w:r w:rsidRPr="00267100">
        <w:rPr>
          <w:rFonts w:ascii="Simplified Arabic" w:hAnsi="Simplified Arabic"/>
          <w:sz w:val="24"/>
          <w:rtl/>
        </w:rPr>
        <w:t xml:space="preserve">والحكومات الأخرى والجهات المانحة </w:t>
      </w:r>
      <w:r>
        <w:rPr>
          <w:rFonts w:ascii="Simplified Arabic" w:hAnsi="Simplified Arabic" w:hint="cs"/>
          <w:sz w:val="24"/>
          <w:rtl/>
        </w:rPr>
        <w:t xml:space="preserve">التي تكون في وضع يسمح لها بذلك </w:t>
      </w:r>
      <w:r w:rsidRPr="00267100">
        <w:rPr>
          <w:rFonts w:ascii="Simplified Arabic" w:hAnsi="Simplified Arabic"/>
          <w:sz w:val="24"/>
          <w:rtl/>
        </w:rPr>
        <w:t>إلى أن تقدم الموارد المالية اللازمة، وفقا للمادة 20 من الاتفاقية وأن تعمل على تحقيق الأهداف المتعلقة ب</w:t>
      </w:r>
      <w:r>
        <w:rPr>
          <w:rFonts w:ascii="Simplified Arabic" w:hAnsi="Simplified Arabic" w:hint="cs"/>
          <w:sz w:val="24"/>
          <w:rtl/>
        </w:rPr>
        <w:t>حشد</w:t>
      </w:r>
      <w:r w:rsidRPr="00267100">
        <w:rPr>
          <w:rFonts w:ascii="Simplified Arabic" w:hAnsi="Simplified Arabic"/>
          <w:sz w:val="24"/>
          <w:rtl/>
        </w:rPr>
        <w:t xml:space="preserve"> الموارد المعتمدة في المقرر 12/3، من أجل بناء القدرات والمساعدة التقنية وكذلك تيسير نقل التكنولوجيا، وأن تقدم الدعم اللازم لرصد الموارد المالية المخصصة لتنفيذ الاتفاقية</w:t>
      </w:r>
      <w:r>
        <w:rPr>
          <w:rFonts w:ascii="Simplified Arabic" w:hAnsi="Simplified Arabic" w:hint="cs"/>
          <w:sz w:val="24"/>
          <w:rtl/>
        </w:rPr>
        <w:t>، ولا سيما أهداف أيشي للتنوع البيولوجي التي يمكن تحقيقها في العامين القادمين، بموجب إطار الإبلاغ المالي</w:t>
      </w:r>
      <w:r w:rsidRPr="00267100">
        <w:rPr>
          <w:rFonts w:ascii="Simplified Arabic" w:hAnsi="Simplified Arabic"/>
          <w:sz w:val="24"/>
          <w:rtl/>
        </w:rPr>
        <w:t>؛</w:t>
      </w:r>
    </w:p>
    <w:p w:rsidR="001C1C1D" w:rsidRPr="00267100" w:rsidRDefault="001C1C1D" w:rsidP="001C1C1D">
      <w:pPr>
        <w:kinsoku w:val="0"/>
        <w:overflowPunct w:val="0"/>
        <w:autoSpaceDE w:val="0"/>
        <w:autoSpaceDN w:val="0"/>
        <w:adjustRightInd w:val="0"/>
        <w:snapToGrid w:val="0"/>
        <w:spacing w:line="204" w:lineRule="auto"/>
        <w:ind w:firstLine="732"/>
        <w:rPr>
          <w:rFonts w:ascii="Simplified Arabic" w:hAnsi="Simplified Arabic"/>
          <w:snapToGrid w:val="0"/>
          <w:kern w:val="22"/>
          <w:sz w:val="24"/>
          <w:rtl/>
        </w:rPr>
      </w:pPr>
      <w:r w:rsidRPr="00267100">
        <w:rPr>
          <w:rFonts w:ascii="Simplified Arabic" w:hAnsi="Simplified Arabic"/>
          <w:sz w:val="24"/>
          <w:rtl/>
        </w:rPr>
        <w:t>6-</w:t>
      </w:r>
      <w:r w:rsidRPr="00267100">
        <w:rPr>
          <w:rFonts w:ascii="Simplified Arabic" w:hAnsi="Simplified Arabic"/>
          <w:sz w:val="24"/>
          <w:rtl/>
        </w:rPr>
        <w:tab/>
      </w:r>
      <w:r w:rsidRPr="00267100">
        <w:rPr>
          <w:rFonts w:ascii="Simplified Arabic" w:hAnsi="Simplified Arabic"/>
          <w:i/>
          <w:iCs/>
          <w:sz w:val="24"/>
          <w:rtl/>
        </w:rPr>
        <w:t xml:space="preserve">يحيط علما </w:t>
      </w:r>
      <w:r w:rsidRPr="00267100">
        <w:rPr>
          <w:rFonts w:ascii="Simplified Arabic" w:hAnsi="Simplified Arabic"/>
          <w:sz w:val="24"/>
          <w:rtl/>
        </w:rPr>
        <w:t>بالعمل الذي تضطلع به لجنة المساعدة الإنمائية لمنظمة التعاون والتنمية في الميدان الاقتصادي من أجل تحسين منهجية علامات ريو، والعمل الذي تقوم به لجنة السياسة البيئية في المنظمة من أجل تتبع الصكوك الاقتصادية والتمويل الذي تحشده، ويدعو المنظمة إلى مواصلة العمل وزيادة تكثيفه؛</w:t>
      </w:r>
    </w:p>
    <w:p w:rsidR="001C1C1D" w:rsidRDefault="001C1C1D" w:rsidP="001C1C1D">
      <w:pPr>
        <w:kinsoku w:val="0"/>
        <w:overflowPunct w:val="0"/>
        <w:autoSpaceDE w:val="0"/>
        <w:autoSpaceDN w:val="0"/>
        <w:adjustRightInd w:val="0"/>
        <w:snapToGrid w:val="0"/>
        <w:spacing w:line="204" w:lineRule="auto"/>
        <w:jc w:val="center"/>
        <w:rPr>
          <w:rFonts w:ascii="Simplified Arabic" w:hAnsi="Simplified Arabic"/>
          <w:b/>
          <w:bCs/>
          <w:sz w:val="24"/>
          <w:rtl/>
        </w:rPr>
      </w:pPr>
      <w:r>
        <w:rPr>
          <w:rFonts w:ascii="Simplified Arabic" w:hAnsi="Simplified Arabic" w:hint="cs"/>
          <w:b/>
          <w:bCs/>
          <w:sz w:val="24"/>
          <w:rtl/>
        </w:rPr>
        <w:t>جيم-</w:t>
      </w:r>
      <w:r>
        <w:rPr>
          <w:rFonts w:ascii="Simplified Arabic" w:hAnsi="Simplified Arabic" w:hint="cs"/>
          <w:b/>
          <w:bCs/>
          <w:sz w:val="24"/>
          <w:rtl/>
        </w:rPr>
        <w:tab/>
        <w:t>أوجه التآزر بين الاتفاقيات</w:t>
      </w:r>
    </w:p>
    <w:p w:rsidR="001C1C1D" w:rsidRPr="00267100" w:rsidRDefault="001C1C1D" w:rsidP="001C1C1D">
      <w:pPr>
        <w:kinsoku w:val="0"/>
        <w:overflowPunct w:val="0"/>
        <w:autoSpaceDE w:val="0"/>
        <w:autoSpaceDN w:val="0"/>
        <w:adjustRightInd w:val="0"/>
        <w:snapToGrid w:val="0"/>
        <w:spacing w:line="204" w:lineRule="auto"/>
        <w:ind w:firstLine="732"/>
        <w:rPr>
          <w:rFonts w:ascii="Simplified Arabic" w:hAnsi="Simplified Arabic"/>
          <w:snapToGrid w:val="0"/>
          <w:kern w:val="22"/>
          <w:sz w:val="24"/>
          <w:rtl/>
        </w:rPr>
      </w:pPr>
      <w:r>
        <w:rPr>
          <w:rFonts w:ascii="Simplified Arabic" w:hAnsi="Simplified Arabic" w:hint="cs"/>
          <w:snapToGrid w:val="0"/>
          <w:kern w:val="22"/>
          <w:sz w:val="24"/>
          <w:rtl/>
        </w:rPr>
        <w:t>7</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Pr>
          <w:rFonts w:ascii="Simplified Arabic" w:hAnsi="Simplified Arabic" w:hint="cs"/>
          <w:i/>
          <w:iCs/>
          <w:sz w:val="24"/>
          <w:rtl/>
        </w:rPr>
        <w:t>يشدد</w:t>
      </w:r>
      <w:r w:rsidRPr="00267100">
        <w:rPr>
          <w:rFonts w:ascii="Simplified Arabic" w:hAnsi="Simplified Arabic"/>
          <w:i/>
          <w:iCs/>
          <w:sz w:val="24"/>
          <w:rtl/>
        </w:rPr>
        <w:t xml:space="preserve"> </w:t>
      </w:r>
      <w:r w:rsidRPr="00552F84">
        <w:rPr>
          <w:rFonts w:ascii="Simplified Arabic" w:hAnsi="Simplified Arabic" w:hint="cs"/>
          <w:sz w:val="24"/>
          <w:rtl/>
        </w:rPr>
        <w:t>على</w:t>
      </w:r>
      <w:r>
        <w:rPr>
          <w:rFonts w:ascii="Simplified Arabic" w:hAnsi="Simplified Arabic" w:hint="cs"/>
          <w:i/>
          <w:iCs/>
          <w:sz w:val="24"/>
          <w:rtl/>
        </w:rPr>
        <w:t xml:space="preserve"> </w:t>
      </w:r>
      <w:r w:rsidRPr="00E719E5">
        <w:rPr>
          <w:rFonts w:ascii="Simplified Arabic" w:hAnsi="Simplified Arabic" w:hint="cs"/>
          <w:sz w:val="24"/>
          <w:rtl/>
        </w:rPr>
        <w:t>أن جميع</w:t>
      </w:r>
      <w:r>
        <w:rPr>
          <w:rFonts w:ascii="Simplified Arabic" w:hAnsi="Simplified Arabic" w:hint="cs"/>
          <w:i/>
          <w:iCs/>
          <w:sz w:val="24"/>
          <w:rtl/>
        </w:rPr>
        <w:t xml:space="preserve"> </w:t>
      </w:r>
      <w:r w:rsidRPr="00552F84">
        <w:rPr>
          <w:rFonts w:ascii="Simplified Arabic" w:hAnsi="Simplified Arabic"/>
          <w:sz w:val="24"/>
          <w:rtl/>
        </w:rPr>
        <w:t xml:space="preserve">استراتيجيات </w:t>
      </w:r>
      <w:r>
        <w:rPr>
          <w:rFonts w:ascii="Simplified Arabic" w:hAnsi="Simplified Arabic" w:hint="cs"/>
          <w:sz w:val="24"/>
          <w:rtl/>
        </w:rPr>
        <w:t>حشد</w:t>
      </w:r>
      <w:r w:rsidRPr="00552F84">
        <w:rPr>
          <w:rFonts w:ascii="Simplified Arabic" w:hAnsi="Simplified Arabic"/>
          <w:sz w:val="24"/>
          <w:rtl/>
        </w:rPr>
        <w:t xml:space="preserve"> الموارد </w:t>
      </w:r>
      <w:r>
        <w:rPr>
          <w:rFonts w:ascii="Simplified Arabic" w:hAnsi="Simplified Arabic" w:hint="cs"/>
          <w:sz w:val="24"/>
          <w:rtl/>
        </w:rPr>
        <w:t>ينبغي أن</w:t>
      </w:r>
      <w:r w:rsidRPr="00552F84">
        <w:rPr>
          <w:rFonts w:ascii="Simplified Arabic" w:hAnsi="Simplified Arabic"/>
          <w:sz w:val="24"/>
          <w:rtl/>
        </w:rPr>
        <w:t xml:space="preserve"> تعزز و</w:t>
      </w:r>
      <w:r>
        <w:rPr>
          <w:rFonts w:ascii="Simplified Arabic" w:hAnsi="Simplified Arabic" w:hint="cs"/>
          <w:sz w:val="24"/>
          <w:rtl/>
        </w:rPr>
        <w:t>تسخر</w:t>
      </w:r>
      <w:r w:rsidRPr="00552F84">
        <w:rPr>
          <w:rFonts w:ascii="Simplified Arabic" w:hAnsi="Simplified Arabic"/>
          <w:sz w:val="24"/>
          <w:rtl/>
        </w:rPr>
        <w:t xml:space="preserve"> أوجه التآزر بين الاتفاقيات، بما في ذلك </w:t>
      </w:r>
      <w:r>
        <w:rPr>
          <w:rFonts w:ascii="Simplified Arabic" w:hAnsi="Simplified Arabic" w:hint="cs"/>
          <w:sz w:val="24"/>
          <w:rtl/>
        </w:rPr>
        <w:t xml:space="preserve">أوجه </w:t>
      </w:r>
      <w:r w:rsidRPr="00552F84">
        <w:rPr>
          <w:rFonts w:ascii="Simplified Arabic" w:hAnsi="Simplified Arabic"/>
          <w:sz w:val="24"/>
          <w:rtl/>
        </w:rPr>
        <w:t xml:space="preserve">التآزر </w:t>
      </w:r>
      <w:r>
        <w:rPr>
          <w:rFonts w:ascii="Simplified Arabic" w:hAnsi="Simplified Arabic" w:hint="cs"/>
          <w:sz w:val="24"/>
          <w:rtl/>
        </w:rPr>
        <w:t>المتعلقة</w:t>
      </w:r>
      <w:r w:rsidRPr="00552F84">
        <w:rPr>
          <w:rFonts w:ascii="Simplified Arabic" w:hAnsi="Simplified Arabic"/>
          <w:sz w:val="24"/>
          <w:rtl/>
        </w:rPr>
        <w:t xml:space="preserve"> بنظم رصد الموارد المالية من مختلف المصادر وتنفيذ الاتفاقيات</w:t>
      </w:r>
      <w:r w:rsidRPr="00267100">
        <w:rPr>
          <w:rFonts w:ascii="Simplified Arabic" w:hAnsi="Simplified Arabic"/>
          <w:sz w:val="24"/>
          <w:rtl/>
        </w:rPr>
        <w:t>؛</w:t>
      </w:r>
    </w:p>
    <w:p w:rsidR="001C1C1D" w:rsidRPr="00267100" w:rsidRDefault="001C1C1D" w:rsidP="001C1C1D">
      <w:pPr>
        <w:kinsoku w:val="0"/>
        <w:overflowPunct w:val="0"/>
        <w:autoSpaceDE w:val="0"/>
        <w:autoSpaceDN w:val="0"/>
        <w:adjustRightInd w:val="0"/>
        <w:snapToGrid w:val="0"/>
        <w:spacing w:line="204" w:lineRule="auto"/>
        <w:jc w:val="center"/>
        <w:rPr>
          <w:rFonts w:ascii="Simplified Arabic" w:hAnsi="Simplified Arabic"/>
          <w:b/>
          <w:bCs/>
          <w:snapToGrid w:val="0"/>
          <w:kern w:val="22"/>
          <w:sz w:val="24"/>
        </w:rPr>
      </w:pPr>
      <w:r>
        <w:rPr>
          <w:rFonts w:ascii="Simplified Arabic" w:hAnsi="Simplified Arabic" w:hint="cs"/>
          <w:b/>
          <w:bCs/>
          <w:sz w:val="24"/>
          <w:rtl/>
        </w:rPr>
        <w:t>دال-</w:t>
      </w:r>
      <w:r>
        <w:rPr>
          <w:rFonts w:ascii="Simplified Arabic" w:hAnsi="Simplified Arabic"/>
          <w:b/>
          <w:bCs/>
          <w:sz w:val="24"/>
          <w:rtl/>
        </w:rPr>
        <w:tab/>
      </w:r>
      <w:r w:rsidRPr="00267100">
        <w:rPr>
          <w:rFonts w:ascii="Simplified Arabic" w:hAnsi="Simplified Arabic"/>
          <w:b/>
          <w:bCs/>
          <w:sz w:val="24"/>
          <w:rtl/>
        </w:rPr>
        <w:t>المعالم الرئيسية من أجل التنفيذ الكامل للهدف 3 من أهداف أيشي للتنوع البيولوجي</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8</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يقر </w:t>
      </w:r>
      <w:r w:rsidRPr="00267100">
        <w:rPr>
          <w:rFonts w:ascii="Simplified Arabic" w:hAnsi="Simplified Arabic"/>
          <w:sz w:val="24"/>
          <w:rtl/>
        </w:rPr>
        <w:t>بالمساهمة المحتملة لتنفيذ الهدف 3 من أهداف أيشي للتنوع البيولوجي بشأن حشد الموارد المالية من جميع المصادر؛</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lastRenderedPageBreak/>
        <w:t>9</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يلاحظ بقلق </w:t>
      </w:r>
      <w:r w:rsidRPr="00267100">
        <w:rPr>
          <w:rFonts w:ascii="Simplified Arabic" w:hAnsi="Simplified Arabic"/>
          <w:sz w:val="24"/>
          <w:rtl/>
        </w:rPr>
        <w:t>التقدم المحدود المحرز في تنفيذ الهدف 3 من أهداف أيشي للتنوع البيولوجي والمعالم الرئيسية لتنفيذه، ولاسيما بشأن إزالة الحوافز الضارة بالتنوع البيولوجي، أو إزالتها تدريجيا أو إصلاحها، بما في ذلك الإعانات، بالاتساق والتجانس مع الاتفاقية والالتزامات الدولية الأخرى ذات الصلة، مع مراعاة الظروف الاجتماعية الاقتصادية الوطنية؛</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10</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يشجع </w:t>
      </w:r>
      <w:r w:rsidRPr="00267100">
        <w:rPr>
          <w:rFonts w:ascii="Simplified Arabic" w:hAnsi="Simplified Arabic"/>
          <w:sz w:val="24"/>
          <w:rtl/>
        </w:rPr>
        <w:t>الأطراف والحكومات الأخرى على تكثيف جهودها الرامية إلى تنفيذ تدابير من أجل التنفيذ الكامل للهدف 3 من أهداف أيشي للتنوع البيولوجي، مع مراعاة المعالم الرئيسية التي اعتمدها مؤتمر الأطراف في اجتماعه الثاني عشر،</w:t>
      </w:r>
      <w:r w:rsidRPr="00267100">
        <w:rPr>
          <w:rFonts w:ascii="Simplified Arabic" w:hAnsi="Simplified Arabic"/>
          <w:sz w:val="24"/>
          <w:vertAlign w:val="superscript"/>
          <w:rtl/>
        </w:rPr>
        <w:footnoteReference w:id="268"/>
      </w:r>
      <w:r w:rsidRPr="00267100">
        <w:rPr>
          <w:rFonts w:ascii="Simplified Arabic" w:hAnsi="Simplified Arabic"/>
          <w:sz w:val="24"/>
          <w:rtl/>
        </w:rPr>
        <w:t xml:space="preserve"> كإطار مرن، بالاتساق والتجانس مع الاتفاقية والالتزامات الدولية الأخرى ذات الصلة، </w:t>
      </w:r>
      <w:r>
        <w:rPr>
          <w:rFonts w:ascii="Simplified Arabic" w:hAnsi="Simplified Arabic" w:hint="cs"/>
          <w:sz w:val="24"/>
          <w:rtl/>
        </w:rPr>
        <w:t>و</w:t>
      </w:r>
      <w:r w:rsidRPr="00267100">
        <w:rPr>
          <w:rFonts w:ascii="Simplified Arabic" w:hAnsi="Simplified Arabic"/>
          <w:sz w:val="24"/>
          <w:rtl/>
        </w:rPr>
        <w:t>مع مراعاة الظروف الاجتماعية الاقتصادية الوطنية؛</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11</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يرحب </w:t>
      </w:r>
      <w:r w:rsidRPr="00267100">
        <w:rPr>
          <w:rFonts w:ascii="Simplified Arabic" w:hAnsi="Simplified Arabic"/>
          <w:sz w:val="24"/>
          <w:rtl/>
        </w:rPr>
        <w:t>بعمل المنظمات والمبادرات ذات الصلة، بما في ذلك مبادرة تمويل التنوع البيولوجي التابعة لبرنامج الأمم المتحدة الإنمائي، وبرنامج الأمم المتحدة للبيئة، ومنظمة التعاون والتنمية في الميدان الاقتصادي، والمعهد الدولي للتنمية المستدامة، وشركاء آخرين، بشأن تقديم دعم تحليلي وتقني وبناء القدرات لتنفيذ الهدف 3 من أهداف أيشي للتنوع البيولوجي، ويدعو هذه المنظمات والمبادرات إلى مواصلة هذا العمل وزيادة تكثيفه؛</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12</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يلاحظ </w:t>
      </w:r>
      <w:r w:rsidRPr="00267100">
        <w:rPr>
          <w:rFonts w:ascii="Simplified Arabic" w:hAnsi="Simplified Arabic"/>
          <w:sz w:val="24"/>
          <w:rtl/>
        </w:rPr>
        <w:t xml:space="preserve">الدور المفيد للدراسات الوطنية لتحديد الحوافز الضارة والفرص المتاحة لإلغاء أو إصلاح الحوافز الضارة، بما في ذلك الإعانات، وفي استكشاف وتحديد الإجراءات السياساتية الأكثر فعالية، </w:t>
      </w:r>
      <w:r w:rsidRPr="00267100">
        <w:rPr>
          <w:rFonts w:ascii="Simplified Arabic" w:hAnsi="Simplified Arabic"/>
          <w:i/>
          <w:iCs/>
          <w:sz w:val="24"/>
          <w:rtl/>
        </w:rPr>
        <w:t xml:space="preserve">ويدعو </w:t>
      </w:r>
      <w:r w:rsidRPr="00267100">
        <w:rPr>
          <w:rFonts w:ascii="Simplified Arabic" w:hAnsi="Simplified Arabic"/>
          <w:sz w:val="24"/>
          <w:rtl/>
        </w:rPr>
        <w:t>المنظمات المهتمة، مثل المنظمات والمبادرات المذكورة في الفقرة السابقة، إلى النظر في الاضطلاع بتجميع تنظيمي وتحليل للدراسات الحالية بغية تحديد أساليب الممارسات الجيدة من أجل تحديد الحوافز الضارة وإعداد استجابات ملائمة تتعلق بالسياسة العامة، وإعداد معيار أو نموذج لهذه المعايير كإرشادات طوعية؛</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13</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 xml:space="preserve">يطلب </w:t>
      </w:r>
      <w:r w:rsidRPr="00267100">
        <w:rPr>
          <w:rFonts w:ascii="Simplified Arabic" w:hAnsi="Simplified Arabic"/>
          <w:sz w:val="24"/>
          <w:rtl/>
        </w:rPr>
        <w:t>إلى الأمينة التنفيذية</w:t>
      </w:r>
      <w:r>
        <w:rPr>
          <w:rFonts w:ascii="Simplified Arabic" w:hAnsi="Simplified Arabic" w:hint="cs"/>
          <w:sz w:val="24"/>
          <w:rtl/>
        </w:rPr>
        <w:t xml:space="preserve"> أن تواصل وتعزز التعاون</w:t>
      </w:r>
      <w:r w:rsidRPr="00267100">
        <w:rPr>
          <w:rFonts w:ascii="Simplified Arabic" w:hAnsi="Simplified Arabic"/>
          <w:sz w:val="24"/>
          <w:rtl/>
        </w:rPr>
        <w:t xml:space="preserve"> مع الشركاء في تيسير العمل المشار إليه في الفقرات 4 و</w:t>
      </w:r>
      <w:r>
        <w:rPr>
          <w:rFonts w:ascii="Simplified Arabic" w:hAnsi="Simplified Arabic" w:hint="cs"/>
          <w:sz w:val="24"/>
          <w:rtl/>
        </w:rPr>
        <w:t>11</w:t>
      </w:r>
      <w:r w:rsidRPr="00267100">
        <w:rPr>
          <w:rFonts w:ascii="Simplified Arabic" w:hAnsi="Simplified Arabic"/>
          <w:sz w:val="24"/>
          <w:rtl/>
        </w:rPr>
        <w:t xml:space="preserve"> و</w:t>
      </w:r>
      <w:r>
        <w:rPr>
          <w:rFonts w:ascii="Simplified Arabic" w:hAnsi="Simplified Arabic" w:hint="cs"/>
          <w:sz w:val="24"/>
          <w:rtl/>
        </w:rPr>
        <w:t>12</w:t>
      </w:r>
      <w:r w:rsidRPr="00267100">
        <w:rPr>
          <w:rFonts w:ascii="Simplified Arabic" w:hAnsi="Simplified Arabic"/>
          <w:sz w:val="24"/>
          <w:rtl/>
        </w:rPr>
        <w:t xml:space="preserve"> أعلاه؛</w:t>
      </w:r>
    </w:p>
    <w:p w:rsidR="001C1C1D" w:rsidRPr="00267100" w:rsidRDefault="001C1C1D" w:rsidP="001C1C1D">
      <w:pPr>
        <w:kinsoku w:val="0"/>
        <w:overflowPunct w:val="0"/>
        <w:autoSpaceDE w:val="0"/>
        <w:autoSpaceDN w:val="0"/>
        <w:adjustRightInd w:val="0"/>
        <w:snapToGrid w:val="0"/>
        <w:spacing w:line="204" w:lineRule="auto"/>
        <w:jc w:val="center"/>
        <w:rPr>
          <w:rFonts w:ascii="Simplified Arabic" w:hAnsi="Simplified Arabic"/>
          <w:b/>
          <w:bCs/>
          <w:snapToGrid w:val="0"/>
          <w:kern w:val="22"/>
          <w:sz w:val="24"/>
          <w:rtl/>
        </w:rPr>
      </w:pPr>
      <w:r>
        <w:rPr>
          <w:rFonts w:ascii="Simplified Arabic" w:hAnsi="Simplified Arabic" w:hint="cs"/>
          <w:b/>
          <w:bCs/>
          <w:sz w:val="24"/>
          <w:rtl/>
        </w:rPr>
        <w:t>هاء-</w:t>
      </w:r>
      <w:r>
        <w:rPr>
          <w:rFonts w:ascii="Simplified Arabic" w:hAnsi="Simplified Arabic"/>
          <w:b/>
          <w:bCs/>
          <w:sz w:val="24"/>
          <w:rtl/>
        </w:rPr>
        <w:tab/>
      </w:r>
      <w:r w:rsidRPr="00267100">
        <w:rPr>
          <w:rFonts w:ascii="Simplified Arabic" w:hAnsi="Simplified Arabic"/>
          <w:b/>
          <w:bCs/>
          <w:sz w:val="24"/>
          <w:rtl/>
        </w:rPr>
        <w:t>مكوّن حشد الموارد لإطار التنوع البيولوجي لما بعد عام 2020</w:t>
      </w:r>
    </w:p>
    <w:p w:rsidR="001C1C1D" w:rsidRPr="00267100" w:rsidRDefault="001C1C1D" w:rsidP="001C1C1D">
      <w:pPr>
        <w:kinsoku w:val="0"/>
        <w:overflowPunct w:val="0"/>
        <w:autoSpaceDE w:val="0"/>
        <w:autoSpaceDN w:val="0"/>
        <w:adjustRightInd w:val="0"/>
        <w:snapToGrid w:val="0"/>
        <w:spacing w:line="204" w:lineRule="auto"/>
        <w:ind w:firstLine="720"/>
        <w:rPr>
          <w:rFonts w:ascii="Simplified Arabic" w:hAnsi="Simplified Arabic"/>
          <w:snapToGrid w:val="0"/>
          <w:kern w:val="22"/>
          <w:sz w:val="24"/>
          <w:rtl/>
        </w:rPr>
      </w:pPr>
      <w:r>
        <w:rPr>
          <w:rFonts w:ascii="Simplified Arabic" w:hAnsi="Simplified Arabic" w:hint="cs"/>
          <w:snapToGrid w:val="0"/>
          <w:kern w:val="22"/>
          <w:sz w:val="24"/>
          <w:rtl/>
        </w:rPr>
        <w:t>14</w:t>
      </w:r>
      <w:r w:rsidRPr="00267100">
        <w:rPr>
          <w:rFonts w:ascii="Simplified Arabic" w:hAnsi="Simplified Arabic"/>
          <w:snapToGrid w:val="0"/>
          <w:kern w:val="22"/>
          <w:sz w:val="24"/>
          <w:rtl/>
        </w:rPr>
        <w:t>-</w:t>
      </w:r>
      <w:r w:rsidRPr="00267100">
        <w:rPr>
          <w:rFonts w:ascii="Simplified Arabic" w:hAnsi="Simplified Arabic"/>
          <w:snapToGrid w:val="0"/>
          <w:kern w:val="22"/>
          <w:sz w:val="24"/>
          <w:rtl/>
        </w:rPr>
        <w:tab/>
      </w:r>
      <w:r w:rsidRPr="00267100">
        <w:rPr>
          <w:rFonts w:ascii="Simplified Arabic" w:hAnsi="Simplified Arabic"/>
          <w:i/>
          <w:iCs/>
          <w:sz w:val="24"/>
          <w:rtl/>
        </w:rPr>
        <w:t>يؤكد</w:t>
      </w:r>
      <w:r w:rsidRPr="00267100">
        <w:rPr>
          <w:rFonts w:ascii="Simplified Arabic" w:hAnsi="Simplified Arabic"/>
          <w:sz w:val="24"/>
          <w:rtl/>
        </w:rPr>
        <w:t xml:space="preserve"> أن حشد الموارد سيكون جزءا لا يتجزأ من الإطار العالمي للتنوع البيولوجي لما بعد عام 2020 الذي سيعتمده مؤتمر الأطراف في الاتفاقية في اجتماعه الخامس عشر، </w:t>
      </w:r>
      <w:r w:rsidRPr="00267100">
        <w:rPr>
          <w:rFonts w:ascii="Simplified Arabic" w:hAnsi="Simplified Arabic"/>
          <w:i/>
          <w:iCs/>
          <w:sz w:val="24"/>
          <w:rtl/>
        </w:rPr>
        <w:t>ويقرر</w:t>
      </w:r>
      <w:r w:rsidRPr="00267100">
        <w:rPr>
          <w:rFonts w:ascii="Simplified Arabic" w:hAnsi="Simplified Arabic"/>
          <w:sz w:val="24"/>
          <w:rtl/>
        </w:rPr>
        <w:t xml:space="preserve"> البدء في التحضيرات بشأن هذا المكون في مرحلة مبكرة من عملية إعداد الإطار، في انسجام وتنسيق كاملين مع العملية الشاملة لإطار ما بعد عام 2020 على النحو</w:t>
      </w:r>
      <w:r>
        <w:rPr>
          <w:rFonts w:ascii="Simplified Arabic" w:hAnsi="Simplified Arabic" w:hint="cs"/>
          <w:sz w:val="24"/>
          <w:rtl/>
        </w:rPr>
        <w:t xml:space="preserve"> </w:t>
      </w:r>
      <w:r w:rsidRPr="00267100">
        <w:rPr>
          <w:rFonts w:ascii="Simplified Arabic" w:hAnsi="Simplified Arabic"/>
          <w:sz w:val="24"/>
          <w:rtl/>
        </w:rPr>
        <w:t>المتفق عليه في المقرر 14/</w:t>
      </w:r>
      <w:r>
        <w:rPr>
          <w:rFonts w:ascii="Simplified Arabic" w:hAnsi="Simplified Arabic" w:hint="cs"/>
          <w:sz w:val="24"/>
          <w:rtl/>
        </w:rPr>
        <w:t>34</w:t>
      </w:r>
      <w:r w:rsidRPr="00267100">
        <w:rPr>
          <w:rFonts w:ascii="Simplified Arabic" w:hAnsi="Simplified Arabic"/>
          <w:sz w:val="24"/>
          <w:rtl/>
        </w:rPr>
        <w:t>؛</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1</w:t>
      </w:r>
      <w:r>
        <w:rPr>
          <w:rFonts w:ascii="Simplified Arabic" w:hAnsi="Simplified Arabic" w:hint="cs"/>
          <w:sz w:val="24"/>
          <w:rtl/>
        </w:rPr>
        <w:t>5</w:t>
      </w:r>
      <w:r w:rsidRPr="00BE47AD">
        <w:rPr>
          <w:rFonts w:ascii="Simplified Arabic" w:hAnsi="Simplified Arabic"/>
          <w:sz w:val="24"/>
          <w:rtl/>
        </w:rPr>
        <w:t>-</w:t>
      </w:r>
      <w:r>
        <w:rPr>
          <w:rFonts w:ascii="Simplified Arabic" w:hAnsi="Simplified Arabic"/>
          <w:sz w:val="24"/>
          <w:rtl/>
        </w:rPr>
        <w:tab/>
      </w:r>
      <w:r w:rsidRPr="00BE47AD">
        <w:rPr>
          <w:rFonts w:ascii="Simplified Arabic" w:hAnsi="Simplified Arabic"/>
          <w:i/>
          <w:iCs/>
          <w:sz w:val="24"/>
          <w:rtl/>
        </w:rPr>
        <w:t>يطلب</w:t>
      </w:r>
      <w:r w:rsidRPr="00BE47AD">
        <w:rPr>
          <w:rFonts w:ascii="Simplified Arabic" w:hAnsi="Simplified Arabic"/>
          <w:sz w:val="24"/>
          <w:rtl/>
        </w:rPr>
        <w:t xml:space="preserve"> إلى الأمين</w:t>
      </w:r>
      <w:r>
        <w:rPr>
          <w:rFonts w:ascii="Simplified Arabic" w:hAnsi="Simplified Arabic" w:hint="cs"/>
          <w:sz w:val="24"/>
          <w:rtl/>
        </w:rPr>
        <w:t>ة</w:t>
      </w:r>
      <w:r w:rsidRPr="00BE47AD">
        <w:rPr>
          <w:rFonts w:ascii="Simplified Arabic" w:hAnsi="Simplified Arabic"/>
          <w:sz w:val="24"/>
          <w:rtl/>
        </w:rPr>
        <w:t xml:space="preserve"> التنفيذي</w:t>
      </w:r>
      <w:r>
        <w:rPr>
          <w:rFonts w:ascii="Simplified Arabic" w:hAnsi="Simplified Arabic" w:hint="cs"/>
          <w:sz w:val="24"/>
          <w:rtl/>
        </w:rPr>
        <w:t>ة، و</w:t>
      </w:r>
      <w:r w:rsidRPr="00BE47AD">
        <w:rPr>
          <w:rFonts w:ascii="Simplified Arabic" w:hAnsi="Simplified Arabic"/>
          <w:sz w:val="24"/>
          <w:rtl/>
        </w:rPr>
        <w:t>رهنا بتوافر الموارد المالية</w:t>
      </w:r>
      <w:r>
        <w:rPr>
          <w:rFonts w:ascii="Simplified Arabic" w:hAnsi="Simplified Arabic" w:hint="cs"/>
          <w:sz w:val="24"/>
          <w:rtl/>
        </w:rPr>
        <w:t>،</w:t>
      </w:r>
      <w:r w:rsidRPr="00BE47AD">
        <w:rPr>
          <w:rFonts w:ascii="Simplified Arabic" w:hAnsi="Simplified Arabic"/>
          <w:sz w:val="24"/>
          <w:rtl/>
        </w:rPr>
        <w:t xml:space="preserve"> </w:t>
      </w:r>
      <w:r>
        <w:rPr>
          <w:rFonts w:ascii="Simplified Arabic" w:hAnsi="Simplified Arabic" w:hint="cs"/>
          <w:sz w:val="24"/>
          <w:rtl/>
        </w:rPr>
        <w:t>أن تكلف</w:t>
      </w:r>
      <w:r w:rsidRPr="00BE47AD">
        <w:rPr>
          <w:rFonts w:ascii="Simplified Arabic" w:hAnsi="Simplified Arabic"/>
          <w:sz w:val="24"/>
          <w:rtl/>
        </w:rPr>
        <w:t xml:space="preserve"> فريق</w:t>
      </w:r>
      <w:r>
        <w:rPr>
          <w:rFonts w:ascii="Simplified Arabic" w:hAnsi="Simplified Arabic" w:hint="cs"/>
          <w:sz w:val="24"/>
          <w:rtl/>
        </w:rPr>
        <w:t>ا</w:t>
      </w:r>
      <w:r w:rsidRPr="00BE47AD">
        <w:rPr>
          <w:rFonts w:ascii="Simplified Arabic" w:hAnsi="Simplified Arabic"/>
          <w:sz w:val="24"/>
          <w:rtl/>
        </w:rPr>
        <w:t xml:space="preserve"> مكون</w:t>
      </w:r>
      <w:r>
        <w:rPr>
          <w:rFonts w:ascii="Simplified Arabic" w:hAnsi="Simplified Arabic" w:hint="cs"/>
          <w:sz w:val="24"/>
          <w:rtl/>
        </w:rPr>
        <w:t>ا</w:t>
      </w:r>
      <w:r w:rsidRPr="00BE47AD">
        <w:rPr>
          <w:rFonts w:ascii="Simplified Arabic" w:hAnsi="Simplified Arabic"/>
          <w:sz w:val="24"/>
          <w:rtl/>
        </w:rPr>
        <w:t xml:space="preserve"> من ثلاثة أو خمسة خبراء، بتمثيل متساو من الأطراف من البلدان النامية و</w:t>
      </w:r>
      <w:r>
        <w:rPr>
          <w:rFonts w:ascii="Simplified Arabic" w:hAnsi="Simplified Arabic" w:hint="cs"/>
          <w:sz w:val="24"/>
          <w:rtl/>
        </w:rPr>
        <w:t xml:space="preserve">الأطراف من البلدان </w:t>
      </w:r>
      <w:r w:rsidRPr="00BE47AD">
        <w:rPr>
          <w:rFonts w:ascii="Simplified Arabic" w:hAnsi="Simplified Arabic"/>
          <w:sz w:val="24"/>
          <w:rtl/>
        </w:rPr>
        <w:t xml:space="preserve">المتقدمة </w:t>
      </w:r>
      <w:r>
        <w:rPr>
          <w:rFonts w:ascii="Simplified Arabic" w:hAnsi="Simplified Arabic" w:hint="cs"/>
          <w:sz w:val="24"/>
          <w:rtl/>
        </w:rPr>
        <w:t xml:space="preserve">وخبير واحد </w:t>
      </w:r>
      <w:r w:rsidRPr="00BE47AD">
        <w:rPr>
          <w:rFonts w:ascii="Simplified Arabic" w:hAnsi="Simplified Arabic"/>
          <w:sz w:val="24"/>
          <w:rtl/>
        </w:rPr>
        <w:t xml:space="preserve">من منظمات غير حكومية دولية، </w:t>
      </w:r>
      <w:r>
        <w:rPr>
          <w:rFonts w:ascii="Simplified Arabic" w:hAnsi="Simplified Arabic" w:hint="cs"/>
          <w:sz w:val="24"/>
          <w:rtl/>
        </w:rPr>
        <w:t xml:space="preserve">لتنفيذ </w:t>
      </w:r>
      <w:r w:rsidRPr="00BE47AD">
        <w:rPr>
          <w:rFonts w:ascii="Simplified Arabic" w:hAnsi="Simplified Arabic"/>
          <w:sz w:val="24"/>
          <w:rtl/>
        </w:rPr>
        <w:t xml:space="preserve">الأنشطة المدرجة أدناه، وإعداد التقارير، </w:t>
      </w:r>
      <w:r>
        <w:rPr>
          <w:rFonts w:ascii="Simplified Arabic" w:hAnsi="Simplified Arabic" w:hint="cs"/>
          <w:sz w:val="24"/>
          <w:rtl/>
        </w:rPr>
        <w:t>للمساهمة</w:t>
      </w:r>
      <w:r w:rsidRPr="00BE47AD">
        <w:rPr>
          <w:rFonts w:ascii="Simplified Arabic" w:hAnsi="Simplified Arabic"/>
          <w:sz w:val="24"/>
          <w:rtl/>
        </w:rPr>
        <w:t xml:space="preserve"> في العملية الشاملة لإطار </w:t>
      </w:r>
      <w:r>
        <w:rPr>
          <w:rFonts w:ascii="Simplified Arabic" w:hAnsi="Simplified Arabic"/>
          <w:sz w:val="24"/>
          <w:rtl/>
        </w:rPr>
        <w:t>ما بعد عام 2020</w:t>
      </w:r>
      <w:r w:rsidRPr="00BE47AD">
        <w:rPr>
          <w:rFonts w:ascii="Simplified Arabic" w:hAnsi="Simplified Arabic"/>
          <w:sz w:val="24"/>
          <w:rtl/>
        </w:rPr>
        <w:t>، و</w:t>
      </w:r>
      <w:r>
        <w:rPr>
          <w:rFonts w:ascii="Simplified Arabic" w:hAnsi="Simplified Arabic" w:hint="cs"/>
          <w:sz w:val="24"/>
          <w:rtl/>
        </w:rPr>
        <w:t>لكي ينظر فيها ا</w:t>
      </w:r>
      <w:r w:rsidRPr="00BE47AD">
        <w:rPr>
          <w:rFonts w:ascii="Simplified Arabic" w:hAnsi="Simplified Arabic"/>
          <w:sz w:val="24"/>
          <w:rtl/>
        </w:rPr>
        <w:t xml:space="preserve">لفريق العامل المفتوح العضوية، </w:t>
      </w:r>
      <w:r>
        <w:rPr>
          <w:rFonts w:ascii="Simplified Arabic" w:hAnsi="Simplified Arabic" w:hint="cs"/>
          <w:sz w:val="24"/>
          <w:rtl/>
        </w:rPr>
        <w:t>و</w:t>
      </w:r>
      <w:r w:rsidRPr="00BE47AD">
        <w:rPr>
          <w:rFonts w:ascii="Simplified Arabic" w:hAnsi="Simplified Arabic"/>
          <w:sz w:val="24"/>
          <w:rtl/>
        </w:rPr>
        <w:t>مؤتمر الأطراف في اجتماعه الخامس عشر:</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(أ)</w:t>
      </w:r>
      <w:r>
        <w:rPr>
          <w:rFonts w:ascii="Simplified Arabic" w:hAnsi="Simplified Arabic"/>
          <w:sz w:val="24"/>
          <w:rtl/>
        </w:rPr>
        <w:tab/>
      </w:r>
      <w:r w:rsidRPr="00BE47AD">
        <w:rPr>
          <w:rFonts w:ascii="Simplified Arabic" w:hAnsi="Simplified Arabic"/>
          <w:sz w:val="24"/>
          <w:rtl/>
        </w:rPr>
        <w:t xml:space="preserve">تقييم هيكل ومحتوى وفعالية استراتيجية </w:t>
      </w:r>
      <w:r>
        <w:rPr>
          <w:rFonts w:ascii="Simplified Arabic" w:hAnsi="Simplified Arabic" w:hint="cs"/>
          <w:sz w:val="24"/>
          <w:rtl/>
        </w:rPr>
        <w:t>حشد</w:t>
      </w:r>
      <w:r w:rsidRPr="00BE47AD">
        <w:rPr>
          <w:rFonts w:ascii="Simplified Arabic" w:hAnsi="Simplified Arabic"/>
          <w:sz w:val="24"/>
          <w:rtl/>
        </w:rPr>
        <w:t xml:space="preserve"> الموارد </w:t>
      </w:r>
      <w:r>
        <w:rPr>
          <w:rFonts w:ascii="Simplified Arabic" w:hAnsi="Simplified Arabic" w:hint="cs"/>
          <w:sz w:val="24"/>
          <w:rtl/>
        </w:rPr>
        <w:t>مع الإشارة قدر الإمكان إلى</w:t>
      </w:r>
      <w:r w:rsidRPr="00BE47AD">
        <w:rPr>
          <w:rFonts w:ascii="Simplified Arabic" w:hAnsi="Simplified Arabic"/>
          <w:sz w:val="24"/>
          <w:rtl/>
        </w:rPr>
        <w:t xml:space="preserve"> الثغرات في تحقيق الأهداف؛</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(ب)</w:t>
      </w:r>
      <w:r>
        <w:rPr>
          <w:rFonts w:ascii="Simplified Arabic" w:hAnsi="Simplified Arabic"/>
          <w:sz w:val="24"/>
          <w:rtl/>
        </w:rPr>
        <w:tab/>
      </w:r>
      <w:r w:rsidRPr="00BE47AD">
        <w:rPr>
          <w:rFonts w:ascii="Simplified Arabic" w:hAnsi="Simplified Arabic"/>
          <w:sz w:val="24"/>
          <w:rtl/>
        </w:rPr>
        <w:t xml:space="preserve">استعراض تجارب تحقيق الهدف 20 من أهداف أيشي للتنوع البيولوجي وتنفيذ استراتيجية </w:t>
      </w:r>
      <w:r>
        <w:rPr>
          <w:rFonts w:ascii="Simplified Arabic" w:hAnsi="Simplified Arabic" w:hint="cs"/>
          <w:sz w:val="24"/>
          <w:rtl/>
        </w:rPr>
        <w:t>حشد</w:t>
      </w:r>
      <w:r w:rsidRPr="00BE47AD">
        <w:rPr>
          <w:rFonts w:ascii="Simplified Arabic" w:hAnsi="Simplified Arabic"/>
          <w:sz w:val="24"/>
          <w:rtl/>
        </w:rPr>
        <w:t xml:space="preserve"> الموارد، ومدى </w:t>
      </w:r>
      <w:r>
        <w:rPr>
          <w:rFonts w:ascii="Simplified Arabic" w:hAnsi="Simplified Arabic" w:hint="cs"/>
          <w:sz w:val="24"/>
          <w:rtl/>
        </w:rPr>
        <w:t>كفايتها</w:t>
      </w:r>
      <w:r w:rsidRPr="00BE47AD">
        <w:rPr>
          <w:rFonts w:ascii="Simplified Arabic" w:hAnsi="Simplified Arabic"/>
          <w:sz w:val="24"/>
          <w:rtl/>
        </w:rPr>
        <w:t xml:space="preserve">، والاستفادة من هذه التجارب، وكذلك تلك المتعلقة بتنفيذ الاتفاقات البيئية </w:t>
      </w:r>
      <w:r>
        <w:rPr>
          <w:rFonts w:ascii="Simplified Arabic" w:hAnsi="Simplified Arabic" w:hint="cs"/>
          <w:sz w:val="24"/>
          <w:rtl/>
        </w:rPr>
        <w:t>ال</w:t>
      </w:r>
      <w:r w:rsidRPr="00BE47AD">
        <w:rPr>
          <w:rFonts w:ascii="Simplified Arabic" w:hAnsi="Simplified Arabic"/>
          <w:sz w:val="24"/>
          <w:rtl/>
        </w:rPr>
        <w:t xml:space="preserve">متعددة الأطراف الأخرى ذات الصلة، ومبادرات أصحاب المصلحة </w:t>
      </w:r>
      <w:r>
        <w:rPr>
          <w:rFonts w:ascii="Simplified Arabic" w:hAnsi="Simplified Arabic" w:hint="cs"/>
          <w:sz w:val="24"/>
          <w:rtl/>
        </w:rPr>
        <w:t xml:space="preserve">من القطاعين </w:t>
      </w:r>
      <w:r w:rsidRPr="00BE47AD">
        <w:rPr>
          <w:rFonts w:ascii="Simplified Arabic" w:hAnsi="Simplified Arabic"/>
          <w:sz w:val="24"/>
          <w:rtl/>
        </w:rPr>
        <w:t xml:space="preserve">العام والخاص وتلك التي تضطلع بها الشعوب الأصلية والمجتمعات المحلية، للنظر في الحاجة إلى اتخاذ إجراءات مناسبة، استناداً إلى المعلومات </w:t>
      </w:r>
      <w:r>
        <w:rPr>
          <w:rFonts w:ascii="Simplified Arabic" w:hAnsi="Simplified Arabic" w:hint="cs"/>
          <w:sz w:val="24"/>
          <w:rtl/>
        </w:rPr>
        <w:t>التي تقدمها</w:t>
      </w:r>
      <w:r w:rsidRPr="00BE47AD">
        <w:rPr>
          <w:rFonts w:ascii="Simplified Arabic" w:hAnsi="Simplified Arabic"/>
          <w:sz w:val="24"/>
          <w:rtl/>
        </w:rPr>
        <w:t xml:space="preserve"> الأطراف من خلال إطار الإبلاغ المالي، بما في ذلك احتياجاتها المحددة من الموارد، وغيرها من المصادر ذات الصلة؛</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Pr>
          <w:rFonts w:ascii="Simplified Arabic" w:hAnsi="Simplified Arabic" w:hint="cs"/>
          <w:sz w:val="24"/>
          <w:rtl/>
        </w:rPr>
        <w:lastRenderedPageBreak/>
        <w:t>(ج)</w:t>
      </w:r>
      <w:r>
        <w:rPr>
          <w:rFonts w:ascii="Simplified Arabic" w:hAnsi="Simplified Arabic" w:hint="cs"/>
          <w:sz w:val="24"/>
          <w:rtl/>
        </w:rPr>
        <w:tab/>
      </w:r>
      <w:r w:rsidRPr="00BE47AD">
        <w:rPr>
          <w:rFonts w:ascii="Simplified Arabic" w:hAnsi="Simplified Arabic"/>
          <w:sz w:val="24"/>
          <w:rtl/>
        </w:rPr>
        <w:t>تقدير الموارد من جميع المصادر اللازمة لمختلف السيناريوهات</w:t>
      </w:r>
      <w:r>
        <w:rPr>
          <w:rStyle w:val="FootnoteReference"/>
          <w:rFonts w:ascii="Simplified Arabic" w:hAnsi="Simplified Arabic"/>
          <w:rtl/>
        </w:rPr>
        <w:footnoteReference w:id="269"/>
      </w:r>
      <w:r w:rsidRPr="00BE47AD">
        <w:rPr>
          <w:rFonts w:ascii="Simplified Arabic" w:hAnsi="Simplified Arabic"/>
          <w:sz w:val="24"/>
          <w:rtl/>
        </w:rPr>
        <w:t xml:space="preserve"> لتنفيذ إطار </w:t>
      </w:r>
      <w:r>
        <w:rPr>
          <w:rFonts w:ascii="Simplified Arabic" w:hAnsi="Simplified Arabic"/>
          <w:sz w:val="24"/>
          <w:rtl/>
        </w:rPr>
        <w:t>ما بعد عام 2020</w:t>
      </w:r>
      <w:r w:rsidRPr="00BE47AD">
        <w:rPr>
          <w:rFonts w:ascii="Simplified Arabic" w:hAnsi="Simplified Arabic"/>
          <w:sz w:val="24"/>
          <w:rtl/>
        </w:rPr>
        <w:t xml:space="preserve">، مع الأخذ في الاعتبار تقييم </w:t>
      </w:r>
      <w:r>
        <w:rPr>
          <w:rFonts w:ascii="Simplified Arabic" w:hAnsi="Simplified Arabic" w:hint="cs"/>
          <w:sz w:val="24"/>
          <w:rtl/>
        </w:rPr>
        <w:t>ال</w:t>
      </w:r>
      <w:r w:rsidRPr="00BE47AD">
        <w:rPr>
          <w:rFonts w:ascii="Simplified Arabic" w:hAnsi="Simplified Arabic"/>
          <w:sz w:val="24"/>
          <w:rtl/>
        </w:rPr>
        <w:t xml:space="preserve">احتياجات </w:t>
      </w:r>
      <w:r>
        <w:rPr>
          <w:rFonts w:ascii="Simplified Arabic" w:hAnsi="Simplified Arabic" w:hint="cs"/>
          <w:sz w:val="24"/>
          <w:rtl/>
        </w:rPr>
        <w:t>ل</w:t>
      </w:r>
      <w:r w:rsidRPr="00BE47AD">
        <w:rPr>
          <w:rFonts w:ascii="Simplified Arabic" w:hAnsi="Simplified Arabic"/>
          <w:sz w:val="24"/>
          <w:rtl/>
        </w:rPr>
        <w:t>مرفق البيئة العالمي</w:t>
      </w:r>
      <w:r>
        <w:rPr>
          <w:rFonts w:ascii="Simplified Arabic" w:hAnsi="Simplified Arabic" w:hint="cs"/>
          <w:sz w:val="24"/>
          <w:rtl/>
        </w:rPr>
        <w:t>ة</w:t>
      </w:r>
      <w:r w:rsidRPr="00BE47AD">
        <w:rPr>
          <w:rFonts w:ascii="Simplified Arabic" w:hAnsi="Simplified Arabic"/>
          <w:sz w:val="24"/>
          <w:rtl/>
        </w:rPr>
        <w:t xml:space="preserve">، </w:t>
      </w:r>
      <w:r>
        <w:rPr>
          <w:rFonts w:ascii="Simplified Arabic" w:hAnsi="Simplified Arabic" w:hint="cs"/>
          <w:sz w:val="24"/>
          <w:rtl/>
        </w:rPr>
        <w:t>فضلا عن</w:t>
      </w:r>
      <w:r w:rsidRPr="00BE47AD">
        <w:rPr>
          <w:rFonts w:ascii="Simplified Arabic" w:hAnsi="Simplified Arabic"/>
          <w:sz w:val="24"/>
          <w:rtl/>
        </w:rPr>
        <w:t xml:space="preserve"> التكاليف و</w:t>
      </w:r>
      <w:r>
        <w:rPr>
          <w:rFonts w:ascii="Simplified Arabic" w:hAnsi="Simplified Arabic" w:hint="cs"/>
          <w:sz w:val="24"/>
          <w:rtl/>
        </w:rPr>
        <w:t>المنافع</w:t>
      </w:r>
      <w:r>
        <w:rPr>
          <w:rStyle w:val="FootnoteReference"/>
          <w:rFonts w:ascii="Simplified Arabic" w:hAnsi="Simplified Arabic"/>
          <w:rtl/>
        </w:rPr>
        <w:footnoteReference w:id="270"/>
      </w:r>
      <w:r w:rsidRPr="00BE47AD">
        <w:rPr>
          <w:rFonts w:ascii="Simplified Arabic" w:hAnsi="Simplified Arabic"/>
          <w:sz w:val="24"/>
          <w:rtl/>
        </w:rPr>
        <w:t xml:space="preserve"> الناشئة عن تنفيذ </w:t>
      </w:r>
      <w:r>
        <w:rPr>
          <w:rFonts w:ascii="Simplified Arabic" w:hAnsi="Simplified Arabic" w:hint="cs"/>
          <w:sz w:val="24"/>
          <w:rtl/>
        </w:rPr>
        <w:t xml:space="preserve">إطار </w:t>
      </w:r>
      <w:r w:rsidRPr="00BE47AD">
        <w:rPr>
          <w:rFonts w:ascii="Simplified Arabic" w:hAnsi="Simplified Arabic"/>
          <w:sz w:val="24"/>
          <w:rtl/>
        </w:rPr>
        <w:t xml:space="preserve">ما بعد </w:t>
      </w:r>
      <w:r>
        <w:rPr>
          <w:rFonts w:ascii="Simplified Arabic" w:hAnsi="Simplified Arabic" w:hint="cs"/>
          <w:sz w:val="24"/>
          <w:rtl/>
        </w:rPr>
        <w:t>عام </w:t>
      </w:r>
      <w:r w:rsidRPr="00BE47AD">
        <w:rPr>
          <w:rFonts w:ascii="Simplified Arabic" w:hAnsi="Simplified Arabic"/>
          <w:sz w:val="24"/>
          <w:rtl/>
        </w:rPr>
        <w:t>2020؛</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(د)</w:t>
      </w:r>
      <w:r>
        <w:rPr>
          <w:rFonts w:ascii="Simplified Arabic" w:hAnsi="Simplified Arabic"/>
          <w:sz w:val="24"/>
          <w:rtl/>
        </w:rPr>
        <w:tab/>
      </w:r>
      <w:r w:rsidRPr="00BE47AD">
        <w:rPr>
          <w:rFonts w:ascii="Simplified Arabic" w:hAnsi="Simplified Arabic"/>
          <w:sz w:val="24"/>
          <w:rtl/>
        </w:rPr>
        <w:t xml:space="preserve">المساهمة في مشروع </w:t>
      </w:r>
      <w:r>
        <w:rPr>
          <w:rFonts w:ascii="Simplified Arabic" w:hAnsi="Simplified Arabic" w:hint="cs"/>
          <w:sz w:val="24"/>
          <w:rtl/>
        </w:rPr>
        <w:t>مكون</w:t>
      </w:r>
      <w:r w:rsidRPr="00BE47AD">
        <w:rPr>
          <w:rFonts w:ascii="Simplified Arabic" w:hAnsi="Simplified Arabic"/>
          <w:sz w:val="24"/>
          <w:rtl/>
        </w:rPr>
        <w:t xml:space="preserve"> </w:t>
      </w:r>
      <w:r>
        <w:rPr>
          <w:rFonts w:ascii="Simplified Arabic" w:hAnsi="Simplified Arabic" w:hint="cs"/>
          <w:sz w:val="24"/>
          <w:rtl/>
        </w:rPr>
        <w:t>حشد</w:t>
      </w:r>
      <w:r w:rsidRPr="00BE47AD">
        <w:rPr>
          <w:rFonts w:ascii="Simplified Arabic" w:hAnsi="Simplified Arabic"/>
          <w:sz w:val="24"/>
          <w:rtl/>
        </w:rPr>
        <w:t xml:space="preserve"> الموارد لإطار التنوع البيولوجي ل</w:t>
      </w:r>
      <w:r>
        <w:rPr>
          <w:rFonts w:ascii="Simplified Arabic" w:hAnsi="Simplified Arabic"/>
          <w:sz w:val="24"/>
          <w:rtl/>
        </w:rPr>
        <w:t>ما بعد عام 2020</w:t>
      </w:r>
      <w:r w:rsidRPr="00BE47AD">
        <w:rPr>
          <w:rFonts w:ascii="Simplified Arabic" w:hAnsi="Simplified Arabic"/>
          <w:sz w:val="24"/>
          <w:rtl/>
        </w:rPr>
        <w:t xml:space="preserve"> كمتابعة للاستراتيجية الحالية </w:t>
      </w:r>
      <w:r>
        <w:rPr>
          <w:rFonts w:ascii="Simplified Arabic" w:hAnsi="Simplified Arabic" w:hint="cs"/>
          <w:sz w:val="24"/>
          <w:rtl/>
        </w:rPr>
        <w:t>لحشد</w:t>
      </w:r>
      <w:r w:rsidRPr="00BE47AD">
        <w:rPr>
          <w:rFonts w:ascii="Simplified Arabic" w:hAnsi="Simplified Arabic"/>
          <w:sz w:val="24"/>
          <w:rtl/>
        </w:rPr>
        <w:t xml:space="preserve"> الموارد، استناداً إلى الاستراتيجية القائمة و</w:t>
      </w:r>
      <w:r>
        <w:rPr>
          <w:rFonts w:ascii="Simplified Arabic" w:hAnsi="Simplified Arabic" w:hint="cs"/>
          <w:sz w:val="24"/>
          <w:rtl/>
        </w:rPr>
        <w:t>العمليات</w:t>
      </w:r>
      <w:r w:rsidRPr="00BE47AD">
        <w:rPr>
          <w:rFonts w:ascii="Simplified Arabic" w:hAnsi="Simplified Arabic"/>
          <w:sz w:val="24"/>
          <w:rtl/>
        </w:rPr>
        <w:t xml:space="preserve"> الموصوفة في الفقرات الفرعية (أ) إلى (ج) أعلاه</w:t>
      </w:r>
      <w:r>
        <w:rPr>
          <w:rFonts w:ascii="Simplified Arabic" w:hAnsi="Simplified Arabic" w:hint="cs"/>
          <w:sz w:val="24"/>
          <w:rtl/>
        </w:rPr>
        <w:t>؛</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(هـ)</w:t>
      </w:r>
      <w:r>
        <w:rPr>
          <w:rFonts w:ascii="Simplified Arabic" w:hAnsi="Simplified Arabic"/>
          <w:sz w:val="24"/>
          <w:rtl/>
        </w:rPr>
        <w:tab/>
      </w:r>
      <w:r w:rsidRPr="00BE47AD">
        <w:rPr>
          <w:rFonts w:ascii="Simplified Arabic" w:hAnsi="Simplified Arabic"/>
          <w:sz w:val="24"/>
          <w:rtl/>
        </w:rPr>
        <w:t>استكشاف الخيارات والن</w:t>
      </w:r>
      <w:r>
        <w:rPr>
          <w:rFonts w:ascii="Simplified Arabic" w:hAnsi="Simplified Arabic" w:hint="cs"/>
          <w:sz w:val="24"/>
          <w:rtl/>
        </w:rPr>
        <w:t>ُ</w:t>
      </w:r>
      <w:r w:rsidRPr="00BE47AD">
        <w:rPr>
          <w:rFonts w:ascii="Simplified Arabic" w:hAnsi="Simplified Arabic"/>
          <w:sz w:val="24"/>
          <w:rtl/>
        </w:rPr>
        <w:t xml:space="preserve">هج </w:t>
      </w:r>
      <w:r>
        <w:rPr>
          <w:rFonts w:ascii="Simplified Arabic" w:hAnsi="Simplified Arabic" w:hint="cs"/>
          <w:sz w:val="24"/>
          <w:rtl/>
        </w:rPr>
        <w:t>لحشد</w:t>
      </w:r>
      <w:r w:rsidRPr="00BE47AD">
        <w:rPr>
          <w:rFonts w:ascii="Simplified Arabic" w:hAnsi="Simplified Arabic"/>
          <w:sz w:val="24"/>
          <w:rtl/>
        </w:rPr>
        <w:t xml:space="preserve"> وتوفير موارد إضافية من جميع المصادر؛</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(و)</w:t>
      </w:r>
      <w:r>
        <w:rPr>
          <w:rFonts w:ascii="Simplified Arabic" w:hAnsi="Simplified Arabic"/>
          <w:sz w:val="24"/>
          <w:rtl/>
        </w:rPr>
        <w:tab/>
      </w:r>
      <w:r w:rsidRPr="00BE47AD">
        <w:rPr>
          <w:rFonts w:ascii="Simplified Arabic" w:hAnsi="Simplified Arabic"/>
          <w:sz w:val="24"/>
          <w:rtl/>
        </w:rPr>
        <w:t xml:space="preserve">النظر في </w:t>
      </w:r>
      <w:r>
        <w:rPr>
          <w:rFonts w:ascii="Simplified Arabic" w:hAnsi="Simplified Arabic" w:hint="cs"/>
          <w:sz w:val="24"/>
          <w:rtl/>
        </w:rPr>
        <w:t>سبل</w:t>
      </w:r>
      <w:r w:rsidRPr="00BE47AD">
        <w:rPr>
          <w:rFonts w:ascii="Simplified Arabic" w:hAnsi="Simplified Arabic"/>
          <w:sz w:val="24"/>
          <w:rtl/>
        </w:rPr>
        <w:t xml:space="preserve"> لتعزيز </w:t>
      </w:r>
      <w:r>
        <w:rPr>
          <w:rFonts w:ascii="Simplified Arabic" w:hAnsi="Simplified Arabic" w:hint="cs"/>
          <w:sz w:val="24"/>
          <w:rtl/>
        </w:rPr>
        <w:t>انخراط</w:t>
      </w:r>
      <w:r w:rsidRPr="00BE47AD">
        <w:rPr>
          <w:rFonts w:ascii="Simplified Arabic" w:hAnsi="Simplified Arabic"/>
          <w:sz w:val="24"/>
          <w:rtl/>
        </w:rPr>
        <w:t xml:space="preserve"> مجموعة أوسع من المؤسسات المالية والخاصة، على جميع المستويات ومن جميع المصادر، لدعم تنفيذ إطار </w:t>
      </w:r>
      <w:r>
        <w:rPr>
          <w:rFonts w:ascii="Simplified Arabic" w:hAnsi="Simplified Arabic"/>
          <w:sz w:val="24"/>
          <w:rtl/>
        </w:rPr>
        <w:t>ما بعد عام 2020</w:t>
      </w:r>
      <w:r w:rsidRPr="00BE47AD">
        <w:rPr>
          <w:rFonts w:ascii="Simplified Arabic" w:hAnsi="Simplified Arabic"/>
          <w:sz w:val="24"/>
          <w:rtl/>
        </w:rPr>
        <w:t>؛</w:t>
      </w:r>
    </w:p>
    <w:p w:rsidR="001C1C1D" w:rsidRPr="00BE47AD" w:rsidRDefault="001C1C1D" w:rsidP="001C1C1D">
      <w:pPr>
        <w:kinsoku w:val="0"/>
        <w:overflowPunct w:val="0"/>
        <w:autoSpaceDE w:val="0"/>
        <w:autoSpaceDN w:val="0"/>
        <w:adjustRightInd w:val="0"/>
        <w:snapToGrid w:val="0"/>
        <w:spacing w:line="204" w:lineRule="auto"/>
        <w:ind w:firstLine="720"/>
        <w:rPr>
          <w:rFonts w:ascii="Simplified Arabic" w:hAnsi="Simplified Arabic"/>
          <w:sz w:val="24"/>
        </w:rPr>
      </w:pPr>
      <w:r w:rsidRPr="00BE47AD">
        <w:rPr>
          <w:rFonts w:ascii="Simplified Arabic" w:hAnsi="Simplified Arabic"/>
          <w:sz w:val="24"/>
          <w:rtl/>
        </w:rPr>
        <w:t>(ز)</w:t>
      </w:r>
      <w:r>
        <w:rPr>
          <w:rFonts w:ascii="Simplified Arabic" w:hAnsi="Simplified Arabic"/>
          <w:sz w:val="24"/>
          <w:rtl/>
        </w:rPr>
        <w:tab/>
      </w:r>
      <w:r w:rsidRPr="00BE47AD">
        <w:rPr>
          <w:rFonts w:ascii="Simplified Arabic" w:hAnsi="Simplified Arabic"/>
          <w:sz w:val="24"/>
          <w:rtl/>
        </w:rPr>
        <w:t xml:space="preserve">النظر في سبل </w:t>
      </w:r>
      <w:r>
        <w:rPr>
          <w:rFonts w:ascii="Simplified Arabic" w:hAnsi="Simplified Arabic" w:hint="cs"/>
          <w:sz w:val="24"/>
          <w:rtl/>
        </w:rPr>
        <w:t>لمواصلة</w:t>
      </w:r>
      <w:r w:rsidRPr="00BE47AD">
        <w:rPr>
          <w:rFonts w:ascii="Simplified Arabic" w:hAnsi="Simplified Arabic"/>
          <w:sz w:val="24"/>
          <w:rtl/>
        </w:rPr>
        <w:t xml:space="preserve"> تعميم التنوع البيولوجي في الميزانيات الاقتصادية وخطط التنمية الوطنية، بما في ذلك القطاعات الإنتاجية الرئيسية؛</w:t>
      </w:r>
    </w:p>
    <w:p w:rsidR="001C1C1D" w:rsidRDefault="001C1C1D" w:rsidP="001C1C1D">
      <w:pPr>
        <w:kinsoku w:val="0"/>
        <w:overflowPunct w:val="0"/>
        <w:autoSpaceDE w:val="0"/>
        <w:autoSpaceDN w:val="0"/>
        <w:adjustRightInd w:val="0"/>
        <w:snapToGrid w:val="0"/>
        <w:ind w:firstLine="720"/>
        <w:rPr>
          <w:rFonts w:ascii="Simplified Arabic" w:hAnsi="Simplified Arabic"/>
          <w:sz w:val="24"/>
          <w:rtl/>
        </w:rPr>
      </w:pPr>
      <w:r w:rsidRPr="00BE47AD">
        <w:rPr>
          <w:rFonts w:ascii="Simplified Arabic" w:hAnsi="Simplified Arabic"/>
          <w:sz w:val="24"/>
          <w:rtl/>
        </w:rPr>
        <w:t>(ح)</w:t>
      </w:r>
      <w:r>
        <w:rPr>
          <w:rFonts w:ascii="Simplified Arabic" w:hAnsi="Simplified Arabic"/>
          <w:sz w:val="24"/>
          <w:rtl/>
        </w:rPr>
        <w:tab/>
      </w:r>
      <w:r w:rsidRPr="00BE47AD">
        <w:rPr>
          <w:rFonts w:ascii="Simplified Arabic" w:hAnsi="Simplified Arabic"/>
          <w:sz w:val="24"/>
          <w:rtl/>
        </w:rPr>
        <w:t xml:space="preserve">النظر في سبل </w:t>
      </w:r>
      <w:r>
        <w:rPr>
          <w:rFonts w:ascii="Simplified Arabic" w:hAnsi="Simplified Arabic" w:hint="cs"/>
          <w:sz w:val="24"/>
          <w:rtl/>
        </w:rPr>
        <w:t>ل</w:t>
      </w:r>
      <w:r w:rsidRPr="00BE47AD">
        <w:rPr>
          <w:rFonts w:ascii="Simplified Arabic" w:hAnsi="Simplified Arabic"/>
          <w:sz w:val="24"/>
          <w:rtl/>
        </w:rPr>
        <w:t>تحسين استعداد وقدرة الأطراف على ال</w:t>
      </w:r>
      <w:r>
        <w:rPr>
          <w:rFonts w:ascii="Simplified Arabic" w:hAnsi="Simplified Arabic" w:hint="cs"/>
          <w:sz w:val="24"/>
          <w:rtl/>
        </w:rPr>
        <w:t>ح</w:t>
      </w:r>
      <w:r w:rsidRPr="00BE47AD">
        <w:rPr>
          <w:rFonts w:ascii="Simplified Arabic" w:hAnsi="Simplified Arabic"/>
          <w:sz w:val="24"/>
          <w:rtl/>
        </w:rPr>
        <w:t xml:space="preserve">صول </w:t>
      </w:r>
      <w:r>
        <w:rPr>
          <w:rFonts w:ascii="Simplified Arabic" w:hAnsi="Simplified Arabic" w:hint="cs"/>
          <w:sz w:val="24"/>
          <w:rtl/>
        </w:rPr>
        <w:t>ع</w:t>
      </w:r>
      <w:r w:rsidRPr="00BE47AD">
        <w:rPr>
          <w:rFonts w:ascii="Simplified Arabic" w:hAnsi="Simplified Arabic"/>
          <w:sz w:val="24"/>
          <w:rtl/>
        </w:rPr>
        <w:t xml:space="preserve">لى الموارد المالية واستخدامها لدعم تنفيذ إطار </w:t>
      </w:r>
      <w:r>
        <w:rPr>
          <w:rFonts w:ascii="Simplified Arabic" w:hAnsi="Simplified Arabic"/>
          <w:sz w:val="24"/>
          <w:rtl/>
        </w:rPr>
        <w:t>ما بعد عام 2020</w:t>
      </w:r>
      <w:r w:rsidRPr="00BE47AD">
        <w:rPr>
          <w:rFonts w:ascii="Simplified Arabic" w:hAnsi="Simplified Arabic"/>
          <w:sz w:val="24"/>
          <w:rtl/>
        </w:rPr>
        <w:t>.</w:t>
      </w:r>
    </w:p>
    <w:p w:rsidR="001D61EA" w:rsidRDefault="001D61EA" w:rsidP="001D61EA">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1C1C1D" w:rsidRPr="009C532A" w:rsidRDefault="001C1C1D" w:rsidP="00696773">
      <w:pPr>
        <w:pStyle w:val="Heading2"/>
        <w:rPr>
          <w:b w:val="0"/>
          <w:bCs w:val="0"/>
          <w:rtl/>
        </w:rPr>
      </w:pPr>
      <w:bookmarkStart w:id="164" w:name="_Toc6071627"/>
      <w:bookmarkStart w:id="165" w:name="_Toc6139984"/>
      <w:r w:rsidRPr="009C532A">
        <w:rPr>
          <w:rFonts w:hint="cs"/>
          <w:rtl/>
        </w:rPr>
        <w:lastRenderedPageBreak/>
        <w:t>المقرر 14/23</w:t>
      </w:r>
      <w:r w:rsidRPr="009C532A">
        <w:rPr>
          <w:rFonts w:hint="cs"/>
          <w:rtl/>
        </w:rPr>
        <w:tab/>
      </w:r>
      <w:r w:rsidRPr="009C532A">
        <w:rPr>
          <w:rtl/>
        </w:rPr>
        <w:t>الآلية المالية</w:t>
      </w:r>
      <w:bookmarkEnd w:id="164"/>
      <w:bookmarkEnd w:id="165"/>
    </w:p>
    <w:p w:rsidR="001C1C1D" w:rsidRPr="00FE3013" w:rsidRDefault="001C1C1D" w:rsidP="001C1C1D">
      <w:pPr>
        <w:spacing w:line="204" w:lineRule="auto"/>
        <w:ind w:firstLine="720"/>
        <w:rPr>
          <w:rFonts w:ascii="Simplified Arabic" w:hAnsi="Simplified Arabic"/>
          <w:i/>
          <w:iCs/>
          <w:sz w:val="20"/>
          <w:rtl/>
        </w:rPr>
      </w:pPr>
      <w:r w:rsidRPr="00FE3013">
        <w:rPr>
          <w:rFonts w:ascii="Simplified Arabic" w:hAnsi="Simplified Arabic"/>
          <w:i/>
          <w:iCs/>
          <w:sz w:val="20"/>
          <w:rtl/>
        </w:rPr>
        <w:t>إن مؤتمر الأطراف،</w:t>
      </w:r>
    </w:p>
    <w:p w:rsidR="001C1C1D" w:rsidRPr="00FE3013" w:rsidRDefault="001C1C1D" w:rsidP="001C1C1D">
      <w:pPr>
        <w:spacing w:line="204" w:lineRule="auto"/>
        <w:ind w:firstLine="720"/>
        <w:rPr>
          <w:rFonts w:ascii="Simplified Arabic" w:hAnsi="Simplified Arabic"/>
          <w:sz w:val="20"/>
          <w:rtl/>
          <w:lang w:val="en-GB"/>
        </w:rPr>
      </w:pPr>
      <w:r w:rsidRPr="00FE3013">
        <w:rPr>
          <w:rFonts w:ascii="Simplified Arabic" w:hAnsi="Simplified Arabic"/>
          <w:i/>
          <w:iCs/>
          <w:sz w:val="20"/>
          <w:rtl/>
          <w:lang w:val="en-GB"/>
        </w:rPr>
        <w:t xml:space="preserve">إذ يشير إلى </w:t>
      </w:r>
      <w:r w:rsidRPr="00FE3013">
        <w:rPr>
          <w:rFonts w:ascii="Simplified Arabic" w:hAnsi="Simplified Arabic"/>
          <w:sz w:val="20"/>
          <w:rtl/>
          <w:lang w:val="en-GB"/>
        </w:rPr>
        <w:t>المادة 21 والأحكام المتصلة بها للاتفاقية، والمادة 28 من بروتوكول قرطاجنة للسلامة الأحيائية والمادة 25 من بروتوكول ناغويا بشأن الحصول وتقاسم المنافع،</w:t>
      </w:r>
    </w:p>
    <w:p w:rsidR="001C1C1D" w:rsidRPr="00FE3013" w:rsidRDefault="001C1C1D" w:rsidP="001C1C1D">
      <w:pPr>
        <w:spacing w:line="204" w:lineRule="auto"/>
        <w:ind w:firstLine="720"/>
        <w:rPr>
          <w:rFonts w:ascii="Simplified Arabic" w:hAnsi="Simplified Arabic"/>
          <w:sz w:val="20"/>
          <w:rtl/>
          <w:lang w:val="en-GB"/>
        </w:rPr>
      </w:pPr>
      <w:r w:rsidRPr="00FE3013">
        <w:rPr>
          <w:rFonts w:ascii="Simplified Arabic" w:hAnsi="Simplified Arabic"/>
          <w:i/>
          <w:iCs/>
          <w:sz w:val="20"/>
          <w:rtl/>
          <w:lang w:val="en-GB"/>
        </w:rPr>
        <w:t xml:space="preserve">وإذ يشير أيضا إلى </w:t>
      </w:r>
      <w:r w:rsidRPr="00FE3013">
        <w:rPr>
          <w:rFonts w:ascii="Simplified Arabic" w:hAnsi="Simplified Arabic"/>
          <w:sz w:val="20"/>
          <w:rtl/>
          <w:lang w:val="en-GB"/>
        </w:rPr>
        <w:t>المقررين 13/21 و3/8،</w:t>
      </w:r>
    </w:p>
    <w:p w:rsidR="001C1C1D" w:rsidRPr="00FE3013" w:rsidRDefault="001C1C1D" w:rsidP="001C1C1D">
      <w:pPr>
        <w:spacing w:line="204" w:lineRule="auto"/>
        <w:ind w:firstLine="720"/>
        <w:rPr>
          <w:rFonts w:ascii="Simplified Arabic" w:hAnsi="Simplified Arabic"/>
          <w:sz w:val="20"/>
          <w:rtl/>
          <w:lang w:val="en-GB"/>
        </w:rPr>
      </w:pPr>
      <w:r w:rsidRPr="00FE3013">
        <w:rPr>
          <w:rFonts w:ascii="Simplified Arabic" w:hAnsi="Simplified Arabic"/>
          <w:i/>
          <w:iCs/>
          <w:sz w:val="20"/>
          <w:rtl/>
          <w:lang w:val="en-GB"/>
        </w:rPr>
        <w:t xml:space="preserve">وإذ يلاحظ مع التقدير </w:t>
      </w:r>
      <w:r w:rsidRPr="00FE3013">
        <w:rPr>
          <w:rFonts w:ascii="Simplified Arabic" w:hAnsi="Simplified Arabic"/>
          <w:sz w:val="20"/>
          <w:rtl/>
          <w:lang w:val="en-GB"/>
        </w:rPr>
        <w:t>تقرير مرفق البيئة العالمية،</w:t>
      </w:r>
      <w:r w:rsidRPr="00FE3013">
        <w:rPr>
          <w:rStyle w:val="FootnoteReference"/>
          <w:rFonts w:ascii="Simplified Arabic" w:hAnsi="Simplified Arabic"/>
          <w:sz w:val="20"/>
          <w:rtl/>
          <w:lang w:val="en-GB"/>
        </w:rPr>
        <w:footnoteReference w:id="271"/>
      </w:r>
    </w:p>
    <w:p w:rsidR="001C1C1D" w:rsidRPr="00FE3013" w:rsidRDefault="001C1C1D" w:rsidP="001C1C1D">
      <w:pPr>
        <w:spacing w:line="204" w:lineRule="auto"/>
        <w:ind w:firstLine="720"/>
        <w:rPr>
          <w:rFonts w:ascii="Simplified Arabic" w:hAnsi="Simplified Arabic"/>
          <w:sz w:val="20"/>
          <w:rtl/>
          <w:lang w:val="en-GB"/>
        </w:rPr>
      </w:pPr>
      <w:r w:rsidRPr="00FE3013">
        <w:rPr>
          <w:rFonts w:ascii="Simplified Arabic" w:hAnsi="Simplified Arabic"/>
          <w:i/>
          <w:iCs/>
          <w:sz w:val="20"/>
          <w:rtl/>
          <w:lang w:val="en-GB"/>
        </w:rPr>
        <w:t xml:space="preserve">وإذ يحيط علما </w:t>
      </w:r>
      <w:r w:rsidRPr="00FE3013">
        <w:rPr>
          <w:rFonts w:ascii="Simplified Arabic" w:hAnsi="Simplified Arabic"/>
          <w:sz w:val="20"/>
          <w:rtl/>
          <w:lang w:val="en-GB"/>
        </w:rPr>
        <w:t>بالمعلومات المتعلقة بتنفيذ المادة 21 من الاتفاقية الواردة في مذكرة الأمينة التنفيذية بشأن الآلية المالية،</w:t>
      </w:r>
      <w:r w:rsidRPr="00FE3013">
        <w:rPr>
          <w:rStyle w:val="FootnoteReference"/>
          <w:rFonts w:ascii="Simplified Arabic" w:hAnsi="Simplified Arabic"/>
          <w:sz w:val="20"/>
          <w:rtl/>
          <w:lang w:val="en-GB"/>
        </w:rPr>
        <w:footnoteReference w:id="272"/>
      </w:r>
    </w:p>
    <w:p w:rsidR="001C1C1D" w:rsidRPr="00FE3013" w:rsidRDefault="001C1C1D" w:rsidP="001C1C1D">
      <w:pPr>
        <w:spacing w:line="204" w:lineRule="auto"/>
        <w:ind w:firstLine="720"/>
        <w:rPr>
          <w:rFonts w:ascii="Simplified Arabic" w:hAnsi="Simplified Arabic"/>
          <w:sz w:val="20"/>
          <w:lang w:val="en-GB"/>
        </w:rPr>
      </w:pPr>
      <w:r w:rsidRPr="00FE3013">
        <w:rPr>
          <w:rFonts w:ascii="Simplified Arabic" w:hAnsi="Simplified Arabic"/>
          <w:i/>
          <w:iCs/>
          <w:sz w:val="20"/>
          <w:rtl/>
          <w:lang w:val="en-GB"/>
        </w:rPr>
        <w:t xml:space="preserve">وقد نظر في </w:t>
      </w:r>
      <w:r w:rsidRPr="00FE3013">
        <w:rPr>
          <w:rFonts w:ascii="Simplified Arabic" w:hAnsi="Simplified Arabic"/>
          <w:sz w:val="20"/>
          <w:rtl/>
          <w:lang w:val="en-GB"/>
        </w:rPr>
        <w:t>التوصية 2/7 فيما يتعلق باستعراض تنفيذ الآلية المالية (المادة 21)،</w:t>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color w:val="222222"/>
          <w:rtl/>
        </w:rPr>
        <w:t>يرحب</w:t>
      </w:r>
      <w:r w:rsidRPr="00FE3013">
        <w:rPr>
          <w:rFonts w:ascii="Simplified Arabic" w:hAnsi="Simplified Arabic"/>
          <w:color w:val="222222"/>
          <w:rtl/>
        </w:rPr>
        <w:t xml:space="preserve"> بالاختتام الناجح للتجديد السابع لموارد الصندوق الاستئماني لمرفق البيئة العالمية، </w:t>
      </w:r>
      <w:r w:rsidRPr="00FE3013">
        <w:rPr>
          <w:rFonts w:ascii="Simplified Arabic" w:hAnsi="Simplified Arabic"/>
          <w:i/>
          <w:iCs/>
          <w:color w:val="222222"/>
          <w:rtl/>
        </w:rPr>
        <w:t>ويعرب</w:t>
      </w:r>
      <w:r w:rsidRPr="00FE3013">
        <w:rPr>
          <w:rFonts w:ascii="Simplified Arabic" w:hAnsi="Simplified Arabic"/>
          <w:color w:val="222222"/>
          <w:rtl/>
        </w:rPr>
        <w:t xml:space="preserve"> عن </w:t>
      </w:r>
      <w:r w:rsidRPr="00FE3013">
        <w:rPr>
          <w:rFonts w:ascii="Simplified Arabic" w:hAnsi="Simplified Arabic"/>
          <w:i/>
          <w:iCs/>
          <w:color w:val="222222"/>
          <w:rtl/>
        </w:rPr>
        <w:t>تقديره</w:t>
      </w:r>
      <w:r w:rsidRPr="00FE3013">
        <w:rPr>
          <w:rFonts w:ascii="Simplified Arabic" w:hAnsi="Simplified Arabic"/>
          <w:color w:val="222222"/>
          <w:rtl/>
        </w:rPr>
        <w:t xml:space="preserve"> للدعم المالي المستمر من الأطراف والحكومات للاضطلاع بالمهام في إطار الخطة الاستراتيجية للتنوع البيولوجي 2011-2020 في سنواتها المتبقية، ولدعم تنفيذ </w:t>
      </w:r>
      <w:r>
        <w:rPr>
          <w:rFonts w:ascii="Simplified Arabic" w:hAnsi="Simplified Arabic" w:hint="cs"/>
          <w:color w:val="222222"/>
          <w:rtl/>
        </w:rPr>
        <w:t>ال</w:t>
      </w:r>
      <w:r w:rsidRPr="00FE3013">
        <w:rPr>
          <w:rFonts w:ascii="Simplified Arabic" w:hAnsi="Simplified Arabic"/>
          <w:color w:val="222222"/>
          <w:rtl/>
        </w:rPr>
        <w:t>إطار ا</w:t>
      </w:r>
      <w:r>
        <w:rPr>
          <w:rFonts w:ascii="Simplified Arabic" w:hAnsi="Simplified Arabic" w:hint="cs"/>
          <w:color w:val="222222"/>
          <w:rtl/>
        </w:rPr>
        <w:t>لعالمي ل</w:t>
      </w:r>
      <w:r w:rsidRPr="00FE3013">
        <w:rPr>
          <w:rFonts w:ascii="Simplified Arabic" w:hAnsi="Simplified Arabic"/>
          <w:color w:val="222222"/>
          <w:rtl/>
        </w:rPr>
        <w:t>لتنوع البيولوجي لما بعد عام 2020 في أول سنتين له</w:t>
      </w:r>
      <w:r w:rsidRPr="00FE3013">
        <w:rPr>
          <w:rFonts w:ascii="Simplified Arabic" w:hAnsi="Simplified Arabic"/>
          <w:sz w:val="20"/>
          <w:rtl/>
        </w:rPr>
        <w:t>؛</w:t>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color w:val="222222"/>
          <w:rtl/>
        </w:rPr>
        <w:t>يلاحظ</w:t>
      </w:r>
      <w:r w:rsidRPr="00FE3013">
        <w:rPr>
          <w:rFonts w:ascii="Simplified Arabic" w:hAnsi="Simplified Arabic"/>
          <w:color w:val="222222"/>
          <w:rtl/>
        </w:rPr>
        <w:t xml:space="preserve"> أن اتجاهات برمجة التنوع البيولوجي للتجديد السابع لموارد الصندوق الاستئماني لمرفق البيئة العالمية تعكس الإرشاد الذي اعتمده مؤتمر الأطراف في اجتماعه الثالث عشر، والذي يتضمن الإرشاد الموحد إلى الآلية المالية وإطار السنوات الأربع لأولويات البرامج (</w:t>
      </w:r>
      <w:r>
        <w:rPr>
          <w:rFonts w:ascii="Simplified Arabic" w:hAnsi="Simplified Arabic" w:hint="cs"/>
          <w:color w:val="222222"/>
          <w:rtl/>
        </w:rPr>
        <w:t xml:space="preserve">من </w:t>
      </w:r>
      <w:r w:rsidRPr="00FE3013">
        <w:rPr>
          <w:rFonts w:ascii="Simplified Arabic" w:hAnsi="Simplified Arabic"/>
          <w:color w:val="222222"/>
          <w:rtl/>
        </w:rPr>
        <w:t>يولي</w:t>
      </w:r>
      <w:r>
        <w:rPr>
          <w:rFonts w:ascii="Simplified Arabic" w:hAnsi="Simplified Arabic" w:hint="cs"/>
          <w:color w:val="222222"/>
          <w:rtl/>
        </w:rPr>
        <w:t>ه</w:t>
      </w:r>
      <w:r w:rsidRPr="00FE3013">
        <w:rPr>
          <w:rFonts w:ascii="Simplified Arabic" w:hAnsi="Simplified Arabic"/>
          <w:color w:val="222222"/>
          <w:rtl/>
        </w:rPr>
        <w:t>/تموز 2018 إلى يوني</w:t>
      </w:r>
      <w:r>
        <w:rPr>
          <w:rFonts w:ascii="Simplified Arabic" w:hAnsi="Simplified Arabic" w:hint="cs"/>
          <w:color w:val="222222"/>
          <w:rtl/>
        </w:rPr>
        <w:t>ه</w:t>
      </w:r>
      <w:r w:rsidRPr="00FE3013">
        <w:rPr>
          <w:rFonts w:ascii="Simplified Arabic" w:hAnsi="Simplified Arabic"/>
          <w:color w:val="222222"/>
          <w:rtl/>
        </w:rPr>
        <w:t>/حزيران 2022)، بالإضافة إلى المزيد من الإرشاد؛</w:t>
      </w:r>
      <w:r w:rsidRPr="00FE3013">
        <w:rPr>
          <w:rStyle w:val="FootnoteReference"/>
          <w:rFonts w:ascii="Simplified Arabic" w:hAnsi="Simplified Arabic"/>
          <w:color w:val="222222"/>
          <w:rtl/>
        </w:rPr>
        <w:footnoteReference w:id="273"/>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sz w:val="20"/>
          <w:rtl/>
        </w:rPr>
        <w:t>يرحب</w:t>
      </w:r>
      <w:r w:rsidRPr="00FE3013">
        <w:rPr>
          <w:rFonts w:ascii="Simplified Arabic" w:hAnsi="Simplified Arabic"/>
          <w:sz w:val="20"/>
          <w:rtl/>
        </w:rPr>
        <w:t xml:space="preserve"> بعملية مرفق البيئة العالمية لاستعراض وتحسين ضماناته البيئية والاجتماعية والنظم ذات الصلة في وكالاته، بالإضافة إلى إرشاداته للنهوض بالاعتبارات الجنسانية في استراتيجيته الجديدة للتنفيذ بشأن الاعتبارات الجنسانية، مع ملاحظة أن النتائج سوف تنطبق على جميع المشاريع التي يمولها المرفق، </w:t>
      </w:r>
      <w:r w:rsidRPr="00FE3013">
        <w:rPr>
          <w:rFonts w:ascii="Simplified Arabic" w:hAnsi="Simplified Arabic"/>
          <w:i/>
          <w:iCs/>
          <w:sz w:val="20"/>
          <w:rtl/>
        </w:rPr>
        <w:t>ويدعو</w:t>
      </w:r>
      <w:r w:rsidRPr="00FE3013">
        <w:rPr>
          <w:rFonts w:ascii="Simplified Arabic" w:hAnsi="Simplified Arabic"/>
          <w:sz w:val="20"/>
          <w:rtl/>
        </w:rPr>
        <w:t xml:space="preserve"> المرفق إلى إبلاغ مؤتمر الأطراف عن كيفية مراعاة المبادئ التوجيهية الطوعية للاتفاقية بشأن الضمانات في آليات تمويل التنوع البيولوجي في </w:t>
      </w:r>
      <w:r>
        <w:rPr>
          <w:rFonts w:ascii="Simplified Arabic" w:hAnsi="Simplified Arabic" w:hint="cs"/>
          <w:sz w:val="20"/>
          <w:rtl/>
        </w:rPr>
        <w:t>هذه ال</w:t>
      </w:r>
      <w:r>
        <w:rPr>
          <w:rFonts w:ascii="Simplified Arabic" w:hAnsi="Simplified Arabic"/>
          <w:sz w:val="20"/>
          <w:rtl/>
        </w:rPr>
        <w:t>عملي</w:t>
      </w:r>
      <w:r>
        <w:rPr>
          <w:rFonts w:ascii="Simplified Arabic" w:hAnsi="Simplified Arabic" w:hint="cs"/>
          <w:sz w:val="20"/>
          <w:rtl/>
        </w:rPr>
        <w:t>ة</w:t>
      </w:r>
      <w:r w:rsidRPr="00FE3013">
        <w:rPr>
          <w:rFonts w:ascii="Simplified Arabic" w:hAnsi="Simplified Arabic"/>
          <w:sz w:val="20"/>
          <w:rtl/>
        </w:rPr>
        <w:t xml:space="preserve"> الهامة؛</w:t>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color w:val="222222"/>
          <w:sz w:val="20"/>
          <w:rtl/>
        </w:rPr>
        <w:t xml:space="preserve">يحيط </w:t>
      </w:r>
      <w:r w:rsidRPr="00FE3013">
        <w:rPr>
          <w:rFonts w:ascii="Simplified Arabic" w:hAnsi="Simplified Arabic"/>
          <w:color w:val="222222"/>
          <w:sz w:val="20"/>
          <w:rtl/>
        </w:rPr>
        <w:t>علما بالاستعراض الجاري والتحديث مقابل معايير أفضل الممارسات لسياسة مرفق البيئة العالمية بشأن الضمانات وقواعد الاشتراك مع الشعوب الأصلية</w:t>
      </w:r>
      <w:r w:rsidRPr="00FE3013">
        <w:rPr>
          <w:rFonts w:ascii="Simplified Arabic" w:hAnsi="Simplified Arabic"/>
          <w:sz w:val="20"/>
          <w:rtl/>
        </w:rPr>
        <w:t>؛</w:t>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color w:val="222222"/>
          <w:sz w:val="20"/>
          <w:rtl/>
        </w:rPr>
        <w:t xml:space="preserve">يدعو </w:t>
      </w:r>
      <w:r w:rsidRPr="00FE3013">
        <w:rPr>
          <w:rFonts w:ascii="Simplified Arabic" w:hAnsi="Simplified Arabic"/>
          <w:color w:val="222222"/>
          <w:sz w:val="20"/>
          <w:rtl/>
        </w:rPr>
        <w:t>الأطراف، مع الاستفادة من الموارد المخصصة من التجديد السابع للموارد</w:t>
      </w:r>
      <w:r>
        <w:rPr>
          <w:rFonts w:ascii="Simplified Arabic" w:hAnsi="Simplified Arabic" w:hint="cs"/>
          <w:color w:val="222222"/>
          <w:sz w:val="20"/>
          <w:rtl/>
        </w:rPr>
        <w:t>،</w:t>
      </w:r>
      <w:r w:rsidRPr="00FE3013">
        <w:rPr>
          <w:rFonts w:ascii="Simplified Arabic" w:hAnsi="Simplified Arabic"/>
          <w:color w:val="222222"/>
          <w:sz w:val="20"/>
          <w:rtl/>
        </w:rPr>
        <w:t xml:space="preserve"> إلى دعم العمل الجماعي والمساهمات الجماعية للشعوب الأصلية والمجتمعات المحلية من أجل تحقيق أهداف أيشي للتنوع البيولوجي من خلال، حسب الاقتضاء، برامج ومشاريع وأنشطة الشعوب الأصلية والمجتمعات المحلية بما في ذلك برنامج المنح الصغيرة لمرفق البيئة العالمية</w:t>
      </w:r>
      <w:r w:rsidRPr="00FE3013">
        <w:rPr>
          <w:rFonts w:ascii="Simplified Arabic" w:hAnsi="Simplified Arabic"/>
          <w:sz w:val="20"/>
          <w:rtl/>
        </w:rPr>
        <w:t>؛</w:t>
      </w:r>
    </w:p>
    <w:p w:rsidR="001C1C1D" w:rsidRPr="00FE3013" w:rsidRDefault="001C1C1D" w:rsidP="007834E0">
      <w:pPr>
        <w:numPr>
          <w:ilvl w:val="0"/>
          <w:numId w:val="151"/>
        </w:numPr>
        <w:spacing w:line="204" w:lineRule="auto"/>
        <w:ind w:left="0" w:firstLine="720"/>
        <w:rPr>
          <w:rFonts w:ascii="Simplified Arabic" w:hAnsi="Simplified Arabic"/>
          <w:sz w:val="20"/>
          <w:lang w:val="en-GB"/>
        </w:rPr>
      </w:pPr>
      <w:r w:rsidRPr="00FE3013">
        <w:rPr>
          <w:rFonts w:ascii="Simplified Arabic" w:hAnsi="Simplified Arabic"/>
          <w:i/>
          <w:iCs/>
          <w:color w:val="222222"/>
          <w:sz w:val="20"/>
          <w:rtl/>
        </w:rPr>
        <w:t xml:space="preserve">يدعو </w:t>
      </w:r>
      <w:r w:rsidRPr="00FE3013">
        <w:rPr>
          <w:rFonts w:ascii="Simplified Arabic" w:hAnsi="Simplified Arabic"/>
          <w:color w:val="222222"/>
          <w:sz w:val="20"/>
          <w:rtl/>
        </w:rPr>
        <w:t>مرفق البيئة العالمية إلى مواصلة دعمه لأنشطة التنفيذ الوطنية في إطار الخطة الاستراتيجية للتنوع البيولوجي 2011-2020 بطريقة فعالة، بغية تمكين الأطراف من تعزيز التقدم المحرز نحو تحقيق أهداف أيشي للتنوع البيولوجي بحلول عام 2020</w:t>
      </w:r>
      <w:r w:rsidRPr="00FE3013">
        <w:rPr>
          <w:rFonts w:ascii="Simplified Arabic" w:hAnsi="Simplified Arabic"/>
          <w:sz w:val="20"/>
          <w:rtl/>
        </w:rPr>
        <w:t>؛</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color w:val="222222"/>
          <w:rtl/>
        </w:rPr>
        <w:t xml:space="preserve">يدعو </w:t>
      </w:r>
      <w:r w:rsidRPr="00FE3013">
        <w:rPr>
          <w:rFonts w:ascii="Simplified Arabic" w:hAnsi="Simplified Arabic"/>
          <w:color w:val="222222"/>
          <w:sz w:val="20"/>
          <w:rtl/>
        </w:rPr>
        <w:t>مرفق</w:t>
      </w:r>
      <w:r w:rsidRPr="00FE3013">
        <w:rPr>
          <w:rFonts w:ascii="Simplified Arabic" w:hAnsi="Simplified Arabic"/>
          <w:color w:val="222222"/>
          <w:rtl/>
        </w:rPr>
        <w:t xml:space="preserve"> البيئة العالمية، تمشيا مع الإرشاد الموحد</w:t>
      </w:r>
      <w:r w:rsidRPr="00FE3013">
        <w:rPr>
          <w:rFonts w:ascii="Simplified Arabic" w:hAnsi="Simplified Arabic"/>
          <w:color w:val="222222"/>
        </w:rPr>
        <w:t xml:space="preserve"> </w:t>
      </w:r>
      <w:r w:rsidRPr="00FE3013">
        <w:rPr>
          <w:rFonts w:ascii="Simplified Arabic" w:hAnsi="Simplified Arabic"/>
          <w:color w:val="222222"/>
          <w:rtl/>
        </w:rPr>
        <w:t>المقدم</w:t>
      </w:r>
      <w:r w:rsidRPr="00FE3013">
        <w:rPr>
          <w:rFonts w:ascii="Simplified Arabic" w:hAnsi="Simplified Arabic"/>
          <w:color w:val="222222"/>
        </w:rPr>
        <w:t xml:space="preserve"> </w:t>
      </w:r>
      <w:r w:rsidRPr="00FE3013">
        <w:rPr>
          <w:rFonts w:ascii="Simplified Arabic" w:hAnsi="Simplified Arabic"/>
          <w:color w:val="222222"/>
          <w:rtl/>
        </w:rPr>
        <w:t>في المقرر 13/21</w:t>
      </w:r>
      <w:r w:rsidRPr="00FE3013">
        <w:rPr>
          <w:rFonts w:ascii="Simplified Arabic" w:hAnsi="Simplified Arabic"/>
          <w:i/>
          <w:iCs/>
          <w:color w:val="222222"/>
          <w:rtl/>
        </w:rPr>
        <w:t xml:space="preserve">، </w:t>
      </w:r>
      <w:r w:rsidRPr="00FE3013">
        <w:rPr>
          <w:rFonts w:ascii="Simplified Arabic" w:hAnsi="Simplified Arabic"/>
          <w:color w:val="222222"/>
          <w:rtl/>
        </w:rPr>
        <w:t>إلى مواصلة تزويد جميع الأطراف المؤهلة بالدعم من أجل بناء القدرات:</w:t>
      </w:r>
    </w:p>
    <w:p w:rsidR="001C1C1D" w:rsidRPr="00FE3013" w:rsidRDefault="001C1C1D" w:rsidP="00CD26C5">
      <w:pPr>
        <w:pStyle w:val="ListParagraph"/>
        <w:numPr>
          <w:ilvl w:val="1"/>
          <w:numId w:val="70"/>
        </w:numPr>
        <w:bidi/>
        <w:spacing w:line="204" w:lineRule="auto"/>
        <w:ind w:left="0" w:firstLine="720"/>
        <w:rPr>
          <w:rFonts w:ascii="Simplified Arabic" w:hAnsi="Simplified Arabic" w:cs="Simplified Arabic"/>
          <w:color w:val="222222"/>
        </w:rPr>
      </w:pPr>
      <w:r w:rsidRPr="00FE3013">
        <w:rPr>
          <w:rFonts w:ascii="Simplified Arabic" w:hAnsi="Simplified Arabic" w:cs="Simplified Arabic"/>
          <w:color w:val="222222"/>
          <w:rtl/>
        </w:rPr>
        <w:lastRenderedPageBreak/>
        <w:t>بشأن القضايا التي حددتها الأطراف لتيسير مواصلة تنفيذ بروتوكول قرطاجنة للسلامة الأحيائية وبروتوكول ناغويا بشأن الحصول وتقاسم المنافع، بما في ذلك مشاريع التعاون الإقليمي، بهدف تيسير تبادل الخبرات والدروس المستفادة وتسخير أوجه التآزر المرتبطة بها؛</w:t>
      </w:r>
    </w:p>
    <w:p w:rsidR="001C1C1D" w:rsidRPr="00FE3013" w:rsidRDefault="001C1C1D" w:rsidP="00CD26C5">
      <w:pPr>
        <w:pStyle w:val="ListParagraph"/>
        <w:numPr>
          <w:ilvl w:val="1"/>
          <w:numId w:val="70"/>
        </w:numPr>
        <w:bidi/>
        <w:spacing w:line="204" w:lineRule="auto"/>
        <w:ind w:left="0" w:firstLine="720"/>
        <w:rPr>
          <w:rFonts w:ascii="Simplified Arabic" w:hAnsi="Simplified Arabic" w:cs="Simplified Arabic"/>
          <w:color w:val="222222"/>
        </w:rPr>
      </w:pPr>
      <w:r w:rsidRPr="00FE3013">
        <w:rPr>
          <w:rFonts w:ascii="Simplified Arabic" w:hAnsi="Simplified Arabic" w:cs="Simplified Arabic"/>
          <w:color w:val="222222"/>
          <w:rtl/>
        </w:rPr>
        <w:t>بشأن استخدام غرفة تبادل معلومات الحصول وتقاسم المنافع، على أساس الخبرات والدروس المستفادة خلال مشروع تعزيز بناء القدرات المستمر من أجل المشاركة الفعالة في غرفة تبادل معلومات السلامة الأحيائية واستخدام الموارد في إطار المجال البؤري للتنوع البيولوجي؛</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color w:val="222222"/>
          <w:rtl/>
        </w:rPr>
        <w:t xml:space="preserve">يدعو </w:t>
      </w:r>
      <w:r w:rsidRPr="00FE3013">
        <w:rPr>
          <w:rFonts w:ascii="Simplified Arabic" w:hAnsi="Simplified Arabic"/>
          <w:color w:val="222222"/>
          <w:sz w:val="20"/>
          <w:rtl/>
        </w:rPr>
        <w:t>مرفق</w:t>
      </w:r>
      <w:r w:rsidRPr="00FE3013">
        <w:rPr>
          <w:rFonts w:ascii="Simplified Arabic" w:hAnsi="Simplified Arabic"/>
          <w:color w:val="222222"/>
          <w:rtl/>
        </w:rPr>
        <w:t xml:space="preserve"> البيئة العالمية إلى مواصلة إتاحة الأموال لمساعدة الأطراف المؤهلة في تنفيذ بروتوكول قرطاجنة، وخاصة ما يلي:</w:t>
      </w:r>
    </w:p>
    <w:p w:rsidR="001C1C1D" w:rsidRPr="00FE3013" w:rsidRDefault="001C1C1D" w:rsidP="001C1C1D">
      <w:pPr>
        <w:spacing w:line="204" w:lineRule="auto"/>
        <w:ind w:firstLine="720"/>
        <w:rPr>
          <w:rFonts w:ascii="Simplified Arabic" w:hAnsi="Simplified Arabic"/>
          <w:snapToGrid w:val="0"/>
          <w:rtl/>
          <w:lang w:bidi="ar-LB"/>
        </w:rPr>
      </w:pPr>
      <w:r w:rsidRPr="00FE3013">
        <w:rPr>
          <w:rFonts w:ascii="Simplified Arabic" w:hAnsi="Simplified Arabic"/>
          <w:color w:val="222222"/>
          <w:rtl/>
        </w:rPr>
        <w:t>(أ)</w:t>
      </w:r>
      <w:r w:rsidRPr="00FE3013">
        <w:rPr>
          <w:rFonts w:ascii="Simplified Arabic" w:hAnsi="Simplified Arabic"/>
          <w:color w:val="222222"/>
          <w:rtl/>
        </w:rPr>
        <w:tab/>
      </w:r>
      <w:r w:rsidRPr="00FE3013">
        <w:rPr>
          <w:rFonts w:ascii="Simplified Arabic" w:hAnsi="Simplified Arabic"/>
          <w:snapToGrid w:val="0"/>
          <w:rtl/>
          <w:lang w:bidi="ar-LB"/>
        </w:rPr>
        <w:t>مساعدة الأطراف المؤهلة التي لم تتخذ بشكل كامل تدابير لتنفيذ البروتوكول حتى الآن على أن تفعل ذلك؛</w:t>
      </w:r>
    </w:p>
    <w:p w:rsidR="001C1C1D" w:rsidRPr="00FE3013" w:rsidRDefault="001C1C1D" w:rsidP="001C1C1D">
      <w:pPr>
        <w:spacing w:line="204" w:lineRule="auto"/>
        <w:ind w:firstLine="720"/>
        <w:rPr>
          <w:rFonts w:ascii="Simplified Arabic" w:hAnsi="Simplified Arabic"/>
          <w:snapToGrid w:val="0"/>
          <w:rtl/>
          <w:lang w:bidi="ar-LB"/>
        </w:rPr>
      </w:pPr>
      <w:r w:rsidRPr="00FE3013">
        <w:rPr>
          <w:rFonts w:ascii="Simplified Arabic" w:hAnsi="Simplified Arabic"/>
          <w:snapToGrid w:val="0"/>
          <w:rtl/>
          <w:lang w:bidi="ar-LB"/>
        </w:rPr>
        <w:t>(ب)</w:t>
      </w:r>
      <w:r w:rsidRPr="00FE3013">
        <w:rPr>
          <w:rFonts w:ascii="Simplified Arabic" w:hAnsi="Simplified Arabic"/>
          <w:snapToGrid w:val="0"/>
          <w:rtl/>
          <w:lang w:bidi="ar-LB"/>
        </w:rPr>
        <w:tab/>
        <w:t>دعم الأطراف المؤهلة في الوفاء بالتزاماتها بشأن الإبلاغ بموجب البروتوكول، بما في ذلك إعداد وتقديم تقاريرها الوطنية الرابعة بموجب البروتوكول؛</w:t>
      </w:r>
    </w:p>
    <w:p w:rsidR="001C1C1D" w:rsidRPr="00FE3013" w:rsidRDefault="001C1C1D" w:rsidP="001C1C1D">
      <w:pPr>
        <w:spacing w:line="204" w:lineRule="auto"/>
        <w:ind w:firstLine="720"/>
        <w:rPr>
          <w:rFonts w:ascii="Simplified Arabic" w:hAnsi="Simplified Arabic"/>
          <w:snapToGrid w:val="0"/>
          <w:rtl/>
          <w:lang w:bidi="ar-LB"/>
        </w:rPr>
      </w:pPr>
      <w:r w:rsidRPr="00FE3013">
        <w:rPr>
          <w:rFonts w:ascii="Simplified Arabic" w:hAnsi="Simplified Arabic"/>
          <w:snapToGrid w:val="0"/>
          <w:rtl/>
          <w:lang w:bidi="ar-LB"/>
        </w:rPr>
        <w:t>(ج)</w:t>
      </w:r>
      <w:r w:rsidRPr="00FE3013">
        <w:rPr>
          <w:rFonts w:ascii="Simplified Arabic" w:hAnsi="Simplified Arabic"/>
          <w:snapToGrid w:val="0"/>
          <w:rtl/>
          <w:lang w:bidi="ar-LB"/>
        </w:rPr>
        <w:tab/>
        <w:t>دعم الأطراف في تنفيذ خطط العمل الخاصة بالامتثال فيما يتعلق بالامتثال للبروتوكول؛</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rtl/>
        </w:rPr>
        <w:t>يدعو</w:t>
      </w:r>
      <w:r w:rsidRPr="00FE3013">
        <w:rPr>
          <w:rFonts w:ascii="Simplified Arabic" w:hAnsi="Simplified Arabic"/>
          <w:rtl/>
        </w:rPr>
        <w:t xml:space="preserve"> مرفق البيئة العالمية ووكالات التمويل الأخرى ذات الصلة إلى تو</w:t>
      </w:r>
      <w:r>
        <w:rPr>
          <w:rFonts w:ascii="Simplified Arabic" w:hAnsi="Simplified Arabic"/>
          <w:rtl/>
        </w:rPr>
        <w:t>فير الأموال للمش</w:t>
      </w:r>
      <w:r>
        <w:rPr>
          <w:rFonts w:ascii="Simplified Arabic" w:hAnsi="Simplified Arabic" w:hint="cs"/>
          <w:rtl/>
        </w:rPr>
        <w:t>اريع</w:t>
      </w:r>
      <w:r>
        <w:rPr>
          <w:rFonts w:ascii="Simplified Arabic" w:hAnsi="Simplified Arabic"/>
          <w:rtl/>
        </w:rPr>
        <w:t xml:space="preserve"> الإقليمية</w:t>
      </w:r>
      <w:r w:rsidRPr="00FE3013">
        <w:rPr>
          <w:rFonts w:ascii="Simplified Arabic" w:hAnsi="Simplified Arabic"/>
          <w:rtl/>
        </w:rPr>
        <w:t xml:space="preserve"> ل</w:t>
      </w:r>
      <w:r>
        <w:rPr>
          <w:rFonts w:ascii="Simplified Arabic" w:hAnsi="Simplified Arabic" w:hint="cs"/>
          <w:rtl/>
        </w:rPr>
        <w:t xml:space="preserve">دعم </w:t>
      </w:r>
      <w:r w:rsidRPr="00FE3013">
        <w:rPr>
          <w:rFonts w:ascii="Simplified Arabic" w:hAnsi="Simplified Arabic"/>
          <w:rtl/>
        </w:rPr>
        <w:t>تنفيذ بروتوكول قرطاجنة، بما في ذلك المش</w:t>
      </w:r>
      <w:r>
        <w:rPr>
          <w:rFonts w:ascii="Simplified Arabic" w:hAnsi="Simplified Arabic" w:hint="cs"/>
          <w:rtl/>
        </w:rPr>
        <w:t>اريع</w:t>
      </w:r>
      <w:r w:rsidRPr="00FE3013">
        <w:rPr>
          <w:rFonts w:ascii="Simplified Arabic" w:hAnsi="Simplified Arabic"/>
          <w:rtl/>
        </w:rPr>
        <w:t xml:space="preserve"> التي تهدف إلى بناء القدرات العلمية التي يمكن أن تدعم أنشطة البلدان صوب رصد وتحديد الكائنات</w:t>
      </w:r>
      <w:r>
        <w:rPr>
          <w:rFonts w:ascii="Simplified Arabic" w:hAnsi="Simplified Arabic" w:hint="cs"/>
          <w:rtl/>
        </w:rPr>
        <w:t xml:space="preserve"> الحية</w:t>
      </w:r>
      <w:r w:rsidRPr="00FE3013">
        <w:rPr>
          <w:rFonts w:ascii="Simplified Arabic" w:hAnsi="Simplified Arabic"/>
          <w:rtl/>
        </w:rPr>
        <w:t xml:space="preserve"> المحورة</w:t>
      </w:r>
      <w:r>
        <w:rPr>
          <w:rFonts w:ascii="Simplified Arabic" w:hAnsi="Simplified Arabic" w:hint="cs"/>
          <w:rtl/>
        </w:rPr>
        <w:t>،</w:t>
      </w:r>
      <w:r w:rsidRPr="00FE3013">
        <w:rPr>
          <w:rFonts w:ascii="Simplified Arabic" w:hAnsi="Simplified Arabic"/>
          <w:rtl/>
        </w:rPr>
        <w:t xml:space="preserve"> وخاصة التي يمكن أن توفر تقاسم الخبرات والدروس فيما بين الشمال والجنوب و</w:t>
      </w:r>
      <w:r>
        <w:rPr>
          <w:rFonts w:ascii="Simplified Arabic" w:hAnsi="Simplified Arabic" w:hint="cs"/>
          <w:rtl/>
        </w:rPr>
        <w:t xml:space="preserve">فيما بين </w:t>
      </w:r>
      <w:r w:rsidRPr="00FE3013">
        <w:rPr>
          <w:rFonts w:ascii="Simplified Arabic" w:hAnsi="Simplified Arabic"/>
          <w:rtl/>
        </w:rPr>
        <w:t>بلدان الجنوب</w:t>
      </w:r>
      <w:r w:rsidRPr="00FE3013">
        <w:rPr>
          <w:rFonts w:ascii="Simplified Arabic" w:hAnsi="Simplified Arabic"/>
          <w:color w:val="222222"/>
          <w:rtl/>
        </w:rPr>
        <w:t>؛</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eastAsia="Times New Roman" w:hAnsi="Simplified Arabic"/>
          <w:i/>
          <w:iCs/>
          <w:snapToGrid w:val="0"/>
          <w:rtl/>
          <w:lang w:val="en-GB"/>
        </w:rPr>
        <w:t xml:space="preserve">يعرب عن تقديره </w:t>
      </w:r>
      <w:r w:rsidRPr="00FE3013">
        <w:rPr>
          <w:rFonts w:ascii="Simplified Arabic" w:eastAsia="Times New Roman" w:hAnsi="Simplified Arabic"/>
          <w:snapToGrid w:val="0"/>
          <w:rtl/>
          <w:lang w:val="en-GB"/>
        </w:rPr>
        <w:t xml:space="preserve">للدعم المالي المقدم من مرفق البيئة العالمية لعدد من الأطراف المؤهلة من أجل دعمها في إعداد تقاريرها الوطنية المؤقتة بشأن تنفيذ التزاماتها بموجب بروتوكول ناغويا، </w:t>
      </w:r>
      <w:r w:rsidRPr="00FE3013">
        <w:rPr>
          <w:rFonts w:ascii="Simplified Arabic" w:eastAsia="Times New Roman" w:hAnsi="Simplified Arabic"/>
          <w:i/>
          <w:iCs/>
          <w:snapToGrid w:val="0"/>
          <w:rtl/>
          <w:lang w:val="en-GB"/>
        </w:rPr>
        <w:t>ويشير</w:t>
      </w:r>
      <w:r w:rsidRPr="00FE3013">
        <w:rPr>
          <w:rFonts w:ascii="Simplified Arabic" w:eastAsia="Times New Roman" w:hAnsi="Simplified Arabic"/>
          <w:snapToGrid w:val="0"/>
          <w:rtl/>
          <w:lang w:val="en-GB"/>
        </w:rPr>
        <w:t xml:space="preserve"> إلى أهمية توافر الموارد المالية في الوقت المناسب لدعم إعداد وتقديم التقارير الوطنية بحلول الموعد النهائي لتقديم التقارير؛</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eastAsia="Times New Roman" w:hAnsi="Simplified Arabic"/>
          <w:i/>
          <w:iCs/>
          <w:snapToGrid w:val="0"/>
          <w:rtl/>
        </w:rPr>
        <w:t>يدعو</w:t>
      </w:r>
      <w:r w:rsidRPr="00FE3013">
        <w:rPr>
          <w:rFonts w:ascii="Simplified Arabic" w:eastAsia="Times New Roman" w:hAnsi="Simplified Arabic"/>
          <w:snapToGrid w:val="0"/>
          <w:rtl/>
        </w:rPr>
        <w:t xml:space="preserve"> مرفق البيئة العالمية إلى</w:t>
      </w:r>
      <w:r>
        <w:rPr>
          <w:rFonts w:ascii="Simplified Arabic" w:eastAsia="Times New Roman" w:hAnsi="Simplified Arabic"/>
          <w:snapToGrid w:val="0"/>
          <w:rtl/>
        </w:rPr>
        <w:t xml:space="preserve"> مواصلة مساعدة الأطراف المؤهلة </w:t>
      </w:r>
      <w:r>
        <w:rPr>
          <w:rFonts w:ascii="Simplified Arabic" w:eastAsia="Times New Roman" w:hAnsi="Simplified Arabic" w:hint="cs"/>
          <w:snapToGrid w:val="0"/>
          <w:rtl/>
        </w:rPr>
        <w:t xml:space="preserve">في </w:t>
      </w:r>
      <w:r w:rsidRPr="00FE3013">
        <w:rPr>
          <w:rFonts w:ascii="Simplified Arabic" w:eastAsia="Times New Roman" w:hAnsi="Simplified Arabic"/>
          <w:snapToGrid w:val="0"/>
          <w:rtl/>
        </w:rPr>
        <w:t>تنفيذ بروتوكول ناغويا، بما في ذلك وضع تدابير تشريعية وإدارية وسياساتية بشأن الحصول وتقاسم المنافع والترتيبات المؤسسية ذات الصلة، وإتاحة الأموال لهذه الغاية؛</w:t>
      </w:r>
    </w:p>
    <w:p w:rsidR="001C1C1D" w:rsidRPr="00FE3013" w:rsidRDefault="001C1C1D" w:rsidP="007834E0">
      <w:pPr>
        <w:numPr>
          <w:ilvl w:val="0"/>
          <w:numId w:val="151"/>
        </w:numPr>
        <w:spacing w:line="204" w:lineRule="auto"/>
        <w:ind w:left="0" w:firstLine="720"/>
        <w:rPr>
          <w:rFonts w:ascii="Simplified Arabic" w:hAnsi="Simplified Arabic"/>
          <w:lang w:val="en-GB"/>
        </w:rPr>
      </w:pPr>
      <w:r w:rsidRPr="00FE3013">
        <w:rPr>
          <w:rFonts w:ascii="Simplified Arabic" w:eastAsia="Times New Roman" w:hAnsi="Simplified Arabic"/>
          <w:i/>
          <w:iCs/>
          <w:snapToGrid w:val="0"/>
          <w:rtl/>
        </w:rPr>
        <w:t>يعتبر</w:t>
      </w:r>
      <w:r w:rsidRPr="00FE3013">
        <w:rPr>
          <w:rFonts w:ascii="Simplified Arabic" w:hAnsi="Simplified Arabic"/>
          <w:rtl/>
        </w:rPr>
        <w:t xml:space="preserve"> الدراسة السادسة للأداء الشامل لمرفق البيئة العالمية، التي أجراها مكتب التقييم المستقل التابع للمرفق وأُنجزت في </w:t>
      </w:r>
      <w:r>
        <w:rPr>
          <w:rFonts w:ascii="Simplified Arabic" w:hAnsi="Simplified Arabic" w:hint="cs"/>
          <w:rtl/>
        </w:rPr>
        <w:t>ديسمبر/</w:t>
      </w:r>
      <w:r w:rsidRPr="00FE3013">
        <w:rPr>
          <w:rFonts w:ascii="Simplified Arabic" w:hAnsi="Simplified Arabic"/>
          <w:rtl/>
        </w:rPr>
        <w:t>كانون الأول 2017، أساساً جيداً للاستعراض الخامس لفعالية الآلية المالية، وكذلك العروض ذات الصلة الواردة من الأطراف، و</w:t>
      </w:r>
      <w:r w:rsidRPr="00FE3013">
        <w:rPr>
          <w:rFonts w:ascii="Simplified Arabic" w:hAnsi="Simplified Arabic"/>
          <w:i/>
          <w:iCs/>
          <w:rtl/>
        </w:rPr>
        <w:t>يدعو</w:t>
      </w:r>
      <w:r w:rsidRPr="00FE3013">
        <w:rPr>
          <w:rFonts w:ascii="Simplified Arabic" w:hAnsi="Simplified Arabic"/>
          <w:rtl/>
        </w:rPr>
        <w:t xml:space="preserve"> مجلس مرفق البيئة العالمية إلى اتخاذ الإجراءات التالية بغية زيادة تحسين فعالية الآلية المالية:</w:t>
      </w:r>
    </w:p>
    <w:p w:rsidR="001C1C1D" w:rsidRPr="00FE3013" w:rsidRDefault="001C1C1D" w:rsidP="001C1C1D">
      <w:pPr>
        <w:shd w:val="clear" w:color="auto" w:fill="FFFFFF"/>
        <w:spacing w:line="204" w:lineRule="auto"/>
        <w:ind w:firstLine="720"/>
        <w:rPr>
          <w:rFonts w:ascii="Simplified Arabic" w:hAnsi="Simplified Arabic"/>
          <w:rtl/>
          <w:lang w:val="en-GB"/>
        </w:rPr>
      </w:pPr>
      <w:bookmarkStart w:id="166" w:name="_Hlk528949105"/>
      <w:r w:rsidRPr="00FE3013">
        <w:rPr>
          <w:rFonts w:ascii="Simplified Arabic" w:hAnsi="Simplified Arabic"/>
          <w:rtl/>
          <w:lang w:val="en-GB"/>
        </w:rPr>
        <w:t>(أ)</w:t>
      </w:r>
      <w:r w:rsidRPr="00FE3013">
        <w:rPr>
          <w:rFonts w:ascii="Simplified Arabic" w:hAnsi="Simplified Arabic"/>
          <w:rtl/>
          <w:lang w:val="en-GB"/>
        </w:rPr>
        <w:tab/>
        <w:t>مواصلة تحسين تصميم وإدارة وأداء</w:t>
      </w:r>
      <w:r w:rsidRPr="00FE3013">
        <w:rPr>
          <w:rFonts w:ascii="Simplified Arabic" w:hAnsi="Simplified Arabic"/>
          <w:color w:val="000000"/>
          <w:rtl/>
        </w:rPr>
        <w:t xml:space="preserve"> ال</w:t>
      </w:r>
      <w:r w:rsidRPr="00FE3013">
        <w:rPr>
          <w:rFonts w:ascii="Simplified Arabic" w:hAnsi="Simplified Arabic"/>
          <w:rtl/>
          <w:lang w:val="en-GB"/>
        </w:rPr>
        <w:t xml:space="preserve">مشاريع التجريبية للنهج المتكاملة التي وُضعت في الفترة السادسة لتجديد الموارد، وبرامج الأثر التي وضعت في الفترة السابعة لتجديد الموارد، والنُهُج البرنامجية الأخرى، والمشاريع المتعددة البؤر من أجل التصدي </w:t>
      </w:r>
      <w:r>
        <w:rPr>
          <w:rFonts w:ascii="Simplified Arabic" w:hAnsi="Simplified Arabic" w:hint="cs"/>
          <w:rtl/>
          <w:lang w:val="en-GB"/>
        </w:rPr>
        <w:t>للمحركات وراء</w:t>
      </w:r>
      <w:r w:rsidRPr="00FE3013">
        <w:rPr>
          <w:rFonts w:ascii="Simplified Arabic" w:hAnsi="Simplified Arabic"/>
          <w:rtl/>
          <w:lang w:val="en-GB"/>
        </w:rPr>
        <w:t xml:space="preserve"> التدهور البيئي؛</w:t>
      </w:r>
    </w:p>
    <w:p w:rsidR="001C1C1D" w:rsidRPr="00FE3013" w:rsidRDefault="001C1C1D" w:rsidP="001C1C1D">
      <w:pPr>
        <w:shd w:val="clear" w:color="auto" w:fill="FFFFFF"/>
        <w:spacing w:line="204" w:lineRule="auto"/>
        <w:ind w:firstLine="720"/>
        <w:rPr>
          <w:rFonts w:ascii="Simplified Arabic" w:hAnsi="Simplified Arabic"/>
          <w:rtl/>
          <w:lang w:val="en-GB"/>
        </w:rPr>
      </w:pPr>
      <w:r w:rsidRPr="00FE3013">
        <w:rPr>
          <w:rFonts w:ascii="Simplified Arabic" w:hAnsi="Simplified Arabic"/>
          <w:rtl/>
          <w:lang w:val="en-GB"/>
        </w:rPr>
        <w:t>(ب)</w:t>
      </w:r>
      <w:r w:rsidRPr="00FE3013">
        <w:rPr>
          <w:rFonts w:ascii="Simplified Arabic" w:hAnsi="Simplified Arabic"/>
          <w:rtl/>
          <w:lang w:val="en-GB"/>
        </w:rPr>
        <w:tab/>
        <w:t>تعزيز الوعي بالعمليات القائمة في إطار ولاية المفوض المعني بتسوية المنازعات لمعالجة الشكاوى المتعلقة بعمليات الآلية المالية؛</w:t>
      </w:r>
    </w:p>
    <w:p w:rsidR="001C1C1D" w:rsidRPr="00FE3013" w:rsidRDefault="001C1C1D" w:rsidP="001C1C1D">
      <w:pPr>
        <w:shd w:val="clear" w:color="auto" w:fill="FFFFFF"/>
        <w:spacing w:line="204" w:lineRule="auto"/>
        <w:ind w:firstLine="720"/>
        <w:rPr>
          <w:rFonts w:ascii="Simplified Arabic" w:hAnsi="Simplified Arabic"/>
          <w:rtl/>
          <w:lang w:val="en-GB"/>
        </w:rPr>
      </w:pPr>
      <w:r w:rsidRPr="00FE3013">
        <w:rPr>
          <w:rFonts w:ascii="Simplified Arabic" w:hAnsi="Simplified Arabic"/>
          <w:rtl/>
          <w:lang w:val="en-GB"/>
        </w:rPr>
        <w:t>(ج)</w:t>
      </w:r>
      <w:r w:rsidRPr="00FE3013">
        <w:rPr>
          <w:rFonts w:ascii="Simplified Arabic" w:hAnsi="Simplified Arabic"/>
          <w:rtl/>
          <w:lang w:val="en-GB"/>
        </w:rPr>
        <w:tab/>
        <w:t>مواصلة تحسين استدامة المشاريع والبرامج الممولة، بما في ذلك التمويل المستدام للمناطق المحمية؛</w:t>
      </w:r>
    </w:p>
    <w:p w:rsidR="001C1C1D" w:rsidRPr="00FE3013" w:rsidRDefault="001C1C1D" w:rsidP="001C1C1D">
      <w:pPr>
        <w:shd w:val="clear" w:color="auto" w:fill="FFFFFF"/>
        <w:spacing w:line="204" w:lineRule="auto"/>
        <w:ind w:left="720"/>
        <w:rPr>
          <w:rFonts w:ascii="Simplified Arabic" w:hAnsi="Simplified Arabic"/>
          <w:rtl/>
          <w:lang w:val="en-GB"/>
        </w:rPr>
      </w:pPr>
      <w:r w:rsidRPr="00FE3013">
        <w:rPr>
          <w:rFonts w:ascii="Simplified Arabic" w:hAnsi="Simplified Arabic"/>
          <w:rtl/>
          <w:lang w:val="en-GB"/>
        </w:rPr>
        <w:t>(د)</w:t>
      </w:r>
      <w:r w:rsidRPr="00FE3013">
        <w:rPr>
          <w:rFonts w:ascii="Simplified Arabic" w:hAnsi="Simplified Arabic"/>
          <w:rtl/>
          <w:lang w:val="en-GB"/>
        </w:rPr>
        <w:tab/>
        <w:t>مواصلة تحسين كفاءة الشراكة في إطار مرفق البيئة العالمية ومساءلتها؛</w:t>
      </w:r>
    </w:p>
    <w:bookmarkEnd w:id="166"/>
    <w:p w:rsidR="001C1C1D" w:rsidRPr="00FE3013" w:rsidRDefault="001C1C1D" w:rsidP="001C1C1D">
      <w:pPr>
        <w:shd w:val="clear" w:color="auto" w:fill="FFFFFF"/>
        <w:spacing w:line="204" w:lineRule="auto"/>
        <w:ind w:left="720"/>
        <w:rPr>
          <w:rFonts w:ascii="Simplified Arabic" w:hAnsi="Simplified Arabic"/>
          <w:rtl/>
          <w:lang w:val="en-GB"/>
        </w:rPr>
      </w:pPr>
      <w:r w:rsidRPr="00FE3013">
        <w:rPr>
          <w:rFonts w:ascii="Simplified Arabic" w:hAnsi="Simplified Arabic"/>
          <w:rtl/>
          <w:lang w:val="en-GB"/>
        </w:rPr>
        <w:t>(ه)</w:t>
      </w:r>
      <w:r w:rsidRPr="00FE3013">
        <w:rPr>
          <w:rFonts w:ascii="Simplified Arabic" w:hAnsi="Simplified Arabic"/>
          <w:rtl/>
          <w:lang w:val="en-GB"/>
        </w:rPr>
        <w:tab/>
        <w:t>إدراج المعلومات التالية في التقرير الذي سيقدمه إلى مؤتمر الأطراف في اجتماعه الخامس عشر:</w:t>
      </w:r>
    </w:p>
    <w:p w:rsidR="001C1C1D" w:rsidRPr="00FE3013" w:rsidRDefault="001C1C1D" w:rsidP="001C1C1D">
      <w:pPr>
        <w:shd w:val="clear" w:color="auto" w:fill="FFFFFF"/>
        <w:spacing w:line="204" w:lineRule="auto"/>
        <w:ind w:left="720"/>
        <w:rPr>
          <w:rFonts w:ascii="Simplified Arabic" w:hAnsi="Simplified Arabic"/>
          <w:rtl/>
          <w:lang w:val="en-GB"/>
        </w:rPr>
      </w:pPr>
      <w:r w:rsidRPr="00FE3013">
        <w:rPr>
          <w:rFonts w:ascii="Simplified Arabic" w:hAnsi="Simplified Arabic"/>
          <w:rtl/>
          <w:lang w:val="en-GB"/>
        </w:rPr>
        <w:t>(1)</w:t>
      </w:r>
      <w:r w:rsidRPr="00FE3013">
        <w:rPr>
          <w:rFonts w:ascii="Simplified Arabic" w:hAnsi="Simplified Arabic"/>
          <w:rtl/>
          <w:lang w:val="en-GB"/>
        </w:rPr>
        <w:tab/>
        <w:t>التقدم المحرز في تنفيذ السياسة الجديدة المتعلقة بالتمويل المشترك؛</w:t>
      </w:r>
    </w:p>
    <w:p w:rsidR="001C1C1D" w:rsidRPr="00FE3013" w:rsidRDefault="001C1C1D" w:rsidP="001C1C1D">
      <w:pPr>
        <w:shd w:val="clear" w:color="auto" w:fill="FFFFFF"/>
        <w:spacing w:line="204" w:lineRule="auto"/>
        <w:ind w:left="720"/>
        <w:rPr>
          <w:rFonts w:ascii="Simplified Arabic" w:hAnsi="Simplified Arabic"/>
          <w:rtl/>
          <w:lang w:val="en-GB"/>
        </w:rPr>
      </w:pPr>
      <w:r w:rsidRPr="00FE3013">
        <w:rPr>
          <w:rFonts w:ascii="Simplified Arabic" w:hAnsi="Simplified Arabic"/>
          <w:rtl/>
          <w:lang w:val="en-GB"/>
        </w:rPr>
        <w:lastRenderedPageBreak/>
        <w:t>(2)</w:t>
      </w:r>
      <w:r w:rsidRPr="00FE3013">
        <w:rPr>
          <w:rFonts w:ascii="Simplified Arabic" w:hAnsi="Simplified Arabic"/>
          <w:rtl/>
          <w:lang w:val="en-GB"/>
        </w:rPr>
        <w:tab/>
        <w:t>أداء شبكة وكالات مرفق البيئة العالمية؛</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rtl/>
          <w:lang w:val="en-GB"/>
        </w:rPr>
        <w:t>يطلب إلى</w:t>
      </w:r>
      <w:r w:rsidRPr="00FE3013">
        <w:rPr>
          <w:rFonts w:ascii="Simplified Arabic" w:hAnsi="Simplified Arabic"/>
          <w:rtl/>
          <w:lang w:val="en-GB"/>
        </w:rPr>
        <w:t xml:space="preserve"> الأمينة التنفيذية مراعاة الخبرات المكتسبة من الاستعراضات السابقة لفعالية الآلية المالية لدى إعداد اختصاصات الاستعراض السادس لفعالية الآلية المالية، كي ينظر فيها مؤتمر الأطراف في اجتماعه الخامس عشر؛</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snapToGrid w:val="0"/>
          <w:kern w:val="22"/>
          <w:rtl/>
        </w:rPr>
        <w:t>يعتمد</w:t>
      </w:r>
      <w:r w:rsidRPr="00FE3013">
        <w:rPr>
          <w:rFonts w:ascii="Simplified Arabic" w:hAnsi="Simplified Arabic"/>
          <w:snapToGrid w:val="0"/>
          <w:kern w:val="22"/>
          <w:rtl/>
        </w:rPr>
        <w:t xml:space="preserve"> اختصاصات التقييم الكامل لحجم الأموال اللازمة لتنفيذ الاتفاقية وبروتوكوليها خلال فترة التجديد الثامن لموارد الصندوق الاستئماني لمرفق البيئة العالمية، على النحو المرفق </w:t>
      </w:r>
      <w:r>
        <w:rPr>
          <w:rFonts w:ascii="Simplified Arabic" w:hAnsi="Simplified Arabic"/>
          <w:snapToGrid w:val="0"/>
          <w:kern w:val="22"/>
          <w:rtl/>
        </w:rPr>
        <w:t>ب</w:t>
      </w:r>
      <w:r w:rsidRPr="00F61D3F">
        <w:rPr>
          <w:rFonts w:ascii="Simplified Arabic" w:hAnsi="Simplified Arabic"/>
          <w:snapToGrid w:val="0"/>
          <w:kern w:val="22"/>
          <w:rtl/>
        </w:rPr>
        <w:t>المقرر</w:t>
      </w:r>
      <w:r w:rsidRPr="00FE3013">
        <w:rPr>
          <w:rFonts w:ascii="Simplified Arabic" w:hAnsi="Simplified Arabic"/>
          <w:snapToGrid w:val="0"/>
          <w:kern w:val="22"/>
          <w:rtl/>
        </w:rPr>
        <w:t xml:space="preserve"> الحالي؛</w:t>
      </w:r>
    </w:p>
    <w:p w:rsidR="001C1C1D" w:rsidRPr="00FE3013" w:rsidRDefault="001C1C1D" w:rsidP="007834E0">
      <w:pPr>
        <w:numPr>
          <w:ilvl w:val="0"/>
          <w:numId w:val="151"/>
        </w:numPr>
        <w:spacing w:line="204" w:lineRule="auto"/>
        <w:ind w:left="0" w:firstLine="720"/>
        <w:rPr>
          <w:rFonts w:ascii="Simplified Arabic" w:hAnsi="Simplified Arabic"/>
          <w:lang w:val="en-GB"/>
        </w:rPr>
      </w:pPr>
      <w:r w:rsidRPr="00FE3013">
        <w:rPr>
          <w:rFonts w:ascii="Simplified Arabic" w:hAnsi="Simplified Arabic"/>
          <w:i/>
          <w:iCs/>
          <w:rtl/>
        </w:rPr>
        <w:t>يدعو</w:t>
      </w:r>
      <w:r w:rsidRPr="00FE3013">
        <w:rPr>
          <w:rFonts w:ascii="Simplified Arabic" w:hAnsi="Simplified Arabic"/>
          <w:rtl/>
        </w:rPr>
        <w:t xml:space="preserve"> الأطراف </w:t>
      </w:r>
      <w:r w:rsidRPr="00FE3013">
        <w:rPr>
          <w:rFonts w:ascii="Simplified Arabic" w:hAnsi="Simplified Arabic"/>
          <w:snapToGrid w:val="0"/>
          <w:kern w:val="22"/>
          <w:rtl/>
        </w:rPr>
        <w:t>المعنية</w:t>
      </w:r>
      <w:r w:rsidRPr="00FE3013">
        <w:rPr>
          <w:rFonts w:ascii="Simplified Arabic" w:hAnsi="Simplified Arabic"/>
          <w:rtl/>
        </w:rPr>
        <w:t xml:space="preserve"> إلى أن تقدم للأمينة التنفيذية تقديرات لاحتياجاتها من التمويل والاستثمار بموجب الآلية المالية من أجل التحديد الثالث لاحتياجات التمويل والاستثمار الذي يضعه مؤتمر الأطراف في اجتماعه الخامس عشر في إطار التجديد الثامن لموارد الصندوق الاستئماني لمرفق البيئة العالمية؛</w:t>
      </w:r>
    </w:p>
    <w:p w:rsidR="001C1C1D" w:rsidRPr="00FE3013" w:rsidRDefault="001C1C1D" w:rsidP="007834E0">
      <w:pPr>
        <w:numPr>
          <w:ilvl w:val="0"/>
          <w:numId w:val="151"/>
        </w:numPr>
        <w:spacing w:line="204" w:lineRule="auto"/>
        <w:ind w:left="0" w:firstLine="720"/>
        <w:rPr>
          <w:rFonts w:ascii="Simplified Arabic" w:hAnsi="Simplified Arabic"/>
          <w:lang w:val="en-GB"/>
        </w:rPr>
      </w:pPr>
      <w:r w:rsidRPr="00FE3013">
        <w:rPr>
          <w:rFonts w:ascii="Simplified Arabic" w:hAnsi="Simplified Arabic"/>
          <w:i/>
          <w:iCs/>
          <w:rtl/>
        </w:rPr>
        <w:t xml:space="preserve">يطلب إلى </w:t>
      </w:r>
      <w:r w:rsidRPr="00FE3013">
        <w:rPr>
          <w:rFonts w:ascii="Simplified Arabic" w:hAnsi="Simplified Arabic"/>
          <w:rtl/>
        </w:rPr>
        <w:t xml:space="preserve">الأمينة </w:t>
      </w:r>
      <w:r w:rsidRPr="00FE3013">
        <w:rPr>
          <w:rFonts w:ascii="Simplified Arabic" w:hAnsi="Simplified Arabic"/>
          <w:snapToGrid w:val="0"/>
          <w:kern w:val="22"/>
          <w:rtl/>
        </w:rPr>
        <w:t>التنفيذية</w:t>
      </w:r>
      <w:r>
        <w:rPr>
          <w:rFonts w:ascii="Simplified Arabic" w:hAnsi="Simplified Arabic" w:hint="cs"/>
          <w:snapToGrid w:val="0"/>
          <w:kern w:val="22"/>
          <w:rtl/>
        </w:rPr>
        <w:t>، بالعمل مع فريق الخبراء المكلف وفقا للاختصاصات المشار إليها في الفقرة 14 أعلاه،</w:t>
      </w:r>
      <w:r w:rsidRPr="00FE3013">
        <w:rPr>
          <w:rFonts w:ascii="Simplified Arabic" w:hAnsi="Simplified Arabic"/>
          <w:rtl/>
        </w:rPr>
        <w:t xml:space="preserve"> أن تُعدّ تجميعاً لتقديرات الاحتياجات من التمويل والاستثمار التي قدمتها الأطراف المعنية، بالاستناد إلى المنهجية والسيناريوهات الثلاثة المستخدمة في التحديد الثاني لاحتياجات التمويل ومواصلة تحسين هذه المنهجية والسيناريوهات، كي تنظر فيها الهيئة الفرعية للتنفيذ في اجتماعها الثالث، لإثراء التحديد الثالث لاحتياجات التمويل من قِبل مؤتمر الأطراف في اجتماعه الخامس عشر، تحسباً للتجديد الثامن لموارد الصندوق الاستئماني لمرفق البيئة العالمية؛</w:t>
      </w:r>
    </w:p>
    <w:p w:rsidR="001C1C1D" w:rsidRPr="00FE3013" w:rsidRDefault="001C1C1D" w:rsidP="007834E0">
      <w:pPr>
        <w:numPr>
          <w:ilvl w:val="0"/>
          <w:numId w:val="151"/>
        </w:numPr>
        <w:spacing w:line="204" w:lineRule="auto"/>
        <w:ind w:left="0" w:firstLine="720"/>
        <w:rPr>
          <w:rFonts w:ascii="Simplified Arabic" w:hAnsi="Simplified Arabic"/>
          <w:color w:val="222222"/>
        </w:rPr>
      </w:pPr>
      <w:r w:rsidRPr="00FE3013">
        <w:rPr>
          <w:rFonts w:ascii="Simplified Arabic" w:hAnsi="Simplified Arabic"/>
          <w:i/>
          <w:iCs/>
          <w:rtl/>
          <w:lang w:val="en-GB"/>
        </w:rPr>
        <w:t xml:space="preserve">يطلب إلى </w:t>
      </w:r>
      <w:r w:rsidRPr="00FE3013">
        <w:rPr>
          <w:rFonts w:ascii="Simplified Arabic" w:hAnsi="Simplified Arabic"/>
          <w:rtl/>
          <w:lang w:val="en-GB"/>
        </w:rPr>
        <w:t xml:space="preserve">الهيئة </w:t>
      </w:r>
      <w:r w:rsidRPr="00FE3013">
        <w:rPr>
          <w:rFonts w:ascii="Simplified Arabic" w:hAnsi="Simplified Arabic"/>
          <w:snapToGrid w:val="0"/>
          <w:kern w:val="22"/>
          <w:rtl/>
        </w:rPr>
        <w:t>الفرعية</w:t>
      </w:r>
      <w:r w:rsidRPr="00FE3013">
        <w:rPr>
          <w:rFonts w:ascii="Simplified Arabic" w:hAnsi="Simplified Arabic"/>
          <w:rtl/>
          <w:lang w:val="en-GB"/>
        </w:rPr>
        <w:t xml:space="preserve"> للتنفيذ، في اجتماعها الثالث، أن تُعدّ مقترحات لإطار السنوات الأربع لأوليات البرامج الموجه نحو تحقيق النتائج لفترة التجديد الثامن (</w:t>
      </w:r>
      <w:r>
        <w:rPr>
          <w:rFonts w:ascii="Simplified Arabic" w:hAnsi="Simplified Arabic" w:hint="cs"/>
          <w:rtl/>
          <w:lang w:val="en-GB"/>
        </w:rPr>
        <w:t xml:space="preserve">من يوليه/تموز 2022 إلى يونيه/حزيران </w:t>
      </w:r>
      <w:r w:rsidRPr="00FE3013">
        <w:rPr>
          <w:rFonts w:ascii="Simplified Arabic" w:hAnsi="Simplified Arabic"/>
          <w:rtl/>
          <w:lang w:val="en-GB"/>
        </w:rPr>
        <w:t xml:space="preserve">2026) لموارد الصندوق الاستئماني لمرفق البيئة العالمية، بما يتوافق مع مشروع </w:t>
      </w:r>
      <w:r>
        <w:rPr>
          <w:rFonts w:ascii="Simplified Arabic" w:hAnsi="Simplified Arabic" w:hint="cs"/>
          <w:rtl/>
          <w:lang w:val="en-GB"/>
        </w:rPr>
        <w:t>ال</w:t>
      </w:r>
      <w:r w:rsidRPr="00FE3013">
        <w:rPr>
          <w:rFonts w:ascii="Simplified Arabic" w:hAnsi="Simplified Arabic"/>
          <w:rtl/>
          <w:lang w:val="en-GB"/>
        </w:rPr>
        <w:t>إطار ا</w:t>
      </w:r>
      <w:r>
        <w:rPr>
          <w:rFonts w:ascii="Simplified Arabic" w:hAnsi="Simplified Arabic" w:hint="cs"/>
          <w:rtl/>
          <w:lang w:val="en-GB"/>
        </w:rPr>
        <w:t>لعالمي ل</w:t>
      </w:r>
      <w:r w:rsidRPr="00FE3013">
        <w:rPr>
          <w:rFonts w:ascii="Simplified Arabic" w:hAnsi="Simplified Arabic"/>
          <w:rtl/>
          <w:lang w:val="en-GB"/>
        </w:rPr>
        <w:t>لتنوع البيولوجي لما بعد عام 2020، كي ينظر فيها مؤتمر الأطراف في اجتماعه الخامس عشر</w:t>
      </w:r>
      <w:r>
        <w:rPr>
          <w:rFonts w:ascii="Simplified Arabic" w:hAnsi="Simplified Arabic" w:hint="cs"/>
          <w:rtl/>
          <w:lang w:val="en-GB"/>
        </w:rPr>
        <w:t>؛</w:t>
      </w:r>
    </w:p>
    <w:p w:rsidR="001C1C1D" w:rsidRDefault="001C1C1D" w:rsidP="007834E0">
      <w:pPr>
        <w:numPr>
          <w:ilvl w:val="0"/>
          <w:numId w:val="151"/>
        </w:numPr>
        <w:spacing w:line="204" w:lineRule="auto"/>
        <w:ind w:left="0" w:firstLine="720"/>
        <w:rPr>
          <w:rFonts w:ascii="Simplified Arabic" w:hAnsi="Simplified Arabic"/>
          <w:color w:val="222222"/>
        </w:rPr>
      </w:pPr>
      <w:r w:rsidRPr="00146B43">
        <w:rPr>
          <w:rFonts w:ascii="Simplified Arabic" w:hAnsi="Simplified Arabic" w:hint="cs"/>
          <w:i/>
          <w:iCs/>
          <w:color w:val="222222"/>
          <w:rtl/>
        </w:rPr>
        <w:t>يشجع</w:t>
      </w:r>
      <w:r>
        <w:rPr>
          <w:rFonts w:ascii="Simplified Arabic" w:hAnsi="Simplified Arabic" w:hint="cs"/>
          <w:color w:val="222222"/>
          <w:rtl/>
        </w:rPr>
        <w:t xml:space="preserve"> الأمينة التنفيذية على العمل بشكل وثيق مع مرفق البيئة العالمية في الانتقال إلى الإطار العالمي للتنوع البيولوجي لما بعد عام 2020؛</w:t>
      </w:r>
    </w:p>
    <w:p w:rsidR="001C1C1D" w:rsidRPr="00950B2C" w:rsidRDefault="001C1C1D" w:rsidP="007834E0">
      <w:pPr>
        <w:numPr>
          <w:ilvl w:val="0"/>
          <w:numId w:val="151"/>
        </w:numPr>
        <w:spacing w:line="204" w:lineRule="auto"/>
        <w:ind w:left="0" w:firstLine="720"/>
        <w:rPr>
          <w:rFonts w:ascii="Simplified Arabic" w:hAnsi="Simplified Arabic"/>
          <w:color w:val="222222"/>
        </w:rPr>
      </w:pPr>
      <w:r w:rsidRPr="00146B43">
        <w:rPr>
          <w:rFonts w:ascii="Simplified Arabic" w:hAnsi="Simplified Arabic"/>
          <w:i/>
          <w:iCs/>
          <w:color w:val="222222"/>
          <w:rtl/>
        </w:rPr>
        <w:t>يشجع</w:t>
      </w:r>
      <w:r w:rsidRPr="0030265C">
        <w:rPr>
          <w:rFonts w:ascii="Simplified Arabic" w:hAnsi="Simplified Arabic"/>
          <w:color w:val="222222"/>
          <w:rtl/>
        </w:rPr>
        <w:t xml:space="preserve"> </w:t>
      </w:r>
      <w:r w:rsidRPr="00722A87">
        <w:rPr>
          <w:rFonts w:ascii="Simplified Arabic" w:hAnsi="Simplified Arabic"/>
          <w:i/>
          <w:iCs/>
          <w:color w:val="222222"/>
          <w:rtl/>
        </w:rPr>
        <w:t>أيضا</w:t>
      </w:r>
      <w:r w:rsidRPr="0030265C">
        <w:rPr>
          <w:rFonts w:ascii="Simplified Arabic" w:hAnsi="Simplified Arabic"/>
          <w:color w:val="222222"/>
          <w:rtl/>
        </w:rPr>
        <w:t xml:space="preserve"> الأمين</w:t>
      </w:r>
      <w:r>
        <w:rPr>
          <w:rFonts w:ascii="Simplified Arabic" w:hAnsi="Simplified Arabic" w:hint="cs"/>
          <w:color w:val="222222"/>
          <w:rtl/>
        </w:rPr>
        <w:t>ة</w:t>
      </w:r>
      <w:r w:rsidRPr="0030265C">
        <w:rPr>
          <w:rFonts w:ascii="Simplified Arabic" w:hAnsi="Simplified Arabic"/>
          <w:color w:val="222222"/>
          <w:rtl/>
        </w:rPr>
        <w:t xml:space="preserve"> التنفيذي</w:t>
      </w:r>
      <w:r>
        <w:rPr>
          <w:rFonts w:ascii="Simplified Arabic" w:hAnsi="Simplified Arabic" w:hint="cs"/>
          <w:color w:val="222222"/>
          <w:rtl/>
        </w:rPr>
        <w:t>ة</w:t>
      </w:r>
      <w:r w:rsidRPr="0030265C">
        <w:rPr>
          <w:rFonts w:ascii="Simplified Arabic" w:hAnsi="Simplified Arabic"/>
          <w:color w:val="222222"/>
          <w:rtl/>
        </w:rPr>
        <w:t xml:space="preserve"> على العمل بشكل وثيق مع الوكالات المرتبطة بمرفق البيئة العالمية في الانتقال </w:t>
      </w:r>
      <w:r>
        <w:rPr>
          <w:rFonts w:ascii="Simplified Arabic" w:hAnsi="Simplified Arabic" w:hint="cs"/>
          <w:color w:val="222222"/>
          <w:rtl/>
        </w:rPr>
        <w:t>إلى الإطار العالمي للتنوع البيولوجي لما بعد عام 2020</w:t>
      </w:r>
      <w:r w:rsidRPr="0030265C">
        <w:rPr>
          <w:rFonts w:ascii="Simplified Arabic" w:hAnsi="Simplified Arabic"/>
          <w:color w:val="222222"/>
          <w:rtl/>
        </w:rPr>
        <w:t>، مع مراعاة الحاجة إلى تعزيز قدر أكبر من التآزر بين مرفق البيئة العالمية وآليات التمويل</w:t>
      </w:r>
      <w:r>
        <w:rPr>
          <w:rFonts w:ascii="Simplified Arabic" w:hAnsi="Simplified Arabic" w:hint="cs"/>
          <w:color w:val="222222"/>
          <w:rtl/>
        </w:rPr>
        <w:t xml:space="preserve"> الأخرى.</w:t>
      </w:r>
    </w:p>
    <w:p w:rsidR="001C1C1D" w:rsidRPr="00FE3013" w:rsidRDefault="001C1C1D" w:rsidP="001C1C1D">
      <w:pPr>
        <w:spacing w:line="204" w:lineRule="auto"/>
        <w:jc w:val="center"/>
        <w:rPr>
          <w:rFonts w:ascii="Simplified Arabic" w:hAnsi="Simplified Arabic"/>
          <w:i/>
          <w:iCs/>
          <w:sz w:val="20"/>
          <w:rtl/>
        </w:rPr>
      </w:pPr>
      <w:r w:rsidRPr="00FE3013">
        <w:rPr>
          <w:rFonts w:ascii="Simplified Arabic" w:hAnsi="Simplified Arabic"/>
          <w:i/>
          <w:iCs/>
          <w:sz w:val="20"/>
          <w:rtl/>
        </w:rPr>
        <w:t>المرفق</w:t>
      </w:r>
    </w:p>
    <w:p w:rsidR="001C1C1D" w:rsidRPr="00950B2C" w:rsidRDefault="001C1C1D" w:rsidP="001C1C1D">
      <w:pPr>
        <w:spacing w:after="0" w:line="204" w:lineRule="auto"/>
        <w:jc w:val="center"/>
        <w:rPr>
          <w:b/>
          <w:bCs/>
          <w:rtl/>
        </w:rPr>
      </w:pPr>
      <w:r w:rsidRPr="00950B2C">
        <w:rPr>
          <w:rFonts w:hint="cs"/>
          <w:b/>
          <w:bCs/>
          <w:rtl/>
        </w:rPr>
        <w:t>اختصاصات لتقييم كامل لمقدار الأموال اللازمة لتنفيذ الاتفاقية وبروتوكوليها</w:t>
      </w:r>
    </w:p>
    <w:p w:rsidR="001C1C1D" w:rsidRPr="00950B2C" w:rsidRDefault="001C1C1D" w:rsidP="001C1C1D">
      <w:pPr>
        <w:spacing w:line="204" w:lineRule="auto"/>
        <w:jc w:val="center"/>
        <w:rPr>
          <w:rtl/>
        </w:rPr>
      </w:pPr>
      <w:r w:rsidRPr="00950B2C">
        <w:rPr>
          <w:rFonts w:hint="cs"/>
          <w:b/>
          <w:bCs/>
          <w:rtl/>
        </w:rPr>
        <w:t xml:space="preserve">في فترة التجديد </w:t>
      </w:r>
      <w:r>
        <w:rPr>
          <w:rFonts w:hint="cs"/>
          <w:b/>
          <w:bCs/>
          <w:rtl/>
        </w:rPr>
        <w:t>الثامن</w:t>
      </w:r>
      <w:r w:rsidRPr="00950B2C">
        <w:rPr>
          <w:rFonts w:hint="cs"/>
          <w:b/>
          <w:bCs/>
          <w:rtl/>
        </w:rPr>
        <w:t xml:space="preserve"> لموارد الصندوق الاستئماني لمرفق البيئة العالمية</w:t>
      </w:r>
    </w:p>
    <w:p w:rsidR="001C1C1D" w:rsidRPr="00950B2C" w:rsidRDefault="001C1C1D" w:rsidP="001C1C1D">
      <w:pPr>
        <w:spacing w:line="204" w:lineRule="auto"/>
        <w:rPr>
          <w:b/>
          <w:bCs/>
          <w:rtl/>
        </w:rPr>
      </w:pPr>
      <w:r w:rsidRPr="00950B2C">
        <w:rPr>
          <w:b/>
          <w:bCs/>
          <w:rtl/>
        </w:rPr>
        <w:t>الهدف</w:t>
      </w:r>
    </w:p>
    <w:p w:rsidR="001C1C1D" w:rsidRPr="00950B2C" w:rsidRDefault="001C1C1D" w:rsidP="001C1C1D">
      <w:pPr>
        <w:spacing w:line="204" w:lineRule="auto"/>
        <w:rPr>
          <w:rtl/>
        </w:rPr>
      </w:pPr>
      <w:r w:rsidRPr="00950B2C">
        <w:rPr>
          <w:rtl/>
        </w:rPr>
        <w:t>1-</w:t>
      </w:r>
      <w:r w:rsidRPr="00950B2C">
        <w:rPr>
          <w:rtl/>
        </w:rPr>
        <w:tab/>
      </w:r>
      <w:r>
        <w:rPr>
          <w:rtl/>
        </w:rPr>
        <w:t xml:space="preserve">إن الهدف من العمل الذي </w:t>
      </w:r>
      <w:r>
        <w:rPr>
          <w:rFonts w:hint="cs"/>
          <w:rtl/>
        </w:rPr>
        <w:t>ينبغي</w:t>
      </w:r>
      <w:r w:rsidRPr="00950B2C">
        <w:rPr>
          <w:rtl/>
        </w:rPr>
        <w:t xml:space="preserve"> القيام به بموجب الاختصاصات هذه يتمثل في تمكين مؤتمر الأطراف من إجراء تقييم لمقدار الأموال اللازمة لمساعدة البلدان النامية و</w:t>
      </w:r>
      <w:r>
        <w:rPr>
          <w:rFonts w:hint="cs"/>
          <w:rtl/>
        </w:rPr>
        <w:t>ال</w:t>
      </w:r>
      <w:r w:rsidRPr="00950B2C">
        <w:rPr>
          <w:rtl/>
        </w:rPr>
        <w:t xml:space="preserve">بلدان </w:t>
      </w:r>
      <w:r>
        <w:rPr>
          <w:rFonts w:hint="cs"/>
          <w:rtl/>
        </w:rPr>
        <w:t>التي تمر اقتصاداتها بمرحلة انتقالية</w:t>
      </w:r>
      <w:r w:rsidRPr="00950B2C">
        <w:rPr>
          <w:rtl/>
        </w:rPr>
        <w:t xml:space="preserve"> في الوفاء بالتزاماتها بموجب الاتفاقية</w:t>
      </w:r>
      <w:r w:rsidRPr="00950B2C">
        <w:rPr>
          <w:rFonts w:hint="cs"/>
          <w:rtl/>
        </w:rPr>
        <w:t xml:space="preserve"> وبروتوكوليها</w:t>
      </w:r>
      <w:r w:rsidRPr="00950B2C">
        <w:rPr>
          <w:rtl/>
        </w:rPr>
        <w:t xml:space="preserve"> خلال </w:t>
      </w:r>
      <w:r w:rsidRPr="00950B2C">
        <w:rPr>
          <w:rFonts w:hint="cs"/>
          <w:rtl/>
        </w:rPr>
        <w:t>دورة</w:t>
      </w:r>
      <w:r w:rsidRPr="00950B2C">
        <w:rPr>
          <w:rtl/>
        </w:rPr>
        <w:t xml:space="preserve"> ال</w:t>
      </w:r>
      <w:r w:rsidRPr="00950B2C">
        <w:rPr>
          <w:rFonts w:hint="cs"/>
          <w:rtl/>
        </w:rPr>
        <w:t>تجديد</w:t>
      </w:r>
      <w:r w:rsidRPr="00950B2C">
        <w:rPr>
          <w:rtl/>
        </w:rPr>
        <w:t xml:space="preserve"> </w:t>
      </w:r>
      <w:r>
        <w:rPr>
          <w:rFonts w:hint="cs"/>
          <w:rtl/>
        </w:rPr>
        <w:t>الثامن</w:t>
      </w:r>
      <w:r w:rsidRPr="00950B2C">
        <w:rPr>
          <w:rtl/>
        </w:rPr>
        <w:t xml:space="preserve"> ل</w:t>
      </w:r>
      <w:r w:rsidRPr="00950B2C">
        <w:rPr>
          <w:rFonts w:hint="cs"/>
          <w:rtl/>
        </w:rPr>
        <w:t xml:space="preserve">موارد </w:t>
      </w:r>
      <w:r w:rsidRPr="00950B2C">
        <w:rPr>
          <w:rtl/>
        </w:rPr>
        <w:t>مرفق البيئة العالمية، وفقاً للإرشاد ال</w:t>
      </w:r>
      <w:r w:rsidRPr="00950B2C">
        <w:rPr>
          <w:rFonts w:hint="cs"/>
          <w:rtl/>
        </w:rPr>
        <w:t>ذ</w:t>
      </w:r>
      <w:r w:rsidRPr="00950B2C">
        <w:rPr>
          <w:rtl/>
        </w:rPr>
        <w:t>ي قدمه مؤتمر الأطراف، و</w:t>
      </w:r>
      <w:r w:rsidRPr="00950B2C">
        <w:rPr>
          <w:rFonts w:hint="cs"/>
          <w:rtl/>
        </w:rPr>
        <w:t>تحديد</w:t>
      </w:r>
      <w:r w:rsidRPr="00950B2C">
        <w:rPr>
          <w:rtl/>
        </w:rPr>
        <w:t xml:space="preserve"> </w:t>
      </w:r>
      <w:r w:rsidRPr="00950B2C">
        <w:rPr>
          <w:rFonts w:hint="cs"/>
          <w:rtl/>
        </w:rPr>
        <w:t>مقدار</w:t>
      </w:r>
      <w:r w:rsidRPr="00950B2C">
        <w:rPr>
          <w:rtl/>
        </w:rPr>
        <w:t xml:space="preserve"> الموارد اللازمة</w:t>
      </w:r>
      <w:r w:rsidRPr="00950B2C">
        <w:rPr>
          <w:rFonts w:hint="cs"/>
          <w:rtl/>
        </w:rPr>
        <w:t>،</w:t>
      </w:r>
      <w:r w:rsidRPr="00950B2C">
        <w:rPr>
          <w:rtl/>
        </w:rPr>
        <w:t xml:space="preserve"> وفقا للفقرة 1 من المادة 21، والمقرر 3/8.</w:t>
      </w:r>
    </w:p>
    <w:p w:rsidR="001C1C1D" w:rsidRPr="00950B2C" w:rsidRDefault="001C1C1D" w:rsidP="001C1C1D">
      <w:pPr>
        <w:spacing w:line="204" w:lineRule="auto"/>
        <w:rPr>
          <w:b/>
          <w:bCs/>
          <w:rtl/>
        </w:rPr>
      </w:pPr>
      <w:r w:rsidRPr="00950B2C">
        <w:rPr>
          <w:b/>
          <w:bCs/>
          <w:rtl/>
        </w:rPr>
        <w:t>النطاق</w:t>
      </w:r>
    </w:p>
    <w:p w:rsidR="001C1C1D" w:rsidRPr="001C1C1D" w:rsidRDefault="001C1C1D" w:rsidP="001C1C1D">
      <w:pPr>
        <w:spacing w:line="204" w:lineRule="auto"/>
        <w:rPr>
          <w:spacing w:val="-8"/>
          <w:rtl/>
        </w:rPr>
      </w:pPr>
      <w:r w:rsidRPr="00950B2C">
        <w:rPr>
          <w:rtl/>
        </w:rPr>
        <w:t>2-</w:t>
      </w:r>
      <w:r w:rsidRPr="00950B2C">
        <w:rPr>
          <w:rtl/>
        </w:rPr>
        <w:tab/>
        <w:t>ينبغي لتقرير احتياجات التمويل لتنفيذ الاتفاقية</w:t>
      </w:r>
      <w:r w:rsidRPr="00950B2C">
        <w:rPr>
          <w:rFonts w:hint="cs"/>
          <w:rtl/>
        </w:rPr>
        <w:t xml:space="preserve"> وبروتوكوليها</w:t>
      </w:r>
      <w:r w:rsidRPr="00950B2C">
        <w:rPr>
          <w:rtl/>
        </w:rPr>
        <w:t xml:space="preserve"> أن يكون شاملا وموجها في المقام الأول نحو تقدير مجموع احتياجات التمويل اللازمة لتغطية التكاليف الإضافية الكام</w:t>
      </w:r>
      <w:r>
        <w:rPr>
          <w:rtl/>
        </w:rPr>
        <w:t xml:space="preserve">لة المتفق عليها </w:t>
      </w:r>
      <w:r>
        <w:rPr>
          <w:rFonts w:hint="cs"/>
          <w:rtl/>
        </w:rPr>
        <w:t>للتدابير</w:t>
      </w:r>
      <w:r>
        <w:rPr>
          <w:rtl/>
        </w:rPr>
        <w:t xml:space="preserve"> التي </w:t>
      </w:r>
      <w:r>
        <w:rPr>
          <w:rFonts w:hint="cs"/>
          <w:rtl/>
        </w:rPr>
        <w:t xml:space="preserve">قد </w:t>
      </w:r>
      <w:r w:rsidRPr="00950B2C">
        <w:rPr>
          <w:rtl/>
        </w:rPr>
        <w:t>ت</w:t>
      </w:r>
      <w:r w:rsidRPr="00950B2C">
        <w:rPr>
          <w:rFonts w:hint="cs"/>
          <w:rtl/>
        </w:rPr>
        <w:t>نف</w:t>
      </w:r>
      <w:r w:rsidRPr="00950B2C">
        <w:rPr>
          <w:rtl/>
        </w:rPr>
        <w:t xml:space="preserve">ذها الأطراف من البلدان النامية </w:t>
      </w:r>
      <w:r>
        <w:rPr>
          <w:rFonts w:hint="cs"/>
          <w:rtl/>
        </w:rPr>
        <w:t>والأطراف التي تمر اقتصاداتها بمرحلة انتقالية والمؤهلة لتلقي دعم مرفق البيئة العالمية، وفقا للإرشادات المقدمة من مؤتمر الأطراف،</w:t>
      </w:r>
      <w:r>
        <w:rPr>
          <w:rtl/>
        </w:rPr>
        <w:t xml:space="preserve"> </w:t>
      </w:r>
      <w:r>
        <w:rPr>
          <w:rFonts w:hint="cs"/>
          <w:rtl/>
        </w:rPr>
        <w:t>من أجل ا</w:t>
      </w:r>
      <w:r w:rsidRPr="00950B2C">
        <w:rPr>
          <w:rtl/>
        </w:rPr>
        <w:t xml:space="preserve">لوفاء بالتزاماتها بموجب الاتفاقية </w:t>
      </w:r>
      <w:r>
        <w:rPr>
          <w:rFonts w:hint="cs"/>
          <w:rtl/>
        </w:rPr>
        <w:t xml:space="preserve">وبروتوكوليها </w:t>
      </w:r>
      <w:r w:rsidRPr="001C1C1D">
        <w:rPr>
          <w:spacing w:val="-8"/>
          <w:rtl/>
        </w:rPr>
        <w:t>خلال الفترة يولي</w:t>
      </w:r>
      <w:r w:rsidRPr="001C1C1D">
        <w:rPr>
          <w:rFonts w:hint="cs"/>
          <w:spacing w:val="-8"/>
          <w:rtl/>
        </w:rPr>
        <w:t>ه/</w:t>
      </w:r>
      <w:r w:rsidRPr="001C1C1D">
        <w:rPr>
          <w:spacing w:val="-8"/>
          <w:rtl/>
        </w:rPr>
        <w:t xml:space="preserve">تموز </w:t>
      </w:r>
      <w:r w:rsidRPr="001C1C1D">
        <w:rPr>
          <w:rFonts w:hint="cs"/>
          <w:spacing w:val="-8"/>
          <w:rtl/>
        </w:rPr>
        <w:t>2022</w:t>
      </w:r>
      <w:r w:rsidRPr="001C1C1D">
        <w:rPr>
          <w:spacing w:val="-8"/>
          <w:rtl/>
        </w:rPr>
        <w:t xml:space="preserve"> إلى يوني</w:t>
      </w:r>
      <w:r w:rsidRPr="001C1C1D">
        <w:rPr>
          <w:rFonts w:hint="cs"/>
          <w:spacing w:val="-8"/>
          <w:rtl/>
        </w:rPr>
        <w:t>ه</w:t>
      </w:r>
      <w:r w:rsidRPr="001C1C1D">
        <w:rPr>
          <w:spacing w:val="-8"/>
          <w:rtl/>
        </w:rPr>
        <w:t xml:space="preserve">/حزيران </w:t>
      </w:r>
      <w:r w:rsidRPr="001C1C1D">
        <w:rPr>
          <w:rFonts w:hint="cs"/>
          <w:spacing w:val="-8"/>
          <w:rtl/>
        </w:rPr>
        <w:t>2026</w:t>
      </w:r>
      <w:r w:rsidRPr="001C1C1D">
        <w:rPr>
          <w:spacing w:val="-8"/>
          <w:rtl/>
        </w:rPr>
        <w:t>.</w:t>
      </w:r>
    </w:p>
    <w:p w:rsidR="001C1C1D" w:rsidRPr="00950B2C" w:rsidRDefault="001C1C1D" w:rsidP="001C1C1D">
      <w:pPr>
        <w:spacing w:line="204" w:lineRule="auto"/>
        <w:rPr>
          <w:b/>
          <w:bCs/>
          <w:rtl/>
        </w:rPr>
      </w:pPr>
      <w:r w:rsidRPr="00950B2C">
        <w:rPr>
          <w:b/>
          <w:bCs/>
          <w:rtl/>
        </w:rPr>
        <w:lastRenderedPageBreak/>
        <w:t>المنهجية</w:t>
      </w:r>
    </w:p>
    <w:p w:rsidR="001C1C1D" w:rsidRPr="00950B2C" w:rsidRDefault="001C1C1D" w:rsidP="001C1C1D">
      <w:pPr>
        <w:spacing w:line="204" w:lineRule="auto"/>
        <w:rPr>
          <w:rtl/>
        </w:rPr>
      </w:pPr>
      <w:r w:rsidRPr="00950B2C">
        <w:rPr>
          <w:rtl/>
        </w:rPr>
        <w:t>3-</w:t>
      </w:r>
      <w:r w:rsidRPr="00950B2C">
        <w:rPr>
          <w:rtl/>
        </w:rPr>
        <w:tab/>
        <w:t>ينبغي أن يأخذ تقييم احتياجات التمويل في الحسبان ما يلي:</w:t>
      </w:r>
    </w:p>
    <w:p w:rsidR="001C1C1D" w:rsidRPr="00950B2C" w:rsidRDefault="001C1C1D" w:rsidP="001C1C1D">
      <w:pPr>
        <w:spacing w:line="204" w:lineRule="auto"/>
        <w:ind w:firstLine="720"/>
        <w:rPr>
          <w:rtl/>
        </w:rPr>
      </w:pPr>
      <w:r w:rsidRPr="00950B2C">
        <w:rPr>
          <w:rtl/>
        </w:rPr>
        <w:t>(أ)</w:t>
      </w:r>
      <w:r w:rsidRPr="00950B2C">
        <w:rPr>
          <w:rtl/>
        </w:rPr>
        <w:tab/>
        <w:t xml:space="preserve">الفقرة 2 من المادة 20، والفقرة 1 من المادة 21 من الاتفاقية، </w:t>
      </w:r>
      <w:r w:rsidRPr="00950B2C">
        <w:rPr>
          <w:rFonts w:hint="cs"/>
          <w:rtl/>
        </w:rPr>
        <w:t xml:space="preserve">فضلا عن </w:t>
      </w:r>
      <w:r>
        <w:rPr>
          <w:rFonts w:hint="cs"/>
          <w:rtl/>
        </w:rPr>
        <w:t xml:space="preserve">الهدف 20 من أهداف أيشي للتنوع البيولوجي في </w:t>
      </w:r>
      <w:r w:rsidRPr="00950B2C">
        <w:rPr>
          <w:rtl/>
        </w:rPr>
        <w:t>الخطة الاستراتيجية للتنوع البيولوجي 2011-2020؛</w:t>
      </w:r>
    </w:p>
    <w:p w:rsidR="001C1C1D" w:rsidRPr="00950B2C" w:rsidRDefault="001C1C1D" w:rsidP="001C1C1D">
      <w:pPr>
        <w:spacing w:line="204" w:lineRule="auto"/>
        <w:ind w:firstLine="720"/>
        <w:rPr>
          <w:rtl/>
        </w:rPr>
      </w:pPr>
      <w:r w:rsidRPr="00950B2C">
        <w:rPr>
          <w:rtl/>
        </w:rPr>
        <w:t>(ب)</w:t>
      </w:r>
      <w:r w:rsidRPr="00950B2C">
        <w:rPr>
          <w:rtl/>
        </w:rPr>
        <w:tab/>
        <w:t>الإرشاد الموجه إلى الآلية المالية من مؤتمر الأطراف الذي يطلب موارد مالية في المستقبل؛</w:t>
      </w:r>
    </w:p>
    <w:p w:rsidR="001C1C1D" w:rsidRPr="00950B2C" w:rsidRDefault="001C1C1D" w:rsidP="001C1C1D">
      <w:pPr>
        <w:spacing w:line="204" w:lineRule="auto"/>
        <w:ind w:firstLine="720"/>
        <w:rPr>
          <w:rtl/>
        </w:rPr>
      </w:pPr>
      <w:r w:rsidRPr="00950B2C">
        <w:rPr>
          <w:rtl/>
        </w:rPr>
        <w:t>(ج)</w:t>
      </w:r>
      <w:r w:rsidRPr="00950B2C">
        <w:rPr>
          <w:rtl/>
        </w:rPr>
        <w:tab/>
        <w:t xml:space="preserve">جميع الالتزامات المدرجة في إطار الاتفاقية </w:t>
      </w:r>
      <w:r w:rsidRPr="00950B2C">
        <w:rPr>
          <w:rFonts w:hint="cs"/>
          <w:rtl/>
        </w:rPr>
        <w:t xml:space="preserve">وبروتوكوليها </w:t>
      </w:r>
      <w:r w:rsidRPr="00950B2C">
        <w:rPr>
          <w:rtl/>
        </w:rPr>
        <w:t>والمقررات ذات الصلة التي اعتمدها مؤتمر الأطراف؛</w:t>
      </w:r>
    </w:p>
    <w:p w:rsidR="001C1C1D" w:rsidRPr="00950B2C" w:rsidRDefault="001C1C1D" w:rsidP="001C1C1D">
      <w:pPr>
        <w:spacing w:line="204" w:lineRule="auto"/>
        <w:ind w:firstLine="720"/>
        <w:rPr>
          <w:rtl/>
        </w:rPr>
      </w:pPr>
      <w:r w:rsidRPr="00950B2C">
        <w:rPr>
          <w:rtl/>
        </w:rPr>
        <w:t>(د)</w:t>
      </w:r>
      <w:r w:rsidRPr="00950B2C">
        <w:rPr>
          <w:rtl/>
        </w:rPr>
        <w:tab/>
        <w:t>المعلومات المرسلة إلى مؤتمر الأطراف في التقارير الوطنية</w:t>
      </w:r>
      <w:r w:rsidRPr="00950B2C">
        <w:rPr>
          <w:rFonts w:hint="cs"/>
          <w:rtl/>
        </w:rPr>
        <w:t>، والمعلومات التي تقدمها الأطراف من خلال إطار الإبلاغ المالي</w:t>
      </w:r>
      <w:r w:rsidRPr="00950B2C">
        <w:rPr>
          <w:rtl/>
        </w:rPr>
        <w:t>؛</w:t>
      </w:r>
    </w:p>
    <w:p w:rsidR="001C1C1D" w:rsidRPr="00950B2C" w:rsidRDefault="001C1C1D" w:rsidP="001C1C1D">
      <w:pPr>
        <w:spacing w:line="204" w:lineRule="auto"/>
        <w:ind w:firstLine="720"/>
        <w:rPr>
          <w:rtl/>
        </w:rPr>
      </w:pPr>
      <w:r w:rsidRPr="00950B2C">
        <w:rPr>
          <w:rtl/>
        </w:rPr>
        <w:t>(ﻫ)</w:t>
      </w:r>
      <w:r w:rsidRPr="00950B2C">
        <w:rPr>
          <w:rtl/>
        </w:rPr>
        <w:tab/>
        <w:t>القواعد والمبادئ التوجيهية التي وافق عليها مجلس مرفق البيئة العالمية لتحديد الأهلية اللازمة لتمويل الم</w:t>
      </w:r>
      <w:r w:rsidRPr="00950B2C">
        <w:rPr>
          <w:rFonts w:hint="cs"/>
          <w:rtl/>
        </w:rPr>
        <w:t>شاريع</w:t>
      </w:r>
      <w:r w:rsidRPr="00950B2C">
        <w:rPr>
          <w:rtl/>
        </w:rPr>
        <w:t>؛</w:t>
      </w:r>
    </w:p>
    <w:p w:rsidR="001C1C1D" w:rsidRPr="00950B2C" w:rsidRDefault="001C1C1D" w:rsidP="001C1C1D">
      <w:pPr>
        <w:spacing w:line="204" w:lineRule="auto"/>
        <w:ind w:firstLine="720"/>
        <w:rPr>
          <w:rtl/>
        </w:rPr>
      </w:pPr>
      <w:r w:rsidRPr="00950B2C">
        <w:rPr>
          <w:rtl/>
        </w:rPr>
        <w:t>(و)</w:t>
      </w:r>
      <w:r w:rsidRPr="00950B2C">
        <w:rPr>
          <w:rtl/>
        </w:rPr>
        <w:tab/>
        <w:t>الاستراتيجيات أو الخطط أو البرامج الوطنية المعدة وفقا للمادة 6 من الاتفاقية؛</w:t>
      </w:r>
    </w:p>
    <w:p w:rsidR="001C1C1D" w:rsidRPr="00950B2C" w:rsidRDefault="001C1C1D" w:rsidP="001C1C1D">
      <w:pPr>
        <w:spacing w:line="204" w:lineRule="auto"/>
        <w:ind w:firstLine="720"/>
        <w:rPr>
          <w:rtl/>
        </w:rPr>
      </w:pPr>
      <w:r w:rsidRPr="00950B2C">
        <w:rPr>
          <w:rFonts w:hint="cs"/>
          <w:rtl/>
        </w:rPr>
        <w:t>(ز)</w:t>
      </w:r>
      <w:r w:rsidRPr="00950B2C">
        <w:rPr>
          <w:rFonts w:hint="cs"/>
          <w:rtl/>
        </w:rPr>
        <w:tab/>
      </w:r>
      <w:r w:rsidRPr="00950B2C">
        <w:rPr>
          <w:rtl/>
        </w:rPr>
        <w:t xml:space="preserve">الخبرات المكتسبة حتى الآن، بما في ذلك القيود </w:t>
      </w:r>
      <w:r w:rsidRPr="00950B2C">
        <w:rPr>
          <w:rFonts w:hint="cs"/>
          <w:rtl/>
        </w:rPr>
        <w:t xml:space="preserve">التي اعترضت </w:t>
      </w:r>
      <w:r w:rsidRPr="00950B2C">
        <w:rPr>
          <w:rtl/>
        </w:rPr>
        <w:t xml:space="preserve">المشاريع الممولة من مرفق البيئة العالمية والنجاحات </w:t>
      </w:r>
      <w:r w:rsidRPr="00950B2C">
        <w:rPr>
          <w:rFonts w:hint="cs"/>
          <w:rtl/>
        </w:rPr>
        <w:t>التي حققتها</w:t>
      </w:r>
      <w:r w:rsidRPr="00950B2C">
        <w:rPr>
          <w:rtl/>
        </w:rPr>
        <w:t xml:space="preserve">، فضلا عن أداء </w:t>
      </w:r>
      <w:r w:rsidRPr="00950B2C">
        <w:rPr>
          <w:rFonts w:hint="cs"/>
          <w:rtl/>
        </w:rPr>
        <w:t>ال</w:t>
      </w:r>
      <w:r w:rsidRPr="00950B2C">
        <w:rPr>
          <w:rtl/>
        </w:rPr>
        <w:t>مرفق ووكالات</w:t>
      </w:r>
      <w:r w:rsidRPr="00950B2C">
        <w:rPr>
          <w:rFonts w:hint="cs"/>
          <w:rtl/>
        </w:rPr>
        <w:t>ه</w:t>
      </w:r>
      <w:r w:rsidRPr="00950B2C">
        <w:rPr>
          <w:rtl/>
        </w:rPr>
        <w:t xml:space="preserve"> المنفذة و</w:t>
      </w:r>
      <w:r w:rsidRPr="00950B2C">
        <w:rPr>
          <w:rFonts w:hint="cs"/>
          <w:rtl/>
        </w:rPr>
        <w:t>وكالات التنفيذ التابعة له</w:t>
      </w:r>
      <w:r w:rsidRPr="00950B2C">
        <w:rPr>
          <w:rtl/>
        </w:rPr>
        <w:t>؛</w:t>
      </w:r>
    </w:p>
    <w:p w:rsidR="001C1C1D" w:rsidRPr="00950B2C" w:rsidRDefault="001C1C1D" w:rsidP="001C1C1D">
      <w:pPr>
        <w:spacing w:line="204" w:lineRule="auto"/>
        <w:ind w:firstLine="720"/>
        <w:rPr>
          <w:rtl/>
        </w:rPr>
      </w:pPr>
      <w:r w:rsidRPr="00950B2C">
        <w:rPr>
          <w:rtl/>
        </w:rPr>
        <w:t>(ح)</w:t>
      </w:r>
      <w:r w:rsidRPr="00950B2C">
        <w:rPr>
          <w:rtl/>
        </w:rPr>
        <w:tab/>
      </w:r>
      <w:r w:rsidRPr="00950B2C">
        <w:rPr>
          <w:rFonts w:hint="cs"/>
          <w:rtl/>
        </w:rPr>
        <w:t>أوجه التآزر القائمة مع الاتفاقيات الأخرى التي يمولها مرفق البيئة العالمية؛</w:t>
      </w:r>
    </w:p>
    <w:p w:rsidR="001C1C1D" w:rsidRPr="00950B2C" w:rsidRDefault="001C1C1D" w:rsidP="001C1C1D">
      <w:pPr>
        <w:spacing w:line="204" w:lineRule="auto"/>
        <w:ind w:firstLine="720"/>
        <w:rPr>
          <w:rtl/>
        </w:rPr>
      </w:pPr>
      <w:r w:rsidRPr="00950B2C">
        <w:rPr>
          <w:rtl/>
        </w:rPr>
        <w:t>(ط)</w:t>
      </w:r>
      <w:r w:rsidRPr="00950B2C">
        <w:rPr>
          <w:rtl/>
        </w:rPr>
        <w:tab/>
      </w:r>
      <w:r w:rsidRPr="00950B2C">
        <w:rPr>
          <w:rFonts w:hint="cs"/>
          <w:rtl/>
        </w:rPr>
        <w:t>أوجه التآزر القائمة مع الاتفاقيات الأخرى المتعلقة بالتنوع البيولوجي؛</w:t>
      </w:r>
    </w:p>
    <w:p w:rsidR="001C1C1D" w:rsidRPr="00950B2C" w:rsidRDefault="001C1C1D" w:rsidP="001C1C1D">
      <w:pPr>
        <w:spacing w:line="204" w:lineRule="auto"/>
        <w:ind w:firstLine="720"/>
        <w:rPr>
          <w:rtl/>
        </w:rPr>
      </w:pPr>
      <w:r w:rsidRPr="00950B2C">
        <w:rPr>
          <w:rtl/>
        </w:rPr>
        <w:t>(</w:t>
      </w:r>
      <w:r w:rsidRPr="00950B2C">
        <w:rPr>
          <w:rFonts w:hint="cs"/>
          <w:rtl/>
        </w:rPr>
        <w:t>ي</w:t>
      </w:r>
      <w:r w:rsidRPr="00950B2C">
        <w:rPr>
          <w:rtl/>
        </w:rPr>
        <w:t>)</w:t>
      </w:r>
      <w:r w:rsidRPr="00950B2C">
        <w:rPr>
          <w:rtl/>
        </w:rPr>
        <w:tab/>
      </w:r>
      <w:r w:rsidRPr="00950B2C">
        <w:rPr>
          <w:rFonts w:hint="cs"/>
          <w:rtl/>
        </w:rPr>
        <w:t>ال</w:t>
      </w:r>
      <w:r w:rsidRPr="00950B2C">
        <w:rPr>
          <w:rtl/>
        </w:rPr>
        <w:t xml:space="preserve">استراتيجية </w:t>
      </w:r>
      <w:r w:rsidRPr="00950B2C">
        <w:rPr>
          <w:rFonts w:hint="cs"/>
          <w:rtl/>
        </w:rPr>
        <w:t>المتعلقة بحشد</w:t>
      </w:r>
      <w:r w:rsidRPr="00950B2C">
        <w:rPr>
          <w:rtl/>
        </w:rPr>
        <w:t xml:space="preserve"> الموارد وأهدافها</w:t>
      </w:r>
      <w:r w:rsidRPr="00950B2C">
        <w:rPr>
          <w:rFonts w:hint="cs"/>
          <w:rtl/>
        </w:rPr>
        <w:t>؛</w:t>
      </w:r>
    </w:p>
    <w:p w:rsidR="001C1C1D" w:rsidRPr="00950B2C" w:rsidRDefault="001C1C1D" w:rsidP="001C1C1D">
      <w:pPr>
        <w:spacing w:line="204" w:lineRule="auto"/>
        <w:ind w:firstLine="720"/>
        <w:rPr>
          <w:rtl/>
        </w:rPr>
      </w:pPr>
      <w:r w:rsidRPr="00950B2C">
        <w:rPr>
          <w:rtl/>
        </w:rPr>
        <w:t>(</w:t>
      </w:r>
      <w:r w:rsidRPr="00950B2C">
        <w:rPr>
          <w:rFonts w:hint="cs"/>
          <w:rtl/>
        </w:rPr>
        <w:t>ك</w:t>
      </w:r>
      <w:r w:rsidRPr="00950B2C">
        <w:rPr>
          <w:rtl/>
        </w:rPr>
        <w:t>)</w:t>
      </w:r>
      <w:r w:rsidRPr="00950B2C">
        <w:rPr>
          <w:rtl/>
        </w:rPr>
        <w:tab/>
        <w:t xml:space="preserve">التقرير الثاني </w:t>
      </w:r>
      <w:r w:rsidRPr="00950B2C">
        <w:rPr>
          <w:rFonts w:hint="cs"/>
          <w:rtl/>
        </w:rPr>
        <w:t>للفريق الرفيع</w:t>
      </w:r>
      <w:r w:rsidRPr="00950B2C">
        <w:rPr>
          <w:rtl/>
        </w:rPr>
        <w:t xml:space="preserve"> المستوى </w:t>
      </w:r>
      <w:r w:rsidRPr="00950B2C">
        <w:rPr>
          <w:rFonts w:hint="cs"/>
          <w:rtl/>
        </w:rPr>
        <w:t>المعني ب</w:t>
      </w:r>
      <w:r w:rsidRPr="00950B2C">
        <w:rPr>
          <w:rtl/>
        </w:rPr>
        <w:t xml:space="preserve">التقييم العالمي للموارد </w:t>
      </w:r>
      <w:r w:rsidRPr="00950B2C">
        <w:rPr>
          <w:rFonts w:hint="cs"/>
          <w:rtl/>
        </w:rPr>
        <w:t xml:space="preserve">من أجل </w:t>
      </w:r>
      <w:r w:rsidRPr="00950B2C">
        <w:rPr>
          <w:rtl/>
        </w:rPr>
        <w:t>تنفيذ الخطة الاستراتيجية للتنوع البيولوجي 2011-2020 وتوصياته</w:t>
      </w:r>
      <w:r w:rsidRPr="00950B2C">
        <w:rPr>
          <w:rFonts w:hint="cs"/>
          <w:rtl/>
        </w:rPr>
        <w:t>؛</w:t>
      </w:r>
    </w:p>
    <w:p w:rsidR="001C1C1D" w:rsidRDefault="001C1C1D" w:rsidP="001C1C1D">
      <w:pPr>
        <w:spacing w:line="204" w:lineRule="auto"/>
        <w:ind w:firstLine="720"/>
        <w:rPr>
          <w:rtl/>
        </w:rPr>
      </w:pPr>
      <w:r w:rsidRPr="00950B2C">
        <w:rPr>
          <w:rtl/>
        </w:rPr>
        <w:t>(</w:t>
      </w:r>
      <w:r w:rsidRPr="00950B2C">
        <w:rPr>
          <w:rFonts w:hint="cs"/>
          <w:rtl/>
        </w:rPr>
        <w:t>ل</w:t>
      </w:r>
      <w:r w:rsidRPr="00950B2C">
        <w:rPr>
          <w:rtl/>
        </w:rPr>
        <w:t>)</w:t>
      </w:r>
      <w:r w:rsidRPr="00950B2C">
        <w:rPr>
          <w:rtl/>
        </w:rPr>
        <w:tab/>
      </w:r>
      <w:r w:rsidRPr="00950B2C">
        <w:rPr>
          <w:rFonts w:hint="cs"/>
          <w:rtl/>
        </w:rPr>
        <w:t>الاستراتيجيات وخطط العمل الوطنية للتنوع البيولوجي،</w:t>
      </w:r>
      <w:r>
        <w:rPr>
          <w:rFonts w:hint="cs"/>
          <w:rtl/>
        </w:rPr>
        <w:t xml:space="preserve"> في حال توافرها؛</w:t>
      </w:r>
    </w:p>
    <w:p w:rsidR="001C1C1D" w:rsidRDefault="001C1C1D" w:rsidP="001C1C1D">
      <w:pPr>
        <w:spacing w:line="204" w:lineRule="auto"/>
        <w:ind w:firstLine="720"/>
        <w:rPr>
          <w:rtl/>
        </w:rPr>
      </w:pPr>
      <w:r>
        <w:rPr>
          <w:rFonts w:hint="cs"/>
          <w:rtl/>
        </w:rPr>
        <w:t>(م)</w:t>
      </w:r>
      <w:r>
        <w:rPr>
          <w:rFonts w:hint="cs"/>
          <w:rtl/>
        </w:rPr>
        <w:tab/>
        <w:t>مشروع الإطار العالمي للتنوع البيولوجي لما بعد عام 2020؛</w:t>
      </w:r>
    </w:p>
    <w:p w:rsidR="001C1C1D" w:rsidRPr="00950B2C" w:rsidRDefault="001C1C1D" w:rsidP="001C1C1D">
      <w:pPr>
        <w:spacing w:line="204" w:lineRule="auto"/>
        <w:ind w:firstLine="720"/>
        <w:rPr>
          <w:rtl/>
        </w:rPr>
      </w:pPr>
      <w:r>
        <w:rPr>
          <w:rFonts w:hint="cs"/>
          <w:rtl/>
        </w:rPr>
        <w:t>(ن)</w:t>
      </w:r>
      <w:r>
        <w:rPr>
          <w:rFonts w:hint="cs"/>
          <w:rtl/>
        </w:rPr>
        <w:tab/>
        <w:t>التقدم المُحرز في تنفيذ أهداف التنمية المستدامة، ولاسيما الهدف 17 (تعزيز وسائل التنفيذ).</w:t>
      </w:r>
    </w:p>
    <w:p w:rsidR="001C1C1D" w:rsidRPr="00950B2C" w:rsidRDefault="001C1C1D" w:rsidP="001C1C1D">
      <w:pPr>
        <w:spacing w:line="204" w:lineRule="auto"/>
        <w:rPr>
          <w:b/>
          <w:bCs/>
          <w:rtl/>
        </w:rPr>
      </w:pPr>
      <w:r w:rsidRPr="00950B2C">
        <w:rPr>
          <w:rFonts w:hint="cs"/>
          <w:b/>
          <w:bCs/>
          <w:rtl/>
        </w:rPr>
        <w:t>إجراءات للتنفيذ</w:t>
      </w:r>
    </w:p>
    <w:p w:rsidR="001C1C1D" w:rsidRPr="00950B2C" w:rsidRDefault="001C1C1D" w:rsidP="001C1C1D">
      <w:pPr>
        <w:spacing w:line="204" w:lineRule="auto"/>
        <w:rPr>
          <w:rtl/>
        </w:rPr>
      </w:pPr>
      <w:r w:rsidRPr="00950B2C">
        <w:rPr>
          <w:rtl/>
        </w:rPr>
        <w:t>4-</w:t>
      </w:r>
      <w:r w:rsidRPr="00950B2C">
        <w:rPr>
          <w:rtl/>
        </w:rPr>
        <w:tab/>
        <w:t>على الأمين</w:t>
      </w:r>
      <w:r>
        <w:rPr>
          <w:rFonts w:hint="cs"/>
          <w:rtl/>
        </w:rPr>
        <w:t>ة</w:t>
      </w:r>
      <w:r w:rsidRPr="00950B2C">
        <w:rPr>
          <w:rtl/>
        </w:rPr>
        <w:t xml:space="preserve"> التنفيذي</w:t>
      </w:r>
      <w:r>
        <w:rPr>
          <w:rFonts w:hint="cs"/>
          <w:rtl/>
        </w:rPr>
        <w:t>ة</w:t>
      </w:r>
      <w:r w:rsidRPr="00950B2C">
        <w:rPr>
          <w:rtl/>
        </w:rPr>
        <w:t xml:space="preserve">، بموجب سلطة مؤتمر الأطراف وبدعم منه، أن </w:t>
      </w:r>
      <w:r>
        <w:rPr>
          <w:rFonts w:hint="cs"/>
          <w:rtl/>
        </w:rPr>
        <w:t>تتعاقد</w:t>
      </w:r>
      <w:r w:rsidRPr="00950B2C">
        <w:rPr>
          <w:rtl/>
        </w:rPr>
        <w:t xml:space="preserve"> مع </w:t>
      </w:r>
      <w:r>
        <w:rPr>
          <w:rFonts w:hint="cs"/>
          <w:rtl/>
        </w:rPr>
        <w:t>فريق</w:t>
      </w:r>
      <w:r w:rsidRPr="00950B2C">
        <w:rPr>
          <w:rtl/>
        </w:rPr>
        <w:t xml:space="preserve"> من </w:t>
      </w:r>
      <w:r>
        <w:rPr>
          <w:rFonts w:hint="cs"/>
          <w:rtl/>
        </w:rPr>
        <w:t xml:space="preserve">ثلاثة أو </w:t>
      </w:r>
      <w:r w:rsidRPr="00950B2C">
        <w:rPr>
          <w:rtl/>
        </w:rPr>
        <w:t>خمسة خبراء،</w:t>
      </w:r>
      <w:r>
        <w:rPr>
          <w:rFonts w:hint="cs"/>
          <w:rtl/>
        </w:rPr>
        <w:t xml:space="preserve"> رهنا بتوافر الموارد، بتمثيل عادل بين الأطراف من البلدان</w:t>
      </w:r>
      <w:r w:rsidRPr="00950B2C">
        <w:rPr>
          <w:rtl/>
        </w:rPr>
        <w:t xml:space="preserve"> </w:t>
      </w:r>
      <w:r>
        <w:rPr>
          <w:rtl/>
        </w:rPr>
        <w:t>النامية</w:t>
      </w:r>
      <w:r w:rsidRPr="00950B2C">
        <w:rPr>
          <w:rtl/>
        </w:rPr>
        <w:t xml:space="preserve"> </w:t>
      </w:r>
      <w:r>
        <w:rPr>
          <w:rFonts w:hint="cs"/>
          <w:rtl/>
        </w:rPr>
        <w:t>والأطراف من البلدان المتقدمة</w:t>
      </w:r>
      <w:r w:rsidRPr="00950B2C">
        <w:rPr>
          <w:rtl/>
        </w:rPr>
        <w:t>، وخبير واحد من منظم</w:t>
      </w:r>
      <w:r w:rsidRPr="00950B2C">
        <w:rPr>
          <w:rFonts w:hint="cs"/>
          <w:rtl/>
        </w:rPr>
        <w:t>ات</w:t>
      </w:r>
      <w:r w:rsidRPr="00950B2C">
        <w:rPr>
          <w:rtl/>
        </w:rPr>
        <w:t xml:space="preserve"> دولية غير حكومية، لإعداد تقرير عن التقييم الكامل للتمويل الضروري والمتاح لتنفيذ الاتفاقية </w:t>
      </w:r>
      <w:r w:rsidRPr="00950B2C">
        <w:rPr>
          <w:rFonts w:hint="cs"/>
          <w:rtl/>
        </w:rPr>
        <w:t>ل</w:t>
      </w:r>
      <w:r w:rsidRPr="00950B2C">
        <w:rPr>
          <w:rtl/>
        </w:rPr>
        <w:t>لفترة من يولي</w:t>
      </w:r>
      <w:r>
        <w:rPr>
          <w:rFonts w:hint="cs"/>
          <w:rtl/>
        </w:rPr>
        <w:t>ه</w:t>
      </w:r>
      <w:r w:rsidRPr="00950B2C">
        <w:rPr>
          <w:rtl/>
        </w:rPr>
        <w:t xml:space="preserve">/تموز </w:t>
      </w:r>
      <w:r>
        <w:rPr>
          <w:rFonts w:hint="cs"/>
          <w:rtl/>
        </w:rPr>
        <w:t>2022</w:t>
      </w:r>
      <w:r w:rsidRPr="00950B2C">
        <w:rPr>
          <w:rtl/>
        </w:rPr>
        <w:t xml:space="preserve"> إلى يوني</w:t>
      </w:r>
      <w:r>
        <w:rPr>
          <w:rFonts w:hint="cs"/>
          <w:rtl/>
        </w:rPr>
        <w:t>ه</w:t>
      </w:r>
      <w:r w:rsidRPr="00950B2C">
        <w:rPr>
          <w:rtl/>
        </w:rPr>
        <w:t xml:space="preserve">/حزيران </w:t>
      </w:r>
      <w:r>
        <w:rPr>
          <w:rFonts w:hint="cs"/>
          <w:rtl/>
        </w:rPr>
        <w:t>2026</w:t>
      </w:r>
      <w:r w:rsidRPr="00950B2C">
        <w:rPr>
          <w:rtl/>
        </w:rPr>
        <w:t>، وفقا للهدف والمنهجية المذكورين أعلاه.</w:t>
      </w:r>
    </w:p>
    <w:p w:rsidR="001C1C1D" w:rsidRPr="00950B2C" w:rsidRDefault="001C1C1D" w:rsidP="001C1C1D">
      <w:pPr>
        <w:spacing w:line="204" w:lineRule="auto"/>
        <w:rPr>
          <w:rtl/>
        </w:rPr>
      </w:pPr>
      <w:r w:rsidRPr="00950B2C">
        <w:rPr>
          <w:rtl/>
        </w:rPr>
        <w:t>5-</w:t>
      </w:r>
      <w:r w:rsidRPr="00950B2C">
        <w:rPr>
          <w:rtl/>
        </w:rPr>
        <w:tab/>
        <w:t>لدى إعداد تقرير التقييم، ينبغي لفريق الخبراء أن يجري المقابلات والدراسات الاستقصائية والتحليلات الكمية وال</w:t>
      </w:r>
      <w:r w:rsidRPr="00950B2C">
        <w:rPr>
          <w:rFonts w:hint="cs"/>
          <w:rtl/>
        </w:rPr>
        <w:t>نوع</w:t>
      </w:r>
      <w:r w:rsidRPr="00950B2C">
        <w:rPr>
          <w:rtl/>
        </w:rPr>
        <w:t>ية، والمشاورات، عند ال</w:t>
      </w:r>
      <w:r w:rsidRPr="00950B2C">
        <w:rPr>
          <w:rFonts w:hint="cs"/>
          <w:rtl/>
        </w:rPr>
        <w:t>ا</w:t>
      </w:r>
      <w:r w:rsidRPr="00950B2C">
        <w:rPr>
          <w:rtl/>
        </w:rPr>
        <w:t>قتضاء، بما في ذلك ما يلي:</w:t>
      </w:r>
    </w:p>
    <w:p w:rsidR="001C1C1D" w:rsidRPr="00950B2C" w:rsidRDefault="001C1C1D" w:rsidP="001C1C1D">
      <w:pPr>
        <w:spacing w:line="204" w:lineRule="auto"/>
        <w:ind w:firstLine="720"/>
        <w:rPr>
          <w:rtl/>
        </w:rPr>
      </w:pPr>
      <w:r w:rsidRPr="00950B2C">
        <w:rPr>
          <w:rtl/>
        </w:rPr>
        <w:t>(أ)</w:t>
      </w:r>
      <w:r w:rsidRPr="00950B2C">
        <w:rPr>
          <w:rtl/>
        </w:rPr>
        <w:tab/>
        <w:t>جمع وتحليل الاحتياجات المحددة في الاستراتيجيات وخطط العمل الوطنية للتنوع البيولوجي، بما في ذلك الاستراتيجيات القطرية المحددة لحشد الموارد</w:t>
      </w:r>
      <w:r w:rsidRPr="00950B2C">
        <w:rPr>
          <w:rFonts w:hint="cs"/>
          <w:rtl/>
        </w:rPr>
        <w:t>،</w:t>
      </w:r>
      <w:r w:rsidRPr="00950B2C">
        <w:rPr>
          <w:rtl/>
        </w:rPr>
        <w:t xml:space="preserve"> والتي تعدها الأطراف</w:t>
      </w:r>
      <w:r>
        <w:rPr>
          <w:rFonts w:hint="cs"/>
          <w:rtl/>
        </w:rPr>
        <w:t xml:space="preserve"> المؤهلة لتلقي دعم مرفق البيئة العالمية</w:t>
      </w:r>
      <w:r w:rsidRPr="00950B2C">
        <w:rPr>
          <w:rtl/>
        </w:rPr>
        <w:t xml:space="preserve"> عملا بالمادة 6 من الاتفاقية؛</w:t>
      </w:r>
    </w:p>
    <w:p w:rsidR="001C1C1D" w:rsidRPr="00950B2C" w:rsidRDefault="001C1C1D" w:rsidP="001C1C1D">
      <w:pPr>
        <w:spacing w:line="204" w:lineRule="auto"/>
        <w:ind w:firstLine="720"/>
        <w:rPr>
          <w:rtl/>
        </w:rPr>
      </w:pPr>
      <w:r w:rsidRPr="00950B2C">
        <w:rPr>
          <w:rtl/>
        </w:rPr>
        <w:lastRenderedPageBreak/>
        <w:t>(ب)</w:t>
      </w:r>
      <w:r w:rsidRPr="00950B2C">
        <w:rPr>
          <w:rtl/>
        </w:rPr>
        <w:tab/>
        <w:t xml:space="preserve">استعراض التقارير المقدمة من الأطراف </w:t>
      </w:r>
      <w:r>
        <w:rPr>
          <w:rFonts w:hint="cs"/>
          <w:rtl/>
        </w:rPr>
        <w:t>عملا ب</w:t>
      </w:r>
      <w:r w:rsidRPr="00950B2C">
        <w:rPr>
          <w:rtl/>
        </w:rPr>
        <w:t>المادة 26 من الاتفاقية لتحديد احتياجات التمويل من أجل الوفاء بالتزاماتها بموجب الاتفاقية؛</w:t>
      </w:r>
    </w:p>
    <w:p w:rsidR="001C1C1D" w:rsidRPr="00950B2C" w:rsidRDefault="001C1C1D" w:rsidP="001C1C1D">
      <w:pPr>
        <w:spacing w:line="204" w:lineRule="auto"/>
        <w:ind w:firstLine="720"/>
        <w:rPr>
          <w:rtl/>
        </w:rPr>
      </w:pPr>
      <w:r w:rsidRPr="00950B2C">
        <w:rPr>
          <w:rtl/>
        </w:rPr>
        <w:t>(ج)</w:t>
      </w:r>
      <w:r w:rsidRPr="00950B2C">
        <w:rPr>
          <w:rtl/>
        </w:rPr>
        <w:tab/>
        <w:t>الآثار المالية التقديرية للإرشاد الموجه إلى الآلية المالية من مؤتمر الأطراف؛</w:t>
      </w:r>
    </w:p>
    <w:p w:rsidR="001C1C1D" w:rsidRDefault="001C1C1D" w:rsidP="001C1C1D">
      <w:pPr>
        <w:spacing w:line="204" w:lineRule="auto"/>
        <w:ind w:firstLine="720"/>
        <w:rPr>
          <w:rtl/>
        </w:rPr>
      </w:pPr>
      <w:r w:rsidRPr="00950B2C">
        <w:rPr>
          <w:rtl/>
        </w:rPr>
        <w:t>(د)</w:t>
      </w:r>
      <w:r w:rsidRPr="00950B2C">
        <w:rPr>
          <w:rtl/>
        </w:rPr>
        <w:tab/>
        <w:t>الخبرة المكتسبة حتى الآن في تقديم الآلية المالية للأموال في كل فترة من فترات الت</w:t>
      </w:r>
      <w:r w:rsidRPr="00950B2C">
        <w:rPr>
          <w:rFonts w:hint="cs"/>
          <w:rtl/>
        </w:rPr>
        <w:t>جديد</w:t>
      </w:r>
      <w:r w:rsidRPr="00950B2C">
        <w:rPr>
          <w:rtl/>
        </w:rPr>
        <w:t>؛</w:t>
      </w:r>
    </w:p>
    <w:p w:rsidR="001C1C1D" w:rsidRPr="00950B2C" w:rsidRDefault="001C1C1D" w:rsidP="001C1C1D">
      <w:pPr>
        <w:spacing w:line="204" w:lineRule="auto"/>
        <w:ind w:firstLine="720"/>
        <w:rPr>
          <w:rtl/>
        </w:rPr>
      </w:pPr>
      <w:r>
        <w:rPr>
          <w:rFonts w:hint="cs"/>
          <w:rtl/>
        </w:rPr>
        <w:t>(ه)</w:t>
      </w:r>
      <w:r>
        <w:rPr>
          <w:rFonts w:hint="cs"/>
          <w:rtl/>
        </w:rPr>
        <w:tab/>
        <w:t>جمع وتحليل أية معلومات تكميلية تقدمها الأطراف المؤهلة لتلقي دعم مرفق البيئة العالمية بشأن احتياجاتها من التمويل من أجل تنفيذ التزاماتها بموجب الاتفاقية وبروتوكوليها.</w:t>
      </w:r>
    </w:p>
    <w:p w:rsidR="001C1C1D" w:rsidRPr="00950B2C" w:rsidRDefault="001C1C1D" w:rsidP="001C1C1D">
      <w:pPr>
        <w:spacing w:line="204" w:lineRule="auto"/>
        <w:rPr>
          <w:rtl/>
        </w:rPr>
      </w:pPr>
      <w:r>
        <w:rPr>
          <w:rtl/>
        </w:rPr>
        <w:t>6-</w:t>
      </w:r>
      <w:r>
        <w:rPr>
          <w:rtl/>
        </w:rPr>
        <w:tab/>
      </w:r>
      <w:r>
        <w:rPr>
          <w:rFonts w:hint="cs"/>
          <w:rtl/>
        </w:rPr>
        <w:t xml:space="preserve">على </w:t>
      </w:r>
      <w:r w:rsidRPr="00950B2C">
        <w:rPr>
          <w:rtl/>
        </w:rPr>
        <w:t>مرفق البيئة العالمية والأمين</w:t>
      </w:r>
      <w:r>
        <w:rPr>
          <w:rFonts w:hint="cs"/>
          <w:rtl/>
        </w:rPr>
        <w:t>ة</w:t>
      </w:r>
      <w:r w:rsidRPr="00950B2C">
        <w:rPr>
          <w:rtl/>
        </w:rPr>
        <w:t xml:space="preserve"> التنفيذي</w:t>
      </w:r>
      <w:r>
        <w:rPr>
          <w:rFonts w:hint="cs"/>
          <w:rtl/>
        </w:rPr>
        <w:t>ة</w:t>
      </w:r>
      <w:r w:rsidRPr="00950B2C">
        <w:rPr>
          <w:rtl/>
        </w:rPr>
        <w:t xml:space="preserve"> إجراء استعراض لمشروع تقارير التقييم التي يعدها فريق الخبراء لضمان دقة واتساق البيانات</w:t>
      </w:r>
      <w:r w:rsidRPr="00950B2C">
        <w:rPr>
          <w:rFonts w:hint="cs"/>
          <w:rtl/>
        </w:rPr>
        <w:t xml:space="preserve"> والنهج على النحو المحدد في هذه الاختصاصات.</w:t>
      </w:r>
    </w:p>
    <w:p w:rsidR="001C1C1D" w:rsidRPr="00950B2C" w:rsidRDefault="001C1C1D" w:rsidP="001C1C1D">
      <w:pPr>
        <w:spacing w:line="204" w:lineRule="auto"/>
        <w:rPr>
          <w:rtl/>
        </w:rPr>
      </w:pPr>
      <w:r w:rsidRPr="00950B2C">
        <w:rPr>
          <w:rtl/>
        </w:rPr>
        <w:t>7-</w:t>
      </w:r>
      <w:r w:rsidRPr="00950B2C">
        <w:rPr>
          <w:rtl/>
        </w:rPr>
        <w:tab/>
        <w:t>على الأمين</w:t>
      </w:r>
      <w:r>
        <w:rPr>
          <w:rFonts w:hint="cs"/>
          <w:rtl/>
        </w:rPr>
        <w:t>ة</w:t>
      </w:r>
      <w:r w:rsidRPr="00950B2C">
        <w:rPr>
          <w:rtl/>
        </w:rPr>
        <w:t xml:space="preserve"> التنفيذي</w:t>
      </w:r>
      <w:r>
        <w:rPr>
          <w:rFonts w:hint="cs"/>
          <w:rtl/>
        </w:rPr>
        <w:t>ة</w:t>
      </w:r>
      <w:r w:rsidRPr="00950B2C">
        <w:rPr>
          <w:rtl/>
        </w:rPr>
        <w:t xml:space="preserve"> أن </w:t>
      </w:r>
      <w:r>
        <w:rPr>
          <w:rFonts w:hint="cs"/>
          <w:rtl/>
        </w:rPr>
        <w:t>تكفل</w:t>
      </w:r>
      <w:r w:rsidRPr="00950B2C">
        <w:rPr>
          <w:rtl/>
        </w:rPr>
        <w:t xml:space="preserve"> توزيع تقرير التقييم الصادر عن فريق الخبراء على جميع الأطراف قبل شهر من انعقاد الاجتماع </w:t>
      </w:r>
      <w:r>
        <w:rPr>
          <w:rFonts w:hint="cs"/>
          <w:rtl/>
        </w:rPr>
        <w:t>الثالث</w:t>
      </w:r>
      <w:r w:rsidRPr="00950B2C">
        <w:rPr>
          <w:rtl/>
        </w:rPr>
        <w:t xml:space="preserve"> </w:t>
      </w:r>
      <w:r w:rsidRPr="00950B2C">
        <w:rPr>
          <w:rFonts w:hint="cs"/>
          <w:rtl/>
        </w:rPr>
        <w:t>للهيئة الفرعية للتنفيذ</w:t>
      </w:r>
      <w:r w:rsidRPr="00950B2C">
        <w:rPr>
          <w:spacing w:val="-6"/>
          <w:rtl/>
        </w:rPr>
        <w:t>.</w:t>
      </w:r>
    </w:p>
    <w:p w:rsidR="001C1C1D" w:rsidRPr="00950B2C" w:rsidRDefault="001C1C1D" w:rsidP="001C1C1D">
      <w:pPr>
        <w:spacing w:line="204" w:lineRule="auto"/>
        <w:rPr>
          <w:rtl/>
        </w:rPr>
      </w:pPr>
      <w:r w:rsidRPr="00950B2C">
        <w:rPr>
          <w:rtl/>
        </w:rPr>
        <w:t>8-</w:t>
      </w:r>
      <w:r w:rsidRPr="00950B2C">
        <w:rPr>
          <w:rtl/>
        </w:rPr>
        <w:tab/>
        <w:t xml:space="preserve">ينبغي </w:t>
      </w:r>
      <w:r w:rsidRPr="00950B2C">
        <w:rPr>
          <w:rFonts w:hint="cs"/>
          <w:rtl/>
        </w:rPr>
        <w:t xml:space="preserve">للهيئة الفرعية للتنفيذ، في </w:t>
      </w:r>
      <w:r w:rsidRPr="00950B2C">
        <w:rPr>
          <w:rtl/>
        </w:rPr>
        <w:t>اجتماع</w:t>
      </w:r>
      <w:r w:rsidRPr="00950B2C">
        <w:rPr>
          <w:rFonts w:hint="cs"/>
          <w:rtl/>
        </w:rPr>
        <w:t xml:space="preserve">ها </w:t>
      </w:r>
      <w:r>
        <w:rPr>
          <w:rFonts w:hint="cs"/>
          <w:rtl/>
        </w:rPr>
        <w:t>الثالث</w:t>
      </w:r>
      <w:r w:rsidRPr="00950B2C">
        <w:rPr>
          <w:rFonts w:hint="cs"/>
          <w:rtl/>
        </w:rPr>
        <w:t>،</w:t>
      </w:r>
      <w:r w:rsidRPr="00950B2C">
        <w:rPr>
          <w:rtl/>
        </w:rPr>
        <w:t xml:space="preserve"> أن </w:t>
      </w:r>
      <w:r>
        <w:rPr>
          <w:rFonts w:hint="cs"/>
          <w:rtl/>
        </w:rPr>
        <w:t>ت</w:t>
      </w:r>
      <w:r w:rsidRPr="00950B2C">
        <w:rPr>
          <w:rtl/>
        </w:rPr>
        <w:t>نظر في تقرير تقييم فريق الخبراء وإعداد توصيات لنظر مؤتمر الأطراف</w:t>
      </w:r>
      <w:r w:rsidRPr="00950B2C">
        <w:rPr>
          <w:rFonts w:hint="cs"/>
          <w:rtl/>
        </w:rPr>
        <w:t xml:space="preserve"> في اجتماعه </w:t>
      </w:r>
      <w:r>
        <w:rPr>
          <w:rFonts w:hint="cs"/>
          <w:rtl/>
        </w:rPr>
        <w:t>الخامس</w:t>
      </w:r>
      <w:r w:rsidRPr="00950B2C">
        <w:rPr>
          <w:rFonts w:hint="cs"/>
          <w:rtl/>
        </w:rPr>
        <w:t xml:space="preserve"> عشر</w:t>
      </w:r>
      <w:r w:rsidRPr="00950B2C">
        <w:rPr>
          <w:rtl/>
        </w:rPr>
        <w:t>.</w:t>
      </w:r>
    </w:p>
    <w:p w:rsidR="001C1C1D" w:rsidRPr="00950B2C" w:rsidRDefault="001C1C1D" w:rsidP="001C1C1D">
      <w:pPr>
        <w:spacing w:line="204" w:lineRule="auto"/>
        <w:rPr>
          <w:rtl/>
        </w:rPr>
      </w:pPr>
      <w:r w:rsidRPr="00950B2C">
        <w:rPr>
          <w:rtl/>
        </w:rPr>
        <w:t>9-</w:t>
      </w:r>
      <w:r w:rsidRPr="00950B2C">
        <w:rPr>
          <w:rtl/>
        </w:rPr>
        <w:tab/>
        <w:t>سوف يصدر مؤتمر الأطراف</w:t>
      </w:r>
      <w:r w:rsidRPr="00950B2C">
        <w:rPr>
          <w:rFonts w:hint="cs"/>
          <w:rtl/>
        </w:rPr>
        <w:t>،</w:t>
      </w:r>
      <w:r w:rsidRPr="00950B2C">
        <w:rPr>
          <w:rtl/>
        </w:rPr>
        <w:t xml:space="preserve"> في اجتماعه </w:t>
      </w:r>
      <w:r>
        <w:rPr>
          <w:rFonts w:hint="cs"/>
          <w:rtl/>
        </w:rPr>
        <w:t>الخامس</w:t>
      </w:r>
      <w:r w:rsidRPr="00950B2C">
        <w:rPr>
          <w:rFonts w:hint="cs"/>
          <w:rtl/>
        </w:rPr>
        <w:t xml:space="preserve"> </w:t>
      </w:r>
      <w:r w:rsidRPr="00950B2C">
        <w:rPr>
          <w:rtl/>
        </w:rPr>
        <w:t>عشر</w:t>
      </w:r>
      <w:r w:rsidRPr="00950B2C">
        <w:rPr>
          <w:rFonts w:hint="cs"/>
          <w:rtl/>
        </w:rPr>
        <w:t>،</w:t>
      </w:r>
      <w:r w:rsidRPr="00950B2C">
        <w:rPr>
          <w:rtl/>
        </w:rPr>
        <w:t xml:space="preserve"> مقررا عن التقييم المتعلق بمقدار الأموال اللازمة لتنفيذ الاتفاقية</w:t>
      </w:r>
      <w:r w:rsidRPr="00950B2C">
        <w:rPr>
          <w:rFonts w:hint="cs"/>
          <w:rtl/>
        </w:rPr>
        <w:t xml:space="preserve"> وبروتوكوليها</w:t>
      </w:r>
      <w:r w:rsidRPr="00950B2C">
        <w:rPr>
          <w:rtl/>
        </w:rPr>
        <w:t xml:space="preserve"> لفترة </w:t>
      </w:r>
      <w:r w:rsidRPr="00950B2C">
        <w:rPr>
          <w:rFonts w:hint="cs"/>
          <w:rtl/>
        </w:rPr>
        <w:t xml:space="preserve">التجديد </w:t>
      </w:r>
      <w:r>
        <w:rPr>
          <w:rFonts w:hint="cs"/>
          <w:rtl/>
        </w:rPr>
        <w:t>الثامن</w:t>
      </w:r>
      <w:r w:rsidRPr="00950B2C">
        <w:rPr>
          <w:rtl/>
        </w:rPr>
        <w:t xml:space="preserve"> ل</w:t>
      </w:r>
      <w:r w:rsidRPr="00950B2C">
        <w:rPr>
          <w:rFonts w:hint="cs"/>
          <w:rtl/>
        </w:rPr>
        <w:t>موارد ا</w:t>
      </w:r>
      <w:r w:rsidRPr="00950B2C">
        <w:rPr>
          <w:rtl/>
        </w:rPr>
        <w:t>لصندوق الاستئماني لمرفق البيئة العالمية، وإبلاغ مرفق البيئة العالمية</w:t>
      </w:r>
      <w:r>
        <w:rPr>
          <w:rFonts w:hint="cs"/>
          <w:rtl/>
        </w:rPr>
        <w:t xml:space="preserve"> بالنتائج</w:t>
      </w:r>
      <w:r w:rsidRPr="00950B2C">
        <w:rPr>
          <w:rtl/>
        </w:rPr>
        <w:t xml:space="preserve"> تبعا لذلك.</w:t>
      </w:r>
    </w:p>
    <w:p w:rsidR="001C1C1D" w:rsidRPr="00950B2C" w:rsidRDefault="001C1C1D" w:rsidP="001C1C1D">
      <w:pPr>
        <w:spacing w:line="204" w:lineRule="auto"/>
        <w:rPr>
          <w:b/>
          <w:bCs/>
          <w:rtl/>
        </w:rPr>
      </w:pPr>
      <w:r w:rsidRPr="00950B2C">
        <w:rPr>
          <w:b/>
          <w:bCs/>
          <w:rtl/>
        </w:rPr>
        <w:t>العملية التشاورية</w:t>
      </w:r>
    </w:p>
    <w:p w:rsidR="001C1C1D" w:rsidRPr="00950B2C" w:rsidRDefault="001C1C1D" w:rsidP="001C1C1D">
      <w:pPr>
        <w:spacing w:line="204" w:lineRule="auto"/>
        <w:rPr>
          <w:rtl/>
        </w:rPr>
      </w:pPr>
      <w:r w:rsidRPr="00950B2C">
        <w:rPr>
          <w:rtl/>
        </w:rPr>
        <w:t>10-</w:t>
      </w:r>
      <w:r w:rsidRPr="00950B2C">
        <w:rPr>
          <w:rtl/>
        </w:rPr>
        <w:tab/>
        <w:t>ينبغي لفريق الخبراء، عند إعداد تقرير التقييم، أن يتشاور على نطاق واسع مع جميع الأشخاص والمؤسسات من ذوي العلاقة وغيرهم من مصادر المعلومات المفيدة.</w:t>
      </w:r>
    </w:p>
    <w:p w:rsidR="001C1C1D" w:rsidRPr="00950B2C" w:rsidRDefault="001C1C1D" w:rsidP="001C1C1D">
      <w:pPr>
        <w:spacing w:line="204" w:lineRule="auto"/>
        <w:rPr>
          <w:rtl/>
        </w:rPr>
      </w:pPr>
      <w:r w:rsidRPr="00950B2C">
        <w:rPr>
          <w:rtl/>
        </w:rPr>
        <w:t>11-</w:t>
      </w:r>
      <w:r w:rsidRPr="00950B2C">
        <w:rPr>
          <w:rtl/>
        </w:rPr>
        <w:tab/>
      </w:r>
      <w:r w:rsidRPr="00950B2C">
        <w:rPr>
          <w:rFonts w:hint="cs"/>
          <w:rtl/>
        </w:rPr>
        <w:t>ينبغي</w:t>
      </w:r>
      <w:r w:rsidRPr="00950B2C">
        <w:rPr>
          <w:rtl/>
        </w:rPr>
        <w:t xml:space="preserve"> </w:t>
      </w:r>
      <w:r w:rsidRPr="00950B2C">
        <w:rPr>
          <w:rFonts w:hint="cs"/>
          <w:rtl/>
        </w:rPr>
        <w:t>ل</w:t>
      </w:r>
      <w:r w:rsidRPr="00950B2C">
        <w:rPr>
          <w:rtl/>
        </w:rPr>
        <w:t>فريق الخبراء أن يعد استبيانا عن احتياجات التمويل للفترة من يولي</w:t>
      </w:r>
      <w:r>
        <w:rPr>
          <w:rFonts w:hint="cs"/>
          <w:rtl/>
        </w:rPr>
        <w:t>ه</w:t>
      </w:r>
      <w:r w:rsidRPr="00950B2C">
        <w:rPr>
          <w:rtl/>
        </w:rPr>
        <w:t xml:space="preserve">/تموز </w:t>
      </w:r>
      <w:r>
        <w:rPr>
          <w:rFonts w:hint="cs"/>
          <w:rtl/>
        </w:rPr>
        <w:t>2022</w:t>
      </w:r>
      <w:r w:rsidRPr="00950B2C">
        <w:rPr>
          <w:rtl/>
        </w:rPr>
        <w:t xml:space="preserve"> إلى يوني</w:t>
      </w:r>
      <w:r>
        <w:rPr>
          <w:rFonts w:hint="cs"/>
          <w:rtl/>
        </w:rPr>
        <w:t>ه</w:t>
      </w:r>
      <w:r w:rsidRPr="00950B2C">
        <w:rPr>
          <w:rtl/>
        </w:rPr>
        <w:t xml:space="preserve">/حزيران </w:t>
      </w:r>
      <w:r>
        <w:rPr>
          <w:rFonts w:hint="cs"/>
          <w:rtl/>
        </w:rPr>
        <w:t>2026</w:t>
      </w:r>
      <w:r w:rsidRPr="00950B2C">
        <w:rPr>
          <w:rtl/>
        </w:rPr>
        <w:t>،</w:t>
      </w:r>
      <w:r>
        <w:rPr>
          <w:rFonts w:hint="cs"/>
          <w:rtl/>
        </w:rPr>
        <w:t xml:space="preserve"> بالتشاور مع الأمانة ومرفق البيئة العالمية،</w:t>
      </w:r>
      <w:r w:rsidRPr="00950B2C">
        <w:rPr>
          <w:rtl/>
        </w:rPr>
        <w:t xml:space="preserve"> وأن يوزعه على جميع الأطراف </w:t>
      </w:r>
      <w:r>
        <w:rPr>
          <w:rFonts w:hint="cs"/>
          <w:rtl/>
        </w:rPr>
        <w:t>من البلدان النامية والأطراف التي تمر اقتصاداتها بمرحلة انتقالية</w:t>
      </w:r>
      <w:r w:rsidRPr="00950B2C">
        <w:rPr>
          <w:rtl/>
        </w:rPr>
        <w:t>، وأن ي</w:t>
      </w:r>
      <w:r w:rsidRPr="00950B2C">
        <w:rPr>
          <w:rFonts w:hint="cs"/>
          <w:rtl/>
        </w:rPr>
        <w:t>درج</w:t>
      </w:r>
      <w:r w:rsidRPr="00950B2C">
        <w:rPr>
          <w:rtl/>
        </w:rPr>
        <w:t xml:space="preserve"> النتائج في تقرير التقييم.</w:t>
      </w:r>
    </w:p>
    <w:p w:rsidR="001C1C1D" w:rsidRPr="00950B2C" w:rsidRDefault="001C1C1D" w:rsidP="001C1C1D">
      <w:pPr>
        <w:spacing w:line="204" w:lineRule="auto"/>
        <w:rPr>
          <w:rtl/>
        </w:rPr>
      </w:pPr>
      <w:r w:rsidRPr="00950B2C">
        <w:rPr>
          <w:rtl/>
        </w:rPr>
        <w:t>12-</w:t>
      </w:r>
      <w:r w:rsidRPr="00950B2C">
        <w:rPr>
          <w:rtl/>
        </w:rPr>
        <w:tab/>
        <w:t>ينبغي تنظيم مقابلات</w:t>
      </w:r>
      <w:r>
        <w:rPr>
          <w:rFonts w:hint="cs"/>
          <w:rtl/>
        </w:rPr>
        <w:t xml:space="preserve"> شخصية</w:t>
      </w:r>
      <w:r w:rsidRPr="00950B2C">
        <w:rPr>
          <w:rtl/>
        </w:rPr>
        <w:t xml:space="preserve"> واجتماعات تشاورية يشارك فيها أصحاب المصلحة الرئيسيون المعنيون، بما في</w:t>
      </w:r>
      <w:r>
        <w:rPr>
          <w:rFonts w:hint="cs"/>
          <w:rtl/>
        </w:rPr>
        <w:t xml:space="preserve"> ذلك</w:t>
      </w:r>
      <w:r w:rsidRPr="00950B2C">
        <w:rPr>
          <w:rtl/>
        </w:rPr>
        <w:t xml:space="preserve"> مجموعات الأطراف الرئيسية وأمانة الاتفاقية، فضلا عن أمانة مرفق البيئة العالمية، ومكتب التقييم</w:t>
      </w:r>
      <w:r w:rsidRPr="00950B2C">
        <w:rPr>
          <w:rFonts w:hint="cs"/>
          <w:rtl/>
        </w:rPr>
        <w:t xml:space="preserve"> المستقل</w:t>
      </w:r>
      <w:r w:rsidRPr="00950B2C">
        <w:rPr>
          <w:rtl/>
        </w:rPr>
        <w:t xml:space="preserve"> والوكالات التابعة لمرفق</w:t>
      </w:r>
      <w:r w:rsidRPr="00950B2C">
        <w:rPr>
          <w:rFonts w:hint="cs"/>
          <w:rtl/>
        </w:rPr>
        <w:t xml:space="preserve"> البيئة العالمية</w:t>
      </w:r>
      <w:r w:rsidRPr="00950B2C">
        <w:rPr>
          <w:rtl/>
        </w:rPr>
        <w:t>.</w:t>
      </w:r>
    </w:p>
    <w:p w:rsidR="001C1C1D" w:rsidRPr="00950B2C" w:rsidRDefault="001C1C1D" w:rsidP="001C1C1D">
      <w:pPr>
        <w:spacing w:line="204" w:lineRule="auto"/>
        <w:rPr>
          <w:rtl/>
        </w:rPr>
      </w:pPr>
      <w:r w:rsidRPr="00950B2C">
        <w:rPr>
          <w:rtl/>
        </w:rPr>
        <w:t>13-</w:t>
      </w:r>
      <w:r w:rsidRPr="00950B2C">
        <w:rPr>
          <w:rtl/>
        </w:rPr>
        <w:tab/>
        <w:t>ينبغي أن يسعى فريق الخبراء، إلى أقصى قدر ممكن، نحو القيام بمشاورات إقليمية ودون إقليمية، مستغلا في ذلك حلقات العمل الإقليمية ودون الإقليمية التي تنظمها أمانة الاتفاقية وأمانة مرفق البيئة العالمية خلال فترة الدراسة.</w:t>
      </w:r>
    </w:p>
    <w:p w:rsidR="001C1C1D" w:rsidRPr="00950B2C" w:rsidRDefault="001C1C1D" w:rsidP="001C1C1D">
      <w:pPr>
        <w:spacing w:line="204" w:lineRule="auto"/>
        <w:rPr>
          <w:rtl/>
        </w:rPr>
      </w:pPr>
      <w:r w:rsidRPr="00950B2C">
        <w:rPr>
          <w:rtl/>
        </w:rPr>
        <w:t>14-</w:t>
      </w:r>
      <w:r w:rsidRPr="00950B2C">
        <w:rPr>
          <w:rtl/>
        </w:rPr>
        <w:tab/>
        <w:t>ينبغي أن تكون النُهج المستخدمة في تقييم التمويل اللازم والمتاح لتنفيذ الاتفاقية</w:t>
      </w:r>
      <w:r w:rsidRPr="00950B2C">
        <w:rPr>
          <w:rFonts w:hint="cs"/>
          <w:rtl/>
        </w:rPr>
        <w:t xml:space="preserve"> وبروتوكوليها</w:t>
      </w:r>
      <w:r w:rsidRPr="00950B2C">
        <w:rPr>
          <w:rtl/>
        </w:rPr>
        <w:t xml:space="preserve"> شفافة ويمكن الاعتماد عليها ويمكن تكرارها، وأن توضح مبررات التكاليف الإضافية وفقا للفقرة 2 من المادة 20، مع </w:t>
      </w:r>
      <w:r w:rsidRPr="00950B2C">
        <w:rPr>
          <w:rFonts w:hint="cs"/>
          <w:rtl/>
        </w:rPr>
        <w:t>مراعاة</w:t>
      </w:r>
      <w:r w:rsidRPr="00950B2C">
        <w:rPr>
          <w:rtl/>
        </w:rPr>
        <w:t xml:space="preserve"> المعلومات المجمعة من الصناديق الدولية الأخرى التي تخدم الاتفاقيات والمعلومات المقدمة من الأطراف في تطبيق مفهوم التكاليف الإضافية، بالإضافة إلى القواعد والمبادئ التوجيهية الحالية لمرفق البيئة العالمية كما وافق عليها مجلس هذا المرفق.</w:t>
      </w:r>
    </w:p>
    <w:p w:rsidR="001C1C1D" w:rsidRDefault="001C1C1D" w:rsidP="001C1C1D">
      <w:pPr>
        <w:spacing w:line="204" w:lineRule="auto"/>
        <w:rPr>
          <w:rtl/>
        </w:rPr>
      </w:pPr>
      <w:r w:rsidRPr="00950B2C">
        <w:rPr>
          <w:rtl/>
        </w:rPr>
        <w:t>15-</w:t>
      </w:r>
      <w:r w:rsidRPr="00950B2C">
        <w:rPr>
          <w:rtl/>
        </w:rPr>
        <w:tab/>
      </w:r>
      <w:r>
        <w:rPr>
          <w:rFonts w:hint="cs"/>
          <w:rtl/>
        </w:rPr>
        <w:t>استنادا إلى تجربة إعداد تقرير تقييم الاحتياجات الحالي، سيقدم فريق الخبراء توصيات إلى الأمينة التنفيذية بشأن عناصر وطرائق نظام إلكتروني لتيسير التقديمات من جانب الأطراف المعنية بشأن تقييمات الاحتياجات في المستقبل.</w:t>
      </w:r>
    </w:p>
    <w:p w:rsidR="001D61EA" w:rsidRDefault="001C1C1D" w:rsidP="001C1C1D">
      <w:pPr>
        <w:spacing w:line="204" w:lineRule="auto"/>
        <w:rPr>
          <w:b/>
          <w:bCs/>
          <w:sz w:val="24"/>
          <w:rtl/>
        </w:rPr>
      </w:pPr>
      <w:r>
        <w:rPr>
          <w:rFonts w:hint="cs"/>
          <w:rtl/>
        </w:rPr>
        <w:t>16-</w:t>
      </w:r>
      <w:r>
        <w:rPr>
          <w:rFonts w:hint="cs"/>
          <w:rtl/>
        </w:rPr>
        <w:tab/>
      </w:r>
      <w:r w:rsidRPr="00950B2C">
        <w:rPr>
          <w:rtl/>
        </w:rPr>
        <w:t xml:space="preserve">ينبغي لفريق الخبراء أن يعالج القضايا الإضافية التي قد </w:t>
      </w:r>
      <w:r>
        <w:rPr>
          <w:rFonts w:hint="cs"/>
          <w:rtl/>
        </w:rPr>
        <w:t>تطرحها</w:t>
      </w:r>
      <w:r w:rsidRPr="00950B2C">
        <w:rPr>
          <w:rtl/>
        </w:rPr>
        <w:t xml:space="preserve"> </w:t>
      </w:r>
      <w:r w:rsidRPr="00950B2C">
        <w:rPr>
          <w:rFonts w:hint="cs"/>
          <w:rtl/>
        </w:rPr>
        <w:t>الهيئة الفرعية للتنفيذ</w:t>
      </w:r>
      <w:r w:rsidRPr="00950B2C">
        <w:rPr>
          <w:rtl/>
        </w:rPr>
        <w:t xml:space="preserve"> </w:t>
      </w:r>
      <w:r>
        <w:rPr>
          <w:rFonts w:hint="cs"/>
          <w:rtl/>
        </w:rPr>
        <w:t>عند</w:t>
      </w:r>
      <w:r w:rsidRPr="00950B2C">
        <w:rPr>
          <w:rtl/>
        </w:rPr>
        <w:t xml:space="preserve"> نظره</w:t>
      </w:r>
      <w:r>
        <w:rPr>
          <w:rFonts w:hint="cs"/>
          <w:rtl/>
        </w:rPr>
        <w:t>ا</w:t>
      </w:r>
      <w:r>
        <w:rPr>
          <w:rtl/>
        </w:rPr>
        <w:t xml:space="preserve"> في تقرير التقييم</w:t>
      </w:r>
      <w:r>
        <w:rPr>
          <w:rFonts w:hint="cs"/>
          <w:rtl/>
        </w:rPr>
        <w:t xml:space="preserve"> في اجتماعها الثالث.</w:t>
      </w:r>
      <w:r>
        <w:rPr>
          <w:b/>
          <w:bCs/>
          <w:sz w:val="24"/>
          <w:rtl/>
        </w:rPr>
        <w:t xml:space="preserve"> </w:t>
      </w:r>
      <w:r w:rsidR="001D61EA">
        <w:rPr>
          <w:b/>
          <w:bCs/>
          <w:sz w:val="24"/>
          <w:rtl/>
        </w:rPr>
        <w:br w:type="page"/>
      </w:r>
    </w:p>
    <w:p w:rsidR="001C1C1D" w:rsidRPr="00727477" w:rsidRDefault="001C1C1D" w:rsidP="00696773">
      <w:pPr>
        <w:pStyle w:val="Heading2"/>
        <w:rPr>
          <w:b w:val="0"/>
          <w:bCs w:val="0"/>
          <w:rtl/>
        </w:rPr>
      </w:pPr>
      <w:bookmarkStart w:id="167" w:name="_Toc6071628"/>
      <w:bookmarkStart w:id="168" w:name="_Toc6139985"/>
      <w:r>
        <w:rPr>
          <w:rFonts w:hint="cs"/>
          <w:rtl/>
        </w:rPr>
        <w:lastRenderedPageBreak/>
        <w:t>المقرر 14/24</w:t>
      </w:r>
      <w:r>
        <w:rPr>
          <w:rFonts w:hint="cs"/>
          <w:rtl/>
        </w:rPr>
        <w:tab/>
      </w:r>
      <w:r w:rsidRPr="00727477">
        <w:rPr>
          <w:rFonts w:hint="cs"/>
          <w:rtl/>
        </w:rPr>
        <w:t>بناء القدرات والتعاون التقني والعلمي</w:t>
      </w:r>
      <w:bookmarkEnd w:id="167"/>
      <w:bookmarkEnd w:id="168"/>
    </w:p>
    <w:p w:rsidR="001C1C1D" w:rsidRPr="00FD7330" w:rsidRDefault="001C1C1D" w:rsidP="001C1C1D">
      <w:pPr>
        <w:spacing w:after="100" w:line="204" w:lineRule="auto"/>
        <w:ind w:firstLine="720"/>
        <w:jc w:val="lowKashida"/>
        <w:rPr>
          <w:i/>
          <w:iCs/>
          <w:rtl/>
          <w:lang w:val="fr-CH"/>
        </w:rPr>
      </w:pPr>
      <w:r w:rsidRPr="00FD7330">
        <w:rPr>
          <w:i/>
          <w:iCs/>
          <w:rtl/>
          <w:lang w:val="fr-CH"/>
        </w:rPr>
        <w:t>إن مؤتمر الأطراف،</w:t>
      </w:r>
    </w:p>
    <w:p w:rsidR="001C1C1D" w:rsidRPr="00FD7330" w:rsidRDefault="001C1C1D" w:rsidP="001C1C1D">
      <w:pPr>
        <w:spacing w:after="100" w:line="204" w:lineRule="auto"/>
        <w:jc w:val="center"/>
        <w:rPr>
          <w:b/>
          <w:bCs/>
          <w:rtl/>
        </w:rPr>
      </w:pPr>
      <w:r>
        <w:rPr>
          <w:rFonts w:hint="cs"/>
          <w:b/>
          <w:bCs/>
          <w:rtl/>
        </w:rPr>
        <w:t>ألف-</w:t>
      </w:r>
      <w:r>
        <w:rPr>
          <w:rFonts w:hint="cs"/>
          <w:b/>
          <w:bCs/>
          <w:rtl/>
        </w:rPr>
        <w:tab/>
      </w:r>
      <w:r w:rsidRPr="00FD7330">
        <w:rPr>
          <w:b/>
          <w:bCs/>
          <w:rtl/>
        </w:rPr>
        <w:t>بناء القدرات</w:t>
      </w:r>
    </w:p>
    <w:p w:rsidR="001C1C1D" w:rsidRPr="00FD7330" w:rsidRDefault="001C1C1D" w:rsidP="001C1C1D">
      <w:pPr>
        <w:spacing w:after="100" w:line="204" w:lineRule="auto"/>
        <w:ind w:firstLine="720"/>
        <w:rPr>
          <w:rtl/>
          <w:lang w:val="fr-CH"/>
        </w:rPr>
      </w:pPr>
      <w:r w:rsidRPr="00FD7330">
        <w:rPr>
          <w:i/>
          <w:iCs/>
          <w:rtl/>
          <w:lang w:val="fr-CH"/>
        </w:rPr>
        <w:t>إذ يشير</w:t>
      </w:r>
      <w:r w:rsidRPr="00FD7330">
        <w:rPr>
          <w:rtl/>
          <w:lang w:val="fr-CH"/>
        </w:rPr>
        <w:t xml:space="preserve"> إلى المقرّرين 13/23 و13/24،</w:t>
      </w:r>
    </w:p>
    <w:p w:rsidR="001C1C1D" w:rsidRPr="00FD7330" w:rsidRDefault="001C1C1D" w:rsidP="001C1C1D">
      <w:pPr>
        <w:spacing w:after="100" w:line="204" w:lineRule="auto"/>
        <w:ind w:firstLine="720"/>
        <w:rPr>
          <w:rtl/>
          <w:lang w:val="fr-CH"/>
        </w:rPr>
      </w:pPr>
      <w:r w:rsidRPr="00FD7330">
        <w:rPr>
          <w:rFonts w:hint="cs"/>
          <w:i/>
          <w:iCs/>
          <w:rtl/>
          <w:lang w:val="fr-CH"/>
        </w:rPr>
        <w:t>وإذ ي</w:t>
      </w:r>
      <w:r w:rsidRPr="00FD7330">
        <w:rPr>
          <w:i/>
          <w:iCs/>
          <w:rtl/>
          <w:lang w:val="fr-CH"/>
        </w:rPr>
        <w:t>حيط علما</w:t>
      </w:r>
      <w:r w:rsidRPr="00FD7330">
        <w:rPr>
          <w:rtl/>
          <w:lang w:val="fr-CH"/>
        </w:rPr>
        <w:t xml:space="preserve"> بالتقرير المرحلي عن تنفيذ خطة العمل قصيرة الأجل </w:t>
      </w:r>
      <w:r w:rsidRPr="0085224D">
        <w:rPr>
          <w:rFonts w:ascii="Simplified Arabic" w:hAnsi="Simplified Arabic"/>
          <w:rtl/>
          <w:lang w:val="fr-CH"/>
        </w:rPr>
        <w:t>(</w:t>
      </w:r>
      <w:r w:rsidRPr="0085224D">
        <w:rPr>
          <w:rFonts w:ascii="Simplified Arabic" w:hAnsi="Simplified Arabic"/>
          <w:lang w:val="fr-CH"/>
        </w:rPr>
        <w:t>2017</w:t>
      </w:r>
      <w:r w:rsidRPr="0085224D">
        <w:rPr>
          <w:rFonts w:ascii="Simplified Arabic" w:hAnsi="Simplified Arabic"/>
          <w:rtl/>
          <w:lang w:val="fr-CH"/>
        </w:rPr>
        <w:t>-20</w:t>
      </w:r>
      <w:r w:rsidRPr="0085224D">
        <w:rPr>
          <w:rFonts w:ascii="Simplified Arabic" w:hAnsi="Simplified Arabic"/>
          <w:lang w:val="fr-CH"/>
        </w:rPr>
        <w:t>20</w:t>
      </w:r>
      <w:r w:rsidRPr="0085224D">
        <w:rPr>
          <w:rFonts w:ascii="Simplified Arabic" w:hAnsi="Simplified Arabic"/>
          <w:rtl/>
          <w:lang w:val="fr-CH"/>
        </w:rPr>
        <w:t>)</w:t>
      </w:r>
      <w:r w:rsidRPr="00FD7330">
        <w:rPr>
          <w:rtl/>
          <w:lang w:val="fr-CH"/>
        </w:rPr>
        <w:t xml:space="preserve"> لتعزيز ودعم بناء القدرات لتنفيذ الاتفاقية وبروتوكوليها التي </w:t>
      </w:r>
      <w:r w:rsidRPr="00FD7330">
        <w:rPr>
          <w:rFonts w:hint="cs"/>
          <w:rtl/>
          <w:lang w:val="fr-CH"/>
        </w:rPr>
        <w:t>ت</w:t>
      </w:r>
      <w:r w:rsidRPr="00FD7330">
        <w:rPr>
          <w:rtl/>
          <w:lang w:val="fr-CH"/>
        </w:rPr>
        <w:t xml:space="preserve">دعمها </w:t>
      </w:r>
      <w:r w:rsidRPr="00FD7330">
        <w:rPr>
          <w:rFonts w:hint="cs"/>
          <w:rtl/>
          <w:lang w:val="fr-CH"/>
        </w:rPr>
        <w:t>وتيسرها</w:t>
      </w:r>
      <w:r w:rsidRPr="00FD7330">
        <w:rPr>
          <w:rtl/>
          <w:lang w:val="fr-CH"/>
        </w:rPr>
        <w:t xml:space="preserve"> الأمينة التنفيذية بالتعاون مع مختلف الشركاء</w:t>
      </w:r>
      <w:r w:rsidRPr="00FD7330">
        <w:rPr>
          <w:rFonts w:hint="cs"/>
          <w:rtl/>
          <w:lang w:val="fr-CH"/>
        </w:rPr>
        <w:t>،</w:t>
      </w:r>
      <w:r w:rsidRPr="00FD7330">
        <w:rPr>
          <w:sz w:val="20"/>
          <w:vertAlign w:val="superscript"/>
          <w:rtl/>
          <w:lang w:val="fr-CH"/>
        </w:rPr>
        <w:footnoteReference w:id="274"/>
      </w:r>
    </w:p>
    <w:p w:rsidR="001C1C1D" w:rsidRPr="00FD7330" w:rsidRDefault="001C1C1D" w:rsidP="001C1C1D">
      <w:pPr>
        <w:spacing w:after="100" w:line="204" w:lineRule="auto"/>
        <w:ind w:firstLine="720"/>
        <w:rPr>
          <w:rtl/>
          <w:lang w:val="fr-CH"/>
        </w:rPr>
      </w:pPr>
      <w:r w:rsidRPr="00FD7330">
        <w:rPr>
          <w:i/>
          <w:iCs/>
          <w:rtl/>
          <w:lang w:val="fr-CH"/>
        </w:rPr>
        <w:t>وإذ يلاحظ مع التقدير</w:t>
      </w:r>
      <w:r w:rsidRPr="00FD7330">
        <w:rPr>
          <w:rtl/>
          <w:lang w:val="fr-CH"/>
        </w:rPr>
        <w:t xml:space="preserve"> الدعم المقدم من الأطراف</w:t>
      </w:r>
      <w:r w:rsidRPr="00FD7330">
        <w:rPr>
          <w:rFonts w:hint="cs"/>
          <w:rtl/>
          <w:lang w:val="fr-CH"/>
        </w:rPr>
        <w:t>،</w:t>
      </w:r>
      <w:r w:rsidRPr="00FD7330">
        <w:rPr>
          <w:rtl/>
          <w:lang w:val="fr-CH"/>
        </w:rPr>
        <w:t xml:space="preserve"> والحكومات الأخرى والمنظمات ذات الصلة من أجل</w:t>
      </w:r>
      <w:r w:rsidRPr="00FD7330">
        <w:rPr>
          <w:rFonts w:hint="cs"/>
          <w:rtl/>
          <w:lang w:val="fr-CH"/>
        </w:rPr>
        <w:t xml:space="preserve"> أنشطة</w:t>
      </w:r>
      <w:r w:rsidRPr="00FD7330">
        <w:rPr>
          <w:rtl/>
          <w:lang w:val="fr-CH"/>
        </w:rPr>
        <w:t xml:space="preserve"> بناء القدرات وأنشطة التعاون التقني والعلمي لمساعدة الأطراف</w:t>
      </w:r>
      <w:r w:rsidRPr="00FD7330">
        <w:rPr>
          <w:rFonts w:hint="cs"/>
          <w:rtl/>
          <w:lang w:val="fr-CH"/>
        </w:rPr>
        <w:t xml:space="preserve"> من البلدان النامية، ولاسيما أقل البلدان نمواً، والدول الجزرية الصغيرة النامية والبلدان التي تمر اقتصاداتها بمرحلة انتقالية، بما في ذلك البلدان التي هي مراكز المنشأ وتنوع الموارد الجينية، والشعوب الأصلية والمجتمعات المحلية، والنساء والشباب،</w:t>
      </w:r>
    </w:p>
    <w:p w:rsidR="001C1C1D" w:rsidRDefault="001C1C1D" w:rsidP="001C1C1D">
      <w:pPr>
        <w:spacing w:after="100" w:line="204" w:lineRule="auto"/>
        <w:ind w:firstLine="720"/>
        <w:rPr>
          <w:rtl/>
          <w:lang w:val="fr-CH"/>
        </w:rPr>
      </w:pPr>
      <w:r w:rsidRPr="00FD7330">
        <w:rPr>
          <w:rFonts w:hint="cs"/>
          <w:i/>
          <w:iCs/>
          <w:rtl/>
          <w:lang w:val="fr-CH"/>
        </w:rPr>
        <w:t>وإذ يشدد</w:t>
      </w:r>
      <w:r w:rsidRPr="00FD7330">
        <w:rPr>
          <w:rFonts w:hint="cs"/>
          <w:rtl/>
          <w:lang w:val="fr-CH"/>
        </w:rPr>
        <w:t xml:space="preserve"> على أهمية ترتيب الاحتياجات من حيث بناء القدرات بعناية بما يتواءم مع </w:t>
      </w:r>
      <w:r>
        <w:rPr>
          <w:rFonts w:hint="cs"/>
          <w:rtl/>
          <w:lang w:val="fr-CH"/>
        </w:rPr>
        <w:t>ال</w:t>
      </w:r>
      <w:r w:rsidRPr="00FD7330">
        <w:rPr>
          <w:rFonts w:hint="cs"/>
          <w:rtl/>
          <w:lang w:val="fr-CH"/>
        </w:rPr>
        <w:t>إطار ا</w:t>
      </w:r>
      <w:r>
        <w:rPr>
          <w:rFonts w:hint="cs"/>
          <w:rtl/>
          <w:lang w:val="fr-CH"/>
        </w:rPr>
        <w:t>لعالمي ل</w:t>
      </w:r>
      <w:r w:rsidRPr="00FD7330">
        <w:rPr>
          <w:rFonts w:hint="cs"/>
          <w:rtl/>
          <w:lang w:val="fr-CH"/>
        </w:rPr>
        <w:t>لتنوع البيولوجي لما بعد عام 2020،</w:t>
      </w:r>
    </w:p>
    <w:p w:rsidR="001C1C1D" w:rsidRPr="00FD7330" w:rsidRDefault="001C1C1D" w:rsidP="001C1C1D">
      <w:pPr>
        <w:spacing w:after="100" w:line="204" w:lineRule="auto"/>
        <w:ind w:firstLine="720"/>
        <w:rPr>
          <w:rtl/>
          <w:lang w:val="fr-CH"/>
        </w:rPr>
      </w:pPr>
      <w:r>
        <w:rPr>
          <w:rFonts w:hint="cs"/>
          <w:i/>
          <w:iCs/>
          <w:rtl/>
          <w:lang w:val="fr-CH"/>
        </w:rPr>
        <w:t xml:space="preserve">وإذ يؤكد على </w:t>
      </w:r>
      <w:r>
        <w:rPr>
          <w:rFonts w:hint="cs"/>
          <w:rtl/>
          <w:lang w:val="fr-CH"/>
        </w:rPr>
        <w:t>الحاجة إلى نُهج تنظيمية مشتركة بين القطاعات لبناء القدرات،</w:t>
      </w:r>
    </w:p>
    <w:p w:rsidR="001C1C1D" w:rsidRPr="00FD7330" w:rsidRDefault="001C1C1D" w:rsidP="001C1C1D">
      <w:pPr>
        <w:spacing w:after="100" w:line="204" w:lineRule="auto"/>
        <w:ind w:firstLine="720"/>
        <w:rPr>
          <w:lang w:val="fr-CH"/>
        </w:rPr>
      </w:pPr>
      <w:r w:rsidRPr="00FD7330">
        <w:rPr>
          <w:rFonts w:hint="cs"/>
          <w:i/>
          <w:iCs/>
          <w:rtl/>
          <w:lang w:val="fr-CH"/>
        </w:rPr>
        <w:t>وإذ يشير</w:t>
      </w:r>
      <w:r w:rsidRPr="00FD7330">
        <w:rPr>
          <w:rFonts w:hint="cs"/>
          <w:rtl/>
          <w:lang w:val="fr-CH"/>
        </w:rPr>
        <w:t xml:space="preserve"> إلى الفقرة 14 من المقرر 13/23، التي دعا فيها الأطراف، والحكومات الأخرى والمنظمات ذات الصلة التي يمكنها القيام بذلك إلى أن توفر الموارد المالية والتقنية والبشرية لدعم بناء القدرات والتعاون التقني والعلمي</w:t>
      </w:r>
      <w:r>
        <w:rPr>
          <w:rFonts w:hint="cs"/>
          <w:rtl/>
          <w:lang w:val="fr-CH"/>
        </w:rPr>
        <w:t xml:space="preserve"> </w:t>
      </w:r>
      <w:r w:rsidRPr="00FD7330">
        <w:rPr>
          <w:rFonts w:hint="cs"/>
          <w:rtl/>
          <w:lang w:val="fr-CH"/>
        </w:rPr>
        <w:t xml:space="preserve">للأطراف من البلدان النامية، ولاسيما </w:t>
      </w:r>
      <w:r w:rsidRPr="00FD7330">
        <w:rPr>
          <w:rtl/>
          <w:lang w:val="fr-CH"/>
        </w:rPr>
        <w:t>أقل البلدان نمواً</w:t>
      </w:r>
      <w:r w:rsidRPr="00FD7330">
        <w:rPr>
          <w:rFonts w:hint="cs"/>
          <w:rtl/>
          <w:lang w:val="fr-CH"/>
        </w:rPr>
        <w:t xml:space="preserve">، </w:t>
      </w:r>
      <w:r w:rsidRPr="00FD7330">
        <w:rPr>
          <w:rtl/>
          <w:lang w:val="fr-CH"/>
        </w:rPr>
        <w:t>والدول الجزرية الصغيرة</w:t>
      </w:r>
      <w:r w:rsidRPr="00FD7330">
        <w:rPr>
          <w:rFonts w:hint="cs"/>
          <w:rtl/>
          <w:lang w:val="fr-CH"/>
        </w:rPr>
        <w:t xml:space="preserve"> النامية،</w:t>
      </w:r>
      <w:r w:rsidRPr="00FD7330">
        <w:rPr>
          <w:rtl/>
          <w:lang w:val="fr-CH"/>
        </w:rPr>
        <w:t xml:space="preserve"> والبلدان التي تمر اقتصاداتها بمرحلة انتقال</w:t>
      </w:r>
      <w:r w:rsidRPr="00FD7330">
        <w:rPr>
          <w:rFonts w:hint="cs"/>
          <w:rtl/>
          <w:lang w:val="fr-CH"/>
        </w:rPr>
        <w:t>ية</w:t>
      </w:r>
      <w:r>
        <w:rPr>
          <w:rFonts w:hint="cs"/>
          <w:rtl/>
          <w:lang w:val="fr-CH"/>
        </w:rPr>
        <w:t>، والشعوب الأصلية والمجتمعات المحلية</w:t>
      </w:r>
    </w:p>
    <w:p w:rsidR="001C1C1D" w:rsidRPr="00FD7330" w:rsidRDefault="001C1C1D" w:rsidP="00CD26C5">
      <w:pPr>
        <w:numPr>
          <w:ilvl w:val="0"/>
          <w:numId w:val="71"/>
        </w:numPr>
        <w:spacing w:after="100" w:line="204" w:lineRule="auto"/>
        <w:ind w:left="0" w:firstLine="720"/>
        <w:rPr>
          <w:rFonts w:eastAsia="Malgun Gothic"/>
          <w:lang w:val="fr-CH"/>
        </w:rPr>
      </w:pPr>
      <w:r w:rsidRPr="00FD7330">
        <w:rPr>
          <w:rFonts w:eastAsia="Malgun Gothic"/>
          <w:i/>
          <w:iCs/>
          <w:rtl/>
          <w:lang w:val="fr-CH"/>
        </w:rPr>
        <w:t>يطلب</w:t>
      </w:r>
      <w:r w:rsidRPr="00FD7330">
        <w:rPr>
          <w:rFonts w:eastAsia="Malgun Gothic"/>
          <w:rtl/>
          <w:lang w:val="fr-CH"/>
        </w:rPr>
        <w:t xml:space="preserve"> إلى الأمينة التنفيذية، رهنا بتوافر الأموال</w:t>
      </w:r>
      <w:r w:rsidRPr="00FD7330">
        <w:rPr>
          <w:rFonts w:eastAsia="Malgun Gothic" w:hint="cs"/>
          <w:rtl/>
          <w:lang w:val="fr-CH"/>
        </w:rPr>
        <w:t>:</w:t>
      </w:r>
    </w:p>
    <w:p w:rsidR="001C1C1D" w:rsidRPr="00FD7330" w:rsidRDefault="001C1C1D" w:rsidP="001C1C1D">
      <w:pPr>
        <w:spacing w:after="100" w:line="204" w:lineRule="auto"/>
        <w:ind w:firstLine="720"/>
        <w:rPr>
          <w:rFonts w:eastAsia="Malgun Gothic"/>
          <w:rtl/>
          <w:lang w:val="fr-CH"/>
        </w:rPr>
      </w:pPr>
      <w:r w:rsidRPr="00FD7330">
        <w:rPr>
          <w:rFonts w:eastAsia="Malgun Gothic" w:hint="cs"/>
          <w:rtl/>
          <w:lang w:val="fr-CH"/>
        </w:rPr>
        <w:t>(أ)</w:t>
      </w:r>
      <w:r w:rsidRPr="00FD7330">
        <w:rPr>
          <w:rFonts w:eastAsia="Malgun Gothic"/>
          <w:rtl/>
          <w:lang w:val="fr-CH"/>
        </w:rPr>
        <w:tab/>
      </w:r>
      <w:r w:rsidRPr="00FD7330">
        <w:rPr>
          <w:rFonts w:eastAsia="Malgun Gothic" w:hint="cs"/>
          <w:rtl/>
          <w:lang w:val="fr-CH"/>
        </w:rPr>
        <w:t xml:space="preserve">أن تكلف بإجراء دراسة لتوفير قاعدة معلومات لتحضير الإطار </w:t>
      </w:r>
      <w:r>
        <w:rPr>
          <w:rFonts w:eastAsia="Malgun Gothic" w:hint="cs"/>
          <w:rtl/>
          <w:lang w:val="fr-CH"/>
        </w:rPr>
        <w:t xml:space="preserve">الاستراتيجي الطويل الأجل لبناء القدرات بعد عام 2020 </w:t>
      </w:r>
      <w:r w:rsidRPr="00FD7330">
        <w:rPr>
          <w:rFonts w:eastAsia="Malgun Gothic" w:hint="cs"/>
          <w:rtl/>
          <w:lang w:val="fr-CH"/>
        </w:rPr>
        <w:t>وفقا للاختصاصات الواردة في التذييل بالمرفق أدناه؛</w:t>
      </w:r>
    </w:p>
    <w:p w:rsidR="001C1C1D" w:rsidRPr="00FD7330" w:rsidRDefault="001C1C1D" w:rsidP="001C1C1D">
      <w:pPr>
        <w:spacing w:after="100" w:line="204" w:lineRule="auto"/>
        <w:ind w:firstLine="720"/>
        <w:rPr>
          <w:rFonts w:eastAsia="Malgun Gothic"/>
          <w:rtl/>
          <w:lang w:val="fr-CH"/>
        </w:rPr>
      </w:pPr>
      <w:r w:rsidRPr="00FD7330">
        <w:rPr>
          <w:rFonts w:eastAsia="Malgun Gothic" w:hint="cs"/>
          <w:rtl/>
          <w:lang w:val="fr-CH"/>
        </w:rPr>
        <w:t>(ب)</w:t>
      </w:r>
      <w:r w:rsidRPr="00FD7330">
        <w:rPr>
          <w:rFonts w:eastAsia="Malgun Gothic"/>
          <w:rtl/>
          <w:lang w:val="fr-CH"/>
        </w:rPr>
        <w:tab/>
        <w:t xml:space="preserve">أن </w:t>
      </w:r>
      <w:r w:rsidRPr="00FD7330">
        <w:rPr>
          <w:rFonts w:eastAsia="Malgun Gothic" w:hint="cs"/>
          <w:rtl/>
          <w:lang w:val="fr-CH"/>
        </w:rPr>
        <w:t>ت</w:t>
      </w:r>
      <w:r w:rsidRPr="00FD7330">
        <w:rPr>
          <w:rFonts w:eastAsia="Malgun Gothic"/>
          <w:rtl/>
          <w:lang w:val="fr-CH"/>
        </w:rPr>
        <w:t xml:space="preserve">درج في التقييم المستقل </w:t>
      </w:r>
      <w:r w:rsidRPr="00FD7330">
        <w:rPr>
          <w:rFonts w:eastAsia="Malgun Gothic" w:hint="cs"/>
          <w:rtl/>
          <w:lang w:val="fr-CH"/>
        </w:rPr>
        <w:t>لآثار</w:t>
      </w:r>
      <w:r w:rsidRPr="00FD7330">
        <w:rPr>
          <w:rFonts w:eastAsia="Malgun Gothic"/>
          <w:rtl/>
          <w:lang w:val="fr-CH"/>
        </w:rPr>
        <w:t xml:space="preserve"> ونتائج وفعالية خطة العمل قصيرة الأج</w:t>
      </w:r>
      <w:r w:rsidRPr="00FD7330">
        <w:rPr>
          <w:rFonts w:eastAsia="Malgun Gothic" w:hint="cs"/>
          <w:rtl/>
          <w:lang w:val="fr-CH"/>
        </w:rPr>
        <w:t>ل (2017-2020</w:t>
      </w:r>
      <w:r w:rsidRPr="00FD7330">
        <w:rPr>
          <w:rFonts w:eastAsia="Malgun Gothic"/>
          <w:rtl/>
          <w:lang w:val="fr-CH"/>
        </w:rPr>
        <w:t>) المطلوبة في الفقرة 15(ز) من المقرر 13/</w:t>
      </w:r>
      <w:r w:rsidRPr="00FD7330">
        <w:rPr>
          <w:rFonts w:eastAsia="Malgun Gothic" w:hint="cs"/>
          <w:rtl/>
          <w:lang w:val="fr-CH"/>
        </w:rPr>
        <w:t>23،</w:t>
      </w:r>
      <w:r w:rsidRPr="00FD7330">
        <w:rPr>
          <w:rFonts w:eastAsia="Malgun Gothic"/>
          <w:rtl/>
          <w:lang w:val="fr-CH"/>
        </w:rPr>
        <w:t xml:space="preserve"> رصد وتقييم نتائج وفعالية أنشطة بناء القدرات الجارية التي تدعمها وتيسرها الأمانة</w:t>
      </w:r>
      <w:r w:rsidRPr="00FD7330">
        <w:rPr>
          <w:rFonts w:eastAsia="Malgun Gothic" w:hint="cs"/>
          <w:rtl/>
          <w:lang w:val="fr-CH"/>
        </w:rPr>
        <w:t xml:space="preserve"> في ضوء المساهمة في إنجاز أهداف أيشي للتنوع البيولوجي</w:t>
      </w:r>
      <w:r w:rsidRPr="00FD7330">
        <w:rPr>
          <w:rFonts w:eastAsia="Malgun Gothic"/>
          <w:rtl/>
          <w:lang w:val="fr-CH"/>
        </w:rPr>
        <w:t>؛</w:t>
      </w:r>
    </w:p>
    <w:p w:rsidR="001C1C1D" w:rsidRPr="00FD7330" w:rsidRDefault="001C1C1D" w:rsidP="001C1C1D">
      <w:pPr>
        <w:spacing w:after="100" w:line="204" w:lineRule="auto"/>
        <w:ind w:firstLine="720"/>
        <w:rPr>
          <w:rFonts w:eastAsia="Malgun Gothic"/>
          <w:rtl/>
          <w:lang w:val="fr-CH"/>
        </w:rPr>
      </w:pPr>
      <w:r w:rsidRPr="00FD7330">
        <w:rPr>
          <w:rFonts w:eastAsia="Malgun Gothic" w:hint="cs"/>
          <w:rtl/>
          <w:lang w:val="fr-CH"/>
        </w:rPr>
        <w:t>(ج)</w:t>
      </w:r>
      <w:r w:rsidRPr="00FD7330">
        <w:rPr>
          <w:rFonts w:eastAsia="Malgun Gothic"/>
          <w:rtl/>
          <w:lang w:val="fr-CH"/>
        </w:rPr>
        <w:tab/>
      </w:r>
      <w:r w:rsidRPr="00FD7330">
        <w:rPr>
          <w:rFonts w:eastAsia="Malgun Gothic" w:hint="cs"/>
          <w:rtl/>
          <w:lang w:val="fr-CH"/>
        </w:rPr>
        <w:t>أن تنظم، ب</w:t>
      </w:r>
      <w:r w:rsidRPr="00FD7330">
        <w:rPr>
          <w:rFonts w:eastAsia="Malgun Gothic"/>
          <w:rtl/>
          <w:lang w:val="fr-CH"/>
        </w:rPr>
        <w:t xml:space="preserve">التزامن مع </w:t>
      </w:r>
      <w:r w:rsidRPr="00FD7330">
        <w:rPr>
          <w:rFonts w:eastAsia="Malgun Gothic" w:hint="cs"/>
          <w:rtl/>
          <w:lang w:val="fr-CH"/>
        </w:rPr>
        <w:t>ال</w:t>
      </w:r>
      <w:r w:rsidRPr="00FD7330">
        <w:rPr>
          <w:rFonts w:eastAsia="Malgun Gothic"/>
          <w:rtl/>
          <w:lang w:val="fr-CH"/>
        </w:rPr>
        <w:t xml:space="preserve">عملية </w:t>
      </w:r>
      <w:r w:rsidRPr="00FD7330">
        <w:rPr>
          <w:rFonts w:eastAsia="Malgun Gothic" w:hint="cs"/>
          <w:rtl/>
          <w:lang w:val="fr-CH"/>
        </w:rPr>
        <w:t xml:space="preserve">التحضيرية </w:t>
      </w:r>
      <w:r>
        <w:rPr>
          <w:rFonts w:eastAsia="Malgun Gothic" w:hint="cs"/>
          <w:rtl/>
          <w:lang w:val="fr-CH"/>
        </w:rPr>
        <w:t>ل</w:t>
      </w:r>
      <w:r w:rsidRPr="00FD7330">
        <w:rPr>
          <w:rFonts w:eastAsia="Malgun Gothic" w:hint="cs"/>
          <w:rtl/>
          <w:lang w:val="fr-CH"/>
        </w:rPr>
        <w:t>ل</w:t>
      </w:r>
      <w:r w:rsidRPr="00FD7330">
        <w:rPr>
          <w:rFonts w:eastAsia="Malgun Gothic"/>
          <w:rtl/>
          <w:lang w:val="fr-CH"/>
        </w:rPr>
        <w:t>إطار ا</w:t>
      </w:r>
      <w:r>
        <w:rPr>
          <w:rFonts w:eastAsia="Malgun Gothic" w:hint="cs"/>
          <w:rtl/>
          <w:lang w:val="fr-CH"/>
        </w:rPr>
        <w:t>لعالمي ل</w:t>
      </w:r>
      <w:r w:rsidRPr="00FD7330">
        <w:rPr>
          <w:rFonts w:eastAsia="Malgun Gothic"/>
          <w:rtl/>
          <w:lang w:val="fr-CH"/>
        </w:rPr>
        <w:t>لتنوع البيولوجي لما بعد</w:t>
      </w:r>
      <w:r w:rsidRPr="00FD7330">
        <w:rPr>
          <w:rFonts w:eastAsia="Malgun Gothic" w:hint="cs"/>
          <w:rtl/>
          <w:lang w:val="fr-CH"/>
        </w:rPr>
        <w:t xml:space="preserve"> عام</w:t>
      </w:r>
      <w:r w:rsidRPr="00FD7330">
        <w:rPr>
          <w:rFonts w:eastAsia="Malgun Gothic"/>
          <w:rtl/>
          <w:lang w:val="fr-CH"/>
        </w:rPr>
        <w:t xml:space="preserve"> 2020، حلقات عمل </w:t>
      </w:r>
      <w:r w:rsidRPr="00FD7330">
        <w:rPr>
          <w:rFonts w:eastAsia="Malgun Gothic" w:hint="cs"/>
          <w:rtl/>
          <w:lang w:val="fr-CH"/>
        </w:rPr>
        <w:t>تشاورية</w:t>
      </w:r>
      <w:r w:rsidRPr="00FD7330">
        <w:rPr>
          <w:rFonts w:eastAsia="Malgun Gothic"/>
          <w:rtl/>
          <w:lang w:val="fr-CH"/>
        </w:rPr>
        <w:t xml:space="preserve"> إقليمية </w:t>
      </w:r>
      <w:r w:rsidRPr="00FD7330">
        <w:rPr>
          <w:rFonts w:eastAsia="Malgun Gothic" w:hint="cs"/>
          <w:rtl/>
          <w:lang w:val="fr-CH"/>
        </w:rPr>
        <w:t xml:space="preserve">ومحددة أصحاب المصلحة </w:t>
      </w:r>
      <w:r w:rsidRPr="00FD7330">
        <w:rPr>
          <w:rFonts w:eastAsia="Malgun Gothic"/>
          <w:rtl/>
          <w:lang w:val="fr-CH"/>
        </w:rPr>
        <w:t>ومنتديات النقاش عبر الإنترنت لتمكين الأطراف في الاتفاقية و</w:t>
      </w:r>
      <w:r w:rsidRPr="00FD7330">
        <w:rPr>
          <w:rFonts w:eastAsia="Malgun Gothic" w:hint="cs"/>
          <w:rtl/>
          <w:lang w:val="fr-CH"/>
        </w:rPr>
        <w:t xml:space="preserve">الأطراف في </w:t>
      </w:r>
      <w:r w:rsidRPr="00FD7330">
        <w:rPr>
          <w:rFonts w:eastAsia="Malgun Gothic"/>
          <w:rtl/>
          <w:lang w:val="fr-CH"/>
        </w:rPr>
        <w:t xml:space="preserve">بروتوكوليها، فضلاً عن </w:t>
      </w:r>
      <w:r w:rsidRPr="00FD7330">
        <w:rPr>
          <w:rFonts w:eastAsia="Malgun Gothic" w:hint="cs"/>
          <w:rtl/>
          <w:lang w:val="fr-CH"/>
        </w:rPr>
        <w:t>الشعوب</w:t>
      </w:r>
      <w:r w:rsidRPr="00FD7330">
        <w:rPr>
          <w:rFonts w:eastAsia="Malgun Gothic"/>
          <w:rtl/>
          <w:lang w:val="fr-CH"/>
        </w:rPr>
        <w:t xml:space="preserve"> الأصلي</w:t>
      </w:r>
      <w:r w:rsidRPr="00FD7330">
        <w:rPr>
          <w:rFonts w:eastAsia="Malgun Gothic" w:hint="cs"/>
          <w:rtl/>
          <w:lang w:val="fr-CH"/>
        </w:rPr>
        <w:t>ة</w:t>
      </w:r>
      <w:r w:rsidRPr="00FD7330">
        <w:rPr>
          <w:rFonts w:eastAsia="Malgun Gothic"/>
          <w:rtl/>
          <w:lang w:val="fr-CH"/>
        </w:rPr>
        <w:t xml:space="preserve"> والمجتمعات المحلية والمنظمات ذات</w:t>
      </w:r>
      <w:r w:rsidRPr="00FD7330">
        <w:rPr>
          <w:rFonts w:eastAsia="Malgun Gothic" w:hint="cs"/>
          <w:rtl/>
          <w:lang w:val="fr-CH"/>
        </w:rPr>
        <w:t xml:space="preserve"> الصلة، بما في ذلك منظمات النساء والشباب، </w:t>
      </w:r>
      <w:r w:rsidRPr="00FD7330">
        <w:rPr>
          <w:rFonts w:eastAsia="Malgun Gothic"/>
          <w:rtl/>
          <w:lang w:val="fr-CH"/>
        </w:rPr>
        <w:t xml:space="preserve">من المساهمة في </w:t>
      </w:r>
      <w:r w:rsidRPr="00FD7330">
        <w:rPr>
          <w:rFonts w:eastAsia="Malgun Gothic" w:hint="cs"/>
          <w:rtl/>
          <w:lang w:val="fr-CH"/>
        </w:rPr>
        <w:t>تحضير</w:t>
      </w:r>
      <w:r w:rsidRPr="00FD7330">
        <w:rPr>
          <w:rFonts w:eastAsia="Malgun Gothic"/>
          <w:rtl/>
          <w:lang w:val="fr-CH"/>
        </w:rPr>
        <w:t xml:space="preserve"> مشروع الإطار الاستراتيجي</w:t>
      </w:r>
      <w:r w:rsidRPr="00FD7330">
        <w:rPr>
          <w:rFonts w:eastAsia="Malgun Gothic" w:hint="cs"/>
          <w:rtl/>
          <w:lang w:val="fr-CH"/>
        </w:rPr>
        <w:t xml:space="preserve"> الطويل الأجل لبناء القدرات ل</w:t>
      </w:r>
      <w:r w:rsidRPr="00FD7330">
        <w:rPr>
          <w:rFonts w:eastAsia="Malgun Gothic"/>
          <w:rtl/>
          <w:lang w:val="fr-CH"/>
        </w:rPr>
        <w:t>ما بعد عام 2020، مع مراعاة تجميع الآراء والمعلومات الواردة؛</w:t>
      </w:r>
    </w:p>
    <w:p w:rsidR="001C1C1D" w:rsidRPr="00FD7330" w:rsidRDefault="001C1C1D" w:rsidP="001C1C1D">
      <w:pPr>
        <w:spacing w:after="100" w:line="204" w:lineRule="auto"/>
        <w:ind w:firstLine="720"/>
        <w:rPr>
          <w:rFonts w:eastAsia="Malgun Gothic"/>
          <w:lang w:val="fr-CH"/>
        </w:rPr>
      </w:pPr>
      <w:r w:rsidRPr="00FD7330">
        <w:rPr>
          <w:rFonts w:eastAsia="Malgun Gothic" w:hint="cs"/>
          <w:rtl/>
          <w:lang w:val="fr-CH"/>
        </w:rPr>
        <w:t>(د)</w:t>
      </w:r>
      <w:r w:rsidRPr="00FD7330">
        <w:rPr>
          <w:rFonts w:eastAsia="Malgun Gothic"/>
          <w:rtl/>
          <w:lang w:val="fr-CH"/>
        </w:rPr>
        <w:tab/>
      </w:r>
      <w:r w:rsidRPr="00FD7330">
        <w:rPr>
          <w:rFonts w:eastAsia="Malgun Gothic" w:hint="cs"/>
          <w:rtl/>
          <w:lang w:val="fr-CH"/>
        </w:rPr>
        <w:t xml:space="preserve">أن تقدم مشروع إطار استراتيجي طويل الأجل لبناء القدرات بعد عام 2020 الذي يتواءم مع </w:t>
      </w:r>
      <w:r>
        <w:rPr>
          <w:rFonts w:eastAsia="Malgun Gothic" w:hint="cs"/>
          <w:rtl/>
          <w:lang w:val="fr-CH"/>
        </w:rPr>
        <w:t>مشروع ال</w:t>
      </w:r>
      <w:r w:rsidRPr="00FD7330">
        <w:rPr>
          <w:rFonts w:eastAsia="Malgun Gothic" w:hint="cs"/>
          <w:rtl/>
          <w:lang w:val="fr-CH"/>
        </w:rPr>
        <w:t>إ</w:t>
      </w:r>
      <w:r w:rsidRPr="00FD7330">
        <w:rPr>
          <w:rFonts w:eastAsia="Malgun Gothic"/>
          <w:rtl/>
          <w:lang w:val="fr-CH"/>
        </w:rPr>
        <w:t>طار ا</w:t>
      </w:r>
      <w:r>
        <w:rPr>
          <w:rFonts w:eastAsia="Malgun Gothic" w:hint="cs"/>
          <w:rtl/>
          <w:lang w:val="fr-CH"/>
        </w:rPr>
        <w:t>لعالمي ل</w:t>
      </w:r>
      <w:r w:rsidRPr="00FD7330">
        <w:rPr>
          <w:rFonts w:eastAsia="Malgun Gothic"/>
          <w:rtl/>
          <w:lang w:val="fr-CH"/>
        </w:rPr>
        <w:t xml:space="preserve">لتنوع البيولوجي لما بعد 2020 </w:t>
      </w:r>
      <w:r w:rsidRPr="00FD7330">
        <w:rPr>
          <w:rFonts w:eastAsia="Malgun Gothic" w:hint="cs"/>
          <w:rtl/>
          <w:lang w:val="fr-CH"/>
        </w:rPr>
        <w:t>وخطة التنمية المستدامة لعام 2030</w:t>
      </w:r>
      <w:r w:rsidRPr="00FD7330">
        <w:rPr>
          <w:rFonts w:eastAsia="Malgun Gothic"/>
          <w:vertAlign w:val="superscript"/>
          <w:rtl/>
          <w:lang w:val="fr-CH"/>
        </w:rPr>
        <w:footnoteReference w:id="275"/>
      </w:r>
      <w:r w:rsidRPr="00FD7330">
        <w:rPr>
          <w:rFonts w:eastAsia="Malgun Gothic" w:hint="cs"/>
          <w:rtl/>
          <w:lang w:val="fr-CH"/>
        </w:rPr>
        <w:t xml:space="preserve"> </w:t>
      </w:r>
      <w:r w:rsidRPr="00FD7330">
        <w:rPr>
          <w:rFonts w:eastAsia="Malgun Gothic"/>
          <w:rtl/>
          <w:lang w:val="fr-CH"/>
        </w:rPr>
        <w:t>كي تنظر فيه الهيئة الفرعية للتنفيذ في اجتماعها الثالث ولكي ينظر فيه بعد ذلك مؤتمر الأطراف في اجتماعه الخامس عشر؛</w:t>
      </w:r>
    </w:p>
    <w:p w:rsidR="001C1C1D" w:rsidRDefault="001C1C1D" w:rsidP="00CD26C5">
      <w:pPr>
        <w:numPr>
          <w:ilvl w:val="0"/>
          <w:numId w:val="71"/>
        </w:numPr>
        <w:spacing w:after="100" w:line="204" w:lineRule="auto"/>
        <w:ind w:left="0" w:firstLine="720"/>
        <w:rPr>
          <w:rFonts w:eastAsia="Malgun Gothic"/>
          <w:lang w:val="fr-CH"/>
        </w:rPr>
      </w:pPr>
      <w:r w:rsidRPr="00FD7330">
        <w:rPr>
          <w:rFonts w:eastAsia="Malgun Gothic"/>
          <w:i/>
          <w:iCs/>
          <w:rtl/>
          <w:lang w:val="fr-CH"/>
        </w:rPr>
        <w:t>يدعو</w:t>
      </w:r>
      <w:r w:rsidRPr="00FD7330">
        <w:rPr>
          <w:rFonts w:eastAsia="Malgun Gothic"/>
          <w:rtl/>
          <w:lang w:val="fr-CH"/>
        </w:rPr>
        <w:t xml:space="preserve"> الأطراف، والحكومات الأخرى والمنظمات ذات الصلة</w:t>
      </w:r>
      <w:r w:rsidRPr="00FD7330">
        <w:rPr>
          <w:rFonts w:eastAsia="Malgun Gothic" w:hint="cs"/>
          <w:rtl/>
          <w:lang w:val="fr-CH"/>
        </w:rPr>
        <w:t>، حسب الاقتضاء،</w:t>
      </w:r>
      <w:r w:rsidRPr="00FD7330">
        <w:rPr>
          <w:rFonts w:eastAsia="Malgun Gothic"/>
          <w:rtl/>
          <w:lang w:val="fr-CH"/>
        </w:rPr>
        <w:t xml:space="preserve"> إلى تقديم الدعم المالي والتقني لتنظيم حلقات العمل التشا</w:t>
      </w:r>
      <w:r>
        <w:rPr>
          <w:rFonts w:eastAsia="Malgun Gothic" w:hint="cs"/>
          <w:rtl/>
          <w:lang w:val="fr-CH"/>
        </w:rPr>
        <w:t>و</w:t>
      </w:r>
      <w:r w:rsidRPr="00FD7330">
        <w:rPr>
          <w:rFonts w:eastAsia="Malgun Gothic"/>
          <w:rtl/>
          <w:lang w:val="fr-CH"/>
        </w:rPr>
        <w:t>رية الإقليمية ومنتديات النقاش على الإنترنت المشار إليها أعلاه؛</w:t>
      </w:r>
    </w:p>
    <w:p w:rsidR="001C1C1D" w:rsidRPr="00FD7330" w:rsidRDefault="001C1C1D" w:rsidP="00CD26C5">
      <w:pPr>
        <w:numPr>
          <w:ilvl w:val="0"/>
          <w:numId w:val="71"/>
        </w:numPr>
        <w:spacing w:after="100" w:line="204" w:lineRule="auto"/>
        <w:ind w:left="0" w:firstLine="720"/>
        <w:rPr>
          <w:rFonts w:eastAsia="Malgun Gothic"/>
          <w:rtl/>
          <w:lang w:val="fr-CH"/>
        </w:rPr>
      </w:pPr>
      <w:r>
        <w:rPr>
          <w:rFonts w:eastAsia="Malgun Gothic" w:hint="cs"/>
          <w:i/>
          <w:iCs/>
          <w:rtl/>
          <w:lang w:val="fr-CH"/>
        </w:rPr>
        <w:lastRenderedPageBreak/>
        <w:t xml:space="preserve">يطلب إلى </w:t>
      </w:r>
      <w:r>
        <w:rPr>
          <w:rFonts w:eastAsia="Malgun Gothic" w:hint="cs"/>
          <w:rtl/>
          <w:lang w:val="fr-CH"/>
        </w:rPr>
        <w:t>الأمينة التنفيذية أن تواصل تحديد أوجه التآزر ومجالات التعاون مع اتفاقيات ريو والاتفاقيات المتعلقة بالتنوع البيولوجي بغية دعم الأنشطة المشتركة لبناء القدرات للنظر فيها عند إعداد الإطار العالمي للتنوع البيولوجي لما بعد عام 2020؛</w:t>
      </w:r>
    </w:p>
    <w:p w:rsidR="001C1C1D" w:rsidRPr="00FD7330" w:rsidRDefault="001C1C1D" w:rsidP="001C1C1D">
      <w:pPr>
        <w:spacing w:after="100" w:line="204" w:lineRule="auto"/>
        <w:jc w:val="center"/>
        <w:rPr>
          <w:b/>
          <w:bCs/>
          <w:rtl/>
          <w:lang w:val="fr-CH"/>
        </w:rPr>
      </w:pPr>
      <w:r>
        <w:rPr>
          <w:rFonts w:hint="cs"/>
          <w:b/>
          <w:bCs/>
          <w:rtl/>
          <w:lang w:val="fr-CH"/>
        </w:rPr>
        <w:t>باء-</w:t>
      </w:r>
      <w:r>
        <w:rPr>
          <w:rFonts w:hint="cs"/>
          <w:b/>
          <w:bCs/>
          <w:rtl/>
          <w:lang w:val="fr-CH"/>
        </w:rPr>
        <w:tab/>
      </w:r>
      <w:r w:rsidRPr="00FD7330">
        <w:rPr>
          <w:b/>
          <w:bCs/>
          <w:rtl/>
          <w:lang w:val="fr-CH"/>
        </w:rPr>
        <w:t>التعاون التقني والعلمي</w:t>
      </w:r>
    </w:p>
    <w:p w:rsidR="001C1C1D" w:rsidRPr="00FD7330" w:rsidRDefault="001C1C1D" w:rsidP="001C1C1D">
      <w:pPr>
        <w:spacing w:after="100" w:line="204" w:lineRule="auto"/>
        <w:ind w:firstLine="720"/>
        <w:rPr>
          <w:rtl/>
          <w:lang w:val="fr-CH"/>
        </w:rPr>
      </w:pPr>
      <w:r w:rsidRPr="00FD7330">
        <w:rPr>
          <w:i/>
          <w:iCs/>
          <w:rtl/>
          <w:lang w:val="fr-CH"/>
        </w:rPr>
        <w:t>إذ يشير</w:t>
      </w:r>
      <w:r w:rsidRPr="00FD7330">
        <w:rPr>
          <w:rtl/>
          <w:lang w:val="fr-CH"/>
        </w:rPr>
        <w:t xml:space="preserve"> إلى المقرّرات 13/23، </w:t>
      </w:r>
      <w:r w:rsidRPr="00FD7330">
        <w:rPr>
          <w:rFonts w:hint="cs"/>
          <w:rtl/>
          <w:lang w:val="fr-CH"/>
        </w:rPr>
        <w:t xml:space="preserve">و13/31، </w:t>
      </w:r>
      <w:r w:rsidRPr="00FD7330">
        <w:rPr>
          <w:rtl/>
          <w:lang w:val="fr-CH"/>
        </w:rPr>
        <w:t>و12/2، و10/16، و9/14، و8/12، و7/29 فيما يخص التعاون التقني والعلمي ونقل التكنولوجيا،</w:t>
      </w:r>
    </w:p>
    <w:p w:rsidR="001C1C1D" w:rsidRDefault="001C1C1D" w:rsidP="001C1C1D">
      <w:pPr>
        <w:spacing w:after="100" w:line="204" w:lineRule="auto"/>
        <w:ind w:firstLine="720"/>
        <w:rPr>
          <w:rtl/>
          <w:lang w:val="fr-CH"/>
        </w:rPr>
      </w:pPr>
      <w:r w:rsidRPr="00FD7330">
        <w:rPr>
          <w:rFonts w:hint="cs"/>
          <w:i/>
          <w:iCs/>
          <w:rtl/>
          <w:lang w:val="fr-CH"/>
        </w:rPr>
        <w:t xml:space="preserve">وإذ </w:t>
      </w:r>
      <w:r w:rsidRPr="00FD7330">
        <w:rPr>
          <w:i/>
          <w:iCs/>
          <w:rtl/>
          <w:lang w:val="fr-CH"/>
        </w:rPr>
        <w:t>يحيط علما</w:t>
      </w:r>
      <w:r w:rsidRPr="00FD7330">
        <w:rPr>
          <w:rtl/>
          <w:lang w:val="fr-CH"/>
        </w:rPr>
        <w:t xml:space="preserve"> بالتقرير بشأن التقدم المحرز في تعزيز وت</w:t>
      </w:r>
      <w:r w:rsidRPr="00FD7330">
        <w:rPr>
          <w:rFonts w:hint="cs"/>
          <w:rtl/>
          <w:lang w:val="fr-CH"/>
        </w:rPr>
        <w:t>يسير</w:t>
      </w:r>
      <w:r w:rsidRPr="00FD7330">
        <w:rPr>
          <w:rtl/>
          <w:lang w:val="fr-CH"/>
        </w:rPr>
        <w:t xml:space="preserve"> التعاون التقني والعلمي، بما في ذلك الإنجازات التي تحققت في إطار مبادرة الجسر البيولوجي</w:t>
      </w:r>
      <w:r w:rsidRPr="00FD7330">
        <w:rPr>
          <w:rFonts w:hint="cs"/>
          <w:rtl/>
          <w:lang w:val="fr-CH"/>
        </w:rPr>
        <w:t>،</w:t>
      </w:r>
      <w:r w:rsidRPr="00FD7330">
        <w:rPr>
          <w:sz w:val="20"/>
          <w:vertAlign w:val="superscript"/>
          <w:rtl/>
          <w:lang w:val="fr-CH"/>
        </w:rPr>
        <w:footnoteReference w:id="276"/>
      </w:r>
    </w:p>
    <w:p w:rsidR="001C1C1D" w:rsidRDefault="001C1C1D" w:rsidP="001C1C1D">
      <w:pPr>
        <w:spacing w:after="100" w:line="204" w:lineRule="auto"/>
        <w:ind w:firstLine="720"/>
        <w:rPr>
          <w:rtl/>
          <w:lang w:val="fr-CH"/>
        </w:rPr>
      </w:pPr>
      <w:r>
        <w:rPr>
          <w:rFonts w:hint="cs"/>
          <w:i/>
          <w:iCs/>
          <w:rtl/>
          <w:lang w:val="fr-CH"/>
        </w:rPr>
        <w:t xml:space="preserve">وإذ يدرك </w:t>
      </w:r>
      <w:r>
        <w:rPr>
          <w:rFonts w:hint="cs"/>
          <w:rtl/>
          <w:lang w:val="fr-CH"/>
        </w:rPr>
        <w:t xml:space="preserve">أهمية التصنيف، والاستشعار عن بُعد، وتحليلات السيناريوهات والنمذجة لتوفير الأسس العلمية للإجراءات المُدرجة في الإطار العالمي للتنوع البيولوجي لما بعد عام 2020 دعما لرؤية عام 2050، </w:t>
      </w:r>
      <w:r w:rsidRPr="002142E6">
        <w:rPr>
          <w:rFonts w:hint="cs"/>
          <w:i/>
          <w:iCs/>
          <w:rtl/>
          <w:lang w:val="fr-CH"/>
        </w:rPr>
        <w:t>وإذ يحيط علما</w:t>
      </w:r>
      <w:r>
        <w:rPr>
          <w:rFonts w:hint="cs"/>
          <w:rtl/>
          <w:lang w:val="fr-CH"/>
        </w:rPr>
        <w:t xml:space="preserve"> بتقرير وقائع منتدى المبادرة العالمية للتصنيف،</w:t>
      </w:r>
      <w:r>
        <w:rPr>
          <w:rStyle w:val="FootnoteReference"/>
          <w:rtl/>
          <w:lang w:val="fr-CH"/>
        </w:rPr>
        <w:footnoteReference w:id="277"/>
      </w:r>
    </w:p>
    <w:p w:rsidR="001C1C1D" w:rsidRPr="00FD7330" w:rsidRDefault="001C1C1D" w:rsidP="001C1C1D">
      <w:pPr>
        <w:spacing w:after="100" w:line="204" w:lineRule="auto"/>
        <w:ind w:firstLine="720"/>
        <w:rPr>
          <w:rtl/>
          <w:lang w:val="fr-CH"/>
        </w:rPr>
      </w:pPr>
      <w:r>
        <w:rPr>
          <w:rFonts w:hint="cs"/>
          <w:i/>
          <w:iCs/>
          <w:rtl/>
          <w:lang w:val="fr-CH"/>
        </w:rPr>
        <w:t xml:space="preserve">وإذ يحيط علما </w:t>
      </w:r>
      <w:r>
        <w:rPr>
          <w:rFonts w:hint="cs"/>
          <w:rtl/>
          <w:lang w:val="fr-CH"/>
        </w:rPr>
        <w:t>بالمبادرة التي تهدف إلى تأسيس تحالف لمعارف التنوع البيولوجي فيما بين أصحاب المصلحة يجمعهم التزام مشترك لربط على نحو أفضل المجتمعات، والنظم والعمليات التي تتعامل مع معلومات التنوع البيولوجي؛</w:t>
      </w:r>
      <w:r>
        <w:rPr>
          <w:rStyle w:val="FootnoteReference"/>
          <w:rtl/>
          <w:lang w:val="fr-CH"/>
        </w:rPr>
        <w:footnoteReference w:id="278"/>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sidRPr="005A6EB1">
        <w:rPr>
          <w:rFonts w:cs="Simplified Arabic"/>
          <w:i/>
          <w:iCs/>
          <w:rtl/>
          <w:lang w:val="fr-CH"/>
        </w:rPr>
        <w:t>يدعو</w:t>
      </w:r>
      <w:r w:rsidRPr="005A6EB1">
        <w:rPr>
          <w:rFonts w:cs="Simplified Arabic"/>
          <w:rtl/>
          <w:lang w:val="fr-CH"/>
        </w:rPr>
        <w:t xml:space="preserve"> الأطراف</w:t>
      </w:r>
      <w:r w:rsidRPr="005A6EB1">
        <w:rPr>
          <w:rFonts w:cs="Simplified Arabic" w:hint="cs"/>
          <w:rtl/>
          <w:lang w:val="fr-CH"/>
        </w:rPr>
        <w:t>،</w:t>
      </w:r>
      <w:r w:rsidRPr="005A6EB1">
        <w:rPr>
          <w:rFonts w:cs="Simplified Arabic"/>
          <w:rtl/>
          <w:lang w:val="fr-CH"/>
        </w:rPr>
        <w:t xml:space="preserve"> </w:t>
      </w:r>
      <w:r w:rsidRPr="005A6EB1">
        <w:rPr>
          <w:rFonts w:cs="Simplified Arabic" w:hint="cs"/>
          <w:rtl/>
          <w:lang w:val="fr-CH"/>
        </w:rPr>
        <w:t xml:space="preserve">والحكومات الأخرى </w:t>
      </w:r>
      <w:r w:rsidRPr="005A6EB1">
        <w:rPr>
          <w:rFonts w:cs="Simplified Arabic"/>
          <w:rtl/>
          <w:lang w:val="fr-CH"/>
        </w:rPr>
        <w:t xml:space="preserve">والمنظمات ذات الصلة </w:t>
      </w:r>
      <w:r w:rsidRPr="005A6EB1">
        <w:rPr>
          <w:rFonts w:cs="Simplified Arabic"/>
          <w:rtl/>
        </w:rPr>
        <w:t xml:space="preserve">التي </w:t>
      </w:r>
      <w:r w:rsidRPr="005A6EB1">
        <w:rPr>
          <w:rFonts w:cs="Simplified Arabic" w:hint="cs"/>
          <w:rtl/>
        </w:rPr>
        <w:t>تكون</w:t>
      </w:r>
      <w:r w:rsidRPr="005A6EB1">
        <w:rPr>
          <w:rFonts w:cs="Simplified Arabic"/>
          <w:rtl/>
        </w:rPr>
        <w:t xml:space="preserve"> في وضع يسمح لها بذلك</w:t>
      </w:r>
      <w:r w:rsidRPr="005A6EB1">
        <w:rPr>
          <w:rFonts w:cs="Simplified Arabic" w:hint="cs"/>
          <w:rtl/>
        </w:rPr>
        <w:t>،</w:t>
      </w:r>
      <w:r>
        <w:rPr>
          <w:rFonts w:cs="Simplified Arabic" w:hint="cs"/>
          <w:rtl/>
          <w:lang w:val="fr-CH"/>
        </w:rPr>
        <w:t xml:space="preserve"> إلى</w:t>
      </w:r>
      <w:r w:rsidRPr="005A6EB1">
        <w:rPr>
          <w:rFonts w:cs="Simplified Arabic"/>
          <w:rtl/>
          <w:lang w:val="fr-CH"/>
        </w:rPr>
        <w:t xml:space="preserve"> التسجيل كجهات مقدمة للمساعدة التقنية من خلال </w:t>
      </w:r>
      <w:r w:rsidRPr="005A6EB1">
        <w:rPr>
          <w:rFonts w:cs="Simplified Arabic" w:hint="cs"/>
          <w:rtl/>
          <w:lang w:val="fr-CH"/>
        </w:rPr>
        <w:t>آلية غرفة تبادل المعلومات</w:t>
      </w:r>
      <w:r w:rsidRPr="005A6EB1">
        <w:rPr>
          <w:rFonts w:cs="Simplified Arabic"/>
          <w:rtl/>
          <w:lang w:val="fr-CH"/>
        </w:rPr>
        <w:t>؛</w:t>
      </w:r>
    </w:p>
    <w:p w:rsidR="001C1C1D" w:rsidRDefault="001C1C1D" w:rsidP="00CD26C5">
      <w:pPr>
        <w:pStyle w:val="ListParagraph"/>
        <w:numPr>
          <w:ilvl w:val="0"/>
          <w:numId w:val="74"/>
        </w:numPr>
        <w:bidi/>
        <w:spacing w:after="100" w:line="204" w:lineRule="auto"/>
        <w:ind w:left="0" w:firstLine="720"/>
        <w:rPr>
          <w:rFonts w:cs="Simplified Arabic"/>
          <w:lang w:val="fr-CH"/>
        </w:rPr>
      </w:pPr>
      <w:r w:rsidRPr="005A6EB1">
        <w:rPr>
          <w:rFonts w:cs="Simplified Arabic" w:hint="cs"/>
          <w:i/>
          <w:iCs/>
          <w:rtl/>
          <w:lang w:val="fr-CH"/>
        </w:rPr>
        <w:t xml:space="preserve">يدعو أيضا </w:t>
      </w:r>
      <w:r w:rsidRPr="005A6EB1">
        <w:rPr>
          <w:rFonts w:cs="Simplified Arabic" w:hint="cs"/>
          <w:rtl/>
          <w:lang w:val="fr-CH"/>
        </w:rPr>
        <w:t>الأطراف، والحكومات الأخرى والمنظمات ذات الصلة</w:t>
      </w:r>
      <w:r>
        <w:rPr>
          <w:rFonts w:cs="Simplified Arabic" w:hint="cs"/>
          <w:rtl/>
          <w:lang w:val="fr-CH"/>
        </w:rPr>
        <w:t>،</w:t>
      </w:r>
      <w:r w:rsidRPr="005A6EB1">
        <w:rPr>
          <w:rFonts w:cs="Simplified Arabic" w:hint="cs"/>
          <w:rtl/>
          <w:lang w:val="fr-CH"/>
        </w:rPr>
        <w:t xml:space="preserve"> وفقا للفقرة 4 من المقرر 13/31، إلى مواصلة تعزيز الوصول المفتوح للبيانات المتعلقة بالتنوع البيولوجي التي تيسر بناء القدرات وكذلك التعاون التقني والعلمي؛</w:t>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sidRPr="005A6EB1">
        <w:rPr>
          <w:rFonts w:cs="Simplified Arabic" w:hint="cs"/>
          <w:i/>
          <w:iCs/>
          <w:rtl/>
          <w:lang w:val="fr-CH"/>
        </w:rPr>
        <w:t xml:space="preserve">يدعو </w:t>
      </w:r>
      <w:r w:rsidRPr="005A6EB1">
        <w:rPr>
          <w:rFonts w:cs="Simplified Arabic" w:hint="cs"/>
          <w:rtl/>
          <w:lang w:val="fr-CH"/>
        </w:rPr>
        <w:t>الأطراف من البلدان النامية، عملا بالفقرة 6 من المقرر 13/23، إلى تحديد احتياجاتها وأولوياتها التقنية والعلمية وإبلاغ</w:t>
      </w:r>
      <w:r>
        <w:rPr>
          <w:rFonts w:cs="Simplified Arabic" w:hint="cs"/>
          <w:rtl/>
          <w:lang w:val="fr-CH"/>
        </w:rPr>
        <w:t>ها إلى</w:t>
      </w:r>
      <w:r w:rsidRPr="005A6EB1">
        <w:rPr>
          <w:rFonts w:cs="Simplified Arabic" w:hint="cs"/>
          <w:rtl/>
          <w:lang w:val="fr-CH"/>
        </w:rPr>
        <w:t xml:space="preserve"> </w:t>
      </w:r>
      <w:r>
        <w:rPr>
          <w:rFonts w:cs="Simplified Arabic" w:hint="cs"/>
          <w:rtl/>
          <w:lang w:val="fr-CH"/>
        </w:rPr>
        <w:t>الأمينة التنفيذية</w:t>
      </w:r>
      <w:r w:rsidRPr="005A6EB1">
        <w:rPr>
          <w:rFonts w:cs="Simplified Arabic" w:hint="cs"/>
          <w:rtl/>
          <w:lang w:val="fr-CH"/>
        </w:rPr>
        <w:t>؛</w:t>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sidRPr="005A6EB1">
        <w:rPr>
          <w:rFonts w:cs="Simplified Arabic"/>
          <w:i/>
          <w:iCs/>
          <w:rtl/>
          <w:lang w:val="fr-CH"/>
        </w:rPr>
        <w:t>يدعو</w:t>
      </w:r>
      <w:r w:rsidRPr="005A6EB1">
        <w:rPr>
          <w:rFonts w:cs="Simplified Arabic"/>
          <w:rtl/>
          <w:lang w:val="fr-CH"/>
        </w:rPr>
        <w:t xml:space="preserve"> مقدمي المساعدة</w:t>
      </w:r>
      <w:r w:rsidRPr="005A6EB1">
        <w:rPr>
          <w:rFonts w:cs="Simplified Arabic" w:hint="cs"/>
          <w:rtl/>
          <w:lang w:val="fr-CH"/>
        </w:rPr>
        <w:t xml:space="preserve"> التقنية والعلمية</w:t>
      </w:r>
      <w:r w:rsidRPr="005A6EB1">
        <w:rPr>
          <w:rFonts w:cs="Simplified Arabic"/>
          <w:rtl/>
          <w:lang w:val="fr-CH"/>
        </w:rPr>
        <w:t xml:space="preserve"> </w:t>
      </w:r>
      <w:r w:rsidRPr="005A6EB1">
        <w:rPr>
          <w:rFonts w:cs="Simplified Arabic" w:hint="cs"/>
          <w:rtl/>
          <w:lang w:val="fr-CH"/>
        </w:rPr>
        <w:t>و</w:t>
      </w:r>
      <w:r w:rsidRPr="005A6EB1">
        <w:rPr>
          <w:rFonts w:cs="Simplified Arabic"/>
          <w:rtl/>
          <w:lang w:val="fr-CH"/>
        </w:rPr>
        <w:t>الشركاء ال</w:t>
      </w:r>
      <w:r w:rsidRPr="005A6EB1">
        <w:rPr>
          <w:rFonts w:cs="Simplified Arabic" w:hint="cs"/>
          <w:rtl/>
          <w:lang w:val="fr-CH"/>
        </w:rPr>
        <w:t>استراتيج</w:t>
      </w:r>
      <w:r w:rsidRPr="005A6EB1">
        <w:rPr>
          <w:rFonts w:cs="Simplified Arabic"/>
          <w:rtl/>
          <w:lang w:val="fr-CH"/>
        </w:rPr>
        <w:t xml:space="preserve">يين، </w:t>
      </w:r>
      <w:r w:rsidRPr="005A6EB1">
        <w:rPr>
          <w:rFonts w:cs="Simplified Arabic" w:hint="cs"/>
          <w:rtl/>
          <w:lang w:val="fr-CH"/>
        </w:rPr>
        <w:t xml:space="preserve">بما في ذلك تحالف الشركاء العلميين، </w:t>
      </w:r>
      <w:r w:rsidRPr="005A6EB1">
        <w:rPr>
          <w:rFonts w:cs="Simplified Arabic"/>
          <w:rtl/>
          <w:lang w:val="fr-CH"/>
        </w:rPr>
        <w:t>إلى إبلاغ الأمينة التنفيذية</w:t>
      </w:r>
      <w:r w:rsidRPr="005A6EB1">
        <w:rPr>
          <w:rFonts w:cs="Simplified Arabic" w:hint="cs"/>
          <w:rtl/>
          <w:lang w:val="fr-CH"/>
        </w:rPr>
        <w:t xml:space="preserve"> من خلال آلية غرفة تبادل المعلومات </w:t>
      </w:r>
      <w:r w:rsidRPr="005A6EB1">
        <w:rPr>
          <w:rFonts w:cs="Simplified Arabic"/>
          <w:rtl/>
          <w:lang w:val="fr-CH"/>
        </w:rPr>
        <w:t xml:space="preserve">بالمواضيع ذات الأولوية، والتغطية الجغرافية وأنواع الخدمات التي </w:t>
      </w:r>
      <w:r w:rsidRPr="005A6EB1">
        <w:rPr>
          <w:rFonts w:cs="Simplified Arabic" w:hint="cs"/>
          <w:rtl/>
          <w:lang w:val="fr-CH"/>
        </w:rPr>
        <w:t>يستطيعون</w:t>
      </w:r>
      <w:r w:rsidRPr="005A6EB1">
        <w:rPr>
          <w:rFonts w:cs="Simplified Arabic"/>
          <w:rtl/>
          <w:lang w:val="fr-CH"/>
        </w:rPr>
        <w:t xml:space="preserve"> تقديمها إلى الأطراف الأخرى؛</w:t>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sidRPr="005A6EB1">
        <w:rPr>
          <w:rFonts w:cs="Simplified Arabic"/>
          <w:i/>
          <w:iCs/>
          <w:rtl/>
          <w:lang w:val="fr-CH"/>
        </w:rPr>
        <w:t>يقرر</w:t>
      </w:r>
      <w:r w:rsidRPr="005A6EB1">
        <w:rPr>
          <w:rFonts w:cs="Simplified Arabic"/>
          <w:rtl/>
          <w:lang w:val="fr-CH"/>
        </w:rPr>
        <w:t xml:space="preserve"> </w:t>
      </w:r>
      <w:r w:rsidRPr="005A6EB1">
        <w:rPr>
          <w:rFonts w:cs="Simplified Arabic" w:hint="cs"/>
          <w:rtl/>
          <w:lang w:val="fr-CH"/>
        </w:rPr>
        <w:t xml:space="preserve">النظر، خلال اجتماعه الخامس عشر، في </w:t>
      </w:r>
      <w:r w:rsidRPr="005A6EB1">
        <w:rPr>
          <w:rFonts w:cs="Simplified Arabic"/>
          <w:rtl/>
          <w:lang w:val="fr-CH"/>
        </w:rPr>
        <w:t xml:space="preserve">إنشاء لجنة استشارية غير رسمية </w:t>
      </w:r>
      <w:r w:rsidRPr="005A6EB1">
        <w:rPr>
          <w:rFonts w:cs="Simplified Arabic" w:hint="cs"/>
          <w:rtl/>
          <w:lang w:val="fr-CH"/>
        </w:rPr>
        <w:t>معنية ب</w:t>
      </w:r>
      <w:r w:rsidRPr="005A6EB1">
        <w:rPr>
          <w:rFonts w:cs="Simplified Arabic"/>
          <w:rtl/>
          <w:lang w:val="fr-CH"/>
        </w:rPr>
        <w:t xml:space="preserve">التعاون التقني والعلمي </w:t>
      </w:r>
      <w:r w:rsidRPr="005A6EB1">
        <w:rPr>
          <w:rFonts w:cs="Simplified Arabic" w:hint="cs"/>
          <w:rtl/>
          <w:lang w:val="fr-CH"/>
        </w:rPr>
        <w:t xml:space="preserve">لتبدأ عملها في نهاية ولاية اللجنة الاستشارية غير الرسمية الحالية التابعة لآلية غرفة تبادل المعلومات في عام 2020 </w:t>
      </w:r>
      <w:r w:rsidRPr="005A6EB1">
        <w:rPr>
          <w:rFonts w:cs="Simplified Arabic"/>
          <w:rtl/>
          <w:lang w:val="fr-CH"/>
        </w:rPr>
        <w:t>لتزويد الأمينة التنفيذية بالمشورة بشأن التدابير والأدوات والفرص العملية لتعزيز وت</w:t>
      </w:r>
      <w:r w:rsidRPr="005A6EB1">
        <w:rPr>
          <w:rFonts w:cs="Simplified Arabic" w:hint="cs"/>
          <w:rtl/>
          <w:lang w:val="fr-CH"/>
        </w:rPr>
        <w:t>يسير</w:t>
      </w:r>
      <w:r w:rsidRPr="005A6EB1">
        <w:rPr>
          <w:rFonts w:cs="Simplified Arabic"/>
          <w:rtl/>
          <w:lang w:val="fr-CH"/>
        </w:rPr>
        <w:t xml:space="preserve"> التعاون التقني والعلمي من أجل التنفيذ الفعال للاتفاقية</w:t>
      </w:r>
      <w:r w:rsidRPr="005A6EB1">
        <w:rPr>
          <w:rFonts w:cs="Simplified Arabic" w:hint="cs"/>
          <w:rtl/>
          <w:lang w:val="fr-CH"/>
        </w:rPr>
        <w:t>؛</w:t>
      </w:r>
    </w:p>
    <w:p w:rsidR="001C1C1D" w:rsidRDefault="001C1C1D" w:rsidP="00CD26C5">
      <w:pPr>
        <w:pStyle w:val="ListParagraph"/>
        <w:numPr>
          <w:ilvl w:val="0"/>
          <w:numId w:val="74"/>
        </w:numPr>
        <w:bidi/>
        <w:spacing w:after="100" w:line="204" w:lineRule="auto"/>
        <w:ind w:left="0" w:firstLine="720"/>
        <w:rPr>
          <w:rFonts w:cs="Simplified Arabic"/>
          <w:lang w:val="fr-CH"/>
        </w:rPr>
      </w:pPr>
      <w:r w:rsidRPr="005A6EB1">
        <w:rPr>
          <w:rFonts w:cs="Simplified Arabic" w:hint="cs"/>
          <w:i/>
          <w:iCs/>
          <w:rtl/>
          <w:lang w:val="fr-CH"/>
        </w:rPr>
        <w:t xml:space="preserve">يطلب إلى </w:t>
      </w:r>
      <w:r w:rsidRPr="005A6EB1">
        <w:rPr>
          <w:rFonts w:cs="Simplified Arabic" w:hint="cs"/>
          <w:rtl/>
          <w:lang w:val="fr-CH"/>
        </w:rPr>
        <w:t>الأمينة التنفيذية التماس المشورة من اللجنة الاستشارية غير الرسمية في آلية غرفة تبادل المعلومات بشأن بالمسائل المتعلقة بالتعاون التقني والعلمي وفقا للمادة 18 من الاتفاقية خلال مدة ولايتها الحالية؛</w:t>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Pr>
          <w:rFonts w:cs="Simplified Arabic" w:hint="cs"/>
          <w:i/>
          <w:iCs/>
          <w:rtl/>
          <w:lang w:val="fr-CH"/>
        </w:rPr>
        <w:t>يحيط علما</w:t>
      </w:r>
      <w:r>
        <w:rPr>
          <w:rFonts w:cs="Simplified Arabic" w:hint="cs"/>
          <w:rtl/>
          <w:lang w:val="fr-CH"/>
        </w:rPr>
        <w:t xml:space="preserve"> بالاحتياجات والأولويات الرئيسية التي يمكن معالجتها من خلال التعاون التقني والعلمي، المحددة خلال الموائد المستديرة الإقليمية لمبادرة الجسر البيولوجي،</w:t>
      </w:r>
      <w:r>
        <w:rPr>
          <w:rStyle w:val="FootnoteReference"/>
          <w:rtl/>
          <w:lang w:val="fr-CH"/>
        </w:rPr>
        <w:footnoteReference w:id="279"/>
      </w:r>
      <w:r>
        <w:rPr>
          <w:rFonts w:cs="Simplified Arabic" w:hint="cs"/>
          <w:rtl/>
          <w:lang w:val="fr-CH"/>
        </w:rPr>
        <w:t xml:space="preserve"> </w:t>
      </w:r>
      <w:r w:rsidRPr="00F265E6">
        <w:rPr>
          <w:rFonts w:cs="Simplified Arabic" w:hint="cs"/>
          <w:i/>
          <w:iCs/>
          <w:rtl/>
          <w:lang w:val="fr-CH"/>
        </w:rPr>
        <w:t>ويطلب إلى</w:t>
      </w:r>
      <w:r>
        <w:rPr>
          <w:rFonts w:cs="Simplified Arabic" w:hint="cs"/>
          <w:rtl/>
          <w:lang w:val="fr-CH"/>
        </w:rPr>
        <w:t xml:space="preserve"> الأمينة التنفيذية أن تقوم، بالتعاون مع الشركاء ورهنا بتوافر الموارد، بتيسير مبادرات التعاون من أجل تلبية الاحتياجات المحددة؛</w:t>
      </w:r>
    </w:p>
    <w:p w:rsidR="001C1C1D" w:rsidRPr="005A6EB1" w:rsidRDefault="001C1C1D" w:rsidP="00CD26C5">
      <w:pPr>
        <w:pStyle w:val="ListParagraph"/>
        <w:numPr>
          <w:ilvl w:val="0"/>
          <w:numId w:val="74"/>
        </w:numPr>
        <w:bidi/>
        <w:spacing w:after="100" w:line="204" w:lineRule="auto"/>
        <w:ind w:left="0" w:firstLine="720"/>
        <w:rPr>
          <w:rFonts w:cs="Simplified Arabic"/>
          <w:rtl/>
          <w:lang w:val="fr-CH"/>
        </w:rPr>
      </w:pPr>
      <w:r w:rsidRPr="005A6EB1">
        <w:rPr>
          <w:rFonts w:cs="Simplified Arabic" w:hint="cs"/>
          <w:i/>
          <w:iCs/>
          <w:rtl/>
          <w:lang w:val="fr-CH"/>
        </w:rPr>
        <w:lastRenderedPageBreak/>
        <w:t>ي</w:t>
      </w:r>
      <w:r w:rsidRPr="005A6EB1">
        <w:rPr>
          <w:rFonts w:cs="Simplified Arabic"/>
          <w:i/>
          <w:iCs/>
          <w:rtl/>
          <w:lang w:val="fr-CH"/>
        </w:rPr>
        <w:t>طلب</w:t>
      </w:r>
      <w:r w:rsidRPr="005A6EB1">
        <w:rPr>
          <w:rFonts w:cs="Simplified Arabic" w:hint="cs"/>
          <w:i/>
          <w:iCs/>
          <w:rtl/>
          <w:lang w:val="fr-CH"/>
        </w:rPr>
        <w:t xml:space="preserve"> أيضا</w:t>
      </w:r>
      <w:r w:rsidRPr="005A6EB1">
        <w:rPr>
          <w:rFonts w:cs="Simplified Arabic"/>
          <w:rtl/>
          <w:lang w:val="fr-CH"/>
        </w:rPr>
        <w:t xml:space="preserve"> إلى الأمينة التنفيذية، بالتعاون مع الشركاء ورهناً بتوافر الموارد، مواصلة تعزيز وتيسير التعاون التقني والعلمي</w:t>
      </w:r>
      <w:r w:rsidRPr="005A6EB1">
        <w:rPr>
          <w:rFonts w:cs="Simplified Arabic" w:hint="cs"/>
          <w:rtl/>
          <w:lang w:val="fr-CH"/>
        </w:rPr>
        <w:t xml:space="preserve">، </w:t>
      </w:r>
      <w:r w:rsidRPr="005A6EB1">
        <w:rPr>
          <w:rFonts w:cs="Simplified Arabic" w:hint="cs"/>
          <w:rtl/>
        </w:rPr>
        <w:t>ولا سيما النهوض بالتعاون في مجالات من قبيل الاستشعار عن بُعد، وت</w:t>
      </w:r>
      <w:r>
        <w:rPr>
          <w:rFonts w:cs="Simplified Arabic" w:hint="cs"/>
          <w:rtl/>
        </w:rPr>
        <w:t>حليلات السيناريوهات والنمذجة، وقي</w:t>
      </w:r>
      <w:r w:rsidRPr="005A6EB1">
        <w:rPr>
          <w:rFonts w:cs="Simplified Arabic" w:hint="cs"/>
          <w:rtl/>
        </w:rPr>
        <w:t>م</w:t>
      </w:r>
      <w:r>
        <w:rPr>
          <w:rFonts w:cs="Simplified Arabic" w:hint="cs"/>
          <w:rtl/>
        </w:rPr>
        <w:t xml:space="preserve"> التنوع البيولوجي ووظائف وخدمات</w:t>
      </w:r>
      <w:r w:rsidRPr="005A6EB1">
        <w:rPr>
          <w:rFonts w:cs="Simplified Arabic" w:hint="cs"/>
          <w:rtl/>
        </w:rPr>
        <w:t xml:space="preserve"> النظم الإيكولوجية، والتدريب </w:t>
      </w:r>
      <w:r w:rsidRPr="005A6EB1">
        <w:rPr>
          <w:rFonts w:cs="Simplified Arabic" w:hint="cs"/>
          <w:rtl/>
          <w:lang w:val="fr-CH"/>
        </w:rPr>
        <w:t>الخاص بتكنولوجيات الحمض النووي، مثل تشفير الحمض النووي</w:t>
      </w:r>
      <w:r w:rsidRPr="005A6EB1">
        <w:rPr>
          <w:rFonts w:cs="Simplified Arabic" w:hint="cs"/>
          <w:lang w:val="fr-CH"/>
        </w:rPr>
        <w:t xml:space="preserve"> </w:t>
      </w:r>
      <w:r w:rsidRPr="005A6EB1">
        <w:rPr>
          <w:rFonts w:cs="Simplified Arabic" w:hint="cs"/>
          <w:rtl/>
          <w:lang w:val="fr-CH"/>
        </w:rPr>
        <w:t>للتحديد السريع للأنواع في البلدان والمناطق المعنية، في سياق المبادرة العالمية للتصنيف،</w:t>
      </w:r>
      <w:r w:rsidRPr="005A6EB1">
        <w:rPr>
          <w:rFonts w:cs="Simplified Arabic"/>
          <w:rtl/>
          <w:lang w:val="fr-CH"/>
        </w:rPr>
        <w:t xml:space="preserve"> </w:t>
      </w:r>
      <w:r w:rsidRPr="005A6EB1">
        <w:rPr>
          <w:rFonts w:cs="Simplified Arabic" w:hint="cs"/>
          <w:rtl/>
          <w:lang w:val="fr-CH"/>
        </w:rPr>
        <w:t xml:space="preserve">فضلا عن النهوض بالتعاون من خلال مبادرة الجسر البيولوجي، </w:t>
      </w:r>
      <w:r w:rsidRPr="005A6EB1">
        <w:rPr>
          <w:rFonts w:cs="Simplified Arabic"/>
          <w:rtl/>
          <w:lang w:val="fr-CH"/>
        </w:rPr>
        <w:t xml:space="preserve">وتقديم تقرير مرحلي كي تنظر فيه الهيئة الفرعية للتنفيذ في اجتماعها الثالث ولكي ينظر فيه مؤتمر الأطراف </w:t>
      </w:r>
      <w:r w:rsidRPr="005A6EB1">
        <w:rPr>
          <w:rFonts w:cs="Simplified Arabic" w:hint="cs"/>
          <w:rtl/>
          <w:lang w:val="fr-CH"/>
        </w:rPr>
        <w:t>في</w:t>
      </w:r>
      <w:r w:rsidRPr="005A6EB1">
        <w:rPr>
          <w:rFonts w:cs="Simplified Arabic"/>
          <w:rtl/>
          <w:lang w:val="fr-CH"/>
        </w:rPr>
        <w:t xml:space="preserve"> اجتماعه الخامس عشر؛</w:t>
      </w:r>
    </w:p>
    <w:p w:rsidR="001C1C1D" w:rsidRDefault="001C1C1D" w:rsidP="00CD26C5">
      <w:pPr>
        <w:pStyle w:val="ListParagraph"/>
        <w:numPr>
          <w:ilvl w:val="0"/>
          <w:numId w:val="74"/>
        </w:numPr>
        <w:bidi/>
        <w:spacing w:after="100" w:line="204" w:lineRule="auto"/>
        <w:ind w:left="0" w:firstLine="720"/>
        <w:rPr>
          <w:rFonts w:cs="Simplified Arabic"/>
          <w:lang w:val="fr-CH"/>
        </w:rPr>
      </w:pPr>
      <w:r w:rsidRPr="005A6EB1">
        <w:rPr>
          <w:rFonts w:cs="Simplified Arabic" w:hint="cs"/>
          <w:i/>
          <w:iCs/>
          <w:rtl/>
          <w:lang w:val="fr-CH"/>
        </w:rPr>
        <w:t xml:space="preserve">يطلب كذلك إلى </w:t>
      </w:r>
      <w:r w:rsidRPr="005A6EB1">
        <w:rPr>
          <w:rFonts w:cs="Simplified Arabic" w:hint="cs"/>
          <w:rtl/>
          <w:lang w:val="fr-CH"/>
        </w:rPr>
        <w:t>الأمينة التنفيذية</w:t>
      </w:r>
      <w:r>
        <w:rPr>
          <w:rFonts w:cs="Simplified Arabic" w:hint="cs"/>
          <w:rtl/>
          <w:lang w:val="fr-CH"/>
        </w:rPr>
        <w:t>، رهنا بتوافر الموارد،</w:t>
      </w:r>
      <w:r w:rsidRPr="005A6EB1">
        <w:rPr>
          <w:rFonts w:cs="Simplified Arabic" w:hint="cs"/>
          <w:rtl/>
          <w:lang w:val="fr-CH"/>
        </w:rPr>
        <w:t xml:space="preserve"> أن </w:t>
      </w:r>
      <w:r>
        <w:rPr>
          <w:rFonts w:cs="Simplified Arabic" w:hint="cs"/>
          <w:rtl/>
          <w:lang w:val="fr-CH"/>
        </w:rPr>
        <w:t>تعد مقترحات ل</w:t>
      </w:r>
      <w:r w:rsidRPr="005A6EB1">
        <w:rPr>
          <w:rFonts w:cs="Simplified Arabic" w:hint="cs"/>
          <w:rtl/>
          <w:lang w:val="fr-CH"/>
        </w:rPr>
        <w:t xml:space="preserve">عملية شاملة لاستعراض وتجديد </w:t>
      </w:r>
      <w:r>
        <w:rPr>
          <w:rFonts w:cs="Simplified Arabic" w:hint="cs"/>
          <w:rtl/>
          <w:lang w:val="fr-CH"/>
        </w:rPr>
        <w:t xml:space="preserve">برامج </w:t>
      </w:r>
      <w:r w:rsidRPr="005A6EB1">
        <w:rPr>
          <w:rFonts w:cs="Simplified Arabic" w:hint="cs"/>
          <w:rtl/>
          <w:lang w:val="fr-CH"/>
        </w:rPr>
        <w:t>التعاون التقني والعلمي</w:t>
      </w:r>
      <w:r>
        <w:rPr>
          <w:rFonts w:cs="Simplified Arabic" w:hint="cs"/>
          <w:rtl/>
          <w:lang w:val="fr-CH"/>
        </w:rPr>
        <w:t>،</w:t>
      </w:r>
      <w:r w:rsidRPr="005A6EB1">
        <w:rPr>
          <w:rFonts w:cs="Simplified Arabic" w:hint="cs"/>
          <w:rtl/>
          <w:lang w:val="fr-CH"/>
        </w:rPr>
        <w:t xml:space="preserve"> </w:t>
      </w:r>
      <w:r>
        <w:rPr>
          <w:rFonts w:cs="Simplified Arabic" w:hint="cs"/>
          <w:rtl/>
          <w:lang w:val="fr-CH"/>
        </w:rPr>
        <w:t>بما في ذلك مبادرة الجسر البيولوجي، ومبادرة استعادة النظم الإيكولوجية للغابات و</w:t>
      </w:r>
      <w:r w:rsidRPr="005A6EB1">
        <w:rPr>
          <w:rFonts w:cs="Simplified Arabic" w:hint="cs"/>
          <w:rtl/>
          <w:lang w:val="fr-CH"/>
        </w:rPr>
        <w:t xml:space="preserve">المبادرة العالمية للتصنيف، من أجل دعم </w:t>
      </w:r>
      <w:r>
        <w:rPr>
          <w:rFonts w:cs="Simplified Arabic" w:hint="cs"/>
          <w:rtl/>
          <w:lang w:val="fr-CH"/>
        </w:rPr>
        <w:t xml:space="preserve">إعداد </w:t>
      </w:r>
      <w:r w:rsidRPr="005A6EB1">
        <w:rPr>
          <w:rFonts w:cs="Simplified Arabic" w:hint="cs"/>
          <w:rtl/>
          <w:lang w:val="fr-CH"/>
        </w:rPr>
        <w:t xml:space="preserve">الإطار العالمي للتنوع البيولوجي بعد عام 2020، وأن تقدم </w:t>
      </w:r>
      <w:r>
        <w:rPr>
          <w:rFonts w:cs="Simplified Arabic" w:hint="cs"/>
          <w:rtl/>
          <w:lang w:val="fr-CH"/>
        </w:rPr>
        <w:t>هذه المقترحات</w:t>
      </w:r>
      <w:r w:rsidRPr="005A6EB1">
        <w:rPr>
          <w:rFonts w:cs="Simplified Arabic" w:hint="cs"/>
          <w:rtl/>
          <w:lang w:val="fr-CH"/>
        </w:rPr>
        <w:t xml:space="preserve"> لكي تنظر فيه</w:t>
      </w:r>
      <w:r>
        <w:rPr>
          <w:rFonts w:cs="Simplified Arabic" w:hint="cs"/>
          <w:rtl/>
          <w:lang w:val="fr-CH"/>
        </w:rPr>
        <w:t>ا الهيئة الفرعية للمشورة العلمية والتقنية والتكنولوجية و</w:t>
      </w:r>
      <w:r w:rsidRPr="005A6EB1">
        <w:rPr>
          <w:rFonts w:cs="Simplified Arabic" w:hint="cs"/>
          <w:rtl/>
          <w:lang w:val="fr-CH"/>
        </w:rPr>
        <w:t>الهيئة الفرعية للتنفيذ في اجتماع</w:t>
      </w:r>
      <w:r>
        <w:rPr>
          <w:rFonts w:cs="Simplified Arabic" w:hint="cs"/>
          <w:rtl/>
          <w:lang w:val="fr-CH"/>
        </w:rPr>
        <w:t>ات</w:t>
      </w:r>
      <w:r w:rsidRPr="005A6EB1">
        <w:rPr>
          <w:rFonts w:cs="Simplified Arabic" w:hint="cs"/>
          <w:rtl/>
          <w:lang w:val="fr-CH"/>
        </w:rPr>
        <w:t xml:space="preserve">ها </w:t>
      </w:r>
      <w:r>
        <w:rPr>
          <w:rFonts w:cs="Simplified Arabic" w:hint="cs"/>
          <w:rtl/>
          <w:lang w:val="fr-CH"/>
        </w:rPr>
        <w:t>قبل الاجتماع الخامس عشر ل</w:t>
      </w:r>
      <w:r w:rsidRPr="005A6EB1">
        <w:rPr>
          <w:rFonts w:cs="Simplified Arabic" w:hint="cs"/>
          <w:rtl/>
          <w:lang w:val="fr-CH"/>
        </w:rPr>
        <w:t>مؤتمر الأطراف.</w:t>
      </w:r>
    </w:p>
    <w:p w:rsidR="001C1C1D" w:rsidRPr="00FD7330" w:rsidRDefault="001C1C1D" w:rsidP="001C1C1D">
      <w:pPr>
        <w:spacing w:after="100" w:line="204" w:lineRule="auto"/>
        <w:jc w:val="center"/>
        <w:rPr>
          <w:i/>
          <w:iCs/>
          <w:rtl/>
          <w:lang w:val="fr-CH"/>
        </w:rPr>
      </w:pPr>
      <w:r w:rsidRPr="00FD7330">
        <w:rPr>
          <w:i/>
          <w:iCs/>
          <w:rtl/>
          <w:lang w:val="fr-CH"/>
        </w:rPr>
        <w:t>المرفق</w:t>
      </w:r>
    </w:p>
    <w:p w:rsidR="001C1C1D" w:rsidRPr="00FD7330" w:rsidRDefault="001C1C1D" w:rsidP="001C1C1D">
      <w:pPr>
        <w:spacing w:after="100" w:line="204" w:lineRule="auto"/>
        <w:jc w:val="center"/>
        <w:rPr>
          <w:b/>
          <w:bCs/>
          <w:rtl/>
          <w:lang w:val="fr-CH"/>
        </w:rPr>
      </w:pPr>
      <w:r w:rsidRPr="00FD7330">
        <w:rPr>
          <w:b/>
          <w:bCs/>
          <w:rtl/>
          <w:lang w:val="fr-CH"/>
        </w:rPr>
        <w:t>عناصر</w:t>
      </w:r>
      <w:r w:rsidRPr="00FD7330">
        <w:rPr>
          <w:b/>
          <w:bCs/>
          <w:lang w:val="fr-CH"/>
        </w:rPr>
        <w:t xml:space="preserve"> </w:t>
      </w:r>
      <w:r w:rsidRPr="00FD7330">
        <w:rPr>
          <w:rFonts w:hint="cs"/>
          <w:b/>
          <w:bCs/>
          <w:rtl/>
          <w:lang w:val="fr-CH"/>
        </w:rPr>
        <w:t>ال</w:t>
      </w:r>
      <w:r w:rsidRPr="00FD7330">
        <w:rPr>
          <w:b/>
          <w:bCs/>
          <w:rtl/>
          <w:lang w:val="fr-CH"/>
        </w:rPr>
        <w:t xml:space="preserve">عملية </w:t>
      </w:r>
      <w:r w:rsidRPr="00FD7330">
        <w:rPr>
          <w:rFonts w:hint="cs"/>
          <w:b/>
          <w:bCs/>
          <w:rtl/>
          <w:lang w:val="fr-CH"/>
        </w:rPr>
        <w:t>التحضيرية ل</w:t>
      </w:r>
      <w:r w:rsidRPr="00FD7330">
        <w:rPr>
          <w:b/>
          <w:bCs/>
          <w:rtl/>
          <w:lang w:val="fr-CH"/>
        </w:rPr>
        <w:t xml:space="preserve">لإطار الاستراتيجي </w:t>
      </w:r>
      <w:r w:rsidRPr="00FD7330">
        <w:rPr>
          <w:rFonts w:hint="cs"/>
          <w:b/>
          <w:bCs/>
          <w:rtl/>
          <w:lang w:val="fr-CH"/>
        </w:rPr>
        <w:t xml:space="preserve">الطويل الأجل لبناء </w:t>
      </w:r>
      <w:r w:rsidRPr="00FD7330">
        <w:rPr>
          <w:b/>
          <w:bCs/>
          <w:rtl/>
          <w:lang w:val="fr-CH"/>
        </w:rPr>
        <w:t>القدرات بعد</w:t>
      </w:r>
      <w:r w:rsidRPr="00FD7330">
        <w:rPr>
          <w:b/>
          <w:bCs/>
          <w:lang w:val="fr-CH"/>
        </w:rPr>
        <w:t xml:space="preserve"> </w:t>
      </w:r>
      <w:r w:rsidRPr="00FD7330">
        <w:rPr>
          <w:b/>
          <w:bCs/>
          <w:rtl/>
          <w:lang w:val="fr-CH"/>
        </w:rPr>
        <w:t>عام 2020</w:t>
      </w:r>
    </w:p>
    <w:p w:rsidR="001C1C1D" w:rsidRPr="00FD7330" w:rsidRDefault="001C1C1D" w:rsidP="001C1C1D">
      <w:pPr>
        <w:spacing w:after="100" w:line="204" w:lineRule="auto"/>
        <w:jc w:val="center"/>
        <w:rPr>
          <w:b/>
          <w:bCs/>
          <w:rtl/>
          <w:lang w:val="fr-CH"/>
        </w:rPr>
      </w:pPr>
      <w:r w:rsidRPr="00FD7330">
        <w:rPr>
          <w:b/>
          <w:bCs/>
          <w:rtl/>
          <w:lang w:val="fr-CH"/>
        </w:rPr>
        <w:t>ألف</w:t>
      </w:r>
      <w:r w:rsidRPr="00FD7330">
        <w:rPr>
          <w:rFonts w:hint="cs"/>
          <w:b/>
          <w:bCs/>
          <w:rtl/>
          <w:lang w:val="fr-CH"/>
        </w:rPr>
        <w:t>-</w:t>
      </w:r>
      <w:r w:rsidRPr="00FD7330">
        <w:rPr>
          <w:b/>
          <w:bCs/>
          <w:lang w:val="fr-CH"/>
        </w:rPr>
        <w:tab/>
      </w:r>
      <w:r w:rsidRPr="00FD7330">
        <w:rPr>
          <w:b/>
          <w:bCs/>
          <w:rtl/>
          <w:lang w:val="fr-CH"/>
        </w:rPr>
        <w:t>مقدمة</w:t>
      </w:r>
    </w:p>
    <w:p w:rsidR="001C1C1D" w:rsidRPr="00FD7330" w:rsidRDefault="001C1C1D" w:rsidP="00CD26C5">
      <w:pPr>
        <w:numPr>
          <w:ilvl w:val="0"/>
          <w:numId w:val="72"/>
        </w:numPr>
        <w:spacing w:after="100" w:line="204" w:lineRule="auto"/>
        <w:ind w:left="0" w:firstLine="0"/>
        <w:rPr>
          <w:rFonts w:eastAsia="Malgun Gothic"/>
        </w:rPr>
      </w:pPr>
      <w:r w:rsidRPr="00FD7330">
        <w:rPr>
          <w:rFonts w:eastAsia="Malgun Gothic"/>
          <w:rtl/>
          <w:lang w:val="fr-CH"/>
        </w:rPr>
        <w:t>طلب مؤتمر الأطراف، في</w:t>
      </w:r>
      <w:r>
        <w:rPr>
          <w:rFonts w:eastAsia="Malgun Gothic"/>
          <w:rtl/>
          <w:lang w:val="fr-CH"/>
        </w:rPr>
        <w:t xml:space="preserve"> اجتماعه الثالث عشر، إلى الأمين التنفيذي</w:t>
      </w:r>
      <w:r w:rsidRPr="00FD7330">
        <w:rPr>
          <w:rFonts w:eastAsia="Malgun Gothic"/>
          <w:rtl/>
          <w:lang w:val="fr-CH"/>
        </w:rPr>
        <w:t xml:space="preserve"> أن يبدأ عملية ل</w:t>
      </w:r>
      <w:r w:rsidRPr="00FD7330">
        <w:rPr>
          <w:rFonts w:eastAsia="Malgun Gothic" w:hint="cs"/>
          <w:rtl/>
          <w:lang w:val="fr-CH"/>
        </w:rPr>
        <w:t>تحضير</w:t>
      </w:r>
      <w:r w:rsidRPr="00FD7330">
        <w:rPr>
          <w:rFonts w:eastAsia="Malgun Gothic"/>
          <w:rtl/>
          <w:lang w:val="fr-CH"/>
        </w:rPr>
        <w:t xml:space="preserve"> إطار استراتيجي طويل الأجل لبناء القدرات بعد عام 2020</w:t>
      </w:r>
      <w:r w:rsidRPr="00FD7330">
        <w:rPr>
          <w:rFonts w:eastAsia="Malgun Gothic" w:hint="cs"/>
          <w:rtl/>
          <w:lang w:val="fr-CH"/>
        </w:rPr>
        <w:t>،</w:t>
      </w:r>
      <w:r w:rsidRPr="00FD7330">
        <w:rPr>
          <w:rFonts w:eastAsia="Malgun Gothic"/>
          <w:rtl/>
          <w:lang w:val="fr-CH"/>
        </w:rPr>
        <w:t xml:space="preserve"> لضمان مواءمته مع متابعة الخطة الاستراتيجية للتنوع البيولوجي 2011-2020 وعمل البروتوكولين، وضمان تنسيقها مع الجدول الزمني ل</w:t>
      </w:r>
      <w:r>
        <w:rPr>
          <w:rFonts w:eastAsia="Malgun Gothic" w:hint="cs"/>
          <w:rtl/>
          <w:lang w:val="fr-CH"/>
        </w:rPr>
        <w:t>إعداد</w:t>
      </w:r>
      <w:r w:rsidRPr="00FD7330">
        <w:rPr>
          <w:rFonts w:eastAsia="Malgun Gothic"/>
          <w:rtl/>
          <w:lang w:val="fr-CH"/>
        </w:rPr>
        <w:t xml:space="preserve"> </w:t>
      </w:r>
      <w:r>
        <w:rPr>
          <w:rFonts w:eastAsia="Malgun Gothic" w:hint="cs"/>
          <w:rtl/>
          <w:lang w:val="fr-CH"/>
        </w:rPr>
        <w:t>ال</w:t>
      </w:r>
      <w:r w:rsidRPr="00FD7330">
        <w:rPr>
          <w:rFonts w:eastAsia="Malgun Gothic"/>
          <w:rtl/>
          <w:lang w:val="fr-CH"/>
        </w:rPr>
        <w:t>إطار</w:t>
      </w:r>
      <w:r>
        <w:rPr>
          <w:rFonts w:eastAsia="Malgun Gothic" w:hint="cs"/>
          <w:rtl/>
          <w:lang w:val="fr-CH"/>
        </w:rPr>
        <w:t xml:space="preserve"> </w:t>
      </w:r>
      <w:r w:rsidRPr="00FD7330">
        <w:rPr>
          <w:rFonts w:eastAsia="Malgun Gothic" w:hint="cs"/>
          <w:rtl/>
          <w:lang w:val="fr-CH"/>
        </w:rPr>
        <w:t>ا</w:t>
      </w:r>
      <w:r>
        <w:rPr>
          <w:rFonts w:eastAsia="Malgun Gothic" w:hint="cs"/>
          <w:rtl/>
          <w:lang w:val="fr-CH"/>
        </w:rPr>
        <w:t>لعالمي ل</w:t>
      </w:r>
      <w:r w:rsidRPr="00FD7330">
        <w:rPr>
          <w:rFonts w:eastAsia="Malgun Gothic" w:hint="cs"/>
          <w:rtl/>
          <w:lang w:val="fr-CH"/>
        </w:rPr>
        <w:t>لتنوع البيولوجي لما بعد عام 2020</w:t>
      </w:r>
      <w:r w:rsidRPr="00FD7330">
        <w:rPr>
          <w:rFonts w:eastAsia="Malgun Gothic"/>
          <w:rtl/>
          <w:lang w:val="fr-CH"/>
        </w:rPr>
        <w:t xml:space="preserve">، بهدف تحديد </w:t>
      </w:r>
      <w:r w:rsidRPr="00FD7330">
        <w:rPr>
          <w:rFonts w:eastAsia="Malgun Gothic" w:hint="cs"/>
          <w:rtl/>
          <w:lang w:val="fr-CH"/>
        </w:rPr>
        <w:t>ال</w:t>
      </w:r>
      <w:r w:rsidRPr="00FD7330">
        <w:rPr>
          <w:rFonts w:eastAsia="Malgun Gothic"/>
          <w:rtl/>
          <w:lang w:val="fr-CH"/>
        </w:rPr>
        <w:t xml:space="preserve">إجراءات </w:t>
      </w:r>
      <w:r w:rsidRPr="00FD7330">
        <w:rPr>
          <w:rFonts w:eastAsia="Malgun Gothic" w:hint="cs"/>
          <w:rtl/>
          <w:lang w:val="fr-CH"/>
        </w:rPr>
        <w:t>ذات الأولوية ل</w:t>
      </w:r>
      <w:r w:rsidRPr="00FD7330">
        <w:rPr>
          <w:rFonts w:eastAsia="Malgun Gothic"/>
          <w:rtl/>
          <w:lang w:val="fr-CH"/>
        </w:rPr>
        <w:t>بناء القدرات في الوقت المناسب.</w:t>
      </w:r>
    </w:p>
    <w:p w:rsidR="001C1C1D" w:rsidRPr="00FD7330" w:rsidRDefault="001C1C1D" w:rsidP="00CD26C5">
      <w:pPr>
        <w:numPr>
          <w:ilvl w:val="0"/>
          <w:numId w:val="72"/>
        </w:numPr>
        <w:spacing w:after="100" w:line="204" w:lineRule="auto"/>
        <w:ind w:left="0" w:firstLine="0"/>
        <w:rPr>
          <w:rFonts w:eastAsia="Malgun Gothic"/>
        </w:rPr>
      </w:pPr>
      <w:r w:rsidRPr="00FD7330">
        <w:rPr>
          <w:rFonts w:eastAsia="Malgun Gothic"/>
          <w:rtl/>
          <w:lang w:val="fr-CH"/>
        </w:rPr>
        <w:t>وفي الفقرة 15(ن) من المقرر 13/23، طلب مؤتمر الأطراف إلى الأمين التنفيذي أن يعد اختصاصات لدراسة توفير قاعدة معارف ل</w:t>
      </w:r>
      <w:r w:rsidRPr="00FD7330">
        <w:rPr>
          <w:rFonts w:eastAsia="Malgun Gothic" w:hint="cs"/>
          <w:rtl/>
          <w:lang w:val="fr-CH"/>
        </w:rPr>
        <w:t>تحضير</w:t>
      </w:r>
      <w:r w:rsidRPr="00FD7330">
        <w:rPr>
          <w:rFonts w:eastAsia="Malgun Gothic"/>
          <w:rtl/>
          <w:lang w:val="fr-CH"/>
        </w:rPr>
        <w:t xml:space="preserve"> إطار استراتيجي طويل الأجل لبناء القدرات بعد عام 2020، لكي تنظر</w:t>
      </w:r>
      <w:r w:rsidRPr="00FD7330">
        <w:rPr>
          <w:rFonts w:eastAsia="Malgun Gothic"/>
        </w:rPr>
        <w:t xml:space="preserve"> </w:t>
      </w:r>
      <w:r w:rsidRPr="00FD7330">
        <w:rPr>
          <w:rFonts w:eastAsia="Malgun Gothic"/>
          <w:rtl/>
          <w:lang w:val="fr-CH"/>
        </w:rPr>
        <w:t>فيها الهيئة الفرعية للتنفيذ في اجتماعها الثاني ثم ينظر</w:t>
      </w:r>
      <w:r w:rsidRPr="00FD7330">
        <w:rPr>
          <w:rFonts w:eastAsia="Malgun Gothic"/>
        </w:rPr>
        <w:t xml:space="preserve"> </w:t>
      </w:r>
      <w:r w:rsidRPr="00FD7330">
        <w:rPr>
          <w:rFonts w:eastAsia="Malgun Gothic"/>
          <w:rtl/>
          <w:lang w:val="fr-CH"/>
        </w:rPr>
        <w:t>فيها</w:t>
      </w:r>
      <w:r w:rsidRPr="00FD7330">
        <w:rPr>
          <w:rFonts w:eastAsia="Malgun Gothic"/>
        </w:rPr>
        <w:t xml:space="preserve"> </w:t>
      </w:r>
      <w:r w:rsidRPr="00FD7330">
        <w:rPr>
          <w:rFonts w:eastAsia="Malgun Gothic"/>
          <w:rtl/>
          <w:lang w:val="fr-CH"/>
        </w:rPr>
        <w:t xml:space="preserve">مؤتمر الأطراف </w:t>
      </w:r>
      <w:r w:rsidRPr="00FD7330">
        <w:rPr>
          <w:rFonts w:eastAsia="Malgun Gothic" w:hint="cs"/>
          <w:rtl/>
          <w:lang w:val="fr-CH"/>
        </w:rPr>
        <w:t>في</w:t>
      </w:r>
      <w:r w:rsidRPr="00FD7330">
        <w:rPr>
          <w:rFonts w:eastAsia="Malgun Gothic"/>
          <w:rtl/>
          <w:lang w:val="fr-CH"/>
        </w:rPr>
        <w:t xml:space="preserve"> اجتماعه الرابع عشر، مع التأكد من أن الدراسة تراعي، في جملة أمور، تنفيذ خطة العمل القصيرة الأجل لبناء القدرات والخبرات</w:t>
      </w:r>
      <w:r w:rsidRPr="00FD7330">
        <w:rPr>
          <w:rFonts w:eastAsia="Malgun Gothic"/>
        </w:rPr>
        <w:t xml:space="preserve"> </w:t>
      </w:r>
      <w:r w:rsidRPr="00FD7330">
        <w:rPr>
          <w:rFonts w:eastAsia="Malgun Gothic"/>
          <w:rtl/>
          <w:lang w:val="fr-CH"/>
        </w:rPr>
        <w:t>ذات</w:t>
      </w:r>
      <w:r w:rsidRPr="00FD7330">
        <w:rPr>
          <w:rFonts w:eastAsia="Malgun Gothic"/>
        </w:rPr>
        <w:t xml:space="preserve"> </w:t>
      </w:r>
      <w:r w:rsidRPr="00FD7330">
        <w:rPr>
          <w:rFonts w:eastAsia="Malgun Gothic"/>
          <w:rtl/>
          <w:lang w:val="fr-CH"/>
        </w:rPr>
        <w:t>الصلة التي أبلغت عنها الأطراف في تقاريرها الوطنية.</w:t>
      </w:r>
    </w:p>
    <w:p w:rsidR="001C1C1D" w:rsidRPr="00FD7330" w:rsidRDefault="001C1C1D" w:rsidP="00CD26C5">
      <w:pPr>
        <w:numPr>
          <w:ilvl w:val="0"/>
          <w:numId w:val="72"/>
        </w:numPr>
        <w:spacing w:after="100" w:line="204" w:lineRule="auto"/>
        <w:ind w:left="0" w:firstLine="0"/>
        <w:rPr>
          <w:rFonts w:eastAsia="Malgun Gothic"/>
        </w:rPr>
      </w:pPr>
      <w:r w:rsidRPr="00FD7330">
        <w:rPr>
          <w:rFonts w:eastAsia="Malgun Gothic"/>
          <w:rtl/>
          <w:lang w:val="fr-CH"/>
        </w:rPr>
        <w:t xml:space="preserve">وبموجب بروتوكول قرطاجنة للسلامة الأحيائية، اعتمد مؤتمر الأطراف العامل كاجتماع للأطراف في البروتوكول في اجتماعه السادس إطارا وخطة عمل لبناء القدرات من أجل التنفيذ الفعال للبروتوكول واتفق على استعراضه </w:t>
      </w:r>
      <w:r w:rsidRPr="00FD7330">
        <w:rPr>
          <w:rFonts w:eastAsia="Malgun Gothic" w:hint="cs"/>
          <w:rtl/>
          <w:lang w:val="fr-CH"/>
        </w:rPr>
        <w:t>في</w:t>
      </w:r>
      <w:r w:rsidRPr="00FD7330">
        <w:rPr>
          <w:rFonts w:eastAsia="Malgun Gothic"/>
          <w:rtl/>
          <w:lang w:val="fr-CH"/>
        </w:rPr>
        <w:t xml:space="preserve"> اجتماع</w:t>
      </w:r>
      <w:r>
        <w:rPr>
          <w:rFonts w:eastAsia="Malgun Gothic" w:hint="cs"/>
          <w:rtl/>
          <w:lang w:val="fr-CH"/>
        </w:rPr>
        <w:t>ه</w:t>
      </w:r>
      <w:r w:rsidRPr="00FD7330">
        <w:rPr>
          <w:rFonts w:eastAsia="Malgun Gothic"/>
          <w:rtl/>
          <w:lang w:val="fr-CH"/>
        </w:rPr>
        <w:t xml:space="preserve"> الثامن (المقرر </w:t>
      </w:r>
      <w:r w:rsidRPr="00FD7330">
        <w:rPr>
          <w:rFonts w:eastAsia="Malgun Gothic"/>
        </w:rPr>
        <w:t>BS-VI/3</w:t>
      </w:r>
      <w:r w:rsidRPr="00FD7330">
        <w:rPr>
          <w:rFonts w:eastAsia="Malgun Gothic"/>
          <w:rtl/>
          <w:lang w:val="fr-CH"/>
        </w:rPr>
        <w:t xml:space="preserve">). وبعد ذلك الاستعراض، قررت الأطراف في البروتوكول الحفاظ على الإطار وخطة العمل حتى عام 2020 (المقرّر </w:t>
      </w:r>
      <w:r w:rsidRPr="00FD7330">
        <w:rPr>
          <w:rFonts w:eastAsia="Malgun Gothic"/>
          <w:lang w:val="en-GB"/>
        </w:rPr>
        <w:t>CP-VIII/3</w:t>
      </w:r>
      <w:r w:rsidRPr="00FD7330">
        <w:rPr>
          <w:rFonts w:eastAsia="Malgun Gothic"/>
          <w:rtl/>
          <w:lang w:val="fr-CH"/>
        </w:rPr>
        <w:t>).</w:t>
      </w:r>
    </w:p>
    <w:p w:rsidR="001C1C1D" w:rsidRPr="00A77FC1" w:rsidRDefault="001C1C1D" w:rsidP="00CD26C5">
      <w:pPr>
        <w:numPr>
          <w:ilvl w:val="0"/>
          <w:numId w:val="72"/>
        </w:numPr>
        <w:spacing w:after="100" w:line="204" w:lineRule="auto"/>
        <w:ind w:left="0" w:firstLine="0"/>
        <w:rPr>
          <w:rFonts w:eastAsia="Malgun Gothic"/>
          <w:spacing w:val="-6"/>
          <w:rtl/>
        </w:rPr>
      </w:pPr>
      <w:r w:rsidRPr="00FD7330">
        <w:rPr>
          <w:rFonts w:eastAsia="Malgun Gothic"/>
          <w:rtl/>
          <w:lang w:val="fr-CH"/>
        </w:rPr>
        <w:t xml:space="preserve">وبالمثل، اعتمد مؤتمر الأطراف العامل كاجتماع للأطراف في بروتوكول ناغويا، في مقرره </w:t>
      </w:r>
      <w:r w:rsidRPr="00FD7330">
        <w:rPr>
          <w:rFonts w:eastAsia="Malgun Gothic"/>
        </w:rPr>
        <w:t>NP-1/8</w:t>
      </w:r>
      <w:r w:rsidRPr="00FD7330">
        <w:rPr>
          <w:rFonts w:eastAsia="Malgun Gothic"/>
          <w:rtl/>
          <w:lang w:val="fr-CH"/>
        </w:rPr>
        <w:t>، إطارا استراتيجيا لبناء القدرات وتنميتها لدعم تنفيذ بروتوكول ناغويا يغطي الفترة حتى</w:t>
      </w:r>
      <w:r w:rsidRPr="00FD7330">
        <w:rPr>
          <w:rFonts w:eastAsia="Malgun Gothic"/>
        </w:rPr>
        <w:t xml:space="preserve"> </w:t>
      </w:r>
      <w:r w:rsidRPr="00FD7330">
        <w:rPr>
          <w:rFonts w:eastAsia="Malgun Gothic"/>
          <w:rtl/>
          <w:lang w:val="fr-CH"/>
        </w:rPr>
        <w:t xml:space="preserve">عام 2020. وفي المقرر نفسه، طُلب إلى الأمينة التنفيذية إعداد تقييم للإطار الاستراتيجي في عام 2019 </w:t>
      </w:r>
      <w:r>
        <w:rPr>
          <w:rFonts w:eastAsia="Malgun Gothic" w:hint="cs"/>
          <w:rtl/>
          <w:lang w:val="fr-CH"/>
        </w:rPr>
        <w:t>و</w:t>
      </w:r>
      <w:r w:rsidRPr="00FD7330">
        <w:rPr>
          <w:rFonts w:eastAsia="Malgun Gothic" w:hint="cs"/>
          <w:rtl/>
          <w:lang w:val="fr-CH"/>
        </w:rPr>
        <w:t xml:space="preserve">تقديم </w:t>
      </w:r>
      <w:r w:rsidRPr="00FD7330">
        <w:rPr>
          <w:rFonts w:eastAsia="Malgun Gothic"/>
          <w:rtl/>
          <w:lang w:val="fr-CH"/>
        </w:rPr>
        <w:t xml:space="preserve">تقرير لينظر فيه اجتماع الأطراف في بروتوكول ناغويا في عام 2020 لتيسير </w:t>
      </w:r>
      <w:r w:rsidRPr="00A77FC1">
        <w:rPr>
          <w:rFonts w:eastAsia="Malgun Gothic"/>
          <w:spacing w:val="-6"/>
          <w:rtl/>
          <w:lang w:val="fr-CH"/>
        </w:rPr>
        <w:t xml:space="preserve">استعراض </w:t>
      </w:r>
      <w:r w:rsidRPr="00A77FC1">
        <w:rPr>
          <w:rFonts w:eastAsia="Malgun Gothic" w:hint="cs"/>
          <w:spacing w:val="-6"/>
          <w:rtl/>
          <w:lang w:val="fr-CH"/>
        </w:rPr>
        <w:t xml:space="preserve">الإطار </w:t>
      </w:r>
      <w:r w:rsidRPr="00A77FC1">
        <w:rPr>
          <w:rFonts w:eastAsia="Malgun Gothic"/>
          <w:spacing w:val="-6"/>
          <w:rtl/>
          <w:lang w:val="fr-CH"/>
        </w:rPr>
        <w:t xml:space="preserve">الاستراتيجي وتنقيحه </w:t>
      </w:r>
      <w:r w:rsidRPr="00A77FC1">
        <w:rPr>
          <w:rFonts w:eastAsia="Malgun Gothic" w:hint="cs"/>
          <w:spacing w:val="-6"/>
          <w:rtl/>
          <w:lang w:val="fr-CH"/>
        </w:rPr>
        <w:t xml:space="preserve">المحتمل </w:t>
      </w:r>
      <w:r w:rsidRPr="00A77FC1">
        <w:rPr>
          <w:rFonts w:eastAsia="Malgun Gothic"/>
          <w:spacing w:val="-6"/>
          <w:rtl/>
          <w:lang w:val="fr-CH"/>
        </w:rPr>
        <w:t>بالاقتران مع</w:t>
      </w:r>
      <w:r w:rsidRPr="00FD7330">
        <w:rPr>
          <w:rFonts w:eastAsia="Malgun Gothic"/>
          <w:rtl/>
          <w:lang w:val="fr-CH"/>
        </w:rPr>
        <w:t xml:space="preserve"> </w:t>
      </w:r>
      <w:r w:rsidRPr="00A77FC1">
        <w:rPr>
          <w:rFonts w:eastAsia="Malgun Gothic"/>
          <w:spacing w:val="-6"/>
          <w:rtl/>
          <w:lang w:val="fr-CH"/>
        </w:rPr>
        <w:t>استعراض الخطة الاستراتيجية للتنوع البيولوجي 2011-2020.</w:t>
      </w:r>
    </w:p>
    <w:p w:rsidR="001C1C1D" w:rsidRPr="00FD7330" w:rsidRDefault="001C1C1D" w:rsidP="001C1C1D">
      <w:pPr>
        <w:spacing w:after="100" w:line="204" w:lineRule="auto"/>
        <w:jc w:val="center"/>
        <w:rPr>
          <w:b/>
          <w:bCs/>
          <w:rtl/>
          <w:lang w:val="fr-CH"/>
        </w:rPr>
      </w:pPr>
      <w:r w:rsidRPr="00FD7330">
        <w:rPr>
          <w:b/>
          <w:bCs/>
          <w:rtl/>
          <w:lang w:val="fr-CH"/>
        </w:rPr>
        <w:t>باء</w:t>
      </w:r>
      <w:r w:rsidRPr="00FD7330">
        <w:rPr>
          <w:rFonts w:hint="cs"/>
          <w:b/>
          <w:bCs/>
          <w:rtl/>
          <w:lang w:val="fr-CH"/>
        </w:rPr>
        <w:t>-</w:t>
      </w:r>
      <w:r w:rsidRPr="00FD7330">
        <w:rPr>
          <w:b/>
          <w:bCs/>
          <w:lang w:val="fr-CH"/>
        </w:rPr>
        <w:tab/>
      </w:r>
      <w:r w:rsidRPr="00FD7330">
        <w:rPr>
          <w:b/>
          <w:bCs/>
          <w:rtl/>
          <w:lang w:val="fr-CH"/>
        </w:rPr>
        <w:t>نطاق</w:t>
      </w:r>
      <w:r w:rsidRPr="00FD7330">
        <w:rPr>
          <w:b/>
          <w:bCs/>
          <w:lang w:val="fr-CH"/>
        </w:rPr>
        <w:t xml:space="preserve"> </w:t>
      </w:r>
      <w:r w:rsidRPr="00FD7330">
        <w:rPr>
          <w:b/>
          <w:bCs/>
          <w:rtl/>
          <w:lang w:val="fr-CH"/>
        </w:rPr>
        <w:t>عملية</w:t>
      </w:r>
      <w:r w:rsidRPr="00FD7330">
        <w:rPr>
          <w:b/>
          <w:bCs/>
          <w:lang w:val="fr-CH"/>
        </w:rPr>
        <w:t xml:space="preserve"> </w:t>
      </w:r>
      <w:r w:rsidRPr="00FD7330">
        <w:rPr>
          <w:b/>
          <w:bCs/>
          <w:rtl/>
          <w:lang w:val="fr-CH"/>
        </w:rPr>
        <w:t>إعداد</w:t>
      </w:r>
      <w:r w:rsidRPr="00FD7330">
        <w:rPr>
          <w:b/>
          <w:bCs/>
          <w:lang w:val="fr-CH"/>
        </w:rPr>
        <w:t xml:space="preserve"> </w:t>
      </w:r>
      <w:r w:rsidRPr="00FD7330">
        <w:rPr>
          <w:b/>
          <w:bCs/>
          <w:rtl/>
          <w:lang w:val="fr-CH"/>
        </w:rPr>
        <w:t>الإطار</w:t>
      </w:r>
    </w:p>
    <w:p w:rsidR="001C1C1D" w:rsidRPr="00FD7330" w:rsidRDefault="001C1C1D" w:rsidP="001C1C1D">
      <w:pPr>
        <w:spacing w:after="100" w:line="204" w:lineRule="auto"/>
        <w:rPr>
          <w:rtl/>
          <w:lang w:val="fr-CH"/>
        </w:rPr>
      </w:pPr>
      <w:r w:rsidRPr="00FD7330">
        <w:rPr>
          <w:rFonts w:hint="cs"/>
          <w:rtl/>
          <w:lang w:val="fr-CH"/>
        </w:rPr>
        <w:t>5-</w:t>
      </w:r>
      <w:r w:rsidRPr="00FD7330">
        <w:rPr>
          <w:lang w:val="fr-CH"/>
        </w:rPr>
        <w:tab/>
      </w:r>
      <w:r w:rsidRPr="00FD7330">
        <w:rPr>
          <w:rtl/>
          <w:lang w:val="fr-CH"/>
        </w:rPr>
        <w:t>ستشمل</w:t>
      </w:r>
      <w:r w:rsidRPr="00FD7330">
        <w:rPr>
          <w:lang w:val="fr-CH"/>
        </w:rPr>
        <w:t xml:space="preserve"> </w:t>
      </w:r>
      <w:r w:rsidRPr="00FD7330">
        <w:rPr>
          <w:rtl/>
          <w:lang w:val="fr-CH"/>
        </w:rPr>
        <w:t>العملية</w:t>
      </w:r>
      <w:r w:rsidRPr="00FD7330">
        <w:rPr>
          <w:lang w:val="fr-CH"/>
        </w:rPr>
        <w:t xml:space="preserve"> </w:t>
      </w:r>
      <w:r w:rsidRPr="00FD7330">
        <w:rPr>
          <w:rtl/>
          <w:lang w:val="fr-CH"/>
        </w:rPr>
        <w:t>المهام</w:t>
      </w:r>
      <w:r w:rsidRPr="00FD7330">
        <w:rPr>
          <w:lang w:val="fr-CH"/>
        </w:rPr>
        <w:t xml:space="preserve"> </w:t>
      </w:r>
      <w:r w:rsidRPr="00FD7330">
        <w:rPr>
          <w:rtl/>
          <w:lang w:val="fr-CH"/>
        </w:rPr>
        <w:t>التالية</w:t>
      </w:r>
      <w:r w:rsidRPr="00FD7330">
        <w:rPr>
          <w:lang w:val="fr-CH"/>
        </w:rPr>
        <w:t>:</w:t>
      </w:r>
    </w:p>
    <w:p w:rsidR="001C1C1D" w:rsidRPr="00FD7330" w:rsidRDefault="001C1C1D" w:rsidP="001C1C1D">
      <w:pPr>
        <w:spacing w:after="100" w:line="204" w:lineRule="auto"/>
        <w:ind w:firstLine="720"/>
        <w:rPr>
          <w:rtl/>
          <w:lang w:val="fr-CH"/>
        </w:rPr>
      </w:pPr>
      <w:r w:rsidRPr="00FD7330">
        <w:rPr>
          <w:rtl/>
          <w:lang w:val="fr-CH"/>
        </w:rPr>
        <w:t>(أ)</w:t>
      </w:r>
      <w:r w:rsidRPr="00FD7330">
        <w:rPr>
          <w:lang w:val="fr-CH"/>
        </w:rPr>
        <w:tab/>
      </w:r>
      <w:r w:rsidRPr="00FD7330">
        <w:rPr>
          <w:rtl/>
          <w:lang w:val="fr-CH"/>
        </w:rPr>
        <w:t>إجراء دراسة لتوفير قاعدة معارف لإعداد الإطار الاستراتيجي الطويل الأجل لبناء القدرات بعد عام 2020 وفقاً للاختصاصات الواردة في التذييل أدناه؛</w:t>
      </w:r>
    </w:p>
    <w:p w:rsidR="001C1C1D" w:rsidRPr="00A77FC1" w:rsidRDefault="001C1C1D" w:rsidP="001C1C1D">
      <w:pPr>
        <w:spacing w:after="100" w:line="204" w:lineRule="auto"/>
        <w:ind w:firstLine="708"/>
        <w:rPr>
          <w:spacing w:val="-6"/>
          <w:rtl/>
          <w:lang w:val="fr-CH"/>
        </w:rPr>
      </w:pPr>
      <w:r w:rsidRPr="00FD7330">
        <w:rPr>
          <w:rtl/>
          <w:lang w:val="fr-CH"/>
        </w:rPr>
        <w:t>(ب)</w:t>
      </w:r>
      <w:r w:rsidRPr="00FD7330">
        <w:rPr>
          <w:rFonts w:hint="cs"/>
          <w:rtl/>
          <w:lang w:val="fr-CH"/>
        </w:rPr>
        <w:tab/>
      </w:r>
      <w:r w:rsidRPr="00FD7330">
        <w:rPr>
          <w:rtl/>
          <w:lang w:val="fr-CH"/>
        </w:rPr>
        <w:t xml:space="preserve">إعداد مشروع عناصر الإطار الاستراتيجي </w:t>
      </w:r>
      <w:r w:rsidRPr="00FD7330">
        <w:rPr>
          <w:rFonts w:hint="cs"/>
          <w:rtl/>
          <w:lang w:val="fr-CH"/>
        </w:rPr>
        <w:t xml:space="preserve">الطويل الأجل لبناء </w:t>
      </w:r>
      <w:r w:rsidRPr="00FD7330">
        <w:rPr>
          <w:rtl/>
          <w:lang w:val="fr-CH"/>
        </w:rPr>
        <w:t>القدرات بعد عام 2020، مع مراعاة المعلومات الواردة في تقرير الدراسة المذكورة أعلاه</w:t>
      </w:r>
      <w:r w:rsidRPr="00FD7330">
        <w:rPr>
          <w:rFonts w:hint="cs"/>
          <w:rtl/>
          <w:lang w:val="fr-CH"/>
        </w:rPr>
        <w:t xml:space="preserve">، بما في ذلك احتياجات وظروف البلدان </w:t>
      </w:r>
      <w:r w:rsidRPr="00FD7330">
        <w:rPr>
          <w:rtl/>
          <w:lang w:val="fr-CH"/>
        </w:rPr>
        <w:t xml:space="preserve">النامية، </w:t>
      </w:r>
      <w:r w:rsidRPr="00FD7330">
        <w:rPr>
          <w:rFonts w:hint="cs"/>
          <w:rtl/>
          <w:lang w:val="fr-CH"/>
        </w:rPr>
        <w:t>و</w:t>
      </w:r>
      <w:r w:rsidRPr="00FD7330">
        <w:rPr>
          <w:rtl/>
          <w:lang w:val="fr-CH"/>
        </w:rPr>
        <w:t xml:space="preserve">لا سيما أقل البلدان نمواً </w:t>
      </w:r>
      <w:r w:rsidRPr="00FD7330">
        <w:rPr>
          <w:rtl/>
          <w:lang w:val="fr-CH"/>
        </w:rPr>
        <w:lastRenderedPageBreak/>
        <w:t xml:space="preserve">والدول الجزرية الصغيرة </w:t>
      </w:r>
      <w:r w:rsidRPr="00FD7330">
        <w:rPr>
          <w:rFonts w:hint="cs"/>
          <w:rtl/>
          <w:lang w:val="fr-CH"/>
        </w:rPr>
        <w:t xml:space="preserve">النامية، </w:t>
      </w:r>
      <w:r w:rsidRPr="00FD7330">
        <w:rPr>
          <w:rtl/>
          <w:lang w:val="fr-CH"/>
        </w:rPr>
        <w:t>والبلدان التي تمر اقتصاداتها بمرحلة انتقال</w:t>
      </w:r>
      <w:r w:rsidRPr="00FD7330">
        <w:rPr>
          <w:rFonts w:hint="cs"/>
          <w:rtl/>
          <w:lang w:val="fr-CH"/>
        </w:rPr>
        <w:t>ية</w:t>
      </w:r>
      <w:r>
        <w:rPr>
          <w:rFonts w:hint="cs"/>
          <w:rtl/>
          <w:lang w:val="fr-CH"/>
        </w:rPr>
        <w:t>. و</w:t>
      </w:r>
      <w:r w:rsidRPr="00FD7330">
        <w:rPr>
          <w:rtl/>
          <w:lang w:val="fr-CH"/>
        </w:rPr>
        <w:t>سيشمل مشروع العناصر، في جملة أمور، رؤية شاملة ونظرية تغيير تحدد معايير ونتائج قوية لتنمية القدرات على المدى الطويل من أجل دعم التغيير التحولي نحو تحقيق رؤية عام 2050 المتمثلة في "العيش في انسجام مع الطبيعة"، والمبادئ التوجيهية العامة، والمسارات الممكنة لتحقيق تنمية القدرات الفعالة وذات</w:t>
      </w:r>
      <w:r w:rsidRPr="00FD7330">
        <w:rPr>
          <w:lang w:val="fr-CH"/>
        </w:rPr>
        <w:t xml:space="preserve"> </w:t>
      </w:r>
      <w:r w:rsidRPr="00FD7330">
        <w:rPr>
          <w:rtl/>
          <w:lang w:val="fr-CH"/>
        </w:rPr>
        <w:t>التأثير؛ وإطار للرصد والتقييم</w:t>
      </w:r>
      <w:r w:rsidRPr="00FD7330">
        <w:rPr>
          <w:rFonts w:hint="cs"/>
          <w:rtl/>
          <w:lang w:val="fr-CH"/>
        </w:rPr>
        <w:t>،</w:t>
      </w:r>
      <w:r w:rsidRPr="00FD7330">
        <w:rPr>
          <w:rtl/>
          <w:lang w:val="fr-CH"/>
        </w:rPr>
        <w:t xml:space="preserve"> </w:t>
      </w:r>
      <w:r w:rsidRPr="00A77FC1">
        <w:rPr>
          <w:rFonts w:hint="cs"/>
          <w:spacing w:val="-6"/>
          <w:rtl/>
          <w:lang w:val="fr-CH"/>
        </w:rPr>
        <w:t>بما في ذلك</w:t>
      </w:r>
      <w:r w:rsidRPr="00A77FC1">
        <w:rPr>
          <w:spacing w:val="-6"/>
          <w:rtl/>
          <w:lang w:val="fr-CH"/>
        </w:rPr>
        <w:t xml:space="preserve"> مؤشرات م</w:t>
      </w:r>
      <w:r w:rsidRPr="00A77FC1">
        <w:rPr>
          <w:rFonts w:hint="cs"/>
          <w:spacing w:val="-6"/>
          <w:rtl/>
          <w:lang w:val="fr-CH"/>
        </w:rPr>
        <w:t>مكن</w:t>
      </w:r>
      <w:r w:rsidRPr="00A77FC1">
        <w:rPr>
          <w:spacing w:val="-6"/>
          <w:rtl/>
          <w:lang w:val="fr-CH"/>
        </w:rPr>
        <w:t>ة يمكن قياسها على المدى المتوسط والطويل</w:t>
      </w:r>
      <w:r w:rsidRPr="00A77FC1">
        <w:rPr>
          <w:rFonts w:hint="cs"/>
          <w:spacing w:val="-6"/>
          <w:rtl/>
          <w:lang w:val="fr-CH"/>
        </w:rPr>
        <w:t>؛</w:t>
      </w:r>
    </w:p>
    <w:p w:rsidR="001C1C1D" w:rsidRPr="00FD7330" w:rsidRDefault="001C1C1D" w:rsidP="001C1C1D">
      <w:pPr>
        <w:spacing w:after="100" w:line="204" w:lineRule="auto"/>
        <w:ind w:firstLine="708"/>
        <w:rPr>
          <w:rtl/>
          <w:lang w:val="fr-CH"/>
        </w:rPr>
      </w:pPr>
      <w:r w:rsidRPr="00FD7330">
        <w:rPr>
          <w:rtl/>
          <w:lang w:val="fr-CH"/>
        </w:rPr>
        <w:t>(</w:t>
      </w:r>
      <w:r>
        <w:rPr>
          <w:rFonts w:hint="cs"/>
          <w:rtl/>
          <w:lang w:val="fr-CH"/>
        </w:rPr>
        <w:t>ج</w:t>
      </w:r>
      <w:r w:rsidRPr="00FD7330">
        <w:rPr>
          <w:rtl/>
          <w:lang w:val="fr-CH"/>
        </w:rPr>
        <w:t>)</w:t>
      </w:r>
      <w:r w:rsidRPr="00FD7330">
        <w:rPr>
          <w:rFonts w:hint="cs"/>
          <w:rtl/>
          <w:lang w:val="fr-CH"/>
        </w:rPr>
        <w:tab/>
      </w:r>
      <w:r w:rsidRPr="00FD7330">
        <w:rPr>
          <w:rtl/>
          <w:lang w:val="fr-CH"/>
        </w:rPr>
        <w:t>تنظيم حلقات عمل تشا</w:t>
      </w:r>
      <w:r>
        <w:rPr>
          <w:rFonts w:hint="cs"/>
          <w:rtl/>
          <w:lang w:val="fr-CH"/>
        </w:rPr>
        <w:t>و</w:t>
      </w:r>
      <w:r w:rsidRPr="00FD7330">
        <w:rPr>
          <w:rtl/>
          <w:lang w:val="fr-CH"/>
        </w:rPr>
        <w:t xml:space="preserve">رية إقليمية ومنتديات للنقاش على الإنترنت، يتم تنفيذها بالاقتران مع </w:t>
      </w:r>
      <w:r w:rsidRPr="00FD7330">
        <w:rPr>
          <w:rFonts w:hint="cs"/>
          <w:rtl/>
          <w:lang w:val="fr-CH"/>
        </w:rPr>
        <w:t>ال</w:t>
      </w:r>
      <w:r w:rsidRPr="00FD7330">
        <w:rPr>
          <w:rtl/>
          <w:lang w:val="fr-CH"/>
        </w:rPr>
        <w:t xml:space="preserve">عملية </w:t>
      </w:r>
      <w:r w:rsidRPr="00FD7330">
        <w:rPr>
          <w:rFonts w:hint="cs"/>
          <w:rtl/>
          <w:lang w:val="fr-CH"/>
        </w:rPr>
        <w:t xml:space="preserve">التحضيرية </w:t>
      </w:r>
      <w:r>
        <w:rPr>
          <w:rFonts w:hint="cs"/>
          <w:rtl/>
          <w:lang w:val="fr-CH"/>
        </w:rPr>
        <w:t>ل</w:t>
      </w:r>
      <w:r w:rsidRPr="00FD7330">
        <w:rPr>
          <w:rFonts w:hint="cs"/>
          <w:rtl/>
          <w:lang w:val="fr-CH"/>
        </w:rPr>
        <w:t>ل</w:t>
      </w:r>
      <w:r w:rsidRPr="00FD7330">
        <w:rPr>
          <w:rtl/>
          <w:lang w:val="fr-CH"/>
        </w:rPr>
        <w:t>إطار ا</w:t>
      </w:r>
      <w:r>
        <w:rPr>
          <w:rFonts w:hint="cs"/>
          <w:rtl/>
          <w:lang w:val="fr-CH"/>
        </w:rPr>
        <w:t>لعالمي ل</w:t>
      </w:r>
      <w:r w:rsidRPr="00FD7330">
        <w:rPr>
          <w:rtl/>
          <w:lang w:val="fr-CH"/>
        </w:rPr>
        <w:t>لتنوع البيولوجي لما بعد عام 2020.</w:t>
      </w:r>
    </w:p>
    <w:p w:rsidR="001C1C1D" w:rsidRPr="00FD7330" w:rsidRDefault="001C1C1D" w:rsidP="001C1C1D">
      <w:pPr>
        <w:spacing w:after="100" w:line="204" w:lineRule="auto"/>
        <w:rPr>
          <w:rtl/>
          <w:lang w:val="fr-CH"/>
        </w:rPr>
      </w:pPr>
      <w:r w:rsidRPr="00FD7330">
        <w:rPr>
          <w:rFonts w:hint="cs"/>
          <w:rtl/>
          <w:lang w:val="fr-CH"/>
        </w:rPr>
        <w:t>6-</w:t>
      </w:r>
      <w:r w:rsidRPr="00FD7330">
        <w:rPr>
          <w:lang w:val="fr-CH"/>
        </w:rPr>
        <w:tab/>
      </w:r>
      <w:r w:rsidRPr="00FD7330">
        <w:rPr>
          <w:rtl/>
          <w:lang w:val="fr-CH"/>
        </w:rPr>
        <w:t>ورهنا</w:t>
      </w:r>
      <w:r w:rsidRPr="00FD7330">
        <w:rPr>
          <w:lang w:val="fr-CH"/>
        </w:rPr>
        <w:t xml:space="preserve"> </w:t>
      </w:r>
      <w:r w:rsidRPr="00FD7330">
        <w:rPr>
          <w:rtl/>
          <w:lang w:val="fr-CH"/>
        </w:rPr>
        <w:t>بتوافر</w:t>
      </w:r>
      <w:r w:rsidRPr="00FD7330">
        <w:rPr>
          <w:lang w:val="fr-CH"/>
        </w:rPr>
        <w:t xml:space="preserve"> </w:t>
      </w:r>
      <w:r>
        <w:rPr>
          <w:rFonts w:hint="cs"/>
          <w:rtl/>
          <w:lang w:val="fr-CH"/>
        </w:rPr>
        <w:t>التمويل</w:t>
      </w:r>
      <w:r w:rsidRPr="00FD7330">
        <w:rPr>
          <w:rtl/>
          <w:lang w:val="fr-CH"/>
        </w:rPr>
        <w:t>،</w:t>
      </w:r>
      <w:r w:rsidRPr="00FD7330">
        <w:rPr>
          <w:lang w:val="fr-CH"/>
        </w:rPr>
        <w:t xml:space="preserve"> </w:t>
      </w:r>
      <w:r w:rsidRPr="00FD7330">
        <w:rPr>
          <w:rtl/>
          <w:lang w:val="fr-CH"/>
        </w:rPr>
        <w:t xml:space="preserve">سيتم إشراك شركة استشارية لإجراء الدراسة وإعداد مشروع تقرير الدراسة بالإضافة إلى مشروع عناصر الإطار الاستراتيجي </w:t>
      </w:r>
      <w:r w:rsidRPr="00FD7330">
        <w:rPr>
          <w:rFonts w:hint="cs"/>
          <w:rtl/>
          <w:lang w:val="fr-CH"/>
        </w:rPr>
        <w:t xml:space="preserve">الطويل الأجل لبناء </w:t>
      </w:r>
      <w:r w:rsidRPr="00FD7330">
        <w:rPr>
          <w:rtl/>
          <w:lang w:val="fr-CH"/>
        </w:rPr>
        <w:t>القدرات بعد</w:t>
      </w:r>
      <w:r w:rsidRPr="00FD7330">
        <w:rPr>
          <w:rFonts w:hint="cs"/>
          <w:rtl/>
          <w:lang w:val="fr-CH"/>
        </w:rPr>
        <w:t xml:space="preserve"> عام</w:t>
      </w:r>
      <w:r w:rsidRPr="00FD7330">
        <w:rPr>
          <w:rtl/>
          <w:lang w:val="fr-CH"/>
        </w:rPr>
        <w:t xml:space="preserve"> 2020. وستتم مناق</w:t>
      </w:r>
      <w:r>
        <w:rPr>
          <w:rtl/>
          <w:lang w:val="fr-CH"/>
        </w:rPr>
        <w:t>شة المسودات خلال حلقات العمل ال</w:t>
      </w:r>
      <w:r w:rsidRPr="00FD7330">
        <w:rPr>
          <w:rtl/>
          <w:lang w:val="fr-CH"/>
        </w:rPr>
        <w:t>تشا</w:t>
      </w:r>
      <w:r>
        <w:rPr>
          <w:rFonts w:hint="cs"/>
          <w:rtl/>
          <w:lang w:val="fr-CH"/>
        </w:rPr>
        <w:t>و</w:t>
      </w:r>
      <w:r w:rsidRPr="00FD7330">
        <w:rPr>
          <w:rtl/>
          <w:lang w:val="fr-CH"/>
        </w:rPr>
        <w:t xml:space="preserve">رية الإقليمية ومنتديات النقاش على الإنترنت التي ستنظمها الأمانة والمنظمات ذات الصلة بالاقتران مع </w:t>
      </w:r>
      <w:r w:rsidRPr="00FD7330">
        <w:rPr>
          <w:rFonts w:hint="cs"/>
          <w:rtl/>
          <w:lang w:val="fr-CH"/>
        </w:rPr>
        <w:t>ال</w:t>
      </w:r>
      <w:r w:rsidRPr="00FD7330">
        <w:rPr>
          <w:rtl/>
          <w:lang w:val="fr-CH"/>
        </w:rPr>
        <w:t>عملية</w:t>
      </w:r>
      <w:r w:rsidRPr="00FD7330">
        <w:rPr>
          <w:rFonts w:hint="cs"/>
          <w:rtl/>
          <w:lang w:val="fr-CH"/>
        </w:rPr>
        <w:t xml:space="preserve"> التحضيرية </w:t>
      </w:r>
      <w:r>
        <w:rPr>
          <w:rFonts w:hint="cs"/>
          <w:rtl/>
          <w:lang w:val="fr-CH"/>
        </w:rPr>
        <w:t>ل</w:t>
      </w:r>
      <w:r w:rsidRPr="00FD7330">
        <w:rPr>
          <w:rFonts w:hint="cs"/>
          <w:rtl/>
          <w:lang w:val="fr-CH"/>
        </w:rPr>
        <w:t>ل</w:t>
      </w:r>
      <w:r w:rsidRPr="00FD7330">
        <w:rPr>
          <w:rtl/>
          <w:lang w:val="fr-CH"/>
        </w:rPr>
        <w:t>إطار ا</w:t>
      </w:r>
      <w:r>
        <w:rPr>
          <w:rFonts w:hint="cs"/>
          <w:rtl/>
          <w:lang w:val="fr-CH"/>
        </w:rPr>
        <w:t>لعالمي ل</w:t>
      </w:r>
      <w:r w:rsidRPr="00FD7330">
        <w:rPr>
          <w:rtl/>
          <w:lang w:val="fr-CH"/>
        </w:rPr>
        <w:t xml:space="preserve">لتنوع البيولوجي لما بعد 2020. وستقوم الشركة الاستشارية بدمج المدخلات المتلقاة من </w:t>
      </w:r>
      <w:r>
        <w:rPr>
          <w:rFonts w:hint="cs"/>
          <w:rtl/>
          <w:lang w:val="fr-CH"/>
        </w:rPr>
        <w:t xml:space="preserve">خلال </w:t>
      </w:r>
      <w:r w:rsidRPr="00FD7330">
        <w:rPr>
          <w:rtl/>
          <w:lang w:val="fr-CH"/>
        </w:rPr>
        <w:t xml:space="preserve">حلقات العمل التشاورية ومنتديات النقاش على الإنترنت في المشروع النهائي للإطار الاستراتيجي </w:t>
      </w:r>
      <w:r>
        <w:rPr>
          <w:rFonts w:hint="cs"/>
          <w:rtl/>
          <w:lang w:val="fr-CH"/>
        </w:rPr>
        <w:t>طويل الأجل لبناء</w:t>
      </w:r>
      <w:r w:rsidRPr="00FD7330">
        <w:rPr>
          <w:rtl/>
          <w:lang w:val="fr-CH"/>
        </w:rPr>
        <w:t xml:space="preserve"> القدرات</w:t>
      </w:r>
      <w:r w:rsidRPr="00FD7330">
        <w:rPr>
          <w:rFonts w:hint="cs"/>
          <w:rtl/>
          <w:lang w:val="fr-CH"/>
        </w:rPr>
        <w:t>،</w:t>
      </w:r>
      <w:r w:rsidRPr="00FD7330">
        <w:rPr>
          <w:rtl/>
          <w:lang w:val="fr-CH"/>
        </w:rPr>
        <w:t xml:space="preserve"> الذي سيقدم بعد ذلك إلى الهيئة الفرعية للتنفيذ للنظر فيه </w:t>
      </w:r>
      <w:r w:rsidRPr="00FD7330">
        <w:rPr>
          <w:rFonts w:hint="cs"/>
          <w:rtl/>
          <w:lang w:val="fr-CH"/>
        </w:rPr>
        <w:t>في</w:t>
      </w:r>
      <w:r w:rsidRPr="00FD7330">
        <w:rPr>
          <w:rtl/>
          <w:lang w:val="fr-CH"/>
        </w:rPr>
        <w:t xml:space="preserve"> اجتماعها الثالث وفي نهاية المطاف من جانب مؤتمر الأطراف في اجتماعه الخامس عشر.</w:t>
      </w:r>
    </w:p>
    <w:p w:rsidR="001C1C1D" w:rsidRPr="00FD7330" w:rsidRDefault="001C1C1D" w:rsidP="001C1C1D">
      <w:pPr>
        <w:spacing w:after="100" w:line="204" w:lineRule="auto"/>
        <w:jc w:val="center"/>
        <w:rPr>
          <w:b/>
          <w:bCs/>
          <w:rtl/>
          <w:lang w:val="fr-CH"/>
        </w:rPr>
      </w:pPr>
      <w:r w:rsidRPr="00FD7330">
        <w:rPr>
          <w:b/>
          <w:bCs/>
          <w:rtl/>
          <w:lang w:val="fr-CH"/>
        </w:rPr>
        <w:t>جيم</w:t>
      </w:r>
      <w:r w:rsidRPr="00FD7330">
        <w:rPr>
          <w:rFonts w:hint="cs"/>
          <w:b/>
          <w:bCs/>
          <w:rtl/>
          <w:lang w:val="fr-CH"/>
        </w:rPr>
        <w:t>-</w:t>
      </w:r>
      <w:r w:rsidRPr="00FD7330">
        <w:rPr>
          <w:b/>
          <w:bCs/>
          <w:lang w:val="fr-CH"/>
        </w:rPr>
        <w:tab/>
      </w:r>
      <w:r w:rsidRPr="00FD7330">
        <w:rPr>
          <w:b/>
          <w:bCs/>
          <w:rtl/>
          <w:lang w:val="fr-CH"/>
        </w:rPr>
        <w:t>جدول</w:t>
      </w:r>
      <w:r w:rsidRPr="00FD7330">
        <w:rPr>
          <w:b/>
          <w:bCs/>
          <w:lang w:val="fr-CH"/>
        </w:rPr>
        <w:t xml:space="preserve"> </w:t>
      </w:r>
      <w:r w:rsidRPr="00FD7330">
        <w:rPr>
          <w:b/>
          <w:bCs/>
          <w:rtl/>
          <w:lang w:val="fr-CH"/>
        </w:rPr>
        <w:t>زمني</w:t>
      </w:r>
      <w:r w:rsidRPr="00FD7330">
        <w:rPr>
          <w:b/>
          <w:bCs/>
          <w:lang w:val="fr-CH"/>
        </w:rPr>
        <w:t xml:space="preserve"> </w:t>
      </w:r>
      <w:r w:rsidRPr="00FD7330">
        <w:rPr>
          <w:b/>
          <w:bCs/>
          <w:rtl/>
          <w:lang w:val="fr-CH"/>
        </w:rPr>
        <w:t>إرشادي</w:t>
      </w:r>
      <w:r w:rsidRPr="00FD7330">
        <w:rPr>
          <w:b/>
          <w:bCs/>
          <w:lang w:val="fr-CH"/>
        </w:rPr>
        <w:t xml:space="preserve"> </w:t>
      </w:r>
      <w:r w:rsidRPr="00FD7330">
        <w:rPr>
          <w:b/>
          <w:bCs/>
          <w:rtl/>
          <w:lang w:val="fr-CH"/>
        </w:rPr>
        <w:t>للأنشطة</w:t>
      </w:r>
    </w:p>
    <w:p w:rsidR="001C1C1D" w:rsidRDefault="001C1C1D" w:rsidP="00CD26C5">
      <w:pPr>
        <w:numPr>
          <w:ilvl w:val="0"/>
          <w:numId w:val="73"/>
        </w:numPr>
        <w:spacing w:line="204" w:lineRule="auto"/>
        <w:ind w:left="0" w:firstLine="0"/>
        <w:rPr>
          <w:rFonts w:eastAsia="Malgun Gothic"/>
          <w:b/>
          <w:bCs/>
          <w:lang w:val="fr-CH"/>
        </w:rPr>
      </w:pPr>
      <w:r w:rsidRPr="00FD7330">
        <w:rPr>
          <w:rFonts w:eastAsia="Malgun Gothic"/>
          <w:rtl/>
          <w:lang w:val="fr-CH"/>
        </w:rPr>
        <w:t xml:space="preserve">ستشمل عملية </w:t>
      </w:r>
      <w:r w:rsidRPr="00FD7330">
        <w:rPr>
          <w:rFonts w:eastAsia="Malgun Gothic" w:hint="cs"/>
          <w:rtl/>
          <w:lang w:val="fr-CH"/>
        </w:rPr>
        <w:t>التحضير</w:t>
      </w:r>
      <w:r w:rsidRPr="00FD7330">
        <w:rPr>
          <w:rFonts w:eastAsia="Malgun Gothic"/>
          <w:rtl/>
          <w:lang w:val="fr-CH"/>
        </w:rPr>
        <w:t xml:space="preserve"> </w:t>
      </w:r>
      <w:r w:rsidRPr="00FD7330">
        <w:rPr>
          <w:rFonts w:eastAsia="Malgun Gothic" w:hint="cs"/>
          <w:rtl/>
          <w:lang w:val="fr-CH"/>
        </w:rPr>
        <w:t>ل</w:t>
      </w:r>
      <w:r w:rsidRPr="00FD7330">
        <w:rPr>
          <w:rFonts w:eastAsia="Malgun Gothic"/>
          <w:rtl/>
          <w:lang w:val="fr-CH"/>
        </w:rPr>
        <w:t>إطار استراتيجي طويل الأجل لبناء القدرات بعد</w:t>
      </w:r>
      <w:r w:rsidRPr="00FD7330">
        <w:rPr>
          <w:rFonts w:eastAsia="Malgun Gothic" w:hint="cs"/>
          <w:rtl/>
          <w:lang w:val="fr-CH"/>
        </w:rPr>
        <w:t xml:space="preserve"> عام</w:t>
      </w:r>
      <w:r w:rsidRPr="00FD7330">
        <w:rPr>
          <w:rFonts w:eastAsia="Malgun Gothic"/>
          <w:rtl/>
          <w:lang w:val="fr-CH"/>
        </w:rPr>
        <w:t xml:space="preserve"> 2020</w:t>
      </w:r>
      <w:r w:rsidRPr="00FD7330">
        <w:rPr>
          <w:rFonts w:eastAsia="Malgun Gothic" w:hint="cs"/>
          <w:rtl/>
          <w:lang w:val="fr-CH"/>
        </w:rPr>
        <w:t xml:space="preserve"> </w:t>
      </w:r>
      <w:r w:rsidRPr="00FD7330">
        <w:rPr>
          <w:rFonts w:eastAsia="Malgun Gothic"/>
          <w:rtl/>
          <w:lang w:val="fr-CH"/>
        </w:rPr>
        <w:t>الأنشطة التالية، التي</w:t>
      </w:r>
      <w:r w:rsidRPr="00FD7330">
        <w:rPr>
          <w:rFonts w:eastAsia="Malgun Gothic"/>
          <w:lang w:val="fr-CH"/>
        </w:rPr>
        <w:t xml:space="preserve"> </w:t>
      </w:r>
      <w:r w:rsidRPr="00FD7330">
        <w:rPr>
          <w:rFonts w:eastAsia="Malgun Gothic"/>
          <w:rtl/>
          <w:lang w:val="fr-CH"/>
        </w:rPr>
        <w:t>ينبغي</w:t>
      </w:r>
      <w:r w:rsidRPr="00FD7330">
        <w:rPr>
          <w:rFonts w:eastAsia="Malgun Gothic"/>
          <w:lang w:val="fr-CH"/>
        </w:rPr>
        <w:t xml:space="preserve"> </w:t>
      </w:r>
      <w:r w:rsidRPr="00FD7330">
        <w:rPr>
          <w:rFonts w:eastAsia="Malgun Gothic"/>
          <w:rtl/>
          <w:lang w:val="fr-CH"/>
        </w:rPr>
        <w:t>مواءمتها مع الجدول الزمني لتطوير متابعة الخطة الاستراتيجية للتنوع البيولوجي 2011</w:t>
      </w:r>
      <w:r w:rsidRPr="00CC7BEA">
        <w:rPr>
          <w:rFonts w:ascii="Simplified Arabic" w:eastAsia="Malgun Gothic" w:hAnsi="Simplified Arabic"/>
          <w:lang w:val="fr-CH"/>
        </w:rPr>
        <w:t>:2020-</w:t>
      </w:r>
    </w:p>
    <w:tbl>
      <w:tblPr>
        <w:bidiVisual/>
        <w:tblW w:w="10412" w:type="dxa"/>
        <w:jc w:val="center"/>
        <w:tblInd w:w="99" w:type="dxa"/>
        <w:tblLook w:val="04A0"/>
      </w:tblPr>
      <w:tblGrid>
        <w:gridCol w:w="5247"/>
        <w:gridCol w:w="2352"/>
        <w:gridCol w:w="2813"/>
      </w:tblGrid>
      <w:tr w:rsidR="001C1C1D" w:rsidRPr="00FD7330" w:rsidTr="005F7C38">
        <w:trPr>
          <w:tblHeader/>
          <w:jc w:val="center"/>
        </w:trPr>
        <w:tc>
          <w:tcPr>
            <w:tcW w:w="5247" w:type="dxa"/>
            <w:tcBorders>
              <w:top w:val="nil"/>
              <w:left w:val="nil"/>
              <w:bottom w:val="nil"/>
              <w:right w:val="nil"/>
            </w:tcBorders>
          </w:tcPr>
          <w:p w:rsidR="001C1C1D" w:rsidRPr="00CC7BEA" w:rsidRDefault="001C1C1D" w:rsidP="00E02C84">
            <w:pPr>
              <w:spacing w:after="100" w:line="204" w:lineRule="auto"/>
              <w:jc w:val="center"/>
              <w:rPr>
                <w:rFonts w:ascii="Simplified Arabic" w:hAnsi="Simplified Arabic"/>
                <w:i/>
                <w:iCs/>
                <w:szCs w:val="22"/>
                <w:rtl/>
                <w:lang w:val="fr-CH"/>
              </w:rPr>
            </w:pPr>
            <w:r w:rsidRPr="00CC7BEA">
              <w:rPr>
                <w:szCs w:val="22"/>
              </w:rPr>
              <w:br w:type="page"/>
            </w:r>
            <w:r w:rsidRPr="00CC7BEA">
              <w:rPr>
                <w:rFonts w:ascii="Simplified Arabic" w:hAnsi="Simplified Arabic"/>
                <w:i/>
                <w:iCs/>
                <w:szCs w:val="22"/>
                <w:rtl/>
                <w:lang w:val="fr-CH"/>
              </w:rPr>
              <w:t>النشاط</w:t>
            </w:r>
            <w:r w:rsidRPr="00CC7BEA">
              <w:rPr>
                <w:rFonts w:ascii="Simplified Arabic" w:hAnsi="Simplified Arabic"/>
                <w:i/>
                <w:iCs/>
                <w:szCs w:val="22"/>
                <w:lang w:val="fr-CH"/>
              </w:rPr>
              <w:t>/</w:t>
            </w:r>
            <w:r w:rsidRPr="00CC7BEA">
              <w:rPr>
                <w:rFonts w:ascii="Simplified Arabic" w:hAnsi="Simplified Arabic"/>
                <w:i/>
                <w:iCs/>
                <w:szCs w:val="22"/>
                <w:rtl/>
                <w:lang w:val="fr-CH"/>
              </w:rPr>
              <w:t>المهمة</w:t>
            </w:r>
          </w:p>
        </w:tc>
        <w:tc>
          <w:tcPr>
            <w:tcW w:w="2352" w:type="dxa"/>
            <w:tcBorders>
              <w:top w:val="nil"/>
              <w:left w:val="nil"/>
              <w:bottom w:val="nil"/>
              <w:right w:val="nil"/>
            </w:tcBorders>
          </w:tcPr>
          <w:p w:rsidR="001C1C1D" w:rsidRPr="00CC7BEA" w:rsidRDefault="001C1C1D" w:rsidP="00E02C84">
            <w:pPr>
              <w:spacing w:after="100" w:line="204" w:lineRule="auto"/>
              <w:jc w:val="lowKashida"/>
              <w:rPr>
                <w:rFonts w:ascii="Simplified Arabic" w:hAnsi="Simplified Arabic"/>
                <w:i/>
                <w:iCs/>
                <w:szCs w:val="22"/>
                <w:rtl/>
                <w:lang w:val="fr-CH"/>
              </w:rPr>
            </w:pPr>
            <w:r w:rsidRPr="00CC7BEA">
              <w:rPr>
                <w:rFonts w:ascii="Simplified Arabic" w:hAnsi="Simplified Arabic"/>
                <w:i/>
                <w:iCs/>
                <w:szCs w:val="22"/>
                <w:rtl/>
                <w:lang w:val="fr-CH"/>
              </w:rPr>
              <w:t>الجدول</w:t>
            </w:r>
            <w:r w:rsidRPr="00CC7BEA">
              <w:rPr>
                <w:rFonts w:ascii="Simplified Arabic" w:hAnsi="Simplified Arabic"/>
                <w:i/>
                <w:iCs/>
                <w:szCs w:val="22"/>
                <w:lang w:val="fr-CH"/>
              </w:rPr>
              <w:t xml:space="preserve"> </w:t>
            </w:r>
            <w:r w:rsidRPr="00CC7BEA">
              <w:rPr>
                <w:rFonts w:ascii="Simplified Arabic" w:hAnsi="Simplified Arabic"/>
                <w:i/>
                <w:iCs/>
                <w:szCs w:val="22"/>
                <w:rtl/>
                <w:lang w:val="fr-CH"/>
              </w:rPr>
              <w:t>الزمني</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i/>
                <w:iCs/>
                <w:sz w:val="20"/>
                <w:szCs w:val="22"/>
                <w:rtl/>
                <w:lang w:val="fr-CH"/>
              </w:rPr>
            </w:pPr>
            <w:r w:rsidRPr="00FD7330">
              <w:rPr>
                <w:rFonts w:ascii="Simplified Arabic" w:hAnsi="Simplified Arabic"/>
                <w:i/>
                <w:iCs/>
                <w:sz w:val="20"/>
                <w:szCs w:val="22"/>
                <w:rtl/>
                <w:lang w:val="fr-CH"/>
              </w:rPr>
              <w:t>المسؤولية</w:t>
            </w:r>
          </w:p>
        </w:tc>
      </w:tr>
      <w:tr w:rsidR="001C1C1D" w:rsidRPr="00FD7330" w:rsidTr="005F7C38">
        <w:trPr>
          <w:jc w:val="center"/>
        </w:trPr>
        <w:tc>
          <w:tcPr>
            <w:tcW w:w="5247" w:type="dxa"/>
            <w:tcBorders>
              <w:top w:val="nil"/>
              <w:left w:val="nil"/>
              <w:bottom w:val="nil"/>
              <w:right w:val="nil"/>
            </w:tcBorders>
          </w:tcPr>
          <w:p w:rsidR="001C1C1D" w:rsidRPr="000F3C09"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0F3C09">
              <w:rPr>
                <w:rFonts w:ascii="Simplified Arabic" w:eastAsia="YouYuan" w:hAnsi="Simplified Arabic" w:cs="Simplified Arabic"/>
                <w:kern w:val="2"/>
                <w:sz w:val="23"/>
                <w:szCs w:val="23"/>
                <w:rtl/>
                <w:lang w:val="fr-CH"/>
              </w:rPr>
              <w:t>دعوة الأطراف والشعوب</w:t>
            </w:r>
            <w:r w:rsidRPr="000F3C09">
              <w:rPr>
                <w:rFonts w:ascii="Simplified Arabic" w:eastAsia="YouYuan" w:hAnsi="Simplified Arabic" w:cs="Simplified Arabic"/>
                <w:kern w:val="2"/>
                <w:sz w:val="23"/>
                <w:szCs w:val="23"/>
                <w:lang w:val="en-US"/>
              </w:rPr>
              <w:t xml:space="preserve"> </w:t>
            </w:r>
            <w:r w:rsidRPr="000F3C09">
              <w:rPr>
                <w:rFonts w:ascii="Simplified Arabic" w:eastAsia="YouYuan" w:hAnsi="Simplified Arabic" w:cs="Simplified Arabic"/>
                <w:kern w:val="2"/>
                <w:sz w:val="23"/>
                <w:szCs w:val="23"/>
                <w:rtl/>
                <w:lang w:val="fr-CH"/>
              </w:rPr>
              <w:t>الأصلية</w:t>
            </w:r>
            <w:r w:rsidRPr="000F3C09">
              <w:rPr>
                <w:rFonts w:ascii="Simplified Arabic" w:eastAsia="YouYuan" w:hAnsi="Simplified Arabic" w:cs="Simplified Arabic"/>
                <w:kern w:val="2"/>
                <w:sz w:val="23"/>
                <w:szCs w:val="23"/>
                <w:lang w:val="en-US"/>
              </w:rPr>
              <w:t xml:space="preserve"> </w:t>
            </w:r>
            <w:r w:rsidRPr="000F3C09">
              <w:rPr>
                <w:rFonts w:ascii="Simplified Arabic" w:eastAsia="YouYuan" w:hAnsi="Simplified Arabic" w:cs="Simplified Arabic"/>
                <w:kern w:val="2"/>
                <w:sz w:val="23"/>
                <w:szCs w:val="23"/>
                <w:rtl/>
                <w:lang w:val="fr-CH"/>
              </w:rPr>
              <w:t>والمجتمعات</w:t>
            </w:r>
            <w:r w:rsidRPr="000F3C09">
              <w:rPr>
                <w:rFonts w:ascii="Simplified Arabic" w:eastAsia="YouYuan" w:hAnsi="Simplified Arabic" w:cs="Simplified Arabic"/>
                <w:kern w:val="2"/>
                <w:sz w:val="23"/>
                <w:szCs w:val="23"/>
                <w:lang w:val="en-US"/>
              </w:rPr>
              <w:t xml:space="preserve"> </w:t>
            </w:r>
            <w:r w:rsidRPr="000F3C09">
              <w:rPr>
                <w:rFonts w:ascii="Simplified Arabic" w:eastAsia="YouYuan" w:hAnsi="Simplified Arabic" w:cs="Simplified Arabic"/>
                <w:kern w:val="2"/>
                <w:sz w:val="23"/>
                <w:szCs w:val="23"/>
                <w:rtl/>
                <w:lang w:val="fr-CH"/>
              </w:rPr>
              <w:t>المحلية</w:t>
            </w:r>
            <w:r w:rsidRPr="000F3C09">
              <w:rPr>
                <w:rFonts w:ascii="Simplified Arabic" w:eastAsia="YouYuan" w:hAnsi="Simplified Arabic" w:cs="Simplified Arabic" w:hint="cs"/>
                <w:kern w:val="2"/>
                <w:sz w:val="23"/>
                <w:szCs w:val="23"/>
                <w:rtl/>
                <w:lang w:val="fr-CH"/>
              </w:rPr>
              <w:t>، والنساء والشباب</w:t>
            </w:r>
            <w:r w:rsidRPr="000F3C09">
              <w:rPr>
                <w:rFonts w:ascii="Simplified Arabic" w:eastAsia="YouYuan" w:hAnsi="Simplified Arabic" w:cs="Simplified Arabic"/>
                <w:kern w:val="2"/>
                <w:sz w:val="23"/>
                <w:szCs w:val="23"/>
                <w:rtl/>
                <w:lang w:val="fr-CH"/>
              </w:rPr>
              <w:t xml:space="preserve"> والمنظمات ذات الصلة إلى تقديم معلومات عن احتياجات وأولويات تنمية القدرات</w:t>
            </w:r>
            <w:r w:rsidRPr="000F3C09">
              <w:rPr>
                <w:rFonts w:ascii="Simplified Arabic" w:eastAsia="YouYuan" w:hAnsi="Simplified Arabic" w:cs="Simplified Arabic" w:hint="cs"/>
                <w:kern w:val="2"/>
                <w:sz w:val="23"/>
                <w:szCs w:val="23"/>
                <w:rtl/>
                <w:lang w:val="fr-CH"/>
              </w:rPr>
              <w:t>،</w:t>
            </w:r>
            <w:r w:rsidRPr="000F3C09">
              <w:rPr>
                <w:rFonts w:ascii="Simplified Arabic" w:eastAsia="YouYuan" w:hAnsi="Simplified Arabic" w:cs="Simplified Arabic"/>
                <w:kern w:val="2"/>
                <w:sz w:val="23"/>
                <w:szCs w:val="23"/>
                <w:rtl/>
                <w:lang w:val="fr-CH"/>
              </w:rPr>
              <w:t xml:space="preserve"> والخبرات ذات الصلة والدروس المستفادة، وكذلك الآراء/الاقتراحات بشأن العناصر الم</w:t>
            </w:r>
            <w:r w:rsidRPr="000F3C09">
              <w:rPr>
                <w:rFonts w:ascii="Simplified Arabic" w:eastAsia="YouYuan" w:hAnsi="Simplified Arabic" w:cs="Simplified Arabic" w:hint="cs"/>
                <w:kern w:val="2"/>
                <w:sz w:val="23"/>
                <w:szCs w:val="23"/>
                <w:rtl/>
                <w:lang w:val="fr-CH"/>
              </w:rPr>
              <w:t>مكن</w:t>
            </w:r>
            <w:r w:rsidRPr="000F3C09">
              <w:rPr>
                <w:rFonts w:ascii="Simplified Arabic" w:eastAsia="YouYuan" w:hAnsi="Simplified Arabic" w:cs="Simplified Arabic"/>
                <w:kern w:val="2"/>
                <w:sz w:val="23"/>
                <w:szCs w:val="23"/>
                <w:rtl/>
                <w:lang w:val="fr-CH"/>
              </w:rPr>
              <w:t xml:space="preserve">ة للإطار الاستراتيجي </w:t>
            </w:r>
            <w:r w:rsidRPr="000F3C09">
              <w:rPr>
                <w:rFonts w:ascii="Simplified Arabic" w:eastAsia="YouYuan" w:hAnsi="Simplified Arabic" w:cs="Simplified Arabic" w:hint="cs"/>
                <w:kern w:val="2"/>
                <w:sz w:val="23"/>
                <w:szCs w:val="23"/>
                <w:rtl/>
                <w:lang w:val="fr-CH"/>
              </w:rPr>
              <w:t xml:space="preserve">الطويل الأجل </w:t>
            </w:r>
            <w:r w:rsidRPr="005F7C38">
              <w:rPr>
                <w:rFonts w:ascii="Simplified Arabic" w:eastAsia="YouYuan" w:hAnsi="Simplified Arabic" w:cs="Simplified Arabic" w:hint="cs"/>
                <w:spacing w:val="-8"/>
                <w:kern w:val="2"/>
                <w:sz w:val="23"/>
                <w:szCs w:val="23"/>
                <w:rtl/>
                <w:lang w:val="fr-CH"/>
              </w:rPr>
              <w:t xml:space="preserve">لبناء </w:t>
            </w:r>
            <w:r w:rsidRPr="005F7C38">
              <w:rPr>
                <w:rFonts w:ascii="Simplified Arabic" w:eastAsia="YouYuan" w:hAnsi="Simplified Arabic" w:cs="Simplified Arabic"/>
                <w:spacing w:val="-8"/>
                <w:kern w:val="2"/>
                <w:sz w:val="23"/>
                <w:szCs w:val="23"/>
                <w:rtl/>
                <w:lang w:val="fr-CH"/>
              </w:rPr>
              <w:t>القدرات</w:t>
            </w:r>
            <w:r w:rsidRPr="005F7C38">
              <w:rPr>
                <w:rFonts w:ascii="Simplified Arabic" w:eastAsia="YouYuan" w:hAnsi="Simplified Arabic" w:cs="Simplified Arabic" w:hint="cs"/>
                <w:spacing w:val="-8"/>
                <w:kern w:val="2"/>
                <w:sz w:val="23"/>
                <w:szCs w:val="23"/>
                <w:rtl/>
                <w:lang w:val="fr-CH"/>
              </w:rPr>
              <w:t xml:space="preserve"> </w:t>
            </w:r>
            <w:r w:rsidRPr="005F7C38">
              <w:rPr>
                <w:rFonts w:ascii="Simplified Arabic" w:eastAsia="YouYuan" w:hAnsi="Simplified Arabic" w:cs="Simplified Arabic"/>
                <w:spacing w:val="-8"/>
                <w:kern w:val="2"/>
                <w:sz w:val="23"/>
                <w:szCs w:val="23"/>
                <w:rtl/>
                <w:lang w:val="fr-CH"/>
              </w:rPr>
              <w:t>بعد عام</w:t>
            </w:r>
            <w:r w:rsidRPr="005F7C38">
              <w:rPr>
                <w:rFonts w:ascii="Simplified Arabic" w:eastAsia="YouYuan" w:hAnsi="Simplified Arabic" w:cs="Simplified Arabic"/>
                <w:spacing w:val="-8"/>
                <w:kern w:val="2"/>
                <w:sz w:val="23"/>
                <w:szCs w:val="23"/>
                <w:lang w:val="en-US"/>
              </w:rPr>
              <w:t xml:space="preserve"> </w:t>
            </w:r>
            <w:r w:rsidRPr="005F7C38">
              <w:rPr>
                <w:rFonts w:ascii="Simplified Arabic" w:eastAsia="YouYuan" w:hAnsi="Simplified Arabic" w:cs="Simplified Arabic"/>
                <w:spacing w:val="-8"/>
                <w:kern w:val="2"/>
                <w:sz w:val="23"/>
                <w:szCs w:val="23"/>
                <w:rtl/>
                <w:lang w:val="fr-CH"/>
              </w:rPr>
              <w:t>2020، واستكمال المعلومات المقدمة من خلال التقارير الوطنية</w:t>
            </w:r>
          </w:p>
        </w:tc>
        <w:tc>
          <w:tcPr>
            <w:tcW w:w="2352" w:type="dxa"/>
            <w:tcBorders>
              <w:top w:val="nil"/>
              <w:left w:val="nil"/>
              <w:bottom w:val="nil"/>
              <w:right w:val="nil"/>
            </w:tcBorders>
          </w:tcPr>
          <w:p w:rsidR="001C1C1D" w:rsidRPr="00FD7330" w:rsidRDefault="001C1C1D" w:rsidP="00E02C84">
            <w:pPr>
              <w:spacing w:after="100" w:line="204" w:lineRule="auto"/>
              <w:rPr>
                <w:rFonts w:ascii="Simplified Arabic" w:hAnsi="Simplified Arabic"/>
                <w:sz w:val="20"/>
                <w:rtl/>
                <w:lang w:val="fr-CH"/>
              </w:rPr>
            </w:pPr>
            <w:r w:rsidRPr="00FD7330">
              <w:rPr>
                <w:rFonts w:ascii="Simplified Arabic" w:hAnsi="Simplified Arabic"/>
                <w:sz w:val="20"/>
                <w:szCs w:val="22"/>
                <w:rtl/>
                <w:lang w:val="fr-CH"/>
              </w:rPr>
              <w:t>أغسطس</w:t>
            </w:r>
            <w:r w:rsidRPr="00FD7330">
              <w:rPr>
                <w:rFonts w:ascii="Simplified Arabic" w:hAnsi="Simplified Arabic"/>
                <w:sz w:val="20"/>
                <w:szCs w:val="22"/>
                <w:lang w:val="fr-CH"/>
              </w:rPr>
              <w:t>/</w:t>
            </w:r>
            <w:r w:rsidRPr="00FD7330">
              <w:rPr>
                <w:rFonts w:ascii="Simplified Arabic" w:hAnsi="Simplified Arabic"/>
                <w:sz w:val="20"/>
                <w:szCs w:val="22"/>
                <w:rtl/>
                <w:lang w:val="fr-CH"/>
              </w:rPr>
              <w:t>آب</w:t>
            </w:r>
            <w:r w:rsidRPr="00FD7330">
              <w:rPr>
                <w:rFonts w:ascii="Simplified Arabic" w:hAnsi="Simplified Arabic"/>
                <w:sz w:val="20"/>
                <w:szCs w:val="22"/>
                <w:lang w:val="fr-CH"/>
              </w:rPr>
              <w:t xml:space="preserve"> - </w:t>
            </w:r>
            <w:r>
              <w:rPr>
                <w:rFonts w:ascii="Simplified Arabic" w:hAnsi="Simplified Arabic" w:hint="cs"/>
                <w:sz w:val="20"/>
                <w:szCs w:val="22"/>
                <w:rtl/>
                <w:lang w:val="fr-CH"/>
              </w:rPr>
              <w:t xml:space="preserve"> </w:t>
            </w:r>
            <w:r w:rsidRPr="00FD7330">
              <w:rPr>
                <w:rFonts w:ascii="Simplified Arabic" w:hAnsi="Simplified Arabic"/>
                <w:sz w:val="20"/>
                <w:szCs w:val="22"/>
                <w:rtl/>
                <w:lang w:val="fr-CH"/>
              </w:rPr>
              <w:t>نوفمبر</w:t>
            </w:r>
            <w:r w:rsidRPr="00FD7330">
              <w:rPr>
                <w:rFonts w:ascii="Simplified Arabic" w:hAnsi="Simplified Arabic"/>
                <w:sz w:val="20"/>
                <w:szCs w:val="22"/>
                <w:lang w:val="fr-CH"/>
              </w:rPr>
              <w:t>/</w:t>
            </w:r>
            <w:r w:rsidRPr="00FD7330">
              <w:rPr>
                <w:rFonts w:ascii="Simplified Arabic" w:hAnsi="Simplified Arabic"/>
                <w:sz w:val="20"/>
                <w:szCs w:val="22"/>
                <w:rtl/>
                <w:lang w:val="fr-CH"/>
              </w:rPr>
              <w:t>تشرين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الثاني</w:t>
            </w:r>
            <w:r w:rsidRPr="00FD7330">
              <w:rPr>
                <w:rFonts w:ascii="Simplified Arabic" w:hAnsi="Simplified Arabic"/>
                <w:sz w:val="20"/>
                <w:szCs w:val="22"/>
                <w:lang w:val="fr-CH"/>
              </w:rPr>
              <w:t xml:space="preserve"> 201</w:t>
            </w:r>
            <w:r w:rsidRPr="00FD7330">
              <w:rPr>
                <w:rFonts w:ascii="Simplified Arabic" w:hAnsi="Simplified Arabic"/>
                <w:sz w:val="20"/>
                <w:lang w:val="fr-CH"/>
              </w:rPr>
              <w:t xml:space="preserve">8 </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الأمانة؛</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والأطراف،</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والشعوب</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الأصلية</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والمجتمعات</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المحلية،</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والمنظمات</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المعنية</w:t>
            </w:r>
          </w:p>
        </w:tc>
      </w:tr>
      <w:tr w:rsidR="001C1C1D" w:rsidRPr="00FD7330" w:rsidTr="005F7C38">
        <w:trPr>
          <w:jc w:val="center"/>
        </w:trPr>
        <w:tc>
          <w:tcPr>
            <w:tcW w:w="5247" w:type="dxa"/>
            <w:tcBorders>
              <w:top w:val="nil"/>
              <w:left w:val="nil"/>
              <w:bottom w:val="nil"/>
              <w:right w:val="nil"/>
            </w:tcBorders>
          </w:tcPr>
          <w:p w:rsidR="001C1C1D" w:rsidRPr="000F3C09"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0F3C09">
              <w:rPr>
                <w:rFonts w:ascii="Simplified Arabic" w:eastAsia="YouYuan" w:hAnsi="Simplified Arabic" w:cs="Simplified Arabic"/>
                <w:kern w:val="2"/>
                <w:sz w:val="23"/>
                <w:szCs w:val="23"/>
                <w:rtl/>
                <w:lang w:val="fr-CH"/>
              </w:rPr>
              <w:t>تقديم</w:t>
            </w:r>
            <w:r w:rsidRPr="000F3C09">
              <w:rPr>
                <w:rFonts w:ascii="Simplified Arabic" w:eastAsia="YouYuan" w:hAnsi="Simplified Arabic" w:cs="Simplified Arabic"/>
                <w:kern w:val="2"/>
                <w:sz w:val="23"/>
                <w:szCs w:val="23"/>
                <w:lang w:val="fr-CH"/>
              </w:rPr>
              <w:t xml:space="preserve"> </w:t>
            </w:r>
            <w:r w:rsidRPr="000F3C09">
              <w:rPr>
                <w:rFonts w:ascii="Simplified Arabic" w:eastAsia="YouYuan" w:hAnsi="Simplified Arabic" w:cs="Simplified Arabic"/>
                <w:kern w:val="2"/>
                <w:sz w:val="23"/>
                <w:szCs w:val="23"/>
                <w:rtl/>
                <w:lang w:val="fr-CH"/>
              </w:rPr>
              <w:t>التقارير</w:t>
            </w:r>
            <w:r w:rsidRPr="000F3C09">
              <w:rPr>
                <w:rFonts w:ascii="Simplified Arabic" w:eastAsia="YouYuan" w:hAnsi="Simplified Arabic" w:cs="Simplified Arabic"/>
                <w:kern w:val="2"/>
                <w:sz w:val="23"/>
                <w:szCs w:val="23"/>
                <w:lang w:val="fr-CH"/>
              </w:rPr>
              <w:t xml:space="preserve"> </w:t>
            </w:r>
            <w:r w:rsidRPr="000F3C09">
              <w:rPr>
                <w:rFonts w:ascii="Simplified Arabic" w:eastAsia="YouYuan" w:hAnsi="Simplified Arabic" w:cs="Simplified Arabic"/>
                <w:kern w:val="2"/>
                <w:sz w:val="23"/>
                <w:szCs w:val="23"/>
                <w:rtl/>
                <w:lang w:val="fr-CH"/>
              </w:rPr>
              <w:t>الوطنية</w:t>
            </w:r>
          </w:p>
        </w:tc>
        <w:tc>
          <w:tcPr>
            <w:tcW w:w="2352" w:type="dxa"/>
            <w:tcBorders>
              <w:top w:val="nil"/>
              <w:left w:val="nil"/>
              <w:bottom w:val="nil"/>
              <w:right w:val="nil"/>
            </w:tcBorders>
          </w:tcPr>
          <w:p w:rsidR="001C1C1D" w:rsidRPr="00FD7330" w:rsidRDefault="001C1C1D" w:rsidP="00E02C84">
            <w:pPr>
              <w:spacing w:after="100" w:line="204" w:lineRule="auto"/>
              <w:rPr>
                <w:rFonts w:ascii="Simplified Arabic" w:hAnsi="Simplified Arabic"/>
                <w:sz w:val="20"/>
                <w:szCs w:val="22"/>
                <w:rtl/>
                <w:lang w:val="fr-CH"/>
              </w:rPr>
            </w:pPr>
            <w:r w:rsidRPr="00FD7330">
              <w:rPr>
                <w:rFonts w:ascii="Simplified Arabic" w:hAnsi="Simplified Arabic"/>
                <w:sz w:val="20"/>
                <w:szCs w:val="22"/>
                <w:rtl/>
                <w:lang w:val="fr-CH"/>
              </w:rPr>
              <w:t>ديسمبر</w:t>
            </w:r>
            <w:r w:rsidRPr="00FD7330">
              <w:rPr>
                <w:rFonts w:ascii="Simplified Arabic" w:hAnsi="Simplified Arabic"/>
                <w:sz w:val="20"/>
                <w:szCs w:val="22"/>
                <w:lang w:val="fr-CH"/>
              </w:rPr>
              <w:t>/</w:t>
            </w:r>
            <w:r w:rsidRPr="00FD7330">
              <w:rPr>
                <w:rFonts w:ascii="Simplified Arabic" w:hAnsi="Simplified Arabic"/>
                <w:sz w:val="20"/>
                <w:szCs w:val="22"/>
                <w:rtl/>
                <w:lang w:val="fr-CH"/>
              </w:rPr>
              <w:t>كانون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الأول</w:t>
            </w:r>
            <w:r w:rsidRPr="00FD7330">
              <w:rPr>
                <w:rFonts w:ascii="Simplified Arabic" w:hAnsi="Simplified Arabic"/>
                <w:sz w:val="20"/>
                <w:szCs w:val="22"/>
                <w:lang w:val="fr-CH"/>
              </w:rPr>
              <w:t xml:space="preserve"> 2018 </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الأطراف</w:t>
            </w:r>
          </w:p>
        </w:tc>
      </w:tr>
      <w:tr w:rsidR="001C1C1D" w:rsidRPr="00FD7330" w:rsidTr="005F7C38">
        <w:trPr>
          <w:jc w:val="center"/>
        </w:trPr>
        <w:tc>
          <w:tcPr>
            <w:tcW w:w="5247" w:type="dxa"/>
            <w:tcBorders>
              <w:top w:val="nil"/>
              <w:left w:val="nil"/>
              <w:bottom w:val="nil"/>
              <w:right w:val="nil"/>
            </w:tcBorders>
          </w:tcPr>
          <w:p w:rsidR="001C1C1D" w:rsidRPr="000F3C09"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lang w:val="en-US"/>
              </w:rPr>
            </w:pPr>
            <w:r w:rsidRPr="000F3C09">
              <w:rPr>
                <w:rFonts w:ascii="Simplified Arabic" w:eastAsia="YouYuan" w:hAnsi="Simplified Arabic" w:cs="Simplified Arabic"/>
                <w:kern w:val="2"/>
                <w:sz w:val="23"/>
                <w:szCs w:val="23"/>
                <w:rtl/>
                <w:lang w:val="fr-CH"/>
              </w:rPr>
              <w:t xml:space="preserve">التقييم المستقل </w:t>
            </w:r>
            <w:r w:rsidRPr="000F3C09">
              <w:rPr>
                <w:rFonts w:ascii="Simplified Arabic" w:eastAsia="YouYuan" w:hAnsi="Simplified Arabic" w:cs="Simplified Arabic" w:hint="cs"/>
                <w:kern w:val="2"/>
                <w:sz w:val="23"/>
                <w:szCs w:val="23"/>
                <w:rtl/>
                <w:lang w:val="fr-CH"/>
              </w:rPr>
              <w:t>لنتائج</w:t>
            </w:r>
            <w:r w:rsidRPr="000F3C09">
              <w:rPr>
                <w:rFonts w:ascii="Simplified Arabic" w:eastAsia="YouYuan" w:hAnsi="Simplified Arabic" w:cs="Simplified Arabic"/>
                <w:kern w:val="2"/>
                <w:sz w:val="23"/>
                <w:szCs w:val="23"/>
                <w:rtl/>
                <w:lang w:val="fr-CH"/>
              </w:rPr>
              <w:t xml:space="preserve"> خطة العمل القصيرة الأجل وفعاليتها (2017-2020) لتعزيز ودعم بناء القدرات من أجل تنفيذ الاتفاقية وبروتوكوليها</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sidRPr="00FD7330">
              <w:rPr>
                <w:rFonts w:ascii="Simplified Arabic" w:hAnsi="Simplified Arabic"/>
                <w:sz w:val="20"/>
                <w:szCs w:val="22"/>
              </w:rPr>
              <w:t xml:space="preserve"> </w:t>
            </w:r>
            <w:r w:rsidRPr="00FD7330">
              <w:rPr>
                <w:rFonts w:ascii="Simplified Arabic" w:hAnsi="Simplified Arabic" w:hint="cs"/>
                <w:sz w:val="20"/>
                <w:szCs w:val="22"/>
                <w:rtl/>
                <w:lang w:val="fr-CH"/>
              </w:rPr>
              <w:t xml:space="preserve">يونيه/حزيران - </w:t>
            </w:r>
            <w:r>
              <w:rPr>
                <w:rFonts w:ascii="Simplified Arabic" w:hAnsi="Simplified Arabic" w:hint="cs"/>
                <w:sz w:val="20"/>
                <w:szCs w:val="22"/>
                <w:rtl/>
                <w:lang w:val="fr-CH"/>
              </w:rPr>
              <w:t xml:space="preserve"> </w:t>
            </w:r>
            <w:r w:rsidRPr="00FD7330">
              <w:rPr>
                <w:rFonts w:ascii="Simplified Arabic" w:hAnsi="Simplified Arabic"/>
                <w:sz w:val="20"/>
                <w:szCs w:val="22"/>
                <w:rtl/>
                <w:lang w:val="fr-CH"/>
              </w:rPr>
              <w:t>ديسمبر</w:t>
            </w:r>
            <w:r w:rsidR="006D298F">
              <w:rPr>
                <w:rFonts w:ascii="Simplified Arabic" w:hAnsi="Simplified Arabic"/>
                <w:sz w:val="20"/>
                <w:szCs w:val="22"/>
              </w:rPr>
              <w:t xml:space="preserve"> </w:t>
            </w:r>
            <w:r w:rsidRPr="00FD7330">
              <w:rPr>
                <w:rFonts w:ascii="Simplified Arabic" w:hAnsi="Simplified Arabic"/>
                <w:sz w:val="20"/>
                <w:szCs w:val="22"/>
              </w:rPr>
              <w:t>/</w:t>
            </w:r>
            <w:r w:rsidRPr="00FD7330">
              <w:rPr>
                <w:rFonts w:ascii="Simplified Arabic" w:hAnsi="Simplified Arabic"/>
                <w:sz w:val="20"/>
                <w:szCs w:val="22"/>
                <w:rtl/>
                <w:lang w:val="fr-CH"/>
              </w:rPr>
              <w:t>كانون</w:t>
            </w:r>
            <w:r w:rsidRPr="00FD7330">
              <w:rPr>
                <w:rFonts w:ascii="Simplified Arabic" w:hAnsi="Simplified Arabic"/>
                <w:sz w:val="20"/>
                <w:szCs w:val="22"/>
              </w:rPr>
              <w:t xml:space="preserve"> </w:t>
            </w:r>
            <w:r w:rsidRPr="00FD7330">
              <w:rPr>
                <w:rFonts w:ascii="Simplified Arabic" w:hAnsi="Simplified Arabic"/>
                <w:sz w:val="20"/>
                <w:szCs w:val="22"/>
                <w:rtl/>
                <w:lang w:val="fr-CH"/>
              </w:rPr>
              <w:t>الأول</w:t>
            </w:r>
            <w:r w:rsidRPr="00FD7330">
              <w:rPr>
                <w:rFonts w:ascii="Simplified Arabic" w:hAnsi="Simplified Arabic" w:hint="cs"/>
                <w:sz w:val="20"/>
                <w:szCs w:val="22"/>
                <w:rtl/>
                <w:lang w:val="fr-CH"/>
              </w:rPr>
              <w:t xml:space="preserve"> </w:t>
            </w:r>
            <w:r w:rsidRPr="00FD7330">
              <w:rPr>
                <w:rFonts w:ascii="Simplified Arabic" w:hAnsi="Simplified Arabic"/>
                <w:sz w:val="20"/>
                <w:szCs w:val="22"/>
              </w:rPr>
              <w:t>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p>
        </w:tc>
      </w:tr>
      <w:tr w:rsidR="001C1C1D" w:rsidRPr="00FD7330" w:rsidTr="005F7C38">
        <w:trPr>
          <w:jc w:val="center"/>
        </w:trPr>
        <w:tc>
          <w:tcPr>
            <w:tcW w:w="5247" w:type="dxa"/>
            <w:tcBorders>
              <w:top w:val="nil"/>
              <w:left w:val="nil"/>
              <w:bottom w:val="nil"/>
              <w:right w:val="nil"/>
            </w:tcBorders>
          </w:tcPr>
          <w:p w:rsidR="001C1C1D" w:rsidRPr="000F3C09"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lang w:val="en-US"/>
              </w:rPr>
            </w:pPr>
            <w:r w:rsidRPr="000F3C09">
              <w:rPr>
                <w:rFonts w:ascii="Simplified Arabic" w:eastAsia="YouYuan" w:hAnsi="Simplified Arabic" w:cs="Simplified Arabic"/>
                <w:kern w:val="2"/>
                <w:sz w:val="23"/>
                <w:szCs w:val="23"/>
                <w:rtl/>
                <w:lang w:val="fr-CH"/>
              </w:rPr>
              <w:t>إجراء الدراسة لتوفير قاعدة المعارف ل</w:t>
            </w:r>
            <w:r w:rsidRPr="000F3C09">
              <w:rPr>
                <w:rFonts w:ascii="Simplified Arabic" w:eastAsia="YouYuan" w:hAnsi="Simplified Arabic" w:cs="Simplified Arabic" w:hint="cs"/>
                <w:kern w:val="2"/>
                <w:sz w:val="23"/>
                <w:szCs w:val="23"/>
                <w:rtl/>
                <w:lang w:val="fr-CH"/>
              </w:rPr>
              <w:t>تحضير</w:t>
            </w:r>
            <w:r w:rsidRPr="000F3C09">
              <w:rPr>
                <w:rFonts w:ascii="Simplified Arabic" w:eastAsia="YouYuan" w:hAnsi="Simplified Arabic" w:cs="Simplified Arabic"/>
                <w:kern w:val="2"/>
                <w:sz w:val="23"/>
                <w:szCs w:val="23"/>
                <w:rtl/>
                <w:lang w:val="fr-CH"/>
              </w:rPr>
              <w:t xml:space="preserve"> الإطار الاستراتيجي الطويل الأجل لبناء القدرات</w:t>
            </w:r>
            <w:r w:rsidRPr="000F3C09">
              <w:rPr>
                <w:rFonts w:ascii="Simplified Arabic" w:eastAsia="YouYuan" w:hAnsi="Simplified Arabic" w:cs="Simplified Arabic" w:hint="cs"/>
                <w:kern w:val="2"/>
                <w:sz w:val="23"/>
                <w:szCs w:val="23"/>
                <w:rtl/>
                <w:lang w:val="fr-CH"/>
              </w:rPr>
              <w:t xml:space="preserve"> بعد 2020</w:t>
            </w:r>
            <w:r w:rsidRPr="000F3C09">
              <w:rPr>
                <w:rFonts w:ascii="Simplified Arabic" w:eastAsia="YouYuan" w:hAnsi="Simplified Arabic" w:cs="Simplified Arabic"/>
                <w:kern w:val="2"/>
                <w:sz w:val="23"/>
                <w:szCs w:val="23"/>
                <w:rtl/>
                <w:lang w:val="fr-CH"/>
              </w:rPr>
              <w:t>، بما في ذلك إجراء استعراض مكتبي للتقارير والوثائق ذات الصلة؛ وتجميع المعلومات الواردة من الأطراف والشعوب الأصلية والمجتمعات المحلية والمنظمات ذات الصلة؛ والدراسات</w:t>
            </w:r>
            <w:r w:rsidRPr="000F3C09">
              <w:rPr>
                <w:rFonts w:ascii="Simplified Arabic" w:eastAsia="YouYuan" w:hAnsi="Simplified Arabic" w:cs="Simplified Arabic"/>
                <w:kern w:val="2"/>
                <w:sz w:val="23"/>
                <w:szCs w:val="23"/>
                <w:lang w:val="en-US"/>
              </w:rPr>
              <w:t xml:space="preserve"> </w:t>
            </w:r>
            <w:r w:rsidRPr="000F3C09">
              <w:rPr>
                <w:rFonts w:ascii="Simplified Arabic" w:eastAsia="YouYuan" w:hAnsi="Simplified Arabic" w:cs="Simplified Arabic"/>
                <w:kern w:val="2"/>
                <w:sz w:val="23"/>
                <w:szCs w:val="23"/>
                <w:rtl/>
                <w:lang w:val="fr-CH"/>
              </w:rPr>
              <w:t>الاستقصائية/المقابلات مع أصحاب</w:t>
            </w:r>
            <w:r w:rsidRPr="000F3C09">
              <w:rPr>
                <w:rFonts w:ascii="Simplified Arabic" w:eastAsia="YouYuan" w:hAnsi="Simplified Arabic" w:cs="Simplified Arabic"/>
                <w:kern w:val="2"/>
                <w:sz w:val="23"/>
                <w:szCs w:val="23"/>
                <w:lang w:val="en-US"/>
              </w:rPr>
              <w:t xml:space="preserve"> </w:t>
            </w:r>
            <w:r w:rsidRPr="000F3C09">
              <w:rPr>
                <w:rFonts w:ascii="Simplified Arabic" w:eastAsia="YouYuan" w:hAnsi="Simplified Arabic" w:cs="Simplified Arabic"/>
                <w:kern w:val="2"/>
                <w:sz w:val="23"/>
                <w:szCs w:val="23"/>
                <w:rtl/>
                <w:lang w:val="fr-CH"/>
              </w:rPr>
              <w:t>المصلحة الرئيسيين</w:t>
            </w:r>
            <w:r w:rsidRPr="000F3C09">
              <w:rPr>
                <w:rFonts w:ascii="Simplified Arabic" w:eastAsia="YouYuan" w:hAnsi="Simplified Arabic" w:cs="Simplified Arabic" w:hint="cs"/>
                <w:kern w:val="2"/>
                <w:sz w:val="23"/>
                <w:szCs w:val="23"/>
                <w:rtl/>
                <w:lang w:val="fr-CH"/>
              </w:rPr>
              <w:t>، بما في ذلك النساء والشباب</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lang w:val="fr-CH"/>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يناير</w:t>
            </w:r>
            <w:r w:rsidRPr="00FD7330">
              <w:rPr>
                <w:rFonts w:ascii="Simplified Arabic" w:hAnsi="Simplified Arabic"/>
                <w:sz w:val="20"/>
                <w:szCs w:val="22"/>
                <w:lang w:val="fr-CH"/>
              </w:rPr>
              <w:t>/</w:t>
            </w:r>
            <w:r w:rsidRPr="00FD7330">
              <w:rPr>
                <w:rFonts w:ascii="Simplified Arabic" w:hAnsi="Simplified Arabic"/>
                <w:sz w:val="20"/>
                <w:szCs w:val="22"/>
                <w:rtl/>
                <w:lang w:val="fr-CH"/>
              </w:rPr>
              <w:t>كانون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الثاني</w:t>
            </w:r>
            <w:r w:rsidRPr="00FD7330">
              <w:rPr>
                <w:rFonts w:ascii="Simplified Arabic" w:hAnsi="Simplified Arabic"/>
                <w:sz w:val="20"/>
                <w:szCs w:val="22"/>
                <w:lang w:val="fr-CH"/>
              </w:rPr>
              <w:t xml:space="preserve"> – </w:t>
            </w:r>
            <w:r w:rsidRPr="00FD7330">
              <w:rPr>
                <w:rFonts w:ascii="Simplified Arabic" w:hAnsi="Simplified Arabic"/>
                <w:sz w:val="20"/>
                <w:szCs w:val="22"/>
                <w:rtl/>
                <w:lang w:val="fr-CH"/>
              </w:rPr>
              <w:t>أبريل</w:t>
            </w:r>
            <w:r w:rsidRPr="00FD7330">
              <w:rPr>
                <w:rFonts w:ascii="Simplified Arabic" w:hAnsi="Simplified Arabic"/>
                <w:sz w:val="20"/>
                <w:szCs w:val="22"/>
                <w:lang w:val="fr-CH"/>
              </w:rPr>
              <w:t>/</w:t>
            </w:r>
            <w:r w:rsidRPr="00FD7330">
              <w:rPr>
                <w:rFonts w:ascii="Simplified Arabic" w:hAnsi="Simplified Arabic"/>
                <w:sz w:val="20"/>
                <w:szCs w:val="22"/>
                <w:rtl/>
                <w:lang w:val="fr-CH"/>
              </w:rPr>
              <w:t>نيسان</w:t>
            </w:r>
            <w:r w:rsidRPr="00FD7330">
              <w:rPr>
                <w:rFonts w:ascii="Simplified Arabic" w:hAnsi="Simplified Arabic"/>
                <w:sz w:val="20"/>
                <w:szCs w:val="22"/>
                <w:lang w:val="fr-CH"/>
              </w:rPr>
              <w:t xml:space="preserve">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p>
        </w:tc>
      </w:tr>
      <w:tr w:rsidR="001C1C1D" w:rsidRPr="00FD7330" w:rsidTr="005F7C38">
        <w:trPr>
          <w:jc w:val="center"/>
        </w:trPr>
        <w:tc>
          <w:tcPr>
            <w:tcW w:w="5247" w:type="dxa"/>
            <w:tcBorders>
              <w:top w:val="nil"/>
              <w:left w:val="nil"/>
              <w:bottom w:val="nil"/>
              <w:right w:val="nil"/>
            </w:tcBorders>
          </w:tcPr>
          <w:p w:rsidR="001C1C1D" w:rsidRPr="000F3C09"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0F3C09">
              <w:rPr>
                <w:rFonts w:ascii="Simplified Arabic" w:eastAsia="YouYuan" w:hAnsi="Simplified Arabic" w:cs="Simplified Arabic"/>
                <w:kern w:val="2"/>
                <w:sz w:val="23"/>
                <w:szCs w:val="23"/>
                <w:rtl/>
                <w:lang w:val="fr-CH"/>
              </w:rPr>
              <w:t>إعداد مشروع تقرير دراسة يستند إلى التقارير الواردة من الأطراف والشعوب الأصلية والمجتمعات المحلية</w:t>
            </w:r>
            <w:r w:rsidRPr="000F3C09">
              <w:rPr>
                <w:rFonts w:ascii="Simplified Arabic" w:eastAsia="YouYuan" w:hAnsi="Simplified Arabic" w:cs="Simplified Arabic" w:hint="cs"/>
                <w:kern w:val="2"/>
                <w:sz w:val="23"/>
                <w:szCs w:val="23"/>
                <w:rtl/>
                <w:lang w:val="fr-CH"/>
              </w:rPr>
              <w:t xml:space="preserve"> والنساء والشباب</w:t>
            </w:r>
            <w:r w:rsidRPr="000F3C09">
              <w:rPr>
                <w:rFonts w:ascii="Simplified Arabic" w:eastAsia="YouYuan" w:hAnsi="Simplified Arabic" w:cs="Simplified Arabic"/>
                <w:kern w:val="2"/>
                <w:sz w:val="23"/>
                <w:szCs w:val="23"/>
                <w:rtl/>
                <w:lang w:val="fr-CH"/>
              </w:rPr>
              <w:t xml:space="preserve"> والمنظمات ذات الصلة وأصحاب المصلحة واستعراض التقارير </w:t>
            </w:r>
            <w:r w:rsidRPr="000F3C09">
              <w:rPr>
                <w:rFonts w:ascii="Simplified Arabic" w:eastAsia="YouYuan" w:hAnsi="Simplified Arabic" w:cs="Simplified Arabic"/>
                <w:kern w:val="2"/>
                <w:sz w:val="23"/>
                <w:szCs w:val="23"/>
                <w:rtl/>
                <w:lang w:val="fr-CH"/>
              </w:rPr>
              <w:lastRenderedPageBreak/>
              <w:t>الوطنية والوثائق الأخرى ذات الصلة</w:t>
            </w:r>
            <w:r w:rsidRPr="000F3C09">
              <w:rPr>
                <w:rFonts w:ascii="Simplified Arabic" w:eastAsia="YouYuan" w:hAnsi="Simplified Arabic" w:cs="Simplified Arabic"/>
                <w:kern w:val="2"/>
                <w:sz w:val="23"/>
                <w:szCs w:val="23"/>
                <w:lang w:val="en-US"/>
              </w:rPr>
              <w:t xml:space="preserve"> </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sidRPr="00FD7330">
              <w:rPr>
                <w:rFonts w:ascii="Simplified Arabic" w:hAnsi="Simplified Arabic" w:hint="cs"/>
                <w:sz w:val="20"/>
                <w:szCs w:val="22"/>
                <w:rtl/>
                <w:lang w:val="fr-CH"/>
              </w:rPr>
              <w:lastRenderedPageBreak/>
              <w:t xml:space="preserve"> </w:t>
            </w:r>
            <w:r w:rsidRPr="00FD7330">
              <w:rPr>
                <w:rFonts w:ascii="Simplified Arabic" w:hAnsi="Simplified Arabic"/>
                <w:sz w:val="20"/>
                <w:szCs w:val="22"/>
                <w:rtl/>
                <w:lang w:val="fr-CH"/>
              </w:rPr>
              <w:t>أبريل</w:t>
            </w:r>
            <w:r w:rsidRPr="00FD7330">
              <w:rPr>
                <w:rFonts w:ascii="Simplified Arabic" w:hAnsi="Simplified Arabic"/>
                <w:sz w:val="20"/>
                <w:szCs w:val="22"/>
                <w:lang w:val="fr-CH"/>
              </w:rPr>
              <w:t>/</w:t>
            </w:r>
            <w:r w:rsidRPr="00FD7330">
              <w:rPr>
                <w:rFonts w:ascii="Simplified Arabic" w:hAnsi="Simplified Arabic"/>
                <w:sz w:val="20"/>
                <w:szCs w:val="22"/>
                <w:rtl/>
                <w:lang w:val="fr-CH"/>
              </w:rPr>
              <w:t>نيسان</w:t>
            </w:r>
            <w:r>
              <w:rPr>
                <w:rFonts w:ascii="Simplified Arabic" w:hAnsi="Simplified Arabic"/>
                <w:sz w:val="20"/>
                <w:szCs w:val="22"/>
              </w:rPr>
              <w:t xml:space="preserve"> </w:t>
            </w:r>
            <w:r w:rsidRPr="00FD7330">
              <w:rPr>
                <w:rFonts w:ascii="Simplified Arabic" w:hAnsi="Simplified Arabic"/>
                <w:sz w:val="20"/>
                <w:szCs w:val="22"/>
                <w:lang w:val="fr-CH"/>
              </w:rPr>
              <w:t xml:space="preserve"> – </w:t>
            </w:r>
            <w:r w:rsidRPr="00FD7330">
              <w:rPr>
                <w:rFonts w:ascii="Simplified Arabic" w:hAnsi="Simplified Arabic"/>
                <w:sz w:val="20"/>
                <w:szCs w:val="22"/>
                <w:rtl/>
                <w:lang w:val="fr-CH"/>
              </w:rPr>
              <w:t>مايو</w:t>
            </w:r>
            <w:r w:rsidRPr="00FD7330">
              <w:rPr>
                <w:rFonts w:ascii="Simplified Arabic" w:hAnsi="Simplified Arabic"/>
                <w:sz w:val="20"/>
                <w:szCs w:val="22"/>
                <w:lang w:val="fr-CH"/>
              </w:rPr>
              <w:t>/</w:t>
            </w:r>
            <w:r w:rsidRPr="00FD7330">
              <w:rPr>
                <w:rFonts w:ascii="Simplified Arabic" w:hAnsi="Simplified Arabic"/>
                <w:sz w:val="20"/>
                <w:szCs w:val="22"/>
                <w:rtl/>
                <w:lang w:val="fr-CH"/>
              </w:rPr>
              <w:t>أيار</w:t>
            </w:r>
            <w:r w:rsidRPr="00FD7330">
              <w:rPr>
                <w:rFonts w:ascii="Simplified Arabic" w:hAnsi="Simplified Arabic"/>
                <w:sz w:val="20"/>
                <w:szCs w:val="22"/>
                <w:lang w:val="fr-CH"/>
              </w:rPr>
              <w:t xml:space="preserve">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r w:rsidRPr="00FD7330">
              <w:rPr>
                <w:rFonts w:ascii="Simplified Arabic" w:hAnsi="Simplified Arabic" w:hint="cs"/>
                <w:sz w:val="20"/>
                <w:szCs w:val="22"/>
                <w:rtl/>
                <w:lang w:val="fr-CH"/>
              </w:rPr>
              <w:t>؛</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والأمانة</w:t>
            </w:r>
          </w:p>
        </w:tc>
      </w:tr>
      <w:tr w:rsidR="001C1C1D" w:rsidRPr="00FD7330" w:rsidTr="005F7C38">
        <w:trPr>
          <w:jc w:val="center"/>
        </w:trPr>
        <w:tc>
          <w:tcPr>
            <w:tcW w:w="5247" w:type="dxa"/>
            <w:tcBorders>
              <w:top w:val="nil"/>
              <w:left w:val="nil"/>
              <w:bottom w:val="nil"/>
              <w:right w:val="nil"/>
            </w:tcBorders>
          </w:tcPr>
          <w:p w:rsidR="001C1C1D" w:rsidRPr="007511F1"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0F3C09">
              <w:rPr>
                <w:rFonts w:ascii="Simplified Arabic" w:eastAsia="YouYuan" w:hAnsi="Simplified Arabic" w:cs="Simplified Arabic" w:hint="cs"/>
                <w:kern w:val="2"/>
                <w:sz w:val="23"/>
                <w:szCs w:val="23"/>
                <w:rtl/>
                <w:lang w:val="fr-CH"/>
              </w:rPr>
              <w:lastRenderedPageBreak/>
              <w:t xml:space="preserve">مساهمة من فريق الاتصال المعني ببناء القدرات لأغراض السلامة الأحيائية </w:t>
            </w:r>
            <w:r>
              <w:rPr>
                <w:rFonts w:ascii="Simplified Arabic" w:eastAsia="YouYuan" w:hAnsi="Simplified Arabic" w:cs="Simplified Arabic" w:hint="cs"/>
                <w:kern w:val="2"/>
                <w:sz w:val="23"/>
                <w:szCs w:val="23"/>
                <w:rtl/>
                <w:lang w:val="fr-CH"/>
              </w:rPr>
              <w:t xml:space="preserve">واللجنة الاستشارية غير الرسمية </w:t>
            </w:r>
            <w:r w:rsidRPr="000F3C09">
              <w:rPr>
                <w:rFonts w:ascii="Simplified Arabic" w:eastAsia="YouYuan" w:hAnsi="Simplified Arabic" w:cs="Simplified Arabic" w:hint="cs"/>
                <w:kern w:val="2"/>
                <w:sz w:val="23"/>
                <w:szCs w:val="23"/>
                <w:rtl/>
                <w:lang w:val="fr-CH"/>
              </w:rPr>
              <w:t xml:space="preserve">المعنية ببناء القدرات من أجل تنفيذ بروتوكول ناغويا، </w:t>
            </w:r>
            <w:r>
              <w:rPr>
                <w:rFonts w:ascii="Simplified Arabic" w:eastAsia="YouYuan" w:hAnsi="Simplified Arabic" w:cs="Simplified Arabic" w:hint="cs"/>
                <w:kern w:val="2"/>
                <w:sz w:val="23"/>
                <w:szCs w:val="23"/>
                <w:rtl/>
                <w:lang w:val="fr-CH"/>
              </w:rPr>
              <w:t xml:space="preserve">وفريق الاتصال المعني بالاتفاقيات المتعلقة بالتنوع البيولوجي وغيرها من المنتديات بشأن بناء القدرات، مثل المنبر الحكومي الدولي للعلوم والسياسات في مجال التنوع البيولوجي وخدمات النظم الإيكولوجية </w:t>
            </w:r>
            <w:r w:rsidRPr="00465A6E">
              <w:rPr>
                <w:rFonts w:eastAsia="YouYuan"/>
                <w:kern w:val="2"/>
                <w:sz w:val="20"/>
                <w:szCs w:val="20"/>
                <w:lang w:val="en-US"/>
              </w:rPr>
              <w:t>(IPBES)</w:t>
            </w:r>
            <w:r>
              <w:rPr>
                <w:rFonts w:ascii="Simplified Arabic" w:eastAsia="YouYuan" w:hAnsi="Simplified Arabic" w:cs="Simplified Arabic" w:hint="cs"/>
                <w:kern w:val="2"/>
                <w:sz w:val="23"/>
                <w:szCs w:val="23"/>
                <w:rtl/>
                <w:lang w:val="fr-CH"/>
              </w:rPr>
              <w:t xml:space="preserve">، </w:t>
            </w:r>
            <w:r w:rsidRPr="000F3C09">
              <w:rPr>
                <w:rFonts w:ascii="Simplified Arabic" w:eastAsia="YouYuan" w:hAnsi="Simplified Arabic" w:cs="Simplified Arabic" w:hint="cs"/>
                <w:kern w:val="2"/>
                <w:sz w:val="23"/>
                <w:szCs w:val="23"/>
                <w:rtl/>
                <w:lang w:val="fr-CH"/>
              </w:rPr>
              <w:t>في إعداد مشروع الإطار الاستراتيجي الطويل الأجل لبناء القدرات بعد عام 2020</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Pr>
                <w:rFonts w:ascii="Simplified Arabic" w:hAnsi="Simplified Arabic" w:hint="cs"/>
                <w:sz w:val="20"/>
                <w:szCs w:val="22"/>
                <w:rtl/>
                <w:lang w:val="fr-CH"/>
              </w:rPr>
              <w:t xml:space="preserve">مارس/آذار </w:t>
            </w:r>
            <w:r>
              <w:rPr>
                <w:rFonts w:ascii="Simplified Arabic" w:hAnsi="Simplified Arabic"/>
                <w:sz w:val="20"/>
                <w:szCs w:val="22"/>
                <w:rtl/>
                <w:lang w:val="fr-CH"/>
              </w:rPr>
              <w:t>–</w:t>
            </w:r>
            <w:r>
              <w:rPr>
                <w:rFonts w:ascii="Simplified Arabic" w:hAnsi="Simplified Arabic" w:hint="cs"/>
                <w:sz w:val="20"/>
                <w:szCs w:val="22"/>
                <w:rtl/>
                <w:lang w:val="fr-CH"/>
              </w:rPr>
              <w:t xml:space="preserve">  مايو/أيار 2019</w:t>
            </w:r>
          </w:p>
        </w:tc>
        <w:tc>
          <w:tcPr>
            <w:tcW w:w="2813" w:type="dxa"/>
            <w:tcBorders>
              <w:top w:val="nil"/>
              <w:left w:val="nil"/>
              <w:bottom w:val="nil"/>
              <w:right w:val="nil"/>
            </w:tcBorders>
          </w:tcPr>
          <w:p w:rsidR="001C1C1D" w:rsidRPr="00465A6E" w:rsidRDefault="001C1C1D" w:rsidP="00E02C84">
            <w:pPr>
              <w:spacing w:after="100" w:line="204" w:lineRule="auto"/>
              <w:jc w:val="lowKashida"/>
              <w:rPr>
                <w:rFonts w:ascii="Simplified Arabic" w:hAnsi="Simplified Arabic"/>
                <w:sz w:val="20"/>
                <w:szCs w:val="22"/>
                <w:rtl/>
              </w:rPr>
            </w:pPr>
            <w:r>
              <w:rPr>
                <w:rFonts w:ascii="Simplified Arabic" w:hAnsi="Simplified Arabic" w:hint="cs"/>
                <w:sz w:val="20"/>
                <w:szCs w:val="22"/>
                <w:rtl/>
                <w:lang w:val="fr-CH"/>
              </w:rPr>
              <w:t xml:space="preserve">فريق الاتصال المعني ببناء القدرات </w:t>
            </w:r>
            <w:r w:rsidRPr="005F7C38">
              <w:rPr>
                <w:rFonts w:ascii="Simplified Arabic" w:hAnsi="Simplified Arabic" w:hint="cs"/>
                <w:spacing w:val="-8"/>
                <w:sz w:val="20"/>
                <w:szCs w:val="22"/>
                <w:rtl/>
                <w:lang w:val="fr-CH"/>
              </w:rPr>
              <w:t>لأغراض السلامة الأحيائية؛ واللجنة الاستشارية غير الرسمية المعنية ببناء القدرات من أجل تنفيذ بروتوكول ناغويا؛</w:t>
            </w:r>
            <w:r>
              <w:rPr>
                <w:rFonts w:ascii="Simplified Arabic" w:hAnsi="Simplified Arabic" w:hint="cs"/>
                <w:sz w:val="20"/>
                <w:szCs w:val="22"/>
                <w:rtl/>
                <w:lang w:val="fr-CH"/>
              </w:rPr>
              <w:t xml:space="preserve"> </w:t>
            </w:r>
            <w:r w:rsidRPr="005F7C38">
              <w:rPr>
                <w:rFonts w:ascii="Simplified Arabic" w:hAnsi="Simplified Arabic" w:hint="cs"/>
                <w:spacing w:val="-8"/>
                <w:sz w:val="23"/>
                <w:szCs w:val="23"/>
                <w:rtl/>
                <w:lang w:val="fr-CH"/>
              </w:rPr>
              <w:t>وفريق الاتصال المعني بالاتفاقيات المتعلقة بالتنوع البيولوجي</w:t>
            </w:r>
            <w:r w:rsidRPr="005F7C38">
              <w:rPr>
                <w:rFonts w:ascii="Simplified Arabic" w:hAnsi="Simplified Arabic" w:hint="cs"/>
                <w:spacing w:val="-8"/>
                <w:sz w:val="20"/>
                <w:szCs w:val="22"/>
                <w:rtl/>
                <w:lang w:val="fr-CH"/>
              </w:rPr>
              <w:t xml:space="preserve">؛ وأمانة </w:t>
            </w:r>
            <w:r w:rsidRPr="005F7C38">
              <w:rPr>
                <w:rFonts w:ascii="Simplified Arabic" w:hAnsi="Simplified Arabic" w:hint="cs"/>
                <w:spacing w:val="-8"/>
                <w:sz w:val="23"/>
                <w:szCs w:val="23"/>
                <w:rtl/>
                <w:lang w:val="fr-CH"/>
              </w:rPr>
              <w:t>المنبر الحكومي الدولي للعلوم والسياسات في مجال التنوع البيولوجي وخدمات النظم الإيكولوجية</w:t>
            </w:r>
            <w:r>
              <w:rPr>
                <w:rFonts w:ascii="Simplified Arabic" w:hAnsi="Simplified Arabic" w:hint="cs"/>
                <w:sz w:val="23"/>
                <w:szCs w:val="23"/>
                <w:rtl/>
                <w:lang w:val="fr-CH"/>
              </w:rPr>
              <w:t xml:space="preserve"> </w:t>
            </w:r>
            <w:r w:rsidRPr="00465A6E">
              <w:rPr>
                <w:rFonts w:cs="Times New Roman"/>
                <w:sz w:val="20"/>
                <w:szCs w:val="20"/>
              </w:rPr>
              <w:t>(IPBES)</w:t>
            </w:r>
            <w:r>
              <w:rPr>
                <w:rFonts w:ascii="Simplified Arabic" w:hAnsi="Simplified Arabic" w:hint="cs"/>
                <w:sz w:val="20"/>
                <w:szCs w:val="22"/>
                <w:rtl/>
              </w:rPr>
              <w:t>؛ والأمانة</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lang w:val="en-US"/>
              </w:rPr>
            </w:pPr>
            <w:r w:rsidRPr="00465A6E">
              <w:rPr>
                <w:rFonts w:ascii="Simplified Arabic" w:eastAsia="YouYuan" w:hAnsi="Simplified Arabic" w:cs="Simplified Arabic"/>
                <w:kern w:val="2"/>
                <w:sz w:val="23"/>
                <w:szCs w:val="23"/>
                <w:rtl/>
                <w:lang w:val="fr-CH"/>
              </w:rPr>
              <w:t xml:space="preserve">إعداد مشروع عناصر الإطار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القدرات بعد عام 2020</w:t>
            </w:r>
          </w:p>
        </w:tc>
        <w:tc>
          <w:tcPr>
            <w:tcW w:w="2352" w:type="dxa"/>
            <w:tcBorders>
              <w:top w:val="nil"/>
              <w:left w:val="nil"/>
              <w:bottom w:val="nil"/>
              <w:right w:val="nil"/>
            </w:tcBorders>
          </w:tcPr>
          <w:p w:rsidR="001C1C1D" w:rsidRPr="007511F1" w:rsidRDefault="001C1C1D" w:rsidP="006D298F">
            <w:pPr>
              <w:spacing w:after="100" w:line="204" w:lineRule="auto"/>
              <w:jc w:val="left"/>
              <w:rPr>
                <w:rFonts w:ascii="Simplified Arabic" w:hAnsi="Simplified Arabic"/>
                <w:sz w:val="20"/>
                <w:szCs w:val="22"/>
                <w:rtl/>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مايو</w:t>
            </w:r>
            <w:r w:rsidRPr="00FD7330">
              <w:rPr>
                <w:rFonts w:ascii="Simplified Arabic" w:hAnsi="Simplified Arabic"/>
                <w:sz w:val="20"/>
                <w:szCs w:val="22"/>
                <w:lang w:val="fr-CH"/>
              </w:rPr>
              <w:t>/</w:t>
            </w:r>
            <w:r w:rsidRPr="00FD7330">
              <w:rPr>
                <w:rFonts w:ascii="Simplified Arabic" w:hAnsi="Simplified Arabic"/>
                <w:sz w:val="20"/>
                <w:szCs w:val="22"/>
                <w:rtl/>
                <w:lang w:val="fr-CH"/>
              </w:rPr>
              <w:t>أيار</w:t>
            </w:r>
            <w:r>
              <w:rPr>
                <w:rFonts w:ascii="Simplified Arabic" w:hAnsi="Simplified Arabic"/>
                <w:sz w:val="20"/>
                <w:szCs w:val="22"/>
              </w:rPr>
              <w:t xml:space="preserve"> </w:t>
            </w:r>
            <w:r w:rsidRPr="00FD7330">
              <w:rPr>
                <w:rFonts w:ascii="Simplified Arabic" w:hAnsi="Simplified Arabic"/>
                <w:sz w:val="20"/>
                <w:szCs w:val="22"/>
                <w:lang w:val="fr-CH"/>
              </w:rPr>
              <w:t xml:space="preserve"> - </w:t>
            </w:r>
            <w:r w:rsidRPr="00FD7330">
              <w:rPr>
                <w:rFonts w:ascii="Simplified Arabic" w:hAnsi="Simplified Arabic"/>
                <w:sz w:val="20"/>
                <w:szCs w:val="22"/>
                <w:rtl/>
                <w:lang w:val="fr-CH"/>
              </w:rPr>
              <w:t>يوني</w:t>
            </w:r>
            <w:r w:rsidRPr="00FD7330">
              <w:rPr>
                <w:rFonts w:ascii="Simplified Arabic" w:hAnsi="Simplified Arabic" w:hint="cs"/>
                <w:sz w:val="20"/>
                <w:szCs w:val="22"/>
                <w:rtl/>
                <w:lang w:val="fr-CH"/>
              </w:rPr>
              <w:t>ه</w:t>
            </w:r>
            <w:r w:rsidRPr="00FD7330">
              <w:rPr>
                <w:rFonts w:ascii="Simplified Arabic" w:hAnsi="Simplified Arabic"/>
                <w:sz w:val="20"/>
                <w:szCs w:val="22"/>
                <w:lang w:val="fr-CH"/>
              </w:rPr>
              <w:t>/</w:t>
            </w:r>
            <w:r w:rsidRPr="00FD7330">
              <w:rPr>
                <w:rFonts w:ascii="Simplified Arabic" w:hAnsi="Simplified Arabic"/>
                <w:sz w:val="20"/>
                <w:szCs w:val="22"/>
                <w:rtl/>
                <w:lang w:val="fr-CH"/>
              </w:rPr>
              <w:t>حزيران</w:t>
            </w:r>
            <w:r w:rsidRPr="00FD7330">
              <w:rPr>
                <w:rFonts w:ascii="Simplified Arabic" w:hAnsi="Simplified Arabic"/>
                <w:sz w:val="20"/>
                <w:szCs w:val="22"/>
                <w:lang w:val="fr-CH"/>
              </w:rPr>
              <w:t xml:space="preserve"> 201</w:t>
            </w:r>
            <w:r>
              <w:rPr>
                <w:rFonts w:ascii="Simplified Arabic" w:hAnsi="Simplified Arabic"/>
                <w:sz w:val="20"/>
                <w:szCs w:val="22"/>
              </w:rPr>
              <w:t>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r w:rsidRPr="00FD7330">
              <w:rPr>
                <w:rFonts w:ascii="Simplified Arabic" w:hAnsi="Simplified Arabic" w:hint="cs"/>
                <w:sz w:val="20"/>
                <w:szCs w:val="22"/>
                <w:rtl/>
                <w:lang w:val="fr-CH"/>
              </w:rPr>
              <w:t>؛</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والأمانة</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465A6E">
              <w:rPr>
                <w:rFonts w:ascii="Simplified Arabic" w:eastAsia="YouYuan" w:hAnsi="Simplified Arabic" w:cs="Simplified Arabic"/>
                <w:kern w:val="2"/>
                <w:sz w:val="23"/>
                <w:szCs w:val="23"/>
                <w:rtl/>
                <w:lang w:val="fr-CH"/>
              </w:rPr>
              <w:t xml:space="preserve">حلقات العمل التشاورية الإقليمية ومنتديات النقاش على الإنترنت بشأن مشروع تقرير الدراسة وورقات المناقشة </w:t>
            </w:r>
            <w:r w:rsidRPr="00465A6E">
              <w:rPr>
                <w:rFonts w:ascii="Simplified Arabic" w:eastAsia="YouYuan" w:hAnsi="Simplified Arabic" w:cs="Simplified Arabic" w:hint="cs"/>
                <w:kern w:val="2"/>
                <w:sz w:val="23"/>
                <w:szCs w:val="23"/>
                <w:rtl/>
                <w:lang w:val="fr-CH"/>
              </w:rPr>
              <w:t>المرتبطة به</w:t>
            </w:r>
            <w:r w:rsidRPr="00465A6E">
              <w:rPr>
                <w:rFonts w:ascii="Simplified Arabic" w:eastAsia="YouYuan" w:hAnsi="Simplified Arabic" w:cs="Simplified Arabic"/>
                <w:kern w:val="2"/>
                <w:sz w:val="23"/>
                <w:szCs w:val="23"/>
                <w:rtl/>
                <w:lang w:val="fr-CH"/>
              </w:rPr>
              <w:t xml:space="preserve"> ومشروع عناصر الإطار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 xml:space="preserve">القدرات بعد عام 2020 (بالاقتران مع </w:t>
            </w:r>
            <w:r w:rsidRPr="00465A6E">
              <w:rPr>
                <w:rFonts w:ascii="Simplified Arabic" w:eastAsia="YouYuan" w:hAnsi="Simplified Arabic" w:cs="Simplified Arabic" w:hint="cs"/>
                <w:kern w:val="2"/>
                <w:sz w:val="23"/>
                <w:szCs w:val="23"/>
                <w:rtl/>
                <w:lang w:val="fr-CH"/>
              </w:rPr>
              <w:t>ال</w:t>
            </w:r>
            <w:r w:rsidRPr="00465A6E">
              <w:rPr>
                <w:rFonts w:ascii="Simplified Arabic" w:eastAsia="YouYuan" w:hAnsi="Simplified Arabic" w:cs="Simplified Arabic"/>
                <w:kern w:val="2"/>
                <w:sz w:val="23"/>
                <w:szCs w:val="23"/>
                <w:rtl/>
                <w:lang w:val="fr-CH"/>
              </w:rPr>
              <w:t xml:space="preserve">عملية </w:t>
            </w:r>
            <w:r w:rsidRPr="00465A6E">
              <w:rPr>
                <w:rFonts w:ascii="Simplified Arabic" w:eastAsia="YouYuan" w:hAnsi="Simplified Arabic" w:cs="Simplified Arabic" w:hint="cs"/>
                <w:kern w:val="2"/>
                <w:sz w:val="23"/>
                <w:szCs w:val="23"/>
                <w:rtl/>
                <w:lang w:val="fr-CH"/>
              </w:rPr>
              <w:t xml:space="preserve">التحضيرية </w:t>
            </w:r>
            <w:r>
              <w:rPr>
                <w:rFonts w:ascii="Simplified Arabic" w:eastAsia="YouYuan" w:hAnsi="Simplified Arabic" w:cs="Simplified Arabic" w:hint="cs"/>
                <w:kern w:val="2"/>
                <w:sz w:val="23"/>
                <w:szCs w:val="23"/>
                <w:rtl/>
                <w:lang w:val="fr-CH"/>
              </w:rPr>
              <w:t>ل</w:t>
            </w:r>
            <w:r w:rsidRPr="00465A6E">
              <w:rPr>
                <w:rFonts w:ascii="Simplified Arabic" w:eastAsia="YouYuan" w:hAnsi="Simplified Arabic" w:cs="Simplified Arabic" w:hint="cs"/>
                <w:kern w:val="2"/>
                <w:sz w:val="23"/>
                <w:szCs w:val="23"/>
                <w:rtl/>
                <w:lang w:val="fr-CH"/>
              </w:rPr>
              <w:t>ل</w:t>
            </w:r>
            <w:r w:rsidRPr="00465A6E">
              <w:rPr>
                <w:rFonts w:ascii="Simplified Arabic" w:eastAsia="YouYuan" w:hAnsi="Simplified Arabic" w:cs="Simplified Arabic"/>
                <w:kern w:val="2"/>
                <w:sz w:val="23"/>
                <w:szCs w:val="23"/>
                <w:rtl/>
                <w:lang w:val="fr-CH"/>
              </w:rPr>
              <w:t>إطار ا</w:t>
            </w:r>
            <w:r>
              <w:rPr>
                <w:rFonts w:ascii="Simplified Arabic" w:eastAsia="YouYuan" w:hAnsi="Simplified Arabic" w:cs="Simplified Arabic" w:hint="cs"/>
                <w:kern w:val="2"/>
                <w:sz w:val="23"/>
                <w:szCs w:val="23"/>
                <w:rtl/>
                <w:lang w:val="fr-CH"/>
              </w:rPr>
              <w:t>لعالمي ل</w:t>
            </w:r>
            <w:r w:rsidRPr="00465A6E">
              <w:rPr>
                <w:rFonts w:ascii="Simplified Arabic" w:eastAsia="YouYuan" w:hAnsi="Simplified Arabic" w:cs="Simplified Arabic"/>
                <w:kern w:val="2"/>
                <w:sz w:val="23"/>
                <w:szCs w:val="23"/>
                <w:rtl/>
                <w:lang w:val="fr-CH"/>
              </w:rPr>
              <w:t>لتنوع البيولوجي لما بعد عام 2020</w:t>
            </w:r>
            <w:r w:rsidRPr="00465A6E">
              <w:rPr>
                <w:rFonts w:ascii="Simplified Arabic" w:eastAsia="YouYuan" w:hAnsi="Simplified Arabic" w:cs="Simplified Arabic"/>
                <w:kern w:val="2"/>
                <w:sz w:val="23"/>
                <w:szCs w:val="23"/>
                <w:lang w:val="en-US"/>
              </w:rPr>
              <w:t>(</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يناير</w:t>
            </w:r>
            <w:r w:rsidRPr="00FD7330">
              <w:rPr>
                <w:rFonts w:ascii="Simplified Arabic" w:hAnsi="Simplified Arabic"/>
                <w:sz w:val="20"/>
                <w:szCs w:val="22"/>
                <w:lang w:val="fr-CH"/>
              </w:rPr>
              <w:t>/</w:t>
            </w:r>
            <w:r w:rsidRPr="00FD7330">
              <w:rPr>
                <w:rFonts w:ascii="Simplified Arabic" w:hAnsi="Simplified Arabic"/>
                <w:sz w:val="20"/>
                <w:szCs w:val="22"/>
                <w:rtl/>
                <w:lang w:val="fr-CH"/>
              </w:rPr>
              <w:t>كانون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الثاني</w:t>
            </w:r>
            <w:r>
              <w:rPr>
                <w:rFonts w:ascii="Simplified Arabic" w:hAnsi="Simplified Arabic" w:hint="cs"/>
                <w:sz w:val="20"/>
                <w:szCs w:val="22"/>
                <w:rtl/>
              </w:rPr>
              <w:t xml:space="preserve"> -  نوفمبر/</w:t>
            </w:r>
            <w:r w:rsidRPr="00FD7330">
              <w:rPr>
                <w:rFonts w:ascii="Simplified Arabic" w:hAnsi="Simplified Arabic"/>
                <w:sz w:val="20"/>
                <w:szCs w:val="22"/>
                <w:lang w:val="fr-CH"/>
              </w:rPr>
              <w:t xml:space="preserve">  </w:t>
            </w:r>
            <w:r>
              <w:rPr>
                <w:rFonts w:ascii="Simplified Arabic" w:hAnsi="Simplified Arabic" w:hint="cs"/>
                <w:sz w:val="20"/>
                <w:szCs w:val="22"/>
                <w:rtl/>
                <w:lang w:val="fr-CH"/>
              </w:rPr>
              <w:t>تشرين الثاني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الأمانة</w:t>
            </w:r>
            <w:r w:rsidRPr="00FD7330">
              <w:rPr>
                <w:rFonts w:ascii="Simplified Arabic" w:hAnsi="Simplified Arabic" w:hint="cs"/>
                <w:sz w:val="20"/>
                <w:szCs w:val="22"/>
                <w:rtl/>
                <w:lang w:val="fr-CH"/>
              </w:rPr>
              <w:t>؛</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465A6E">
              <w:rPr>
                <w:rFonts w:ascii="Simplified Arabic" w:eastAsia="YouYuan" w:hAnsi="Simplified Arabic" w:cs="Simplified Arabic"/>
                <w:kern w:val="2"/>
                <w:sz w:val="23"/>
                <w:szCs w:val="23"/>
                <w:rtl/>
                <w:lang w:val="fr-CH"/>
              </w:rPr>
              <w:t xml:space="preserve">تقديم تقرير الدراسة المنقح ومشروع العناصر المنقحة للإطار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القدرات بعد عام 2020</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أغسطس</w:t>
            </w:r>
            <w:r w:rsidRPr="00FD7330">
              <w:rPr>
                <w:rFonts w:ascii="Simplified Arabic" w:hAnsi="Simplified Arabic"/>
                <w:sz w:val="20"/>
                <w:szCs w:val="22"/>
                <w:lang w:val="fr-CH"/>
              </w:rPr>
              <w:t>/</w:t>
            </w:r>
            <w:r w:rsidRPr="00FD7330">
              <w:rPr>
                <w:rFonts w:ascii="Simplified Arabic" w:hAnsi="Simplified Arabic"/>
                <w:sz w:val="20"/>
                <w:szCs w:val="22"/>
                <w:rtl/>
                <w:lang w:val="fr-CH"/>
              </w:rPr>
              <w:t>آب</w:t>
            </w:r>
            <w:r>
              <w:rPr>
                <w:rFonts w:ascii="Simplified Arabic" w:hAnsi="Simplified Arabic" w:hint="cs"/>
                <w:sz w:val="20"/>
                <w:szCs w:val="22"/>
                <w:rtl/>
                <w:lang w:val="fr-CH"/>
              </w:rPr>
              <w:t xml:space="preserve"> </w:t>
            </w:r>
            <w:r w:rsidRPr="00FD7330">
              <w:rPr>
                <w:rFonts w:ascii="Simplified Arabic" w:hAnsi="Simplified Arabic"/>
                <w:sz w:val="20"/>
                <w:szCs w:val="22"/>
                <w:lang w:val="fr-CH"/>
              </w:rPr>
              <w:t xml:space="preserve">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465A6E">
              <w:rPr>
                <w:rFonts w:ascii="Simplified Arabic" w:eastAsia="YouYuan" w:hAnsi="Simplified Arabic" w:cs="Simplified Arabic"/>
                <w:kern w:val="2"/>
                <w:sz w:val="23"/>
                <w:szCs w:val="23"/>
                <w:rtl/>
                <w:lang w:val="fr-CH"/>
              </w:rPr>
              <w:t xml:space="preserve">حلقة (حلقات) عمل </w:t>
            </w:r>
            <w:r w:rsidRPr="00465A6E">
              <w:rPr>
                <w:rFonts w:ascii="Simplified Arabic" w:eastAsia="YouYuan" w:hAnsi="Simplified Arabic" w:cs="Simplified Arabic" w:hint="cs"/>
                <w:kern w:val="2"/>
                <w:sz w:val="23"/>
                <w:szCs w:val="23"/>
                <w:rtl/>
                <w:lang w:val="fr-CH"/>
              </w:rPr>
              <w:t>تشاورية</w:t>
            </w:r>
            <w:r w:rsidRPr="00465A6E">
              <w:rPr>
                <w:rFonts w:ascii="Simplified Arabic" w:eastAsia="YouYuan" w:hAnsi="Simplified Arabic" w:cs="Simplified Arabic"/>
                <w:kern w:val="2"/>
                <w:sz w:val="23"/>
                <w:szCs w:val="23"/>
                <w:rtl/>
                <w:lang w:val="fr-CH"/>
              </w:rPr>
              <w:t xml:space="preserve"> بشأن مشروع العناصر المنقحة للإطار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القدرات بعد عام 2020</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سبتمبر</w:t>
            </w:r>
            <w:r w:rsidRPr="00FD7330">
              <w:rPr>
                <w:rFonts w:ascii="Simplified Arabic" w:hAnsi="Simplified Arabic"/>
                <w:sz w:val="20"/>
                <w:szCs w:val="22"/>
                <w:lang w:val="fr-CH"/>
              </w:rPr>
              <w:t>/</w:t>
            </w:r>
            <w:r w:rsidRPr="00FD7330">
              <w:rPr>
                <w:rFonts w:ascii="Simplified Arabic" w:hAnsi="Simplified Arabic"/>
                <w:sz w:val="20"/>
                <w:szCs w:val="22"/>
                <w:rtl/>
                <w:lang w:val="fr-CH"/>
              </w:rPr>
              <w:t>أيلول</w:t>
            </w:r>
            <w:r>
              <w:rPr>
                <w:rFonts w:ascii="Simplified Arabic" w:hAnsi="Simplified Arabic"/>
                <w:sz w:val="20"/>
                <w:szCs w:val="22"/>
                <w:lang w:val="fr-CH"/>
              </w:rPr>
              <w:t xml:space="preserve"> - </w:t>
            </w:r>
            <w:r w:rsidRPr="00FD7330">
              <w:rPr>
                <w:rFonts w:ascii="Simplified Arabic" w:hAnsi="Simplified Arabic"/>
                <w:sz w:val="20"/>
                <w:szCs w:val="22"/>
                <w:rtl/>
                <w:lang w:val="fr-CH"/>
              </w:rPr>
              <w:t>أكتوبر</w:t>
            </w:r>
            <w:r w:rsidRPr="00FD7330">
              <w:rPr>
                <w:rFonts w:ascii="Simplified Arabic" w:hAnsi="Simplified Arabic"/>
                <w:sz w:val="20"/>
                <w:szCs w:val="22"/>
                <w:lang w:val="fr-CH"/>
              </w:rPr>
              <w:t>/</w:t>
            </w:r>
            <w:r w:rsidRPr="00FD7330">
              <w:rPr>
                <w:rFonts w:ascii="Simplified Arabic" w:hAnsi="Simplified Arabic"/>
                <w:sz w:val="20"/>
                <w:szCs w:val="22"/>
                <w:rtl/>
                <w:lang w:val="fr-CH"/>
              </w:rPr>
              <w:t>تشرين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الأول</w:t>
            </w:r>
            <w:r w:rsidRPr="00FD7330">
              <w:rPr>
                <w:rFonts w:ascii="Simplified Arabic" w:hAnsi="Simplified Arabic"/>
                <w:sz w:val="20"/>
                <w:szCs w:val="22"/>
                <w:lang w:val="fr-CH"/>
              </w:rPr>
              <w:t xml:space="preserve">2019 </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خبراء رشحتهم الحكومات والمنظمات ذات الصلة</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Pr>
                <w:rFonts w:ascii="Simplified Arabic" w:eastAsia="YouYuan" w:hAnsi="Simplified Arabic" w:cs="Simplified Arabic" w:hint="cs"/>
                <w:kern w:val="2"/>
                <w:sz w:val="23"/>
                <w:szCs w:val="23"/>
                <w:rtl/>
                <w:lang w:val="fr-CH"/>
              </w:rPr>
              <w:t>مشاورة إقليمية أفريقية بشأن مشروع الإطار الاستراتيجي الطويل الأجل لبناء القدرات بعد عام 2020، قبل اجتماع الهيئة الفرعية للمشورة العلمية والتقنية والتكنولوجية في عام 2019</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Pr>
                <w:rFonts w:ascii="Simplified Arabic" w:hAnsi="Simplified Arabic" w:hint="cs"/>
                <w:sz w:val="20"/>
                <w:szCs w:val="22"/>
                <w:rtl/>
                <w:lang w:val="fr-CH"/>
              </w:rPr>
              <w:t xml:space="preserve"> أكتوبر/تشرين الأول </w:t>
            </w:r>
            <w:r>
              <w:rPr>
                <w:rFonts w:ascii="Simplified Arabic" w:hAnsi="Simplified Arabic"/>
                <w:sz w:val="20"/>
                <w:szCs w:val="22"/>
                <w:rtl/>
                <w:lang w:val="fr-CH"/>
              </w:rPr>
              <w:t>–</w:t>
            </w:r>
            <w:r w:rsidR="006D298F">
              <w:rPr>
                <w:rFonts w:ascii="Simplified Arabic" w:hAnsi="Simplified Arabic" w:hint="cs"/>
                <w:sz w:val="20"/>
                <w:szCs w:val="22"/>
                <w:rtl/>
                <w:lang w:val="fr-CH"/>
              </w:rPr>
              <w:t xml:space="preserve">   </w:t>
            </w:r>
            <w:r>
              <w:rPr>
                <w:rFonts w:ascii="Simplified Arabic" w:hAnsi="Simplified Arabic" w:hint="cs"/>
                <w:sz w:val="20"/>
                <w:szCs w:val="22"/>
                <w:rtl/>
                <w:lang w:val="fr-CH"/>
              </w:rPr>
              <w:t>نوفمبر/</w:t>
            </w:r>
            <w:r w:rsidR="006D298F">
              <w:rPr>
                <w:rFonts w:ascii="Simplified Arabic" w:hAnsi="Simplified Arabic" w:hint="cs"/>
                <w:sz w:val="20"/>
                <w:szCs w:val="22"/>
                <w:rtl/>
                <w:lang w:val="fr-CH"/>
              </w:rPr>
              <w:t xml:space="preserve"> </w:t>
            </w:r>
            <w:r>
              <w:rPr>
                <w:rFonts w:ascii="Simplified Arabic" w:hAnsi="Simplified Arabic" w:hint="cs"/>
                <w:sz w:val="20"/>
                <w:szCs w:val="22"/>
                <w:rtl/>
                <w:lang w:val="fr-CH"/>
              </w:rPr>
              <w:t>تشرين الثاني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خبراء رشحتهم الحكومات والمنظمات ذات الصلة</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rtl/>
                <w:lang w:val="fr-CH"/>
              </w:rPr>
            </w:pPr>
            <w:r w:rsidRPr="00465A6E">
              <w:rPr>
                <w:rFonts w:ascii="Simplified Arabic" w:eastAsia="YouYuan" w:hAnsi="Simplified Arabic" w:cs="Simplified Arabic"/>
                <w:kern w:val="2"/>
                <w:sz w:val="23"/>
                <w:szCs w:val="23"/>
                <w:rtl/>
                <w:lang w:val="fr-CH"/>
              </w:rPr>
              <w:t xml:space="preserve">إعداد المشروع النهائي للإطار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 xml:space="preserve">القدرات بعد عام 2020 </w:t>
            </w:r>
            <w:r w:rsidRPr="00465A6E">
              <w:rPr>
                <w:rFonts w:ascii="Simplified Arabic" w:eastAsia="YouYuan" w:hAnsi="Simplified Arabic" w:cs="Simplified Arabic" w:hint="cs"/>
                <w:kern w:val="2"/>
                <w:sz w:val="23"/>
                <w:szCs w:val="23"/>
                <w:rtl/>
                <w:lang w:val="fr-CH"/>
              </w:rPr>
              <w:t>مع مراعاة جملة أمور منها</w:t>
            </w:r>
            <w:r w:rsidRPr="00465A6E">
              <w:rPr>
                <w:rFonts w:ascii="Simplified Arabic" w:eastAsia="YouYuan" w:hAnsi="Simplified Arabic" w:cs="Simplified Arabic"/>
                <w:kern w:val="2"/>
                <w:sz w:val="23"/>
                <w:szCs w:val="23"/>
                <w:rtl/>
                <w:lang w:val="fr-CH"/>
              </w:rPr>
              <w:t xml:space="preserve"> المدخلات من حلقات العمل التشا</w:t>
            </w:r>
            <w:r>
              <w:rPr>
                <w:rFonts w:ascii="Simplified Arabic" w:eastAsia="YouYuan" w:hAnsi="Simplified Arabic" w:cs="Simplified Arabic" w:hint="cs"/>
                <w:kern w:val="2"/>
                <w:sz w:val="23"/>
                <w:szCs w:val="23"/>
                <w:rtl/>
                <w:lang w:val="fr-CH"/>
              </w:rPr>
              <w:t>و</w:t>
            </w:r>
            <w:r w:rsidRPr="00465A6E">
              <w:rPr>
                <w:rFonts w:ascii="Simplified Arabic" w:eastAsia="YouYuan" w:hAnsi="Simplified Arabic" w:cs="Simplified Arabic"/>
                <w:kern w:val="2"/>
                <w:sz w:val="23"/>
                <w:szCs w:val="23"/>
                <w:rtl/>
                <w:lang w:val="fr-CH"/>
              </w:rPr>
              <w:t>رية</w:t>
            </w:r>
            <w:r w:rsidRPr="00465A6E">
              <w:rPr>
                <w:rFonts w:ascii="Simplified Arabic" w:eastAsia="YouYuan" w:hAnsi="Simplified Arabic" w:cs="Simplified Arabic" w:hint="cs"/>
                <w:kern w:val="2"/>
                <w:sz w:val="23"/>
                <w:szCs w:val="23"/>
                <w:rtl/>
                <w:lang w:val="fr-CH"/>
              </w:rPr>
              <w:t xml:space="preserve"> والمعلومات ذات الصلة المقدمة في التقارير الوطنية الرابعة في إطار بروتوكول قرطاجنة والمعلومات ذات الصلة ال</w:t>
            </w:r>
            <w:r>
              <w:rPr>
                <w:rFonts w:ascii="Simplified Arabic" w:eastAsia="YouYuan" w:hAnsi="Simplified Arabic" w:cs="Simplified Arabic" w:hint="cs"/>
                <w:kern w:val="2"/>
                <w:sz w:val="23"/>
                <w:szCs w:val="23"/>
                <w:rtl/>
                <w:lang w:val="fr-CH"/>
              </w:rPr>
              <w:t>مقدم</w:t>
            </w:r>
            <w:r w:rsidRPr="00465A6E">
              <w:rPr>
                <w:rFonts w:ascii="Simplified Arabic" w:eastAsia="YouYuan" w:hAnsi="Simplified Arabic" w:cs="Simplified Arabic" w:hint="cs"/>
                <w:kern w:val="2"/>
                <w:sz w:val="23"/>
                <w:szCs w:val="23"/>
                <w:rtl/>
                <w:lang w:val="fr-CH"/>
              </w:rPr>
              <w:t>ة في التق</w:t>
            </w:r>
            <w:r>
              <w:rPr>
                <w:rFonts w:ascii="Simplified Arabic" w:eastAsia="YouYuan" w:hAnsi="Simplified Arabic" w:cs="Simplified Arabic" w:hint="cs"/>
                <w:kern w:val="2"/>
                <w:sz w:val="23"/>
                <w:szCs w:val="23"/>
                <w:rtl/>
                <w:lang w:val="fr-CH"/>
              </w:rPr>
              <w:t>ا</w:t>
            </w:r>
            <w:r w:rsidRPr="00465A6E">
              <w:rPr>
                <w:rFonts w:ascii="Simplified Arabic" w:eastAsia="YouYuan" w:hAnsi="Simplified Arabic" w:cs="Simplified Arabic" w:hint="cs"/>
                <w:kern w:val="2"/>
                <w:sz w:val="23"/>
                <w:szCs w:val="23"/>
                <w:rtl/>
                <w:lang w:val="fr-CH"/>
              </w:rPr>
              <w:t>رير الوطنية المؤقتة في إطار بروتوكول ناغويا</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نوفمبر</w:t>
            </w:r>
            <w:r w:rsidRPr="00FD7330">
              <w:rPr>
                <w:rFonts w:ascii="Simplified Arabic" w:hAnsi="Simplified Arabic"/>
                <w:sz w:val="20"/>
                <w:szCs w:val="22"/>
                <w:lang w:val="fr-CH"/>
              </w:rPr>
              <w:t>/</w:t>
            </w:r>
            <w:r w:rsidRPr="00FD7330">
              <w:rPr>
                <w:rFonts w:ascii="Simplified Arabic" w:hAnsi="Simplified Arabic"/>
                <w:sz w:val="20"/>
                <w:szCs w:val="22"/>
                <w:rtl/>
                <w:lang w:val="fr-CH"/>
              </w:rPr>
              <w:t>تشرين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الثاني</w:t>
            </w:r>
            <w:r>
              <w:rPr>
                <w:rFonts w:ascii="Simplified Arabic" w:hAnsi="Simplified Arabic" w:hint="cs"/>
                <w:sz w:val="20"/>
                <w:szCs w:val="22"/>
                <w:rtl/>
                <w:lang w:val="fr-CH"/>
              </w:rPr>
              <w:t xml:space="preserve"> </w:t>
            </w:r>
            <w:r w:rsidRPr="00FD7330">
              <w:rPr>
                <w:rFonts w:ascii="Simplified Arabic" w:hAnsi="Simplified Arabic"/>
                <w:sz w:val="20"/>
                <w:szCs w:val="22"/>
                <w:lang w:val="fr-CH"/>
              </w:rPr>
              <w:t xml:space="preserve"> 2019</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الأمانة</w:t>
            </w: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وخبير</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استشاري</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lang w:val="en-US"/>
              </w:rPr>
            </w:pPr>
            <w:r w:rsidRPr="00465A6E">
              <w:rPr>
                <w:rFonts w:ascii="Simplified Arabic" w:eastAsia="YouYuan" w:hAnsi="Simplified Arabic" w:cs="Simplified Arabic"/>
                <w:kern w:val="2"/>
                <w:sz w:val="23"/>
                <w:szCs w:val="23"/>
                <w:rtl/>
                <w:lang w:val="fr-CH"/>
              </w:rPr>
              <w:t>إخطار يدعو</w:t>
            </w:r>
            <w:r w:rsidRPr="00465A6E">
              <w:rPr>
                <w:rFonts w:ascii="Simplified Arabic" w:eastAsia="YouYuan" w:hAnsi="Simplified Arabic" w:cs="Simplified Arabic"/>
                <w:kern w:val="2"/>
                <w:sz w:val="23"/>
                <w:szCs w:val="23"/>
                <w:lang w:val="en-US"/>
              </w:rPr>
              <w:t xml:space="preserve"> </w:t>
            </w:r>
            <w:r w:rsidRPr="00465A6E">
              <w:rPr>
                <w:rFonts w:ascii="Simplified Arabic" w:eastAsia="YouYuan" w:hAnsi="Simplified Arabic" w:cs="Simplified Arabic"/>
                <w:kern w:val="2"/>
                <w:sz w:val="23"/>
                <w:szCs w:val="23"/>
                <w:rtl/>
                <w:lang w:val="fr-CH"/>
              </w:rPr>
              <w:t>إلى</w:t>
            </w:r>
            <w:r w:rsidRPr="00465A6E">
              <w:rPr>
                <w:rFonts w:ascii="Simplified Arabic" w:eastAsia="YouYuan" w:hAnsi="Simplified Arabic" w:cs="Simplified Arabic"/>
                <w:kern w:val="2"/>
                <w:sz w:val="23"/>
                <w:szCs w:val="23"/>
                <w:lang w:val="en-US"/>
              </w:rPr>
              <w:t xml:space="preserve"> </w:t>
            </w:r>
            <w:r w:rsidRPr="00465A6E">
              <w:rPr>
                <w:rFonts w:ascii="Simplified Arabic" w:eastAsia="YouYuan" w:hAnsi="Simplified Arabic" w:cs="Simplified Arabic"/>
                <w:kern w:val="2"/>
                <w:sz w:val="23"/>
                <w:szCs w:val="23"/>
                <w:rtl/>
                <w:lang w:val="fr-CH"/>
              </w:rPr>
              <w:t xml:space="preserve">إبداء وجهات نظر بشأن المشروع النهائي للإطار الاستراتيجي </w:t>
            </w:r>
            <w:r w:rsidRPr="00465A6E">
              <w:rPr>
                <w:rFonts w:ascii="Simplified Arabic" w:eastAsia="YouYuan" w:hAnsi="Simplified Arabic" w:cs="Simplified Arabic" w:hint="cs"/>
                <w:kern w:val="2"/>
                <w:sz w:val="23"/>
                <w:szCs w:val="23"/>
                <w:rtl/>
                <w:lang w:val="fr-CH"/>
              </w:rPr>
              <w:t xml:space="preserve">الطويل الأجل لبناء </w:t>
            </w:r>
            <w:r w:rsidRPr="00465A6E">
              <w:rPr>
                <w:rFonts w:ascii="Simplified Arabic" w:eastAsia="YouYuan" w:hAnsi="Simplified Arabic" w:cs="Simplified Arabic"/>
                <w:kern w:val="2"/>
                <w:sz w:val="23"/>
                <w:szCs w:val="23"/>
                <w:rtl/>
                <w:lang w:val="fr-CH"/>
              </w:rPr>
              <w:t>القدرات بعد عام 2020</w:t>
            </w:r>
            <w:r w:rsidRPr="00465A6E">
              <w:rPr>
                <w:rFonts w:ascii="Simplified Arabic" w:eastAsia="YouYuan" w:hAnsi="Simplified Arabic" w:cs="Simplified Arabic"/>
                <w:kern w:val="2"/>
                <w:sz w:val="23"/>
                <w:szCs w:val="23"/>
                <w:lang w:val="en-US"/>
              </w:rPr>
              <w:t xml:space="preserve"> </w:t>
            </w:r>
          </w:p>
        </w:tc>
        <w:tc>
          <w:tcPr>
            <w:tcW w:w="2352" w:type="dxa"/>
            <w:tcBorders>
              <w:top w:val="nil"/>
              <w:left w:val="nil"/>
              <w:bottom w:val="nil"/>
              <w:right w:val="nil"/>
            </w:tcBorders>
          </w:tcPr>
          <w:p w:rsidR="001C1C1D" w:rsidRPr="00FD7330" w:rsidRDefault="001C1C1D" w:rsidP="00E02C84">
            <w:pPr>
              <w:spacing w:after="100" w:line="204" w:lineRule="auto"/>
              <w:rPr>
                <w:rFonts w:ascii="Simplified Arabic" w:hAnsi="Simplified Arabic"/>
                <w:sz w:val="20"/>
                <w:szCs w:val="22"/>
                <w:rtl/>
                <w:lang w:val="fr-CH"/>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ديسمبر</w:t>
            </w:r>
            <w:r w:rsidRPr="00FD7330">
              <w:rPr>
                <w:rFonts w:ascii="Simplified Arabic" w:hAnsi="Simplified Arabic"/>
                <w:sz w:val="20"/>
                <w:szCs w:val="22"/>
                <w:lang w:val="fr-CH"/>
              </w:rPr>
              <w:t>/</w:t>
            </w:r>
            <w:r w:rsidRPr="00FD7330">
              <w:rPr>
                <w:rFonts w:ascii="Simplified Arabic" w:hAnsi="Simplified Arabic"/>
                <w:sz w:val="20"/>
                <w:szCs w:val="22"/>
                <w:rtl/>
                <w:lang w:val="fr-CH"/>
              </w:rPr>
              <w:t>كانون</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الأول</w:t>
            </w:r>
            <w:r w:rsidR="006D298F">
              <w:rPr>
                <w:rFonts w:ascii="Simplified Arabic" w:hAnsi="Simplified Arabic" w:hint="cs"/>
                <w:sz w:val="20"/>
                <w:szCs w:val="22"/>
                <w:rtl/>
                <w:lang w:val="fr-CH"/>
              </w:rPr>
              <w:t xml:space="preserve"> 2019</w:t>
            </w:r>
            <w:r w:rsidRPr="00FD7330">
              <w:rPr>
                <w:rFonts w:ascii="Simplified Arabic" w:hAnsi="Simplified Arabic"/>
                <w:sz w:val="20"/>
                <w:szCs w:val="22"/>
                <w:lang w:val="fr-CH"/>
              </w:rPr>
              <w:t xml:space="preserve"> </w:t>
            </w:r>
            <w:r>
              <w:rPr>
                <w:rFonts w:ascii="Simplified Arabic" w:hAnsi="Simplified Arabic"/>
                <w:sz w:val="20"/>
                <w:szCs w:val="22"/>
              </w:rPr>
              <w:t xml:space="preserve">  </w:t>
            </w:r>
            <w:r w:rsidRPr="00FD7330">
              <w:rPr>
                <w:rFonts w:ascii="Simplified Arabic" w:hAnsi="Simplified Arabic"/>
                <w:sz w:val="20"/>
                <w:szCs w:val="22"/>
                <w:lang w:val="fr-CH"/>
              </w:rPr>
              <w:t>-</w:t>
            </w:r>
            <w:r w:rsidRPr="00FD7330">
              <w:rPr>
                <w:rFonts w:ascii="Simplified Arabic" w:hAnsi="Simplified Arabic"/>
                <w:sz w:val="20"/>
                <w:szCs w:val="22"/>
                <w:rtl/>
                <w:lang w:val="fr-CH"/>
              </w:rPr>
              <w:t>فبراير</w:t>
            </w:r>
            <w:r w:rsidRPr="00FD7330">
              <w:rPr>
                <w:rFonts w:ascii="Simplified Arabic" w:hAnsi="Simplified Arabic"/>
                <w:sz w:val="20"/>
                <w:szCs w:val="22"/>
                <w:lang w:val="fr-CH"/>
              </w:rPr>
              <w:t>/</w:t>
            </w:r>
            <w:r w:rsidRPr="00FD7330">
              <w:rPr>
                <w:rFonts w:ascii="Simplified Arabic" w:hAnsi="Simplified Arabic"/>
                <w:sz w:val="20"/>
                <w:szCs w:val="22"/>
                <w:rtl/>
                <w:lang w:val="fr-CH"/>
              </w:rPr>
              <w:t>شباط</w:t>
            </w:r>
            <w:r w:rsidRPr="00FD7330">
              <w:rPr>
                <w:rFonts w:ascii="Simplified Arabic" w:hAnsi="Simplified Arabic"/>
                <w:sz w:val="20"/>
                <w:szCs w:val="22"/>
                <w:lang w:val="fr-CH"/>
              </w:rPr>
              <w:t xml:space="preserve"> </w:t>
            </w:r>
            <w:r w:rsidRPr="00FD7330">
              <w:rPr>
                <w:rFonts w:ascii="Simplified Arabic" w:hAnsi="Simplified Arabic" w:hint="cs"/>
                <w:sz w:val="20"/>
                <w:szCs w:val="22"/>
                <w:rtl/>
                <w:lang w:val="fr-CH"/>
              </w:rPr>
              <w:t>2020</w:t>
            </w:r>
            <w:r w:rsidRPr="00FD7330">
              <w:rPr>
                <w:rFonts w:ascii="Simplified Arabic" w:hAnsi="Simplified Arabic"/>
                <w:sz w:val="20"/>
                <w:szCs w:val="22"/>
                <w:lang w:val="fr-CH"/>
              </w:rPr>
              <w:t xml:space="preserve"> </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sz w:val="20"/>
                <w:szCs w:val="22"/>
                <w:rtl/>
                <w:lang w:val="fr-CH"/>
              </w:rPr>
              <w:t>الأطراف،</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والشعوب</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الأصلية</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والمجتمعات</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المحلية،</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والمنظمات</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ذات</w:t>
            </w:r>
            <w:r w:rsidRPr="00FD7330">
              <w:rPr>
                <w:rFonts w:ascii="Simplified Arabic" w:hAnsi="Simplified Arabic"/>
                <w:sz w:val="20"/>
                <w:szCs w:val="22"/>
                <w:lang w:val="fr-CH"/>
              </w:rPr>
              <w:t xml:space="preserve"> </w:t>
            </w:r>
            <w:r w:rsidRPr="00FD7330">
              <w:rPr>
                <w:rFonts w:ascii="Simplified Arabic" w:hAnsi="Simplified Arabic"/>
                <w:sz w:val="20"/>
                <w:szCs w:val="22"/>
                <w:rtl/>
                <w:lang w:val="fr-CH"/>
              </w:rPr>
              <w:t>الصلة</w:t>
            </w:r>
          </w:p>
        </w:tc>
      </w:tr>
      <w:tr w:rsidR="001C1C1D" w:rsidRPr="00FD7330" w:rsidTr="005F7C38">
        <w:trPr>
          <w:jc w:val="center"/>
        </w:trPr>
        <w:tc>
          <w:tcPr>
            <w:tcW w:w="5247" w:type="dxa"/>
            <w:tcBorders>
              <w:top w:val="nil"/>
              <w:left w:val="nil"/>
              <w:bottom w:val="nil"/>
              <w:right w:val="nil"/>
            </w:tcBorders>
          </w:tcPr>
          <w:p w:rsidR="001C1C1D" w:rsidRPr="00465A6E" w:rsidRDefault="001C1C1D" w:rsidP="00CD26C5">
            <w:pPr>
              <w:pStyle w:val="ListParagraph"/>
              <w:numPr>
                <w:ilvl w:val="0"/>
                <w:numId w:val="75"/>
              </w:numPr>
              <w:bidi/>
              <w:spacing w:after="100" w:line="204" w:lineRule="auto"/>
              <w:ind w:left="405" w:hanging="360"/>
              <w:rPr>
                <w:rFonts w:ascii="Simplified Arabic" w:eastAsia="YouYuan" w:hAnsi="Simplified Arabic" w:cs="Simplified Arabic"/>
                <w:kern w:val="2"/>
                <w:sz w:val="23"/>
                <w:szCs w:val="23"/>
                <w:lang w:val="en-US"/>
              </w:rPr>
            </w:pPr>
            <w:r>
              <w:rPr>
                <w:rFonts w:ascii="Simplified Arabic" w:eastAsia="YouYuan" w:hAnsi="Simplified Arabic" w:cs="Simplified Arabic" w:hint="cs"/>
                <w:kern w:val="2"/>
                <w:sz w:val="23"/>
                <w:szCs w:val="23"/>
                <w:rtl/>
                <w:lang w:val="fr-CH"/>
              </w:rPr>
              <w:t>ت</w:t>
            </w:r>
            <w:r w:rsidRPr="00465A6E">
              <w:rPr>
                <w:rFonts w:ascii="Simplified Arabic" w:eastAsia="YouYuan" w:hAnsi="Simplified Arabic" w:cs="Simplified Arabic"/>
                <w:kern w:val="2"/>
                <w:sz w:val="23"/>
                <w:szCs w:val="23"/>
                <w:rtl/>
                <w:lang w:val="fr-CH"/>
              </w:rPr>
              <w:t xml:space="preserve">نظر </w:t>
            </w:r>
            <w:r w:rsidRPr="00465A6E">
              <w:rPr>
                <w:rFonts w:ascii="Simplified Arabic" w:eastAsia="YouYuan" w:hAnsi="Simplified Arabic" w:cs="Simplified Arabic" w:hint="cs"/>
                <w:kern w:val="2"/>
                <w:sz w:val="23"/>
                <w:szCs w:val="23"/>
                <w:rtl/>
                <w:lang w:val="fr-CH"/>
              </w:rPr>
              <w:t>ا</w:t>
            </w:r>
            <w:r w:rsidRPr="00465A6E">
              <w:rPr>
                <w:rFonts w:ascii="Simplified Arabic" w:eastAsia="YouYuan" w:hAnsi="Simplified Arabic" w:cs="Simplified Arabic"/>
                <w:kern w:val="2"/>
                <w:sz w:val="23"/>
                <w:szCs w:val="23"/>
                <w:rtl/>
                <w:lang w:val="fr-CH"/>
              </w:rPr>
              <w:t xml:space="preserve">لهيئة الفرعية للتنفيذ </w:t>
            </w:r>
            <w:r w:rsidRPr="00465A6E">
              <w:rPr>
                <w:rFonts w:ascii="Simplified Arabic" w:eastAsia="YouYuan" w:hAnsi="Simplified Arabic" w:cs="Simplified Arabic" w:hint="cs"/>
                <w:kern w:val="2"/>
                <w:sz w:val="23"/>
                <w:szCs w:val="23"/>
                <w:rtl/>
                <w:lang w:val="fr-CH"/>
              </w:rPr>
              <w:t xml:space="preserve">في اجتماعها الثالث </w:t>
            </w:r>
            <w:r w:rsidRPr="00465A6E">
              <w:rPr>
                <w:rFonts w:ascii="Simplified Arabic" w:eastAsia="YouYuan" w:hAnsi="Simplified Arabic" w:cs="Simplified Arabic"/>
                <w:kern w:val="2"/>
                <w:sz w:val="23"/>
                <w:szCs w:val="23"/>
                <w:rtl/>
                <w:lang w:val="fr-CH"/>
              </w:rPr>
              <w:t>في الصيغة النهائية لمشروع الإطار الاستراتيجي لتنمية القدرات بعد عام 2020</w:t>
            </w:r>
          </w:p>
        </w:tc>
        <w:tc>
          <w:tcPr>
            <w:tcW w:w="2352" w:type="dxa"/>
            <w:tcBorders>
              <w:top w:val="nil"/>
              <w:left w:val="nil"/>
              <w:bottom w:val="nil"/>
              <w:right w:val="nil"/>
            </w:tcBorders>
          </w:tcPr>
          <w:p w:rsidR="001C1C1D" w:rsidRPr="00FD7330" w:rsidRDefault="001C1C1D" w:rsidP="006D298F">
            <w:pPr>
              <w:spacing w:after="100" w:line="204" w:lineRule="auto"/>
              <w:jc w:val="left"/>
              <w:rPr>
                <w:rFonts w:ascii="Simplified Arabic" w:hAnsi="Simplified Arabic"/>
                <w:sz w:val="20"/>
                <w:szCs w:val="22"/>
                <w:rtl/>
                <w:lang w:val="fr-CH"/>
              </w:rPr>
            </w:pPr>
            <w:r w:rsidRPr="00FD7330">
              <w:rPr>
                <w:rFonts w:ascii="Simplified Arabic" w:hAnsi="Simplified Arabic" w:hint="cs"/>
                <w:sz w:val="20"/>
                <w:szCs w:val="22"/>
                <w:rtl/>
                <w:lang w:val="fr-CH"/>
              </w:rPr>
              <w:t xml:space="preserve"> </w:t>
            </w:r>
            <w:r w:rsidRPr="00FD7330">
              <w:rPr>
                <w:rFonts w:ascii="Simplified Arabic" w:hAnsi="Simplified Arabic"/>
                <w:sz w:val="20"/>
                <w:szCs w:val="22"/>
                <w:rtl/>
                <w:lang w:val="fr-CH"/>
              </w:rPr>
              <w:t>مايو</w:t>
            </w:r>
            <w:r w:rsidRPr="00FD7330">
              <w:rPr>
                <w:rFonts w:ascii="Simplified Arabic" w:hAnsi="Simplified Arabic"/>
                <w:sz w:val="20"/>
                <w:szCs w:val="22"/>
                <w:lang w:val="fr-CH"/>
              </w:rPr>
              <w:t>/</w:t>
            </w:r>
            <w:r w:rsidRPr="00FD7330">
              <w:rPr>
                <w:rFonts w:ascii="Simplified Arabic" w:hAnsi="Simplified Arabic"/>
                <w:sz w:val="20"/>
                <w:szCs w:val="22"/>
                <w:rtl/>
                <w:lang w:val="fr-CH"/>
              </w:rPr>
              <w:t>أيار</w:t>
            </w:r>
            <w:r w:rsidRPr="00FD7330">
              <w:rPr>
                <w:rFonts w:ascii="Simplified Arabic" w:hAnsi="Simplified Arabic"/>
                <w:sz w:val="20"/>
                <w:szCs w:val="22"/>
                <w:lang w:val="fr-CH"/>
              </w:rPr>
              <w:t xml:space="preserve"> -</w:t>
            </w:r>
            <w:r>
              <w:rPr>
                <w:rFonts w:ascii="Simplified Arabic" w:hAnsi="Simplified Arabic" w:hint="cs"/>
                <w:sz w:val="20"/>
                <w:szCs w:val="22"/>
                <w:rtl/>
                <w:lang w:val="fr-CH"/>
              </w:rPr>
              <w:t xml:space="preserve"> </w:t>
            </w:r>
            <w:r w:rsidRPr="00FD7330">
              <w:rPr>
                <w:rFonts w:ascii="Simplified Arabic" w:hAnsi="Simplified Arabic"/>
                <w:sz w:val="20"/>
                <w:szCs w:val="22"/>
                <w:rtl/>
                <w:lang w:val="fr-CH"/>
              </w:rPr>
              <w:t>يوني</w:t>
            </w:r>
            <w:r>
              <w:rPr>
                <w:rFonts w:ascii="Simplified Arabic" w:hAnsi="Simplified Arabic" w:hint="cs"/>
                <w:sz w:val="20"/>
                <w:szCs w:val="22"/>
                <w:rtl/>
                <w:lang w:val="fr-CH"/>
              </w:rPr>
              <w:t>ه</w:t>
            </w:r>
            <w:r w:rsidRPr="00FD7330">
              <w:rPr>
                <w:rFonts w:ascii="Simplified Arabic" w:hAnsi="Simplified Arabic"/>
                <w:sz w:val="20"/>
                <w:szCs w:val="22"/>
                <w:lang w:val="fr-CH"/>
              </w:rPr>
              <w:t>/</w:t>
            </w:r>
            <w:r w:rsidRPr="00FD7330">
              <w:rPr>
                <w:rFonts w:ascii="Simplified Arabic" w:hAnsi="Simplified Arabic"/>
                <w:sz w:val="20"/>
                <w:szCs w:val="22"/>
                <w:rtl/>
                <w:lang w:val="fr-CH"/>
              </w:rPr>
              <w:t>حزيران</w:t>
            </w:r>
            <w:r w:rsidRPr="00FD7330">
              <w:rPr>
                <w:rFonts w:ascii="Simplified Arabic" w:hAnsi="Simplified Arabic"/>
                <w:sz w:val="20"/>
                <w:szCs w:val="22"/>
                <w:lang w:val="fr-CH"/>
              </w:rPr>
              <w:t xml:space="preserve"> 2019  </w:t>
            </w:r>
          </w:p>
        </w:tc>
        <w:tc>
          <w:tcPr>
            <w:tcW w:w="2813" w:type="dxa"/>
            <w:tcBorders>
              <w:top w:val="nil"/>
              <w:left w:val="nil"/>
              <w:bottom w:val="nil"/>
              <w:right w:val="nil"/>
            </w:tcBorders>
          </w:tcPr>
          <w:p w:rsidR="001C1C1D" w:rsidRPr="00FD7330" w:rsidRDefault="001C1C1D" w:rsidP="00E02C84">
            <w:pPr>
              <w:spacing w:after="100" w:line="204" w:lineRule="auto"/>
              <w:jc w:val="lowKashida"/>
              <w:rPr>
                <w:rFonts w:ascii="Simplified Arabic" w:hAnsi="Simplified Arabic"/>
                <w:sz w:val="20"/>
                <w:szCs w:val="22"/>
                <w:rtl/>
                <w:lang w:val="fr-CH"/>
              </w:rPr>
            </w:pPr>
            <w:r w:rsidRPr="00FD7330">
              <w:rPr>
                <w:rFonts w:ascii="Simplified Arabic" w:hAnsi="Simplified Arabic" w:hint="cs"/>
                <w:sz w:val="20"/>
                <w:szCs w:val="22"/>
                <w:rtl/>
                <w:lang w:val="fr-CH"/>
              </w:rPr>
              <w:t>ا</w:t>
            </w:r>
            <w:r w:rsidRPr="00FD7330">
              <w:rPr>
                <w:rFonts w:ascii="Simplified Arabic" w:hAnsi="Simplified Arabic"/>
                <w:sz w:val="20"/>
                <w:szCs w:val="22"/>
                <w:rtl/>
                <w:lang w:val="fr-CH"/>
              </w:rPr>
              <w:t>لهيئة الفرعية للتنفيذ</w:t>
            </w:r>
            <w:r w:rsidRPr="00FD7330">
              <w:rPr>
                <w:rFonts w:ascii="Simplified Arabic" w:hAnsi="Simplified Arabic" w:hint="cs"/>
                <w:sz w:val="20"/>
                <w:szCs w:val="22"/>
                <w:rtl/>
                <w:lang w:val="fr-CH"/>
              </w:rPr>
              <w:t>، الاجتماع الثالث</w:t>
            </w:r>
          </w:p>
        </w:tc>
      </w:tr>
    </w:tbl>
    <w:p w:rsidR="001C1C1D" w:rsidRPr="00FD7330" w:rsidRDefault="001C1C1D" w:rsidP="005F7C38">
      <w:pPr>
        <w:keepNext/>
        <w:spacing w:after="100" w:line="204" w:lineRule="auto"/>
        <w:jc w:val="center"/>
        <w:rPr>
          <w:rFonts w:ascii="Simplified Arabic" w:hAnsi="Simplified Arabic"/>
          <w:i/>
          <w:iCs/>
          <w:sz w:val="20"/>
          <w:rtl/>
          <w:lang w:val="fr-CH"/>
        </w:rPr>
      </w:pPr>
      <w:r>
        <w:rPr>
          <w:rFonts w:ascii="Simplified Arabic" w:hAnsi="Simplified Arabic" w:hint="cs"/>
          <w:i/>
          <w:iCs/>
          <w:sz w:val="20"/>
          <w:rtl/>
          <w:lang w:val="fr-CH"/>
        </w:rPr>
        <w:lastRenderedPageBreak/>
        <w:t>ال</w:t>
      </w:r>
      <w:r w:rsidRPr="00FD7330">
        <w:rPr>
          <w:rFonts w:ascii="Simplified Arabic" w:hAnsi="Simplified Arabic"/>
          <w:i/>
          <w:iCs/>
          <w:sz w:val="20"/>
          <w:rtl/>
          <w:lang w:val="fr-CH"/>
        </w:rPr>
        <w:t>تذييل</w:t>
      </w:r>
    </w:p>
    <w:p w:rsidR="001C1C1D" w:rsidRPr="00FD7330" w:rsidRDefault="001C1C1D" w:rsidP="001C1C1D">
      <w:pPr>
        <w:spacing w:after="100" w:line="204" w:lineRule="auto"/>
        <w:jc w:val="center"/>
        <w:rPr>
          <w:rFonts w:ascii="Simplified Arabic" w:hAnsi="Simplified Arabic"/>
          <w:b/>
          <w:bCs/>
          <w:sz w:val="20"/>
          <w:rtl/>
          <w:lang w:val="fr-CH"/>
        </w:rPr>
      </w:pPr>
      <w:r w:rsidRPr="00FD7330">
        <w:rPr>
          <w:rFonts w:ascii="Simplified Arabic" w:hAnsi="Simplified Arabic"/>
          <w:b/>
          <w:bCs/>
          <w:sz w:val="20"/>
          <w:rtl/>
          <w:lang w:val="fr-CH"/>
        </w:rPr>
        <w:t>اختصاصات لدراسة لتوفير قاعدة معلومات ل</w:t>
      </w:r>
      <w:r w:rsidRPr="00FD7330">
        <w:rPr>
          <w:rFonts w:ascii="Simplified Arabic" w:hAnsi="Simplified Arabic" w:hint="cs"/>
          <w:b/>
          <w:bCs/>
          <w:sz w:val="20"/>
          <w:rtl/>
          <w:lang w:val="fr-CH"/>
        </w:rPr>
        <w:t>تحضير</w:t>
      </w:r>
      <w:r w:rsidRPr="00FD7330">
        <w:rPr>
          <w:rFonts w:ascii="Simplified Arabic" w:hAnsi="Simplified Arabic"/>
          <w:b/>
          <w:bCs/>
          <w:sz w:val="20"/>
          <w:rtl/>
          <w:lang w:val="fr-CH"/>
        </w:rPr>
        <w:t xml:space="preserve"> الإطار الاستراتيجي </w:t>
      </w:r>
      <w:r w:rsidRPr="00FD7330">
        <w:rPr>
          <w:rFonts w:ascii="Simplified Arabic" w:hAnsi="Simplified Arabic" w:hint="cs"/>
          <w:b/>
          <w:bCs/>
          <w:sz w:val="20"/>
          <w:rtl/>
          <w:lang w:val="fr-CH"/>
        </w:rPr>
        <w:t xml:space="preserve">الطويل الأجل لبناء </w:t>
      </w:r>
      <w:r w:rsidRPr="00FD7330">
        <w:rPr>
          <w:rFonts w:ascii="Simplified Arabic" w:hAnsi="Simplified Arabic"/>
          <w:b/>
          <w:bCs/>
          <w:sz w:val="20"/>
          <w:rtl/>
          <w:lang w:val="fr-CH"/>
        </w:rPr>
        <w:t xml:space="preserve">القدرات بعد عام </w:t>
      </w:r>
      <w:r w:rsidRPr="00FD7330">
        <w:rPr>
          <w:rFonts w:cs="Times New Roman"/>
          <w:b/>
          <w:bCs/>
          <w:sz w:val="20"/>
          <w:rtl/>
          <w:lang w:val="fr-CH"/>
        </w:rPr>
        <w:t>2020</w:t>
      </w:r>
    </w:p>
    <w:p w:rsidR="001C1C1D" w:rsidRPr="00FD7330" w:rsidRDefault="001C1C1D" w:rsidP="001C1C1D">
      <w:pPr>
        <w:spacing w:after="100" w:line="204" w:lineRule="auto"/>
        <w:jc w:val="center"/>
        <w:rPr>
          <w:rFonts w:ascii="Simplified Arabic" w:hAnsi="Simplified Arabic"/>
          <w:b/>
          <w:bCs/>
          <w:sz w:val="20"/>
          <w:rtl/>
          <w:lang w:val="fr-CH"/>
        </w:rPr>
      </w:pPr>
      <w:r w:rsidRPr="00FD7330">
        <w:rPr>
          <w:rFonts w:ascii="Simplified Arabic" w:hAnsi="Simplified Arabic"/>
          <w:b/>
          <w:bCs/>
          <w:sz w:val="20"/>
          <w:rtl/>
          <w:lang w:val="fr-CH"/>
        </w:rPr>
        <w:t>ألف</w:t>
      </w:r>
      <w:r w:rsidRPr="00FD7330">
        <w:rPr>
          <w:rFonts w:ascii="Simplified Arabic" w:hAnsi="Simplified Arabic" w:hint="cs"/>
          <w:b/>
          <w:bCs/>
          <w:sz w:val="20"/>
          <w:rtl/>
          <w:lang w:val="fr-CH"/>
        </w:rPr>
        <w:t>-</w:t>
      </w:r>
      <w:r w:rsidRPr="00FD7330">
        <w:rPr>
          <w:rFonts w:ascii="Simplified Arabic" w:hAnsi="Simplified Arabic"/>
          <w:b/>
          <w:bCs/>
          <w:sz w:val="20"/>
          <w:lang w:val="fr-CH"/>
        </w:rPr>
        <w:tab/>
      </w:r>
      <w:r w:rsidRPr="00FD7330">
        <w:rPr>
          <w:rFonts w:ascii="Simplified Arabic" w:hAnsi="Simplified Arabic"/>
          <w:b/>
          <w:bCs/>
          <w:sz w:val="20"/>
          <w:rtl/>
          <w:lang w:val="fr-CH"/>
        </w:rPr>
        <w:t>نطاق الدراسة</w:t>
      </w:r>
      <w:r w:rsidRPr="00FD7330">
        <w:rPr>
          <w:rFonts w:ascii="Simplified Arabic" w:hAnsi="Simplified Arabic"/>
          <w:b/>
          <w:bCs/>
          <w:sz w:val="20"/>
          <w:lang w:val="fr-CH"/>
        </w:rPr>
        <w:t xml:space="preserve"> </w:t>
      </w:r>
      <w:r w:rsidRPr="00FD7330">
        <w:rPr>
          <w:rFonts w:ascii="Simplified Arabic" w:hAnsi="Simplified Arabic"/>
          <w:b/>
          <w:bCs/>
          <w:sz w:val="20"/>
          <w:rtl/>
          <w:lang w:val="fr-CH"/>
        </w:rPr>
        <w:t>وعملية</w:t>
      </w:r>
      <w:r w:rsidRPr="00FD7330">
        <w:rPr>
          <w:rFonts w:ascii="Simplified Arabic" w:hAnsi="Simplified Arabic"/>
          <w:b/>
          <w:bCs/>
          <w:sz w:val="20"/>
          <w:lang w:val="fr-CH"/>
        </w:rPr>
        <w:t xml:space="preserve"> </w:t>
      </w:r>
      <w:r w:rsidRPr="00FD7330">
        <w:rPr>
          <w:rFonts w:ascii="Simplified Arabic" w:hAnsi="Simplified Arabic"/>
          <w:b/>
          <w:bCs/>
          <w:sz w:val="20"/>
          <w:rtl/>
          <w:lang w:val="fr-CH"/>
        </w:rPr>
        <w:t>إعداد</w:t>
      </w:r>
      <w:r w:rsidRPr="00FD7330">
        <w:rPr>
          <w:rFonts w:ascii="Simplified Arabic" w:hAnsi="Simplified Arabic"/>
          <w:b/>
          <w:bCs/>
          <w:sz w:val="20"/>
          <w:lang w:val="fr-CH"/>
        </w:rPr>
        <w:t xml:space="preserve"> </w:t>
      </w:r>
      <w:r w:rsidRPr="00FD7330">
        <w:rPr>
          <w:rFonts w:ascii="Simplified Arabic" w:hAnsi="Simplified Arabic"/>
          <w:b/>
          <w:bCs/>
          <w:sz w:val="20"/>
          <w:rtl/>
          <w:lang w:val="fr-CH"/>
        </w:rPr>
        <w:t>الإطار</w:t>
      </w:r>
    </w:p>
    <w:p w:rsidR="001C1C1D" w:rsidRPr="00FD7330" w:rsidRDefault="001C1C1D" w:rsidP="001C1C1D">
      <w:pPr>
        <w:spacing w:after="100" w:line="204" w:lineRule="auto"/>
        <w:rPr>
          <w:rFonts w:ascii="Simplified Arabic" w:hAnsi="Simplified Arabic"/>
          <w:sz w:val="20"/>
          <w:rtl/>
          <w:lang w:val="fr-CH"/>
        </w:rPr>
      </w:pPr>
      <w:r w:rsidRPr="00FD7330">
        <w:rPr>
          <w:rFonts w:ascii="Simplified Arabic" w:hAnsi="Simplified Arabic"/>
          <w:sz w:val="20"/>
          <w:rtl/>
          <w:lang w:val="fr-CH"/>
        </w:rPr>
        <w:t>1</w:t>
      </w:r>
      <w:r w:rsidRPr="00FD7330">
        <w:rPr>
          <w:rFonts w:ascii="Simplified Arabic" w:hAnsi="Simplified Arabic" w:hint="cs"/>
          <w:sz w:val="20"/>
          <w:rtl/>
          <w:lang w:val="fr-CH"/>
        </w:rPr>
        <w:t>-</w:t>
      </w:r>
      <w:r w:rsidRPr="00FD7330">
        <w:rPr>
          <w:rFonts w:ascii="Simplified Arabic" w:hAnsi="Simplified Arabic"/>
          <w:sz w:val="20"/>
          <w:lang w:val="fr-CH"/>
        </w:rPr>
        <w:tab/>
      </w:r>
      <w:r w:rsidRPr="00FD7330">
        <w:rPr>
          <w:rFonts w:ascii="Simplified Arabic" w:hAnsi="Simplified Arabic"/>
          <w:sz w:val="20"/>
          <w:rtl/>
          <w:lang w:val="fr-CH"/>
        </w:rPr>
        <w:t>ستشمل</w:t>
      </w:r>
      <w:r w:rsidRPr="00FD7330">
        <w:rPr>
          <w:rFonts w:ascii="Simplified Arabic" w:hAnsi="Simplified Arabic"/>
          <w:sz w:val="20"/>
          <w:lang w:val="fr-CH"/>
        </w:rPr>
        <w:t xml:space="preserve"> </w:t>
      </w:r>
      <w:r w:rsidRPr="00FD7330">
        <w:rPr>
          <w:rFonts w:ascii="Simplified Arabic" w:hAnsi="Simplified Arabic"/>
          <w:sz w:val="20"/>
          <w:rtl/>
          <w:lang w:val="fr-CH"/>
        </w:rPr>
        <w:t>الدراسة</w:t>
      </w:r>
      <w:r w:rsidRPr="00FD7330">
        <w:rPr>
          <w:rFonts w:ascii="Simplified Arabic" w:hAnsi="Simplified Arabic"/>
          <w:sz w:val="20"/>
          <w:lang w:val="fr-CH"/>
        </w:rPr>
        <w:t xml:space="preserve"> </w:t>
      </w:r>
      <w:r w:rsidRPr="00FD7330">
        <w:rPr>
          <w:rFonts w:ascii="Simplified Arabic" w:hAnsi="Simplified Arabic"/>
          <w:sz w:val="20"/>
          <w:rtl/>
          <w:lang w:val="fr-CH"/>
        </w:rPr>
        <w:t>المهام</w:t>
      </w:r>
      <w:r w:rsidRPr="00FD7330">
        <w:rPr>
          <w:rFonts w:ascii="Simplified Arabic" w:hAnsi="Simplified Arabic"/>
          <w:sz w:val="20"/>
          <w:lang w:val="fr-CH"/>
        </w:rPr>
        <w:t xml:space="preserve"> </w:t>
      </w:r>
      <w:r w:rsidRPr="00FD7330">
        <w:rPr>
          <w:rFonts w:ascii="Simplified Arabic" w:hAnsi="Simplified Arabic"/>
          <w:sz w:val="20"/>
          <w:rtl/>
          <w:lang w:val="fr-CH"/>
        </w:rPr>
        <w:t>التالية:</w:t>
      </w:r>
    </w:p>
    <w:p w:rsidR="001C1C1D" w:rsidRPr="00FD7330" w:rsidRDefault="001C1C1D" w:rsidP="001C1C1D">
      <w:pPr>
        <w:spacing w:after="100" w:line="204" w:lineRule="auto"/>
        <w:ind w:firstLine="720"/>
        <w:rPr>
          <w:rFonts w:ascii="Simplified Arabic" w:hAnsi="Simplified Arabic"/>
          <w:sz w:val="20"/>
          <w:rtl/>
          <w:lang w:val="fr-CH"/>
        </w:rPr>
      </w:pPr>
      <w:r w:rsidRPr="00FD7330">
        <w:rPr>
          <w:rFonts w:ascii="Simplified Arabic" w:hAnsi="Simplified Arabic"/>
          <w:sz w:val="20"/>
          <w:rtl/>
          <w:lang w:val="fr-CH"/>
        </w:rPr>
        <w:t>(أ)</w:t>
      </w:r>
      <w:r w:rsidRPr="00FD7330">
        <w:rPr>
          <w:rFonts w:ascii="Simplified Arabic" w:hAnsi="Simplified Arabic" w:hint="cs"/>
          <w:sz w:val="20"/>
          <w:rtl/>
          <w:lang w:val="fr-CH"/>
        </w:rPr>
        <w:tab/>
      </w:r>
      <w:r w:rsidRPr="00FD7330">
        <w:rPr>
          <w:rFonts w:ascii="Simplified Arabic" w:hAnsi="Simplified Arabic"/>
          <w:sz w:val="20"/>
          <w:rtl/>
          <w:lang w:val="fr-CH"/>
        </w:rPr>
        <w:t>تقييم حالة تنمية القدرات المتعلقة بتنفيذ الاتفاقية وبروتوكوليها، بما في ذلك المبادرات/البرامج الرئيسية الحالية لت</w:t>
      </w:r>
      <w:r w:rsidRPr="00FD7330">
        <w:rPr>
          <w:rFonts w:ascii="Simplified Arabic" w:hAnsi="Simplified Arabic" w:hint="cs"/>
          <w:sz w:val="20"/>
          <w:rtl/>
          <w:lang w:val="fr-CH"/>
        </w:rPr>
        <w:t>نمية</w:t>
      </w:r>
      <w:r w:rsidRPr="00FD7330">
        <w:rPr>
          <w:rFonts w:ascii="Simplified Arabic" w:hAnsi="Simplified Arabic"/>
          <w:sz w:val="20"/>
          <w:rtl/>
          <w:lang w:val="fr-CH"/>
        </w:rPr>
        <w:t xml:space="preserve"> القدرات، والأدوات، والشبكات، والشراكات؛</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sz w:val="20"/>
          <w:rtl/>
          <w:lang w:val="fr-CH"/>
        </w:rPr>
        <w:t>(ب)</w:t>
      </w:r>
      <w:r w:rsidRPr="00FD7330">
        <w:rPr>
          <w:rFonts w:ascii="Simplified Arabic" w:hAnsi="Simplified Arabic" w:hint="cs"/>
          <w:sz w:val="20"/>
          <w:rtl/>
          <w:lang w:val="fr-CH"/>
        </w:rPr>
        <w:tab/>
      </w:r>
      <w:r w:rsidRPr="00FD7330">
        <w:rPr>
          <w:rFonts w:ascii="Simplified Arabic" w:hAnsi="Simplified Arabic"/>
          <w:sz w:val="20"/>
          <w:rtl/>
          <w:lang w:val="fr-CH"/>
        </w:rPr>
        <w:t>تحديد المورّدين الرئيسيين لدعم بناء القدرات لتنفيذ الاتفاقية وبروتوكوليها في مختلف المناطق، بما في ذلك اختصاصاتها ونقاط قوتها؛</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sz w:val="20"/>
          <w:rtl/>
          <w:lang w:val="fr-CH"/>
        </w:rPr>
        <w:t>(ج)</w:t>
      </w:r>
      <w:r w:rsidRPr="00FD7330">
        <w:rPr>
          <w:rFonts w:ascii="Simplified Arabic" w:hAnsi="Simplified Arabic" w:hint="cs"/>
          <w:sz w:val="20"/>
          <w:rtl/>
          <w:lang w:val="fr-CH"/>
        </w:rPr>
        <w:tab/>
      </w:r>
      <w:r w:rsidRPr="00FD7330">
        <w:rPr>
          <w:rFonts w:ascii="Simplified Arabic" w:hAnsi="Simplified Arabic"/>
          <w:sz w:val="20"/>
          <w:rtl/>
          <w:lang w:val="fr-CH"/>
        </w:rPr>
        <w:t>استعراض الخبرات الناشئة والدروس المستفادة من مختلف طرائق ونُهج تنمية القدرات المستخدمة وتقييم فعاليتها وقيودها النسبية؛</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sz w:val="20"/>
          <w:rtl/>
          <w:lang w:val="fr-CH"/>
        </w:rPr>
        <w:t>(د)</w:t>
      </w:r>
      <w:r w:rsidRPr="00FD7330">
        <w:rPr>
          <w:rFonts w:ascii="Simplified Arabic" w:hAnsi="Simplified Arabic" w:hint="cs"/>
          <w:sz w:val="20"/>
          <w:rtl/>
          <w:lang w:val="fr-CH"/>
        </w:rPr>
        <w:tab/>
      </w:r>
      <w:r w:rsidRPr="00FD7330">
        <w:rPr>
          <w:rFonts w:ascii="Simplified Arabic" w:hAnsi="Simplified Arabic"/>
          <w:sz w:val="20"/>
          <w:rtl/>
          <w:lang w:val="fr-CH"/>
        </w:rPr>
        <w:t>تحديد الاحتياجات</w:t>
      </w:r>
      <w:r w:rsidRPr="00FD7330">
        <w:rPr>
          <w:rFonts w:ascii="Simplified Arabic" w:hAnsi="Simplified Arabic"/>
          <w:sz w:val="20"/>
          <w:lang w:val="fr-CH"/>
        </w:rPr>
        <w:t xml:space="preserve"> </w:t>
      </w:r>
      <w:r w:rsidRPr="00FD7330">
        <w:rPr>
          <w:rFonts w:ascii="Simplified Arabic" w:hAnsi="Simplified Arabic"/>
          <w:sz w:val="20"/>
          <w:rtl/>
          <w:lang w:val="fr-CH"/>
        </w:rPr>
        <w:t>الرئيسية</w:t>
      </w:r>
      <w:r w:rsidRPr="00FD7330">
        <w:rPr>
          <w:rFonts w:ascii="Simplified Arabic" w:hAnsi="Simplified Arabic"/>
          <w:sz w:val="20"/>
          <w:lang w:val="fr-CH"/>
        </w:rPr>
        <w:t xml:space="preserve"> </w:t>
      </w:r>
      <w:r w:rsidRPr="00FD7330">
        <w:rPr>
          <w:rFonts w:ascii="Simplified Arabic" w:hAnsi="Simplified Arabic"/>
          <w:sz w:val="20"/>
          <w:rtl/>
          <w:lang w:val="fr-CH"/>
        </w:rPr>
        <w:t>والاحتياجات</w:t>
      </w:r>
      <w:r w:rsidRPr="00FD7330">
        <w:rPr>
          <w:rFonts w:ascii="Simplified Arabic" w:hAnsi="Simplified Arabic"/>
          <w:sz w:val="20"/>
          <w:lang w:val="fr-CH"/>
        </w:rPr>
        <w:t xml:space="preserve"> </w:t>
      </w:r>
      <w:r w:rsidRPr="00FD7330">
        <w:rPr>
          <w:rFonts w:ascii="Simplified Arabic" w:hAnsi="Simplified Arabic"/>
          <w:sz w:val="20"/>
          <w:rtl/>
          <w:lang w:val="fr-CH"/>
        </w:rPr>
        <w:t>التكنولوجية</w:t>
      </w:r>
      <w:r w:rsidRPr="00FD7330">
        <w:rPr>
          <w:rFonts w:ascii="Simplified Arabic" w:hAnsi="Simplified Arabic"/>
          <w:sz w:val="20"/>
          <w:lang w:val="fr-CH"/>
        </w:rPr>
        <w:t xml:space="preserve"> </w:t>
      </w:r>
      <w:r w:rsidRPr="00FD7330">
        <w:rPr>
          <w:rFonts w:ascii="Simplified Arabic" w:hAnsi="Simplified Arabic"/>
          <w:sz w:val="20"/>
          <w:rtl/>
          <w:lang w:val="fr-CH"/>
        </w:rPr>
        <w:t>للأطراف</w:t>
      </w:r>
      <w:r w:rsidRPr="00FD7330">
        <w:rPr>
          <w:rFonts w:ascii="Simplified Arabic" w:hAnsi="Simplified Arabic"/>
          <w:sz w:val="20"/>
          <w:lang w:val="fr-CH"/>
        </w:rPr>
        <w:t xml:space="preserve"> </w:t>
      </w:r>
      <w:r w:rsidRPr="00FD7330">
        <w:rPr>
          <w:rFonts w:ascii="Simplified Arabic" w:hAnsi="Simplified Arabic"/>
          <w:sz w:val="20"/>
          <w:rtl/>
          <w:lang w:val="fr-CH"/>
        </w:rPr>
        <w:t>فيما</w:t>
      </w:r>
      <w:r w:rsidRPr="00FD7330">
        <w:rPr>
          <w:rFonts w:ascii="Simplified Arabic" w:hAnsi="Simplified Arabic"/>
          <w:sz w:val="20"/>
          <w:lang w:val="fr-CH"/>
        </w:rPr>
        <w:t xml:space="preserve"> </w:t>
      </w:r>
      <w:r w:rsidRPr="00FD7330">
        <w:rPr>
          <w:rFonts w:ascii="Simplified Arabic" w:hAnsi="Simplified Arabic"/>
          <w:sz w:val="20"/>
          <w:rtl/>
          <w:lang w:val="fr-CH"/>
        </w:rPr>
        <w:t>يخص</w:t>
      </w:r>
      <w:r w:rsidRPr="00FD7330">
        <w:rPr>
          <w:rFonts w:ascii="Simplified Arabic" w:hAnsi="Simplified Arabic"/>
          <w:sz w:val="20"/>
          <w:lang w:val="fr-CH"/>
        </w:rPr>
        <w:t xml:space="preserve"> </w:t>
      </w:r>
      <w:r w:rsidRPr="00FD7330">
        <w:rPr>
          <w:rFonts w:ascii="Simplified Arabic" w:hAnsi="Simplified Arabic"/>
          <w:sz w:val="20"/>
          <w:rtl/>
          <w:lang w:val="fr-CH"/>
        </w:rPr>
        <w:t>تنمية القدرات والفجوات</w:t>
      </w:r>
      <w:r w:rsidRPr="00FD7330">
        <w:rPr>
          <w:rFonts w:ascii="Simplified Arabic" w:hAnsi="Simplified Arabic"/>
          <w:sz w:val="20"/>
          <w:lang w:val="fr-CH"/>
        </w:rPr>
        <w:t xml:space="preserve"> </w:t>
      </w:r>
      <w:r w:rsidRPr="00FD7330">
        <w:rPr>
          <w:rFonts w:ascii="Simplified Arabic" w:hAnsi="Simplified Arabic"/>
          <w:sz w:val="20"/>
          <w:rtl/>
          <w:lang w:val="fr-CH"/>
        </w:rPr>
        <w:t>الموجودة</w:t>
      </w:r>
      <w:r w:rsidRPr="00FD7330">
        <w:rPr>
          <w:rFonts w:ascii="Simplified Arabic" w:hAnsi="Simplified Arabic" w:hint="cs"/>
          <w:sz w:val="20"/>
          <w:rtl/>
          <w:lang w:val="fr-CH"/>
        </w:rPr>
        <w:t>، بما في ذلك على المستوى الإقليمي</w:t>
      </w:r>
      <w:r w:rsidRPr="00FD7330">
        <w:rPr>
          <w:rFonts w:ascii="Simplified Arabic" w:hAnsi="Simplified Arabic"/>
          <w:sz w:val="20"/>
          <w:rtl/>
          <w:lang w:val="fr-CH"/>
        </w:rPr>
        <w:t>؛</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sz w:val="20"/>
          <w:rtl/>
          <w:lang w:val="fr-CH"/>
        </w:rPr>
        <w:t>(ﻫ)</w:t>
      </w:r>
      <w:r w:rsidRPr="00FD7330">
        <w:rPr>
          <w:rFonts w:ascii="Simplified Arabic" w:hAnsi="Simplified Arabic" w:hint="cs"/>
          <w:sz w:val="20"/>
          <w:rtl/>
          <w:lang w:val="fr-CH"/>
        </w:rPr>
        <w:tab/>
      </w:r>
      <w:r w:rsidRPr="00FD7330">
        <w:rPr>
          <w:rFonts w:ascii="Simplified Arabic" w:hAnsi="Simplified Arabic"/>
          <w:sz w:val="20"/>
          <w:rtl/>
          <w:lang w:val="fr-CH"/>
        </w:rPr>
        <w:t>تحليل ما تم القيام به وأنواع أنشطة تنمية القدرات التي ساهمت في التقدم المحرز؛</w:t>
      </w:r>
    </w:p>
    <w:p w:rsidR="001C1C1D" w:rsidRPr="00FD7330" w:rsidRDefault="001C1C1D" w:rsidP="001C1C1D">
      <w:pPr>
        <w:spacing w:after="100" w:line="204" w:lineRule="auto"/>
        <w:ind w:firstLine="708"/>
        <w:jc w:val="lowKashida"/>
        <w:rPr>
          <w:rFonts w:ascii="Simplified Arabic" w:hAnsi="Simplified Arabic"/>
          <w:sz w:val="20"/>
          <w:rtl/>
          <w:lang w:val="fr-CH"/>
        </w:rPr>
      </w:pPr>
      <w:r w:rsidRPr="00FD7330">
        <w:rPr>
          <w:rFonts w:ascii="Simplified Arabic" w:hAnsi="Simplified Arabic"/>
          <w:sz w:val="20"/>
          <w:rtl/>
          <w:lang w:val="fr-CH"/>
        </w:rPr>
        <w:t>(و)</w:t>
      </w:r>
      <w:r w:rsidRPr="00FD7330">
        <w:rPr>
          <w:rFonts w:ascii="Simplified Arabic" w:hAnsi="Simplified Arabic" w:hint="cs"/>
          <w:sz w:val="20"/>
          <w:rtl/>
          <w:lang w:val="fr-CH"/>
        </w:rPr>
        <w:tab/>
      </w:r>
      <w:r w:rsidRPr="00FD7330">
        <w:rPr>
          <w:rFonts w:ascii="Simplified Arabic" w:hAnsi="Simplified Arabic"/>
          <w:sz w:val="20"/>
          <w:rtl/>
          <w:lang w:val="fr-CH"/>
        </w:rPr>
        <w:t>تقديم توصيات بشأن التوجه العام ل</w:t>
      </w:r>
      <w:r w:rsidRPr="00FD7330">
        <w:rPr>
          <w:rFonts w:ascii="Simplified Arabic" w:hAnsi="Simplified Arabic" w:hint="cs"/>
          <w:sz w:val="20"/>
          <w:rtl/>
          <w:lang w:val="fr-CH"/>
        </w:rPr>
        <w:t>ل</w:t>
      </w:r>
      <w:r w:rsidRPr="00FD7330">
        <w:rPr>
          <w:rFonts w:ascii="Simplified Arabic" w:hAnsi="Simplified Arabic"/>
          <w:sz w:val="20"/>
          <w:rtl/>
          <w:lang w:val="fr-CH"/>
        </w:rPr>
        <w:t xml:space="preserve">إطار </w:t>
      </w:r>
      <w:r w:rsidRPr="00FD7330">
        <w:rPr>
          <w:rFonts w:ascii="Simplified Arabic" w:hAnsi="Simplified Arabic" w:hint="cs"/>
          <w:sz w:val="20"/>
          <w:rtl/>
          <w:lang w:val="fr-CH"/>
        </w:rPr>
        <w:t xml:space="preserve">الطويل الأجل لبناء </w:t>
      </w:r>
      <w:r w:rsidRPr="00FD7330">
        <w:rPr>
          <w:rFonts w:ascii="Simplified Arabic" w:hAnsi="Simplified Arabic"/>
          <w:sz w:val="20"/>
          <w:rtl/>
          <w:lang w:val="fr-CH"/>
        </w:rPr>
        <w:t>القدرات بعد عام 2020 وإجراءات بناء القدرات ذات الأولوية التي يتعين اتخاذها لتحقيق غايات وأهداف متابعة الخطة الاستراتيجية للتنوع البيولوجي</w:t>
      </w:r>
      <w:r w:rsidRPr="00FD7330">
        <w:rPr>
          <w:rFonts w:ascii="Simplified Arabic" w:hAnsi="Simplified Arabic"/>
          <w:sz w:val="20"/>
          <w:lang w:val="fr-CH"/>
        </w:rPr>
        <w:t xml:space="preserve"> </w:t>
      </w:r>
      <w:r w:rsidRPr="00FD7330">
        <w:rPr>
          <w:rFonts w:ascii="Simplified Arabic" w:hAnsi="Simplified Arabic"/>
          <w:sz w:val="20"/>
          <w:rtl/>
          <w:lang w:val="fr-CH"/>
        </w:rPr>
        <w:t>2011-2020.</w:t>
      </w:r>
    </w:p>
    <w:p w:rsidR="001C1C1D" w:rsidRPr="00FD7330" w:rsidRDefault="001C1C1D" w:rsidP="001C1C1D">
      <w:pPr>
        <w:spacing w:after="100" w:line="204" w:lineRule="auto"/>
        <w:jc w:val="center"/>
        <w:rPr>
          <w:rFonts w:ascii="Simplified Arabic" w:hAnsi="Simplified Arabic"/>
          <w:b/>
          <w:bCs/>
          <w:sz w:val="20"/>
          <w:rtl/>
          <w:lang w:val="fr-CH"/>
        </w:rPr>
      </w:pPr>
      <w:r w:rsidRPr="00FD7330">
        <w:rPr>
          <w:rFonts w:ascii="Simplified Arabic" w:hAnsi="Simplified Arabic"/>
          <w:b/>
          <w:bCs/>
          <w:sz w:val="20"/>
          <w:rtl/>
          <w:lang w:val="fr-CH"/>
        </w:rPr>
        <w:t>باء</w:t>
      </w:r>
      <w:r w:rsidRPr="00FD7330">
        <w:rPr>
          <w:rFonts w:ascii="Simplified Arabic" w:hAnsi="Simplified Arabic" w:hint="cs"/>
          <w:b/>
          <w:bCs/>
          <w:sz w:val="20"/>
          <w:rtl/>
          <w:lang w:val="fr-CH"/>
        </w:rPr>
        <w:t>-</w:t>
      </w:r>
      <w:r w:rsidRPr="00FD7330">
        <w:rPr>
          <w:rFonts w:ascii="Simplified Arabic" w:hAnsi="Simplified Arabic"/>
          <w:b/>
          <w:bCs/>
          <w:sz w:val="20"/>
          <w:lang w:val="fr-CH"/>
        </w:rPr>
        <w:tab/>
      </w:r>
      <w:r w:rsidRPr="00FD7330">
        <w:rPr>
          <w:rFonts w:ascii="Simplified Arabic" w:hAnsi="Simplified Arabic"/>
          <w:b/>
          <w:bCs/>
          <w:sz w:val="20"/>
          <w:rtl/>
          <w:lang w:val="fr-CH"/>
        </w:rPr>
        <w:t>منهجية</w:t>
      </w:r>
      <w:r w:rsidRPr="00FD7330">
        <w:rPr>
          <w:rFonts w:ascii="Simplified Arabic" w:hAnsi="Simplified Arabic"/>
          <w:b/>
          <w:bCs/>
          <w:sz w:val="20"/>
          <w:lang w:val="fr-CH"/>
        </w:rPr>
        <w:t xml:space="preserve"> </w:t>
      </w:r>
      <w:r w:rsidRPr="00FD7330">
        <w:rPr>
          <w:rFonts w:ascii="Simplified Arabic" w:hAnsi="Simplified Arabic"/>
          <w:b/>
          <w:bCs/>
          <w:sz w:val="20"/>
          <w:rtl/>
          <w:lang w:val="fr-CH"/>
        </w:rPr>
        <w:t>ومصادر</w:t>
      </w:r>
      <w:r w:rsidRPr="00FD7330">
        <w:rPr>
          <w:rFonts w:ascii="Simplified Arabic" w:hAnsi="Simplified Arabic"/>
          <w:b/>
          <w:bCs/>
          <w:sz w:val="20"/>
          <w:lang w:val="fr-CH"/>
        </w:rPr>
        <w:t xml:space="preserve"> </w:t>
      </w:r>
      <w:r w:rsidRPr="00FD7330">
        <w:rPr>
          <w:rFonts w:ascii="Simplified Arabic" w:hAnsi="Simplified Arabic"/>
          <w:b/>
          <w:bCs/>
          <w:sz w:val="20"/>
          <w:rtl/>
          <w:lang w:val="fr-CH"/>
        </w:rPr>
        <w:t>المعلومات</w:t>
      </w:r>
    </w:p>
    <w:p w:rsidR="001C1C1D" w:rsidRPr="00FD7330" w:rsidRDefault="001C1C1D" w:rsidP="001C1C1D">
      <w:pPr>
        <w:spacing w:after="100" w:line="204" w:lineRule="auto"/>
        <w:jc w:val="lowKashida"/>
        <w:rPr>
          <w:rFonts w:ascii="Simplified Arabic" w:hAnsi="Simplified Arabic"/>
          <w:sz w:val="20"/>
          <w:rtl/>
          <w:lang w:val="fr-CH"/>
        </w:rPr>
      </w:pPr>
      <w:r>
        <w:rPr>
          <w:rFonts w:ascii="Simplified Arabic" w:hAnsi="Simplified Arabic" w:hint="cs"/>
          <w:sz w:val="20"/>
          <w:rtl/>
          <w:lang w:val="fr-CH"/>
        </w:rPr>
        <w:t>2-</w:t>
      </w:r>
      <w:r>
        <w:rPr>
          <w:rFonts w:ascii="Simplified Arabic" w:hAnsi="Simplified Arabic" w:hint="cs"/>
          <w:sz w:val="20"/>
          <w:rtl/>
          <w:lang w:val="fr-CH"/>
        </w:rPr>
        <w:tab/>
      </w:r>
      <w:r w:rsidRPr="00FD7330">
        <w:rPr>
          <w:rFonts w:ascii="Simplified Arabic" w:hAnsi="Simplified Arabic"/>
          <w:sz w:val="20"/>
          <w:rtl/>
          <w:lang w:val="fr-CH"/>
        </w:rPr>
        <w:t>ستستخدم الدراسة طر</w:t>
      </w:r>
      <w:r w:rsidRPr="00FD7330">
        <w:rPr>
          <w:rFonts w:ascii="Simplified Arabic" w:hAnsi="Simplified Arabic" w:hint="cs"/>
          <w:sz w:val="20"/>
          <w:rtl/>
          <w:lang w:val="fr-CH"/>
        </w:rPr>
        <w:t>ائ</w:t>
      </w:r>
      <w:r w:rsidRPr="00FD7330">
        <w:rPr>
          <w:rFonts w:ascii="Simplified Arabic" w:hAnsi="Simplified Arabic"/>
          <w:sz w:val="20"/>
          <w:rtl/>
          <w:lang w:val="fr-CH"/>
        </w:rPr>
        <w:t>ق جمع البيانات التالية وستعتمد على مجموعة من مصادر البيانات:</w:t>
      </w:r>
    </w:p>
    <w:p w:rsidR="001C1C1D" w:rsidRPr="00FD7330" w:rsidRDefault="001C1C1D" w:rsidP="001C1C1D">
      <w:pPr>
        <w:spacing w:after="100" w:line="204" w:lineRule="auto"/>
        <w:ind w:firstLine="720"/>
        <w:jc w:val="lowKashida"/>
        <w:rPr>
          <w:rFonts w:ascii="Simplified Arabic" w:hAnsi="Simplified Arabic"/>
          <w:rtl/>
          <w:lang w:val="fr-CH"/>
        </w:rPr>
      </w:pPr>
      <w:r w:rsidRPr="00FD7330">
        <w:rPr>
          <w:rFonts w:ascii="Simplified Arabic" w:hAnsi="Simplified Arabic"/>
          <w:sz w:val="20"/>
          <w:lang w:val="fr-CH"/>
        </w:rPr>
        <w:t>)</w:t>
      </w:r>
      <w:r w:rsidRPr="00FD7330">
        <w:rPr>
          <w:rFonts w:ascii="Simplified Arabic" w:hAnsi="Simplified Arabic"/>
          <w:rtl/>
          <w:lang w:val="fr-CH"/>
        </w:rPr>
        <w:t>أ</w:t>
      </w:r>
      <w:r w:rsidRPr="00FD7330">
        <w:rPr>
          <w:rFonts w:ascii="Simplified Arabic" w:hAnsi="Simplified Arabic"/>
          <w:lang w:val="fr-CH"/>
        </w:rPr>
        <w:t>(</w:t>
      </w:r>
      <w:r w:rsidRPr="00FD7330">
        <w:rPr>
          <w:rFonts w:ascii="Simplified Arabic" w:hAnsi="Simplified Arabic"/>
          <w:lang w:val="fr-CH"/>
        </w:rPr>
        <w:tab/>
      </w:r>
      <w:r w:rsidRPr="00FD7330">
        <w:rPr>
          <w:rFonts w:ascii="Simplified Arabic" w:hAnsi="Simplified Arabic"/>
          <w:rtl/>
          <w:lang w:val="fr-CH"/>
        </w:rPr>
        <w:t>استعراض</w:t>
      </w:r>
      <w:r w:rsidRPr="00FD7330">
        <w:rPr>
          <w:rFonts w:ascii="Simplified Arabic" w:hAnsi="Simplified Arabic"/>
          <w:lang w:val="fr-CH"/>
        </w:rPr>
        <w:t xml:space="preserve"> </w:t>
      </w:r>
      <w:r w:rsidRPr="00FD7330">
        <w:rPr>
          <w:rFonts w:ascii="Simplified Arabic" w:hAnsi="Simplified Arabic"/>
          <w:rtl/>
          <w:lang w:val="fr-CH"/>
        </w:rPr>
        <w:t>مكتبي</w:t>
      </w:r>
      <w:r w:rsidRPr="00FD7330">
        <w:rPr>
          <w:rFonts w:ascii="Simplified Arabic" w:hAnsi="Simplified Arabic"/>
          <w:lang w:val="fr-CH"/>
        </w:rPr>
        <w:t xml:space="preserve"> </w:t>
      </w:r>
      <w:r w:rsidRPr="00FD7330">
        <w:rPr>
          <w:rFonts w:ascii="Simplified Arabic" w:hAnsi="Simplified Arabic"/>
          <w:rtl/>
          <w:lang w:val="fr-CH"/>
        </w:rPr>
        <w:t>للوثائق</w:t>
      </w:r>
      <w:r w:rsidRPr="00FD7330">
        <w:rPr>
          <w:rFonts w:ascii="Simplified Arabic" w:hAnsi="Simplified Arabic"/>
          <w:lang w:val="fr-CH"/>
        </w:rPr>
        <w:t xml:space="preserve"> </w:t>
      </w:r>
      <w:r w:rsidRPr="00FD7330">
        <w:rPr>
          <w:rFonts w:ascii="Simplified Arabic" w:hAnsi="Simplified Arabic"/>
          <w:rtl/>
          <w:lang w:val="fr-CH"/>
        </w:rPr>
        <w:t>ذات</w:t>
      </w:r>
      <w:r w:rsidRPr="00FD7330">
        <w:rPr>
          <w:rFonts w:ascii="Simplified Arabic" w:hAnsi="Simplified Arabic"/>
          <w:lang w:val="fr-CH"/>
        </w:rPr>
        <w:t xml:space="preserve"> </w:t>
      </w:r>
      <w:r w:rsidRPr="00FD7330">
        <w:rPr>
          <w:rFonts w:ascii="Simplified Arabic" w:hAnsi="Simplified Arabic"/>
          <w:rtl/>
          <w:lang w:val="fr-CH"/>
        </w:rPr>
        <w:t>الصلة،</w:t>
      </w:r>
      <w:r w:rsidRPr="00FD7330">
        <w:rPr>
          <w:rFonts w:ascii="Simplified Arabic" w:hAnsi="Simplified Arabic"/>
          <w:lang w:val="fr-CH"/>
        </w:rPr>
        <w:t xml:space="preserve"> </w:t>
      </w:r>
      <w:r w:rsidRPr="00FD7330">
        <w:rPr>
          <w:rFonts w:ascii="Simplified Arabic" w:hAnsi="Simplified Arabic"/>
          <w:rtl/>
          <w:lang w:val="fr-CH"/>
        </w:rPr>
        <w:t>بما</w:t>
      </w:r>
      <w:r w:rsidRPr="00FD7330">
        <w:rPr>
          <w:rFonts w:ascii="Simplified Arabic" w:hAnsi="Simplified Arabic"/>
          <w:lang w:val="fr-CH"/>
        </w:rPr>
        <w:t xml:space="preserve"> </w:t>
      </w:r>
      <w:r w:rsidRPr="00FD7330">
        <w:rPr>
          <w:rFonts w:ascii="Simplified Arabic" w:hAnsi="Simplified Arabic"/>
          <w:rtl/>
          <w:lang w:val="fr-CH"/>
        </w:rPr>
        <w:t>في</w:t>
      </w:r>
      <w:r w:rsidRPr="00FD7330">
        <w:rPr>
          <w:rFonts w:ascii="Simplified Arabic" w:hAnsi="Simplified Arabic"/>
          <w:lang w:val="fr-CH"/>
        </w:rPr>
        <w:t xml:space="preserve"> </w:t>
      </w:r>
      <w:r w:rsidRPr="00FD7330">
        <w:rPr>
          <w:rFonts w:ascii="Simplified Arabic" w:hAnsi="Simplified Arabic"/>
          <w:rtl/>
          <w:lang w:val="fr-CH"/>
        </w:rPr>
        <w:t>ذلك</w:t>
      </w:r>
      <w:r w:rsidRPr="00FD7330">
        <w:rPr>
          <w:rFonts w:ascii="Simplified Arabic" w:hAnsi="Simplified Arabic"/>
          <w:lang w:val="fr-CH"/>
        </w:rPr>
        <w:t>:</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lang w:val="fr-CH"/>
        </w:rPr>
        <w:t>(1)</w:t>
      </w:r>
      <w:r w:rsidRPr="00FD7330">
        <w:rPr>
          <w:rFonts w:ascii="Simplified Arabic" w:hAnsi="Simplified Arabic"/>
          <w:lang w:val="fr-CH"/>
        </w:rPr>
        <w:tab/>
      </w:r>
      <w:r w:rsidRPr="00FD7330">
        <w:rPr>
          <w:rFonts w:ascii="Simplified Arabic" w:hAnsi="Simplified Arabic"/>
          <w:rtl/>
          <w:lang w:val="fr-CH"/>
        </w:rPr>
        <w:t>التقارير</w:t>
      </w:r>
      <w:r w:rsidRPr="00FD7330">
        <w:rPr>
          <w:rFonts w:ascii="Simplified Arabic" w:hAnsi="Simplified Arabic"/>
          <w:lang w:val="fr-CH"/>
        </w:rPr>
        <w:t xml:space="preserve"> </w:t>
      </w:r>
      <w:r w:rsidRPr="00FD7330">
        <w:rPr>
          <w:rFonts w:ascii="Simplified Arabic" w:hAnsi="Simplified Arabic"/>
          <w:rtl/>
          <w:lang w:val="fr-CH"/>
        </w:rPr>
        <w:t>الوطنية</w:t>
      </w:r>
      <w:r w:rsidRPr="00FD7330">
        <w:rPr>
          <w:rFonts w:ascii="Simplified Arabic" w:hAnsi="Simplified Arabic"/>
          <w:lang w:val="fr-CH"/>
        </w:rPr>
        <w:t xml:space="preserve"> </w:t>
      </w:r>
      <w:r w:rsidRPr="00FD7330">
        <w:rPr>
          <w:rFonts w:ascii="Simplified Arabic" w:hAnsi="Simplified Arabic"/>
          <w:rtl/>
          <w:lang w:val="fr-CH"/>
        </w:rPr>
        <w:t>السادسة</w:t>
      </w:r>
      <w:r w:rsidRPr="00FD7330">
        <w:rPr>
          <w:rFonts w:ascii="Simplified Arabic" w:hAnsi="Simplified Arabic"/>
          <w:lang w:val="fr-CH"/>
        </w:rPr>
        <w:t xml:space="preserve"> </w:t>
      </w:r>
      <w:r w:rsidRPr="00FD7330">
        <w:rPr>
          <w:rFonts w:ascii="Simplified Arabic" w:hAnsi="Simplified Arabic"/>
          <w:rtl/>
          <w:lang w:val="fr-CH"/>
        </w:rPr>
        <w:t>للاتفاقية؛</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lang w:val="fr-CH"/>
        </w:rPr>
        <w:t>(2)</w:t>
      </w:r>
      <w:r w:rsidRPr="00FD7330">
        <w:rPr>
          <w:rFonts w:ascii="Simplified Arabic" w:hAnsi="Simplified Arabic"/>
          <w:lang w:val="fr-CH"/>
        </w:rPr>
        <w:tab/>
      </w:r>
      <w:r w:rsidRPr="00FD7330">
        <w:rPr>
          <w:rFonts w:ascii="Simplified Arabic" w:hAnsi="Simplified Arabic"/>
          <w:rtl/>
          <w:lang w:val="fr-CH"/>
        </w:rPr>
        <w:t>نتائج</w:t>
      </w:r>
      <w:r w:rsidRPr="00FD7330">
        <w:rPr>
          <w:rFonts w:ascii="Simplified Arabic" w:hAnsi="Simplified Arabic"/>
          <w:lang w:val="fr-CH"/>
        </w:rPr>
        <w:t xml:space="preserve"> </w:t>
      </w:r>
      <w:r w:rsidRPr="00FD7330">
        <w:rPr>
          <w:rFonts w:ascii="Simplified Arabic" w:hAnsi="Simplified Arabic"/>
          <w:rtl/>
          <w:lang w:val="fr-CH"/>
        </w:rPr>
        <w:t>التقييم</w:t>
      </w:r>
      <w:r w:rsidRPr="00FD7330">
        <w:rPr>
          <w:rFonts w:ascii="Simplified Arabic" w:hAnsi="Simplified Arabic"/>
          <w:lang w:val="fr-CH"/>
        </w:rPr>
        <w:t xml:space="preserve"> </w:t>
      </w:r>
      <w:r w:rsidRPr="00FD7330">
        <w:rPr>
          <w:rFonts w:ascii="Simplified Arabic" w:hAnsi="Simplified Arabic"/>
          <w:rtl/>
          <w:lang w:val="fr-CH"/>
        </w:rPr>
        <w:t>الأول</w:t>
      </w:r>
      <w:r w:rsidRPr="00FD7330">
        <w:rPr>
          <w:rFonts w:ascii="Simplified Arabic" w:hAnsi="Simplified Arabic"/>
          <w:lang w:val="fr-CH"/>
        </w:rPr>
        <w:t xml:space="preserve"> </w:t>
      </w:r>
      <w:r w:rsidRPr="00FD7330">
        <w:rPr>
          <w:rFonts w:ascii="Simplified Arabic" w:hAnsi="Simplified Arabic"/>
          <w:rtl/>
          <w:lang w:val="fr-CH"/>
        </w:rPr>
        <w:t>واستعراض</w:t>
      </w:r>
      <w:r w:rsidRPr="00FD7330">
        <w:rPr>
          <w:rFonts w:ascii="Simplified Arabic" w:hAnsi="Simplified Arabic"/>
          <w:lang w:val="fr-CH"/>
        </w:rPr>
        <w:t xml:space="preserve"> </w:t>
      </w:r>
      <w:r w:rsidRPr="00FD7330">
        <w:rPr>
          <w:rFonts w:ascii="Simplified Arabic" w:hAnsi="Simplified Arabic"/>
          <w:rtl/>
          <w:lang w:val="fr-CH"/>
        </w:rPr>
        <w:t>بروتوكول</w:t>
      </w:r>
      <w:r w:rsidRPr="00FD7330">
        <w:rPr>
          <w:rFonts w:ascii="Simplified Arabic" w:hAnsi="Simplified Arabic"/>
          <w:lang w:val="fr-CH"/>
        </w:rPr>
        <w:t xml:space="preserve"> </w:t>
      </w:r>
      <w:r w:rsidRPr="00FD7330">
        <w:rPr>
          <w:rFonts w:ascii="Simplified Arabic" w:hAnsi="Simplified Arabic"/>
          <w:rtl/>
          <w:lang w:val="fr-CH"/>
        </w:rPr>
        <w:t>ناغويا؛</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lang w:val="fr-CH"/>
        </w:rPr>
        <w:t>(3)</w:t>
      </w:r>
      <w:r w:rsidRPr="00FD7330">
        <w:rPr>
          <w:rFonts w:ascii="Simplified Arabic" w:hAnsi="Simplified Arabic"/>
          <w:lang w:val="fr-CH"/>
        </w:rPr>
        <w:tab/>
      </w:r>
      <w:r w:rsidRPr="00FD7330">
        <w:rPr>
          <w:rFonts w:ascii="Simplified Arabic" w:hAnsi="Simplified Arabic"/>
          <w:rtl/>
          <w:lang w:val="fr-CH"/>
        </w:rPr>
        <w:t>التقرير الثاني (كخط أساس) والتقارير الوطنية الرابعة لبروتوكول قرطاجنة للسلامة الأحيائية؛</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hint="cs"/>
          <w:rtl/>
          <w:lang w:val="fr-CH"/>
        </w:rPr>
        <w:t>(4)</w:t>
      </w:r>
      <w:r w:rsidRPr="00FD7330">
        <w:rPr>
          <w:rFonts w:ascii="Simplified Arabic" w:hAnsi="Simplified Arabic"/>
          <w:rtl/>
          <w:lang w:val="fr-CH"/>
        </w:rPr>
        <w:tab/>
      </w:r>
      <w:r w:rsidRPr="00FD7330">
        <w:rPr>
          <w:rFonts w:ascii="Simplified Arabic" w:hAnsi="Simplified Arabic" w:hint="cs"/>
          <w:rtl/>
          <w:lang w:val="fr-CH"/>
        </w:rPr>
        <w:t xml:space="preserve">الإصدار الثاني من نشرة </w:t>
      </w:r>
      <w:r w:rsidRPr="00FD7330">
        <w:rPr>
          <w:rFonts w:ascii="Simplified Arabic" w:hAnsi="Simplified Arabic" w:hint="cs"/>
          <w:i/>
          <w:iCs/>
          <w:rtl/>
          <w:lang w:val="fr-CH"/>
        </w:rPr>
        <w:t>توقعات التنوع البيولوجي المحلية</w:t>
      </w:r>
      <w:r w:rsidRPr="00FD7330">
        <w:rPr>
          <w:rFonts w:ascii="Simplified Arabic" w:hAnsi="Simplified Arabic" w:hint="cs"/>
          <w:rtl/>
          <w:lang w:val="fr-CH"/>
        </w:rPr>
        <w:t>؛</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lang w:val="fr-CH"/>
        </w:rPr>
        <w:t>(5)</w:t>
      </w:r>
      <w:r w:rsidRPr="00FD7330">
        <w:rPr>
          <w:rFonts w:ascii="Simplified Arabic" w:hAnsi="Simplified Arabic"/>
          <w:lang w:val="fr-CH"/>
        </w:rPr>
        <w:tab/>
      </w:r>
      <w:r w:rsidRPr="00FD7330">
        <w:rPr>
          <w:rFonts w:ascii="Simplified Arabic" w:hAnsi="Simplified Arabic"/>
          <w:rtl/>
          <w:lang w:val="fr-CH"/>
        </w:rPr>
        <w:t>الاستراتيجيات وخطط العمل الوطنية لبناء القدرات؛</w:t>
      </w:r>
      <w:r w:rsidRPr="00FD7330">
        <w:rPr>
          <w:vertAlign w:val="superscript"/>
          <w:rtl/>
          <w:lang w:val="fr-CH"/>
        </w:rPr>
        <w:footnoteReference w:id="280"/>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rtl/>
          <w:lang w:val="fr-CH"/>
        </w:rPr>
        <w:t>(</w:t>
      </w:r>
      <w:r w:rsidRPr="00FD7330">
        <w:rPr>
          <w:rFonts w:ascii="Simplified Arabic" w:hAnsi="Simplified Arabic"/>
          <w:lang w:val="fr-CH"/>
        </w:rPr>
        <w:t>6</w:t>
      </w:r>
      <w:r w:rsidRPr="00FD7330">
        <w:rPr>
          <w:rFonts w:ascii="Simplified Arabic" w:hAnsi="Simplified Arabic"/>
          <w:rtl/>
          <w:lang w:val="fr-CH"/>
        </w:rPr>
        <w:t>)</w:t>
      </w:r>
      <w:r w:rsidRPr="00FD7330">
        <w:rPr>
          <w:rFonts w:ascii="Simplified Arabic" w:hAnsi="Simplified Arabic"/>
          <w:rtl/>
          <w:lang w:val="fr-CH"/>
        </w:rPr>
        <w:tab/>
        <w:t>تقارير عن تقييم</w:t>
      </w:r>
      <w:r>
        <w:rPr>
          <w:rFonts w:ascii="Simplified Arabic" w:hAnsi="Simplified Arabic" w:hint="cs"/>
          <w:rtl/>
          <w:lang w:val="fr-CH"/>
        </w:rPr>
        <w:t>ات</w:t>
      </w:r>
      <w:r w:rsidRPr="00FD7330">
        <w:rPr>
          <w:rFonts w:ascii="Simplified Arabic" w:hAnsi="Simplified Arabic"/>
          <w:rtl/>
          <w:lang w:val="fr-CH"/>
        </w:rPr>
        <w:t xml:space="preserve"> الأطر الاستراتيجية لبناء </w:t>
      </w:r>
      <w:r>
        <w:rPr>
          <w:rFonts w:ascii="Simplified Arabic" w:hAnsi="Simplified Arabic" w:hint="cs"/>
          <w:rtl/>
          <w:lang w:val="fr-CH"/>
        </w:rPr>
        <w:t>ال</w:t>
      </w:r>
      <w:r w:rsidRPr="00FD7330">
        <w:rPr>
          <w:rFonts w:ascii="Simplified Arabic" w:hAnsi="Simplified Arabic"/>
          <w:rtl/>
          <w:lang w:val="fr-CH"/>
        </w:rPr>
        <w:t xml:space="preserve">قدرات </w:t>
      </w:r>
      <w:r w:rsidRPr="00FD7330">
        <w:rPr>
          <w:rFonts w:ascii="Simplified Arabic" w:hAnsi="Simplified Arabic" w:hint="cs"/>
          <w:rtl/>
          <w:lang w:val="fr-CH"/>
        </w:rPr>
        <w:t>ل</w:t>
      </w:r>
      <w:r w:rsidRPr="00FD7330">
        <w:rPr>
          <w:rFonts w:ascii="Simplified Arabic" w:hAnsi="Simplified Arabic"/>
          <w:rtl/>
          <w:lang w:val="fr-CH"/>
        </w:rPr>
        <w:t>بروتوكول ناغويا وبروتوكول قرطاجنة؛</w:t>
      </w:r>
    </w:p>
    <w:p w:rsidR="001C1C1D" w:rsidRPr="00FD7330" w:rsidRDefault="001C1C1D" w:rsidP="001C1C1D">
      <w:pPr>
        <w:spacing w:after="100" w:line="204" w:lineRule="auto"/>
        <w:ind w:left="1440" w:hanging="720"/>
        <w:jc w:val="lowKashida"/>
        <w:rPr>
          <w:rFonts w:ascii="Simplified Arabic" w:hAnsi="Simplified Arabic"/>
          <w:rtl/>
          <w:lang w:val="fr-CH"/>
        </w:rPr>
      </w:pPr>
      <w:r w:rsidRPr="00FD7330">
        <w:rPr>
          <w:rFonts w:ascii="Simplified Arabic" w:hAnsi="Simplified Arabic"/>
          <w:rtl/>
          <w:lang w:val="fr-CH"/>
        </w:rPr>
        <w:t>(</w:t>
      </w:r>
      <w:r w:rsidRPr="00FD7330">
        <w:rPr>
          <w:rFonts w:ascii="Simplified Arabic" w:hAnsi="Simplified Arabic"/>
          <w:lang w:val="fr-CH"/>
        </w:rPr>
        <w:t>7</w:t>
      </w:r>
      <w:r w:rsidRPr="00FD7330">
        <w:rPr>
          <w:rFonts w:ascii="Simplified Arabic" w:hAnsi="Simplified Arabic"/>
          <w:rtl/>
          <w:lang w:val="fr-CH"/>
        </w:rPr>
        <w:t>)</w:t>
      </w:r>
      <w:r w:rsidRPr="00FD7330">
        <w:rPr>
          <w:rFonts w:ascii="Simplified Arabic" w:hAnsi="Simplified Arabic"/>
          <w:rtl/>
          <w:lang w:val="fr-CH"/>
        </w:rPr>
        <w:tab/>
        <w:t xml:space="preserve">تقرير التقييم المستقل لتأثيرات ونتائج وفعالية خطة العمل قصيرة الأجل </w:t>
      </w:r>
      <w:r w:rsidRPr="00FD7330">
        <w:rPr>
          <w:rFonts w:ascii="Simplified Arabic" w:hAnsi="Simplified Arabic" w:hint="cs"/>
          <w:rtl/>
          <w:lang w:val="fr-CH"/>
        </w:rPr>
        <w:t>(2017-2020)</w:t>
      </w:r>
      <w:r w:rsidRPr="00FD7330">
        <w:rPr>
          <w:rFonts w:ascii="Simplified Arabic" w:hAnsi="Simplified Arabic"/>
          <w:rtl/>
          <w:lang w:val="fr-CH"/>
        </w:rPr>
        <w:t xml:space="preserve"> لتعزيز ودعم بناء القدرات </w:t>
      </w:r>
      <w:r w:rsidRPr="00FD7330">
        <w:rPr>
          <w:rFonts w:ascii="Simplified Arabic" w:hAnsi="Simplified Arabic" w:hint="cs"/>
          <w:rtl/>
          <w:lang w:val="fr-CH"/>
        </w:rPr>
        <w:t xml:space="preserve">من أجل </w:t>
      </w:r>
      <w:r w:rsidRPr="00FD7330">
        <w:rPr>
          <w:rFonts w:ascii="Simplified Arabic" w:hAnsi="Simplified Arabic"/>
          <w:rtl/>
          <w:lang w:val="fr-CH"/>
        </w:rPr>
        <w:t>تنفيذ الاتفاقية وبروتوكوليها؛</w:t>
      </w:r>
    </w:p>
    <w:p w:rsidR="001C1C1D" w:rsidRPr="00FD7330" w:rsidRDefault="001C1C1D" w:rsidP="001C1C1D">
      <w:pPr>
        <w:spacing w:after="100" w:line="204" w:lineRule="auto"/>
        <w:ind w:left="1440" w:hanging="720"/>
        <w:rPr>
          <w:rFonts w:ascii="Simplified Arabic" w:hAnsi="Simplified Arabic"/>
          <w:rtl/>
          <w:lang w:val="fr-CH"/>
        </w:rPr>
      </w:pPr>
      <w:r w:rsidRPr="00FD7330">
        <w:rPr>
          <w:rFonts w:ascii="Simplified Arabic" w:hAnsi="Simplified Arabic"/>
          <w:rtl/>
          <w:lang w:val="fr-CH"/>
        </w:rPr>
        <w:t>(</w:t>
      </w:r>
      <w:r w:rsidRPr="00FD7330">
        <w:rPr>
          <w:rFonts w:ascii="Simplified Arabic" w:hAnsi="Simplified Arabic"/>
          <w:lang w:val="fr-CH"/>
        </w:rPr>
        <w:t>8</w:t>
      </w:r>
      <w:r w:rsidRPr="00FD7330">
        <w:rPr>
          <w:rFonts w:ascii="Simplified Arabic" w:hAnsi="Simplified Arabic"/>
          <w:rtl/>
          <w:lang w:val="fr-CH"/>
        </w:rPr>
        <w:t>)</w:t>
      </w:r>
      <w:r w:rsidRPr="00FD7330">
        <w:rPr>
          <w:rFonts w:ascii="Simplified Arabic" w:hAnsi="Simplified Arabic"/>
          <w:rtl/>
          <w:lang w:val="fr-CH"/>
        </w:rPr>
        <w:tab/>
        <w:t>تقارير الدراسات ذات الصلة والدراسات الاستقصائية وتقييمات الاحتياجات التي أجرتها المنظمات ذات الصلة؛</w:t>
      </w:r>
      <w:r w:rsidRPr="00FD7330">
        <w:rPr>
          <w:vertAlign w:val="superscript"/>
          <w:rtl/>
          <w:lang w:val="fr-CH"/>
        </w:rPr>
        <w:footnoteReference w:id="281"/>
      </w:r>
    </w:p>
    <w:p w:rsidR="001C1C1D" w:rsidRDefault="001C1C1D" w:rsidP="001C1C1D">
      <w:pPr>
        <w:spacing w:after="100" w:line="204" w:lineRule="auto"/>
        <w:ind w:left="1440" w:hanging="720"/>
        <w:jc w:val="lowKashida"/>
        <w:rPr>
          <w:rFonts w:ascii="Simplified Arabic" w:hAnsi="Simplified Arabic"/>
          <w:sz w:val="20"/>
          <w:rtl/>
          <w:lang w:val="fr-CH"/>
        </w:rPr>
      </w:pPr>
      <w:r w:rsidRPr="00FD7330">
        <w:rPr>
          <w:rFonts w:ascii="Simplified Arabic" w:hAnsi="Simplified Arabic"/>
          <w:rtl/>
          <w:lang w:val="fr-CH"/>
        </w:rPr>
        <w:lastRenderedPageBreak/>
        <w:t>(</w:t>
      </w:r>
      <w:r w:rsidRPr="00FD7330">
        <w:rPr>
          <w:rFonts w:ascii="Simplified Arabic" w:hAnsi="Simplified Arabic"/>
          <w:lang w:val="fr-CH"/>
        </w:rPr>
        <w:t>9</w:t>
      </w:r>
      <w:r w:rsidRPr="00FD7330">
        <w:rPr>
          <w:rFonts w:ascii="Simplified Arabic" w:hAnsi="Simplified Arabic"/>
          <w:rtl/>
          <w:lang w:val="fr-CH"/>
        </w:rPr>
        <w:t>)</w:t>
      </w:r>
      <w:r w:rsidRPr="00FD7330">
        <w:rPr>
          <w:rFonts w:ascii="Simplified Arabic" w:hAnsi="Simplified Arabic"/>
          <w:rtl/>
          <w:lang w:val="fr-CH"/>
        </w:rPr>
        <w:tab/>
        <w:t>تقارير</w:t>
      </w:r>
      <w:r w:rsidRPr="00FD7330">
        <w:rPr>
          <w:rFonts w:ascii="Simplified Arabic" w:hAnsi="Simplified Arabic"/>
          <w:sz w:val="20"/>
          <w:rtl/>
          <w:lang w:val="fr-CH"/>
        </w:rPr>
        <w:t xml:space="preserve"> التقييم الخاصة بمشاريع بناء القدرات ذات الصلة؛</w:t>
      </w:r>
    </w:p>
    <w:p w:rsidR="001C1C1D" w:rsidRDefault="001C1C1D" w:rsidP="001C1C1D">
      <w:pPr>
        <w:spacing w:after="100" w:line="204" w:lineRule="auto"/>
        <w:ind w:left="1440" w:hanging="720"/>
        <w:jc w:val="lowKashida"/>
        <w:rPr>
          <w:rFonts w:ascii="Simplified Arabic" w:hAnsi="Simplified Arabic"/>
          <w:sz w:val="20"/>
          <w:rtl/>
          <w:lang w:val="fr-CH"/>
        </w:rPr>
      </w:pPr>
      <w:r>
        <w:rPr>
          <w:rFonts w:ascii="Simplified Arabic" w:hAnsi="Simplified Arabic" w:hint="cs"/>
          <w:sz w:val="20"/>
          <w:rtl/>
          <w:lang w:val="fr-CH"/>
        </w:rPr>
        <w:t>(10)</w:t>
      </w:r>
      <w:r>
        <w:rPr>
          <w:rFonts w:ascii="Simplified Arabic" w:hAnsi="Simplified Arabic" w:hint="cs"/>
          <w:sz w:val="20"/>
          <w:rtl/>
          <w:lang w:val="fr-CH"/>
        </w:rPr>
        <w:tab/>
        <w:t>تقارير عن تقييمات بناء القدرات في إطار المعاهدات الدولية الأخرى بخصوص التنوع البيولوجي؛</w:t>
      </w:r>
    </w:p>
    <w:p w:rsidR="001C1C1D" w:rsidRPr="00FD7330" w:rsidRDefault="001C1C1D" w:rsidP="001C1C1D">
      <w:pPr>
        <w:spacing w:after="100" w:line="204" w:lineRule="auto"/>
        <w:ind w:left="1440" w:hanging="720"/>
        <w:jc w:val="lowKashida"/>
        <w:rPr>
          <w:rFonts w:ascii="Simplified Arabic" w:hAnsi="Simplified Arabic"/>
          <w:sz w:val="20"/>
          <w:rtl/>
          <w:lang w:val="fr-CH"/>
        </w:rPr>
      </w:pPr>
      <w:r>
        <w:rPr>
          <w:rFonts w:ascii="Simplified Arabic" w:hAnsi="Simplified Arabic" w:hint="cs"/>
          <w:sz w:val="20"/>
          <w:rtl/>
          <w:lang w:val="fr-CH"/>
        </w:rPr>
        <w:t>(11)</w:t>
      </w:r>
      <w:r>
        <w:rPr>
          <w:rFonts w:ascii="Simplified Arabic" w:hAnsi="Simplified Arabic" w:hint="cs"/>
          <w:sz w:val="20"/>
          <w:rtl/>
          <w:lang w:val="fr-CH"/>
        </w:rPr>
        <w:tab/>
        <w:t>التقييمات الإقليمية التي أجراها المنبر الحكومي الدولي للعلوم والسياسات في مجال التنوع البيولوجي وخدمات النظم الإيكولوجية.</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sz w:val="20"/>
          <w:rtl/>
          <w:lang w:val="fr-CH"/>
        </w:rPr>
        <w:t>(ب)</w:t>
      </w:r>
      <w:r w:rsidRPr="00FD7330">
        <w:rPr>
          <w:rFonts w:ascii="Simplified Arabic" w:hAnsi="Simplified Arabic"/>
          <w:sz w:val="20"/>
          <w:rtl/>
          <w:lang w:val="fr-CH"/>
        </w:rPr>
        <w:tab/>
        <w:t>دراسة استقصائية للأطراف والشركاء الرئيسيين</w:t>
      </w:r>
      <w:r w:rsidRPr="00FD7330">
        <w:rPr>
          <w:rFonts w:ascii="Simplified Arabic" w:hAnsi="Simplified Arabic" w:hint="cs"/>
          <w:sz w:val="20"/>
          <w:rtl/>
          <w:lang w:val="fr-CH"/>
        </w:rPr>
        <w:t>، بم</w:t>
      </w:r>
      <w:r>
        <w:rPr>
          <w:rFonts w:ascii="Simplified Arabic" w:hAnsi="Simplified Arabic" w:hint="cs"/>
          <w:sz w:val="20"/>
          <w:rtl/>
          <w:lang w:val="fr-CH"/>
        </w:rPr>
        <w:t>ا</w:t>
      </w:r>
      <w:r w:rsidRPr="00FD7330">
        <w:rPr>
          <w:rFonts w:ascii="Simplified Arabic" w:hAnsi="Simplified Arabic" w:hint="cs"/>
          <w:sz w:val="20"/>
          <w:rtl/>
          <w:lang w:val="fr-CH"/>
        </w:rPr>
        <w:t xml:space="preserve"> في</w:t>
      </w:r>
      <w:r>
        <w:rPr>
          <w:rFonts w:ascii="Simplified Arabic" w:hAnsi="Simplified Arabic" w:hint="cs"/>
          <w:sz w:val="20"/>
          <w:rtl/>
          <w:lang w:val="fr-CH"/>
        </w:rPr>
        <w:t xml:space="preserve"> ذلك</w:t>
      </w:r>
      <w:r w:rsidRPr="00FD7330">
        <w:rPr>
          <w:rFonts w:ascii="Simplified Arabic" w:hAnsi="Simplified Arabic" w:hint="cs"/>
          <w:sz w:val="20"/>
          <w:rtl/>
          <w:lang w:val="fr-CH"/>
        </w:rPr>
        <w:t xml:space="preserve"> الشعوب الأصلية والمجتمعات المحلية، ومنظمات النساء والشباب،</w:t>
      </w:r>
      <w:r w:rsidRPr="00FD7330">
        <w:rPr>
          <w:rFonts w:ascii="Simplified Arabic" w:hAnsi="Simplified Arabic"/>
          <w:sz w:val="20"/>
          <w:rtl/>
          <w:lang w:val="fr-CH"/>
        </w:rPr>
        <w:t xml:space="preserve"> لتحديد، من بين أمور أخرى، احتياجاتهم من القدرات ذات الأولوية والقدرات المطلوبة على مدى العقد القادم وكذلك العروض المحتملة للمساعدة والفرص والأدوات والخدمات الأخرى لتنمية القدرات؛</w:t>
      </w:r>
    </w:p>
    <w:p w:rsidR="001C1C1D" w:rsidRPr="00FD7330" w:rsidRDefault="001C1C1D" w:rsidP="001C1C1D">
      <w:pPr>
        <w:spacing w:after="100" w:line="204" w:lineRule="auto"/>
        <w:ind w:firstLine="708"/>
        <w:rPr>
          <w:rFonts w:ascii="Simplified Arabic" w:hAnsi="Simplified Arabic"/>
          <w:sz w:val="20"/>
          <w:rtl/>
          <w:lang w:val="fr-CH"/>
        </w:rPr>
      </w:pPr>
      <w:r w:rsidRPr="00FD7330">
        <w:rPr>
          <w:rFonts w:ascii="Simplified Arabic" w:hAnsi="Simplified Arabic" w:hint="cs"/>
          <w:sz w:val="20"/>
          <w:rtl/>
          <w:lang w:val="fr-CH"/>
        </w:rPr>
        <w:t>(ج)</w:t>
      </w:r>
      <w:r w:rsidRPr="00FD7330">
        <w:rPr>
          <w:rFonts w:ascii="Simplified Arabic" w:hAnsi="Simplified Arabic" w:hint="cs"/>
          <w:sz w:val="20"/>
          <w:rtl/>
          <w:lang w:val="fr-CH"/>
        </w:rPr>
        <w:tab/>
        <w:t>تحليل الاحتياجات والأولويات من حيث بناء القدرات والمعلومات الأخرى ذات الصلة المتاحة من خلال آلية غرفة تبادل المعلومات وغرف تبادل المعلومات التابعة للبروتوكولين؛</w:t>
      </w:r>
    </w:p>
    <w:p w:rsidR="001C1C1D" w:rsidRDefault="001C1C1D" w:rsidP="001C1C1D">
      <w:pPr>
        <w:spacing w:after="100" w:line="204" w:lineRule="auto"/>
        <w:ind w:firstLine="708"/>
        <w:rPr>
          <w:rtl/>
        </w:rPr>
      </w:pPr>
      <w:r w:rsidRPr="00FD7330">
        <w:rPr>
          <w:rFonts w:ascii="Simplified Arabic" w:hAnsi="Simplified Arabic"/>
          <w:sz w:val="20"/>
          <w:rtl/>
          <w:lang w:val="fr-CH"/>
        </w:rPr>
        <w:t>(</w:t>
      </w:r>
      <w:r w:rsidRPr="00FD7330">
        <w:rPr>
          <w:rFonts w:ascii="Simplified Arabic" w:hAnsi="Simplified Arabic" w:hint="cs"/>
          <w:sz w:val="20"/>
          <w:rtl/>
          <w:lang w:val="fr-CH"/>
        </w:rPr>
        <w:t>د</w:t>
      </w:r>
      <w:r w:rsidRPr="00FD7330">
        <w:rPr>
          <w:rFonts w:ascii="Simplified Arabic" w:hAnsi="Simplified Arabic"/>
          <w:sz w:val="20"/>
          <w:rtl/>
          <w:lang w:val="fr-CH"/>
        </w:rPr>
        <w:t>)</w:t>
      </w:r>
      <w:r w:rsidRPr="00FD7330">
        <w:rPr>
          <w:rFonts w:ascii="Simplified Arabic" w:hAnsi="Simplified Arabic" w:hint="cs"/>
          <w:sz w:val="20"/>
          <w:rtl/>
          <w:lang w:val="fr-CH"/>
        </w:rPr>
        <w:tab/>
      </w:r>
      <w:r w:rsidRPr="00FD7330">
        <w:rPr>
          <w:rFonts w:ascii="Simplified Arabic" w:hAnsi="Simplified Arabic"/>
          <w:sz w:val="20"/>
          <w:rtl/>
          <w:lang w:val="fr-CH"/>
        </w:rPr>
        <w:t>المقابلات مع عينة تمثيلية من أصحاب المصلحة، بم</w:t>
      </w:r>
      <w:r>
        <w:rPr>
          <w:rFonts w:ascii="Simplified Arabic" w:hAnsi="Simplified Arabic" w:hint="cs"/>
          <w:sz w:val="20"/>
          <w:rtl/>
          <w:lang w:val="fr-CH"/>
        </w:rPr>
        <w:t>ا</w:t>
      </w:r>
      <w:r w:rsidRPr="00FD7330">
        <w:rPr>
          <w:rFonts w:ascii="Simplified Arabic" w:hAnsi="Simplified Arabic"/>
          <w:sz w:val="20"/>
          <w:rtl/>
          <w:lang w:val="fr-CH"/>
        </w:rPr>
        <w:t xml:space="preserve"> في ذلك موظف</w:t>
      </w:r>
      <w:r w:rsidRPr="00FD7330">
        <w:rPr>
          <w:rFonts w:ascii="Simplified Arabic" w:hAnsi="Simplified Arabic" w:hint="cs"/>
          <w:sz w:val="20"/>
          <w:rtl/>
          <w:lang w:val="fr-CH"/>
        </w:rPr>
        <w:t>و</w:t>
      </w:r>
      <w:r w:rsidRPr="00FD7330">
        <w:rPr>
          <w:rFonts w:ascii="Simplified Arabic" w:hAnsi="Simplified Arabic"/>
          <w:sz w:val="20"/>
          <w:rtl/>
          <w:lang w:val="fr-CH"/>
        </w:rPr>
        <w:t xml:space="preserve"> </w:t>
      </w:r>
      <w:r>
        <w:rPr>
          <w:rFonts w:ascii="Simplified Arabic" w:hAnsi="Simplified Arabic" w:hint="cs"/>
          <w:sz w:val="20"/>
          <w:rtl/>
          <w:lang w:val="fr-CH"/>
        </w:rPr>
        <w:t>أمانة الاتفاقية التنوع البيولوجي</w:t>
      </w:r>
      <w:r w:rsidRPr="00FD7330">
        <w:rPr>
          <w:rFonts w:ascii="Simplified Arabic" w:hAnsi="Simplified Arabic"/>
          <w:sz w:val="20"/>
          <w:rtl/>
          <w:lang w:val="fr-CH"/>
        </w:rPr>
        <w:t xml:space="preserve"> وممثل</w:t>
      </w:r>
      <w:r w:rsidRPr="00FD7330">
        <w:rPr>
          <w:rFonts w:ascii="Simplified Arabic" w:hAnsi="Simplified Arabic" w:hint="cs"/>
          <w:sz w:val="20"/>
          <w:rtl/>
          <w:lang w:val="fr-CH"/>
        </w:rPr>
        <w:t>و</w:t>
      </w:r>
      <w:r w:rsidRPr="00FD7330">
        <w:rPr>
          <w:rFonts w:ascii="Simplified Arabic" w:hAnsi="Simplified Arabic"/>
          <w:sz w:val="20"/>
          <w:rtl/>
          <w:lang w:val="fr-CH"/>
        </w:rPr>
        <w:t xml:space="preserve"> الأطراف</w:t>
      </w:r>
      <w:r w:rsidRPr="00FD7330">
        <w:rPr>
          <w:rFonts w:ascii="Simplified Arabic" w:hAnsi="Simplified Arabic" w:hint="cs"/>
          <w:sz w:val="20"/>
          <w:rtl/>
          <w:lang w:val="fr-CH"/>
        </w:rPr>
        <w:t>،</w:t>
      </w:r>
      <w:r w:rsidRPr="00FD7330">
        <w:rPr>
          <w:rFonts w:ascii="Simplified Arabic" w:hAnsi="Simplified Arabic"/>
          <w:sz w:val="20"/>
          <w:rtl/>
          <w:lang w:val="fr-CH"/>
        </w:rPr>
        <w:t xml:space="preserve"> </w:t>
      </w:r>
      <w:r w:rsidRPr="00FD7330">
        <w:rPr>
          <w:rFonts w:ascii="Simplified Arabic" w:hAnsi="Simplified Arabic" w:hint="cs"/>
          <w:sz w:val="20"/>
          <w:rtl/>
          <w:lang w:val="fr-CH"/>
        </w:rPr>
        <w:t xml:space="preserve">والشعوب الأصلية والمجتمعات المحلية، </w:t>
      </w:r>
      <w:r w:rsidRPr="00FD7330">
        <w:rPr>
          <w:rFonts w:ascii="Simplified Arabic" w:hAnsi="Simplified Arabic"/>
          <w:sz w:val="20"/>
          <w:rtl/>
          <w:lang w:val="fr-CH"/>
        </w:rPr>
        <w:t>والمنظمات الشريكة وغيرها من الجهات الفاعلة من مختلف المناطق، بما في ذلك المؤسسات التقنية والعلمية</w:t>
      </w:r>
      <w:r w:rsidRPr="00FD7330">
        <w:rPr>
          <w:rFonts w:ascii="Simplified Arabic" w:hAnsi="Simplified Arabic" w:hint="cs"/>
          <w:sz w:val="20"/>
          <w:rtl/>
          <w:lang w:val="fr-CH"/>
        </w:rPr>
        <w:t>، ومنظمات النساء والشباب</w:t>
      </w:r>
      <w:r w:rsidRPr="00FD7330">
        <w:rPr>
          <w:rFonts w:ascii="Simplified Arabic" w:hAnsi="Simplified Arabic"/>
          <w:sz w:val="20"/>
          <w:rtl/>
          <w:lang w:val="fr-CH"/>
        </w:rPr>
        <w:t>. وسيدعى الأشخاص الذين أجريت مقابلة معهم إلى أن يتبادلوا، من بين أمور أخرى، المعلومات والآراء بشأن نقاط القوة والضعف لمختلف نُهج تنمية القدرات وطرائق التنفيذ في إطار ظروف مختلفة</w:t>
      </w:r>
      <w:r w:rsidRPr="00FD7330">
        <w:rPr>
          <w:rFonts w:ascii="Simplified Arabic" w:hAnsi="Simplified Arabic" w:hint="cs"/>
          <w:sz w:val="20"/>
          <w:rtl/>
          <w:lang w:val="fr-CH"/>
        </w:rPr>
        <w:t>،</w:t>
      </w:r>
      <w:r w:rsidRPr="00FD7330">
        <w:rPr>
          <w:rFonts w:ascii="Simplified Arabic" w:hAnsi="Simplified Arabic"/>
          <w:sz w:val="20"/>
          <w:rtl/>
          <w:lang w:val="fr-CH"/>
        </w:rPr>
        <w:t xml:space="preserve"> والخبرات والدروس المستفادة ذات الصلة</w:t>
      </w:r>
      <w:r w:rsidRPr="00FD7330">
        <w:rPr>
          <w:rFonts w:ascii="Simplified Arabic" w:hAnsi="Simplified Arabic" w:hint="cs"/>
          <w:sz w:val="20"/>
          <w:rtl/>
          <w:lang w:val="fr-CH"/>
        </w:rPr>
        <w:t>،</w:t>
      </w:r>
      <w:r w:rsidRPr="00FD7330">
        <w:rPr>
          <w:rFonts w:ascii="Simplified Arabic" w:hAnsi="Simplified Arabic"/>
          <w:sz w:val="20"/>
          <w:rtl/>
          <w:lang w:val="fr-CH"/>
        </w:rPr>
        <w:t xml:space="preserve"> وأمثلة على الممارسات الجيدة التي يمكن الاستفادة منها بالإضافة إلى وجهات النظر حول ال</w:t>
      </w:r>
      <w:r w:rsidRPr="00FD7330">
        <w:rPr>
          <w:rFonts w:ascii="Simplified Arabic" w:hAnsi="Simplified Arabic" w:hint="cs"/>
          <w:sz w:val="20"/>
          <w:rtl/>
          <w:lang w:val="fr-CH"/>
        </w:rPr>
        <w:t>دوافع</w:t>
      </w:r>
      <w:r w:rsidRPr="00FD7330">
        <w:rPr>
          <w:rFonts w:ascii="Simplified Arabic" w:hAnsi="Simplified Arabic"/>
          <w:sz w:val="20"/>
          <w:rtl/>
          <w:lang w:val="fr-CH"/>
        </w:rPr>
        <w:t xml:space="preserve"> المحتملة للتغيير التحولي لتنمية القدرات المستقبلية.</w:t>
      </w:r>
    </w:p>
    <w:p w:rsidR="001D61EA" w:rsidRDefault="001D61EA" w:rsidP="001D61EA">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E02C84" w:rsidRPr="00ED74F6" w:rsidRDefault="00E02C84" w:rsidP="00246CBF">
      <w:pPr>
        <w:pStyle w:val="Heading2"/>
        <w:rPr>
          <w:b w:val="0"/>
          <w:bCs w:val="0"/>
          <w:caps/>
          <w:kern w:val="22"/>
          <w:rtl/>
        </w:rPr>
      </w:pPr>
      <w:bookmarkStart w:id="169" w:name="_Toc6071629"/>
      <w:bookmarkStart w:id="170" w:name="_Toc6139986"/>
      <w:r>
        <w:rPr>
          <w:rFonts w:hint="cs"/>
          <w:rtl/>
        </w:rPr>
        <w:lastRenderedPageBreak/>
        <w:t>المقرر 14/25</w:t>
      </w:r>
      <w:r>
        <w:rPr>
          <w:rFonts w:hint="cs"/>
          <w:rtl/>
        </w:rPr>
        <w:tab/>
      </w:r>
      <w:r w:rsidRPr="00ED74F6">
        <w:rPr>
          <w:rtl/>
        </w:rPr>
        <w:t>إدارة المعارف في إطار الاتفاقية وبروتوكولي</w:t>
      </w:r>
      <w:r w:rsidRPr="00ED74F6">
        <w:rPr>
          <w:rFonts w:hint="cs"/>
          <w:caps/>
          <w:kern w:val="22"/>
          <w:rtl/>
        </w:rPr>
        <w:t>ها</w:t>
      </w:r>
      <w:bookmarkEnd w:id="169"/>
      <w:bookmarkEnd w:id="170"/>
    </w:p>
    <w:p w:rsidR="00E02C84" w:rsidRPr="0035163D" w:rsidRDefault="00E02C84" w:rsidP="00E02C84">
      <w:pPr>
        <w:kinsoku w:val="0"/>
        <w:overflowPunct w:val="0"/>
        <w:autoSpaceDE w:val="0"/>
        <w:autoSpaceDN w:val="0"/>
        <w:adjustRightInd w:val="0"/>
        <w:snapToGrid w:val="0"/>
        <w:ind w:firstLine="720"/>
        <w:rPr>
          <w:i/>
          <w:kern w:val="22"/>
        </w:rPr>
      </w:pPr>
      <w:r w:rsidRPr="005450EB">
        <w:rPr>
          <w:rFonts w:ascii="Simplified Arabic" w:hAnsi="Simplified Arabic"/>
          <w:i/>
          <w:iCs/>
          <w:rtl/>
        </w:rPr>
        <w:t xml:space="preserve">إن </w:t>
      </w:r>
      <w:r w:rsidRPr="0035163D">
        <w:rPr>
          <w:i/>
          <w:iCs/>
          <w:rtl/>
        </w:rPr>
        <w:t>مؤتمر الأطراف،</w:t>
      </w:r>
    </w:p>
    <w:p w:rsidR="00E02C84" w:rsidRPr="0035163D" w:rsidRDefault="00E02C84" w:rsidP="00E02C84">
      <w:pPr>
        <w:pStyle w:val="Para10"/>
        <w:numPr>
          <w:ilvl w:val="0"/>
          <w:numId w:val="0"/>
        </w:numPr>
        <w:bidi/>
        <w:spacing w:before="0" w:line="216" w:lineRule="auto"/>
        <w:ind w:firstLine="709"/>
        <w:rPr>
          <w:rFonts w:cs="Simplified Arabic"/>
          <w:i/>
          <w:kern w:val="22"/>
          <w:szCs w:val="24"/>
        </w:rPr>
      </w:pPr>
      <w:r w:rsidRPr="0035163D">
        <w:rPr>
          <w:rFonts w:cs="Simplified Arabic"/>
          <w:i/>
          <w:iCs/>
          <w:szCs w:val="24"/>
          <w:rtl/>
        </w:rPr>
        <w:t>إذ يشير</w:t>
      </w:r>
      <w:r w:rsidRPr="0035163D">
        <w:rPr>
          <w:rFonts w:cs="Simplified Arabic"/>
          <w:szCs w:val="24"/>
          <w:rtl/>
        </w:rPr>
        <w:t xml:space="preserve"> إلى المقررات 13/23، و13/31، و12/2 باء، و11/24، و10/15،</w:t>
      </w:r>
    </w:p>
    <w:p w:rsidR="00E02C84" w:rsidRPr="0035163D" w:rsidRDefault="00E02C84" w:rsidP="00E02C84">
      <w:pPr>
        <w:pStyle w:val="Para10"/>
        <w:numPr>
          <w:ilvl w:val="0"/>
          <w:numId w:val="0"/>
        </w:numPr>
        <w:kinsoku w:val="0"/>
        <w:overflowPunct w:val="0"/>
        <w:autoSpaceDE w:val="0"/>
        <w:autoSpaceDN w:val="0"/>
        <w:bidi/>
        <w:adjustRightInd w:val="0"/>
        <w:snapToGrid w:val="0"/>
        <w:spacing w:before="0" w:line="216" w:lineRule="auto"/>
        <w:ind w:firstLine="720"/>
        <w:rPr>
          <w:rFonts w:cs="Simplified Arabic"/>
          <w:kern w:val="22"/>
          <w:szCs w:val="24"/>
        </w:rPr>
      </w:pPr>
      <w:r>
        <w:rPr>
          <w:rFonts w:cs="Simplified Arabic" w:hint="cs"/>
          <w:i/>
          <w:iCs/>
          <w:szCs w:val="24"/>
          <w:rtl/>
        </w:rPr>
        <w:t>و</w:t>
      </w:r>
      <w:r w:rsidRPr="0035163D">
        <w:rPr>
          <w:rFonts w:cs="Simplified Arabic"/>
          <w:i/>
          <w:iCs/>
          <w:szCs w:val="24"/>
          <w:rtl/>
          <w:lang w:val="fr-CH"/>
        </w:rPr>
        <w:t xml:space="preserve">إذ يلاحظ </w:t>
      </w:r>
      <w:r w:rsidRPr="0035163D">
        <w:rPr>
          <w:rFonts w:cs="Simplified Arabic"/>
          <w:szCs w:val="24"/>
          <w:rtl/>
          <w:lang w:val="fr-CH"/>
        </w:rPr>
        <w:t xml:space="preserve">التقدم المحرز في تنفيذ استراتيجية الويب للاتفاقية وبروتوكوليها وتطوير آليات غرفة تبادل المعلومات الوطنية، بما في ذلك نشر أداة </w:t>
      </w:r>
      <w:r w:rsidRPr="00366E36">
        <w:rPr>
          <w:rFonts w:cs="Simplified Arabic"/>
          <w:szCs w:val="24"/>
        </w:rPr>
        <w:t>Bioland</w:t>
      </w:r>
      <w:r w:rsidRPr="0035163D">
        <w:rPr>
          <w:rFonts w:cs="Simplified Arabic"/>
          <w:szCs w:val="24"/>
          <w:rtl/>
          <w:lang w:val="fr-CH"/>
        </w:rPr>
        <w:t xml:space="preserve"> من قبل الأمينة التنفيذية لمساعدة الأطراف في إنشاء أو تحسين آلياتها لغرفة تبادل المعلومات الوطنية،</w:t>
      </w:r>
      <w:r w:rsidRPr="0035163D">
        <w:rPr>
          <w:rStyle w:val="FootnoteReference"/>
          <w:rtl/>
          <w:lang w:val="fr-CH"/>
        </w:rPr>
        <w:footnoteReference w:id="282"/>
      </w:r>
    </w:p>
    <w:p w:rsidR="00E02C84" w:rsidRPr="0035163D" w:rsidRDefault="00E02C84" w:rsidP="00E02C84">
      <w:pPr>
        <w:pStyle w:val="Para10"/>
        <w:numPr>
          <w:ilvl w:val="0"/>
          <w:numId w:val="0"/>
        </w:numPr>
        <w:bidi/>
        <w:spacing w:before="0" w:line="216" w:lineRule="auto"/>
        <w:ind w:firstLine="709"/>
        <w:rPr>
          <w:rFonts w:cs="Simplified Arabic"/>
          <w:kern w:val="22"/>
          <w:szCs w:val="24"/>
        </w:rPr>
      </w:pPr>
      <w:r w:rsidRPr="0035163D">
        <w:rPr>
          <w:rFonts w:cs="Simplified Arabic"/>
          <w:i/>
          <w:iCs/>
          <w:szCs w:val="24"/>
          <w:rtl/>
          <w:lang w:val="fr-CH"/>
        </w:rPr>
        <w:t>وإذ يقر</w:t>
      </w:r>
      <w:r w:rsidRPr="0035163D">
        <w:rPr>
          <w:rFonts w:cs="Simplified Arabic" w:hint="cs"/>
          <w:i/>
          <w:iCs/>
          <w:szCs w:val="24"/>
          <w:rtl/>
          <w:lang w:val="fr-CH"/>
        </w:rPr>
        <w:t xml:space="preserve"> </w:t>
      </w:r>
      <w:r w:rsidRPr="0035163D">
        <w:rPr>
          <w:rFonts w:cs="Simplified Arabic"/>
          <w:szCs w:val="24"/>
          <w:rtl/>
          <w:lang w:val="fr-CH"/>
        </w:rPr>
        <w:t>بالحاجة إلى جمع المعارف والخبرات المتعلقة بالتنوع البيولوجي، بما في ذلك المعارف التقليدية، وتنظيمها وتقاسمها لتيسير ودعم تعزيز تنفيذ الاتفاقية وبروتوكوليها،</w:t>
      </w:r>
    </w:p>
    <w:p w:rsidR="00E02C84" w:rsidRPr="0035163D" w:rsidRDefault="00E02C84" w:rsidP="00E02C84">
      <w:pPr>
        <w:pStyle w:val="Para10"/>
        <w:numPr>
          <w:ilvl w:val="0"/>
          <w:numId w:val="0"/>
        </w:numPr>
        <w:bidi/>
        <w:spacing w:before="0" w:line="216" w:lineRule="auto"/>
        <w:ind w:firstLine="709"/>
        <w:rPr>
          <w:rFonts w:cs="Simplified Arabic"/>
          <w:kern w:val="22"/>
          <w:szCs w:val="24"/>
        </w:rPr>
      </w:pPr>
      <w:r w:rsidRPr="0035163D">
        <w:rPr>
          <w:rFonts w:cs="Simplified Arabic"/>
          <w:i/>
          <w:iCs/>
          <w:szCs w:val="24"/>
          <w:rtl/>
          <w:lang w:val="fr-CH"/>
        </w:rPr>
        <w:t>وإذ يقر</w:t>
      </w:r>
      <w:r w:rsidRPr="0035163D">
        <w:rPr>
          <w:rFonts w:cs="Simplified Arabic" w:hint="cs"/>
          <w:szCs w:val="24"/>
          <w:rtl/>
          <w:lang w:val="fr-CH"/>
        </w:rPr>
        <w:t xml:space="preserve"> </w:t>
      </w:r>
      <w:r w:rsidRPr="0035163D">
        <w:rPr>
          <w:rFonts w:cs="Simplified Arabic"/>
          <w:szCs w:val="24"/>
          <w:rtl/>
          <w:lang w:val="fr-CH"/>
        </w:rPr>
        <w:t xml:space="preserve">بالحاجة </w:t>
      </w:r>
      <w:r w:rsidRPr="0035163D">
        <w:rPr>
          <w:rFonts w:cs="Simplified Arabic"/>
          <w:szCs w:val="24"/>
          <w:rtl/>
        </w:rPr>
        <w:t>إلى الوصول المفتوح للبيانات وأدوات المصدر المفتوح التي تعد من متطلبات أية إدارة فعالة للمعرفة، لا سيما في البلدان النامية؛</w:t>
      </w:r>
    </w:p>
    <w:p w:rsidR="00E02C84" w:rsidRPr="0035163D" w:rsidRDefault="00E02C84" w:rsidP="00E02C84">
      <w:pPr>
        <w:ind w:firstLine="709"/>
        <w:rPr>
          <w:iCs/>
          <w:kern w:val="22"/>
        </w:rPr>
      </w:pPr>
      <w:r w:rsidRPr="0035163D">
        <w:rPr>
          <w:i/>
          <w:iCs/>
          <w:rtl/>
          <w:lang w:val="fr-CH"/>
        </w:rPr>
        <w:t>وإذ يشدد</w:t>
      </w:r>
      <w:r w:rsidRPr="0035163D">
        <w:rPr>
          <w:rtl/>
          <w:lang w:val="fr-CH"/>
        </w:rPr>
        <w:t xml:space="preserve"> على الحاجة إلى تعزيز التماسك والتكامل بين آلية غرفة تبادل المعلومات التابعة للاتفاقية، وغرفة تبادل معلومات السلامة الأحيائية، وغرفة تبادل معلومات الحصول وتقاسم المنافع،</w:t>
      </w:r>
    </w:p>
    <w:p w:rsidR="00E02C84" w:rsidRPr="0035163D" w:rsidRDefault="00E02C84" w:rsidP="00E02C84">
      <w:pPr>
        <w:pStyle w:val="ListParagraph"/>
        <w:bidi/>
        <w:spacing w:line="216" w:lineRule="auto"/>
        <w:ind w:left="0" w:firstLine="720"/>
        <w:rPr>
          <w:rFonts w:cs="Simplified Arabic"/>
          <w:kern w:val="22"/>
          <w:rtl/>
        </w:rPr>
      </w:pPr>
      <w:r w:rsidRPr="0035163D">
        <w:rPr>
          <w:rFonts w:cs="Simplified Arabic"/>
          <w:rtl/>
        </w:rPr>
        <w:t>1-</w:t>
      </w:r>
      <w:r w:rsidRPr="0035163D">
        <w:rPr>
          <w:rFonts w:cs="Simplified Arabic"/>
          <w:rtl/>
        </w:rPr>
        <w:tab/>
      </w:r>
      <w:r w:rsidRPr="0035163D">
        <w:rPr>
          <w:rFonts w:cs="Simplified Arabic"/>
          <w:i/>
          <w:iCs/>
          <w:rtl/>
        </w:rPr>
        <w:t xml:space="preserve">يؤيد </w:t>
      </w:r>
      <w:r w:rsidRPr="0035163D">
        <w:rPr>
          <w:rFonts w:cs="Simplified Arabic"/>
          <w:rtl/>
        </w:rPr>
        <w:t xml:space="preserve">طرائق التشغيل المشتركة لآلية غرفة تبادل المعلومات التابعة للاتفاقية وغرفة تبادل معلومات </w:t>
      </w:r>
      <w:r>
        <w:rPr>
          <w:rFonts w:cs="Simplified Arabic"/>
          <w:rtl/>
        </w:rPr>
        <w:t xml:space="preserve">السلامة الأحيائية وغرفة تبادل </w:t>
      </w:r>
      <w:r w:rsidRPr="0035163D">
        <w:rPr>
          <w:rFonts w:cs="Simplified Arabic"/>
          <w:rtl/>
        </w:rPr>
        <w:t>معلومات الحصول وتقاسم المنافع التي أعدتها الأمينة التنفيذية</w:t>
      </w:r>
      <w:r w:rsidRPr="0035163D">
        <w:rPr>
          <w:rFonts w:cs="Simplified Arabic" w:hint="cs"/>
          <w:rtl/>
        </w:rPr>
        <w:t xml:space="preserve"> </w:t>
      </w:r>
      <w:r w:rsidRPr="0035163D">
        <w:rPr>
          <w:rFonts w:cs="Simplified Arabic"/>
          <w:rtl/>
        </w:rPr>
        <w:t>بإسهامات من اللجنتين الاستشاريتين غير الرسميتين، على النحو الوارد في المرفق بهذا المقرر،</w:t>
      </w:r>
    </w:p>
    <w:p w:rsidR="00E02C84" w:rsidRPr="0035163D" w:rsidRDefault="00E02C84" w:rsidP="00E02C84">
      <w:pPr>
        <w:pStyle w:val="Para10"/>
        <w:numPr>
          <w:ilvl w:val="0"/>
          <w:numId w:val="0"/>
        </w:numPr>
        <w:kinsoku w:val="0"/>
        <w:overflowPunct w:val="0"/>
        <w:autoSpaceDE w:val="0"/>
        <w:autoSpaceDN w:val="0"/>
        <w:bidi/>
        <w:adjustRightInd w:val="0"/>
        <w:snapToGrid w:val="0"/>
        <w:spacing w:before="0" w:line="216" w:lineRule="auto"/>
        <w:ind w:firstLine="720"/>
        <w:rPr>
          <w:rFonts w:cs="Simplified Arabic"/>
          <w:kern w:val="22"/>
          <w:szCs w:val="24"/>
          <w:rtl/>
        </w:rPr>
      </w:pPr>
      <w:r w:rsidRPr="0035163D">
        <w:rPr>
          <w:rFonts w:cs="Simplified Arabic"/>
          <w:szCs w:val="24"/>
          <w:rtl/>
        </w:rPr>
        <w:t>2-</w:t>
      </w:r>
      <w:r w:rsidRPr="0035163D">
        <w:rPr>
          <w:rFonts w:cs="Simplified Arabic"/>
          <w:szCs w:val="24"/>
          <w:rtl/>
        </w:rPr>
        <w:tab/>
      </w:r>
      <w:r w:rsidRPr="0035163D">
        <w:rPr>
          <w:rFonts w:cs="Simplified Arabic"/>
          <w:i/>
          <w:iCs/>
          <w:szCs w:val="24"/>
          <w:rtl/>
        </w:rPr>
        <w:t>يدعو</w:t>
      </w:r>
      <w:r w:rsidRPr="0035163D">
        <w:rPr>
          <w:rFonts w:cs="Simplified Arabic" w:hint="cs"/>
          <w:i/>
          <w:iCs/>
          <w:szCs w:val="24"/>
          <w:rtl/>
        </w:rPr>
        <w:t xml:space="preserve"> </w:t>
      </w:r>
      <w:r w:rsidRPr="0035163D">
        <w:rPr>
          <w:rFonts w:cs="Simplified Arabic"/>
          <w:szCs w:val="24"/>
          <w:rtl/>
          <w:lang w:val="fr-CH"/>
        </w:rPr>
        <w:t>الأطراف والحكومات الأخرى، التي ليس لديها آلية تبادل المعلومات الوطنية وتلك التي ترغب في إعادة تصميم الآليات القائمة إلى استخدام أداة</w:t>
      </w:r>
      <w:r w:rsidRPr="0035163D">
        <w:rPr>
          <w:rFonts w:cs="Simplified Arabic" w:hint="cs"/>
          <w:szCs w:val="24"/>
          <w:rtl/>
          <w:lang w:val="fr-CH"/>
        </w:rPr>
        <w:t xml:space="preserve"> </w:t>
      </w:r>
      <w:r w:rsidRPr="0035163D">
        <w:rPr>
          <w:rFonts w:cs="Simplified Arabic"/>
          <w:szCs w:val="24"/>
          <w:lang w:val="fr-CH"/>
        </w:rPr>
        <w:t>Bioland</w:t>
      </w:r>
      <w:r w:rsidRPr="0035163D">
        <w:rPr>
          <w:rFonts w:cs="Simplified Arabic" w:hint="cs"/>
          <w:szCs w:val="24"/>
          <w:rtl/>
          <w:lang w:val="fr-CH"/>
        </w:rPr>
        <w:t xml:space="preserve"> </w:t>
      </w:r>
      <w:r w:rsidRPr="0035163D">
        <w:rPr>
          <w:rFonts w:cs="Simplified Arabic"/>
          <w:szCs w:val="24"/>
          <w:rtl/>
          <w:lang w:val="fr-CH"/>
        </w:rPr>
        <w:t>التي أعدتها الأمينة التنفيذية؛</w:t>
      </w:r>
    </w:p>
    <w:p w:rsidR="00E02C84" w:rsidRPr="0035163D" w:rsidRDefault="00E02C84" w:rsidP="00E02C84">
      <w:pPr>
        <w:pStyle w:val="Para10"/>
        <w:numPr>
          <w:ilvl w:val="0"/>
          <w:numId w:val="0"/>
        </w:numPr>
        <w:kinsoku w:val="0"/>
        <w:overflowPunct w:val="0"/>
        <w:autoSpaceDE w:val="0"/>
        <w:autoSpaceDN w:val="0"/>
        <w:bidi/>
        <w:adjustRightInd w:val="0"/>
        <w:snapToGrid w:val="0"/>
        <w:spacing w:before="0" w:line="216" w:lineRule="auto"/>
        <w:ind w:firstLine="720"/>
        <w:rPr>
          <w:rFonts w:cs="Simplified Arabic"/>
          <w:kern w:val="22"/>
          <w:szCs w:val="24"/>
          <w:rtl/>
        </w:rPr>
      </w:pPr>
      <w:r w:rsidRPr="0035163D">
        <w:rPr>
          <w:rFonts w:cs="Simplified Arabic"/>
          <w:szCs w:val="24"/>
          <w:rtl/>
          <w:lang w:val="fr-CH"/>
        </w:rPr>
        <w:t>3-</w:t>
      </w:r>
      <w:r w:rsidRPr="0035163D">
        <w:rPr>
          <w:rFonts w:cs="Simplified Arabic"/>
          <w:szCs w:val="24"/>
          <w:rtl/>
          <w:lang w:val="fr-CH"/>
        </w:rPr>
        <w:tab/>
      </w:r>
      <w:r w:rsidRPr="0035163D">
        <w:rPr>
          <w:rFonts w:cs="Simplified Arabic"/>
          <w:i/>
          <w:iCs/>
          <w:szCs w:val="24"/>
          <w:rtl/>
          <w:lang w:val="fr-CH"/>
        </w:rPr>
        <w:t>يدعو</w:t>
      </w:r>
      <w:r w:rsidRPr="0035163D">
        <w:rPr>
          <w:rFonts w:cs="Simplified Arabic" w:hint="cs"/>
          <w:i/>
          <w:iCs/>
          <w:szCs w:val="24"/>
          <w:rtl/>
          <w:lang w:val="fr-CH"/>
        </w:rPr>
        <w:t xml:space="preserve"> </w:t>
      </w:r>
      <w:r w:rsidRPr="0035163D">
        <w:rPr>
          <w:rFonts w:cs="Simplified Arabic"/>
          <w:szCs w:val="24"/>
          <w:rtl/>
          <w:lang w:val="fr-CH"/>
        </w:rPr>
        <w:t>الأطراف، والحكومات الأخرى والمنظمات ذات الصلة، حسب الاقتضاء،</w:t>
      </w:r>
      <w:r w:rsidRPr="0035163D">
        <w:rPr>
          <w:rFonts w:cs="Simplified Arabic" w:hint="cs"/>
          <w:szCs w:val="24"/>
          <w:rtl/>
          <w:lang w:val="fr-CH"/>
        </w:rPr>
        <w:t xml:space="preserve"> </w:t>
      </w:r>
      <w:r w:rsidRPr="0035163D">
        <w:rPr>
          <w:rFonts w:cs="Simplified Arabic"/>
          <w:szCs w:val="24"/>
          <w:rtl/>
          <w:lang w:val="fr-CH"/>
        </w:rPr>
        <w:t>إلى مواصلة توفير الموارد المالية والتقنية والبشرية اللازمة لدعم مواصلة تطوير آليات غرفة تبادل المعلومات الوطنية، أو نقل المواقع الإلكترونية لآلية غرفة تبادل المعلومات الوطنية الموجودة إلى أداة</w:t>
      </w:r>
      <w:r w:rsidRPr="0035163D">
        <w:rPr>
          <w:rFonts w:cs="Simplified Arabic" w:hint="cs"/>
          <w:szCs w:val="24"/>
          <w:rtl/>
          <w:lang w:val="fr-CH"/>
        </w:rPr>
        <w:t xml:space="preserve"> </w:t>
      </w:r>
      <w:r w:rsidRPr="0035163D">
        <w:rPr>
          <w:rFonts w:cs="Simplified Arabic"/>
          <w:szCs w:val="24"/>
          <w:lang w:val="fr-CH"/>
        </w:rPr>
        <w:t>Bioland</w:t>
      </w:r>
      <w:r w:rsidRPr="0035163D">
        <w:rPr>
          <w:rFonts w:cs="Simplified Arabic"/>
          <w:szCs w:val="24"/>
          <w:rtl/>
          <w:lang w:val="fr-CH"/>
        </w:rPr>
        <w:t>؛</w:t>
      </w:r>
    </w:p>
    <w:p w:rsidR="00E02C84" w:rsidRPr="0035163D" w:rsidRDefault="00E02C84" w:rsidP="00E02C84">
      <w:pPr>
        <w:pStyle w:val="Para10"/>
        <w:numPr>
          <w:ilvl w:val="0"/>
          <w:numId w:val="0"/>
        </w:numPr>
        <w:kinsoku w:val="0"/>
        <w:overflowPunct w:val="0"/>
        <w:autoSpaceDE w:val="0"/>
        <w:autoSpaceDN w:val="0"/>
        <w:bidi/>
        <w:adjustRightInd w:val="0"/>
        <w:snapToGrid w:val="0"/>
        <w:spacing w:before="0" w:line="216" w:lineRule="auto"/>
        <w:ind w:firstLine="720"/>
        <w:rPr>
          <w:rFonts w:cs="Simplified Arabic"/>
          <w:kern w:val="22"/>
          <w:szCs w:val="24"/>
          <w:rtl/>
        </w:rPr>
      </w:pPr>
      <w:r w:rsidRPr="0035163D">
        <w:rPr>
          <w:rFonts w:cs="Simplified Arabic"/>
          <w:szCs w:val="24"/>
          <w:rtl/>
          <w:lang w:val="fr-CH"/>
        </w:rPr>
        <w:t>4-</w:t>
      </w:r>
      <w:r w:rsidRPr="0035163D">
        <w:rPr>
          <w:rFonts w:cs="Simplified Arabic"/>
          <w:i/>
          <w:iCs/>
          <w:szCs w:val="24"/>
          <w:rtl/>
          <w:lang w:val="fr-CH"/>
        </w:rPr>
        <w:tab/>
        <w:t>يطلب</w:t>
      </w:r>
      <w:r w:rsidRPr="0035163D">
        <w:rPr>
          <w:rFonts w:cs="Simplified Arabic" w:hint="cs"/>
          <w:szCs w:val="24"/>
          <w:rtl/>
          <w:lang w:val="fr-CH"/>
        </w:rPr>
        <w:t xml:space="preserve"> </w:t>
      </w:r>
      <w:r w:rsidRPr="0035163D">
        <w:rPr>
          <w:rFonts w:cs="Simplified Arabic"/>
          <w:szCs w:val="24"/>
          <w:rtl/>
          <w:lang w:val="fr-CH"/>
        </w:rPr>
        <w:t>إلى الأمينة التنفيذية، رهنا بتوافر الموارد المالية:</w:t>
      </w:r>
    </w:p>
    <w:p w:rsidR="00E02C84" w:rsidRPr="0035163D" w:rsidRDefault="00E02C84" w:rsidP="00E02C84">
      <w:pPr>
        <w:kinsoku w:val="0"/>
        <w:overflowPunct w:val="0"/>
        <w:autoSpaceDE w:val="0"/>
        <w:autoSpaceDN w:val="0"/>
        <w:adjustRightInd w:val="0"/>
        <w:snapToGrid w:val="0"/>
        <w:ind w:firstLine="720"/>
        <w:rPr>
          <w:kern w:val="22"/>
        </w:rPr>
      </w:pPr>
      <w:r w:rsidRPr="0035163D">
        <w:rPr>
          <w:rtl/>
          <w:lang w:val="fr-CH"/>
        </w:rPr>
        <w:t>أ)</w:t>
      </w:r>
      <w:r w:rsidRPr="0035163D">
        <w:rPr>
          <w:rtl/>
          <w:lang w:val="fr-CH"/>
        </w:rPr>
        <w:tab/>
        <w:t>مواصلة تنفيذ برنامج عمل آلية غرفة تبادل المعلومات دعما للخطة الاستراتيجية للتنوع البيولوجي 2011-2020</w:t>
      </w:r>
      <w:r w:rsidRPr="0035163D">
        <w:rPr>
          <w:rStyle w:val="FootnoteReference"/>
          <w:rtl/>
          <w:lang w:val="fr-CH"/>
        </w:rPr>
        <w:footnoteReference w:id="283"/>
      </w:r>
      <w:r w:rsidRPr="0035163D">
        <w:rPr>
          <w:rtl/>
          <w:lang w:val="fr-CH"/>
        </w:rPr>
        <w:t xml:space="preserve"> وخطة التنمية المستدامة</w:t>
      </w:r>
      <w:r w:rsidRPr="0035163D">
        <w:rPr>
          <w:rStyle w:val="FootnoteReference"/>
          <w:rtl/>
          <w:lang w:val="fr-CH"/>
        </w:rPr>
        <w:footnoteReference w:id="284"/>
      </w:r>
      <w:r w:rsidRPr="0035163D">
        <w:rPr>
          <w:rtl/>
          <w:lang w:val="fr-CH"/>
        </w:rPr>
        <w:t xml:space="preserve"> لعام 2030 بتوجيه من اللجنة الاستشارية غير الرسمية لآلية غرفة تبادل المعلومات؛</w:t>
      </w:r>
    </w:p>
    <w:p w:rsidR="00E02C84" w:rsidRPr="0035163D" w:rsidRDefault="00E02C84" w:rsidP="00E02C84">
      <w:pPr>
        <w:kinsoku w:val="0"/>
        <w:overflowPunct w:val="0"/>
        <w:autoSpaceDE w:val="0"/>
        <w:autoSpaceDN w:val="0"/>
        <w:adjustRightInd w:val="0"/>
        <w:snapToGrid w:val="0"/>
        <w:ind w:firstLine="720"/>
        <w:rPr>
          <w:kern w:val="22"/>
        </w:rPr>
      </w:pPr>
      <w:r w:rsidRPr="0035163D">
        <w:rPr>
          <w:rtl/>
          <w:lang w:val="fr-CH"/>
        </w:rPr>
        <w:t>(ب)</w:t>
      </w:r>
      <w:r w:rsidRPr="0035163D">
        <w:rPr>
          <w:rtl/>
          <w:lang w:val="fr-CH"/>
        </w:rPr>
        <w:tab/>
        <w:t>مواصلة دعم الجهود التي تبذلها الأطراف لإنشاء آليات غرفة تبادل المعلومات الوطنية الخاصة بها واستمرارها وتطويرها، بما في ذلك من خلال:</w:t>
      </w:r>
    </w:p>
    <w:p w:rsidR="00E02C84" w:rsidRPr="0035163D" w:rsidRDefault="00E02C84" w:rsidP="00E02C84">
      <w:pPr>
        <w:kinsoku w:val="0"/>
        <w:overflowPunct w:val="0"/>
        <w:autoSpaceDE w:val="0"/>
        <w:autoSpaceDN w:val="0"/>
        <w:adjustRightInd w:val="0"/>
        <w:snapToGrid w:val="0"/>
        <w:ind w:left="1440" w:hanging="720"/>
        <w:rPr>
          <w:kern w:val="22"/>
        </w:rPr>
      </w:pPr>
      <w:r w:rsidRPr="0035163D">
        <w:rPr>
          <w:kern w:val="22"/>
          <w:rtl/>
        </w:rPr>
        <w:t>(1)</w:t>
      </w:r>
      <w:r w:rsidRPr="0035163D">
        <w:rPr>
          <w:kern w:val="22"/>
          <w:rtl/>
        </w:rPr>
        <w:tab/>
      </w:r>
      <w:r w:rsidRPr="0035163D">
        <w:rPr>
          <w:rtl/>
          <w:lang w:val="fr-CH"/>
        </w:rPr>
        <w:t xml:space="preserve">التطوير المستمر والترويج لأداة </w:t>
      </w:r>
      <w:r w:rsidRPr="00366E36">
        <w:t>Bioland</w:t>
      </w:r>
      <w:r w:rsidRPr="0035163D">
        <w:rPr>
          <w:rtl/>
          <w:lang w:val="fr-CH"/>
        </w:rPr>
        <w:t>؛</w:t>
      </w:r>
    </w:p>
    <w:p w:rsidR="00E02C84" w:rsidRPr="0035163D" w:rsidRDefault="00E02C84" w:rsidP="00E02C84">
      <w:pPr>
        <w:kinsoku w:val="0"/>
        <w:overflowPunct w:val="0"/>
        <w:autoSpaceDE w:val="0"/>
        <w:autoSpaceDN w:val="0"/>
        <w:adjustRightInd w:val="0"/>
        <w:snapToGrid w:val="0"/>
        <w:ind w:left="1440" w:hanging="720"/>
        <w:rPr>
          <w:spacing w:val="-5"/>
          <w:kern w:val="22"/>
        </w:rPr>
      </w:pPr>
      <w:r w:rsidRPr="0035163D">
        <w:rPr>
          <w:spacing w:val="-5"/>
          <w:kern w:val="22"/>
          <w:rtl/>
        </w:rPr>
        <w:t>(2)</w:t>
      </w:r>
      <w:r w:rsidRPr="0035163D">
        <w:rPr>
          <w:rtl/>
          <w:lang w:val="fr-CH"/>
        </w:rPr>
        <w:tab/>
        <w:t>تيسير وتنظيم التدريب، بالتعاون مع الأطراف والمنظمات ذات الصلة لمساعدة الأطراف على تطوير آليات غرفة تبادل المعلومات الوطنية الخاصة بها؛</w:t>
      </w:r>
    </w:p>
    <w:p w:rsidR="00E02C84" w:rsidRPr="0035163D" w:rsidRDefault="00E02C84" w:rsidP="00E02C84">
      <w:pPr>
        <w:ind w:firstLine="720"/>
        <w:rPr>
          <w:kern w:val="22"/>
        </w:rPr>
      </w:pPr>
      <w:r w:rsidRPr="0035163D">
        <w:rPr>
          <w:rtl/>
          <w:lang w:val="fr-CH"/>
        </w:rPr>
        <w:lastRenderedPageBreak/>
        <w:t>(ج)</w:t>
      </w:r>
      <w:r w:rsidRPr="0035163D">
        <w:rPr>
          <w:rtl/>
          <w:lang w:val="fr-CH"/>
        </w:rPr>
        <w:tab/>
        <w:t xml:space="preserve">تحديث استراتيجية الويب للاتفاقية وبروتوكوليها وتنفيذها مع اتخاذ الإجراءات ذات الأولوية قبل عام 2020 استناداً إلى المقررات الصادرة عن الاجتماع الرابع عشر لمؤتمر الأطراف والاجتماع الثالث للأطراف في بروتوكول ناغويا </w:t>
      </w:r>
      <w:r w:rsidRPr="0035163D">
        <w:rPr>
          <w:rtl/>
        </w:rPr>
        <w:t xml:space="preserve">ناغويا بشأن الحصول على الموارد الجينية وتقاسم المنافع </w:t>
      </w:r>
      <w:r w:rsidRPr="0035163D">
        <w:rPr>
          <w:rtl/>
          <w:lang w:val="fr-CH"/>
        </w:rPr>
        <w:t>والاجتماع التاسع للأطراف في بروتوكول قرطاجنة للسلامة الأحيائية؛</w:t>
      </w:r>
    </w:p>
    <w:p w:rsidR="00E02C84" w:rsidRPr="0035163D" w:rsidRDefault="00E02C84" w:rsidP="00E02C84">
      <w:pPr>
        <w:kinsoku w:val="0"/>
        <w:overflowPunct w:val="0"/>
        <w:autoSpaceDE w:val="0"/>
        <w:autoSpaceDN w:val="0"/>
        <w:adjustRightInd w:val="0"/>
        <w:snapToGrid w:val="0"/>
        <w:ind w:firstLine="720"/>
        <w:rPr>
          <w:kern w:val="22"/>
        </w:rPr>
      </w:pPr>
      <w:r w:rsidRPr="0035163D">
        <w:rPr>
          <w:kern w:val="22"/>
          <w:rtl/>
        </w:rPr>
        <w:t>(د)</w:t>
      </w:r>
      <w:r w:rsidRPr="0035163D">
        <w:rPr>
          <w:kern w:val="22"/>
          <w:rtl/>
        </w:rPr>
        <w:tab/>
      </w:r>
      <w:r w:rsidRPr="0035163D">
        <w:rPr>
          <w:rtl/>
          <w:lang w:val="fr-CH"/>
        </w:rPr>
        <w:t xml:space="preserve">المساهمة في تطوير واختبار أداة البيانات والإبلاغ، بالتعاون مع مبادرة </w:t>
      </w:r>
      <w:r w:rsidRPr="00366E36">
        <w:t>InforMEA</w:t>
      </w:r>
      <w:r w:rsidRPr="0035163D">
        <w:rPr>
          <w:rtl/>
          <w:lang w:val="fr-CH"/>
        </w:rPr>
        <w:t>، بهدف التعلم من تجارب الأطراف في تقديم تقاريرها الوطنية السادسة إلى اتفاقية التنوع البيولوجي، وتيسير استخدامها في عمليات الإبلاغ عبر الاتفاقيات المتعلقة بالتنوع البيولوجي، حسب الاقتضاء؛</w:t>
      </w:r>
    </w:p>
    <w:p w:rsidR="00E02C84" w:rsidRPr="0035163D" w:rsidRDefault="00E02C84" w:rsidP="00E02C84">
      <w:pPr>
        <w:kinsoku w:val="0"/>
        <w:overflowPunct w:val="0"/>
        <w:autoSpaceDE w:val="0"/>
        <w:autoSpaceDN w:val="0"/>
        <w:adjustRightInd w:val="0"/>
        <w:snapToGrid w:val="0"/>
        <w:ind w:firstLine="709"/>
        <w:rPr>
          <w:kern w:val="22"/>
        </w:rPr>
      </w:pPr>
      <w:r w:rsidRPr="0035163D">
        <w:rPr>
          <w:kern w:val="22"/>
          <w:rtl/>
        </w:rPr>
        <w:t>(ه)</w:t>
      </w:r>
      <w:r w:rsidRPr="0035163D">
        <w:rPr>
          <w:kern w:val="22"/>
          <w:rtl/>
        </w:rPr>
        <w:tab/>
      </w:r>
      <w:r w:rsidRPr="0035163D">
        <w:rPr>
          <w:rtl/>
          <w:lang w:val="fr-CH"/>
        </w:rPr>
        <w:t xml:space="preserve">تحديد </w:t>
      </w:r>
      <w:r w:rsidRPr="0035163D">
        <w:rPr>
          <w:rtl/>
        </w:rPr>
        <w:t>مجتمعات الممارسات وشبكات المعارف ومنابر الحوار التعاونية ذات الصلة بتنفيذ الاتفاقية وبروتوكوليها والترويج لها وتعزيزها.</w:t>
      </w:r>
    </w:p>
    <w:p w:rsidR="00E02C84" w:rsidRPr="0035163D" w:rsidRDefault="00E02C84" w:rsidP="00E02C84">
      <w:pPr>
        <w:kinsoku w:val="0"/>
        <w:overflowPunct w:val="0"/>
        <w:autoSpaceDE w:val="0"/>
        <w:autoSpaceDN w:val="0"/>
        <w:adjustRightInd w:val="0"/>
        <w:snapToGrid w:val="0"/>
        <w:ind w:firstLine="720"/>
        <w:rPr>
          <w:kern w:val="22"/>
        </w:rPr>
      </w:pPr>
      <w:r w:rsidRPr="0035163D">
        <w:rPr>
          <w:kern w:val="22"/>
          <w:rtl/>
        </w:rPr>
        <w:t>(و)</w:t>
      </w:r>
      <w:r w:rsidRPr="0035163D">
        <w:rPr>
          <w:kern w:val="22"/>
          <w:rtl/>
        </w:rPr>
        <w:tab/>
      </w:r>
      <w:r w:rsidRPr="0035163D">
        <w:rPr>
          <w:rtl/>
        </w:rPr>
        <w:t>تطوير، بالتشاور مع اللجان الاستشارية غير الرسمية لآلية غرفة تبادل المعلومات، وغرفة تبادل معلومات السلامة الأحيائية، وغرفة تبادل معلومات الحصول وتقاسم المنافع، وهي مكون لإدارة المعارف كجزء من العملية التحضيرية</w:t>
      </w:r>
      <w:r w:rsidRPr="0035163D">
        <w:rPr>
          <w:rFonts w:hint="cs"/>
          <w:rtl/>
        </w:rPr>
        <w:t xml:space="preserve"> </w:t>
      </w:r>
      <w:r w:rsidRPr="0035163D">
        <w:rPr>
          <w:rtl/>
        </w:rPr>
        <w:t>للإطار العالمي للتنوع البيولوجي لما بعد</w:t>
      </w:r>
      <w:r>
        <w:rPr>
          <w:rFonts w:hint="cs"/>
          <w:rtl/>
        </w:rPr>
        <w:t xml:space="preserve"> </w:t>
      </w:r>
      <w:r w:rsidRPr="0035163D">
        <w:rPr>
          <w:rtl/>
        </w:rPr>
        <w:t>عام 2020، ضمن جملة أمور، لتوجيه التطورات المستقبلية لآلية تبادل المعلومات، وغرفة تبادل معلومات الحصول وتقاسم المنافع، وغرفة تبادل معلومات السلامة الأحيائية.</w:t>
      </w:r>
    </w:p>
    <w:p w:rsidR="00E02C84" w:rsidRPr="0035163D" w:rsidRDefault="00E02C84" w:rsidP="00E02C84">
      <w:pPr>
        <w:ind w:firstLine="720"/>
        <w:rPr>
          <w:kern w:val="22"/>
        </w:rPr>
      </w:pPr>
      <w:r w:rsidRPr="0035163D">
        <w:rPr>
          <w:kern w:val="22"/>
          <w:rtl/>
        </w:rPr>
        <w:t>(ز)</w:t>
      </w:r>
      <w:r w:rsidRPr="0035163D">
        <w:rPr>
          <w:kern w:val="22"/>
          <w:rtl/>
        </w:rPr>
        <w:tab/>
      </w:r>
      <w:r w:rsidRPr="0035163D">
        <w:rPr>
          <w:rtl/>
        </w:rPr>
        <w:t>استخدام الخبرة المكتسبة من مبادرات إدارة المع</w:t>
      </w:r>
      <w:r>
        <w:rPr>
          <w:rFonts w:hint="cs"/>
          <w:rtl/>
        </w:rPr>
        <w:t>ا</w:t>
      </w:r>
      <w:r>
        <w:rPr>
          <w:rtl/>
        </w:rPr>
        <w:t>رف</w:t>
      </w:r>
      <w:r w:rsidRPr="0035163D">
        <w:rPr>
          <w:rtl/>
        </w:rPr>
        <w:t xml:space="preserve"> ذات الصلة، مثل</w:t>
      </w:r>
      <w:r w:rsidRPr="0035163D">
        <w:t xml:space="preserve">InforMEA </w:t>
      </w:r>
      <w:r w:rsidRPr="0035163D">
        <w:rPr>
          <w:rtl/>
        </w:rPr>
        <w:t>، و</w:t>
      </w:r>
      <w:r>
        <w:rPr>
          <w:rFonts w:hint="cs"/>
          <w:rtl/>
        </w:rPr>
        <w:t>أداة ال</w:t>
      </w:r>
      <w:r w:rsidRPr="0035163D">
        <w:rPr>
          <w:rtl/>
        </w:rPr>
        <w:t xml:space="preserve">بيانات </w:t>
      </w:r>
      <w:r>
        <w:rPr>
          <w:rFonts w:hint="cs"/>
          <w:rtl/>
        </w:rPr>
        <w:t>و</w:t>
      </w:r>
      <w:r w:rsidRPr="0035163D">
        <w:rPr>
          <w:rtl/>
        </w:rPr>
        <w:t>الإبلاغ، والمرفق العالمي لمعلومات التنوع البيولوجي، والمرصد الرقمي للمناطق المحمية، ومركز المعارف التابع لاتفاقية الأمم المتحدة لمكافحة التصحر، للإبلاغ عن تفاصيل مكون إدارة المعارف المشار إليه أعلاه؛</w:t>
      </w:r>
    </w:p>
    <w:p w:rsidR="00E02C84" w:rsidRPr="0035163D" w:rsidRDefault="00E02C84" w:rsidP="00E02C84">
      <w:pPr>
        <w:ind w:firstLine="720"/>
        <w:rPr>
          <w:kern w:val="22"/>
        </w:rPr>
      </w:pPr>
      <w:r w:rsidRPr="0035163D">
        <w:rPr>
          <w:kern w:val="22"/>
          <w:rtl/>
        </w:rPr>
        <w:t>(ح)</w:t>
      </w:r>
      <w:r w:rsidRPr="0035163D">
        <w:rPr>
          <w:kern w:val="22"/>
          <w:rtl/>
        </w:rPr>
        <w:tab/>
      </w:r>
      <w:r w:rsidRPr="0035163D">
        <w:rPr>
          <w:rtl/>
        </w:rPr>
        <w:t xml:space="preserve">الاستيعاب بشكل منتظم للدروس المستفادة وأفضل الممارسات من المعلومات المقدمة من الأطراف والحكومات الأخرى والمنظمات الدولية والمنظمات الأخرى والشعوب الأصلية والمجتمعات المحلية باستخدام نموذج موحد كجزء من </w:t>
      </w:r>
      <w:r>
        <w:rPr>
          <w:rFonts w:hint="cs"/>
          <w:rtl/>
        </w:rPr>
        <w:t>مكون</w:t>
      </w:r>
      <w:r w:rsidRPr="0035163D">
        <w:rPr>
          <w:rtl/>
        </w:rPr>
        <w:t xml:space="preserve"> إدارة المعارف المشار إليه أعلاه؛</w:t>
      </w:r>
    </w:p>
    <w:p w:rsidR="00E02C84" w:rsidRPr="0035163D" w:rsidRDefault="00E02C84" w:rsidP="00E02C84">
      <w:pPr>
        <w:kinsoku w:val="0"/>
        <w:overflowPunct w:val="0"/>
        <w:autoSpaceDE w:val="0"/>
        <w:autoSpaceDN w:val="0"/>
        <w:adjustRightInd w:val="0"/>
        <w:snapToGrid w:val="0"/>
        <w:ind w:firstLine="720"/>
        <w:rPr>
          <w:kern w:val="22"/>
        </w:rPr>
      </w:pPr>
      <w:r w:rsidRPr="0035163D">
        <w:rPr>
          <w:kern w:val="22"/>
          <w:rtl/>
        </w:rPr>
        <w:t>(ط)</w:t>
      </w:r>
      <w:r w:rsidRPr="0035163D">
        <w:rPr>
          <w:kern w:val="22"/>
          <w:rtl/>
        </w:rPr>
        <w:tab/>
      </w:r>
      <w:r w:rsidRPr="0035163D">
        <w:rPr>
          <w:rtl/>
          <w:lang w:val="fr-CH"/>
        </w:rPr>
        <w:t xml:space="preserve">تقديم تقرير مرحلي عن الأنشطة المذكورة أعلاه، بما في ذلك التقدم المحرز في استخدام أداة </w:t>
      </w:r>
      <w:r w:rsidRPr="00366E36">
        <w:t>Bioland</w:t>
      </w:r>
      <w:r w:rsidRPr="0035163D">
        <w:rPr>
          <w:rtl/>
          <w:lang w:val="fr-CH"/>
        </w:rPr>
        <w:t xml:space="preserve"> وفعاليتها، إلى الهيئة الفرعية للتنفيذ للنظر فيه في اجتماعها الثالث</w:t>
      </w:r>
      <w:r>
        <w:rPr>
          <w:rFonts w:hint="cs"/>
          <w:rtl/>
          <w:lang w:val="fr-CH"/>
        </w:rPr>
        <w:t>.</w:t>
      </w:r>
    </w:p>
    <w:p w:rsidR="00E02C84" w:rsidRPr="008165F3" w:rsidRDefault="00E02C84" w:rsidP="00E02C84">
      <w:pPr>
        <w:jc w:val="center"/>
        <w:rPr>
          <w:i/>
          <w:kern w:val="22"/>
        </w:rPr>
      </w:pPr>
      <w:r w:rsidRPr="008165F3">
        <w:rPr>
          <w:i/>
          <w:iCs/>
          <w:rtl/>
          <w:lang w:val="fr-CH"/>
        </w:rPr>
        <w:t>المرفق</w:t>
      </w:r>
    </w:p>
    <w:p w:rsidR="00E02C84" w:rsidRPr="0035163D" w:rsidRDefault="00E02C84" w:rsidP="00E02C84">
      <w:pPr>
        <w:ind w:left="3330" w:right="630" w:hanging="2430"/>
        <w:rPr>
          <w:b/>
          <w:bCs/>
          <w:caps/>
          <w:kern w:val="22"/>
        </w:rPr>
      </w:pPr>
      <w:r w:rsidRPr="0035163D">
        <w:rPr>
          <w:b/>
          <w:bCs/>
          <w:rtl/>
        </w:rPr>
        <w:t>طرائق التشغيل المشتركة لآلية غرفة تبادل المعلومات المركزية وغرفة تبادل معلومات السلامة الأحيائية وغرفة تبادل معلومات الحصول وتقاسم المنافع</w:t>
      </w:r>
    </w:p>
    <w:p w:rsidR="00E02C84" w:rsidRPr="0035163D" w:rsidRDefault="00E02C84" w:rsidP="00E02C84">
      <w:pPr>
        <w:tabs>
          <w:tab w:val="left" w:pos="360"/>
        </w:tabs>
        <w:jc w:val="center"/>
        <w:rPr>
          <w:b/>
          <w:bCs/>
          <w:kern w:val="22"/>
        </w:rPr>
      </w:pPr>
      <w:r w:rsidRPr="0035163D">
        <w:rPr>
          <w:b/>
          <w:bCs/>
          <w:rtl/>
        </w:rPr>
        <w:t>ألف-</w:t>
      </w:r>
      <w:r w:rsidRPr="0035163D">
        <w:rPr>
          <w:b/>
          <w:bCs/>
          <w:rtl/>
        </w:rPr>
        <w:tab/>
        <w:t>التطوير والإدارة من جانب الأمانة</w:t>
      </w:r>
    </w:p>
    <w:p w:rsidR="00E02C84" w:rsidRPr="0035163D" w:rsidRDefault="00E02C84" w:rsidP="00E02C84">
      <w:pPr>
        <w:pStyle w:val="Para10"/>
        <w:numPr>
          <w:ilvl w:val="0"/>
          <w:numId w:val="0"/>
        </w:numPr>
        <w:tabs>
          <w:tab w:val="left" w:pos="720"/>
        </w:tabs>
        <w:bidi/>
        <w:spacing w:before="0" w:line="216" w:lineRule="auto"/>
        <w:rPr>
          <w:rFonts w:cs="Simplified Arabic"/>
          <w:kern w:val="22"/>
          <w:szCs w:val="24"/>
        </w:rPr>
      </w:pPr>
      <w:r w:rsidRPr="0035163D">
        <w:rPr>
          <w:rFonts w:cs="Simplified Arabic"/>
          <w:szCs w:val="24"/>
          <w:rtl/>
        </w:rPr>
        <w:t>1-</w:t>
      </w:r>
      <w:r w:rsidRPr="0035163D">
        <w:rPr>
          <w:rFonts w:cs="Simplified Arabic"/>
          <w:szCs w:val="24"/>
          <w:rtl/>
        </w:rPr>
        <w:tab/>
        <w:t>تواصل الأمانة تطوير وإدارة آلية غرفة تبادل المعلومات المركزية وغرفة تبادل معلومات السلامة الأحيائية وغرفة تبادل معلومات الحصول وتقاسم المنافع (يشار إليها فيما بعد بعبارة "غرف تبادل المعلومات") وفقا للولايات والمقررات ذات الصلة بموجب الاتفاقية وبروتوكوليها، مع ضمان إلى أقصى حد ممكن، اتباع نُهج مشتركة في تطوير وإدارة غرف تبادل المعلومات،</w:t>
      </w:r>
      <w:r w:rsidRPr="0035163D">
        <w:rPr>
          <w:rFonts w:cs="Simplified Arabic" w:hint="cs"/>
          <w:szCs w:val="24"/>
          <w:rtl/>
        </w:rPr>
        <w:t xml:space="preserve"> </w:t>
      </w:r>
      <w:r w:rsidRPr="0035163D">
        <w:rPr>
          <w:rFonts w:cs="Simplified Arabic"/>
          <w:szCs w:val="24"/>
          <w:rtl/>
        </w:rPr>
        <w:t>والحفاظ على الوظائف المحددة الفريدة لكل غرفة منها، وعلى أساس المبادئ التوجيهية المواصفات الأساسية الموصوفة هنا.</w:t>
      </w:r>
    </w:p>
    <w:p w:rsidR="00E02C84" w:rsidRPr="0035163D" w:rsidRDefault="00E02C84" w:rsidP="00E02C84">
      <w:pPr>
        <w:pStyle w:val="Para10"/>
        <w:numPr>
          <w:ilvl w:val="0"/>
          <w:numId w:val="0"/>
        </w:numPr>
        <w:tabs>
          <w:tab w:val="left" w:pos="720"/>
        </w:tabs>
        <w:bidi/>
        <w:spacing w:before="0" w:line="216" w:lineRule="auto"/>
        <w:rPr>
          <w:rFonts w:cs="Simplified Arabic"/>
          <w:kern w:val="22"/>
          <w:szCs w:val="24"/>
        </w:rPr>
      </w:pPr>
      <w:r w:rsidRPr="0035163D">
        <w:rPr>
          <w:rFonts w:cs="Simplified Arabic"/>
          <w:szCs w:val="24"/>
          <w:rtl/>
        </w:rPr>
        <w:t>2-</w:t>
      </w:r>
      <w:r w:rsidRPr="0035163D">
        <w:rPr>
          <w:rFonts w:cs="Simplified Arabic"/>
          <w:szCs w:val="24"/>
          <w:rtl/>
        </w:rPr>
        <w:tab/>
        <w:t>ويتعين تطوير وإدارة غرف تبادل المعلومات بطريقة تتسق مع الخصائص التالية:</w:t>
      </w:r>
    </w:p>
    <w:p w:rsidR="00E02C84" w:rsidRPr="0035163D" w:rsidRDefault="00E02C84" w:rsidP="00E02C84">
      <w:pPr>
        <w:tabs>
          <w:tab w:val="left" w:pos="1152"/>
        </w:tabs>
        <w:ind w:firstLine="720"/>
        <w:rPr>
          <w:rFonts w:eastAsia="MS Mincho"/>
          <w:kern w:val="22"/>
        </w:rPr>
      </w:pPr>
      <w:r w:rsidRPr="0035163D">
        <w:rPr>
          <w:rtl/>
        </w:rPr>
        <w:t>(أ)</w:t>
      </w:r>
      <w:r w:rsidRPr="0035163D">
        <w:rPr>
          <w:rtl/>
        </w:rPr>
        <w:tab/>
        <w:t>الاسترشاد بمبادئ الشمولية والشفافية والوصول المفتوح والتوافر لجميع الحكومات والشعوب الأصلية والمجتمعات المحلية وأصحاب المصلحة المعنيين؛</w:t>
      </w:r>
    </w:p>
    <w:p w:rsidR="00E02C84" w:rsidRPr="0035163D" w:rsidRDefault="00E02C84" w:rsidP="00E02C84">
      <w:pPr>
        <w:ind w:firstLine="720"/>
        <w:rPr>
          <w:rFonts w:eastAsia="MS Mincho"/>
          <w:kern w:val="22"/>
        </w:rPr>
      </w:pPr>
      <w:r w:rsidRPr="0035163D">
        <w:rPr>
          <w:rtl/>
        </w:rPr>
        <w:lastRenderedPageBreak/>
        <w:t>(ب)</w:t>
      </w:r>
      <w:r w:rsidRPr="0035163D">
        <w:rPr>
          <w:rtl/>
        </w:rPr>
        <w:tab/>
        <w:t>التطوير على أساس طلب واضح ومحدد</w:t>
      </w:r>
      <w:r>
        <w:rPr>
          <w:rFonts w:hint="cs"/>
          <w:rtl/>
        </w:rPr>
        <w:t>،</w:t>
      </w:r>
      <w:r w:rsidRPr="0035163D">
        <w:rPr>
          <w:rtl/>
        </w:rPr>
        <w:t xml:space="preserve"> والخبرة المكتسبة والموارد المتاحة، وتفادي ازدواجية النظم؛</w:t>
      </w:r>
    </w:p>
    <w:p w:rsidR="00E02C84" w:rsidRPr="0035163D" w:rsidRDefault="00E02C84" w:rsidP="00E02C84">
      <w:pPr>
        <w:ind w:firstLine="720"/>
        <w:rPr>
          <w:rFonts w:eastAsia="MS Mincho"/>
          <w:kern w:val="22"/>
        </w:rPr>
      </w:pPr>
      <w:r w:rsidRPr="0035163D">
        <w:rPr>
          <w:rtl/>
        </w:rPr>
        <w:t>(ج)</w:t>
      </w:r>
      <w:r w:rsidRPr="0035163D">
        <w:rPr>
          <w:rtl/>
        </w:rPr>
        <w:tab/>
        <w:t>ضمان أن تكون تجربة المستخدم قابلة للتنبؤ ومتماسكة عبر غرف تبادل المعلومات؛</w:t>
      </w:r>
    </w:p>
    <w:p w:rsidR="00E02C84" w:rsidRPr="0035163D" w:rsidRDefault="00E02C84" w:rsidP="00E02C84">
      <w:pPr>
        <w:ind w:firstLine="720"/>
        <w:rPr>
          <w:rFonts w:eastAsia="MS Mincho"/>
          <w:kern w:val="22"/>
        </w:rPr>
      </w:pPr>
      <w:r w:rsidRPr="0035163D">
        <w:rPr>
          <w:rtl/>
        </w:rPr>
        <w:t>(د)</w:t>
      </w:r>
      <w:r w:rsidRPr="0035163D">
        <w:rPr>
          <w:rtl/>
        </w:rPr>
        <w:tab/>
        <w:t>ضمان أن يكون التصميم المرئي والوظائف بديهية وسهلة الاستخدام ومتسقة عبر غرف تبادل المعلومات؛</w:t>
      </w:r>
    </w:p>
    <w:p w:rsidR="00E02C84" w:rsidRPr="0035163D" w:rsidRDefault="00E02C84" w:rsidP="00E02C84">
      <w:pPr>
        <w:ind w:firstLine="720"/>
        <w:rPr>
          <w:rFonts w:eastAsia="MS Mincho"/>
          <w:kern w:val="22"/>
        </w:rPr>
      </w:pPr>
      <w:r w:rsidRPr="0035163D">
        <w:rPr>
          <w:rtl/>
        </w:rPr>
        <w:t>(ﻫ)</w:t>
      </w:r>
      <w:r w:rsidRPr="0035163D">
        <w:rPr>
          <w:rtl/>
        </w:rPr>
        <w:tab/>
        <w:t>ضمان، قدر الإمكان، توفير المساعدة التقنية عند الطلب في الوقت المناسب لاستخدام غرف تبادل المعلومات.</w:t>
      </w:r>
    </w:p>
    <w:p w:rsidR="00E02C84" w:rsidRPr="0035163D" w:rsidRDefault="00E02C84" w:rsidP="00E02C84">
      <w:pPr>
        <w:pStyle w:val="Para10"/>
        <w:numPr>
          <w:ilvl w:val="0"/>
          <w:numId w:val="0"/>
        </w:numPr>
        <w:tabs>
          <w:tab w:val="left" w:pos="720"/>
        </w:tabs>
        <w:bidi/>
        <w:spacing w:before="0" w:line="216" w:lineRule="auto"/>
        <w:rPr>
          <w:rFonts w:cs="Simplified Arabic"/>
          <w:kern w:val="22"/>
          <w:szCs w:val="24"/>
        </w:rPr>
      </w:pPr>
      <w:r w:rsidRPr="0035163D">
        <w:rPr>
          <w:rFonts w:cs="Simplified Arabic"/>
          <w:szCs w:val="24"/>
          <w:rtl/>
        </w:rPr>
        <w:t>3-</w:t>
      </w:r>
      <w:r w:rsidRPr="0035163D">
        <w:rPr>
          <w:rFonts w:cs="Simplified Arabic"/>
          <w:szCs w:val="24"/>
          <w:rtl/>
        </w:rPr>
        <w:tab/>
        <w:t>وي</w:t>
      </w:r>
      <w:r>
        <w:rPr>
          <w:rFonts w:cs="Simplified Arabic" w:hint="cs"/>
          <w:szCs w:val="24"/>
          <w:rtl/>
        </w:rPr>
        <w:t>نبغي</w:t>
      </w:r>
      <w:r w:rsidRPr="0035163D">
        <w:rPr>
          <w:rFonts w:cs="Simplified Arabic"/>
          <w:szCs w:val="24"/>
          <w:rtl/>
        </w:rPr>
        <w:t xml:space="preserve"> أن تستوفي غرف تبادل المعلومات المواصفات الأساسية التالية:</w:t>
      </w:r>
    </w:p>
    <w:p w:rsidR="00E02C84" w:rsidRPr="0035163D" w:rsidRDefault="00E02C84" w:rsidP="00E02C84">
      <w:pPr>
        <w:ind w:firstLine="720"/>
        <w:rPr>
          <w:rFonts w:eastAsia="MS Mincho"/>
          <w:kern w:val="22"/>
        </w:rPr>
      </w:pPr>
      <w:r w:rsidRPr="0035163D">
        <w:rPr>
          <w:rtl/>
        </w:rPr>
        <w:t>(أ)</w:t>
      </w:r>
      <w:r w:rsidRPr="0035163D">
        <w:rPr>
          <w:rtl/>
        </w:rPr>
        <w:tab/>
        <w:t>الوصول والتصفح من خلال بوابة إلكترونية متاحة للجمهور عاملة باللغات الرسمية الست للأمم المتحدة؛</w:t>
      </w:r>
    </w:p>
    <w:p w:rsidR="00E02C84" w:rsidRPr="0035163D" w:rsidRDefault="00E02C84" w:rsidP="00E02C84">
      <w:pPr>
        <w:ind w:firstLine="720"/>
        <w:rPr>
          <w:rFonts w:eastAsia="MS Mincho"/>
          <w:kern w:val="22"/>
        </w:rPr>
      </w:pPr>
      <w:r w:rsidRPr="0035163D">
        <w:rPr>
          <w:rtl/>
        </w:rPr>
        <w:t>(ب)</w:t>
      </w:r>
      <w:r w:rsidRPr="0035163D">
        <w:rPr>
          <w:rtl/>
        </w:rPr>
        <w:tab/>
        <w:t>قاعدة بيانات مركزية آمنة تعمل كمستودع للمعلومات المتاحة؛</w:t>
      </w:r>
    </w:p>
    <w:p w:rsidR="00E02C84" w:rsidRPr="0035163D" w:rsidRDefault="00E02C84" w:rsidP="00E02C84">
      <w:pPr>
        <w:ind w:firstLine="720"/>
        <w:rPr>
          <w:rFonts w:eastAsia="MS Mincho"/>
          <w:kern w:val="22"/>
        </w:rPr>
      </w:pPr>
      <w:r w:rsidRPr="0035163D">
        <w:rPr>
          <w:rtl/>
        </w:rPr>
        <w:t>(ج)</w:t>
      </w:r>
      <w:r w:rsidRPr="0035163D">
        <w:rPr>
          <w:rtl/>
        </w:rPr>
        <w:tab/>
        <w:t>آلية آمنة للتقديم، من خلال تسجيل دخول واحد، مما يسمح للمستخدمين بنشر المعلومات بطريقة منظمة من خلال أشكال وبيانات وصفية</w:t>
      </w:r>
      <w:r w:rsidRPr="0035163D">
        <w:rPr>
          <w:rFonts w:hint="cs"/>
          <w:rtl/>
        </w:rPr>
        <w:t xml:space="preserve"> </w:t>
      </w:r>
      <w:r w:rsidRPr="0035163D">
        <w:rPr>
          <w:rtl/>
        </w:rPr>
        <w:t>موحدة ومفردات خاضعة للرقابة، مع التمييز بين المعلومات الإلزامية والاختيارية؛</w:t>
      </w:r>
    </w:p>
    <w:p w:rsidR="00E02C84" w:rsidRPr="0035163D" w:rsidRDefault="00E02C84" w:rsidP="00E02C84">
      <w:pPr>
        <w:ind w:firstLine="720"/>
        <w:rPr>
          <w:rFonts w:eastAsia="MS Mincho"/>
          <w:kern w:val="22"/>
        </w:rPr>
      </w:pPr>
      <w:r w:rsidRPr="0035163D">
        <w:rPr>
          <w:rtl/>
        </w:rPr>
        <w:t>(د)</w:t>
      </w:r>
      <w:r w:rsidRPr="0035163D">
        <w:rPr>
          <w:rtl/>
        </w:rPr>
        <w:tab/>
        <w:t>آلية بحث متاحة للجمهور تسمح بالبحث عن المحتوى واسترجاعه من خلال البيانات الوصفية والمفردات الخاضعة للرقابة عبر جميع غرف تبادل المعلومات؛</w:t>
      </w:r>
    </w:p>
    <w:p w:rsidR="00E02C84" w:rsidRPr="0035163D" w:rsidRDefault="00E02C84" w:rsidP="00E02C84">
      <w:pPr>
        <w:ind w:firstLine="720"/>
        <w:rPr>
          <w:rFonts w:eastAsia="MS Mincho"/>
          <w:kern w:val="22"/>
        </w:rPr>
      </w:pPr>
      <w:r w:rsidRPr="0035163D">
        <w:rPr>
          <w:rtl/>
        </w:rPr>
        <w:t>(هـ)</w:t>
      </w:r>
      <w:r w:rsidRPr="0035163D">
        <w:rPr>
          <w:rtl/>
        </w:rPr>
        <w:tab/>
        <w:t>المعرّفات الفريدة للبحث عن المعلومات واسترجاعها، حسبما ينطبق؛</w:t>
      </w:r>
    </w:p>
    <w:p w:rsidR="00E02C84" w:rsidRPr="0035163D" w:rsidRDefault="00E02C84" w:rsidP="00E02C84">
      <w:pPr>
        <w:ind w:firstLine="720"/>
        <w:rPr>
          <w:rFonts w:eastAsia="MS Mincho"/>
          <w:kern w:val="22"/>
        </w:rPr>
      </w:pPr>
      <w:r w:rsidRPr="0035163D">
        <w:rPr>
          <w:rtl/>
        </w:rPr>
        <w:t>(و)</w:t>
      </w:r>
      <w:r w:rsidRPr="0035163D">
        <w:rPr>
          <w:rtl/>
        </w:rPr>
        <w:tab/>
        <w:t>آلية تحديث آمنة تسمح للمستخدمين المختصين بتعديل المعلومات أو تحديثها؛</w:t>
      </w:r>
    </w:p>
    <w:p w:rsidR="00E02C84" w:rsidRPr="0035163D" w:rsidRDefault="00E02C84" w:rsidP="00E02C84">
      <w:pPr>
        <w:ind w:firstLine="720"/>
        <w:rPr>
          <w:rFonts w:eastAsia="MS Mincho"/>
          <w:kern w:val="22"/>
        </w:rPr>
      </w:pPr>
      <w:r w:rsidRPr="0035163D">
        <w:rPr>
          <w:rtl/>
        </w:rPr>
        <w:t>(ز)</w:t>
      </w:r>
      <w:r w:rsidRPr="0035163D">
        <w:rPr>
          <w:rtl/>
        </w:rPr>
        <w:tab/>
        <w:t>تصميم يحدد بوضوح هوية من أتاح المعلومات؛</w:t>
      </w:r>
    </w:p>
    <w:p w:rsidR="00E02C84" w:rsidRPr="0035163D" w:rsidRDefault="00E02C84" w:rsidP="00E02C84">
      <w:pPr>
        <w:ind w:firstLine="720"/>
        <w:rPr>
          <w:rFonts w:eastAsia="MS Mincho"/>
          <w:kern w:val="22"/>
        </w:rPr>
      </w:pPr>
      <w:r w:rsidRPr="0035163D">
        <w:rPr>
          <w:rtl/>
        </w:rPr>
        <w:t>(ح)</w:t>
      </w:r>
      <w:r w:rsidRPr="0035163D">
        <w:rPr>
          <w:rtl/>
        </w:rPr>
        <w:tab/>
        <w:t>آلية للتشغيل البيني لتيسير تبادل المعلومات مع قواعد البيانات والنظم الخارجية، حسب الاقتضاء؛</w:t>
      </w:r>
    </w:p>
    <w:p w:rsidR="00E02C84" w:rsidRPr="0035163D" w:rsidRDefault="00E02C84" w:rsidP="00E02C84">
      <w:pPr>
        <w:ind w:firstLine="720"/>
        <w:rPr>
          <w:rFonts w:eastAsia="MS Mincho"/>
          <w:kern w:val="22"/>
        </w:rPr>
      </w:pPr>
      <w:r w:rsidRPr="0035163D">
        <w:rPr>
          <w:rtl/>
        </w:rPr>
        <w:t>(ط)</w:t>
      </w:r>
      <w:r w:rsidRPr="0035163D">
        <w:rPr>
          <w:rtl/>
        </w:rPr>
        <w:tab/>
        <w:t>آلية تعمل بدون الاتصال بالإنترنت لتسجيل المعلومات وتيسير الوصول إلى المعلومات المتاحة دون الاتصال بالإنترنت، عند الطلب، وعلى وجه الخصوص، للمستخدمين ذوي الوصول المحدود إلى الإنترنت.</w:t>
      </w:r>
    </w:p>
    <w:p w:rsidR="00E02C84" w:rsidRPr="004D1CA7" w:rsidRDefault="00E02C84" w:rsidP="00E02C84">
      <w:pPr>
        <w:tabs>
          <w:tab w:val="left" w:pos="360"/>
        </w:tabs>
        <w:jc w:val="center"/>
        <w:rPr>
          <w:b/>
          <w:bCs/>
          <w:kern w:val="22"/>
        </w:rPr>
      </w:pPr>
      <w:r>
        <w:rPr>
          <w:b/>
          <w:bCs/>
          <w:rtl/>
        </w:rPr>
        <w:t>باء-</w:t>
      </w:r>
      <w:r>
        <w:rPr>
          <w:b/>
          <w:bCs/>
          <w:rtl/>
        </w:rPr>
        <w:tab/>
      </w:r>
      <w:r w:rsidRPr="004D1CA7">
        <w:rPr>
          <w:b/>
          <w:bCs/>
          <w:rtl/>
        </w:rPr>
        <w:t>دور المستخدمين فيما يتعلق بت</w:t>
      </w:r>
      <w:r>
        <w:rPr>
          <w:rFonts w:hint="cs"/>
          <w:b/>
          <w:bCs/>
          <w:rtl/>
        </w:rPr>
        <w:t>شارك</w:t>
      </w:r>
      <w:r w:rsidRPr="004D1CA7">
        <w:rPr>
          <w:b/>
          <w:bCs/>
          <w:rtl/>
        </w:rPr>
        <w:t xml:space="preserve"> المعلومات</w:t>
      </w:r>
    </w:p>
    <w:p w:rsidR="00E02C84" w:rsidRPr="0035163D" w:rsidRDefault="00E02C84" w:rsidP="00E02C84">
      <w:pPr>
        <w:pStyle w:val="Para10"/>
        <w:numPr>
          <w:ilvl w:val="0"/>
          <w:numId w:val="0"/>
        </w:numPr>
        <w:tabs>
          <w:tab w:val="left" w:pos="720"/>
        </w:tabs>
        <w:bidi/>
        <w:spacing w:before="0" w:line="216" w:lineRule="auto"/>
        <w:rPr>
          <w:rFonts w:cs="Simplified Arabic"/>
          <w:kern w:val="22"/>
          <w:szCs w:val="24"/>
        </w:rPr>
      </w:pPr>
      <w:r w:rsidRPr="0035163D">
        <w:rPr>
          <w:rFonts w:cs="Simplified Arabic"/>
          <w:szCs w:val="24"/>
          <w:rtl/>
        </w:rPr>
        <w:t>4-</w:t>
      </w:r>
      <w:r w:rsidRPr="0035163D">
        <w:rPr>
          <w:rFonts w:cs="Simplified Arabic"/>
          <w:szCs w:val="24"/>
          <w:rtl/>
        </w:rPr>
        <w:tab/>
        <w:t>عند ت</w:t>
      </w:r>
      <w:r>
        <w:rPr>
          <w:rFonts w:cs="Simplified Arabic" w:hint="cs"/>
          <w:szCs w:val="24"/>
          <w:rtl/>
        </w:rPr>
        <w:t>شارك</w:t>
      </w:r>
      <w:r w:rsidRPr="0035163D">
        <w:rPr>
          <w:rFonts w:cs="Simplified Arabic"/>
          <w:szCs w:val="24"/>
          <w:rtl/>
        </w:rPr>
        <w:t xml:space="preserve"> المعلومات من خلال أي من غرف تبادل المعلومات، يتعين على المستخدمين:</w:t>
      </w:r>
    </w:p>
    <w:p w:rsidR="00E02C84" w:rsidRPr="0035163D" w:rsidRDefault="00E02C84" w:rsidP="00E02C84">
      <w:pPr>
        <w:ind w:firstLine="720"/>
        <w:rPr>
          <w:rFonts w:eastAsia="MS Mincho"/>
          <w:kern w:val="22"/>
        </w:rPr>
      </w:pPr>
      <w:r w:rsidRPr="0035163D">
        <w:rPr>
          <w:rtl/>
        </w:rPr>
        <w:t>(أ)</w:t>
      </w:r>
      <w:r w:rsidRPr="0035163D">
        <w:rPr>
          <w:rtl/>
        </w:rPr>
        <w:tab/>
        <w:t>اتباع إجراءات النشر المحددة لكل غرفة من غرف تبادل معلومات أو لكل نوع من أنواع المعلومات؛</w:t>
      </w:r>
    </w:p>
    <w:p w:rsidR="00E02C84" w:rsidRPr="0035163D" w:rsidRDefault="00E02C84" w:rsidP="00E02C84">
      <w:pPr>
        <w:ind w:firstLine="720"/>
        <w:rPr>
          <w:rFonts w:eastAsia="MS Mincho"/>
          <w:kern w:val="22"/>
        </w:rPr>
      </w:pPr>
      <w:r w:rsidRPr="0035163D">
        <w:rPr>
          <w:rtl/>
        </w:rPr>
        <w:t>(ب)</w:t>
      </w:r>
      <w:r w:rsidRPr="0035163D">
        <w:rPr>
          <w:rtl/>
        </w:rPr>
        <w:tab/>
        <w:t>تحمل المسؤولية عن ضمان أن تكون المعلومات المتاحة دقيقة وكاملة وذات صلة وحديثة؛</w:t>
      </w:r>
    </w:p>
    <w:p w:rsidR="00E02C84" w:rsidRPr="0035163D" w:rsidRDefault="00E02C84" w:rsidP="00E02C84">
      <w:pPr>
        <w:ind w:firstLine="720"/>
        <w:rPr>
          <w:rFonts w:eastAsia="MS Mincho"/>
          <w:kern w:val="22"/>
        </w:rPr>
      </w:pPr>
      <w:r w:rsidRPr="0035163D">
        <w:rPr>
          <w:rtl/>
        </w:rPr>
        <w:t>(ج)</w:t>
      </w:r>
      <w:r w:rsidRPr="0035163D">
        <w:rPr>
          <w:rtl/>
        </w:rPr>
        <w:tab/>
        <w:t>عدم إدراج البيانات السرية،</w:t>
      </w:r>
      <w:r w:rsidRPr="0035163D">
        <w:rPr>
          <w:rFonts w:hint="cs"/>
          <w:rtl/>
        </w:rPr>
        <w:t xml:space="preserve"> </w:t>
      </w:r>
      <w:r w:rsidRPr="0035163D">
        <w:rPr>
          <w:rtl/>
        </w:rPr>
        <w:t>نظرا لأن جميع المعلومات المنشورة في غرف تبادل المعلومات متاحة للجمهور؛</w:t>
      </w:r>
    </w:p>
    <w:p w:rsidR="00E02C84" w:rsidRPr="0035163D" w:rsidRDefault="00E02C84" w:rsidP="00E02C84">
      <w:pPr>
        <w:ind w:firstLine="720"/>
        <w:rPr>
          <w:rFonts w:eastAsia="MS Mincho"/>
          <w:kern w:val="22"/>
        </w:rPr>
      </w:pPr>
      <w:r w:rsidRPr="0035163D">
        <w:rPr>
          <w:rtl/>
        </w:rPr>
        <w:t>(د)</w:t>
      </w:r>
      <w:r w:rsidRPr="0035163D">
        <w:rPr>
          <w:rtl/>
        </w:rPr>
        <w:tab/>
        <w:t>ع</w:t>
      </w:r>
      <w:r>
        <w:rPr>
          <w:rFonts w:hint="cs"/>
          <w:rtl/>
        </w:rPr>
        <w:t>دم</w:t>
      </w:r>
      <w:r w:rsidRPr="0035163D">
        <w:rPr>
          <w:rFonts w:hint="cs"/>
          <w:rtl/>
        </w:rPr>
        <w:t xml:space="preserve"> </w:t>
      </w:r>
      <w:r w:rsidRPr="0035163D">
        <w:rPr>
          <w:rtl/>
        </w:rPr>
        <w:t>انتهاك أي حقوق ملكية فكرية مرتبطة بالمعلومات المنشورة؛</w:t>
      </w:r>
    </w:p>
    <w:p w:rsidR="00E02C84" w:rsidRPr="0035163D" w:rsidRDefault="00E02C84" w:rsidP="00E02C84">
      <w:pPr>
        <w:ind w:firstLine="720"/>
        <w:rPr>
          <w:rFonts w:eastAsia="MS Mincho"/>
          <w:kern w:val="22"/>
        </w:rPr>
      </w:pPr>
      <w:r w:rsidRPr="0035163D">
        <w:rPr>
          <w:rtl/>
        </w:rPr>
        <w:t>(هـ)</w:t>
      </w:r>
      <w:r w:rsidRPr="0035163D">
        <w:rPr>
          <w:rtl/>
        </w:rPr>
        <w:tab/>
        <w:t>توفير بيانات وصفية تصف البيانات الأولية (مثل العناصر التي تصف محتوى التدبير التشريعي المختار من المفردات الخاضعة للرقابة) بلغة رسمية للأمم المتحدة، مع الإقرار بأنه يجوز تقديم البيانات الأولية (على سبيل المثال،</w:t>
      </w:r>
      <w:r>
        <w:rPr>
          <w:rFonts w:hint="cs"/>
          <w:rtl/>
        </w:rPr>
        <w:t xml:space="preserve"> </w:t>
      </w:r>
      <w:r w:rsidRPr="0035163D">
        <w:rPr>
          <w:rtl/>
        </w:rPr>
        <w:t>تدبير تشريعي)</w:t>
      </w:r>
      <w:r w:rsidRPr="0035163D">
        <w:rPr>
          <w:rFonts w:hint="cs"/>
          <w:rtl/>
        </w:rPr>
        <w:t xml:space="preserve"> </w:t>
      </w:r>
      <w:r w:rsidRPr="0035163D">
        <w:rPr>
          <w:rtl/>
        </w:rPr>
        <w:t>باللغة الأصلية؛</w:t>
      </w:r>
    </w:p>
    <w:p w:rsidR="00E02C84" w:rsidRPr="0035163D" w:rsidRDefault="00E02C84" w:rsidP="00E02C84">
      <w:pPr>
        <w:ind w:firstLine="720"/>
        <w:rPr>
          <w:rFonts w:eastAsia="MS Mincho"/>
          <w:kern w:val="22"/>
          <w:rtl/>
        </w:rPr>
      </w:pPr>
      <w:r w:rsidRPr="0035163D">
        <w:rPr>
          <w:rtl/>
        </w:rPr>
        <w:t>(و)</w:t>
      </w:r>
      <w:r w:rsidRPr="0035163D">
        <w:rPr>
          <w:rtl/>
        </w:rPr>
        <w:tab/>
        <w:t>السعي إلى تقديم ترجمة مجانية للبيانات الأولية المقدمة بإحدى اللغات الرسمية للأمم المتحدة.</w:t>
      </w:r>
    </w:p>
    <w:p w:rsidR="001D61EA" w:rsidRDefault="001D61EA" w:rsidP="001D61EA">
      <w:pPr>
        <w:spacing w:after="0" w:line="240" w:lineRule="auto"/>
        <w:jc w:val="left"/>
        <w:rPr>
          <w:b/>
          <w:bCs/>
          <w:sz w:val="24"/>
          <w:rtl/>
        </w:rPr>
      </w:pPr>
      <w:r>
        <w:rPr>
          <w:b/>
          <w:bCs/>
          <w:sz w:val="24"/>
          <w:rtl/>
        </w:rPr>
        <w:br w:type="page"/>
      </w:r>
    </w:p>
    <w:p w:rsidR="00E02C84" w:rsidRPr="00A67EC2" w:rsidRDefault="00E02C84" w:rsidP="00246CBF">
      <w:pPr>
        <w:pStyle w:val="Heading2"/>
        <w:rPr>
          <w:b w:val="0"/>
          <w:bCs w:val="0"/>
          <w:sz w:val="24"/>
          <w:rtl/>
        </w:rPr>
      </w:pPr>
      <w:bookmarkStart w:id="171" w:name="_Toc6071630"/>
      <w:bookmarkStart w:id="172" w:name="_Toc6139987"/>
      <w:r w:rsidRPr="00A67EC2">
        <w:rPr>
          <w:rFonts w:hint="cs"/>
          <w:sz w:val="24"/>
          <w:rtl/>
        </w:rPr>
        <w:lastRenderedPageBreak/>
        <w:t>المقرر 14/26</w:t>
      </w:r>
      <w:r w:rsidRPr="00A67EC2">
        <w:rPr>
          <w:rFonts w:hint="cs"/>
          <w:sz w:val="24"/>
          <w:rtl/>
        </w:rPr>
        <w:tab/>
        <w:t>الاتصالات</w:t>
      </w:r>
      <w:bookmarkEnd w:id="171"/>
      <w:bookmarkEnd w:id="172"/>
    </w:p>
    <w:p w:rsidR="00E02C84" w:rsidRPr="00B10F09" w:rsidRDefault="00E02C84" w:rsidP="00E02C84">
      <w:pPr>
        <w:ind w:firstLine="720"/>
        <w:rPr>
          <w:i/>
          <w:iCs/>
          <w:rtl/>
          <w:lang w:val="en-GB"/>
        </w:rPr>
      </w:pPr>
      <w:r w:rsidRPr="00B10F09">
        <w:rPr>
          <w:rFonts w:hint="cs"/>
          <w:i/>
          <w:iCs/>
          <w:rtl/>
          <w:lang w:val="en-GB"/>
        </w:rPr>
        <w:t>إن مؤتمر الأطراف،</w:t>
      </w:r>
    </w:p>
    <w:p w:rsidR="00E02C84" w:rsidRPr="00B10F09" w:rsidRDefault="00E02C84" w:rsidP="00E02C84">
      <w:pPr>
        <w:ind w:firstLine="720"/>
        <w:rPr>
          <w:rtl/>
          <w:lang w:val="en-GB"/>
        </w:rPr>
      </w:pPr>
      <w:r w:rsidRPr="00B10F09">
        <w:rPr>
          <w:rFonts w:hint="cs"/>
          <w:i/>
          <w:iCs/>
          <w:rtl/>
          <w:lang w:val="en-GB"/>
        </w:rPr>
        <w:t xml:space="preserve">إذ </w:t>
      </w:r>
      <w:r>
        <w:rPr>
          <w:rFonts w:hint="cs"/>
          <w:i/>
          <w:iCs/>
          <w:rtl/>
          <w:lang w:val="en-GB"/>
        </w:rPr>
        <w:t>يشير</w:t>
      </w:r>
      <w:r w:rsidRPr="00B10F09">
        <w:rPr>
          <w:rFonts w:hint="cs"/>
          <w:rtl/>
          <w:lang w:val="en-GB"/>
        </w:rPr>
        <w:t xml:space="preserve"> </w:t>
      </w:r>
      <w:r>
        <w:rPr>
          <w:rFonts w:hint="cs"/>
          <w:rtl/>
          <w:lang w:val="en-GB"/>
        </w:rPr>
        <w:t>إلى المقرر 13/22</w:t>
      </w:r>
      <w:r w:rsidRPr="00B10F09">
        <w:rPr>
          <w:rtl/>
          <w:lang w:val="en-GB"/>
        </w:rPr>
        <w:t>،</w:t>
      </w:r>
    </w:p>
    <w:p w:rsidR="00E02C84" w:rsidRPr="00B10F09" w:rsidRDefault="00E02C84" w:rsidP="00E02C84">
      <w:pPr>
        <w:ind w:firstLine="720"/>
        <w:rPr>
          <w:rtl/>
          <w:lang w:val="en-GB"/>
        </w:rPr>
      </w:pPr>
      <w:r w:rsidRPr="00B10F09">
        <w:rPr>
          <w:rFonts w:hint="cs"/>
          <w:rtl/>
          <w:lang w:val="en-GB"/>
        </w:rPr>
        <w:t>1-</w:t>
      </w:r>
      <w:r w:rsidRPr="00B10F09">
        <w:rPr>
          <w:rFonts w:hint="cs"/>
          <w:rtl/>
          <w:lang w:val="en-GB"/>
        </w:rPr>
        <w:tab/>
      </w:r>
      <w:r>
        <w:rPr>
          <w:rFonts w:hint="cs"/>
          <w:i/>
          <w:iCs/>
          <w:rtl/>
          <w:lang w:val="en-GB"/>
        </w:rPr>
        <w:t>يدعو</w:t>
      </w:r>
      <w:r w:rsidRPr="00B10F09">
        <w:rPr>
          <w:rFonts w:hint="cs"/>
          <w:rtl/>
        </w:rPr>
        <w:t xml:space="preserve"> </w:t>
      </w:r>
      <w:r w:rsidRPr="00F4133A">
        <w:rPr>
          <w:rFonts w:ascii="Simplified Arabic" w:hAnsi="Simplified Arabic"/>
          <w:color w:val="222222"/>
          <w:rtl/>
        </w:rPr>
        <w:t>الأطراف والحكومات الأخرى والمنظمات ذات الصلة إلى توجيه اتصالاتها نحو زيادة الوعي بالتنوع البيولوجي وقيمه على المستوى العالمي واتخاذ إجراءات بشأنه</w:t>
      </w:r>
      <w:r w:rsidRPr="00F4133A">
        <w:rPr>
          <w:rFonts w:ascii="Simplified Arabic" w:hAnsi="Simplified Arabic"/>
          <w:rtl/>
        </w:rPr>
        <w:t>؛</w:t>
      </w:r>
    </w:p>
    <w:p w:rsidR="00E02C84" w:rsidRPr="00B10F09" w:rsidRDefault="00E02C84" w:rsidP="00E02C84">
      <w:pPr>
        <w:ind w:firstLine="720"/>
        <w:rPr>
          <w:rtl/>
          <w:lang w:val="en-GB"/>
        </w:rPr>
      </w:pPr>
      <w:r w:rsidRPr="00B10F09">
        <w:rPr>
          <w:rFonts w:hint="cs"/>
          <w:rtl/>
          <w:lang w:val="en-GB"/>
        </w:rPr>
        <w:t>2-</w:t>
      </w:r>
      <w:r w:rsidRPr="00B10F09">
        <w:rPr>
          <w:rtl/>
          <w:lang w:val="en-GB"/>
        </w:rPr>
        <w:tab/>
      </w:r>
      <w:r w:rsidRPr="00B10F09">
        <w:rPr>
          <w:rFonts w:hint="cs"/>
          <w:i/>
          <w:iCs/>
          <w:rtl/>
          <w:lang w:val="en-GB"/>
        </w:rPr>
        <w:t>يطلب</w:t>
      </w:r>
      <w:r w:rsidRPr="00B10F09">
        <w:rPr>
          <w:rFonts w:hint="cs"/>
          <w:rtl/>
          <w:lang w:val="en-GB"/>
        </w:rPr>
        <w:t xml:space="preserve"> </w:t>
      </w:r>
      <w:r w:rsidRPr="00A570CA">
        <w:rPr>
          <w:rFonts w:hint="cs"/>
          <w:rtl/>
          <w:lang w:val="en-GB"/>
        </w:rPr>
        <w:t>إلى</w:t>
      </w:r>
      <w:r w:rsidRPr="00B10F09">
        <w:rPr>
          <w:rFonts w:hint="cs"/>
          <w:rtl/>
          <w:lang w:val="en-GB"/>
        </w:rPr>
        <w:t xml:space="preserve"> الأمينة التنفيذية أن تضطلع بما يلي، رهنا بتوافر الموارد:</w:t>
      </w:r>
    </w:p>
    <w:p w:rsidR="00E02C84" w:rsidRPr="00B10F09" w:rsidRDefault="00E02C84" w:rsidP="00E02C84">
      <w:pPr>
        <w:ind w:firstLine="720"/>
        <w:rPr>
          <w:rtl/>
          <w:lang w:val="en-GB"/>
        </w:rPr>
      </w:pPr>
      <w:bookmarkStart w:id="173" w:name="_Hlk519140855"/>
      <w:r w:rsidRPr="00B10F09">
        <w:rPr>
          <w:rFonts w:hint="cs"/>
          <w:rtl/>
          <w:lang w:val="en-GB"/>
        </w:rPr>
        <w:t>(أ)</w:t>
      </w:r>
      <w:r w:rsidRPr="00B10F09">
        <w:rPr>
          <w:rtl/>
          <w:lang w:val="en-GB"/>
        </w:rPr>
        <w:tab/>
      </w:r>
      <w:r w:rsidRPr="00E50261">
        <w:rPr>
          <w:rFonts w:ascii="Simplified Arabic" w:hAnsi="Simplified Arabic"/>
          <w:rtl/>
          <w:lang w:val="en-GB"/>
        </w:rPr>
        <w:t>م</w:t>
      </w:r>
      <w:r w:rsidRPr="00E50261">
        <w:rPr>
          <w:rFonts w:ascii="Simplified Arabic" w:hAnsi="Simplified Arabic"/>
          <w:color w:val="222222"/>
          <w:rtl/>
        </w:rPr>
        <w:t>واصلة تنفيذ إطار</w:t>
      </w:r>
      <w:r>
        <w:rPr>
          <w:rFonts w:ascii="Simplified Arabic" w:hAnsi="Simplified Arabic" w:hint="cs"/>
          <w:color w:val="222222"/>
          <w:rtl/>
        </w:rPr>
        <w:t xml:space="preserve"> العمل</w:t>
      </w:r>
      <w:r w:rsidRPr="00E50261">
        <w:rPr>
          <w:rFonts w:ascii="Simplified Arabic" w:hAnsi="Simplified Arabic"/>
          <w:color w:val="222222"/>
          <w:rtl/>
        </w:rPr>
        <w:t xml:space="preserve"> </w:t>
      </w:r>
      <w:r>
        <w:rPr>
          <w:rFonts w:ascii="Simplified Arabic" w:hAnsi="Simplified Arabic" w:hint="cs"/>
          <w:color w:val="222222"/>
          <w:rtl/>
        </w:rPr>
        <w:t>ل</w:t>
      </w:r>
      <w:r>
        <w:rPr>
          <w:rFonts w:ascii="Simplified Arabic" w:hAnsi="Simplified Arabic"/>
          <w:color w:val="222222"/>
          <w:rtl/>
        </w:rPr>
        <w:t xml:space="preserve">استراتيجية اتصالات </w:t>
      </w:r>
      <w:r w:rsidRPr="00E50261">
        <w:rPr>
          <w:rFonts w:ascii="Simplified Arabic" w:hAnsi="Simplified Arabic"/>
          <w:color w:val="222222"/>
          <w:rtl/>
        </w:rPr>
        <w:t>ع</w:t>
      </w:r>
      <w:r>
        <w:rPr>
          <w:rFonts w:hint="cs"/>
          <w:rtl/>
          <w:lang w:val="en-GB"/>
        </w:rPr>
        <w:t>المية</w:t>
      </w:r>
      <w:r w:rsidRPr="00B10F09">
        <w:rPr>
          <w:rtl/>
          <w:lang w:val="en-GB"/>
        </w:rPr>
        <w:t>؛</w:t>
      </w:r>
    </w:p>
    <w:p w:rsidR="00E02C84" w:rsidRPr="00B10F09" w:rsidRDefault="00E02C84" w:rsidP="00E02C84">
      <w:pPr>
        <w:ind w:firstLine="720"/>
        <w:rPr>
          <w:rtl/>
          <w:lang w:val="en-GB"/>
        </w:rPr>
      </w:pPr>
      <w:r w:rsidRPr="00B10F09">
        <w:rPr>
          <w:rFonts w:hint="cs"/>
          <w:rtl/>
          <w:lang w:val="en-GB"/>
        </w:rPr>
        <w:t>(ب)</w:t>
      </w:r>
      <w:r w:rsidRPr="00B10F09">
        <w:rPr>
          <w:rtl/>
          <w:lang w:val="en-GB"/>
        </w:rPr>
        <w:tab/>
      </w:r>
      <w:r>
        <w:rPr>
          <w:rFonts w:hint="cs"/>
          <w:rtl/>
          <w:lang w:val="en-GB"/>
        </w:rPr>
        <w:t>القيام</w:t>
      </w:r>
      <w:r w:rsidRPr="00C5225F">
        <w:rPr>
          <w:rtl/>
          <w:lang w:val="en-GB"/>
        </w:rPr>
        <w:t xml:space="preserve">، بالتعاون مع </w:t>
      </w:r>
      <w:r>
        <w:rPr>
          <w:rFonts w:hint="cs"/>
          <w:rtl/>
          <w:lang w:val="en-GB"/>
        </w:rPr>
        <w:t>المنبر</w:t>
      </w:r>
      <w:r w:rsidRPr="00C5225F">
        <w:rPr>
          <w:rtl/>
          <w:lang w:val="en-GB"/>
        </w:rPr>
        <w:t xml:space="preserve"> الحكومي الدولي للعلوم والسياسات </w:t>
      </w:r>
      <w:r>
        <w:rPr>
          <w:rFonts w:hint="cs"/>
          <w:rtl/>
          <w:lang w:val="en-GB"/>
        </w:rPr>
        <w:t xml:space="preserve">في مجال </w:t>
      </w:r>
      <w:r w:rsidRPr="00C5225F">
        <w:rPr>
          <w:rtl/>
          <w:lang w:val="en-GB"/>
        </w:rPr>
        <w:t>التنوع البيولوجي وخدمات النُظم الإيكولوجية والاتفاقات البيئية المتعددة الأطراف</w:t>
      </w:r>
      <w:r>
        <w:rPr>
          <w:rFonts w:hint="cs"/>
          <w:rtl/>
          <w:lang w:val="en-GB"/>
        </w:rPr>
        <w:t xml:space="preserve"> ذات الصلة،</w:t>
      </w:r>
      <w:r w:rsidRPr="00C5225F">
        <w:rPr>
          <w:rtl/>
          <w:lang w:val="en-GB"/>
        </w:rPr>
        <w:t xml:space="preserve"> </w:t>
      </w:r>
      <w:r>
        <w:rPr>
          <w:rFonts w:hint="cs"/>
          <w:rtl/>
          <w:lang w:val="en-GB"/>
        </w:rPr>
        <w:t xml:space="preserve">والمنظمات الأخرى ذات الصلة، مثل الاتحاد الدولي لحفظ الطبيعة، وبالتشاور مع اللجنة الاستشارية غير الرسمية المعنية بالاتصال والتثقيف والتوعية العامة، بإعداد </w:t>
      </w:r>
      <w:r w:rsidRPr="00C5225F">
        <w:rPr>
          <w:rtl/>
          <w:lang w:val="en-GB"/>
        </w:rPr>
        <w:t>مواضيع ومواد أساسية</w:t>
      </w:r>
      <w:r>
        <w:rPr>
          <w:rFonts w:hint="cs"/>
          <w:rtl/>
          <w:lang w:val="en-GB"/>
        </w:rPr>
        <w:t>،</w:t>
      </w:r>
      <w:r w:rsidRPr="00C5225F">
        <w:rPr>
          <w:rtl/>
          <w:lang w:val="en-GB"/>
        </w:rPr>
        <w:t xml:space="preserve"> يمكن للأطراف والحكومات الأخرى والمنظمات المعنية والشعوب الأصلية والمجتمعات المحلية تنظيم اتصالات وحملات </w:t>
      </w:r>
      <w:r>
        <w:rPr>
          <w:rFonts w:hint="cs"/>
          <w:rtl/>
          <w:lang w:val="en-GB"/>
        </w:rPr>
        <w:t>ل</w:t>
      </w:r>
      <w:r w:rsidRPr="00C5225F">
        <w:rPr>
          <w:rtl/>
          <w:lang w:val="en-GB"/>
        </w:rPr>
        <w:t>لتوعية العامة</w:t>
      </w:r>
      <w:r>
        <w:rPr>
          <w:rFonts w:hint="cs"/>
          <w:rtl/>
          <w:lang w:val="en-GB"/>
        </w:rPr>
        <w:t xml:space="preserve"> حولها</w:t>
      </w:r>
      <w:r w:rsidRPr="00C5225F">
        <w:rPr>
          <w:rtl/>
          <w:lang w:val="en-GB"/>
        </w:rPr>
        <w:t xml:space="preserve"> في فترة السنتين القادمة بشأن الحالة الراهنة للتنوع البيولوجي والمناقشات من أجل إعداد إطار </w:t>
      </w:r>
      <w:r>
        <w:rPr>
          <w:rFonts w:hint="cs"/>
          <w:rtl/>
          <w:lang w:val="en-GB"/>
        </w:rPr>
        <w:t>عالمي ل</w:t>
      </w:r>
      <w:r w:rsidRPr="00C5225F">
        <w:rPr>
          <w:rtl/>
          <w:lang w:val="en-GB"/>
        </w:rPr>
        <w:t xml:space="preserve">لتنوع البيولوجي لما بعد </w:t>
      </w:r>
      <w:r>
        <w:rPr>
          <w:rFonts w:hint="cs"/>
          <w:rtl/>
          <w:lang w:val="en-GB"/>
        </w:rPr>
        <w:t xml:space="preserve">عام </w:t>
      </w:r>
      <w:r w:rsidRPr="00C5225F">
        <w:rPr>
          <w:rtl/>
          <w:lang w:val="en-GB"/>
        </w:rPr>
        <w:t>2020</w:t>
      </w:r>
      <w:r>
        <w:rPr>
          <w:rFonts w:hint="cs"/>
          <w:rtl/>
          <w:lang w:val="en-GB"/>
        </w:rPr>
        <w:t>؛</w:t>
      </w:r>
    </w:p>
    <w:p w:rsidR="00E02C84" w:rsidRDefault="00E02C84" w:rsidP="00E02C84">
      <w:pPr>
        <w:ind w:firstLine="720"/>
        <w:rPr>
          <w:rtl/>
        </w:rPr>
      </w:pPr>
      <w:r w:rsidRPr="00B10F09">
        <w:rPr>
          <w:rFonts w:hint="cs"/>
          <w:rtl/>
          <w:lang w:val="en-GB"/>
        </w:rPr>
        <w:t>(</w:t>
      </w:r>
      <w:r w:rsidRPr="00B10F09">
        <w:rPr>
          <w:rFonts w:hint="cs"/>
          <w:u w:val="single"/>
          <w:rtl/>
          <w:lang w:val="en-GB"/>
        </w:rPr>
        <w:t>ج</w:t>
      </w:r>
      <w:r w:rsidRPr="00B10F09">
        <w:rPr>
          <w:rFonts w:hint="cs"/>
          <w:rtl/>
          <w:lang w:val="en-GB"/>
        </w:rPr>
        <w:t>)</w:t>
      </w:r>
      <w:r w:rsidRPr="00B10F09">
        <w:rPr>
          <w:rtl/>
          <w:lang w:val="en-GB"/>
        </w:rPr>
        <w:tab/>
      </w:r>
      <w:bookmarkEnd w:id="173"/>
      <w:r>
        <w:rPr>
          <w:rFonts w:hint="cs"/>
          <w:rtl/>
          <w:lang w:val="en-GB"/>
        </w:rPr>
        <w:t>ت</w:t>
      </w:r>
      <w:r w:rsidRPr="00C5225F">
        <w:rPr>
          <w:rtl/>
          <w:lang w:val="en-GB"/>
        </w:rPr>
        <w:t>قديم تقرير مرحلي عن الأنشطة المذكورة أعلاه و</w:t>
      </w:r>
      <w:r>
        <w:rPr>
          <w:rFonts w:hint="cs"/>
          <w:rtl/>
          <w:lang w:val="en-GB"/>
        </w:rPr>
        <w:t xml:space="preserve">عن </w:t>
      </w:r>
      <w:r w:rsidRPr="00C5225F">
        <w:rPr>
          <w:rtl/>
          <w:lang w:val="en-GB"/>
        </w:rPr>
        <w:t>تنفيذ المقرر 13/22 إلى الهيئة الفرعية للتنفيذ للنظر فيه في اجتماعه</w:t>
      </w:r>
      <w:r>
        <w:rPr>
          <w:rFonts w:hint="cs"/>
          <w:rtl/>
          <w:lang w:val="en-GB"/>
        </w:rPr>
        <w:t>ا</w:t>
      </w:r>
      <w:r w:rsidRPr="00C5225F">
        <w:rPr>
          <w:rtl/>
          <w:lang w:val="en-GB"/>
        </w:rPr>
        <w:t xml:space="preserve"> الثالث ول</w:t>
      </w:r>
      <w:r>
        <w:rPr>
          <w:rFonts w:hint="cs"/>
          <w:rtl/>
          <w:lang w:val="en-GB"/>
        </w:rPr>
        <w:t>ي</w:t>
      </w:r>
      <w:r>
        <w:rPr>
          <w:rtl/>
          <w:lang w:val="en-GB"/>
        </w:rPr>
        <w:t>نظر فيه لاحقا</w:t>
      </w:r>
      <w:r w:rsidRPr="00C5225F">
        <w:rPr>
          <w:rtl/>
          <w:lang w:val="en-GB"/>
        </w:rPr>
        <w:t xml:space="preserve"> مؤتمر الأطراف في اجتماعه الخامس عشر</w:t>
      </w:r>
      <w:r w:rsidRPr="00C5225F">
        <w:t>.</w:t>
      </w:r>
    </w:p>
    <w:p w:rsidR="001D61EA" w:rsidRDefault="001D61EA" w:rsidP="001D61EA">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E02C84" w:rsidRPr="00CC53D9" w:rsidRDefault="00E02C84" w:rsidP="00246CBF">
      <w:pPr>
        <w:pStyle w:val="Heading2"/>
        <w:rPr>
          <w:b w:val="0"/>
          <w:bCs w:val="0"/>
          <w:rtl/>
        </w:rPr>
      </w:pPr>
      <w:bookmarkStart w:id="174" w:name="_Toc6071631"/>
      <w:bookmarkStart w:id="175" w:name="_Toc6139988"/>
      <w:r>
        <w:rPr>
          <w:rFonts w:hint="cs"/>
          <w:rtl/>
        </w:rPr>
        <w:lastRenderedPageBreak/>
        <w:t>المقرر 14/27</w:t>
      </w:r>
      <w:r>
        <w:rPr>
          <w:rFonts w:hint="cs"/>
          <w:rtl/>
        </w:rPr>
        <w:tab/>
      </w:r>
      <w:r w:rsidRPr="00CC53D9">
        <w:rPr>
          <w:rtl/>
        </w:rPr>
        <w:t>عملية لتحقيق توافق الإبلاغ الوطني والتقييم والاستعراض</w:t>
      </w:r>
      <w:bookmarkEnd w:id="174"/>
      <w:bookmarkEnd w:id="175"/>
    </w:p>
    <w:p w:rsidR="00E02C84" w:rsidRPr="00B10F09" w:rsidRDefault="00E02C84" w:rsidP="00E02C84">
      <w:pPr>
        <w:spacing w:after="100" w:line="204" w:lineRule="auto"/>
        <w:ind w:firstLine="720"/>
        <w:rPr>
          <w:i/>
          <w:iCs/>
          <w:rtl/>
          <w:lang w:val="en-GB"/>
        </w:rPr>
      </w:pPr>
      <w:r w:rsidRPr="00B10F09">
        <w:rPr>
          <w:rFonts w:hint="cs"/>
          <w:i/>
          <w:iCs/>
          <w:rtl/>
          <w:lang w:val="en-GB"/>
        </w:rPr>
        <w:t>إن مؤتمر الأطراف،</w:t>
      </w:r>
    </w:p>
    <w:p w:rsidR="00E02C84" w:rsidRPr="00B10F09" w:rsidRDefault="00E02C84" w:rsidP="00E02C84">
      <w:pPr>
        <w:spacing w:after="100" w:line="204" w:lineRule="auto"/>
        <w:ind w:firstLine="720"/>
        <w:rPr>
          <w:rtl/>
          <w:lang w:val="en-GB"/>
        </w:rPr>
      </w:pPr>
      <w:r w:rsidRPr="00B10F09">
        <w:rPr>
          <w:rFonts w:hint="cs"/>
          <w:i/>
          <w:iCs/>
          <w:rtl/>
          <w:lang w:val="en-GB"/>
        </w:rPr>
        <w:t>إذ يؤكد</w:t>
      </w:r>
      <w:r w:rsidRPr="00B10F09">
        <w:rPr>
          <w:rFonts w:hint="cs"/>
          <w:rtl/>
          <w:lang w:val="en-GB"/>
        </w:rPr>
        <w:t xml:space="preserve"> قيمة تحسين</w:t>
      </w:r>
      <w:r w:rsidRPr="00B10F09">
        <w:rPr>
          <w:rtl/>
          <w:lang w:val="en-GB"/>
        </w:rPr>
        <w:t xml:space="preserve"> مواءمة التقارير الوطنية </w:t>
      </w:r>
      <w:r w:rsidRPr="00B10F09">
        <w:rPr>
          <w:rFonts w:hint="cs"/>
          <w:rtl/>
          <w:lang w:val="en-GB"/>
        </w:rPr>
        <w:t>بموجب</w:t>
      </w:r>
      <w:r w:rsidRPr="00B10F09">
        <w:rPr>
          <w:rtl/>
          <w:lang w:val="en-GB"/>
        </w:rPr>
        <w:t xml:space="preserve"> الاتفاقية وبروتوكول</w:t>
      </w:r>
      <w:r w:rsidRPr="00B10F09">
        <w:rPr>
          <w:rFonts w:hint="cs"/>
          <w:rtl/>
          <w:lang w:val="en-GB"/>
        </w:rPr>
        <w:t>يها</w:t>
      </w:r>
      <w:r w:rsidRPr="00B10F09">
        <w:rPr>
          <w:rtl/>
          <w:lang w:val="en-GB"/>
        </w:rPr>
        <w:t xml:space="preserve">، </w:t>
      </w:r>
      <w:r w:rsidRPr="00B10F09">
        <w:rPr>
          <w:rFonts w:hint="cs"/>
          <w:rtl/>
          <w:lang w:val="en-GB"/>
        </w:rPr>
        <w:t>من أجل التقليل</w:t>
      </w:r>
      <w:r w:rsidRPr="00B10F09">
        <w:rPr>
          <w:rtl/>
          <w:lang w:val="en-GB"/>
        </w:rPr>
        <w:t xml:space="preserve"> </w:t>
      </w:r>
      <w:r w:rsidRPr="00B10F09">
        <w:rPr>
          <w:rFonts w:hint="cs"/>
          <w:rtl/>
          <w:lang w:val="en-GB"/>
        </w:rPr>
        <w:t xml:space="preserve">من </w:t>
      </w:r>
      <w:r w:rsidRPr="00B10F09">
        <w:rPr>
          <w:rtl/>
          <w:lang w:val="en-GB"/>
        </w:rPr>
        <w:t>أعباء الإبلاغ،</w:t>
      </w:r>
    </w:p>
    <w:p w:rsidR="00E02C84" w:rsidRPr="00B10F09" w:rsidRDefault="00E02C84" w:rsidP="00E02C84">
      <w:pPr>
        <w:spacing w:after="100" w:line="204" w:lineRule="auto"/>
        <w:ind w:firstLine="720"/>
        <w:rPr>
          <w:rtl/>
          <w:lang w:val="en-GB"/>
        </w:rPr>
      </w:pPr>
      <w:r w:rsidRPr="00B10F09">
        <w:rPr>
          <w:rFonts w:hint="cs"/>
          <w:i/>
          <w:iCs/>
          <w:rtl/>
          <w:lang w:val="en-GB"/>
        </w:rPr>
        <w:t>وإذ يؤكد أيضاً</w:t>
      </w:r>
      <w:r w:rsidRPr="00B10F09">
        <w:rPr>
          <w:rtl/>
          <w:lang w:val="en-GB"/>
        </w:rPr>
        <w:t xml:space="preserve"> قيمة تعزيز</w:t>
      </w:r>
      <w:r w:rsidRPr="00B10F09">
        <w:rPr>
          <w:rFonts w:hint="cs"/>
          <w:rtl/>
          <w:lang w:val="en-GB"/>
        </w:rPr>
        <w:t xml:space="preserve"> أوجه</w:t>
      </w:r>
      <w:r w:rsidRPr="00B10F09">
        <w:rPr>
          <w:rtl/>
          <w:lang w:val="en-GB"/>
        </w:rPr>
        <w:t xml:space="preserve"> التآزر </w:t>
      </w:r>
      <w:r w:rsidRPr="00B10F09">
        <w:rPr>
          <w:rFonts w:hint="cs"/>
          <w:rtl/>
          <w:lang w:val="en-GB"/>
        </w:rPr>
        <w:t xml:space="preserve">فيما </w:t>
      </w:r>
      <w:r w:rsidRPr="00B10F09">
        <w:rPr>
          <w:rtl/>
          <w:lang w:val="en-GB"/>
        </w:rPr>
        <w:t xml:space="preserve">بين الاتفاقيات المتعلقة بالتنوع البيولوجي واتفاقيات ريو، </w:t>
      </w:r>
      <w:r w:rsidRPr="00B10F09">
        <w:rPr>
          <w:rFonts w:hint="cs"/>
          <w:rtl/>
          <w:lang w:val="en-GB"/>
        </w:rPr>
        <w:t>و</w:t>
      </w:r>
      <w:r w:rsidRPr="00B10F09">
        <w:rPr>
          <w:rFonts w:hint="cs"/>
          <w:i/>
          <w:iCs/>
          <w:rtl/>
          <w:lang w:val="en-GB"/>
        </w:rPr>
        <w:t>إذ يلاحظ</w:t>
      </w:r>
      <w:r w:rsidRPr="00B10F09">
        <w:rPr>
          <w:i/>
          <w:iCs/>
          <w:rtl/>
          <w:lang w:val="en-GB"/>
        </w:rPr>
        <w:t xml:space="preserve"> </w:t>
      </w:r>
      <w:r w:rsidRPr="00B10F09">
        <w:rPr>
          <w:rtl/>
          <w:lang w:val="en-GB"/>
        </w:rPr>
        <w:t xml:space="preserve">التقدم المحرز حتى الآن في هذا الصدد، بما في ذلك أنشطة </w:t>
      </w:r>
      <w:r w:rsidRPr="00B10F09">
        <w:rPr>
          <w:rFonts w:hint="cs"/>
          <w:rtl/>
          <w:lang w:val="en-GB"/>
        </w:rPr>
        <w:t>فريق الاتصال للاتفاقيات المتعلقة</w:t>
      </w:r>
      <w:r w:rsidRPr="00B10F09">
        <w:rPr>
          <w:rtl/>
          <w:lang w:val="en-GB"/>
        </w:rPr>
        <w:t xml:space="preserve"> بالتنوع البيولوجي وفريق الاتصال المشترك </w:t>
      </w:r>
      <w:r w:rsidRPr="00B10F09">
        <w:rPr>
          <w:rFonts w:hint="cs"/>
          <w:rtl/>
          <w:lang w:val="en-GB"/>
        </w:rPr>
        <w:t>ل</w:t>
      </w:r>
      <w:r w:rsidRPr="00B10F09">
        <w:rPr>
          <w:rtl/>
          <w:lang w:val="en-GB"/>
        </w:rPr>
        <w:t xml:space="preserve">اتفاقيات ريو، </w:t>
      </w:r>
      <w:r w:rsidRPr="00B10F09">
        <w:rPr>
          <w:rFonts w:hint="cs"/>
          <w:rtl/>
          <w:lang w:val="en-GB"/>
        </w:rPr>
        <w:t>وكذلك</w:t>
      </w:r>
      <w:r w:rsidRPr="00B10F09">
        <w:rPr>
          <w:rtl/>
          <w:lang w:val="en-GB"/>
        </w:rPr>
        <w:t xml:space="preserve"> المبادرات ذات الصلة مثل </w:t>
      </w:r>
      <w:r w:rsidRPr="00B10F09">
        <w:rPr>
          <w:rFonts w:hint="cs"/>
          <w:rtl/>
          <w:lang w:val="en-GB"/>
        </w:rPr>
        <w:t>وضع</w:t>
      </w:r>
      <w:r w:rsidRPr="00B10F09">
        <w:rPr>
          <w:rtl/>
          <w:lang w:val="en-GB"/>
        </w:rPr>
        <w:t xml:space="preserve"> أداة البيانات والإبلاغ </w:t>
      </w:r>
      <w:r w:rsidRPr="00B10F09">
        <w:rPr>
          <w:rFonts w:hint="cs"/>
          <w:rtl/>
          <w:lang w:val="en-GB"/>
        </w:rPr>
        <w:t>في إطار</w:t>
      </w:r>
      <w:r w:rsidRPr="00B10F09">
        <w:rPr>
          <w:rtl/>
          <w:lang w:val="en-GB"/>
        </w:rPr>
        <w:t xml:space="preserve"> بوابة الأمم المتحدة المشتركة</w:t>
      </w:r>
      <w:r w:rsidRPr="00B10F09">
        <w:t xml:space="preserve"> </w:t>
      </w:r>
      <w:r w:rsidRPr="00B10F09">
        <w:rPr>
          <w:szCs w:val="22"/>
        </w:rPr>
        <w:t>"</w:t>
      </w:r>
      <w:bookmarkStart w:id="176" w:name="hit3"/>
      <w:bookmarkEnd w:id="176"/>
      <w:r w:rsidRPr="00B10F09">
        <w:rPr>
          <w:szCs w:val="22"/>
        </w:rPr>
        <w:t>InforMEA"</w:t>
      </w:r>
      <w:r w:rsidRPr="00B10F09">
        <w:rPr>
          <w:rtl/>
          <w:lang w:val="en-GB"/>
        </w:rPr>
        <w:t>،</w:t>
      </w:r>
    </w:p>
    <w:p w:rsidR="00E02C84" w:rsidRPr="00B10F09" w:rsidRDefault="00E02C84" w:rsidP="00E02C84">
      <w:pPr>
        <w:spacing w:after="100" w:line="204" w:lineRule="auto"/>
        <w:ind w:firstLine="720"/>
        <w:rPr>
          <w:rtl/>
          <w:lang w:val="en-GB"/>
        </w:rPr>
      </w:pPr>
      <w:r w:rsidRPr="00B10F09">
        <w:rPr>
          <w:i/>
          <w:iCs/>
          <w:rtl/>
          <w:lang w:val="en-GB"/>
        </w:rPr>
        <w:t>وإذ ي</w:t>
      </w:r>
      <w:r w:rsidRPr="00B10F09">
        <w:rPr>
          <w:rFonts w:hint="cs"/>
          <w:i/>
          <w:iCs/>
          <w:rtl/>
          <w:lang w:val="en-GB"/>
        </w:rPr>
        <w:t>قرّ</w:t>
      </w:r>
      <w:r w:rsidRPr="00B10F09">
        <w:rPr>
          <w:rtl/>
          <w:lang w:val="en-GB"/>
        </w:rPr>
        <w:t xml:space="preserve"> </w:t>
      </w:r>
      <w:r w:rsidRPr="00B10F09">
        <w:rPr>
          <w:rFonts w:hint="cs"/>
          <w:rtl/>
          <w:lang w:val="en-GB"/>
        </w:rPr>
        <w:t>بالدور المحتمل للإطار العالمي للتنوع البيولوجي</w:t>
      </w:r>
      <w:r w:rsidRPr="00B10F09">
        <w:rPr>
          <w:rtl/>
          <w:lang w:val="en-GB"/>
        </w:rPr>
        <w:t xml:space="preserve"> لما بعد</w:t>
      </w:r>
      <w:r w:rsidRPr="00B10F09">
        <w:rPr>
          <w:rFonts w:hint="cs"/>
          <w:rtl/>
          <w:lang w:val="en-GB"/>
        </w:rPr>
        <w:t xml:space="preserve"> عام</w:t>
      </w:r>
      <w:r w:rsidRPr="00B10F09">
        <w:rPr>
          <w:rtl/>
          <w:lang w:val="en-GB"/>
        </w:rPr>
        <w:t xml:space="preserve"> 2020 في ت</w:t>
      </w:r>
      <w:r w:rsidRPr="00B10F09">
        <w:rPr>
          <w:rFonts w:hint="cs"/>
          <w:rtl/>
          <w:lang w:val="en-GB"/>
        </w:rPr>
        <w:t>يسير</w:t>
      </w:r>
      <w:r w:rsidRPr="00B10F09">
        <w:rPr>
          <w:rtl/>
          <w:lang w:val="en-GB"/>
        </w:rPr>
        <w:t xml:space="preserve"> مواءمة التقارير الوطنية </w:t>
      </w:r>
      <w:r w:rsidRPr="00B10F09">
        <w:rPr>
          <w:rFonts w:hint="cs"/>
          <w:rtl/>
          <w:lang w:val="en-GB"/>
        </w:rPr>
        <w:t xml:space="preserve">بموجب </w:t>
      </w:r>
      <w:r w:rsidRPr="00B10F09">
        <w:rPr>
          <w:rtl/>
          <w:lang w:val="en-GB"/>
        </w:rPr>
        <w:t>الاتفاقية وبروتوكول</w:t>
      </w:r>
      <w:r w:rsidRPr="00B10F09">
        <w:rPr>
          <w:rFonts w:hint="cs"/>
          <w:rtl/>
          <w:lang w:val="en-GB"/>
        </w:rPr>
        <w:t>ي</w:t>
      </w:r>
      <w:r w:rsidRPr="00B10F09">
        <w:rPr>
          <w:rtl/>
          <w:lang w:val="en-GB"/>
        </w:rPr>
        <w:t>ها،</w:t>
      </w:r>
    </w:p>
    <w:p w:rsidR="00E02C84" w:rsidRPr="00B10F09" w:rsidRDefault="00E02C84" w:rsidP="00E02C84">
      <w:pPr>
        <w:spacing w:after="100" w:line="204" w:lineRule="auto"/>
        <w:ind w:firstLine="720"/>
        <w:rPr>
          <w:rtl/>
          <w:lang w:val="en-GB"/>
        </w:rPr>
      </w:pPr>
      <w:r w:rsidRPr="00B10F09">
        <w:rPr>
          <w:i/>
          <w:iCs/>
          <w:rtl/>
          <w:lang w:val="en-GB"/>
        </w:rPr>
        <w:t>وإذ يقر</w:t>
      </w:r>
      <w:r w:rsidRPr="00B10F09">
        <w:rPr>
          <w:rFonts w:hint="cs"/>
          <w:i/>
          <w:iCs/>
          <w:rtl/>
          <w:lang w:val="en-GB"/>
        </w:rPr>
        <w:t>ّ</w:t>
      </w:r>
      <w:r w:rsidRPr="00B10F09">
        <w:rPr>
          <w:i/>
          <w:iCs/>
          <w:rtl/>
          <w:lang w:val="en-GB"/>
        </w:rPr>
        <w:t xml:space="preserve"> أيضا</w:t>
      </w:r>
      <w:r w:rsidRPr="00B10F09">
        <w:rPr>
          <w:rFonts w:hint="cs"/>
          <w:i/>
          <w:iCs/>
          <w:rtl/>
          <w:lang w:val="en-GB"/>
        </w:rPr>
        <w:t>ً</w:t>
      </w:r>
      <w:r w:rsidRPr="00B10F09">
        <w:rPr>
          <w:rtl/>
          <w:lang w:val="en-GB"/>
        </w:rPr>
        <w:t xml:space="preserve"> بأن الاتفاقية </w:t>
      </w:r>
      <w:r w:rsidRPr="00B10F09">
        <w:rPr>
          <w:rFonts w:hint="cs"/>
          <w:rtl/>
          <w:lang w:val="en-GB"/>
        </w:rPr>
        <w:t>وكل بروتوكول من بروتوكوليها هي</w:t>
      </w:r>
      <w:r w:rsidRPr="00B10F09">
        <w:rPr>
          <w:rtl/>
          <w:lang w:val="en-GB"/>
        </w:rPr>
        <w:t xml:space="preserve"> صكوك قانونية </w:t>
      </w:r>
      <w:r w:rsidRPr="00B10F09">
        <w:rPr>
          <w:rFonts w:hint="cs"/>
          <w:rtl/>
          <w:lang w:val="en-GB"/>
        </w:rPr>
        <w:t>منفصلة تنطوي على</w:t>
      </w:r>
      <w:r w:rsidRPr="00B10F09">
        <w:rPr>
          <w:rtl/>
          <w:lang w:val="en-GB"/>
        </w:rPr>
        <w:t xml:space="preserve"> التزامات محددة </w:t>
      </w:r>
      <w:r w:rsidRPr="00B10F09">
        <w:rPr>
          <w:rFonts w:hint="cs"/>
          <w:rtl/>
          <w:lang w:val="en-GB"/>
        </w:rPr>
        <w:t>على</w:t>
      </w:r>
      <w:r w:rsidRPr="00B10F09">
        <w:rPr>
          <w:rtl/>
          <w:lang w:val="en-GB"/>
        </w:rPr>
        <w:t xml:space="preserve"> الأطراف </w:t>
      </w:r>
      <w:r w:rsidRPr="00B10F09">
        <w:rPr>
          <w:rFonts w:hint="cs"/>
          <w:rtl/>
          <w:lang w:val="en-GB"/>
        </w:rPr>
        <w:t>فيها</w:t>
      </w:r>
      <w:r w:rsidRPr="00B10F09">
        <w:rPr>
          <w:rtl/>
          <w:lang w:val="en-GB"/>
        </w:rPr>
        <w:t>، و</w:t>
      </w:r>
      <w:r w:rsidRPr="00B10F09">
        <w:rPr>
          <w:rFonts w:hint="cs"/>
          <w:rtl/>
          <w:lang w:val="en-GB"/>
        </w:rPr>
        <w:t>ب</w:t>
      </w:r>
      <w:r w:rsidRPr="00B10F09">
        <w:rPr>
          <w:rtl/>
          <w:lang w:val="en-GB"/>
        </w:rPr>
        <w:t xml:space="preserve">أن المعلومات المقدمة في نماذج الإبلاغ الوطنية </w:t>
      </w:r>
      <w:r w:rsidRPr="00B10F09">
        <w:rPr>
          <w:rFonts w:hint="cs"/>
          <w:rtl/>
          <w:lang w:val="en-GB"/>
        </w:rPr>
        <w:t>تستند إلى تركيز وأهداف استراتيجيات التنفيذ المعتمدة بموجب كل صك في وقت معين،</w:t>
      </w:r>
    </w:p>
    <w:p w:rsidR="00E02C84" w:rsidRPr="00B10F09" w:rsidRDefault="00E02C84" w:rsidP="00E02C84">
      <w:pPr>
        <w:spacing w:after="100" w:line="204" w:lineRule="auto"/>
        <w:ind w:firstLine="720"/>
        <w:rPr>
          <w:rtl/>
          <w:lang w:val="en-GB"/>
        </w:rPr>
      </w:pPr>
      <w:r w:rsidRPr="00B10F09">
        <w:rPr>
          <w:i/>
          <w:iCs/>
          <w:rtl/>
          <w:lang w:val="en-GB"/>
        </w:rPr>
        <w:t>وإذ يلاحظ</w:t>
      </w:r>
      <w:r w:rsidRPr="00B10F09">
        <w:rPr>
          <w:rtl/>
          <w:lang w:val="en-GB"/>
        </w:rPr>
        <w:t xml:space="preserve"> استمرار الحاجة </w:t>
      </w:r>
      <w:r w:rsidRPr="00B10F09">
        <w:rPr>
          <w:rFonts w:hint="cs"/>
          <w:rtl/>
          <w:lang w:val="en-GB"/>
        </w:rPr>
        <w:t>لب</w:t>
      </w:r>
      <w:r w:rsidRPr="00B10F09">
        <w:rPr>
          <w:rtl/>
          <w:lang w:val="en-GB"/>
        </w:rPr>
        <w:t>ناء القدرات و</w:t>
      </w:r>
      <w:r w:rsidRPr="00B10F09">
        <w:rPr>
          <w:rFonts w:hint="cs"/>
          <w:rtl/>
          <w:lang w:val="en-GB"/>
        </w:rPr>
        <w:t xml:space="preserve">تقديم </w:t>
      </w:r>
      <w:r w:rsidRPr="00B10F09">
        <w:rPr>
          <w:rtl/>
          <w:lang w:val="en-GB"/>
        </w:rPr>
        <w:t>الدعم المالي للبلدان النامية، ولا سيما أقل البلدان نموا</w:t>
      </w:r>
      <w:r w:rsidRPr="00B10F09">
        <w:rPr>
          <w:rFonts w:hint="cs"/>
          <w:rtl/>
          <w:lang w:val="en-GB"/>
        </w:rPr>
        <w:t>ً</w:t>
      </w:r>
      <w:r w:rsidRPr="00B10F09">
        <w:rPr>
          <w:rtl/>
          <w:lang w:val="en-GB"/>
        </w:rPr>
        <w:t xml:space="preserve"> والدول الجزرية الصغيرة النامية </w:t>
      </w:r>
      <w:r w:rsidRPr="00B10F09">
        <w:rPr>
          <w:rFonts w:hint="cs"/>
          <w:rtl/>
          <w:lang w:val="en-GB"/>
        </w:rPr>
        <w:t>و</w:t>
      </w:r>
      <w:r w:rsidRPr="00B10F09">
        <w:rPr>
          <w:rtl/>
          <w:lang w:val="en-GB"/>
        </w:rPr>
        <w:t xml:space="preserve">البلدان التي تمر اقتصاداتها بمرحلة انتقالية، </w:t>
      </w:r>
      <w:r w:rsidRPr="00B10F09">
        <w:rPr>
          <w:rFonts w:hint="cs"/>
          <w:rtl/>
          <w:lang w:val="en-GB"/>
        </w:rPr>
        <w:t>خلال دورات الإبلاغ المقبلة</w:t>
      </w:r>
      <w:r w:rsidRPr="00B10F09">
        <w:rPr>
          <w:rtl/>
          <w:lang w:val="en-GB"/>
        </w:rPr>
        <w:t xml:space="preserve"> </w:t>
      </w:r>
      <w:r w:rsidRPr="00B10F09">
        <w:rPr>
          <w:rFonts w:hint="cs"/>
          <w:rtl/>
          <w:lang w:val="en-GB"/>
        </w:rPr>
        <w:t>بموجب</w:t>
      </w:r>
      <w:r w:rsidRPr="00B10F09">
        <w:rPr>
          <w:rtl/>
          <w:lang w:val="en-GB"/>
        </w:rPr>
        <w:t xml:space="preserve"> الاتفاقية وبروتوكول</w:t>
      </w:r>
      <w:r w:rsidRPr="00B10F09">
        <w:rPr>
          <w:rFonts w:hint="cs"/>
          <w:rtl/>
          <w:lang w:val="en-GB"/>
        </w:rPr>
        <w:t>يها</w:t>
      </w:r>
      <w:r w:rsidRPr="00B10F09">
        <w:rPr>
          <w:rtl/>
          <w:lang w:val="en-GB"/>
        </w:rPr>
        <w:t>؛</w:t>
      </w:r>
    </w:p>
    <w:p w:rsidR="00E02C84" w:rsidRPr="00B10F09" w:rsidRDefault="00E02C84" w:rsidP="00E02C84">
      <w:pPr>
        <w:spacing w:after="100" w:line="204" w:lineRule="auto"/>
        <w:ind w:firstLine="720"/>
        <w:rPr>
          <w:rtl/>
          <w:lang w:val="en-GB"/>
        </w:rPr>
      </w:pPr>
      <w:r w:rsidRPr="00B10F09">
        <w:rPr>
          <w:rFonts w:hint="cs"/>
          <w:rtl/>
          <w:lang w:val="en-GB"/>
        </w:rPr>
        <w:t>1-</w:t>
      </w:r>
      <w:r w:rsidRPr="00B10F09">
        <w:rPr>
          <w:rFonts w:hint="cs"/>
          <w:rtl/>
          <w:lang w:val="en-GB"/>
        </w:rPr>
        <w:tab/>
      </w:r>
      <w:r w:rsidRPr="00B10F09">
        <w:rPr>
          <w:i/>
          <w:iCs/>
          <w:rtl/>
          <w:lang w:val="en-GB"/>
        </w:rPr>
        <w:t>يقرر</w:t>
      </w:r>
      <w:r w:rsidRPr="00B10F09">
        <w:rPr>
          <w:rFonts w:hint="cs"/>
          <w:rtl/>
        </w:rPr>
        <w:t xml:space="preserve"> الشروع في تحقيق تزامن بين دورات الإبلاغ للاتفاقية وبروتوكول قرطاجنة وبروتوكول ناغويا في عام 2023، و</w:t>
      </w:r>
      <w:r w:rsidRPr="00B10F09">
        <w:rPr>
          <w:rFonts w:hint="cs"/>
          <w:i/>
          <w:iCs/>
          <w:rtl/>
        </w:rPr>
        <w:t>يدعو</w:t>
      </w:r>
      <w:r w:rsidRPr="00B10F09">
        <w:rPr>
          <w:rFonts w:hint="cs"/>
          <w:rtl/>
        </w:rPr>
        <w:t xml:space="preserve"> مؤتمر الأطراف العامل كاجتماع للأطراف في بروتوكول قرطاجنة و</w:t>
      </w:r>
      <w:r w:rsidRPr="00B10F09">
        <w:rPr>
          <w:rFonts w:hint="cs"/>
          <w:sz w:val="20"/>
          <w:rtl/>
        </w:rPr>
        <w:t>مؤتمر الأطراف العامل كاجتماع للأطراف في بروتوكول ناغويا إلى اتخاذ التدابير التمهيدية اللازمة لتحقيق هذا التزامن بين نُهج ودورات الإبلاغ؛</w:t>
      </w:r>
    </w:p>
    <w:p w:rsidR="00E02C84" w:rsidRPr="00B10F09" w:rsidRDefault="00E02C84" w:rsidP="00E02C84">
      <w:pPr>
        <w:spacing w:after="100" w:line="204" w:lineRule="auto"/>
        <w:ind w:firstLine="720"/>
        <w:rPr>
          <w:rtl/>
          <w:lang w:val="en-GB"/>
        </w:rPr>
      </w:pPr>
      <w:r w:rsidRPr="00B10F09">
        <w:rPr>
          <w:rFonts w:hint="cs"/>
          <w:rtl/>
          <w:lang w:val="en-GB"/>
        </w:rPr>
        <w:t>2-</w:t>
      </w:r>
      <w:r w:rsidRPr="00B10F09">
        <w:rPr>
          <w:rtl/>
          <w:lang w:val="en-GB"/>
        </w:rPr>
        <w:tab/>
      </w:r>
      <w:r w:rsidRPr="00B10F09">
        <w:rPr>
          <w:i/>
          <w:iCs/>
          <w:rtl/>
          <w:lang w:val="en-GB"/>
        </w:rPr>
        <w:t>يشجع</w:t>
      </w:r>
      <w:r w:rsidRPr="00B10F09">
        <w:rPr>
          <w:rtl/>
          <w:lang w:val="en-GB"/>
        </w:rPr>
        <w:t xml:space="preserve"> الأطراف على استكشاف أوجه التآزر الم</w:t>
      </w:r>
      <w:r w:rsidRPr="00B10F09">
        <w:rPr>
          <w:rFonts w:hint="cs"/>
          <w:rtl/>
          <w:lang w:val="en-GB"/>
        </w:rPr>
        <w:t>مكن</w:t>
      </w:r>
      <w:r w:rsidRPr="00B10F09">
        <w:rPr>
          <w:rtl/>
          <w:lang w:val="en-GB"/>
        </w:rPr>
        <w:t>ة على ال</w:t>
      </w:r>
      <w:r w:rsidRPr="00B10F09">
        <w:rPr>
          <w:rFonts w:hint="cs"/>
          <w:rtl/>
          <w:lang w:val="en-GB"/>
        </w:rPr>
        <w:t>صعيد</w:t>
      </w:r>
      <w:r w:rsidRPr="00B10F09">
        <w:rPr>
          <w:rtl/>
          <w:lang w:val="en-GB"/>
        </w:rPr>
        <w:t xml:space="preserve"> الوطني، </w:t>
      </w:r>
      <w:r w:rsidRPr="00B10F09">
        <w:rPr>
          <w:rFonts w:hint="cs"/>
          <w:rtl/>
          <w:lang w:val="en-GB"/>
        </w:rPr>
        <w:t>بإشراك</w:t>
      </w:r>
      <w:r w:rsidRPr="00B10F09">
        <w:rPr>
          <w:rtl/>
          <w:lang w:val="en-GB"/>
        </w:rPr>
        <w:t xml:space="preserve"> جميع عمليات الإبلاغ </w:t>
      </w:r>
      <w:r w:rsidRPr="00B10F09">
        <w:rPr>
          <w:rFonts w:hint="cs"/>
          <w:rtl/>
          <w:lang w:val="en-GB"/>
        </w:rPr>
        <w:t>المتصلة</w:t>
      </w:r>
      <w:r w:rsidRPr="00B10F09">
        <w:rPr>
          <w:rtl/>
          <w:lang w:val="en-GB"/>
        </w:rPr>
        <w:t xml:space="preserve"> بالتنوع البيولوجي</w:t>
      </w:r>
      <w:r>
        <w:rPr>
          <w:rFonts w:hint="cs"/>
          <w:rtl/>
          <w:lang w:val="en-GB"/>
        </w:rPr>
        <w:t xml:space="preserve"> ذات الصلة</w:t>
      </w:r>
      <w:r w:rsidRPr="00B10F09">
        <w:rPr>
          <w:rtl/>
          <w:lang w:val="en-GB"/>
        </w:rPr>
        <w:t xml:space="preserve">، من أجل تعزيز </w:t>
      </w:r>
      <w:r w:rsidRPr="00B10F09">
        <w:rPr>
          <w:rFonts w:hint="cs"/>
          <w:rtl/>
          <w:lang w:val="en-GB"/>
        </w:rPr>
        <w:t>مواءمة</w:t>
      </w:r>
      <w:r w:rsidRPr="00B10F09">
        <w:rPr>
          <w:rtl/>
          <w:lang w:val="en-GB"/>
        </w:rPr>
        <w:t xml:space="preserve"> المعلومات والبيانات واتساق</w:t>
      </w:r>
      <w:r w:rsidRPr="00B10F09">
        <w:rPr>
          <w:rFonts w:hint="cs"/>
          <w:rtl/>
          <w:lang w:val="en-GB"/>
        </w:rPr>
        <w:t>ها</w:t>
      </w:r>
      <w:r w:rsidRPr="00B10F09">
        <w:rPr>
          <w:rtl/>
          <w:lang w:val="en-GB"/>
        </w:rPr>
        <w:t xml:space="preserve"> في التقارير الوطنية؛</w:t>
      </w:r>
    </w:p>
    <w:p w:rsidR="00E02C84" w:rsidRPr="00B10F09" w:rsidRDefault="00E02C84" w:rsidP="00E02C84">
      <w:pPr>
        <w:spacing w:after="100" w:line="204" w:lineRule="auto"/>
        <w:ind w:firstLine="720"/>
        <w:rPr>
          <w:rtl/>
          <w:lang w:val="en-GB"/>
        </w:rPr>
      </w:pPr>
      <w:r w:rsidRPr="00B10F09">
        <w:rPr>
          <w:rFonts w:hint="cs"/>
          <w:rtl/>
          <w:lang w:val="en-GB"/>
        </w:rPr>
        <w:t>3-</w:t>
      </w:r>
      <w:r w:rsidRPr="00B10F09">
        <w:rPr>
          <w:rtl/>
          <w:lang w:val="en-GB"/>
        </w:rPr>
        <w:tab/>
      </w:r>
      <w:r w:rsidRPr="00B10F09">
        <w:rPr>
          <w:rFonts w:hint="cs"/>
          <w:i/>
          <w:iCs/>
          <w:rtl/>
          <w:lang w:val="en-GB"/>
        </w:rPr>
        <w:t>يطلب</w:t>
      </w:r>
      <w:r w:rsidRPr="00B10F09">
        <w:rPr>
          <w:rFonts w:hint="cs"/>
          <w:rtl/>
          <w:lang w:val="en-GB"/>
        </w:rPr>
        <w:t xml:space="preserve"> </w:t>
      </w:r>
      <w:r w:rsidRPr="00B10F09">
        <w:rPr>
          <w:rFonts w:hint="cs"/>
          <w:i/>
          <w:iCs/>
          <w:rtl/>
          <w:lang w:val="en-GB"/>
        </w:rPr>
        <w:t>إلى</w:t>
      </w:r>
      <w:r w:rsidRPr="00B10F09">
        <w:rPr>
          <w:rFonts w:hint="cs"/>
          <w:rtl/>
          <w:lang w:val="en-GB"/>
        </w:rPr>
        <w:t xml:space="preserve"> الأمينة التنفيذية أن تضطلع بما يلي:</w:t>
      </w:r>
    </w:p>
    <w:p w:rsidR="00E02C84" w:rsidRPr="00B10F09" w:rsidRDefault="00E02C84" w:rsidP="00E02C84">
      <w:pPr>
        <w:spacing w:after="100" w:line="204" w:lineRule="auto"/>
        <w:ind w:firstLine="720"/>
        <w:rPr>
          <w:rtl/>
          <w:lang w:val="en-GB"/>
        </w:rPr>
      </w:pPr>
      <w:r w:rsidRPr="00B10F09">
        <w:rPr>
          <w:rFonts w:hint="cs"/>
          <w:rtl/>
          <w:lang w:val="en-GB"/>
        </w:rPr>
        <w:t>(أ)</w:t>
      </w:r>
      <w:r w:rsidRPr="00B10F09">
        <w:rPr>
          <w:rtl/>
          <w:lang w:val="en-GB"/>
        </w:rPr>
        <w:tab/>
        <w:t>تقي</w:t>
      </w:r>
      <w:r w:rsidRPr="00B10F09">
        <w:rPr>
          <w:rFonts w:hint="cs"/>
          <w:rtl/>
          <w:lang w:val="en-GB"/>
        </w:rPr>
        <w:t>ي</w:t>
      </w:r>
      <w:r w:rsidRPr="00B10F09">
        <w:rPr>
          <w:rtl/>
          <w:lang w:val="en-GB"/>
        </w:rPr>
        <w:t xml:space="preserve">م الآثار المترتبة </w:t>
      </w:r>
      <w:r w:rsidRPr="00B10F09">
        <w:rPr>
          <w:rFonts w:hint="cs"/>
          <w:rtl/>
          <w:lang w:val="en-GB"/>
        </w:rPr>
        <w:t>من حيث</w:t>
      </w:r>
      <w:r w:rsidRPr="00B10F09">
        <w:rPr>
          <w:rtl/>
          <w:lang w:val="en-GB"/>
        </w:rPr>
        <w:t xml:space="preserve"> </w:t>
      </w:r>
      <w:r w:rsidRPr="00B10F09">
        <w:rPr>
          <w:rFonts w:hint="cs"/>
          <w:rtl/>
          <w:lang w:val="en-GB"/>
        </w:rPr>
        <w:t>ال</w:t>
      </w:r>
      <w:r w:rsidRPr="00B10F09">
        <w:rPr>
          <w:rtl/>
          <w:lang w:val="en-GB"/>
        </w:rPr>
        <w:t xml:space="preserve">تكاليف </w:t>
      </w:r>
      <w:r w:rsidRPr="00B10F09">
        <w:rPr>
          <w:rFonts w:hint="cs"/>
          <w:rtl/>
          <w:lang w:val="en-GB"/>
        </w:rPr>
        <w:t>عن تزامن دورات الإبلاغ</w:t>
      </w:r>
      <w:r w:rsidRPr="00B10F09">
        <w:rPr>
          <w:rtl/>
          <w:lang w:val="en-GB"/>
        </w:rPr>
        <w:t xml:space="preserve"> للاتفاقية وبروتوكول قرطاجنة وبروتوكول ناغويا ابتداء</w:t>
      </w:r>
      <w:r w:rsidRPr="00B10F09">
        <w:rPr>
          <w:rFonts w:hint="cs"/>
          <w:rtl/>
          <w:lang w:val="en-GB"/>
        </w:rPr>
        <w:t>ً</w:t>
      </w:r>
      <w:r w:rsidRPr="00B10F09">
        <w:rPr>
          <w:rtl/>
          <w:lang w:val="en-GB"/>
        </w:rPr>
        <w:t xml:space="preserve"> من عام 2023 </w:t>
      </w:r>
      <w:r w:rsidRPr="00B10F09">
        <w:rPr>
          <w:rFonts w:hint="cs"/>
          <w:rtl/>
          <w:lang w:val="en-GB"/>
        </w:rPr>
        <w:t>من أجل</w:t>
      </w:r>
      <w:r w:rsidRPr="00B10F09">
        <w:rPr>
          <w:rtl/>
          <w:lang w:val="en-GB"/>
        </w:rPr>
        <w:t xml:space="preserve"> </w:t>
      </w:r>
      <w:r w:rsidRPr="00B10F09">
        <w:rPr>
          <w:rFonts w:hint="cs"/>
          <w:rtl/>
          <w:lang w:val="en-GB"/>
        </w:rPr>
        <w:t>توجيه</w:t>
      </w:r>
      <w:r w:rsidRPr="00B10F09">
        <w:rPr>
          <w:rtl/>
          <w:lang w:val="en-GB"/>
        </w:rPr>
        <w:t xml:space="preserve"> مرفق البيئة العالمية في</w:t>
      </w:r>
      <w:r w:rsidRPr="00B10F09">
        <w:rPr>
          <w:rFonts w:hint="cs"/>
          <w:rtl/>
          <w:lang w:val="en-GB"/>
        </w:rPr>
        <w:t xml:space="preserve"> سياق</w:t>
      </w:r>
      <w:r w:rsidRPr="00B10F09">
        <w:rPr>
          <w:rtl/>
          <w:lang w:val="en-GB"/>
        </w:rPr>
        <w:t xml:space="preserve"> إعداد تجديد موارد</w:t>
      </w:r>
      <w:r w:rsidRPr="00B10F09">
        <w:rPr>
          <w:rFonts w:hint="cs"/>
          <w:rtl/>
          <w:lang w:val="en-GB"/>
        </w:rPr>
        <w:t xml:space="preserve"> الصندوق الاستئماني ل</w:t>
      </w:r>
      <w:r w:rsidRPr="00B10F09">
        <w:rPr>
          <w:rtl/>
          <w:lang w:val="en-GB"/>
        </w:rPr>
        <w:t>لدورة 2022-2026؛</w:t>
      </w:r>
    </w:p>
    <w:p w:rsidR="00E02C84" w:rsidRPr="00B10F09" w:rsidRDefault="00E02C84" w:rsidP="00E02C84">
      <w:pPr>
        <w:spacing w:after="100" w:line="204" w:lineRule="auto"/>
        <w:ind w:firstLine="720"/>
        <w:rPr>
          <w:rtl/>
          <w:lang w:val="en-GB"/>
        </w:rPr>
      </w:pPr>
      <w:r w:rsidRPr="00B10F09">
        <w:rPr>
          <w:rFonts w:hint="cs"/>
          <w:rtl/>
          <w:lang w:val="en-GB"/>
        </w:rPr>
        <w:t>(ب)</w:t>
      </w:r>
      <w:r w:rsidRPr="00B10F09">
        <w:rPr>
          <w:rtl/>
          <w:lang w:val="en-GB"/>
        </w:rPr>
        <w:tab/>
      </w:r>
      <w:r w:rsidRPr="00B10F09">
        <w:rPr>
          <w:rFonts w:hint="cs"/>
          <w:rtl/>
          <w:lang w:val="en-GB"/>
        </w:rPr>
        <w:t>مواصلة</w:t>
      </w:r>
      <w:r w:rsidRPr="00B10F09">
        <w:rPr>
          <w:rtl/>
          <w:lang w:val="en-GB"/>
        </w:rPr>
        <w:t xml:space="preserve"> بذل الجهود </w:t>
      </w:r>
      <w:r w:rsidRPr="00B10F09">
        <w:rPr>
          <w:rFonts w:hint="cs"/>
          <w:rtl/>
          <w:lang w:val="en-GB"/>
        </w:rPr>
        <w:t xml:space="preserve">الرامية إلى </w:t>
      </w:r>
      <w:r w:rsidRPr="00B10F09">
        <w:rPr>
          <w:rtl/>
          <w:lang w:val="en-GB"/>
        </w:rPr>
        <w:t xml:space="preserve">تحسين </w:t>
      </w:r>
      <w:r w:rsidRPr="00B10F09">
        <w:rPr>
          <w:rFonts w:hint="cs"/>
          <w:rtl/>
          <w:lang w:val="en-GB"/>
        </w:rPr>
        <w:t>وتنسيق</w:t>
      </w:r>
      <w:r w:rsidRPr="00B10F09">
        <w:rPr>
          <w:rtl/>
          <w:lang w:val="en-GB"/>
        </w:rPr>
        <w:t xml:space="preserve"> </w:t>
      </w:r>
      <w:r w:rsidRPr="00B10F09">
        <w:rPr>
          <w:rFonts w:hint="cs"/>
          <w:rtl/>
          <w:lang w:val="en-GB"/>
        </w:rPr>
        <w:t>ال</w:t>
      </w:r>
      <w:r w:rsidRPr="00B10F09">
        <w:rPr>
          <w:rtl/>
          <w:lang w:val="en-GB"/>
        </w:rPr>
        <w:t>واجهة ا</w:t>
      </w:r>
      <w:r w:rsidRPr="00B10F09">
        <w:rPr>
          <w:rFonts w:hint="cs"/>
          <w:rtl/>
          <w:lang w:val="en-GB"/>
        </w:rPr>
        <w:t>لبينية ل</w:t>
      </w:r>
      <w:r w:rsidRPr="00B10F09">
        <w:rPr>
          <w:rtl/>
          <w:lang w:val="en-GB"/>
        </w:rPr>
        <w:t>لمستخدم وتصميم التقارير الوطنية، بما في ذلك أداة الإبلاغ ع</w:t>
      </w:r>
      <w:r w:rsidRPr="00B10F09">
        <w:rPr>
          <w:rFonts w:hint="cs"/>
          <w:rtl/>
          <w:lang w:val="en-GB"/>
        </w:rPr>
        <w:t>بر شبكة</w:t>
      </w:r>
      <w:r w:rsidRPr="00B10F09">
        <w:rPr>
          <w:rtl/>
          <w:lang w:val="en-GB"/>
        </w:rPr>
        <w:t xml:space="preserve"> الإنترنت، </w:t>
      </w:r>
      <w:r w:rsidRPr="00B10F09">
        <w:rPr>
          <w:rFonts w:hint="cs"/>
          <w:rtl/>
          <w:lang w:val="en-GB"/>
        </w:rPr>
        <w:t>بموجب</w:t>
      </w:r>
      <w:r w:rsidRPr="00B10F09">
        <w:rPr>
          <w:rtl/>
          <w:lang w:val="en-GB"/>
        </w:rPr>
        <w:t xml:space="preserve"> الاتفاقية وبروتوكول</w:t>
      </w:r>
      <w:r w:rsidRPr="00B10F09">
        <w:rPr>
          <w:rFonts w:hint="cs"/>
          <w:rtl/>
          <w:lang w:val="en-GB"/>
        </w:rPr>
        <w:t>ي</w:t>
      </w:r>
      <w:r w:rsidRPr="00B10F09">
        <w:rPr>
          <w:rtl/>
          <w:lang w:val="en-GB"/>
        </w:rPr>
        <w:t>ها، وتقديم تقرير</w:t>
      </w:r>
      <w:r w:rsidRPr="00B10F09">
        <w:rPr>
          <w:rFonts w:hint="cs"/>
          <w:rtl/>
          <w:lang w:val="en-GB"/>
        </w:rPr>
        <w:t xml:space="preserve"> عن التقدم المحرز</w:t>
      </w:r>
      <w:r w:rsidRPr="00B10F09">
        <w:rPr>
          <w:rtl/>
          <w:lang w:val="en-GB"/>
        </w:rPr>
        <w:t xml:space="preserve"> إلى الهيئة الفرعية للتنفيذ في اجتماعها الثالث؛</w:t>
      </w:r>
    </w:p>
    <w:p w:rsidR="00E02C84" w:rsidRPr="00B10F09" w:rsidRDefault="00E02C84" w:rsidP="00E02C84">
      <w:pPr>
        <w:spacing w:after="100" w:line="204" w:lineRule="auto"/>
        <w:ind w:firstLine="720"/>
        <w:rPr>
          <w:rtl/>
          <w:lang w:val="en-GB"/>
        </w:rPr>
      </w:pPr>
      <w:r w:rsidRPr="00B10F09">
        <w:rPr>
          <w:rFonts w:hint="cs"/>
          <w:rtl/>
          <w:lang w:val="en-GB"/>
        </w:rPr>
        <w:t>(</w:t>
      </w:r>
      <w:r w:rsidRPr="00B10F09">
        <w:rPr>
          <w:rFonts w:hint="cs"/>
          <w:u w:val="single"/>
          <w:rtl/>
          <w:lang w:val="en-GB"/>
        </w:rPr>
        <w:t>ج</w:t>
      </w:r>
      <w:r w:rsidRPr="00B10F09">
        <w:rPr>
          <w:rFonts w:hint="cs"/>
          <w:rtl/>
          <w:lang w:val="en-GB"/>
        </w:rPr>
        <w:t>)</w:t>
      </w:r>
      <w:r w:rsidRPr="00B10F09">
        <w:rPr>
          <w:rtl/>
          <w:lang w:val="en-GB"/>
        </w:rPr>
        <w:tab/>
      </w:r>
      <w:r w:rsidRPr="00B10F09">
        <w:rPr>
          <w:rFonts w:hint="cs"/>
          <w:rtl/>
          <w:lang w:val="en-GB"/>
        </w:rPr>
        <w:t>الاستفادة من</w:t>
      </w:r>
      <w:r w:rsidRPr="00B10F09">
        <w:rPr>
          <w:rtl/>
          <w:lang w:val="en-GB"/>
        </w:rPr>
        <w:t xml:space="preserve"> الخبرات والدروس الم</w:t>
      </w:r>
      <w:r w:rsidRPr="00B10F09">
        <w:rPr>
          <w:rFonts w:hint="cs"/>
          <w:rtl/>
          <w:lang w:val="en-GB"/>
        </w:rPr>
        <w:t>ستفادة</w:t>
      </w:r>
      <w:r w:rsidRPr="00B10F09">
        <w:rPr>
          <w:rtl/>
          <w:lang w:val="en-GB"/>
        </w:rPr>
        <w:t xml:space="preserve"> من أحدث </w:t>
      </w:r>
      <w:r w:rsidRPr="00B10F09">
        <w:rPr>
          <w:rFonts w:hint="cs"/>
          <w:rtl/>
          <w:lang w:val="en-GB"/>
        </w:rPr>
        <w:t>ال</w:t>
      </w:r>
      <w:r w:rsidRPr="00B10F09">
        <w:rPr>
          <w:rtl/>
          <w:lang w:val="en-GB"/>
        </w:rPr>
        <w:t>تقارير</w:t>
      </w:r>
      <w:r w:rsidRPr="00B10F09">
        <w:rPr>
          <w:rFonts w:hint="cs"/>
          <w:rtl/>
          <w:lang w:val="en-GB"/>
        </w:rPr>
        <w:t xml:space="preserve"> التي قدمتها</w:t>
      </w:r>
      <w:r w:rsidRPr="00B10F09">
        <w:rPr>
          <w:rtl/>
          <w:lang w:val="en-GB"/>
        </w:rPr>
        <w:t xml:space="preserve"> الأطراف في الاتفاقية و</w:t>
      </w:r>
      <w:r w:rsidRPr="00B10F09">
        <w:rPr>
          <w:rFonts w:hint="cs"/>
          <w:rtl/>
          <w:lang w:val="en-GB"/>
        </w:rPr>
        <w:t xml:space="preserve">في </w:t>
      </w:r>
      <w:r w:rsidRPr="00B10F09">
        <w:rPr>
          <w:rtl/>
          <w:lang w:val="en-GB"/>
        </w:rPr>
        <w:t xml:space="preserve">بروتوكولي قرطاجنة وناغويا، ولا سيما فيما يتعلق بتيسير </w:t>
      </w:r>
      <w:r w:rsidRPr="00B10F09">
        <w:rPr>
          <w:rFonts w:hint="cs"/>
          <w:rtl/>
          <w:lang w:val="en-GB"/>
        </w:rPr>
        <w:t>مواصلة</w:t>
      </w:r>
      <w:r w:rsidRPr="00B10F09">
        <w:rPr>
          <w:rtl/>
          <w:lang w:val="en-GB"/>
        </w:rPr>
        <w:t xml:space="preserve"> </w:t>
      </w:r>
      <w:r w:rsidRPr="00B10F09">
        <w:rPr>
          <w:rFonts w:hint="cs"/>
          <w:rtl/>
          <w:lang w:val="en-GB"/>
        </w:rPr>
        <w:t>مواءمة</w:t>
      </w:r>
      <w:r w:rsidRPr="00B10F09">
        <w:rPr>
          <w:rtl/>
          <w:lang w:val="en-GB"/>
        </w:rPr>
        <w:t xml:space="preserve"> عمليات الإبلاغ؛</w:t>
      </w:r>
    </w:p>
    <w:p w:rsidR="00E02C84" w:rsidRPr="00B10F09" w:rsidRDefault="00E02C84" w:rsidP="00E02C84">
      <w:pPr>
        <w:spacing w:after="100" w:line="204" w:lineRule="auto"/>
        <w:ind w:firstLine="720"/>
        <w:rPr>
          <w:rtl/>
          <w:lang w:val="en-GB"/>
        </w:rPr>
      </w:pPr>
      <w:r w:rsidRPr="00DA4704">
        <w:rPr>
          <w:rFonts w:hint="cs"/>
          <w:rtl/>
          <w:lang w:val="en-GB"/>
        </w:rPr>
        <w:t>(د)</w:t>
      </w:r>
      <w:r w:rsidRPr="00B10F09">
        <w:rPr>
          <w:rtl/>
          <w:lang w:val="en-GB"/>
        </w:rPr>
        <w:tab/>
      </w:r>
      <w:r w:rsidRPr="00B10F09">
        <w:rPr>
          <w:rFonts w:hint="cs"/>
          <w:rtl/>
          <w:lang w:val="en-GB"/>
        </w:rPr>
        <w:t xml:space="preserve">تحديد </w:t>
      </w:r>
      <w:r w:rsidRPr="00B10F09">
        <w:rPr>
          <w:rtl/>
          <w:lang w:val="en-GB"/>
        </w:rPr>
        <w:t>أي</w:t>
      </w:r>
      <w:r w:rsidRPr="00B10F09">
        <w:rPr>
          <w:rFonts w:hint="cs"/>
          <w:rtl/>
          <w:lang w:val="en-GB"/>
        </w:rPr>
        <w:t>ة</w:t>
      </w:r>
      <w:r w:rsidRPr="00B10F09">
        <w:rPr>
          <w:rtl/>
          <w:lang w:val="en-GB"/>
        </w:rPr>
        <w:t xml:space="preserve"> آثار وخيارات </w:t>
      </w:r>
      <w:r w:rsidRPr="00B10F09">
        <w:rPr>
          <w:rFonts w:hint="cs"/>
          <w:rtl/>
          <w:lang w:val="en-GB"/>
        </w:rPr>
        <w:t xml:space="preserve">متعلقة بمواءمة </w:t>
      </w:r>
      <w:r w:rsidRPr="00B10F09">
        <w:rPr>
          <w:rtl/>
          <w:lang w:val="en-GB"/>
        </w:rPr>
        <w:t xml:space="preserve">التقارير الوطنية </w:t>
      </w:r>
      <w:r w:rsidRPr="00B10F09">
        <w:rPr>
          <w:rFonts w:hint="cs"/>
          <w:rtl/>
          <w:lang w:val="en-GB"/>
        </w:rPr>
        <w:t>بموجب</w:t>
      </w:r>
      <w:r w:rsidRPr="00B10F09">
        <w:rPr>
          <w:rtl/>
          <w:lang w:val="en-GB"/>
        </w:rPr>
        <w:t xml:space="preserve"> الاتفاقية وبروتوكول</w:t>
      </w:r>
      <w:r w:rsidRPr="00B10F09">
        <w:rPr>
          <w:rFonts w:hint="cs"/>
          <w:rtl/>
          <w:lang w:val="en-GB"/>
        </w:rPr>
        <w:t>ي</w:t>
      </w:r>
      <w:r w:rsidRPr="00B10F09">
        <w:rPr>
          <w:rtl/>
          <w:lang w:val="en-GB"/>
        </w:rPr>
        <w:t xml:space="preserve">ها، </w:t>
      </w:r>
      <w:r w:rsidRPr="00B10F09">
        <w:rPr>
          <w:rFonts w:hint="cs"/>
          <w:rtl/>
          <w:lang w:val="en-GB"/>
        </w:rPr>
        <w:t>لدى</w:t>
      </w:r>
      <w:r w:rsidRPr="00B10F09">
        <w:rPr>
          <w:rtl/>
          <w:lang w:val="en-GB"/>
        </w:rPr>
        <w:t xml:space="preserve"> إعداد الوثائق </w:t>
      </w:r>
      <w:r w:rsidRPr="00B10F09">
        <w:rPr>
          <w:rFonts w:hint="cs"/>
          <w:rtl/>
          <w:lang w:val="en-GB"/>
        </w:rPr>
        <w:t>ذات الصلة</w:t>
      </w:r>
      <w:r w:rsidRPr="00B10F09">
        <w:rPr>
          <w:rtl/>
          <w:lang w:val="en-GB"/>
        </w:rPr>
        <w:t xml:space="preserve"> ب</w:t>
      </w:r>
      <w:r w:rsidRPr="00B10F09">
        <w:rPr>
          <w:rFonts w:hint="cs"/>
          <w:rtl/>
          <w:lang w:val="en-GB"/>
        </w:rPr>
        <w:t>ال</w:t>
      </w:r>
      <w:r w:rsidRPr="00B10F09">
        <w:rPr>
          <w:rtl/>
          <w:lang w:val="en-GB"/>
        </w:rPr>
        <w:t>إطار</w:t>
      </w:r>
      <w:r w:rsidRPr="00B10F09">
        <w:rPr>
          <w:rFonts w:hint="cs"/>
          <w:rtl/>
          <w:lang w:val="en-GB"/>
        </w:rPr>
        <w:t xml:space="preserve"> العالمي</w:t>
      </w:r>
      <w:r w:rsidRPr="00B10F09">
        <w:rPr>
          <w:rtl/>
          <w:lang w:val="en-GB"/>
        </w:rPr>
        <w:t xml:space="preserve"> </w:t>
      </w:r>
      <w:r w:rsidRPr="00B10F09">
        <w:rPr>
          <w:rFonts w:hint="cs"/>
          <w:rtl/>
          <w:lang w:val="en-GB"/>
        </w:rPr>
        <w:t>ل</w:t>
      </w:r>
      <w:r w:rsidRPr="00B10F09">
        <w:rPr>
          <w:rtl/>
          <w:lang w:val="en-GB"/>
        </w:rPr>
        <w:t>لتنوع البيولوجي لما بعد</w:t>
      </w:r>
      <w:r w:rsidRPr="00B10F09">
        <w:rPr>
          <w:rFonts w:hint="cs"/>
          <w:rtl/>
          <w:lang w:val="en-GB"/>
        </w:rPr>
        <w:t xml:space="preserve"> عام</w:t>
      </w:r>
      <w:r w:rsidRPr="00B10F09">
        <w:rPr>
          <w:rtl/>
          <w:lang w:val="en-GB"/>
        </w:rPr>
        <w:t xml:space="preserve"> 2020</w:t>
      </w:r>
      <w:r w:rsidRPr="00B10F09">
        <w:rPr>
          <w:rFonts w:hint="cs"/>
          <w:rtl/>
          <w:lang w:val="en-GB"/>
        </w:rPr>
        <w:t>؛</w:t>
      </w:r>
    </w:p>
    <w:p w:rsidR="00E02C84" w:rsidRPr="00B10F09" w:rsidRDefault="00E02C84" w:rsidP="00E02C84">
      <w:pPr>
        <w:spacing w:after="100" w:line="204" w:lineRule="auto"/>
        <w:ind w:firstLine="720"/>
        <w:rPr>
          <w:rtl/>
          <w:lang w:val="en-GB"/>
        </w:rPr>
      </w:pPr>
      <w:r w:rsidRPr="00B10F09">
        <w:rPr>
          <w:rFonts w:hint="cs"/>
          <w:rtl/>
          <w:lang w:val="en-GB"/>
        </w:rPr>
        <w:t>(ﻫ)</w:t>
      </w:r>
      <w:r w:rsidRPr="00B10F09">
        <w:rPr>
          <w:rtl/>
          <w:lang w:val="en-GB"/>
        </w:rPr>
        <w:tab/>
      </w:r>
      <w:r w:rsidRPr="00B10F09">
        <w:rPr>
          <w:rFonts w:hint="cs"/>
          <w:rtl/>
          <w:lang w:val="en-GB"/>
        </w:rPr>
        <w:t xml:space="preserve">الاضطلاع، </w:t>
      </w:r>
      <w:r w:rsidRPr="00B10F09">
        <w:rPr>
          <w:rtl/>
          <w:lang w:val="en-GB"/>
        </w:rPr>
        <w:t xml:space="preserve">بالتشاور مع أمانات الاتفاقيات ذات الصلة وفريق الاتصال </w:t>
      </w:r>
      <w:r w:rsidRPr="00B10F09">
        <w:rPr>
          <w:rFonts w:hint="cs"/>
          <w:rtl/>
          <w:lang w:val="en-GB"/>
        </w:rPr>
        <w:t>ل</w:t>
      </w:r>
      <w:r w:rsidRPr="00B10F09">
        <w:rPr>
          <w:rtl/>
          <w:lang w:val="en-GB"/>
        </w:rPr>
        <w:t>لاتفاقيات المتعلقة بالتنوع البيولوجي وفريق الاتصال المشترك لاتفاقيات ري</w:t>
      </w:r>
      <w:r w:rsidRPr="00B10F09">
        <w:rPr>
          <w:rFonts w:hint="cs"/>
          <w:rtl/>
          <w:lang w:val="en-GB"/>
        </w:rPr>
        <w:t>و</w:t>
      </w:r>
      <w:r w:rsidRPr="00B10F09">
        <w:rPr>
          <w:rtl/>
          <w:lang w:val="en-GB"/>
        </w:rPr>
        <w:t xml:space="preserve">، </w:t>
      </w:r>
      <w:r w:rsidRPr="00B10F09">
        <w:rPr>
          <w:rFonts w:hint="cs"/>
          <w:rtl/>
          <w:lang w:val="en-GB"/>
        </w:rPr>
        <w:t>واستناداً إلى</w:t>
      </w:r>
      <w:r w:rsidRPr="00B10F09">
        <w:rPr>
          <w:rtl/>
          <w:lang w:val="en-GB"/>
        </w:rPr>
        <w:t xml:space="preserve"> الاقتراحات المقدمة من الفريق الاستشاري غير الرسمي المعني ب</w:t>
      </w:r>
      <w:r w:rsidRPr="00B10F09">
        <w:rPr>
          <w:rFonts w:hint="cs"/>
          <w:rtl/>
          <w:lang w:val="en-GB"/>
        </w:rPr>
        <w:t xml:space="preserve">أوجه </w:t>
      </w:r>
      <w:r w:rsidRPr="00B10F09">
        <w:rPr>
          <w:rtl/>
          <w:lang w:val="en-GB"/>
        </w:rPr>
        <w:t>التآزر بين الاتفاقيات المت</w:t>
      </w:r>
      <w:r w:rsidRPr="00B10F09">
        <w:rPr>
          <w:rFonts w:hint="cs"/>
          <w:rtl/>
          <w:lang w:val="en-GB"/>
        </w:rPr>
        <w:t>علقة</w:t>
      </w:r>
      <w:r w:rsidRPr="00B10F09">
        <w:rPr>
          <w:rtl/>
          <w:lang w:val="en-GB"/>
        </w:rPr>
        <w:t xml:space="preserve"> بالتنوع البيولوجي، </w:t>
      </w:r>
      <w:r w:rsidRPr="00B10F09">
        <w:rPr>
          <w:rFonts w:hint="cs"/>
          <w:rtl/>
          <w:lang w:val="en-GB"/>
        </w:rPr>
        <w:t xml:space="preserve">بتحديد </w:t>
      </w:r>
      <w:r w:rsidRPr="00B10F09">
        <w:rPr>
          <w:rtl/>
          <w:lang w:val="en-GB"/>
        </w:rPr>
        <w:t>الإجراءات الملموسة ل</w:t>
      </w:r>
      <w:r w:rsidRPr="00B10F09">
        <w:rPr>
          <w:rFonts w:hint="cs"/>
          <w:rtl/>
          <w:lang w:val="en-GB"/>
        </w:rPr>
        <w:t>لمضي قدماً</w:t>
      </w:r>
      <w:r w:rsidRPr="00B10F09">
        <w:rPr>
          <w:rtl/>
          <w:lang w:val="en-GB"/>
        </w:rPr>
        <w:t xml:space="preserve"> </w:t>
      </w:r>
      <w:r w:rsidRPr="00B10F09">
        <w:rPr>
          <w:rFonts w:hint="cs"/>
          <w:rtl/>
          <w:lang w:val="en-GB"/>
        </w:rPr>
        <w:t>بأوجه التآزر</w:t>
      </w:r>
      <w:r w:rsidRPr="00B10F09">
        <w:rPr>
          <w:rtl/>
          <w:lang w:val="en-GB"/>
        </w:rPr>
        <w:t xml:space="preserve"> في الإبلاغ، </w:t>
      </w:r>
      <w:r w:rsidRPr="00B10F09">
        <w:rPr>
          <w:rFonts w:hint="cs"/>
          <w:rtl/>
          <w:lang w:val="en-GB"/>
        </w:rPr>
        <w:t>بوسائل منها ما يلي</w:t>
      </w:r>
      <w:r w:rsidRPr="00B10F09">
        <w:rPr>
          <w:rtl/>
          <w:lang w:val="en-GB"/>
        </w:rPr>
        <w:t>:</w:t>
      </w:r>
    </w:p>
    <w:p w:rsidR="00E02C84" w:rsidRPr="00B10F09" w:rsidRDefault="00E02C84" w:rsidP="00E02C84">
      <w:pPr>
        <w:spacing w:after="100" w:line="204" w:lineRule="auto"/>
        <w:ind w:left="1440" w:hanging="720"/>
        <w:rPr>
          <w:rtl/>
          <w:lang w:val="en-GB"/>
        </w:rPr>
      </w:pPr>
      <w:r w:rsidRPr="00B10F09">
        <w:rPr>
          <w:rFonts w:hint="cs"/>
          <w:rtl/>
          <w:lang w:val="en-GB"/>
        </w:rPr>
        <w:t>(1)</w:t>
      </w:r>
      <w:r w:rsidRPr="00B10F09">
        <w:rPr>
          <w:rtl/>
          <w:lang w:val="en-GB"/>
        </w:rPr>
        <w:tab/>
      </w:r>
      <w:r w:rsidRPr="00B10F09">
        <w:rPr>
          <w:rFonts w:hint="cs"/>
          <w:rtl/>
          <w:lang w:val="en-GB"/>
        </w:rPr>
        <w:t>ال</w:t>
      </w:r>
      <w:r w:rsidRPr="00B10F09">
        <w:rPr>
          <w:rtl/>
          <w:lang w:val="en-GB"/>
        </w:rPr>
        <w:t xml:space="preserve">مؤشرات </w:t>
      </w:r>
      <w:r w:rsidRPr="00B10F09">
        <w:rPr>
          <w:rFonts w:hint="cs"/>
          <w:rtl/>
          <w:lang w:val="en-GB"/>
        </w:rPr>
        <w:t>ال</w:t>
      </w:r>
      <w:r w:rsidRPr="00B10F09">
        <w:rPr>
          <w:rtl/>
          <w:lang w:val="en-GB"/>
        </w:rPr>
        <w:t>مشتركة</w:t>
      </w:r>
      <w:r w:rsidRPr="00B10F09">
        <w:rPr>
          <w:rFonts w:hint="cs"/>
          <w:rtl/>
          <w:lang w:val="en-GB"/>
        </w:rPr>
        <w:t>، حسب الاقتضاء؛</w:t>
      </w:r>
    </w:p>
    <w:p w:rsidR="00E02C84" w:rsidRPr="00B10F09" w:rsidRDefault="00E02C84" w:rsidP="00E02C84">
      <w:pPr>
        <w:spacing w:after="100" w:line="204" w:lineRule="auto"/>
        <w:ind w:left="1440" w:hanging="720"/>
        <w:rPr>
          <w:rtl/>
          <w:lang w:val="en-GB"/>
        </w:rPr>
      </w:pPr>
      <w:r w:rsidRPr="00B10F09">
        <w:rPr>
          <w:rFonts w:hint="cs"/>
          <w:rtl/>
          <w:lang w:val="en-GB"/>
        </w:rPr>
        <w:lastRenderedPageBreak/>
        <w:t>(2)</w:t>
      </w:r>
      <w:r w:rsidRPr="00B10F09">
        <w:rPr>
          <w:rtl/>
          <w:lang w:val="en-GB"/>
        </w:rPr>
        <w:tab/>
        <w:t xml:space="preserve">وحدات </w:t>
      </w:r>
      <w:r w:rsidRPr="00B10F09">
        <w:rPr>
          <w:rFonts w:hint="cs"/>
          <w:rtl/>
          <w:lang w:val="en-GB"/>
        </w:rPr>
        <w:t>الإبلاغ</w:t>
      </w:r>
      <w:r w:rsidRPr="00B10F09">
        <w:rPr>
          <w:rtl/>
          <w:lang w:val="en-GB"/>
        </w:rPr>
        <w:t xml:space="preserve"> عن القضايا المشتركة</w:t>
      </w:r>
      <w:r w:rsidRPr="00B10F09">
        <w:rPr>
          <w:rFonts w:hint="cs"/>
          <w:rtl/>
          <w:lang w:val="en-GB"/>
        </w:rPr>
        <w:t>؛</w:t>
      </w:r>
    </w:p>
    <w:p w:rsidR="00E02C84" w:rsidRPr="00B10F09" w:rsidRDefault="00E02C84" w:rsidP="00E02C84">
      <w:pPr>
        <w:spacing w:after="100" w:line="204" w:lineRule="auto"/>
        <w:ind w:left="1440" w:hanging="720"/>
        <w:rPr>
          <w:rtl/>
          <w:lang w:val="en-GB"/>
        </w:rPr>
      </w:pPr>
      <w:r w:rsidRPr="00B10F09">
        <w:rPr>
          <w:rFonts w:hint="cs"/>
          <w:rtl/>
          <w:lang w:val="en-GB"/>
        </w:rPr>
        <w:t>(3)</w:t>
      </w:r>
      <w:r w:rsidRPr="00B10F09">
        <w:rPr>
          <w:rtl/>
          <w:lang w:val="en-GB"/>
        </w:rPr>
        <w:tab/>
        <w:t>التشغيل البيني ل</w:t>
      </w:r>
      <w:r w:rsidRPr="00B10F09">
        <w:rPr>
          <w:rFonts w:hint="cs"/>
          <w:rtl/>
          <w:lang w:val="en-GB"/>
        </w:rPr>
        <w:t xml:space="preserve">نُظم </w:t>
      </w:r>
      <w:r w:rsidRPr="00B10F09">
        <w:rPr>
          <w:rtl/>
          <w:lang w:val="en-GB"/>
        </w:rPr>
        <w:t xml:space="preserve">إدارة المعلومات </w:t>
      </w:r>
      <w:r w:rsidRPr="00B10F09">
        <w:rPr>
          <w:rFonts w:hint="cs"/>
          <w:rtl/>
          <w:lang w:val="en-GB"/>
        </w:rPr>
        <w:t>والإبلاغ؛</w:t>
      </w:r>
    </w:p>
    <w:p w:rsidR="00E02C84" w:rsidRPr="00B10F09" w:rsidRDefault="00E02C84" w:rsidP="00E02C84">
      <w:pPr>
        <w:spacing w:after="100" w:line="204" w:lineRule="auto"/>
        <w:ind w:left="1440" w:hanging="720"/>
        <w:rPr>
          <w:rtl/>
          <w:lang w:val="en-GB"/>
        </w:rPr>
      </w:pPr>
      <w:r w:rsidRPr="00B10F09">
        <w:rPr>
          <w:rFonts w:hint="cs"/>
          <w:rtl/>
          <w:lang w:val="en-GB"/>
        </w:rPr>
        <w:t>(4)</w:t>
      </w:r>
      <w:r w:rsidRPr="00B10F09">
        <w:rPr>
          <w:rtl/>
          <w:lang w:val="en-GB"/>
        </w:rPr>
        <w:tab/>
        <w:t>خيارات أخرى لزيادة</w:t>
      </w:r>
      <w:r w:rsidRPr="00B10F09">
        <w:rPr>
          <w:rFonts w:hint="cs"/>
          <w:rtl/>
          <w:lang w:val="en-GB"/>
        </w:rPr>
        <w:t xml:space="preserve"> </w:t>
      </w:r>
      <w:r w:rsidRPr="00B10F09">
        <w:rPr>
          <w:rtl/>
          <w:lang w:val="en-GB"/>
        </w:rPr>
        <w:t>التآزر في</w:t>
      </w:r>
      <w:r w:rsidRPr="00B10F09">
        <w:rPr>
          <w:rFonts w:hint="cs"/>
          <w:rtl/>
          <w:lang w:val="en-GB"/>
        </w:rPr>
        <w:t xml:space="preserve"> إعداد</w:t>
      </w:r>
      <w:r w:rsidRPr="00B10F09">
        <w:rPr>
          <w:rtl/>
          <w:lang w:val="en-GB"/>
        </w:rPr>
        <w:t xml:space="preserve"> </w:t>
      </w:r>
      <w:r w:rsidRPr="00B10F09">
        <w:rPr>
          <w:rFonts w:hint="cs"/>
          <w:rtl/>
          <w:lang w:val="en-GB"/>
        </w:rPr>
        <w:t>التقارير الوطنية فيما</w:t>
      </w:r>
      <w:r w:rsidRPr="00B10F09">
        <w:rPr>
          <w:rtl/>
          <w:lang w:val="en-GB"/>
        </w:rPr>
        <w:t xml:space="preserve"> بين الاتفاقيات المتعلقة بالتنوع البيولوجي واتفاقيات ريو</w:t>
      </w:r>
      <w:r w:rsidRPr="00B10F09">
        <w:rPr>
          <w:rFonts w:hint="cs"/>
          <w:rtl/>
          <w:lang w:val="en-GB"/>
        </w:rPr>
        <w:t>؛</w:t>
      </w:r>
    </w:p>
    <w:p w:rsidR="00E02C84" w:rsidRPr="00B10F09" w:rsidRDefault="00E02C84" w:rsidP="00E02C84">
      <w:pPr>
        <w:spacing w:after="100" w:line="204" w:lineRule="auto"/>
        <w:ind w:firstLine="12"/>
        <w:rPr>
          <w:rtl/>
          <w:lang w:val="en-GB"/>
        </w:rPr>
      </w:pPr>
      <w:r w:rsidRPr="00B10F09">
        <w:rPr>
          <w:rtl/>
          <w:lang w:val="en-GB"/>
        </w:rPr>
        <w:t>وتقي</w:t>
      </w:r>
      <w:r w:rsidRPr="00B10F09">
        <w:rPr>
          <w:rFonts w:hint="cs"/>
          <w:rtl/>
          <w:lang w:val="en-GB"/>
        </w:rPr>
        <w:t>ي</w:t>
      </w:r>
      <w:r w:rsidRPr="00B10F09">
        <w:rPr>
          <w:rtl/>
          <w:lang w:val="en-GB"/>
        </w:rPr>
        <w:t xml:space="preserve">م الآثار المالية </w:t>
      </w:r>
      <w:r w:rsidRPr="00B10F09">
        <w:rPr>
          <w:rFonts w:hint="cs"/>
          <w:rtl/>
          <w:lang w:val="en-GB"/>
        </w:rPr>
        <w:t xml:space="preserve">المترتبة عن </w:t>
      </w:r>
      <w:r w:rsidRPr="00B10F09">
        <w:rPr>
          <w:rtl/>
          <w:lang w:val="en-GB"/>
        </w:rPr>
        <w:t>هذه الإجراءات، وت</w:t>
      </w:r>
      <w:r w:rsidRPr="00B10F09">
        <w:rPr>
          <w:rFonts w:hint="cs"/>
          <w:rtl/>
          <w:lang w:val="en-GB"/>
        </w:rPr>
        <w:t>قديم</w:t>
      </w:r>
      <w:r w:rsidRPr="00B10F09">
        <w:rPr>
          <w:rtl/>
          <w:lang w:val="en-GB"/>
        </w:rPr>
        <w:t xml:space="preserve"> تقرير إلى الهيئة الفرعية للتنفيذ في اجتماعها الثالث؛</w:t>
      </w:r>
    </w:p>
    <w:p w:rsidR="00E02C84" w:rsidRPr="00B10F09" w:rsidRDefault="00E02C84" w:rsidP="00E02C84">
      <w:pPr>
        <w:spacing w:after="100" w:line="204" w:lineRule="auto"/>
        <w:ind w:firstLine="720"/>
        <w:rPr>
          <w:rtl/>
          <w:lang w:val="en-GB"/>
        </w:rPr>
      </w:pPr>
      <w:r w:rsidRPr="00B10F09">
        <w:rPr>
          <w:rFonts w:hint="cs"/>
          <w:rtl/>
          <w:lang w:val="en-GB"/>
        </w:rPr>
        <w:t>(و)</w:t>
      </w:r>
      <w:r w:rsidRPr="00B10F09">
        <w:rPr>
          <w:rtl/>
          <w:lang w:val="en-GB"/>
        </w:rPr>
        <w:tab/>
      </w:r>
      <w:r w:rsidRPr="00B10F09">
        <w:rPr>
          <w:rFonts w:hint="cs"/>
          <w:rtl/>
          <w:lang w:val="en-GB"/>
        </w:rPr>
        <w:t>مواصلة المساهمة</w:t>
      </w:r>
      <w:r w:rsidRPr="00B10F09">
        <w:rPr>
          <w:rtl/>
          <w:lang w:val="en-GB"/>
        </w:rPr>
        <w:t xml:space="preserve"> في عملية </w:t>
      </w:r>
      <w:r w:rsidRPr="00B10F09">
        <w:rPr>
          <w:rFonts w:hint="cs"/>
          <w:rtl/>
          <w:lang w:val="en-GB"/>
        </w:rPr>
        <w:t>رص</w:t>
      </w:r>
      <w:r w:rsidRPr="00B10F09">
        <w:rPr>
          <w:rtl/>
          <w:lang w:val="en-GB"/>
        </w:rPr>
        <w:t xml:space="preserve">د خطة التنمية المستدامة لعام </w:t>
      </w:r>
      <w:r w:rsidRPr="00B10F09">
        <w:rPr>
          <w:rFonts w:hint="cs"/>
          <w:rtl/>
          <w:lang w:val="en-GB"/>
        </w:rPr>
        <w:t>2030</w:t>
      </w:r>
      <w:r w:rsidRPr="00B10F09">
        <w:rPr>
          <w:vertAlign w:val="superscript"/>
          <w:lang w:val="en-GB"/>
        </w:rPr>
        <w:footnoteReference w:id="285"/>
      </w:r>
      <w:r w:rsidRPr="00B10F09">
        <w:rPr>
          <w:rFonts w:hint="cs"/>
          <w:rtl/>
          <w:lang w:val="en-GB"/>
        </w:rPr>
        <w:t xml:space="preserve"> </w:t>
      </w:r>
      <w:r w:rsidRPr="00B10F09">
        <w:rPr>
          <w:rtl/>
          <w:lang w:val="en-GB"/>
        </w:rPr>
        <w:t>واستكشاف أوجه التآزر مع ن</w:t>
      </w:r>
      <w:r w:rsidRPr="00B10F09">
        <w:rPr>
          <w:rFonts w:hint="cs"/>
          <w:rtl/>
          <w:lang w:val="en-GB"/>
        </w:rPr>
        <w:t>ُ</w:t>
      </w:r>
      <w:r w:rsidRPr="00B10F09">
        <w:rPr>
          <w:rtl/>
          <w:lang w:val="en-GB"/>
        </w:rPr>
        <w:t>ظم وأدوات الإبلاغ ذات الصلة</w:t>
      </w:r>
      <w:r w:rsidRPr="00B10F09">
        <w:rPr>
          <w:rFonts w:hint="cs"/>
          <w:rtl/>
          <w:lang w:val="en-GB"/>
        </w:rPr>
        <w:t xml:space="preserve"> المتعلقة ب</w:t>
      </w:r>
      <w:r w:rsidRPr="00B10F09">
        <w:rPr>
          <w:rtl/>
          <w:lang w:val="en-GB"/>
        </w:rPr>
        <w:t>أهداف التنمية المستدامة، بما في ذلك فيما يتعلق بال</w:t>
      </w:r>
      <w:r w:rsidRPr="00B10F09">
        <w:rPr>
          <w:rFonts w:hint="cs"/>
          <w:rtl/>
          <w:lang w:val="en-GB"/>
        </w:rPr>
        <w:t>أساليب</w:t>
      </w:r>
      <w:r w:rsidRPr="00B10F09">
        <w:rPr>
          <w:rtl/>
          <w:lang w:val="en-GB"/>
        </w:rPr>
        <w:t xml:space="preserve"> المنهجية؛</w:t>
      </w:r>
    </w:p>
    <w:p w:rsidR="00E02C84" w:rsidRPr="00B10F09" w:rsidRDefault="00E02C84" w:rsidP="00E02C84">
      <w:pPr>
        <w:spacing w:after="100" w:line="204" w:lineRule="auto"/>
        <w:ind w:firstLine="720"/>
        <w:rPr>
          <w:rtl/>
          <w:lang w:val="en-GB"/>
        </w:rPr>
      </w:pPr>
      <w:r w:rsidRPr="00B10F09">
        <w:rPr>
          <w:rFonts w:hint="cs"/>
          <w:rtl/>
          <w:lang w:val="en-GB"/>
        </w:rPr>
        <w:t>(ز)</w:t>
      </w:r>
      <w:r w:rsidRPr="00B10F09">
        <w:rPr>
          <w:rtl/>
          <w:lang w:val="en-GB"/>
        </w:rPr>
        <w:tab/>
      </w:r>
      <w:r w:rsidRPr="00B10F09">
        <w:rPr>
          <w:rFonts w:hint="cs"/>
          <w:sz w:val="20"/>
          <w:rtl/>
        </w:rPr>
        <w:t xml:space="preserve">المساهمة في وضع </w:t>
      </w:r>
      <w:bookmarkStart w:id="177" w:name="_Hlk519192162"/>
      <w:r w:rsidRPr="00B10F09">
        <w:rPr>
          <w:rFonts w:hint="cs"/>
          <w:sz w:val="20"/>
          <w:rtl/>
        </w:rPr>
        <w:t xml:space="preserve">أداة البيانات والإبلاغ </w:t>
      </w:r>
      <w:bookmarkEnd w:id="177"/>
      <w:r w:rsidRPr="00B10F09">
        <w:rPr>
          <w:rFonts w:hint="cs"/>
          <w:sz w:val="20"/>
          <w:rtl/>
        </w:rPr>
        <w:t>واختبارها وتعزيزها، بالتعاون مع مبادرة</w:t>
      </w:r>
      <w:r w:rsidRPr="00B10F09">
        <w:rPr>
          <w:rFonts w:hint="cs"/>
          <w:szCs w:val="22"/>
        </w:rPr>
        <w:t>InforMEA</w:t>
      </w:r>
      <w:r w:rsidRPr="00B10F09">
        <w:rPr>
          <w:sz w:val="20"/>
          <w:lang w:val="en-CA"/>
        </w:rPr>
        <w:t xml:space="preserve"> </w:t>
      </w:r>
      <w:r w:rsidRPr="00B10F09">
        <w:rPr>
          <w:rFonts w:hint="cs"/>
          <w:sz w:val="20"/>
          <w:rtl/>
        </w:rPr>
        <w:t xml:space="preserve">، </w:t>
      </w:r>
      <w:r w:rsidRPr="00B10F09">
        <w:rPr>
          <w:sz w:val="20"/>
          <w:rtl/>
        </w:rPr>
        <w:t>مع الأخذ في الاعتبار تجارب الأطراف في إعداد تقاريرها الوطنية السادسة</w:t>
      </w:r>
      <w:r w:rsidRPr="00B10F09">
        <w:rPr>
          <w:rFonts w:hint="cs"/>
          <w:sz w:val="20"/>
          <w:rtl/>
        </w:rPr>
        <w:t xml:space="preserve"> إلى</w:t>
      </w:r>
      <w:r w:rsidRPr="00B10F09">
        <w:rPr>
          <w:sz w:val="20"/>
          <w:rtl/>
        </w:rPr>
        <w:t xml:space="preserve"> الاتفاقية، </w:t>
      </w:r>
      <w:r w:rsidRPr="00B10F09">
        <w:rPr>
          <w:rFonts w:hint="cs"/>
          <w:sz w:val="20"/>
          <w:rtl/>
        </w:rPr>
        <w:t>بغية تيسير استخدام أداة البيانات والإبلاغ، حسب الاقتضاء، على نطاق الاتفاقيات المتعلقة بالتنوع البيولوجي؛</w:t>
      </w:r>
    </w:p>
    <w:p w:rsidR="00E02C84" w:rsidRPr="00B10F09" w:rsidRDefault="00E02C84" w:rsidP="00E02C84">
      <w:pPr>
        <w:spacing w:after="100" w:line="204" w:lineRule="auto"/>
        <w:ind w:firstLine="720"/>
        <w:rPr>
          <w:rtl/>
          <w:lang w:val="en-GB"/>
        </w:rPr>
      </w:pPr>
      <w:r w:rsidRPr="00B10F09">
        <w:rPr>
          <w:rFonts w:hint="cs"/>
          <w:rtl/>
          <w:lang w:val="en-GB"/>
        </w:rPr>
        <w:t>(ح)</w:t>
      </w:r>
      <w:r w:rsidRPr="00B10F09">
        <w:rPr>
          <w:rtl/>
          <w:lang w:val="en-GB"/>
        </w:rPr>
        <w:tab/>
        <w:t xml:space="preserve">تقييم استخدام الأطراف لأدوات </w:t>
      </w:r>
      <w:r w:rsidRPr="00B10F09">
        <w:rPr>
          <w:rFonts w:hint="cs"/>
          <w:rtl/>
          <w:lang w:val="en-GB"/>
        </w:rPr>
        <w:t>الإبلاغ</w:t>
      </w:r>
      <w:r w:rsidRPr="00B10F09">
        <w:rPr>
          <w:rtl/>
          <w:lang w:val="en-GB"/>
        </w:rPr>
        <w:t xml:space="preserve"> عبر </w:t>
      </w:r>
      <w:r w:rsidRPr="00B10F09">
        <w:rPr>
          <w:rFonts w:hint="cs"/>
          <w:rtl/>
          <w:lang w:val="en-GB"/>
        </w:rPr>
        <w:t xml:space="preserve">شبكة </w:t>
      </w:r>
      <w:r w:rsidRPr="00B10F09">
        <w:rPr>
          <w:rtl/>
          <w:lang w:val="en-GB"/>
        </w:rPr>
        <w:t xml:space="preserve">الإنترنت </w:t>
      </w:r>
      <w:r w:rsidRPr="00B10F09">
        <w:rPr>
          <w:rFonts w:hint="cs"/>
          <w:rtl/>
          <w:lang w:val="en-GB"/>
        </w:rPr>
        <w:t>لأغراض ا</w:t>
      </w:r>
      <w:r w:rsidRPr="00B10F09">
        <w:rPr>
          <w:rtl/>
          <w:lang w:val="en-GB"/>
        </w:rPr>
        <w:t>لتقرير الوطني السادس</w:t>
      </w:r>
      <w:r w:rsidRPr="00B10F09">
        <w:rPr>
          <w:rFonts w:hint="cs"/>
          <w:rtl/>
          <w:lang w:val="en-GB"/>
        </w:rPr>
        <w:t>،</w:t>
      </w:r>
      <w:r w:rsidRPr="00B10F09">
        <w:rPr>
          <w:rtl/>
          <w:lang w:val="en-GB"/>
        </w:rPr>
        <w:t xml:space="preserve"> والتقرير الوطني المؤقت </w:t>
      </w:r>
      <w:r w:rsidRPr="00B10F09">
        <w:rPr>
          <w:rFonts w:hint="cs"/>
          <w:rtl/>
          <w:lang w:val="en-GB"/>
        </w:rPr>
        <w:t>المتعلق ب</w:t>
      </w:r>
      <w:r w:rsidRPr="00B10F09">
        <w:rPr>
          <w:rtl/>
          <w:lang w:val="en-GB"/>
        </w:rPr>
        <w:t xml:space="preserve">بروتوكول ناغويا والتقرير الوطني </w:t>
      </w:r>
      <w:r w:rsidRPr="00B10F09">
        <w:rPr>
          <w:rFonts w:hint="cs"/>
          <w:rtl/>
          <w:lang w:val="en-GB"/>
        </w:rPr>
        <w:t>المتعلق ب</w:t>
      </w:r>
      <w:r w:rsidRPr="00B10F09">
        <w:rPr>
          <w:rtl/>
          <w:lang w:val="en-GB"/>
        </w:rPr>
        <w:t>بروتوكول قرطاجنة، لاستكشاف</w:t>
      </w:r>
      <w:r w:rsidRPr="00B10F09">
        <w:rPr>
          <w:rFonts w:hint="cs"/>
          <w:rtl/>
          <w:lang w:val="en-GB"/>
        </w:rPr>
        <w:t xml:space="preserve"> مدى</w:t>
      </w:r>
      <w:r w:rsidRPr="00B10F09">
        <w:rPr>
          <w:rtl/>
          <w:lang w:val="en-GB"/>
        </w:rPr>
        <w:t xml:space="preserve"> </w:t>
      </w:r>
      <w:r w:rsidRPr="00B10F09">
        <w:rPr>
          <w:rFonts w:hint="cs"/>
          <w:rtl/>
          <w:lang w:val="en-GB"/>
        </w:rPr>
        <w:t>تناسقها</w:t>
      </w:r>
      <w:r w:rsidRPr="00B10F09">
        <w:rPr>
          <w:rtl/>
          <w:lang w:val="en-GB"/>
        </w:rPr>
        <w:t xml:space="preserve"> مع </w:t>
      </w:r>
      <w:r w:rsidRPr="00B10F09">
        <w:rPr>
          <w:rFonts w:hint="cs"/>
          <w:rtl/>
          <w:lang w:val="en-GB"/>
        </w:rPr>
        <w:t>نُظم</w:t>
      </w:r>
      <w:r w:rsidRPr="00B10F09">
        <w:rPr>
          <w:rtl/>
          <w:lang w:val="en-GB"/>
        </w:rPr>
        <w:t xml:space="preserve"> الإبلاغ </w:t>
      </w:r>
      <w:r w:rsidRPr="00B10F09">
        <w:rPr>
          <w:rFonts w:hint="cs"/>
          <w:rtl/>
          <w:lang w:val="en-GB"/>
        </w:rPr>
        <w:t>التي تستخدمها</w:t>
      </w:r>
      <w:r w:rsidRPr="00B10F09">
        <w:rPr>
          <w:rtl/>
          <w:lang w:val="en-GB"/>
        </w:rPr>
        <w:t xml:space="preserve"> أمانات الاتفاقيات ذات الصلة، وتقديم تقرير إلى الهيئة الفرعية للتنفيذ في اجتماعها الثالث؛</w:t>
      </w:r>
    </w:p>
    <w:p w:rsidR="00E02C84" w:rsidRPr="00B10F09" w:rsidRDefault="00E02C84" w:rsidP="00E02C84">
      <w:pPr>
        <w:spacing w:after="100" w:line="204" w:lineRule="auto"/>
        <w:ind w:firstLine="720"/>
        <w:rPr>
          <w:rtl/>
          <w:lang w:val="en-GB"/>
        </w:rPr>
      </w:pPr>
      <w:r w:rsidRPr="00B10F09">
        <w:rPr>
          <w:rFonts w:hint="cs"/>
          <w:rtl/>
          <w:lang w:val="en-GB"/>
        </w:rPr>
        <w:t>(ط)</w:t>
      </w:r>
      <w:r w:rsidRPr="00B10F09">
        <w:rPr>
          <w:rtl/>
          <w:lang w:val="en-GB"/>
        </w:rPr>
        <w:tab/>
        <w:t>مواصلة توفير</w:t>
      </w:r>
      <w:r w:rsidRPr="00B10F09">
        <w:rPr>
          <w:rFonts w:hint="cs"/>
          <w:rtl/>
          <w:lang w:val="en-GB"/>
        </w:rPr>
        <w:t xml:space="preserve"> سبل</w:t>
      </w:r>
      <w:r w:rsidRPr="00B10F09">
        <w:rPr>
          <w:rtl/>
          <w:lang w:val="en-GB"/>
        </w:rPr>
        <w:t xml:space="preserve"> بناء القدرات </w:t>
      </w:r>
      <w:r w:rsidRPr="00B10F09">
        <w:rPr>
          <w:rFonts w:hint="cs"/>
          <w:rtl/>
          <w:lang w:val="en-GB"/>
        </w:rPr>
        <w:t>فيما يتعلق</w:t>
      </w:r>
      <w:r w:rsidRPr="00B10F09">
        <w:rPr>
          <w:rtl/>
          <w:lang w:val="en-GB"/>
        </w:rPr>
        <w:t xml:space="preserve"> </w:t>
      </w:r>
      <w:r w:rsidRPr="00B10F09">
        <w:rPr>
          <w:rFonts w:hint="cs"/>
          <w:rtl/>
          <w:lang w:val="en-GB"/>
        </w:rPr>
        <w:t>ب</w:t>
      </w:r>
      <w:r w:rsidRPr="00B10F09">
        <w:rPr>
          <w:rtl/>
          <w:lang w:val="en-GB"/>
        </w:rPr>
        <w:t>استخدام الأدوات لإعداد التقارير الوطنية وتقديم</w:t>
      </w:r>
      <w:r w:rsidRPr="00B10F09">
        <w:rPr>
          <w:rFonts w:hint="cs"/>
          <w:rtl/>
          <w:lang w:val="en-GB"/>
        </w:rPr>
        <w:t>ها؛</w:t>
      </w:r>
    </w:p>
    <w:p w:rsidR="00E02C84" w:rsidRDefault="00E02C84" w:rsidP="00E02C84">
      <w:pPr>
        <w:spacing w:after="100" w:line="204" w:lineRule="auto"/>
        <w:ind w:firstLine="720"/>
        <w:rPr>
          <w:rtl/>
          <w:lang w:val="en-GB"/>
        </w:rPr>
      </w:pPr>
      <w:r w:rsidRPr="00B10F09">
        <w:rPr>
          <w:rFonts w:hint="cs"/>
          <w:rtl/>
          <w:lang w:val="en-GB"/>
        </w:rPr>
        <w:t>(ي)</w:t>
      </w:r>
      <w:r w:rsidRPr="00B10F09">
        <w:rPr>
          <w:rtl/>
          <w:lang w:val="en-GB"/>
        </w:rPr>
        <w:tab/>
      </w:r>
      <w:r w:rsidRPr="00B10F09">
        <w:rPr>
          <w:rFonts w:hint="cs"/>
          <w:rtl/>
          <w:lang w:val="en-GB"/>
        </w:rPr>
        <w:t>الاضطلاع</w:t>
      </w:r>
      <w:r w:rsidRPr="00B10F09">
        <w:rPr>
          <w:rtl/>
          <w:lang w:val="en-GB"/>
        </w:rPr>
        <w:t xml:space="preserve">، بالتعاون مع الشركاء المعنيين، </w:t>
      </w:r>
      <w:r w:rsidRPr="00B10F09">
        <w:rPr>
          <w:rFonts w:hint="cs"/>
          <w:rtl/>
          <w:lang w:val="en-GB"/>
        </w:rPr>
        <w:t>بتقديم إرشادات إلى الأطراف</w:t>
      </w:r>
      <w:r w:rsidRPr="00B10F09">
        <w:rPr>
          <w:rtl/>
          <w:lang w:val="en-GB"/>
        </w:rPr>
        <w:t xml:space="preserve"> بشأن مصادر البيانات المكانية والزمانية </w:t>
      </w:r>
      <w:r w:rsidRPr="00B10F09">
        <w:rPr>
          <w:rFonts w:hint="cs"/>
          <w:rtl/>
          <w:lang w:val="en-GB"/>
        </w:rPr>
        <w:t>المتعلقة</w:t>
      </w:r>
      <w:r w:rsidRPr="00B10F09">
        <w:rPr>
          <w:rtl/>
          <w:lang w:val="en-GB"/>
        </w:rPr>
        <w:t xml:space="preserve"> </w:t>
      </w:r>
      <w:r w:rsidRPr="00B10F09">
        <w:rPr>
          <w:rFonts w:hint="cs"/>
          <w:rtl/>
          <w:lang w:val="en-GB"/>
        </w:rPr>
        <w:t>ب</w:t>
      </w:r>
      <w:r w:rsidRPr="00B10F09">
        <w:rPr>
          <w:rtl/>
          <w:lang w:val="en-GB"/>
        </w:rPr>
        <w:t xml:space="preserve">التنوع البيولوجي لدعم التحليلات التي </w:t>
      </w:r>
      <w:r w:rsidRPr="00B10F09">
        <w:rPr>
          <w:rFonts w:hint="cs"/>
          <w:rtl/>
          <w:lang w:val="en-GB"/>
        </w:rPr>
        <w:t>ترتكز عليها</w:t>
      </w:r>
      <w:r w:rsidRPr="00B10F09">
        <w:rPr>
          <w:rtl/>
          <w:lang w:val="en-GB"/>
        </w:rPr>
        <w:t xml:space="preserve"> تقييمات التقدم المحرز </w:t>
      </w:r>
      <w:r w:rsidRPr="00B10F09">
        <w:rPr>
          <w:rFonts w:hint="cs"/>
          <w:rtl/>
          <w:lang w:val="en-GB"/>
        </w:rPr>
        <w:t>على مستوى</w:t>
      </w:r>
      <w:r w:rsidRPr="00B10F09">
        <w:rPr>
          <w:rtl/>
          <w:lang w:val="en-GB"/>
        </w:rPr>
        <w:t xml:space="preserve"> التقارير الوطنية</w:t>
      </w:r>
      <w:r>
        <w:rPr>
          <w:lang w:val="en-GB"/>
        </w:rPr>
        <w:t>.</w:t>
      </w:r>
    </w:p>
    <w:p w:rsidR="001D61EA" w:rsidRDefault="001D61EA" w:rsidP="001D61EA">
      <w:pPr>
        <w:spacing w:after="0" w:line="240" w:lineRule="auto"/>
        <w:jc w:val="left"/>
        <w:rPr>
          <w:b/>
          <w:bCs/>
          <w:sz w:val="24"/>
          <w:rtl/>
        </w:rPr>
      </w:pPr>
      <w:r>
        <w:rPr>
          <w:b/>
          <w:bCs/>
          <w:sz w:val="24"/>
          <w:rtl/>
        </w:rPr>
        <w:br w:type="page"/>
      </w:r>
    </w:p>
    <w:p w:rsidR="00E02C84" w:rsidRPr="0056639E" w:rsidRDefault="00E02C84" w:rsidP="00246CBF">
      <w:pPr>
        <w:pStyle w:val="Heading2"/>
        <w:ind w:left="2880" w:right="1440" w:hanging="1800"/>
        <w:jc w:val="left"/>
        <w:rPr>
          <w:rFonts w:eastAsia="Malgun Gothic" w:hint="eastAsia"/>
          <w:b w:val="0"/>
          <w:bCs w:val="0"/>
          <w:lang w:val="en-GB"/>
        </w:rPr>
      </w:pPr>
      <w:bookmarkStart w:id="178" w:name="_Toc6071632"/>
      <w:bookmarkStart w:id="179" w:name="_Toc6139989"/>
      <w:r>
        <w:rPr>
          <w:rFonts w:eastAsia="Malgun Gothic" w:hint="cs"/>
          <w:rtl/>
          <w:lang w:val="en-GB"/>
        </w:rPr>
        <w:lastRenderedPageBreak/>
        <w:t>المقرر 14/28</w:t>
      </w:r>
      <w:r>
        <w:rPr>
          <w:rFonts w:eastAsia="Malgun Gothic" w:hint="cs"/>
          <w:rtl/>
          <w:lang w:val="en-GB"/>
        </w:rPr>
        <w:tab/>
      </w:r>
      <w:r w:rsidRPr="0056639E">
        <w:rPr>
          <w:rFonts w:eastAsia="Malgun Gothic"/>
          <w:rtl/>
          <w:lang w:val="en-GB"/>
        </w:rPr>
        <w:t>أدوات لتقييم فاعلية أدوات السياسات لتنفيذ الخطة الاستراتيجية للتنوع البيولوجي 2011-2020</w:t>
      </w:r>
      <w:bookmarkEnd w:id="178"/>
      <w:bookmarkEnd w:id="179"/>
    </w:p>
    <w:p w:rsidR="00E02C84" w:rsidRPr="001467F0" w:rsidRDefault="00E02C84" w:rsidP="00E02C84">
      <w:pPr>
        <w:ind w:firstLine="720"/>
        <w:rPr>
          <w:i/>
          <w:iCs/>
          <w:sz w:val="20"/>
          <w:rtl/>
        </w:rPr>
      </w:pPr>
      <w:r w:rsidRPr="001467F0">
        <w:rPr>
          <w:i/>
          <w:iCs/>
          <w:sz w:val="20"/>
          <w:rtl/>
        </w:rPr>
        <w:t>إن مؤتمر الأطراف،</w:t>
      </w:r>
    </w:p>
    <w:p w:rsidR="00E02C84" w:rsidRPr="001467F0" w:rsidRDefault="00E02C84" w:rsidP="00E02C84">
      <w:pPr>
        <w:ind w:firstLine="720"/>
        <w:rPr>
          <w:sz w:val="20"/>
          <w:rtl/>
        </w:rPr>
      </w:pPr>
      <w:r w:rsidRPr="001467F0">
        <w:rPr>
          <w:i/>
          <w:iCs/>
          <w:sz w:val="20"/>
          <w:rtl/>
        </w:rPr>
        <w:t>إذ يشير</w:t>
      </w:r>
      <w:r w:rsidRPr="001467F0">
        <w:rPr>
          <w:sz w:val="20"/>
          <w:rtl/>
        </w:rPr>
        <w:t xml:space="preserve"> إلى الفقرتين 29 و30 من </w:t>
      </w:r>
      <w:hyperlink r:id="rId69" w:history="1">
        <w:r w:rsidRPr="001467F0">
          <w:rPr>
            <w:rFonts w:hint="cs"/>
            <w:color w:val="0000FF"/>
            <w:sz w:val="20"/>
            <w:u w:val="single"/>
            <w:rtl/>
          </w:rPr>
          <w:t>المقرر 13/1</w:t>
        </w:r>
      </w:hyperlink>
      <w:r w:rsidRPr="001467F0">
        <w:rPr>
          <w:sz w:val="20"/>
          <w:rtl/>
        </w:rPr>
        <w:t>،</w:t>
      </w:r>
    </w:p>
    <w:p w:rsidR="00E02C84" w:rsidRPr="001467F0" w:rsidRDefault="00E02C84" w:rsidP="00E02C84">
      <w:pPr>
        <w:ind w:firstLine="720"/>
        <w:rPr>
          <w:sz w:val="20"/>
          <w:rtl/>
        </w:rPr>
      </w:pPr>
      <w:r w:rsidRPr="001467F0">
        <w:rPr>
          <w:sz w:val="20"/>
          <w:rtl/>
        </w:rPr>
        <w:t>1-</w:t>
      </w:r>
      <w:r w:rsidRPr="001467F0">
        <w:rPr>
          <w:sz w:val="20"/>
        </w:rPr>
        <w:tab/>
      </w:r>
      <w:r w:rsidRPr="001467F0">
        <w:rPr>
          <w:rFonts w:hint="cs"/>
          <w:i/>
          <w:iCs/>
          <w:sz w:val="20"/>
          <w:rtl/>
        </w:rPr>
        <w:t>ي</w:t>
      </w:r>
      <w:r w:rsidRPr="001467F0">
        <w:rPr>
          <w:i/>
          <w:iCs/>
          <w:sz w:val="20"/>
          <w:rtl/>
        </w:rPr>
        <w:t>شدد</w:t>
      </w:r>
      <w:r w:rsidRPr="001467F0">
        <w:rPr>
          <w:sz w:val="20"/>
          <w:rtl/>
        </w:rPr>
        <w:t xml:space="preserve"> على </w:t>
      </w:r>
      <w:r>
        <w:rPr>
          <w:rFonts w:hint="cs"/>
          <w:sz w:val="20"/>
          <w:rtl/>
        </w:rPr>
        <w:t>ضرورة</w:t>
      </w:r>
      <w:r w:rsidRPr="001467F0">
        <w:rPr>
          <w:sz w:val="20"/>
          <w:rtl/>
        </w:rPr>
        <w:t xml:space="preserve"> إجراء تقييمات سليمة لفعالية </w:t>
      </w:r>
      <w:r w:rsidRPr="001467F0">
        <w:rPr>
          <w:rFonts w:hint="cs"/>
          <w:sz w:val="20"/>
          <w:rtl/>
        </w:rPr>
        <w:t>أدوات او تدابير السياسات لدعم تنفيذ الاتفاقية والخطة الاستراتيجية للتنوع البيئي 2011-2020</w:t>
      </w:r>
      <w:r w:rsidRPr="001467F0">
        <w:rPr>
          <w:sz w:val="20"/>
          <w:rtl/>
        </w:rPr>
        <w:t xml:space="preserve"> </w:t>
      </w:r>
      <w:r>
        <w:rPr>
          <w:rFonts w:hint="cs"/>
          <w:sz w:val="20"/>
          <w:rtl/>
        </w:rPr>
        <w:t>و</w:t>
      </w:r>
      <w:r w:rsidRPr="001467F0">
        <w:rPr>
          <w:sz w:val="20"/>
          <w:rtl/>
        </w:rPr>
        <w:t>بناء القدرات المرتبطة بها</w:t>
      </w:r>
      <w:r w:rsidRPr="001467F0">
        <w:rPr>
          <w:rFonts w:hint="cs"/>
          <w:sz w:val="20"/>
          <w:rtl/>
        </w:rPr>
        <w:t>، و</w:t>
      </w:r>
      <w:r w:rsidRPr="001467F0">
        <w:rPr>
          <w:i/>
          <w:iCs/>
          <w:sz w:val="20"/>
          <w:rtl/>
        </w:rPr>
        <w:t>يطلب</w:t>
      </w:r>
      <w:r w:rsidRPr="001467F0">
        <w:rPr>
          <w:rFonts w:hint="cs"/>
          <w:sz w:val="20"/>
          <w:rtl/>
        </w:rPr>
        <w:t xml:space="preserve"> بالتالي إلى الأمينة التنفيذية أن تأخذ الأمرين في الاعتبار لدى التحضير للإطار العالمي للتنوع البي</w:t>
      </w:r>
      <w:r>
        <w:rPr>
          <w:rFonts w:hint="cs"/>
          <w:sz w:val="20"/>
          <w:rtl/>
        </w:rPr>
        <w:t>ولوجي</w:t>
      </w:r>
      <w:r w:rsidRPr="001467F0">
        <w:rPr>
          <w:rFonts w:hint="cs"/>
          <w:sz w:val="20"/>
          <w:rtl/>
        </w:rPr>
        <w:t xml:space="preserve"> لما بع</w:t>
      </w:r>
      <w:r>
        <w:rPr>
          <w:rFonts w:hint="cs"/>
          <w:sz w:val="20"/>
          <w:rtl/>
        </w:rPr>
        <w:t>د عام</w:t>
      </w:r>
      <w:r w:rsidRPr="001467F0">
        <w:rPr>
          <w:rFonts w:hint="cs"/>
          <w:sz w:val="20"/>
          <w:rtl/>
        </w:rPr>
        <w:t xml:space="preserve"> 2020 والاجتماع الثالث للهيئة الفرعية للتنفيذ</w:t>
      </w:r>
      <w:r w:rsidRPr="001467F0">
        <w:rPr>
          <w:sz w:val="20"/>
          <w:rtl/>
        </w:rPr>
        <w:t>؛</w:t>
      </w:r>
    </w:p>
    <w:p w:rsidR="00E02C84" w:rsidRPr="001467F0" w:rsidRDefault="00E02C84" w:rsidP="00E02C84">
      <w:pPr>
        <w:ind w:firstLine="720"/>
        <w:rPr>
          <w:sz w:val="20"/>
          <w:rtl/>
        </w:rPr>
      </w:pPr>
      <w:r w:rsidRPr="001467F0">
        <w:rPr>
          <w:rFonts w:hint="cs"/>
          <w:sz w:val="20"/>
          <w:rtl/>
        </w:rPr>
        <w:t>2-</w:t>
      </w:r>
      <w:r w:rsidRPr="001467F0">
        <w:rPr>
          <w:rFonts w:hint="cs"/>
          <w:sz w:val="20"/>
          <w:rtl/>
        </w:rPr>
        <w:tab/>
      </w:r>
      <w:r w:rsidRPr="001467F0">
        <w:rPr>
          <w:rFonts w:hint="cs"/>
          <w:i/>
          <w:iCs/>
          <w:sz w:val="20"/>
          <w:rtl/>
        </w:rPr>
        <w:t>يشدد</w:t>
      </w:r>
      <w:r w:rsidRPr="001467F0">
        <w:rPr>
          <w:rFonts w:hint="cs"/>
          <w:sz w:val="20"/>
          <w:rtl/>
        </w:rPr>
        <w:t xml:space="preserve"> </w:t>
      </w:r>
      <w:r w:rsidRPr="001467F0">
        <w:rPr>
          <w:rFonts w:hint="cs"/>
          <w:i/>
          <w:iCs/>
          <w:sz w:val="20"/>
          <w:rtl/>
        </w:rPr>
        <w:t>أيضا</w:t>
      </w:r>
      <w:r w:rsidRPr="001467F0">
        <w:rPr>
          <w:rFonts w:hint="cs"/>
          <w:sz w:val="20"/>
          <w:rtl/>
        </w:rPr>
        <w:t xml:space="preserve"> في هذا السياق على </w:t>
      </w:r>
      <w:r>
        <w:rPr>
          <w:rFonts w:hint="cs"/>
          <w:sz w:val="20"/>
          <w:rtl/>
        </w:rPr>
        <w:t>أهمية</w:t>
      </w:r>
      <w:r w:rsidRPr="001467F0">
        <w:rPr>
          <w:rFonts w:hint="cs"/>
          <w:sz w:val="20"/>
          <w:rtl/>
        </w:rPr>
        <w:t xml:space="preserve"> مواءمة المؤشرات المستخدمة عبر عمليات الإبلاغ المختلفة عن التنوع البيولوجي والتنمية المستدامة؛</w:t>
      </w:r>
    </w:p>
    <w:p w:rsidR="00E02C84" w:rsidRPr="001467F0" w:rsidRDefault="00E02C84" w:rsidP="00E02C84">
      <w:pPr>
        <w:ind w:firstLine="720"/>
        <w:rPr>
          <w:sz w:val="20"/>
          <w:rtl/>
        </w:rPr>
      </w:pPr>
      <w:r w:rsidRPr="001467F0">
        <w:rPr>
          <w:rFonts w:hint="cs"/>
          <w:sz w:val="20"/>
          <w:rtl/>
        </w:rPr>
        <w:t>3</w:t>
      </w:r>
      <w:r w:rsidRPr="001467F0">
        <w:rPr>
          <w:sz w:val="20"/>
          <w:rtl/>
        </w:rPr>
        <w:t>-</w:t>
      </w:r>
      <w:r w:rsidRPr="001467F0">
        <w:rPr>
          <w:rFonts w:hint="cs"/>
          <w:sz w:val="20"/>
          <w:rtl/>
        </w:rPr>
        <w:tab/>
      </w:r>
      <w:r w:rsidRPr="001467F0">
        <w:rPr>
          <w:rFonts w:hint="cs"/>
          <w:i/>
          <w:iCs/>
          <w:sz w:val="20"/>
          <w:rtl/>
        </w:rPr>
        <w:t>ي</w:t>
      </w:r>
      <w:r w:rsidRPr="001467F0">
        <w:rPr>
          <w:i/>
          <w:iCs/>
          <w:sz w:val="20"/>
          <w:rtl/>
        </w:rPr>
        <w:t>شجع</w:t>
      </w:r>
      <w:r w:rsidRPr="001467F0">
        <w:rPr>
          <w:sz w:val="20"/>
          <w:rtl/>
        </w:rPr>
        <w:t xml:space="preserve"> على </w:t>
      </w:r>
      <w:r w:rsidRPr="001467F0">
        <w:rPr>
          <w:rFonts w:hint="cs"/>
          <w:sz w:val="20"/>
          <w:rtl/>
        </w:rPr>
        <w:t>استفاد</w:t>
      </w:r>
      <w:r w:rsidRPr="001467F0">
        <w:rPr>
          <w:sz w:val="20"/>
          <w:rtl/>
        </w:rPr>
        <w:t>ة</w:t>
      </w:r>
      <w:r w:rsidRPr="001467F0">
        <w:rPr>
          <w:rFonts w:hint="cs"/>
          <w:sz w:val="20"/>
          <w:rtl/>
        </w:rPr>
        <w:t xml:space="preserve"> الأطراف والحكومات الأخرى والمنظمات الدولية والشعوب الأصلية والمجتمعات المحلية وقطاع الأعمال وأصحاب المصلحة الآخرين، حسب الاقتضاء، من</w:t>
      </w:r>
      <w:r w:rsidRPr="001467F0">
        <w:rPr>
          <w:sz w:val="20"/>
          <w:rtl/>
        </w:rPr>
        <w:t xml:space="preserve"> المعلومات الواردة في </w:t>
      </w:r>
      <w:r w:rsidRPr="001467F0">
        <w:rPr>
          <w:rFonts w:hint="cs"/>
          <w:sz w:val="20"/>
          <w:rtl/>
        </w:rPr>
        <w:t>ال</w:t>
      </w:r>
      <w:r w:rsidRPr="001467F0">
        <w:rPr>
          <w:sz w:val="20"/>
          <w:rtl/>
        </w:rPr>
        <w:t xml:space="preserve">مذكرة </w:t>
      </w:r>
      <w:r w:rsidRPr="001467F0">
        <w:rPr>
          <w:rFonts w:hint="cs"/>
          <w:sz w:val="20"/>
          <w:rtl/>
        </w:rPr>
        <w:t xml:space="preserve">التي أعدتها </w:t>
      </w:r>
      <w:r w:rsidRPr="001467F0">
        <w:rPr>
          <w:sz w:val="20"/>
          <w:rtl/>
        </w:rPr>
        <w:t>الأمين</w:t>
      </w:r>
      <w:r w:rsidRPr="001467F0">
        <w:rPr>
          <w:rFonts w:hint="cs"/>
          <w:sz w:val="20"/>
          <w:rtl/>
        </w:rPr>
        <w:t>ة</w:t>
      </w:r>
      <w:r w:rsidRPr="001467F0">
        <w:rPr>
          <w:sz w:val="20"/>
          <w:rtl/>
        </w:rPr>
        <w:t xml:space="preserve"> التنفيذي</w:t>
      </w:r>
      <w:r w:rsidRPr="001467F0">
        <w:rPr>
          <w:rFonts w:hint="cs"/>
          <w:sz w:val="20"/>
          <w:rtl/>
        </w:rPr>
        <w:t>ة بشأن</w:t>
      </w:r>
      <w:r w:rsidRPr="001467F0">
        <w:rPr>
          <w:sz w:val="20"/>
          <w:rtl/>
        </w:rPr>
        <w:t xml:space="preserve"> أدوات تقييم فعالية أدوات السياس</w:t>
      </w:r>
      <w:r w:rsidRPr="001467F0">
        <w:rPr>
          <w:rFonts w:hint="cs"/>
          <w:sz w:val="20"/>
          <w:rtl/>
        </w:rPr>
        <w:t>ات</w:t>
      </w:r>
      <w:r w:rsidRPr="001467F0">
        <w:rPr>
          <w:sz w:val="20"/>
          <w:rtl/>
        </w:rPr>
        <w:t xml:space="preserve"> لتنفيذ الاتفاقية</w:t>
      </w:r>
      <w:r w:rsidRPr="001467F0">
        <w:rPr>
          <w:sz w:val="20"/>
          <w:vertAlign w:val="superscript"/>
          <w:rtl/>
        </w:rPr>
        <w:footnoteReference w:id="286"/>
      </w:r>
      <w:r w:rsidRPr="001467F0">
        <w:rPr>
          <w:sz w:val="20"/>
          <w:rtl/>
        </w:rPr>
        <w:t xml:space="preserve"> عند تصميم وإجراء تقييمات لفعالية التدابير المتخذة لتنفيذ الاتفاقية، بما في ذلك في سياق إعداد تقاريرها الوطنية؛</w:t>
      </w:r>
    </w:p>
    <w:p w:rsidR="00E02C84" w:rsidRPr="001467F0" w:rsidRDefault="00E02C84" w:rsidP="00E02C84">
      <w:pPr>
        <w:ind w:firstLine="720"/>
        <w:rPr>
          <w:sz w:val="20"/>
          <w:rtl/>
        </w:rPr>
      </w:pPr>
      <w:r w:rsidRPr="001467F0">
        <w:rPr>
          <w:rFonts w:hint="cs"/>
          <w:sz w:val="20"/>
          <w:rtl/>
        </w:rPr>
        <w:t>4</w:t>
      </w:r>
      <w:r w:rsidRPr="001467F0">
        <w:rPr>
          <w:sz w:val="20"/>
          <w:rtl/>
        </w:rPr>
        <w:t>-</w:t>
      </w:r>
      <w:r w:rsidRPr="001467F0">
        <w:rPr>
          <w:rFonts w:hint="cs"/>
          <w:sz w:val="20"/>
          <w:rtl/>
        </w:rPr>
        <w:tab/>
      </w:r>
      <w:r w:rsidRPr="001467F0">
        <w:rPr>
          <w:i/>
          <w:iCs/>
          <w:sz w:val="20"/>
          <w:rtl/>
        </w:rPr>
        <w:t>يطلب</w:t>
      </w:r>
      <w:r w:rsidRPr="001467F0">
        <w:rPr>
          <w:sz w:val="20"/>
          <w:rtl/>
        </w:rPr>
        <w:t xml:space="preserve"> إلى الأطراف </w:t>
      </w:r>
      <w:r w:rsidRPr="001467F0">
        <w:rPr>
          <w:i/>
          <w:iCs/>
          <w:sz w:val="20"/>
          <w:rtl/>
        </w:rPr>
        <w:t>ويدعو</w:t>
      </w:r>
      <w:r w:rsidRPr="001467F0">
        <w:rPr>
          <w:sz w:val="20"/>
          <w:rtl/>
        </w:rPr>
        <w:t xml:space="preserve"> الحكومات الأخرى والمنظمات الدولية والشعوب الأصلية والمجتمعات المحلية وقطاع الأعمال وأصحاب المصلحة الآخرين إلى أن </w:t>
      </w:r>
      <w:r w:rsidRPr="001467F0">
        <w:rPr>
          <w:rFonts w:hint="cs"/>
          <w:sz w:val="20"/>
          <w:rtl/>
        </w:rPr>
        <w:t>يتبادلوا</w:t>
      </w:r>
      <w:r w:rsidRPr="001467F0">
        <w:rPr>
          <w:sz w:val="20"/>
          <w:rtl/>
        </w:rPr>
        <w:t xml:space="preserve">، حسب الاقتضاء، </w:t>
      </w:r>
      <w:r w:rsidRPr="001467F0">
        <w:rPr>
          <w:rFonts w:hint="cs"/>
          <w:sz w:val="20"/>
          <w:rtl/>
        </w:rPr>
        <w:t xml:space="preserve">عبر </w:t>
      </w:r>
      <w:r w:rsidRPr="001467F0">
        <w:rPr>
          <w:sz w:val="20"/>
          <w:rtl/>
        </w:rPr>
        <w:t>تقاريرهم الوطنية وآلية غرفة تبادل المعلومات والوسائل الأخرى المناسبة، معلومات عن المنهجيات المستخدمة في تقييم</w:t>
      </w:r>
      <w:r w:rsidRPr="001467F0">
        <w:rPr>
          <w:rFonts w:hint="cs"/>
          <w:sz w:val="20"/>
          <w:rtl/>
        </w:rPr>
        <w:t>ات</w:t>
      </w:r>
      <w:r w:rsidRPr="001467F0">
        <w:rPr>
          <w:sz w:val="20"/>
          <w:rtl/>
        </w:rPr>
        <w:t xml:space="preserve"> فعالية التدابير المتخذة لتنفيذ الاتفاقية، بما في ذلك دراسات الحالة، فضلا عن الدروس المستفادة من هذه التقييمات؛</w:t>
      </w:r>
    </w:p>
    <w:p w:rsidR="00E02C84" w:rsidRDefault="00E02C84" w:rsidP="00E02C84">
      <w:pPr>
        <w:ind w:firstLine="720"/>
        <w:rPr>
          <w:sz w:val="20"/>
          <w:rtl/>
        </w:rPr>
      </w:pPr>
      <w:r w:rsidRPr="001467F0">
        <w:rPr>
          <w:rFonts w:hint="cs"/>
          <w:sz w:val="20"/>
          <w:rtl/>
        </w:rPr>
        <w:t>5</w:t>
      </w:r>
      <w:r w:rsidRPr="001467F0">
        <w:rPr>
          <w:sz w:val="20"/>
          <w:rtl/>
        </w:rPr>
        <w:t>-</w:t>
      </w:r>
      <w:r w:rsidRPr="001467F0">
        <w:rPr>
          <w:rFonts w:hint="cs"/>
          <w:sz w:val="20"/>
          <w:rtl/>
        </w:rPr>
        <w:tab/>
      </w:r>
      <w:r w:rsidRPr="001467F0">
        <w:rPr>
          <w:i/>
          <w:iCs/>
          <w:sz w:val="20"/>
          <w:rtl/>
        </w:rPr>
        <w:t>يطلب</w:t>
      </w:r>
      <w:r w:rsidRPr="001467F0">
        <w:rPr>
          <w:sz w:val="20"/>
          <w:rtl/>
        </w:rPr>
        <w:t xml:space="preserve"> إلى الأمين</w:t>
      </w:r>
      <w:r w:rsidRPr="001467F0">
        <w:rPr>
          <w:rFonts w:hint="cs"/>
          <w:sz w:val="20"/>
          <w:rtl/>
        </w:rPr>
        <w:t>ة</w:t>
      </w:r>
      <w:r w:rsidRPr="001467F0">
        <w:rPr>
          <w:sz w:val="20"/>
          <w:rtl/>
        </w:rPr>
        <w:t xml:space="preserve"> التنفيذي</w:t>
      </w:r>
      <w:r w:rsidRPr="001467F0">
        <w:rPr>
          <w:rFonts w:hint="cs"/>
          <w:sz w:val="20"/>
          <w:rtl/>
        </w:rPr>
        <w:t>ة</w:t>
      </w:r>
      <w:r w:rsidRPr="001467F0">
        <w:rPr>
          <w:sz w:val="20"/>
          <w:rtl/>
        </w:rPr>
        <w:t xml:space="preserve"> أن </w:t>
      </w:r>
      <w:r>
        <w:rPr>
          <w:rFonts w:hint="cs"/>
          <w:sz w:val="20"/>
          <w:rtl/>
        </w:rPr>
        <w:t>تقوم، رهنا بتوافر الموارد، بإعداد</w:t>
      </w:r>
      <w:r w:rsidRPr="001467F0">
        <w:rPr>
          <w:sz w:val="20"/>
          <w:rtl/>
        </w:rPr>
        <w:t xml:space="preserve"> مجموعة أدوات لمساعدة الأطراف</w:t>
      </w:r>
      <w:r w:rsidRPr="001467F0">
        <w:rPr>
          <w:rFonts w:hint="cs"/>
          <w:sz w:val="20"/>
          <w:rtl/>
        </w:rPr>
        <w:t xml:space="preserve"> والحكومات الأخرى والمنظمات الدولية والشعوب الأصلية والمجتمعات المحلية وقطاع الأعمال وأصحاب المصلحة الآخرين</w:t>
      </w:r>
      <w:r w:rsidRPr="001467F0">
        <w:rPr>
          <w:sz w:val="20"/>
          <w:rtl/>
        </w:rPr>
        <w:t xml:space="preserve"> في تنفيذ تقييمات فعالية التدابير، </w:t>
      </w:r>
      <w:r w:rsidRPr="001467F0">
        <w:rPr>
          <w:rFonts w:hint="cs"/>
          <w:sz w:val="20"/>
          <w:rtl/>
        </w:rPr>
        <w:t>استنادا</w:t>
      </w:r>
      <w:r w:rsidRPr="001467F0">
        <w:rPr>
          <w:sz w:val="20"/>
          <w:rtl/>
        </w:rPr>
        <w:t xml:space="preserve"> إلى </w:t>
      </w:r>
      <w:r w:rsidRPr="001467F0">
        <w:rPr>
          <w:rFonts w:hint="cs"/>
          <w:sz w:val="20"/>
          <w:rtl/>
        </w:rPr>
        <w:t>الإرشادات</w:t>
      </w:r>
      <w:r w:rsidRPr="001467F0">
        <w:rPr>
          <w:sz w:val="20"/>
          <w:rtl/>
        </w:rPr>
        <w:t xml:space="preserve"> الواردة في </w:t>
      </w:r>
      <w:r w:rsidRPr="001467F0">
        <w:rPr>
          <w:rFonts w:hint="cs"/>
          <w:sz w:val="20"/>
          <w:rtl/>
        </w:rPr>
        <w:t>ال</w:t>
      </w:r>
      <w:r w:rsidRPr="001467F0">
        <w:rPr>
          <w:sz w:val="20"/>
          <w:rtl/>
        </w:rPr>
        <w:t xml:space="preserve">مذكرة </w:t>
      </w:r>
      <w:r w:rsidRPr="001467F0">
        <w:rPr>
          <w:rFonts w:hint="cs"/>
          <w:sz w:val="20"/>
          <w:rtl/>
        </w:rPr>
        <w:t xml:space="preserve">التي أعدتها </w:t>
      </w:r>
      <w:r w:rsidRPr="001467F0">
        <w:rPr>
          <w:sz w:val="20"/>
          <w:rtl/>
        </w:rPr>
        <w:t>الأمين</w:t>
      </w:r>
      <w:r w:rsidRPr="001467F0">
        <w:rPr>
          <w:rFonts w:hint="cs"/>
          <w:sz w:val="20"/>
          <w:rtl/>
        </w:rPr>
        <w:t>ة</w:t>
      </w:r>
      <w:r w:rsidRPr="001467F0">
        <w:rPr>
          <w:sz w:val="20"/>
          <w:rtl/>
        </w:rPr>
        <w:t xml:space="preserve"> التنفيذي</w:t>
      </w:r>
      <w:r w:rsidRPr="001467F0">
        <w:rPr>
          <w:rFonts w:hint="cs"/>
          <w:sz w:val="20"/>
          <w:rtl/>
        </w:rPr>
        <w:t>ة</w:t>
      </w:r>
      <w:r>
        <w:rPr>
          <w:rFonts w:hint="cs"/>
          <w:sz w:val="20"/>
          <w:rtl/>
        </w:rPr>
        <w:t>،</w:t>
      </w:r>
      <w:r>
        <w:rPr>
          <w:rFonts w:hint="cs"/>
          <w:sz w:val="20"/>
          <w:vertAlign w:val="superscript"/>
          <w:rtl/>
        </w:rPr>
        <w:t>1</w:t>
      </w:r>
      <w:r w:rsidRPr="001467F0">
        <w:rPr>
          <w:rFonts w:hint="cs"/>
          <w:sz w:val="20"/>
          <w:rtl/>
        </w:rPr>
        <w:t xml:space="preserve"> وإلى </w:t>
      </w:r>
      <w:r w:rsidRPr="001467F0">
        <w:rPr>
          <w:sz w:val="20"/>
          <w:rtl/>
        </w:rPr>
        <w:t xml:space="preserve">المعلومات المقدمة وفقا للفقرة </w:t>
      </w:r>
      <w:r>
        <w:rPr>
          <w:rFonts w:hint="cs"/>
          <w:sz w:val="20"/>
          <w:rtl/>
        </w:rPr>
        <w:t>4</w:t>
      </w:r>
      <w:r w:rsidRPr="001467F0">
        <w:rPr>
          <w:sz w:val="20"/>
          <w:rtl/>
        </w:rPr>
        <w:t xml:space="preserve"> أعلاه</w:t>
      </w:r>
      <w:r w:rsidRPr="001467F0">
        <w:rPr>
          <w:rFonts w:hint="cs"/>
          <w:sz w:val="20"/>
          <w:rtl/>
        </w:rPr>
        <w:t>، لكي تنظر فيها الهيئة الفرعية للتنفيذ في اجتماعها الثالث</w:t>
      </w:r>
      <w:r w:rsidRPr="001467F0">
        <w:rPr>
          <w:sz w:val="20"/>
          <w:rtl/>
        </w:rPr>
        <w:t>.</w:t>
      </w:r>
    </w:p>
    <w:p w:rsidR="001D61EA" w:rsidRDefault="001D61EA" w:rsidP="001D61EA">
      <w:pPr>
        <w:spacing w:after="0" w:line="240" w:lineRule="auto"/>
        <w:jc w:val="left"/>
        <w:rPr>
          <w:b/>
          <w:bCs/>
          <w:sz w:val="24"/>
          <w:rtl/>
        </w:rPr>
      </w:pPr>
      <w:r>
        <w:rPr>
          <w:b/>
          <w:bCs/>
          <w:sz w:val="24"/>
          <w:rtl/>
        </w:rPr>
        <w:br w:type="page"/>
      </w:r>
    </w:p>
    <w:p w:rsidR="00E02C84" w:rsidRPr="00805A31" w:rsidRDefault="00E02C84" w:rsidP="00246CBF">
      <w:pPr>
        <w:pStyle w:val="Heading2"/>
        <w:rPr>
          <w:b w:val="0"/>
          <w:bCs w:val="0"/>
          <w:sz w:val="24"/>
          <w:rtl/>
        </w:rPr>
      </w:pPr>
      <w:bookmarkStart w:id="180" w:name="_Toc6071633"/>
      <w:bookmarkStart w:id="181" w:name="_Toc6139990"/>
      <w:r>
        <w:rPr>
          <w:rFonts w:hint="cs"/>
          <w:sz w:val="24"/>
          <w:rtl/>
        </w:rPr>
        <w:lastRenderedPageBreak/>
        <w:t>المقرر 14/29</w:t>
      </w:r>
      <w:r>
        <w:rPr>
          <w:rFonts w:hint="cs"/>
          <w:sz w:val="24"/>
          <w:rtl/>
        </w:rPr>
        <w:tab/>
      </w:r>
      <w:r w:rsidRPr="00805A31">
        <w:rPr>
          <w:sz w:val="24"/>
          <w:rtl/>
        </w:rPr>
        <w:t>آليات الاستعراض</w:t>
      </w:r>
      <w:bookmarkEnd w:id="180"/>
      <w:bookmarkEnd w:id="181"/>
    </w:p>
    <w:p w:rsidR="00E02C84" w:rsidRPr="005537D1" w:rsidRDefault="00E02C84" w:rsidP="00E02C84">
      <w:pPr>
        <w:spacing w:after="100" w:line="204" w:lineRule="auto"/>
        <w:ind w:firstLine="720"/>
        <w:rPr>
          <w:i/>
          <w:iCs/>
          <w:rtl/>
        </w:rPr>
      </w:pPr>
      <w:r w:rsidRPr="005537D1">
        <w:rPr>
          <w:rFonts w:hint="cs"/>
          <w:i/>
          <w:iCs/>
          <w:rtl/>
        </w:rPr>
        <w:t xml:space="preserve">إن </w:t>
      </w:r>
      <w:r w:rsidRPr="005537D1">
        <w:rPr>
          <w:rFonts w:ascii="Simplified Arabic" w:hAnsi="Simplified Arabic" w:hint="cs"/>
          <w:i/>
          <w:iCs/>
          <w:rtl/>
        </w:rPr>
        <w:t>مؤتمر</w:t>
      </w:r>
      <w:r w:rsidRPr="005537D1">
        <w:rPr>
          <w:rFonts w:hint="cs"/>
          <w:i/>
          <w:iCs/>
          <w:rtl/>
        </w:rPr>
        <w:t xml:space="preserve"> الأطراف،</w:t>
      </w:r>
    </w:p>
    <w:p w:rsidR="00E02C84" w:rsidRPr="00A337C6" w:rsidRDefault="00E02C84" w:rsidP="00E02C84">
      <w:pPr>
        <w:spacing w:after="100" w:line="204" w:lineRule="auto"/>
        <w:ind w:firstLine="720"/>
        <w:rPr>
          <w:rFonts w:ascii="Simplified Arabic" w:hAnsi="Simplified Arabic"/>
          <w:snapToGrid w:val="0"/>
          <w:color w:val="000000"/>
          <w:kern w:val="22"/>
          <w:rtl/>
        </w:rPr>
      </w:pPr>
      <w:r w:rsidRPr="00A337C6">
        <w:rPr>
          <w:rFonts w:hint="cs"/>
          <w:i/>
          <w:iCs/>
          <w:rtl/>
        </w:rPr>
        <w:t xml:space="preserve">إذ </w:t>
      </w:r>
      <w:r w:rsidRPr="00A337C6">
        <w:rPr>
          <w:rFonts w:ascii="Simplified Arabic" w:hAnsi="Simplified Arabic" w:hint="cs"/>
          <w:i/>
          <w:iCs/>
          <w:rtl/>
        </w:rPr>
        <w:t>يشير</w:t>
      </w:r>
      <w:r w:rsidRPr="00A337C6">
        <w:rPr>
          <w:rFonts w:hint="cs"/>
          <w:rtl/>
        </w:rPr>
        <w:t xml:space="preserve"> إلى المقرّر </w:t>
      </w:r>
      <w:hyperlink r:id="rId70" w:history="1">
        <w:r w:rsidRPr="00A337C6">
          <w:rPr>
            <w:rFonts w:ascii="Simplified Arabic" w:hAnsi="Simplified Arabic" w:hint="cs"/>
            <w:snapToGrid w:val="0"/>
            <w:color w:val="000000"/>
            <w:kern w:val="22"/>
            <w:rtl/>
          </w:rPr>
          <w:t>13/2</w:t>
        </w:r>
      </w:hyperlink>
      <w:r w:rsidRPr="00A337C6">
        <w:rPr>
          <w:rFonts w:ascii="Simplified Arabic" w:hAnsi="Simplified Arabic" w:hint="cs"/>
          <w:snapToGrid w:val="0"/>
          <w:color w:val="000000"/>
          <w:kern w:val="22"/>
          <w:rtl/>
        </w:rPr>
        <w:t>5،</w:t>
      </w:r>
    </w:p>
    <w:p w:rsidR="00E02C84" w:rsidRPr="005537D1" w:rsidRDefault="00E02C84" w:rsidP="00E02C84">
      <w:pPr>
        <w:spacing w:after="100" w:line="204" w:lineRule="auto"/>
        <w:ind w:firstLine="720"/>
        <w:rPr>
          <w:rtl/>
        </w:rPr>
      </w:pPr>
      <w:r w:rsidRPr="005537D1">
        <w:rPr>
          <w:rFonts w:hint="cs"/>
          <w:i/>
          <w:iCs/>
          <w:rtl/>
        </w:rPr>
        <w:t xml:space="preserve">وإذ يسلم </w:t>
      </w:r>
      <w:r w:rsidRPr="005537D1">
        <w:rPr>
          <w:rFonts w:hint="cs"/>
          <w:rtl/>
        </w:rPr>
        <w:t>بضرورة تعزيز</w:t>
      </w:r>
      <w:r w:rsidRPr="005537D1">
        <w:rPr>
          <w:rFonts w:hint="cs"/>
          <w:i/>
          <w:iCs/>
          <w:rtl/>
        </w:rPr>
        <w:t xml:space="preserve"> </w:t>
      </w:r>
      <w:r w:rsidRPr="005537D1">
        <w:rPr>
          <w:rFonts w:ascii="Simplified Arabic" w:hAnsi="Simplified Arabic" w:hint="cs"/>
          <w:snapToGrid w:val="0"/>
          <w:kern w:val="22"/>
          <w:rtl/>
        </w:rPr>
        <w:t xml:space="preserve">التنفيذ من </w:t>
      </w:r>
      <w:r w:rsidRPr="005537D1">
        <w:rPr>
          <w:rFonts w:ascii="Simplified Arabic" w:hAnsi="Simplified Arabic" w:hint="cs"/>
          <w:rtl/>
        </w:rPr>
        <w:t>جانب</w:t>
      </w:r>
      <w:r w:rsidRPr="005537D1">
        <w:rPr>
          <w:rFonts w:ascii="Simplified Arabic" w:hAnsi="Simplified Arabic" w:hint="cs"/>
          <w:snapToGrid w:val="0"/>
          <w:kern w:val="22"/>
          <w:rtl/>
        </w:rPr>
        <w:t xml:space="preserve"> الأطراف والالتزامات الأساسية لوضع المجتمع العالمي على المسار الصحيح صوب تحقيق رؤية عام 2050 المنصوص عليها في الخطة الاستراتيجية للتنوع البيولوجي 2011-2020،</w:t>
      </w:r>
      <w:r w:rsidRPr="005537D1">
        <w:rPr>
          <w:vertAlign w:val="superscript"/>
          <w:rtl/>
        </w:rPr>
        <w:footnoteReference w:id="287"/>
      </w:r>
    </w:p>
    <w:p w:rsidR="00E02C84" w:rsidRPr="0024205B" w:rsidRDefault="00E02C84" w:rsidP="00E02C84">
      <w:pPr>
        <w:spacing w:after="100" w:line="204" w:lineRule="auto"/>
        <w:ind w:firstLine="720"/>
        <w:rPr>
          <w:rtl/>
        </w:rPr>
      </w:pPr>
      <w:r w:rsidRPr="0024205B">
        <w:rPr>
          <w:i/>
          <w:iCs/>
          <w:rtl/>
        </w:rPr>
        <w:t xml:space="preserve">وإذ يشدد على </w:t>
      </w:r>
      <w:r w:rsidRPr="0024205B">
        <w:rPr>
          <w:rtl/>
        </w:rPr>
        <w:t xml:space="preserve">أن التقارير الوطنية، المنصوص عليها في المادة 26 من الاتفاقية، </w:t>
      </w:r>
      <w:r>
        <w:rPr>
          <w:rFonts w:hint="cs"/>
          <w:rtl/>
        </w:rPr>
        <w:t>لا تزال تشكل</w:t>
      </w:r>
      <w:r w:rsidRPr="0024205B">
        <w:rPr>
          <w:rtl/>
        </w:rPr>
        <w:t xml:space="preserve"> </w:t>
      </w:r>
      <w:r>
        <w:rPr>
          <w:rFonts w:hint="cs"/>
          <w:rtl/>
        </w:rPr>
        <w:t>عنصرا رئيسيا</w:t>
      </w:r>
      <w:r w:rsidRPr="0024205B">
        <w:rPr>
          <w:rtl/>
        </w:rPr>
        <w:t xml:space="preserve"> لاستعراض التقدم المحرز في التنفيذ</w:t>
      </w:r>
      <w:r>
        <w:rPr>
          <w:rFonts w:hint="cs"/>
          <w:rtl/>
        </w:rPr>
        <w:t xml:space="preserve"> كجزء من نهج الاستعراض المتعدد الأبعاد</w:t>
      </w:r>
      <w:r w:rsidRPr="0024205B">
        <w:rPr>
          <w:rtl/>
        </w:rPr>
        <w:t>،</w:t>
      </w:r>
    </w:p>
    <w:p w:rsidR="00E02C84" w:rsidRPr="005537D1" w:rsidRDefault="00E02C84" w:rsidP="00E02C84">
      <w:pPr>
        <w:spacing w:after="100" w:line="204" w:lineRule="auto"/>
        <w:ind w:firstLine="720"/>
        <w:rPr>
          <w:rFonts w:ascii="Simplified Arabic" w:hAnsi="Simplified Arabic"/>
          <w:snapToGrid w:val="0"/>
          <w:color w:val="000000"/>
          <w:kern w:val="22"/>
          <w:rtl/>
        </w:rPr>
      </w:pPr>
      <w:r w:rsidRPr="005537D1">
        <w:rPr>
          <w:rFonts w:hint="cs"/>
          <w:i/>
          <w:iCs/>
          <w:rtl/>
        </w:rPr>
        <w:t>وإذ يسلم</w:t>
      </w:r>
      <w:r w:rsidRPr="005537D1">
        <w:rPr>
          <w:rFonts w:hint="cs"/>
          <w:rtl/>
        </w:rPr>
        <w:t xml:space="preserve"> بأن</w:t>
      </w:r>
      <w:r w:rsidRPr="005537D1">
        <w:rPr>
          <w:rFonts w:ascii="Simplified Arabic" w:hAnsi="Simplified Arabic"/>
          <w:snapToGrid w:val="0"/>
          <w:color w:val="000000"/>
          <w:kern w:val="22"/>
          <w:rtl/>
        </w:rPr>
        <w:t xml:space="preserve"> عناصر </w:t>
      </w:r>
      <w:r w:rsidRPr="005537D1">
        <w:rPr>
          <w:rFonts w:ascii="Simplified Arabic" w:hAnsi="Simplified Arabic" w:hint="cs"/>
          <w:snapToGrid w:val="0"/>
          <w:color w:val="000000"/>
          <w:kern w:val="22"/>
          <w:rtl/>
        </w:rPr>
        <w:t>نهج</w:t>
      </w:r>
      <w:r w:rsidRPr="005537D1">
        <w:rPr>
          <w:rFonts w:ascii="Simplified Arabic" w:hAnsi="Simplified Arabic"/>
          <w:snapToGrid w:val="0"/>
          <w:color w:val="000000"/>
          <w:kern w:val="22"/>
          <w:rtl/>
        </w:rPr>
        <w:t xml:space="preserve"> الاستعراض </w:t>
      </w:r>
      <w:r w:rsidRPr="005537D1">
        <w:rPr>
          <w:rtl/>
        </w:rPr>
        <w:t>المتعدد</w:t>
      </w:r>
      <w:r w:rsidRPr="005537D1">
        <w:rPr>
          <w:rFonts w:ascii="Simplified Arabic" w:hAnsi="Simplified Arabic"/>
          <w:snapToGrid w:val="0"/>
          <w:color w:val="000000"/>
          <w:kern w:val="22"/>
          <w:rtl/>
        </w:rPr>
        <w:t xml:space="preserve"> الأبعاد بموجب الاتفاقية ينبغي أن تكون سليمة من الناحية ال</w:t>
      </w:r>
      <w:r w:rsidRPr="005537D1">
        <w:rPr>
          <w:rFonts w:ascii="Simplified Arabic" w:hAnsi="Simplified Arabic" w:hint="cs"/>
          <w:snapToGrid w:val="0"/>
          <w:color w:val="000000"/>
          <w:kern w:val="22"/>
          <w:rtl/>
        </w:rPr>
        <w:t>تق</w:t>
      </w:r>
      <w:r w:rsidRPr="005537D1">
        <w:rPr>
          <w:rFonts w:ascii="Simplified Arabic" w:hAnsi="Simplified Arabic"/>
          <w:snapToGrid w:val="0"/>
          <w:color w:val="000000"/>
          <w:kern w:val="22"/>
          <w:rtl/>
        </w:rPr>
        <w:t>نية</w:t>
      </w:r>
      <w:r w:rsidRPr="005537D1">
        <w:rPr>
          <w:rFonts w:ascii="Simplified Arabic" w:hAnsi="Simplified Arabic" w:hint="cs"/>
          <w:snapToGrid w:val="0"/>
          <w:color w:val="000000"/>
          <w:kern w:val="22"/>
          <w:rtl/>
        </w:rPr>
        <w:t>،</w:t>
      </w:r>
      <w:r w:rsidRPr="005537D1">
        <w:rPr>
          <w:rFonts w:ascii="Simplified Arabic" w:hAnsi="Simplified Arabic"/>
          <w:snapToGrid w:val="0"/>
          <w:color w:val="000000"/>
          <w:kern w:val="22"/>
          <w:rtl/>
        </w:rPr>
        <w:t xml:space="preserve"> وموضوعية وشفافة </w:t>
      </w:r>
      <w:r w:rsidRPr="005537D1">
        <w:rPr>
          <w:rFonts w:ascii="Simplified Arabic" w:hAnsi="Simplified Arabic" w:hint="cs"/>
          <w:snapToGrid w:val="0"/>
          <w:color w:val="000000"/>
          <w:kern w:val="22"/>
          <w:rtl/>
        </w:rPr>
        <w:t xml:space="preserve">وتعاونية وبناءة </w:t>
      </w:r>
      <w:r w:rsidRPr="005537D1">
        <w:rPr>
          <w:rFonts w:ascii="Simplified Arabic" w:hAnsi="Simplified Arabic"/>
          <w:snapToGrid w:val="0"/>
          <w:color w:val="000000"/>
          <w:kern w:val="22"/>
          <w:rtl/>
        </w:rPr>
        <w:t>وأن تهدف إلى تيسير الجهود المعززة التي تبذلها الأطراف،</w:t>
      </w:r>
    </w:p>
    <w:p w:rsidR="00E02C84" w:rsidRPr="005537D1" w:rsidRDefault="00E02C84" w:rsidP="00E02C84">
      <w:pPr>
        <w:spacing w:after="100" w:line="204" w:lineRule="auto"/>
        <w:ind w:firstLine="720"/>
        <w:rPr>
          <w:rFonts w:ascii="Simplified Arabic" w:hAnsi="Simplified Arabic"/>
        </w:rPr>
      </w:pPr>
      <w:r w:rsidRPr="005537D1">
        <w:rPr>
          <w:rFonts w:hint="cs"/>
          <w:i/>
          <w:iCs/>
          <w:rtl/>
        </w:rPr>
        <w:t xml:space="preserve">وإذ يقرّ </w:t>
      </w:r>
      <w:r w:rsidRPr="005537D1">
        <w:rPr>
          <w:rFonts w:hint="cs"/>
          <w:rtl/>
        </w:rPr>
        <w:t>بأن عمليات الاستعراض</w:t>
      </w:r>
      <w:r w:rsidRPr="005537D1">
        <w:rPr>
          <w:rFonts w:hint="cs"/>
          <w:i/>
          <w:iCs/>
          <w:rtl/>
        </w:rPr>
        <w:t xml:space="preserve"> </w:t>
      </w:r>
      <w:r w:rsidRPr="005537D1">
        <w:rPr>
          <w:rFonts w:ascii="Simplified Arabic" w:hAnsi="Simplified Arabic"/>
          <w:rtl/>
        </w:rPr>
        <w:t xml:space="preserve">ينبغي أن تأخذ في الاعتبار الاحتياجات والظروف الخاصة بالأطراف، </w:t>
      </w:r>
      <w:r w:rsidRPr="005537D1">
        <w:rPr>
          <w:rFonts w:ascii="Simplified Arabic" w:hAnsi="Simplified Arabic" w:hint="cs"/>
          <w:rtl/>
        </w:rPr>
        <w:t>م</w:t>
      </w:r>
      <w:r w:rsidRPr="005537D1">
        <w:rPr>
          <w:rFonts w:ascii="Simplified Arabic" w:hAnsi="Simplified Arabic"/>
          <w:rtl/>
        </w:rPr>
        <w:t>شير</w:t>
      </w:r>
      <w:r w:rsidRPr="005537D1">
        <w:rPr>
          <w:rFonts w:ascii="Simplified Arabic" w:hAnsi="Simplified Arabic" w:hint="cs"/>
          <w:rtl/>
        </w:rPr>
        <w:t>ا</w:t>
      </w:r>
      <w:r w:rsidRPr="005537D1">
        <w:rPr>
          <w:rFonts w:ascii="Simplified Arabic" w:hAnsi="Simplified Arabic"/>
          <w:rtl/>
        </w:rPr>
        <w:t xml:space="preserve"> إلى اختلافات وطنية في الن</w:t>
      </w:r>
      <w:r w:rsidRPr="005537D1">
        <w:rPr>
          <w:rFonts w:ascii="Simplified Arabic" w:hAnsi="Simplified Arabic" w:hint="cs"/>
          <w:rtl/>
        </w:rPr>
        <w:t>ُ</w:t>
      </w:r>
      <w:r w:rsidRPr="005537D1">
        <w:rPr>
          <w:rFonts w:ascii="Simplified Arabic" w:hAnsi="Simplified Arabic"/>
          <w:rtl/>
        </w:rPr>
        <w:t>هج والرؤى،</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i/>
          <w:iCs/>
          <w:rtl/>
        </w:rPr>
        <w:t>وإذ يلاحظ</w:t>
      </w:r>
      <w:r w:rsidRPr="005537D1">
        <w:rPr>
          <w:rFonts w:ascii="Simplified Arabic" w:hAnsi="Simplified Arabic"/>
          <w:rtl/>
        </w:rPr>
        <w:t xml:space="preserve"> أهمية إشراك أصحاب المعارف التقليدية في آليات الاستعراض بموجب الاتفاقية،</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hint="cs"/>
          <w:snapToGrid w:val="0"/>
          <w:kern w:val="22"/>
          <w:rtl/>
        </w:rPr>
        <w:t>1-</w:t>
      </w:r>
      <w:r w:rsidRPr="005537D1">
        <w:rPr>
          <w:rFonts w:ascii="Simplified Arabic" w:hAnsi="Simplified Arabic"/>
          <w:snapToGrid w:val="0"/>
          <w:kern w:val="22"/>
          <w:rtl/>
        </w:rPr>
        <w:tab/>
      </w:r>
      <w:r w:rsidRPr="005537D1">
        <w:rPr>
          <w:rFonts w:ascii="Simplified Arabic" w:hAnsi="Simplified Arabic" w:hint="cs"/>
          <w:i/>
          <w:iCs/>
          <w:snapToGrid w:val="0"/>
          <w:kern w:val="22"/>
          <w:rtl/>
        </w:rPr>
        <w:t>يقرّ</w:t>
      </w:r>
      <w:r w:rsidRPr="005537D1">
        <w:rPr>
          <w:rFonts w:ascii="Simplified Arabic" w:hAnsi="Simplified Arabic" w:hint="cs"/>
          <w:snapToGrid w:val="0"/>
          <w:kern w:val="22"/>
          <w:rtl/>
        </w:rPr>
        <w:t xml:space="preserve"> </w:t>
      </w:r>
      <w:r w:rsidRPr="005537D1">
        <w:rPr>
          <w:rFonts w:ascii="Simplified Arabic" w:hAnsi="Simplified Arabic" w:hint="cs"/>
          <w:rtl/>
        </w:rPr>
        <w:t>بأن</w:t>
      </w:r>
      <w:r w:rsidRPr="005537D1">
        <w:rPr>
          <w:rFonts w:ascii="Simplified Arabic" w:hAnsi="Simplified Arabic"/>
          <w:rtl/>
        </w:rPr>
        <w:t xml:space="preserve"> </w:t>
      </w:r>
      <w:r w:rsidRPr="005537D1">
        <w:rPr>
          <w:rFonts w:ascii="Simplified Arabic" w:hAnsi="Simplified Arabic" w:hint="cs"/>
          <w:rtl/>
        </w:rPr>
        <w:t>عملية</w:t>
      </w:r>
      <w:r w:rsidRPr="005537D1">
        <w:rPr>
          <w:rFonts w:ascii="Simplified Arabic" w:hAnsi="Simplified Arabic"/>
          <w:rtl/>
        </w:rPr>
        <w:t xml:space="preserve"> </w:t>
      </w:r>
      <w:r w:rsidRPr="005537D1">
        <w:rPr>
          <w:rFonts w:ascii="Simplified Arabic" w:hAnsi="Simplified Arabic" w:hint="cs"/>
          <w:rtl/>
        </w:rPr>
        <w:t>استعراض</w:t>
      </w:r>
      <w:r w:rsidRPr="005537D1">
        <w:rPr>
          <w:rFonts w:ascii="Simplified Arabic" w:hAnsi="Simplified Arabic"/>
          <w:rtl/>
        </w:rPr>
        <w:t xml:space="preserve"> </w:t>
      </w:r>
      <w:r w:rsidRPr="005537D1">
        <w:rPr>
          <w:rFonts w:ascii="Simplified Arabic" w:hAnsi="Simplified Arabic" w:hint="cs"/>
          <w:rtl/>
        </w:rPr>
        <w:t>النظراء</w:t>
      </w:r>
      <w:r w:rsidRPr="005537D1">
        <w:rPr>
          <w:rFonts w:ascii="Simplified Arabic" w:hAnsi="Simplified Arabic"/>
          <w:rtl/>
        </w:rPr>
        <w:t xml:space="preserve"> </w:t>
      </w:r>
      <w:r w:rsidRPr="005537D1">
        <w:rPr>
          <w:rFonts w:ascii="Simplified Arabic" w:hAnsi="Simplified Arabic" w:hint="cs"/>
          <w:rtl/>
        </w:rPr>
        <w:t>الطوعية</w:t>
      </w:r>
      <w:r w:rsidRPr="005537D1">
        <w:rPr>
          <w:rFonts w:ascii="Simplified Arabic" w:hAnsi="Simplified Arabic"/>
          <w:rtl/>
        </w:rPr>
        <w:t xml:space="preserve"> </w:t>
      </w:r>
      <w:r w:rsidRPr="005537D1">
        <w:rPr>
          <w:rFonts w:ascii="Simplified Arabic" w:hAnsi="Simplified Arabic" w:hint="cs"/>
          <w:rtl/>
        </w:rPr>
        <w:t>تسعى</w:t>
      </w:r>
      <w:r w:rsidRPr="005537D1">
        <w:rPr>
          <w:rFonts w:ascii="Simplified Arabic" w:hAnsi="Simplified Arabic"/>
          <w:rtl/>
        </w:rPr>
        <w:t xml:space="preserve"> </w:t>
      </w:r>
      <w:r w:rsidRPr="005537D1">
        <w:rPr>
          <w:rFonts w:ascii="Simplified Arabic" w:hAnsi="Simplified Arabic" w:hint="cs"/>
          <w:rtl/>
        </w:rPr>
        <w:t>إلى</w:t>
      </w:r>
      <w:r w:rsidRPr="005537D1">
        <w:rPr>
          <w:rFonts w:ascii="Simplified Arabic" w:hAnsi="Simplified Arabic"/>
          <w:rtl/>
        </w:rPr>
        <w:t xml:space="preserve"> </w:t>
      </w:r>
      <w:r w:rsidRPr="005537D1">
        <w:rPr>
          <w:rFonts w:ascii="Simplified Arabic" w:hAnsi="Simplified Arabic" w:hint="cs"/>
          <w:rtl/>
        </w:rPr>
        <w:t>مساعدة</w:t>
      </w:r>
      <w:r w:rsidRPr="005537D1">
        <w:rPr>
          <w:rFonts w:ascii="Simplified Arabic" w:hAnsi="Simplified Arabic"/>
          <w:rtl/>
        </w:rPr>
        <w:t xml:space="preserve"> </w:t>
      </w:r>
      <w:r w:rsidRPr="005537D1">
        <w:rPr>
          <w:rFonts w:ascii="Simplified Arabic" w:hAnsi="Simplified Arabic" w:hint="cs"/>
          <w:rtl/>
        </w:rPr>
        <w:t>الأطراف</w:t>
      </w:r>
      <w:r w:rsidRPr="005537D1">
        <w:rPr>
          <w:rFonts w:ascii="Simplified Arabic" w:hAnsi="Simplified Arabic"/>
          <w:rtl/>
        </w:rPr>
        <w:t xml:space="preserve"> </w:t>
      </w:r>
      <w:r w:rsidRPr="005537D1">
        <w:rPr>
          <w:rFonts w:ascii="Simplified Arabic" w:hAnsi="Simplified Arabic" w:hint="cs"/>
          <w:rtl/>
        </w:rPr>
        <w:t>على</w:t>
      </w:r>
      <w:r w:rsidRPr="005537D1">
        <w:rPr>
          <w:rFonts w:ascii="Simplified Arabic" w:hAnsi="Simplified Arabic"/>
          <w:rtl/>
        </w:rPr>
        <w:t xml:space="preserve"> </w:t>
      </w:r>
      <w:r w:rsidRPr="005537D1">
        <w:rPr>
          <w:rFonts w:ascii="Simplified Arabic" w:hAnsi="Simplified Arabic" w:hint="cs"/>
          <w:rtl/>
        </w:rPr>
        <w:t>تحسين</w:t>
      </w:r>
      <w:r w:rsidRPr="005537D1">
        <w:rPr>
          <w:rFonts w:ascii="Simplified Arabic" w:hAnsi="Simplified Arabic"/>
          <w:rtl/>
        </w:rPr>
        <w:t xml:space="preserve"> </w:t>
      </w:r>
      <w:r w:rsidRPr="005537D1">
        <w:rPr>
          <w:rFonts w:ascii="Simplified Arabic" w:hAnsi="Simplified Arabic" w:hint="cs"/>
          <w:rtl/>
        </w:rPr>
        <w:t>قدراتها</w:t>
      </w:r>
      <w:r w:rsidRPr="005537D1">
        <w:rPr>
          <w:rFonts w:ascii="Simplified Arabic" w:hAnsi="Simplified Arabic"/>
          <w:rtl/>
        </w:rPr>
        <w:t xml:space="preserve"> </w:t>
      </w:r>
      <w:r w:rsidRPr="005537D1">
        <w:rPr>
          <w:rFonts w:ascii="Simplified Arabic" w:hAnsi="Simplified Arabic" w:hint="cs"/>
          <w:rtl/>
        </w:rPr>
        <w:t>الفردية</w:t>
      </w:r>
      <w:r w:rsidRPr="005537D1">
        <w:rPr>
          <w:rFonts w:ascii="Simplified Arabic" w:hAnsi="Simplified Arabic"/>
          <w:rtl/>
        </w:rPr>
        <w:t xml:space="preserve"> </w:t>
      </w:r>
      <w:r w:rsidRPr="005537D1">
        <w:rPr>
          <w:rFonts w:ascii="Simplified Arabic" w:hAnsi="Simplified Arabic" w:hint="cs"/>
          <w:rtl/>
        </w:rPr>
        <w:t>والجماعية</w:t>
      </w:r>
      <w:r w:rsidRPr="005537D1">
        <w:rPr>
          <w:rFonts w:ascii="Simplified Arabic" w:hAnsi="Simplified Arabic"/>
          <w:rtl/>
        </w:rPr>
        <w:t xml:space="preserve"> </w:t>
      </w:r>
      <w:r w:rsidRPr="005537D1">
        <w:rPr>
          <w:rFonts w:ascii="Simplified Arabic" w:hAnsi="Simplified Arabic" w:hint="cs"/>
          <w:rtl/>
        </w:rPr>
        <w:t>على</w:t>
      </w:r>
      <w:r w:rsidRPr="005537D1">
        <w:rPr>
          <w:rFonts w:ascii="Simplified Arabic" w:hAnsi="Simplified Arabic"/>
          <w:rtl/>
        </w:rPr>
        <w:t xml:space="preserve"> </w:t>
      </w:r>
      <w:r w:rsidRPr="005537D1">
        <w:rPr>
          <w:rFonts w:ascii="Simplified Arabic" w:hAnsi="Simplified Arabic" w:hint="cs"/>
          <w:rtl/>
        </w:rPr>
        <w:t>تنفيذ</w:t>
      </w:r>
      <w:r w:rsidRPr="005537D1">
        <w:rPr>
          <w:rFonts w:ascii="Simplified Arabic" w:hAnsi="Simplified Arabic"/>
          <w:rtl/>
        </w:rPr>
        <w:t xml:space="preserve"> </w:t>
      </w:r>
      <w:r w:rsidRPr="005537D1">
        <w:rPr>
          <w:rFonts w:ascii="Simplified Arabic" w:hAnsi="Simplified Arabic" w:hint="cs"/>
          <w:rtl/>
        </w:rPr>
        <w:t>الاتفاقية</w:t>
      </w:r>
      <w:r w:rsidRPr="005537D1">
        <w:rPr>
          <w:rFonts w:ascii="Simplified Arabic" w:hAnsi="Simplified Arabic"/>
          <w:rtl/>
        </w:rPr>
        <w:t xml:space="preserve"> </w:t>
      </w:r>
      <w:r w:rsidRPr="005537D1">
        <w:rPr>
          <w:rFonts w:ascii="Simplified Arabic" w:hAnsi="Simplified Arabic" w:hint="cs"/>
          <w:rtl/>
        </w:rPr>
        <w:t>بفعالية</w:t>
      </w:r>
      <w:r w:rsidRPr="005537D1">
        <w:rPr>
          <w:rFonts w:ascii="Simplified Arabic" w:hAnsi="Simplified Arabic"/>
          <w:rtl/>
        </w:rPr>
        <w:t xml:space="preserve"> </w:t>
      </w:r>
      <w:r w:rsidRPr="005537D1">
        <w:rPr>
          <w:rFonts w:ascii="Simplified Arabic" w:hAnsi="Simplified Arabic" w:hint="cs"/>
          <w:rtl/>
        </w:rPr>
        <w:t>أكبر</w:t>
      </w:r>
      <w:r w:rsidRPr="005537D1">
        <w:rPr>
          <w:rFonts w:ascii="Simplified Arabic" w:hAnsi="Simplified Arabic"/>
          <w:rtl/>
        </w:rPr>
        <w:t xml:space="preserve"> </w:t>
      </w:r>
      <w:r w:rsidRPr="005537D1">
        <w:rPr>
          <w:rFonts w:ascii="Simplified Arabic" w:hAnsi="Simplified Arabic" w:hint="cs"/>
          <w:rtl/>
        </w:rPr>
        <w:t>عن</w:t>
      </w:r>
      <w:r w:rsidRPr="005537D1">
        <w:rPr>
          <w:rFonts w:ascii="Simplified Arabic" w:hAnsi="Simplified Arabic"/>
          <w:rtl/>
        </w:rPr>
        <w:t xml:space="preserve"> </w:t>
      </w:r>
      <w:r w:rsidRPr="005537D1">
        <w:rPr>
          <w:rFonts w:ascii="Simplified Arabic" w:hAnsi="Simplified Arabic" w:hint="cs"/>
          <w:rtl/>
        </w:rPr>
        <w:t>طريق</w:t>
      </w:r>
      <w:r w:rsidRPr="005537D1">
        <w:rPr>
          <w:rFonts w:ascii="Simplified Arabic" w:hAnsi="Simplified Arabic"/>
          <w:rtl/>
        </w:rPr>
        <w:t>:</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rtl/>
        </w:rPr>
        <w:t>(</w:t>
      </w:r>
      <w:r w:rsidRPr="005537D1">
        <w:rPr>
          <w:rFonts w:ascii="Simplified Arabic" w:hAnsi="Simplified Arabic" w:hint="cs"/>
          <w:rtl/>
        </w:rPr>
        <w:t>أ</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تقييم</w:t>
      </w:r>
      <w:r w:rsidRPr="005537D1">
        <w:rPr>
          <w:rFonts w:ascii="Simplified Arabic" w:hAnsi="Simplified Arabic"/>
          <w:rtl/>
        </w:rPr>
        <w:t xml:space="preserve"> </w:t>
      </w:r>
      <w:r w:rsidRPr="005537D1">
        <w:rPr>
          <w:rFonts w:ascii="Simplified Arabic" w:hAnsi="Simplified Arabic" w:hint="cs"/>
          <w:rtl/>
        </w:rPr>
        <w:t>وضع</w:t>
      </w:r>
      <w:r w:rsidRPr="005537D1">
        <w:rPr>
          <w:rFonts w:ascii="Simplified Arabic" w:hAnsi="Simplified Arabic"/>
          <w:rtl/>
        </w:rPr>
        <w:t xml:space="preserve"> </w:t>
      </w:r>
      <w:r w:rsidRPr="005537D1">
        <w:rPr>
          <w:rFonts w:ascii="Simplified Arabic" w:hAnsi="Simplified Arabic" w:hint="cs"/>
          <w:rtl/>
        </w:rPr>
        <w:t>وتنفيذ</w:t>
      </w:r>
      <w:r w:rsidRPr="005537D1">
        <w:rPr>
          <w:rFonts w:ascii="Simplified Arabic" w:hAnsi="Simplified Arabic"/>
          <w:rtl/>
        </w:rPr>
        <w:t xml:space="preserve"> </w:t>
      </w:r>
      <w:r w:rsidRPr="005537D1">
        <w:rPr>
          <w:rFonts w:ascii="Simplified Arabic" w:hAnsi="Simplified Arabic" w:hint="cs"/>
          <w:rtl/>
        </w:rPr>
        <w:t>الاستراتيجيات</w:t>
      </w:r>
      <w:r w:rsidRPr="005537D1">
        <w:rPr>
          <w:rFonts w:ascii="Simplified Arabic" w:hAnsi="Simplified Arabic"/>
          <w:rtl/>
        </w:rPr>
        <w:t xml:space="preserve"> </w:t>
      </w:r>
      <w:r w:rsidRPr="005537D1">
        <w:rPr>
          <w:rFonts w:ascii="Simplified Arabic" w:hAnsi="Simplified Arabic" w:hint="cs"/>
          <w:rtl/>
        </w:rPr>
        <w:t>وخطط</w:t>
      </w:r>
      <w:r w:rsidRPr="005537D1">
        <w:rPr>
          <w:rFonts w:ascii="Simplified Arabic" w:hAnsi="Simplified Arabic"/>
          <w:rtl/>
        </w:rPr>
        <w:t xml:space="preserve"> </w:t>
      </w:r>
      <w:r w:rsidRPr="005537D1">
        <w:rPr>
          <w:rFonts w:ascii="Simplified Arabic" w:hAnsi="Simplified Arabic" w:hint="cs"/>
          <w:rtl/>
        </w:rPr>
        <w:t>العمل</w:t>
      </w:r>
      <w:r w:rsidRPr="005537D1">
        <w:rPr>
          <w:rFonts w:ascii="Simplified Arabic" w:hAnsi="Simplified Arabic"/>
          <w:rtl/>
        </w:rPr>
        <w:t xml:space="preserve"> </w:t>
      </w:r>
      <w:r w:rsidRPr="005537D1">
        <w:rPr>
          <w:rFonts w:ascii="Simplified Arabic" w:hAnsi="Simplified Arabic" w:hint="cs"/>
          <w:rtl/>
        </w:rPr>
        <w:t>الوطنية</w:t>
      </w:r>
      <w:r w:rsidRPr="005537D1">
        <w:rPr>
          <w:rFonts w:ascii="Simplified Arabic" w:hAnsi="Simplified Arabic"/>
          <w:rtl/>
        </w:rPr>
        <w:t xml:space="preserve"> </w:t>
      </w:r>
      <w:r w:rsidRPr="005537D1">
        <w:rPr>
          <w:rFonts w:ascii="Simplified Arabic" w:hAnsi="Simplified Arabic" w:hint="cs"/>
          <w:rtl/>
        </w:rPr>
        <w:t>للتنوع</w:t>
      </w:r>
      <w:r w:rsidRPr="005537D1">
        <w:rPr>
          <w:rFonts w:ascii="Simplified Arabic" w:hAnsi="Simplified Arabic"/>
          <w:rtl/>
        </w:rPr>
        <w:t xml:space="preserve"> </w:t>
      </w:r>
      <w:r w:rsidRPr="005537D1">
        <w:rPr>
          <w:rFonts w:ascii="Simplified Arabic" w:hAnsi="Simplified Arabic" w:hint="cs"/>
          <w:rtl/>
        </w:rPr>
        <w:t>البيولوجي</w:t>
      </w:r>
      <w:r w:rsidRPr="005537D1">
        <w:rPr>
          <w:rFonts w:ascii="Simplified Arabic" w:hAnsi="Simplified Arabic"/>
          <w:rtl/>
        </w:rPr>
        <w:t xml:space="preserve"> </w:t>
      </w:r>
      <w:r w:rsidRPr="005537D1">
        <w:rPr>
          <w:rFonts w:ascii="Simplified Arabic" w:hAnsi="Simplified Arabic" w:hint="cs"/>
          <w:rtl/>
        </w:rPr>
        <w:t>وإصدار</w:t>
      </w:r>
      <w:r w:rsidRPr="005537D1">
        <w:rPr>
          <w:rFonts w:ascii="Simplified Arabic" w:hAnsi="Simplified Arabic"/>
          <w:rtl/>
        </w:rPr>
        <w:t xml:space="preserve"> </w:t>
      </w:r>
      <w:r w:rsidRPr="005537D1">
        <w:rPr>
          <w:rFonts w:ascii="Simplified Arabic" w:hAnsi="Simplified Arabic" w:hint="cs"/>
          <w:rtl/>
        </w:rPr>
        <w:t>توصيات</w:t>
      </w:r>
      <w:r w:rsidRPr="005537D1">
        <w:rPr>
          <w:rFonts w:ascii="Simplified Arabic" w:hAnsi="Simplified Arabic"/>
          <w:rtl/>
        </w:rPr>
        <w:t xml:space="preserve"> </w:t>
      </w:r>
      <w:r w:rsidRPr="005537D1">
        <w:rPr>
          <w:rFonts w:ascii="Simplified Arabic" w:hAnsi="Simplified Arabic" w:hint="cs"/>
          <w:rtl/>
        </w:rPr>
        <w:t>محددة</w:t>
      </w:r>
      <w:r w:rsidRPr="005537D1">
        <w:rPr>
          <w:rFonts w:ascii="Simplified Arabic" w:hAnsi="Simplified Arabic"/>
          <w:rtl/>
        </w:rPr>
        <w:t xml:space="preserve"> </w:t>
      </w:r>
      <w:r w:rsidRPr="005537D1">
        <w:rPr>
          <w:rFonts w:ascii="Simplified Arabic" w:hAnsi="Simplified Arabic" w:hint="cs"/>
          <w:rtl/>
        </w:rPr>
        <w:t>للأطراف</w:t>
      </w:r>
      <w:r w:rsidRPr="005537D1">
        <w:rPr>
          <w:rFonts w:ascii="Simplified Arabic" w:hAnsi="Simplified Arabic"/>
          <w:rtl/>
        </w:rPr>
        <w:t xml:space="preserve"> </w:t>
      </w:r>
      <w:r w:rsidRPr="005537D1">
        <w:rPr>
          <w:rFonts w:ascii="Simplified Arabic" w:hAnsi="Simplified Arabic" w:hint="cs"/>
          <w:rtl/>
        </w:rPr>
        <w:t>قيد</w:t>
      </w:r>
      <w:r w:rsidRPr="005537D1">
        <w:rPr>
          <w:rFonts w:ascii="Simplified Arabic" w:hAnsi="Simplified Arabic"/>
          <w:rtl/>
        </w:rPr>
        <w:t xml:space="preserve"> </w:t>
      </w:r>
      <w:r w:rsidRPr="005537D1">
        <w:rPr>
          <w:rFonts w:ascii="Simplified Arabic" w:hAnsi="Simplified Arabic" w:hint="cs"/>
          <w:rtl/>
        </w:rPr>
        <w:t>الاستعراض؛</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rtl/>
        </w:rPr>
        <w:t>(</w:t>
      </w:r>
      <w:r w:rsidRPr="005537D1">
        <w:rPr>
          <w:rFonts w:ascii="Simplified Arabic" w:hAnsi="Simplified Arabic" w:hint="cs"/>
          <w:rtl/>
        </w:rPr>
        <w:t>ب</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توفير</w:t>
      </w:r>
      <w:r w:rsidRPr="005537D1">
        <w:rPr>
          <w:rFonts w:ascii="Simplified Arabic" w:hAnsi="Simplified Arabic"/>
          <w:rtl/>
        </w:rPr>
        <w:t xml:space="preserve"> </w:t>
      </w:r>
      <w:r w:rsidRPr="005537D1">
        <w:rPr>
          <w:rFonts w:ascii="Simplified Arabic" w:hAnsi="Simplified Arabic" w:hint="cs"/>
          <w:rtl/>
        </w:rPr>
        <w:t>فرص</w:t>
      </w:r>
      <w:r w:rsidRPr="005537D1">
        <w:rPr>
          <w:rFonts w:ascii="Simplified Arabic" w:hAnsi="Simplified Arabic"/>
          <w:rtl/>
        </w:rPr>
        <w:t xml:space="preserve"> </w:t>
      </w:r>
      <w:r w:rsidRPr="005537D1">
        <w:rPr>
          <w:rFonts w:ascii="Simplified Arabic" w:hAnsi="Simplified Arabic" w:hint="cs"/>
          <w:rtl/>
        </w:rPr>
        <w:t>لتعلم</w:t>
      </w:r>
      <w:r w:rsidRPr="005537D1">
        <w:rPr>
          <w:rFonts w:ascii="Simplified Arabic" w:hAnsi="Simplified Arabic"/>
          <w:rtl/>
        </w:rPr>
        <w:t xml:space="preserve"> </w:t>
      </w:r>
      <w:r w:rsidRPr="005537D1">
        <w:rPr>
          <w:rFonts w:ascii="Simplified Arabic" w:hAnsi="Simplified Arabic" w:hint="cs"/>
          <w:rtl/>
        </w:rPr>
        <w:t>الأقران</w:t>
      </w:r>
      <w:r w:rsidRPr="005537D1">
        <w:rPr>
          <w:rFonts w:ascii="Simplified Arabic" w:hAnsi="Simplified Arabic"/>
          <w:rtl/>
        </w:rPr>
        <w:t xml:space="preserve"> </w:t>
      </w:r>
      <w:r w:rsidRPr="005537D1">
        <w:rPr>
          <w:rFonts w:ascii="Simplified Arabic" w:hAnsi="Simplified Arabic" w:hint="cs"/>
          <w:rtl/>
        </w:rPr>
        <w:t>للأطراف</w:t>
      </w:r>
      <w:r w:rsidRPr="005537D1">
        <w:rPr>
          <w:rFonts w:ascii="Simplified Arabic" w:hAnsi="Simplified Arabic"/>
          <w:rtl/>
        </w:rPr>
        <w:t xml:space="preserve"> </w:t>
      </w:r>
      <w:r w:rsidRPr="005537D1">
        <w:rPr>
          <w:rFonts w:ascii="Simplified Arabic" w:hAnsi="Simplified Arabic" w:hint="cs"/>
          <w:rtl/>
        </w:rPr>
        <w:t>المعنية</w:t>
      </w:r>
      <w:r w:rsidRPr="005537D1">
        <w:rPr>
          <w:rFonts w:ascii="Simplified Arabic" w:hAnsi="Simplified Arabic"/>
          <w:rtl/>
        </w:rPr>
        <w:t xml:space="preserve"> </w:t>
      </w:r>
      <w:r w:rsidRPr="005537D1">
        <w:rPr>
          <w:rFonts w:ascii="Simplified Arabic" w:hAnsi="Simplified Arabic" w:hint="cs"/>
          <w:rtl/>
        </w:rPr>
        <w:t>مباشرة</w:t>
      </w:r>
      <w:r w:rsidRPr="005537D1">
        <w:rPr>
          <w:rFonts w:ascii="Simplified Arabic" w:hAnsi="Simplified Arabic"/>
          <w:rtl/>
        </w:rPr>
        <w:t xml:space="preserve"> </w:t>
      </w:r>
      <w:r w:rsidRPr="005537D1">
        <w:rPr>
          <w:rFonts w:ascii="Simplified Arabic" w:hAnsi="Simplified Arabic" w:hint="cs"/>
          <w:rtl/>
        </w:rPr>
        <w:t>والأطراف</w:t>
      </w:r>
      <w:r w:rsidRPr="005537D1">
        <w:rPr>
          <w:rFonts w:ascii="Simplified Arabic" w:hAnsi="Simplified Arabic"/>
          <w:rtl/>
        </w:rPr>
        <w:t xml:space="preserve"> </w:t>
      </w:r>
      <w:r w:rsidRPr="005537D1">
        <w:rPr>
          <w:rFonts w:ascii="Simplified Arabic" w:hAnsi="Simplified Arabic" w:hint="cs"/>
          <w:rtl/>
        </w:rPr>
        <w:t>الأخرى؛</w:t>
      </w:r>
    </w:p>
    <w:p w:rsidR="00E02C84" w:rsidRPr="005537D1" w:rsidRDefault="00E02C84" w:rsidP="00E02C84">
      <w:pPr>
        <w:spacing w:after="100" w:line="204" w:lineRule="auto"/>
        <w:ind w:firstLine="720"/>
        <w:rPr>
          <w:rFonts w:ascii="Simplified Arabic" w:hAnsi="Simplified Arabic"/>
          <w:rtl/>
        </w:rPr>
      </w:pPr>
      <w:r w:rsidRPr="005537D1">
        <w:rPr>
          <w:rFonts w:ascii="Simplified Arabic" w:hAnsi="Simplified Arabic"/>
          <w:rtl/>
        </w:rPr>
        <w:t>(</w:t>
      </w:r>
      <w:r w:rsidRPr="005537D1">
        <w:rPr>
          <w:rFonts w:ascii="Simplified Arabic" w:hAnsi="Simplified Arabic" w:hint="cs"/>
          <w:rtl/>
        </w:rPr>
        <w:t>ج</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تعزيز</w:t>
      </w:r>
      <w:r w:rsidRPr="005537D1">
        <w:rPr>
          <w:rFonts w:ascii="Simplified Arabic" w:hAnsi="Simplified Arabic"/>
          <w:rtl/>
        </w:rPr>
        <w:t xml:space="preserve"> </w:t>
      </w:r>
      <w:r w:rsidRPr="005537D1">
        <w:rPr>
          <w:rFonts w:ascii="Simplified Arabic" w:hAnsi="Simplified Arabic" w:hint="cs"/>
          <w:rtl/>
        </w:rPr>
        <w:t>الشفافية</w:t>
      </w:r>
      <w:r w:rsidRPr="005537D1">
        <w:rPr>
          <w:rFonts w:ascii="Simplified Arabic" w:hAnsi="Simplified Arabic"/>
          <w:rtl/>
        </w:rPr>
        <w:t xml:space="preserve"> </w:t>
      </w:r>
      <w:r w:rsidRPr="005537D1">
        <w:rPr>
          <w:rFonts w:ascii="Simplified Arabic" w:hAnsi="Simplified Arabic" w:hint="cs"/>
          <w:rtl/>
        </w:rPr>
        <w:t>والمساءلة</w:t>
      </w:r>
      <w:r w:rsidRPr="005537D1">
        <w:rPr>
          <w:rFonts w:ascii="Simplified Arabic" w:hAnsi="Simplified Arabic"/>
          <w:rtl/>
        </w:rPr>
        <w:t xml:space="preserve"> </w:t>
      </w:r>
      <w:r w:rsidRPr="005537D1">
        <w:rPr>
          <w:rFonts w:ascii="Simplified Arabic" w:hAnsi="Simplified Arabic" w:hint="cs"/>
          <w:rtl/>
        </w:rPr>
        <w:t>فيما</w:t>
      </w:r>
      <w:r w:rsidRPr="005537D1">
        <w:rPr>
          <w:rFonts w:ascii="Simplified Arabic" w:hAnsi="Simplified Arabic"/>
          <w:rtl/>
        </w:rPr>
        <w:t xml:space="preserve"> </w:t>
      </w:r>
      <w:r w:rsidRPr="005537D1">
        <w:rPr>
          <w:rFonts w:ascii="Simplified Arabic" w:hAnsi="Simplified Arabic" w:hint="cs"/>
          <w:rtl/>
        </w:rPr>
        <w:t>يتعلق</w:t>
      </w:r>
      <w:r w:rsidRPr="005537D1">
        <w:rPr>
          <w:rFonts w:ascii="Simplified Arabic" w:hAnsi="Simplified Arabic"/>
          <w:rtl/>
        </w:rPr>
        <w:t xml:space="preserve"> </w:t>
      </w:r>
      <w:r w:rsidRPr="005537D1">
        <w:rPr>
          <w:rFonts w:ascii="Simplified Arabic" w:hAnsi="Simplified Arabic" w:hint="cs"/>
          <w:rtl/>
        </w:rPr>
        <w:t>بوضع</w:t>
      </w:r>
      <w:r w:rsidRPr="005537D1">
        <w:rPr>
          <w:rFonts w:ascii="Simplified Arabic" w:hAnsi="Simplified Arabic"/>
          <w:rtl/>
        </w:rPr>
        <w:t xml:space="preserve"> </w:t>
      </w:r>
      <w:r w:rsidRPr="005537D1">
        <w:rPr>
          <w:rFonts w:ascii="Simplified Arabic" w:hAnsi="Simplified Arabic" w:hint="cs"/>
          <w:rtl/>
        </w:rPr>
        <w:t>وتنفيذ</w:t>
      </w:r>
      <w:r w:rsidRPr="005537D1">
        <w:rPr>
          <w:rFonts w:ascii="Simplified Arabic" w:hAnsi="Simplified Arabic"/>
          <w:rtl/>
        </w:rPr>
        <w:t xml:space="preserve"> </w:t>
      </w:r>
      <w:r w:rsidRPr="005537D1">
        <w:rPr>
          <w:rFonts w:ascii="Simplified Arabic" w:hAnsi="Simplified Arabic" w:hint="cs"/>
          <w:rtl/>
        </w:rPr>
        <w:t>الاستراتيجيات</w:t>
      </w:r>
      <w:r w:rsidRPr="005537D1">
        <w:rPr>
          <w:rFonts w:ascii="Simplified Arabic" w:hAnsi="Simplified Arabic"/>
          <w:rtl/>
        </w:rPr>
        <w:t xml:space="preserve"> </w:t>
      </w:r>
      <w:r w:rsidRPr="005537D1">
        <w:rPr>
          <w:rFonts w:ascii="Simplified Arabic" w:hAnsi="Simplified Arabic" w:hint="cs"/>
          <w:rtl/>
        </w:rPr>
        <w:t>وخطط</w:t>
      </w:r>
      <w:r w:rsidRPr="005537D1">
        <w:rPr>
          <w:rFonts w:ascii="Simplified Arabic" w:hAnsi="Simplified Arabic"/>
          <w:rtl/>
        </w:rPr>
        <w:t xml:space="preserve"> </w:t>
      </w:r>
      <w:r w:rsidRPr="005537D1">
        <w:rPr>
          <w:rFonts w:ascii="Simplified Arabic" w:hAnsi="Simplified Arabic" w:hint="cs"/>
          <w:rtl/>
        </w:rPr>
        <w:t>العمل</w:t>
      </w:r>
      <w:r w:rsidRPr="005537D1">
        <w:rPr>
          <w:rFonts w:ascii="Simplified Arabic" w:hAnsi="Simplified Arabic"/>
          <w:rtl/>
        </w:rPr>
        <w:t xml:space="preserve"> </w:t>
      </w:r>
      <w:r w:rsidRPr="005537D1">
        <w:rPr>
          <w:rFonts w:ascii="Simplified Arabic" w:hAnsi="Simplified Arabic" w:hint="cs"/>
          <w:rtl/>
        </w:rPr>
        <w:t>الوطنية</w:t>
      </w:r>
      <w:r w:rsidRPr="005537D1">
        <w:rPr>
          <w:rFonts w:ascii="Simplified Arabic" w:hAnsi="Simplified Arabic"/>
          <w:rtl/>
        </w:rPr>
        <w:t xml:space="preserve"> </w:t>
      </w:r>
      <w:r w:rsidRPr="005537D1">
        <w:rPr>
          <w:rFonts w:ascii="Simplified Arabic" w:hAnsi="Simplified Arabic" w:hint="cs"/>
          <w:rtl/>
        </w:rPr>
        <w:t>للتنوع</w:t>
      </w:r>
      <w:r w:rsidRPr="005537D1">
        <w:rPr>
          <w:rFonts w:ascii="Simplified Arabic" w:hAnsi="Simplified Arabic"/>
          <w:rtl/>
        </w:rPr>
        <w:t xml:space="preserve"> </w:t>
      </w:r>
      <w:r w:rsidRPr="005537D1">
        <w:rPr>
          <w:rFonts w:ascii="Simplified Arabic" w:hAnsi="Simplified Arabic" w:hint="cs"/>
          <w:rtl/>
        </w:rPr>
        <w:t>البيولوجي</w:t>
      </w:r>
      <w:r w:rsidRPr="005537D1">
        <w:rPr>
          <w:rFonts w:ascii="Simplified Arabic" w:hAnsi="Simplified Arabic"/>
          <w:rtl/>
        </w:rPr>
        <w:t xml:space="preserve"> </w:t>
      </w:r>
      <w:r w:rsidRPr="005537D1">
        <w:rPr>
          <w:rFonts w:ascii="Simplified Arabic" w:hAnsi="Simplified Arabic" w:hint="cs"/>
          <w:rtl/>
        </w:rPr>
        <w:t>للجمهور</w:t>
      </w:r>
      <w:r w:rsidRPr="005537D1">
        <w:rPr>
          <w:rFonts w:ascii="Simplified Arabic" w:hAnsi="Simplified Arabic"/>
          <w:rtl/>
        </w:rPr>
        <w:t xml:space="preserve"> </w:t>
      </w:r>
      <w:r w:rsidRPr="005537D1">
        <w:rPr>
          <w:rFonts w:ascii="Simplified Arabic" w:hAnsi="Simplified Arabic" w:hint="cs"/>
          <w:rtl/>
        </w:rPr>
        <w:t>والأطراف</w:t>
      </w:r>
      <w:r w:rsidRPr="005537D1">
        <w:rPr>
          <w:rFonts w:ascii="Simplified Arabic" w:hAnsi="Simplified Arabic"/>
          <w:rtl/>
        </w:rPr>
        <w:t xml:space="preserve"> </w:t>
      </w:r>
      <w:r w:rsidRPr="005537D1">
        <w:rPr>
          <w:rFonts w:ascii="Simplified Arabic" w:hAnsi="Simplified Arabic" w:hint="cs"/>
          <w:rtl/>
        </w:rPr>
        <w:t>الأخرى؛</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hint="cs"/>
          <w:snapToGrid w:val="0"/>
          <w:kern w:val="22"/>
          <w:rtl/>
        </w:rPr>
        <w:t>2-</w:t>
      </w:r>
      <w:r w:rsidRPr="005537D1">
        <w:rPr>
          <w:rFonts w:ascii="Simplified Arabic" w:hAnsi="Simplified Arabic"/>
          <w:snapToGrid w:val="0"/>
          <w:kern w:val="22"/>
          <w:rtl/>
        </w:rPr>
        <w:tab/>
      </w:r>
      <w:r w:rsidRPr="005537D1">
        <w:rPr>
          <w:rFonts w:ascii="Simplified Arabic" w:hAnsi="Simplified Arabic" w:hint="cs"/>
          <w:i/>
          <w:iCs/>
          <w:rtl/>
        </w:rPr>
        <w:t>يرحب</w:t>
      </w:r>
      <w:r w:rsidRPr="005537D1">
        <w:rPr>
          <w:rFonts w:ascii="Simplified Arabic" w:hAnsi="Simplified Arabic"/>
          <w:rtl/>
        </w:rPr>
        <w:t xml:space="preserve"> </w:t>
      </w:r>
      <w:r w:rsidRPr="005537D1">
        <w:rPr>
          <w:rFonts w:ascii="Simplified Arabic" w:hAnsi="Simplified Arabic" w:hint="cs"/>
          <w:rtl/>
        </w:rPr>
        <w:t>بالتقدم</w:t>
      </w:r>
      <w:r w:rsidRPr="005537D1">
        <w:rPr>
          <w:rFonts w:ascii="Simplified Arabic" w:hAnsi="Simplified Arabic"/>
          <w:rtl/>
        </w:rPr>
        <w:t xml:space="preserve"> </w:t>
      </w:r>
      <w:r w:rsidRPr="005537D1">
        <w:rPr>
          <w:rFonts w:ascii="Simplified Arabic" w:hAnsi="Simplified Arabic" w:hint="cs"/>
          <w:rtl/>
        </w:rPr>
        <w:t>المحرز</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تطوير</w:t>
      </w:r>
      <w:r w:rsidRPr="005537D1">
        <w:rPr>
          <w:rFonts w:ascii="Simplified Arabic" w:hAnsi="Simplified Arabic"/>
          <w:rtl/>
        </w:rPr>
        <w:t xml:space="preserve"> </w:t>
      </w:r>
      <w:r w:rsidRPr="005537D1">
        <w:rPr>
          <w:rFonts w:ascii="Simplified Arabic" w:hAnsi="Simplified Arabic" w:hint="cs"/>
          <w:rtl/>
        </w:rPr>
        <w:t>آلية</w:t>
      </w:r>
      <w:r w:rsidRPr="005537D1">
        <w:rPr>
          <w:rFonts w:ascii="Simplified Arabic" w:hAnsi="Simplified Arabic"/>
          <w:rtl/>
        </w:rPr>
        <w:t xml:space="preserve"> </w:t>
      </w:r>
      <w:r w:rsidRPr="005537D1">
        <w:rPr>
          <w:rFonts w:ascii="Simplified Arabic" w:hAnsi="Simplified Arabic" w:hint="cs"/>
          <w:rtl/>
        </w:rPr>
        <w:t>طوعية</w:t>
      </w:r>
      <w:r w:rsidRPr="005537D1">
        <w:rPr>
          <w:rFonts w:ascii="Simplified Arabic" w:hAnsi="Simplified Arabic"/>
          <w:rtl/>
        </w:rPr>
        <w:t xml:space="preserve"> </w:t>
      </w:r>
      <w:r w:rsidRPr="005537D1">
        <w:rPr>
          <w:rFonts w:ascii="Simplified Arabic" w:hAnsi="Simplified Arabic" w:hint="cs"/>
          <w:rtl/>
        </w:rPr>
        <w:t>لاستعراض</w:t>
      </w:r>
      <w:r w:rsidRPr="005537D1">
        <w:rPr>
          <w:rFonts w:ascii="Simplified Arabic" w:hAnsi="Simplified Arabic"/>
          <w:rtl/>
        </w:rPr>
        <w:t xml:space="preserve"> </w:t>
      </w:r>
      <w:r w:rsidRPr="005537D1">
        <w:rPr>
          <w:rFonts w:ascii="Simplified Arabic" w:hAnsi="Simplified Arabic" w:hint="cs"/>
          <w:rtl/>
        </w:rPr>
        <w:t>النظراء،</w:t>
      </w:r>
      <w:r w:rsidRPr="005537D1">
        <w:rPr>
          <w:rFonts w:ascii="Simplified Arabic" w:hAnsi="Simplified Arabic"/>
          <w:rtl/>
        </w:rPr>
        <w:t xml:space="preserve"> </w:t>
      </w:r>
      <w:r w:rsidRPr="005537D1">
        <w:rPr>
          <w:rFonts w:ascii="Simplified Arabic" w:hAnsi="Simplified Arabic" w:hint="cs"/>
          <w:rtl/>
        </w:rPr>
        <w:t>والنتيجة</w:t>
      </w:r>
      <w:r w:rsidRPr="005537D1">
        <w:rPr>
          <w:rFonts w:ascii="Simplified Arabic" w:hAnsi="Simplified Arabic"/>
          <w:rtl/>
        </w:rPr>
        <w:t xml:space="preserve"> </w:t>
      </w:r>
      <w:r w:rsidRPr="005537D1">
        <w:rPr>
          <w:rFonts w:ascii="Simplified Arabic" w:hAnsi="Simplified Arabic" w:hint="cs"/>
          <w:rtl/>
        </w:rPr>
        <w:t>الإيجابية</w:t>
      </w:r>
      <w:r w:rsidRPr="005537D1">
        <w:rPr>
          <w:rFonts w:ascii="Simplified Arabic" w:hAnsi="Simplified Arabic"/>
          <w:rtl/>
        </w:rPr>
        <w:t xml:space="preserve"> </w:t>
      </w:r>
      <w:r w:rsidRPr="005537D1">
        <w:rPr>
          <w:rFonts w:ascii="Simplified Arabic" w:hAnsi="Simplified Arabic" w:hint="cs"/>
          <w:rtl/>
        </w:rPr>
        <w:t>من</w:t>
      </w:r>
      <w:r w:rsidRPr="005537D1">
        <w:rPr>
          <w:rFonts w:ascii="Simplified Arabic" w:hAnsi="Simplified Arabic"/>
          <w:rtl/>
        </w:rPr>
        <w:t xml:space="preserve"> </w:t>
      </w:r>
      <w:r w:rsidRPr="005537D1">
        <w:rPr>
          <w:rFonts w:ascii="Simplified Arabic" w:hAnsi="Simplified Arabic" w:hint="cs"/>
          <w:rtl/>
        </w:rPr>
        <w:t>المرحلة</w:t>
      </w:r>
      <w:r w:rsidRPr="005537D1">
        <w:rPr>
          <w:rFonts w:ascii="Simplified Arabic" w:hAnsi="Simplified Arabic"/>
          <w:rtl/>
        </w:rPr>
        <w:t xml:space="preserve"> </w:t>
      </w:r>
      <w:r w:rsidRPr="005537D1">
        <w:rPr>
          <w:rFonts w:ascii="Simplified Arabic" w:hAnsi="Simplified Arabic" w:hint="cs"/>
          <w:rtl/>
        </w:rPr>
        <w:t>التجريبية</w:t>
      </w:r>
      <w:r w:rsidRPr="005537D1">
        <w:rPr>
          <w:rFonts w:ascii="Simplified Arabic" w:hAnsi="Simplified Arabic"/>
          <w:rtl/>
        </w:rPr>
        <w:t xml:space="preserve"> </w:t>
      </w:r>
      <w:r w:rsidRPr="005537D1">
        <w:rPr>
          <w:rFonts w:ascii="Simplified Arabic" w:hAnsi="Simplified Arabic" w:hint="cs"/>
          <w:rtl/>
        </w:rPr>
        <w:t>التي</w:t>
      </w:r>
      <w:r w:rsidRPr="005537D1">
        <w:rPr>
          <w:rFonts w:ascii="Simplified Arabic" w:hAnsi="Simplified Arabic"/>
          <w:rtl/>
        </w:rPr>
        <w:t xml:space="preserve"> </w:t>
      </w:r>
      <w:r w:rsidRPr="005537D1">
        <w:rPr>
          <w:rFonts w:ascii="Simplified Arabic" w:hAnsi="Simplified Arabic" w:hint="cs"/>
          <w:rtl/>
        </w:rPr>
        <w:t>بدأت</w:t>
      </w:r>
      <w:r w:rsidRPr="005537D1">
        <w:rPr>
          <w:rFonts w:ascii="Simplified Arabic" w:hAnsi="Simplified Arabic"/>
          <w:rtl/>
        </w:rPr>
        <w:t xml:space="preserve"> </w:t>
      </w:r>
      <w:r w:rsidRPr="005537D1">
        <w:rPr>
          <w:rFonts w:ascii="Simplified Arabic" w:hAnsi="Simplified Arabic" w:hint="cs"/>
          <w:rtl/>
        </w:rPr>
        <w:t>من</w:t>
      </w:r>
      <w:r w:rsidRPr="005537D1">
        <w:rPr>
          <w:rFonts w:ascii="Simplified Arabic" w:hAnsi="Simplified Arabic"/>
          <w:rtl/>
        </w:rPr>
        <w:t xml:space="preserve"> </w:t>
      </w:r>
      <w:r w:rsidRPr="005537D1">
        <w:rPr>
          <w:rFonts w:ascii="Simplified Arabic" w:hAnsi="Simplified Arabic" w:hint="cs"/>
          <w:rtl/>
        </w:rPr>
        <w:t>خلال</w:t>
      </w:r>
      <w:r w:rsidRPr="005537D1">
        <w:rPr>
          <w:rFonts w:ascii="Simplified Arabic" w:hAnsi="Simplified Arabic"/>
          <w:rtl/>
        </w:rPr>
        <w:t xml:space="preserve"> </w:t>
      </w:r>
      <w:r w:rsidRPr="005537D1">
        <w:rPr>
          <w:rFonts w:ascii="Simplified Arabic" w:hAnsi="Simplified Arabic" w:hint="cs"/>
          <w:rtl/>
        </w:rPr>
        <w:t>المقرر</w:t>
      </w:r>
      <w:r w:rsidRPr="005537D1">
        <w:rPr>
          <w:rFonts w:ascii="Simplified Arabic" w:hAnsi="Simplified Arabic"/>
          <w:rtl/>
        </w:rPr>
        <w:t xml:space="preserve"> 13/25</w:t>
      </w:r>
      <w:r w:rsidRPr="005537D1">
        <w:rPr>
          <w:rFonts w:ascii="Simplified Arabic" w:hAnsi="Simplified Arabic" w:hint="cs"/>
          <w:rtl/>
        </w:rPr>
        <w:t>؛</w:t>
      </w:r>
    </w:p>
    <w:p w:rsidR="00E02C84" w:rsidRPr="005537D1" w:rsidRDefault="00E02C84" w:rsidP="00E02C84">
      <w:pPr>
        <w:spacing w:after="100" w:line="204" w:lineRule="auto"/>
        <w:ind w:firstLine="720"/>
        <w:rPr>
          <w:rFonts w:ascii="Simplified Arabic" w:hAnsi="Simplified Arabic"/>
          <w:rtl/>
        </w:rPr>
      </w:pPr>
      <w:r w:rsidRPr="005537D1">
        <w:rPr>
          <w:rFonts w:ascii="Simplified Arabic" w:hAnsi="Simplified Arabic"/>
          <w:rtl/>
        </w:rPr>
        <w:t>3 -</w:t>
      </w:r>
      <w:r w:rsidRPr="005537D1">
        <w:rPr>
          <w:rFonts w:ascii="Simplified Arabic" w:hAnsi="Simplified Arabic"/>
          <w:rtl/>
        </w:rPr>
        <w:tab/>
      </w:r>
      <w:r w:rsidRPr="005537D1">
        <w:rPr>
          <w:rFonts w:ascii="Simplified Arabic" w:hAnsi="Simplified Arabic" w:hint="cs"/>
          <w:i/>
          <w:iCs/>
          <w:rtl/>
        </w:rPr>
        <w:t>يقرر</w:t>
      </w:r>
      <w:r w:rsidRPr="005537D1">
        <w:rPr>
          <w:rFonts w:ascii="Simplified Arabic" w:hAnsi="Simplified Arabic"/>
          <w:rtl/>
        </w:rPr>
        <w:t xml:space="preserve"> </w:t>
      </w:r>
      <w:r w:rsidRPr="005537D1">
        <w:rPr>
          <w:rFonts w:ascii="Simplified Arabic" w:hAnsi="Simplified Arabic" w:hint="cs"/>
          <w:rtl/>
        </w:rPr>
        <w:t>إدراج</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الطوعي</w:t>
      </w:r>
      <w:r w:rsidRPr="005537D1">
        <w:rPr>
          <w:rFonts w:ascii="Simplified Arabic" w:hAnsi="Simplified Arabic"/>
          <w:rtl/>
        </w:rPr>
        <w:t xml:space="preserve"> </w:t>
      </w:r>
      <w:r w:rsidRPr="005537D1">
        <w:rPr>
          <w:rFonts w:ascii="Simplified Arabic" w:hAnsi="Simplified Arabic" w:hint="cs"/>
          <w:rtl/>
        </w:rPr>
        <w:t>للنظراء كعنصر</w:t>
      </w:r>
      <w:r w:rsidRPr="005537D1">
        <w:rPr>
          <w:rFonts w:ascii="Simplified Arabic" w:hAnsi="Simplified Arabic"/>
          <w:rtl/>
        </w:rPr>
        <w:t xml:space="preserve"> </w:t>
      </w:r>
      <w:r w:rsidRPr="005537D1">
        <w:rPr>
          <w:rFonts w:ascii="Simplified Arabic" w:hAnsi="Simplified Arabic" w:hint="cs"/>
          <w:rtl/>
        </w:rPr>
        <w:t>من</w:t>
      </w:r>
      <w:r w:rsidRPr="005537D1">
        <w:rPr>
          <w:rFonts w:ascii="Simplified Arabic" w:hAnsi="Simplified Arabic"/>
          <w:rtl/>
        </w:rPr>
        <w:t xml:space="preserve"> </w:t>
      </w:r>
      <w:r w:rsidRPr="005537D1">
        <w:rPr>
          <w:rFonts w:ascii="Simplified Arabic" w:hAnsi="Simplified Arabic" w:hint="cs"/>
          <w:rtl/>
        </w:rPr>
        <w:t>عناصر</w:t>
      </w:r>
      <w:r w:rsidRPr="005537D1">
        <w:rPr>
          <w:rFonts w:ascii="Simplified Arabic" w:hAnsi="Simplified Arabic"/>
          <w:rtl/>
        </w:rPr>
        <w:t xml:space="preserve"> </w:t>
      </w:r>
      <w:r w:rsidRPr="005537D1">
        <w:rPr>
          <w:rFonts w:ascii="Simplified Arabic" w:hAnsi="Simplified Arabic" w:hint="cs"/>
          <w:rtl/>
        </w:rPr>
        <w:t>نهج</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المتعدد</w:t>
      </w:r>
      <w:r w:rsidRPr="005537D1">
        <w:rPr>
          <w:rFonts w:ascii="Simplified Arabic" w:hAnsi="Simplified Arabic"/>
          <w:rtl/>
        </w:rPr>
        <w:t xml:space="preserve"> </w:t>
      </w:r>
      <w:r w:rsidRPr="005537D1">
        <w:rPr>
          <w:rFonts w:ascii="Simplified Arabic" w:hAnsi="Simplified Arabic" w:hint="cs"/>
          <w:rtl/>
        </w:rPr>
        <w:t>الأبعاد</w:t>
      </w:r>
      <w:r w:rsidRPr="005537D1">
        <w:rPr>
          <w:rFonts w:ascii="Simplified Arabic" w:hAnsi="Simplified Arabic"/>
          <w:rtl/>
        </w:rPr>
        <w:t xml:space="preserve"> </w:t>
      </w:r>
      <w:r w:rsidRPr="005537D1">
        <w:rPr>
          <w:rFonts w:ascii="Simplified Arabic" w:hAnsi="Simplified Arabic" w:hint="cs"/>
          <w:rtl/>
        </w:rPr>
        <w:t>بموجب</w:t>
      </w:r>
      <w:r w:rsidRPr="005537D1">
        <w:rPr>
          <w:rFonts w:ascii="Simplified Arabic" w:hAnsi="Simplified Arabic"/>
          <w:rtl/>
        </w:rPr>
        <w:t xml:space="preserve"> </w:t>
      </w:r>
      <w:r w:rsidRPr="005537D1">
        <w:rPr>
          <w:rFonts w:ascii="Simplified Arabic" w:hAnsi="Simplified Arabic" w:hint="cs"/>
          <w:rtl/>
        </w:rPr>
        <w:t>الاتفاقية،</w:t>
      </w:r>
      <w:r w:rsidRPr="005537D1">
        <w:rPr>
          <w:rFonts w:ascii="Simplified Arabic" w:hAnsi="Simplified Arabic"/>
          <w:rtl/>
        </w:rPr>
        <w:t xml:space="preserve"> </w:t>
      </w:r>
      <w:r w:rsidRPr="005537D1">
        <w:rPr>
          <w:rFonts w:ascii="Simplified Arabic" w:hAnsi="Simplified Arabic" w:hint="cs"/>
          <w:i/>
          <w:iCs/>
          <w:rtl/>
        </w:rPr>
        <w:t>ويطلب</w:t>
      </w:r>
      <w:r w:rsidRPr="005537D1">
        <w:rPr>
          <w:rFonts w:ascii="Simplified Arabic" w:hAnsi="Simplified Arabic"/>
          <w:rtl/>
        </w:rPr>
        <w:t xml:space="preserve"> </w:t>
      </w:r>
      <w:r w:rsidRPr="005537D1">
        <w:rPr>
          <w:rFonts w:ascii="Simplified Arabic" w:hAnsi="Simplified Arabic" w:hint="cs"/>
          <w:rtl/>
        </w:rPr>
        <w:t>إلى</w:t>
      </w:r>
      <w:r w:rsidRPr="005537D1">
        <w:rPr>
          <w:rFonts w:ascii="Simplified Arabic" w:hAnsi="Simplified Arabic"/>
          <w:rtl/>
        </w:rPr>
        <w:t xml:space="preserve"> </w:t>
      </w:r>
      <w:r w:rsidRPr="005537D1">
        <w:rPr>
          <w:rFonts w:ascii="Simplified Arabic" w:hAnsi="Simplified Arabic" w:hint="cs"/>
          <w:rtl/>
        </w:rPr>
        <w:t>الأمينة</w:t>
      </w:r>
      <w:r w:rsidRPr="005537D1">
        <w:rPr>
          <w:rFonts w:ascii="Simplified Arabic" w:hAnsi="Simplified Arabic"/>
          <w:rtl/>
        </w:rPr>
        <w:t xml:space="preserve"> </w:t>
      </w:r>
      <w:r w:rsidRPr="005537D1">
        <w:rPr>
          <w:rFonts w:ascii="Simplified Arabic" w:hAnsi="Simplified Arabic" w:hint="cs"/>
          <w:rtl/>
        </w:rPr>
        <w:t>التنفيذية</w:t>
      </w:r>
      <w:r w:rsidRPr="005537D1">
        <w:rPr>
          <w:rFonts w:ascii="Simplified Arabic" w:hAnsi="Simplified Arabic"/>
          <w:rtl/>
        </w:rPr>
        <w:t xml:space="preserve"> </w:t>
      </w:r>
      <w:r w:rsidRPr="005537D1">
        <w:rPr>
          <w:rFonts w:ascii="Simplified Arabic" w:hAnsi="Simplified Arabic" w:hint="cs"/>
          <w:rtl/>
        </w:rPr>
        <w:t>تيسير</w:t>
      </w:r>
      <w:r w:rsidRPr="005537D1">
        <w:rPr>
          <w:rFonts w:ascii="Simplified Arabic" w:hAnsi="Simplified Arabic"/>
          <w:rtl/>
        </w:rPr>
        <w:t xml:space="preserve"> </w:t>
      </w:r>
      <w:r w:rsidRPr="005537D1">
        <w:rPr>
          <w:rFonts w:ascii="Simplified Arabic" w:hAnsi="Simplified Arabic" w:hint="cs"/>
          <w:rtl/>
        </w:rPr>
        <w:t>تشغيله؛</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hint="cs"/>
          <w:rtl/>
        </w:rPr>
        <w:t>4-</w:t>
      </w:r>
      <w:r w:rsidRPr="005537D1">
        <w:rPr>
          <w:rFonts w:ascii="Simplified Arabic" w:hAnsi="Simplified Arabic"/>
          <w:rtl/>
        </w:rPr>
        <w:tab/>
      </w:r>
      <w:r w:rsidRPr="005537D1">
        <w:rPr>
          <w:rFonts w:ascii="Simplified Arabic" w:hAnsi="Simplified Arabic" w:hint="cs"/>
          <w:i/>
          <w:iCs/>
          <w:rtl/>
        </w:rPr>
        <w:t>يطلب</w:t>
      </w:r>
      <w:r w:rsidRPr="005537D1">
        <w:rPr>
          <w:rFonts w:ascii="Simplified Arabic" w:hAnsi="Simplified Arabic" w:hint="cs"/>
          <w:rtl/>
        </w:rPr>
        <w:t xml:space="preserve"> إلى الأمينة التنفيذية، رهنا بتوافر الموارد:</w:t>
      </w:r>
    </w:p>
    <w:p w:rsidR="00E02C84" w:rsidRPr="005537D1" w:rsidRDefault="00E02C84" w:rsidP="00E02C84">
      <w:pPr>
        <w:spacing w:after="100" w:line="204" w:lineRule="auto"/>
        <w:ind w:firstLine="720"/>
        <w:rPr>
          <w:rFonts w:ascii="Simplified Arabic" w:hAnsi="Simplified Arabic"/>
          <w:rtl/>
        </w:rPr>
      </w:pPr>
      <w:r w:rsidRPr="005537D1">
        <w:rPr>
          <w:rFonts w:ascii="Simplified Arabic" w:hAnsi="Simplified Arabic"/>
          <w:rtl/>
        </w:rPr>
        <w:t>(</w:t>
      </w:r>
      <w:r w:rsidRPr="005537D1">
        <w:rPr>
          <w:rFonts w:ascii="Simplified Arabic" w:hAnsi="Simplified Arabic" w:hint="cs"/>
          <w:rtl/>
        </w:rPr>
        <w:t>أ</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مواصلة</w:t>
      </w:r>
      <w:r w:rsidRPr="005537D1">
        <w:rPr>
          <w:rFonts w:ascii="Simplified Arabic" w:hAnsi="Simplified Arabic"/>
          <w:rtl/>
        </w:rPr>
        <w:t xml:space="preserve"> </w:t>
      </w:r>
      <w:r w:rsidRPr="005537D1">
        <w:rPr>
          <w:rFonts w:ascii="Simplified Arabic" w:hAnsi="Simplified Arabic" w:hint="cs"/>
          <w:rtl/>
        </w:rPr>
        <w:t>وضع، استنادا إلى</w:t>
      </w:r>
      <w:r w:rsidRPr="005537D1">
        <w:rPr>
          <w:rFonts w:ascii="Simplified Arabic" w:hAnsi="Simplified Arabic"/>
          <w:rtl/>
        </w:rPr>
        <w:t xml:space="preserve"> </w:t>
      </w:r>
      <w:r w:rsidRPr="005537D1">
        <w:rPr>
          <w:rFonts w:ascii="Simplified Arabic" w:hAnsi="Simplified Arabic" w:hint="cs"/>
          <w:rtl/>
        </w:rPr>
        <w:t>عناصر</w:t>
      </w:r>
      <w:r w:rsidRPr="005537D1">
        <w:rPr>
          <w:rFonts w:ascii="Simplified Arabic" w:hAnsi="Simplified Arabic"/>
          <w:rtl/>
        </w:rPr>
        <w:t xml:space="preserve"> </w:t>
      </w:r>
      <w:r w:rsidRPr="005537D1">
        <w:rPr>
          <w:rFonts w:ascii="Simplified Arabic" w:hAnsi="Simplified Arabic" w:hint="cs"/>
          <w:rtl/>
        </w:rPr>
        <w:t>نهج</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المتعدد</w:t>
      </w:r>
      <w:r w:rsidRPr="005537D1">
        <w:rPr>
          <w:rFonts w:ascii="Simplified Arabic" w:hAnsi="Simplified Arabic"/>
          <w:rtl/>
        </w:rPr>
        <w:t xml:space="preserve"> </w:t>
      </w:r>
      <w:r w:rsidRPr="005537D1">
        <w:rPr>
          <w:rFonts w:ascii="Simplified Arabic" w:hAnsi="Simplified Arabic" w:hint="cs"/>
          <w:rtl/>
        </w:rPr>
        <w:t>الأبعاد</w:t>
      </w:r>
      <w:r w:rsidRPr="005537D1">
        <w:rPr>
          <w:rFonts w:ascii="Simplified Arabic" w:hAnsi="Simplified Arabic"/>
          <w:rtl/>
        </w:rPr>
        <w:t xml:space="preserve"> </w:t>
      </w:r>
      <w:r w:rsidRPr="005537D1">
        <w:rPr>
          <w:rFonts w:ascii="Simplified Arabic" w:hAnsi="Simplified Arabic" w:hint="cs"/>
          <w:rtl/>
        </w:rPr>
        <w:t>المبينة</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المذكرات</w:t>
      </w:r>
      <w:r w:rsidRPr="005537D1">
        <w:rPr>
          <w:rFonts w:ascii="Simplified Arabic" w:hAnsi="Simplified Arabic"/>
          <w:rtl/>
        </w:rPr>
        <w:t xml:space="preserve"> </w:t>
      </w:r>
      <w:r w:rsidRPr="005537D1">
        <w:rPr>
          <w:rFonts w:ascii="Simplified Arabic" w:hAnsi="Simplified Arabic" w:hint="cs"/>
          <w:rtl/>
        </w:rPr>
        <w:t>التي أعدتها الأمينة</w:t>
      </w:r>
      <w:r w:rsidRPr="005537D1">
        <w:rPr>
          <w:rFonts w:ascii="Simplified Arabic" w:hAnsi="Simplified Arabic"/>
          <w:rtl/>
        </w:rPr>
        <w:t xml:space="preserve"> </w:t>
      </w:r>
      <w:r w:rsidRPr="005537D1">
        <w:rPr>
          <w:rFonts w:ascii="Simplified Arabic" w:hAnsi="Simplified Arabic" w:hint="cs"/>
          <w:rtl/>
        </w:rPr>
        <w:t>التنفيذية</w:t>
      </w:r>
      <w:r w:rsidRPr="005537D1">
        <w:rPr>
          <w:rFonts w:ascii="Simplified Arabic" w:hAnsi="Simplified Arabic"/>
          <w:rtl/>
        </w:rPr>
        <w:t xml:space="preserve"> </w:t>
      </w:r>
      <w:r w:rsidRPr="005537D1">
        <w:rPr>
          <w:rFonts w:ascii="Simplified Arabic" w:hAnsi="Simplified Arabic" w:hint="cs"/>
          <w:rtl/>
        </w:rPr>
        <w:t>بشأن</w:t>
      </w:r>
      <w:r w:rsidRPr="005537D1">
        <w:rPr>
          <w:rFonts w:ascii="Simplified Arabic" w:hAnsi="Simplified Arabic"/>
          <w:rtl/>
        </w:rPr>
        <w:t xml:space="preserve"> </w:t>
      </w:r>
      <w:r w:rsidRPr="005537D1">
        <w:rPr>
          <w:rFonts w:ascii="Simplified Arabic" w:hAnsi="Simplified Arabic" w:hint="cs"/>
          <w:rtl/>
        </w:rPr>
        <w:t>هذه</w:t>
      </w:r>
      <w:r w:rsidRPr="005537D1">
        <w:rPr>
          <w:rFonts w:ascii="Simplified Arabic" w:hAnsi="Simplified Arabic"/>
          <w:rtl/>
        </w:rPr>
        <w:t xml:space="preserve"> </w:t>
      </w:r>
      <w:r w:rsidRPr="005537D1">
        <w:rPr>
          <w:rFonts w:ascii="Simplified Arabic" w:hAnsi="Simplified Arabic" w:hint="cs"/>
          <w:rtl/>
        </w:rPr>
        <w:t>المسألة،</w:t>
      </w:r>
      <w:r w:rsidRPr="005537D1">
        <w:rPr>
          <w:rFonts w:ascii="Simplified Arabic" w:hAnsi="Simplified Arabic"/>
          <w:vertAlign w:val="superscript"/>
          <w:rtl/>
        </w:rPr>
        <w:footnoteReference w:id="288"/>
      </w:r>
      <w:r w:rsidRPr="005537D1">
        <w:rPr>
          <w:rFonts w:ascii="Simplified Arabic" w:hAnsi="Simplified Arabic"/>
          <w:rtl/>
        </w:rPr>
        <w:t xml:space="preserve"> </w:t>
      </w:r>
      <w:r w:rsidRPr="005537D1">
        <w:rPr>
          <w:rFonts w:ascii="Simplified Arabic" w:hAnsi="Simplified Arabic" w:hint="cs"/>
          <w:rtl/>
        </w:rPr>
        <w:t>كي</w:t>
      </w:r>
      <w:r w:rsidRPr="005537D1">
        <w:rPr>
          <w:rFonts w:ascii="Simplified Arabic" w:hAnsi="Simplified Arabic"/>
          <w:rtl/>
        </w:rPr>
        <w:t xml:space="preserve"> </w:t>
      </w:r>
      <w:r w:rsidRPr="005537D1">
        <w:rPr>
          <w:rFonts w:ascii="Simplified Arabic" w:hAnsi="Simplified Arabic" w:hint="cs"/>
          <w:rtl/>
        </w:rPr>
        <w:t>تنظر</w:t>
      </w:r>
      <w:r w:rsidRPr="005537D1">
        <w:rPr>
          <w:rFonts w:ascii="Simplified Arabic" w:hAnsi="Simplified Arabic"/>
          <w:rtl/>
        </w:rPr>
        <w:t xml:space="preserve"> </w:t>
      </w:r>
      <w:r w:rsidRPr="005537D1">
        <w:rPr>
          <w:rFonts w:ascii="Simplified Arabic" w:hAnsi="Simplified Arabic" w:hint="cs"/>
          <w:rtl/>
        </w:rPr>
        <w:t>فيها</w:t>
      </w:r>
      <w:r w:rsidRPr="005537D1">
        <w:rPr>
          <w:rFonts w:ascii="Simplified Arabic" w:hAnsi="Simplified Arabic"/>
          <w:rtl/>
        </w:rPr>
        <w:t xml:space="preserve"> </w:t>
      </w:r>
      <w:r w:rsidRPr="005537D1">
        <w:rPr>
          <w:rFonts w:ascii="Simplified Arabic" w:hAnsi="Simplified Arabic" w:hint="cs"/>
          <w:rtl/>
        </w:rPr>
        <w:t>الهيئة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اجتماعها</w:t>
      </w:r>
      <w:r w:rsidRPr="005537D1">
        <w:rPr>
          <w:rFonts w:ascii="Simplified Arabic" w:hAnsi="Simplified Arabic"/>
          <w:rtl/>
        </w:rPr>
        <w:t xml:space="preserve"> </w:t>
      </w:r>
      <w:r w:rsidRPr="005537D1">
        <w:rPr>
          <w:rFonts w:ascii="Simplified Arabic" w:hAnsi="Simplified Arabic" w:hint="cs"/>
          <w:rtl/>
        </w:rPr>
        <w:t>الثالث،</w:t>
      </w:r>
      <w:r w:rsidRPr="005537D1">
        <w:rPr>
          <w:rFonts w:ascii="Simplified Arabic" w:hAnsi="Simplified Arabic"/>
          <w:rtl/>
        </w:rPr>
        <w:t xml:space="preserve"> </w:t>
      </w:r>
      <w:r w:rsidRPr="005537D1">
        <w:rPr>
          <w:rFonts w:ascii="Simplified Arabic" w:hAnsi="Simplified Arabic" w:hint="cs"/>
          <w:rtl/>
        </w:rPr>
        <w:t>خيارات</w:t>
      </w:r>
      <w:r w:rsidRPr="005537D1">
        <w:rPr>
          <w:rFonts w:ascii="Simplified Arabic" w:hAnsi="Simplified Arabic"/>
          <w:rtl/>
        </w:rPr>
        <w:t xml:space="preserve"> </w:t>
      </w:r>
      <w:r w:rsidRPr="005537D1">
        <w:rPr>
          <w:rFonts w:ascii="Simplified Arabic" w:hAnsi="Simplified Arabic" w:hint="cs"/>
          <w:rtl/>
        </w:rPr>
        <w:t>لتعزيز</w:t>
      </w:r>
      <w:r w:rsidRPr="005537D1">
        <w:rPr>
          <w:rFonts w:ascii="Simplified Arabic" w:hAnsi="Simplified Arabic"/>
          <w:rtl/>
        </w:rPr>
        <w:t xml:space="preserve"> </w:t>
      </w:r>
      <w:r w:rsidRPr="005537D1">
        <w:rPr>
          <w:rFonts w:ascii="Simplified Arabic" w:hAnsi="Simplified Arabic" w:hint="cs"/>
          <w:rtl/>
        </w:rPr>
        <w:t>آليات</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بهدف</w:t>
      </w:r>
      <w:r w:rsidRPr="005537D1">
        <w:rPr>
          <w:rFonts w:ascii="Simplified Arabic" w:hAnsi="Simplified Arabic"/>
          <w:rtl/>
        </w:rPr>
        <w:t xml:space="preserve"> </w:t>
      </w:r>
      <w:r w:rsidRPr="005537D1">
        <w:rPr>
          <w:rFonts w:ascii="Simplified Arabic" w:hAnsi="Simplified Arabic" w:hint="cs"/>
          <w:rtl/>
        </w:rPr>
        <w:t>تعزيز</w:t>
      </w:r>
      <w:r w:rsidRPr="005537D1">
        <w:rPr>
          <w:rFonts w:ascii="Simplified Arabic" w:hAnsi="Simplified Arabic"/>
          <w:rtl/>
        </w:rPr>
        <w:t xml:space="preserve"> </w:t>
      </w:r>
      <w:r w:rsidRPr="005537D1">
        <w:rPr>
          <w:rFonts w:ascii="Simplified Arabic" w:hAnsi="Simplified Arabic" w:hint="cs"/>
          <w:rtl/>
        </w:rPr>
        <w:t>تنفيذ</w:t>
      </w:r>
      <w:r w:rsidRPr="005537D1">
        <w:rPr>
          <w:rFonts w:ascii="Simplified Arabic" w:hAnsi="Simplified Arabic"/>
          <w:rtl/>
        </w:rPr>
        <w:t xml:space="preserve"> </w:t>
      </w:r>
      <w:r w:rsidRPr="005537D1">
        <w:rPr>
          <w:rFonts w:ascii="Simplified Arabic" w:hAnsi="Simplified Arabic" w:hint="cs"/>
          <w:rtl/>
        </w:rPr>
        <w:t>الاتفاقية،</w:t>
      </w:r>
      <w:r w:rsidRPr="005537D1">
        <w:rPr>
          <w:rFonts w:ascii="Simplified Arabic" w:hAnsi="Simplified Arabic"/>
          <w:rtl/>
        </w:rPr>
        <w:t xml:space="preserve"> </w:t>
      </w:r>
      <w:r w:rsidRPr="005537D1">
        <w:rPr>
          <w:rFonts w:ascii="Simplified Arabic" w:hAnsi="Simplified Arabic" w:hint="cs"/>
          <w:rtl/>
        </w:rPr>
        <w:t>بما</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ذلك</w:t>
      </w:r>
      <w:r w:rsidRPr="005537D1">
        <w:rPr>
          <w:rFonts w:ascii="Simplified Arabic" w:hAnsi="Simplified Arabic"/>
          <w:rtl/>
        </w:rPr>
        <w:t xml:space="preserve"> </w:t>
      </w:r>
      <w:r w:rsidRPr="005537D1">
        <w:rPr>
          <w:rFonts w:ascii="Simplified Arabic" w:hAnsi="Simplified Arabic" w:hint="cs"/>
          <w:rtl/>
        </w:rPr>
        <w:t>تحليل</w:t>
      </w:r>
      <w:r w:rsidRPr="005537D1">
        <w:rPr>
          <w:rFonts w:ascii="Simplified Arabic" w:hAnsi="Simplified Arabic"/>
          <w:rtl/>
        </w:rPr>
        <w:t xml:space="preserve"> </w:t>
      </w:r>
      <w:r w:rsidRPr="005537D1">
        <w:rPr>
          <w:rFonts w:ascii="Simplified Arabic" w:hAnsi="Simplified Arabic" w:hint="cs"/>
          <w:rtl/>
        </w:rPr>
        <w:t>مواطن</w:t>
      </w:r>
      <w:r w:rsidRPr="005537D1">
        <w:rPr>
          <w:rFonts w:ascii="Simplified Arabic" w:hAnsi="Simplified Arabic"/>
          <w:rtl/>
        </w:rPr>
        <w:t xml:space="preserve"> </w:t>
      </w:r>
      <w:r w:rsidRPr="005537D1">
        <w:rPr>
          <w:rFonts w:ascii="Simplified Arabic" w:hAnsi="Simplified Arabic" w:hint="cs"/>
          <w:rtl/>
        </w:rPr>
        <w:t>القوة</w:t>
      </w:r>
      <w:r w:rsidRPr="005537D1">
        <w:rPr>
          <w:rFonts w:ascii="Simplified Arabic" w:hAnsi="Simplified Arabic"/>
          <w:rtl/>
        </w:rPr>
        <w:t xml:space="preserve"> </w:t>
      </w:r>
      <w:r w:rsidRPr="005537D1">
        <w:rPr>
          <w:rFonts w:ascii="Simplified Arabic" w:hAnsi="Simplified Arabic" w:hint="cs"/>
          <w:rtl/>
        </w:rPr>
        <w:t>والضعف</w:t>
      </w:r>
      <w:r w:rsidRPr="005537D1">
        <w:rPr>
          <w:rFonts w:ascii="Simplified Arabic" w:hAnsi="Simplified Arabic"/>
          <w:rtl/>
        </w:rPr>
        <w:t xml:space="preserve"> </w:t>
      </w:r>
      <w:r w:rsidRPr="005537D1">
        <w:rPr>
          <w:rFonts w:ascii="Simplified Arabic" w:hAnsi="Simplified Arabic" w:hint="cs"/>
          <w:rtl/>
        </w:rPr>
        <w:t>ودلالة</w:t>
      </w:r>
      <w:r w:rsidRPr="005537D1">
        <w:rPr>
          <w:rFonts w:ascii="Simplified Arabic" w:hAnsi="Simplified Arabic"/>
          <w:rtl/>
        </w:rPr>
        <w:t xml:space="preserve"> </w:t>
      </w:r>
      <w:r w:rsidRPr="005537D1">
        <w:rPr>
          <w:rFonts w:ascii="Simplified Arabic" w:hAnsi="Simplified Arabic" w:hint="cs"/>
          <w:rtl/>
        </w:rPr>
        <w:t>على</w:t>
      </w:r>
      <w:r w:rsidRPr="005537D1">
        <w:rPr>
          <w:rFonts w:ascii="Simplified Arabic" w:hAnsi="Simplified Arabic"/>
          <w:rtl/>
        </w:rPr>
        <w:t xml:space="preserve"> </w:t>
      </w:r>
      <w:r w:rsidRPr="005537D1">
        <w:rPr>
          <w:rFonts w:ascii="Simplified Arabic" w:hAnsi="Simplified Arabic" w:hint="cs"/>
          <w:rtl/>
        </w:rPr>
        <w:t>التكاليف</w:t>
      </w:r>
      <w:r w:rsidRPr="005537D1">
        <w:rPr>
          <w:rFonts w:ascii="Simplified Arabic" w:hAnsi="Simplified Arabic"/>
          <w:rtl/>
        </w:rPr>
        <w:t xml:space="preserve"> </w:t>
      </w:r>
      <w:r w:rsidRPr="005537D1">
        <w:rPr>
          <w:rFonts w:ascii="Simplified Arabic" w:hAnsi="Simplified Arabic" w:hint="cs"/>
          <w:rtl/>
        </w:rPr>
        <w:t>وال</w:t>
      </w:r>
      <w:r>
        <w:rPr>
          <w:rFonts w:ascii="Simplified Arabic" w:hAnsi="Simplified Arabic" w:hint="cs"/>
          <w:rtl/>
        </w:rPr>
        <w:t>منافع</w:t>
      </w:r>
      <w:r w:rsidRPr="005537D1">
        <w:rPr>
          <w:rFonts w:ascii="Simplified Arabic" w:hAnsi="Simplified Arabic"/>
          <w:rtl/>
        </w:rPr>
        <w:t xml:space="preserve"> </w:t>
      </w:r>
      <w:r w:rsidRPr="005537D1">
        <w:rPr>
          <w:rFonts w:ascii="Simplified Arabic" w:hAnsi="Simplified Arabic" w:hint="cs"/>
          <w:rtl/>
        </w:rPr>
        <w:t>والأعباء</w:t>
      </w:r>
      <w:r w:rsidRPr="005537D1">
        <w:rPr>
          <w:rFonts w:ascii="Simplified Arabic" w:hAnsi="Simplified Arabic"/>
          <w:rtl/>
        </w:rPr>
        <w:t xml:space="preserve"> </w:t>
      </w:r>
      <w:r w:rsidRPr="005537D1">
        <w:rPr>
          <w:rFonts w:ascii="Simplified Arabic" w:hAnsi="Simplified Arabic" w:hint="cs"/>
          <w:rtl/>
        </w:rPr>
        <w:t>المحتملة</w:t>
      </w:r>
      <w:r w:rsidRPr="005537D1">
        <w:rPr>
          <w:rFonts w:ascii="Simplified Arabic" w:hAnsi="Simplified Arabic"/>
          <w:rtl/>
        </w:rPr>
        <w:t xml:space="preserve"> </w:t>
      </w:r>
      <w:r w:rsidRPr="005537D1">
        <w:rPr>
          <w:rFonts w:ascii="Simplified Arabic" w:hAnsi="Simplified Arabic" w:hint="cs"/>
          <w:rtl/>
        </w:rPr>
        <w:t>للأطراف</w:t>
      </w:r>
      <w:r w:rsidRPr="005537D1">
        <w:rPr>
          <w:rFonts w:ascii="Simplified Arabic" w:hAnsi="Simplified Arabic"/>
          <w:rtl/>
        </w:rPr>
        <w:t xml:space="preserve"> </w:t>
      </w:r>
      <w:r w:rsidRPr="005537D1">
        <w:rPr>
          <w:rFonts w:ascii="Simplified Arabic" w:hAnsi="Simplified Arabic" w:hint="cs"/>
          <w:rtl/>
        </w:rPr>
        <w:t>وأصحاب</w:t>
      </w:r>
      <w:r w:rsidRPr="005537D1">
        <w:rPr>
          <w:rFonts w:ascii="Simplified Arabic" w:hAnsi="Simplified Arabic"/>
          <w:rtl/>
        </w:rPr>
        <w:t xml:space="preserve"> </w:t>
      </w:r>
      <w:r w:rsidRPr="005537D1">
        <w:rPr>
          <w:rFonts w:ascii="Simplified Arabic" w:hAnsi="Simplified Arabic" w:hint="cs"/>
          <w:rtl/>
        </w:rPr>
        <w:t>المصلحة</w:t>
      </w:r>
      <w:r w:rsidRPr="005537D1">
        <w:rPr>
          <w:rFonts w:ascii="Simplified Arabic" w:hAnsi="Simplified Arabic"/>
          <w:rtl/>
        </w:rPr>
        <w:t xml:space="preserve"> </w:t>
      </w:r>
      <w:r w:rsidRPr="005537D1">
        <w:rPr>
          <w:rFonts w:ascii="Simplified Arabic" w:hAnsi="Simplified Arabic" w:hint="cs"/>
          <w:rtl/>
        </w:rPr>
        <w:t>الآخرين</w:t>
      </w:r>
      <w:r w:rsidRPr="005537D1">
        <w:rPr>
          <w:rFonts w:ascii="Simplified Arabic" w:hAnsi="Simplified Arabic"/>
          <w:rtl/>
        </w:rPr>
        <w:t xml:space="preserve"> </w:t>
      </w:r>
      <w:r w:rsidRPr="005537D1">
        <w:rPr>
          <w:rFonts w:ascii="Simplified Arabic" w:hAnsi="Simplified Arabic" w:hint="cs"/>
          <w:rtl/>
        </w:rPr>
        <w:t>والأمانة،</w:t>
      </w:r>
      <w:r w:rsidRPr="005537D1">
        <w:rPr>
          <w:rFonts w:ascii="Simplified Arabic" w:hAnsi="Simplified Arabic"/>
          <w:rtl/>
        </w:rPr>
        <w:t xml:space="preserve"> </w:t>
      </w:r>
      <w:r w:rsidRPr="005537D1">
        <w:rPr>
          <w:rFonts w:ascii="Simplified Arabic" w:hAnsi="Simplified Arabic" w:hint="cs"/>
          <w:rtl/>
        </w:rPr>
        <w:t>مع</w:t>
      </w:r>
      <w:r w:rsidRPr="005537D1">
        <w:rPr>
          <w:rFonts w:ascii="Simplified Arabic" w:hAnsi="Simplified Arabic"/>
          <w:rtl/>
        </w:rPr>
        <w:t xml:space="preserve"> </w:t>
      </w:r>
      <w:r w:rsidRPr="005537D1">
        <w:rPr>
          <w:rFonts w:ascii="Simplified Arabic" w:hAnsi="Simplified Arabic" w:hint="cs"/>
          <w:rtl/>
        </w:rPr>
        <w:t>الأخذ</w:t>
      </w:r>
      <w:r w:rsidRPr="005537D1">
        <w:rPr>
          <w:rFonts w:ascii="Simplified Arabic" w:hAnsi="Simplified Arabic"/>
          <w:rtl/>
        </w:rPr>
        <w:t xml:space="preserve"> </w:t>
      </w:r>
      <w:r>
        <w:rPr>
          <w:rFonts w:ascii="Simplified Arabic" w:hAnsi="Simplified Arabic" w:hint="cs"/>
          <w:rtl/>
        </w:rPr>
        <w:t xml:space="preserve">أيضا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الاعتبار</w:t>
      </w:r>
      <w:r w:rsidRPr="005537D1">
        <w:rPr>
          <w:rFonts w:ascii="Simplified Arabic" w:hAnsi="Simplified Arabic"/>
          <w:rtl/>
        </w:rPr>
        <w:t xml:space="preserve"> </w:t>
      </w:r>
      <w:r w:rsidRPr="005537D1">
        <w:rPr>
          <w:rFonts w:ascii="Simplified Arabic" w:hAnsi="Simplified Arabic" w:hint="cs"/>
          <w:rtl/>
        </w:rPr>
        <w:t>أفضل</w:t>
      </w:r>
      <w:r w:rsidRPr="005537D1">
        <w:rPr>
          <w:rFonts w:ascii="Simplified Arabic" w:hAnsi="Simplified Arabic"/>
          <w:rtl/>
        </w:rPr>
        <w:t xml:space="preserve"> </w:t>
      </w:r>
      <w:r w:rsidRPr="005537D1">
        <w:rPr>
          <w:rFonts w:ascii="Simplified Arabic" w:hAnsi="Simplified Arabic" w:hint="cs"/>
          <w:rtl/>
        </w:rPr>
        <w:t>الممارسات</w:t>
      </w:r>
      <w:r w:rsidRPr="005537D1">
        <w:rPr>
          <w:rFonts w:ascii="Simplified Arabic" w:hAnsi="Simplified Arabic"/>
          <w:rtl/>
        </w:rPr>
        <w:t xml:space="preserve"> </w:t>
      </w:r>
      <w:r w:rsidRPr="005537D1">
        <w:rPr>
          <w:rFonts w:ascii="Simplified Arabic" w:hAnsi="Simplified Arabic" w:hint="cs"/>
          <w:rtl/>
        </w:rPr>
        <w:t>والدروس</w:t>
      </w:r>
      <w:r w:rsidRPr="005537D1">
        <w:rPr>
          <w:rFonts w:ascii="Simplified Arabic" w:hAnsi="Simplified Arabic"/>
          <w:rtl/>
        </w:rPr>
        <w:t xml:space="preserve"> </w:t>
      </w:r>
      <w:r w:rsidRPr="005537D1">
        <w:rPr>
          <w:rFonts w:ascii="Simplified Arabic" w:hAnsi="Simplified Arabic" w:hint="cs"/>
          <w:rtl/>
        </w:rPr>
        <w:t>المستفادة</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العمليات</w:t>
      </w:r>
      <w:r w:rsidRPr="005537D1">
        <w:rPr>
          <w:rFonts w:ascii="Simplified Arabic" w:hAnsi="Simplified Arabic"/>
          <w:rtl/>
        </w:rPr>
        <w:t xml:space="preserve"> </w:t>
      </w:r>
      <w:r w:rsidRPr="005537D1">
        <w:rPr>
          <w:rFonts w:ascii="Simplified Arabic" w:hAnsi="Simplified Arabic" w:hint="cs"/>
          <w:rtl/>
        </w:rPr>
        <w:t>الأخرى والتعليقات</w:t>
      </w:r>
      <w:r w:rsidRPr="005537D1">
        <w:rPr>
          <w:rFonts w:ascii="Simplified Arabic" w:hAnsi="Simplified Arabic"/>
          <w:rtl/>
        </w:rPr>
        <w:t xml:space="preserve"> </w:t>
      </w:r>
      <w:r w:rsidRPr="005537D1">
        <w:rPr>
          <w:rFonts w:ascii="Simplified Arabic" w:hAnsi="Simplified Arabic" w:hint="cs"/>
          <w:rtl/>
        </w:rPr>
        <w:t>الواردة</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الاجتماع</w:t>
      </w:r>
      <w:r w:rsidRPr="005537D1">
        <w:rPr>
          <w:rFonts w:ascii="Simplified Arabic" w:hAnsi="Simplified Arabic"/>
          <w:rtl/>
        </w:rPr>
        <w:t xml:space="preserve"> </w:t>
      </w:r>
      <w:r w:rsidRPr="005537D1">
        <w:rPr>
          <w:rFonts w:ascii="Simplified Arabic" w:hAnsi="Simplified Arabic" w:hint="cs"/>
          <w:rtl/>
        </w:rPr>
        <w:t>الثاني</w:t>
      </w:r>
      <w:r w:rsidRPr="005537D1">
        <w:rPr>
          <w:rFonts w:ascii="Simplified Arabic" w:hAnsi="Simplified Arabic"/>
          <w:rtl/>
        </w:rPr>
        <w:t xml:space="preserve"> </w:t>
      </w:r>
      <w:r w:rsidRPr="005537D1">
        <w:rPr>
          <w:rFonts w:ascii="Simplified Arabic" w:hAnsi="Simplified Arabic" w:hint="cs"/>
          <w:rtl/>
        </w:rPr>
        <w:t>للهيئة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p>
    <w:p w:rsidR="00E02C84" w:rsidRPr="005537D1" w:rsidRDefault="00E02C84" w:rsidP="00E02C84">
      <w:pPr>
        <w:spacing w:after="100" w:line="204" w:lineRule="auto"/>
        <w:ind w:firstLine="720"/>
        <w:rPr>
          <w:rFonts w:ascii="Simplified Arabic" w:hAnsi="Simplified Arabic"/>
          <w:rtl/>
        </w:rPr>
      </w:pPr>
      <w:r w:rsidRPr="005537D1">
        <w:rPr>
          <w:rFonts w:ascii="Simplified Arabic" w:hAnsi="Simplified Arabic"/>
          <w:rtl/>
        </w:rPr>
        <w:t>(</w:t>
      </w:r>
      <w:r w:rsidRPr="005537D1">
        <w:rPr>
          <w:rFonts w:ascii="Simplified Arabic" w:hAnsi="Simplified Arabic" w:hint="cs"/>
          <w:rtl/>
        </w:rPr>
        <w:t>ب</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التحضير</w:t>
      </w:r>
      <w:r w:rsidRPr="005537D1">
        <w:rPr>
          <w:rFonts w:ascii="Simplified Arabic" w:hAnsi="Simplified Arabic"/>
          <w:rtl/>
        </w:rPr>
        <w:t xml:space="preserve"> </w:t>
      </w:r>
      <w:r w:rsidRPr="005537D1">
        <w:rPr>
          <w:rFonts w:ascii="Simplified Arabic" w:hAnsi="Simplified Arabic" w:hint="cs"/>
          <w:rtl/>
        </w:rPr>
        <w:t>لاختبار</w:t>
      </w:r>
      <w:r w:rsidRPr="005537D1">
        <w:rPr>
          <w:rFonts w:ascii="Simplified Arabic" w:hAnsi="Simplified Arabic"/>
          <w:rtl/>
        </w:rPr>
        <w:t xml:space="preserve"> </w:t>
      </w:r>
      <w:r w:rsidRPr="005537D1">
        <w:rPr>
          <w:rFonts w:ascii="Simplified Arabic" w:hAnsi="Simplified Arabic" w:hint="cs"/>
          <w:rtl/>
        </w:rPr>
        <w:t>عملية</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التي</w:t>
      </w:r>
      <w:r w:rsidRPr="005537D1">
        <w:rPr>
          <w:rFonts w:ascii="Simplified Arabic" w:hAnsi="Simplified Arabic"/>
          <w:rtl/>
        </w:rPr>
        <w:t xml:space="preserve"> </w:t>
      </w:r>
      <w:r w:rsidRPr="005537D1">
        <w:rPr>
          <w:rFonts w:ascii="Simplified Arabic" w:hAnsi="Simplified Arabic" w:hint="cs"/>
          <w:rtl/>
        </w:rPr>
        <w:t>يقودها</w:t>
      </w:r>
      <w:r w:rsidRPr="005537D1">
        <w:rPr>
          <w:rFonts w:ascii="Simplified Arabic" w:hAnsi="Simplified Arabic"/>
          <w:rtl/>
        </w:rPr>
        <w:t xml:space="preserve"> </w:t>
      </w:r>
      <w:r w:rsidRPr="005537D1">
        <w:rPr>
          <w:rFonts w:ascii="Simplified Arabic" w:hAnsi="Simplified Arabic" w:hint="cs"/>
          <w:rtl/>
        </w:rPr>
        <w:t>الطرف</w:t>
      </w:r>
      <w:r w:rsidRPr="005537D1">
        <w:rPr>
          <w:rFonts w:ascii="Simplified Arabic" w:hAnsi="Simplified Arabic"/>
          <w:rtl/>
        </w:rPr>
        <w:t xml:space="preserve"> </w:t>
      </w:r>
      <w:r w:rsidRPr="005537D1">
        <w:rPr>
          <w:rFonts w:ascii="Simplified Arabic" w:hAnsi="Simplified Arabic" w:hint="cs"/>
          <w:rtl/>
        </w:rPr>
        <w:t>وتنظيمها</w:t>
      </w:r>
      <w:r w:rsidRPr="005537D1">
        <w:rPr>
          <w:rFonts w:ascii="Simplified Arabic" w:hAnsi="Simplified Arabic"/>
          <w:rtl/>
        </w:rPr>
        <w:t xml:space="preserve"> </w:t>
      </w:r>
      <w:r w:rsidRPr="005537D1">
        <w:rPr>
          <w:rFonts w:ascii="Simplified Arabic" w:hAnsi="Simplified Arabic" w:hint="cs"/>
          <w:rtl/>
        </w:rPr>
        <w:t>من</w:t>
      </w:r>
      <w:r w:rsidRPr="005537D1">
        <w:rPr>
          <w:rFonts w:ascii="Simplified Arabic" w:hAnsi="Simplified Arabic"/>
          <w:rtl/>
        </w:rPr>
        <w:t xml:space="preserve"> </w:t>
      </w:r>
      <w:r w:rsidRPr="005537D1">
        <w:rPr>
          <w:rFonts w:ascii="Simplified Arabic" w:hAnsi="Simplified Arabic" w:hint="cs"/>
          <w:rtl/>
        </w:rPr>
        <w:t>خلال</w:t>
      </w:r>
      <w:r w:rsidRPr="005537D1">
        <w:rPr>
          <w:rFonts w:ascii="Simplified Arabic" w:hAnsi="Simplified Arabic"/>
          <w:rtl/>
        </w:rPr>
        <w:t xml:space="preserve"> </w:t>
      </w:r>
      <w:r w:rsidRPr="005537D1">
        <w:rPr>
          <w:rFonts w:ascii="Simplified Arabic" w:hAnsi="Simplified Arabic" w:hint="cs"/>
          <w:rtl/>
        </w:rPr>
        <w:t>منتدى</w:t>
      </w:r>
      <w:r w:rsidRPr="005537D1">
        <w:rPr>
          <w:rFonts w:ascii="Simplified Arabic" w:hAnsi="Simplified Arabic"/>
          <w:rtl/>
        </w:rPr>
        <w:t xml:space="preserve"> </w:t>
      </w:r>
      <w:r w:rsidRPr="005537D1">
        <w:rPr>
          <w:rFonts w:ascii="Simplified Arabic" w:hAnsi="Simplified Arabic" w:hint="cs"/>
          <w:rtl/>
        </w:rPr>
        <w:t>مفتوح</w:t>
      </w:r>
      <w:r w:rsidRPr="005537D1">
        <w:rPr>
          <w:rFonts w:ascii="Simplified Arabic" w:hAnsi="Simplified Arabic"/>
          <w:rtl/>
        </w:rPr>
        <w:t xml:space="preserve"> </w:t>
      </w:r>
      <w:r w:rsidRPr="005537D1">
        <w:rPr>
          <w:rFonts w:ascii="Simplified Arabic" w:hAnsi="Simplified Arabic" w:hint="cs"/>
          <w:rtl/>
        </w:rPr>
        <w:t>العضوية</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الاجتماع</w:t>
      </w:r>
      <w:r w:rsidRPr="005537D1">
        <w:rPr>
          <w:rFonts w:ascii="Simplified Arabic" w:hAnsi="Simplified Arabic"/>
          <w:rtl/>
        </w:rPr>
        <w:t xml:space="preserve"> </w:t>
      </w:r>
      <w:r w:rsidRPr="005537D1">
        <w:rPr>
          <w:rFonts w:ascii="Simplified Arabic" w:hAnsi="Simplified Arabic" w:hint="cs"/>
          <w:rtl/>
        </w:rPr>
        <w:t>الثالث</w:t>
      </w:r>
      <w:r w:rsidRPr="005537D1">
        <w:rPr>
          <w:rFonts w:ascii="Simplified Arabic" w:hAnsi="Simplified Arabic"/>
          <w:rtl/>
        </w:rPr>
        <w:t xml:space="preserve"> </w:t>
      </w:r>
      <w:r w:rsidRPr="005537D1">
        <w:rPr>
          <w:rFonts w:ascii="Simplified Arabic" w:hAnsi="Simplified Arabic" w:hint="cs"/>
          <w:rtl/>
        </w:rPr>
        <w:t>للهيئة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r w:rsidRPr="005537D1">
        <w:rPr>
          <w:rFonts w:ascii="Simplified Arabic" w:hAnsi="Simplified Arabic"/>
          <w:rtl/>
        </w:rPr>
        <w:t xml:space="preserve"> </w:t>
      </w:r>
      <w:r w:rsidRPr="005537D1">
        <w:rPr>
          <w:rFonts w:ascii="Simplified Arabic" w:hAnsi="Simplified Arabic" w:hint="cs"/>
          <w:rtl/>
        </w:rPr>
        <w:t>بما</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ذلك</w:t>
      </w:r>
      <w:r w:rsidRPr="005537D1">
        <w:rPr>
          <w:rFonts w:ascii="Simplified Arabic" w:hAnsi="Simplified Arabic"/>
          <w:rtl/>
        </w:rPr>
        <w:t xml:space="preserve"> </w:t>
      </w:r>
      <w:r w:rsidRPr="005537D1">
        <w:rPr>
          <w:rFonts w:ascii="Simplified Arabic" w:hAnsi="Simplified Arabic" w:hint="cs"/>
          <w:rtl/>
        </w:rPr>
        <w:t>عن</w:t>
      </w:r>
      <w:r w:rsidRPr="005537D1">
        <w:rPr>
          <w:rFonts w:ascii="Simplified Arabic" w:hAnsi="Simplified Arabic"/>
          <w:rtl/>
        </w:rPr>
        <w:t xml:space="preserve"> </w:t>
      </w:r>
      <w:r w:rsidRPr="005537D1">
        <w:rPr>
          <w:rFonts w:ascii="Simplified Arabic" w:hAnsi="Simplified Arabic" w:hint="cs"/>
          <w:rtl/>
        </w:rPr>
        <w:t>طريق</w:t>
      </w:r>
      <w:r w:rsidRPr="005537D1">
        <w:rPr>
          <w:rFonts w:ascii="Simplified Arabic" w:hAnsi="Simplified Arabic"/>
          <w:rtl/>
        </w:rPr>
        <w:t xml:space="preserve"> </w:t>
      </w:r>
      <w:r w:rsidRPr="005537D1">
        <w:rPr>
          <w:rFonts w:ascii="Simplified Arabic" w:hAnsi="Simplified Arabic" w:hint="cs"/>
          <w:rtl/>
        </w:rPr>
        <w:t>وضع</w:t>
      </w:r>
      <w:r w:rsidRPr="005537D1">
        <w:rPr>
          <w:rFonts w:ascii="Simplified Arabic" w:hAnsi="Simplified Arabic"/>
          <w:rtl/>
        </w:rPr>
        <w:t xml:space="preserve"> </w:t>
      </w:r>
      <w:r w:rsidRPr="005537D1">
        <w:rPr>
          <w:rFonts w:ascii="Simplified Arabic" w:hAnsi="Simplified Arabic" w:hint="cs"/>
          <w:rtl/>
        </w:rPr>
        <w:t>توجيهات</w:t>
      </w:r>
      <w:r w:rsidRPr="005537D1">
        <w:rPr>
          <w:rFonts w:ascii="Simplified Arabic" w:hAnsi="Simplified Arabic"/>
          <w:rtl/>
        </w:rPr>
        <w:t xml:space="preserve"> </w:t>
      </w:r>
      <w:r w:rsidRPr="005537D1">
        <w:rPr>
          <w:rFonts w:ascii="Simplified Arabic" w:hAnsi="Simplified Arabic" w:hint="cs"/>
          <w:rtl/>
        </w:rPr>
        <w:t>للتقديم</w:t>
      </w:r>
      <w:r w:rsidRPr="005537D1">
        <w:rPr>
          <w:rFonts w:ascii="Simplified Arabic" w:hAnsi="Simplified Arabic"/>
          <w:rtl/>
        </w:rPr>
        <w:t xml:space="preserve"> </w:t>
      </w:r>
      <w:r w:rsidRPr="005537D1">
        <w:rPr>
          <w:rFonts w:ascii="Simplified Arabic" w:hAnsi="Simplified Arabic" w:hint="cs"/>
          <w:rtl/>
        </w:rPr>
        <w:t>الطوعي</w:t>
      </w:r>
      <w:r w:rsidRPr="005537D1">
        <w:rPr>
          <w:rFonts w:ascii="Simplified Arabic" w:hAnsi="Simplified Arabic"/>
          <w:rtl/>
        </w:rPr>
        <w:t xml:space="preserve"> </w:t>
      </w:r>
      <w:r w:rsidRPr="005537D1">
        <w:rPr>
          <w:rFonts w:ascii="Simplified Arabic" w:hAnsi="Simplified Arabic" w:hint="cs"/>
          <w:rtl/>
        </w:rPr>
        <w:t>لتقارير</w:t>
      </w:r>
      <w:r w:rsidRPr="005537D1">
        <w:rPr>
          <w:rFonts w:ascii="Simplified Arabic" w:hAnsi="Simplified Arabic"/>
          <w:rtl/>
        </w:rPr>
        <w:t xml:space="preserve"> </w:t>
      </w:r>
      <w:r w:rsidRPr="005537D1">
        <w:rPr>
          <w:rFonts w:ascii="Simplified Arabic" w:hAnsi="Simplified Arabic" w:hint="cs"/>
          <w:rtl/>
        </w:rPr>
        <w:t>الاستعراض</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المنتدى المفتوح</w:t>
      </w:r>
      <w:r w:rsidRPr="005537D1">
        <w:rPr>
          <w:rFonts w:ascii="Simplified Arabic" w:hAnsi="Simplified Arabic"/>
          <w:rtl/>
        </w:rPr>
        <w:t xml:space="preserve"> </w:t>
      </w:r>
      <w:r w:rsidRPr="005537D1">
        <w:rPr>
          <w:rFonts w:ascii="Simplified Arabic" w:hAnsi="Simplified Arabic" w:hint="cs"/>
          <w:rtl/>
        </w:rPr>
        <w:t>العضوية؛</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rtl/>
        </w:rPr>
        <w:lastRenderedPageBreak/>
        <w:t>(</w:t>
      </w:r>
      <w:r w:rsidRPr="005537D1">
        <w:rPr>
          <w:rFonts w:ascii="Simplified Arabic" w:hAnsi="Simplified Arabic" w:hint="cs"/>
          <w:rtl/>
        </w:rPr>
        <w:t>ج</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دعوة</w:t>
      </w:r>
      <w:r w:rsidRPr="005537D1">
        <w:rPr>
          <w:rFonts w:ascii="Simplified Arabic" w:hAnsi="Simplified Arabic"/>
          <w:rtl/>
        </w:rPr>
        <w:t xml:space="preserve"> </w:t>
      </w:r>
      <w:r w:rsidRPr="005537D1">
        <w:rPr>
          <w:rFonts w:ascii="Simplified Arabic" w:hAnsi="Simplified Arabic" w:hint="cs"/>
          <w:rtl/>
        </w:rPr>
        <w:t>الأطراف</w:t>
      </w:r>
      <w:r w:rsidRPr="005537D1">
        <w:rPr>
          <w:rFonts w:ascii="Simplified Arabic" w:hAnsi="Simplified Arabic"/>
          <w:rtl/>
        </w:rPr>
        <w:t xml:space="preserve"> </w:t>
      </w:r>
      <w:r w:rsidRPr="005537D1">
        <w:rPr>
          <w:rFonts w:ascii="Simplified Arabic" w:hAnsi="Simplified Arabic" w:hint="cs"/>
          <w:rtl/>
        </w:rPr>
        <w:t>إلى</w:t>
      </w:r>
      <w:r w:rsidRPr="005537D1">
        <w:rPr>
          <w:rFonts w:ascii="Simplified Arabic" w:hAnsi="Simplified Arabic"/>
          <w:rtl/>
        </w:rPr>
        <w:t xml:space="preserve"> </w:t>
      </w:r>
      <w:r w:rsidRPr="005537D1">
        <w:rPr>
          <w:rFonts w:ascii="Simplified Arabic" w:hAnsi="Simplified Arabic" w:hint="cs"/>
          <w:rtl/>
        </w:rPr>
        <w:t>تقديم</w:t>
      </w:r>
      <w:r w:rsidRPr="005537D1">
        <w:rPr>
          <w:rFonts w:ascii="Simplified Arabic" w:hAnsi="Simplified Arabic"/>
          <w:rtl/>
        </w:rPr>
        <w:t xml:space="preserve"> </w:t>
      </w:r>
      <w:r w:rsidRPr="005537D1">
        <w:rPr>
          <w:rFonts w:ascii="Simplified Arabic" w:hAnsi="Simplified Arabic" w:hint="cs"/>
          <w:rtl/>
        </w:rPr>
        <w:t>تقارير</w:t>
      </w:r>
      <w:r w:rsidRPr="005537D1">
        <w:rPr>
          <w:rFonts w:ascii="Simplified Arabic" w:hAnsi="Simplified Arabic"/>
          <w:rtl/>
        </w:rPr>
        <w:t xml:space="preserve"> </w:t>
      </w:r>
      <w:r w:rsidRPr="005537D1">
        <w:rPr>
          <w:rFonts w:ascii="Simplified Arabic" w:hAnsi="Simplified Arabic" w:hint="cs"/>
          <w:rtl/>
        </w:rPr>
        <w:t>استعراض،</w:t>
      </w:r>
      <w:r w:rsidRPr="005537D1">
        <w:rPr>
          <w:rFonts w:ascii="Simplified Arabic" w:hAnsi="Simplified Arabic"/>
          <w:rtl/>
        </w:rPr>
        <w:t xml:space="preserve"> </w:t>
      </w:r>
      <w:r w:rsidRPr="005537D1">
        <w:rPr>
          <w:rFonts w:ascii="Simplified Arabic" w:hAnsi="Simplified Arabic" w:hint="cs"/>
          <w:rtl/>
        </w:rPr>
        <w:t>على</w:t>
      </w:r>
      <w:r w:rsidRPr="005537D1">
        <w:rPr>
          <w:rFonts w:ascii="Simplified Arabic" w:hAnsi="Simplified Arabic"/>
          <w:rtl/>
        </w:rPr>
        <w:t xml:space="preserve"> </w:t>
      </w:r>
      <w:r w:rsidRPr="005537D1">
        <w:rPr>
          <w:rFonts w:ascii="Simplified Arabic" w:hAnsi="Simplified Arabic" w:hint="cs"/>
          <w:rtl/>
        </w:rPr>
        <w:t>أساس</w:t>
      </w:r>
      <w:r w:rsidRPr="005537D1">
        <w:rPr>
          <w:rFonts w:ascii="Simplified Arabic" w:hAnsi="Simplified Arabic"/>
          <w:rtl/>
        </w:rPr>
        <w:t xml:space="preserve"> </w:t>
      </w:r>
      <w:r w:rsidRPr="005537D1">
        <w:rPr>
          <w:rFonts w:ascii="Simplified Arabic" w:hAnsi="Simplified Arabic" w:hint="cs"/>
          <w:rtl/>
        </w:rPr>
        <w:t>طوعي،</w:t>
      </w:r>
      <w:r w:rsidRPr="005537D1">
        <w:rPr>
          <w:rFonts w:ascii="Simplified Arabic" w:hAnsi="Simplified Arabic"/>
          <w:rtl/>
        </w:rPr>
        <w:t xml:space="preserve"> </w:t>
      </w:r>
      <w:r w:rsidRPr="005537D1">
        <w:rPr>
          <w:rFonts w:ascii="Simplified Arabic" w:hAnsi="Simplified Arabic" w:hint="cs"/>
          <w:rtl/>
        </w:rPr>
        <w:t>لاختبار</w:t>
      </w:r>
      <w:r w:rsidRPr="005537D1">
        <w:rPr>
          <w:rFonts w:ascii="Simplified Arabic" w:hAnsi="Simplified Arabic"/>
          <w:rtl/>
        </w:rPr>
        <w:t xml:space="preserve"> </w:t>
      </w:r>
      <w:r w:rsidRPr="005537D1">
        <w:rPr>
          <w:rFonts w:ascii="Simplified Arabic" w:hAnsi="Simplified Arabic" w:hint="cs"/>
          <w:rtl/>
        </w:rPr>
        <w:t>المنتدى</w:t>
      </w:r>
      <w:r w:rsidRPr="005537D1">
        <w:rPr>
          <w:rFonts w:ascii="Simplified Arabic" w:hAnsi="Simplified Arabic"/>
          <w:rtl/>
        </w:rPr>
        <w:t xml:space="preserve"> </w:t>
      </w:r>
      <w:r w:rsidRPr="005537D1">
        <w:rPr>
          <w:rFonts w:ascii="Simplified Arabic" w:hAnsi="Simplified Arabic" w:hint="cs"/>
          <w:rtl/>
        </w:rPr>
        <w:t>المفتوح</w:t>
      </w:r>
      <w:r w:rsidRPr="005537D1">
        <w:rPr>
          <w:rFonts w:ascii="Simplified Arabic" w:hAnsi="Simplified Arabic"/>
          <w:rtl/>
        </w:rPr>
        <w:t xml:space="preserve"> </w:t>
      </w:r>
      <w:r w:rsidRPr="005537D1">
        <w:rPr>
          <w:rFonts w:ascii="Simplified Arabic" w:hAnsi="Simplified Arabic" w:hint="cs"/>
          <w:rtl/>
        </w:rPr>
        <w:t>العضوية</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الاجتماع</w:t>
      </w:r>
      <w:r w:rsidRPr="005537D1">
        <w:rPr>
          <w:rFonts w:ascii="Simplified Arabic" w:hAnsi="Simplified Arabic"/>
          <w:rtl/>
        </w:rPr>
        <w:t xml:space="preserve"> </w:t>
      </w:r>
      <w:r w:rsidRPr="005537D1">
        <w:rPr>
          <w:rFonts w:ascii="Simplified Arabic" w:hAnsi="Simplified Arabic" w:hint="cs"/>
          <w:rtl/>
        </w:rPr>
        <w:t>الثالث</w:t>
      </w:r>
      <w:r w:rsidRPr="005537D1">
        <w:rPr>
          <w:rFonts w:ascii="Simplified Arabic" w:hAnsi="Simplified Arabic"/>
          <w:rtl/>
        </w:rPr>
        <w:t xml:space="preserve"> </w:t>
      </w:r>
      <w:r w:rsidRPr="005537D1">
        <w:rPr>
          <w:rFonts w:ascii="Simplified Arabic" w:hAnsi="Simplified Arabic" w:hint="cs"/>
          <w:rtl/>
        </w:rPr>
        <w:t>للهيئة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p>
    <w:p w:rsidR="00E02C84" w:rsidRPr="005537D1" w:rsidRDefault="00E02C84" w:rsidP="00E02C84">
      <w:pPr>
        <w:spacing w:after="100" w:line="204" w:lineRule="auto"/>
        <w:ind w:firstLine="720"/>
        <w:rPr>
          <w:rFonts w:ascii="Simplified Arabic" w:hAnsi="Simplified Arabic"/>
        </w:rPr>
      </w:pPr>
      <w:r w:rsidRPr="005537D1">
        <w:rPr>
          <w:rFonts w:ascii="Simplified Arabic" w:hAnsi="Simplified Arabic"/>
          <w:rtl/>
        </w:rPr>
        <w:t>(</w:t>
      </w:r>
      <w:r w:rsidRPr="005537D1">
        <w:rPr>
          <w:rFonts w:ascii="Simplified Arabic" w:hAnsi="Simplified Arabic" w:hint="cs"/>
          <w:rtl/>
        </w:rPr>
        <w:t>د</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مواصلة</w:t>
      </w:r>
      <w:r w:rsidRPr="005537D1">
        <w:rPr>
          <w:rFonts w:ascii="Simplified Arabic" w:hAnsi="Simplified Arabic"/>
          <w:rtl/>
        </w:rPr>
        <w:t xml:space="preserve"> </w:t>
      </w:r>
      <w:r w:rsidRPr="005537D1">
        <w:rPr>
          <w:rFonts w:ascii="Simplified Arabic" w:hAnsi="Simplified Arabic" w:hint="cs"/>
          <w:rtl/>
        </w:rPr>
        <w:t>التشاور</w:t>
      </w:r>
      <w:r w:rsidRPr="005537D1">
        <w:rPr>
          <w:rFonts w:ascii="Simplified Arabic" w:hAnsi="Simplified Arabic"/>
          <w:rtl/>
        </w:rPr>
        <w:t xml:space="preserve"> </w:t>
      </w:r>
      <w:r w:rsidRPr="005537D1">
        <w:rPr>
          <w:rFonts w:ascii="Simplified Arabic" w:hAnsi="Simplified Arabic" w:hint="cs"/>
          <w:rtl/>
        </w:rPr>
        <w:t>مع</w:t>
      </w:r>
      <w:r w:rsidRPr="005537D1">
        <w:rPr>
          <w:rFonts w:ascii="Simplified Arabic" w:hAnsi="Simplified Arabic"/>
          <w:rtl/>
        </w:rPr>
        <w:t xml:space="preserve"> </w:t>
      </w:r>
      <w:r w:rsidRPr="005537D1">
        <w:rPr>
          <w:rFonts w:ascii="Simplified Arabic" w:hAnsi="Simplified Arabic" w:hint="cs"/>
          <w:rtl/>
        </w:rPr>
        <w:t>الأطراف</w:t>
      </w:r>
      <w:r w:rsidRPr="005537D1">
        <w:rPr>
          <w:rFonts w:ascii="Simplified Arabic" w:hAnsi="Simplified Arabic"/>
          <w:rtl/>
        </w:rPr>
        <w:t xml:space="preserve"> </w:t>
      </w:r>
      <w:r w:rsidRPr="005537D1">
        <w:rPr>
          <w:rFonts w:ascii="Simplified Arabic" w:hAnsi="Simplified Arabic" w:hint="cs"/>
          <w:rtl/>
        </w:rPr>
        <w:t>وأصحاب</w:t>
      </w:r>
      <w:r w:rsidRPr="005537D1">
        <w:rPr>
          <w:rFonts w:ascii="Simplified Arabic" w:hAnsi="Simplified Arabic"/>
          <w:rtl/>
        </w:rPr>
        <w:t xml:space="preserve"> </w:t>
      </w:r>
      <w:r w:rsidRPr="005537D1">
        <w:rPr>
          <w:rFonts w:ascii="Simplified Arabic" w:hAnsi="Simplified Arabic" w:hint="cs"/>
          <w:rtl/>
        </w:rPr>
        <w:t>المصلحة</w:t>
      </w:r>
      <w:r w:rsidRPr="005537D1">
        <w:rPr>
          <w:rFonts w:ascii="Simplified Arabic" w:hAnsi="Simplified Arabic"/>
          <w:rtl/>
        </w:rPr>
        <w:t xml:space="preserve"> </w:t>
      </w:r>
      <w:r w:rsidRPr="005537D1">
        <w:rPr>
          <w:rFonts w:ascii="Simplified Arabic" w:hAnsi="Simplified Arabic" w:hint="cs"/>
          <w:rtl/>
        </w:rPr>
        <w:t>الآخرين</w:t>
      </w:r>
      <w:r w:rsidRPr="005537D1">
        <w:rPr>
          <w:rFonts w:ascii="Simplified Arabic" w:hAnsi="Simplified Arabic"/>
          <w:rtl/>
        </w:rPr>
        <w:t xml:space="preserve"> </w:t>
      </w:r>
      <w:r>
        <w:rPr>
          <w:rFonts w:ascii="Simplified Arabic" w:hAnsi="Simplified Arabic" w:hint="cs"/>
          <w:rtl/>
        </w:rPr>
        <w:t xml:space="preserve">والفريق المفتوح العضوية العامل بين الدورات لدعم تحضير الإطار العالمي للتنوع البيولوجي لما بعد عام 2020 المنشئ من خلال المقرر 14/34 </w:t>
      </w:r>
      <w:r w:rsidRPr="005537D1">
        <w:rPr>
          <w:rFonts w:ascii="Simplified Arabic" w:hAnsi="Simplified Arabic" w:hint="cs"/>
          <w:rtl/>
        </w:rPr>
        <w:t>من</w:t>
      </w:r>
      <w:r w:rsidRPr="005537D1">
        <w:rPr>
          <w:rFonts w:ascii="Simplified Arabic" w:hAnsi="Simplified Arabic"/>
          <w:rtl/>
        </w:rPr>
        <w:t xml:space="preserve"> </w:t>
      </w:r>
      <w:r w:rsidRPr="005537D1">
        <w:rPr>
          <w:rFonts w:ascii="Simplified Arabic" w:hAnsi="Simplified Arabic" w:hint="cs"/>
          <w:rtl/>
        </w:rPr>
        <w:t>أجل</w:t>
      </w:r>
      <w:r w:rsidRPr="005537D1">
        <w:rPr>
          <w:rFonts w:ascii="Simplified Arabic" w:hAnsi="Simplified Arabic"/>
          <w:rtl/>
        </w:rPr>
        <w:t xml:space="preserve"> </w:t>
      </w:r>
      <w:r w:rsidRPr="005537D1">
        <w:rPr>
          <w:rFonts w:ascii="Simplified Arabic" w:hAnsi="Simplified Arabic" w:hint="cs"/>
          <w:rtl/>
        </w:rPr>
        <w:t>استكشاف</w:t>
      </w:r>
      <w:r w:rsidRPr="005537D1">
        <w:rPr>
          <w:rFonts w:ascii="Simplified Arabic" w:hAnsi="Simplified Arabic"/>
          <w:rtl/>
        </w:rPr>
        <w:t xml:space="preserve"> </w:t>
      </w:r>
      <w:r w:rsidRPr="005537D1">
        <w:rPr>
          <w:rFonts w:ascii="Simplified Arabic" w:hAnsi="Simplified Arabic" w:hint="cs"/>
          <w:rtl/>
        </w:rPr>
        <w:t>الطرائق</w:t>
      </w:r>
      <w:r w:rsidRPr="005537D1">
        <w:rPr>
          <w:rFonts w:ascii="Simplified Arabic" w:hAnsi="Simplified Arabic"/>
          <w:rtl/>
        </w:rPr>
        <w:t xml:space="preserve"> </w:t>
      </w:r>
      <w:r w:rsidRPr="005537D1">
        <w:rPr>
          <w:rFonts w:ascii="Simplified Arabic" w:hAnsi="Simplified Arabic" w:hint="cs"/>
          <w:rtl/>
        </w:rPr>
        <w:t>الممكنة</w:t>
      </w:r>
      <w:r w:rsidRPr="005537D1">
        <w:rPr>
          <w:rFonts w:ascii="Simplified Arabic" w:hAnsi="Simplified Arabic"/>
          <w:rtl/>
        </w:rPr>
        <w:t xml:space="preserve"> </w:t>
      </w:r>
      <w:r w:rsidRPr="005537D1">
        <w:rPr>
          <w:rFonts w:ascii="Simplified Arabic" w:hAnsi="Simplified Arabic" w:hint="cs"/>
          <w:rtl/>
        </w:rPr>
        <w:t>لتطبيق</w:t>
      </w:r>
      <w:r w:rsidRPr="005537D1">
        <w:rPr>
          <w:rFonts w:ascii="Simplified Arabic" w:hAnsi="Simplified Arabic"/>
          <w:rtl/>
        </w:rPr>
        <w:t xml:space="preserve"> </w:t>
      </w:r>
      <w:r w:rsidRPr="005537D1">
        <w:rPr>
          <w:rFonts w:ascii="Simplified Arabic" w:hAnsi="Simplified Arabic" w:hint="cs"/>
          <w:rtl/>
        </w:rPr>
        <w:t>النُهج</w:t>
      </w:r>
      <w:r w:rsidRPr="005537D1">
        <w:rPr>
          <w:rFonts w:ascii="Simplified Arabic" w:hAnsi="Simplified Arabic"/>
          <w:rtl/>
        </w:rPr>
        <w:t xml:space="preserve"> </w:t>
      </w:r>
      <w:r w:rsidRPr="005537D1">
        <w:rPr>
          <w:rFonts w:ascii="Simplified Arabic" w:hAnsi="Simplified Arabic" w:hint="cs"/>
          <w:rtl/>
        </w:rPr>
        <w:t>لتعزيز</w:t>
      </w:r>
      <w:r w:rsidRPr="005537D1">
        <w:rPr>
          <w:rFonts w:ascii="Simplified Arabic" w:hAnsi="Simplified Arabic"/>
          <w:rtl/>
        </w:rPr>
        <w:t xml:space="preserve"> </w:t>
      </w:r>
      <w:r w:rsidRPr="005537D1">
        <w:rPr>
          <w:rFonts w:ascii="Simplified Arabic" w:hAnsi="Simplified Arabic" w:hint="cs"/>
          <w:rtl/>
        </w:rPr>
        <w:t>استعراض</w:t>
      </w:r>
      <w:r w:rsidRPr="005537D1">
        <w:rPr>
          <w:rFonts w:ascii="Simplified Arabic" w:hAnsi="Simplified Arabic"/>
          <w:rtl/>
        </w:rPr>
        <w:t xml:space="preserve"> </w:t>
      </w:r>
      <w:r w:rsidRPr="005537D1">
        <w:rPr>
          <w:rFonts w:ascii="Simplified Arabic" w:hAnsi="Simplified Arabic" w:hint="cs"/>
          <w:rtl/>
        </w:rPr>
        <w:t>التنفيذ</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عملية</w:t>
      </w:r>
      <w:r w:rsidRPr="005537D1">
        <w:rPr>
          <w:rFonts w:ascii="Simplified Arabic" w:hAnsi="Simplified Arabic"/>
          <w:rtl/>
        </w:rPr>
        <w:t xml:space="preserve"> </w:t>
      </w:r>
      <w:r>
        <w:rPr>
          <w:rFonts w:ascii="Simplified Arabic" w:hAnsi="Simplified Arabic" w:hint="cs"/>
          <w:rtl/>
        </w:rPr>
        <w:t>إعداد</w:t>
      </w:r>
      <w:r w:rsidRPr="005537D1">
        <w:rPr>
          <w:rFonts w:ascii="Simplified Arabic" w:hAnsi="Simplified Arabic"/>
          <w:rtl/>
        </w:rPr>
        <w:t xml:space="preserve"> </w:t>
      </w:r>
      <w:r>
        <w:rPr>
          <w:rFonts w:ascii="Simplified Arabic" w:hAnsi="Simplified Arabic" w:hint="cs"/>
          <w:rtl/>
        </w:rPr>
        <w:t>ال</w:t>
      </w:r>
      <w:r w:rsidRPr="005537D1">
        <w:rPr>
          <w:rFonts w:ascii="Simplified Arabic" w:hAnsi="Simplified Arabic" w:hint="cs"/>
          <w:rtl/>
        </w:rPr>
        <w:t>إطار</w:t>
      </w:r>
      <w:r w:rsidRPr="005537D1">
        <w:rPr>
          <w:rFonts w:ascii="Simplified Arabic" w:hAnsi="Simplified Arabic"/>
          <w:rtl/>
        </w:rPr>
        <w:t xml:space="preserve"> </w:t>
      </w:r>
      <w:r w:rsidRPr="005537D1">
        <w:rPr>
          <w:rFonts w:ascii="Simplified Arabic" w:hAnsi="Simplified Arabic" w:hint="cs"/>
          <w:rtl/>
        </w:rPr>
        <w:t>ا</w:t>
      </w:r>
      <w:r>
        <w:rPr>
          <w:rFonts w:ascii="Simplified Arabic" w:hAnsi="Simplified Arabic" w:hint="cs"/>
          <w:rtl/>
        </w:rPr>
        <w:t>لعالمي ل</w:t>
      </w:r>
      <w:r w:rsidRPr="005537D1">
        <w:rPr>
          <w:rFonts w:ascii="Simplified Arabic" w:hAnsi="Simplified Arabic" w:hint="cs"/>
          <w:rtl/>
        </w:rPr>
        <w:t>لتنوع</w:t>
      </w:r>
      <w:r w:rsidRPr="005537D1">
        <w:rPr>
          <w:rFonts w:ascii="Simplified Arabic" w:hAnsi="Simplified Arabic"/>
          <w:rtl/>
        </w:rPr>
        <w:t xml:space="preserve"> </w:t>
      </w:r>
      <w:r w:rsidRPr="005537D1">
        <w:rPr>
          <w:rFonts w:ascii="Simplified Arabic" w:hAnsi="Simplified Arabic" w:hint="cs"/>
          <w:rtl/>
        </w:rPr>
        <w:t>البيولوجي</w:t>
      </w:r>
      <w:r w:rsidRPr="005537D1">
        <w:rPr>
          <w:rFonts w:ascii="Simplified Arabic" w:hAnsi="Simplified Arabic"/>
          <w:rtl/>
        </w:rPr>
        <w:t xml:space="preserve"> </w:t>
      </w:r>
      <w:r w:rsidRPr="005537D1">
        <w:rPr>
          <w:rFonts w:ascii="Simplified Arabic" w:hAnsi="Simplified Arabic" w:hint="cs"/>
          <w:rtl/>
        </w:rPr>
        <w:t>لما</w:t>
      </w:r>
      <w:r w:rsidRPr="005537D1">
        <w:rPr>
          <w:rFonts w:ascii="Simplified Arabic" w:hAnsi="Simplified Arabic"/>
          <w:rtl/>
        </w:rPr>
        <w:t xml:space="preserve"> </w:t>
      </w:r>
      <w:r w:rsidRPr="005537D1">
        <w:rPr>
          <w:rFonts w:ascii="Simplified Arabic" w:hAnsi="Simplified Arabic" w:hint="cs"/>
          <w:rtl/>
        </w:rPr>
        <w:t>بعد عام</w:t>
      </w:r>
      <w:r w:rsidRPr="005537D1">
        <w:rPr>
          <w:rFonts w:ascii="Simplified Arabic" w:hAnsi="Simplified Arabic"/>
          <w:rtl/>
        </w:rPr>
        <w:t xml:space="preserve"> 2020 </w:t>
      </w:r>
      <w:r w:rsidRPr="005537D1">
        <w:rPr>
          <w:rFonts w:ascii="Simplified Arabic" w:hAnsi="Simplified Arabic" w:hint="cs"/>
          <w:rtl/>
        </w:rPr>
        <w:t>وتقديم</w:t>
      </w:r>
      <w:r w:rsidRPr="005537D1">
        <w:rPr>
          <w:rFonts w:ascii="Simplified Arabic" w:hAnsi="Simplified Arabic"/>
          <w:rtl/>
        </w:rPr>
        <w:t xml:space="preserve"> </w:t>
      </w:r>
      <w:r w:rsidRPr="005537D1">
        <w:rPr>
          <w:rFonts w:ascii="Simplified Arabic" w:hAnsi="Simplified Arabic" w:hint="cs"/>
          <w:rtl/>
        </w:rPr>
        <w:t>تقرير</w:t>
      </w:r>
      <w:r w:rsidRPr="005537D1">
        <w:rPr>
          <w:rFonts w:ascii="Simplified Arabic" w:hAnsi="Simplified Arabic"/>
          <w:rtl/>
        </w:rPr>
        <w:t xml:space="preserve"> </w:t>
      </w:r>
      <w:r w:rsidRPr="005537D1">
        <w:rPr>
          <w:rFonts w:ascii="Simplified Arabic" w:hAnsi="Simplified Arabic" w:hint="cs"/>
          <w:rtl/>
        </w:rPr>
        <w:t>عن</w:t>
      </w:r>
      <w:r w:rsidRPr="005537D1">
        <w:rPr>
          <w:rFonts w:ascii="Simplified Arabic" w:hAnsi="Simplified Arabic"/>
          <w:rtl/>
        </w:rPr>
        <w:t xml:space="preserve"> </w:t>
      </w:r>
      <w:r w:rsidRPr="005537D1">
        <w:rPr>
          <w:rFonts w:ascii="Simplified Arabic" w:hAnsi="Simplified Arabic" w:hint="cs"/>
          <w:rtl/>
        </w:rPr>
        <w:t>التقدم</w:t>
      </w:r>
      <w:r w:rsidRPr="005537D1">
        <w:rPr>
          <w:rFonts w:ascii="Simplified Arabic" w:hAnsi="Simplified Arabic"/>
          <w:rtl/>
        </w:rPr>
        <w:t xml:space="preserve"> </w:t>
      </w:r>
      <w:r w:rsidRPr="005537D1">
        <w:rPr>
          <w:rFonts w:ascii="Simplified Arabic" w:hAnsi="Simplified Arabic" w:hint="cs"/>
          <w:rtl/>
        </w:rPr>
        <w:t>المحرز</w:t>
      </w:r>
      <w:r w:rsidRPr="005537D1">
        <w:rPr>
          <w:rFonts w:ascii="Simplified Arabic" w:hAnsi="Simplified Arabic"/>
          <w:rtl/>
        </w:rPr>
        <w:t xml:space="preserve"> </w:t>
      </w:r>
      <w:r w:rsidRPr="005537D1">
        <w:rPr>
          <w:rFonts w:ascii="Simplified Arabic" w:hAnsi="Simplified Arabic" w:hint="cs"/>
          <w:rtl/>
        </w:rPr>
        <w:t>إلى</w:t>
      </w:r>
      <w:r w:rsidRPr="005537D1">
        <w:rPr>
          <w:rFonts w:ascii="Simplified Arabic" w:hAnsi="Simplified Arabic"/>
          <w:rtl/>
        </w:rPr>
        <w:t xml:space="preserve"> </w:t>
      </w:r>
      <w:r w:rsidRPr="005537D1">
        <w:rPr>
          <w:rFonts w:ascii="Simplified Arabic" w:hAnsi="Simplified Arabic" w:hint="cs"/>
          <w:rtl/>
        </w:rPr>
        <w:t>الهيئة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اجتماعها</w:t>
      </w:r>
      <w:r w:rsidRPr="005537D1">
        <w:rPr>
          <w:rFonts w:ascii="Simplified Arabic" w:hAnsi="Simplified Arabic"/>
          <w:rtl/>
        </w:rPr>
        <w:t xml:space="preserve"> </w:t>
      </w:r>
      <w:r w:rsidRPr="005537D1">
        <w:rPr>
          <w:rFonts w:ascii="Simplified Arabic" w:hAnsi="Simplified Arabic" w:hint="cs"/>
          <w:rtl/>
        </w:rPr>
        <w:t>الثالث؛</w:t>
      </w:r>
    </w:p>
    <w:p w:rsidR="00E02C84" w:rsidRPr="005537D1" w:rsidRDefault="00E02C84" w:rsidP="00E02C84">
      <w:pPr>
        <w:spacing w:after="100" w:line="204" w:lineRule="auto"/>
        <w:ind w:firstLine="720"/>
        <w:rPr>
          <w:rFonts w:ascii="Simplified Arabic" w:hAnsi="Simplified Arabic"/>
          <w:rtl/>
        </w:rPr>
      </w:pPr>
      <w:r w:rsidRPr="005537D1">
        <w:rPr>
          <w:rFonts w:ascii="Simplified Arabic" w:hAnsi="Simplified Arabic"/>
          <w:rtl/>
        </w:rPr>
        <w:t>(</w:t>
      </w:r>
      <w:r w:rsidRPr="005537D1">
        <w:rPr>
          <w:rFonts w:ascii="Simplified Arabic" w:hAnsi="Simplified Arabic" w:hint="cs"/>
          <w:rtl/>
        </w:rPr>
        <w:t>ﻫ</w:t>
      </w:r>
      <w:r w:rsidRPr="005537D1">
        <w:rPr>
          <w:rFonts w:ascii="Simplified Arabic" w:hAnsi="Simplified Arabic"/>
          <w:rtl/>
        </w:rPr>
        <w:t>)</w:t>
      </w:r>
      <w:r w:rsidRPr="005537D1">
        <w:rPr>
          <w:rFonts w:ascii="Simplified Arabic" w:hAnsi="Simplified Arabic"/>
          <w:rtl/>
        </w:rPr>
        <w:tab/>
      </w:r>
      <w:r w:rsidRPr="005537D1">
        <w:rPr>
          <w:rFonts w:ascii="Simplified Arabic" w:hAnsi="Simplified Arabic" w:hint="cs"/>
          <w:rtl/>
        </w:rPr>
        <w:t>استكشاف</w:t>
      </w:r>
      <w:r w:rsidRPr="005537D1">
        <w:rPr>
          <w:rFonts w:ascii="Simplified Arabic" w:hAnsi="Simplified Arabic"/>
          <w:rtl/>
        </w:rPr>
        <w:t xml:space="preserve"> </w:t>
      </w:r>
      <w:r w:rsidRPr="005537D1">
        <w:rPr>
          <w:rFonts w:ascii="Simplified Arabic" w:hAnsi="Simplified Arabic" w:hint="cs"/>
          <w:rtl/>
        </w:rPr>
        <w:t>الطرائق</w:t>
      </w:r>
      <w:r w:rsidRPr="005537D1">
        <w:rPr>
          <w:rFonts w:ascii="Simplified Arabic" w:hAnsi="Simplified Arabic"/>
          <w:rtl/>
        </w:rPr>
        <w:t xml:space="preserve"> </w:t>
      </w:r>
      <w:r w:rsidRPr="005537D1">
        <w:rPr>
          <w:rFonts w:ascii="Simplified Arabic" w:hAnsi="Simplified Arabic" w:hint="cs"/>
          <w:rtl/>
        </w:rPr>
        <w:t>الممكنة</w:t>
      </w:r>
      <w:r w:rsidRPr="005537D1">
        <w:rPr>
          <w:rFonts w:ascii="Simplified Arabic" w:hAnsi="Simplified Arabic"/>
          <w:rtl/>
        </w:rPr>
        <w:t xml:space="preserve"> </w:t>
      </w:r>
      <w:r w:rsidRPr="005537D1">
        <w:rPr>
          <w:rFonts w:ascii="Simplified Arabic" w:hAnsi="Simplified Arabic" w:hint="cs"/>
          <w:rtl/>
        </w:rPr>
        <w:t>لتطبيق</w:t>
      </w:r>
      <w:r w:rsidRPr="005537D1">
        <w:rPr>
          <w:rFonts w:ascii="Simplified Arabic" w:hAnsi="Simplified Arabic"/>
          <w:rtl/>
        </w:rPr>
        <w:t xml:space="preserve"> </w:t>
      </w:r>
      <w:r w:rsidRPr="005537D1">
        <w:rPr>
          <w:rFonts w:ascii="Simplified Arabic" w:hAnsi="Simplified Arabic" w:hint="cs"/>
          <w:rtl/>
        </w:rPr>
        <w:t>هذه</w:t>
      </w:r>
      <w:r w:rsidRPr="005537D1">
        <w:rPr>
          <w:rFonts w:ascii="Simplified Arabic" w:hAnsi="Simplified Arabic"/>
          <w:rtl/>
        </w:rPr>
        <w:t xml:space="preserve"> </w:t>
      </w:r>
      <w:r w:rsidRPr="005537D1">
        <w:rPr>
          <w:rFonts w:ascii="Simplified Arabic" w:hAnsi="Simplified Arabic" w:hint="cs"/>
          <w:rtl/>
        </w:rPr>
        <w:t>النُهج</w:t>
      </w:r>
      <w:r w:rsidRPr="005537D1">
        <w:rPr>
          <w:rFonts w:ascii="Simplified Arabic" w:hAnsi="Simplified Arabic"/>
          <w:rtl/>
        </w:rPr>
        <w:t xml:space="preserve"> </w:t>
      </w:r>
      <w:r w:rsidRPr="005537D1">
        <w:rPr>
          <w:rFonts w:ascii="Simplified Arabic" w:hAnsi="Simplified Arabic" w:hint="cs"/>
          <w:rtl/>
        </w:rPr>
        <w:t>بغية</w:t>
      </w:r>
      <w:r w:rsidRPr="005537D1">
        <w:rPr>
          <w:rFonts w:ascii="Simplified Arabic" w:hAnsi="Simplified Arabic"/>
          <w:rtl/>
        </w:rPr>
        <w:t xml:space="preserve"> </w:t>
      </w:r>
      <w:r w:rsidRPr="005537D1">
        <w:rPr>
          <w:rFonts w:ascii="Simplified Arabic" w:hAnsi="Simplified Arabic" w:hint="cs"/>
          <w:rtl/>
        </w:rPr>
        <w:t>تعزيز</w:t>
      </w:r>
      <w:r w:rsidRPr="005537D1">
        <w:rPr>
          <w:rFonts w:ascii="Simplified Arabic" w:hAnsi="Simplified Arabic"/>
          <w:rtl/>
        </w:rPr>
        <w:t xml:space="preserve"> </w:t>
      </w:r>
      <w:r w:rsidRPr="005537D1">
        <w:rPr>
          <w:rFonts w:ascii="Simplified Arabic" w:hAnsi="Simplified Arabic" w:hint="cs"/>
          <w:rtl/>
        </w:rPr>
        <w:t>استعراض</w:t>
      </w:r>
      <w:r w:rsidRPr="005537D1">
        <w:rPr>
          <w:rFonts w:ascii="Simplified Arabic" w:hAnsi="Simplified Arabic"/>
          <w:rtl/>
        </w:rPr>
        <w:t xml:space="preserve"> </w:t>
      </w:r>
      <w:r w:rsidRPr="005537D1">
        <w:rPr>
          <w:rFonts w:ascii="Simplified Arabic" w:hAnsi="Simplified Arabic" w:hint="cs"/>
          <w:rtl/>
        </w:rPr>
        <w:t>التنفيذ</w:t>
      </w:r>
      <w:r w:rsidRPr="005537D1">
        <w:rPr>
          <w:rFonts w:ascii="Simplified Arabic" w:hAnsi="Simplified Arabic"/>
          <w:rtl/>
        </w:rPr>
        <w:t xml:space="preserve"> </w:t>
      </w:r>
      <w:r w:rsidRPr="005537D1">
        <w:rPr>
          <w:rFonts w:ascii="Simplified Arabic" w:hAnsi="Simplified Arabic" w:hint="cs"/>
          <w:rtl/>
        </w:rPr>
        <w:t>كي</w:t>
      </w:r>
      <w:r w:rsidRPr="005537D1">
        <w:rPr>
          <w:rFonts w:ascii="Simplified Arabic" w:hAnsi="Simplified Arabic"/>
          <w:rtl/>
        </w:rPr>
        <w:t xml:space="preserve"> </w:t>
      </w:r>
      <w:r w:rsidRPr="005537D1">
        <w:rPr>
          <w:rFonts w:ascii="Simplified Arabic" w:hAnsi="Simplified Arabic" w:hint="cs"/>
          <w:rtl/>
        </w:rPr>
        <w:t>تنظر</w:t>
      </w:r>
      <w:r w:rsidRPr="005537D1">
        <w:rPr>
          <w:rFonts w:ascii="Simplified Arabic" w:hAnsi="Simplified Arabic"/>
          <w:rtl/>
        </w:rPr>
        <w:t xml:space="preserve"> </w:t>
      </w:r>
      <w:r w:rsidRPr="005537D1">
        <w:rPr>
          <w:rFonts w:ascii="Simplified Arabic" w:hAnsi="Simplified Arabic" w:hint="cs"/>
          <w:rtl/>
        </w:rPr>
        <w:t>فيه</w:t>
      </w:r>
      <w:r w:rsidRPr="005537D1">
        <w:rPr>
          <w:rFonts w:ascii="Simplified Arabic" w:hAnsi="Simplified Arabic"/>
          <w:rtl/>
        </w:rPr>
        <w:t xml:space="preserve"> </w:t>
      </w:r>
      <w:r w:rsidRPr="005537D1">
        <w:rPr>
          <w:rFonts w:ascii="Simplified Arabic" w:hAnsi="Simplified Arabic" w:hint="cs"/>
          <w:rtl/>
        </w:rPr>
        <w:t>الهيئة</w:t>
      </w:r>
      <w:r w:rsidRPr="005537D1">
        <w:rPr>
          <w:rFonts w:ascii="Simplified Arabic" w:hAnsi="Simplified Arabic"/>
          <w:rtl/>
        </w:rPr>
        <w:t xml:space="preserve"> </w:t>
      </w:r>
      <w:r w:rsidRPr="005537D1">
        <w:rPr>
          <w:rFonts w:ascii="Simplified Arabic" w:hAnsi="Simplified Arabic" w:hint="cs"/>
          <w:rtl/>
        </w:rPr>
        <w:t>الفرعية</w:t>
      </w:r>
      <w:r w:rsidRPr="005537D1">
        <w:rPr>
          <w:rFonts w:ascii="Simplified Arabic" w:hAnsi="Simplified Arabic"/>
          <w:rtl/>
        </w:rPr>
        <w:t xml:space="preserve"> </w:t>
      </w:r>
      <w:r w:rsidRPr="005537D1">
        <w:rPr>
          <w:rFonts w:ascii="Simplified Arabic" w:hAnsi="Simplified Arabic" w:hint="cs"/>
          <w:rtl/>
        </w:rPr>
        <w:t>للتنفيذ</w:t>
      </w:r>
      <w:r w:rsidRPr="005537D1">
        <w:rPr>
          <w:rFonts w:ascii="Simplified Arabic" w:hAnsi="Simplified Arabic"/>
          <w:rtl/>
        </w:rPr>
        <w:t xml:space="preserve"> </w:t>
      </w:r>
      <w:r w:rsidRPr="005537D1">
        <w:rPr>
          <w:rFonts w:ascii="Simplified Arabic" w:hAnsi="Simplified Arabic" w:hint="cs"/>
          <w:rtl/>
        </w:rPr>
        <w:t>في</w:t>
      </w:r>
      <w:r w:rsidRPr="005537D1">
        <w:rPr>
          <w:rFonts w:ascii="Simplified Arabic" w:hAnsi="Simplified Arabic"/>
          <w:rtl/>
        </w:rPr>
        <w:t xml:space="preserve"> </w:t>
      </w:r>
      <w:r w:rsidRPr="005537D1">
        <w:rPr>
          <w:rFonts w:ascii="Simplified Arabic" w:hAnsi="Simplified Arabic" w:hint="cs"/>
          <w:rtl/>
        </w:rPr>
        <w:t>اجتماعها</w:t>
      </w:r>
      <w:r w:rsidRPr="005537D1">
        <w:rPr>
          <w:rFonts w:ascii="Simplified Arabic" w:hAnsi="Simplified Arabic"/>
          <w:rtl/>
        </w:rPr>
        <w:t xml:space="preserve"> </w:t>
      </w:r>
      <w:r w:rsidRPr="005537D1">
        <w:rPr>
          <w:rFonts w:ascii="Simplified Arabic" w:hAnsi="Simplified Arabic" w:hint="cs"/>
          <w:rtl/>
        </w:rPr>
        <w:t>الثالث؛</w:t>
      </w:r>
    </w:p>
    <w:p w:rsidR="00E02C84" w:rsidRDefault="00E02C84" w:rsidP="00E02C84">
      <w:pPr>
        <w:spacing w:after="100" w:line="204" w:lineRule="auto"/>
        <w:ind w:firstLine="720"/>
        <w:rPr>
          <w:rFonts w:ascii="Simplified Arabic" w:hAnsi="Simplified Arabic"/>
          <w:rtl/>
        </w:rPr>
      </w:pPr>
      <w:r w:rsidRPr="005537D1">
        <w:rPr>
          <w:rFonts w:ascii="Simplified Arabic" w:hAnsi="Simplified Arabic" w:hint="cs"/>
          <w:rtl/>
        </w:rPr>
        <w:t>(و)</w:t>
      </w:r>
      <w:r w:rsidRPr="005537D1">
        <w:rPr>
          <w:rFonts w:ascii="Simplified Arabic" w:hAnsi="Simplified Arabic"/>
          <w:rtl/>
        </w:rPr>
        <w:tab/>
      </w:r>
      <w:r w:rsidRPr="005537D1">
        <w:rPr>
          <w:rFonts w:ascii="Simplified Arabic" w:hAnsi="Simplified Arabic" w:hint="cs"/>
          <w:rtl/>
        </w:rPr>
        <w:t>تيسير مواصلة استعراضات النظراء الطوعية ودعوة الأطراف إلى التطوع لإجراء الاستعراض وتسمية مرشحين لأفرقة الاستعراض.</w:t>
      </w:r>
    </w:p>
    <w:p w:rsidR="001D61EA" w:rsidRDefault="001D61EA" w:rsidP="001D61EA">
      <w:pPr>
        <w:spacing w:after="0" w:line="240" w:lineRule="auto"/>
        <w:jc w:val="left"/>
        <w:rPr>
          <w:sz w:val="24"/>
          <w:rtl/>
        </w:rPr>
      </w:pPr>
    </w:p>
    <w:p w:rsidR="001D61EA" w:rsidRDefault="001D61EA" w:rsidP="001D61EA">
      <w:pPr>
        <w:spacing w:after="0" w:line="240" w:lineRule="auto"/>
        <w:jc w:val="left"/>
        <w:rPr>
          <w:b/>
          <w:bCs/>
          <w:sz w:val="24"/>
          <w:rtl/>
        </w:rPr>
      </w:pPr>
      <w:r>
        <w:rPr>
          <w:b/>
          <w:bCs/>
          <w:sz w:val="24"/>
          <w:rtl/>
        </w:rPr>
        <w:br w:type="page"/>
      </w:r>
    </w:p>
    <w:p w:rsidR="00E02C84" w:rsidRPr="006D298F" w:rsidRDefault="00E02C84" w:rsidP="00246CBF">
      <w:pPr>
        <w:pStyle w:val="Heading1"/>
        <w:rPr>
          <w:b w:val="0"/>
          <w:bCs w:val="0"/>
          <w:szCs w:val="24"/>
          <w:rtl/>
          <w:lang w:val="en-GB"/>
        </w:rPr>
      </w:pPr>
      <w:bookmarkStart w:id="182" w:name="_Toc6071634"/>
      <w:bookmarkStart w:id="183" w:name="_Toc6139991"/>
      <w:r w:rsidRPr="006D298F">
        <w:rPr>
          <w:rFonts w:hint="cs"/>
          <w:szCs w:val="24"/>
          <w:rtl/>
          <w:lang w:val="en-GB"/>
        </w:rPr>
        <w:lastRenderedPageBreak/>
        <w:t>المقرر 14/</w:t>
      </w:r>
      <w:r w:rsidRPr="006D298F">
        <w:rPr>
          <w:rFonts w:hint="cs"/>
          <w:b w:val="0"/>
          <w:bCs w:val="0"/>
          <w:szCs w:val="24"/>
          <w:rtl/>
          <w:lang w:val="en-GB"/>
        </w:rPr>
        <w:t>30</w:t>
      </w:r>
      <w:r w:rsidRPr="006D298F">
        <w:rPr>
          <w:rFonts w:hint="cs"/>
          <w:szCs w:val="24"/>
          <w:rtl/>
          <w:lang w:val="en-GB"/>
        </w:rPr>
        <w:tab/>
        <w:t>التعاون مع الاتفاقيات والمنظمات والمبادرات الدولية الأخرى</w:t>
      </w:r>
      <w:bookmarkEnd w:id="182"/>
      <w:bookmarkEnd w:id="183"/>
    </w:p>
    <w:p w:rsidR="00E02C84" w:rsidRPr="00174E55" w:rsidRDefault="00E02C84" w:rsidP="00E02C84">
      <w:pPr>
        <w:ind w:firstLine="720"/>
        <w:rPr>
          <w:i/>
          <w:iCs/>
          <w:rtl/>
        </w:rPr>
      </w:pPr>
      <w:r w:rsidRPr="00174E55">
        <w:rPr>
          <w:rFonts w:hint="cs"/>
          <w:i/>
          <w:iCs/>
          <w:rtl/>
        </w:rPr>
        <w:t>إن مؤتمر الأطرا</w:t>
      </w:r>
      <w:r w:rsidRPr="00174E55">
        <w:rPr>
          <w:i/>
          <w:iCs/>
          <w:rtl/>
        </w:rPr>
        <w:t>ف</w:t>
      </w:r>
      <w:r w:rsidRPr="00174E55">
        <w:rPr>
          <w:rFonts w:hint="cs"/>
          <w:i/>
          <w:iCs/>
          <w:rtl/>
        </w:rPr>
        <w:t>،</w:t>
      </w:r>
    </w:p>
    <w:p w:rsidR="00E02C84" w:rsidRPr="00174E55" w:rsidRDefault="00E02C84" w:rsidP="00E02C84">
      <w:pPr>
        <w:ind w:firstLine="720"/>
        <w:rPr>
          <w:rFonts w:ascii="Simplified Arabic" w:hAnsi="Simplified Arabic"/>
          <w:rtl/>
        </w:rPr>
      </w:pPr>
      <w:r w:rsidRPr="00174E55">
        <w:rPr>
          <w:rFonts w:ascii="Simplified Arabic" w:hAnsi="Simplified Arabic"/>
          <w:i/>
          <w:iCs/>
          <w:rtl/>
        </w:rPr>
        <w:t>إذ يشير إلى</w:t>
      </w:r>
      <w:r w:rsidRPr="00174E55">
        <w:rPr>
          <w:rFonts w:ascii="Simplified Arabic" w:hAnsi="Simplified Arabic"/>
          <w:rtl/>
        </w:rPr>
        <w:t xml:space="preserve"> مقرراته </w:t>
      </w:r>
      <w:hyperlink r:id="rId71" w:history="1">
        <w:r w:rsidRPr="00174E55">
          <w:rPr>
            <w:rFonts w:ascii="Simplified Arabic" w:hAnsi="Simplified Arabic"/>
            <w:color w:val="0000FF"/>
            <w:u w:val="single"/>
            <w:rtl/>
            <w:lang w:val="en-GB"/>
          </w:rPr>
          <w:t>13/1</w:t>
        </w:r>
      </w:hyperlink>
      <w:r w:rsidRPr="00174E55">
        <w:rPr>
          <w:rFonts w:ascii="Simplified Arabic" w:hAnsi="Simplified Arabic"/>
          <w:rtl/>
        </w:rPr>
        <w:t>، و</w:t>
      </w:r>
      <w:hyperlink r:id="rId72" w:history="1">
        <w:r w:rsidRPr="00174E55">
          <w:rPr>
            <w:rFonts w:ascii="Simplified Arabic" w:hAnsi="Simplified Arabic"/>
            <w:color w:val="0000FF"/>
            <w:u w:val="single"/>
            <w:rtl/>
            <w:lang w:val="en-GB"/>
          </w:rPr>
          <w:t>13/3</w:t>
        </w:r>
      </w:hyperlink>
      <w:r w:rsidRPr="00174E55">
        <w:rPr>
          <w:rFonts w:ascii="Simplified Arabic" w:hAnsi="Simplified Arabic"/>
          <w:rtl/>
        </w:rPr>
        <w:t>، و</w:t>
      </w:r>
      <w:hyperlink r:id="rId73" w:history="1">
        <w:r w:rsidRPr="00174E55">
          <w:rPr>
            <w:rFonts w:ascii="Simplified Arabic" w:eastAsia="Times New Roman" w:hAnsi="Simplified Arabic"/>
            <w:snapToGrid w:val="0"/>
            <w:color w:val="0000FF"/>
            <w:kern w:val="22"/>
            <w:u w:val="single"/>
            <w:rtl/>
            <w:lang w:val="en-GB"/>
          </w:rPr>
          <w:t>13/4</w:t>
        </w:r>
      </w:hyperlink>
      <w:r w:rsidRPr="00174E55">
        <w:rPr>
          <w:rFonts w:ascii="Simplified Arabic" w:hAnsi="Simplified Arabic"/>
          <w:rtl/>
        </w:rPr>
        <w:t>، و</w:t>
      </w:r>
      <w:hyperlink r:id="rId74" w:history="1">
        <w:r w:rsidRPr="00174E55">
          <w:rPr>
            <w:rFonts w:ascii="Simplified Arabic" w:eastAsia="Times New Roman" w:hAnsi="Simplified Arabic"/>
            <w:snapToGrid w:val="0"/>
            <w:color w:val="0000FF"/>
            <w:kern w:val="22"/>
            <w:u w:val="single"/>
            <w:rtl/>
            <w:lang w:val="en-GB"/>
          </w:rPr>
          <w:t>13/5</w:t>
        </w:r>
      </w:hyperlink>
      <w:r w:rsidRPr="00174E55">
        <w:rPr>
          <w:rFonts w:ascii="Simplified Arabic" w:hAnsi="Simplified Arabic"/>
          <w:rtl/>
        </w:rPr>
        <w:t>، و</w:t>
      </w:r>
      <w:hyperlink r:id="rId75" w:history="1">
        <w:r w:rsidRPr="00174E55">
          <w:rPr>
            <w:rFonts w:ascii="Simplified Arabic" w:eastAsia="Times New Roman" w:hAnsi="Simplified Arabic" w:hint="cs"/>
            <w:snapToGrid w:val="0"/>
            <w:color w:val="0000FF"/>
            <w:kern w:val="22"/>
            <w:u w:val="single"/>
            <w:rtl/>
            <w:lang w:val="en-GB"/>
          </w:rPr>
          <w:t>13/7</w:t>
        </w:r>
      </w:hyperlink>
      <w:r w:rsidRPr="00174E55">
        <w:rPr>
          <w:rFonts w:ascii="Simplified Arabic" w:hAnsi="Simplified Arabic"/>
          <w:rtl/>
        </w:rPr>
        <w:t>، و</w:t>
      </w:r>
      <w:hyperlink r:id="rId76" w:history="1">
        <w:r w:rsidRPr="00174E55">
          <w:rPr>
            <w:rFonts w:ascii="Simplified Arabic" w:eastAsia="Times New Roman" w:hAnsi="Simplified Arabic" w:hint="cs"/>
            <w:snapToGrid w:val="0"/>
            <w:color w:val="0000FF"/>
            <w:kern w:val="22"/>
            <w:u w:val="single"/>
            <w:rtl/>
            <w:lang w:val="en-GB"/>
          </w:rPr>
          <w:t>13/23</w:t>
        </w:r>
      </w:hyperlink>
      <w:r w:rsidRPr="00174E55">
        <w:rPr>
          <w:rFonts w:ascii="Simplified Arabic" w:hAnsi="Simplified Arabic"/>
          <w:rtl/>
        </w:rPr>
        <w:t>، و</w:t>
      </w:r>
      <w:hyperlink r:id="rId77" w:history="1">
        <w:r w:rsidRPr="00174E55">
          <w:rPr>
            <w:rFonts w:ascii="Simplified Arabic" w:eastAsia="Times New Roman" w:hAnsi="Simplified Arabic" w:hint="cs"/>
            <w:snapToGrid w:val="0"/>
            <w:color w:val="0000FF"/>
            <w:kern w:val="22"/>
            <w:u w:val="single"/>
            <w:rtl/>
            <w:lang w:val="en-GB"/>
          </w:rPr>
          <w:t>13/24</w:t>
        </w:r>
      </w:hyperlink>
      <w:r w:rsidRPr="00174E55">
        <w:rPr>
          <w:rFonts w:ascii="Simplified Arabic" w:hAnsi="Simplified Arabic"/>
          <w:rtl/>
        </w:rPr>
        <w:t>، و</w:t>
      </w:r>
      <w:hyperlink r:id="rId78" w:history="1">
        <w:r w:rsidRPr="00174E55">
          <w:rPr>
            <w:rFonts w:ascii="Simplified Arabic" w:eastAsia="Times New Roman" w:hAnsi="Simplified Arabic" w:hint="cs"/>
            <w:snapToGrid w:val="0"/>
            <w:color w:val="0000FF"/>
            <w:kern w:val="22"/>
            <w:u w:val="single"/>
            <w:rtl/>
            <w:lang w:val="en-GB"/>
          </w:rPr>
          <w:t>13/27</w:t>
        </w:r>
      </w:hyperlink>
      <w:r w:rsidRPr="00174E55">
        <w:rPr>
          <w:rFonts w:ascii="Simplified Arabic" w:hAnsi="Simplified Arabic"/>
          <w:rtl/>
        </w:rPr>
        <w:t>، و</w:t>
      </w:r>
      <w:hyperlink r:id="rId79" w:history="1">
        <w:r w:rsidRPr="00174E55">
          <w:rPr>
            <w:rFonts w:ascii="Simplified Arabic" w:eastAsia="Times New Roman" w:hAnsi="Simplified Arabic" w:hint="cs"/>
            <w:snapToGrid w:val="0"/>
            <w:color w:val="0000FF"/>
            <w:kern w:val="22"/>
            <w:u w:val="single"/>
            <w:rtl/>
            <w:lang w:val="en-GB"/>
          </w:rPr>
          <w:t>13/28</w:t>
        </w:r>
      </w:hyperlink>
      <w:r w:rsidRPr="00174E55">
        <w:rPr>
          <w:rFonts w:ascii="Simplified Arabic" w:hAnsi="Simplified Arabic"/>
          <w:rtl/>
        </w:rPr>
        <w:t>،</w:t>
      </w:r>
    </w:p>
    <w:p w:rsidR="00E02C84" w:rsidRPr="00174E55" w:rsidRDefault="00E02C84" w:rsidP="00E02C84">
      <w:pPr>
        <w:ind w:firstLine="720"/>
        <w:rPr>
          <w:rtl/>
        </w:rPr>
      </w:pPr>
      <w:r w:rsidRPr="00174E55">
        <w:rPr>
          <w:i/>
          <w:iCs/>
          <w:rtl/>
        </w:rPr>
        <w:t xml:space="preserve">وإذ </w:t>
      </w:r>
      <w:r w:rsidRPr="00174E55">
        <w:rPr>
          <w:rFonts w:hint="cs"/>
          <w:i/>
          <w:iCs/>
          <w:rtl/>
        </w:rPr>
        <w:t>يسلّم</w:t>
      </w:r>
      <w:r w:rsidRPr="00174E55">
        <w:rPr>
          <w:rFonts w:hint="cs"/>
          <w:rtl/>
        </w:rPr>
        <w:t xml:space="preserve"> بضرورة</w:t>
      </w:r>
      <w:r w:rsidRPr="00174E55">
        <w:rPr>
          <w:rtl/>
        </w:rPr>
        <w:t xml:space="preserve"> مواصلة تعزيز </w:t>
      </w:r>
      <w:r w:rsidRPr="00174E55">
        <w:rPr>
          <w:rFonts w:hint="cs"/>
          <w:rtl/>
        </w:rPr>
        <w:t>التآزر والتعاون</w:t>
      </w:r>
      <w:r w:rsidRPr="00174E55">
        <w:rPr>
          <w:rtl/>
        </w:rPr>
        <w:t xml:space="preserve"> مع الاتفاقيات والمنظمات الدولية والشراكات الأخرى ب</w:t>
      </w:r>
      <w:r w:rsidRPr="00174E55">
        <w:rPr>
          <w:rFonts w:hint="cs"/>
          <w:rtl/>
        </w:rPr>
        <w:t>غية</w:t>
      </w:r>
      <w:r w:rsidRPr="00174E55">
        <w:rPr>
          <w:rtl/>
        </w:rPr>
        <w:t xml:space="preserve"> التعجيل </w:t>
      </w:r>
      <w:r w:rsidRPr="00174E55">
        <w:rPr>
          <w:rFonts w:hint="cs"/>
          <w:rtl/>
        </w:rPr>
        <w:t>ب</w:t>
      </w:r>
      <w:r w:rsidRPr="00174E55">
        <w:rPr>
          <w:rtl/>
        </w:rPr>
        <w:t>اتخاذ إجراءات فعالة و</w:t>
      </w:r>
      <w:r>
        <w:rPr>
          <w:rFonts w:hint="cs"/>
          <w:rtl/>
        </w:rPr>
        <w:t>فعلي</w:t>
      </w:r>
      <w:r w:rsidRPr="00174E55">
        <w:rPr>
          <w:rFonts w:hint="cs"/>
          <w:rtl/>
        </w:rPr>
        <w:t>ة</w:t>
      </w:r>
      <w:r w:rsidRPr="00174E55">
        <w:rPr>
          <w:rtl/>
        </w:rPr>
        <w:t xml:space="preserve"> </w:t>
      </w:r>
      <w:r>
        <w:rPr>
          <w:rFonts w:hint="cs"/>
          <w:rtl/>
        </w:rPr>
        <w:t>نحو</w:t>
      </w:r>
      <w:r w:rsidRPr="00174E55">
        <w:rPr>
          <w:rtl/>
        </w:rPr>
        <w:t xml:space="preserve"> تحقيق الخطة الاستراتيجية للتنوع البيولوجي 2011-</w:t>
      </w:r>
      <w:r>
        <w:rPr>
          <w:rFonts w:hint="cs"/>
          <w:rtl/>
        </w:rPr>
        <w:t>2020</w:t>
      </w:r>
      <w:r>
        <w:rPr>
          <w:rStyle w:val="FootnoteReference"/>
          <w:rtl/>
        </w:rPr>
        <w:footnoteReference w:id="289"/>
      </w:r>
      <w:r w:rsidRPr="00174E55">
        <w:rPr>
          <w:rtl/>
        </w:rPr>
        <w:t xml:space="preserve"> و</w:t>
      </w:r>
      <w:r w:rsidRPr="00174E55">
        <w:rPr>
          <w:rFonts w:hint="cs"/>
          <w:rtl/>
        </w:rPr>
        <w:t>تنفيذ</w:t>
      </w:r>
      <w:r w:rsidRPr="00174E55">
        <w:rPr>
          <w:rtl/>
        </w:rPr>
        <w:t xml:space="preserve"> عملية شاملة وتشاركية لوضع مقترحات </w:t>
      </w:r>
      <w:r w:rsidRPr="00174E55">
        <w:rPr>
          <w:rFonts w:hint="cs"/>
          <w:rtl/>
        </w:rPr>
        <w:t>بشأن</w:t>
      </w:r>
      <w:r w:rsidRPr="00174E55">
        <w:rPr>
          <w:rtl/>
        </w:rPr>
        <w:t xml:space="preserve"> متابعة الخطة الاستراتيجية للتنوع البيولوجي 2011-2020،</w:t>
      </w:r>
    </w:p>
    <w:p w:rsidR="00E02C84" w:rsidRPr="00174E55" w:rsidRDefault="00E02C84" w:rsidP="00CD26C5">
      <w:pPr>
        <w:numPr>
          <w:ilvl w:val="0"/>
          <w:numId w:val="76"/>
        </w:numPr>
        <w:ind w:left="0" w:firstLine="720"/>
        <w:rPr>
          <w:lang w:val="en-GB"/>
        </w:rPr>
      </w:pPr>
      <w:r>
        <w:rPr>
          <w:rFonts w:hint="cs"/>
          <w:i/>
          <w:iCs/>
          <w:rtl/>
          <w:lang w:val="en-GB"/>
        </w:rPr>
        <w:t>يحث</w:t>
      </w:r>
      <w:r w:rsidRPr="00174E55">
        <w:rPr>
          <w:rtl/>
          <w:lang w:val="en-GB"/>
        </w:rPr>
        <w:t xml:space="preserve"> الأطراف والحكومات الأخرى</w:t>
      </w:r>
      <w:r>
        <w:rPr>
          <w:rFonts w:hint="cs"/>
          <w:rtl/>
          <w:lang w:val="en-GB"/>
        </w:rPr>
        <w:t>،</w:t>
      </w:r>
      <w:r w:rsidRPr="00174E55">
        <w:rPr>
          <w:rtl/>
          <w:lang w:val="en-GB"/>
        </w:rPr>
        <w:t xml:space="preserve"> والمنظمات والاتفاقيات</w:t>
      </w:r>
      <w:r>
        <w:rPr>
          <w:rFonts w:hint="cs"/>
          <w:rtl/>
          <w:lang w:val="en-GB"/>
        </w:rPr>
        <w:t xml:space="preserve"> الأخرى</w:t>
      </w:r>
      <w:r w:rsidRPr="00174E55">
        <w:rPr>
          <w:rtl/>
          <w:lang w:val="en-GB"/>
        </w:rPr>
        <w:t xml:space="preserve"> </w:t>
      </w:r>
      <w:r>
        <w:rPr>
          <w:rFonts w:hint="cs"/>
          <w:rtl/>
          <w:lang w:val="en-GB"/>
        </w:rPr>
        <w:t>وأصحاب</w:t>
      </w:r>
      <w:r w:rsidRPr="00174E55">
        <w:rPr>
          <w:rFonts w:hint="cs"/>
          <w:rtl/>
          <w:lang w:val="en-GB"/>
        </w:rPr>
        <w:t xml:space="preserve"> </w:t>
      </w:r>
      <w:r w:rsidRPr="00174E55">
        <w:rPr>
          <w:rtl/>
          <w:lang w:val="en-GB"/>
        </w:rPr>
        <w:t>المصلحة</w:t>
      </w:r>
      <w:r w:rsidRPr="00174E55">
        <w:rPr>
          <w:rFonts w:hint="cs"/>
          <w:rtl/>
          <w:lang w:val="en-GB"/>
        </w:rPr>
        <w:t xml:space="preserve"> </w:t>
      </w:r>
      <w:r>
        <w:rPr>
          <w:rFonts w:hint="cs"/>
          <w:rtl/>
          <w:lang w:val="en-GB"/>
        </w:rPr>
        <w:t>ع</w:t>
      </w:r>
      <w:r w:rsidRPr="00174E55">
        <w:rPr>
          <w:rtl/>
          <w:lang w:val="en-GB"/>
        </w:rPr>
        <w:t>لى النظر في مجالات ون</w:t>
      </w:r>
      <w:r>
        <w:rPr>
          <w:rFonts w:hint="cs"/>
          <w:rtl/>
          <w:lang w:val="en-GB"/>
        </w:rPr>
        <w:t>ُ</w:t>
      </w:r>
      <w:r w:rsidRPr="00174E55">
        <w:rPr>
          <w:rtl/>
          <w:lang w:val="en-GB"/>
        </w:rPr>
        <w:t xml:space="preserve">هج جديدة </w:t>
      </w:r>
      <w:r w:rsidRPr="00174E55">
        <w:rPr>
          <w:rFonts w:hint="cs"/>
          <w:rtl/>
          <w:lang w:val="en-GB"/>
        </w:rPr>
        <w:t>ممكنة</w:t>
      </w:r>
      <w:r w:rsidRPr="00174E55">
        <w:rPr>
          <w:rtl/>
          <w:lang w:val="en-GB"/>
        </w:rPr>
        <w:t xml:space="preserve"> </w:t>
      </w:r>
      <w:r w:rsidRPr="00174E55">
        <w:rPr>
          <w:rFonts w:hint="cs"/>
          <w:rtl/>
          <w:lang w:val="en-GB"/>
        </w:rPr>
        <w:t>للمضي قدماً في تنفيذ</w:t>
      </w:r>
      <w:r w:rsidRPr="00174E55">
        <w:rPr>
          <w:rtl/>
          <w:lang w:val="en-GB"/>
        </w:rPr>
        <w:t xml:space="preserve"> التزامات التنوع البيولوجي من خلال تعزيز التعاون كجزء من </w:t>
      </w:r>
      <w:bookmarkStart w:id="184" w:name="_Hlk516696147"/>
      <w:r>
        <w:rPr>
          <w:rFonts w:hint="cs"/>
          <w:rtl/>
          <w:lang w:val="en-GB"/>
        </w:rPr>
        <w:t>الإ</w:t>
      </w:r>
      <w:r w:rsidRPr="00174E55">
        <w:rPr>
          <w:rtl/>
          <w:lang w:val="en-GB"/>
        </w:rPr>
        <w:t>طار</w:t>
      </w:r>
      <w:r w:rsidRPr="00174E55">
        <w:rPr>
          <w:rFonts w:hint="cs"/>
          <w:rtl/>
          <w:lang w:val="en-GB"/>
        </w:rPr>
        <w:t xml:space="preserve"> </w:t>
      </w:r>
      <w:r>
        <w:rPr>
          <w:rFonts w:hint="cs"/>
          <w:rtl/>
          <w:lang w:val="en-GB"/>
        </w:rPr>
        <w:t>العالمي ل</w:t>
      </w:r>
      <w:r w:rsidRPr="00174E55">
        <w:rPr>
          <w:rtl/>
          <w:lang w:val="en-GB"/>
        </w:rPr>
        <w:t>لتنوع البيولوجي لما بعد</w:t>
      </w:r>
      <w:r w:rsidRPr="00174E55">
        <w:rPr>
          <w:rFonts w:hint="cs"/>
          <w:rtl/>
          <w:lang w:val="en-GB"/>
        </w:rPr>
        <w:t xml:space="preserve"> عام</w:t>
      </w:r>
      <w:r w:rsidRPr="00174E55">
        <w:rPr>
          <w:rtl/>
          <w:lang w:val="en-GB"/>
        </w:rPr>
        <w:t xml:space="preserve"> 2020</w:t>
      </w:r>
      <w:bookmarkEnd w:id="184"/>
      <w:r>
        <w:rPr>
          <w:rFonts w:hint="cs"/>
          <w:rtl/>
          <w:lang w:val="en-GB"/>
        </w:rPr>
        <w:t>، وإلى</w:t>
      </w:r>
      <w:r>
        <w:rPr>
          <w:lang w:val="en-GB"/>
        </w:rPr>
        <w:t xml:space="preserve"> </w:t>
      </w:r>
      <w:r w:rsidRPr="00570A52">
        <w:rPr>
          <w:rtl/>
          <w:lang w:val="en-GB"/>
        </w:rPr>
        <w:t xml:space="preserve">مراعاة الدروس المستفادة من التعاون القائم، بما في ذلك مع المنظمات والشبكات التي تمثل </w:t>
      </w:r>
      <w:r>
        <w:rPr>
          <w:rFonts w:hint="cs"/>
          <w:rtl/>
          <w:lang w:val="en-GB"/>
        </w:rPr>
        <w:t>الشعوب</w:t>
      </w:r>
      <w:r w:rsidRPr="00570A52">
        <w:rPr>
          <w:rtl/>
          <w:lang w:val="en-GB"/>
        </w:rPr>
        <w:t xml:space="preserve"> الأصلي</w:t>
      </w:r>
      <w:r>
        <w:rPr>
          <w:rFonts w:hint="cs"/>
          <w:rtl/>
          <w:lang w:val="en-GB"/>
        </w:rPr>
        <w:t>ة</w:t>
      </w:r>
      <w:r w:rsidRPr="00570A52">
        <w:rPr>
          <w:rtl/>
          <w:lang w:val="en-GB"/>
        </w:rPr>
        <w:t xml:space="preserve"> والمجتمعات المحلية</w:t>
      </w:r>
      <w:r>
        <w:rPr>
          <w:rFonts w:hint="cs"/>
          <w:rtl/>
          <w:lang w:val="en-GB"/>
        </w:rPr>
        <w:t>،</w:t>
      </w:r>
      <w:r w:rsidRPr="00570A52">
        <w:rPr>
          <w:rtl/>
          <w:lang w:val="en-GB"/>
        </w:rPr>
        <w:t xml:space="preserve"> والشباب والنساء</w:t>
      </w:r>
      <w:r>
        <w:rPr>
          <w:rFonts w:hint="cs"/>
          <w:rtl/>
          <w:lang w:val="en-GB"/>
        </w:rPr>
        <w:t>،</w:t>
      </w:r>
      <w:r w:rsidRPr="00570A52">
        <w:rPr>
          <w:rtl/>
          <w:lang w:val="en-GB"/>
        </w:rPr>
        <w:t xml:space="preserve"> والأوساط الأكاديمية والسلطات المحلية، كجزء من عملية </w:t>
      </w:r>
      <w:r>
        <w:rPr>
          <w:rFonts w:hint="cs"/>
          <w:rtl/>
          <w:lang w:val="en-GB"/>
        </w:rPr>
        <w:t>وضع</w:t>
      </w:r>
      <w:r w:rsidRPr="00570A52">
        <w:rPr>
          <w:rtl/>
          <w:lang w:val="en-GB"/>
        </w:rPr>
        <w:t xml:space="preserve"> إطار التنوع البيولوجي لما بعد عام 2020</w:t>
      </w:r>
      <w:r w:rsidRPr="00174E55">
        <w:rPr>
          <w:rFonts w:hint="cs"/>
          <w:rtl/>
          <w:lang w:val="en-GB"/>
        </w:rPr>
        <w:t>؛</w:t>
      </w:r>
    </w:p>
    <w:p w:rsidR="00E02C84" w:rsidRPr="005B3780" w:rsidRDefault="00E02C84" w:rsidP="00E02C84">
      <w:pPr>
        <w:spacing w:before="120"/>
        <w:jc w:val="center"/>
        <w:rPr>
          <w:b/>
          <w:bCs/>
          <w:rtl/>
          <w:lang w:val="en-GB"/>
        </w:rPr>
      </w:pPr>
      <w:bookmarkStart w:id="185" w:name="_Hlk516682786"/>
      <w:r w:rsidRPr="005B3780">
        <w:rPr>
          <w:rFonts w:hint="cs"/>
          <w:b/>
          <w:bCs/>
          <w:rtl/>
          <w:lang w:val="en-GB"/>
        </w:rPr>
        <w:t>ألف</w:t>
      </w:r>
      <w:r>
        <w:rPr>
          <w:rFonts w:hint="cs"/>
          <w:b/>
          <w:bCs/>
          <w:rtl/>
          <w:lang w:val="en-GB"/>
        </w:rPr>
        <w:t xml:space="preserve"> -</w:t>
      </w:r>
      <w:r w:rsidRPr="005B3780">
        <w:rPr>
          <w:rFonts w:hint="cs"/>
          <w:b/>
          <w:bCs/>
          <w:rtl/>
          <w:lang w:val="en-GB"/>
        </w:rPr>
        <w:tab/>
      </w:r>
      <w:r w:rsidRPr="005B3780">
        <w:rPr>
          <w:b/>
          <w:bCs/>
          <w:rtl/>
          <w:lang w:val="en-GB"/>
        </w:rPr>
        <w:t xml:space="preserve">التعاون </w:t>
      </w:r>
      <w:r w:rsidRPr="005B3780">
        <w:rPr>
          <w:rFonts w:hint="cs"/>
          <w:b/>
          <w:bCs/>
          <w:rtl/>
          <w:lang w:val="en-GB"/>
        </w:rPr>
        <w:t>مع</w:t>
      </w:r>
      <w:r w:rsidRPr="005B3780">
        <w:rPr>
          <w:b/>
          <w:bCs/>
          <w:rtl/>
          <w:lang w:val="en-GB"/>
        </w:rPr>
        <w:t xml:space="preserve"> الاتفاقيات</w:t>
      </w:r>
      <w:r w:rsidRPr="005B3780">
        <w:rPr>
          <w:rFonts w:hint="cs"/>
          <w:b/>
          <w:bCs/>
          <w:rtl/>
          <w:lang w:val="en-GB"/>
        </w:rPr>
        <w:t xml:space="preserve"> الأخرى</w:t>
      </w:r>
    </w:p>
    <w:bookmarkEnd w:id="185"/>
    <w:p w:rsidR="00E02C84" w:rsidRPr="00174E55" w:rsidRDefault="00E02C84" w:rsidP="00CD26C5">
      <w:pPr>
        <w:numPr>
          <w:ilvl w:val="0"/>
          <w:numId w:val="76"/>
        </w:numPr>
        <w:ind w:left="0" w:firstLine="720"/>
        <w:rPr>
          <w:lang w:val="en-GB"/>
        </w:rPr>
      </w:pPr>
      <w:r w:rsidRPr="00632BFF">
        <w:rPr>
          <w:rFonts w:hint="cs"/>
          <w:i/>
          <w:iCs/>
          <w:rtl/>
          <w:lang w:val="en-GB"/>
        </w:rPr>
        <w:t>ي</w:t>
      </w:r>
      <w:r w:rsidRPr="00632BFF">
        <w:rPr>
          <w:i/>
          <w:iCs/>
          <w:rtl/>
          <w:lang w:val="en-GB"/>
        </w:rPr>
        <w:t>رحب</w:t>
      </w:r>
      <w:r w:rsidRPr="00174E55">
        <w:rPr>
          <w:rtl/>
          <w:lang w:val="en-GB"/>
        </w:rPr>
        <w:t xml:space="preserve"> ب</w:t>
      </w:r>
      <w:r w:rsidRPr="00174E55">
        <w:rPr>
          <w:rFonts w:hint="cs"/>
          <w:rtl/>
          <w:lang w:val="en-GB"/>
        </w:rPr>
        <w:t>العمل الذي تضطلع به</w:t>
      </w:r>
      <w:r w:rsidRPr="00174E55">
        <w:rPr>
          <w:rtl/>
          <w:lang w:val="en-GB"/>
        </w:rPr>
        <w:t xml:space="preserve"> الاتفاقيات الأخرى المتعلقة بالتنوع البيولوجي من أجل تعزيز التعاون و</w:t>
      </w:r>
      <w:r w:rsidRPr="00174E55">
        <w:rPr>
          <w:rFonts w:hint="cs"/>
          <w:rtl/>
          <w:lang w:val="en-GB"/>
        </w:rPr>
        <w:t xml:space="preserve">أوجه </w:t>
      </w:r>
      <w:r w:rsidRPr="00174E55">
        <w:rPr>
          <w:rtl/>
          <w:lang w:val="en-GB"/>
        </w:rPr>
        <w:t xml:space="preserve">التآزر </w:t>
      </w:r>
      <w:r w:rsidRPr="00174E55">
        <w:rPr>
          <w:rFonts w:hint="cs"/>
          <w:rtl/>
          <w:lang w:val="en-GB"/>
        </w:rPr>
        <w:t xml:space="preserve">فيما </w:t>
      </w:r>
      <w:r w:rsidRPr="00174E55">
        <w:rPr>
          <w:rtl/>
          <w:lang w:val="en-GB"/>
        </w:rPr>
        <w:t>بين الاتفاقيات</w:t>
      </w:r>
      <w:r>
        <w:rPr>
          <w:rFonts w:hint="cs"/>
          <w:rtl/>
          <w:lang w:val="en-GB"/>
        </w:rPr>
        <w:t>،</w:t>
      </w:r>
      <w:r w:rsidRPr="00174E55">
        <w:rPr>
          <w:rtl/>
          <w:lang w:val="en-GB"/>
        </w:rPr>
        <w:t xml:space="preserve"> </w:t>
      </w:r>
      <w:r w:rsidRPr="00174E55">
        <w:rPr>
          <w:rFonts w:hint="cs"/>
          <w:rtl/>
          <w:lang w:val="en-GB"/>
        </w:rPr>
        <w:t>بما يتماشى</w:t>
      </w:r>
      <w:r w:rsidRPr="00174E55">
        <w:rPr>
          <w:rtl/>
          <w:lang w:val="en-GB"/>
        </w:rPr>
        <w:t xml:space="preserve"> مع مقرر</w:t>
      </w:r>
      <w:r w:rsidRPr="00174E55">
        <w:rPr>
          <w:rFonts w:hint="cs"/>
          <w:rtl/>
          <w:lang w:val="en-GB"/>
        </w:rPr>
        <w:t>ه</w:t>
      </w:r>
      <w:r w:rsidRPr="00174E55">
        <w:rPr>
          <w:rtl/>
          <w:lang w:val="en-GB"/>
        </w:rPr>
        <w:t xml:space="preserve"> 13/24، بما في ذلك المقررات ذات الصلة </w:t>
      </w:r>
      <w:r w:rsidRPr="00174E55">
        <w:rPr>
          <w:rFonts w:hint="cs"/>
          <w:rtl/>
          <w:lang w:val="en-GB"/>
        </w:rPr>
        <w:t xml:space="preserve">الصادرة عن </w:t>
      </w:r>
      <w:r w:rsidRPr="00174E55">
        <w:rPr>
          <w:rtl/>
          <w:lang w:val="en-GB"/>
        </w:rPr>
        <w:t>هيئات</w:t>
      </w:r>
      <w:r w:rsidRPr="00174E55">
        <w:rPr>
          <w:rFonts w:hint="cs"/>
          <w:rtl/>
          <w:lang w:val="en-GB"/>
        </w:rPr>
        <w:t>ها الإدارية</w:t>
      </w:r>
      <w:r w:rsidRPr="00174E55">
        <w:rPr>
          <w:rtl/>
          <w:lang w:val="en-GB"/>
        </w:rPr>
        <w:t>؛</w:t>
      </w:r>
      <w:r w:rsidRPr="0023280D">
        <w:rPr>
          <w:rStyle w:val="FootnoteReference"/>
          <w:rtl/>
        </w:rPr>
        <w:footnoteReference w:id="290"/>
      </w:r>
    </w:p>
    <w:p w:rsidR="00E02C84" w:rsidRPr="00174E55" w:rsidRDefault="00E02C84" w:rsidP="00CD26C5">
      <w:pPr>
        <w:numPr>
          <w:ilvl w:val="0"/>
          <w:numId w:val="76"/>
        </w:numPr>
        <w:ind w:left="0" w:firstLine="720"/>
        <w:rPr>
          <w:lang w:val="en-GB"/>
        </w:rPr>
      </w:pPr>
      <w:r w:rsidRPr="00632BFF">
        <w:rPr>
          <w:rFonts w:hint="cs"/>
          <w:i/>
          <w:iCs/>
          <w:rtl/>
          <w:lang w:val="en-GB"/>
        </w:rPr>
        <w:t>يسلّم</w:t>
      </w:r>
      <w:r w:rsidRPr="0023280D">
        <w:rPr>
          <w:rtl/>
          <w:lang w:val="en-GB"/>
        </w:rPr>
        <w:t xml:space="preserve"> </w:t>
      </w:r>
      <w:r w:rsidRPr="00174E55">
        <w:rPr>
          <w:rtl/>
          <w:lang w:val="en-GB"/>
        </w:rPr>
        <w:t>بأهمية الت</w:t>
      </w:r>
      <w:r w:rsidRPr="00174E55">
        <w:rPr>
          <w:rFonts w:hint="cs"/>
          <w:rtl/>
          <w:lang w:val="en-GB"/>
        </w:rPr>
        <w:t xml:space="preserve">آزر </w:t>
      </w:r>
      <w:r w:rsidRPr="00174E55">
        <w:rPr>
          <w:rtl/>
          <w:lang w:val="en-GB"/>
        </w:rPr>
        <w:t>والتعاون</w:t>
      </w:r>
      <w:r w:rsidRPr="00174E55">
        <w:rPr>
          <w:rFonts w:hint="cs"/>
          <w:rtl/>
          <w:lang w:val="en-GB"/>
        </w:rPr>
        <w:t xml:space="preserve"> فيما</w:t>
      </w:r>
      <w:r w:rsidRPr="00174E55">
        <w:rPr>
          <w:rtl/>
          <w:lang w:val="en-GB"/>
        </w:rPr>
        <w:t xml:space="preserve"> بين الاتفاقيات المتعلقة بالتنوع البيولوجي</w:t>
      </w:r>
      <w:r>
        <w:rPr>
          <w:rFonts w:hint="cs"/>
          <w:rtl/>
          <w:lang w:val="en-GB"/>
        </w:rPr>
        <w:t>، واتفاقيات ريو، والاتفاقيات الدولية الأخرى</w:t>
      </w:r>
      <w:r w:rsidRPr="00174E55">
        <w:rPr>
          <w:rtl/>
          <w:lang w:val="en-GB"/>
        </w:rPr>
        <w:t xml:space="preserve"> في تنفيذ خطة التنمية المستدامة لعام 2030 وأهداف التنمية المستدامة؛</w:t>
      </w:r>
      <w:bookmarkStart w:id="187" w:name="_Hlk516700884"/>
      <w:r w:rsidRPr="0023280D">
        <w:rPr>
          <w:rStyle w:val="FootnoteReference"/>
          <w:rtl/>
        </w:rPr>
        <w:footnoteReference w:id="291"/>
      </w:r>
      <w:bookmarkEnd w:id="187"/>
    </w:p>
    <w:p w:rsidR="00E02C84" w:rsidRPr="00174E55" w:rsidRDefault="00E02C84" w:rsidP="00CD26C5">
      <w:pPr>
        <w:numPr>
          <w:ilvl w:val="0"/>
          <w:numId w:val="76"/>
        </w:numPr>
        <w:ind w:left="0" w:firstLine="720"/>
        <w:rPr>
          <w:lang w:val="en-GB"/>
        </w:rPr>
      </w:pPr>
      <w:r w:rsidRPr="00632BFF">
        <w:rPr>
          <w:rFonts w:hint="cs"/>
          <w:i/>
          <w:iCs/>
          <w:rtl/>
          <w:lang w:val="en-GB"/>
        </w:rPr>
        <w:t>يشجع</w:t>
      </w:r>
      <w:r w:rsidRPr="0023280D">
        <w:rPr>
          <w:rtl/>
          <w:lang w:val="en-GB"/>
        </w:rPr>
        <w:t xml:space="preserve"> </w:t>
      </w:r>
      <w:r>
        <w:rPr>
          <w:rFonts w:hint="cs"/>
          <w:rtl/>
          <w:lang w:val="en-GB"/>
        </w:rPr>
        <w:t>النظر في</w:t>
      </w:r>
      <w:r w:rsidRPr="00174E55">
        <w:rPr>
          <w:rtl/>
          <w:lang w:val="en-GB"/>
        </w:rPr>
        <w:t xml:space="preserve"> الإجراءات الرامية إلى تعزيز</w:t>
      </w:r>
      <w:r w:rsidRPr="00174E55">
        <w:rPr>
          <w:rFonts w:hint="cs"/>
          <w:rtl/>
          <w:lang w:val="en-GB"/>
        </w:rPr>
        <w:t xml:space="preserve"> أوجه</w:t>
      </w:r>
      <w:r w:rsidRPr="00174E55">
        <w:rPr>
          <w:rtl/>
          <w:lang w:val="en-GB"/>
        </w:rPr>
        <w:t xml:space="preserve"> التآزر </w:t>
      </w:r>
      <w:r w:rsidRPr="00174E55">
        <w:rPr>
          <w:rFonts w:hint="cs"/>
          <w:rtl/>
          <w:lang w:val="en-GB"/>
        </w:rPr>
        <w:t xml:space="preserve">فيما </w:t>
      </w:r>
      <w:r w:rsidRPr="00174E55">
        <w:rPr>
          <w:rtl/>
          <w:lang w:val="en-GB"/>
        </w:rPr>
        <w:t>بين الاتفاقيات المتعلقة بالتنوع البيولوجي</w:t>
      </w:r>
      <w:r>
        <w:rPr>
          <w:rFonts w:hint="cs"/>
          <w:rtl/>
          <w:lang w:val="en-GB"/>
        </w:rPr>
        <w:t xml:space="preserve">، واتفاقيات ريو، والاتفاقيات الأخرى التي تتناول أيضا المسائل المتعلقة بأهداف الاتفاقية الثلاثة </w:t>
      </w:r>
      <w:r w:rsidRPr="00174E55">
        <w:rPr>
          <w:rFonts w:hint="cs"/>
          <w:rtl/>
          <w:lang w:val="en-GB"/>
        </w:rPr>
        <w:t>لدى</w:t>
      </w:r>
      <w:r w:rsidRPr="00174E55">
        <w:rPr>
          <w:rtl/>
          <w:lang w:val="en-GB"/>
        </w:rPr>
        <w:t xml:space="preserve"> وضع </w:t>
      </w:r>
      <w:bookmarkStart w:id="188" w:name="_Hlk516697076"/>
      <w:r w:rsidRPr="00174E55">
        <w:rPr>
          <w:rFonts w:hint="cs"/>
          <w:rtl/>
          <w:lang w:val="en-GB"/>
        </w:rPr>
        <w:t>ال</w:t>
      </w:r>
      <w:r w:rsidRPr="00174E55">
        <w:rPr>
          <w:rtl/>
          <w:lang w:val="en-GB"/>
        </w:rPr>
        <w:t>إطار</w:t>
      </w:r>
      <w:r w:rsidRPr="00174E55">
        <w:rPr>
          <w:rFonts w:hint="cs"/>
          <w:rtl/>
          <w:lang w:val="en-GB"/>
        </w:rPr>
        <w:t xml:space="preserve"> العالمي ل</w:t>
      </w:r>
      <w:r w:rsidRPr="00174E55">
        <w:rPr>
          <w:rtl/>
          <w:lang w:val="en-GB"/>
        </w:rPr>
        <w:t>لتنوع البيولوجي لما بعد</w:t>
      </w:r>
      <w:r w:rsidRPr="00174E55">
        <w:rPr>
          <w:rFonts w:hint="cs"/>
          <w:rtl/>
          <w:lang w:val="en-GB"/>
        </w:rPr>
        <w:t xml:space="preserve"> عام</w:t>
      </w:r>
      <w:r w:rsidRPr="00174E55">
        <w:rPr>
          <w:rtl/>
          <w:lang w:val="en-GB"/>
        </w:rPr>
        <w:t xml:space="preserve"> </w:t>
      </w:r>
      <w:bookmarkEnd w:id="188"/>
      <w:r>
        <w:rPr>
          <w:rtl/>
          <w:lang w:val="en-GB"/>
        </w:rPr>
        <w:t>2020، لا</w:t>
      </w:r>
      <w:r w:rsidRPr="00174E55">
        <w:rPr>
          <w:rtl/>
          <w:lang w:val="en-GB"/>
        </w:rPr>
        <w:t xml:space="preserve">سيما </w:t>
      </w:r>
      <w:r w:rsidRPr="00174E55">
        <w:rPr>
          <w:rFonts w:hint="cs"/>
          <w:rtl/>
          <w:lang w:val="en-GB"/>
        </w:rPr>
        <w:t>و</w:t>
      </w:r>
      <w:r w:rsidRPr="00174E55">
        <w:rPr>
          <w:rtl/>
          <w:lang w:val="en-GB"/>
        </w:rPr>
        <w:t>أنه</w:t>
      </w:r>
      <w:r w:rsidRPr="00174E55">
        <w:rPr>
          <w:rFonts w:hint="cs"/>
          <w:rtl/>
          <w:lang w:val="en-GB"/>
        </w:rPr>
        <w:t>ا</w:t>
      </w:r>
      <w:r w:rsidRPr="00174E55">
        <w:rPr>
          <w:rtl/>
          <w:lang w:val="en-GB"/>
        </w:rPr>
        <w:t xml:space="preserve"> ضروري</w:t>
      </w:r>
      <w:r w:rsidRPr="00174E55">
        <w:rPr>
          <w:rFonts w:hint="cs"/>
          <w:rtl/>
          <w:lang w:val="en-GB"/>
        </w:rPr>
        <w:t>ة</w:t>
      </w:r>
      <w:r w:rsidRPr="00174E55">
        <w:rPr>
          <w:rtl/>
          <w:lang w:val="en-GB"/>
        </w:rPr>
        <w:t xml:space="preserve"> لتنفيذ خطة التنمية المستدامة لعام 2030 وأهداف التنمية المستدامة؛</w:t>
      </w:r>
    </w:p>
    <w:p w:rsidR="00E02C84" w:rsidRPr="00174E55" w:rsidRDefault="00E02C84" w:rsidP="00CD26C5">
      <w:pPr>
        <w:numPr>
          <w:ilvl w:val="0"/>
          <w:numId w:val="76"/>
        </w:numPr>
        <w:ind w:left="0" w:firstLine="720"/>
        <w:rPr>
          <w:lang w:val="en-GB"/>
        </w:rPr>
      </w:pPr>
      <w:r w:rsidRPr="00632BFF">
        <w:rPr>
          <w:rFonts w:hint="cs"/>
          <w:i/>
          <w:iCs/>
          <w:rtl/>
          <w:lang w:val="en-GB"/>
        </w:rPr>
        <w:t>ي</w:t>
      </w:r>
      <w:r w:rsidRPr="00632BFF">
        <w:rPr>
          <w:i/>
          <w:iCs/>
          <w:rtl/>
          <w:lang w:val="en-GB"/>
        </w:rPr>
        <w:t>عرب</w:t>
      </w:r>
      <w:r w:rsidRPr="0023280D">
        <w:rPr>
          <w:rtl/>
          <w:lang w:val="en-GB"/>
        </w:rPr>
        <w:t xml:space="preserve"> </w:t>
      </w:r>
      <w:r w:rsidRPr="009C4644">
        <w:rPr>
          <w:i/>
          <w:iCs/>
          <w:rtl/>
          <w:lang w:val="en-GB"/>
        </w:rPr>
        <w:t>عن تقديره</w:t>
      </w:r>
      <w:r w:rsidRPr="00174E55">
        <w:rPr>
          <w:rtl/>
          <w:lang w:val="en-GB"/>
        </w:rPr>
        <w:t xml:space="preserve"> ل</w:t>
      </w:r>
      <w:r w:rsidRPr="00174E55">
        <w:rPr>
          <w:rFonts w:hint="cs"/>
          <w:rtl/>
          <w:lang w:val="en-GB"/>
        </w:rPr>
        <w:t>ل</w:t>
      </w:r>
      <w:r w:rsidRPr="00174E55">
        <w:rPr>
          <w:rtl/>
          <w:lang w:val="en-GB"/>
        </w:rPr>
        <w:t>عمل</w:t>
      </w:r>
      <w:r w:rsidRPr="00174E55">
        <w:rPr>
          <w:rFonts w:hint="cs"/>
          <w:rtl/>
          <w:lang w:val="en-GB"/>
        </w:rPr>
        <w:t xml:space="preserve"> الذي يضطلع به</w:t>
      </w:r>
      <w:r w:rsidRPr="00174E55">
        <w:rPr>
          <w:rtl/>
          <w:lang w:val="en-GB"/>
        </w:rPr>
        <w:t xml:space="preserve"> الفريق الاستشاري غير الرسمي المعني ب</w:t>
      </w:r>
      <w:r w:rsidRPr="00174E55">
        <w:rPr>
          <w:rFonts w:hint="cs"/>
          <w:rtl/>
          <w:lang w:val="en-GB"/>
        </w:rPr>
        <w:t xml:space="preserve">أوجه </w:t>
      </w:r>
      <w:r w:rsidRPr="00174E55">
        <w:rPr>
          <w:rtl/>
          <w:lang w:val="en-GB"/>
        </w:rPr>
        <w:t>التآزر</w:t>
      </w:r>
      <w:r w:rsidRPr="00174E55">
        <w:rPr>
          <w:rFonts w:hint="cs"/>
          <w:rtl/>
          <w:lang w:val="en-GB"/>
        </w:rPr>
        <w:t>،</w:t>
      </w:r>
      <w:r w:rsidRPr="00174E55">
        <w:rPr>
          <w:rtl/>
          <w:lang w:val="en-GB"/>
        </w:rPr>
        <w:t xml:space="preserve"> </w:t>
      </w:r>
      <w:r w:rsidRPr="00174E55">
        <w:rPr>
          <w:rFonts w:hint="cs"/>
          <w:rtl/>
          <w:lang w:val="en-GB"/>
        </w:rPr>
        <w:t>و</w:t>
      </w:r>
      <w:r w:rsidRPr="00174E55">
        <w:rPr>
          <w:rtl/>
          <w:lang w:val="en-GB"/>
        </w:rPr>
        <w:t xml:space="preserve">الذي </w:t>
      </w:r>
      <w:r w:rsidRPr="00174E55">
        <w:rPr>
          <w:rFonts w:hint="cs"/>
          <w:rtl/>
          <w:lang w:val="en-GB"/>
        </w:rPr>
        <w:t>ساهم</w:t>
      </w:r>
      <w:r w:rsidRPr="00174E55">
        <w:rPr>
          <w:rtl/>
          <w:lang w:val="en-GB"/>
        </w:rPr>
        <w:t xml:space="preserve"> في عملية تعزيز</w:t>
      </w:r>
      <w:r w:rsidRPr="00174E55">
        <w:rPr>
          <w:rFonts w:hint="cs"/>
          <w:rtl/>
          <w:lang w:val="en-GB"/>
        </w:rPr>
        <w:t xml:space="preserve"> أوجه</w:t>
      </w:r>
      <w:r w:rsidRPr="00174E55">
        <w:rPr>
          <w:rtl/>
          <w:lang w:val="en-GB"/>
        </w:rPr>
        <w:t xml:space="preserve"> التآزر</w:t>
      </w:r>
      <w:r w:rsidRPr="00174E55">
        <w:rPr>
          <w:rFonts w:hint="cs"/>
          <w:rtl/>
          <w:lang w:val="en-GB"/>
        </w:rPr>
        <w:t xml:space="preserve"> فيما</w:t>
      </w:r>
      <w:r w:rsidRPr="00174E55">
        <w:rPr>
          <w:rtl/>
          <w:lang w:val="en-GB"/>
        </w:rPr>
        <w:t xml:space="preserve"> بين الاتفاقيات المت</w:t>
      </w:r>
      <w:r w:rsidRPr="00174E55">
        <w:rPr>
          <w:rFonts w:hint="cs"/>
          <w:rtl/>
          <w:lang w:val="en-GB"/>
        </w:rPr>
        <w:t xml:space="preserve">علقة </w:t>
      </w:r>
      <w:r w:rsidRPr="00174E55">
        <w:rPr>
          <w:rtl/>
          <w:lang w:val="en-GB"/>
        </w:rPr>
        <w:t>بالتنوع البيولوجي على المستوى الدولي؛</w:t>
      </w:r>
    </w:p>
    <w:p w:rsidR="00E02C84" w:rsidRPr="00174E55" w:rsidRDefault="00E02C84" w:rsidP="00CD26C5">
      <w:pPr>
        <w:numPr>
          <w:ilvl w:val="0"/>
          <w:numId w:val="76"/>
        </w:numPr>
        <w:ind w:left="0" w:firstLine="720"/>
        <w:rPr>
          <w:lang w:val="en-GB"/>
        </w:rPr>
      </w:pPr>
      <w:r w:rsidRPr="00632BFF">
        <w:rPr>
          <w:i/>
          <w:iCs/>
          <w:rtl/>
          <w:lang w:val="en-GB"/>
        </w:rPr>
        <w:t>يرحب</w:t>
      </w:r>
      <w:r w:rsidRPr="00174E55">
        <w:rPr>
          <w:rtl/>
          <w:lang w:val="en-GB"/>
        </w:rPr>
        <w:t xml:space="preserve"> بالمشورة </w:t>
      </w:r>
      <w:r w:rsidRPr="00174E55">
        <w:rPr>
          <w:rFonts w:hint="cs"/>
          <w:rtl/>
          <w:lang w:val="en-GB"/>
        </w:rPr>
        <w:t>التي قدمها</w:t>
      </w:r>
      <w:r w:rsidRPr="00174E55">
        <w:rPr>
          <w:rtl/>
          <w:lang w:val="en-GB"/>
        </w:rPr>
        <w:t xml:space="preserve"> الفريق الاستشاري غير الرسمي المعني ب</w:t>
      </w:r>
      <w:r w:rsidRPr="00174E55">
        <w:rPr>
          <w:rFonts w:hint="cs"/>
          <w:rtl/>
          <w:lang w:val="en-GB"/>
        </w:rPr>
        <w:t xml:space="preserve">أوجه </w:t>
      </w:r>
      <w:r w:rsidRPr="00174E55">
        <w:rPr>
          <w:rtl/>
          <w:lang w:val="en-GB"/>
        </w:rPr>
        <w:t>التآزر إلى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والمكتب </w:t>
      </w:r>
      <w:r w:rsidRPr="00174E55">
        <w:rPr>
          <w:rFonts w:hint="cs"/>
          <w:rtl/>
          <w:lang w:val="en-GB"/>
        </w:rPr>
        <w:t>وفريق الاتصال المعني بالاتفاقيات المتعلقة بالتنوع البيولوجي</w:t>
      </w:r>
      <w:r w:rsidRPr="00174E55">
        <w:rPr>
          <w:rtl/>
          <w:lang w:val="en-GB"/>
        </w:rPr>
        <w:t xml:space="preserve"> بشأن </w:t>
      </w:r>
      <w:r w:rsidRPr="00174E55">
        <w:rPr>
          <w:rFonts w:hint="cs"/>
          <w:rtl/>
          <w:lang w:val="en-GB"/>
        </w:rPr>
        <w:t>منح الأولوية</w:t>
      </w:r>
      <w:r w:rsidRPr="00174E55">
        <w:rPr>
          <w:rtl/>
          <w:lang w:val="en-GB"/>
        </w:rPr>
        <w:t xml:space="preserve"> </w:t>
      </w:r>
      <w:r w:rsidRPr="00174E55">
        <w:rPr>
          <w:rFonts w:hint="cs"/>
          <w:rtl/>
          <w:lang w:val="en-GB"/>
        </w:rPr>
        <w:t xml:space="preserve">للإجراءات الأساسية المرغوب فيها وتنفيذ هذه الإجراءات </w:t>
      </w:r>
      <w:r w:rsidRPr="00174E55">
        <w:rPr>
          <w:rtl/>
          <w:lang w:val="en-GB"/>
        </w:rPr>
        <w:t>في خ</w:t>
      </w:r>
      <w:r w:rsidRPr="00174E55">
        <w:rPr>
          <w:rFonts w:hint="cs"/>
          <w:rtl/>
          <w:lang w:val="en-GB"/>
        </w:rPr>
        <w:t>ارطة</w:t>
      </w:r>
      <w:r w:rsidRPr="00174E55">
        <w:rPr>
          <w:rtl/>
          <w:lang w:val="en-GB"/>
        </w:rPr>
        <w:t xml:space="preserve"> الطريق </w:t>
      </w:r>
      <w:r w:rsidRPr="00174E55">
        <w:rPr>
          <w:rFonts w:hint="cs"/>
          <w:rtl/>
          <w:lang w:val="en-GB"/>
        </w:rPr>
        <w:t>المتعلقة ب</w:t>
      </w:r>
      <w:r w:rsidRPr="00174E55">
        <w:rPr>
          <w:rtl/>
          <w:lang w:val="en-GB"/>
        </w:rPr>
        <w:t>تعزيز</w:t>
      </w:r>
      <w:r w:rsidRPr="00174E55">
        <w:rPr>
          <w:rFonts w:hint="cs"/>
          <w:rtl/>
          <w:lang w:val="en-GB"/>
        </w:rPr>
        <w:t xml:space="preserve"> أوجه</w:t>
      </w:r>
      <w:r w:rsidRPr="00174E55">
        <w:rPr>
          <w:rtl/>
          <w:lang w:val="en-GB"/>
        </w:rPr>
        <w:t xml:space="preserve"> التآزر </w:t>
      </w:r>
      <w:r w:rsidRPr="00174E55">
        <w:rPr>
          <w:rFonts w:hint="cs"/>
          <w:rtl/>
          <w:lang w:val="en-GB"/>
        </w:rPr>
        <w:t xml:space="preserve">فيما </w:t>
      </w:r>
      <w:r w:rsidRPr="00174E55">
        <w:rPr>
          <w:rtl/>
          <w:lang w:val="en-GB"/>
        </w:rPr>
        <w:t xml:space="preserve">بين الاتفاقيات المتعلقة بالتنوع البيولوجي </w:t>
      </w:r>
      <w:r w:rsidRPr="00174E55">
        <w:rPr>
          <w:rFonts w:hint="cs"/>
          <w:rtl/>
          <w:lang w:val="en-GB"/>
        </w:rPr>
        <w:t>على</w:t>
      </w:r>
      <w:r w:rsidRPr="00174E55">
        <w:rPr>
          <w:rtl/>
          <w:lang w:val="en-GB"/>
        </w:rPr>
        <w:t xml:space="preserve"> المستوى الدولي</w:t>
      </w:r>
      <w:r w:rsidRPr="00174E55">
        <w:rPr>
          <w:rFonts w:hint="cs"/>
          <w:rtl/>
          <w:lang w:val="en-GB"/>
        </w:rPr>
        <w:t xml:space="preserve"> </w:t>
      </w:r>
      <w:r w:rsidRPr="00174E55">
        <w:rPr>
          <w:rtl/>
          <w:lang w:val="en-GB"/>
        </w:rPr>
        <w:t>2017-2020</w:t>
      </w:r>
      <w:r>
        <w:rPr>
          <w:rFonts w:hint="cs"/>
          <w:rtl/>
          <w:lang w:val="en-GB"/>
        </w:rPr>
        <w:t>، على النحو الوارد في المذكرة التي أعدتها الأمينة التنفيذية</w:t>
      </w:r>
      <w:r w:rsidRPr="00174E55">
        <w:rPr>
          <w:rtl/>
          <w:lang w:val="en-GB"/>
        </w:rPr>
        <w:t>؛</w:t>
      </w:r>
      <w:r w:rsidRPr="0023280D">
        <w:rPr>
          <w:rStyle w:val="FootnoteReference"/>
          <w:rtl/>
        </w:rPr>
        <w:footnoteReference w:id="292"/>
      </w:r>
    </w:p>
    <w:p w:rsidR="00E02C84" w:rsidRPr="00174E55" w:rsidRDefault="00E02C84" w:rsidP="00CD26C5">
      <w:pPr>
        <w:numPr>
          <w:ilvl w:val="0"/>
          <w:numId w:val="76"/>
        </w:numPr>
        <w:ind w:left="0" w:firstLine="720"/>
        <w:rPr>
          <w:lang w:val="en-GB"/>
        </w:rPr>
      </w:pPr>
      <w:r w:rsidRPr="00632BFF">
        <w:rPr>
          <w:i/>
          <w:iCs/>
          <w:rtl/>
          <w:lang w:val="en-GB"/>
        </w:rPr>
        <w:t>يدعو</w:t>
      </w:r>
      <w:r w:rsidRPr="00174E55">
        <w:rPr>
          <w:rtl/>
          <w:lang w:val="en-GB"/>
        </w:rPr>
        <w:t xml:space="preserve"> الهيئات ال</w:t>
      </w:r>
      <w:r w:rsidRPr="00174E55">
        <w:rPr>
          <w:rFonts w:hint="cs"/>
          <w:rtl/>
          <w:lang w:val="en-GB"/>
        </w:rPr>
        <w:t>إدارية</w:t>
      </w:r>
      <w:r w:rsidRPr="00174E55">
        <w:rPr>
          <w:rtl/>
          <w:lang w:val="en-GB"/>
        </w:rPr>
        <w:t xml:space="preserve"> وأمانات الاتفاقيات الأخرى المتعلقة بالتنوع البيولوجي، وكذلك المنظمات الأخرى ذات الصلة، إلى النظر في هذه المشورة، حسب الاقتضاء وفي </w:t>
      </w:r>
      <w:r w:rsidRPr="00174E55">
        <w:rPr>
          <w:rFonts w:hint="cs"/>
          <w:rtl/>
          <w:lang w:val="en-GB"/>
        </w:rPr>
        <w:t>إطار</w:t>
      </w:r>
      <w:r w:rsidRPr="00174E55">
        <w:rPr>
          <w:rtl/>
          <w:lang w:val="en-GB"/>
        </w:rPr>
        <w:t xml:space="preserve"> ولاية كل منها،</w:t>
      </w:r>
      <w:r>
        <w:rPr>
          <w:rFonts w:hint="cs"/>
          <w:rtl/>
          <w:lang w:val="en-GB"/>
        </w:rPr>
        <w:t xml:space="preserve"> وبما يتماشى مع الظروف الوطنية،</w:t>
      </w:r>
      <w:r w:rsidRPr="00174E55">
        <w:rPr>
          <w:rtl/>
          <w:lang w:val="en-GB"/>
        </w:rPr>
        <w:t xml:space="preserve"> لمواصلة </w:t>
      </w:r>
      <w:r w:rsidRPr="00174E55">
        <w:rPr>
          <w:rFonts w:hint="cs"/>
          <w:rtl/>
          <w:lang w:val="en-GB"/>
        </w:rPr>
        <w:lastRenderedPageBreak/>
        <w:t>اتخاذ الإجراءات الأساسية</w:t>
      </w:r>
      <w:r w:rsidRPr="00174E55">
        <w:rPr>
          <w:rtl/>
          <w:lang w:val="en-GB"/>
        </w:rPr>
        <w:t xml:space="preserve"> </w:t>
      </w:r>
      <w:r w:rsidRPr="00174E55">
        <w:rPr>
          <w:rFonts w:hint="cs"/>
          <w:rtl/>
          <w:lang w:val="en-GB"/>
        </w:rPr>
        <w:t>المرغوب فيها</w:t>
      </w:r>
      <w:r w:rsidRPr="00174E55">
        <w:rPr>
          <w:rtl/>
          <w:lang w:val="en-GB"/>
        </w:rPr>
        <w:t xml:space="preserve"> بشأن</w:t>
      </w:r>
      <w:r w:rsidRPr="00174E55">
        <w:rPr>
          <w:rFonts w:hint="cs"/>
          <w:rtl/>
          <w:lang w:val="en-GB"/>
        </w:rPr>
        <w:t xml:space="preserve"> أوجه</w:t>
      </w:r>
      <w:r w:rsidRPr="00174E55">
        <w:rPr>
          <w:rtl/>
          <w:lang w:val="en-GB"/>
        </w:rPr>
        <w:t xml:space="preserve"> التآزر و</w:t>
      </w:r>
      <w:r w:rsidRPr="00174E55">
        <w:rPr>
          <w:rFonts w:hint="cs"/>
          <w:rtl/>
          <w:lang w:val="en-GB"/>
        </w:rPr>
        <w:t>لكي تشارك</w:t>
      </w:r>
      <w:r w:rsidRPr="00174E55">
        <w:rPr>
          <w:rtl/>
          <w:lang w:val="en-GB"/>
        </w:rPr>
        <w:t xml:space="preserve"> بنشاط في عملية </w:t>
      </w:r>
      <w:r w:rsidRPr="00174E55">
        <w:rPr>
          <w:rFonts w:hint="cs"/>
          <w:rtl/>
          <w:lang w:val="en-GB"/>
        </w:rPr>
        <w:t>وضع</w:t>
      </w:r>
      <w:r w:rsidRPr="00174E55">
        <w:rPr>
          <w:rtl/>
          <w:lang w:val="en-GB"/>
        </w:rPr>
        <w:t xml:space="preserve"> </w:t>
      </w:r>
      <w:bookmarkStart w:id="189" w:name="_Hlk516711223"/>
      <w:r w:rsidRPr="00174E55">
        <w:rPr>
          <w:rFonts w:hint="cs"/>
          <w:rtl/>
          <w:lang w:val="en-GB"/>
        </w:rPr>
        <w:t>ال</w:t>
      </w:r>
      <w:r w:rsidRPr="00174E55">
        <w:rPr>
          <w:rtl/>
          <w:lang w:val="en-GB"/>
        </w:rPr>
        <w:t>إطار</w:t>
      </w:r>
      <w:r w:rsidRPr="00174E55">
        <w:rPr>
          <w:rFonts w:hint="cs"/>
          <w:rtl/>
          <w:lang w:val="en-GB"/>
        </w:rPr>
        <w:t xml:space="preserve"> العالمي ل</w:t>
      </w:r>
      <w:r w:rsidRPr="00174E55">
        <w:rPr>
          <w:rtl/>
          <w:lang w:val="en-GB"/>
        </w:rPr>
        <w:t>لتنوع البيولوجي لما بعد</w:t>
      </w:r>
      <w:r w:rsidRPr="00174E55">
        <w:rPr>
          <w:rFonts w:hint="cs"/>
          <w:rtl/>
          <w:lang w:val="en-GB"/>
        </w:rPr>
        <w:t xml:space="preserve"> عام</w:t>
      </w:r>
      <w:r w:rsidRPr="00174E55">
        <w:rPr>
          <w:rtl/>
          <w:lang w:val="en-GB"/>
        </w:rPr>
        <w:t xml:space="preserve"> </w:t>
      </w:r>
      <w:bookmarkEnd w:id="189"/>
      <w:r w:rsidRPr="00174E55">
        <w:rPr>
          <w:rtl/>
          <w:lang w:val="en-GB"/>
        </w:rPr>
        <w:t>2020؛</w:t>
      </w:r>
    </w:p>
    <w:p w:rsidR="00E02C84" w:rsidRPr="00174E55" w:rsidRDefault="00E02C84" w:rsidP="00CD26C5">
      <w:pPr>
        <w:numPr>
          <w:ilvl w:val="0"/>
          <w:numId w:val="76"/>
        </w:numPr>
        <w:ind w:left="0" w:firstLine="720"/>
        <w:rPr>
          <w:lang w:val="en-GB"/>
        </w:rPr>
      </w:pPr>
      <w:r w:rsidRPr="009C4644">
        <w:rPr>
          <w:rFonts w:hint="cs"/>
          <w:i/>
          <w:iCs/>
          <w:rtl/>
          <w:lang w:val="en-GB"/>
        </w:rPr>
        <w:t>يسلّم</w:t>
      </w:r>
      <w:r w:rsidRPr="009C4644">
        <w:rPr>
          <w:rtl/>
          <w:lang w:val="en-GB"/>
        </w:rPr>
        <w:t xml:space="preserve"> بأهمية تعزيز</w:t>
      </w:r>
      <w:r w:rsidRPr="009C4644">
        <w:rPr>
          <w:rFonts w:hint="cs"/>
          <w:rtl/>
          <w:lang w:val="en-GB"/>
        </w:rPr>
        <w:t xml:space="preserve"> أوجه</w:t>
      </w:r>
      <w:r w:rsidRPr="009C4644">
        <w:rPr>
          <w:rtl/>
          <w:lang w:val="en-GB"/>
        </w:rPr>
        <w:t xml:space="preserve"> التآزر على</w:t>
      </w:r>
      <w:r w:rsidRPr="00174E55">
        <w:rPr>
          <w:rtl/>
          <w:lang w:val="en-GB"/>
        </w:rPr>
        <w:t xml:space="preserve"> المستوى الوطني، </w:t>
      </w:r>
      <w:r w:rsidRPr="004648EC">
        <w:rPr>
          <w:rFonts w:hint="cs"/>
          <w:i/>
          <w:iCs/>
          <w:rtl/>
          <w:lang w:val="en-GB"/>
        </w:rPr>
        <w:t>ويشجع</w:t>
      </w:r>
      <w:r w:rsidRPr="00174E55">
        <w:rPr>
          <w:rtl/>
          <w:lang w:val="en-GB"/>
        </w:rPr>
        <w:t xml:space="preserve"> الأطراف </w:t>
      </w:r>
      <w:r w:rsidRPr="004648EC">
        <w:rPr>
          <w:rFonts w:hint="cs"/>
          <w:i/>
          <w:iCs/>
          <w:rtl/>
          <w:lang w:val="en-GB"/>
        </w:rPr>
        <w:t>ويدعو</w:t>
      </w:r>
      <w:r w:rsidRPr="0023280D">
        <w:rPr>
          <w:rFonts w:hint="cs"/>
          <w:rtl/>
          <w:lang w:val="en-GB"/>
        </w:rPr>
        <w:t xml:space="preserve"> </w:t>
      </w:r>
      <w:r w:rsidRPr="00174E55">
        <w:rPr>
          <w:rtl/>
          <w:lang w:val="en-GB"/>
        </w:rPr>
        <w:t xml:space="preserve">الحكومات الأخرى، </w:t>
      </w:r>
      <w:r w:rsidRPr="00174E55">
        <w:rPr>
          <w:rFonts w:hint="cs"/>
          <w:rtl/>
          <w:lang w:val="en-GB"/>
        </w:rPr>
        <w:t>بما يتلاءم</w:t>
      </w:r>
      <w:r w:rsidRPr="00174E55">
        <w:rPr>
          <w:rtl/>
          <w:lang w:val="en-GB"/>
        </w:rPr>
        <w:t xml:space="preserve"> </w:t>
      </w:r>
      <w:r w:rsidRPr="00174E55">
        <w:rPr>
          <w:rFonts w:hint="cs"/>
          <w:rtl/>
          <w:lang w:val="en-GB"/>
        </w:rPr>
        <w:t xml:space="preserve">مع </w:t>
      </w:r>
      <w:r w:rsidRPr="00174E55">
        <w:rPr>
          <w:rtl/>
          <w:lang w:val="en-GB"/>
        </w:rPr>
        <w:t xml:space="preserve">ظروفها الوطنية، وكذلك الشعوب الأصلية والمجتمعات المحلية والمنظمات غير الحكومية والمنظمات الأخرى ذات الصلة إلى مواصلة اتخاذ إجراءات من بين </w:t>
      </w:r>
      <w:r w:rsidRPr="00174E55">
        <w:rPr>
          <w:rFonts w:hint="cs"/>
          <w:rtl/>
          <w:lang w:val="en-GB"/>
        </w:rPr>
        <w:t>ال</w:t>
      </w:r>
      <w:r w:rsidRPr="00174E55">
        <w:rPr>
          <w:rtl/>
          <w:lang w:val="en-GB"/>
        </w:rPr>
        <w:t>خيارات</w:t>
      </w:r>
      <w:r w:rsidRPr="00174E55">
        <w:rPr>
          <w:rFonts w:hint="cs"/>
          <w:rtl/>
          <w:lang w:val="en-GB"/>
        </w:rPr>
        <w:t xml:space="preserve"> المتاحة</w:t>
      </w:r>
      <w:r w:rsidRPr="00174E55">
        <w:rPr>
          <w:rtl/>
          <w:lang w:val="en-GB"/>
        </w:rPr>
        <w:t xml:space="preserve"> لتعزيز</w:t>
      </w:r>
      <w:r w:rsidRPr="00174E55">
        <w:rPr>
          <w:rFonts w:hint="cs"/>
          <w:rtl/>
          <w:lang w:val="en-GB"/>
        </w:rPr>
        <w:t xml:space="preserve"> أوجه</w:t>
      </w:r>
      <w:r w:rsidRPr="00174E55">
        <w:rPr>
          <w:rtl/>
          <w:lang w:val="en-GB"/>
        </w:rPr>
        <w:t xml:space="preserve"> التآزر </w:t>
      </w:r>
      <w:r w:rsidRPr="00174E55">
        <w:rPr>
          <w:rFonts w:hint="cs"/>
          <w:rtl/>
          <w:lang w:val="en-GB"/>
        </w:rPr>
        <w:t xml:space="preserve">فيما </w:t>
      </w:r>
      <w:r w:rsidRPr="00174E55">
        <w:rPr>
          <w:rtl/>
          <w:lang w:val="en-GB"/>
        </w:rPr>
        <w:t>بين الاتفاقيات المت</w:t>
      </w:r>
      <w:r w:rsidRPr="00174E55">
        <w:rPr>
          <w:rFonts w:hint="cs"/>
          <w:rtl/>
          <w:lang w:val="en-GB"/>
        </w:rPr>
        <w:t>علقة</w:t>
      </w:r>
      <w:r w:rsidRPr="00174E55">
        <w:rPr>
          <w:rtl/>
          <w:lang w:val="en-GB"/>
        </w:rPr>
        <w:t xml:space="preserve"> بالتنوع البيولوجي على المستوى الوطني </w:t>
      </w:r>
      <w:r w:rsidRPr="00174E55">
        <w:rPr>
          <w:rFonts w:hint="cs"/>
          <w:rtl/>
          <w:lang w:val="en-GB"/>
        </w:rPr>
        <w:t>و</w:t>
      </w:r>
      <w:r w:rsidRPr="00174E55">
        <w:rPr>
          <w:rtl/>
          <w:lang w:val="en-GB"/>
        </w:rPr>
        <w:t xml:space="preserve">الواردة في المرفق الأول </w:t>
      </w:r>
      <w:r w:rsidRPr="00174E55">
        <w:rPr>
          <w:rFonts w:hint="cs"/>
          <w:rtl/>
          <w:lang w:val="en-GB"/>
        </w:rPr>
        <w:t>للمقرر</w:t>
      </w:r>
      <w:r w:rsidRPr="00174E55">
        <w:rPr>
          <w:rtl/>
          <w:lang w:val="en-GB"/>
        </w:rPr>
        <w:t xml:space="preserve"> 13/24</w:t>
      </w:r>
      <w:r>
        <w:rPr>
          <w:rFonts w:hint="cs"/>
          <w:rtl/>
          <w:lang w:val="en-GB"/>
        </w:rPr>
        <w:t xml:space="preserve">، </w:t>
      </w:r>
      <w:r w:rsidRPr="004648EC">
        <w:rPr>
          <w:rFonts w:hint="cs"/>
          <w:i/>
          <w:iCs/>
          <w:rtl/>
          <w:lang w:val="en-GB"/>
        </w:rPr>
        <w:t>ويدعو</w:t>
      </w:r>
      <w:r w:rsidRPr="0023280D">
        <w:rPr>
          <w:rFonts w:hint="cs"/>
          <w:rtl/>
          <w:lang w:val="en-GB"/>
        </w:rPr>
        <w:t xml:space="preserve"> أيضاً الأطراف والحكومات الأخرى والمنظمات ذات الصلة القادرة على ذلك إلى تقديم الدعم التقني والمالي لأنشطة بناء القدرات في البلدان النامية</w:t>
      </w:r>
      <w:r w:rsidRPr="00174E55">
        <w:rPr>
          <w:rtl/>
          <w:lang w:val="en-GB"/>
        </w:rPr>
        <w:t>؛</w:t>
      </w:r>
    </w:p>
    <w:p w:rsidR="00E02C84" w:rsidRPr="00174E55" w:rsidRDefault="00E02C84" w:rsidP="00CD26C5">
      <w:pPr>
        <w:numPr>
          <w:ilvl w:val="0"/>
          <w:numId w:val="76"/>
        </w:numPr>
        <w:ind w:left="0" w:firstLine="720"/>
        <w:rPr>
          <w:lang w:val="en-GB"/>
        </w:rPr>
      </w:pPr>
      <w:r w:rsidRPr="00632BFF">
        <w:rPr>
          <w:i/>
          <w:iCs/>
          <w:rtl/>
          <w:lang w:val="en-GB"/>
        </w:rPr>
        <w:t>يطلب</w:t>
      </w:r>
      <w:r w:rsidRPr="00EF682B">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أن </w:t>
      </w:r>
      <w:r w:rsidRPr="00174E55">
        <w:rPr>
          <w:rFonts w:hint="cs"/>
          <w:rtl/>
          <w:lang w:val="en-GB"/>
        </w:rPr>
        <w:t>تتقاسم</w:t>
      </w:r>
      <w:r w:rsidRPr="00174E55">
        <w:rPr>
          <w:rtl/>
          <w:lang w:val="en-GB"/>
        </w:rPr>
        <w:t xml:space="preserve"> نتائج أعمال الفريق الاستشاري غير الرسمي مع المنظمات</w:t>
      </w:r>
      <w:r>
        <w:rPr>
          <w:rFonts w:hint="cs"/>
          <w:rtl/>
          <w:lang w:val="en-GB"/>
        </w:rPr>
        <w:t xml:space="preserve"> والمبادرات الأخرى </w:t>
      </w:r>
      <w:r w:rsidRPr="00174E55">
        <w:rPr>
          <w:rtl/>
          <w:lang w:val="en-GB"/>
        </w:rPr>
        <w:t xml:space="preserve">التي يكون </w:t>
      </w:r>
      <w:r w:rsidRPr="00174E55">
        <w:rPr>
          <w:rFonts w:hint="cs"/>
          <w:rtl/>
          <w:lang w:val="en-GB"/>
        </w:rPr>
        <w:t>ل</w:t>
      </w:r>
      <w:r w:rsidRPr="00174E55">
        <w:rPr>
          <w:rtl/>
          <w:lang w:val="en-GB"/>
        </w:rPr>
        <w:t>تنفيذ خ</w:t>
      </w:r>
      <w:r w:rsidRPr="00174E55">
        <w:rPr>
          <w:rFonts w:hint="cs"/>
          <w:rtl/>
          <w:lang w:val="en-GB"/>
        </w:rPr>
        <w:t>ارطة</w:t>
      </w:r>
      <w:r w:rsidRPr="00174E55">
        <w:rPr>
          <w:rtl/>
          <w:lang w:val="en-GB"/>
        </w:rPr>
        <w:t xml:space="preserve"> الطريق </w:t>
      </w:r>
      <w:r w:rsidRPr="00174E55">
        <w:rPr>
          <w:rFonts w:hint="cs"/>
          <w:rtl/>
          <w:lang w:val="en-GB"/>
        </w:rPr>
        <w:t>المتعلقة ب</w:t>
      </w:r>
      <w:r w:rsidRPr="00174E55">
        <w:rPr>
          <w:rtl/>
          <w:lang w:val="en-GB"/>
        </w:rPr>
        <w:t xml:space="preserve">تعزيز </w:t>
      </w:r>
      <w:r w:rsidRPr="00174E55">
        <w:rPr>
          <w:rFonts w:hint="cs"/>
          <w:rtl/>
          <w:lang w:val="en-GB"/>
        </w:rPr>
        <w:t xml:space="preserve">أوجه </w:t>
      </w:r>
      <w:r w:rsidRPr="00174E55">
        <w:rPr>
          <w:rtl/>
          <w:lang w:val="en-GB"/>
        </w:rPr>
        <w:t xml:space="preserve">التآزر </w:t>
      </w:r>
      <w:r w:rsidRPr="00174E55">
        <w:rPr>
          <w:rFonts w:hint="cs"/>
          <w:rtl/>
          <w:lang w:val="en-GB"/>
        </w:rPr>
        <w:t xml:space="preserve">فيما </w:t>
      </w:r>
      <w:r w:rsidRPr="00174E55">
        <w:rPr>
          <w:rtl/>
          <w:lang w:val="en-GB"/>
        </w:rPr>
        <w:t xml:space="preserve">بين الاتفاقيات المتعلقة بالتنوع البيولوجي على المستوى الدولي </w:t>
      </w:r>
      <w:r w:rsidRPr="00174E55">
        <w:rPr>
          <w:rFonts w:hint="cs"/>
          <w:rtl/>
          <w:lang w:val="en-GB"/>
        </w:rPr>
        <w:t>خلال ا</w:t>
      </w:r>
      <w:r w:rsidRPr="00174E55">
        <w:rPr>
          <w:rtl/>
          <w:lang w:val="en-GB"/>
        </w:rPr>
        <w:t xml:space="preserve">لفترة 2017-2020 </w:t>
      </w:r>
      <w:r w:rsidRPr="00174E55">
        <w:rPr>
          <w:rFonts w:hint="cs"/>
          <w:rtl/>
          <w:lang w:val="en-GB"/>
        </w:rPr>
        <w:t>صلة بها</w:t>
      </w:r>
      <w:r w:rsidRPr="00174E55">
        <w:rPr>
          <w:rtl/>
          <w:lang w:val="en-GB"/>
        </w:rPr>
        <w:t>؛</w:t>
      </w:r>
    </w:p>
    <w:p w:rsidR="00E02C84" w:rsidRPr="00174E55" w:rsidRDefault="00E02C84" w:rsidP="00CD26C5">
      <w:pPr>
        <w:numPr>
          <w:ilvl w:val="0"/>
          <w:numId w:val="76"/>
        </w:numPr>
        <w:ind w:left="0" w:firstLine="720"/>
        <w:rPr>
          <w:lang w:val="en-GB"/>
        </w:rPr>
      </w:pPr>
      <w:r w:rsidRPr="00632BFF">
        <w:rPr>
          <w:i/>
          <w:iCs/>
          <w:rtl/>
          <w:lang w:val="en-GB"/>
        </w:rPr>
        <w:t>يطلب</w:t>
      </w:r>
      <w:r w:rsidRPr="00EF682B">
        <w:rPr>
          <w:rtl/>
          <w:lang w:val="en-GB"/>
        </w:rPr>
        <w:t xml:space="preserve"> </w:t>
      </w:r>
      <w:r w:rsidRPr="00174E55">
        <w:rPr>
          <w:rtl/>
          <w:lang w:val="en-GB"/>
        </w:rPr>
        <w:t>إلى الفريق الاستشاري غير الرسمي المعني ب</w:t>
      </w:r>
      <w:r w:rsidRPr="00174E55">
        <w:rPr>
          <w:rFonts w:hint="cs"/>
          <w:rtl/>
          <w:lang w:val="en-GB"/>
        </w:rPr>
        <w:t xml:space="preserve">أوجه </w:t>
      </w:r>
      <w:r w:rsidRPr="00174E55">
        <w:rPr>
          <w:rtl/>
          <w:lang w:val="en-GB"/>
        </w:rPr>
        <w:t>التآزر</w:t>
      </w:r>
      <w:r>
        <w:rPr>
          <w:rFonts w:hint="cs"/>
          <w:rtl/>
          <w:lang w:val="en-GB"/>
        </w:rPr>
        <w:t>، رهنا بتوافر</w:t>
      </w:r>
      <w:r w:rsidRPr="00174E55">
        <w:rPr>
          <w:rtl/>
          <w:lang w:val="en-GB"/>
        </w:rPr>
        <w:t xml:space="preserve"> </w:t>
      </w:r>
      <w:r>
        <w:rPr>
          <w:rFonts w:hint="cs"/>
          <w:rtl/>
          <w:lang w:val="en-GB"/>
        </w:rPr>
        <w:t xml:space="preserve">الموارد، </w:t>
      </w:r>
      <w:r w:rsidRPr="00174E55">
        <w:rPr>
          <w:rtl/>
          <w:lang w:val="en-GB"/>
        </w:rPr>
        <w:t>مواصلة العمل خلال فترة ما بين الدور</w:t>
      </w:r>
      <w:r w:rsidRPr="00174E55">
        <w:rPr>
          <w:rFonts w:hint="cs"/>
          <w:rtl/>
          <w:lang w:val="en-GB"/>
        </w:rPr>
        <w:t>تين</w:t>
      </w:r>
      <w:r w:rsidRPr="00174E55">
        <w:rPr>
          <w:rtl/>
          <w:lang w:val="en-GB"/>
        </w:rPr>
        <w:t xml:space="preserve"> الم</w:t>
      </w:r>
      <w:r w:rsidRPr="00174E55">
        <w:rPr>
          <w:rFonts w:hint="cs"/>
          <w:rtl/>
          <w:lang w:val="en-GB"/>
        </w:rPr>
        <w:t>قبلة</w:t>
      </w:r>
      <w:r w:rsidRPr="00174E55">
        <w:rPr>
          <w:rtl/>
          <w:lang w:val="en-GB"/>
        </w:rPr>
        <w:t>، بالتشاور الوثيق مع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ومكتب مؤتمر الأطراف، </w:t>
      </w:r>
      <w:r w:rsidRPr="00174E55">
        <w:rPr>
          <w:rFonts w:hint="cs"/>
          <w:rtl/>
          <w:lang w:val="en-GB"/>
        </w:rPr>
        <w:t>من أجل</w:t>
      </w:r>
      <w:r w:rsidRPr="00174E55">
        <w:rPr>
          <w:rtl/>
          <w:lang w:val="en-GB"/>
        </w:rPr>
        <w:t xml:space="preserve"> (أ)</w:t>
      </w:r>
      <w:r>
        <w:rPr>
          <w:rFonts w:hint="cs"/>
          <w:rtl/>
          <w:lang w:val="en-GB"/>
        </w:rPr>
        <w:t> </w:t>
      </w:r>
      <w:r w:rsidRPr="00174E55">
        <w:rPr>
          <w:rtl/>
          <w:lang w:val="en-GB"/>
        </w:rPr>
        <w:t>رصد تنفيذ خ</w:t>
      </w:r>
      <w:r w:rsidRPr="00174E55">
        <w:rPr>
          <w:rFonts w:hint="cs"/>
          <w:rtl/>
          <w:lang w:val="en-GB"/>
        </w:rPr>
        <w:t>ارطة</w:t>
      </w:r>
      <w:r w:rsidRPr="00174E55">
        <w:rPr>
          <w:rtl/>
          <w:lang w:val="en-GB"/>
        </w:rPr>
        <w:t xml:space="preserve"> الطريق حتى</w:t>
      </w:r>
      <w:r w:rsidRPr="00174E55">
        <w:rPr>
          <w:rFonts w:hint="cs"/>
          <w:rtl/>
          <w:lang w:val="en-GB"/>
        </w:rPr>
        <w:t xml:space="preserve"> موعد</w:t>
      </w:r>
      <w:r w:rsidRPr="00174E55">
        <w:rPr>
          <w:rtl/>
          <w:lang w:val="en-GB"/>
        </w:rPr>
        <w:t xml:space="preserve"> الاجتماع الخامس عشر </w:t>
      </w:r>
      <w:r w:rsidRPr="00174E55">
        <w:rPr>
          <w:rFonts w:hint="cs"/>
          <w:rtl/>
          <w:lang w:val="en-GB"/>
        </w:rPr>
        <w:t>ل</w:t>
      </w:r>
      <w:r w:rsidRPr="00174E55">
        <w:rPr>
          <w:rtl/>
          <w:lang w:val="en-GB"/>
        </w:rPr>
        <w:t xml:space="preserve">مؤتمر الأطراف، (ب) </w:t>
      </w:r>
      <w:r w:rsidRPr="00174E55">
        <w:rPr>
          <w:rFonts w:hint="cs"/>
          <w:rtl/>
          <w:lang w:val="en-GB"/>
        </w:rPr>
        <w:t>إسداء المشورة</w:t>
      </w:r>
      <w:r w:rsidRPr="00174E55">
        <w:rPr>
          <w:rtl/>
          <w:lang w:val="en-GB"/>
        </w:rPr>
        <w:t xml:space="preserve"> </w:t>
      </w:r>
      <w:r w:rsidRPr="00174E55">
        <w:rPr>
          <w:rFonts w:hint="cs"/>
          <w:rtl/>
          <w:lang w:val="en-GB"/>
        </w:rPr>
        <w:t>لل</w:t>
      </w:r>
      <w:r w:rsidRPr="00174E55">
        <w:rPr>
          <w:rtl/>
          <w:lang w:val="en-GB"/>
        </w:rPr>
        <w:t xml:space="preserve">أمانة </w:t>
      </w:r>
      <w:r>
        <w:rPr>
          <w:rFonts w:hint="cs"/>
          <w:rtl/>
          <w:lang w:val="en-GB"/>
        </w:rPr>
        <w:t xml:space="preserve">والفريق العامل المفتوح العضوية المعني بوضع الإطار العالمي للتنوع البيولوجي لما بعد عام 2020 الذي أنشأه مؤتمر الأطراف في اجتماعه الرابع عشر </w:t>
      </w:r>
      <w:r w:rsidRPr="00174E55">
        <w:rPr>
          <w:rtl/>
          <w:lang w:val="en-GB"/>
        </w:rPr>
        <w:t xml:space="preserve">بشأن </w:t>
      </w:r>
      <w:r w:rsidRPr="00174E55">
        <w:rPr>
          <w:rFonts w:hint="cs"/>
          <w:rtl/>
          <w:lang w:val="en-GB"/>
        </w:rPr>
        <w:t>سبل تحقيق المستوى الأمثل من</w:t>
      </w:r>
      <w:r w:rsidRPr="00174E55">
        <w:rPr>
          <w:rtl/>
          <w:lang w:val="en-GB"/>
        </w:rPr>
        <w:t xml:space="preserve"> التآزر</w:t>
      </w:r>
      <w:r w:rsidRPr="00174E55">
        <w:rPr>
          <w:rFonts w:hint="cs"/>
          <w:rtl/>
          <w:lang w:val="en-GB"/>
        </w:rPr>
        <w:t xml:space="preserve"> فيما</w:t>
      </w:r>
      <w:r w:rsidRPr="00174E55">
        <w:rPr>
          <w:rtl/>
          <w:lang w:val="en-GB"/>
        </w:rPr>
        <w:t xml:space="preserve"> بين الاتفاقيات المتعلقة بالتنوع البيولوجي في </w:t>
      </w:r>
      <w:r w:rsidRPr="00174E55">
        <w:rPr>
          <w:rFonts w:hint="cs"/>
          <w:rtl/>
          <w:lang w:val="en-GB"/>
        </w:rPr>
        <w:t>وضع</w:t>
      </w:r>
      <w:r w:rsidRPr="00174E55">
        <w:rPr>
          <w:rtl/>
          <w:lang w:val="en-GB"/>
        </w:rPr>
        <w:t xml:space="preserve"> إطار التنوع البيولوجي لما بعد</w:t>
      </w:r>
      <w:r w:rsidRPr="00174E55">
        <w:rPr>
          <w:rFonts w:hint="cs"/>
          <w:rtl/>
          <w:lang w:val="en-GB"/>
        </w:rPr>
        <w:t xml:space="preserve"> عام</w:t>
      </w:r>
      <w:r w:rsidRPr="00174E55">
        <w:rPr>
          <w:rtl/>
          <w:lang w:val="en-GB"/>
        </w:rPr>
        <w:t xml:space="preserve"> 2020، </w:t>
      </w:r>
      <w:r>
        <w:rPr>
          <w:rFonts w:hint="cs"/>
          <w:rtl/>
          <w:lang w:val="en-GB"/>
        </w:rPr>
        <w:t>و(ج) إعداد</w:t>
      </w:r>
      <w:r w:rsidRPr="00174E55">
        <w:rPr>
          <w:rtl/>
          <w:lang w:val="en-GB"/>
        </w:rPr>
        <w:t xml:space="preserve"> تقرير </w:t>
      </w:r>
      <w:r>
        <w:rPr>
          <w:rFonts w:hint="cs"/>
          <w:rtl/>
          <w:lang w:val="en-GB"/>
        </w:rPr>
        <w:t>تتيحه الأمينة التنفيذية لل</w:t>
      </w:r>
      <w:r w:rsidRPr="00174E55">
        <w:rPr>
          <w:rtl/>
          <w:lang w:val="en-GB"/>
        </w:rPr>
        <w:t>هيئة الفرعية للتنفيذ في اجتماعها الثالث لينظر فيه</w:t>
      </w:r>
      <w:r w:rsidRPr="00174E55">
        <w:rPr>
          <w:rFonts w:hint="cs"/>
          <w:rtl/>
          <w:lang w:val="en-GB"/>
        </w:rPr>
        <w:t xml:space="preserve"> </w:t>
      </w:r>
      <w:r w:rsidRPr="00174E55">
        <w:rPr>
          <w:rtl/>
          <w:lang w:val="en-GB"/>
        </w:rPr>
        <w:t>مؤتمر الأطراف</w:t>
      </w:r>
      <w:r w:rsidRPr="00174E55">
        <w:rPr>
          <w:rFonts w:hint="cs"/>
          <w:rtl/>
          <w:lang w:val="en-GB"/>
        </w:rPr>
        <w:t xml:space="preserve"> لاحقاً</w:t>
      </w:r>
      <w:r w:rsidRPr="00174E55">
        <w:rPr>
          <w:rtl/>
          <w:lang w:val="en-GB"/>
        </w:rPr>
        <w:t xml:space="preserve"> في اجتماعه الخامس عشر؛</w:t>
      </w:r>
    </w:p>
    <w:p w:rsidR="00E02C84" w:rsidRDefault="00E02C84" w:rsidP="00CD26C5">
      <w:pPr>
        <w:numPr>
          <w:ilvl w:val="0"/>
          <w:numId w:val="76"/>
        </w:numPr>
        <w:ind w:left="0" w:firstLine="720"/>
        <w:rPr>
          <w:lang w:val="en-GB"/>
        </w:rPr>
      </w:pPr>
      <w:r w:rsidRPr="00632BFF">
        <w:rPr>
          <w:i/>
          <w:iCs/>
          <w:rtl/>
          <w:lang w:val="en-GB"/>
        </w:rPr>
        <w:t>يطلب</w:t>
      </w:r>
      <w:r w:rsidRPr="00EF682B">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رهنا</w:t>
      </w:r>
      <w:r w:rsidRPr="00174E55">
        <w:rPr>
          <w:rFonts w:hint="cs"/>
          <w:rtl/>
          <w:lang w:val="en-GB"/>
        </w:rPr>
        <w:t>ً</w:t>
      </w:r>
      <w:r w:rsidRPr="00174E55">
        <w:rPr>
          <w:rtl/>
          <w:lang w:val="en-GB"/>
        </w:rPr>
        <w:t xml:space="preserve"> بتوافر الموارد،</w:t>
      </w:r>
      <w:r>
        <w:rPr>
          <w:rFonts w:hint="cs"/>
          <w:rtl/>
          <w:lang w:val="en-GB"/>
        </w:rPr>
        <w:t xml:space="preserve"> </w:t>
      </w:r>
      <w:r w:rsidRPr="00C4601B">
        <w:rPr>
          <w:i/>
          <w:iCs/>
          <w:rtl/>
          <w:lang w:val="en-GB"/>
        </w:rPr>
        <w:t>و</w:t>
      </w:r>
      <w:r w:rsidRPr="00C4601B">
        <w:rPr>
          <w:rFonts w:hint="cs"/>
          <w:i/>
          <w:iCs/>
          <w:rtl/>
          <w:lang w:val="en-GB"/>
        </w:rPr>
        <w:t>يدعو</w:t>
      </w:r>
      <w:r>
        <w:rPr>
          <w:rFonts w:hint="cs"/>
          <w:rtl/>
          <w:lang w:val="en-GB"/>
        </w:rPr>
        <w:t xml:space="preserve"> </w:t>
      </w:r>
      <w:r w:rsidRPr="00174E55">
        <w:rPr>
          <w:rtl/>
          <w:lang w:val="en-GB"/>
        </w:rPr>
        <w:t xml:space="preserve">الأطراف </w:t>
      </w:r>
      <w:r w:rsidRPr="00174E55">
        <w:rPr>
          <w:rFonts w:hint="cs"/>
          <w:rtl/>
          <w:lang w:val="en-GB"/>
        </w:rPr>
        <w:t>أن تواصل</w:t>
      </w:r>
      <w:r w:rsidRPr="00174E55">
        <w:rPr>
          <w:rtl/>
          <w:lang w:val="en-GB"/>
        </w:rPr>
        <w:t xml:space="preserve"> دعم </w:t>
      </w:r>
      <w:r w:rsidRPr="00174E55">
        <w:rPr>
          <w:rFonts w:hint="cs"/>
          <w:rtl/>
          <w:lang w:val="en-GB"/>
        </w:rPr>
        <w:t>ال</w:t>
      </w:r>
      <w:r w:rsidRPr="00174E55">
        <w:rPr>
          <w:rtl/>
          <w:lang w:val="en-GB"/>
        </w:rPr>
        <w:t>عمل</w:t>
      </w:r>
      <w:r w:rsidRPr="00174E55">
        <w:rPr>
          <w:rFonts w:hint="cs"/>
          <w:rtl/>
          <w:lang w:val="en-GB"/>
        </w:rPr>
        <w:t xml:space="preserve"> الذي يضطلع به</w:t>
      </w:r>
      <w:r w:rsidRPr="00174E55">
        <w:rPr>
          <w:rtl/>
          <w:lang w:val="en-GB"/>
        </w:rPr>
        <w:t xml:space="preserve"> الفريق الاستشاري غير الرسمي المعني ب</w:t>
      </w:r>
      <w:r w:rsidRPr="00174E55">
        <w:rPr>
          <w:rFonts w:hint="cs"/>
          <w:rtl/>
          <w:lang w:val="en-GB"/>
        </w:rPr>
        <w:t xml:space="preserve">أوجه </w:t>
      </w:r>
      <w:r w:rsidRPr="00174E55">
        <w:rPr>
          <w:rtl/>
          <w:lang w:val="en-GB"/>
        </w:rPr>
        <w:t xml:space="preserve">التآزر للأغراض المبينة في الفقرة </w:t>
      </w:r>
      <w:r>
        <w:rPr>
          <w:rFonts w:hint="cs"/>
          <w:rtl/>
          <w:lang w:val="en-GB"/>
        </w:rPr>
        <w:t>10</w:t>
      </w:r>
      <w:r w:rsidRPr="00174E55">
        <w:rPr>
          <w:rtl/>
          <w:lang w:val="en-GB"/>
        </w:rPr>
        <w:t xml:space="preserve"> أعلاه؛</w:t>
      </w:r>
    </w:p>
    <w:p w:rsidR="00E02C84" w:rsidRPr="00174E55" w:rsidRDefault="00E02C84" w:rsidP="00CD26C5">
      <w:pPr>
        <w:numPr>
          <w:ilvl w:val="0"/>
          <w:numId w:val="76"/>
        </w:numPr>
        <w:ind w:left="0" w:firstLine="720"/>
        <w:rPr>
          <w:lang w:val="en-GB"/>
        </w:rPr>
      </w:pPr>
      <w:r w:rsidRPr="00843296">
        <w:rPr>
          <w:i/>
          <w:iCs/>
          <w:rtl/>
          <w:lang w:val="en-GB"/>
        </w:rPr>
        <w:t>يطلب</w:t>
      </w:r>
      <w:r w:rsidRPr="00843296">
        <w:rPr>
          <w:rtl/>
          <w:lang w:val="en-GB"/>
        </w:rPr>
        <w:t xml:space="preserve"> إلى الأمين</w:t>
      </w:r>
      <w:r w:rsidRPr="00843296">
        <w:rPr>
          <w:rFonts w:hint="cs"/>
          <w:rtl/>
          <w:lang w:val="en-GB"/>
        </w:rPr>
        <w:t>ة</w:t>
      </w:r>
      <w:r w:rsidRPr="00843296">
        <w:rPr>
          <w:rtl/>
          <w:lang w:val="en-GB"/>
        </w:rPr>
        <w:t xml:space="preserve"> التنفيذي</w:t>
      </w:r>
      <w:r w:rsidRPr="00843296">
        <w:rPr>
          <w:rFonts w:hint="cs"/>
          <w:rtl/>
          <w:lang w:val="en-GB"/>
        </w:rPr>
        <w:t>ة والرؤساء المشاركين</w:t>
      </w:r>
      <w:r>
        <w:rPr>
          <w:rFonts w:hint="cs"/>
          <w:rtl/>
          <w:lang w:val="en-GB"/>
        </w:rPr>
        <w:t xml:space="preserve"> للفريق العامل المفتوح العضوية المعني بوضع الإطار العالمي للتنوع البيولوجي لما بعد عام 2020 المنشئ بموجب المقرر 14/34، تنظيم حلقة عمل</w:t>
      </w:r>
      <w:r w:rsidRPr="00570A52">
        <w:rPr>
          <w:rtl/>
          <w:lang w:val="en-GB"/>
        </w:rPr>
        <w:t xml:space="preserve">، رهنا بتوافر الموارد، في أوائل عام 2019، لتيسير، حسب الاقتضاء، إجراء مناقشات بين الأطراف في مختلف الاتفاقيات المتعلقة بالتنوع البيولوجي لاستكشاف السبل التي يمكن أن تسهم بها الاتفاقيات في </w:t>
      </w:r>
      <w:r>
        <w:rPr>
          <w:rFonts w:hint="cs"/>
          <w:rtl/>
          <w:lang w:val="en-GB"/>
        </w:rPr>
        <w:t>إ</w:t>
      </w:r>
      <w:r w:rsidRPr="00570A52">
        <w:rPr>
          <w:rtl/>
          <w:lang w:val="en-GB"/>
        </w:rPr>
        <w:t xml:space="preserve">عداد </w:t>
      </w:r>
      <w:r>
        <w:rPr>
          <w:rFonts w:hint="cs"/>
          <w:rtl/>
          <w:lang w:val="en-GB"/>
        </w:rPr>
        <w:t>ال</w:t>
      </w:r>
      <w:r w:rsidRPr="00570A52">
        <w:rPr>
          <w:rtl/>
          <w:lang w:val="en-GB"/>
        </w:rPr>
        <w:t xml:space="preserve">إطار العالمي للتنوع البيولوجي </w:t>
      </w:r>
      <w:r>
        <w:rPr>
          <w:rFonts w:hint="cs"/>
          <w:rtl/>
          <w:lang w:val="en-GB"/>
        </w:rPr>
        <w:t>ل</w:t>
      </w:r>
      <w:r w:rsidRPr="00570A52">
        <w:rPr>
          <w:rtl/>
          <w:lang w:val="en-GB"/>
        </w:rPr>
        <w:t>ما بعد</w:t>
      </w:r>
      <w:r>
        <w:rPr>
          <w:rFonts w:hint="cs"/>
          <w:rtl/>
          <w:lang w:val="en-GB"/>
        </w:rPr>
        <w:t xml:space="preserve"> عام</w:t>
      </w:r>
      <w:r w:rsidRPr="00570A52">
        <w:rPr>
          <w:rtl/>
          <w:lang w:val="en-GB"/>
        </w:rPr>
        <w:t xml:space="preserve"> 2020، واستناداً إلى ولاية كل اتفاقية، </w:t>
      </w:r>
      <w:r>
        <w:rPr>
          <w:rFonts w:hint="cs"/>
          <w:rtl/>
          <w:lang w:val="en-GB"/>
        </w:rPr>
        <w:t>ل</w:t>
      </w:r>
      <w:r w:rsidRPr="00570A52">
        <w:rPr>
          <w:rtl/>
          <w:lang w:val="en-GB"/>
        </w:rPr>
        <w:t xml:space="preserve">تحديد العناصر المحددة التي يمكن إدراجها في الإطار، </w:t>
      </w:r>
      <w:r w:rsidRPr="00C4601B">
        <w:rPr>
          <w:i/>
          <w:iCs/>
          <w:rtl/>
          <w:lang w:val="en-GB"/>
        </w:rPr>
        <w:t>ويدعو</w:t>
      </w:r>
      <w:r w:rsidRPr="00570A52">
        <w:rPr>
          <w:rtl/>
          <w:lang w:val="en-GB"/>
        </w:rPr>
        <w:t xml:space="preserve"> أعضاء </w:t>
      </w:r>
      <w:r>
        <w:rPr>
          <w:rFonts w:hint="cs"/>
          <w:rtl/>
          <w:lang w:val="en-GB"/>
        </w:rPr>
        <w:t>فريق</w:t>
      </w:r>
      <w:r w:rsidRPr="00570A52">
        <w:rPr>
          <w:rtl/>
          <w:lang w:val="en-GB"/>
        </w:rPr>
        <w:t xml:space="preserve"> الاتصال للاتفاقيات المتعلقة بالتنوع البيولوجي </w:t>
      </w:r>
      <w:r>
        <w:rPr>
          <w:rFonts w:hint="cs"/>
          <w:rtl/>
          <w:lang w:val="en-GB"/>
        </w:rPr>
        <w:t>إلى ا</w:t>
      </w:r>
      <w:r w:rsidRPr="00570A52">
        <w:rPr>
          <w:rtl/>
          <w:lang w:val="en-GB"/>
        </w:rPr>
        <w:t xml:space="preserve">لمشاركة في </w:t>
      </w:r>
      <w:r>
        <w:rPr>
          <w:rFonts w:hint="cs"/>
          <w:rtl/>
          <w:lang w:val="en-GB"/>
        </w:rPr>
        <w:t xml:space="preserve">حلقة </w:t>
      </w:r>
      <w:r w:rsidRPr="00570A52">
        <w:rPr>
          <w:rtl/>
          <w:lang w:val="en-GB"/>
        </w:rPr>
        <w:t>العمل</w:t>
      </w:r>
      <w:r>
        <w:rPr>
          <w:rFonts w:hint="cs"/>
          <w:rtl/>
          <w:lang w:val="en-GB"/>
        </w:rPr>
        <w:t>،</w:t>
      </w:r>
      <w:r w:rsidRPr="00570A52">
        <w:rPr>
          <w:rtl/>
          <w:lang w:val="en-GB"/>
        </w:rPr>
        <w:t xml:space="preserve"> التي ينبغي أن تهدف إلى تعزيز </w:t>
      </w:r>
      <w:r>
        <w:rPr>
          <w:rFonts w:hint="cs"/>
          <w:rtl/>
          <w:lang w:val="en-GB"/>
        </w:rPr>
        <w:t xml:space="preserve">أوجه </w:t>
      </w:r>
      <w:r w:rsidRPr="00570A52">
        <w:rPr>
          <w:rtl/>
          <w:lang w:val="en-GB"/>
        </w:rPr>
        <w:t>التآزر وتعزيز التعاون بين الاتفاقيات المتعلقة بالتنوع البيولوجي، دون المساس بأهدافها المحددة و</w:t>
      </w:r>
      <w:r>
        <w:rPr>
          <w:rFonts w:hint="cs"/>
          <w:rtl/>
          <w:lang w:val="en-GB"/>
        </w:rPr>
        <w:t xml:space="preserve">مع </w:t>
      </w:r>
      <w:r w:rsidRPr="00570A52">
        <w:rPr>
          <w:rtl/>
          <w:lang w:val="en-GB"/>
        </w:rPr>
        <w:t>الاعتراف بولاي</w:t>
      </w:r>
      <w:r>
        <w:rPr>
          <w:rFonts w:hint="cs"/>
          <w:rtl/>
          <w:lang w:val="en-GB"/>
        </w:rPr>
        <w:t>ة</w:t>
      </w:r>
      <w:r w:rsidRPr="00570A52">
        <w:rPr>
          <w:rtl/>
          <w:lang w:val="en-GB"/>
        </w:rPr>
        <w:t xml:space="preserve"> كل منها ورهنا بتوافر الموارد لهذه الاتفاقيات، بهدف تعزيز مشاركتها في تصميم </w:t>
      </w:r>
      <w:r>
        <w:rPr>
          <w:rFonts w:hint="cs"/>
          <w:rtl/>
          <w:lang w:val="en-GB"/>
        </w:rPr>
        <w:t>ال</w:t>
      </w:r>
      <w:r w:rsidRPr="00570A52">
        <w:rPr>
          <w:rtl/>
          <w:lang w:val="en-GB"/>
        </w:rPr>
        <w:t xml:space="preserve">إطار </w:t>
      </w:r>
      <w:r>
        <w:rPr>
          <w:rFonts w:hint="cs"/>
          <w:rtl/>
          <w:lang w:val="en-GB"/>
        </w:rPr>
        <w:t>العالمي ل</w:t>
      </w:r>
      <w:r w:rsidRPr="00570A52">
        <w:rPr>
          <w:rtl/>
          <w:lang w:val="en-GB"/>
        </w:rPr>
        <w:t>لتنوع البيولوجي لما بعد عام 2020؛</w:t>
      </w:r>
    </w:p>
    <w:p w:rsidR="00E02C84" w:rsidRDefault="00E02C84" w:rsidP="00CD26C5">
      <w:pPr>
        <w:numPr>
          <w:ilvl w:val="0"/>
          <w:numId w:val="76"/>
        </w:numPr>
        <w:ind w:left="0" w:firstLine="720"/>
        <w:rPr>
          <w:lang w:val="en-GB"/>
        </w:rPr>
      </w:pPr>
      <w:r w:rsidRPr="00EF682B">
        <w:rPr>
          <w:rFonts w:hint="cs"/>
          <w:i/>
          <w:iCs/>
          <w:rtl/>
          <w:lang w:val="en-GB"/>
        </w:rPr>
        <w:t>يُقّر</w:t>
      </w:r>
      <w:r w:rsidRPr="00174E55">
        <w:rPr>
          <w:rtl/>
          <w:lang w:val="en-GB"/>
        </w:rPr>
        <w:t xml:space="preserve"> بالعمل التعاوني الذي </w:t>
      </w:r>
      <w:r w:rsidRPr="00174E55">
        <w:rPr>
          <w:rFonts w:hint="cs"/>
          <w:rtl/>
          <w:lang w:val="en-GB"/>
        </w:rPr>
        <w:t xml:space="preserve">اضطلعت </w:t>
      </w:r>
      <w:r w:rsidRPr="00174E55">
        <w:rPr>
          <w:rtl/>
          <w:lang w:val="en-GB"/>
        </w:rPr>
        <w:t>به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وبرنامج الأمم المتحدة للبيئة </w:t>
      </w:r>
      <w:r w:rsidRPr="00174E55">
        <w:rPr>
          <w:rFonts w:hint="cs"/>
          <w:rtl/>
          <w:lang w:val="en-GB"/>
        </w:rPr>
        <w:t>وال</w:t>
      </w:r>
      <w:r w:rsidRPr="00174E55">
        <w:rPr>
          <w:rtl/>
          <w:lang w:val="en-GB"/>
        </w:rPr>
        <w:t>مركز العالمي لرصد حفظ ال</w:t>
      </w:r>
      <w:r w:rsidRPr="00174E55">
        <w:rPr>
          <w:rFonts w:hint="cs"/>
          <w:rtl/>
          <w:lang w:val="en-GB"/>
        </w:rPr>
        <w:t>طبيعة</w:t>
      </w:r>
      <w:r w:rsidRPr="00174E55">
        <w:rPr>
          <w:rtl/>
          <w:lang w:val="en-GB"/>
        </w:rPr>
        <w:t xml:space="preserve"> التابع له</w:t>
      </w:r>
      <w:r w:rsidRPr="00174E55">
        <w:rPr>
          <w:rFonts w:hint="cs"/>
          <w:rtl/>
          <w:lang w:val="en-GB"/>
        </w:rPr>
        <w:t>،</w:t>
      </w:r>
      <w:r w:rsidRPr="00174E55">
        <w:rPr>
          <w:rtl/>
          <w:lang w:val="en-GB"/>
        </w:rPr>
        <w:t xml:space="preserve"> لتنفيذ الإجراءات ال</w:t>
      </w:r>
      <w:r w:rsidRPr="00174E55">
        <w:rPr>
          <w:rFonts w:hint="cs"/>
          <w:rtl/>
          <w:lang w:val="en-GB"/>
        </w:rPr>
        <w:t xml:space="preserve">أساسية الرامية إلى </w:t>
      </w:r>
      <w:r w:rsidRPr="00174E55">
        <w:rPr>
          <w:rtl/>
          <w:lang w:val="en-GB"/>
        </w:rPr>
        <w:t>تعزيز</w:t>
      </w:r>
      <w:r w:rsidRPr="00174E55">
        <w:rPr>
          <w:rFonts w:hint="cs"/>
          <w:rtl/>
          <w:lang w:val="en-GB"/>
        </w:rPr>
        <w:t xml:space="preserve"> أوجه</w:t>
      </w:r>
      <w:r w:rsidRPr="00174E55">
        <w:rPr>
          <w:rtl/>
          <w:lang w:val="en-GB"/>
        </w:rPr>
        <w:t xml:space="preserve"> التآزر على المستوى الدولي، </w:t>
      </w:r>
      <w:r w:rsidRPr="00843296">
        <w:rPr>
          <w:i/>
          <w:iCs/>
          <w:rtl/>
          <w:lang w:val="en-GB"/>
        </w:rPr>
        <w:t>و</w:t>
      </w:r>
      <w:r w:rsidRPr="00843296">
        <w:rPr>
          <w:rFonts w:hint="cs"/>
          <w:i/>
          <w:iCs/>
          <w:rtl/>
          <w:lang w:val="en-GB"/>
        </w:rPr>
        <w:t>ي</w:t>
      </w:r>
      <w:r w:rsidRPr="00843296">
        <w:rPr>
          <w:i/>
          <w:iCs/>
          <w:rtl/>
          <w:lang w:val="en-GB"/>
        </w:rPr>
        <w:t>طلب إلى</w:t>
      </w:r>
      <w:r w:rsidRPr="00EF682B">
        <w:rPr>
          <w:rtl/>
          <w:lang w:val="en-GB"/>
        </w:rPr>
        <w:t xml:space="preserve"> </w:t>
      </w:r>
      <w:r w:rsidRPr="00174E55">
        <w:rPr>
          <w:rtl/>
          <w:lang w:val="en-GB"/>
        </w:rPr>
        <w:t>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رهناً بتوافر الموارد، </w:t>
      </w:r>
      <w:r w:rsidRPr="00C4601B">
        <w:rPr>
          <w:i/>
          <w:iCs/>
          <w:rtl/>
          <w:lang w:val="en-GB"/>
        </w:rPr>
        <w:t>و</w:t>
      </w:r>
      <w:r w:rsidRPr="00C4601B">
        <w:rPr>
          <w:rFonts w:hint="cs"/>
          <w:i/>
          <w:iCs/>
          <w:rtl/>
          <w:lang w:val="en-GB"/>
        </w:rPr>
        <w:t>ي</w:t>
      </w:r>
      <w:r w:rsidRPr="00C4601B">
        <w:rPr>
          <w:i/>
          <w:iCs/>
          <w:rtl/>
          <w:lang w:val="en-GB"/>
        </w:rPr>
        <w:t>دعو</w:t>
      </w:r>
      <w:r w:rsidRPr="00174E55">
        <w:rPr>
          <w:rtl/>
          <w:lang w:val="en-GB"/>
        </w:rPr>
        <w:t xml:space="preserve"> </w:t>
      </w:r>
      <w:r w:rsidRPr="00174E55">
        <w:rPr>
          <w:rFonts w:hint="cs"/>
          <w:rtl/>
          <w:lang w:val="en-GB"/>
        </w:rPr>
        <w:t xml:space="preserve">برنامج </w:t>
      </w:r>
      <w:r w:rsidRPr="00174E55">
        <w:rPr>
          <w:rtl/>
          <w:lang w:val="en-GB"/>
        </w:rPr>
        <w:t xml:space="preserve">الأمم المتحدة </w:t>
      </w:r>
      <w:r w:rsidRPr="00174E55">
        <w:rPr>
          <w:rFonts w:hint="cs"/>
          <w:rtl/>
          <w:lang w:val="en-GB"/>
        </w:rPr>
        <w:t>للبيئة</w:t>
      </w:r>
      <w:r w:rsidRPr="00174E55">
        <w:rPr>
          <w:rtl/>
          <w:lang w:val="en-GB"/>
        </w:rPr>
        <w:t xml:space="preserve"> والمنظمات الدولية الأخرى ذات الصلة، </w:t>
      </w:r>
      <w:r w:rsidRPr="00174E55">
        <w:rPr>
          <w:rFonts w:hint="cs"/>
          <w:rtl/>
          <w:lang w:val="en-GB"/>
        </w:rPr>
        <w:t xml:space="preserve">إلى </w:t>
      </w:r>
      <w:r w:rsidRPr="00174E55">
        <w:rPr>
          <w:rtl/>
          <w:lang w:val="en-GB"/>
        </w:rPr>
        <w:t xml:space="preserve">مواصلة الاضطلاع بهذه المبادرات والأنشطة </w:t>
      </w:r>
      <w:r w:rsidRPr="00174E55">
        <w:rPr>
          <w:rFonts w:hint="cs"/>
          <w:rtl/>
          <w:lang w:val="en-GB"/>
        </w:rPr>
        <w:t>لدى</w:t>
      </w:r>
      <w:r w:rsidRPr="00174E55">
        <w:rPr>
          <w:rtl/>
          <w:lang w:val="en-GB"/>
        </w:rPr>
        <w:t xml:space="preserve"> تنفيذ خ</w:t>
      </w:r>
      <w:r w:rsidRPr="00174E55">
        <w:rPr>
          <w:rFonts w:hint="cs"/>
          <w:rtl/>
          <w:lang w:val="en-GB"/>
        </w:rPr>
        <w:t>ار</w:t>
      </w:r>
      <w:r w:rsidRPr="00174E55">
        <w:rPr>
          <w:rtl/>
          <w:lang w:val="en-GB"/>
        </w:rPr>
        <w:t xml:space="preserve">طة الطريق، مع </w:t>
      </w:r>
      <w:r w:rsidRPr="00174E55">
        <w:rPr>
          <w:rFonts w:hint="cs"/>
          <w:rtl/>
          <w:lang w:val="en-GB"/>
        </w:rPr>
        <w:t xml:space="preserve">أخذ </w:t>
      </w:r>
      <w:r w:rsidRPr="00174E55">
        <w:rPr>
          <w:rtl/>
          <w:lang w:val="en-GB"/>
        </w:rPr>
        <w:t>مشورة الفريق الاستشاري غير الرسمي</w:t>
      </w:r>
      <w:r w:rsidRPr="00174E55">
        <w:rPr>
          <w:rFonts w:hint="cs"/>
          <w:rtl/>
          <w:lang w:val="en-GB"/>
        </w:rPr>
        <w:t xml:space="preserve"> في الاعتبار</w:t>
      </w:r>
      <w:r w:rsidRPr="00174E55">
        <w:rPr>
          <w:rtl/>
          <w:lang w:val="en-GB"/>
        </w:rPr>
        <w:t>، حسب الاقتضاء؛</w:t>
      </w:r>
    </w:p>
    <w:p w:rsidR="00E02C84" w:rsidRPr="00174E55" w:rsidRDefault="00E02C84" w:rsidP="00CD26C5">
      <w:pPr>
        <w:numPr>
          <w:ilvl w:val="0"/>
          <w:numId w:val="76"/>
        </w:numPr>
        <w:ind w:left="0" w:firstLine="720"/>
        <w:rPr>
          <w:lang w:val="en-GB"/>
        </w:rPr>
      </w:pPr>
      <w:r w:rsidRPr="00F37BA9">
        <w:rPr>
          <w:rFonts w:hint="cs"/>
          <w:i/>
          <w:iCs/>
          <w:rtl/>
          <w:lang w:val="en-GB"/>
        </w:rPr>
        <w:t>يرحب</w:t>
      </w:r>
      <w:r w:rsidRPr="00F37BA9">
        <w:rPr>
          <w:rFonts w:hint="cs"/>
          <w:rtl/>
          <w:lang w:val="en-GB"/>
        </w:rPr>
        <w:t xml:space="preserve"> بمبادرة حكومة مصر لتشجيع اتباع نهج متسق للتصدي لفقدان التنوع البيولوجي وت</w:t>
      </w:r>
      <w:r>
        <w:rPr>
          <w:rFonts w:hint="cs"/>
          <w:rtl/>
          <w:lang w:val="en-GB"/>
        </w:rPr>
        <w:t>غير المناخ وتدهور الأراضي والنظ</w:t>
      </w:r>
      <w:r w:rsidRPr="00F37BA9">
        <w:rPr>
          <w:rFonts w:hint="cs"/>
          <w:rtl/>
          <w:lang w:val="en-GB"/>
        </w:rPr>
        <w:t>م الإيكولوجي</w:t>
      </w:r>
      <w:r>
        <w:rPr>
          <w:rFonts w:hint="cs"/>
          <w:rtl/>
          <w:lang w:val="en-GB"/>
        </w:rPr>
        <w:t>ة،</w:t>
      </w:r>
      <w:r w:rsidRPr="00F37BA9">
        <w:rPr>
          <w:rFonts w:hint="cs"/>
          <w:rtl/>
          <w:lang w:val="en-GB"/>
        </w:rPr>
        <w:t xml:space="preserve"> </w:t>
      </w:r>
      <w:r w:rsidRPr="00C4601B">
        <w:rPr>
          <w:rFonts w:hint="cs"/>
          <w:i/>
          <w:iCs/>
          <w:rtl/>
          <w:lang w:val="en-GB"/>
        </w:rPr>
        <w:t>ويطلب</w:t>
      </w:r>
      <w:r w:rsidRPr="00F37BA9">
        <w:rPr>
          <w:rFonts w:hint="cs"/>
          <w:rtl/>
          <w:lang w:val="en-GB"/>
        </w:rPr>
        <w:t xml:space="preserve"> إلى الأمينة التنفيذية </w:t>
      </w:r>
      <w:r w:rsidRPr="00C4601B">
        <w:rPr>
          <w:rFonts w:hint="cs"/>
          <w:i/>
          <w:iCs/>
          <w:rtl/>
          <w:lang w:val="en-GB"/>
        </w:rPr>
        <w:t>ويدعو</w:t>
      </w:r>
      <w:r w:rsidRPr="00F37BA9">
        <w:rPr>
          <w:rFonts w:hint="cs"/>
          <w:rtl/>
          <w:lang w:val="en-GB"/>
        </w:rPr>
        <w:t xml:space="preserve"> الأطراف والحكومات الأخرى، فضلاً عن الهيئات الإدارية وأمانات اتفاقية الأمم المتحدة الإطارية بشأن تغير المناخ، واتفاقية الأمم المتحدة لمكافحة التصحر، وبرنامج الأمم </w:t>
      </w:r>
      <w:r w:rsidRPr="00F37BA9">
        <w:rPr>
          <w:rFonts w:hint="cs"/>
          <w:rtl/>
          <w:lang w:val="en-GB"/>
        </w:rPr>
        <w:lastRenderedPageBreak/>
        <w:t>المتحدة الإنمائي، ومرفق البيئة العالمية، و</w:t>
      </w:r>
      <w:r>
        <w:rPr>
          <w:rFonts w:hint="cs"/>
          <w:rtl/>
          <w:lang w:val="en-GB"/>
        </w:rPr>
        <w:t>ال</w:t>
      </w:r>
      <w:r w:rsidRPr="00F37BA9">
        <w:rPr>
          <w:rFonts w:hint="cs"/>
          <w:rtl/>
          <w:lang w:val="en-GB"/>
        </w:rPr>
        <w:t>صندوق ا</w:t>
      </w:r>
      <w:r>
        <w:rPr>
          <w:rFonts w:hint="cs"/>
          <w:rtl/>
          <w:lang w:val="en-GB"/>
        </w:rPr>
        <w:t>لأخضر للمناخ</w:t>
      </w:r>
      <w:r w:rsidRPr="00F37BA9">
        <w:rPr>
          <w:rFonts w:hint="cs"/>
          <w:rtl/>
          <w:lang w:val="en-GB"/>
        </w:rPr>
        <w:t xml:space="preserve">، والكيانات الأخرى ذات الصلة التابعة للأمم المتحدة، والمجتمع المدني، والشعوب الأصلية والمجتمعات المحلية، </w:t>
      </w:r>
      <w:r>
        <w:rPr>
          <w:rFonts w:hint="cs"/>
          <w:rtl/>
          <w:lang w:val="en-GB"/>
        </w:rPr>
        <w:t xml:space="preserve">إلى </w:t>
      </w:r>
      <w:r w:rsidRPr="00F37BA9">
        <w:rPr>
          <w:rFonts w:hint="cs"/>
          <w:rtl/>
          <w:lang w:val="en-GB"/>
        </w:rPr>
        <w:t xml:space="preserve">دعم هذه المبادرة وتعزيزها، حسب الاقتضاء، </w:t>
      </w:r>
      <w:r>
        <w:rPr>
          <w:rFonts w:hint="cs"/>
          <w:rtl/>
          <w:lang w:val="en-GB"/>
        </w:rPr>
        <w:t>و</w:t>
      </w:r>
      <w:r w:rsidRPr="00F37BA9">
        <w:rPr>
          <w:rFonts w:hint="cs"/>
          <w:rtl/>
          <w:lang w:val="en-GB"/>
        </w:rPr>
        <w:t>مع مراعاة الظروف الوطنية والتنظيمية؛</w:t>
      </w:r>
    </w:p>
    <w:p w:rsidR="00E02C84" w:rsidRPr="00174E55" w:rsidRDefault="00E02C84" w:rsidP="00CD26C5">
      <w:pPr>
        <w:numPr>
          <w:ilvl w:val="0"/>
          <w:numId w:val="76"/>
        </w:numPr>
        <w:ind w:left="0" w:firstLine="720"/>
        <w:rPr>
          <w:lang w:val="en-GB"/>
        </w:rPr>
      </w:pPr>
      <w:r w:rsidRPr="00F37BA9">
        <w:rPr>
          <w:rFonts w:hint="cs"/>
          <w:i/>
          <w:iCs/>
          <w:rtl/>
          <w:lang w:val="en-GB"/>
        </w:rPr>
        <w:t>يدعو</w:t>
      </w:r>
      <w:r w:rsidRPr="00174E55">
        <w:rPr>
          <w:rtl/>
          <w:lang w:val="en-GB"/>
        </w:rPr>
        <w:t xml:space="preserve"> الأطراف، </w:t>
      </w:r>
      <w:r>
        <w:rPr>
          <w:rFonts w:hint="cs"/>
          <w:rtl/>
          <w:lang w:val="en-GB"/>
        </w:rPr>
        <w:t xml:space="preserve">وفقا للأولويات والقدرات الوطنية، </w:t>
      </w:r>
      <w:r w:rsidRPr="00174E55">
        <w:rPr>
          <w:rtl/>
          <w:lang w:val="en-GB"/>
        </w:rPr>
        <w:t>في ضوء نتائج عملية التشاور التي أجريت في إطار مبادرة "</w:t>
      </w:r>
      <w:r w:rsidRPr="00174E55">
        <w:rPr>
          <w:rFonts w:hint="cs"/>
          <w:rtl/>
          <w:lang w:val="en-GB"/>
        </w:rPr>
        <w:t>الحرص على</w:t>
      </w:r>
      <w:r w:rsidRPr="00174E55">
        <w:rPr>
          <w:rtl/>
          <w:lang w:val="en-GB"/>
        </w:rPr>
        <w:t xml:space="preserve"> السواحل"، </w:t>
      </w:r>
      <w:r w:rsidRPr="00174E55">
        <w:rPr>
          <w:rFonts w:hint="cs"/>
          <w:rtl/>
          <w:lang w:val="en-GB"/>
        </w:rPr>
        <w:t>و</w:t>
      </w:r>
      <w:r w:rsidRPr="00174E55">
        <w:rPr>
          <w:rtl/>
          <w:lang w:val="en-GB"/>
        </w:rPr>
        <w:t>خطة العمل الناتجة</w:t>
      </w:r>
      <w:r w:rsidRPr="00174E55">
        <w:rPr>
          <w:rFonts w:hint="cs"/>
          <w:rtl/>
          <w:lang w:val="en-GB"/>
        </w:rPr>
        <w:t xml:space="preserve"> عنها والمعروضة</w:t>
      </w:r>
      <w:r w:rsidRPr="00174E55">
        <w:rPr>
          <w:rtl/>
          <w:lang w:val="en-GB"/>
        </w:rPr>
        <w:t xml:space="preserve"> في وثيقة المعلومات الصادرة عن الأمين</w:t>
      </w:r>
      <w:r w:rsidRPr="00174E55">
        <w:rPr>
          <w:rFonts w:hint="cs"/>
          <w:rtl/>
          <w:lang w:val="en-GB"/>
        </w:rPr>
        <w:t>ة</w:t>
      </w:r>
      <w:r w:rsidRPr="00174E55">
        <w:rPr>
          <w:rtl/>
          <w:lang w:val="en-GB"/>
        </w:rPr>
        <w:t xml:space="preserve"> التنفيذي</w:t>
      </w:r>
      <w:r w:rsidRPr="00174E55">
        <w:rPr>
          <w:rFonts w:hint="cs"/>
          <w:rtl/>
          <w:lang w:val="en-GB"/>
        </w:rPr>
        <w:t>ة،</w:t>
      </w:r>
      <w:r w:rsidRPr="00F37BA9">
        <w:rPr>
          <w:rStyle w:val="FootnoteReference"/>
          <w:rtl/>
        </w:rPr>
        <w:footnoteReference w:id="293"/>
      </w:r>
      <w:r w:rsidRPr="00174E55">
        <w:rPr>
          <w:rtl/>
          <w:lang w:val="en-GB"/>
        </w:rPr>
        <w:t xml:space="preserve"> والقرار</w:t>
      </w:r>
      <w:r>
        <w:rPr>
          <w:rFonts w:hint="cs"/>
          <w:rtl/>
          <w:lang w:val="en-GB"/>
        </w:rPr>
        <w:t>ات</w:t>
      </w:r>
      <w:r w:rsidRPr="00174E55">
        <w:rPr>
          <w:rtl/>
          <w:lang w:val="en-GB"/>
        </w:rPr>
        <w:t xml:space="preserve"> ذ</w:t>
      </w:r>
      <w:r>
        <w:rPr>
          <w:rFonts w:hint="cs"/>
          <w:rtl/>
          <w:lang w:val="en-GB"/>
        </w:rPr>
        <w:t>ات</w:t>
      </w:r>
      <w:r w:rsidRPr="00174E55">
        <w:rPr>
          <w:rtl/>
          <w:lang w:val="en-GB"/>
        </w:rPr>
        <w:t xml:space="preserve"> الصلة ال</w:t>
      </w:r>
      <w:r>
        <w:rPr>
          <w:rFonts w:hint="cs"/>
          <w:rtl/>
          <w:lang w:val="en-GB"/>
        </w:rPr>
        <w:t>ت</w:t>
      </w:r>
      <w:r>
        <w:rPr>
          <w:rtl/>
          <w:lang w:val="en-GB"/>
        </w:rPr>
        <w:t>ي اعتمده</w:t>
      </w:r>
      <w:r>
        <w:rPr>
          <w:rFonts w:hint="cs"/>
          <w:rtl/>
          <w:lang w:val="en-GB"/>
        </w:rPr>
        <w:t>ا</w:t>
      </w:r>
      <w:r w:rsidRPr="00174E55">
        <w:rPr>
          <w:rtl/>
          <w:lang w:val="en-GB"/>
        </w:rPr>
        <w:t xml:space="preserve"> مؤتمر الأطراف</w:t>
      </w:r>
      <w:r w:rsidRPr="00174E55">
        <w:rPr>
          <w:rFonts w:hint="cs"/>
          <w:rtl/>
          <w:lang w:val="en-GB"/>
        </w:rPr>
        <w:t xml:space="preserve"> </w:t>
      </w:r>
      <w:r w:rsidRPr="00174E55">
        <w:rPr>
          <w:rtl/>
          <w:lang w:val="en-GB"/>
        </w:rPr>
        <w:t xml:space="preserve">في </w:t>
      </w:r>
      <w:bookmarkStart w:id="190" w:name="_Hlk516702156"/>
      <w:r>
        <w:rPr>
          <w:rFonts w:hint="cs"/>
          <w:rtl/>
          <w:lang w:val="en-GB"/>
        </w:rPr>
        <w:t>اتفاقي</w:t>
      </w:r>
      <w:r w:rsidRPr="00174E55">
        <w:rPr>
          <w:rtl/>
          <w:lang w:val="en-GB"/>
        </w:rPr>
        <w:t>ة المحافظة على الأنواع المهاجرة من الحيوانات الفطرية</w:t>
      </w:r>
      <w:bookmarkEnd w:id="190"/>
      <w:r w:rsidRPr="00174E55">
        <w:rPr>
          <w:rtl/>
          <w:lang w:val="en-GB"/>
        </w:rPr>
        <w:t xml:space="preserve"> في اجتماعه الثاني عشر</w:t>
      </w:r>
      <w:r w:rsidRPr="00174E55">
        <w:rPr>
          <w:rFonts w:hint="cs"/>
          <w:rtl/>
          <w:lang w:val="en-GB"/>
        </w:rPr>
        <w:t>،</w:t>
      </w:r>
      <w:bookmarkStart w:id="191" w:name="_Hlk516701278"/>
      <w:r w:rsidRPr="00F37BA9">
        <w:rPr>
          <w:rStyle w:val="FootnoteReference"/>
          <w:rtl/>
        </w:rPr>
        <w:footnoteReference w:id="294"/>
      </w:r>
      <w:bookmarkEnd w:id="191"/>
      <w:r w:rsidRPr="00F37BA9">
        <w:rPr>
          <w:rFonts w:hint="cs"/>
          <w:rtl/>
          <w:lang w:val="en-GB"/>
        </w:rPr>
        <w:t xml:space="preserve"> ومؤتمر الأطراف المتعاقدة في </w:t>
      </w:r>
      <w:r w:rsidRPr="00F37BA9">
        <w:rPr>
          <w:rtl/>
          <w:lang w:val="en-GB"/>
        </w:rPr>
        <w:t xml:space="preserve">اتفاقية الأراضي الرطبة ذات الأهمية الدولية وخاصة بوصفها موئلاً للطيور المائية، </w:t>
      </w:r>
      <w:r w:rsidRPr="00F37BA9">
        <w:rPr>
          <w:rFonts w:hint="cs"/>
          <w:rtl/>
          <w:lang w:val="en-GB"/>
        </w:rPr>
        <w:t>في اجتماعها الثالث عشر</w:t>
      </w:r>
      <w:r w:rsidRPr="00506EF7">
        <w:rPr>
          <w:rStyle w:val="FootnoteReference"/>
          <w:rtl/>
        </w:rPr>
        <w:footnoteReference w:id="295"/>
      </w:r>
      <w:r w:rsidRPr="00174E55">
        <w:rPr>
          <w:rFonts w:hint="cs"/>
          <w:rtl/>
          <w:lang w:val="en-GB"/>
        </w:rPr>
        <w:t xml:space="preserve"> إلى ت</w:t>
      </w:r>
      <w:r w:rsidRPr="00174E55">
        <w:rPr>
          <w:rtl/>
          <w:lang w:val="en-GB"/>
        </w:rPr>
        <w:t xml:space="preserve">قديم </w:t>
      </w:r>
      <w:r w:rsidRPr="00174E55">
        <w:rPr>
          <w:rFonts w:hint="cs"/>
          <w:rtl/>
          <w:lang w:val="en-GB"/>
        </w:rPr>
        <w:t>ال</w:t>
      </w:r>
      <w:r w:rsidRPr="00174E55">
        <w:rPr>
          <w:rtl/>
          <w:lang w:val="en-GB"/>
        </w:rPr>
        <w:t>مزيد من الدعم لتنفيذ أنشطة خطة العمل المقترحة</w:t>
      </w:r>
      <w:r>
        <w:rPr>
          <w:rFonts w:hint="cs"/>
          <w:rtl/>
          <w:lang w:val="en-GB"/>
        </w:rPr>
        <w:t>، بما في ذلك،</w:t>
      </w:r>
      <w:r w:rsidRPr="00174E55">
        <w:rPr>
          <w:rtl/>
          <w:lang w:val="en-GB"/>
        </w:rPr>
        <w:t xml:space="preserve"> </w:t>
      </w:r>
      <w:r w:rsidRPr="00174E55">
        <w:rPr>
          <w:rFonts w:hint="cs"/>
          <w:rtl/>
          <w:lang w:val="en-GB"/>
        </w:rPr>
        <w:t>بوسائل منها</w:t>
      </w:r>
      <w:r w:rsidRPr="00174E55">
        <w:rPr>
          <w:rtl/>
          <w:lang w:val="en-GB"/>
        </w:rPr>
        <w:t xml:space="preserve"> "منتدى ساحلي" عالمي يركز على حفظ الأراضي الرطبة الساحلية؛</w:t>
      </w:r>
    </w:p>
    <w:p w:rsidR="00E02C84" w:rsidRPr="00174E55" w:rsidRDefault="00E02C84" w:rsidP="00CD26C5">
      <w:pPr>
        <w:numPr>
          <w:ilvl w:val="0"/>
          <w:numId w:val="76"/>
        </w:numPr>
        <w:ind w:left="0" w:firstLine="720"/>
        <w:rPr>
          <w:lang w:val="en-GB"/>
        </w:rPr>
      </w:pPr>
      <w:r w:rsidRPr="00F37BA9">
        <w:rPr>
          <w:i/>
          <w:iCs/>
          <w:rtl/>
          <w:lang w:val="en-GB"/>
        </w:rPr>
        <w:t>يطلب</w:t>
      </w:r>
      <w:r w:rsidRPr="00F37BA9">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 أن تواصل</w:t>
      </w:r>
      <w:r w:rsidRPr="00174E55">
        <w:rPr>
          <w:rtl/>
          <w:lang w:val="en-GB"/>
        </w:rPr>
        <w:t>، رهناً بتوافر الموارد، تنسيق مبادرة "</w:t>
      </w:r>
      <w:r w:rsidRPr="00174E55">
        <w:rPr>
          <w:rFonts w:hint="cs"/>
          <w:rtl/>
          <w:lang w:val="en-GB"/>
        </w:rPr>
        <w:t>الحرص على</w:t>
      </w:r>
      <w:r w:rsidRPr="00174E55">
        <w:rPr>
          <w:rtl/>
          <w:lang w:val="en-GB"/>
        </w:rPr>
        <w:t xml:space="preserve"> السواحل" مع أمان</w:t>
      </w:r>
      <w:r>
        <w:rPr>
          <w:rFonts w:hint="cs"/>
          <w:rtl/>
          <w:lang w:val="en-GB"/>
        </w:rPr>
        <w:t>تي</w:t>
      </w:r>
      <w:r w:rsidRPr="00174E55">
        <w:rPr>
          <w:rtl/>
          <w:lang w:val="en-GB"/>
        </w:rPr>
        <w:t xml:space="preserve"> </w:t>
      </w:r>
      <w:r>
        <w:rPr>
          <w:rFonts w:hint="cs"/>
          <w:rtl/>
          <w:lang w:val="en-GB"/>
        </w:rPr>
        <w:t>اتفاقي</w:t>
      </w:r>
      <w:r w:rsidRPr="00174E55">
        <w:rPr>
          <w:rtl/>
          <w:lang w:val="en-GB"/>
        </w:rPr>
        <w:t>ة المحافظة على الأنواع المهاجرة من الحيوانات الفطرية</w:t>
      </w:r>
      <w:r>
        <w:rPr>
          <w:rFonts w:hint="cs"/>
          <w:rtl/>
          <w:lang w:val="en-GB"/>
        </w:rPr>
        <w:t>، و</w:t>
      </w:r>
      <w:r w:rsidRPr="00F37BA9">
        <w:rPr>
          <w:rtl/>
          <w:lang w:val="en-GB"/>
        </w:rPr>
        <w:t>اتفاقية الأراضي الرطبة ذات الأهمية الدولية وخاصة بوصفها موئلاً للطيور المائية</w:t>
      </w:r>
      <w:r>
        <w:rPr>
          <w:rFonts w:hint="cs"/>
          <w:rtl/>
          <w:lang w:val="en-GB"/>
        </w:rPr>
        <w:t>،</w:t>
      </w:r>
      <w:r w:rsidRPr="00174E55">
        <w:rPr>
          <w:rtl/>
          <w:lang w:val="en-GB"/>
        </w:rPr>
        <w:t xml:space="preserve"> </w:t>
      </w:r>
      <w:r>
        <w:rPr>
          <w:rFonts w:hint="cs"/>
          <w:rtl/>
          <w:lang w:val="en-GB"/>
        </w:rPr>
        <w:t>والمنظمات الأخرى ذات</w:t>
      </w:r>
      <w:r w:rsidRPr="00174E55">
        <w:rPr>
          <w:rFonts w:hint="cs"/>
          <w:rtl/>
          <w:lang w:val="en-GB"/>
        </w:rPr>
        <w:t xml:space="preserve"> الصلة</w:t>
      </w:r>
      <w:r w:rsidRPr="00174E55">
        <w:rPr>
          <w:rtl/>
          <w:lang w:val="en-GB"/>
        </w:rPr>
        <w:t xml:space="preserve">، </w:t>
      </w:r>
      <w:r w:rsidRPr="00F37BA9">
        <w:rPr>
          <w:rFonts w:hint="cs"/>
          <w:rtl/>
          <w:lang w:val="en-GB"/>
        </w:rPr>
        <w:t>مثل مؤتمر الأمم المتحدة للتجارة والتنمية في سياق مبادرته المعنية بالتجارة</w:t>
      </w:r>
      <w:r w:rsidRPr="00174E55">
        <w:rPr>
          <w:rFonts w:hint="cs"/>
          <w:rtl/>
          <w:lang w:val="en-GB"/>
        </w:rPr>
        <w:t xml:space="preserve"> </w:t>
      </w:r>
      <w:r>
        <w:rPr>
          <w:rFonts w:hint="cs"/>
          <w:rtl/>
          <w:lang w:val="en-GB"/>
        </w:rPr>
        <w:t xml:space="preserve">البيولوجية الزرقاء </w:t>
      </w:r>
      <w:r w:rsidRPr="00174E55">
        <w:rPr>
          <w:rFonts w:hint="cs"/>
          <w:rtl/>
          <w:lang w:val="en-GB"/>
        </w:rPr>
        <w:t>للمضي قدماً</w:t>
      </w:r>
      <w:r w:rsidRPr="00174E55">
        <w:rPr>
          <w:rtl/>
          <w:lang w:val="en-GB"/>
        </w:rPr>
        <w:t xml:space="preserve"> </w:t>
      </w:r>
      <w:r>
        <w:rPr>
          <w:rFonts w:hint="cs"/>
          <w:rtl/>
          <w:lang w:val="en-GB"/>
        </w:rPr>
        <w:t>ب</w:t>
      </w:r>
      <w:r w:rsidRPr="00174E55">
        <w:rPr>
          <w:rtl/>
          <w:lang w:val="en-GB"/>
        </w:rPr>
        <w:t xml:space="preserve">أوجه التآزر في </w:t>
      </w:r>
      <w:r w:rsidRPr="00174E55">
        <w:rPr>
          <w:rFonts w:hint="cs"/>
          <w:rtl/>
          <w:lang w:val="en-GB"/>
        </w:rPr>
        <w:t>أعمالهم</w:t>
      </w:r>
      <w:r w:rsidRPr="00174E55">
        <w:rPr>
          <w:rtl/>
          <w:lang w:val="en-GB"/>
        </w:rPr>
        <w:t xml:space="preserve"> </w:t>
      </w:r>
      <w:r w:rsidRPr="00174E55">
        <w:rPr>
          <w:rFonts w:hint="cs"/>
          <w:rtl/>
          <w:lang w:val="en-GB"/>
        </w:rPr>
        <w:t>المتعلقة</w:t>
      </w:r>
      <w:r w:rsidRPr="00174E55">
        <w:rPr>
          <w:rtl/>
          <w:lang w:val="en-GB"/>
        </w:rPr>
        <w:t xml:space="preserve"> </w:t>
      </w:r>
      <w:r w:rsidRPr="00174E55">
        <w:rPr>
          <w:rFonts w:hint="cs"/>
          <w:rtl/>
          <w:lang w:val="en-GB"/>
        </w:rPr>
        <w:t>ب</w:t>
      </w:r>
      <w:r w:rsidRPr="00174E55">
        <w:rPr>
          <w:rtl/>
          <w:lang w:val="en-GB"/>
        </w:rPr>
        <w:t>إدارة النظم الإيكولوجية الساحلية واستعاد</w:t>
      </w:r>
      <w:r w:rsidRPr="00174E55">
        <w:rPr>
          <w:rFonts w:hint="cs"/>
          <w:rtl/>
          <w:lang w:val="en-GB"/>
        </w:rPr>
        <w:t>تها</w:t>
      </w:r>
      <w:r w:rsidRPr="00174E55">
        <w:rPr>
          <w:rtl/>
          <w:lang w:val="en-GB"/>
        </w:rPr>
        <w:t xml:space="preserve"> في جميع أنحاء العالم؛</w:t>
      </w:r>
    </w:p>
    <w:p w:rsidR="00E02C84" w:rsidRPr="00174E55" w:rsidRDefault="00E02C84" w:rsidP="00CD26C5">
      <w:pPr>
        <w:numPr>
          <w:ilvl w:val="0"/>
          <w:numId w:val="76"/>
        </w:numPr>
        <w:ind w:left="0" w:firstLine="720"/>
        <w:rPr>
          <w:lang w:val="en-GB"/>
        </w:rPr>
      </w:pPr>
      <w:r w:rsidRPr="00280566">
        <w:rPr>
          <w:rFonts w:hint="cs"/>
          <w:i/>
          <w:iCs/>
          <w:rtl/>
          <w:lang w:val="en-GB"/>
        </w:rPr>
        <w:t>يشجع</w:t>
      </w:r>
      <w:r w:rsidRPr="00174E55">
        <w:rPr>
          <w:rtl/>
          <w:lang w:val="en-GB"/>
        </w:rPr>
        <w:t xml:space="preserve"> الأطراف في الاتفاقية التي هي أيضاً أطراف في اتفاقية الأمم المتحدة الإطارية بشأن تغير المناخ </w:t>
      </w:r>
      <w:r w:rsidRPr="00506EF7">
        <w:rPr>
          <w:rFonts w:hint="cs"/>
          <w:rtl/>
          <w:lang w:val="en-GB"/>
        </w:rPr>
        <w:t>أو اتفاقية الأمم المتحدة لمكافحة التصحر،</w:t>
      </w:r>
      <w:r w:rsidRPr="00174E55">
        <w:rPr>
          <w:rtl/>
          <w:lang w:val="en-GB"/>
        </w:rPr>
        <w:t xml:space="preserve"> إلى النظر</w:t>
      </w:r>
      <w:r>
        <w:rPr>
          <w:rFonts w:hint="cs"/>
          <w:rtl/>
          <w:lang w:val="en-GB"/>
        </w:rPr>
        <w:t>، حسب الاقتضاء،</w:t>
      </w:r>
      <w:r w:rsidRPr="00174E55">
        <w:rPr>
          <w:rtl/>
          <w:lang w:val="en-GB"/>
        </w:rPr>
        <w:t xml:space="preserve"> في </w:t>
      </w:r>
      <w:r w:rsidRPr="00174E55">
        <w:rPr>
          <w:rFonts w:hint="cs"/>
          <w:rtl/>
          <w:lang w:val="en-GB"/>
        </w:rPr>
        <w:t xml:space="preserve">مدى </w:t>
      </w:r>
      <w:r w:rsidRPr="00174E55">
        <w:rPr>
          <w:rtl/>
          <w:lang w:val="en-GB"/>
        </w:rPr>
        <w:t>ملاءمة</w:t>
      </w:r>
      <w:r>
        <w:rPr>
          <w:rFonts w:hint="cs"/>
          <w:rtl/>
          <w:lang w:val="en-GB"/>
        </w:rPr>
        <w:t xml:space="preserve"> إجراءاته</w:t>
      </w:r>
      <w:r>
        <w:rPr>
          <w:rtl/>
          <w:lang w:val="en-GB"/>
        </w:rPr>
        <w:t>ا</w:t>
      </w:r>
      <w:r>
        <w:rPr>
          <w:rFonts w:hint="cs"/>
          <w:rtl/>
          <w:lang w:val="en-GB"/>
        </w:rPr>
        <w:t xml:space="preserve"> لتنفيذ اتفاقية التنوع البيولوجي، بما في ذلك</w:t>
      </w:r>
      <w:r w:rsidRPr="00174E55">
        <w:rPr>
          <w:rtl/>
          <w:lang w:val="en-GB"/>
        </w:rPr>
        <w:t xml:space="preserve"> استراتيجياتها وخطط عملها الوطنية </w:t>
      </w:r>
      <w:r w:rsidRPr="00174E55">
        <w:rPr>
          <w:rFonts w:hint="cs"/>
          <w:rtl/>
          <w:lang w:val="en-GB"/>
        </w:rPr>
        <w:t>للتنوع</w:t>
      </w:r>
      <w:r w:rsidRPr="00174E55">
        <w:rPr>
          <w:rtl/>
          <w:lang w:val="en-GB"/>
        </w:rPr>
        <w:t xml:space="preserve"> البيولوجي</w:t>
      </w:r>
      <w:r>
        <w:rPr>
          <w:rFonts w:hint="cs"/>
          <w:rtl/>
          <w:lang w:val="en-GB"/>
        </w:rPr>
        <w:t xml:space="preserve">، بإجراءات لتحقيق </w:t>
      </w:r>
      <w:r w:rsidRPr="00174E55">
        <w:rPr>
          <w:rtl/>
          <w:lang w:val="en-GB"/>
        </w:rPr>
        <w:t>مساهماته</w:t>
      </w:r>
      <w:r>
        <w:rPr>
          <w:rtl/>
          <w:lang w:val="en-GB"/>
        </w:rPr>
        <w:t>ا المحددة وطنياً في اتفاق باريس</w:t>
      </w:r>
      <w:r w:rsidRPr="00A32560">
        <w:rPr>
          <w:rStyle w:val="FootnoteReference"/>
          <w:sz w:val="24"/>
        </w:rPr>
        <w:footnoteReference w:id="296"/>
      </w:r>
      <w:r>
        <w:rPr>
          <w:rFonts w:hint="cs"/>
          <w:rtl/>
          <w:lang w:val="en-GB"/>
        </w:rPr>
        <w:t xml:space="preserve"> و</w:t>
      </w:r>
      <w:r w:rsidRPr="00506EF7">
        <w:rPr>
          <w:rFonts w:hint="cs"/>
          <w:rtl/>
          <w:lang w:val="en-GB"/>
        </w:rPr>
        <w:t>برامج عمل</w:t>
      </w:r>
      <w:r>
        <w:rPr>
          <w:rFonts w:hint="cs"/>
          <w:rtl/>
          <w:lang w:val="en-GB"/>
        </w:rPr>
        <w:t>ها</w:t>
      </w:r>
      <w:r w:rsidRPr="00506EF7">
        <w:rPr>
          <w:rFonts w:hint="cs"/>
          <w:rtl/>
          <w:lang w:val="en-GB"/>
        </w:rPr>
        <w:t xml:space="preserve"> الوطنية، على التوالي، وكذلك النظر، عند الاقتضاء، في نهج التكيف القائم على النظام الإيكولوجي، بهدف الحد من تعرض البشر للتغير المناخي؛</w:t>
      </w:r>
    </w:p>
    <w:p w:rsidR="00E02C84" w:rsidRDefault="00E02C84" w:rsidP="00CD26C5">
      <w:pPr>
        <w:numPr>
          <w:ilvl w:val="0"/>
          <w:numId w:val="76"/>
        </w:numPr>
        <w:ind w:left="0" w:firstLine="720"/>
        <w:rPr>
          <w:lang w:val="en-GB"/>
        </w:rPr>
      </w:pPr>
      <w:r w:rsidRPr="00280566">
        <w:rPr>
          <w:i/>
          <w:iCs/>
          <w:rtl/>
          <w:lang w:val="en-GB"/>
        </w:rPr>
        <w:t>يدعو</w:t>
      </w:r>
      <w:r w:rsidRPr="00174E55">
        <w:rPr>
          <w:rtl/>
          <w:lang w:val="en-GB"/>
        </w:rPr>
        <w:t xml:space="preserve"> الأطراف في الاتفاقية التي هي أيضاً </w:t>
      </w:r>
      <w:r>
        <w:rPr>
          <w:rFonts w:hint="cs"/>
          <w:rtl/>
          <w:lang w:val="en-GB"/>
        </w:rPr>
        <w:t>أعضاء</w:t>
      </w:r>
      <w:r w:rsidRPr="00174E55">
        <w:rPr>
          <w:rtl/>
          <w:lang w:val="en-GB"/>
        </w:rPr>
        <w:t xml:space="preserve"> في منتدى الأمم المتحدة المعني بالغابات</w:t>
      </w:r>
      <w:r>
        <w:rPr>
          <w:rFonts w:hint="cs"/>
          <w:rtl/>
          <w:lang w:val="en-GB"/>
        </w:rPr>
        <w:t>، إلى النظر، حسب الاقتضاء،</w:t>
      </w:r>
      <w:r w:rsidRPr="00174E55">
        <w:rPr>
          <w:rtl/>
          <w:lang w:val="en-GB"/>
        </w:rPr>
        <w:t xml:space="preserve"> في </w:t>
      </w:r>
      <w:r w:rsidRPr="00174E55">
        <w:rPr>
          <w:rFonts w:hint="cs"/>
          <w:rtl/>
          <w:lang w:val="en-GB"/>
        </w:rPr>
        <w:t xml:space="preserve">مدى </w:t>
      </w:r>
      <w:r w:rsidRPr="00174E55">
        <w:rPr>
          <w:rtl/>
          <w:lang w:val="en-GB"/>
        </w:rPr>
        <w:t>ملاءمة</w:t>
      </w:r>
      <w:r>
        <w:rPr>
          <w:rFonts w:hint="cs"/>
          <w:rtl/>
          <w:lang w:val="en-GB"/>
        </w:rPr>
        <w:t xml:space="preserve"> إجراءاته</w:t>
      </w:r>
      <w:r>
        <w:rPr>
          <w:rtl/>
          <w:lang w:val="en-GB"/>
        </w:rPr>
        <w:t>ا</w:t>
      </w:r>
      <w:r>
        <w:rPr>
          <w:rFonts w:hint="cs"/>
          <w:rtl/>
          <w:lang w:val="en-GB"/>
        </w:rPr>
        <w:t xml:space="preserve"> لتنفيذ اتفاقية التنوع البيولوجي، بما في ذلك</w:t>
      </w:r>
      <w:r w:rsidRPr="00174E55">
        <w:rPr>
          <w:rtl/>
          <w:lang w:val="en-GB"/>
        </w:rPr>
        <w:t xml:space="preserve"> الإجراءات</w:t>
      </w:r>
      <w:r w:rsidRPr="00174E55">
        <w:rPr>
          <w:rFonts w:hint="cs"/>
          <w:rtl/>
          <w:lang w:val="en-GB"/>
        </w:rPr>
        <w:t xml:space="preserve"> المتخذة</w:t>
      </w:r>
      <w:r w:rsidRPr="00174E55">
        <w:rPr>
          <w:rtl/>
          <w:lang w:val="en-GB"/>
        </w:rPr>
        <w:t xml:space="preserve"> في إطار استراتيجياتها وخطط عملها الوطنية للتنوع البيولوجي في ت</w:t>
      </w:r>
      <w:r w:rsidRPr="00174E55">
        <w:rPr>
          <w:rFonts w:hint="cs"/>
          <w:rtl/>
          <w:lang w:val="en-GB"/>
        </w:rPr>
        <w:t xml:space="preserve">حديد </w:t>
      </w:r>
      <w:r w:rsidRPr="00174E55">
        <w:rPr>
          <w:rtl/>
          <w:lang w:val="en-GB"/>
        </w:rPr>
        <w:t xml:space="preserve">مساهماتها الوطنية الطوعية </w:t>
      </w:r>
      <w:r>
        <w:rPr>
          <w:rFonts w:hint="cs"/>
          <w:rtl/>
          <w:lang w:val="en-GB"/>
        </w:rPr>
        <w:t>نحو</w:t>
      </w:r>
      <w:r w:rsidRPr="00174E55">
        <w:rPr>
          <w:rtl/>
          <w:lang w:val="en-GB"/>
        </w:rPr>
        <w:t xml:space="preserve"> تحقيق هدف أو</w:t>
      </w:r>
      <w:r w:rsidRPr="00174E55">
        <w:rPr>
          <w:rFonts w:hint="cs"/>
          <w:rtl/>
          <w:lang w:val="en-GB"/>
        </w:rPr>
        <w:t xml:space="preserve"> غاية</w:t>
      </w:r>
      <w:r w:rsidRPr="00174E55">
        <w:rPr>
          <w:rtl/>
          <w:lang w:val="en-GB"/>
        </w:rPr>
        <w:t xml:space="preserve"> </w:t>
      </w:r>
      <w:r w:rsidRPr="00174E55">
        <w:rPr>
          <w:rFonts w:hint="cs"/>
          <w:rtl/>
          <w:lang w:val="en-GB"/>
        </w:rPr>
        <w:t>أو أكثر من الأهداف والغايات</w:t>
      </w:r>
      <w:r w:rsidRPr="00174E55">
        <w:rPr>
          <w:rtl/>
          <w:lang w:val="en-GB"/>
        </w:rPr>
        <w:t xml:space="preserve"> </w:t>
      </w:r>
      <w:r w:rsidRPr="00174E55">
        <w:rPr>
          <w:rFonts w:hint="cs"/>
          <w:rtl/>
          <w:lang w:val="en-GB"/>
        </w:rPr>
        <w:t>ال</w:t>
      </w:r>
      <w:r w:rsidRPr="00174E55">
        <w:rPr>
          <w:rtl/>
          <w:lang w:val="en-GB"/>
        </w:rPr>
        <w:t>عالمية للغابات</w:t>
      </w:r>
      <w:r w:rsidRPr="00174E55">
        <w:rPr>
          <w:rFonts w:hint="cs"/>
          <w:rtl/>
          <w:lang w:val="en-GB"/>
        </w:rPr>
        <w:t xml:space="preserve"> التي حددتها</w:t>
      </w:r>
      <w:r w:rsidRPr="00174E55">
        <w:rPr>
          <w:rtl/>
          <w:lang w:val="en-GB"/>
        </w:rPr>
        <w:t xml:space="preserve"> خطة الأمم المتحدة الاستراتيجية للغابات للفترة 2017-2030؛</w:t>
      </w:r>
      <w:r w:rsidRPr="00A32560">
        <w:rPr>
          <w:rStyle w:val="FootnoteReference"/>
          <w:sz w:val="24"/>
        </w:rPr>
        <w:footnoteReference w:id="297"/>
      </w:r>
    </w:p>
    <w:p w:rsidR="00E02C84" w:rsidRPr="00F262EF" w:rsidRDefault="00E02C84" w:rsidP="00CD26C5">
      <w:pPr>
        <w:numPr>
          <w:ilvl w:val="0"/>
          <w:numId w:val="76"/>
        </w:numPr>
        <w:ind w:left="0" w:firstLine="720"/>
        <w:rPr>
          <w:rtl/>
          <w:lang w:val="en-GB"/>
        </w:rPr>
      </w:pPr>
      <w:r w:rsidRPr="00280566">
        <w:rPr>
          <w:i/>
          <w:iCs/>
          <w:rtl/>
          <w:lang w:val="en-GB"/>
        </w:rPr>
        <w:t>يدعو</w:t>
      </w:r>
      <w:r w:rsidRPr="00F262EF">
        <w:rPr>
          <w:rtl/>
          <w:lang w:val="en-GB"/>
        </w:rPr>
        <w:t xml:space="preserve"> فريق الاتصال </w:t>
      </w:r>
      <w:r>
        <w:rPr>
          <w:rFonts w:hint="cs"/>
          <w:rtl/>
          <w:lang w:val="en-GB"/>
        </w:rPr>
        <w:t>ل</w:t>
      </w:r>
      <w:r w:rsidRPr="00F262EF">
        <w:rPr>
          <w:rtl/>
          <w:lang w:val="en-GB"/>
        </w:rPr>
        <w:t>لاتفاقيات المتعلقة بالتنوع البيولوجي إلى النظر في سبل ووسائل تعزيز التعاون بين الاتفاقيات من أجل دعم تنفيذها من جانب الدول الجزرية الصغيرة النامية</w:t>
      </w:r>
      <w:r>
        <w:rPr>
          <w:rFonts w:hint="cs"/>
          <w:rtl/>
          <w:lang w:val="en-GB"/>
        </w:rPr>
        <w:t xml:space="preserve">، </w:t>
      </w:r>
      <w:r w:rsidRPr="00280566">
        <w:rPr>
          <w:rFonts w:hint="cs"/>
          <w:rtl/>
          <w:lang w:val="en-GB"/>
        </w:rPr>
        <w:t>بما في ذلك فيما يتعلق بالرصد والإبلا</w:t>
      </w:r>
      <w:r>
        <w:rPr>
          <w:rFonts w:hint="cs"/>
          <w:rtl/>
          <w:lang w:val="en-GB"/>
        </w:rPr>
        <w:t>غ</w:t>
      </w:r>
      <w:r w:rsidRPr="00280566">
        <w:rPr>
          <w:rFonts w:hint="cs"/>
          <w:rtl/>
          <w:lang w:val="en-GB"/>
        </w:rPr>
        <w:t>،</w:t>
      </w:r>
      <w:r w:rsidRPr="00F262EF">
        <w:rPr>
          <w:rtl/>
          <w:lang w:val="en-GB"/>
        </w:rPr>
        <w:t xml:space="preserve"> في سياق التحالفات </w:t>
      </w:r>
      <w:r>
        <w:rPr>
          <w:rFonts w:hint="cs"/>
          <w:rtl/>
          <w:lang w:val="en-GB"/>
        </w:rPr>
        <w:t xml:space="preserve">الاستراتيجية </w:t>
      </w:r>
      <w:r w:rsidRPr="00F262EF">
        <w:rPr>
          <w:rtl/>
          <w:lang w:val="en-GB"/>
        </w:rPr>
        <w:t>والشبكات والمبادرات القائمة وفي سياق تنفيذ</w:t>
      </w:r>
      <w:r w:rsidRPr="00280566">
        <w:rPr>
          <w:rFonts w:hint="cs"/>
          <w:rtl/>
          <w:lang w:val="en-GB"/>
        </w:rPr>
        <w:t xml:space="preserve"> برنامج العمل بشأن التنوع البيولوجي الجزري و</w:t>
      </w:r>
      <w:r w:rsidRPr="00F262EF">
        <w:rPr>
          <w:rtl/>
          <w:lang w:val="en-GB"/>
        </w:rPr>
        <w:t>مسار ساموا؛</w:t>
      </w:r>
      <w:r w:rsidRPr="00280566">
        <w:rPr>
          <w:rStyle w:val="FootnoteReference"/>
          <w:rtl/>
        </w:rPr>
        <w:footnoteReference w:id="298"/>
      </w:r>
    </w:p>
    <w:p w:rsidR="00E02C84" w:rsidRPr="00207458" w:rsidRDefault="00E02C84" w:rsidP="00CD26C5">
      <w:pPr>
        <w:numPr>
          <w:ilvl w:val="0"/>
          <w:numId w:val="76"/>
        </w:numPr>
        <w:ind w:left="0" w:firstLine="720"/>
        <w:rPr>
          <w:lang w:val="en-GB"/>
        </w:rPr>
      </w:pPr>
      <w:r w:rsidRPr="00280566">
        <w:rPr>
          <w:i/>
          <w:iCs/>
          <w:rtl/>
          <w:lang w:val="en-GB"/>
        </w:rPr>
        <w:t>يطلب</w:t>
      </w:r>
      <w:r w:rsidRPr="00F262EF">
        <w:rPr>
          <w:rtl/>
          <w:lang w:val="en-GB"/>
        </w:rPr>
        <w:t xml:space="preserve"> إلى الأمين</w:t>
      </w:r>
      <w:r>
        <w:rPr>
          <w:rFonts w:hint="cs"/>
          <w:rtl/>
          <w:lang w:val="en-GB"/>
        </w:rPr>
        <w:t>ة</w:t>
      </w:r>
      <w:r w:rsidRPr="00F262EF">
        <w:rPr>
          <w:rtl/>
          <w:lang w:val="en-GB"/>
        </w:rPr>
        <w:t xml:space="preserve"> التنفيذي</w:t>
      </w:r>
      <w:r>
        <w:rPr>
          <w:rFonts w:hint="cs"/>
          <w:rtl/>
          <w:lang w:val="en-GB"/>
        </w:rPr>
        <w:t>ة</w:t>
      </w:r>
      <w:r w:rsidRPr="00F262EF">
        <w:rPr>
          <w:rtl/>
          <w:lang w:val="en-GB"/>
        </w:rPr>
        <w:t xml:space="preserve"> </w:t>
      </w:r>
      <w:r>
        <w:rPr>
          <w:rFonts w:hint="cs"/>
          <w:rtl/>
          <w:lang w:val="en-GB"/>
        </w:rPr>
        <w:t>النظر في</w:t>
      </w:r>
      <w:r w:rsidRPr="00F262EF">
        <w:rPr>
          <w:rtl/>
          <w:lang w:val="en-GB"/>
        </w:rPr>
        <w:t xml:space="preserve"> </w:t>
      </w:r>
      <w:r w:rsidRPr="00280566">
        <w:rPr>
          <w:rFonts w:hint="cs"/>
          <w:rtl/>
          <w:lang w:val="en-GB"/>
        </w:rPr>
        <w:t>فرص</w:t>
      </w:r>
      <w:r>
        <w:rPr>
          <w:rFonts w:hint="cs"/>
          <w:rtl/>
          <w:lang w:val="en-GB"/>
        </w:rPr>
        <w:t>:</w:t>
      </w:r>
    </w:p>
    <w:p w:rsidR="00E02C84" w:rsidRDefault="00E02C84" w:rsidP="00CD26C5">
      <w:pPr>
        <w:numPr>
          <w:ilvl w:val="0"/>
          <w:numId w:val="77"/>
        </w:numPr>
        <w:ind w:left="0" w:firstLine="720"/>
        <w:rPr>
          <w:sz w:val="24"/>
        </w:rPr>
      </w:pPr>
      <w:r w:rsidRPr="00207458">
        <w:rPr>
          <w:rFonts w:hint="cs"/>
          <w:sz w:val="24"/>
          <w:rtl/>
        </w:rPr>
        <w:t>إقامة تعاون مع الاتفاقيات ذات الصلة بالتنوع ال</w:t>
      </w:r>
      <w:r>
        <w:rPr>
          <w:rFonts w:hint="cs"/>
          <w:sz w:val="24"/>
          <w:rtl/>
        </w:rPr>
        <w:t>بيولوجي لنظام معاهدة أنتاركتيكا</w:t>
      </w:r>
      <w:r w:rsidRPr="00207458">
        <w:rPr>
          <w:rFonts w:hint="cs"/>
          <w:sz w:val="24"/>
          <w:rtl/>
        </w:rPr>
        <w:t>؛</w:t>
      </w:r>
    </w:p>
    <w:p w:rsidR="00E02C84" w:rsidRPr="00C561C2" w:rsidRDefault="00E02C84" w:rsidP="00CD26C5">
      <w:pPr>
        <w:numPr>
          <w:ilvl w:val="0"/>
          <w:numId w:val="77"/>
        </w:numPr>
        <w:ind w:left="0" w:firstLine="720"/>
        <w:rPr>
          <w:sz w:val="24"/>
        </w:rPr>
      </w:pPr>
      <w:r>
        <w:rPr>
          <w:rFonts w:hint="cs"/>
          <w:rtl/>
        </w:rPr>
        <w:lastRenderedPageBreak/>
        <w:t>تعزيز التعاون مع اللجنة الدولية لشؤون صيد الحيتان، في المجالات ذات الاهتمام المشترك ومع اتفاقيات بازل وروتردام واستكهولم وميناماتا بشأن القضايا المتعلقة بالمواد الكيميائية والنفايات؛</w:t>
      </w:r>
    </w:p>
    <w:p w:rsidR="00E02C84" w:rsidRPr="009A4365" w:rsidRDefault="00E02C84" w:rsidP="00CD26C5">
      <w:pPr>
        <w:numPr>
          <w:ilvl w:val="0"/>
          <w:numId w:val="77"/>
        </w:numPr>
        <w:ind w:left="0" w:firstLine="720"/>
        <w:rPr>
          <w:sz w:val="24"/>
        </w:rPr>
      </w:pPr>
      <w:r>
        <w:rPr>
          <w:rFonts w:hint="cs"/>
          <w:rtl/>
        </w:rPr>
        <w:t xml:space="preserve">مواصلة تعزيز التعاون مع اتفاقية الأمم المتحدة لمكافحة التصحر بشأن القضايا المتعلقة بتدهور الأراضي واستصلاحها، وفي إطار تعاون الاتفاقية مع اتفاقية </w:t>
      </w:r>
      <w:r w:rsidRPr="00174E55">
        <w:rPr>
          <w:rtl/>
          <w:lang w:val="en-GB"/>
        </w:rPr>
        <w:t>المحافظة على الأنواع المهاجرة من الحيوانات الفطرية</w:t>
      </w:r>
      <w:r>
        <w:rPr>
          <w:rFonts w:hint="cs"/>
          <w:rtl/>
        </w:rPr>
        <w:t xml:space="preserve">، مع الاتفاقيات الإقليمية والمواضيعية الأخرى مثل </w:t>
      </w:r>
      <w:r w:rsidRPr="00492E25">
        <w:rPr>
          <w:rtl/>
        </w:rPr>
        <w:t>اتفاقية البلدان الأمريكية لحماية وحفظ السلاحف البحرية</w:t>
      </w:r>
      <w:r>
        <w:rPr>
          <w:rFonts w:hint="cs"/>
          <w:rtl/>
        </w:rPr>
        <w:t xml:space="preserve"> والاتفاق </w:t>
      </w:r>
      <w:r>
        <w:rPr>
          <w:rStyle w:val="preferred"/>
          <w:rFonts w:hint="cs"/>
          <w:rtl/>
        </w:rPr>
        <w:t>المعني ب</w:t>
      </w:r>
      <w:r>
        <w:rPr>
          <w:rStyle w:val="preferred"/>
          <w:rtl/>
        </w:rPr>
        <w:t>حفظ طائري القطرس والنوء</w:t>
      </w:r>
      <w:r>
        <w:rPr>
          <w:rFonts w:hint="cs"/>
          <w:rtl/>
        </w:rPr>
        <w:t>؛</w:t>
      </w:r>
    </w:p>
    <w:p w:rsidR="00E02C84" w:rsidRPr="00733F7E" w:rsidRDefault="00E02C84" w:rsidP="00E02C84">
      <w:pPr>
        <w:jc w:val="center"/>
        <w:rPr>
          <w:b/>
          <w:bCs/>
          <w:rtl/>
          <w:lang w:val="en-GB"/>
        </w:rPr>
      </w:pPr>
      <w:bookmarkStart w:id="192" w:name="_Hlk516683373"/>
      <w:r w:rsidRPr="00733F7E">
        <w:rPr>
          <w:rFonts w:hint="cs"/>
          <w:b/>
          <w:bCs/>
          <w:rtl/>
          <w:lang w:val="en-GB"/>
        </w:rPr>
        <w:t>باء</w:t>
      </w:r>
      <w:r>
        <w:rPr>
          <w:rFonts w:hint="cs"/>
          <w:b/>
          <w:bCs/>
          <w:rtl/>
          <w:lang w:val="en-GB"/>
        </w:rPr>
        <w:t xml:space="preserve"> -</w:t>
      </w:r>
      <w:r w:rsidRPr="00733F7E">
        <w:rPr>
          <w:rFonts w:hint="cs"/>
          <w:b/>
          <w:bCs/>
          <w:rtl/>
          <w:lang w:val="en-GB"/>
        </w:rPr>
        <w:tab/>
      </w:r>
      <w:r w:rsidRPr="00733F7E">
        <w:rPr>
          <w:b/>
          <w:bCs/>
          <w:rtl/>
          <w:lang w:val="en-GB"/>
        </w:rPr>
        <w:t xml:space="preserve">التعاون </w:t>
      </w:r>
      <w:r w:rsidRPr="00733F7E">
        <w:rPr>
          <w:rFonts w:hint="cs"/>
          <w:b/>
          <w:bCs/>
          <w:rtl/>
          <w:lang w:val="en-GB"/>
        </w:rPr>
        <w:t>مع</w:t>
      </w:r>
      <w:r w:rsidRPr="00733F7E">
        <w:rPr>
          <w:b/>
          <w:bCs/>
          <w:rtl/>
          <w:lang w:val="en-GB"/>
        </w:rPr>
        <w:t xml:space="preserve"> </w:t>
      </w:r>
      <w:r w:rsidRPr="00733F7E">
        <w:rPr>
          <w:rFonts w:hint="cs"/>
          <w:b/>
          <w:bCs/>
          <w:rtl/>
          <w:lang w:val="en-GB"/>
        </w:rPr>
        <w:t>المنظمات الدولية</w:t>
      </w:r>
    </w:p>
    <w:bookmarkEnd w:id="192"/>
    <w:p w:rsidR="00E02C84" w:rsidRPr="00174E55" w:rsidRDefault="00E02C84" w:rsidP="00CD26C5">
      <w:pPr>
        <w:numPr>
          <w:ilvl w:val="0"/>
          <w:numId w:val="76"/>
        </w:numPr>
        <w:ind w:left="0" w:firstLine="720"/>
        <w:rPr>
          <w:lang w:val="en-GB"/>
        </w:rPr>
      </w:pPr>
      <w:r w:rsidRPr="00A6170A">
        <w:rPr>
          <w:rFonts w:hint="cs"/>
          <w:i/>
          <w:iCs/>
          <w:rtl/>
          <w:lang w:val="en-GB"/>
        </w:rPr>
        <w:t>ي</w:t>
      </w:r>
      <w:r w:rsidRPr="00A6170A">
        <w:rPr>
          <w:i/>
          <w:iCs/>
          <w:rtl/>
          <w:lang w:val="en-GB"/>
        </w:rPr>
        <w:t>رحب</w:t>
      </w:r>
      <w:r w:rsidRPr="00174E55">
        <w:rPr>
          <w:rtl/>
          <w:lang w:val="en-GB"/>
        </w:rPr>
        <w:t xml:space="preserve"> ب</w:t>
      </w:r>
      <w:r w:rsidRPr="00174E55">
        <w:rPr>
          <w:rFonts w:hint="cs"/>
          <w:rtl/>
          <w:lang w:val="en-GB"/>
        </w:rPr>
        <w:t>نظر</w:t>
      </w:r>
      <w:r w:rsidRPr="00174E55">
        <w:rPr>
          <w:rtl/>
          <w:lang w:val="en-GB"/>
        </w:rPr>
        <w:t xml:space="preserve"> جمعية الصحة العالمية في دورته</w:t>
      </w:r>
      <w:r w:rsidRPr="00174E55">
        <w:rPr>
          <w:rFonts w:hint="cs"/>
          <w:rtl/>
          <w:lang w:val="en-GB"/>
        </w:rPr>
        <w:t>ا</w:t>
      </w:r>
      <w:r w:rsidRPr="00174E55">
        <w:rPr>
          <w:rtl/>
          <w:lang w:val="en-GB"/>
        </w:rPr>
        <w:t xml:space="preserve"> الحادية والسبعين</w:t>
      </w:r>
      <w:r w:rsidRPr="00A6170A">
        <w:rPr>
          <w:rStyle w:val="FootnoteReference"/>
          <w:rtl/>
        </w:rPr>
        <w:footnoteReference w:id="299"/>
      </w:r>
      <w:r w:rsidRPr="00174E55">
        <w:rPr>
          <w:rtl/>
          <w:lang w:val="en-GB"/>
        </w:rPr>
        <w:t xml:space="preserve"> في الروابط بين </w:t>
      </w:r>
      <w:r w:rsidRPr="00174E55">
        <w:rPr>
          <w:rFonts w:hint="cs"/>
          <w:rtl/>
          <w:lang w:val="en-GB"/>
        </w:rPr>
        <w:t>صحة الإنسان</w:t>
      </w:r>
      <w:r w:rsidRPr="00174E55">
        <w:rPr>
          <w:rtl/>
          <w:lang w:val="en-GB"/>
        </w:rPr>
        <w:t xml:space="preserve"> والتنوع البيولوجي؛</w:t>
      </w:r>
    </w:p>
    <w:p w:rsidR="00E02C84" w:rsidRPr="00174E55" w:rsidRDefault="00E02C84" w:rsidP="00CD26C5">
      <w:pPr>
        <w:numPr>
          <w:ilvl w:val="0"/>
          <w:numId w:val="76"/>
        </w:numPr>
        <w:ind w:left="0" w:firstLine="720"/>
        <w:rPr>
          <w:lang w:val="en-GB"/>
        </w:rPr>
      </w:pPr>
      <w:r w:rsidRPr="000B1600">
        <w:rPr>
          <w:i/>
          <w:iCs/>
          <w:rtl/>
          <w:lang w:val="en-GB"/>
        </w:rPr>
        <w:t>يعرب</w:t>
      </w:r>
      <w:r w:rsidRPr="00A6170A">
        <w:rPr>
          <w:rtl/>
          <w:lang w:val="en-GB"/>
        </w:rPr>
        <w:t xml:space="preserve"> </w:t>
      </w:r>
      <w:r w:rsidRPr="000B1600">
        <w:rPr>
          <w:i/>
          <w:iCs/>
          <w:rtl/>
          <w:lang w:val="en-GB"/>
        </w:rPr>
        <w:t>عن تقديره</w:t>
      </w:r>
      <w:r w:rsidRPr="00174E55">
        <w:rPr>
          <w:rtl/>
          <w:lang w:val="en-GB"/>
        </w:rPr>
        <w:t xml:space="preserve"> للتعاون الفعال </w:t>
      </w:r>
      <w:r>
        <w:rPr>
          <w:rFonts w:hint="cs"/>
          <w:rtl/>
          <w:lang w:val="en-GB"/>
        </w:rPr>
        <w:t>ل</w:t>
      </w:r>
      <w:r w:rsidRPr="00174E55">
        <w:rPr>
          <w:rtl/>
          <w:lang w:val="en-GB"/>
        </w:rPr>
        <w:t>منظمة</w:t>
      </w:r>
      <w:r w:rsidRPr="00174E55">
        <w:rPr>
          <w:rFonts w:hint="cs"/>
          <w:rtl/>
          <w:lang w:val="en-GB"/>
        </w:rPr>
        <w:t xml:space="preserve"> ا</w:t>
      </w:r>
      <w:r w:rsidRPr="00174E55">
        <w:rPr>
          <w:rtl/>
          <w:lang w:val="en-GB"/>
        </w:rPr>
        <w:t xml:space="preserve">لأغذية والزراعة </w:t>
      </w:r>
      <w:r w:rsidRPr="00174E55">
        <w:rPr>
          <w:rFonts w:hint="cs"/>
          <w:rtl/>
          <w:lang w:val="en-GB"/>
        </w:rPr>
        <w:t>ل</w:t>
      </w:r>
      <w:r w:rsidRPr="00174E55">
        <w:rPr>
          <w:rtl/>
          <w:lang w:val="en-GB"/>
        </w:rPr>
        <w:t xml:space="preserve">لأمم المتحدة مع الاتفاقية، </w:t>
      </w:r>
      <w:r w:rsidRPr="001017A0">
        <w:rPr>
          <w:i/>
          <w:iCs/>
          <w:rtl/>
          <w:lang w:val="en-GB"/>
        </w:rPr>
        <w:t>ويرحب</w:t>
      </w:r>
      <w:r w:rsidRPr="00174E55">
        <w:rPr>
          <w:rFonts w:hint="cs"/>
          <w:rtl/>
          <w:lang w:val="en-GB"/>
        </w:rPr>
        <w:t xml:space="preserve">، </w:t>
      </w:r>
      <w:r w:rsidRPr="00174E55">
        <w:rPr>
          <w:rtl/>
          <w:lang w:val="en-GB"/>
        </w:rPr>
        <w:t>في هذا الصدد</w:t>
      </w:r>
      <w:r w:rsidRPr="00174E55">
        <w:rPr>
          <w:rFonts w:hint="cs"/>
          <w:rtl/>
          <w:lang w:val="en-GB"/>
        </w:rPr>
        <w:t>،</w:t>
      </w:r>
      <w:r w:rsidRPr="00174E55">
        <w:rPr>
          <w:rtl/>
          <w:lang w:val="en-GB"/>
        </w:rPr>
        <w:t xml:space="preserve"> بما يلي: (أ) تفعيل من</w:t>
      </w:r>
      <w:r w:rsidRPr="00174E55">
        <w:rPr>
          <w:rFonts w:hint="cs"/>
          <w:rtl/>
          <w:lang w:val="en-GB"/>
        </w:rPr>
        <w:t>بر</w:t>
      </w:r>
      <w:r w:rsidRPr="00174E55">
        <w:rPr>
          <w:rtl/>
          <w:lang w:val="en-GB"/>
        </w:rPr>
        <w:t xml:space="preserve"> التنوع البيولوجي المشار إليه في</w:t>
      </w:r>
      <w:r w:rsidRPr="00174E55">
        <w:rPr>
          <w:rFonts w:hint="cs"/>
          <w:rtl/>
          <w:lang w:val="en-GB"/>
        </w:rPr>
        <w:t xml:space="preserve"> الفقرة 6 من</w:t>
      </w:r>
      <w:r w:rsidRPr="00174E55">
        <w:rPr>
          <w:rtl/>
          <w:lang w:val="en-GB"/>
        </w:rPr>
        <w:t xml:space="preserve"> المقرر </w:t>
      </w:r>
      <w:r w:rsidRPr="00174E55">
        <w:rPr>
          <w:rFonts w:hint="cs"/>
          <w:rtl/>
          <w:lang w:val="en-GB"/>
        </w:rPr>
        <w:t>13</w:t>
      </w:r>
      <w:r w:rsidRPr="00174E55">
        <w:rPr>
          <w:rtl/>
          <w:lang w:val="en-GB"/>
        </w:rPr>
        <w:t>/3، (ب)</w:t>
      </w:r>
      <w:r>
        <w:rPr>
          <w:rFonts w:hint="cs"/>
          <w:rtl/>
          <w:lang w:val="en-GB"/>
        </w:rPr>
        <w:t> </w:t>
      </w:r>
      <w:r w:rsidRPr="001E7BF9">
        <w:rPr>
          <w:rFonts w:hint="cs"/>
          <w:rtl/>
          <w:lang w:val="en-GB"/>
        </w:rPr>
        <w:t>التقدم المحرز في إعداد</w:t>
      </w:r>
      <w:r>
        <w:rPr>
          <w:rFonts w:hint="cs"/>
          <w:rtl/>
          <w:lang w:val="en-GB"/>
        </w:rPr>
        <w:t xml:space="preserve"> التقرير </w:t>
      </w:r>
      <w:r w:rsidRPr="000B1600">
        <w:rPr>
          <w:rFonts w:hint="cs"/>
          <w:i/>
          <w:iCs/>
          <w:rtl/>
          <w:lang w:val="en-GB"/>
        </w:rPr>
        <w:t>المتعلق بحالة</w:t>
      </w:r>
      <w:r w:rsidRPr="000B1600">
        <w:rPr>
          <w:i/>
          <w:iCs/>
          <w:rtl/>
          <w:lang w:val="en-GB"/>
        </w:rPr>
        <w:t xml:space="preserve"> التنوع البيولوجي للأغذية والزراعة في العالم</w:t>
      </w:r>
      <w:r w:rsidRPr="00174E55">
        <w:rPr>
          <w:rtl/>
          <w:lang w:val="en-GB"/>
        </w:rPr>
        <w:t xml:space="preserve"> </w:t>
      </w:r>
      <w:r w:rsidRPr="00174E55">
        <w:rPr>
          <w:rFonts w:hint="cs"/>
          <w:rtl/>
          <w:lang w:val="en-GB"/>
        </w:rPr>
        <w:t>و</w:t>
      </w:r>
      <w:r w:rsidRPr="00174E55">
        <w:rPr>
          <w:rtl/>
          <w:lang w:val="en-GB"/>
        </w:rPr>
        <w:t>المشار إليه في</w:t>
      </w:r>
      <w:r w:rsidRPr="00174E55">
        <w:rPr>
          <w:rFonts w:hint="cs"/>
          <w:rtl/>
          <w:lang w:val="en-GB"/>
        </w:rPr>
        <w:t xml:space="preserve"> الفقرة 40 من</w:t>
      </w:r>
      <w:r w:rsidRPr="00174E55">
        <w:rPr>
          <w:rtl/>
          <w:lang w:val="en-GB"/>
        </w:rPr>
        <w:t xml:space="preserve"> المقرر </w:t>
      </w:r>
      <w:r w:rsidRPr="00174E55">
        <w:rPr>
          <w:rFonts w:hint="cs"/>
          <w:rtl/>
          <w:lang w:val="en-GB"/>
        </w:rPr>
        <w:t>13</w:t>
      </w:r>
      <w:r w:rsidRPr="00174E55">
        <w:rPr>
          <w:rtl/>
          <w:lang w:val="en-GB"/>
        </w:rPr>
        <w:t xml:space="preserve">/3، (ج) </w:t>
      </w:r>
      <w:r w:rsidRPr="001A6AE4">
        <w:rPr>
          <w:i/>
          <w:iCs/>
          <w:rtl/>
          <w:lang w:val="en-GB"/>
        </w:rPr>
        <w:t xml:space="preserve">الأطلس العالمي للتنوع البيولوجي للتربة </w:t>
      </w:r>
      <w:r w:rsidRPr="00174E55">
        <w:rPr>
          <w:rtl/>
          <w:lang w:val="en-GB"/>
        </w:rPr>
        <w:t xml:space="preserve">الذي أعده مركز المفوضية الأوروبية للبحوث المشتركة </w:t>
      </w:r>
      <w:r w:rsidRPr="00174E55">
        <w:rPr>
          <w:rFonts w:hint="cs"/>
          <w:rtl/>
          <w:lang w:val="en-GB"/>
        </w:rPr>
        <w:t>والمبادرة العالمية بشأن التنوع البيولوجي للتربة،</w:t>
      </w:r>
      <w:r w:rsidRPr="00174E55">
        <w:rPr>
          <w:rtl/>
          <w:lang w:val="en-GB"/>
        </w:rPr>
        <w:t xml:space="preserve"> (د) التزامات الشراكة العالمية </w:t>
      </w:r>
      <w:r w:rsidRPr="00174E55">
        <w:rPr>
          <w:rFonts w:hint="cs"/>
          <w:rtl/>
          <w:lang w:val="en-GB"/>
        </w:rPr>
        <w:t>من أجل</w:t>
      </w:r>
      <w:r w:rsidRPr="00174E55">
        <w:rPr>
          <w:rtl/>
          <w:lang w:val="en-GB"/>
        </w:rPr>
        <w:t xml:space="preserve"> التربة وفريقها الحكومي الدولي التقني المعني بالتربة </w:t>
      </w:r>
      <w:r>
        <w:rPr>
          <w:rFonts w:hint="cs"/>
          <w:rtl/>
          <w:lang w:val="en-GB"/>
        </w:rPr>
        <w:t>ل</w:t>
      </w:r>
      <w:r w:rsidRPr="00174E55">
        <w:rPr>
          <w:rtl/>
          <w:lang w:val="en-GB"/>
        </w:rPr>
        <w:t xml:space="preserve">تعزيز التنوع البيولوجي للتربة، كما </w:t>
      </w:r>
      <w:r w:rsidRPr="00174E55">
        <w:rPr>
          <w:rFonts w:hint="cs"/>
          <w:rtl/>
          <w:lang w:val="en-GB"/>
        </w:rPr>
        <w:t>يتضح من</w:t>
      </w:r>
      <w:r w:rsidRPr="00174E55">
        <w:rPr>
          <w:rtl/>
          <w:lang w:val="en-GB"/>
        </w:rPr>
        <w:t xml:space="preserve"> خطط عمله</w:t>
      </w:r>
      <w:r w:rsidRPr="00174E55">
        <w:rPr>
          <w:rFonts w:hint="cs"/>
          <w:rtl/>
          <w:lang w:val="en-GB"/>
        </w:rPr>
        <w:t>م</w:t>
      </w:r>
      <w:r w:rsidRPr="00174E55">
        <w:rPr>
          <w:rtl/>
          <w:lang w:val="en-GB"/>
        </w:rPr>
        <w:t xml:space="preserve">ا وجهود </w:t>
      </w:r>
      <w:r>
        <w:rPr>
          <w:rFonts w:hint="cs"/>
          <w:rtl/>
          <w:lang w:val="en-GB"/>
        </w:rPr>
        <w:t xml:space="preserve">زيادة </w:t>
      </w:r>
      <w:r w:rsidRPr="00174E55">
        <w:rPr>
          <w:rFonts w:hint="cs"/>
          <w:rtl/>
          <w:lang w:val="en-GB"/>
        </w:rPr>
        <w:t>التوعية</w:t>
      </w:r>
      <w:r w:rsidRPr="00174E55">
        <w:rPr>
          <w:rtl/>
          <w:lang w:val="en-GB"/>
        </w:rPr>
        <w:t xml:space="preserve">، بما في ذلك الندوة الدولية </w:t>
      </w:r>
      <w:r w:rsidRPr="00174E55">
        <w:rPr>
          <w:rFonts w:hint="cs"/>
          <w:rtl/>
          <w:lang w:val="en-GB"/>
        </w:rPr>
        <w:t>المزمع عقدها</w:t>
      </w:r>
      <w:r w:rsidRPr="00174E55">
        <w:rPr>
          <w:rtl/>
          <w:lang w:val="en-GB"/>
        </w:rPr>
        <w:t xml:space="preserve"> في عام 2020، (هـ) </w:t>
      </w:r>
      <w:r w:rsidRPr="00174E55">
        <w:rPr>
          <w:rFonts w:hint="cs"/>
          <w:rtl/>
          <w:lang w:val="en-GB"/>
        </w:rPr>
        <w:t>مبادرة</w:t>
      </w:r>
      <w:r w:rsidRPr="00174E55">
        <w:rPr>
          <w:rtl/>
          <w:lang w:val="en-GB"/>
        </w:rPr>
        <w:t xml:space="preserve"> </w:t>
      </w:r>
      <w:r w:rsidRPr="00174E55">
        <w:rPr>
          <w:rFonts w:hint="cs"/>
          <w:rtl/>
          <w:lang w:val="en-GB"/>
        </w:rPr>
        <w:t>هيئة</w:t>
      </w:r>
      <w:r w:rsidRPr="00174E55">
        <w:rPr>
          <w:rtl/>
          <w:lang w:val="en-GB"/>
        </w:rPr>
        <w:t xml:space="preserve"> الموارد الوراثية للأغذية والزراعة لوضع خطة عمل بشأن ال</w:t>
      </w:r>
      <w:r w:rsidRPr="00174E55">
        <w:rPr>
          <w:rFonts w:hint="cs"/>
          <w:rtl/>
          <w:lang w:val="en-GB"/>
        </w:rPr>
        <w:t>ميكروبات</w:t>
      </w:r>
      <w:r w:rsidRPr="00174E55">
        <w:rPr>
          <w:rtl/>
          <w:lang w:val="en-GB"/>
        </w:rPr>
        <w:t xml:space="preserve"> واللافقاريات، بما في ذلك تلك المتعلقة بـ</w:t>
      </w:r>
      <w:r w:rsidRPr="00174E55">
        <w:rPr>
          <w:rFonts w:hint="cs"/>
          <w:rtl/>
          <w:lang w:val="en-GB"/>
        </w:rPr>
        <w:t xml:space="preserve">التنوع </w:t>
      </w:r>
      <w:r w:rsidRPr="00174E55">
        <w:rPr>
          <w:rtl/>
          <w:lang w:val="en-GB"/>
        </w:rPr>
        <w:t>البيولوجي</w:t>
      </w:r>
      <w:r w:rsidRPr="00174E55">
        <w:rPr>
          <w:rFonts w:hint="cs"/>
          <w:rtl/>
          <w:lang w:val="en-GB"/>
        </w:rPr>
        <w:t xml:space="preserve"> للتربة</w:t>
      </w:r>
      <w:r w:rsidRPr="00174E55">
        <w:rPr>
          <w:rtl/>
          <w:lang w:val="en-GB"/>
        </w:rPr>
        <w:t xml:space="preserve"> والتوفير المس</w:t>
      </w:r>
      <w:r w:rsidRPr="00174E55">
        <w:rPr>
          <w:rFonts w:hint="cs"/>
          <w:rtl/>
          <w:lang w:val="en-GB"/>
        </w:rPr>
        <w:t>تدام</w:t>
      </w:r>
      <w:r w:rsidRPr="00174E55">
        <w:rPr>
          <w:rtl/>
          <w:lang w:val="en-GB"/>
        </w:rPr>
        <w:t xml:space="preserve"> ل</w:t>
      </w:r>
      <w:r>
        <w:rPr>
          <w:rFonts w:hint="cs"/>
          <w:rtl/>
          <w:lang w:val="en-GB"/>
        </w:rPr>
        <w:t>وظائف و</w:t>
      </w:r>
      <w:r w:rsidRPr="00174E55">
        <w:rPr>
          <w:rtl/>
          <w:lang w:val="en-GB"/>
        </w:rPr>
        <w:t xml:space="preserve">خدمات </w:t>
      </w:r>
      <w:r w:rsidRPr="00174E55">
        <w:rPr>
          <w:rFonts w:hint="cs"/>
          <w:rtl/>
          <w:lang w:val="en-GB"/>
        </w:rPr>
        <w:t>النظم الإيكولوجية المرتبطة</w:t>
      </w:r>
      <w:r w:rsidRPr="00174E55">
        <w:rPr>
          <w:rtl/>
          <w:lang w:val="en-GB"/>
        </w:rPr>
        <w:t xml:space="preserve"> </w:t>
      </w:r>
      <w:r w:rsidRPr="00174E55">
        <w:rPr>
          <w:rFonts w:hint="cs"/>
          <w:rtl/>
          <w:lang w:val="en-GB"/>
        </w:rPr>
        <w:t>ب</w:t>
      </w:r>
      <w:r w:rsidRPr="00174E55">
        <w:rPr>
          <w:rtl/>
          <w:lang w:val="en-GB"/>
        </w:rPr>
        <w:t>التربة والضرورية للزراعة المستدامة، (و)</w:t>
      </w:r>
      <w:r>
        <w:rPr>
          <w:rFonts w:hint="cs"/>
          <w:rtl/>
          <w:lang w:val="en-GB"/>
        </w:rPr>
        <w:t> </w:t>
      </w:r>
      <w:r w:rsidRPr="00174E55">
        <w:rPr>
          <w:rtl/>
          <w:lang w:val="en-GB"/>
        </w:rPr>
        <w:t xml:space="preserve">الجهود المبذولة لتحسين الاتساق في الإبلاغ عن البيانات الوطنية </w:t>
      </w:r>
      <w:r w:rsidRPr="00174E55">
        <w:rPr>
          <w:rFonts w:hint="cs"/>
          <w:rtl/>
          <w:lang w:val="en-GB"/>
        </w:rPr>
        <w:t>المتعلقة بمناطق الغابات البكر</w:t>
      </w:r>
      <w:r w:rsidRPr="00174E55">
        <w:rPr>
          <w:rtl/>
          <w:lang w:val="en-GB"/>
        </w:rPr>
        <w:t xml:space="preserve"> المبلغ عنها في إطار </w:t>
      </w:r>
      <w:r>
        <w:rPr>
          <w:rFonts w:hint="cs"/>
          <w:rtl/>
          <w:lang w:val="en-GB"/>
        </w:rPr>
        <w:t xml:space="preserve">التقييم العالمي لحالة الموارد الحرجية لمنظمة الأغذية والزراعة للأمم المتحدة، مع </w:t>
      </w:r>
      <w:r w:rsidRPr="00A6170A">
        <w:rPr>
          <w:rFonts w:hint="cs"/>
          <w:rtl/>
          <w:lang w:val="en-GB"/>
        </w:rPr>
        <w:t>النظر في الأهمية الاستثنائية للغابات ال</w:t>
      </w:r>
      <w:r>
        <w:rPr>
          <w:rFonts w:hint="cs"/>
          <w:rtl/>
          <w:lang w:val="en-GB"/>
        </w:rPr>
        <w:t>بكر</w:t>
      </w:r>
      <w:r w:rsidRPr="00A6170A">
        <w:rPr>
          <w:rFonts w:hint="cs"/>
          <w:rtl/>
          <w:lang w:val="en-GB"/>
        </w:rPr>
        <w:t xml:space="preserve"> لحفظ التنوع البيولوجي</w:t>
      </w:r>
      <w:r>
        <w:rPr>
          <w:rFonts w:hint="cs"/>
          <w:rtl/>
          <w:lang w:val="en-GB"/>
        </w:rPr>
        <w:t xml:space="preserve">، و(ز) عمل منظمة الأغذية والزراعة للأمم المتحدة بشأن المؤشر </w:t>
      </w:r>
      <w:r w:rsidRPr="003E42C5">
        <w:rPr>
          <w:rFonts w:hint="cs"/>
          <w:sz w:val="24"/>
          <w:rtl/>
          <w:lang w:val="en-GB"/>
        </w:rPr>
        <w:t xml:space="preserve">المتعلق </w:t>
      </w:r>
      <w:r>
        <w:rPr>
          <w:rFonts w:hint="cs"/>
          <w:sz w:val="24"/>
          <w:rtl/>
          <w:lang w:val="en-GB"/>
        </w:rPr>
        <w:t>ب</w:t>
      </w:r>
      <w:r w:rsidRPr="003E42C5">
        <w:rPr>
          <w:sz w:val="24"/>
          <w:rtl/>
        </w:rPr>
        <w:t>النسبة المئوية للمساحة الزراعية الخاضعة للممارسات الزراعية المستدامة</w:t>
      </w:r>
      <w:r w:rsidRPr="00A6170A">
        <w:rPr>
          <w:rFonts w:hint="cs"/>
          <w:rtl/>
          <w:lang w:val="en-GB"/>
        </w:rPr>
        <w:t>؛</w:t>
      </w:r>
    </w:p>
    <w:p w:rsidR="00E02C84" w:rsidRPr="00174E55" w:rsidRDefault="00E02C84" w:rsidP="00CD26C5">
      <w:pPr>
        <w:numPr>
          <w:ilvl w:val="0"/>
          <w:numId w:val="76"/>
        </w:numPr>
        <w:ind w:left="0" w:firstLine="720"/>
        <w:rPr>
          <w:lang w:val="en-GB"/>
        </w:rPr>
      </w:pPr>
      <w:r w:rsidRPr="00F86E35">
        <w:rPr>
          <w:i/>
          <w:iCs/>
          <w:rtl/>
          <w:lang w:val="en-GB"/>
        </w:rPr>
        <w:t>يدعو</w:t>
      </w:r>
      <w:r w:rsidRPr="00174E55">
        <w:rPr>
          <w:rtl/>
          <w:lang w:val="en-GB"/>
        </w:rPr>
        <w:t xml:space="preserve"> </w:t>
      </w:r>
      <w:bookmarkStart w:id="193" w:name="_Hlk516708817"/>
      <w:r w:rsidRPr="00174E55">
        <w:rPr>
          <w:rtl/>
          <w:lang w:val="en-GB"/>
        </w:rPr>
        <w:t xml:space="preserve">منظمة </w:t>
      </w:r>
      <w:r w:rsidRPr="00174E55">
        <w:rPr>
          <w:rFonts w:hint="cs"/>
          <w:rtl/>
          <w:lang w:val="en-GB"/>
        </w:rPr>
        <w:t xml:space="preserve">الأغذية والزراعة للأمم المتحدة </w:t>
      </w:r>
      <w:bookmarkEnd w:id="193"/>
      <w:r w:rsidRPr="00174E55">
        <w:rPr>
          <w:rFonts w:hint="cs"/>
          <w:rtl/>
          <w:lang w:val="en-GB"/>
        </w:rPr>
        <w:t>أن تنظر</w:t>
      </w:r>
      <w:r w:rsidRPr="00174E55">
        <w:rPr>
          <w:rtl/>
          <w:lang w:val="en-GB"/>
        </w:rPr>
        <w:t xml:space="preserve">، بالتعاون مع منظمات أخرى ورهناً بتوافر الموارد، في إعداد تقرير عن حالة المعارف المتعلقة بالتنوع البيولوجي للتربة </w:t>
      </w:r>
      <w:r w:rsidRPr="00174E55">
        <w:rPr>
          <w:rFonts w:hint="cs"/>
          <w:rtl/>
          <w:lang w:val="en-GB"/>
        </w:rPr>
        <w:t>بحيث</w:t>
      </w:r>
      <w:r w:rsidRPr="00174E55">
        <w:rPr>
          <w:rtl/>
          <w:lang w:val="en-GB"/>
        </w:rPr>
        <w:t xml:space="preserve"> يغطي </w:t>
      </w:r>
      <w:r w:rsidRPr="00174E55">
        <w:rPr>
          <w:rFonts w:hint="cs"/>
          <w:rtl/>
          <w:lang w:val="en-GB"/>
        </w:rPr>
        <w:t>الوضع الحالي</w:t>
      </w:r>
      <w:r w:rsidRPr="00174E55">
        <w:rPr>
          <w:rtl/>
          <w:lang w:val="en-GB"/>
        </w:rPr>
        <w:t xml:space="preserve"> والتحديات والإمكانيات</w:t>
      </w:r>
      <w:r w:rsidRPr="00174E55">
        <w:rPr>
          <w:rFonts w:hint="cs"/>
          <w:rtl/>
          <w:lang w:val="en-GB"/>
        </w:rPr>
        <w:t xml:space="preserve"> الراهنة</w:t>
      </w:r>
      <w:r w:rsidRPr="00174E55">
        <w:rPr>
          <w:rtl/>
          <w:lang w:val="en-GB"/>
        </w:rPr>
        <w:t xml:space="preserve"> و</w:t>
      </w:r>
      <w:r w:rsidRPr="00174E55">
        <w:rPr>
          <w:rFonts w:hint="cs"/>
          <w:rtl/>
          <w:lang w:val="en-GB"/>
        </w:rPr>
        <w:t xml:space="preserve">أن تتيح هذا التقرير كي تنظر فيه </w:t>
      </w:r>
      <w:r w:rsidRPr="00174E55">
        <w:rPr>
          <w:rtl/>
          <w:lang w:val="en-GB"/>
        </w:rPr>
        <w:t xml:space="preserve">الهيئة الفرعية للمشورة العلمية والتقنية والتكنولوجية في اجتماع </w:t>
      </w:r>
      <w:r w:rsidRPr="00174E55">
        <w:rPr>
          <w:rFonts w:hint="cs"/>
          <w:rtl/>
          <w:lang w:val="en-GB"/>
        </w:rPr>
        <w:t>ي</w:t>
      </w:r>
      <w:r w:rsidRPr="00174E55">
        <w:rPr>
          <w:rtl/>
          <w:lang w:val="en-GB"/>
        </w:rPr>
        <w:t>عقد قبل الاجتماع الخامس عشر لمؤتمر الأطراف؛</w:t>
      </w:r>
    </w:p>
    <w:p w:rsidR="00E02C84" w:rsidRPr="00174E55" w:rsidRDefault="00E02C84" w:rsidP="00CD26C5">
      <w:pPr>
        <w:numPr>
          <w:ilvl w:val="0"/>
          <w:numId w:val="76"/>
        </w:numPr>
        <w:ind w:left="0" w:firstLine="720"/>
        <w:rPr>
          <w:lang w:val="en-GB"/>
        </w:rPr>
      </w:pPr>
      <w:r w:rsidRPr="00F86E35">
        <w:rPr>
          <w:i/>
          <w:iCs/>
          <w:rtl/>
          <w:lang w:val="en-GB"/>
        </w:rPr>
        <w:t>يطلب</w:t>
      </w:r>
      <w:r w:rsidRPr="00F86E35">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 أن تتخذ</w:t>
      </w:r>
      <w:r w:rsidRPr="00174E55">
        <w:rPr>
          <w:rtl/>
          <w:lang w:val="en-GB"/>
        </w:rPr>
        <w:t>، رهنا</w:t>
      </w:r>
      <w:r w:rsidRPr="00174E55">
        <w:rPr>
          <w:rFonts w:hint="cs"/>
          <w:rtl/>
          <w:lang w:val="en-GB"/>
        </w:rPr>
        <w:t>ً</w:t>
      </w:r>
      <w:r w:rsidRPr="00174E55">
        <w:rPr>
          <w:rtl/>
          <w:lang w:val="en-GB"/>
        </w:rPr>
        <w:t xml:space="preserve"> بتوافر الموارد، الإجراءات التالية:</w:t>
      </w:r>
    </w:p>
    <w:p w:rsidR="00E02C84" w:rsidRDefault="00E02C84" w:rsidP="00E02C84">
      <w:pPr>
        <w:ind w:firstLine="720"/>
        <w:rPr>
          <w:rtl/>
        </w:rPr>
      </w:pPr>
      <w:r w:rsidRPr="00174E55">
        <w:rPr>
          <w:rFonts w:hint="cs"/>
          <w:rtl/>
        </w:rPr>
        <w:t>(أ)</w:t>
      </w:r>
      <w:r w:rsidRPr="00174E55">
        <w:rPr>
          <w:rtl/>
        </w:rPr>
        <w:tab/>
      </w:r>
      <w:r w:rsidRPr="0046313A">
        <w:rPr>
          <w:rtl/>
        </w:rPr>
        <w:t xml:space="preserve">مواصلة العمل مع منظمة الأغذية والزراعة </w:t>
      </w:r>
      <w:r>
        <w:rPr>
          <w:rFonts w:hint="cs"/>
          <w:rtl/>
        </w:rPr>
        <w:t xml:space="preserve">للأمم المتحدة </w:t>
      </w:r>
      <w:r w:rsidRPr="0046313A">
        <w:rPr>
          <w:rtl/>
        </w:rPr>
        <w:t>لتعزيز تعميم التنوع البيولوجي في قطاعات الزراعة</w:t>
      </w:r>
      <w:r>
        <w:rPr>
          <w:rFonts w:hint="cs"/>
          <w:rtl/>
        </w:rPr>
        <w:t xml:space="preserve"> والحراجة ومصايد الأسماك؛</w:t>
      </w:r>
    </w:p>
    <w:p w:rsidR="00E02C84" w:rsidRPr="00174E55" w:rsidRDefault="00E02C84" w:rsidP="00E02C84">
      <w:pPr>
        <w:ind w:firstLine="720"/>
        <w:rPr>
          <w:rtl/>
        </w:rPr>
      </w:pPr>
      <w:r>
        <w:rPr>
          <w:rFonts w:hint="cs"/>
          <w:rtl/>
        </w:rPr>
        <w:t>(ب)</w:t>
      </w:r>
      <w:r>
        <w:rPr>
          <w:rtl/>
        </w:rPr>
        <w:tab/>
      </w:r>
      <w:r w:rsidRPr="00174E55">
        <w:rPr>
          <w:rtl/>
        </w:rPr>
        <w:t xml:space="preserve">استعراض تنفيذ المبادرة الدولية </w:t>
      </w:r>
      <w:r w:rsidRPr="00174E55">
        <w:rPr>
          <w:rFonts w:hint="cs"/>
          <w:rtl/>
        </w:rPr>
        <w:t>لحفظ</w:t>
      </w:r>
      <w:r w:rsidRPr="00174E55">
        <w:rPr>
          <w:rtl/>
        </w:rPr>
        <w:t xml:space="preserve"> </w:t>
      </w:r>
      <w:r w:rsidRPr="00174E55">
        <w:rPr>
          <w:rFonts w:hint="cs"/>
          <w:rtl/>
        </w:rPr>
        <w:t>ا</w:t>
      </w:r>
      <w:r w:rsidRPr="00174E55">
        <w:rPr>
          <w:rtl/>
        </w:rPr>
        <w:t xml:space="preserve">لتنوع البيولوجي للتربة </w:t>
      </w:r>
      <w:r w:rsidRPr="00174E55">
        <w:rPr>
          <w:rFonts w:hint="cs"/>
          <w:rtl/>
        </w:rPr>
        <w:t>واستخدامه المستدام</w:t>
      </w:r>
      <w:r w:rsidRPr="00174E55">
        <w:rPr>
          <w:rtl/>
        </w:rPr>
        <w:t xml:space="preserve">، بالتشاور مع منظمة </w:t>
      </w:r>
      <w:r w:rsidRPr="00174E55">
        <w:rPr>
          <w:rFonts w:hint="cs"/>
          <w:rtl/>
        </w:rPr>
        <w:t xml:space="preserve">الأغذية والزراعة للأمم المتحدة </w:t>
      </w:r>
      <w:r w:rsidRPr="00174E55">
        <w:rPr>
          <w:rtl/>
        </w:rPr>
        <w:t xml:space="preserve">في إطار الشراكة العالمية من أجل التربة </w:t>
      </w:r>
      <w:r w:rsidRPr="00174E55">
        <w:rPr>
          <w:rFonts w:hint="cs"/>
          <w:rtl/>
        </w:rPr>
        <w:t xml:space="preserve">فضلاً عن </w:t>
      </w:r>
      <w:r w:rsidRPr="00174E55">
        <w:rPr>
          <w:rtl/>
        </w:rPr>
        <w:t xml:space="preserve">الشركاء الآخرين المهتمين، </w:t>
      </w:r>
      <w:r>
        <w:rPr>
          <w:rFonts w:hint="cs"/>
          <w:rtl/>
        </w:rPr>
        <w:t>وتقديم</w:t>
      </w:r>
      <w:r w:rsidRPr="00174E55">
        <w:rPr>
          <w:rtl/>
        </w:rPr>
        <w:t xml:space="preserve"> مشروع </w:t>
      </w:r>
      <w:r>
        <w:rPr>
          <w:rFonts w:hint="cs"/>
          <w:rtl/>
        </w:rPr>
        <w:t xml:space="preserve">محدث عن </w:t>
      </w:r>
      <w:r w:rsidRPr="00174E55">
        <w:rPr>
          <w:rtl/>
        </w:rPr>
        <w:t xml:space="preserve">خطة </w:t>
      </w:r>
      <w:r w:rsidRPr="00174E55">
        <w:rPr>
          <w:rFonts w:hint="cs"/>
          <w:rtl/>
        </w:rPr>
        <w:t>عمل</w:t>
      </w:r>
      <w:r w:rsidRPr="00174E55">
        <w:rPr>
          <w:rtl/>
        </w:rPr>
        <w:t xml:space="preserve"> </w:t>
      </w:r>
      <w:r w:rsidRPr="00174E55">
        <w:rPr>
          <w:rFonts w:hint="cs"/>
          <w:rtl/>
        </w:rPr>
        <w:t>كي تنظر فيه</w:t>
      </w:r>
      <w:r w:rsidRPr="00174E55">
        <w:rPr>
          <w:rtl/>
        </w:rPr>
        <w:t xml:space="preserve"> الهيئة الفرعية للمشورة العلمية والتقنية والتكنولوجية في اجتماع </w:t>
      </w:r>
      <w:r w:rsidRPr="00174E55">
        <w:rPr>
          <w:rFonts w:hint="cs"/>
          <w:rtl/>
        </w:rPr>
        <w:t>ي</w:t>
      </w:r>
      <w:r w:rsidRPr="00174E55">
        <w:rPr>
          <w:rtl/>
        </w:rPr>
        <w:t>عقد قبل الاجتماع الخامس عشر لمؤتمر الأطراف</w:t>
      </w:r>
      <w:r w:rsidRPr="00174E55">
        <w:rPr>
          <w:rFonts w:hint="cs"/>
          <w:rtl/>
        </w:rPr>
        <w:t>؛</w:t>
      </w:r>
    </w:p>
    <w:p w:rsidR="00E02C84" w:rsidRPr="00174E55" w:rsidRDefault="00E02C84" w:rsidP="00E02C84">
      <w:pPr>
        <w:ind w:firstLine="720"/>
        <w:rPr>
          <w:rtl/>
        </w:rPr>
      </w:pPr>
      <w:r w:rsidRPr="00174E55">
        <w:rPr>
          <w:rFonts w:hint="cs"/>
          <w:rtl/>
        </w:rPr>
        <w:lastRenderedPageBreak/>
        <w:t>(</w:t>
      </w:r>
      <w:r>
        <w:rPr>
          <w:rFonts w:hint="cs"/>
          <w:rtl/>
        </w:rPr>
        <w:t>ج</w:t>
      </w:r>
      <w:r w:rsidRPr="00174E55">
        <w:rPr>
          <w:rFonts w:hint="cs"/>
          <w:rtl/>
        </w:rPr>
        <w:t>)</w:t>
      </w:r>
      <w:r w:rsidRPr="00174E55">
        <w:rPr>
          <w:rtl/>
        </w:rPr>
        <w:tab/>
        <w:t xml:space="preserve">مواصلة العمل مع منظمة </w:t>
      </w:r>
      <w:r w:rsidRPr="00174E55">
        <w:rPr>
          <w:rFonts w:hint="cs"/>
          <w:rtl/>
        </w:rPr>
        <w:t>الأغذية والزراعة للأمم المتحدة</w:t>
      </w:r>
      <w:r w:rsidRPr="00174E55">
        <w:rPr>
          <w:rtl/>
        </w:rPr>
        <w:t xml:space="preserve"> </w:t>
      </w:r>
      <w:r w:rsidRPr="00174E55">
        <w:rPr>
          <w:rFonts w:hint="cs"/>
          <w:rtl/>
        </w:rPr>
        <w:t>بشأن</w:t>
      </w:r>
      <w:r w:rsidRPr="00174E55">
        <w:rPr>
          <w:rtl/>
        </w:rPr>
        <w:t xml:space="preserve"> </w:t>
      </w:r>
      <w:r>
        <w:rPr>
          <w:rFonts w:hint="cs"/>
          <w:rtl/>
          <w:lang w:val="en-GB"/>
        </w:rPr>
        <w:t xml:space="preserve">التقييم العالمي لحالة الموارد الحرجية </w:t>
      </w:r>
      <w:r w:rsidRPr="00174E55">
        <w:rPr>
          <w:rFonts w:hint="cs"/>
          <w:rtl/>
        </w:rPr>
        <w:t>من أجل</w:t>
      </w:r>
      <w:r w:rsidRPr="00174E55">
        <w:rPr>
          <w:rtl/>
        </w:rPr>
        <w:t xml:space="preserve"> تحسين رصد التقدم المحرز في إطار الهدف 5 من أهداف </w:t>
      </w:r>
      <w:r>
        <w:rPr>
          <w:rtl/>
        </w:rPr>
        <w:t>أيشي</w:t>
      </w:r>
      <w:r w:rsidRPr="00174E55">
        <w:rPr>
          <w:rtl/>
        </w:rPr>
        <w:t xml:space="preserve"> للتنوع البيولوجي</w:t>
      </w:r>
      <w:r w:rsidRPr="00174E55">
        <w:rPr>
          <w:rFonts w:hint="cs"/>
          <w:rtl/>
        </w:rPr>
        <w:t>؛</w:t>
      </w:r>
    </w:p>
    <w:p w:rsidR="00E02C84" w:rsidRPr="00174E55" w:rsidRDefault="00E02C84" w:rsidP="00E02C84">
      <w:pPr>
        <w:ind w:firstLine="720"/>
        <w:rPr>
          <w:lang w:val="en-GB"/>
        </w:rPr>
      </w:pPr>
      <w:r w:rsidRPr="00174E55">
        <w:rPr>
          <w:rFonts w:hint="cs"/>
          <w:rtl/>
        </w:rPr>
        <w:t>(</w:t>
      </w:r>
      <w:r>
        <w:rPr>
          <w:rFonts w:hint="cs"/>
          <w:rtl/>
        </w:rPr>
        <w:t>د</w:t>
      </w:r>
      <w:r w:rsidRPr="00174E55">
        <w:rPr>
          <w:rFonts w:hint="cs"/>
          <w:rtl/>
        </w:rPr>
        <w:t>)</w:t>
      </w:r>
      <w:r w:rsidRPr="00174E55">
        <w:rPr>
          <w:rtl/>
        </w:rPr>
        <w:tab/>
        <w:t>إحالة نص هذا ال</w:t>
      </w:r>
      <w:r w:rsidRPr="00174E55">
        <w:rPr>
          <w:rFonts w:hint="cs"/>
          <w:rtl/>
        </w:rPr>
        <w:t>مقرر</w:t>
      </w:r>
      <w:r w:rsidRPr="00174E55">
        <w:rPr>
          <w:rtl/>
        </w:rPr>
        <w:t xml:space="preserve"> إلى المدير العام لمنظمة </w:t>
      </w:r>
      <w:r w:rsidRPr="00174E55">
        <w:rPr>
          <w:rFonts w:hint="cs"/>
          <w:rtl/>
        </w:rPr>
        <w:t>الأغذية والزراعة للأمم المتحدة؛</w:t>
      </w:r>
    </w:p>
    <w:p w:rsidR="00E02C84" w:rsidRPr="00174E55" w:rsidRDefault="00E02C84" w:rsidP="00CD26C5">
      <w:pPr>
        <w:numPr>
          <w:ilvl w:val="0"/>
          <w:numId w:val="76"/>
        </w:numPr>
        <w:ind w:left="0" w:firstLine="720"/>
        <w:rPr>
          <w:lang w:val="en-GB"/>
        </w:rPr>
      </w:pPr>
      <w:r w:rsidRPr="00F86E35">
        <w:rPr>
          <w:rFonts w:hint="cs"/>
          <w:i/>
          <w:iCs/>
          <w:rtl/>
          <w:lang w:val="en-GB"/>
        </w:rPr>
        <w:t>يسلّم</w:t>
      </w:r>
      <w:r w:rsidRPr="00F86E35">
        <w:rPr>
          <w:rtl/>
          <w:lang w:val="en-GB"/>
        </w:rPr>
        <w:t xml:space="preserve"> </w:t>
      </w:r>
      <w:r w:rsidRPr="00174E55">
        <w:rPr>
          <w:rtl/>
          <w:lang w:val="en-GB"/>
        </w:rPr>
        <w:t>بأن برنامج</w:t>
      </w:r>
      <w:r w:rsidRPr="00174E55">
        <w:rPr>
          <w:rFonts w:hint="cs"/>
          <w:rtl/>
          <w:lang w:val="en-GB"/>
        </w:rPr>
        <w:t xml:space="preserve"> العمل</w:t>
      </w:r>
      <w:r w:rsidRPr="00174E55">
        <w:rPr>
          <w:rtl/>
          <w:lang w:val="en-GB"/>
        </w:rPr>
        <w:t xml:space="preserve"> المشترك بشأن ال</w:t>
      </w:r>
      <w:r>
        <w:rPr>
          <w:rFonts w:hint="cs"/>
          <w:rtl/>
          <w:lang w:val="en-GB"/>
        </w:rPr>
        <w:t>روابط</w:t>
      </w:r>
      <w:r w:rsidRPr="00174E55">
        <w:rPr>
          <w:rtl/>
          <w:lang w:val="en-GB"/>
        </w:rPr>
        <w:t xml:space="preserve"> بين التنوع البيولوجي والثقافي </w:t>
      </w:r>
      <w:r w:rsidRPr="00174E55">
        <w:rPr>
          <w:rFonts w:hint="cs"/>
          <w:rtl/>
          <w:lang w:val="en-GB"/>
        </w:rPr>
        <w:t>يشكل</w:t>
      </w:r>
      <w:r w:rsidRPr="00174E55">
        <w:rPr>
          <w:rtl/>
          <w:lang w:val="en-GB"/>
        </w:rPr>
        <w:t xml:space="preserve"> </w:t>
      </w:r>
      <w:r w:rsidRPr="00174E55">
        <w:rPr>
          <w:rFonts w:hint="cs"/>
          <w:rtl/>
          <w:lang w:val="en-GB"/>
        </w:rPr>
        <w:t>منبراً مفيداً</w:t>
      </w:r>
      <w:r w:rsidRPr="00174E55">
        <w:rPr>
          <w:rtl/>
          <w:lang w:val="en-GB"/>
        </w:rPr>
        <w:t xml:space="preserve"> للتعاون بين الأمانة ومنظمة الأمم المتحدة للتربية والعلم والثقافة </w:t>
      </w:r>
      <w:r w:rsidRPr="00174E55">
        <w:rPr>
          <w:rFonts w:hint="cs"/>
          <w:rtl/>
          <w:lang w:val="en-GB"/>
        </w:rPr>
        <w:t>من أجل تحقيق</w:t>
      </w:r>
      <w:r w:rsidRPr="00174E55">
        <w:rPr>
          <w:rtl/>
          <w:lang w:val="en-GB"/>
        </w:rPr>
        <w:t xml:space="preserve"> </w:t>
      </w:r>
      <w:r w:rsidRPr="00174E55">
        <w:rPr>
          <w:rFonts w:hint="cs"/>
          <w:rtl/>
          <w:lang w:val="en-GB"/>
        </w:rPr>
        <w:t>ال</w:t>
      </w:r>
      <w:r w:rsidRPr="00174E55">
        <w:rPr>
          <w:rtl/>
          <w:lang w:val="en-GB"/>
        </w:rPr>
        <w:t xml:space="preserve">أهداف </w:t>
      </w:r>
      <w:r w:rsidRPr="00174E55">
        <w:rPr>
          <w:rFonts w:hint="cs"/>
          <w:rtl/>
          <w:lang w:val="en-GB"/>
        </w:rPr>
        <w:t>ال</w:t>
      </w:r>
      <w:r w:rsidRPr="00174E55">
        <w:rPr>
          <w:rtl/>
          <w:lang w:val="en-GB"/>
        </w:rPr>
        <w:t>مشتركة فيما يتعلق بالطبيعة والثقافة</w:t>
      </w:r>
      <w:r w:rsidRPr="00174E55">
        <w:rPr>
          <w:rFonts w:hint="cs"/>
          <w:rtl/>
          <w:lang w:val="en-GB"/>
        </w:rPr>
        <w:t>؛</w:t>
      </w:r>
    </w:p>
    <w:p w:rsidR="00E02C84" w:rsidRPr="00174E55" w:rsidRDefault="00E02C84" w:rsidP="00CD26C5">
      <w:pPr>
        <w:numPr>
          <w:ilvl w:val="0"/>
          <w:numId w:val="76"/>
        </w:numPr>
        <w:ind w:left="0" w:firstLine="720"/>
        <w:rPr>
          <w:lang w:val="en-GB"/>
        </w:rPr>
      </w:pPr>
      <w:r w:rsidRPr="00F86E35">
        <w:rPr>
          <w:i/>
          <w:iCs/>
          <w:rtl/>
          <w:lang w:val="en-GB"/>
        </w:rPr>
        <w:t>يطلب</w:t>
      </w:r>
      <w:r w:rsidRPr="00F86E35">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w:t>
      </w:r>
      <w:r w:rsidRPr="00174E55">
        <w:rPr>
          <w:rFonts w:hint="cs"/>
          <w:rtl/>
          <w:lang w:val="en-GB"/>
        </w:rPr>
        <w:t>أن تتشاور</w:t>
      </w:r>
      <w:r w:rsidRPr="00174E55">
        <w:rPr>
          <w:rtl/>
          <w:lang w:val="en-GB"/>
        </w:rPr>
        <w:t xml:space="preserve"> مع </w:t>
      </w:r>
      <w:r>
        <w:rPr>
          <w:rFonts w:hint="cs"/>
          <w:rtl/>
          <w:lang w:val="en-GB"/>
        </w:rPr>
        <w:t xml:space="preserve">أمانة </w:t>
      </w:r>
      <w:r w:rsidRPr="00174E55">
        <w:rPr>
          <w:rtl/>
          <w:lang w:val="en-GB"/>
        </w:rPr>
        <w:t>منظمة الأمم المتحدة للتربية والعلم والثقافة ب</w:t>
      </w:r>
      <w:r w:rsidRPr="00174E55">
        <w:rPr>
          <w:rFonts w:hint="cs"/>
          <w:rtl/>
          <w:lang w:val="en-GB"/>
        </w:rPr>
        <w:t>غية</w:t>
      </w:r>
      <w:r>
        <w:rPr>
          <w:rFonts w:hint="cs"/>
          <w:rtl/>
          <w:lang w:val="en-GB"/>
        </w:rPr>
        <w:t xml:space="preserve">، رهنا بتوافر الموارد، إعداد خيارات لعناصر العمل الممكنة </w:t>
      </w:r>
      <w:r w:rsidRPr="00174E55">
        <w:rPr>
          <w:rtl/>
          <w:lang w:val="en-GB"/>
        </w:rPr>
        <w:t xml:space="preserve">التي تهدف إلى </w:t>
      </w:r>
      <w:r w:rsidRPr="00174E55">
        <w:rPr>
          <w:rFonts w:hint="cs"/>
          <w:rtl/>
          <w:lang w:val="en-GB"/>
        </w:rPr>
        <w:t>تحقيق تقارب</w:t>
      </w:r>
      <w:r w:rsidRPr="00174E55">
        <w:rPr>
          <w:rtl/>
          <w:lang w:val="en-GB"/>
        </w:rPr>
        <w:t xml:space="preserve"> بين الطبيعة والثقافة في </w:t>
      </w:r>
      <w:r w:rsidRPr="00174E55">
        <w:rPr>
          <w:rFonts w:hint="cs"/>
          <w:rtl/>
          <w:lang w:val="en-GB"/>
        </w:rPr>
        <w:t>ال</w:t>
      </w:r>
      <w:r w:rsidRPr="00174E55">
        <w:rPr>
          <w:rtl/>
          <w:lang w:val="en-GB"/>
        </w:rPr>
        <w:t>إطار</w:t>
      </w:r>
      <w:r w:rsidRPr="00174E55">
        <w:rPr>
          <w:rFonts w:hint="cs"/>
          <w:rtl/>
          <w:lang w:val="en-GB"/>
        </w:rPr>
        <w:t xml:space="preserve"> العالمي ل</w:t>
      </w:r>
      <w:r w:rsidRPr="00174E55">
        <w:rPr>
          <w:rtl/>
          <w:lang w:val="en-GB"/>
        </w:rPr>
        <w:t>لتنوع البيولوجي لما بعد</w:t>
      </w:r>
      <w:r w:rsidRPr="00174E55">
        <w:rPr>
          <w:rFonts w:hint="cs"/>
          <w:rtl/>
          <w:lang w:val="en-GB"/>
        </w:rPr>
        <w:t xml:space="preserve"> عام</w:t>
      </w:r>
      <w:r w:rsidRPr="00174E55">
        <w:rPr>
          <w:rtl/>
          <w:lang w:val="en-GB"/>
        </w:rPr>
        <w:t xml:space="preserve"> 2020، </w:t>
      </w:r>
      <w:r w:rsidRPr="00174E55">
        <w:rPr>
          <w:rFonts w:hint="cs"/>
          <w:rtl/>
          <w:lang w:val="en-GB"/>
        </w:rPr>
        <w:t>كي ينظر فيها</w:t>
      </w:r>
      <w:r w:rsidRPr="00174E55">
        <w:rPr>
          <w:rtl/>
          <w:lang w:val="en-GB"/>
        </w:rPr>
        <w:t xml:space="preserve"> الفريق العامل المعني بالمادة 8(ي) في اجتماعه الحادي عشر</w:t>
      </w:r>
      <w:r>
        <w:rPr>
          <w:rFonts w:hint="cs"/>
          <w:rtl/>
          <w:lang w:val="en-GB"/>
        </w:rPr>
        <w:t>، و</w:t>
      </w:r>
      <w:r w:rsidRPr="00F86E35">
        <w:rPr>
          <w:rFonts w:hint="cs"/>
          <w:rtl/>
          <w:lang w:val="en-GB"/>
        </w:rPr>
        <w:t>الهيئة الفرعية للمشورة العلمية والتقنية والتكنولوجية</w:t>
      </w:r>
      <w:r>
        <w:rPr>
          <w:rFonts w:hint="cs"/>
          <w:rtl/>
          <w:lang w:val="en-GB"/>
        </w:rPr>
        <w:t xml:space="preserve"> في اجتماعها الثالث والعشرين</w:t>
      </w:r>
      <w:r w:rsidRPr="00F86E35">
        <w:rPr>
          <w:rFonts w:hint="cs"/>
          <w:rtl/>
          <w:lang w:val="en-GB"/>
        </w:rPr>
        <w:t>،</w:t>
      </w:r>
      <w:r w:rsidRPr="00174E55">
        <w:rPr>
          <w:rtl/>
          <w:lang w:val="en-GB"/>
        </w:rPr>
        <w:t xml:space="preserve"> والهيئة الفرعية للتنفيذ في اجتماعه</w:t>
      </w:r>
      <w:r w:rsidRPr="00174E55">
        <w:rPr>
          <w:rFonts w:hint="cs"/>
          <w:rtl/>
          <w:lang w:val="en-GB"/>
        </w:rPr>
        <w:t>ا</w:t>
      </w:r>
      <w:r w:rsidRPr="00174E55">
        <w:rPr>
          <w:rtl/>
          <w:lang w:val="en-GB"/>
        </w:rPr>
        <w:t xml:space="preserve"> الثالث، </w:t>
      </w:r>
      <w:r>
        <w:rPr>
          <w:rFonts w:hint="cs"/>
          <w:rtl/>
          <w:lang w:val="en-GB"/>
        </w:rPr>
        <w:t xml:space="preserve">والفريق العامل المفتوح العضوية المعني بوضع الإطار العالمي للتنوع البيولوجي لما بعد عام 2020، </w:t>
      </w:r>
      <w:r w:rsidRPr="00174E55">
        <w:rPr>
          <w:rtl/>
          <w:lang w:val="en-GB"/>
        </w:rPr>
        <w:t>حتى ي</w:t>
      </w:r>
      <w:r w:rsidRPr="00174E55">
        <w:rPr>
          <w:rFonts w:hint="cs"/>
          <w:rtl/>
          <w:lang w:val="en-GB"/>
        </w:rPr>
        <w:t>تسنى</w:t>
      </w:r>
      <w:r w:rsidRPr="00174E55">
        <w:rPr>
          <w:rtl/>
          <w:lang w:val="en-GB"/>
        </w:rPr>
        <w:t xml:space="preserve"> النظر في عناصر العمل الممكنة مع</w:t>
      </w:r>
      <w:r w:rsidRPr="00174E55">
        <w:rPr>
          <w:rFonts w:hint="cs"/>
          <w:rtl/>
          <w:lang w:val="en-GB"/>
        </w:rPr>
        <w:t xml:space="preserve"> غيرها من</w:t>
      </w:r>
      <w:r w:rsidRPr="00174E55">
        <w:rPr>
          <w:rtl/>
          <w:lang w:val="en-GB"/>
        </w:rPr>
        <w:t xml:space="preserve"> المقترحات من أجل وضع برنامج عمل متكامل </w:t>
      </w:r>
      <w:r w:rsidRPr="00174E55">
        <w:rPr>
          <w:rFonts w:hint="cs"/>
          <w:rtl/>
          <w:lang w:val="en-GB"/>
        </w:rPr>
        <w:t>تماماً</w:t>
      </w:r>
      <w:r>
        <w:rPr>
          <w:rtl/>
          <w:lang w:val="en-GB"/>
        </w:rPr>
        <w:t xml:space="preserve"> للمادة 8</w:t>
      </w:r>
      <w:r w:rsidRPr="00174E55">
        <w:rPr>
          <w:rtl/>
          <w:lang w:val="en-GB"/>
        </w:rPr>
        <w:t xml:space="preserve">(ي) </w:t>
      </w:r>
      <w:r w:rsidRPr="00174E55">
        <w:rPr>
          <w:rFonts w:hint="cs"/>
          <w:rtl/>
          <w:lang w:val="en-GB"/>
        </w:rPr>
        <w:t>والأحكام المتصلة بها</w:t>
      </w:r>
      <w:r w:rsidRPr="00174E55">
        <w:rPr>
          <w:rtl/>
          <w:lang w:val="en-GB"/>
        </w:rPr>
        <w:t xml:space="preserve"> في </w:t>
      </w:r>
      <w:r w:rsidRPr="00174E55">
        <w:rPr>
          <w:rFonts w:hint="cs"/>
          <w:rtl/>
          <w:lang w:val="en-GB"/>
        </w:rPr>
        <w:t>ال</w:t>
      </w:r>
      <w:r w:rsidRPr="00174E55">
        <w:rPr>
          <w:rtl/>
          <w:lang w:val="en-GB"/>
        </w:rPr>
        <w:t>إطار</w:t>
      </w:r>
      <w:r w:rsidRPr="00174E55">
        <w:rPr>
          <w:rFonts w:hint="cs"/>
          <w:rtl/>
          <w:lang w:val="en-GB"/>
        </w:rPr>
        <w:t xml:space="preserve"> العالمي ل</w:t>
      </w:r>
      <w:r w:rsidRPr="00174E55">
        <w:rPr>
          <w:rtl/>
          <w:lang w:val="en-GB"/>
        </w:rPr>
        <w:t>لتنوع البيولوجي لما بعد</w:t>
      </w:r>
      <w:r w:rsidRPr="00174E55">
        <w:rPr>
          <w:rFonts w:hint="cs"/>
          <w:rtl/>
          <w:lang w:val="en-GB"/>
        </w:rPr>
        <w:t xml:space="preserve"> عام</w:t>
      </w:r>
      <w:r w:rsidRPr="00174E55">
        <w:rPr>
          <w:rtl/>
          <w:lang w:val="en-GB"/>
        </w:rPr>
        <w:t xml:space="preserve"> 2020</w:t>
      </w:r>
      <w:r w:rsidRPr="00174E55">
        <w:rPr>
          <w:rFonts w:hint="cs"/>
          <w:rtl/>
          <w:lang w:val="en-GB"/>
        </w:rPr>
        <w:t>، في الاجتماع الخامس عشر لمؤتمر الأطراف؛</w:t>
      </w:r>
    </w:p>
    <w:p w:rsidR="00E02C84" w:rsidRPr="00174E55" w:rsidRDefault="00E02C84" w:rsidP="00CD26C5">
      <w:pPr>
        <w:numPr>
          <w:ilvl w:val="0"/>
          <w:numId w:val="76"/>
        </w:numPr>
        <w:ind w:left="0" w:firstLine="720"/>
        <w:rPr>
          <w:lang w:val="en-GB"/>
        </w:rPr>
      </w:pPr>
      <w:r w:rsidRPr="00F86E35">
        <w:rPr>
          <w:i/>
          <w:iCs/>
          <w:rtl/>
          <w:lang w:val="en-GB"/>
        </w:rPr>
        <w:t>يطلب</w:t>
      </w:r>
      <w:r w:rsidRPr="00D61AE9">
        <w:rPr>
          <w:i/>
          <w:iCs/>
          <w:rtl/>
          <w:lang w:val="en-GB"/>
        </w:rPr>
        <w:t xml:space="preserve"> </w:t>
      </w:r>
      <w:r w:rsidRPr="00D61AE9">
        <w:rPr>
          <w:rFonts w:hint="cs"/>
          <w:i/>
          <w:iCs/>
          <w:rtl/>
          <w:lang w:val="en-GB"/>
        </w:rPr>
        <w:t>أيضا</w:t>
      </w:r>
      <w:r w:rsidRPr="00174E55">
        <w:rPr>
          <w:rtl/>
          <w:lang w:val="en-GB"/>
        </w:rPr>
        <w:t xml:space="preserve"> </w:t>
      </w:r>
      <w:r>
        <w:rPr>
          <w:rFonts w:hint="cs"/>
          <w:rtl/>
          <w:lang w:val="en-GB"/>
        </w:rPr>
        <w:t xml:space="preserve">إلى </w:t>
      </w:r>
      <w:r w:rsidRPr="00174E55">
        <w:rPr>
          <w:rtl/>
          <w:lang w:val="en-GB"/>
        </w:rPr>
        <w:t>الأمين</w:t>
      </w:r>
      <w:r w:rsidRPr="00174E55">
        <w:rPr>
          <w:rFonts w:hint="cs"/>
          <w:rtl/>
          <w:lang w:val="en-GB"/>
        </w:rPr>
        <w:t>ة</w:t>
      </w:r>
      <w:r w:rsidRPr="00174E55">
        <w:rPr>
          <w:rtl/>
          <w:lang w:val="en-GB"/>
        </w:rPr>
        <w:t xml:space="preserve"> التنفيذي</w:t>
      </w:r>
      <w:r w:rsidRPr="00174E55">
        <w:rPr>
          <w:rFonts w:hint="cs"/>
          <w:rtl/>
          <w:lang w:val="en-GB"/>
        </w:rPr>
        <w:t>ة</w:t>
      </w:r>
      <w:r w:rsidRPr="00174E55">
        <w:rPr>
          <w:rtl/>
          <w:lang w:val="en-GB"/>
        </w:rPr>
        <w:t xml:space="preserve"> مواصلة ال</w:t>
      </w:r>
      <w:r w:rsidRPr="00174E55">
        <w:rPr>
          <w:rFonts w:hint="cs"/>
          <w:rtl/>
          <w:lang w:val="en-GB"/>
        </w:rPr>
        <w:t>تنسيق</w:t>
      </w:r>
      <w:r w:rsidRPr="00174E55">
        <w:rPr>
          <w:rtl/>
          <w:lang w:val="en-GB"/>
        </w:rPr>
        <w:t xml:space="preserve"> مع منظمة التجارة العالمية، </w:t>
      </w:r>
      <w:r w:rsidRPr="00174E55">
        <w:rPr>
          <w:rFonts w:hint="cs"/>
          <w:rtl/>
          <w:lang w:val="en-GB"/>
        </w:rPr>
        <w:t>والاضطلاع بالتعاون</w:t>
      </w:r>
      <w:r w:rsidRPr="00174E55">
        <w:rPr>
          <w:rtl/>
          <w:lang w:val="en-GB"/>
        </w:rPr>
        <w:t xml:space="preserve"> </w:t>
      </w:r>
      <w:r w:rsidRPr="00174E55">
        <w:rPr>
          <w:rFonts w:hint="cs"/>
          <w:rtl/>
          <w:lang w:val="en-GB"/>
        </w:rPr>
        <w:t>ال</w:t>
      </w:r>
      <w:r w:rsidRPr="00174E55">
        <w:rPr>
          <w:rtl/>
          <w:lang w:val="en-GB"/>
        </w:rPr>
        <w:t>تقني بشأن القضايا ذات الاهتمام المشترك، ومتابعة الطلبات ال</w:t>
      </w:r>
      <w:r w:rsidRPr="00174E55">
        <w:rPr>
          <w:rFonts w:hint="cs"/>
          <w:rtl/>
          <w:lang w:val="en-GB"/>
        </w:rPr>
        <w:t>تي لم يُبتّ فيها بعدُ</w:t>
      </w:r>
      <w:r w:rsidRPr="00174E55">
        <w:rPr>
          <w:rtl/>
          <w:lang w:val="en-GB"/>
        </w:rPr>
        <w:t xml:space="preserve"> للحصول على </w:t>
      </w:r>
      <w:r w:rsidRPr="00174E55">
        <w:rPr>
          <w:rFonts w:hint="cs"/>
          <w:rtl/>
          <w:lang w:val="en-GB"/>
        </w:rPr>
        <w:t>صفة</w:t>
      </w:r>
      <w:r w:rsidRPr="00174E55">
        <w:rPr>
          <w:rtl/>
          <w:lang w:val="en-GB"/>
        </w:rPr>
        <w:t xml:space="preserve"> </w:t>
      </w:r>
      <w:r w:rsidRPr="00174E55">
        <w:rPr>
          <w:rFonts w:hint="cs"/>
          <w:rtl/>
          <w:lang w:val="en-GB"/>
        </w:rPr>
        <w:t>ال</w:t>
      </w:r>
      <w:r w:rsidRPr="00174E55">
        <w:rPr>
          <w:rtl/>
          <w:lang w:val="en-GB"/>
        </w:rPr>
        <w:t>مراقب في اللجان ذات الصلة التابعة لمنظمة التجارة العالمية</w:t>
      </w:r>
      <w:r>
        <w:rPr>
          <w:rFonts w:hint="cs"/>
          <w:rtl/>
          <w:lang w:val="en-GB"/>
        </w:rPr>
        <w:t xml:space="preserve">، </w:t>
      </w:r>
      <w:r w:rsidRPr="00F86E35">
        <w:rPr>
          <w:rFonts w:hint="cs"/>
          <w:rtl/>
          <w:lang w:val="en-GB"/>
        </w:rPr>
        <w:t>وإعداد تقرير لإبلاغ الأطراف عن أية نتائج لهذا العمل لتنظر فيها الهيئة الفرعية للتنفيذ في اجتماعها الثالث</w:t>
      </w:r>
      <w:r w:rsidRPr="00174E55">
        <w:rPr>
          <w:rtl/>
          <w:lang w:val="en-GB"/>
        </w:rPr>
        <w:t>؛</w:t>
      </w:r>
    </w:p>
    <w:p w:rsidR="00E02C84" w:rsidRDefault="00E02C84" w:rsidP="00CD26C5">
      <w:pPr>
        <w:numPr>
          <w:ilvl w:val="0"/>
          <w:numId w:val="76"/>
        </w:numPr>
        <w:ind w:left="0" w:firstLine="720"/>
        <w:rPr>
          <w:lang w:val="en-GB"/>
        </w:rPr>
      </w:pPr>
      <w:r w:rsidRPr="00F86E35">
        <w:rPr>
          <w:i/>
          <w:iCs/>
          <w:rtl/>
          <w:lang w:val="en-GB"/>
        </w:rPr>
        <w:t>يطلب</w:t>
      </w:r>
      <w:r w:rsidRPr="00B8146D">
        <w:rPr>
          <w:i/>
          <w:iCs/>
          <w:rtl/>
          <w:lang w:val="en-GB"/>
        </w:rPr>
        <w:t xml:space="preserve"> </w:t>
      </w:r>
      <w:r w:rsidRPr="00B8146D">
        <w:rPr>
          <w:rFonts w:hint="cs"/>
          <w:i/>
          <w:iCs/>
          <w:rtl/>
          <w:lang w:val="en-GB"/>
        </w:rPr>
        <w:t>كذلك</w:t>
      </w:r>
      <w:r w:rsidRPr="00F86E35">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 أن تواصل</w:t>
      </w:r>
      <w:r w:rsidRPr="00174E55">
        <w:rPr>
          <w:rtl/>
          <w:lang w:val="en-GB"/>
        </w:rPr>
        <w:t>، رهنا</w:t>
      </w:r>
      <w:r w:rsidRPr="00174E55">
        <w:rPr>
          <w:rFonts w:hint="cs"/>
          <w:rtl/>
          <w:lang w:val="en-GB"/>
        </w:rPr>
        <w:t>ً</w:t>
      </w:r>
      <w:r w:rsidRPr="00174E55">
        <w:rPr>
          <w:rtl/>
          <w:lang w:val="en-GB"/>
        </w:rPr>
        <w:t xml:space="preserve"> بتوافر الموارد، تعزيز تعاون الأمانة مع المنظمة الدولية للأخشاب ال</w:t>
      </w:r>
      <w:r w:rsidRPr="00174E55">
        <w:rPr>
          <w:rFonts w:hint="cs"/>
          <w:rtl/>
          <w:lang w:val="en-GB"/>
        </w:rPr>
        <w:t>استوائية</w:t>
      </w:r>
      <w:r w:rsidRPr="00174E55">
        <w:rPr>
          <w:rtl/>
          <w:lang w:val="en-GB"/>
        </w:rPr>
        <w:t xml:space="preserve"> في إطار المبادرة التعاونية للتنوع البيولوجي للغابات ال</w:t>
      </w:r>
      <w:r w:rsidRPr="00174E55">
        <w:rPr>
          <w:rFonts w:hint="cs"/>
          <w:rtl/>
          <w:lang w:val="en-GB"/>
        </w:rPr>
        <w:t>استوائية</w:t>
      </w:r>
      <w:r w:rsidRPr="00174E55">
        <w:rPr>
          <w:rtl/>
          <w:lang w:val="en-GB"/>
        </w:rPr>
        <w:t xml:space="preserve">، التي </w:t>
      </w:r>
      <w:r>
        <w:rPr>
          <w:rFonts w:hint="cs"/>
          <w:rtl/>
          <w:lang w:val="en-GB"/>
        </w:rPr>
        <w:t>تشمل تعزيز حفظ التنوع البيولوجي في الغابات المنتجة، وتحسين حفظ وإدارة المناطق المحمية، والإدارة المستدامة ل</w:t>
      </w:r>
      <w:r w:rsidRPr="00174E55">
        <w:rPr>
          <w:rtl/>
          <w:lang w:val="en-GB"/>
        </w:rPr>
        <w:t xml:space="preserve">لغابات الاستوائية </w:t>
      </w:r>
      <w:r w:rsidRPr="00174E55">
        <w:rPr>
          <w:rFonts w:hint="cs"/>
          <w:rtl/>
          <w:lang w:val="en-GB"/>
        </w:rPr>
        <w:t>بوسائل منها</w:t>
      </w:r>
      <w:r w:rsidRPr="00174E55">
        <w:rPr>
          <w:rtl/>
          <w:lang w:val="en-GB"/>
        </w:rPr>
        <w:t xml:space="preserve"> وضع استراتيجية اتصال بشأن النتائج </w:t>
      </w:r>
      <w:r w:rsidRPr="00174E55">
        <w:rPr>
          <w:rFonts w:hint="cs"/>
          <w:rtl/>
          <w:lang w:val="en-GB"/>
        </w:rPr>
        <w:t>المستخلصة من</w:t>
      </w:r>
      <w:r w:rsidRPr="00174E55">
        <w:rPr>
          <w:rtl/>
          <w:lang w:val="en-GB"/>
        </w:rPr>
        <w:t xml:space="preserve"> المبادرة </w:t>
      </w:r>
      <w:r w:rsidRPr="00174E55">
        <w:rPr>
          <w:rFonts w:hint="cs"/>
          <w:rtl/>
          <w:lang w:val="en-GB"/>
        </w:rPr>
        <w:t>والكيفية التي تدعم بها تحقيق</w:t>
      </w:r>
      <w:r w:rsidRPr="00174E55">
        <w:rPr>
          <w:rtl/>
          <w:lang w:val="en-GB"/>
        </w:rPr>
        <w:t xml:space="preserve"> الخطة الاستراتيجية للتنوع البيولوجي 2011-2020، و</w:t>
      </w:r>
      <w:r w:rsidRPr="00174E55">
        <w:rPr>
          <w:rFonts w:hint="cs"/>
          <w:rtl/>
          <w:lang w:val="en-GB"/>
        </w:rPr>
        <w:t>أن تقدم</w:t>
      </w:r>
      <w:r w:rsidRPr="00174E55">
        <w:rPr>
          <w:rtl/>
          <w:lang w:val="en-GB"/>
        </w:rPr>
        <w:t xml:space="preserve"> تقرير</w:t>
      </w:r>
      <w:r w:rsidRPr="00174E55">
        <w:rPr>
          <w:rFonts w:hint="cs"/>
          <w:rtl/>
          <w:lang w:val="en-GB"/>
        </w:rPr>
        <w:t>اً</w:t>
      </w:r>
      <w:r w:rsidRPr="00174E55">
        <w:rPr>
          <w:rtl/>
          <w:lang w:val="en-GB"/>
        </w:rPr>
        <w:t xml:space="preserve"> إلى الهيئة الفرعية للتنفيذ في اجتماعها الثالث؛</w:t>
      </w:r>
    </w:p>
    <w:p w:rsidR="00E02C84" w:rsidRDefault="00E02C84" w:rsidP="00CD26C5">
      <w:pPr>
        <w:numPr>
          <w:ilvl w:val="0"/>
          <w:numId w:val="76"/>
        </w:numPr>
        <w:ind w:left="0" w:firstLine="720"/>
        <w:rPr>
          <w:lang w:val="en-GB"/>
        </w:rPr>
      </w:pPr>
      <w:r w:rsidRPr="00F86E35">
        <w:rPr>
          <w:i/>
          <w:iCs/>
          <w:rtl/>
          <w:lang w:val="en-GB"/>
        </w:rPr>
        <w:t>يطلب</w:t>
      </w:r>
      <w:r w:rsidRPr="00E924AB">
        <w:rPr>
          <w:rtl/>
          <w:lang w:val="en-GB"/>
        </w:rPr>
        <w:t xml:space="preserve"> إلى الأمين</w:t>
      </w:r>
      <w:r>
        <w:rPr>
          <w:rFonts w:hint="cs"/>
          <w:rtl/>
          <w:lang w:val="en-GB"/>
        </w:rPr>
        <w:t>ة</w:t>
      </w:r>
      <w:r w:rsidRPr="00E924AB">
        <w:rPr>
          <w:rtl/>
          <w:lang w:val="en-GB"/>
        </w:rPr>
        <w:t xml:space="preserve"> التنفيذي</w:t>
      </w:r>
      <w:r>
        <w:rPr>
          <w:rFonts w:hint="cs"/>
          <w:rtl/>
          <w:lang w:val="en-GB"/>
        </w:rPr>
        <w:t>ة</w:t>
      </w:r>
      <w:r w:rsidRPr="00E924AB">
        <w:rPr>
          <w:rtl/>
          <w:lang w:val="en-GB"/>
        </w:rPr>
        <w:t xml:space="preserve"> أن </w:t>
      </w:r>
      <w:r>
        <w:rPr>
          <w:rFonts w:hint="cs"/>
          <w:rtl/>
          <w:lang w:val="en-GB"/>
        </w:rPr>
        <w:t>ت</w:t>
      </w:r>
      <w:r w:rsidRPr="00E924AB">
        <w:rPr>
          <w:rtl/>
          <w:lang w:val="en-GB"/>
        </w:rPr>
        <w:t xml:space="preserve">عزز أوجه التآزر وأن </w:t>
      </w:r>
      <w:r>
        <w:rPr>
          <w:rFonts w:hint="cs"/>
          <w:rtl/>
          <w:lang w:val="en-GB"/>
        </w:rPr>
        <w:t>ت</w:t>
      </w:r>
      <w:r w:rsidRPr="00E924AB">
        <w:rPr>
          <w:rtl/>
          <w:lang w:val="en-GB"/>
        </w:rPr>
        <w:t xml:space="preserve">عزز التعاون مع جميع المنظمات والاتفاقيات الدولية والإقليمية ذات الصلة العاملة في مجال </w:t>
      </w:r>
      <w:r>
        <w:rPr>
          <w:rFonts w:hint="cs"/>
          <w:rtl/>
          <w:lang w:val="en-GB"/>
        </w:rPr>
        <w:t>القمامة</w:t>
      </w:r>
      <w:r>
        <w:rPr>
          <w:rtl/>
          <w:lang w:val="en-GB"/>
        </w:rPr>
        <w:t xml:space="preserve"> البحرية والجزيئات البلاستيكية</w:t>
      </w:r>
      <w:r>
        <w:rPr>
          <w:rFonts w:hint="cs"/>
          <w:rtl/>
          <w:lang w:val="en-GB"/>
        </w:rPr>
        <w:t xml:space="preserve"> ومع العمل الذي يضطلع به برنامج الأمم المتحدة للبيئة في هذا المجال، ومن أجل تحسين استراتيجيا</w:t>
      </w:r>
      <w:r>
        <w:rPr>
          <w:rtl/>
          <w:lang w:val="en-GB"/>
        </w:rPr>
        <w:t>ت</w:t>
      </w:r>
      <w:r>
        <w:rPr>
          <w:rFonts w:hint="cs"/>
          <w:rtl/>
          <w:lang w:val="en-GB"/>
        </w:rPr>
        <w:t xml:space="preserve"> ونُهج الحوكمة للتصدي للقمامة</w:t>
      </w:r>
      <w:r>
        <w:rPr>
          <w:rtl/>
          <w:lang w:val="en-GB"/>
        </w:rPr>
        <w:t xml:space="preserve"> البحرية والجزيئات البلاستيكية</w:t>
      </w:r>
      <w:r>
        <w:rPr>
          <w:rFonts w:hint="cs"/>
          <w:rtl/>
          <w:lang w:val="en-GB"/>
        </w:rPr>
        <w:t xml:space="preserve">، </w:t>
      </w:r>
      <w:r>
        <w:rPr>
          <w:rFonts w:hint="cs"/>
          <w:i/>
          <w:iCs/>
          <w:rtl/>
          <w:lang w:val="en-GB"/>
        </w:rPr>
        <w:t>و</w:t>
      </w:r>
      <w:r w:rsidRPr="00F220F0">
        <w:rPr>
          <w:rFonts w:hint="cs"/>
          <w:i/>
          <w:iCs/>
          <w:rtl/>
          <w:lang w:val="en-GB"/>
        </w:rPr>
        <w:t>يطلب أيضا</w:t>
      </w:r>
      <w:r w:rsidRPr="00E924AB">
        <w:rPr>
          <w:rtl/>
          <w:lang w:val="en-GB"/>
        </w:rPr>
        <w:t xml:space="preserve"> </w:t>
      </w:r>
      <w:r>
        <w:rPr>
          <w:rFonts w:hint="cs"/>
          <w:rtl/>
          <w:lang w:val="en-GB"/>
        </w:rPr>
        <w:t>إلى</w:t>
      </w:r>
      <w:r w:rsidRPr="00E924AB">
        <w:rPr>
          <w:rtl/>
          <w:lang w:val="en-GB"/>
        </w:rPr>
        <w:t xml:space="preserve"> الأمين</w:t>
      </w:r>
      <w:r>
        <w:rPr>
          <w:rFonts w:hint="cs"/>
          <w:rtl/>
          <w:lang w:val="en-GB"/>
        </w:rPr>
        <w:t>ة</w:t>
      </w:r>
      <w:r w:rsidRPr="00E924AB">
        <w:rPr>
          <w:rtl/>
          <w:lang w:val="en-GB"/>
        </w:rPr>
        <w:t xml:space="preserve"> التنفيذي</w:t>
      </w:r>
      <w:r>
        <w:rPr>
          <w:rFonts w:hint="cs"/>
          <w:rtl/>
          <w:lang w:val="en-GB"/>
        </w:rPr>
        <w:t>ة</w:t>
      </w:r>
      <w:r w:rsidRPr="00E924AB">
        <w:rPr>
          <w:rtl/>
          <w:lang w:val="en-GB"/>
        </w:rPr>
        <w:t xml:space="preserve"> إبلاغ برنامج الأمم المتحدة للبيئة وفريق الخبراء المفتوح العضوية </w:t>
      </w:r>
      <w:r>
        <w:rPr>
          <w:rFonts w:hint="cs"/>
          <w:rtl/>
          <w:lang w:val="en-GB"/>
        </w:rPr>
        <w:t xml:space="preserve">المخصص </w:t>
      </w:r>
      <w:r w:rsidRPr="00E924AB">
        <w:rPr>
          <w:rtl/>
          <w:lang w:val="en-GB"/>
        </w:rPr>
        <w:t xml:space="preserve">الذي أنشأته جمعية الأمم المتحدة للبيئة </w:t>
      </w:r>
      <w:r>
        <w:rPr>
          <w:rFonts w:hint="cs"/>
          <w:rtl/>
          <w:lang w:val="en-GB"/>
        </w:rPr>
        <w:t>عن عمل</w:t>
      </w:r>
      <w:r w:rsidRPr="00E924AB">
        <w:rPr>
          <w:rtl/>
          <w:lang w:val="en-GB"/>
        </w:rPr>
        <w:t xml:space="preserve"> الاتفاقية المتعلق بالقمامة البحرية و</w:t>
      </w:r>
      <w:r>
        <w:rPr>
          <w:rtl/>
          <w:lang w:val="en-GB"/>
        </w:rPr>
        <w:t>المشاركة، حسب الاقتضاء، في عمله</w:t>
      </w:r>
      <w:r w:rsidRPr="00E924AB">
        <w:rPr>
          <w:rtl/>
          <w:lang w:val="en-GB"/>
        </w:rPr>
        <w:t>؛</w:t>
      </w:r>
    </w:p>
    <w:p w:rsidR="00E02C84" w:rsidRPr="00154A21" w:rsidRDefault="00E02C84" w:rsidP="00CD26C5">
      <w:pPr>
        <w:numPr>
          <w:ilvl w:val="0"/>
          <w:numId w:val="76"/>
        </w:numPr>
        <w:ind w:left="0" w:firstLine="720"/>
        <w:rPr>
          <w:lang w:val="en-GB"/>
        </w:rPr>
      </w:pPr>
      <w:r w:rsidRPr="002607B5">
        <w:rPr>
          <w:rFonts w:hint="cs"/>
          <w:i/>
          <w:iCs/>
          <w:rtl/>
          <w:lang w:val="en-GB"/>
        </w:rPr>
        <w:t>يرحب</w:t>
      </w:r>
      <w:r w:rsidRPr="002607B5">
        <w:rPr>
          <w:rFonts w:hint="cs"/>
          <w:rtl/>
          <w:lang w:val="en-GB"/>
        </w:rPr>
        <w:t xml:space="preserve"> بالتعاون مع هيئة الأمم المتحدة للمساواة بين الجنسين وتمكين المرأة في تعزيز فهم الروابط المتبادلة بين المساواة بين الجنسين وتمكين المرأة وحقوق المرأة وحفظ التنوع البيولوجي؛</w:t>
      </w:r>
    </w:p>
    <w:p w:rsidR="00E02C84" w:rsidRPr="009A4365" w:rsidRDefault="00E02C84" w:rsidP="00CD26C5">
      <w:pPr>
        <w:numPr>
          <w:ilvl w:val="0"/>
          <w:numId w:val="76"/>
        </w:numPr>
        <w:ind w:left="0" w:firstLine="720"/>
        <w:rPr>
          <w:lang w:val="en-GB"/>
        </w:rPr>
      </w:pPr>
      <w:r w:rsidRPr="002607B5">
        <w:rPr>
          <w:rFonts w:hint="cs"/>
          <w:i/>
          <w:iCs/>
          <w:rtl/>
          <w:lang w:val="en-GB"/>
        </w:rPr>
        <w:t>يقر</w:t>
      </w:r>
      <w:r w:rsidRPr="002607B5">
        <w:rPr>
          <w:rFonts w:hint="cs"/>
          <w:rtl/>
          <w:lang w:val="en-GB"/>
        </w:rPr>
        <w:t xml:space="preserve"> بعمل المنظمات والمبادرات، مثل مؤتمر الأمم المتحدة للتجارة والتنمية، لتقديمها الدعم التقني وبناء القدرات </w:t>
      </w:r>
      <w:r>
        <w:rPr>
          <w:rFonts w:hint="cs"/>
          <w:rtl/>
          <w:lang w:val="en-GB"/>
        </w:rPr>
        <w:t xml:space="preserve">من أجل </w:t>
      </w:r>
      <w:r w:rsidRPr="002607B5">
        <w:rPr>
          <w:rFonts w:hint="cs"/>
          <w:rtl/>
          <w:lang w:val="en-GB"/>
        </w:rPr>
        <w:t xml:space="preserve">تنفيذ الاتفاقية والهدف 3 من أهداف أيشي للتنوع البيولوجي، </w:t>
      </w:r>
      <w:r w:rsidRPr="00F220F0">
        <w:rPr>
          <w:rFonts w:hint="cs"/>
          <w:i/>
          <w:iCs/>
          <w:rtl/>
          <w:lang w:val="en-GB"/>
        </w:rPr>
        <w:t>ويدعوها</w:t>
      </w:r>
      <w:r w:rsidRPr="002607B5">
        <w:rPr>
          <w:rFonts w:hint="cs"/>
          <w:rtl/>
          <w:lang w:val="en-GB"/>
        </w:rPr>
        <w:t xml:space="preserve"> إلى مواصلة وتكثيف هذا العمل.</w:t>
      </w:r>
    </w:p>
    <w:p w:rsidR="00E02C84" w:rsidRPr="00733F7E" w:rsidRDefault="00E02C84" w:rsidP="00E02C84">
      <w:pPr>
        <w:jc w:val="center"/>
        <w:rPr>
          <w:b/>
          <w:bCs/>
          <w:rtl/>
          <w:lang w:val="en-GB"/>
        </w:rPr>
      </w:pPr>
      <w:r w:rsidRPr="00733F7E">
        <w:rPr>
          <w:rFonts w:hint="cs"/>
          <w:b/>
          <w:bCs/>
          <w:rtl/>
          <w:lang w:val="en-GB"/>
        </w:rPr>
        <w:t>جيم</w:t>
      </w:r>
      <w:r>
        <w:rPr>
          <w:rFonts w:hint="cs"/>
          <w:b/>
          <w:bCs/>
          <w:rtl/>
          <w:lang w:val="en-GB"/>
        </w:rPr>
        <w:t xml:space="preserve"> -</w:t>
      </w:r>
      <w:r w:rsidRPr="00733F7E">
        <w:rPr>
          <w:rFonts w:hint="cs"/>
          <w:b/>
          <w:bCs/>
          <w:rtl/>
          <w:lang w:val="en-GB"/>
        </w:rPr>
        <w:tab/>
      </w:r>
      <w:r w:rsidRPr="00733F7E">
        <w:rPr>
          <w:b/>
          <w:bCs/>
          <w:rtl/>
          <w:lang w:val="en-GB"/>
        </w:rPr>
        <w:t xml:space="preserve">التعاون </w:t>
      </w:r>
      <w:r w:rsidRPr="00733F7E">
        <w:rPr>
          <w:rFonts w:hint="cs"/>
          <w:b/>
          <w:bCs/>
          <w:rtl/>
          <w:lang w:val="en-GB"/>
        </w:rPr>
        <w:t>مع</w:t>
      </w:r>
      <w:r w:rsidRPr="00733F7E">
        <w:rPr>
          <w:b/>
          <w:bCs/>
          <w:rtl/>
          <w:lang w:val="en-GB"/>
        </w:rPr>
        <w:t xml:space="preserve"> الشبكات المشتركة بين الوكالات و</w:t>
      </w:r>
      <w:r w:rsidRPr="00733F7E">
        <w:rPr>
          <w:rFonts w:hint="cs"/>
          <w:b/>
          <w:bCs/>
          <w:rtl/>
          <w:lang w:val="en-GB"/>
        </w:rPr>
        <w:t xml:space="preserve">شبكات </w:t>
      </w:r>
      <w:r w:rsidRPr="00733F7E">
        <w:rPr>
          <w:b/>
          <w:bCs/>
          <w:rtl/>
          <w:lang w:val="en-GB"/>
        </w:rPr>
        <w:t>التنسيق</w:t>
      </w:r>
    </w:p>
    <w:p w:rsidR="00E02C84" w:rsidRPr="00DB52F4" w:rsidRDefault="00E02C84" w:rsidP="00CD26C5">
      <w:pPr>
        <w:numPr>
          <w:ilvl w:val="0"/>
          <w:numId w:val="76"/>
        </w:numPr>
        <w:ind w:left="0" w:firstLine="720"/>
        <w:rPr>
          <w:lang w:val="en-GB"/>
        </w:rPr>
      </w:pPr>
      <w:r w:rsidRPr="00DB52F4">
        <w:rPr>
          <w:rFonts w:hint="cs"/>
          <w:i/>
          <w:iCs/>
          <w:rtl/>
          <w:lang w:val="en-GB"/>
        </w:rPr>
        <w:t>ي</w:t>
      </w:r>
      <w:r w:rsidRPr="00DB52F4">
        <w:rPr>
          <w:i/>
          <w:iCs/>
          <w:rtl/>
          <w:lang w:val="en-GB"/>
        </w:rPr>
        <w:t xml:space="preserve">لاحظ مع التقدير </w:t>
      </w:r>
      <w:r w:rsidRPr="00DB52F4">
        <w:rPr>
          <w:rtl/>
          <w:lang w:val="en-GB"/>
        </w:rPr>
        <w:t>الجهود</w:t>
      </w:r>
      <w:r>
        <w:rPr>
          <w:rtl/>
          <w:lang w:val="en-GB"/>
        </w:rPr>
        <w:t xml:space="preserve"> التي تبذلها الشراكة العالمية ل</w:t>
      </w:r>
      <w:r>
        <w:rPr>
          <w:rFonts w:hint="cs"/>
          <w:rtl/>
          <w:lang w:val="en-GB"/>
        </w:rPr>
        <w:t>حفظ</w:t>
      </w:r>
      <w:r w:rsidRPr="00DB52F4">
        <w:rPr>
          <w:rtl/>
          <w:lang w:val="en-GB"/>
        </w:rPr>
        <w:t xml:space="preserve"> </w:t>
      </w:r>
      <w:r>
        <w:rPr>
          <w:rtl/>
          <w:lang w:val="en-GB"/>
        </w:rPr>
        <w:t>النبات</w:t>
      </w:r>
      <w:r w:rsidRPr="00DB52F4">
        <w:rPr>
          <w:rtl/>
          <w:lang w:val="en-GB"/>
        </w:rPr>
        <w:t xml:space="preserve"> في تنفيذ الاستراتيجية العالمية لحفظ النباتات وفي استعراض التقدم الذي أحرزته ومساهماتها في الخطة الاستراتيجية للتنوع البيولوجي 2011-2020 و</w:t>
      </w:r>
      <w:r>
        <w:rPr>
          <w:rFonts w:hint="cs"/>
          <w:rtl/>
          <w:lang w:val="en-GB"/>
        </w:rPr>
        <w:t>الإصدار</w:t>
      </w:r>
      <w:r w:rsidRPr="00DB52F4">
        <w:rPr>
          <w:rtl/>
          <w:lang w:val="en-GB"/>
        </w:rPr>
        <w:t xml:space="preserve"> </w:t>
      </w:r>
      <w:r w:rsidRPr="00DB52F4">
        <w:rPr>
          <w:rtl/>
          <w:lang w:val="en-GB"/>
        </w:rPr>
        <w:lastRenderedPageBreak/>
        <w:t xml:space="preserve">الخامس من </w:t>
      </w:r>
      <w:r w:rsidRPr="00DB52F4">
        <w:rPr>
          <w:i/>
          <w:iCs/>
          <w:rtl/>
          <w:lang w:val="en-GB"/>
        </w:rPr>
        <w:t>التوقعات العالمية للتنوع البيولوجي</w:t>
      </w:r>
      <w:r w:rsidRPr="00DB52F4">
        <w:rPr>
          <w:rtl/>
          <w:lang w:val="en-GB"/>
        </w:rPr>
        <w:t xml:space="preserve">، </w:t>
      </w:r>
      <w:r w:rsidRPr="00DB52F4">
        <w:rPr>
          <w:i/>
          <w:iCs/>
          <w:rtl/>
          <w:lang w:val="en-GB"/>
        </w:rPr>
        <w:t>ويطلب</w:t>
      </w:r>
      <w:r w:rsidRPr="00DB52F4">
        <w:rPr>
          <w:rtl/>
          <w:lang w:val="en-GB"/>
        </w:rPr>
        <w:t xml:space="preserve"> </w:t>
      </w:r>
      <w:r>
        <w:rPr>
          <w:rFonts w:hint="cs"/>
          <w:rtl/>
          <w:lang w:val="en-GB"/>
        </w:rPr>
        <w:t>إلى</w:t>
      </w:r>
      <w:r w:rsidRPr="00DB52F4">
        <w:rPr>
          <w:rtl/>
          <w:lang w:val="en-GB"/>
        </w:rPr>
        <w:t xml:space="preserve"> الأمين</w:t>
      </w:r>
      <w:r>
        <w:rPr>
          <w:rFonts w:hint="cs"/>
          <w:rtl/>
          <w:lang w:val="en-GB"/>
        </w:rPr>
        <w:t>ة</w:t>
      </w:r>
      <w:r w:rsidRPr="00DB52F4">
        <w:rPr>
          <w:rtl/>
          <w:lang w:val="en-GB"/>
        </w:rPr>
        <w:t xml:space="preserve"> التنفيذي</w:t>
      </w:r>
      <w:r>
        <w:rPr>
          <w:rFonts w:hint="cs"/>
          <w:rtl/>
          <w:lang w:val="en-GB"/>
        </w:rPr>
        <w:t>ة</w:t>
      </w:r>
      <w:r w:rsidRPr="00DB52F4">
        <w:rPr>
          <w:rtl/>
          <w:lang w:val="en-GB"/>
        </w:rPr>
        <w:t xml:space="preserve"> أن </w:t>
      </w:r>
      <w:r>
        <w:rPr>
          <w:rFonts w:hint="cs"/>
          <w:rtl/>
          <w:lang w:val="en-GB"/>
        </w:rPr>
        <w:t>تعمل</w:t>
      </w:r>
      <w:r w:rsidRPr="00DB52F4">
        <w:rPr>
          <w:rtl/>
          <w:lang w:val="en-GB"/>
        </w:rPr>
        <w:t xml:space="preserve"> مع الشراكة العالمية </w:t>
      </w:r>
      <w:r>
        <w:rPr>
          <w:rFonts w:hint="cs"/>
          <w:rtl/>
          <w:lang w:val="en-GB"/>
        </w:rPr>
        <w:t>لحفظ النبات على كيفية مساهمة الاستراتيجية العالمية لحفظ النباتات في</w:t>
      </w:r>
      <w:r w:rsidRPr="00DB52F4">
        <w:rPr>
          <w:rtl/>
          <w:lang w:val="en-GB"/>
        </w:rPr>
        <w:t xml:space="preserve"> </w:t>
      </w:r>
      <w:r>
        <w:rPr>
          <w:rFonts w:hint="cs"/>
          <w:rtl/>
          <w:lang w:val="en-GB"/>
        </w:rPr>
        <w:t>ال</w:t>
      </w:r>
      <w:r w:rsidRPr="00DB52F4">
        <w:rPr>
          <w:rtl/>
          <w:lang w:val="en-GB"/>
        </w:rPr>
        <w:t xml:space="preserve">إطار العالمي </w:t>
      </w:r>
      <w:r>
        <w:rPr>
          <w:rFonts w:hint="cs"/>
          <w:rtl/>
          <w:lang w:val="en-GB"/>
        </w:rPr>
        <w:t>ل</w:t>
      </w:r>
      <w:r w:rsidRPr="00DB52F4">
        <w:rPr>
          <w:rtl/>
          <w:lang w:val="en-GB"/>
        </w:rPr>
        <w:t>لتنوع البيولوجي لما بعد عام 2020؛</w:t>
      </w:r>
    </w:p>
    <w:p w:rsidR="00E02C84" w:rsidRPr="002145C8" w:rsidRDefault="00E02C84" w:rsidP="00CD26C5">
      <w:pPr>
        <w:numPr>
          <w:ilvl w:val="0"/>
          <w:numId w:val="76"/>
        </w:numPr>
        <w:ind w:left="0" w:firstLine="720"/>
        <w:rPr>
          <w:lang w:val="en-GB"/>
        </w:rPr>
      </w:pPr>
      <w:r w:rsidRPr="002607B5">
        <w:rPr>
          <w:rFonts w:hint="cs"/>
          <w:i/>
          <w:iCs/>
          <w:rtl/>
          <w:lang w:val="en-GB"/>
        </w:rPr>
        <w:t>ي</w:t>
      </w:r>
      <w:r w:rsidRPr="002607B5">
        <w:rPr>
          <w:i/>
          <w:iCs/>
          <w:rtl/>
          <w:lang w:val="en-GB"/>
        </w:rPr>
        <w:t>رحب</w:t>
      </w:r>
      <w:r w:rsidRPr="002145C8">
        <w:rPr>
          <w:rtl/>
          <w:lang w:val="en-GB"/>
        </w:rPr>
        <w:t xml:space="preserve"> باعتماد خطة الأمم المتحدة الاستراتيجية للغابات</w:t>
      </w:r>
      <w:r>
        <w:rPr>
          <w:rFonts w:hint="cs"/>
          <w:rtl/>
          <w:lang w:val="en-GB"/>
        </w:rPr>
        <w:t xml:space="preserve"> للفترة</w:t>
      </w:r>
      <w:r w:rsidRPr="002145C8">
        <w:rPr>
          <w:rtl/>
          <w:lang w:val="en-GB"/>
        </w:rPr>
        <w:t xml:space="preserve"> 2017-2030 والغايات والأهداف العالمية للغابات، التي تعمل كمرجع </w:t>
      </w:r>
      <w:r>
        <w:rPr>
          <w:rFonts w:hint="cs"/>
          <w:rtl/>
          <w:lang w:val="en-GB"/>
        </w:rPr>
        <w:t>لعمل</w:t>
      </w:r>
      <w:r w:rsidRPr="002145C8">
        <w:rPr>
          <w:rtl/>
          <w:lang w:val="en-GB"/>
        </w:rPr>
        <w:t xml:space="preserve"> منظومة الأمم المتحدة </w:t>
      </w:r>
      <w:r>
        <w:rPr>
          <w:rFonts w:hint="cs"/>
          <w:rtl/>
          <w:lang w:val="en-GB"/>
        </w:rPr>
        <w:t>المتعلق</w:t>
      </w:r>
      <w:r w:rsidRPr="002145C8">
        <w:rPr>
          <w:rtl/>
          <w:lang w:val="en-GB"/>
        </w:rPr>
        <w:t xml:space="preserve"> بالغابات ولتعزيز الترابط والتعاون والتآزر المعزز بين هيئات الأمم المتحدة؛</w:t>
      </w:r>
    </w:p>
    <w:p w:rsidR="00E02C84" w:rsidRDefault="00E02C84" w:rsidP="00CD26C5">
      <w:pPr>
        <w:numPr>
          <w:ilvl w:val="0"/>
          <w:numId w:val="76"/>
        </w:numPr>
        <w:ind w:left="0" w:firstLine="720"/>
        <w:rPr>
          <w:lang w:val="en-GB"/>
        </w:rPr>
      </w:pPr>
      <w:r w:rsidRPr="002607B5">
        <w:rPr>
          <w:rFonts w:hint="cs"/>
          <w:i/>
          <w:iCs/>
          <w:rtl/>
          <w:lang w:val="en-GB"/>
        </w:rPr>
        <w:t>يلاحظ</w:t>
      </w:r>
      <w:r w:rsidRPr="00E628FA">
        <w:rPr>
          <w:rFonts w:hint="cs"/>
          <w:i/>
          <w:iCs/>
          <w:rtl/>
          <w:lang w:val="en-GB"/>
        </w:rPr>
        <w:t xml:space="preserve"> مع التقدير</w:t>
      </w:r>
      <w:r w:rsidRPr="00E628FA">
        <w:rPr>
          <w:i/>
          <w:iCs/>
          <w:rtl/>
          <w:lang w:val="en-GB"/>
        </w:rPr>
        <w:t xml:space="preserve"> </w:t>
      </w:r>
      <w:r w:rsidRPr="00174E55">
        <w:rPr>
          <w:rtl/>
          <w:lang w:val="en-GB"/>
        </w:rPr>
        <w:t>التحليل المتعلق بالت</w:t>
      </w:r>
      <w:r w:rsidRPr="00174E55">
        <w:rPr>
          <w:rFonts w:hint="cs"/>
          <w:rtl/>
          <w:lang w:val="en-GB"/>
        </w:rPr>
        <w:t xml:space="preserve">وافق </w:t>
      </w:r>
      <w:r w:rsidRPr="00174E55">
        <w:rPr>
          <w:rtl/>
          <w:lang w:val="en-GB"/>
        </w:rPr>
        <w:t xml:space="preserve">بين أهداف </w:t>
      </w:r>
      <w:r>
        <w:rPr>
          <w:rtl/>
          <w:lang w:val="en-GB"/>
        </w:rPr>
        <w:t>أيشي</w:t>
      </w:r>
      <w:r w:rsidRPr="00174E55">
        <w:rPr>
          <w:rtl/>
          <w:lang w:val="en-GB"/>
        </w:rPr>
        <w:t xml:space="preserve"> للتنوع البيولوجي </w:t>
      </w:r>
      <w:r w:rsidRPr="00174E55">
        <w:rPr>
          <w:rFonts w:hint="cs"/>
          <w:rtl/>
          <w:lang w:val="en-GB"/>
        </w:rPr>
        <w:t>ذات الصلة</w:t>
      </w:r>
      <w:r w:rsidRPr="00174E55">
        <w:rPr>
          <w:rtl/>
          <w:lang w:val="en-GB"/>
        </w:rPr>
        <w:t xml:space="preserve"> بالغابات وغيرها من الالتزامات </w:t>
      </w:r>
      <w:r w:rsidRPr="00174E55">
        <w:rPr>
          <w:rFonts w:hint="cs"/>
          <w:rtl/>
          <w:lang w:val="en-GB"/>
        </w:rPr>
        <w:t>ال</w:t>
      </w:r>
      <w:r w:rsidRPr="00174E55">
        <w:rPr>
          <w:rtl/>
          <w:lang w:val="en-GB"/>
        </w:rPr>
        <w:t>متعددة الأطراف ذات الصلة بالغابات</w:t>
      </w:r>
      <w:r w:rsidRPr="00174E55">
        <w:rPr>
          <w:rFonts w:hint="cs"/>
          <w:rtl/>
          <w:lang w:val="en-GB"/>
        </w:rPr>
        <w:t>، والخيارات</w:t>
      </w:r>
      <w:r w:rsidRPr="00174E55">
        <w:rPr>
          <w:rtl/>
          <w:lang w:val="en-GB"/>
        </w:rPr>
        <w:t xml:space="preserve"> </w:t>
      </w:r>
      <w:r w:rsidRPr="00174E55">
        <w:rPr>
          <w:rFonts w:hint="cs"/>
          <w:rtl/>
          <w:lang w:val="en-GB"/>
        </w:rPr>
        <w:t xml:space="preserve">المتاحة </w:t>
      </w:r>
      <w:r w:rsidRPr="00174E55">
        <w:rPr>
          <w:rtl/>
          <w:lang w:val="en-GB"/>
        </w:rPr>
        <w:t xml:space="preserve">من أجل اتخاذ </w:t>
      </w:r>
      <w:r w:rsidRPr="00174E55">
        <w:rPr>
          <w:rFonts w:hint="cs"/>
          <w:rtl/>
          <w:lang w:val="en-GB"/>
        </w:rPr>
        <w:t>ال</w:t>
      </w:r>
      <w:r w:rsidRPr="00174E55">
        <w:rPr>
          <w:rtl/>
          <w:lang w:val="en-GB"/>
        </w:rPr>
        <w:t xml:space="preserve">مزيد من الإجراءات </w:t>
      </w:r>
      <w:r w:rsidRPr="00174E55">
        <w:rPr>
          <w:rFonts w:hint="cs"/>
          <w:rtl/>
          <w:lang w:val="en-GB"/>
        </w:rPr>
        <w:t>ل</w:t>
      </w:r>
      <w:r w:rsidRPr="00174E55">
        <w:rPr>
          <w:rtl/>
          <w:lang w:val="en-GB"/>
        </w:rPr>
        <w:t xml:space="preserve">تحقيق أهداف </w:t>
      </w:r>
      <w:r>
        <w:rPr>
          <w:rtl/>
          <w:lang w:val="en-GB"/>
        </w:rPr>
        <w:t>أيشي</w:t>
      </w:r>
      <w:r w:rsidRPr="00174E55">
        <w:rPr>
          <w:rtl/>
          <w:lang w:val="en-GB"/>
        </w:rPr>
        <w:t xml:space="preserve"> للتنوع البيولوجي ذات الصلة بالغابات، بطريقة </w:t>
      </w:r>
      <w:r w:rsidRPr="00174E55">
        <w:rPr>
          <w:rFonts w:hint="cs"/>
          <w:rtl/>
          <w:lang w:val="en-GB"/>
        </w:rPr>
        <w:t>متعاضدة</w:t>
      </w:r>
      <w:r w:rsidRPr="00174E55">
        <w:rPr>
          <w:rtl/>
          <w:lang w:val="en-GB"/>
        </w:rPr>
        <w:t xml:space="preserve">، </w:t>
      </w:r>
      <w:r w:rsidRPr="00174E55">
        <w:rPr>
          <w:rFonts w:hint="cs"/>
          <w:rtl/>
          <w:lang w:val="en-GB"/>
        </w:rPr>
        <w:t xml:space="preserve">وفيما يتعلق أساساً </w:t>
      </w:r>
      <w:r>
        <w:rPr>
          <w:rFonts w:hint="cs"/>
          <w:rtl/>
          <w:lang w:val="en-GB"/>
        </w:rPr>
        <w:t>بما يلي</w:t>
      </w:r>
      <w:r w:rsidRPr="00174E55">
        <w:rPr>
          <w:rtl/>
          <w:lang w:val="en-GB"/>
        </w:rPr>
        <w:t xml:space="preserve"> (أ)</w:t>
      </w:r>
      <w:r>
        <w:rPr>
          <w:rtl/>
          <w:lang w:val="en-GB"/>
        </w:rPr>
        <w:t xml:space="preserve"> الحد من إزالة الغابات وتدهورها</w:t>
      </w:r>
      <w:r>
        <w:rPr>
          <w:rFonts w:hint="cs"/>
          <w:rtl/>
          <w:lang w:val="en-GB"/>
        </w:rPr>
        <w:t xml:space="preserve">، </w:t>
      </w:r>
      <w:r w:rsidRPr="00174E55">
        <w:rPr>
          <w:rtl/>
          <w:lang w:val="en-GB"/>
        </w:rPr>
        <w:t>(ب) است</w:t>
      </w:r>
      <w:r w:rsidRPr="00174E55">
        <w:rPr>
          <w:rFonts w:hint="cs"/>
          <w:rtl/>
          <w:lang w:val="en-GB"/>
        </w:rPr>
        <w:t>صلاح</w:t>
      </w:r>
      <w:r w:rsidRPr="00174E55">
        <w:rPr>
          <w:rtl/>
          <w:lang w:val="en-GB"/>
        </w:rPr>
        <w:t xml:space="preserve"> الغابات</w:t>
      </w:r>
      <w:r>
        <w:rPr>
          <w:rFonts w:hint="cs"/>
          <w:rtl/>
          <w:lang w:val="en-GB"/>
        </w:rPr>
        <w:t xml:space="preserve">، و(ج) </w:t>
      </w:r>
      <w:r w:rsidRPr="002607B5">
        <w:rPr>
          <w:rFonts w:hint="cs"/>
          <w:rtl/>
          <w:lang w:val="en-GB"/>
        </w:rPr>
        <w:t>الضرورة الملحة لتفادي التجزؤ والضرر وفقدان الغابات ال</w:t>
      </w:r>
      <w:r>
        <w:rPr>
          <w:rFonts w:hint="cs"/>
          <w:rtl/>
          <w:lang w:val="en-GB"/>
        </w:rPr>
        <w:t>بكر</w:t>
      </w:r>
      <w:r w:rsidRPr="002607B5">
        <w:rPr>
          <w:rFonts w:hint="cs"/>
          <w:rtl/>
          <w:lang w:val="en-GB"/>
        </w:rPr>
        <w:t xml:space="preserve"> </w:t>
      </w:r>
      <w:r>
        <w:rPr>
          <w:rFonts w:hint="cs"/>
          <w:rtl/>
          <w:lang w:val="en-GB"/>
        </w:rPr>
        <w:t>في ا</w:t>
      </w:r>
      <w:r w:rsidRPr="002607B5">
        <w:rPr>
          <w:rFonts w:hint="cs"/>
          <w:rtl/>
          <w:lang w:val="en-GB"/>
        </w:rPr>
        <w:t>لكوكب</w:t>
      </w:r>
      <w:r>
        <w:rPr>
          <w:rFonts w:hint="cs"/>
          <w:rtl/>
          <w:lang w:val="en-GB"/>
        </w:rPr>
        <w:t>؛</w:t>
      </w:r>
    </w:p>
    <w:p w:rsidR="00E02C84" w:rsidRPr="00174E55" w:rsidRDefault="00E02C84" w:rsidP="00CD26C5">
      <w:pPr>
        <w:numPr>
          <w:ilvl w:val="0"/>
          <w:numId w:val="76"/>
        </w:numPr>
        <w:ind w:left="0" w:firstLine="720"/>
        <w:rPr>
          <w:lang w:val="en-GB"/>
        </w:rPr>
      </w:pPr>
      <w:r w:rsidRPr="002607B5">
        <w:rPr>
          <w:i/>
          <w:iCs/>
          <w:rtl/>
          <w:lang w:val="en-GB"/>
        </w:rPr>
        <w:t>يطلب</w:t>
      </w:r>
      <w:r w:rsidRPr="002145C8">
        <w:rPr>
          <w:rtl/>
          <w:lang w:val="en-GB"/>
        </w:rPr>
        <w:t xml:space="preserve"> إلى الأمين</w:t>
      </w:r>
      <w:r>
        <w:rPr>
          <w:rFonts w:hint="cs"/>
          <w:rtl/>
          <w:lang w:val="en-GB"/>
        </w:rPr>
        <w:t>ة</w:t>
      </w:r>
      <w:r w:rsidRPr="002145C8">
        <w:rPr>
          <w:rtl/>
          <w:lang w:val="en-GB"/>
        </w:rPr>
        <w:t xml:space="preserve"> التنفيذي</w:t>
      </w:r>
      <w:r>
        <w:rPr>
          <w:rFonts w:hint="cs"/>
          <w:rtl/>
          <w:lang w:val="en-GB"/>
        </w:rPr>
        <w:t>ة</w:t>
      </w:r>
      <w:r w:rsidRPr="002145C8">
        <w:rPr>
          <w:rtl/>
          <w:lang w:val="en-GB"/>
        </w:rPr>
        <w:t xml:space="preserve"> أن </w:t>
      </w:r>
      <w:r>
        <w:rPr>
          <w:rFonts w:hint="cs"/>
          <w:rtl/>
          <w:lang w:val="en-GB"/>
        </w:rPr>
        <w:t>ت</w:t>
      </w:r>
      <w:r w:rsidRPr="002145C8">
        <w:rPr>
          <w:rtl/>
          <w:lang w:val="en-GB"/>
        </w:rPr>
        <w:t xml:space="preserve">واصل العمل مع الشراكة التعاونية </w:t>
      </w:r>
      <w:r>
        <w:rPr>
          <w:rFonts w:hint="cs"/>
          <w:rtl/>
          <w:lang w:val="en-GB"/>
        </w:rPr>
        <w:t xml:space="preserve">في مجال </w:t>
      </w:r>
      <w:r w:rsidRPr="002145C8">
        <w:rPr>
          <w:rtl/>
          <w:lang w:val="en-GB"/>
        </w:rPr>
        <w:t xml:space="preserve">الغابات </w:t>
      </w:r>
      <w:r>
        <w:rPr>
          <w:rFonts w:hint="cs"/>
          <w:rtl/>
          <w:lang w:val="en-GB"/>
        </w:rPr>
        <w:t>ل</w:t>
      </w:r>
      <w:r w:rsidRPr="002145C8">
        <w:rPr>
          <w:rtl/>
          <w:lang w:val="en-GB"/>
        </w:rPr>
        <w:t>مواصلة تطوير خطة عمله</w:t>
      </w:r>
      <w:r>
        <w:rPr>
          <w:rFonts w:hint="cs"/>
          <w:rtl/>
          <w:lang w:val="en-GB"/>
        </w:rPr>
        <w:t>ا</w:t>
      </w:r>
      <w:r w:rsidRPr="002145C8">
        <w:rPr>
          <w:rtl/>
          <w:lang w:val="en-GB"/>
        </w:rPr>
        <w:t xml:space="preserve"> والمبادرات المشتركة لتنفيذ خطة الأمم المتحدة الاستراتيجية للغابات</w:t>
      </w:r>
      <w:r>
        <w:rPr>
          <w:rFonts w:hint="cs"/>
          <w:rtl/>
          <w:lang w:val="en-GB"/>
        </w:rPr>
        <w:t xml:space="preserve"> للفترة</w:t>
      </w:r>
      <w:r w:rsidRPr="002145C8">
        <w:rPr>
          <w:rtl/>
          <w:lang w:val="en-GB"/>
        </w:rPr>
        <w:t xml:space="preserve"> 2017-2030 </w:t>
      </w:r>
      <w:r>
        <w:rPr>
          <w:rFonts w:hint="cs"/>
          <w:rtl/>
          <w:lang w:val="en-GB"/>
        </w:rPr>
        <w:t>والأهداف</w:t>
      </w:r>
      <w:r w:rsidRPr="002145C8">
        <w:rPr>
          <w:rtl/>
          <w:lang w:val="en-GB"/>
        </w:rPr>
        <w:t xml:space="preserve"> العالمية للغابات ومواءمتها مع أهداف أيشي للتنوع البيولوجي وتقديم تقرير إلى الهيئة الفرعية للتنفيذ في اجتماعها الثالث،</w:t>
      </w:r>
      <w:r>
        <w:rPr>
          <w:rFonts w:hint="cs"/>
          <w:rtl/>
          <w:lang w:val="en-GB"/>
        </w:rPr>
        <w:t xml:space="preserve"> </w:t>
      </w:r>
      <w:r w:rsidRPr="00007A16">
        <w:rPr>
          <w:rFonts w:hint="cs"/>
          <w:i/>
          <w:iCs/>
          <w:rtl/>
          <w:lang w:val="en-GB"/>
        </w:rPr>
        <w:t>و</w:t>
      </w:r>
      <w:r w:rsidRPr="00007A16">
        <w:rPr>
          <w:i/>
          <w:iCs/>
          <w:rtl/>
          <w:lang w:val="en-GB"/>
        </w:rPr>
        <w:t>يشجع</w:t>
      </w:r>
      <w:r w:rsidRPr="002145C8">
        <w:rPr>
          <w:rtl/>
          <w:lang w:val="en-GB"/>
        </w:rPr>
        <w:t xml:space="preserve"> المنظمات الأعضاء في الشراكة التعاونية </w:t>
      </w:r>
      <w:r>
        <w:rPr>
          <w:rFonts w:hint="cs"/>
          <w:rtl/>
          <w:lang w:val="en-GB"/>
        </w:rPr>
        <w:t xml:space="preserve">في مجال </w:t>
      </w:r>
      <w:r w:rsidRPr="002145C8">
        <w:rPr>
          <w:rtl/>
          <w:lang w:val="en-GB"/>
        </w:rPr>
        <w:t xml:space="preserve">الغابات على </w:t>
      </w:r>
      <w:r>
        <w:rPr>
          <w:rFonts w:hint="cs"/>
          <w:rtl/>
          <w:lang w:val="en-GB"/>
        </w:rPr>
        <w:t>مواصلة</w:t>
      </w:r>
      <w:r w:rsidRPr="002145C8">
        <w:rPr>
          <w:rtl/>
          <w:lang w:val="en-GB"/>
        </w:rPr>
        <w:t xml:space="preserve"> تنسيق البيانات والمنهجيات ذات الصلة بالتنوع البيولوجي</w:t>
      </w:r>
      <w:r>
        <w:rPr>
          <w:rFonts w:hint="cs"/>
          <w:rtl/>
          <w:lang w:val="en-GB"/>
        </w:rPr>
        <w:t>،</w:t>
      </w:r>
      <w:r w:rsidRPr="002145C8">
        <w:rPr>
          <w:rtl/>
          <w:lang w:val="en-GB"/>
        </w:rPr>
        <w:t xml:space="preserve"> من أجل </w:t>
      </w:r>
      <w:r>
        <w:rPr>
          <w:rFonts w:hint="cs"/>
          <w:rtl/>
          <w:lang w:val="en-GB"/>
        </w:rPr>
        <w:t>إعداد</w:t>
      </w:r>
      <w:r w:rsidRPr="002145C8">
        <w:rPr>
          <w:rtl/>
          <w:lang w:val="en-GB"/>
        </w:rPr>
        <w:t xml:space="preserve"> التقييمات المكانية لفرص التقدم في مجال التزام</w:t>
      </w:r>
      <w:r>
        <w:rPr>
          <w:rFonts w:hint="cs"/>
          <w:rtl/>
          <w:lang w:val="en-GB"/>
        </w:rPr>
        <w:t>ات</w:t>
      </w:r>
      <w:r>
        <w:rPr>
          <w:rtl/>
          <w:lang w:val="en-GB"/>
        </w:rPr>
        <w:t xml:space="preserve"> </w:t>
      </w:r>
      <w:r w:rsidRPr="002145C8">
        <w:rPr>
          <w:rtl/>
          <w:lang w:val="en-GB"/>
        </w:rPr>
        <w:t>التنوع البيولوجي من خلال عمل الأهداف العالمية للغابات، و</w:t>
      </w:r>
      <w:r w:rsidRPr="002145C8">
        <w:rPr>
          <w:lang w:val="en-GB"/>
        </w:rPr>
        <w:t>REDD</w:t>
      </w:r>
      <w:r>
        <w:rPr>
          <w:lang w:val="en-GB"/>
        </w:rPr>
        <w:t>+</w:t>
      </w:r>
      <w:r w:rsidRPr="002145C8">
        <w:rPr>
          <w:rtl/>
          <w:lang w:val="en-GB"/>
        </w:rPr>
        <w:t xml:space="preserve"> والشراكة العالمية </w:t>
      </w:r>
      <w:r>
        <w:rPr>
          <w:rFonts w:hint="cs"/>
          <w:rtl/>
          <w:lang w:val="en-GB"/>
        </w:rPr>
        <w:t>لإعادة</w:t>
      </w:r>
      <w:r w:rsidRPr="002145C8">
        <w:rPr>
          <w:rtl/>
          <w:lang w:val="en-GB"/>
        </w:rPr>
        <w:t xml:space="preserve"> الغابات </w:t>
      </w:r>
      <w:r>
        <w:rPr>
          <w:rFonts w:hint="cs"/>
          <w:rtl/>
          <w:lang w:val="en-GB"/>
        </w:rPr>
        <w:t>إلى هيئتها الأصلية</w:t>
      </w:r>
      <w:r w:rsidRPr="002145C8">
        <w:rPr>
          <w:rtl/>
          <w:lang w:val="en-GB"/>
        </w:rPr>
        <w:t>، حسب الاقتضاء</w:t>
      </w:r>
      <w:r>
        <w:rPr>
          <w:rFonts w:hint="cs"/>
          <w:rtl/>
          <w:lang w:val="en-GB"/>
        </w:rPr>
        <w:t>، فضلا عن نُهج التكيف والتخفيف البديلة التي تسهم في استعادة الغابات؛</w:t>
      </w:r>
    </w:p>
    <w:p w:rsidR="00E02C84" w:rsidRPr="00174E55" w:rsidRDefault="00E02C84" w:rsidP="00CD26C5">
      <w:pPr>
        <w:numPr>
          <w:ilvl w:val="0"/>
          <w:numId w:val="76"/>
        </w:numPr>
        <w:ind w:left="0" w:firstLine="720"/>
        <w:rPr>
          <w:lang w:val="en-GB"/>
        </w:rPr>
      </w:pPr>
      <w:r w:rsidRPr="002607B5">
        <w:rPr>
          <w:i/>
          <w:iCs/>
          <w:rtl/>
          <w:lang w:val="en-GB"/>
        </w:rPr>
        <w:t>يطلب</w:t>
      </w:r>
      <w:r w:rsidRPr="002607B5">
        <w:rPr>
          <w:rtl/>
          <w:lang w:val="en-GB"/>
        </w:rPr>
        <w:t xml:space="preserve"> </w:t>
      </w:r>
      <w:r w:rsidRPr="00174E55">
        <w:rPr>
          <w:rtl/>
          <w:lang w:val="en-GB"/>
        </w:rPr>
        <w:t>إلى الأمين</w:t>
      </w:r>
      <w:r w:rsidRPr="00174E55">
        <w:rPr>
          <w:rFonts w:hint="cs"/>
          <w:rtl/>
          <w:lang w:val="en-GB"/>
        </w:rPr>
        <w:t>ة</w:t>
      </w:r>
      <w:r w:rsidRPr="00174E55">
        <w:rPr>
          <w:rtl/>
          <w:lang w:val="en-GB"/>
        </w:rPr>
        <w:t xml:space="preserve"> التنفيذي</w:t>
      </w:r>
      <w:r w:rsidRPr="00174E55">
        <w:rPr>
          <w:rFonts w:hint="cs"/>
          <w:rtl/>
          <w:lang w:val="en-GB"/>
        </w:rPr>
        <w:t>ة أن تقدم</w:t>
      </w:r>
      <w:r w:rsidRPr="00174E55">
        <w:rPr>
          <w:rtl/>
          <w:lang w:val="en-GB"/>
        </w:rPr>
        <w:t xml:space="preserve">، رهناً بتوافر الموارد، </w:t>
      </w:r>
      <w:r w:rsidRPr="00174E55">
        <w:rPr>
          <w:rFonts w:hint="cs"/>
          <w:rtl/>
          <w:lang w:val="en-GB"/>
        </w:rPr>
        <w:t>ال</w:t>
      </w:r>
      <w:r w:rsidRPr="00174E55">
        <w:rPr>
          <w:rtl/>
          <w:lang w:val="en-GB"/>
        </w:rPr>
        <w:t>مزيد من ال</w:t>
      </w:r>
      <w:r w:rsidRPr="00174E55">
        <w:rPr>
          <w:rFonts w:hint="cs"/>
          <w:rtl/>
          <w:lang w:val="en-GB"/>
        </w:rPr>
        <w:t>إرشادات</w:t>
      </w:r>
      <w:r w:rsidRPr="00174E55">
        <w:rPr>
          <w:rtl/>
          <w:lang w:val="en-GB"/>
        </w:rPr>
        <w:t xml:space="preserve"> بشأن نوع الدعم الذي قد </w:t>
      </w:r>
      <w:r w:rsidRPr="00174E55">
        <w:rPr>
          <w:rFonts w:hint="cs"/>
          <w:rtl/>
          <w:lang w:val="en-GB"/>
        </w:rPr>
        <w:t xml:space="preserve">يتاح </w:t>
      </w:r>
      <w:r w:rsidRPr="00174E55">
        <w:rPr>
          <w:rtl/>
          <w:lang w:val="en-GB"/>
        </w:rPr>
        <w:t xml:space="preserve">للأطراف من أعضاء الشراكة التعاونية </w:t>
      </w:r>
      <w:r w:rsidRPr="00174E55">
        <w:rPr>
          <w:rFonts w:hint="cs"/>
          <w:rtl/>
          <w:lang w:val="en-GB"/>
        </w:rPr>
        <w:t>في مجال</w:t>
      </w:r>
      <w:r w:rsidRPr="00174E55">
        <w:rPr>
          <w:rtl/>
          <w:lang w:val="en-GB"/>
        </w:rPr>
        <w:t xml:space="preserve"> الغابات فيما يتعلق بمجالات م</w:t>
      </w:r>
      <w:r w:rsidRPr="00174E55">
        <w:rPr>
          <w:rFonts w:hint="cs"/>
          <w:rtl/>
          <w:lang w:val="en-GB"/>
        </w:rPr>
        <w:t>عينة</w:t>
      </w:r>
      <w:r w:rsidRPr="00174E55">
        <w:rPr>
          <w:rtl/>
          <w:lang w:val="en-GB"/>
        </w:rPr>
        <w:t xml:space="preserve"> من</w:t>
      </w:r>
      <w:r w:rsidRPr="00174E55">
        <w:rPr>
          <w:rFonts w:hint="cs"/>
          <w:rtl/>
          <w:lang w:val="en-GB"/>
        </w:rPr>
        <w:t xml:space="preserve"> مجالات</w:t>
      </w:r>
      <w:r w:rsidRPr="00174E55">
        <w:rPr>
          <w:rtl/>
          <w:lang w:val="en-GB"/>
        </w:rPr>
        <w:t xml:space="preserve"> تنفيذ الاتفاقية، مثل خطة العمل </w:t>
      </w:r>
      <w:r w:rsidRPr="00174E55">
        <w:rPr>
          <w:rFonts w:hint="cs"/>
          <w:rtl/>
          <w:lang w:val="en-GB"/>
        </w:rPr>
        <w:t>القصيرة الأجل</w:t>
      </w:r>
      <w:r w:rsidRPr="00174E55">
        <w:rPr>
          <w:rtl/>
          <w:lang w:val="en-GB"/>
        </w:rPr>
        <w:t xml:space="preserve"> </w:t>
      </w:r>
      <w:r w:rsidRPr="00174E55">
        <w:rPr>
          <w:rFonts w:hint="cs"/>
          <w:rtl/>
          <w:lang w:val="en-GB"/>
        </w:rPr>
        <w:t xml:space="preserve">بشأن </w:t>
      </w:r>
      <w:r w:rsidRPr="00174E55">
        <w:rPr>
          <w:rtl/>
          <w:lang w:val="en-GB"/>
        </w:rPr>
        <w:t>استعادة النظ</w:t>
      </w:r>
      <w:r w:rsidRPr="00174E55">
        <w:rPr>
          <w:rFonts w:hint="cs"/>
          <w:rtl/>
          <w:lang w:val="en-GB"/>
        </w:rPr>
        <w:t>م</w:t>
      </w:r>
      <w:r w:rsidRPr="00174E55">
        <w:rPr>
          <w:rtl/>
          <w:lang w:val="en-GB"/>
        </w:rPr>
        <w:t xml:space="preserve"> الإيكولوجي</w:t>
      </w:r>
      <w:r w:rsidRPr="00174E55">
        <w:rPr>
          <w:rFonts w:hint="cs"/>
          <w:rtl/>
          <w:lang w:val="en-GB"/>
        </w:rPr>
        <w:t>ة</w:t>
      </w:r>
      <w:r w:rsidRPr="00174E55">
        <w:rPr>
          <w:rtl/>
          <w:lang w:val="en-GB"/>
        </w:rPr>
        <w:t>؛</w:t>
      </w:r>
      <w:r w:rsidRPr="00E628FA">
        <w:rPr>
          <w:rStyle w:val="FootnoteReference"/>
          <w:rFonts w:ascii="Simplified Arabic" w:hAnsi="Simplified Arabic"/>
          <w:sz w:val="24"/>
        </w:rPr>
        <w:footnoteReference w:id="300"/>
      </w:r>
    </w:p>
    <w:p w:rsidR="00E02C84" w:rsidRPr="00174E55" w:rsidRDefault="00E02C84" w:rsidP="00CD26C5">
      <w:pPr>
        <w:numPr>
          <w:ilvl w:val="0"/>
          <w:numId w:val="76"/>
        </w:numPr>
        <w:ind w:left="0" w:firstLine="720"/>
        <w:rPr>
          <w:lang w:val="en-GB"/>
        </w:rPr>
      </w:pPr>
      <w:r w:rsidRPr="002607B5">
        <w:rPr>
          <w:rFonts w:hint="cs"/>
          <w:i/>
          <w:iCs/>
          <w:rtl/>
          <w:lang w:val="en-GB"/>
        </w:rPr>
        <w:t>ي</w:t>
      </w:r>
      <w:r w:rsidRPr="002607B5">
        <w:rPr>
          <w:i/>
          <w:iCs/>
          <w:rtl/>
          <w:lang w:val="en-GB"/>
        </w:rPr>
        <w:t>لاحظ</w:t>
      </w:r>
      <w:r w:rsidRPr="00E628FA">
        <w:rPr>
          <w:i/>
          <w:iCs/>
          <w:rtl/>
          <w:lang w:val="en-GB"/>
        </w:rPr>
        <w:t xml:space="preserve"> مع التقدير </w:t>
      </w:r>
      <w:r w:rsidRPr="00174E55">
        <w:rPr>
          <w:rtl/>
          <w:lang w:val="en-GB"/>
        </w:rPr>
        <w:t xml:space="preserve">الجهود التي يبذلها أعضاء الشراكة العالمية </w:t>
      </w:r>
      <w:r>
        <w:rPr>
          <w:rFonts w:hint="cs"/>
          <w:rtl/>
          <w:lang w:val="en-GB"/>
        </w:rPr>
        <w:t>لإعادة</w:t>
      </w:r>
      <w:r w:rsidRPr="002145C8">
        <w:rPr>
          <w:rtl/>
          <w:lang w:val="en-GB"/>
        </w:rPr>
        <w:t xml:space="preserve"> الغابات </w:t>
      </w:r>
      <w:r>
        <w:rPr>
          <w:rFonts w:hint="cs"/>
          <w:rtl/>
          <w:lang w:val="en-GB"/>
        </w:rPr>
        <w:t xml:space="preserve">إلى هيئتها الأصلية </w:t>
      </w:r>
      <w:r w:rsidRPr="00174E55">
        <w:rPr>
          <w:rFonts w:hint="cs"/>
          <w:rtl/>
          <w:lang w:val="en-GB"/>
        </w:rPr>
        <w:t xml:space="preserve">من أجل </w:t>
      </w:r>
      <w:r w:rsidRPr="00174E55">
        <w:rPr>
          <w:rtl/>
          <w:lang w:val="en-GB"/>
        </w:rPr>
        <w:t xml:space="preserve">وضع مبادئ واضحة لتنفيذ </w:t>
      </w:r>
      <w:r>
        <w:rPr>
          <w:rFonts w:hint="cs"/>
          <w:rtl/>
          <w:lang w:val="en-GB"/>
        </w:rPr>
        <w:t xml:space="preserve">إصلاح المناظر الطبيعية للغابات </w:t>
      </w:r>
      <w:r w:rsidRPr="00174E55">
        <w:rPr>
          <w:rtl/>
          <w:lang w:val="en-GB"/>
        </w:rPr>
        <w:t xml:space="preserve">ووضع أدوات </w:t>
      </w:r>
      <w:r>
        <w:rPr>
          <w:rFonts w:hint="cs"/>
          <w:rtl/>
          <w:lang w:val="en-GB"/>
        </w:rPr>
        <w:t xml:space="preserve">رصد </w:t>
      </w:r>
      <w:r w:rsidRPr="00174E55">
        <w:rPr>
          <w:rtl/>
          <w:lang w:val="en-GB"/>
        </w:rPr>
        <w:t>وبروتوكولات تراعي الأبعاد المتعددة ل</w:t>
      </w:r>
      <w:r w:rsidRPr="00174E55">
        <w:rPr>
          <w:rFonts w:hint="cs"/>
          <w:rtl/>
          <w:lang w:val="en-GB"/>
        </w:rPr>
        <w:t>إصلاح</w:t>
      </w:r>
      <w:r w:rsidRPr="00174E55">
        <w:rPr>
          <w:rtl/>
          <w:lang w:val="en-GB"/>
        </w:rPr>
        <w:t xml:space="preserve"> المناظر الطبيعية للغابات، بما في ذلك التنوع البيولوجي، </w:t>
      </w:r>
      <w:r w:rsidRPr="00174E55">
        <w:rPr>
          <w:rFonts w:hint="cs"/>
          <w:rtl/>
          <w:lang w:val="en-GB"/>
        </w:rPr>
        <w:t>باعتبار كليهما وسيلة</w:t>
      </w:r>
      <w:r w:rsidRPr="00174E55">
        <w:rPr>
          <w:rtl/>
          <w:lang w:val="en-GB"/>
        </w:rPr>
        <w:t xml:space="preserve"> ونتيجة لتدخلات </w:t>
      </w:r>
      <w:r w:rsidRPr="00174E55">
        <w:rPr>
          <w:rFonts w:hint="cs"/>
          <w:rtl/>
          <w:lang w:val="en-GB"/>
        </w:rPr>
        <w:t>الإصلاح؛</w:t>
      </w:r>
    </w:p>
    <w:p w:rsidR="00E02C84" w:rsidRDefault="00E02C84" w:rsidP="00CD26C5">
      <w:pPr>
        <w:numPr>
          <w:ilvl w:val="0"/>
          <w:numId w:val="76"/>
        </w:numPr>
        <w:ind w:left="0" w:firstLine="720"/>
        <w:rPr>
          <w:lang w:val="en-GB"/>
        </w:rPr>
      </w:pPr>
      <w:r w:rsidRPr="005E72B2">
        <w:rPr>
          <w:i/>
          <w:iCs/>
          <w:rtl/>
          <w:lang w:val="en-GB"/>
        </w:rPr>
        <w:t>يدعو</w:t>
      </w:r>
      <w:r w:rsidRPr="00174E55">
        <w:rPr>
          <w:rtl/>
          <w:lang w:val="en-GB"/>
        </w:rPr>
        <w:t xml:space="preserve"> الأطراف</w:t>
      </w:r>
      <w:r w:rsidRPr="00174E55">
        <w:rPr>
          <w:rFonts w:hint="cs"/>
          <w:rtl/>
          <w:lang w:val="en-GB"/>
        </w:rPr>
        <w:t xml:space="preserve"> أن تستفيد</w:t>
      </w:r>
      <w:r w:rsidRPr="00174E55">
        <w:rPr>
          <w:rtl/>
          <w:lang w:val="en-GB"/>
        </w:rPr>
        <w:t xml:space="preserve">، </w:t>
      </w:r>
      <w:r w:rsidRPr="00174E55">
        <w:rPr>
          <w:rFonts w:hint="cs"/>
          <w:rtl/>
          <w:lang w:val="en-GB"/>
        </w:rPr>
        <w:t>لدى</w:t>
      </w:r>
      <w:r w:rsidRPr="00174E55">
        <w:rPr>
          <w:rtl/>
          <w:lang w:val="en-GB"/>
        </w:rPr>
        <w:t xml:space="preserve"> تنفيذ استراتيجياتها الوطنية </w:t>
      </w:r>
      <w:r w:rsidRPr="00174E55">
        <w:rPr>
          <w:rFonts w:hint="cs"/>
          <w:rtl/>
          <w:lang w:val="en-GB"/>
        </w:rPr>
        <w:t>المتعلقة بإصلاح</w:t>
      </w:r>
      <w:r w:rsidRPr="00174E55">
        <w:rPr>
          <w:rtl/>
          <w:lang w:val="en-GB"/>
        </w:rPr>
        <w:t xml:space="preserve"> المناظر الطبيعية للغابات،</w:t>
      </w:r>
      <w:r>
        <w:rPr>
          <w:rFonts w:hint="cs"/>
          <w:rtl/>
          <w:lang w:val="en-GB"/>
        </w:rPr>
        <w:t xml:space="preserve"> ووفقا للأولويات والقدرات الوطنية،</w:t>
      </w:r>
      <w:r w:rsidRPr="00174E55">
        <w:rPr>
          <w:rtl/>
          <w:lang w:val="en-GB"/>
        </w:rPr>
        <w:t xml:space="preserve"> </w:t>
      </w:r>
      <w:r w:rsidRPr="00174E55">
        <w:rPr>
          <w:rFonts w:hint="cs"/>
          <w:rtl/>
          <w:lang w:val="en-GB"/>
        </w:rPr>
        <w:t xml:space="preserve">استفادة كاملة من </w:t>
      </w:r>
      <w:r w:rsidRPr="00174E55">
        <w:rPr>
          <w:rtl/>
          <w:lang w:val="en-GB"/>
        </w:rPr>
        <w:t>ال</w:t>
      </w:r>
      <w:r w:rsidRPr="00174E55">
        <w:rPr>
          <w:rFonts w:hint="cs"/>
          <w:rtl/>
          <w:lang w:val="en-GB"/>
        </w:rPr>
        <w:t>إرشادات</w:t>
      </w:r>
      <w:r w:rsidRPr="00174E55">
        <w:rPr>
          <w:rtl/>
          <w:lang w:val="en-GB"/>
        </w:rPr>
        <w:t xml:space="preserve"> </w:t>
      </w:r>
      <w:r w:rsidRPr="00174E55">
        <w:rPr>
          <w:rFonts w:hint="cs"/>
          <w:rtl/>
          <w:lang w:val="en-GB"/>
        </w:rPr>
        <w:t>الواردة</w:t>
      </w:r>
      <w:r w:rsidRPr="00174E55">
        <w:rPr>
          <w:rtl/>
          <w:lang w:val="en-GB"/>
        </w:rPr>
        <w:t xml:space="preserve"> في المقرر 13/5 </w:t>
      </w:r>
      <w:r w:rsidRPr="00174E55">
        <w:rPr>
          <w:rFonts w:hint="cs"/>
          <w:rtl/>
          <w:lang w:val="en-GB"/>
        </w:rPr>
        <w:t>المتعلق</w:t>
      </w:r>
      <w:r w:rsidRPr="00174E55">
        <w:rPr>
          <w:rtl/>
          <w:lang w:val="en-GB"/>
        </w:rPr>
        <w:t xml:space="preserve"> </w:t>
      </w:r>
      <w:r w:rsidRPr="00174E55">
        <w:rPr>
          <w:rFonts w:hint="cs"/>
          <w:rtl/>
          <w:lang w:val="en-GB"/>
        </w:rPr>
        <w:t>ب</w:t>
      </w:r>
      <w:r w:rsidRPr="00174E55">
        <w:rPr>
          <w:rtl/>
          <w:lang w:val="en-GB"/>
        </w:rPr>
        <w:t>استعادة الن</w:t>
      </w:r>
      <w:r w:rsidRPr="00174E55">
        <w:rPr>
          <w:rFonts w:hint="cs"/>
          <w:rtl/>
          <w:lang w:val="en-GB"/>
        </w:rPr>
        <w:t xml:space="preserve">ظم </w:t>
      </w:r>
      <w:r w:rsidRPr="00174E55">
        <w:rPr>
          <w:rtl/>
          <w:lang w:val="en-GB"/>
        </w:rPr>
        <w:t>الإيكولوجي</w:t>
      </w:r>
      <w:r w:rsidRPr="00174E55">
        <w:rPr>
          <w:rFonts w:hint="cs"/>
          <w:rtl/>
          <w:lang w:val="en-GB"/>
        </w:rPr>
        <w:t>ة</w:t>
      </w:r>
      <w:r w:rsidRPr="00174E55">
        <w:rPr>
          <w:rtl/>
          <w:lang w:val="en-GB"/>
        </w:rPr>
        <w:t>: خطة عمل قصيرة الأجل، و</w:t>
      </w:r>
      <w:r w:rsidRPr="00174E55">
        <w:rPr>
          <w:rFonts w:hint="cs"/>
          <w:rtl/>
          <w:lang w:val="en-GB"/>
        </w:rPr>
        <w:t>لا سيما</w:t>
      </w:r>
      <w:r w:rsidRPr="00174E55">
        <w:rPr>
          <w:rtl/>
          <w:lang w:val="en-GB"/>
        </w:rPr>
        <w:t xml:space="preserve"> </w:t>
      </w:r>
      <w:r>
        <w:rPr>
          <w:rFonts w:hint="cs"/>
          <w:rtl/>
          <w:lang w:val="en-GB"/>
        </w:rPr>
        <w:t>قسم</w:t>
      </w:r>
      <w:r w:rsidRPr="00174E55">
        <w:rPr>
          <w:rFonts w:hint="cs"/>
          <w:rtl/>
          <w:lang w:val="en-GB"/>
        </w:rPr>
        <w:t>ه المتعلق</w:t>
      </w:r>
      <w:r w:rsidRPr="00174E55">
        <w:rPr>
          <w:rtl/>
          <w:lang w:val="en-GB"/>
        </w:rPr>
        <w:t xml:space="preserve"> باعتبارات التنوع البيولوجي</w:t>
      </w:r>
      <w:r>
        <w:rPr>
          <w:rFonts w:hint="cs"/>
          <w:rtl/>
          <w:lang w:val="en-GB"/>
        </w:rPr>
        <w:t>؛</w:t>
      </w:r>
    </w:p>
    <w:p w:rsidR="00E02C84" w:rsidRDefault="00E02C84" w:rsidP="00CD26C5">
      <w:pPr>
        <w:numPr>
          <w:ilvl w:val="0"/>
          <w:numId w:val="76"/>
        </w:numPr>
        <w:ind w:left="0" w:firstLine="720"/>
        <w:rPr>
          <w:lang w:val="en-GB"/>
        </w:rPr>
      </w:pPr>
      <w:r>
        <w:rPr>
          <w:rFonts w:hint="cs"/>
          <w:i/>
          <w:iCs/>
          <w:rtl/>
          <w:lang w:val="en-GB"/>
        </w:rPr>
        <w:t>يدعو</w:t>
      </w:r>
      <w:r w:rsidRPr="002607B5">
        <w:rPr>
          <w:rFonts w:hint="cs"/>
          <w:rtl/>
          <w:lang w:val="en-GB"/>
        </w:rPr>
        <w:t xml:space="preserve"> الجمعية العامة للأمم المتحدة إلى إطلاق تسمية العقد</w:t>
      </w:r>
      <w:r>
        <w:rPr>
          <w:rFonts w:hint="cs"/>
          <w:rtl/>
          <w:lang w:val="en-GB"/>
        </w:rPr>
        <w:t xml:space="preserve"> </w:t>
      </w:r>
      <w:r w:rsidRPr="002607B5">
        <w:rPr>
          <w:rFonts w:hint="cs"/>
          <w:rtl/>
          <w:lang w:val="en-GB"/>
        </w:rPr>
        <w:t xml:space="preserve">2021 </w:t>
      </w:r>
      <w:r>
        <w:rPr>
          <w:rFonts w:hint="cs"/>
          <w:rtl/>
          <w:lang w:val="en-GB"/>
        </w:rPr>
        <w:t xml:space="preserve">إلى 2030 </w:t>
      </w:r>
      <w:r w:rsidRPr="002607B5">
        <w:rPr>
          <w:rFonts w:hint="cs"/>
          <w:rtl/>
          <w:lang w:val="en-GB"/>
        </w:rPr>
        <w:t>عقد الأمم الم</w:t>
      </w:r>
      <w:r>
        <w:rPr>
          <w:rFonts w:hint="cs"/>
          <w:rtl/>
          <w:lang w:val="en-GB"/>
        </w:rPr>
        <w:t>تحدة لاستعادة النظم الإيكولوجية</w:t>
      </w:r>
      <w:r w:rsidRPr="002607B5">
        <w:rPr>
          <w:rFonts w:hint="cs"/>
          <w:rtl/>
          <w:lang w:val="en-GB"/>
        </w:rPr>
        <w:t>؛</w:t>
      </w:r>
    </w:p>
    <w:p w:rsidR="005E46F0" w:rsidRDefault="00E02C84" w:rsidP="005E46F0">
      <w:pPr>
        <w:numPr>
          <w:ilvl w:val="0"/>
          <w:numId w:val="76"/>
        </w:numPr>
        <w:ind w:left="0" w:firstLine="720"/>
        <w:rPr>
          <w:lang w:val="en-GB"/>
        </w:rPr>
      </w:pPr>
      <w:r w:rsidRPr="005E46F0">
        <w:rPr>
          <w:i/>
          <w:iCs/>
          <w:rtl/>
          <w:lang w:val="en-GB"/>
        </w:rPr>
        <w:t>يطلب</w:t>
      </w:r>
      <w:r w:rsidRPr="005E46F0">
        <w:rPr>
          <w:rtl/>
          <w:lang w:val="en-GB"/>
        </w:rPr>
        <w:t xml:space="preserve"> إلى الأمين</w:t>
      </w:r>
      <w:r w:rsidRPr="005E46F0">
        <w:rPr>
          <w:rFonts w:hint="cs"/>
          <w:rtl/>
          <w:lang w:val="en-GB"/>
        </w:rPr>
        <w:t>ة</w:t>
      </w:r>
      <w:r w:rsidRPr="005E46F0">
        <w:rPr>
          <w:rtl/>
          <w:lang w:val="en-GB"/>
        </w:rPr>
        <w:t xml:space="preserve"> التنفيذي</w:t>
      </w:r>
      <w:r w:rsidRPr="005E46F0">
        <w:rPr>
          <w:rFonts w:hint="cs"/>
          <w:rtl/>
          <w:lang w:val="en-GB"/>
        </w:rPr>
        <w:t>ة</w:t>
      </w:r>
      <w:r w:rsidRPr="005E46F0">
        <w:rPr>
          <w:rtl/>
          <w:lang w:val="en-GB"/>
        </w:rPr>
        <w:t xml:space="preserve"> دعوة وتعبئة الهيئات التنفيذية للمبادرات التي تم وضعها في إطار الخطة الاستراتيجية</w:t>
      </w:r>
      <w:r w:rsidRPr="005E46F0">
        <w:rPr>
          <w:rFonts w:hint="cs"/>
          <w:rtl/>
          <w:lang w:val="en-GB"/>
        </w:rPr>
        <w:t xml:space="preserve"> للتنوع البيولوجي</w:t>
      </w:r>
      <w:r w:rsidRPr="005E46F0">
        <w:rPr>
          <w:rtl/>
          <w:lang w:val="en-GB"/>
        </w:rPr>
        <w:t xml:space="preserve"> 2011-2020، مثل مبادرة ساتوياما، </w:t>
      </w:r>
      <w:r w:rsidRPr="005E46F0">
        <w:rPr>
          <w:rFonts w:hint="cs"/>
          <w:rtl/>
          <w:lang w:val="en-GB"/>
        </w:rPr>
        <w:t xml:space="preserve">إلى </w:t>
      </w:r>
      <w:r w:rsidRPr="005E46F0">
        <w:rPr>
          <w:rtl/>
          <w:lang w:val="en-GB"/>
        </w:rPr>
        <w:t xml:space="preserve">مواصلة بناء </w:t>
      </w:r>
      <w:r w:rsidRPr="005E46F0">
        <w:rPr>
          <w:rFonts w:hint="cs"/>
          <w:rtl/>
          <w:lang w:val="en-GB"/>
        </w:rPr>
        <w:t xml:space="preserve">أوجه </w:t>
      </w:r>
      <w:r w:rsidRPr="005E46F0">
        <w:rPr>
          <w:rtl/>
          <w:lang w:val="en-GB"/>
        </w:rPr>
        <w:t xml:space="preserve">التآزر في تنفيذها والمساهمة في </w:t>
      </w:r>
      <w:r w:rsidRPr="005E46F0">
        <w:rPr>
          <w:rFonts w:hint="cs"/>
          <w:rtl/>
          <w:lang w:val="en-GB"/>
        </w:rPr>
        <w:t>ال</w:t>
      </w:r>
      <w:r w:rsidRPr="005E46F0">
        <w:rPr>
          <w:rtl/>
          <w:lang w:val="en-GB"/>
        </w:rPr>
        <w:t xml:space="preserve">مناقشة </w:t>
      </w:r>
      <w:r w:rsidRPr="005E46F0">
        <w:rPr>
          <w:rFonts w:hint="cs"/>
          <w:rtl/>
          <w:lang w:val="en-GB"/>
        </w:rPr>
        <w:t>المتعلقة بال</w:t>
      </w:r>
      <w:r w:rsidRPr="005E46F0">
        <w:rPr>
          <w:rtl/>
          <w:lang w:val="en-GB"/>
        </w:rPr>
        <w:t xml:space="preserve">إطار العالمي </w:t>
      </w:r>
      <w:r w:rsidRPr="005E46F0">
        <w:rPr>
          <w:rFonts w:hint="cs"/>
          <w:rtl/>
          <w:lang w:val="en-GB"/>
        </w:rPr>
        <w:t>ل</w:t>
      </w:r>
      <w:r w:rsidRPr="005E46F0">
        <w:rPr>
          <w:rtl/>
          <w:lang w:val="en-GB"/>
        </w:rPr>
        <w:t>لتنوع البيولوجي ل</w:t>
      </w:r>
      <w:r w:rsidRPr="005E46F0">
        <w:rPr>
          <w:rFonts w:hint="cs"/>
          <w:rtl/>
          <w:lang w:val="en-GB"/>
        </w:rPr>
        <w:t xml:space="preserve">ما بعد </w:t>
      </w:r>
      <w:r w:rsidRPr="005E46F0">
        <w:rPr>
          <w:rtl/>
          <w:lang w:val="en-GB"/>
        </w:rPr>
        <w:t>عام 2020</w:t>
      </w:r>
      <w:r w:rsidRPr="005E46F0">
        <w:rPr>
          <w:rFonts w:hint="cs"/>
          <w:rtl/>
          <w:lang w:val="en-GB"/>
        </w:rPr>
        <w:t>.</w:t>
      </w:r>
      <w:r w:rsidR="006A3BB2" w:rsidRPr="005E46F0">
        <w:rPr>
          <w:b/>
          <w:bCs/>
          <w:sz w:val="24"/>
          <w:rtl/>
        </w:rPr>
        <w:t xml:space="preserve"> </w:t>
      </w:r>
    </w:p>
    <w:p w:rsidR="001D61EA" w:rsidRPr="005E46F0" w:rsidRDefault="001D61EA" w:rsidP="00593F52">
      <w:pPr>
        <w:numPr>
          <w:ilvl w:val="0"/>
          <w:numId w:val="76"/>
        </w:numPr>
        <w:spacing w:after="0" w:line="240" w:lineRule="auto"/>
        <w:ind w:left="0" w:firstLine="720"/>
        <w:rPr>
          <w:bCs/>
          <w:sz w:val="24"/>
          <w:rtl/>
        </w:rPr>
      </w:pPr>
      <w:r w:rsidRPr="005E46F0">
        <w:rPr>
          <w:b/>
          <w:bCs/>
          <w:sz w:val="24"/>
          <w:rtl/>
        </w:rPr>
        <w:br w:type="page"/>
      </w:r>
    </w:p>
    <w:p w:rsidR="00CC7A77" w:rsidRPr="00DF58EB" w:rsidRDefault="00CC7A77" w:rsidP="00246CBF">
      <w:pPr>
        <w:pStyle w:val="Heading2"/>
        <w:ind w:left="2700" w:right="1620" w:hanging="1620"/>
        <w:jc w:val="left"/>
        <w:rPr>
          <w:rFonts w:eastAsia="Malgun Gothic" w:hint="eastAsia"/>
          <w:b w:val="0"/>
          <w:bCs w:val="0"/>
          <w:lang w:val="en-GB"/>
        </w:rPr>
      </w:pPr>
      <w:bookmarkStart w:id="194" w:name="_Toc6071635"/>
      <w:bookmarkStart w:id="195" w:name="_Toc6139992"/>
      <w:r>
        <w:rPr>
          <w:rFonts w:eastAsia="Malgun Gothic" w:hint="cs"/>
          <w:rtl/>
          <w:lang w:val="en-GB"/>
        </w:rPr>
        <w:lastRenderedPageBreak/>
        <w:t>المقرر 14/31</w:t>
      </w:r>
      <w:r>
        <w:rPr>
          <w:rFonts w:eastAsia="Malgun Gothic" w:hint="cs"/>
          <w:rtl/>
          <w:lang w:val="en-GB"/>
        </w:rPr>
        <w:tab/>
      </w:r>
      <w:r w:rsidRPr="00DF58EB">
        <w:rPr>
          <w:rFonts w:eastAsia="Malgun Gothic"/>
          <w:rtl/>
          <w:lang w:val="en-GB"/>
        </w:rPr>
        <w:t xml:space="preserve">تعزيز التكامل في إطار الاتفاقية وبروتوكوليها فيما يتعلق بالأحكام المتصلة </w:t>
      </w:r>
      <w:r>
        <w:rPr>
          <w:rFonts w:eastAsia="Malgun Gothic" w:hint="cs"/>
          <w:rtl/>
          <w:lang w:val="en-GB"/>
        </w:rPr>
        <w:t>بالسلامة الأحيائية و</w:t>
      </w:r>
      <w:r w:rsidRPr="00DF58EB">
        <w:rPr>
          <w:rFonts w:eastAsia="Malgun Gothic"/>
          <w:rtl/>
          <w:lang w:val="en-GB"/>
        </w:rPr>
        <w:t>بالحصول وتقاسم المنافع</w:t>
      </w:r>
      <w:bookmarkEnd w:id="194"/>
      <w:bookmarkEnd w:id="195"/>
    </w:p>
    <w:p w:rsidR="00CC7A77" w:rsidRPr="008E6AE7" w:rsidRDefault="00CC7A77" w:rsidP="00CC7A77">
      <w:pPr>
        <w:kinsoku w:val="0"/>
        <w:overflowPunct w:val="0"/>
        <w:autoSpaceDE w:val="0"/>
        <w:autoSpaceDN w:val="0"/>
        <w:spacing w:after="100" w:line="204" w:lineRule="auto"/>
        <w:ind w:firstLine="720"/>
        <w:rPr>
          <w:rFonts w:eastAsia="Malgun Gothic"/>
          <w:i/>
          <w:kern w:val="22"/>
          <w:rtl/>
          <w:lang w:val="en-GB"/>
        </w:rPr>
      </w:pPr>
      <w:r w:rsidRPr="008E6AE7">
        <w:rPr>
          <w:rFonts w:eastAsia="Malgun Gothic" w:hint="cs"/>
          <w:i/>
          <w:iCs/>
          <w:snapToGrid w:val="0"/>
          <w:rtl/>
          <w:lang w:val="en-GB"/>
        </w:rPr>
        <w:t>إن مؤتمر الأطراف،</w:t>
      </w:r>
    </w:p>
    <w:p w:rsidR="00CC7A77" w:rsidRPr="008E6AE7" w:rsidRDefault="00CC7A77" w:rsidP="00CC7A77">
      <w:pPr>
        <w:kinsoku w:val="0"/>
        <w:overflowPunct w:val="0"/>
        <w:autoSpaceDE w:val="0"/>
        <w:autoSpaceDN w:val="0"/>
        <w:spacing w:after="100" w:line="204" w:lineRule="auto"/>
        <w:ind w:firstLine="12"/>
        <w:jc w:val="center"/>
        <w:rPr>
          <w:rFonts w:eastAsia="Malgun Gothic"/>
          <w:b/>
          <w:bCs/>
          <w:kern w:val="22"/>
          <w:rtl/>
          <w:lang w:val="en-GB"/>
        </w:rPr>
      </w:pPr>
      <w:r>
        <w:rPr>
          <w:rFonts w:ascii="Simplified Arabic" w:eastAsia="Malgun Gothic" w:hAnsi="Simplified Arabic" w:hint="cs"/>
          <w:b/>
          <w:bCs/>
          <w:snapToGrid w:val="0"/>
          <w:rtl/>
          <w:lang w:val="en-GB"/>
        </w:rPr>
        <w:t>ألف-</w:t>
      </w:r>
      <w:r>
        <w:rPr>
          <w:rFonts w:ascii="Simplified Arabic" w:eastAsia="Malgun Gothic" w:hAnsi="Simplified Arabic" w:hint="cs"/>
          <w:b/>
          <w:bCs/>
          <w:snapToGrid w:val="0"/>
          <w:rtl/>
          <w:lang w:val="en-GB"/>
        </w:rPr>
        <w:tab/>
      </w:r>
      <w:r w:rsidRPr="008E6AE7">
        <w:rPr>
          <w:rFonts w:ascii="Simplified Arabic" w:eastAsia="Malgun Gothic" w:hAnsi="Simplified Arabic" w:hint="cs"/>
          <w:b/>
          <w:bCs/>
          <w:snapToGrid w:val="0"/>
          <w:rtl/>
          <w:lang w:val="en-GB"/>
        </w:rPr>
        <w:t>الأحكام المتصلة بالسلامة الأحيائية</w:t>
      </w:r>
    </w:p>
    <w:p w:rsidR="00CC7A77" w:rsidRPr="008E6AE7" w:rsidRDefault="00CC7A77" w:rsidP="00CC7A77">
      <w:pPr>
        <w:kinsoku w:val="0"/>
        <w:overflowPunct w:val="0"/>
        <w:autoSpaceDE w:val="0"/>
        <w:autoSpaceDN w:val="0"/>
        <w:spacing w:after="100" w:line="204" w:lineRule="auto"/>
        <w:ind w:left="12" w:firstLine="720"/>
        <w:rPr>
          <w:rFonts w:ascii="Simplified Arabic" w:eastAsia="Malgun Gothic" w:hAnsi="Simplified Arabic"/>
          <w:snapToGrid w:val="0"/>
          <w:rtl/>
          <w:lang w:val="en-GB"/>
        </w:rPr>
      </w:pPr>
      <w:r w:rsidRPr="008E6AE7">
        <w:rPr>
          <w:rFonts w:ascii="Simplified Arabic" w:eastAsia="Malgun Gothic" w:hAnsi="Simplified Arabic"/>
          <w:i/>
          <w:iCs/>
          <w:snapToGrid w:val="0"/>
          <w:rtl/>
          <w:lang w:val="en-GB"/>
        </w:rPr>
        <w:t>إذ يشير</w:t>
      </w:r>
      <w:r w:rsidRPr="008E6AE7">
        <w:rPr>
          <w:rFonts w:ascii="Simplified Arabic" w:eastAsia="Malgun Gothic" w:hAnsi="Simplified Arabic"/>
          <w:snapToGrid w:val="0"/>
          <w:rtl/>
          <w:lang w:val="en-GB"/>
        </w:rPr>
        <w:t xml:space="preserve"> إلى الدعوة الموجهة إلى الأطراف لدمج السلامة الأحيائية في استراتيجياتها وخطط عملها الوطنية للتنوع البيولوجي، </w:t>
      </w:r>
      <w:r w:rsidRPr="008E6AE7">
        <w:rPr>
          <w:rFonts w:ascii="Simplified Arabic" w:eastAsia="Malgun Gothic" w:hAnsi="Simplified Arabic"/>
          <w:snapToGrid w:val="0"/>
          <w:rtl/>
          <w:lang w:val="fr-CA"/>
        </w:rPr>
        <w:t>والخطط الإنمائية الوطنية</w:t>
      </w:r>
      <w:r w:rsidRPr="008E6AE7">
        <w:rPr>
          <w:rFonts w:ascii="Simplified Arabic" w:eastAsia="Malgun Gothic" w:hAnsi="Simplified Arabic" w:hint="cs"/>
          <w:snapToGrid w:val="0"/>
          <w:rtl/>
          <w:lang w:val="fr-CA"/>
        </w:rPr>
        <w:t>،</w:t>
      </w:r>
      <w:r w:rsidRPr="008E6AE7">
        <w:rPr>
          <w:rFonts w:ascii="Simplified Arabic" w:eastAsia="Malgun Gothic" w:hAnsi="Simplified Arabic"/>
          <w:snapToGrid w:val="0"/>
          <w:rtl/>
          <w:lang w:val="fr-CA"/>
        </w:rPr>
        <w:t xml:space="preserve"> والسياسات</w:t>
      </w:r>
      <w:r w:rsidRPr="008E6AE7">
        <w:rPr>
          <w:rFonts w:ascii="Simplified Arabic" w:eastAsia="Malgun Gothic" w:hAnsi="Simplified Arabic" w:hint="cs"/>
          <w:snapToGrid w:val="0"/>
          <w:rtl/>
          <w:lang w:val="fr-CA"/>
        </w:rPr>
        <w:t xml:space="preserve"> و</w:t>
      </w:r>
      <w:r w:rsidRPr="008E6AE7">
        <w:rPr>
          <w:rFonts w:ascii="Simplified Arabic" w:eastAsia="Malgun Gothic" w:hAnsi="Simplified Arabic"/>
          <w:snapToGrid w:val="0"/>
          <w:rtl/>
          <w:lang w:val="fr-CA"/>
        </w:rPr>
        <w:t>الخطط والبرامج القطاعية والمشتركة بين القطاعات الأخرى ذات الصلة،</w:t>
      </w:r>
      <w:r w:rsidRPr="008E6AE7">
        <w:rPr>
          <w:rFonts w:ascii="Simplified Arabic" w:eastAsia="Malgun Gothic" w:hAnsi="Simplified Arabic" w:hint="cs"/>
          <w:snapToGrid w:val="0"/>
          <w:rtl/>
          <w:lang w:val="en-GB"/>
        </w:rPr>
        <w:t xml:space="preserve"> </w:t>
      </w:r>
      <w:r w:rsidRPr="008E6AE7">
        <w:rPr>
          <w:rFonts w:ascii="Simplified Arabic" w:eastAsia="Malgun Gothic" w:hAnsi="Simplified Arabic"/>
          <w:snapToGrid w:val="0"/>
          <w:rtl/>
          <w:lang w:val="en-GB"/>
        </w:rPr>
        <w:t>حسب الاقتضاء، مع مراعاة الظروف والتشريعات والأولويات الوطنية،</w:t>
      </w:r>
      <w:r w:rsidRPr="008E6AE7">
        <w:rPr>
          <w:rFonts w:eastAsia="Malgun Gothic"/>
          <w:kern w:val="22"/>
          <w:szCs w:val="22"/>
          <w:vertAlign w:val="superscript"/>
          <w:lang w:val="en-GB"/>
        </w:rPr>
        <w:footnoteReference w:id="301"/>
      </w:r>
    </w:p>
    <w:p w:rsidR="00CC7A77" w:rsidRPr="008E6AE7" w:rsidRDefault="00CC7A77" w:rsidP="00CC7A77">
      <w:pPr>
        <w:kinsoku w:val="0"/>
        <w:overflowPunct w:val="0"/>
        <w:autoSpaceDE w:val="0"/>
        <w:autoSpaceDN w:val="0"/>
        <w:spacing w:after="100" w:line="204" w:lineRule="auto"/>
        <w:ind w:left="12" w:firstLine="720"/>
        <w:rPr>
          <w:rFonts w:eastAsia="Malgun Gothic"/>
          <w:i/>
          <w:kern w:val="22"/>
          <w:szCs w:val="22"/>
          <w:rtl/>
        </w:rPr>
      </w:pPr>
      <w:r w:rsidRPr="008E6AE7">
        <w:rPr>
          <w:rFonts w:ascii="Simplified Arabic" w:eastAsia="Malgun Gothic" w:hAnsi="Simplified Arabic"/>
          <w:i/>
          <w:iCs/>
          <w:snapToGrid w:val="0"/>
          <w:rtl/>
          <w:lang w:val="en-GB"/>
        </w:rPr>
        <w:t>وإذ يلاحظ</w:t>
      </w:r>
      <w:r w:rsidRPr="008E6AE7">
        <w:rPr>
          <w:rFonts w:ascii="Simplified Arabic" w:eastAsia="Malgun Gothic" w:hAnsi="Simplified Arabic"/>
          <w:snapToGrid w:val="0"/>
          <w:rtl/>
          <w:lang w:val="en-GB"/>
        </w:rPr>
        <w:t xml:space="preserve"> العلاقة بين أحكام الاتفاقية المت</w:t>
      </w:r>
      <w:r w:rsidRPr="008E6AE7">
        <w:rPr>
          <w:rFonts w:ascii="Simplified Arabic" w:eastAsia="Malgun Gothic" w:hAnsi="Simplified Arabic" w:hint="cs"/>
          <w:snapToGrid w:val="0"/>
          <w:rtl/>
          <w:lang w:val="en-GB"/>
        </w:rPr>
        <w:t>صل</w:t>
      </w:r>
      <w:r w:rsidRPr="008E6AE7">
        <w:rPr>
          <w:rFonts w:ascii="Simplified Arabic" w:eastAsia="Malgun Gothic" w:hAnsi="Simplified Arabic"/>
          <w:snapToGrid w:val="0"/>
          <w:rtl/>
          <w:lang w:val="en-GB"/>
        </w:rPr>
        <w:t>ة بالسلامة الأحيائية، ولا سيما الماد</w:t>
      </w:r>
      <w:r w:rsidRPr="008E6AE7">
        <w:rPr>
          <w:rFonts w:ascii="Simplified Arabic" w:eastAsia="Malgun Gothic" w:hAnsi="Simplified Arabic" w:hint="cs"/>
          <w:snapToGrid w:val="0"/>
          <w:rtl/>
          <w:lang w:val="en-GB"/>
        </w:rPr>
        <w:t>تان</w:t>
      </w:r>
      <w:r w:rsidRPr="008E6AE7">
        <w:rPr>
          <w:rFonts w:ascii="Simplified Arabic" w:eastAsia="Malgun Gothic" w:hAnsi="Simplified Arabic"/>
          <w:snapToGrid w:val="0"/>
          <w:rtl/>
          <w:lang w:val="en-GB"/>
        </w:rPr>
        <w:t xml:space="preserve"> 8</w:t>
      </w:r>
      <w:r w:rsidRPr="008E6AE7">
        <w:rPr>
          <w:rFonts w:ascii="Simplified Arabic" w:eastAsia="Malgun Gothic" w:hAnsi="Simplified Arabic" w:hint="cs"/>
          <w:snapToGrid w:val="0"/>
          <w:rtl/>
          <w:lang w:val="en-GB"/>
        </w:rPr>
        <w:t>(</w:t>
      </w:r>
      <w:r w:rsidRPr="008E6AE7">
        <w:rPr>
          <w:rFonts w:ascii="Simplified Arabic" w:eastAsia="Malgun Gothic" w:hAnsi="Simplified Arabic"/>
          <w:snapToGrid w:val="0"/>
          <w:rtl/>
          <w:lang w:val="en-GB"/>
        </w:rPr>
        <w:t>ز)</w:t>
      </w:r>
      <w:r w:rsidRPr="008E6AE7">
        <w:rPr>
          <w:rFonts w:ascii="Simplified Arabic" w:eastAsia="Malgun Gothic" w:hAnsi="Simplified Arabic" w:hint="cs"/>
          <w:snapToGrid w:val="0"/>
          <w:rtl/>
          <w:lang w:val="en-GB"/>
        </w:rPr>
        <w:t xml:space="preserve"> و19،</w:t>
      </w:r>
      <w:r w:rsidRPr="008E6AE7">
        <w:rPr>
          <w:rFonts w:ascii="Simplified Arabic" w:eastAsia="Malgun Gothic" w:hAnsi="Simplified Arabic"/>
          <w:snapToGrid w:val="0"/>
          <w:rtl/>
          <w:lang w:val="en-GB"/>
        </w:rPr>
        <w:t xml:space="preserve"> الفقرة 4</w:t>
      </w:r>
      <w:r w:rsidRPr="008E6AE7">
        <w:rPr>
          <w:rFonts w:ascii="Simplified Arabic" w:eastAsia="Malgun Gothic" w:hAnsi="Simplified Arabic" w:hint="cs"/>
          <w:snapToGrid w:val="0"/>
          <w:rtl/>
          <w:lang w:val="en-GB"/>
        </w:rPr>
        <w:t>،</w:t>
      </w:r>
      <w:r w:rsidRPr="008E6AE7">
        <w:rPr>
          <w:rFonts w:ascii="Simplified Arabic" w:eastAsia="Malgun Gothic" w:hAnsi="Simplified Arabic"/>
          <w:snapToGrid w:val="0"/>
          <w:rtl/>
          <w:lang w:val="en-GB"/>
        </w:rPr>
        <w:t xml:space="preserve"> وبروتوكول قرطاجنة </w:t>
      </w:r>
      <w:r w:rsidRPr="008E6AE7">
        <w:rPr>
          <w:rFonts w:ascii="Simplified Arabic" w:eastAsia="Malgun Gothic" w:hAnsi="Simplified Arabic" w:hint="cs"/>
          <w:snapToGrid w:val="0"/>
          <w:rtl/>
          <w:lang w:val="en-GB"/>
        </w:rPr>
        <w:t>ل</w:t>
      </w:r>
      <w:r w:rsidRPr="008E6AE7">
        <w:rPr>
          <w:rFonts w:ascii="Simplified Arabic" w:eastAsia="Malgun Gothic" w:hAnsi="Simplified Arabic"/>
          <w:snapToGrid w:val="0"/>
          <w:rtl/>
          <w:lang w:val="en-GB"/>
        </w:rPr>
        <w:t>لسلامة الأحيائية،</w:t>
      </w:r>
    </w:p>
    <w:p w:rsidR="00CC7A77" w:rsidRPr="008E6AE7" w:rsidRDefault="00CC7A77" w:rsidP="00CC7A77">
      <w:pPr>
        <w:kinsoku w:val="0"/>
        <w:overflowPunct w:val="0"/>
        <w:autoSpaceDE w:val="0"/>
        <w:autoSpaceDN w:val="0"/>
        <w:spacing w:after="100" w:line="204" w:lineRule="auto"/>
        <w:ind w:left="12" w:firstLine="720"/>
        <w:rPr>
          <w:rFonts w:eastAsia="Malgun Gothic"/>
          <w:i/>
          <w:kern w:val="22"/>
          <w:szCs w:val="22"/>
          <w:rtl/>
          <w:lang w:val="en-GB"/>
        </w:rPr>
      </w:pPr>
      <w:r w:rsidRPr="008E6AE7">
        <w:rPr>
          <w:rFonts w:ascii="Simplified Arabic" w:eastAsia="Malgun Gothic" w:hAnsi="Simplified Arabic"/>
          <w:i/>
          <w:iCs/>
          <w:snapToGrid w:val="0"/>
          <w:rtl/>
          <w:lang w:val="en-GB"/>
        </w:rPr>
        <w:t>وإذ يدرك</w:t>
      </w:r>
      <w:r w:rsidRPr="008E6AE7">
        <w:rPr>
          <w:rFonts w:ascii="Simplified Arabic" w:eastAsia="Malgun Gothic" w:hAnsi="Simplified Arabic"/>
          <w:snapToGrid w:val="0"/>
          <w:rtl/>
          <w:lang w:val="en-GB"/>
        </w:rPr>
        <w:t xml:space="preserve"> أن</w:t>
      </w:r>
      <w:r w:rsidRPr="008E6AE7">
        <w:rPr>
          <w:rFonts w:ascii="Simplified Arabic" w:eastAsia="Malgun Gothic" w:hAnsi="Simplified Arabic" w:hint="cs"/>
          <w:snapToGrid w:val="0"/>
          <w:rtl/>
          <w:lang w:val="en-GB"/>
        </w:rPr>
        <w:t>ّ</w:t>
      </w:r>
      <w:r w:rsidRPr="008E6AE7">
        <w:rPr>
          <w:rFonts w:ascii="Simplified Arabic" w:eastAsia="Malgun Gothic" w:hAnsi="Simplified Arabic"/>
          <w:snapToGrid w:val="0"/>
          <w:rtl/>
          <w:lang w:val="en-GB"/>
        </w:rPr>
        <w:t xml:space="preserve"> التصديق على بروتوكول قرطاجنة </w:t>
      </w:r>
      <w:r w:rsidRPr="008E6AE7">
        <w:rPr>
          <w:rFonts w:ascii="Simplified Arabic" w:eastAsia="Malgun Gothic" w:hAnsi="Simplified Arabic" w:hint="cs"/>
          <w:snapToGrid w:val="0"/>
          <w:rtl/>
          <w:lang w:val="en-GB"/>
        </w:rPr>
        <w:t>و</w:t>
      </w:r>
      <w:r w:rsidRPr="008E6AE7">
        <w:rPr>
          <w:rFonts w:ascii="Simplified Arabic" w:eastAsia="Malgun Gothic" w:hAnsi="Simplified Arabic"/>
          <w:snapToGrid w:val="0"/>
          <w:rtl/>
          <w:lang w:val="en-GB"/>
        </w:rPr>
        <w:t>بروتوكول ناغويا-</w:t>
      </w:r>
      <w:r w:rsidRPr="008E6AE7">
        <w:rPr>
          <w:rFonts w:ascii="Simplified Arabic" w:eastAsia="Malgun Gothic" w:hAnsi="Simplified Arabic" w:hint="cs"/>
          <w:snapToGrid w:val="0"/>
          <w:rtl/>
          <w:lang w:val="en-GB"/>
        </w:rPr>
        <w:t xml:space="preserve"> </w:t>
      </w:r>
      <w:r w:rsidRPr="008E6AE7">
        <w:rPr>
          <w:rFonts w:ascii="Simplified Arabic" w:eastAsia="Malgun Gothic" w:hAnsi="Simplified Arabic"/>
          <w:snapToGrid w:val="0"/>
          <w:rtl/>
          <w:lang w:val="en-GB"/>
        </w:rPr>
        <w:t>كوالالمبور التكميلي بشأن المسؤولية والجبر التعويضي</w:t>
      </w:r>
      <w:r w:rsidRPr="008E6AE7">
        <w:rPr>
          <w:rFonts w:ascii="Simplified Arabic" w:eastAsia="Malgun Gothic" w:hAnsi="Simplified Arabic" w:hint="cs"/>
          <w:snapToGrid w:val="0"/>
          <w:rtl/>
          <w:lang w:val="en-GB"/>
        </w:rPr>
        <w:t xml:space="preserve"> وتنفيذهما </w:t>
      </w:r>
      <w:r w:rsidRPr="008E6AE7">
        <w:rPr>
          <w:rFonts w:ascii="Simplified Arabic" w:eastAsia="Malgun Gothic" w:hAnsi="Simplified Arabic"/>
          <w:snapToGrid w:val="0"/>
          <w:rtl/>
          <w:lang w:val="en-GB"/>
        </w:rPr>
        <w:t>يسهم</w:t>
      </w:r>
      <w:r w:rsidRPr="008E6AE7">
        <w:rPr>
          <w:rFonts w:ascii="Simplified Arabic" w:eastAsia="Malgun Gothic" w:hAnsi="Simplified Arabic" w:hint="cs"/>
          <w:snapToGrid w:val="0"/>
          <w:rtl/>
          <w:lang w:val="en-GB"/>
        </w:rPr>
        <w:t>ان</w:t>
      </w:r>
      <w:r w:rsidRPr="008E6AE7">
        <w:rPr>
          <w:rFonts w:ascii="Simplified Arabic" w:eastAsia="Malgun Gothic" w:hAnsi="Simplified Arabic"/>
          <w:snapToGrid w:val="0"/>
          <w:rtl/>
          <w:lang w:val="en-GB"/>
        </w:rPr>
        <w:t xml:space="preserve"> في تحقيق أهداف الاتفاقية،</w:t>
      </w:r>
    </w:p>
    <w:p w:rsidR="00CC7A77" w:rsidRPr="008E6AE7" w:rsidRDefault="00CC7A77" w:rsidP="00CC7A77">
      <w:pPr>
        <w:kinsoku w:val="0"/>
        <w:overflowPunct w:val="0"/>
        <w:autoSpaceDE w:val="0"/>
        <w:autoSpaceDN w:val="0"/>
        <w:spacing w:after="100" w:line="204" w:lineRule="auto"/>
        <w:ind w:left="12" w:firstLine="720"/>
        <w:rPr>
          <w:rFonts w:eastAsia="Malgun Gothic"/>
          <w:kern w:val="22"/>
          <w:rtl/>
          <w:lang w:val="en-GB"/>
        </w:rPr>
      </w:pPr>
      <w:r w:rsidRPr="008E6AE7">
        <w:rPr>
          <w:rFonts w:ascii="Simplified Arabic" w:eastAsia="Calibri" w:hAnsi="Simplified Arabic" w:hint="cs"/>
          <w:snapToGrid w:val="0"/>
          <w:kern w:val="22"/>
          <w:rtl/>
          <w:lang w:val="en-GB"/>
        </w:rPr>
        <w:t>1-</w:t>
      </w:r>
      <w:r w:rsidRPr="008E6AE7">
        <w:rPr>
          <w:rFonts w:ascii="Simplified Arabic" w:eastAsia="Calibri" w:hAnsi="Simplified Arabic" w:hint="cs"/>
          <w:snapToGrid w:val="0"/>
          <w:kern w:val="22"/>
          <w:rtl/>
          <w:lang w:val="en-GB"/>
        </w:rPr>
        <w:tab/>
      </w:r>
      <w:r w:rsidRPr="008E6AE7">
        <w:rPr>
          <w:rFonts w:ascii="Simplified Arabic" w:eastAsia="Calibri" w:hAnsi="Simplified Arabic"/>
          <w:i/>
          <w:iCs/>
          <w:snapToGrid w:val="0"/>
          <w:kern w:val="22"/>
          <w:rtl/>
          <w:lang w:val="en-GB"/>
        </w:rPr>
        <w:t>يحث</w:t>
      </w:r>
      <w:r w:rsidRPr="008E6AE7">
        <w:rPr>
          <w:rFonts w:ascii="Simplified Arabic" w:eastAsia="Calibri" w:hAnsi="Simplified Arabic"/>
          <w:snapToGrid w:val="0"/>
          <w:kern w:val="22"/>
          <w:rtl/>
          <w:lang w:val="en-GB"/>
        </w:rPr>
        <w:t xml:space="preserve"> الأطراف في </w:t>
      </w:r>
      <w:r w:rsidRPr="008E6AE7">
        <w:rPr>
          <w:rFonts w:ascii="Simplified Arabic" w:eastAsia="Malgun Gothic" w:hAnsi="Simplified Arabic"/>
          <w:snapToGrid w:val="0"/>
          <w:rtl/>
          <w:lang w:val="en-GB"/>
        </w:rPr>
        <w:t>اتفاقية التنوع</w:t>
      </w:r>
      <w:r w:rsidRPr="008E6AE7">
        <w:rPr>
          <w:rFonts w:ascii="Simplified Arabic" w:eastAsia="Calibri" w:hAnsi="Simplified Arabic"/>
          <w:snapToGrid w:val="0"/>
          <w:kern w:val="22"/>
          <w:rtl/>
          <w:lang w:val="en-GB"/>
        </w:rPr>
        <w:t xml:space="preserve"> البيولوجي</w:t>
      </w:r>
      <w:r w:rsidRPr="008E6AE7">
        <w:rPr>
          <w:rFonts w:ascii="Simplified Arabic" w:eastAsia="Calibri" w:hAnsi="Simplified Arabic" w:hint="cs"/>
          <w:snapToGrid w:val="0"/>
          <w:kern w:val="22"/>
          <w:rtl/>
          <w:lang w:val="en-GB"/>
        </w:rPr>
        <w:t xml:space="preserve"> على </w:t>
      </w:r>
      <w:r w:rsidRPr="008E6AE7">
        <w:rPr>
          <w:rFonts w:ascii="Simplified Arabic" w:eastAsia="Calibri" w:hAnsi="Simplified Arabic"/>
          <w:snapToGrid w:val="0"/>
          <w:kern w:val="22"/>
          <w:rtl/>
          <w:lang w:val="en-GB"/>
        </w:rPr>
        <w:t>أن تودع صك تصديقها</w:t>
      </w:r>
      <w:r w:rsidRPr="008E6AE7">
        <w:rPr>
          <w:rFonts w:ascii="Simplified Arabic" w:eastAsia="Calibri" w:hAnsi="Simplified Arabic" w:hint="cs"/>
          <w:snapToGrid w:val="0"/>
          <w:kern w:val="22"/>
          <w:rtl/>
          <w:lang w:val="en-GB"/>
        </w:rPr>
        <w:t xml:space="preserve"> على </w:t>
      </w:r>
      <w:r w:rsidRPr="008E6AE7">
        <w:rPr>
          <w:rFonts w:ascii="Simplified Arabic" w:eastAsia="Malgun Gothic" w:hAnsi="Simplified Arabic"/>
          <w:snapToGrid w:val="0"/>
          <w:rtl/>
          <w:lang w:val="en-GB"/>
        </w:rPr>
        <w:t>بروتوكول قرطاجنة</w:t>
      </w:r>
      <w:r w:rsidRPr="008E6AE7">
        <w:rPr>
          <w:rFonts w:ascii="Simplified Arabic" w:eastAsia="Calibri" w:hAnsi="Simplified Arabic"/>
          <w:snapToGrid w:val="0"/>
          <w:kern w:val="22"/>
          <w:rtl/>
          <w:lang w:val="en-GB"/>
        </w:rPr>
        <w:t xml:space="preserve"> أو قبولها</w:t>
      </w:r>
      <w:r w:rsidRPr="008E6AE7">
        <w:rPr>
          <w:rFonts w:ascii="Simplified Arabic" w:eastAsia="Calibri" w:hAnsi="Simplified Arabic" w:hint="cs"/>
          <w:snapToGrid w:val="0"/>
          <w:kern w:val="22"/>
          <w:rtl/>
          <w:lang w:val="en-GB"/>
        </w:rPr>
        <w:t xml:space="preserve"> له</w:t>
      </w:r>
      <w:r w:rsidRPr="008E6AE7">
        <w:rPr>
          <w:rFonts w:ascii="Simplified Arabic" w:eastAsia="Calibri" w:hAnsi="Simplified Arabic"/>
          <w:snapToGrid w:val="0"/>
          <w:kern w:val="22"/>
          <w:rtl/>
          <w:lang w:val="en-GB"/>
        </w:rPr>
        <w:t xml:space="preserve"> أو موافقتها</w:t>
      </w:r>
      <w:r w:rsidRPr="008E6AE7">
        <w:rPr>
          <w:rFonts w:ascii="Simplified Arabic" w:eastAsia="Calibri" w:hAnsi="Simplified Arabic" w:hint="cs"/>
          <w:snapToGrid w:val="0"/>
          <w:kern w:val="22"/>
          <w:rtl/>
          <w:lang w:val="en-GB"/>
        </w:rPr>
        <w:t xml:space="preserve"> عليه</w:t>
      </w:r>
      <w:r w:rsidRPr="008E6AE7">
        <w:rPr>
          <w:rFonts w:ascii="Simplified Arabic" w:eastAsia="Calibri" w:hAnsi="Simplified Arabic"/>
          <w:snapToGrid w:val="0"/>
          <w:kern w:val="22"/>
          <w:rtl/>
          <w:lang w:val="en-GB"/>
        </w:rPr>
        <w:t xml:space="preserve"> أو </w:t>
      </w:r>
      <w:r w:rsidRPr="008E6AE7">
        <w:rPr>
          <w:rFonts w:ascii="Simplified Arabic" w:eastAsia="Calibri" w:hAnsi="Simplified Arabic" w:hint="cs"/>
          <w:snapToGrid w:val="0"/>
          <w:kern w:val="22"/>
          <w:rtl/>
          <w:lang w:val="en-GB"/>
        </w:rPr>
        <w:t>انضمامها إليه</w:t>
      </w:r>
      <w:r w:rsidRPr="008E6AE7">
        <w:rPr>
          <w:rFonts w:ascii="Simplified Arabic" w:eastAsia="Calibri" w:hAnsi="Simplified Arabic"/>
          <w:snapToGrid w:val="0"/>
          <w:kern w:val="22"/>
          <w:rtl/>
          <w:lang w:val="en-GB"/>
        </w:rPr>
        <w:t xml:space="preserve"> في أ</w:t>
      </w:r>
      <w:r w:rsidRPr="008E6AE7">
        <w:rPr>
          <w:rFonts w:ascii="Simplified Arabic" w:eastAsia="Calibri" w:hAnsi="Simplified Arabic" w:hint="cs"/>
          <w:snapToGrid w:val="0"/>
          <w:kern w:val="22"/>
          <w:rtl/>
          <w:lang w:val="en-GB"/>
        </w:rPr>
        <w:t>قرب</w:t>
      </w:r>
      <w:r w:rsidRPr="008E6AE7">
        <w:rPr>
          <w:rFonts w:ascii="Simplified Arabic" w:eastAsia="Calibri" w:hAnsi="Simplified Arabic"/>
          <w:snapToGrid w:val="0"/>
          <w:kern w:val="22"/>
          <w:rtl/>
          <w:lang w:val="en-GB"/>
        </w:rPr>
        <w:t xml:space="preserve"> وقت ممكن إن لم تكن قد فعلت ذلك بعد، وأن تتخذ خطوات </w:t>
      </w:r>
      <w:r w:rsidRPr="008E6AE7">
        <w:rPr>
          <w:rFonts w:ascii="Simplified Arabic" w:eastAsia="Calibri" w:hAnsi="Simplified Arabic" w:hint="cs"/>
          <w:snapToGrid w:val="0"/>
          <w:kern w:val="22"/>
          <w:rtl/>
          <w:lang w:val="en-GB"/>
        </w:rPr>
        <w:t>نحو</w:t>
      </w:r>
      <w:r w:rsidRPr="008E6AE7">
        <w:rPr>
          <w:rFonts w:ascii="Simplified Arabic" w:eastAsia="Calibri" w:hAnsi="Simplified Arabic"/>
          <w:snapToGrid w:val="0"/>
          <w:kern w:val="22"/>
          <w:rtl/>
          <w:lang w:val="en-GB"/>
        </w:rPr>
        <w:t xml:space="preserve"> تنفيذه</w:t>
      </w:r>
      <w:r w:rsidRPr="008E6AE7">
        <w:rPr>
          <w:rFonts w:ascii="Simplified Arabic" w:eastAsia="Calibri" w:hAnsi="Simplified Arabic" w:hint="cs"/>
          <w:snapToGrid w:val="0"/>
          <w:kern w:val="22"/>
          <w:rtl/>
          <w:lang w:val="en-GB"/>
        </w:rPr>
        <w:t>،</w:t>
      </w:r>
      <w:r w:rsidRPr="008E6AE7">
        <w:rPr>
          <w:rFonts w:ascii="Simplified Arabic" w:eastAsia="Calibri" w:hAnsi="Simplified Arabic"/>
          <w:snapToGrid w:val="0"/>
          <w:kern w:val="22"/>
          <w:rtl/>
          <w:lang w:val="en-GB"/>
        </w:rPr>
        <w:t xml:space="preserve"> بما في ذلك </w:t>
      </w:r>
      <w:r w:rsidRPr="008E6AE7">
        <w:rPr>
          <w:rFonts w:ascii="Simplified Arabic" w:eastAsia="Calibri" w:hAnsi="Simplified Arabic" w:hint="cs"/>
          <w:snapToGrid w:val="0"/>
          <w:kern w:val="22"/>
          <w:rtl/>
          <w:lang w:val="en-GB"/>
        </w:rPr>
        <w:t>عن طريق</w:t>
      </w:r>
      <w:r w:rsidRPr="008E6AE7">
        <w:rPr>
          <w:rFonts w:ascii="Simplified Arabic" w:eastAsia="Calibri" w:hAnsi="Simplified Arabic"/>
          <w:snapToGrid w:val="0"/>
          <w:kern w:val="22"/>
          <w:rtl/>
          <w:lang w:val="en-GB"/>
        </w:rPr>
        <w:t xml:space="preserve"> إنشاء هياكل مؤسسية و</w:t>
      </w:r>
      <w:r w:rsidRPr="008E6AE7">
        <w:rPr>
          <w:rFonts w:ascii="Simplified Arabic" w:eastAsia="Calibri" w:hAnsi="Simplified Arabic" w:hint="cs"/>
          <w:snapToGrid w:val="0"/>
          <w:kern w:val="22"/>
          <w:rtl/>
          <w:lang w:val="en-GB"/>
        </w:rPr>
        <w:t xml:space="preserve">اتخاذ </w:t>
      </w:r>
      <w:r w:rsidRPr="008E6AE7">
        <w:rPr>
          <w:rFonts w:ascii="Simplified Arabic" w:eastAsia="Calibri" w:hAnsi="Simplified Arabic"/>
          <w:snapToGrid w:val="0"/>
          <w:kern w:val="22"/>
          <w:rtl/>
          <w:lang w:val="en-GB"/>
        </w:rPr>
        <w:t xml:space="preserve">تدابير تشريعية وإدارية وسياساتية بشأن </w:t>
      </w:r>
      <w:r w:rsidRPr="008E6AE7">
        <w:rPr>
          <w:rFonts w:ascii="Simplified Arabic" w:eastAsia="Malgun Gothic" w:hAnsi="Simplified Arabic"/>
          <w:snapToGrid w:val="0"/>
          <w:rtl/>
          <w:lang w:val="en-GB"/>
        </w:rPr>
        <w:t>السلامة الأحيائية</w:t>
      </w:r>
      <w:r>
        <w:rPr>
          <w:rFonts w:ascii="Simplified Arabic" w:eastAsia="Malgun Gothic" w:hAnsi="Simplified Arabic" w:hint="cs"/>
          <w:snapToGrid w:val="0"/>
          <w:rtl/>
          <w:lang w:val="en-GB"/>
        </w:rPr>
        <w:t>، مع مراعاة مشاركة الشعوب الأصلية والمجتمعات المحلية، وغيرها من أصحاب المصلحة المعنيين، في وضع مثل هذه التدابير</w:t>
      </w:r>
      <w:r w:rsidRPr="008E6AE7">
        <w:rPr>
          <w:rFonts w:ascii="Simplified Arabic" w:eastAsia="Calibri" w:hAnsi="Simplified Arabic"/>
          <w:snapToGrid w:val="0"/>
          <w:kern w:val="22"/>
          <w:rtl/>
          <w:lang w:val="en-GB"/>
        </w:rPr>
        <w:t>؛</w:t>
      </w:r>
    </w:p>
    <w:p w:rsidR="00CC7A77" w:rsidRPr="008E6AE7" w:rsidRDefault="00CC7A77" w:rsidP="00CC7A77">
      <w:pPr>
        <w:kinsoku w:val="0"/>
        <w:overflowPunct w:val="0"/>
        <w:autoSpaceDE w:val="0"/>
        <w:autoSpaceDN w:val="0"/>
        <w:spacing w:after="100" w:line="204" w:lineRule="auto"/>
        <w:ind w:left="12" w:firstLine="720"/>
        <w:rPr>
          <w:rFonts w:eastAsia="Malgun Gothic"/>
          <w:kern w:val="22"/>
          <w:szCs w:val="22"/>
          <w:rtl/>
          <w:lang w:val="en-GB"/>
        </w:rPr>
      </w:pPr>
      <w:r w:rsidRPr="008E6AE7">
        <w:rPr>
          <w:rFonts w:ascii="Simplified Arabic" w:eastAsia="Malgun Gothic" w:hAnsi="Simplified Arabic"/>
          <w:snapToGrid w:val="0"/>
          <w:rtl/>
          <w:lang w:val="en-GB"/>
        </w:rPr>
        <w:t>2-</w:t>
      </w:r>
      <w:r w:rsidRPr="008E6AE7">
        <w:rPr>
          <w:rFonts w:ascii="Simplified Arabic" w:eastAsia="Malgun Gothic" w:hAnsi="Simplified Arabic" w:hint="cs"/>
          <w:snapToGrid w:val="0"/>
          <w:rtl/>
          <w:lang w:val="en-GB"/>
        </w:rPr>
        <w:tab/>
      </w:r>
      <w:r w:rsidRPr="008E6AE7">
        <w:rPr>
          <w:rFonts w:ascii="Simplified Arabic" w:eastAsia="Malgun Gothic" w:hAnsi="Simplified Arabic"/>
          <w:i/>
          <w:iCs/>
          <w:snapToGrid w:val="0"/>
          <w:rtl/>
          <w:lang w:val="en-GB"/>
        </w:rPr>
        <w:t>ي</w:t>
      </w:r>
      <w:r w:rsidRPr="008E6AE7">
        <w:rPr>
          <w:rFonts w:ascii="Simplified Arabic" w:eastAsia="Malgun Gothic" w:hAnsi="Simplified Arabic" w:hint="cs"/>
          <w:i/>
          <w:iCs/>
          <w:snapToGrid w:val="0"/>
          <w:rtl/>
          <w:lang w:val="en-GB"/>
        </w:rPr>
        <w:t>ُ</w:t>
      </w:r>
      <w:r w:rsidRPr="008E6AE7">
        <w:rPr>
          <w:rFonts w:ascii="Simplified Arabic" w:eastAsia="Malgun Gothic" w:hAnsi="Simplified Arabic"/>
          <w:i/>
          <w:iCs/>
          <w:snapToGrid w:val="0"/>
          <w:rtl/>
          <w:lang w:val="en-GB"/>
        </w:rPr>
        <w:t>ذك</w:t>
      </w:r>
      <w:r w:rsidRPr="008E6AE7">
        <w:rPr>
          <w:rFonts w:ascii="Simplified Arabic" w:eastAsia="Malgun Gothic" w:hAnsi="Simplified Arabic" w:hint="cs"/>
          <w:i/>
          <w:iCs/>
          <w:snapToGrid w:val="0"/>
          <w:rtl/>
          <w:lang w:val="en-GB"/>
        </w:rPr>
        <w:t>ِّ</w:t>
      </w:r>
      <w:r w:rsidRPr="008E6AE7">
        <w:rPr>
          <w:rFonts w:ascii="Simplified Arabic" w:eastAsia="Malgun Gothic" w:hAnsi="Simplified Arabic"/>
          <w:i/>
          <w:iCs/>
          <w:snapToGrid w:val="0"/>
          <w:rtl/>
          <w:lang w:val="en-GB"/>
        </w:rPr>
        <w:t>ر</w:t>
      </w:r>
      <w:r w:rsidRPr="008E6AE7">
        <w:rPr>
          <w:rFonts w:ascii="Simplified Arabic" w:eastAsia="Malgun Gothic" w:hAnsi="Simplified Arabic"/>
          <w:snapToGrid w:val="0"/>
          <w:rtl/>
          <w:lang w:val="en-GB"/>
        </w:rPr>
        <w:t xml:space="preserve"> الأطراف في اتفاقية التنوع البيولوجي التي ليست أطرافا في بروتوكول قرطاجنة بالتزاماتها المتعلقة بالسلامة الأحيائية بموجب الاتفاقية، و</w:t>
      </w:r>
      <w:r w:rsidRPr="008E6AE7">
        <w:rPr>
          <w:rFonts w:ascii="Simplified Arabic" w:eastAsia="Malgun Gothic" w:hAnsi="Simplified Arabic" w:hint="cs"/>
          <w:snapToGrid w:val="0"/>
          <w:rtl/>
          <w:lang w:val="en-GB"/>
        </w:rPr>
        <w:t>ي</w:t>
      </w:r>
      <w:r w:rsidRPr="008E6AE7">
        <w:rPr>
          <w:rFonts w:ascii="Simplified Arabic" w:eastAsia="Malgun Gothic" w:hAnsi="Simplified Arabic"/>
          <w:snapToGrid w:val="0"/>
          <w:rtl/>
          <w:lang w:val="en-GB"/>
        </w:rPr>
        <w:t>دعوها إلى مواصلة إتاحة المعلومات ذات الصلة لغرفة تبادل معلومات السلامة الأحيائية وتقديم التقرير الوطني الرابع بموجب بروتوكول قرطاجنة؛</w:t>
      </w:r>
    </w:p>
    <w:p w:rsidR="00CC7A77" w:rsidRPr="008E6AE7" w:rsidRDefault="00CC7A77" w:rsidP="00CC7A77">
      <w:pPr>
        <w:kinsoku w:val="0"/>
        <w:overflowPunct w:val="0"/>
        <w:autoSpaceDE w:val="0"/>
        <w:autoSpaceDN w:val="0"/>
        <w:spacing w:after="100" w:line="204" w:lineRule="auto"/>
        <w:ind w:left="12" w:firstLine="720"/>
        <w:rPr>
          <w:rFonts w:eastAsia="Malgun Gothic"/>
          <w:kern w:val="22"/>
          <w:szCs w:val="22"/>
          <w:rtl/>
          <w:lang w:val="en-GB"/>
        </w:rPr>
      </w:pPr>
      <w:r w:rsidRPr="008E6AE7">
        <w:rPr>
          <w:rFonts w:ascii="Simplified Arabic" w:eastAsia="Malgun Gothic" w:hAnsi="Simplified Arabic"/>
          <w:snapToGrid w:val="0"/>
          <w:rtl/>
          <w:lang w:val="en-GB"/>
        </w:rPr>
        <w:t>3-</w:t>
      </w:r>
      <w:r w:rsidRPr="008E6AE7">
        <w:rPr>
          <w:rFonts w:ascii="Simplified Arabic" w:eastAsia="Malgun Gothic" w:hAnsi="Simplified Arabic" w:hint="cs"/>
          <w:snapToGrid w:val="0"/>
          <w:rtl/>
          <w:lang w:val="en-GB"/>
        </w:rPr>
        <w:tab/>
      </w:r>
      <w:r w:rsidRPr="008E6AE7">
        <w:rPr>
          <w:rFonts w:ascii="Simplified Arabic" w:eastAsia="Malgun Gothic" w:hAnsi="Simplified Arabic"/>
          <w:i/>
          <w:iCs/>
          <w:snapToGrid w:val="0"/>
          <w:rtl/>
          <w:lang w:val="en-GB"/>
        </w:rPr>
        <w:t>يشجع</w:t>
      </w:r>
      <w:r w:rsidRPr="008E6AE7">
        <w:rPr>
          <w:rFonts w:ascii="Simplified Arabic" w:eastAsia="Malgun Gothic" w:hAnsi="Simplified Arabic"/>
          <w:snapToGrid w:val="0"/>
          <w:rtl/>
          <w:lang w:val="en-GB"/>
        </w:rPr>
        <w:t xml:space="preserve"> الأطراف على وضع وتنفيذ خطط عمل وطنية </w:t>
      </w:r>
      <w:r w:rsidRPr="008E6AE7">
        <w:rPr>
          <w:rFonts w:ascii="Simplified Arabic" w:eastAsia="Malgun Gothic" w:hAnsi="Simplified Arabic" w:hint="cs"/>
          <w:snapToGrid w:val="0"/>
          <w:rtl/>
          <w:lang w:val="en-GB"/>
        </w:rPr>
        <w:t>لتعميم</w:t>
      </w:r>
      <w:r w:rsidRPr="008E6AE7">
        <w:rPr>
          <w:rFonts w:ascii="Simplified Arabic" w:eastAsia="Malgun Gothic" w:hAnsi="Simplified Arabic"/>
          <w:snapToGrid w:val="0"/>
          <w:rtl/>
          <w:lang w:val="en-GB"/>
        </w:rPr>
        <w:t xml:space="preserve"> السلامة الأحيائية في الصكوك القانونية والسياسات</w:t>
      </w:r>
      <w:r w:rsidRPr="008E6AE7">
        <w:rPr>
          <w:rFonts w:ascii="Simplified Arabic" w:eastAsia="Malgun Gothic" w:hAnsi="Simplified Arabic" w:hint="cs"/>
          <w:snapToGrid w:val="0"/>
          <w:rtl/>
          <w:lang w:val="en-GB"/>
        </w:rPr>
        <w:t>ية</w:t>
      </w:r>
      <w:r w:rsidRPr="008E6AE7">
        <w:rPr>
          <w:rFonts w:ascii="Simplified Arabic" w:eastAsia="Malgun Gothic" w:hAnsi="Simplified Arabic"/>
          <w:snapToGrid w:val="0"/>
          <w:rtl/>
          <w:lang w:val="en-GB"/>
        </w:rPr>
        <w:t xml:space="preserve"> الوطنية و</w:t>
      </w:r>
      <w:r w:rsidRPr="008E6AE7">
        <w:rPr>
          <w:rFonts w:ascii="Simplified Arabic" w:eastAsia="Malgun Gothic" w:hAnsi="Simplified Arabic" w:hint="cs"/>
          <w:snapToGrid w:val="0"/>
          <w:rtl/>
          <w:lang w:val="en-GB"/>
        </w:rPr>
        <w:t>الإبلاغ</w:t>
      </w:r>
      <w:r w:rsidRPr="008E6AE7">
        <w:rPr>
          <w:rFonts w:ascii="Simplified Arabic" w:eastAsia="Malgun Gothic" w:hAnsi="Simplified Arabic"/>
          <w:snapToGrid w:val="0"/>
          <w:rtl/>
          <w:lang w:val="en-GB"/>
        </w:rPr>
        <w:t xml:space="preserve"> عن التقدم المحرز في هذا الصدد في تقريرها الوطني؛</w:t>
      </w:r>
    </w:p>
    <w:p w:rsidR="00CC7A77" w:rsidRPr="008E6AE7" w:rsidRDefault="00CC7A77" w:rsidP="00CC7A77">
      <w:pPr>
        <w:kinsoku w:val="0"/>
        <w:overflowPunct w:val="0"/>
        <w:autoSpaceDE w:val="0"/>
        <w:autoSpaceDN w:val="0"/>
        <w:spacing w:after="100" w:line="204" w:lineRule="auto"/>
        <w:ind w:left="12" w:firstLine="720"/>
        <w:rPr>
          <w:rFonts w:ascii="Simplified Arabic" w:eastAsia="Malgun Gothic" w:hAnsi="Simplified Arabic"/>
          <w:snapToGrid w:val="0"/>
          <w:rtl/>
          <w:lang w:val="en-GB"/>
        </w:rPr>
      </w:pPr>
      <w:r w:rsidRPr="008E6AE7">
        <w:rPr>
          <w:rFonts w:ascii="Simplified Arabic" w:eastAsia="Malgun Gothic" w:hAnsi="Simplified Arabic"/>
          <w:snapToGrid w:val="0"/>
          <w:rtl/>
          <w:lang w:val="en-GB"/>
        </w:rPr>
        <w:t>4-</w:t>
      </w:r>
      <w:r w:rsidRPr="008E6AE7">
        <w:rPr>
          <w:rFonts w:ascii="Simplified Arabic" w:eastAsia="Malgun Gothic" w:hAnsi="Simplified Arabic" w:hint="cs"/>
          <w:snapToGrid w:val="0"/>
          <w:rtl/>
          <w:lang w:val="en-GB"/>
        </w:rPr>
        <w:tab/>
      </w:r>
      <w:r w:rsidRPr="008E6AE7">
        <w:rPr>
          <w:rFonts w:eastAsia="Malgun Gothic" w:hint="cs"/>
          <w:i/>
          <w:iCs/>
          <w:snapToGrid w:val="0"/>
          <w:rtl/>
          <w:lang w:val="en-GB"/>
        </w:rPr>
        <w:t xml:space="preserve">يدعو </w:t>
      </w:r>
      <w:r w:rsidRPr="008E6AE7">
        <w:rPr>
          <w:rFonts w:eastAsia="Malgun Gothic" w:hint="cs"/>
          <w:snapToGrid w:val="0"/>
          <w:rtl/>
          <w:lang w:val="en-GB"/>
        </w:rPr>
        <w:t>الحكومات</w:t>
      </w:r>
      <w:r w:rsidRPr="008E6AE7">
        <w:rPr>
          <w:rFonts w:ascii="Simplified Arabic" w:eastAsia="Malgun Gothic" w:hAnsi="Simplified Arabic"/>
          <w:snapToGrid w:val="0"/>
          <w:rtl/>
          <w:lang w:val="en-GB"/>
        </w:rPr>
        <w:t xml:space="preserve"> والمنظمات ذات الصلة</w:t>
      </w:r>
      <w:r w:rsidRPr="008E6AE7">
        <w:rPr>
          <w:rFonts w:eastAsia="Malgun Gothic" w:hint="cs"/>
          <w:snapToGrid w:val="0"/>
          <w:rtl/>
          <w:lang w:val="en-GB"/>
        </w:rPr>
        <w:t xml:space="preserve"> القادرة إلى تقديم الدعم </w:t>
      </w:r>
      <w:r w:rsidRPr="008E6AE7">
        <w:rPr>
          <w:rFonts w:ascii="Simplified Arabic" w:eastAsia="Malgun Gothic" w:hAnsi="Simplified Arabic"/>
          <w:snapToGrid w:val="0"/>
          <w:rtl/>
          <w:lang w:val="en-GB"/>
        </w:rPr>
        <w:t xml:space="preserve">التقني والمالي </w:t>
      </w:r>
      <w:r w:rsidRPr="008E6AE7">
        <w:rPr>
          <w:rFonts w:ascii="Simplified Arabic" w:eastAsia="Malgun Gothic" w:hAnsi="Simplified Arabic" w:hint="cs"/>
          <w:snapToGrid w:val="0"/>
          <w:rtl/>
          <w:lang w:val="en-GB"/>
        </w:rPr>
        <w:t>اللازم ل</w:t>
      </w:r>
      <w:r w:rsidRPr="008E6AE7">
        <w:rPr>
          <w:rFonts w:ascii="Simplified Arabic" w:eastAsia="Malgun Gothic" w:hAnsi="Simplified Arabic"/>
          <w:snapToGrid w:val="0"/>
          <w:rtl/>
          <w:lang w:val="en-GB"/>
        </w:rPr>
        <w:t xml:space="preserve">تلبية </w:t>
      </w:r>
      <w:r w:rsidRPr="008E6AE7">
        <w:rPr>
          <w:rFonts w:ascii="Simplified Arabic" w:eastAsia="Malgun Gothic" w:hAnsi="Simplified Arabic" w:hint="cs"/>
          <w:snapToGrid w:val="0"/>
          <w:rtl/>
          <w:lang w:val="en-GB"/>
        </w:rPr>
        <w:t>ا</w:t>
      </w:r>
      <w:r>
        <w:rPr>
          <w:rFonts w:ascii="Simplified Arabic" w:eastAsia="Malgun Gothic" w:hAnsi="Simplified Arabic" w:hint="cs"/>
          <w:snapToGrid w:val="0"/>
          <w:rtl/>
          <w:lang w:val="en-GB"/>
        </w:rPr>
        <w:t>لا</w:t>
      </w:r>
      <w:r w:rsidRPr="008E6AE7">
        <w:rPr>
          <w:rFonts w:ascii="Simplified Arabic" w:eastAsia="Malgun Gothic" w:hAnsi="Simplified Arabic" w:hint="cs"/>
          <w:snapToGrid w:val="0"/>
          <w:rtl/>
          <w:lang w:val="en-GB"/>
        </w:rPr>
        <w:t>حتياجات إلى</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 xml:space="preserve">أنشطة </w:t>
      </w:r>
      <w:r w:rsidRPr="008E6AE7">
        <w:rPr>
          <w:rFonts w:ascii="Simplified Arabic" w:eastAsia="Malgun Gothic" w:hAnsi="Simplified Arabic"/>
          <w:snapToGrid w:val="0"/>
          <w:rtl/>
          <w:lang w:val="en-GB"/>
        </w:rPr>
        <w:t xml:space="preserve">بناء القدرات </w:t>
      </w:r>
      <w:r w:rsidRPr="008E6AE7">
        <w:rPr>
          <w:rFonts w:ascii="Simplified Arabic" w:eastAsia="Malgun Gothic" w:hAnsi="Simplified Arabic" w:hint="cs"/>
          <w:snapToGrid w:val="0"/>
          <w:rtl/>
          <w:lang w:val="en-GB"/>
        </w:rPr>
        <w:t>وتنميتها</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وكذلك توفير</w:t>
      </w:r>
      <w:r w:rsidRPr="008E6AE7">
        <w:rPr>
          <w:rFonts w:ascii="Simplified Arabic" w:eastAsia="Malgun Gothic" w:hAnsi="Simplified Arabic"/>
          <w:snapToGrid w:val="0"/>
          <w:rtl/>
          <w:lang w:val="en-GB"/>
        </w:rPr>
        <w:t xml:space="preserve"> الموارد المالية</w:t>
      </w:r>
      <w:r w:rsidRPr="008E6AE7">
        <w:rPr>
          <w:rFonts w:ascii="Simplified Arabic" w:eastAsia="Malgun Gothic" w:hAnsi="Simplified Arabic" w:hint="cs"/>
          <w:snapToGrid w:val="0"/>
          <w:rtl/>
          <w:lang w:val="en-GB"/>
        </w:rPr>
        <w:t xml:space="preserve"> اللازمة</w:t>
      </w:r>
      <w:r w:rsidRPr="008E6AE7">
        <w:rPr>
          <w:rFonts w:ascii="Simplified Arabic" w:eastAsia="Malgun Gothic" w:hAnsi="Simplified Arabic"/>
          <w:snapToGrid w:val="0"/>
          <w:rtl/>
          <w:lang w:val="en-GB"/>
        </w:rPr>
        <w:t xml:space="preserve"> لدعم التصديق على بروتوكول قرطاجنة وتنفيذه</w:t>
      </w:r>
      <w:r w:rsidRPr="008E6AE7">
        <w:rPr>
          <w:rFonts w:ascii="Simplified Arabic" w:eastAsia="Malgun Gothic" w:hAnsi="Simplified Arabic" w:hint="cs"/>
          <w:snapToGrid w:val="0"/>
          <w:rtl/>
          <w:lang w:val="en-GB"/>
        </w:rPr>
        <w:t>،</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 xml:space="preserve">إلى </w:t>
      </w:r>
      <w:r w:rsidRPr="008E6AE7">
        <w:rPr>
          <w:rFonts w:eastAsia="Malgun Gothic" w:hint="cs"/>
          <w:snapToGrid w:val="0"/>
          <w:rtl/>
          <w:lang w:val="en-GB"/>
        </w:rPr>
        <w:t>القيام بذلك؛</w:t>
      </w:r>
    </w:p>
    <w:p w:rsidR="00CC7A77" w:rsidRPr="008E6AE7" w:rsidRDefault="00CC7A77" w:rsidP="00CC7A77">
      <w:pPr>
        <w:kinsoku w:val="0"/>
        <w:overflowPunct w:val="0"/>
        <w:autoSpaceDE w:val="0"/>
        <w:autoSpaceDN w:val="0"/>
        <w:spacing w:after="100" w:line="204" w:lineRule="auto"/>
        <w:ind w:left="12" w:firstLine="720"/>
        <w:rPr>
          <w:rFonts w:eastAsia="Malgun Gothic"/>
          <w:kern w:val="22"/>
          <w:rtl/>
        </w:rPr>
      </w:pPr>
      <w:r w:rsidRPr="008E6AE7">
        <w:rPr>
          <w:rFonts w:ascii="Simplified Arabic" w:eastAsia="Malgun Gothic" w:hAnsi="Simplified Arabic"/>
          <w:snapToGrid w:val="0"/>
          <w:rtl/>
          <w:lang w:val="en-GB"/>
        </w:rPr>
        <w:t>5-</w:t>
      </w:r>
      <w:r w:rsidRPr="008E6AE7">
        <w:rPr>
          <w:rFonts w:ascii="Simplified Arabic" w:eastAsia="Malgun Gothic" w:hAnsi="Simplified Arabic" w:hint="cs"/>
          <w:snapToGrid w:val="0"/>
          <w:rtl/>
          <w:lang w:val="en-GB"/>
        </w:rPr>
        <w:tab/>
      </w:r>
      <w:r w:rsidRPr="008E6AE7">
        <w:rPr>
          <w:rFonts w:ascii="Simplified Arabic" w:eastAsia="Malgun Gothic" w:hAnsi="Simplified Arabic"/>
          <w:i/>
          <w:iCs/>
          <w:snapToGrid w:val="0"/>
          <w:rtl/>
          <w:lang w:val="en-GB"/>
        </w:rPr>
        <w:t>يوافق</w:t>
      </w:r>
      <w:r w:rsidRPr="008E6AE7">
        <w:rPr>
          <w:rFonts w:ascii="Simplified Arabic" w:eastAsia="Malgun Gothic" w:hAnsi="Simplified Arabic"/>
          <w:snapToGrid w:val="0"/>
          <w:rtl/>
          <w:lang w:val="en-GB"/>
        </w:rPr>
        <w:t xml:space="preserve"> على النظر في إضافة اعتبارات السلامة الأحيائية إلى </w:t>
      </w:r>
      <w:r w:rsidRPr="008E6AE7">
        <w:rPr>
          <w:rFonts w:ascii="Simplified Arabic" w:eastAsia="Calibri" w:hAnsi="Simplified Arabic"/>
          <w:snapToGrid w:val="0"/>
          <w:kern w:val="22"/>
          <w:rtl/>
          <w:lang w:val="en-GB"/>
        </w:rPr>
        <w:t>الإطار العالمي للتنوع البيولوجي لما بعد</w:t>
      </w:r>
      <w:r w:rsidRPr="008E6AE7">
        <w:rPr>
          <w:rFonts w:ascii="Simplified Arabic" w:eastAsia="Calibri" w:hAnsi="Simplified Arabic" w:hint="cs"/>
          <w:snapToGrid w:val="0"/>
          <w:kern w:val="22"/>
          <w:rtl/>
          <w:lang w:val="en-GB"/>
        </w:rPr>
        <w:t xml:space="preserve"> عام</w:t>
      </w:r>
      <w:r w:rsidRPr="008E6AE7">
        <w:rPr>
          <w:rFonts w:ascii="Simplified Arabic" w:eastAsia="Calibri" w:hAnsi="Simplified Arabic"/>
          <w:snapToGrid w:val="0"/>
          <w:kern w:val="22"/>
          <w:rtl/>
          <w:lang w:val="en-GB"/>
        </w:rPr>
        <w:t xml:space="preserve"> 2020</w:t>
      </w:r>
      <w:r w:rsidRPr="008E6AE7">
        <w:rPr>
          <w:rFonts w:ascii="Simplified Arabic" w:eastAsia="Malgun Gothic" w:hAnsi="Simplified Arabic"/>
          <w:snapToGrid w:val="0"/>
          <w:rtl/>
          <w:lang w:val="en-GB"/>
        </w:rPr>
        <w:t xml:space="preserve"> و</w:t>
      </w:r>
      <w:r w:rsidRPr="008E6AE7">
        <w:rPr>
          <w:rFonts w:ascii="Simplified Arabic" w:eastAsia="Malgun Gothic" w:hAnsi="Simplified Arabic" w:hint="cs"/>
          <w:snapToGrid w:val="0"/>
          <w:rtl/>
          <w:lang w:val="en-GB"/>
        </w:rPr>
        <w:t>نموذج الإبلاغ</w:t>
      </w:r>
      <w:r w:rsidRPr="008E6AE7">
        <w:rPr>
          <w:rFonts w:ascii="Simplified Arabic" w:eastAsia="Malgun Gothic" w:hAnsi="Simplified Arabic"/>
          <w:snapToGrid w:val="0"/>
          <w:rtl/>
          <w:lang w:val="en-GB"/>
        </w:rPr>
        <w:t xml:space="preserve"> الوطني</w:t>
      </w:r>
      <w:r w:rsidRPr="008E6AE7">
        <w:rPr>
          <w:rFonts w:ascii="Simplified Arabic" w:eastAsia="Malgun Gothic" w:hAnsi="Simplified Arabic" w:hint="cs"/>
          <w:snapToGrid w:val="0"/>
          <w:rtl/>
          <w:lang w:val="en-GB"/>
        </w:rPr>
        <w:t xml:space="preserve"> </w:t>
      </w:r>
      <w:r w:rsidRPr="008E6AE7">
        <w:rPr>
          <w:rFonts w:ascii="Simplified Arabic" w:eastAsia="Malgun Gothic" w:hAnsi="Simplified Arabic"/>
          <w:snapToGrid w:val="0"/>
          <w:rtl/>
          <w:lang w:val="en-GB"/>
        </w:rPr>
        <w:t xml:space="preserve">في إطار الاتفاقية، وإلى مجالات العمل الأخرى </w:t>
      </w:r>
      <w:r w:rsidRPr="008E6AE7">
        <w:rPr>
          <w:rFonts w:ascii="Simplified Arabic" w:eastAsia="Malgun Gothic" w:hAnsi="Simplified Arabic" w:hint="cs"/>
          <w:snapToGrid w:val="0"/>
          <w:rtl/>
          <w:lang w:val="en-GB"/>
        </w:rPr>
        <w:t>في إطار</w:t>
      </w:r>
      <w:r w:rsidRPr="008E6AE7">
        <w:rPr>
          <w:rFonts w:ascii="Simplified Arabic" w:eastAsia="Malgun Gothic" w:hAnsi="Simplified Arabic"/>
          <w:snapToGrid w:val="0"/>
          <w:rtl/>
          <w:lang w:val="en-GB"/>
        </w:rPr>
        <w:t xml:space="preserve"> الاتفاقية؛</w:t>
      </w:r>
    </w:p>
    <w:p w:rsidR="00CC7A77" w:rsidRPr="008E6AE7" w:rsidRDefault="00CC7A77" w:rsidP="00CC7A77">
      <w:pPr>
        <w:kinsoku w:val="0"/>
        <w:overflowPunct w:val="0"/>
        <w:autoSpaceDE w:val="0"/>
        <w:autoSpaceDN w:val="0"/>
        <w:spacing w:after="100" w:line="204" w:lineRule="auto"/>
        <w:ind w:left="12" w:firstLine="720"/>
        <w:rPr>
          <w:rFonts w:ascii="Simplified Arabic" w:eastAsia="Malgun Gothic" w:hAnsi="Simplified Arabic"/>
          <w:snapToGrid w:val="0"/>
        </w:rPr>
      </w:pPr>
      <w:r w:rsidRPr="008E6AE7">
        <w:rPr>
          <w:rFonts w:ascii="Simplified Arabic" w:eastAsia="Malgun Gothic" w:hAnsi="Simplified Arabic"/>
          <w:snapToGrid w:val="0"/>
          <w:rtl/>
          <w:lang w:val="en-GB"/>
        </w:rPr>
        <w:t>6-</w:t>
      </w:r>
      <w:r w:rsidRPr="008E6AE7">
        <w:rPr>
          <w:rFonts w:ascii="Simplified Arabic" w:eastAsia="Malgun Gothic" w:hAnsi="Simplified Arabic" w:hint="cs"/>
          <w:snapToGrid w:val="0"/>
          <w:rtl/>
          <w:lang w:val="en-GB"/>
        </w:rPr>
        <w:tab/>
      </w:r>
      <w:r w:rsidRPr="008E6AE7">
        <w:rPr>
          <w:rFonts w:ascii="Simplified Arabic" w:eastAsia="Malgun Gothic" w:hAnsi="Simplified Arabic"/>
          <w:i/>
          <w:iCs/>
          <w:snapToGrid w:val="0"/>
          <w:rtl/>
          <w:lang w:val="en-GB"/>
        </w:rPr>
        <w:t>يطلب</w:t>
      </w:r>
      <w:r w:rsidRPr="008E6AE7">
        <w:rPr>
          <w:rFonts w:ascii="Simplified Arabic" w:eastAsia="Malgun Gothic" w:hAnsi="Simplified Arabic"/>
          <w:snapToGrid w:val="0"/>
          <w:rtl/>
          <w:lang w:val="en-GB"/>
        </w:rPr>
        <w:t xml:space="preserve"> إلى الأمين</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التنفيذي</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رهنا بتوافر الموارد ومع مراعاة أهداف الاتفاقية وبروتوكول قرطاجنة </w:t>
      </w:r>
      <w:r w:rsidRPr="008E6AE7">
        <w:rPr>
          <w:rFonts w:ascii="Simplified Arabic" w:eastAsia="Malgun Gothic" w:hAnsi="Simplified Arabic" w:hint="cs"/>
          <w:snapToGrid w:val="0"/>
          <w:rtl/>
          <w:lang w:val="en-GB"/>
        </w:rPr>
        <w:t>و</w:t>
      </w:r>
      <w:r w:rsidRPr="008E6AE7">
        <w:rPr>
          <w:rFonts w:ascii="Simplified Arabic" w:eastAsia="Malgun Gothic" w:hAnsi="Simplified Arabic"/>
          <w:snapToGrid w:val="0"/>
          <w:rtl/>
          <w:lang w:val="en-GB"/>
        </w:rPr>
        <w:t>بروتوكول ناغويا-</w:t>
      </w:r>
      <w:r w:rsidRPr="008E6AE7">
        <w:rPr>
          <w:rFonts w:ascii="Simplified Arabic" w:eastAsia="Malgun Gothic" w:hAnsi="Simplified Arabic" w:hint="cs"/>
          <w:snapToGrid w:val="0"/>
          <w:rtl/>
          <w:lang w:val="en-GB"/>
        </w:rPr>
        <w:t xml:space="preserve"> </w:t>
      </w:r>
      <w:r w:rsidRPr="008E6AE7">
        <w:rPr>
          <w:rFonts w:ascii="Simplified Arabic" w:eastAsia="Malgun Gothic" w:hAnsi="Simplified Arabic"/>
          <w:snapToGrid w:val="0"/>
          <w:rtl/>
          <w:lang w:val="en-GB"/>
        </w:rPr>
        <w:t>كوالالمبور التكميلي بشأن المسؤولية والجبر التعويضي، مواصلة</w:t>
      </w:r>
      <w:r w:rsidRPr="008E6AE7">
        <w:rPr>
          <w:rFonts w:ascii="Simplified Arabic" w:eastAsia="Malgun Gothic" w:hAnsi="Simplified Arabic" w:hint="cs"/>
          <w:snapToGrid w:val="0"/>
          <w:rtl/>
          <w:lang w:val="en-GB"/>
        </w:rPr>
        <w:t xml:space="preserve"> بذل</w:t>
      </w:r>
      <w:r w:rsidRPr="008E6AE7">
        <w:rPr>
          <w:rFonts w:ascii="Simplified Arabic" w:eastAsia="Malgun Gothic" w:hAnsi="Simplified Arabic"/>
          <w:snapToGrid w:val="0"/>
          <w:rtl/>
          <w:lang w:val="en-GB"/>
        </w:rPr>
        <w:t xml:space="preserve"> الجهود من أجل</w:t>
      </w:r>
      <w:r w:rsidRPr="008E6AE7">
        <w:rPr>
          <w:rFonts w:ascii="Simplified Arabic" w:eastAsia="Malgun Gothic" w:hAnsi="Simplified Arabic" w:hint="cs"/>
          <w:snapToGrid w:val="0"/>
          <w:rtl/>
          <w:lang w:val="en-GB"/>
        </w:rPr>
        <w:t>:</w:t>
      </w:r>
      <w:r w:rsidRPr="008E6AE7">
        <w:rPr>
          <w:rFonts w:ascii="Simplified Arabic" w:eastAsia="Malgun Gothic" w:hAnsi="Simplified Arabic"/>
          <w:snapToGrid w:val="0"/>
          <w:rtl/>
          <w:lang w:val="en-GB"/>
        </w:rPr>
        <w:t xml:space="preserve"> (أ) دمج السلامة الأحيائية في </w:t>
      </w:r>
      <w:r w:rsidRPr="008E6AE7">
        <w:rPr>
          <w:rFonts w:ascii="Simplified Arabic" w:eastAsia="Malgun Gothic" w:hAnsi="Simplified Arabic" w:hint="cs"/>
          <w:snapToGrid w:val="0"/>
          <w:rtl/>
          <w:lang w:val="en-GB"/>
        </w:rPr>
        <w:t>جميع</w:t>
      </w:r>
      <w:r w:rsidRPr="008E6AE7">
        <w:rPr>
          <w:rFonts w:ascii="Simplified Arabic" w:eastAsia="Malgun Gothic" w:hAnsi="Simplified Arabic"/>
          <w:snapToGrid w:val="0"/>
          <w:rtl/>
          <w:lang w:val="en-GB"/>
        </w:rPr>
        <w:t xml:space="preserve"> برامج عمل الأمانة؛ (ب) </w:t>
      </w:r>
      <w:r w:rsidRPr="008E6AE7">
        <w:rPr>
          <w:rFonts w:ascii="Simplified Arabic" w:eastAsia="Malgun Gothic" w:hAnsi="Simplified Arabic" w:hint="cs"/>
          <w:snapToGrid w:val="0"/>
          <w:rtl/>
          <w:lang w:val="en-GB"/>
        </w:rPr>
        <w:t xml:space="preserve">وزيادة </w:t>
      </w:r>
      <w:r w:rsidRPr="008E6AE7">
        <w:rPr>
          <w:rFonts w:ascii="Simplified Arabic" w:eastAsia="Malgun Gothic" w:hAnsi="Simplified Arabic"/>
          <w:snapToGrid w:val="0"/>
          <w:rtl/>
          <w:lang w:val="en-GB"/>
        </w:rPr>
        <w:t>ال</w:t>
      </w:r>
      <w:r w:rsidRPr="008E6AE7">
        <w:rPr>
          <w:rFonts w:ascii="Simplified Arabic" w:eastAsia="Malgun Gothic" w:hAnsi="Simplified Arabic" w:hint="cs"/>
          <w:snapToGrid w:val="0"/>
          <w:rtl/>
          <w:lang w:val="en-GB"/>
        </w:rPr>
        <w:t>ت</w:t>
      </w:r>
      <w:r w:rsidRPr="008E6AE7">
        <w:rPr>
          <w:rFonts w:ascii="Simplified Arabic" w:eastAsia="Malgun Gothic" w:hAnsi="Simplified Arabic"/>
          <w:snapToGrid w:val="0"/>
          <w:rtl/>
          <w:lang w:val="en-GB"/>
        </w:rPr>
        <w:t>وعي</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بأحكام</w:t>
      </w:r>
      <w:r w:rsidRPr="008E6AE7">
        <w:rPr>
          <w:rFonts w:ascii="Simplified Arabic" w:eastAsia="Malgun Gothic" w:hAnsi="Simplified Arabic" w:hint="cs"/>
          <w:snapToGrid w:val="0"/>
          <w:rtl/>
          <w:lang w:val="en-GB"/>
        </w:rPr>
        <w:t xml:space="preserve"> </w:t>
      </w:r>
      <w:r w:rsidRPr="008E6AE7">
        <w:rPr>
          <w:rFonts w:ascii="Simplified Arabic" w:eastAsia="Malgun Gothic" w:hAnsi="Simplified Arabic"/>
          <w:snapToGrid w:val="0"/>
          <w:rtl/>
          <w:lang w:val="en-GB"/>
        </w:rPr>
        <w:t>الاتفاقية وبروتوكول قرطاجنة المت</w:t>
      </w:r>
      <w:r w:rsidRPr="008E6AE7">
        <w:rPr>
          <w:rFonts w:ascii="Simplified Arabic" w:eastAsia="Malgun Gothic" w:hAnsi="Simplified Arabic" w:hint="cs"/>
          <w:snapToGrid w:val="0"/>
          <w:rtl/>
          <w:lang w:val="en-GB"/>
        </w:rPr>
        <w:t>صل</w:t>
      </w:r>
      <w:r w:rsidRPr="008E6AE7">
        <w:rPr>
          <w:rFonts w:ascii="Simplified Arabic" w:eastAsia="Malgun Gothic" w:hAnsi="Simplified Arabic"/>
          <w:snapToGrid w:val="0"/>
          <w:rtl/>
          <w:lang w:val="en-GB"/>
        </w:rPr>
        <w:t xml:space="preserve">ة بالسلامة الأحيائية؛ (ج) </w:t>
      </w:r>
      <w:r w:rsidRPr="008E6AE7">
        <w:rPr>
          <w:rFonts w:ascii="Simplified Arabic" w:eastAsia="Malgun Gothic" w:hAnsi="Simplified Arabic" w:hint="cs"/>
          <w:snapToGrid w:val="0"/>
          <w:rtl/>
          <w:lang w:val="en-GB"/>
        </w:rPr>
        <w:t>و</w:t>
      </w:r>
      <w:r w:rsidRPr="008E6AE7">
        <w:rPr>
          <w:rFonts w:ascii="Simplified Arabic" w:eastAsia="Malgun Gothic" w:hAnsi="Simplified Arabic"/>
          <w:snapToGrid w:val="0"/>
          <w:rtl/>
          <w:lang w:val="en-GB"/>
        </w:rPr>
        <w:t>دعم الأطراف في جهود</w:t>
      </w:r>
      <w:r w:rsidRPr="008E6AE7">
        <w:rPr>
          <w:rFonts w:ascii="Simplified Arabic" w:eastAsia="Malgun Gothic" w:hAnsi="Simplified Arabic" w:hint="cs"/>
          <w:snapToGrid w:val="0"/>
          <w:rtl/>
          <w:lang w:val="en-GB"/>
        </w:rPr>
        <w:t>ها</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الرامية إلى</w:t>
      </w:r>
      <w:r w:rsidRPr="008E6AE7">
        <w:rPr>
          <w:rFonts w:ascii="Simplified Arabic" w:eastAsia="Malgun Gothic" w:hAnsi="Simplified Arabic"/>
          <w:snapToGrid w:val="0"/>
          <w:rtl/>
          <w:lang w:val="en-GB"/>
        </w:rPr>
        <w:t xml:space="preserve"> دمج السلامة الأحيائية </w:t>
      </w:r>
      <w:r w:rsidRPr="008E6AE7">
        <w:rPr>
          <w:rFonts w:ascii="Simplified Arabic" w:eastAsia="Malgun Gothic" w:hAnsi="Simplified Arabic" w:hint="cs"/>
          <w:snapToGrid w:val="0"/>
          <w:rtl/>
          <w:lang w:val="en-GB"/>
        </w:rPr>
        <w:t>في</w:t>
      </w:r>
      <w:r w:rsidRPr="008E6AE7">
        <w:rPr>
          <w:rFonts w:ascii="Simplified Arabic" w:eastAsia="Malgun Gothic" w:hAnsi="Simplified Arabic"/>
          <w:snapToGrid w:val="0"/>
          <w:rtl/>
          <w:lang w:val="en-GB"/>
        </w:rPr>
        <w:t xml:space="preserve"> مختلف القطاعات على المستوى الوطني</w:t>
      </w:r>
      <w:r w:rsidRPr="008E6AE7">
        <w:rPr>
          <w:rFonts w:ascii="Simplified Arabic" w:eastAsia="Malgun Gothic" w:hAnsi="Simplified Arabic" w:hint="cs"/>
          <w:snapToGrid w:val="0"/>
          <w:rtl/>
          <w:lang w:val="en-GB"/>
        </w:rPr>
        <w:t>؛</w:t>
      </w:r>
    </w:p>
    <w:p w:rsidR="00CC7A77" w:rsidRPr="008E6AE7" w:rsidRDefault="00CC7A77" w:rsidP="00CC7A77">
      <w:pPr>
        <w:kinsoku w:val="0"/>
        <w:overflowPunct w:val="0"/>
        <w:autoSpaceDE w:val="0"/>
        <w:autoSpaceDN w:val="0"/>
        <w:adjustRightInd w:val="0"/>
        <w:snapToGrid w:val="0"/>
        <w:spacing w:after="100" w:line="204" w:lineRule="auto"/>
        <w:ind w:right="389"/>
        <w:jc w:val="center"/>
        <w:rPr>
          <w:b/>
          <w:bCs/>
          <w:kern w:val="22"/>
          <w:sz w:val="20"/>
          <w:szCs w:val="22"/>
          <w:rtl/>
        </w:rPr>
      </w:pPr>
      <w:r>
        <w:rPr>
          <w:rFonts w:ascii="Simplified Arabic" w:hAnsi="Simplified Arabic" w:hint="cs"/>
          <w:b/>
          <w:bCs/>
          <w:rtl/>
        </w:rPr>
        <w:t>باء-</w:t>
      </w:r>
      <w:r>
        <w:rPr>
          <w:rFonts w:ascii="Simplified Arabic" w:hAnsi="Simplified Arabic" w:hint="cs"/>
          <w:b/>
          <w:bCs/>
          <w:rtl/>
        </w:rPr>
        <w:tab/>
      </w:r>
      <w:r w:rsidRPr="008E6AE7">
        <w:rPr>
          <w:rFonts w:ascii="Simplified Arabic" w:hAnsi="Simplified Arabic" w:hint="cs"/>
          <w:b/>
          <w:bCs/>
          <w:rtl/>
        </w:rPr>
        <w:t>الأحكام المتصلة بالحصول وتقاسم المنافع</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rtl/>
        </w:rPr>
      </w:pPr>
      <w:r w:rsidRPr="008E6AE7">
        <w:rPr>
          <w:rFonts w:ascii="Simplified Arabic" w:eastAsia="Malgun Gothic" w:hAnsi="Simplified Arabic"/>
          <w:i/>
          <w:iCs/>
          <w:snapToGrid w:val="0"/>
          <w:rtl/>
          <w:lang w:val="en-GB"/>
        </w:rPr>
        <w:t>يرحب</w:t>
      </w:r>
      <w:r w:rsidRPr="008E6AE7">
        <w:rPr>
          <w:rFonts w:ascii="Simplified Arabic" w:eastAsia="Malgun Gothic" w:hAnsi="Simplified Arabic"/>
          <w:snapToGrid w:val="0"/>
          <w:rtl/>
          <w:lang w:val="en-GB"/>
        </w:rPr>
        <w:t xml:space="preserve"> بالجهود التي تبذلها الأطراف </w:t>
      </w:r>
      <w:r>
        <w:rPr>
          <w:rFonts w:ascii="Simplified Arabic" w:eastAsia="Malgun Gothic" w:hAnsi="Simplified Arabic" w:hint="cs"/>
          <w:snapToGrid w:val="0"/>
          <w:rtl/>
          <w:lang w:val="en-GB"/>
        </w:rPr>
        <w:t xml:space="preserve">في تنفيذ بروتوكول ناغويا بشأن الحصول على الموارد الجينية والتقاسم العادل والمنصف للمنافع الناشئة عن استخدامها، فضلا عن الجهود التي تبذلها </w:t>
      </w:r>
      <w:r w:rsidRPr="008E6AE7">
        <w:rPr>
          <w:rFonts w:ascii="Simplified Arabic" w:eastAsia="Malgun Gothic" w:hAnsi="Simplified Arabic"/>
          <w:snapToGrid w:val="0"/>
          <w:rtl/>
          <w:lang w:val="en-GB"/>
        </w:rPr>
        <w:t xml:space="preserve">غير الأطراف </w:t>
      </w:r>
      <w:r>
        <w:rPr>
          <w:rFonts w:ascii="Simplified Arabic" w:eastAsia="Malgun Gothic" w:hAnsi="Simplified Arabic" w:hint="cs"/>
          <w:snapToGrid w:val="0"/>
          <w:rtl/>
          <w:lang w:val="en-GB"/>
        </w:rPr>
        <w:t>نحو</w:t>
      </w:r>
      <w:r w:rsidRPr="008E6AE7">
        <w:rPr>
          <w:rFonts w:ascii="Simplified Arabic" w:eastAsia="Malgun Gothic" w:hAnsi="Simplified Arabic" w:hint="cs"/>
          <w:snapToGrid w:val="0"/>
          <w:rtl/>
          <w:lang w:val="en-GB"/>
        </w:rPr>
        <w:t xml:space="preserve"> ا</w:t>
      </w:r>
      <w:r>
        <w:rPr>
          <w:rFonts w:ascii="Simplified Arabic" w:eastAsia="Malgun Gothic" w:hAnsi="Simplified Arabic"/>
          <w:snapToGrid w:val="0"/>
          <w:rtl/>
          <w:lang w:val="en-GB"/>
        </w:rPr>
        <w:t>لتصديق على البروتوكول</w:t>
      </w:r>
      <w:r w:rsidRPr="008E6AE7">
        <w:rPr>
          <w:rFonts w:ascii="Simplified Arabic" w:eastAsia="Malgun Gothic" w:hAnsi="Simplified Arabic"/>
          <w:snapToGrid w:val="0"/>
          <w:rtl/>
          <w:lang w:val="en-GB"/>
        </w:rPr>
        <w:t>؛</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rtl/>
          <w:lang w:val="en-GB"/>
        </w:rPr>
      </w:pPr>
      <w:r w:rsidRPr="008E6AE7">
        <w:rPr>
          <w:rFonts w:ascii="Simplified Arabic" w:eastAsia="Calibri" w:hAnsi="Simplified Arabic"/>
          <w:i/>
          <w:iCs/>
          <w:snapToGrid w:val="0"/>
          <w:kern w:val="22"/>
          <w:rtl/>
          <w:lang w:val="en-GB"/>
        </w:rPr>
        <w:t>يحث</w:t>
      </w:r>
      <w:r w:rsidRPr="008E6AE7">
        <w:rPr>
          <w:rFonts w:ascii="Simplified Arabic" w:eastAsia="Calibri" w:hAnsi="Simplified Arabic"/>
          <w:snapToGrid w:val="0"/>
          <w:kern w:val="22"/>
          <w:rtl/>
          <w:lang w:val="en-GB"/>
        </w:rPr>
        <w:t xml:space="preserve"> الأطراف في </w:t>
      </w:r>
      <w:r w:rsidRPr="008E6AE7">
        <w:rPr>
          <w:rFonts w:ascii="Simplified Arabic" w:eastAsia="Malgun Gothic" w:hAnsi="Simplified Arabic"/>
          <w:snapToGrid w:val="0"/>
          <w:rtl/>
          <w:lang w:val="en-GB"/>
        </w:rPr>
        <w:t>اتفاقية التنوع</w:t>
      </w:r>
      <w:r w:rsidRPr="008E6AE7">
        <w:rPr>
          <w:rFonts w:ascii="Simplified Arabic" w:eastAsia="Calibri" w:hAnsi="Simplified Arabic"/>
          <w:snapToGrid w:val="0"/>
          <w:kern w:val="22"/>
          <w:rtl/>
          <w:lang w:val="en-GB"/>
        </w:rPr>
        <w:t xml:space="preserve"> البيولوجي </w:t>
      </w:r>
      <w:r w:rsidRPr="008E6AE7">
        <w:rPr>
          <w:rFonts w:ascii="Simplified Arabic" w:eastAsia="Calibri" w:hAnsi="Simplified Arabic" w:hint="cs"/>
          <w:snapToGrid w:val="0"/>
          <w:kern w:val="22"/>
          <w:rtl/>
          <w:lang w:val="en-GB"/>
        </w:rPr>
        <w:t xml:space="preserve">على </w:t>
      </w:r>
      <w:r w:rsidRPr="008E6AE7">
        <w:rPr>
          <w:rFonts w:ascii="Simplified Arabic" w:eastAsia="Calibri" w:hAnsi="Simplified Arabic"/>
          <w:snapToGrid w:val="0"/>
          <w:kern w:val="22"/>
          <w:rtl/>
          <w:lang w:val="en-GB"/>
        </w:rPr>
        <w:t>أن تودع صك تصديقها</w:t>
      </w:r>
      <w:r w:rsidRPr="008E6AE7">
        <w:rPr>
          <w:rFonts w:ascii="Simplified Arabic" w:eastAsia="Calibri" w:hAnsi="Simplified Arabic" w:hint="cs"/>
          <w:snapToGrid w:val="0"/>
          <w:kern w:val="22"/>
          <w:rtl/>
          <w:lang w:val="en-GB"/>
        </w:rPr>
        <w:t xml:space="preserve"> على </w:t>
      </w:r>
      <w:r w:rsidRPr="008E6AE7">
        <w:rPr>
          <w:rFonts w:ascii="Simplified Arabic" w:eastAsia="Malgun Gothic" w:hAnsi="Simplified Arabic"/>
          <w:snapToGrid w:val="0"/>
          <w:rtl/>
          <w:lang w:val="en-GB"/>
        </w:rPr>
        <w:t xml:space="preserve">بروتوكول ناغويا </w:t>
      </w:r>
      <w:r w:rsidRPr="008E6AE7">
        <w:rPr>
          <w:rFonts w:ascii="Simplified Arabic" w:eastAsia="Calibri" w:hAnsi="Simplified Arabic"/>
          <w:snapToGrid w:val="0"/>
          <w:kern w:val="22"/>
          <w:rtl/>
          <w:lang w:val="en-GB"/>
        </w:rPr>
        <w:t>أو قبولها</w:t>
      </w:r>
      <w:r w:rsidRPr="008E6AE7">
        <w:rPr>
          <w:rFonts w:ascii="Simplified Arabic" w:eastAsia="Calibri" w:hAnsi="Simplified Arabic" w:hint="cs"/>
          <w:snapToGrid w:val="0"/>
          <w:kern w:val="22"/>
          <w:rtl/>
          <w:lang w:val="en-GB"/>
        </w:rPr>
        <w:t xml:space="preserve"> له</w:t>
      </w:r>
      <w:r w:rsidRPr="008E6AE7">
        <w:rPr>
          <w:rFonts w:ascii="Simplified Arabic" w:eastAsia="Calibri" w:hAnsi="Simplified Arabic"/>
          <w:snapToGrid w:val="0"/>
          <w:kern w:val="22"/>
          <w:rtl/>
          <w:lang w:val="en-GB"/>
        </w:rPr>
        <w:t xml:space="preserve"> أو موافقتها</w:t>
      </w:r>
      <w:r w:rsidRPr="008E6AE7">
        <w:rPr>
          <w:rFonts w:ascii="Simplified Arabic" w:eastAsia="Calibri" w:hAnsi="Simplified Arabic" w:hint="cs"/>
          <w:snapToGrid w:val="0"/>
          <w:kern w:val="22"/>
          <w:rtl/>
          <w:lang w:val="en-GB"/>
        </w:rPr>
        <w:t xml:space="preserve"> عليه</w:t>
      </w:r>
      <w:r w:rsidRPr="008E6AE7">
        <w:rPr>
          <w:rFonts w:ascii="Simplified Arabic" w:eastAsia="Calibri" w:hAnsi="Simplified Arabic"/>
          <w:snapToGrid w:val="0"/>
          <w:kern w:val="22"/>
          <w:rtl/>
          <w:lang w:val="en-GB"/>
        </w:rPr>
        <w:t xml:space="preserve"> أو </w:t>
      </w:r>
      <w:r w:rsidRPr="008E6AE7">
        <w:rPr>
          <w:rFonts w:ascii="Simplified Arabic" w:eastAsia="Calibri" w:hAnsi="Simplified Arabic" w:hint="cs"/>
          <w:snapToGrid w:val="0"/>
          <w:kern w:val="22"/>
          <w:rtl/>
          <w:lang w:val="en-GB"/>
        </w:rPr>
        <w:t>انضمامها إليه</w:t>
      </w:r>
      <w:r w:rsidRPr="008E6AE7">
        <w:rPr>
          <w:rFonts w:ascii="Simplified Arabic" w:eastAsia="Calibri" w:hAnsi="Simplified Arabic"/>
          <w:snapToGrid w:val="0"/>
          <w:kern w:val="22"/>
          <w:rtl/>
          <w:lang w:val="en-GB"/>
        </w:rPr>
        <w:t xml:space="preserve"> في أ</w:t>
      </w:r>
      <w:r w:rsidRPr="008E6AE7">
        <w:rPr>
          <w:rFonts w:ascii="Simplified Arabic" w:eastAsia="Calibri" w:hAnsi="Simplified Arabic" w:hint="cs"/>
          <w:snapToGrid w:val="0"/>
          <w:kern w:val="22"/>
          <w:rtl/>
          <w:lang w:val="en-GB"/>
        </w:rPr>
        <w:t>قرب</w:t>
      </w:r>
      <w:r w:rsidRPr="008E6AE7">
        <w:rPr>
          <w:rFonts w:ascii="Simplified Arabic" w:eastAsia="Calibri" w:hAnsi="Simplified Arabic"/>
          <w:snapToGrid w:val="0"/>
          <w:kern w:val="22"/>
          <w:rtl/>
          <w:lang w:val="en-GB"/>
        </w:rPr>
        <w:t xml:space="preserve"> وقت ممكن إن لم تكن قد فعلت ذلك بعد، وأن تتخذ خطوات </w:t>
      </w:r>
      <w:r w:rsidRPr="008E6AE7">
        <w:rPr>
          <w:rFonts w:ascii="Simplified Arabic" w:eastAsia="Calibri" w:hAnsi="Simplified Arabic" w:hint="cs"/>
          <w:snapToGrid w:val="0"/>
          <w:kern w:val="22"/>
          <w:rtl/>
          <w:lang w:val="en-GB"/>
        </w:rPr>
        <w:t>نحو</w:t>
      </w:r>
      <w:r w:rsidRPr="008E6AE7">
        <w:rPr>
          <w:rFonts w:ascii="Simplified Arabic" w:eastAsia="Calibri" w:hAnsi="Simplified Arabic"/>
          <w:snapToGrid w:val="0"/>
          <w:kern w:val="22"/>
          <w:rtl/>
          <w:lang w:val="en-GB"/>
        </w:rPr>
        <w:t xml:space="preserve"> تنفيذه</w:t>
      </w:r>
      <w:r w:rsidRPr="008E6AE7">
        <w:rPr>
          <w:rFonts w:ascii="Simplified Arabic" w:eastAsia="Calibri" w:hAnsi="Simplified Arabic" w:hint="cs"/>
          <w:snapToGrid w:val="0"/>
          <w:kern w:val="22"/>
          <w:rtl/>
          <w:lang w:val="en-GB"/>
        </w:rPr>
        <w:t>،</w:t>
      </w:r>
      <w:r w:rsidRPr="008E6AE7">
        <w:rPr>
          <w:rFonts w:ascii="Simplified Arabic" w:eastAsia="Calibri" w:hAnsi="Simplified Arabic"/>
          <w:snapToGrid w:val="0"/>
          <w:kern w:val="22"/>
          <w:rtl/>
          <w:lang w:val="en-GB"/>
        </w:rPr>
        <w:t xml:space="preserve"> بما في </w:t>
      </w:r>
      <w:r w:rsidRPr="008E6AE7">
        <w:rPr>
          <w:rFonts w:ascii="Simplified Arabic" w:eastAsia="Calibri" w:hAnsi="Simplified Arabic"/>
          <w:snapToGrid w:val="0"/>
          <w:kern w:val="22"/>
          <w:rtl/>
          <w:lang w:val="en-GB"/>
        </w:rPr>
        <w:lastRenderedPageBreak/>
        <w:t xml:space="preserve">ذلك </w:t>
      </w:r>
      <w:r w:rsidRPr="008E6AE7">
        <w:rPr>
          <w:rFonts w:ascii="Simplified Arabic" w:eastAsia="Calibri" w:hAnsi="Simplified Arabic" w:hint="cs"/>
          <w:snapToGrid w:val="0"/>
          <w:kern w:val="22"/>
          <w:rtl/>
          <w:lang w:val="en-GB"/>
        </w:rPr>
        <w:t>عن طريق</w:t>
      </w:r>
      <w:r w:rsidRPr="008E6AE7">
        <w:rPr>
          <w:rFonts w:ascii="Simplified Arabic" w:eastAsia="Calibri" w:hAnsi="Simplified Arabic"/>
          <w:snapToGrid w:val="0"/>
          <w:kern w:val="22"/>
          <w:rtl/>
          <w:lang w:val="en-GB"/>
        </w:rPr>
        <w:t xml:space="preserve"> إنشاء هياكل مؤسسية و</w:t>
      </w:r>
      <w:r w:rsidRPr="008E6AE7">
        <w:rPr>
          <w:rFonts w:ascii="Simplified Arabic" w:eastAsia="Calibri" w:hAnsi="Simplified Arabic" w:hint="cs"/>
          <w:snapToGrid w:val="0"/>
          <w:kern w:val="22"/>
          <w:rtl/>
          <w:lang w:val="en-GB"/>
        </w:rPr>
        <w:t xml:space="preserve">اتخاذ </w:t>
      </w:r>
      <w:r w:rsidRPr="008E6AE7">
        <w:rPr>
          <w:rFonts w:ascii="Simplified Arabic" w:eastAsia="Calibri" w:hAnsi="Simplified Arabic"/>
          <w:snapToGrid w:val="0"/>
          <w:kern w:val="22"/>
          <w:rtl/>
          <w:lang w:val="en-GB"/>
        </w:rPr>
        <w:t>تدابير تشريعية وإدارية وسياساتية</w:t>
      </w:r>
      <w:r w:rsidRPr="008E6AE7">
        <w:rPr>
          <w:rFonts w:ascii="Simplified Arabic" w:eastAsia="Malgun Gothic" w:hAnsi="Simplified Arabic"/>
          <w:snapToGrid w:val="0"/>
          <w:rtl/>
          <w:lang w:val="en-GB"/>
        </w:rPr>
        <w:t xml:space="preserve"> بشأن الحصول وتقاسم المنافع</w:t>
      </w:r>
      <w:r>
        <w:rPr>
          <w:rFonts w:ascii="Simplified Arabic" w:eastAsia="Malgun Gothic" w:hAnsi="Simplified Arabic" w:hint="cs"/>
          <w:snapToGrid w:val="0"/>
          <w:rtl/>
          <w:lang w:val="en-GB"/>
        </w:rPr>
        <w:t>،</w:t>
      </w:r>
      <w:r w:rsidRPr="00603ED2">
        <w:rPr>
          <w:rFonts w:ascii="Arial" w:hAnsi="Arial" w:cs="Arial"/>
          <w:color w:val="222222"/>
          <w:rtl/>
        </w:rPr>
        <w:t xml:space="preserve"> </w:t>
      </w:r>
      <w:r>
        <w:rPr>
          <w:rFonts w:ascii="Arial" w:hAnsi="Arial" w:cs="Arial" w:hint="cs"/>
          <w:color w:val="222222"/>
          <w:rtl/>
        </w:rPr>
        <w:t xml:space="preserve">بما في ذلك تدابير لضمان أن المنافع الناشئة عن استخدام المعارف التقليدية </w:t>
      </w:r>
      <w:r w:rsidRPr="00603ED2">
        <w:rPr>
          <w:rFonts w:ascii="Simplified Arabic" w:eastAsia="Malgun Gothic" w:hAnsi="Simplified Arabic"/>
          <w:snapToGrid w:val="0"/>
          <w:rtl/>
          <w:lang w:val="en-GB"/>
        </w:rPr>
        <w:t xml:space="preserve">المرتبطة بالموارد </w:t>
      </w:r>
      <w:r>
        <w:rPr>
          <w:rFonts w:ascii="Simplified Arabic" w:eastAsia="Malgun Gothic" w:hAnsi="Simplified Arabic" w:hint="cs"/>
          <w:snapToGrid w:val="0"/>
          <w:rtl/>
          <w:lang w:val="en-GB"/>
        </w:rPr>
        <w:t>الجينية</w:t>
      </w:r>
      <w:r w:rsidRPr="00603ED2">
        <w:rPr>
          <w:rFonts w:ascii="Simplified Arabic" w:eastAsia="Malgun Gothic" w:hAnsi="Simplified Arabic"/>
          <w:snapToGrid w:val="0"/>
          <w:rtl/>
          <w:lang w:val="en-GB"/>
        </w:rPr>
        <w:t xml:space="preserve"> </w:t>
      </w:r>
      <w:r>
        <w:rPr>
          <w:rFonts w:ascii="Simplified Arabic" w:eastAsia="Malgun Gothic" w:hAnsi="Simplified Arabic" w:hint="cs"/>
          <w:snapToGrid w:val="0"/>
          <w:rtl/>
          <w:lang w:val="en-GB"/>
        </w:rPr>
        <w:t>يتم تقاسمها بطريقة عادلة ومنصفة مع ا</w:t>
      </w:r>
      <w:r w:rsidRPr="00603ED2">
        <w:rPr>
          <w:rFonts w:ascii="Simplified Arabic" w:eastAsia="Malgun Gothic" w:hAnsi="Simplified Arabic"/>
          <w:snapToGrid w:val="0"/>
          <w:rtl/>
          <w:lang w:val="en-GB"/>
        </w:rPr>
        <w:t>لشعوب الأصلية والمجتمعات المحلية</w:t>
      </w:r>
      <w:r>
        <w:rPr>
          <w:rFonts w:ascii="Simplified Arabic" w:eastAsia="Malgun Gothic" w:hAnsi="Simplified Arabic" w:hint="cs"/>
          <w:snapToGrid w:val="0"/>
          <w:rtl/>
          <w:lang w:val="en-GB"/>
        </w:rPr>
        <w:t xml:space="preserve"> التي تحوز على تلك المعارف</w:t>
      </w:r>
      <w:r w:rsidRPr="008E6AE7">
        <w:rPr>
          <w:rFonts w:ascii="Simplified Arabic" w:eastAsia="Malgun Gothic" w:hAnsi="Simplified Arabic"/>
          <w:snapToGrid w:val="0"/>
          <w:rtl/>
          <w:lang w:val="en-GB"/>
        </w:rPr>
        <w:t>، و</w:t>
      </w:r>
      <w:r w:rsidRPr="008E6AE7">
        <w:rPr>
          <w:rFonts w:ascii="Simplified Arabic" w:eastAsia="Malgun Gothic" w:hAnsi="Simplified Arabic" w:hint="cs"/>
          <w:snapToGrid w:val="0"/>
          <w:rtl/>
          <w:lang w:val="en-GB"/>
        </w:rPr>
        <w:t>أن تتيح</w:t>
      </w:r>
      <w:r w:rsidRPr="008E6AE7">
        <w:rPr>
          <w:rFonts w:ascii="Simplified Arabic" w:eastAsia="Malgun Gothic" w:hAnsi="Simplified Arabic"/>
          <w:snapToGrid w:val="0"/>
          <w:rtl/>
          <w:lang w:val="en-GB"/>
        </w:rPr>
        <w:t xml:space="preserve"> المعلومات ذات الصلة لغرفة تبادل معلومات الحصول وتقاسم المنافع؛</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Malgun Gothic"/>
          <w:snapToGrid w:val="0"/>
          <w:kern w:val="22"/>
          <w:szCs w:val="22"/>
          <w:rtl/>
          <w:lang w:val="en-GB"/>
        </w:rPr>
      </w:pPr>
      <w:r w:rsidRPr="008E6AE7">
        <w:rPr>
          <w:rFonts w:ascii="Simplified Arabic" w:eastAsia="Malgun Gothic" w:hAnsi="Simplified Arabic"/>
          <w:i/>
          <w:iCs/>
          <w:snapToGrid w:val="0"/>
          <w:rtl/>
          <w:lang w:val="en-GB"/>
        </w:rPr>
        <w:t>يطلب</w:t>
      </w:r>
      <w:r w:rsidRPr="008E6AE7">
        <w:rPr>
          <w:rFonts w:ascii="Simplified Arabic" w:eastAsia="Malgun Gothic" w:hAnsi="Simplified Arabic"/>
          <w:snapToGrid w:val="0"/>
          <w:rtl/>
          <w:lang w:val="en-GB"/>
        </w:rPr>
        <w:t xml:space="preserve"> إلى الأمين</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التنفيذي</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دعم الاتصالات الاستراتيجية </w:t>
      </w:r>
      <w:r w:rsidRPr="008E6AE7">
        <w:rPr>
          <w:rFonts w:ascii="Simplified Arabic" w:eastAsia="Malgun Gothic" w:hAnsi="Simplified Arabic" w:hint="cs"/>
          <w:snapToGrid w:val="0"/>
          <w:rtl/>
          <w:lang w:val="en-GB"/>
        </w:rPr>
        <w:t xml:space="preserve">من أجل </w:t>
      </w:r>
      <w:r w:rsidRPr="008E6AE7">
        <w:rPr>
          <w:rFonts w:ascii="Simplified Arabic" w:eastAsia="Malgun Gothic" w:hAnsi="Simplified Arabic"/>
          <w:snapToGrid w:val="0"/>
          <w:rtl/>
          <w:lang w:val="en-GB"/>
        </w:rPr>
        <w:t xml:space="preserve">تعزيز الوعي بشأن بروتوكول ناغويا وتعزيز </w:t>
      </w:r>
      <w:r w:rsidRPr="008E6AE7">
        <w:rPr>
          <w:rFonts w:ascii="Simplified Arabic" w:eastAsia="Malgun Gothic" w:hAnsi="Simplified Arabic" w:hint="cs"/>
          <w:snapToGrid w:val="0"/>
          <w:rtl/>
          <w:lang w:val="en-GB"/>
        </w:rPr>
        <w:t>دمجه</w:t>
      </w:r>
      <w:r w:rsidRPr="008E6AE7">
        <w:rPr>
          <w:rFonts w:ascii="Simplified Arabic" w:eastAsia="Malgun Gothic" w:hAnsi="Simplified Arabic"/>
          <w:snapToGrid w:val="0"/>
          <w:rtl/>
          <w:lang w:val="en-GB"/>
        </w:rPr>
        <w:t xml:space="preserve"> في </w:t>
      </w:r>
      <w:r w:rsidRPr="008E6AE7">
        <w:rPr>
          <w:rFonts w:ascii="Simplified Arabic" w:eastAsia="Malgun Gothic" w:hAnsi="Simplified Arabic" w:hint="cs"/>
          <w:snapToGrid w:val="0"/>
          <w:rtl/>
          <w:lang w:val="en-GB"/>
        </w:rPr>
        <w:t>مختلف ال</w:t>
      </w:r>
      <w:r w:rsidRPr="008E6AE7">
        <w:rPr>
          <w:rFonts w:ascii="Simplified Arabic" w:eastAsia="Malgun Gothic" w:hAnsi="Simplified Arabic"/>
          <w:snapToGrid w:val="0"/>
          <w:rtl/>
          <w:lang w:val="en-GB"/>
        </w:rPr>
        <w:t>قطاعات؛</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ascii="Simplified Arabic" w:eastAsia="Malgun Gothic" w:hAnsi="Simplified Arabic"/>
          <w:snapToGrid w:val="0"/>
          <w:rtl/>
          <w:lang w:val="en-GB"/>
        </w:rPr>
      </w:pPr>
      <w:r w:rsidRPr="008E6AE7">
        <w:rPr>
          <w:rFonts w:ascii="Simplified Arabic" w:eastAsia="Malgun Gothic" w:hAnsi="Simplified Arabic"/>
          <w:i/>
          <w:iCs/>
          <w:snapToGrid w:val="0"/>
          <w:rtl/>
          <w:lang w:val="en-GB"/>
        </w:rPr>
        <w:t>يحث</w:t>
      </w:r>
      <w:r w:rsidRPr="008E6AE7">
        <w:rPr>
          <w:rFonts w:ascii="Simplified Arabic" w:eastAsia="Malgun Gothic" w:hAnsi="Simplified Arabic"/>
          <w:snapToGrid w:val="0"/>
          <w:rtl/>
          <w:lang w:val="en-GB"/>
        </w:rPr>
        <w:t xml:space="preserve"> الأطراف في الاتفاقية التي لم تصبح أطرافا </w:t>
      </w:r>
      <w:r w:rsidRPr="008E6AE7">
        <w:rPr>
          <w:rFonts w:ascii="Simplified Arabic" w:eastAsia="Malgun Gothic" w:hAnsi="Simplified Arabic" w:hint="cs"/>
          <w:snapToGrid w:val="0"/>
          <w:rtl/>
          <w:lang w:val="en-GB"/>
        </w:rPr>
        <w:t xml:space="preserve">بعد </w:t>
      </w:r>
      <w:r w:rsidRPr="008E6AE7">
        <w:rPr>
          <w:rFonts w:ascii="Simplified Arabic" w:eastAsia="Malgun Gothic" w:hAnsi="Simplified Arabic"/>
          <w:snapToGrid w:val="0"/>
          <w:rtl/>
          <w:lang w:val="en-GB"/>
        </w:rPr>
        <w:t xml:space="preserve">في بروتوكول ناغويا على </w:t>
      </w:r>
      <w:r w:rsidRPr="008E6AE7">
        <w:rPr>
          <w:rFonts w:ascii="Simplified Arabic" w:eastAsia="Malgun Gothic" w:hAnsi="Simplified Arabic" w:hint="cs"/>
          <w:snapToGrid w:val="0"/>
          <w:rtl/>
          <w:lang w:val="en-GB"/>
        </w:rPr>
        <w:t>أن تبلغ</w:t>
      </w:r>
      <w:r w:rsidRPr="008E6AE7">
        <w:rPr>
          <w:rFonts w:ascii="Simplified Arabic" w:eastAsia="Malgun Gothic" w:hAnsi="Simplified Arabic"/>
          <w:snapToGrid w:val="0"/>
          <w:rtl/>
          <w:lang w:val="en-GB"/>
        </w:rPr>
        <w:t xml:space="preserve"> عن تنفيذ </w:t>
      </w:r>
      <w:r w:rsidRPr="008E6AE7">
        <w:rPr>
          <w:rFonts w:ascii="Simplified Arabic" w:eastAsia="Malgun Gothic" w:hAnsi="Simplified Arabic" w:hint="cs"/>
          <w:snapToGrid w:val="0"/>
          <w:rtl/>
          <w:lang w:val="en-GB"/>
        </w:rPr>
        <w:t xml:space="preserve">أحكام </w:t>
      </w:r>
      <w:r w:rsidRPr="008E6AE7">
        <w:rPr>
          <w:rFonts w:ascii="Simplified Arabic" w:eastAsia="Malgun Gothic" w:hAnsi="Simplified Arabic"/>
          <w:snapToGrid w:val="0"/>
          <w:rtl/>
          <w:lang w:val="en-GB"/>
        </w:rPr>
        <w:t>الحصول وتقاسم المنافع في تقاريرها الوطنية السادسة؛</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rtl/>
          <w:lang w:val="en-GB"/>
        </w:rPr>
      </w:pPr>
      <w:r w:rsidRPr="008E6AE7">
        <w:rPr>
          <w:rFonts w:ascii="Simplified Arabic" w:eastAsia="Malgun Gothic" w:hAnsi="Simplified Arabic"/>
          <w:i/>
          <w:iCs/>
          <w:snapToGrid w:val="0"/>
          <w:rtl/>
          <w:lang w:val="en-GB"/>
        </w:rPr>
        <w:t>يعيد</w:t>
      </w:r>
      <w:r w:rsidRPr="008E6AE7">
        <w:rPr>
          <w:rFonts w:ascii="Simplified Arabic" w:eastAsia="Malgun Gothic" w:hAnsi="Simplified Arabic"/>
          <w:snapToGrid w:val="0"/>
          <w:rtl/>
          <w:lang w:val="en-GB"/>
        </w:rPr>
        <w:t xml:space="preserve"> </w:t>
      </w:r>
      <w:r w:rsidRPr="00921040">
        <w:rPr>
          <w:rFonts w:ascii="Simplified Arabic" w:eastAsia="Malgun Gothic" w:hAnsi="Simplified Arabic"/>
          <w:i/>
          <w:iCs/>
          <w:snapToGrid w:val="0"/>
          <w:rtl/>
          <w:lang w:val="en-GB"/>
        </w:rPr>
        <w:t xml:space="preserve">تأكيد </w:t>
      </w:r>
      <w:r w:rsidRPr="008E6AE7">
        <w:rPr>
          <w:rFonts w:ascii="Simplified Arabic" w:eastAsia="Malgun Gothic" w:hAnsi="Simplified Arabic"/>
          <w:snapToGrid w:val="0"/>
          <w:rtl/>
          <w:lang w:val="en-GB"/>
        </w:rPr>
        <w:t>الحاجة إلى</w:t>
      </w:r>
      <w:r w:rsidRPr="008E6AE7">
        <w:rPr>
          <w:rFonts w:ascii="Simplified Arabic" w:eastAsia="Malgun Gothic" w:hAnsi="Simplified Arabic" w:hint="cs"/>
          <w:snapToGrid w:val="0"/>
          <w:rtl/>
          <w:lang w:val="en-GB"/>
        </w:rPr>
        <w:t xml:space="preserve"> تنفيذ</w:t>
      </w:r>
      <w:r w:rsidRPr="008E6AE7">
        <w:rPr>
          <w:rFonts w:ascii="Simplified Arabic" w:eastAsia="Malgun Gothic" w:hAnsi="Simplified Arabic"/>
          <w:snapToGrid w:val="0"/>
          <w:rtl/>
          <w:lang w:val="en-GB"/>
        </w:rPr>
        <w:t xml:space="preserve"> أنشطة </w:t>
      </w:r>
      <w:r w:rsidRPr="008E6AE7">
        <w:rPr>
          <w:rFonts w:ascii="Simplified Arabic" w:eastAsia="Malgun Gothic" w:hAnsi="Simplified Arabic" w:hint="cs"/>
          <w:snapToGrid w:val="0"/>
          <w:rtl/>
          <w:lang w:val="en-GB"/>
        </w:rPr>
        <w:t>ل</w:t>
      </w:r>
      <w:r w:rsidRPr="008E6AE7">
        <w:rPr>
          <w:rFonts w:ascii="Simplified Arabic" w:eastAsia="Malgun Gothic" w:hAnsi="Simplified Arabic"/>
          <w:snapToGrid w:val="0"/>
          <w:rtl/>
          <w:lang w:val="en-GB"/>
        </w:rPr>
        <w:t>بناء القدرات وتنميتها وكذلك</w:t>
      </w:r>
      <w:r w:rsidRPr="008E6AE7">
        <w:rPr>
          <w:rFonts w:ascii="Simplified Arabic" w:eastAsia="Malgun Gothic" w:hAnsi="Simplified Arabic" w:hint="cs"/>
          <w:snapToGrid w:val="0"/>
          <w:rtl/>
          <w:lang w:val="en-GB"/>
        </w:rPr>
        <w:t xml:space="preserve"> إلى توفير</w:t>
      </w:r>
      <w:r w:rsidRPr="008E6AE7">
        <w:rPr>
          <w:rFonts w:ascii="Simplified Arabic" w:eastAsia="Malgun Gothic" w:hAnsi="Simplified Arabic"/>
          <w:snapToGrid w:val="0"/>
          <w:rtl/>
          <w:lang w:val="en-GB"/>
        </w:rPr>
        <w:t xml:space="preserve"> الموارد المالية</w:t>
      </w:r>
      <w:r w:rsidRPr="008E6AE7">
        <w:rPr>
          <w:rFonts w:ascii="Simplified Arabic" w:eastAsia="Malgun Gothic" w:hAnsi="Simplified Arabic" w:hint="cs"/>
          <w:snapToGrid w:val="0"/>
          <w:rtl/>
          <w:lang w:val="en-GB"/>
        </w:rPr>
        <w:t xml:space="preserve"> اللازمة</w:t>
      </w:r>
      <w:r w:rsidRPr="008E6AE7">
        <w:rPr>
          <w:rFonts w:ascii="Simplified Arabic" w:eastAsia="Malgun Gothic" w:hAnsi="Simplified Arabic"/>
          <w:snapToGrid w:val="0"/>
          <w:rtl/>
          <w:lang w:val="en-GB"/>
        </w:rPr>
        <w:t xml:space="preserve"> لدعم التصديق على بروتوكول ناغويا وتنفيذ</w:t>
      </w:r>
      <w:r w:rsidRPr="008E6AE7">
        <w:rPr>
          <w:rFonts w:ascii="Simplified Arabic" w:eastAsia="Malgun Gothic" w:hAnsi="Simplified Arabic" w:hint="cs"/>
          <w:snapToGrid w:val="0"/>
          <w:rtl/>
          <w:lang w:val="en-GB"/>
        </w:rPr>
        <w:t>ه</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ب</w:t>
      </w:r>
      <w:r w:rsidRPr="008E6AE7">
        <w:rPr>
          <w:rFonts w:ascii="Simplified Arabic" w:eastAsia="Malgun Gothic" w:hAnsi="Simplified Arabic"/>
          <w:snapToGrid w:val="0"/>
          <w:rtl/>
          <w:lang w:val="en-GB"/>
        </w:rPr>
        <w:t>فعال</w:t>
      </w:r>
      <w:r w:rsidRPr="008E6AE7">
        <w:rPr>
          <w:rFonts w:ascii="Simplified Arabic" w:eastAsia="Malgun Gothic" w:hAnsi="Simplified Arabic" w:hint="cs"/>
          <w:snapToGrid w:val="0"/>
          <w:rtl/>
          <w:lang w:val="en-GB"/>
        </w:rPr>
        <w:t>ية</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i/>
          <w:iCs/>
          <w:snapToGrid w:val="0"/>
          <w:rtl/>
          <w:lang w:val="en-GB"/>
        </w:rPr>
        <w:t>ويدعو</w:t>
      </w:r>
      <w:r w:rsidRPr="008E6AE7">
        <w:rPr>
          <w:rFonts w:ascii="Simplified Arabic" w:eastAsia="Malgun Gothic" w:hAnsi="Simplified Arabic"/>
          <w:snapToGrid w:val="0"/>
          <w:rtl/>
          <w:lang w:val="en-GB"/>
        </w:rPr>
        <w:t xml:space="preserve"> الحكومات والمنظمات ذات الصلة، حيثما أمكن، إلى تقديم الدعم التقني والمالي؛</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rtl/>
          <w:lang w:val="en-GB"/>
        </w:rPr>
      </w:pPr>
      <w:r w:rsidRPr="008E6AE7">
        <w:rPr>
          <w:rFonts w:ascii="Simplified Arabic" w:eastAsia="Malgun Gothic" w:hAnsi="Simplified Arabic"/>
          <w:i/>
          <w:iCs/>
          <w:snapToGrid w:val="0"/>
          <w:rtl/>
          <w:lang w:val="en-GB"/>
        </w:rPr>
        <w:t>يشجع</w:t>
      </w:r>
      <w:r w:rsidRPr="008E6AE7">
        <w:rPr>
          <w:rFonts w:ascii="Simplified Arabic" w:eastAsia="Malgun Gothic" w:hAnsi="Simplified Arabic"/>
          <w:snapToGrid w:val="0"/>
          <w:rtl/>
          <w:lang w:val="en-GB"/>
        </w:rPr>
        <w:t xml:space="preserve"> الأطراف على النظر في </w:t>
      </w:r>
      <w:r w:rsidRPr="00603ED2">
        <w:rPr>
          <w:rFonts w:ascii="Simplified Arabic" w:eastAsia="Malgun Gothic" w:hAnsi="Simplified Arabic"/>
          <w:snapToGrid w:val="0"/>
          <w:rtl/>
          <w:lang w:val="en-GB"/>
        </w:rPr>
        <w:t>مواصلة</w:t>
      </w:r>
      <w:r w:rsidRPr="00603ED2">
        <w:rPr>
          <w:rFonts w:ascii="Simplified Arabic" w:eastAsia="Malgun Gothic" w:hAnsi="Simplified Arabic" w:hint="cs"/>
          <w:snapToGrid w:val="0"/>
          <w:rtl/>
          <w:lang w:val="en-GB"/>
        </w:rPr>
        <w:t xml:space="preserve"> </w:t>
      </w:r>
      <w:r w:rsidRPr="008E6AE7">
        <w:rPr>
          <w:rFonts w:ascii="Simplified Arabic" w:eastAsia="Malgun Gothic" w:hAnsi="Simplified Arabic" w:hint="cs"/>
          <w:snapToGrid w:val="0"/>
          <w:rtl/>
          <w:lang w:val="en-GB"/>
        </w:rPr>
        <w:t>دمج</w:t>
      </w:r>
      <w:r w:rsidRPr="008E6AE7">
        <w:rPr>
          <w:rFonts w:ascii="Simplified Arabic" w:eastAsia="Malgun Gothic" w:hAnsi="Simplified Arabic"/>
          <w:snapToGrid w:val="0"/>
          <w:rtl/>
          <w:lang w:val="en-GB"/>
        </w:rPr>
        <w:t xml:space="preserve"> الحصول وتقاسم المنافع في مجالات العمل الأخرى </w:t>
      </w:r>
      <w:r w:rsidRPr="008E6AE7">
        <w:rPr>
          <w:rFonts w:ascii="Simplified Arabic" w:eastAsia="Malgun Gothic" w:hAnsi="Simplified Arabic" w:hint="cs"/>
          <w:snapToGrid w:val="0"/>
          <w:rtl/>
          <w:lang w:val="en-GB"/>
        </w:rPr>
        <w:t>في إطار</w:t>
      </w:r>
      <w:r w:rsidRPr="008E6AE7">
        <w:rPr>
          <w:rFonts w:ascii="Simplified Arabic" w:eastAsia="Malgun Gothic" w:hAnsi="Simplified Arabic"/>
          <w:snapToGrid w:val="0"/>
          <w:rtl/>
          <w:lang w:val="en-GB"/>
        </w:rPr>
        <w:t xml:space="preserve"> الاتفاقية كجزء من المناقشات </w:t>
      </w:r>
      <w:r w:rsidRPr="008E6AE7">
        <w:rPr>
          <w:rFonts w:ascii="Simplified Arabic" w:eastAsia="Malgun Gothic" w:hAnsi="Simplified Arabic" w:hint="cs"/>
          <w:snapToGrid w:val="0"/>
          <w:rtl/>
          <w:lang w:val="en-GB"/>
        </w:rPr>
        <w:t>بشأن</w:t>
      </w:r>
      <w:r w:rsidRPr="008E6AE7">
        <w:rPr>
          <w:rFonts w:ascii="Simplified Arabic" w:eastAsia="Malgun Gothic" w:hAnsi="Simplified Arabic"/>
          <w:snapToGrid w:val="0"/>
          <w:rtl/>
          <w:lang w:val="en-GB"/>
        </w:rPr>
        <w:t xml:space="preserve"> </w:t>
      </w:r>
      <w:r w:rsidRPr="008E6AE7">
        <w:rPr>
          <w:rFonts w:ascii="Simplified Arabic" w:eastAsia="Malgun Gothic" w:hAnsi="Simplified Arabic" w:hint="cs"/>
          <w:snapToGrid w:val="0"/>
          <w:rtl/>
          <w:lang w:val="en-GB"/>
        </w:rPr>
        <w:t>ال</w:t>
      </w:r>
      <w:r w:rsidRPr="008E6AE7">
        <w:rPr>
          <w:rFonts w:ascii="Simplified Arabic" w:eastAsia="Malgun Gothic" w:hAnsi="Simplified Arabic"/>
          <w:snapToGrid w:val="0"/>
          <w:rtl/>
          <w:lang w:val="en-GB"/>
        </w:rPr>
        <w:t xml:space="preserve">إطار </w:t>
      </w:r>
      <w:r w:rsidRPr="008E6AE7">
        <w:rPr>
          <w:rFonts w:ascii="Simplified Arabic" w:eastAsia="Calibri" w:hAnsi="Simplified Arabic"/>
          <w:snapToGrid w:val="0"/>
          <w:kern w:val="22"/>
          <w:rtl/>
          <w:lang w:val="en-GB"/>
        </w:rPr>
        <w:t>العالمي للتنوع البيولوجي لما بعد</w:t>
      </w:r>
      <w:r w:rsidRPr="008E6AE7">
        <w:rPr>
          <w:rFonts w:ascii="Simplified Arabic" w:eastAsia="Calibri" w:hAnsi="Simplified Arabic" w:hint="cs"/>
          <w:snapToGrid w:val="0"/>
          <w:kern w:val="22"/>
          <w:rtl/>
          <w:lang w:val="en-GB"/>
        </w:rPr>
        <w:t xml:space="preserve"> عام</w:t>
      </w:r>
      <w:r w:rsidRPr="008E6AE7">
        <w:rPr>
          <w:rFonts w:ascii="Simplified Arabic" w:eastAsia="Calibri" w:hAnsi="Simplified Arabic"/>
          <w:snapToGrid w:val="0"/>
          <w:kern w:val="22"/>
          <w:rtl/>
          <w:lang w:val="en-GB"/>
        </w:rPr>
        <w:t xml:space="preserve"> 2020</w:t>
      </w:r>
      <w:r w:rsidRPr="008E6AE7">
        <w:rPr>
          <w:rFonts w:ascii="Simplified Arabic" w:eastAsia="Malgun Gothic" w:hAnsi="Simplified Arabic"/>
          <w:snapToGrid w:val="0"/>
          <w:rtl/>
          <w:lang w:val="en-GB"/>
        </w:rPr>
        <w:t>؛</w:t>
      </w:r>
    </w:p>
    <w:p w:rsidR="00CC7A77" w:rsidRPr="00603ED2"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lang w:val="en-GB"/>
        </w:rPr>
      </w:pPr>
      <w:r w:rsidRPr="008E6AE7">
        <w:rPr>
          <w:rFonts w:ascii="Simplified Arabic" w:eastAsia="Malgun Gothic" w:hAnsi="Simplified Arabic"/>
          <w:i/>
          <w:iCs/>
          <w:snapToGrid w:val="0"/>
          <w:rtl/>
          <w:lang w:val="en-GB"/>
        </w:rPr>
        <w:t>يطلب</w:t>
      </w:r>
      <w:r w:rsidRPr="008E6AE7">
        <w:rPr>
          <w:rFonts w:ascii="Simplified Arabic" w:eastAsia="Malgun Gothic" w:hAnsi="Simplified Arabic"/>
          <w:snapToGrid w:val="0"/>
          <w:rtl/>
          <w:lang w:val="en-GB"/>
        </w:rPr>
        <w:t xml:space="preserve"> إلى الأمين</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التنفيذي</w:t>
      </w:r>
      <w:r w:rsidRPr="008E6AE7">
        <w:rPr>
          <w:rFonts w:ascii="Simplified Arabic" w:eastAsia="Malgun Gothic" w:hAnsi="Simplified Arabic" w:hint="cs"/>
          <w:snapToGrid w:val="0"/>
          <w:rtl/>
          <w:lang w:val="en-GB"/>
        </w:rPr>
        <w:t>ة</w:t>
      </w:r>
      <w:r w:rsidRPr="008E6AE7">
        <w:rPr>
          <w:rFonts w:ascii="Simplified Arabic" w:eastAsia="Malgun Gothic" w:hAnsi="Simplified Arabic"/>
          <w:snapToGrid w:val="0"/>
          <w:rtl/>
          <w:lang w:val="en-GB"/>
        </w:rPr>
        <w:t xml:space="preserve"> مواصلة الجهود </w:t>
      </w:r>
      <w:r w:rsidRPr="008E6AE7">
        <w:rPr>
          <w:rFonts w:ascii="Simplified Arabic" w:eastAsia="Malgun Gothic" w:hAnsi="Simplified Arabic" w:hint="cs"/>
          <w:snapToGrid w:val="0"/>
          <w:rtl/>
          <w:lang w:val="en-GB"/>
        </w:rPr>
        <w:t>لدمج</w:t>
      </w:r>
      <w:r w:rsidRPr="008E6AE7">
        <w:rPr>
          <w:rFonts w:ascii="Simplified Arabic" w:eastAsia="Malgun Gothic" w:hAnsi="Simplified Arabic"/>
          <w:snapToGrid w:val="0"/>
          <w:rtl/>
          <w:lang w:val="en-GB"/>
        </w:rPr>
        <w:t xml:space="preserve"> الحصول وتقاسم المنافع</w:t>
      </w:r>
      <w:r>
        <w:rPr>
          <w:rFonts w:ascii="Simplified Arabic" w:eastAsia="Malgun Gothic" w:hAnsi="Simplified Arabic" w:hint="cs"/>
          <w:snapToGrid w:val="0"/>
          <w:rtl/>
          <w:lang w:val="en-GB"/>
        </w:rPr>
        <w:t xml:space="preserve">، </w:t>
      </w:r>
      <w:r w:rsidRPr="00603ED2">
        <w:rPr>
          <w:rFonts w:ascii="Simplified Arabic" w:eastAsia="Malgun Gothic" w:hAnsi="Simplified Arabic"/>
          <w:snapToGrid w:val="0"/>
          <w:rtl/>
          <w:lang w:val="en-GB"/>
        </w:rPr>
        <w:t xml:space="preserve">بما في ذلك القضايا المتعلقة بالمعارف التقليدية المرتبطة بالموارد </w:t>
      </w:r>
      <w:r>
        <w:rPr>
          <w:rFonts w:ascii="Simplified Arabic" w:eastAsia="Malgun Gothic" w:hAnsi="Simplified Arabic" w:hint="cs"/>
          <w:snapToGrid w:val="0"/>
          <w:rtl/>
          <w:lang w:val="en-GB"/>
        </w:rPr>
        <w:t>الجينية</w:t>
      </w:r>
      <w:r w:rsidRPr="00603ED2">
        <w:rPr>
          <w:rFonts w:ascii="Simplified Arabic" w:eastAsia="Malgun Gothic" w:hAnsi="Simplified Arabic"/>
          <w:snapToGrid w:val="0"/>
          <w:rtl/>
          <w:lang w:val="en-GB"/>
        </w:rPr>
        <w:t xml:space="preserve"> </w:t>
      </w:r>
      <w:r>
        <w:rPr>
          <w:rFonts w:ascii="Simplified Arabic" w:eastAsia="Malgun Gothic" w:hAnsi="Simplified Arabic" w:hint="cs"/>
          <w:snapToGrid w:val="0"/>
          <w:rtl/>
          <w:lang w:val="en-GB"/>
        </w:rPr>
        <w:t>التي تحوزها ا</w:t>
      </w:r>
      <w:r w:rsidRPr="00603ED2">
        <w:rPr>
          <w:rFonts w:ascii="Simplified Arabic" w:eastAsia="Malgun Gothic" w:hAnsi="Simplified Arabic"/>
          <w:snapToGrid w:val="0"/>
          <w:rtl/>
          <w:lang w:val="en-GB"/>
        </w:rPr>
        <w:t>ل</w:t>
      </w:r>
      <w:r>
        <w:rPr>
          <w:rFonts w:ascii="Simplified Arabic" w:eastAsia="Malgun Gothic" w:hAnsi="Simplified Arabic"/>
          <w:snapToGrid w:val="0"/>
          <w:rtl/>
          <w:lang w:val="en-GB"/>
        </w:rPr>
        <w:t>شعوب الأصلية والمجتمعات المحلية</w:t>
      </w:r>
      <w:r w:rsidRPr="00603ED2">
        <w:rPr>
          <w:rFonts w:ascii="Simplified Arabic" w:eastAsia="Malgun Gothic" w:hAnsi="Simplified Arabic"/>
          <w:snapToGrid w:val="0"/>
          <w:rtl/>
          <w:lang w:val="en-GB"/>
        </w:rPr>
        <w:t xml:space="preserve">، </w:t>
      </w:r>
      <w:r w:rsidRPr="008E6AE7">
        <w:rPr>
          <w:rFonts w:ascii="Simplified Arabic" w:eastAsia="Malgun Gothic" w:hAnsi="Simplified Arabic"/>
          <w:snapToGrid w:val="0"/>
          <w:rtl/>
          <w:lang w:val="en-GB"/>
        </w:rPr>
        <w:t>في جميع أعمال الأمانة</w:t>
      </w:r>
      <w:r>
        <w:rPr>
          <w:rFonts w:ascii="Simplified Arabic" w:eastAsia="Malgun Gothic" w:hAnsi="Simplified Arabic" w:hint="cs"/>
          <w:snapToGrid w:val="0"/>
          <w:rtl/>
          <w:lang w:val="en-GB"/>
        </w:rPr>
        <w:t>؛</w:t>
      </w:r>
    </w:p>
    <w:p w:rsidR="00CC7A77" w:rsidRPr="008E6AE7" w:rsidRDefault="00CC7A77" w:rsidP="00CD26C5">
      <w:pPr>
        <w:numPr>
          <w:ilvl w:val="0"/>
          <w:numId w:val="78"/>
        </w:numPr>
        <w:kinsoku w:val="0"/>
        <w:overflowPunct w:val="0"/>
        <w:autoSpaceDE w:val="0"/>
        <w:autoSpaceDN w:val="0"/>
        <w:adjustRightInd w:val="0"/>
        <w:snapToGrid w:val="0"/>
        <w:spacing w:after="100" w:line="204" w:lineRule="auto"/>
        <w:ind w:left="12" w:firstLine="720"/>
        <w:rPr>
          <w:rFonts w:eastAsia="Calibri"/>
          <w:snapToGrid w:val="0"/>
          <w:kern w:val="22"/>
          <w:szCs w:val="22"/>
          <w:rtl/>
          <w:lang w:val="en-GB"/>
        </w:rPr>
      </w:pPr>
      <w:r w:rsidRPr="004705C6">
        <w:rPr>
          <w:rFonts w:ascii="Simplified Arabic" w:eastAsia="Malgun Gothic" w:hAnsi="Simplified Arabic" w:hint="cs"/>
          <w:i/>
          <w:iCs/>
          <w:snapToGrid w:val="0"/>
          <w:rtl/>
          <w:lang w:val="en-GB"/>
        </w:rPr>
        <w:t>يطلب أيضا</w:t>
      </w:r>
      <w:r>
        <w:rPr>
          <w:rFonts w:ascii="Simplified Arabic" w:eastAsia="Malgun Gothic" w:hAnsi="Simplified Arabic" w:hint="cs"/>
          <w:snapToGrid w:val="0"/>
          <w:rtl/>
          <w:lang w:val="en-GB"/>
        </w:rPr>
        <w:t xml:space="preserve"> إلى الأمينة التنفيذية، و</w:t>
      </w:r>
      <w:r w:rsidRPr="004705C6">
        <w:rPr>
          <w:rFonts w:ascii="Simplified Arabic" w:eastAsia="Malgun Gothic" w:hAnsi="Simplified Arabic" w:hint="cs"/>
          <w:i/>
          <w:iCs/>
          <w:snapToGrid w:val="0"/>
          <w:rtl/>
          <w:lang w:val="en-GB"/>
        </w:rPr>
        <w:t>يشجع</w:t>
      </w:r>
      <w:r w:rsidRPr="008E6AE7">
        <w:rPr>
          <w:rFonts w:ascii="Simplified Arabic" w:eastAsia="Malgun Gothic" w:hAnsi="Simplified Arabic" w:hint="cs"/>
          <w:snapToGrid w:val="0"/>
          <w:rtl/>
          <w:lang w:val="en-GB"/>
        </w:rPr>
        <w:t xml:space="preserve"> الأطراف</w:t>
      </w:r>
      <w:r>
        <w:rPr>
          <w:rFonts w:ascii="Simplified Arabic" w:eastAsia="Malgun Gothic" w:hAnsi="Simplified Arabic" w:hint="cs"/>
          <w:snapToGrid w:val="0"/>
          <w:rtl/>
          <w:lang w:val="en-GB"/>
        </w:rPr>
        <w:t xml:space="preserve"> والمنظمات ذات الصلة القادرة على القيام بذلك، على دعم الأطراف</w:t>
      </w:r>
      <w:r w:rsidRPr="008E6AE7">
        <w:rPr>
          <w:rFonts w:ascii="Simplified Arabic" w:eastAsia="Malgun Gothic" w:hAnsi="Simplified Arabic" w:hint="cs"/>
          <w:snapToGrid w:val="0"/>
          <w:rtl/>
          <w:lang w:val="en-GB"/>
        </w:rPr>
        <w:t xml:space="preserve"> في الجهود الرامية إلى دمج الحصول وتقاسم المنافع عبر مختلف القطاعات على المستوى الوطني.</w:t>
      </w:r>
    </w:p>
    <w:p w:rsidR="001D61EA" w:rsidRDefault="001D61EA" w:rsidP="001D61EA">
      <w:pPr>
        <w:spacing w:after="0" w:line="240" w:lineRule="auto"/>
        <w:jc w:val="left"/>
        <w:rPr>
          <w:sz w:val="24"/>
          <w:rtl/>
        </w:rPr>
      </w:pPr>
    </w:p>
    <w:p w:rsidR="00516FD0" w:rsidRDefault="00516FD0" w:rsidP="00516FD0">
      <w:pPr>
        <w:spacing w:after="0" w:line="240" w:lineRule="auto"/>
        <w:jc w:val="left"/>
        <w:rPr>
          <w:b/>
          <w:bCs/>
          <w:sz w:val="24"/>
          <w:rtl/>
        </w:rPr>
      </w:pPr>
      <w:r>
        <w:rPr>
          <w:b/>
          <w:bCs/>
          <w:sz w:val="24"/>
          <w:rtl/>
        </w:rPr>
        <w:br w:type="page"/>
      </w:r>
    </w:p>
    <w:p w:rsidR="00CC7A77" w:rsidRPr="00220162" w:rsidRDefault="00CC7A77" w:rsidP="00246CBF">
      <w:pPr>
        <w:pStyle w:val="Style1"/>
        <w:keepNext w:val="0"/>
        <w:tabs>
          <w:tab w:val="clear" w:pos="720"/>
          <w:tab w:val="left" w:pos="2880"/>
        </w:tabs>
        <w:bidi/>
        <w:spacing w:before="0" w:line="216" w:lineRule="auto"/>
        <w:ind w:left="2880" w:right="1260" w:hanging="1710"/>
        <w:jc w:val="left"/>
        <w:rPr>
          <w:i w:val="0"/>
          <w:iCs w:val="0"/>
          <w:kern w:val="22"/>
          <w:sz w:val="24"/>
          <w:lang w:bidi="ar-EG"/>
        </w:rPr>
      </w:pPr>
      <w:bookmarkStart w:id="196" w:name="_Toc6071636"/>
      <w:bookmarkStart w:id="197" w:name="_Toc6139993"/>
      <w:r>
        <w:rPr>
          <w:rFonts w:eastAsia="PMingLiU" w:hint="cs"/>
          <w:i w:val="0"/>
          <w:iCs w:val="0"/>
          <w:sz w:val="24"/>
          <w:rtl/>
          <w:lang w:val="fr-CA" w:eastAsia="ar-SA" w:bidi="ar-EG"/>
        </w:rPr>
        <w:lastRenderedPageBreak/>
        <w:t>المقرر 14/32</w:t>
      </w:r>
      <w:r>
        <w:rPr>
          <w:rFonts w:eastAsia="PMingLiU" w:hint="cs"/>
          <w:i w:val="0"/>
          <w:iCs w:val="0"/>
          <w:sz w:val="24"/>
          <w:rtl/>
          <w:lang w:val="fr-CA" w:eastAsia="ar-SA" w:bidi="ar-EG"/>
        </w:rPr>
        <w:tab/>
      </w:r>
      <w:r w:rsidRPr="00220162">
        <w:rPr>
          <w:rFonts w:eastAsia="PMingLiU"/>
          <w:i w:val="0"/>
          <w:iCs w:val="0"/>
          <w:sz w:val="24"/>
          <w:rtl/>
          <w:lang w:val="fr-CA" w:eastAsia="ar-SA" w:bidi="ar-EG"/>
        </w:rPr>
        <w:t>استعراض تجربة عقد اجتماع مؤتمر الأطراف في الاتفاقية بالتزامن مع مؤتمر الأطراف العامل كاجتماع للأطراف في بروتوكول قرطاجنة، ومؤتمر الأطراف العامل كاجتماع للأطراف في بروتوكول</w:t>
      </w:r>
      <w:r w:rsidRPr="00220162">
        <w:rPr>
          <w:rFonts w:ascii="Simplified Arabic" w:hAnsi="Simplified Arabic"/>
          <w:i w:val="0"/>
          <w:iCs w:val="0"/>
          <w:kern w:val="22"/>
          <w:sz w:val="24"/>
          <w:rtl/>
          <w:lang w:bidi="ar-EG"/>
        </w:rPr>
        <w:t xml:space="preserve"> ناغويا</w:t>
      </w:r>
      <w:bookmarkEnd w:id="196"/>
      <w:bookmarkEnd w:id="197"/>
    </w:p>
    <w:p w:rsidR="00CC7A77" w:rsidRDefault="00CC7A77" w:rsidP="00CC7A77">
      <w:pPr>
        <w:kinsoku w:val="0"/>
        <w:overflowPunct w:val="0"/>
        <w:autoSpaceDE w:val="0"/>
        <w:autoSpaceDN w:val="0"/>
        <w:adjustRightInd w:val="0"/>
        <w:snapToGrid w:val="0"/>
        <w:ind w:firstLine="720"/>
        <w:rPr>
          <w:rFonts w:ascii="Simplified Arabic" w:hAnsi="Simplified Arabic"/>
          <w:i/>
          <w:iCs/>
          <w:sz w:val="24"/>
          <w:rtl/>
        </w:rPr>
      </w:pPr>
      <w:r w:rsidRPr="00017B71">
        <w:rPr>
          <w:rFonts w:ascii="Simplified Arabic" w:hAnsi="Simplified Arabic"/>
          <w:i/>
          <w:iCs/>
          <w:sz w:val="24"/>
          <w:rtl/>
        </w:rPr>
        <w:t>إن مؤتمر الأطراف،</w:t>
      </w:r>
    </w:p>
    <w:p w:rsidR="00CC7A77" w:rsidRPr="00246CBF" w:rsidRDefault="00CC7A77" w:rsidP="00CC7A77">
      <w:pPr>
        <w:ind w:firstLine="720"/>
        <w:jc w:val="left"/>
        <w:rPr>
          <w:rtl/>
          <w:lang w:eastAsia="ar-SA"/>
        </w:rPr>
      </w:pPr>
      <w:r w:rsidRPr="00246CBF">
        <w:rPr>
          <w:i/>
          <w:iCs/>
          <w:rtl/>
          <w:lang w:eastAsia="ar-SA"/>
        </w:rPr>
        <w:t>إذ يشير</w:t>
      </w:r>
      <w:r w:rsidRPr="00246CBF">
        <w:rPr>
          <w:rtl/>
          <w:lang w:eastAsia="ar-SA"/>
        </w:rPr>
        <w:t xml:space="preserve"> إلى المقررات </w:t>
      </w:r>
      <w:hyperlink r:id="rId80" w:history="1">
        <w:r w:rsidRPr="00246CBF">
          <w:rPr>
            <w:color w:val="0000FF"/>
            <w:u w:val="single"/>
            <w:rtl/>
            <w:lang w:eastAsia="ar-SA"/>
          </w:rPr>
          <w:t>12/27</w:t>
        </w:r>
      </w:hyperlink>
      <w:r w:rsidRPr="00246CBF">
        <w:rPr>
          <w:rtl/>
          <w:lang w:eastAsia="ar-SA"/>
        </w:rPr>
        <w:t>، و</w:t>
      </w:r>
      <w:r w:rsidRPr="00246CBF">
        <w:rPr>
          <w:color w:val="0000FF"/>
          <w:kern w:val="22"/>
          <w:u w:val="single"/>
          <w:rtl/>
          <w:lang w:eastAsia="ar-SA"/>
        </w:rPr>
        <w:t>13/</w:t>
      </w:r>
      <w:hyperlink r:id="rId81" w:history="1">
        <w:r w:rsidRPr="00246CBF">
          <w:rPr>
            <w:color w:val="0000FF"/>
            <w:kern w:val="22"/>
            <w:u w:val="single"/>
            <w:rtl/>
            <w:lang w:eastAsia="ar-SA"/>
          </w:rPr>
          <w:t>26</w:t>
        </w:r>
      </w:hyperlink>
      <w:r w:rsidRPr="00246CBF">
        <w:rPr>
          <w:kern w:val="22"/>
          <w:rtl/>
          <w:lang w:eastAsia="ar-SA"/>
        </w:rPr>
        <w:t>،</w:t>
      </w:r>
      <w:hyperlink r:id="rId82" w:history="1">
        <w:r w:rsidRPr="00246CBF">
          <w:rPr>
            <w:rtl/>
            <w:lang w:eastAsia="ar-SA"/>
          </w:rPr>
          <w:t xml:space="preserve"> و</w:t>
        </w:r>
        <w:r w:rsidRPr="00246CBF">
          <w:rPr>
            <w:color w:val="0000FF"/>
            <w:kern w:val="22"/>
            <w:u w:val="single"/>
            <w:rtl/>
            <w:lang w:eastAsia="ar-SA"/>
          </w:rPr>
          <w:t>13</w:t>
        </w:r>
      </w:hyperlink>
      <w:r w:rsidRPr="00246CBF">
        <w:rPr>
          <w:color w:val="0000FF"/>
          <w:kern w:val="22"/>
          <w:u w:val="single"/>
          <w:rtl/>
          <w:lang w:eastAsia="ar-SA"/>
        </w:rPr>
        <w:t>/</w:t>
      </w:r>
      <w:hyperlink r:id="rId83" w:history="1">
        <w:r w:rsidRPr="00246CBF">
          <w:rPr>
            <w:color w:val="0000FF"/>
            <w:kern w:val="22"/>
            <w:u w:val="single"/>
            <w:rtl/>
            <w:lang w:eastAsia="ar-SA"/>
          </w:rPr>
          <w:t>33</w:t>
        </w:r>
      </w:hyperlink>
      <w:r w:rsidRPr="00246CBF">
        <w:rPr>
          <w:kern w:val="22"/>
          <w:rtl/>
          <w:lang w:eastAsia="ar-SA"/>
        </w:rPr>
        <w:t>،</w:t>
      </w:r>
    </w:p>
    <w:p w:rsidR="00CC7A77" w:rsidRPr="00B005A0" w:rsidRDefault="00CC7A77" w:rsidP="00CC7A77">
      <w:pPr>
        <w:ind w:firstLine="720"/>
        <w:rPr>
          <w:rtl/>
        </w:rPr>
      </w:pPr>
      <w:r w:rsidRPr="00B005A0">
        <w:rPr>
          <w:rFonts w:hint="cs"/>
          <w:i/>
          <w:iCs/>
          <w:rtl/>
        </w:rPr>
        <w:t>وقد ا</w:t>
      </w:r>
      <w:r w:rsidRPr="00B005A0">
        <w:rPr>
          <w:i/>
          <w:iCs/>
          <w:rtl/>
        </w:rPr>
        <w:t>ستعرض</w:t>
      </w:r>
      <w:r w:rsidRPr="00B005A0">
        <w:rPr>
          <w:rtl/>
        </w:rPr>
        <w:t xml:space="preserve"> </w:t>
      </w:r>
      <w:r w:rsidRPr="00B005A0">
        <w:rPr>
          <w:rFonts w:hint="cs"/>
          <w:rtl/>
        </w:rPr>
        <w:t xml:space="preserve">تجربة </w:t>
      </w:r>
      <w:r w:rsidRPr="00B005A0">
        <w:rPr>
          <w:rtl/>
        </w:rPr>
        <w:t>عقد اجتماع</w:t>
      </w:r>
      <w:r>
        <w:rPr>
          <w:rFonts w:hint="cs"/>
          <w:rtl/>
        </w:rPr>
        <w:t>ات</w:t>
      </w:r>
      <w:r w:rsidRPr="00B005A0">
        <w:rPr>
          <w:rtl/>
        </w:rPr>
        <w:t xml:space="preserve"> مؤتمر الأطراف</w:t>
      </w:r>
      <w:r w:rsidRPr="00B005A0">
        <w:rPr>
          <w:rFonts w:hint="cs"/>
          <w:rtl/>
        </w:rPr>
        <w:t xml:space="preserve"> بالتزامن مع </w:t>
      </w:r>
      <w:r w:rsidRPr="00B005A0">
        <w:rPr>
          <w:rtl/>
        </w:rPr>
        <w:t xml:space="preserve">مؤتمر الأطراف العامل كاجتماع للأطراف في بروتوكول قرطاجنة، ومؤتمر الأطراف العامل كاجتماع للأطراف في بروتوكول ناغويا، باستخدام المعايير المحددة في المقرر 13/26، </w:t>
      </w:r>
      <w:r w:rsidRPr="00B005A0">
        <w:rPr>
          <w:i/>
          <w:iCs/>
          <w:rtl/>
        </w:rPr>
        <w:t>مع مراعاة</w:t>
      </w:r>
      <w:r w:rsidRPr="00B005A0">
        <w:rPr>
          <w:rtl/>
        </w:rPr>
        <w:t xml:space="preserve"> آراء الأطراف والمراقبين والمشاركين في الاجتماع الثالث عشر لمؤتمر الأطراف في الاتفاقية، والاجتماع الثامن لمؤتمر الأطراف العامل كاجتماع للأطراف في بروتوكول قرطاجنة، والاجتماع الثاني لمؤتمر الأطراف العامل كاجتماع للأطراف في بروتوكول ناغويا، </w:t>
      </w:r>
      <w:r w:rsidRPr="00B005A0">
        <w:rPr>
          <w:rFonts w:hint="cs"/>
          <w:rtl/>
        </w:rPr>
        <w:t>ومن خلال الدراسات الاستقصائية التي أجريت بعد الاجتماعات،</w:t>
      </w:r>
    </w:p>
    <w:p w:rsidR="00CC7A77" w:rsidRPr="001C16BB" w:rsidRDefault="00CC7A77" w:rsidP="00CC7A77">
      <w:pPr>
        <w:ind w:firstLine="720"/>
        <w:rPr>
          <w:rtl/>
        </w:rPr>
      </w:pPr>
      <w:r w:rsidRPr="001C16BB">
        <w:rPr>
          <w:i/>
          <w:iCs/>
          <w:rtl/>
        </w:rPr>
        <w:t>وإذ يقر</w:t>
      </w:r>
      <w:r w:rsidRPr="001C16BB">
        <w:rPr>
          <w:rtl/>
        </w:rPr>
        <w:t xml:space="preserve"> بأنه </w:t>
      </w:r>
      <w:r>
        <w:rPr>
          <w:rFonts w:hint="cs"/>
          <w:rtl/>
        </w:rPr>
        <w:t>سيُجرى</w:t>
      </w:r>
      <w:r w:rsidRPr="001C16BB">
        <w:rPr>
          <w:rtl/>
        </w:rPr>
        <w:t xml:space="preserve"> استعراض آخر في الاجتماع الخامس عشر لمؤتمر الأطراف في الاتفاقية، والاجتماع العاشر لمؤتمر الأطراف العامل كاجتماع للأطراف في بروتوكول قرطاجنة، والاجتماع الرابع لمؤتمر الأطراف العامل كاجتماع للأطراف في بروتوكول ناغويا،</w:t>
      </w:r>
    </w:p>
    <w:p w:rsidR="00CC7A77" w:rsidRPr="001C16BB" w:rsidRDefault="00CC7A77" w:rsidP="00CD26C5">
      <w:pPr>
        <w:numPr>
          <w:ilvl w:val="0"/>
          <w:numId w:val="79"/>
        </w:numPr>
        <w:ind w:left="0" w:firstLine="720"/>
        <w:rPr>
          <w:rFonts w:eastAsia="Malgun Gothic"/>
        </w:rPr>
      </w:pPr>
      <w:r w:rsidRPr="001C16BB">
        <w:rPr>
          <w:rFonts w:eastAsia="Malgun Gothic"/>
          <w:i/>
          <w:iCs/>
          <w:rtl/>
        </w:rPr>
        <w:t>يلاحظ</w:t>
      </w:r>
      <w:r w:rsidRPr="001C16BB">
        <w:rPr>
          <w:rFonts w:eastAsia="Malgun Gothic"/>
          <w:rtl/>
        </w:rPr>
        <w:t xml:space="preserve"> </w:t>
      </w:r>
      <w:r w:rsidRPr="001C16BB">
        <w:rPr>
          <w:rFonts w:eastAsia="Malgun Gothic"/>
          <w:i/>
          <w:iCs/>
          <w:rtl/>
        </w:rPr>
        <w:t>مع الارتياح</w:t>
      </w:r>
      <w:r w:rsidRPr="001C16BB">
        <w:rPr>
          <w:rFonts w:eastAsia="Malgun Gothic"/>
          <w:rtl/>
        </w:rPr>
        <w:t xml:space="preserve"> أن الاجتماعات المتزامنة سمحت بزيادة التكامل بين الاتفاقية وبروتوكوليها، وتحسين المشاورات والتنسيق وأوجه التآزر فيما بين نقاط الاتصال الوطنية المعنية؛</w:t>
      </w:r>
    </w:p>
    <w:p w:rsidR="00CC7A77" w:rsidRPr="001C16BB" w:rsidRDefault="00CC7A77" w:rsidP="00CD26C5">
      <w:pPr>
        <w:numPr>
          <w:ilvl w:val="0"/>
          <w:numId w:val="79"/>
        </w:numPr>
        <w:ind w:left="0" w:firstLine="720"/>
        <w:rPr>
          <w:rFonts w:eastAsia="Malgun Gothic"/>
        </w:rPr>
      </w:pPr>
      <w:r w:rsidRPr="001C16BB">
        <w:rPr>
          <w:rFonts w:eastAsia="Malgun Gothic"/>
          <w:i/>
          <w:iCs/>
          <w:rtl/>
        </w:rPr>
        <w:t>يلاحظ</w:t>
      </w:r>
      <w:r w:rsidRPr="001C16BB">
        <w:rPr>
          <w:rFonts w:eastAsia="Malgun Gothic"/>
          <w:rtl/>
        </w:rPr>
        <w:t xml:space="preserve"> أن معظم المعايير اعتبر</w:t>
      </w:r>
      <w:r>
        <w:rPr>
          <w:rFonts w:eastAsia="Malgun Gothic"/>
          <w:rtl/>
        </w:rPr>
        <w:t>ت مستوفاة أو مستوفاة جزئيا، وأن</w:t>
      </w:r>
      <w:r w:rsidRPr="001C16BB">
        <w:rPr>
          <w:rFonts w:eastAsia="Malgun Gothic"/>
          <w:rtl/>
        </w:rPr>
        <w:t xml:space="preserve"> من المستصوب إدخال المزيد من التحسينات على سير الاجتماعات المتزامنة، </w:t>
      </w:r>
      <w:r>
        <w:rPr>
          <w:rFonts w:eastAsia="Malgun Gothic" w:hint="cs"/>
          <w:rtl/>
        </w:rPr>
        <w:t>و</w:t>
      </w:r>
      <w:r>
        <w:rPr>
          <w:rFonts w:eastAsia="Malgun Gothic"/>
          <w:rtl/>
        </w:rPr>
        <w:t>لا</w:t>
      </w:r>
      <w:r w:rsidRPr="001C16BB">
        <w:rPr>
          <w:rFonts w:eastAsia="Malgun Gothic"/>
          <w:rtl/>
        </w:rPr>
        <w:t xml:space="preserve">سيما لتحسين نتائج وفعالية اجتماعات </w:t>
      </w:r>
      <w:r w:rsidRPr="001C16BB">
        <w:rPr>
          <w:rFonts w:eastAsia="Malgun Gothic" w:hint="cs"/>
          <w:rtl/>
        </w:rPr>
        <w:t xml:space="preserve">الأطراف في </w:t>
      </w:r>
      <w:r w:rsidRPr="001C16BB">
        <w:rPr>
          <w:rFonts w:eastAsia="Malgun Gothic"/>
          <w:rtl/>
        </w:rPr>
        <w:t>البروتوكولين؛</w:t>
      </w:r>
    </w:p>
    <w:p w:rsidR="00CC7A77" w:rsidRDefault="00CC7A77" w:rsidP="00CD26C5">
      <w:pPr>
        <w:numPr>
          <w:ilvl w:val="0"/>
          <w:numId w:val="79"/>
        </w:numPr>
        <w:ind w:left="0" w:firstLine="720"/>
        <w:rPr>
          <w:rFonts w:eastAsia="Malgun Gothic"/>
        </w:rPr>
      </w:pPr>
      <w:r w:rsidRPr="001C16BB">
        <w:rPr>
          <w:rFonts w:eastAsia="Malgun Gothic"/>
          <w:i/>
          <w:iCs/>
          <w:rtl/>
        </w:rPr>
        <w:t>ي</w:t>
      </w:r>
      <w:r>
        <w:rPr>
          <w:rFonts w:eastAsia="Malgun Gothic" w:hint="cs"/>
          <w:i/>
          <w:iCs/>
          <w:rtl/>
        </w:rPr>
        <w:t>عيد</w:t>
      </w:r>
      <w:r w:rsidRPr="008E79B8">
        <w:rPr>
          <w:rFonts w:eastAsia="Malgun Gothic"/>
          <w:i/>
          <w:iCs/>
          <w:rtl/>
        </w:rPr>
        <w:t xml:space="preserve"> التأكيد </w:t>
      </w:r>
      <w:r w:rsidRPr="001C16BB">
        <w:rPr>
          <w:rFonts w:eastAsia="Malgun Gothic"/>
          <w:rtl/>
        </w:rPr>
        <w:t>على أهمية ضمان المشاركة الكاملة والفعالة لممثلي الأطراف من البلدان ال</w:t>
      </w:r>
      <w:r>
        <w:rPr>
          <w:rFonts w:eastAsia="Malgun Gothic"/>
          <w:rtl/>
        </w:rPr>
        <w:t>نامية، ولاسيما أقل البلدان نموا و</w:t>
      </w:r>
      <w:r>
        <w:rPr>
          <w:rFonts w:eastAsia="Malgun Gothic" w:hint="cs"/>
          <w:rtl/>
        </w:rPr>
        <w:t xml:space="preserve">من بينها </w:t>
      </w:r>
      <w:r>
        <w:rPr>
          <w:rFonts w:eastAsia="Malgun Gothic"/>
          <w:rtl/>
        </w:rPr>
        <w:t>الدول الجزرية الصغيرة النامية</w:t>
      </w:r>
      <w:r w:rsidRPr="001C16BB">
        <w:rPr>
          <w:rFonts w:eastAsia="Malgun Gothic"/>
          <w:rtl/>
        </w:rPr>
        <w:t>، وال</w:t>
      </w:r>
      <w:r w:rsidRPr="001C16BB">
        <w:rPr>
          <w:rFonts w:eastAsia="Malgun Gothic" w:hint="cs"/>
          <w:rtl/>
        </w:rPr>
        <w:t>بلدان</w:t>
      </w:r>
      <w:r w:rsidRPr="001C16BB">
        <w:rPr>
          <w:rFonts w:eastAsia="Malgun Gothic"/>
          <w:rtl/>
        </w:rPr>
        <w:t xml:space="preserve"> التي تمر اقتصاداتها بمرحلة انتقالية، في الاجتماعات المتزامنة، </w:t>
      </w:r>
      <w:r w:rsidRPr="001C16BB">
        <w:rPr>
          <w:rFonts w:eastAsia="Malgun Gothic" w:hint="cs"/>
          <w:i/>
          <w:iCs/>
          <w:rtl/>
        </w:rPr>
        <w:t>ويسلط الضوء</w:t>
      </w:r>
      <w:r w:rsidRPr="001C16BB">
        <w:rPr>
          <w:rFonts w:eastAsia="Malgun Gothic"/>
          <w:rtl/>
        </w:rPr>
        <w:t>، في هذا الصدد، على وجه الخصوص، على أهمية ضمان المشا</w:t>
      </w:r>
      <w:r>
        <w:rPr>
          <w:rFonts w:eastAsia="Malgun Gothic"/>
          <w:rtl/>
        </w:rPr>
        <w:t>ركة الكافية للممثلين في اجتماع</w:t>
      </w:r>
      <w:r>
        <w:rPr>
          <w:rFonts w:eastAsia="Malgun Gothic" w:hint="cs"/>
          <w:rtl/>
        </w:rPr>
        <w:t>ي</w:t>
      </w:r>
      <w:r w:rsidRPr="001C16BB">
        <w:rPr>
          <w:rFonts w:eastAsia="Malgun Gothic"/>
          <w:rtl/>
        </w:rPr>
        <w:t xml:space="preserve"> البروتوكولين</w:t>
      </w:r>
      <w:r w:rsidRPr="001C16BB">
        <w:rPr>
          <w:rFonts w:eastAsia="Malgun Gothic" w:hint="cs"/>
          <w:rtl/>
        </w:rPr>
        <w:t>، عن طريق توفير التمويل لهذه المشاركة، بما في ذلك في الاجتماعات</w:t>
      </w:r>
      <w:r>
        <w:rPr>
          <w:rFonts w:eastAsia="Malgun Gothic" w:hint="cs"/>
          <w:rtl/>
        </w:rPr>
        <w:t xml:space="preserve"> </w:t>
      </w:r>
      <w:r w:rsidRPr="00A06CEC">
        <w:rPr>
          <w:rFonts w:hint="cs"/>
          <w:rtl/>
        </w:rPr>
        <w:t>التي تُعقد</w:t>
      </w:r>
      <w:r w:rsidRPr="001C16BB">
        <w:rPr>
          <w:rFonts w:eastAsia="Malgun Gothic" w:hint="cs"/>
          <w:rtl/>
        </w:rPr>
        <w:t xml:space="preserve"> فيما بين الدورات</w:t>
      </w:r>
      <w:r w:rsidRPr="001C16BB">
        <w:rPr>
          <w:rFonts w:eastAsia="Malgun Gothic"/>
          <w:rtl/>
        </w:rPr>
        <w:t>؛</w:t>
      </w:r>
    </w:p>
    <w:p w:rsidR="00CC7A77" w:rsidRDefault="00CC7A77" w:rsidP="00CD26C5">
      <w:pPr>
        <w:numPr>
          <w:ilvl w:val="0"/>
          <w:numId w:val="79"/>
        </w:numPr>
        <w:ind w:left="0" w:firstLine="720"/>
        <w:rPr>
          <w:rFonts w:eastAsia="Malgun Gothic"/>
        </w:rPr>
      </w:pPr>
      <w:r>
        <w:rPr>
          <w:rFonts w:eastAsia="Malgun Gothic" w:hint="cs"/>
          <w:i/>
          <w:iCs/>
          <w:rtl/>
        </w:rPr>
        <w:t xml:space="preserve">يطلب إلى </w:t>
      </w:r>
      <w:r>
        <w:rPr>
          <w:rFonts w:eastAsia="Malgun Gothic" w:hint="cs"/>
          <w:rtl/>
        </w:rPr>
        <w:t>الأمينة التنفيذية مواصلة تطوير الاستعراض الأولي لتجربة عقد الاجتماعات بالتزامن، من خلال الاستعانة بالمعايير المشار إليها في المقرر 13/26، على أساس الخبرة المكتسبة من عقد الاجتماع الرابع عشر لمؤتمر الأطراف بالتزامن مع الاجتماع التاسع لمؤتمر الأطراف العامل كاجتماع للأطراف في بروتوكول قرطاجنة والاجتماع الثالث لمؤتمر الأطراف العامل كاجتماع للأطراف في بروتوكول ناغويا، لكي تنظر فيه الهيئة الفرعية للتنفيذ في اجتماعها الثالث؛</w:t>
      </w:r>
    </w:p>
    <w:p w:rsidR="00516FD0" w:rsidRPr="00CC7A77" w:rsidRDefault="00CC7A77" w:rsidP="00CD26C5">
      <w:pPr>
        <w:numPr>
          <w:ilvl w:val="0"/>
          <w:numId w:val="79"/>
        </w:numPr>
        <w:ind w:left="0" w:firstLine="720"/>
        <w:rPr>
          <w:rFonts w:eastAsia="Malgun Gothic"/>
          <w:rtl/>
        </w:rPr>
      </w:pPr>
      <w:r w:rsidRPr="00B005A0">
        <w:rPr>
          <w:i/>
          <w:iCs/>
          <w:sz w:val="20"/>
          <w:rtl/>
        </w:rPr>
        <w:t>يطلب</w:t>
      </w:r>
      <w:r w:rsidRPr="00B005A0">
        <w:rPr>
          <w:sz w:val="20"/>
          <w:rtl/>
        </w:rPr>
        <w:t xml:space="preserve"> </w:t>
      </w:r>
      <w:r w:rsidRPr="008E79B8">
        <w:rPr>
          <w:i/>
          <w:iCs/>
          <w:sz w:val="20"/>
          <w:rtl/>
        </w:rPr>
        <w:t>إلى</w:t>
      </w:r>
      <w:r w:rsidRPr="00B005A0">
        <w:rPr>
          <w:sz w:val="20"/>
          <w:rtl/>
        </w:rPr>
        <w:t xml:space="preserve"> المكتب والأمين</w:t>
      </w:r>
      <w:r w:rsidRPr="00B005A0">
        <w:rPr>
          <w:rFonts w:hint="cs"/>
          <w:sz w:val="20"/>
          <w:rtl/>
        </w:rPr>
        <w:t>ة</w:t>
      </w:r>
      <w:r w:rsidRPr="00B005A0">
        <w:rPr>
          <w:sz w:val="20"/>
          <w:rtl/>
        </w:rPr>
        <w:t xml:space="preserve"> التنفيذي</w:t>
      </w:r>
      <w:r w:rsidRPr="00B005A0">
        <w:rPr>
          <w:rFonts w:hint="cs"/>
          <w:sz w:val="20"/>
          <w:rtl/>
        </w:rPr>
        <w:t>ة</w:t>
      </w:r>
      <w:r w:rsidRPr="00B005A0">
        <w:rPr>
          <w:sz w:val="20"/>
          <w:rtl/>
        </w:rPr>
        <w:t xml:space="preserve">، عند </w:t>
      </w:r>
      <w:r w:rsidRPr="00B005A0">
        <w:rPr>
          <w:rFonts w:eastAsia="Malgun Gothic"/>
          <w:rtl/>
        </w:rPr>
        <w:t>الانتهاء</w:t>
      </w:r>
      <w:r w:rsidRPr="00B005A0">
        <w:rPr>
          <w:sz w:val="20"/>
          <w:rtl/>
        </w:rPr>
        <w:t xml:space="preserve"> من تنظيم العمل المقترح للاجتماع </w:t>
      </w:r>
      <w:r w:rsidRPr="00B005A0">
        <w:rPr>
          <w:rFonts w:hint="cs"/>
          <w:sz w:val="20"/>
          <w:rtl/>
        </w:rPr>
        <w:t>الخامس</w:t>
      </w:r>
      <w:r w:rsidRPr="00B005A0">
        <w:rPr>
          <w:sz w:val="20"/>
          <w:rtl/>
        </w:rPr>
        <w:t xml:space="preserve"> عشر لمؤتمر الأطراف في الاتفاقية، والاجتماع </w:t>
      </w:r>
      <w:r w:rsidRPr="00B005A0">
        <w:rPr>
          <w:rFonts w:hint="cs"/>
          <w:sz w:val="20"/>
          <w:rtl/>
        </w:rPr>
        <w:t>العاشر</w:t>
      </w:r>
      <w:r w:rsidRPr="00B005A0">
        <w:rPr>
          <w:sz w:val="20"/>
          <w:rtl/>
        </w:rPr>
        <w:t xml:space="preserve"> لمؤتمر الأطراف العامل كاجتماع للأطراف في بروتوكول قرطاجنة والاجتماع </w:t>
      </w:r>
      <w:r w:rsidRPr="00B005A0">
        <w:rPr>
          <w:rFonts w:hint="cs"/>
          <w:sz w:val="20"/>
          <w:rtl/>
        </w:rPr>
        <w:t>الرابع</w:t>
      </w:r>
      <w:r w:rsidRPr="00B005A0">
        <w:rPr>
          <w:sz w:val="20"/>
          <w:rtl/>
        </w:rPr>
        <w:t xml:space="preserve"> لمؤتمر الأطراف العامل كاجتماع للأطراف في بروتوكول ناغويا، مراعاة هذا المقرر</w:t>
      </w:r>
      <w:r w:rsidRPr="00B005A0">
        <w:rPr>
          <w:rFonts w:hint="cs"/>
          <w:sz w:val="20"/>
          <w:rtl/>
        </w:rPr>
        <w:t>،</w:t>
      </w:r>
      <w:r w:rsidRPr="00B005A0">
        <w:rPr>
          <w:sz w:val="20"/>
          <w:rtl/>
        </w:rPr>
        <w:t xml:space="preserve"> والمعلومات الواردة في مذكرة الأمين</w:t>
      </w:r>
      <w:r w:rsidRPr="00B005A0">
        <w:rPr>
          <w:rFonts w:hint="cs"/>
          <w:sz w:val="20"/>
          <w:rtl/>
        </w:rPr>
        <w:t>ة</w:t>
      </w:r>
      <w:r w:rsidRPr="00B005A0">
        <w:rPr>
          <w:sz w:val="20"/>
          <w:rtl/>
        </w:rPr>
        <w:t xml:space="preserve"> التنفيذي</w:t>
      </w:r>
      <w:r w:rsidRPr="00B005A0">
        <w:rPr>
          <w:rFonts w:hint="cs"/>
          <w:sz w:val="20"/>
          <w:rtl/>
        </w:rPr>
        <w:t>ة،</w:t>
      </w:r>
      <w:r w:rsidRPr="001C16BB">
        <w:rPr>
          <w:sz w:val="20"/>
          <w:vertAlign w:val="superscript"/>
        </w:rPr>
        <w:footnoteReference w:id="302"/>
      </w:r>
      <w:r w:rsidRPr="00B005A0">
        <w:rPr>
          <w:rFonts w:hint="cs"/>
          <w:sz w:val="20"/>
          <w:rtl/>
        </w:rPr>
        <w:t xml:space="preserve"> والخبرة المكتسبة من عقد الاجتماع </w:t>
      </w:r>
      <w:r w:rsidRPr="00B005A0">
        <w:rPr>
          <w:rFonts w:eastAsia="Malgun Gothic" w:hint="cs"/>
          <w:rtl/>
        </w:rPr>
        <w:t>الرابع عشر لمؤتمر الأطراف بالتزامن مع الاجتماع التاسع لمؤتمر الأطراف العامل كاجتماع للأطراف في بروتوكول قرطاجنة، والاجتماع الثالث لمؤتمر الأطراف العامل كاجتماع للأطراف في بروتوكول ناغويا.</w:t>
      </w:r>
    </w:p>
    <w:p w:rsidR="00516FD0" w:rsidRDefault="00516FD0" w:rsidP="00516FD0">
      <w:pPr>
        <w:spacing w:after="0" w:line="240" w:lineRule="auto"/>
        <w:jc w:val="left"/>
        <w:rPr>
          <w:b/>
          <w:bCs/>
          <w:sz w:val="24"/>
          <w:rtl/>
        </w:rPr>
      </w:pPr>
      <w:r>
        <w:rPr>
          <w:b/>
          <w:bCs/>
          <w:sz w:val="24"/>
          <w:rtl/>
        </w:rPr>
        <w:br w:type="page"/>
      </w:r>
    </w:p>
    <w:p w:rsidR="00CC7A77" w:rsidRPr="00AA5B72" w:rsidRDefault="00CC7A77" w:rsidP="00246CBF">
      <w:pPr>
        <w:pStyle w:val="NoSpacing"/>
        <w:tabs>
          <w:tab w:val="left" w:pos="1620"/>
        </w:tabs>
        <w:bidi/>
        <w:spacing w:after="120" w:line="216" w:lineRule="auto"/>
        <w:ind w:left="12" w:hanging="12"/>
        <w:jc w:val="center"/>
        <w:outlineLvl w:val="1"/>
        <w:rPr>
          <w:rFonts w:ascii="Simplified Arabic" w:hAnsi="Simplified Arabic" w:cs="Simplified Arabic"/>
          <w:b/>
          <w:bCs/>
          <w:kern w:val="22"/>
          <w:sz w:val="24"/>
          <w:szCs w:val="24"/>
          <w:rtl/>
          <w:lang w:val="en-GB" w:bidi="ar-EG"/>
        </w:rPr>
      </w:pPr>
      <w:bookmarkStart w:id="198" w:name="_Toc6071637"/>
      <w:bookmarkStart w:id="199" w:name="_Toc6139994"/>
      <w:r w:rsidRPr="00AA5B72">
        <w:rPr>
          <w:rFonts w:ascii="Simplified Arabic" w:hAnsi="Simplified Arabic" w:cs="Simplified Arabic" w:hint="cs"/>
          <w:b/>
          <w:bCs/>
          <w:kern w:val="22"/>
          <w:sz w:val="24"/>
          <w:szCs w:val="24"/>
          <w:rtl/>
          <w:lang w:val="en-GB" w:bidi="ar-EG"/>
        </w:rPr>
        <w:lastRenderedPageBreak/>
        <w:t>المقرر 14/33</w:t>
      </w:r>
      <w:r w:rsidRPr="00AA5B72">
        <w:rPr>
          <w:rFonts w:ascii="Simplified Arabic" w:hAnsi="Simplified Arabic" w:cs="Simplified Arabic" w:hint="cs"/>
          <w:b/>
          <w:bCs/>
          <w:kern w:val="22"/>
          <w:sz w:val="24"/>
          <w:szCs w:val="24"/>
          <w:rtl/>
          <w:lang w:val="en-GB" w:bidi="ar-EG"/>
        </w:rPr>
        <w:tab/>
        <w:t>إجراء تجنب تضارب المصالح أو إدارتها في أفرقة الخبراء</w:t>
      </w:r>
      <w:bookmarkEnd w:id="198"/>
      <w:bookmarkEnd w:id="199"/>
    </w:p>
    <w:p w:rsidR="00CC7A77" w:rsidRPr="00C00E91" w:rsidRDefault="00CC7A77" w:rsidP="00CC7A77">
      <w:pPr>
        <w:kinsoku w:val="0"/>
        <w:overflowPunct w:val="0"/>
        <w:autoSpaceDE w:val="0"/>
        <w:autoSpaceDN w:val="0"/>
        <w:adjustRightInd w:val="0"/>
        <w:snapToGrid w:val="0"/>
        <w:ind w:firstLine="720"/>
        <w:rPr>
          <w:kern w:val="22"/>
          <w:szCs w:val="22"/>
          <w:lang w:eastAsia="en-CA"/>
        </w:rPr>
      </w:pPr>
      <w:r w:rsidRPr="00300AD0">
        <w:rPr>
          <w:rFonts w:ascii="Simplified Arabic" w:hAnsi="Simplified Arabic"/>
          <w:i/>
          <w:iCs/>
          <w:rtl/>
        </w:rPr>
        <w:t>إن مؤتمر الأطراف،</w:t>
      </w:r>
    </w:p>
    <w:p w:rsidR="00CC7A77" w:rsidRPr="00071313" w:rsidRDefault="00CC7A77" w:rsidP="00CC7A77">
      <w:pPr>
        <w:kinsoku w:val="0"/>
        <w:overflowPunct w:val="0"/>
        <w:autoSpaceDE w:val="0"/>
        <w:autoSpaceDN w:val="0"/>
        <w:adjustRightInd w:val="0"/>
        <w:snapToGrid w:val="0"/>
        <w:ind w:firstLine="720"/>
        <w:rPr>
          <w:kern w:val="22"/>
          <w:szCs w:val="22"/>
          <w:lang w:eastAsia="en-CA"/>
        </w:rPr>
      </w:pPr>
      <w:r w:rsidRPr="00300AD0">
        <w:rPr>
          <w:rFonts w:ascii="Simplified Arabic" w:hAnsi="Simplified Arabic"/>
          <w:i/>
          <w:iCs/>
          <w:rtl/>
        </w:rPr>
        <w:t>إذ يدرك</w:t>
      </w:r>
      <w:r w:rsidRPr="00300AD0">
        <w:rPr>
          <w:rFonts w:ascii="Simplified Arabic" w:hAnsi="Simplified Arabic"/>
          <w:rtl/>
        </w:rPr>
        <w:t xml:space="preserve"> الأهمية الحاسمة لاتخاذ القرارات على أساس أفضل مشورة متاحة من الخبراء،</w:t>
      </w:r>
    </w:p>
    <w:p w:rsidR="00CC7A77" w:rsidRPr="00071313" w:rsidRDefault="00CC7A77" w:rsidP="00CC7A77">
      <w:pPr>
        <w:kinsoku w:val="0"/>
        <w:overflowPunct w:val="0"/>
        <w:autoSpaceDE w:val="0"/>
        <w:autoSpaceDN w:val="0"/>
        <w:adjustRightInd w:val="0"/>
        <w:snapToGrid w:val="0"/>
        <w:ind w:firstLine="720"/>
        <w:rPr>
          <w:kern w:val="22"/>
          <w:szCs w:val="22"/>
          <w:lang w:eastAsia="en-CA"/>
        </w:rPr>
      </w:pPr>
      <w:r w:rsidRPr="00300AD0">
        <w:rPr>
          <w:rFonts w:ascii="Simplified Arabic" w:hAnsi="Simplified Arabic"/>
          <w:i/>
          <w:iCs/>
          <w:rtl/>
        </w:rPr>
        <w:t>وإذ يدرك أيضا</w:t>
      </w:r>
      <w:r w:rsidRPr="00300AD0">
        <w:rPr>
          <w:rFonts w:ascii="Simplified Arabic" w:hAnsi="Simplified Arabic"/>
          <w:rtl/>
        </w:rPr>
        <w:t xml:space="preserve"> الحاجة إلى تجنب تضارب المصالح</w:t>
      </w:r>
      <w:r>
        <w:rPr>
          <w:rFonts w:ascii="Simplified Arabic" w:hAnsi="Simplified Arabic" w:hint="cs"/>
          <w:rtl/>
        </w:rPr>
        <w:t xml:space="preserve"> أو إدارتها بطريقة شفافة</w:t>
      </w:r>
      <w:r w:rsidRPr="00300AD0">
        <w:rPr>
          <w:rFonts w:ascii="Simplified Arabic" w:hAnsi="Simplified Arabic"/>
          <w:rtl/>
        </w:rPr>
        <w:t xml:space="preserve"> من جانب أعضاء أفرقة الخبراء التي تنشأ من حين إلى آخر لوضع التوصيات،</w:t>
      </w:r>
    </w:p>
    <w:p w:rsidR="00CC7A77" w:rsidRDefault="00CC7A77" w:rsidP="00CC7A77">
      <w:pPr>
        <w:kinsoku w:val="0"/>
        <w:overflowPunct w:val="0"/>
        <w:autoSpaceDE w:val="0"/>
        <w:autoSpaceDN w:val="0"/>
        <w:adjustRightInd w:val="0"/>
        <w:snapToGrid w:val="0"/>
        <w:ind w:firstLine="720"/>
        <w:rPr>
          <w:rtl/>
        </w:rPr>
      </w:pPr>
      <w:r w:rsidRPr="00BF79E8">
        <w:rPr>
          <w:rFonts w:hint="cs"/>
          <w:rtl/>
        </w:rPr>
        <w:t>1-</w:t>
      </w:r>
      <w:r>
        <w:rPr>
          <w:rFonts w:hint="cs"/>
          <w:i/>
          <w:iCs/>
          <w:rtl/>
        </w:rPr>
        <w:tab/>
      </w:r>
      <w:r w:rsidRPr="00A87940">
        <w:rPr>
          <w:i/>
          <w:iCs/>
          <w:rtl/>
        </w:rPr>
        <w:t>يوافق على</w:t>
      </w:r>
      <w:r>
        <w:rPr>
          <w:rtl/>
        </w:rPr>
        <w:t xml:space="preserve"> إجراء</w:t>
      </w:r>
      <w:r w:rsidRPr="00A87940">
        <w:rPr>
          <w:rtl/>
        </w:rPr>
        <w:t xml:space="preserve"> تجنب </w:t>
      </w:r>
      <w:r>
        <w:rPr>
          <w:rtl/>
        </w:rPr>
        <w:t>تضارب المصالح أو إدارتها الوارد</w:t>
      </w:r>
      <w:r w:rsidRPr="00A87940">
        <w:rPr>
          <w:rtl/>
        </w:rPr>
        <w:t xml:space="preserve"> في مرفق هذا المقرر؛</w:t>
      </w:r>
    </w:p>
    <w:p w:rsidR="00CC7A77" w:rsidRDefault="00CC7A77" w:rsidP="00CC7A77">
      <w:pPr>
        <w:kinsoku w:val="0"/>
        <w:overflowPunct w:val="0"/>
        <w:autoSpaceDE w:val="0"/>
        <w:autoSpaceDN w:val="0"/>
        <w:adjustRightInd w:val="0"/>
        <w:snapToGrid w:val="0"/>
        <w:ind w:firstLine="720"/>
        <w:rPr>
          <w:rtl/>
        </w:rPr>
      </w:pPr>
      <w:r w:rsidRPr="00BF79E8">
        <w:rPr>
          <w:rFonts w:hint="cs"/>
          <w:rtl/>
        </w:rPr>
        <w:t>2-</w:t>
      </w:r>
      <w:r>
        <w:rPr>
          <w:rFonts w:hint="cs"/>
          <w:i/>
          <w:iCs/>
          <w:rtl/>
        </w:rPr>
        <w:tab/>
      </w:r>
      <w:r w:rsidRPr="00A87940">
        <w:rPr>
          <w:i/>
          <w:iCs/>
          <w:rtl/>
        </w:rPr>
        <w:t xml:space="preserve">يطلب </w:t>
      </w:r>
      <w:r w:rsidRPr="003C3307">
        <w:rPr>
          <w:i/>
          <w:iCs/>
          <w:rtl/>
        </w:rPr>
        <w:t>إلى</w:t>
      </w:r>
      <w:r w:rsidRPr="00A87940">
        <w:rPr>
          <w:rtl/>
        </w:rPr>
        <w:t xml:space="preserve"> الأمين</w:t>
      </w:r>
      <w:r>
        <w:rPr>
          <w:rFonts w:hint="cs"/>
          <w:rtl/>
        </w:rPr>
        <w:t>ة</w:t>
      </w:r>
      <w:r w:rsidRPr="00A87940">
        <w:rPr>
          <w:rtl/>
        </w:rPr>
        <w:t xml:space="preserve"> التنفيذي</w:t>
      </w:r>
      <w:r>
        <w:rPr>
          <w:rFonts w:hint="cs"/>
          <w:rtl/>
        </w:rPr>
        <w:t>ة</w:t>
      </w:r>
      <w:r w:rsidRPr="00A87940">
        <w:rPr>
          <w:rtl/>
        </w:rPr>
        <w:t xml:space="preserve"> أن </w:t>
      </w:r>
      <w:r>
        <w:rPr>
          <w:rFonts w:hint="cs"/>
          <w:rtl/>
        </w:rPr>
        <w:t>ت</w:t>
      </w:r>
      <w:r w:rsidRPr="00A87940">
        <w:rPr>
          <w:rtl/>
        </w:rPr>
        <w:t xml:space="preserve">كفل تنفيذ إجراء </w:t>
      </w:r>
      <w:r>
        <w:rPr>
          <w:rFonts w:hint="cs"/>
          <w:rtl/>
        </w:rPr>
        <w:t>تجنب</w:t>
      </w:r>
      <w:r w:rsidRPr="00A87940">
        <w:rPr>
          <w:rtl/>
        </w:rPr>
        <w:t xml:space="preserve"> تضارب المصالح</w:t>
      </w:r>
      <w:r>
        <w:rPr>
          <w:rFonts w:hint="cs"/>
          <w:rtl/>
        </w:rPr>
        <w:t xml:space="preserve"> أو إدارتها</w:t>
      </w:r>
      <w:r w:rsidRPr="00A87940">
        <w:rPr>
          <w:rtl/>
        </w:rPr>
        <w:t xml:space="preserve"> في أفرقة الخبراء التقنيين</w:t>
      </w:r>
      <w:r>
        <w:rPr>
          <w:rFonts w:hint="cs"/>
          <w:rtl/>
        </w:rPr>
        <w:t xml:space="preserve"> الوارد في المرفق بهذا المقرر،</w:t>
      </w:r>
      <w:r w:rsidRPr="00A87940">
        <w:rPr>
          <w:rtl/>
        </w:rPr>
        <w:t xml:space="preserve"> بالتشاور مع مكتب الهيئة الفرعية للمشورة العلمية والتقنية والتكنولوجية أو</w:t>
      </w:r>
      <w:r>
        <w:rPr>
          <w:rFonts w:hint="cs"/>
          <w:rtl/>
        </w:rPr>
        <w:t xml:space="preserve"> مكتب</w:t>
      </w:r>
      <w:r w:rsidRPr="00A87940">
        <w:rPr>
          <w:rtl/>
        </w:rPr>
        <w:t xml:space="preserve"> مؤتمر الأطراف، حسب الاقتضاء</w:t>
      </w:r>
      <w:r>
        <w:rPr>
          <w:rFonts w:hint="cs"/>
          <w:rtl/>
        </w:rPr>
        <w:t>؛</w:t>
      </w:r>
    </w:p>
    <w:p w:rsidR="00CC7A77" w:rsidRDefault="00CC7A77" w:rsidP="00CC7A77">
      <w:pPr>
        <w:kinsoku w:val="0"/>
        <w:overflowPunct w:val="0"/>
        <w:autoSpaceDE w:val="0"/>
        <w:autoSpaceDN w:val="0"/>
        <w:adjustRightInd w:val="0"/>
        <w:snapToGrid w:val="0"/>
        <w:ind w:firstLine="720"/>
        <w:rPr>
          <w:rtl/>
        </w:rPr>
      </w:pPr>
      <w:r>
        <w:rPr>
          <w:rFonts w:hint="cs"/>
          <w:rtl/>
        </w:rPr>
        <w:t>3</w:t>
      </w:r>
      <w:r w:rsidRPr="00BF79E8">
        <w:rPr>
          <w:rFonts w:hint="cs"/>
          <w:rtl/>
        </w:rPr>
        <w:t>-</w:t>
      </w:r>
      <w:r>
        <w:rPr>
          <w:rFonts w:hint="cs"/>
          <w:i/>
          <w:iCs/>
          <w:rtl/>
        </w:rPr>
        <w:tab/>
      </w:r>
      <w:r w:rsidRPr="00C06A31">
        <w:rPr>
          <w:i/>
          <w:iCs/>
          <w:rtl/>
        </w:rPr>
        <w:t>يطلب أيضا</w:t>
      </w:r>
      <w:r w:rsidRPr="00C06A31">
        <w:rPr>
          <w:rtl/>
        </w:rPr>
        <w:t xml:space="preserve"> إلى الأمين</w:t>
      </w:r>
      <w:r>
        <w:rPr>
          <w:rFonts w:hint="cs"/>
          <w:rtl/>
        </w:rPr>
        <w:t>ة</w:t>
      </w:r>
      <w:r w:rsidRPr="00C06A31">
        <w:rPr>
          <w:rtl/>
        </w:rPr>
        <w:t xml:space="preserve"> التنفيذي</w:t>
      </w:r>
      <w:r>
        <w:rPr>
          <w:rFonts w:hint="cs"/>
          <w:rtl/>
        </w:rPr>
        <w:t>ة</w:t>
      </w:r>
      <w:r w:rsidRPr="00C06A31">
        <w:rPr>
          <w:rtl/>
        </w:rPr>
        <w:t xml:space="preserve"> إعداد تقرير عن: (أ) تنفيذ الإجراء؛ (ب)</w:t>
      </w:r>
      <w:r>
        <w:rPr>
          <w:rFonts w:hint="cs"/>
          <w:rtl/>
        </w:rPr>
        <w:t> </w:t>
      </w:r>
      <w:r w:rsidRPr="00C06A31">
        <w:rPr>
          <w:rtl/>
        </w:rPr>
        <w:t>التطورات ذات الصلة بتجنب أو إدارة تضارب المصالح في الاتفاقات البيئية المتعددة الأطراف الأخرى، أو المبادرات أو المنظمات الحكومية الدولية، وإذا اقتضى الأمر، اقتراح تحديثات وتعديلات على الإجراء الحالي لتنظر فيها الهيئة الفرعية للتنفيذ في اجتماع يعقد قبل الاجتماع السادس عشر لمؤتمر الأطراف؛</w:t>
      </w:r>
    </w:p>
    <w:p w:rsidR="00CC7A77" w:rsidRDefault="00CC7A77" w:rsidP="00CC7A77">
      <w:pPr>
        <w:kinsoku w:val="0"/>
        <w:overflowPunct w:val="0"/>
        <w:autoSpaceDE w:val="0"/>
        <w:autoSpaceDN w:val="0"/>
        <w:adjustRightInd w:val="0"/>
        <w:snapToGrid w:val="0"/>
        <w:ind w:firstLine="720"/>
        <w:rPr>
          <w:rtl/>
        </w:rPr>
      </w:pPr>
      <w:r>
        <w:rPr>
          <w:rFonts w:hint="cs"/>
          <w:rtl/>
        </w:rPr>
        <w:t>4</w:t>
      </w:r>
      <w:r w:rsidRPr="00BF79E8">
        <w:rPr>
          <w:rFonts w:hint="cs"/>
          <w:rtl/>
        </w:rPr>
        <w:t>-</w:t>
      </w:r>
      <w:r>
        <w:rPr>
          <w:rFonts w:hint="cs"/>
          <w:i/>
          <w:iCs/>
          <w:rtl/>
        </w:rPr>
        <w:tab/>
      </w:r>
      <w:r w:rsidRPr="00C06A31">
        <w:rPr>
          <w:i/>
          <w:iCs/>
          <w:rtl/>
        </w:rPr>
        <w:t xml:space="preserve">يطلب </w:t>
      </w:r>
      <w:r w:rsidRPr="00C06A31">
        <w:rPr>
          <w:rtl/>
        </w:rPr>
        <w:t xml:space="preserve">إلى الهيئة الفرعية </w:t>
      </w:r>
      <w:r>
        <w:rPr>
          <w:rFonts w:hint="cs"/>
          <w:rtl/>
        </w:rPr>
        <w:t>ل</w:t>
      </w:r>
      <w:r w:rsidRPr="00C06A31">
        <w:rPr>
          <w:rtl/>
        </w:rPr>
        <w:t>لتنفيذ أن تنظر في التقرير المشار إليه في الفقرة 3 أعلاه وأن تقدم توصيات، حسب الاقتضاء، لينظر فيها مؤتمر الأطراف في اجتماعه السادس عشر.</w:t>
      </w:r>
    </w:p>
    <w:p w:rsidR="00CC7A77" w:rsidRPr="008E63AD" w:rsidRDefault="00CC7A77" w:rsidP="00CC7A77">
      <w:pPr>
        <w:spacing w:before="240" w:after="100" w:line="204" w:lineRule="auto"/>
        <w:jc w:val="center"/>
        <w:rPr>
          <w:rFonts w:ascii="Simplified Arabic" w:hAnsi="Simplified Arabic"/>
          <w:i/>
          <w:iCs/>
          <w:rtl/>
        </w:rPr>
      </w:pPr>
      <w:r w:rsidRPr="00BF79E8">
        <w:rPr>
          <w:rFonts w:ascii="Simplified Arabic" w:hAnsi="Simplified Arabic"/>
          <w:i/>
          <w:iCs/>
          <w:rtl/>
        </w:rPr>
        <w:t>المرفق</w:t>
      </w:r>
    </w:p>
    <w:p w:rsidR="00CC7A77" w:rsidRPr="00BF79E8" w:rsidRDefault="00CC7A77" w:rsidP="00CC7A77">
      <w:pPr>
        <w:kinsoku w:val="0"/>
        <w:overflowPunct w:val="0"/>
        <w:autoSpaceDE w:val="0"/>
        <w:autoSpaceDN w:val="0"/>
        <w:jc w:val="center"/>
        <w:rPr>
          <w:bCs/>
          <w:snapToGrid w:val="0"/>
          <w:kern w:val="22"/>
          <w:sz w:val="26"/>
          <w:szCs w:val="26"/>
          <w:lang w:eastAsia="en-CA"/>
        </w:rPr>
      </w:pPr>
      <w:r w:rsidRPr="00BF79E8">
        <w:rPr>
          <w:rFonts w:ascii="Simplified Arabic" w:hAnsi="Simplified Arabic"/>
          <w:b/>
          <w:bCs/>
          <w:sz w:val="26"/>
          <w:szCs w:val="26"/>
          <w:rtl/>
          <w:lang w:val="fr-CA"/>
        </w:rPr>
        <w:t>إجراء تجنب تضارب المصالح أو إدارتها</w:t>
      </w:r>
    </w:p>
    <w:p w:rsidR="00CC7A77" w:rsidRPr="007C405B" w:rsidRDefault="00CC7A77" w:rsidP="00CD26C5">
      <w:pPr>
        <w:pStyle w:val="ListParagraph"/>
        <w:numPr>
          <w:ilvl w:val="0"/>
          <w:numId w:val="80"/>
        </w:numPr>
        <w:bidi/>
        <w:spacing w:line="216" w:lineRule="auto"/>
        <w:ind w:left="0" w:firstLine="0"/>
        <w:jc w:val="left"/>
        <w:rPr>
          <w:rFonts w:ascii="Simplified Arabic" w:hAnsi="Simplified Arabic" w:cs="Simplified Arabic"/>
          <w:b/>
          <w:bCs/>
        </w:rPr>
      </w:pPr>
      <w:r w:rsidRPr="007C405B">
        <w:rPr>
          <w:rFonts w:ascii="Simplified Arabic" w:hAnsi="Simplified Arabic" w:cs="Simplified Arabic"/>
          <w:b/>
          <w:bCs/>
          <w:rtl/>
        </w:rPr>
        <w:t>الغرض والنطاق</w:t>
      </w:r>
    </w:p>
    <w:p w:rsidR="00CC7A77" w:rsidRPr="007C405B" w:rsidRDefault="00CC7A77" w:rsidP="00CD26C5">
      <w:pPr>
        <w:pStyle w:val="ListParagraph"/>
        <w:numPr>
          <w:ilvl w:val="1"/>
          <w:numId w:val="81"/>
        </w:numPr>
        <w:bidi/>
        <w:spacing w:line="216" w:lineRule="auto"/>
        <w:ind w:left="720"/>
        <w:rPr>
          <w:rFonts w:ascii="Simplified Arabic" w:hAnsi="Simplified Arabic" w:cs="Simplified Arabic"/>
        </w:rPr>
      </w:pPr>
      <w:r w:rsidRPr="007C405B">
        <w:rPr>
          <w:rFonts w:ascii="Simplified Arabic" w:hAnsi="Simplified Arabic" w:cs="Simplified Arabic"/>
          <w:rtl/>
        </w:rPr>
        <w:t>يتمثل الغرض من هذا الإجراء في</w:t>
      </w:r>
      <w:r>
        <w:rPr>
          <w:rFonts w:ascii="Simplified Arabic" w:hAnsi="Simplified Arabic" w:cs="Simplified Arabic" w:hint="cs"/>
          <w:rtl/>
        </w:rPr>
        <w:t xml:space="preserve"> تعزيز الشفافية و</w:t>
      </w:r>
      <w:r w:rsidRPr="007C405B">
        <w:rPr>
          <w:rFonts w:ascii="Simplified Arabic" w:hAnsi="Simplified Arabic" w:cs="Simplified Arabic"/>
          <w:rtl/>
        </w:rPr>
        <w:t xml:space="preserve">المساهمة في ضمان السلامة </w:t>
      </w:r>
      <w:r>
        <w:rPr>
          <w:rFonts w:ascii="Simplified Arabic" w:hAnsi="Simplified Arabic" w:cs="Simplified Arabic" w:hint="cs"/>
          <w:rtl/>
        </w:rPr>
        <w:t xml:space="preserve">والاستقلالية </w:t>
      </w:r>
      <w:r w:rsidRPr="007C405B">
        <w:rPr>
          <w:rFonts w:ascii="Simplified Arabic" w:hAnsi="Simplified Arabic" w:cs="Simplified Arabic"/>
          <w:rtl/>
        </w:rPr>
        <w:t>العلمية لعمل أفرقة الخبراء، مثل أفرقة الخبراء التقنيين المخصصة، والسماح للهيئة الفرعية للمشورة العلمية والتقنية والتكنولوجية والهيئة الفرعية للتنفيذ، حسب الاقتضاء</w:t>
      </w:r>
      <w:r>
        <w:rPr>
          <w:rFonts w:ascii="Simplified Arabic" w:hAnsi="Simplified Arabic" w:cs="Simplified Arabic" w:hint="cs"/>
          <w:rtl/>
        </w:rPr>
        <w:t>،</w:t>
      </w:r>
      <w:r w:rsidRPr="007C405B">
        <w:rPr>
          <w:rFonts w:ascii="Simplified Arabic" w:hAnsi="Simplified Arabic" w:cs="Simplified Arabic"/>
          <w:rtl/>
        </w:rPr>
        <w:t xml:space="preserve"> بإعداد استنتاجاتها وتوصياتها بشأن أفضل المشورة المتاحة ا</w:t>
      </w:r>
      <w:r>
        <w:rPr>
          <w:rFonts w:ascii="Simplified Arabic" w:hAnsi="Simplified Arabic" w:cs="Simplified Arabic"/>
          <w:rtl/>
        </w:rPr>
        <w:t>لواردة من أفرقة الخبراء هذه، و/</w:t>
      </w:r>
      <w:r w:rsidRPr="007C405B">
        <w:rPr>
          <w:rFonts w:ascii="Simplified Arabic" w:hAnsi="Simplified Arabic" w:cs="Simplified Arabic"/>
          <w:rtl/>
        </w:rPr>
        <w:t>أو تزويد مؤتمر الأطراف في الاتفاقية، ومؤتمر الأطراف العامل كاجتماعات للأطراف في بروتوكول قرطاجنة وبروتوكول ناغويا بمعلومات موثوقة وقائمة على الأدلة ومتوازنة لاتخاذ القرارات.</w:t>
      </w:r>
    </w:p>
    <w:p w:rsidR="00CC7A77" w:rsidRDefault="00CC7A77" w:rsidP="00CD26C5">
      <w:pPr>
        <w:pStyle w:val="ListParagraph"/>
        <w:numPr>
          <w:ilvl w:val="1"/>
          <w:numId w:val="81"/>
        </w:numPr>
        <w:bidi/>
        <w:spacing w:line="216" w:lineRule="auto"/>
        <w:ind w:left="720"/>
        <w:rPr>
          <w:rFonts w:ascii="Simplified Arabic" w:hAnsi="Simplified Arabic" w:cs="Simplified Arabic"/>
        </w:rPr>
      </w:pPr>
      <w:r>
        <w:rPr>
          <w:rFonts w:ascii="Simplified Arabic" w:hAnsi="Simplified Arabic" w:cs="Simplified Arabic" w:hint="cs"/>
          <w:rtl/>
        </w:rPr>
        <w:t>ي</w:t>
      </w:r>
      <w:r w:rsidRPr="007C405B">
        <w:rPr>
          <w:rFonts w:ascii="Simplified Arabic" w:hAnsi="Simplified Arabic" w:cs="Simplified Arabic"/>
          <w:rtl/>
        </w:rPr>
        <w:t>نطبق هذ</w:t>
      </w:r>
      <w:r>
        <w:rPr>
          <w:rFonts w:ascii="Simplified Arabic" w:hAnsi="Simplified Arabic" w:cs="Simplified Arabic" w:hint="cs"/>
          <w:rtl/>
        </w:rPr>
        <w:t>ا</w:t>
      </w:r>
      <w:r w:rsidRPr="007C405B">
        <w:rPr>
          <w:rFonts w:ascii="Simplified Arabic" w:hAnsi="Simplified Arabic" w:cs="Simplified Arabic"/>
          <w:rtl/>
        </w:rPr>
        <w:t xml:space="preserve"> الإجراء على الخبراء الذين تُرشحهم الأطراف والحكومات الأخرى</w:t>
      </w:r>
      <w:r>
        <w:rPr>
          <w:rFonts w:ascii="Simplified Arabic" w:hAnsi="Simplified Arabic" w:cs="Simplified Arabic" w:hint="cs"/>
          <w:rtl/>
        </w:rPr>
        <w:t>،</w:t>
      </w:r>
      <w:r w:rsidRPr="00485198">
        <w:rPr>
          <w:rFonts w:ascii="Simplified Arabic" w:hAnsi="Simplified Arabic" w:cs="Simplified Arabic"/>
          <w:sz w:val="24"/>
          <w:rtl/>
        </w:rPr>
        <w:t xml:space="preserve"> </w:t>
      </w:r>
      <w:r w:rsidRPr="00FC1C56">
        <w:rPr>
          <w:rFonts w:ascii="Simplified Arabic" w:hAnsi="Simplified Arabic" w:cs="Simplified Arabic"/>
          <w:sz w:val="24"/>
          <w:rtl/>
        </w:rPr>
        <w:t>بما في ذلك الخبراء الذين يعملون كرؤساء</w:t>
      </w:r>
      <w:r>
        <w:rPr>
          <w:rFonts w:ascii="Simplified Arabic" w:hAnsi="Simplified Arabic" w:cs="Simplified Arabic"/>
          <w:sz w:val="24"/>
          <w:rtl/>
        </w:rPr>
        <w:t>،</w:t>
      </w:r>
      <w:r>
        <w:rPr>
          <w:rFonts w:ascii="Simplified Arabic" w:hAnsi="Simplified Arabic" w:cs="Simplified Arabic" w:hint="cs"/>
          <w:rtl/>
        </w:rPr>
        <w:t xml:space="preserve"> والمراقبون في الاتفاقية وبروتوكوليها</w:t>
      </w:r>
      <w:r w:rsidRPr="007C405B">
        <w:rPr>
          <w:rFonts w:ascii="Simplified Arabic" w:hAnsi="Simplified Arabic" w:cs="Simplified Arabic"/>
          <w:rtl/>
        </w:rPr>
        <w:t xml:space="preserve"> وأي هيئة أو وكالة، سواء كانت حكومية أو غير حكومية، للعمل كعضو خبير في فريق مخصص من الخبراء التقنيين أو في فريق خبراء تقنيين آخر. ولا ينطبق هذا على ممثلي الأطراف أو المراقبين في الاجتماعات الحكومية الدولية أو في اجتماعات الهيئات الأخرى التي تتكون من أعضاء يمثلون الأطراف أو المراقبين.</w:t>
      </w:r>
    </w:p>
    <w:p w:rsidR="00CC7A77" w:rsidRDefault="00CC7A77" w:rsidP="00CD26C5">
      <w:pPr>
        <w:pStyle w:val="ListParagraph"/>
        <w:numPr>
          <w:ilvl w:val="1"/>
          <w:numId w:val="81"/>
        </w:numPr>
        <w:bidi/>
        <w:spacing w:line="216" w:lineRule="auto"/>
        <w:ind w:left="720"/>
        <w:rPr>
          <w:rFonts w:ascii="Simplified Arabic" w:hAnsi="Simplified Arabic" w:cs="Simplified Arabic"/>
          <w:rtl/>
        </w:rPr>
      </w:pPr>
      <w:r w:rsidRPr="00173C83">
        <w:rPr>
          <w:rFonts w:ascii="Simplified Arabic" w:hAnsi="Simplified Arabic" w:cs="Simplified Arabic" w:hint="cs"/>
          <w:rtl/>
        </w:rPr>
        <w:t>لغرض هذ</w:t>
      </w:r>
      <w:r>
        <w:rPr>
          <w:rFonts w:ascii="Simplified Arabic" w:hAnsi="Simplified Arabic" w:cs="Simplified Arabic" w:hint="cs"/>
          <w:rtl/>
        </w:rPr>
        <w:t>ا الإجراء</w:t>
      </w:r>
      <w:r w:rsidRPr="00173C83">
        <w:rPr>
          <w:rFonts w:ascii="Simplified Arabic" w:hAnsi="Simplified Arabic" w:cs="Simplified Arabic" w:hint="cs"/>
          <w:rtl/>
        </w:rPr>
        <w:t>، يمثل تضارب المصالح أي ظروف حالية أو مصالح قد تقود شخصا إلى الاعتقاد بشكل معقول أن موضوعية فرد ما في القيام بواجباته ومسؤولياته لفريق خبراء</w:t>
      </w:r>
      <w:r>
        <w:rPr>
          <w:rFonts w:ascii="Simplified Arabic" w:hAnsi="Simplified Arabic" w:cs="Simplified Arabic" w:hint="cs"/>
          <w:rtl/>
        </w:rPr>
        <w:t xml:space="preserve"> محدد قد تكون موضع شك أو أنه قد يتم إنشاء ميزة غير عادلة لأي شخص أو منظمة.</w:t>
      </w:r>
    </w:p>
    <w:p w:rsidR="00CC7A77" w:rsidRDefault="00CC7A77" w:rsidP="00CD26C5">
      <w:pPr>
        <w:pStyle w:val="ListParagraph"/>
        <w:numPr>
          <w:ilvl w:val="1"/>
          <w:numId w:val="81"/>
        </w:numPr>
        <w:bidi/>
        <w:spacing w:line="216" w:lineRule="auto"/>
        <w:ind w:left="720"/>
        <w:rPr>
          <w:rFonts w:ascii="Simplified Arabic" w:hAnsi="Simplified Arabic" w:cs="Simplified Arabic"/>
        </w:rPr>
      </w:pPr>
      <w:r>
        <w:rPr>
          <w:rFonts w:ascii="Simplified Arabic" w:hAnsi="Simplified Arabic" w:cs="Simplified Arabic" w:hint="cs"/>
          <w:rtl/>
        </w:rPr>
        <w:lastRenderedPageBreak/>
        <w:t xml:space="preserve">يتم التمييز بين "تضارب المصالح" و"التحيز". </w:t>
      </w:r>
      <w:r>
        <w:rPr>
          <w:rFonts w:ascii="Simplified Arabic" w:hAnsi="Simplified Arabic" w:cs="Simplified Arabic" w:hint="cs"/>
          <w:sz w:val="24"/>
          <w:rtl/>
        </w:rPr>
        <w:t>ويشير</w:t>
      </w:r>
      <w:r w:rsidRPr="00200D27">
        <w:rPr>
          <w:rFonts w:ascii="Simplified Arabic" w:hAnsi="Simplified Arabic" w:cs="Simplified Arabic"/>
          <w:sz w:val="24"/>
          <w:rtl/>
        </w:rPr>
        <w:t xml:space="preserve"> "التحيز" إلى وجهة نظر أو منظور متمسك به ب</w:t>
      </w:r>
      <w:r>
        <w:rPr>
          <w:rFonts w:ascii="Simplified Arabic" w:hAnsi="Simplified Arabic" w:cs="Simplified Arabic" w:hint="cs"/>
          <w:sz w:val="24"/>
          <w:rtl/>
        </w:rPr>
        <w:t>قو</w:t>
      </w:r>
      <w:r w:rsidRPr="00200D27">
        <w:rPr>
          <w:rFonts w:ascii="Simplified Arabic" w:hAnsi="Simplified Arabic" w:cs="Simplified Arabic"/>
          <w:sz w:val="24"/>
          <w:rtl/>
        </w:rPr>
        <w:t xml:space="preserve">ة بخصوص مسألة معينة أو مجموعة من المسائل. واعتناق رأي يراه الشخص على أنه صحيح ولكن لا يمكن الاستفادة منه شخصيا، لا يشكل بالضرورة تضاربًا في المصالح، </w:t>
      </w:r>
      <w:r>
        <w:rPr>
          <w:rFonts w:ascii="Simplified Arabic" w:hAnsi="Simplified Arabic" w:cs="Simplified Arabic" w:hint="cs"/>
          <w:sz w:val="24"/>
          <w:rtl/>
        </w:rPr>
        <w:t>بل</w:t>
      </w:r>
      <w:r w:rsidRPr="00200D27">
        <w:rPr>
          <w:rFonts w:ascii="Simplified Arabic" w:hAnsi="Simplified Arabic" w:cs="Simplified Arabic"/>
          <w:sz w:val="24"/>
          <w:rtl/>
        </w:rPr>
        <w:t xml:space="preserve"> قد يكون تحيزًا.</w:t>
      </w:r>
    </w:p>
    <w:p w:rsidR="00CC7A77" w:rsidRPr="007C405B" w:rsidRDefault="00CC7A77" w:rsidP="00CD26C5">
      <w:pPr>
        <w:pStyle w:val="ListParagraph"/>
        <w:numPr>
          <w:ilvl w:val="1"/>
          <w:numId w:val="81"/>
        </w:numPr>
        <w:bidi/>
        <w:spacing w:line="216" w:lineRule="auto"/>
        <w:ind w:left="720"/>
        <w:rPr>
          <w:rFonts w:ascii="Simplified Arabic" w:hAnsi="Simplified Arabic" w:cs="Simplified Arabic"/>
        </w:rPr>
      </w:pPr>
      <w:r w:rsidRPr="00173C83">
        <w:rPr>
          <w:rFonts w:ascii="Simplified Arabic" w:hAnsi="Simplified Arabic" w:cs="Simplified Arabic"/>
          <w:rtl/>
        </w:rPr>
        <w:t xml:space="preserve">لا يمكن الحكم مسبقا على مجرد انتساب خبير معين </w:t>
      </w:r>
      <w:r>
        <w:rPr>
          <w:rFonts w:ascii="Simplified Arabic" w:hAnsi="Simplified Arabic" w:cs="Simplified Arabic" w:hint="cs"/>
          <w:rtl/>
        </w:rPr>
        <w:t>لدى</w:t>
      </w:r>
      <w:r w:rsidRPr="00173C83">
        <w:rPr>
          <w:rFonts w:ascii="Simplified Arabic" w:hAnsi="Simplified Arabic" w:cs="Simplified Arabic"/>
          <w:rtl/>
        </w:rPr>
        <w:t xml:space="preserve"> كيان إداري أو تعليمي أو بحثي أو علمي</w:t>
      </w:r>
      <w:r>
        <w:rPr>
          <w:rFonts w:ascii="Simplified Arabic" w:hAnsi="Simplified Arabic" w:cs="Simplified Arabic" w:hint="cs"/>
          <w:rtl/>
        </w:rPr>
        <w:t xml:space="preserve">- </w:t>
      </w:r>
      <w:r w:rsidRPr="00173C83">
        <w:rPr>
          <w:rFonts w:ascii="Simplified Arabic" w:hAnsi="Simplified Arabic" w:cs="Simplified Arabic"/>
          <w:rtl/>
        </w:rPr>
        <w:t xml:space="preserve">تقني ينتمي إلى القطاع العام، </w:t>
      </w:r>
      <w:r>
        <w:rPr>
          <w:rFonts w:ascii="Simplified Arabic" w:hAnsi="Simplified Arabic" w:cs="Simplified Arabic" w:hint="cs"/>
          <w:rtl/>
        </w:rPr>
        <w:t>على أنه</w:t>
      </w:r>
      <w:r w:rsidRPr="00173C83">
        <w:rPr>
          <w:rFonts w:ascii="Simplified Arabic" w:hAnsi="Simplified Arabic" w:cs="Simplified Arabic"/>
          <w:rtl/>
        </w:rPr>
        <w:t xml:space="preserve"> مؤشرً على تضارب المصالح، ولكن ينبغي الإشارة إلى </w:t>
      </w:r>
      <w:r>
        <w:rPr>
          <w:rFonts w:ascii="Simplified Arabic" w:hAnsi="Simplified Arabic" w:cs="Simplified Arabic" w:hint="cs"/>
          <w:rtl/>
        </w:rPr>
        <w:t>الانتساب في استمارة الإفصاح عن المصالح</w:t>
      </w:r>
      <w:r w:rsidRPr="00173C83">
        <w:rPr>
          <w:rFonts w:ascii="Simplified Arabic" w:hAnsi="Simplified Arabic" w:cs="Simplified Arabic"/>
          <w:rtl/>
        </w:rPr>
        <w:t xml:space="preserve"> كما هو موضح في </w:t>
      </w:r>
      <w:r>
        <w:rPr>
          <w:rFonts w:ascii="Simplified Arabic" w:hAnsi="Simplified Arabic" w:cs="Simplified Arabic" w:hint="cs"/>
          <w:rtl/>
        </w:rPr>
        <w:t>التذييل</w:t>
      </w:r>
      <w:r w:rsidRPr="00173C83">
        <w:rPr>
          <w:rFonts w:ascii="Simplified Arabic" w:hAnsi="Simplified Arabic" w:cs="Simplified Arabic"/>
          <w:rtl/>
        </w:rPr>
        <w:t xml:space="preserve"> أدناه.</w:t>
      </w:r>
    </w:p>
    <w:p w:rsidR="00CC7A77" w:rsidRPr="007C405B" w:rsidRDefault="00CC7A77" w:rsidP="00CD26C5">
      <w:pPr>
        <w:pStyle w:val="ListParagraph"/>
        <w:numPr>
          <w:ilvl w:val="0"/>
          <w:numId w:val="80"/>
        </w:numPr>
        <w:bidi/>
        <w:spacing w:line="216" w:lineRule="auto"/>
        <w:ind w:left="0" w:firstLine="0"/>
        <w:rPr>
          <w:rFonts w:ascii="Simplified Arabic" w:hAnsi="Simplified Arabic" w:cs="Simplified Arabic"/>
          <w:b/>
          <w:bCs/>
        </w:rPr>
      </w:pPr>
      <w:r w:rsidRPr="007C405B">
        <w:rPr>
          <w:rFonts w:ascii="Simplified Arabic" w:hAnsi="Simplified Arabic" w:cs="Simplified Arabic"/>
          <w:b/>
          <w:bCs/>
          <w:rtl/>
        </w:rPr>
        <w:t>المتطلبات</w:t>
      </w:r>
    </w:p>
    <w:p w:rsidR="00CC7A77" w:rsidRPr="007C405B" w:rsidRDefault="00CC7A77" w:rsidP="00CD26C5">
      <w:pPr>
        <w:pStyle w:val="ListParagraph"/>
        <w:numPr>
          <w:ilvl w:val="1"/>
          <w:numId w:val="82"/>
        </w:numPr>
        <w:bidi/>
        <w:spacing w:line="216" w:lineRule="auto"/>
        <w:ind w:left="720"/>
        <w:rPr>
          <w:rFonts w:ascii="Simplified Arabic" w:hAnsi="Simplified Arabic" w:cs="Simplified Arabic"/>
        </w:rPr>
      </w:pPr>
      <w:r w:rsidRPr="00B01222">
        <w:rPr>
          <w:rFonts w:ascii="Simplified Arabic" w:hAnsi="Simplified Arabic" w:cs="Simplified Arabic" w:hint="cs"/>
          <w:rtl/>
        </w:rPr>
        <w:t xml:space="preserve">يتوقع أن </w:t>
      </w:r>
      <w:r w:rsidRPr="00B01222">
        <w:rPr>
          <w:rFonts w:ascii="Simplified Arabic" w:hAnsi="Simplified Arabic" w:cs="Simplified Arabic"/>
          <w:rtl/>
        </w:rPr>
        <w:t xml:space="preserve">يعمل كل خبير منفردا </w:t>
      </w:r>
      <w:r w:rsidRPr="00B01222">
        <w:rPr>
          <w:rFonts w:ascii="Simplified Arabic" w:hAnsi="Simplified Arabic" w:cs="Simplified Arabic" w:hint="cs"/>
          <w:rtl/>
        </w:rPr>
        <w:t>بطريقة موضوعية،</w:t>
      </w:r>
      <w:r>
        <w:rPr>
          <w:rFonts w:ascii="Simplified Arabic" w:hAnsi="Simplified Arabic" w:cs="Simplified Arabic" w:hint="cs"/>
          <w:rtl/>
        </w:rPr>
        <w:t xml:space="preserve"> بغض النظر عن أن انتساب آخر لأي حكومة أو صناعة أو منظمة أو هيئة أكاديمية، </w:t>
      </w:r>
      <w:r>
        <w:rPr>
          <w:rFonts w:ascii="Simplified Arabic" w:hAnsi="Simplified Arabic" w:cs="Simplified Arabic"/>
          <w:rtl/>
        </w:rPr>
        <w:t>و</w:t>
      </w:r>
      <w:r w:rsidRPr="007C405B">
        <w:rPr>
          <w:rFonts w:ascii="Simplified Arabic" w:hAnsi="Simplified Arabic" w:cs="Simplified Arabic"/>
          <w:rtl/>
        </w:rPr>
        <w:t>أن يمتثل لأعلى المعايير</w:t>
      </w:r>
      <w:r>
        <w:rPr>
          <w:rFonts w:ascii="Simplified Arabic" w:hAnsi="Simplified Arabic" w:cs="Simplified Arabic"/>
          <w:rtl/>
        </w:rPr>
        <w:t xml:space="preserve"> المهنية</w:t>
      </w:r>
      <w:r w:rsidRPr="007C405B">
        <w:rPr>
          <w:rFonts w:ascii="Simplified Arabic" w:hAnsi="Simplified Arabic" w:cs="Simplified Arabic"/>
          <w:rtl/>
        </w:rPr>
        <w:t xml:space="preserve"> وأن يظهر درجة عالية من السلوك المهني</w:t>
      </w:r>
      <w:r>
        <w:rPr>
          <w:rFonts w:ascii="Simplified Arabic" w:hAnsi="Simplified Arabic" w:cs="Simplified Arabic" w:hint="cs"/>
          <w:rtl/>
        </w:rPr>
        <w:t xml:space="preserve"> والنزاهة</w:t>
      </w:r>
      <w:r w:rsidRPr="007C405B">
        <w:rPr>
          <w:rFonts w:ascii="Simplified Arabic" w:hAnsi="Simplified Arabic" w:cs="Simplified Arabic"/>
          <w:rtl/>
        </w:rPr>
        <w:t xml:space="preserve">. كما </w:t>
      </w:r>
      <w:r>
        <w:rPr>
          <w:rFonts w:ascii="Simplified Arabic" w:hAnsi="Simplified Arabic" w:cs="Simplified Arabic"/>
          <w:rtl/>
        </w:rPr>
        <w:t xml:space="preserve">يتوقع من كل خبير </w:t>
      </w:r>
      <w:r>
        <w:rPr>
          <w:rFonts w:ascii="Simplified Arabic" w:hAnsi="Simplified Arabic" w:cs="Simplified Arabic" w:hint="cs"/>
          <w:rtl/>
        </w:rPr>
        <w:t>الإفصاح عن</w:t>
      </w:r>
      <w:r w:rsidRPr="007C405B">
        <w:rPr>
          <w:rFonts w:ascii="Simplified Arabic" w:hAnsi="Simplified Arabic" w:cs="Simplified Arabic"/>
          <w:rtl/>
        </w:rPr>
        <w:t xml:space="preserve"> الحالات، المالية أو غيرها، التي </w:t>
      </w:r>
      <w:r w:rsidRPr="00FC1C56">
        <w:rPr>
          <w:rFonts w:ascii="Simplified Arabic" w:hAnsi="Simplified Arabic" w:cs="Simplified Arabic"/>
          <w:sz w:val="24"/>
          <w:rtl/>
        </w:rPr>
        <w:t>يمكن أن ي</w:t>
      </w:r>
      <w:r>
        <w:rPr>
          <w:rFonts w:ascii="Simplified Arabic" w:hAnsi="Simplified Arabic" w:cs="Simplified Arabic" w:hint="cs"/>
          <w:sz w:val="24"/>
          <w:rtl/>
        </w:rPr>
        <w:t>ُ</w:t>
      </w:r>
      <w:r w:rsidRPr="00FC1C56">
        <w:rPr>
          <w:rFonts w:ascii="Simplified Arabic" w:hAnsi="Simplified Arabic" w:cs="Simplified Arabic"/>
          <w:sz w:val="24"/>
          <w:rtl/>
        </w:rPr>
        <w:t>نظر إليها على أنها</w:t>
      </w:r>
      <w:r w:rsidRPr="007C405B">
        <w:rPr>
          <w:rFonts w:ascii="Simplified Arabic" w:hAnsi="Simplified Arabic" w:cs="Simplified Arabic"/>
          <w:rtl/>
        </w:rPr>
        <w:t xml:space="preserve"> تؤثر على موضوعية واستقلالية المساهمة التي يقدمها الخبير وبالتالي تؤثر على نتيجة عمل فريق الخبراء.</w:t>
      </w:r>
    </w:p>
    <w:p w:rsidR="00CC7A77" w:rsidRPr="007C405B" w:rsidRDefault="00CC7A77" w:rsidP="00CD26C5">
      <w:pPr>
        <w:pStyle w:val="ListParagraph"/>
        <w:numPr>
          <w:ilvl w:val="1"/>
          <w:numId w:val="82"/>
        </w:numPr>
        <w:bidi/>
        <w:spacing w:line="216" w:lineRule="auto"/>
        <w:ind w:left="720"/>
        <w:rPr>
          <w:rFonts w:ascii="Simplified Arabic" w:hAnsi="Simplified Arabic" w:cs="Simplified Arabic"/>
        </w:rPr>
      </w:pPr>
      <w:r w:rsidRPr="007C405B">
        <w:rPr>
          <w:rFonts w:ascii="Simplified Arabic" w:hAnsi="Simplified Arabic" w:cs="Simplified Arabic"/>
          <w:rtl/>
        </w:rPr>
        <w:t>سيقوم كل خبير يرشحه طرف، أو حكومة من غير الأطراف، أو أي هيئة أو وكالة، سواء كانت حكومية أو غير حكومية، للعمل كعضو في فريق خبراء، بالإضافة إلى إكمال استمارة الترشيح،</w:t>
      </w:r>
      <w:r w:rsidRPr="007C405B">
        <w:rPr>
          <w:rStyle w:val="FootnoteReference"/>
          <w:rFonts w:ascii="Simplified Arabic" w:hAnsi="Simplified Arabic"/>
          <w:rtl/>
        </w:rPr>
        <w:footnoteReference w:id="303"/>
      </w:r>
      <w:r w:rsidRPr="007C405B">
        <w:rPr>
          <w:rFonts w:ascii="Simplified Arabic" w:hAnsi="Simplified Arabic" w:cs="Simplified Arabic"/>
          <w:rtl/>
        </w:rPr>
        <w:t xml:space="preserve"> بإكمال استمارة إفصاح عن تضارب المصالح وتوقيعها على النحو المبين في التذييل الوارد أدناه قبل اختيار أعضاء فريق الخبراء المعنيين.</w:t>
      </w:r>
    </w:p>
    <w:p w:rsidR="00CC7A77" w:rsidRPr="007C405B" w:rsidRDefault="00CC7A77" w:rsidP="00CD26C5">
      <w:pPr>
        <w:pStyle w:val="ListParagraph"/>
        <w:numPr>
          <w:ilvl w:val="1"/>
          <w:numId w:val="82"/>
        </w:numPr>
        <w:bidi/>
        <w:spacing w:line="216" w:lineRule="auto"/>
        <w:ind w:left="720"/>
        <w:rPr>
          <w:rFonts w:ascii="Simplified Arabic" w:hAnsi="Simplified Arabic" w:cs="Simplified Arabic"/>
        </w:rPr>
      </w:pPr>
      <w:r w:rsidRPr="007C405B">
        <w:rPr>
          <w:rFonts w:ascii="Simplified Arabic" w:hAnsi="Simplified Arabic" w:cs="Simplified Arabic"/>
          <w:rtl/>
        </w:rPr>
        <w:t xml:space="preserve">ينطبق شرط الإفصاح عن المصالح على كل مرشح </w:t>
      </w:r>
      <w:r>
        <w:rPr>
          <w:rFonts w:ascii="Simplified Arabic" w:hAnsi="Simplified Arabic" w:cs="Simplified Arabic" w:hint="cs"/>
          <w:rtl/>
        </w:rPr>
        <w:t xml:space="preserve">في </w:t>
      </w:r>
      <w:r w:rsidRPr="007C405B">
        <w:rPr>
          <w:rFonts w:ascii="Simplified Arabic" w:hAnsi="Simplified Arabic" w:cs="Simplified Arabic"/>
          <w:rtl/>
        </w:rPr>
        <w:t>كل فريق خبراء أنشأه مؤتمر الأطراف في الاتفاقية، ومؤتمر الأطراف العامل كاجتماع للأطراف في بروتوكول قرطاجنة للسلامة الأحيائية، ومؤتمر الأطراف العامل كاجتماع للأطراف في بروتوكول ناغويا بشأن الحصول وتقاسم المنافع، أو بواسطة هيئة فرعية</w:t>
      </w:r>
      <w:r>
        <w:rPr>
          <w:rFonts w:ascii="Simplified Arabic" w:hAnsi="Simplified Arabic" w:cs="Simplified Arabic" w:hint="cs"/>
          <w:rtl/>
        </w:rPr>
        <w:t>، ما لم تقرر هذه الكيانات خلاف ذلك.</w:t>
      </w:r>
    </w:p>
    <w:p w:rsidR="00CC7A77" w:rsidRPr="007C405B" w:rsidRDefault="00CC7A77" w:rsidP="00CD26C5">
      <w:pPr>
        <w:pStyle w:val="ListParagraph"/>
        <w:numPr>
          <w:ilvl w:val="1"/>
          <w:numId w:val="82"/>
        </w:numPr>
        <w:bidi/>
        <w:spacing w:line="216" w:lineRule="auto"/>
        <w:ind w:left="720"/>
        <w:rPr>
          <w:rFonts w:ascii="Simplified Arabic" w:hAnsi="Simplified Arabic" w:cs="Simplified Arabic"/>
        </w:rPr>
      </w:pPr>
      <w:r w:rsidRPr="007C405B">
        <w:rPr>
          <w:rFonts w:ascii="Simplified Arabic" w:hAnsi="Simplified Arabic" w:cs="Simplified Arabic"/>
          <w:rtl/>
        </w:rPr>
        <w:t>عندما يواجه خبير يعمل بالفعل في فريق من الخبراء تضارب</w:t>
      </w:r>
      <w:r>
        <w:rPr>
          <w:rFonts w:ascii="Simplified Arabic" w:hAnsi="Simplified Arabic" w:cs="Simplified Arabic" w:hint="cs"/>
          <w:rtl/>
        </w:rPr>
        <w:t xml:space="preserve">ا محتملا </w:t>
      </w:r>
      <w:r w:rsidRPr="007C405B">
        <w:rPr>
          <w:rFonts w:ascii="Simplified Arabic" w:hAnsi="Simplified Arabic" w:cs="Simplified Arabic"/>
          <w:rtl/>
        </w:rPr>
        <w:t xml:space="preserve">في </w:t>
      </w:r>
      <w:r>
        <w:rPr>
          <w:rFonts w:ascii="Simplified Arabic" w:hAnsi="Simplified Arabic" w:cs="Simplified Arabic" w:hint="cs"/>
          <w:rtl/>
        </w:rPr>
        <w:t>ال</w:t>
      </w:r>
      <w:r w:rsidRPr="007C405B">
        <w:rPr>
          <w:rFonts w:ascii="Simplified Arabic" w:hAnsi="Simplified Arabic" w:cs="Simplified Arabic"/>
          <w:rtl/>
        </w:rPr>
        <w:t>مصالح بسبب تغير الظروف التي</w:t>
      </w:r>
      <w:r>
        <w:rPr>
          <w:rFonts w:ascii="Simplified Arabic" w:hAnsi="Simplified Arabic" w:cs="Simplified Arabic" w:hint="cs"/>
          <w:rtl/>
        </w:rPr>
        <w:t xml:space="preserve"> قد</w:t>
      </w:r>
      <w:r w:rsidRPr="007C405B">
        <w:rPr>
          <w:rFonts w:ascii="Simplified Arabic" w:hAnsi="Simplified Arabic" w:cs="Simplified Arabic"/>
          <w:rtl/>
        </w:rPr>
        <w:t xml:space="preserve"> تؤثر على مساهمة الخبير المستقلة في عمل فريق الخبراء، يقوم الخبير على الفور بإبلاغ الأمانة </w:t>
      </w:r>
      <w:r>
        <w:rPr>
          <w:rFonts w:ascii="Simplified Arabic" w:hAnsi="Simplified Arabic" w:cs="Simplified Arabic" w:hint="cs"/>
          <w:rtl/>
        </w:rPr>
        <w:t xml:space="preserve">ورئيس فريق الخبراء </w:t>
      </w:r>
      <w:r w:rsidRPr="007C405B">
        <w:rPr>
          <w:rFonts w:ascii="Simplified Arabic" w:hAnsi="Simplified Arabic" w:cs="Simplified Arabic"/>
          <w:rtl/>
        </w:rPr>
        <w:t>عن هذه الحالة</w:t>
      </w:r>
      <w:r w:rsidRPr="007C405B">
        <w:rPr>
          <w:rFonts w:ascii="Simplified Arabic" w:hAnsi="Simplified Arabic" w:cs="Simplified Arabic"/>
        </w:rPr>
        <w:t>.</w:t>
      </w:r>
    </w:p>
    <w:p w:rsidR="00CC7A77" w:rsidRPr="007C405B" w:rsidRDefault="00CC7A77" w:rsidP="00CD26C5">
      <w:pPr>
        <w:pStyle w:val="ListParagraph"/>
        <w:numPr>
          <w:ilvl w:val="0"/>
          <w:numId w:val="80"/>
        </w:numPr>
        <w:bidi/>
        <w:spacing w:line="216" w:lineRule="auto"/>
        <w:ind w:left="0" w:firstLine="0"/>
        <w:rPr>
          <w:rFonts w:ascii="Simplified Arabic" w:hAnsi="Simplified Arabic" w:cs="Simplified Arabic"/>
          <w:b/>
          <w:bCs/>
        </w:rPr>
      </w:pPr>
      <w:r>
        <w:rPr>
          <w:rFonts w:ascii="Simplified Arabic" w:hAnsi="Simplified Arabic" w:cs="Simplified Arabic"/>
          <w:b/>
          <w:bCs/>
          <w:rtl/>
        </w:rPr>
        <w:t>استمارة الإفصاح عن المصالح</w:t>
      </w:r>
    </w:p>
    <w:p w:rsidR="00CC7A77" w:rsidRPr="007C405B" w:rsidRDefault="00CC7A77" w:rsidP="00CD26C5">
      <w:pPr>
        <w:pStyle w:val="ListParagraph"/>
        <w:numPr>
          <w:ilvl w:val="1"/>
          <w:numId w:val="83"/>
        </w:numPr>
        <w:bidi/>
        <w:spacing w:line="216" w:lineRule="auto"/>
        <w:ind w:left="720"/>
        <w:rPr>
          <w:rFonts w:ascii="Simplified Arabic" w:hAnsi="Simplified Arabic" w:cs="Simplified Arabic"/>
        </w:rPr>
      </w:pPr>
      <w:r w:rsidRPr="007C405B">
        <w:rPr>
          <w:rFonts w:ascii="Simplified Arabic" w:hAnsi="Simplified Arabic" w:cs="Simplified Arabic"/>
          <w:rtl/>
        </w:rPr>
        <w:t xml:space="preserve">تستخدم </w:t>
      </w:r>
      <w:r>
        <w:rPr>
          <w:rFonts w:ascii="Simplified Arabic" w:hAnsi="Simplified Arabic" w:cs="Simplified Arabic"/>
          <w:rtl/>
        </w:rPr>
        <w:t>استمارة الإفصاح عن المصالح</w:t>
      </w:r>
      <w:r w:rsidRPr="007C405B">
        <w:rPr>
          <w:rFonts w:ascii="Simplified Arabic" w:hAnsi="Simplified Arabic" w:cs="Simplified Arabic"/>
          <w:rtl/>
        </w:rPr>
        <w:t xml:space="preserve"> الوارد</w:t>
      </w:r>
      <w:r>
        <w:rPr>
          <w:rFonts w:ascii="Simplified Arabic" w:hAnsi="Simplified Arabic" w:cs="Simplified Arabic" w:hint="cs"/>
          <w:rtl/>
        </w:rPr>
        <w:t>ة</w:t>
      </w:r>
      <w:r w:rsidRPr="007C405B">
        <w:rPr>
          <w:rFonts w:ascii="Simplified Arabic" w:hAnsi="Simplified Arabic" w:cs="Simplified Arabic"/>
          <w:rtl/>
        </w:rPr>
        <w:t xml:space="preserve"> في التذييل أدناه فيما يتعلق بتعيين واستعراض وضع ترشيح الأعضاء في فريق من الخبراء.</w:t>
      </w:r>
    </w:p>
    <w:p w:rsidR="00CC7A77" w:rsidRDefault="00CC7A77" w:rsidP="00CD26C5">
      <w:pPr>
        <w:pStyle w:val="ListParagraph"/>
        <w:numPr>
          <w:ilvl w:val="1"/>
          <w:numId w:val="83"/>
        </w:numPr>
        <w:bidi/>
        <w:spacing w:line="216" w:lineRule="auto"/>
        <w:ind w:left="720"/>
        <w:rPr>
          <w:rFonts w:ascii="Simplified Arabic" w:hAnsi="Simplified Arabic" w:cs="Simplified Arabic"/>
        </w:rPr>
      </w:pPr>
      <w:r w:rsidRPr="007C405B">
        <w:rPr>
          <w:rFonts w:ascii="Simplified Arabic" w:hAnsi="Simplified Arabic" w:cs="Simplified Arabic"/>
          <w:rtl/>
        </w:rPr>
        <w:t>ستتاح الاستمارة بجميع اللغات الرسمية الست للأمم المتحدة.</w:t>
      </w:r>
    </w:p>
    <w:p w:rsidR="00CC7A77" w:rsidRPr="00200D27" w:rsidRDefault="00CC7A77" w:rsidP="00CD26C5">
      <w:pPr>
        <w:pStyle w:val="ListParagraph"/>
        <w:numPr>
          <w:ilvl w:val="1"/>
          <w:numId w:val="83"/>
        </w:numPr>
        <w:bidi/>
        <w:spacing w:line="216" w:lineRule="auto"/>
        <w:ind w:left="720"/>
        <w:rPr>
          <w:rFonts w:ascii="Simplified Arabic" w:hAnsi="Simplified Arabic" w:cs="Simplified Arabic"/>
        </w:rPr>
      </w:pPr>
      <w:r>
        <w:rPr>
          <w:rFonts w:ascii="Simplified Arabic" w:hAnsi="Simplified Arabic" w:cs="Simplified Arabic" w:hint="cs"/>
          <w:rtl/>
        </w:rPr>
        <w:t>بعد إكمال الاستمارة، يجب إيداعها لدى الأمانة.</w:t>
      </w:r>
    </w:p>
    <w:p w:rsidR="00CC7A77" w:rsidRPr="007C405B" w:rsidRDefault="00CC7A77" w:rsidP="00CD26C5">
      <w:pPr>
        <w:pStyle w:val="ListParagraph"/>
        <w:numPr>
          <w:ilvl w:val="0"/>
          <w:numId w:val="80"/>
        </w:numPr>
        <w:bidi/>
        <w:spacing w:line="216" w:lineRule="auto"/>
        <w:ind w:left="0" w:firstLine="0"/>
        <w:rPr>
          <w:rFonts w:ascii="Simplified Arabic" w:hAnsi="Simplified Arabic" w:cs="Simplified Arabic"/>
          <w:b/>
          <w:bCs/>
        </w:rPr>
      </w:pPr>
      <w:r w:rsidRPr="007C405B">
        <w:rPr>
          <w:rFonts w:ascii="Simplified Arabic" w:hAnsi="Simplified Arabic" w:cs="Simplified Arabic"/>
          <w:b/>
          <w:bCs/>
          <w:rtl/>
        </w:rPr>
        <w:t>التنفيذ</w:t>
      </w:r>
    </w:p>
    <w:p w:rsidR="00CC7A77" w:rsidRPr="007C405B" w:rsidRDefault="00CC7A77" w:rsidP="00CD26C5">
      <w:pPr>
        <w:pStyle w:val="ListParagraph"/>
        <w:numPr>
          <w:ilvl w:val="1"/>
          <w:numId w:val="84"/>
        </w:numPr>
        <w:bidi/>
        <w:spacing w:line="216" w:lineRule="auto"/>
        <w:rPr>
          <w:rFonts w:ascii="Simplified Arabic" w:hAnsi="Simplified Arabic" w:cs="Simplified Arabic"/>
        </w:rPr>
      </w:pPr>
      <w:r w:rsidRPr="007C405B">
        <w:rPr>
          <w:rFonts w:ascii="Simplified Arabic" w:hAnsi="Simplified Arabic" w:cs="Simplified Arabic" w:hint="cs"/>
          <w:rtl/>
        </w:rPr>
        <w:t>ي</w:t>
      </w:r>
      <w:r>
        <w:rPr>
          <w:rFonts w:ascii="Simplified Arabic" w:hAnsi="Simplified Arabic" w:cs="Simplified Arabic" w:hint="cs"/>
          <w:rtl/>
        </w:rPr>
        <w:t>نبغي</w:t>
      </w:r>
      <w:r w:rsidRPr="007C405B">
        <w:rPr>
          <w:rFonts w:ascii="Simplified Arabic" w:hAnsi="Simplified Arabic" w:cs="Simplified Arabic"/>
          <w:rtl/>
        </w:rPr>
        <w:t xml:space="preserve"> أن تكون الترشيحات الخاصة بعضوية أفرقة الخبراء مصحوبة ب</w:t>
      </w:r>
      <w:r>
        <w:rPr>
          <w:rFonts w:ascii="Simplified Arabic" w:hAnsi="Simplified Arabic" w:cs="Simplified Arabic"/>
          <w:rtl/>
        </w:rPr>
        <w:t>استمارة الإفصاح عن المصالح</w:t>
      </w:r>
      <w:r w:rsidRPr="007C405B">
        <w:rPr>
          <w:rFonts w:ascii="Simplified Arabic" w:hAnsi="Simplified Arabic" w:cs="Simplified Arabic"/>
          <w:rtl/>
        </w:rPr>
        <w:t xml:space="preserve"> التي تم استكمالها وتوقيعها من قِبل كل مرشح</w:t>
      </w:r>
      <w:r w:rsidRPr="007C405B">
        <w:rPr>
          <w:rFonts w:ascii="Simplified Arabic" w:hAnsi="Simplified Arabic" w:cs="Simplified Arabic"/>
        </w:rPr>
        <w:t>.</w:t>
      </w:r>
    </w:p>
    <w:p w:rsidR="00CC7A77" w:rsidRPr="007C405B" w:rsidRDefault="00CC7A77" w:rsidP="00CD26C5">
      <w:pPr>
        <w:pStyle w:val="ListParagraph"/>
        <w:numPr>
          <w:ilvl w:val="1"/>
          <w:numId w:val="84"/>
        </w:numPr>
        <w:bidi/>
        <w:spacing w:line="216" w:lineRule="auto"/>
        <w:rPr>
          <w:rFonts w:ascii="Simplified Arabic" w:hAnsi="Simplified Arabic" w:cs="Simplified Arabic"/>
        </w:rPr>
      </w:pPr>
      <w:r w:rsidRPr="007C405B">
        <w:rPr>
          <w:rFonts w:ascii="Simplified Arabic" w:hAnsi="Simplified Arabic" w:cs="Simplified Arabic"/>
          <w:rtl/>
        </w:rPr>
        <w:lastRenderedPageBreak/>
        <w:t xml:space="preserve">ستقوم الأمانة، عند استلام الترشيحات مع </w:t>
      </w:r>
      <w:r>
        <w:rPr>
          <w:rFonts w:ascii="Simplified Arabic" w:hAnsi="Simplified Arabic" w:cs="Simplified Arabic"/>
          <w:rtl/>
        </w:rPr>
        <w:t>استمارة الإفصاح عن المصالح</w:t>
      </w:r>
      <w:r w:rsidRPr="007C405B">
        <w:rPr>
          <w:rFonts w:ascii="Simplified Arabic" w:hAnsi="Simplified Arabic" w:cs="Simplified Arabic"/>
          <w:rtl/>
        </w:rPr>
        <w:t xml:space="preserve"> المستكملة على النحو الواجب، باستعراض المعلومات المقدمة لتحديد </w:t>
      </w:r>
      <w:r>
        <w:rPr>
          <w:rFonts w:ascii="Simplified Arabic" w:hAnsi="Simplified Arabic" w:cs="Simplified Arabic" w:hint="cs"/>
          <w:rtl/>
        </w:rPr>
        <w:t xml:space="preserve">أي </w:t>
      </w:r>
      <w:r w:rsidRPr="007C405B">
        <w:rPr>
          <w:rFonts w:ascii="Simplified Arabic" w:hAnsi="Simplified Arabic" w:cs="Simplified Arabic"/>
          <w:rtl/>
        </w:rPr>
        <w:t xml:space="preserve">تضارب </w:t>
      </w:r>
      <w:r>
        <w:rPr>
          <w:rFonts w:ascii="Simplified Arabic" w:hAnsi="Simplified Arabic" w:cs="Simplified Arabic" w:hint="cs"/>
          <w:rtl/>
        </w:rPr>
        <w:t xml:space="preserve">محتمل </w:t>
      </w:r>
      <w:r w:rsidRPr="007C405B">
        <w:rPr>
          <w:rFonts w:ascii="Simplified Arabic" w:hAnsi="Simplified Arabic" w:cs="Simplified Arabic"/>
          <w:rtl/>
        </w:rPr>
        <w:t>في المصالح، وإذا كان الأمر كذلك، إذا كان التضارب المعلن مرتبط</w:t>
      </w:r>
      <w:r>
        <w:rPr>
          <w:rFonts w:ascii="Simplified Arabic" w:hAnsi="Simplified Arabic" w:cs="Simplified Arabic" w:hint="cs"/>
          <w:rtl/>
        </w:rPr>
        <w:t>ا</w:t>
      </w:r>
      <w:r w:rsidRPr="007C405B">
        <w:rPr>
          <w:rFonts w:ascii="Simplified Arabic" w:hAnsi="Simplified Arabic" w:cs="Simplified Arabic"/>
          <w:rtl/>
        </w:rPr>
        <w:t xml:space="preserve"> بموضوع أو عمل فريق الخبراء المعني أو قد يؤثر، أو يُنظر إليه بشكل معقول على أنه يؤثر، على القرار الموضوعي والمستقل للخبير</w:t>
      </w:r>
      <w:r>
        <w:rPr>
          <w:rFonts w:ascii="Simplified Arabic" w:hAnsi="Simplified Arabic" w:cs="Simplified Arabic" w:hint="cs"/>
          <w:rtl/>
        </w:rPr>
        <w:t>. وسيشمل الاستعراض أيضا أي خطوات يقترحها المرشح لإدارة التضارب المحتمل في المصالح</w:t>
      </w:r>
      <w:r w:rsidRPr="007C405B">
        <w:rPr>
          <w:rFonts w:ascii="Simplified Arabic" w:hAnsi="Simplified Arabic" w:cs="Simplified Arabic"/>
          <w:rtl/>
        </w:rPr>
        <w:t>. وإذا أثار</w:t>
      </w:r>
      <w:r>
        <w:rPr>
          <w:rFonts w:ascii="Simplified Arabic" w:hAnsi="Simplified Arabic" w:cs="Simplified Arabic" w:hint="cs"/>
          <w:rtl/>
        </w:rPr>
        <w:t xml:space="preserve">ت نتيجة الاستعراض </w:t>
      </w:r>
      <w:r w:rsidRPr="007C405B">
        <w:rPr>
          <w:rFonts w:ascii="Simplified Arabic" w:hAnsi="Simplified Arabic" w:cs="Simplified Arabic"/>
          <w:rtl/>
        </w:rPr>
        <w:t xml:space="preserve">شواغل محتملة، </w:t>
      </w:r>
      <w:r>
        <w:rPr>
          <w:rFonts w:ascii="Simplified Arabic" w:hAnsi="Simplified Arabic" w:cs="Simplified Arabic" w:hint="cs"/>
          <w:rtl/>
        </w:rPr>
        <w:t>على ا</w:t>
      </w:r>
      <w:r w:rsidRPr="007C405B">
        <w:rPr>
          <w:rFonts w:ascii="Simplified Arabic" w:hAnsi="Simplified Arabic" w:cs="Simplified Arabic"/>
          <w:rtl/>
        </w:rPr>
        <w:t xml:space="preserve">لأمانة التماس معلومات إضافية من الخبير، مباشرة، </w:t>
      </w:r>
      <w:r>
        <w:rPr>
          <w:rFonts w:ascii="Simplified Arabic" w:hAnsi="Simplified Arabic" w:cs="Simplified Arabic" w:hint="cs"/>
          <w:rtl/>
        </w:rPr>
        <w:t>و</w:t>
      </w:r>
      <w:r w:rsidRPr="007C405B">
        <w:rPr>
          <w:rFonts w:ascii="Simplified Arabic" w:hAnsi="Simplified Arabic" w:cs="Simplified Arabic"/>
          <w:rtl/>
        </w:rPr>
        <w:t xml:space="preserve">من خلال الطرف أو المراقب </w:t>
      </w:r>
      <w:r>
        <w:rPr>
          <w:rFonts w:ascii="Simplified Arabic" w:hAnsi="Simplified Arabic" w:cs="Simplified Arabic" w:hint="cs"/>
          <w:rtl/>
        </w:rPr>
        <w:t>الذي رشح الخبير ويمكن إبلاغ المكتب المعني بما يتماشى والفقرة 4-3 أدناه</w:t>
      </w:r>
      <w:r w:rsidRPr="007C405B">
        <w:rPr>
          <w:rFonts w:ascii="Simplified Arabic" w:hAnsi="Simplified Arabic" w:cs="Simplified Arabic"/>
          <w:rtl/>
        </w:rPr>
        <w:t>.</w:t>
      </w:r>
      <w:r>
        <w:rPr>
          <w:rFonts w:ascii="Simplified Arabic" w:hAnsi="Simplified Arabic" w:cs="Simplified Arabic" w:hint="cs"/>
          <w:rtl/>
        </w:rPr>
        <w:t xml:space="preserve"> وإذا كانت نقطة الاتصال الوطنية للاتفاقية هي التي رشحت الخبير، يتم أيضا إبلاغ نقطة الاتصال.</w:t>
      </w:r>
    </w:p>
    <w:p w:rsidR="00CC7A77" w:rsidRPr="00F8539B" w:rsidRDefault="00CC7A77" w:rsidP="00CD26C5">
      <w:pPr>
        <w:pStyle w:val="ListParagraph"/>
        <w:numPr>
          <w:ilvl w:val="1"/>
          <w:numId w:val="84"/>
        </w:numPr>
        <w:bidi/>
        <w:spacing w:line="216" w:lineRule="auto"/>
        <w:rPr>
          <w:rFonts w:ascii="Simplified Arabic" w:hAnsi="Simplified Arabic" w:cs="Simplified Arabic"/>
        </w:rPr>
      </w:pPr>
      <w:r w:rsidRPr="00F8539B">
        <w:rPr>
          <w:rFonts w:ascii="Simplified Arabic" w:hAnsi="Simplified Arabic" w:cs="Simplified Arabic" w:hint="cs"/>
          <w:rtl/>
        </w:rPr>
        <w:t xml:space="preserve">اعتمادا على المسألة قيد النظر، يقوم مكتب مؤتمر الأطراف في الاتفاقية أو مكتب الهيئة الفرعية للمشورة العلمية والتقنية والتكنولوجية، على أساس تقييم من الأمانة، وحسب الاقتضاء وفقا لطريقة تشغيل الهيئة الفرعية للمشورة العلمية والتقنية والتكنولوجية، يقوم بالموافقة على المرشحين الذين يتم اختيارهم ويدعوهم إلى العمل كأعضاء في فريق الخبراء المعني </w:t>
      </w:r>
      <w:r w:rsidRPr="00F8539B">
        <w:rPr>
          <w:rFonts w:ascii="Simplified Arabic" w:hAnsi="Simplified Arabic" w:cs="Simplified Arabic"/>
          <w:rtl/>
        </w:rPr>
        <w:t>على أساس: (أ) اختصاصات فريق الخبراء؛ (ب) المعايير التي قد تم تحديدها في إخطار الت</w:t>
      </w:r>
      <w:r w:rsidRPr="00F8539B">
        <w:rPr>
          <w:rFonts w:ascii="Simplified Arabic" w:hAnsi="Simplified Arabic" w:cs="Simplified Arabic" w:hint="cs"/>
          <w:rtl/>
        </w:rPr>
        <w:t>رشيحات</w:t>
      </w:r>
      <w:r w:rsidRPr="00F8539B">
        <w:rPr>
          <w:rFonts w:ascii="Simplified Arabic" w:hAnsi="Simplified Arabic" w:cs="Simplified Arabic"/>
          <w:rtl/>
        </w:rPr>
        <w:t xml:space="preserve">؛ و(ج) استعراض المعلومات الواردة من خلال </w:t>
      </w:r>
      <w:r>
        <w:rPr>
          <w:rFonts w:ascii="Simplified Arabic" w:hAnsi="Simplified Arabic" w:cs="Simplified Arabic" w:hint="cs"/>
          <w:rtl/>
        </w:rPr>
        <w:t>إجراء</w:t>
      </w:r>
      <w:r w:rsidRPr="00F8539B">
        <w:rPr>
          <w:rFonts w:ascii="Simplified Arabic" w:hAnsi="Simplified Arabic" w:cs="Simplified Arabic" w:hint="cs"/>
          <w:rtl/>
        </w:rPr>
        <w:t xml:space="preserve"> تجنب</w:t>
      </w:r>
      <w:r w:rsidRPr="00F8539B">
        <w:rPr>
          <w:rFonts w:ascii="Simplified Arabic" w:hAnsi="Simplified Arabic" w:cs="Simplified Arabic"/>
          <w:rtl/>
        </w:rPr>
        <w:t xml:space="preserve"> تضارب المصالح</w:t>
      </w:r>
      <w:r w:rsidRPr="00F8539B">
        <w:rPr>
          <w:rFonts w:ascii="Simplified Arabic" w:hAnsi="Simplified Arabic" w:cs="Simplified Arabic" w:hint="cs"/>
          <w:rtl/>
        </w:rPr>
        <w:t xml:space="preserve"> وأي مشاورات أخرى ذات صلة</w:t>
      </w:r>
      <w:r w:rsidRPr="00F8539B">
        <w:rPr>
          <w:rFonts w:ascii="Simplified Arabic" w:hAnsi="Simplified Arabic" w:cs="Simplified Arabic"/>
          <w:rtl/>
        </w:rPr>
        <w:t xml:space="preserve">. </w:t>
      </w:r>
      <w:r w:rsidRPr="00F8539B">
        <w:rPr>
          <w:rFonts w:ascii="Simplified Arabic" w:hAnsi="Simplified Arabic" w:cs="Simplified Arabic" w:hint="cs"/>
          <w:rtl/>
        </w:rPr>
        <w:t>وفي حالة عدم اختيار خبير ما نتيجة تضارب في المصالح، يتم إبلاغ الخبير والمكتب المعني. وإذا دعت الضرورة إلى ذلك، يجوز للمكتب، من خلال الأمانة، أن يلتمس معلومات إضافية من الخبير مباشرة، أو من خلال الطرف أو المراقب المعني. وإذا كانت نقطة الاتصال</w:t>
      </w:r>
      <w:r>
        <w:rPr>
          <w:rFonts w:ascii="Simplified Arabic" w:hAnsi="Simplified Arabic" w:cs="Simplified Arabic" w:hint="cs"/>
          <w:rtl/>
        </w:rPr>
        <w:t xml:space="preserve"> التابعة</w:t>
      </w:r>
      <w:r w:rsidRPr="00F8539B">
        <w:rPr>
          <w:rFonts w:ascii="Simplified Arabic" w:hAnsi="Simplified Arabic" w:cs="Simplified Arabic" w:hint="cs"/>
          <w:rtl/>
        </w:rPr>
        <w:t xml:space="preserve"> للاتفاقية هي التي رشحت الخبير، يتم أيضا إبلاغ نقطة الاتصال.</w:t>
      </w:r>
      <w:r>
        <w:rPr>
          <w:rFonts w:ascii="Simplified Arabic" w:hAnsi="Simplified Arabic" w:cs="Simplified Arabic" w:hint="cs"/>
          <w:rtl/>
        </w:rPr>
        <w:t xml:space="preserve"> </w:t>
      </w:r>
      <w:r w:rsidRPr="00F8539B">
        <w:rPr>
          <w:rFonts w:ascii="Simplified Arabic" w:hAnsi="Simplified Arabic" w:cs="Simplified Arabic" w:hint="cs"/>
          <w:rtl/>
        </w:rPr>
        <w:t>وسيتم إبلاغ الخبراء الذين لم يتم اختيارهم للمشاركة في فريق خبراء نتيجة لتضارب محتمل للمصالح</w:t>
      </w:r>
      <w:r>
        <w:rPr>
          <w:rFonts w:ascii="Simplified Arabic" w:hAnsi="Simplified Arabic" w:cs="Simplified Arabic" w:hint="cs"/>
          <w:rtl/>
        </w:rPr>
        <w:t xml:space="preserve"> ونقطة </w:t>
      </w:r>
      <w:r w:rsidRPr="00F8539B">
        <w:rPr>
          <w:rFonts w:ascii="Simplified Arabic" w:hAnsi="Simplified Arabic" w:cs="Simplified Arabic" w:hint="cs"/>
          <w:rtl/>
        </w:rPr>
        <w:t>الاتصال</w:t>
      </w:r>
      <w:r>
        <w:rPr>
          <w:rFonts w:ascii="Simplified Arabic" w:hAnsi="Simplified Arabic" w:cs="Simplified Arabic" w:hint="cs"/>
          <w:rtl/>
        </w:rPr>
        <w:t xml:space="preserve"> الوطنية التابعة</w:t>
      </w:r>
      <w:r w:rsidRPr="00F8539B">
        <w:rPr>
          <w:rFonts w:ascii="Simplified Arabic" w:hAnsi="Simplified Arabic" w:cs="Simplified Arabic" w:hint="cs"/>
          <w:rtl/>
        </w:rPr>
        <w:t xml:space="preserve"> للاتفاقية </w:t>
      </w:r>
      <w:r>
        <w:rPr>
          <w:rFonts w:ascii="Simplified Arabic" w:hAnsi="Simplified Arabic" w:cs="Simplified Arabic" w:hint="cs"/>
          <w:rtl/>
        </w:rPr>
        <w:t xml:space="preserve">إذا كانت هي التي رشحت الخبير، </w:t>
      </w:r>
      <w:r w:rsidRPr="00F8539B">
        <w:rPr>
          <w:rFonts w:ascii="Simplified Arabic" w:hAnsi="Simplified Arabic" w:cs="Simplified Arabic" w:hint="cs"/>
          <w:rtl/>
        </w:rPr>
        <w:t>بالمبرر المنطقي وراء القرار حتى يمكن</w:t>
      </w:r>
      <w:r>
        <w:rPr>
          <w:rFonts w:ascii="Simplified Arabic" w:hAnsi="Simplified Arabic" w:cs="Simplified Arabic" w:hint="cs"/>
          <w:rtl/>
        </w:rPr>
        <w:t xml:space="preserve"> للخبير ونقطة الاتصال</w:t>
      </w:r>
      <w:r w:rsidRPr="00F8539B">
        <w:rPr>
          <w:rFonts w:ascii="Simplified Arabic" w:hAnsi="Simplified Arabic" w:cs="Simplified Arabic" w:hint="cs"/>
          <w:rtl/>
        </w:rPr>
        <w:t xml:space="preserve"> الرد على أي من الشواغل</w:t>
      </w:r>
      <w:r>
        <w:rPr>
          <w:rFonts w:ascii="Simplified Arabic" w:hAnsi="Simplified Arabic" w:cs="Simplified Arabic" w:hint="cs"/>
          <w:rtl/>
        </w:rPr>
        <w:t xml:space="preserve"> لمواصلة النظر في الترشيح واتخاذ قرار نهائي من جانب المكتب المعني. ويمكن أن يؤدي أي فشل كبير في عدم الإفصاح عن تضارب المصالح من جانب الخبير إلى استبعاد الخبير من إجراءات اختيار أعضاء فريق الخبراء عملا بالفقرة 4-5 أدناه.</w:t>
      </w:r>
    </w:p>
    <w:p w:rsidR="00CC7A77" w:rsidRPr="007C405B" w:rsidRDefault="00CC7A77" w:rsidP="00CD26C5">
      <w:pPr>
        <w:pStyle w:val="ListParagraph"/>
        <w:numPr>
          <w:ilvl w:val="1"/>
          <w:numId w:val="84"/>
        </w:numPr>
        <w:bidi/>
        <w:spacing w:line="216" w:lineRule="auto"/>
        <w:rPr>
          <w:rFonts w:ascii="Simplified Arabic" w:hAnsi="Simplified Arabic" w:cs="Simplified Arabic"/>
        </w:rPr>
      </w:pPr>
      <w:r w:rsidRPr="007C405B">
        <w:rPr>
          <w:rFonts w:ascii="Simplified Arabic" w:hAnsi="Simplified Arabic" w:cs="Simplified Arabic"/>
          <w:rtl/>
        </w:rPr>
        <w:t>ينبغي بقدر الإمكان، تشكيل أفرقة الخبراء لتجنب تضارب المصالح.</w:t>
      </w:r>
      <w:r>
        <w:rPr>
          <w:rFonts w:ascii="Simplified Arabic" w:hAnsi="Simplified Arabic" w:cs="Simplified Arabic" w:hint="cs"/>
          <w:rtl/>
        </w:rPr>
        <w:t xml:space="preserve"> غير أنه من المعترف به أن النزاهة العلمية والحصول على أفضل الخبرة المتاحة والمشورة المتاحة تقتضي مشاركة الخبراء ذوي الخبرة والمهارة التقنية أو العلمية ذات الصلة في الموضوع قيد البحث </w:t>
      </w:r>
      <w:r w:rsidRPr="007C405B">
        <w:rPr>
          <w:rFonts w:ascii="Simplified Arabic" w:hAnsi="Simplified Arabic" w:cs="Simplified Arabic"/>
          <w:rtl/>
        </w:rPr>
        <w:t xml:space="preserve">في الحالات التي </w:t>
      </w:r>
      <w:r>
        <w:rPr>
          <w:rFonts w:ascii="Simplified Arabic" w:hAnsi="Simplified Arabic" w:cs="Simplified Arabic" w:hint="cs"/>
          <w:rtl/>
        </w:rPr>
        <w:t>ت</w:t>
      </w:r>
      <w:r w:rsidRPr="007C405B">
        <w:rPr>
          <w:rFonts w:ascii="Simplified Arabic" w:hAnsi="Simplified Arabic" w:cs="Simplified Arabic"/>
          <w:rtl/>
        </w:rPr>
        <w:t xml:space="preserve">كون فيها </w:t>
      </w:r>
      <w:r>
        <w:rPr>
          <w:rFonts w:ascii="Simplified Arabic" w:hAnsi="Simplified Arabic" w:cs="Simplified Arabic" w:hint="cs"/>
          <w:rtl/>
        </w:rPr>
        <w:t>الاحتمالات محدودة ل</w:t>
      </w:r>
      <w:r w:rsidRPr="007C405B">
        <w:rPr>
          <w:rFonts w:ascii="Simplified Arabic" w:hAnsi="Simplified Arabic" w:cs="Simplified Arabic"/>
          <w:rtl/>
        </w:rPr>
        <w:t xml:space="preserve">تشكيل فريق خبراء يتمتع بكامل نطاق الخبرة اللازمة لتنفيذ ولايته بفعالية دون إشراك خبراء فرديين مؤهلين بشكل آخر يكون لديهم تضارب محتمل في المصالح، فإن </w:t>
      </w:r>
      <w:r>
        <w:rPr>
          <w:rFonts w:ascii="Simplified Arabic" w:hAnsi="Simplified Arabic" w:cs="Simplified Arabic" w:hint="cs"/>
          <w:rtl/>
        </w:rPr>
        <w:t>المكتب</w:t>
      </w:r>
      <w:r w:rsidRPr="007C405B">
        <w:rPr>
          <w:rFonts w:ascii="Simplified Arabic" w:hAnsi="Simplified Arabic" w:cs="Simplified Arabic"/>
          <w:rtl/>
        </w:rPr>
        <w:t xml:space="preserve">، </w:t>
      </w:r>
      <w:r>
        <w:rPr>
          <w:rFonts w:ascii="Simplified Arabic" w:hAnsi="Simplified Arabic" w:cs="Simplified Arabic" w:hint="cs"/>
          <w:rtl/>
        </w:rPr>
        <w:t xml:space="preserve">بناء على مشورة من الأمانة، </w:t>
      </w:r>
      <w:r w:rsidRPr="007C405B">
        <w:rPr>
          <w:rFonts w:ascii="Simplified Arabic" w:hAnsi="Simplified Arabic" w:cs="Simplified Arabic"/>
          <w:rtl/>
        </w:rPr>
        <w:t xml:space="preserve">قد </w:t>
      </w:r>
      <w:r>
        <w:rPr>
          <w:rFonts w:ascii="Simplified Arabic" w:hAnsi="Simplified Arabic" w:cs="Simplified Arabic" w:hint="cs"/>
          <w:rtl/>
        </w:rPr>
        <w:t>يدرج</w:t>
      </w:r>
      <w:r w:rsidRPr="007C405B">
        <w:rPr>
          <w:rFonts w:ascii="Simplified Arabic" w:hAnsi="Simplified Arabic" w:cs="Simplified Arabic"/>
          <w:rtl/>
        </w:rPr>
        <w:t xml:space="preserve"> هؤلاء الخبراء شريطة: (أ) أن يكون هناك توازن بين هذه المصالح المحتملة</w:t>
      </w:r>
      <w:r>
        <w:rPr>
          <w:rFonts w:ascii="Simplified Arabic" w:hAnsi="Simplified Arabic" w:cs="Simplified Arabic" w:hint="cs"/>
          <w:rtl/>
        </w:rPr>
        <w:t xml:space="preserve"> </w:t>
      </w:r>
      <w:r w:rsidRPr="0001720F">
        <w:rPr>
          <w:rFonts w:ascii="Simplified Arabic" w:hAnsi="Simplified Arabic" w:cs="Simplified Arabic" w:hint="cs"/>
          <w:rtl/>
        </w:rPr>
        <w:t>بطريقة تخد</w:t>
      </w:r>
      <w:r>
        <w:rPr>
          <w:rFonts w:ascii="Simplified Arabic" w:hAnsi="Simplified Arabic" w:cs="Simplified Arabic" w:hint="cs"/>
          <w:rtl/>
        </w:rPr>
        <w:t>م أهداف الاتفاقية والبروتوكولين</w:t>
      </w:r>
      <w:r w:rsidRPr="0001720F">
        <w:rPr>
          <w:rFonts w:ascii="Simplified Arabic" w:hAnsi="Simplified Arabic" w:cs="Simplified Arabic" w:hint="cs"/>
          <w:rtl/>
        </w:rPr>
        <w:t>، حسب الاقتضاء</w:t>
      </w:r>
      <w:r>
        <w:rPr>
          <w:rFonts w:ascii="Simplified Arabic" w:hAnsi="Simplified Arabic" w:cs="Simplified Arabic" w:hint="cs"/>
          <w:rtl/>
        </w:rPr>
        <w:t>، وتضمن أن المنتجات من فريق الخبراء تكون شاملة وموضوعية</w:t>
      </w:r>
      <w:r w:rsidRPr="007C405B">
        <w:rPr>
          <w:rFonts w:ascii="Simplified Arabic" w:hAnsi="Simplified Arabic" w:cs="Simplified Arabic"/>
          <w:rtl/>
        </w:rPr>
        <w:t xml:space="preserve">؛ (ب) جعل المعلومات المتعلقة بتضارب المصالح المحتمل متاحة </w:t>
      </w:r>
      <w:r>
        <w:rPr>
          <w:rFonts w:ascii="Simplified Arabic" w:hAnsi="Simplified Arabic" w:cs="Simplified Arabic" w:hint="cs"/>
          <w:rtl/>
        </w:rPr>
        <w:t>لفريق الخبراء و</w:t>
      </w:r>
      <w:r w:rsidRPr="007C405B">
        <w:rPr>
          <w:rFonts w:ascii="Simplified Arabic" w:hAnsi="Simplified Arabic" w:cs="Simplified Arabic"/>
          <w:rtl/>
        </w:rPr>
        <w:t>للجمهور</w:t>
      </w:r>
      <w:r>
        <w:rPr>
          <w:rFonts w:ascii="Simplified Arabic" w:hAnsi="Simplified Arabic" w:cs="Simplified Arabic" w:hint="cs"/>
          <w:rtl/>
        </w:rPr>
        <w:t xml:space="preserve"> عند الطلب</w:t>
      </w:r>
      <w:r w:rsidRPr="007C405B">
        <w:rPr>
          <w:rFonts w:ascii="Simplified Arabic" w:hAnsi="Simplified Arabic" w:cs="Simplified Arabic"/>
          <w:rtl/>
        </w:rPr>
        <w:t>؛ و(ج) يوافق الخبراء على السعي إلى المساهمة في عمل الأفرقة بموضوعية، وأن يتنح</w:t>
      </w:r>
      <w:r>
        <w:rPr>
          <w:rFonts w:ascii="Simplified Arabic" w:hAnsi="Simplified Arabic" w:cs="Simplified Arabic" w:hint="cs"/>
          <w:rtl/>
        </w:rPr>
        <w:t xml:space="preserve">وا </w:t>
      </w:r>
      <w:r w:rsidRPr="007C405B">
        <w:rPr>
          <w:rFonts w:ascii="Simplified Arabic" w:hAnsi="Simplified Arabic" w:cs="Simplified Arabic"/>
          <w:rtl/>
        </w:rPr>
        <w:t>عن المشاركة إذا لم يكن ذلك ممكنا أو موضع شك.</w:t>
      </w:r>
    </w:p>
    <w:p w:rsidR="00CC7A77" w:rsidRPr="00200D27" w:rsidRDefault="00CC7A77" w:rsidP="00CD26C5">
      <w:pPr>
        <w:pStyle w:val="ListParagraph"/>
        <w:numPr>
          <w:ilvl w:val="1"/>
          <w:numId w:val="85"/>
        </w:numPr>
        <w:bidi/>
        <w:spacing w:line="216" w:lineRule="auto"/>
        <w:ind w:left="821"/>
        <w:rPr>
          <w:rFonts w:ascii="Simplified Arabic" w:hAnsi="Simplified Arabic" w:cs="Simplified Arabic"/>
          <w:rtl/>
        </w:rPr>
      </w:pPr>
      <w:r>
        <w:rPr>
          <w:rFonts w:ascii="Simplified Arabic" w:hAnsi="Simplified Arabic" w:cs="Simplified Arabic" w:hint="cs"/>
          <w:rtl/>
        </w:rPr>
        <w:t xml:space="preserve">في حالة الخلاف بين الخبير والأمانة بشأن تحديد تضارب المصالح أو </w:t>
      </w:r>
      <w:r w:rsidRPr="007C405B">
        <w:rPr>
          <w:rFonts w:ascii="Simplified Arabic" w:hAnsi="Simplified Arabic" w:cs="Simplified Arabic"/>
          <w:rtl/>
        </w:rPr>
        <w:t>إذا تغير</w:t>
      </w:r>
      <w:r>
        <w:rPr>
          <w:rFonts w:ascii="Simplified Arabic" w:hAnsi="Simplified Arabic" w:cs="Simplified Arabic" w:hint="cs"/>
          <w:rtl/>
        </w:rPr>
        <w:t>ت</w:t>
      </w:r>
      <w:r w:rsidRPr="007C405B">
        <w:rPr>
          <w:rFonts w:ascii="Simplified Arabic" w:hAnsi="Simplified Arabic" w:cs="Simplified Arabic"/>
          <w:rtl/>
        </w:rPr>
        <w:t xml:space="preserve"> حالة أحد الخبراء أثناء ولاية فريق الخبراء و</w:t>
      </w:r>
      <w:r>
        <w:rPr>
          <w:rFonts w:ascii="Simplified Arabic" w:hAnsi="Simplified Arabic" w:cs="Simplified Arabic" w:hint="cs"/>
          <w:rtl/>
        </w:rPr>
        <w:t xml:space="preserve">تم إبلاغ </w:t>
      </w:r>
      <w:r w:rsidRPr="007C405B">
        <w:rPr>
          <w:rFonts w:ascii="Simplified Arabic" w:hAnsi="Simplified Arabic" w:cs="Simplified Arabic"/>
          <w:rtl/>
        </w:rPr>
        <w:t>الأمانة</w:t>
      </w:r>
      <w:r>
        <w:rPr>
          <w:rFonts w:ascii="Simplified Arabic" w:hAnsi="Simplified Arabic" w:cs="Simplified Arabic" w:hint="cs"/>
          <w:rtl/>
        </w:rPr>
        <w:t xml:space="preserve"> بذلك</w:t>
      </w:r>
      <w:r w:rsidRPr="007C405B">
        <w:rPr>
          <w:rFonts w:ascii="Simplified Arabic" w:hAnsi="Simplified Arabic" w:cs="Simplified Arabic"/>
          <w:rtl/>
        </w:rPr>
        <w:t xml:space="preserve">، على النحو المحدد في الفقرة 2-4 أعلاه، أو عندما </w:t>
      </w:r>
      <w:r>
        <w:rPr>
          <w:rFonts w:ascii="Simplified Arabic" w:hAnsi="Simplified Arabic" w:cs="Simplified Arabic" w:hint="cs"/>
          <w:rtl/>
        </w:rPr>
        <w:t>تصبح</w:t>
      </w:r>
      <w:r w:rsidRPr="007C405B">
        <w:rPr>
          <w:rFonts w:ascii="Simplified Arabic" w:hAnsi="Simplified Arabic" w:cs="Simplified Arabic"/>
          <w:rtl/>
        </w:rPr>
        <w:t xml:space="preserve"> الأمانة </w:t>
      </w:r>
      <w:r>
        <w:rPr>
          <w:rFonts w:ascii="Simplified Arabic" w:hAnsi="Simplified Arabic" w:cs="Simplified Arabic" w:hint="cs"/>
          <w:rtl/>
        </w:rPr>
        <w:t xml:space="preserve">على علم بمعلومات أو وثائق تدعم تحديد وجود تضارب في المصالح، </w:t>
      </w:r>
      <w:r w:rsidRPr="007C405B">
        <w:rPr>
          <w:rFonts w:ascii="Simplified Arabic" w:hAnsi="Simplified Arabic" w:cs="Simplified Arabic"/>
          <w:rtl/>
        </w:rPr>
        <w:t xml:space="preserve">ستقوم الأمانة </w:t>
      </w:r>
      <w:r>
        <w:rPr>
          <w:rFonts w:ascii="Simplified Arabic" w:hAnsi="Simplified Arabic" w:cs="Simplified Arabic" w:hint="cs"/>
          <w:rtl/>
        </w:rPr>
        <w:t xml:space="preserve">بمناقشة هذه المسألة مع الخبير وتنقلها إلى انتباه </w:t>
      </w:r>
      <w:r w:rsidRPr="007C405B">
        <w:rPr>
          <w:rFonts w:ascii="Simplified Arabic" w:hAnsi="Simplified Arabic" w:cs="Simplified Arabic"/>
          <w:rtl/>
        </w:rPr>
        <w:t>رئيس فريق الخبراء</w:t>
      </w:r>
      <w:r>
        <w:rPr>
          <w:rFonts w:ascii="Simplified Arabic" w:hAnsi="Simplified Arabic" w:cs="Simplified Arabic" w:hint="cs"/>
          <w:rtl/>
        </w:rPr>
        <w:t xml:space="preserve"> وانتباه</w:t>
      </w:r>
      <w:r w:rsidRPr="007C405B">
        <w:rPr>
          <w:rFonts w:ascii="Simplified Arabic" w:hAnsi="Simplified Arabic" w:cs="Simplified Arabic"/>
          <w:rtl/>
        </w:rPr>
        <w:t xml:space="preserve"> المكتب المعني من أجل تقديم إرشادات</w:t>
      </w:r>
      <w:r>
        <w:rPr>
          <w:rFonts w:ascii="Simplified Arabic" w:hAnsi="Simplified Arabic" w:cs="Simplified Arabic" w:hint="cs"/>
          <w:rtl/>
        </w:rPr>
        <w:t xml:space="preserve">. وإذا حدث هذا الاختلاف أو التغير في الحالة، </w:t>
      </w:r>
      <w:r w:rsidRPr="007C405B">
        <w:rPr>
          <w:rFonts w:ascii="Simplified Arabic" w:hAnsi="Simplified Arabic" w:cs="Simplified Arabic"/>
          <w:rtl/>
        </w:rPr>
        <w:t xml:space="preserve">ستقوم الأمانة </w:t>
      </w:r>
      <w:r>
        <w:rPr>
          <w:rFonts w:ascii="Simplified Arabic" w:hAnsi="Simplified Arabic" w:cs="Simplified Arabic" w:hint="cs"/>
          <w:rtl/>
        </w:rPr>
        <w:t xml:space="preserve">بمناقشة هذه المسألة مع هذا الرئيس وتنقلها إلى انتباه </w:t>
      </w:r>
      <w:r w:rsidRPr="007C405B">
        <w:rPr>
          <w:rFonts w:ascii="Simplified Arabic" w:hAnsi="Simplified Arabic" w:cs="Simplified Arabic"/>
          <w:rtl/>
        </w:rPr>
        <w:t>المكتب المعني من أجل تقديم إرشادات</w:t>
      </w:r>
      <w:r>
        <w:rPr>
          <w:rFonts w:ascii="Simplified Arabic" w:hAnsi="Simplified Arabic" w:cs="Simplified Arabic" w:hint="cs"/>
          <w:rtl/>
        </w:rPr>
        <w:t>. وستُمضي الأمانة قدما وفقا لتعليمات المكتب المعني</w:t>
      </w:r>
      <w:r w:rsidRPr="007C405B">
        <w:rPr>
          <w:rFonts w:ascii="Simplified Arabic" w:hAnsi="Simplified Arabic" w:cs="Simplified Arabic"/>
          <w:rtl/>
        </w:rPr>
        <w:t>.</w:t>
      </w:r>
    </w:p>
    <w:p w:rsidR="00CC7A77" w:rsidRPr="008E63AD" w:rsidRDefault="00CC7A77" w:rsidP="00CC7A77">
      <w:pPr>
        <w:keepNext/>
        <w:ind w:left="101"/>
        <w:jc w:val="center"/>
        <w:rPr>
          <w:rFonts w:ascii="Simplified Arabic" w:hAnsi="Simplified Arabic"/>
          <w:i/>
          <w:iCs/>
          <w:sz w:val="24"/>
        </w:rPr>
      </w:pPr>
      <w:r w:rsidRPr="00200D27">
        <w:rPr>
          <w:rFonts w:ascii="Simplified Arabic" w:hAnsi="Simplified Arabic"/>
          <w:i/>
          <w:iCs/>
          <w:sz w:val="24"/>
          <w:rtl/>
        </w:rPr>
        <w:lastRenderedPageBreak/>
        <w:t>التذييل</w:t>
      </w:r>
    </w:p>
    <w:p w:rsidR="00CC7A77" w:rsidRPr="00683CD6" w:rsidRDefault="00CC7A77" w:rsidP="00CC7A77">
      <w:pPr>
        <w:keepNext/>
        <w:ind w:left="101"/>
        <w:jc w:val="center"/>
        <w:rPr>
          <w:rFonts w:ascii="Simplified Arabic" w:hAnsi="Simplified Arabic"/>
          <w:b/>
          <w:bCs/>
          <w:sz w:val="24"/>
        </w:rPr>
      </w:pPr>
      <w:r w:rsidRPr="00200D27">
        <w:rPr>
          <w:rFonts w:ascii="Simplified Arabic" w:hAnsi="Simplified Arabic"/>
          <w:b/>
          <w:bCs/>
          <w:sz w:val="24"/>
          <w:rtl/>
        </w:rPr>
        <w:t>استمارة الإفصاح عن المصالح</w:t>
      </w:r>
    </w:p>
    <w:p w:rsidR="00CC7A77" w:rsidRPr="00200D27" w:rsidRDefault="00CC7A77" w:rsidP="00CC7A77">
      <w:pPr>
        <w:rPr>
          <w:rFonts w:ascii="Simplified Arabic" w:hAnsi="Simplified Arabic"/>
          <w:sz w:val="24"/>
          <w:rtl/>
        </w:rPr>
      </w:pPr>
      <w:r w:rsidRPr="00200D27">
        <w:rPr>
          <w:rFonts w:ascii="Simplified Arabic" w:hAnsi="Simplified Arabic"/>
          <w:sz w:val="24"/>
          <w:rtl/>
        </w:rPr>
        <w:t>يرجى التوقيع وكتابة التاريخ على الصفحة الأخيرة من هذه الاستمارة وإعادتها إلى الأمينة التنفيذية لاتفاقية التنوع البيولوجي. ويرجى الاحتفاظ بنسخة لسجلاتك.</w:t>
      </w:r>
    </w:p>
    <w:p w:rsidR="00CC7A77" w:rsidRPr="00200D27" w:rsidRDefault="00CC7A77" w:rsidP="00CC7A77">
      <w:pPr>
        <w:rPr>
          <w:rFonts w:ascii="Simplified Arabic" w:hAnsi="Simplified Arabic"/>
          <w:b/>
          <w:bCs/>
          <w:sz w:val="24"/>
          <w:rtl/>
        </w:rPr>
      </w:pPr>
      <w:r w:rsidRPr="00200D27">
        <w:rPr>
          <w:rFonts w:ascii="Simplified Arabic" w:hAnsi="Simplified Arabic"/>
          <w:b/>
          <w:bCs/>
          <w:sz w:val="24"/>
          <w:rtl/>
        </w:rPr>
        <w:t>ملاحظة:</w:t>
      </w:r>
    </w:p>
    <w:p w:rsidR="00CC7A77" w:rsidRPr="00200D2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Pr>
      </w:pPr>
      <w:r w:rsidRPr="00200D27">
        <w:rPr>
          <w:rFonts w:ascii="Simplified Arabic" w:hAnsi="Simplified Arabic" w:cs="Simplified Arabic"/>
          <w:sz w:val="24"/>
          <w:rtl/>
        </w:rPr>
        <w:t>لقد تم ترشيحك وتحديدك مؤقتا للعمل كخبير في [</w:t>
      </w:r>
      <w:r>
        <w:rPr>
          <w:rFonts w:ascii="Simplified Arabic" w:hAnsi="Simplified Arabic" w:cs="Simplified Arabic" w:hint="cs"/>
          <w:sz w:val="24"/>
          <w:rtl/>
        </w:rPr>
        <w:t xml:space="preserve"> </w:t>
      </w:r>
      <w:r w:rsidRPr="00200D27">
        <w:rPr>
          <w:rFonts w:ascii="Simplified Arabic" w:hAnsi="Simplified Arabic" w:cs="Simplified Arabic"/>
          <w:i/>
          <w:iCs/>
          <w:sz w:val="24"/>
          <w:u w:val="single"/>
          <w:rtl/>
        </w:rPr>
        <w:t>اسم أو وصف فريق الخبراء</w:t>
      </w:r>
      <w:r>
        <w:rPr>
          <w:rFonts w:ascii="Simplified Arabic" w:hAnsi="Simplified Arabic" w:cs="Simplified Arabic" w:hint="cs"/>
          <w:sz w:val="24"/>
          <w:rtl/>
        </w:rPr>
        <w:t xml:space="preserve"> </w:t>
      </w:r>
      <w:r w:rsidRPr="00200D27">
        <w:rPr>
          <w:rFonts w:ascii="Simplified Arabic" w:hAnsi="Simplified Arabic" w:cs="Simplified Arabic"/>
          <w:sz w:val="24"/>
          <w:rtl/>
        </w:rPr>
        <w:t xml:space="preserve">] بسبب منزلتك وخبرتك المهنية. كما هو موضح في الإجراء الخاص بتجنب تضارب المصالح أو إدارتها </w:t>
      </w:r>
      <w:r w:rsidRPr="00EC131E">
        <w:rPr>
          <w:rFonts w:ascii="Simplified Arabic" w:hAnsi="Simplified Arabic" w:cs="Simplified Arabic"/>
          <w:sz w:val="24"/>
          <w:rtl/>
        </w:rPr>
        <w:t>(المقرر 14/</w:t>
      </w:r>
      <w:r>
        <w:rPr>
          <w:rFonts w:ascii="Simplified Arabic" w:hAnsi="Simplified Arabic" w:cs="Simplified Arabic" w:hint="cs"/>
          <w:sz w:val="24"/>
          <w:rtl/>
        </w:rPr>
        <w:t>33</w:t>
      </w:r>
      <w:r w:rsidRPr="00EC131E">
        <w:rPr>
          <w:rFonts w:ascii="Simplified Arabic" w:hAnsi="Simplified Arabic" w:cs="Simplified Arabic"/>
          <w:sz w:val="24"/>
          <w:rtl/>
        </w:rPr>
        <w:t>)</w:t>
      </w:r>
      <w:r w:rsidRPr="00200D27">
        <w:rPr>
          <w:rFonts w:ascii="Simplified Arabic" w:hAnsi="Simplified Arabic" w:cs="Simplified Arabic"/>
          <w:sz w:val="24"/>
          <w:rtl/>
        </w:rPr>
        <w:t>، من المتوقع أن تفصح عن تضارب المصالح الذي قد</w:t>
      </w:r>
      <w:r>
        <w:rPr>
          <w:rFonts w:ascii="Simplified Arabic" w:hAnsi="Simplified Arabic" w:cs="Simplified Arabic" w:hint="cs"/>
          <w:sz w:val="24"/>
          <w:rtl/>
        </w:rPr>
        <w:t xml:space="preserve"> يُنظر إليه على أنه</w:t>
      </w:r>
      <w:r w:rsidRPr="00200D27">
        <w:rPr>
          <w:rFonts w:ascii="Simplified Arabic" w:hAnsi="Simplified Arabic" w:cs="Simplified Arabic"/>
          <w:sz w:val="24"/>
          <w:rtl/>
        </w:rPr>
        <w:t xml:space="preserve"> يؤثر على قرارك الموضوعي وأن تتسم بالاستقلالية في المساهمة</w:t>
      </w:r>
      <w:r>
        <w:rPr>
          <w:rFonts w:ascii="Simplified Arabic" w:hAnsi="Simplified Arabic" w:cs="Simplified Arabic"/>
          <w:sz w:val="24"/>
          <w:rtl/>
        </w:rPr>
        <w:t xml:space="preserve"> في عمل فريق الخبراء. ولذلك ف</w:t>
      </w:r>
      <w:r w:rsidRPr="00200D27">
        <w:rPr>
          <w:rFonts w:ascii="Simplified Arabic" w:hAnsi="Simplified Arabic" w:cs="Simplified Arabic"/>
          <w:sz w:val="24"/>
          <w:rtl/>
        </w:rPr>
        <w:t>من الضروري ال</w:t>
      </w:r>
      <w:r>
        <w:rPr>
          <w:rFonts w:ascii="Simplified Arabic" w:hAnsi="Simplified Arabic" w:cs="Simplified Arabic" w:hint="cs"/>
          <w:sz w:val="24"/>
          <w:rtl/>
        </w:rPr>
        <w:t>إفصاح</w:t>
      </w:r>
      <w:r w:rsidRPr="00200D27">
        <w:rPr>
          <w:rFonts w:ascii="Simplified Arabic" w:hAnsi="Simplified Arabic" w:cs="Simplified Arabic"/>
          <w:sz w:val="24"/>
          <w:rtl/>
        </w:rPr>
        <w:t xml:space="preserve"> عن بعض الأمور لضمان عدم الانتقاص من عمل فريق الخبراء نتيجة تضارب المصالح. ونظرا لأهمية وجود معايير عالية ونتائج يمكن تبريرها لعمل فريق الخبراء، يرجى تطبيق مهنيتك وحسن تقديرك وأمانتك عند ملء هذا الاستمارة.</w:t>
      </w:r>
    </w:p>
    <w:p w:rsidR="00CC7A7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Pr>
      </w:pPr>
      <w:r w:rsidRPr="00200D27">
        <w:rPr>
          <w:rFonts w:ascii="Simplified Arabic" w:hAnsi="Simplified Arabic" w:cs="Simplified Arabic"/>
          <w:sz w:val="24"/>
          <w:rtl/>
        </w:rPr>
        <w:t xml:space="preserve">يرجى ملاحظة أن هناك </w:t>
      </w:r>
      <w:r>
        <w:rPr>
          <w:rFonts w:ascii="Simplified Arabic" w:hAnsi="Simplified Arabic" w:cs="Simplified Arabic" w:hint="cs"/>
          <w:sz w:val="24"/>
          <w:rtl/>
        </w:rPr>
        <w:t xml:space="preserve">تمييز </w:t>
      </w:r>
      <w:r w:rsidRPr="00200D27">
        <w:rPr>
          <w:rFonts w:ascii="Simplified Arabic" w:hAnsi="Simplified Arabic" w:cs="Simplified Arabic"/>
          <w:sz w:val="24"/>
          <w:rtl/>
        </w:rPr>
        <w:t xml:space="preserve">بين "تضارب المصالح" و"التحيز" في إطار القسم 1-4 من الإجراء الخاص بإدارة أو تجنب تضارب المصالح. </w:t>
      </w:r>
      <w:r>
        <w:rPr>
          <w:rFonts w:ascii="Simplified Arabic" w:hAnsi="Simplified Arabic" w:cs="Simplified Arabic" w:hint="cs"/>
          <w:sz w:val="24"/>
          <w:rtl/>
        </w:rPr>
        <w:t>ويشير</w:t>
      </w:r>
      <w:r w:rsidRPr="00200D27">
        <w:rPr>
          <w:rFonts w:ascii="Simplified Arabic" w:hAnsi="Simplified Arabic" w:cs="Simplified Arabic"/>
          <w:sz w:val="24"/>
          <w:rtl/>
        </w:rPr>
        <w:t xml:space="preserve"> "التحيز" إلى وجهة نظر أو منظور متمسك به ب</w:t>
      </w:r>
      <w:r>
        <w:rPr>
          <w:rFonts w:ascii="Simplified Arabic" w:hAnsi="Simplified Arabic" w:cs="Simplified Arabic" w:hint="cs"/>
          <w:sz w:val="24"/>
          <w:rtl/>
        </w:rPr>
        <w:t>قو</w:t>
      </w:r>
      <w:r w:rsidRPr="00200D27">
        <w:rPr>
          <w:rFonts w:ascii="Simplified Arabic" w:hAnsi="Simplified Arabic" w:cs="Simplified Arabic"/>
          <w:sz w:val="24"/>
          <w:rtl/>
        </w:rPr>
        <w:t xml:space="preserve">ة بخصوص مسألة معينة أو مجموعة من المسائل. واعتناق رأي يراه الشخص على أنه صحيح ولكن لا يمكن الاستفادة منه شخصيا، لا يشكل بالضرورة تضاربًا في المصالح، </w:t>
      </w:r>
      <w:r>
        <w:rPr>
          <w:rFonts w:ascii="Simplified Arabic" w:hAnsi="Simplified Arabic" w:cs="Simplified Arabic" w:hint="cs"/>
          <w:sz w:val="24"/>
          <w:rtl/>
        </w:rPr>
        <w:t>بل</w:t>
      </w:r>
      <w:r w:rsidRPr="00200D27">
        <w:rPr>
          <w:rFonts w:ascii="Simplified Arabic" w:hAnsi="Simplified Arabic" w:cs="Simplified Arabic"/>
          <w:sz w:val="24"/>
          <w:rtl/>
        </w:rPr>
        <w:t xml:space="preserve"> قد يكون تحيزًا.</w:t>
      </w:r>
    </w:p>
    <w:p w:rsidR="00CC7A77" w:rsidRPr="00200D2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tl/>
        </w:rPr>
      </w:pPr>
      <w:r w:rsidRPr="00200D27">
        <w:rPr>
          <w:rFonts w:ascii="Simplified Arabic" w:hAnsi="Simplified Arabic" w:cs="Simplified Arabic"/>
          <w:sz w:val="24"/>
          <w:rtl/>
        </w:rPr>
        <w:t>يرجى ملاحظة أنه من المتوقع أن يعمل كل خبير بموضوعية، بغض النظر عن أي انتساب حكومي أو صناعي أو تنظيمي أو أكاديمي، والامتثال للمعايير المهنية العالية وإظهار درجة عالية من السلوك المهني والنزاهة. ويُتوقع من كل خبير أن يكشف عن أي أوضاع، مالية أو غير مالية، قد</w:t>
      </w:r>
      <w:r>
        <w:rPr>
          <w:rFonts w:ascii="Simplified Arabic" w:hAnsi="Simplified Arabic" w:cs="Simplified Arabic" w:hint="cs"/>
          <w:sz w:val="24"/>
          <w:rtl/>
        </w:rPr>
        <w:t xml:space="preserve"> يُنظر إليها على أنها</w:t>
      </w:r>
      <w:r w:rsidRPr="00200D27">
        <w:rPr>
          <w:rFonts w:ascii="Simplified Arabic" w:hAnsi="Simplified Arabic" w:cs="Simplified Arabic"/>
          <w:sz w:val="24"/>
          <w:rtl/>
        </w:rPr>
        <w:t xml:space="preserve"> </w:t>
      </w:r>
      <w:r>
        <w:rPr>
          <w:rFonts w:ascii="Simplified Arabic" w:hAnsi="Simplified Arabic" w:cs="Simplified Arabic" w:hint="cs"/>
          <w:sz w:val="24"/>
          <w:rtl/>
        </w:rPr>
        <w:t>ت</w:t>
      </w:r>
      <w:r w:rsidRPr="00200D27">
        <w:rPr>
          <w:rFonts w:ascii="Simplified Arabic" w:hAnsi="Simplified Arabic" w:cs="Simplified Arabic"/>
          <w:sz w:val="24"/>
          <w:rtl/>
        </w:rPr>
        <w:t>ؤثر على موضوعية واستقلالية المساهمة التي يقدمها الخبير وبالتالي تؤثر على نتيجة عمل فريق الخبراء.</w:t>
      </w:r>
    </w:p>
    <w:p w:rsidR="00CC7A77" w:rsidRPr="00200D2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Pr>
      </w:pPr>
      <w:r w:rsidRPr="00200D27">
        <w:rPr>
          <w:rFonts w:ascii="Simplified Arabic" w:hAnsi="Simplified Arabic" w:cs="Simplified Arabic"/>
          <w:sz w:val="24"/>
          <w:rtl/>
        </w:rPr>
        <w:t>يتعين عليك الإفصاح عن المصالح المتصلة والمتعلقة</w:t>
      </w:r>
      <w:r>
        <w:rPr>
          <w:rFonts w:ascii="Simplified Arabic" w:hAnsi="Simplified Arabic" w:cs="Simplified Arabic" w:hint="cs"/>
          <w:sz w:val="24"/>
          <w:rtl/>
        </w:rPr>
        <w:t xml:space="preserve"> </w:t>
      </w:r>
      <w:r w:rsidRPr="00200D27">
        <w:rPr>
          <w:rFonts w:ascii="Simplified Arabic" w:hAnsi="Simplified Arabic" w:cs="Simplified Arabic"/>
          <w:sz w:val="24"/>
          <w:rtl/>
        </w:rPr>
        <w:t>بدورك في فريق الخبراء والتي من شأنها أن:</w:t>
      </w:r>
      <w:r>
        <w:rPr>
          <w:rFonts w:ascii="Simplified Arabic" w:hAnsi="Simplified Arabic" w:cs="Simplified Arabic" w:hint="cs"/>
          <w:sz w:val="24"/>
          <w:rtl/>
        </w:rPr>
        <w:t xml:space="preserve"> </w:t>
      </w:r>
      <w:r w:rsidRPr="00200D27">
        <w:rPr>
          <w:rFonts w:ascii="Simplified Arabic" w:hAnsi="Simplified Arabic" w:cs="Simplified Arabic"/>
          <w:sz w:val="24"/>
          <w:rtl/>
        </w:rPr>
        <w:t>(أ) تؤثر على موضوعيتك عند الاضطلاع بواجباتك ومسؤولياتك كعضو في فريق الخبراء أو (ب) تنشئ ميزة غير عادلة لك أو لأي شخص أو منظمة.</w:t>
      </w:r>
    </w:p>
    <w:p w:rsidR="00CC7A77" w:rsidRPr="00200D2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tl/>
        </w:rPr>
      </w:pPr>
      <w:r w:rsidRPr="00200D27">
        <w:rPr>
          <w:rFonts w:ascii="Simplified Arabic" w:hAnsi="Simplified Arabic" w:cs="Simplified Arabic"/>
          <w:sz w:val="24"/>
          <w:rtl/>
        </w:rPr>
        <w:t xml:space="preserve">تحقيقا لأغراض هذه السياسة، </w:t>
      </w:r>
      <w:r>
        <w:rPr>
          <w:rFonts w:ascii="Simplified Arabic" w:hAnsi="Simplified Arabic" w:cs="Simplified Arabic" w:hint="cs"/>
          <w:sz w:val="24"/>
          <w:rtl/>
        </w:rPr>
        <w:t>فإن</w:t>
      </w:r>
      <w:r w:rsidRPr="00200D27">
        <w:rPr>
          <w:rFonts w:ascii="Simplified Arabic" w:hAnsi="Simplified Arabic" w:cs="Simplified Arabic"/>
          <w:sz w:val="24"/>
          <w:rtl/>
        </w:rPr>
        <w:t xml:space="preserve"> الظروف التي قد تقود شخصا إلى الاعتقاد بشكل معقول أن موضوعية فرد ما موضع شك أو التي</w:t>
      </w:r>
      <w:r>
        <w:rPr>
          <w:rFonts w:ascii="Simplified Arabic" w:hAnsi="Simplified Arabic" w:cs="Simplified Arabic" w:hint="cs"/>
          <w:sz w:val="24"/>
          <w:rtl/>
        </w:rPr>
        <w:t xml:space="preserve"> </w:t>
      </w:r>
      <w:r w:rsidRPr="00200D27">
        <w:rPr>
          <w:rFonts w:ascii="Simplified Arabic" w:hAnsi="Simplified Arabic" w:cs="Simplified Arabic"/>
          <w:sz w:val="24"/>
          <w:rtl/>
        </w:rPr>
        <w:t xml:space="preserve">يمكن أن تنشئ ميزة غير عادلة، </w:t>
      </w:r>
      <w:r>
        <w:rPr>
          <w:rFonts w:ascii="Simplified Arabic" w:hAnsi="Simplified Arabic" w:cs="Simplified Arabic" w:hint="cs"/>
          <w:sz w:val="24"/>
          <w:rtl/>
        </w:rPr>
        <w:t xml:space="preserve">تشكل </w:t>
      </w:r>
      <w:r w:rsidRPr="00200D27">
        <w:rPr>
          <w:rFonts w:ascii="Simplified Arabic" w:hAnsi="Simplified Arabic" w:cs="Simplified Arabic"/>
          <w:sz w:val="24"/>
          <w:rtl/>
        </w:rPr>
        <w:t xml:space="preserve">تضاربا محتملا في المصالح وينبغي الإفصاح عنها في هذه الاستمارة. والإفصاح عن مصلحة في هذه الاستمارة لا يعني تلقائيا وجود حالة تضارب أو أنك لن تستطيع </w:t>
      </w:r>
      <w:r>
        <w:rPr>
          <w:rFonts w:ascii="Simplified Arabic" w:hAnsi="Simplified Arabic" w:cs="Simplified Arabic" w:hint="cs"/>
          <w:sz w:val="24"/>
          <w:rtl/>
        </w:rPr>
        <w:t>المشاركة</w:t>
      </w:r>
      <w:r w:rsidRPr="00200D27">
        <w:rPr>
          <w:rFonts w:ascii="Simplified Arabic" w:hAnsi="Simplified Arabic" w:cs="Simplified Arabic"/>
          <w:sz w:val="24"/>
          <w:rtl/>
        </w:rPr>
        <w:t xml:space="preserve"> في عمل فريق الخبراء. وعند وجود أي شك لديك في ما إذا كان ينبغي الإفصاح عن مصلحة ما، فأنت مدعو إلى الإفصاح عن هذه ال</w:t>
      </w:r>
      <w:r>
        <w:rPr>
          <w:rFonts w:ascii="Simplified Arabic" w:hAnsi="Simplified Arabic" w:cs="Simplified Arabic" w:hint="cs"/>
          <w:sz w:val="24"/>
          <w:rtl/>
        </w:rPr>
        <w:t>مصلحة</w:t>
      </w:r>
      <w:r w:rsidRPr="00200D27">
        <w:rPr>
          <w:rFonts w:ascii="Simplified Arabic" w:hAnsi="Simplified Arabic" w:cs="Simplified Arabic"/>
          <w:sz w:val="24"/>
          <w:rtl/>
        </w:rPr>
        <w:t>.</w:t>
      </w:r>
    </w:p>
    <w:p w:rsidR="00CC7A77" w:rsidRPr="00200D27" w:rsidRDefault="00CC7A77" w:rsidP="00CD26C5">
      <w:pPr>
        <w:pStyle w:val="ListParagraph"/>
        <w:numPr>
          <w:ilvl w:val="0"/>
          <w:numId w:val="86"/>
        </w:numPr>
        <w:pBdr>
          <w:top w:val="nil"/>
          <w:left w:val="nil"/>
          <w:bottom w:val="nil"/>
          <w:right w:val="nil"/>
          <w:between w:val="nil"/>
          <w:bar w:val="nil"/>
        </w:pBdr>
        <w:bidi/>
        <w:spacing w:line="216" w:lineRule="auto"/>
        <w:ind w:left="0" w:firstLine="0"/>
        <w:rPr>
          <w:rFonts w:ascii="Simplified Arabic" w:hAnsi="Simplified Arabic" w:cs="Simplified Arabic"/>
          <w:sz w:val="24"/>
          <w:rtl/>
        </w:rPr>
      </w:pPr>
      <w:r w:rsidRPr="00200D27">
        <w:rPr>
          <w:rFonts w:ascii="Simplified Arabic" w:hAnsi="Simplified Arabic" w:cs="Simplified Arabic"/>
          <w:sz w:val="24"/>
          <w:rtl/>
        </w:rPr>
        <w:t>باستثناء بيانات الاتصال بك، تظل محتويات هذه الاستمارة متاحة للجميع عند الطلب. ويرجى الإشارة إلى أي معلومات ينبغي عدم الإفصاح عنه</w:t>
      </w:r>
      <w:r>
        <w:rPr>
          <w:rFonts w:ascii="Simplified Arabic" w:hAnsi="Simplified Arabic" w:cs="Simplified Arabic" w:hint="cs"/>
          <w:sz w:val="24"/>
          <w:rtl/>
        </w:rPr>
        <w:t>ا</w:t>
      </w:r>
      <w:r w:rsidRPr="00200D27">
        <w:rPr>
          <w:rFonts w:ascii="Simplified Arabic" w:hAnsi="Simplified Arabic" w:cs="Simplified Arabic"/>
          <w:sz w:val="24"/>
          <w:rtl/>
        </w:rPr>
        <w:t xml:space="preserve"> علنا وأسباب ذلك من أجل السماح للأمانة بتقييم مدى ملا</w:t>
      </w:r>
      <w:r>
        <w:rPr>
          <w:rFonts w:ascii="Simplified Arabic" w:hAnsi="Simplified Arabic" w:cs="Simplified Arabic" w:hint="cs"/>
          <w:sz w:val="24"/>
          <w:rtl/>
        </w:rPr>
        <w:t>ء</w:t>
      </w:r>
      <w:r w:rsidRPr="00200D27">
        <w:rPr>
          <w:rFonts w:ascii="Simplified Arabic" w:hAnsi="Simplified Arabic" w:cs="Simplified Arabic"/>
          <w:sz w:val="24"/>
          <w:rtl/>
        </w:rPr>
        <w:t>مة حجبها.</w:t>
      </w:r>
    </w:p>
    <w:p w:rsidR="007F295B" w:rsidRDefault="007F295B">
      <w:pPr>
        <w:bidi w:val="0"/>
        <w:spacing w:after="0" w:line="240" w:lineRule="auto"/>
        <w:jc w:val="left"/>
        <w:rPr>
          <w:rFonts w:ascii="Simplified Arabic" w:hAnsi="Simplified Arabic"/>
          <w:b/>
          <w:bCs/>
          <w:sz w:val="24"/>
          <w:rtl/>
        </w:rPr>
      </w:pPr>
      <w:r>
        <w:rPr>
          <w:rFonts w:ascii="Simplified Arabic" w:hAnsi="Simplified Arabic"/>
          <w:b/>
          <w:bCs/>
          <w:sz w:val="24"/>
          <w:rtl/>
        </w:rPr>
        <w:br w:type="page"/>
      </w:r>
    </w:p>
    <w:p w:rsidR="00CC7A77" w:rsidRPr="008E63AD" w:rsidRDefault="00CC7A77" w:rsidP="00CC7A77">
      <w:pPr>
        <w:ind w:left="96"/>
        <w:jc w:val="center"/>
        <w:rPr>
          <w:rFonts w:ascii="Simplified Arabic" w:hAnsi="Simplified Arabic"/>
          <w:b/>
          <w:bCs/>
          <w:sz w:val="24"/>
        </w:rPr>
      </w:pPr>
      <w:r w:rsidRPr="00200D27">
        <w:rPr>
          <w:rFonts w:ascii="Simplified Arabic" w:hAnsi="Simplified Arabic"/>
          <w:b/>
          <w:bCs/>
          <w:sz w:val="24"/>
          <w:rtl/>
        </w:rPr>
        <w:lastRenderedPageBreak/>
        <w:t>استمارة الإفصاح عن المصالح</w:t>
      </w:r>
    </w:p>
    <w:p w:rsidR="00CC7A77" w:rsidRPr="00200D27" w:rsidRDefault="00CC7A77" w:rsidP="00CC7A77">
      <w:pPr>
        <w:rPr>
          <w:rFonts w:ascii="Simplified Arabic" w:hAnsi="Simplified Arabic"/>
          <w:sz w:val="24"/>
          <w:rtl/>
        </w:rPr>
      </w:pPr>
      <w:r w:rsidRPr="00200D27">
        <w:rPr>
          <w:rFonts w:ascii="Simplified Arabic" w:hAnsi="Simplified Arabic"/>
          <w:sz w:val="24"/>
          <w:rtl/>
        </w:rPr>
        <w:t>الاسم: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C7A77" w:rsidRPr="00200D27" w:rsidRDefault="00CC7A77" w:rsidP="00CC7A77">
      <w:pPr>
        <w:rPr>
          <w:rFonts w:ascii="Simplified Arabic" w:hAnsi="Simplified Arabic"/>
          <w:sz w:val="24"/>
          <w:rtl/>
        </w:rPr>
      </w:pPr>
      <w:r w:rsidRPr="00200D27">
        <w:rPr>
          <w:rFonts w:ascii="Simplified Arabic" w:hAnsi="Simplified Arabic"/>
          <w:sz w:val="24"/>
          <w:rtl/>
        </w:rPr>
        <w:t>العنوان: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00D27">
        <w:rPr>
          <w:rFonts w:ascii="Simplified Arabic" w:hAnsi="Simplified Arabic"/>
          <w:sz w:val="24"/>
          <w:rtl/>
        </w:rPr>
        <w:t>ـ</w:t>
      </w:r>
    </w:p>
    <w:p w:rsidR="00CC7A77" w:rsidRPr="00200D27" w:rsidRDefault="00CC7A77" w:rsidP="00CC7A77">
      <w:pPr>
        <w:ind w:firstLine="630"/>
        <w:rPr>
          <w:rFonts w:ascii="Simplified Arabic" w:hAnsi="Simplified Arabic"/>
          <w:sz w:val="24"/>
          <w:rtl/>
        </w:rPr>
      </w:pPr>
      <w:r w:rsidRPr="00200D27">
        <w:rPr>
          <w:rFonts w:ascii="Simplified Arabic" w:hAnsi="Simplified Arabic"/>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C7A77" w:rsidRPr="00200D27" w:rsidRDefault="00CC7A77" w:rsidP="00CC7A77">
      <w:pPr>
        <w:tabs>
          <w:tab w:val="left" w:pos="3060"/>
        </w:tabs>
        <w:rPr>
          <w:rFonts w:ascii="Simplified Arabic" w:hAnsi="Simplified Arabic"/>
          <w:sz w:val="24"/>
          <w:rtl/>
        </w:rPr>
      </w:pPr>
      <w:r w:rsidRPr="00200D27">
        <w:rPr>
          <w:rFonts w:ascii="Simplified Arabic" w:hAnsi="Simplified Arabic"/>
          <w:sz w:val="24"/>
          <w:rtl/>
        </w:rPr>
        <w:t>رقم الهاتف: 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w:t>
      </w:r>
      <w:r w:rsidRPr="00200D27">
        <w:rPr>
          <w:rFonts w:ascii="Simplified Arabic" w:hAnsi="Simplified Arabic"/>
          <w:sz w:val="24"/>
          <w:rtl/>
        </w:rPr>
        <w:t>ـ</w:t>
      </w:r>
      <w:r>
        <w:rPr>
          <w:rFonts w:ascii="Simplified Arabic" w:hAnsi="Simplified Arabic" w:hint="cs"/>
          <w:sz w:val="24"/>
          <w:rtl/>
        </w:rPr>
        <w:tab/>
      </w:r>
      <w:r w:rsidRPr="00200D27">
        <w:rPr>
          <w:rFonts w:ascii="Simplified Arabic" w:hAnsi="Simplified Arabic"/>
          <w:sz w:val="24"/>
          <w:rtl/>
        </w:rPr>
        <w:t>البريد الإلكتروني: 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00D27">
        <w:rPr>
          <w:rFonts w:ascii="Simplified Arabic" w:hAnsi="Simplified Arabic"/>
          <w:sz w:val="24"/>
          <w:rtl/>
        </w:rPr>
        <w:t>ـــ</w:t>
      </w:r>
    </w:p>
    <w:p w:rsidR="00CC7A77" w:rsidRPr="00200D27" w:rsidRDefault="00CC7A77" w:rsidP="00CC7A77">
      <w:pPr>
        <w:rPr>
          <w:rFonts w:ascii="Simplified Arabic" w:hAnsi="Simplified Arabic"/>
          <w:sz w:val="24"/>
          <w:rtl/>
        </w:rPr>
      </w:pPr>
      <w:r w:rsidRPr="00200D27">
        <w:rPr>
          <w:rFonts w:ascii="Simplified Arabic" w:hAnsi="Simplified Arabic"/>
          <w:sz w:val="24"/>
          <w:rtl/>
        </w:rPr>
        <w:t>الجهة التي تعمل لديها في الوقت الحالي:ــــــــــــــــــــــــــــــــــــــــــــــــــــــــــــــــــــــــــــــــــــــــــــــــــــــــــــــــــــــــــــــــــ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C7A77" w:rsidRPr="00200D27" w:rsidRDefault="00CC7A77" w:rsidP="00CC7A77">
      <w:pPr>
        <w:rPr>
          <w:rFonts w:ascii="Simplified Arabic" w:hAnsi="Simplified Arabic"/>
          <w:sz w:val="24"/>
          <w:rtl/>
        </w:rPr>
      </w:pPr>
      <w:r w:rsidRPr="00200D27">
        <w:rPr>
          <w:rFonts w:ascii="Simplified Arabic" w:hAnsi="Simplified Arabic"/>
          <w:sz w:val="24"/>
          <w:rtl/>
        </w:rPr>
        <w:t>جهة الترشيح: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00D27">
        <w:rPr>
          <w:rFonts w:ascii="Simplified Arabic" w:hAnsi="Simplified Arabic"/>
          <w:sz w:val="24"/>
          <w:rtl/>
        </w:rPr>
        <w:t>ـــــ</w:t>
      </w:r>
    </w:p>
    <w:p w:rsidR="00CC7A77" w:rsidRPr="00200D27" w:rsidRDefault="00CC7A77" w:rsidP="00CC7A77">
      <w:pPr>
        <w:rPr>
          <w:rFonts w:ascii="Simplified Arabic" w:hAnsi="Simplified Arabic"/>
          <w:sz w:val="24"/>
          <w:rtl/>
        </w:rPr>
      </w:pPr>
      <w:r w:rsidRPr="00200D27">
        <w:rPr>
          <w:rFonts w:ascii="Simplified Arabic" w:hAnsi="Simplified Arabic"/>
          <w:sz w:val="24"/>
          <w:rtl/>
        </w:rPr>
        <w:t>1. هل تشارك في أي أنشطة مهنية أو أنشطة أخرى ذات صلة قد يُنظر إليها على أنها تشكل تضاربا في المصالح؟</w:t>
      </w:r>
    </w:p>
    <w:p w:rsidR="00CC7A77" w:rsidRPr="00200D27" w:rsidRDefault="00CC7A77" w:rsidP="00CC7A77">
      <w:pPr>
        <w:rPr>
          <w:rFonts w:ascii="Simplified Arabic" w:hAnsi="Simplified Arabic"/>
          <w:b/>
          <w:bCs/>
          <w:sz w:val="24"/>
        </w:rPr>
      </w:pPr>
      <w:r w:rsidRPr="00200D27">
        <w:rPr>
          <w:rFonts w:ascii="Simplified Arabic" w:hAnsi="Simplified Arabic"/>
          <w:sz w:val="24"/>
          <w:rtl/>
        </w:rPr>
        <w:t>___ نعم ____ لا (إذا كانت الإجابة بنعم، يرجى توضيح التفاصيل أدناه)</w:t>
      </w:r>
    </w:p>
    <w:p w:rsidR="00CC7A77" w:rsidRPr="00200D27" w:rsidRDefault="00CC7A77" w:rsidP="00CC7A77">
      <w:pPr>
        <w:tabs>
          <w:tab w:val="center" w:pos="4680"/>
        </w:tabs>
        <w:rPr>
          <w:rFonts w:ascii="Simplified Arabic" w:hAnsi="Simplified Arabic"/>
          <w:snapToGrid w:val="0"/>
          <w:kern w:val="22"/>
          <w:sz w:val="24"/>
        </w:rPr>
      </w:pPr>
      <w:r w:rsidRPr="00200D27">
        <w:rPr>
          <w:rFonts w:ascii="Simplified Arabic" w:hAnsi="Simplified Arabic"/>
          <w:snapToGrid w:val="0"/>
          <w:kern w:val="22"/>
          <w:sz w:val="24"/>
        </w:rPr>
        <w:t>___________________________________________________________________________</w:t>
      </w:r>
    </w:p>
    <w:p w:rsidR="00CC7A77" w:rsidRPr="00200D27" w:rsidRDefault="00CC7A77" w:rsidP="00CC7A77">
      <w:pPr>
        <w:rPr>
          <w:rFonts w:ascii="Simplified Arabic" w:hAnsi="Simplified Arabic"/>
          <w:sz w:val="24"/>
        </w:rPr>
      </w:pPr>
      <w:r w:rsidRPr="00200D27">
        <w:rPr>
          <w:rFonts w:ascii="Simplified Arabic" w:hAnsi="Simplified Arabic"/>
          <w:sz w:val="24"/>
          <w:rtl/>
        </w:rPr>
        <w:t>يرجى توضيح المصالح المالية ذات الصلة والمصالح والأنشطة غير المالية الحالية التي تبدو ذات صلة بمهامك في عمل فريق الخبراء والتي يمكن أن تفسر على أنها:</w:t>
      </w:r>
    </w:p>
    <w:p w:rsidR="00CC7A77" w:rsidRPr="00200D27" w:rsidRDefault="00CC7A77" w:rsidP="00CC7A77">
      <w:pPr>
        <w:ind w:firstLine="720"/>
        <w:rPr>
          <w:rFonts w:ascii="Simplified Arabic" w:hAnsi="Simplified Arabic"/>
          <w:sz w:val="24"/>
          <w:rtl/>
        </w:rPr>
      </w:pPr>
      <w:r w:rsidRPr="00200D27">
        <w:rPr>
          <w:rFonts w:ascii="Simplified Arabic" w:hAnsi="Simplified Arabic"/>
          <w:sz w:val="24"/>
          <w:rtl/>
        </w:rPr>
        <w:t>(1)</w:t>
      </w:r>
      <w:r w:rsidRPr="00200D27">
        <w:rPr>
          <w:rFonts w:ascii="Simplified Arabic" w:hAnsi="Simplified Arabic"/>
          <w:sz w:val="24"/>
          <w:rtl/>
        </w:rPr>
        <w:tab/>
        <w:t>تضر بموضوعيتك عند الاضطلاع بواجباتك ومسؤولياتك تجاه عمل فريق الخبراء؛</w:t>
      </w:r>
    </w:p>
    <w:p w:rsidR="00CC7A77" w:rsidRPr="00200D27" w:rsidRDefault="00CC7A77" w:rsidP="00CC7A77">
      <w:pPr>
        <w:ind w:left="720"/>
        <w:rPr>
          <w:rFonts w:ascii="Simplified Arabic" w:hAnsi="Simplified Arabic"/>
          <w:sz w:val="24"/>
          <w:rtl/>
        </w:rPr>
      </w:pPr>
      <w:r w:rsidRPr="00200D27">
        <w:rPr>
          <w:rFonts w:ascii="Simplified Arabic" w:hAnsi="Simplified Arabic"/>
          <w:sz w:val="24"/>
          <w:rtl/>
        </w:rPr>
        <w:t>(2)</w:t>
      </w:r>
      <w:r w:rsidRPr="00200D27">
        <w:rPr>
          <w:rFonts w:ascii="Simplified Arabic" w:hAnsi="Simplified Arabic"/>
          <w:sz w:val="24"/>
        </w:rPr>
        <w:tab/>
      </w:r>
      <w:r w:rsidRPr="00200D27">
        <w:rPr>
          <w:rFonts w:ascii="Simplified Arabic" w:hAnsi="Simplified Arabic"/>
          <w:sz w:val="24"/>
          <w:rtl/>
        </w:rPr>
        <w:t>تمنح ميزة غير عادلة لك أو لأي شخص أو منظمة.</w:t>
      </w:r>
    </w:p>
    <w:p w:rsidR="00CC7A77" w:rsidRPr="00200D27" w:rsidRDefault="00CC7A77" w:rsidP="00CC7A77">
      <w:pPr>
        <w:rPr>
          <w:rFonts w:ascii="Simplified Arabic" w:hAnsi="Simplified Arabic"/>
          <w:sz w:val="24"/>
          <w:rtl/>
        </w:rPr>
      </w:pPr>
      <w:r w:rsidRPr="00200D27">
        <w:rPr>
          <w:rFonts w:ascii="Simplified Arabic" w:hAnsi="Simplified Arabic"/>
          <w:sz w:val="24"/>
          <w:rtl/>
        </w:rPr>
        <w:t>2. هل لديك أو لدى جهة عملك أو المنظمة التي قامت بترشيحك أي مصالح مالية تتعلق بموضوع العمل الذي ستشارك فيه؟</w:t>
      </w:r>
    </w:p>
    <w:p w:rsidR="00CC7A77" w:rsidRPr="00200D27" w:rsidRDefault="00CC7A77" w:rsidP="00CC7A77">
      <w:pPr>
        <w:rPr>
          <w:rFonts w:ascii="Simplified Arabic" w:hAnsi="Simplified Arabic"/>
          <w:sz w:val="24"/>
          <w:rtl/>
        </w:rPr>
      </w:pPr>
      <w:r w:rsidRPr="00200D27">
        <w:rPr>
          <w:rFonts w:ascii="Simplified Arabic" w:hAnsi="Simplified Arabic"/>
          <w:sz w:val="24"/>
          <w:rtl/>
        </w:rPr>
        <w:t>___ نعم ____ لا (إذا كانت الإجابة بنعم، يرجى توضيح التفاصي</w:t>
      </w:r>
      <w:r>
        <w:rPr>
          <w:rFonts w:ascii="Simplified Arabic" w:hAnsi="Simplified Arabic"/>
          <w:sz w:val="24"/>
          <w:rtl/>
        </w:rPr>
        <w:t>ل أدناه)</w:t>
      </w:r>
    </w:p>
    <w:p w:rsidR="00CC7A77" w:rsidRPr="00200D27" w:rsidRDefault="00CC7A77" w:rsidP="00CC7A77">
      <w:pPr>
        <w:tabs>
          <w:tab w:val="center" w:pos="4680"/>
        </w:tabs>
        <w:rPr>
          <w:rFonts w:ascii="Simplified Arabic" w:hAnsi="Simplified Arabic"/>
          <w:snapToGrid w:val="0"/>
          <w:kern w:val="22"/>
          <w:sz w:val="24"/>
        </w:rPr>
      </w:pPr>
      <w:r w:rsidRPr="00200D27">
        <w:rPr>
          <w:rFonts w:ascii="Simplified Arabic" w:hAnsi="Simplified Arabic"/>
          <w:snapToGrid w:val="0"/>
          <w:kern w:val="22"/>
          <w:sz w:val="24"/>
        </w:rPr>
        <w:t>___________________________________________________________________________</w:t>
      </w:r>
    </w:p>
    <w:p w:rsidR="00CC7A77" w:rsidRPr="00200D27" w:rsidRDefault="00CC7A77" w:rsidP="00CC7A77">
      <w:pPr>
        <w:rPr>
          <w:rFonts w:ascii="Simplified Arabic" w:hAnsi="Simplified Arabic"/>
          <w:sz w:val="24"/>
          <w:rtl/>
        </w:rPr>
      </w:pPr>
      <w:r w:rsidRPr="00200D27">
        <w:rPr>
          <w:rFonts w:ascii="Simplified Arabic" w:hAnsi="Simplified Arabic"/>
          <w:sz w:val="24"/>
          <w:rtl/>
        </w:rPr>
        <w:t>يرجى توضيح أي مصالح مالية ذات صلة أو التي قد تبدو ذات صلة بواجباتك في فريق الخبراء أو التي يمكن أن تفسر على أنها:</w:t>
      </w:r>
    </w:p>
    <w:p w:rsidR="00CC7A77" w:rsidRPr="00200D27" w:rsidRDefault="00CC7A77" w:rsidP="00CC7A77">
      <w:pPr>
        <w:ind w:firstLine="720"/>
        <w:rPr>
          <w:rFonts w:ascii="Simplified Arabic" w:hAnsi="Simplified Arabic"/>
          <w:sz w:val="24"/>
          <w:rtl/>
        </w:rPr>
      </w:pPr>
      <w:r w:rsidRPr="00200D27">
        <w:rPr>
          <w:rFonts w:ascii="Simplified Arabic" w:hAnsi="Simplified Arabic"/>
          <w:sz w:val="24"/>
          <w:rtl/>
        </w:rPr>
        <w:t>(1)</w:t>
      </w:r>
      <w:r w:rsidRPr="00200D27">
        <w:rPr>
          <w:rFonts w:ascii="Simplified Arabic" w:hAnsi="Simplified Arabic"/>
          <w:sz w:val="24"/>
          <w:rtl/>
        </w:rPr>
        <w:tab/>
        <w:t>تضر بموضوعيتك عند الاضطلاع بواجباتك ومسؤولياتك تجاه عمل فريق الخبراء؛</w:t>
      </w:r>
    </w:p>
    <w:p w:rsidR="00CC7A77" w:rsidRPr="00200D27" w:rsidRDefault="00CC7A77" w:rsidP="00CC7A77">
      <w:pPr>
        <w:ind w:firstLine="720"/>
        <w:rPr>
          <w:rFonts w:ascii="Simplified Arabic" w:hAnsi="Simplified Arabic"/>
          <w:sz w:val="24"/>
          <w:rtl/>
        </w:rPr>
      </w:pPr>
      <w:r w:rsidRPr="00200D27">
        <w:rPr>
          <w:rFonts w:ascii="Simplified Arabic" w:hAnsi="Simplified Arabic"/>
          <w:sz w:val="24"/>
          <w:rtl/>
        </w:rPr>
        <w:t>(2)</w:t>
      </w:r>
      <w:r w:rsidRPr="00200D27">
        <w:rPr>
          <w:rFonts w:ascii="Simplified Arabic" w:hAnsi="Simplified Arabic"/>
          <w:sz w:val="24"/>
          <w:rtl/>
        </w:rPr>
        <w:tab/>
        <w:t>تمنح ميزة غير عادلة لك أو لأي شخص أو منظمة. وقد تتضمن تلك المصالح العلاقات الوظيفية، وعلاقات إسداء المشورة، والاستثمارات المالية، والمصالح المتعلقة بالملكية الفكرية والمصالح التجارية ومصادر دعم البحوث من القطاع الخاص.</w:t>
      </w:r>
    </w:p>
    <w:p w:rsidR="00CC7A77" w:rsidRPr="00200D27" w:rsidRDefault="00CC7A77" w:rsidP="00CC7A77">
      <w:pPr>
        <w:rPr>
          <w:rFonts w:ascii="Simplified Arabic" w:hAnsi="Simplified Arabic"/>
          <w:sz w:val="24"/>
          <w:rtl/>
        </w:rPr>
      </w:pPr>
      <w:r w:rsidRPr="00200D27">
        <w:rPr>
          <w:rFonts w:ascii="Simplified Arabic" w:hAnsi="Simplified Arabic"/>
          <w:sz w:val="24"/>
          <w:rtl/>
        </w:rPr>
        <w:t>3. هل هناك أي مصلحة أخرى (عمل سابق و/أو أي حالات ان</w:t>
      </w:r>
      <w:r>
        <w:rPr>
          <w:rFonts w:ascii="Simplified Arabic" w:hAnsi="Simplified Arabic" w:hint="cs"/>
          <w:sz w:val="24"/>
          <w:rtl/>
        </w:rPr>
        <w:t>ت</w:t>
      </w:r>
      <w:r w:rsidRPr="00200D27">
        <w:rPr>
          <w:rFonts w:ascii="Simplified Arabic" w:hAnsi="Simplified Arabic"/>
          <w:sz w:val="24"/>
          <w:rtl/>
        </w:rPr>
        <w:t>ساب أخرى) يمكن أن تؤثر على موضوعيتك أو استقلاليتك في العمل الذي ستشارك فيه؟</w:t>
      </w:r>
    </w:p>
    <w:p w:rsidR="00CC7A77" w:rsidRPr="00200D27" w:rsidRDefault="00CC7A77" w:rsidP="00CC7A77">
      <w:pPr>
        <w:rPr>
          <w:rFonts w:ascii="Simplified Arabic" w:hAnsi="Simplified Arabic"/>
          <w:sz w:val="24"/>
          <w:rtl/>
        </w:rPr>
      </w:pPr>
      <w:r w:rsidRPr="00200D27">
        <w:rPr>
          <w:rFonts w:ascii="Simplified Arabic" w:hAnsi="Simplified Arabic"/>
          <w:sz w:val="24"/>
          <w:rtl/>
        </w:rPr>
        <w:t xml:space="preserve">___ نعم ____ لا (إذا كانت الإجابة بنعم، يرجى توضيح التفاصيل أدناه، بما في ذلك كيف تقترح إدارة تضارب </w:t>
      </w:r>
      <w:r>
        <w:rPr>
          <w:rFonts w:ascii="Simplified Arabic" w:hAnsi="Simplified Arabic"/>
          <w:sz w:val="24"/>
          <w:rtl/>
        </w:rPr>
        <w:t>المصالح المحتمل من أجل إزالة أي</w:t>
      </w:r>
      <w:r w:rsidRPr="00200D27">
        <w:rPr>
          <w:rFonts w:ascii="Simplified Arabic" w:hAnsi="Simplified Arabic"/>
          <w:sz w:val="24"/>
          <w:rtl/>
        </w:rPr>
        <w:t xml:space="preserve"> تضارب في ا</w:t>
      </w:r>
      <w:r>
        <w:rPr>
          <w:rFonts w:ascii="Simplified Arabic" w:hAnsi="Simplified Arabic"/>
          <w:sz w:val="24"/>
          <w:rtl/>
        </w:rPr>
        <w:t>لمصالح أو التقليل منه</w:t>
      </w:r>
      <w:r w:rsidRPr="00200D27">
        <w:rPr>
          <w:rFonts w:ascii="Simplified Arabic" w:hAnsi="Simplified Arabic"/>
          <w:sz w:val="24"/>
          <w:rtl/>
        </w:rPr>
        <w:t xml:space="preserve"> إلى أدنى حد)</w:t>
      </w:r>
    </w:p>
    <w:p w:rsidR="00CC7A77" w:rsidRPr="00200D27" w:rsidRDefault="00CC7A77" w:rsidP="00CC7A77">
      <w:pPr>
        <w:tabs>
          <w:tab w:val="center" w:pos="4680"/>
        </w:tabs>
        <w:rPr>
          <w:rFonts w:ascii="Simplified Arabic" w:hAnsi="Simplified Arabic"/>
          <w:snapToGrid w:val="0"/>
          <w:kern w:val="22"/>
          <w:sz w:val="24"/>
        </w:rPr>
      </w:pPr>
      <w:r w:rsidRPr="00200D27">
        <w:rPr>
          <w:rFonts w:ascii="Simplified Arabic" w:hAnsi="Simplified Arabic"/>
          <w:snapToGrid w:val="0"/>
          <w:kern w:val="22"/>
          <w:sz w:val="24"/>
        </w:rPr>
        <w:t>___________________________________________________________________________</w:t>
      </w:r>
    </w:p>
    <w:p w:rsidR="00CC7A77" w:rsidRPr="00200D27" w:rsidRDefault="00CC7A77" w:rsidP="00CC7A77">
      <w:pPr>
        <w:rPr>
          <w:rFonts w:ascii="Simplified Arabic" w:hAnsi="Simplified Arabic"/>
          <w:sz w:val="24"/>
          <w:rtl/>
        </w:rPr>
      </w:pPr>
      <w:r w:rsidRPr="00200D27">
        <w:rPr>
          <w:rFonts w:ascii="Simplified Arabic" w:hAnsi="Simplified Arabic"/>
          <w:sz w:val="24"/>
          <w:rtl/>
        </w:rPr>
        <w:t>التفاصيل الإضافية (عند الإجابة بـــــ ’’نعم‘‘ على أي من الأسئلة من 1 - 3 أعلاه):</w:t>
      </w:r>
    </w:p>
    <w:p w:rsidR="00CC7A77" w:rsidRPr="00200D27" w:rsidRDefault="00CC7A77" w:rsidP="00CC7A77">
      <w:pPr>
        <w:tabs>
          <w:tab w:val="center" w:pos="4680"/>
        </w:tabs>
        <w:rPr>
          <w:rFonts w:ascii="Simplified Arabic" w:hAnsi="Simplified Arabic"/>
          <w:snapToGrid w:val="0"/>
          <w:kern w:val="22"/>
          <w:sz w:val="24"/>
        </w:rPr>
      </w:pPr>
      <w:r w:rsidRPr="00200D27">
        <w:rPr>
          <w:rFonts w:ascii="Simplified Arabic" w:hAnsi="Simplified Arabic"/>
          <w:snapToGrid w:val="0"/>
          <w:kern w:val="22"/>
          <w:sz w:val="24"/>
        </w:rPr>
        <w:t>___________________________________________________________________________</w:t>
      </w:r>
    </w:p>
    <w:p w:rsidR="00CC7A77" w:rsidRPr="00200D27" w:rsidRDefault="00CC7A77" w:rsidP="00CC7A77">
      <w:pPr>
        <w:rPr>
          <w:rFonts w:ascii="Simplified Arabic" w:hAnsi="Simplified Arabic"/>
          <w:sz w:val="24"/>
          <w:rtl/>
        </w:rPr>
      </w:pPr>
      <w:r w:rsidRPr="00200D27">
        <w:rPr>
          <w:rFonts w:ascii="Simplified Arabic" w:hAnsi="Simplified Arabic"/>
          <w:sz w:val="24"/>
          <w:rtl/>
        </w:rPr>
        <w:lastRenderedPageBreak/>
        <w:t>أعلن بموجب هذا حسب أفضل معلوماتي أن المعلومات التي تم ال</w:t>
      </w:r>
      <w:r>
        <w:rPr>
          <w:rFonts w:ascii="Simplified Arabic" w:hAnsi="Simplified Arabic" w:hint="cs"/>
          <w:sz w:val="24"/>
          <w:rtl/>
        </w:rPr>
        <w:t>إفصاح</w:t>
      </w:r>
      <w:r w:rsidRPr="00200D27">
        <w:rPr>
          <w:rFonts w:ascii="Simplified Arabic" w:hAnsi="Simplified Arabic"/>
          <w:sz w:val="24"/>
          <w:rtl/>
        </w:rPr>
        <w:t xml:space="preserve"> عنها كاملة وصحيحة. وأتعهد بإبلاغ الأمانة ورئيس فريق الخبراء على الفور بأي تغير في ظروفي خلال فترة العمل المسند إليّ. وخلال فترة تعييني كخبير أو رئيس، لن أقبل هدايا أو ضيافة أو أحصل على أي منافع أخرى من أي شخص بشكل قد يُنظر إليه على أنه تضارب في المصالح.</w:t>
      </w:r>
    </w:p>
    <w:p w:rsidR="00CC7A77" w:rsidRPr="00200D27" w:rsidRDefault="00CC7A77" w:rsidP="00CC7A77">
      <w:pPr>
        <w:rPr>
          <w:rFonts w:ascii="Simplified Arabic" w:hAnsi="Simplified Arabic"/>
          <w:sz w:val="24"/>
          <w:rtl/>
        </w:rPr>
      </w:pPr>
      <w:r w:rsidRPr="00200D27">
        <w:rPr>
          <w:rFonts w:ascii="Simplified Arabic" w:hAnsi="Simplified Arabic"/>
          <w:sz w:val="24"/>
          <w:rtl/>
        </w:rPr>
        <w:t xml:space="preserve">وأفهم أن الأمانة ستحتفظ بالمعلومات المتصلة بمصالحي لمدة خمس سنوات بعد انتهاء النشاط الذي </w:t>
      </w:r>
      <w:r>
        <w:rPr>
          <w:rFonts w:ascii="Simplified Arabic" w:hAnsi="Simplified Arabic"/>
          <w:sz w:val="24"/>
          <w:rtl/>
        </w:rPr>
        <w:t>أسهمت فيه، وسيتم بعدها تدميرها.</w:t>
      </w:r>
    </w:p>
    <w:p w:rsidR="00CC7A77" w:rsidRPr="00200D27" w:rsidRDefault="00CC7A77" w:rsidP="00CC7A77">
      <w:pPr>
        <w:rPr>
          <w:rFonts w:ascii="Simplified Arabic" w:hAnsi="Simplified Arabic"/>
          <w:sz w:val="24"/>
          <w:rtl/>
        </w:rPr>
      </w:pPr>
      <w:r>
        <w:rPr>
          <w:rFonts w:ascii="Simplified Arabic" w:hAnsi="Simplified Arabic"/>
          <w:sz w:val="24"/>
          <w:rtl/>
        </w:rPr>
        <w:t>وأفهم أن هذه الاستمارة</w:t>
      </w:r>
      <w:r>
        <w:rPr>
          <w:rFonts w:ascii="Simplified Arabic" w:hAnsi="Simplified Arabic" w:hint="cs"/>
          <w:sz w:val="24"/>
          <w:rtl/>
        </w:rPr>
        <w:t xml:space="preserve">، بعد استكمالها، </w:t>
      </w:r>
      <w:r w:rsidRPr="00200D27">
        <w:rPr>
          <w:rFonts w:ascii="Simplified Arabic" w:hAnsi="Simplified Arabic"/>
          <w:sz w:val="24"/>
          <w:rtl/>
        </w:rPr>
        <w:t>ستتاح لأي شخص عند الطلب، وفقا للإجراء المحدد في ديباجة هذه الاستمارة ("ملاحظة") أعلاه.</w:t>
      </w:r>
    </w:p>
    <w:p w:rsidR="00CC7A77" w:rsidRPr="00200D27" w:rsidRDefault="00CC7A77" w:rsidP="00CC7A77">
      <w:pPr>
        <w:rPr>
          <w:rFonts w:ascii="Simplified Arabic" w:hAnsi="Simplified Arabic"/>
          <w:sz w:val="24"/>
          <w:rtl/>
        </w:rPr>
      </w:pPr>
      <w:r w:rsidRPr="00200D27">
        <w:rPr>
          <w:rFonts w:ascii="Simplified Arabic" w:hAnsi="Simplified Arabic"/>
          <w:sz w:val="24"/>
          <w:rtl/>
        </w:rPr>
        <w:t>ولأسباب السرية، أشير إلى المعلومات التالية لحجبها من الإفصاح العام:</w:t>
      </w:r>
    </w:p>
    <w:p w:rsidR="00CC7A77" w:rsidRPr="00200D27" w:rsidRDefault="00CC7A77" w:rsidP="00CC7A77">
      <w:pPr>
        <w:tabs>
          <w:tab w:val="left" w:pos="5760"/>
        </w:tabs>
        <w:spacing w:line="320" w:lineRule="exact"/>
        <w:rPr>
          <w:rFonts w:ascii="Simplified Arabic" w:hAnsi="Simplified Arabic"/>
          <w:sz w:val="24"/>
          <w:rtl/>
        </w:rPr>
      </w:pPr>
      <w:r w:rsidRPr="00200D27">
        <w:rPr>
          <w:rFonts w:ascii="Simplified Arabic" w:hAnsi="Simplified Arabic"/>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hint="cs"/>
          <w:sz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C7A77" w:rsidRPr="00200D27" w:rsidRDefault="00CC7A77" w:rsidP="00CC7A77">
      <w:pPr>
        <w:rPr>
          <w:rFonts w:ascii="Simplified Arabic" w:hAnsi="Simplified Arabic"/>
          <w:sz w:val="24"/>
          <w:rtl/>
        </w:rPr>
      </w:pPr>
    </w:p>
    <w:p w:rsidR="00CC7A77" w:rsidRPr="00200D27" w:rsidRDefault="00CC7A77" w:rsidP="00CC7A77">
      <w:pPr>
        <w:spacing w:line="320" w:lineRule="exact"/>
        <w:rPr>
          <w:rFonts w:ascii="Simplified Arabic" w:hAnsi="Simplified Arabic"/>
          <w:sz w:val="24"/>
          <w:rtl/>
        </w:rPr>
      </w:pPr>
      <w:r>
        <w:rPr>
          <w:rFonts w:ascii="Simplified Arabic" w:hAnsi="Simplified Arabic"/>
          <w:sz w:val="24"/>
          <w:rtl/>
        </w:rPr>
        <w:t>وبهذا أعلن أنني سألتزم بإجراء</w:t>
      </w:r>
      <w:r w:rsidRPr="00200D27">
        <w:rPr>
          <w:rFonts w:ascii="Simplified Arabic" w:hAnsi="Simplified Arabic"/>
          <w:sz w:val="24"/>
          <w:rtl/>
        </w:rPr>
        <w:t xml:space="preserve"> تجنب </w:t>
      </w:r>
      <w:r>
        <w:rPr>
          <w:rFonts w:ascii="Simplified Arabic" w:hAnsi="Simplified Arabic"/>
          <w:sz w:val="24"/>
          <w:rtl/>
        </w:rPr>
        <w:t>تضارب المصالح أو إدارتها الوارد</w:t>
      </w:r>
      <w:r w:rsidRPr="00200D27">
        <w:rPr>
          <w:rFonts w:ascii="Simplified Arabic" w:hAnsi="Simplified Arabic"/>
          <w:sz w:val="24"/>
          <w:rtl/>
        </w:rPr>
        <w:t xml:space="preserve"> في المرفق</w:t>
      </w:r>
      <w:r>
        <w:rPr>
          <w:rFonts w:ascii="Simplified Arabic" w:hAnsi="Simplified Arabic" w:hint="cs"/>
          <w:sz w:val="24"/>
          <w:rtl/>
        </w:rPr>
        <w:t xml:space="preserve"> </w:t>
      </w:r>
      <w:r w:rsidRPr="00200D27">
        <w:rPr>
          <w:rFonts w:ascii="Simplified Arabic" w:hAnsi="Simplified Arabic"/>
          <w:sz w:val="24"/>
          <w:rtl/>
        </w:rPr>
        <w:t>بالمقرر 14/</w:t>
      </w:r>
      <w:r>
        <w:rPr>
          <w:rFonts w:ascii="Simplified Arabic" w:hAnsi="Simplified Arabic" w:hint="cs"/>
          <w:sz w:val="24"/>
          <w:rtl/>
        </w:rPr>
        <w:t>33</w:t>
      </w:r>
      <w:r w:rsidRPr="00200D27">
        <w:rPr>
          <w:rFonts w:ascii="Simplified Arabic" w:hAnsi="Simplified Arabic"/>
          <w:sz w:val="24"/>
          <w:rtl/>
        </w:rPr>
        <w:t>.</w:t>
      </w:r>
    </w:p>
    <w:p w:rsidR="00CC7A77" w:rsidRPr="00200D27" w:rsidRDefault="00CC7A77" w:rsidP="00CC7A77">
      <w:pPr>
        <w:tabs>
          <w:tab w:val="left" w:pos="5760"/>
        </w:tabs>
        <w:rPr>
          <w:rFonts w:ascii="Simplified Arabic" w:hAnsi="Simplified Arabic"/>
          <w:sz w:val="24"/>
          <w:rtl/>
        </w:rPr>
      </w:pPr>
    </w:p>
    <w:p w:rsidR="00CC7A77" w:rsidRPr="00200D27" w:rsidRDefault="00CC7A77" w:rsidP="00CC7A77">
      <w:pPr>
        <w:tabs>
          <w:tab w:val="left" w:pos="5760"/>
        </w:tabs>
        <w:spacing w:after="40"/>
        <w:rPr>
          <w:rFonts w:ascii="Simplified Arabic" w:hAnsi="Simplified Arabic"/>
          <w:sz w:val="24"/>
          <w:rtl/>
        </w:rPr>
      </w:pPr>
      <w:r w:rsidRPr="00200D27">
        <w:rPr>
          <w:rFonts w:ascii="Simplified Arabic" w:hAnsi="Simplified Arabic"/>
          <w:sz w:val="24"/>
          <w:rtl/>
        </w:rPr>
        <w:t>_________________</w:t>
      </w:r>
      <w:r w:rsidRPr="00200D27">
        <w:rPr>
          <w:rFonts w:ascii="Simplified Arabic" w:hAnsi="Simplified Arabic"/>
          <w:sz w:val="24"/>
          <w:rtl/>
        </w:rPr>
        <w:tab/>
        <w:t>___________________________</w:t>
      </w:r>
    </w:p>
    <w:p w:rsidR="00CC7A77" w:rsidRPr="00200D27" w:rsidRDefault="00CC7A77" w:rsidP="00CC7A77">
      <w:pPr>
        <w:tabs>
          <w:tab w:val="left" w:pos="5760"/>
        </w:tabs>
        <w:rPr>
          <w:rFonts w:ascii="Simplified Arabic" w:hAnsi="Simplified Arabic"/>
          <w:sz w:val="24"/>
          <w:rtl/>
        </w:rPr>
      </w:pPr>
      <w:r w:rsidRPr="00200D27">
        <w:rPr>
          <w:rFonts w:ascii="Simplified Arabic" w:hAnsi="Simplified Arabic"/>
          <w:sz w:val="24"/>
          <w:rtl/>
        </w:rPr>
        <w:t>التوقيع:</w:t>
      </w:r>
      <w:r w:rsidRPr="00200D27">
        <w:rPr>
          <w:rFonts w:ascii="Simplified Arabic" w:hAnsi="Simplified Arabic"/>
          <w:sz w:val="24"/>
          <w:rtl/>
        </w:rPr>
        <w:tab/>
        <w:t>التاريخ:</w:t>
      </w:r>
    </w:p>
    <w:p w:rsidR="00CC7A77" w:rsidRPr="00200D27" w:rsidRDefault="00CC7A77" w:rsidP="00CC7A77">
      <w:pPr>
        <w:rPr>
          <w:rFonts w:ascii="Simplified Arabic" w:hAnsi="Simplified Arabic"/>
          <w:kern w:val="22"/>
          <w:sz w:val="24"/>
          <w:rtl/>
        </w:rPr>
      </w:pPr>
    </w:p>
    <w:p w:rsidR="00516FD0" w:rsidRDefault="00516FD0" w:rsidP="00516FD0">
      <w:pPr>
        <w:spacing w:after="0" w:line="240" w:lineRule="auto"/>
        <w:jc w:val="left"/>
        <w:rPr>
          <w:b/>
          <w:bCs/>
          <w:sz w:val="24"/>
          <w:rtl/>
        </w:rPr>
      </w:pPr>
      <w:r>
        <w:rPr>
          <w:b/>
          <w:bCs/>
          <w:sz w:val="24"/>
          <w:rtl/>
        </w:rPr>
        <w:br w:type="page"/>
      </w:r>
    </w:p>
    <w:p w:rsidR="00CC7A77" w:rsidRDefault="00CC7A77" w:rsidP="00246CBF">
      <w:pPr>
        <w:pStyle w:val="Heading2"/>
        <w:ind w:left="2520" w:right="1170" w:hanging="1620"/>
        <w:jc w:val="left"/>
        <w:rPr>
          <w:b w:val="0"/>
          <w:bCs w:val="0"/>
          <w:sz w:val="28"/>
          <w:szCs w:val="28"/>
          <w:rtl/>
        </w:rPr>
      </w:pPr>
      <w:bookmarkStart w:id="200" w:name="_Toc6071638"/>
      <w:bookmarkStart w:id="201" w:name="_Toc6139995"/>
      <w:r>
        <w:rPr>
          <w:rFonts w:hint="cs"/>
          <w:rtl/>
        </w:rPr>
        <w:lastRenderedPageBreak/>
        <w:t>المقرر 14/34</w:t>
      </w:r>
      <w:r>
        <w:rPr>
          <w:rFonts w:hint="cs"/>
          <w:rtl/>
        </w:rPr>
        <w:tab/>
      </w:r>
      <w:r w:rsidRPr="002B5A0D">
        <w:rPr>
          <w:rFonts w:hint="cs"/>
          <w:rtl/>
        </w:rPr>
        <w:t xml:space="preserve">مقترحات لعملية شاملة وتشاركية للتحضير للإطار العالمي للتنوع البيولوجي </w:t>
      </w:r>
      <w:r>
        <w:rPr>
          <w:rFonts w:hint="cs"/>
          <w:rtl/>
        </w:rPr>
        <w:t>ل</w:t>
      </w:r>
      <w:r w:rsidRPr="002B5A0D">
        <w:rPr>
          <w:rFonts w:hint="cs"/>
          <w:rtl/>
        </w:rPr>
        <w:t>ما بعد عام 2020</w:t>
      </w:r>
      <w:bookmarkEnd w:id="200"/>
      <w:bookmarkEnd w:id="201"/>
    </w:p>
    <w:p w:rsidR="00CC7A77" w:rsidRPr="00495FF5" w:rsidRDefault="00CC7A77" w:rsidP="00CC7A77">
      <w:pPr>
        <w:ind w:firstLine="720"/>
        <w:rPr>
          <w:i/>
          <w:iCs/>
          <w:rtl/>
          <w:lang w:val="en-GB"/>
        </w:rPr>
      </w:pPr>
      <w:r w:rsidRPr="00495FF5">
        <w:rPr>
          <w:i/>
          <w:iCs/>
          <w:rtl/>
          <w:lang w:val="en-GB"/>
        </w:rPr>
        <w:t>إن مؤتمر الأطراف</w:t>
      </w:r>
    </w:p>
    <w:p w:rsidR="00CC7A77" w:rsidRDefault="00CC7A77" w:rsidP="00CD26C5">
      <w:pPr>
        <w:pStyle w:val="ListParagraph"/>
        <w:numPr>
          <w:ilvl w:val="1"/>
          <w:numId w:val="87"/>
        </w:numPr>
        <w:bidi/>
        <w:spacing w:line="216" w:lineRule="auto"/>
        <w:ind w:left="0" w:firstLine="720"/>
        <w:rPr>
          <w:rFonts w:cs="Simplified Arabic"/>
        </w:rPr>
      </w:pPr>
      <w:r w:rsidRPr="00495FF5">
        <w:rPr>
          <w:rFonts w:cs="Simplified Arabic"/>
          <w:i/>
          <w:iCs/>
          <w:rtl/>
        </w:rPr>
        <w:t xml:space="preserve">يعتمد </w:t>
      </w:r>
      <w:r w:rsidRPr="00495FF5">
        <w:rPr>
          <w:rFonts w:cs="Simplified Arabic"/>
          <w:rtl/>
        </w:rPr>
        <w:t xml:space="preserve">العملية التحضيرية لإعداد الإطار العالمي للتنوع البيولوجي لما بعد عام 2020، </w:t>
      </w:r>
      <w:r>
        <w:rPr>
          <w:rFonts w:cs="Simplified Arabic" w:hint="cs"/>
          <w:rtl/>
        </w:rPr>
        <w:t xml:space="preserve">الواردة في المرفق بهذا المقرر، </w:t>
      </w:r>
      <w:r w:rsidRPr="00495FF5">
        <w:rPr>
          <w:rFonts w:cs="Simplified Arabic"/>
          <w:i/>
          <w:iCs/>
          <w:rtl/>
        </w:rPr>
        <w:t xml:space="preserve">ويطلب إلى </w:t>
      </w:r>
      <w:r w:rsidRPr="00495FF5">
        <w:rPr>
          <w:rFonts w:cs="Simplified Arabic"/>
          <w:rtl/>
        </w:rPr>
        <w:t xml:space="preserve">الأمينة التنفيذية أن تيسر تنفيذها، </w:t>
      </w:r>
      <w:r w:rsidRPr="00E938E0">
        <w:rPr>
          <w:rFonts w:cs="Simplified Arabic"/>
          <w:rtl/>
        </w:rPr>
        <w:t>مشيرا إلى</w:t>
      </w:r>
      <w:r w:rsidRPr="00495FF5">
        <w:rPr>
          <w:rFonts w:cs="Simplified Arabic"/>
          <w:i/>
          <w:iCs/>
          <w:rtl/>
        </w:rPr>
        <w:t xml:space="preserve"> </w:t>
      </w:r>
      <w:r w:rsidRPr="00495FF5">
        <w:rPr>
          <w:rFonts w:cs="Simplified Arabic"/>
          <w:rtl/>
        </w:rPr>
        <w:t>أن تنفيذ العملية التحضيرية سيتطلب مرونة للتكيف مع الظروف المتغيرة والاستجابة للفرص الناشئة؛</w:t>
      </w:r>
    </w:p>
    <w:p w:rsidR="00CC7A77" w:rsidRDefault="00CC7A77" w:rsidP="00CD26C5">
      <w:pPr>
        <w:pStyle w:val="ListParagraph"/>
        <w:numPr>
          <w:ilvl w:val="1"/>
          <w:numId w:val="87"/>
        </w:numPr>
        <w:bidi/>
        <w:spacing w:line="216" w:lineRule="auto"/>
        <w:ind w:left="0" w:firstLine="720"/>
        <w:rPr>
          <w:rFonts w:cs="Simplified Arabic"/>
        </w:rPr>
      </w:pPr>
      <w:r w:rsidRPr="003369E2">
        <w:rPr>
          <w:rFonts w:cs="Simplified Arabic" w:hint="cs"/>
          <w:i/>
          <w:iCs/>
          <w:rtl/>
        </w:rPr>
        <w:t>يقرر</w:t>
      </w:r>
      <w:r>
        <w:rPr>
          <w:rFonts w:cs="Simplified Arabic" w:hint="cs"/>
          <w:rtl/>
        </w:rPr>
        <w:t xml:space="preserve"> تأسيس فريق مفتوح العضوية عامل بين الدورات لدعم التحضير للإطار العالمي للتنوع البيولوجي لما بعد عام 2020 على النحو الوارد وصفه في المرفق بهذا المقرر </w:t>
      </w:r>
      <w:r w:rsidRPr="00A36A78">
        <w:rPr>
          <w:rFonts w:cs="Simplified Arabic" w:hint="cs"/>
          <w:i/>
          <w:iCs/>
          <w:rtl/>
        </w:rPr>
        <w:t>ويقرر أيضا</w:t>
      </w:r>
      <w:r>
        <w:rPr>
          <w:rFonts w:cs="Simplified Arabic" w:hint="cs"/>
          <w:rtl/>
        </w:rPr>
        <w:t xml:space="preserve"> تعيين السيد فرانسيس أوغوال (أوغندا) والسيد باسيل فان هافر (كندا) كرئيسين مشاركين؛</w:t>
      </w:r>
    </w:p>
    <w:p w:rsidR="00CC7A77" w:rsidRDefault="00CC7A77" w:rsidP="00CD26C5">
      <w:pPr>
        <w:pStyle w:val="ListParagraph"/>
        <w:numPr>
          <w:ilvl w:val="1"/>
          <w:numId w:val="87"/>
        </w:numPr>
        <w:bidi/>
        <w:spacing w:line="216" w:lineRule="auto"/>
        <w:ind w:left="0" w:firstLine="720"/>
        <w:rPr>
          <w:rFonts w:cs="Simplified Arabic"/>
        </w:rPr>
      </w:pPr>
      <w:r w:rsidRPr="003369E2">
        <w:rPr>
          <w:rFonts w:cs="Simplified Arabic" w:hint="cs"/>
          <w:i/>
          <w:iCs/>
          <w:rtl/>
        </w:rPr>
        <w:t>يطلب إلى</w:t>
      </w:r>
      <w:r>
        <w:rPr>
          <w:rFonts w:cs="Simplified Arabic" w:hint="cs"/>
          <w:rtl/>
        </w:rPr>
        <w:t xml:space="preserve"> الأمينة التنفيذية أن تقدم الدعم للفريق المفتوح العضوية العامل بين الدورات ورئيسيه المشاركين؛</w:t>
      </w:r>
    </w:p>
    <w:p w:rsidR="00CC7A77" w:rsidRPr="003746A8" w:rsidRDefault="00CC7A77" w:rsidP="00CD26C5">
      <w:pPr>
        <w:pStyle w:val="ListParagraph"/>
        <w:numPr>
          <w:ilvl w:val="1"/>
          <w:numId w:val="87"/>
        </w:numPr>
        <w:bidi/>
        <w:spacing w:line="216" w:lineRule="auto"/>
        <w:ind w:left="0" w:firstLine="720"/>
        <w:rPr>
          <w:rFonts w:cs="Simplified Arabic"/>
        </w:rPr>
      </w:pPr>
      <w:r>
        <w:rPr>
          <w:rFonts w:cs="Simplified Arabic" w:hint="cs"/>
          <w:i/>
          <w:iCs/>
          <w:rtl/>
        </w:rPr>
        <w:t xml:space="preserve">يطلب أيضا إلى </w:t>
      </w:r>
      <w:r w:rsidRPr="003746A8">
        <w:rPr>
          <w:rFonts w:cs="Simplified Arabic" w:hint="cs"/>
          <w:rtl/>
        </w:rPr>
        <w:t>الأمينة التنفيذية أن تؤسس فريقا رفيع المستوى</w:t>
      </w:r>
      <w:r>
        <w:rPr>
          <w:rFonts w:cs="Simplified Arabic" w:hint="cs"/>
          <w:rtl/>
        </w:rPr>
        <w:t>، رهنا بتوافر الموارد،</w:t>
      </w:r>
      <w:r w:rsidRPr="003746A8">
        <w:rPr>
          <w:rFonts w:cs="Simplified Arabic" w:hint="cs"/>
          <w:rtl/>
        </w:rPr>
        <w:t xml:space="preserve"> على النحو الوارد وصفه في المرفق بهذا المقرر؛</w:t>
      </w:r>
    </w:p>
    <w:p w:rsidR="00CC7A77" w:rsidRPr="00495FF5" w:rsidRDefault="00CC7A77" w:rsidP="00CD26C5">
      <w:pPr>
        <w:pStyle w:val="ListParagraph"/>
        <w:numPr>
          <w:ilvl w:val="1"/>
          <w:numId w:val="87"/>
        </w:numPr>
        <w:bidi/>
        <w:spacing w:line="216" w:lineRule="auto"/>
        <w:ind w:left="0" w:firstLine="720"/>
        <w:rPr>
          <w:rFonts w:cs="Simplified Arabic"/>
        </w:rPr>
      </w:pPr>
      <w:r w:rsidRPr="00495FF5">
        <w:rPr>
          <w:rFonts w:cs="Simplified Arabic"/>
          <w:i/>
          <w:iCs/>
          <w:rtl/>
        </w:rPr>
        <w:t xml:space="preserve">يقرر </w:t>
      </w:r>
      <w:r>
        <w:rPr>
          <w:rFonts w:cs="Simplified Arabic"/>
          <w:rtl/>
        </w:rPr>
        <w:t>أن</w:t>
      </w:r>
      <w:r w:rsidRPr="00495FF5">
        <w:rPr>
          <w:rFonts w:cs="Simplified Arabic"/>
          <w:rtl/>
        </w:rPr>
        <w:t xml:space="preserve"> الإطار العالمي للتنوع البيولوجي لما بعد عام 2020 </w:t>
      </w:r>
      <w:r>
        <w:rPr>
          <w:rFonts w:cs="Simplified Arabic" w:hint="cs"/>
          <w:rtl/>
        </w:rPr>
        <w:t xml:space="preserve">ينبغي أن يكون </w:t>
      </w:r>
      <w:r w:rsidRPr="00495FF5">
        <w:rPr>
          <w:rFonts w:cs="Simplified Arabic"/>
          <w:rtl/>
        </w:rPr>
        <w:t>مقترنا بمهمة ملهمة ومحفزة لعام 2030 كنقطة انطلاق نحو رؤية عام 2050</w:t>
      </w:r>
      <w:r>
        <w:rPr>
          <w:rFonts w:cs="Simplified Arabic" w:hint="cs"/>
          <w:rtl/>
        </w:rPr>
        <w:t>، "العيش في انسجام مع الطبيعة"، التي ستكون مدعومة باستراتيجية اتصالات متسقة وشاملة وابتكارية؛</w:t>
      </w:r>
    </w:p>
    <w:p w:rsidR="00CC7A77" w:rsidRPr="00CC7A77" w:rsidRDefault="00CC7A77" w:rsidP="00CD26C5">
      <w:pPr>
        <w:pStyle w:val="ListParagraph"/>
        <w:numPr>
          <w:ilvl w:val="1"/>
          <w:numId w:val="87"/>
        </w:numPr>
        <w:bidi/>
        <w:spacing w:line="216" w:lineRule="auto"/>
        <w:ind w:left="0" w:firstLine="720"/>
        <w:rPr>
          <w:rFonts w:cs="Simplified Arabic"/>
          <w:spacing w:val="-8"/>
        </w:rPr>
      </w:pPr>
      <w:r w:rsidRPr="00495FF5">
        <w:rPr>
          <w:rFonts w:cs="Simplified Arabic"/>
          <w:i/>
          <w:iCs/>
          <w:rtl/>
        </w:rPr>
        <w:t xml:space="preserve">يحث </w:t>
      </w:r>
      <w:r w:rsidRPr="00495FF5">
        <w:rPr>
          <w:rFonts w:cs="Simplified Arabic"/>
          <w:rtl/>
        </w:rPr>
        <w:t xml:space="preserve">الأطراف </w:t>
      </w:r>
      <w:r w:rsidRPr="00495FF5">
        <w:rPr>
          <w:rFonts w:cs="Simplified Arabic"/>
          <w:i/>
          <w:iCs/>
          <w:rtl/>
        </w:rPr>
        <w:t>ويدعو</w:t>
      </w:r>
      <w:r w:rsidRPr="00495FF5">
        <w:rPr>
          <w:rFonts w:cs="Simplified Arabic"/>
          <w:rtl/>
        </w:rPr>
        <w:t xml:space="preserve"> الحكومات الأخرى، والشعوب</w:t>
      </w:r>
      <w:r>
        <w:rPr>
          <w:rFonts w:cs="Simplified Arabic"/>
          <w:rtl/>
        </w:rPr>
        <w:t xml:space="preserve"> الأصلية والمجتمعات المحلية، و</w:t>
      </w:r>
      <w:r w:rsidRPr="00495FF5">
        <w:rPr>
          <w:rFonts w:cs="Simplified Arabic"/>
          <w:rtl/>
        </w:rPr>
        <w:t xml:space="preserve">منظمات </w:t>
      </w:r>
      <w:r>
        <w:rPr>
          <w:rFonts w:cs="Simplified Arabic" w:hint="cs"/>
          <w:rtl/>
        </w:rPr>
        <w:t>الأمم المتحدة وبرامجها،</w:t>
      </w:r>
      <w:r w:rsidRPr="00495FF5">
        <w:rPr>
          <w:rFonts w:cs="Simplified Arabic"/>
          <w:rtl/>
        </w:rPr>
        <w:t xml:space="preserve"> </w:t>
      </w:r>
      <w:r>
        <w:rPr>
          <w:rFonts w:cs="Simplified Arabic" w:hint="cs"/>
          <w:rtl/>
        </w:rPr>
        <w:t>والاتفاقات البيئية الأخرى المتعددة الأطراف، والحكومات دون الوطنية، والمدن والسلطات المحلية الأخرى، والمنظمات الحكومية الدولية، والمنظمات غير الحكومية، ومجموعات</w:t>
      </w:r>
      <w:r w:rsidRPr="00495FF5">
        <w:rPr>
          <w:rFonts w:cs="Simplified Arabic"/>
          <w:rtl/>
        </w:rPr>
        <w:t xml:space="preserve"> النساء</w:t>
      </w:r>
      <w:r>
        <w:rPr>
          <w:rFonts w:cs="Simplified Arabic" w:hint="cs"/>
          <w:rtl/>
        </w:rPr>
        <w:t>،</w:t>
      </w:r>
      <w:r w:rsidRPr="00495FF5">
        <w:rPr>
          <w:rFonts w:cs="Simplified Arabic"/>
          <w:rtl/>
        </w:rPr>
        <w:t xml:space="preserve"> و</w:t>
      </w:r>
      <w:r>
        <w:rPr>
          <w:rFonts w:cs="Simplified Arabic" w:hint="cs"/>
          <w:rtl/>
        </w:rPr>
        <w:t xml:space="preserve">مجموعات </w:t>
      </w:r>
      <w:r>
        <w:rPr>
          <w:rFonts w:cs="Simplified Arabic"/>
          <w:rtl/>
        </w:rPr>
        <w:t xml:space="preserve">الشباب، </w:t>
      </w:r>
      <w:r>
        <w:rPr>
          <w:rFonts w:cs="Simplified Arabic" w:hint="cs"/>
          <w:rtl/>
        </w:rPr>
        <w:t>ومجتمع قطاع الأعمال و</w:t>
      </w:r>
      <w:r>
        <w:rPr>
          <w:rFonts w:cs="Simplified Arabic"/>
          <w:rtl/>
        </w:rPr>
        <w:t>القطاع</w:t>
      </w:r>
      <w:r w:rsidRPr="00495FF5">
        <w:rPr>
          <w:rFonts w:cs="Simplified Arabic"/>
          <w:rtl/>
        </w:rPr>
        <w:t xml:space="preserve"> ال</w:t>
      </w:r>
      <w:r>
        <w:rPr>
          <w:rFonts w:cs="Simplified Arabic" w:hint="cs"/>
          <w:rtl/>
        </w:rPr>
        <w:t>مالي، والمجتمع العلمي، والأوساط الأكاديمية، والمنظمات الدينية، وممثلي القطاعات المتصلة بالتنوع البيولوجي أو التي تعتمد عليه، والمواطنين عموما،</w:t>
      </w:r>
      <w:r w:rsidRPr="00495FF5">
        <w:rPr>
          <w:rFonts w:cs="Simplified Arabic"/>
          <w:rtl/>
        </w:rPr>
        <w:t xml:space="preserve"> </w:t>
      </w:r>
      <w:r>
        <w:rPr>
          <w:rFonts w:cs="Simplified Arabic"/>
          <w:rtl/>
        </w:rPr>
        <w:t>وأصحاب المصلحة</w:t>
      </w:r>
      <w:r>
        <w:rPr>
          <w:rFonts w:cs="Simplified Arabic" w:hint="cs"/>
          <w:rtl/>
        </w:rPr>
        <w:t xml:space="preserve"> الآخرين</w:t>
      </w:r>
      <w:r w:rsidRPr="00495FF5">
        <w:rPr>
          <w:rFonts w:cs="Simplified Arabic" w:hint="cs"/>
          <w:rtl/>
        </w:rPr>
        <w:t>،</w:t>
      </w:r>
      <w:r w:rsidRPr="00495FF5">
        <w:rPr>
          <w:rFonts w:cs="Simplified Arabic"/>
          <w:rtl/>
        </w:rPr>
        <w:t xml:space="preserve"> إلى المشاركة والمساهمة بفعالية في عملية إعداد إطار عالمي قوي للتنوع البيولوجي لما بعد عام 2020</w:t>
      </w:r>
      <w:r w:rsidRPr="00495FF5">
        <w:rPr>
          <w:rFonts w:cs="Simplified Arabic" w:hint="cs"/>
          <w:rtl/>
        </w:rPr>
        <w:t xml:space="preserve"> </w:t>
      </w:r>
      <w:r w:rsidRPr="00495FF5">
        <w:rPr>
          <w:rFonts w:cs="Simplified Arabic"/>
          <w:rtl/>
        </w:rPr>
        <w:t xml:space="preserve">من أجل تعزيز الملكية </w:t>
      </w:r>
      <w:r w:rsidRPr="00CC7A77">
        <w:rPr>
          <w:rFonts w:cs="Simplified Arabic"/>
          <w:spacing w:val="-8"/>
          <w:rtl/>
        </w:rPr>
        <w:t xml:space="preserve">القوية للإطار الذي </w:t>
      </w:r>
      <w:r w:rsidRPr="00CC7A77">
        <w:rPr>
          <w:rFonts w:cs="Simplified Arabic" w:hint="cs"/>
          <w:spacing w:val="-8"/>
          <w:rtl/>
        </w:rPr>
        <w:t>سيُتفق</w:t>
      </w:r>
      <w:r w:rsidRPr="00CC7A77">
        <w:rPr>
          <w:rFonts w:cs="Simplified Arabic"/>
          <w:spacing w:val="-8"/>
          <w:rtl/>
        </w:rPr>
        <w:t xml:space="preserve"> عليه والدعم القوي لتنفيذه </w:t>
      </w:r>
      <w:r w:rsidRPr="00CC7A77">
        <w:rPr>
          <w:rFonts w:cs="Simplified Arabic" w:hint="cs"/>
          <w:spacing w:val="-8"/>
          <w:rtl/>
        </w:rPr>
        <w:t>فوراً؛</w:t>
      </w:r>
    </w:p>
    <w:p w:rsidR="00CC7A77" w:rsidRPr="00495FF5" w:rsidRDefault="00CC7A77" w:rsidP="00CD26C5">
      <w:pPr>
        <w:pStyle w:val="ListParagraph"/>
        <w:numPr>
          <w:ilvl w:val="1"/>
          <w:numId w:val="87"/>
        </w:numPr>
        <w:bidi/>
        <w:spacing w:line="216" w:lineRule="auto"/>
        <w:ind w:left="0" w:firstLine="720"/>
        <w:rPr>
          <w:rFonts w:cs="Simplified Arabic"/>
        </w:rPr>
      </w:pPr>
      <w:r w:rsidRPr="00495FF5">
        <w:rPr>
          <w:rFonts w:cs="Simplified Arabic"/>
          <w:i/>
          <w:iCs/>
          <w:rtl/>
        </w:rPr>
        <w:t xml:space="preserve">يحث </w:t>
      </w:r>
      <w:r w:rsidRPr="00495FF5">
        <w:rPr>
          <w:rFonts w:cs="Simplified Arabic"/>
          <w:rtl/>
        </w:rPr>
        <w:t xml:space="preserve">الأطراف </w:t>
      </w:r>
      <w:r w:rsidRPr="00495FF5">
        <w:rPr>
          <w:rFonts w:cs="Simplified Arabic"/>
          <w:i/>
          <w:iCs/>
          <w:rtl/>
        </w:rPr>
        <w:t>أيضا</w:t>
      </w:r>
      <w:r w:rsidRPr="00495FF5">
        <w:rPr>
          <w:rFonts w:cs="Simplified Arabic"/>
          <w:rtl/>
        </w:rPr>
        <w:t xml:space="preserve"> </w:t>
      </w:r>
      <w:r w:rsidRPr="00495FF5">
        <w:rPr>
          <w:rFonts w:cs="Simplified Arabic"/>
          <w:i/>
          <w:iCs/>
          <w:rtl/>
        </w:rPr>
        <w:t>ويدعو</w:t>
      </w:r>
      <w:r w:rsidRPr="00495FF5">
        <w:rPr>
          <w:rFonts w:cs="Simplified Arabic"/>
          <w:rtl/>
        </w:rPr>
        <w:t xml:space="preserve"> الحكومات الأخرى، </w:t>
      </w:r>
      <w:r w:rsidRPr="00495FF5">
        <w:rPr>
          <w:rFonts w:cs="Simplified Arabic" w:hint="cs"/>
          <w:rtl/>
        </w:rPr>
        <w:t xml:space="preserve">والشعوب </w:t>
      </w:r>
      <w:r>
        <w:rPr>
          <w:rFonts w:cs="Simplified Arabic"/>
          <w:rtl/>
        </w:rPr>
        <w:t>الأصلية والمجتمعات المحلية، و</w:t>
      </w:r>
      <w:r w:rsidRPr="00495FF5">
        <w:rPr>
          <w:rFonts w:cs="Simplified Arabic"/>
          <w:rtl/>
        </w:rPr>
        <w:t xml:space="preserve">منظمات </w:t>
      </w:r>
      <w:r>
        <w:rPr>
          <w:rFonts w:cs="Simplified Arabic" w:hint="cs"/>
          <w:rtl/>
        </w:rPr>
        <w:t>الأمم المتحدة وبرامجها،</w:t>
      </w:r>
      <w:r w:rsidRPr="00495FF5">
        <w:rPr>
          <w:rFonts w:cs="Simplified Arabic"/>
          <w:rtl/>
        </w:rPr>
        <w:t xml:space="preserve"> </w:t>
      </w:r>
      <w:r>
        <w:rPr>
          <w:rFonts w:cs="Simplified Arabic" w:hint="cs"/>
          <w:rtl/>
        </w:rPr>
        <w:t>والاتفاقات البيئية الأخرى المتعددة الأطراف، والحكومات دون الوطنية، والمدن والسلطات المحلية الأخرى، والمنظمات الحكومية الدولية، والمنظمات غير الحكومية، ومجموعات</w:t>
      </w:r>
      <w:r w:rsidRPr="00495FF5">
        <w:rPr>
          <w:rFonts w:cs="Simplified Arabic"/>
          <w:rtl/>
        </w:rPr>
        <w:t xml:space="preserve"> النساء</w:t>
      </w:r>
      <w:r>
        <w:rPr>
          <w:rFonts w:cs="Simplified Arabic" w:hint="cs"/>
          <w:rtl/>
        </w:rPr>
        <w:t>،</w:t>
      </w:r>
      <w:r w:rsidRPr="00495FF5">
        <w:rPr>
          <w:rFonts w:cs="Simplified Arabic"/>
          <w:rtl/>
        </w:rPr>
        <w:t xml:space="preserve"> و</w:t>
      </w:r>
      <w:r>
        <w:rPr>
          <w:rFonts w:cs="Simplified Arabic" w:hint="cs"/>
          <w:rtl/>
        </w:rPr>
        <w:t xml:space="preserve">مجموعات </w:t>
      </w:r>
      <w:r>
        <w:rPr>
          <w:rFonts w:cs="Simplified Arabic"/>
          <w:rtl/>
        </w:rPr>
        <w:t xml:space="preserve">الشباب، </w:t>
      </w:r>
      <w:r>
        <w:rPr>
          <w:rFonts w:cs="Simplified Arabic" w:hint="cs"/>
          <w:rtl/>
        </w:rPr>
        <w:t>ومجتمع قطاع الأعمال و</w:t>
      </w:r>
      <w:r>
        <w:rPr>
          <w:rFonts w:cs="Simplified Arabic"/>
          <w:rtl/>
        </w:rPr>
        <w:t>القطاع</w:t>
      </w:r>
      <w:r w:rsidRPr="00495FF5">
        <w:rPr>
          <w:rFonts w:cs="Simplified Arabic"/>
          <w:rtl/>
        </w:rPr>
        <w:t xml:space="preserve"> ال</w:t>
      </w:r>
      <w:r>
        <w:rPr>
          <w:rFonts w:cs="Simplified Arabic" w:hint="cs"/>
          <w:rtl/>
        </w:rPr>
        <w:t>مالي، والمجتمع العلمي، والأوساط الأكاديمية، والمنظمات الدينية، وممثلي القطاعات المتصلة بالتنوع البيولوجي أو التي تعتمد عليه، والمواطنين عموما،</w:t>
      </w:r>
      <w:r w:rsidRPr="00495FF5">
        <w:rPr>
          <w:rFonts w:cs="Simplified Arabic"/>
          <w:rtl/>
        </w:rPr>
        <w:t xml:space="preserve"> </w:t>
      </w:r>
      <w:r>
        <w:rPr>
          <w:rFonts w:cs="Simplified Arabic"/>
          <w:rtl/>
        </w:rPr>
        <w:t>وأصحاب المصلحة</w:t>
      </w:r>
      <w:r>
        <w:rPr>
          <w:rFonts w:cs="Simplified Arabic" w:hint="cs"/>
          <w:rtl/>
        </w:rPr>
        <w:t xml:space="preserve"> الآخرين</w:t>
      </w:r>
      <w:r w:rsidRPr="00495FF5">
        <w:rPr>
          <w:rFonts w:cs="Simplified Arabic" w:hint="cs"/>
          <w:rtl/>
        </w:rPr>
        <w:t>،</w:t>
      </w:r>
      <w:r w:rsidRPr="00495FF5">
        <w:rPr>
          <w:rFonts w:cs="Simplified Arabic"/>
          <w:rtl/>
        </w:rPr>
        <w:t xml:space="preserve"> إلى </w:t>
      </w:r>
      <w:r>
        <w:rPr>
          <w:rFonts w:cs="Simplified Arabic" w:hint="cs"/>
          <w:rtl/>
        </w:rPr>
        <w:t xml:space="preserve">تيسير </w:t>
      </w:r>
      <w:r w:rsidRPr="00495FF5">
        <w:rPr>
          <w:rFonts w:cs="Simplified Arabic"/>
          <w:rtl/>
        </w:rPr>
        <w:t>إجراء حوارات بشأن الإطار العالمي للتنوع البيولوجي لما بعد عام 2020، وإتاحة نتائج هذه الحوارات من خلال آلية غرفة تبادل المعلومات في الاتفاقية والوسائل المناسبة الأخرى؛</w:t>
      </w:r>
    </w:p>
    <w:p w:rsidR="00CC7A77" w:rsidRPr="00495FF5" w:rsidRDefault="00CC7A77" w:rsidP="00CD26C5">
      <w:pPr>
        <w:pStyle w:val="ListParagraph"/>
        <w:numPr>
          <w:ilvl w:val="1"/>
          <w:numId w:val="87"/>
        </w:numPr>
        <w:bidi/>
        <w:spacing w:line="216" w:lineRule="auto"/>
        <w:ind w:left="0" w:firstLine="720"/>
        <w:rPr>
          <w:rFonts w:cs="Simplified Arabic"/>
        </w:rPr>
      </w:pPr>
      <w:r w:rsidRPr="00E835FB">
        <w:rPr>
          <w:rFonts w:cs="Simplified Arabic"/>
          <w:i/>
          <w:iCs/>
          <w:rtl/>
        </w:rPr>
        <w:t xml:space="preserve">يرحب </w:t>
      </w:r>
      <w:r w:rsidRPr="00E835FB">
        <w:rPr>
          <w:rFonts w:cs="Simplified Arabic"/>
          <w:rtl/>
        </w:rPr>
        <w:t>بالمشورة المقدمة للأطراف</w:t>
      </w:r>
      <w:r w:rsidRPr="00495FF5">
        <w:rPr>
          <w:rFonts w:cs="Simplified Arabic"/>
          <w:rtl/>
        </w:rPr>
        <w:t xml:space="preserve">، والأمانة والمنظمات الأخرى ذات الصلة للتمكين من إجراء عملية مراعية للاعتبارات الجنسانية </w:t>
      </w:r>
      <w:r>
        <w:rPr>
          <w:rFonts w:cs="Simplified Arabic" w:hint="cs"/>
          <w:rtl/>
        </w:rPr>
        <w:t xml:space="preserve">ومتوازنة بين الجنسين </w:t>
      </w:r>
      <w:r w:rsidRPr="00495FF5">
        <w:rPr>
          <w:rFonts w:cs="Simplified Arabic"/>
          <w:rtl/>
        </w:rPr>
        <w:t>من أجل إعداد الإطار العالمي للتنوع البيولوجي لما بعد عام 2020،</w:t>
      </w:r>
      <w:r w:rsidRPr="00495FF5">
        <w:rPr>
          <w:rFonts w:cs="Simplified Arabic"/>
          <w:vertAlign w:val="superscript"/>
          <w:rtl/>
        </w:rPr>
        <w:footnoteReference w:id="304"/>
      </w:r>
      <w:r w:rsidRPr="00495FF5">
        <w:rPr>
          <w:rFonts w:cs="Simplified Arabic"/>
          <w:rtl/>
        </w:rPr>
        <w:t xml:space="preserve"> </w:t>
      </w:r>
      <w:r w:rsidRPr="00495FF5">
        <w:rPr>
          <w:rFonts w:cs="Simplified Arabic"/>
          <w:i/>
          <w:iCs/>
          <w:rtl/>
        </w:rPr>
        <w:t xml:space="preserve">ويحث </w:t>
      </w:r>
      <w:r w:rsidRPr="00495FF5">
        <w:rPr>
          <w:rFonts w:cs="Simplified Arabic"/>
          <w:rtl/>
        </w:rPr>
        <w:t>الأطراف، والأمانة والمنظمات الأخرى ذات الصلة على مراعاة هذه المشورة في عملياتها المعنية بالإطار العالمي للتنوع البيولوجي لما بعد عام 2020؛</w:t>
      </w:r>
    </w:p>
    <w:p w:rsidR="00CC7A77" w:rsidRPr="003746A8" w:rsidRDefault="00CC7A77" w:rsidP="00CD26C5">
      <w:pPr>
        <w:pStyle w:val="ListParagraph"/>
        <w:numPr>
          <w:ilvl w:val="1"/>
          <w:numId w:val="87"/>
        </w:numPr>
        <w:bidi/>
        <w:spacing w:line="216" w:lineRule="auto"/>
        <w:ind w:left="0" w:firstLine="720"/>
        <w:rPr>
          <w:rFonts w:cs="Simplified Arabic"/>
        </w:rPr>
      </w:pPr>
      <w:r w:rsidRPr="00495FF5">
        <w:rPr>
          <w:rFonts w:cs="Simplified Arabic"/>
          <w:i/>
          <w:iCs/>
          <w:rtl/>
        </w:rPr>
        <w:lastRenderedPageBreak/>
        <w:t xml:space="preserve">يدعو </w:t>
      </w:r>
      <w:r w:rsidRPr="00495FF5">
        <w:rPr>
          <w:rFonts w:cs="Simplified Arabic"/>
          <w:rtl/>
        </w:rPr>
        <w:t>الأطراف، والحكومات الأخرى، وجميع المنظمات ذات الصلة وأصحاب المصلحة، بما في ذلك القطاع الخاص</w:t>
      </w:r>
      <w:r>
        <w:rPr>
          <w:rFonts w:cs="Simplified Arabic" w:hint="cs"/>
          <w:rtl/>
        </w:rPr>
        <w:t>، والشعوب الأصلية والمجتمعات المحلية، والنساء</w:t>
      </w:r>
      <w:r w:rsidRPr="00495FF5">
        <w:rPr>
          <w:rFonts w:cs="Simplified Arabic"/>
          <w:rtl/>
        </w:rPr>
        <w:t xml:space="preserve"> والشباب</w:t>
      </w:r>
      <w:r w:rsidRPr="00495FF5">
        <w:rPr>
          <w:rFonts w:cs="Simplified Arabic" w:hint="cs"/>
          <w:rtl/>
        </w:rPr>
        <w:t>،</w:t>
      </w:r>
      <w:r w:rsidRPr="00495FF5">
        <w:rPr>
          <w:rFonts w:cs="Simplified Arabic"/>
          <w:rtl/>
        </w:rPr>
        <w:t xml:space="preserve"> عند تنظيم اجتماعات ومشاورات تتعلق بالتنوع البيولوجي</w:t>
      </w:r>
      <w:r>
        <w:rPr>
          <w:rFonts w:cs="Simplified Arabic" w:hint="cs"/>
          <w:rtl/>
        </w:rPr>
        <w:t xml:space="preserve"> ووظائف وخدمات النظم الإيكولوجية</w:t>
      </w:r>
      <w:r w:rsidRPr="00495FF5">
        <w:rPr>
          <w:rFonts w:cs="Simplified Arabic"/>
          <w:rtl/>
        </w:rPr>
        <w:t xml:space="preserve">، </w:t>
      </w:r>
      <w:r>
        <w:rPr>
          <w:rFonts w:cs="Simplified Arabic" w:hint="cs"/>
          <w:rtl/>
        </w:rPr>
        <w:t xml:space="preserve">إلى النظر </w:t>
      </w:r>
      <w:r w:rsidRPr="00495FF5">
        <w:rPr>
          <w:rFonts w:cs="Simplified Arabic"/>
          <w:rtl/>
        </w:rPr>
        <w:t xml:space="preserve">في دورات أو مساحات </w:t>
      </w:r>
      <w:r>
        <w:rPr>
          <w:rFonts w:cs="Simplified Arabic" w:hint="cs"/>
          <w:rtl/>
        </w:rPr>
        <w:t xml:space="preserve">مخصصة </w:t>
      </w:r>
      <w:r w:rsidRPr="00495FF5">
        <w:rPr>
          <w:rFonts w:cs="Simplified Arabic"/>
          <w:rtl/>
        </w:rPr>
        <w:t>لتيسير إجراء مناقشات بشأن إعداد الإطار العالمي للتنوع البيولوجي لما بعد عام 2020؛</w:t>
      </w:r>
    </w:p>
    <w:p w:rsidR="00CC7A77" w:rsidRDefault="00CC7A77" w:rsidP="00CD26C5">
      <w:pPr>
        <w:pStyle w:val="ListParagraph"/>
        <w:numPr>
          <w:ilvl w:val="1"/>
          <w:numId w:val="87"/>
        </w:numPr>
        <w:bidi/>
        <w:spacing w:line="216" w:lineRule="auto"/>
        <w:ind w:left="0" w:firstLine="720"/>
        <w:rPr>
          <w:rFonts w:cs="Simplified Arabic"/>
        </w:rPr>
      </w:pPr>
      <w:r>
        <w:rPr>
          <w:rFonts w:cs="Simplified Arabic" w:hint="cs"/>
          <w:i/>
          <w:iCs/>
          <w:rtl/>
        </w:rPr>
        <w:t>يحث</w:t>
      </w:r>
      <w:r w:rsidRPr="00495FF5">
        <w:rPr>
          <w:rFonts w:cs="Simplified Arabic"/>
          <w:i/>
          <w:iCs/>
          <w:rtl/>
        </w:rPr>
        <w:t xml:space="preserve"> </w:t>
      </w:r>
      <w:r w:rsidRPr="00495FF5">
        <w:rPr>
          <w:rFonts w:cs="Simplified Arabic"/>
          <w:rtl/>
        </w:rPr>
        <w:t>الأطراف، و</w:t>
      </w:r>
      <w:r>
        <w:rPr>
          <w:rFonts w:cs="Simplified Arabic" w:hint="cs"/>
          <w:rtl/>
        </w:rPr>
        <w:t xml:space="preserve">فقا لقدراتها، </w:t>
      </w:r>
      <w:r w:rsidRPr="001F32E8">
        <w:rPr>
          <w:rFonts w:cs="Simplified Arabic" w:hint="cs"/>
          <w:i/>
          <w:iCs/>
          <w:rtl/>
        </w:rPr>
        <w:t>ويشجع</w:t>
      </w:r>
      <w:r>
        <w:rPr>
          <w:rFonts w:cs="Simplified Arabic" w:hint="cs"/>
          <w:rtl/>
        </w:rPr>
        <w:t xml:space="preserve"> </w:t>
      </w:r>
      <w:r w:rsidRPr="00495FF5">
        <w:rPr>
          <w:rFonts w:cs="Simplified Arabic"/>
          <w:rtl/>
        </w:rPr>
        <w:t xml:space="preserve">الحكومات الأخرى، وجميع المنظمات ذات الصلة وأصحاب المصلحة القادرين على تقديم مساهمات مالية في التوقيت المناسب وغير ذلك من الدعم لعملية إعداد الإطار العالمي للتنوع البيولوجي لما بعد عام 2020، بما في ذلك من خلال عرض استضافة مشاورات عالمية، أو إقليمية، أو قطاعية </w:t>
      </w:r>
      <w:r>
        <w:rPr>
          <w:rFonts w:cs="Simplified Arabic" w:hint="cs"/>
          <w:rtl/>
        </w:rPr>
        <w:t xml:space="preserve">أو مواضيعية </w:t>
      </w:r>
      <w:r w:rsidRPr="00495FF5">
        <w:rPr>
          <w:rFonts w:cs="Simplified Arabic"/>
          <w:rtl/>
        </w:rPr>
        <w:t>بشأن هذه القضية، إلى أن تقوم بذلك؛</w:t>
      </w:r>
    </w:p>
    <w:p w:rsidR="00CC7A77" w:rsidRDefault="00CC7A77" w:rsidP="00CC7A77">
      <w:pPr>
        <w:ind w:firstLine="720"/>
        <w:rPr>
          <w:rtl/>
        </w:rPr>
      </w:pPr>
      <w:r>
        <w:rPr>
          <w:rFonts w:hint="cs"/>
          <w:rtl/>
        </w:rPr>
        <w:t>11-</w:t>
      </w:r>
      <w:r>
        <w:rPr>
          <w:rFonts w:hint="cs"/>
          <w:rtl/>
        </w:rPr>
        <w:tab/>
      </w:r>
      <w:r w:rsidRPr="001F32E8">
        <w:rPr>
          <w:rFonts w:hint="cs"/>
          <w:i/>
          <w:iCs/>
          <w:rtl/>
        </w:rPr>
        <w:t>يدعو</w:t>
      </w:r>
      <w:r w:rsidRPr="001F32E8">
        <w:rPr>
          <w:i/>
          <w:iCs/>
          <w:rtl/>
        </w:rPr>
        <w:t xml:space="preserve"> </w:t>
      </w:r>
      <w:r w:rsidRPr="001F32E8">
        <w:rPr>
          <w:rtl/>
        </w:rPr>
        <w:t xml:space="preserve">الأطراف </w:t>
      </w:r>
      <w:r>
        <w:rPr>
          <w:rFonts w:hint="cs"/>
          <w:rtl/>
        </w:rPr>
        <w:t>و</w:t>
      </w:r>
      <w:r w:rsidRPr="001F32E8">
        <w:rPr>
          <w:rtl/>
        </w:rPr>
        <w:t>الحكومات الأخرى</w:t>
      </w:r>
      <w:r>
        <w:rPr>
          <w:rFonts w:hint="cs"/>
          <w:rtl/>
        </w:rPr>
        <w:t>، فرديا أو في تحالفات،</w:t>
      </w:r>
      <w:r w:rsidRPr="001F32E8">
        <w:rPr>
          <w:rtl/>
        </w:rPr>
        <w:t xml:space="preserve"> إلى النظر في أن تقوم بإعداد، حسبما يلائم السياق الوطني وعلى أساس طوعي، </w:t>
      </w:r>
      <w:r w:rsidRPr="001F32E8">
        <w:rPr>
          <w:rFonts w:hint="cs"/>
          <w:rtl/>
        </w:rPr>
        <w:t>التزامات</w:t>
      </w:r>
      <w:r w:rsidRPr="001F32E8">
        <w:rPr>
          <w:rtl/>
        </w:rPr>
        <w:t xml:space="preserve"> للتنوع البيولوجي </w:t>
      </w:r>
      <w:r w:rsidRPr="001F32E8">
        <w:rPr>
          <w:rFonts w:hint="cs"/>
          <w:rtl/>
        </w:rPr>
        <w:t xml:space="preserve">التي </w:t>
      </w:r>
      <w:r>
        <w:rPr>
          <w:rFonts w:hint="cs"/>
          <w:rtl/>
        </w:rPr>
        <w:t xml:space="preserve">تسهم في تحقيق الأهداف الثلاثة للاتفاقية، وتعزز الاستراتيجيات وخطط العمل الوطنية للتنوع البيولوجي، وتيسر تحقيق أهداف أيشي للتنوع البيولوجي وتسهم في </w:t>
      </w:r>
      <w:r w:rsidRPr="001F32E8">
        <w:rPr>
          <w:rtl/>
        </w:rPr>
        <w:t xml:space="preserve">إطار </w:t>
      </w:r>
      <w:r>
        <w:rPr>
          <w:rFonts w:hint="cs"/>
          <w:rtl/>
        </w:rPr>
        <w:t xml:space="preserve">عالمي </w:t>
      </w:r>
      <w:r w:rsidRPr="001F32E8">
        <w:rPr>
          <w:rtl/>
        </w:rPr>
        <w:t xml:space="preserve">فعال للتنوع البيولوجي لما بعد عام 2020، </w:t>
      </w:r>
      <w:r>
        <w:rPr>
          <w:rFonts w:hint="cs"/>
          <w:rtl/>
        </w:rPr>
        <w:t xml:space="preserve">دون الإخلال بنتائج العملية لإعداد هذا الإطار، والمساهمة في </w:t>
      </w:r>
      <w:r w:rsidRPr="001F32E8">
        <w:rPr>
          <w:rtl/>
        </w:rPr>
        <w:t xml:space="preserve">تحقيق رؤية </w:t>
      </w:r>
      <w:r w:rsidRPr="001F32E8">
        <w:rPr>
          <w:rFonts w:hint="cs"/>
          <w:rtl/>
        </w:rPr>
        <w:t>عام 2050 ل</w:t>
      </w:r>
      <w:r w:rsidRPr="001F32E8">
        <w:rPr>
          <w:rtl/>
        </w:rPr>
        <w:t>لتنوع البيولوجي</w:t>
      </w:r>
      <w:r w:rsidRPr="001F32E8">
        <w:rPr>
          <w:rFonts w:hint="cs"/>
          <w:rtl/>
        </w:rPr>
        <w:t>،</w:t>
      </w:r>
      <w:r w:rsidRPr="001F32E8">
        <w:rPr>
          <w:i/>
          <w:iCs/>
          <w:rtl/>
        </w:rPr>
        <w:t xml:space="preserve"> </w:t>
      </w:r>
      <w:r w:rsidRPr="001F32E8">
        <w:rPr>
          <w:rFonts w:hint="cs"/>
          <w:rtl/>
        </w:rPr>
        <w:t>و</w:t>
      </w:r>
      <w:r>
        <w:rPr>
          <w:rFonts w:hint="cs"/>
          <w:rtl/>
        </w:rPr>
        <w:t>تبادل</w:t>
      </w:r>
      <w:r w:rsidRPr="001F32E8">
        <w:rPr>
          <w:rtl/>
        </w:rPr>
        <w:t xml:space="preserve"> المعلومات بشأن هذه ال</w:t>
      </w:r>
      <w:r w:rsidRPr="001F32E8">
        <w:rPr>
          <w:rFonts w:hint="cs"/>
          <w:rtl/>
        </w:rPr>
        <w:t>التزامات</w:t>
      </w:r>
      <w:r w:rsidRPr="001F32E8">
        <w:rPr>
          <w:rtl/>
        </w:rPr>
        <w:t xml:space="preserve"> </w:t>
      </w:r>
      <w:r>
        <w:rPr>
          <w:rFonts w:hint="cs"/>
          <w:rtl/>
        </w:rPr>
        <w:t>من خلال آلية غرفة تبادل المعلومات ووسائل أخرى؛</w:t>
      </w:r>
    </w:p>
    <w:p w:rsidR="00CC7A77" w:rsidRDefault="00CC7A77" w:rsidP="00CC7A77">
      <w:pPr>
        <w:ind w:firstLine="720"/>
        <w:rPr>
          <w:rtl/>
        </w:rPr>
      </w:pPr>
      <w:r>
        <w:rPr>
          <w:rFonts w:hint="cs"/>
          <w:rtl/>
        </w:rPr>
        <w:t>12</w:t>
      </w:r>
      <w:r>
        <w:rPr>
          <w:rFonts w:hint="cs"/>
          <w:rtl/>
        </w:rPr>
        <w:tab/>
      </w:r>
      <w:r w:rsidRPr="001F32E8">
        <w:rPr>
          <w:rFonts w:hint="cs"/>
          <w:i/>
          <w:iCs/>
          <w:rtl/>
        </w:rPr>
        <w:t>يشجع</w:t>
      </w:r>
      <w:r>
        <w:rPr>
          <w:rFonts w:hint="cs"/>
          <w:rtl/>
        </w:rPr>
        <w:t xml:space="preserve"> الشعوب الأصلية والمجتمعات المحلية وجميع المنظمات وأصحاب المصلحة ذوي الصلة بما في ذلك القطاع الخاص إلى النظر في إعداد، قبل الاجتماع الخامس عشر لمؤتمر الأطراف، التزامات التنوع البيولوجي التي يمكن أن تسهم في إطار عالمي فعال للتنوع البيولوجي لما بعد عام 2020 وإتاحة هذه المعلومات كمساهمة في خطة عمل شرم الشيخ إلى بيجين من أجل الطبيعة والناس؛</w:t>
      </w:r>
      <w:r>
        <w:rPr>
          <w:rStyle w:val="FootnoteReference"/>
          <w:rtl/>
        </w:rPr>
        <w:footnoteReference w:id="305"/>
      </w:r>
    </w:p>
    <w:p w:rsidR="00CC7A77" w:rsidRPr="00861B6D" w:rsidRDefault="00CC7A77" w:rsidP="00CC7A77">
      <w:pPr>
        <w:ind w:firstLine="720"/>
      </w:pPr>
      <w:r>
        <w:rPr>
          <w:rFonts w:hint="cs"/>
          <w:rtl/>
        </w:rPr>
        <w:t>13-</w:t>
      </w:r>
      <w:r>
        <w:rPr>
          <w:rFonts w:hint="cs"/>
          <w:rtl/>
        </w:rPr>
        <w:tab/>
      </w:r>
      <w:r w:rsidRPr="00861B6D">
        <w:rPr>
          <w:i/>
          <w:iCs/>
          <w:rtl/>
        </w:rPr>
        <w:t xml:space="preserve">يدعو </w:t>
      </w:r>
      <w:r w:rsidRPr="00861B6D">
        <w:rPr>
          <w:rtl/>
        </w:rPr>
        <w:t>الجمعية العامة للأمم المتحدة إلى عقد قمة رفيعة المستوى للتنوع البيولوجي على مستوى رؤساء الدول/رؤساء الحكومات في عام 2020 بهدف تعزيز المكانة السياسية للتنوع البيولوجي ومساهمته في خطة التنمية المستدامة لعام 2030</w:t>
      </w:r>
      <w:r w:rsidRPr="00495FF5">
        <w:rPr>
          <w:vertAlign w:val="superscript"/>
          <w:rtl/>
        </w:rPr>
        <w:footnoteReference w:id="306"/>
      </w:r>
      <w:r w:rsidRPr="00861B6D">
        <w:rPr>
          <w:rtl/>
        </w:rPr>
        <w:t xml:space="preserve"> </w:t>
      </w:r>
      <w:r>
        <w:rPr>
          <w:rFonts w:hint="cs"/>
          <w:rtl/>
        </w:rPr>
        <w:t>و</w:t>
      </w:r>
      <w:r w:rsidRPr="00861B6D">
        <w:rPr>
          <w:rtl/>
        </w:rPr>
        <w:t>في إعداد إطار عالمي قوي للتنوع البيولوجي لما بعد عام 2020؛</w:t>
      </w:r>
    </w:p>
    <w:p w:rsidR="00CC7A77" w:rsidRPr="00861B6D" w:rsidRDefault="00CC7A77" w:rsidP="00CC7A77">
      <w:pPr>
        <w:pStyle w:val="ListParagraph"/>
        <w:bidi/>
        <w:spacing w:line="216" w:lineRule="auto"/>
        <w:ind w:left="0" w:firstLine="720"/>
        <w:rPr>
          <w:rFonts w:cs="Simplified Arabic"/>
          <w:rtl/>
        </w:rPr>
      </w:pPr>
      <w:r>
        <w:rPr>
          <w:rFonts w:cs="Simplified Arabic" w:hint="cs"/>
          <w:rtl/>
        </w:rPr>
        <w:t>14-</w:t>
      </w:r>
      <w:r>
        <w:rPr>
          <w:rFonts w:cs="Simplified Arabic" w:hint="cs"/>
          <w:rtl/>
        </w:rPr>
        <w:tab/>
      </w:r>
      <w:r w:rsidRPr="00CB7E9A">
        <w:rPr>
          <w:rFonts w:cs="Simplified Arabic" w:hint="cs"/>
          <w:i/>
          <w:iCs/>
          <w:rtl/>
        </w:rPr>
        <w:t>يشجع</w:t>
      </w:r>
      <w:r w:rsidRPr="00CB7E9A">
        <w:rPr>
          <w:rFonts w:cs="Simplified Arabic" w:hint="cs"/>
          <w:rtl/>
        </w:rPr>
        <w:t xml:space="preserve"> الأطراف على استكشاف</w:t>
      </w:r>
      <w:r>
        <w:rPr>
          <w:rFonts w:cs="Simplified Arabic" w:hint="cs"/>
          <w:rtl/>
        </w:rPr>
        <w:t xml:space="preserve"> الفرص للمشاركة الإقليمية رفيعة المستوى في العملية التحضيرية للإطار العالمي للتنوع البيولوجي لما بعد عام 2020؛</w:t>
      </w:r>
    </w:p>
    <w:p w:rsidR="00CC7A77" w:rsidRDefault="00CC7A77" w:rsidP="00CD26C5">
      <w:pPr>
        <w:pStyle w:val="ListParagraph"/>
        <w:numPr>
          <w:ilvl w:val="0"/>
          <w:numId w:val="89"/>
        </w:numPr>
        <w:bidi/>
        <w:spacing w:line="216" w:lineRule="auto"/>
        <w:ind w:left="0" w:firstLine="720"/>
        <w:rPr>
          <w:rFonts w:cs="Simplified Arabic"/>
        </w:rPr>
      </w:pPr>
      <w:r w:rsidRPr="00861B6D">
        <w:rPr>
          <w:rFonts w:cs="Simplified Arabic"/>
          <w:i/>
          <w:iCs/>
          <w:rtl/>
        </w:rPr>
        <w:t xml:space="preserve">يلاحظ </w:t>
      </w:r>
      <w:r w:rsidRPr="00861B6D">
        <w:rPr>
          <w:rFonts w:cs="Simplified Arabic"/>
          <w:rtl/>
        </w:rPr>
        <w:t xml:space="preserve">أن للعديد من الأهداف المتعلقة بالتنوع البيولوجي في إطار خطة التنمية المستدامة لعام 2030 نقاطا نهائية في عام 2020، </w:t>
      </w:r>
      <w:r w:rsidRPr="00861B6D">
        <w:rPr>
          <w:rFonts w:cs="Simplified Arabic"/>
          <w:i/>
          <w:iCs/>
          <w:rtl/>
        </w:rPr>
        <w:t xml:space="preserve">ويطلب إلى </w:t>
      </w:r>
      <w:r w:rsidRPr="00861B6D">
        <w:rPr>
          <w:rFonts w:cs="Simplified Arabic"/>
          <w:rtl/>
        </w:rPr>
        <w:t>الأمينة التنفيذية توجيه انتباه الجمعية العامة للأمم المتحدة إلى العملية التحضيرية للإطار العالمي للتنوع البيولوجي لما بعد عام 2020؛</w:t>
      </w:r>
    </w:p>
    <w:p w:rsidR="00CC7A77" w:rsidRDefault="00CC7A77" w:rsidP="00CD26C5">
      <w:pPr>
        <w:pStyle w:val="ListParagraph"/>
        <w:numPr>
          <w:ilvl w:val="0"/>
          <w:numId w:val="89"/>
        </w:numPr>
        <w:bidi/>
        <w:spacing w:line="216" w:lineRule="auto"/>
        <w:ind w:left="0" w:firstLine="720"/>
        <w:rPr>
          <w:rFonts w:cs="Simplified Arabic"/>
        </w:rPr>
      </w:pPr>
      <w:r w:rsidRPr="00861B6D">
        <w:rPr>
          <w:rFonts w:cs="Simplified Arabic"/>
          <w:i/>
          <w:iCs/>
          <w:rtl/>
        </w:rPr>
        <w:t xml:space="preserve">يطلب إلى </w:t>
      </w:r>
      <w:r w:rsidRPr="00861B6D">
        <w:rPr>
          <w:rFonts w:cs="Simplified Arabic"/>
          <w:rtl/>
        </w:rPr>
        <w:t>الهيئة الفرعية للمشورة العلمية والتقنية والتكنولوجية أن تساهم في اجتماع</w:t>
      </w:r>
      <w:r>
        <w:rPr>
          <w:rFonts w:cs="Simplified Arabic" w:hint="cs"/>
          <w:rtl/>
        </w:rPr>
        <w:t>ي</w:t>
      </w:r>
      <w:r w:rsidRPr="00861B6D">
        <w:rPr>
          <w:rFonts w:cs="Simplified Arabic"/>
          <w:rtl/>
        </w:rPr>
        <w:t xml:space="preserve">ها الثالث والعشرين </w:t>
      </w:r>
      <w:r>
        <w:rPr>
          <w:rFonts w:cs="Simplified Arabic" w:hint="cs"/>
          <w:rtl/>
        </w:rPr>
        <w:t xml:space="preserve">والرابع والعشرين </w:t>
      </w:r>
      <w:r w:rsidRPr="00861B6D">
        <w:rPr>
          <w:rFonts w:cs="Simplified Arabic"/>
          <w:rtl/>
        </w:rPr>
        <w:t xml:space="preserve">في إعداد </w:t>
      </w:r>
      <w:r>
        <w:rPr>
          <w:rFonts w:cs="Simplified Arabic" w:hint="cs"/>
          <w:rtl/>
        </w:rPr>
        <w:t>ا</w:t>
      </w:r>
      <w:r w:rsidRPr="00861B6D">
        <w:rPr>
          <w:rFonts w:cs="Simplified Arabic"/>
          <w:rtl/>
        </w:rPr>
        <w:t>لإطار ا</w:t>
      </w:r>
      <w:r>
        <w:rPr>
          <w:rFonts w:cs="Simplified Arabic" w:hint="cs"/>
          <w:rtl/>
        </w:rPr>
        <w:t>لعالمي ل</w:t>
      </w:r>
      <w:r w:rsidRPr="00861B6D">
        <w:rPr>
          <w:rFonts w:cs="Simplified Arabic"/>
          <w:rtl/>
        </w:rPr>
        <w:t xml:space="preserve">لتنوع البيولوجي لما بعد عام 2020، </w:t>
      </w:r>
      <w:r>
        <w:rPr>
          <w:rFonts w:cs="Simplified Arabic" w:hint="cs"/>
          <w:rtl/>
        </w:rPr>
        <w:t>وفي دعم العمل الذي يضطلع به الفريق المفتوح العضوية العامل بين الدورات</w:t>
      </w:r>
      <w:r w:rsidRPr="00861B6D">
        <w:rPr>
          <w:rFonts w:cs="Simplified Arabic"/>
          <w:rtl/>
        </w:rPr>
        <w:t>؛</w:t>
      </w:r>
    </w:p>
    <w:p w:rsidR="00CC7A77" w:rsidRPr="00861B6D" w:rsidRDefault="00CC7A77" w:rsidP="00CD26C5">
      <w:pPr>
        <w:pStyle w:val="ListParagraph"/>
        <w:numPr>
          <w:ilvl w:val="0"/>
          <w:numId w:val="89"/>
        </w:numPr>
        <w:bidi/>
        <w:spacing w:line="216" w:lineRule="auto"/>
        <w:ind w:left="0" w:firstLine="720"/>
        <w:rPr>
          <w:rFonts w:cs="Simplified Arabic"/>
        </w:rPr>
      </w:pPr>
      <w:r w:rsidRPr="00136BFC">
        <w:rPr>
          <w:rFonts w:cs="Simplified Arabic" w:hint="cs"/>
          <w:i/>
          <w:iCs/>
          <w:rtl/>
        </w:rPr>
        <w:t>يطلب</w:t>
      </w:r>
      <w:r>
        <w:rPr>
          <w:rFonts w:cs="Simplified Arabic" w:hint="cs"/>
          <w:rtl/>
        </w:rPr>
        <w:t xml:space="preserve"> </w:t>
      </w:r>
      <w:r w:rsidRPr="00136BFC">
        <w:rPr>
          <w:rFonts w:cs="Simplified Arabic" w:hint="cs"/>
          <w:i/>
          <w:iCs/>
          <w:rtl/>
        </w:rPr>
        <w:t>إلى</w:t>
      </w:r>
      <w:r>
        <w:rPr>
          <w:rFonts w:cs="Simplified Arabic" w:hint="cs"/>
          <w:rtl/>
        </w:rPr>
        <w:t xml:space="preserve"> الفريق العامل المفتوح العضوية المخصص للمادة 8(ي) والأحكام المتصلة بها، في اجتماعه الحادي عشر، أن يقدم توصيات بخصوص الدور المحتمل للمعارف التقليدية، والاستخدام المألوف المستدام ومساهمة العمل الجماعي للشعوب الأصلية والمجتمعات المحلية في الإطار العالمي للتنوع البيولوجي لما بعد عام 2020، دعما للعمل الذي يضطلع به الفريق المفتوح العضوية العامل بين الدورات</w:t>
      </w:r>
      <w:r w:rsidRPr="00861B6D">
        <w:rPr>
          <w:rFonts w:cs="Simplified Arabic"/>
          <w:rtl/>
        </w:rPr>
        <w:t>؛</w:t>
      </w:r>
    </w:p>
    <w:p w:rsidR="00CC7A77" w:rsidRPr="00CC7A77" w:rsidRDefault="00CC7A77" w:rsidP="00CD26C5">
      <w:pPr>
        <w:pStyle w:val="ListParagraph"/>
        <w:numPr>
          <w:ilvl w:val="0"/>
          <w:numId w:val="89"/>
        </w:numPr>
        <w:bidi/>
        <w:spacing w:line="216" w:lineRule="auto"/>
        <w:ind w:left="0" w:firstLine="720"/>
        <w:rPr>
          <w:rFonts w:cs="Simplified Arabic"/>
          <w:spacing w:val="-8"/>
        </w:rPr>
      </w:pPr>
      <w:r w:rsidRPr="00136BFC">
        <w:rPr>
          <w:rFonts w:cs="Simplified Arabic" w:hint="cs"/>
          <w:i/>
          <w:iCs/>
          <w:rtl/>
        </w:rPr>
        <w:lastRenderedPageBreak/>
        <w:t>يطلب إلى</w:t>
      </w:r>
      <w:r>
        <w:rPr>
          <w:rFonts w:cs="Simplified Arabic" w:hint="cs"/>
          <w:rtl/>
        </w:rPr>
        <w:t xml:space="preserve"> الهيئة الفرعية للتنفيذ، في اجتماعها الثالث، أن تساهم في إعداد الإطار العالمي للتنوع البيولوجي لما بعد عام 2020، الذي أعده </w:t>
      </w:r>
      <w:r w:rsidRPr="00667C28">
        <w:rPr>
          <w:rFonts w:cs="Simplified Arabic" w:hint="cs"/>
          <w:spacing w:val="-6"/>
          <w:rtl/>
        </w:rPr>
        <w:t>الفريق المفتوح العضوية العامل بين الدورات،</w:t>
      </w:r>
      <w:r w:rsidRPr="00667C28">
        <w:rPr>
          <w:rFonts w:cs="Simplified Arabic" w:hint="cs"/>
          <w:spacing w:val="-4"/>
          <w:rtl/>
        </w:rPr>
        <w:t xml:space="preserve"> </w:t>
      </w:r>
      <w:r w:rsidRPr="00667C28">
        <w:rPr>
          <w:rFonts w:cs="Simplified Arabic" w:hint="cs"/>
          <w:spacing w:val="-6"/>
          <w:rtl/>
        </w:rPr>
        <w:t xml:space="preserve">وأن تكمله </w:t>
      </w:r>
      <w:r w:rsidRPr="00CC7A77">
        <w:rPr>
          <w:rFonts w:cs="Simplified Arabic" w:hint="cs"/>
          <w:spacing w:val="-8"/>
          <w:rtl/>
        </w:rPr>
        <w:t>بعناصر تتعلق بوسائل دعم واستعراض التنفيذ؛</w:t>
      </w:r>
    </w:p>
    <w:p w:rsidR="00CC7A77" w:rsidRDefault="00CC7A77" w:rsidP="00CD26C5">
      <w:pPr>
        <w:pStyle w:val="ListParagraph"/>
        <w:numPr>
          <w:ilvl w:val="0"/>
          <w:numId w:val="89"/>
        </w:numPr>
        <w:bidi/>
        <w:spacing w:line="216" w:lineRule="auto"/>
        <w:ind w:left="0" w:firstLine="720"/>
        <w:rPr>
          <w:rFonts w:cs="Simplified Arabic"/>
        </w:rPr>
      </w:pPr>
      <w:r w:rsidRPr="00861B6D">
        <w:rPr>
          <w:rFonts w:cs="Simplified Arabic"/>
          <w:i/>
          <w:iCs/>
          <w:rtl/>
        </w:rPr>
        <w:t xml:space="preserve">يطلب </w:t>
      </w:r>
      <w:r>
        <w:rPr>
          <w:rFonts w:cs="Simplified Arabic" w:hint="cs"/>
          <w:rtl/>
        </w:rPr>
        <w:t>إلى الرئيسين المشاركين للفريق العامل المفتوح العضوية أن يقدما مزيدا من الإرشادات بشأن عناصر العمل لإعداد ا</w:t>
      </w:r>
      <w:r w:rsidRPr="00861B6D">
        <w:rPr>
          <w:rFonts w:cs="Simplified Arabic"/>
          <w:rtl/>
        </w:rPr>
        <w:t>لإطار العالمي للتنوع البيولوجي لما بعد عام 2020</w:t>
      </w:r>
      <w:r>
        <w:rPr>
          <w:rFonts w:cs="Simplified Arabic" w:hint="cs"/>
          <w:rtl/>
        </w:rPr>
        <w:t xml:space="preserve"> الذي ستضطلع به </w:t>
      </w:r>
      <w:r>
        <w:rPr>
          <w:rFonts w:cs="Simplified Arabic" w:hint="cs"/>
          <w:rtl/>
          <w:lang w:bidi="ar-SA"/>
        </w:rPr>
        <w:t>ا</w:t>
      </w:r>
      <w:r w:rsidRPr="008850FC">
        <w:rPr>
          <w:rFonts w:cs="Simplified Arabic" w:hint="cs"/>
          <w:rtl/>
          <w:lang w:bidi="ar-SA"/>
        </w:rPr>
        <w:t>لهيئة الفرعية للمشورة العلمية والتقنية والتكنولوجية</w:t>
      </w:r>
      <w:r>
        <w:rPr>
          <w:rFonts w:cs="Simplified Arabic" w:hint="cs"/>
          <w:rtl/>
        </w:rPr>
        <w:t xml:space="preserve"> في اجتماعيها الثالث والعشرين والرابع والعشرين، و</w:t>
      </w:r>
      <w:r>
        <w:rPr>
          <w:rFonts w:cs="Simplified Arabic" w:hint="cs"/>
          <w:rtl/>
          <w:lang w:bidi="ar-SA"/>
        </w:rPr>
        <w:t>ا</w:t>
      </w:r>
      <w:r w:rsidRPr="008850FC">
        <w:rPr>
          <w:rFonts w:cs="Simplified Arabic" w:hint="cs"/>
          <w:rtl/>
          <w:lang w:bidi="ar-SA"/>
        </w:rPr>
        <w:t xml:space="preserve">لهيئة الفرعية للتنفيذ </w:t>
      </w:r>
      <w:r>
        <w:rPr>
          <w:rFonts w:cs="Simplified Arabic" w:hint="cs"/>
          <w:rtl/>
        </w:rPr>
        <w:t>في اجتماعها الثالث و</w:t>
      </w:r>
      <w:r>
        <w:rPr>
          <w:rFonts w:cs="Simplified Arabic" w:hint="cs"/>
          <w:rtl/>
          <w:lang w:bidi="ar-SA"/>
        </w:rPr>
        <w:t>ا</w:t>
      </w:r>
      <w:r w:rsidRPr="008850FC">
        <w:rPr>
          <w:rFonts w:cs="Simplified Arabic" w:hint="cs"/>
          <w:rtl/>
          <w:lang w:bidi="ar-SA"/>
        </w:rPr>
        <w:t xml:space="preserve">لفريق العامل المفتوح العضوية </w:t>
      </w:r>
      <w:r>
        <w:rPr>
          <w:rFonts w:cs="Simplified Arabic" w:hint="cs"/>
          <w:rtl/>
          <w:lang w:bidi="ar-SA"/>
        </w:rPr>
        <w:t>المخصص لل</w:t>
      </w:r>
      <w:r w:rsidRPr="008850FC">
        <w:rPr>
          <w:rFonts w:cs="Simplified Arabic" w:hint="cs"/>
          <w:rtl/>
          <w:lang w:bidi="ar-SA"/>
        </w:rPr>
        <w:t>مادة 8(</w:t>
      </w:r>
      <w:r>
        <w:rPr>
          <w:rFonts w:cs="Simplified Arabic" w:hint="cs"/>
          <w:rtl/>
          <w:lang w:bidi="ar-SA"/>
        </w:rPr>
        <w:t>ي</w:t>
      </w:r>
      <w:r w:rsidRPr="008850FC">
        <w:rPr>
          <w:rFonts w:cs="Simplified Arabic" w:hint="cs"/>
          <w:rtl/>
          <w:lang w:bidi="ar-SA"/>
        </w:rPr>
        <w:t>)</w:t>
      </w:r>
      <w:r>
        <w:rPr>
          <w:rFonts w:cs="Simplified Arabic" w:hint="cs"/>
          <w:rtl/>
          <w:lang w:bidi="ar-SA"/>
        </w:rPr>
        <w:t xml:space="preserve"> والأحكام المتصلة بها في </w:t>
      </w:r>
      <w:r>
        <w:rPr>
          <w:rFonts w:cs="Simplified Arabic" w:hint="cs"/>
          <w:rtl/>
        </w:rPr>
        <w:t>اجتماعه الحادي عشر، وأن يدمجا نتائج هذه الاجتماعات مع الاعتبارات الأخرى في مشروعه للإطار، وأن يواصلا تطويره بهدف تقديم المشروع النهائي للإطار إلى مؤتمر الأطراف في اجتماعه الخامس عشر؛</w:t>
      </w:r>
    </w:p>
    <w:p w:rsidR="00CC7A77" w:rsidRDefault="00CC7A77" w:rsidP="00CD26C5">
      <w:pPr>
        <w:pStyle w:val="ListParagraph"/>
        <w:numPr>
          <w:ilvl w:val="0"/>
          <w:numId w:val="89"/>
        </w:numPr>
        <w:bidi/>
        <w:spacing w:line="216" w:lineRule="auto"/>
        <w:ind w:left="0" w:firstLine="720"/>
        <w:rPr>
          <w:rFonts w:cs="Simplified Arabic"/>
        </w:rPr>
      </w:pPr>
      <w:r w:rsidRPr="00955DC0">
        <w:rPr>
          <w:rFonts w:cs="Simplified Arabic" w:hint="cs"/>
          <w:i/>
          <w:iCs/>
          <w:rtl/>
        </w:rPr>
        <w:t>يطلب إلى</w:t>
      </w:r>
      <w:r>
        <w:rPr>
          <w:rFonts w:cs="Simplified Arabic" w:hint="cs"/>
          <w:rtl/>
        </w:rPr>
        <w:t xml:space="preserve"> الأمينة التنفيذية أن تزود الرئيسين المشاركين للفريق المفتوح العضوية العامل بين الدورات ومكتبي مؤتمر الأطراف والهيئة الفرعية للمشورة العلمية والتقنية والتكنولوجية في أقرب وقت ممكن بعرض عام للمقررات المعتمدة في الاجتماع الرابع عشر لمؤتمر الأطراف ذات الصلة بإعداد الإطار العالمي للتنوع البيولوجي لما بعد عام 2020؛</w:t>
      </w:r>
    </w:p>
    <w:p w:rsidR="00CC7A77" w:rsidRDefault="00CC7A77" w:rsidP="00CD26C5">
      <w:pPr>
        <w:pStyle w:val="ListParagraph"/>
        <w:numPr>
          <w:ilvl w:val="0"/>
          <w:numId w:val="89"/>
        </w:numPr>
        <w:bidi/>
        <w:spacing w:line="216" w:lineRule="auto"/>
        <w:ind w:left="0" w:firstLine="720"/>
        <w:rPr>
          <w:rFonts w:cs="Simplified Arabic"/>
        </w:rPr>
      </w:pPr>
      <w:r>
        <w:rPr>
          <w:rFonts w:cs="Simplified Arabic" w:hint="cs"/>
          <w:i/>
          <w:iCs/>
          <w:rtl/>
        </w:rPr>
        <w:t xml:space="preserve">يحيط علما </w:t>
      </w:r>
      <w:r>
        <w:rPr>
          <w:rFonts w:cs="Simplified Arabic" w:hint="cs"/>
          <w:rtl/>
        </w:rPr>
        <w:t>بالمقرر 14/20 المتعلق بمعلومات التسلسل الرقمي بشأن الموارد الجينية.</w:t>
      </w:r>
    </w:p>
    <w:p w:rsidR="00CC7A77" w:rsidRPr="00F24D32" w:rsidRDefault="00CC7A77" w:rsidP="00CC7A77">
      <w:pPr>
        <w:kinsoku w:val="0"/>
        <w:overflowPunct w:val="0"/>
        <w:autoSpaceDE w:val="0"/>
        <w:autoSpaceDN w:val="0"/>
        <w:adjustRightInd w:val="0"/>
        <w:snapToGrid w:val="0"/>
        <w:jc w:val="center"/>
        <w:rPr>
          <w:i/>
          <w:iCs/>
          <w:snapToGrid w:val="0"/>
          <w:kern w:val="22"/>
          <w:rtl/>
        </w:rPr>
      </w:pPr>
      <w:r w:rsidRPr="00F24D32">
        <w:rPr>
          <w:rFonts w:hint="cs"/>
          <w:i/>
          <w:iCs/>
          <w:snapToGrid w:val="0"/>
          <w:kern w:val="22"/>
          <w:rtl/>
        </w:rPr>
        <w:t>المرفق الأول</w:t>
      </w:r>
    </w:p>
    <w:p w:rsidR="00CC7A77" w:rsidRPr="00A92945" w:rsidRDefault="00CC7A77" w:rsidP="00CC7A77">
      <w:pPr>
        <w:kinsoku w:val="0"/>
        <w:overflowPunct w:val="0"/>
        <w:autoSpaceDE w:val="0"/>
        <w:autoSpaceDN w:val="0"/>
        <w:adjustRightInd w:val="0"/>
        <w:snapToGrid w:val="0"/>
        <w:spacing w:after="100" w:line="204" w:lineRule="auto"/>
        <w:jc w:val="center"/>
        <w:rPr>
          <w:b/>
          <w:bCs/>
          <w:snapToGrid w:val="0"/>
          <w:kern w:val="22"/>
          <w:rtl/>
        </w:rPr>
      </w:pPr>
      <w:r>
        <w:rPr>
          <w:rFonts w:hint="cs"/>
          <w:b/>
          <w:bCs/>
          <w:snapToGrid w:val="0"/>
          <w:kern w:val="22"/>
          <w:rtl/>
        </w:rPr>
        <w:t>عملية التحضير للإطار العالمي للتنوع البيولوجي لما بعد عام 2020</w:t>
      </w:r>
    </w:p>
    <w:p w:rsidR="00CC7A77" w:rsidRPr="0087091E" w:rsidRDefault="00CC7A77" w:rsidP="00CD26C5">
      <w:pPr>
        <w:pStyle w:val="ListParagraph"/>
        <w:numPr>
          <w:ilvl w:val="0"/>
          <w:numId w:val="88"/>
        </w:numPr>
        <w:kinsoku w:val="0"/>
        <w:overflowPunct w:val="0"/>
        <w:autoSpaceDE w:val="0"/>
        <w:autoSpaceDN w:val="0"/>
        <w:bidi/>
        <w:adjustRightInd w:val="0"/>
        <w:snapToGrid w:val="0"/>
        <w:spacing w:after="100" w:line="204" w:lineRule="auto"/>
        <w:ind w:left="0" w:firstLine="0"/>
        <w:rPr>
          <w:rFonts w:cs="Simplified Arabic"/>
          <w:snapToGrid w:val="0"/>
          <w:kern w:val="22"/>
        </w:rPr>
      </w:pPr>
      <w:r>
        <w:rPr>
          <w:rFonts w:cs="Simplified Arabic" w:hint="cs"/>
          <w:snapToGrid w:val="0"/>
          <w:kern w:val="22"/>
          <w:rtl/>
        </w:rPr>
        <w:t>س</w:t>
      </w:r>
      <w:r w:rsidRPr="0087091E">
        <w:rPr>
          <w:rFonts w:cs="Simplified Arabic" w:hint="cs"/>
          <w:snapToGrid w:val="0"/>
          <w:kern w:val="22"/>
          <w:rtl/>
        </w:rPr>
        <w:t>يعتمد مؤتمر الأطراف، في اجتماعه الخامس عشر</w:t>
      </w:r>
      <w:r>
        <w:rPr>
          <w:rFonts w:cs="Simplified Arabic" w:hint="cs"/>
          <w:snapToGrid w:val="0"/>
          <w:kern w:val="22"/>
          <w:rtl/>
        </w:rPr>
        <w:t xml:space="preserve"> في عام 2020</w:t>
      </w:r>
      <w:r w:rsidRPr="0087091E">
        <w:rPr>
          <w:rFonts w:cs="Simplified Arabic" w:hint="cs"/>
          <w:snapToGrid w:val="0"/>
          <w:kern w:val="22"/>
          <w:rtl/>
        </w:rPr>
        <w:t>، الإطار العالمي للتنوع البيولوجي لما بعد عام 2020.</w:t>
      </w:r>
      <w:r w:rsidRPr="00845694">
        <w:rPr>
          <w:rStyle w:val="FootnoteReference"/>
          <w:sz w:val="24"/>
          <w:rtl/>
        </w:rPr>
        <w:footnoteReference w:id="307"/>
      </w:r>
      <w:r>
        <w:rPr>
          <w:rFonts w:cs="Simplified Arabic" w:hint="cs"/>
          <w:snapToGrid w:val="0"/>
          <w:kern w:val="22"/>
          <w:rtl/>
        </w:rPr>
        <w:t xml:space="preserve"> وحدد المقرر 13/1 الولاية لعملية التحضير</w:t>
      </w:r>
      <w:r w:rsidRPr="0087091E">
        <w:rPr>
          <w:rFonts w:cs="Simplified Arabic" w:hint="cs"/>
          <w:snapToGrid w:val="0"/>
          <w:kern w:val="22"/>
          <w:rtl/>
        </w:rPr>
        <w:t xml:space="preserve"> </w:t>
      </w:r>
      <w:r>
        <w:rPr>
          <w:rFonts w:cs="Simplified Arabic" w:hint="cs"/>
          <w:snapToGrid w:val="0"/>
          <w:kern w:val="22"/>
          <w:rtl/>
        </w:rPr>
        <w:t xml:space="preserve">للإطار العالمي للتنوع البيولوجي لما بعد عام 2020 </w:t>
      </w:r>
      <w:r w:rsidRPr="0087091E">
        <w:rPr>
          <w:rFonts w:cs="Simplified Arabic" w:hint="cs"/>
          <w:snapToGrid w:val="0"/>
          <w:kern w:val="22"/>
          <w:rtl/>
        </w:rPr>
        <w:t>وقدم إرشادات بشأن خصائصها التي تنعكس في مجموعة من المبادئ ال</w:t>
      </w:r>
      <w:r>
        <w:rPr>
          <w:rFonts w:cs="Simplified Arabic" w:hint="cs"/>
          <w:snapToGrid w:val="0"/>
          <w:kern w:val="22"/>
          <w:rtl/>
        </w:rPr>
        <w:t>جوهر</w:t>
      </w:r>
      <w:r w:rsidRPr="0087091E">
        <w:rPr>
          <w:rFonts w:cs="Simplified Arabic" w:hint="cs"/>
          <w:snapToGrid w:val="0"/>
          <w:kern w:val="22"/>
          <w:rtl/>
        </w:rPr>
        <w:t>ية</w:t>
      </w:r>
      <w:r>
        <w:rPr>
          <w:rFonts w:cs="Simplified Arabic" w:hint="cs"/>
          <w:snapToGrid w:val="0"/>
          <w:kern w:val="22"/>
          <w:rtl/>
        </w:rPr>
        <w:t>، وتنظيم العمل، والعملية التشاورية، والوثائق</w:t>
      </w:r>
      <w:r w:rsidRPr="0087091E">
        <w:rPr>
          <w:rFonts w:cs="Simplified Arabic" w:hint="cs"/>
          <w:snapToGrid w:val="0"/>
          <w:kern w:val="22"/>
          <w:rtl/>
        </w:rPr>
        <w:t xml:space="preserve"> و</w:t>
      </w:r>
      <w:r>
        <w:rPr>
          <w:rFonts w:cs="Simplified Arabic" w:hint="cs"/>
          <w:snapToGrid w:val="0"/>
          <w:kern w:val="22"/>
          <w:rtl/>
        </w:rPr>
        <w:t>ال</w:t>
      </w:r>
      <w:r w:rsidRPr="0087091E">
        <w:rPr>
          <w:rFonts w:cs="Simplified Arabic" w:hint="cs"/>
          <w:snapToGrid w:val="0"/>
          <w:kern w:val="22"/>
          <w:rtl/>
        </w:rPr>
        <w:t>مصادر ا</w:t>
      </w:r>
      <w:r>
        <w:rPr>
          <w:rFonts w:cs="Simplified Arabic" w:hint="cs"/>
          <w:snapToGrid w:val="0"/>
          <w:kern w:val="22"/>
          <w:rtl/>
        </w:rPr>
        <w:t>لرئيسية ل</w:t>
      </w:r>
      <w:r w:rsidRPr="0087091E">
        <w:rPr>
          <w:rFonts w:cs="Simplified Arabic" w:hint="cs"/>
          <w:snapToGrid w:val="0"/>
          <w:kern w:val="22"/>
          <w:rtl/>
        </w:rPr>
        <w:t>لمعلومات أدناه.</w:t>
      </w:r>
    </w:p>
    <w:p w:rsidR="00CC7A77" w:rsidRPr="00A92945" w:rsidRDefault="00CC7A77" w:rsidP="00CC7A77">
      <w:pPr>
        <w:pStyle w:val="ListParagraph"/>
        <w:kinsoku w:val="0"/>
        <w:overflowPunct w:val="0"/>
        <w:autoSpaceDE w:val="0"/>
        <w:autoSpaceDN w:val="0"/>
        <w:bidi/>
        <w:adjustRightInd w:val="0"/>
        <w:snapToGrid w:val="0"/>
        <w:spacing w:line="216" w:lineRule="auto"/>
        <w:ind w:left="2160" w:right="1080" w:hanging="900"/>
        <w:rPr>
          <w:rFonts w:cs="Simplified Arabic"/>
          <w:b/>
          <w:bCs/>
          <w:snapToGrid w:val="0"/>
          <w:kern w:val="22"/>
        </w:rPr>
      </w:pPr>
      <w:r w:rsidRPr="00A92945">
        <w:rPr>
          <w:rFonts w:cs="Simplified Arabic" w:hint="cs"/>
          <w:b/>
          <w:bCs/>
          <w:snapToGrid w:val="0"/>
          <w:kern w:val="22"/>
          <w:rtl/>
        </w:rPr>
        <w:t>ألف -</w:t>
      </w:r>
      <w:r w:rsidRPr="00A92945">
        <w:rPr>
          <w:rFonts w:cs="Simplified Arabic" w:hint="cs"/>
          <w:b/>
          <w:bCs/>
          <w:snapToGrid w:val="0"/>
          <w:kern w:val="22"/>
          <w:rtl/>
        </w:rPr>
        <w:tab/>
        <w:t xml:space="preserve">المبادئ التوجيهية </w:t>
      </w:r>
      <w:r>
        <w:rPr>
          <w:rFonts w:cs="Simplified Arabic" w:hint="cs"/>
          <w:b/>
          <w:bCs/>
          <w:snapToGrid w:val="0"/>
          <w:kern w:val="22"/>
          <w:rtl/>
        </w:rPr>
        <w:t>الجوهرية لعملية التحضير للإطار العالمي للتنوع البيولوجي لما بعد عام 2020</w:t>
      </w:r>
    </w:p>
    <w:p w:rsidR="00CC7A77" w:rsidRDefault="00CC7A77" w:rsidP="00CD26C5">
      <w:pPr>
        <w:pStyle w:val="ListParagraph"/>
        <w:numPr>
          <w:ilvl w:val="0"/>
          <w:numId w:val="88"/>
        </w:numPr>
        <w:kinsoku w:val="0"/>
        <w:overflowPunct w:val="0"/>
        <w:autoSpaceDE w:val="0"/>
        <w:autoSpaceDN w:val="0"/>
        <w:bidi/>
        <w:adjustRightInd w:val="0"/>
        <w:snapToGrid w:val="0"/>
        <w:spacing w:after="100" w:line="204" w:lineRule="auto"/>
        <w:ind w:left="0" w:firstLine="0"/>
        <w:rPr>
          <w:rFonts w:cs="Simplified Arabic"/>
          <w:snapToGrid w:val="0"/>
          <w:kern w:val="22"/>
        </w:rPr>
      </w:pPr>
      <w:r>
        <w:rPr>
          <w:rFonts w:cs="Simplified Arabic" w:hint="cs"/>
          <w:snapToGrid w:val="0"/>
          <w:kern w:val="22"/>
          <w:rtl/>
        </w:rPr>
        <w:t>ستكون عملية إعداد الإطار العالمي للتنوع البيولوجي لما بعد عام 2020 مملوكة للأطراف، وتسترشد بالمبادئ التالية:</w:t>
      </w:r>
    </w:p>
    <w:p w:rsidR="00CC7A77" w:rsidRDefault="00CC7A77" w:rsidP="00CC7A77">
      <w:pPr>
        <w:spacing w:after="100" w:line="204" w:lineRule="auto"/>
        <w:ind w:firstLine="720"/>
        <w:rPr>
          <w:snapToGrid w:val="0"/>
          <w:kern w:val="22"/>
          <w:rtl/>
        </w:rPr>
      </w:pPr>
      <w:r w:rsidRPr="0087091E">
        <w:rPr>
          <w:rFonts w:hint="cs"/>
          <w:snapToGrid w:val="0"/>
          <w:kern w:val="22"/>
          <w:rtl/>
        </w:rPr>
        <w:t>(أ)</w:t>
      </w:r>
      <w:r w:rsidRPr="0087091E">
        <w:rPr>
          <w:rFonts w:hint="cs"/>
          <w:snapToGrid w:val="0"/>
          <w:kern w:val="22"/>
          <w:rtl/>
        </w:rPr>
        <w:tab/>
      </w:r>
      <w:r w:rsidRPr="0087091E">
        <w:rPr>
          <w:rFonts w:hint="cs"/>
          <w:i/>
          <w:iCs/>
          <w:snapToGrid w:val="0"/>
          <w:kern w:val="22"/>
          <w:rtl/>
        </w:rPr>
        <w:t>تشاركية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w:t>
      </w:r>
      <w:r>
        <w:rPr>
          <w:rFonts w:hint="cs"/>
          <w:snapToGrid w:val="0"/>
          <w:kern w:val="22"/>
          <w:rtl/>
        </w:rPr>
        <w:t>مع كونها مملوكة للأطراف، مع الاعتراف بمبادئ إعلان ريو بشأن البيئة والتنمية</w:t>
      </w:r>
      <w:r>
        <w:rPr>
          <w:rStyle w:val="FootnoteReference"/>
          <w:snapToGrid w:val="0"/>
          <w:kern w:val="22"/>
          <w:rtl/>
        </w:rPr>
        <w:footnoteReference w:id="308"/>
      </w:r>
      <w:r>
        <w:rPr>
          <w:rFonts w:hint="cs"/>
          <w:snapToGrid w:val="0"/>
          <w:kern w:val="22"/>
          <w:rtl/>
        </w:rPr>
        <w:t xml:space="preserve"> فيما يتعلق بالمشاركة، س</w:t>
      </w:r>
      <w:r w:rsidRPr="0087091E">
        <w:rPr>
          <w:rFonts w:hint="cs"/>
          <w:snapToGrid w:val="0"/>
          <w:kern w:val="22"/>
          <w:rtl/>
        </w:rPr>
        <w:t xml:space="preserve">تمكّن </w:t>
      </w:r>
      <w:r>
        <w:rPr>
          <w:rFonts w:hint="cs"/>
          <w:snapToGrid w:val="0"/>
          <w:kern w:val="22"/>
          <w:rtl/>
        </w:rPr>
        <w:t xml:space="preserve">العملية </w:t>
      </w:r>
      <w:r w:rsidRPr="0087091E">
        <w:rPr>
          <w:rFonts w:hint="cs"/>
          <w:snapToGrid w:val="0"/>
          <w:kern w:val="22"/>
          <w:rtl/>
        </w:rPr>
        <w:t>من المشاركة الهادفة والفعالة لكل من يرغب في المشاركة في العملية</w:t>
      </w:r>
      <w:r>
        <w:rPr>
          <w:rFonts w:hint="cs"/>
          <w:snapToGrid w:val="0"/>
          <w:kern w:val="22"/>
          <w:rtl/>
        </w:rPr>
        <w:t>،</w:t>
      </w:r>
      <w:r w:rsidRPr="0087091E">
        <w:rPr>
          <w:rFonts w:hint="cs"/>
          <w:snapToGrid w:val="0"/>
          <w:kern w:val="22"/>
          <w:rtl/>
        </w:rPr>
        <w:t xml:space="preserve"> </w:t>
      </w:r>
      <w:r>
        <w:rPr>
          <w:rFonts w:hint="cs"/>
          <w:snapToGrid w:val="0"/>
          <w:kern w:val="22"/>
          <w:rtl/>
        </w:rPr>
        <w:t>بما في ذلك</w:t>
      </w:r>
      <w:r w:rsidRPr="0087091E">
        <w:rPr>
          <w:rFonts w:hint="cs"/>
          <w:snapToGrid w:val="0"/>
          <w:kern w:val="22"/>
          <w:rtl/>
        </w:rPr>
        <w:t xml:space="preserve"> </w:t>
      </w:r>
      <w:r>
        <w:rPr>
          <w:rFonts w:hint="cs"/>
          <w:snapToGrid w:val="0"/>
          <w:kern w:val="22"/>
          <w:rtl/>
        </w:rPr>
        <w:t xml:space="preserve">من خلال </w:t>
      </w:r>
      <w:r w:rsidRPr="0087091E">
        <w:rPr>
          <w:rFonts w:hint="cs"/>
          <w:snapToGrid w:val="0"/>
          <w:kern w:val="22"/>
          <w:rtl/>
        </w:rPr>
        <w:t>المشاركة في حلقات العمل والمشاورات ذات الصلة، و</w:t>
      </w:r>
      <w:r>
        <w:rPr>
          <w:rFonts w:hint="cs"/>
          <w:snapToGrid w:val="0"/>
          <w:kern w:val="22"/>
          <w:rtl/>
        </w:rPr>
        <w:t>الاجتماعات الرسمية</w:t>
      </w:r>
      <w:r w:rsidRPr="0087091E">
        <w:rPr>
          <w:rFonts w:hint="cs"/>
          <w:snapToGrid w:val="0"/>
          <w:kern w:val="22"/>
          <w:rtl/>
        </w:rPr>
        <w:t xml:space="preserve">، </w:t>
      </w:r>
      <w:r>
        <w:rPr>
          <w:rFonts w:hint="cs"/>
          <w:snapToGrid w:val="0"/>
          <w:kern w:val="22"/>
          <w:rtl/>
        </w:rPr>
        <w:t>وب</w:t>
      </w:r>
      <w:r w:rsidRPr="0087091E">
        <w:rPr>
          <w:rFonts w:hint="cs"/>
          <w:snapToGrid w:val="0"/>
          <w:kern w:val="22"/>
          <w:rtl/>
        </w:rPr>
        <w:t xml:space="preserve">تقديم تعقيبات وتعليقات بشأن </w:t>
      </w:r>
      <w:r>
        <w:rPr>
          <w:rFonts w:hint="cs"/>
          <w:snapToGrid w:val="0"/>
          <w:kern w:val="22"/>
          <w:rtl/>
        </w:rPr>
        <w:t>المناقشة وال</w:t>
      </w:r>
      <w:r w:rsidRPr="0087091E">
        <w:rPr>
          <w:rFonts w:hint="cs"/>
          <w:snapToGrid w:val="0"/>
          <w:kern w:val="22"/>
          <w:rtl/>
        </w:rPr>
        <w:t xml:space="preserve">وثائق </w:t>
      </w:r>
      <w:r>
        <w:rPr>
          <w:rFonts w:hint="cs"/>
          <w:snapToGrid w:val="0"/>
          <w:kern w:val="22"/>
          <w:rtl/>
        </w:rPr>
        <w:t>الرسمية وفقا للنظام الداخلي للاتفاقية</w:t>
      </w:r>
      <w:r w:rsidRPr="0087091E">
        <w:rPr>
          <w:rFonts w:hint="cs"/>
          <w:snapToGrid w:val="0"/>
          <w:kern w:val="22"/>
          <w:rtl/>
        </w:rPr>
        <w:t>؛</w:t>
      </w:r>
    </w:p>
    <w:p w:rsidR="00CC7A77" w:rsidRPr="0087091E" w:rsidRDefault="00CC7A77" w:rsidP="00CC7A77">
      <w:pPr>
        <w:spacing w:after="100" w:line="204" w:lineRule="auto"/>
        <w:ind w:firstLine="720"/>
        <w:rPr>
          <w:snapToGrid w:val="0"/>
          <w:kern w:val="22"/>
          <w:rtl/>
        </w:rPr>
      </w:pPr>
      <w:r w:rsidRPr="0087091E">
        <w:rPr>
          <w:rFonts w:hint="cs"/>
          <w:snapToGrid w:val="0"/>
          <w:kern w:val="22"/>
          <w:rtl/>
        </w:rPr>
        <w:t>(ب)</w:t>
      </w:r>
      <w:r w:rsidRPr="0087091E">
        <w:rPr>
          <w:rFonts w:hint="cs"/>
          <w:snapToGrid w:val="0"/>
          <w:kern w:val="22"/>
          <w:rtl/>
        </w:rPr>
        <w:tab/>
      </w:r>
      <w:r w:rsidRPr="0087091E">
        <w:rPr>
          <w:rFonts w:hint="cs"/>
          <w:i/>
          <w:iCs/>
          <w:snapToGrid w:val="0"/>
          <w:kern w:val="22"/>
          <w:rtl/>
        </w:rPr>
        <w:t>جامعة</w:t>
      </w:r>
      <w:r w:rsidRPr="0087091E">
        <w:rPr>
          <w:rFonts w:hint="cs"/>
          <w:snapToGrid w:val="0"/>
          <w:kern w:val="22"/>
          <w:rtl/>
        </w:rPr>
        <w:t xml:space="preserve"> </w:t>
      </w:r>
      <w:r w:rsidRPr="0087091E">
        <w:rPr>
          <w:snapToGrid w:val="0"/>
          <w:kern w:val="22"/>
          <w:rtl/>
        </w:rPr>
        <w:t>–</w:t>
      </w:r>
      <w:r>
        <w:rPr>
          <w:rFonts w:hint="cs"/>
          <w:snapToGrid w:val="0"/>
          <w:kern w:val="22"/>
          <w:rtl/>
        </w:rPr>
        <w:t xml:space="preserve"> ينبغي أن تساعد</w:t>
      </w:r>
      <w:r w:rsidRPr="0087091E">
        <w:rPr>
          <w:rFonts w:hint="cs"/>
          <w:snapToGrid w:val="0"/>
          <w:kern w:val="22"/>
          <w:rtl/>
        </w:rPr>
        <w:t xml:space="preserve"> </w:t>
      </w:r>
      <w:r>
        <w:rPr>
          <w:rFonts w:hint="cs"/>
          <w:snapToGrid w:val="0"/>
          <w:kern w:val="22"/>
          <w:rtl/>
        </w:rPr>
        <w:t xml:space="preserve">العملية في تمكين جميع المجموعات وأصحاب المصلحة من تقديم آرائها للنظر فيها. ويشمل ذلك الأطراف، والمظمات الحكومية الأخرى، والشعوب الأصلية والمجتمعات المحلية، ومنظمات الأمم المتحدة وبرامجها، والاتفاقات البيئية المتعددة الأطراف الأخرى، والحكومات دون الوطنية، والمدن والسلطات المحلية الأخرى، والمنظمات الحكومية الدولية، والمنظمات غير الحكومية، ومجموعات النساء، ومجموعات الشباب، ومجتمع قطاع الأعمال </w:t>
      </w:r>
      <w:r>
        <w:rPr>
          <w:rFonts w:hint="cs"/>
          <w:snapToGrid w:val="0"/>
          <w:kern w:val="22"/>
          <w:rtl/>
        </w:rPr>
        <w:lastRenderedPageBreak/>
        <w:t xml:space="preserve">والمجتمع المالي، والمجتمع العلمي، والأوساط الأكاديمية، والمنظمات الدينية، وممثلي القطاعات ذات الصلة بالتنوع البيولوجي أو التي تعتمد عليه، والمواطنين عموما، وأصحاب المصلحة الآخرين. وينبغي بذل الجهود لالتماس آراء من طائفة عريضة من المنظورات، </w:t>
      </w:r>
      <w:r w:rsidRPr="0087091E">
        <w:rPr>
          <w:rFonts w:hint="cs"/>
          <w:snapToGrid w:val="0"/>
          <w:kern w:val="22"/>
          <w:rtl/>
        </w:rPr>
        <w:t xml:space="preserve">تتخطى المنظورات المدرجة تقليديا في أعمال </w:t>
      </w:r>
      <w:r>
        <w:rPr>
          <w:rFonts w:hint="cs"/>
          <w:snapToGrid w:val="0"/>
          <w:kern w:val="22"/>
          <w:rtl/>
        </w:rPr>
        <w:t>الاتفاقية والبروتوكولين؛</w:t>
      </w:r>
    </w:p>
    <w:p w:rsidR="00CC7A77" w:rsidRDefault="00CC7A77" w:rsidP="00CC7A77">
      <w:pPr>
        <w:spacing w:after="100" w:line="204" w:lineRule="auto"/>
        <w:ind w:firstLine="720"/>
        <w:rPr>
          <w:snapToGrid w:val="0"/>
          <w:kern w:val="22"/>
          <w:rtl/>
        </w:rPr>
      </w:pPr>
      <w:r w:rsidRPr="0087091E">
        <w:rPr>
          <w:rFonts w:hint="cs"/>
          <w:snapToGrid w:val="0"/>
          <w:kern w:val="22"/>
          <w:rtl/>
        </w:rPr>
        <w:t>(ج)</w:t>
      </w:r>
      <w:r w:rsidRPr="0087091E">
        <w:rPr>
          <w:rFonts w:hint="cs"/>
          <w:snapToGrid w:val="0"/>
          <w:kern w:val="22"/>
          <w:rtl/>
        </w:rPr>
        <w:tab/>
      </w:r>
      <w:r w:rsidRPr="00D677C2">
        <w:rPr>
          <w:rFonts w:hint="cs"/>
          <w:i/>
          <w:iCs/>
          <w:snapToGrid w:val="0"/>
          <w:kern w:val="22"/>
          <w:rtl/>
        </w:rPr>
        <w:t xml:space="preserve">مراعية </w:t>
      </w:r>
      <w:r>
        <w:rPr>
          <w:rFonts w:hint="cs"/>
          <w:i/>
          <w:iCs/>
          <w:snapToGrid w:val="0"/>
          <w:kern w:val="22"/>
          <w:rtl/>
        </w:rPr>
        <w:t>للمنظور</w:t>
      </w:r>
      <w:r w:rsidRPr="00D677C2">
        <w:rPr>
          <w:rFonts w:hint="cs"/>
          <w:i/>
          <w:iCs/>
          <w:snapToGrid w:val="0"/>
          <w:kern w:val="22"/>
          <w:rtl/>
        </w:rPr>
        <w:t xml:space="preserve"> الجنساني</w:t>
      </w:r>
      <w:r>
        <w:rPr>
          <w:rFonts w:hint="cs"/>
          <w:snapToGrid w:val="0"/>
          <w:kern w:val="22"/>
          <w:rtl/>
        </w:rPr>
        <w:t xml:space="preserve"> </w:t>
      </w:r>
      <w:r>
        <w:rPr>
          <w:snapToGrid w:val="0"/>
          <w:kern w:val="22"/>
          <w:rtl/>
        </w:rPr>
        <w:t>–</w:t>
      </w:r>
      <w:r>
        <w:rPr>
          <w:rFonts w:hint="cs"/>
          <w:snapToGrid w:val="0"/>
          <w:kern w:val="22"/>
          <w:rtl/>
        </w:rPr>
        <w:t xml:space="preserve"> ستكون العملية مراعية للمنظور الجنساني عن طريق الدمج المنتظم للمنظور الجنساني وضمان التمثيل المناسب</w:t>
      </w:r>
      <w:r w:rsidRPr="006014FB">
        <w:rPr>
          <w:rFonts w:hint="cs"/>
          <w:snapToGrid w:val="0"/>
          <w:kern w:val="22"/>
          <w:rtl/>
        </w:rPr>
        <w:t xml:space="preserve"> </w:t>
      </w:r>
      <w:r>
        <w:rPr>
          <w:rFonts w:hint="cs"/>
          <w:snapToGrid w:val="0"/>
          <w:kern w:val="22"/>
          <w:rtl/>
        </w:rPr>
        <w:t>في العملية، ولاسيما للنساء والبنات. وينبغي بذل الجهود لإحداث تقدم في جمع وتحليل واستخدام البيانات الجنسانية الحساسة، بما في ذلك البيانات الموزعة حسب الجنس؛</w:t>
      </w:r>
      <w:r>
        <w:rPr>
          <w:rStyle w:val="FootnoteReference"/>
          <w:snapToGrid w:val="0"/>
          <w:kern w:val="22"/>
          <w:rtl/>
        </w:rPr>
        <w:footnoteReference w:id="309"/>
      </w:r>
    </w:p>
    <w:p w:rsidR="00CC7A77" w:rsidRDefault="00CC7A77" w:rsidP="00CC7A77">
      <w:pPr>
        <w:spacing w:after="100" w:line="204" w:lineRule="auto"/>
        <w:ind w:firstLine="720"/>
        <w:rPr>
          <w:snapToGrid w:val="0"/>
          <w:kern w:val="22"/>
          <w:rtl/>
        </w:rPr>
      </w:pPr>
      <w:r>
        <w:rPr>
          <w:rFonts w:hint="cs"/>
          <w:snapToGrid w:val="0"/>
          <w:kern w:val="22"/>
          <w:rtl/>
        </w:rPr>
        <w:t>(د)</w:t>
      </w:r>
      <w:r>
        <w:rPr>
          <w:rFonts w:hint="cs"/>
          <w:snapToGrid w:val="0"/>
          <w:kern w:val="22"/>
          <w:rtl/>
        </w:rPr>
        <w:tab/>
      </w:r>
      <w:r w:rsidRPr="0087091E">
        <w:rPr>
          <w:rFonts w:hint="cs"/>
          <w:i/>
          <w:iCs/>
          <w:snapToGrid w:val="0"/>
          <w:kern w:val="22"/>
          <w:rtl/>
        </w:rPr>
        <w:t>تحولية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w:t>
      </w:r>
      <w:r>
        <w:rPr>
          <w:rFonts w:hint="cs"/>
          <w:snapToGrid w:val="0"/>
          <w:kern w:val="22"/>
          <w:rtl/>
        </w:rPr>
        <w:t>ست</w:t>
      </w:r>
      <w:r w:rsidRPr="0087091E">
        <w:rPr>
          <w:rFonts w:hint="cs"/>
          <w:snapToGrid w:val="0"/>
          <w:kern w:val="22"/>
          <w:rtl/>
        </w:rPr>
        <w:t xml:space="preserve">حشد </w:t>
      </w:r>
      <w:r>
        <w:rPr>
          <w:rFonts w:hint="cs"/>
          <w:snapToGrid w:val="0"/>
          <w:kern w:val="22"/>
          <w:rtl/>
        </w:rPr>
        <w:t xml:space="preserve">العملية مشاركة مجتمعية واسعة النطاق لتحقيق التحولات المعجلة والمستدامة لتنفيذ أهداف الاتفاقية الثلاثة، </w:t>
      </w:r>
      <w:r w:rsidRPr="0087091E">
        <w:rPr>
          <w:rFonts w:hint="cs"/>
          <w:snapToGrid w:val="0"/>
          <w:kern w:val="22"/>
          <w:rtl/>
        </w:rPr>
        <w:t>حيث يتم الاعتراف بالتنوع البيولوجي والنظم الإيكولوجية باعتبارها البنية ال</w:t>
      </w:r>
      <w:r>
        <w:rPr>
          <w:rFonts w:hint="cs"/>
          <w:snapToGrid w:val="0"/>
          <w:kern w:val="22"/>
          <w:rtl/>
        </w:rPr>
        <w:t>تحت</w:t>
      </w:r>
      <w:r w:rsidRPr="0087091E">
        <w:rPr>
          <w:rFonts w:hint="cs"/>
          <w:snapToGrid w:val="0"/>
          <w:kern w:val="22"/>
          <w:rtl/>
        </w:rPr>
        <w:t>ية اللازمة التي تدعم الحياة على الأرض</w:t>
      </w:r>
      <w:r>
        <w:rPr>
          <w:rFonts w:hint="cs"/>
          <w:snapToGrid w:val="0"/>
          <w:kern w:val="22"/>
          <w:rtl/>
        </w:rPr>
        <w:t>،</w:t>
      </w:r>
      <w:r w:rsidRPr="0087091E">
        <w:rPr>
          <w:rFonts w:hint="cs"/>
          <w:snapToGrid w:val="0"/>
          <w:kern w:val="22"/>
          <w:rtl/>
        </w:rPr>
        <w:t xml:space="preserve"> </w:t>
      </w:r>
      <w:r>
        <w:rPr>
          <w:rFonts w:hint="cs"/>
          <w:snapToGrid w:val="0"/>
          <w:kern w:val="22"/>
          <w:rtl/>
        </w:rPr>
        <w:t>و</w:t>
      </w:r>
      <w:r w:rsidRPr="0087091E">
        <w:rPr>
          <w:rFonts w:hint="cs"/>
          <w:snapToGrid w:val="0"/>
          <w:kern w:val="22"/>
          <w:rtl/>
        </w:rPr>
        <w:t>بدونه</w:t>
      </w:r>
      <w:r>
        <w:rPr>
          <w:rFonts w:hint="cs"/>
          <w:snapToGrid w:val="0"/>
          <w:kern w:val="22"/>
          <w:rtl/>
        </w:rPr>
        <w:t>ما</w:t>
      </w:r>
      <w:r w:rsidRPr="0087091E">
        <w:rPr>
          <w:rFonts w:hint="cs"/>
          <w:snapToGrid w:val="0"/>
          <w:kern w:val="22"/>
          <w:rtl/>
        </w:rPr>
        <w:t xml:space="preserve"> لن يكون من </w:t>
      </w:r>
      <w:r>
        <w:rPr>
          <w:rFonts w:hint="cs"/>
          <w:snapToGrid w:val="0"/>
          <w:kern w:val="22"/>
          <w:rtl/>
        </w:rPr>
        <w:t>الممكن تحقيق التنمية البشرية و</w:t>
      </w:r>
      <w:r w:rsidRPr="0087091E">
        <w:rPr>
          <w:rFonts w:hint="cs"/>
          <w:snapToGrid w:val="0"/>
          <w:kern w:val="22"/>
          <w:rtl/>
        </w:rPr>
        <w:t>رفاه</w:t>
      </w:r>
      <w:r>
        <w:rPr>
          <w:rFonts w:hint="cs"/>
          <w:snapToGrid w:val="0"/>
          <w:kern w:val="22"/>
          <w:rtl/>
        </w:rPr>
        <w:t xml:space="preserve"> البشر.</w:t>
      </w:r>
      <w:r w:rsidRPr="0087091E">
        <w:rPr>
          <w:rFonts w:hint="cs"/>
          <w:snapToGrid w:val="0"/>
          <w:kern w:val="22"/>
          <w:rtl/>
        </w:rPr>
        <w:t xml:space="preserve"> </w:t>
      </w:r>
      <w:r>
        <w:rPr>
          <w:rFonts w:hint="cs"/>
          <w:snapToGrid w:val="0"/>
          <w:kern w:val="22"/>
          <w:rtl/>
        </w:rPr>
        <w:t xml:space="preserve">وستضع التنوع البيولوجي، وحفظه والاستخدام المستدام لمكوناته والتقاسم العادل والمنصف للمنافع الناشئة عن استخدام الموارد الجينية، </w:t>
      </w:r>
      <w:r w:rsidRPr="0087091E">
        <w:rPr>
          <w:rFonts w:hint="cs"/>
          <w:snapToGrid w:val="0"/>
          <w:kern w:val="22"/>
          <w:rtl/>
        </w:rPr>
        <w:t>في لُب خطة التنمية المستدامة</w:t>
      </w:r>
      <w:r>
        <w:rPr>
          <w:rFonts w:hint="cs"/>
          <w:snapToGrid w:val="0"/>
          <w:kern w:val="22"/>
          <w:rtl/>
        </w:rPr>
        <w:t>، مع الاعتراف بالروابط المهمة بين التنوع البيولوجي والتنوع الثقافي؛</w:t>
      </w:r>
    </w:p>
    <w:p w:rsidR="00CC7A77" w:rsidRPr="0087091E" w:rsidRDefault="00CC7A77" w:rsidP="00CC7A77">
      <w:pPr>
        <w:spacing w:after="100" w:line="204" w:lineRule="auto"/>
        <w:ind w:firstLine="720"/>
        <w:rPr>
          <w:snapToGrid w:val="0"/>
          <w:kern w:val="22"/>
          <w:rtl/>
        </w:rPr>
      </w:pPr>
      <w:r w:rsidRPr="004A4148">
        <w:rPr>
          <w:rFonts w:ascii="Simplified Arabic" w:hAnsi="Simplified Arabic"/>
          <w:snapToGrid w:val="0"/>
          <w:kern w:val="22"/>
          <w:rtl/>
        </w:rPr>
        <w:t>(ھ)</w:t>
      </w:r>
      <w:r>
        <w:rPr>
          <w:rFonts w:hint="cs"/>
          <w:snapToGrid w:val="0"/>
          <w:kern w:val="22"/>
          <w:rtl/>
        </w:rPr>
        <w:tab/>
      </w:r>
      <w:r w:rsidRPr="0087091E">
        <w:rPr>
          <w:rFonts w:hint="cs"/>
          <w:i/>
          <w:iCs/>
          <w:snapToGrid w:val="0"/>
          <w:kern w:val="22"/>
          <w:rtl/>
        </w:rPr>
        <w:t>شاملة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ينبغي أن تمكّن </w:t>
      </w:r>
      <w:r>
        <w:rPr>
          <w:rFonts w:hint="cs"/>
          <w:snapToGrid w:val="0"/>
          <w:kern w:val="22"/>
          <w:rtl/>
        </w:rPr>
        <w:t xml:space="preserve">العملية </w:t>
      </w:r>
      <w:r w:rsidRPr="0087091E">
        <w:rPr>
          <w:rFonts w:hint="cs"/>
          <w:snapToGrid w:val="0"/>
          <w:kern w:val="22"/>
          <w:rtl/>
        </w:rPr>
        <w:t>من تقديم تعقيبات بشأن جميع القض</w:t>
      </w:r>
      <w:r>
        <w:rPr>
          <w:rFonts w:hint="cs"/>
          <w:snapToGrid w:val="0"/>
          <w:kern w:val="22"/>
          <w:rtl/>
        </w:rPr>
        <w:t>ايا ذات الصلة بعمل الاتفاقية و</w:t>
      </w:r>
      <w:r w:rsidRPr="0087091E">
        <w:rPr>
          <w:rFonts w:hint="cs"/>
          <w:snapToGrid w:val="0"/>
          <w:kern w:val="22"/>
          <w:rtl/>
        </w:rPr>
        <w:t>بروتوكولي</w:t>
      </w:r>
      <w:r>
        <w:rPr>
          <w:rFonts w:hint="cs"/>
          <w:snapToGrid w:val="0"/>
          <w:kern w:val="22"/>
          <w:rtl/>
        </w:rPr>
        <w:t>ها</w:t>
      </w:r>
      <w:r w:rsidRPr="0087091E">
        <w:rPr>
          <w:rFonts w:hint="cs"/>
          <w:snapToGrid w:val="0"/>
          <w:kern w:val="22"/>
          <w:rtl/>
        </w:rPr>
        <w:t xml:space="preserve">. وينبغي لهذه العملية أيضا الاستفادة من جميع المعلومات المتاحة </w:t>
      </w:r>
      <w:r>
        <w:rPr>
          <w:rFonts w:hint="cs"/>
          <w:snapToGrid w:val="0"/>
          <w:kern w:val="22"/>
          <w:rtl/>
        </w:rPr>
        <w:t>وتأخذ في الحسبان</w:t>
      </w:r>
      <w:r w:rsidRPr="0087091E">
        <w:rPr>
          <w:rFonts w:hint="cs"/>
          <w:snapToGrid w:val="0"/>
          <w:kern w:val="22"/>
          <w:rtl/>
        </w:rPr>
        <w:t xml:space="preserve"> الأطر الدولية الأخرى ذات الصلة، </w:t>
      </w:r>
      <w:r>
        <w:rPr>
          <w:rFonts w:hint="cs"/>
          <w:snapToGrid w:val="0"/>
          <w:kern w:val="22"/>
          <w:rtl/>
        </w:rPr>
        <w:t>و</w:t>
      </w:r>
      <w:r w:rsidRPr="0087091E">
        <w:rPr>
          <w:rFonts w:hint="cs"/>
          <w:snapToGrid w:val="0"/>
          <w:kern w:val="22"/>
          <w:rtl/>
        </w:rPr>
        <w:t>الاستراتيجيات والخطط ذات الصلة؛</w:t>
      </w:r>
    </w:p>
    <w:p w:rsidR="00CC7A77" w:rsidRDefault="00CC7A77" w:rsidP="00CC7A77">
      <w:pPr>
        <w:spacing w:after="100" w:line="204" w:lineRule="auto"/>
        <w:ind w:firstLine="720"/>
        <w:rPr>
          <w:snapToGrid w:val="0"/>
          <w:kern w:val="22"/>
          <w:rtl/>
        </w:rPr>
      </w:pPr>
      <w:r w:rsidRPr="0087091E">
        <w:rPr>
          <w:rFonts w:hint="cs"/>
          <w:snapToGrid w:val="0"/>
          <w:kern w:val="22"/>
          <w:rtl/>
        </w:rPr>
        <w:t>(</w:t>
      </w:r>
      <w:r>
        <w:rPr>
          <w:rFonts w:ascii="Simplified Arabic" w:hAnsi="Simplified Arabic" w:hint="cs"/>
          <w:snapToGrid w:val="0"/>
          <w:kern w:val="22"/>
          <w:rtl/>
        </w:rPr>
        <w:t>و</w:t>
      </w:r>
      <w:r w:rsidRPr="0087091E">
        <w:rPr>
          <w:rFonts w:hint="cs"/>
          <w:snapToGrid w:val="0"/>
          <w:kern w:val="22"/>
          <w:rtl/>
        </w:rPr>
        <w:t>)</w:t>
      </w:r>
      <w:r w:rsidRPr="0087091E">
        <w:rPr>
          <w:rFonts w:hint="cs"/>
          <w:snapToGrid w:val="0"/>
          <w:kern w:val="22"/>
          <w:rtl/>
        </w:rPr>
        <w:tab/>
      </w:r>
      <w:r w:rsidRPr="0087091E">
        <w:rPr>
          <w:rFonts w:hint="cs"/>
          <w:i/>
          <w:iCs/>
          <w:snapToGrid w:val="0"/>
          <w:kern w:val="22"/>
          <w:rtl/>
        </w:rPr>
        <w:t>تحفيزية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ينبغي أن تعمل </w:t>
      </w:r>
      <w:r>
        <w:rPr>
          <w:rFonts w:hint="cs"/>
          <w:snapToGrid w:val="0"/>
          <w:kern w:val="22"/>
          <w:rtl/>
        </w:rPr>
        <w:t xml:space="preserve">العملية على </w:t>
      </w:r>
      <w:r w:rsidRPr="0087091E">
        <w:rPr>
          <w:rFonts w:hint="cs"/>
          <w:snapToGrid w:val="0"/>
          <w:kern w:val="22"/>
          <w:rtl/>
        </w:rPr>
        <w:t xml:space="preserve">تحفيز تحرُك على النطاق العالمي بشأن التنوع البيولوجي، مع التشديد على الشعور بالإلحاح السياسي وحشد الشراكات المتعددة أصحاب المصلحة لتنفيذ إجراءات ملموسة </w:t>
      </w:r>
      <w:r>
        <w:rPr>
          <w:rFonts w:hint="cs"/>
          <w:snapToGrid w:val="0"/>
          <w:kern w:val="22"/>
          <w:rtl/>
        </w:rPr>
        <w:t>على</w:t>
      </w:r>
      <w:r w:rsidRPr="0087091E">
        <w:rPr>
          <w:rFonts w:hint="cs"/>
          <w:snapToGrid w:val="0"/>
          <w:kern w:val="22"/>
          <w:rtl/>
        </w:rPr>
        <w:t xml:space="preserve"> </w:t>
      </w:r>
      <w:r>
        <w:rPr>
          <w:rFonts w:hint="cs"/>
          <w:snapToGrid w:val="0"/>
          <w:kern w:val="22"/>
          <w:rtl/>
        </w:rPr>
        <w:t>المستوى</w:t>
      </w:r>
      <w:r w:rsidRPr="0087091E">
        <w:rPr>
          <w:rFonts w:hint="cs"/>
          <w:snapToGrid w:val="0"/>
          <w:kern w:val="22"/>
          <w:rtl/>
        </w:rPr>
        <w:t xml:space="preserve"> ال</w:t>
      </w:r>
      <w:r>
        <w:rPr>
          <w:rFonts w:hint="cs"/>
          <w:snapToGrid w:val="0"/>
          <w:kern w:val="22"/>
          <w:rtl/>
        </w:rPr>
        <w:t>محل</w:t>
      </w:r>
      <w:r w:rsidRPr="0087091E">
        <w:rPr>
          <w:rFonts w:hint="cs"/>
          <w:snapToGrid w:val="0"/>
          <w:kern w:val="22"/>
          <w:rtl/>
        </w:rPr>
        <w:t xml:space="preserve">ي </w:t>
      </w:r>
      <w:r>
        <w:rPr>
          <w:rFonts w:hint="cs"/>
          <w:snapToGrid w:val="0"/>
          <w:kern w:val="22"/>
          <w:rtl/>
        </w:rPr>
        <w:t>إلى المستويات الوطني والإقليمي و</w:t>
      </w:r>
      <w:r w:rsidRPr="0087091E">
        <w:rPr>
          <w:rFonts w:hint="cs"/>
          <w:snapToGrid w:val="0"/>
          <w:kern w:val="22"/>
          <w:rtl/>
        </w:rPr>
        <w:t>العالمي</w:t>
      </w:r>
      <w:r>
        <w:rPr>
          <w:rFonts w:hint="cs"/>
          <w:snapToGrid w:val="0"/>
          <w:kern w:val="22"/>
          <w:rtl/>
        </w:rPr>
        <w:t>؛</w:t>
      </w:r>
    </w:p>
    <w:p w:rsidR="00CC7A77" w:rsidRDefault="00CC7A77" w:rsidP="00CC7A77">
      <w:pPr>
        <w:spacing w:after="100" w:line="204" w:lineRule="auto"/>
        <w:ind w:firstLine="720"/>
        <w:rPr>
          <w:snapToGrid w:val="0"/>
          <w:kern w:val="22"/>
          <w:rtl/>
        </w:rPr>
      </w:pPr>
      <w:r>
        <w:rPr>
          <w:rFonts w:hint="cs"/>
          <w:snapToGrid w:val="0"/>
          <w:kern w:val="22"/>
          <w:rtl/>
        </w:rPr>
        <w:t>(ز)</w:t>
      </w:r>
      <w:r>
        <w:rPr>
          <w:rFonts w:hint="cs"/>
          <w:snapToGrid w:val="0"/>
          <w:kern w:val="22"/>
          <w:rtl/>
        </w:rPr>
        <w:tab/>
      </w:r>
      <w:r w:rsidRPr="00C10337">
        <w:rPr>
          <w:rFonts w:hint="cs"/>
          <w:i/>
          <w:iCs/>
          <w:snapToGrid w:val="0"/>
          <w:kern w:val="22"/>
          <w:rtl/>
        </w:rPr>
        <w:t>مرئية</w:t>
      </w:r>
      <w:r>
        <w:rPr>
          <w:rFonts w:hint="cs"/>
          <w:snapToGrid w:val="0"/>
          <w:kern w:val="22"/>
          <w:rtl/>
        </w:rPr>
        <w:t xml:space="preserve"> </w:t>
      </w:r>
      <w:r>
        <w:rPr>
          <w:snapToGrid w:val="0"/>
          <w:kern w:val="22"/>
          <w:rtl/>
        </w:rPr>
        <w:t>–</w:t>
      </w:r>
      <w:r>
        <w:rPr>
          <w:rFonts w:hint="cs"/>
          <w:snapToGrid w:val="0"/>
          <w:kern w:val="22"/>
          <w:rtl/>
        </w:rPr>
        <w:t xml:space="preserve"> ينبغي جعل العملية لإعداد الإطار العالمي للتنوع البيولوجي لما بعد عام 2020 مرئية على الصعيد العالمي حتى يمكن وضع العملية في الخطة الدولية، وجعلها ذات صلة على المستوى الوطني وإعلام أكبر عدد ممكن من الناس بها؛</w:t>
      </w:r>
    </w:p>
    <w:p w:rsidR="00CC7A77" w:rsidRDefault="00CC7A77" w:rsidP="00CC7A77">
      <w:pPr>
        <w:spacing w:after="100" w:line="204" w:lineRule="auto"/>
        <w:ind w:firstLine="720"/>
        <w:rPr>
          <w:snapToGrid w:val="0"/>
          <w:kern w:val="22"/>
          <w:rtl/>
        </w:rPr>
      </w:pPr>
      <w:r>
        <w:rPr>
          <w:rFonts w:hint="cs"/>
          <w:snapToGrid w:val="0"/>
          <w:kern w:val="22"/>
          <w:rtl/>
        </w:rPr>
        <w:t>(ح)</w:t>
      </w:r>
      <w:r>
        <w:rPr>
          <w:rFonts w:hint="cs"/>
          <w:snapToGrid w:val="0"/>
          <w:kern w:val="22"/>
          <w:rtl/>
        </w:rPr>
        <w:tab/>
      </w:r>
      <w:r w:rsidRPr="0087091E">
        <w:rPr>
          <w:rFonts w:hint="cs"/>
          <w:i/>
          <w:iCs/>
          <w:snapToGrid w:val="0"/>
          <w:kern w:val="22"/>
          <w:rtl/>
        </w:rPr>
        <w:t>قائمة على المعارف</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ينبغي أن تستند </w:t>
      </w:r>
      <w:r>
        <w:rPr>
          <w:rFonts w:hint="cs"/>
          <w:snapToGrid w:val="0"/>
          <w:kern w:val="22"/>
          <w:rtl/>
        </w:rPr>
        <w:t xml:space="preserve">العملية </w:t>
      </w:r>
      <w:r w:rsidRPr="0087091E">
        <w:rPr>
          <w:rFonts w:hint="cs"/>
          <w:snapToGrid w:val="0"/>
          <w:kern w:val="22"/>
          <w:rtl/>
        </w:rPr>
        <w:t xml:space="preserve">إلى أفضل العلوم والأدلة المتاحة من نظم المعارف ذات الصلة، بما في ذلك العلوم الطبيعية والاجتماعية، والمعارف المحلية والتقليدية والأصلية، </w:t>
      </w:r>
      <w:r>
        <w:rPr>
          <w:rFonts w:hint="cs"/>
          <w:snapToGrid w:val="0"/>
          <w:kern w:val="22"/>
          <w:rtl/>
        </w:rPr>
        <w:t xml:space="preserve">وانخراط المواطنين في العلوم، </w:t>
      </w:r>
      <w:r w:rsidRPr="0087091E">
        <w:rPr>
          <w:rFonts w:hint="cs"/>
          <w:snapToGrid w:val="0"/>
          <w:kern w:val="22"/>
          <w:rtl/>
        </w:rPr>
        <w:t>فضلا عن أفضل الممارسات والدروس المستفادة</w:t>
      </w:r>
      <w:r>
        <w:rPr>
          <w:rFonts w:hint="cs"/>
          <w:snapToGrid w:val="0"/>
          <w:kern w:val="22"/>
          <w:rtl/>
        </w:rPr>
        <w:t xml:space="preserve"> </w:t>
      </w:r>
      <w:r w:rsidRPr="0087091E">
        <w:rPr>
          <w:rFonts w:hint="cs"/>
          <w:snapToGrid w:val="0"/>
          <w:kern w:val="22"/>
          <w:rtl/>
        </w:rPr>
        <w:t>من تنفيذ اتفاقية التنوع البيولوجي وبروتوكوليها حتى الآن؛</w:t>
      </w:r>
    </w:p>
    <w:p w:rsidR="00CC7A77" w:rsidRPr="0087091E" w:rsidRDefault="00CC7A77" w:rsidP="00CC7A77">
      <w:pPr>
        <w:spacing w:after="100" w:line="204" w:lineRule="auto"/>
        <w:ind w:firstLine="720"/>
        <w:rPr>
          <w:snapToGrid w:val="0"/>
          <w:kern w:val="22"/>
          <w:rtl/>
        </w:rPr>
      </w:pPr>
      <w:r>
        <w:rPr>
          <w:rFonts w:hint="cs"/>
          <w:snapToGrid w:val="0"/>
          <w:kern w:val="22"/>
          <w:rtl/>
        </w:rPr>
        <w:t>(ط</w:t>
      </w:r>
      <w:r>
        <w:rPr>
          <w:rFonts w:hint="eastAsia"/>
          <w:snapToGrid w:val="0"/>
          <w:kern w:val="22"/>
          <w:rtl/>
        </w:rPr>
        <w:t>)</w:t>
      </w:r>
      <w:r>
        <w:rPr>
          <w:rFonts w:hint="eastAsia"/>
          <w:snapToGrid w:val="0"/>
          <w:kern w:val="22"/>
          <w:rtl/>
        </w:rPr>
        <w:tab/>
      </w:r>
      <w:r w:rsidRPr="0087091E">
        <w:rPr>
          <w:rFonts w:hint="cs"/>
          <w:i/>
          <w:iCs/>
          <w:snapToGrid w:val="0"/>
          <w:kern w:val="22"/>
          <w:rtl/>
        </w:rPr>
        <w:t>شفافة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ينبغي أن تكون </w:t>
      </w:r>
      <w:r>
        <w:rPr>
          <w:rFonts w:hint="cs"/>
          <w:snapToGrid w:val="0"/>
          <w:kern w:val="22"/>
          <w:rtl/>
        </w:rPr>
        <w:t xml:space="preserve">العملية </w:t>
      </w:r>
      <w:r w:rsidRPr="0087091E">
        <w:rPr>
          <w:rFonts w:hint="cs"/>
          <w:snapToGrid w:val="0"/>
          <w:kern w:val="22"/>
          <w:rtl/>
        </w:rPr>
        <w:t>موثقة بشكل واضح</w:t>
      </w:r>
      <w:r>
        <w:rPr>
          <w:rFonts w:hint="cs"/>
          <w:snapToGrid w:val="0"/>
          <w:kern w:val="22"/>
          <w:rtl/>
        </w:rPr>
        <w:t>،</w:t>
      </w:r>
      <w:r w:rsidRPr="0087091E">
        <w:rPr>
          <w:rFonts w:hint="cs"/>
          <w:snapToGrid w:val="0"/>
          <w:kern w:val="22"/>
          <w:rtl/>
        </w:rPr>
        <w:t xml:space="preserve"> </w:t>
      </w:r>
      <w:r>
        <w:rPr>
          <w:rFonts w:hint="cs"/>
          <w:snapToGrid w:val="0"/>
          <w:kern w:val="22"/>
          <w:rtl/>
        </w:rPr>
        <w:t>بما في ذلك من خلال</w:t>
      </w:r>
      <w:r w:rsidRPr="0087091E">
        <w:rPr>
          <w:rFonts w:hint="cs"/>
          <w:snapToGrid w:val="0"/>
          <w:kern w:val="22"/>
          <w:rtl/>
        </w:rPr>
        <w:t xml:space="preserve"> تحديثات </w:t>
      </w:r>
      <w:r>
        <w:rPr>
          <w:rFonts w:hint="cs"/>
          <w:snapToGrid w:val="0"/>
          <w:kern w:val="22"/>
          <w:rtl/>
        </w:rPr>
        <w:t>للتقدم المحرز</w:t>
      </w:r>
      <w:r w:rsidRPr="0087091E">
        <w:rPr>
          <w:rFonts w:hint="cs"/>
          <w:snapToGrid w:val="0"/>
          <w:kern w:val="22"/>
          <w:rtl/>
        </w:rPr>
        <w:t xml:space="preserve"> </w:t>
      </w:r>
      <w:r>
        <w:rPr>
          <w:rFonts w:hint="cs"/>
          <w:snapToGrid w:val="0"/>
          <w:kern w:val="22"/>
          <w:rtl/>
        </w:rPr>
        <w:t xml:space="preserve">من الرئيسين المشاركين للفريق المفتوح العضوية العامل بين الدورات إلى </w:t>
      </w:r>
      <w:r w:rsidRPr="0087091E">
        <w:rPr>
          <w:rFonts w:hint="cs"/>
          <w:snapToGrid w:val="0"/>
          <w:kern w:val="22"/>
          <w:rtl/>
        </w:rPr>
        <w:t>مكتب مؤتمر الأطراف، و</w:t>
      </w:r>
      <w:r>
        <w:rPr>
          <w:rFonts w:hint="cs"/>
          <w:snapToGrid w:val="0"/>
          <w:kern w:val="22"/>
          <w:rtl/>
        </w:rPr>
        <w:t xml:space="preserve">إلى </w:t>
      </w:r>
      <w:r w:rsidRPr="0087091E">
        <w:rPr>
          <w:rFonts w:hint="cs"/>
          <w:snapToGrid w:val="0"/>
          <w:kern w:val="22"/>
          <w:rtl/>
        </w:rPr>
        <w:t>اجتماعات الهيئات الفرعية</w:t>
      </w:r>
      <w:r>
        <w:rPr>
          <w:rFonts w:hint="cs"/>
          <w:snapToGrid w:val="0"/>
          <w:kern w:val="22"/>
          <w:rtl/>
        </w:rPr>
        <w:t>.</w:t>
      </w:r>
      <w:r w:rsidRPr="0087091E">
        <w:rPr>
          <w:rFonts w:hint="cs"/>
          <w:snapToGrid w:val="0"/>
          <w:kern w:val="22"/>
          <w:rtl/>
        </w:rPr>
        <w:t xml:space="preserve"> وينبغي أيضا الإبلاغ بطريقة فعالة عن التقدم المحرز في إعداد الإطار العالمي للتنوع البيولوجي لما بعد عام 2020 وفرص المشاركة في العملية؛</w:t>
      </w:r>
    </w:p>
    <w:p w:rsidR="00CC7A77" w:rsidRPr="0087091E" w:rsidRDefault="00CC7A77" w:rsidP="00CC7A77">
      <w:pPr>
        <w:spacing w:after="100" w:line="204" w:lineRule="auto"/>
        <w:ind w:firstLine="720"/>
        <w:rPr>
          <w:snapToGrid w:val="0"/>
          <w:kern w:val="22"/>
          <w:rtl/>
        </w:rPr>
      </w:pPr>
      <w:r w:rsidRPr="0087091E">
        <w:rPr>
          <w:rFonts w:hint="cs"/>
          <w:snapToGrid w:val="0"/>
          <w:kern w:val="22"/>
          <w:rtl/>
        </w:rPr>
        <w:t>(</w:t>
      </w:r>
      <w:r>
        <w:rPr>
          <w:rFonts w:hint="cs"/>
          <w:snapToGrid w:val="0"/>
          <w:kern w:val="22"/>
          <w:rtl/>
        </w:rPr>
        <w:t>ي</w:t>
      </w:r>
      <w:r w:rsidRPr="0087091E">
        <w:rPr>
          <w:rFonts w:hint="cs"/>
          <w:snapToGrid w:val="0"/>
          <w:kern w:val="22"/>
          <w:rtl/>
        </w:rPr>
        <w:t>)</w:t>
      </w:r>
      <w:r w:rsidRPr="0087091E">
        <w:rPr>
          <w:rFonts w:hint="cs"/>
          <w:snapToGrid w:val="0"/>
          <w:kern w:val="22"/>
          <w:rtl/>
        </w:rPr>
        <w:tab/>
      </w:r>
      <w:r w:rsidRPr="0087091E">
        <w:rPr>
          <w:rFonts w:hint="cs"/>
          <w:i/>
          <w:iCs/>
          <w:snapToGrid w:val="0"/>
          <w:kern w:val="22"/>
          <w:rtl/>
        </w:rPr>
        <w:t>فعالة</w:t>
      </w:r>
      <w:r>
        <w:rPr>
          <w:rFonts w:hint="cs"/>
          <w:snapToGrid w:val="0"/>
          <w:kern w:val="22"/>
          <w:rtl/>
        </w:rPr>
        <w:t xml:space="preserve"> </w:t>
      </w:r>
      <w:r>
        <w:rPr>
          <w:snapToGrid w:val="0"/>
          <w:kern w:val="22"/>
          <w:rtl/>
        </w:rPr>
        <w:t>–</w:t>
      </w:r>
      <w:r>
        <w:rPr>
          <w:rFonts w:hint="cs"/>
          <w:snapToGrid w:val="0"/>
          <w:kern w:val="22"/>
          <w:rtl/>
        </w:rPr>
        <w:t xml:space="preserve"> ستستند العملية إلى العمليات القائمة، وتكون فعالة من حيث التكلفة، وتستفيد من فرص مشاركة الآراء وبناء التوافق العام؛</w:t>
      </w:r>
    </w:p>
    <w:p w:rsidR="00CC7A77" w:rsidRPr="0087091E" w:rsidRDefault="00CC7A77" w:rsidP="00CC7A77">
      <w:pPr>
        <w:spacing w:after="100" w:line="204" w:lineRule="auto"/>
        <w:ind w:firstLine="720"/>
        <w:rPr>
          <w:snapToGrid w:val="0"/>
          <w:kern w:val="22"/>
          <w:rtl/>
        </w:rPr>
      </w:pPr>
      <w:r w:rsidRPr="0087091E">
        <w:rPr>
          <w:rFonts w:hint="cs"/>
          <w:snapToGrid w:val="0"/>
          <w:kern w:val="22"/>
          <w:rtl/>
        </w:rPr>
        <w:t>(</w:t>
      </w:r>
      <w:r>
        <w:rPr>
          <w:rFonts w:hint="cs"/>
          <w:snapToGrid w:val="0"/>
          <w:kern w:val="22"/>
          <w:rtl/>
        </w:rPr>
        <w:t>ك</w:t>
      </w:r>
      <w:r w:rsidRPr="0087091E">
        <w:rPr>
          <w:rFonts w:hint="cs"/>
          <w:snapToGrid w:val="0"/>
          <w:kern w:val="22"/>
          <w:rtl/>
        </w:rPr>
        <w:t>)</w:t>
      </w:r>
      <w:r w:rsidRPr="0087091E">
        <w:rPr>
          <w:rFonts w:hint="cs"/>
          <w:snapToGrid w:val="0"/>
          <w:kern w:val="22"/>
          <w:rtl/>
        </w:rPr>
        <w:tab/>
      </w:r>
      <w:r w:rsidRPr="0087091E">
        <w:rPr>
          <w:rFonts w:hint="cs"/>
          <w:i/>
          <w:iCs/>
          <w:snapToGrid w:val="0"/>
          <w:kern w:val="22"/>
          <w:rtl/>
        </w:rPr>
        <w:t>موجهة نحو تحقيق النتائج</w:t>
      </w:r>
      <w:r>
        <w:rPr>
          <w:rFonts w:hint="cs"/>
          <w:snapToGrid w:val="0"/>
          <w:kern w:val="22"/>
          <w:rtl/>
        </w:rPr>
        <w:t xml:space="preserve"> </w:t>
      </w:r>
      <w:r>
        <w:rPr>
          <w:snapToGrid w:val="0"/>
          <w:kern w:val="22"/>
          <w:rtl/>
        </w:rPr>
        <w:t>–</w:t>
      </w:r>
      <w:r>
        <w:rPr>
          <w:rFonts w:hint="cs"/>
          <w:snapToGrid w:val="0"/>
          <w:kern w:val="22"/>
          <w:rtl/>
        </w:rPr>
        <w:t xml:space="preserve"> ستسعى العملية إلى تحديد المسائل في مرحلة مبكرة لمزيد من التوضيح، والمناقشة والاستكشاف. وسيتم إشراك الخبراء وأصحاب المصلحة المعنيين لمعالجة القضايا والحلول الواقعية المحتملة، مع الاستعانة بالتجارب في تنفيذ الخطة الاستراتيجية للتنوع البيولوجي 2011-2020؛</w:t>
      </w:r>
    </w:p>
    <w:p w:rsidR="00CC7A77" w:rsidRDefault="00CC7A77" w:rsidP="00CC7A77">
      <w:pPr>
        <w:spacing w:after="100" w:line="204" w:lineRule="auto"/>
        <w:ind w:firstLine="720"/>
        <w:rPr>
          <w:snapToGrid w:val="0"/>
          <w:kern w:val="22"/>
          <w:rtl/>
        </w:rPr>
      </w:pPr>
      <w:r w:rsidRPr="0087091E">
        <w:rPr>
          <w:rFonts w:hint="cs"/>
          <w:snapToGrid w:val="0"/>
          <w:kern w:val="22"/>
          <w:rtl/>
        </w:rPr>
        <w:lastRenderedPageBreak/>
        <w:t>(</w:t>
      </w:r>
      <w:r>
        <w:rPr>
          <w:rFonts w:hint="cs"/>
          <w:snapToGrid w:val="0"/>
          <w:kern w:val="22"/>
          <w:rtl/>
        </w:rPr>
        <w:t>ل</w:t>
      </w:r>
      <w:r w:rsidRPr="0087091E">
        <w:rPr>
          <w:rFonts w:hint="cs"/>
          <w:snapToGrid w:val="0"/>
          <w:kern w:val="22"/>
          <w:rtl/>
        </w:rPr>
        <w:t>)</w:t>
      </w:r>
      <w:r w:rsidRPr="0087091E">
        <w:rPr>
          <w:rFonts w:hint="cs"/>
          <w:snapToGrid w:val="0"/>
          <w:kern w:val="22"/>
          <w:rtl/>
        </w:rPr>
        <w:tab/>
      </w:r>
      <w:r w:rsidRPr="0087091E">
        <w:rPr>
          <w:rFonts w:hint="cs"/>
          <w:i/>
          <w:iCs/>
          <w:snapToGrid w:val="0"/>
          <w:kern w:val="22"/>
          <w:rtl/>
        </w:rPr>
        <w:t>متكررة</w:t>
      </w:r>
      <w:r w:rsidRPr="0087091E">
        <w:rPr>
          <w:rFonts w:hint="cs"/>
          <w:snapToGrid w:val="0"/>
          <w:kern w:val="22"/>
          <w:rtl/>
        </w:rPr>
        <w:t xml:space="preserve"> </w:t>
      </w:r>
      <w:r w:rsidRPr="0087091E">
        <w:rPr>
          <w:snapToGrid w:val="0"/>
          <w:kern w:val="22"/>
          <w:rtl/>
        </w:rPr>
        <w:t>–</w:t>
      </w:r>
      <w:r w:rsidRPr="0087091E">
        <w:rPr>
          <w:rFonts w:hint="cs"/>
          <w:snapToGrid w:val="0"/>
          <w:kern w:val="22"/>
          <w:rtl/>
        </w:rPr>
        <w:t xml:space="preserve"> </w:t>
      </w:r>
      <w:r>
        <w:rPr>
          <w:rFonts w:hint="cs"/>
          <w:snapToGrid w:val="0"/>
          <w:kern w:val="22"/>
          <w:rtl/>
        </w:rPr>
        <w:t>سيتم إعداد</w:t>
      </w:r>
      <w:r w:rsidRPr="0087091E">
        <w:rPr>
          <w:rFonts w:hint="cs"/>
          <w:snapToGrid w:val="0"/>
          <w:kern w:val="22"/>
          <w:rtl/>
        </w:rPr>
        <w:t xml:space="preserve"> الإطار العالمي للتنوع البيولوجي لما بعد عام 2020 بطريقة متكررة</w:t>
      </w:r>
      <w:r>
        <w:rPr>
          <w:rFonts w:hint="cs"/>
          <w:snapToGrid w:val="0"/>
          <w:kern w:val="22"/>
          <w:rtl/>
        </w:rPr>
        <w:t xml:space="preserve"> لتساعد </w:t>
      </w:r>
      <w:r w:rsidRPr="0087091E">
        <w:rPr>
          <w:rFonts w:hint="cs"/>
          <w:snapToGrid w:val="0"/>
          <w:kern w:val="22"/>
          <w:rtl/>
        </w:rPr>
        <w:t>في بناء توافق الآراء والملكية.</w:t>
      </w:r>
      <w:r>
        <w:rPr>
          <w:rFonts w:hint="cs"/>
          <w:snapToGrid w:val="0"/>
          <w:kern w:val="22"/>
          <w:rtl/>
        </w:rPr>
        <w:t xml:space="preserve"> وسيكون هناك فرصة واسعة للمهتمين بالأمر في التعليق على الوثائق ذات الصلة و/أو المشاركة في المشاورات ذات الصلة؛</w:t>
      </w:r>
    </w:p>
    <w:p w:rsidR="00CC7A77" w:rsidRPr="0087091E" w:rsidRDefault="00CC7A77" w:rsidP="00CC7A77">
      <w:pPr>
        <w:spacing w:after="100" w:line="204" w:lineRule="auto"/>
        <w:ind w:firstLine="720"/>
        <w:rPr>
          <w:snapToGrid w:val="0"/>
          <w:kern w:val="22"/>
        </w:rPr>
      </w:pPr>
      <w:r>
        <w:rPr>
          <w:rFonts w:hint="cs"/>
          <w:snapToGrid w:val="0"/>
          <w:kern w:val="22"/>
          <w:rtl/>
        </w:rPr>
        <w:t>(م)</w:t>
      </w:r>
      <w:r>
        <w:rPr>
          <w:rFonts w:hint="cs"/>
          <w:snapToGrid w:val="0"/>
          <w:kern w:val="22"/>
          <w:rtl/>
        </w:rPr>
        <w:tab/>
      </w:r>
      <w:r>
        <w:rPr>
          <w:rFonts w:hint="cs"/>
          <w:i/>
          <w:iCs/>
          <w:snapToGrid w:val="0"/>
          <w:kern w:val="22"/>
          <w:rtl/>
        </w:rPr>
        <w:t>مر</w:t>
      </w:r>
      <w:r w:rsidRPr="00C10337">
        <w:rPr>
          <w:rFonts w:hint="cs"/>
          <w:i/>
          <w:iCs/>
          <w:snapToGrid w:val="0"/>
          <w:kern w:val="22"/>
          <w:rtl/>
        </w:rPr>
        <w:t>نة</w:t>
      </w:r>
      <w:r>
        <w:rPr>
          <w:rFonts w:hint="cs"/>
          <w:snapToGrid w:val="0"/>
          <w:kern w:val="22"/>
          <w:rtl/>
        </w:rPr>
        <w:t xml:space="preserve"> </w:t>
      </w:r>
      <w:r>
        <w:rPr>
          <w:snapToGrid w:val="0"/>
          <w:kern w:val="22"/>
          <w:rtl/>
        </w:rPr>
        <w:t>–</w:t>
      </w:r>
      <w:r>
        <w:rPr>
          <w:rFonts w:hint="cs"/>
          <w:snapToGrid w:val="0"/>
          <w:kern w:val="22"/>
          <w:rtl/>
        </w:rPr>
        <w:t xml:space="preserve"> سيتم تنفيذ العملية بطريقة مرنة للتكيف مع الظروف المتغيرة، والتطورات العالمية الجديدة، وللاستفادة من الفرص الناشئة التي ستظهر على مدى الفترة فيما بين الدورات وتحقيق أفضل استخدام للموارد والمعارف.</w:t>
      </w:r>
    </w:p>
    <w:p w:rsidR="00CC7A77" w:rsidRDefault="00CC7A77" w:rsidP="00CC7A77">
      <w:pPr>
        <w:kinsoku w:val="0"/>
        <w:overflowPunct w:val="0"/>
        <w:autoSpaceDE w:val="0"/>
        <w:autoSpaceDN w:val="0"/>
        <w:adjustRightInd w:val="0"/>
        <w:snapToGrid w:val="0"/>
        <w:jc w:val="center"/>
        <w:rPr>
          <w:b/>
          <w:bCs/>
          <w:snapToGrid w:val="0"/>
          <w:kern w:val="22"/>
          <w:rtl/>
        </w:rPr>
      </w:pPr>
      <w:r w:rsidRPr="00A92945">
        <w:rPr>
          <w:rFonts w:hint="cs"/>
          <w:b/>
          <w:bCs/>
          <w:snapToGrid w:val="0"/>
          <w:kern w:val="22"/>
          <w:rtl/>
        </w:rPr>
        <w:t>باء -</w:t>
      </w:r>
      <w:r w:rsidRPr="00A92945">
        <w:rPr>
          <w:rFonts w:hint="cs"/>
          <w:b/>
          <w:bCs/>
          <w:snapToGrid w:val="0"/>
          <w:kern w:val="22"/>
          <w:rtl/>
        </w:rPr>
        <w:tab/>
      </w:r>
      <w:r>
        <w:rPr>
          <w:rFonts w:hint="cs"/>
          <w:b/>
          <w:bCs/>
          <w:snapToGrid w:val="0"/>
          <w:kern w:val="22"/>
          <w:rtl/>
        </w:rPr>
        <w:t>تنظيم العمل للتحضير للإطار العالمي للتنوع البيولوجي لما بعد عام 2020</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إن المفاوضات لإعداد الإطار العالمي للتنوع البيولوجي لما بعد عام 2020، قبل الاجتماع الخامس عشر لمؤتمر الأطراف في اتفاقية التنوع البيولوجي، سيتم إجراؤها بواسطة فريق مفتوح العضوية عامل بين الدورات مكرس تحت قيادة رئيسين مشاركين ويشرف عليها مكتب مؤتمر الأطراف. وتنتهي العملية الرسمية للتفاوض حول الإطار العالمي للتنوع البيولوجي لما بعد عام 2020 باعتماد إطار عالمي للتنوع البيولوجي لما بعد عام 2020 بواسطة مؤتمر الأطراف وتأييده من قبل اجتماعي مؤتمر الأطراف العاملين كاجتماع للأطراف في البروتوكولين في اجتماعاتهم في عام 2020.</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وسيتألف الفريق المفتوح العضوية العامل بين الدورات من ممثلي الأطراف في الاتفاقية والبروتوكولين ويكون مفتوحا للمراقبين، بما في ذلك من الحكومات الأخرى، والشعوب الأصلية والمجتمعات المحلية، ومنظمات الأمم المتحدة وبرامجها، والاتفاقات البيئية المتعددة الأطراف الأخرى، والحكومات دون الوطنية والمدن والسلطات المحلية الأخرى، والمنظمات الحكومية الدولية، والمنظمات غير الحكومية، ومجموعات النساء، ومجموعات الشباب، ومجتمع قطاع الأعمال والمجتمع المالي، والمجتمع العلمي، والأوساط الأكاديمية، والمنظمات الدينية، وممثلي القطاعات ذات الصلة بالتنوع البيولوجي أو التي تعتمد عليه، والمواطنين عموما، وأصحاب المصلحة الآخرين.</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 xml:space="preserve">ومن المتوقع أن الفريق المفتوح العضوية العامل بين الدورات سيجتمع مرتين على الأقل في الفترة بين الدورات. ومن المتوقع عقد اجتماعات إضافية إذا دعت الضرورة إلى ذلك، رهنا بتوافر الموارد. وتشمل الاعتبارات لتوقيت اجتماعات الفريق المفتوح العضوية العامل بين الدورات ما يلي: (أ) </w:t>
      </w:r>
      <w:r w:rsidRPr="00964B33">
        <w:rPr>
          <w:rFonts w:cs="Simplified Arabic"/>
          <w:snapToGrid w:val="0"/>
          <w:kern w:val="22"/>
          <w:rtl/>
          <w:lang w:bidi="ar-SA"/>
        </w:rPr>
        <w:t xml:space="preserve">الحاجة إلى </w:t>
      </w:r>
      <w:r>
        <w:rPr>
          <w:rFonts w:cs="Simplified Arabic" w:hint="cs"/>
          <w:snapToGrid w:val="0"/>
          <w:kern w:val="22"/>
          <w:rtl/>
          <w:lang w:bidi="ar-SA"/>
        </w:rPr>
        <w:t>بناء</w:t>
      </w:r>
      <w:r w:rsidRPr="00964B33">
        <w:rPr>
          <w:rFonts w:cs="Simplified Arabic"/>
          <w:snapToGrid w:val="0"/>
          <w:kern w:val="22"/>
          <w:rtl/>
          <w:lang w:bidi="ar-SA"/>
        </w:rPr>
        <w:t xml:space="preserve"> عملية تشاورية مطورة بما فيه الكفاية كأساس لمناقشاتها</w:t>
      </w:r>
      <w:r>
        <w:rPr>
          <w:rFonts w:cs="Simplified Arabic" w:hint="cs"/>
          <w:snapToGrid w:val="0"/>
          <w:kern w:val="22"/>
          <w:rtl/>
        </w:rPr>
        <w:t>؛ (ب) توقيت وتواتر العلاقة مع الاجتماعات الأخرى المقررة في الفترة بين الدورات؛ (ج) توافر المرافق الملائمة لمشاركة العدد المتوقع من المندوبين. وسيعد الرئيسان المشاركان للفريق المفتوح العضوية العامل بين الدورات والأمينة التنفيذية، بالتشاور مع مكتب مؤتمر الأطراف، الجدول الزمني للأنشطة الرئيسية</w:t>
      </w:r>
      <w:r w:rsidRPr="00286B9D">
        <w:rPr>
          <w:rFonts w:eastAsia="PMingLiU" w:cs="Simplified Arabic" w:hint="cs"/>
          <w:snapToGrid w:val="0"/>
          <w:kern w:val="22"/>
          <w:sz w:val="24"/>
          <w:rtl/>
          <w:lang w:val="fr-CA" w:eastAsia="ar-SA" w:bidi="ar-SA"/>
        </w:rPr>
        <w:t xml:space="preserve"> </w:t>
      </w:r>
      <w:r w:rsidRPr="00286B9D">
        <w:rPr>
          <w:rFonts w:cs="Simplified Arabic" w:hint="cs"/>
          <w:snapToGrid w:val="0"/>
          <w:kern w:val="22"/>
          <w:rtl/>
          <w:lang w:bidi="ar-SA"/>
        </w:rPr>
        <w:t>وسيقومون</w:t>
      </w:r>
      <w:r>
        <w:rPr>
          <w:rFonts w:cs="Simplified Arabic" w:hint="cs"/>
          <w:snapToGrid w:val="0"/>
          <w:kern w:val="22"/>
          <w:rtl/>
          <w:lang w:bidi="ar-SA"/>
        </w:rPr>
        <w:t xml:space="preserve"> بتحديثه</w:t>
      </w:r>
      <w:r w:rsidRPr="00286B9D">
        <w:rPr>
          <w:rFonts w:cs="Simplified Arabic" w:hint="cs"/>
          <w:snapToGrid w:val="0"/>
          <w:kern w:val="22"/>
          <w:rtl/>
          <w:lang w:bidi="ar-SA"/>
        </w:rPr>
        <w:t xml:space="preserve"> في أقرب وقت ممكن وبانتظام </w:t>
      </w:r>
      <w:r>
        <w:rPr>
          <w:rFonts w:cs="Simplified Arabic" w:hint="cs"/>
          <w:snapToGrid w:val="0"/>
          <w:kern w:val="22"/>
          <w:rtl/>
          <w:lang w:bidi="ar-SA"/>
        </w:rPr>
        <w:t>من أجل</w:t>
      </w:r>
      <w:r>
        <w:rPr>
          <w:rFonts w:cs="Simplified Arabic" w:hint="cs"/>
          <w:snapToGrid w:val="0"/>
          <w:kern w:val="22"/>
          <w:rtl/>
        </w:rPr>
        <w:t xml:space="preserve"> إعداد الإطار العالمي للتنوع البيولوجي لما بعد عام 2020، وإتاحته للأطراف وأصحاب المصلحة.</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وعناصر العمل ذات الصلة بإعداد الإطار العالمي للتنوع البيولوجي لما بعد عام 2020 سيتم تنفيذها بواسطة الهيئة الفرعية للمشورة العلمية والتقنية والتكنولوجية، والهيئة الفرعية للتنفيذ والفريق العامل المفتوح العضوية المخصص للمادة 8(ي) وعمل الفريق المفتوح العضوية سيكون متعاضدا، مع تجنب الإزدواجية في الجهود.</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وبالنسبة للمسائل التي لم تحدد بعد مساهمة كل من الهيئة الفرعية للمشورة العلمية والتقنية والتكنولوجية، والهيئة الفرعية للتنفيذ والفريق العامل المفتوح العضوية المخصص للمادة 8(ي) والأحكام المتصلة بها والفريق المفتوح العضوية العامل بين الدورات، ينبغي أن ينسق الرئيسين المشاركين للفريق المفتوح العضوية العامل بين الدورات مع رئيس مؤتمر الأطراف ورئيس كل من الهيئة الفرعية للمشورة العلمية والتقنية والتكنولوجية، والهيئة الفرعية للتنفيذ لإسداء المشورة إلى المكتب ذي الصلة من أـجل تحديد بنود جداول أعمال اجتماعات كل منهم بطريقة آنية ولإعداد الوثائق ذات الصلة.</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 xml:space="preserve">ومن المتوقع أن الرئيسين المشاركين للفريق المفتوح العضوية العامل بين الدورات لتحضير الإطار العالمي للتنوع البيولوجي لما بعد عام 2020 سيخصصا وقتا كافيا لقيادة العملية على مدى 22 شهرا من إعدادها. وسيرشدا عمل الأمانة في تيسير العملية. وسيشارك الرئيسان المشاركان، بصفتهما أعضاء بحكم منصبهما، في اجتماعات مكتب مؤتمر الأطراف الذي </w:t>
      </w:r>
      <w:r>
        <w:rPr>
          <w:rFonts w:cs="Simplified Arabic" w:hint="cs"/>
          <w:snapToGrid w:val="0"/>
          <w:kern w:val="22"/>
          <w:rtl/>
        </w:rPr>
        <w:lastRenderedPageBreak/>
        <w:t>يقوم بالاشراف على العملية لإعداد الإطار العالمي للتنوع البيولوجي لما بعد عام 2020. وسيشارك الرئيسان المشاركان أيضا في الاجتماعات ذات الصلة لمكتب الهيئة الفرعية للمشورة العلمية والتقنية والتكنولوجية. وبالإضافة إلى رئيس كل من الهيئة الفرعية للتنفيذ والهيئة الفرعية للمشورة العلمية والتقنية والتكنولوجية، فضلا عن رئاسة الاجتماع الخامس عشر لمؤتمر الأطراف، سيدعون للمشاركة بصفتهم أعضاء بحكم منصبهم في اجتماعات مكتب مؤتمر الأطراف بشأن المسائل المتعلقة بإعداد الإطار العالمي للتنوع البيولوجي لما بعد عام 2020.</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وسيسعى الرئيسان المشاركان إلى ضمان الاتساق والتكامل للإطار العالمي للتنوع البيولوجي لما بعد عام 2020 مع العمليات الدولية الأخرى القائمة أو القادمة، ولاسيما فيما يتعلق بالاتساق والتجانس مع خطة التنمية المستدامة لعام 2030، واتفاق باريس</w:t>
      </w:r>
      <w:r>
        <w:rPr>
          <w:rStyle w:val="FootnoteReference"/>
          <w:snapToGrid w:val="0"/>
          <w:kern w:val="22"/>
          <w:rtl/>
        </w:rPr>
        <w:footnoteReference w:id="310"/>
      </w:r>
      <w:r>
        <w:rPr>
          <w:rFonts w:cs="Simplified Arabic" w:hint="cs"/>
          <w:snapToGrid w:val="0"/>
          <w:kern w:val="22"/>
          <w:rtl/>
        </w:rPr>
        <w:t xml:space="preserve"> والعمليات والأطر والاستراتيجيات الأخرى ذات الصلة.</w:t>
      </w:r>
      <w:r w:rsidRPr="00063607">
        <w:rPr>
          <w:rStyle w:val="FootnoteReference"/>
          <w:snapToGrid w:val="0"/>
          <w:kern w:val="22"/>
          <w:sz w:val="24"/>
          <w:rtl/>
        </w:rPr>
        <w:footnoteReference w:id="311"/>
      </w:r>
      <w:r>
        <w:rPr>
          <w:rFonts w:cs="Simplified Arabic" w:hint="cs"/>
          <w:snapToGrid w:val="0"/>
          <w:kern w:val="22"/>
          <w:rtl/>
        </w:rPr>
        <w:t xml:space="preserve"> وسيشجعان الاتفاقات البيئية المتعددة الأطراف الأخرى، بما في ذلك الاتفاقيات المتعلقة بالتنوع البيولوجي واتفاقيات ريو، والمنظمات الدولية الأخرى وبرامجها، والعمليات الأخرى ذات الصلة على المشاركة بفعالية في عملية إعداد الإطار العالمي للتنوع البيولوجي لما بعد عام 2020. وستستند العملية إلى العمل الجاري في إطار الاتفاقية وبروتوكوليها لتعزيز تنفيذ آليات الدعم واستعراض التنفيذ.</w:t>
      </w:r>
    </w:p>
    <w:p w:rsidR="00CC7A77" w:rsidRPr="005A0F89" w:rsidRDefault="00CC7A77" w:rsidP="00CC7A77">
      <w:pPr>
        <w:pStyle w:val="ListParagraph"/>
        <w:kinsoku w:val="0"/>
        <w:overflowPunct w:val="0"/>
        <w:autoSpaceDE w:val="0"/>
        <w:autoSpaceDN w:val="0"/>
        <w:bidi/>
        <w:adjustRightInd w:val="0"/>
        <w:snapToGrid w:val="0"/>
        <w:spacing w:line="216" w:lineRule="auto"/>
        <w:ind w:left="0"/>
        <w:jc w:val="center"/>
        <w:rPr>
          <w:rFonts w:cs="Simplified Arabic"/>
          <w:b/>
          <w:bCs/>
          <w:snapToGrid w:val="0"/>
          <w:kern w:val="22"/>
        </w:rPr>
      </w:pPr>
      <w:r w:rsidRPr="005A0F89">
        <w:rPr>
          <w:rFonts w:cs="Simplified Arabic" w:hint="cs"/>
          <w:b/>
          <w:bCs/>
          <w:snapToGrid w:val="0"/>
          <w:kern w:val="22"/>
          <w:rtl/>
        </w:rPr>
        <w:t>جيم -</w:t>
      </w:r>
      <w:r w:rsidRPr="005A0F89">
        <w:rPr>
          <w:rFonts w:cs="Simplified Arabic" w:hint="cs"/>
          <w:b/>
          <w:bCs/>
          <w:snapToGrid w:val="0"/>
          <w:kern w:val="22"/>
          <w:rtl/>
        </w:rPr>
        <w:tab/>
        <w:t>العملية التشاورية</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عقب الإرشادات من الرئيسين المشاركين للفريق المفتوح العضوية العامل بين الدورات، ستنظم مشاورات، من خلال العمليات المناسبة، بما في ذلك على سبيل المثال وليس الحصر منتديات للمناقشة عبر الانترنت، وحلقات عمل عالمية وإقليمية ومواضيعية. والمشاورات الإقليمية الأولية ينبغي أن تتم مبكرا في العملية. وينبغي إتاحة نتائج هذه المشاورات علنا وإتاحتها لكي ينظر فيها الفريق المفتوح العضوية العامل بين الدورات.</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وتعتمد فعالية العملية لإعداد الإطار العالمي للتنوع البيولوجي لما بعد عام 2020 على المشاركة الفعالة لجميع الأطراف في الاتفاقية والبروتوكولين، بما في ذلك من خلال تعزيز المشاورات الوطنية الجدية. وبصفة خاصة، تشجع الأطراف على القيام بما يلي، عند إعداد الإطار العالمي للتنوع البيولوجي لما بعد عام 2020:</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(أ)</w:t>
      </w:r>
      <w:r>
        <w:rPr>
          <w:rFonts w:cs="Simplified Arabic" w:hint="cs"/>
          <w:snapToGrid w:val="0"/>
          <w:kern w:val="22"/>
          <w:rtl/>
        </w:rPr>
        <w:tab/>
        <w:t>تعزيز المشاركة الفعالة لنقاط الاتصال التابعة للاتفاقية والب</w:t>
      </w:r>
      <w:r w:rsidR="00023979">
        <w:rPr>
          <w:rFonts w:cs="Simplified Arabic" w:hint="cs"/>
          <w:snapToGrid w:val="0"/>
          <w:kern w:val="22"/>
          <w:rtl/>
        </w:rPr>
        <w:t>ر</w:t>
      </w:r>
      <w:r>
        <w:rPr>
          <w:rFonts w:cs="Simplified Arabic" w:hint="cs"/>
          <w:snapToGrid w:val="0"/>
          <w:kern w:val="22"/>
          <w:rtl/>
        </w:rPr>
        <w:t>وتوكولين وتشجيع مشاركة نقاط الاتصال الوطنية الأخرى للاتفاقات والعمليات الدولية والإقليمية الأخرى، بما في ذلك الاتفاقيات الأخرى المتعلقة بالتنوع البيولوجي، ونقاط الاتصال في منظمات الأمم المتحدة وبرامجها، مثل منظمة الأغذية والزراعة للأمم المتحدة، وممثلي القطاعات الأخرى؛</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(ب)</w:t>
      </w:r>
      <w:r>
        <w:rPr>
          <w:rFonts w:cs="Simplified Arabic" w:hint="cs"/>
          <w:snapToGrid w:val="0"/>
          <w:kern w:val="22"/>
          <w:rtl/>
        </w:rPr>
        <w:tab/>
        <w:t>تعزيز المشاركة الفعالة للمراقبين وأصحاب المصلحة؛</w:t>
      </w:r>
    </w:p>
    <w:p w:rsidR="00CC7A77" w:rsidRPr="00431B59"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Pr>
      </w:pPr>
      <w:r>
        <w:rPr>
          <w:rFonts w:cs="Simplified Arabic" w:hint="cs"/>
          <w:snapToGrid w:val="0"/>
          <w:kern w:val="22"/>
          <w:rtl/>
        </w:rPr>
        <w:t>(ج)</w:t>
      </w:r>
      <w:r>
        <w:rPr>
          <w:rFonts w:cs="Simplified Arabic" w:hint="cs"/>
          <w:snapToGrid w:val="0"/>
          <w:kern w:val="22"/>
          <w:rtl/>
        </w:rPr>
        <w:tab/>
        <w:t xml:space="preserve">السعي إلى دعم المشاركة النشطة لجميع أصحاب المصلحة المعنيين على المستويين الوطني ودون الوطني، بما في ذلك السلطات المحلية، والمدن، وقطاع الأعمال، والقطاع المالي، والقطاعات الإنتاجية - مثل الزراعة والحراجة ومصايد الأسماك والسياحة، والصحة، والبنية التحتية، والطاقة والتعدين، والبنية التحتية، والصناعات التحويلية </w:t>
      </w:r>
      <w:r>
        <w:rPr>
          <w:rFonts w:cs="Simplified Arabic" w:hint="cs"/>
          <w:snapToGrid w:val="0"/>
          <w:kern w:val="22"/>
          <w:rtl/>
        </w:rPr>
        <w:lastRenderedPageBreak/>
        <w:t>والتجهيز - والمجتمع المدني، ومنظمات النساء، والشباب، والأوساط الأكاديمية، والمواطنين والشعوب الأصلية والمجتمعات المحلية.</w:t>
      </w:r>
    </w:p>
    <w:p w:rsidR="00CC7A77" w:rsidRPr="00BD4B07" w:rsidRDefault="00CC7A77" w:rsidP="00CC7A77">
      <w:pPr>
        <w:pStyle w:val="ListParagraph"/>
        <w:keepNext/>
        <w:kinsoku w:val="0"/>
        <w:overflowPunct w:val="0"/>
        <w:autoSpaceDE w:val="0"/>
        <w:autoSpaceDN w:val="0"/>
        <w:bidi/>
        <w:adjustRightInd w:val="0"/>
        <w:snapToGrid w:val="0"/>
        <w:spacing w:line="216" w:lineRule="auto"/>
        <w:ind w:left="0"/>
        <w:jc w:val="center"/>
        <w:rPr>
          <w:rFonts w:cs="Simplified Arabic"/>
          <w:b/>
          <w:bCs/>
          <w:snapToGrid w:val="0"/>
          <w:kern w:val="22"/>
        </w:rPr>
      </w:pPr>
      <w:r w:rsidRPr="00BD4B07">
        <w:rPr>
          <w:rFonts w:cs="Simplified Arabic" w:hint="cs"/>
          <w:b/>
          <w:bCs/>
          <w:snapToGrid w:val="0"/>
          <w:kern w:val="22"/>
          <w:rtl/>
        </w:rPr>
        <w:t>دال -</w:t>
      </w:r>
      <w:r w:rsidRPr="00BD4B07">
        <w:rPr>
          <w:rFonts w:cs="Simplified Arabic" w:hint="cs"/>
          <w:b/>
          <w:bCs/>
          <w:snapToGrid w:val="0"/>
          <w:kern w:val="22"/>
          <w:rtl/>
        </w:rPr>
        <w:tab/>
        <w:t>الوثائق</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سيتم إتاحة وثيقة مناقشة أولية تلخص وتحلل الآراء الأولية للأطراف والمراقبين في يناير/كانون الثاني 2019. ووثيقة المناقشة الأولية هذه، والتعقيبات اللاحقة عليها من الأطراف والمراقبين وأصحاب المصلحة، سيتم تطويرها كذلك بطريقة تكرارية، مع الاستعانة بمشاورات ومدخلات وعمليات استعراض مختلفة، تقدم الأساس للوثائق التي سيتم النظر فيها في الفترة بين الدورات. وستقدم الوثائق الأساس لمناقشة ما يلي:</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(أ)</w:t>
      </w:r>
      <w:r>
        <w:rPr>
          <w:rFonts w:cs="Simplified Arabic" w:hint="cs"/>
          <w:snapToGrid w:val="0"/>
          <w:kern w:val="22"/>
          <w:rtl/>
        </w:rPr>
        <w:tab/>
        <w:t>مدى وعناصر وهيكل الإطار العالمي للتنوع البيولوجي لما بعد عام 2020؛</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(ب)</w:t>
      </w:r>
      <w:r>
        <w:rPr>
          <w:rFonts w:cs="Simplified Arabic" w:hint="cs"/>
          <w:snapToGrid w:val="0"/>
          <w:kern w:val="22"/>
          <w:rtl/>
        </w:rPr>
        <w:tab/>
        <w:t>الاعتبارات ذات الصلة بالأهداف الطموحة، والواقعية، وإن أمكن، القابلة للقياس، والمحددة زمنيا، وما يصاحبها من مؤشرات، وأطر للإبلاغ والرصد وخطوط أساس يتم إعدادها بطريقة متسقة؛</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(ج)</w:t>
      </w:r>
      <w:r>
        <w:rPr>
          <w:rFonts w:cs="Simplified Arabic" w:hint="cs"/>
          <w:snapToGrid w:val="0"/>
          <w:kern w:val="22"/>
          <w:rtl/>
        </w:rPr>
        <w:tab/>
        <w:t>آليات لرصد واستعراض التنفيذ، بما في ذلك من خلال استخدام المؤشرات ومواءمة الإبلاغ الوطني في إطار الاتفاقية وبروتوكوليها؛</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(د)</w:t>
      </w:r>
      <w:r>
        <w:rPr>
          <w:rFonts w:cs="Simplified Arabic" w:hint="cs"/>
          <w:snapToGrid w:val="0"/>
          <w:kern w:val="22"/>
          <w:rtl/>
        </w:rPr>
        <w:tab/>
        <w:t>وسائل لتعزيز سبل التنفيذ وآليات التنفيذ، بما في ذلك نقل التكنولوجيا، وبناء القدرات وحشد الموارد؛</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sidRPr="00562B5C">
        <w:rPr>
          <w:rFonts w:ascii="Simplified Arabic" w:hAnsi="Simplified Arabic" w:cs="Simplified Arabic"/>
          <w:snapToGrid w:val="0"/>
          <w:kern w:val="22"/>
          <w:rtl/>
        </w:rPr>
        <w:t>(ھ)</w:t>
      </w:r>
      <w:r>
        <w:rPr>
          <w:rFonts w:cs="Simplified Arabic" w:hint="cs"/>
          <w:snapToGrid w:val="0"/>
          <w:kern w:val="22"/>
          <w:rtl/>
        </w:rPr>
        <w:tab/>
        <w:t>الدور المحتمل والطرائق المحتملة للالتزامات الطوعية؛</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w:t>
      </w:r>
      <w:r>
        <w:rPr>
          <w:rFonts w:ascii="Simplified Arabic" w:hAnsi="Simplified Arabic" w:cs="Simplified Arabic" w:hint="cs"/>
          <w:snapToGrid w:val="0"/>
          <w:kern w:val="22"/>
          <w:rtl/>
        </w:rPr>
        <w:t>و</w:t>
      </w:r>
      <w:r>
        <w:rPr>
          <w:rFonts w:cs="Simplified Arabic" w:hint="cs"/>
          <w:snapToGrid w:val="0"/>
          <w:kern w:val="22"/>
          <w:rtl/>
        </w:rPr>
        <w:t>)</w:t>
      </w:r>
      <w:r>
        <w:rPr>
          <w:rFonts w:cs="Simplified Arabic" w:hint="cs"/>
          <w:snapToGrid w:val="0"/>
          <w:kern w:val="22"/>
          <w:rtl/>
        </w:rPr>
        <w:tab/>
        <w:t>الإرتكاز العلمي لنطاق ومدى الإجراءات اللازمة لإحداث التقدم نحو رؤية عام 2050، وخطة التنمية المستدامة لعام 2030 وأهداف التنمية المستدامة، واتفاق باريس</w:t>
      </w:r>
      <w:r>
        <w:rPr>
          <w:rStyle w:val="FootnoteReference"/>
          <w:snapToGrid w:val="0"/>
          <w:kern w:val="22"/>
          <w:rtl/>
        </w:rPr>
        <w:footnoteReference w:id="312"/>
      </w:r>
      <w:r>
        <w:rPr>
          <w:rFonts w:cs="Simplified Arabic" w:hint="cs"/>
          <w:snapToGrid w:val="0"/>
          <w:kern w:val="22"/>
          <w:rtl/>
        </w:rPr>
        <w:t xml:space="preserve"> ولعكس اتجاه فقدان التنوع البيولوجي والتغير التحويلي؛</w:t>
      </w:r>
    </w:p>
    <w:p w:rsidR="00CC7A77" w:rsidRDefault="00CC7A77" w:rsidP="00CC7A77">
      <w:pPr>
        <w:pStyle w:val="ListParagraph"/>
        <w:kinsoku w:val="0"/>
        <w:overflowPunct w:val="0"/>
        <w:autoSpaceDE w:val="0"/>
        <w:autoSpaceDN w:val="0"/>
        <w:bidi/>
        <w:adjustRightInd w:val="0"/>
        <w:snapToGrid w:val="0"/>
        <w:spacing w:line="216" w:lineRule="auto"/>
        <w:ind w:left="0" w:firstLine="720"/>
        <w:rPr>
          <w:rFonts w:cs="Simplified Arabic"/>
          <w:snapToGrid w:val="0"/>
          <w:kern w:val="22"/>
          <w:rtl/>
        </w:rPr>
      </w:pPr>
      <w:r>
        <w:rPr>
          <w:rFonts w:cs="Simplified Arabic" w:hint="cs"/>
          <w:snapToGrid w:val="0"/>
          <w:kern w:val="22"/>
          <w:rtl/>
        </w:rPr>
        <w:t>(ز)</w:t>
      </w:r>
      <w:r>
        <w:rPr>
          <w:rFonts w:cs="Simplified Arabic" w:hint="cs"/>
          <w:snapToGrid w:val="0"/>
          <w:kern w:val="22"/>
          <w:rtl/>
        </w:rPr>
        <w:tab/>
        <w:t>الاتجاهات العالمية الأخرى التي يمكن أن تؤثر على التنوع البيولوجي والنظم الإيكولوجية في العقود القادمة والتحديات الرئيسية للتنوع البيولوجي، بما في ذلك التطورات التكنولوجية، وأنماط الاستهلاك، والاتجاهات الديمغرافية واتجاهات الهجرة والتطورات الاجتماعية الاقتصادية الأخرى؛</w:t>
      </w:r>
    </w:p>
    <w:p w:rsidR="00CC7A77" w:rsidRDefault="00CC7A77" w:rsidP="00246CBF">
      <w:pPr>
        <w:pStyle w:val="ListParagraph"/>
        <w:kinsoku w:val="0"/>
        <w:overflowPunct w:val="0"/>
        <w:autoSpaceDE w:val="0"/>
        <w:autoSpaceDN w:val="0"/>
        <w:bidi/>
        <w:adjustRightInd w:val="0"/>
        <w:snapToGrid w:val="0"/>
        <w:spacing w:after="100" w:line="204" w:lineRule="auto"/>
        <w:ind w:left="0" w:firstLine="720"/>
        <w:rPr>
          <w:rFonts w:cs="Simplified Arabic"/>
          <w:snapToGrid w:val="0"/>
          <w:kern w:val="22"/>
          <w:rtl/>
        </w:rPr>
      </w:pPr>
      <w:r>
        <w:rPr>
          <w:rFonts w:cs="Simplified Arabic" w:hint="cs"/>
          <w:snapToGrid w:val="0"/>
          <w:kern w:val="22"/>
          <w:rtl/>
        </w:rPr>
        <w:t>(ح)</w:t>
      </w:r>
      <w:r>
        <w:rPr>
          <w:rFonts w:cs="Simplified Arabic" w:hint="cs"/>
          <w:snapToGrid w:val="0"/>
          <w:kern w:val="22"/>
          <w:rtl/>
        </w:rPr>
        <w:tab/>
        <w:t>النُهج لتعزيز التغير التحويلي والتحقيق الأكثر كفاءة للنتائج الإيجابية للتنوع البيولوجي لما بعد عام 2020؛</w:t>
      </w:r>
    </w:p>
    <w:p w:rsidR="00CC7A77" w:rsidRDefault="00CC7A77" w:rsidP="00246CBF">
      <w:pPr>
        <w:pStyle w:val="ListParagraph"/>
        <w:kinsoku w:val="0"/>
        <w:overflowPunct w:val="0"/>
        <w:autoSpaceDE w:val="0"/>
        <w:autoSpaceDN w:val="0"/>
        <w:bidi/>
        <w:adjustRightInd w:val="0"/>
        <w:snapToGrid w:val="0"/>
        <w:spacing w:after="100" w:line="204" w:lineRule="auto"/>
        <w:ind w:left="0" w:firstLine="720"/>
        <w:rPr>
          <w:rFonts w:cs="Simplified Arabic"/>
          <w:snapToGrid w:val="0"/>
          <w:kern w:val="22"/>
          <w:rtl/>
        </w:rPr>
      </w:pPr>
      <w:r>
        <w:rPr>
          <w:rFonts w:cs="Simplified Arabic" w:hint="cs"/>
          <w:snapToGrid w:val="0"/>
          <w:kern w:val="22"/>
          <w:rtl/>
        </w:rPr>
        <w:t>(ط)</w:t>
      </w:r>
      <w:r>
        <w:rPr>
          <w:rFonts w:cs="Simplified Arabic" w:hint="cs"/>
          <w:snapToGrid w:val="0"/>
          <w:kern w:val="22"/>
          <w:rtl/>
        </w:rPr>
        <w:tab/>
        <w:t>النُهج، والآثار والفرص لتعزيز التعميم؛</w:t>
      </w:r>
    </w:p>
    <w:p w:rsidR="00CC7A77" w:rsidRDefault="00CC7A77" w:rsidP="00246CBF">
      <w:pPr>
        <w:pStyle w:val="ListParagraph"/>
        <w:kinsoku w:val="0"/>
        <w:overflowPunct w:val="0"/>
        <w:autoSpaceDE w:val="0"/>
        <w:autoSpaceDN w:val="0"/>
        <w:bidi/>
        <w:adjustRightInd w:val="0"/>
        <w:snapToGrid w:val="0"/>
        <w:spacing w:after="100" w:line="204" w:lineRule="auto"/>
        <w:ind w:left="0" w:firstLine="720"/>
        <w:rPr>
          <w:rFonts w:cs="Simplified Arabic"/>
          <w:snapToGrid w:val="0"/>
          <w:kern w:val="22"/>
          <w:rtl/>
        </w:rPr>
      </w:pPr>
      <w:r>
        <w:rPr>
          <w:rFonts w:cs="Simplified Arabic" w:hint="cs"/>
          <w:snapToGrid w:val="0"/>
          <w:kern w:val="22"/>
          <w:rtl/>
        </w:rPr>
        <w:t>(ي)</w:t>
      </w:r>
      <w:r>
        <w:rPr>
          <w:rFonts w:cs="Simplified Arabic" w:hint="cs"/>
          <w:snapToGrid w:val="0"/>
          <w:kern w:val="22"/>
          <w:rtl/>
        </w:rPr>
        <w:tab/>
        <w:t>النُهج لتعزيز المساواة بين الجنسين؛</w:t>
      </w:r>
    </w:p>
    <w:p w:rsidR="00CC7A77" w:rsidRPr="0038343D" w:rsidRDefault="00CC7A77" w:rsidP="00246CBF">
      <w:pPr>
        <w:pStyle w:val="ListParagraph"/>
        <w:kinsoku w:val="0"/>
        <w:overflowPunct w:val="0"/>
        <w:autoSpaceDE w:val="0"/>
        <w:autoSpaceDN w:val="0"/>
        <w:bidi/>
        <w:adjustRightInd w:val="0"/>
        <w:snapToGrid w:val="0"/>
        <w:spacing w:after="100" w:line="204" w:lineRule="auto"/>
        <w:ind w:left="0" w:firstLine="720"/>
        <w:rPr>
          <w:rFonts w:cs="Simplified Arabic"/>
          <w:snapToGrid w:val="0"/>
          <w:kern w:val="22"/>
          <w:rtl/>
        </w:rPr>
      </w:pPr>
      <w:r>
        <w:rPr>
          <w:rFonts w:cs="Simplified Arabic" w:hint="cs"/>
          <w:snapToGrid w:val="0"/>
          <w:kern w:val="22"/>
          <w:rtl/>
        </w:rPr>
        <w:t>(ك)</w:t>
      </w:r>
      <w:r>
        <w:rPr>
          <w:rFonts w:cs="Simplified Arabic" w:hint="cs"/>
          <w:snapToGrid w:val="0"/>
          <w:kern w:val="22"/>
          <w:rtl/>
        </w:rPr>
        <w:tab/>
        <w:t>الوسائل لتعزيز التجانس والتعاون فيما بين الاتفاقيات المتعلقة بالتنوع البيولوجي، بما في ذلك خيارات لتعزيز أوجه التآزر بشأن الإبلاغ الوطني فيما بين الاتفاقيات المتعلقة بالتنوع البيولوجي، واتفاقيات ريو وأهداف التنمية المستدامة.</w:t>
      </w:r>
    </w:p>
    <w:p w:rsidR="00CC7A77" w:rsidRPr="00D47485" w:rsidRDefault="00CC7A77" w:rsidP="00CC7A77">
      <w:pPr>
        <w:pStyle w:val="ListParagraph"/>
        <w:kinsoku w:val="0"/>
        <w:overflowPunct w:val="0"/>
        <w:autoSpaceDE w:val="0"/>
        <w:autoSpaceDN w:val="0"/>
        <w:bidi/>
        <w:adjustRightInd w:val="0"/>
        <w:snapToGrid w:val="0"/>
        <w:spacing w:after="100" w:line="209" w:lineRule="auto"/>
        <w:ind w:left="0"/>
        <w:jc w:val="center"/>
        <w:rPr>
          <w:rFonts w:cs="Simplified Arabic"/>
          <w:b/>
          <w:bCs/>
          <w:snapToGrid w:val="0"/>
          <w:kern w:val="22"/>
        </w:rPr>
      </w:pPr>
      <w:r>
        <w:rPr>
          <w:rFonts w:cs="Simplified Arabic" w:hint="cs"/>
          <w:b/>
          <w:bCs/>
          <w:snapToGrid w:val="0"/>
          <w:kern w:val="22"/>
          <w:rtl/>
        </w:rPr>
        <w:t>هاء</w:t>
      </w:r>
      <w:r w:rsidRPr="00D47485">
        <w:rPr>
          <w:rFonts w:cs="Simplified Arabic" w:hint="cs"/>
          <w:b/>
          <w:bCs/>
          <w:snapToGrid w:val="0"/>
          <w:kern w:val="22"/>
          <w:rtl/>
        </w:rPr>
        <w:t xml:space="preserve"> -</w:t>
      </w:r>
      <w:r w:rsidRPr="00D47485">
        <w:rPr>
          <w:rFonts w:cs="Simplified Arabic" w:hint="cs"/>
          <w:b/>
          <w:bCs/>
          <w:snapToGrid w:val="0"/>
          <w:kern w:val="22"/>
          <w:rtl/>
        </w:rPr>
        <w:tab/>
      </w:r>
      <w:r>
        <w:rPr>
          <w:rFonts w:cs="Simplified Arabic" w:hint="cs"/>
          <w:b/>
          <w:bCs/>
          <w:snapToGrid w:val="0"/>
          <w:kern w:val="22"/>
          <w:rtl/>
        </w:rPr>
        <w:t>ال</w:t>
      </w:r>
      <w:r w:rsidRPr="00D47485">
        <w:rPr>
          <w:rFonts w:cs="Simplified Arabic" w:hint="cs"/>
          <w:b/>
          <w:bCs/>
          <w:snapToGrid w:val="0"/>
          <w:kern w:val="22"/>
          <w:rtl/>
        </w:rPr>
        <w:t>مصادر ا</w:t>
      </w:r>
      <w:r>
        <w:rPr>
          <w:rFonts w:cs="Simplified Arabic" w:hint="cs"/>
          <w:b/>
          <w:bCs/>
          <w:snapToGrid w:val="0"/>
          <w:kern w:val="22"/>
          <w:rtl/>
        </w:rPr>
        <w:t>لرئيسية للمعلومات</w:t>
      </w:r>
    </w:p>
    <w:p w:rsidR="00CC7A77" w:rsidRDefault="00CC7A77" w:rsidP="00CD26C5">
      <w:pPr>
        <w:pStyle w:val="ListParagraph"/>
        <w:numPr>
          <w:ilvl w:val="0"/>
          <w:numId w:val="88"/>
        </w:numPr>
        <w:kinsoku w:val="0"/>
        <w:overflowPunct w:val="0"/>
        <w:autoSpaceDE w:val="0"/>
        <w:autoSpaceDN w:val="0"/>
        <w:bidi/>
        <w:adjustRightInd w:val="0"/>
        <w:snapToGrid w:val="0"/>
        <w:spacing w:line="216" w:lineRule="auto"/>
        <w:ind w:left="0" w:firstLine="0"/>
        <w:rPr>
          <w:rFonts w:cs="Simplified Arabic"/>
          <w:snapToGrid w:val="0"/>
          <w:kern w:val="22"/>
        </w:rPr>
      </w:pPr>
      <w:r>
        <w:rPr>
          <w:rFonts w:cs="Simplified Arabic" w:hint="cs"/>
          <w:snapToGrid w:val="0"/>
          <w:kern w:val="22"/>
          <w:rtl/>
        </w:rPr>
        <w:t>فيما يلي المصادر الرئيسية للمعلومات التي ستستخدم في إعداد الوثائق ذات الصلة بعملية ما بعد عام 2020 وفي إرشاد الأنشطة المنفذة:</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(أ)</w:t>
      </w:r>
      <w:r w:rsidRPr="00070827">
        <w:rPr>
          <w:rFonts w:hint="cs"/>
          <w:snapToGrid w:val="0"/>
          <w:kern w:val="22"/>
          <w:rtl/>
        </w:rPr>
        <w:tab/>
        <w:t xml:space="preserve">مدخلات وتقديمات من الأطراف </w:t>
      </w:r>
      <w:r>
        <w:rPr>
          <w:rFonts w:hint="cs"/>
          <w:snapToGrid w:val="0"/>
          <w:kern w:val="22"/>
          <w:rtl/>
        </w:rPr>
        <w:t xml:space="preserve">والمراقبين </w:t>
      </w:r>
      <w:r w:rsidRPr="00070827">
        <w:rPr>
          <w:rFonts w:hint="cs"/>
          <w:snapToGrid w:val="0"/>
          <w:kern w:val="22"/>
          <w:rtl/>
        </w:rPr>
        <w:t xml:space="preserve">في الاتفاقية والبروتوكولين، </w:t>
      </w:r>
      <w:r>
        <w:rPr>
          <w:rFonts w:hint="cs"/>
          <w:snapToGrid w:val="0"/>
          <w:kern w:val="22"/>
          <w:rtl/>
        </w:rPr>
        <w:t>ومن أصحاب المصلحة</w:t>
      </w:r>
      <w:r w:rsidRPr="00070827">
        <w:rPr>
          <w:rFonts w:hint="cs"/>
          <w:snapToGrid w:val="0"/>
          <w:kern w:val="22"/>
          <w:rtl/>
        </w:rPr>
        <w:t>؛</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(ب)</w:t>
      </w:r>
      <w:r w:rsidRPr="00070827">
        <w:rPr>
          <w:rFonts w:hint="cs"/>
          <w:snapToGrid w:val="0"/>
          <w:kern w:val="22"/>
          <w:rtl/>
        </w:rPr>
        <w:tab/>
        <w:t xml:space="preserve">التقارير الوطنية </w:t>
      </w:r>
      <w:r>
        <w:rPr>
          <w:rFonts w:hint="cs"/>
          <w:snapToGrid w:val="0"/>
          <w:kern w:val="22"/>
          <w:rtl/>
        </w:rPr>
        <w:t>إلى ا</w:t>
      </w:r>
      <w:r w:rsidRPr="00070827">
        <w:rPr>
          <w:rFonts w:hint="cs"/>
          <w:snapToGrid w:val="0"/>
          <w:kern w:val="22"/>
          <w:rtl/>
        </w:rPr>
        <w:t>لاتفاقية وبروتوكوليها؛</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(ج)</w:t>
      </w:r>
      <w:r w:rsidRPr="00070827">
        <w:rPr>
          <w:rFonts w:hint="cs"/>
          <w:snapToGrid w:val="0"/>
          <w:kern w:val="22"/>
          <w:rtl/>
        </w:rPr>
        <w:tab/>
        <w:t>الاستراتيجيات وخطط العمل الوطنية للتنوع البيولوجي؛</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lastRenderedPageBreak/>
        <w:t>(د)</w:t>
      </w:r>
      <w:r w:rsidRPr="00070827">
        <w:rPr>
          <w:rFonts w:hint="cs"/>
          <w:snapToGrid w:val="0"/>
          <w:kern w:val="22"/>
          <w:rtl/>
        </w:rPr>
        <w:tab/>
        <w:t xml:space="preserve">نتائج تقييم واستعراض فعالية بروتوكول ناغويا </w:t>
      </w:r>
      <w:r>
        <w:rPr>
          <w:rFonts w:hint="cs"/>
          <w:snapToGrid w:val="0"/>
          <w:kern w:val="22"/>
          <w:rtl/>
        </w:rPr>
        <w:t>الذي أجراه</w:t>
      </w:r>
      <w:r w:rsidRPr="00070827">
        <w:rPr>
          <w:rFonts w:hint="cs"/>
          <w:snapToGrid w:val="0"/>
          <w:kern w:val="22"/>
          <w:rtl/>
        </w:rPr>
        <w:t xml:space="preserve"> الاجتماع الثالث لمؤتمر الأطراف العامل كاجتماع للأطراف في بروتوكول ناغويا؛</w:t>
      </w:r>
      <w:r>
        <w:rPr>
          <w:rStyle w:val="FootnoteReference"/>
          <w:snapToGrid w:val="0"/>
          <w:kern w:val="22"/>
          <w:rtl/>
        </w:rPr>
        <w:footnoteReference w:id="313"/>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(ھ)</w:t>
      </w:r>
      <w:r w:rsidRPr="00070827">
        <w:rPr>
          <w:rFonts w:hint="cs"/>
          <w:snapToGrid w:val="0"/>
          <w:kern w:val="22"/>
          <w:rtl/>
        </w:rPr>
        <w:tab/>
      </w:r>
      <w:r>
        <w:rPr>
          <w:rFonts w:hint="cs"/>
          <w:snapToGrid w:val="0"/>
          <w:kern w:val="22"/>
          <w:rtl/>
        </w:rPr>
        <w:t>النتائج من ثالث تقييم واستعراض</w:t>
      </w:r>
      <w:r w:rsidRPr="00070827">
        <w:rPr>
          <w:rFonts w:hint="cs"/>
          <w:snapToGrid w:val="0"/>
          <w:kern w:val="22"/>
          <w:rtl/>
        </w:rPr>
        <w:t xml:space="preserve"> لفعالية بروتوكول قرطاجنة وتقييم </w:t>
      </w:r>
      <w:r>
        <w:rPr>
          <w:rFonts w:hint="cs"/>
          <w:snapToGrid w:val="0"/>
          <w:kern w:val="22"/>
          <w:rtl/>
        </w:rPr>
        <w:t>منتصف المدة</w:t>
      </w:r>
      <w:r w:rsidRPr="00070827">
        <w:rPr>
          <w:rFonts w:hint="cs"/>
          <w:snapToGrid w:val="0"/>
          <w:kern w:val="22"/>
          <w:rtl/>
        </w:rPr>
        <w:t xml:space="preserve"> لخطته الاستراتيجية </w:t>
      </w:r>
      <w:r>
        <w:rPr>
          <w:rFonts w:hint="cs"/>
          <w:snapToGrid w:val="0"/>
          <w:kern w:val="22"/>
          <w:rtl/>
        </w:rPr>
        <w:t>الذي أجراه</w:t>
      </w:r>
      <w:r w:rsidRPr="00070827">
        <w:rPr>
          <w:rFonts w:hint="cs"/>
          <w:snapToGrid w:val="0"/>
          <w:kern w:val="22"/>
          <w:rtl/>
        </w:rPr>
        <w:t xml:space="preserve"> الاجتماع ال</w:t>
      </w:r>
      <w:r>
        <w:rPr>
          <w:rFonts w:hint="cs"/>
          <w:snapToGrid w:val="0"/>
          <w:kern w:val="22"/>
          <w:rtl/>
        </w:rPr>
        <w:t>تاسع</w:t>
      </w:r>
      <w:r w:rsidRPr="00070827">
        <w:rPr>
          <w:rFonts w:hint="cs"/>
          <w:snapToGrid w:val="0"/>
          <w:kern w:val="22"/>
          <w:rtl/>
        </w:rPr>
        <w:t xml:space="preserve"> لمؤتمر الأطراف العامل كاجتماع للأطراف في بروتوكول قرطاجنة؛</w:t>
      </w:r>
      <w:r>
        <w:rPr>
          <w:rStyle w:val="FootnoteReference"/>
          <w:snapToGrid w:val="0"/>
          <w:kern w:val="22"/>
          <w:rtl/>
        </w:rPr>
        <w:footnoteReference w:id="314"/>
      </w:r>
    </w:p>
    <w:p w:rsidR="00CC7A7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(و)</w:t>
      </w:r>
      <w:r w:rsidRPr="00070827">
        <w:rPr>
          <w:rFonts w:hint="cs"/>
          <w:snapToGrid w:val="0"/>
          <w:kern w:val="22"/>
          <w:rtl/>
        </w:rPr>
        <w:tab/>
      </w:r>
      <w:r>
        <w:rPr>
          <w:rFonts w:hint="cs"/>
          <w:snapToGrid w:val="0"/>
          <w:kern w:val="22"/>
          <w:rtl/>
        </w:rPr>
        <w:t>النتائج من العمل في مجال حشد الموارد على النحو المنصوص عليه في المقرر 14/22؛</w:t>
      </w:r>
    </w:p>
    <w:p w:rsidR="00CC7A77" w:rsidRDefault="00CC7A77" w:rsidP="00246CBF">
      <w:pPr>
        <w:kinsoku w:val="0"/>
        <w:overflowPunct w:val="0"/>
        <w:autoSpaceDE w:val="0"/>
        <w:autoSpaceDN w:val="0"/>
        <w:adjustRightInd w:val="0"/>
        <w:snapToGrid w:val="0"/>
        <w:spacing w:after="100" w:line="204" w:lineRule="auto"/>
        <w:ind w:firstLine="720"/>
        <w:rPr>
          <w:snapToGrid w:val="0"/>
          <w:kern w:val="22"/>
          <w:rtl/>
        </w:rPr>
      </w:pPr>
      <w:r>
        <w:rPr>
          <w:rFonts w:hint="cs"/>
          <w:snapToGrid w:val="0"/>
          <w:kern w:val="22"/>
          <w:rtl/>
        </w:rPr>
        <w:t>(</w:t>
      </w:r>
      <w:r>
        <w:rPr>
          <w:rFonts w:ascii="Simplified Arabic" w:hAnsi="Simplified Arabic" w:hint="cs"/>
          <w:snapToGrid w:val="0"/>
          <w:kern w:val="22"/>
          <w:rtl/>
        </w:rPr>
        <w:t>ز</w:t>
      </w:r>
      <w:r>
        <w:rPr>
          <w:rFonts w:hint="cs"/>
          <w:snapToGrid w:val="0"/>
          <w:kern w:val="22"/>
          <w:rtl/>
        </w:rPr>
        <w:t>)</w:t>
      </w:r>
      <w:r>
        <w:rPr>
          <w:rFonts w:hint="cs"/>
          <w:snapToGrid w:val="0"/>
          <w:kern w:val="22"/>
          <w:rtl/>
        </w:rPr>
        <w:tab/>
      </w:r>
      <w:r w:rsidRPr="00070827">
        <w:rPr>
          <w:rFonts w:hint="cs"/>
          <w:snapToGrid w:val="0"/>
          <w:kern w:val="22"/>
          <w:rtl/>
        </w:rPr>
        <w:t xml:space="preserve">الإصدار الخامس من </w:t>
      </w:r>
      <w:r w:rsidRPr="00070827">
        <w:rPr>
          <w:rFonts w:hint="cs"/>
          <w:i/>
          <w:iCs/>
          <w:snapToGrid w:val="0"/>
          <w:kern w:val="22"/>
          <w:rtl/>
        </w:rPr>
        <w:t>نشرة التوقعات العالمية للتنوع البيولوجي</w:t>
      </w:r>
      <w:r w:rsidRPr="00070827">
        <w:rPr>
          <w:rFonts w:hint="cs"/>
          <w:snapToGrid w:val="0"/>
          <w:kern w:val="22"/>
          <w:rtl/>
        </w:rPr>
        <w:t xml:space="preserve"> </w:t>
      </w:r>
      <w:r>
        <w:rPr>
          <w:rFonts w:hint="cs"/>
          <w:snapToGrid w:val="0"/>
          <w:kern w:val="22"/>
          <w:rtl/>
        </w:rPr>
        <w:t xml:space="preserve">والإصدار الثاني من </w:t>
      </w:r>
      <w:r w:rsidRPr="00953776">
        <w:rPr>
          <w:rFonts w:hint="cs"/>
          <w:i/>
          <w:iCs/>
          <w:snapToGrid w:val="0"/>
          <w:kern w:val="22"/>
          <w:rtl/>
        </w:rPr>
        <w:t>التوقعات المحلية للتنوع البيولوجي</w:t>
      </w:r>
      <w:r>
        <w:rPr>
          <w:rFonts w:hint="cs"/>
          <w:snapToGrid w:val="0"/>
          <w:kern w:val="22"/>
          <w:rtl/>
        </w:rPr>
        <w:t xml:space="preserve"> </w:t>
      </w:r>
      <w:r w:rsidRPr="00070827">
        <w:rPr>
          <w:rFonts w:hint="cs"/>
          <w:snapToGrid w:val="0"/>
          <w:kern w:val="22"/>
          <w:rtl/>
        </w:rPr>
        <w:t xml:space="preserve">والتقارير </w:t>
      </w:r>
      <w:r>
        <w:rPr>
          <w:rFonts w:hint="cs"/>
          <w:snapToGrid w:val="0"/>
          <w:kern w:val="22"/>
          <w:rtl/>
        </w:rPr>
        <w:t>بشأن تنفيذ الاستراتيجية العالمية لحفظ النباتات والتقارير ذات الصلة</w:t>
      </w:r>
      <w:r w:rsidRPr="00070827">
        <w:rPr>
          <w:rFonts w:hint="cs"/>
          <w:snapToGrid w:val="0"/>
          <w:kern w:val="22"/>
          <w:rtl/>
        </w:rPr>
        <w:t>؛</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Pr>
          <w:rFonts w:hint="cs"/>
          <w:snapToGrid w:val="0"/>
          <w:kern w:val="22"/>
          <w:rtl/>
        </w:rPr>
        <w:t>(ح)</w:t>
      </w:r>
      <w:r>
        <w:rPr>
          <w:rFonts w:hint="cs"/>
          <w:snapToGrid w:val="0"/>
          <w:kern w:val="22"/>
          <w:rtl/>
        </w:rPr>
        <w:tab/>
        <w:t>استعراض تنفيذ خطة الاعتبارات الجنسانية 2015-2020؛</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w:t>
      </w:r>
      <w:r>
        <w:rPr>
          <w:rFonts w:hint="cs"/>
          <w:snapToGrid w:val="0"/>
          <w:kern w:val="22"/>
          <w:rtl/>
        </w:rPr>
        <w:t>ط</w:t>
      </w:r>
      <w:r w:rsidRPr="00070827">
        <w:rPr>
          <w:rFonts w:hint="cs"/>
          <w:snapToGrid w:val="0"/>
          <w:kern w:val="22"/>
          <w:rtl/>
        </w:rPr>
        <w:t>)</w:t>
      </w:r>
      <w:r w:rsidRPr="00070827">
        <w:rPr>
          <w:rFonts w:hint="cs"/>
          <w:snapToGrid w:val="0"/>
          <w:kern w:val="22"/>
          <w:rtl/>
        </w:rPr>
        <w:tab/>
        <w:t xml:space="preserve">التقييمات العالمية والإقليمية للتنوع البيولوجي وخدمات النظم الإيكولوجية والتقييمات المواضيعية المستكملة للمنبر الحكومي الدولي </w:t>
      </w:r>
      <w:r w:rsidRPr="00070827">
        <w:rPr>
          <w:rFonts w:hint="cs"/>
          <w:rtl/>
        </w:rPr>
        <w:t>للعلوم والسياسات في مجال التنوع البيولوجي وخدمات النظم الإيكولوجية</w:t>
      </w:r>
      <w:r>
        <w:rPr>
          <w:rFonts w:hint="cs"/>
          <w:rtl/>
        </w:rPr>
        <w:t xml:space="preserve"> </w:t>
      </w:r>
      <w:r w:rsidRPr="007E770D">
        <w:rPr>
          <w:szCs w:val="22"/>
        </w:rPr>
        <w:t>(IPBES)</w:t>
      </w:r>
      <w:r>
        <w:rPr>
          <w:rFonts w:hint="cs"/>
          <w:rtl/>
        </w:rPr>
        <w:t xml:space="preserve"> وتقاريره الأخرى ذات الصلة</w:t>
      </w:r>
      <w:r w:rsidRPr="00070827">
        <w:rPr>
          <w:rFonts w:hint="cs"/>
          <w:rtl/>
        </w:rPr>
        <w:t>؛</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w:t>
      </w:r>
      <w:r>
        <w:rPr>
          <w:rFonts w:hint="cs"/>
          <w:snapToGrid w:val="0"/>
          <w:kern w:val="22"/>
          <w:rtl/>
        </w:rPr>
        <w:t>ي</w:t>
      </w:r>
      <w:r w:rsidRPr="00070827">
        <w:rPr>
          <w:rFonts w:hint="cs"/>
          <w:snapToGrid w:val="0"/>
          <w:kern w:val="22"/>
          <w:rtl/>
        </w:rPr>
        <w:t>)</w:t>
      </w:r>
      <w:r w:rsidRPr="00070827">
        <w:rPr>
          <w:rFonts w:hint="cs"/>
          <w:snapToGrid w:val="0"/>
          <w:kern w:val="22"/>
          <w:rtl/>
        </w:rPr>
        <w:tab/>
        <w:t>التقييمات من العمليات الأخرى ذات الصلة، من قبيل الهيئة الحكومية الدولية بشأن تغير المناخ</w:t>
      </w:r>
      <w:r>
        <w:rPr>
          <w:rFonts w:hint="cs"/>
          <w:snapToGrid w:val="0"/>
          <w:kern w:val="22"/>
          <w:rtl/>
        </w:rPr>
        <w:t>،</w:t>
      </w:r>
      <w:r w:rsidRPr="00070827">
        <w:rPr>
          <w:rFonts w:hint="cs"/>
          <w:snapToGrid w:val="0"/>
          <w:kern w:val="22"/>
          <w:rtl/>
        </w:rPr>
        <w:t xml:space="preserve"> </w:t>
      </w:r>
      <w:r>
        <w:rPr>
          <w:rFonts w:hint="cs"/>
          <w:snapToGrid w:val="0"/>
          <w:kern w:val="22"/>
          <w:rtl/>
        </w:rPr>
        <w:t xml:space="preserve">والإصدار السادس لنشرة </w:t>
      </w:r>
      <w:r w:rsidRPr="00273BDA">
        <w:rPr>
          <w:rFonts w:hint="cs"/>
          <w:i/>
          <w:iCs/>
          <w:snapToGrid w:val="0"/>
          <w:kern w:val="22"/>
          <w:rtl/>
        </w:rPr>
        <w:t>التوقعات العالمية للبيئة</w:t>
      </w:r>
      <w:r>
        <w:rPr>
          <w:rFonts w:hint="cs"/>
          <w:snapToGrid w:val="0"/>
          <w:kern w:val="22"/>
          <w:rtl/>
        </w:rPr>
        <w:t xml:space="preserve"> </w:t>
      </w:r>
      <w:r w:rsidRPr="00070827">
        <w:rPr>
          <w:rFonts w:hint="cs"/>
          <w:snapToGrid w:val="0"/>
          <w:kern w:val="22"/>
          <w:rtl/>
        </w:rPr>
        <w:t>والتقييمات الوطنية ودون الإقليمية ذات الصلة؛</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kern w:val="22"/>
          <w:rtl/>
        </w:rPr>
      </w:pPr>
      <w:r w:rsidRPr="00070827">
        <w:rPr>
          <w:rFonts w:hint="cs"/>
          <w:snapToGrid w:val="0"/>
          <w:kern w:val="22"/>
          <w:rtl/>
        </w:rPr>
        <w:t>(</w:t>
      </w:r>
      <w:r>
        <w:rPr>
          <w:rFonts w:hint="cs"/>
          <w:snapToGrid w:val="0"/>
          <w:kern w:val="22"/>
          <w:rtl/>
        </w:rPr>
        <w:t>ك</w:t>
      </w:r>
      <w:r w:rsidRPr="00070827">
        <w:rPr>
          <w:rFonts w:hint="cs"/>
          <w:snapToGrid w:val="0"/>
          <w:kern w:val="22"/>
          <w:rtl/>
        </w:rPr>
        <w:t>)</w:t>
      </w:r>
      <w:r w:rsidRPr="00070827">
        <w:rPr>
          <w:rFonts w:hint="cs"/>
          <w:snapToGrid w:val="0"/>
          <w:kern w:val="22"/>
          <w:rtl/>
        </w:rPr>
        <w:tab/>
      </w:r>
      <w:r>
        <w:rPr>
          <w:rFonts w:hint="cs"/>
          <w:snapToGrid w:val="0"/>
          <w:kern w:val="22"/>
          <w:rtl/>
        </w:rPr>
        <w:t>ال</w:t>
      </w:r>
      <w:r w:rsidRPr="00070827">
        <w:rPr>
          <w:rFonts w:hint="cs"/>
          <w:snapToGrid w:val="0"/>
          <w:kern w:val="22"/>
          <w:rtl/>
        </w:rPr>
        <w:t>معلومات من الاتفاقيات الأخرى المتعلقة بالتنوع البيولوجي واتفاقيات ريو وغيرها من المنظمات ذات الصلة، بما في ذلك التقارير الوطنية ذات الصلة للاتفاقات البيئية المتعددة الأطراف الأخرى، والاستراتيجيات ذات الصلة المعتمدة من الاتفاقيات الأخرى المتعلقة بالتنوع البيولوجي؛</w:t>
      </w:r>
    </w:p>
    <w:p w:rsidR="00CC7A77" w:rsidRPr="00070827" w:rsidRDefault="00CC7A77" w:rsidP="00246CBF">
      <w:pPr>
        <w:kinsoku w:val="0"/>
        <w:overflowPunct w:val="0"/>
        <w:autoSpaceDE w:val="0"/>
        <w:autoSpaceDN w:val="0"/>
        <w:adjustRightInd w:val="0"/>
        <w:snapToGrid w:val="0"/>
        <w:spacing w:after="100" w:line="204" w:lineRule="auto"/>
        <w:ind w:firstLine="720"/>
        <w:rPr>
          <w:snapToGrid w:val="0"/>
          <w:rtl/>
        </w:rPr>
      </w:pPr>
      <w:r w:rsidRPr="00070827">
        <w:rPr>
          <w:rFonts w:hint="cs"/>
          <w:snapToGrid w:val="0"/>
          <w:kern w:val="22"/>
          <w:rtl/>
        </w:rPr>
        <w:t>(</w:t>
      </w:r>
      <w:r>
        <w:rPr>
          <w:rFonts w:hint="cs"/>
          <w:snapToGrid w:val="0"/>
          <w:kern w:val="22"/>
          <w:rtl/>
        </w:rPr>
        <w:t>ل</w:t>
      </w:r>
      <w:r w:rsidRPr="00070827">
        <w:rPr>
          <w:rFonts w:hint="cs"/>
          <w:snapToGrid w:val="0"/>
          <w:kern w:val="22"/>
          <w:rtl/>
        </w:rPr>
        <w:t>)</w:t>
      </w:r>
      <w:r w:rsidRPr="00070827">
        <w:rPr>
          <w:rFonts w:hint="cs"/>
          <w:snapToGrid w:val="0"/>
          <w:kern w:val="22"/>
          <w:rtl/>
        </w:rPr>
        <w:tab/>
        <w:t>الاستعراضات الوطنية الطوعية للمنتدى السياسي الرفيع المستوى المعني بالتنمية المستدامة و</w:t>
      </w:r>
      <w:r>
        <w:rPr>
          <w:rFonts w:hint="cs"/>
          <w:snapToGrid w:val="0"/>
          <w:kern w:val="22"/>
          <w:rtl/>
        </w:rPr>
        <w:t>ال</w:t>
      </w:r>
      <w:r w:rsidRPr="00070827">
        <w:rPr>
          <w:rFonts w:hint="cs"/>
          <w:snapToGrid w:val="0"/>
          <w:kern w:val="22"/>
          <w:rtl/>
        </w:rPr>
        <w:t>تقرير ا</w:t>
      </w:r>
      <w:r>
        <w:rPr>
          <w:rFonts w:hint="cs"/>
          <w:snapToGrid w:val="0"/>
          <w:kern w:val="22"/>
          <w:rtl/>
        </w:rPr>
        <w:t>لعالمي ل</w:t>
      </w:r>
      <w:r w:rsidRPr="00070827">
        <w:rPr>
          <w:rFonts w:hint="cs"/>
          <w:snapToGrid w:val="0"/>
          <w:kern w:val="22"/>
          <w:rtl/>
        </w:rPr>
        <w:t>لتنمية المستدامة</w:t>
      </w:r>
      <w:r w:rsidRPr="00070827">
        <w:rPr>
          <w:rFonts w:ascii="Simplified Arabic" w:hAnsi="Simplified Arabic" w:hint="cs"/>
          <w:snapToGrid w:val="0"/>
          <w:kern w:val="22"/>
          <w:rtl/>
        </w:rPr>
        <w:t xml:space="preserve"> </w:t>
      </w:r>
      <w:r w:rsidRPr="007E770D">
        <w:rPr>
          <w:rFonts w:ascii="Simplified Arabic" w:hAnsi="Simplified Arabic"/>
          <w:snapToGrid w:val="0"/>
          <w:kern w:val="22"/>
          <w:rtl/>
        </w:rPr>
        <w:t>لعام</w:t>
      </w:r>
      <w:r w:rsidRPr="00070827">
        <w:rPr>
          <w:rFonts w:ascii="Simplified Arabic" w:hAnsi="Simplified Arabic" w:hint="cs"/>
          <w:snapToGrid w:val="0"/>
          <w:kern w:val="22"/>
          <w:rtl/>
        </w:rPr>
        <w:t xml:space="preserve"> 2019</w:t>
      </w:r>
      <w:r w:rsidRPr="00070827">
        <w:rPr>
          <w:rFonts w:ascii="Simplified Arabic" w:hAnsi="Simplified Arabic" w:cs="Times New Roman" w:hint="cs"/>
          <w:snapToGrid w:val="0"/>
          <w:kern w:val="22"/>
          <w:rtl/>
        </w:rPr>
        <w:t>؛</w:t>
      </w:r>
      <w:r w:rsidRPr="00840A4E">
        <w:rPr>
          <w:rStyle w:val="FootnoteReference"/>
          <w:rFonts w:ascii="Simplified Arabic" w:hAnsi="Simplified Arabic"/>
          <w:snapToGrid w:val="0"/>
          <w:kern w:val="22"/>
          <w:rtl/>
        </w:rPr>
        <w:footnoteReference w:id="315"/>
      </w:r>
    </w:p>
    <w:p w:rsidR="00CC7A77" w:rsidRPr="00D31CA0" w:rsidRDefault="00CC7A77" w:rsidP="00246CBF">
      <w:pPr>
        <w:kinsoku w:val="0"/>
        <w:overflowPunct w:val="0"/>
        <w:autoSpaceDE w:val="0"/>
        <w:autoSpaceDN w:val="0"/>
        <w:adjustRightInd w:val="0"/>
        <w:snapToGrid w:val="0"/>
        <w:spacing w:after="100" w:line="204" w:lineRule="auto"/>
        <w:ind w:firstLine="720"/>
        <w:rPr>
          <w:snapToGrid w:val="0"/>
          <w:rtl/>
        </w:rPr>
      </w:pPr>
      <w:r w:rsidRPr="00D31CA0">
        <w:rPr>
          <w:rFonts w:hint="cs"/>
          <w:snapToGrid w:val="0"/>
          <w:rtl/>
        </w:rPr>
        <w:t>(</w:t>
      </w:r>
      <w:r>
        <w:rPr>
          <w:rFonts w:hint="cs"/>
          <w:snapToGrid w:val="0"/>
          <w:rtl/>
        </w:rPr>
        <w:t>م</w:t>
      </w:r>
      <w:r w:rsidRPr="00D31CA0">
        <w:rPr>
          <w:rFonts w:hint="cs"/>
          <w:snapToGrid w:val="0"/>
          <w:rtl/>
        </w:rPr>
        <w:t>)</w:t>
      </w:r>
      <w:r w:rsidRPr="00D31CA0">
        <w:rPr>
          <w:rFonts w:hint="cs"/>
          <w:snapToGrid w:val="0"/>
          <w:rtl/>
        </w:rPr>
        <w:tab/>
      </w:r>
      <w:r>
        <w:rPr>
          <w:rFonts w:hint="cs"/>
          <w:snapToGrid w:val="0"/>
          <w:rtl/>
        </w:rPr>
        <w:t>ال</w:t>
      </w:r>
      <w:r w:rsidRPr="00D31CA0">
        <w:rPr>
          <w:rFonts w:hint="cs"/>
          <w:snapToGrid w:val="0"/>
          <w:rtl/>
        </w:rPr>
        <w:t xml:space="preserve">معلومات </w:t>
      </w:r>
      <w:r>
        <w:rPr>
          <w:rFonts w:hint="cs"/>
          <w:snapToGrid w:val="0"/>
          <w:rtl/>
        </w:rPr>
        <w:t>ال</w:t>
      </w:r>
      <w:r w:rsidRPr="00D31CA0">
        <w:rPr>
          <w:rFonts w:hint="cs"/>
          <w:snapToGrid w:val="0"/>
          <w:rtl/>
        </w:rPr>
        <w:t xml:space="preserve">مقدمة من </w:t>
      </w:r>
      <w:r>
        <w:rPr>
          <w:rFonts w:hint="cs"/>
          <w:snapToGrid w:val="0"/>
          <w:rtl/>
        </w:rPr>
        <w:t>خلال ال</w:t>
      </w:r>
      <w:r w:rsidRPr="00D31CA0">
        <w:rPr>
          <w:rFonts w:hint="cs"/>
          <w:snapToGrid w:val="0"/>
          <w:rtl/>
        </w:rPr>
        <w:t xml:space="preserve">شراكة </w:t>
      </w:r>
      <w:r>
        <w:rPr>
          <w:rFonts w:hint="cs"/>
          <w:snapToGrid w:val="0"/>
          <w:rtl/>
        </w:rPr>
        <w:t>المعنية ب</w:t>
      </w:r>
      <w:r w:rsidRPr="00D31CA0">
        <w:rPr>
          <w:rFonts w:hint="cs"/>
          <w:snapToGrid w:val="0"/>
          <w:rtl/>
        </w:rPr>
        <w:t>مؤشرات التنوع البيولوجي؛</w:t>
      </w:r>
    </w:p>
    <w:p w:rsidR="00CC7A77" w:rsidRPr="00D31CA0" w:rsidRDefault="00CC7A77" w:rsidP="00246CBF">
      <w:pPr>
        <w:kinsoku w:val="0"/>
        <w:overflowPunct w:val="0"/>
        <w:autoSpaceDE w:val="0"/>
        <w:autoSpaceDN w:val="0"/>
        <w:adjustRightInd w:val="0"/>
        <w:snapToGrid w:val="0"/>
        <w:spacing w:after="100" w:line="204" w:lineRule="auto"/>
        <w:ind w:firstLine="720"/>
        <w:rPr>
          <w:snapToGrid w:val="0"/>
          <w:rtl/>
        </w:rPr>
      </w:pPr>
      <w:r w:rsidRPr="00D31CA0">
        <w:rPr>
          <w:rFonts w:hint="cs"/>
          <w:snapToGrid w:val="0"/>
          <w:rtl/>
        </w:rPr>
        <w:t>(</w:t>
      </w:r>
      <w:r>
        <w:rPr>
          <w:rFonts w:hint="cs"/>
          <w:snapToGrid w:val="0"/>
          <w:rtl/>
        </w:rPr>
        <w:t>ن</w:t>
      </w:r>
      <w:r w:rsidRPr="00D31CA0">
        <w:rPr>
          <w:rFonts w:hint="cs"/>
          <w:snapToGrid w:val="0"/>
          <w:rtl/>
        </w:rPr>
        <w:t>)</w:t>
      </w:r>
      <w:r w:rsidRPr="00D31CA0">
        <w:rPr>
          <w:rFonts w:hint="cs"/>
          <w:snapToGrid w:val="0"/>
          <w:rtl/>
        </w:rPr>
        <w:tab/>
        <w:t>المؤلفات ذات الصلة التي استعرضها النظراء والتقارير الأخرى ذات الصلة، بما في ذلك تقارير عن انتقالات النظم، وإدارة الانتقال والتغير التحو</w:t>
      </w:r>
      <w:r>
        <w:rPr>
          <w:rFonts w:hint="cs"/>
          <w:snapToGrid w:val="0"/>
          <w:rtl/>
        </w:rPr>
        <w:t>ي</w:t>
      </w:r>
      <w:r w:rsidRPr="00D31CA0">
        <w:rPr>
          <w:rFonts w:hint="cs"/>
          <w:snapToGrid w:val="0"/>
          <w:rtl/>
        </w:rPr>
        <w:t>لي، فضلا عن معلومات من نظم المعارف الأخرى؛</w:t>
      </w:r>
    </w:p>
    <w:p w:rsidR="00CC7A77" w:rsidRPr="005E0F01" w:rsidRDefault="00CC7A77" w:rsidP="00246CBF">
      <w:pPr>
        <w:kinsoku w:val="0"/>
        <w:overflowPunct w:val="0"/>
        <w:autoSpaceDE w:val="0"/>
        <w:autoSpaceDN w:val="0"/>
        <w:adjustRightInd w:val="0"/>
        <w:snapToGrid w:val="0"/>
        <w:spacing w:after="100" w:line="204" w:lineRule="auto"/>
        <w:ind w:firstLine="720"/>
        <w:rPr>
          <w:snapToGrid w:val="0"/>
          <w:rtl/>
        </w:rPr>
      </w:pPr>
      <w:r w:rsidRPr="00D31CA0">
        <w:rPr>
          <w:rFonts w:hint="cs"/>
          <w:snapToGrid w:val="0"/>
          <w:rtl/>
        </w:rPr>
        <w:t>(</w:t>
      </w:r>
      <w:r>
        <w:rPr>
          <w:rFonts w:hint="cs"/>
          <w:snapToGrid w:val="0"/>
          <w:rtl/>
        </w:rPr>
        <w:t>س</w:t>
      </w:r>
      <w:r w:rsidRPr="00D31CA0">
        <w:rPr>
          <w:rFonts w:hint="cs"/>
          <w:snapToGrid w:val="0"/>
          <w:rtl/>
        </w:rPr>
        <w:t>)</w:t>
      </w:r>
      <w:r w:rsidRPr="00D31CA0">
        <w:rPr>
          <w:rFonts w:hint="cs"/>
          <w:snapToGrid w:val="0"/>
          <w:rtl/>
        </w:rPr>
        <w:tab/>
      </w:r>
      <w:r>
        <w:rPr>
          <w:rFonts w:hint="cs"/>
          <w:snapToGrid w:val="0"/>
          <w:rtl/>
        </w:rPr>
        <w:t>النتائج والمخرجات من المنتديات والأحداث في الاجتماع الرابع عشر لمؤتمر الأطراف والاجتماع التاسع لمؤتمر الأطراف العامل كاجتماع للأطراف في بروتوكول قرطاجنة والاجتماع الثالث لمؤتمر الأطراف العامل كاجتماع للأطراف في بروتوكول ناغويا، بما في ذلك القمة الوزارية الأفريقية للتنوع البيولوجي،</w:t>
      </w:r>
      <w:r>
        <w:rPr>
          <w:rStyle w:val="FootnoteReference"/>
          <w:snapToGrid w:val="0"/>
          <w:rtl/>
        </w:rPr>
        <w:footnoteReference w:id="316"/>
      </w:r>
      <w:r>
        <w:rPr>
          <w:rFonts w:hint="cs"/>
          <w:snapToGrid w:val="0"/>
          <w:rtl/>
        </w:rPr>
        <w:t xml:space="preserve"> ومنتدى العلوم</w:t>
      </w:r>
      <w:r>
        <w:rPr>
          <w:rStyle w:val="FootnoteReference"/>
          <w:snapToGrid w:val="0"/>
          <w:rtl/>
        </w:rPr>
        <w:footnoteReference w:id="317"/>
      </w:r>
      <w:r>
        <w:rPr>
          <w:rFonts w:hint="cs"/>
          <w:snapToGrid w:val="0"/>
          <w:rtl/>
        </w:rPr>
        <w:t xml:space="preserve"> ومنتدى قطاع الأعمال والتنوع البيولوجي</w:t>
      </w:r>
      <w:r>
        <w:rPr>
          <w:rStyle w:val="FootnoteReference"/>
          <w:snapToGrid w:val="0"/>
          <w:rtl/>
        </w:rPr>
        <w:footnoteReference w:id="318"/>
      </w:r>
      <w:r>
        <w:rPr>
          <w:rFonts w:hint="cs"/>
          <w:snapToGrid w:val="0"/>
          <w:rtl/>
        </w:rPr>
        <w:t xml:space="preserve"> وقمة الطبيعة والثقافة</w:t>
      </w:r>
      <w:r>
        <w:rPr>
          <w:rStyle w:val="FootnoteReference"/>
          <w:snapToGrid w:val="0"/>
          <w:rtl/>
        </w:rPr>
        <w:footnoteReference w:id="319"/>
      </w:r>
      <w:r>
        <w:rPr>
          <w:rFonts w:hint="cs"/>
          <w:snapToGrid w:val="0"/>
          <w:rtl/>
        </w:rPr>
        <w:t xml:space="preserve"> والقمة العالمية السادسة للتنوع البيولوجي للحكومات المحلية ودون الوطنية؛</w:t>
      </w:r>
      <w:r>
        <w:rPr>
          <w:rStyle w:val="FootnoteReference"/>
          <w:snapToGrid w:val="0"/>
          <w:rtl/>
        </w:rPr>
        <w:footnoteReference w:id="320"/>
      </w:r>
    </w:p>
    <w:p w:rsidR="00CC7A77" w:rsidRDefault="00CC7A77" w:rsidP="00246CBF">
      <w:pPr>
        <w:kinsoku w:val="0"/>
        <w:overflowPunct w:val="0"/>
        <w:autoSpaceDE w:val="0"/>
        <w:autoSpaceDN w:val="0"/>
        <w:adjustRightInd w:val="0"/>
        <w:snapToGrid w:val="0"/>
        <w:spacing w:after="100" w:line="204" w:lineRule="auto"/>
        <w:ind w:firstLine="720"/>
        <w:rPr>
          <w:snapToGrid w:val="0"/>
          <w:rtl/>
        </w:rPr>
      </w:pPr>
      <w:r>
        <w:rPr>
          <w:rFonts w:hint="cs"/>
          <w:snapToGrid w:val="0"/>
          <w:rtl/>
        </w:rPr>
        <w:t>(ع)</w:t>
      </w:r>
      <w:r>
        <w:rPr>
          <w:rFonts w:hint="cs"/>
          <w:snapToGrid w:val="0"/>
          <w:rtl/>
        </w:rPr>
        <w:tab/>
      </w:r>
      <w:r w:rsidRPr="00D31CA0">
        <w:rPr>
          <w:rFonts w:hint="cs"/>
          <w:snapToGrid w:val="0"/>
          <w:rtl/>
        </w:rPr>
        <w:t xml:space="preserve">مصادر المعلومات الأخرى، التي تتعلق بالروابط الأوسع نطاقا بين التنوع البيولوجي والعمليات المجتمعية والاقتصادية الأخرى، ولاسيما تحول القطاعات الاقتصادية </w:t>
      </w:r>
      <w:r>
        <w:rPr>
          <w:rFonts w:hint="cs"/>
          <w:snapToGrid w:val="0"/>
          <w:rtl/>
        </w:rPr>
        <w:t>و</w:t>
      </w:r>
      <w:r w:rsidRPr="00D31CA0">
        <w:rPr>
          <w:rFonts w:hint="cs"/>
          <w:snapToGrid w:val="0"/>
          <w:rtl/>
        </w:rPr>
        <w:t xml:space="preserve">المالية </w:t>
      </w:r>
      <w:r>
        <w:rPr>
          <w:rFonts w:hint="cs"/>
          <w:snapToGrid w:val="0"/>
          <w:rtl/>
        </w:rPr>
        <w:t xml:space="preserve">والصناعة </w:t>
      </w:r>
      <w:r w:rsidRPr="00D31CA0">
        <w:rPr>
          <w:rFonts w:hint="cs"/>
          <w:snapToGrid w:val="0"/>
          <w:rtl/>
        </w:rPr>
        <w:t xml:space="preserve">لتحقيق التنمية المستدامة داخل الحدود </w:t>
      </w:r>
      <w:r w:rsidRPr="00D31CA0">
        <w:rPr>
          <w:rFonts w:hint="cs"/>
          <w:snapToGrid w:val="0"/>
          <w:rtl/>
        </w:rPr>
        <w:lastRenderedPageBreak/>
        <w:t>الإيكولوجية للكوكب (أي الأمن الغذائي والبيئي، والصحة، والمدن والتنمية الحضرية، والابتكار في مجال الأعمال التجارية، والتكنولوجيا، والاستهلاك والإنتاج المستدامين، والمياه والاستخدام الفعال للموارد، على سبيل المثال وليس الحصر)</w:t>
      </w:r>
      <w:r>
        <w:rPr>
          <w:rFonts w:hint="cs"/>
          <w:snapToGrid w:val="0"/>
          <w:rtl/>
        </w:rPr>
        <w:t>؛</w:t>
      </w:r>
    </w:p>
    <w:p w:rsidR="00CC7A77" w:rsidRDefault="00CC7A77" w:rsidP="00246CBF">
      <w:pPr>
        <w:kinsoku w:val="0"/>
        <w:overflowPunct w:val="0"/>
        <w:autoSpaceDE w:val="0"/>
        <w:autoSpaceDN w:val="0"/>
        <w:adjustRightInd w:val="0"/>
        <w:snapToGrid w:val="0"/>
        <w:spacing w:after="100" w:line="204" w:lineRule="auto"/>
        <w:ind w:firstLine="720"/>
        <w:rPr>
          <w:snapToGrid w:val="0"/>
          <w:rtl/>
        </w:rPr>
      </w:pPr>
      <w:r>
        <w:rPr>
          <w:rFonts w:hint="cs"/>
          <w:snapToGrid w:val="0"/>
          <w:rtl/>
        </w:rPr>
        <w:t>(ف)</w:t>
      </w:r>
      <w:r>
        <w:rPr>
          <w:rFonts w:hint="cs"/>
          <w:snapToGrid w:val="0"/>
          <w:rtl/>
        </w:rPr>
        <w:tab/>
      </w:r>
      <w:r w:rsidRPr="005E0F01">
        <w:rPr>
          <w:rFonts w:hint="cs"/>
          <w:i/>
          <w:iCs/>
          <w:snapToGrid w:val="0"/>
          <w:rtl/>
        </w:rPr>
        <w:t>حالة التقارير العالمية</w:t>
      </w:r>
      <w:r>
        <w:rPr>
          <w:rFonts w:hint="cs"/>
          <w:snapToGrid w:val="0"/>
          <w:rtl/>
        </w:rPr>
        <w:t xml:space="preserve"> وتقارير التقييم الأخرى التي أعدتها منظمة الأغذية والزراعة للأمم المتحدة؛</w:t>
      </w:r>
    </w:p>
    <w:p w:rsidR="00CC7A77" w:rsidRDefault="00CC7A77" w:rsidP="00246CBF">
      <w:pPr>
        <w:kinsoku w:val="0"/>
        <w:overflowPunct w:val="0"/>
        <w:autoSpaceDE w:val="0"/>
        <w:autoSpaceDN w:val="0"/>
        <w:adjustRightInd w:val="0"/>
        <w:snapToGrid w:val="0"/>
        <w:spacing w:after="100" w:line="204" w:lineRule="auto"/>
        <w:ind w:firstLine="720"/>
        <w:rPr>
          <w:snapToGrid w:val="0"/>
          <w:rtl/>
        </w:rPr>
      </w:pPr>
      <w:r w:rsidRPr="002C3924">
        <w:rPr>
          <w:rFonts w:hint="cs"/>
          <w:snapToGrid w:val="0"/>
          <w:rtl/>
        </w:rPr>
        <w:t>(</w:t>
      </w:r>
      <w:r>
        <w:rPr>
          <w:rFonts w:hint="cs"/>
          <w:snapToGrid w:val="0"/>
          <w:rtl/>
        </w:rPr>
        <w:t>ص</w:t>
      </w:r>
      <w:r w:rsidRPr="002C3924">
        <w:rPr>
          <w:rFonts w:hint="cs"/>
          <w:snapToGrid w:val="0"/>
          <w:rtl/>
        </w:rPr>
        <w:t>)</w:t>
      </w:r>
      <w:r>
        <w:rPr>
          <w:rFonts w:hint="cs"/>
          <w:snapToGrid w:val="0"/>
          <w:rtl/>
        </w:rPr>
        <w:tab/>
        <w:t>العمل التحليلي الذي أعد وفقا ل</w:t>
      </w:r>
      <w:r w:rsidRPr="002C3924">
        <w:rPr>
          <w:rFonts w:hint="cs"/>
          <w:snapToGrid w:val="0"/>
          <w:rtl/>
        </w:rPr>
        <w:t>توصي</w:t>
      </w:r>
      <w:r>
        <w:rPr>
          <w:rFonts w:hint="cs"/>
          <w:snapToGrid w:val="0"/>
          <w:rtl/>
        </w:rPr>
        <w:t>تي الهيئة الفرعية للمشورة العلمية والتقنية والتكنولوجية</w:t>
      </w:r>
      <w:r w:rsidRPr="002C3924">
        <w:rPr>
          <w:rFonts w:hint="cs"/>
          <w:snapToGrid w:val="0"/>
          <w:rtl/>
        </w:rPr>
        <w:t xml:space="preserve"> 21/1 </w:t>
      </w:r>
      <w:r>
        <w:rPr>
          <w:rFonts w:hint="cs"/>
          <w:snapToGrid w:val="0"/>
          <w:rtl/>
        </w:rPr>
        <w:t>و21/5 والمقرر 14/35 لمؤتمر الأطراف. ويشمل ذلك العمل التحليلي بشأن ما يلي:</w:t>
      </w:r>
    </w:p>
    <w:p w:rsidR="00CC7A77" w:rsidRPr="00974F77" w:rsidRDefault="00CC7A77" w:rsidP="00246CBF">
      <w:pPr>
        <w:spacing w:after="60" w:line="204" w:lineRule="auto"/>
        <w:ind w:left="1440" w:hanging="720"/>
        <w:rPr>
          <w:rtl/>
        </w:rPr>
      </w:pPr>
      <w:r w:rsidRPr="00974F77">
        <w:rPr>
          <w:rFonts w:hint="cs"/>
          <w:snapToGrid w:val="0"/>
          <w:rtl/>
        </w:rPr>
        <w:t>(1)</w:t>
      </w:r>
      <w:r w:rsidRPr="00974F77">
        <w:rPr>
          <w:rFonts w:hint="cs"/>
          <w:snapToGrid w:val="0"/>
          <w:rtl/>
        </w:rPr>
        <w:tab/>
      </w:r>
      <w:r w:rsidRPr="00974F77">
        <w:rPr>
          <w:rtl/>
        </w:rPr>
        <w:t xml:space="preserve">الروابط بين التنوع البيولوجي وأهداف التنمية المستدامة ودور </w:t>
      </w:r>
      <w:r w:rsidRPr="00974F77">
        <w:rPr>
          <w:rFonts w:hint="cs"/>
          <w:rtl/>
        </w:rPr>
        <w:t>خطة التنمية المستدامة لعام 2030</w:t>
      </w:r>
      <w:r w:rsidRPr="00974F77">
        <w:rPr>
          <w:rtl/>
        </w:rPr>
        <w:t xml:space="preserve"> في توفير بيئة </w:t>
      </w:r>
      <w:r w:rsidRPr="00974F77">
        <w:rPr>
          <w:rFonts w:hint="cs"/>
          <w:rtl/>
        </w:rPr>
        <w:t>تمكينية</w:t>
      </w:r>
      <w:r>
        <w:rPr>
          <w:rFonts w:hint="cs"/>
          <w:rtl/>
        </w:rPr>
        <w:t xml:space="preserve"> لمعالجة الدوافع وراء فقدان التنوع البيولوجي</w:t>
      </w:r>
      <w:r w:rsidRPr="00974F77">
        <w:rPr>
          <w:rtl/>
        </w:rPr>
        <w:t>؛</w:t>
      </w:r>
    </w:p>
    <w:p w:rsidR="00CC7A77" w:rsidRPr="00974F77" w:rsidRDefault="00CC7A77" w:rsidP="00246CBF">
      <w:pPr>
        <w:spacing w:after="60" w:line="204" w:lineRule="auto"/>
        <w:ind w:left="1440" w:hanging="720"/>
        <w:rPr>
          <w:rtl/>
        </w:rPr>
      </w:pPr>
      <w:r w:rsidRPr="00974F77">
        <w:rPr>
          <w:rtl/>
        </w:rPr>
        <w:t>(</w:t>
      </w:r>
      <w:r w:rsidRPr="00974F77">
        <w:rPr>
          <w:rFonts w:hint="cs"/>
          <w:rtl/>
        </w:rPr>
        <w:t>2</w:t>
      </w:r>
      <w:r w:rsidRPr="00974F77">
        <w:rPr>
          <w:rtl/>
        </w:rPr>
        <w:t>)</w:t>
      </w:r>
      <w:r w:rsidRPr="00974F77">
        <w:rPr>
          <w:rtl/>
        </w:rPr>
        <w:tab/>
        <w:t>الدروس المستفادة من تنفيذ الاتفاقية وبروتوكول</w:t>
      </w:r>
      <w:r>
        <w:rPr>
          <w:rFonts w:hint="cs"/>
          <w:rtl/>
        </w:rPr>
        <w:t>ي</w:t>
      </w:r>
      <w:r w:rsidRPr="00974F77">
        <w:rPr>
          <w:rtl/>
        </w:rPr>
        <w:t>ها والخطة الاستراتيجية للتنوع البيولوجي 2011-2020</w:t>
      </w:r>
      <w:r w:rsidRPr="00974F77">
        <w:rPr>
          <w:rFonts w:hint="cs"/>
          <w:rtl/>
        </w:rPr>
        <w:t>،</w:t>
      </w:r>
      <w:r w:rsidRPr="00974F77">
        <w:rPr>
          <w:rtl/>
        </w:rPr>
        <w:t xml:space="preserve"> بما في ذلك ما حققته من نجاح وواجهته من تحديات و</w:t>
      </w:r>
      <w:r>
        <w:rPr>
          <w:rFonts w:hint="cs"/>
          <w:rtl/>
        </w:rPr>
        <w:t>ال</w:t>
      </w:r>
      <w:r w:rsidRPr="00974F77">
        <w:rPr>
          <w:rtl/>
        </w:rPr>
        <w:t>فرص والاحتياجات من بناء القدرات؛</w:t>
      </w:r>
    </w:p>
    <w:p w:rsidR="00CC7A77" w:rsidRPr="00974F77" w:rsidRDefault="00CC7A77" w:rsidP="00246CBF">
      <w:pPr>
        <w:spacing w:after="60" w:line="204" w:lineRule="auto"/>
        <w:ind w:left="1440" w:hanging="720"/>
        <w:rPr>
          <w:rtl/>
        </w:rPr>
      </w:pPr>
      <w:r w:rsidRPr="00974F77">
        <w:rPr>
          <w:rtl/>
        </w:rPr>
        <w:t>(</w:t>
      </w:r>
      <w:r w:rsidRPr="00974F77">
        <w:rPr>
          <w:rFonts w:hint="cs"/>
          <w:rtl/>
        </w:rPr>
        <w:t>3</w:t>
      </w:r>
      <w:r w:rsidRPr="00974F77">
        <w:rPr>
          <w:rtl/>
        </w:rPr>
        <w:t>)</w:t>
      </w:r>
      <w:r w:rsidRPr="00974F77">
        <w:rPr>
          <w:rtl/>
        </w:rPr>
        <w:tab/>
        <w:t>الأسباب المحتملة لتباين مستويات التقدم صوب تحقيق</w:t>
      </w:r>
      <w:r w:rsidRPr="00974F77">
        <w:rPr>
          <w:rFonts w:hint="cs"/>
          <w:rtl/>
        </w:rPr>
        <w:t xml:space="preserve"> أهداف</w:t>
      </w:r>
      <w:r w:rsidRPr="00974F77">
        <w:rPr>
          <w:rtl/>
        </w:rPr>
        <w:t xml:space="preserve"> أيشي للتنوع البيولوجي؛</w:t>
      </w:r>
    </w:p>
    <w:p w:rsidR="00CC7A77" w:rsidRPr="00974F77" w:rsidRDefault="00CC7A77" w:rsidP="00246CBF">
      <w:pPr>
        <w:spacing w:after="60" w:line="204" w:lineRule="auto"/>
        <w:ind w:left="1440" w:hanging="720"/>
        <w:rPr>
          <w:rtl/>
        </w:rPr>
      </w:pPr>
      <w:r w:rsidRPr="00974F77">
        <w:rPr>
          <w:rtl/>
        </w:rPr>
        <w:t>(</w:t>
      </w:r>
      <w:r w:rsidRPr="00974F77">
        <w:rPr>
          <w:rFonts w:hint="cs"/>
          <w:rtl/>
        </w:rPr>
        <w:t>4</w:t>
      </w:r>
      <w:r w:rsidRPr="00974F77">
        <w:rPr>
          <w:rtl/>
        </w:rPr>
        <w:t>)</w:t>
      </w:r>
      <w:r w:rsidRPr="00974F77">
        <w:rPr>
          <w:rtl/>
        </w:rPr>
        <w:tab/>
        <w:t>خيارات السياسات والتوصيات في إطار الاتفاقية التي يمكن أن تدعم الت</w:t>
      </w:r>
      <w:r>
        <w:rPr>
          <w:rFonts w:hint="cs"/>
          <w:rtl/>
        </w:rPr>
        <w:t>غير</w:t>
      </w:r>
      <w:r w:rsidRPr="00974F77">
        <w:rPr>
          <w:rtl/>
        </w:rPr>
        <w:t xml:space="preserve"> التحويلي اللازم لتحقيق رؤية</w:t>
      </w:r>
      <w:r>
        <w:rPr>
          <w:rFonts w:hint="cs"/>
          <w:rtl/>
        </w:rPr>
        <w:t xml:space="preserve"> عام</w:t>
      </w:r>
      <w:r w:rsidRPr="00974F77">
        <w:rPr>
          <w:rtl/>
        </w:rPr>
        <w:t xml:space="preserve"> 2050 للتنوع البيولوجي وتُسهم في تنفيذ </w:t>
      </w:r>
      <w:r>
        <w:rPr>
          <w:rFonts w:hint="cs"/>
          <w:rtl/>
        </w:rPr>
        <w:t>خطة</w:t>
      </w:r>
      <w:r w:rsidRPr="00974F77">
        <w:rPr>
          <w:rtl/>
        </w:rPr>
        <w:t xml:space="preserve"> </w:t>
      </w:r>
      <w:r>
        <w:rPr>
          <w:rFonts w:hint="cs"/>
          <w:rtl/>
        </w:rPr>
        <w:t>ا</w:t>
      </w:r>
      <w:r w:rsidRPr="00974F77">
        <w:rPr>
          <w:rtl/>
        </w:rPr>
        <w:t>لتنمية المستدامة</w:t>
      </w:r>
      <w:r>
        <w:rPr>
          <w:rFonts w:hint="cs"/>
          <w:rtl/>
        </w:rPr>
        <w:t xml:space="preserve"> لعام 2030</w:t>
      </w:r>
      <w:r w:rsidRPr="00974F77">
        <w:rPr>
          <w:rtl/>
        </w:rPr>
        <w:t>؛</w:t>
      </w:r>
    </w:p>
    <w:p w:rsidR="00CC7A77" w:rsidRDefault="00CC7A77" w:rsidP="00246CBF">
      <w:pPr>
        <w:spacing w:after="60" w:line="204" w:lineRule="auto"/>
        <w:ind w:left="1440" w:hanging="720"/>
        <w:rPr>
          <w:snapToGrid w:val="0"/>
          <w:rtl/>
        </w:rPr>
      </w:pPr>
      <w:r w:rsidRPr="00974F77">
        <w:rPr>
          <w:rtl/>
        </w:rPr>
        <w:t>(</w:t>
      </w:r>
      <w:r w:rsidRPr="00974F77">
        <w:rPr>
          <w:rFonts w:hint="cs"/>
          <w:rtl/>
        </w:rPr>
        <w:t>5</w:t>
      </w:r>
      <w:r w:rsidRPr="00974F77">
        <w:rPr>
          <w:rtl/>
        </w:rPr>
        <w:t>)</w:t>
      </w:r>
      <w:r w:rsidRPr="00974F77">
        <w:rPr>
          <w:rtl/>
        </w:rPr>
        <w:tab/>
        <w:t xml:space="preserve">السُبل التي يمكن بها للاتفاقيات الأخرى </w:t>
      </w:r>
      <w:r w:rsidRPr="00974F77">
        <w:rPr>
          <w:rFonts w:hint="cs"/>
          <w:rtl/>
        </w:rPr>
        <w:t>المتعلقة</w:t>
      </w:r>
      <w:r w:rsidRPr="00974F77">
        <w:rPr>
          <w:rtl/>
        </w:rPr>
        <w:t xml:space="preserve"> بالتنوع البيولوجي، واتفاقيات ريو</w:t>
      </w:r>
      <w:r w:rsidRPr="00974F77">
        <w:rPr>
          <w:rFonts w:hint="cs"/>
          <w:rtl/>
        </w:rPr>
        <w:t xml:space="preserve"> الأخرى،</w:t>
      </w:r>
      <w:r w:rsidRPr="00974F77">
        <w:rPr>
          <w:rtl/>
        </w:rPr>
        <w:t xml:space="preserve"> وغير ذلك من الاتفاق</w:t>
      </w:r>
      <w:r>
        <w:rPr>
          <w:rFonts w:hint="cs"/>
          <w:rtl/>
        </w:rPr>
        <w:t>ي</w:t>
      </w:r>
      <w:r>
        <w:rPr>
          <w:rtl/>
        </w:rPr>
        <w:t>ات والاتفاق</w:t>
      </w:r>
      <w:r w:rsidRPr="00974F77">
        <w:rPr>
          <w:rtl/>
        </w:rPr>
        <w:t>ات الدولية</w:t>
      </w:r>
      <w:r w:rsidRPr="00974F77">
        <w:rPr>
          <w:rFonts w:hint="cs"/>
          <w:rtl/>
        </w:rPr>
        <w:t xml:space="preserve"> ذات الصلة</w:t>
      </w:r>
      <w:r w:rsidRPr="00974F77">
        <w:rPr>
          <w:rtl/>
        </w:rPr>
        <w:t xml:space="preserve"> أن </w:t>
      </w:r>
      <w:r w:rsidRPr="00974F77">
        <w:rPr>
          <w:rFonts w:hint="cs"/>
          <w:rtl/>
        </w:rPr>
        <w:t>تساهم في الإطار العالمي للتنوع البيولوجي لما بعد عام 2020</w:t>
      </w:r>
      <w:r w:rsidRPr="00974F77">
        <w:rPr>
          <w:rtl/>
        </w:rPr>
        <w:t xml:space="preserve"> ورؤية </w:t>
      </w:r>
      <w:r>
        <w:rPr>
          <w:rFonts w:hint="cs"/>
          <w:rtl/>
        </w:rPr>
        <w:t>عام 2050</w:t>
      </w:r>
      <w:r w:rsidRPr="00974F77">
        <w:rPr>
          <w:rtl/>
        </w:rPr>
        <w:t xml:space="preserve"> للتنوع البيولوجي</w:t>
      </w:r>
      <w:r>
        <w:rPr>
          <w:rFonts w:hint="cs"/>
          <w:snapToGrid w:val="0"/>
          <w:rtl/>
        </w:rPr>
        <w:t>؛</w:t>
      </w:r>
    </w:p>
    <w:p w:rsidR="00CC7A77" w:rsidRPr="00974F77" w:rsidRDefault="00CC7A77" w:rsidP="00246CBF">
      <w:pPr>
        <w:spacing w:after="60" w:line="204" w:lineRule="auto"/>
        <w:ind w:left="1440" w:hanging="720"/>
        <w:rPr>
          <w:snapToGrid w:val="0"/>
          <w:rtl/>
        </w:rPr>
      </w:pPr>
      <w:r>
        <w:rPr>
          <w:rFonts w:hint="cs"/>
          <w:snapToGrid w:val="0"/>
          <w:rtl/>
        </w:rPr>
        <w:t>(6)</w:t>
      </w:r>
      <w:r>
        <w:rPr>
          <w:rFonts w:hint="cs"/>
          <w:snapToGrid w:val="0"/>
          <w:rtl/>
        </w:rPr>
        <w:tab/>
        <w:t xml:space="preserve">المعارف التقليدية والمعلومات الأخرى من الشعوب الأصلية والمجتمعات المحلية، مثل </w:t>
      </w:r>
      <w:r w:rsidRPr="00477308">
        <w:rPr>
          <w:rFonts w:hint="cs"/>
          <w:i/>
          <w:iCs/>
          <w:snapToGrid w:val="0"/>
          <w:rtl/>
        </w:rPr>
        <w:t>التوقعات المحلية للتنوع البيولوجي</w:t>
      </w:r>
      <w:r>
        <w:rPr>
          <w:rFonts w:hint="cs"/>
          <w:snapToGrid w:val="0"/>
          <w:rtl/>
        </w:rPr>
        <w:t>.</w:t>
      </w:r>
    </w:p>
    <w:p w:rsidR="00CC7A77" w:rsidRPr="00D47485" w:rsidRDefault="00CC7A77" w:rsidP="00CC7A77">
      <w:pPr>
        <w:kinsoku w:val="0"/>
        <w:overflowPunct w:val="0"/>
        <w:autoSpaceDE w:val="0"/>
        <w:autoSpaceDN w:val="0"/>
        <w:adjustRightInd w:val="0"/>
        <w:snapToGrid w:val="0"/>
        <w:spacing w:after="100" w:line="209" w:lineRule="auto"/>
        <w:jc w:val="center"/>
        <w:rPr>
          <w:b/>
          <w:bCs/>
          <w:snapToGrid w:val="0"/>
          <w:kern w:val="22"/>
        </w:rPr>
      </w:pPr>
      <w:r w:rsidRPr="00D47485">
        <w:rPr>
          <w:rFonts w:hint="cs"/>
          <w:b/>
          <w:bCs/>
          <w:snapToGrid w:val="0"/>
          <w:kern w:val="22"/>
          <w:rtl/>
        </w:rPr>
        <w:t>هاء -</w:t>
      </w:r>
      <w:r w:rsidRPr="00D47485">
        <w:rPr>
          <w:rFonts w:hint="cs"/>
          <w:b/>
          <w:bCs/>
          <w:snapToGrid w:val="0"/>
          <w:kern w:val="22"/>
          <w:rtl/>
        </w:rPr>
        <w:tab/>
        <w:t>ال</w:t>
      </w:r>
      <w:r>
        <w:rPr>
          <w:rFonts w:hint="cs"/>
          <w:b/>
          <w:bCs/>
          <w:snapToGrid w:val="0"/>
          <w:kern w:val="22"/>
          <w:rtl/>
        </w:rPr>
        <w:t>اتصا</w:t>
      </w:r>
      <w:r w:rsidRPr="00D47485">
        <w:rPr>
          <w:rFonts w:hint="cs"/>
          <w:b/>
          <w:bCs/>
          <w:snapToGrid w:val="0"/>
          <w:kern w:val="22"/>
          <w:rtl/>
        </w:rPr>
        <w:t>ل والتوعية</w:t>
      </w:r>
    </w:p>
    <w:p w:rsidR="00CC7A77" w:rsidRDefault="00CC7A77" w:rsidP="00CD26C5">
      <w:pPr>
        <w:pStyle w:val="ListParagraph"/>
        <w:numPr>
          <w:ilvl w:val="0"/>
          <w:numId w:val="88"/>
        </w:numPr>
        <w:kinsoku w:val="0"/>
        <w:overflowPunct w:val="0"/>
        <w:autoSpaceDE w:val="0"/>
        <w:autoSpaceDN w:val="0"/>
        <w:bidi/>
        <w:adjustRightInd w:val="0"/>
        <w:snapToGrid w:val="0"/>
        <w:spacing w:after="100" w:line="209" w:lineRule="auto"/>
        <w:ind w:left="0" w:firstLine="0"/>
        <w:rPr>
          <w:rFonts w:cs="Simplified Arabic"/>
          <w:snapToGrid w:val="0"/>
          <w:kern w:val="22"/>
        </w:rPr>
      </w:pPr>
      <w:r>
        <w:rPr>
          <w:rFonts w:cs="Simplified Arabic" w:hint="cs"/>
          <w:snapToGrid w:val="0"/>
          <w:kern w:val="22"/>
          <w:rtl/>
        </w:rPr>
        <w:t>عند تنفيذ العملية لإعداد الإطار العالمي للتنوع البيولوجي لما بعد عام 2020، ستقوم الأمانة بتعزيز المشاركة السياسية رفيعة المستوى في المجموعات ذات الصلة وأصحاب المصلحة في الاجتماعات الاستراتيجية الرئيسية، بما في ذلك زيادة التوعية بالعملية لما بعد عام 2020، فضلا عن اتفاقية التنوع البيولوجي على نحو أوسع نطاقا.</w:t>
      </w:r>
    </w:p>
    <w:p w:rsidR="00CC7A77" w:rsidRPr="00D377C3" w:rsidRDefault="00CC7A77" w:rsidP="00CD26C5">
      <w:pPr>
        <w:pStyle w:val="ListParagraph"/>
        <w:numPr>
          <w:ilvl w:val="0"/>
          <w:numId w:val="88"/>
        </w:numPr>
        <w:kinsoku w:val="0"/>
        <w:overflowPunct w:val="0"/>
        <w:autoSpaceDE w:val="0"/>
        <w:autoSpaceDN w:val="0"/>
        <w:bidi/>
        <w:adjustRightInd w:val="0"/>
        <w:snapToGrid w:val="0"/>
        <w:spacing w:after="100" w:line="209" w:lineRule="auto"/>
        <w:ind w:left="0" w:firstLine="0"/>
        <w:rPr>
          <w:rFonts w:cs="Simplified Arabic"/>
          <w:snapToGrid w:val="0"/>
          <w:kern w:val="22"/>
        </w:rPr>
      </w:pPr>
      <w:r w:rsidRPr="00D377C3">
        <w:rPr>
          <w:rFonts w:cs="Simplified Arabic" w:hint="cs"/>
          <w:snapToGrid w:val="0"/>
          <w:kern w:val="22"/>
          <w:rtl/>
        </w:rPr>
        <w:t>وسيكون تنفيذ العملية لإعداد الإطار العالمي للتنوع البيولوجي لما بعد عام 2020 مدعوما باستراتيجية اتصال وتوعية متناسقة وشاملة و</w:t>
      </w:r>
      <w:r>
        <w:rPr>
          <w:rFonts w:cs="Simplified Arabic" w:hint="cs"/>
          <w:snapToGrid w:val="0"/>
          <w:kern w:val="22"/>
          <w:rtl/>
        </w:rPr>
        <w:t>ابتكاري</w:t>
      </w:r>
      <w:r w:rsidRPr="00D377C3">
        <w:rPr>
          <w:rFonts w:cs="Simplified Arabic" w:hint="cs"/>
          <w:snapToGrid w:val="0"/>
          <w:kern w:val="22"/>
          <w:rtl/>
        </w:rPr>
        <w:t xml:space="preserve">ة، </w:t>
      </w:r>
      <w:r>
        <w:rPr>
          <w:rFonts w:cs="Simplified Arabic" w:hint="cs"/>
          <w:snapToGrid w:val="0"/>
          <w:kern w:val="22"/>
          <w:rtl/>
        </w:rPr>
        <w:t>ستحتوي على</w:t>
      </w:r>
      <w:r w:rsidRPr="00D377C3">
        <w:rPr>
          <w:rFonts w:cs="Simplified Arabic" w:hint="cs"/>
          <w:snapToGrid w:val="0"/>
          <w:kern w:val="22"/>
          <w:rtl/>
        </w:rPr>
        <w:t xml:space="preserve"> </w:t>
      </w:r>
      <w:r>
        <w:rPr>
          <w:rFonts w:cs="Simplified Arabic" w:hint="cs"/>
          <w:snapToGrid w:val="0"/>
          <w:kern w:val="22"/>
          <w:rtl/>
        </w:rPr>
        <w:t>إجراءات ل</w:t>
      </w:r>
      <w:r w:rsidRPr="00D377C3">
        <w:rPr>
          <w:rFonts w:cs="Simplified Arabic" w:hint="cs"/>
          <w:snapToGrid w:val="0"/>
          <w:kern w:val="22"/>
          <w:rtl/>
        </w:rPr>
        <w:t xml:space="preserve">لاتصال </w:t>
      </w:r>
      <w:r>
        <w:rPr>
          <w:rFonts w:cs="Simplified Arabic" w:hint="cs"/>
          <w:snapToGrid w:val="0"/>
          <w:kern w:val="22"/>
          <w:rtl/>
        </w:rPr>
        <w:t>و</w:t>
      </w:r>
      <w:r w:rsidRPr="00D377C3">
        <w:rPr>
          <w:rFonts w:cs="Simplified Arabic" w:hint="cs"/>
          <w:snapToGrid w:val="0"/>
          <w:kern w:val="22"/>
          <w:rtl/>
        </w:rPr>
        <w:t>التوعية</w:t>
      </w:r>
      <w:r>
        <w:rPr>
          <w:rFonts w:cs="Simplified Arabic" w:hint="cs"/>
          <w:snapToGrid w:val="0"/>
          <w:kern w:val="22"/>
          <w:rtl/>
        </w:rPr>
        <w:t>، أعدتها الأمانة بالمشاركة مع المنظمات الأخرى وفقا للمقررين 13/2 و14/26.</w:t>
      </w:r>
      <w:r w:rsidRPr="00D377C3">
        <w:rPr>
          <w:rFonts w:cs="Simplified Arabic" w:hint="cs"/>
          <w:snapToGrid w:val="0"/>
          <w:kern w:val="22"/>
          <w:rtl/>
        </w:rPr>
        <w:t xml:space="preserve"> </w:t>
      </w:r>
      <w:r>
        <w:rPr>
          <w:rFonts w:cs="Simplified Arabic" w:hint="cs"/>
          <w:snapToGrid w:val="0"/>
          <w:kern w:val="22"/>
          <w:rtl/>
        </w:rPr>
        <w:t>واستراتيجية الاتصال ستعزز التوعية بالعملية،</w:t>
      </w:r>
      <w:r w:rsidRPr="00D377C3">
        <w:rPr>
          <w:rFonts w:cs="Simplified Arabic" w:hint="cs"/>
          <w:snapToGrid w:val="0"/>
          <w:kern w:val="22"/>
          <w:rtl/>
        </w:rPr>
        <w:t xml:space="preserve"> وتشجع على المشاركة الفعالة</w:t>
      </w:r>
      <w:r>
        <w:rPr>
          <w:rFonts w:cs="Simplified Arabic" w:hint="cs"/>
          <w:snapToGrid w:val="0"/>
          <w:kern w:val="22"/>
          <w:rtl/>
        </w:rPr>
        <w:t>،</w:t>
      </w:r>
      <w:r w:rsidRPr="00D377C3">
        <w:rPr>
          <w:rFonts w:cs="Simplified Arabic" w:hint="cs"/>
          <w:snapToGrid w:val="0"/>
          <w:kern w:val="22"/>
          <w:rtl/>
        </w:rPr>
        <w:t xml:space="preserve"> وبناء الزخم للتنفيذ. وستتاح بانتظام معلومات عن حالة إعداد ومحتوى الإطار العالمي للتنوع البيولوجي لما بعد عام 2020، بما في ذلك من خلال آلية غرفة تبادل المعلومات التابعة للاتفاقية ووسائل أخرى.</w:t>
      </w:r>
    </w:p>
    <w:p w:rsidR="00CC7A77" w:rsidRDefault="00CC7A77" w:rsidP="00CD26C5">
      <w:pPr>
        <w:pStyle w:val="ListParagraph"/>
        <w:numPr>
          <w:ilvl w:val="0"/>
          <w:numId w:val="88"/>
        </w:numPr>
        <w:kinsoku w:val="0"/>
        <w:overflowPunct w:val="0"/>
        <w:autoSpaceDE w:val="0"/>
        <w:autoSpaceDN w:val="0"/>
        <w:bidi/>
        <w:adjustRightInd w:val="0"/>
        <w:snapToGrid w:val="0"/>
        <w:spacing w:after="100" w:line="209" w:lineRule="auto"/>
        <w:ind w:left="0" w:firstLine="0"/>
        <w:rPr>
          <w:rFonts w:cs="Simplified Arabic"/>
          <w:snapToGrid w:val="0"/>
          <w:kern w:val="22"/>
        </w:rPr>
      </w:pPr>
      <w:r>
        <w:rPr>
          <w:rFonts w:cs="Simplified Arabic" w:hint="cs"/>
          <w:snapToGrid w:val="0"/>
          <w:kern w:val="22"/>
          <w:rtl/>
        </w:rPr>
        <w:t>وسيتم تأسيس فريق رفيع المستوى لزيادة التوعية بالعملية لإعداد الإطار العالمي للتنوع البيولوجي لما بعد عام 2020. وسيكلف هذا الفريق بمهام لتعزيز وتشجيع المشاركة والمساهمات من جميع أصحاب المصلحة المعنيين في إعداد الإطار العالمي للتنوع البيولوجي لما بعد عام 2020، مع الاستفادة من الموارد لدعم إعداده، والوصول إلى القطاعات وإشراكها، بما في ذلك الشعوب الأصلية والمجتمعات المحلية، والمجتمع المدني والأعمال التجارية. وسيشمل الفريق أبطال سياسيين لزيادة التوعية بالعملية لإعداد الإطار العالمي للتنوع البيولوجي لما بعد عام 2020.</w:t>
      </w:r>
    </w:p>
    <w:p w:rsidR="00CC7A77" w:rsidRDefault="00CC7A77" w:rsidP="00CC7A77">
      <w:pPr>
        <w:pStyle w:val="ListParagraph"/>
        <w:kinsoku w:val="0"/>
        <w:overflowPunct w:val="0"/>
        <w:autoSpaceDE w:val="0"/>
        <w:autoSpaceDN w:val="0"/>
        <w:bidi/>
        <w:adjustRightInd w:val="0"/>
        <w:snapToGrid w:val="0"/>
        <w:spacing w:after="100" w:line="209" w:lineRule="auto"/>
        <w:ind w:left="0"/>
        <w:jc w:val="center"/>
        <w:rPr>
          <w:rFonts w:cs="Simplified Arabic"/>
          <w:snapToGrid w:val="0"/>
          <w:kern w:val="22"/>
        </w:rPr>
      </w:pPr>
      <w:r w:rsidRPr="00D47485">
        <w:rPr>
          <w:rFonts w:cs="Simplified Arabic" w:hint="cs"/>
          <w:b/>
          <w:bCs/>
          <w:snapToGrid w:val="0"/>
          <w:kern w:val="22"/>
          <w:rtl/>
        </w:rPr>
        <w:t>زاي -</w:t>
      </w:r>
      <w:r w:rsidRPr="00D47485">
        <w:rPr>
          <w:rFonts w:cs="Simplified Arabic" w:hint="cs"/>
          <w:b/>
          <w:bCs/>
          <w:snapToGrid w:val="0"/>
          <w:kern w:val="22"/>
          <w:rtl/>
        </w:rPr>
        <w:tab/>
        <w:t>المتطلبات من الموارد واللوجستي</w:t>
      </w:r>
      <w:r>
        <w:rPr>
          <w:rFonts w:cs="Simplified Arabic" w:hint="cs"/>
          <w:b/>
          <w:bCs/>
          <w:snapToGrid w:val="0"/>
          <w:kern w:val="22"/>
          <w:rtl/>
        </w:rPr>
        <w:t>ات</w:t>
      </w:r>
    </w:p>
    <w:p w:rsidR="00516FD0" w:rsidRPr="00ED48E1" w:rsidRDefault="00CC7A77" w:rsidP="00CD26C5">
      <w:pPr>
        <w:pStyle w:val="ListParagraph"/>
        <w:numPr>
          <w:ilvl w:val="0"/>
          <w:numId w:val="88"/>
        </w:numPr>
        <w:kinsoku w:val="0"/>
        <w:overflowPunct w:val="0"/>
        <w:autoSpaceDE w:val="0"/>
        <w:autoSpaceDN w:val="0"/>
        <w:bidi/>
        <w:adjustRightInd w:val="0"/>
        <w:snapToGrid w:val="0"/>
        <w:spacing w:after="100" w:line="209" w:lineRule="auto"/>
        <w:ind w:left="0" w:firstLine="0"/>
        <w:rPr>
          <w:rFonts w:cs="Simplified Arabic"/>
          <w:snapToGrid w:val="0"/>
          <w:kern w:val="22"/>
          <w:rtl/>
        </w:rPr>
      </w:pPr>
      <w:r>
        <w:rPr>
          <w:rFonts w:cs="Simplified Arabic" w:hint="cs"/>
          <w:snapToGrid w:val="0"/>
          <w:kern w:val="22"/>
          <w:rtl/>
        </w:rPr>
        <w:t xml:space="preserve">ستقدم الأمانة الدعم لعملية إعداد الإطار العالمي للتنوع البيولوجي لما بعد عام 2020. ونتيجة لذلك، من المرجح أن تحتاج الأمانة إلى إعادة تركيز بعض قدراتها لدعم العملية لما بعد عام 2020. </w:t>
      </w:r>
      <w:r w:rsidRPr="00ED48E1">
        <w:rPr>
          <w:rFonts w:cs="Simplified Arabic" w:hint="cs"/>
          <w:snapToGrid w:val="0"/>
          <w:spacing w:val="-8"/>
          <w:kern w:val="22"/>
          <w:rtl/>
        </w:rPr>
        <w:t>وستوفر الأمانة الوسائل المالية وفقا للمقرر 14/37.</w:t>
      </w:r>
    </w:p>
    <w:p w:rsidR="00516FD0" w:rsidRDefault="00516FD0" w:rsidP="00516FD0">
      <w:pPr>
        <w:spacing w:after="0" w:line="240" w:lineRule="auto"/>
        <w:jc w:val="left"/>
        <w:rPr>
          <w:b/>
          <w:bCs/>
          <w:sz w:val="24"/>
          <w:rtl/>
        </w:rPr>
      </w:pPr>
      <w:r>
        <w:rPr>
          <w:b/>
          <w:bCs/>
          <w:sz w:val="24"/>
          <w:rtl/>
        </w:rPr>
        <w:br w:type="page"/>
      </w:r>
    </w:p>
    <w:p w:rsidR="00ED48E1" w:rsidRDefault="00ED48E1" w:rsidP="00246CBF">
      <w:pPr>
        <w:pStyle w:val="Heading2"/>
        <w:rPr>
          <w:b w:val="0"/>
          <w:bCs w:val="0"/>
          <w:sz w:val="28"/>
          <w:szCs w:val="28"/>
          <w:rtl/>
        </w:rPr>
      </w:pPr>
      <w:bookmarkStart w:id="202" w:name="_Toc6071639"/>
      <w:bookmarkStart w:id="203" w:name="_Toc6139996"/>
      <w:r>
        <w:rPr>
          <w:rFonts w:hint="cs"/>
          <w:rtl/>
        </w:rPr>
        <w:lastRenderedPageBreak/>
        <w:t>المقرر 14/35</w:t>
      </w:r>
      <w:r>
        <w:rPr>
          <w:rFonts w:hint="cs"/>
          <w:rtl/>
        </w:rPr>
        <w:tab/>
      </w:r>
      <w:r w:rsidRPr="00E32FB9">
        <w:rPr>
          <w:rFonts w:hint="cs"/>
          <w:rtl/>
        </w:rPr>
        <w:t>التوقعات العالمية للتنوع البيولوجي</w:t>
      </w:r>
      <w:bookmarkEnd w:id="202"/>
      <w:bookmarkEnd w:id="203"/>
    </w:p>
    <w:p w:rsidR="00ED48E1" w:rsidRDefault="00ED48E1" w:rsidP="00ED48E1">
      <w:pPr>
        <w:ind w:firstLine="709"/>
        <w:rPr>
          <w:i/>
          <w:iCs/>
          <w:rtl/>
        </w:rPr>
      </w:pPr>
      <w:r>
        <w:rPr>
          <w:rFonts w:hint="cs"/>
          <w:i/>
          <w:iCs/>
          <w:rtl/>
        </w:rPr>
        <w:t>إن مؤتمر الأطراف،</w:t>
      </w:r>
    </w:p>
    <w:p w:rsidR="00ED48E1" w:rsidRDefault="00ED48E1" w:rsidP="00CD26C5">
      <w:pPr>
        <w:numPr>
          <w:ilvl w:val="0"/>
          <w:numId w:val="90"/>
        </w:numPr>
        <w:ind w:left="0" w:firstLine="720"/>
      </w:pPr>
      <w:r w:rsidRPr="00C213C3">
        <w:rPr>
          <w:i/>
          <w:iCs/>
          <w:rtl/>
        </w:rPr>
        <w:t>يشير</w:t>
      </w:r>
      <w:r w:rsidRPr="00C213C3">
        <w:rPr>
          <w:rtl/>
        </w:rPr>
        <w:t xml:space="preserve"> إلى </w:t>
      </w:r>
      <w:hyperlink r:id="rId84" w:history="1">
        <w:r w:rsidRPr="00C213C3">
          <w:rPr>
            <w:color w:val="0000FF"/>
            <w:u w:val="single"/>
            <w:rtl/>
          </w:rPr>
          <w:t>المقرر 13/</w:t>
        </w:r>
        <w:r>
          <w:rPr>
            <w:rFonts w:hint="cs"/>
            <w:color w:val="0000FF"/>
            <w:u w:val="single"/>
            <w:rtl/>
          </w:rPr>
          <w:t>29</w:t>
        </w:r>
      </w:hyperlink>
      <w:r w:rsidRPr="00C213C3">
        <w:rPr>
          <w:rtl/>
        </w:rPr>
        <w:t>، الذي قرر فيه أن يعمل الإصدار الخامس من</w:t>
      </w:r>
      <w:r w:rsidRPr="00C213C3">
        <w:rPr>
          <w:i/>
          <w:iCs/>
          <w:rtl/>
        </w:rPr>
        <w:t xml:space="preserve"> التوقعات العالمية للتنوع البيولوجي</w:t>
      </w:r>
      <w:r w:rsidRPr="00C213C3">
        <w:rPr>
          <w:rtl/>
        </w:rPr>
        <w:t xml:space="preserve"> كأساس لمتابعة الخطة الاستراتيجية للتنوع البيولوجي 2011-2020،</w:t>
      </w:r>
      <w:r w:rsidRPr="00C213C3">
        <w:rPr>
          <w:rFonts w:ascii="Simplified Arabic" w:hAnsi="Simplified Arabic"/>
          <w:vertAlign w:val="superscript"/>
          <w:rtl/>
        </w:rPr>
        <w:footnoteReference w:id="321"/>
      </w:r>
      <w:r w:rsidRPr="00C213C3">
        <w:rPr>
          <w:rtl/>
        </w:rPr>
        <w:t xml:space="preserve"> المقرر أن ينظر فيها مؤتمر الأطراف في اجتماعه الخامس عشر؛</w:t>
      </w:r>
    </w:p>
    <w:p w:rsidR="00ED48E1" w:rsidRDefault="00ED48E1" w:rsidP="00CD26C5">
      <w:pPr>
        <w:numPr>
          <w:ilvl w:val="0"/>
          <w:numId w:val="90"/>
        </w:numPr>
        <w:ind w:left="0" w:firstLine="720"/>
      </w:pPr>
      <w:r w:rsidRPr="00E32FB9">
        <w:rPr>
          <w:i/>
          <w:iCs/>
          <w:rtl/>
        </w:rPr>
        <w:t>يلاحظ</w:t>
      </w:r>
      <w:r w:rsidRPr="00E32FB9">
        <w:rPr>
          <w:rtl/>
        </w:rPr>
        <w:t xml:space="preserve"> أهمية التقارير الوطنية السادسة بالنسبة لإعداد الإصدار الخامس من </w:t>
      </w:r>
      <w:r w:rsidRPr="00E32FB9">
        <w:rPr>
          <w:i/>
          <w:iCs/>
          <w:rtl/>
        </w:rPr>
        <w:t>التوقعات العالمية للتنوع البيولوجي</w:t>
      </w:r>
      <w:r w:rsidRPr="00E32FB9">
        <w:rPr>
          <w:rtl/>
        </w:rPr>
        <w:t xml:space="preserve">، </w:t>
      </w:r>
      <w:r w:rsidRPr="00E32FB9">
        <w:rPr>
          <w:i/>
          <w:iCs/>
          <w:rtl/>
        </w:rPr>
        <w:t>ويشير إلى</w:t>
      </w:r>
      <w:r w:rsidRPr="00E32FB9">
        <w:rPr>
          <w:rtl/>
        </w:rPr>
        <w:t xml:space="preserve"> </w:t>
      </w:r>
      <w:hyperlink r:id="rId85" w:history="1">
        <w:r w:rsidRPr="00E32FB9">
          <w:rPr>
            <w:color w:val="0000FF"/>
            <w:u w:val="single"/>
            <w:rtl/>
          </w:rPr>
          <w:t>المقرر 13/27</w:t>
        </w:r>
      </w:hyperlink>
      <w:r w:rsidRPr="00E32FB9">
        <w:rPr>
          <w:rtl/>
        </w:rPr>
        <w:t xml:space="preserve">، </w:t>
      </w:r>
      <w:r w:rsidRPr="00E32FB9">
        <w:rPr>
          <w:rFonts w:hint="cs"/>
          <w:i/>
          <w:iCs/>
          <w:rtl/>
        </w:rPr>
        <w:t>و</w:t>
      </w:r>
      <w:r w:rsidRPr="00E32FB9">
        <w:rPr>
          <w:i/>
          <w:iCs/>
          <w:rtl/>
        </w:rPr>
        <w:t>يحث</w:t>
      </w:r>
      <w:r w:rsidRPr="00E32FB9">
        <w:rPr>
          <w:rtl/>
        </w:rPr>
        <w:t xml:space="preserve"> الأطراف على تقديم تقاريرها الوطنية السادسة بحلول 31 ديسمبر/كانون الأول على أقصى تقدير؛</w:t>
      </w:r>
    </w:p>
    <w:p w:rsidR="00ED48E1" w:rsidRDefault="00ED48E1" w:rsidP="00CD26C5">
      <w:pPr>
        <w:numPr>
          <w:ilvl w:val="0"/>
          <w:numId w:val="90"/>
        </w:numPr>
        <w:ind w:left="0" w:firstLine="720"/>
      </w:pPr>
      <w:r w:rsidRPr="00E32FB9">
        <w:rPr>
          <w:rFonts w:hint="cs"/>
          <w:i/>
          <w:iCs/>
          <w:rtl/>
        </w:rPr>
        <w:t xml:space="preserve">يقر </w:t>
      </w:r>
      <w:r w:rsidRPr="00E32FB9">
        <w:rPr>
          <w:rFonts w:hint="cs"/>
          <w:rtl/>
        </w:rPr>
        <w:t xml:space="preserve">بالمساهمة المقدمة من الشراكة العالمية لحفظ النباتات في تنفيذ الاستراتيجية العالمية لحفظ النباتات واستعراض التقدم المحزر في تنفيذها، </w:t>
      </w:r>
      <w:r w:rsidRPr="00E32FB9">
        <w:rPr>
          <w:rFonts w:hint="cs"/>
          <w:i/>
          <w:iCs/>
          <w:rtl/>
        </w:rPr>
        <w:t xml:space="preserve">ويطلب إلى </w:t>
      </w:r>
      <w:r w:rsidRPr="00E32FB9">
        <w:rPr>
          <w:rFonts w:hint="cs"/>
          <w:rtl/>
        </w:rPr>
        <w:t xml:space="preserve">الأمينة التنفيذية أن تنظر في التقارير والتقييمات بشأن حفظ النباتات عند إعداد الإصدار الخامس من </w:t>
      </w:r>
      <w:r w:rsidRPr="00E32FB9">
        <w:rPr>
          <w:i/>
          <w:iCs/>
          <w:rtl/>
        </w:rPr>
        <w:t>التوقعات العالمية للتنوع البيولوجي</w:t>
      </w:r>
      <w:r w:rsidRPr="00E32FB9">
        <w:rPr>
          <w:rFonts w:hint="cs"/>
          <w:i/>
          <w:iCs/>
          <w:rtl/>
        </w:rPr>
        <w:t>،</w:t>
      </w:r>
    </w:p>
    <w:p w:rsidR="00ED48E1" w:rsidRDefault="00ED48E1" w:rsidP="00CD26C5">
      <w:pPr>
        <w:numPr>
          <w:ilvl w:val="0"/>
          <w:numId w:val="90"/>
        </w:numPr>
        <w:ind w:left="0" w:firstLine="720"/>
      </w:pPr>
      <w:r w:rsidRPr="00E32FB9">
        <w:rPr>
          <w:i/>
          <w:iCs/>
          <w:rtl/>
        </w:rPr>
        <w:t>يشير أيضا</w:t>
      </w:r>
      <w:r w:rsidRPr="00E32FB9">
        <w:rPr>
          <w:rtl/>
        </w:rPr>
        <w:t xml:space="preserve"> إلى </w:t>
      </w:r>
      <w:hyperlink r:id="rId86" w:history="1">
        <w:r w:rsidRPr="00E32FB9">
          <w:rPr>
            <w:color w:val="0000FF"/>
            <w:u w:val="single"/>
            <w:rtl/>
          </w:rPr>
          <w:t>المقرر 11/2</w:t>
        </w:r>
      </w:hyperlink>
      <w:r w:rsidRPr="00E32FB9">
        <w:rPr>
          <w:rtl/>
        </w:rPr>
        <w:t xml:space="preserve"> </w:t>
      </w:r>
      <w:r w:rsidRPr="00E32FB9">
        <w:rPr>
          <w:i/>
          <w:iCs/>
          <w:rtl/>
        </w:rPr>
        <w:t>ويسلط الضوء</w:t>
      </w:r>
      <w:r w:rsidRPr="00E32FB9">
        <w:rPr>
          <w:rtl/>
        </w:rPr>
        <w:t xml:space="preserve"> على حقيقة أن التقييم العالمي والإقليمي بشأن التنوع البيولوجي وخدمات النظم الإيكولوجية والتقييمات المواضيعية التي أجراها المنبر الحكومي الدولي للعلوم والسياسات في مجال التنوع البيولوجي وخدمات النظم الإيكولوجية، وكذلك التقييمات الوطنية ودون الإقليمية الأخرى ذات الصلة، تشكل قاعدة أدلة هامة لتقييم التقدم المحرز نحو تحقيق أهداف أيشي للتنوع البيولوجي في الإصدار الخامس من </w:t>
      </w:r>
      <w:r w:rsidRPr="00E32FB9">
        <w:rPr>
          <w:i/>
          <w:iCs/>
          <w:rtl/>
        </w:rPr>
        <w:t>التوقعات العالمية للتنوع البيولوجي</w:t>
      </w:r>
      <w:r w:rsidRPr="00E32FB9">
        <w:rPr>
          <w:rtl/>
        </w:rPr>
        <w:t>؛</w:t>
      </w:r>
    </w:p>
    <w:p w:rsidR="00ED48E1" w:rsidRPr="00E32FB9" w:rsidRDefault="00ED48E1" w:rsidP="00CD26C5">
      <w:pPr>
        <w:numPr>
          <w:ilvl w:val="0"/>
          <w:numId w:val="90"/>
        </w:numPr>
        <w:ind w:left="0" w:firstLine="720"/>
        <w:rPr>
          <w:rtl/>
        </w:rPr>
      </w:pPr>
      <w:r w:rsidRPr="00E32FB9">
        <w:rPr>
          <w:i/>
          <w:iCs/>
          <w:rtl/>
        </w:rPr>
        <w:t>يحيط علما</w:t>
      </w:r>
      <w:r w:rsidRPr="00E32FB9">
        <w:rPr>
          <w:rtl/>
        </w:rPr>
        <w:t xml:space="preserve"> بخطة وتقديرات تكاليف إعداد الإصدار الخامس من </w:t>
      </w:r>
      <w:r w:rsidRPr="00E32FB9">
        <w:rPr>
          <w:i/>
          <w:iCs/>
          <w:rtl/>
        </w:rPr>
        <w:t>التوقعات العالمية للتنوع البيولوجي</w:t>
      </w:r>
      <w:r w:rsidRPr="00E32FB9">
        <w:rPr>
          <w:rtl/>
        </w:rPr>
        <w:t>،</w:t>
      </w:r>
      <w:r w:rsidRPr="00E32FB9">
        <w:rPr>
          <w:i/>
          <w:iCs/>
          <w:rtl/>
        </w:rPr>
        <w:t xml:space="preserve"> </w:t>
      </w:r>
      <w:r w:rsidRPr="00E32FB9">
        <w:rPr>
          <w:rtl/>
        </w:rPr>
        <w:t>بما في ذلك الجدول الزمني الإرشادي الوارد في المرفق بهذا المقرر،</w:t>
      </w:r>
      <w:r w:rsidRPr="00E32FB9">
        <w:rPr>
          <w:i/>
          <w:iCs/>
          <w:rtl/>
        </w:rPr>
        <w:t xml:space="preserve"> ويطلب </w:t>
      </w:r>
      <w:r w:rsidRPr="00E32FB9">
        <w:rPr>
          <w:rtl/>
        </w:rPr>
        <w:t>إلى الأمينة التنفيذية:</w:t>
      </w:r>
    </w:p>
    <w:p w:rsidR="00ED48E1" w:rsidRPr="00C213C3" w:rsidRDefault="00ED48E1" w:rsidP="00ED48E1">
      <w:pPr>
        <w:ind w:firstLine="720"/>
        <w:rPr>
          <w:rtl/>
        </w:rPr>
      </w:pPr>
      <w:r w:rsidRPr="00C213C3">
        <w:rPr>
          <w:rtl/>
        </w:rPr>
        <w:t>(أ)</w:t>
      </w:r>
      <w:r w:rsidRPr="00C213C3">
        <w:rPr>
          <w:rtl/>
        </w:rPr>
        <w:tab/>
        <w:t>إعداد الإصدار الخامس من</w:t>
      </w:r>
      <w:r w:rsidRPr="00C213C3">
        <w:rPr>
          <w:i/>
          <w:iCs/>
          <w:rtl/>
        </w:rPr>
        <w:t xml:space="preserve"> التوقعات العالمية للتنوع البيولوجي</w:t>
      </w:r>
      <w:r w:rsidRPr="00C213C3">
        <w:rPr>
          <w:rtl/>
        </w:rPr>
        <w:t>، بما في ذلك موجز لواضعي السياسات، على أساس هذه الخطة؛</w:t>
      </w:r>
    </w:p>
    <w:p w:rsidR="00ED48E1" w:rsidRPr="00C213C3" w:rsidRDefault="00ED48E1" w:rsidP="00ED48E1">
      <w:pPr>
        <w:ind w:firstLine="720"/>
        <w:rPr>
          <w:rtl/>
        </w:rPr>
      </w:pPr>
      <w:r w:rsidRPr="00C213C3">
        <w:rPr>
          <w:rtl/>
        </w:rPr>
        <w:t>(ب)</w:t>
      </w:r>
      <w:r w:rsidRPr="00C213C3">
        <w:rPr>
          <w:rtl/>
        </w:rPr>
        <w:tab/>
        <w:t>إخطار الشركاء المعنيين والمساهمين المحتملين بالجدول الزمني لإعداد الإصدار الخامس من</w:t>
      </w:r>
      <w:r w:rsidRPr="00C213C3">
        <w:rPr>
          <w:i/>
          <w:iCs/>
          <w:rtl/>
        </w:rPr>
        <w:t xml:space="preserve"> التوقعات العالمية للتنوع البيولوجي</w:t>
      </w:r>
      <w:r w:rsidRPr="00C213C3">
        <w:rPr>
          <w:rtl/>
        </w:rPr>
        <w:t xml:space="preserve"> وما يتصل به من منتجات؛</w:t>
      </w:r>
    </w:p>
    <w:p w:rsidR="00ED48E1" w:rsidRPr="00C213C3" w:rsidRDefault="00ED48E1" w:rsidP="00ED48E1">
      <w:pPr>
        <w:ind w:firstLine="720"/>
        <w:rPr>
          <w:rtl/>
        </w:rPr>
      </w:pPr>
      <w:r w:rsidRPr="00C213C3">
        <w:rPr>
          <w:rtl/>
        </w:rPr>
        <w:t>(ج)</w:t>
      </w:r>
      <w:r w:rsidRPr="00C213C3">
        <w:rPr>
          <w:rtl/>
        </w:rPr>
        <w:tab/>
        <w:t>مواصلة التعاون مع الاتفاقيات الأخرى المتعلقة بالتنوع البيولوجي والعمليات والمنظمات الأخرى ذات الصلة في إعداد واستعراض الإصدار الخامس من</w:t>
      </w:r>
      <w:r w:rsidRPr="00C213C3">
        <w:rPr>
          <w:i/>
          <w:iCs/>
          <w:rtl/>
        </w:rPr>
        <w:t xml:space="preserve"> التوقعات العالمية للتنوع البيولوجي</w:t>
      </w:r>
      <w:r w:rsidRPr="00C213C3">
        <w:rPr>
          <w:rtl/>
        </w:rPr>
        <w:t>، حسب الاقتضاء ووفقا لولاية كل منها، بما في ذلك، ضمن جهات أخرى، المنبر الحكومي الدولي للعلوم والسياسات في مجال التنوع البيولوجي وخدمات النظم الإيكولوجية ومنظمة الأغذية والزراعة للأمم المتحدة؛</w:t>
      </w:r>
    </w:p>
    <w:p w:rsidR="00ED48E1" w:rsidRPr="00C213C3" w:rsidRDefault="00ED48E1" w:rsidP="00ED48E1">
      <w:pPr>
        <w:ind w:firstLine="720"/>
        <w:rPr>
          <w:rtl/>
        </w:rPr>
      </w:pPr>
      <w:r w:rsidRPr="00C213C3">
        <w:rPr>
          <w:rtl/>
        </w:rPr>
        <w:t>(د)</w:t>
      </w:r>
      <w:r w:rsidRPr="00C213C3">
        <w:rPr>
          <w:rtl/>
        </w:rPr>
        <w:tab/>
        <w:t>الأخذ في الحسبان استنتاجات الاجتماع الحادي والعشرين للهيئة الفرعية للمشورة العلمية والتقنية والتكنولوجية بخصوص سيناريوهات لرؤية عام 2050 للتنوع البيولوجي الواردة في المرفق بالمقرر 14/</w:t>
      </w:r>
      <w:r>
        <w:rPr>
          <w:rFonts w:hint="cs"/>
          <w:rtl/>
        </w:rPr>
        <w:t>2</w:t>
      </w:r>
      <w:r w:rsidRPr="00C213C3">
        <w:rPr>
          <w:rtl/>
        </w:rPr>
        <w:t>؛</w:t>
      </w:r>
      <w:r w:rsidRPr="00C213C3">
        <w:rPr>
          <w:rFonts w:ascii="Simplified Arabic" w:hAnsi="Simplified Arabic"/>
          <w:vertAlign w:val="superscript"/>
          <w:rtl/>
        </w:rPr>
        <w:footnoteReference w:id="322"/>
      </w:r>
    </w:p>
    <w:p w:rsidR="00ED48E1" w:rsidRDefault="00ED48E1" w:rsidP="00CD26C5">
      <w:pPr>
        <w:numPr>
          <w:ilvl w:val="0"/>
          <w:numId w:val="90"/>
        </w:numPr>
        <w:ind w:left="0" w:firstLine="720"/>
      </w:pPr>
      <w:r w:rsidRPr="00C213C3">
        <w:rPr>
          <w:i/>
          <w:iCs/>
          <w:rtl/>
        </w:rPr>
        <w:t>يحث</w:t>
      </w:r>
      <w:r w:rsidRPr="00C213C3">
        <w:rPr>
          <w:rtl/>
        </w:rPr>
        <w:t xml:space="preserve"> الأطراف </w:t>
      </w:r>
      <w:r w:rsidRPr="00C213C3">
        <w:rPr>
          <w:i/>
          <w:iCs/>
          <w:rtl/>
        </w:rPr>
        <w:t>ويدعو</w:t>
      </w:r>
      <w:r w:rsidRPr="00C213C3">
        <w:rPr>
          <w:rtl/>
        </w:rPr>
        <w:t xml:space="preserve"> الحكومات الأخرى والمنظمات ذات الصلة إلى إتاحة البيانات الدقيقة والموثوقة، بطريقة مفتوحة، وتحديثات البيانات المتعلقة بحالة واتجاهات وتوقعات التنوع البيولوجي و</w:t>
      </w:r>
      <w:r>
        <w:rPr>
          <w:rtl/>
        </w:rPr>
        <w:t xml:space="preserve">كذلك التهديدات التي يتعرض لها، </w:t>
      </w:r>
      <w:r w:rsidRPr="00C213C3">
        <w:rPr>
          <w:rtl/>
        </w:rPr>
        <w:t>وعن التقدم المحرز في تنفيذ الاتفاقية والخطة الاستراتيجية للتنوع البيولوجي 2011-2020، بما في ذلك أنشطة التعميم؛</w:t>
      </w:r>
    </w:p>
    <w:p w:rsidR="00ED48E1" w:rsidRPr="008053D4" w:rsidRDefault="00ED48E1" w:rsidP="00CD26C5">
      <w:pPr>
        <w:numPr>
          <w:ilvl w:val="0"/>
          <w:numId w:val="90"/>
        </w:numPr>
        <w:ind w:left="0" w:firstLine="720"/>
        <w:rPr>
          <w:rtl/>
        </w:rPr>
      </w:pPr>
      <w:r w:rsidRPr="008053D4">
        <w:rPr>
          <w:i/>
          <w:iCs/>
          <w:rtl/>
        </w:rPr>
        <w:lastRenderedPageBreak/>
        <w:t>يدعو</w:t>
      </w:r>
      <w:r w:rsidRPr="008053D4">
        <w:rPr>
          <w:rtl/>
        </w:rPr>
        <w:t xml:space="preserve"> الأطراف، والحكومات الأخرى والمنظمات ذات الصلة، حيثما أمكن ذلك، إلى تقديم مساهمات مالية في الوقت المناسب لإعداد وإنتاج الإصدار الخامس من</w:t>
      </w:r>
      <w:r w:rsidRPr="008053D4">
        <w:rPr>
          <w:i/>
          <w:iCs/>
          <w:rtl/>
        </w:rPr>
        <w:t xml:space="preserve"> التوقعات العالمية للتنوع البيولوجي</w:t>
      </w:r>
      <w:r w:rsidRPr="008053D4">
        <w:rPr>
          <w:rtl/>
        </w:rPr>
        <w:t xml:space="preserve"> وما يتصل به من منتجات، بما في ذلك الإصدار الثاني من </w:t>
      </w:r>
      <w:r w:rsidRPr="008053D4">
        <w:rPr>
          <w:i/>
          <w:iCs/>
          <w:rtl/>
        </w:rPr>
        <w:t>التوقعات المحلية للتنوع البيولوجي</w:t>
      </w:r>
      <w:r w:rsidRPr="008053D4">
        <w:rPr>
          <w:rtl/>
        </w:rPr>
        <w:t>،</w:t>
      </w:r>
      <w:r w:rsidRPr="008053D4">
        <w:rPr>
          <w:rFonts w:hint="cs"/>
          <w:rtl/>
        </w:rPr>
        <w:t xml:space="preserve"> وتقييم تنفيذ الاستراتيجية العالمية لحفظ النباتات 2011-2020،</w:t>
      </w:r>
      <w:r w:rsidRPr="008053D4">
        <w:rPr>
          <w:rtl/>
        </w:rPr>
        <w:t xml:space="preserve"> إلى أن تقوم بذلك.</w:t>
      </w:r>
    </w:p>
    <w:p w:rsidR="00ED48E1" w:rsidRPr="00C213C3" w:rsidRDefault="00ED48E1" w:rsidP="00ED48E1">
      <w:pPr>
        <w:tabs>
          <w:tab w:val="left" w:pos="720"/>
        </w:tabs>
        <w:snapToGrid w:val="0"/>
        <w:jc w:val="center"/>
        <w:rPr>
          <w:rFonts w:ascii="Malgun Gothic" w:eastAsia="Malgun Gothic" w:hAnsi="Malgun Gothic"/>
          <w:i/>
          <w:iCs/>
          <w:rtl/>
          <w:lang w:val="en-CA"/>
        </w:rPr>
      </w:pPr>
      <w:r w:rsidRPr="00C213C3">
        <w:rPr>
          <w:rFonts w:ascii="Malgun Gothic" w:eastAsia="Malgun Gothic" w:hAnsi="Malgun Gothic"/>
          <w:i/>
          <w:iCs/>
          <w:rtl/>
          <w:lang w:val="en-CA"/>
        </w:rPr>
        <w:t>المرفق</w:t>
      </w:r>
    </w:p>
    <w:p w:rsidR="00ED48E1" w:rsidRPr="00C213C3" w:rsidRDefault="00ED48E1" w:rsidP="00ED48E1">
      <w:pPr>
        <w:tabs>
          <w:tab w:val="left" w:pos="720"/>
        </w:tabs>
        <w:snapToGrid w:val="0"/>
        <w:jc w:val="center"/>
        <w:rPr>
          <w:rFonts w:ascii="Malgun Gothic" w:eastAsia="Malgun Gothic" w:hAnsi="Malgun Gothic"/>
          <w:b/>
          <w:bCs/>
          <w:rtl/>
          <w:lang w:val="en-CA"/>
        </w:rPr>
      </w:pPr>
      <w:r w:rsidRPr="00C213C3">
        <w:rPr>
          <w:rFonts w:ascii="Malgun Gothic" w:eastAsia="Malgun Gothic" w:hAnsi="Malgun Gothic"/>
          <w:b/>
          <w:bCs/>
          <w:rtl/>
          <w:lang w:val="en-CA"/>
        </w:rPr>
        <w:t xml:space="preserve">الجدول الزمني الإرشادي لإعداد الإصدار الخامس من </w:t>
      </w:r>
      <w:r w:rsidRPr="0040431E">
        <w:rPr>
          <w:rFonts w:ascii="Malgun Gothic" w:eastAsia="Malgun Gothic" w:hAnsi="Malgun Gothic"/>
          <w:b/>
          <w:bCs/>
          <w:i/>
          <w:iCs/>
          <w:rtl/>
          <w:lang w:val="en-CA"/>
        </w:rPr>
        <w:t>التوقعات العالمية للتنوع البيولوجي</w:t>
      </w:r>
    </w:p>
    <w:tbl>
      <w:tblPr>
        <w:bidiVisual/>
        <w:tblW w:w="0" w:type="auto"/>
        <w:jc w:val="center"/>
        <w:tblLook w:val="04A0"/>
      </w:tblPr>
      <w:tblGrid>
        <w:gridCol w:w="5508"/>
        <w:gridCol w:w="4068"/>
      </w:tblGrid>
      <w:tr w:rsidR="00ED48E1" w:rsidRPr="00C213C3" w:rsidTr="00ED48E1">
        <w:trPr>
          <w:trHeight w:val="420"/>
          <w:tblHeader/>
          <w:jc w:val="center"/>
        </w:trPr>
        <w:tc>
          <w:tcPr>
            <w:tcW w:w="5508" w:type="dxa"/>
            <w:tcBorders>
              <w:top w:val="single" w:sz="4" w:space="0" w:color="auto"/>
              <w:left w:val="nil"/>
              <w:bottom w:val="single" w:sz="4" w:space="0" w:color="auto"/>
              <w:right w:val="nil"/>
            </w:tcBorders>
            <w:hideMark/>
          </w:tcPr>
          <w:p w:rsidR="00ED48E1" w:rsidRPr="00C213C3" w:rsidRDefault="00ED48E1" w:rsidP="00ED48E1">
            <w:pPr>
              <w:spacing w:before="60" w:after="60" w:line="204" w:lineRule="auto"/>
              <w:rPr>
                <w:rFonts w:ascii="Simplified Arabic" w:hAnsi="Simplified Arabic"/>
                <w:i/>
                <w:iCs/>
                <w:szCs w:val="22"/>
                <w:rtl/>
              </w:rPr>
            </w:pPr>
            <w:r w:rsidRPr="00C213C3">
              <w:rPr>
                <w:rFonts w:ascii="Simplified Arabic" w:hAnsi="Simplified Arabic"/>
                <w:i/>
                <w:iCs/>
                <w:szCs w:val="22"/>
                <w:rtl/>
              </w:rPr>
              <w:t>المنتج/العنصر</w:t>
            </w:r>
          </w:p>
        </w:tc>
        <w:tc>
          <w:tcPr>
            <w:tcW w:w="4068" w:type="dxa"/>
            <w:tcBorders>
              <w:top w:val="single" w:sz="4" w:space="0" w:color="auto"/>
              <w:left w:val="nil"/>
              <w:bottom w:val="single" w:sz="4" w:space="0" w:color="auto"/>
              <w:right w:val="nil"/>
            </w:tcBorders>
            <w:hideMark/>
          </w:tcPr>
          <w:p w:rsidR="00ED48E1" w:rsidRPr="00C213C3" w:rsidRDefault="00ED48E1" w:rsidP="00ED48E1">
            <w:pPr>
              <w:spacing w:before="60" w:after="60" w:line="204" w:lineRule="auto"/>
              <w:rPr>
                <w:rFonts w:ascii="Simplified Arabic" w:hAnsi="Simplified Arabic"/>
                <w:i/>
                <w:iCs/>
                <w:szCs w:val="22"/>
              </w:rPr>
            </w:pPr>
            <w:r w:rsidRPr="00C213C3">
              <w:rPr>
                <w:rFonts w:ascii="Simplified Arabic" w:hAnsi="Simplified Arabic"/>
                <w:i/>
                <w:iCs/>
                <w:szCs w:val="22"/>
                <w:rtl/>
              </w:rPr>
              <w:t>التاريخ</w:t>
            </w:r>
          </w:p>
        </w:tc>
      </w:tr>
      <w:tr w:rsidR="00ED48E1" w:rsidRPr="00C213C3" w:rsidTr="00ED48E1">
        <w:trPr>
          <w:trHeight w:val="575"/>
          <w:jc w:val="center"/>
        </w:trPr>
        <w:tc>
          <w:tcPr>
            <w:tcW w:w="5508" w:type="dxa"/>
            <w:tcBorders>
              <w:top w:val="single" w:sz="4" w:space="0" w:color="auto"/>
              <w:left w:val="nil"/>
              <w:bottom w:val="nil"/>
              <w:right w:val="nil"/>
            </w:tcBorders>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التقييمات الإقليمية للمنبر الحكومي الدولي للعلوم والسياسات في مجال التنوع البيولوجي وخدمات النظم الإيكولوجية</w:t>
            </w:r>
          </w:p>
        </w:tc>
        <w:tc>
          <w:tcPr>
            <w:tcW w:w="4068" w:type="dxa"/>
            <w:tcBorders>
              <w:top w:val="single" w:sz="4" w:space="0" w:color="auto"/>
              <w:left w:val="nil"/>
              <w:bottom w:val="nil"/>
              <w:right w:val="nil"/>
            </w:tcBorders>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مارس/آذار 2018</w:t>
            </w:r>
          </w:p>
        </w:tc>
      </w:tr>
      <w:tr w:rsidR="00ED48E1" w:rsidRPr="00C213C3" w:rsidTr="00ED48E1">
        <w:trPr>
          <w:trHeight w:val="270"/>
          <w:jc w:val="center"/>
        </w:trPr>
        <w:tc>
          <w:tcPr>
            <w:tcW w:w="550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الموعد النهائي للتقرير الوطني</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31 ديسمبر/كانون الأول 2018</w:t>
            </w:r>
          </w:p>
        </w:tc>
      </w:tr>
      <w:tr w:rsidR="00ED48E1" w:rsidRPr="00C213C3" w:rsidTr="00ED48E1">
        <w:trPr>
          <w:trHeight w:val="285"/>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مشروع المخطط العام للتقرير</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ديسمبر/كانون الأول 2018</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إعداد عناصر النص الأول</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szCs w:val="22"/>
                <w:rtl/>
              </w:rPr>
              <w:t>يناير/كانون الثاني</w:t>
            </w:r>
            <w:r w:rsidRPr="00C213C3">
              <w:rPr>
                <w:rFonts w:ascii="Simplified Arabic" w:hAnsi="Simplified Arabic"/>
                <w:b/>
                <w:bCs/>
                <w:szCs w:val="22"/>
                <w:rtl/>
              </w:rPr>
              <w:t xml:space="preserve"> </w:t>
            </w:r>
            <w:r w:rsidRPr="00C213C3">
              <w:rPr>
                <w:rFonts w:ascii="Simplified Arabic" w:hAnsi="Simplified Arabic"/>
                <w:szCs w:val="22"/>
                <w:rtl/>
              </w:rPr>
              <w:t>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b/>
                <w:bCs/>
                <w:szCs w:val="22"/>
              </w:rPr>
            </w:pPr>
            <w:r>
              <w:rPr>
                <w:rFonts w:ascii="Simplified Arabic" w:hAnsi="Simplified Arabic"/>
                <w:b/>
                <w:bCs/>
                <w:szCs w:val="22"/>
                <w:rtl/>
              </w:rPr>
              <w:t>التقييم العالمي</w:t>
            </w:r>
            <w:r w:rsidRPr="00C213C3">
              <w:rPr>
                <w:rFonts w:ascii="Simplified Arabic" w:hAnsi="Simplified Arabic"/>
                <w:b/>
                <w:bCs/>
                <w:szCs w:val="22"/>
                <w:rtl/>
              </w:rPr>
              <w:t xml:space="preserve"> للمنبر الحكومي الدولي للعلوم والسياسات في مجال التنوع البيولوجي وخدمات النظم الإيكولوجية</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مايو/أيار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إعداد المشروع صفر للتقرير</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مايو/أيار – أغسطس/آب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استعراض من جانب الخبراء المدعوين</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szCs w:val="22"/>
                <w:rtl/>
              </w:rPr>
              <w:t>أغسطس/آب – سبتمبر/أيلول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تنقيح المشروع</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أغسطس/آب – سبتمبر/أيلول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استعراض النظراء من جانب الأطراف والجمهور</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أكتوبر/تشرين الأول - ديسمبر/كانون الأول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إعداد عناصر التصميم الطباعي</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نوفمبر/تشرين الثاني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الاجتماع الثالث والعشرون للهيئة الفرعية للمشورة</w:t>
            </w:r>
            <w:r w:rsidRPr="00C213C3">
              <w:rPr>
                <w:rFonts w:ascii="Simplified Arabic" w:hAnsi="Simplified Arabic"/>
                <w:sz w:val="20"/>
                <w:rtl/>
              </w:rPr>
              <w:t xml:space="preserve"> </w:t>
            </w:r>
            <w:r w:rsidRPr="00C213C3">
              <w:rPr>
                <w:rFonts w:ascii="Simplified Arabic" w:hAnsi="Simplified Arabic"/>
                <w:b/>
                <w:bCs/>
                <w:szCs w:val="22"/>
                <w:rtl/>
              </w:rPr>
              <w:t>العلمية والتقنية والتكنولوجية</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نوفمبر/تشرين الثاني 2019</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تنقيح مشروع التقرير</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يناير/كانون الثاني - مارس/آذار 2020</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الترجمة إلى اللغات الرسمية للأمم المتحدة</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مارس/آذار 2020</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التصميم</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مارس/آذار – أبريل/نيسان 2020</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الطباعة والإرسال إلى الأحداث التي سيصدر فيها</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مايو/أيار 2020</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الاجتماع الرابع والعشرون للهيئة الفرعية للمشورة</w:t>
            </w:r>
            <w:r w:rsidRPr="00C213C3">
              <w:rPr>
                <w:rFonts w:ascii="Simplified Arabic" w:hAnsi="Simplified Arabic"/>
                <w:sz w:val="20"/>
                <w:rtl/>
              </w:rPr>
              <w:t xml:space="preserve"> </w:t>
            </w:r>
            <w:r w:rsidRPr="00C213C3">
              <w:rPr>
                <w:rFonts w:ascii="Simplified Arabic" w:hAnsi="Simplified Arabic"/>
                <w:b/>
                <w:bCs/>
                <w:szCs w:val="22"/>
                <w:rtl/>
              </w:rPr>
              <w:t>العلمية والتقنية والتكنولوجية والاجتماع الثالث للهيئة الفرعية للتنفيذ</w:t>
            </w:r>
          </w:p>
        </w:tc>
        <w:tc>
          <w:tcPr>
            <w:tcW w:w="4068" w:type="dxa"/>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مايو/أيار 2020</w:t>
            </w:r>
          </w:p>
        </w:tc>
      </w:tr>
      <w:tr w:rsidR="00ED48E1" w:rsidRPr="00C213C3" w:rsidTr="00ED48E1">
        <w:trPr>
          <w:jc w:val="center"/>
        </w:trPr>
        <w:tc>
          <w:tcPr>
            <w:tcW w:w="550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إطلاق التقرير الرئيسي</w:t>
            </w:r>
          </w:p>
        </w:tc>
        <w:tc>
          <w:tcPr>
            <w:tcW w:w="4068" w:type="dxa"/>
            <w:hideMark/>
          </w:tcPr>
          <w:p w:rsidR="00ED48E1" w:rsidRPr="00C213C3" w:rsidRDefault="00ED48E1" w:rsidP="00ED48E1">
            <w:pPr>
              <w:spacing w:before="60" w:after="60" w:line="204" w:lineRule="auto"/>
              <w:rPr>
                <w:rFonts w:ascii="Simplified Arabic" w:hAnsi="Simplified Arabic"/>
                <w:szCs w:val="22"/>
              </w:rPr>
            </w:pPr>
            <w:r w:rsidRPr="00C213C3">
              <w:rPr>
                <w:rFonts w:ascii="Simplified Arabic" w:hAnsi="Simplified Arabic"/>
                <w:szCs w:val="22"/>
                <w:rtl/>
              </w:rPr>
              <w:t>مايو/أيار 2020</w:t>
            </w:r>
          </w:p>
        </w:tc>
      </w:tr>
      <w:tr w:rsidR="00ED48E1" w:rsidRPr="00C213C3" w:rsidTr="00ED48E1">
        <w:trPr>
          <w:trHeight w:val="855"/>
          <w:jc w:val="center"/>
        </w:trPr>
        <w:tc>
          <w:tcPr>
            <w:tcW w:w="5508" w:type="dxa"/>
            <w:tcBorders>
              <w:top w:val="nil"/>
              <w:left w:val="nil"/>
              <w:bottom w:val="single" w:sz="4" w:space="0" w:color="auto"/>
              <w:right w:val="nil"/>
            </w:tcBorders>
            <w:hideMark/>
          </w:tcPr>
          <w:p w:rsidR="00ED48E1" w:rsidRPr="00C213C3" w:rsidRDefault="00ED48E1" w:rsidP="00ED48E1">
            <w:pPr>
              <w:spacing w:before="60" w:after="60" w:line="204" w:lineRule="auto"/>
              <w:rPr>
                <w:rFonts w:ascii="Simplified Arabic" w:hAnsi="Simplified Arabic"/>
                <w:bCs/>
                <w:szCs w:val="22"/>
              </w:rPr>
            </w:pPr>
            <w:r w:rsidRPr="00C213C3">
              <w:rPr>
                <w:rFonts w:ascii="Simplified Arabic" w:hAnsi="Simplified Arabic"/>
                <w:bCs/>
                <w:kern w:val="22"/>
                <w:szCs w:val="22"/>
                <w:rtl/>
              </w:rPr>
              <w:t>الاجتماع الخامس عشر لمؤتمر الأطراف، والاجتماع العاشر لمؤتمر الأطراف العامل كاجتماع للأطراف في برتوكول قرطاجنة، والاجتماع الرابع لمؤتمر الأطراف العامل كاجتماع للأطراف في برتوكول ناغويا</w:t>
            </w:r>
          </w:p>
        </w:tc>
        <w:tc>
          <w:tcPr>
            <w:tcW w:w="4068" w:type="dxa"/>
            <w:tcBorders>
              <w:top w:val="nil"/>
              <w:left w:val="nil"/>
              <w:bottom w:val="single" w:sz="4" w:space="0" w:color="auto"/>
              <w:right w:val="nil"/>
            </w:tcBorders>
            <w:hideMark/>
          </w:tcPr>
          <w:p w:rsidR="00ED48E1" w:rsidRPr="00C213C3" w:rsidRDefault="00ED48E1" w:rsidP="00ED48E1">
            <w:pPr>
              <w:spacing w:before="60" w:after="60" w:line="204" w:lineRule="auto"/>
              <w:rPr>
                <w:rFonts w:ascii="Simplified Arabic" w:hAnsi="Simplified Arabic"/>
                <w:b/>
                <w:bCs/>
                <w:szCs w:val="22"/>
              </w:rPr>
            </w:pPr>
            <w:r w:rsidRPr="00C213C3">
              <w:rPr>
                <w:rFonts w:ascii="Simplified Arabic" w:hAnsi="Simplified Arabic"/>
                <w:b/>
                <w:bCs/>
                <w:szCs w:val="22"/>
                <w:rtl/>
              </w:rPr>
              <w:t>أكتوبر/تشرين الأول 2020</w:t>
            </w:r>
          </w:p>
        </w:tc>
      </w:tr>
    </w:tbl>
    <w:p w:rsidR="00516FD0" w:rsidRDefault="00516FD0" w:rsidP="001D61EA">
      <w:pPr>
        <w:spacing w:after="0" w:line="240" w:lineRule="auto"/>
        <w:jc w:val="left"/>
        <w:rPr>
          <w:sz w:val="24"/>
          <w:rtl/>
        </w:rPr>
      </w:pPr>
    </w:p>
    <w:p w:rsidR="00516FD0" w:rsidRDefault="00516FD0" w:rsidP="00516FD0">
      <w:pPr>
        <w:spacing w:after="0" w:line="240" w:lineRule="auto"/>
        <w:jc w:val="left"/>
        <w:rPr>
          <w:b/>
          <w:bCs/>
          <w:sz w:val="24"/>
          <w:rtl/>
        </w:rPr>
      </w:pPr>
      <w:r>
        <w:rPr>
          <w:b/>
          <w:bCs/>
          <w:sz w:val="24"/>
          <w:rtl/>
        </w:rPr>
        <w:br w:type="page"/>
      </w:r>
    </w:p>
    <w:p w:rsidR="00ED48E1" w:rsidRPr="00C3618B" w:rsidRDefault="00ED48E1" w:rsidP="00246CBF">
      <w:pPr>
        <w:pStyle w:val="Heading2"/>
        <w:ind w:left="2700" w:right="1170" w:hanging="1620"/>
        <w:jc w:val="left"/>
        <w:rPr>
          <w:b w:val="0"/>
          <w:bCs w:val="0"/>
          <w:sz w:val="24"/>
          <w:rtl/>
          <w:lang w:val="en-GB"/>
        </w:rPr>
      </w:pPr>
      <w:bookmarkStart w:id="204" w:name="_Toc6071640"/>
      <w:bookmarkStart w:id="205" w:name="_Toc6139997"/>
      <w:r>
        <w:rPr>
          <w:rFonts w:hint="cs"/>
          <w:sz w:val="24"/>
          <w:rtl/>
          <w:lang w:val="en-GB"/>
        </w:rPr>
        <w:lastRenderedPageBreak/>
        <w:t>المقرر 14/36</w:t>
      </w:r>
      <w:r>
        <w:rPr>
          <w:rFonts w:hint="cs"/>
          <w:sz w:val="24"/>
          <w:rtl/>
          <w:lang w:val="en-GB"/>
        </w:rPr>
        <w:tab/>
      </w:r>
      <w:r w:rsidRPr="00C3618B">
        <w:rPr>
          <w:rFonts w:hint="cs"/>
          <w:sz w:val="24"/>
          <w:rtl/>
          <w:lang w:val="en-GB"/>
        </w:rPr>
        <w:t xml:space="preserve">برنامج العمل الثاني للمنبر الحكومي الدولي </w:t>
      </w:r>
      <w:r>
        <w:rPr>
          <w:rFonts w:hint="cs"/>
          <w:sz w:val="24"/>
          <w:rtl/>
          <w:lang w:val="en-GB"/>
        </w:rPr>
        <w:t xml:space="preserve">للعلوم والسياسات </w:t>
      </w:r>
      <w:r w:rsidRPr="00C3618B">
        <w:rPr>
          <w:rFonts w:hint="cs"/>
          <w:sz w:val="24"/>
          <w:rtl/>
          <w:lang w:val="en-GB"/>
        </w:rPr>
        <w:t>في مجال التنوع البيولوجي وخدمات النظم الإيكولوجية</w:t>
      </w:r>
      <w:bookmarkEnd w:id="204"/>
      <w:bookmarkEnd w:id="205"/>
    </w:p>
    <w:p w:rsidR="00ED48E1" w:rsidRPr="006A696F" w:rsidRDefault="00ED48E1" w:rsidP="00ED48E1">
      <w:pPr>
        <w:spacing w:line="204" w:lineRule="auto"/>
        <w:ind w:firstLine="720"/>
        <w:rPr>
          <w:i/>
          <w:iCs/>
          <w:color w:val="000000" w:themeColor="text1"/>
          <w:rtl/>
          <w:lang w:val="fr-CH"/>
        </w:rPr>
      </w:pPr>
      <w:r w:rsidRPr="006A696F">
        <w:rPr>
          <w:rFonts w:hint="cs"/>
          <w:i/>
          <w:iCs/>
          <w:color w:val="000000" w:themeColor="text1"/>
          <w:rtl/>
          <w:lang w:val="fr-CH"/>
        </w:rPr>
        <w:t>إن مؤتمر الأطراف،</w:t>
      </w:r>
    </w:p>
    <w:p w:rsidR="00ED48E1" w:rsidRDefault="00ED48E1" w:rsidP="00ED48E1">
      <w:pPr>
        <w:spacing w:line="204" w:lineRule="auto"/>
        <w:ind w:firstLine="720"/>
        <w:rPr>
          <w:color w:val="000000" w:themeColor="text1"/>
          <w:rtl/>
          <w:lang w:val="fr-CH"/>
        </w:rPr>
      </w:pPr>
      <w:r w:rsidRPr="006A696F">
        <w:rPr>
          <w:rFonts w:hint="cs"/>
          <w:i/>
          <w:iCs/>
          <w:color w:val="000000" w:themeColor="text1"/>
          <w:rtl/>
          <w:lang w:val="fr-CH"/>
        </w:rPr>
        <w:t xml:space="preserve">إذ يشير إلى </w:t>
      </w:r>
      <w:r w:rsidRPr="006A696F">
        <w:rPr>
          <w:rFonts w:hint="cs"/>
          <w:color w:val="000000" w:themeColor="text1"/>
          <w:rtl/>
          <w:lang w:val="fr-CH"/>
        </w:rPr>
        <w:t>مقرريه 12/25 و13/29،</w:t>
      </w:r>
    </w:p>
    <w:p w:rsidR="00ED48E1" w:rsidRPr="006A696F" w:rsidRDefault="00ED48E1" w:rsidP="00ED48E1">
      <w:pPr>
        <w:spacing w:line="204" w:lineRule="auto"/>
        <w:ind w:firstLine="720"/>
        <w:rPr>
          <w:color w:val="000000" w:themeColor="text1"/>
          <w:rtl/>
          <w:lang w:val="fr-CH"/>
        </w:rPr>
      </w:pPr>
      <w:r w:rsidRPr="00C8284F">
        <w:rPr>
          <w:rFonts w:hint="cs"/>
          <w:i/>
          <w:iCs/>
          <w:rtl/>
        </w:rPr>
        <w:t xml:space="preserve">وإذ </w:t>
      </w:r>
      <w:r>
        <w:rPr>
          <w:rFonts w:hint="cs"/>
          <w:i/>
          <w:iCs/>
          <w:rtl/>
        </w:rPr>
        <w:t>يقر بالأهمية</w:t>
      </w:r>
      <w:r>
        <w:rPr>
          <w:rFonts w:hint="cs"/>
          <w:rtl/>
        </w:rPr>
        <w:t xml:space="preserve"> المتزايدة للمنبر الحكومي الدولي للعلوم والسياسات في مجال التنوع البيولوجي وخدمات النظم الإيكولوجية للعمل بموجب الاتفاقية،</w:t>
      </w:r>
    </w:p>
    <w:p w:rsidR="00ED48E1" w:rsidRPr="006A696F" w:rsidRDefault="00ED48E1" w:rsidP="00CD26C5">
      <w:pPr>
        <w:pStyle w:val="ListParagraph"/>
        <w:numPr>
          <w:ilvl w:val="0"/>
          <w:numId w:val="91"/>
        </w:numPr>
        <w:bidi/>
        <w:spacing w:line="204" w:lineRule="auto"/>
        <w:ind w:left="0" w:firstLine="720"/>
        <w:rPr>
          <w:rFonts w:cs="Simplified Arabic"/>
          <w:rtl/>
        </w:rPr>
      </w:pPr>
      <w:r w:rsidRPr="006A696F">
        <w:rPr>
          <w:rFonts w:cs="Simplified Arabic" w:hint="cs"/>
          <w:i/>
          <w:iCs/>
          <w:color w:val="000000" w:themeColor="text1"/>
          <w:rtl/>
          <w:lang w:val="fr-CH"/>
        </w:rPr>
        <w:t>يرحب</w:t>
      </w:r>
      <w:r>
        <w:rPr>
          <w:rFonts w:cs="Simplified Arabic" w:hint="cs"/>
          <w:i/>
          <w:iCs/>
          <w:color w:val="000000" w:themeColor="text1"/>
          <w:rtl/>
          <w:lang w:val="fr-CH"/>
        </w:rPr>
        <w:t xml:space="preserve"> مع التقدير</w:t>
      </w:r>
      <w:r w:rsidRPr="006A696F">
        <w:rPr>
          <w:rFonts w:cs="Simplified Arabic" w:hint="cs"/>
          <w:i/>
          <w:iCs/>
          <w:color w:val="000000" w:themeColor="text1"/>
          <w:rtl/>
          <w:lang w:val="fr-CH"/>
        </w:rPr>
        <w:t xml:space="preserve"> </w:t>
      </w:r>
      <w:r w:rsidRPr="006A696F">
        <w:rPr>
          <w:rFonts w:cs="Simplified Arabic" w:hint="cs"/>
          <w:color w:val="000000" w:themeColor="text1"/>
          <w:rtl/>
          <w:lang w:val="fr-CH"/>
        </w:rPr>
        <w:t xml:space="preserve">بالتقدم المحرز في تنفيذ برنامج العمل الأول </w:t>
      </w:r>
      <w:r w:rsidRPr="00AB0F3E">
        <w:rPr>
          <w:rFonts w:ascii="Simplified Arabic" w:hAnsi="Simplified Arabic" w:cs="Simplified Arabic"/>
          <w:color w:val="000000" w:themeColor="text1"/>
          <w:rtl/>
          <w:lang w:val="fr-CH"/>
        </w:rPr>
        <w:t>ل</w:t>
      </w:r>
      <w:r w:rsidRPr="00AB0F3E">
        <w:rPr>
          <w:rStyle w:val="Hyperlink"/>
          <w:rFonts w:ascii="Simplified Arabic" w:hAnsi="Simplified Arabic" w:cs="Simplified Arabic"/>
          <w:color w:val="000000" w:themeColor="text1"/>
          <w:u w:val="none"/>
          <w:rtl/>
        </w:rPr>
        <w:t xml:space="preserve">لمنبر </w:t>
      </w:r>
      <w:r w:rsidRPr="0043554D">
        <w:rPr>
          <w:rFonts w:cs="Simplified Arabic"/>
          <w:rtl/>
        </w:rPr>
        <w:t>ا</w:t>
      </w:r>
      <w:r w:rsidRPr="006A696F">
        <w:rPr>
          <w:rFonts w:cs="Simplified Arabic"/>
          <w:rtl/>
        </w:rPr>
        <w:t>لحكومي الدولي للعلوم والسياسات في مجال التنوع البيولوجي وخدمات النظم الإيكولوجية</w:t>
      </w:r>
      <w:r w:rsidRPr="006A696F">
        <w:rPr>
          <w:rFonts w:cs="Simplified Arabic" w:hint="cs"/>
          <w:rtl/>
        </w:rPr>
        <w:t>؛</w:t>
      </w:r>
    </w:p>
    <w:p w:rsidR="00ED48E1" w:rsidRPr="006A696F" w:rsidRDefault="00ED48E1" w:rsidP="00CD26C5">
      <w:pPr>
        <w:pStyle w:val="ListParagraph"/>
        <w:numPr>
          <w:ilvl w:val="0"/>
          <w:numId w:val="91"/>
        </w:numPr>
        <w:bidi/>
        <w:spacing w:line="204" w:lineRule="auto"/>
        <w:ind w:left="0" w:firstLine="720"/>
        <w:rPr>
          <w:rFonts w:cs="Simplified Arabic"/>
          <w:rtl/>
        </w:rPr>
      </w:pPr>
      <w:r w:rsidRPr="006A696F">
        <w:rPr>
          <w:rFonts w:cs="Simplified Arabic" w:hint="cs"/>
          <w:i/>
          <w:iCs/>
          <w:color w:val="000000" w:themeColor="text1"/>
          <w:rtl/>
          <w:lang w:val="fr-CH"/>
        </w:rPr>
        <w:t>يرحب</w:t>
      </w:r>
      <w:r w:rsidRPr="006A696F">
        <w:rPr>
          <w:rFonts w:cs="Simplified Arabic" w:hint="cs"/>
          <w:color w:val="000000" w:themeColor="text1"/>
          <w:rtl/>
          <w:lang w:val="fr-CH"/>
        </w:rPr>
        <w:t xml:space="preserve"> </w:t>
      </w:r>
      <w:r w:rsidRPr="006A696F">
        <w:rPr>
          <w:rFonts w:cs="Simplified Arabic" w:hint="cs"/>
          <w:i/>
          <w:iCs/>
          <w:color w:val="000000" w:themeColor="text1"/>
          <w:rtl/>
          <w:lang w:val="fr-CH"/>
        </w:rPr>
        <w:t>أيضا</w:t>
      </w:r>
      <w:r w:rsidRPr="006A696F">
        <w:rPr>
          <w:rFonts w:cs="Simplified Arabic" w:hint="cs"/>
          <w:color w:val="000000" w:themeColor="text1"/>
          <w:rtl/>
          <w:lang w:val="fr-CH"/>
        </w:rPr>
        <w:t xml:space="preserve"> بموافقة الاجتماع العام </w:t>
      </w:r>
      <w:r w:rsidR="00AB0F3E" w:rsidRPr="00AB0F3E">
        <w:rPr>
          <w:rFonts w:ascii="Simplified Arabic" w:hAnsi="Simplified Arabic" w:cs="Simplified Arabic"/>
          <w:color w:val="000000" w:themeColor="text1"/>
          <w:rtl/>
          <w:lang w:val="fr-CH"/>
        </w:rPr>
        <w:t>ل</w:t>
      </w:r>
      <w:r w:rsidR="00AB0F3E" w:rsidRPr="00AB0F3E">
        <w:rPr>
          <w:rStyle w:val="Hyperlink"/>
          <w:rFonts w:ascii="Simplified Arabic" w:hAnsi="Simplified Arabic" w:cs="Simplified Arabic"/>
          <w:color w:val="000000" w:themeColor="text1"/>
          <w:u w:val="none"/>
          <w:rtl/>
        </w:rPr>
        <w:t>لمنبر</w:t>
      </w:r>
      <w:r w:rsidR="00AB0F3E" w:rsidRPr="0043554D">
        <w:rPr>
          <w:rFonts w:cs="Simplified Arabic"/>
          <w:rtl/>
        </w:rPr>
        <w:t xml:space="preserve"> </w:t>
      </w:r>
      <w:r w:rsidRPr="0043554D">
        <w:rPr>
          <w:rFonts w:cs="Simplified Arabic"/>
          <w:rtl/>
        </w:rPr>
        <w:t>الحكومي</w:t>
      </w:r>
      <w:r w:rsidRPr="006A696F">
        <w:rPr>
          <w:rFonts w:cs="Simplified Arabic"/>
          <w:rtl/>
        </w:rPr>
        <w:t xml:space="preserve"> الدولي للعلوم والسياسات في مجال التنوع البيولوجي وخدمات النظم الإيكولوجية</w:t>
      </w:r>
      <w:r w:rsidRPr="006A696F">
        <w:rPr>
          <w:rFonts w:cs="Simplified Arabic" w:hint="cs"/>
          <w:rtl/>
        </w:rPr>
        <w:t xml:space="preserve"> على إجراء التقييم المواضيعي للاستخدام المستدام للأنواع البرية</w:t>
      </w:r>
      <w:r>
        <w:rPr>
          <w:rFonts w:cs="Simplified Arabic" w:hint="cs"/>
          <w:rtl/>
        </w:rPr>
        <w:t>،</w:t>
      </w:r>
      <w:r w:rsidRPr="006A696F">
        <w:rPr>
          <w:rFonts w:cs="Simplified Arabic" w:hint="cs"/>
          <w:rtl/>
        </w:rPr>
        <w:t xml:space="preserve"> والتقييم المواضيعي للأنواع الغريبة الغازية</w:t>
      </w:r>
      <w:r>
        <w:rPr>
          <w:rFonts w:cs="Simplified Arabic" w:hint="cs"/>
          <w:rtl/>
        </w:rPr>
        <w:t>،</w:t>
      </w:r>
      <w:r w:rsidRPr="006A696F">
        <w:rPr>
          <w:rFonts w:cs="Simplified Arabic" w:hint="cs"/>
          <w:rtl/>
        </w:rPr>
        <w:t xml:space="preserve"> والتقييم المنهجي المتعلق بالمفاهيم المتنوعة للقيم المتعددة للطبيعة ومنافعها؛</w:t>
      </w:r>
    </w:p>
    <w:p w:rsidR="00ED48E1" w:rsidRPr="006A696F"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lang w:val="fr-CH"/>
        </w:rPr>
        <w:t>يوافق</w:t>
      </w:r>
      <w:r w:rsidRPr="006A696F">
        <w:rPr>
          <w:rFonts w:cs="Simplified Arabic" w:hint="cs"/>
          <w:color w:val="000000" w:themeColor="text1"/>
          <w:rtl/>
          <w:lang w:val="fr-CH"/>
        </w:rPr>
        <w:t xml:space="preserve"> على أن الإطار الاستراتيجي حتى عام 2030 وعناصر برنامج العمل المتجدد </w:t>
      </w:r>
      <w:r w:rsidR="00AB0F3E" w:rsidRPr="00AB0F3E">
        <w:rPr>
          <w:rFonts w:ascii="Simplified Arabic" w:hAnsi="Simplified Arabic" w:cs="Simplified Arabic"/>
          <w:color w:val="000000" w:themeColor="text1"/>
          <w:rtl/>
          <w:lang w:val="fr-CH"/>
        </w:rPr>
        <w:t>ل</w:t>
      </w:r>
      <w:r w:rsidR="00AB0F3E" w:rsidRPr="00AB0F3E">
        <w:rPr>
          <w:rStyle w:val="Hyperlink"/>
          <w:rFonts w:ascii="Simplified Arabic" w:hAnsi="Simplified Arabic" w:cs="Simplified Arabic"/>
          <w:color w:val="000000" w:themeColor="text1"/>
          <w:u w:val="none"/>
          <w:rtl/>
        </w:rPr>
        <w:t>لمنبر</w:t>
      </w:r>
      <w:r w:rsidR="00AB0F3E" w:rsidRPr="0043554D">
        <w:rPr>
          <w:rFonts w:cs="Simplified Arabic"/>
          <w:rtl/>
        </w:rPr>
        <w:t xml:space="preserve"> </w:t>
      </w:r>
      <w:r w:rsidRPr="0043554D">
        <w:rPr>
          <w:rFonts w:cs="Simplified Arabic"/>
          <w:rtl/>
        </w:rPr>
        <w:t>الحكومي الدولي للعلوم والسياسات في مجال التنوع البيولوجي وخدمات النظم الإيكولوجية</w:t>
      </w:r>
      <w:r w:rsidRPr="0043554D">
        <w:rPr>
          <w:rFonts w:cs="Simplified Arabic" w:hint="cs"/>
          <w:rtl/>
        </w:rPr>
        <w:t xml:space="preserve"> ينبغي أن يكون مهما </w:t>
      </w:r>
      <w:r>
        <w:rPr>
          <w:rFonts w:cs="Simplified Arabic" w:hint="cs"/>
          <w:rtl/>
        </w:rPr>
        <w:t>ل</w:t>
      </w:r>
      <w:r w:rsidRPr="0043554D">
        <w:rPr>
          <w:rFonts w:cs="Simplified Arabic" w:hint="cs"/>
          <w:rtl/>
        </w:rPr>
        <w:t>لإطار ا</w:t>
      </w:r>
      <w:r>
        <w:rPr>
          <w:rFonts w:cs="Simplified Arabic" w:hint="cs"/>
          <w:rtl/>
        </w:rPr>
        <w:t>لعالمي ل</w:t>
      </w:r>
      <w:r w:rsidRPr="0043554D">
        <w:rPr>
          <w:rFonts w:cs="Simplified Arabic" w:hint="cs"/>
          <w:rtl/>
        </w:rPr>
        <w:t>لتنوع البيولوجي</w:t>
      </w:r>
      <w:r w:rsidRPr="006A696F">
        <w:rPr>
          <w:rFonts w:cs="Simplified Arabic" w:hint="cs"/>
          <w:rtl/>
        </w:rPr>
        <w:t xml:space="preserve"> لما بعد عام 2020، وسيسهم في دعم تنفيذه وتقييم التقدم المحرز،</w:t>
      </w:r>
      <w:r>
        <w:rPr>
          <w:rFonts w:cs="Simplified Arabic" w:hint="cs"/>
          <w:rtl/>
        </w:rPr>
        <w:t xml:space="preserve"> </w:t>
      </w:r>
      <w:r w:rsidRPr="000D5BBB">
        <w:rPr>
          <w:rFonts w:cs="Simplified Arabic" w:hint="cs"/>
          <w:rtl/>
        </w:rPr>
        <w:t xml:space="preserve">بما في ذلك المزيد من </w:t>
      </w:r>
      <w:r>
        <w:rPr>
          <w:rFonts w:cs="Simplified Arabic" w:hint="cs"/>
          <w:rtl/>
        </w:rPr>
        <w:t>التكامل</w:t>
      </w:r>
      <w:r w:rsidRPr="000D5BBB">
        <w:rPr>
          <w:rFonts w:cs="Simplified Arabic" w:hint="cs"/>
          <w:rtl/>
        </w:rPr>
        <w:t xml:space="preserve"> بين الوظائف الأربع للمنبر</w:t>
      </w:r>
      <w:r>
        <w:rPr>
          <w:rFonts w:cs="Simplified Arabic" w:hint="cs"/>
          <w:rtl/>
        </w:rPr>
        <w:t>،</w:t>
      </w:r>
      <w:r w:rsidRPr="006A696F">
        <w:rPr>
          <w:rFonts w:cs="Simplified Arabic" w:hint="cs"/>
          <w:rtl/>
        </w:rPr>
        <w:t xml:space="preserve"> </w:t>
      </w:r>
      <w:r>
        <w:rPr>
          <w:rFonts w:cs="Simplified Arabic" w:hint="cs"/>
          <w:i/>
          <w:iCs/>
          <w:rtl/>
        </w:rPr>
        <w:t>ويقر</w:t>
      </w:r>
      <w:r w:rsidRPr="006A696F">
        <w:rPr>
          <w:rFonts w:cs="Simplified Arabic" w:hint="cs"/>
          <w:rtl/>
        </w:rPr>
        <w:t xml:space="preserve"> بأن الطبيعة المتجددة لبرنامج العمل ينبغي أن تسمح بالمزيد من تبادل المعلومات والمزيد من الطلبات من الاتفاقية في ضوء الاحتياجات المنبثقة من الشكل النهائي </w:t>
      </w:r>
      <w:r>
        <w:rPr>
          <w:rFonts w:cs="Simplified Arabic" w:hint="cs"/>
          <w:rtl/>
        </w:rPr>
        <w:t>ل</w:t>
      </w:r>
      <w:r w:rsidRPr="006A696F">
        <w:rPr>
          <w:rFonts w:cs="Simplified Arabic" w:hint="cs"/>
          <w:rtl/>
        </w:rPr>
        <w:t>لإطار ا</w:t>
      </w:r>
      <w:r>
        <w:rPr>
          <w:rFonts w:cs="Simplified Arabic" w:hint="cs"/>
          <w:rtl/>
        </w:rPr>
        <w:t>لعالمي ل</w:t>
      </w:r>
      <w:r w:rsidRPr="006A696F">
        <w:rPr>
          <w:rFonts w:cs="Simplified Arabic" w:hint="cs"/>
          <w:rtl/>
        </w:rPr>
        <w:t>لتنوع البيولوجي لما بعد عام 2020 وتنفيذه؛</w:t>
      </w:r>
    </w:p>
    <w:p w:rsidR="00ED48E1" w:rsidRPr="006A696F" w:rsidRDefault="00ED48E1" w:rsidP="00CD26C5">
      <w:pPr>
        <w:pStyle w:val="ListParagraph"/>
        <w:numPr>
          <w:ilvl w:val="0"/>
          <w:numId w:val="91"/>
        </w:numPr>
        <w:bidi/>
        <w:spacing w:line="204" w:lineRule="auto"/>
        <w:ind w:left="0" w:firstLine="720"/>
        <w:rPr>
          <w:rFonts w:cs="Simplified Arabic"/>
          <w:rtl/>
        </w:rPr>
      </w:pPr>
      <w:r w:rsidRPr="006A696F">
        <w:rPr>
          <w:rFonts w:cs="Simplified Arabic" w:hint="cs"/>
          <w:i/>
          <w:iCs/>
          <w:color w:val="000000" w:themeColor="text1"/>
          <w:rtl/>
          <w:lang w:val="fr-CH"/>
        </w:rPr>
        <w:t>يلاحظ</w:t>
      </w:r>
      <w:r w:rsidRPr="006A696F">
        <w:rPr>
          <w:rFonts w:cs="Simplified Arabic" w:hint="cs"/>
          <w:color w:val="000000" w:themeColor="text1"/>
          <w:rtl/>
          <w:lang w:val="fr-CH"/>
        </w:rPr>
        <w:t xml:space="preserve"> </w:t>
      </w:r>
      <w:r w:rsidRPr="006A696F">
        <w:rPr>
          <w:rFonts w:cs="Simplified Arabic" w:hint="cs"/>
          <w:rtl/>
        </w:rPr>
        <w:t>أن الإطار الاستراتيجي حتى عام 2030 وعناصر برنامج العمل المتجدد للمنبر الحكومي الدولي للعلوم والسياسات في مجال التنوع البيولوجي وخدمات النظم الإيكولوجية يتوقع</w:t>
      </w:r>
      <w:r>
        <w:rPr>
          <w:rFonts w:cs="Simplified Arabic" w:hint="cs"/>
          <w:rtl/>
        </w:rPr>
        <w:t xml:space="preserve"> أيضا</w:t>
      </w:r>
      <w:r w:rsidRPr="006A696F">
        <w:rPr>
          <w:rFonts w:cs="Simplified Arabic" w:hint="cs"/>
          <w:rtl/>
        </w:rPr>
        <w:t xml:space="preserve"> أن يكون مهما لخطة التنمية المستدامة لعام 2030،</w:t>
      </w:r>
      <w:r w:rsidRPr="006A696F">
        <w:rPr>
          <w:rStyle w:val="FootnoteReference"/>
          <w:rtl/>
        </w:rPr>
        <w:footnoteReference w:id="323"/>
      </w:r>
      <w:r w:rsidRPr="006A696F">
        <w:rPr>
          <w:rFonts w:cs="Simplified Arabic" w:hint="cs"/>
          <w:rtl/>
        </w:rPr>
        <w:t xml:space="preserve"> واتفاق باريس بشأن تغير المناخ</w:t>
      </w:r>
      <w:r w:rsidRPr="006A696F">
        <w:rPr>
          <w:rStyle w:val="FootnoteReference"/>
          <w:rtl/>
        </w:rPr>
        <w:footnoteReference w:id="324"/>
      </w:r>
      <w:r w:rsidRPr="006A696F">
        <w:rPr>
          <w:rFonts w:cs="Simplified Arabic" w:hint="cs"/>
          <w:rtl/>
        </w:rPr>
        <w:t xml:space="preserve"> والعمليات الأخرى المتعلقة بالتنوع البيولوجي؛</w:t>
      </w:r>
    </w:p>
    <w:p w:rsidR="00ED48E1" w:rsidRPr="006A696F"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lang w:val="fr-CH"/>
        </w:rPr>
        <w:t xml:space="preserve">يرحب </w:t>
      </w:r>
      <w:r w:rsidRPr="006A696F">
        <w:rPr>
          <w:rFonts w:cs="Simplified Arabic" w:hint="cs"/>
          <w:color w:val="000000" w:themeColor="text1"/>
          <w:rtl/>
          <w:lang w:val="fr-CH"/>
        </w:rPr>
        <w:t>بالجهود التي يبذلها</w:t>
      </w:r>
      <w:r w:rsidRPr="006A696F">
        <w:rPr>
          <w:rFonts w:cs="Simplified Arabic" w:hint="cs"/>
          <w:i/>
          <w:iCs/>
          <w:color w:val="000000" w:themeColor="text1"/>
          <w:rtl/>
          <w:lang w:val="fr-CH"/>
        </w:rPr>
        <w:t xml:space="preserve"> </w:t>
      </w:r>
      <w:r w:rsidR="00AB0F3E" w:rsidRPr="00AB0F3E">
        <w:rPr>
          <w:rFonts w:ascii="Simplified Arabic" w:hAnsi="Simplified Arabic" w:cs="Simplified Arabic"/>
          <w:color w:val="000000" w:themeColor="text1"/>
          <w:rtl/>
          <w:lang w:val="fr-CH"/>
        </w:rPr>
        <w:t>ل</w:t>
      </w:r>
      <w:r w:rsidR="00AB0F3E" w:rsidRPr="00AB0F3E">
        <w:rPr>
          <w:rStyle w:val="Hyperlink"/>
          <w:rFonts w:ascii="Simplified Arabic" w:hAnsi="Simplified Arabic" w:cs="Simplified Arabic"/>
          <w:color w:val="000000" w:themeColor="text1"/>
          <w:u w:val="none"/>
          <w:rtl/>
        </w:rPr>
        <w:t>لمنبر</w:t>
      </w:r>
      <w:r w:rsidR="00AB0F3E" w:rsidRPr="0043554D">
        <w:rPr>
          <w:rFonts w:cs="Simplified Arabic"/>
          <w:rtl/>
        </w:rPr>
        <w:t xml:space="preserve"> </w:t>
      </w:r>
      <w:r w:rsidRPr="0043554D">
        <w:rPr>
          <w:rFonts w:cs="Simplified Arabic"/>
          <w:rtl/>
        </w:rPr>
        <w:t>الحكومي</w:t>
      </w:r>
      <w:r w:rsidRPr="006A696F">
        <w:rPr>
          <w:rFonts w:cs="Simplified Arabic"/>
          <w:rtl/>
        </w:rPr>
        <w:t xml:space="preserve"> الدولي للعلوم والسياسات في مجال التنوع البيولوجي وخدمات النظم الإيكولوجية</w:t>
      </w:r>
      <w:r w:rsidRPr="006A696F">
        <w:rPr>
          <w:rFonts w:cs="Simplified Arabic" w:hint="cs"/>
          <w:rtl/>
        </w:rPr>
        <w:t xml:space="preserve"> من أجل مواصلة تعزيز تعاونه مع الفريق الحكومي الدولي </w:t>
      </w:r>
      <w:r>
        <w:rPr>
          <w:rFonts w:cs="Simplified Arabic" w:hint="cs"/>
          <w:rtl/>
        </w:rPr>
        <w:t>المعني ب</w:t>
      </w:r>
      <w:r w:rsidRPr="006A696F">
        <w:rPr>
          <w:rFonts w:cs="Simplified Arabic" w:hint="cs"/>
          <w:rtl/>
        </w:rPr>
        <w:t xml:space="preserve">تغير المناخ، من أجل وضع وتنفيذ برنامج عمله، </w:t>
      </w:r>
      <w:r w:rsidRPr="006A696F">
        <w:rPr>
          <w:rFonts w:cs="Simplified Arabic" w:hint="cs"/>
          <w:i/>
          <w:iCs/>
          <w:rtl/>
        </w:rPr>
        <w:t xml:space="preserve">ويلاحظ </w:t>
      </w:r>
      <w:r w:rsidRPr="006A696F">
        <w:rPr>
          <w:rFonts w:cs="Simplified Arabic" w:hint="cs"/>
          <w:rtl/>
        </w:rPr>
        <w:t>أن الاتفاقية ستستفيد من الاتساق بين السيناريوهات والتقييمات ذات الصلة</w:t>
      </w:r>
      <w:r>
        <w:rPr>
          <w:rFonts w:cs="Simplified Arabic" w:hint="cs"/>
          <w:rtl/>
        </w:rPr>
        <w:t xml:space="preserve"> والتقارير التجميعية</w:t>
      </w:r>
      <w:r w:rsidRPr="006A696F">
        <w:rPr>
          <w:rFonts w:cs="Simplified Arabic" w:hint="cs"/>
          <w:rtl/>
        </w:rPr>
        <w:t xml:space="preserve"> التي أعدت في سياق التنوع البيولوجي وتغير المناخ والتعاون المعزز بين الأوساط العلمية ذات الصلة بهذه الهيئات</w:t>
      </w:r>
      <w:r>
        <w:rPr>
          <w:rFonts w:cs="Simplified Arabic" w:hint="cs"/>
          <w:rtl/>
        </w:rPr>
        <w:t xml:space="preserve"> بهدف، من بين أمور أخرى، تيسير </w:t>
      </w:r>
      <w:r w:rsidRPr="00FA266E">
        <w:rPr>
          <w:rFonts w:cs="Simplified Arabic" w:hint="cs"/>
          <w:rtl/>
        </w:rPr>
        <w:t xml:space="preserve">إدماج </w:t>
      </w:r>
      <w:r>
        <w:rPr>
          <w:rFonts w:cs="Simplified Arabic" w:hint="cs"/>
          <w:rtl/>
        </w:rPr>
        <w:t>ا</w:t>
      </w:r>
      <w:r w:rsidRPr="00FA266E">
        <w:rPr>
          <w:rFonts w:cs="Simplified Arabic" w:hint="cs"/>
          <w:rtl/>
        </w:rPr>
        <w:t>لروابط بين التنوع البيولوجي وتغير المناخ وآثارها على رفاه الإنسان في جميع تقييمات المنبر</w:t>
      </w:r>
      <w:r w:rsidRPr="006A696F">
        <w:rPr>
          <w:rFonts w:cs="Simplified Arabic" w:hint="cs"/>
          <w:rtl/>
        </w:rPr>
        <w:t>؛</w:t>
      </w:r>
    </w:p>
    <w:p w:rsidR="00ED48E1" w:rsidRPr="006A696F" w:rsidRDefault="00ED48E1" w:rsidP="00CD26C5">
      <w:pPr>
        <w:pStyle w:val="ListParagraph"/>
        <w:numPr>
          <w:ilvl w:val="0"/>
          <w:numId w:val="91"/>
        </w:numPr>
        <w:bidi/>
        <w:spacing w:line="204" w:lineRule="auto"/>
        <w:ind w:left="0" w:firstLine="720"/>
        <w:rPr>
          <w:rFonts w:cs="Simplified Arabic"/>
          <w:rtl/>
        </w:rPr>
      </w:pPr>
      <w:r w:rsidRPr="006A696F">
        <w:rPr>
          <w:rFonts w:cs="Simplified Arabic" w:hint="cs"/>
          <w:i/>
          <w:iCs/>
          <w:color w:val="000000" w:themeColor="text1"/>
          <w:rtl/>
          <w:lang w:val="fr-CH"/>
        </w:rPr>
        <w:t>يقر</w:t>
      </w:r>
      <w:r w:rsidRPr="006A696F">
        <w:rPr>
          <w:rFonts w:cs="Simplified Arabic" w:hint="cs"/>
          <w:color w:val="000000" w:themeColor="text1"/>
          <w:rtl/>
          <w:lang w:val="fr-CH"/>
        </w:rPr>
        <w:t xml:space="preserve"> بالمنافع</w:t>
      </w:r>
      <w:r w:rsidRPr="006A696F">
        <w:rPr>
          <w:rFonts w:cs="Simplified Arabic" w:hint="cs"/>
          <w:rtl/>
        </w:rPr>
        <w:t xml:space="preserve"> للاتفاقية من التعاون المعزز بين ا</w:t>
      </w:r>
      <w:r w:rsidRPr="006A696F">
        <w:rPr>
          <w:rFonts w:cs="Simplified Arabic"/>
          <w:rtl/>
        </w:rPr>
        <w:t>لمنبر</w:t>
      </w:r>
      <w:r w:rsidRPr="006A696F">
        <w:rPr>
          <w:rFonts w:cs="Simplified Arabic" w:hint="cs"/>
          <w:rtl/>
        </w:rPr>
        <w:t xml:space="preserve"> </w:t>
      </w:r>
      <w:r w:rsidRPr="006A696F">
        <w:rPr>
          <w:rFonts w:cs="Simplified Arabic"/>
          <w:rtl/>
        </w:rPr>
        <w:t>الحكومي الدولي للعلوم والسياسات في مجال التنوع البيولوجي وخدمات النظم الإيكولوجية</w:t>
      </w:r>
      <w:r w:rsidRPr="006A696F">
        <w:rPr>
          <w:rFonts w:cs="Simplified Arabic" w:hint="cs"/>
          <w:rtl/>
        </w:rPr>
        <w:t xml:space="preserve"> وأنشطة التقييم الأخرى ذات الصلة التي تجريها وكالات الأمم المتحدة والاتفاقات البيئية المتعددة الأطراف، </w:t>
      </w:r>
      <w:r w:rsidRPr="006A696F">
        <w:rPr>
          <w:rFonts w:cs="Simplified Arabic" w:hint="cs"/>
          <w:i/>
          <w:iCs/>
          <w:rtl/>
        </w:rPr>
        <w:t>ويدعو</w:t>
      </w:r>
      <w:r w:rsidRPr="006A696F">
        <w:rPr>
          <w:rFonts w:cs="Simplified Arabic" w:hint="cs"/>
          <w:rtl/>
        </w:rPr>
        <w:t xml:space="preserve"> ا</w:t>
      </w:r>
      <w:r w:rsidRPr="006A696F">
        <w:rPr>
          <w:rFonts w:cs="Simplified Arabic"/>
          <w:rtl/>
        </w:rPr>
        <w:t>لمنبر</w:t>
      </w:r>
      <w:r w:rsidRPr="006A696F">
        <w:rPr>
          <w:rFonts w:cs="Simplified Arabic" w:hint="cs"/>
          <w:rtl/>
        </w:rPr>
        <w:t xml:space="preserve"> </w:t>
      </w:r>
      <w:r w:rsidRPr="006A696F">
        <w:rPr>
          <w:rFonts w:cs="Simplified Arabic"/>
          <w:rtl/>
        </w:rPr>
        <w:t>الحكومي الدولي للعلوم والسياسات في مجال التنوع البيولوجي وخدمات النظم الإيكولوجية</w:t>
      </w:r>
      <w:r w:rsidRPr="006A696F">
        <w:rPr>
          <w:rFonts w:cs="Simplified Arabic" w:hint="cs"/>
          <w:rtl/>
        </w:rPr>
        <w:t xml:space="preserve"> إلى مواصلة التعاون مع المنظمات الدولية ذات الصلة، بما في ذلك تلك المشتركة في أنشطة ذات صلة بتعميم التنوع البيولوجي في قطاعات الإنتاج؛</w:t>
      </w:r>
    </w:p>
    <w:p w:rsidR="00ED48E1" w:rsidRPr="006A696F"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lang w:val="fr-CH"/>
        </w:rPr>
        <w:t>يدعو</w:t>
      </w:r>
      <w:r w:rsidRPr="006A696F">
        <w:rPr>
          <w:rFonts w:cs="Simplified Arabic" w:hint="cs"/>
          <w:color w:val="000000" w:themeColor="text1"/>
          <w:rtl/>
          <w:lang w:val="fr-CH"/>
        </w:rPr>
        <w:t xml:space="preserve"> </w:t>
      </w:r>
      <w:r w:rsidRPr="00ED48E1">
        <w:rPr>
          <w:rFonts w:cs="Simplified Arabic" w:hint="cs"/>
          <w:color w:val="000000" w:themeColor="text1"/>
          <w:rtl/>
          <w:lang w:val="fr-CH"/>
        </w:rPr>
        <w:t>ا</w:t>
      </w:r>
      <w:r w:rsidRPr="00ED48E1">
        <w:rPr>
          <w:rStyle w:val="Hyperlink"/>
          <w:color w:val="000000" w:themeColor="text1"/>
          <w:u w:val="none"/>
          <w:rtl/>
        </w:rPr>
        <w:t>لمنبر</w:t>
      </w:r>
      <w:r w:rsidRPr="00ED48E1">
        <w:rPr>
          <w:rStyle w:val="Hyperlink"/>
          <w:rFonts w:hint="cs"/>
          <w:color w:val="000000" w:themeColor="text1"/>
          <w:u w:val="none"/>
          <w:rtl/>
        </w:rPr>
        <w:t xml:space="preserve"> </w:t>
      </w:r>
      <w:r w:rsidRPr="0043554D">
        <w:rPr>
          <w:rFonts w:cs="Simplified Arabic"/>
          <w:rtl/>
        </w:rPr>
        <w:t>الحكومي الدولي</w:t>
      </w:r>
      <w:r w:rsidRPr="006A696F">
        <w:rPr>
          <w:rFonts w:cs="Simplified Arabic"/>
          <w:rtl/>
        </w:rPr>
        <w:t xml:space="preserve"> للعلوم والسياسات في مجال التنوع البيولوجي وخدمات النظم الإيكولوجية</w:t>
      </w:r>
      <w:r w:rsidRPr="006A696F">
        <w:rPr>
          <w:rFonts w:cs="Simplified Arabic" w:hint="cs"/>
          <w:rtl/>
        </w:rPr>
        <w:t xml:space="preserve"> إلى </w:t>
      </w:r>
      <w:r w:rsidRPr="006A696F">
        <w:rPr>
          <w:rFonts w:cs="Simplified Arabic"/>
          <w:rtl/>
        </w:rPr>
        <w:t xml:space="preserve">النظر في الطلب الوارد في </w:t>
      </w:r>
      <w:r>
        <w:rPr>
          <w:rFonts w:cs="Simplified Arabic" w:hint="cs"/>
          <w:rtl/>
        </w:rPr>
        <w:t>ال</w:t>
      </w:r>
      <w:r w:rsidRPr="006A696F">
        <w:rPr>
          <w:rFonts w:cs="Simplified Arabic"/>
          <w:rtl/>
        </w:rPr>
        <w:t xml:space="preserve">مرفق </w:t>
      </w:r>
      <w:r>
        <w:rPr>
          <w:rFonts w:cs="Simplified Arabic" w:hint="cs"/>
          <w:rtl/>
        </w:rPr>
        <w:t>ب</w:t>
      </w:r>
      <w:r w:rsidRPr="006A696F">
        <w:rPr>
          <w:rFonts w:cs="Simplified Arabic"/>
          <w:rtl/>
        </w:rPr>
        <w:t>هذا المقرر كجزء من إطار</w:t>
      </w:r>
      <w:r>
        <w:rPr>
          <w:rFonts w:cs="Simplified Arabic" w:hint="cs"/>
          <w:rtl/>
        </w:rPr>
        <w:t>ه</w:t>
      </w:r>
      <w:r w:rsidRPr="006A696F">
        <w:rPr>
          <w:rFonts w:cs="Simplified Arabic"/>
          <w:rtl/>
        </w:rPr>
        <w:t xml:space="preserve"> الاستراتيجي وبرنامج عمل</w:t>
      </w:r>
      <w:r>
        <w:rPr>
          <w:rFonts w:cs="Simplified Arabic" w:hint="cs"/>
          <w:rtl/>
        </w:rPr>
        <w:t>ه</w:t>
      </w:r>
      <w:r w:rsidRPr="006A696F">
        <w:rPr>
          <w:rFonts w:cs="Simplified Arabic"/>
          <w:rtl/>
        </w:rPr>
        <w:t xml:space="preserve"> حتى عام 2030</w:t>
      </w:r>
      <w:r w:rsidRPr="006A696F">
        <w:rPr>
          <w:rFonts w:cs="Simplified Arabic" w:hint="cs"/>
          <w:rtl/>
        </w:rPr>
        <w:t>؛</w:t>
      </w:r>
    </w:p>
    <w:p w:rsidR="00ED48E1" w:rsidRPr="006A696F"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rPr>
        <w:lastRenderedPageBreak/>
        <w:t xml:space="preserve">يدعو أيضا </w:t>
      </w:r>
      <w:r w:rsidRPr="006A696F">
        <w:rPr>
          <w:rFonts w:cs="Simplified Arabic" w:hint="cs"/>
          <w:color w:val="000000" w:themeColor="text1"/>
          <w:rtl/>
        </w:rPr>
        <w:t>ا</w:t>
      </w:r>
      <w:r w:rsidRPr="006A696F">
        <w:rPr>
          <w:rFonts w:cs="Simplified Arabic"/>
          <w:color w:val="000000" w:themeColor="text1"/>
          <w:rtl/>
        </w:rPr>
        <w:t>لمنبر</w:t>
      </w:r>
      <w:r w:rsidRPr="006A696F">
        <w:rPr>
          <w:rFonts w:cs="Simplified Arabic" w:hint="cs"/>
          <w:color w:val="000000" w:themeColor="text1"/>
          <w:rtl/>
        </w:rPr>
        <w:t xml:space="preserve"> </w:t>
      </w:r>
      <w:r w:rsidRPr="006A696F">
        <w:rPr>
          <w:rFonts w:cs="Simplified Arabic"/>
          <w:color w:val="000000" w:themeColor="text1"/>
          <w:rtl/>
        </w:rPr>
        <w:t>الحكومي الدولي للعلوم والسياسات في مجال التنوع البيولوجي وخدمات النظم الإيكولوجية</w:t>
      </w:r>
      <w:r w:rsidRPr="006A696F">
        <w:rPr>
          <w:rFonts w:cs="Simplified Arabic" w:hint="cs"/>
          <w:rtl/>
        </w:rPr>
        <w:t xml:space="preserve"> إلى السماح بمدخلات إضافية في برنامج عمله حتى عام 2030 في ضوء إعداد الإطار العالمي للتنوع البيولوجي لما بعد عام 2020؛</w:t>
      </w:r>
    </w:p>
    <w:p w:rsidR="00ED48E1"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rPr>
        <w:t xml:space="preserve">يطلب </w:t>
      </w:r>
      <w:r w:rsidRPr="00740FC9">
        <w:rPr>
          <w:rFonts w:cs="Simplified Arabic" w:hint="cs"/>
          <w:color w:val="000000" w:themeColor="text1"/>
          <w:rtl/>
        </w:rPr>
        <w:t>إلى</w:t>
      </w:r>
      <w:r w:rsidRPr="00FA266E">
        <w:rPr>
          <w:rFonts w:cs="Simplified Arabic" w:hint="cs"/>
          <w:color w:val="000000" w:themeColor="text1"/>
          <w:rtl/>
        </w:rPr>
        <w:t xml:space="preserve"> </w:t>
      </w:r>
      <w:r w:rsidRPr="006A696F">
        <w:rPr>
          <w:rFonts w:cs="Simplified Arabic" w:hint="cs"/>
          <w:color w:val="000000" w:themeColor="text1"/>
          <w:rtl/>
        </w:rPr>
        <w:t>الأمينة التنفيذية</w:t>
      </w:r>
      <w:r>
        <w:rPr>
          <w:rFonts w:cs="Simplified Arabic" w:hint="cs"/>
          <w:color w:val="000000" w:themeColor="text1"/>
          <w:rtl/>
        </w:rPr>
        <w:t>، أن تعد، لتنظر فيها</w:t>
      </w:r>
      <w:r w:rsidRPr="006A696F">
        <w:rPr>
          <w:rFonts w:cs="Simplified Arabic" w:hint="cs"/>
          <w:i/>
          <w:iCs/>
          <w:color w:val="000000" w:themeColor="text1"/>
          <w:rtl/>
        </w:rPr>
        <w:t xml:space="preserve"> </w:t>
      </w:r>
      <w:r w:rsidRPr="006A696F">
        <w:rPr>
          <w:rFonts w:cs="Simplified Arabic" w:hint="cs"/>
          <w:color w:val="000000" w:themeColor="text1"/>
          <w:rtl/>
        </w:rPr>
        <w:t>الهيئة الفرعية للمشور</w:t>
      </w:r>
      <w:r>
        <w:rPr>
          <w:rFonts w:cs="Simplified Arabic" w:hint="cs"/>
          <w:color w:val="000000" w:themeColor="text1"/>
          <w:rtl/>
        </w:rPr>
        <w:t>ة العلمية والتقنية والتكنولوجية</w:t>
      </w:r>
      <w:r w:rsidRPr="00387D6E">
        <w:rPr>
          <w:rFonts w:cs="Simplified Arabic" w:hint="cs"/>
          <w:color w:val="000000" w:themeColor="text1"/>
          <w:rtl/>
        </w:rPr>
        <w:t xml:space="preserve">، </w:t>
      </w:r>
      <w:r>
        <w:rPr>
          <w:rFonts w:cs="Simplified Arabic" w:hint="cs"/>
          <w:color w:val="000000" w:themeColor="text1"/>
          <w:rtl/>
        </w:rPr>
        <w:t>ولينظر فيها لاحقا</w:t>
      </w:r>
      <w:r w:rsidRPr="00387D6E">
        <w:rPr>
          <w:rFonts w:cs="Simplified Arabic" w:hint="cs"/>
          <w:color w:val="000000" w:themeColor="text1"/>
          <w:rtl/>
        </w:rPr>
        <w:t xml:space="preserve"> مؤتمر الأطراف في اجتماعه الخامس عشر، مقترحات لطلب آخر</w:t>
      </w:r>
      <w:r>
        <w:rPr>
          <w:rFonts w:cs="Simplified Arabic" w:hint="cs"/>
          <w:color w:val="000000" w:themeColor="text1"/>
          <w:rtl/>
        </w:rPr>
        <w:t xml:space="preserve"> للنظر فيه</w:t>
      </w:r>
      <w:r w:rsidRPr="00387D6E">
        <w:rPr>
          <w:rFonts w:cs="Simplified Arabic" w:hint="cs"/>
          <w:color w:val="000000" w:themeColor="text1"/>
          <w:rtl/>
        </w:rPr>
        <w:t xml:space="preserve"> لإدراجه في برنامج العمل حتى عام 2030 للمنبر الحكومي الدولي للعلوم والسياسات في مجال التنوع البيولوجي وخدمات النظم الإيكولوجية بهدف دعم تنفيذ الإطار العالمي للتنوع البيولوجي لما</w:t>
      </w:r>
      <w:r w:rsidRPr="006A696F">
        <w:rPr>
          <w:rFonts w:cs="Simplified Arabic" w:hint="cs"/>
          <w:rtl/>
        </w:rPr>
        <w:t xml:space="preserve"> بعد عام 2020؛</w:t>
      </w:r>
    </w:p>
    <w:p w:rsidR="00ED48E1" w:rsidRDefault="00ED48E1" w:rsidP="00CD26C5">
      <w:pPr>
        <w:pStyle w:val="ListParagraph"/>
        <w:numPr>
          <w:ilvl w:val="0"/>
          <w:numId w:val="91"/>
        </w:numPr>
        <w:bidi/>
        <w:spacing w:line="204" w:lineRule="auto"/>
        <w:ind w:left="0" w:firstLine="720"/>
        <w:rPr>
          <w:rFonts w:cs="Simplified Arabic"/>
        </w:rPr>
      </w:pPr>
      <w:r w:rsidRPr="006A696F">
        <w:rPr>
          <w:rFonts w:cs="Simplified Arabic" w:hint="cs"/>
          <w:i/>
          <w:iCs/>
          <w:color w:val="000000" w:themeColor="text1"/>
          <w:rtl/>
        </w:rPr>
        <w:t xml:space="preserve">يطلب </w:t>
      </w:r>
      <w:r>
        <w:rPr>
          <w:rFonts w:cs="Simplified Arabic" w:hint="cs"/>
          <w:i/>
          <w:iCs/>
          <w:color w:val="000000" w:themeColor="text1"/>
          <w:rtl/>
        </w:rPr>
        <w:t xml:space="preserve">أيضا </w:t>
      </w:r>
      <w:r w:rsidRPr="00740FC9">
        <w:rPr>
          <w:rFonts w:cs="Simplified Arabic" w:hint="cs"/>
          <w:color w:val="000000" w:themeColor="text1"/>
          <w:rtl/>
        </w:rPr>
        <w:t>إلى</w:t>
      </w:r>
      <w:r w:rsidRPr="006A696F">
        <w:rPr>
          <w:rFonts w:cs="Simplified Arabic" w:hint="cs"/>
          <w:i/>
          <w:iCs/>
          <w:color w:val="000000" w:themeColor="text1"/>
          <w:rtl/>
        </w:rPr>
        <w:t xml:space="preserve"> </w:t>
      </w:r>
      <w:r w:rsidRPr="006A696F">
        <w:rPr>
          <w:rFonts w:cs="Simplified Arabic" w:hint="cs"/>
          <w:color w:val="000000" w:themeColor="text1"/>
          <w:rtl/>
        </w:rPr>
        <w:t xml:space="preserve">الأمينة التنفيذية، </w:t>
      </w:r>
      <w:r>
        <w:rPr>
          <w:rFonts w:cs="Simplified Arabic" w:hint="cs"/>
          <w:color w:val="000000" w:themeColor="text1"/>
          <w:rtl/>
        </w:rPr>
        <w:t>وفقا</w:t>
      </w:r>
      <w:r w:rsidRPr="006A696F">
        <w:rPr>
          <w:rFonts w:cs="Simplified Arabic" w:hint="cs"/>
          <w:color w:val="000000" w:themeColor="text1"/>
          <w:rtl/>
        </w:rPr>
        <w:t xml:space="preserve"> للمقرر 12/25، أن تعد طرائق للنظر المنهجي </w:t>
      </w:r>
      <w:r>
        <w:rPr>
          <w:rFonts w:cs="Simplified Arabic" w:hint="cs"/>
          <w:color w:val="000000" w:themeColor="text1"/>
          <w:rtl/>
        </w:rPr>
        <w:t xml:space="preserve">في </w:t>
      </w:r>
      <w:r w:rsidRPr="006A696F">
        <w:rPr>
          <w:rFonts w:cs="Simplified Arabic" w:hint="cs"/>
          <w:color w:val="000000" w:themeColor="text1"/>
          <w:rtl/>
        </w:rPr>
        <w:t xml:space="preserve">جميع نواتج </w:t>
      </w:r>
      <w:r w:rsidRPr="00A5280A">
        <w:rPr>
          <w:rFonts w:cs="Simplified Arabic" w:hint="cs"/>
          <w:color w:val="000000" w:themeColor="text1"/>
          <w:rtl/>
        </w:rPr>
        <w:t>المنبر الحكومي الدولي للعلوم والسياسات في مجال التنوع البيولوجي وخدمات النظم الإيكولوجية، مع الأخذ في الاعتبار نتائج استعراض المنبر الحكومي الدولي للعلوم والسياسات في مجال التنوع البيولوجي وخدمات النظم الإيكولوجية</w:t>
      </w:r>
      <w:r>
        <w:rPr>
          <w:rFonts w:cs="Simplified Arabic" w:hint="cs"/>
          <w:color w:val="000000" w:themeColor="text1"/>
          <w:rtl/>
        </w:rPr>
        <w:t>،</w:t>
      </w:r>
      <w:r>
        <w:rPr>
          <w:rStyle w:val="FootnoteReference"/>
          <w:color w:val="000000" w:themeColor="text1"/>
          <w:rtl/>
        </w:rPr>
        <w:footnoteReference w:id="325"/>
      </w:r>
      <w:r w:rsidRPr="00A5280A">
        <w:rPr>
          <w:rFonts w:cs="Simplified Arabic" w:hint="cs"/>
          <w:color w:val="000000" w:themeColor="text1"/>
          <w:rtl/>
        </w:rPr>
        <w:t xml:space="preserve"> بهدف تعظيم استخدامها في دعم تنفيذ الاتفاقية، وأن ترفع تقريرا إلى الهيئة الفرعية للمشورة العلمية والتقنية والتكنولوجية في</w:t>
      </w:r>
      <w:r w:rsidRPr="006A696F">
        <w:rPr>
          <w:rFonts w:cs="Simplified Arabic" w:hint="cs"/>
          <w:rtl/>
        </w:rPr>
        <w:t xml:space="preserve"> اجتماع يعقد قبل الاجتماع الخامس عشر لمؤتمر الأطراف.</w:t>
      </w:r>
    </w:p>
    <w:p w:rsidR="00ED48E1" w:rsidRDefault="00ED48E1" w:rsidP="00ED48E1">
      <w:pPr>
        <w:spacing w:line="204" w:lineRule="auto"/>
        <w:jc w:val="center"/>
        <w:rPr>
          <w:i/>
          <w:iCs/>
          <w:color w:val="000000" w:themeColor="text1"/>
          <w:rtl/>
          <w:lang w:val="fr-CH"/>
        </w:rPr>
      </w:pPr>
      <w:r w:rsidRPr="006A696F">
        <w:rPr>
          <w:rFonts w:hint="cs"/>
          <w:i/>
          <w:iCs/>
          <w:color w:val="000000" w:themeColor="text1"/>
          <w:rtl/>
          <w:lang w:val="fr-CH"/>
        </w:rPr>
        <w:t>المرفق</w:t>
      </w:r>
    </w:p>
    <w:p w:rsidR="00ED48E1" w:rsidRPr="006A696F" w:rsidRDefault="00ED48E1" w:rsidP="00ED48E1">
      <w:pPr>
        <w:spacing w:line="204" w:lineRule="auto"/>
        <w:ind w:left="990" w:right="630" w:hanging="90"/>
        <w:jc w:val="center"/>
        <w:rPr>
          <w:b/>
          <w:bCs/>
          <w:color w:val="000000" w:themeColor="text1"/>
          <w:rtl/>
          <w:lang w:val="fr-CH"/>
        </w:rPr>
      </w:pPr>
      <w:r w:rsidRPr="006A696F">
        <w:rPr>
          <w:b/>
          <w:bCs/>
          <w:color w:val="000000" w:themeColor="text1"/>
          <w:rtl/>
          <w:lang w:val="fr-CH"/>
        </w:rPr>
        <w:t>طلب للنظر فيه من جانب</w:t>
      </w:r>
      <w:r w:rsidRPr="006A696F">
        <w:rPr>
          <w:rFonts w:hint="cs"/>
          <w:b/>
          <w:bCs/>
          <w:color w:val="000000" w:themeColor="text1"/>
          <w:rtl/>
          <w:lang w:val="fr-CH"/>
        </w:rPr>
        <w:t xml:space="preserve"> </w:t>
      </w:r>
      <w:r w:rsidRPr="00545006">
        <w:rPr>
          <w:rFonts w:hint="cs"/>
          <w:b/>
          <w:bCs/>
          <w:color w:val="000000" w:themeColor="text1"/>
          <w:rtl/>
          <w:lang w:val="fr-CH"/>
        </w:rPr>
        <w:t>ا</w:t>
      </w:r>
      <w:r w:rsidRPr="00545006">
        <w:rPr>
          <w:rStyle w:val="Hyperlink"/>
          <w:b/>
          <w:bCs/>
          <w:color w:val="000000" w:themeColor="text1"/>
          <w:u w:val="none"/>
          <w:rtl/>
        </w:rPr>
        <w:t>لمنبر</w:t>
      </w:r>
      <w:r w:rsidRPr="00545006">
        <w:rPr>
          <w:rStyle w:val="Hyperlink"/>
          <w:rFonts w:hint="cs"/>
          <w:b/>
          <w:bCs/>
          <w:color w:val="000000" w:themeColor="text1"/>
          <w:u w:val="none"/>
          <w:rtl/>
        </w:rPr>
        <w:t xml:space="preserve"> </w:t>
      </w:r>
      <w:r w:rsidRPr="0043554D">
        <w:rPr>
          <w:b/>
          <w:bCs/>
          <w:rtl/>
        </w:rPr>
        <w:t>الحكومي</w:t>
      </w:r>
      <w:r w:rsidRPr="006A696F">
        <w:rPr>
          <w:b/>
          <w:bCs/>
          <w:rtl/>
        </w:rPr>
        <w:t xml:space="preserve"> الدولي للعلوم والسياسات في مجال التنوع البيولوجي وخدمات النظم الإيكولوجية</w:t>
      </w:r>
      <w:r w:rsidRPr="006A696F">
        <w:rPr>
          <w:b/>
          <w:bCs/>
          <w:color w:val="000000" w:themeColor="text1"/>
          <w:rtl/>
          <w:lang w:val="fr-CH"/>
        </w:rPr>
        <w:t xml:space="preserve"> في سياق إطار</w:t>
      </w:r>
      <w:r w:rsidRPr="006A696F">
        <w:rPr>
          <w:rFonts w:hint="cs"/>
          <w:b/>
          <w:bCs/>
          <w:color w:val="000000" w:themeColor="text1"/>
          <w:rtl/>
          <w:lang w:val="fr-CH"/>
        </w:rPr>
        <w:t>ه</w:t>
      </w:r>
      <w:r w:rsidRPr="006A696F">
        <w:rPr>
          <w:b/>
          <w:bCs/>
          <w:color w:val="000000" w:themeColor="text1"/>
          <w:rtl/>
          <w:lang w:val="fr-CH"/>
        </w:rPr>
        <w:t xml:space="preserve"> الاستراتيجي وبرنامج عمل</w:t>
      </w:r>
      <w:r w:rsidRPr="006A696F">
        <w:rPr>
          <w:rFonts w:hint="cs"/>
          <w:b/>
          <w:bCs/>
          <w:color w:val="000000" w:themeColor="text1"/>
          <w:rtl/>
          <w:lang w:val="fr-CH"/>
        </w:rPr>
        <w:t>ه</w:t>
      </w:r>
      <w:r w:rsidRPr="006A696F">
        <w:rPr>
          <w:b/>
          <w:bCs/>
          <w:color w:val="000000" w:themeColor="text1"/>
          <w:rtl/>
          <w:lang w:val="fr-CH"/>
        </w:rPr>
        <w:t xml:space="preserve"> </w:t>
      </w:r>
      <w:r w:rsidRPr="006A696F">
        <w:rPr>
          <w:rFonts w:hint="cs"/>
          <w:b/>
          <w:bCs/>
          <w:color w:val="000000" w:themeColor="text1"/>
          <w:rtl/>
          <w:lang w:val="fr-CH"/>
        </w:rPr>
        <w:t>حتى عام</w:t>
      </w:r>
      <w:r w:rsidRPr="006A696F">
        <w:rPr>
          <w:b/>
          <w:bCs/>
          <w:color w:val="000000" w:themeColor="text1"/>
          <w:rtl/>
          <w:lang w:val="fr-CH"/>
        </w:rPr>
        <w:t xml:space="preserve"> 2030</w:t>
      </w:r>
    </w:p>
    <w:p w:rsidR="00ED48E1" w:rsidRPr="006A696F" w:rsidRDefault="00ED48E1" w:rsidP="00ED48E1">
      <w:pPr>
        <w:spacing w:line="204" w:lineRule="auto"/>
        <w:ind w:firstLine="720"/>
        <w:rPr>
          <w:rtl/>
        </w:rPr>
      </w:pPr>
      <w:r w:rsidRPr="006A696F">
        <w:rPr>
          <w:rFonts w:hint="cs"/>
          <w:rtl/>
        </w:rPr>
        <w:t>1-</w:t>
      </w:r>
      <w:r w:rsidRPr="006A696F">
        <w:rPr>
          <w:rFonts w:hint="cs"/>
          <w:rtl/>
        </w:rPr>
        <w:tab/>
        <w:t>يدعى المنبر الحكومي الدولي للعلوم والسياسات في مجال التنوع البيولوجي وخدمات النظم الإيكولوجية إلى الأخذ في الحسبان الاعتبارات التالية عند إعداد إطاره الاستر</w:t>
      </w:r>
      <w:r>
        <w:rPr>
          <w:rFonts w:hint="cs"/>
          <w:rtl/>
        </w:rPr>
        <w:t>اتيجي وبرنامج عمله حتى عام 2030:</w:t>
      </w:r>
    </w:p>
    <w:p w:rsidR="00ED48E1" w:rsidRPr="006A696F" w:rsidRDefault="00ED48E1" w:rsidP="00ED48E1">
      <w:pPr>
        <w:spacing w:line="204" w:lineRule="auto"/>
        <w:ind w:firstLine="720"/>
        <w:rPr>
          <w:rtl/>
        </w:rPr>
      </w:pPr>
      <w:r w:rsidRPr="006A696F">
        <w:rPr>
          <w:rFonts w:hint="cs"/>
          <w:rtl/>
        </w:rPr>
        <w:t>(أ)</w:t>
      </w:r>
      <w:r w:rsidRPr="006A696F">
        <w:rPr>
          <w:rtl/>
        </w:rPr>
        <w:tab/>
      </w:r>
      <w:r w:rsidRPr="006A696F">
        <w:rPr>
          <w:rFonts w:hint="cs"/>
          <w:rtl/>
        </w:rPr>
        <w:t>لا تزال الاحتياجات العلمية والتقنية الرئيسية من أجل تنفيذ الخطة الاستراتيجية للتنوع البيولوجي 2011-2020، التي اعتمدت في المقرّر 10/1، صالحة وينبغي لذلك مواصلة أخذها في الاعتبار عند تصميم وإنجاز الأنشطة المقبلة ل</w:t>
      </w:r>
      <w:r w:rsidRPr="006A696F">
        <w:rPr>
          <w:rtl/>
        </w:rPr>
        <w:t>لمنبر</w:t>
      </w:r>
      <w:r w:rsidRPr="006A696F">
        <w:rPr>
          <w:rFonts w:hint="cs"/>
          <w:rtl/>
        </w:rPr>
        <w:t xml:space="preserve"> عبر جميع وظائفه الأربع؛</w:t>
      </w:r>
    </w:p>
    <w:p w:rsidR="00ED48E1" w:rsidRDefault="00ED48E1" w:rsidP="00ED48E1">
      <w:pPr>
        <w:spacing w:line="204" w:lineRule="auto"/>
        <w:ind w:firstLine="720"/>
        <w:rPr>
          <w:rtl/>
        </w:rPr>
      </w:pPr>
      <w:r w:rsidRPr="006A696F">
        <w:rPr>
          <w:rFonts w:hint="cs"/>
          <w:rtl/>
        </w:rPr>
        <w:t>(ب)</w:t>
      </w:r>
      <w:r w:rsidRPr="006A696F">
        <w:rPr>
          <w:rtl/>
        </w:rPr>
        <w:tab/>
      </w:r>
      <w:r w:rsidRPr="006A696F">
        <w:rPr>
          <w:rFonts w:hint="cs"/>
          <w:rtl/>
        </w:rPr>
        <w:t xml:space="preserve">ينبغي النظر في نطاق وموعد التقييم العالمي المقبل، بما في ذلك الاعتبارات المتعلقة بإجراء تقييم واحد يدمج المكونات الإقليمية والعالمية، بما في ذلك متطلبات الموارد للمكونات الإقليمية، بعناية لخدمة احتياجات التقييم المنبثقة عن الإطار العالمي للتنوع البيولوجي لما بعد عام 2020 وكذلك خطة التنمية المستدامة لعام 2030 بالعلاقة إلى التنوع البيولوجي </w:t>
      </w:r>
      <w:r w:rsidRPr="006A696F">
        <w:rPr>
          <w:rtl/>
        </w:rPr>
        <w:t>وخدمات النظم الإيكولوجية</w:t>
      </w:r>
      <w:r w:rsidRPr="006A696F">
        <w:rPr>
          <w:rFonts w:hint="cs"/>
          <w:rtl/>
        </w:rPr>
        <w:t xml:space="preserve">. وينبغي التقليل من درجة التداخل مع أنشطة </w:t>
      </w:r>
      <w:r>
        <w:rPr>
          <w:rFonts w:hint="cs"/>
          <w:rtl/>
        </w:rPr>
        <w:t>وتحليلات</w:t>
      </w:r>
      <w:r w:rsidRPr="006A696F">
        <w:rPr>
          <w:rFonts w:hint="cs"/>
          <w:rtl/>
        </w:rPr>
        <w:t xml:space="preserve"> وتقييمات أخرى، بما في ذلك الإصدارات القادمة </w:t>
      </w:r>
      <w:r>
        <w:rPr>
          <w:rFonts w:hint="cs"/>
          <w:rtl/>
        </w:rPr>
        <w:t xml:space="preserve">المحتملة </w:t>
      </w:r>
      <w:r w:rsidRPr="006A696F">
        <w:rPr>
          <w:rFonts w:hint="cs"/>
          <w:rtl/>
        </w:rPr>
        <w:t xml:space="preserve">من نشرة </w:t>
      </w:r>
      <w:r w:rsidRPr="006A696F">
        <w:rPr>
          <w:rFonts w:hint="cs"/>
          <w:i/>
          <w:iCs/>
          <w:rtl/>
        </w:rPr>
        <w:t>التوقعات العالمية ل</w:t>
      </w:r>
      <w:r w:rsidRPr="006A696F">
        <w:rPr>
          <w:i/>
          <w:iCs/>
          <w:rtl/>
        </w:rPr>
        <w:t xml:space="preserve">لتنوع البيولوجي </w:t>
      </w:r>
      <w:r w:rsidRPr="006A696F">
        <w:rPr>
          <w:rFonts w:hint="cs"/>
          <w:rtl/>
        </w:rPr>
        <w:t>وزيادة أوجه التآزر إلى أقصى حد؛</w:t>
      </w:r>
    </w:p>
    <w:p w:rsidR="00ED48E1" w:rsidRPr="006A696F" w:rsidRDefault="00ED48E1" w:rsidP="00ED48E1">
      <w:pPr>
        <w:spacing w:line="204" w:lineRule="auto"/>
        <w:ind w:firstLine="720"/>
        <w:rPr>
          <w:rtl/>
        </w:rPr>
      </w:pPr>
      <w:r>
        <w:rPr>
          <w:rFonts w:hint="cs"/>
          <w:rtl/>
        </w:rPr>
        <w:t>(ج)</w:t>
      </w:r>
      <w:r>
        <w:rPr>
          <w:rFonts w:hint="cs"/>
          <w:rtl/>
        </w:rPr>
        <w:tab/>
        <w:t>الحاجة إلى منظور لل</w:t>
      </w:r>
      <w:r w:rsidRPr="008B6F79">
        <w:rPr>
          <w:rFonts w:hint="cs"/>
          <w:rtl/>
        </w:rPr>
        <w:t>مساواة بين</w:t>
      </w:r>
      <w:r>
        <w:rPr>
          <w:rFonts w:hint="cs"/>
          <w:rtl/>
        </w:rPr>
        <w:t xml:space="preserve"> الجنسين وتمكين المرأة في إطاره</w:t>
      </w:r>
      <w:r w:rsidRPr="008B6F79">
        <w:rPr>
          <w:rFonts w:hint="cs"/>
          <w:rtl/>
        </w:rPr>
        <w:t xml:space="preserve"> الاستراتيجي وفي تنفيذ برنامج عمله </w:t>
      </w:r>
      <w:r>
        <w:rPr>
          <w:rFonts w:hint="cs"/>
          <w:rtl/>
        </w:rPr>
        <w:t>حتى</w:t>
      </w:r>
      <w:r w:rsidRPr="008B6F79">
        <w:rPr>
          <w:rFonts w:hint="cs"/>
          <w:rtl/>
        </w:rPr>
        <w:t xml:space="preserve"> عام </w:t>
      </w:r>
      <w:r>
        <w:rPr>
          <w:rFonts w:hint="cs"/>
          <w:rtl/>
        </w:rPr>
        <w:t>2030؛</w:t>
      </w:r>
    </w:p>
    <w:p w:rsidR="00ED48E1" w:rsidRPr="006A696F" w:rsidRDefault="00ED48E1" w:rsidP="00ED48E1">
      <w:pPr>
        <w:spacing w:line="204" w:lineRule="auto"/>
        <w:ind w:firstLine="720"/>
        <w:rPr>
          <w:rtl/>
        </w:rPr>
      </w:pPr>
      <w:r w:rsidRPr="006A696F">
        <w:rPr>
          <w:rFonts w:hint="cs"/>
          <w:rtl/>
        </w:rPr>
        <w:t>(</w:t>
      </w:r>
      <w:r>
        <w:rPr>
          <w:rFonts w:hint="cs"/>
          <w:rtl/>
        </w:rPr>
        <w:t>د</w:t>
      </w:r>
      <w:r w:rsidRPr="006A696F">
        <w:rPr>
          <w:rFonts w:hint="cs"/>
          <w:rtl/>
        </w:rPr>
        <w:t>)</w:t>
      </w:r>
      <w:r w:rsidRPr="006A696F">
        <w:rPr>
          <w:rtl/>
        </w:rPr>
        <w:tab/>
        <w:t xml:space="preserve">هناك حاجة قوية </w:t>
      </w:r>
      <w:r>
        <w:rPr>
          <w:rFonts w:hint="cs"/>
          <w:rtl/>
        </w:rPr>
        <w:t xml:space="preserve">إلى </w:t>
      </w:r>
      <w:r w:rsidRPr="006A696F">
        <w:rPr>
          <w:rtl/>
        </w:rPr>
        <w:t>مواصلة تعزيز التعاون مع الفريق الحكومي الدولي المعني بتغير المناخ، بهدف تعزيز الترابط بين السيناريوهات والتقييمات ذات الصلة التي تم إعدادها في سياق التنوع البيولوجي وتغير المناخ</w:t>
      </w:r>
      <w:r w:rsidRPr="006A696F">
        <w:rPr>
          <w:rFonts w:hint="cs"/>
          <w:rtl/>
        </w:rPr>
        <w:t>، بما في ذلك النظر في أنشطة التقييم المشترك،</w:t>
      </w:r>
      <w:r w:rsidRPr="006A696F">
        <w:rPr>
          <w:rtl/>
        </w:rPr>
        <w:t xml:space="preserve"> و</w:t>
      </w:r>
      <w:r w:rsidRPr="006A696F">
        <w:rPr>
          <w:rFonts w:hint="cs"/>
          <w:rtl/>
        </w:rPr>
        <w:t>دعم</w:t>
      </w:r>
      <w:r w:rsidRPr="006A696F">
        <w:rPr>
          <w:rtl/>
        </w:rPr>
        <w:t xml:space="preserve"> </w:t>
      </w:r>
      <w:r w:rsidRPr="006A696F">
        <w:rPr>
          <w:rFonts w:hint="cs"/>
          <w:rtl/>
        </w:rPr>
        <w:t>ال</w:t>
      </w:r>
      <w:r w:rsidRPr="006A696F">
        <w:rPr>
          <w:rtl/>
        </w:rPr>
        <w:t>مزيد من التعاون بين ال</w:t>
      </w:r>
      <w:r w:rsidRPr="006A696F">
        <w:rPr>
          <w:rFonts w:hint="cs"/>
          <w:rtl/>
        </w:rPr>
        <w:t>أوساط</w:t>
      </w:r>
      <w:r w:rsidRPr="006A696F">
        <w:rPr>
          <w:rtl/>
        </w:rPr>
        <w:t xml:space="preserve"> العلمية ذات الصلة </w:t>
      </w:r>
      <w:r w:rsidRPr="006A696F">
        <w:rPr>
          <w:rFonts w:hint="cs"/>
          <w:rtl/>
        </w:rPr>
        <w:t>ب</w:t>
      </w:r>
      <w:r w:rsidRPr="006A696F">
        <w:rPr>
          <w:rtl/>
        </w:rPr>
        <w:t>هذه الهيئات</w:t>
      </w:r>
      <w:r w:rsidRPr="006A696F">
        <w:rPr>
          <w:rFonts w:hint="cs"/>
          <w:rtl/>
        </w:rPr>
        <w:t>؛</w:t>
      </w:r>
    </w:p>
    <w:p w:rsidR="00ED48E1" w:rsidRPr="006A696F" w:rsidRDefault="00ED48E1" w:rsidP="00ED48E1">
      <w:pPr>
        <w:spacing w:line="204" w:lineRule="auto"/>
        <w:ind w:firstLine="720"/>
        <w:rPr>
          <w:rtl/>
        </w:rPr>
      </w:pPr>
      <w:r w:rsidRPr="006A696F">
        <w:rPr>
          <w:rFonts w:hint="cs"/>
          <w:rtl/>
        </w:rPr>
        <w:t>(</w:t>
      </w:r>
      <w:r>
        <w:rPr>
          <w:rFonts w:hint="cs"/>
          <w:rtl/>
        </w:rPr>
        <w:t>ه</w:t>
      </w:r>
      <w:r w:rsidRPr="006A696F">
        <w:rPr>
          <w:rFonts w:hint="cs"/>
          <w:rtl/>
        </w:rPr>
        <w:t>)</w:t>
      </w:r>
      <w:r w:rsidRPr="006A696F">
        <w:rPr>
          <w:rFonts w:hint="cs"/>
          <w:rtl/>
        </w:rPr>
        <w:tab/>
        <w:t xml:space="preserve">هناك حاجة مستمرة </w:t>
      </w:r>
      <w:r>
        <w:rPr>
          <w:rFonts w:hint="cs"/>
          <w:rtl/>
        </w:rPr>
        <w:t>إلى ا</w:t>
      </w:r>
      <w:r w:rsidRPr="006A696F">
        <w:rPr>
          <w:rFonts w:hint="cs"/>
          <w:rtl/>
        </w:rPr>
        <w:t xml:space="preserve">لعمل على سيناريوهات ونماذج لتقييم المسارات </w:t>
      </w:r>
      <w:r w:rsidRPr="006A696F">
        <w:rPr>
          <w:rtl/>
        </w:rPr>
        <w:t>نحو التغير ال</w:t>
      </w:r>
      <w:r w:rsidRPr="006A696F">
        <w:rPr>
          <w:rFonts w:hint="cs"/>
          <w:rtl/>
        </w:rPr>
        <w:t>تحولي</w:t>
      </w:r>
      <w:r w:rsidRPr="006A696F">
        <w:rPr>
          <w:rtl/>
        </w:rPr>
        <w:t xml:space="preserve"> المطلوب لمستقبل مستدام</w:t>
      </w:r>
      <w:r w:rsidRPr="006A696F">
        <w:rPr>
          <w:rFonts w:hint="cs"/>
          <w:rtl/>
        </w:rPr>
        <w:t>؛</w:t>
      </w:r>
    </w:p>
    <w:p w:rsidR="00ED48E1" w:rsidRPr="006A696F" w:rsidRDefault="00ED48E1" w:rsidP="00ED48E1">
      <w:pPr>
        <w:spacing w:line="204" w:lineRule="auto"/>
        <w:ind w:firstLine="720"/>
        <w:rPr>
          <w:rtl/>
        </w:rPr>
      </w:pPr>
      <w:r w:rsidRPr="006A696F">
        <w:rPr>
          <w:rFonts w:hint="cs"/>
          <w:rtl/>
        </w:rPr>
        <w:lastRenderedPageBreak/>
        <w:t>(</w:t>
      </w:r>
      <w:r>
        <w:rPr>
          <w:rFonts w:hint="cs"/>
          <w:rtl/>
        </w:rPr>
        <w:t>و</w:t>
      </w:r>
      <w:r w:rsidRPr="006A696F">
        <w:rPr>
          <w:rFonts w:hint="cs"/>
          <w:rtl/>
        </w:rPr>
        <w:t>)</w:t>
      </w:r>
      <w:r w:rsidRPr="006A696F">
        <w:rPr>
          <w:rFonts w:hint="cs"/>
          <w:rtl/>
        </w:rPr>
        <w:tab/>
        <w:t>من شأن الخطوات التي اتخذها المنبر الحكومي الدولي للعلوم والسياسات في مجال التنوع البيولوجي وخدمات النظم الإيكولوجية لتعزيز دمج الوظائف الأربع للمنبر أن تساعد على ضمان أن نواتجه ستكون ذات صلة بالعمل في إطار الاتفاقية؛</w:t>
      </w:r>
    </w:p>
    <w:p w:rsidR="00ED48E1" w:rsidRDefault="00ED48E1" w:rsidP="00ED48E1">
      <w:pPr>
        <w:spacing w:line="204" w:lineRule="auto"/>
        <w:ind w:firstLine="720"/>
        <w:rPr>
          <w:rtl/>
        </w:rPr>
      </w:pPr>
      <w:r w:rsidRPr="006A696F">
        <w:rPr>
          <w:rFonts w:hint="cs"/>
          <w:rtl/>
        </w:rPr>
        <w:t>(</w:t>
      </w:r>
      <w:r>
        <w:rPr>
          <w:rFonts w:hint="cs"/>
          <w:rtl/>
        </w:rPr>
        <w:t>ز</w:t>
      </w:r>
      <w:r w:rsidRPr="006A696F">
        <w:rPr>
          <w:rFonts w:hint="cs"/>
          <w:rtl/>
        </w:rPr>
        <w:t>)</w:t>
      </w:r>
      <w:r w:rsidRPr="006A696F">
        <w:rPr>
          <w:rFonts w:hint="cs"/>
          <w:rtl/>
        </w:rPr>
        <w:tab/>
        <w:t xml:space="preserve">ينبغي </w:t>
      </w:r>
      <w:r>
        <w:rPr>
          <w:rFonts w:hint="cs"/>
          <w:rtl/>
        </w:rPr>
        <w:t>سد</w:t>
      </w:r>
      <w:r w:rsidRPr="006A696F">
        <w:rPr>
          <w:rFonts w:hint="cs"/>
          <w:rtl/>
        </w:rPr>
        <w:t xml:space="preserve"> الفجوات في المعارف والبيانات التي تم تحديدها في برنامج العمل الأول؛</w:t>
      </w:r>
    </w:p>
    <w:p w:rsidR="00ED48E1" w:rsidRPr="006A696F" w:rsidRDefault="00ED48E1" w:rsidP="00ED48E1">
      <w:pPr>
        <w:spacing w:line="204" w:lineRule="auto"/>
        <w:ind w:firstLine="720"/>
        <w:rPr>
          <w:rtl/>
        </w:rPr>
      </w:pPr>
      <w:r>
        <w:rPr>
          <w:rFonts w:hint="cs"/>
          <w:rtl/>
        </w:rPr>
        <w:t>(ح)</w:t>
      </w:r>
      <w:r>
        <w:rPr>
          <w:rFonts w:hint="cs"/>
          <w:rtl/>
        </w:rPr>
        <w:tab/>
      </w:r>
      <w:r w:rsidRPr="00A47263">
        <w:rPr>
          <w:rFonts w:hint="cs"/>
          <w:rtl/>
        </w:rPr>
        <w:t>أهمية التواصل مع المنظمات والمبادرات، مثل</w:t>
      </w:r>
      <w:r>
        <w:rPr>
          <w:rFonts w:hint="cs"/>
          <w:rtl/>
        </w:rPr>
        <w:t xml:space="preserve"> نهج "الصحة الواحدة"، وال</w:t>
      </w:r>
      <w:r w:rsidRPr="00A47263">
        <w:rPr>
          <w:rFonts w:hint="cs"/>
          <w:rtl/>
        </w:rPr>
        <w:t>فريق الدولي</w:t>
      </w:r>
      <w:r>
        <w:rPr>
          <w:rFonts w:hint="cs"/>
          <w:rtl/>
        </w:rPr>
        <w:t xml:space="preserve"> المعني بالموارد،</w:t>
      </w:r>
      <w:r w:rsidRPr="00A47263">
        <w:rPr>
          <w:rFonts w:hint="cs"/>
          <w:rtl/>
        </w:rPr>
        <w:t xml:space="preserve"> وشبكة الكوكب </w:t>
      </w:r>
      <w:r>
        <w:rPr>
          <w:rFonts w:hint="cs"/>
          <w:rtl/>
        </w:rPr>
        <w:t>الواحد،</w:t>
      </w:r>
      <w:r w:rsidRPr="00A47263">
        <w:rPr>
          <w:rFonts w:hint="cs"/>
          <w:rtl/>
        </w:rPr>
        <w:t xml:space="preserve"> والمنتدى الاقتصادي العالمي</w:t>
      </w:r>
      <w:r>
        <w:rPr>
          <w:rFonts w:hint="cs"/>
          <w:rtl/>
        </w:rPr>
        <w:t>،</w:t>
      </w:r>
      <w:r w:rsidRPr="00A47263">
        <w:rPr>
          <w:rFonts w:hint="cs"/>
          <w:rtl/>
        </w:rPr>
        <w:t xml:space="preserve"> </w:t>
      </w:r>
      <w:r>
        <w:rPr>
          <w:rFonts w:hint="cs"/>
          <w:rtl/>
        </w:rPr>
        <w:t>والاتفاق</w:t>
      </w:r>
      <w:r w:rsidRPr="00A47263">
        <w:rPr>
          <w:rFonts w:hint="cs"/>
          <w:rtl/>
        </w:rPr>
        <w:t xml:space="preserve"> العالمي للأمم المتحدة</w:t>
      </w:r>
      <w:r>
        <w:rPr>
          <w:rFonts w:hint="cs"/>
          <w:rtl/>
        </w:rPr>
        <w:t>،</w:t>
      </w:r>
      <w:r w:rsidRPr="00A47263">
        <w:rPr>
          <w:rFonts w:hint="cs"/>
          <w:rtl/>
        </w:rPr>
        <w:t xml:space="preserve"> </w:t>
      </w:r>
      <w:r>
        <w:rPr>
          <w:rFonts w:hint="cs"/>
          <w:rtl/>
        </w:rPr>
        <w:t xml:space="preserve">وشعبة الإحصاءات في الأمم المتحدة، </w:t>
      </w:r>
      <w:r w:rsidRPr="00A47263">
        <w:rPr>
          <w:rFonts w:hint="cs"/>
          <w:rtl/>
        </w:rPr>
        <w:t>والمجلس الدولي</w:t>
      </w:r>
      <w:r>
        <w:rPr>
          <w:rFonts w:hint="cs"/>
          <w:rtl/>
        </w:rPr>
        <w:t xml:space="preserve"> للإبلاغ المتكامل، </w:t>
      </w:r>
      <w:r w:rsidRPr="00A47263">
        <w:rPr>
          <w:rFonts w:hint="cs"/>
          <w:rtl/>
        </w:rPr>
        <w:t>وائتلاف رأس المال الطبيعي</w:t>
      </w:r>
      <w:r>
        <w:rPr>
          <w:rFonts w:hint="cs"/>
          <w:rtl/>
        </w:rPr>
        <w:t xml:space="preserve"> وفريقه العامل </w:t>
      </w:r>
      <w:r w:rsidRPr="00A47263">
        <w:rPr>
          <w:rFonts w:hint="cs"/>
          <w:rtl/>
        </w:rPr>
        <w:t>المع</w:t>
      </w:r>
      <w:r>
        <w:rPr>
          <w:rFonts w:hint="cs"/>
          <w:rtl/>
        </w:rPr>
        <w:t>ني بالتنوع البيولوجي، والمبادرة العالمية للإبلاغ</w:t>
      </w:r>
      <w:r w:rsidRPr="00A47263">
        <w:rPr>
          <w:rFonts w:hint="cs"/>
          <w:rtl/>
        </w:rPr>
        <w:t xml:space="preserve">، </w:t>
      </w:r>
      <w:r>
        <w:rPr>
          <w:rFonts w:hint="cs"/>
          <w:rtl/>
        </w:rPr>
        <w:t>وغيرها</w:t>
      </w:r>
      <w:r w:rsidRPr="00A47263">
        <w:rPr>
          <w:rFonts w:hint="cs"/>
          <w:rtl/>
        </w:rPr>
        <w:t>؛</w:t>
      </w:r>
    </w:p>
    <w:p w:rsidR="00ED48E1" w:rsidRPr="006A696F" w:rsidRDefault="00ED48E1" w:rsidP="00ED48E1">
      <w:pPr>
        <w:spacing w:line="204" w:lineRule="auto"/>
        <w:ind w:firstLine="720"/>
        <w:rPr>
          <w:rtl/>
        </w:rPr>
      </w:pPr>
      <w:r w:rsidRPr="006A696F">
        <w:rPr>
          <w:rFonts w:hint="cs"/>
          <w:rtl/>
        </w:rPr>
        <w:t>2-</w:t>
      </w:r>
      <w:r w:rsidRPr="006A696F">
        <w:rPr>
          <w:rFonts w:hint="cs"/>
          <w:rtl/>
        </w:rPr>
        <w:tab/>
      </w:r>
      <w:r>
        <w:rPr>
          <w:rFonts w:hint="cs"/>
          <w:rtl/>
        </w:rPr>
        <w:t>و</w:t>
      </w:r>
      <w:r w:rsidRPr="006A696F">
        <w:rPr>
          <w:rFonts w:hint="cs"/>
          <w:rtl/>
        </w:rPr>
        <w:t>مع ملاحظة أن المزيد من تحديد النطاق وتحديد أولويات احتياجات الاتفاقية ستنشأ من إعداد وتنفيذ الإطار العالمي للتنوع البيولوجي لما بعد عام 2020، يدعى أيضا المنبر الحكومي الدولي للعلوم والسياسات في مجال التنوع البيولوجي وخدمات النظم الإيكولوجية إلى الأخذ في الحسبان الطلبات الأولية التالية لبرنامج عمله المتجدد حتى عام 2030:</w:t>
      </w:r>
    </w:p>
    <w:p w:rsidR="00ED48E1" w:rsidRPr="006A696F" w:rsidRDefault="00ED48E1" w:rsidP="00ED48E1">
      <w:pPr>
        <w:spacing w:line="204" w:lineRule="auto"/>
        <w:ind w:firstLine="720"/>
        <w:rPr>
          <w:rtl/>
        </w:rPr>
      </w:pPr>
      <w:r w:rsidRPr="006A696F">
        <w:rPr>
          <w:rFonts w:hint="cs"/>
          <w:rtl/>
        </w:rPr>
        <w:t>(أ)</w:t>
      </w:r>
      <w:r w:rsidRPr="006A696F">
        <w:rPr>
          <w:rFonts w:hint="cs"/>
          <w:rtl/>
        </w:rPr>
        <w:tab/>
      </w:r>
      <w:r w:rsidRPr="006A696F">
        <w:rPr>
          <w:rtl/>
        </w:rPr>
        <w:t>فهم وتقييم المحددات السلوكية والاجتماعية والاقتصادية والمؤسسية والتقنية والتكنولوجية للتغير التحولي، وكيف يمكن نشرها لتحقيق رؤية</w:t>
      </w:r>
      <w:r w:rsidRPr="006A696F">
        <w:rPr>
          <w:rFonts w:hint="cs"/>
          <w:rtl/>
        </w:rPr>
        <w:t xml:space="preserve"> عام 2050 للتنوع البيولوجي</w:t>
      </w:r>
      <w:r w:rsidRPr="006A696F">
        <w:rPr>
          <w:rtl/>
        </w:rPr>
        <w:t>؛</w:t>
      </w:r>
    </w:p>
    <w:p w:rsidR="00ED48E1" w:rsidRPr="006A696F" w:rsidRDefault="00ED48E1" w:rsidP="00ED48E1">
      <w:pPr>
        <w:spacing w:line="204" w:lineRule="auto"/>
        <w:ind w:firstLine="720"/>
        <w:rPr>
          <w:rtl/>
        </w:rPr>
      </w:pPr>
      <w:r w:rsidRPr="006A696F">
        <w:rPr>
          <w:rFonts w:hint="cs"/>
          <w:rtl/>
        </w:rPr>
        <w:t>(ب)</w:t>
      </w:r>
      <w:r w:rsidRPr="006A696F">
        <w:rPr>
          <w:rFonts w:hint="cs"/>
          <w:rtl/>
        </w:rPr>
        <w:tab/>
        <w:t>إعداد نهج متعدد التخصصات لفهم التفاعلات للمحركات المباشرة وغير المباشرة لفقدان التنوع البيولوجي؛</w:t>
      </w:r>
    </w:p>
    <w:p w:rsidR="00ED48E1" w:rsidRPr="006A696F" w:rsidRDefault="00ED48E1" w:rsidP="00ED48E1">
      <w:pPr>
        <w:spacing w:line="204" w:lineRule="auto"/>
        <w:ind w:firstLine="720"/>
        <w:rPr>
          <w:rtl/>
        </w:rPr>
      </w:pPr>
      <w:r w:rsidRPr="006A696F">
        <w:rPr>
          <w:rFonts w:hint="cs"/>
          <w:rtl/>
        </w:rPr>
        <w:t>(ج)</w:t>
      </w:r>
      <w:r w:rsidRPr="006A696F">
        <w:rPr>
          <w:rFonts w:hint="cs"/>
          <w:rtl/>
        </w:rPr>
        <w:tab/>
      </w:r>
      <w:r w:rsidRPr="006A696F">
        <w:rPr>
          <w:rtl/>
        </w:rPr>
        <w:t xml:space="preserve">تقييم </w:t>
      </w:r>
      <w:r w:rsidRPr="006A696F">
        <w:rPr>
          <w:rFonts w:hint="cs"/>
          <w:rtl/>
        </w:rPr>
        <w:t xml:space="preserve">المسائل </w:t>
      </w:r>
      <w:r>
        <w:rPr>
          <w:rFonts w:hint="cs"/>
          <w:rtl/>
        </w:rPr>
        <w:t>المترابطة</w:t>
      </w:r>
      <w:r w:rsidRPr="006A696F">
        <w:rPr>
          <w:rtl/>
        </w:rPr>
        <w:t xml:space="preserve"> بين التنوع البيولوجي</w:t>
      </w:r>
      <w:r w:rsidRPr="006A696F">
        <w:rPr>
          <w:rFonts w:hint="cs"/>
          <w:rtl/>
        </w:rPr>
        <w:t>،</w:t>
      </w:r>
      <w:r w:rsidRPr="006A696F">
        <w:rPr>
          <w:rtl/>
        </w:rPr>
        <w:t xml:space="preserve"> والأغذية والمياه</w:t>
      </w:r>
      <w:r w:rsidRPr="006A696F">
        <w:rPr>
          <w:rFonts w:hint="cs"/>
          <w:rtl/>
        </w:rPr>
        <w:t>،</w:t>
      </w:r>
      <w:r w:rsidRPr="006A696F">
        <w:rPr>
          <w:rtl/>
        </w:rPr>
        <w:t xml:space="preserve"> والزراعة والصحة</w:t>
      </w:r>
      <w:r>
        <w:rPr>
          <w:rFonts w:hint="cs"/>
          <w:rtl/>
        </w:rPr>
        <w:t>،</w:t>
      </w:r>
      <w:r w:rsidRPr="006A696F">
        <w:rPr>
          <w:rtl/>
        </w:rPr>
        <w:t xml:space="preserve"> والتغذية</w:t>
      </w:r>
      <w:r>
        <w:rPr>
          <w:rFonts w:hint="cs"/>
          <w:rtl/>
        </w:rPr>
        <w:t xml:space="preserve"> والأمن الغذائي</w:t>
      </w:r>
      <w:r w:rsidRPr="006A696F">
        <w:rPr>
          <w:rtl/>
        </w:rPr>
        <w:t xml:space="preserve">، </w:t>
      </w:r>
      <w:r w:rsidRPr="006A696F">
        <w:rPr>
          <w:rFonts w:hint="cs"/>
          <w:rtl/>
        </w:rPr>
        <w:t xml:space="preserve">والحراجة ومصايد الأسماك، </w:t>
      </w:r>
      <w:r w:rsidRPr="006A696F">
        <w:rPr>
          <w:rtl/>
        </w:rPr>
        <w:t xml:space="preserve">مع النظر في </w:t>
      </w:r>
      <w:r>
        <w:rPr>
          <w:rFonts w:hint="cs"/>
          <w:rtl/>
        </w:rPr>
        <w:t>المفاضلات</w:t>
      </w:r>
      <w:r w:rsidRPr="006A696F">
        <w:rPr>
          <w:rtl/>
        </w:rPr>
        <w:t xml:space="preserve"> بين هذه المجالات وخيارات السياسات ذات الصلة</w:t>
      </w:r>
      <w:r w:rsidRPr="006A696F">
        <w:rPr>
          <w:rFonts w:hint="cs"/>
          <w:rtl/>
        </w:rPr>
        <w:t xml:space="preserve"> فيما يتعلق بالإنتاج والاستهلاك المستدامين، والتلوث والتوسع الحضري</w:t>
      </w:r>
      <w:r w:rsidRPr="006A696F">
        <w:rPr>
          <w:rtl/>
        </w:rPr>
        <w:t>، بما في ذلك الآثار المترتبة على الطاقة والمناخ، مع مراعاة دور التنوع البيولوجي وخدمات النظم الإيكولوجية في معالجة</w:t>
      </w:r>
      <w:r w:rsidRPr="006A696F">
        <w:rPr>
          <w:rFonts w:hint="cs"/>
          <w:rtl/>
        </w:rPr>
        <w:t xml:space="preserve"> أهداف التنمية المستدامة</w:t>
      </w:r>
      <w:r w:rsidRPr="006A696F">
        <w:rPr>
          <w:rtl/>
        </w:rPr>
        <w:t>، بهدف تمكين القرارات التي تدعم السياسات المتسقة والتغير التحولي اللازم لتحقيق رؤية</w:t>
      </w:r>
      <w:r w:rsidRPr="006A696F">
        <w:rPr>
          <w:rFonts w:hint="cs"/>
          <w:rtl/>
        </w:rPr>
        <w:t xml:space="preserve"> عام 2050 للتنوع البيولوجي</w:t>
      </w:r>
      <w:r w:rsidRPr="006A696F">
        <w:rPr>
          <w:rtl/>
        </w:rPr>
        <w:t>؛</w:t>
      </w:r>
    </w:p>
    <w:p w:rsidR="00ED48E1" w:rsidRPr="006A696F" w:rsidRDefault="00ED48E1" w:rsidP="00ED48E1">
      <w:pPr>
        <w:spacing w:line="204" w:lineRule="auto"/>
        <w:ind w:firstLine="720"/>
        <w:rPr>
          <w:rtl/>
        </w:rPr>
      </w:pPr>
      <w:r w:rsidRPr="006A696F">
        <w:rPr>
          <w:rFonts w:hint="cs"/>
          <w:rtl/>
        </w:rPr>
        <w:t>(د)</w:t>
      </w:r>
      <w:r w:rsidRPr="006A696F">
        <w:rPr>
          <w:rFonts w:hint="cs"/>
          <w:rtl/>
        </w:rPr>
        <w:tab/>
      </w:r>
      <w:r w:rsidRPr="006A696F">
        <w:rPr>
          <w:rtl/>
        </w:rPr>
        <w:t xml:space="preserve">إجراء تقييمات منهجية </w:t>
      </w:r>
      <w:r w:rsidRPr="006A696F">
        <w:rPr>
          <w:rFonts w:hint="cs"/>
          <w:rtl/>
        </w:rPr>
        <w:t>ل</w:t>
      </w:r>
      <w:r w:rsidRPr="006A696F">
        <w:rPr>
          <w:rtl/>
        </w:rPr>
        <w:t xml:space="preserve">فعالية أدوات السياسات المختلفة وأدوات دعم السياسات والتخطيط، </w:t>
      </w:r>
      <w:r w:rsidRPr="006A696F">
        <w:rPr>
          <w:rFonts w:hint="cs"/>
          <w:rtl/>
        </w:rPr>
        <w:t xml:space="preserve">لفهم كيفية تحقيق التغير التحولي، </w:t>
      </w:r>
      <w:r w:rsidRPr="006A696F">
        <w:rPr>
          <w:rtl/>
        </w:rPr>
        <w:t>و</w:t>
      </w:r>
      <w:r w:rsidRPr="006A696F">
        <w:rPr>
          <w:rFonts w:hint="cs"/>
          <w:rtl/>
        </w:rPr>
        <w:t>ل</w:t>
      </w:r>
      <w:r w:rsidRPr="006A696F">
        <w:rPr>
          <w:rtl/>
        </w:rPr>
        <w:t xml:space="preserve">توصيف </w:t>
      </w:r>
      <w:r w:rsidRPr="006A696F">
        <w:rPr>
          <w:rFonts w:hint="cs"/>
          <w:rtl/>
        </w:rPr>
        <w:t xml:space="preserve">وتقدير </w:t>
      </w:r>
      <w:r w:rsidRPr="006A696F">
        <w:rPr>
          <w:rtl/>
        </w:rPr>
        <w:t>ال</w:t>
      </w:r>
      <w:r w:rsidRPr="006A696F">
        <w:rPr>
          <w:rFonts w:hint="cs"/>
          <w:rtl/>
        </w:rPr>
        <w:t>نُهج</w:t>
      </w:r>
      <w:r w:rsidRPr="006A696F">
        <w:rPr>
          <w:rtl/>
        </w:rPr>
        <w:t xml:space="preserve"> والحالات الناجحة لحفظ </w:t>
      </w:r>
      <w:r w:rsidRPr="006A696F">
        <w:rPr>
          <w:rFonts w:hint="cs"/>
          <w:rtl/>
        </w:rPr>
        <w:t>ا</w:t>
      </w:r>
      <w:r w:rsidRPr="006A696F">
        <w:rPr>
          <w:rtl/>
        </w:rPr>
        <w:t>لتنوع البيولوجي</w:t>
      </w:r>
      <w:r>
        <w:rPr>
          <w:rFonts w:hint="cs"/>
          <w:rtl/>
        </w:rPr>
        <w:t xml:space="preserve"> واستخدامه المستدام، وتأثيراتها</w:t>
      </w:r>
      <w:r w:rsidRPr="006A696F">
        <w:rPr>
          <w:rtl/>
        </w:rPr>
        <w:t>؛</w:t>
      </w:r>
    </w:p>
    <w:p w:rsidR="00ED48E1" w:rsidRDefault="00ED48E1" w:rsidP="005C478D">
      <w:pPr>
        <w:ind w:firstLine="720"/>
      </w:pPr>
      <w:bookmarkStart w:id="206" w:name="_Toc6071641"/>
      <w:r w:rsidRPr="006A696F">
        <w:rPr>
          <w:rFonts w:hint="cs"/>
          <w:rtl/>
        </w:rPr>
        <w:t>(</w:t>
      </w:r>
      <w:r>
        <w:rPr>
          <w:rFonts w:hint="cs"/>
          <w:rtl/>
        </w:rPr>
        <w:t>ه</w:t>
      </w:r>
      <w:r w:rsidRPr="006A696F">
        <w:rPr>
          <w:rFonts w:hint="cs"/>
          <w:rtl/>
        </w:rPr>
        <w:t>)</w:t>
      </w:r>
      <w:r w:rsidRPr="006A696F">
        <w:rPr>
          <w:rFonts w:hint="cs"/>
          <w:rtl/>
        </w:rPr>
        <w:tab/>
        <w:t xml:space="preserve">تقييم الآثار الإيجابية والسلبية المحتملة للقطاعات الإنتاجية وإجراء تقييم منهجي للمعايير </w:t>
      </w:r>
      <w:r w:rsidRPr="006A696F">
        <w:rPr>
          <w:rtl/>
        </w:rPr>
        <w:t>والمقاييس والمؤشرات</w:t>
      </w:r>
      <w:r w:rsidRPr="006A696F">
        <w:rPr>
          <w:rFonts w:hint="cs"/>
          <w:rtl/>
        </w:rPr>
        <w:t xml:space="preserve"> ل</w:t>
      </w:r>
      <w:r w:rsidRPr="006A696F">
        <w:rPr>
          <w:rtl/>
        </w:rPr>
        <w:t xml:space="preserve">تأثيرات </w:t>
      </w:r>
      <w:r w:rsidRPr="006A696F">
        <w:rPr>
          <w:rFonts w:hint="cs"/>
          <w:rtl/>
        </w:rPr>
        <w:t>القطاعات الإنتاجية</w:t>
      </w:r>
      <w:r w:rsidRPr="006A696F">
        <w:rPr>
          <w:rtl/>
        </w:rPr>
        <w:t xml:space="preserve"> على التنوع البيولوجي وخدمات النظم الإيكولوجية</w:t>
      </w:r>
      <w:r w:rsidRPr="006A696F">
        <w:rPr>
          <w:rFonts w:hint="cs"/>
          <w:rtl/>
        </w:rPr>
        <w:t xml:space="preserve"> فضلا عن المنافع المشتقة من التنوع البيولوجي وخدمات النظم الإيكولوجية،</w:t>
      </w:r>
      <w:r w:rsidRPr="006A696F">
        <w:rPr>
          <w:rtl/>
        </w:rPr>
        <w:t xml:space="preserve"> لتمكين </w:t>
      </w:r>
      <w:r w:rsidRPr="006A696F">
        <w:rPr>
          <w:rFonts w:hint="cs"/>
          <w:rtl/>
        </w:rPr>
        <w:t>الأعمال التجارية</w:t>
      </w:r>
      <w:r w:rsidRPr="006A696F">
        <w:rPr>
          <w:rtl/>
        </w:rPr>
        <w:t xml:space="preserve"> من الحد من هذه التأثيرات </w:t>
      </w:r>
      <w:r w:rsidRPr="006A696F">
        <w:rPr>
          <w:rFonts w:hint="cs"/>
          <w:rtl/>
        </w:rPr>
        <w:t xml:space="preserve">السلبية </w:t>
      </w:r>
      <w:r w:rsidRPr="006A696F">
        <w:rPr>
          <w:rtl/>
        </w:rPr>
        <w:t>وتعزيز الاتساق في التقييم والإبلاغ</w:t>
      </w:r>
      <w:r w:rsidRPr="006A696F">
        <w:rPr>
          <w:rFonts w:hint="cs"/>
          <w:rtl/>
        </w:rPr>
        <w:t>، مع مراعاة الضغوط المباشرة وغير المباشرة على التنوع البيولوجي، فضلا عن الترابط بينها.</w:t>
      </w:r>
      <w:bookmarkEnd w:id="206"/>
    </w:p>
    <w:p w:rsidR="00516FD0" w:rsidRPr="00ED48E1" w:rsidRDefault="00516FD0" w:rsidP="001D61EA">
      <w:pPr>
        <w:spacing w:after="0" w:line="240" w:lineRule="auto"/>
        <w:jc w:val="left"/>
        <w:rPr>
          <w:sz w:val="24"/>
          <w:rtl/>
        </w:rPr>
      </w:pPr>
    </w:p>
    <w:p w:rsidR="00516FD0" w:rsidRDefault="00516FD0" w:rsidP="00516FD0">
      <w:pPr>
        <w:spacing w:after="0" w:line="240" w:lineRule="auto"/>
        <w:jc w:val="left"/>
        <w:rPr>
          <w:b/>
          <w:bCs/>
          <w:sz w:val="24"/>
          <w:rtl/>
        </w:rPr>
      </w:pPr>
      <w:r>
        <w:rPr>
          <w:b/>
          <w:bCs/>
          <w:sz w:val="24"/>
          <w:rtl/>
        </w:rPr>
        <w:br w:type="page"/>
      </w:r>
    </w:p>
    <w:p w:rsidR="00ED48E1" w:rsidRPr="00246CBF" w:rsidRDefault="00ED48E1" w:rsidP="00246CBF">
      <w:pPr>
        <w:pStyle w:val="Heading2"/>
        <w:rPr>
          <w:sz w:val="24"/>
          <w:rtl/>
        </w:rPr>
      </w:pPr>
      <w:bookmarkStart w:id="207" w:name="_Toc6139998"/>
      <w:r w:rsidRPr="00246CBF">
        <w:rPr>
          <w:rFonts w:hint="cs"/>
          <w:sz w:val="24"/>
          <w:rtl/>
        </w:rPr>
        <w:lastRenderedPageBreak/>
        <w:t>المقرر 14/37</w:t>
      </w:r>
      <w:r w:rsidRPr="00246CBF">
        <w:rPr>
          <w:rFonts w:hint="cs"/>
          <w:sz w:val="24"/>
          <w:rtl/>
        </w:rPr>
        <w:tab/>
        <w:t>برنامج العمل المتكامل والميزانية المتكاملة للاتفاقية وبروتوكوليها</w:t>
      </w:r>
      <w:bookmarkEnd w:id="207"/>
    </w:p>
    <w:p w:rsidR="00ED48E1" w:rsidRPr="00A965F6" w:rsidRDefault="00ED48E1" w:rsidP="00ED48E1">
      <w:pPr>
        <w:ind w:firstLine="720"/>
        <w:rPr>
          <w:i/>
          <w:iCs/>
          <w:rtl/>
        </w:rPr>
      </w:pPr>
      <w:r w:rsidRPr="00A965F6">
        <w:rPr>
          <w:rFonts w:hint="cs"/>
          <w:i/>
          <w:iCs/>
          <w:rtl/>
        </w:rPr>
        <w:t>إن مؤتمر الأطراف،</w:t>
      </w:r>
    </w:p>
    <w:p w:rsidR="00ED48E1" w:rsidRDefault="00ED48E1" w:rsidP="00ED48E1">
      <w:pPr>
        <w:ind w:firstLine="720"/>
        <w:rPr>
          <w:rtl/>
        </w:rPr>
      </w:pPr>
      <w:r w:rsidRPr="00A965F6">
        <w:rPr>
          <w:rFonts w:hint="cs"/>
          <w:i/>
          <w:iCs/>
          <w:rtl/>
        </w:rPr>
        <w:t>إذ يشير</w:t>
      </w:r>
      <w:r w:rsidRPr="00A965F6">
        <w:rPr>
          <w:rFonts w:hint="cs"/>
          <w:rtl/>
        </w:rPr>
        <w:t xml:space="preserve"> إلى مقرره 13/32، والمقرر 8/7 الصادر عن مؤتمر الأطراف العامل كاجتماع للأطراف في بروتوكول قرطاجنة للسلامة الأحيائية في اجتماعه السابع، والمقرر 1/13 الصادر عن مؤتمر الأطراف العامل كاجتماع للأطراف في بروتوكول ناغويا بشأن الحصول على الموارد الجينية وتقاسم المنافع الناشئة عن استخدامها،</w:t>
      </w:r>
    </w:p>
    <w:p w:rsidR="00ED48E1" w:rsidRDefault="00ED48E1" w:rsidP="00ED48E1">
      <w:pPr>
        <w:ind w:firstLine="720"/>
        <w:rPr>
          <w:rtl/>
        </w:rPr>
      </w:pPr>
      <w:r w:rsidRPr="00A83C07">
        <w:rPr>
          <w:rFonts w:hint="cs"/>
          <w:i/>
          <w:iCs/>
          <w:rtl/>
        </w:rPr>
        <w:t>وإذ يشير أيضا</w:t>
      </w:r>
      <w:r>
        <w:rPr>
          <w:rFonts w:hint="cs"/>
          <w:rtl/>
        </w:rPr>
        <w:t xml:space="preserve"> إلى المقرر 3/1، الذي حدد فيه أن مقترح الميزانية ينبغي أن يوزع قبل 90 يوما قبل اجتماعات مؤتمر الأطراف،</w:t>
      </w:r>
    </w:p>
    <w:p w:rsidR="00ED48E1" w:rsidRPr="00A965F6" w:rsidRDefault="00ED48E1" w:rsidP="00ED48E1">
      <w:pPr>
        <w:ind w:firstLine="720"/>
        <w:rPr>
          <w:rtl/>
        </w:rPr>
      </w:pPr>
      <w:r w:rsidRPr="00A83C07">
        <w:rPr>
          <w:rFonts w:hint="cs"/>
          <w:i/>
          <w:iCs/>
          <w:rtl/>
        </w:rPr>
        <w:t>وإذ يشير</w:t>
      </w:r>
      <w:r w:rsidRPr="000D7A2E">
        <w:rPr>
          <w:rFonts w:hint="cs"/>
          <w:i/>
          <w:iCs/>
          <w:rtl/>
        </w:rPr>
        <w:t xml:space="preserve"> كذلك </w:t>
      </w:r>
      <w:r>
        <w:rPr>
          <w:rFonts w:hint="cs"/>
          <w:rtl/>
        </w:rPr>
        <w:t>إلى القرار 2/18 لجمعية الأمم المتحدة للبيئة بشأن العلاقة بين برنامج الأمم المتحدة للبيئة والاتفاقات البيئية المتعددة الأطراف التي يقدم لها خدمات الأمانة،</w:t>
      </w:r>
    </w:p>
    <w:p w:rsidR="00ED48E1" w:rsidRPr="00A965F6" w:rsidRDefault="00ED48E1" w:rsidP="00CD26C5">
      <w:pPr>
        <w:numPr>
          <w:ilvl w:val="0"/>
          <w:numId w:val="92"/>
        </w:numPr>
        <w:ind w:left="0" w:firstLine="720"/>
      </w:pPr>
      <w:r w:rsidRPr="00A965F6">
        <w:rPr>
          <w:rFonts w:hint="cs"/>
          <w:i/>
          <w:iCs/>
          <w:rtl/>
        </w:rPr>
        <w:t>يقرر</w:t>
      </w:r>
      <w:r w:rsidRPr="00A965F6">
        <w:rPr>
          <w:rFonts w:hint="cs"/>
          <w:rtl/>
        </w:rPr>
        <w:t xml:space="preserve"> اعتماد برنامج عمل متكامل وميزانية متكاملة لاتفاقية التنوع البيولوجي، وبروتوكول قرطاجنة للسلامة الأحيائية وبروتوكول ناغويا بشأن الحصول على الموارد الجينية وتقاسم المنافع؛</w:t>
      </w:r>
    </w:p>
    <w:p w:rsidR="00ED48E1" w:rsidRDefault="00ED48E1" w:rsidP="00CD26C5">
      <w:pPr>
        <w:numPr>
          <w:ilvl w:val="0"/>
          <w:numId w:val="92"/>
        </w:numPr>
        <w:ind w:left="0" w:firstLine="720"/>
      </w:pPr>
      <w:r w:rsidRPr="00A965F6">
        <w:rPr>
          <w:rFonts w:hint="cs"/>
          <w:i/>
          <w:iCs/>
          <w:rtl/>
        </w:rPr>
        <w:t>يقرر أيضا</w:t>
      </w:r>
      <w:r w:rsidRPr="00A965F6">
        <w:rPr>
          <w:rFonts w:hint="cs"/>
          <w:rtl/>
        </w:rPr>
        <w:t xml:space="preserve"> تقاسم جميع تكاليف خدمات الأمانة بين الاتفاقية، وبروتوكول قرطاجنة وبروتوكول ناغويا بنسبة </w:t>
      </w:r>
      <w:r>
        <w:t>74</w:t>
      </w:r>
      <w:r>
        <w:rPr>
          <w:rFonts w:hint="cs"/>
          <w:rtl/>
        </w:rPr>
        <w:t>:15:</w:t>
      </w:r>
      <w:r>
        <w:t xml:space="preserve"> 11</w:t>
      </w:r>
      <w:r w:rsidRPr="00A965F6">
        <w:rPr>
          <w:rFonts w:hint="cs"/>
          <w:rtl/>
        </w:rPr>
        <w:t xml:space="preserve"> لفترة السنتين 2019-2020؛</w:t>
      </w:r>
    </w:p>
    <w:p w:rsidR="00ED48E1" w:rsidRPr="00A965F6" w:rsidRDefault="00ED48E1" w:rsidP="00CD26C5">
      <w:pPr>
        <w:numPr>
          <w:ilvl w:val="0"/>
          <w:numId w:val="92"/>
        </w:numPr>
        <w:ind w:left="0" w:firstLine="720"/>
      </w:pPr>
      <w:r>
        <w:rPr>
          <w:rFonts w:hint="cs"/>
          <w:i/>
          <w:iCs/>
          <w:rtl/>
        </w:rPr>
        <w:t xml:space="preserve">يلاحظ </w:t>
      </w:r>
      <w:r>
        <w:rPr>
          <w:rFonts w:hint="cs"/>
          <w:rtl/>
        </w:rPr>
        <w:t xml:space="preserve">أن بروتوكول ناغويا </w:t>
      </w:r>
      <w:r>
        <w:rPr>
          <w:rtl/>
        </w:rPr>
        <w:t>–</w:t>
      </w:r>
      <w:r>
        <w:rPr>
          <w:rFonts w:hint="cs"/>
          <w:rtl/>
        </w:rPr>
        <w:t xml:space="preserve"> كوالالمبور التكميلي بشأن المسؤولية والجبر التعويضي قد دخل حيز النفاذ في مايو/أيار 2018 </w:t>
      </w:r>
      <w:r w:rsidRPr="00165D1C">
        <w:rPr>
          <w:rFonts w:hint="cs"/>
          <w:i/>
          <w:iCs/>
          <w:rtl/>
        </w:rPr>
        <w:t>ويقر</w:t>
      </w:r>
      <w:r>
        <w:rPr>
          <w:rFonts w:hint="cs"/>
          <w:rtl/>
        </w:rPr>
        <w:t xml:space="preserve"> بأن برنامج عمله لن يتطلب تمويلا أساسيا، وأن أي أموال لازمة لدعم أنشطة الأمانة فيما يتعلق بالبروتوكول التكميلي، لفترة السنتين 2019-2020 سيتم تمويلها بواسطة الأطراف؛</w:t>
      </w:r>
    </w:p>
    <w:p w:rsidR="00ED48E1" w:rsidRDefault="00ED48E1" w:rsidP="00CD26C5">
      <w:pPr>
        <w:numPr>
          <w:ilvl w:val="0"/>
          <w:numId w:val="92"/>
        </w:numPr>
        <w:ind w:left="0" w:firstLine="720"/>
      </w:pPr>
      <w:r w:rsidRPr="00E74BAD">
        <w:rPr>
          <w:rFonts w:hint="cs"/>
          <w:i/>
          <w:iCs/>
          <w:rtl/>
        </w:rPr>
        <w:t>ي</w:t>
      </w:r>
      <w:r>
        <w:rPr>
          <w:rFonts w:hint="cs"/>
          <w:i/>
          <w:iCs/>
          <w:rtl/>
        </w:rPr>
        <w:t>شير</w:t>
      </w:r>
      <w:r>
        <w:rPr>
          <w:rFonts w:hint="cs"/>
          <w:rtl/>
        </w:rPr>
        <w:t xml:space="preserve"> إلى توصية مكتب خدمات الرقابة الداخلية في تقريره عن المراجعة، على النحو الوارد في الفقرات من 21 إلى 24 من الوثيقة </w:t>
      </w:r>
      <w:r w:rsidRPr="00BB2B43">
        <w:rPr>
          <w:rFonts w:eastAsia="Malgun Gothic"/>
          <w:iCs/>
          <w:color w:val="000000"/>
          <w:kern w:val="18"/>
          <w:lang w:val="en-GB" w:eastAsia="ko-KR"/>
        </w:rPr>
        <w:t>UNEP/CBD/COP/12/INF/49</w:t>
      </w:r>
      <w:r>
        <w:rPr>
          <w:rFonts w:hint="cs"/>
          <w:rtl/>
        </w:rPr>
        <w:t>، بأن احتياطي رأس المال العامل ينبغي الإبقاء عليه عند مستوى 15 في المائة من المصروفات السنوية المقررة</w:t>
      </w:r>
      <w:r>
        <w:rPr>
          <w:rFonts w:cs="Times New Roman" w:hint="cs"/>
          <w:szCs w:val="22"/>
          <w:rtl/>
        </w:rPr>
        <w:t>؛</w:t>
      </w:r>
    </w:p>
    <w:p w:rsidR="00ED48E1" w:rsidRDefault="00ED48E1" w:rsidP="00CD26C5">
      <w:pPr>
        <w:numPr>
          <w:ilvl w:val="0"/>
          <w:numId w:val="92"/>
        </w:numPr>
        <w:ind w:left="0" w:firstLine="720"/>
      </w:pPr>
      <w:r w:rsidRPr="00E74BAD">
        <w:rPr>
          <w:rFonts w:hint="cs"/>
          <w:i/>
          <w:iCs/>
          <w:rtl/>
        </w:rPr>
        <w:t>يطلب إلى</w:t>
      </w:r>
      <w:r>
        <w:rPr>
          <w:rFonts w:hint="cs"/>
          <w:rtl/>
        </w:rPr>
        <w:t xml:space="preserve"> الأمينة التنفيذية أن تبلغ المكتب وتزوده بجميع المعلومات اللازمة، بما في ذلك فيما يتعلق بتطبيق الترتيبات الإدارية بين برنامج الأمم المتحدة للبيئة وأمانة اتفاقية التنوع البيولوجي، من أجل ضمان الدور الإرشادي للمكتب فيما يتعلق بالتحضيرات لاجتماعات مؤتمر الأطراف وإجراؤها؛</w:t>
      </w:r>
    </w:p>
    <w:p w:rsidR="00ED48E1" w:rsidRDefault="00ED48E1" w:rsidP="00CD26C5">
      <w:pPr>
        <w:numPr>
          <w:ilvl w:val="0"/>
          <w:numId w:val="92"/>
        </w:numPr>
        <w:ind w:left="0" w:firstLine="720"/>
      </w:pPr>
      <w:r w:rsidRPr="00A965F6">
        <w:rPr>
          <w:rFonts w:hint="cs"/>
          <w:i/>
          <w:iCs/>
          <w:rtl/>
        </w:rPr>
        <w:t>يعتمد</w:t>
      </w:r>
      <w:r w:rsidRPr="00A965F6">
        <w:rPr>
          <w:rFonts w:hint="cs"/>
          <w:rtl/>
        </w:rPr>
        <w:t xml:space="preserve"> ميزانية برنامجية أساسية</w:t>
      </w:r>
      <w:r w:rsidRPr="00A965F6">
        <w:rPr>
          <w:rFonts w:hint="cs"/>
        </w:rPr>
        <w:t xml:space="preserve"> (BY) </w:t>
      </w:r>
      <w:r w:rsidRPr="00A965F6">
        <w:rPr>
          <w:rFonts w:hint="cs"/>
          <w:rtl/>
        </w:rPr>
        <w:t>للاتفاقية بمبلغ</w:t>
      </w:r>
      <w:r w:rsidRPr="00A965F6">
        <w:rPr>
          <w:rFonts w:eastAsia="Malgun Gothic"/>
          <w:iCs/>
          <w:kern w:val="22"/>
        </w:rPr>
        <w:t xml:space="preserve"> </w:t>
      </w:r>
      <w:r>
        <w:rPr>
          <w:rFonts w:eastAsia="Malgun Gothic" w:hint="cs"/>
          <w:i/>
          <w:kern w:val="22"/>
          <w:rtl/>
        </w:rPr>
        <w:t>190</w:t>
      </w:r>
      <w:r>
        <w:rPr>
          <w:rFonts w:eastAsia="Malgun Gothic" w:hint="eastAsia"/>
          <w:i/>
          <w:kern w:val="22"/>
          <w:rtl/>
        </w:rPr>
        <w:t> </w:t>
      </w:r>
      <w:r>
        <w:rPr>
          <w:rFonts w:eastAsia="Malgun Gothic" w:hint="cs"/>
          <w:i/>
          <w:kern w:val="22"/>
          <w:rtl/>
        </w:rPr>
        <w:t>022</w:t>
      </w:r>
      <w:r>
        <w:rPr>
          <w:rFonts w:eastAsia="Malgun Gothic" w:hint="eastAsia"/>
          <w:i/>
          <w:kern w:val="22"/>
          <w:rtl/>
        </w:rPr>
        <w:t> </w:t>
      </w:r>
      <w:r>
        <w:rPr>
          <w:rFonts w:eastAsia="Malgun Gothic" w:hint="cs"/>
          <w:i/>
          <w:kern w:val="22"/>
          <w:rtl/>
        </w:rPr>
        <w:t>14</w:t>
      </w:r>
      <w:r w:rsidRPr="00A965F6">
        <w:rPr>
          <w:rFonts w:hint="cs"/>
        </w:rPr>
        <w:t xml:space="preserve"> </w:t>
      </w:r>
      <w:r w:rsidRPr="00A965F6">
        <w:rPr>
          <w:rFonts w:hint="cs"/>
          <w:rtl/>
        </w:rPr>
        <w:t>دولار من دولارات الولايات المتحدة ل</w:t>
      </w:r>
      <w:r>
        <w:rPr>
          <w:rFonts w:hint="cs"/>
          <w:rtl/>
        </w:rPr>
        <w:t>سنة</w:t>
      </w:r>
      <w:r w:rsidRPr="00A965F6">
        <w:rPr>
          <w:rFonts w:hint="cs"/>
          <w:rtl/>
        </w:rPr>
        <w:t xml:space="preserve"> 2019 وبمبلغ</w:t>
      </w:r>
      <w:r w:rsidRPr="00A965F6">
        <w:rPr>
          <w:rFonts w:eastAsia="Malgun Gothic"/>
          <w:iCs/>
          <w:kern w:val="22"/>
        </w:rPr>
        <w:t xml:space="preserve"> </w:t>
      </w:r>
      <w:r>
        <w:rPr>
          <w:rFonts w:eastAsia="Malgun Gothic" w:hint="cs"/>
          <w:i/>
          <w:kern w:val="22"/>
          <w:rtl/>
        </w:rPr>
        <w:t>420</w:t>
      </w:r>
      <w:r>
        <w:rPr>
          <w:rFonts w:eastAsia="Malgun Gothic" w:hint="eastAsia"/>
          <w:i/>
          <w:kern w:val="22"/>
          <w:rtl/>
        </w:rPr>
        <w:t> </w:t>
      </w:r>
      <w:r>
        <w:rPr>
          <w:rFonts w:eastAsia="Malgun Gothic" w:hint="cs"/>
          <w:i/>
          <w:kern w:val="22"/>
          <w:rtl/>
        </w:rPr>
        <w:t>722</w:t>
      </w:r>
      <w:r>
        <w:rPr>
          <w:rFonts w:eastAsia="Malgun Gothic" w:hint="eastAsia"/>
          <w:i/>
          <w:kern w:val="22"/>
          <w:rtl/>
        </w:rPr>
        <w:t> </w:t>
      </w:r>
      <w:r>
        <w:rPr>
          <w:rFonts w:eastAsia="Malgun Gothic" w:hint="cs"/>
          <w:i/>
          <w:kern w:val="22"/>
          <w:rtl/>
        </w:rPr>
        <w:t>14</w:t>
      </w:r>
      <w:r w:rsidRPr="00A965F6">
        <w:rPr>
          <w:rFonts w:eastAsia="Malgun Gothic" w:hint="cs"/>
          <w:i/>
          <w:kern w:val="22"/>
          <w:rtl/>
        </w:rPr>
        <w:t xml:space="preserve"> </w:t>
      </w:r>
      <w:r w:rsidRPr="00A965F6">
        <w:rPr>
          <w:rFonts w:hint="cs"/>
          <w:i/>
          <w:rtl/>
        </w:rPr>
        <w:t xml:space="preserve">دولار من دولارات </w:t>
      </w:r>
      <w:r w:rsidRPr="00A965F6">
        <w:rPr>
          <w:rFonts w:hint="cs"/>
          <w:rtl/>
        </w:rPr>
        <w:t>الولايات المتحدة ل</w:t>
      </w:r>
      <w:r>
        <w:rPr>
          <w:rFonts w:hint="cs"/>
          <w:rtl/>
        </w:rPr>
        <w:t>سنة</w:t>
      </w:r>
      <w:r w:rsidRPr="00A965F6">
        <w:rPr>
          <w:rFonts w:hint="cs"/>
          <w:rtl/>
        </w:rPr>
        <w:t xml:space="preserve"> 2020، وهو ما يمثل </w:t>
      </w:r>
      <w:r>
        <w:rPr>
          <w:rFonts w:hint="cs"/>
          <w:rtl/>
        </w:rPr>
        <w:t>74</w:t>
      </w:r>
      <w:r w:rsidRPr="00A965F6">
        <w:rPr>
          <w:rFonts w:hint="cs"/>
          <w:rtl/>
        </w:rPr>
        <w:t xml:space="preserve"> في المائة من الميزانية المتكاملة البالغة </w:t>
      </w:r>
      <w:r>
        <w:rPr>
          <w:rFonts w:hint="cs"/>
          <w:rtl/>
        </w:rPr>
        <w:t>900</w:t>
      </w:r>
      <w:r>
        <w:rPr>
          <w:rFonts w:hint="eastAsia"/>
          <w:rtl/>
        </w:rPr>
        <w:t> </w:t>
      </w:r>
      <w:r>
        <w:rPr>
          <w:rFonts w:hint="cs"/>
          <w:rtl/>
        </w:rPr>
        <w:t>948</w:t>
      </w:r>
      <w:r>
        <w:rPr>
          <w:rFonts w:hint="eastAsia"/>
          <w:rtl/>
        </w:rPr>
        <w:t> </w:t>
      </w:r>
      <w:r>
        <w:rPr>
          <w:rFonts w:hint="cs"/>
          <w:rtl/>
        </w:rPr>
        <w:t>18</w:t>
      </w:r>
      <w:r w:rsidRPr="00A965F6">
        <w:rPr>
          <w:rFonts w:hint="cs"/>
          <w:rtl/>
        </w:rPr>
        <w:t xml:space="preserve"> دولار من دولارات الولايات المتحدة ل</w:t>
      </w:r>
      <w:r>
        <w:rPr>
          <w:rFonts w:hint="cs"/>
          <w:rtl/>
        </w:rPr>
        <w:t>سنة</w:t>
      </w:r>
      <w:r w:rsidRPr="00A965F6">
        <w:rPr>
          <w:rFonts w:hint="cs"/>
          <w:rtl/>
        </w:rPr>
        <w:t xml:space="preserve"> 2019 و</w:t>
      </w:r>
      <w:r>
        <w:rPr>
          <w:rFonts w:hint="cs"/>
          <w:rtl/>
        </w:rPr>
        <w:t>200</w:t>
      </w:r>
      <w:r>
        <w:rPr>
          <w:rFonts w:hint="eastAsia"/>
          <w:rtl/>
        </w:rPr>
        <w:t> </w:t>
      </w:r>
      <w:r>
        <w:rPr>
          <w:rFonts w:hint="cs"/>
          <w:rtl/>
        </w:rPr>
        <w:t>895</w:t>
      </w:r>
      <w:r>
        <w:rPr>
          <w:rFonts w:hint="eastAsia"/>
          <w:rtl/>
        </w:rPr>
        <w:t> </w:t>
      </w:r>
      <w:r>
        <w:rPr>
          <w:rFonts w:hint="cs"/>
          <w:rtl/>
        </w:rPr>
        <w:t>19</w:t>
      </w:r>
      <w:r w:rsidRPr="00A965F6">
        <w:rPr>
          <w:rFonts w:hint="cs"/>
          <w:rtl/>
        </w:rPr>
        <w:t xml:space="preserve"> دولار من دولارات الولايات المتحدة ل</w:t>
      </w:r>
      <w:r>
        <w:rPr>
          <w:rFonts w:hint="cs"/>
          <w:rtl/>
        </w:rPr>
        <w:t>سنة</w:t>
      </w:r>
      <w:r w:rsidRPr="00A965F6">
        <w:rPr>
          <w:rFonts w:hint="cs"/>
          <w:rtl/>
        </w:rPr>
        <w:t xml:space="preserve"> 2020 للاتفاقية والبروتوكولين، للأغراض المذكورة في الجدولين 1- أ و1- ب أدناه؛</w:t>
      </w:r>
    </w:p>
    <w:p w:rsidR="00ED48E1" w:rsidRPr="00A965F6" w:rsidRDefault="00ED48E1" w:rsidP="00CD26C5">
      <w:pPr>
        <w:numPr>
          <w:ilvl w:val="0"/>
          <w:numId w:val="92"/>
        </w:numPr>
        <w:ind w:left="0" w:firstLine="720"/>
      </w:pPr>
      <w:r w:rsidRPr="00E11ED9">
        <w:rPr>
          <w:rFonts w:hint="cs"/>
          <w:i/>
          <w:iCs/>
          <w:rtl/>
        </w:rPr>
        <w:t>يعتمد</w:t>
      </w:r>
      <w:r>
        <w:rPr>
          <w:rFonts w:hint="cs"/>
          <w:rtl/>
        </w:rPr>
        <w:t xml:space="preserve"> استخدام الأرصدة غير المنفقة للصناديق الاستئمانية </w:t>
      </w:r>
      <w:r>
        <w:t>BY</w:t>
      </w:r>
      <w:r>
        <w:rPr>
          <w:rFonts w:hint="cs"/>
          <w:rtl/>
        </w:rPr>
        <w:t xml:space="preserve"> و</w:t>
      </w:r>
      <w:r>
        <w:t>BG</w:t>
      </w:r>
      <w:r>
        <w:rPr>
          <w:rFonts w:hint="cs"/>
          <w:rtl/>
        </w:rPr>
        <w:t xml:space="preserve"> و</w:t>
      </w:r>
      <w:r>
        <w:t>BB</w:t>
      </w:r>
      <w:r>
        <w:rPr>
          <w:rFonts w:hint="cs"/>
          <w:rtl/>
        </w:rPr>
        <w:t xml:space="preserve"> لفترة السنتين 2017-2018 بمبلغ 600 206 3 </w:t>
      </w:r>
      <w:r w:rsidRPr="00A965F6">
        <w:rPr>
          <w:rFonts w:hint="cs"/>
          <w:rtl/>
        </w:rPr>
        <w:t>دولار من دولارات الولايات المتحدة</w:t>
      </w:r>
      <w:r>
        <w:rPr>
          <w:rFonts w:hint="cs"/>
          <w:rtl/>
        </w:rPr>
        <w:t xml:space="preserve"> لتعويض المساهمات من الأطراف في الاتفاقية، وبروتوكول قرطاجنة وبروتوكول ناغويا لفترة السنتين 2019-2020 في المجالات التالية: 300 480 1 </w:t>
      </w:r>
      <w:r w:rsidRPr="00A965F6">
        <w:rPr>
          <w:rFonts w:hint="cs"/>
          <w:rtl/>
        </w:rPr>
        <w:t>دولار من دولارات الولايات المتحدة</w:t>
      </w:r>
      <w:r>
        <w:rPr>
          <w:rFonts w:hint="cs"/>
          <w:rtl/>
        </w:rPr>
        <w:t xml:space="preserve"> لدعم العمل بشأن الاجتماعات الاستثنائية المرتبطة بجدول الأعمال لما بعد عام 2020؛ وخصم مبلغ 300 726 1 </w:t>
      </w:r>
      <w:r w:rsidRPr="00A965F6">
        <w:rPr>
          <w:rFonts w:hint="cs"/>
          <w:rtl/>
        </w:rPr>
        <w:t>دولار من دولارات الولايات المتحدة</w:t>
      </w:r>
      <w:r>
        <w:rPr>
          <w:rFonts w:hint="cs"/>
          <w:rtl/>
        </w:rPr>
        <w:t xml:space="preserve"> من المساهمات في الصناديق الاستئمانية </w:t>
      </w:r>
      <w:r>
        <w:t>BY</w:t>
      </w:r>
      <w:r>
        <w:rPr>
          <w:rFonts w:hint="cs"/>
          <w:rtl/>
        </w:rPr>
        <w:t xml:space="preserve"> و</w:t>
      </w:r>
      <w:r>
        <w:t>BG</w:t>
      </w:r>
      <w:r>
        <w:rPr>
          <w:rFonts w:hint="cs"/>
          <w:rtl/>
        </w:rPr>
        <w:t xml:space="preserve"> و</w:t>
      </w:r>
      <w:r>
        <w:t>BB</w:t>
      </w:r>
      <w:r>
        <w:rPr>
          <w:rFonts w:hint="cs"/>
          <w:rtl/>
        </w:rPr>
        <w:t xml:space="preserve"> لفترة السنتين 2019-2020؛</w:t>
      </w:r>
    </w:p>
    <w:p w:rsidR="00ED48E1" w:rsidRPr="00E74BAD" w:rsidRDefault="00ED48E1" w:rsidP="00CD26C5">
      <w:pPr>
        <w:numPr>
          <w:ilvl w:val="0"/>
          <w:numId w:val="92"/>
        </w:numPr>
        <w:ind w:left="0" w:firstLine="720"/>
      </w:pPr>
      <w:r w:rsidRPr="003217AD">
        <w:rPr>
          <w:rFonts w:hint="cs"/>
          <w:i/>
          <w:iCs/>
          <w:rtl/>
        </w:rPr>
        <w:t>يطلب إلى</w:t>
      </w:r>
      <w:r>
        <w:rPr>
          <w:rFonts w:hint="cs"/>
          <w:rtl/>
        </w:rPr>
        <w:t xml:space="preserve"> الأمينة التنفيذية أن تقلل إلى أدنى حد من نفقات المؤتمرات من خلال حجز مرافق المؤتمرات لجميع اجتماعات الهيئات الفرعية المنعقدة في مونتريال خلال فترة السنتين 2019-2020 من خلال الترتيب التفضيلي </w:t>
      </w:r>
      <w:r>
        <w:rPr>
          <w:rFonts w:hint="cs"/>
          <w:rtl/>
        </w:rPr>
        <w:lastRenderedPageBreak/>
        <w:t xml:space="preserve">لاستعمال المكان مع منظمة الطيران المدني الدولي في أي تاريخ متوافر يكون ملائما للأطراف، وفي الحالات الاستثنائية، التي لا يمكن تحديد توافر هذا المكان، </w:t>
      </w:r>
      <w:r w:rsidRPr="00531C11">
        <w:rPr>
          <w:rFonts w:hint="cs"/>
          <w:i/>
          <w:iCs/>
          <w:rtl/>
        </w:rPr>
        <w:t>يأذن</w:t>
      </w:r>
      <w:r>
        <w:rPr>
          <w:rFonts w:hint="cs"/>
          <w:rtl/>
        </w:rPr>
        <w:t xml:space="preserve"> باستخدام الأرصدة غير المنفقة لإيجار قاعات المؤتمرات الإضافية والنفقات المرتبطة بها لأكثر البدائل المجدية من حيث التكلفة لخيار مكان المؤتمرات؛</w:t>
      </w:r>
    </w:p>
    <w:p w:rsidR="00ED48E1" w:rsidRPr="00A965F6" w:rsidRDefault="00ED48E1" w:rsidP="00CD26C5">
      <w:pPr>
        <w:numPr>
          <w:ilvl w:val="0"/>
          <w:numId w:val="92"/>
        </w:numPr>
        <w:ind w:left="0" w:firstLine="720"/>
      </w:pPr>
      <w:r w:rsidRPr="00E37F40">
        <w:rPr>
          <w:rFonts w:hint="cs"/>
          <w:iCs/>
          <w:rtl/>
        </w:rPr>
        <w:t>ي</w:t>
      </w:r>
      <w:r w:rsidRPr="00E37F40">
        <w:rPr>
          <w:iCs/>
          <w:rtl/>
        </w:rPr>
        <w:t>عرب</w:t>
      </w:r>
      <w:r w:rsidRPr="00E37F40">
        <w:rPr>
          <w:rtl/>
        </w:rPr>
        <w:t xml:space="preserve"> عن تقديره لكندا</w:t>
      </w:r>
      <w:r w:rsidRPr="00A965F6">
        <w:rPr>
          <w:rtl/>
        </w:rPr>
        <w:t xml:space="preserve"> </w:t>
      </w:r>
      <w:r w:rsidRPr="00A965F6">
        <w:rPr>
          <w:rFonts w:hint="cs"/>
          <w:rtl/>
        </w:rPr>
        <w:t>بوصف</w:t>
      </w:r>
      <w:r w:rsidRPr="00A965F6">
        <w:rPr>
          <w:rtl/>
        </w:rPr>
        <w:t xml:space="preserve">ها البلد المضيف على دعمها </w:t>
      </w:r>
      <w:r w:rsidRPr="00A965F6">
        <w:rPr>
          <w:rFonts w:hint="cs"/>
          <w:rtl/>
        </w:rPr>
        <w:t>المع</w:t>
      </w:r>
      <w:r>
        <w:rPr>
          <w:rFonts w:hint="cs"/>
          <w:rtl/>
        </w:rPr>
        <w:t>ز</w:t>
      </w:r>
      <w:r w:rsidRPr="00A965F6">
        <w:rPr>
          <w:rFonts w:hint="cs"/>
          <w:rtl/>
        </w:rPr>
        <w:t xml:space="preserve">ز </w:t>
      </w:r>
      <w:r w:rsidRPr="00A965F6">
        <w:rPr>
          <w:rtl/>
        </w:rPr>
        <w:t>للأمانة</w:t>
      </w:r>
      <w:r>
        <w:rPr>
          <w:rFonts w:hint="cs"/>
          <w:rtl/>
        </w:rPr>
        <w:t>،</w:t>
      </w:r>
      <w:r w:rsidRPr="00A965F6">
        <w:rPr>
          <w:rtl/>
        </w:rPr>
        <w:t xml:space="preserve"> و</w:t>
      </w:r>
      <w:r w:rsidRPr="00A965F6">
        <w:rPr>
          <w:iCs/>
          <w:rtl/>
        </w:rPr>
        <w:t>يرحب</w:t>
      </w:r>
      <w:r w:rsidRPr="00A965F6">
        <w:rPr>
          <w:rtl/>
        </w:rPr>
        <w:t xml:space="preserve"> ب</w:t>
      </w:r>
      <w:r>
        <w:rPr>
          <w:rFonts w:hint="cs"/>
          <w:rtl/>
        </w:rPr>
        <w:t>العملية الجارية بواسطة البلد المضيف، كندا، ومقاطعة كيبيك والأمينة التنفيذية للانتهاء من تمديد منحة البلد المضيف لتغطية نفقات إيجار المقار وتكاليف الأمانة المرتبطة بها في مونتريال، ب</w:t>
      </w:r>
      <w:r w:rsidRPr="00A965F6">
        <w:rPr>
          <w:rtl/>
        </w:rPr>
        <w:t>مساهم</w:t>
      </w:r>
      <w:r>
        <w:rPr>
          <w:rFonts w:hint="cs"/>
          <w:rtl/>
        </w:rPr>
        <w:t>ة</w:t>
      </w:r>
      <w:r w:rsidRPr="00A965F6">
        <w:rPr>
          <w:rFonts w:hint="cs"/>
          <w:rtl/>
        </w:rPr>
        <w:t xml:space="preserve"> </w:t>
      </w:r>
      <w:r>
        <w:rPr>
          <w:rFonts w:hint="cs"/>
          <w:rtl/>
        </w:rPr>
        <w:t xml:space="preserve">من البلد المضيف ومقاطعة كيبيك </w:t>
      </w:r>
      <w:r w:rsidRPr="00A965F6">
        <w:rPr>
          <w:rFonts w:hint="cs"/>
          <w:rtl/>
        </w:rPr>
        <w:t xml:space="preserve">بمبلغ </w:t>
      </w:r>
      <w:r>
        <w:rPr>
          <w:rFonts w:hint="cs"/>
          <w:rtl/>
        </w:rPr>
        <w:t>208 603 1</w:t>
      </w:r>
      <w:r w:rsidRPr="00A965F6">
        <w:rPr>
          <w:rFonts w:hint="cs"/>
          <w:rtl/>
        </w:rPr>
        <w:t xml:space="preserve"> دولار كندي</w:t>
      </w:r>
      <w:r w:rsidRPr="00A965F6">
        <w:rPr>
          <w:rtl/>
        </w:rPr>
        <w:t xml:space="preserve"> </w:t>
      </w:r>
      <w:r>
        <w:rPr>
          <w:rFonts w:hint="cs"/>
          <w:rtl/>
        </w:rPr>
        <w:t>لسنة</w:t>
      </w:r>
      <w:r w:rsidRPr="00A965F6">
        <w:rPr>
          <w:rtl/>
        </w:rPr>
        <w:t xml:space="preserve"> </w:t>
      </w:r>
      <w:r w:rsidRPr="00A965F6">
        <w:rPr>
          <w:rFonts w:hint="cs"/>
          <w:rtl/>
        </w:rPr>
        <w:t>2019</w:t>
      </w:r>
      <w:r>
        <w:rPr>
          <w:rFonts w:hint="cs"/>
          <w:rtl/>
        </w:rPr>
        <w:t xml:space="preserve"> و100</w:t>
      </w:r>
      <w:r>
        <w:rPr>
          <w:rFonts w:hint="eastAsia"/>
          <w:rtl/>
        </w:rPr>
        <w:t> </w:t>
      </w:r>
      <w:r>
        <w:rPr>
          <w:rFonts w:hint="cs"/>
          <w:rtl/>
        </w:rPr>
        <w:t>856</w:t>
      </w:r>
      <w:r>
        <w:rPr>
          <w:rFonts w:hint="eastAsia"/>
          <w:rtl/>
        </w:rPr>
        <w:t> </w:t>
      </w:r>
      <w:r>
        <w:rPr>
          <w:rFonts w:hint="cs"/>
          <w:rtl/>
        </w:rPr>
        <w:t>1 دولار كندي لسنة 2020</w:t>
      </w:r>
      <w:r w:rsidRPr="00A965F6">
        <w:rPr>
          <w:rtl/>
        </w:rPr>
        <w:t xml:space="preserve">، </w:t>
      </w:r>
      <w:r w:rsidRPr="00A965F6">
        <w:rPr>
          <w:rFonts w:hint="cs"/>
          <w:rtl/>
        </w:rPr>
        <w:t>والتي خُصِّصت</w:t>
      </w:r>
      <w:r w:rsidRPr="00A965F6">
        <w:rPr>
          <w:rtl/>
        </w:rPr>
        <w:t xml:space="preserve"> </w:t>
      </w:r>
      <w:r w:rsidRPr="00A965F6">
        <w:rPr>
          <w:rFonts w:hint="cs"/>
          <w:rtl/>
        </w:rPr>
        <w:t xml:space="preserve">على أساس معدل </w:t>
      </w:r>
      <w:r>
        <w:rPr>
          <w:rFonts w:hint="cs"/>
          <w:rtl/>
        </w:rPr>
        <w:t>11:15:74</w:t>
      </w:r>
      <w:r w:rsidRPr="00A965F6">
        <w:rPr>
          <w:rtl/>
        </w:rPr>
        <w:t xml:space="preserve"> </w:t>
      </w:r>
      <w:r>
        <w:rPr>
          <w:rFonts w:hint="cs"/>
          <w:rtl/>
        </w:rPr>
        <w:t>و</w:t>
      </w:r>
      <w:r w:rsidRPr="00A965F6">
        <w:rPr>
          <w:rFonts w:hint="cs"/>
          <w:rtl/>
        </w:rPr>
        <w:t>تعويض</w:t>
      </w:r>
      <w:r w:rsidRPr="00A965F6">
        <w:rPr>
          <w:rtl/>
        </w:rPr>
        <w:t xml:space="preserve"> </w:t>
      </w:r>
      <w:r w:rsidRPr="00A965F6">
        <w:rPr>
          <w:rFonts w:hint="cs"/>
          <w:rtl/>
        </w:rPr>
        <w:t>الاشتراكات</w:t>
      </w:r>
      <w:r w:rsidRPr="00A965F6">
        <w:rPr>
          <w:rtl/>
        </w:rPr>
        <w:t xml:space="preserve"> </w:t>
      </w:r>
      <w:r w:rsidRPr="00A965F6">
        <w:rPr>
          <w:rFonts w:hint="cs"/>
          <w:rtl/>
        </w:rPr>
        <w:t xml:space="preserve">من </w:t>
      </w:r>
      <w:r w:rsidRPr="00A965F6">
        <w:rPr>
          <w:rtl/>
        </w:rPr>
        <w:t xml:space="preserve">الأطراف </w:t>
      </w:r>
      <w:r w:rsidRPr="00A965F6">
        <w:rPr>
          <w:rFonts w:hint="cs"/>
          <w:rtl/>
        </w:rPr>
        <w:t xml:space="preserve">في </w:t>
      </w:r>
      <w:r w:rsidRPr="00A965F6">
        <w:rPr>
          <w:rtl/>
        </w:rPr>
        <w:t>الاتفاقية</w:t>
      </w:r>
      <w:r w:rsidRPr="00A965F6">
        <w:rPr>
          <w:rFonts w:hint="cs"/>
          <w:rtl/>
        </w:rPr>
        <w:t>، وبروتوكول قرطاجنة وبروتوكول ناغويا، على التوالي،</w:t>
      </w:r>
      <w:r w:rsidRPr="00A965F6">
        <w:rPr>
          <w:rtl/>
        </w:rPr>
        <w:t xml:space="preserve"> لفترة السنتين </w:t>
      </w:r>
      <w:r w:rsidRPr="00A965F6">
        <w:rPr>
          <w:rFonts w:hint="cs"/>
          <w:rtl/>
        </w:rPr>
        <w:t>2019-2020</w:t>
      </w:r>
      <w:r w:rsidRPr="00A965F6">
        <w:rPr>
          <w:rtl/>
        </w:rPr>
        <w:t>؛</w:t>
      </w:r>
    </w:p>
    <w:p w:rsidR="00ED48E1" w:rsidRPr="00A965F6" w:rsidRDefault="00ED48E1" w:rsidP="00CD26C5">
      <w:pPr>
        <w:numPr>
          <w:ilvl w:val="0"/>
          <w:numId w:val="92"/>
        </w:numPr>
        <w:ind w:left="0" w:firstLine="720"/>
      </w:pPr>
      <w:r w:rsidRPr="00A965F6">
        <w:rPr>
          <w:rFonts w:hint="cs"/>
          <w:i/>
          <w:iCs/>
          <w:rtl/>
        </w:rPr>
        <w:t>يعتمد</w:t>
      </w:r>
      <w:r w:rsidRPr="00A965F6">
        <w:rPr>
          <w:rFonts w:hint="cs"/>
          <w:rtl/>
        </w:rPr>
        <w:t xml:space="preserve"> جدول الأنصبة المقررة لقسمة النفقات لعامي 2019 و2020</w:t>
      </w:r>
      <w:r>
        <w:rPr>
          <w:rFonts w:hint="cs"/>
          <w:rtl/>
        </w:rPr>
        <w:t>، وفقا للجدول الحالي للاشتراكات في الأمم المتحدة،</w:t>
      </w:r>
      <w:r w:rsidRPr="00A965F6">
        <w:rPr>
          <w:rFonts w:hint="cs"/>
          <w:rtl/>
        </w:rPr>
        <w:t xml:space="preserve"> على النحو الوارد في </w:t>
      </w:r>
      <w:r>
        <w:rPr>
          <w:rFonts w:hint="cs"/>
          <w:rtl/>
        </w:rPr>
        <w:t>الجدول 6</w:t>
      </w:r>
      <w:r w:rsidRPr="00A965F6">
        <w:rPr>
          <w:rFonts w:hint="cs"/>
          <w:rtl/>
        </w:rPr>
        <w:t xml:space="preserve"> بهذا المقرر؛</w:t>
      </w:r>
      <w:r>
        <w:rPr>
          <w:rStyle w:val="FootnoteReference"/>
          <w:rtl/>
        </w:rPr>
        <w:footnoteReference w:id="326"/>
      </w:r>
    </w:p>
    <w:p w:rsidR="00ED48E1" w:rsidRPr="0037049B" w:rsidRDefault="00ED48E1" w:rsidP="00CD26C5">
      <w:pPr>
        <w:numPr>
          <w:ilvl w:val="0"/>
          <w:numId w:val="92"/>
        </w:numPr>
        <w:ind w:left="0" w:firstLine="720"/>
        <w:rPr>
          <w:rFonts w:ascii="Simplified Arabic" w:hAnsi="Simplified Arabic"/>
        </w:rPr>
      </w:pPr>
      <w:r w:rsidRPr="0037049B">
        <w:rPr>
          <w:rFonts w:ascii="Simplified Arabic" w:hAnsi="Simplified Arabic"/>
          <w:iCs/>
          <w:rtl/>
        </w:rPr>
        <w:t xml:space="preserve">يعتمد أيضا </w:t>
      </w:r>
      <w:r w:rsidRPr="0037049B">
        <w:rPr>
          <w:rFonts w:ascii="Simplified Arabic" w:hAnsi="Simplified Arabic"/>
          <w:rtl/>
        </w:rPr>
        <w:t xml:space="preserve">الجدول 2 بشأن ملاك الموظفين للأمانة لفترة السنتين </w:t>
      </w:r>
      <w:r w:rsidRPr="0037049B">
        <w:rPr>
          <w:rFonts w:ascii="Simplified Arabic" w:hAnsi="Simplified Arabic"/>
          <w:sz w:val="24"/>
        </w:rPr>
        <w:t>2020</w:t>
      </w:r>
      <w:r w:rsidRPr="0037049B">
        <w:rPr>
          <w:rFonts w:ascii="Simplified Arabic" w:hAnsi="Simplified Arabic"/>
          <w:sz w:val="24"/>
          <w:lang w:val="en-GB"/>
        </w:rPr>
        <w:t>-</w:t>
      </w:r>
      <w:r w:rsidRPr="0037049B">
        <w:rPr>
          <w:rFonts w:ascii="Simplified Arabic" w:hAnsi="Simplified Arabic"/>
          <w:sz w:val="24"/>
        </w:rPr>
        <w:t>2019</w:t>
      </w:r>
      <w:r w:rsidRPr="0037049B">
        <w:rPr>
          <w:rFonts w:ascii="Simplified Arabic" w:hAnsi="Simplified Arabic"/>
          <w:rtl/>
        </w:rPr>
        <w:t xml:space="preserve"> المستخدم لأغراض حساب التكاليف من أجل وضع الميزانية العامة؛</w:t>
      </w:r>
    </w:p>
    <w:p w:rsidR="00ED48E1" w:rsidRPr="0037049B" w:rsidRDefault="00ED48E1" w:rsidP="00CD26C5">
      <w:pPr>
        <w:numPr>
          <w:ilvl w:val="0"/>
          <w:numId w:val="92"/>
        </w:numPr>
        <w:ind w:left="0" w:firstLine="720"/>
        <w:rPr>
          <w:rFonts w:ascii="Simplified Arabic" w:hAnsi="Simplified Arabic"/>
        </w:rPr>
      </w:pPr>
      <w:r w:rsidRPr="007B5D7A">
        <w:rPr>
          <w:rFonts w:ascii="Simplified Arabic" w:hAnsi="Simplified Arabic"/>
          <w:iCs/>
          <w:rtl/>
        </w:rPr>
        <w:t>يشير إلى</w:t>
      </w:r>
      <w:r w:rsidRPr="0037049B">
        <w:rPr>
          <w:rFonts w:ascii="Simplified Arabic" w:hAnsi="Simplified Arabic"/>
          <w:i/>
          <w:rtl/>
        </w:rPr>
        <w:t xml:space="preserve"> أن</w:t>
      </w:r>
      <w:r w:rsidRPr="0037049B">
        <w:rPr>
          <w:rFonts w:ascii="Simplified Arabic" w:hAnsi="Simplified Arabic"/>
          <w:iCs/>
          <w:rtl/>
        </w:rPr>
        <w:t xml:space="preserve"> </w:t>
      </w:r>
      <w:r>
        <w:rPr>
          <w:rFonts w:ascii="Simplified Arabic" w:hAnsi="Simplified Arabic" w:hint="cs"/>
          <w:rtl/>
        </w:rPr>
        <w:t>ترتيبات ملاك الموظفين للأمانة ينبغي أن تضمن الوفاء بالالتزامات القانونية بموجب الاتفاقية وبروتوكوليها؛</w:t>
      </w:r>
    </w:p>
    <w:p w:rsidR="00ED48E1" w:rsidRPr="007B5D7A" w:rsidRDefault="00ED48E1" w:rsidP="00CD26C5">
      <w:pPr>
        <w:numPr>
          <w:ilvl w:val="0"/>
          <w:numId w:val="92"/>
        </w:numPr>
        <w:ind w:left="0" w:firstLine="720"/>
        <w:rPr>
          <w:lang w:val="en-GB"/>
        </w:rPr>
      </w:pPr>
      <w:r w:rsidRPr="007B5D7A">
        <w:rPr>
          <w:rFonts w:hint="cs"/>
          <w:i/>
          <w:iCs/>
          <w:rtl/>
          <w:lang w:val="en-GB"/>
        </w:rPr>
        <w:t>يلاحظ</w:t>
      </w:r>
      <w:r>
        <w:rPr>
          <w:rFonts w:hint="cs"/>
          <w:rtl/>
          <w:lang w:val="en-GB"/>
        </w:rPr>
        <w:t xml:space="preserve"> الهيكل التنظيمي الجديد وتوزيع الوظائف على النحو المقدم في المرفق السابع من المذكرة التي أعدتها الأمينة التنفيذية،</w:t>
      </w:r>
      <w:r>
        <w:rPr>
          <w:rStyle w:val="FootnoteReference"/>
          <w:rtl/>
          <w:lang w:val="en-GB"/>
        </w:rPr>
        <w:footnoteReference w:id="327"/>
      </w:r>
      <w:r>
        <w:rPr>
          <w:rFonts w:hint="cs"/>
          <w:rtl/>
          <w:lang w:val="en-GB"/>
        </w:rPr>
        <w:t xml:space="preserve"> </w:t>
      </w:r>
      <w:r w:rsidRPr="007B5D7A">
        <w:rPr>
          <w:rFonts w:hint="cs"/>
          <w:i/>
          <w:iCs/>
          <w:rtl/>
          <w:lang w:val="en-GB"/>
        </w:rPr>
        <w:t>ويطلب إلى</w:t>
      </w:r>
      <w:r>
        <w:rPr>
          <w:rFonts w:hint="cs"/>
          <w:rtl/>
          <w:lang w:val="en-GB"/>
        </w:rPr>
        <w:t xml:space="preserve"> الأمينة التنفيذية أن تجري تحليلا للهيكل وملاك الموظفين لضمان ترتيبات الإبلاغ المبسطة، والتشغيل الأمثل والفعالية في تنفيذ برنامج العمل المعتمد لفترة السنتين 2019-2020، وبغية المواءمة المتوقعة للأنشطة لما بعد عام 2020 في إطار الاتفاقية، وأن ترفع تقريرا عن نتائج هذا التحليل إلى مؤتمر الأطراف في اجتماعه الخامس عشر؛</w:t>
      </w:r>
    </w:p>
    <w:p w:rsidR="00ED48E1" w:rsidRPr="003217AD" w:rsidRDefault="00ED48E1" w:rsidP="00CD26C5">
      <w:pPr>
        <w:numPr>
          <w:ilvl w:val="0"/>
          <w:numId w:val="92"/>
        </w:numPr>
        <w:ind w:left="0" w:firstLine="720"/>
        <w:rPr>
          <w:lang w:val="en-GB"/>
        </w:rPr>
      </w:pPr>
      <w:r w:rsidRPr="007B5D7A">
        <w:rPr>
          <w:rFonts w:hint="cs"/>
          <w:i/>
          <w:iCs/>
          <w:rtl/>
          <w:lang w:val="en-GB"/>
        </w:rPr>
        <w:t>يشير إلى</w:t>
      </w:r>
      <w:r>
        <w:rPr>
          <w:rFonts w:hint="cs"/>
          <w:rtl/>
          <w:lang w:val="en-GB"/>
        </w:rPr>
        <w:t xml:space="preserve"> الفقرة 9 من المقرر 13/32، </w:t>
      </w:r>
      <w:r w:rsidRPr="00242F3A">
        <w:rPr>
          <w:rFonts w:hint="cs"/>
          <w:i/>
          <w:iCs/>
          <w:rtl/>
          <w:lang w:val="en-GB"/>
        </w:rPr>
        <w:t>ويلاحظ مع القلق</w:t>
      </w:r>
      <w:r>
        <w:rPr>
          <w:rFonts w:hint="cs"/>
          <w:rtl/>
          <w:lang w:val="en-GB"/>
        </w:rPr>
        <w:t xml:space="preserve"> التعديلات التي أدخلتها الأمينة التنفيذية في هيكل الوظائف للأمانة خلال فترة السنتين 2017-2018 التي انطوت على زيادات ناجمة في تكاليف الموظفين في الميزانية المتكاملة لفترة السنتين 2019-2020؛</w:t>
      </w:r>
    </w:p>
    <w:p w:rsidR="00ED48E1" w:rsidRPr="00A965F6" w:rsidRDefault="00ED48E1" w:rsidP="00CD26C5">
      <w:pPr>
        <w:numPr>
          <w:ilvl w:val="0"/>
          <w:numId w:val="92"/>
        </w:numPr>
        <w:ind w:left="0" w:firstLine="720"/>
        <w:rPr>
          <w:lang w:val="en-GB"/>
        </w:rPr>
      </w:pPr>
      <w:r w:rsidRPr="0037049B">
        <w:rPr>
          <w:rFonts w:ascii="Simplified Arabic" w:hAnsi="Simplified Arabic"/>
          <w:i/>
          <w:iCs/>
          <w:rtl/>
        </w:rPr>
        <w:t>يأذن</w:t>
      </w:r>
      <w:r w:rsidRPr="00A965F6">
        <w:rPr>
          <w:rFonts w:hint="cs"/>
          <w:rtl/>
        </w:rPr>
        <w:t xml:space="preserve"> للأمينة التنفيذية، في إطار </w:t>
      </w:r>
      <w:r w:rsidRPr="00A965F6">
        <w:rPr>
          <w:rtl/>
        </w:rPr>
        <w:t xml:space="preserve">قواعد ولوائح الأمم المتحدة، </w:t>
      </w:r>
      <w:r w:rsidRPr="00A965F6">
        <w:rPr>
          <w:rFonts w:hint="cs"/>
          <w:rtl/>
        </w:rPr>
        <w:t xml:space="preserve">ودون المساس بأي مقرر يصدره مؤتمر الأطراف في اجتماعه الخامس عشر، تعديل </w:t>
      </w:r>
      <w:r>
        <w:rPr>
          <w:rFonts w:hint="cs"/>
          <w:rtl/>
        </w:rPr>
        <w:t>أوصاف الوظائف والتعيينات داخل الهيكل الحالي للأمانة،</w:t>
      </w:r>
      <w:r w:rsidRPr="00A965F6">
        <w:rPr>
          <w:rtl/>
        </w:rPr>
        <w:t xml:space="preserve"> شريطة أن تظل الت</w:t>
      </w:r>
      <w:r w:rsidRPr="00A965F6">
        <w:rPr>
          <w:rFonts w:hint="cs"/>
          <w:rtl/>
        </w:rPr>
        <w:t>ك</w:t>
      </w:r>
      <w:r w:rsidRPr="00A965F6">
        <w:rPr>
          <w:rtl/>
        </w:rPr>
        <w:t>لف</w:t>
      </w:r>
      <w:r w:rsidRPr="00A965F6">
        <w:rPr>
          <w:rFonts w:hint="cs"/>
          <w:rtl/>
        </w:rPr>
        <w:t>ة</w:t>
      </w:r>
      <w:r w:rsidRPr="00A965F6">
        <w:rPr>
          <w:rtl/>
        </w:rPr>
        <w:t xml:space="preserve"> </w:t>
      </w:r>
      <w:r w:rsidRPr="00A965F6">
        <w:rPr>
          <w:rFonts w:hint="cs"/>
          <w:rtl/>
        </w:rPr>
        <w:t>الإجمالية</w:t>
      </w:r>
      <w:r w:rsidRPr="00A965F6">
        <w:rPr>
          <w:rtl/>
        </w:rPr>
        <w:t xml:space="preserve"> لأمانة </w:t>
      </w:r>
      <w:r w:rsidRPr="00A965F6">
        <w:rPr>
          <w:rFonts w:hint="cs"/>
          <w:rtl/>
        </w:rPr>
        <w:t>ال</w:t>
      </w:r>
      <w:r w:rsidRPr="00A965F6">
        <w:rPr>
          <w:rtl/>
        </w:rPr>
        <w:t xml:space="preserve">اتفاقية </w:t>
      </w:r>
      <w:r w:rsidRPr="00A965F6">
        <w:rPr>
          <w:rFonts w:hint="cs"/>
          <w:rtl/>
        </w:rPr>
        <w:t xml:space="preserve">وبروتوكوليها </w:t>
      </w:r>
      <w:r w:rsidRPr="00A965F6">
        <w:rPr>
          <w:rtl/>
        </w:rPr>
        <w:t xml:space="preserve">في حدود </w:t>
      </w:r>
      <w:r w:rsidRPr="00A965F6">
        <w:rPr>
          <w:rFonts w:hint="cs"/>
          <w:rtl/>
        </w:rPr>
        <w:t xml:space="preserve">جدول ملاك الموظفين وألا تكون هناك زيادات ناجمة عن ذلك في تكاليف الموظفين في الميزانية المتكاملة في فترات السنتين في المستقبل، </w:t>
      </w:r>
      <w:r w:rsidRPr="00A965F6">
        <w:rPr>
          <w:rtl/>
        </w:rPr>
        <w:t xml:space="preserve">والإبلاغ عما </w:t>
      </w:r>
      <w:r w:rsidRPr="00A965F6">
        <w:rPr>
          <w:rFonts w:hint="cs"/>
          <w:rtl/>
        </w:rPr>
        <w:t>يطرأ من</w:t>
      </w:r>
      <w:r w:rsidRPr="00A965F6">
        <w:rPr>
          <w:rtl/>
        </w:rPr>
        <w:t xml:space="preserve"> تعديلات </w:t>
      </w:r>
      <w:r w:rsidRPr="00A965F6">
        <w:rPr>
          <w:rFonts w:hint="cs"/>
          <w:rtl/>
        </w:rPr>
        <w:t>إلى الأطراف في الاتفاقية وبروتوكوليها في اجتماعاتها القادمة</w:t>
      </w:r>
      <w:r w:rsidRPr="00A965F6">
        <w:rPr>
          <w:rtl/>
        </w:rPr>
        <w:t>؛</w:t>
      </w:r>
    </w:p>
    <w:p w:rsidR="00ED48E1" w:rsidRPr="00A965F6" w:rsidRDefault="00ED48E1" w:rsidP="00CD26C5">
      <w:pPr>
        <w:numPr>
          <w:ilvl w:val="0"/>
          <w:numId w:val="92"/>
        </w:numPr>
        <w:ind w:left="0" w:firstLine="720"/>
      </w:pPr>
      <w:r w:rsidRPr="00A965F6">
        <w:rPr>
          <w:rFonts w:hint="cs"/>
          <w:i/>
          <w:iCs/>
          <w:rtl/>
        </w:rPr>
        <w:t xml:space="preserve">يأذن </w:t>
      </w:r>
      <w:r w:rsidRPr="00A965F6">
        <w:rPr>
          <w:rFonts w:hint="cs"/>
          <w:rtl/>
        </w:rPr>
        <w:t xml:space="preserve">للأمينة التنفيذية </w:t>
      </w:r>
      <w:r w:rsidRPr="00A965F6">
        <w:rPr>
          <w:rtl/>
        </w:rPr>
        <w:t xml:space="preserve">الدخول في التزامات حتى مستوى الميزانية المعتمدة، </w:t>
      </w:r>
      <w:r w:rsidRPr="00A965F6">
        <w:rPr>
          <w:rFonts w:hint="cs"/>
          <w:rtl/>
        </w:rPr>
        <w:t xml:space="preserve">مع </w:t>
      </w:r>
      <w:r w:rsidRPr="00A965F6">
        <w:rPr>
          <w:rtl/>
        </w:rPr>
        <w:t>السحب من الموارد النقدية المتاحة، بما في ذلك الأرصدة غير المنفقة، وال</w:t>
      </w:r>
      <w:r w:rsidRPr="00A965F6">
        <w:rPr>
          <w:rFonts w:hint="cs"/>
          <w:rtl/>
        </w:rPr>
        <w:t>اشتراكات</w:t>
      </w:r>
      <w:r w:rsidRPr="00A965F6">
        <w:rPr>
          <w:rtl/>
        </w:rPr>
        <w:t xml:space="preserve"> المرح</w:t>
      </w:r>
      <w:r w:rsidRPr="00A965F6">
        <w:rPr>
          <w:rFonts w:hint="cs"/>
          <w:rtl/>
        </w:rPr>
        <w:t>ّ</w:t>
      </w:r>
      <w:r w:rsidRPr="00A965F6">
        <w:rPr>
          <w:rtl/>
        </w:rPr>
        <w:t>لة من الفترات المالية السابقة، و</w:t>
      </w:r>
      <w:r w:rsidRPr="00A965F6">
        <w:rPr>
          <w:rFonts w:hint="cs"/>
          <w:rtl/>
        </w:rPr>
        <w:t>الإيرادات</w:t>
      </w:r>
      <w:r w:rsidRPr="00A965F6">
        <w:rPr>
          <w:rtl/>
        </w:rPr>
        <w:t xml:space="preserve"> المت</w:t>
      </w:r>
      <w:r w:rsidRPr="00A965F6">
        <w:rPr>
          <w:rFonts w:hint="cs"/>
          <w:rtl/>
        </w:rPr>
        <w:t>نوع</w:t>
      </w:r>
      <w:r w:rsidRPr="00A965F6">
        <w:rPr>
          <w:rtl/>
        </w:rPr>
        <w:t>ة</w:t>
      </w:r>
      <w:r>
        <w:rPr>
          <w:rFonts w:hint="cs"/>
          <w:rtl/>
        </w:rPr>
        <w:t>، وفقا للنظام المالي والقواعد المالية لبرنامج الأمم المتحدة للبيئة</w:t>
      </w:r>
      <w:r w:rsidRPr="00A965F6">
        <w:rPr>
          <w:rtl/>
        </w:rPr>
        <w:t>؛</w:t>
      </w:r>
    </w:p>
    <w:p w:rsidR="00ED48E1" w:rsidRPr="00A965F6" w:rsidRDefault="00ED48E1" w:rsidP="00CD26C5">
      <w:pPr>
        <w:numPr>
          <w:ilvl w:val="0"/>
          <w:numId w:val="92"/>
        </w:numPr>
        <w:ind w:left="0" w:firstLine="720"/>
      </w:pPr>
      <w:r w:rsidRPr="00A965F6">
        <w:rPr>
          <w:rFonts w:hint="cs"/>
          <w:i/>
          <w:iCs/>
          <w:rtl/>
        </w:rPr>
        <w:lastRenderedPageBreak/>
        <w:t>يأذن</w:t>
      </w:r>
      <w:r w:rsidRPr="00A965F6">
        <w:rPr>
          <w:rFonts w:hint="cs"/>
          <w:rtl/>
        </w:rPr>
        <w:t xml:space="preserve"> </w:t>
      </w:r>
      <w:r w:rsidRPr="00A965F6">
        <w:rPr>
          <w:rFonts w:hint="cs"/>
          <w:i/>
          <w:iCs/>
          <w:rtl/>
        </w:rPr>
        <w:t>أيضا</w:t>
      </w:r>
      <w:r w:rsidRPr="00A965F6">
        <w:rPr>
          <w:rFonts w:hint="cs"/>
          <w:rtl/>
        </w:rPr>
        <w:t xml:space="preserve"> للأمينة التنفيذية </w:t>
      </w:r>
      <w:r w:rsidRPr="00A965F6">
        <w:rPr>
          <w:rtl/>
        </w:rPr>
        <w:t>نقل الموارد فيما بين البرامج بين كل</w:t>
      </w:r>
      <w:r w:rsidRPr="00A965F6">
        <w:rPr>
          <w:rFonts w:hint="cs"/>
          <w:rtl/>
        </w:rPr>
        <w:t xml:space="preserve"> بند </w:t>
      </w:r>
      <w:r w:rsidRPr="00A965F6">
        <w:rPr>
          <w:rtl/>
        </w:rPr>
        <w:t xml:space="preserve">من </w:t>
      </w:r>
      <w:r w:rsidRPr="00A965F6">
        <w:rPr>
          <w:rFonts w:hint="cs"/>
          <w:rtl/>
        </w:rPr>
        <w:t>بنود</w:t>
      </w:r>
      <w:r w:rsidRPr="00A965F6">
        <w:rPr>
          <w:rtl/>
        </w:rPr>
        <w:t xml:space="preserve"> الاعتماد الرئيسية ال</w:t>
      </w:r>
      <w:r w:rsidRPr="00A965F6">
        <w:rPr>
          <w:rFonts w:hint="cs"/>
          <w:rtl/>
        </w:rPr>
        <w:t>محددة</w:t>
      </w:r>
      <w:r w:rsidRPr="00A965F6">
        <w:rPr>
          <w:rtl/>
        </w:rPr>
        <w:t xml:space="preserve"> في الجدول </w:t>
      </w:r>
      <w:r w:rsidRPr="00A965F6">
        <w:rPr>
          <w:lang w:val="en-GB"/>
        </w:rPr>
        <w:t>1</w:t>
      </w:r>
      <w:r w:rsidRPr="00A965F6">
        <w:rPr>
          <w:rFonts w:hint="cs"/>
          <w:rtl/>
        </w:rPr>
        <w:t>-</w:t>
      </w:r>
      <w:r>
        <w:rPr>
          <w:rFonts w:hint="cs"/>
          <w:rtl/>
        </w:rPr>
        <w:t xml:space="preserve"> </w:t>
      </w:r>
      <w:r w:rsidRPr="00A965F6">
        <w:rPr>
          <w:rtl/>
        </w:rPr>
        <w:t xml:space="preserve">أ </w:t>
      </w:r>
      <w:r w:rsidRPr="00A965F6">
        <w:rPr>
          <w:rFonts w:hint="cs"/>
          <w:rtl/>
        </w:rPr>
        <w:t xml:space="preserve">أدناه </w:t>
      </w:r>
      <w:r w:rsidRPr="00A965F6">
        <w:rPr>
          <w:rtl/>
        </w:rPr>
        <w:t xml:space="preserve">حتى </w:t>
      </w:r>
      <w:r w:rsidRPr="00A965F6">
        <w:rPr>
          <w:lang w:val="en-GB"/>
        </w:rPr>
        <w:t>15</w:t>
      </w:r>
      <w:r w:rsidRPr="00A965F6">
        <w:rPr>
          <w:rtl/>
        </w:rPr>
        <w:t xml:space="preserve"> في المائة </w:t>
      </w:r>
      <w:r w:rsidRPr="00A965F6">
        <w:rPr>
          <w:rFonts w:hint="cs"/>
          <w:rtl/>
        </w:rPr>
        <w:t xml:space="preserve">كقيمة إجمالية </w:t>
      </w:r>
      <w:r w:rsidRPr="00A965F6">
        <w:rPr>
          <w:rtl/>
        </w:rPr>
        <w:t xml:space="preserve">من مجموع </w:t>
      </w:r>
      <w:r w:rsidRPr="00A965F6">
        <w:rPr>
          <w:rFonts w:hint="cs"/>
          <w:rtl/>
        </w:rPr>
        <w:t>ال</w:t>
      </w:r>
      <w:r w:rsidRPr="00A965F6">
        <w:rPr>
          <w:rtl/>
        </w:rPr>
        <w:t>ميزانية البر</w:t>
      </w:r>
      <w:r w:rsidRPr="00A965F6">
        <w:rPr>
          <w:rFonts w:hint="cs"/>
          <w:rtl/>
        </w:rPr>
        <w:t>ن</w:t>
      </w:r>
      <w:r w:rsidRPr="00A965F6">
        <w:rPr>
          <w:rtl/>
        </w:rPr>
        <w:t>امج</w:t>
      </w:r>
      <w:r w:rsidRPr="00A965F6">
        <w:rPr>
          <w:rFonts w:hint="cs"/>
          <w:rtl/>
        </w:rPr>
        <w:t>ية</w:t>
      </w:r>
      <w:r w:rsidRPr="00A965F6">
        <w:rPr>
          <w:rtl/>
        </w:rPr>
        <w:t xml:space="preserve">، </w:t>
      </w:r>
      <w:r w:rsidRPr="00A965F6">
        <w:rPr>
          <w:rFonts w:hint="cs"/>
          <w:rtl/>
        </w:rPr>
        <w:t>ب</w:t>
      </w:r>
      <w:r w:rsidRPr="00A965F6">
        <w:rPr>
          <w:rtl/>
        </w:rPr>
        <w:t xml:space="preserve">شرط </w:t>
      </w:r>
      <w:r w:rsidRPr="00A965F6">
        <w:rPr>
          <w:rFonts w:hint="cs"/>
          <w:rtl/>
        </w:rPr>
        <w:t>وضع</w:t>
      </w:r>
      <w:r w:rsidRPr="00A965F6">
        <w:rPr>
          <w:rtl/>
        </w:rPr>
        <w:t xml:space="preserve"> حد </w:t>
      </w:r>
      <w:r w:rsidRPr="00A965F6">
        <w:rPr>
          <w:rFonts w:hint="cs"/>
          <w:rtl/>
        </w:rPr>
        <w:t>إضافي</w:t>
      </w:r>
      <w:r w:rsidRPr="00A965F6">
        <w:rPr>
          <w:rtl/>
        </w:rPr>
        <w:t xml:space="preserve"> </w:t>
      </w:r>
      <w:r w:rsidRPr="00A965F6">
        <w:rPr>
          <w:rFonts w:hint="cs"/>
          <w:rtl/>
        </w:rPr>
        <w:t>بنسبة</w:t>
      </w:r>
      <w:r w:rsidRPr="00A965F6">
        <w:rPr>
          <w:rtl/>
        </w:rPr>
        <w:t xml:space="preserve"> </w:t>
      </w:r>
      <w:r w:rsidRPr="00A965F6">
        <w:rPr>
          <w:lang w:val="en-GB"/>
        </w:rPr>
        <w:t>25</w:t>
      </w:r>
      <w:r w:rsidRPr="00A965F6">
        <w:rPr>
          <w:rtl/>
        </w:rPr>
        <w:t xml:space="preserve"> في المائة </w:t>
      </w:r>
      <w:r w:rsidRPr="00A965F6">
        <w:rPr>
          <w:rFonts w:hint="cs"/>
          <w:rtl/>
        </w:rPr>
        <w:t>ك</w:t>
      </w:r>
      <w:r w:rsidRPr="00A965F6">
        <w:rPr>
          <w:rtl/>
        </w:rPr>
        <w:t xml:space="preserve">حد أقصى لكل </w:t>
      </w:r>
      <w:r w:rsidRPr="00A965F6">
        <w:rPr>
          <w:rFonts w:hint="cs"/>
          <w:rtl/>
        </w:rPr>
        <w:t>بند؛</w:t>
      </w:r>
    </w:p>
    <w:p w:rsidR="00ED48E1" w:rsidRPr="002D44A8" w:rsidRDefault="00ED48E1" w:rsidP="00CD26C5">
      <w:pPr>
        <w:numPr>
          <w:ilvl w:val="0"/>
          <w:numId w:val="92"/>
        </w:numPr>
        <w:ind w:left="0" w:firstLine="720"/>
      </w:pPr>
      <w:r w:rsidRPr="00E30F36">
        <w:rPr>
          <w:rFonts w:hint="cs"/>
          <w:i/>
          <w:iCs/>
          <w:rtl/>
        </w:rPr>
        <w:t>يحث</w:t>
      </w:r>
      <w:r>
        <w:rPr>
          <w:rFonts w:hint="cs"/>
          <w:rtl/>
        </w:rPr>
        <w:t xml:space="preserve"> الأمينة التنفيذية على مواصلة خفض الأثر البيئي لعمليات الأمانة عن طريق ترشيد استخدام الموارد والسفر، مثلا كاعتماد استخدام أوسع نطاقا للتداول عن طريق الفيديو، وترتيب أولوية السفر الرسمي الذي يتعلق مباشرة بتنفيذ برنامج العمل المعتمد؛</w:t>
      </w:r>
    </w:p>
    <w:p w:rsidR="00ED48E1" w:rsidRPr="002D44A8" w:rsidRDefault="00ED48E1" w:rsidP="00CD26C5">
      <w:pPr>
        <w:numPr>
          <w:ilvl w:val="0"/>
          <w:numId w:val="92"/>
        </w:numPr>
        <w:ind w:left="0" w:firstLine="720"/>
      </w:pPr>
      <w:r w:rsidRPr="00E30F36">
        <w:rPr>
          <w:rFonts w:hint="cs"/>
          <w:i/>
          <w:iCs/>
          <w:rtl/>
        </w:rPr>
        <w:t>ي</w:t>
      </w:r>
      <w:r w:rsidRPr="002D44A8">
        <w:rPr>
          <w:rFonts w:hint="cs"/>
          <w:i/>
          <w:iCs/>
          <w:rtl/>
        </w:rPr>
        <w:t>لاحظ</w:t>
      </w:r>
      <w:r>
        <w:rPr>
          <w:rFonts w:hint="cs"/>
          <w:rtl/>
        </w:rPr>
        <w:t xml:space="preserve"> أن الإفصاح المالي المحدود يعرقل قدرة المنظمة على أن تكون شفافة ويمكن مساءلتها، ولزيادة الأموال من طائفة أوسع نطاقا من الجهات المانحة؛</w:t>
      </w:r>
    </w:p>
    <w:p w:rsidR="00ED48E1" w:rsidRDefault="00ED48E1" w:rsidP="00CD26C5">
      <w:pPr>
        <w:numPr>
          <w:ilvl w:val="0"/>
          <w:numId w:val="92"/>
        </w:numPr>
        <w:ind w:left="0" w:firstLine="720"/>
      </w:pPr>
      <w:r w:rsidRPr="00E30F36">
        <w:rPr>
          <w:rFonts w:hint="cs"/>
          <w:i/>
          <w:iCs/>
          <w:rtl/>
        </w:rPr>
        <w:t>يطلب إلى</w:t>
      </w:r>
      <w:r>
        <w:rPr>
          <w:rFonts w:hint="cs"/>
          <w:rtl/>
        </w:rPr>
        <w:t xml:space="preserve"> الأمينة التنفيذية، بالتعاون مع برنامج الأمم المتحدة للبيئة، أن تجد وسائل لتقديم معلومات مالية إضافية لتعزيز الإفصاح خارج نطاق المعلومات المالية الحالية الواردة في البيانات المالية المصدق عليها للصناديق الاستئمانية لاتفاقية التنوع البيولوجي، من أجل تيسير العناية الواجبة والقرارات المالية للأطراف والجهات المانحة المحتملة الأخرى؛</w:t>
      </w:r>
    </w:p>
    <w:p w:rsidR="00ED48E1" w:rsidRDefault="00ED48E1" w:rsidP="00CD26C5">
      <w:pPr>
        <w:numPr>
          <w:ilvl w:val="0"/>
          <w:numId w:val="92"/>
        </w:numPr>
        <w:ind w:left="0" w:firstLine="720"/>
      </w:pPr>
      <w:r>
        <w:rPr>
          <w:rFonts w:hint="cs"/>
          <w:i/>
          <w:iCs/>
          <w:rtl/>
        </w:rPr>
        <w:t xml:space="preserve">يطلب إلى </w:t>
      </w:r>
      <w:r w:rsidRPr="00E30F36">
        <w:rPr>
          <w:rFonts w:hint="cs"/>
          <w:rtl/>
        </w:rPr>
        <w:t>الأمينة التنفيذية، كوسيلة ل</w:t>
      </w:r>
      <w:r>
        <w:rPr>
          <w:rFonts w:hint="cs"/>
          <w:rtl/>
        </w:rPr>
        <w:t xml:space="preserve">مواصلة تعزيز الجهود لدعم الشفافية والمساءلة، إنشاء قسم على الموقع الشبكي للاتفاقية لنشر أو تقديم روابط لمعلومات حديثة تتعلق بحوكمة الاتفاقية، بما في ذلك ضمن جملة أمور تقارير المراجعة المستكملة والمقبولة، </w:t>
      </w:r>
      <w:r>
        <w:t xml:space="preserve"> </w:t>
      </w:r>
      <w:r>
        <w:rPr>
          <w:rFonts w:hint="cs"/>
          <w:rtl/>
        </w:rPr>
        <w:t>والنظام المالي والقواعد المالية السارية، وأية معلومات أخرى تتعلق بالميزانية والمعلومات المالية؛</w:t>
      </w:r>
    </w:p>
    <w:p w:rsidR="00ED48E1" w:rsidRPr="002D44A8" w:rsidRDefault="00ED48E1" w:rsidP="00CD26C5">
      <w:pPr>
        <w:numPr>
          <w:ilvl w:val="0"/>
          <w:numId w:val="92"/>
        </w:numPr>
        <w:ind w:left="0" w:firstLine="720"/>
      </w:pPr>
      <w:r w:rsidRPr="00E30F36">
        <w:rPr>
          <w:rFonts w:hint="cs"/>
          <w:i/>
          <w:iCs/>
          <w:rtl/>
        </w:rPr>
        <w:t>يطلب أيضا إلى</w:t>
      </w:r>
      <w:r>
        <w:rPr>
          <w:rFonts w:hint="cs"/>
          <w:rtl/>
        </w:rPr>
        <w:t xml:space="preserve"> الأمينة التنفيذية، وفقا للمادة 14 من القواعد المالية، أن تكلف بإجراء مراجعة على أساس منتظم بواسطة مكتب خدمات الرقابة الداخلية وطلب تقارير من برنامج الأمم المتحدة للبيئة من مجلس مراجعي الأمم المتحدة، وتقديم التقارير كجزء من الوثائق للاجتماع القادم لمؤتمر الأطراف، مع استجابة الإدارة؛</w:t>
      </w:r>
    </w:p>
    <w:p w:rsidR="00ED48E1" w:rsidRPr="00E30F36" w:rsidRDefault="00ED48E1" w:rsidP="00CD26C5">
      <w:pPr>
        <w:numPr>
          <w:ilvl w:val="0"/>
          <w:numId w:val="92"/>
        </w:numPr>
        <w:ind w:left="0" w:firstLine="720"/>
      </w:pPr>
      <w:r w:rsidRPr="00E30F36">
        <w:rPr>
          <w:rFonts w:hint="cs"/>
          <w:i/>
          <w:iCs/>
          <w:rtl/>
        </w:rPr>
        <w:t>يطلب كذلك إلى</w:t>
      </w:r>
      <w:r>
        <w:rPr>
          <w:rFonts w:hint="cs"/>
          <w:rtl/>
        </w:rPr>
        <w:t xml:space="preserve"> الأمينة التنفيذية، بالتعاون مع برنامج الأمم المتحدة للبيئة وأمين خزانة الأمم المتحدة، أن تقدم معلومات عن الاستثمارات والمبادئ التوجيهية لسياسة الاستثمار المتعلقة بالصناديق الاستئمانية للاتفاقية، ووضعها على الموقع الشبكي للاتفاقية؛</w:t>
      </w:r>
    </w:p>
    <w:p w:rsidR="00ED48E1" w:rsidRPr="00A965F6" w:rsidRDefault="00ED48E1" w:rsidP="00CD26C5">
      <w:pPr>
        <w:numPr>
          <w:ilvl w:val="0"/>
          <w:numId w:val="92"/>
        </w:numPr>
        <w:ind w:left="0" w:firstLine="720"/>
      </w:pPr>
      <w:r w:rsidRPr="00A965F6">
        <w:rPr>
          <w:rFonts w:hint="cs"/>
          <w:i/>
          <w:iCs/>
          <w:rtl/>
        </w:rPr>
        <w:t>يدعو</w:t>
      </w:r>
      <w:r w:rsidRPr="00A965F6">
        <w:rPr>
          <w:rFonts w:hint="cs"/>
          <w:rtl/>
        </w:rPr>
        <w:t xml:space="preserve"> جميع الأطراف في الاتفاقية إلى ملاحظة أن الاشتراكات في الميزانية البرنامجية الأساسية (</w:t>
      </w:r>
      <w:r w:rsidRPr="00A965F6">
        <w:rPr>
          <w:lang w:val="en-CA"/>
        </w:rPr>
        <w:t>BY</w:t>
      </w:r>
      <w:r w:rsidRPr="00A965F6">
        <w:rPr>
          <w:rFonts w:hint="cs"/>
          <w:rtl/>
        </w:rPr>
        <w:t xml:space="preserve"> و</w:t>
      </w:r>
      <w:r w:rsidRPr="00A965F6">
        <w:rPr>
          <w:lang w:val="en-CA"/>
        </w:rPr>
        <w:t>BG</w:t>
      </w:r>
      <w:r w:rsidRPr="00A965F6">
        <w:rPr>
          <w:rFonts w:hint="cs"/>
          <w:rtl/>
        </w:rPr>
        <w:t xml:space="preserve"> و</w:t>
      </w:r>
      <w:r w:rsidRPr="00A965F6">
        <w:rPr>
          <w:lang w:val="en-CA"/>
        </w:rPr>
        <w:t>BB</w:t>
      </w:r>
      <w:r w:rsidRPr="00A965F6">
        <w:rPr>
          <w:rFonts w:hint="cs"/>
          <w:rtl/>
        </w:rPr>
        <w:t>) تستحق في 1 يناير</w:t>
      </w:r>
      <w:r>
        <w:rPr>
          <w:rFonts w:hint="cs"/>
          <w:rtl/>
        </w:rPr>
        <w:t>/كانون الثاني</w:t>
      </w:r>
      <w:r w:rsidRPr="00A965F6">
        <w:rPr>
          <w:rFonts w:hint="cs"/>
          <w:rtl/>
        </w:rPr>
        <w:t xml:space="preserve"> من السنة التي حُددت فيها ميزانية تلك الاشتراكات، ودفع هذه الاشتراكات على وجه السرعة، </w:t>
      </w:r>
      <w:r>
        <w:rPr>
          <w:rFonts w:hint="cs"/>
          <w:rtl/>
        </w:rPr>
        <w:t>و</w:t>
      </w:r>
      <w:r w:rsidRPr="00A965F6">
        <w:rPr>
          <w:rFonts w:hint="cs"/>
          <w:i/>
          <w:iCs/>
          <w:rtl/>
        </w:rPr>
        <w:t>يطلب</w:t>
      </w:r>
      <w:r w:rsidRPr="00A965F6">
        <w:rPr>
          <w:rFonts w:hint="cs"/>
          <w:rtl/>
        </w:rPr>
        <w:t xml:space="preserve"> </w:t>
      </w:r>
      <w:r w:rsidRPr="00A965F6">
        <w:rPr>
          <w:rtl/>
        </w:rPr>
        <w:t xml:space="preserve">إخطار الأطراف بمبلغ اشتراكاتها </w:t>
      </w:r>
      <w:r w:rsidRPr="00A965F6">
        <w:rPr>
          <w:rFonts w:hint="cs"/>
          <w:rtl/>
        </w:rPr>
        <w:t xml:space="preserve">المستحقة </w:t>
      </w:r>
      <w:r w:rsidRPr="00A965F6">
        <w:rPr>
          <w:rtl/>
        </w:rPr>
        <w:t xml:space="preserve">في </w:t>
      </w:r>
      <w:r w:rsidRPr="00A965F6">
        <w:rPr>
          <w:rFonts w:hint="cs"/>
          <w:rtl/>
        </w:rPr>
        <w:t xml:space="preserve">وقت مبكر </w:t>
      </w:r>
      <w:r w:rsidRPr="00A965F6">
        <w:rPr>
          <w:rtl/>
        </w:rPr>
        <w:t>من السنة السابقة على سنة استحقاق سداد الاشتراكات</w:t>
      </w:r>
      <w:r w:rsidRPr="00A965F6">
        <w:rPr>
          <w:rFonts w:hint="cs"/>
          <w:rtl/>
        </w:rPr>
        <w:t>؛</w:t>
      </w:r>
    </w:p>
    <w:p w:rsidR="00ED48E1" w:rsidRPr="00A965F6" w:rsidRDefault="00ED48E1" w:rsidP="00CD26C5">
      <w:pPr>
        <w:numPr>
          <w:ilvl w:val="0"/>
          <w:numId w:val="92"/>
        </w:numPr>
        <w:ind w:left="0" w:firstLine="720"/>
      </w:pPr>
      <w:r w:rsidRPr="00A965F6">
        <w:rPr>
          <w:i/>
          <w:iCs/>
          <w:rtl/>
        </w:rPr>
        <w:t>يلاحظ مع القلق</w:t>
      </w:r>
      <w:r w:rsidRPr="00A965F6">
        <w:rPr>
          <w:rtl/>
        </w:rPr>
        <w:t xml:space="preserve"> أن عدد</w:t>
      </w:r>
      <w:r w:rsidRPr="00A965F6">
        <w:rPr>
          <w:rFonts w:hint="cs"/>
          <w:rtl/>
        </w:rPr>
        <w:t>ا من</w:t>
      </w:r>
      <w:r w:rsidRPr="00A965F6">
        <w:rPr>
          <w:rtl/>
        </w:rPr>
        <w:t xml:space="preserve"> الأطراف </w:t>
      </w:r>
      <w:r w:rsidRPr="00A965F6">
        <w:rPr>
          <w:rFonts w:hint="cs"/>
          <w:rtl/>
        </w:rPr>
        <w:t xml:space="preserve">في الاتفاقية وبروتوكوليها </w:t>
      </w:r>
      <w:r w:rsidRPr="00A965F6">
        <w:rPr>
          <w:rtl/>
        </w:rPr>
        <w:t xml:space="preserve">لم </w:t>
      </w:r>
      <w:r w:rsidRPr="00A965F6">
        <w:rPr>
          <w:rFonts w:hint="cs"/>
          <w:rtl/>
        </w:rPr>
        <w:t>ي</w:t>
      </w:r>
      <w:r w:rsidRPr="00A965F6">
        <w:rPr>
          <w:rtl/>
        </w:rPr>
        <w:t>سدد اشتراكاته في الميزاني</w:t>
      </w:r>
      <w:r w:rsidRPr="00A965F6">
        <w:rPr>
          <w:rFonts w:hint="cs"/>
          <w:rtl/>
        </w:rPr>
        <w:t>ات</w:t>
      </w:r>
      <w:r w:rsidRPr="00A965F6">
        <w:rPr>
          <w:rtl/>
        </w:rPr>
        <w:t xml:space="preserve"> الأساسية </w:t>
      </w:r>
      <w:r w:rsidRPr="00A965F6">
        <w:rPr>
          <w:rFonts w:hint="cs"/>
          <w:rtl/>
        </w:rPr>
        <w:t xml:space="preserve">(الصناديق الاستئمانية </w:t>
      </w:r>
      <w:r w:rsidRPr="00A965F6">
        <w:rPr>
          <w:lang w:val="en-CA"/>
        </w:rPr>
        <w:t>BY</w:t>
      </w:r>
      <w:r w:rsidRPr="00A965F6">
        <w:rPr>
          <w:rFonts w:hint="cs"/>
          <w:rtl/>
        </w:rPr>
        <w:t xml:space="preserve"> و</w:t>
      </w:r>
      <w:r w:rsidRPr="00A965F6">
        <w:rPr>
          <w:lang w:val="en-CA"/>
        </w:rPr>
        <w:t>BG</w:t>
      </w:r>
      <w:r w:rsidRPr="00A965F6">
        <w:rPr>
          <w:rFonts w:hint="cs"/>
          <w:rtl/>
        </w:rPr>
        <w:t xml:space="preserve"> و</w:t>
      </w:r>
      <w:r w:rsidRPr="00A965F6">
        <w:rPr>
          <w:lang w:val="en-CA"/>
        </w:rPr>
        <w:t>BB</w:t>
      </w:r>
      <w:r w:rsidRPr="00A965F6">
        <w:rPr>
          <w:rFonts w:hint="cs"/>
          <w:rtl/>
        </w:rPr>
        <w:t>)</w:t>
      </w:r>
      <w:r w:rsidRPr="00A965F6">
        <w:rPr>
          <w:rFonts w:hint="cs"/>
        </w:rPr>
        <w:t xml:space="preserve"> </w:t>
      </w:r>
      <w:r w:rsidRPr="00A965F6">
        <w:rPr>
          <w:rFonts w:hint="cs"/>
          <w:rtl/>
        </w:rPr>
        <w:t>ل</w:t>
      </w:r>
      <w:r>
        <w:rPr>
          <w:rFonts w:hint="cs"/>
          <w:rtl/>
        </w:rPr>
        <w:t>سنة</w:t>
      </w:r>
      <w:r w:rsidRPr="00A965F6">
        <w:rPr>
          <w:rFonts w:hint="cs"/>
          <w:rtl/>
        </w:rPr>
        <w:t xml:space="preserve"> 2018</w:t>
      </w:r>
      <w:r w:rsidRPr="00A965F6">
        <w:rPr>
          <w:rtl/>
        </w:rPr>
        <w:t xml:space="preserve"> وسنوات سابقة، </w:t>
      </w:r>
      <w:r w:rsidRPr="00A965F6">
        <w:rPr>
          <w:rFonts w:hint="cs"/>
          <w:rtl/>
        </w:rPr>
        <w:t>بما في ذلك</w:t>
      </w:r>
      <w:r w:rsidRPr="00A965F6">
        <w:rPr>
          <w:rtl/>
        </w:rPr>
        <w:t xml:space="preserve"> </w:t>
      </w:r>
      <w:r w:rsidRPr="00A965F6">
        <w:rPr>
          <w:rFonts w:hint="cs"/>
          <w:rtl/>
        </w:rPr>
        <w:t>ال</w:t>
      </w:r>
      <w:r w:rsidRPr="00A965F6">
        <w:rPr>
          <w:rtl/>
        </w:rPr>
        <w:t xml:space="preserve">أطراف التي لم تسدد اشتراكاتها من قبل على الإطلاق، </w:t>
      </w:r>
      <w:r w:rsidRPr="00A965F6">
        <w:rPr>
          <w:i/>
          <w:iCs/>
          <w:rtl/>
        </w:rPr>
        <w:t>و</w:t>
      </w:r>
      <w:r w:rsidRPr="00A965F6">
        <w:rPr>
          <w:rFonts w:hint="cs"/>
          <w:i/>
          <w:iCs/>
          <w:rtl/>
        </w:rPr>
        <w:t>ي</w:t>
      </w:r>
      <w:r w:rsidRPr="00A965F6">
        <w:rPr>
          <w:i/>
          <w:iCs/>
          <w:rtl/>
        </w:rPr>
        <w:t>لاحظ أيضا</w:t>
      </w:r>
      <w:r w:rsidRPr="00A965F6">
        <w:rPr>
          <w:rtl/>
        </w:rPr>
        <w:t xml:space="preserve"> أنه، وفقا للمعايير المحاسبية الدولية للقطاع العام</w:t>
      </w:r>
      <w:r>
        <w:rPr>
          <w:rFonts w:hint="cs"/>
          <w:rtl/>
        </w:rPr>
        <w:t>،</w:t>
      </w:r>
      <w:r w:rsidRPr="00A965F6">
        <w:rPr>
          <w:rtl/>
        </w:rPr>
        <w:t xml:space="preserve"> التي اعتمدتها الأمم المتحدة،</w:t>
      </w:r>
      <w:r>
        <w:rPr>
          <w:rStyle w:val="FootnoteReference"/>
          <w:rtl/>
        </w:rPr>
        <w:footnoteReference w:id="328"/>
      </w:r>
      <w:r w:rsidRPr="00A965F6">
        <w:rPr>
          <w:rtl/>
        </w:rPr>
        <w:t xml:space="preserve"> ستظل المتأخرات المقدرة بمبلغ </w:t>
      </w:r>
      <w:r>
        <w:rPr>
          <w:rFonts w:hint="cs"/>
          <w:rtl/>
        </w:rPr>
        <w:t>100 789</w:t>
      </w:r>
      <w:r w:rsidRPr="00A965F6">
        <w:rPr>
          <w:rFonts w:hint="cs"/>
          <w:rtl/>
        </w:rPr>
        <w:t xml:space="preserve"> دولار</w:t>
      </w:r>
      <w:r>
        <w:rPr>
          <w:rFonts w:hint="cs"/>
          <w:rtl/>
        </w:rPr>
        <w:t>ا</w:t>
      </w:r>
      <w:r w:rsidRPr="00A965F6">
        <w:rPr>
          <w:rFonts w:hint="cs"/>
          <w:rtl/>
        </w:rPr>
        <w:t xml:space="preserve"> من دولارات الولايات المتحدة للاتفاقية، و</w:t>
      </w:r>
      <w:r>
        <w:rPr>
          <w:rFonts w:hint="cs"/>
          <w:rtl/>
        </w:rPr>
        <w:t>400 171</w:t>
      </w:r>
      <w:r w:rsidRPr="00A965F6">
        <w:rPr>
          <w:rFonts w:hint="cs"/>
          <w:rtl/>
        </w:rPr>
        <w:t xml:space="preserve"> دولار</w:t>
      </w:r>
      <w:r>
        <w:rPr>
          <w:rFonts w:hint="cs"/>
          <w:rtl/>
        </w:rPr>
        <w:t>ا</w:t>
      </w:r>
      <w:r w:rsidRPr="00A965F6">
        <w:rPr>
          <w:rFonts w:hint="cs"/>
          <w:rtl/>
        </w:rPr>
        <w:t xml:space="preserve"> من دولارات الولايات المتحدة لبروتوكول قرطاجنة، و</w:t>
      </w:r>
      <w:r>
        <w:rPr>
          <w:rFonts w:hint="cs"/>
          <w:rtl/>
        </w:rPr>
        <w:t>000 46</w:t>
      </w:r>
      <w:r w:rsidRPr="00A965F6">
        <w:rPr>
          <w:rFonts w:hint="cs"/>
          <w:rtl/>
        </w:rPr>
        <w:t xml:space="preserve"> دولار</w:t>
      </w:r>
      <w:r>
        <w:rPr>
          <w:rFonts w:hint="cs"/>
          <w:rtl/>
        </w:rPr>
        <w:t>ا</w:t>
      </w:r>
      <w:r w:rsidRPr="00A965F6">
        <w:rPr>
          <w:rFonts w:hint="cs"/>
          <w:rtl/>
        </w:rPr>
        <w:t xml:space="preserve"> من دولارات الولايات المتحدة لبروتوكول ناغويا </w:t>
      </w:r>
      <w:r w:rsidRPr="00A965F6">
        <w:rPr>
          <w:rtl/>
        </w:rPr>
        <w:t xml:space="preserve">قائمة </w:t>
      </w:r>
      <w:r w:rsidRPr="00A965F6">
        <w:rPr>
          <w:rFonts w:hint="cs"/>
          <w:rtl/>
        </w:rPr>
        <w:t>حتى</w:t>
      </w:r>
      <w:r w:rsidRPr="00A965F6">
        <w:rPr>
          <w:rtl/>
        </w:rPr>
        <w:t xml:space="preserve"> نهاية </w:t>
      </w:r>
      <w:r>
        <w:rPr>
          <w:rFonts w:hint="cs"/>
          <w:rtl/>
        </w:rPr>
        <w:t>سنة</w:t>
      </w:r>
      <w:r w:rsidRPr="00A965F6">
        <w:rPr>
          <w:rtl/>
        </w:rPr>
        <w:t xml:space="preserve"> </w:t>
      </w:r>
      <w:r w:rsidRPr="00A965F6">
        <w:rPr>
          <w:rFonts w:hint="cs"/>
          <w:rtl/>
          <w:lang w:val="en-GB"/>
        </w:rPr>
        <w:t>201</w:t>
      </w:r>
      <w:r>
        <w:rPr>
          <w:rFonts w:hint="cs"/>
          <w:rtl/>
          <w:lang w:val="en-GB"/>
        </w:rPr>
        <w:t>7</w:t>
      </w:r>
      <w:r w:rsidRPr="00A965F6">
        <w:rPr>
          <w:rFonts w:hint="cs"/>
          <w:rtl/>
        </w:rPr>
        <w:t>،</w:t>
      </w:r>
      <w:r w:rsidRPr="00A965F6">
        <w:rPr>
          <w:rtl/>
        </w:rPr>
        <w:t xml:space="preserve"> وسيتعين اقتطاعها من رصيد </w:t>
      </w:r>
      <w:r w:rsidRPr="00A965F6">
        <w:rPr>
          <w:rFonts w:hint="cs"/>
          <w:rtl/>
        </w:rPr>
        <w:t>الصندوق</w:t>
      </w:r>
      <w:r w:rsidRPr="00A965F6">
        <w:rPr>
          <w:rtl/>
        </w:rPr>
        <w:t xml:space="preserve"> لتغطية الدين المشكوك في تحصيله</w:t>
      </w:r>
      <w:r>
        <w:rPr>
          <w:rFonts w:hint="cs"/>
          <w:rtl/>
        </w:rPr>
        <w:t>،</w:t>
      </w:r>
      <w:r w:rsidRPr="00A965F6">
        <w:rPr>
          <w:rtl/>
        </w:rPr>
        <w:t xml:space="preserve"> ومن ثم ل</w:t>
      </w:r>
      <w:r w:rsidRPr="00A965F6">
        <w:rPr>
          <w:rFonts w:hint="cs"/>
          <w:rtl/>
        </w:rPr>
        <w:t>ن</w:t>
      </w:r>
      <w:r w:rsidRPr="00A965F6">
        <w:rPr>
          <w:rtl/>
        </w:rPr>
        <w:t xml:space="preserve"> ي</w:t>
      </w:r>
      <w:r w:rsidRPr="00A965F6">
        <w:rPr>
          <w:rFonts w:hint="cs"/>
          <w:rtl/>
        </w:rPr>
        <w:t>كون من الممكن</w:t>
      </w:r>
      <w:r w:rsidRPr="00A965F6">
        <w:rPr>
          <w:rtl/>
        </w:rPr>
        <w:t xml:space="preserve"> استخدامه</w:t>
      </w:r>
      <w:r w:rsidRPr="00A965F6">
        <w:rPr>
          <w:rFonts w:hint="cs"/>
          <w:rtl/>
        </w:rPr>
        <w:t>ا</w:t>
      </w:r>
      <w:r w:rsidRPr="00A965F6">
        <w:rPr>
          <w:rtl/>
        </w:rPr>
        <w:t xml:space="preserve"> ل</w:t>
      </w:r>
      <w:r w:rsidRPr="00A965F6">
        <w:rPr>
          <w:rFonts w:hint="cs"/>
          <w:rtl/>
        </w:rPr>
        <w:t>صالح</w:t>
      </w:r>
      <w:r w:rsidRPr="00A965F6">
        <w:rPr>
          <w:rtl/>
        </w:rPr>
        <w:t xml:space="preserve"> جميع الأطراف</w:t>
      </w:r>
      <w:r w:rsidRPr="00A965F6">
        <w:rPr>
          <w:rFonts w:hint="cs"/>
          <w:rtl/>
        </w:rPr>
        <w:t xml:space="preserve"> المعنية؛</w:t>
      </w:r>
    </w:p>
    <w:p w:rsidR="00ED48E1" w:rsidRPr="00A965F6" w:rsidRDefault="00ED48E1" w:rsidP="00CD26C5">
      <w:pPr>
        <w:numPr>
          <w:ilvl w:val="0"/>
          <w:numId w:val="92"/>
        </w:numPr>
        <w:ind w:left="0" w:firstLine="720"/>
      </w:pPr>
      <w:r w:rsidRPr="00A965F6">
        <w:rPr>
          <w:rFonts w:hint="cs"/>
          <w:i/>
          <w:iCs/>
          <w:rtl/>
        </w:rPr>
        <w:t>يحث</w:t>
      </w:r>
      <w:r w:rsidRPr="00A965F6">
        <w:rPr>
          <w:iCs/>
          <w:rtl/>
        </w:rPr>
        <w:t xml:space="preserve"> </w:t>
      </w:r>
      <w:r w:rsidRPr="00A965F6">
        <w:rPr>
          <w:rtl/>
        </w:rPr>
        <w:t>الأطراف التي لم تسدد بعد اشتراكاتها في الميزاني</w:t>
      </w:r>
      <w:r w:rsidRPr="00A965F6">
        <w:rPr>
          <w:rFonts w:hint="cs"/>
          <w:rtl/>
        </w:rPr>
        <w:t>ات</w:t>
      </w:r>
      <w:r w:rsidRPr="00A965F6">
        <w:rPr>
          <w:rtl/>
        </w:rPr>
        <w:t xml:space="preserve"> الأساسية </w:t>
      </w:r>
      <w:r w:rsidRPr="00A965F6">
        <w:rPr>
          <w:rFonts w:hint="cs"/>
          <w:rtl/>
        </w:rPr>
        <w:t xml:space="preserve">(الصناديق الاستئمانية </w:t>
      </w:r>
      <w:r w:rsidRPr="00A965F6">
        <w:rPr>
          <w:lang w:val="en-CA"/>
        </w:rPr>
        <w:t>BY</w:t>
      </w:r>
      <w:r w:rsidRPr="00A965F6">
        <w:rPr>
          <w:rFonts w:hint="cs"/>
          <w:rtl/>
        </w:rPr>
        <w:t xml:space="preserve"> و</w:t>
      </w:r>
      <w:r w:rsidRPr="00A965F6">
        <w:rPr>
          <w:lang w:val="en-CA"/>
        </w:rPr>
        <w:t>BG</w:t>
      </w:r>
      <w:r w:rsidRPr="00A965F6">
        <w:rPr>
          <w:rFonts w:hint="cs"/>
          <w:rtl/>
        </w:rPr>
        <w:t xml:space="preserve"> و</w:t>
      </w:r>
      <w:r w:rsidRPr="00A965F6">
        <w:rPr>
          <w:lang w:val="en-CA"/>
        </w:rPr>
        <w:t>BB</w:t>
      </w:r>
      <w:r w:rsidRPr="00A965F6">
        <w:rPr>
          <w:rFonts w:hint="cs"/>
          <w:rtl/>
        </w:rPr>
        <w:t>)</w:t>
      </w:r>
      <w:r w:rsidRPr="00A965F6">
        <w:rPr>
          <w:rFonts w:hint="cs"/>
        </w:rPr>
        <w:t xml:space="preserve"> </w:t>
      </w:r>
      <w:r w:rsidRPr="00A965F6">
        <w:rPr>
          <w:rtl/>
        </w:rPr>
        <w:t>ل</w:t>
      </w:r>
      <w:r w:rsidRPr="00A965F6">
        <w:rPr>
          <w:rFonts w:hint="cs"/>
          <w:rtl/>
        </w:rPr>
        <w:t>سنة</w:t>
      </w:r>
      <w:r w:rsidRPr="00A965F6">
        <w:rPr>
          <w:rtl/>
        </w:rPr>
        <w:t xml:space="preserve"> </w:t>
      </w:r>
      <w:r w:rsidRPr="00A965F6">
        <w:rPr>
          <w:rFonts w:hint="cs"/>
          <w:rtl/>
        </w:rPr>
        <w:t>2017</w:t>
      </w:r>
      <w:r w:rsidRPr="00A965F6">
        <w:rPr>
          <w:rtl/>
        </w:rPr>
        <w:t xml:space="preserve"> والسنوات السابقة على </w:t>
      </w:r>
      <w:r w:rsidRPr="00A965F6">
        <w:rPr>
          <w:rFonts w:hint="cs"/>
          <w:rtl/>
        </w:rPr>
        <w:t>سدادها</w:t>
      </w:r>
      <w:r w:rsidRPr="00A965F6">
        <w:rPr>
          <w:rtl/>
        </w:rPr>
        <w:t xml:space="preserve"> دون إبطاء أو شروط</w:t>
      </w:r>
      <w:r w:rsidRPr="00A965F6">
        <w:rPr>
          <w:rFonts w:hint="cs"/>
          <w:rtl/>
        </w:rPr>
        <w:t>،</w:t>
      </w:r>
      <w:r w:rsidRPr="00A965F6">
        <w:rPr>
          <w:rtl/>
        </w:rPr>
        <w:t xml:space="preserve"> و</w:t>
      </w:r>
      <w:r w:rsidRPr="00A965F6">
        <w:rPr>
          <w:iCs/>
          <w:rtl/>
        </w:rPr>
        <w:t>يطلب</w:t>
      </w:r>
      <w:r w:rsidRPr="00A965F6">
        <w:rPr>
          <w:rtl/>
        </w:rPr>
        <w:t xml:space="preserve"> </w:t>
      </w:r>
      <w:r w:rsidRPr="00851CD8">
        <w:rPr>
          <w:i/>
          <w:iCs/>
          <w:rtl/>
        </w:rPr>
        <w:t>إلى</w:t>
      </w:r>
      <w:r w:rsidRPr="00A965F6">
        <w:rPr>
          <w:rtl/>
        </w:rPr>
        <w:t xml:space="preserve"> الأمين</w:t>
      </w:r>
      <w:r w:rsidRPr="00A965F6">
        <w:rPr>
          <w:rFonts w:hint="cs"/>
          <w:rtl/>
        </w:rPr>
        <w:t>ة</w:t>
      </w:r>
      <w:r w:rsidRPr="00A965F6">
        <w:rPr>
          <w:rtl/>
        </w:rPr>
        <w:t xml:space="preserve"> التنفيذي</w:t>
      </w:r>
      <w:r w:rsidRPr="00A965F6">
        <w:rPr>
          <w:rFonts w:hint="cs"/>
          <w:rtl/>
        </w:rPr>
        <w:t>ة</w:t>
      </w:r>
      <w:r w:rsidRPr="00A965F6">
        <w:rPr>
          <w:rtl/>
        </w:rPr>
        <w:t xml:space="preserve"> نشر معلومات </w:t>
      </w:r>
      <w:r w:rsidRPr="00A965F6">
        <w:rPr>
          <w:rFonts w:hint="cs"/>
          <w:rtl/>
        </w:rPr>
        <w:t>حول</w:t>
      </w:r>
      <w:r w:rsidRPr="00A965F6">
        <w:rPr>
          <w:rtl/>
        </w:rPr>
        <w:t xml:space="preserve"> </w:t>
      </w:r>
      <w:r w:rsidRPr="00A965F6">
        <w:rPr>
          <w:rtl/>
        </w:rPr>
        <w:lastRenderedPageBreak/>
        <w:t xml:space="preserve">حالة الاشتراكات في </w:t>
      </w:r>
      <w:r w:rsidRPr="00A965F6">
        <w:rPr>
          <w:rFonts w:hint="cs"/>
          <w:rtl/>
        </w:rPr>
        <w:t>ال</w:t>
      </w:r>
      <w:r w:rsidRPr="00A965F6">
        <w:rPr>
          <w:rtl/>
        </w:rPr>
        <w:t xml:space="preserve">صناديق الاستئمانية </w:t>
      </w:r>
      <w:r w:rsidRPr="00A965F6">
        <w:rPr>
          <w:rFonts w:hint="cs"/>
          <w:rtl/>
        </w:rPr>
        <w:t xml:space="preserve">للاتفاقية </w:t>
      </w:r>
      <w:r w:rsidRPr="00A965F6">
        <w:rPr>
          <w:rtl/>
        </w:rPr>
        <w:t>(</w:t>
      </w:r>
      <w:r w:rsidRPr="00A965F6">
        <w:t>BY</w:t>
      </w:r>
      <w:r w:rsidRPr="00A965F6">
        <w:rPr>
          <w:rFonts w:hint="cs"/>
          <w:rtl/>
        </w:rPr>
        <w:t xml:space="preserve"> و</w:t>
      </w:r>
      <w:r w:rsidRPr="00A965F6">
        <w:t>BG</w:t>
      </w:r>
      <w:r w:rsidRPr="00A965F6">
        <w:rPr>
          <w:rtl/>
        </w:rPr>
        <w:t xml:space="preserve"> و</w:t>
      </w:r>
      <w:r w:rsidRPr="00A965F6">
        <w:rPr>
          <w:lang w:val="en-GB"/>
        </w:rPr>
        <w:t>BB</w:t>
      </w:r>
      <w:r w:rsidRPr="00A965F6">
        <w:rPr>
          <w:rtl/>
        </w:rPr>
        <w:t xml:space="preserve"> </w:t>
      </w:r>
      <w:r w:rsidRPr="00A965F6">
        <w:rPr>
          <w:rFonts w:hint="cs"/>
          <w:rtl/>
        </w:rPr>
        <w:t>و</w:t>
      </w:r>
      <w:r w:rsidRPr="00A965F6">
        <w:rPr>
          <w:lang w:val="en-CA"/>
        </w:rPr>
        <w:t>BE</w:t>
      </w:r>
      <w:r w:rsidRPr="00A965F6">
        <w:rPr>
          <w:rFonts w:hint="cs"/>
          <w:rtl/>
        </w:rPr>
        <w:t xml:space="preserve"> و</w:t>
      </w:r>
      <w:r w:rsidRPr="00A965F6">
        <w:rPr>
          <w:lang w:val="en-CA"/>
        </w:rPr>
        <w:t>BH</w:t>
      </w:r>
      <w:r w:rsidRPr="00A965F6">
        <w:rPr>
          <w:rFonts w:hint="cs"/>
          <w:rtl/>
        </w:rPr>
        <w:t xml:space="preserve"> و</w:t>
      </w:r>
      <w:r w:rsidRPr="00A965F6">
        <w:rPr>
          <w:lang w:val="en-CA"/>
        </w:rPr>
        <w:t>BX</w:t>
      </w:r>
      <w:r w:rsidRPr="00A965F6">
        <w:rPr>
          <w:rFonts w:hint="cs"/>
          <w:rtl/>
        </w:rPr>
        <w:t xml:space="preserve"> و</w:t>
      </w:r>
      <w:r w:rsidRPr="00A965F6">
        <w:rPr>
          <w:lang w:val="en-CA"/>
        </w:rPr>
        <w:t>BZ</w:t>
      </w:r>
      <w:r w:rsidRPr="00A965F6">
        <w:rPr>
          <w:rFonts w:hint="cs"/>
          <w:rtl/>
        </w:rPr>
        <w:t xml:space="preserve"> </w:t>
      </w:r>
      <w:r w:rsidRPr="00A965F6">
        <w:rPr>
          <w:rtl/>
        </w:rPr>
        <w:t>و</w:t>
      </w:r>
      <w:r w:rsidRPr="00A965F6">
        <w:rPr>
          <w:lang w:val="en-GB"/>
        </w:rPr>
        <w:t>VB</w:t>
      </w:r>
      <w:r w:rsidRPr="00A965F6">
        <w:rPr>
          <w:rtl/>
        </w:rPr>
        <w:t>) وتحديثها بانتظام</w:t>
      </w:r>
      <w:r w:rsidRPr="00A965F6">
        <w:rPr>
          <w:rFonts w:hint="cs"/>
          <w:rtl/>
        </w:rPr>
        <w:t xml:space="preserve"> لأعضاء مكاتب الاتفاقية وبروتوكوليها حتى يتمكنوا من تقديم معلومات عن الاشتراكات غير المسددة وعواقبها في الاجتماعات الإقليمية</w:t>
      </w:r>
      <w:r w:rsidRPr="00A965F6">
        <w:rPr>
          <w:rFonts w:eastAsia="Malgun Gothic" w:hint="cs"/>
          <w:i/>
          <w:kern w:val="22"/>
          <w:rtl/>
        </w:rPr>
        <w:t>؛</w:t>
      </w:r>
    </w:p>
    <w:p w:rsidR="00ED48E1" w:rsidRPr="00A332A7" w:rsidRDefault="00ED48E1" w:rsidP="00CD26C5">
      <w:pPr>
        <w:numPr>
          <w:ilvl w:val="0"/>
          <w:numId w:val="92"/>
        </w:numPr>
        <w:ind w:left="0" w:firstLine="720"/>
      </w:pPr>
      <w:r w:rsidRPr="00E96B7D">
        <w:rPr>
          <w:rFonts w:hint="cs"/>
          <w:i/>
          <w:iCs/>
          <w:rtl/>
        </w:rPr>
        <w:t>يطلب إلى</w:t>
      </w:r>
      <w:r>
        <w:rPr>
          <w:rFonts w:hint="cs"/>
          <w:rtl/>
        </w:rPr>
        <w:t xml:space="preserve"> برنامج الأمم المتحدة، بصفته الوصي، أن يستخدم جميع القنوات الدبلوماسية المتاحة للاتصال بالأطراف المعنية، بشأن المتأخرات في مساهماتها للصناديق الاستئمانية لاتفاقية التنوع البيولوجي </w:t>
      </w:r>
      <w:r w:rsidRPr="00A965F6">
        <w:rPr>
          <w:rFonts w:hint="cs"/>
          <w:rtl/>
        </w:rPr>
        <w:t>(</w:t>
      </w:r>
      <w:r w:rsidRPr="00A965F6">
        <w:rPr>
          <w:lang w:val="en-CA"/>
        </w:rPr>
        <w:t>B</w:t>
      </w:r>
      <w:r>
        <w:rPr>
          <w:lang w:val="en-CA"/>
        </w:rPr>
        <w:t>Y</w:t>
      </w:r>
      <w:r w:rsidRPr="00A965F6">
        <w:rPr>
          <w:rFonts w:hint="cs"/>
          <w:rtl/>
        </w:rPr>
        <w:t xml:space="preserve"> و</w:t>
      </w:r>
      <w:r w:rsidRPr="00A965F6">
        <w:rPr>
          <w:lang w:val="en-CA"/>
        </w:rPr>
        <w:t>BG</w:t>
      </w:r>
      <w:r w:rsidRPr="00A965F6">
        <w:rPr>
          <w:rFonts w:hint="cs"/>
          <w:rtl/>
        </w:rPr>
        <w:t xml:space="preserve"> و</w:t>
      </w:r>
      <w:r w:rsidRPr="00A965F6">
        <w:rPr>
          <w:lang w:val="en-CA"/>
        </w:rPr>
        <w:t>BB</w:t>
      </w:r>
      <w:r w:rsidRPr="00A965F6">
        <w:rPr>
          <w:rFonts w:hint="cs"/>
          <w:rtl/>
        </w:rPr>
        <w:t>)</w:t>
      </w:r>
      <w:r>
        <w:rPr>
          <w:rFonts w:hint="cs"/>
          <w:rtl/>
        </w:rPr>
        <w:t xml:space="preserve"> منذ</w:t>
      </w:r>
      <w:r w:rsidRPr="00A965F6">
        <w:rPr>
          <w:rFonts w:hint="cs"/>
        </w:rPr>
        <w:t xml:space="preserve"> </w:t>
      </w:r>
      <w:r w:rsidRPr="00A965F6">
        <w:rPr>
          <w:rFonts w:hint="cs"/>
          <w:rtl/>
        </w:rPr>
        <w:t>سنة</w:t>
      </w:r>
      <w:r w:rsidRPr="00A965F6">
        <w:rPr>
          <w:rtl/>
        </w:rPr>
        <w:t xml:space="preserve"> </w:t>
      </w:r>
      <w:r w:rsidRPr="00A965F6">
        <w:rPr>
          <w:rFonts w:hint="cs"/>
          <w:rtl/>
        </w:rPr>
        <w:t>201</w:t>
      </w:r>
      <w:r>
        <w:rPr>
          <w:rFonts w:hint="cs"/>
          <w:rtl/>
        </w:rPr>
        <w:t>8</w:t>
      </w:r>
      <w:r w:rsidRPr="00A965F6">
        <w:rPr>
          <w:rtl/>
        </w:rPr>
        <w:t xml:space="preserve"> والسنوات السابقة</w:t>
      </w:r>
      <w:r>
        <w:rPr>
          <w:rFonts w:hint="cs"/>
          <w:rtl/>
        </w:rPr>
        <w:t xml:space="preserve"> بهدف سداد تلك المتأخرات بالكامل لصالح جميع الأطراف في الاتفاقية وبروتوكوليها، ويطلب إلى الأمينة التنفيذية أن تبلغ المكتب ومؤتمر الأطراف في اجتماعه الخامس عشر عن حالة هذه المتأخرات؛</w:t>
      </w:r>
    </w:p>
    <w:p w:rsidR="00ED48E1" w:rsidRPr="00A965F6" w:rsidRDefault="00ED48E1" w:rsidP="00CD26C5">
      <w:pPr>
        <w:numPr>
          <w:ilvl w:val="0"/>
          <w:numId w:val="92"/>
        </w:numPr>
        <w:ind w:left="0" w:firstLine="720"/>
      </w:pPr>
      <w:r w:rsidRPr="00A965F6">
        <w:rPr>
          <w:rFonts w:hint="cs"/>
          <w:i/>
          <w:iCs/>
          <w:rtl/>
        </w:rPr>
        <w:t>يؤكد</w:t>
      </w:r>
      <w:r w:rsidRPr="00A965F6">
        <w:rPr>
          <w:rtl/>
        </w:rPr>
        <w:t xml:space="preserve"> </w:t>
      </w:r>
      <w:r w:rsidRPr="00A965F6">
        <w:rPr>
          <w:rFonts w:hint="cs"/>
          <w:rtl/>
        </w:rPr>
        <w:t xml:space="preserve">أنه </w:t>
      </w:r>
      <w:r w:rsidRPr="00A965F6">
        <w:rPr>
          <w:rtl/>
        </w:rPr>
        <w:t xml:space="preserve">بالنسبة للاشتراكات المستحقة في </w:t>
      </w:r>
      <w:r w:rsidRPr="00A965F6">
        <w:rPr>
          <w:lang w:val="en-GB"/>
        </w:rPr>
        <w:t>1</w:t>
      </w:r>
      <w:r w:rsidRPr="00A965F6">
        <w:rPr>
          <w:rtl/>
        </w:rPr>
        <w:t xml:space="preserve"> يناير/كانون الثاني </w:t>
      </w:r>
      <w:r w:rsidRPr="00A965F6">
        <w:rPr>
          <w:rFonts w:hint="cs"/>
          <w:rtl/>
        </w:rPr>
        <w:t>2005</w:t>
      </w:r>
      <w:r w:rsidRPr="00A965F6">
        <w:rPr>
          <w:rtl/>
        </w:rPr>
        <w:t xml:space="preserve"> و</w:t>
      </w:r>
      <w:r w:rsidRPr="00A965F6">
        <w:rPr>
          <w:rFonts w:hint="cs"/>
          <w:rtl/>
        </w:rPr>
        <w:t xml:space="preserve">ما </w:t>
      </w:r>
      <w:r w:rsidRPr="00A965F6">
        <w:rPr>
          <w:rtl/>
        </w:rPr>
        <w:t>بعده،</w:t>
      </w:r>
      <w:r w:rsidRPr="00A965F6">
        <w:rPr>
          <w:rFonts w:hint="cs"/>
          <w:rtl/>
        </w:rPr>
        <w:t xml:space="preserve"> فإ</w:t>
      </w:r>
      <w:r w:rsidRPr="00A965F6">
        <w:rPr>
          <w:rtl/>
        </w:rPr>
        <w:t>ن</w:t>
      </w:r>
      <w:r w:rsidRPr="00A965F6">
        <w:rPr>
          <w:rFonts w:hint="cs"/>
          <w:rtl/>
        </w:rPr>
        <w:t xml:space="preserve"> الأطراف التي تتأخر في سداد اشتراكاتها لمدة سنتين أو أكثر،</w:t>
      </w:r>
      <w:r w:rsidRPr="00A965F6">
        <w:rPr>
          <w:rtl/>
        </w:rPr>
        <w:t xml:space="preserve"> لن تكون مؤهلة ل</w:t>
      </w:r>
      <w:r w:rsidRPr="00A965F6">
        <w:rPr>
          <w:rFonts w:hint="cs"/>
          <w:rtl/>
        </w:rPr>
        <w:t xml:space="preserve">لانضمام إلى </w:t>
      </w:r>
      <w:r w:rsidRPr="00A965F6">
        <w:rPr>
          <w:rtl/>
        </w:rPr>
        <w:t>عضوية مك</w:t>
      </w:r>
      <w:r w:rsidRPr="00A965F6">
        <w:rPr>
          <w:rFonts w:hint="cs"/>
          <w:rtl/>
        </w:rPr>
        <w:t>ا</w:t>
      </w:r>
      <w:r w:rsidRPr="00A965F6">
        <w:rPr>
          <w:rtl/>
        </w:rPr>
        <w:t xml:space="preserve">تب </w:t>
      </w:r>
      <w:r w:rsidRPr="00A965F6">
        <w:rPr>
          <w:rFonts w:hint="cs"/>
          <w:rtl/>
        </w:rPr>
        <w:t xml:space="preserve">الاتفاقية، أو بروتوكوليها أو الهيئة الفرعية للمشورة العلمية والتقنية والتكنولوجية، أو لترشيح عضو في لجنة الامتثال، ويقرر أن </w:t>
      </w:r>
      <w:r w:rsidRPr="00A965F6">
        <w:rPr>
          <w:rtl/>
        </w:rPr>
        <w:t xml:space="preserve">ينطبق ذلك </w:t>
      </w:r>
      <w:r w:rsidRPr="00A965F6">
        <w:rPr>
          <w:rFonts w:hint="cs"/>
          <w:rtl/>
        </w:rPr>
        <w:t>فحسب</w:t>
      </w:r>
      <w:r w:rsidRPr="00A965F6">
        <w:rPr>
          <w:rtl/>
        </w:rPr>
        <w:t xml:space="preserve"> في حالة الأطراف </w:t>
      </w:r>
      <w:r w:rsidRPr="00A965F6">
        <w:rPr>
          <w:rFonts w:hint="cs"/>
          <w:rtl/>
        </w:rPr>
        <w:t xml:space="preserve">التي هي </w:t>
      </w:r>
      <w:r w:rsidRPr="00A965F6">
        <w:rPr>
          <w:rtl/>
        </w:rPr>
        <w:t>من غير أقل البلدان نموا أو الدول الجزرية الصغيرة النامية؛</w:t>
      </w:r>
    </w:p>
    <w:p w:rsidR="00ED48E1" w:rsidRPr="00A965F6" w:rsidRDefault="00ED48E1" w:rsidP="00CD26C5">
      <w:pPr>
        <w:numPr>
          <w:ilvl w:val="0"/>
          <w:numId w:val="92"/>
        </w:numPr>
        <w:ind w:left="0" w:firstLine="720"/>
      </w:pPr>
      <w:r w:rsidRPr="00A965F6">
        <w:rPr>
          <w:rFonts w:hint="cs"/>
          <w:i/>
          <w:iCs/>
          <w:rtl/>
        </w:rPr>
        <w:t>يأذن</w:t>
      </w:r>
      <w:r w:rsidRPr="00A965F6">
        <w:rPr>
          <w:rFonts w:hint="cs"/>
          <w:rtl/>
        </w:rPr>
        <w:t xml:space="preserve"> للأمينة التنفيذية </w:t>
      </w:r>
      <w:r w:rsidRPr="00A965F6">
        <w:rPr>
          <w:rtl/>
        </w:rPr>
        <w:t xml:space="preserve">إبرام ترتيبات مع أي طرف </w:t>
      </w:r>
      <w:r w:rsidRPr="00A965F6">
        <w:rPr>
          <w:rFonts w:hint="cs"/>
          <w:rtl/>
        </w:rPr>
        <w:t>ي</w:t>
      </w:r>
      <w:r w:rsidRPr="00A965F6">
        <w:rPr>
          <w:rtl/>
        </w:rPr>
        <w:t>تأخر في سداد اشتراكاته ل</w:t>
      </w:r>
      <w:r w:rsidRPr="00A965F6">
        <w:rPr>
          <w:rFonts w:hint="cs"/>
          <w:rtl/>
        </w:rPr>
        <w:t xml:space="preserve">مدة </w:t>
      </w:r>
      <w:r w:rsidRPr="00A965F6">
        <w:rPr>
          <w:rtl/>
        </w:rPr>
        <w:t xml:space="preserve">سنتين أو أكثر </w:t>
      </w:r>
      <w:r w:rsidRPr="00A965F6">
        <w:rPr>
          <w:rFonts w:hint="cs"/>
          <w:rtl/>
        </w:rPr>
        <w:t xml:space="preserve">لإبرام </w:t>
      </w:r>
      <w:r w:rsidRPr="00A965F6">
        <w:rPr>
          <w:rtl/>
        </w:rPr>
        <w:t xml:space="preserve">اتفاق </w:t>
      </w:r>
      <w:r w:rsidRPr="00A965F6">
        <w:rPr>
          <w:rFonts w:hint="cs"/>
          <w:rtl/>
        </w:rPr>
        <w:t xml:space="preserve">متبادل </w:t>
      </w:r>
      <w:r w:rsidRPr="00A965F6">
        <w:rPr>
          <w:rtl/>
        </w:rPr>
        <w:t xml:space="preserve">على "جدول </w:t>
      </w:r>
      <w:r w:rsidRPr="00A965F6">
        <w:rPr>
          <w:rFonts w:hint="cs"/>
          <w:rtl/>
        </w:rPr>
        <w:t>زمني لل</w:t>
      </w:r>
      <w:r w:rsidRPr="00A965F6">
        <w:rPr>
          <w:rtl/>
        </w:rPr>
        <w:t>سداد" لهذا الطرف من أجل تسوية جميع متأخراته ال</w:t>
      </w:r>
      <w:r w:rsidRPr="00A965F6">
        <w:rPr>
          <w:rFonts w:hint="cs"/>
          <w:rtl/>
        </w:rPr>
        <w:t>متبقية</w:t>
      </w:r>
      <w:r w:rsidRPr="00A965F6">
        <w:rPr>
          <w:rtl/>
        </w:rPr>
        <w:t xml:space="preserve"> في غضون ست سنوات </w:t>
      </w:r>
      <w:r w:rsidRPr="00A965F6">
        <w:rPr>
          <w:rFonts w:hint="cs"/>
          <w:rtl/>
        </w:rPr>
        <w:t>وفقا</w:t>
      </w:r>
      <w:r w:rsidRPr="00A965F6">
        <w:rPr>
          <w:rtl/>
        </w:rPr>
        <w:t xml:space="preserve"> </w:t>
      </w:r>
      <w:r w:rsidRPr="00A965F6">
        <w:rPr>
          <w:rFonts w:hint="cs"/>
          <w:rtl/>
        </w:rPr>
        <w:t>للظروف</w:t>
      </w:r>
      <w:r w:rsidRPr="00A965F6">
        <w:rPr>
          <w:rtl/>
        </w:rPr>
        <w:t xml:space="preserve"> المالية للطرف المتأخر </w:t>
      </w:r>
      <w:r w:rsidRPr="00A965F6">
        <w:rPr>
          <w:rFonts w:hint="cs"/>
          <w:rtl/>
        </w:rPr>
        <w:t>في</w:t>
      </w:r>
      <w:r w:rsidRPr="00A965F6">
        <w:rPr>
          <w:rtl/>
        </w:rPr>
        <w:t xml:space="preserve"> السداد، وسداد الاشتراكات </w:t>
      </w:r>
      <w:r w:rsidRPr="00A965F6">
        <w:rPr>
          <w:rFonts w:hint="cs"/>
          <w:rtl/>
        </w:rPr>
        <w:t>مستقبلا</w:t>
      </w:r>
      <w:r w:rsidRPr="00A965F6">
        <w:rPr>
          <w:rtl/>
        </w:rPr>
        <w:t xml:space="preserve"> بحلول موعد استحقاقها، والإبلاغ عن تنفيذ أي من هذه الترتيبات </w:t>
      </w:r>
      <w:r w:rsidRPr="00A965F6">
        <w:rPr>
          <w:rFonts w:hint="cs"/>
          <w:rtl/>
        </w:rPr>
        <w:t>إلى</w:t>
      </w:r>
      <w:r w:rsidRPr="00A965F6">
        <w:rPr>
          <w:rtl/>
        </w:rPr>
        <w:t xml:space="preserve"> </w:t>
      </w:r>
      <w:r w:rsidRPr="00A965F6">
        <w:rPr>
          <w:rFonts w:hint="cs"/>
          <w:rtl/>
        </w:rPr>
        <w:t xml:space="preserve">المكتب في </w:t>
      </w:r>
      <w:r w:rsidRPr="00A965F6">
        <w:rPr>
          <w:rtl/>
        </w:rPr>
        <w:t>اجتماع</w:t>
      </w:r>
      <w:r w:rsidRPr="00A965F6">
        <w:rPr>
          <w:rFonts w:hint="cs"/>
          <w:rtl/>
        </w:rPr>
        <w:t>ه</w:t>
      </w:r>
      <w:r w:rsidRPr="00A965F6">
        <w:rPr>
          <w:rtl/>
        </w:rPr>
        <w:t xml:space="preserve"> ال</w:t>
      </w:r>
      <w:r w:rsidRPr="00A965F6">
        <w:rPr>
          <w:rFonts w:hint="cs"/>
          <w:rtl/>
        </w:rPr>
        <w:t>قادم</w:t>
      </w:r>
      <w:r w:rsidRPr="00A965F6">
        <w:rPr>
          <w:rtl/>
        </w:rPr>
        <w:t xml:space="preserve"> وإلى مؤتمر الأطراف</w:t>
      </w:r>
      <w:r w:rsidRPr="00A965F6">
        <w:rPr>
          <w:rFonts w:hint="cs"/>
          <w:rtl/>
        </w:rPr>
        <w:t>؛</w:t>
      </w:r>
    </w:p>
    <w:p w:rsidR="00ED48E1" w:rsidRPr="00A965F6" w:rsidRDefault="00ED48E1" w:rsidP="00CD26C5">
      <w:pPr>
        <w:numPr>
          <w:ilvl w:val="0"/>
          <w:numId w:val="92"/>
        </w:numPr>
        <w:ind w:left="0" w:firstLine="720"/>
      </w:pPr>
      <w:r w:rsidRPr="00A965F6">
        <w:rPr>
          <w:rFonts w:hint="cs"/>
          <w:i/>
          <w:iCs/>
          <w:rtl/>
        </w:rPr>
        <w:t>يقرر</w:t>
      </w:r>
      <w:r w:rsidRPr="00A965F6">
        <w:rPr>
          <w:rFonts w:hint="cs"/>
          <w:rtl/>
        </w:rPr>
        <w:t xml:space="preserve"> أن الطرف </w:t>
      </w:r>
      <w:r w:rsidRPr="00A965F6">
        <w:rPr>
          <w:rtl/>
        </w:rPr>
        <w:t xml:space="preserve">الذي </w:t>
      </w:r>
      <w:r w:rsidRPr="00A965F6">
        <w:rPr>
          <w:rFonts w:hint="cs"/>
          <w:rtl/>
        </w:rPr>
        <w:t>يعقد</w:t>
      </w:r>
      <w:r w:rsidRPr="00A965F6">
        <w:rPr>
          <w:rtl/>
        </w:rPr>
        <w:t xml:space="preserve"> ترتيب</w:t>
      </w:r>
      <w:r w:rsidRPr="00A965F6">
        <w:rPr>
          <w:rFonts w:hint="cs"/>
          <w:rtl/>
        </w:rPr>
        <w:t>ا</w:t>
      </w:r>
      <w:r w:rsidRPr="00A965F6">
        <w:rPr>
          <w:rtl/>
        </w:rPr>
        <w:t xml:space="preserve"> متفق</w:t>
      </w:r>
      <w:r w:rsidRPr="00A965F6">
        <w:rPr>
          <w:rFonts w:hint="cs"/>
          <w:rtl/>
        </w:rPr>
        <w:t>ا</w:t>
      </w:r>
      <w:r w:rsidRPr="00A965F6">
        <w:rPr>
          <w:rtl/>
        </w:rPr>
        <w:t xml:space="preserve"> عليه </w:t>
      </w:r>
      <w:r w:rsidRPr="00A965F6">
        <w:rPr>
          <w:rFonts w:hint="cs"/>
          <w:rtl/>
        </w:rPr>
        <w:t xml:space="preserve">وفقا للفقرة </w:t>
      </w:r>
      <w:r>
        <w:rPr>
          <w:rFonts w:hint="cs"/>
          <w:rtl/>
        </w:rPr>
        <w:t>29</w:t>
      </w:r>
      <w:r w:rsidRPr="00A965F6">
        <w:rPr>
          <w:rFonts w:hint="cs"/>
          <w:rtl/>
        </w:rPr>
        <w:t xml:space="preserve"> أعلاه </w:t>
      </w:r>
      <w:r w:rsidRPr="00A965F6">
        <w:rPr>
          <w:rtl/>
        </w:rPr>
        <w:t xml:space="preserve">ويحترم تماما أحكام </w:t>
      </w:r>
      <w:r>
        <w:rPr>
          <w:rFonts w:hint="cs"/>
          <w:rtl/>
        </w:rPr>
        <w:t>ذلك</w:t>
      </w:r>
      <w:r w:rsidRPr="00A965F6">
        <w:rPr>
          <w:rtl/>
        </w:rPr>
        <w:t xml:space="preserve"> الترتيب لن يخضع لأحكام الفقرة </w:t>
      </w:r>
      <w:r>
        <w:rPr>
          <w:rFonts w:hint="cs"/>
          <w:rtl/>
        </w:rPr>
        <w:t>28</w:t>
      </w:r>
      <w:r w:rsidRPr="00A965F6">
        <w:rPr>
          <w:rtl/>
        </w:rPr>
        <w:t xml:space="preserve"> أعلاه</w:t>
      </w:r>
      <w:r w:rsidRPr="00A965F6">
        <w:rPr>
          <w:rFonts w:hint="cs"/>
          <w:rtl/>
        </w:rPr>
        <w:t>؛</w:t>
      </w:r>
    </w:p>
    <w:p w:rsidR="00ED48E1" w:rsidRPr="00A965F6" w:rsidRDefault="00ED48E1" w:rsidP="00CD26C5">
      <w:pPr>
        <w:numPr>
          <w:ilvl w:val="0"/>
          <w:numId w:val="92"/>
        </w:numPr>
        <w:ind w:left="0" w:firstLine="720"/>
      </w:pPr>
      <w:r w:rsidRPr="00A965F6">
        <w:rPr>
          <w:rFonts w:hint="cs"/>
          <w:i/>
          <w:iCs/>
          <w:rtl/>
        </w:rPr>
        <w:t>يطلب</w:t>
      </w:r>
      <w:r w:rsidRPr="00A965F6">
        <w:rPr>
          <w:rFonts w:hint="cs"/>
          <w:rtl/>
        </w:rPr>
        <w:t xml:space="preserve"> إلى الأمينة التنفيذية </w:t>
      </w:r>
      <w:r w:rsidRPr="00A965F6">
        <w:rPr>
          <w:rFonts w:hint="cs"/>
          <w:i/>
          <w:iCs/>
          <w:rtl/>
        </w:rPr>
        <w:t>ويدعو</w:t>
      </w:r>
      <w:r w:rsidRPr="00A965F6">
        <w:rPr>
          <w:rFonts w:hint="cs"/>
          <w:rtl/>
        </w:rPr>
        <w:t xml:space="preserve"> رئيس مؤتمر الأطراف، عن طريق</w:t>
      </w:r>
      <w:r w:rsidRPr="00A965F6">
        <w:rPr>
          <w:rtl/>
        </w:rPr>
        <w:t xml:space="preserve"> </w:t>
      </w:r>
      <w:r w:rsidRPr="00A965F6">
        <w:rPr>
          <w:rFonts w:hint="cs"/>
          <w:rtl/>
        </w:rPr>
        <w:t>خطاب مشترك</w:t>
      </w:r>
      <w:r w:rsidRPr="00A965F6">
        <w:rPr>
          <w:rtl/>
        </w:rPr>
        <w:t xml:space="preserve"> م</w:t>
      </w:r>
      <w:r w:rsidRPr="00A965F6">
        <w:rPr>
          <w:rFonts w:hint="cs"/>
          <w:rtl/>
        </w:rPr>
        <w:t>وقع عليه</w:t>
      </w:r>
      <w:r w:rsidRPr="00A965F6">
        <w:rPr>
          <w:rtl/>
        </w:rPr>
        <w:t>، إلى إخطار الأطراف ال</w:t>
      </w:r>
      <w:r w:rsidRPr="00A965F6">
        <w:rPr>
          <w:rFonts w:hint="cs"/>
          <w:rtl/>
        </w:rPr>
        <w:t>تي تأخرت</w:t>
      </w:r>
      <w:r w:rsidRPr="00A965F6">
        <w:rPr>
          <w:rtl/>
        </w:rPr>
        <w:t xml:space="preserve"> في سداد اشتراكاتها </w:t>
      </w:r>
      <w:r w:rsidRPr="00A965F6">
        <w:rPr>
          <w:rFonts w:hint="cs"/>
          <w:rtl/>
        </w:rPr>
        <w:t>ي</w:t>
      </w:r>
      <w:r w:rsidRPr="00A965F6">
        <w:rPr>
          <w:rtl/>
        </w:rPr>
        <w:t>دعوها لاتخاذ إجراءات في الوقت المناسب</w:t>
      </w:r>
      <w:r w:rsidRPr="00A965F6">
        <w:rPr>
          <w:rFonts w:hint="cs"/>
          <w:rtl/>
        </w:rPr>
        <w:t>،</w:t>
      </w:r>
      <w:r w:rsidRPr="00A965F6">
        <w:rPr>
          <w:rtl/>
        </w:rPr>
        <w:t xml:space="preserve"> و</w:t>
      </w:r>
      <w:r w:rsidRPr="00A965F6">
        <w:rPr>
          <w:rFonts w:hint="cs"/>
          <w:rtl/>
        </w:rPr>
        <w:t>ي</w:t>
      </w:r>
      <w:r w:rsidRPr="00A965F6">
        <w:rPr>
          <w:rtl/>
        </w:rPr>
        <w:t xml:space="preserve">شكر الأطراف التي </w:t>
      </w:r>
      <w:r w:rsidRPr="00A965F6">
        <w:rPr>
          <w:rFonts w:hint="cs"/>
          <w:rtl/>
        </w:rPr>
        <w:t>استجابت بطريقة إيجابية</w:t>
      </w:r>
      <w:r w:rsidRPr="00A965F6">
        <w:rPr>
          <w:rtl/>
        </w:rPr>
        <w:t xml:space="preserve"> </w:t>
      </w:r>
      <w:r w:rsidRPr="00A965F6">
        <w:rPr>
          <w:rFonts w:hint="cs"/>
          <w:rtl/>
        </w:rPr>
        <w:t>ل</w:t>
      </w:r>
      <w:r w:rsidRPr="00A965F6">
        <w:rPr>
          <w:rtl/>
        </w:rPr>
        <w:t>سداد اشتراكاتها المتبقية؛</w:t>
      </w:r>
    </w:p>
    <w:p w:rsidR="00ED48E1" w:rsidRPr="00A965F6" w:rsidRDefault="00ED48E1" w:rsidP="00CD26C5">
      <w:pPr>
        <w:numPr>
          <w:ilvl w:val="0"/>
          <w:numId w:val="92"/>
        </w:numPr>
        <w:ind w:left="0" w:firstLine="720"/>
      </w:pPr>
      <w:r w:rsidRPr="00A965F6">
        <w:rPr>
          <w:rFonts w:hint="cs"/>
          <w:i/>
          <w:iCs/>
          <w:rtl/>
        </w:rPr>
        <w:t>يلاحظ</w:t>
      </w:r>
      <w:r w:rsidRPr="00A965F6">
        <w:rPr>
          <w:i/>
          <w:iCs/>
          <w:rtl/>
        </w:rPr>
        <w:t xml:space="preserve"> </w:t>
      </w:r>
      <w:r w:rsidRPr="00A965F6">
        <w:rPr>
          <w:rtl/>
        </w:rPr>
        <w:t xml:space="preserve">أن الصناديق الاستئمانية للاتفاقية </w:t>
      </w:r>
      <w:r w:rsidRPr="00A965F6">
        <w:rPr>
          <w:rFonts w:hint="cs"/>
          <w:rtl/>
        </w:rPr>
        <w:t>وبروتوكوليها</w:t>
      </w:r>
      <w:r w:rsidRPr="00A965F6">
        <w:rPr>
          <w:rtl/>
        </w:rPr>
        <w:t xml:space="preserve"> (</w:t>
      </w:r>
      <w:r w:rsidRPr="00A965F6">
        <w:rPr>
          <w:lang w:val="en-GB"/>
        </w:rPr>
        <w:t>BY</w:t>
      </w:r>
      <w:r w:rsidRPr="00A965F6">
        <w:rPr>
          <w:rtl/>
        </w:rPr>
        <w:t xml:space="preserve"> و</w:t>
      </w:r>
      <w:r w:rsidRPr="00A965F6">
        <w:rPr>
          <w:lang w:val="en-GB"/>
        </w:rPr>
        <w:t>BG</w:t>
      </w:r>
      <w:r w:rsidRPr="00A965F6">
        <w:rPr>
          <w:rtl/>
        </w:rPr>
        <w:t xml:space="preserve"> و</w:t>
      </w:r>
      <w:r w:rsidRPr="00A965F6">
        <w:rPr>
          <w:lang w:val="en-GB"/>
        </w:rPr>
        <w:t>BB</w:t>
      </w:r>
      <w:r w:rsidRPr="00A965F6">
        <w:rPr>
          <w:rtl/>
        </w:rPr>
        <w:t xml:space="preserve">) ينبغي تمديدها لفترة سنتين تبدأ من </w:t>
      </w:r>
      <w:r w:rsidRPr="00A965F6">
        <w:rPr>
          <w:rFonts w:ascii="Simplified Arabic" w:hAnsi="Simplified Arabic"/>
          <w:sz w:val="24"/>
          <w:lang w:val="en-GB"/>
        </w:rPr>
        <w:t>1</w:t>
      </w:r>
      <w:r w:rsidRPr="00A965F6">
        <w:rPr>
          <w:rFonts w:hint="cs"/>
          <w:rtl/>
        </w:rPr>
        <w:t> </w:t>
      </w:r>
      <w:r w:rsidRPr="00A965F6">
        <w:rPr>
          <w:rtl/>
        </w:rPr>
        <w:t xml:space="preserve">يناير/كانون الثاني </w:t>
      </w:r>
      <w:r w:rsidRPr="00A965F6">
        <w:rPr>
          <w:rFonts w:ascii="Simplified Arabic" w:hAnsi="Simplified Arabic"/>
          <w:sz w:val="24"/>
          <w:lang w:val="en-GB"/>
        </w:rPr>
        <w:t>2020</w:t>
      </w:r>
      <w:r w:rsidRPr="00A965F6">
        <w:rPr>
          <w:rtl/>
        </w:rPr>
        <w:t xml:space="preserve"> وتنتهي في </w:t>
      </w:r>
      <w:r w:rsidRPr="00A965F6">
        <w:rPr>
          <w:rFonts w:ascii="Simplified Arabic" w:hAnsi="Simplified Arabic"/>
          <w:sz w:val="24"/>
          <w:lang w:val="en-GB"/>
        </w:rPr>
        <w:t>31</w:t>
      </w:r>
      <w:r w:rsidRPr="00A965F6">
        <w:rPr>
          <w:rtl/>
        </w:rPr>
        <w:t xml:space="preserve"> ديسمبر/كانون الأول </w:t>
      </w:r>
      <w:r w:rsidRPr="00A965F6">
        <w:rPr>
          <w:rFonts w:hint="cs"/>
          <w:rtl/>
        </w:rPr>
        <w:t>2021،</w:t>
      </w:r>
      <w:r w:rsidRPr="00A965F6">
        <w:rPr>
          <w:rtl/>
        </w:rPr>
        <w:t xml:space="preserve"> </w:t>
      </w:r>
      <w:r w:rsidRPr="00A965F6">
        <w:rPr>
          <w:i/>
          <w:iCs/>
          <w:rtl/>
        </w:rPr>
        <w:t>ويطلب</w:t>
      </w:r>
      <w:r w:rsidRPr="00A965F6">
        <w:rPr>
          <w:rtl/>
        </w:rPr>
        <w:t xml:space="preserve"> </w:t>
      </w:r>
      <w:r w:rsidRPr="00B438BD">
        <w:rPr>
          <w:i/>
          <w:iCs/>
          <w:rtl/>
        </w:rPr>
        <w:t>إلى</w:t>
      </w:r>
      <w:r w:rsidRPr="00A965F6">
        <w:rPr>
          <w:rtl/>
        </w:rPr>
        <w:t xml:space="preserve"> ال</w:t>
      </w:r>
      <w:r w:rsidRPr="00A965F6">
        <w:rPr>
          <w:rFonts w:hint="cs"/>
          <w:rtl/>
        </w:rPr>
        <w:t>مدير</w:t>
      </w:r>
      <w:r w:rsidRPr="00A965F6">
        <w:rPr>
          <w:rtl/>
        </w:rPr>
        <w:t xml:space="preserve"> التنفيذي لبرنامج الأمم المتحدة للبيئة الحصول على موافقة جمعية الأمم المتحدة للبيئة </w:t>
      </w:r>
      <w:r w:rsidRPr="00A965F6">
        <w:rPr>
          <w:rFonts w:hint="cs"/>
          <w:rtl/>
        </w:rPr>
        <w:t xml:space="preserve">على </w:t>
      </w:r>
      <w:r w:rsidRPr="00A965F6">
        <w:rPr>
          <w:rtl/>
        </w:rPr>
        <w:t>تمديد</w:t>
      </w:r>
      <w:r w:rsidRPr="00A965F6">
        <w:rPr>
          <w:rFonts w:hint="cs"/>
          <w:rtl/>
        </w:rPr>
        <w:t xml:space="preserve"> هذه الصناديق</w:t>
      </w:r>
      <w:r w:rsidRPr="00A965F6">
        <w:rPr>
          <w:rtl/>
        </w:rPr>
        <w:t>؛</w:t>
      </w:r>
    </w:p>
    <w:p w:rsidR="00ED48E1" w:rsidRPr="00A965F6" w:rsidRDefault="00ED48E1" w:rsidP="00CD26C5">
      <w:pPr>
        <w:numPr>
          <w:ilvl w:val="0"/>
          <w:numId w:val="92"/>
        </w:numPr>
        <w:ind w:left="0" w:firstLine="720"/>
        <w:rPr>
          <w:rStyle w:val="shorttext"/>
        </w:rPr>
      </w:pPr>
      <w:r w:rsidRPr="00A965F6">
        <w:rPr>
          <w:rFonts w:hint="cs"/>
          <w:i/>
          <w:iCs/>
          <w:rtl/>
        </w:rPr>
        <w:t xml:space="preserve">يعرب </w:t>
      </w:r>
      <w:r w:rsidRPr="00A965F6">
        <w:rPr>
          <w:rStyle w:val="shorttext"/>
          <w:rFonts w:hint="cs"/>
          <w:i/>
          <w:iCs/>
          <w:rtl/>
        </w:rPr>
        <w:t xml:space="preserve">عن موافقته </w:t>
      </w:r>
      <w:r w:rsidRPr="00A965F6">
        <w:rPr>
          <w:rStyle w:val="shorttext"/>
          <w:rFonts w:hint="cs"/>
          <w:rtl/>
        </w:rPr>
        <w:t>على تقديرات التمويل لما يلي:</w:t>
      </w:r>
    </w:p>
    <w:p w:rsidR="00ED48E1" w:rsidRPr="00A965F6" w:rsidRDefault="00ED48E1" w:rsidP="00CD26C5">
      <w:pPr>
        <w:numPr>
          <w:ilvl w:val="0"/>
          <w:numId w:val="93"/>
        </w:numPr>
        <w:ind w:left="0" w:firstLine="720"/>
      </w:pPr>
      <w:r w:rsidRPr="00A965F6">
        <w:rPr>
          <w:rFonts w:hint="cs"/>
          <w:rtl/>
        </w:rPr>
        <w:t>الصندوق الاستئماني</w:t>
      </w:r>
      <w:r>
        <w:rPr>
          <w:rFonts w:hint="cs"/>
          <w:rtl/>
        </w:rPr>
        <w:t xml:space="preserve"> للمساهمات الطوعية الإضافية لدعم الأنشطة المعتمدة في إطار اتفاقية التنوع البيولوجي</w:t>
      </w:r>
      <w:r w:rsidRPr="00A965F6">
        <w:t xml:space="preserve"> </w:t>
      </w:r>
      <w:r>
        <w:t>(</w:t>
      </w:r>
      <w:r w:rsidRPr="00A965F6">
        <w:rPr>
          <w:rFonts w:hint="cs"/>
        </w:rPr>
        <w:t>BE</w:t>
      </w:r>
      <w:r>
        <w:t>)</w:t>
      </w:r>
      <w:r w:rsidRPr="00A965F6">
        <w:t xml:space="preserve"> </w:t>
      </w:r>
      <w:r w:rsidRPr="00A965F6">
        <w:rPr>
          <w:rFonts w:hint="cs"/>
          <w:rtl/>
        </w:rPr>
        <w:t>للفترة 2019-2020 الوارد في الجدول 3 أدناه؛</w:t>
      </w:r>
    </w:p>
    <w:p w:rsidR="00ED48E1" w:rsidRPr="00A965F6" w:rsidRDefault="00ED48E1" w:rsidP="00CD26C5">
      <w:pPr>
        <w:numPr>
          <w:ilvl w:val="0"/>
          <w:numId w:val="93"/>
        </w:numPr>
        <w:ind w:left="0" w:firstLine="720"/>
      </w:pPr>
      <w:r w:rsidRPr="00A965F6">
        <w:rPr>
          <w:rFonts w:hint="cs"/>
          <w:rtl/>
        </w:rPr>
        <w:t>الصندوق الاستئماني الطوعي الخاص</w:t>
      </w:r>
      <w:r w:rsidRPr="00A965F6">
        <w:rPr>
          <w:rFonts w:hint="cs"/>
        </w:rPr>
        <w:t>(</w:t>
      </w:r>
      <w:r w:rsidRPr="00A965F6">
        <w:t>BZ</w:t>
      </w:r>
      <w:r w:rsidRPr="00A965F6">
        <w:rPr>
          <w:rFonts w:hint="cs"/>
        </w:rPr>
        <w:t xml:space="preserve">) </w:t>
      </w:r>
      <w:r w:rsidRPr="00A965F6">
        <w:rPr>
          <w:rFonts w:hint="cs"/>
          <w:rtl/>
        </w:rPr>
        <w:t xml:space="preserve"> لتيسير مشاركة البلدان النامية الأطراف، لاسيما أقل البلدان نموا والدول الجزرية الصغيرة النامية فضلا عن الأطراف التي تمر اقتصاد</w:t>
      </w:r>
      <w:r>
        <w:rPr>
          <w:rFonts w:hint="cs"/>
          <w:rtl/>
        </w:rPr>
        <w:t>اتها بمرحلة انتقالية، في عمل ا</w:t>
      </w:r>
      <w:r w:rsidRPr="00A965F6">
        <w:rPr>
          <w:rFonts w:hint="cs"/>
          <w:rtl/>
        </w:rPr>
        <w:t xml:space="preserve">تفاقية </w:t>
      </w:r>
      <w:r>
        <w:rPr>
          <w:rFonts w:hint="cs"/>
          <w:rtl/>
        </w:rPr>
        <w:t xml:space="preserve">التنوع البيولوجي </w:t>
      </w:r>
      <w:r w:rsidRPr="00A965F6">
        <w:rPr>
          <w:rFonts w:hint="cs"/>
          <w:rtl/>
        </w:rPr>
        <w:t xml:space="preserve">للفترة 2019-2020، الوارد في الجدول </w:t>
      </w:r>
      <w:r w:rsidRPr="00A965F6">
        <w:rPr>
          <w:rFonts w:eastAsia="Malgun Gothic" w:hint="cs"/>
          <w:i/>
          <w:kern w:val="22"/>
          <w:rtl/>
        </w:rPr>
        <w:t>4</w:t>
      </w:r>
      <w:r w:rsidRPr="00A965F6">
        <w:rPr>
          <w:rFonts w:eastAsia="Malgun Gothic" w:hint="cs"/>
          <w:iCs/>
          <w:kern w:val="22"/>
          <w:rtl/>
        </w:rPr>
        <w:t xml:space="preserve"> </w:t>
      </w:r>
      <w:r w:rsidRPr="00A965F6">
        <w:rPr>
          <w:rFonts w:hint="cs"/>
          <w:rtl/>
        </w:rPr>
        <w:t>أدناه؛</w:t>
      </w:r>
    </w:p>
    <w:p w:rsidR="00ED48E1" w:rsidRPr="00A965F6" w:rsidRDefault="00ED48E1" w:rsidP="00ED48E1">
      <w:pPr>
        <w:ind w:firstLine="720"/>
        <w:rPr>
          <w:rtl/>
        </w:rPr>
      </w:pPr>
      <w:r w:rsidRPr="00A965F6">
        <w:rPr>
          <w:rFonts w:hint="cs"/>
          <w:rtl/>
        </w:rPr>
        <w:t>(ج)</w:t>
      </w:r>
      <w:r w:rsidRPr="00A965F6">
        <w:rPr>
          <w:rFonts w:hint="cs"/>
          <w:rtl/>
        </w:rPr>
        <w:tab/>
        <w:t>الصندوق الاستئماني</w:t>
      </w:r>
      <w:r>
        <w:rPr>
          <w:rFonts w:hint="cs"/>
          <w:rtl/>
        </w:rPr>
        <w:t xml:space="preserve"> العام</w:t>
      </w:r>
      <w:r w:rsidRPr="00A965F6">
        <w:rPr>
          <w:rFonts w:hint="cs"/>
          <w:rtl/>
        </w:rPr>
        <w:t xml:space="preserve"> </w:t>
      </w:r>
      <w:r>
        <w:t>(</w:t>
      </w:r>
      <w:r w:rsidRPr="00A965F6">
        <w:rPr>
          <w:lang w:val="en-CA"/>
        </w:rPr>
        <w:t>VB</w:t>
      </w:r>
      <w:r>
        <w:rPr>
          <w:lang w:val="en-CA"/>
        </w:rPr>
        <w:t>)</w:t>
      </w:r>
      <w:r w:rsidRPr="00A965F6">
        <w:rPr>
          <w:rFonts w:hint="cs"/>
          <w:rtl/>
        </w:rPr>
        <w:t xml:space="preserve"> لتيسير مشاركة الشعوب الأصل</w:t>
      </w:r>
      <w:r>
        <w:rPr>
          <w:rFonts w:hint="cs"/>
          <w:rtl/>
        </w:rPr>
        <w:t>ية والمجتمعات المحلية في عمل ا</w:t>
      </w:r>
      <w:r w:rsidRPr="00A965F6">
        <w:rPr>
          <w:rFonts w:hint="cs"/>
          <w:rtl/>
        </w:rPr>
        <w:t xml:space="preserve">تفاقية </w:t>
      </w:r>
      <w:r>
        <w:rPr>
          <w:rFonts w:hint="cs"/>
          <w:rtl/>
        </w:rPr>
        <w:t xml:space="preserve">التنوع البيولوجي </w:t>
      </w:r>
      <w:r w:rsidRPr="00A965F6">
        <w:rPr>
          <w:rFonts w:hint="cs"/>
          <w:rtl/>
        </w:rPr>
        <w:t>للفترة 2019-2020، الوارد في الجدول 5 أدناه؛</w:t>
      </w:r>
    </w:p>
    <w:p w:rsidR="00ED48E1" w:rsidRPr="00A965F6" w:rsidRDefault="00ED48E1" w:rsidP="00CD26C5">
      <w:pPr>
        <w:numPr>
          <w:ilvl w:val="0"/>
          <w:numId w:val="92"/>
        </w:numPr>
        <w:ind w:left="0" w:firstLine="720"/>
      </w:pPr>
      <w:r w:rsidRPr="00A965F6">
        <w:rPr>
          <w:rFonts w:hint="cs"/>
          <w:i/>
          <w:iCs/>
          <w:rtl/>
        </w:rPr>
        <w:t>يدعو</w:t>
      </w:r>
      <w:r w:rsidRPr="00A965F6">
        <w:rPr>
          <w:rFonts w:hint="cs"/>
          <w:rtl/>
        </w:rPr>
        <w:t xml:space="preserve"> المدير التنفيذي لبرنامج الأمم المتحدة للبيئة إلى الاستمرار في ترتيب ال</w:t>
      </w:r>
      <w:r w:rsidRPr="00A965F6">
        <w:rPr>
          <w:rtl/>
        </w:rPr>
        <w:t xml:space="preserve">تنازل عن تكاليف دعم البرامج على </w:t>
      </w:r>
      <w:r w:rsidRPr="00A965F6">
        <w:rPr>
          <w:rFonts w:hint="cs"/>
          <w:rtl/>
        </w:rPr>
        <w:t>المساهمات الطوعية</w:t>
      </w:r>
      <w:r w:rsidRPr="00A965F6">
        <w:rPr>
          <w:rtl/>
        </w:rPr>
        <w:t xml:space="preserve"> </w:t>
      </w:r>
      <w:r w:rsidRPr="00A965F6">
        <w:rPr>
          <w:rFonts w:hint="cs"/>
          <w:rtl/>
        </w:rPr>
        <w:t>ل</w:t>
      </w:r>
      <w:r w:rsidRPr="00A965F6">
        <w:rPr>
          <w:rtl/>
        </w:rPr>
        <w:t xml:space="preserve">لمشاركة </w:t>
      </w:r>
      <w:r w:rsidRPr="00A965F6">
        <w:rPr>
          <w:rFonts w:hint="cs"/>
          <w:rtl/>
        </w:rPr>
        <w:t xml:space="preserve">من الصندوقين الاستئمانيين </w:t>
      </w:r>
      <w:r w:rsidRPr="00A965F6">
        <w:rPr>
          <w:lang w:val="en-CA"/>
        </w:rPr>
        <w:t>BZ</w:t>
      </w:r>
      <w:r w:rsidRPr="00A965F6">
        <w:rPr>
          <w:rFonts w:hint="cs"/>
          <w:rtl/>
        </w:rPr>
        <w:t xml:space="preserve"> و</w:t>
      </w:r>
      <w:r w:rsidRPr="00A965F6">
        <w:rPr>
          <w:lang w:val="en-CA"/>
        </w:rPr>
        <w:t>VB</w:t>
      </w:r>
      <w:r w:rsidRPr="00A965F6">
        <w:rPr>
          <w:rFonts w:hint="cs"/>
          <w:rtl/>
        </w:rPr>
        <w:t xml:space="preserve">، نظرا لأن أمانة اتفاقية التنوع البيولوجي تستوفي </w:t>
      </w:r>
      <w:r w:rsidRPr="00A965F6">
        <w:rPr>
          <w:rFonts w:hint="cs"/>
          <w:rtl/>
        </w:rPr>
        <w:lastRenderedPageBreak/>
        <w:t>المعايير المنصوص عليها في القرار 2/18، وهي أن ترتيب المشاركة يتم من جانب موظفين إداريين ممولين من الميزانية التشغيلية لتكاليف دعم البرامج؛</w:t>
      </w:r>
    </w:p>
    <w:p w:rsidR="00ED48E1" w:rsidRPr="00A965F6" w:rsidRDefault="00ED48E1" w:rsidP="00CD26C5">
      <w:pPr>
        <w:numPr>
          <w:ilvl w:val="0"/>
          <w:numId w:val="92"/>
        </w:numPr>
        <w:ind w:left="0" w:firstLine="720"/>
      </w:pPr>
      <w:r w:rsidRPr="00A965F6">
        <w:rPr>
          <w:rFonts w:hint="cs"/>
          <w:i/>
          <w:iCs/>
          <w:rtl/>
        </w:rPr>
        <w:t xml:space="preserve">يشير </w:t>
      </w:r>
      <w:r w:rsidRPr="00A965F6">
        <w:rPr>
          <w:rFonts w:hint="cs"/>
          <w:rtl/>
        </w:rPr>
        <w:t xml:space="preserve">إلى المادة 30 من النظام الداخلي للاتفاقية، </w:t>
      </w:r>
      <w:r w:rsidRPr="00A965F6">
        <w:rPr>
          <w:rFonts w:hint="cs"/>
          <w:i/>
          <w:iCs/>
          <w:rtl/>
        </w:rPr>
        <w:t>ويشدد</w:t>
      </w:r>
      <w:r w:rsidRPr="00A965F6">
        <w:rPr>
          <w:rFonts w:hint="cs"/>
          <w:rtl/>
        </w:rPr>
        <w:t xml:space="preserve"> على الحاجة إلى حضور طائفة عريضة من الأطراف اجتماعات الأ</w:t>
      </w:r>
      <w:r>
        <w:rPr>
          <w:rFonts w:hint="cs"/>
          <w:rtl/>
        </w:rPr>
        <w:t>طراف في الاتفاقية وبروتوكوليها</w:t>
      </w:r>
      <w:r w:rsidRPr="00A965F6">
        <w:rPr>
          <w:rFonts w:hint="cs"/>
          <w:rtl/>
        </w:rPr>
        <w:t>؛</w:t>
      </w:r>
    </w:p>
    <w:p w:rsidR="00ED48E1" w:rsidRPr="00A965F6" w:rsidRDefault="00ED48E1" w:rsidP="00CD26C5">
      <w:pPr>
        <w:numPr>
          <w:ilvl w:val="0"/>
          <w:numId w:val="92"/>
        </w:numPr>
        <w:ind w:left="0" w:firstLine="720"/>
      </w:pPr>
      <w:r w:rsidRPr="00A965F6">
        <w:rPr>
          <w:rFonts w:hint="cs"/>
          <w:i/>
          <w:iCs/>
          <w:rtl/>
        </w:rPr>
        <w:t>يعيد التأكيد</w:t>
      </w:r>
      <w:r w:rsidRPr="00A965F6">
        <w:rPr>
          <w:rFonts w:hint="cs"/>
          <w:rtl/>
        </w:rPr>
        <w:t xml:space="preserve"> على أهمية المشاركة الكاملة والفعالة للأطراف من البلدان النامية، لاسيما أقل البلدان نموا والدول الجزرية الصغيرة النامية، فضلا عن الأطراف التي تمر اقتصاداتها بمرحلة انتقالية، في اجتماعات </w:t>
      </w:r>
      <w:r>
        <w:rPr>
          <w:rFonts w:hint="cs"/>
          <w:rtl/>
        </w:rPr>
        <w:t xml:space="preserve">الأطراف في </w:t>
      </w:r>
      <w:r w:rsidRPr="00A965F6">
        <w:rPr>
          <w:rFonts w:hint="cs"/>
          <w:rtl/>
        </w:rPr>
        <w:t xml:space="preserve">الاتفاقية وبروتوكوليها، وفي هذا السياق، </w:t>
      </w:r>
      <w:r w:rsidRPr="00A965F6">
        <w:rPr>
          <w:rFonts w:hint="cs"/>
          <w:i/>
          <w:iCs/>
          <w:rtl/>
        </w:rPr>
        <w:t>يطلب</w:t>
      </w:r>
      <w:r w:rsidRPr="00B438BD">
        <w:rPr>
          <w:rFonts w:hint="cs"/>
          <w:i/>
          <w:iCs/>
          <w:rtl/>
        </w:rPr>
        <w:t xml:space="preserve"> إلى</w:t>
      </w:r>
      <w:r w:rsidRPr="00A965F6">
        <w:rPr>
          <w:rFonts w:hint="cs"/>
          <w:rtl/>
        </w:rPr>
        <w:t xml:space="preserve"> الأمينة التنفيذية مراعاة المقررات ذات الصلة لمؤتمر الأطراف واجتماعات الأطراف في بروتوكوليها بشأن الاجتماعات المتزامنة وبشأن تحسين فاعلية الهياكل والعمليات في إطار الاتفاقية وبروتوكوليها؛</w:t>
      </w:r>
    </w:p>
    <w:p w:rsidR="00ED48E1" w:rsidRPr="001F6F0C" w:rsidRDefault="00ED48E1" w:rsidP="00CD26C5">
      <w:pPr>
        <w:numPr>
          <w:ilvl w:val="0"/>
          <w:numId w:val="92"/>
        </w:numPr>
        <w:ind w:left="0" w:firstLine="720"/>
      </w:pPr>
      <w:r w:rsidRPr="006801B9">
        <w:rPr>
          <w:rFonts w:hint="cs"/>
          <w:i/>
          <w:iCs/>
          <w:rtl/>
        </w:rPr>
        <w:t>يطلب إلى</w:t>
      </w:r>
      <w:r>
        <w:rPr>
          <w:rFonts w:hint="cs"/>
          <w:rtl/>
        </w:rPr>
        <w:t xml:space="preserve"> الأمينة التنفيذية، بالتشاور مع المكتب وتحت إرشاده، ومع مراعاة التوصية 2/20 التي اعتمدتها الهيئة الفرعية للتنفيذ،</w:t>
      </w:r>
      <w:r>
        <w:rPr>
          <w:rStyle w:val="FootnoteReference"/>
          <w:rtl/>
        </w:rPr>
        <w:footnoteReference w:id="329"/>
      </w:r>
      <w:r>
        <w:rPr>
          <w:rFonts w:hint="cs"/>
          <w:rtl/>
        </w:rPr>
        <w:t xml:space="preserve"> أن تقدم اقتراحا لاعتماده في الاجتماع الخامس عشر لمؤتمر الأطراف، لاستعراض الهيكل والقواعد المتعلقة بالصندوق الاستئماني </w:t>
      </w:r>
      <w:r>
        <w:t>BZ</w:t>
      </w:r>
      <w:r>
        <w:rPr>
          <w:rFonts w:hint="cs"/>
          <w:rtl/>
        </w:rPr>
        <w:t xml:space="preserve"> المعتمدة في الاجتماع التاسع لمؤتمر الأطراف،</w:t>
      </w:r>
      <w:r>
        <w:rPr>
          <w:rStyle w:val="FootnoteReference"/>
          <w:rtl/>
        </w:rPr>
        <w:footnoteReference w:id="330"/>
      </w:r>
      <w:r>
        <w:rPr>
          <w:rFonts w:hint="cs"/>
          <w:rtl/>
        </w:rPr>
        <w:t xml:space="preserve"> من أجل معالجة المشكلة المتكررة لنقص التمويل المستدام والذي يمكن التنبؤ به لضمان أن الصندوق </w:t>
      </w:r>
      <w:r>
        <w:t>BZ</w:t>
      </w:r>
      <w:r w:rsidRPr="00A965F6">
        <w:rPr>
          <w:rFonts w:hint="cs"/>
          <w:rtl/>
        </w:rPr>
        <w:t xml:space="preserve"> </w:t>
      </w:r>
      <w:r>
        <w:rPr>
          <w:rFonts w:hint="cs"/>
          <w:rtl/>
        </w:rPr>
        <w:t>يركز على تقديم التمويل للبلدان التي هي في أشد حاجة للمساعدة على المشاركة،</w:t>
      </w:r>
      <w:bookmarkStart w:id="208" w:name="_Hlk516102755"/>
      <w:bookmarkStart w:id="209" w:name="_Hlk516102677"/>
      <w:r>
        <w:rPr>
          <w:rFonts w:hint="cs"/>
          <w:rtl/>
        </w:rPr>
        <w:t xml:space="preserve"> </w:t>
      </w:r>
      <w:r>
        <w:rPr>
          <w:rtl/>
        </w:rPr>
        <w:t>ولا</w:t>
      </w:r>
      <w:r w:rsidRPr="00A965F6">
        <w:rPr>
          <w:rtl/>
        </w:rPr>
        <w:t xml:space="preserve">سيما أقل البلدان نمواً والدول الجزرية الصغيرة النامية، </w:t>
      </w:r>
      <w:r w:rsidRPr="001F6F0C">
        <w:rPr>
          <w:rFonts w:hint="cs"/>
          <w:i/>
          <w:iCs/>
          <w:rtl/>
        </w:rPr>
        <w:t>ويطلب كذلك إلى</w:t>
      </w:r>
      <w:r>
        <w:rPr>
          <w:rFonts w:hint="cs"/>
          <w:rtl/>
        </w:rPr>
        <w:t xml:space="preserve"> الأمينة التنفيذية أن تبلغ عن التقدم المحرز في تصميم التدابير لزيادة مكانة الصندوق الاستئماني وجاذبيته بالنسبة للجهات المانحة، مع الاستعانة بالخبرة من الصناديق الاستئمانية المشابهة في المحافل الدولية الأخرى؛</w:t>
      </w:r>
    </w:p>
    <w:bookmarkEnd w:id="208"/>
    <w:p w:rsidR="00ED48E1" w:rsidRDefault="00ED48E1" w:rsidP="00CD26C5">
      <w:pPr>
        <w:numPr>
          <w:ilvl w:val="0"/>
          <w:numId w:val="92"/>
        </w:numPr>
        <w:ind w:left="0" w:firstLine="720"/>
        <w:rPr>
          <w:lang w:val="en-GB"/>
        </w:rPr>
      </w:pPr>
      <w:r w:rsidRPr="001F6F0C">
        <w:rPr>
          <w:rFonts w:hint="cs"/>
          <w:i/>
          <w:iCs/>
          <w:rtl/>
          <w:lang w:val="en-GB"/>
        </w:rPr>
        <w:t>يشجع بقوة</w:t>
      </w:r>
      <w:r>
        <w:rPr>
          <w:rFonts w:hint="cs"/>
          <w:rtl/>
          <w:lang w:val="en-GB"/>
        </w:rPr>
        <w:t xml:space="preserve"> الأطراف </w:t>
      </w:r>
      <w:r w:rsidRPr="00A965F6">
        <w:rPr>
          <w:rFonts w:hint="cs"/>
          <w:rtl/>
        </w:rPr>
        <w:t xml:space="preserve">من </w:t>
      </w:r>
      <w:r w:rsidRPr="00A965F6">
        <w:rPr>
          <w:rtl/>
        </w:rPr>
        <w:t xml:space="preserve">البلدان المتقدمة </w:t>
      </w:r>
      <w:r w:rsidRPr="00A965F6">
        <w:rPr>
          <w:rFonts w:hint="cs"/>
          <w:rtl/>
        </w:rPr>
        <w:t xml:space="preserve">وغيرها من </w:t>
      </w:r>
      <w:r w:rsidRPr="00A965F6">
        <w:rPr>
          <w:rtl/>
        </w:rPr>
        <w:t xml:space="preserve">الأطراف </w:t>
      </w:r>
      <w:r w:rsidRPr="00A965F6">
        <w:rPr>
          <w:rFonts w:hint="cs"/>
          <w:rtl/>
        </w:rPr>
        <w:t xml:space="preserve">التي هي في وضع يسمح لها القيام بذلك، بما في ذلك في سياق التعاون فيما بين بلدان الجنوب، إلى </w:t>
      </w:r>
      <w:r>
        <w:rPr>
          <w:rFonts w:hint="cs"/>
          <w:rtl/>
        </w:rPr>
        <w:t>تقديم الموارد المالية اللازمة ل</w:t>
      </w:r>
      <w:r w:rsidRPr="00A965F6">
        <w:rPr>
          <w:rtl/>
        </w:rPr>
        <w:t xml:space="preserve">لصندوق الاستئماني </w:t>
      </w:r>
      <w:r w:rsidRPr="00A965F6">
        <w:rPr>
          <w:lang w:val="en-GB"/>
        </w:rPr>
        <w:t>BZ</w:t>
      </w:r>
      <w:r w:rsidRPr="00A965F6">
        <w:rPr>
          <w:rtl/>
        </w:rPr>
        <w:t xml:space="preserve"> </w:t>
      </w:r>
      <w:r w:rsidRPr="00A965F6">
        <w:rPr>
          <w:rFonts w:hint="cs"/>
          <w:rtl/>
        </w:rPr>
        <w:t>من أجل تمكين</w:t>
      </w:r>
      <w:r w:rsidRPr="00A965F6">
        <w:rPr>
          <w:rtl/>
        </w:rPr>
        <w:t xml:space="preserve"> المشاركة الكاملة والفعالة لممثلي </w:t>
      </w:r>
      <w:r w:rsidRPr="00A965F6">
        <w:rPr>
          <w:rFonts w:hint="cs"/>
          <w:rtl/>
        </w:rPr>
        <w:t xml:space="preserve">الأطراف من </w:t>
      </w:r>
      <w:r>
        <w:rPr>
          <w:rtl/>
        </w:rPr>
        <w:t>البلدان النامية، ولا</w:t>
      </w:r>
      <w:r w:rsidRPr="00A965F6">
        <w:rPr>
          <w:rtl/>
        </w:rPr>
        <w:t xml:space="preserve">سيما أقل البلدان نمواً والدول الجزرية الصغيرة النامية، </w:t>
      </w:r>
      <w:r>
        <w:rPr>
          <w:rFonts w:hint="cs"/>
          <w:rtl/>
        </w:rPr>
        <w:t>فضلا عن</w:t>
      </w:r>
      <w:r w:rsidRPr="00A965F6">
        <w:rPr>
          <w:rtl/>
        </w:rPr>
        <w:t xml:space="preserve"> ال</w:t>
      </w:r>
      <w:r w:rsidRPr="00A965F6">
        <w:rPr>
          <w:rFonts w:hint="cs"/>
          <w:rtl/>
        </w:rPr>
        <w:t>بلدان</w:t>
      </w:r>
      <w:r w:rsidRPr="00A965F6">
        <w:rPr>
          <w:rtl/>
        </w:rPr>
        <w:t xml:space="preserve"> </w:t>
      </w:r>
      <w:r w:rsidRPr="00A965F6">
        <w:rPr>
          <w:rFonts w:hint="cs"/>
          <w:rtl/>
        </w:rPr>
        <w:t>التي تمر اقتصاداتها بمرحلة انتقالية</w:t>
      </w:r>
      <w:r>
        <w:rPr>
          <w:rFonts w:hint="cs"/>
          <w:rtl/>
        </w:rPr>
        <w:t>، في اجتماعات مؤتمر الأطراف، ومؤتمر الأطراف العامل كاجتماعي للأطراف في البروتوكولين، والهيئة الفرعية للمشورة العلمية والتقنية والتكنولوجية، والفريق العامل المفتوح العضوية المخصص للمادة 8(ي) والأحكام المتصلة بها والهيئة الفرعية للتنفيذ</w:t>
      </w:r>
      <w:r w:rsidRPr="00A965F6">
        <w:rPr>
          <w:rFonts w:hint="cs"/>
          <w:rtl/>
        </w:rPr>
        <w:t>؛</w:t>
      </w:r>
    </w:p>
    <w:p w:rsidR="00ED48E1" w:rsidRPr="001F6F0C" w:rsidRDefault="00ED48E1" w:rsidP="00CD26C5">
      <w:pPr>
        <w:numPr>
          <w:ilvl w:val="0"/>
          <w:numId w:val="92"/>
        </w:numPr>
        <w:ind w:left="0" w:firstLine="720"/>
        <w:rPr>
          <w:lang w:val="en-GB"/>
        </w:rPr>
      </w:pPr>
      <w:r>
        <w:rPr>
          <w:rFonts w:hint="cs"/>
          <w:i/>
          <w:iCs/>
          <w:rtl/>
          <w:lang w:val="en-GB"/>
        </w:rPr>
        <w:t xml:space="preserve">يشجع بقوة أيضا </w:t>
      </w:r>
      <w:r>
        <w:rPr>
          <w:rFonts w:hint="cs"/>
          <w:rtl/>
          <w:lang w:val="en-GB"/>
        </w:rPr>
        <w:t xml:space="preserve">الجهات المانحة على تقديم تمويل إضافي للسماح بمشاركة مندوب ثاني من أقل البلدان نموا والدول الجزرية الصغيرة النامية في الاجتماع الخامس عشر لمؤتمر الأطراف، والاجتماع العاشر للأطراف العامل كاجتماع للأطراف في بروتوكول قرطاجنة، والاجتماع الرابع للأطراف العامل كاجتماع للأطراف في بروتوكول ناغويا، </w:t>
      </w:r>
      <w:r w:rsidRPr="00073005">
        <w:rPr>
          <w:rFonts w:hint="cs"/>
          <w:i/>
          <w:iCs/>
          <w:rtl/>
          <w:lang w:val="en-GB"/>
        </w:rPr>
        <w:t>ويطلب إلى</w:t>
      </w:r>
      <w:r>
        <w:rPr>
          <w:rFonts w:hint="cs"/>
          <w:rtl/>
          <w:lang w:val="en-GB"/>
        </w:rPr>
        <w:t xml:space="preserve"> الأمينة التنفيذية أن تقدم تقريرا عن هذا الترتيب إلى مؤتمر الأطراف في اجتماعه الخامس عشر؛</w:t>
      </w:r>
    </w:p>
    <w:p w:rsidR="00ED48E1" w:rsidRPr="000D353A" w:rsidRDefault="00ED48E1" w:rsidP="00CD26C5">
      <w:pPr>
        <w:numPr>
          <w:ilvl w:val="0"/>
          <w:numId w:val="92"/>
        </w:numPr>
        <w:ind w:left="0" w:firstLine="720"/>
        <w:rPr>
          <w:lang w:val="en-GB"/>
        </w:rPr>
      </w:pPr>
      <w:r w:rsidRPr="00A965F6">
        <w:rPr>
          <w:rFonts w:hint="cs"/>
          <w:i/>
          <w:iCs/>
          <w:rtl/>
        </w:rPr>
        <w:t>يشير</w:t>
      </w:r>
      <w:r w:rsidRPr="00A965F6">
        <w:rPr>
          <w:rtl/>
        </w:rPr>
        <w:t xml:space="preserve"> </w:t>
      </w:r>
      <w:r w:rsidRPr="00A965F6">
        <w:rPr>
          <w:rFonts w:hint="cs"/>
          <w:rtl/>
        </w:rPr>
        <w:t xml:space="preserve">إلى </w:t>
      </w:r>
      <w:r w:rsidRPr="00A965F6">
        <w:rPr>
          <w:rtl/>
        </w:rPr>
        <w:t xml:space="preserve">الفقرة 31 من المقرر </w:t>
      </w:r>
      <w:hyperlink r:id="rId87" w:history="1">
        <w:r w:rsidRPr="00A965F6">
          <w:rPr>
            <w:rStyle w:val="Hyperlink"/>
            <w:rFonts w:hint="cs"/>
            <w:rtl/>
          </w:rPr>
          <w:t>9/34</w:t>
        </w:r>
      </w:hyperlink>
      <w:r w:rsidRPr="00A965F6">
        <w:rPr>
          <w:rtl/>
        </w:rPr>
        <w:t>، و</w:t>
      </w:r>
      <w:r w:rsidRPr="00A965F6">
        <w:rPr>
          <w:i/>
          <w:iCs/>
          <w:rtl/>
        </w:rPr>
        <w:t>يطلب إلى</w:t>
      </w:r>
      <w:r w:rsidRPr="00A965F6">
        <w:rPr>
          <w:rtl/>
        </w:rPr>
        <w:t xml:space="preserve"> الأمين</w:t>
      </w:r>
      <w:r w:rsidRPr="00A965F6">
        <w:rPr>
          <w:rFonts w:hint="cs"/>
          <w:rtl/>
        </w:rPr>
        <w:t>ة</w:t>
      </w:r>
      <w:r w:rsidRPr="00A965F6">
        <w:rPr>
          <w:rtl/>
        </w:rPr>
        <w:t xml:space="preserve"> التنفيذي</w:t>
      </w:r>
      <w:r w:rsidRPr="00A965F6">
        <w:rPr>
          <w:rFonts w:hint="cs"/>
          <w:rtl/>
        </w:rPr>
        <w:t>ة أن تواصل</w:t>
      </w:r>
      <w:r w:rsidRPr="00A965F6">
        <w:rPr>
          <w:rtl/>
        </w:rPr>
        <w:t xml:space="preserve">، </w:t>
      </w:r>
      <w:r w:rsidRPr="00A965F6">
        <w:rPr>
          <w:rFonts w:hint="cs"/>
          <w:rtl/>
        </w:rPr>
        <w:t>لدى</w:t>
      </w:r>
      <w:r w:rsidRPr="00A965F6">
        <w:rPr>
          <w:rtl/>
        </w:rPr>
        <w:t xml:space="preserve"> تخصيص التمويل من الصندوق الاستئماني </w:t>
      </w:r>
      <w:r w:rsidRPr="00A965F6">
        <w:rPr>
          <w:lang w:val="en-GB"/>
        </w:rPr>
        <w:t>BZ</w:t>
      </w:r>
      <w:r w:rsidRPr="00A965F6">
        <w:rPr>
          <w:rtl/>
        </w:rPr>
        <w:t xml:space="preserve">، </w:t>
      </w:r>
      <w:r w:rsidRPr="00A965F6">
        <w:rPr>
          <w:rFonts w:hint="cs"/>
          <w:rtl/>
        </w:rPr>
        <w:t>منح</w:t>
      </w:r>
      <w:r w:rsidRPr="00A965F6">
        <w:rPr>
          <w:rtl/>
        </w:rPr>
        <w:t xml:space="preserve"> </w:t>
      </w:r>
      <w:r w:rsidRPr="00A965F6">
        <w:rPr>
          <w:rFonts w:hint="cs"/>
          <w:rtl/>
        </w:rPr>
        <w:t>ال</w:t>
      </w:r>
      <w:r w:rsidRPr="00A965F6">
        <w:rPr>
          <w:rtl/>
        </w:rPr>
        <w:t xml:space="preserve">أولوية </w:t>
      </w:r>
      <w:r w:rsidRPr="00A965F6">
        <w:rPr>
          <w:rFonts w:hint="cs"/>
          <w:rtl/>
        </w:rPr>
        <w:t>الأولى</w:t>
      </w:r>
      <w:r w:rsidRPr="00A965F6">
        <w:rPr>
          <w:rtl/>
        </w:rPr>
        <w:t xml:space="preserve"> لتمويل أقل البلدان نمواً والدول الجزرية الصغيرة النامية</w:t>
      </w:r>
      <w:r w:rsidRPr="00A965F6">
        <w:rPr>
          <w:rFonts w:hint="cs"/>
          <w:rtl/>
        </w:rPr>
        <w:t>؛</w:t>
      </w:r>
      <w:bookmarkEnd w:id="209"/>
    </w:p>
    <w:p w:rsidR="00ED48E1" w:rsidRPr="00073005" w:rsidRDefault="00ED48E1" w:rsidP="00CD26C5">
      <w:pPr>
        <w:numPr>
          <w:ilvl w:val="0"/>
          <w:numId w:val="92"/>
        </w:numPr>
        <w:ind w:left="0" w:firstLine="720"/>
      </w:pPr>
      <w:r>
        <w:rPr>
          <w:rFonts w:hint="cs"/>
          <w:i/>
          <w:iCs/>
          <w:rtl/>
        </w:rPr>
        <w:t xml:space="preserve">يطلب إلى </w:t>
      </w:r>
      <w:r w:rsidRPr="00073005">
        <w:rPr>
          <w:rFonts w:hint="cs"/>
          <w:rtl/>
        </w:rPr>
        <w:t xml:space="preserve">الأمينة التنفيذية المشاركة مع الهيئات الخاصة، والمنظمات </w:t>
      </w:r>
      <w:r>
        <w:rPr>
          <w:rFonts w:hint="cs"/>
          <w:rtl/>
        </w:rPr>
        <w:t xml:space="preserve">غير الحكومية والمنظمات الدولية </w:t>
      </w:r>
      <w:r w:rsidRPr="00073005">
        <w:rPr>
          <w:rFonts w:hint="cs"/>
          <w:rtl/>
        </w:rPr>
        <w:t>لا</w:t>
      </w:r>
      <w:r>
        <w:rPr>
          <w:rFonts w:hint="cs"/>
          <w:rtl/>
        </w:rPr>
        <w:t>ل</w:t>
      </w:r>
      <w:r w:rsidRPr="00073005">
        <w:rPr>
          <w:rFonts w:hint="cs"/>
          <w:rtl/>
        </w:rPr>
        <w:t>تماس مساهمات من الأموال الخارجية للصندوق الاستئماني الطوعي الخاص</w:t>
      </w:r>
      <w:r>
        <w:rPr>
          <w:rFonts w:hint="cs"/>
          <w:i/>
          <w:iCs/>
          <w:rtl/>
        </w:rPr>
        <w:t xml:space="preserve"> </w:t>
      </w:r>
      <w:r>
        <w:t>(</w:t>
      </w:r>
      <w:r w:rsidRPr="00A965F6">
        <w:rPr>
          <w:lang w:val="en-CA"/>
        </w:rPr>
        <w:t>BZ</w:t>
      </w:r>
      <w:r>
        <w:rPr>
          <w:lang w:val="en-CA"/>
        </w:rPr>
        <w:t>)</w:t>
      </w:r>
      <w:r>
        <w:rPr>
          <w:rFonts w:hint="cs"/>
          <w:rtl/>
          <w:lang w:val="en-CA"/>
        </w:rPr>
        <w:t xml:space="preserve">، مع مراعاة: (أ) مختلف المبادئ التوجيهية </w:t>
      </w:r>
      <w:r>
        <w:rPr>
          <w:rFonts w:hint="cs"/>
          <w:rtl/>
        </w:rPr>
        <w:t xml:space="preserve">القائمة لإشراك القطاع الخاص مع منظومة الأمم المتحدة و(ب) خبرات الاتفاقيات الأخرى وعمليات الأمم المتحدة فيما يتعلق بتمويل مشاركة الأطراف من البلدان النامية المؤهلة، بما في ذلك أقل البلدان نموا والدول الجزرية الصغيرة النامية والأطراف التي تمر اقتصاداتها بمرحلة انتقالية، </w:t>
      </w:r>
      <w:r w:rsidRPr="000D353A">
        <w:rPr>
          <w:rFonts w:hint="cs"/>
          <w:i/>
          <w:iCs/>
          <w:rtl/>
        </w:rPr>
        <w:t xml:space="preserve">ويطلب </w:t>
      </w:r>
      <w:r>
        <w:rPr>
          <w:rFonts w:hint="cs"/>
          <w:i/>
          <w:iCs/>
          <w:rtl/>
        </w:rPr>
        <w:t>أيضا</w:t>
      </w:r>
      <w:r>
        <w:rPr>
          <w:rFonts w:hint="cs"/>
          <w:rtl/>
        </w:rPr>
        <w:t xml:space="preserve"> إلى الأمينة التنفيذية أن تبلغ مكتب مؤتمر الأطراف بالتطورات المستجدة في هذا الصدد؛</w:t>
      </w:r>
    </w:p>
    <w:p w:rsidR="00ED48E1" w:rsidRPr="000D353A" w:rsidRDefault="00ED48E1" w:rsidP="00CD26C5">
      <w:pPr>
        <w:numPr>
          <w:ilvl w:val="0"/>
          <w:numId w:val="92"/>
        </w:numPr>
        <w:ind w:left="0" w:firstLine="720"/>
      </w:pPr>
      <w:r w:rsidRPr="007602DC">
        <w:rPr>
          <w:rFonts w:hint="cs"/>
          <w:i/>
          <w:iCs/>
          <w:rtl/>
        </w:rPr>
        <w:lastRenderedPageBreak/>
        <w:t>يشجع</w:t>
      </w:r>
      <w:r>
        <w:rPr>
          <w:rFonts w:hint="cs"/>
          <w:rtl/>
        </w:rPr>
        <w:t xml:space="preserve"> الأطراف من البلدان المتقدمة وغيرها من الأطراف</w:t>
      </w:r>
      <w:r w:rsidRPr="000D353A">
        <w:rPr>
          <w:rFonts w:hint="cs"/>
          <w:rtl/>
        </w:rPr>
        <w:t xml:space="preserve"> </w:t>
      </w:r>
      <w:r w:rsidRPr="00A965F6">
        <w:rPr>
          <w:rFonts w:hint="cs"/>
          <w:rtl/>
        </w:rPr>
        <w:t>التي هي في وضع يسمح لها القيام بذلك،</w:t>
      </w:r>
      <w:r>
        <w:rPr>
          <w:rFonts w:hint="cs"/>
          <w:rtl/>
        </w:rPr>
        <w:t xml:space="preserve"> على تيسير المشاركة من جانب الأمانة مع الجهات المانحة البديلة المحتملة للصندوق الاستئماني </w:t>
      </w:r>
      <w:r>
        <w:t>BZ</w:t>
      </w:r>
      <w:r>
        <w:rPr>
          <w:rFonts w:hint="cs"/>
          <w:rtl/>
        </w:rPr>
        <w:t>، بما في ذلك الهيئات الخاصة، للمساعدة في تمويل مشاركة البلدان النامية المؤهلة في اجتماعات الأطراف في الاتفاقية وبروتوكوليها؛</w:t>
      </w:r>
    </w:p>
    <w:p w:rsidR="00ED48E1" w:rsidRPr="00A965F6" w:rsidRDefault="00ED48E1" w:rsidP="00CD26C5">
      <w:pPr>
        <w:numPr>
          <w:ilvl w:val="0"/>
          <w:numId w:val="92"/>
        </w:numPr>
        <w:ind w:left="0" w:firstLine="720"/>
      </w:pPr>
      <w:r w:rsidRPr="00A965F6">
        <w:rPr>
          <w:rFonts w:hint="cs"/>
          <w:i/>
          <w:iCs/>
          <w:rtl/>
        </w:rPr>
        <w:t>يطلب</w:t>
      </w:r>
      <w:r w:rsidRPr="00A965F6">
        <w:rPr>
          <w:rFonts w:hint="cs"/>
          <w:rtl/>
        </w:rPr>
        <w:t xml:space="preserve"> </w:t>
      </w:r>
      <w:r w:rsidRPr="003101FF">
        <w:rPr>
          <w:rFonts w:hint="cs"/>
          <w:i/>
          <w:iCs/>
          <w:rtl/>
        </w:rPr>
        <w:t xml:space="preserve">إلى </w:t>
      </w:r>
      <w:r>
        <w:rPr>
          <w:rFonts w:hint="cs"/>
          <w:rtl/>
        </w:rPr>
        <w:t>الأمينة التنفيذية تذكير الأطراف</w:t>
      </w:r>
      <w:r w:rsidRPr="00A965F6">
        <w:rPr>
          <w:rFonts w:hint="cs"/>
          <w:rtl/>
        </w:rPr>
        <w:t xml:space="preserve"> </w:t>
      </w:r>
      <w:r>
        <w:rPr>
          <w:rFonts w:hint="cs"/>
          <w:rtl/>
        </w:rPr>
        <w:t xml:space="preserve">في يناير/كانون الثاني من كل سنة مالية </w:t>
      </w:r>
      <w:r w:rsidRPr="00A965F6">
        <w:rPr>
          <w:rFonts w:hint="cs"/>
          <w:rtl/>
        </w:rPr>
        <w:t xml:space="preserve">بالحاجة إلى المساهمة في الصندوق الاستئماني الطوعي الخاص </w:t>
      </w:r>
      <w:r w:rsidRPr="00A965F6">
        <w:rPr>
          <w:lang w:val="en-CA"/>
        </w:rPr>
        <w:t>(BZ)</w:t>
      </w:r>
      <w:r w:rsidRPr="00A965F6">
        <w:rPr>
          <w:rFonts w:hint="cs"/>
          <w:rtl/>
        </w:rPr>
        <w:t xml:space="preserve"> قبل ستة أشهر على الأقل من الاجتماعات العادية ل</w:t>
      </w:r>
      <w:r>
        <w:rPr>
          <w:rFonts w:hint="cs"/>
          <w:rtl/>
        </w:rPr>
        <w:t>لأطراف في ا</w:t>
      </w:r>
      <w:r w:rsidRPr="00A965F6">
        <w:rPr>
          <w:rFonts w:hint="cs"/>
          <w:rtl/>
        </w:rPr>
        <w:t>لاتفاقية وبروتوكوليها</w:t>
      </w:r>
      <w:r>
        <w:rPr>
          <w:rFonts w:hint="cs"/>
          <w:rtl/>
        </w:rPr>
        <w:t>، وإصدار طلبات في ديسمبر/كانون الأول من كل سنة لتغطية</w:t>
      </w:r>
      <w:r w:rsidRPr="00A965F6">
        <w:rPr>
          <w:rFonts w:hint="cs"/>
          <w:rtl/>
        </w:rPr>
        <w:t xml:space="preserve"> </w:t>
      </w:r>
      <w:r>
        <w:rPr>
          <w:rFonts w:hint="cs"/>
          <w:rtl/>
        </w:rPr>
        <w:t xml:space="preserve">الاحتياجات لجميع الاجتماعات ذات الصلة في السنة اللاحقة، وإصدار </w:t>
      </w:r>
      <w:r w:rsidRPr="00A965F6">
        <w:rPr>
          <w:rFonts w:hint="cs"/>
          <w:rtl/>
        </w:rPr>
        <w:t>دعوات مبكرة للجهات المانحة الأخرى لتقديم مساهمات؛</w:t>
      </w:r>
    </w:p>
    <w:p w:rsidR="00ED48E1" w:rsidRPr="00A965F6" w:rsidRDefault="00ED48E1" w:rsidP="00CD26C5">
      <w:pPr>
        <w:numPr>
          <w:ilvl w:val="0"/>
          <w:numId w:val="92"/>
        </w:numPr>
        <w:ind w:left="0" w:firstLine="720"/>
      </w:pPr>
      <w:r w:rsidRPr="00A965F6">
        <w:rPr>
          <w:rFonts w:hint="cs"/>
          <w:i/>
          <w:iCs/>
          <w:rtl/>
        </w:rPr>
        <w:t>يطلب</w:t>
      </w:r>
      <w:r>
        <w:rPr>
          <w:rFonts w:hint="cs"/>
          <w:i/>
          <w:iCs/>
          <w:rtl/>
        </w:rPr>
        <w:t xml:space="preserve"> أيضا</w:t>
      </w:r>
      <w:r w:rsidRPr="00A965F6">
        <w:rPr>
          <w:rFonts w:hint="cs"/>
          <w:rtl/>
        </w:rPr>
        <w:t xml:space="preserve"> إلى الأمينة التنفيذية أن تستمر، بالتشاور مع المكاتب، في رصد توافر المساهمات الطوعية إلى الصندوق الاستئماني الطوعي الخاص </w:t>
      </w:r>
      <w:r w:rsidRPr="00A965F6">
        <w:rPr>
          <w:lang w:val="en-CA"/>
        </w:rPr>
        <w:t>(BZ)</w:t>
      </w:r>
      <w:r w:rsidRPr="00A965F6">
        <w:rPr>
          <w:rFonts w:hint="cs"/>
          <w:rtl/>
        </w:rPr>
        <w:t>؛</w:t>
      </w:r>
    </w:p>
    <w:p w:rsidR="00ED48E1" w:rsidRPr="000D353A" w:rsidRDefault="00ED48E1" w:rsidP="00CD26C5">
      <w:pPr>
        <w:numPr>
          <w:ilvl w:val="0"/>
          <w:numId w:val="92"/>
        </w:numPr>
        <w:ind w:left="0" w:firstLine="720"/>
      </w:pPr>
      <w:r w:rsidRPr="00734771">
        <w:rPr>
          <w:rFonts w:hint="cs"/>
          <w:i/>
          <w:iCs/>
          <w:rtl/>
        </w:rPr>
        <w:t>يرحب</w:t>
      </w:r>
      <w:r w:rsidRPr="00734771">
        <w:rPr>
          <w:rFonts w:hint="cs"/>
          <w:rtl/>
        </w:rPr>
        <w:t xml:space="preserve"> بالتقديم الكريم من حكومة</w:t>
      </w:r>
      <w:r>
        <w:rPr>
          <w:rFonts w:hint="cs"/>
          <w:rtl/>
        </w:rPr>
        <w:t xml:space="preserve"> اليابان لتمويل طارئ لفترة السنتين 2019-2020 بمبلغ 000 500 دولار من دولارات الولايات المتحدة من صندوق التنوع البيولوجي في اليابان</w:t>
      </w:r>
      <w:r>
        <w:rPr>
          <w:rStyle w:val="FootnoteReference"/>
          <w:rtl/>
        </w:rPr>
        <w:footnoteReference w:id="331"/>
      </w:r>
      <w:r>
        <w:rPr>
          <w:rFonts w:hint="cs"/>
          <w:rtl/>
        </w:rPr>
        <w:t xml:space="preserve"> ليكون رأس مال عامل إلى حين تلقي أموال كافية في الصندوق الاستئماني </w:t>
      </w:r>
      <w:r w:rsidRPr="00A965F6">
        <w:rPr>
          <w:lang w:val="en-CA"/>
        </w:rPr>
        <w:t>BZ</w:t>
      </w:r>
      <w:r>
        <w:rPr>
          <w:rFonts w:hint="cs"/>
          <w:rtl/>
        </w:rPr>
        <w:t>؛</w:t>
      </w:r>
    </w:p>
    <w:p w:rsidR="00ED48E1" w:rsidRDefault="00ED48E1" w:rsidP="00CD26C5">
      <w:pPr>
        <w:numPr>
          <w:ilvl w:val="0"/>
          <w:numId w:val="92"/>
        </w:numPr>
        <w:ind w:left="0" w:firstLine="720"/>
      </w:pPr>
      <w:r w:rsidRPr="00A62C1C">
        <w:rPr>
          <w:rFonts w:hint="cs"/>
          <w:i/>
          <w:iCs/>
          <w:rtl/>
        </w:rPr>
        <w:t>يقرر</w:t>
      </w:r>
      <w:r>
        <w:rPr>
          <w:rFonts w:hint="cs"/>
          <w:rtl/>
        </w:rPr>
        <w:t xml:space="preserve"> تخصيص مبلغ يصل إلى 000 500 دولار من دولارات الولايات المتحدة من إيرادات الاستثمار المكتسبة في الصندوق </w:t>
      </w:r>
      <w:r w:rsidRPr="0034409E">
        <w:rPr>
          <w:color w:val="212121"/>
          <w:szCs w:val="22"/>
          <w:lang w:val="en-GB"/>
        </w:rPr>
        <w:t>BE</w:t>
      </w:r>
      <w:r>
        <w:rPr>
          <w:rFonts w:hint="cs"/>
          <w:rtl/>
        </w:rPr>
        <w:t>، دون المساس بالاتفاقات الثنائية التي تقيد استخدام الفوائد المكتسبة على المساهمات الطوعية المعينة، التي يحتمل السحب منها، إذا رأى المدير التنفيذي لبرنامج الأمم المتحدة للبيئة، في الحالات الاستثنائية</w:t>
      </w:r>
      <w:r w:rsidRPr="00A62C1C">
        <w:rPr>
          <w:rStyle w:val="FootnoteReference"/>
          <w:rFonts w:ascii="Simplified Arabic" w:hAnsi="Simplified Arabic"/>
          <w:sz w:val="24"/>
        </w:rPr>
        <w:footnoteReference w:id="332"/>
      </w:r>
      <w:r>
        <w:rPr>
          <w:rFonts w:hint="cs"/>
          <w:rtl/>
        </w:rPr>
        <w:t xml:space="preserve"> الناجمة بخصوص تيسير مشاركة الأطراف من البلدان النامية، ولاسيما أقل البلدان نموا والدول الجزرية الصغيرة النامية، فضلا عن الأطراف التي تمر اقتصاداتها بمرحلة انتقالية، للاجتماعات ذات الأولوية</w:t>
      </w:r>
      <w:r>
        <w:rPr>
          <w:rStyle w:val="FootnoteReference"/>
          <w:rtl/>
        </w:rPr>
        <w:footnoteReference w:id="333"/>
      </w:r>
      <w:r>
        <w:rPr>
          <w:rFonts w:hint="cs"/>
          <w:rtl/>
        </w:rPr>
        <w:t xml:space="preserve"> المحددة في الميزانية الأساسية لفترة السنتين 2019-2020، </w:t>
      </w:r>
      <w:r w:rsidRPr="00A62C1C">
        <w:rPr>
          <w:rFonts w:hint="cs"/>
          <w:i/>
          <w:iCs/>
          <w:rtl/>
        </w:rPr>
        <w:t>ويدعو</w:t>
      </w:r>
      <w:r>
        <w:rPr>
          <w:rFonts w:hint="cs"/>
          <w:rtl/>
        </w:rPr>
        <w:t xml:space="preserve"> المدير التنفيذي، إذا اقتنع بالحاجة الاستثنائية والتوافق لمثل هذا السحب مع النظام المالي والقواعد المالية لبرنامج الأمم المتحدة للبيئة، بالتصريح للأمينة التنفيذية بالسحب على المبلغ المخصص، بالتشاور مع المكتب ورهنا بالمدفوعات اللاحقة من خلال المساهمات الطوعية الجديدة في الصندوق </w:t>
      </w:r>
      <w:r w:rsidRPr="0034409E">
        <w:rPr>
          <w:color w:val="212121"/>
          <w:szCs w:val="22"/>
          <w:lang w:val="en-GB"/>
        </w:rPr>
        <w:t>BZ</w:t>
      </w:r>
      <w:r>
        <w:rPr>
          <w:rFonts w:hint="cs"/>
          <w:rtl/>
        </w:rPr>
        <w:t>، وتقديم تقرير مباشر إلى الأطراف في الاتفاقية والأطراف في البروتوكولين في اجتماعاتها القادمة؛</w:t>
      </w:r>
    </w:p>
    <w:p w:rsidR="00ED48E1" w:rsidRDefault="00ED48E1" w:rsidP="00CD26C5">
      <w:pPr>
        <w:numPr>
          <w:ilvl w:val="0"/>
          <w:numId w:val="92"/>
        </w:numPr>
        <w:ind w:left="0" w:firstLine="720"/>
      </w:pPr>
      <w:r w:rsidRPr="00E74993">
        <w:rPr>
          <w:rFonts w:hint="cs"/>
          <w:i/>
          <w:iCs/>
          <w:rtl/>
        </w:rPr>
        <w:t>يلاحظ مع القلق</w:t>
      </w:r>
      <w:r>
        <w:rPr>
          <w:rFonts w:hint="cs"/>
          <w:rtl/>
        </w:rPr>
        <w:t xml:space="preserve"> التسليم المتأخر للوثائق المتعلقة بالميزانية قبل الاجتماع الرابع عشر لمؤتمر الأطراف، </w:t>
      </w:r>
      <w:r w:rsidRPr="00FB16CA">
        <w:rPr>
          <w:rFonts w:hint="cs"/>
          <w:i/>
          <w:iCs/>
          <w:rtl/>
        </w:rPr>
        <w:t>ويحث</w:t>
      </w:r>
      <w:r>
        <w:rPr>
          <w:rFonts w:hint="cs"/>
          <w:rtl/>
        </w:rPr>
        <w:t xml:space="preserve"> الأمينة التنفيذية على اتخاذ التدابير اللازمة لضمان توزيع الوثائق للاجتماع الخامس عشر لمؤتمر الأطراف مع الاحترام الكامل للقواعد النافذة وإبقاء المكتب على علم بالتقدم المحرز في إعداد الميزانية؛</w:t>
      </w:r>
    </w:p>
    <w:p w:rsidR="00ED48E1" w:rsidRPr="00BA18F3" w:rsidRDefault="00ED48E1" w:rsidP="00CD26C5">
      <w:pPr>
        <w:numPr>
          <w:ilvl w:val="0"/>
          <w:numId w:val="92"/>
        </w:numPr>
        <w:ind w:left="0" w:firstLine="720"/>
      </w:pPr>
      <w:r w:rsidRPr="00A965F6">
        <w:rPr>
          <w:rFonts w:hint="cs"/>
          <w:i/>
          <w:iCs/>
          <w:rtl/>
        </w:rPr>
        <w:t>يطلب</w:t>
      </w:r>
      <w:r w:rsidRPr="00A965F6">
        <w:rPr>
          <w:rFonts w:hint="cs"/>
          <w:rtl/>
        </w:rPr>
        <w:t xml:space="preserve"> </w:t>
      </w:r>
      <w:r w:rsidRPr="004D5554">
        <w:rPr>
          <w:rFonts w:hint="cs"/>
          <w:i/>
          <w:iCs/>
          <w:rtl/>
        </w:rPr>
        <w:t>إلى</w:t>
      </w:r>
      <w:r w:rsidRPr="00A965F6">
        <w:rPr>
          <w:rFonts w:hint="cs"/>
          <w:rtl/>
        </w:rPr>
        <w:t xml:space="preserve"> الأمينة التنفيذية أن تعد وتقدم برنامج عمل </w:t>
      </w:r>
      <w:r>
        <w:rPr>
          <w:rFonts w:hint="cs"/>
          <w:rtl/>
        </w:rPr>
        <w:t xml:space="preserve">محدث ومفصل ومتكامل للاتفاقية وبروتوكوليها </w:t>
      </w:r>
      <w:r w:rsidRPr="00A965F6">
        <w:rPr>
          <w:rFonts w:hint="cs"/>
          <w:rtl/>
        </w:rPr>
        <w:t>لفترة</w:t>
      </w:r>
      <w:r>
        <w:rPr>
          <w:rFonts w:hint="cs"/>
          <w:rtl/>
        </w:rPr>
        <w:t xml:space="preserve"> السنتين</w:t>
      </w:r>
      <w:r w:rsidRPr="00A965F6">
        <w:rPr>
          <w:rFonts w:hint="cs"/>
          <w:rtl/>
        </w:rPr>
        <w:t xml:space="preserve"> 20</w:t>
      </w:r>
      <w:r>
        <w:rPr>
          <w:rFonts w:hint="cs"/>
          <w:rtl/>
        </w:rPr>
        <w:t>21</w:t>
      </w:r>
      <w:r w:rsidRPr="00A965F6">
        <w:rPr>
          <w:rFonts w:hint="cs"/>
          <w:rtl/>
        </w:rPr>
        <w:t xml:space="preserve">-2022، مع تحديد </w:t>
      </w:r>
      <w:r>
        <w:rPr>
          <w:rFonts w:hint="cs"/>
          <w:rtl/>
        </w:rPr>
        <w:t>الأهداف والمهام</w:t>
      </w:r>
      <w:r w:rsidRPr="00A965F6">
        <w:rPr>
          <w:rFonts w:hint="cs"/>
          <w:rtl/>
        </w:rPr>
        <w:t xml:space="preserve"> </w:t>
      </w:r>
      <w:r>
        <w:rPr>
          <w:rFonts w:hint="cs"/>
          <w:rtl/>
        </w:rPr>
        <w:t>التي حققها الأمانة</w:t>
      </w:r>
      <w:r w:rsidRPr="00A965F6">
        <w:rPr>
          <w:rFonts w:hint="cs"/>
          <w:rtl/>
        </w:rPr>
        <w:t xml:space="preserve">، والنتائج المتوقعة </w:t>
      </w:r>
      <w:r>
        <w:rPr>
          <w:rFonts w:hint="cs"/>
          <w:rtl/>
        </w:rPr>
        <w:t xml:space="preserve">فيما يتعلق بكل بند من بنود الميزانية، لنظر مؤتمر الأطراف في الاتفاقية والأطراف في بروتوكوليها في اجتماعاتها القادمة، وميزانية برنامجية مطابقة تتبع شكل الميزانية البرنامجية المقترحة لبرنامج الأمم المتحدة للبيئة، بما في ذلك بيان بالمعلومات التكميلية، لفترة السنتين </w:t>
      </w:r>
      <w:r w:rsidRPr="00BA18F3">
        <w:rPr>
          <w:rFonts w:hint="cs"/>
          <w:rtl/>
        </w:rPr>
        <w:t xml:space="preserve">مع </w:t>
      </w:r>
      <w:r>
        <w:rPr>
          <w:rFonts w:hint="cs"/>
          <w:rtl/>
        </w:rPr>
        <w:t>ثلاثة بدائل</w:t>
      </w:r>
      <w:r w:rsidRPr="00BA18F3">
        <w:rPr>
          <w:rFonts w:hint="cs"/>
          <w:rtl/>
        </w:rPr>
        <w:t>:</w:t>
      </w:r>
    </w:p>
    <w:p w:rsidR="00ED48E1" w:rsidRPr="00BA18F3" w:rsidRDefault="00ED48E1" w:rsidP="00CD26C5">
      <w:pPr>
        <w:numPr>
          <w:ilvl w:val="0"/>
          <w:numId w:val="98"/>
        </w:numPr>
        <w:ind w:left="0" w:firstLine="720"/>
      </w:pPr>
      <w:r>
        <w:rPr>
          <w:rFonts w:hint="cs"/>
          <w:rtl/>
        </w:rPr>
        <w:lastRenderedPageBreak/>
        <w:t xml:space="preserve">إجراء </w:t>
      </w:r>
      <w:r w:rsidRPr="007448D2">
        <w:rPr>
          <w:rtl/>
        </w:rPr>
        <w:t xml:space="preserve">تقدير </w:t>
      </w:r>
      <w:r>
        <w:rPr>
          <w:rFonts w:hint="cs"/>
          <w:rtl/>
        </w:rPr>
        <w:t>ل</w:t>
      </w:r>
      <w:r w:rsidRPr="007448D2">
        <w:rPr>
          <w:rtl/>
        </w:rPr>
        <w:t xml:space="preserve">معدل </w:t>
      </w:r>
      <w:r w:rsidRPr="007448D2">
        <w:rPr>
          <w:rFonts w:hint="cs"/>
          <w:rtl/>
        </w:rPr>
        <w:t>النمو</w:t>
      </w:r>
      <w:r w:rsidRPr="007448D2">
        <w:rPr>
          <w:rtl/>
        </w:rPr>
        <w:t xml:space="preserve"> المطلوب ل</w:t>
      </w:r>
      <w:r w:rsidRPr="007448D2">
        <w:rPr>
          <w:rFonts w:hint="cs"/>
          <w:rtl/>
        </w:rPr>
        <w:t>ل</w:t>
      </w:r>
      <w:r w:rsidRPr="007448D2">
        <w:rPr>
          <w:rtl/>
        </w:rPr>
        <w:t xml:space="preserve">ميزانية </w:t>
      </w:r>
      <w:r w:rsidRPr="007448D2">
        <w:rPr>
          <w:rFonts w:hint="cs"/>
          <w:rtl/>
        </w:rPr>
        <w:t>ال</w:t>
      </w:r>
      <w:r w:rsidRPr="007448D2">
        <w:rPr>
          <w:rtl/>
        </w:rPr>
        <w:t>بر</w:t>
      </w:r>
      <w:r w:rsidRPr="007448D2">
        <w:rPr>
          <w:rFonts w:hint="cs"/>
          <w:rtl/>
        </w:rPr>
        <w:t>ن</w:t>
      </w:r>
      <w:r w:rsidRPr="007448D2">
        <w:rPr>
          <w:rtl/>
        </w:rPr>
        <w:t>امج</w:t>
      </w:r>
      <w:r w:rsidRPr="007448D2">
        <w:rPr>
          <w:rFonts w:hint="cs"/>
          <w:rtl/>
        </w:rPr>
        <w:t>ية</w:t>
      </w:r>
      <w:r w:rsidRPr="007448D2">
        <w:rPr>
          <w:rtl/>
        </w:rPr>
        <w:t xml:space="preserve"> (الصن</w:t>
      </w:r>
      <w:r>
        <w:rPr>
          <w:rFonts w:hint="cs"/>
          <w:rtl/>
        </w:rPr>
        <w:t>اديق</w:t>
      </w:r>
      <w:r w:rsidRPr="007448D2">
        <w:rPr>
          <w:rtl/>
        </w:rPr>
        <w:t xml:space="preserve"> الاستئماني</w:t>
      </w:r>
      <w:r>
        <w:rPr>
          <w:rFonts w:hint="cs"/>
          <w:rtl/>
        </w:rPr>
        <w:t xml:space="preserve">ية </w:t>
      </w:r>
      <w:r>
        <w:rPr>
          <w:lang w:val="en-CA"/>
        </w:rPr>
        <w:t>BY</w:t>
      </w:r>
      <w:r>
        <w:rPr>
          <w:rFonts w:hint="cs"/>
          <w:rtl/>
        </w:rPr>
        <w:t xml:space="preserve"> و</w:t>
      </w:r>
      <w:r>
        <w:rPr>
          <w:lang w:val="en-CA"/>
        </w:rPr>
        <w:t>BG</w:t>
      </w:r>
      <w:r>
        <w:rPr>
          <w:rFonts w:hint="cs"/>
          <w:rtl/>
        </w:rPr>
        <w:t xml:space="preserve"> و</w:t>
      </w:r>
      <w:r>
        <w:rPr>
          <w:lang w:val="en-GB"/>
        </w:rPr>
        <w:t>BB</w:t>
      </w:r>
      <w:r w:rsidRPr="007448D2">
        <w:rPr>
          <w:rtl/>
        </w:rPr>
        <w:t xml:space="preserve">) </w:t>
      </w:r>
      <w:r w:rsidRPr="007448D2">
        <w:rPr>
          <w:rFonts w:hint="cs"/>
          <w:rtl/>
        </w:rPr>
        <w:t>والذي ينبغي ألا يتجاوز زيادة بنسبة</w:t>
      </w:r>
      <w:r w:rsidRPr="007448D2">
        <w:rPr>
          <w:rtl/>
        </w:rPr>
        <w:t xml:space="preserve"> </w:t>
      </w:r>
      <w:r>
        <w:rPr>
          <w:lang w:val="en-GB"/>
        </w:rPr>
        <w:t>4</w:t>
      </w:r>
      <w:r w:rsidRPr="007448D2">
        <w:rPr>
          <w:rtl/>
        </w:rPr>
        <w:t xml:space="preserve"> في المائة عن مستوى الفترة </w:t>
      </w:r>
      <w:r>
        <w:rPr>
          <w:rFonts w:hint="cs"/>
          <w:rtl/>
          <w:lang w:val="en-GB"/>
        </w:rPr>
        <w:t>2019-2020</w:t>
      </w:r>
      <w:r>
        <w:rPr>
          <w:rFonts w:hint="cs"/>
          <w:rtl/>
        </w:rPr>
        <w:t xml:space="preserve"> </w:t>
      </w:r>
      <w:r w:rsidRPr="007448D2">
        <w:rPr>
          <w:rtl/>
        </w:rPr>
        <w:t>بالقيم</w:t>
      </w:r>
      <w:r w:rsidRPr="007448D2">
        <w:rPr>
          <w:rFonts w:hint="cs"/>
          <w:rtl/>
        </w:rPr>
        <w:t>ة</w:t>
      </w:r>
      <w:r w:rsidRPr="007448D2">
        <w:rPr>
          <w:rtl/>
        </w:rPr>
        <w:t xml:space="preserve"> الاسمية </w:t>
      </w:r>
      <w:r>
        <w:rPr>
          <w:rFonts w:hint="cs"/>
          <w:rtl/>
        </w:rPr>
        <w:t>ناقص المبلغ في البند "كاف" من الميزانية بشأن الاجتماعات الاستثنائية الخاصة بالإطار العالمي للتنوع البيولوجي لما بعد عام 2020؛</w:t>
      </w:r>
    </w:p>
    <w:p w:rsidR="00ED48E1" w:rsidRDefault="00ED48E1" w:rsidP="00CD26C5">
      <w:pPr>
        <w:numPr>
          <w:ilvl w:val="0"/>
          <w:numId w:val="98"/>
        </w:numPr>
        <w:ind w:left="0" w:firstLine="720"/>
      </w:pPr>
      <w:r w:rsidRPr="001D209A">
        <w:rPr>
          <w:rFonts w:hint="cs"/>
          <w:rtl/>
        </w:rPr>
        <w:t xml:space="preserve">الإبقاء على الميزانية البرنامجية </w:t>
      </w:r>
      <w:r w:rsidRPr="001D209A">
        <w:rPr>
          <w:rtl/>
        </w:rPr>
        <w:t>(الصن</w:t>
      </w:r>
      <w:r w:rsidRPr="001D209A">
        <w:rPr>
          <w:rFonts w:hint="cs"/>
          <w:rtl/>
        </w:rPr>
        <w:t>اديق</w:t>
      </w:r>
      <w:r w:rsidRPr="001D209A">
        <w:rPr>
          <w:rtl/>
        </w:rPr>
        <w:t xml:space="preserve"> الاستئماني</w:t>
      </w:r>
      <w:r w:rsidRPr="001D209A">
        <w:rPr>
          <w:rFonts w:hint="cs"/>
          <w:rtl/>
        </w:rPr>
        <w:t xml:space="preserve">ية </w:t>
      </w:r>
      <w:r w:rsidRPr="001D209A">
        <w:rPr>
          <w:lang w:val="en-CA"/>
        </w:rPr>
        <w:t>BY</w:t>
      </w:r>
      <w:r w:rsidRPr="001D209A">
        <w:rPr>
          <w:rFonts w:hint="cs"/>
          <w:rtl/>
        </w:rPr>
        <w:t xml:space="preserve"> و</w:t>
      </w:r>
      <w:r w:rsidRPr="001D209A">
        <w:rPr>
          <w:lang w:val="en-CA"/>
        </w:rPr>
        <w:t>BG</w:t>
      </w:r>
      <w:r w:rsidRPr="001D209A">
        <w:rPr>
          <w:rFonts w:hint="cs"/>
          <w:rtl/>
        </w:rPr>
        <w:t xml:space="preserve"> و</w:t>
      </w:r>
      <w:r w:rsidRPr="001D209A">
        <w:rPr>
          <w:lang w:val="en-GB"/>
        </w:rPr>
        <w:t>BB</w:t>
      </w:r>
      <w:r w:rsidRPr="001D209A">
        <w:rPr>
          <w:rtl/>
        </w:rPr>
        <w:t>)</w:t>
      </w:r>
      <w:r w:rsidRPr="001D209A">
        <w:rPr>
          <w:rFonts w:hint="cs"/>
        </w:rPr>
        <w:t xml:space="preserve"> </w:t>
      </w:r>
      <w:r w:rsidRPr="001D209A">
        <w:rPr>
          <w:rFonts w:hint="cs"/>
          <w:rtl/>
        </w:rPr>
        <w:t>عند مستوى</w:t>
      </w:r>
      <w:r>
        <w:rPr>
          <w:rFonts w:hint="cs"/>
          <w:rtl/>
        </w:rPr>
        <w:t xml:space="preserve"> الفترة</w:t>
      </w:r>
      <w:r w:rsidRPr="001D209A">
        <w:rPr>
          <w:rFonts w:hint="cs"/>
          <w:rtl/>
        </w:rPr>
        <w:t xml:space="preserve"> 20</w:t>
      </w:r>
      <w:r>
        <w:rPr>
          <w:rFonts w:hint="cs"/>
          <w:rtl/>
        </w:rPr>
        <w:t>19</w:t>
      </w:r>
      <w:r w:rsidRPr="001D209A">
        <w:rPr>
          <w:rFonts w:hint="cs"/>
          <w:rtl/>
        </w:rPr>
        <w:t>-20</w:t>
      </w:r>
      <w:r>
        <w:rPr>
          <w:rFonts w:hint="cs"/>
          <w:rtl/>
        </w:rPr>
        <w:t>20</w:t>
      </w:r>
      <w:r w:rsidRPr="001D209A">
        <w:rPr>
          <w:rFonts w:hint="cs"/>
          <w:rtl/>
        </w:rPr>
        <w:t xml:space="preserve"> بالقيمة</w:t>
      </w:r>
      <w:r>
        <w:rPr>
          <w:rFonts w:hint="cs"/>
          <w:rtl/>
        </w:rPr>
        <w:t xml:space="preserve"> الحقيقية ناقص المبلغ في البند "كاف" من الميزانية بشأن الاجتماعات الاستثنائية الخاصة بالإطار العالمي للتنوع البيولوجي لما بعد عام 2020؛</w:t>
      </w:r>
    </w:p>
    <w:p w:rsidR="00ED48E1" w:rsidRPr="00A965F6" w:rsidRDefault="00ED48E1" w:rsidP="00ED48E1">
      <w:pPr>
        <w:ind w:firstLine="720"/>
        <w:rPr>
          <w:rtl/>
        </w:rPr>
      </w:pPr>
      <w:r>
        <w:rPr>
          <w:rFonts w:hint="cs"/>
          <w:rtl/>
        </w:rPr>
        <w:t>(ج)</w:t>
      </w:r>
      <w:r>
        <w:rPr>
          <w:rFonts w:hint="cs"/>
          <w:rtl/>
        </w:rPr>
        <w:tab/>
      </w:r>
      <w:r w:rsidRPr="00BA18F3">
        <w:rPr>
          <w:rFonts w:hint="cs"/>
          <w:rtl/>
        </w:rPr>
        <w:t>ال</w:t>
      </w:r>
      <w:r>
        <w:rPr>
          <w:rFonts w:hint="cs"/>
          <w:rtl/>
        </w:rPr>
        <w:t>إبقاء</w:t>
      </w:r>
      <w:r w:rsidRPr="00BA18F3">
        <w:rPr>
          <w:rFonts w:hint="cs"/>
          <w:rtl/>
        </w:rPr>
        <w:t xml:space="preserve"> على الميزانية البرنامجية </w:t>
      </w:r>
      <w:r w:rsidRPr="001D209A">
        <w:rPr>
          <w:rtl/>
        </w:rPr>
        <w:t>(الصن</w:t>
      </w:r>
      <w:r w:rsidRPr="001D209A">
        <w:rPr>
          <w:rFonts w:hint="cs"/>
          <w:rtl/>
        </w:rPr>
        <w:t>اديق</w:t>
      </w:r>
      <w:r w:rsidRPr="001D209A">
        <w:rPr>
          <w:rtl/>
        </w:rPr>
        <w:t xml:space="preserve"> الاستئماني</w:t>
      </w:r>
      <w:r w:rsidRPr="001D209A">
        <w:rPr>
          <w:rFonts w:hint="cs"/>
          <w:rtl/>
        </w:rPr>
        <w:t xml:space="preserve">ية </w:t>
      </w:r>
      <w:r w:rsidRPr="001D209A">
        <w:rPr>
          <w:lang w:val="en-CA"/>
        </w:rPr>
        <w:t>BY</w:t>
      </w:r>
      <w:r w:rsidRPr="001D209A">
        <w:rPr>
          <w:rFonts w:hint="cs"/>
          <w:rtl/>
        </w:rPr>
        <w:t xml:space="preserve"> و</w:t>
      </w:r>
      <w:r w:rsidRPr="001D209A">
        <w:rPr>
          <w:lang w:val="en-CA"/>
        </w:rPr>
        <w:t>BG</w:t>
      </w:r>
      <w:r w:rsidRPr="001D209A">
        <w:rPr>
          <w:rFonts w:hint="cs"/>
          <w:rtl/>
        </w:rPr>
        <w:t xml:space="preserve"> و</w:t>
      </w:r>
      <w:r w:rsidRPr="001D209A">
        <w:rPr>
          <w:lang w:val="en-GB"/>
        </w:rPr>
        <w:t>BB</w:t>
      </w:r>
      <w:r w:rsidRPr="001D209A">
        <w:rPr>
          <w:rtl/>
        </w:rPr>
        <w:t>)</w:t>
      </w:r>
      <w:r w:rsidRPr="00BA18F3">
        <w:rPr>
          <w:rFonts w:hint="cs"/>
        </w:rPr>
        <w:t xml:space="preserve"> </w:t>
      </w:r>
      <w:r w:rsidRPr="00BA18F3">
        <w:rPr>
          <w:rFonts w:hint="cs"/>
          <w:rtl/>
        </w:rPr>
        <w:t>عند مستوى</w:t>
      </w:r>
      <w:r>
        <w:rPr>
          <w:rFonts w:hint="cs"/>
          <w:rtl/>
        </w:rPr>
        <w:t xml:space="preserve"> الفترة</w:t>
      </w:r>
      <w:r w:rsidRPr="00BA18F3">
        <w:rPr>
          <w:rFonts w:hint="cs"/>
          <w:rtl/>
        </w:rPr>
        <w:t xml:space="preserve"> 201</w:t>
      </w:r>
      <w:r>
        <w:rPr>
          <w:rFonts w:hint="cs"/>
          <w:rtl/>
        </w:rPr>
        <w:t>9</w:t>
      </w:r>
      <w:r w:rsidRPr="00BA18F3">
        <w:rPr>
          <w:rFonts w:hint="cs"/>
          <w:rtl/>
        </w:rPr>
        <w:t>-20</w:t>
      </w:r>
      <w:r>
        <w:rPr>
          <w:rFonts w:hint="cs"/>
          <w:rtl/>
        </w:rPr>
        <w:t>20</w:t>
      </w:r>
      <w:r w:rsidRPr="00BA18F3">
        <w:rPr>
          <w:rFonts w:hint="cs"/>
          <w:rtl/>
        </w:rPr>
        <w:t xml:space="preserve"> </w:t>
      </w:r>
      <w:r>
        <w:rPr>
          <w:rFonts w:hint="cs"/>
          <w:rtl/>
        </w:rPr>
        <w:t>با</w:t>
      </w:r>
      <w:r w:rsidRPr="00BA18F3">
        <w:rPr>
          <w:rFonts w:hint="cs"/>
          <w:rtl/>
        </w:rPr>
        <w:t>لقيمة الاسمية</w:t>
      </w:r>
      <w:r>
        <w:rPr>
          <w:rFonts w:hint="cs"/>
          <w:rtl/>
        </w:rPr>
        <w:t xml:space="preserve"> ناقص المبلغ في البند "كاف" من الميزانية بشأن الاجتماعات الاستثنائية الخاصة بالإطار العالمي للتنوع البيولوجي لما بعد عام 2020؛</w:t>
      </w:r>
    </w:p>
    <w:p w:rsidR="00ED48E1" w:rsidRPr="00A965F6" w:rsidRDefault="00ED48E1" w:rsidP="00CD26C5">
      <w:pPr>
        <w:numPr>
          <w:ilvl w:val="0"/>
          <w:numId w:val="92"/>
        </w:numPr>
        <w:ind w:left="0" w:firstLine="720"/>
      </w:pPr>
      <w:r w:rsidRPr="00A965F6">
        <w:rPr>
          <w:rFonts w:hint="cs"/>
          <w:i/>
          <w:iCs/>
          <w:rtl/>
        </w:rPr>
        <w:t>يطلب</w:t>
      </w:r>
      <w:r w:rsidRPr="00A965F6">
        <w:rPr>
          <w:rFonts w:hint="cs"/>
          <w:rtl/>
        </w:rPr>
        <w:t xml:space="preserve"> </w:t>
      </w:r>
      <w:r w:rsidRPr="00A965F6">
        <w:rPr>
          <w:rFonts w:hint="cs"/>
          <w:i/>
          <w:iCs/>
          <w:rtl/>
        </w:rPr>
        <w:t>أيضا</w:t>
      </w:r>
      <w:r w:rsidRPr="00A965F6">
        <w:rPr>
          <w:rFonts w:hint="cs"/>
          <w:rtl/>
        </w:rPr>
        <w:t xml:space="preserve"> </w:t>
      </w:r>
      <w:r w:rsidRPr="009B1833">
        <w:rPr>
          <w:rFonts w:hint="cs"/>
          <w:i/>
          <w:iCs/>
          <w:rtl/>
        </w:rPr>
        <w:t>إلى</w:t>
      </w:r>
      <w:r w:rsidRPr="00A965F6">
        <w:rPr>
          <w:rFonts w:hint="cs"/>
          <w:rtl/>
        </w:rPr>
        <w:t xml:space="preserve"> الأمينة التنفيذية </w:t>
      </w:r>
      <w:r>
        <w:rPr>
          <w:rFonts w:hint="cs"/>
          <w:rtl/>
        </w:rPr>
        <w:t>استحداث جميع التدابير الممكنة لتحسين كفاءة وفعالية الأمانة وبيان هذه التدابير في السيناريوهات الثلاثة المنعكسة</w:t>
      </w:r>
      <w:r w:rsidRPr="00A965F6">
        <w:rPr>
          <w:rFonts w:hint="cs"/>
          <w:rtl/>
        </w:rPr>
        <w:t>؛</w:t>
      </w:r>
    </w:p>
    <w:p w:rsidR="00ED48E1" w:rsidRPr="00B25B7D" w:rsidRDefault="00ED48E1" w:rsidP="00CD26C5">
      <w:pPr>
        <w:numPr>
          <w:ilvl w:val="0"/>
          <w:numId w:val="92"/>
        </w:numPr>
        <w:ind w:left="0" w:firstLine="720"/>
        <w:rPr>
          <w:rtl/>
        </w:rPr>
      </w:pPr>
      <w:r w:rsidRPr="00A965F6">
        <w:rPr>
          <w:rFonts w:hint="cs"/>
          <w:i/>
          <w:iCs/>
          <w:rtl/>
        </w:rPr>
        <w:t>يطلب</w:t>
      </w:r>
      <w:r w:rsidRPr="00A965F6">
        <w:rPr>
          <w:rFonts w:hint="cs"/>
          <w:rtl/>
        </w:rPr>
        <w:t xml:space="preserve"> </w:t>
      </w:r>
      <w:r w:rsidRPr="00A965F6">
        <w:rPr>
          <w:rFonts w:hint="cs"/>
          <w:i/>
          <w:iCs/>
          <w:rtl/>
        </w:rPr>
        <w:t>كذلك</w:t>
      </w:r>
      <w:r w:rsidRPr="00A965F6">
        <w:rPr>
          <w:rFonts w:hint="cs"/>
          <w:rtl/>
        </w:rPr>
        <w:t xml:space="preserve"> </w:t>
      </w:r>
      <w:r w:rsidRPr="009B1833">
        <w:rPr>
          <w:rFonts w:hint="cs"/>
          <w:i/>
          <w:iCs/>
          <w:rtl/>
        </w:rPr>
        <w:t>إلى</w:t>
      </w:r>
      <w:r w:rsidRPr="00A965F6">
        <w:rPr>
          <w:rFonts w:hint="cs"/>
          <w:rtl/>
        </w:rPr>
        <w:t xml:space="preserve"> الأمينة التنفيذية أن تقدم تقريرا إلى </w:t>
      </w:r>
      <w:r>
        <w:rPr>
          <w:rFonts w:hint="cs"/>
          <w:rtl/>
        </w:rPr>
        <w:t xml:space="preserve">مؤتمر </w:t>
      </w:r>
      <w:r w:rsidRPr="00A965F6">
        <w:rPr>
          <w:rFonts w:hint="cs"/>
          <w:rtl/>
        </w:rPr>
        <w:t>الأطراف في الاتفاقية و</w:t>
      </w:r>
      <w:r>
        <w:rPr>
          <w:rFonts w:hint="cs"/>
          <w:rtl/>
        </w:rPr>
        <w:t xml:space="preserve">مؤتمري الأطراف العاملين كاجتماعي الأطراف في </w:t>
      </w:r>
      <w:r w:rsidRPr="00A965F6">
        <w:rPr>
          <w:rFonts w:hint="cs"/>
          <w:rtl/>
        </w:rPr>
        <w:t>بروتوكوليها في اجتماعاتها القادمة عن الإيرادات وأداء الميزانية، والأرصدة غير المنفقة، وحالة الفائض والمبالغ المرحّلة وكذلك أي تعديلات تطرأ على الميزانية لفترة السنتين 2019-2020.</w:t>
      </w:r>
    </w:p>
    <w:p w:rsidR="00ED48E1" w:rsidRDefault="00ED48E1" w:rsidP="00ED48E1">
      <w:pPr>
        <w:rPr>
          <w:sz w:val="24"/>
          <w:rtl/>
        </w:rPr>
      </w:pPr>
      <w:r>
        <w:rPr>
          <w:sz w:val="24"/>
          <w:rtl/>
        </w:rPr>
        <w:br w:type="page"/>
      </w:r>
    </w:p>
    <w:p w:rsidR="00ED48E1" w:rsidRPr="001F33F8" w:rsidRDefault="00ED48E1" w:rsidP="00ED48E1">
      <w:pPr>
        <w:ind w:left="2070" w:right="1710" w:hanging="1170"/>
        <w:rPr>
          <w:b/>
          <w:bCs/>
          <w:szCs w:val="22"/>
          <w:rtl/>
        </w:rPr>
      </w:pPr>
      <w:r w:rsidRPr="001F33F8">
        <w:rPr>
          <w:rFonts w:hint="cs"/>
          <w:b/>
          <w:bCs/>
          <w:szCs w:val="22"/>
          <w:rtl/>
        </w:rPr>
        <w:lastRenderedPageBreak/>
        <w:t>الجدول 1-</w:t>
      </w:r>
      <w:r>
        <w:rPr>
          <w:rFonts w:hint="cs"/>
          <w:b/>
          <w:bCs/>
          <w:szCs w:val="22"/>
          <w:rtl/>
        </w:rPr>
        <w:t xml:space="preserve"> </w:t>
      </w:r>
      <w:r w:rsidRPr="001F33F8">
        <w:rPr>
          <w:rFonts w:hint="cs"/>
          <w:b/>
          <w:bCs/>
          <w:szCs w:val="22"/>
          <w:rtl/>
        </w:rPr>
        <w:t>أ:</w:t>
      </w:r>
      <w:r w:rsidRPr="001F33F8">
        <w:rPr>
          <w:rFonts w:hint="cs"/>
          <w:b/>
          <w:bCs/>
          <w:szCs w:val="22"/>
          <w:rtl/>
        </w:rPr>
        <w:tab/>
        <w:t>ا</w:t>
      </w:r>
      <w:r w:rsidRPr="001F33F8">
        <w:rPr>
          <w:rFonts w:hint="cs"/>
          <w:b/>
          <w:bCs/>
          <w:kern w:val="22"/>
          <w:szCs w:val="22"/>
          <w:rtl/>
        </w:rPr>
        <w:t xml:space="preserve">لميزانية المتكاملة </w:t>
      </w:r>
      <w:r>
        <w:rPr>
          <w:rFonts w:hint="cs"/>
          <w:b/>
          <w:bCs/>
          <w:kern w:val="22"/>
          <w:szCs w:val="22"/>
          <w:rtl/>
        </w:rPr>
        <w:t xml:space="preserve">لفترة السنتين </w:t>
      </w:r>
      <w:r w:rsidRPr="001F33F8">
        <w:rPr>
          <w:rFonts w:hint="cs"/>
          <w:b/>
          <w:bCs/>
          <w:kern w:val="22"/>
          <w:szCs w:val="22"/>
          <w:rtl/>
        </w:rPr>
        <w:t>للصناديق الاستئمانية لاتفاقية</w:t>
      </w:r>
      <w:r>
        <w:rPr>
          <w:rFonts w:hint="cs"/>
          <w:b/>
          <w:bCs/>
          <w:kern w:val="22"/>
          <w:szCs w:val="22"/>
          <w:rtl/>
        </w:rPr>
        <w:t xml:space="preserve"> التنوع البيولوجي وبروتوكوليها </w:t>
      </w:r>
      <w:r w:rsidRPr="001F33F8">
        <w:rPr>
          <w:rFonts w:hint="cs"/>
          <w:b/>
          <w:bCs/>
          <w:kern w:val="22"/>
          <w:szCs w:val="22"/>
          <w:rtl/>
        </w:rPr>
        <w:t>ل</w:t>
      </w:r>
      <w:r>
        <w:rPr>
          <w:rFonts w:hint="cs"/>
          <w:b/>
          <w:bCs/>
          <w:kern w:val="22"/>
          <w:szCs w:val="22"/>
          <w:rtl/>
        </w:rPr>
        <w:t>ل</w:t>
      </w:r>
      <w:r w:rsidRPr="001F33F8">
        <w:rPr>
          <w:rFonts w:hint="cs"/>
          <w:b/>
          <w:bCs/>
          <w:kern w:val="22"/>
          <w:szCs w:val="22"/>
          <w:rtl/>
        </w:rPr>
        <w:t>فترة</w:t>
      </w:r>
      <w:r>
        <w:rPr>
          <w:rFonts w:hint="cs"/>
          <w:b/>
          <w:bCs/>
          <w:kern w:val="22"/>
          <w:szCs w:val="22"/>
          <w:rtl/>
        </w:rPr>
        <w:t xml:space="preserve"> </w:t>
      </w:r>
      <w:r w:rsidRPr="001F33F8">
        <w:rPr>
          <w:rFonts w:hint="cs"/>
          <w:b/>
          <w:bCs/>
          <w:kern w:val="22"/>
          <w:szCs w:val="22"/>
          <w:rtl/>
        </w:rPr>
        <w:t>2019-2020</w:t>
      </w:r>
    </w:p>
    <w:tbl>
      <w:tblPr>
        <w:bidiVisual/>
        <w:tblW w:w="8768" w:type="dxa"/>
        <w:jc w:val="center"/>
        <w:tblInd w:w="93" w:type="dxa"/>
        <w:tblLook w:val="04A0"/>
      </w:tblPr>
      <w:tblGrid>
        <w:gridCol w:w="4200"/>
        <w:gridCol w:w="1455"/>
        <w:gridCol w:w="1600"/>
        <w:gridCol w:w="1513"/>
      </w:tblGrid>
      <w:tr w:rsidR="00ED48E1" w:rsidRPr="002108B1" w:rsidTr="00ED48E1">
        <w:trPr>
          <w:trHeight w:val="398"/>
          <w:jc w:val="center"/>
        </w:trPr>
        <w:tc>
          <w:tcPr>
            <w:tcW w:w="4200" w:type="dxa"/>
            <w:vMerge w:val="restart"/>
            <w:tcBorders>
              <w:top w:val="single" w:sz="8" w:space="0" w:color="auto"/>
              <w:left w:val="nil"/>
              <w:bottom w:val="single" w:sz="4" w:space="0" w:color="auto"/>
              <w:right w:val="nil"/>
            </w:tcBorders>
            <w:shd w:val="clear" w:color="auto" w:fill="auto"/>
            <w:vAlign w:val="center"/>
            <w:hideMark/>
          </w:tcPr>
          <w:p w:rsidR="00ED48E1" w:rsidRPr="002108B1" w:rsidRDefault="00ED48E1" w:rsidP="00ED48E1">
            <w:pPr>
              <w:spacing w:after="0" w:line="240" w:lineRule="auto"/>
              <w:rPr>
                <w:i/>
                <w:iCs/>
                <w:color w:val="000000"/>
                <w:sz w:val="15"/>
                <w:szCs w:val="15"/>
              </w:rPr>
            </w:pPr>
          </w:p>
        </w:tc>
        <w:tc>
          <w:tcPr>
            <w:tcW w:w="1455" w:type="dxa"/>
            <w:vMerge w:val="restart"/>
            <w:tcBorders>
              <w:top w:val="single" w:sz="8" w:space="0" w:color="auto"/>
              <w:left w:val="nil"/>
              <w:bottom w:val="single" w:sz="4" w:space="0" w:color="auto"/>
              <w:right w:val="nil"/>
            </w:tcBorders>
            <w:shd w:val="clear" w:color="auto" w:fill="auto"/>
            <w:vAlign w:val="center"/>
            <w:hideMark/>
          </w:tcPr>
          <w:p w:rsidR="00ED48E1" w:rsidRDefault="00ED48E1" w:rsidP="00ED48E1">
            <w:pPr>
              <w:spacing w:after="0" w:line="240" w:lineRule="auto"/>
              <w:ind w:firstLine="252"/>
              <w:rPr>
                <w:i/>
                <w:iCs/>
                <w:color w:val="000000"/>
                <w:sz w:val="18"/>
                <w:szCs w:val="18"/>
                <w:rtl/>
              </w:rPr>
            </w:pPr>
            <w:r w:rsidRPr="00B303D3">
              <w:rPr>
                <w:i/>
                <w:iCs/>
                <w:color w:val="000000"/>
                <w:sz w:val="18"/>
                <w:szCs w:val="18"/>
              </w:rPr>
              <w:t xml:space="preserve">2019 </w:t>
            </w:r>
            <w:r>
              <w:rPr>
                <w:rFonts w:hint="cs"/>
                <w:i/>
                <w:iCs/>
                <w:color w:val="000000"/>
                <w:sz w:val="18"/>
                <w:szCs w:val="18"/>
                <w:rtl/>
              </w:rPr>
              <w:t xml:space="preserve"> </w:t>
            </w:r>
          </w:p>
          <w:p w:rsidR="00ED48E1" w:rsidRPr="00EB7B38" w:rsidRDefault="00ED48E1" w:rsidP="00ED48E1">
            <w:pPr>
              <w:spacing w:after="0" w:line="240" w:lineRule="auto"/>
              <w:jc w:val="center"/>
              <w:rPr>
                <w:i/>
                <w:iCs/>
                <w:color w:val="000000"/>
                <w:spacing w:val="-8"/>
                <w:sz w:val="18"/>
                <w:szCs w:val="18"/>
              </w:rPr>
            </w:pPr>
            <w:r>
              <w:rPr>
                <w:rFonts w:hint="cs"/>
                <w:i/>
                <w:iCs/>
                <w:color w:val="000000"/>
                <w:sz w:val="18"/>
                <w:szCs w:val="18"/>
                <w:rtl/>
              </w:rPr>
              <w:t>(بآلاف دولارات الولايات المتحدة</w:t>
            </w:r>
            <w:r w:rsidRPr="00B303D3">
              <w:rPr>
                <w:rFonts w:hint="cs"/>
                <w:i/>
                <w:iCs/>
                <w:color w:val="000000"/>
                <w:sz w:val="18"/>
                <w:szCs w:val="18"/>
                <w:rtl/>
              </w:rPr>
              <w:t>)</w:t>
            </w:r>
          </w:p>
        </w:tc>
        <w:tc>
          <w:tcPr>
            <w:tcW w:w="1600" w:type="dxa"/>
            <w:vMerge w:val="restart"/>
            <w:tcBorders>
              <w:top w:val="single" w:sz="8" w:space="0" w:color="auto"/>
              <w:left w:val="nil"/>
              <w:bottom w:val="single" w:sz="4" w:space="0" w:color="auto"/>
              <w:right w:val="nil"/>
            </w:tcBorders>
            <w:shd w:val="clear" w:color="auto" w:fill="auto"/>
            <w:vAlign w:val="center"/>
            <w:hideMark/>
          </w:tcPr>
          <w:p w:rsidR="00ED48E1" w:rsidRDefault="00ED48E1" w:rsidP="00ED48E1">
            <w:pPr>
              <w:spacing w:after="0" w:line="240" w:lineRule="auto"/>
              <w:ind w:firstLine="125"/>
              <w:jc w:val="center"/>
              <w:rPr>
                <w:i/>
                <w:iCs/>
                <w:color w:val="000000"/>
                <w:sz w:val="18"/>
                <w:szCs w:val="18"/>
                <w:rtl/>
              </w:rPr>
            </w:pPr>
            <w:r w:rsidRPr="00B303D3">
              <w:rPr>
                <w:i/>
                <w:iCs/>
                <w:color w:val="000000"/>
                <w:sz w:val="18"/>
                <w:szCs w:val="18"/>
              </w:rPr>
              <w:t>2020</w:t>
            </w:r>
          </w:p>
          <w:p w:rsidR="00ED48E1" w:rsidRPr="00B303D3" w:rsidRDefault="00ED48E1" w:rsidP="00ED48E1">
            <w:pPr>
              <w:spacing w:after="0" w:line="240" w:lineRule="auto"/>
              <w:ind w:firstLine="125"/>
              <w:jc w:val="center"/>
              <w:rPr>
                <w:i/>
                <w:iCs/>
                <w:color w:val="000000"/>
                <w:sz w:val="18"/>
                <w:szCs w:val="18"/>
              </w:rPr>
            </w:pPr>
            <w:r>
              <w:rPr>
                <w:rFonts w:hint="cs"/>
                <w:i/>
                <w:iCs/>
                <w:color w:val="000000"/>
                <w:sz w:val="18"/>
                <w:szCs w:val="18"/>
                <w:rtl/>
              </w:rPr>
              <w:t>(بآلاف دولارات الولايات المتحدة</w:t>
            </w:r>
            <w:r w:rsidRPr="00B303D3">
              <w:rPr>
                <w:rFonts w:hint="cs"/>
                <w:i/>
                <w:iCs/>
                <w:color w:val="000000"/>
                <w:sz w:val="18"/>
                <w:szCs w:val="18"/>
                <w:rtl/>
              </w:rPr>
              <w:t>)</w:t>
            </w:r>
          </w:p>
        </w:tc>
        <w:tc>
          <w:tcPr>
            <w:tcW w:w="1513" w:type="dxa"/>
            <w:vMerge w:val="restart"/>
            <w:tcBorders>
              <w:top w:val="single" w:sz="8" w:space="0" w:color="auto"/>
              <w:left w:val="nil"/>
              <w:bottom w:val="single" w:sz="4" w:space="0" w:color="auto"/>
              <w:right w:val="nil"/>
            </w:tcBorders>
            <w:shd w:val="clear" w:color="auto" w:fill="auto"/>
            <w:vAlign w:val="center"/>
            <w:hideMark/>
          </w:tcPr>
          <w:p w:rsidR="00ED48E1" w:rsidRPr="00B303D3" w:rsidRDefault="00ED48E1" w:rsidP="00ED48E1">
            <w:pPr>
              <w:spacing w:after="0" w:line="240" w:lineRule="auto"/>
              <w:jc w:val="center"/>
              <w:rPr>
                <w:i/>
                <w:iCs/>
                <w:color w:val="000000"/>
                <w:sz w:val="18"/>
                <w:szCs w:val="18"/>
                <w:rtl/>
              </w:rPr>
            </w:pPr>
            <w:r w:rsidRPr="00B303D3">
              <w:rPr>
                <w:rFonts w:hint="cs"/>
                <w:i/>
                <w:iCs/>
                <w:color w:val="000000"/>
                <w:sz w:val="18"/>
                <w:szCs w:val="18"/>
                <w:rtl/>
              </w:rPr>
              <w:t>المجموع</w:t>
            </w:r>
          </w:p>
          <w:p w:rsidR="00ED48E1" w:rsidRPr="00B303D3" w:rsidRDefault="00ED48E1" w:rsidP="00ED48E1">
            <w:pPr>
              <w:spacing w:after="0" w:line="240" w:lineRule="auto"/>
              <w:jc w:val="center"/>
              <w:rPr>
                <w:i/>
                <w:iCs/>
                <w:color w:val="000000"/>
                <w:sz w:val="18"/>
                <w:szCs w:val="18"/>
              </w:rPr>
            </w:pPr>
            <w:r>
              <w:rPr>
                <w:rFonts w:hint="cs"/>
                <w:i/>
                <w:iCs/>
                <w:color w:val="000000"/>
                <w:sz w:val="18"/>
                <w:szCs w:val="18"/>
                <w:rtl/>
              </w:rPr>
              <w:t>(بآلاف دولارات الولايات المتحدة</w:t>
            </w:r>
            <w:r w:rsidRPr="00B303D3">
              <w:rPr>
                <w:rFonts w:hint="cs"/>
                <w:i/>
                <w:iCs/>
                <w:color w:val="000000"/>
                <w:sz w:val="18"/>
                <w:szCs w:val="18"/>
                <w:rtl/>
              </w:rPr>
              <w:t>)</w:t>
            </w:r>
          </w:p>
        </w:tc>
      </w:tr>
      <w:tr w:rsidR="00ED48E1" w:rsidRPr="002108B1" w:rsidTr="00ED48E1">
        <w:trPr>
          <w:trHeight w:val="433"/>
          <w:jc w:val="center"/>
        </w:trPr>
        <w:tc>
          <w:tcPr>
            <w:tcW w:w="4200" w:type="dxa"/>
            <w:vMerge/>
            <w:tcBorders>
              <w:left w:val="nil"/>
              <w:bottom w:val="single" w:sz="4" w:space="0" w:color="auto"/>
              <w:right w:val="nil"/>
            </w:tcBorders>
            <w:vAlign w:val="center"/>
            <w:hideMark/>
          </w:tcPr>
          <w:p w:rsidR="00ED48E1" w:rsidRPr="002108B1" w:rsidRDefault="00ED48E1" w:rsidP="00ED48E1">
            <w:pPr>
              <w:spacing w:after="0" w:line="240" w:lineRule="auto"/>
              <w:rPr>
                <w:i/>
                <w:iCs/>
                <w:color w:val="000000"/>
                <w:sz w:val="15"/>
                <w:szCs w:val="15"/>
              </w:rPr>
            </w:pPr>
          </w:p>
        </w:tc>
        <w:tc>
          <w:tcPr>
            <w:tcW w:w="1455" w:type="dxa"/>
            <w:vMerge/>
            <w:tcBorders>
              <w:left w:val="nil"/>
              <w:bottom w:val="single" w:sz="4" w:space="0" w:color="auto"/>
              <w:right w:val="nil"/>
            </w:tcBorders>
            <w:vAlign w:val="center"/>
            <w:hideMark/>
          </w:tcPr>
          <w:p w:rsidR="00ED48E1" w:rsidRPr="002108B1" w:rsidRDefault="00ED48E1" w:rsidP="00ED48E1">
            <w:pPr>
              <w:spacing w:after="0" w:line="240" w:lineRule="auto"/>
              <w:rPr>
                <w:i/>
                <w:iCs/>
                <w:color w:val="000000"/>
                <w:sz w:val="15"/>
                <w:szCs w:val="15"/>
              </w:rPr>
            </w:pPr>
          </w:p>
        </w:tc>
        <w:tc>
          <w:tcPr>
            <w:tcW w:w="1600" w:type="dxa"/>
            <w:vMerge/>
            <w:tcBorders>
              <w:left w:val="nil"/>
              <w:bottom w:val="single" w:sz="4" w:space="0" w:color="auto"/>
              <w:right w:val="nil"/>
            </w:tcBorders>
            <w:vAlign w:val="center"/>
            <w:hideMark/>
          </w:tcPr>
          <w:p w:rsidR="00ED48E1" w:rsidRPr="002108B1" w:rsidRDefault="00ED48E1" w:rsidP="00ED48E1">
            <w:pPr>
              <w:spacing w:after="0" w:line="240" w:lineRule="auto"/>
              <w:rPr>
                <w:i/>
                <w:iCs/>
                <w:color w:val="000000"/>
                <w:sz w:val="15"/>
                <w:szCs w:val="15"/>
              </w:rPr>
            </w:pPr>
          </w:p>
        </w:tc>
        <w:tc>
          <w:tcPr>
            <w:tcW w:w="1513" w:type="dxa"/>
            <w:vMerge/>
            <w:tcBorders>
              <w:left w:val="nil"/>
              <w:bottom w:val="single" w:sz="4" w:space="0" w:color="auto"/>
              <w:right w:val="nil"/>
            </w:tcBorders>
            <w:vAlign w:val="center"/>
            <w:hideMark/>
          </w:tcPr>
          <w:p w:rsidR="00ED48E1" w:rsidRPr="002108B1" w:rsidRDefault="00ED48E1" w:rsidP="00ED48E1">
            <w:pPr>
              <w:spacing w:after="0" w:line="240" w:lineRule="auto"/>
              <w:rPr>
                <w:i/>
                <w:iCs/>
                <w:color w:val="000000"/>
                <w:sz w:val="15"/>
                <w:szCs w:val="15"/>
              </w:rPr>
            </w:pPr>
          </w:p>
        </w:tc>
      </w:tr>
      <w:tr w:rsidR="00ED48E1" w:rsidRPr="002108B1" w:rsidTr="00ED48E1">
        <w:trPr>
          <w:trHeight w:val="300"/>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rPr>
                <w:b/>
                <w:bCs/>
                <w:color w:val="000000"/>
                <w:sz w:val="20"/>
                <w:szCs w:val="20"/>
              </w:rPr>
            </w:pPr>
            <w:r w:rsidRPr="00187686">
              <w:rPr>
                <w:rFonts w:hint="cs"/>
                <w:b/>
                <w:bCs/>
                <w:color w:val="000000"/>
                <w:sz w:val="20"/>
                <w:szCs w:val="20"/>
                <w:rtl/>
              </w:rPr>
              <w:t>أولا - البرامج</w:t>
            </w:r>
          </w:p>
        </w:tc>
        <w:tc>
          <w:tcPr>
            <w:tcW w:w="1455" w:type="dxa"/>
            <w:tcBorders>
              <w:top w:val="nil"/>
              <w:left w:val="nil"/>
              <w:bottom w:val="nil"/>
              <w:right w:val="nil"/>
            </w:tcBorders>
            <w:shd w:val="clear" w:color="auto" w:fill="auto"/>
            <w:vAlign w:val="center"/>
            <w:hideMark/>
          </w:tcPr>
          <w:p w:rsidR="00ED48E1" w:rsidRPr="002108B1" w:rsidRDefault="00ED48E1" w:rsidP="00ED48E1">
            <w:pPr>
              <w:spacing w:after="0" w:line="240" w:lineRule="auto"/>
              <w:rPr>
                <w:rFonts w:ascii="Calibri" w:hAnsi="Calibri" w:cs="Calibri"/>
                <w:color w:val="000000"/>
                <w:sz w:val="20"/>
                <w:szCs w:val="20"/>
              </w:rPr>
            </w:pPr>
          </w:p>
        </w:tc>
        <w:tc>
          <w:tcPr>
            <w:tcW w:w="1600" w:type="dxa"/>
            <w:tcBorders>
              <w:top w:val="nil"/>
              <w:left w:val="nil"/>
              <w:bottom w:val="nil"/>
              <w:right w:val="nil"/>
            </w:tcBorders>
            <w:shd w:val="clear" w:color="auto" w:fill="auto"/>
            <w:vAlign w:val="center"/>
            <w:hideMark/>
          </w:tcPr>
          <w:p w:rsidR="00ED48E1" w:rsidRPr="002108B1" w:rsidRDefault="00ED48E1" w:rsidP="00ED48E1">
            <w:pPr>
              <w:spacing w:after="0" w:line="240" w:lineRule="auto"/>
              <w:jc w:val="right"/>
              <w:rPr>
                <w:color w:val="000000"/>
              </w:rPr>
            </w:pPr>
          </w:p>
        </w:tc>
        <w:tc>
          <w:tcPr>
            <w:tcW w:w="1513" w:type="dxa"/>
            <w:tcBorders>
              <w:top w:val="nil"/>
              <w:left w:val="nil"/>
              <w:bottom w:val="nil"/>
              <w:right w:val="nil"/>
            </w:tcBorders>
            <w:shd w:val="clear" w:color="auto" w:fill="auto"/>
            <w:vAlign w:val="center"/>
            <w:hideMark/>
          </w:tcPr>
          <w:p w:rsidR="00ED48E1" w:rsidRPr="002108B1" w:rsidRDefault="00ED48E1" w:rsidP="00ED48E1">
            <w:pPr>
              <w:spacing w:after="0" w:line="240" w:lineRule="auto"/>
              <w:jc w:val="right"/>
              <w:rPr>
                <w:color w:val="000000"/>
              </w:rPr>
            </w:pPr>
          </w:p>
        </w:tc>
      </w:tr>
      <w:tr w:rsidR="00ED48E1" w:rsidRPr="002108B1" w:rsidTr="00ED48E1">
        <w:trPr>
          <w:trHeight w:val="288"/>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ind w:left="177"/>
              <w:rPr>
                <w:color w:val="000000"/>
                <w:sz w:val="20"/>
                <w:szCs w:val="20"/>
              </w:rPr>
            </w:pPr>
            <w:r w:rsidRPr="00187686">
              <w:rPr>
                <w:rFonts w:hint="cs"/>
                <w:color w:val="000000"/>
                <w:sz w:val="20"/>
                <w:szCs w:val="20"/>
                <w:rtl/>
              </w:rPr>
              <w:t>مكتب الأمينة التنفيذية</w:t>
            </w:r>
          </w:p>
        </w:tc>
        <w:tc>
          <w:tcPr>
            <w:tcW w:w="1455"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3 534.0</w:t>
            </w:r>
          </w:p>
        </w:tc>
        <w:tc>
          <w:tcPr>
            <w:tcW w:w="1600"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3 444.8</w:t>
            </w:r>
          </w:p>
        </w:tc>
        <w:tc>
          <w:tcPr>
            <w:tcW w:w="1513"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6 978.8</w:t>
            </w:r>
          </w:p>
        </w:tc>
      </w:tr>
      <w:tr w:rsidR="00ED48E1" w:rsidRPr="002108B1" w:rsidTr="00ED48E1">
        <w:trPr>
          <w:trHeight w:val="288"/>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ind w:left="177"/>
              <w:rPr>
                <w:color w:val="000000"/>
                <w:sz w:val="20"/>
                <w:szCs w:val="20"/>
              </w:rPr>
            </w:pPr>
            <w:r w:rsidRPr="00187686">
              <w:rPr>
                <w:rFonts w:hint="cs"/>
                <w:color w:val="000000"/>
                <w:sz w:val="20"/>
                <w:szCs w:val="20"/>
                <w:rtl/>
              </w:rPr>
              <w:t>بروتوكول الحصول وتقاسم المنافع وبروتوكول السلامة الأحيائية</w:t>
            </w:r>
          </w:p>
        </w:tc>
        <w:tc>
          <w:tcPr>
            <w:tcW w:w="1455"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2 322.6</w:t>
            </w:r>
          </w:p>
        </w:tc>
        <w:tc>
          <w:tcPr>
            <w:tcW w:w="1600"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2 375.9</w:t>
            </w:r>
          </w:p>
        </w:tc>
        <w:tc>
          <w:tcPr>
            <w:tcW w:w="1513"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4 698.5</w:t>
            </w:r>
          </w:p>
        </w:tc>
      </w:tr>
      <w:tr w:rsidR="00ED48E1" w:rsidRPr="002108B1" w:rsidTr="00ED48E1">
        <w:trPr>
          <w:trHeight w:val="288"/>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ind w:left="177"/>
              <w:rPr>
                <w:color w:val="000000"/>
                <w:sz w:val="20"/>
                <w:szCs w:val="20"/>
              </w:rPr>
            </w:pPr>
            <w:r w:rsidRPr="00187686">
              <w:rPr>
                <w:rFonts w:hint="cs"/>
                <w:sz w:val="20"/>
                <w:szCs w:val="20"/>
                <w:rtl/>
              </w:rPr>
              <w:t>شعبة العلوم والمجتمع والعمليات الآجلة المستدامة</w:t>
            </w:r>
          </w:p>
        </w:tc>
        <w:tc>
          <w:tcPr>
            <w:tcW w:w="1455"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3 912.3</w:t>
            </w:r>
          </w:p>
        </w:tc>
        <w:tc>
          <w:tcPr>
            <w:tcW w:w="1600"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3 909.0</w:t>
            </w:r>
          </w:p>
        </w:tc>
        <w:tc>
          <w:tcPr>
            <w:tcW w:w="1513"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7 821.3</w:t>
            </w:r>
          </w:p>
        </w:tc>
      </w:tr>
      <w:tr w:rsidR="00ED48E1" w:rsidRPr="002108B1" w:rsidTr="00ED48E1">
        <w:trPr>
          <w:trHeight w:val="300"/>
          <w:jc w:val="center"/>
        </w:trPr>
        <w:tc>
          <w:tcPr>
            <w:tcW w:w="4200" w:type="dxa"/>
            <w:tcBorders>
              <w:top w:val="nil"/>
              <w:left w:val="nil"/>
              <w:bottom w:val="single" w:sz="8" w:space="0" w:color="auto"/>
              <w:right w:val="nil"/>
            </w:tcBorders>
            <w:shd w:val="clear" w:color="auto" w:fill="auto"/>
            <w:hideMark/>
          </w:tcPr>
          <w:p w:rsidR="00ED48E1" w:rsidRPr="00187686" w:rsidRDefault="00ED48E1" w:rsidP="00ED48E1">
            <w:pPr>
              <w:spacing w:after="0" w:line="240" w:lineRule="auto"/>
              <w:ind w:left="177"/>
              <w:rPr>
                <w:color w:val="000000"/>
                <w:sz w:val="20"/>
                <w:szCs w:val="20"/>
              </w:rPr>
            </w:pPr>
            <w:r w:rsidRPr="00187686">
              <w:rPr>
                <w:rFonts w:hint="cs"/>
                <w:color w:val="000000"/>
                <w:sz w:val="20"/>
                <w:szCs w:val="20"/>
                <w:rtl/>
              </w:rPr>
              <w:t>شعبة دعم التنفيذ</w:t>
            </w:r>
          </w:p>
        </w:tc>
        <w:tc>
          <w:tcPr>
            <w:tcW w:w="1455"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3 105.0</w:t>
            </w:r>
          </w:p>
        </w:tc>
        <w:tc>
          <w:tcPr>
            <w:tcW w:w="1600"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3 708.2</w:t>
            </w:r>
          </w:p>
        </w:tc>
        <w:tc>
          <w:tcPr>
            <w:tcW w:w="1513"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6 813.2</w:t>
            </w:r>
          </w:p>
        </w:tc>
      </w:tr>
      <w:tr w:rsidR="00ED48E1" w:rsidRPr="002108B1" w:rsidTr="00ED48E1">
        <w:trPr>
          <w:trHeight w:val="300"/>
          <w:jc w:val="center"/>
        </w:trPr>
        <w:tc>
          <w:tcPr>
            <w:tcW w:w="4200" w:type="dxa"/>
            <w:tcBorders>
              <w:top w:val="nil"/>
              <w:left w:val="nil"/>
              <w:bottom w:val="single" w:sz="8" w:space="0" w:color="auto"/>
              <w:right w:val="nil"/>
            </w:tcBorders>
            <w:shd w:val="clear" w:color="auto" w:fill="auto"/>
            <w:hideMark/>
          </w:tcPr>
          <w:p w:rsidR="00ED48E1" w:rsidRPr="00187686" w:rsidRDefault="00ED48E1" w:rsidP="00ED48E1">
            <w:pPr>
              <w:spacing w:after="0" w:line="240" w:lineRule="auto"/>
              <w:rPr>
                <w:b/>
                <w:bCs/>
                <w:color w:val="000000"/>
                <w:sz w:val="20"/>
                <w:szCs w:val="20"/>
              </w:rPr>
            </w:pPr>
            <w:r w:rsidRPr="00187686">
              <w:rPr>
                <w:rFonts w:hint="cs"/>
                <w:b/>
                <w:bCs/>
                <w:color w:val="000000"/>
                <w:sz w:val="20"/>
                <w:szCs w:val="20"/>
                <w:rtl/>
              </w:rPr>
              <w:t xml:space="preserve">ثانيا </w:t>
            </w:r>
            <w:r w:rsidRPr="00187686">
              <w:rPr>
                <w:b/>
                <w:bCs/>
                <w:color w:val="000000"/>
                <w:sz w:val="20"/>
                <w:szCs w:val="20"/>
                <w:rtl/>
              </w:rPr>
              <w:t>–</w:t>
            </w:r>
            <w:r w:rsidRPr="00187686">
              <w:rPr>
                <w:rFonts w:hint="cs"/>
                <w:b/>
                <w:bCs/>
                <w:color w:val="000000"/>
                <w:sz w:val="20"/>
                <w:szCs w:val="20"/>
                <w:rtl/>
              </w:rPr>
              <w:t xml:space="preserve"> الإدارة والمالية وخدمات المؤتمرات</w:t>
            </w:r>
          </w:p>
        </w:tc>
        <w:tc>
          <w:tcPr>
            <w:tcW w:w="1455"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3 845.0</w:t>
            </w:r>
          </w:p>
        </w:tc>
        <w:tc>
          <w:tcPr>
            <w:tcW w:w="1600"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4 052.6</w:t>
            </w:r>
          </w:p>
        </w:tc>
        <w:tc>
          <w:tcPr>
            <w:tcW w:w="1513"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7 897.6</w:t>
            </w:r>
          </w:p>
        </w:tc>
      </w:tr>
      <w:tr w:rsidR="00ED48E1" w:rsidRPr="002108B1" w:rsidTr="00ED48E1">
        <w:trPr>
          <w:trHeight w:val="300"/>
          <w:jc w:val="center"/>
        </w:trPr>
        <w:tc>
          <w:tcPr>
            <w:tcW w:w="4200" w:type="dxa"/>
            <w:tcBorders>
              <w:top w:val="nil"/>
              <w:left w:val="nil"/>
              <w:bottom w:val="single" w:sz="12" w:space="0" w:color="auto"/>
              <w:right w:val="nil"/>
            </w:tcBorders>
            <w:shd w:val="clear" w:color="auto" w:fill="auto"/>
            <w:hideMark/>
          </w:tcPr>
          <w:p w:rsidR="00ED48E1" w:rsidRPr="00187686" w:rsidRDefault="00ED48E1" w:rsidP="00ED48E1">
            <w:pPr>
              <w:spacing w:after="0" w:line="240" w:lineRule="auto"/>
              <w:rPr>
                <w:b/>
                <w:bCs/>
                <w:color w:val="000000"/>
                <w:sz w:val="20"/>
                <w:szCs w:val="20"/>
              </w:rPr>
            </w:pPr>
            <w:r w:rsidRPr="00187686">
              <w:rPr>
                <w:rFonts w:hint="cs"/>
                <w:b/>
                <w:bCs/>
                <w:color w:val="000000"/>
                <w:sz w:val="20"/>
                <w:szCs w:val="20"/>
                <w:rtl/>
              </w:rPr>
              <w:t>المجموع الفرعي</w:t>
            </w:r>
          </w:p>
        </w:tc>
        <w:tc>
          <w:tcPr>
            <w:tcW w:w="1455" w:type="dxa"/>
            <w:tcBorders>
              <w:top w:val="nil"/>
              <w:left w:val="nil"/>
              <w:bottom w:val="single" w:sz="12" w:space="0" w:color="auto"/>
              <w:right w:val="nil"/>
            </w:tcBorders>
            <w:shd w:val="clear" w:color="auto" w:fill="auto"/>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16 718.9</w:t>
            </w:r>
          </w:p>
        </w:tc>
        <w:tc>
          <w:tcPr>
            <w:tcW w:w="1600" w:type="dxa"/>
            <w:tcBorders>
              <w:top w:val="nil"/>
              <w:left w:val="nil"/>
              <w:bottom w:val="single" w:sz="12" w:space="0" w:color="auto"/>
              <w:right w:val="nil"/>
            </w:tcBorders>
            <w:shd w:val="clear" w:color="auto" w:fill="auto"/>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17 490.5</w:t>
            </w:r>
          </w:p>
        </w:tc>
        <w:tc>
          <w:tcPr>
            <w:tcW w:w="1513" w:type="dxa"/>
            <w:tcBorders>
              <w:top w:val="nil"/>
              <w:left w:val="nil"/>
              <w:bottom w:val="single" w:sz="12" w:space="0" w:color="auto"/>
              <w:right w:val="nil"/>
            </w:tcBorders>
            <w:shd w:val="clear" w:color="auto" w:fill="auto"/>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34 209.4</w:t>
            </w:r>
          </w:p>
        </w:tc>
      </w:tr>
      <w:tr w:rsidR="00ED48E1" w:rsidRPr="002108B1" w:rsidTr="00ED48E1">
        <w:trPr>
          <w:trHeight w:val="300"/>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rPr>
                <w:color w:val="000000"/>
                <w:sz w:val="20"/>
                <w:szCs w:val="20"/>
              </w:rPr>
            </w:pPr>
            <w:r w:rsidRPr="00187686">
              <w:rPr>
                <w:rFonts w:hint="cs"/>
                <w:color w:val="000000"/>
                <w:sz w:val="20"/>
                <w:szCs w:val="20"/>
                <w:rtl/>
                <w:lang w:eastAsia="en-CA"/>
              </w:rPr>
              <w:t>تكاليف دعم البرامج</w:t>
            </w:r>
          </w:p>
        </w:tc>
        <w:tc>
          <w:tcPr>
            <w:tcW w:w="1455" w:type="dxa"/>
            <w:tcBorders>
              <w:top w:val="nil"/>
              <w:left w:val="nil"/>
              <w:bottom w:val="nil"/>
              <w:right w:val="nil"/>
            </w:tcBorders>
            <w:shd w:val="clear" w:color="auto" w:fill="auto"/>
            <w:noWrap/>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2 173.4</w:t>
            </w:r>
          </w:p>
        </w:tc>
        <w:tc>
          <w:tcPr>
            <w:tcW w:w="1600" w:type="dxa"/>
            <w:tcBorders>
              <w:top w:val="nil"/>
              <w:left w:val="nil"/>
              <w:bottom w:val="nil"/>
              <w:right w:val="nil"/>
            </w:tcBorders>
            <w:shd w:val="clear" w:color="auto" w:fill="auto"/>
            <w:noWrap/>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2 273.9</w:t>
            </w:r>
          </w:p>
        </w:tc>
        <w:tc>
          <w:tcPr>
            <w:tcW w:w="1513" w:type="dxa"/>
            <w:tcBorders>
              <w:top w:val="nil"/>
              <w:left w:val="nil"/>
              <w:bottom w:val="nil"/>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4 447.2</w:t>
            </w:r>
          </w:p>
        </w:tc>
      </w:tr>
      <w:tr w:rsidR="00ED48E1" w:rsidRPr="002108B1" w:rsidTr="00ED48E1">
        <w:trPr>
          <w:trHeight w:val="300"/>
          <w:jc w:val="center"/>
        </w:trPr>
        <w:tc>
          <w:tcPr>
            <w:tcW w:w="4200" w:type="dxa"/>
            <w:tcBorders>
              <w:top w:val="nil"/>
              <w:left w:val="nil"/>
              <w:bottom w:val="single" w:sz="8" w:space="0" w:color="auto"/>
              <w:right w:val="nil"/>
            </w:tcBorders>
            <w:shd w:val="clear" w:color="auto" w:fill="auto"/>
            <w:hideMark/>
          </w:tcPr>
          <w:p w:rsidR="00ED48E1" w:rsidRPr="00187686" w:rsidRDefault="00ED48E1" w:rsidP="00ED48E1">
            <w:pPr>
              <w:spacing w:after="0" w:line="240" w:lineRule="auto"/>
              <w:rPr>
                <w:b/>
                <w:bCs/>
                <w:color w:val="000000"/>
                <w:sz w:val="20"/>
                <w:szCs w:val="20"/>
              </w:rPr>
            </w:pPr>
            <w:r w:rsidRPr="00187686">
              <w:rPr>
                <w:rFonts w:hint="cs"/>
                <w:b/>
                <w:bCs/>
                <w:color w:val="000000"/>
                <w:sz w:val="20"/>
                <w:szCs w:val="20"/>
                <w:rtl/>
              </w:rPr>
              <w:t xml:space="preserve">ثالثا - </w:t>
            </w:r>
            <w:r w:rsidRPr="00187686">
              <w:rPr>
                <w:rFonts w:hint="cs"/>
                <w:b/>
                <w:bCs/>
                <w:color w:val="000000"/>
                <w:sz w:val="20"/>
                <w:szCs w:val="20"/>
                <w:rtl/>
                <w:lang w:eastAsia="en-CA"/>
              </w:rPr>
              <w:t>احتياطي رأس المال العامل</w:t>
            </w:r>
          </w:p>
        </w:tc>
        <w:tc>
          <w:tcPr>
            <w:tcW w:w="1455" w:type="dxa"/>
            <w:tcBorders>
              <w:top w:val="nil"/>
              <w:left w:val="nil"/>
              <w:bottom w:val="single" w:sz="8" w:space="0" w:color="auto"/>
              <w:right w:val="nil"/>
            </w:tcBorders>
            <w:shd w:val="clear" w:color="auto" w:fill="auto"/>
            <w:noWrap/>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56.6</w:t>
            </w:r>
          </w:p>
        </w:tc>
        <w:tc>
          <w:tcPr>
            <w:tcW w:w="1600" w:type="dxa"/>
            <w:tcBorders>
              <w:top w:val="nil"/>
              <w:left w:val="nil"/>
              <w:bottom w:val="single" w:sz="8" w:space="0" w:color="auto"/>
              <w:right w:val="nil"/>
            </w:tcBorders>
            <w:shd w:val="clear" w:color="auto" w:fill="auto"/>
            <w:noWrap/>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130.8</w:t>
            </w:r>
          </w:p>
        </w:tc>
        <w:tc>
          <w:tcPr>
            <w:tcW w:w="1513"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187.5</w:t>
            </w:r>
          </w:p>
        </w:tc>
      </w:tr>
      <w:tr w:rsidR="00ED48E1" w:rsidRPr="002108B1" w:rsidTr="00ED48E1">
        <w:trPr>
          <w:trHeight w:val="300"/>
          <w:jc w:val="center"/>
        </w:trPr>
        <w:tc>
          <w:tcPr>
            <w:tcW w:w="4200" w:type="dxa"/>
            <w:tcBorders>
              <w:top w:val="nil"/>
              <w:left w:val="nil"/>
              <w:bottom w:val="single" w:sz="8" w:space="0" w:color="auto"/>
              <w:right w:val="nil"/>
            </w:tcBorders>
            <w:shd w:val="clear" w:color="auto" w:fill="auto"/>
            <w:hideMark/>
          </w:tcPr>
          <w:p w:rsidR="00ED48E1" w:rsidRPr="00187686" w:rsidRDefault="00ED48E1" w:rsidP="00ED48E1">
            <w:pPr>
              <w:spacing w:after="0" w:line="240" w:lineRule="auto"/>
              <w:rPr>
                <w:b/>
                <w:bCs/>
                <w:color w:val="000000"/>
                <w:sz w:val="20"/>
                <w:szCs w:val="20"/>
                <w:rtl/>
              </w:rPr>
            </w:pPr>
            <w:r w:rsidRPr="00187686">
              <w:rPr>
                <w:rFonts w:hint="cs"/>
                <w:b/>
                <w:bCs/>
                <w:color w:val="000000"/>
                <w:sz w:val="20"/>
                <w:szCs w:val="20"/>
                <w:rtl/>
              </w:rPr>
              <w:t>المجموع</w:t>
            </w:r>
          </w:p>
        </w:tc>
        <w:tc>
          <w:tcPr>
            <w:tcW w:w="1455" w:type="dxa"/>
            <w:tcBorders>
              <w:top w:val="nil"/>
              <w:left w:val="nil"/>
              <w:bottom w:val="single" w:sz="8" w:space="0" w:color="auto"/>
              <w:right w:val="nil"/>
            </w:tcBorders>
            <w:shd w:val="clear" w:color="auto" w:fill="auto"/>
            <w:noWrap/>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18 948.9</w:t>
            </w:r>
          </w:p>
        </w:tc>
        <w:tc>
          <w:tcPr>
            <w:tcW w:w="1600" w:type="dxa"/>
            <w:tcBorders>
              <w:top w:val="nil"/>
              <w:left w:val="nil"/>
              <w:bottom w:val="single" w:sz="8" w:space="0" w:color="auto"/>
              <w:right w:val="nil"/>
            </w:tcBorders>
            <w:shd w:val="clear" w:color="auto" w:fill="auto"/>
            <w:noWrap/>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19 895.2</w:t>
            </w:r>
          </w:p>
        </w:tc>
        <w:tc>
          <w:tcPr>
            <w:tcW w:w="1513" w:type="dxa"/>
            <w:tcBorders>
              <w:top w:val="nil"/>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b/>
                <w:bCs/>
                <w:color w:val="000000"/>
                <w:sz w:val="18"/>
                <w:szCs w:val="18"/>
              </w:rPr>
            </w:pPr>
            <w:r w:rsidRPr="0077155C">
              <w:rPr>
                <w:b/>
                <w:bCs/>
                <w:color w:val="000000"/>
                <w:sz w:val="18"/>
                <w:szCs w:val="18"/>
              </w:rPr>
              <w:t>38 844.1</w:t>
            </w:r>
          </w:p>
        </w:tc>
      </w:tr>
      <w:tr w:rsidR="00ED48E1" w:rsidRPr="002108B1" w:rsidTr="00ED48E1">
        <w:trPr>
          <w:trHeight w:val="288"/>
          <w:jc w:val="center"/>
        </w:trPr>
        <w:tc>
          <w:tcPr>
            <w:tcW w:w="4200" w:type="dxa"/>
            <w:tcBorders>
              <w:top w:val="nil"/>
              <w:left w:val="nil"/>
              <w:bottom w:val="single" w:sz="4" w:space="0" w:color="auto"/>
              <w:right w:val="nil"/>
            </w:tcBorders>
            <w:shd w:val="clear" w:color="auto" w:fill="auto"/>
            <w:vAlign w:val="center"/>
            <w:hideMark/>
          </w:tcPr>
          <w:p w:rsidR="00ED48E1" w:rsidRPr="00187686" w:rsidRDefault="00ED48E1" w:rsidP="00ED48E1">
            <w:pPr>
              <w:spacing w:before="40" w:after="0" w:line="240" w:lineRule="auto"/>
              <w:rPr>
                <w:sz w:val="20"/>
                <w:szCs w:val="20"/>
              </w:rPr>
            </w:pPr>
            <w:r w:rsidRPr="00187686">
              <w:rPr>
                <w:rFonts w:ascii="Simplified Arabic" w:hAnsi="Simplified Arabic" w:hint="cs"/>
                <w:color w:val="000000"/>
                <w:sz w:val="20"/>
                <w:szCs w:val="20"/>
                <w:rtl/>
              </w:rPr>
              <w:t>حصة الاتفاقية من الميزانية المتكاملة (74%)</w:t>
            </w:r>
          </w:p>
        </w:tc>
        <w:tc>
          <w:tcPr>
            <w:tcW w:w="1455" w:type="dxa"/>
            <w:tcBorders>
              <w:top w:val="nil"/>
              <w:left w:val="nil"/>
              <w:bottom w:val="single" w:sz="4" w:space="0" w:color="auto"/>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14 022.2</w:t>
            </w:r>
          </w:p>
        </w:tc>
        <w:tc>
          <w:tcPr>
            <w:tcW w:w="1600" w:type="dxa"/>
            <w:tcBorders>
              <w:top w:val="nil"/>
              <w:left w:val="nil"/>
              <w:bottom w:val="single" w:sz="4" w:space="0" w:color="auto"/>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14 722.5</w:t>
            </w:r>
          </w:p>
        </w:tc>
        <w:tc>
          <w:tcPr>
            <w:tcW w:w="1513" w:type="dxa"/>
            <w:tcBorders>
              <w:top w:val="nil"/>
              <w:left w:val="nil"/>
              <w:bottom w:val="single" w:sz="4" w:space="0" w:color="auto"/>
              <w:right w:val="nil"/>
            </w:tcBorders>
            <w:shd w:val="clear" w:color="auto" w:fill="auto"/>
            <w:noWrap/>
            <w:hideMark/>
          </w:tcPr>
          <w:p w:rsidR="00ED48E1" w:rsidRPr="0077155C" w:rsidRDefault="00ED48E1" w:rsidP="00ED48E1">
            <w:pPr>
              <w:spacing w:before="120" w:after="0" w:line="240" w:lineRule="auto"/>
              <w:jc w:val="right"/>
              <w:rPr>
                <w:b/>
                <w:bCs/>
                <w:color w:val="000000"/>
                <w:sz w:val="18"/>
                <w:szCs w:val="18"/>
              </w:rPr>
            </w:pPr>
            <w:r w:rsidRPr="0077155C">
              <w:rPr>
                <w:b/>
                <w:bCs/>
                <w:color w:val="000000"/>
                <w:sz w:val="18"/>
                <w:szCs w:val="18"/>
              </w:rPr>
              <w:t>28 744.7</w:t>
            </w:r>
          </w:p>
        </w:tc>
      </w:tr>
      <w:tr w:rsidR="00ED48E1" w:rsidRPr="002108B1" w:rsidTr="00ED48E1">
        <w:trPr>
          <w:trHeight w:val="323"/>
          <w:jc w:val="center"/>
        </w:trPr>
        <w:tc>
          <w:tcPr>
            <w:tcW w:w="4200" w:type="dxa"/>
            <w:tcBorders>
              <w:top w:val="nil"/>
              <w:left w:val="nil"/>
              <w:bottom w:val="nil"/>
              <w:right w:val="nil"/>
            </w:tcBorders>
            <w:shd w:val="clear" w:color="auto" w:fill="auto"/>
            <w:hideMark/>
          </w:tcPr>
          <w:p w:rsidR="00ED48E1" w:rsidRPr="00187686" w:rsidRDefault="00ED48E1" w:rsidP="00ED48E1">
            <w:pPr>
              <w:spacing w:before="80" w:after="0" w:line="240" w:lineRule="auto"/>
              <w:rPr>
                <w:rFonts w:ascii="Simplified Arabic" w:hAnsi="Simplified Arabic"/>
                <w:color w:val="000000"/>
                <w:sz w:val="20"/>
                <w:szCs w:val="20"/>
              </w:rPr>
            </w:pPr>
            <w:r w:rsidRPr="00187686">
              <w:rPr>
                <w:rFonts w:ascii="Simplified Arabic" w:hAnsi="Simplified Arabic" w:hint="cs"/>
                <w:color w:val="000000"/>
                <w:sz w:val="20"/>
                <w:szCs w:val="20"/>
                <w:rtl/>
              </w:rPr>
              <w:t>ناقص: المساهمة من البلد المضيف</w:t>
            </w:r>
          </w:p>
        </w:tc>
        <w:tc>
          <w:tcPr>
            <w:tcW w:w="1455"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(909.8)</w:t>
            </w:r>
          </w:p>
        </w:tc>
        <w:tc>
          <w:tcPr>
            <w:tcW w:w="1600"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tl/>
              </w:rPr>
            </w:pPr>
            <w:r w:rsidRPr="0077155C">
              <w:rPr>
                <w:sz w:val="18"/>
                <w:szCs w:val="18"/>
              </w:rPr>
              <w:t xml:space="preserve"> (1 053.3)</w:t>
            </w:r>
          </w:p>
        </w:tc>
        <w:tc>
          <w:tcPr>
            <w:tcW w:w="1513"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(1 963.1)</w:t>
            </w:r>
          </w:p>
        </w:tc>
      </w:tr>
      <w:tr w:rsidR="00ED48E1" w:rsidRPr="002108B1" w:rsidTr="00ED48E1">
        <w:trPr>
          <w:trHeight w:val="288"/>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rPr>
                <w:rFonts w:ascii="Simplified Arabic" w:hAnsi="Simplified Arabic"/>
                <w:color w:val="000000"/>
                <w:sz w:val="20"/>
                <w:szCs w:val="20"/>
              </w:rPr>
            </w:pPr>
            <w:r w:rsidRPr="00187686">
              <w:rPr>
                <w:rFonts w:ascii="Simplified Arabic" w:hAnsi="Simplified Arabic" w:hint="cs"/>
                <w:color w:val="000000"/>
                <w:sz w:val="20"/>
                <w:szCs w:val="20"/>
                <w:rtl/>
              </w:rPr>
              <w:t xml:space="preserve">ناقص: استخدام الاحتياطيات </w:t>
            </w:r>
            <w:r>
              <w:rPr>
                <w:rFonts w:ascii="Simplified Arabic" w:hAnsi="Simplified Arabic" w:hint="cs"/>
                <w:color w:val="000000"/>
                <w:sz w:val="20"/>
                <w:szCs w:val="20"/>
                <w:rtl/>
              </w:rPr>
              <w:t>للاجتماعات الاستثنائية</w:t>
            </w:r>
          </w:p>
        </w:tc>
        <w:tc>
          <w:tcPr>
            <w:tcW w:w="1455"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(627.2)</w:t>
            </w:r>
          </w:p>
        </w:tc>
        <w:tc>
          <w:tcPr>
            <w:tcW w:w="1600"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(468.3)</w:t>
            </w:r>
          </w:p>
        </w:tc>
        <w:tc>
          <w:tcPr>
            <w:tcW w:w="1513"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(1 095.5)</w:t>
            </w:r>
          </w:p>
        </w:tc>
      </w:tr>
      <w:tr w:rsidR="00ED48E1" w:rsidRPr="002108B1" w:rsidTr="00ED48E1">
        <w:trPr>
          <w:trHeight w:val="288"/>
          <w:jc w:val="center"/>
        </w:trPr>
        <w:tc>
          <w:tcPr>
            <w:tcW w:w="4200" w:type="dxa"/>
            <w:tcBorders>
              <w:top w:val="nil"/>
              <w:left w:val="nil"/>
              <w:bottom w:val="nil"/>
              <w:right w:val="nil"/>
            </w:tcBorders>
            <w:shd w:val="clear" w:color="auto" w:fill="auto"/>
            <w:hideMark/>
          </w:tcPr>
          <w:p w:rsidR="00ED48E1" w:rsidRPr="00187686" w:rsidRDefault="00ED48E1" w:rsidP="00ED48E1">
            <w:pPr>
              <w:spacing w:after="0" w:line="240" w:lineRule="auto"/>
              <w:rPr>
                <w:rFonts w:ascii="Simplified Arabic" w:hAnsi="Simplified Arabic"/>
                <w:color w:val="000000"/>
                <w:sz w:val="20"/>
                <w:szCs w:val="20"/>
                <w:rtl/>
              </w:rPr>
            </w:pPr>
            <w:r w:rsidRPr="00187686">
              <w:rPr>
                <w:rFonts w:ascii="Simplified Arabic" w:hAnsi="Simplified Arabic" w:hint="cs"/>
                <w:color w:val="000000"/>
                <w:sz w:val="20"/>
                <w:szCs w:val="20"/>
                <w:rtl/>
              </w:rPr>
              <w:t>ناقص: استخدام الاحتياطيات من السنوات السابقة</w:t>
            </w:r>
          </w:p>
        </w:tc>
        <w:tc>
          <w:tcPr>
            <w:tcW w:w="1455"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(638.7)</w:t>
            </w:r>
          </w:p>
        </w:tc>
        <w:tc>
          <w:tcPr>
            <w:tcW w:w="1600"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(638.7)</w:t>
            </w:r>
          </w:p>
        </w:tc>
        <w:tc>
          <w:tcPr>
            <w:tcW w:w="1513" w:type="dxa"/>
            <w:tcBorders>
              <w:top w:val="nil"/>
              <w:left w:val="nil"/>
              <w:bottom w:val="nil"/>
              <w:right w:val="nil"/>
            </w:tcBorders>
            <w:shd w:val="clear" w:color="auto" w:fill="auto"/>
            <w:vAlign w:val="center"/>
            <w:hideMark/>
          </w:tcPr>
          <w:p w:rsidR="00ED48E1" w:rsidRPr="0077155C" w:rsidRDefault="00ED48E1" w:rsidP="00ED48E1">
            <w:pPr>
              <w:spacing w:before="80" w:after="0" w:line="240" w:lineRule="auto"/>
              <w:jc w:val="right"/>
              <w:rPr>
                <w:sz w:val="18"/>
                <w:szCs w:val="18"/>
              </w:rPr>
            </w:pPr>
            <w:r w:rsidRPr="0077155C">
              <w:rPr>
                <w:sz w:val="18"/>
                <w:szCs w:val="18"/>
              </w:rPr>
              <w:t xml:space="preserve"> (1 277.4)</w:t>
            </w:r>
          </w:p>
        </w:tc>
      </w:tr>
      <w:tr w:rsidR="00ED48E1" w:rsidRPr="002108B1" w:rsidTr="00ED48E1">
        <w:trPr>
          <w:trHeight w:val="300"/>
          <w:jc w:val="center"/>
        </w:trPr>
        <w:tc>
          <w:tcPr>
            <w:tcW w:w="4200" w:type="dxa"/>
            <w:tcBorders>
              <w:top w:val="single" w:sz="4" w:space="0" w:color="auto"/>
              <w:left w:val="nil"/>
              <w:bottom w:val="single" w:sz="8" w:space="0" w:color="auto"/>
              <w:right w:val="nil"/>
            </w:tcBorders>
            <w:shd w:val="clear" w:color="auto" w:fill="auto"/>
            <w:hideMark/>
          </w:tcPr>
          <w:p w:rsidR="00ED48E1" w:rsidRPr="00187686" w:rsidRDefault="00ED48E1" w:rsidP="00ED48E1">
            <w:pPr>
              <w:spacing w:after="0" w:line="240" w:lineRule="auto"/>
              <w:rPr>
                <w:rFonts w:ascii="Simplified Arabic" w:hAnsi="Simplified Arabic"/>
                <w:color w:val="000000"/>
                <w:sz w:val="20"/>
                <w:szCs w:val="20"/>
              </w:rPr>
            </w:pPr>
            <w:r w:rsidRPr="00187686">
              <w:rPr>
                <w:rFonts w:ascii="Simplified Arabic" w:hAnsi="Simplified Arabic" w:hint="cs"/>
                <w:color w:val="000000"/>
                <w:sz w:val="20"/>
                <w:szCs w:val="20"/>
                <w:rtl/>
              </w:rPr>
              <w:t>المجموع الصافي (المبلغ الذي ستتقاسمه الأطراف)</w:t>
            </w:r>
          </w:p>
        </w:tc>
        <w:tc>
          <w:tcPr>
            <w:tcW w:w="1455" w:type="dxa"/>
            <w:tcBorders>
              <w:top w:val="single" w:sz="4" w:space="0" w:color="auto"/>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11 846.5</w:t>
            </w:r>
          </w:p>
        </w:tc>
        <w:tc>
          <w:tcPr>
            <w:tcW w:w="1600" w:type="dxa"/>
            <w:tcBorders>
              <w:top w:val="single" w:sz="4" w:space="0" w:color="auto"/>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12 562.2</w:t>
            </w:r>
          </w:p>
        </w:tc>
        <w:tc>
          <w:tcPr>
            <w:tcW w:w="1513" w:type="dxa"/>
            <w:tcBorders>
              <w:top w:val="single" w:sz="4" w:space="0" w:color="auto"/>
              <w:left w:val="nil"/>
              <w:bottom w:val="single" w:sz="8" w:space="0" w:color="auto"/>
              <w:right w:val="nil"/>
            </w:tcBorders>
            <w:shd w:val="clear" w:color="auto" w:fill="auto"/>
            <w:hideMark/>
          </w:tcPr>
          <w:p w:rsidR="00ED48E1" w:rsidRPr="0077155C" w:rsidRDefault="00ED48E1" w:rsidP="00ED48E1">
            <w:pPr>
              <w:spacing w:before="80" w:after="0" w:line="240" w:lineRule="auto"/>
              <w:jc w:val="right"/>
              <w:rPr>
                <w:color w:val="000000"/>
                <w:sz w:val="18"/>
                <w:szCs w:val="18"/>
              </w:rPr>
            </w:pPr>
            <w:r w:rsidRPr="0077155C">
              <w:rPr>
                <w:color w:val="000000"/>
                <w:sz w:val="18"/>
                <w:szCs w:val="18"/>
              </w:rPr>
              <w:t>24 408.7</w:t>
            </w:r>
          </w:p>
        </w:tc>
      </w:tr>
    </w:tbl>
    <w:p w:rsidR="00ED48E1" w:rsidRDefault="00ED48E1" w:rsidP="00ED48E1">
      <w:pPr>
        <w:spacing w:after="0" w:line="144" w:lineRule="auto"/>
        <w:rPr>
          <w:szCs w:val="22"/>
          <w:rtl/>
        </w:rPr>
      </w:pPr>
    </w:p>
    <w:p w:rsidR="00ED48E1" w:rsidRDefault="00ED48E1" w:rsidP="00ED48E1">
      <w:pPr>
        <w:spacing w:after="0" w:line="144" w:lineRule="auto"/>
        <w:rPr>
          <w:szCs w:val="22"/>
          <w:rtl/>
        </w:rPr>
      </w:pPr>
    </w:p>
    <w:tbl>
      <w:tblPr>
        <w:bidiVisual/>
        <w:tblW w:w="8783" w:type="dxa"/>
        <w:jc w:val="center"/>
        <w:tblInd w:w="93" w:type="dxa"/>
        <w:tblLook w:val="04A0"/>
      </w:tblPr>
      <w:tblGrid>
        <w:gridCol w:w="4425"/>
        <w:gridCol w:w="1455"/>
        <w:gridCol w:w="1493"/>
        <w:gridCol w:w="1410"/>
      </w:tblGrid>
      <w:tr w:rsidR="00ED48E1" w:rsidRPr="002108B1" w:rsidTr="00ED48E1">
        <w:trPr>
          <w:trHeight w:val="398"/>
          <w:jc w:val="center"/>
        </w:trPr>
        <w:tc>
          <w:tcPr>
            <w:tcW w:w="4425" w:type="dxa"/>
            <w:vMerge w:val="restart"/>
            <w:tcBorders>
              <w:top w:val="single" w:sz="8" w:space="0" w:color="auto"/>
              <w:left w:val="nil"/>
              <w:bottom w:val="single" w:sz="12" w:space="0" w:color="000000"/>
              <w:right w:val="nil"/>
            </w:tcBorders>
            <w:shd w:val="clear" w:color="auto" w:fill="auto"/>
            <w:vAlign w:val="center"/>
            <w:hideMark/>
          </w:tcPr>
          <w:p w:rsidR="00ED48E1" w:rsidRPr="002108B1" w:rsidRDefault="00ED48E1" w:rsidP="00ED48E1">
            <w:pPr>
              <w:spacing w:after="0" w:line="240" w:lineRule="auto"/>
              <w:rPr>
                <w:i/>
                <w:iCs/>
                <w:color w:val="000000"/>
                <w:sz w:val="15"/>
                <w:szCs w:val="15"/>
              </w:rPr>
            </w:pPr>
          </w:p>
        </w:tc>
        <w:tc>
          <w:tcPr>
            <w:tcW w:w="1455" w:type="dxa"/>
            <w:vMerge w:val="restart"/>
            <w:tcBorders>
              <w:top w:val="single" w:sz="8" w:space="0" w:color="auto"/>
              <w:left w:val="nil"/>
              <w:bottom w:val="single" w:sz="12" w:space="0" w:color="000000"/>
              <w:right w:val="nil"/>
            </w:tcBorders>
            <w:shd w:val="clear" w:color="auto" w:fill="auto"/>
            <w:vAlign w:val="center"/>
            <w:hideMark/>
          </w:tcPr>
          <w:p w:rsidR="00ED48E1" w:rsidRDefault="00ED48E1" w:rsidP="00ED48E1">
            <w:pPr>
              <w:spacing w:after="0" w:line="240" w:lineRule="auto"/>
              <w:ind w:firstLine="252"/>
              <w:rPr>
                <w:i/>
                <w:iCs/>
                <w:color w:val="000000"/>
                <w:sz w:val="18"/>
                <w:szCs w:val="18"/>
                <w:rtl/>
              </w:rPr>
            </w:pPr>
            <w:r w:rsidRPr="00B303D3">
              <w:rPr>
                <w:i/>
                <w:iCs/>
                <w:color w:val="000000"/>
                <w:sz w:val="18"/>
                <w:szCs w:val="18"/>
              </w:rPr>
              <w:t xml:space="preserve">2019 </w:t>
            </w:r>
            <w:r>
              <w:rPr>
                <w:rFonts w:hint="cs"/>
                <w:i/>
                <w:iCs/>
                <w:color w:val="000000"/>
                <w:sz w:val="18"/>
                <w:szCs w:val="18"/>
                <w:rtl/>
              </w:rPr>
              <w:t xml:space="preserve"> </w:t>
            </w:r>
          </w:p>
          <w:p w:rsidR="00ED48E1" w:rsidRPr="00EB7B38" w:rsidRDefault="00ED48E1" w:rsidP="00ED48E1">
            <w:pPr>
              <w:spacing w:after="0" w:line="240" w:lineRule="auto"/>
              <w:jc w:val="center"/>
              <w:rPr>
                <w:i/>
                <w:iCs/>
                <w:color w:val="000000"/>
                <w:spacing w:val="-8"/>
                <w:sz w:val="18"/>
                <w:szCs w:val="18"/>
              </w:rPr>
            </w:pPr>
            <w:r>
              <w:rPr>
                <w:rFonts w:hint="cs"/>
                <w:i/>
                <w:iCs/>
                <w:color w:val="000000"/>
                <w:sz w:val="18"/>
                <w:szCs w:val="18"/>
                <w:rtl/>
              </w:rPr>
              <w:t>(بآلاف دولارات الولايات المتحدة</w:t>
            </w:r>
            <w:r w:rsidRPr="00EB7B38">
              <w:rPr>
                <w:rFonts w:hint="cs"/>
                <w:i/>
                <w:iCs/>
                <w:color w:val="000000"/>
                <w:spacing w:val="-8"/>
                <w:sz w:val="18"/>
                <w:szCs w:val="18"/>
                <w:rtl/>
              </w:rPr>
              <w:t>)</w:t>
            </w:r>
          </w:p>
        </w:tc>
        <w:tc>
          <w:tcPr>
            <w:tcW w:w="1493" w:type="dxa"/>
            <w:vMerge w:val="restart"/>
            <w:tcBorders>
              <w:top w:val="single" w:sz="8" w:space="0" w:color="auto"/>
              <w:left w:val="nil"/>
              <w:bottom w:val="single" w:sz="12" w:space="0" w:color="000000"/>
              <w:right w:val="nil"/>
            </w:tcBorders>
            <w:shd w:val="clear" w:color="auto" w:fill="auto"/>
            <w:vAlign w:val="center"/>
            <w:hideMark/>
          </w:tcPr>
          <w:p w:rsidR="00ED48E1" w:rsidRDefault="00ED48E1" w:rsidP="00ED48E1">
            <w:pPr>
              <w:spacing w:after="0" w:line="240" w:lineRule="auto"/>
              <w:ind w:firstLine="252"/>
              <w:rPr>
                <w:i/>
                <w:iCs/>
                <w:color w:val="000000"/>
                <w:sz w:val="18"/>
                <w:szCs w:val="18"/>
                <w:rtl/>
              </w:rPr>
            </w:pPr>
            <w:r w:rsidRPr="00B303D3">
              <w:rPr>
                <w:i/>
                <w:iCs/>
                <w:color w:val="000000"/>
                <w:sz w:val="18"/>
                <w:szCs w:val="18"/>
              </w:rPr>
              <w:t xml:space="preserve">2020  </w:t>
            </w:r>
          </w:p>
          <w:p w:rsidR="00ED48E1" w:rsidRPr="00B303D3" w:rsidRDefault="00ED48E1" w:rsidP="00ED48E1">
            <w:pPr>
              <w:spacing w:after="0" w:line="240" w:lineRule="auto"/>
              <w:jc w:val="center"/>
              <w:rPr>
                <w:i/>
                <w:iCs/>
                <w:color w:val="000000"/>
                <w:sz w:val="18"/>
                <w:szCs w:val="18"/>
              </w:rPr>
            </w:pPr>
            <w:r>
              <w:rPr>
                <w:rFonts w:hint="cs"/>
                <w:i/>
                <w:iCs/>
                <w:color w:val="000000"/>
                <w:sz w:val="18"/>
                <w:szCs w:val="18"/>
                <w:rtl/>
              </w:rPr>
              <w:t>(بآلاف دولارات الولايات المتحدة</w:t>
            </w:r>
            <w:r w:rsidRPr="00B303D3">
              <w:rPr>
                <w:rFonts w:hint="cs"/>
                <w:i/>
                <w:iCs/>
                <w:color w:val="000000"/>
                <w:sz w:val="18"/>
                <w:szCs w:val="18"/>
                <w:rtl/>
              </w:rPr>
              <w:t>)</w:t>
            </w:r>
          </w:p>
        </w:tc>
        <w:tc>
          <w:tcPr>
            <w:tcW w:w="1410" w:type="dxa"/>
            <w:vMerge w:val="restart"/>
            <w:tcBorders>
              <w:top w:val="single" w:sz="8" w:space="0" w:color="auto"/>
              <w:left w:val="nil"/>
              <w:bottom w:val="single" w:sz="12" w:space="0" w:color="000000"/>
              <w:right w:val="nil"/>
            </w:tcBorders>
            <w:shd w:val="clear" w:color="auto" w:fill="auto"/>
            <w:vAlign w:val="center"/>
            <w:hideMark/>
          </w:tcPr>
          <w:p w:rsidR="00ED48E1" w:rsidRPr="00B303D3" w:rsidRDefault="00ED48E1" w:rsidP="00ED48E1">
            <w:pPr>
              <w:spacing w:after="0" w:line="240" w:lineRule="auto"/>
              <w:jc w:val="center"/>
              <w:rPr>
                <w:i/>
                <w:iCs/>
                <w:color w:val="000000"/>
                <w:sz w:val="18"/>
                <w:szCs w:val="18"/>
                <w:rtl/>
              </w:rPr>
            </w:pPr>
            <w:r w:rsidRPr="00B303D3">
              <w:rPr>
                <w:rFonts w:hint="cs"/>
                <w:i/>
                <w:iCs/>
                <w:color w:val="000000"/>
                <w:sz w:val="18"/>
                <w:szCs w:val="18"/>
                <w:rtl/>
              </w:rPr>
              <w:t>المجموع</w:t>
            </w:r>
          </w:p>
          <w:p w:rsidR="00ED48E1" w:rsidRPr="00B303D3" w:rsidRDefault="00ED48E1" w:rsidP="00ED48E1">
            <w:pPr>
              <w:spacing w:after="0" w:line="240" w:lineRule="auto"/>
              <w:jc w:val="center"/>
              <w:rPr>
                <w:i/>
                <w:iCs/>
                <w:color w:val="000000"/>
                <w:sz w:val="18"/>
                <w:szCs w:val="18"/>
              </w:rPr>
            </w:pPr>
            <w:r>
              <w:rPr>
                <w:rFonts w:hint="cs"/>
                <w:i/>
                <w:iCs/>
                <w:color w:val="000000"/>
                <w:sz w:val="18"/>
                <w:szCs w:val="18"/>
                <w:rtl/>
              </w:rPr>
              <w:t>(بآلاف دولارات الولايات المتحدة</w:t>
            </w:r>
            <w:r w:rsidRPr="00B303D3">
              <w:rPr>
                <w:rFonts w:hint="cs"/>
                <w:i/>
                <w:iCs/>
                <w:color w:val="000000"/>
                <w:sz w:val="18"/>
                <w:szCs w:val="18"/>
                <w:rtl/>
              </w:rPr>
              <w:t>)</w:t>
            </w:r>
          </w:p>
        </w:tc>
      </w:tr>
      <w:tr w:rsidR="00ED48E1" w:rsidRPr="002108B1" w:rsidTr="00ED48E1">
        <w:trPr>
          <w:trHeight w:val="433"/>
          <w:jc w:val="center"/>
        </w:trPr>
        <w:tc>
          <w:tcPr>
            <w:tcW w:w="4425" w:type="dxa"/>
            <w:vMerge/>
            <w:tcBorders>
              <w:top w:val="single" w:sz="8" w:space="0" w:color="auto"/>
              <w:left w:val="nil"/>
              <w:bottom w:val="single" w:sz="12" w:space="0" w:color="000000"/>
              <w:right w:val="nil"/>
            </w:tcBorders>
            <w:vAlign w:val="center"/>
            <w:hideMark/>
          </w:tcPr>
          <w:p w:rsidR="00ED48E1" w:rsidRPr="002108B1" w:rsidRDefault="00ED48E1" w:rsidP="00ED48E1">
            <w:pPr>
              <w:spacing w:after="0" w:line="240" w:lineRule="auto"/>
              <w:rPr>
                <w:i/>
                <w:iCs/>
                <w:color w:val="000000"/>
                <w:sz w:val="15"/>
                <w:szCs w:val="15"/>
              </w:rPr>
            </w:pPr>
          </w:p>
        </w:tc>
        <w:tc>
          <w:tcPr>
            <w:tcW w:w="1455" w:type="dxa"/>
            <w:vMerge/>
            <w:tcBorders>
              <w:top w:val="single" w:sz="8" w:space="0" w:color="auto"/>
              <w:left w:val="nil"/>
              <w:bottom w:val="single" w:sz="12" w:space="0" w:color="000000"/>
              <w:right w:val="nil"/>
            </w:tcBorders>
            <w:vAlign w:val="center"/>
            <w:hideMark/>
          </w:tcPr>
          <w:p w:rsidR="00ED48E1" w:rsidRPr="002108B1" w:rsidRDefault="00ED48E1" w:rsidP="00ED48E1">
            <w:pPr>
              <w:spacing w:after="0" w:line="240" w:lineRule="auto"/>
              <w:rPr>
                <w:i/>
                <w:iCs/>
                <w:color w:val="000000"/>
                <w:sz w:val="15"/>
                <w:szCs w:val="15"/>
              </w:rPr>
            </w:pPr>
          </w:p>
        </w:tc>
        <w:tc>
          <w:tcPr>
            <w:tcW w:w="1493" w:type="dxa"/>
            <w:vMerge/>
            <w:tcBorders>
              <w:top w:val="single" w:sz="8" w:space="0" w:color="auto"/>
              <w:left w:val="nil"/>
              <w:bottom w:val="single" w:sz="12" w:space="0" w:color="000000"/>
              <w:right w:val="nil"/>
            </w:tcBorders>
            <w:vAlign w:val="center"/>
            <w:hideMark/>
          </w:tcPr>
          <w:p w:rsidR="00ED48E1" w:rsidRPr="002108B1" w:rsidRDefault="00ED48E1" w:rsidP="00ED48E1">
            <w:pPr>
              <w:spacing w:after="0" w:line="240" w:lineRule="auto"/>
              <w:rPr>
                <w:i/>
                <w:iCs/>
                <w:color w:val="000000"/>
                <w:sz w:val="15"/>
                <w:szCs w:val="15"/>
              </w:rPr>
            </w:pPr>
          </w:p>
        </w:tc>
        <w:tc>
          <w:tcPr>
            <w:tcW w:w="1410" w:type="dxa"/>
            <w:vMerge/>
            <w:tcBorders>
              <w:top w:val="single" w:sz="8" w:space="0" w:color="auto"/>
              <w:left w:val="nil"/>
              <w:bottom w:val="single" w:sz="12" w:space="0" w:color="000000"/>
              <w:right w:val="nil"/>
            </w:tcBorders>
            <w:vAlign w:val="center"/>
            <w:hideMark/>
          </w:tcPr>
          <w:p w:rsidR="00ED48E1" w:rsidRPr="002108B1" w:rsidRDefault="00ED48E1" w:rsidP="00ED48E1">
            <w:pPr>
              <w:spacing w:after="0" w:line="240" w:lineRule="auto"/>
              <w:rPr>
                <w:i/>
                <w:iCs/>
                <w:color w:val="000000"/>
                <w:sz w:val="15"/>
                <w:szCs w:val="15"/>
              </w:rPr>
            </w:pPr>
          </w:p>
        </w:tc>
      </w:tr>
      <w:tr w:rsidR="00ED48E1" w:rsidRPr="002108B1" w:rsidTr="00ED48E1">
        <w:trPr>
          <w:trHeight w:val="300"/>
          <w:jc w:val="center"/>
        </w:trPr>
        <w:tc>
          <w:tcPr>
            <w:tcW w:w="4425" w:type="dxa"/>
            <w:tcBorders>
              <w:top w:val="nil"/>
              <w:left w:val="nil"/>
              <w:bottom w:val="nil"/>
              <w:right w:val="nil"/>
            </w:tcBorders>
            <w:shd w:val="clear" w:color="auto" w:fill="auto"/>
            <w:vAlign w:val="center"/>
            <w:hideMark/>
          </w:tcPr>
          <w:p w:rsidR="00ED48E1" w:rsidRPr="00D94AEE" w:rsidRDefault="00ED48E1" w:rsidP="00ED48E1">
            <w:pPr>
              <w:spacing w:after="0" w:line="120" w:lineRule="auto"/>
              <w:rPr>
                <w:rFonts w:ascii="Simplified Arabic" w:hAnsi="Simplified Arabic"/>
                <w:color w:val="000000"/>
                <w:sz w:val="20"/>
                <w:szCs w:val="20"/>
              </w:rPr>
            </w:pPr>
          </w:p>
        </w:tc>
        <w:tc>
          <w:tcPr>
            <w:tcW w:w="1455" w:type="dxa"/>
            <w:tcBorders>
              <w:top w:val="nil"/>
              <w:left w:val="nil"/>
              <w:bottom w:val="nil"/>
              <w:right w:val="nil"/>
            </w:tcBorders>
            <w:shd w:val="clear" w:color="auto" w:fill="auto"/>
            <w:vAlign w:val="center"/>
            <w:hideMark/>
          </w:tcPr>
          <w:p w:rsidR="00ED48E1" w:rsidRPr="002108B1" w:rsidRDefault="00ED48E1" w:rsidP="00ED48E1">
            <w:pPr>
              <w:spacing w:after="0" w:line="120" w:lineRule="auto"/>
              <w:rPr>
                <w:rFonts w:ascii="Calibri" w:hAnsi="Calibri" w:cs="Calibri"/>
                <w:color w:val="000000"/>
                <w:sz w:val="20"/>
                <w:szCs w:val="20"/>
              </w:rPr>
            </w:pPr>
          </w:p>
        </w:tc>
        <w:tc>
          <w:tcPr>
            <w:tcW w:w="1493" w:type="dxa"/>
            <w:tcBorders>
              <w:top w:val="nil"/>
              <w:left w:val="nil"/>
              <w:bottom w:val="nil"/>
              <w:right w:val="nil"/>
            </w:tcBorders>
            <w:shd w:val="clear" w:color="auto" w:fill="auto"/>
            <w:vAlign w:val="center"/>
            <w:hideMark/>
          </w:tcPr>
          <w:p w:rsidR="00ED48E1" w:rsidRPr="002108B1" w:rsidRDefault="00ED48E1" w:rsidP="00ED48E1">
            <w:pPr>
              <w:spacing w:after="0" w:line="120" w:lineRule="auto"/>
              <w:jc w:val="right"/>
              <w:rPr>
                <w:color w:val="000000"/>
              </w:rPr>
            </w:pPr>
          </w:p>
        </w:tc>
        <w:tc>
          <w:tcPr>
            <w:tcW w:w="1410" w:type="dxa"/>
            <w:tcBorders>
              <w:top w:val="nil"/>
              <w:left w:val="nil"/>
              <w:bottom w:val="nil"/>
              <w:right w:val="nil"/>
            </w:tcBorders>
            <w:shd w:val="clear" w:color="auto" w:fill="auto"/>
            <w:vAlign w:val="center"/>
            <w:hideMark/>
          </w:tcPr>
          <w:p w:rsidR="00ED48E1" w:rsidRPr="002108B1" w:rsidRDefault="00ED48E1" w:rsidP="00ED48E1">
            <w:pPr>
              <w:spacing w:after="0" w:line="120" w:lineRule="auto"/>
              <w:jc w:val="right"/>
              <w:rPr>
                <w:color w:val="000000"/>
              </w:rPr>
            </w:pPr>
          </w:p>
        </w:tc>
      </w:tr>
      <w:tr w:rsidR="00ED48E1" w:rsidRPr="002108B1" w:rsidTr="00ED48E1">
        <w:trPr>
          <w:trHeight w:val="288"/>
          <w:jc w:val="center"/>
        </w:trPr>
        <w:tc>
          <w:tcPr>
            <w:tcW w:w="4425" w:type="dxa"/>
            <w:tcBorders>
              <w:top w:val="nil"/>
              <w:left w:val="nil"/>
              <w:bottom w:val="nil"/>
              <w:right w:val="nil"/>
            </w:tcBorders>
            <w:shd w:val="clear" w:color="auto" w:fill="auto"/>
            <w:hideMark/>
          </w:tcPr>
          <w:p w:rsidR="00ED48E1" w:rsidRPr="00D94AEE" w:rsidRDefault="00ED48E1" w:rsidP="00ED48E1">
            <w:pPr>
              <w:spacing w:after="0" w:line="204" w:lineRule="auto"/>
              <w:rPr>
                <w:rFonts w:ascii="Simplified Arabic" w:hAnsi="Simplified Arabic"/>
                <w:color w:val="000000"/>
                <w:sz w:val="20"/>
                <w:szCs w:val="20"/>
                <w:rtl/>
              </w:rPr>
            </w:pPr>
            <w:r w:rsidRPr="00D94AEE">
              <w:rPr>
                <w:rFonts w:ascii="Simplified Arabic" w:hAnsi="Simplified Arabic" w:hint="cs"/>
                <w:color w:val="000000"/>
                <w:sz w:val="20"/>
                <w:szCs w:val="20"/>
                <w:rtl/>
              </w:rPr>
              <w:t>ألف-  الهيئات الرئاسية والفرعية</w:t>
            </w:r>
          </w:p>
        </w:tc>
        <w:tc>
          <w:tcPr>
            <w:tcW w:w="1455"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w:t>
            </w:r>
            <w:r>
              <w:rPr>
                <w:color w:val="000000"/>
                <w:sz w:val="18"/>
                <w:szCs w:val="18"/>
              </w:rPr>
              <w:t xml:space="preserve"> </w:t>
            </w:r>
            <w:r w:rsidRPr="00604687">
              <w:rPr>
                <w:color w:val="000000"/>
                <w:sz w:val="18"/>
                <w:szCs w:val="18"/>
              </w:rPr>
              <w:t>889.0</w:t>
            </w:r>
          </w:p>
        </w:tc>
        <w:tc>
          <w:tcPr>
            <w:tcW w:w="1493"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484.0</w:t>
            </w:r>
          </w:p>
        </w:tc>
        <w:tc>
          <w:tcPr>
            <w:tcW w:w="1410"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4</w:t>
            </w:r>
            <w:r>
              <w:rPr>
                <w:color w:val="000000"/>
                <w:sz w:val="18"/>
                <w:szCs w:val="18"/>
              </w:rPr>
              <w:t xml:space="preserve"> </w:t>
            </w:r>
            <w:r w:rsidRPr="00604687">
              <w:rPr>
                <w:color w:val="000000"/>
                <w:sz w:val="18"/>
                <w:szCs w:val="18"/>
              </w:rPr>
              <w:t>373.0</w:t>
            </w:r>
          </w:p>
        </w:tc>
      </w:tr>
      <w:tr w:rsidR="00ED48E1" w:rsidRPr="002108B1" w:rsidTr="00ED48E1">
        <w:trPr>
          <w:trHeight w:val="288"/>
          <w:jc w:val="center"/>
        </w:trPr>
        <w:tc>
          <w:tcPr>
            <w:tcW w:w="4425" w:type="dxa"/>
            <w:tcBorders>
              <w:top w:val="nil"/>
              <w:left w:val="nil"/>
              <w:bottom w:val="nil"/>
              <w:right w:val="nil"/>
            </w:tcBorders>
            <w:shd w:val="clear" w:color="auto" w:fill="auto"/>
            <w:vAlign w:val="center"/>
            <w:hideMark/>
          </w:tcPr>
          <w:p w:rsidR="00ED48E1" w:rsidRPr="00C93E78" w:rsidRDefault="00ED48E1" w:rsidP="00ED48E1">
            <w:pPr>
              <w:spacing w:after="0" w:line="204" w:lineRule="auto"/>
              <w:rPr>
                <w:rFonts w:ascii="Simplified Arabic" w:hAnsi="Simplified Arabic"/>
                <w:color w:val="000000"/>
                <w:szCs w:val="20"/>
                <w:lang w:eastAsia="en-CA"/>
              </w:rPr>
            </w:pPr>
            <w:r w:rsidRPr="00C93E78">
              <w:rPr>
                <w:rFonts w:ascii="Simplified Arabic" w:hAnsi="Simplified Arabic" w:hint="cs"/>
                <w:color w:val="000000"/>
                <w:szCs w:val="20"/>
                <w:rtl/>
                <w:lang w:eastAsia="en-CA"/>
              </w:rPr>
              <w:t xml:space="preserve">باء- </w:t>
            </w:r>
            <w:r>
              <w:rPr>
                <w:rFonts w:ascii="Simplified Arabic" w:hAnsi="Simplified Arabic" w:hint="cs"/>
                <w:color w:val="000000"/>
                <w:szCs w:val="20"/>
                <w:rtl/>
                <w:lang w:eastAsia="en-CA"/>
              </w:rPr>
              <w:t>التوجيه التنفيذي</w:t>
            </w:r>
            <w:r w:rsidRPr="00C93E78">
              <w:rPr>
                <w:rFonts w:ascii="Simplified Arabic" w:hAnsi="Simplified Arabic" w:hint="cs"/>
                <w:color w:val="000000"/>
                <w:szCs w:val="20"/>
                <w:rtl/>
                <w:lang w:eastAsia="en-CA"/>
              </w:rPr>
              <w:t xml:space="preserve"> والإدارة التنفيذية</w:t>
            </w:r>
          </w:p>
        </w:tc>
        <w:tc>
          <w:tcPr>
            <w:tcW w:w="1455"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634.5</w:t>
            </w:r>
          </w:p>
        </w:tc>
        <w:tc>
          <w:tcPr>
            <w:tcW w:w="1493"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669.8</w:t>
            </w:r>
          </w:p>
        </w:tc>
        <w:tc>
          <w:tcPr>
            <w:tcW w:w="1410"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5</w:t>
            </w:r>
            <w:r>
              <w:rPr>
                <w:color w:val="000000"/>
                <w:sz w:val="18"/>
                <w:szCs w:val="18"/>
              </w:rPr>
              <w:t xml:space="preserve"> </w:t>
            </w:r>
            <w:r w:rsidRPr="00604687">
              <w:rPr>
                <w:color w:val="000000"/>
                <w:sz w:val="18"/>
                <w:szCs w:val="18"/>
              </w:rPr>
              <w:t>304.3</w:t>
            </w:r>
          </w:p>
        </w:tc>
      </w:tr>
      <w:tr w:rsidR="00ED48E1" w:rsidRPr="002108B1" w:rsidTr="00ED48E1">
        <w:trPr>
          <w:trHeight w:val="288"/>
          <w:jc w:val="center"/>
        </w:trPr>
        <w:tc>
          <w:tcPr>
            <w:tcW w:w="4425" w:type="dxa"/>
            <w:tcBorders>
              <w:top w:val="nil"/>
              <w:left w:val="nil"/>
              <w:bottom w:val="nil"/>
              <w:right w:val="nil"/>
            </w:tcBorders>
            <w:shd w:val="clear" w:color="auto" w:fill="auto"/>
            <w:vAlign w:val="center"/>
            <w:hideMark/>
          </w:tcPr>
          <w:p w:rsidR="00ED48E1" w:rsidRPr="00C93E78" w:rsidRDefault="00ED48E1" w:rsidP="00ED48E1">
            <w:pPr>
              <w:spacing w:after="0" w:line="204" w:lineRule="auto"/>
              <w:rPr>
                <w:rFonts w:ascii="Simplified Arabic" w:hAnsi="Simplified Arabic"/>
                <w:color w:val="000000"/>
                <w:szCs w:val="20"/>
                <w:lang w:eastAsia="en-CA"/>
              </w:rPr>
            </w:pPr>
            <w:r w:rsidRPr="00C93E78">
              <w:rPr>
                <w:rFonts w:ascii="Simplified Arabic" w:hAnsi="Simplified Arabic" w:hint="cs"/>
                <w:color w:val="000000"/>
                <w:szCs w:val="20"/>
                <w:rtl/>
                <w:lang w:eastAsia="en-CA"/>
              </w:rPr>
              <w:t>جيم- برنامج العمل</w:t>
            </w:r>
          </w:p>
        </w:tc>
        <w:tc>
          <w:tcPr>
            <w:tcW w:w="1455"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9</w:t>
            </w:r>
            <w:r>
              <w:rPr>
                <w:color w:val="000000"/>
                <w:sz w:val="18"/>
                <w:szCs w:val="18"/>
              </w:rPr>
              <w:t xml:space="preserve"> </w:t>
            </w:r>
            <w:r w:rsidRPr="00604687">
              <w:rPr>
                <w:color w:val="000000"/>
                <w:sz w:val="18"/>
                <w:szCs w:val="18"/>
              </w:rPr>
              <w:t>309.4</w:t>
            </w:r>
          </w:p>
        </w:tc>
        <w:tc>
          <w:tcPr>
            <w:tcW w:w="1493"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9</w:t>
            </w:r>
            <w:r>
              <w:rPr>
                <w:color w:val="000000"/>
                <w:sz w:val="18"/>
                <w:szCs w:val="18"/>
              </w:rPr>
              <w:t xml:space="preserve"> </w:t>
            </w:r>
            <w:r w:rsidRPr="00604687">
              <w:rPr>
                <w:color w:val="000000"/>
                <w:sz w:val="18"/>
                <w:szCs w:val="18"/>
              </w:rPr>
              <w:t>243.1</w:t>
            </w:r>
          </w:p>
        </w:tc>
        <w:tc>
          <w:tcPr>
            <w:tcW w:w="1410"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18</w:t>
            </w:r>
            <w:r>
              <w:rPr>
                <w:color w:val="000000"/>
                <w:sz w:val="18"/>
                <w:szCs w:val="18"/>
              </w:rPr>
              <w:t xml:space="preserve"> </w:t>
            </w:r>
            <w:r w:rsidRPr="00604687">
              <w:rPr>
                <w:color w:val="000000"/>
                <w:sz w:val="18"/>
                <w:szCs w:val="18"/>
              </w:rPr>
              <w:t>552.5</w:t>
            </w:r>
          </w:p>
        </w:tc>
      </w:tr>
      <w:tr w:rsidR="00ED48E1" w:rsidRPr="002108B1" w:rsidTr="00ED48E1">
        <w:trPr>
          <w:trHeight w:val="300"/>
          <w:jc w:val="center"/>
        </w:trPr>
        <w:tc>
          <w:tcPr>
            <w:tcW w:w="4425" w:type="dxa"/>
            <w:tcBorders>
              <w:top w:val="nil"/>
              <w:left w:val="nil"/>
              <w:bottom w:val="single" w:sz="8" w:space="0" w:color="auto"/>
              <w:right w:val="nil"/>
            </w:tcBorders>
            <w:shd w:val="clear" w:color="auto" w:fill="auto"/>
            <w:vAlign w:val="center"/>
            <w:hideMark/>
          </w:tcPr>
          <w:p w:rsidR="00ED48E1" w:rsidRPr="00C93E78" w:rsidRDefault="00ED48E1" w:rsidP="00ED48E1">
            <w:pPr>
              <w:spacing w:after="0" w:line="204" w:lineRule="auto"/>
              <w:rPr>
                <w:rFonts w:ascii="Simplified Arabic" w:hAnsi="Simplified Arabic"/>
                <w:color w:val="000000"/>
                <w:szCs w:val="20"/>
                <w:lang w:eastAsia="en-CA"/>
              </w:rPr>
            </w:pPr>
            <w:r w:rsidRPr="00C93E78">
              <w:rPr>
                <w:rFonts w:ascii="Simplified Arabic" w:hAnsi="Simplified Arabic" w:hint="cs"/>
                <w:color w:val="000000"/>
                <w:szCs w:val="20"/>
                <w:rtl/>
                <w:lang w:eastAsia="en-CA"/>
              </w:rPr>
              <w:t>دال- الدعم الإداري</w:t>
            </w:r>
          </w:p>
        </w:tc>
        <w:tc>
          <w:tcPr>
            <w:tcW w:w="1455" w:type="dxa"/>
            <w:tcBorders>
              <w:top w:val="nil"/>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886.0</w:t>
            </w:r>
          </w:p>
        </w:tc>
        <w:tc>
          <w:tcPr>
            <w:tcW w:w="1493" w:type="dxa"/>
            <w:tcBorders>
              <w:top w:val="nil"/>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3</w:t>
            </w:r>
            <w:r>
              <w:rPr>
                <w:color w:val="000000"/>
                <w:sz w:val="18"/>
                <w:szCs w:val="18"/>
              </w:rPr>
              <w:t xml:space="preserve"> </w:t>
            </w:r>
            <w:r w:rsidRPr="00604687">
              <w:rPr>
                <w:color w:val="000000"/>
                <w:sz w:val="18"/>
                <w:szCs w:val="18"/>
              </w:rPr>
              <w:t>093.7</w:t>
            </w:r>
          </w:p>
        </w:tc>
        <w:tc>
          <w:tcPr>
            <w:tcW w:w="1410" w:type="dxa"/>
            <w:tcBorders>
              <w:top w:val="nil"/>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5</w:t>
            </w:r>
            <w:r>
              <w:rPr>
                <w:color w:val="000000"/>
                <w:sz w:val="18"/>
                <w:szCs w:val="18"/>
              </w:rPr>
              <w:t xml:space="preserve"> </w:t>
            </w:r>
            <w:r w:rsidRPr="00604687">
              <w:rPr>
                <w:color w:val="000000"/>
                <w:sz w:val="18"/>
                <w:szCs w:val="18"/>
              </w:rPr>
              <w:t>979.7</w:t>
            </w:r>
          </w:p>
        </w:tc>
      </w:tr>
      <w:tr w:rsidR="00ED48E1" w:rsidRPr="002108B1" w:rsidTr="00ED48E1">
        <w:trPr>
          <w:trHeight w:val="300"/>
          <w:jc w:val="center"/>
        </w:trPr>
        <w:tc>
          <w:tcPr>
            <w:tcW w:w="4425" w:type="dxa"/>
            <w:tcBorders>
              <w:top w:val="nil"/>
              <w:left w:val="nil"/>
              <w:bottom w:val="single" w:sz="12" w:space="0" w:color="auto"/>
              <w:right w:val="nil"/>
            </w:tcBorders>
            <w:shd w:val="clear" w:color="auto" w:fill="auto"/>
            <w:vAlign w:val="center"/>
            <w:hideMark/>
          </w:tcPr>
          <w:p w:rsidR="00ED48E1" w:rsidRPr="00C93E78" w:rsidRDefault="00ED48E1" w:rsidP="00ED48E1">
            <w:pPr>
              <w:spacing w:after="0" w:line="240" w:lineRule="auto"/>
              <w:rPr>
                <w:rFonts w:ascii="Simplified Arabic" w:hAnsi="Simplified Arabic"/>
                <w:b/>
                <w:bCs/>
                <w:color w:val="000000"/>
                <w:szCs w:val="20"/>
                <w:rtl/>
              </w:rPr>
            </w:pPr>
            <w:r>
              <w:rPr>
                <w:rFonts w:ascii="Simplified Arabic" w:hAnsi="Simplified Arabic" w:hint="cs"/>
                <w:b/>
                <w:bCs/>
                <w:color w:val="000000"/>
                <w:szCs w:val="20"/>
                <w:rtl/>
              </w:rPr>
              <w:t>المجموع الفرعي</w:t>
            </w:r>
          </w:p>
        </w:tc>
        <w:tc>
          <w:tcPr>
            <w:tcW w:w="1455" w:type="dxa"/>
            <w:tcBorders>
              <w:top w:val="nil"/>
              <w:left w:val="nil"/>
              <w:bottom w:val="single" w:sz="12" w:space="0" w:color="auto"/>
              <w:right w:val="nil"/>
            </w:tcBorders>
            <w:shd w:val="clear" w:color="auto" w:fill="auto"/>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16</w:t>
            </w:r>
            <w:r>
              <w:rPr>
                <w:b/>
                <w:bCs/>
                <w:color w:val="000000"/>
                <w:sz w:val="18"/>
                <w:szCs w:val="18"/>
              </w:rPr>
              <w:t xml:space="preserve"> </w:t>
            </w:r>
            <w:r w:rsidRPr="00604687">
              <w:rPr>
                <w:b/>
                <w:bCs/>
                <w:color w:val="000000"/>
                <w:sz w:val="18"/>
                <w:szCs w:val="18"/>
              </w:rPr>
              <w:t>718.9</w:t>
            </w:r>
          </w:p>
        </w:tc>
        <w:tc>
          <w:tcPr>
            <w:tcW w:w="1493" w:type="dxa"/>
            <w:tcBorders>
              <w:top w:val="nil"/>
              <w:left w:val="nil"/>
              <w:bottom w:val="single" w:sz="12" w:space="0" w:color="auto"/>
              <w:right w:val="nil"/>
            </w:tcBorders>
            <w:shd w:val="clear" w:color="auto" w:fill="auto"/>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17</w:t>
            </w:r>
            <w:r>
              <w:rPr>
                <w:b/>
                <w:bCs/>
                <w:color w:val="000000"/>
                <w:sz w:val="18"/>
                <w:szCs w:val="18"/>
              </w:rPr>
              <w:t xml:space="preserve"> </w:t>
            </w:r>
            <w:r w:rsidRPr="00604687">
              <w:rPr>
                <w:b/>
                <w:bCs/>
                <w:color w:val="000000"/>
                <w:sz w:val="18"/>
                <w:szCs w:val="18"/>
              </w:rPr>
              <w:t>490.6</w:t>
            </w:r>
          </w:p>
        </w:tc>
        <w:tc>
          <w:tcPr>
            <w:tcW w:w="1410" w:type="dxa"/>
            <w:tcBorders>
              <w:top w:val="nil"/>
              <w:left w:val="nil"/>
              <w:bottom w:val="single" w:sz="12" w:space="0" w:color="auto"/>
              <w:right w:val="nil"/>
            </w:tcBorders>
            <w:shd w:val="clear" w:color="auto" w:fill="auto"/>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34</w:t>
            </w:r>
            <w:r>
              <w:rPr>
                <w:b/>
                <w:bCs/>
                <w:color w:val="000000"/>
                <w:sz w:val="18"/>
                <w:szCs w:val="18"/>
              </w:rPr>
              <w:t xml:space="preserve"> </w:t>
            </w:r>
            <w:r w:rsidRPr="00604687">
              <w:rPr>
                <w:b/>
                <w:bCs/>
                <w:color w:val="000000"/>
                <w:sz w:val="18"/>
                <w:szCs w:val="18"/>
              </w:rPr>
              <w:t>209.5</w:t>
            </w:r>
          </w:p>
        </w:tc>
      </w:tr>
      <w:tr w:rsidR="00ED48E1" w:rsidRPr="002108B1" w:rsidTr="00ED48E1">
        <w:trPr>
          <w:trHeight w:val="300"/>
          <w:jc w:val="center"/>
        </w:trPr>
        <w:tc>
          <w:tcPr>
            <w:tcW w:w="4425" w:type="dxa"/>
            <w:tcBorders>
              <w:top w:val="nil"/>
              <w:left w:val="nil"/>
              <w:bottom w:val="nil"/>
              <w:right w:val="nil"/>
            </w:tcBorders>
            <w:shd w:val="clear" w:color="auto" w:fill="auto"/>
            <w:vAlign w:val="center"/>
            <w:hideMark/>
          </w:tcPr>
          <w:p w:rsidR="00ED48E1" w:rsidRPr="00187686" w:rsidRDefault="00ED48E1" w:rsidP="00ED48E1">
            <w:pPr>
              <w:spacing w:after="0" w:line="240" w:lineRule="auto"/>
              <w:rPr>
                <w:color w:val="000000"/>
                <w:sz w:val="20"/>
                <w:szCs w:val="20"/>
                <w:lang w:eastAsia="en-CA"/>
              </w:rPr>
            </w:pPr>
            <w:r w:rsidRPr="00187686">
              <w:rPr>
                <w:rFonts w:hint="cs"/>
                <w:color w:val="000000"/>
                <w:sz w:val="20"/>
                <w:szCs w:val="20"/>
                <w:rtl/>
                <w:lang w:eastAsia="en-CA"/>
              </w:rPr>
              <w:t>تكاليف دعم البرامج</w:t>
            </w:r>
          </w:p>
        </w:tc>
        <w:tc>
          <w:tcPr>
            <w:tcW w:w="1455" w:type="dxa"/>
            <w:tcBorders>
              <w:top w:val="nil"/>
              <w:left w:val="nil"/>
              <w:bottom w:val="nil"/>
              <w:right w:val="nil"/>
            </w:tcBorders>
            <w:shd w:val="clear" w:color="auto" w:fill="auto"/>
            <w:noWrap/>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173.5</w:t>
            </w:r>
          </w:p>
        </w:tc>
        <w:tc>
          <w:tcPr>
            <w:tcW w:w="1493"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w:t>
            </w:r>
            <w:r>
              <w:rPr>
                <w:color w:val="000000"/>
                <w:sz w:val="18"/>
                <w:szCs w:val="18"/>
              </w:rPr>
              <w:t xml:space="preserve"> </w:t>
            </w:r>
            <w:r w:rsidRPr="00604687">
              <w:rPr>
                <w:color w:val="000000"/>
                <w:sz w:val="18"/>
                <w:szCs w:val="18"/>
              </w:rPr>
              <w:t>273.8</w:t>
            </w:r>
          </w:p>
        </w:tc>
        <w:tc>
          <w:tcPr>
            <w:tcW w:w="1410" w:type="dxa"/>
            <w:tcBorders>
              <w:top w:val="nil"/>
              <w:left w:val="nil"/>
              <w:bottom w:val="nil"/>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4</w:t>
            </w:r>
            <w:r>
              <w:rPr>
                <w:color w:val="000000"/>
                <w:sz w:val="18"/>
                <w:szCs w:val="18"/>
              </w:rPr>
              <w:t xml:space="preserve"> </w:t>
            </w:r>
            <w:r w:rsidRPr="00604687">
              <w:rPr>
                <w:color w:val="000000"/>
                <w:sz w:val="18"/>
                <w:szCs w:val="18"/>
              </w:rPr>
              <w:t>447.2</w:t>
            </w:r>
          </w:p>
        </w:tc>
      </w:tr>
      <w:tr w:rsidR="00ED48E1" w:rsidRPr="002108B1" w:rsidTr="00ED48E1">
        <w:trPr>
          <w:trHeight w:val="300"/>
          <w:jc w:val="center"/>
        </w:trPr>
        <w:tc>
          <w:tcPr>
            <w:tcW w:w="4425" w:type="dxa"/>
            <w:tcBorders>
              <w:top w:val="nil"/>
              <w:left w:val="nil"/>
              <w:bottom w:val="single" w:sz="8" w:space="0" w:color="auto"/>
              <w:right w:val="nil"/>
            </w:tcBorders>
            <w:shd w:val="clear" w:color="auto" w:fill="auto"/>
            <w:vAlign w:val="center"/>
            <w:hideMark/>
          </w:tcPr>
          <w:p w:rsidR="00ED48E1" w:rsidRPr="00187686" w:rsidRDefault="00ED48E1" w:rsidP="00ED48E1">
            <w:pPr>
              <w:spacing w:after="0" w:line="240" w:lineRule="auto"/>
              <w:rPr>
                <w:color w:val="000000"/>
                <w:sz w:val="20"/>
                <w:szCs w:val="20"/>
                <w:lang w:eastAsia="en-CA"/>
              </w:rPr>
            </w:pPr>
            <w:r w:rsidRPr="00187686">
              <w:rPr>
                <w:rFonts w:hint="cs"/>
                <w:color w:val="000000"/>
                <w:sz w:val="20"/>
                <w:szCs w:val="20"/>
                <w:rtl/>
                <w:lang w:eastAsia="en-CA"/>
              </w:rPr>
              <w:t>احتياطي رأس المال العامل</w:t>
            </w:r>
          </w:p>
        </w:tc>
        <w:tc>
          <w:tcPr>
            <w:tcW w:w="1455" w:type="dxa"/>
            <w:tcBorders>
              <w:top w:val="nil"/>
              <w:left w:val="nil"/>
              <w:bottom w:val="single" w:sz="8" w:space="0" w:color="auto"/>
              <w:right w:val="nil"/>
            </w:tcBorders>
            <w:shd w:val="clear" w:color="auto" w:fill="auto"/>
            <w:noWrap/>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56.6</w:t>
            </w:r>
          </w:p>
        </w:tc>
        <w:tc>
          <w:tcPr>
            <w:tcW w:w="1493" w:type="dxa"/>
            <w:tcBorders>
              <w:top w:val="nil"/>
              <w:left w:val="nil"/>
              <w:bottom w:val="single" w:sz="8" w:space="0" w:color="auto"/>
              <w:right w:val="nil"/>
            </w:tcBorders>
            <w:shd w:val="clear" w:color="auto" w:fill="auto"/>
            <w:noWrap/>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130.7</w:t>
            </w:r>
          </w:p>
        </w:tc>
        <w:tc>
          <w:tcPr>
            <w:tcW w:w="1410" w:type="dxa"/>
            <w:tcBorders>
              <w:top w:val="nil"/>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187.4</w:t>
            </w:r>
          </w:p>
        </w:tc>
      </w:tr>
      <w:tr w:rsidR="00ED48E1" w:rsidRPr="002108B1" w:rsidTr="00ED48E1">
        <w:trPr>
          <w:trHeight w:val="300"/>
          <w:jc w:val="center"/>
        </w:trPr>
        <w:tc>
          <w:tcPr>
            <w:tcW w:w="4425" w:type="dxa"/>
            <w:tcBorders>
              <w:top w:val="nil"/>
              <w:left w:val="nil"/>
              <w:bottom w:val="single" w:sz="8" w:space="0" w:color="auto"/>
              <w:right w:val="nil"/>
            </w:tcBorders>
            <w:shd w:val="clear" w:color="auto" w:fill="auto"/>
            <w:vAlign w:val="center"/>
            <w:hideMark/>
          </w:tcPr>
          <w:p w:rsidR="00ED48E1" w:rsidRPr="00187686" w:rsidRDefault="00ED48E1" w:rsidP="00ED48E1">
            <w:pPr>
              <w:spacing w:after="0" w:line="240" w:lineRule="auto"/>
              <w:rPr>
                <w:b/>
                <w:bCs/>
                <w:color w:val="000000"/>
                <w:sz w:val="20"/>
                <w:szCs w:val="20"/>
                <w:lang w:eastAsia="en-CA"/>
              </w:rPr>
            </w:pPr>
            <w:r w:rsidRPr="00187686">
              <w:rPr>
                <w:rFonts w:hint="cs"/>
                <w:b/>
                <w:bCs/>
                <w:color w:val="000000"/>
                <w:sz w:val="20"/>
                <w:szCs w:val="20"/>
                <w:rtl/>
                <w:lang w:eastAsia="en-CA"/>
              </w:rPr>
              <w:t>المجموع</w:t>
            </w:r>
          </w:p>
        </w:tc>
        <w:tc>
          <w:tcPr>
            <w:tcW w:w="1455" w:type="dxa"/>
            <w:tcBorders>
              <w:top w:val="nil"/>
              <w:left w:val="nil"/>
              <w:bottom w:val="single" w:sz="8" w:space="0" w:color="auto"/>
              <w:right w:val="nil"/>
            </w:tcBorders>
            <w:shd w:val="clear" w:color="auto" w:fill="auto"/>
            <w:noWrap/>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18</w:t>
            </w:r>
            <w:r>
              <w:rPr>
                <w:b/>
                <w:bCs/>
                <w:color w:val="000000"/>
                <w:sz w:val="18"/>
                <w:szCs w:val="18"/>
              </w:rPr>
              <w:t xml:space="preserve"> </w:t>
            </w:r>
            <w:r w:rsidRPr="00604687">
              <w:rPr>
                <w:b/>
                <w:bCs/>
                <w:color w:val="000000"/>
                <w:sz w:val="18"/>
                <w:szCs w:val="18"/>
              </w:rPr>
              <w:t>949.0</w:t>
            </w:r>
          </w:p>
        </w:tc>
        <w:tc>
          <w:tcPr>
            <w:tcW w:w="1493" w:type="dxa"/>
            <w:tcBorders>
              <w:top w:val="nil"/>
              <w:left w:val="nil"/>
              <w:bottom w:val="single" w:sz="8" w:space="0" w:color="auto"/>
              <w:right w:val="nil"/>
            </w:tcBorders>
            <w:shd w:val="clear" w:color="auto" w:fill="auto"/>
            <w:noWrap/>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19</w:t>
            </w:r>
            <w:r>
              <w:rPr>
                <w:b/>
                <w:bCs/>
                <w:color w:val="000000"/>
                <w:sz w:val="18"/>
                <w:szCs w:val="18"/>
              </w:rPr>
              <w:t xml:space="preserve"> </w:t>
            </w:r>
            <w:r w:rsidRPr="00604687">
              <w:rPr>
                <w:b/>
                <w:bCs/>
                <w:color w:val="000000"/>
                <w:sz w:val="18"/>
                <w:szCs w:val="18"/>
              </w:rPr>
              <w:t>895.1</w:t>
            </w:r>
          </w:p>
        </w:tc>
        <w:tc>
          <w:tcPr>
            <w:tcW w:w="1410" w:type="dxa"/>
            <w:tcBorders>
              <w:top w:val="nil"/>
              <w:left w:val="nil"/>
              <w:bottom w:val="single" w:sz="8" w:space="0" w:color="auto"/>
              <w:right w:val="nil"/>
            </w:tcBorders>
            <w:shd w:val="clear" w:color="auto" w:fill="auto"/>
            <w:noWrap/>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38</w:t>
            </w:r>
            <w:r>
              <w:rPr>
                <w:b/>
                <w:bCs/>
                <w:color w:val="000000"/>
                <w:sz w:val="18"/>
                <w:szCs w:val="18"/>
              </w:rPr>
              <w:t xml:space="preserve"> </w:t>
            </w:r>
            <w:r w:rsidRPr="00604687">
              <w:rPr>
                <w:b/>
                <w:bCs/>
                <w:color w:val="000000"/>
                <w:sz w:val="18"/>
                <w:szCs w:val="18"/>
              </w:rPr>
              <w:t>844.1</w:t>
            </w:r>
          </w:p>
        </w:tc>
      </w:tr>
      <w:tr w:rsidR="00ED48E1" w:rsidRPr="002108B1" w:rsidTr="00ED48E1">
        <w:trPr>
          <w:trHeight w:val="288"/>
          <w:jc w:val="center"/>
        </w:trPr>
        <w:tc>
          <w:tcPr>
            <w:tcW w:w="4425" w:type="dxa"/>
            <w:tcBorders>
              <w:top w:val="nil"/>
              <w:left w:val="nil"/>
              <w:bottom w:val="single" w:sz="4" w:space="0" w:color="auto"/>
              <w:right w:val="nil"/>
            </w:tcBorders>
            <w:shd w:val="clear" w:color="auto" w:fill="auto"/>
            <w:hideMark/>
          </w:tcPr>
          <w:p w:rsidR="00ED48E1" w:rsidRPr="00D94AEE" w:rsidRDefault="00ED48E1" w:rsidP="00ED48E1">
            <w:pPr>
              <w:spacing w:after="0" w:line="240" w:lineRule="auto"/>
              <w:rPr>
                <w:rFonts w:ascii="Simplified Arabic" w:hAnsi="Simplified Arabic"/>
                <w:color w:val="000000"/>
                <w:sz w:val="20"/>
                <w:szCs w:val="20"/>
                <w:rtl/>
              </w:rPr>
            </w:pPr>
            <w:r>
              <w:rPr>
                <w:rFonts w:ascii="Simplified Arabic" w:hAnsi="Simplified Arabic" w:hint="cs"/>
                <w:color w:val="000000"/>
                <w:sz w:val="20"/>
                <w:szCs w:val="20"/>
                <w:rtl/>
              </w:rPr>
              <w:t>حصة الاتفاقية من الميزانية المتكاملة (74%)</w:t>
            </w:r>
          </w:p>
        </w:tc>
        <w:tc>
          <w:tcPr>
            <w:tcW w:w="1455" w:type="dxa"/>
            <w:tcBorders>
              <w:top w:val="nil"/>
              <w:left w:val="nil"/>
              <w:bottom w:val="single" w:sz="4" w:space="0" w:color="auto"/>
              <w:right w:val="nil"/>
            </w:tcBorders>
            <w:shd w:val="clear" w:color="auto" w:fill="auto"/>
            <w:vAlign w:val="center"/>
            <w:hideMark/>
          </w:tcPr>
          <w:p w:rsidR="00ED48E1" w:rsidRPr="00604687" w:rsidRDefault="00ED48E1" w:rsidP="00ED48E1">
            <w:pPr>
              <w:spacing w:before="40" w:after="0" w:line="240" w:lineRule="auto"/>
              <w:jc w:val="right"/>
              <w:rPr>
                <w:sz w:val="18"/>
                <w:szCs w:val="18"/>
              </w:rPr>
            </w:pPr>
            <w:r w:rsidRPr="00604687">
              <w:rPr>
                <w:sz w:val="18"/>
                <w:szCs w:val="18"/>
              </w:rPr>
              <w:t>14</w:t>
            </w:r>
            <w:r>
              <w:rPr>
                <w:sz w:val="18"/>
                <w:szCs w:val="18"/>
              </w:rPr>
              <w:t xml:space="preserve"> </w:t>
            </w:r>
            <w:r w:rsidRPr="00604687">
              <w:rPr>
                <w:sz w:val="18"/>
                <w:szCs w:val="18"/>
              </w:rPr>
              <w:t>022.3</w:t>
            </w:r>
          </w:p>
        </w:tc>
        <w:tc>
          <w:tcPr>
            <w:tcW w:w="1493" w:type="dxa"/>
            <w:tcBorders>
              <w:top w:val="nil"/>
              <w:left w:val="nil"/>
              <w:bottom w:val="single" w:sz="4" w:space="0" w:color="auto"/>
              <w:right w:val="nil"/>
            </w:tcBorders>
            <w:shd w:val="clear" w:color="auto" w:fill="auto"/>
            <w:vAlign w:val="center"/>
            <w:hideMark/>
          </w:tcPr>
          <w:p w:rsidR="00ED48E1" w:rsidRPr="00604687" w:rsidRDefault="00ED48E1" w:rsidP="00ED48E1">
            <w:pPr>
              <w:spacing w:before="40" w:after="0" w:line="240" w:lineRule="auto"/>
              <w:jc w:val="right"/>
              <w:rPr>
                <w:sz w:val="18"/>
                <w:szCs w:val="18"/>
              </w:rPr>
            </w:pPr>
            <w:r w:rsidRPr="00604687">
              <w:rPr>
                <w:sz w:val="18"/>
                <w:szCs w:val="18"/>
              </w:rPr>
              <w:t>14</w:t>
            </w:r>
            <w:r>
              <w:rPr>
                <w:sz w:val="18"/>
                <w:szCs w:val="18"/>
              </w:rPr>
              <w:t xml:space="preserve"> </w:t>
            </w:r>
            <w:r w:rsidRPr="00604687">
              <w:rPr>
                <w:sz w:val="18"/>
                <w:szCs w:val="18"/>
              </w:rPr>
              <w:t>722.4</w:t>
            </w:r>
          </w:p>
        </w:tc>
        <w:tc>
          <w:tcPr>
            <w:tcW w:w="1410" w:type="dxa"/>
            <w:tcBorders>
              <w:top w:val="nil"/>
              <w:left w:val="nil"/>
              <w:bottom w:val="single" w:sz="4" w:space="0" w:color="auto"/>
              <w:right w:val="nil"/>
            </w:tcBorders>
            <w:shd w:val="clear" w:color="auto" w:fill="auto"/>
            <w:noWrap/>
            <w:hideMark/>
          </w:tcPr>
          <w:p w:rsidR="00ED48E1" w:rsidRPr="00604687" w:rsidRDefault="00ED48E1" w:rsidP="00ED48E1">
            <w:pPr>
              <w:spacing w:before="80" w:after="0" w:line="240" w:lineRule="auto"/>
              <w:jc w:val="right"/>
              <w:rPr>
                <w:b/>
                <w:bCs/>
                <w:color w:val="000000"/>
                <w:sz w:val="18"/>
                <w:szCs w:val="18"/>
              </w:rPr>
            </w:pPr>
            <w:r w:rsidRPr="00604687">
              <w:rPr>
                <w:b/>
                <w:bCs/>
                <w:color w:val="000000"/>
                <w:sz w:val="18"/>
                <w:szCs w:val="18"/>
              </w:rPr>
              <w:t>28</w:t>
            </w:r>
            <w:r>
              <w:rPr>
                <w:b/>
                <w:bCs/>
                <w:color w:val="000000"/>
                <w:sz w:val="18"/>
                <w:szCs w:val="18"/>
              </w:rPr>
              <w:t xml:space="preserve"> </w:t>
            </w:r>
            <w:r w:rsidRPr="00604687">
              <w:rPr>
                <w:b/>
                <w:bCs/>
                <w:color w:val="000000"/>
                <w:sz w:val="18"/>
                <w:szCs w:val="18"/>
              </w:rPr>
              <w:t>744.7</w:t>
            </w:r>
          </w:p>
        </w:tc>
      </w:tr>
      <w:tr w:rsidR="00ED48E1" w:rsidRPr="002108B1" w:rsidTr="00ED48E1">
        <w:trPr>
          <w:trHeight w:val="288"/>
          <w:jc w:val="center"/>
        </w:trPr>
        <w:tc>
          <w:tcPr>
            <w:tcW w:w="4425" w:type="dxa"/>
            <w:tcBorders>
              <w:top w:val="nil"/>
              <w:left w:val="nil"/>
              <w:bottom w:val="nil"/>
              <w:right w:val="nil"/>
            </w:tcBorders>
            <w:shd w:val="clear" w:color="auto" w:fill="auto"/>
            <w:hideMark/>
          </w:tcPr>
          <w:p w:rsidR="00ED48E1" w:rsidRPr="00D94AEE" w:rsidRDefault="00ED48E1" w:rsidP="00ED48E1">
            <w:pPr>
              <w:spacing w:after="0" w:line="240" w:lineRule="auto"/>
              <w:rPr>
                <w:rFonts w:ascii="Simplified Arabic" w:hAnsi="Simplified Arabic"/>
                <w:color w:val="000000"/>
                <w:sz w:val="20"/>
                <w:szCs w:val="20"/>
              </w:rPr>
            </w:pPr>
            <w:r>
              <w:rPr>
                <w:rFonts w:ascii="Simplified Arabic" w:hAnsi="Simplified Arabic" w:hint="cs"/>
                <w:color w:val="000000"/>
                <w:sz w:val="20"/>
                <w:szCs w:val="20"/>
                <w:rtl/>
              </w:rPr>
              <w:t>ناقص: المساهمة من البلد المضيف</w:t>
            </w:r>
          </w:p>
        </w:tc>
        <w:tc>
          <w:tcPr>
            <w:tcW w:w="1455"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(909.8)</w:t>
            </w:r>
          </w:p>
        </w:tc>
        <w:tc>
          <w:tcPr>
            <w:tcW w:w="1493"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(1</w:t>
            </w:r>
            <w:r>
              <w:rPr>
                <w:sz w:val="18"/>
                <w:szCs w:val="18"/>
              </w:rPr>
              <w:t xml:space="preserve"> </w:t>
            </w:r>
            <w:r w:rsidRPr="00604687">
              <w:rPr>
                <w:sz w:val="18"/>
                <w:szCs w:val="18"/>
              </w:rPr>
              <w:t>053.3)</w:t>
            </w:r>
          </w:p>
        </w:tc>
        <w:tc>
          <w:tcPr>
            <w:tcW w:w="1410"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(1</w:t>
            </w:r>
            <w:r>
              <w:rPr>
                <w:sz w:val="18"/>
                <w:szCs w:val="18"/>
              </w:rPr>
              <w:t xml:space="preserve"> </w:t>
            </w:r>
            <w:r w:rsidRPr="00604687">
              <w:rPr>
                <w:sz w:val="18"/>
                <w:szCs w:val="18"/>
              </w:rPr>
              <w:t>963.1)</w:t>
            </w:r>
          </w:p>
        </w:tc>
      </w:tr>
      <w:tr w:rsidR="00ED48E1" w:rsidRPr="002108B1" w:rsidTr="00ED48E1">
        <w:trPr>
          <w:trHeight w:val="288"/>
          <w:jc w:val="center"/>
        </w:trPr>
        <w:tc>
          <w:tcPr>
            <w:tcW w:w="4425" w:type="dxa"/>
            <w:tcBorders>
              <w:top w:val="nil"/>
              <w:left w:val="nil"/>
              <w:bottom w:val="nil"/>
              <w:right w:val="nil"/>
            </w:tcBorders>
            <w:shd w:val="clear" w:color="auto" w:fill="auto"/>
            <w:hideMark/>
          </w:tcPr>
          <w:p w:rsidR="00ED48E1" w:rsidRPr="00D94AEE" w:rsidRDefault="00ED48E1" w:rsidP="00ED48E1">
            <w:pPr>
              <w:spacing w:after="0" w:line="240" w:lineRule="auto"/>
              <w:rPr>
                <w:rFonts w:ascii="Simplified Arabic" w:hAnsi="Simplified Arabic"/>
                <w:color w:val="000000"/>
                <w:sz w:val="20"/>
                <w:szCs w:val="20"/>
              </w:rPr>
            </w:pPr>
            <w:r>
              <w:rPr>
                <w:rFonts w:ascii="Simplified Arabic" w:hAnsi="Simplified Arabic" w:hint="cs"/>
                <w:color w:val="000000"/>
                <w:sz w:val="20"/>
                <w:szCs w:val="20"/>
                <w:rtl/>
              </w:rPr>
              <w:t>ناقص: استخدام الاحتياطيات للاجتماعات الاستثنائية</w:t>
            </w:r>
          </w:p>
        </w:tc>
        <w:tc>
          <w:tcPr>
            <w:tcW w:w="1455"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tl/>
              </w:rPr>
            </w:pPr>
            <w:r w:rsidRPr="00604687">
              <w:rPr>
                <w:sz w:val="18"/>
                <w:szCs w:val="18"/>
              </w:rPr>
              <w:t xml:space="preserve"> (627.2)</w:t>
            </w:r>
          </w:p>
        </w:tc>
        <w:tc>
          <w:tcPr>
            <w:tcW w:w="1493"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(468.3)</w:t>
            </w:r>
          </w:p>
        </w:tc>
        <w:tc>
          <w:tcPr>
            <w:tcW w:w="1410"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(1</w:t>
            </w:r>
            <w:r>
              <w:rPr>
                <w:sz w:val="18"/>
                <w:szCs w:val="18"/>
              </w:rPr>
              <w:t xml:space="preserve"> </w:t>
            </w:r>
            <w:r w:rsidRPr="00604687">
              <w:rPr>
                <w:sz w:val="18"/>
                <w:szCs w:val="18"/>
              </w:rPr>
              <w:t>095.5)</w:t>
            </w:r>
          </w:p>
        </w:tc>
      </w:tr>
      <w:tr w:rsidR="00ED48E1" w:rsidRPr="002108B1" w:rsidTr="00ED48E1">
        <w:trPr>
          <w:trHeight w:val="288"/>
          <w:jc w:val="center"/>
        </w:trPr>
        <w:tc>
          <w:tcPr>
            <w:tcW w:w="4425" w:type="dxa"/>
            <w:tcBorders>
              <w:top w:val="nil"/>
              <w:left w:val="nil"/>
              <w:bottom w:val="nil"/>
              <w:right w:val="nil"/>
            </w:tcBorders>
            <w:shd w:val="clear" w:color="auto" w:fill="auto"/>
            <w:hideMark/>
          </w:tcPr>
          <w:p w:rsidR="00ED48E1" w:rsidRPr="00D94AEE" w:rsidRDefault="00ED48E1" w:rsidP="00ED48E1">
            <w:pPr>
              <w:spacing w:after="0" w:line="240" w:lineRule="auto"/>
              <w:rPr>
                <w:rFonts w:ascii="Simplified Arabic" w:hAnsi="Simplified Arabic"/>
                <w:color w:val="000000"/>
                <w:sz w:val="20"/>
                <w:szCs w:val="20"/>
              </w:rPr>
            </w:pPr>
            <w:r>
              <w:rPr>
                <w:rFonts w:ascii="Simplified Arabic" w:hAnsi="Simplified Arabic" w:hint="cs"/>
                <w:color w:val="000000"/>
                <w:sz w:val="20"/>
                <w:szCs w:val="20"/>
                <w:rtl/>
              </w:rPr>
              <w:t>ناقص: استخدام الاحتياطيات من السنوات السابقة</w:t>
            </w:r>
          </w:p>
        </w:tc>
        <w:tc>
          <w:tcPr>
            <w:tcW w:w="1455"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(638.7)</w:t>
            </w:r>
          </w:p>
        </w:tc>
        <w:tc>
          <w:tcPr>
            <w:tcW w:w="1493"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(638.7)</w:t>
            </w:r>
          </w:p>
        </w:tc>
        <w:tc>
          <w:tcPr>
            <w:tcW w:w="1410" w:type="dxa"/>
            <w:tcBorders>
              <w:top w:val="nil"/>
              <w:left w:val="nil"/>
              <w:bottom w:val="nil"/>
              <w:right w:val="nil"/>
            </w:tcBorders>
            <w:shd w:val="clear" w:color="auto" w:fill="auto"/>
            <w:vAlign w:val="center"/>
            <w:hideMark/>
          </w:tcPr>
          <w:p w:rsidR="00ED48E1" w:rsidRPr="00604687" w:rsidRDefault="00ED48E1" w:rsidP="00ED48E1">
            <w:pPr>
              <w:spacing w:before="80" w:after="0" w:line="240" w:lineRule="auto"/>
              <w:rPr>
                <w:sz w:val="18"/>
                <w:szCs w:val="18"/>
              </w:rPr>
            </w:pPr>
            <w:r w:rsidRPr="00604687">
              <w:rPr>
                <w:sz w:val="18"/>
                <w:szCs w:val="18"/>
              </w:rPr>
              <w:t xml:space="preserve"> (1</w:t>
            </w:r>
            <w:r>
              <w:rPr>
                <w:sz w:val="18"/>
                <w:szCs w:val="18"/>
              </w:rPr>
              <w:t xml:space="preserve"> </w:t>
            </w:r>
            <w:r w:rsidRPr="00604687">
              <w:rPr>
                <w:sz w:val="18"/>
                <w:szCs w:val="18"/>
              </w:rPr>
              <w:t>277.4)</w:t>
            </w:r>
          </w:p>
        </w:tc>
      </w:tr>
      <w:tr w:rsidR="00ED48E1" w:rsidRPr="002108B1" w:rsidTr="00ED48E1">
        <w:trPr>
          <w:trHeight w:val="300"/>
          <w:jc w:val="center"/>
        </w:trPr>
        <w:tc>
          <w:tcPr>
            <w:tcW w:w="4425" w:type="dxa"/>
            <w:tcBorders>
              <w:top w:val="single" w:sz="4" w:space="0" w:color="auto"/>
              <w:left w:val="nil"/>
              <w:bottom w:val="single" w:sz="8" w:space="0" w:color="auto"/>
              <w:right w:val="nil"/>
            </w:tcBorders>
            <w:shd w:val="clear" w:color="auto" w:fill="auto"/>
            <w:hideMark/>
          </w:tcPr>
          <w:p w:rsidR="00ED48E1" w:rsidRPr="00D94AEE" w:rsidRDefault="00ED48E1" w:rsidP="00ED48E1">
            <w:pPr>
              <w:spacing w:after="0" w:line="240" w:lineRule="auto"/>
              <w:rPr>
                <w:rFonts w:ascii="Simplified Arabic" w:hAnsi="Simplified Arabic"/>
                <w:color w:val="000000"/>
                <w:sz w:val="20"/>
                <w:szCs w:val="20"/>
              </w:rPr>
            </w:pPr>
            <w:r>
              <w:rPr>
                <w:rFonts w:ascii="Simplified Arabic" w:hAnsi="Simplified Arabic" w:hint="cs"/>
                <w:color w:val="000000"/>
                <w:sz w:val="20"/>
                <w:szCs w:val="20"/>
                <w:rtl/>
              </w:rPr>
              <w:t>المجموع الصافي (المبلغ الذي ستتقاسمه الأطراف)</w:t>
            </w:r>
          </w:p>
        </w:tc>
        <w:tc>
          <w:tcPr>
            <w:tcW w:w="1455" w:type="dxa"/>
            <w:tcBorders>
              <w:top w:val="single" w:sz="4" w:space="0" w:color="auto"/>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11</w:t>
            </w:r>
            <w:r>
              <w:rPr>
                <w:color w:val="000000"/>
                <w:sz w:val="18"/>
                <w:szCs w:val="18"/>
              </w:rPr>
              <w:t xml:space="preserve"> </w:t>
            </w:r>
            <w:r w:rsidRPr="00604687">
              <w:rPr>
                <w:color w:val="000000"/>
                <w:sz w:val="18"/>
                <w:szCs w:val="18"/>
              </w:rPr>
              <w:t>846.6</w:t>
            </w:r>
          </w:p>
        </w:tc>
        <w:tc>
          <w:tcPr>
            <w:tcW w:w="1493" w:type="dxa"/>
            <w:tcBorders>
              <w:top w:val="single" w:sz="4" w:space="0" w:color="auto"/>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12</w:t>
            </w:r>
            <w:r>
              <w:rPr>
                <w:color w:val="000000"/>
                <w:sz w:val="18"/>
                <w:szCs w:val="18"/>
              </w:rPr>
              <w:t xml:space="preserve"> </w:t>
            </w:r>
            <w:r w:rsidRPr="00604687">
              <w:rPr>
                <w:color w:val="000000"/>
                <w:sz w:val="18"/>
                <w:szCs w:val="18"/>
              </w:rPr>
              <w:t>562.1</w:t>
            </w:r>
          </w:p>
        </w:tc>
        <w:tc>
          <w:tcPr>
            <w:tcW w:w="1410" w:type="dxa"/>
            <w:tcBorders>
              <w:top w:val="single" w:sz="4" w:space="0" w:color="auto"/>
              <w:left w:val="nil"/>
              <w:bottom w:val="single" w:sz="8" w:space="0" w:color="auto"/>
              <w:right w:val="nil"/>
            </w:tcBorders>
            <w:shd w:val="clear" w:color="auto" w:fill="auto"/>
            <w:hideMark/>
          </w:tcPr>
          <w:p w:rsidR="00ED48E1" w:rsidRPr="00604687" w:rsidRDefault="00ED48E1" w:rsidP="00ED48E1">
            <w:pPr>
              <w:spacing w:before="80" w:after="0" w:line="240" w:lineRule="auto"/>
              <w:jc w:val="right"/>
              <w:rPr>
                <w:color w:val="000000"/>
                <w:sz w:val="18"/>
                <w:szCs w:val="18"/>
              </w:rPr>
            </w:pPr>
            <w:r w:rsidRPr="00604687">
              <w:rPr>
                <w:color w:val="000000"/>
                <w:sz w:val="18"/>
                <w:szCs w:val="18"/>
              </w:rPr>
              <w:t>24</w:t>
            </w:r>
            <w:r>
              <w:rPr>
                <w:color w:val="000000"/>
                <w:sz w:val="18"/>
                <w:szCs w:val="18"/>
              </w:rPr>
              <w:t xml:space="preserve"> </w:t>
            </w:r>
            <w:r w:rsidRPr="00604687">
              <w:rPr>
                <w:color w:val="000000"/>
                <w:sz w:val="18"/>
                <w:szCs w:val="18"/>
              </w:rPr>
              <w:t>408.7</w:t>
            </w:r>
          </w:p>
        </w:tc>
      </w:tr>
    </w:tbl>
    <w:p w:rsidR="00ED48E1" w:rsidRDefault="00ED48E1" w:rsidP="00ED48E1">
      <w:pPr>
        <w:spacing w:after="0" w:line="120" w:lineRule="auto"/>
        <w:rPr>
          <w:sz w:val="24"/>
          <w:rtl/>
        </w:rPr>
      </w:pPr>
    </w:p>
    <w:p w:rsidR="00ED48E1" w:rsidRPr="001F33F8" w:rsidRDefault="00ED48E1" w:rsidP="00ED48E1">
      <w:pPr>
        <w:spacing w:after="0"/>
        <w:ind w:left="2074" w:right="1710" w:hanging="1354"/>
        <w:rPr>
          <w:b/>
          <w:bCs/>
          <w:szCs w:val="22"/>
          <w:rtl/>
        </w:rPr>
      </w:pPr>
      <w:r w:rsidRPr="001F33F8">
        <w:rPr>
          <w:rFonts w:hint="cs"/>
          <w:b/>
          <w:bCs/>
          <w:szCs w:val="22"/>
          <w:rtl/>
        </w:rPr>
        <w:lastRenderedPageBreak/>
        <w:t>الجدول 1 ب:</w:t>
      </w:r>
      <w:r w:rsidRPr="001F33F8">
        <w:rPr>
          <w:rFonts w:hint="cs"/>
          <w:b/>
          <w:bCs/>
          <w:szCs w:val="22"/>
          <w:rtl/>
        </w:rPr>
        <w:tab/>
        <w:t xml:space="preserve">الميزانية المتكاملة </w:t>
      </w:r>
      <w:r>
        <w:rPr>
          <w:rFonts w:hint="cs"/>
          <w:b/>
          <w:bCs/>
          <w:szCs w:val="22"/>
          <w:rtl/>
        </w:rPr>
        <w:t xml:space="preserve">لفترة السنتين </w:t>
      </w:r>
      <w:r w:rsidRPr="001F33F8">
        <w:rPr>
          <w:rFonts w:hint="cs"/>
          <w:b/>
          <w:bCs/>
          <w:szCs w:val="22"/>
          <w:rtl/>
        </w:rPr>
        <w:t>للصناديق الاستئمانية لاتفاقية التنوع البيولوجي وبروتوكوليها ل</w:t>
      </w:r>
      <w:r>
        <w:rPr>
          <w:rFonts w:hint="cs"/>
          <w:b/>
          <w:bCs/>
          <w:szCs w:val="22"/>
          <w:rtl/>
        </w:rPr>
        <w:t>ل</w:t>
      </w:r>
      <w:r w:rsidRPr="001F33F8">
        <w:rPr>
          <w:rFonts w:hint="cs"/>
          <w:b/>
          <w:bCs/>
          <w:szCs w:val="22"/>
          <w:rtl/>
        </w:rPr>
        <w:t>فترة 2019-2020 (حسب بند الإنفاق)</w:t>
      </w:r>
    </w:p>
    <w:tbl>
      <w:tblPr>
        <w:bidiVisual/>
        <w:tblW w:w="9720" w:type="dxa"/>
        <w:tblInd w:w="-162" w:type="dxa"/>
        <w:tblLook w:val="04A0"/>
      </w:tblPr>
      <w:tblGrid>
        <w:gridCol w:w="4319"/>
        <w:gridCol w:w="2071"/>
        <w:gridCol w:w="637"/>
        <w:gridCol w:w="914"/>
        <w:gridCol w:w="1779"/>
      </w:tblGrid>
      <w:tr w:rsidR="00ED48E1" w:rsidRPr="006C47AC" w:rsidTr="00ED48E1">
        <w:trPr>
          <w:trHeight w:val="261"/>
        </w:trPr>
        <w:tc>
          <w:tcPr>
            <w:tcW w:w="4319" w:type="dxa"/>
            <w:vMerge w:val="restart"/>
            <w:tcBorders>
              <w:top w:val="single" w:sz="8" w:space="0" w:color="auto"/>
              <w:left w:val="nil"/>
              <w:bottom w:val="single" w:sz="8" w:space="0" w:color="000000"/>
              <w:right w:val="nil"/>
            </w:tcBorders>
            <w:shd w:val="clear" w:color="auto" w:fill="auto"/>
            <w:vAlign w:val="center"/>
            <w:hideMark/>
          </w:tcPr>
          <w:p w:rsidR="00ED48E1" w:rsidRPr="00F3447C" w:rsidRDefault="00ED48E1" w:rsidP="00ED48E1">
            <w:pPr>
              <w:spacing w:after="0"/>
              <w:jc w:val="center"/>
              <w:rPr>
                <w:b/>
                <w:bCs/>
                <w:color w:val="000000"/>
                <w:sz w:val="18"/>
                <w:szCs w:val="18"/>
              </w:rPr>
            </w:pPr>
            <w:r w:rsidRPr="00F3447C">
              <w:rPr>
                <w:rFonts w:hint="cs"/>
                <w:b/>
                <w:bCs/>
                <w:color w:val="000000"/>
                <w:sz w:val="18"/>
                <w:szCs w:val="18"/>
                <w:rtl/>
              </w:rPr>
              <w:t>بند الإنفاق</w:t>
            </w:r>
          </w:p>
        </w:tc>
        <w:tc>
          <w:tcPr>
            <w:tcW w:w="2708" w:type="dxa"/>
            <w:gridSpan w:val="2"/>
            <w:tcBorders>
              <w:top w:val="single" w:sz="8" w:space="0" w:color="auto"/>
              <w:left w:val="nil"/>
              <w:bottom w:val="nil"/>
              <w:right w:val="nil"/>
            </w:tcBorders>
            <w:shd w:val="clear" w:color="auto" w:fill="auto"/>
            <w:vAlign w:val="center"/>
            <w:hideMark/>
          </w:tcPr>
          <w:p w:rsidR="00ED48E1" w:rsidRPr="0063161E" w:rsidRDefault="00ED48E1" w:rsidP="00ED48E1">
            <w:pPr>
              <w:spacing w:after="0" w:line="240" w:lineRule="auto"/>
              <w:ind w:firstLine="252"/>
              <w:rPr>
                <w:i/>
                <w:iCs/>
                <w:color w:val="000000"/>
                <w:sz w:val="18"/>
                <w:szCs w:val="18"/>
              </w:rPr>
            </w:pPr>
            <w:r w:rsidRPr="00B303D3">
              <w:rPr>
                <w:i/>
                <w:iCs/>
                <w:color w:val="000000"/>
                <w:sz w:val="18"/>
                <w:szCs w:val="18"/>
              </w:rPr>
              <w:t xml:space="preserve">2019 </w:t>
            </w:r>
            <w:r>
              <w:rPr>
                <w:rFonts w:hint="cs"/>
                <w:i/>
                <w:iCs/>
                <w:color w:val="000000"/>
                <w:sz w:val="18"/>
                <w:szCs w:val="18"/>
                <w:rtl/>
              </w:rPr>
              <w:t xml:space="preserve"> </w:t>
            </w:r>
          </w:p>
        </w:tc>
        <w:tc>
          <w:tcPr>
            <w:tcW w:w="0" w:type="auto"/>
            <w:tcBorders>
              <w:top w:val="single" w:sz="8" w:space="0" w:color="auto"/>
              <w:left w:val="nil"/>
              <w:bottom w:val="nil"/>
              <w:right w:val="nil"/>
            </w:tcBorders>
            <w:shd w:val="clear" w:color="auto" w:fill="auto"/>
            <w:vAlign w:val="center"/>
            <w:hideMark/>
          </w:tcPr>
          <w:p w:rsidR="00ED48E1" w:rsidRPr="00B303D3" w:rsidRDefault="00ED48E1" w:rsidP="00ED48E1">
            <w:pPr>
              <w:spacing w:after="0" w:line="240" w:lineRule="auto"/>
              <w:ind w:firstLine="252"/>
              <w:rPr>
                <w:i/>
                <w:iCs/>
                <w:color w:val="000000"/>
                <w:sz w:val="18"/>
                <w:szCs w:val="18"/>
              </w:rPr>
            </w:pPr>
            <w:r>
              <w:rPr>
                <w:i/>
                <w:iCs/>
                <w:color w:val="000000"/>
                <w:sz w:val="18"/>
                <w:szCs w:val="18"/>
              </w:rPr>
              <w:t>2020</w:t>
            </w:r>
          </w:p>
        </w:tc>
        <w:tc>
          <w:tcPr>
            <w:tcW w:w="1779" w:type="dxa"/>
            <w:tcBorders>
              <w:top w:val="single" w:sz="8" w:space="0" w:color="auto"/>
              <w:left w:val="nil"/>
              <w:bottom w:val="nil"/>
              <w:right w:val="nil"/>
            </w:tcBorders>
            <w:shd w:val="clear" w:color="auto" w:fill="auto"/>
            <w:vAlign w:val="center"/>
            <w:hideMark/>
          </w:tcPr>
          <w:p w:rsidR="00ED48E1" w:rsidRPr="00B303D3" w:rsidRDefault="00ED48E1" w:rsidP="00ED48E1">
            <w:pPr>
              <w:spacing w:after="0" w:line="240" w:lineRule="auto"/>
              <w:jc w:val="center"/>
              <w:rPr>
                <w:i/>
                <w:iCs/>
                <w:color w:val="000000"/>
                <w:sz w:val="18"/>
                <w:szCs w:val="18"/>
              </w:rPr>
            </w:pPr>
            <w:r w:rsidRPr="00B303D3">
              <w:rPr>
                <w:rFonts w:hint="cs"/>
                <w:i/>
                <w:iCs/>
                <w:color w:val="000000"/>
                <w:sz w:val="18"/>
                <w:szCs w:val="18"/>
                <w:rtl/>
              </w:rPr>
              <w:t>المجموع</w:t>
            </w:r>
          </w:p>
        </w:tc>
      </w:tr>
      <w:tr w:rsidR="00ED48E1" w:rsidRPr="006C47AC" w:rsidTr="00ED48E1">
        <w:trPr>
          <w:trHeight w:val="261"/>
        </w:trPr>
        <w:tc>
          <w:tcPr>
            <w:tcW w:w="4319" w:type="dxa"/>
            <w:vMerge/>
            <w:tcBorders>
              <w:top w:val="single" w:sz="8" w:space="0" w:color="auto"/>
              <w:left w:val="nil"/>
              <w:bottom w:val="single" w:sz="8" w:space="0" w:color="000000"/>
              <w:right w:val="nil"/>
            </w:tcBorders>
            <w:shd w:val="clear" w:color="auto" w:fill="auto"/>
            <w:vAlign w:val="center"/>
            <w:hideMark/>
          </w:tcPr>
          <w:p w:rsidR="00ED48E1" w:rsidRPr="00F3447C" w:rsidRDefault="00ED48E1" w:rsidP="00ED48E1">
            <w:pPr>
              <w:spacing w:after="0"/>
              <w:jc w:val="center"/>
              <w:rPr>
                <w:b/>
                <w:bCs/>
                <w:color w:val="000000"/>
                <w:sz w:val="18"/>
                <w:szCs w:val="18"/>
                <w:rtl/>
              </w:rPr>
            </w:pPr>
          </w:p>
        </w:tc>
        <w:tc>
          <w:tcPr>
            <w:tcW w:w="5401" w:type="dxa"/>
            <w:gridSpan w:val="4"/>
            <w:tcBorders>
              <w:top w:val="single" w:sz="8" w:space="0" w:color="auto"/>
              <w:left w:val="nil"/>
              <w:bottom w:val="nil"/>
              <w:right w:val="nil"/>
            </w:tcBorders>
            <w:shd w:val="clear" w:color="auto" w:fill="auto"/>
            <w:vAlign w:val="center"/>
            <w:hideMark/>
          </w:tcPr>
          <w:p w:rsidR="00ED48E1" w:rsidRPr="00B303D3" w:rsidRDefault="00ED48E1" w:rsidP="00ED48E1">
            <w:pPr>
              <w:spacing w:after="0" w:line="240" w:lineRule="auto"/>
              <w:jc w:val="center"/>
              <w:rPr>
                <w:i/>
                <w:iCs/>
                <w:color w:val="000000"/>
                <w:sz w:val="18"/>
                <w:szCs w:val="18"/>
                <w:rtl/>
              </w:rPr>
            </w:pPr>
            <w:r>
              <w:rPr>
                <w:rFonts w:hint="cs"/>
                <w:i/>
                <w:iCs/>
                <w:color w:val="000000"/>
                <w:sz w:val="18"/>
                <w:szCs w:val="18"/>
                <w:rtl/>
              </w:rPr>
              <w:t>(بآلاف دولارات الولايات المتحدة</w:t>
            </w:r>
            <w:r w:rsidRPr="00B303D3">
              <w:rPr>
                <w:rFonts w:hint="cs"/>
                <w:i/>
                <w:iCs/>
                <w:color w:val="000000"/>
                <w:sz w:val="18"/>
                <w:szCs w:val="18"/>
                <w:rtl/>
              </w:rPr>
              <w:t>)</w:t>
            </w:r>
          </w:p>
        </w:tc>
      </w:tr>
      <w:tr w:rsidR="00ED48E1" w:rsidRPr="006C47AC" w:rsidTr="00ED48E1">
        <w:trPr>
          <w:trHeight w:val="48"/>
        </w:trPr>
        <w:tc>
          <w:tcPr>
            <w:tcW w:w="4319" w:type="dxa"/>
            <w:vMerge/>
            <w:tcBorders>
              <w:top w:val="nil"/>
              <w:left w:val="nil"/>
              <w:bottom w:val="nil"/>
              <w:right w:val="nil"/>
            </w:tcBorders>
            <w:vAlign w:val="center"/>
            <w:hideMark/>
          </w:tcPr>
          <w:p w:rsidR="00ED48E1" w:rsidRPr="006C47AC" w:rsidRDefault="00ED48E1" w:rsidP="00ED48E1">
            <w:pPr>
              <w:spacing w:after="0"/>
              <w:rPr>
                <w:b/>
                <w:bCs/>
                <w:color w:val="000000"/>
                <w:sz w:val="14"/>
                <w:szCs w:val="14"/>
              </w:rPr>
            </w:pPr>
          </w:p>
        </w:tc>
        <w:tc>
          <w:tcPr>
            <w:tcW w:w="2071" w:type="dxa"/>
            <w:tcBorders>
              <w:top w:val="nil"/>
              <w:left w:val="nil"/>
              <w:bottom w:val="single" w:sz="8" w:space="0" w:color="auto"/>
              <w:right w:val="nil"/>
            </w:tcBorders>
            <w:shd w:val="clear" w:color="auto" w:fill="auto"/>
            <w:vAlign w:val="center"/>
            <w:hideMark/>
          </w:tcPr>
          <w:p w:rsidR="00ED48E1" w:rsidRPr="00913560" w:rsidRDefault="00ED48E1" w:rsidP="00ED48E1">
            <w:pPr>
              <w:spacing w:after="0"/>
              <w:jc w:val="center"/>
              <w:rPr>
                <w:rFonts w:ascii="Calibri" w:hAnsi="Calibri" w:cs="Calibri"/>
                <w:b/>
                <w:bCs/>
                <w:color w:val="000000"/>
                <w:sz w:val="18"/>
                <w:szCs w:val="18"/>
              </w:rPr>
            </w:pPr>
            <w:r w:rsidRPr="00913560">
              <w:rPr>
                <w:rFonts w:ascii="Calibri" w:hAnsi="Calibri" w:cs="Calibri"/>
                <w:b/>
                <w:bCs/>
                <w:color w:val="000000"/>
                <w:sz w:val="18"/>
                <w:szCs w:val="18"/>
              </w:rPr>
              <w:t> </w:t>
            </w:r>
          </w:p>
        </w:tc>
        <w:tc>
          <w:tcPr>
            <w:tcW w:w="1551" w:type="dxa"/>
            <w:gridSpan w:val="2"/>
            <w:tcBorders>
              <w:top w:val="nil"/>
              <w:left w:val="nil"/>
              <w:bottom w:val="single" w:sz="8" w:space="0" w:color="auto"/>
              <w:right w:val="nil"/>
            </w:tcBorders>
            <w:shd w:val="clear" w:color="auto" w:fill="auto"/>
            <w:vAlign w:val="center"/>
            <w:hideMark/>
          </w:tcPr>
          <w:p w:rsidR="00ED48E1" w:rsidRPr="00913560" w:rsidRDefault="00ED48E1" w:rsidP="00ED48E1">
            <w:pPr>
              <w:spacing w:after="0"/>
              <w:jc w:val="center"/>
              <w:rPr>
                <w:rFonts w:ascii="Calibri" w:hAnsi="Calibri" w:cs="Calibri"/>
                <w:b/>
                <w:bCs/>
                <w:color w:val="000000"/>
                <w:sz w:val="18"/>
                <w:szCs w:val="18"/>
              </w:rPr>
            </w:pPr>
            <w:r w:rsidRPr="00913560">
              <w:rPr>
                <w:rFonts w:ascii="Calibri" w:hAnsi="Calibri" w:cs="Calibri"/>
                <w:b/>
                <w:bCs/>
                <w:color w:val="000000"/>
                <w:sz w:val="18"/>
                <w:szCs w:val="18"/>
              </w:rPr>
              <w:t> </w:t>
            </w:r>
          </w:p>
        </w:tc>
        <w:tc>
          <w:tcPr>
            <w:tcW w:w="1779" w:type="dxa"/>
            <w:tcBorders>
              <w:top w:val="nil"/>
              <w:left w:val="nil"/>
              <w:bottom w:val="single" w:sz="8" w:space="0" w:color="auto"/>
              <w:right w:val="nil"/>
            </w:tcBorders>
            <w:shd w:val="clear" w:color="auto" w:fill="auto"/>
            <w:vAlign w:val="center"/>
            <w:hideMark/>
          </w:tcPr>
          <w:p w:rsidR="00ED48E1" w:rsidRPr="00913560" w:rsidRDefault="00ED48E1" w:rsidP="00ED48E1">
            <w:pPr>
              <w:spacing w:after="0"/>
              <w:jc w:val="center"/>
              <w:rPr>
                <w:rFonts w:ascii="Calibri" w:hAnsi="Calibri" w:cs="Calibri"/>
                <w:b/>
                <w:bCs/>
                <w:color w:val="000000"/>
                <w:sz w:val="18"/>
                <w:szCs w:val="18"/>
              </w:rPr>
            </w:pPr>
            <w:r w:rsidRPr="00913560">
              <w:rPr>
                <w:rFonts w:ascii="Calibri" w:hAnsi="Calibri" w:cs="Calibri"/>
                <w:b/>
                <w:bCs/>
                <w:color w:val="000000"/>
                <w:sz w:val="18"/>
                <w:szCs w:val="18"/>
              </w:rPr>
              <w:t> </w:t>
            </w:r>
          </w:p>
        </w:tc>
      </w:tr>
      <w:tr w:rsidR="00ED48E1" w:rsidRPr="006C47AC" w:rsidTr="00ED48E1">
        <w:trPr>
          <w:trHeight w:val="261"/>
        </w:trPr>
        <w:tc>
          <w:tcPr>
            <w:tcW w:w="4319" w:type="dxa"/>
            <w:tcBorders>
              <w:top w:val="single" w:sz="8" w:space="0" w:color="auto"/>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ألف.  </w:t>
            </w:r>
            <w:r w:rsidRPr="00AC5D29">
              <w:rPr>
                <w:rFonts w:hint="cs"/>
                <w:color w:val="000000"/>
                <w:sz w:val="20"/>
                <w:szCs w:val="20"/>
                <w:rtl/>
                <w:lang w:eastAsia="en-CA"/>
              </w:rPr>
              <w:t>تكاليف الموظفين</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tl/>
              </w:rPr>
            </w:pPr>
            <w:r w:rsidRPr="0077155C">
              <w:rPr>
                <w:color w:val="000000"/>
                <w:sz w:val="18"/>
                <w:szCs w:val="18"/>
              </w:rPr>
              <w:t>11 453.9</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11 626.6</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tl/>
              </w:rPr>
            </w:pPr>
            <w:r w:rsidRPr="0077155C">
              <w:rPr>
                <w:color w:val="000000"/>
                <w:sz w:val="18"/>
                <w:szCs w:val="18"/>
              </w:rPr>
              <w:t>23 080.5</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باء.  </w:t>
            </w:r>
            <w:r w:rsidRPr="00AC5D29">
              <w:rPr>
                <w:rFonts w:hint="cs"/>
                <w:color w:val="000000"/>
                <w:sz w:val="20"/>
                <w:szCs w:val="20"/>
                <w:rtl/>
                <w:lang w:eastAsia="en-CA"/>
              </w:rPr>
              <w:t>اجتماعات المكتب</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150.0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215.0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365.0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جيم.  </w:t>
            </w:r>
            <w:r w:rsidRPr="00AC5D29">
              <w:rPr>
                <w:rFonts w:hint="cs"/>
                <w:color w:val="000000"/>
                <w:sz w:val="20"/>
                <w:szCs w:val="20"/>
                <w:rtl/>
                <w:lang w:eastAsia="en-CA"/>
              </w:rPr>
              <w:t>السفر في مهام رسمية</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400.0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400.0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800.0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دال.  </w:t>
            </w:r>
            <w:r w:rsidRPr="00AC5D29">
              <w:rPr>
                <w:rFonts w:hint="cs"/>
                <w:color w:val="000000"/>
                <w:sz w:val="20"/>
                <w:szCs w:val="20"/>
                <w:rtl/>
                <w:lang w:eastAsia="en-CA"/>
              </w:rPr>
              <w:t>الخبراء الاستشاريون/المتعاقدون من الباطن</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100.0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هاء.  </w:t>
            </w:r>
            <w:r w:rsidRPr="00AC5D29">
              <w:rPr>
                <w:rFonts w:hint="cs"/>
                <w:color w:val="000000"/>
                <w:sz w:val="20"/>
                <w:szCs w:val="20"/>
                <w:rtl/>
                <w:lang w:eastAsia="en-CA"/>
              </w:rPr>
              <w:t>مواد التوعية العامة/الاتصال</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100.0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واو.  </w:t>
            </w:r>
            <w:r w:rsidRPr="00AC5D29">
              <w:rPr>
                <w:rFonts w:hint="cs"/>
                <w:color w:val="000000"/>
                <w:sz w:val="20"/>
                <w:szCs w:val="20"/>
                <w:rtl/>
                <w:lang w:eastAsia="en-CA"/>
              </w:rPr>
              <w:t>المساعدة المؤقتة/العمل الإضافي</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100.0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100.0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200.0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 xml:space="preserve">زاي.  </w:t>
            </w:r>
            <w:r w:rsidRPr="00AC5D29">
              <w:rPr>
                <w:rFonts w:hint="cs"/>
                <w:color w:val="000000"/>
                <w:sz w:val="20"/>
                <w:szCs w:val="20"/>
                <w:rtl/>
                <w:lang w:eastAsia="en-CA"/>
              </w:rPr>
              <w:t>التدريب</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5.0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5.0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ind w:left="433" w:hanging="433"/>
              <w:rPr>
                <w:color w:val="000000"/>
                <w:sz w:val="20"/>
                <w:szCs w:val="20"/>
                <w:lang w:eastAsia="en-CA"/>
              </w:rPr>
            </w:pPr>
            <w:r>
              <w:rPr>
                <w:rFonts w:hint="cs"/>
                <w:color w:val="000000"/>
                <w:sz w:val="20"/>
                <w:szCs w:val="20"/>
                <w:rtl/>
                <w:lang w:eastAsia="en-CA"/>
              </w:rPr>
              <w:t xml:space="preserve">حاء.  </w:t>
            </w:r>
            <w:r w:rsidRPr="00AC5D29">
              <w:rPr>
                <w:rFonts w:hint="cs"/>
                <w:color w:val="000000"/>
                <w:sz w:val="20"/>
                <w:szCs w:val="20"/>
                <w:rtl/>
                <w:lang w:eastAsia="en-CA"/>
              </w:rPr>
              <w:t xml:space="preserve">ترجمة </w:t>
            </w:r>
            <w:r>
              <w:rPr>
                <w:rFonts w:hint="cs"/>
                <w:color w:val="000000"/>
                <w:sz w:val="20"/>
                <w:szCs w:val="20"/>
                <w:rtl/>
                <w:lang w:eastAsia="en-CA"/>
              </w:rPr>
              <w:t>ال</w:t>
            </w:r>
            <w:r w:rsidRPr="00AC5D29">
              <w:rPr>
                <w:rFonts w:hint="cs"/>
                <w:color w:val="000000"/>
                <w:sz w:val="20"/>
                <w:szCs w:val="20"/>
                <w:rtl/>
                <w:lang w:eastAsia="en-CA"/>
              </w:rPr>
              <w:t xml:space="preserve">موقع </w:t>
            </w:r>
            <w:r>
              <w:rPr>
                <w:rFonts w:hint="cs"/>
                <w:color w:val="000000"/>
                <w:sz w:val="20"/>
                <w:szCs w:val="20"/>
                <w:rtl/>
                <w:lang w:eastAsia="en-CA"/>
              </w:rPr>
              <w:t>الشبكي ل</w:t>
            </w:r>
            <w:r w:rsidRPr="00AC5D29">
              <w:rPr>
                <w:rFonts w:hint="cs"/>
                <w:color w:val="000000"/>
                <w:sz w:val="20"/>
                <w:szCs w:val="20"/>
                <w:rtl/>
                <w:lang w:eastAsia="en-CA"/>
              </w:rPr>
              <w:t>غرفة تبادل المعلومات</w:t>
            </w:r>
            <w:r>
              <w:rPr>
                <w:rFonts w:hint="cs"/>
                <w:color w:val="000000"/>
                <w:sz w:val="20"/>
                <w:szCs w:val="20"/>
                <w:rtl/>
                <w:lang w:eastAsia="en-CA"/>
              </w:rPr>
              <w:t>/</w:t>
            </w:r>
            <w:r w:rsidRPr="00AC5D29">
              <w:rPr>
                <w:rFonts w:hint="cs"/>
                <w:color w:val="000000"/>
                <w:sz w:val="20"/>
                <w:szCs w:val="20"/>
                <w:rtl/>
                <w:lang w:eastAsia="en-CA"/>
              </w:rPr>
              <w:t xml:space="preserve"> </w:t>
            </w:r>
            <w:r>
              <w:rPr>
                <w:rFonts w:hint="cs"/>
                <w:color w:val="000000"/>
                <w:sz w:val="20"/>
                <w:szCs w:val="20"/>
                <w:rtl/>
                <w:lang w:eastAsia="en-CA"/>
              </w:rPr>
              <w:t>الموقع الشبكي ل</w:t>
            </w:r>
            <w:r w:rsidRPr="00AC5D29">
              <w:rPr>
                <w:rFonts w:hint="cs"/>
                <w:color w:val="000000"/>
                <w:sz w:val="20"/>
                <w:szCs w:val="20"/>
                <w:rtl/>
                <w:lang w:eastAsia="en-CA"/>
              </w:rPr>
              <w:t xml:space="preserve">لمشاريع </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65.0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65.0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130.0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B5738" w:rsidRDefault="00ED48E1" w:rsidP="00ED48E1">
            <w:pPr>
              <w:spacing w:after="0" w:line="240" w:lineRule="auto"/>
              <w:rPr>
                <w:color w:val="000000"/>
                <w:sz w:val="20"/>
                <w:szCs w:val="20"/>
                <w:vertAlign w:val="superscript"/>
                <w:rtl/>
                <w:lang w:eastAsia="en-CA"/>
              </w:rPr>
            </w:pPr>
            <w:r>
              <w:rPr>
                <w:rFonts w:hint="cs"/>
                <w:color w:val="000000"/>
                <w:sz w:val="20"/>
                <w:szCs w:val="20"/>
                <w:rtl/>
                <w:lang w:eastAsia="en-CA"/>
              </w:rPr>
              <w:t>طاء.  الاجتماعات</w:t>
            </w:r>
            <w:r>
              <w:rPr>
                <w:rFonts w:hint="cs"/>
                <w:color w:val="000000"/>
                <w:sz w:val="20"/>
                <w:szCs w:val="20"/>
                <w:vertAlign w:val="superscript"/>
                <w:rtl/>
                <w:lang w:eastAsia="en-CA"/>
              </w:rPr>
              <w:t>1/ 2/  3/</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1 569.0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2 119.0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3 688.0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C5D29" w:rsidRDefault="00ED48E1" w:rsidP="00ED48E1">
            <w:pPr>
              <w:spacing w:after="0" w:line="240" w:lineRule="auto"/>
              <w:rPr>
                <w:color w:val="000000"/>
                <w:sz w:val="20"/>
                <w:szCs w:val="20"/>
                <w:rtl/>
                <w:lang w:eastAsia="en-CA"/>
              </w:rPr>
            </w:pPr>
            <w:r>
              <w:rPr>
                <w:rFonts w:hint="cs"/>
                <w:color w:val="000000"/>
                <w:sz w:val="20"/>
                <w:szCs w:val="20"/>
                <w:rtl/>
                <w:lang w:eastAsia="en-CA"/>
              </w:rPr>
              <w:t>ياء.  اجتماعات الخبراء</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170.0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150.0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320.0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AB5738" w:rsidRDefault="00ED48E1" w:rsidP="00ED48E1">
            <w:pPr>
              <w:spacing w:after="0" w:line="240" w:lineRule="auto"/>
              <w:rPr>
                <w:color w:val="000000"/>
                <w:sz w:val="20"/>
                <w:szCs w:val="20"/>
                <w:vertAlign w:val="superscript"/>
                <w:lang w:eastAsia="en-CA"/>
              </w:rPr>
            </w:pPr>
            <w:r>
              <w:rPr>
                <w:rFonts w:hint="cs"/>
                <w:color w:val="000000"/>
                <w:sz w:val="20"/>
                <w:szCs w:val="20"/>
                <w:rtl/>
                <w:lang w:eastAsia="en-CA"/>
              </w:rPr>
              <w:t>كاف.  الاجتماعات الاستثنائية بشأن الإطار لما بعد 2020</w:t>
            </w:r>
            <w:r>
              <w:rPr>
                <w:rFonts w:hint="cs"/>
                <w:color w:val="000000"/>
                <w:sz w:val="20"/>
                <w:szCs w:val="20"/>
                <w:vertAlign w:val="superscript"/>
                <w:rtl/>
                <w:lang w:eastAsia="en-CA"/>
              </w:rPr>
              <w:t xml:space="preserve"> 4/</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750.0</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560.0</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1 310.0</w:t>
            </w:r>
          </w:p>
        </w:tc>
      </w:tr>
      <w:tr w:rsidR="00ED48E1" w:rsidRPr="006C47AC" w:rsidTr="00ED48E1">
        <w:trPr>
          <w:trHeight w:val="261"/>
        </w:trPr>
        <w:tc>
          <w:tcPr>
            <w:tcW w:w="4319" w:type="dxa"/>
            <w:tcBorders>
              <w:top w:val="nil"/>
              <w:left w:val="nil"/>
              <w:bottom w:val="nil"/>
              <w:right w:val="nil"/>
            </w:tcBorders>
            <w:shd w:val="clear" w:color="auto" w:fill="auto"/>
            <w:vAlign w:val="center"/>
            <w:hideMark/>
          </w:tcPr>
          <w:p w:rsidR="00ED48E1" w:rsidRPr="00506D9A" w:rsidRDefault="00ED48E1" w:rsidP="00ED48E1">
            <w:pPr>
              <w:spacing w:after="0" w:line="240" w:lineRule="auto"/>
              <w:rPr>
                <w:color w:val="000000"/>
                <w:sz w:val="20"/>
                <w:szCs w:val="20"/>
                <w:vertAlign w:val="superscript"/>
                <w:lang w:eastAsia="en-CA"/>
              </w:rPr>
            </w:pPr>
            <w:r>
              <w:rPr>
                <w:rFonts w:hint="cs"/>
                <w:color w:val="000000"/>
                <w:sz w:val="20"/>
                <w:szCs w:val="20"/>
                <w:rtl/>
                <w:lang w:eastAsia="en-CA"/>
              </w:rPr>
              <w:t xml:space="preserve">لام.  </w:t>
            </w:r>
            <w:r w:rsidRPr="00AC5D29">
              <w:rPr>
                <w:rFonts w:hint="cs"/>
                <w:color w:val="000000"/>
                <w:sz w:val="20"/>
                <w:szCs w:val="20"/>
                <w:rtl/>
                <w:lang w:eastAsia="en-CA"/>
              </w:rPr>
              <w:t xml:space="preserve">إيجار </w:t>
            </w:r>
            <w:r>
              <w:rPr>
                <w:rFonts w:hint="cs"/>
                <w:color w:val="000000"/>
                <w:sz w:val="20"/>
                <w:szCs w:val="20"/>
                <w:rtl/>
                <w:lang w:eastAsia="en-CA"/>
              </w:rPr>
              <w:t xml:space="preserve">المقار </w:t>
            </w:r>
            <w:r w:rsidRPr="00AC5D29">
              <w:rPr>
                <w:rFonts w:hint="cs"/>
                <w:color w:val="000000"/>
                <w:sz w:val="20"/>
                <w:szCs w:val="20"/>
                <w:rtl/>
                <w:lang w:eastAsia="en-CA"/>
              </w:rPr>
              <w:t xml:space="preserve">والتكاليف </w:t>
            </w:r>
            <w:r>
              <w:rPr>
                <w:rFonts w:hint="cs"/>
                <w:color w:val="000000"/>
                <w:sz w:val="20"/>
                <w:szCs w:val="20"/>
                <w:rtl/>
                <w:lang w:eastAsia="en-CA"/>
              </w:rPr>
              <w:t>المرتبطة به</w:t>
            </w:r>
            <w:r>
              <w:rPr>
                <w:rFonts w:hint="cs"/>
                <w:color w:val="000000"/>
                <w:sz w:val="20"/>
                <w:szCs w:val="20"/>
                <w:vertAlign w:val="superscript"/>
                <w:rtl/>
                <w:lang w:eastAsia="en-CA"/>
              </w:rPr>
              <w:t>5/</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before="60" w:after="0"/>
              <w:ind w:firstLine="662"/>
              <w:rPr>
                <w:color w:val="000000"/>
                <w:sz w:val="18"/>
                <w:szCs w:val="18"/>
              </w:rPr>
            </w:pPr>
            <w:r w:rsidRPr="0077155C">
              <w:rPr>
                <w:color w:val="000000"/>
                <w:sz w:val="18"/>
                <w:szCs w:val="18"/>
              </w:rPr>
              <w:t>1 229.5</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before="40" w:after="0"/>
              <w:ind w:firstLine="662"/>
              <w:rPr>
                <w:color w:val="000000"/>
                <w:sz w:val="18"/>
                <w:szCs w:val="18"/>
              </w:rPr>
            </w:pPr>
            <w:r w:rsidRPr="0077155C">
              <w:rPr>
                <w:color w:val="000000"/>
                <w:sz w:val="18"/>
                <w:szCs w:val="18"/>
              </w:rPr>
              <w:t>1 423.4</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before="40" w:after="0"/>
              <w:ind w:firstLine="662"/>
              <w:rPr>
                <w:color w:val="000000"/>
                <w:sz w:val="18"/>
                <w:szCs w:val="18"/>
              </w:rPr>
            </w:pPr>
            <w:r w:rsidRPr="0077155C">
              <w:rPr>
                <w:color w:val="000000"/>
                <w:sz w:val="18"/>
                <w:szCs w:val="18"/>
              </w:rPr>
              <w:t>2 652.9</w:t>
            </w:r>
          </w:p>
        </w:tc>
      </w:tr>
      <w:tr w:rsidR="00ED48E1" w:rsidRPr="006C47AC" w:rsidTr="00ED48E1">
        <w:trPr>
          <w:trHeight w:val="261"/>
        </w:trPr>
        <w:tc>
          <w:tcPr>
            <w:tcW w:w="4319" w:type="dxa"/>
            <w:tcBorders>
              <w:top w:val="nil"/>
              <w:left w:val="nil"/>
              <w:bottom w:val="single" w:sz="4" w:space="0" w:color="auto"/>
              <w:right w:val="nil"/>
            </w:tcBorders>
            <w:shd w:val="clear" w:color="auto" w:fill="auto"/>
            <w:vAlign w:val="center"/>
            <w:hideMark/>
          </w:tcPr>
          <w:p w:rsidR="00ED48E1" w:rsidRPr="00AC5D29" w:rsidRDefault="00ED48E1" w:rsidP="00ED48E1">
            <w:pPr>
              <w:spacing w:after="0" w:line="240" w:lineRule="auto"/>
              <w:rPr>
                <w:color w:val="000000"/>
                <w:sz w:val="20"/>
                <w:szCs w:val="20"/>
                <w:lang w:eastAsia="en-CA"/>
              </w:rPr>
            </w:pPr>
            <w:r>
              <w:rPr>
                <w:rFonts w:hint="cs"/>
                <w:color w:val="000000"/>
                <w:sz w:val="20"/>
                <w:szCs w:val="20"/>
                <w:rtl/>
                <w:lang w:eastAsia="en-CA"/>
              </w:rPr>
              <w:t>ميم.  تكاليف التشغيل العامة</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726.6</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726.6</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color w:val="000000"/>
                <w:sz w:val="18"/>
                <w:szCs w:val="18"/>
              </w:rPr>
            </w:pPr>
            <w:r w:rsidRPr="0077155C">
              <w:rPr>
                <w:color w:val="000000"/>
                <w:sz w:val="18"/>
                <w:szCs w:val="18"/>
              </w:rPr>
              <w:t>1 453.2</w:t>
            </w:r>
          </w:p>
        </w:tc>
      </w:tr>
      <w:tr w:rsidR="00ED48E1" w:rsidRPr="006C47AC" w:rsidTr="00ED48E1">
        <w:trPr>
          <w:trHeight w:val="261"/>
        </w:trPr>
        <w:tc>
          <w:tcPr>
            <w:tcW w:w="4319" w:type="dxa"/>
            <w:tcBorders>
              <w:top w:val="single" w:sz="4" w:space="0" w:color="auto"/>
              <w:left w:val="nil"/>
              <w:bottom w:val="single" w:sz="4" w:space="0" w:color="auto"/>
              <w:right w:val="nil"/>
            </w:tcBorders>
            <w:shd w:val="clear" w:color="auto" w:fill="auto"/>
            <w:vAlign w:val="center"/>
            <w:hideMark/>
          </w:tcPr>
          <w:p w:rsidR="00ED48E1" w:rsidRPr="00913560" w:rsidRDefault="00ED48E1" w:rsidP="00ED48E1">
            <w:pPr>
              <w:spacing w:after="0"/>
              <w:rPr>
                <w:b/>
                <w:bCs/>
                <w:sz w:val="20"/>
                <w:szCs w:val="20"/>
              </w:rPr>
            </w:pPr>
            <w:r w:rsidRPr="00AC5D29">
              <w:rPr>
                <w:rFonts w:hint="cs"/>
                <w:color w:val="000000"/>
                <w:sz w:val="20"/>
                <w:szCs w:val="20"/>
                <w:rtl/>
                <w:lang w:eastAsia="en-CA"/>
              </w:rPr>
              <w:t>المجموع الفرعي</w:t>
            </w:r>
            <w:r>
              <w:rPr>
                <w:rFonts w:hint="cs"/>
                <w:b/>
                <w:bCs/>
                <w:sz w:val="20"/>
                <w:szCs w:val="20"/>
                <w:rtl/>
              </w:rPr>
              <w:t xml:space="preserve"> (أولا)</w:t>
            </w:r>
          </w:p>
        </w:tc>
        <w:tc>
          <w:tcPr>
            <w:tcW w:w="2071" w:type="dxa"/>
            <w:tcBorders>
              <w:top w:val="single" w:sz="4" w:space="0" w:color="auto"/>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16 719.0</w:t>
            </w:r>
          </w:p>
        </w:tc>
        <w:tc>
          <w:tcPr>
            <w:tcW w:w="1551" w:type="dxa"/>
            <w:gridSpan w:val="2"/>
            <w:tcBorders>
              <w:top w:val="single" w:sz="4" w:space="0" w:color="auto"/>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17 490.6</w:t>
            </w:r>
          </w:p>
        </w:tc>
        <w:tc>
          <w:tcPr>
            <w:tcW w:w="1779" w:type="dxa"/>
            <w:tcBorders>
              <w:top w:val="single" w:sz="4" w:space="0" w:color="auto"/>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34 209.6</w:t>
            </w:r>
          </w:p>
        </w:tc>
      </w:tr>
      <w:tr w:rsidR="00ED48E1" w:rsidRPr="006C47AC" w:rsidTr="00ED48E1">
        <w:trPr>
          <w:trHeight w:val="261"/>
        </w:trPr>
        <w:tc>
          <w:tcPr>
            <w:tcW w:w="4319" w:type="dxa"/>
            <w:tcBorders>
              <w:top w:val="single" w:sz="4" w:space="0" w:color="auto"/>
              <w:left w:val="nil"/>
              <w:bottom w:val="nil"/>
              <w:right w:val="nil"/>
            </w:tcBorders>
            <w:shd w:val="clear" w:color="auto" w:fill="auto"/>
            <w:vAlign w:val="center"/>
            <w:hideMark/>
          </w:tcPr>
          <w:p w:rsidR="00ED48E1" w:rsidRPr="00913560" w:rsidRDefault="00ED48E1" w:rsidP="00ED48E1">
            <w:pPr>
              <w:spacing w:after="0"/>
              <w:rPr>
                <w:b/>
                <w:bCs/>
                <w:sz w:val="20"/>
                <w:szCs w:val="20"/>
              </w:rPr>
            </w:pPr>
            <w:r>
              <w:rPr>
                <w:rFonts w:hint="cs"/>
                <w:b/>
                <w:bCs/>
                <w:sz w:val="20"/>
                <w:szCs w:val="20"/>
                <w:rtl/>
              </w:rPr>
              <w:t xml:space="preserve">ثانيا.  </w:t>
            </w:r>
            <w:r w:rsidRPr="00913560">
              <w:rPr>
                <w:rFonts w:hint="cs"/>
                <w:b/>
                <w:bCs/>
                <w:sz w:val="20"/>
                <w:szCs w:val="20"/>
                <w:rtl/>
              </w:rPr>
              <w:t>تكاليف دعم البرنامج (13%)</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2 173.5</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2 273.8</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4 447.2</w:t>
            </w:r>
          </w:p>
        </w:tc>
      </w:tr>
      <w:tr w:rsidR="00ED48E1" w:rsidRPr="006C47AC" w:rsidTr="00ED48E1">
        <w:trPr>
          <w:trHeight w:val="261"/>
        </w:trPr>
        <w:tc>
          <w:tcPr>
            <w:tcW w:w="4319" w:type="dxa"/>
            <w:tcBorders>
              <w:top w:val="nil"/>
              <w:left w:val="nil"/>
              <w:bottom w:val="single" w:sz="4" w:space="0" w:color="auto"/>
              <w:right w:val="nil"/>
            </w:tcBorders>
            <w:shd w:val="clear" w:color="auto" w:fill="auto"/>
            <w:vAlign w:val="center"/>
            <w:hideMark/>
          </w:tcPr>
          <w:p w:rsidR="00ED48E1" w:rsidRPr="00913560" w:rsidRDefault="00ED48E1" w:rsidP="00ED48E1">
            <w:pPr>
              <w:spacing w:after="0"/>
              <w:rPr>
                <w:b/>
                <w:bCs/>
                <w:sz w:val="20"/>
                <w:szCs w:val="20"/>
              </w:rPr>
            </w:pPr>
            <w:r w:rsidRPr="00913560">
              <w:rPr>
                <w:rFonts w:hint="cs"/>
                <w:b/>
                <w:bCs/>
                <w:sz w:val="20"/>
                <w:szCs w:val="20"/>
                <w:rtl/>
              </w:rPr>
              <w:t>الم</w:t>
            </w:r>
            <w:r>
              <w:rPr>
                <w:rFonts w:hint="cs"/>
                <w:b/>
                <w:bCs/>
                <w:sz w:val="20"/>
                <w:szCs w:val="20"/>
                <w:rtl/>
              </w:rPr>
              <w:t>ج</w:t>
            </w:r>
            <w:r w:rsidRPr="00913560">
              <w:rPr>
                <w:rFonts w:hint="cs"/>
                <w:b/>
                <w:bCs/>
                <w:sz w:val="20"/>
                <w:szCs w:val="20"/>
                <w:rtl/>
              </w:rPr>
              <w:t>موع الفرعي (أولا + ثانيا)</w:t>
            </w:r>
          </w:p>
        </w:tc>
        <w:tc>
          <w:tcPr>
            <w:tcW w:w="2071" w:type="dxa"/>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18 892.4</w:t>
            </w:r>
          </w:p>
        </w:tc>
        <w:tc>
          <w:tcPr>
            <w:tcW w:w="1551" w:type="dxa"/>
            <w:gridSpan w:val="2"/>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19 764.4</w:t>
            </w:r>
          </w:p>
        </w:tc>
        <w:tc>
          <w:tcPr>
            <w:tcW w:w="1779" w:type="dxa"/>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38 656.8</w:t>
            </w:r>
          </w:p>
        </w:tc>
      </w:tr>
      <w:tr w:rsidR="00ED48E1" w:rsidRPr="006C47AC" w:rsidTr="00ED48E1">
        <w:trPr>
          <w:trHeight w:val="261"/>
        </w:trPr>
        <w:tc>
          <w:tcPr>
            <w:tcW w:w="4319" w:type="dxa"/>
            <w:tcBorders>
              <w:top w:val="single" w:sz="4" w:space="0" w:color="auto"/>
              <w:left w:val="nil"/>
              <w:bottom w:val="nil"/>
              <w:right w:val="nil"/>
            </w:tcBorders>
            <w:shd w:val="clear" w:color="auto" w:fill="auto"/>
            <w:vAlign w:val="center"/>
            <w:hideMark/>
          </w:tcPr>
          <w:p w:rsidR="00ED48E1" w:rsidRPr="003B45A3" w:rsidRDefault="00ED48E1" w:rsidP="00ED48E1">
            <w:pPr>
              <w:spacing w:after="0"/>
              <w:rPr>
                <w:b/>
                <w:bCs/>
                <w:sz w:val="20"/>
                <w:szCs w:val="20"/>
              </w:rPr>
            </w:pPr>
            <w:r w:rsidRPr="003B45A3">
              <w:rPr>
                <w:rFonts w:hint="cs"/>
                <w:b/>
                <w:bCs/>
                <w:sz w:val="20"/>
                <w:szCs w:val="20"/>
                <w:rtl/>
              </w:rPr>
              <w:t>ثالثا.  احتياطي رأس المال العامل</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56.6</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130.8</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187.3</w:t>
            </w:r>
          </w:p>
        </w:tc>
      </w:tr>
      <w:tr w:rsidR="00ED48E1" w:rsidRPr="006C47AC" w:rsidTr="00ED48E1">
        <w:trPr>
          <w:trHeight w:val="261"/>
        </w:trPr>
        <w:tc>
          <w:tcPr>
            <w:tcW w:w="4319" w:type="dxa"/>
            <w:tcBorders>
              <w:top w:val="nil"/>
              <w:left w:val="nil"/>
              <w:bottom w:val="single" w:sz="8" w:space="0" w:color="auto"/>
              <w:right w:val="nil"/>
            </w:tcBorders>
            <w:shd w:val="clear" w:color="auto" w:fill="auto"/>
            <w:vAlign w:val="center"/>
            <w:hideMark/>
          </w:tcPr>
          <w:p w:rsidR="00ED48E1" w:rsidRPr="006C47AC" w:rsidRDefault="00ED48E1" w:rsidP="00ED48E1">
            <w:pPr>
              <w:spacing w:after="0"/>
              <w:rPr>
                <w:b/>
                <w:bCs/>
                <w:color w:val="000000"/>
                <w:sz w:val="17"/>
                <w:szCs w:val="17"/>
              </w:rPr>
            </w:pPr>
            <w:r w:rsidRPr="00913560">
              <w:rPr>
                <w:rFonts w:hint="cs"/>
                <w:b/>
                <w:bCs/>
                <w:sz w:val="20"/>
                <w:szCs w:val="20"/>
                <w:rtl/>
              </w:rPr>
              <w:t>الم</w:t>
            </w:r>
            <w:r>
              <w:rPr>
                <w:rFonts w:hint="cs"/>
                <w:b/>
                <w:bCs/>
                <w:sz w:val="20"/>
                <w:szCs w:val="20"/>
                <w:rtl/>
              </w:rPr>
              <w:t>ج</w:t>
            </w:r>
            <w:r w:rsidRPr="00913560">
              <w:rPr>
                <w:rFonts w:hint="cs"/>
                <w:b/>
                <w:bCs/>
                <w:sz w:val="20"/>
                <w:szCs w:val="20"/>
                <w:rtl/>
              </w:rPr>
              <w:t>موع الفرعي (</w:t>
            </w:r>
            <w:r>
              <w:rPr>
                <w:rFonts w:hint="cs"/>
                <w:b/>
                <w:bCs/>
                <w:sz w:val="20"/>
                <w:szCs w:val="20"/>
                <w:rtl/>
              </w:rPr>
              <w:t>ثانيا</w:t>
            </w:r>
            <w:r w:rsidRPr="00913560">
              <w:rPr>
                <w:rFonts w:hint="cs"/>
                <w:b/>
                <w:bCs/>
                <w:sz w:val="20"/>
                <w:szCs w:val="20"/>
                <w:rtl/>
              </w:rPr>
              <w:t xml:space="preserve"> + ثا</w:t>
            </w:r>
            <w:r>
              <w:rPr>
                <w:rFonts w:hint="cs"/>
                <w:b/>
                <w:bCs/>
                <w:sz w:val="20"/>
                <w:szCs w:val="20"/>
                <w:rtl/>
              </w:rPr>
              <w:t>لث</w:t>
            </w:r>
            <w:r w:rsidRPr="00913560">
              <w:rPr>
                <w:rFonts w:hint="cs"/>
                <w:b/>
                <w:bCs/>
                <w:sz w:val="20"/>
                <w:szCs w:val="20"/>
                <w:rtl/>
              </w:rPr>
              <w:t>ا)</w:t>
            </w:r>
          </w:p>
        </w:tc>
        <w:tc>
          <w:tcPr>
            <w:tcW w:w="2071" w:type="dxa"/>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b/>
                <w:bCs/>
                <w:color w:val="000000"/>
                <w:sz w:val="18"/>
                <w:szCs w:val="18"/>
              </w:rPr>
            </w:pPr>
            <w:r w:rsidRPr="0077155C">
              <w:rPr>
                <w:b/>
                <w:bCs/>
                <w:color w:val="000000"/>
                <w:sz w:val="18"/>
                <w:szCs w:val="18"/>
              </w:rPr>
              <w:t>18 949.0</w:t>
            </w:r>
          </w:p>
        </w:tc>
        <w:tc>
          <w:tcPr>
            <w:tcW w:w="1551" w:type="dxa"/>
            <w:gridSpan w:val="2"/>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b/>
                <w:bCs/>
                <w:color w:val="000000"/>
                <w:sz w:val="18"/>
                <w:szCs w:val="18"/>
              </w:rPr>
            </w:pPr>
            <w:r w:rsidRPr="0077155C">
              <w:rPr>
                <w:b/>
                <w:bCs/>
                <w:color w:val="000000"/>
                <w:sz w:val="18"/>
                <w:szCs w:val="18"/>
              </w:rPr>
              <w:t>19 895.1</w:t>
            </w:r>
          </w:p>
        </w:tc>
        <w:tc>
          <w:tcPr>
            <w:tcW w:w="1779" w:type="dxa"/>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b/>
                <w:bCs/>
                <w:color w:val="000000"/>
                <w:sz w:val="18"/>
                <w:szCs w:val="18"/>
              </w:rPr>
            </w:pPr>
            <w:r w:rsidRPr="0077155C">
              <w:rPr>
                <w:b/>
                <w:bCs/>
                <w:color w:val="000000"/>
                <w:sz w:val="18"/>
                <w:szCs w:val="18"/>
              </w:rPr>
              <w:t>38 844.1</w:t>
            </w:r>
          </w:p>
        </w:tc>
      </w:tr>
      <w:tr w:rsidR="00ED48E1" w:rsidRPr="006C47AC" w:rsidTr="00ED48E1">
        <w:trPr>
          <w:trHeight w:val="261"/>
        </w:trPr>
        <w:tc>
          <w:tcPr>
            <w:tcW w:w="4319" w:type="dxa"/>
            <w:tcBorders>
              <w:top w:val="single" w:sz="8" w:space="0" w:color="auto"/>
              <w:left w:val="nil"/>
              <w:bottom w:val="single" w:sz="8" w:space="0" w:color="auto"/>
              <w:right w:val="nil"/>
            </w:tcBorders>
            <w:shd w:val="clear" w:color="auto" w:fill="auto"/>
            <w:vAlign w:val="center"/>
            <w:hideMark/>
          </w:tcPr>
          <w:p w:rsidR="00ED48E1" w:rsidRPr="002108B1" w:rsidRDefault="00ED48E1" w:rsidP="00ED48E1">
            <w:pPr>
              <w:spacing w:before="40" w:after="0"/>
              <w:rPr>
                <w:sz w:val="17"/>
                <w:szCs w:val="17"/>
              </w:rPr>
            </w:pPr>
            <w:r>
              <w:rPr>
                <w:rFonts w:ascii="Simplified Arabic" w:hAnsi="Simplified Arabic" w:hint="cs"/>
                <w:color w:val="000000"/>
                <w:sz w:val="20"/>
                <w:szCs w:val="20"/>
                <w:rtl/>
              </w:rPr>
              <w:t>حصة الاتفاقية من الميزانية المتكاملة (74%)</w:t>
            </w:r>
          </w:p>
        </w:tc>
        <w:tc>
          <w:tcPr>
            <w:tcW w:w="2071" w:type="dxa"/>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14 022.2</w:t>
            </w:r>
          </w:p>
        </w:tc>
        <w:tc>
          <w:tcPr>
            <w:tcW w:w="1551" w:type="dxa"/>
            <w:gridSpan w:val="2"/>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14 722.4</w:t>
            </w:r>
          </w:p>
        </w:tc>
        <w:tc>
          <w:tcPr>
            <w:tcW w:w="1779" w:type="dxa"/>
            <w:tcBorders>
              <w:top w:val="nil"/>
              <w:left w:val="nil"/>
              <w:bottom w:val="single" w:sz="8" w:space="0" w:color="auto"/>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28 744.6</w:t>
            </w:r>
          </w:p>
        </w:tc>
      </w:tr>
      <w:tr w:rsidR="00ED48E1" w:rsidRPr="006C47AC" w:rsidTr="00ED48E1">
        <w:trPr>
          <w:trHeight w:val="261"/>
        </w:trPr>
        <w:tc>
          <w:tcPr>
            <w:tcW w:w="4319" w:type="dxa"/>
            <w:tcBorders>
              <w:top w:val="nil"/>
              <w:left w:val="nil"/>
              <w:bottom w:val="nil"/>
              <w:right w:val="nil"/>
            </w:tcBorders>
            <w:shd w:val="clear" w:color="auto" w:fill="auto"/>
            <w:hideMark/>
          </w:tcPr>
          <w:p w:rsidR="00ED48E1" w:rsidRPr="003B45A3" w:rsidRDefault="00ED48E1" w:rsidP="00ED48E1">
            <w:pPr>
              <w:spacing w:before="80" w:after="0"/>
              <w:rPr>
                <w:rFonts w:ascii="Simplified Arabic" w:hAnsi="Simplified Arabic"/>
                <w:color w:val="000000"/>
                <w:sz w:val="20"/>
                <w:szCs w:val="20"/>
                <w:vertAlign w:val="superscript"/>
              </w:rPr>
            </w:pPr>
            <w:r>
              <w:rPr>
                <w:rFonts w:ascii="Simplified Arabic" w:hAnsi="Simplified Arabic" w:hint="cs"/>
                <w:color w:val="000000"/>
                <w:sz w:val="20"/>
                <w:szCs w:val="20"/>
                <w:rtl/>
              </w:rPr>
              <w:t>ناقص: المساهمة من البلد المضيف</w:t>
            </w:r>
            <w:r>
              <w:rPr>
                <w:rFonts w:ascii="Simplified Arabic" w:hAnsi="Simplified Arabic" w:hint="cs"/>
                <w:color w:val="000000"/>
                <w:sz w:val="20"/>
                <w:szCs w:val="20"/>
                <w:vertAlign w:val="superscript"/>
                <w:rtl/>
              </w:rPr>
              <w:t>5/</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(909.8)</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(1 053.3)</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tl/>
              </w:rPr>
            </w:pPr>
            <w:r w:rsidRPr="0077155C">
              <w:rPr>
                <w:sz w:val="18"/>
                <w:szCs w:val="18"/>
              </w:rPr>
              <w:t>(1 963.1)</w:t>
            </w:r>
          </w:p>
        </w:tc>
      </w:tr>
      <w:tr w:rsidR="00ED48E1" w:rsidRPr="006C47AC" w:rsidTr="00ED48E1">
        <w:trPr>
          <w:trHeight w:val="261"/>
        </w:trPr>
        <w:tc>
          <w:tcPr>
            <w:tcW w:w="4319" w:type="dxa"/>
            <w:tcBorders>
              <w:top w:val="nil"/>
              <w:left w:val="nil"/>
              <w:bottom w:val="nil"/>
              <w:right w:val="nil"/>
            </w:tcBorders>
            <w:shd w:val="clear" w:color="auto" w:fill="auto"/>
            <w:hideMark/>
          </w:tcPr>
          <w:p w:rsidR="00ED48E1" w:rsidRPr="00AB5738" w:rsidRDefault="00ED48E1" w:rsidP="00ED48E1">
            <w:pPr>
              <w:spacing w:after="0"/>
              <w:rPr>
                <w:rFonts w:ascii="Simplified Arabic" w:hAnsi="Simplified Arabic"/>
                <w:color w:val="000000"/>
                <w:sz w:val="20"/>
                <w:szCs w:val="20"/>
                <w:vertAlign w:val="superscript"/>
              </w:rPr>
            </w:pPr>
            <w:r>
              <w:rPr>
                <w:rFonts w:ascii="Simplified Arabic" w:hAnsi="Simplified Arabic" w:hint="cs"/>
                <w:color w:val="000000"/>
                <w:sz w:val="20"/>
                <w:szCs w:val="20"/>
                <w:rtl/>
              </w:rPr>
              <w:t>ناقص: استخدام الاحتياطيات للاجتماعات الاستثنائية</w:t>
            </w:r>
            <w:r>
              <w:rPr>
                <w:rFonts w:ascii="Simplified Arabic" w:hAnsi="Simplified Arabic" w:hint="cs"/>
                <w:color w:val="000000"/>
                <w:sz w:val="20"/>
                <w:szCs w:val="20"/>
                <w:vertAlign w:val="superscript"/>
                <w:rtl/>
              </w:rPr>
              <w:t>4/</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tl/>
              </w:rPr>
            </w:pPr>
            <w:r w:rsidRPr="0077155C">
              <w:rPr>
                <w:sz w:val="18"/>
                <w:szCs w:val="18"/>
              </w:rPr>
              <w:t>(627.2)</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(468.3)</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(1 095.4)</w:t>
            </w:r>
          </w:p>
        </w:tc>
      </w:tr>
      <w:tr w:rsidR="00ED48E1" w:rsidRPr="006C47AC" w:rsidTr="00ED48E1">
        <w:trPr>
          <w:trHeight w:val="261"/>
        </w:trPr>
        <w:tc>
          <w:tcPr>
            <w:tcW w:w="4319" w:type="dxa"/>
            <w:tcBorders>
              <w:top w:val="nil"/>
              <w:left w:val="nil"/>
              <w:bottom w:val="nil"/>
              <w:right w:val="nil"/>
            </w:tcBorders>
            <w:shd w:val="clear" w:color="auto" w:fill="auto"/>
            <w:hideMark/>
          </w:tcPr>
          <w:p w:rsidR="00ED48E1" w:rsidRPr="00D94AEE" w:rsidRDefault="00ED48E1" w:rsidP="00ED48E1">
            <w:pPr>
              <w:spacing w:after="0"/>
              <w:rPr>
                <w:rFonts w:ascii="Simplified Arabic" w:hAnsi="Simplified Arabic"/>
                <w:color w:val="000000"/>
                <w:sz w:val="20"/>
                <w:szCs w:val="20"/>
                <w:rtl/>
              </w:rPr>
            </w:pPr>
            <w:r>
              <w:rPr>
                <w:rFonts w:ascii="Simplified Arabic" w:hAnsi="Simplified Arabic" w:hint="cs"/>
                <w:color w:val="000000"/>
                <w:sz w:val="20"/>
                <w:szCs w:val="20"/>
                <w:rtl/>
              </w:rPr>
              <w:t>ناقص: استخدام الاحتياطيات من السنوات السابقة</w:t>
            </w:r>
          </w:p>
        </w:tc>
        <w:tc>
          <w:tcPr>
            <w:tcW w:w="2071"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(638.7)</w:t>
            </w:r>
          </w:p>
        </w:tc>
        <w:tc>
          <w:tcPr>
            <w:tcW w:w="1551" w:type="dxa"/>
            <w:gridSpan w:val="2"/>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tl/>
              </w:rPr>
            </w:pPr>
            <w:r w:rsidRPr="0077155C">
              <w:rPr>
                <w:sz w:val="18"/>
                <w:szCs w:val="18"/>
              </w:rPr>
              <w:t>(638.7)</w:t>
            </w:r>
          </w:p>
        </w:tc>
        <w:tc>
          <w:tcPr>
            <w:tcW w:w="1779" w:type="dxa"/>
            <w:tcBorders>
              <w:top w:val="nil"/>
              <w:left w:val="nil"/>
              <w:bottom w:val="nil"/>
              <w:right w:val="nil"/>
            </w:tcBorders>
            <w:shd w:val="clear" w:color="auto" w:fill="auto"/>
            <w:vAlign w:val="center"/>
            <w:hideMark/>
          </w:tcPr>
          <w:p w:rsidR="00ED48E1" w:rsidRPr="0077155C" w:rsidRDefault="00ED48E1" w:rsidP="00ED48E1">
            <w:pPr>
              <w:spacing w:after="0"/>
              <w:ind w:firstLine="659"/>
              <w:rPr>
                <w:sz w:val="18"/>
                <w:szCs w:val="18"/>
              </w:rPr>
            </w:pPr>
            <w:r w:rsidRPr="0077155C">
              <w:rPr>
                <w:sz w:val="18"/>
                <w:szCs w:val="18"/>
              </w:rPr>
              <w:t>(1 277.5)</w:t>
            </w:r>
          </w:p>
        </w:tc>
      </w:tr>
      <w:tr w:rsidR="00ED48E1" w:rsidRPr="006C47AC" w:rsidTr="00ED48E1">
        <w:trPr>
          <w:trHeight w:val="63"/>
        </w:trPr>
        <w:tc>
          <w:tcPr>
            <w:tcW w:w="4319" w:type="dxa"/>
            <w:tcBorders>
              <w:top w:val="nil"/>
              <w:left w:val="nil"/>
              <w:bottom w:val="single" w:sz="4" w:space="0" w:color="auto"/>
              <w:right w:val="nil"/>
            </w:tcBorders>
            <w:shd w:val="clear" w:color="auto" w:fill="auto"/>
            <w:hideMark/>
          </w:tcPr>
          <w:p w:rsidR="00ED48E1" w:rsidRPr="00506D9A" w:rsidRDefault="00ED48E1" w:rsidP="00ED48E1">
            <w:pPr>
              <w:spacing w:after="0"/>
              <w:rPr>
                <w:rFonts w:ascii="Simplified Arabic" w:hAnsi="Simplified Arabic"/>
                <w:b/>
                <w:bCs/>
                <w:color w:val="000000"/>
                <w:sz w:val="20"/>
                <w:szCs w:val="20"/>
              </w:rPr>
            </w:pPr>
            <w:r w:rsidRPr="00506D9A">
              <w:rPr>
                <w:rFonts w:ascii="Simplified Arabic" w:hAnsi="Simplified Arabic" w:hint="cs"/>
                <w:b/>
                <w:bCs/>
                <w:color w:val="000000"/>
                <w:sz w:val="20"/>
                <w:szCs w:val="20"/>
                <w:rtl/>
              </w:rPr>
              <w:t>المجموع الصافي (المبلغ الذي ستتقاسمه الأطراف)</w:t>
            </w:r>
          </w:p>
        </w:tc>
        <w:tc>
          <w:tcPr>
            <w:tcW w:w="2071" w:type="dxa"/>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11 846.5</w:t>
            </w:r>
          </w:p>
        </w:tc>
        <w:tc>
          <w:tcPr>
            <w:tcW w:w="1551" w:type="dxa"/>
            <w:gridSpan w:val="2"/>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12 562.1</w:t>
            </w:r>
          </w:p>
        </w:tc>
        <w:tc>
          <w:tcPr>
            <w:tcW w:w="1779" w:type="dxa"/>
            <w:tcBorders>
              <w:top w:val="nil"/>
              <w:left w:val="nil"/>
              <w:bottom w:val="single" w:sz="4" w:space="0" w:color="auto"/>
              <w:right w:val="nil"/>
            </w:tcBorders>
            <w:shd w:val="clear" w:color="auto" w:fill="auto"/>
            <w:vAlign w:val="center"/>
            <w:hideMark/>
          </w:tcPr>
          <w:p w:rsidR="00ED48E1" w:rsidRPr="0077155C" w:rsidRDefault="00ED48E1" w:rsidP="00ED48E1">
            <w:pPr>
              <w:spacing w:after="0"/>
              <w:ind w:firstLine="659"/>
              <w:rPr>
                <w:b/>
                <w:bCs/>
                <w:sz w:val="18"/>
                <w:szCs w:val="18"/>
              </w:rPr>
            </w:pPr>
            <w:r w:rsidRPr="0077155C">
              <w:rPr>
                <w:b/>
                <w:bCs/>
                <w:sz w:val="18"/>
                <w:szCs w:val="18"/>
              </w:rPr>
              <w:t>24 408.6</w:t>
            </w:r>
          </w:p>
        </w:tc>
      </w:tr>
      <w:tr w:rsidR="00ED48E1" w:rsidRPr="006C47AC" w:rsidTr="00ED48E1">
        <w:trPr>
          <w:trHeight w:val="216"/>
        </w:trPr>
        <w:tc>
          <w:tcPr>
            <w:tcW w:w="9720" w:type="dxa"/>
            <w:gridSpan w:val="5"/>
            <w:tcBorders>
              <w:top w:val="nil"/>
              <w:left w:val="nil"/>
              <w:bottom w:val="nil"/>
              <w:right w:val="nil"/>
            </w:tcBorders>
            <w:shd w:val="clear" w:color="auto" w:fill="auto"/>
            <w:vAlign w:val="center"/>
            <w:hideMark/>
          </w:tcPr>
          <w:p w:rsidR="00ED48E1" w:rsidRPr="006C47AC" w:rsidRDefault="00ED48E1" w:rsidP="00ED48E1">
            <w:pPr>
              <w:spacing w:before="120" w:after="0"/>
              <w:rPr>
                <w:color w:val="000000"/>
                <w:sz w:val="17"/>
                <w:szCs w:val="17"/>
                <w:rtl/>
              </w:rPr>
            </w:pPr>
            <w:r w:rsidRPr="00ED43A1">
              <w:rPr>
                <w:rFonts w:hint="cs"/>
                <w:color w:val="000000"/>
                <w:sz w:val="17"/>
                <w:szCs w:val="17"/>
                <w:vertAlign w:val="superscript"/>
                <w:rtl/>
              </w:rPr>
              <w:t>/1</w:t>
            </w:r>
            <w:r>
              <w:rPr>
                <w:rFonts w:hint="cs"/>
                <w:color w:val="000000"/>
                <w:sz w:val="17"/>
                <w:szCs w:val="17"/>
                <w:rtl/>
              </w:rPr>
              <w:t xml:space="preserve">  الاجتماعات العادية التي ستمول من الميزانية الأساسية:</w:t>
            </w:r>
          </w:p>
        </w:tc>
      </w:tr>
      <w:tr w:rsidR="00ED48E1" w:rsidRPr="006C47AC" w:rsidTr="00ED48E1">
        <w:trPr>
          <w:trHeight w:val="216"/>
        </w:trPr>
        <w:tc>
          <w:tcPr>
            <w:tcW w:w="9720" w:type="dxa"/>
            <w:gridSpan w:val="5"/>
            <w:tcBorders>
              <w:top w:val="nil"/>
              <w:left w:val="nil"/>
              <w:bottom w:val="nil"/>
              <w:right w:val="nil"/>
            </w:tcBorders>
            <w:shd w:val="clear" w:color="auto" w:fill="auto"/>
            <w:noWrap/>
            <w:hideMark/>
          </w:tcPr>
          <w:p w:rsidR="00ED48E1" w:rsidRPr="006C47AC" w:rsidRDefault="00ED48E1" w:rsidP="00ED48E1">
            <w:pPr>
              <w:tabs>
                <w:tab w:val="left" w:pos="1029"/>
              </w:tabs>
              <w:spacing w:after="0"/>
              <w:ind w:left="579"/>
              <w:rPr>
                <w:color w:val="000000"/>
                <w:sz w:val="17"/>
                <w:szCs w:val="17"/>
                <w:rtl/>
              </w:rPr>
            </w:pPr>
            <w:r w:rsidRPr="006C47AC">
              <w:rPr>
                <w:color w:val="000000"/>
                <w:sz w:val="17"/>
                <w:szCs w:val="17"/>
              </w:rPr>
              <w:t>-</w:t>
            </w:r>
            <w:r>
              <w:rPr>
                <w:rFonts w:hint="cs"/>
                <w:sz w:val="20"/>
                <w:szCs w:val="20"/>
                <w:rtl/>
              </w:rPr>
              <w:tab/>
            </w:r>
            <w:r>
              <w:rPr>
                <w:rFonts w:hint="cs"/>
                <w:color w:val="000000"/>
                <w:sz w:val="17"/>
                <w:szCs w:val="17"/>
                <w:rtl/>
              </w:rPr>
              <w:t>الاجتماع الحادي عشر للفريق العامل المخصص للمادة 8(ي) والأحكام المتصلة بها.</w:t>
            </w:r>
          </w:p>
        </w:tc>
      </w:tr>
      <w:tr w:rsidR="00ED48E1" w:rsidRPr="006C47AC" w:rsidTr="00ED48E1">
        <w:trPr>
          <w:trHeight w:val="198"/>
        </w:trPr>
        <w:tc>
          <w:tcPr>
            <w:tcW w:w="9720" w:type="dxa"/>
            <w:gridSpan w:val="5"/>
            <w:tcBorders>
              <w:top w:val="nil"/>
              <w:left w:val="nil"/>
              <w:bottom w:val="nil"/>
              <w:right w:val="nil"/>
            </w:tcBorders>
            <w:shd w:val="clear" w:color="auto" w:fill="auto"/>
            <w:noWrap/>
            <w:hideMark/>
          </w:tcPr>
          <w:p w:rsidR="00ED48E1" w:rsidRPr="00ED43A1" w:rsidRDefault="00ED48E1" w:rsidP="00ED48E1">
            <w:pPr>
              <w:tabs>
                <w:tab w:val="left" w:pos="1041"/>
              </w:tabs>
              <w:spacing w:after="0" w:line="240" w:lineRule="auto"/>
              <w:ind w:firstLine="579"/>
              <w:rPr>
                <w:sz w:val="20"/>
                <w:szCs w:val="20"/>
                <w:rtl/>
              </w:rPr>
            </w:pPr>
            <w:r w:rsidRPr="006C47AC">
              <w:rPr>
                <w:color w:val="000000"/>
                <w:sz w:val="17"/>
                <w:szCs w:val="17"/>
              </w:rPr>
              <w:t>-</w:t>
            </w:r>
            <w:r>
              <w:rPr>
                <w:rFonts w:hint="cs"/>
                <w:sz w:val="20"/>
                <w:szCs w:val="20"/>
                <w:rtl/>
              </w:rPr>
              <w:tab/>
            </w:r>
            <w:r w:rsidRPr="003B45A3">
              <w:rPr>
                <w:rFonts w:hint="cs"/>
                <w:sz w:val="17"/>
                <w:szCs w:val="17"/>
                <w:rtl/>
              </w:rPr>
              <w:t>الاجتماع</w:t>
            </w:r>
            <w:r>
              <w:rPr>
                <w:rFonts w:hint="cs"/>
                <w:sz w:val="17"/>
                <w:szCs w:val="17"/>
                <w:rtl/>
              </w:rPr>
              <w:t>ا</w:t>
            </w:r>
            <w:r w:rsidRPr="003B45A3">
              <w:rPr>
                <w:rFonts w:hint="cs"/>
                <w:sz w:val="17"/>
                <w:szCs w:val="17"/>
                <w:rtl/>
              </w:rPr>
              <w:t>ن الثالث والعشر</w:t>
            </w:r>
            <w:r>
              <w:rPr>
                <w:rFonts w:hint="cs"/>
                <w:sz w:val="17"/>
                <w:szCs w:val="17"/>
                <w:rtl/>
              </w:rPr>
              <w:t>و</w:t>
            </w:r>
            <w:r w:rsidRPr="003B45A3">
              <w:rPr>
                <w:rFonts w:hint="cs"/>
                <w:sz w:val="17"/>
                <w:szCs w:val="17"/>
                <w:rtl/>
              </w:rPr>
              <w:t>ن والرابع والعشر</w:t>
            </w:r>
            <w:r>
              <w:rPr>
                <w:rFonts w:hint="cs"/>
                <w:sz w:val="17"/>
                <w:szCs w:val="17"/>
                <w:rtl/>
              </w:rPr>
              <w:t>و</w:t>
            </w:r>
            <w:r w:rsidRPr="003B45A3">
              <w:rPr>
                <w:rFonts w:hint="cs"/>
                <w:sz w:val="17"/>
                <w:szCs w:val="17"/>
                <w:rtl/>
              </w:rPr>
              <w:t>ن للهيئة الفرعية للمشورة العلمية والتقنية والتكنولوجية.</w:t>
            </w:r>
          </w:p>
        </w:tc>
      </w:tr>
      <w:tr w:rsidR="00ED48E1" w:rsidRPr="006C47AC" w:rsidTr="00ED48E1">
        <w:trPr>
          <w:trHeight w:val="216"/>
        </w:trPr>
        <w:tc>
          <w:tcPr>
            <w:tcW w:w="9720" w:type="dxa"/>
            <w:gridSpan w:val="5"/>
            <w:tcBorders>
              <w:top w:val="nil"/>
              <w:left w:val="nil"/>
              <w:bottom w:val="nil"/>
              <w:right w:val="nil"/>
            </w:tcBorders>
            <w:shd w:val="clear" w:color="auto" w:fill="auto"/>
            <w:noWrap/>
            <w:hideMark/>
          </w:tcPr>
          <w:p w:rsidR="00ED48E1" w:rsidRPr="006C47AC" w:rsidRDefault="00ED48E1" w:rsidP="00ED48E1">
            <w:pPr>
              <w:tabs>
                <w:tab w:val="left" w:pos="1029"/>
              </w:tabs>
              <w:spacing w:after="0"/>
              <w:ind w:left="579"/>
              <w:rPr>
                <w:color w:val="000000"/>
                <w:sz w:val="17"/>
                <w:szCs w:val="17"/>
              </w:rPr>
            </w:pPr>
            <w:r w:rsidRPr="006C47AC">
              <w:rPr>
                <w:color w:val="000000"/>
                <w:sz w:val="17"/>
                <w:szCs w:val="17"/>
              </w:rPr>
              <w:t>-</w:t>
            </w:r>
            <w:r>
              <w:rPr>
                <w:rFonts w:hint="cs"/>
                <w:sz w:val="20"/>
                <w:szCs w:val="20"/>
                <w:rtl/>
              </w:rPr>
              <w:tab/>
            </w:r>
            <w:r>
              <w:rPr>
                <w:rFonts w:hint="cs"/>
                <w:color w:val="000000"/>
                <w:sz w:val="17"/>
                <w:szCs w:val="17"/>
                <w:rtl/>
              </w:rPr>
              <w:t>الاجتماع الثالث للهيئة الفرعية للتنفيذ.</w:t>
            </w:r>
          </w:p>
        </w:tc>
      </w:tr>
      <w:tr w:rsidR="00ED48E1" w:rsidRPr="006C47AC" w:rsidTr="00ED48E1">
        <w:trPr>
          <w:trHeight w:val="216"/>
        </w:trPr>
        <w:tc>
          <w:tcPr>
            <w:tcW w:w="9720" w:type="dxa"/>
            <w:gridSpan w:val="5"/>
            <w:tcBorders>
              <w:top w:val="nil"/>
              <w:left w:val="nil"/>
              <w:bottom w:val="nil"/>
              <w:right w:val="nil"/>
            </w:tcBorders>
            <w:shd w:val="clear" w:color="auto" w:fill="auto"/>
            <w:noWrap/>
            <w:hideMark/>
          </w:tcPr>
          <w:p w:rsidR="00ED48E1" w:rsidRPr="006C47AC" w:rsidRDefault="00ED48E1" w:rsidP="00ED48E1">
            <w:pPr>
              <w:tabs>
                <w:tab w:val="left" w:pos="1029"/>
              </w:tabs>
              <w:spacing w:after="0"/>
              <w:ind w:left="1029" w:right="720" w:hanging="450"/>
              <w:rPr>
                <w:color w:val="000000"/>
                <w:sz w:val="17"/>
                <w:szCs w:val="17"/>
              </w:rPr>
            </w:pPr>
            <w:r w:rsidRPr="006C47AC">
              <w:rPr>
                <w:color w:val="000000"/>
                <w:sz w:val="17"/>
                <w:szCs w:val="17"/>
              </w:rPr>
              <w:t>-</w:t>
            </w:r>
            <w:r>
              <w:rPr>
                <w:rFonts w:hint="cs"/>
                <w:sz w:val="20"/>
                <w:szCs w:val="20"/>
                <w:rtl/>
              </w:rPr>
              <w:tab/>
            </w:r>
            <w:r>
              <w:rPr>
                <w:rFonts w:hint="cs"/>
                <w:color w:val="000000"/>
                <w:sz w:val="17"/>
                <w:szCs w:val="17"/>
                <w:rtl/>
              </w:rPr>
              <w:t>الاجتماع الخامس عشر لمؤتمر الأطراف في الاتفاقية / الاجتماع العاشر للأطراف في بروتوكول قرطاجنة / الاجتماع الرابع للأطراف في بروتوكول ناغويا المنعقدة بالتزامن.</w:t>
            </w:r>
          </w:p>
        </w:tc>
      </w:tr>
      <w:tr w:rsidR="00ED48E1" w:rsidRPr="006C47AC" w:rsidTr="00ED48E1">
        <w:trPr>
          <w:trHeight w:val="369"/>
        </w:trPr>
        <w:tc>
          <w:tcPr>
            <w:tcW w:w="9720" w:type="dxa"/>
            <w:gridSpan w:val="5"/>
            <w:tcBorders>
              <w:top w:val="nil"/>
              <w:left w:val="nil"/>
              <w:bottom w:val="nil"/>
              <w:right w:val="nil"/>
            </w:tcBorders>
            <w:shd w:val="clear" w:color="auto" w:fill="auto"/>
            <w:vAlign w:val="center"/>
            <w:hideMark/>
          </w:tcPr>
          <w:p w:rsidR="00ED48E1" w:rsidRPr="006C47AC" w:rsidRDefault="00ED48E1" w:rsidP="00ED48E1">
            <w:pPr>
              <w:tabs>
                <w:tab w:val="left" w:pos="309"/>
              </w:tabs>
              <w:spacing w:after="0"/>
              <w:ind w:left="302" w:hanging="302"/>
              <w:rPr>
                <w:color w:val="000000"/>
                <w:sz w:val="17"/>
                <w:szCs w:val="17"/>
                <w:rtl/>
              </w:rPr>
            </w:pPr>
            <w:r w:rsidRPr="00470CC8">
              <w:rPr>
                <w:rFonts w:hint="cs"/>
                <w:color w:val="000000"/>
                <w:sz w:val="17"/>
                <w:szCs w:val="17"/>
                <w:vertAlign w:val="superscript"/>
                <w:rtl/>
              </w:rPr>
              <w:t>2/</w:t>
            </w:r>
            <w:r>
              <w:rPr>
                <w:rFonts w:hint="cs"/>
                <w:sz w:val="20"/>
                <w:szCs w:val="20"/>
                <w:rtl/>
              </w:rPr>
              <w:tab/>
            </w:r>
            <w:r>
              <w:rPr>
                <w:rFonts w:hint="cs"/>
                <w:color w:val="000000"/>
                <w:sz w:val="17"/>
                <w:szCs w:val="17"/>
                <w:rtl/>
              </w:rPr>
              <w:t>الاجتماع الثالث والعشرون للهيئة الفرعية للمشورة العلمية والتقنية والتكنولوجية (3 أيام)، بالتعاقب مع الاجتماع الحادي عشر للمادة 8(ي) (3 أيام) في عام 2019، والاجتماع الرابع والعشرون للهيئة الفرعية للمشورة العلمية والتقنية والتكنولوجية (6 أيام)، بالتعاقب مع الاجتماع الثالث للهيئة الفرعية للتنفيذ (5 أيام) في عام 2020.</w:t>
            </w:r>
          </w:p>
        </w:tc>
      </w:tr>
      <w:tr w:rsidR="00ED48E1" w:rsidRPr="006C47AC" w:rsidTr="00ED48E1">
        <w:trPr>
          <w:trHeight w:val="279"/>
        </w:trPr>
        <w:tc>
          <w:tcPr>
            <w:tcW w:w="9720" w:type="dxa"/>
            <w:gridSpan w:val="5"/>
            <w:tcBorders>
              <w:top w:val="nil"/>
              <w:left w:val="nil"/>
              <w:bottom w:val="nil"/>
              <w:right w:val="nil"/>
            </w:tcBorders>
            <w:shd w:val="clear" w:color="auto" w:fill="auto"/>
            <w:vAlign w:val="center"/>
            <w:hideMark/>
          </w:tcPr>
          <w:p w:rsidR="00ED48E1" w:rsidRPr="00470CC8" w:rsidRDefault="00ED48E1" w:rsidP="00ED48E1">
            <w:pPr>
              <w:spacing w:after="0"/>
              <w:ind w:left="309" w:hanging="309"/>
              <w:rPr>
                <w:color w:val="000000"/>
                <w:sz w:val="17"/>
                <w:szCs w:val="17"/>
              </w:rPr>
            </w:pPr>
            <w:r w:rsidRPr="00470CC8">
              <w:rPr>
                <w:rFonts w:hint="cs"/>
                <w:color w:val="000000"/>
                <w:sz w:val="17"/>
                <w:szCs w:val="17"/>
                <w:vertAlign w:val="superscript"/>
                <w:rtl/>
              </w:rPr>
              <w:t xml:space="preserve">3/  </w:t>
            </w:r>
            <w:r>
              <w:rPr>
                <w:rFonts w:hint="cs"/>
                <w:sz w:val="20"/>
                <w:szCs w:val="20"/>
                <w:rtl/>
              </w:rPr>
              <w:tab/>
            </w:r>
            <w:r>
              <w:rPr>
                <w:rFonts w:hint="cs"/>
                <w:color w:val="000000"/>
                <w:sz w:val="17"/>
                <w:szCs w:val="17"/>
                <w:rtl/>
              </w:rPr>
              <w:t>الميزانية للاجتماع الخامس عشر لمؤتمر الأطراف في الاتفاقية /الاجتماع العاشر للأطراف في بروتوكول قرطاجنة والاجتماع الرابع للأطراف في بروتوكول ناغويا مقسمة بالتساوي بين كل سنة في فترة السنتين.</w:t>
            </w:r>
          </w:p>
        </w:tc>
      </w:tr>
      <w:tr w:rsidR="00ED48E1" w:rsidRPr="006C47AC" w:rsidTr="00ED48E1">
        <w:trPr>
          <w:trHeight w:val="360"/>
        </w:trPr>
        <w:tc>
          <w:tcPr>
            <w:tcW w:w="9720" w:type="dxa"/>
            <w:gridSpan w:val="5"/>
            <w:tcBorders>
              <w:top w:val="nil"/>
              <w:left w:val="nil"/>
              <w:bottom w:val="nil"/>
              <w:right w:val="nil"/>
            </w:tcBorders>
            <w:shd w:val="clear" w:color="auto" w:fill="auto"/>
            <w:vAlign w:val="center"/>
            <w:hideMark/>
          </w:tcPr>
          <w:p w:rsidR="00ED48E1" w:rsidRPr="00470CC8" w:rsidRDefault="00ED48E1" w:rsidP="00ED48E1">
            <w:pPr>
              <w:spacing w:after="0"/>
              <w:ind w:left="309" w:hanging="309"/>
              <w:rPr>
                <w:color w:val="000000"/>
                <w:sz w:val="17"/>
                <w:szCs w:val="17"/>
              </w:rPr>
            </w:pPr>
            <w:r w:rsidRPr="00470CC8">
              <w:rPr>
                <w:rFonts w:hint="cs"/>
                <w:color w:val="000000"/>
                <w:sz w:val="17"/>
                <w:szCs w:val="17"/>
                <w:vertAlign w:val="superscript"/>
                <w:rtl/>
              </w:rPr>
              <w:t>4/</w:t>
            </w:r>
            <w:r>
              <w:rPr>
                <w:rFonts w:hint="cs"/>
                <w:sz w:val="20"/>
                <w:szCs w:val="20"/>
                <w:rtl/>
              </w:rPr>
              <w:tab/>
            </w:r>
            <w:r>
              <w:rPr>
                <w:rFonts w:hint="cs"/>
                <w:color w:val="000000"/>
                <w:sz w:val="17"/>
                <w:szCs w:val="17"/>
                <w:rtl/>
              </w:rPr>
              <w:t>اجتماعان مستقلان للاجتماعات الاستثنائية، 5 أيام لكل منهما، زائد يومين تمديد للاجتماع الثالث والعشرين للهيئة الفرعية للمشورة العلمية والتقنية والتكنولوجية.</w:t>
            </w:r>
          </w:p>
        </w:tc>
      </w:tr>
      <w:tr w:rsidR="00ED48E1" w:rsidRPr="006C47AC" w:rsidTr="00ED48E1">
        <w:trPr>
          <w:trHeight w:val="216"/>
        </w:trPr>
        <w:tc>
          <w:tcPr>
            <w:tcW w:w="9720" w:type="dxa"/>
            <w:gridSpan w:val="5"/>
            <w:tcBorders>
              <w:top w:val="nil"/>
              <w:left w:val="nil"/>
              <w:bottom w:val="nil"/>
              <w:right w:val="nil"/>
            </w:tcBorders>
            <w:shd w:val="clear" w:color="auto" w:fill="auto"/>
            <w:vAlign w:val="center"/>
            <w:hideMark/>
          </w:tcPr>
          <w:p w:rsidR="00ED48E1" w:rsidRPr="00470CC8" w:rsidRDefault="00ED48E1" w:rsidP="00ED48E1">
            <w:pPr>
              <w:spacing w:after="0"/>
              <w:ind w:left="309" w:hanging="309"/>
              <w:rPr>
                <w:color w:val="000000"/>
                <w:sz w:val="17"/>
                <w:szCs w:val="17"/>
              </w:rPr>
            </w:pPr>
            <w:r w:rsidRPr="00470CC8">
              <w:rPr>
                <w:rFonts w:hint="cs"/>
                <w:color w:val="000000"/>
                <w:sz w:val="17"/>
                <w:szCs w:val="17"/>
                <w:vertAlign w:val="superscript"/>
                <w:rtl/>
              </w:rPr>
              <w:t>5/</w:t>
            </w:r>
            <w:r>
              <w:rPr>
                <w:rFonts w:hint="cs"/>
                <w:sz w:val="20"/>
                <w:szCs w:val="20"/>
                <w:rtl/>
              </w:rPr>
              <w:tab/>
            </w:r>
            <w:r>
              <w:rPr>
                <w:rFonts w:hint="cs"/>
                <w:color w:val="000000"/>
                <w:sz w:val="17"/>
                <w:szCs w:val="17"/>
                <w:rtl/>
              </w:rPr>
              <w:t>إرشادية</w:t>
            </w:r>
          </w:p>
        </w:tc>
      </w:tr>
    </w:tbl>
    <w:p w:rsidR="00ED48E1" w:rsidRDefault="00ED48E1" w:rsidP="00ED48E1">
      <w:pPr>
        <w:rPr>
          <w:sz w:val="24"/>
          <w:rtl/>
        </w:rPr>
      </w:pPr>
      <w:r>
        <w:rPr>
          <w:sz w:val="24"/>
          <w:rtl/>
        </w:rPr>
        <w:br w:type="page"/>
      </w:r>
    </w:p>
    <w:p w:rsidR="00ED48E1" w:rsidRPr="00EF5AF4" w:rsidRDefault="00ED48E1" w:rsidP="00ED48E1">
      <w:pPr>
        <w:ind w:left="2070" w:hanging="1350"/>
        <w:rPr>
          <w:b/>
          <w:bCs/>
          <w:sz w:val="24"/>
          <w:rtl/>
        </w:rPr>
      </w:pPr>
      <w:r w:rsidRPr="00EF5AF4">
        <w:rPr>
          <w:rFonts w:hint="cs"/>
          <w:b/>
          <w:bCs/>
          <w:kern w:val="22"/>
          <w:sz w:val="24"/>
          <w:rtl/>
        </w:rPr>
        <w:lastRenderedPageBreak/>
        <w:t>الجدول 2</w:t>
      </w:r>
      <w:r w:rsidRPr="00EF5AF4">
        <w:rPr>
          <w:rFonts w:hint="cs"/>
          <w:b/>
          <w:bCs/>
          <w:kern w:val="22"/>
          <w:sz w:val="24"/>
          <w:rtl/>
        </w:rPr>
        <w:tab/>
        <w:t>متطلب</w:t>
      </w:r>
      <w:r w:rsidRPr="00EF5AF4">
        <w:rPr>
          <w:b/>
          <w:bCs/>
          <w:kern w:val="22"/>
          <w:sz w:val="24"/>
          <w:rtl/>
        </w:rPr>
        <w:t>ات الأمانة من الموظفين من الميزاني</w:t>
      </w:r>
      <w:r w:rsidRPr="00EF5AF4">
        <w:rPr>
          <w:rFonts w:hint="cs"/>
          <w:b/>
          <w:bCs/>
          <w:kern w:val="22"/>
          <w:sz w:val="24"/>
          <w:rtl/>
        </w:rPr>
        <w:t>ات</w:t>
      </w:r>
      <w:r w:rsidRPr="00EF5AF4">
        <w:rPr>
          <w:b/>
          <w:bCs/>
          <w:kern w:val="22"/>
          <w:sz w:val="24"/>
          <w:rtl/>
        </w:rPr>
        <w:t xml:space="preserve"> الأساسية </w:t>
      </w:r>
      <w:r w:rsidRPr="00EF5AF4">
        <w:rPr>
          <w:rFonts w:hint="cs"/>
          <w:b/>
          <w:bCs/>
          <w:kern w:val="22"/>
          <w:sz w:val="24"/>
          <w:rtl/>
        </w:rPr>
        <w:t>للاتفاقية وبروتوكوليها، 2019-2020</w:t>
      </w:r>
    </w:p>
    <w:tbl>
      <w:tblPr>
        <w:bidiVisual/>
        <w:tblW w:w="4720" w:type="dxa"/>
        <w:jc w:val="center"/>
        <w:tblLook w:val="04A0"/>
      </w:tblPr>
      <w:tblGrid>
        <w:gridCol w:w="2800"/>
        <w:gridCol w:w="960"/>
        <w:gridCol w:w="960"/>
      </w:tblGrid>
      <w:tr w:rsidR="00ED48E1" w:rsidRPr="00D03571" w:rsidTr="00ED48E1">
        <w:trPr>
          <w:trHeight w:val="300"/>
          <w:jc w:val="center"/>
        </w:trPr>
        <w:tc>
          <w:tcPr>
            <w:tcW w:w="2800" w:type="dxa"/>
            <w:tcBorders>
              <w:top w:val="nil"/>
              <w:left w:val="nil"/>
              <w:bottom w:val="single" w:sz="8" w:space="0" w:color="auto"/>
              <w:right w:val="nil"/>
            </w:tcBorders>
            <w:shd w:val="clear" w:color="auto" w:fill="auto"/>
            <w:vAlign w:val="center"/>
            <w:hideMark/>
          </w:tcPr>
          <w:p w:rsidR="00ED48E1" w:rsidRPr="00D03571" w:rsidRDefault="00ED48E1" w:rsidP="00ED48E1">
            <w:pPr>
              <w:jc w:val="center"/>
              <w:rPr>
                <w:i/>
                <w:iCs/>
                <w:color w:val="000000"/>
                <w:sz w:val="14"/>
                <w:szCs w:val="14"/>
              </w:rPr>
            </w:pPr>
          </w:p>
        </w:tc>
        <w:tc>
          <w:tcPr>
            <w:tcW w:w="1920" w:type="dxa"/>
            <w:gridSpan w:val="2"/>
            <w:tcBorders>
              <w:top w:val="nil"/>
              <w:left w:val="nil"/>
              <w:bottom w:val="single" w:sz="8" w:space="0" w:color="auto"/>
              <w:right w:val="nil"/>
            </w:tcBorders>
            <w:shd w:val="clear" w:color="auto" w:fill="auto"/>
            <w:vAlign w:val="center"/>
            <w:hideMark/>
          </w:tcPr>
          <w:p w:rsidR="00ED48E1" w:rsidRPr="00D03571" w:rsidRDefault="00ED48E1" w:rsidP="00ED48E1">
            <w:pPr>
              <w:jc w:val="center"/>
              <w:rPr>
                <w:i/>
                <w:iCs/>
                <w:color w:val="000000"/>
                <w:sz w:val="14"/>
                <w:szCs w:val="14"/>
              </w:rPr>
            </w:pPr>
            <w:r w:rsidRPr="00D03571">
              <w:rPr>
                <w:i/>
                <w:iCs/>
                <w:color w:val="000000"/>
                <w:sz w:val="14"/>
                <w:szCs w:val="14"/>
              </w:rPr>
              <w:t> </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D03571" w:rsidRDefault="00ED48E1" w:rsidP="00ED48E1">
            <w:pPr>
              <w:jc w:val="center"/>
              <w:rPr>
                <w:i/>
                <w:iCs/>
                <w:color w:val="000000"/>
                <w:sz w:val="14"/>
                <w:szCs w:val="14"/>
              </w:rPr>
            </w:pPr>
          </w:p>
        </w:tc>
        <w:tc>
          <w:tcPr>
            <w:tcW w:w="960" w:type="dxa"/>
            <w:tcBorders>
              <w:top w:val="nil"/>
              <w:left w:val="nil"/>
              <w:bottom w:val="nil"/>
              <w:right w:val="nil"/>
            </w:tcBorders>
            <w:shd w:val="clear" w:color="auto" w:fill="auto"/>
            <w:vAlign w:val="center"/>
            <w:hideMark/>
          </w:tcPr>
          <w:p w:rsidR="00ED48E1" w:rsidRPr="00D03571" w:rsidRDefault="00ED48E1" w:rsidP="00ED48E1">
            <w:pPr>
              <w:rPr>
                <w:sz w:val="20"/>
                <w:szCs w:val="20"/>
              </w:rPr>
            </w:pPr>
          </w:p>
        </w:tc>
        <w:tc>
          <w:tcPr>
            <w:tcW w:w="960" w:type="dxa"/>
            <w:tcBorders>
              <w:top w:val="nil"/>
              <w:left w:val="nil"/>
              <w:bottom w:val="nil"/>
              <w:right w:val="nil"/>
            </w:tcBorders>
            <w:shd w:val="clear" w:color="auto" w:fill="auto"/>
            <w:vAlign w:val="center"/>
            <w:hideMark/>
          </w:tcPr>
          <w:p w:rsidR="00ED48E1" w:rsidRPr="00D03571" w:rsidRDefault="00ED48E1" w:rsidP="00ED48E1">
            <w:pPr>
              <w:jc w:val="right"/>
              <w:rPr>
                <w:i/>
                <w:iCs/>
                <w:color w:val="000000"/>
                <w:sz w:val="14"/>
                <w:szCs w:val="14"/>
              </w:rPr>
            </w:pPr>
            <w:r w:rsidRPr="00D03571">
              <w:rPr>
                <w:i/>
                <w:iCs/>
                <w:color w:val="000000"/>
                <w:sz w:val="14"/>
                <w:szCs w:val="14"/>
              </w:rPr>
              <w:t> </w:t>
            </w:r>
          </w:p>
        </w:tc>
      </w:tr>
      <w:tr w:rsidR="00ED48E1" w:rsidRPr="00D03571" w:rsidTr="00ED48E1">
        <w:trPr>
          <w:trHeight w:val="300"/>
          <w:jc w:val="center"/>
        </w:trPr>
        <w:tc>
          <w:tcPr>
            <w:tcW w:w="2800" w:type="dxa"/>
            <w:tcBorders>
              <w:top w:val="nil"/>
              <w:left w:val="nil"/>
              <w:bottom w:val="single" w:sz="8" w:space="0" w:color="auto"/>
              <w:right w:val="nil"/>
            </w:tcBorders>
            <w:shd w:val="clear" w:color="auto" w:fill="auto"/>
            <w:vAlign w:val="center"/>
            <w:hideMark/>
          </w:tcPr>
          <w:p w:rsidR="00ED48E1" w:rsidRPr="00D03571" w:rsidRDefault="00ED48E1" w:rsidP="00ED48E1">
            <w:pPr>
              <w:rPr>
                <w:i/>
                <w:iCs/>
                <w:color w:val="000000"/>
                <w:sz w:val="14"/>
                <w:szCs w:val="14"/>
              </w:rPr>
            </w:pPr>
            <w:r w:rsidRPr="00D03571">
              <w:rPr>
                <w:i/>
                <w:iCs/>
                <w:color w:val="000000"/>
                <w:sz w:val="14"/>
                <w:szCs w:val="14"/>
              </w:rPr>
              <w:t> </w:t>
            </w:r>
          </w:p>
        </w:tc>
        <w:tc>
          <w:tcPr>
            <w:tcW w:w="960" w:type="dxa"/>
            <w:tcBorders>
              <w:top w:val="nil"/>
              <w:left w:val="nil"/>
              <w:bottom w:val="single" w:sz="8" w:space="0" w:color="auto"/>
              <w:right w:val="nil"/>
            </w:tcBorders>
            <w:shd w:val="clear" w:color="auto" w:fill="auto"/>
            <w:vAlign w:val="center"/>
            <w:hideMark/>
          </w:tcPr>
          <w:p w:rsidR="00ED48E1" w:rsidRPr="009A3026" w:rsidRDefault="00ED48E1" w:rsidP="00ED48E1">
            <w:pPr>
              <w:jc w:val="right"/>
              <w:rPr>
                <w:color w:val="000000"/>
                <w:sz w:val="20"/>
                <w:szCs w:val="20"/>
              </w:rPr>
            </w:pPr>
            <w:r w:rsidRPr="009A3026">
              <w:rPr>
                <w:color w:val="000000"/>
                <w:sz w:val="20"/>
                <w:szCs w:val="20"/>
              </w:rPr>
              <w:t>2019</w:t>
            </w:r>
          </w:p>
        </w:tc>
        <w:tc>
          <w:tcPr>
            <w:tcW w:w="960" w:type="dxa"/>
            <w:tcBorders>
              <w:top w:val="nil"/>
              <w:left w:val="nil"/>
              <w:bottom w:val="single" w:sz="8" w:space="0" w:color="auto"/>
              <w:right w:val="nil"/>
            </w:tcBorders>
            <w:shd w:val="clear" w:color="auto" w:fill="auto"/>
            <w:vAlign w:val="center"/>
            <w:hideMark/>
          </w:tcPr>
          <w:p w:rsidR="00ED48E1" w:rsidRPr="009A3026" w:rsidRDefault="00ED48E1" w:rsidP="00ED48E1">
            <w:pPr>
              <w:jc w:val="right"/>
              <w:rPr>
                <w:color w:val="000000"/>
                <w:sz w:val="20"/>
                <w:szCs w:val="20"/>
              </w:rPr>
            </w:pPr>
            <w:r w:rsidRPr="009A3026">
              <w:rPr>
                <w:color w:val="000000"/>
                <w:sz w:val="20"/>
                <w:szCs w:val="20"/>
              </w:rPr>
              <w:t>2020</w:t>
            </w:r>
          </w:p>
        </w:tc>
      </w:tr>
      <w:tr w:rsidR="00ED48E1" w:rsidRPr="00D03571" w:rsidTr="00ED48E1">
        <w:trPr>
          <w:trHeight w:val="288"/>
          <w:jc w:val="center"/>
        </w:trPr>
        <w:tc>
          <w:tcPr>
            <w:tcW w:w="2800" w:type="dxa"/>
            <w:tcBorders>
              <w:top w:val="nil"/>
              <w:left w:val="nil"/>
              <w:bottom w:val="nil"/>
              <w:right w:val="nil"/>
            </w:tcBorders>
            <w:shd w:val="clear" w:color="auto" w:fill="auto"/>
            <w:noWrap/>
            <w:vAlign w:val="center"/>
            <w:hideMark/>
          </w:tcPr>
          <w:p w:rsidR="00ED48E1" w:rsidRPr="009A3026" w:rsidRDefault="00ED48E1" w:rsidP="00ED48E1">
            <w:pPr>
              <w:spacing w:after="0" w:line="240" w:lineRule="auto"/>
              <w:rPr>
                <w:b/>
                <w:bCs/>
                <w:color w:val="000000"/>
                <w:szCs w:val="22"/>
                <w:rtl/>
              </w:rPr>
            </w:pPr>
            <w:r w:rsidRPr="009A3026">
              <w:rPr>
                <w:rFonts w:hint="cs"/>
                <w:b/>
                <w:bCs/>
                <w:color w:val="000000"/>
                <w:szCs w:val="22"/>
                <w:rtl/>
              </w:rPr>
              <w:t>الموظفون الفنيون والفئات العليا</w:t>
            </w:r>
          </w:p>
        </w:tc>
        <w:tc>
          <w:tcPr>
            <w:tcW w:w="960" w:type="dxa"/>
            <w:tcBorders>
              <w:top w:val="nil"/>
              <w:left w:val="nil"/>
              <w:bottom w:val="nil"/>
              <w:right w:val="nil"/>
            </w:tcBorders>
            <w:shd w:val="clear" w:color="auto" w:fill="auto"/>
            <w:vAlign w:val="center"/>
            <w:hideMark/>
          </w:tcPr>
          <w:p w:rsidR="00ED48E1" w:rsidRPr="00D03571" w:rsidRDefault="00ED48E1" w:rsidP="00ED48E1">
            <w:pPr>
              <w:spacing w:after="0" w:line="240" w:lineRule="auto"/>
              <w:rPr>
                <w:b/>
                <w:bCs/>
                <w:color w:val="000000"/>
                <w:sz w:val="17"/>
                <w:szCs w:val="17"/>
              </w:rPr>
            </w:pPr>
          </w:p>
        </w:tc>
        <w:tc>
          <w:tcPr>
            <w:tcW w:w="960" w:type="dxa"/>
            <w:tcBorders>
              <w:top w:val="nil"/>
              <w:left w:val="nil"/>
              <w:bottom w:val="nil"/>
              <w:right w:val="nil"/>
            </w:tcBorders>
            <w:shd w:val="clear" w:color="auto" w:fill="auto"/>
            <w:vAlign w:val="center"/>
            <w:hideMark/>
          </w:tcPr>
          <w:p w:rsidR="00ED48E1" w:rsidRPr="00D03571" w:rsidRDefault="00ED48E1" w:rsidP="00ED48E1">
            <w:pPr>
              <w:spacing w:after="0" w:line="240" w:lineRule="auto"/>
              <w:rPr>
                <w:sz w:val="20"/>
                <w:szCs w:val="20"/>
              </w:rPr>
            </w:pP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tl/>
              </w:rPr>
            </w:pPr>
            <w:r w:rsidRPr="003B45A3">
              <w:rPr>
                <w:color w:val="000000"/>
                <w:sz w:val="20"/>
                <w:szCs w:val="20"/>
              </w:rPr>
              <w:t>ASG</w:t>
            </w:r>
            <w:r w:rsidRPr="003B45A3">
              <w:rPr>
                <w:rFonts w:hint="cs"/>
                <w:color w:val="000000"/>
                <w:sz w:val="20"/>
                <w:szCs w:val="20"/>
                <w:rtl/>
              </w:rPr>
              <w:t xml:space="preserve"> </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D-2</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D-1</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3</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3</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P-5</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10</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10</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P-4</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12</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12</w:t>
            </w:r>
          </w:p>
        </w:tc>
      </w:tr>
      <w:tr w:rsidR="00ED48E1" w:rsidRPr="00D03571" w:rsidTr="00ED48E1">
        <w:trPr>
          <w:trHeight w:val="288"/>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P-3</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14</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14</w:t>
            </w:r>
          </w:p>
        </w:tc>
      </w:tr>
      <w:tr w:rsidR="00ED48E1" w:rsidRPr="00D03571" w:rsidTr="00ED48E1">
        <w:trPr>
          <w:trHeight w:val="300"/>
          <w:jc w:val="center"/>
        </w:trPr>
        <w:tc>
          <w:tcPr>
            <w:tcW w:w="280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rPr>
                <w:color w:val="000000"/>
                <w:sz w:val="20"/>
                <w:szCs w:val="20"/>
              </w:rPr>
            </w:pPr>
            <w:r w:rsidRPr="003B45A3">
              <w:rPr>
                <w:color w:val="000000"/>
                <w:sz w:val="20"/>
                <w:szCs w:val="20"/>
              </w:rPr>
              <w:t>P-2/1</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9</w:t>
            </w:r>
          </w:p>
        </w:tc>
        <w:tc>
          <w:tcPr>
            <w:tcW w:w="960" w:type="dxa"/>
            <w:tcBorders>
              <w:top w:val="nil"/>
              <w:left w:val="nil"/>
              <w:bottom w:val="nil"/>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9</w:t>
            </w:r>
          </w:p>
        </w:tc>
      </w:tr>
      <w:tr w:rsidR="00ED48E1" w:rsidRPr="00D03571" w:rsidTr="00ED48E1">
        <w:trPr>
          <w:trHeight w:val="448"/>
          <w:jc w:val="center"/>
        </w:trPr>
        <w:tc>
          <w:tcPr>
            <w:tcW w:w="2800" w:type="dxa"/>
            <w:tcBorders>
              <w:top w:val="single" w:sz="8" w:space="0" w:color="auto"/>
              <w:left w:val="nil"/>
              <w:bottom w:val="single" w:sz="8" w:space="0" w:color="auto"/>
              <w:right w:val="nil"/>
            </w:tcBorders>
            <w:shd w:val="clear" w:color="auto" w:fill="auto"/>
            <w:vAlign w:val="center"/>
            <w:hideMark/>
          </w:tcPr>
          <w:p w:rsidR="00ED48E1" w:rsidRPr="009A3026" w:rsidRDefault="00ED48E1" w:rsidP="00ED48E1">
            <w:pPr>
              <w:spacing w:after="0" w:line="240" w:lineRule="auto"/>
              <w:rPr>
                <w:b/>
                <w:bCs/>
                <w:color w:val="000000"/>
                <w:szCs w:val="22"/>
              </w:rPr>
            </w:pPr>
            <w:r>
              <w:rPr>
                <w:rFonts w:hint="cs"/>
                <w:b/>
                <w:bCs/>
                <w:color w:val="000000"/>
                <w:szCs w:val="22"/>
                <w:rtl/>
              </w:rPr>
              <w:t>المجموع الفرعي</w:t>
            </w:r>
          </w:p>
        </w:tc>
        <w:tc>
          <w:tcPr>
            <w:tcW w:w="960" w:type="dxa"/>
            <w:tcBorders>
              <w:top w:val="single" w:sz="8" w:space="0" w:color="auto"/>
              <w:left w:val="nil"/>
              <w:bottom w:val="single" w:sz="8" w:space="0" w:color="auto"/>
              <w:right w:val="nil"/>
            </w:tcBorders>
            <w:shd w:val="clear" w:color="auto" w:fill="auto"/>
            <w:vAlign w:val="center"/>
            <w:hideMark/>
          </w:tcPr>
          <w:p w:rsidR="00ED48E1" w:rsidRPr="003B45A3" w:rsidRDefault="00ED48E1" w:rsidP="00ED48E1">
            <w:pPr>
              <w:spacing w:after="0" w:line="240" w:lineRule="auto"/>
              <w:jc w:val="right"/>
              <w:rPr>
                <w:b/>
                <w:bCs/>
                <w:color w:val="000000"/>
                <w:sz w:val="20"/>
                <w:szCs w:val="20"/>
              </w:rPr>
            </w:pPr>
            <w:r w:rsidRPr="003B45A3">
              <w:rPr>
                <w:b/>
                <w:bCs/>
                <w:color w:val="000000"/>
                <w:sz w:val="20"/>
                <w:szCs w:val="20"/>
              </w:rPr>
              <w:t>49</w:t>
            </w:r>
          </w:p>
        </w:tc>
        <w:tc>
          <w:tcPr>
            <w:tcW w:w="960" w:type="dxa"/>
            <w:tcBorders>
              <w:top w:val="single" w:sz="8" w:space="0" w:color="auto"/>
              <w:left w:val="nil"/>
              <w:bottom w:val="single" w:sz="8" w:space="0" w:color="auto"/>
              <w:right w:val="nil"/>
            </w:tcBorders>
            <w:shd w:val="clear" w:color="auto" w:fill="auto"/>
            <w:vAlign w:val="center"/>
            <w:hideMark/>
          </w:tcPr>
          <w:p w:rsidR="00ED48E1" w:rsidRPr="003B45A3" w:rsidRDefault="00ED48E1" w:rsidP="00ED48E1">
            <w:pPr>
              <w:spacing w:after="0" w:line="240" w:lineRule="auto"/>
              <w:jc w:val="right"/>
              <w:rPr>
                <w:b/>
                <w:bCs/>
                <w:color w:val="000000"/>
                <w:sz w:val="20"/>
                <w:szCs w:val="20"/>
              </w:rPr>
            </w:pPr>
            <w:r w:rsidRPr="003B45A3">
              <w:rPr>
                <w:b/>
                <w:bCs/>
                <w:color w:val="000000"/>
                <w:sz w:val="20"/>
                <w:szCs w:val="20"/>
              </w:rPr>
              <w:t>49</w:t>
            </w:r>
          </w:p>
        </w:tc>
      </w:tr>
      <w:tr w:rsidR="00ED48E1" w:rsidRPr="00D03571" w:rsidTr="00ED48E1">
        <w:trPr>
          <w:trHeight w:val="300"/>
          <w:jc w:val="center"/>
        </w:trPr>
        <w:tc>
          <w:tcPr>
            <w:tcW w:w="2800" w:type="dxa"/>
            <w:tcBorders>
              <w:top w:val="nil"/>
              <w:left w:val="nil"/>
              <w:bottom w:val="single" w:sz="8" w:space="0" w:color="auto"/>
              <w:right w:val="nil"/>
            </w:tcBorders>
            <w:shd w:val="clear" w:color="auto" w:fill="auto"/>
            <w:vAlign w:val="center"/>
            <w:hideMark/>
          </w:tcPr>
          <w:p w:rsidR="00ED48E1" w:rsidRPr="009A3026" w:rsidRDefault="00ED48E1" w:rsidP="00ED48E1">
            <w:pPr>
              <w:spacing w:after="0" w:line="240" w:lineRule="auto"/>
              <w:rPr>
                <w:b/>
                <w:bCs/>
                <w:color w:val="000000"/>
                <w:szCs w:val="22"/>
              </w:rPr>
            </w:pPr>
            <w:r>
              <w:rPr>
                <w:rFonts w:hint="cs"/>
                <w:b/>
                <w:bCs/>
                <w:color w:val="000000"/>
                <w:szCs w:val="22"/>
                <w:rtl/>
              </w:rPr>
              <w:t>الخدمات العامة</w:t>
            </w:r>
          </w:p>
        </w:tc>
        <w:tc>
          <w:tcPr>
            <w:tcW w:w="960" w:type="dxa"/>
            <w:tcBorders>
              <w:top w:val="nil"/>
              <w:left w:val="nil"/>
              <w:bottom w:val="single" w:sz="8" w:space="0" w:color="auto"/>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29</w:t>
            </w:r>
          </w:p>
        </w:tc>
        <w:tc>
          <w:tcPr>
            <w:tcW w:w="960" w:type="dxa"/>
            <w:tcBorders>
              <w:top w:val="nil"/>
              <w:left w:val="nil"/>
              <w:bottom w:val="single" w:sz="8" w:space="0" w:color="auto"/>
              <w:right w:val="nil"/>
            </w:tcBorders>
            <w:shd w:val="clear" w:color="auto" w:fill="auto"/>
            <w:vAlign w:val="center"/>
            <w:hideMark/>
          </w:tcPr>
          <w:p w:rsidR="00ED48E1" w:rsidRPr="003B45A3" w:rsidRDefault="00ED48E1" w:rsidP="00ED48E1">
            <w:pPr>
              <w:spacing w:after="0" w:line="240" w:lineRule="auto"/>
              <w:jc w:val="right"/>
              <w:rPr>
                <w:color w:val="000000"/>
                <w:sz w:val="20"/>
                <w:szCs w:val="20"/>
              </w:rPr>
            </w:pPr>
            <w:r w:rsidRPr="003B45A3">
              <w:rPr>
                <w:color w:val="000000"/>
                <w:sz w:val="20"/>
                <w:szCs w:val="20"/>
              </w:rPr>
              <w:t>29</w:t>
            </w:r>
          </w:p>
        </w:tc>
      </w:tr>
      <w:tr w:rsidR="00ED48E1" w:rsidRPr="00D03571" w:rsidTr="00ED48E1">
        <w:trPr>
          <w:trHeight w:val="300"/>
          <w:jc w:val="center"/>
        </w:trPr>
        <w:tc>
          <w:tcPr>
            <w:tcW w:w="2800" w:type="dxa"/>
            <w:tcBorders>
              <w:top w:val="nil"/>
              <w:left w:val="nil"/>
              <w:bottom w:val="single" w:sz="12" w:space="0" w:color="auto"/>
              <w:right w:val="nil"/>
            </w:tcBorders>
            <w:shd w:val="clear" w:color="auto" w:fill="auto"/>
            <w:vAlign w:val="center"/>
            <w:hideMark/>
          </w:tcPr>
          <w:p w:rsidR="00ED48E1" w:rsidRPr="009A3026" w:rsidRDefault="00ED48E1" w:rsidP="00ED48E1">
            <w:pPr>
              <w:spacing w:after="0" w:line="240" w:lineRule="auto"/>
              <w:rPr>
                <w:b/>
                <w:bCs/>
                <w:color w:val="000000"/>
                <w:szCs w:val="22"/>
              </w:rPr>
            </w:pPr>
            <w:r>
              <w:rPr>
                <w:rFonts w:hint="cs"/>
                <w:b/>
                <w:bCs/>
                <w:color w:val="000000"/>
                <w:szCs w:val="22"/>
                <w:rtl/>
              </w:rPr>
              <w:t>المجموع</w:t>
            </w:r>
          </w:p>
        </w:tc>
        <w:tc>
          <w:tcPr>
            <w:tcW w:w="960" w:type="dxa"/>
            <w:tcBorders>
              <w:top w:val="nil"/>
              <w:left w:val="nil"/>
              <w:bottom w:val="single" w:sz="12" w:space="0" w:color="auto"/>
              <w:right w:val="nil"/>
            </w:tcBorders>
            <w:shd w:val="clear" w:color="auto" w:fill="auto"/>
            <w:vAlign w:val="center"/>
            <w:hideMark/>
          </w:tcPr>
          <w:p w:rsidR="00ED48E1" w:rsidRPr="003B45A3" w:rsidRDefault="00ED48E1" w:rsidP="00ED48E1">
            <w:pPr>
              <w:spacing w:after="0" w:line="240" w:lineRule="auto"/>
              <w:jc w:val="right"/>
              <w:rPr>
                <w:b/>
                <w:bCs/>
                <w:color w:val="000000"/>
                <w:sz w:val="20"/>
                <w:szCs w:val="20"/>
              </w:rPr>
            </w:pPr>
            <w:r w:rsidRPr="003B45A3">
              <w:rPr>
                <w:b/>
                <w:bCs/>
                <w:color w:val="000000"/>
                <w:sz w:val="20"/>
                <w:szCs w:val="20"/>
              </w:rPr>
              <w:t>78</w:t>
            </w:r>
          </w:p>
        </w:tc>
        <w:tc>
          <w:tcPr>
            <w:tcW w:w="960" w:type="dxa"/>
            <w:tcBorders>
              <w:top w:val="nil"/>
              <w:left w:val="nil"/>
              <w:bottom w:val="single" w:sz="12" w:space="0" w:color="auto"/>
              <w:right w:val="nil"/>
            </w:tcBorders>
            <w:shd w:val="clear" w:color="auto" w:fill="auto"/>
            <w:vAlign w:val="center"/>
            <w:hideMark/>
          </w:tcPr>
          <w:p w:rsidR="00ED48E1" w:rsidRPr="003B45A3" w:rsidRDefault="00ED48E1" w:rsidP="00ED48E1">
            <w:pPr>
              <w:spacing w:after="0" w:line="240" w:lineRule="auto"/>
              <w:jc w:val="right"/>
              <w:rPr>
                <w:b/>
                <w:bCs/>
                <w:color w:val="000000"/>
                <w:sz w:val="20"/>
                <w:szCs w:val="20"/>
              </w:rPr>
            </w:pPr>
            <w:r w:rsidRPr="003B45A3">
              <w:rPr>
                <w:b/>
                <w:bCs/>
                <w:color w:val="000000"/>
                <w:sz w:val="20"/>
                <w:szCs w:val="20"/>
              </w:rPr>
              <w:t>78</w:t>
            </w:r>
          </w:p>
        </w:tc>
      </w:tr>
    </w:tbl>
    <w:p w:rsidR="00ED48E1" w:rsidRDefault="00ED48E1" w:rsidP="00ED48E1">
      <w:pPr>
        <w:spacing w:after="100" w:afterAutospacing="1" w:line="240" w:lineRule="auto"/>
        <w:rPr>
          <w:szCs w:val="22"/>
          <w:rtl/>
        </w:rPr>
      </w:pPr>
    </w:p>
    <w:p w:rsidR="00ED48E1" w:rsidRDefault="00ED48E1" w:rsidP="00ED48E1">
      <w:pPr>
        <w:rPr>
          <w:sz w:val="24"/>
          <w:rtl/>
        </w:rPr>
      </w:pPr>
      <w:r>
        <w:rPr>
          <w:sz w:val="24"/>
          <w:rtl/>
        </w:rPr>
        <w:br w:type="page"/>
      </w:r>
    </w:p>
    <w:p w:rsidR="00ED48E1" w:rsidRPr="0022157B" w:rsidRDefault="00ED48E1" w:rsidP="00ED48E1">
      <w:pPr>
        <w:ind w:left="2070" w:right="1350" w:hanging="1350"/>
        <w:rPr>
          <w:b/>
          <w:bCs/>
          <w:sz w:val="24"/>
          <w:rtl/>
        </w:rPr>
      </w:pPr>
      <w:r w:rsidRPr="0022157B">
        <w:rPr>
          <w:rFonts w:hint="cs"/>
          <w:b/>
          <w:bCs/>
          <w:sz w:val="24"/>
          <w:rtl/>
        </w:rPr>
        <w:lastRenderedPageBreak/>
        <w:t>الجدول 3</w:t>
      </w:r>
      <w:r w:rsidRPr="0022157B">
        <w:rPr>
          <w:rFonts w:hint="cs"/>
          <w:b/>
          <w:bCs/>
          <w:sz w:val="24"/>
          <w:rtl/>
        </w:rPr>
        <w:tab/>
      </w:r>
      <w:r w:rsidRPr="0022157B">
        <w:rPr>
          <w:rFonts w:hint="cs"/>
          <w:b/>
          <w:bCs/>
          <w:kern w:val="22"/>
          <w:sz w:val="24"/>
          <w:rtl/>
        </w:rPr>
        <w:t xml:space="preserve">المتطلبات من الموارد من الصندوق الاستئماني الطوعي الخاص </w:t>
      </w:r>
      <w:r w:rsidRPr="0022157B">
        <w:rPr>
          <w:b/>
          <w:bCs/>
          <w:kern w:val="22"/>
          <w:szCs w:val="22"/>
          <w:lang w:val="en-CA"/>
        </w:rPr>
        <w:t>(BE)</w:t>
      </w:r>
      <w:r w:rsidRPr="0022157B">
        <w:rPr>
          <w:rFonts w:hint="cs"/>
          <w:b/>
          <w:bCs/>
          <w:kern w:val="22"/>
          <w:sz w:val="24"/>
          <w:rtl/>
        </w:rPr>
        <w:t xml:space="preserve"> للمساهمات ال</w:t>
      </w:r>
      <w:r>
        <w:rPr>
          <w:rFonts w:hint="cs"/>
          <w:b/>
          <w:bCs/>
          <w:kern w:val="22"/>
          <w:sz w:val="24"/>
          <w:rtl/>
        </w:rPr>
        <w:t>طوعية الإضافية لدعم الأنشطة الم</w:t>
      </w:r>
      <w:r w:rsidRPr="0022157B">
        <w:rPr>
          <w:rFonts w:hint="cs"/>
          <w:b/>
          <w:bCs/>
          <w:kern w:val="22"/>
          <w:sz w:val="24"/>
          <w:rtl/>
        </w:rPr>
        <w:t>ع</w:t>
      </w:r>
      <w:r>
        <w:rPr>
          <w:rFonts w:hint="cs"/>
          <w:b/>
          <w:bCs/>
          <w:kern w:val="22"/>
          <w:sz w:val="24"/>
          <w:rtl/>
        </w:rPr>
        <w:t>ت</w:t>
      </w:r>
      <w:r w:rsidRPr="0022157B">
        <w:rPr>
          <w:rFonts w:hint="cs"/>
          <w:b/>
          <w:bCs/>
          <w:kern w:val="22"/>
          <w:sz w:val="24"/>
          <w:rtl/>
        </w:rPr>
        <w:t>مدة ل</w:t>
      </w:r>
      <w:r>
        <w:rPr>
          <w:rFonts w:hint="cs"/>
          <w:b/>
          <w:bCs/>
          <w:kern w:val="22"/>
          <w:sz w:val="24"/>
          <w:rtl/>
        </w:rPr>
        <w:t>ل</w:t>
      </w:r>
      <w:r w:rsidRPr="0022157B">
        <w:rPr>
          <w:rFonts w:hint="cs"/>
          <w:b/>
          <w:bCs/>
          <w:kern w:val="22"/>
          <w:sz w:val="24"/>
          <w:rtl/>
        </w:rPr>
        <w:t>فترة 2019-2020</w:t>
      </w:r>
    </w:p>
    <w:p w:rsidR="00ED48E1" w:rsidRPr="0022157B" w:rsidRDefault="00ED48E1" w:rsidP="00ED48E1">
      <w:pPr>
        <w:spacing w:after="0"/>
        <w:jc w:val="center"/>
        <w:rPr>
          <w:b/>
          <w:bCs/>
          <w:sz w:val="24"/>
          <w:rtl/>
        </w:rPr>
      </w:pPr>
      <w:r w:rsidRPr="0022157B">
        <w:rPr>
          <w:rFonts w:hint="cs"/>
          <w:b/>
          <w:bCs/>
          <w:sz w:val="24"/>
          <w:rtl/>
        </w:rPr>
        <w:t xml:space="preserve">ألف - </w:t>
      </w:r>
      <w:r w:rsidRPr="0022157B">
        <w:rPr>
          <w:rFonts w:hint="cs"/>
          <w:b/>
          <w:bCs/>
          <w:sz w:val="24"/>
          <w:rtl/>
        </w:rPr>
        <w:tab/>
        <w:t>اتفاقية التنوع البيولوجي</w:t>
      </w:r>
    </w:p>
    <w:p w:rsidR="00ED48E1" w:rsidRPr="00506D9A" w:rsidRDefault="00ED48E1" w:rsidP="00ED48E1">
      <w:pPr>
        <w:jc w:val="center"/>
        <w:rPr>
          <w:i/>
          <w:iCs/>
          <w:sz w:val="24"/>
          <w:rtl/>
        </w:rPr>
      </w:pPr>
      <w:r>
        <w:rPr>
          <w:rFonts w:hint="cs"/>
          <w:i/>
          <w:iCs/>
          <w:sz w:val="24"/>
          <w:rtl/>
        </w:rPr>
        <w:t xml:space="preserve">(بآلاف </w:t>
      </w:r>
      <w:r w:rsidRPr="00506D9A">
        <w:rPr>
          <w:rFonts w:hint="cs"/>
          <w:i/>
          <w:iCs/>
          <w:sz w:val="24"/>
          <w:rtl/>
        </w:rPr>
        <w:t xml:space="preserve">دولارات </w:t>
      </w:r>
      <w:r>
        <w:rPr>
          <w:rFonts w:hint="cs"/>
          <w:i/>
          <w:iCs/>
          <w:sz w:val="24"/>
          <w:rtl/>
        </w:rPr>
        <w:t>الولايات المتحدة</w:t>
      </w:r>
      <w:r w:rsidRPr="00506D9A">
        <w:rPr>
          <w:rFonts w:hint="cs"/>
          <w:i/>
          <w:iCs/>
          <w:sz w:val="24"/>
          <w:rtl/>
        </w:rPr>
        <w:t>)</w:t>
      </w:r>
    </w:p>
    <w:tbl>
      <w:tblPr>
        <w:bidiVisual/>
        <w:tblW w:w="6972" w:type="dxa"/>
        <w:jc w:val="center"/>
        <w:tblLook w:val="04A0"/>
      </w:tblPr>
      <w:tblGrid>
        <w:gridCol w:w="5556"/>
        <w:gridCol w:w="1416"/>
      </w:tblGrid>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اجتماعات الخبراء</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240" w:lineRule="auto"/>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المادة 8(ي) والأحكام المتصلة بها</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Pr>
                <w:color w:val="000000"/>
                <w:sz w:val="20"/>
                <w:szCs w:val="20"/>
              </w:rPr>
              <w:t xml:space="preserve">                 </w:t>
            </w:r>
            <w:r w:rsidRPr="001751E8">
              <w:rPr>
                <w:color w:val="000000"/>
                <w:sz w:val="20"/>
                <w:szCs w:val="20"/>
              </w:rPr>
              <w:t xml:space="preserve">72.5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w:t>
            </w:r>
            <w:r>
              <w:rPr>
                <w:color w:val="000000"/>
                <w:sz w:val="20"/>
                <w:szCs w:val="20"/>
              </w:rPr>
              <w:t xml:space="preserve">       </w:t>
            </w:r>
            <w:r w:rsidRPr="001751E8">
              <w:rPr>
                <w:color w:val="000000"/>
                <w:sz w:val="20"/>
                <w:szCs w:val="20"/>
              </w:rPr>
              <w:t xml:space="preserve">165.5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آلية غرفة تبادل المعلومات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Pr>
                <w:color w:val="000000"/>
                <w:sz w:val="20"/>
                <w:szCs w:val="20"/>
              </w:rPr>
              <w:t xml:space="preserve">  </w:t>
            </w:r>
            <w:r w:rsidRPr="001751E8">
              <w:rPr>
                <w:color w:val="000000"/>
                <w:sz w:val="20"/>
                <w:szCs w:val="20"/>
              </w:rPr>
              <w:t xml:space="preserve">       </w:t>
            </w:r>
            <w:r>
              <w:rPr>
                <w:color w:val="000000"/>
                <w:sz w:val="20"/>
                <w:szCs w:val="20"/>
              </w:rPr>
              <w:t xml:space="preserve">       </w:t>
            </w:r>
            <w:r w:rsidRPr="001751E8">
              <w:rPr>
                <w:color w:val="000000"/>
                <w:sz w:val="20"/>
                <w:szCs w:val="20"/>
              </w:rPr>
              <w:t xml:space="preserve"> 55.0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Pr>
                <w:color w:val="000000"/>
                <w:sz w:val="20"/>
                <w:szCs w:val="20"/>
              </w:rPr>
              <w:t xml:space="preserve">               </w:t>
            </w:r>
            <w:r w:rsidRPr="001751E8">
              <w:rPr>
                <w:color w:val="000000"/>
                <w:sz w:val="20"/>
                <w:szCs w:val="20"/>
              </w:rPr>
              <w:t xml:space="preserve">178.8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معلومات التسلسل الرقمي</w:t>
            </w:r>
            <w:r w:rsidRPr="00752D92">
              <w:rPr>
                <w:color w:val="000000"/>
                <w:sz w:val="20"/>
                <w:szCs w:val="22"/>
              </w:rPr>
              <w:t xml:space="preserve"> </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w:t>
            </w:r>
            <w:r>
              <w:rPr>
                <w:color w:val="000000"/>
                <w:sz w:val="20"/>
                <w:szCs w:val="20"/>
              </w:rPr>
              <w:t xml:space="preserve"> </w:t>
            </w:r>
            <w:r w:rsidRPr="001751E8">
              <w:rPr>
                <w:color w:val="000000"/>
                <w:sz w:val="20"/>
                <w:szCs w:val="20"/>
              </w:rPr>
              <w:t xml:space="preserve"> 73.5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استعادة النظم الإيكولوجية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Pr>
                <w:color w:val="000000"/>
                <w:sz w:val="20"/>
                <w:szCs w:val="20"/>
              </w:rPr>
              <w:t xml:space="preserve">               </w:t>
            </w:r>
            <w:r w:rsidRPr="001751E8">
              <w:rPr>
                <w:color w:val="000000"/>
                <w:sz w:val="20"/>
                <w:szCs w:val="20"/>
              </w:rPr>
              <w:t xml:space="preserve">384.0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53.5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142.8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فريق رفيع المستوى</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الأنواع الغريبة الغازية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136.8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879.5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122.3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w:t>
            </w:r>
            <w:r w:rsidRPr="00752D92">
              <w:rPr>
                <w:rFonts w:hint="cs"/>
                <w:color w:val="000000"/>
                <w:sz w:val="20"/>
                <w:szCs w:val="22"/>
                <w:rtl/>
              </w:rPr>
              <w:t>ما بعد عام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62.5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آليات الاستعراض</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90.0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الإدارة المستدامة للأحياء البرية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212.0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البيولوجيا التركيبية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71.5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 التقني والعلمي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69.3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المجموع الفرعي</w:t>
            </w:r>
          </w:p>
        </w:tc>
        <w:tc>
          <w:tcPr>
            <w:tcW w:w="1416" w:type="dxa"/>
            <w:tcBorders>
              <w:top w:val="single" w:sz="4" w:space="0" w:color="auto"/>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w:t>
            </w:r>
            <w:r>
              <w:rPr>
                <w:color w:val="000000"/>
                <w:sz w:val="20"/>
                <w:szCs w:val="20"/>
              </w:rPr>
              <w:t xml:space="preserve"> </w:t>
            </w:r>
            <w:r w:rsidRPr="001751E8">
              <w:rPr>
                <w:color w:val="000000"/>
                <w:sz w:val="20"/>
                <w:szCs w:val="20"/>
              </w:rPr>
              <w:t xml:space="preserve">869.3 </w:t>
            </w:r>
          </w:p>
        </w:tc>
      </w:tr>
      <w:tr w:rsidR="00ED48E1" w:rsidRPr="001751E8" w:rsidTr="00ED48E1">
        <w:trPr>
          <w:trHeight w:val="161"/>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حلقات عمل لبناء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المادة 8(ي) والأحكام المتصلة بها</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435.5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تغير المناخ</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684.0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618.3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الآلي</w:t>
            </w:r>
            <w:r>
              <w:rPr>
                <w:rFonts w:hint="cs"/>
                <w:color w:val="000000"/>
                <w:sz w:val="20"/>
                <w:szCs w:val="22"/>
                <w:rtl/>
              </w:rPr>
              <w:t>ة</w:t>
            </w:r>
            <w:r w:rsidRPr="00752D92">
              <w:rPr>
                <w:rFonts w:hint="cs"/>
                <w:color w:val="000000"/>
                <w:sz w:val="20"/>
                <w:szCs w:val="22"/>
                <w:rtl/>
              </w:rPr>
              <w:t xml:space="preserve"> المالية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156.3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546.0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596.0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86.3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الإدارة المستدامة للأحياء البرية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407.0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 التقني والعلمي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265.0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المجموع الفرعي</w:t>
            </w:r>
          </w:p>
        </w:tc>
        <w:tc>
          <w:tcPr>
            <w:tcW w:w="1416" w:type="dxa"/>
            <w:tcBorders>
              <w:top w:val="single" w:sz="4" w:space="0" w:color="auto"/>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w:t>
            </w:r>
            <w:r>
              <w:rPr>
                <w:color w:val="000000"/>
                <w:sz w:val="20"/>
                <w:szCs w:val="20"/>
              </w:rPr>
              <w:t xml:space="preserve"> </w:t>
            </w:r>
            <w:r w:rsidRPr="001751E8">
              <w:rPr>
                <w:color w:val="000000"/>
                <w:sz w:val="20"/>
                <w:szCs w:val="20"/>
              </w:rPr>
              <w:t xml:space="preserve">904.3 </w:t>
            </w:r>
          </w:p>
        </w:tc>
      </w:tr>
      <w:tr w:rsidR="00ED48E1" w:rsidRPr="001751E8" w:rsidTr="00ED48E1">
        <w:trPr>
          <w:trHeight w:val="107"/>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lastRenderedPageBreak/>
              <w:t>حلقات عمل أخرى</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تغير المناخ</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451.5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96.0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791.0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238.0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w:t>
            </w:r>
            <w:r w:rsidRPr="00752D92">
              <w:rPr>
                <w:rFonts w:hint="cs"/>
                <w:color w:val="000000"/>
                <w:sz w:val="20"/>
                <w:szCs w:val="22"/>
                <w:rtl/>
              </w:rPr>
              <w:t>ما بعد</w:t>
            </w:r>
            <w:r>
              <w:rPr>
                <w:rFonts w:hint="cs"/>
                <w:color w:val="000000"/>
                <w:sz w:val="20"/>
                <w:szCs w:val="22"/>
                <w:rtl/>
              </w:rPr>
              <w:t xml:space="preserve"> عام</w:t>
            </w:r>
            <w:r w:rsidRPr="00752D92">
              <w:rPr>
                <w:rFonts w:hint="cs"/>
                <w:color w:val="000000"/>
                <w:sz w:val="20"/>
                <w:szCs w:val="22"/>
                <w:rtl/>
              </w:rPr>
              <w:t xml:space="preserve">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w:t>
            </w:r>
            <w:r>
              <w:rPr>
                <w:color w:val="000000"/>
                <w:sz w:val="20"/>
                <w:szCs w:val="20"/>
              </w:rPr>
              <w:t xml:space="preserve"> </w:t>
            </w:r>
            <w:r w:rsidRPr="001751E8">
              <w:rPr>
                <w:color w:val="000000"/>
                <w:sz w:val="20"/>
                <w:szCs w:val="20"/>
              </w:rPr>
              <w:t xml:space="preserve">720.0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المناطق المحمية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165.0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 التقني والعلمي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360.0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w:t>
            </w:r>
            <w:r>
              <w:rPr>
                <w:color w:val="000000"/>
                <w:sz w:val="20"/>
                <w:szCs w:val="20"/>
              </w:rPr>
              <w:t xml:space="preserve"> </w:t>
            </w:r>
            <w:r w:rsidRPr="001751E8">
              <w:rPr>
                <w:color w:val="000000"/>
                <w:sz w:val="20"/>
                <w:szCs w:val="20"/>
              </w:rPr>
              <w:t xml:space="preserve">036.5 </w:t>
            </w:r>
          </w:p>
        </w:tc>
      </w:tr>
      <w:tr w:rsidR="00ED48E1" w:rsidRPr="001751E8" w:rsidTr="00ED48E1">
        <w:trPr>
          <w:trHeight w:val="161"/>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الموظفون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sidRPr="00752D92">
              <w:rPr>
                <w:rFonts w:hint="cs"/>
                <w:color w:val="000000"/>
                <w:sz w:val="20"/>
                <w:szCs w:val="22"/>
                <w:rtl/>
              </w:rPr>
              <w:t xml:space="preserve">التعاون وأوجه التآزر </w:t>
            </w:r>
            <w:r w:rsidRPr="00752D92">
              <w:rPr>
                <w:color w:val="000000"/>
                <w:sz w:val="20"/>
                <w:szCs w:val="22"/>
              </w:rPr>
              <w:t>(P-3)</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327.0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sidRPr="00752D92">
              <w:rPr>
                <w:rFonts w:hint="cs"/>
                <w:color w:val="000000"/>
                <w:sz w:val="20"/>
                <w:szCs w:val="22"/>
                <w:rtl/>
              </w:rPr>
              <w:t xml:space="preserve">مسؤول علمي - </w:t>
            </w:r>
            <w:r w:rsidRPr="00752D92">
              <w:rPr>
                <w:color w:val="000000"/>
                <w:sz w:val="20"/>
                <w:szCs w:val="22"/>
              </w:rPr>
              <w:t>(P-4)</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404.0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sidRPr="00752D92">
              <w:rPr>
                <w:rFonts w:hint="cs"/>
                <w:color w:val="000000"/>
                <w:sz w:val="20"/>
                <w:szCs w:val="22"/>
                <w:rtl/>
              </w:rPr>
              <w:t>استعادة النظم الإيكولوجية</w:t>
            </w:r>
            <w:r>
              <w:rPr>
                <w:rFonts w:hint="cs"/>
                <w:color w:val="000000"/>
                <w:sz w:val="20"/>
                <w:szCs w:val="22"/>
                <w:rtl/>
              </w:rPr>
              <w:t xml:space="preserve"> للغابات</w:t>
            </w:r>
            <w:r w:rsidRPr="00752D92">
              <w:rPr>
                <w:rFonts w:hint="cs"/>
                <w:color w:val="000000"/>
                <w:sz w:val="20"/>
                <w:szCs w:val="22"/>
                <w:rtl/>
              </w:rPr>
              <w:t xml:space="preserve"> </w:t>
            </w:r>
            <w:r w:rsidRPr="00752D92">
              <w:rPr>
                <w:color w:val="000000"/>
                <w:sz w:val="20"/>
                <w:szCs w:val="22"/>
              </w:rPr>
              <w:t>(P-3)</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327.0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 xml:space="preserve">مسؤول عن الصحة </w:t>
            </w:r>
            <w:r w:rsidRPr="00752D92">
              <w:rPr>
                <w:color w:val="000000"/>
                <w:sz w:val="20"/>
                <w:szCs w:val="22"/>
              </w:rPr>
              <w:t>(P-3)</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327.0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sidRPr="00752D92">
              <w:rPr>
                <w:rFonts w:hint="cs"/>
                <w:color w:val="000000"/>
                <w:sz w:val="20"/>
                <w:szCs w:val="22"/>
                <w:rtl/>
              </w:rPr>
              <w:t xml:space="preserve">مساعد محتوي الويب </w:t>
            </w:r>
            <w:r w:rsidRPr="00752D92">
              <w:rPr>
                <w:color w:val="000000"/>
                <w:sz w:val="20"/>
                <w:szCs w:val="22"/>
              </w:rPr>
              <w:t>(G-7)</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148.0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w:t>
            </w:r>
            <w:r>
              <w:rPr>
                <w:color w:val="000000"/>
                <w:sz w:val="20"/>
                <w:szCs w:val="20"/>
              </w:rPr>
              <w:t xml:space="preserve"> </w:t>
            </w:r>
            <w:r w:rsidRPr="001751E8">
              <w:rPr>
                <w:color w:val="000000"/>
                <w:sz w:val="20"/>
                <w:szCs w:val="20"/>
              </w:rPr>
              <w:t xml:space="preserve">533.0 </w:t>
            </w:r>
          </w:p>
        </w:tc>
      </w:tr>
      <w:tr w:rsidR="00ED48E1" w:rsidRPr="001751E8" w:rsidTr="00ED48E1">
        <w:trPr>
          <w:trHeight w:val="134"/>
          <w:jc w:val="center"/>
        </w:trPr>
        <w:tc>
          <w:tcPr>
            <w:tcW w:w="5556" w:type="dxa"/>
            <w:tcBorders>
              <w:top w:val="nil"/>
              <w:left w:val="nil"/>
              <w:bottom w:val="nil"/>
              <w:right w:val="nil"/>
            </w:tcBorders>
            <w:shd w:val="clear" w:color="auto" w:fill="auto"/>
            <w:noWrap/>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الخبراء الاستشاريون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المادة 8(ي) والأحكام المتصلة بها</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571.0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تغير المناخ</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153.0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استراتيجية الاتصال</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التعاون</w:t>
            </w:r>
            <w:r w:rsidRPr="00752D92">
              <w:rPr>
                <w:color w:val="000000"/>
                <w:sz w:val="20"/>
                <w:szCs w:val="22"/>
              </w:rPr>
              <w:t xml:space="preserve"> </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715.5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معلومات التسلسل الرقمي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استعادة النظم الإيكولوجية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الآلي</w:t>
            </w:r>
            <w:r>
              <w:rPr>
                <w:rFonts w:hint="cs"/>
                <w:color w:val="000000"/>
                <w:sz w:val="20"/>
                <w:szCs w:val="22"/>
                <w:rtl/>
              </w:rPr>
              <w:t>ة</w:t>
            </w:r>
            <w:r w:rsidRPr="00752D92">
              <w:rPr>
                <w:rFonts w:hint="cs"/>
                <w:color w:val="000000"/>
                <w:sz w:val="20"/>
                <w:szCs w:val="22"/>
                <w:rtl/>
              </w:rPr>
              <w:t xml:space="preserve"> المالية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77.5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التوقعات العالمية للتنوع البيولوجي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910.0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الأنواع الغريبة الغازية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إدارة الم</w:t>
            </w:r>
            <w:r>
              <w:rPr>
                <w:rFonts w:hint="cs"/>
                <w:color w:val="000000"/>
                <w:sz w:val="20"/>
                <w:szCs w:val="22"/>
                <w:rtl/>
              </w:rPr>
              <w:t>عارف</w:t>
            </w:r>
            <w:r w:rsidRPr="00752D92">
              <w:rPr>
                <w:color w:val="000000"/>
                <w:sz w:val="20"/>
                <w:szCs w:val="22"/>
              </w:rPr>
              <w:t xml:space="preserve"> </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84.0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544.0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295.5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الملقحات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w:t>
            </w:r>
            <w:r w:rsidRPr="00752D92">
              <w:rPr>
                <w:rFonts w:hint="cs"/>
                <w:color w:val="000000"/>
                <w:sz w:val="20"/>
                <w:szCs w:val="22"/>
                <w:rtl/>
              </w:rPr>
              <w:t>ما بعد</w:t>
            </w:r>
            <w:r>
              <w:rPr>
                <w:rFonts w:hint="cs"/>
                <w:color w:val="000000"/>
                <w:sz w:val="20"/>
                <w:szCs w:val="22"/>
                <w:rtl/>
              </w:rPr>
              <w:t xml:space="preserve"> عام</w:t>
            </w:r>
            <w:r w:rsidRPr="00752D92">
              <w:rPr>
                <w:rFonts w:hint="cs"/>
                <w:color w:val="000000"/>
                <w:sz w:val="20"/>
                <w:szCs w:val="22"/>
                <w:rtl/>
              </w:rPr>
              <w:t xml:space="preserve">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586.0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lastRenderedPageBreak/>
              <w:t>المناطق المحمية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167.5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حشد الموارد</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آليات الاستعراض</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42.0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الخطة الاستراتيجية 2011-2020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48.0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الإدارة المستدامة للأحياء البرية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140.0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sidRPr="00752D92">
              <w:rPr>
                <w:rFonts w:hint="cs"/>
                <w:color w:val="000000"/>
                <w:sz w:val="20"/>
                <w:szCs w:val="22"/>
                <w:rtl/>
              </w:rPr>
              <w:t>البيولوجيا التركيبية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78.0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Pr>
                <w:rFonts w:hint="cs"/>
                <w:color w:val="000000"/>
                <w:sz w:val="20"/>
                <w:szCs w:val="22"/>
                <w:rtl/>
              </w:rPr>
              <w:t>التعاون التقني والعلمي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340.0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w:t>
            </w:r>
            <w:r>
              <w:rPr>
                <w:color w:val="000000"/>
                <w:sz w:val="20"/>
                <w:szCs w:val="20"/>
              </w:rPr>
              <w:t xml:space="preserve"> </w:t>
            </w:r>
            <w:r w:rsidRPr="001751E8">
              <w:rPr>
                <w:color w:val="000000"/>
                <w:sz w:val="20"/>
                <w:szCs w:val="20"/>
              </w:rPr>
              <w:t xml:space="preserve">707.0 </w:t>
            </w:r>
          </w:p>
        </w:tc>
      </w:tr>
      <w:tr w:rsidR="00ED48E1" w:rsidRPr="001751E8" w:rsidTr="00ED48E1">
        <w:trPr>
          <w:trHeight w:val="179"/>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سفر الموظفين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تغير المناخ</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8.5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42.0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استعادة النظم الإيكولوجية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38.0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لما بعد عام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المناطق المحمية</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324.5 </w:t>
            </w:r>
          </w:p>
        </w:tc>
      </w:tr>
      <w:tr w:rsidR="00ED48E1" w:rsidRPr="001751E8" w:rsidTr="00ED48E1">
        <w:trPr>
          <w:trHeight w:val="107"/>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12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612A17" w:rsidRDefault="00ED48E1" w:rsidP="00ED48E1">
            <w:pPr>
              <w:spacing w:after="0" w:line="240" w:lineRule="auto"/>
              <w:rPr>
                <w:b/>
                <w:bCs/>
                <w:color w:val="000000"/>
                <w:sz w:val="20"/>
                <w:szCs w:val="22"/>
              </w:rPr>
            </w:pPr>
            <w:r w:rsidRPr="00612A17">
              <w:rPr>
                <w:rFonts w:hint="cs"/>
                <w:b/>
                <w:bCs/>
                <w:color w:val="000000"/>
                <w:sz w:val="20"/>
                <w:szCs w:val="22"/>
                <w:rtl/>
              </w:rPr>
              <w:t>إعداد/ نشر التقارير</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تغير المناخ</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7.0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التوقعات العالمية للتنوع البيولوجي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170.0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إدارة المعارف</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لما بعد عام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المناطق المحمية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حشد الموارد</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التعاون التقني والعلمي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25.0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431.5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sz w:val="20"/>
                <w:szCs w:val="20"/>
              </w:rPr>
            </w:pPr>
          </w:p>
        </w:tc>
      </w:tr>
      <w:tr w:rsidR="00ED48E1" w:rsidRPr="001751E8" w:rsidTr="00ED48E1">
        <w:trPr>
          <w:trHeight w:val="264"/>
          <w:jc w:val="center"/>
        </w:trPr>
        <w:tc>
          <w:tcPr>
            <w:tcW w:w="5556" w:type="dxa"/>
            <w:tcBorders>
              <w:top w:val="nil"/>
              <w:left w:val="nil"/>
              <w:bottom w:val="nil"/>
              <w:right w:val="nil"/>
            </w:tcBorders>
            <w:shd w:val="clear" w:color="auto" w:fill="auto"/>
            <w:noWrap/>
            <w:vAlign w:val="bottom"/>
            <w:hideMark/>
          </w:tcPr>
          <w:p w:rsidR="00ED48E1" w:rsidRPr="00612A17" w:rsidRDefault="00ED48E1" w:rsidP="00ED48E1">
            <w:pPr>
              <w:keepNext/>
              <w:spacing w:after="0" w:line="240" w:lineRule="auto"/>
              <w:rPr>
                <w:b/>
                <w:bCs/>
                <w:color w:val="000000"/>
                <w:sz w:val="20"/>
                <w:szCs w:val="22"/>
              </w:rPr>
            </w:pPr>
            <w:r w:rsidRPr="00612A17">
              <w:rPr>
                <w:rFonts w:hint="cs"/>
                <w:b/>
                <w:bCs/>
                <w:color w:val="000000"/>
                <w:sz w:val="20"/>
                <w:szCs w:val="22"/>
                <w:rtl/>
              </w:rPr>
              <w:lastRenderedPageBreak/>
              <w:t>المنشورات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keepNext/>
              <w:spacing w:after="40" w:line="240" w:lineRule="auto"/>
              <w:jc w:val="center"/>
              <w:rPr>
                <w:b/>
                <w:bCs/>
                <w:color w:val="000000"/>
                <w:sz w:val="20"/>
                <w:szCs w:val="20"/>
                <w:u w:val="single"/>
              </w:rPr>
            </w:pP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Pr>
                <w:rFonts w:hint="cs"/>
                <w:color w:val="000000"/>
                <w:sz w:val="20"/>
                <w:szCs w:val="22"/>
                <w:rtl/>
              </w:rPr>
              <w:t>المادة 8(ي) والأحكام المتصلة بها</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بناء القدرات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التعاون</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التوقعات العالمية للتنوع البيولوجي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الاعتبارات الجنسانية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3.0 </w:t>
            </w:r>
          </w:p>
        </w:tc>
      </w:tr>
      <w:tr w:rsidR="00ED48E1" w:rsidRPr="001751E8" w:rsidTr="00ED48E1">
        <w:trPr>
          <w:trHeight w:val="288"/>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الصحة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إدارة المعارف</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100.0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التعميم</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118.0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التنوع البيولوجي البحري</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الملقحات</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50.0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الإطار لما بعد عام 2020</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15.0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المناطق المحمية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حشد الموارد</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3.0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tl/>
              </w:rPr>
            </w:pPr>
            <w:r>
              <w:rPr>
                <w:rFonts w:hint="cs"/>
                <w:color w:val="000000"/>
                <w:sz w:val="20"/>
                <w:szCs w:val="22"/>
                <w:rtl/>
              </w:rPr>
              <w:t>الإدارة المستدامة للأحياء البرية</w:t>
            </w: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65.0 </w:t>
            </w:r>
          </w:p>
        </w:tc>
      </w:tr>
      <w:tr w:rsidR="00ED48E1" w:rsidRPr="001751E8" w:rsidTr="00ED48E1">
        <w:trPr>
          <w:trHeight w:val="264"/>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التعاون التقني والعلمي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20.0 </w:t>
            </w:r>
          </w:p>
        </w:tc>
      </w:tr>
      <w:tr w:rsidR="00ED48E1" w:rsidRPr="001751E8" w:rsidTr="00ED48E1">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ED48E1" w:rsidRPr="00752D92" w:rsidRDefault="00ED48E1" w:rsidP="00ED48E1">
            <w:pPr>
              <w:spacing w:after="0" w:line="240" w:lineRule="auto"/>
              <w:rPr>
                <w:color w:val="000000"/>
                <w:sz w:val="20"/>
                <w:szCs w:val="22"/>
              </w:rPr>
            </w:pPr>
            <w:r>
              <w:rPr>
                <w:rFonts w:hint="cs"/>
                <w:color w:val="000000"/>
                <w:sz w:val="20"/>
                <w:szCs w:val="22"/>
                <w:rtl/>
              </w:rPr>
              <w:t>المجموع الفرعي</w:t>
            </w:r>
          </w:p>
        </w:tc>
        <w:tc>
          <w:tcPr>
            <w:tcW w:w="1416" w:type="dxa"/>
            <w:tcBorders>
              <w:top w:val="nil"/>
              <w:left w:val="nil"/>
              <w:bottom w:val="single" w:sz="4" w:space="0" w:color="auto"/>
              <w:right w:val="nil"/>
            </w:tcBorders>
            <w:shd w:val="clear" w:color="auto" w:fill="auto"/>
            <w:noWrap/>
            <w:vAlign w:val="bottom"/>
            <w:hideMark/>
          </w:tcPr>
          <w:p w:rsidR="00ED48E1" w:rsidRPr="001751E8" w:rsidRDefault="00ED48E1" w:rsidP="00ED48E1">
            <w:pPr>
              <w:spacing w:after="40" w:line="240" w:lineRule="auto"/>
              <w:jc w:val="center"/>
              <w:rPr>
                <w:color w:val="000000"/>
                <w:sz w:val="20"/>
                <w:szCs w:val="20"/>
              </w:rPr>
            </w:pPr>
            <w:r w:rsidRPr="001751E8">
              <w:rPr>
                <w:color w:val="000000"/>
                <w:sz w:val="20"/>
                <w:szCs w:val="20"/>
              </w:rPr>
              <w:t xml:space="preserve">               669.0 </w:t>
            </w:r>
          </w:p>
        </w:tc>
      </w:tr>
      <w:tr w:rsidR="00ED48E1" w:rsidRPr="001751E8" w:rsidTr="00ED48E1">
        <w:trPr>
          <w:trHeight w:val="143"/>
          <w:jc w:val="center"/>
        </w:trPr>
        <w:tc>
          <w:tcPr>
            <w:tcW w:w="5556" w:type="dxa"/>
            <w:tcBorders>
              <w:top w:val="nil"/>
              <w:left w:val="nil"/>
              <w:bottom w:val="nil"/>
              <w:right w:val="nil"/>
            </w:tcBorders>
            <w:shd w:val="clear" w:color="auto" w:fill="auto"/>
            <w:vAlign w:val="bottom"/>
            <w:hideMark/>
          </w:tcPr>
          <w:p w:rsidR="00ED48E1" w:rsidRPr="00752D92" w:rsidRDefault="00ED48E1" w:rsidP="00ED48E1">
            <w:pPr>
              <w:spacing w:after="0" w:line="120" w:lineRule="auto"/>
              <w:rPr>
                <w:color w:val="000000"/>
                <w:sz w:val="20"/>
                <w:szCs w:val="22"/>
              </w:rPr>
            </w:pPr>
          </w:p>
        </w:tc>
        <w:tc>
          <w:tcPr>
            <w:tcW w:w="1416" w:type="dxa"/>
            <w:tcBorders>
              <w:top w:val="nil"/>
              <w:left w:val="nil"/>
              <w:bottom w:val="nil"/>
              <w:right w:val="nil"/>
            </w:tcBorders>
            <w:shd w:val="clear" w:color="auto" w:fill="auto"/>
            <w:noWrap/>
            <w:vAlign w:val="bottom"/>
            <w:hideMark/>
          </w:tcPr>
          <w:p w:rsidR="00ED48E1" w:rsidRPr="001751E8" w:rsidRDefault="00ED48E1" w:rsidP="00ED48E1">
            <w:pPr>
              <w:spacing w:after="0" w:line="120" w:lineRule="auto"/>
              <w:jc w:val="center"/>
              <w:rPr>
                <w:sz w:val="20"/>
                <w:szCs w:val="20"/>
              </w:rPr>
            </w:pPr>
          </w:p>
        </w:tc>
      </w:tr>
      <w:tr w:rsidR="00ED48E1" w:rsidRPr="001751E8" w:rsidTr="00ED48E1">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ED48E1" w:rsidRPr="00752D92" w:rsidRDefault="00ED48E1" w:rsidP="00ED48E1">
            <w:pPr>
              <w:spacing w:after="0" w:line="240" w:lineRule="auto"/>
              <w:rPr>
                <w:b/>
                <w:bCs/>
                <w:color w:val="000000"/>
                <w:sz w:val="20"/>
                <w:szCs w:val="22"/>
              </w:rPr>
            </w:pPr>
            <w:r>
              <w:rPr>
                <w:rFonts w:hint="cs"/>
                <w:b/>
                <w:bCs/>
                <w:color w:val="000000"/>
                <w:sz w:val="20"/>
                <w:szCs w:val="22"/>
                <w:rtl/>
              </w:rPr>
              <w:t>المجموع</w:t>
            </w:r>
          </w:p>
        </w:tc>
        <w:tc>
          <w:tcPr>
            <w:tcW w:w="1416" w:type="dxa"/>
            <w:tcBorders>
              <w:top w:val="single" w:sz="4" w:space="0" w:color="auto"/>
              <w:left w:val="nil"/>
              <w:bottom w:val="single" w:sz="8" w:space="0" w:color="auto"/>
              <w:right w:val="nil"/>
            </w:tcBorders>
            <w:shd w:val="clear" w:color="auto" w:fill="auto"/>
            <w:noWrap/>
            <w:vAlign w:val="bottom"/>
            <w:hideMark/>
          </w:tcPr>
          <w:p w:rsidR="00ED48E1" w:rsidRPr="001751E8" w:rsidRDefault="00ED48E1" w:rsidP="00ED48E1">
            <w:pPr>
              <w:spacing w:after="40" w:line="240" w:lineRule="auto"/>
              <w:jc w:val="center"/>
              <w:rPr>
                <w:b/>
                <w:bCs/>
                <w:color w:val="000000"/>
                <w:sz w:val="20"/>
                <w:szCs w:val="20"/>
              </w:rPr>
            </w:pPr>
            <w:r w:rsidRPr="001751E8">
              <w:rPr>
                <w:b/>
                <w:bCs/>
                <w:color w:val="000000"/>
                <w:sz w:val="20"/>
                <w:szCs w:val="20"/>
              </w:rPr>
              <w:t xml:space="preserve">          19</w:t>
            </w:r>
            <w:r>
              <w:rPr>
                <w:b/>
                <w:bCs/>
                <w:color w:val="000000"/>
                <w:sz w:val="20"/>
                <w:szCs w:val="20"/>
              </w:rPr>
              <w:t xml:space="preserve"> </w:t>
            </w:r>
            <w:r w:rsidRPr="001751E8">
              <w:rPr>
                <w:b/>
                <w:bCs/>
                <w:color w:val="000000"/>
                <w:sz w:val="20"/>
                <w:szCs w:val="20"/>
              </w:rPr>
              <w:t xml:space="preserve">475.0 </w:t>
            </w:r>
          </w:p>
        </w:tc>
      </w:tr>
      <w:tr w:rsidR="00ED48E1" w:rsidRPr="00C6366D" w:rsidTr="00ED48E1">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ED48E1" w:rsidRPr="000E1016" w:rsidRDefault="00ED48E1" w:rsidP="00ED48E1">
            <w:pPr>
              <w:spacing w:after="0" w:line="240" w:lineRule="auto"/>
              <w:rPr>
                <w:b/>
                <w:bCs/>
                <w:color w:val="000000"/>
                <w:sz w:val="20"/>
                <w:szCs w:val="22"/>
              </w:rPr>
            </w:pPr>
            <w:r w:rsidRPr="000E1016">
              <w:rPr>
                <w:rFonts w:hint="cs"/>
                <w:b/>
                <w:bCs/>
                <w:color w:val="000000"/>
                <w:sz w:val="20"/>
                <w:szCs w:val="22"/>
                <w:rtl/>
              </w:rPr>
              <w:t>تكاليف دعم البرامج (13%)</w:t>
            </w:r>
          </w:p>
        </w:tc>
        <w:tc>
          <w:tcPr>
            <w:tcW w:w="1416" w:type="dxa"/>
            <w:tcBorders>
              <w:top w:val="single" w:sz="4" w:space="0" w:color="auto"/>
              <w:left w:val="nil"/>
              <w:bottom w:val="single" w:sz="8" w:space="0" w:color="auto"/>
              <w:right w:val="nil"/>
            </w:tcBorders>
            <w:shd w:val="clear" w:color="auto" w:fill="auto"/>
            <w:noWrap/>
            <w:vAlign w:val="bottom"/>
            <w:hideMark/>
          </w:tcPr>
          <w:p w:rsidR="00ED48E1" w:rsidRPr="000E1016" w:rsidRDefault="00ED48E1" w:rsidP="00ED48E1">
            <w:pPr>
              <w:spacing w:after="40" w:line="240" w:lineRule="auto"/>
              <w:jc w:val="center"/>
              <w:rPr>
                <w:b/>
                <w:bCs/>
                <w:color w:val="000000"/>
                <w:sz w:val="20"/>
                <w:szCs w:val="20"/>
              </w:rPr>
            </w:pPr>
            <w:r w:rsidRPr="000E1016">
              <w:rPr>
                <w:b/>
                <w:bCs/>
                <w:color w:val="000000"/>
                <w:sz w:val="20"/>
                <w:szCs w:val="20"/>
              </w:rPr>
              <w:t xml:space="preserve">            2 531.8 </w:t>
            </w:r>
          </w:p>
        </w:tc>
      </w:tr>
      <w:tr w:rsidR="00ED48E1" w:rsidRPr="00C6366D" w:rsidTr="00ED48E1">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ED48E1" w:rsidRPr="00752D92" w:rsidRDefault="00ED48E1" w:rsidP="00ED48E1">
            <w:pPr>
              <w:spacing w:after="0" w:line="240" w:lineRule="auto"/>
              <w:rPr>
                <w:b/>
                <w:bCs/>
                <w:color w:val="000000"/>
                <w:sz w:val="20"/>
                <w:szCs w:val="22"/>
              </w:rPr>
            </w:pPr>
            <w:r>
              <w:rPr>
                <w:rFonts w:hint="cs"/>
                <w:b/>
                <w:bCs/>
                <w:color w:val="000000"/>
                <w:sz w:val="20"/>
                <w:szCs w:val="22"/>
                <w:rtl/>
              </w:rPr>
              <w:t>المجموع، اتفاقية التنوع البيولوجي</w:t>
            </w:r>
          </w:p>
        </w:tc>
        <w:tc>
          <w:tcPr>
            <w:tcW w:w="1416" w:type="dxa"/>
            <w:tcBorders>
              <w:top w:val="single" w:sz="4" w:space="0" w:color="auto"/>
              <w:left w:val="nil"/>
              <w:bottom w:val="single" w:sz="8" w:space="0" w:color="auto"/>
              <w:right w:val="nil"/>
            </w:tcBorders>
            <w:shd w:val="clear" w:color="auto" w:fill="auto"/>
            <w:noWrap/>
            <w:vAlign w:val="bottom"/>
            <w:hideMark/>
          </w:tcPr>
          <w:p w:rsidR="00ED48E1" w:rsidRPr="00C6366D" w:rsidRDefault="00ED48E1" w:rsidP="00ED48E1">
            <w:pPr>
              <w:spacing w:after="40" w:line="240" w:lineRule="auto"/>
              <w:jc w:val="center"/>
              <w:rPr>
                <w:b/>
                <w:bCs/>
                <w:color w:val="000000"/>
                <w:sz w:val="20"/>
                <w:szCs w:val="20"/>
              </w:rPr>
            </w:pPr>
            <w:r w:rsidRPr="00C6366D">
              <w:rPr>
                <w:b/>
                <w:bCs/>
                <w:color w:val="000000"/>
                <w:sz w:val="20"/>
                <w:szCs w:val="20"/>
              </w:rPr>
              <w:t xml:space="preserve">          22</w:t>
            </w:r>
            <w:r>
              <w:rPr>
                <w:b/>
                <w:bCs/>
                <w:color w:val="000000"/>
                <w:sz w:val="20"/>
                <w:szCs w:val="20"/>
              </w:rPr>
              <w:t xml:space="preserve"> </w:t>
            </w:r>
            <w:r w:rsidRPr="00C6366D">
              <w:rPr>
                <w:b/>
                <w:bCs/>
                <w:color w:val="000000"/>
                <w:sz w:val="20"/>
                <w:szCs w:val="20"/>
              </w:rPr>
              <w:t xml:space="preserve">006.8 </w:t>
            </w:r>
          </w:p>
        </w:tc>
      </w:tr>
    </w:tbl>
    <w:p w:rsidR="00ED48E1" w:rsidRDefault="00ED48E1" w:rsidP="00ED48E1">
      <w:pPr>
        <w:spacing w:after="0" w:line="240" w:lineRule="auto"/>
        <w:rPr>
          <w:sz w:val="20"/>
          <w:szCs w:val="20"/>
          <w:rtl/>
        </w:rPr>
      </w:pPr>
    </w:p>
    <w:p w:rsidR="00ED48E1" w:rsidRPr="00EF5AF4" w:rsidRDefault="00ED48E1" w:rsidP="00ED48E1">
      <w:pPr>
        <w:spacing w:after="0" w:line="240" w:lineRule="auto"/>
        <w:rPr>
          <w:sz w:val="20"/>
          <w:szCs w:val="20"/>
          <w:rtl/>
        </w:rPr>
      </w:pPr>
    </w:p>
    <w:p w:rsidR="00ED48E1" w:rsidRDefault="00ED48E1" w:rsidP="00ED48E1">
      <w:pPr>
        <w:rPr>
          <w:sz w:val="24"/>
          <w:rtl/>
        </w:rPr>
      </w:pPr>
      <w:r>
        <w:rPr>
          <w:sz w:val="24"/>
          <w:rtl/>
        </w:rPr>
        <w:br w:type="page"/>
      </w:r>
    </w:p>
    <w:p w:rsidR="00ED48E1" w:rsidRPr="007F3E73" w:rsidRDefault="00ED48E1" w:rsidP="00ED48E1">
      <w:pPr>
        <w:spacing w:after="0"/>
        <w:jc w:val="center"/>
        <w:rPr>
          <w:b/>
          <w:bCs/>
          <w:sz w:val="24"/>
          <w:rtl/>
        </w:rPr>
      </w:pPr>
      <w:r w:rsidRPr="007F3E73">
        <w:rPr>
          <w:rFonts w:hint="cs"/>
          <w:b/>
          <w:bCs/>
          <w:sz w:val="24"/>
          <w:rtl/>
        </w:rPr>
        <w:lastRenderedPageBreak/>
        <w:t>باء -  بروتوكول قرطاجنة للسلامة الأحيائية</w:t>
      </w:r>
    </w:p>
    <w:p w:rsidR="00ED48E1" w:rsidRPr="007F3E73" w:rsidRDefault="00ED48E1" w:rsidP="00ED48E1">
      <w:pPr>
        <w:spacing w:after="240" w:line="240" w:lineRule="auto"/>
        <w:jc w:val="center"/>
        <w:rPr>
          <w:i/>
          <w:iCs/>
          <w:sz w:val="24"/>
          <w:rtl/>
        </w:rPr>
      </w:pPr>
      <w:r>
        <w:rPr>
          <w:rFonts w:hint="cs"/>
          <w:i/>
          <w:iCs/>
          <w:sz w:val="24"/>
          <w:rtl/>
        </w:rPr>
        <w:t xml:space="preserve">(بآلاف </w:t>
      </w:r>
      <w:r w:rsidRPr="007F3E73">
        <w:rPr>
          <w:rFonts w:hint="cs"/>
          <w:i/>
          <w:iCs/>
          <w:sz w:val="24"/>
          <w:rtl/>
        </w:rPr>
        <w:t>دولارات</w:t>
      </w:r>
      <w:r>
        <w:rPr>
          <w:rFonts w:hint="cs"/>
          <w:i/>
          <w:iCs/>
          <w:sz w:val="24"/>
          <w:rtl/>
        </w:rPr>
        <w:t xml:space="preserve"> الولايات المتحدة</w:t>
      </w:r>
      <w:r w:rsidRPr="007F3E73">
        <w:rPr>
          <w:rFonts w:hint="cs"/>
          <w:i/>
          <w:iCs/>
          <w:sz w:val="24"/>
          <w:rtl/>
        </w:rPr>
        <w:t>)</w:t>
      </w:r>
    </w:p>
    <w:tbl>
      <w:tblPr>
        <w:bidiVisual/>
        <w:tblW w:w="7792" w:type="dxa"/>
        <w:jc w:val="center"/>
        <w:tblLook w:val="04A0"/>
      </w:tblPr>
      <w:tblGrid>
        <w:gridCol w:w="6056"/>
        <w:gridCol w:w="1736"/>
      </w:tblGrid>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اجتماعات الخبراء</w:t>
            </w:r>
          </w:p>
        </w:tc>
        <w:tc>
          <w:tcPr>
            <w:tcW w:w="1736" w:type="dxa"/>
            <w:tcBorders>
              <w:top w:val="nil"/>
              <w:left w:val="nil"/>
              <w:bottom w:val="nil"/>
              <w:right w:val="nil"/>
            </w:tcBorders>
            <w:shd w:val="clear" w:color="auto" w:fill="auto"/>
            <w:noWrap/>
            <w:vAlign w:val="bottom"/>
            <w:hideMark/>
          </w:tcPr>
          <w:p w:rsidR="00ED48E1" w:rsidRPr="00383CF3" w:rsidRDefault="00ED48E1" w:rsidP="00ED48E1">
            <w:pPr>
              <w:spacing w:after="0" w:line="240" w:lineRule="auto"/>
              <w:rPr>
                <w:b/>
                <w:bCs/>
                <w:color w:val="000000"/>
                <w:sz w:val="20"/>
                <w:szCs w:val="20"/>
                <w:u w:val="single"/>
              </w:rPr>
            </w:pP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فريق الخبراء التقنيين المخصص المعني بالاعتبارات الاجتماعية الاقتصادية</w:t>
            </w:r>
            <w:r>
              <w:rPr>
                <w:color w:val="000000"/>
                <w:szCs w:val="22"/>
              </w:rPr>
              <w:t xml:space="preserve"> </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78.0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المجموع الفرعي</w:t>
            </w:r>
          </w:p>
        </w:tc>
        <w:tc>
          <w:tcPr>
            <w:tcW w:w="1736" w:type="dxa"/>
            <w:tcBorders>
              <w:top w:val="single" w:sz="4" w:space="0" w:color="auto"/>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78.0 </w:t>
            </w:r>
          </w:p>
        </w:tc>
      </w:tr>
      <w:tr w:rsidR="00ED48E1" w:rsidRPr="00383CF3" w:rsidTr="00ED48E1">
        <w:trPr>
          <w:trHeight w:val="107"/>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120" w:lineRule="auto"/>
              <w:rPr>
                <w:color w:val="000000"/>
                <w:szCs w:val="22"/>
              </w:rPr>
            </w:pP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120" w:lineRule="auto"/>
              <w:rPr>
                <w:sz w:val="20"/>
                <w:szCs w:val="20"/>
              </w:rPr>
            </w:pP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حلقات عمل لبناء القدرات</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b/>
                <w:bCs/>
                <w:color w:val="000000"/>
                <w:sz w:val="20"/>
                <w:szCs w:val="20"/>
                <w:u w:val="single"/>
              </w:rPr>
            </w:pP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 xml:space="preserve">بروتوكول ناغويا </w:t>
            </w:r>
            <w:r>
              <w:rPr>
                <w:color w:val="000000"/>
                <w:szCs w:val="22"/>
                <w:rtl/>
              </w:rPr>
              <w:t>–</w:t>
            </w:r>
            <w:r>
              <w:rPr>
                <w:rFonts w:hint="cs"/>
                <w:color w:val="000000"/>
                <w:szCs w:val="22"/>
                <w:rtl/>
              </w:rPr>
              <w:t xml:space="preserve"> كوالالمبور التكميلي</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147.0 </w:t>
            </w: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tl/>
              </w:rPr>
            </w:pPr>
            <w:r>
              <w:rPr>
                <w:rFonts w:hint="cs"/>
                <w:color w:val="000000"/>
                <w:szCs w:val="22"/>
                <w:rtl/>
              </w:rPr>
              <w:t>بناء القدرات</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15.0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المجموع الفرعي</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162.0 </w:t>
            </w:r>
          </w:p>
        </w:tc>
      </w:tr>
      <w:tr w:rsidR="00ED48E1" w:rsidRPr="00383CF3" w:rsidTr="00ED48E1">
        <w:trPr>
          <w:trHeight w:val="116"/>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120" w:lineRule="auto"/>
              <w:rPr>
                <w:color w:val="000000"/>
                <w:szCs w:val="22"/>
              </w:rPr>
            </w:pP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120" w:lineRule="auto"/>
              <w:rPr>
                <w:sz w:val="20"/>
                <w:szCs w:val="20"/>
              </w:rPr>
            </w:pP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حلقات عمل أخرى</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b/>
                <w:bCs/>
                <w:color w:val="000000"/>
                <w:sz w:val="20"/>
                <w:szCs w:val="20"/>
                <w:u w:val="single"/>
              </w:rPr>
            </w:pP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الخطة الاستراتيجية لبروتوكول قرطاجنة للسلامة الأحيائية (2011-2020)</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69.0 </w:t>
            </w: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التحركات عبر الحدود وتدابير الطوارئ</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48.0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المجموع الفرعي</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117.0 </w:t>
            </w:r>
          </w:p>
        </w:tc>
      </w:tr>
      <w:tr w:rsidR="00ED48E1" w:rsidRPr="00383CF3" w:rsidTr="00ED48E1">
        <w:trPr>
          <w:trHeight w:val="134"/>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120" w:lineRule="auto"/>
              <w:rPr>
                <w:color w:val="000000"/>
                <w:szCs w:val="22"/>
              </w:rPr>
            </w:pP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120" w:lineRule="auto"/>
              <w:rPr>
                <w:sz w:val="20"/>
                <w:szCs w:val="20"/>
              </w:rPr>
            </w:pP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الموظفون</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b/>
                <w:bCs/>
                <w:color w:val="000000"/>
                <w:sz w:val="20"/>
                <w:szCs w:val="20"/>
                <w:u w:val="single"/>
              </w:rPr>
            </w:pP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B67CD0" w:rsidRDefault="00ED48E1" w:rsidP="00ED48E1">
            <w:pPr>
              <w:spacing w:after="0" w:line="240" w:lineRule="auto"/>
              <w:rPr>
                <w:color w:val="000000"/>
                <w:szCs w:val="22"/>
                <w:rtl/>
              </w:rPr>
            </w:pPr>
            <w:r>
              <w:rPr>
                <w:rFonts w:hint="cs"/>
                <w:color w:val="000000"/>
                <w:szCs w:val="22"/>
                <w:rtl/>
              </w:rPr>
              <w:t xml:space="preserve">مسؤول برامج </w:t>
            </w:r>
            <w:r>
              <w:rPr>
                <w:color w:val="000000"/>
                <w:szCs w:val="22"/>
                <w:rtl/>
              </w:rPr>
              <w:t>–</w:t>
            </w:r>
            <w:r>
              <w:rPr>
                <w:rFonts w:hint="cs"/>
                <w:color w:val="000000"/>
                <w:szCs w:val="22"/>
                <w:rtl/>
              </w:rPr>
              <w:t xml:space="preserve"> غرفة تبادل معلومات السلامة الأحيائية </w:t>
            </w:r>
            <w:r w:rsidRPr="007F3E73">
              <w:rPr>
                <w:color w:val="000000"/>
                <w:szCs w:val="22"/>
              </w:rPr>
              <w:t>(P-3)</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327.0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المجموع الفرعي</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327.0 </w:t>
            </w:r>
          </w:p>
        </w:tc>
      </w:tr>
      <w:tr w:rsidR="00ED48E1" w:rsidRPr="00383CF3" w:rsidTr="00ED48E1">
        <w:trPr>
          <w:trHeight w:val="143"/>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120" w:lineRule="auto"/>
              <w:rPr>
                <w:color w:val="000000"/>
                <w:szCs w:val="22"/>
              </w:rPr>
            </w:pPr>
          </w:p>
        </w:tc>
        <w:tc>
          <w:tcPr>
            <w:tcW w:w="1736" w:type="dxa"/>
            <w:tcBorders>
              <w:top w:val="nil"/>
              <w:left w:val="nil"/>
              <w:bottom w:val="nil"/>
              <w:right w:val="nil"/>
            </w:tcBorders>
            <w:shd w:val="clear" w:color="auto" w:fill="auto"/>
            <w:noWrap/>
            <w:vAlign w:val="bottom"/>
            <w:hideMark/>
          </w:tcPr>
          <w:p w:rsidR="00ED48E1" w:rsidRPr="00383CF3" w:rsidRDefault="00ED48E1" w:rsidP="00ED48E1">
            <w:pPr>
              <w:spacing w:after="0" w:line="120" w:lineRule="auto"/>
              <w:rPr>
                <w:sz w:val="20"/>
                <w:szCs w:val="20"/>
              </w:rPr>
            </w:pP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الخبراء الاستشاريون</w:t>
            </w:r>
          </w:p>
        </w:tc>
        <w:tc>
          <w:tcPr>
            <w:tcW w:w="1736" w:type="dxa"/>
            <w:tcBorders>
              <w:top w:val="nil"/>
              <w:left w:val="nil"/>
              <w:bottom w:val="nil"/>
              <w:right w:val="nil"/>
            </w:tcBorders>
            <w:shd w:val="clear" w:color="auto" w:fill="auto"/>
            <w:noWrap/>
            <w:vAlign w:val="bottom"/>
            <w:hideMark/>
          </w:tcPr>
          <w:p w:rsidR="00ED48E1" w:rsidRPr="00383CF3" w:rsidRDefault="00ED48E1" w:rsidP="00ED48E1">
            <w:pPr>
              <w:spacing w:after="0" w:line="240" w:lineRule="auto"/>
              <w:rPr>
                <w:b/>
                <w:bCs/>
                <w:color w:val="000000"/>
                <w:sz w:val="20"/>
                <w:szCs w:val="20"/>
                <w:u w:val="single"/>
              </w:rPr>
            </w:pPr>
          </w:p>
        </w:tc>
      </w:tr>
      <w:tr w:rsidR="00ED48E1" w:rsidRPr="00383CF3" w:rsidTr="00ED48E1">
        <w:trPr>
          <w:trHeight w:val="300"/>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tl/>
              </w:rPr>
            </w:pPr>
            <w:r>
              <w:rPr>
                <w:rFonts w:hint="cs"/>
                <w:color w:val="000000"/>
                <w:szCs w:val="22"/>
                <w:rtl/>
              </w:rPr>
              <w:t>تنفيذ خطط عمل الامتثال</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75.0 </w:t>
            </w: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تقييم المخاطر وإدارة المخاطر</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45.0 </w:t>
            </w: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 xml:space="preserve">بروتوكول ناغويا </w:t>
            </w:r>
            <w:r>
              <w:rPr>
                <w:color w:val="000000"/>
                <w:szCs w:val="22"/>
                <w:rtl/>
              </w:rPr>
              <w:t>–</w:t>
            </w:r>
            <w:r>
              <w:rPr>
                <w:rFonts w:hint="cs"/>
                <w:color w:val="000000"/>
                <w:szCs w:val="22"/>
                <w:rtl/>
              </w:rPr>
              <w:t xml:space="preserve"> كوالالمبور التكميلي</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85.0 </w:t>
            </w:r>
          </w:p>
        </w:tc>
      </w:tr>
      <w:tr w:rsidR="00ED48E1" w:rsidRPr="00383CF3" w:rsidTr="00ED48E1">
        <w:trPr>
          <w:trHeight w:val="264"/>
          <w:jc w:val="center"/>
        </w:trPr>
        <w:tc>
          <w:tcPr>
            <w:tcW w:w="6056" w:type="dxa"/>
            <w:tcBorders>
              <w:top w:val="nil"/>
              <w:left w:val="nil"/>
              <w:bottom w:val="nil"/>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غرفة تبادل معلومات السلامة الأحيائية</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10.0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ED48E1" w:rsidRPr="007F3E73" w:rsidRDefault="00ED48E1" w:rsidP="00ED48E1">
            <w:pPr>
              <w:spacing w:after="0" w:line="240" w:lineRule="auto"/>
              <w:rPr>
                <w:color w:val="000000"/>
                <w:szCs w:val="22"/>
              </w:rPr>
            </w:pPr>
            <w:r>
              <w:rPr>
                <w:rFonts w:hint="cs"/>
                <w:color w:val="000000"/>
                <w:szCs w:val="22"/>
                <w:rtl/>
              </w:rPr>
              <w:t>المجموع الفرعي</w:t>
            </w:r>
          </w:p>
        </w:tc>
        <w:tc>
          <w:tcPr>
            <w:tcW w:w="1736" w:type="dxa"/>
            <w:tcBorders>
              <w:top w:val="nil"/>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215.0 </w:t>
            </w:r>
          </w:p>
        </w:tc>
      </w:tr>
      <w:tr w:rsidR="00ED48E1" w:rsidRPr="00383CF3" w:rsidTr="00ED48E1">
        <w:trPr>
          <w:trHeight w:val="134"/>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120" w:lineRule="auto"/>
              <w:rPr>
                <w:color w:val="000000"/>
                <w:szCs w:val="22"/>
              </w:rPr>
            </w:pP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120" w:lineRule="auto"/>
              <w:rPr>
                <w:sz w:val="20"/>
                <w:szCs w:val="20"/>
              </w:rPr>
            </w:pP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ED48E1" w:rsidRPr="007F3E73" w:rsidRDefault="00ED48E1" w:rsidP="00ED48E1">
            <w:pPr>
              <w:spacing w:after="0" w:line="240" w:lineRule="auto"/>
              <w:rPr>
                <w:b/>
                <w:bCs/>
                <w:color w:val="000000"/>
                <w:szCs w:val="22"/>
              </w:rPr>
            </w:pPr>
            <w:r>
              <w:rPr>
                <w:rFonts w:hint="cs"/>
                <w:b/>
                <w:bCs/>
                <w:color w:val="000000"/>
                <w:szCs w:val="22"/>
                <w:rtl/>
              </w:rPr>
              <w:t>المجموع</w:t>
            </w:r>
          </w:p>
        </w:tc>
        <w:tc>
          <w:tcPr>
            <w:tcW w:w="1736" w:type="dxa"/>
            <w:tcBorders>
              <w:top w:val="single" w:sz="4" w:space="0" w:color="auto"/>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b/>
                <w:bCs/>
                <w:color w:val="000000"/>
                <w:sz w:val="20"/>
                <w:szCs w:val="20"/>
              </w:rPr>
            </w:pPr>
            <w:r w:rsidRPr="00383CF3">
              <w:rPr>
                <w:b/>
                <w:bCs/>
                <w:color w:val="000000"/>
                <w:sz w:val="20"/>
                <w:szCs w:val="20"/>
              </w:rPr>
              <w:t xml:space="preserve">                     899.0 </w:t>
            </w: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7F3E73" w:rsidRDefault="00ED48E1" w:rsidP="00ED48E1">
            <w:pPr>
              <w:spacing w:after="0" w:line="240" w:lineRule="auto"/>
              <w:rPr>
                <w:color w:val="000000"/>
                <w:szCs w:val="22"/>
                <w:rtl/>
              </w:rPr>
            </w:pPr>
            <w:r>
              <w:rPr>
                <w:rFonts w:hint="cs"/>
                <w:color w:val="000000"/>
                <w:szCs w:val="22"/>
                <w:rtl/>
              </w:rPr>
              <w:t>تكاليف دعم البرامج (13%)</w:t>
            </w:r>
          </w:p>
        </w:tc>
        <w:tc>
          <w:tcPr>
            <w:tcW w:w="1736" w:type="dxa"/>
            <w:tcBorders>
              <w:top w:val="nil"/>
              <w:left w:val="nil"/>
              <w:bottom w:val="nil"/>
              <w:right w:val="nil"/>
            </w:tcBorders>
            <w:shd w:val="clear" w:color="auto" w:fill="auto"/>
            <w:noWrap/>
            <w:vAlign w:val="center"/>
            <w:hideMark/>
          </w:tcPr>
          <w:p w:rsidR="00ED48E1" w:rsidRPr="00383CF3" w:rsidRDefault="00ED48E1" w:rsidP="00ED48E1">
            <w:pPr>
              <w:spacing w:after="0" w:line="240" w:lineRule="auto"/>
              <w:rPr>
                <w:color w:val="000000"/>
                <w:sz w:val="20"/>
                <w:szCs w:val="20"/>
              </w:rPr>
            </w:pPr>
            <w:r w:rsidRPr="00383CF3">
              <w:rPr>
                <w:color w:val="000000"/>
                <w:sz w:val="20"/>
                <w:szCs w:val="20"/>
              </w:rPr>
              <w:t xml:space="preserve">                     116.9 </w:t>
            </w:r>
          </w:p>
        </w:tc>
      </w:tr>
      <w:tr w:rsidR="00ED48E1" w:rsidRPr="00383CF3" w:rsidTr="00ED48E1">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ED48E1" w:rsidRPr="007F3E73" w:rsidRDefault="00ED48E1" w:rsidP="00ED48E1">
            <w:pPr>
              <w:spacing w:after="0" w:line="240" w:lineRule="auto"/>
              <w:rPr>
                <w:b/>
                <w:bCs/>
                <w:color w:val="000000"/>
                <w:szCs w:val="22"/>
              </w:rPr>
            </w:pPr>
            <w:r>
              <w:rPr>
                <w:rFonts w:hint="cs"/>
                <w:b/>
                <w:bCs/>
                <w:color w:val="000000"/>
                <w:szCs w:val="22"/>
                <w:rtl/>
              </w:rPr>
              <w:t>المجموع، بروتوكول قرطاجنة للسلامة الأحيائية</w:t>
            </w:r>
          </w:p>
        </w:tc>
        <w:tc>
          <w:tcPr>
            <w:tcW w:w="1736" w:type="dxa"/>
            <w:tcBorders>
              <w:top w:val="single" w:sz="4" w:space="0" w:color="auto"/>
              <w:left w:val="nil"/>
              <w:bottom w:val="single" w:sz="4" w:space="0" w:color="auto"/>
              <w:right w:val="nil"/>
            </w:tcBorders>
            <w:shd w:val="clear" w:color="auto" w:fill="auto"/>
            <w:noWrap/>
            <w:vAlign w:val="center"/>
            <w:hideMark/>
          </w:tcPr>
          <w:p w:rsidR="00ED48E1" w:rsidRPr="00383CF3" w:rsidRDefault="00ED48E1" w:rsidP="00ED48E1">
            <w:pPr>
              <w:spacing w:after="0" w:line="240" w:lineRule="auto"/>
              <w:rPr>
                <w:b/>
                <w:bCs/>
                <w:color w:val="000000"/>
                <w:sz w:val="20"/>
                <w:szCs w:val="20"/>
              </w:rPr>
            </w:pPr>
            <w:r w:rsidRPr="00383CF3">
              <w:rPr>
                <w:b/>
                <w:bCs/>
                <w:color w:val="000000"/>
                <w:sz w:val="20"/>
                <w:szCs w:val="20"/>
              </w:rPr>
              <w:t xml:space="preserve">                  1</w:t>
            </w:r>
            <w:r>
              <w:rPr>
                <w:b/>
                <w:bCs/>
                <w:color w:val="000000"/>
                <w:sz w:val="20"/>
                <w:szCs w:val="20"/>
              </w:rPr>
              <w:t xml:space="preserve"> </w:t>
            </w:r>
            <w:r w:rsidRPr="00383CF3">
              <w:rPr>
                <w:b/>
                <w:bCs/>
                <w:color w:val="000000"/>
                <w:sz w:val="20"/>
                <w:szCs w:val="20"/>
              </w:rPr>
              <w:t xml:space="preserve">015.9 </w:t>
            </w:r>
          </w:p>
        </w:tc>
      </w:tr>
      <w:tr w:rsidR="00ED48E1" w:rsidRPr="00383CF3" w:rsidTr="00ED48E1">
        <w:trPr>
          <w:trHeight w:val="264"/>
          <w:jc w:val="center"/>
        </w:trPr>
        <w:tc>
          <w:tcPr>
            <w:tcW w:w="6056" w:type="dxa"/>
            <w:tcBorders>
              <w:top w:val="nil"/>
              <w:left w:val="nil"/>
              <w:bottom w:val="nil"/>
              <w:right w:val="nil"/>
            </w:tcBorders>
            <w:shd w:val="clear" w:color="auto" w:fill="auto"/>
            <w:noWrap/>
            <w:vAlign w:val="bottom"/>
            <w:hideMark/>
          </w:tcPr>
          <w:p w:rsidR="00ED48E1" w:rsidRPr="00383CF3" w:rsidRDefault="00ED48E1" w:rsidP="00ED48E1">
            <w:pPr>
              <w:spacing w:after="0" w:line="240" w:lineRule="auto"/>
              <w:jc w:val="center"/>
              <w:rPr>
                <w:b/>
                <w:bCs/>
                <w:color w:val="000000"/>
                <w:sz w:val="20"/>
                <w:szCs w:val="20"/>
              </w:rPr>
            </w:pPr>
          </w:p>
        </w:tc>
        <w:tc>
          <w:tcPr>
            <w:tcW w:w="1736" w:type="dxa"/>
            <w:tcBorders>
              <w:top w:val="nil"/>
              <w:left w:val="nil"/>
              <w:bottom w:val="nil"/>
              <w:right w:val="nil"/>
            </w:tcBorders>
            <w:shd w:val="clear" w:color="auto" w:fill="auto"/>
            <w:noWrap/>
            <w:vAlign w:val="bottom"/>
            <w:hideMark/>
          </w:tcPr>
          <w:p w:rsidR="00ED48E1" w:rsidRPr="00383CF3" w:rsidRDefault="00ED48E1" w:rsidP="00ED48E1">
            <w:pPr>
              <w:spacing w:after="0" w:line="240" w:lineRule="auto"/>
              <w:rPr>
                <w:sz w:val="20"/>
                <w:szCs w:val="20"/>
              </w:rPr>
            </w:pPr>
          </w:p>
        </w:tc>
      </w:tr>
    </w:tbl>
    <w:p w:rsidR="00ED48E1" w:rsidRDefault="00ED48E1" w:rsidP="00ED48E1">
      <w:pPr>
        <w:spacing w:after="0" w:line="240" w:lineRule="auto"/>
        <w:rPr>
          <w:szCs w:val="22"/>
          <w:rtl/>
        </w:rPr>
      </w:pPr>
    </w:p>
    <w:p w:rsidR="00ED48E1" w:rsidRDefault="00ED48E1" w:rsidP="00ED48E1">
      <w:pPr>
        <w:spacing w:after="0" w:line="240" w:lineRule="auto"/>
        <w:rPr>
          <w:sz w:val="24"/>
          <w:rtl/>
        </w:rPr>
      </w:pPr>
      <w:r>
        <w:rPr>
          <w:sz w:val="24"/>
          <w:rtl/>
        </w:rPr>
        <w:br w:type="page"/>
      </w:r>
    </w:p>
    <w:p w:rsidR="00ED48E1" w:rsidRPr="00B67CD0" w:rsidRDefault="00ED48E1" w:rsidP="00ED48E1">
      <w:pPr>
        <w:spacing w:after="0" w:line="240" w:lineRule="auto"/>
        <w:jc w:val="center"/>
        <w:rPr>
          <w:b/>
          <w:bCs/>
          <w:sz w:val="24"/>
          <w:rtl/>
        </w:rPr>
      </w:pPr>
      <w:r w:rsidRPr="00B67CD0">
        <w:rPr>
          <w:rFonts w:hint="cs"/>
          <w:b/>
          <w:bCs/>
          <w:sz w:val="24"/>
          <w:rtl/>
        </w:rPr>
        <w:lastRenderedPageBreak/>
        <w:t>جيم -  بروتوكول ناغويا بشأن الحصول وتقاسم المنافع</w:t>
      </w:r>
    </w:p>
    <w:p w:rsidR="00ED48E1" w:rsidRPr="00B67CD0" w:rsidRDefault="00ED48E1" w:rsidP="00ED48E1">
      <w:pPr>
        <w:spacing w:after="0" w:line="240" w:lineRule="auto"/>
        <w:jc w:val="center"/>
        <w:rPr>
          <w:i/>
          <w:iCs/>
          <w:sz w:val="24"/>
          <w:rtl/>
        </w:rPr>
      </w:pPr>
      <w:r>
        <w:rPr>
          <w:rFonts w:hint="cs"/>
          <w:i/>
          <w:iCs/>
          <w:sz w:val="24"/>
          <w:rtl/>
        </w:rPr>
        <w:t xml:space="preserve">(بآلاف </w:t>
      </w:r>
      <w:r w:rsidRPr="00B67CD0">
        <w:rPr>
          <w:rFonts w:hint="cs"/>
          <w:i/>
          <w:iCs/>
          <w:sz w:val="24"/>
          <w:rtl/>
        </w:rPr>
        <w:t>دولارات ا</w:t>
      </w:r>
      <w:r>
        <w:rPr>
          <w:rFonts w:hint="cs"/>
          <w:i/>
          <w:iCs/>
          <w:sz w:val="24"/>
          <w:rtl/>
        </w:rPr>
        <w:t>لولايات المتحدة</w:t>
      </w:r>
      <w:r w:rsidRPr="00B67CD0">
        <w:rPr>
          <w:rFonts w:hint="cs"/>
          <w:i/>
          <w:iCs/>
          <w:sz w:val="24"/>
          <w:rtl/>
        </w:rPr>
        <w:t>)</w:t>
      </w:r>
    </w:p>
    <w:p w:rsidR="00ED48E1" w:rsidRDefault="00ED48E1" w:rsidP="00ED48E1">
      <w:pPr>
        <w:spacing w:after="0" w:line="240" w:lineRule="auto"/>
        <w:rPr>
          <w:szCs w:val="22"/>
          <w:rtl/>
        </w:rPr>
      </w:pPr>
    </w:p>
    <w:tbl>
      <w:tblPr>
        <w:bidiVisual/>
        <w:tblW w:w="7352" w:type="dxa"/>
        <w:jc w:val="center"/>
        <w:tblLook w:val="04A0"/>
      </w:tblPr>
      <w:tblGrid>
        <w:gridCol w:w="6356"/>
        <w:gridCol w:w="996"/>
      </w:tblGrid>
      <w:tr w:rsidR="00ED48E1" w:rsidRPr="00503700" w:rsidTr="00ED48E1">
        <w:trPr>
          <w:trHeight w:val="264"/>
          <w:jc w:val="center"/>
        </w:trPr>
        <w:tc>
          <w:tcPr>
            <w:tcW w:w="63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حلقات عمل لبناء القدرات</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b/>
                <w:bCs/>
                <w:color w:val="000000"/>
                <w:sz w:val="20"/>
                <w:szCs w:val="20"/>
                <w:u w:val="single"/>
              </w:rPr>
            </w:pPr>
          </w:p>
        </w:tc>
      </w:tr>
      <w:tr w:rsidR="00ED48E1" w:rsidRPr="00503700" w:rsidTr="00ED48E1">
        <w:trPr>
          <w:trHeight w:val="264"/>
          <w:jc w:val="center"/>
        </w:trPr>
        <w:tc>
          <w:tcPr>
            <w:tcW w:w="6356" w:type="dxa"/>
            <w:tcBorders>
              <w:top w:val="nil"/>
              <w:left w:val="nil"/>
              <w:bottom w:val="nil"/>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الإطار الاستراتيجي طويل الأجل لبناء القدرات لما بعد عام 2020</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83.0 </w:t>
            </w:r>
          </w:p>
        </w:tc>
      </w:tr>
      <w:tr w:rsidR="00ED48E1" w:rsidRPr="00503700" w:rsidTr="00ED48E1">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المجموع الفرعي</w:t>
            </w:r>
          </w:p>
        </w:tc>
        <w:tc>
          <w:tcPr>
            <w:tcW w:w="996" w:type="dxa"/>
            <w:tcBorders>
              <w:top w:val="single" w:sz="4" w:space="0" w:color="auto"/>
              <w:left w:val="nil"/>
              <w:bottom w:val="single" w:sz="4" w:space="0" w:color="auto"/>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83.0 </w:t>
            </w:r>
          </w:p>
        </w:tc>
      </w:tr>
      <w:tr w:rsidR="00ED48E1" w:rsidRPr="00503700" w:rsidTr="00ED48E1">
        <w:trPr>
          <w:trHeight w:val="116"/>
          <w:jc w:val="center"/>
        </w:trPr>
        <w:tc>
          <w:tcPr>
            <w:tcW w:w="6356" w:type="dxa"/>
            <w:tcBorders>
              <w:top w:val="nil"/>
              <w:left w:val="nil"/>
              <w:bottom w:val="nil"/>
              <w:right w:val="nil"/>
            </w:tcBorders>
            <w:shd w:val="clear" w:color="auto" w:fill="auto"/>
            <w:noWrap/>
            <w:vAlign w:val="bottom"/>
            <w:hideMark/>
          </w:tcPr>
          <w:p w:rsidR="00ED48E1" w:rsidRPr="00B67CD0" w:rsidRDefault="00ED48E1" w:rsidP="00ED48E1">
            <w:pPr>
              <w:spacing w:after="0" w:line="120" w:lineRule="auto"/>
              <w:rPr>
                <w:color w:val="000000"/>
                <w:szCs w:val="22"/>
              </w:rPr>
            </w:pP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120" w:lineRule="auto"/>
              <w:rPr>
                <w:sz w:val="20"/>
                <w:szCs w:val="20"/>
              </w:rPr>
            </w:pPr>
          </w:p>
        </w:tc>
      </w:tr>
      <w:tr w:rsidR="00ED48E1" w:rsidRPr="00503700" w:rsidTr="00ED48E1">
        <w:trPr>
          <w:trHeight w:val="264"/>
          <w:jc w:val="center"/>
        </w:trPr>
        <w:tc>
          <w:tcPr>
            <w:tcW w:w="63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الخبراء الاستشاريون</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b/>
                <w:bCs/>
                <w:color w:val="000000"/>
                <w:sz w:val="20"/>
                <w:szCs w:val="20"/>
                <w:u w:val="single"/>
              </w:rPr>
            </w:pPr>
          </w:p>
        </w:tc>
      </w:tr>
      <w:tr w:rsidR="00ED48E1" w:rsidRPr="00503700" w:rsidTr="00ED48E1">
        <w:trPr>
          <w:trHeight w:val="264"/>
          <w:jc w:val="center"/>
        </w:trPr>
        <w:tc>
          <w:tcPr>
            <w:tcW w:w="6356" w:type="dxa"/>
            <w:tcBorders>
              <w:top w:val="nil"/>
              <w:left w:val="nil"/>
              <w:bottom w:val="nil"/>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الإطار الاستراتيجي طويل الأجل لبناء القدرات لما بعد عام 2020</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111.0 </w:t>
            </w:r>
          </w:p>
        </w:tc>
      </w:tr>
      <w:tr w:rsidR="00ED48E1" w:rsidRPr="00503700" w:rsidTr="00ED48E1">
        <w:trPr>
          <w:trHeight w:val="264"/>
          <w:jc w:val="center"/>
        </w:trPr>
        <w:tc>
          <w:tcPr>
            <w:tcW w:w="6356" w:type="dxa"/>
            <w:tcBorders>
              <w:top w:val="nil"/>
              <w:left w:val="nil"/>
              <w:bottom w:val="nil"/>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الآلية العالمية المتعددة الأطراف لتقاسم المنافع (المادة 10)</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21.0 </w:t>
            </w:r>
          </w:p>
        </w:tc>
      </w:tr>
      <w:tr w:rsidR="00ED48E1" w:rsidRPr="00503700" w:rsidTr="00ED48E1">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المجموع الفرعي</w:t>
            </w:r>
          </w:p>
        </w:tc>
        <w:tc>
          <w:tcPr>
            <w:tcW w:w="996" w:type="dxa"/>
            <w:tcBorders>
              <w:top w:val="single" w:sz="4" w:space="0" w:color="auto"/>
              <w:left w:val="nil"/>
              <w:bottom w:val="single" w:sz="4" w:space="0" w:color="auto"/>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132.0 </w:t>
            </w:r>
          </w:p>
        </w:tc>
      </w:tr>
      <w:tr w:rsidR="00ED48E1" w:rsidRPr="00503700" w:rsidTr="00ED48E1">
        <w:trPr>
          <w:trHeight w:val="134"/>
          <w:jc w:val="center"/>
        </w:trPr>
        <w:tc>
          <w:tcPr>
            <w:tcW w:w="6356" w:type="dxa"/>
            <w:tcBorders>
              <w:top w:val="nil"/>
              <w:left w:val="nil"/>
              <w:bottom w:val="nil"/>
              <w:right w:val="nil"/>
            </w:tcBorders>
            <w:shd w:val="clear" w:color="auto" w:fill="auto"/>
            <w:noWrap/>
            <w:vAlign w:val="bottom"/>
            <w:hideMark/>
          </w:tcPr>
          <w:p w:rsidR="00ED48E1" w:rsidRPr="00B67CD0" w:rsidRDefault="00ED48E1" w:rsidP="00ED48E1">
            <w:pPr>
              <w:spacing w:after="0" w:line="120" w:lineRule="auto"/>
              <w:rPr>
                <w:color w:val="000000"/>
                <w:szCs w:val="22"/>
              </w:rPr>
            </w:pP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120" w:lineRule="auto"/>
              <w:rPr>
                <w:sz w:val="20"/>
                <w:szCs w:val="20"/>
              </w:rPr>
            </w:pPr>
          </w:p>
        </w:tc>
      </w:tr>
      <w:tr w:rsidR="00ED48E1" w:rsidRPr="00503700" w:rsidTr="00ED48E1">
        <w:trPr>
          <w:trHeight w:val="264"/>
          <w:jc w:val="center"/>
        </w:trPr>
        <w:tc>
          <w:tcPr>
            <w:tcW w:w="6356" w:type="dxa"/>
            <w:tcBorders>
              <w:top w:val="nil"/>
              <w:left w:val="nil"/>
              <w:bottom w:val="nil"/>
              <w:right w:val="nil"/>
            </w:tcBorders>
            <w:shd w:val="clear" w:color="auto" w:fill="auto"/>
            <w:noWrap/>
            <w:vAlign w:val="bottom"/>
            <w:hideMark/>
          </w:tcPr>
          <w:p w:rsidR="00ED48E1" w:rsidRPr="00BE16C5" w:rsidRDefault="00ED48E1" w:rsidP="00ED48E1">
            <w:pPr>
              <w:spacing w:after="0" w:line="240" w:lineRule="auto"/>
              <w:rPr>
                <w:b/>
                <w:bCs/>
                <w:color w:val="000000"/>
                <w:szCs w:val="22"/>
              </w:rPr>
            </w:pPr>
            <w:r w:rsidRPr="00BE16C5">
              <w:rPr>
                <w:rFonts w:hint="cs"/>
                <w:b/>
                <w:bCs/>
                <w:color w:val="000000"/>
                <w:szCs w:val="22"/>
                <w:rtl/>
              </w:rPr>
              <w:t>سفر الموظفين</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b/>
                <w:bCs/>
                <w:color w:val="000000"/>
                <w:sz w:val="20"/>
                <w:szCs w:val="20"/>
                <w:u w:val="single"/>
              </w:rPr>
            </w:pPr>
          </w:p>
        </w:tc>
      </w:tr>
      <w:tr w:rsidR="00ED48E1" w:rsidRPr="00503700" w:rsidTr="00ED48E1">
        <w:trPr>
          <w:trHeight w:val="264"/>
          <w:jc w:val="center"/>
        </w:trPr>
        <w:tc>
          <w:tcPr>
            <w:tcW w:w="6356" w:type="dxa"/>
            <w:tcBorders>
              <w:top w:val="nil"/>
              <w:left w:val="nil"/>
              <w:bottom w:val="nil"/>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أول تقييم واستعراض لفعالية البروتوكول</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23.0 </w:t>
            </w:r>
          </w:p>
        </w:tc>
      </w:tr>
      <w:tr w:rsidR="00ED48E1" w:rsidRPr="00503700" w:rsidTr="00ED48E1">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ED48E1" w:rsidRPr="00B67CD0" w:rsidRDefault="00ED48E1" w:rsidP="00ED48E1">
            <w:pPr>
              <w:spacing w:after="0" w:line="240" w:lineRule="auto"/>
              <w:rPr>
                <w:color w:val="000000"/>
                <w:szCs w:val="22"/>
              </w:rPr>
            </w:pPr>
            <w:r>
              <w:rPr>
                <w:rFonts w:hint="cs"/>
                <w:color w:val="000000"/>
                <w:szCs w:val="22"/>
                <w:rtl/>
              </w:rPr>
              <w:t>المجموع الفرعي</w:t>
            </w:r>
          </w:p>
        </w:tc>
        <w:tc>
          <w:tcPr>
            <w:tcW w:w="996" w:type="dxa"/>
            <w:tcBorders>
              <w:top w:val="single" w:sz="4" w:space="0" w:color="auto"/>
              <w:left w:val="nil"/>
              <w:bottom w:val="single" w:sz="4" w:space="0" w:color="auto"/>
              <w:right w:val="nil"/>
            </w:tcBorders>
            <w:shd w:val="clear" w:color="auto" w:fill="auto"/>
            <w:noWrap/>
            <w:vAlign w:val="bottom"/>
            <w:hideMark/>
          </w:tcPr>
          <w:p w:rsidR="00ED48E1" w:rsidRPr="00503700" w:rsidRDefault="00ED48E1" w:rsidP="00ED48E1">
            <w:pPr>
              <w:keepNext/>
              <w:keepLines/>
              <w:spacing w:after="0" w:line="240" w:lineRule="auto"/>
              <w:rPr>
                <w:color w:val="000000"/>
                <w:sz w:val="20"/>
                <w:szCs w:val="20"/>
              </w:rPr>
            </w:pPr>
            <w:r w:rsidRPr="00503700">
              <w:rPr>
                <w:color w:val="000000"/>
                <w:sz w:val="20"/>
                <w:szCs w:val="20"/>
              </w:rPr>
              <w:t xml:space="preserve">        23.0 </w:t>
            </w:r>
          </w:p>
        </w:tc>
      </w:tr>
      <w:tr w:rsidR="00ED48E1" w:rsidRPr="00503700" w:rsidTr="00ED48E1">
        <w:trPr>
          <w:trHeight w:val="98"/>
          <w:jc w:val="center"/>
        </w:trPr>
        <w:tc>
          <w:tcPr>
            <w:tcW w:w="6356" w:type="dxa"/>
            <w:tcBorders>
              <w:top w:val="nil"/>
              <w:left w:val="nil"/>
              <w:bottom w:val="nil"/>
              <w:right w:val="nil"/>
            </w:tcBorders>
            <w:shd w:val="clear" w:color="auto" w:fill="auto"/>
            <w:noWrap/>
            <w:vAlign w:val="bottom"/>
            <w:hideMark/>
          </w:tcPr>
          <w:p w:rsidR="00ED48E1" w:rsidRPr="00B67CD0" w:rsidRDefault="00ED48E1" w:rsidP="00ED48E1">
            <w:pPr>
              <w:spacing w:after="0" w:line="120" w:lineRule="auto"/>
              <w:rPr>
                <w:color w:val="000000"/>
                <w:szCs w:val="22"/>
              </w:rPr>
            </w:pP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120" w:lineRule="auto"/>
              <w:rPr>
                <w:sz w:val="20"/>
                <w:szCs w:val="20"/>
              </w:rPr>
            </w:pPr>
          </w:p>
        </w:tc>
      </w:tr>
      <w:tr w:rsidR="00ED48E1" w:rsidRPr="00503700" w:rsidTr="00ED48E1">
        <w:trPr>
          <w:trHeight w:val="264"/>
          <w:jc w:val="center"/>
        </w:trPr>
        <w:tc>
          <w:tcPr>
            <w:tcW w:w="6356" w:type="dxa"/>
            <w:tcBorders>
              <w:top w:val="single" w:sz="4" w:space="0" w:color="auto"/>
              <w:left w:val="nil"/>
              <w:bottom w:val="single" w:sz="4" w:space="0" w:color="auto"/>
              <w:right w:val="nil"/>
            </w:tcBorders>
            <w:shd w:val="clear" w:color="auto" w:fill="auto"/>
            <w:noWrap/>
            <w:vAlign w:val="bottom"/>
            <w:hideMark/>
          </w:tcPr>
          <w:p w:rsidR="00ED48E1" w:rsidRPr="00B67CD0" w:rsidRDefault="00ED48E1" w:rsidP="00ED48E1">
            <w:pPr>
              <w:spacing w:after="0" w:line="240" w:lineRule="auto"/>
              <w:rPr>
                <w:b/>
                <w:bCs/>
                <w:color w:val="000000"/>
                <w:szCs w:val="22"/>
              </w:rPr>
            </w:pPr>
            <w:r>
              <w:rPr>
                <w:rFonts w:hint="cs"/>
                <w:b/>
                <w:bCs/>
                <w:color w:val="000000"/>
                <w:szCs w:val="22"/>
                <w:rtl/>
              </w:rPr>
              <w:t>المجموع</w:t>
            </w:r>
          </w:p>
        </w:tc>
        <w:tc>
          <w:tcPr>
            <w:tcW w:w="996" w:type="dxa"/>
            <w:tcBorders>
              <w:top w:val="single" w:sz="4" w:space="0" w:color="auto"/>
              <w:left w:val="nil"/>
              <w:bottom w:val="single" w:sz="4" w:space="0" w:color="auto"/>
              <w:right w:val="nil"/>
            </w:tcBorders>
            <w:shd w:val="clear" w:color="auto" w:fill="auto"/>
            <w:noWrap/>
            <w:vAlign w:val="bottom"/>
            <w:hideMark/>
          </w:tcPr>
          <w:p w:rsidR="00ED48E1" w:rsidRPr="00503700" w:rsidRDefault="00ED48E1" w:rsidP="00ED48E1">
            <w:pPr>
              <w:keepNext/>
              <w:keepLines/>
              <w:spacing w:after="0" w:line="240" w:lineRule="auto"/>
              <w:jc w:val="center"/>
              <w:rPr>
                <w:b/>
                <w:bCs/>
                <w:color w:val="000000"/>
                <w:sz w:val="20"/>
                <w:szCs w:val="20"/>
              </w:rPr>
            </w:pPr>
            <w:r w:rsidRPr="00503700">
              <w:rPr>
                <w:b/>
                <w:bCs/>
                <w:color w:val="000000"/>
                <w:sz w:val="20"/>
                <w:szCs w:val="20"/>
              </w:rPr>
              <w:t xml:space="preserve">      238.0 </w:t>
            </w:r>
          </w:p>
        </w:tc>
      </w:tr>
      <w:tr w:rsidR="00ED48E1" w:rsidRPr="00503700" w:rsidTr="00ED48E1">
        <w:trPr>
          <w:trHeight w:val="264"/>
          <w:jc w:val="center"/>
        </w:trPr>
        <w:tc>
          <w:tcPr>
            <w:tcW w:w="6356" w:type="dxa"/>
            <w:tcBorders>
              <w:top w:val="nil"/>
              <w:left w:val="nil"/>
              <w:bottom w:val="nil"/>
              <w:right w:val="nil"/>
            </w:tcBorders>
            <w:shd w:val="clear" w:color="auto" w:fill="auto"/>
            <w:noWrap/>
            <w:vAlign w:val="bottom"/>
            <w:hideMark/>
          </w:tcPr>
          <w:p w:rsidR="00ED48E1" w:rsidRPr="00B67CD0" w:rsidRDefault="00ED48E1" w:rsidP="00ED48E1">
            <w:pPr>
              <w:spacing w:after="0" w:line="240" w:lineRule="auto"/>
              <w:rPr>
                <w:color w:val="000000"/>
                <w:szCs w:val="22"/>
              </w:rPr>
            </w:pPr>
            <w:r>
              <w:rPr>
                <w:rFonts w:hint="cs"/>
                <w:color w:val="000000"/>
                <w:szCs w:val="22"/>
                <w:rtl/>
              </w:rPr>
              <w:t>تكاليف دعم البرامج (13%)</w:t>
            </w: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jc w:val="center"/>
              <w:rPr>
                <w:color w:val="000000"/>
                <w:sz w:val="20"/>
                <w:szCs w:val="20"/>
              </w:rPr>
            </w:pPr>
            <w:r w:rsidRPr="00503700">
              <w:rPr>
                <w:color w:val="000000"/>
                <w:sz w:val="20"/>
                <w:szCs w:val="20"/>
              </w:rPr>
              <w:t xml:space="preserve">        30.9 </w:t>
            </w:r>
          </w:p>
        </w:tc>
      </w:tr>
      <w:tr w:rsidR="00ED48E1" w:rsidRPr="00503700" w:rsidTr="00ED48E1">
        <w:trPr>
          <w:trHeight w:val="300"/>
          <w:jc w:val="center"/>
        </w:trPr>
        <w:tc>
          <w:tcPr>
            <w:tcW w:w="6356" w:type="dxa"/>
            <w:tcBorders>
              <w:top w:val="single" w:sz="4" w:space="0" w:color="auto"/>
              <w:left w:val="nil"/>
              <w:bottom w:val="single" w:sz="4" w:space="0" w:color="auto"/>
              <w:right w:val="nil"/>
            </w:tcBorders>
            <w:shd w:val="clear" w:color="auto" w:fill="auto"/>
            <w:noWrap/>
            <w:vAlign w:val="bottom"/>
            <w:hideMark/>
          </w:tcPr>
          <w:p w:rsidR="00ED48E1" w:rsidRPr="00B67CD0" w:rsidRDefault="00ED48E1" w:rsidP="00ED48E1">
            <w:pPr>
              <w:spacing w:after="0" w:line="240" w:lineRule="auto"/>
              <w:rPr>
                <w:b/>
                <w:bCs/>
                <w:color w:val="000000"/>
                <w:szCs w:val="22"/>
              </w:rPr>
            </w:pPr>
            <w:r>
              <w:rPr>
                <w:rFonts w:hint="cs"/>
                <w:b/>
                <w:bCs/>
                <w:color w:val="000000"/>
                <w:szCs w:val="22"/>
                <w:rtl/>
              </w:rPr>
              <w:t>المجموع، بروتوكول ناغويا بشأن الحصول وتقاسم المنافع</w:t>
            </w:r>
          </w:p>
        </w:tc>
        <w:tc>
          <w:tcPr>
            <w:tcW w:w="996" w:type="dxa"/>
            <w:tcBorders>
              <w:top w:val="single" w:sz="4" w:space="0" w:color="auto"/>
              <w:left w:val="nil"/>
              <w:bottom w:val="single" w:sz="4" w:space="0" w:color="auto"/>
              <w:right w:val="nil"/>
            </w:tcBorders>
            <w:shd w:val="clear" w:color="auto" w:fill="auto"/>
            <w:noWrap/>
            <w:vAlign w:val="bottom"/>
            <w:hideMark/>
          </w:tcPr>
          <w:p w:rsidR="00ED48E1" w:rsidRPr="00503700" w:rsidRDefault="00ED48E1" w:rsidP="00ED48E1">
            <w:pPr>
              <w:keepNext/>
              <w:keepLines/>
              <w:spacing w:after="0" w:line="240" w:lineRule="auto"/>
              <w:jc w:val="center"/>
              <w:rPr>
                <w:b/>
                <w:bCs/>
                <w:color w:val="000000"/>
                <w:sz w:val="20"/>
                <w:szCs w:val="20"/>
              </w:rPr>
            </w:pPr>
            <w:r w:rsidRPr="00503700">
              <w:rPr>
                <w:b/>
                <w:bCs/>
                <w:color w:val="000000"/>
                <w:sz w:val="20"/>
                <w:szCs w:val="20"/>
              </w:rPr>
              <w:t xml:space="preserve">      268.9 </w:t>
            </w:r>
          </w:p>
        </w:tc>
      </w:tr>
      <w:tr w:rsidR="00ED48E1" w:rsidRPr="00503700" w:rsidTr="00ED48E1">
        <w:trPr>
          <w:trHeight w:val="264"/>
          <w:jc w:val="center"/>
        </w:trPr>
        <w:tc>
          <w:tcPr>
            <w:tcW w:w="6356" w:type="dxa"/>
            <w:tcBorders>
              <w:top w:val="nil"/>
              <w:left w:val="nil"/>
              <w:bottom w:val="nil"/>
              <w:right w:val="nil"/>
            </w:tcBorders>
            <w:shd w:val="clear" w:color="auto" w:fill="auto"/>
            <w:noWrap/>
            <w:vAlign w:val="bottom"/>
            <w:hideMark/>
          </w:tcPr>
          <w:p w:rsidR="00ED48E1" w:rsidRPr="00503700" w:rsidRDefault="00ED48E1" w:rsidP="00ED48E1">
            <w:pPr>
              <w:spacing w:after="0" w:line="240" w:lineRule="auto"/>
              <w:jc w:val="center"/>
              <w:rPr>
                <w:b/>
                <w:bCs/>
                <w:color w:val="000000"/>
                <w:sz w:val="20"/>
                <w:szCs w:val="20"/>
              </w:rPr>
            </w:pPr>
          </w:p>
        </w:tc>
        <w:tc>
          <w:tcPr>
            <w:tcW w:w="996" w:type="dxa"/>
            <w:tcBorders>
              <w:top w:val="nil"/>
              <w:left w:val="nil"/>
              <w:bottom w:val="nil"/>
              <w:right w:val="nil"/>
            </w:tcBorders>
            <w:shd w:val="clear" w:color="auto" w:fill="auto"/>
            <w:noWrap/>
            <w:vAlign w:val="bottom"/>
            <w:hideMark/>
          </w:tcPr>
          <w:p w:rsidR="00ED48E1" w:rsidRPr="00503700" w:rsidRDefault="00ED48E1" w:rsidP="00ED48E1">
            <w:pPr>
              <w:keepNext/>
              <w:keepLines/>
              <w:spacing w:after="0" w:line="240" w:lineRule="auto"/>
              <w:rPr>
                <w:sz w:val="20"/>
                <w:szCs w:val="20"/>
              </w:rPr>
            </w:pPr>
          </w:p>
        </w:tc>
      </w:tr>
    </w:tbl>
    <w:p w:rsidR="00ED48E1" w:rsidRDefault="00ED48E1" w:rsidP="00ED48E1">
      <w:pPr>
        <w:spacing w:after="0" w:line="240" w:lineRule="auto"/>
        <w:rPr>
          <w:sz w:val="24"/>
          <w:rtl/>
        </w:rPr>
      </w:pPr>
    </w:p>
    <w:p w:rsidR="00ED48E1" w:rsidRDefault="00ED48E1" w:rsidP="00ED48E1">
      <w:pPr>
        <w:spacing w:after="0" w:line="240" w:lineRule="auto"/>
        <w:rPr>
          <w:sz w:val="24"/>
          <w:rtl/>
        </w:rPr>
      </w:pPr>
    </w:p>
    <w:tbl>
      <w:tblPr>
        <w:bidiVisual/>
        <w:tblW w:w="7690" w:type="dxa"/>
        <w:jc w:val="center"/>
        <w:tblInd w:w="-137" w:type="dxa"/>
        <w:tblLook w:val="04A0"/>
      </w:tblPr>
      <w:tblGrid>
        <w:gridCol w:w="3060"/>
        <w:gridCol w:w="1810"/>
        <w:gridCol w:w="1720"/>
        <w:gridCol w:w="1100"/>
      </w:tblGrid>
      <w:tr w:rsidR="00ED48E1" w:rsidRPr="00654A81" w:rsidTr="00ED48E1">
        <w:trPr>
          <w:trHeight w:val="516"/>
          <w:jc w:val="center"/>
        </w:trPr>
        <w:tc>
          <w:tcPr>
            <w:tcW w:w="3060" w:type="dxa"/>
            <w:tcBorders>
              <w:top w:val="single" w:sz="4" w:space="0" w:color="auto"/>
              <w:left w:val="nil"/>
              <w:bottom w:val="single" w:sz="8" w:space="0" w:color="auto"/>
              <w:right w:val="nil"/>
            </w:tcBorders>
            <w:shd w:val="clear" w:color="auto" w:fill="auto"/>
            <w:noWrap/>
            <w:vAlign w:val="center"/>
            <w:hideMark/>
          </w:tcPr>
          <w:p w:rsidR="00ED48E1" w:rsidRPr="00654A81" w:rsidRDefault="00ED48E1" w:rsidP="00ED48E1">
            <w:pPr>
              <w:jc w:val="center"/>
              <w:rPr>
                <w:b/>
                <w:bCs/>
                <w:color w:val="000000"/>
                <w:sz w:val="15"/>
                <w:szCs w:val="15"/>
              </w:rPr>
            </w:pPr>
          </w:p>
        </w:tc>
        <w:tc>
          <w:tcPr>
            <w:tcW w:w="1810" w:type="dxa"/>
            <w:tcBorders>
              <w:top w:val="single" w:sz="4" w:space="0" w:color="auto"/>
              <w:left w:val="nil"/>
              <w:bottom w:val="single" w:sz="8" w:space="0" w:color="auto"/>
              <w:right w:val="nil"/>
            </w:tcBorders>
            <w:shd w:val="clear" w:color="auto" w:fill="auto"/>
            <w:vAlign w:val="center"/>
            <w:hideMark/>
          </w:tcPr>
          <w:p w:rsidR="00ED48E1" w:rsidRPr="00B41A33" w:rsidRDefault="00ED48E1" w:rsidP="00ED48E1">
            <w:pPr>
              <w:jc w:val="center"/>
              <w:rPr>
                <w:rFonts w:ascii="Simplified Arabic" w:hAnsi="Simplified Arabic"/>
                <w:i/>
                <w:iCs/>
                <w:color w:val="000000"/>
                <w:sz w:val="20"/>
                <w:szCs w:val="20"/>
              </w:rPr>
            </w:pPr>
            <w:r w:rsidRPr="00B41A33">
              <w:rPr>
                <w:rFonts w:ascii="Simplified Arabic" w:hAnsi="Simplified Arabic" w:hint="cs"/>
                <w:i/>
                <w:iCs/>
                <w:color w:val="000000"/>
                <w:sz w:val="20"/>
                <w:szCs w:val="20"/>
                <w:rtl/>
              </w:rPr>
              <w:t>المبلغ (بآلاف دولارات الولايات المتحدة)</w:t>
            </w:r>
          </w:p>
        </w:tc>
        <w:tc>
          <w:tcPr>
            <w:tcW w:w="1720" w:type="dxa"/>
            <w:tcBorders>
              <w:top w:val="single" w:sz="4" w:space="0" w:color="auto"/>
              <w:left w:val="nil"/>
              <w:bottom w:val="single" w:sz="8" w:space="0" w:color="auto"/>
              <w:right w:val="nil"/>
            </w:tcBorders>
            <w:shd w:val="clear" w:color="auto" w:fill="auto"/>
            <w:vAlign w:val="center"/>
            <w:hideMark/>
          </w:tcPr>
          <w:p w:rsidR="00ED48E1" w:rsidRPr="00B41A33" w:rsidRDefault="00ED48E1" w:rsidP="00ED48E1">
            <w:pPr>
              <w:jc w:val="center"/>
              <w:rPr>
                <w:rFonts w:ascii="Simplified Arabic" w:hAnsi="Simplified Arabic"/>
                <w:i/>
                <w:iCs/>
                <w:color w:val="000000"/>
                <w:sz w:val="20"/>
                <w:szCs w:val="20"/>
              </w:rPr>
            </w:pPr>
            <w:r w:rsidRPr="00B41A33">
              <w:rPr>
                <w:rFonts w:ascii="Simplified Arabic" w:hAnsi="Simplified Arabic" w:hint="cs"/>
                <w:i/>
                <w:iCs/>
                <w:color w:val="000000"/>
                <w:sz w:val="20"/>
                <w:szCs w:val="20"/>
                <w:rtl/>
              </w:rPr>
              <w:t xml:space="preserve">تكاليف دعم البرامج </w:t>
            </w:r>
          </w:p>
        </w:tc>
        <w:tc>
          <w:tcPr>
            <w:tcW w:w="1100" w:type="dxa"/>
            <w:tcBorders>
              <w:top w:val="single" w:sz="4" w:space="0" w:color="auto"/>
              <w:left w:val="nil"/>
              <w:bottom w:val="single" w:sz="8" w:space="0" w:color="auto"/>
              <w:right w:val="nil"/>
            </w:tcBorders>
            <w:shd w:val="clear" w:color="auto" w:fill="auto"/>
            <w:noWrap/>
            <w:vAlign w:val="center"/>
            <w:hideMark/>
          </w:tcPr>
          <w:p w:rsidR="00ED48E1" w:rsidRPr="00B41A33" w:rsidRDefault="00ED48E1" w:rsidP="00ED48E1">
            <w:pPr>
              <w:jc w:val="center"/>
              <w:rPr>
                <w:rFonts w:ascii="Simplified Arabic" w:hAnsi="Simplified Arabic"/>
                <w:i/>
                <w:iCs/>
                <w:color w:val="000000"/>
                <w:sz w:val="20"/>
                <w:szCs w:val="20"/>
              </w:rPr>
            </w:pPr>
            <w:r w:rsidRPr="00B41A33">
              <w:rPr>
                <w:rFonts w:ascii="Simplified Arabic" w:hAnsi="Simplified Arabic" w:hint="cs"/>
                <w:i/>
                <w:iCs/>
                <w:color w:val="000000"/>
                <w:sz w:val="20"/>
                <w:szCs w:val="20"/>
                <w:rtl/>
              </w:rPr>
              <w:t>المجموع</w:t>
            </w:r>
          </w:p>
        </w:tc>
      </w:tr>
      <w:tr w:rsidR="00ED48E1" w:rsidRPr="00654A81" w:rsidTr="00ED48E1">
        <w:trPr>
          <w:trHeight w:val="288"/>
          <w:jc w:val="center"/>
        </w:trPr>
        <w:tc>
          <w:tcPr>
            <w:tcW w:w="3060" w:type="dxa"/>
            <w:tcBorders>
              <w:top w:val="nil"/>
              <w:left w:val="nil"/>
              <w:bottom w:val="nil"/>
              <w:right w:val="nil"/>
            </w:tcBorders>
            <w:shd w:val="clear" w:color="auto" w:fill="auto"/>
            <w:noWrap/>
            <w:vAlign w:val="center"/>
            <w:hideMark/>
          </w:tcPr>
          <w:p w:rsidR="00ED48E1" w:rsidRPr="00B957BB" w:rsidRDefault="00ED48E1" w:rsidP="00ED48E1">
            <w:pPr>
              <w:spacing w:after="0" w:line="240" w:lineRule="auto"/>
              <w:rPr>
                <w:color w:val="000000"/>
                <w:szCs w:val="22"/>
              </w:rPr>
            </w:pPr>
            <w:r w:rsidRPr="00B957BB">
              <w:rPr>
                <w:rFonts w:hint="cs"/>
                <w:color w:val="000000"/>
                <w:szCs w:val="22"/>
                <w:rtl/>
              </w:rPr>
              <w:t>اتفاقية التنوع البيولوجي</w:t>
            </w:r>
          </w:p>
        </w:tc>
        <w:tc>
          <w:tcPr>
            <w:tcW w:w="181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19</w:t>
            </w:r>
            <w:r>
              <w:rPr>
                <w:color w:val="000000"/>
                <w:sz w:val="20"/>
                <w:szCs w:val="20"/>
              </w:rPr>
              <w:t xml:space="preserve"> </w:t>
            </w:r>
            <w:r w:rsidRPr="00B957BB">
              <w:rPr>
                <w:color w:val="000000"/>
                <w:sz w:val="20"/>
                <w:szCs w:val="20"/>
              </w:rPr>
              <w:t>475.0</w:t>
            </w:r>
          </w:p>
        </w:tc>
        <w:tc>
          <w:tcPr>
            <w:tcW w:w="172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2</w:t>
            </w:r>
            <w:r>
              <w:rPr>
                <w:color w:val="000000"/>
                <w:sz w:val="20"/>
                <w:szCs w:val="20"/>
              </w:rPr>
              <w:t xml:space="preserve"> </w:t>
            </w:r>
            <w:r w:rsidRPr="00B957BB">
              <w:rPr>
                <w:color w:val="000000"/>
                <w:sz w:val="20"/>
                <w:szCs w:val="20"/>
              </w:rPr>
              <w:t>531.8</w:t>
            </w:r>
          </w:p>
        </w:tc>
        <w:tc>
          <w:tcPr>
            <w:tcW w:w="110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22</w:t>
            </w:r>
            <w:r>
              <w:rPr>
                <w:color w:val="000000"/>
                <w:sz w:val="20"/>
                <w:szCs w:val="20"/>
              </w:rPr>
              <w:t xml:space="preserve"> </w:t>
            </w:r>
            <w:r w:rsidRPr="00B957BB">
              <w:rPr>
                <w:color w:val="000000"/>
                <w:sz w:val="20"/>
                <w:szCs w:val="20"/>
              </w:rPr>
              <w:t>006.8</w:t>
            </w:r>
          </w:p>
        </w:tc>
      </w:tr>
      <w:tr w:rsidR="00ED48E1" w:rsidRPr="00654A81" w:rsidTr="00ED48E1">
        <w:trPr>
          <w:trHeight w:val="288"/>
          <w:jc w:val="center"/>
        </w:trPr>
        <w:tc>
          <w:tcPr>
            <w:tcW w:w="3060" w:type="dxa"/>
            <w:tcBorders>
              <w:top w:val="nil"/>
              <w:left w:val="nil"/>
              <w:bottom w:val="nil"/>
              <w:right w:val="nil"/>
            </w:tcBorders>
            <w:shd w:val="clear" w:color="auto" w:fill="auto"/>
            <w:noWrap/>
            <w:vAlign w:val="center"/>
            <w:hideMark/>
          </w:tcPr>
          <w:p w:rsidR="00ED48E1" w:rsidRPr="00B957BB" w:rsidRDefault="00ED48E1" w:rsidP="00ED48E1">
            <w:pPr>
              <w:spacing w:after="0" w:line="240" w:lineRule="auto"/>
              <w:rPr>
                <w:color w:val="000000"/>
                <w:szCs w:val="22"/>
              </w:rPr>
            </w:pPr>
            <w:r w:rsidRPr="00B957BB">
              <w:rPr>
                <w:rFonts w:hint="cs"/>
                <w:color w:val="000000"/>
                <w:szCs w:val="22"/>
                <w:rtl/>
              </w:rPr>
              <w:t>بروتوكول قرطاجنة للس</w:t>
            </w:r>
            <w:r>
              <w:rPr>
                <w:rFonts w:hint="cs"/>
                <w:color w:val="000000"/>
                <w:szCs w:val="22"/>
                <w:rtl/>
              </w:rPr>
              <w:t>لا</w:t>
            </w:r>
            <w:r w:rsidRPr="00B957BB">
              <w:rPr>
                <w:rFonts w:hint="cs"/>
                <w:color w:val="000000"/>
                <w:szCs w:val="22"/>
                <w:rtl/>
              </w:rPr>
              <w:t>مة الأحيائية</w:t>
            </w:r>
          </w:p>
        </w:tc>
        <w:tc>
          <w:tcPr>
            <w:tcW w:w="181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899.0</w:t>
            </w:r>
          </w:p>
        </w:tc>
        <w:tc>
          <w:tcPr>
            <w:tcW w:w="172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116.9</w:t>
            </w:r>
          </w:p>
        </w:tc>
        <w:tc>
          <w:tcPr>
            <w:tcW w:w="110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1</w:t>
            </w:r>
            <w:r>
              <w:rPr>
                <w:color w:val="000000"/>
                <w:sz w:val="20"/>
                <w:szCs w:val="20"/>
              </w:rPr>
              <w:t xml:space="preserve"> </w:t>
            </w:r>
            <w:r w:rsidRPr="00B957BB">
              <w:rPr>
                <w:color w:val="000000"/>
                <w:sz w:val="20"/>
                <w:szCs w:val="20"/>
              </w:rPr>
              <w:t>015.9</w:t>
            </w:r>
          </w:p>
        </w:tc>
      </w:tr>
      <w:tr w:rsidR="00ED48E1" w:rsidRPr="00654A81" w:rsidTr="00ED48E1">
        <w:trPr>
          <w:trHeight w:val="288"/>
          <w:jc w:val="center"/>
        </w:trPr>
        <w:tc>
          <w:tcPr>
            <w:tcW w:w="3060" w:type="dxa"/>
            <w:tcBorders>
              <w:top w:val="nil"/>
              <w:left w:val="nil"/>
              <w:bottom w:val="nil"/>
              <w:right w:val="nil"/>
            </w:tcBorders>
            <w:shd w:val="clear" w:color="auto" w:fill="auto"/>
            <w:noWrap/>
            <w:vAlign w:val="center"/>
            <w:hideMark/>
          </w:tcPr>
          <w:p w:rsidR="00ED48E1" w:rsidRPr="00B957BB" w:rsidRDefault="00ED48E1" w:rsidP="00ED48E1">
            <w:pPr>
              <w:spacing w:after="0" w:line="240" w:lineRule="auto"/>
              <w:rPr>
                <w:color w:val="000000"/>
                <w:szCs w:val="22"/>
              </w:rPr>
            </w:pPr>
            <w:r w:rsidRPr="00B957BB">
              <w:rPr>
                <w:rFonts w:hint="cs"/>
                <w:color w:val="000000"/>
                <w:szCs w:val="22"/>
                <w:rtl/>
              </w:rPr>
              <w:t>بروتوكول ناغويا</w:t>
            </w:r>
          </w:p>
        </w:tc>
        <w:tc>
          <w:tcPr>
            <w:tcW w:w="181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238.0</w:t>
            </w:r>
          </w:p>
        </w:tc>
        <w:tc>
          <w:tcPr>
            <w:tcW w:w="172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30.9</w:t>
            </w:r>
          </w:p>
        </w:tc>
        <w:tc>
          <w:tcPr>
            <w:tcW w:w="1100" w:type="dxa"/>
            <w:tcBorders>
              <w:top w:val="nil"/>
              <w:left w:val="nil"/>
              <w:bottom w:val="nil"/>
              <w:right w:val="nil"/>
            </w:tcBorders>
            <w:shd w:val="clear" w:color="auto" w:fill="auto"/>
            <w:noWrap/>
            <w:vAlign w:val="center"/>
            <w:hideMark/>
          </w:tcPr>
          <w:p w:rsidR="00ED48E1" w:rsidRPr="00B957BB" w:rsidRDefault="00ED48E1" w:rsidP="00ED48E1">
            <w:pPr>
              <w:spacing w:before="40" w:after="0" w:line="240" w:lineRule="auto"/>
              <w:jc w:val="right"/>
              <w:rPr>
                <w:color w:val="000000"/>
                <w:sz w:val="20"/>
                <w:szCs w:val="20"/>
              </w:rPr>
            </w:pPr>
            <w:r w:rsidRPr="00B957BB">
              <w:rPr>
                <w:color w:val="000000"/>
                <w:sz w:val="20"/>
                <w:szCs w:val="20"/>
              </w:rPr>
              <w:t>268.9</w:t>
            </w:r>
          </w:p>
        </w:tc>
      </w:tr>
      <w:tr w:rsidR="00ED48E1" w:rsidRPr="00654A81" w:rsidTr="00ED48E1">
        <w:trPr>
          <w:trHeight w:val="300"/>
          <w:jc w:val="center"/>
        </w:trPr>
        <w:tc>
          <w:tcPr>
            <w:tcW w:w="3060" w:type="dxa"/>
            <w:tcBorders>
              <w:top w:val="single" w:sz="4" w:space="0" w:color="auto"/>
              <w:left w:val="nil"/>
              <w:bottom w:val="single" w:sz="8" w:space="0" w:color="auto"/>
              <w:right w:val="nil"/>
            </w:tcBorders>
            <w:shd w:val="clear" w:color="auto" w:fill="auto"/>
            <w:noWrap/>
            <w:vAlign w:val="center"/>
            <w:hideMark/>
          </w:tcPr>
          <w:p w:rsidR="00ED48E1" w:rsidRPr="00B41A33" w:rsidRDefault="00ED48E1" w:rsidP="00ED48E1">
            <w:pPr>
              <w:spacing w:after="0" w:line="240" w:lineRule="auto"/>
              <w:rPr>
                <w:b/>
                <w:bCs/>
                <w:color w:val="000000"/>
                <w:szCs w:val="22"/>
                <w:rtl/>
              </w:rPr>
            </w:pPr>
            <w:r w:rsidRPr="00B41A33">
              <w:rPr>
                <w:rFonts w:hint="cs"/>
                <w:b/>
                <w:bCs/>
                <w:color w:val="000000"/>
                <w:szCs w:val="22"/>
                <w:rtl/>
              </w:rPr>
              <w:t>المجموع الكلي</w:t>
            </w:r>
          </w:p>
        </w:tc>
        <w:tc>
          <w:tcPr>
            <w:tcW w:w="1810" w:type="dxa"/>
            <w:tcBorders>
              <w:top w:val="single" w:sz="4" w:space="0" w:color="auto"/>
              <w:left w:val="nil"/>
              <w:bottom w:val="single" w:sz="8" w:space="0" w:color="auto"/>
              <w:right w:val="nil"/>
            </w:tcBorders>
            <w:shd w:val="clear" w:color="auto" w:fill="auto"/>
            <w:noWrap/>
            <w:vAlign w:val="center"/>
            <w:hideMark/>
          </w:tcPr>
          <w:p w:rsidR="00ED48E1" w:rsidRPr="00B41A33" w:rsidRDefault="00ED48E1" w:rsidP="00ED48E1">
            <w:pPr>
              <w:spacing w:before="40" w:after="0" w:line="240" w:lineRule="auto"/>
              <w:jc w:val="right"/>
              <w:rPr>
                <w:b/>
                <w:bCs/>
                <w:color w:val="000000"/>
                <w:sz w:val="20"/>
                <w:szCs w:val="20"/>
              </w:rPr>
            </w:pPr>
            <w:r w:rsidRPr="00B41A33">
              <w:rPr>
                <w:b/>
                <w:bCs/>
                <w:color w:val="000000"/>
                <w:sz w:val="20"/>
                <w:szCs w:val="20"/>
              </w:rPr>
              <w:t>20 612.0</w:t>
            </w:r>
          </w:p>
        </w:tc>
        <w:tc>
          <w:tcPr>
            <w:tcW w:w="1720" w:type="dxa"/>
            <w:tcBorders>
              <w:top w:val="single" w:sz="4" w:space="0" w:color="auto"/>
              <w:left w:val="nil"/>
              <w:bottom w:val="single" w:sz="8" w:space="0" w:color="auto"/>
              <w:right w:val="nil"/>
            </w:tcBorders>
            <w:shd w:val="clear" w:color="auto" w:fill="auto"/>
            <w:noWrap/>
            <w:vAlign w:val="center"/>
            <w:hideMark/>
          </w:tcPr>
          <w:p w:rsidR="00ED48E1" w:rsidRPr="00B41A33" w:rsidRDefault="00ED48E1" w:rsidP="00ED48E1">
            <w:pPr>
              <w:spacing w:before="40" w:after="0" w:line="240" w:lineRule="auto"/>
              <w:jc w:val="right"/>
              <w:rPr>
                <w:b/>
                <w:bCs/>
                <w:color w:val="000000"/>
                <w:sz w:val="20"/>
                <w:szCs w:val="20"/>
              </w:rPr>
            </w:pPr>
            <w:r w:rsidRPr="00B41A33">
              <w:rPr>
                <w:b/>
                <w:bCs/>
                <w:color w:val="000000"/>
                <w:sz w:val="20"/>
                <w:szCs w:val="20"/>
              </w:rPr>
              <w:t>2 679.6</w:t>
            </w:r>
          </w:p>
        </w:tc>
        <w:tc>
          <w:tcPr>
            <w:tcW w:w="1100" w:type="dxa"/>
            <w:tcBorders>
              <w:top w:val="single" w:sz="4" w:space="0" w:color="auto"/>
              <w:left w:val="nil"/>
              <w:bottom w:val="single" w:sz="8" w:space="0" w:color="auto"/>
              <w:right w:val="nil"/>
            </w:tcBorders>
            <w:shd w:val="clear" w:color="auto" w:fill="auto"/>
            <w:noWrap/>
            <w:vAlign w:val="center"/>
            <w:hideMark/>
          </w:tcPr>
          <w:p w:rsidR="00ED48E1" w:rsidRPr="00B41A33" w:rsidRDefault="00ED48E1" w:rsidP="00ED48E1">
            <w:pPr>
              <w:spacing w:before="40" w:after="0" w:line="240" w:lineRule="auto"/>
              <w:jc w:val="right"/>
              <w:rPr>
                <w:b/>
                <w:bCs/>
                <w:color w:val="000000"/>
                <w:sz w:val="20"/>
                <w:szCs w:val="20"/>
              </w:rPr>
            </w:pPr>
            <w:r w:rsidRPr="00B41A33">
              <w:rPr>
                <w:b/>
                <w:bCs/>
                <w:color w:val="000000"/>
                <w:sz w:val="20"/>
                <w:szCs w:val="20"/>
              </w:rPr>
              <w:t>23 291.6</w:t>
            </w:r>
          </w:p>
        </w:tc>
      </w:tr>
    </w:tbl>
    <w:p w:rsidR="00ED48E1" w:rsidRDefault="00ED48E1" w:rsidP="00ED48E1">
      <w:pPr>
        <w:spacing w:after="0" w:line="240" w:lineRule="auto"/>
        <w:rPr>
          <w:sz w:val="24"/>
          <w:rtl/>
        </w:rPr>
      </w:pPr>
    </w:p>
    <w:p w:rsidR="00ED48E1" w:rsidRDefault="00ED48E1" w:rsidP="00ED48E1">
      <w:pPr>
        <w:spacing w:after="0" w:line="240" w:lineRule="auto"/>
        <w:rPr>
          <w:sz w:val="24"/>
          <w:rtl/>
        </w:rPr>
      </w:pPr>
      <w:r>
        <w:rPr>
          <w:sz w:val="24"/>
          <w:rtl/>
        </w:rPr>
        <w:br w:type="page"/>
      </w:r>
    </w:p>
    <w:p w:rsidR="00ED48E1" w:rsidRPr="00B957BB" w:rsidRDefault="00ED48E1" w:rsidP="00ED48E1">
      <w:pPr>
        <w:ind w:left="2070" w:right="1260" w:hanging="1350"/>
        <w:rPr>
          <w:b/>
          <w:bCs/>
          <w:sz w:val="24"/>
          <w:rtl/>
        </w:rPr>
      </w:pPr>
      <w:r w:rsidRPr="00B957BB">
        <w:rPr>
          <w:rFonts w:hint="cs"/>
          <w:b/>
          <w:bCs/>
          <w:sz w:val="24"/>
          <w:rtl/>
        </w:rPr>
        <w:lastRenderedPageBreak/>
        <w:t>الجدول 4 -</w:t>
      </w:r>
      <w:r w:rsidRPr="00B957BB">
        <w:rPr>
          <w:rFonts w:hint="cs"/>
          <w:b/>
          <w:bCs/>
          <w:sz w:val="24"/>
          <w:rtl/>
        </w:rPr>
        <w:tab/>
      </w:r>
      <w:r w:rsidRPr="00B957BB">
        <w:rPr>
          <w:rFonts w:hint="cs"/>
          <w:b/>
          <w:bCs/>
          <w:kern w:val="22"/>
          <w:sz w:val="24"/>
          <w:rtl/>
        </w:rPr>
        <w:t xml:space="preserve">المتطلبات من الموارد من الصندوق الاستئماني الطوعي الخاص </w:t>
      </w:r>
      <w:r w:rsidRPr="00B957BB">
        <w:rPr>
          <w:b/>
          <w:bCs/>
          <w:kern w:val="22"/>
          <w:szCs w:val="22"/>
          <w:lang w:val="en-CA"/>
        </w:rPr>
        <w:t>(BZ)</w:t>
      </w:r>
      <w:r w:rsidRPr="00B957BB">
        <w:rPr>
          <w:rFonts w:hint="cs"/>
          <w:b/>
          <w:bCs/>
          <w:kern w:val="22"/>
          <w:sz w:val="24"/>
          <w:rtl/>
        </w:rPr>
        <w:t xml:space="preserve"> لتيسير مشاركة الأطراف في </w:t>
      </w:r>
      <w:r>
        <w:rPr>
          <w:rFonts w:hint="cs"/>
          <w:b/>
          <w:bCs/>
          <w:kern w:val="22"/>
          <w:sz w:val="24"/>
          <w:rtl/>
        </w:rPr>
        <w:t xml:space="preserve">عملية </w:t>
      </w:r>
      <w:r w:rsidRPr="00B957BB">
        <w:rPr>
          <w:rFonts w:hint="cs"/>
          <w:b/>
          <w:bCs/>
          <w:kern w:val="22"/>
          <w:sz w:val="24"/>
          <w:rtl/>
        </w:rPr>
        <w:t>الاتفاقية ل</w:t>
      </w:r>
      <w:r>
        <w:rPr>
          <w:rFonts w:hint="cs"/>
          <w:b/>
          <w:bCs/>
          <w:kern w:val="22"/>
          <w:sz w:val="24"/>
          <w:rtl/>
        </w:rPr>
        <w:t>ل</w:t>
      </w:r>
      <w:r w:rsidRPr="00B957BB">
        <w:rPr>
          <w:rFonts w:hint="cs"/>
          <w:b/>
          <w:bCs/>
          <w:kern w:val="22"/>
          <w:sz w:val="24"/>
          <w:rtl/>
        </w:rPr>
        <w:t>فترة 2019-2020</w:t>
      </w:r>
    </w:p>
    <w:tbl>
      <w:tblPr>
        <w:bidiVisual/>
        <w:tblW w:w="9675" w:type="dxa"/>
        <w:jc w:val="center"/>
        <w:tblInd w:w="-162" w:type="dxa"/>
        <w:tblLook w:val="04A0"/>
      </w:tblPr>
      <w:tblGrid>
        <w:gridCol w:w="7290"/>
        <w:gridCol w:w="2385"/>
      </w:tblGrid>
      <w:tr w:rsidR="00ED48E1" w:rsidRPr="0047688B" w:rsidTr="00ED48E1">
        <w:trPr>
          <w:trHeight w:val="288"/>
          <w:jc w:val="center"/>
        </w:trPr>
        <w:tc>
          <w:tcPr>
            <w:tcW w:w="7290" w:type="dxa"/>
            <w:vMerge w:val="restart"/>
            <w:tcBorders>
              <w:top w:val="single" w:sz="8" w:space="0" w:color="000000"/>
              <w:left w:val="nil"/>
              <w:bottom w:val="single" w:sz="8" w:space="0" w:color="000000"/>
              <w:right w:val="nil"/>
            </w:tcBorders>
            <w:shd w:val="clear" w:color="auto" w:fill="auto"/>
            <w:vAlign w:val="center"/>
            <w:hideMark/>
          </w:tcPr>
          <w:p w:rsidR="00ED48E1" w:rsidRPr="000B0AAD" w:rsidRDefault="00ED48E1" w:rsidP="00ED48E1">
            <w:pPr>
              <w:spacing w:after="0" w:line="240" w:lineRule="auto"/>
              <w:jc w:val="center"/>
              <w:rPr>
                <w:i/>
                <w:iCs/>
                <w:color w:val="000000"/>
                <w:sz w:val="20"/>
                <w:szCs w:val="20"/>
              </w:rPr>
            </w:pPr>
            <w:r w:rsidRPr="000B0AAD">
              <w:rPr>
                <w:rFonts w:hint="cs"/>
                <w:i/>
                <w:iCs/>
                <w:color w:val="000000"/>
                <w:sz w:val="20"/>
                <w:szCs w:val="20"/>
                <w:rtl/>
              </w:rPr>
              <w:t>وصف الاجتماعات</w:t>
            </w:r>
          </w:p>
        </w:tc>
        <w:tc>
          <w:tcPr>
            <w:tcW w:w="2385" w:type="dxa"/>
            <w:tcBorders>
              <w:top w:val="single" w:sz="8" w:space="0" w:color="000000"/>
              <w:left w:val="nil"/>
              <w:bottom w:val="nil"/>
              <w:right w:val="nil"/>
            </w:tcBorders>
            <w:shd w:val="clear" w:color="auto" w:fill="auto"/>
            <w:vAlign w:val="center"/>
            <w:hideMark/>
          </w:tcPr>
          <w:p w:rsidR="00ED48E1" w:rsidRPr="000B0AAD" w:rsidRDefault="00ED48E1" w:rsidP="00ED48E1">
            <w:pPr>
              <w:spacing w:after="0" w:line="240" w:lineRule="auto"/>
              <w:jc w:val="center"/>
              <w:rPr>
                <w:i/>
                <w:iCs/>
                <w:color w:val="000000"/>
                <w:sz w:val="20"/>
                <w:szCs w:val="20"/>
                <w:rtl/>
              </w:rPr>
            </w:pPr>
            <w:r w:rsidRPr="000B0AAD">
              <w:rPr>
                <w:rFonts w:hint="cs"/>
                <w:i/>
                <w:iCs/>
                <w:color w:val="000000"/>
                <w:sz w:val="20"/>
                <w:szCs w:val="20"/>
                <w:rtl/>
              </w:rPr>
              <w:t>2019-2020</w:t>
            </w:r>
          </w:p>
        </w:tc>
      </w:tr>
      <w:tr w:rsidR="00ED48E1" w:rsidRPr="0047688B" w:rsidTr="00ED48E1">
        <w:trPr>
          <w:trHeight w:val="300"/>
          <w:jc w:val="center"/>
        </w:trPr>
        <w:tc>
          <w:tcPr>
            <w:tcW w:w="7290" w:type="dxa"/>
            <w:vMerge/>
            <w:tcBorders>
              <w:top w:val="single" w:sz="8" w:space="0" w:color="000000"/>
              <w:left w:val="nil"/>
              <w:bottom w:val="single" w:sz="8" w:space="0" w:color="000000"/>
              <w:right w:val="nil"/>
            </w:tcBorders>
            <w:vAlign w:val="center"/>
            <w:hideMark/>
          </w:tcPr>
          <w:p w:rsidR="00ED48E1" w:rsidRPr="000B0AAD" w:rsidRDefault="00ED48E1" w:rsidP="00ED48E1">
            <w:pPr>
              <w:spacing w:after="0" w:line="240" w:lineRule="auto"/>
              <w:rPr>
                <w:i/>
                <w:iCs/>
                <w:color w:val="000000"/>
                <w:sz w:val="20"/>
                <w:szCs w:val="20"/>
              </w:rPr>
            </w:pPr>
          </w:p>
        </w:tc>
        <w:tc>
          <w:tcPr>
            <w:tcW w:w="2385" w:type="dxa"/>
            <w:tcBorders>
              <w:top w:val="nil"/>
              <w:left w:val="nil"/>
              <w:bottom w:val="single" w:sz="8" w:space="0" w:color="000000"/>
              <w:right w:val="nil"/>
            </w:tcBorders>
            <w:shd w:val="clear" w:color="auto" w:fill="auto"/>
            <w:vAlign w:val="center"/>
            <w:hideMark/>
          </w:tcPr>
          <w:p w:rsidR="00ED48E1" w:rsidRPr="000B0AAD" w:rsidRDefault="00ED48E1" w:rsidP="00ED48E1">
            <w:pPr>
              <w:spacing w:after="0" w:line="240" w:lineRule="auto"/>
              <w:jc w:val="center"/>
              <w:rPr>
                <w:i/>
                <w:iCs/>
                <w:color w:val="000000"/>
                <w:sz w:val="20"/>
                <w:szCs w:val="20"/>
                <w:rtl/>
              </w:rPr>
            </w:pPr>
            <w:r>
              <w:rPr>
                <w:rFonts w:hint="cs"/>
                <w:i/>
                <w:iCs/>
                <w:color w:val="000000"/>
                <w:sz w:val="20"/>
                <w:szCs w:val="20"/>
                <w:rtl/>
              </w:rPr>
              <w:t xml:space="preserve">(بآلاف </w:t>
            </w:r>
            <w:r w:rsidRPr="000B0AAD">
              <w:rPr>
                <w:rFonts w:hint="cs"/>
                <w:i/>
                <w:iCs/>
                <w:color w:val="000000"/>
                <w:sz w:val="20"/>
                <w:szCs w:val="20"/>
                <w:rtl/>
              </w:rPr>
              <w:t xml:space="preserve">دولارات </w:t>
            </w:r>
            <w:r>
              <w:rPr>
                <w:rFonts w:hint="cs"/>
                <w:i/>
                <w:iCs/>
                <w:color w:val="000000"/>
                <w:sz w:val="20"/>
                <w:szCs w:val="20"/>
                <w:rtl/>
              </w:rPr>
              <w:t>الولايات المتحدة</w:t>
            </w:r>
            <w:r w:rsidRPr="000B0AAD">
              <w:rPr>
                <w:rFonts w:hint="cs"/>
                <w:i/>
                <w:iCs/>
                <w:color w:val="000000"/>
                <w:sz w:val="20"/>
                <w:szCs w:val="20"/>
                <w:rtl/>
              </w:rPr>
              <w:t>)</w:t>
            </w:r>
          </w:p>
        </w:tc>
      </w:tr>
      <w:tr w:rsidR="00ED48E1" w:rsidRPr="0047688B" w:rsidTr="00ED48E1">
        <w:trPr>
          <w:trHeight w:val="288"/>
          <w:jc w:val="center"/>
        </w:trPr>
        <w:tc>
          <w:tcPr>
            <w:tcW w:w="7290" w:type="dxa"/>
            <w:tcBorders>
              <w:top w:val="nil"/>
              <w:left w:val="nil"/>
              <w:bottom w:val="nil"/>
              <w:right w:val="nil"/>
            </w:tcBorders>
            <w:shd w:val="clear" w:color="auto" w:fill="auto"/>
            <w:vAlign w:val="center"/>
            <w:hideMark/>
          </w:tcPr>
          <w:p w:rsidR="00ED48E1" w:rsidRPr="007070BD" w:rsidRDefault="00ED48E1" w:rsidP="00ED48E1">
            <w:pPr>
              <w:spacing w:after="0" w:line="240" w:lineRule="auto"/>
              <w:rPr>
                <w:b/>
                <w:bCs/>
                <w:color w:val="000000"/>
                <w:szCs w:val="22"/>
              </w:rPr>
            </w:pPr>
            <w:r w:rsidRPr="007070BD">
              <w:rPr>
                <w:rFonts w:hint="cs"/>
                <w:b/>
                <w:bCs/>
                <w:color w:val="000000"/>
                <w:szCs w:val="22"/>
                <w:rtl/>
              </w:rPr>
              <w:t>أولا -  الاجتماعات</w:t>
            </w:r>
          </w:p>
        </w:tc>
        <w:tc>
          <w:tcPr>
            <w:tcW w:w="2385" w:type="dxa"/>
            <w:tcBorders>
              <w:top w:val="nil"/>
              <w:left w:val="nil"/>
              <w:bottom w:val="nil"/>
              <w:right w:val="nil"/>
            </w:tcBorders>
            <w:shd w:val="clear" w:color="auto" w:fill="auto"/>
            <w:vAlign w:val="center"/>
            <w:hideMark/>
          </w:tcPr>
          <w:p w:rsidR="00ED48E1" w:rsidRPr="0047688B" w:rsidRDefault="00ED48E1" w:rsidP="00ED48E1">
            <w:pPr>
              <w:spacing w:after="0" w:line="240" w:lineRule="auto"/>
              <w:jc w:val="right"/>
              <w:rPr>
                <w:color w:val="000000"/>
                <w:sz w:val="17"/>
                <w:szCs w:val="17"/>
              </w:rPr>
            </w:pP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7070BD" w:rsidRDefault="00ED48E1" w:rsidP="00ED48E1">
            <w:pPr>
              <w:spacing w:after="0" w:line="240" w:lineRule="auto"/>
              <w:ind w:left="267" w:hanging="267"/>
              <w:rPr>
                <w:color w:val="000000"/>
                <w:szCs w:val="22"/>
              </w:rPr>
            </w:pPr>
            <w:r w:rsidRPr="007070BD">
              <w:rPr>
                <w:rFonts w:hint="cs"/>
                <w:color w:val="000000"/>
                <w:szCs w:val="22"/>
                <w:rtl/>
              </w:rPr>
              <w:t>الاجتماع الخامس عشر لمؤتمر الأطراف، الاجتماع العاشر للأطراف في بروتوكول قرطاجنة، والاجتماع الرابع للأطراف في بروتوكول ناغويا</w:t>
            </w:r>
          </w:p>
        </w:tc>
        <w:tc>
          <w:tcPr>
            <w:tcW w:w="2385" w:type="dxa"/>
            <w:tcBorders>
              <w:top w:val="nil"/>
              <w:left w:val="nil"/>
              <w:bottom w:val="nil"/>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1</w:t>
            </w:r>
            <w:r>
              <w:rPr>
                <w:color w:val="000000"/>
                <w:sz w:val="20"/>
                <w:szCs w:val="20"/>
              </w:rPr>
              <w:t xml:space="preserve"> </w:t>
            </w:r>
            <w:r w:rsidRPr="000B0AAD">
              <w:rPr>
                <w:color w:val="000000"/>
                <w:sz w:val="20"/>
                <w:szCs w:val="20"/>
              </w:rPr>
              <w:t>500.0</w:t>
            </w: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7070BD" w:rsidRDefault="00ED48E1" w:rsidP="00ED48E1">
            <w:pPr>
              <w:spacing w:after="0" w:line="240" w:lineRule="auto"/>
              <w:rPr>
                <w:color w:val="000000"/>
                <w:szCs w:val="22"/>
              </w:rPr>
            </w:pPr>
            <w:r>
              <w:rPr>
                <w:rFonts w:hint="cs"/>
                <w:color w:val="000000"/>
                <w:szCs w:val="22"/>
                <w:rtl/>
              </w:rPr>
              <w:t>اجتماعات إقليمية للتحضير للاجتماعات المتزامنة لمؤتمر الأطراف</w:t>
            </w:r>
          </w:p>
        </w:tc>
        <w:tc>
          <w:tcPr>
            <w:tcW w:w="2385" w:type="dxa"/>
            <w:tcBorders>
              <w:top w:val="nil"/>
              <w:left w:val="nil"/>
              <w:bottom w:val="nil"/>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100.0</w:t>
            </w: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7070BD" w:rsidRDefault="00ED48E1" w:rsidP="00ED48E1">
            <w:pPr>
              <w:spacing w:after="0" w:line="240" w:lineRule="auto"/>
              <w:rPr>
                <w:color w:val="000000"/>
                <w:szCs w:val="22"/>
                <w:rtl/>
              </w:rPr>
            </w:pPr>
            <w:r>
              <w:rPr>
                <w:rFonts w:hint="cs"/>
                <w:color w:val="000000"/>
                <w:szCs w:val="22"/>
                <w:rtl/>
              </w:rPr>
              <w:t>الهيئة الفرعية للمشورة العلمية والتقنية والتكنولوجية (الاجتماعان الثالث والعشرون والرابع والعشرون)</w:t>
            </w:r>
          </w:p>
        </w:tc>
        <w:tc>
          <w:tcPr>
            <w:tcW w:w="2385" w:type="dxa"/>
            <w:tcBorders>
              <w:top w:val="nil"/>
              <w:left w:val="nil"/>
              <w:bottom w:val="nil"/>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1</w:t>
            </w:r>
            <w:r>
              <w:rPr>
                <w:color w:val="000000"/>
                <w:sz w:val="20"/>
                <w:szCs w:val="20"/>
              </w:rPr>
              <w:t xml:space="preserve"> </w:t>
            </w:r>
            <w:r w:rsidRPr="000B0AAD">
              <w:rPr>
                <w:color w:val="000000"/>
                <w:sz w:val="20"/>
                <w:szCs w:val="20"/>
              </w:rPr>
              <w:t>200.0</w:t>
            </w: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7070BD" w:rsidRDefault="00ED48E1" w:rsidP="00ED48E1">
            <w:pPr>
              <w:spacing w:after="0" w:line="240" w:lineRule="auto"/>
              <w:rPr>
                <w:color w:val="000000"/>
                <w:szCs w:val="22"/>
                <w:rtl/>
              </w:rPr>
            </w:pPr>
            <w:r>
              <w:rPr>
                <w:rFonts w:hint="cs"/>
                <w:color w:val="000000"/>
                <w:szCs w:val="22"/>
                <w:rtl/>
              </w:rPr>
              <w:t>الفريق العامل المفتوح العضوية المخصص للمادة 8(ي) والأحكام المتصلة بها (الاجتماع الحادي عشر)</w:t>
            </w:r>
          </w:p>
        </w:tc>
        <w:tc>
          <w:tcPr>
            <w:tcW w:w="2385" w:type="dxa"/>
            <w:tcBorders>
              <w:top w:val="nil"/>
              <w:left w:val="nil"/>
              <w:bottom w:val="nil"/>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150.0</w:t>
            </w: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7070BD" w:rsidRDefault="00ED48E1" w:rsidP="00ED48E1">
            <w:pPr>
              <w:spacing w:after="0" w:line="240" w:lineRule="auto"/>
              <w:rPr>
                <w:color w:val="000000"/>
                <w:szCs w:val="22"/>
                <w:rtl/>
              </w:rPr>
            </w:pPr>
            <w:r>
              <w:rPr>
                <w:rFonts w:hint="cs"/>
                <w:color w:val="000000"/>
                <w:szCs w:val="22"/>
                <w:rtl/>
              </w:rPr>
              <w:t>الهيئة الفرعية للتنفيذ (الاجتماع الثالث)</w:t>
            </w:r>
          </w:p>
        </w:tc>
        <w:tc>
          <w:tcPr>
            <w:tcW w:w="2385" w:type="dxa"/>
            <w:tcBorders>
              <w:top w:val="nil"/>
              <w:left w:val="nil"/>
              <w:bottom w:val="nil"/>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150.0</w:t>
            </w:r>
          </w:p>
        </w:tc>
      </w:tr>
      <w:tr w:rsidR="00ED48E1" w:rsidRPr="0047688B" w:rsidTr="00ED48E1">
        <w:trPr>
          <w:trHeight w:val="468"/>
          <w:jc w:val="center"/>
        </w:trPr>
        <w:tc>
          <w:tcPr>
            <w:tcW w:w="7290" w:type="dxa"/>
            <w:tcBorders>
              <w:top w:val="nil"/>
              <w:left w:val="nil"/>
              <w:bottom w:val="single" w:sz="8" w:space="0" w:color="000000"/>
              <w:right w:val="nil"/>
            </w:tcBorders>
            <w:shd w:val="clear" w:color="auto" w:fill="auto"/>
            <w:noWrap/>
            <w:vAlign w:val="center"/>
            <w:hideMark/>
          </w:tcPr>
          <w:p w:rsidR="00ED48E1" w:rsidRPr="007070BD" w:rsidRDefault="00ED48E1" w:rsidP="00ED48E1">
            <w:pPr>
              <w:spacing w:after="0" w:line="240" w:lineRule="auto"/>
              <w:rPr>
                <w:color w:val="000000"/>
                <w:szCs w:val="22"/>
                <w:rtl/>
              </w:rPr>
            </w:pPr>
            <w:r>
              <w:rPr>
                <w:rFonts w:hint="cs"/>
                <w:color w:val="000000"/>
                <w:szCs w:val="22"/>
                <w:rtl/>
              </w:rPr>
              <w:t>اجتماعات استثنائية بشأن الإطار لما بعد 2020</w:t>
            </w:r>
          </w:p>
        </w:tc>
        <w:tc>
          <w:tcPr>
            <w:tcW w:w="2385" w:type="dxa"/>
            <w:tcBorders>
              <w:top w:val="nil"/>
              <w:left w:val="nil"/>
              <w:bottom w:val="single" w:sz="8" w:space="0" w:color="000000"/>
              <w:right w:val="nil"/>
            </w:tcBorders>
            <w:shd w:val="clear" w:color="auto" w:fill="auto"/>
            <w:vAlign w:val="center"/>
            <w:hideMark/>
          </w:tcPr>
          <w:p w:rsidR="00ED48E1" w:rsidRPr="000B0AAD" w:rsidRDefault="00ED48E1" w:rsidP="00ED48E1">
            <w:pPr>
              <w:spacing w:after="0" w:line="240" w:lineRule="auto"/>
              <w:ind w:firstLine="612"/>
              <w:rPr>
                <w:color w:val="000000"/>
                <w:sz w:val="20"/>
                <w:szCs w:val="20"/>
              </w:rPr>
            </w:pPr>
            <w:r w:rsidRPr="000B0AAD">
              <w:rPr>
                <w:color w:val="000000"/>
                <w:sz w:val="20"/>
                <w:szCs w:val="20"/>
              </w:rPr>
              <w:t>300.0</w:t>
            </w:r>
          </w:p>
        </w:tc>
      </w:tr>
      <w:tr w:rsidR="00ED48E1" w:rsidRPr="0047688B" w:rsidTr="00ED48E1">
        <w:trPr>
          <w:trHeight w:val="300"/>
          <w:jc w:val="center"/>
        </w:trPr>
        <w:tc>
          <w:tcPr>
            <w:tcW w:w="7290" w:type="dxa"/>
            <w:tcBorders>
              <w:top w:val="nil"/>
              <w:left w:val="nil"/>
              <w:bottom w:val="single" w:sz="8" w:space="0" w:color="000000"/>
              <w:right w:val="nil"/>
            </w:tcBorders>
            <w:shd w:val="clear" w:color="auto" w:fill="auto"/>
            <w:vAlign w:val="center"/>
            <w:hideMark/>
          </w:tcPr>
          <w:p w:rsidR="00ED48E1" w:rsidRPr="007070BD" w:rsidRDefault="00ED48E1" w:rsidP="00ED48E1">
            <w:pPr>
              <w:spacing w:after="0" w:line="240" w:lineRule="auto"/>
              <w:rPr>
                <w:b/>
                <w:bCs/>
                <w:color w:val="000000"/>
                <w:szCs w:val="22"/>
              </w:rPr>
            </w:pPr>
            <w:r>
              <w:rPr>
                <w:rFonts w:hint="cs"/>
                <w:b/>
                <w:bCs/>
                <w:color w:val="000000"/>
                <w:szCs w:val="22"/>
                <w:rtl/>
              </w:rPr>
              <w:t>المجموع الفرعي للتكاليف</w:t>
            </w:r>
          </w:p>
        </w:tc>
        <w:tc>
          <w:tcPr>
            <w:tcW w:w="2385" w:type="dxa"/>
            <w:tcBorders>
              <w:top w:val="nil"/>
              <w:left w:val="nil"/>
              <w:bottom w:val="single" w:sz="8" w:space="0" w:color="000000"/>
              <w:right w:val="nil"/>
            </w:tcBorders>
            <w:shd w:val="clear" w:color="auto" w:fill="auto"/>
            <w:vAlign w:val="center"/>
            <w:hideMark/>
          </w:tcPr>
          <w:p w:rsidR="00ED48E1" w:rsidRPr="000B0AAD" w:rsidRDefault="00ED48E1" w:rsidP="00ED48E1">
            <w:pPr>
              <w:spacing w:after="0" w:line="240" w:lineRule="auto"/>
              <w:ind w:firstLine="612"/>
              <w:rPr>
                <w:b/>
                <w:bCs/>
                <w:color w:val="000000"/>
                <w:sz w:val="20"/>
                <w:szCs w:val="20"/>
              </w:rPr>
            </w:pPr>
            <w:r w:rsidRPr="000B0AAD">
              <w:rPr>
                <w:b/>
                <w:bCs/>
                <w:color w:val="000000"/>
                <w:sz w:val="20"/>
                <w:szCs w:val="20"/>
              </w:rPr>
              <w:t>3</w:t>
            </w:r>
            <w:r>
              <w:rPr>
                <w:b/>
                <w:bCs/>
                <w:color w:val="000000"/>
                <w:sz w:val="20"/>
                <w:szCs w:val="20"/>
              </w:rPr>
              <w:t xml:space="preserve"> </w:t>
            </w:r>
            <w:r w:rsidRPr="000B0AAD">
              <w:rPr>
                <w:b/>
                <w:bCs/>
                <w:color w:val="000000"/>
                <w:sz w:val="20"/>
                <w:szCs w:val="20"/>
              </w:rPr>
              <w:t>400.0</w:t>
            </w:r>
          </w:p>
        </w:tc>
      </w:tr>
      <w:tr w:rsidR="00ED48E1" w:rsidRPr="0047688B" w:rsidTr="00ED48E1">
        <w:trPr>
          <w:trHeight w:val="300"/>
          <w:jc w:val="center"/>
        </w:trPr>
        <w:tc>
          <w:tcPr>
            <w:tcW w:w="7290" w:type="dxa"/>
            <w:tcBorders>
              <w:top w:val="nil"/>
              <w:left w:val="nil"/>
              <w:bottom w:val="single" w:sz="8" w:space="0" w:color="000000"/>
              <w:right w:val="nil"/>
            </w:tcBorders>
            <w:shd w:val="clear" w:color="auto" w:fill="auto"/>
            <w:vAlign w:val="center"/>
            <w:hideMark/>
          </w:tcPr>
          <w:p w:rsidR="00ED48E1" w:rsidRPr="007070BD" w:rsidRDefault="00ED48E1" w:rsidP="00ED48E1">
            <w:pPr>
              <w:spacing w:after="0" w:line="240" w:lineRule="auto"/>
              <w:rPr>
                <w:b/>
                <w:bCs/>
                <w:color w:val="000000"/>
                <w:szCs w:val="22"/>
              </w:rPr>
            </w:pPr>
            <w:r>
              <w:rPr>
                <w:rFonts w:hint="cs"/>
                <w:b/>
                <w:bCs/>
                <w:color w:val="000000"/>
                <w:szCs w:val="22"/>
                <w:rtl/>
              </w:rPr>
              <w:t xml:space="preserve">ثانيا </w:t>
            </w:r>
            <w:r>
              <w:rPr>
                <w:b/>
                <w:bCs/>
                <w:color w:val="000000"/>
                <w:szCs w:val="22"/>
                <w:rtl/>
              </w:rPr>
              <w:t>–</w:t>
            </w:r>
            <w:r>
              <w:rPr>
                <w:rFonts w:hint="cs"/>
                <w:b/>
                <w:bCs/>
                <w:color w:val="000000"/>
                <w:szCs w:val="22"/>
                <w:rtl/>
              </w:rPr>
              <w:t xml:space="preserve">  تكاليف دعم البرامج </w:t>
            </w:r>
          </w:p>
        </w:tc>
        <w:tc>
          <w:tcPr>
            <w:tcW w:w="2385" w:type="dxa"/>
            <w:tcBorders>
              <w:top w:val="nil"/>
              <w:left w:val="nil"/>
              <w:bottom w:val="single" w:sz="8" w:space="0" w:color="000000"/>
              <w:right w:val="nil"/>
            </w:tcBorders>
            <w:shd w:val="clear" w:color="auto" w:fill="auto"/>
            <w:vAlign w:val="center"/>
            <w:hideMark/>
          </w:tcPr>
          <w:p w:rsidR="00ED48E1" w:rsidRPr="000B0AAD" w:rsidRDefault="00ED48E1" w:rsidP="00ED48E1">
            <w:pPr>
              <w:spacing w:after="0" w:line="240" w:lineRule="auto"/>
              <w:ind w:firstLine="612"/>
              <w:rPr>
                <w:b/>
                <w:bCs/>
                <w:color w:val="000000"/>
                <w:sz w:val="20"/>
                <w:szCs w:val="20"/>
              </w:rPr>
            </w:pPr>
            <w:r w:rsidRPr="000B0AAD">
              <w:rPr>
                <w:b/>
                <w:bCs/>
                <w:color w:val="000000"/>
                <w:sz w:val="20"/>
                <w:szCs w:val="20"/>
              </w:rPr>
              <w:t>442.0</w:t>
            </w:r>
          </w:p>
        </w:tc>
      </w:tr>
      <w:tr w:rsidR="00ED48E1" w:rsidRPr="0047688B" w:rsidTr="00ED48E1">
        <w:trPr>
          <w:trHeight w:val="300"/>
          <w:jc w:val="center"/>
        </w:trPr>
        <w:tc>
          <w:tcPr>
            <w:tcW w:w="7290" w:type="dxa"/>
            <w:tcBorders>
              <w:top w:val="nil"/>
              <w:left w:val="nil"/>
              <w:bottom w:val="single" w:sz="8" w:space="0" w:color="000000"/>
              <w:right w:val="nil"/>
            </w:tcBorders>
            <w:shd w:val="clear" w:color="auto" w:fill="auto"/>
            <w:vAlign w:val="center"/>
            <w:hideMark/>
          </w:tcPr>
          <w:p w:rsidR="00ED48E1" w:rsidRPr="007070BD" w:rsidRDefault="00ED48E1" w:rsidP="00ED48E1">
            <w:pPr>
              <w:spacing w:after="0" w:line="240" w:lineRule="auto"/>
              <w:rPr>
                <w:b/>
                <w:bCs/>
                <w:color w:val="000000"/>
                <w:szCs w:val="22"/>
              </w:rPr>
            </w:pPr>
            <w:r>
              <w:rPr>
                <w:rFonts w:hint="cs"/>
                <w:b/>
                <w:bCs/>
                <w:color w:val="000000"/>
                <w:szCs w:val="22"/>
                <w:rtl/>
              </w:rPr>
              <w:t>مجموع التكاليف (أولا + ثانيا)</w:t>
            </w:r>
          </w:p>
        </w:tc>
        <w:tc>
          <w:tcPr>
            <w:tcW w:w="2385" w:type="dxa"/>
            <w:tcBorders>
              <w:top w:val="nil"/>
              <w:left w:val="nil"/>
              <w:bottom w:val="single" w:sz="8" w:space="0" w:color="000000"/>
              <w:right w:val="nil"/>
            </w:tcBorders>
            <w:shd w:val="clear" w:color="auto" w:fill="auto"/>
            <w:vAlign w:val="center"/>
            <w:hideMark/>
          </w:tcPr>
          <w:p w:rsidR="00ED48E1" w:rsidRPr="000B0AAD" w:rsidRDefault="00ED48E1" w:rsidP="00ED48E1">
            <w:pPr>
              <w:spacing w:after="0" w:line="240" w:lineRule="auto"/>
              <w:ind w:firstLine="612"/>
              <w:rPr>
                <w:b/>
                <w:bCs/>
                <w:color w:val="000000"/>
                <w:sz w:val="20"/>
                <w:szCs w:val="20"/>
              </w:rPr>
            </w:pPr>
            <w:r w:rsidRPr="000B0AAD">
              <w:rPr>
                <w:b/>
                <w:bCs/>
                <w:color w:val="000000"/>
                <w:sz w:val="20"/>
                <w:szCs w:val="20"/>
              </w:rPr>
              <w:t>3</w:t>
            </w:r>
            <w:r>
              <w:rPr>
                <w:b/>
                <w:bCs/>
                <w:color w:val="000000"/>
                <w:sz w:val="20"/>
                <w:szCs w:val="20"/>
              </w:rPr>
              <w:t xml:space="preserve"> </w:t>
            </w:r>
            <w:r w:rsidRPr="000B0AAD">
              <w:rPr>
                <w:b/>
                <w:bCs/>
                <w:color w:val="000000"/>
                <w:sz w:val="20"/>
                <w:szCs w:val="20"/>
              </w:rPr>
              <w:t>842.0</w:t>
            </w:r>
          </w:p>
        </w:tc>
      </w:tr>
      <w:tr w:rsidR="00ED48E1" w:rsidRPr="0047688B" w:rsidTr="00ED48E1">
        <w:trPr>
          <w:trHeight w:val="288"/>
          <w:jc w:val="center"/>
        </w:trPr>
        <w:tc>
          <w:tcPr>
            <w:tcW w:w="7290" w:type="dxa"/>
            <w:tcBorders>
              <w:top w:val="nil"/>
              <w:left w:val="nil"/>
              <w:bottom w:val="nil"/>
              <w:right w:val="nil"/>
            </w:tcBorders>
            <w:shd w:val="clear" w:color="auto" w:fill="auto"/>
            <w:noWrap/>
            <w:vAlign w:val="center"/>
            <w:hideMark/>
          </w:tcPr>
          <w:p w:rsidR="00ED48E1" w:rsidRPr="00B41A33" w:rsidRDefault="00ED48E1" w:rsidP="00ED48E1">
            <w:pPr>
              <w:spacing w:before="60" w:after="0" w:line="240" w:lineRule="auto"/>
              <w:rPr>
                <w:i/>
                <w:iCs/>
                <w:color w:val="000000"/>
                <w:sz w:val="16"/>
                <w:szCs w:val="16"/>
              </w:rPr>
            </w:pPr>
            <w:r w:rsidRPr="00B41A33">
              <w:rPr>
                <w:rFonts w:hint="cs"/>
                <w:i/>
                <w:iCs/>
                <w:color w:val="000000"/>
                <w:sz w:val="16"/>
                <w:szCs w:val="16"/>
                <w:rtl/>
              </w:rPr>
              <w:t>ملاحظات:</w:t>
            </w:r>
          </w:p>
        </w:tc>
        <w:tc>
          <w:tcPr>
            <w:tcW w:w="2385" w:type="dxa"/>
            <w:tcBorders>
              <w:top w:val="nil"/>
              <w:left w:val="nil"/>
              <w:bottom w:val="nil"/>
              <w:right w:val="nil"/>
            </w:tcBorders>
            <w:shd w:val="clear" w:color="auto" w:fill="auto"/>
            <w:noWrap/>
            <w:vAlign w:val="center"/>
            <w:hideMark/>
          </w:tcPr>
          <w:p w:rsidR="00ED48E1" w:rsidRPr="0047688B" w:rsidRDefault="00ED48E1" w:rsidP="00ED48E1">
            <w:pPr>
              <w:spacing w:after="0" w:line="240" w:lineRule="auto"/>
              <w:rPr>
                <w:color w:val="000000"/>
              </w:rPr>
            </w:pPr>
          </w:p>
        </w:tc>
      </w:tr>
      <w:tr w:rsidR="00ED48E1" w:rsidRPr="0047688B" w:rsidTr="00ED48E1">
        <w:trPr>
          <w:trHeight w:val="288"/>
          <w:jc w:val="center"/>
        </w:trPr>
        <w:tc>
          <w:tcPr>
            <w:tcW w:w="7290" w:type="dxa"/>
            <w:tcBorders>
              <w:top w:val="nil"/>
              <w:left w:val="nil"/>
              <w:bottom w:val="nil"/>
              <w:right w:val="nil"/>
            </w:tcBorders>
            <w:shd w:val="clear" w:color="auto" w:fill="auto"/>
            <w:vAlign w:val="center"/>
            <w:hideMark/>
          </w:tcPr>
          <w:p w:rsidR="00ED48E1" w:rsidRPr="00E2024A" w:rsidRDefault="00ED48E1" w:rsidP="00ED48E1">
            <w:pPr>
              <w:spacing w:after="0" w:line="240" w:lineRule="auto"/>
              <w:rPr>
                <w:color w:val="000000"/>
                <w:sz w:val="20"/>
                <w:szCs w:val="20"/>
                <w:rtl/>
              </w:rPr>
            </w:pPr>
            <w:r w:rsidRPr="00E2024A">
              <w:rPr>
                <w:rFonts w:hint="cs"/>
                <w:color w:val="000000"/>
                <w:sz w:val="20"/>
                <w:szCs w:val="20"/>
                <w:vertAlign w:val="superscript"/>
                <w:rtl/>
              </w:rPr>
              <w:t>1/</w:t>
            </w:r>
            <w:r w:rsidRPr="00E2024A">
              <w:rPr>
                <w:rFonts w:hint="cs"/>
                <w:color w:val="000000"/>
                <w:sz w:val="20"/>
                <w:szCs w:val="20"/>
                <w:rtl/>
              </w:rPr>
              <w:t xml:space="preserve">  </w:t>
            </w:r>
            <w:r>
              <w:rPr>
                <w:rFonts w:hint="cs"/>
                <w:color w:val="000000"/>
                <w:sz w:val="20"/>
                <w:szCs w:val="20"/>
                <w:rtl/>
              </w:rPr>
              <w:t>انظر الفقرات من 40 إلى 46 من ال</w:t>
            </w:r>
            <w:r w:rsidRPr="00E2024A">
              <w:rPr>
                <w:rFonts w:hint="cs"/>
                <w:color w:val="000000"/>
                <w:sz w:val="20"/>
                <w:szCs w:val="20"/>
                <w:rtl/>
              </w:rPr>
              <w:t xml:space="preserve">مقرر </w:t>
            </w:r>
            <w:r>
              <w:rPr>
                <w:rFonts w:hint="cs"/>
                <w:color w:val="000000"/>
                <w:sz w:val="20"/>
                <w:szCs w:val="20"/>
                <w:rtl/>
              </w:rPr>
              <w:t>14/37 ل</w:t>
            </w:r>
            <w:r w:rsidRPr="00E2024A">
              <w:rPr>
                <w:rFonts w:hint="cs"/>
                <w:color w:val="000000"/>
                <w:sz w:val="20"/>
                <w:szCs w:val="20"/>
                <w:rtl/>
              </w:rPr>
              <w:t>مؤتمر الأطراف.</w:t>
            </w:r>
          </w:p>
        </w:tc>
        <w:tc>
          <w:tcPr>
            <w:tcW w:w="2385" w:type="dxa"/>
            <w:tcBorders>
              <w:top w:val="nil"/>
              <w:left w:val="nil"/>
              <w:bottom w:val="nil"/>
              <w:right w:val="nil"/>
            </w:tcBorders>
            <w:shd w:val="clear" w:color="auto" w:fill="auto"/>
            <w:noWrap/>
            <w:vAlign w:val="center"/>
            <w:hideMark/>
          </w:tcPr>
          <w:p w:rsidR="00ED48E1" w:rsidRPr="0047688B" w:rsidRDefault="00ED48E1" w:rsidP="00ED48E1">
            <w:pPr>
              <w:spacing w:after="0" w:line="240" w:lineRule="auto"/>
              <w:rPr>
                <w:color w:val="000000"/>
              </w:rPr>
            </w:pPr>
          </w:p>
        </w:tc>
      </w:tr>
      <w:tr w:rsidR="00ED48E1" w:rsidRPr="0047688B" w:rsidTr="00ED48E1">
        <w:trPr>
          <w:trHeight w:val="432"/>
          <w:jc w:val="center"/>
        </w:trPr>
        <w:tc>
          <w:tcPr>
            <w:tcW w:w="9675" w:type="dxa"/>
            <w:gridSpan w:val="2"/>
            <w:tcBorders>
              <w:top w:val="nil"/>
              <w:left w:val="nil"/>
              <w:bottom w:val="nil"/>
              <w:right w:val="nil"/>
            </w:tcBorders>
            <w:shd w:val="clear" w:color="auto" w:fill="auto"/>
            <w:vAlign w:val="center"/>
            <w:hideMark/>
          </w:tcPr>
          <w:p w:rsidR="00ED48E1" w:rsidRPr="0047688B" w:rsidRDefault="00ED48E1" w:rsidP="00ED48E1">
            <w:pPr>
              <w:spacing w:after="0" w:line="240" w:lineRule="auto"/>
              <w:ind w:left="230" w:hanging="230"/>
              <w:rPr>
                <w:color w:val="000000"/>
              </w:rPr>
            </w:pPr>
            <w:r w:rsidRPr="00E2024A">
              <w:rPr>
                <w:rFonts w:hint="cs"/>
                <w:color w:val="000000"/>
                <w:sz w:val="20"/>
                <w:szCs w:val="20"/>
                <w:vertAlign w:val="superscript"/>
                <w:rtl/>
              </w:rPr>
              <w:t>2/</w:t>
            </w:r>
            <w:r w:rsidRPr="00E2024A">
              <w:rPr>
                <w:rFonts w:hint="cs"/>
                <w:color w:val="000000"/>
                <w:sz w:val="20"/>
                <w:szCs w:val="20"/>
                <w:rtl/>
              </w:rPr>
              <w:t xml:space="preserve">  تعهدات أولية من الاتحاد الأوروبي، وحكومات </w:t>
            </w:r>
            <w:r>
              <w:rPr>
                <w:rFonts w:hint="cs"/>
                <w:color w:val="000000"/>
                <w:sz w:val="20"/>
                <w:szCs w:val="20"/>
                <w:rtl/>
              </w:rPr>
              <w:t>كندا، و</w:t>
            </w:r>
            <w:r w:rsidRPr="00E2024A">
              <w:rPr>
                <w:rFonts w:hint="cs"/>
                <w:color w:val="000000"/>
                <w:sz w:val="20"/>
                <w:szCs w:val="20"/>
                <w:rtl/>
              </w:rPr>
              <w:t>فنلندا</w:t>
            </w:r>
            <w:r>
              <w:rPr>
                <w:rFonts w:hint="cs"/>
                <w:color w:val="000000"/>
                <w:sz w:val="20"/>
                <w:szCs w:val="20"/>
                <w:rtl/>
              </w:rPr>
              <w:t>،</w:t>
            </w:r>
            <w:r w:rsidRPr="00E2024A">
              <w:rPr>
                <w:rFonts w:hint="cs"/>
                <w:color w:val="000000"/>
                <w:sz w:val="20"/>
                <w:szCs w:val="20"/>
                <w:rtl/>
              </w:rPr>
              <w:t xml:space="preserve"> وألمانيا</w:t>
            </w:r>
            <w:r>
              <w:rPr>
                <w:rFonts w:hint="cs"/>
                <w:color w:val="000000"/>
                <w:sz w:val="20"/>
                <w:szCs w:val="20"/>
                <w:rtl/>
              </w:rPr>
              <w:t>،</w:t>
            </w:r>
            <w:r w:rsidRPr="00E2024A">
              <w:rPr>
                <w:rFonts w:hint="cs"/>
                <w:color w:val="000000"/>
                <w:sz w:val="20"/>
                <w:szCs w:val="20"/>
                <w:rtl/>
              </w:rPr>
              <w:t xml:space="preserve"> </w:t>
            </w:r>
            <w:r>
              <w:rPr>
                <w:rFonts w:hint="cs"/>
                <w:color w:val="000000"/>
                <w:sz w:val="20"/>
                <w:szCs w:val="20"/>
                <w:rtl/>
              </w:rPr>
              <w:t xml:space="preserve">واليابان (صندوق التنوع البيولوجي في اليايان)، </w:t>
            </w:r>
            <w:r w:rsidRPr="00E2024A">
              <w:rPr>
                <w:rFonts w:hint="cs"/>
                <w:color w:val="000000"/>
                <w:sz w:val="20"/>
                <w:szCs w:val="20"/>
                <w:rtl/>
              </w:rPr>
              <w:t>والنرويج</w:t>
            </w:r>
            <w:r>
              <w:rPr>
                <w:rFonts w:hint="cs"/>
                <w:color w:val="000000"/>
                <w:sz w:val="20"/>
                <w:szCs w:val="20"/>
                <w:rtl/>
              </w:rPr>
              <w:t>،</w:t>
            </w:r>
            <w:r w:rsidRPr="00E2024A">
              <w:rPr>
                <w:rFonts w:hint="cs"/>
                <w:color w:val="000000"/>
                <w:sz w:val="20"/>
                <w:szCs w:val="20"/>
                <w:rtl/>
              </w:rPr>
              <w:t xml:space="preserve"> </w:t>
            </w:r>
            <w:r>
              <w:rPr>
                <w:rFonts w:hint="cs"/>
                <w:color w:val="000000"/>
                <w:sz w:val="20"/>
                <w:szCs w:val="20"/>
                <w:rtl/>
              </w:rPr>
              <w:t xml:space="preserve">وجنوب أفريقيا </w:t>
            </w:r>
            <w:r w:rsidRPr="00E2024A">
              <w:rPr>
                <w:rFonts w:hint="cs"/>
                <w:color w:val="000000"/>
                <w:sz w:val="20"/>
                <w:szCs w:val="20"/>
                <w:rtl/>
              </w:rPr>
              <w:t>والمملكة المتحدة.</w:t>
            </w:r>
          </w:p>
        </w:tc>
      </w:tr>
    </w:tbl>
    <w:p w:rsidR="00ED48E1" w:rsidRDefault="00ED48E1" w:rsidP="00ED48E1">
      <w:pPr>
        <w:spacing w:after="0" w:line="240" w:lineRule="auto"/>
        <w:rPr>
          <w:szCs w:val="22"/>
          <w:rtl/>
        </w:rPr>
      </w:pPr>
    </w:p>
    <w:p w:rsidR="00ED48E1" w:rsidRDefault="00ED48E1" w:rsidP="00ED48E1">
      <w:pPr>
        <w:spacing w:after="0" w:line="240" w:lineRule="auto"/>
        <w:rPr>
          <w:szCs w:val="22"/>
          <w:rtl/>
        </w:rPr>
      </w:pPr>
    </w:p>
    <w:p w:rsidR="00ED48E1" w:rsidRPr="007070BD" w:rsidRDefault="00ED48E1" w:rsidP="00ED48E1">
      <w:pPr>
        <w:spacing w:after="240" w:line="240" w:lineRule="auto"/>
        <w:ind w:left="1886" w:hanging="1080"/>
        <w:rPr>
          <w:b/>
          <w:bCs/>
          <w:sz w:val="24"/>
          <w:rtl/>
        </w:rPr>
      </w:pPr>
      <w:r w:rsidRPr="007070BD">
        <w:rPr>
          <w:rFonts w:hint="cs"/>
          <w:b/>
          <w:bCs/>
          <w:sz w:val="24"/>
          <w:rtl/>
        </w:rPr>
        <w:t>الجدول 5 -</w:t>
      </w:r>
      <w:r w:rsidRPr="007070BD">
        <w:rPr>
          <w:rFonts w:hint="cs"/>
          <w:b/>
          <w:bCs/>
          <w:sz w:val="24"/>
          <w:rtl/>
        </w:rPr>
        <w:tab/>
      </w:r>
      <w:r w:rsidRPr="007070BD">
        <w:rPr>
          <w:rFonts w:hint="cs"/>
          <w:b/>
          <w:bCs/>
          <w:kern w:val="22"/>
          <w:sz w:val="24"/>
          <w:rtl/>
        </w:rPr>
        <w:t xml:space="preserve">الصندوق الاستئماني الطوعي الخاص </w:t>
      </w:r>
      <w:r w:rsidRPr="00B41A33">
        <w:rPr>
          <w:b/>
          <w:bCs/>
          <w:kern w:val="22"/>
          <w:szCs w:val="22"/>
          <w:lang w:val="en-CA"/>
        </w:rPr>
        <w:t>(VB)</w:t>
      </w:r>
      <w:r w:rsidRPr="007070BD">
        <w:rPr>
          <w:rFonts w:hint="cs"/>
          <w:b/>
          <w:bCs/>
          <w:kern w:val="22"/>
          <w:sz w:val="24"/>
          <w:rtl/>
        </w:rPr>
        <w:t xml:space="preserve"> لتيسير مشاركة الشعوب الأصلية والمجتمعات المحلية في عملي</w:t>
      </w:r>
      <w:r>
        <w:rPr>
          <w:rFonts w:hint="cs"/>
          <w:b/>
          <w:bCs/>
          <w:kern w:val="22"/>
          <w:sz w:val="24"/>
          <w:rtl/>
        </w:rPr>
        <w:t>ة</w:t>
      </w:r>
      <w:r w:rsidRPr="007070BD">
        <w:rPr>
          <w:rFonts w:hint="cs"/>
          <w:b/>
          <w:bCs/>
          <w:kern w:val="22"/>
          <w:sz w:val="24"/>
          <w:rtl/>
        </w:rPr>
        <w:t xml:space="preserve"> الاتفاقية للفترة 2019-2020</w:t>
      </w:r>
    </w:p>
    <w:tbl>
      <w:tblPr>
        <w:bidiVisual/>
        <w:tblW w:w="9222" w:type="dxa"/>
        <w:jc w:val="center"/>
        <w:tblBorders>
          <w:top w:val="nil"/>
          <w:left w:val="nil"/>
          <w:bottom w:val="nil"/>
          <w:right w:val="nil"/>
        </w:tblBorders>
        <w:tblLayout w:type="fixed"/>
        <w:tblLook w:val="0000"/>
      </w:tblPr>
      <w:tblGrid>
        <w:gridCol w:w="6792"/>
        <w:gridCol w:w="2430"/>
      </w:tblGrid>
      <w:tr w:rsidR="00ED48E1" w:rsidRPr="008B1800" w:rsidTr="00ED48E1">
        <w:trPr>
          <w:trHeight w:val="133"/>
          <w:jc w:val="center"/>
        </w:trPr>
        <w:tc>
          <w:tcPr>
            <w:tcW w:w="6792" w:type="dxa"/>
            <w:tcBorders>
              <w:top w:val="single" w:sz="8" w:space="0" w:color="000000"/>
              <w:left w:val="nil"/>
              <w:bottom w:val="nil"/>
              <w:right w:val="nil"/>
            </w:tcBorders>
            <w:vAlign w:val="center"/>
          </w:tcPr>
          <w:p w:rsidR="00ED48E1" w:rsidRPr="000B0AAD" w:rsidRDefault="00ED48E1" w:rsidP="00ED48E1">
            <w:pPr>
              <w:spacing w:after="0" w:line="240" w:lineRule="auto"/>
              <w:ind w:firstLine="723"/>
              <w:rPr>
                <w:i/>
                <w:iCs/>
                <w:color w:val="000000"/>
                <w:sz w:val="20"/>
                <w:szCs w:val="20"/>
              </w:rPr>
            </w:pPr>
            <w:r>
              <w:rPr>
                <w:rFonts w:hint="cs"/>
                <w:i/>
                <w:iCs/>
                <w:color w:val="000000"/>
                <w:sz w:val="20"/>
                <w:szCs w:val="20"/>
                <w:rtl/>
              </w:rPr>
              <w:t>ال</w:t>
            </w:r>
            <w:r w:rsidRPr="000B0AAD">
              <w:rPr>
                <w:rFonts w:hint="cs"/>
                <w:i/>
                <w:iCs/>
                <w:color w:val="000000"/>
                <w:sz w:val="20"/>
                <w:szCs w:val="20"/>
                <w:rtl/>
              </w:rPr>
              <w:t>وصف</w:t>
            </w:r>
          </w:p>
        </w:tc>
        <w:tc>
          <w:tcPr>
            <w:tcW w:w="2430" w:type="dxa"/>
            <w:tcBorders>
              <w:top w:val="single" w:sz="8" w:space="0" w:color="000000"/>
              <w:left w:val="nil"/>
              <w:bottom w:val="nil"/>
              <w:right w:val="nil"/>
            </w:tcBorders>
            <w:vAlign w:val="center"/>
          </w:tcPr>
          <w:p w:rsidR="00ED48E1" w:rsidRPr="000B0AAD" w:rsidRDefault="00ED48E1" w:rsidP="00ED48E1">
            <w:pPr>
              <w:spacing w:after="0" w:line="240" w:lineRule="auto"/>
              <w:jc w:val="center"/>
              <w:rPr>
                <w:i/>
                <w:iCs/>
                <w:color w:val="000000"/>
                <w:sz w:val="20"/>
                <w:szCs w:val="20"/>
                <w:rtl/>
              </w:rPr>
            </w:pPr>
            <w:r w:rsidRPr="000B0AAD">
              <w:rPr>
                <w:rFonts w:hint="cs"/>
                <w:i/>
                <w:iCs/>
                <w:color w:val="000000"/>
                <w:sz w:val="20"/>
                <w:szCs w:val="20"/>
                <w:rtl/>
              </w:rPr>
              <w:t>2019-2020</w:t>
            </w:r>
          </w:p>
        </w:tc>
      </w:tr>
      <w:tr w:rsidR="00ED48E1" w:rsidRPr="008B1800" w:rsidTr="00ED48E1">
        <w:trPr>
          <w:trHeight w:val="151"/>
          <w:jc w:val="center"/>
        </w:trPr>
        <w:tc>
          <w:tcPr>
            <w:tcW w:w="6792" w:type="dxa"/>
            <w:tcBorders>
              <w:top w:val="nil"/>
              <w:bottom w:val="nil"/>
            </w:tcBorders>
            <w:vAlign w:val="center"/>
          </w:tcPr>
          <w:p w:rsidR="00ED48E1" w:rsidRPr="000B0AAD" w:rsidRDefault="00ED48E1" w:rsidP="00ED48E1">
            <w:pPr>
              <w:spacing w:after="0" w:line="240" w:lineRule="auto"/>
              <w:rPr>
                <w:i/>
                <w:iCs/>
                <w:color w:val="000000"/>
                <w:sz w:val="20"/>
                <w:szCs w:val="20"/>
              </w:rPr>
            </w:pPr>
          </w:p>
        </w:tc>
        <w:tc>
          <w:tcPr>
            <w:tcW w:w="2430" w:type="dxa"/>
            <w:tcBorders>
              <w:top w:val="nil"/>
              <w:bottom w:val="nil"/>
            </w:tcBorders>
            <w:vAlign w:val="center"/>
          </w:tcPr>
          <w:p w:rsidR="00ED48E1" w:rsidRPr="000B0AAD" w:rsidRDefault="00ED48E1" w:rsidP="00ED48E1">
            <w:pPr>
              <w:spacing w:after="0" w:line="240" w:lineRule="auto"/>
              <w:jc w:val="center"/>
              <w:rPr>
                <w:i/>
                <w:iCs/>
                <w:color w:val="000000"/>
                <w:sz w:val="20"/>
                <w:szCs w:val="20"/>
                <w:rtl/>
              </w:rPr>
            </w:pPr>
            <w:r>
              <w:rPr>
                <w:rFonts w:hint="cs"/>
                <w:i/>
                <w:iCs/>
                <w:color w:val="000000"/>
                <w:sz w:val="20"/>
                <w:szCs w:val="20"/>
                <w:rtl/>
              </w:rPr>
              <w:t xml:space="preserve">(بآلاف </w:t>
            </w:r>
            <w:r w:rsidRPr="000B0AAD">
              <w:rPr>
                <w:rFonts w:hint="cs"/>
                <w:i/>
                <w:iCs/>
                <w:color w:val="000000"/>
                <w:sz w:val="20"/>
                <w:szCs w:val="20"/>
                <w:rtl/>
              </w:rPr>
              <w:t xml:space="preserve">دولارات </w:t>
            </w:r>
            <w:r>
              <w:rPr>
                <w:rFonts w:hint="cs"/>
                <w:i/>
                <w:iCs/>
                <w:color w:val="000000"/>
                <w:sz w:val="20"/>
                <w:szCs w:val="20"/>
                <w:rtl/>
              </w:rPr>
              <w:t>الولايات المتحدة</w:t>
            </w:r>
            <w:r w:rsidRPr="000B0AAD">
              <w:rPr>
                <w:rFonts w:hint="cs"/>
                <w:i/>
                <w:iCs/>
                <w:color w:val="000000"/>
                <w:sz w:val="20"/>
                <w:szCs w:val="20"/>
                <w:rtl/>
              </w:rPr>
              <w:t>)</w:t>
            </w:r>
          </w:p>
        </w:tc>
      </w:tr>
      <w:tr w:rsidR="00ED48E1" w:rsidRPr="008B1800" w:rsidTr="00ED48E1">
        <w:trPr>
          <w:trHeight w:val="140"/>
          <w:jc w:val="center"/>
        </w:trPr>
        <w:tc>
          <w:tcPr>
            <w:tcW w:w="6792" w:type="dxa"/>
            <w:tcBorders>
              <w:top w:val="nil"/>
              <w:bottom w:val="single" w:sz="8" w:space="0" w:color="000000"/>
            </w:tcBorders>
          </w:tcPr>
          <w:p w:rsidR="00ED48E1" w:rsidRPr="008B1800" w:rsidRDefault="00ED48E1" w:rsidP="00ED48E1">
            <w:pPr>
              <w:pStyle w:val="Default"/>
              <w:bidi/>
              <w:rPr>
                <w:sz w:val="22"/>
                <w:szCs w:val="22"/>
              </w:rPr>
            </w:pPr>
          </w:p>
        </w:tc>
        <w:tc>
          <w:tcPr>
            <w:tcW w:w="2430" w:type="dxa"/>
            <w:tcBorders>
              <w:top w:val="nil"/>
              <w:bottom w:val="single" w:sz="8" w:space="0" w:color="000000"/>
            </w:tcBorders>
            <w:vAlign w:val="center"/>
          </w:tcPr>
          <w:p w:rsidR="00ED48E1" w:rsidRPr="008B1800" w:rsidRDefault="00ED48E1" w:rsidP="00ED48E1">
            <w:pPr>
              <w:pStyle w:val="Default"/>
              <w:bidi/>
              <w:jc w:val="center"/>
              <w:rPr>
                <w:i/>
                <w:iCs/>
                <w:sz w:val="22"/>
                <w:szCs w:val="22"/>
              </w:rPr>
            </w:pPr>
          </w:p>
        </w:tc>
      </w:tr>
      <w:tr w:rsidR="00ED48E1" w:rsidRPr="008B1800" w:rsidTr="00ED48E1">
        <w:trPr>
          <w:trHeight w:val="150"/>
          <w:jc w:val="center"/>
        </w:trPr>
        <w:tc>
          <w:tcPr>
            <w:tcW w:w="6792" w:type="dxa"/>
            <w:tcBorders>
              <w:top w:val="single" w:sz="8" w:space="0" w:color="000000"/>
            </w:tcBorders>
          </w:tcPr>
          <w:p w:rsidR="00ED48E1" w:rsidRPr="00C053E1" w:rsidRDefault="00ED48E1" w:rsidP="00ED48E1">
            <w:pPr>
              <w:pStyle w:val="Default"/>
              <w:bidi/>
              <w:rPr>
                <w:rFonts w:ascii="Simplified Arabic" w:hAnsi="Simplified Arabic" w:cs="Simplified Arabic"/>
                <w:b/>
                <w:sz w:val="22"/>
                <w:szCs w:val="22"/>
              </w:rPr>
            </w:pPr>
            <w:r w:rsidRPr="00C053E1">
              <w:rPr>
                <w:rFonts w:ascii="Simplified Arabic" w:hAnsi="Simplified Arabic" w:cs="Simplified Arabic"/>
                <w:b/>
                <w:bCs/>
                <w:sz w:val="22"/>
                <w:szCs w:val="22"/>
                <w:rtl/>
              </w:rPr>
              <w:t>أولا -  الاجتماعات</w:t>
            </w:r>
          </w:p>
        </w:tc>
        <w:tc>
          <w:tcPr>
            <w:tcW w:w="2430" w:type="dxa"/>
            <w:tcBorders>
              <w:top w:val="single" w:sz="8" w:space="0" w:color="000000"/>
            </w:tcBorders>
          </w:tcPr>
          <w:p w:rsidR="00ED48E1" w:rsidRPr="00C16F34" w:rsidRDefault="00ED48E1" w:rsidP="00ED48E1">
            <w:pPr>
              <w:pStyle w:val="Default"/>
              <w:bidi/>
              <w:jc w:val="right"/>
              <w:rPr>
                <w:sz w:val="17"/>
                <w:szCs w:val="17"/>
              </w:rPr>
            </w:pPr>
          </w:p>
        </w:tc>
      </w:tr>
      <w:tr w:rsidR="00ED48E1" w:rsidRPr="008B1800" w:rsidTr="00ED48E1">
        <w:trPr>
          <w:trHeight w:val="132"/>
          <w:jc w:val="center"/>
        </w:trPr>
        <w:tc>
          <w:tcPr>
            <w:tcW w:w="6792" w:type="dxa"/>
            <w:tcBorders>
              <w:bottom w:val="single" w:sz="8" w:space="0" w:color="000000"/>
            </w:tcBorders>
            <w:vAlign w:val="center"/>
          </w:tcPr>
          <w:p w:rsidR="00ED48E1" w:rsidRPr="00C053E1" w:rsidRDefault="00ED48E1" w:rsidP="00ED48E1">
            <w:pPr>
              <w:pStyle w:val="Default"/>
              <w:bidi/>
              <w:rPr>
                <w:rFonts w:ascii="Simplified Arabic" w:hAnsi="Simplified Arabic" w:cs="Simplified Arabic"/>
                <w:sz w:val="22"/>
                <w:szCs w:val="22"/>
              </w:rPr>
            </w:pPr>
            <w:r w:rsidRPr="00C053E1">
              <w:rPr>
                <w:rFonts w:ascii="Simplified Arabic" w:hAnsi="Simplified Arabic" w:cs="Simplified Arabic"/>
                <w:sz w:val="22"/>
                <w:szCs w:val="22"/>
                <w:rtl/>
              </w:rPr>
              <w:t>الدعم للشعوب</w:t>
            </w:r>
            <w:r>
              <w:rPr>
                <w:rFonts w:ascii="Simplified Arabic" w:hAnsi="Simplified Arabic" w:cs="Simplified Arabic" w:hint="cs"/>
                <w:sz w:val="22"/>
                <w:szCs w:val="22"/>
                <w:rtl/>
              </w:rPr>
              <w:t xml:space="preserve"> </w:t>
            </w:r>
            <w:r w:rsidRPr="00C053E1">
              <w:rPr>
                <w:rFonts w:ascii="Simplified Arabic" w:hAnsi="Simplified Arabic" w:cs="Simplified Arabic"/>
                <w:sz w:val="22"/>
                <w:szCs w:val="22"/>
                <w:rtl/>
              </w:rPr>
              <w:t>الأصلية والمجتمعات المحلية</w:t>
            </w:r>
          </w:p>
        </w:tc>
        <w:tc>
          <w:tcPr>
            <w:tcW w:w="2430" w:type="dxa"/>
            <w:tcBorders>
              <w:bottom w:val="single" w:sz="8" w:space="0" w:color="000000"/>
            </w:tcBorders>
            <w:vAlign w:val="center"/>
          </w:tcPr>
          <w:p w:rsidR="00ED48E1" w:rsidRPr="000B0AAD" w:rsidRDefault="00ED48E1" w:rsidP="00ED48E1">
            <w:pPr>
              <w:pStyle w:val="Default"/>
              <w:bidi/>
              <w:ind w:right="498"/>
              <w:jc w:val="right"/>
              <w:rPr>
                <w:sz w:val="20"/>
                <w:szCs w:val="20"/>
              </w:rPr>
            </w:pPr>
            <w:r w:rsidRPr="000B0AAD">
              <w:rPr>
                <w:sz w:val="20"/>
                <w:szCs w:val="20"/>
              </w:rPr>
              <w:t>500.0</w:t>
            </w:r>
          </w:p>
        </w:tc>
      </w:tr>
      <w:tr w:rsidR="00ED48E1" w:rsidRPr="008B1800" w:rsidTr="00ED48E1">
        <w:trPr>
          <w:trHeight w:val="132"/>
          <w:jc w:val="center"/>
        </w:trPr>
        <w:tc>
          <w:tcPr>
            <w:tcW w:w="6792" w:type="dxa"/>
            <w:tcBorders>
              <w:top w:val="single" w:sz="8" w:space="0" w:color="000000"/>
              <w:bottom w:val="single" w:sz="8" w:space="0" w:color="000000"/>
            </w:tcBorders>
            <w:vAlign w:val="center"/>
          </w:tcPr>
          <w:p w:rsidR="00ED48E1" w:rsidRPr="00C053E1" w:rsidRDefault="00ED48E1" w:rsidP="00ED48E1">
            <w:pPr>
              <w:pStyle w:val="Default"/>
              <w:bidi/>
              <w:rPr>
                <w:rFonts w:ascii="Simplified Arabic" w:hAnsi="Simplified Arabic" w:cs="Simplified Arabic"/>
                <w:sz w:val="22"/>
                <w:szCs w:val="22"/>
              </w:rPr>
            </w:pPr>
            <w:r>
              <w:rPr>
                <w:rFonts w:ascii="Simplified Arabic" w:hAnsi="Simplified Arabic" w:cs="Simplified Arabic" w:hint="cs"/>
                <w:b/>
                <w:bCs/>
                <w:sz w:val="22"/>
                <w:szCs w:val="22"/>
                <w:rtl/>
              </w:rPr>
              <w:t>المجموع الفرعي</w:t>
            </w:r>
          </w:p>
        </w:tc>
        <w:tc>
          <w:tcPr>
            <w:tcW w:w="2430" w:type="dxa"/>
            <w:tcBorders>
              <w:top w:val="single" w:sz="8" w:space="0" w:color="000000"/>
              <w:bottom w:val="single" w:sz="8" w:space="0" w:color="000000"/>
            </w:tcBorders>
            <w:vAlign w:val="center"/>
          </w:tcPr>
          <w:p w:rsidR="00ED48E1" w:rsidRPr="000B0AAD" w:rsidRDefault="00ED48E1" w:rsidP="00ED48E1">
            <w:pPr>
              <w:pStyle w:val="Default"/>
              <w:bidi/>
              <w:ind w:right="498"/>
              <w:jc w:val="right"/>
              <w:rPr>
                <w:sz w:val="20"/>
                <w:szCs w:val="20"/>
              </w:rPr>
            </w:pPr>
            <w:r w:rsidRPr="000B0AAD">
              <w:rPr>
                <w:b/>
                <w:bCs/>
                <w:sz w:val="20"/>
                <w:szCs w:val="20"/>
              </w:rPr>
              <w:t>500.0</w:t>
            </w:r>
          </w:p>
        </w:tc>
      </w:tr>
      <w:tr w:rsidR="00ED48E1" w:rsidRPr="008B1800" w:rsidTr="00ED48E1">
        <w:trPr>
          <w:trHeight w:val="132"/>
          <w:jc w:val="center"/>
        </w:trPr>
        <w:tc>
          <w:tcPr>
            <w:tcW w:w="6792" w:type="dxa"/>
            <w:tcBorders>
              <w:top w:val="single" w:sz="8" w:space="0" w:color="000000"/>
              <w:bottom w:val="single" w:sz="8" w:space="0" w:color="000000"/>
            </w:tcBorders>
            <w:vAlign w:val="center"/>
          </w:tcPr>
          <w:p w:rsidR="00ED48E1" w:rsidRPr="00C053E1" w:rsidRDefault="00ED48E1" w:rsidP="00ED48E1">
            <w:pPr>
              <w:pStyle w:val="Default"/>
              <w:bidi/>
              <w:rPr>
                <w:rFonts w:ascii="Simplified Arabic" w:hAnsi="Simplified Arabic" w:cs="Simplified Arabic"/>
                <w:b/>
                <w:bCs/>
                <w:sz w:val="22"/>
                <w:szCs w:val="22"/>
              </w:rPr>
            </w:pPr>
            <w:r w:rsidRPr="00C053E1">
              <w:rPr>
                <w:rFonts w:ascii="Simplified Arabic" w:hAnsi="Simplified Arabic" w:cs="Simplified Arabic"/>
                <w:b/>
                <w:bCs/>
                <w:sz w:val="22"/>
                <w:szCs w:val="22"/>
                <w:rtl/>
              </w:rPr>
              <w:t xml:space="preserve">ثانيا -  </w:t>
            </w:r>
            <w:r>
              <w:rPr>
                <w:rFonts w:ascii="Simplified Arabic" w:hAnsi="Simplified Arabic" w:cs="Simplified Arabic" w:hint="cs"/>
                <w:b/>
                <w:bCs/>
                <w:sz w:val="22"/>
                <w:szCs w:val="22"/>
                <w:rtl/>
              </w:rPr>
              <w:t>تكاليف دعم البرامج</w:t>
            </w:r>
          </w:p>
        </w:tc>
        <w:tc>
          <w:tcPr>
            <w:tcW w:w="2430" w:type="dxa"/>
            <w:tcBorders>
              <w:top w:val="single" w:sz="8" w:space="0" w:color="000000"/>
              <w:bottom w:val="single" w:sz="8" w:space="0" w:color="000000"/>
            </w:tcBorders>
            <w:vAlign w:val="center"/>
          </w:tcPr>
          <w:p w:rsidR="00ED48E1" w:rsidRPr="000B0AAD" w:rsidRDefault="00ED48E1" w:rsidP="00ED48E1">
            <w:pPr>
              <w:pStyle w:val="Default"/>
              <w:bidi/>
              <w:ind w:right="498"/>
              <w:jc w:val="right"/>
              <w:rPr>
                <w:b/>
                <w:bCs/>
                <w:sz w:val="20"/>
                <w:szCs w:val="20"/>
              </w:rPr>
            </w:pPr>
            <w:r w:rsidRPr="000B0AAD">
              <w:rPr>
                <w:b/>
                <w:bCs/>
                <w:sz w:val="20"/>
                <w:szCs w:val="20"/>
              </w:rPr>
              <w:t>65.0</w:t>
            </w:r>
          </w:p>
        </w:tc>
      </w:tr>
      <w:tr w:rsidR="00ED48E1" w:rsidRPr="008B1800" w:rsidTr="00ED48E1">
        <w:trPr>
          <w:trHeight w:val="132"/>
          <w:jc w:val="center"/>
        </w:trPr>
        <w:tc>
          <w:tcPr>
            <w:tcW w:w="6792" w:type="dxa"/>
            <w:tcBorders>
              <w:top w:val="single" w:sz="8" w:space="0" w:color="000000"/>
              <w:bottom w:val="single" w:sz="8" w:space="0" w:color="000000"/>
            </w:tcBorders>
            <w:vAlign w:val="center"/>
          </w:tcPr>
          <w:p w:rsidR="00ED48E1" w:rsidRPr="000B0AAD" w:rsidRDefault="00ED48E1" w:rsidP="00ED48E1">
            <w:pPr>
              <w:pStyle w:val="Default"/>
              <w:bidi/>
              <w:rPr>
                <w:b/>
                <w:bCs/>
                <w:sz w:val="22"/>
                <w:szCs w:val="22"/>
              </w:rPr>
            </w:pPr>
            <w:r>
              <w:rPr>
                <w:rFonts w:hint="cs"/>
                <w:b/>
                <w:bCs/>
                <w:sz w:val="22"/>
                <w:szCs w:val="22"/>
                <w:rtl/>
              </w:rPr>
              <w:t>مجموع التكاليف (أولا + ثانيا)</w:t>
            </w:r>
          </w:p>
        </w:tc>
        <w:tc>
          <w:tcPr>
            <w:tcW w:w="2430" w:type="dxa"/>
            <w:tcBorders>
              <w:top w:val="single" w:sz="8" w:space="0" w:color="000000"/>
              <w:bottom w:val="single" w:sz="8" w:space="0" w:color="000000"/>
            </w:tcBorders>
            <w:vAlign w:val="center"/>
          </w:tcPr>
          <w:p w:rsidR="00ED48E1" w:rsidRPr="000B0AAD" w:rsidRDefault="00ED48E1" w:rsidP="00ED48E1">
            <w:pPr>
              <w:pStyle w:val="Default"/>
              <w:bidi/>
              <w:ind w:right="498"/>
              <w:jc w:val="right"/>
              <w:rPr>
                <w:b/>
                <w:bCs/>
                <w:i/>
                <w:iCs/>
                <w:sz w:val="20"/>
                <w:szCs w:val="20"/>
              </w:rPr>
            </w:pPr>
            <w:r w:rsidRPr="000B0AAD">
              <w:rPr>
                <w:b/>
                <w:bCs/>
                <w:sz w:val="20"/>
                <w:szCs w:val="20"/>
              </w:rPr>
              <w:t>565.0</w:t>
            </w:r>
          </w:p>
        </w:tc>
      </w:tr>
    </w:tbl>
    <w:p w:rsidR="00ED48E1" w:rsidRDefault="00ED48E1" w:rsidP="00ED48E1">
      <w:pPr>
        <w:spacing w:after="0" w:line="240" w:lineRule="auto"/>
        <w:rPr>
          <w:szCs w:val="22"/>
          <w:rtl/>
        </w:rPr>
      </w:pPr>
    </w:p>
    <w:p w:rsidR="00ED48E1" w:rsidRDefault="00ED48E1" w:rsidP="00ED48E1">
      <w:pPr>
        <w:spacing w:after="0" w:line="240" w:lineRule="auto"/>
        <w:rPr>
          <w:szCs w:val="22"/>
          <w:rtl/>
        </w:rPr>
      </w:pPr>
    </w:p>
    <w:p w:rsidR="00ED48E1" w:rsidRDefault="00ED48E1" w:rsidP="00ED48E1">
      <w:pPr>
        <w:spacing w:after="0" w:line="240" w:lineRule="auto"/>
        <w:rPr>
          <w:szCs w:val="22"/>
        </w:rPr>
        <w:sectPr w:rsidR="00ED48E1" w:rsidSect="00ED48E1">
          <w:headerReference w:type="even" r:id="rId88"/>
          <w:headerReference w:type="default" r:id="rId89"/>
          <w:type w:val="continuous"/>
          <w:pgSz w:w="12240" w:h="15840" w:code="1"/>
          <w:pgMar w:top="1008" w:right="1440" w:bottom="1008" w:left="1440" w:header="461" w:footer="720" w:gutter="0"/>
          <w:cols w:space="720"/>
          <w:titlePg/>
          <w:docGrid w:linePitch="360"/>
        </w:sectPr>
      </w:pPr>
    </w:p>
    <w:p w:rsidR="00ED48E1" w:rsidRDefault="00ED48E1" w:rsidP="00ED48E1">
      <w:pPr>
        <w:keepNext/>
        <w:ind w:left="2074" w:hanging="1354"/>
        <w:jc w:val="center"/>
        <w:rPr>
          <w:rFonts w:ascii="Simplified Arabic" w:hAnsi="Simplified Arabic"/>
          <w:b/>
          <w:bCs/>
          <w:sz w:val="24"/>
          <w:rtl/>
        </w:rPr>
      </w:pPr>
      <w:r w:rsidRPr="004360ED">
        <w:rPr>
          <w:rFonts w:ascii="Simplified Arabic" w:hAnsi="Simplified Arabic"/>
          <w:b/>
          <w:bCs/>
          <w:sz w:val="24"/>
          <w:rtl/>
        </w:rPr>
        <w:lastRenderedPageBreak/>
        <w:t>الجدول 6</w:t>
      </w:r>
      <w:r w:rsidRPr="004360ED">
        <w:rPr>
          <w:rFonts w:ascii="Simplified Arabic" w:hAnsi="Simplified Arabic"/>
          <w:b/>
          <w:bCs/>
          <w:sz w:val="24"/>
          <w:rtl/>
        </w:rPr>
        <w:tab/>
      </w:r>
      <w:r w:rsidRPr="004360ED">
        <w:rPr>
          <w:rFonts w:ascii="Simplified Arabic" w:hAnsi="Simplified Arabic"/>
          <w:b/>
          <w:bCs/>
          <w:kern w:val="22"/>
          <w:sz w:val="24"/>
          <w:rtl/>
        </w:rPr>
        <w:t>المساهمات في الصندوق الاستئماني لاتفاقية التنوع البيولوجي لفترة السنتين 2019-2020</w:t>
      </w:r>
      <w:r w:rsidR="000217A3">
        <w:rPr>
          <w:rStyle w:val="FootnoteReference"/>
          <w:rFonts w:ascii="Simplified Arabic" w:hAnsi="Simplified Arabic"/>
          <w:b/>
          <w:bCs/>
          <w:sz w:val="24"/>
          <w:rtl/>
        </w:rPr>
        <w:footnoteReference w:id="334"/>
      </w:r>
    </w:p>
    <w:tbl>
      <w:tblPr>
        <w:bidiVisual/>
        <w:tblW w:w="4789" w:type="pct"/>
        <w:jc w:val="center"/>
        <w:tblInd w:w="-2296" w:type="dxa"/>
        <w:tblLook w:val="04A0"/>
      </w:tblPr>
      <w:tblGrid>
        <w:gridCol w:w="2586"/>
        <w:gridCol w:w="1463"/>
        <w:gridCol w:w="1442"/>
        <w:gridCol w:w="1169"/>
        <w:gridCol w:w="1200"/>
        <w:gridCol w:w="1312"/>
      </w:tblGrid>
      <w:tr w:rsidR="00ED48E1" w:rsidRPr="00134960" w:rsidTr="000217A3">
        <w:trPr>
          <w:cantSplit/>
          <w:tblHeader/>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jc w:val="center"/>
              <w:rPr>
                <w:b/>
                <w:bCs/>
                <w:sz w:val="18"/>
                <w:szCs w:val="18"/>
                <w:lang w:eastAsia="en-CA"/>
              </w:rPr>
            </w:pPr>
            <w:r>
              <w:rPr>
                <w:rFonts w:hint="cs"/>
                <w:b/>
                <w:bCs/>
                <w:sz w:val="18"/>
                <w:szCs w:val="18"/>
                <w:rtl/>
              </w:rPr>
              <w:t>الأ</w:t>
            </w:r>
            <w:r w:rsidRPr="00134960">
              <w:rPr>
                <w:b/>
                <w:bCs/>
                <w:sz w:val="18"/>
                <w:szCs w:val="18"/>
                <w:rtl/>
              </w:rPr>
              <w:t>طراف</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ED48E1" w:rsidRDefault="00ED48E1" w:rsidP="00ED48E1">
            <w:pPr>
              <w:spacing w:after="0" w:line="240" w:lineRule="auto"/>
              <w:jc w:val="center"/>
              <w:rPr>
                <w:b/>
                <w:bCs/>
                <w:sz w:val="18"/>
                <w:szCs w:val="18"/>
                <w:rtl/>
                <w:lang w:eastAsia="en-CA"/>
              </w:rPr>
            </w:pPr>
            <w:bookmarkStart w:id="210" w:name="_Hlk529481212"/>
            <w:r w:rsidRPr="00134960">
              <w:rPr>
                <w:rFonts w:hint="cs"/>
                <w:b/>
                <w:bCs/>
                <w:sz w:val="18"/>
                <w:szCs w:val="18"/>
                <w:rtl/>
                <w:lang w:eastAsia="en-CA"/>
              </w:rPr>
              <w:t>جدول الاشتراكات المقررة ل</w:t>
            </w:r>
            <w:r>
              <w:rPr>
                <w:rFonts w:hint="cs"/>
                <w:b/>
                <w:bCs/>
                <w:sz w:val="18"/>
                <w:szCs w:val="18"/>
                <w:rtl/>
                <w:lang w:eastAsia="en-CA"/>
              </w:rPr>
              <w:t>لفترة</w:t>
            </w:r>
          </w:p>
          <w:p w:rsidR="00ED48E1" w:rsidRPr="00134960" w:rsidRDefault="00ED48E1" w:rsidP="00ED48E1">
            <w:pPr>
              <w:spacing w:after="0" w:line="240" w:lineRule="auto"/>
              <w:jc w:val="center"/>
              <w:rPr>
                <w:b/>
                <w:bCs/>
                <w:sz w:val="18"/>
                <w:szCs w:val="18"/>
                <w:lang w:eastAsia="en-CA"/>
              </w:rPr>
            </w:pPr>
            <w:r w:rsidRPr="00134960">
              <w:rPr>
                <w:rFonts w:hint="cs"/>
                <w:b/>
                <w:bCs/>
                <w:sz w:val="18"/>
                <w:szCs w:val="18"/>
                <w:rtl/>
                <w:lang w:eastAsia="en-CA"/>
              </w:rPr>
              <w:t>2016-2018</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ED48E1" w:rsidRPr="00134960" w:rsidRDefault="00ED48E1" w:rsidP="00ED48E1">
            <w:pPr>
              <w:spacing w:after="0" w:line="240" w:lineRule="auto"/>
              <w:jc w:val="center"/>
              <w:rPr>
                <w:b/>
                <w:bCs/>
                <w:sz w:val="18"/>
                <w:szCs w:val="18"/>
                <w:lang w:eastAsia="en-CA"/>
              </w:rPr>
            </w:pPr>
            <w:r w:rsidRPr="00134960">
              <w:rPr>
                <w:rFonts w:hint="cs"/>
                <w:b/>
                <w:bCs/>
                <w:sz w:val="18"/>
                <w:szCs w:val="18"/>
                <w:rtl/>
                <w:lang w:eastAsia="en-CA"/>
              </w:rPr>
              <w:t>الجدول بحد أقصى 22%، لا يدفع أي من أقل البلدان نموا أكثر من 0.01%</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D48E1" w:rsidRDefault="00ED48E1" w:rsidP="00ED48E1">
            <w:pPr>
              <w:spacing w:after="0" w:line="240" w:lineRule="auto"/>
              <w:jc w:val="center"/>
              <w:rPr>
                <w:b/>
                <w:bCs/>
                <w:sz w:val="18"/>
                <w:szCs w:val="18"/>
                <w:rtl/>
                <w:lang w:eastAsia="en-CA"/>
              </w:rPr>
            </w:pPr>
            <w:r w:rsidRPr="00134960">
              <w:rPr>
                <w:rFonts w:hint="cs"/>
                <w:b/>
                <w:bCs/>
                <w:sz w:val="18"/>
                <w:szCs w:val="18"/>
                <w:rtl/>
                <w:lang w:eastAsia="en-CA"/>
              </w:rPr>
              <w:t xml:space="preserve">الاشتراكات </w:t>
            </w:r>
            <w:r>
              <w:rPr>
                <w:rFonts w:hint="cs"/>
                <w:b/>
                <w:bCs/>
                <w:sz w:val="18"/>
                <w:szCs w:val="18"/>
                <w:rtl/>
                <w:lang w:eastAsia="en-CA"/>
              </w:rPr>
              <w:t xml:space="preserve">المستحقة </w:t>
            </w:r>
            <w:r w:rsidRPr="00134960">
              <w:rPr>
                <w:rFonts w:hint="cs"/>
                <w:b/>
                <w:bCs/>
                <w:sz w:val="18"/>
                <w:szCs w:val="18"/>
                <w:rtl/>
                <w:lang w:eastAsia="en-CA"/>
              </w:rPr>
              <w:t>في</w:t>
            </w:r>
          </w:p>
          <w:p w:rsidR="00ED48E1" w:rsidRPr="00134960" w:rsidRDefault="00ED48E1" w:rsidP="00ED48E1">
            <w:pPr>
              <w:spacing w:after="0" w:line="240" w:lineRule="auto"/>
              <w:jc w:val="center"/>
              <w:rPr>
                <w:b/>
                <w:bCs/>
                <w:sz w:val="18"/>
                <w:szCs w:val="18"/>
                <w:rtl/>
                <w:lang w:eastAsia="en-CA"/>
              </w:rPr>
            </w:pPr>
            <w:r w:rsidRPr="00134960">
              <w:rPr>
                <w:rFonts w:hint="cs"/>
                <w:b/>
                <w:bCs/>
                <w:sz w:val="18"/>
                <w:szCs w:val="18"/>
                <w:rtl/>
                <w:lang w:eastAsia="en-CA"/>
              </w:rPr>
              <w:t xml:space="preserve"> 1 يناير/ كانون الثاني 2019</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ED48E1" w:rsidRDefault="00ED48E1" w:rsidP="00ED48E1">
            <w:pPr>
              <w:spacing w:after="0" w:line="240" w:lineRule="auto"/>
              <w:jc w:val="center"/>
              <w:rPr>
                <w:b/>
                <w:bCs/>
                <w:sz w:val="18"/>
                <w:szCs w:val="18"/>
                <w:rtl/>
                <w:lang w:eastAsia="en-CA"/>
              </w:rPr>
            </w:pPr>
            <w:r w:rsidRPr="00134960">
              <w:rPr>
                <w:rFonts w:hint="cs"/>
                <w:b/>
                <w:bCs/>
                <w:sz w:val="18"/>
                <w:szCs w:val="18"/>
                <w:rtl/>
                <w:lang w:eastAsia="en-CA"/>
              </w:rPr>
              <w:t xml:space="preserve">الاشتراكات </w:t>
            </w:r>
            <w:r>
              <w:rPr>
                <w:rFonts w:hint="cs"/>
                <w:b/>
                <w:bCs/>
                <w:sz w:val="18"/>
                <w:szCs w:val="18"/>
                <w:rtl/>
                <w:lang w:eastAsia="en-CA"/>
              </w:rPr>
              <w:t xml:space="preserve">المستحقة </w:t>
            </w:r>
            <w:r w:rsidRPr="00134960">
              <w:rPr>
                <w:rFonts w:hint="cs"/>
                <w:b/>
                <w:bCs/>
                <w:sz w:val="18"/>
                <w:szCs w:val="18"/>
                <w:rtl/>
                <w:lang w:eastAsia="en-CA"/>
              </w:rPr>
              <w:t>في</w:t>
            </w:r>
          </w:p>
          <w:p w:rsidR="00ED48E1" w:rsidRPr="00134960" w:rsidRDefault="00ED48E1" w:rsidP="00ED48E1">
            <w:pPr>
              <w:spacing w:after="0" w:line="240" w:lineRule="auto"/>
              <w:jc w:val="center"/>
              <w:rPr>
                <w:b/>
                <w:bCs/>
                <w:sz w:val="18"/>
                <w:szCs w:val="18"/>
                <w:lang w:eastAsia="en-CA"/>
              </w:rPr>
            </w:pPr>
            <w:r w:rsidRPr="00134960">
              <w:rPr>
                <w:rFonts w:hint="cs"/>
                <w:b/>
                <w:bCs/>
                <w:sz w:val="18"/>
                <w:szCs w:val="18"/>
                <w:rtl/>
                <w:lang w:eastAsia="en-CA"/>
              </w:rPr>
              <w:t xml:space="preserve"> 1 يناير/ كانون الثاني</w:t>
            </w:r>
            <w:r>
              <w:rPr>
                <w:rFonts w:hint="cs"/>
                <w:b/>
                <w:bCs/>
                <w:sz w:val="18"/>
                <w:szCs w:val="18"/>
                <w:rtl/>
                <w:lang w:eastAsia="en-CA"/>
              </w:rPr>
              <w:t xml:space="preserve"> 2020</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ED48E1" w:rsidRDefault="00ED48E1" w:rsidP="00ED48E1">
            <w:pPr>
              <w:spacing w:after="0" w:line="240" w:lineRule="auto"/>
              <w:jc w:val="center"/>
              <w:rPr>
                <w:b/>
                <w:bCs/>
                <w:sz w:val="18"/>
                <w:szCs w:val="18"/>
                <w:rtl/>
                <w:lang w:eastAsia="en-CA"/>
              </w:rPr>
            </w:pPr>
            <w:r>
              <w:rPr>
                <w:rFonts w:hint="cs"/>
                <w:b/>
                <w:bCs/>
                <w:sz w:val="18"/>
                <w:szCs w:val="18"/>
                <w:rtl/>
                <w:lang w:eastAsia="en-CA"/>
              </w:rPr>
              <w:t>المجموع</w:t>
            </w:r>
          </w:p>
          <w:p w:rsidR="00ED48E1" w:rsidRPr="00134960" w:rsidRDefault="00ED48E1" w:rsidP="00ED48E1">
            <w:pPr>
              <w:spacing w:after="0" w:line="240" w:lineRule="auto"/>
              <w:jc w:val="center"/>
              <w:rPr>
                <w:b/>
                <w:bCs/>
                <w:sz w:val="18"/>
                <w:szCs w:val="18"/>
                <w:lang w:eastAsia="en-CA"/>
              </w:rPr>
            </w:pPr>
            <w:r w:rsidRPr="00134960">
              <w:rPr>
                <w:rFonts w:hint="cs"/>
                <w:b/>
                <w:bCs/>
                <w:sz w:val="18"/>
                <w:szCs w:val="18"/>
                <w:rtl/>
                <w:lang w:eastAsia="en-CA"/>
              </w:rPr>
              <w:t>2019</w:t>
            </w:r>
            <w:r>
              <w:rPr>
                <w:rFonts w:hint="cs"/>
                <w:b/>
                <w:bCs/>
                <w:sz w:val="18"/>
                <w:szCs w:val="18"/>
                <w:rtl/>
                <w:lang w:eastAsia="en-CA"/>
              </w:rPr>
              <w:t>-2020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أفغانستان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ألبانيا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الجزائر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0.161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23</w:t>
            </w:r>
            <w:r>
              <w:rPr>
                <w:sz w:val="20"/>
                <w:szCs w:val="20"/>
              </w:rPr>
              <w:t xml:space="preserve"> </w:t>
            </w:r>
            <w:r w:rsidRPr="00790A39">
              <w:rPr>
                <w:sz w:val="20"/>
                <w:szCs w:val="20"/>
              </w:rPr>
              <w:t>844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w:t>
            </w:r>
            <w:r>
              <w:rPr>
                <w:sz w:val="20"/>
                <w:szCs w:val="20"/>
              </w:rPr>
              <w:t xml:space="preserve"> </w:t>
            </w:r>
            <w:r w:rsidRPr="00790A39">
              <w:rPr>
                <w:sz w:val="20"/>
                <w:szCs w:val="20"/>
              </w:rPr>
              <w:t>284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49</w:t>
            </w:r>
            <w:r>
              <w:rPr>
                <w:sz w:val="20"/>
                <w:szCs w:val="20"/>
              </w:rPr>
              <w:t xml:space="preserve"> </w:t>
            </w:r>
            <w:r w:rsidRPr="00790A39">
              <w:rPr>
                <w:sz w:val="20"/>
                <w:szCs w:val="20"/>
              </w:rPr>
              <w:t>127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اندورا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انغولا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انتيغوا وبربودا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الأرجنتين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0.892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1.115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132</w:t>
            </w:r>
            <w:r>
              <w:rPr>
                <w:sz w:val="20"/>
                <w:szCs w:val="20"/>
              </w:rPr>
              <w:t xml:space="preserve"> </w:t>
            </w:r>
            <w:r w:rsidRPr="00790A39">
              <w:rPr>
                <w:sz w:val="20"/>
                <w:szCs w:val="20"/>
              </w:rPr>
              <w:t>102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140</w:t>
            </w:r>
            <w:r>
              <w:rPr>
                <w:sz w:val="20"/>
                <w:szCs w:val="20"/>
              </w:rPr>
              <w:t xml:space="preserve"> </w:t>
            </w:r>
            <w:r w:rsidRPr="00790A39">
              <w:rPr>
                <w:sz w:val="20"/>
                <w:szCs w:val="20"/>
              </w:rPr>
              <w:t>082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272</w:t>
            </w:r>
            <w:r>
              <w:rPr>
                <w:sz w:val="20"/>
                <w:szCs w:val="20"/>
              </w:rPr>
              <w:t xml:space="preserve"> </w:t>
            </w:r>
            <w:r w:rsidRPr="00790A39">
              <w:rPr>
                <w:sz w:val="20"/>
                <w:szCs w:val="20"/>
              </w:rPr>
              <w:t>184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أرمينيا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أستراليا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2.337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2.922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346</w:t>
            </w:r>
            <w:r>
              <w:rPr>
                <w:sz w:val="20"/>
                <w:szCs w:val="20"/>
              </w:rPr>
              <w:t xml:space="preserve"> </w:t>
            </w:r>
            <w:r w:rsidRPr="00790A39">
              <w:rPr>
                <w:sz w:val="20"/>
                <w:szCs w:val="20"/>
              </w:rPr>
              <w:t>102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367</w:t>
            </w:r>
            <w:r>
              <w:rPr>
                <w:sz w:val="20"/>
                <w:szCs w:val="20"/>
              </w:rPr>
              <w:t xml:space="preserve"> </w:t>
            </w:r>
            <w:r w:rsidRPr="00790A39">
              <w:rPr>
                <w:sz w:val="20"/>
                <w:szCs w:val="20"/>
              </w:rPr>
              <w:t>008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713</w:t>
            </w:r>
            <w:r>
              <w:rPr>
                <w:sz w:val="20"/>
                <w:szCs w:val="20"/>
              </w:rPr>
              <w:t xml:space="preserve"> </w:t>
            </w:r>
            <w:r w:rsidRPr="00790A39">
              <w:rPr>
                <w:sz w:val="20"/>
                <w:szCs w:val="20"/>
              </w:rPr>
              <w:t>110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النمسا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0.720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0.900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106</w:t>
            </w:r>
            <w:r>
              <w:rPr>
                <w:sz w:val="20"/>
                <w:szCs w:val="20"/>
              </w:rPr>
              <w:t xml:space="preserve"> </w:t>
            </w:r>
            <w:r w:rsidRPr="00790A39">
              <w:rPr>
                <w:sz w:val="20"/>
                <w:szCs w:val="20"/>
              </w:rPr>
              <w:t>630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113</w:t>
            </w:r>
            <w:r>
              <w:rPr>
                <w:sz w:val="20"/>
                <w:szCs w:val="20"/>
              </w:rPr>
              <w:t xml:space="preserve"> </w:t>
            </w:r>
            <w:r w:rsidRPr="00790A39">
              <w:rPr>
                <w:sz w:val="20"/>
                <w:szCs w:val="20"/>
              </w:rPr>
              <w:t>070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219</w:t>
            </w:r>
            <w:r>
              <w:rPr>
                <w:sz w:val="20"/>
                <w:szCs w:val="20"/>
              </w:rPr>
              <w:t xml:space="preserve"> </w:t>
            </w:r>
            <w:r w:rsidRPr="00790A39">
              <w:rPr>
                <w:sz w:val="20"/>
                <w:szCs w:val="20"/>
              </w:rPr>
              <w:t>700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أذربيجان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0.060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0.075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886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423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18</w:t>
            </w:r>
            <w:r>
              <w:rPr>
                <w:sz w:val="20"/>
                <w:szCs w:val="20"/>
              </w:rPr>
              <w:t xml:space="preserve"> </w:t>
            </w:r>
            <w:r w:rsidRPr="00790A39">
              <w:rPr>
                <w:sz w:val="20"/>
                <w:szCs w:val="20"/>
              </w:rPr>
              <w:t>308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جزر البهاما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073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4</w:t>
            </w:r>
            <w:r>
              <w:rPr>
                <w:sz w:val="20"/>
                <w:szCs w:val="20"/>
              </w:rPr>
              <w:t xml:space="preserve"> </w:t>
            </w:r>
            <w:r w:rsidRPr="00790A39">
              <w:rPr>
                <w:sz w:val="20"/>
                <w:szCs w:val="20"/>
              </w:rPr>
              <w:t>272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البحرين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516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910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13</w:t>
            </w:r>
            <w:r>
              <w:rPr>
                <w:sz w:val="20"/>
                <w:szCs w:val="20"/>
              </w:rPr>
              <w:t xml:space="preserve"> </w:t>
            </w:r>
            <w:r w:rsidRPr="00790A39">
              <w:rPr>
                <w:sz w:val="20"/>
                <w:szCs w:val="20"/>
              </w:rPr>
              <w:t>426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بنغلاديش</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بربادوس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037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w:t>
            </w:r>
            <w:r>
              <w:rPr>
                <w:sz w:val="20"/>
                <w:szCs w:val="20"/>
              </w:rPr>
              <w:t xml:space="preserve"> </w:t>
            </w:r>
            <w:r w:rsidRPr="00790A39">
              <w:rPr>
                <w:sz w:val="20"/>
                <w:szCs w:val="20"/>
              </w:rPr>
              <w:t>136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بيلاروس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0.056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0.070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293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794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17</w:t>
            </w:r>
            <w:r>
              <w:rPr>
                <w:sz w:val="20"/>
                <w:szCs w:val="20"/>
              </w:rPr>
              <w:t xml:space="preserve"> </w:t>
            </w:r>
            <w:r w:rsidRPr="00790A39">
              <w:rPr>
                <w:sz w:val="20"/>
                <w:szCs w:val="20"/>
              </w:rPr>
              <w:t>088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بلجيكا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0.885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1.106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131</w:t>
            </w:r>
            <w:r>
              <w:rPr>
                <w:sz w:val="20"/>
                <w:szCs w:val="20"/>
              </w:rPr>
              <w:t xml:space="preserve"> </w:t>
            </w:r>
            <w:r w:rsidRPr="00790A39">
              <w:rPr>
                <w:sz w:val="20"/>
                <w:szCs w:val="20"/>
              </w:rPr>
              <w:t>065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138</w:t>
            </w:r>
            <w:r>
              <w:rPr>
                <w:sz w:val="20"/>
                <w:szCs w:val="20"/>
              </w:rPr>
              <w:t xml:space="preserve"> </w:t>
            </w:r>
            <w:r w:rsidRPr="00790A39">
              <w:rPr>
                <w:sz w:val="20"/>
                <w:szCs w:val="20"/>
              </w:rPr>
              <w:t>982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ind w:left="445"/>
              <w:rPr>
                <w:sz w:val="20"/>
                <w:szCs w:val="20"/>
              </w:rPr>
            </w:pPr>
            <w:r w:rsidRPr="00790A39">
              <w:rPr>
                <w:sz w:val="20"/>
                <w:szCs w:val="20"/>
              </w:rPr>
              <w:t>270</w:t>
            </w:r>
            <w:r>
              <w:rPr>
                <w:sz w:val="20"/>
                <w:szCs w:val="20"/>
              </w:rPr>
              <w:t xml:space="preserve"> </w:t>
            </w:r>
            <w:r w:rsidRPr="00790A39">
              <w:rPr>
                <w:sz w:val="20"/>
                <w:szCs w:val="20"/>
              </w:rPr>
              <w:t>048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بليز</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بنن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بوتان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بوليفي</w:t>
            </w:r>
            <w:r>
              <w:rPr>
                <w:rFonts w:hint="cs"/>
                <w:sz w:val="20"/>
                <w:szCs w:val="22"/>
                <w:rtl/>
              </w:rPr>
              <w:t>ا (دول</w:t>
            </w:r>
            <w:r w:rsidRPr="00134960">
              <w:rPr>
                <w:rFonts w:hint="cs"/>
                <w:sz w:val="20"/>
                <w:szCs w:val="22"/>
                <w:rtl/>
              </w:rPr>
              <w:t xml:space="preserve">ة </w:t>
            </w:r>
            <w:r w:rsidRPr="00134960">
              <w:rPr>
                <w:sz w:val="20"/>
                <w:szCs w:val="22"/>
                <w:rtl/>
              </w:rPr>
              <w:t>–</w:t>
            </w:r>
            <w:r w:rsidRPr="00134960">
              <w:rPr>
                <w:rFonts w:hint="cs"/>
                <w:sz w:val="20"/>
                <w:szCs w:val="22"/>
                <w:rtl/>
              </w:rPr>
              <w:t xml:space="preserve"> المتعددة القوميات)</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777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885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662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البوسنة والهرسك</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925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042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967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بوتسوانا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073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272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البرازيل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3.823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4.779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566</w:t>
            </w:r>
            <w:r>
              <w:rPr>
                <w:sz w:val="20"/>
                <w:szCs w:val="20"/>
              </w:rPr>
              <w:t xml:space="preserve"> </w:t>
            </w:r>
            <w:r w:rsidRPr="00790A39">
              <w:rPr>
                <w:sz w:val="20"/>
                <w:szCs w:val="20"/>
              </w:rPr>
              <w:t>173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600</w:t>
            </w:r>
            <w:r>
              <w:rPr>
                <w:sz w:val="20"/>
                <w:szCs w:val="20"/>
              </w:rPr>
              <w:t xml:space="preserve"> </w:t>
            </w:r>
            <w:r w:rsidRPr="00790A39">
              <w:rPr>
                <w:sz w:val="20"/>
                <w:szCs w:val="20"/>
              </w:rPr>
              <w:t>373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166</w:t>
            </w:r>
            <w:r>
              <w:rPr>
                <w:sz w:val="20"/>
                <w:szCs w:val="20"/>
              </w:rPr>
              <w:t xml:space="preserve"> </w:t>
            </w:r>
            <w:r w:rsidRPr="00790A39">
              <w:rPr>
                <w:sz w:val="20"/>
                <w:szCs w:val="20"/>
              </w:rPr>
              <w:t>546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بروناي-</w:t>
            </w:r>
            <w:r>
              <w:rPr>
                <w:rFonts w:hint="cs"/>
                <w:sz w:val="20"/>
                <w:szCs w:val="22"/>
                <w:rtl/>
              </w:rPr>
              <w:t xml:space="preserve"> </w:t>
            </w:r>
            <w:r w:rsidRPr="00134960">
              <w:rPr>
                <w:sz w:val="20"/>
                <w:szCs w:val="22"/>
                <w:rtl/>
              </w:rPr>
              <w:t xml:space="preserve">دار </w:t>
            </w:r>
            <w:r w:rsidRPr="00134960">
              <w:rPr>
                <w:rFonts w:hint="cs"/>
                <w:sz w:val="20"/>
                <w:szCs w:val="22"/>
                <w:rtl/>
              </w:rPr>
              <w:t>السلام</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295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554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849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بلغاريا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664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067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w:t>
            </w:r>
            <w:r>
              <w:rPr>
                <w:sz w:val="20"/>
                <w:szCs w:val="20"/>
              </w:rPr>
              <w:t xml:space="preserve"> </w:t>
            </w:r>
            <w:r w:rsidRPr="00790A39">
              <w:rPr>
                <w:sz w:val="20"/>
                <w:szCs w:val="20"/>
              </w:rPr>
              <w:t>731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بوركينا فاسو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بوروندي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كابو فيردي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كمبوديا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الكاميرون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481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051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2.921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3.652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432</w:t>
            </w:r>
            <w:r>
              <w:rPr>
                <w:sz w:val="20"/>
                <w:szCs w:val="20"/>
              </w:rPr>
              <w:t xml:space="preserve"> </w:t>
            </w:r>
            <w:r w:rsidRPr="00790A39">
              <w:rPr>
                <w:sz w:val="20"/>
                <w:szCs w:val="20"/>
              </w:rPr>
              <w:t>590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458</w:t>
            </w:r>
            <w:r>
              <w:rPr>
                <w:sz w:val="20"/>
                <w:szCs w:val="20"/>
              </w:rPr>
              <w:t xml:space="preserve"> </w:t>
            </w:r>
            <w:r w:rsidRPr="00790A39">
              <w:rPr>
                <w:sz w:val="20"/>
                <w:szCs w:val="20"/>
              </w:rPr>
              <w:t>720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891</w:t>
            </w:r>
            <w:r>
              <w:rPr>
                <w:sz w:val="20"/>
                <w:szCs w:val="20"/>
              </w:rPr>
              <w:t xml:space="preserve"> </w:t>
            </w:r>
            <w:r w:rsidRPr="00790A39">
              <w:rPr>
                <w:sz w:val="20"/>
                <w:szCs w:val="20"/>
              </w:rPr>
              <w:t>311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 xml:space="preserve">جمهوريه </w:t>
            </w:r>
            <w:r>
              <w:rPr>
                <w:rFonts w:hint="cs"/>
                <w:sz w:val="20"/>
                <w:szCs w:val="22"/>
                <w:rtl/>
              </w:rPr>
              <w:t>أ</w:t>
            </w:r>
            <w:r w:rsidRPr="00134960">
              <w:rPr>
                <w:sz w:val="20"/>
                <w:szCs w:val="22"/>
                <w:rtl/>
              </w:rPr>
              <w:t>فريقيا الوسط</w:t>
            </w:r>
            <w:r w:rsidRPr="00134960">
              <w:rPr>
                <w:rFonts w:hint="cs"/>
                <w:sz w:val="20"/>
                <w:szCs w:val="22"/>
                <w:rtl/>
              </w:rPr>
              <w:t>ى</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تشاد</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526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شيلي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0.399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0.499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w:t>
            </w:r>
            <w:r>
              <w:rPr>
                <w:sz w:val="20"/>
                <w:szCs w:val="20"/>
              </w:rPr>
              <w:t xml:space="preserve"> </w:t>
            </w:r>
            <w:r w:rsidRPr="00790A39">
              <w:rPr>
                <w:sz w:val="20"/>
                <w:szCs w:val="20"/>
              </w:rPr>
              <w:t>091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w:t>
            </w:r>
            <w:r>
              <w:rPr>
                <w:sz w:val="20"/>
                <w:szCs w:val="20"/>
              </w:rPr>
              <w:t xml:space="preserve"> </w:t>
            </w:r>
            <w:r w:rsidRPr="00790A39">
              <w:rPr>
                <w:sz w:val="20"/>
                <w:szCs w:val="20"/>
              </w:rPr>
              <w:t>660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121</w:t>
            </w:r>
            <w:r>
              <w:rPr>
                <w:sz w:val="20"/>
                <w:szCs w:val="20"/>
              </w:rPr>
              <w:t xml:space="preserve"> </w:t>
            </w:r>
            <w:r w:rsidRPr="00790A39">
              <w:rPr>
                <w:sz w:val="20"/>
                <w:szCs w:val="20"/>
              </w:rPr>
              <w:t>750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الصين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7.921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9.902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173</w:t>
            </w:r>
            <w:r>
              <w:rPr>
                <w:sz w:val="20"/>
                <w:szCs w:val="20"/>
              </w:rPr>
              <w:t xml:space="preserve"> </w:t>
            </w:r>
            <w:r w:rsidRPr="00790A39">
              <w:rPr>
                <w:sz w:val="20"/>
                <w:szCs w:val="20"/>
              </w:rPr>
              <w:t>073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243</w:t>
            </w:r>
            <w:r>
              <w:rPr>
                <w:sz w:val="20"/>
                <w:szCs w:val="20"/>
              </w:rPr>
              <w:t xml:space="preserve"> </w:t>
            </w:r>
            <w:r w:rsidRPr="00790A39">
              <w:rPr>
                <w:sz w:val="20"/>
                <w:szCs w:val="20"/>
              </w:rPr>
              <w:t>932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417</w:t>
            </w:r>
            <w:r>
              <w:rPr>
                <w:sz w:val="20"/>
                <w:szCs w:val="20"/>
              </w:rPr>
              <w:t xml:space="preserve"> </w:t>
            </w:r>
            <w:r w:rsidRPr="00790A39">
              <w:rPr>
                <w:sz w:val="20"/>
                <w:szCs w:val="20"/>
              </w:rPr>
              <w:t>005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كولومبيا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0.322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w:t>
            </w:r>
            <w:r>
              <w:rPr>
                <w:sz w:val="20"/>
                <w:szCs w:val="20"/>
              </w:rPr>
              <w:t xml:space="preserve"> </w:t>
            </w:r>
            <w:r w:rsidRPr="00790A39">
              <w:rPr>
                <w:sz w:val="20"/>
                <w:szCs w:val="20"/>
              </w:rPr>
              <w:t>687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50</w:t>
            </w:r>
            <w:r>
              <w:rPr>
                <w:sz w:val="20"/>
                <w:szCs w:val="20"/>
              </w:rPr>
              <w:t xml:space="preserve"> </w:t>
            </w:r>
            <w:r w:rsidRPr="00790A39">
              <w:rPr>
                <w:sz w:val="20"/>
                <w:szCs w:val="20"/>
              </w:rPr>
              <w:t>568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98</w:t>
            </w:r>
            <w:r>
              <w:rPr>
                <w:sz w:val="20"/>
                <w:szCs w:val="20"/>
              </w:rPr>
              <w:t xml:space="preserve"> </w:t>
            </w:r>
            <w:r w:rsidRPr="00790A39">
              <w:rPr>
                <w:sz w:val="20"/>
                <w:szCs w:val="20"/>
              </w:rPr>
              <w:t>255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جزر القمر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الكونغو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جزر كوك</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كوستاريكا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961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381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w:t>
            </w:r>
            <w:r>
              <w:rPr>
                <w:sz w:val="20"/>
                <w:szCs w:val="20"/>
              </w:rPr>
              <w:t xml:space="preserve"> </w:t>
            </w:r>
            <w:r w:rsidRPr="00790A39">
              <w:rPr>
                <w:sz w:val="20"/>
                <w:szCs w:val="20"/>
              </w:rPr>
              <w:t>342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كوت ديفوار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333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413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746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كرواتيا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0.099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0.124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w:t>
            </w:r>
            <w:r>
              <w:rPr>
                <w:sz w:val="20"/>
                <w:szCs w:val="20"/>
              </w:rPr>
              <w:t xml:space="preserve"> </w:t>
            </w:r>
            <w:r w:rsidRPr="00790A39">
              <w:rPr>
                <w:sz w:val="20"/>
                <w:szCs w:val="20"/>
              </w:rPr>
              <w:t>662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w:t>
            </w:r>
            <w:r>
              <w:rPr>
                <w:sz w:val="20"/>
                <w:szCs w:val="20"/>
              </w:rPr>
              <w:t xml:space="preserve"> </w:t>
            </w:r>
            <w:r w:rsidRPr="00790A39">
              <w:rPr>
                <w:sz w:val="20"/>
                <w:szCs w:val="20"/>
              </w:rPr>
              <w:t>547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w:t>
            </w:r>
            <w:r>
              <w:rPr>
                <w:sz w:val="20"/>
                <w:szCs w:val="20"/>
              </w:rPr>
              <w:t xml:space="preserve"> </w:t>
            </w:r>
            <w:r w:rsidRPr="00790A39">
              <w:rPr>
                <w:sz w:val="20"/>
                <w:szCs w:val="20"/>
              </w:rPr>
              <w:t>209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كوبا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0.065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0.081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626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208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19</w:t>
            </w:r>
            <w:r>
              <w:rPr>
                <w:sz w:val="20"/>
                <w:szCs w:val="20"/>
              </w:rPr>
              <w:t xml:space="preserve"> </w:t>
            </w:r>
            <w:r w:rsidRPr="00790A39">
              <w:rPr>
                <w:sz w:val="20"/>
                <w:szCs w:val="20"/>
              </w:rPr>
              <w:t>834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قبرص</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368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753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w:t>
            </w:r>
            <w:r>
              <w:rPr>
                <w:sz w:val="20"/>
                <w:szCs w:val="20"/>
              </w:rPr>
              <w:t xml:space="preserve"> </w:t>
            </w:r>
            <w:r w:rsidRPr="00790A39">
              <w:rPr>
                <w:sz w:val="20"/>
                <w:szCs w:val="20"/>
              </w:rPr>
              <w:t>121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تشيك</w:t>
            </w:r>
            <w:r w:rsidRPr="00134960">
              <w:rPr>
                <w:rFonts w:hint="cs"/>
                <w:sz w:val="20"/>
                <w:szCs w:val="22"/>
                <w:rtl/>
              </w:rPr>
              <w:t>ي</w:t>
            </w:r>
            <w:r>
              <w:rPr>
                <w:rFonts w:hint="cs"/>
                <w:sz w:val="20"/>
                <w:szCs w:val="22"/>
                <w:rtl/>
              </w:rPr>
              <w:t>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0.344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0.430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50</w:t>
            </w:r>
            <w:r>
              <w:rPr>
                <w:sz w:val="20"/>
                <w:szCs w:val="20"/>
              </w:rPr>
              <w:t xml:space="preserve"> </w:t>
            </w:r>
            <w:r w:rsidRPr="00790A39">
              <w:rPr>
                <w:sz w:val="20"/>
                <w:szCs w:val="20"/>
              </w:rPr>
              <w:t>945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54</w:t>
            </w:r>
            <w:r>
              <w:rPr>
                <w:sz w:val="20"/>
                <w:szCs w:val="20"/>
              </w:rPr>
              <w:t xml:space="preserve"> </w:t>
            </w:r>
            <w:r w:rsidRPr="00790A39">
              <w:rPr>
                <w:sz w:val="20"/>
                <w:szCs w:val="20"/>
              </w:rPr>
              <w:t>023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104</w:t>
            </w:r>
            <w:r>
              <w:rPr>
                <w:sz w:val="20"/>
                <w:szCs w:val="20"/>
              </w:rPr>
              <w:t xml:space="preserve"> </w:t>
            </w:r>
            <w:r w:rsidRPr="00790A39">
              <w:rPr>
                <w:sz w:val="20"/>
                <w:szCs w:val="20"/>
              </w:rPr>
              <w:t>968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كوريا الشعبية الديمقراطية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526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الكونغو الديمقراطية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الدانمرك</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0.584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0.730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86</w:t>
            </w:r>
            <w:r>
              <w:rPr>
                <w:sz w:val="20"/>
                <w:szCs w:val="20"/>
              </w:rPr>
              <w:t xml:space="preserve"> </w:t>
            </w:r>
            <w:r w:rsidRPr="00790A39">
              <w:rPr>
                <w:sz w:val="20"/>
                <w:szCs w:val="20"/>
              </w:rPr>
              <w:t>488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w:t>
            </w:r>
            <w:r>
              <w:rPr>
                <w:sz w:val="20"/>
                <w:szCs w:val="20"/>
              </w:rPr>
              <w:t xml:space="preserve"> </w:t>
            </w:r>
            <w:r w:rsidRPr="00790A39">
              <w:rPr>
                <w:sz w:val="20"/>
                <w:szCs w:val="20"/>
              </w:rPr>
              <w:t>713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178</w:t>
            </w:r>
            <w:r>
              <w:rPr>
                <w:sz w:val="20"/>
                <w:szCs w:val="20"/>
              </w:rPr>
              <w:t xml:space="preserve"> </w:t>
            </w:r>
            <w:r w:rsidRPr="00790A39">
              <w:rPr>
                <w:sz w:val="20"/>
                <w:szCs w:val="20"/>
              </w:rPr>
              <w:t>201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جيبوتي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دومينيكا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ال</w:t>
            </w:r>
            <w:r w:rsidRPr="00134960">
              <w:rPr>
                <w:sz w:val="20"/>
                <w:szCs w:val="22"/>
                <w:rtl/>
              </w:rPr>
              <w:t>جمهورية الدومينيك</w:t>
            </w:r>
            <w:r w:rsidRPr="00134960">
              <w:rPr>
                <w:rFonts w:hint="cs"/>
                <w:sz w:val="20"/>
                <w:szCs w:val="22"/>
                <w:rtl/>
              </w:rPr>
              <w:t>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812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224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w:t>
            </w:r>
            <w:r>
              <w:rPr>
                <w:sz w:val="20"/>
                <w:szCs w:val="20"/>
              </w:rPr>
              <w:t xml:space="preserve"> </w:t>
            </w:r>
            <w:r w:rsidRPr="00790A39">
              <w:rPr>
                <w:sz w:val="20"/>
                <w:szCs w:val="20"/>
              </w:rPr>
              <w:t>036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إكوادور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0.067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0.084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922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522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20</w:t>
            </w:r>
            <w:r>
              <w:rPr>
                <w:sz w:val="20"/>
                <w:szCs w:val="20"/>
              </w:rPr>
              <w:t xml:space="preserve"> </w:t>
            </w:r>
            <w:r w:rsidRPr="00790A39">
              <w:rPr>
                <w:sz w:val="20"/>
                <w:szCs w:val="20"/>
              </w:rPr>
              <w:t>444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مصر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0.152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0.190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22</w:t>
            </w:r>
            <w:r>
              <w:rPr>
                <w:sz w:val="20"/>
                <w:szCs w:val="20"/>
              </w:rPr>
              <w:t xml:space="preserve"> </w:t>
            </w:r>
            <w:r w:rsidRPr="00790A39">
              <w:rPr>
                <w:sz w:val="20"/>
                <w:szCs w:val="20"/>
              </w:rPr>
              <w:t>511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23</w:t>
            </w:r>
            <w:r>
              <w:rPr>
                <w:sz w:val="20"/>
                <w:szCs w:val="20"/>
              </w:rPr>
              <w:t xml:space="preserve"> </w:t>
            </w:r>
            <w:r w:rsidRPr="00790A39">
              <w:rPr>
                <w:sz w:val="20"/>
                <w:szCs w:val="20"/>
              </w:rPr>
              <w:t>870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46</w:t>
            </w:r>
            <w:r>
              <w:rPr>
                <w:sz w:val="20"/>
                <w:szCs w:val="20"/>
              </w:rPr>
              <w:t xml:space="preserve"> </w:t>
            </w:r>
            <w:r w:rsidRPr="00790A39">
              <w:rPr>
                <w:sz w:val="20"/>
                <w:szCs w:val="20"/>
              </w:rPr>
              <w:t>381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السلفادور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073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272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غينيا الاستوائية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إ</w:t>
            </w:r>
            <w:r w:rsidRPr="00134960">
              <w:rPr>
                <w:sz w:val="20"/>
                <w:szCs w:val="22"/>
                <w:rtl/>
              </w:rPr>
              <w:t>ريتريا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rtl/>
                <w:lang w:eastAsia="en-CA"/>
              </w:rPr>
            </w:pPr>
            <w:r w:rsidRPr="00134960">
              <w:rPr>
                <w:sz w:val="20"/>
                <w:szCs w:val="22"/>
                <w:rtl/>
              </w:rPr>
              <w:t>إستونيا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0.038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0.048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628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968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w:t>
            </w:r>
            <w:r>
              <w:rPr>
                <w:sz w:val="20"/>
                <w:szCs w:val="20"/>
              </w:rPr>
              <w:t xml:space="preserve"> </w:t>
            </w:r>
            <w:r w:rsidRPr="00790A39">
              <w:rPr>
                <w:sz w:val="20"/>
                <w:szCs w:val="20"/>
              </w:rPr>
              <w:t>595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rtl/>
              </w:rPr>
            </w:pPr>
            <w:r>
              <w:rPr>
                <w:rFonts w:hint="cs"/>
                <w:sz w:val="20"/>
                <w:szCs w:val="22"/>
                <w:rtl/>
              </w:rPr>
              <w:t>اسواتيني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إ</w:t>
            </w:r>
            <w:r w:rsidRPr="00134960">
              <w:rPr>
                <w:sz w:val="20"/>
                <w:szCs w:val="22"/>
                <w:rtl/>
              </w:rPr>
              <w:t>ثيوبيا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الاتحاد الأوروبي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 </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2.500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r>
              <w:rPr>
                <w:sz w:val="20"/>
                <w:szCs w:val="20"/>
              </w:rPr>
              <w:t xml:space="preserve"> </w:t>
            </w:r>
            <w:r w:rsidRPr="00790A39">
              <w:rPr>
                <w:sz w:val="20"/>
                <w:szCs w:val="20"/>
              </w:rPr>
              <w:t>163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r>
              <w:rPr>
                <w:sz w:val="20"/>
                <w:szCs w:val="20"/>
              </w:rPr>
              <w:t xml:space="preserve"> </w:t>
            </w:r>
            <w:r w:rsidRPr="00790A39">
              <w:rPr>
                <w:sz w:val="20"/>
                <w:szCs w:val="20"/>
              </w:rPr>
              <w:t>052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r>
              <w:rPr>
                <w:sz w:val="20"/>
                <w:szCs w:val="20"/>
              </w:rPr>
              <w:t xml:space="preserve"> </w:t>
            </w:r>
            <w:r w:rsidRPr="00790A39">
              <w:rPr>
                <w:sz w:val="20"/>
                <w:szCs w:val="20"/>
              </w:rPr>
              <w:t>215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فيجي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فنلندا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0.456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0.570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67</w:t>
            </w:r>
            <w:r>
              <w:rPr>
                <w:sz w:val="20"/>
                <w:szCs w:val="20"/>
              </w:rPr>
              <w:t xml:space="preserve"> </w:t>
            </w:r>
            <w:r w:rsidRPr="00790A39">
              <w:rPr>
                <w:sz w:val="20"/>
                <w:szCs w:val="20"/>
              </w:rPr>
              <w:t>532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71</w:t>
            </w:r>
            <w:r>
              <w:rPr>
                <w:sz w:val="20"/>
                <w:szCs w:val="20"/>
              </w:rPr>
              <w:t xml:space="preserve"> </w:t>
            </w:r>
            <w:r w:rsidRPr="00790A39">
              <w:rPr>
                <w:sz w:val="20"/>
                <w:szCs w:val="20"/>
              </w:rPr>
              <w:t>611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139</w:t>
            </w:r>
            <w:r>
              <w:rPr>
                <w:sz w:val="20"/>
                <w:szCs w:val="20"/>
              </w:rPr>
              <w:t xml:space="preserve"> </w:t>
            </w:r>
            <w:r w:rsidRPr="00790A39">
              <w:rPr>
                <w:sz w:val="20"/>
                <w:szCs w:val="20"/>
              </w:rPr>
              <w:t>143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فرنسا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4.859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6.074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719</w:t>
            </w:r>
            <w:r>
              <w:rPr>
                <w:sz w:val="20"/>
                <w:szCs w:val="20"/>
              </w:rPr>
              <w:t xml:space="preserve"> </w:t>
            </w:r>
            <w:r w:rsidRPr="00790A39">
              <w:rPr>
                <w:sz w:val="20"/>
                <w:szCs w:val="20"/>
              </w:rPr>
              <w:t>601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763</w:t>
            </w:r>
            <w:r>
              <w:rPr>
                <w:sz w:val="20"/>
                <w:szCs w:val="20"/>
              </w:rPr>
              <w:t xml:space="preserve"> </w:t>
            </w:r>
            <w:r w:rsidRPr="00790A39">
              <w:rPr>
                <w:sz w:val="20"/>
                <w:szCs w:val="20"/>
              </w:rPr>
              <w:t>068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482</w:t>
            </w:r>
            <w:r>
              <w:rPr>
                <w:sz w:val="20"/>
                <w:szCs w:val="20"/>
              </w:rPr>
              <w:t xml:space="preserve"> </w:t>
            </w:r>
            <w:r w:rsidRPr="00790A39">
              <w:rPr>
                <w:sz w:val="20"/>
                <w:szCs w:val="20"/>
              </w:rPr>
              <w:t>670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غابون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518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670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187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غامبيا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جورجيا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ألمانيا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6.389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7.987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946</w:t>
            </w:r>
            <w:r>
              <w:rPr>
                <w:sz w:val="20"/>
                <w:szCs w:val="20"/>
              </w:rPr>
              <w:t xml:space="preserve"> </w:t>
            </w:r>
            <w:r w:rsidRPr="00790A39">
              <w:rPr>
                <w:sz w:val="20"/>
                <w:szCs w:val="20"/>
              </w:rPr>
              <w:t>189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003</w:t>
            </w:r>
            <w:r>
              <w:rPr>
                <w:sz w:val="20"/>
                <w:szCs w:val="20"/>
              </w:rPr>
              <w:t xml:space="preserve"> </w:t>
            </w:r>
            <w:r w:rsidRPr="00790A39">
              <w:rPr>
                <w:sz w:val="20"/>
                <w:szCs w:val="20"/>
              </w:rPr>
              <w:t>343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949</w:t>
            </w:r>
            <w:r>
              <w:rPr>
                <w:sz w:val="20"/>
                <w:szCs w:val="20"/>
              </w:rPr>
              <w:t xml:space="preserve"> </w:t>
            </w:r>
            <w:r w:rsidRPr="00790A39">
              <w:rPr>
                <w:sz w:val="20"/>
                <w:szCs w:val="20"/>
              </w:rPr>
              <w:t>532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غانا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370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513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882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اليونان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0.471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0.589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69</w:t>
            </w:r>
            <w:r>
              <w:rPr>
                <w:sz w:val="20"/>
                <w:szCs w:val="20"/>
              </w:rPr>
              <w:t xml:space="preserve"> </w:t>
            </w:r>
            <w:r w:rsidRPr="00790A39">
              <w:rPr>
                <w:sz w:val="20"/>
                <w:szCs w:val="20"/>
              </w:rPr>
              <w:t>754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73</w:t>
            </w:r>
            <w:r>
              <w:rPr>
                <w:sz w:val="20"/>
                <w:szCs w:val="20"/>
              </w:rPr>
              <w:t xml:space="preserve"> </w:t>
            </w:r>
            <w:r w:rsidRPr="00790A39">
              <w:rPr>
                <w:sz w:val="20"/>
                <w:szCs w:val="20"/>
              </w:rPr>
              <w:t>967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143</w:t>
            </w:r>
            <w:r>
              <w:rPr>
                <w:sz w:val="20"/>
                <w:szCs w:val="20"/>
              </w:rPr>
              <w:t xml:space="preserve"> </w:t>
            </w:r>
            <w:r w:rsidRPr="00790A39">
              <w:rPr>
                <w:sz w:val="20"/>
                <w:szCs w:val="20"/>
              </w:rPr>
              <w:t>720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غرينادا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غ</w:t>
            </w:r>
            <w:r w:rsidRPr="00134960">
              <w:rPr>
                <w:sz w:val="20"/>
                <w:szCs w:val="22"/>
                <w:rtl/>
              </w:rPr>
              <w:t>واتيمالا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147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397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544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غينيا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غينيا-</w:t>
            </w:r>
            <w:r>
              <w:rPr>
                <w:rFonts w:hint="cs"/>
                <w:sz w:val="20"/>
                <w:szCs w:val="22"/>
                <w:rtl/>
              </w:rPr>
              <w:t xml:space="preserve"> </w:t>
            </w:r>
            <w:r w:rsidRPr="00134960">
              <w:rPr>
                <w:sz w:val="20"/>
                <w:szCs w:val="22"/>
                <w:rtl/>
              </w:rPr>
              <w:t>بيساو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غيانا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هايتي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هندوراس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هنغاريا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0.161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23</w:t>
            </w:r>
            <w:r>
              <w:rPr>
                <w:sz w:val="20"/>
                <w:szCs w:val="20"/>
              </w:rPr>
              <w:t xml:space="preserve"> </w:t>
            </w:r>
            <w:r w:rsidRPr="00790A39">
              <w:rPr>
                <w:sz w:val="20"/>
                <w:szCs w:val="20"/>
              </w:rPr>
              <w:t>844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w:t>
            </w:r>
            <w:r>
              <w:rPr>
                <w:sz w:val="20"/>
                <w:szCs w:val="20"/>
              </w:rPr>
              <w:t xml:space="preserve"> </w:t>
            </w:r>
            <w:r w:rsidRPr="00790A39">
              <w:rPr>
                <w:sz w:val="20"/>
                <w:szCs w:val="20"/>
              </w:rPr>
              <w:t>284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49</w:t>
            </w:r>
            <w:r>
              <w:rPr>
                <w:sz w:val="20"/>
                <w:szCs w:val="20"/>
              </w:rPr>
              <w:t xml:space="preserve"> </w:t>
            </w:r>
            <w:r w:rsidRPr="00790A39">
              <w:rPr>
                <w:sz w:val="20"/>
                <w:szCs w:val="20"/>
              </w:rPr>
              <w:t>127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أيسلندا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406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612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018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الهند</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0.737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0.921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109</w:t>
            </w:r>
            <w:r>
              <w:rPr>
                <w:sz w:val="20"/>
                <w:szCs w:val="20"/>
              </w:rPr>
              <w:t xml:space="preserve"> </w:t>
            </w:r>
            <w:r w:rsidRPr="00790A39">
              <w:rPr>
                <w:sz w:val="20"/>
                <w:szCs w:val="20"/>
              </w:rPr>
              <w:t>147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115</w:t>
            </w:r>
            <w:r>
              <w:rPr>
                <w:sz w:val="20"/>
                <w:szCs w:val="20"/>
              </w:rPr>
              <w:t xml:space="preserve"> </w:t>
            </w:r>
            <w:r w:rsidRPr="00790A39">
              <w:rPr>
                <w:sz w:val="20"/>
                <w:szCs w:val="20"/>
              </w:rPr>
              <w:t>740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224</w:t>
            </w:r>
            <w:r>
              <w:rPr>
                <w:sz w:val="20"/>
                <w:szCs w:val="20"/>
              </w:rPr>
              <w:t xml:space="preserve"> </w:t>
            </w:r>
            <w:r w:rsidRPr="00790A39">
              <w:rPr>
                <w:sz w:val="20"/>
                <w:szCs w:val="20"/>
              </w:rPr>
              <w:t>887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إندونيسي</w:t>
            </w:r>
            <w:r w:rsidRPr="00134960">
              <w:rPr>
                <w:rFonts w:hint="cs"/>
                <w:sz w:val="20"/>
                <w:szCs w:val="22"/>
                <w:rtl/>
              </w:rPr>
              <w:t>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0.504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0.630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w:t>
            </w:r>
            <w:r>
              <w:rPr>
                <w:sz w:val="20"/>
                <w:szCs w:val="20"/>
              </w:rPr>
              <w:t xml:space="preserve"> </w:t>
            </w:r>
            <w:r w:rsidRPr="00790A39">
              <w:rPr>
                <w:sz w:val="20"/>
                <w:szCs w:val="20"/>
              </w:rPr>
              <w:t>641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79</w:t>
            </w:r>
            <w:r>
              <w:rPr>
                <w:sz w:val="20"/>
                <w:szCs w:val="20"/>
              </w:rPr>
              <w:t xml:space="preserve"> </w:t>
            </w:r>
            <w:r w:rsidRPr="00790A39">
              <w:rPr>
                <w:sz w:val="20"/>
                <w:szCs w:val="20"/>
              </w:rPr>
              <w:t>149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153</w:t>
            </w:r>
            <w:r>
              <w:rPr>
                <w:sz w:val="20"/>
                <w:szCs w:val="20"/>
              </w:rPr>
              <w:t xml:space="preserve"> </w:t>
            </w:r>
            <w:r w:rsidRPr="00790A39">
              <w:rPr>
                <w:sz w:val="20"/>
                <w:szCs w:val="20"/>
              </w:rPr>
              <w:t>790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 xml:space="preserve">إيران </w:t>
            </w:r>
            <w:r w:rsidRPr="00134960">
              <w:rPr>
                <w:rFonts w:hint="cs"/>
                <w:sz w:val="20"/>
                <w:szCs w:val="22"/>
                <w:rtl/>
              </w:rPr>
              <w:t>(</w:t>
            </w:r>
            <w:r w:rsidRPr="00134960">
              <w:rPr>
                <w:sz w:val="20"/>
                <w:szCs w:val="22"/>
                <w:rtl/>
              </w:rPr>
              <w:t>جمهوريه</w:t>
            </w:r>
            <w:r w:rsidRPr="00134960">
              <w:rPr>
                <w:rFonts w:hint="cs"/>
                <w:sz w:val="20"/>
                <w:szCs w:val="22"/>
                <w:rtl/>
              </w:rPr>
              <w:t xml:space="preserve"> - الإسلامية</w:t>
            </w:r>
            <w:r w:rsidRPr="00134960">
              <w:rPr>
                <w:sz w:val="20"/>
                <w:szCs w:val="22"/>
                <w:rtl/>
              </w:rPr>
              <w:t>)</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0.471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0.589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69</w:t>
            </w:r>
            <w:r>
              <w:rPr>
                <w:sz w:val="20"/>
                <w:szCs w:val="20"/>
              </w:rPr>
              <w:t xml:space="preserve"> </w:t>
            </w:r>
            <w:r w:rsidRPr="00790A39">
              <w:rPr>
                <w:sz w:val="20"/>
                <w:szCs w:val="20"/>
              </w:rPr>
              <w:t>754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73</w:t>
            </w:r>
            <w:r>
              <w:rPr>
                <w:sz w:val="20"/>
                <w:szCs w:val="20"/>
              </w:rPr>
              <w:t xml:space="preserve"> </w:t>
            </w:r>
            <w:r w:rsidRPr="00790A39">
              <w:rPr>
                <w:sz w:val="20"/>
                <w:szCs w:val="20"/>
              </w:rPr>
              <w:t>967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143</w:t>
            </w:r>
            <w:r>
              <w:rPr>
                <w:sz w:val="20"/>
                <w:szCs w:val="20"/>
              </w:rPr>
              <w:t xml:space="preserve"> </w:t>
            </w:r>
            <w:r w:rsidRPr="00790A39">
              <w:rPr>
                <w:sz w:val="20"/>
                <w:szCs w:val="20"/>
              </w:rPr>
              <w:t>720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العراق</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0.129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0.161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19</w:t>
            </w:r>
            <w:r>
              <w:rPr>
                <w:sz w:val="20"/>
                <w:szCs w:val="20"/>
              </w:rPr>
              <w:t xml:space="preserve"> </w:t>
            </w:r>
            <w:r w:rsidRPr="00790A39">
              <w:rPr>
                <w:sz w:val="20"/>
                <w:szCs w:val="20"/>
              </w:rPr>
              <w:t>104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20</w:t>
            </w:r>
            <w:r>
              <w:rPr>
                <w:sz w:val="20"/>
                <w:szCs w:val="20"/>
              </w:rPr>
              <w:t xml:space="preserve"> </w:t>
            </w:r>
            <w:r w:rsidRPr="00790A39">
              <w:rPr>
                <w:sz w:val="20"/>
                <w:szCs w:val="20"/>
              </w:rPr>
              <w:t>258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39</w:t>
            </w:r>
            <w:r>
              <w:rPr>
                <w:sz w:val="20"/>
                <w:szCs w:val="20"/>
              </w:rPr>
              <w:t xml:space="preserve"> </w:t>
            </w:r>
            <w:r w:rsidRPr="00790A39">
              <w:rPr>
                <w:sz w:val="20"/>
                <w:szCs w:val="20"/>
              </w:rPr>
              <w:t>363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أيرلندا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0.335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0.419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49</w:t>
            </w:r>
            <w:r>
              <w:rPr>
                <w:sz w:val="20"/>
                <w:szCs w:val="20"/>
              </w:rPr>
              <w:t xml:space="preserve"> </w:t>
            </w:r>
            <w:r w:rsidRPr="00790A39">
              <w:rPr>
                <w:sz w:val="20"/>
                <w:szCs w:val="20"/>
              </w:rPr>
              <w:t>612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52</w:t>
            </w:r>
            <w:r>
              <w:rPr>
                <w:sz w:val="20"/>
                <w:szCs w:val="20"/>
              </w:rPr>
              <w:t xml:space="preserve"> </w:t>
            </w:r>
            <w:r w:rsidRPr="00790A39">
              <w:rPr>
                <w:sz w:val="20"/>
                <w:szCs w:val="20"/>
              </w:rPr>
              <w:t>609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102</w:t>
            </w:r>
            <w:r>
              <w:rPr>
                <w:sz w:val="20"/>
                <w:szCs w:val="20"/>
              </w:rPr>
              <w:t xml:space="preserve"> </w:t>
            </w:r>
            <w:r w:rsidRPr="00790A39">
              <w:rPr>
                <w:sz w:val="20"/>
                <w:szCs w:val="20"/>
              </w:rPr>
              <w:t>222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إسرائيل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0.430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0.538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63</w:t>
            </w:r>
            <w:r>
              <w:rPr>
                <w:sz w:val="20"/>
                <w:szCs w:val="20"/>
              </w:rPr>
              <w:t xml:space="preserve"> </w:t>
            </w:r>
            <w:r w:rsidRPr="00790A39">
              <w:rPr>
                <w:sz w:val="20"/>
                <w:szCs w:val="20"/>
              </w:rPr>
              <w:t>682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67</w:t>
            </w:r>
            <w:r>
              <w:rPr>
                <w:sz w:val="20"/>
                <w:szCs w:val="20"/>
              </w:rPr>
              <w:t xml:space="preserve"> </w:t>
            </w:r>
            <w:r w:rsidRPr="00790A39">
              <w:rPr>
                <w:sz w:val="20"/>
                <w:szCs w:val="20"/>
              </w:rPr>
              <w:t>528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131</w:t>
            </w:r>
            <w:r>
              <w:rPr>
                <w:sz w:val="20"/>
                <w:szCs w:val="20"/>
              </w:rPr>
              <w:t xml:space="preserve"> </w:t>
            </w:r>
            <w:r w:rsidRPr="00790A39">
              <w:rPr>
                <w:sz w:val="20"/>
                <w:szCs w:val="20"/>
              </w:rPr>
              <w:t>210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إيطاليا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3.748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4.685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555</w:t>
            </w:r>
            <w:r>
              <w:rPr>
                <w:sz w:val="20"/>
                <w:szCs w:val="20"/>
              </w:rPr>
              <w:t xml:space="preserve"> </w:t>
            </w:r>
            <w:r w:rsidRPr="00790A39">
              <w:rPr>
                <w:sz w:val="20"/>
                <w:szCs w:val="20"/>
              </w:rPr>
              <w:t>066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588</w:t>
            </w:r>
            <w:r>
              <w:rPr>
                <w:sz w:val="20"/>
                <w:szCs w:val="20"/>
              </w:rPr>
              <w:t xml:space="preserve"> </w:t>
            </w:r>
            <w:r w:rsidRPr="00790A39">
              <w:rPr>
                <w:sz w:val="20"/>
                <w:szCs w:val="20"/>
              </w:rPr>
              <w:t>594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143</w:t>
            </w:r>
            <w:r>
              <w:rPr>
                <w:sz w:val="20"/>
                <w:szCs w:val="20"/>
              </w:rPr>
              <w:t xml:space="preserve"> </w:t>
            </w:r>
            <w:r w:rsidRPr="00790A39">
              <w:rPr>
                <w:sz w:val="20"/>
                <w:szCs w:val="20"/>
              </w:rPr>
              <w:t>661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جامايكا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333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413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746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اليابان</w:t>
            </w:r>
          </w:p>
        </w:tc>
        <w:tc>
          <w:tcPr>
            <w:tcW w:w="798"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9.680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12.101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433</w:t>
            </w:r>
            <w:r>
              <w:rPr>
                <w:sz w:val="20"/>
                <w:szCs w:val="20"/>
              </w:rPr>
              <w:t xml:space="preserve"> </w:t>
            </w:r>
            <w:r w:rsidRPr="00790A39">
              <w:rPr>
                <w:sz w:val="20"/>
                <w:szCs w:val="20"/>
              </w:rPr>
              <w:t>575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520</w:t>
            </w:r>
            <w:r>
              <w:rPr>
                <w:sz w:val="20"/>
                <w:szCs w:val="20"/>
              </w:rPr>
              <w:t xml:space="preserve"> </w:t>
            </w:r>
            <w:r w:rsidRPr="00790A39">
              <w:rPr>
                <w:sz w:val="20"/>
                <w:szCs w:val="20"/>
              </w:rPr>
              <w:t>169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953</w:t>
            </w:r>
            <w:r>
              <w:rPr>
                <w:sz w:val="20"/>
                <w:szCs w:val="20"/>
              </w:rPr>
              <w:t xml:space="preserve"> </w:t>
            </w:r>
            <w:r w:rsidRPr="00790A39">
              <w:rPr>
                <w:sz w:val="20"/>
                <w:szCs w:val="20"/>
              </w:rPr>
              <w:t>744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الأردن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962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141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103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كازاخستان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0.191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0.239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28</w:t>
            </w:r>
            <w:r>
              <w:rPr>
                <w:sz w:val="20"/>
                <w:szCs w:val="20"/>
              </w:rPr>
              <w:t xml:space="preserve"> </w:t>
            </w:r>
            <w:r w:rsidRPr="00790A39">
              <w:rPr>
                <w:sz w:val="20"/>
                <w:szCs w:val="20"/>
              </w:rPr>
              <w:t>286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w:t>
            </w:r>
            <w:r>
              <w:rPr>
                <w:sz w:val="20"/>
                <w:szCs w:val="20"/>
              </w:rPr>
              <w:t xml:space="preserve"> </w:t>
            </w:r>
            <w:r w:rsidRPr="00790A39">
              <w:rPr>
                <w:sz w:val="20"/>
                <w:szCs w:val="20"/>
              </w:rPr>
              <w:t>995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58</w:t>
            </w:r>
            <w:r>
              <w:rPr>
                <w:sz w:val="20"/>
                <w:szCs w:val="20"/>
              </w:rPr>
              <w:t xml:space="preserve"> </w:t>
            </w:r>
            <w:r w:rsidRPr="00790A39">
              <w:rPr>
                <w:sz w:val="20"/>
                <w:szCs w:val="20"/>
              </w:rPr>
              <w:t>282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كينيا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666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827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492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كيريبا</w:t>
            </w:r>
            <w:r w:rsidRPr="00134960">
              <w:rPr>
                <w:rFonts w:hint="cs"/>
                <w:sz w:val="20"/>
                <w:szCs w:val="22"/>
                <w:rtl/>
              </w:rPr>
              <w:t>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tl/>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الكويت</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0.285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0.356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42</w:t>
            </w:r>
            <w:r>
              <w:rPr>
                <w:sz w:val="20"/>
                <w:szCs w:val="20"/>
              </w:rPr>
              <w:t xml:space="preserve"> </w:t>
            </w:r>
            <w:r w:rsidRPr="00790A39">
              <w:rPr>
                <w:sz w:val="20"/>
                <w:szCs w:val="20"/>
              </w:rPr>
              <w:t>208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w:t>
            </w:r>
            <w:r>
              <w:rPr>
                <w:sz w:val="20"/>
                <w:szCs w:val="20"/>
              </w:rPr>
              <w:t xml:space="preserve"> </w:t>
            </w:r>
            <w:r w:rsidRPr="00790A39">
              <w:rPr>
                <w:sz w:val="20"/>
                <w:szCs w:val="20"/>
              </w:rPr>
              <w:t>757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86</w:t>
            </w:r>
            <w:r>
              <w:rPr>
                <w:sz w:val="20"/>
                <w:szCs w:val="20"/>
              </w:rPr>
              <w:t xml:space="preserve"> </w:t>
            </w:r>
            <w:r w:rsidRPr="00790A39">
              <w:rPr>
                <w:sz w:val="20"/>
                <w:szCs w:val="20"/>
              </w:rPr>
              <w:t>965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قيرغيزستان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لاو الديمقراطية الشعبية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لاتفيا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0.050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0.063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405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852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w:t>
            </w:r>
            <w:r>
              <w:rPr>
                <w:sz w:val="20"/>
                <w:szCs w:val="20"/>
              </w:rPr>
              <w:t xml:space="preserve"> </w:t>
            </w:r>
            <w:r w:rsidRPr="00790A39">
              <w:rPr>
                <w:sz w:val="20"/>
                <w:szCs w:val="20"/>
              </w:rPr>
              <w:t>257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لبنان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0.046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0.058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w:t>
            </w:r>
            <w:r>
              <w:rPr>
                <w:sz w:val="20"/>
                <w:szCs w:val="20"/>
              </w:rPr>
              <w:t xml:space="preserve"> </w:t>
            </w:r>
            <w:r w:rsidRPr="00790A39">
              <w:rPr>
                <w:sz w:val="20"/>
                <w:szCs w:val="20"/>
              </w:rPr>
              <w:t>812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224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w:t>
            </w:r>
            <w:r>
              <w:rPr>
                <w:sz w:val="20"/>
                <w:szCs w:val="20"/>
              </w:rPr>
              <w:t xml:space="preserve"> </w:t>
            </w:r>
            <w:r w:rsidRPr="00790A39">
              <w:rPr>
                <w:sz w:val="20"/>
                <w:szCs w:val="20"/>
              </w:rPr>
              <w:t>036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ليسوتو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ليبريا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ليبيا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0.125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0.156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18</w:t>
            </w:r>
            <w:r>
              <w:rPr>
                <w:sz w:val="20"/>
                <w:szCs w:val="20"/>
              </w:rPr>
              <w:t xml:space="preserve"> </w:t>
            </w:r>
            <w:r w:rsidRPr="00790A39">
              <w:rPr>
                <w:sz w:val="20"/>
                <w:szCs w:val="20"/>
              </w:rPr>
              <w:t>512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19</w:t>
            </w:r>
            <w:r>
              <w:rPr>
                <w:sz w:val="20"/>
                <w:szCs w:val="20"/>
              </w:rPr>
              <w:t xml:space="preserve"> </w:t>
            </w:r>
            <w:r w:rsidRPr="00790A39">
              <w:rPr>
                <w:sz w:val="20"/>
                <w:szCs w:val="20"/>
              </w:rPr>
              <w:t>630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38</w:t>
            </w:r>
            <w:r>
              <w:rPr>
                <w:sz w:val="20"/>
                <w:szCs w:val="20"/>
              </w:rPr>
              <w:t xml:space="preserve"> </w:t>
            </w:r>
            <w:r w:rsidRPr="00790A39">
              <w:rPr>
                <w:sz w:val="20"/>
                <w:szCs w:val="20"/>
              </w:rPr>
              <w:t>142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لي</w:t>
            </w:r>
            <w:r>
              <w:rPr>
                <w:rFonts w:hint="cs"/>
                <w:sz w:val="20"/>
                <w:szCs w:val="22"/>
                <w:rtl/>
              </w:rPr>
              <w:t>خ</w:t>
            </w:r>
            <w:r w:rsidRPr="00134960">
              <w:rPr>
                <w:sz w:val="20"/>
                <w:szCs w:val="22"/>
                <w:rtl/>
              </w:rPr>
              <w:t>تنشتاين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037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لتوانيا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0.072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0.090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663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w:t>
            </w:r>
            <w:r>
              <w:rPr>
                <w:sz w:val="20"/>
                <w:szCs w:val="20"/>
              </w:rPr>
              <w:t xml:space="preserve"> </w:t>
            </w:r>
            <w:r w:rsidRPr="00790A39">
              <w:rPr>
                <w:sz w:val="20"/>
                <w:szCs w:val="20"/>
              </w:rPr>
              <w:t>307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21</w:t>
            </w:r>
            <w:r>
              <w:rPr>
                <w:sz w:val="20"/>
                <w:szCs w:val="20"/>
              </w:rPr>
              <w:t xml:space="preserve"> </w:t>
            </w:r>
            <w:r w:rsidRPr="00790A39">
              <w:rPr>
                <w:sz w:val="20"/>
                <w:szCs w:val="20"/>
              </w:rPr>
              <w:t>970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لكسمب</w:t>
            </w:r>
            <w:r w:rsidRPr="00134960">
              <w:rPr>
                <w:rFonts w:hint="cs"/>
                <w:sz w:val="20"/>
                <w:szCs w:val="22"/>
                <w:rtl/>
              </w:rPr>
              <w:t>رغ</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0.064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0.080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478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051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19</w:t>
            </w:r>
            <w:r>
              <w:rPr>
                <w:sz w:val="20"/>
                <w:szCs w:val="20"/>
              </w:rPr>
              <w:t xml:space="preserve"> </w:t>
            </w:r>
            <w:r w:rsidRPr="00790A39">
              <w:rPr>
                <w:sz w:val="20"/>
                <w:szCs w:val="20"/>
              </w:rPr>
              <w:t>529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مدغشقر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ملاوي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ماليزيا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0.322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w:t>
            </w:r>
            <w:r>
              <w:rPr>
                <w:sz w:val="20"/>
                <w:szCs w:val="20"/>
              </w:rPr>
              <w:t xml:space="preserve"> </w:t>
            </w:r>
            <w:r w:rsidRPr="00790A39">
              <w:rPr>
                <w:sz w:val="20"/>
                <w:szCs w:val="20"/>
              </w:rPr>
              <w:t>687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50</w:t>
            </w:r>
            <w:r>
              <w:rPr>
                <w:sz w:val="20"/>
                <w:szCs w:val="20"/>
              </w:rPr>
              <w:t xml:space="preserve"> </w:t>
            </w:r>
            <w:r w:rsidRPr="00790A39">
              <w:rPr>
                <w:sz w:val="20"/>
                <w:szCs w:val="20"/>
              </w:rPr>
              <w:t>568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98</w:t>
            </w:r>
            <w:r>
              <w:rPr>
                <w:sz w:val="20"/>
                <w:szCs w:val="20"/>
              </w:rPr>
              <w:t xml:space="preserve"> </w:t>
            </w:r>
            <w:r w:rsidRPr="00790A39">
              <w:rPr>
                <w:sz w:val="20"/>
                <w:szCs w:val="20"/>
              </w:rPr>
              <w:t>255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ملديف</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مالي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مالط</w:t>
            </w:r>
            <w:r w:rsidRPr="00134960">
              <w:rPr>
                <w:rFonts w:hint="cs"/>
                <w:sz w:val="20"/>
                <w:szCs w:val="22"/>
                <w:rtl/>
              </w:rPr>
              <w:t>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0.020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370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513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882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جزر مارشال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موريتانيا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موريشيوس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777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885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662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المكسيك</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1.435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1.794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212</w:t>
            </w:r>
            <w:r>
              <w:rPr>
                <w:sz w:val="20"/>
                <w:szCs w:val="20"/>
              </w:rPr>
              <w:t xml:space="preserve"> </w:t>
            </w:r>
            <w:r w:rsidRPr="00790A39">
              <w:rPr>
                <w:sz w:val="20"/>
                <w:szCs w:val="20"/>
              </w:rPr>
              <w:t>519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225</w:t>
            </w:r>
            <w:r>
              <w:rPr>
                <w:sz w:val="20"/>
                <w:szCs w:val="20"/>
              </w:rPr>
              <w:t xml:space="preserve"> </w:t>
            </w:r>
            <w:r w:rsidRPr="00790A39">
              <w:rPr>
                <w:sz w:val="20"/>
                <w:szCs w:val="20"/>
              </w:rPr>
              <w:t>356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437</w:t>
            </w:r>
            <w:r>
              <w:rPr>
                <w:sz w:val="20"/>
                <w:szCs w:val="20"/>
              </w:rPr>
              <w:t xml:space="preserve"> </w:t>
            </w:r>
            <w:r w:rsidRPr="00790A39">
              <w:rPr>
                <w:sz w:val="20"/>
                <w:szCs w:val="20"/>
              </w:rPr>
              <w:t>874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ميكرونيزيا (ولايات</w:t>
            </w:r>
            <w:r>
              <w:rPr>
                <w:rFonts w:hint="cs"/>
                <w:sz w:val="20"/>
                <w:szCs w:val="22"/>
                <w:rtl/>
              </w:rPr>
              <w:t xml:space="preserve"> </w:t>
            </w:r>
            <w:r w:rsidRPr="00134960">
              <w:rPr>
                <w:sz w:val="20"/>
                <w:szCs w:val="22"/>
                <w:rtl/>
              </w:rPr>
              <w:t>-</w:t>
            </w:r>
            <w:r>
              <w:rPr>
                <w:rFonts w:hint="cs"/>
                <w:sz w:val="20"/>
                <w:szCs w:val="22"/>
                <w:rtl/>
              </w:rPr>
              <w:t xml:space="preserve"> </w:t>
            </w:r>
            <w:r w:rsidRPr="00134960">
              <w:rPr>
                <w:sz w:val="20"/>
                <w:szCs w:val="22"/>
                <w:rtl/>
              </w:rPr>
              <w:t>الموحدة)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موناكو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481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051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منغوليا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526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الجبل ال</w:t>
            </w:r>
            <w:r w:rsidRPr="00134960">
              <w:rPr>
                <w:rFonts w:hint="cs"/>
                <w:sz w:val="20"/>
                <w:szCs w:val="22"/>
                <w:rtl/>
              </w:rPr>
              <w:t>أ</w:t>
            </w:r>
            <w:r w:rsidRPr="00134960">
              <w:rPr>
                <w:sz w:val="20"/>
                <w:szCs w:val="22"/>
                <w:rtl/>
              </w:rPr>
              <w:t>سود</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المغرب</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0.054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0.068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997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480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16</w:t>
            </w:r>
            <w:r>
              <w:rPr>
                <w:sz w:val="20"/>
                <w:szCs w:val="20"/>
              </w:rPr>
              <w:t xml:space="preserve"> </w:t>
            </w:r>
            <w:r w:rsidRPr="00790A39">
              <w:rPr>
                <w:sz w:val="20"/>
                <w:szCs w:val="20"/>
              </w:rPr>
              <w:t>477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موزامبيق</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ميانمار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ناميبيا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481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051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ناورو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نيبال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هولندا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1.482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1.853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219</w:t>
            </w:r>
            <w:r>
              <w:rPr>
                <w:sz w:val="20"/>
                <w:szCs w:val="20"/>
              </w:rPr>
              <w:t xml:space="preserve"> </w:t>
            </w:r>
            <w:r w:rsidRPr="00790A39">
              <w:rPr>
                <w:sz w:val="20"/>
                <w:szCs w:val="20"/>
              </w:rPr>
              <w:t>479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232</w:t>
            </w:r>
            <w:r>
              <w:rPr>
                <w:sz w:val="20"/>
                <w:szCs w:val="20"/>
              </w:rPr>
              <w:t xml:space="preserve"> </w:t>
            </w:r>
            <w:r w:rsidRPr="00790A39">
              <w:rPr>
                <w:sz w:val="20"/>
                <w:szCs w:val="20"/>
              </w:rPr>
              <w:t>737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452</w:t>
            </w:r>
            <w:r>
              <w:rPr>
                <w:sz w:val="20"/>
                <w:szCs w:val="20"/>
              </w:rPr>
              <w:t xml:space="preserve"> </w:t>
            </w:r>
            <w:r w:rsidRPr="00790A39">
              <w:rPr>
                <w:sz w:val="20"/>
                <w:szCs w:val="20"/>
              </w:rPr>
              <w:t>216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نيوزيلندا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0.268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0.335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39</w:t>
            </w:r>
            <w:r>
              <w:rPr>
                <w:sz w:val="20"/>
                <w:szCs w:val="20"/>
              </w:rPr>
              <w:t xml:space="preserve"> </w:t>
            </w:r>
            <w:r w:rsidRPr="00790A39">
              <w:rPr>
                <w:sz w:val="20"/>
                <w:szCs w:val="20"/>
              </w:rPr>
              <w:t>690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42</w:t>
            </w:r>
            <w:r>
              <w:rPr>
                <w:sz w:val="20"/>
                <w:szCs w:val="20"/>
              </w:rPr>
              <w:t xml:space="preserve"> </w:t>
            </w:r>
            <w:r w:rsidRPr="00790A39">
              <w:rPr>
                <w:sz w:val="20"/>
                <w:szCs w:val="20"/>
              </w:rPr>
              <w:t>087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81</w:t>
            </w:r>
            <w:r>
              <w:rPr>
                <w:sz w:val="20"/>
                <w:szCs w:val="20"/>
              </w:rPr>
              <w:t xml:space="preserve"> </w:t>
            </w:r>
            <w:r w:rsidRPr="00790A39">
              <w:rPr>
                <w:sz w:val="20"/>
                <w:szCs w:val="20"/>
              </w:rPr>
              <w:t>777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نيكارا</w:t>
            </w:r>
            <w:r>
              <w:rPr>
                <w:rFonts w:hint="cs"/>
                <w:sz w:val="20"/>
                <w:szCs w:val="22"/>
                <w:rtl/>
              </w:rPr>
              <w:t>غ</w:t>
            </w:r>
            <w:r w:rsidRPr="00134960">
              <w:rPr>
                <w:sz w:val="20"/>
                <w:szCs w:val="22"/>
                <w:rtl/>
              </w:rPr>
              <w:t>وا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النيجر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نيجيريا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0.209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0.261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w:t>
            </w:r>
            <w:r>
              <w:rPr>
                <w:sz w:val="20"/>
                <w:szCs w:val="20"/>
              </w:rPr>
              <w:t xml:space="preserve"> </w:t>
            </w:r>
            <w:r w:rsidRPr="00790A39">
              <w:rPr>
                <w:sz w:val="20"/>
                <w:szCs w:val="20"/>
              </w:rPr>
              <w:t>952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32</w:t>
            </w:r>
            <w:r>
              <w:rPr>
                <w:sz w:val="20"/>
                <w:szCs w:val="20"/>
              </w:rPr>
              <w:t xml:space="preserve"> </w:t>
            </w:r>
            <w:r w:rsidRPr="00790A39">
              <w:rPr>
                <w:sz w:val="20"/>
                <w:szCs w:val="20"/>
              </w:rPr>
              <w:t>822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63</w:t>
            </w:r>
            <w:r>
              <w:rPr>
                <w:sz w:val="20"/>
                <w:szCs w:val="20"/>
              </w:rPr>
              <w:t xml:space="preserve"> </w:t>
            </w:r>
            <w:r w:rsidRPr="00790A39">
              <w:rPr>
                <w:sz w:val="20"/>
                <w:szCs w:val="20"/>
              </w:rPr>
              <w:t>774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نيوي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النرويج</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0.849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1.061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125</w:t>
            </w:r>
            <w:r>
              <w:rPr>
                <w:sz w:val="20"/>
                <w:szCs w:val="20"/>
              </w:rPr>
              <w:t xml:space="preserve"> </w:t>
            </w:r>
            <w:r w:rsidRPr="00790A39">
              <w:rPr>
                <w:sz w:val="20"/>
                <w:szCs w:val="20"/>
              </w:rPr>
              <w:t>734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133</w:t>
            </w:r>
            <w:r>
              <w:rPr>
                <w:sz w:val="20"/>
                <w:szCs w:val="20"/>
              </w:rPr>
              <w:t xml:space="preserve"> </w:t>
            </w:r>
            <w:r w:rsidRPr="00790A39">
              <w:rPr>
                <w:sz w:val="20"/>
                <w:szCs w:val="20"/>
              </w:rPr>
              <w:t>329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259</w:t>
            </w:r>
            <w:r>
              <w:rPr>
                <w:sz w:val="20"/>
                <w:szCs w:val="20"/>
              </w:rPr>
              <w:t xml:space="preserve"> </w:t>
            </w:r>
            <w:r w:rsidRPr="00790A39">
              <w:rPr>
                <w:sz w:val="20"/>
                <w:szCs w:val="20"/>
              </w:rPr>
              <w:t>063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عُمان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0.113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0.141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16</w:t>
            </w:r>
            <w:r>
              <w:rPr>
                <w:sz w:val="20"/>
                <w:szCs w:val="20"/>
              </w:rPr>
              <w:t xml:space="preserve"> </w:t>
            </w:r>
            <w:r w:rsidRPr="00790A39">
              <w:rPr>
                <w:sz w:val="20"/>
                <w:szCs w:val="20"/>
              </w:rPr>
              <w:t>735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w:t>
            </w:r>
            <w:r>
              <w:rPr>
                <w:sz w:val="20"/>
                <w:szCs w:val="20"/>
              </w:rPr>
              <w:t xml:space="preserve"> </w:t>
            </w:r>
            <w:r w:rsidRPr="00790A39">
              <w:rPr>
                <w:sz w:val="20"/>
                <w:szCs w:val="20"/>
              </w:rPr>
              <w:t>746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34</w:t>
            </w:r>
            <w:r>
              <w:rPr>
                <w:sz w:val="20"/>
                <w:szCs w:val="20"/>
              </w:rPr>
              <w:t xml:space="preserve"> </w:t>
            </w:r>
            <w:r w:rsidRPr="00790A39">
              <w:rPr>
                <w:sz w:val="20"/>
                <w:szCs w:val="20"/>
              </w:rPr>
              <w:t>481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باكستان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0.093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0.116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w:t>
            </w:r>
            <w:r>
              <w:rPr>
                <w:sz w:val="20"/>
                <w:szCs w:val="20"/>
              </w:rPr>
              <w:t xml:space="preserve"> </w:t>
            </w:r>
            <w:r w:rsidRPr="00790A39">
              <w:rPr>
                <w:sz w:val="20"/>
                <w:szCs w:val="20"/>
              </w:rPr>
              <w:t>773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w:t>
            </w:r>
            <w:r>
              <w:rPr>
                <w:sz w:val="20"/>
                <w:szCs w:val="20"/>
              </w:rPr>
              <w:t xml:space="preserve"> </w:t>
            </w:r>
            <w:r w:rsidRPr="00790A39">
              <w:rPr>
                <w:sz w:val="20"/>
                <w:szCs w:val="20"/>
              </w:rPr>
              <w:t>605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28</w:t>
            </w:r>
            <w:r>
              <w:rPr>
                <w:sz w:val="20"/>
                <w:szCs w:val="20"/>
              </w:rPr>
              <w:t xml:space="preserve"> </w:t>
            </w:r>
            <w:r w:rsidRPr="00790A39">
              <w:rPr>
                <w:sz w:val="20"/>
                <w:szCs w:val="20"/>
              </w:rPr>
              <w:t>378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بالاو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بنما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0.034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0.043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035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339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375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بابوا غينيا الجديدة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بارا</w:t>
            </w:r>
            <w:r w:rsidRPr="00134960">
              <w:rPr>
                <w:rFonts w:hint="cs"/>
                <w:sz w:val="20"/>
                <w:szCs w:val="22"/>
                <w:rtl/>
              </w:rPr>
              <w:t>غ</w:t>
            </w:r>
            <w:r w:rsidRPr="00134960">
              <w:rPr>
                <w:sz w:val="20"/>
                <w:szCs w:val="22"/>
                <w:rtl/>
              </w:rPr>
              <w:t>واي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073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272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بيرو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0.136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0.170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20</w:t>
            </w:r>
            <w:r>
              <w:rPr>
                <w:sz w:val="20"/>
                <w:szCs w:val="20"/>
              </w:rPr>
              <w:t xml:space="preserve"> </w:t>
            </w:r>
            <w:r w:rsidRPr="00790A39">
              <w:rPr>
                <w:sz w:val="20"/>
                <w:szCs w:val="20"/>
              </w:rPr>
              <w:t>141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21</w:t>
            </w:r>
            <w:r>
              <w:rPr>
                <w:sz w:val="20"/>
                <w:szCs w:val="20"/>
              </w:rPr>
              <w:t xml:space="preserve"> </w:t>
            </w:r>
            <w:r w:rsidRPr="00790A39">
              <w:rPr>
                <w:sz w:val="20"/>
                <w:szCs w:val="20"/>
              </w:rPr>
              <w:t>358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41</w:t>
            </w:r>
            <w:r>
              <w:rPr>
                <w:sz w:val="20"/>
                <w:szCs w:val="20"/>
              </w:rPr>
              <w:t xml:space="preserve"> </w:t>
            </w:r>
            <w:r w:rsidRPr="00790A39">
              <w:rPr>
                <w:sz w:val="20"/>
                <w:szCs w:val="20"/>
              </w:rPr>
              <w:t>499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الفلبين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0.165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24</w:t>
            </w:r>
            <w:r>
              <w:rPr>
                <w:sz w:val="20"/>
                <w:szCs w:val="20"/>
              </w:rPr>
              <w:t xml:space="preserve"> </w:t>
            </w:r>
            <w:r w:rsidRPr="00790A39">
              <w:rPr>
                <w:sz w:val="20"/>
                <w:szCs w:val="20"/>
              </w:rPr>
              <w:t>436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w:t>
            </w:r>
            <w:r>
              <w:rPr>
                <w:sz w:val="20"/>
                <w:szCs w:val="20"/>
              </w:rPr>
              <w:t xml:space="preserve"> </w:t>
            </w:r>
            <w:r w:rsidRPr="00790A39">
              <w:rPr>
                <w:sz w:val="20"/>
                <w:szCs w:val="20"/>
              </w:rPr>
              <w:t>912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50</w:t>
            </w:r>
            <w:r>
              <w:rPr>
                <w:sz w:val="20"/>
                <w:szCs w:val="20"/>
              </w:rPr>
              <w:t xml:space="preserve"> </w:t>
            </w:r>
            <w:r w:rsidRPr="00790A39">
              <w:rPr>
                <w:sz w:val="20"/>
                <w:szCs w:val="20"/>
              </w:rPr>
              <w:t>348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بولندا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0.841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1.051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124</w:t>
            </w:r>
            <w:r>
              <w:rPr>
                <w:sz w:val="20"/>
                <w:szCs w:val="20"/>
              </w:rPr>
              <w:t xml:space="preserve"> </w:t>
            </w:r>
            <w:r w:rsidRPr="00790A39">
              <w:rPr>
                <w:sz w:val="20"/>
                <w:szCs w:val="20"/>
              </w:rPr>
              <w:t>549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132</w:t>
            </w:r>
            <w:r>
              <w:rPr>
                <w:sz w:val="20"/>
                <w:szCs w:val="20"/>
              </w:rPr>
              <w:t xml:space="preserve"> </w:t>
            </w:r>
            <w:r w:rsidRPr="00790A39">
              <w:rPr>
                <w:sz w:val="20"/>
                <w:szCs w:val="20"/>
              </w:rPr>
              <w:t>073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256</w:t>
            </w:r>
            <w:r>
              <w:rPr>
                <w:sz w:val="20"/>
                <w:szCs w:val="20"/>
              </w:rPr>
              <w:t xml:space="preserve"> </w:t>
            </w:r>
            <w:r w:rsidRPr="00790A39">
              <w:rPr>
                <w:sz w:val="20"/>
                <w:szCs w:val="20"/>
              </w:rPr>
              <w:t>622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البرتغال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0.392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0.490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58</w:t>
            </w:r>
            <w:r>
              <w:rPr>
                <w:sz w:val="20"/>
                <w:szCs w:val="20"/>
              </w:rPr>
              <w:t xml:space="preserve"> </w:t>
            </w:r>
            <w:r w:rsidRPr="00790A39">
              <w:rPr>
                <w:sz w:val="20"/>
                <w:szCs w:val="20"/>
              </w:rPr>
              <w:t>054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w:t>
            </w:r>
            <w:r>
              <w:rPr>
                <w:sz w:val="20"/>
                <w:szCs w:val="20"/>
              </w:rPr>
              <w:t xml:space="preserve"> </w:t>
            </w:r>
            <w:r w:rsidRPr="00790A39">
              <w:rPr>
                <w:sz w:val="20"/>
                <w:szCs w:val="20"/>
              </w:rPr>
              <w:t>561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119</w:t>
            </w:r>
            <w:r>
              <w:rPr>
                <w:sz w:val="20"/>
                <w:szCs w:val="20"/>
              </w:rPr>
              <w:t xml:space="preserve"> </w:t>
            </w:r>
            <w:r w:rsidRPr="00790A39">
              <w:rPr>
                <w:sz w:val="20"/>
                <w:szCs w:val="20"/>
              </w:rPr>
              <w:t>614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قطر</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0.269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0.336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39</w:t>
            </w:r>
            <w:r>
              <w:rPr>
                <w:sz w:val="20"/>
                <w:szCs w:val="20"/>
              </w:rPr>
              <w:t xml:space="preserve"> </w:t>
            </w:r>
            <w:r w:rsidRPr="00790A39">
              <w:rPr>
                <w:sz w:val="20"/>
                <w:szCs w:val="20"/>
              </w:rPr>
              <w:t>838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42</w:t>
            </w:r>
            <w:r>
              <w:rPr>
                <w:sz w:val="20"/>
                <w:szCs w:val="20"/>
              </w:rPr>
              <w:t xml:space="preserve"> </w:t>
            </w:r>
            <w:r w:rsidRPr="00790A39">
              <w:rPr>
                <w:sz w:val="20"/>
                <w:szCs w:val="20"/>
              </w:rPr>
              <w:t>244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82</w:t>
            </w:r>
            <w:r>
              <w:rPr>
                <w:sz w:val="20"/>
                <w:szCs w:val="20"/>
              </w:rPr>
              <w:t xml:space="preserve"> </w:t>
            </w:r>
            <w:r w:rsidRPr="00790A39">
              <w:rPr>
                <w:sz w:val="20"/>
                <w:szCs w:val="20"/>
              </w:rPr>
              <w:t>082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كوريا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2.039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2.549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301</w:t>
            </w:r>
            <w:r>
              <w:rPr>
                <w:sz w:val="20"/>
                <w:szCs w:val="20"/>
              </w:rPr>
              <w:t xml:space="preserve"> </w:t>
            </w:r>
            <w:r w:rsidRPr="00790A39">
              <w:rPr>
                <w:sz w:val="20"/>
                <w:szCs w:val="20"/>
              </w:rPr>
              <w:t>969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320</w:t>
            </w:r>
            <w:r>
              <w:rPr>
                <w:sz w:val="20"/>
                <w:szCs w:val="20"/>
              </w:rPr>
              <w:t xml:space="preserve"> </w:t>
            </w:r>
            <w:r w:rsidRPr="00790A39">
              <w:rPr>
                <w:sz w:val="20"/>
                <w:szCs w:val="20"/>
              </w:rPr>
              <w:t>209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622</w:t>
            </w:r>
            <w:r>
              <w:rPr>
                <w:sz w:val="20"/>
                <w:szCs w:val="20"/>
              </w:rPr>
              <w:t xml:space="preserve"> </w:t>
            </w:r>
            <w:r w:rsidRPr="00790A39">
              <w:rPr>
                <w:sz w:val="20"/>
                <w:szCs w:val="20"/>
              </w:rPr>
              <w:t>178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مولدوفا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رومانيا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0.184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0.230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27</w:t>
            </w:r>
            <w:r>
              <w:rPr>
                <w:sz w:val="20"/>
                <w:szCs w:val="20"/>
              </w:rPr>
              <w:t xml:space="preserve"> </w:t>
            </w:r>
            <w:r w:rsidRPr="00790A39">
              <w:rPr>
                <w:sz w:val="20"/>
                <w:szCs w:val="20"/>
              </w:rPr>
              <w:t>250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28</w:t>
            </w:r>
            <w:r>
              <w:rPr>
                <w:sz w:val="20"/>
                <w:szCs w:val="20"/>
              </w:rPr>
              <w:t xml:space="preserve"> </w:t>
            </w:r>
            <w:r w:rsidRPr="00790A39">
              <w:rPr>
                <w:sz w:val="20"/>
                <w:szCs w:val="20"/>
              </w:rPr>
              <w:t>896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56</w:t>
            </w:r>
            <w:r>
              <w:rPr>
                <w:sz w:val="20"/>
                <w:szCs w:val="20"/>
              </w:rPr>
              <w:t xml:space="preserve"> </w:t>
            </w:r>
            <w:r w:rsidRPr="00790A39">
              <w:rPr>
                <w:sz w:val="20"/>
                <w:szCs w:val="20"/>
              </w:rPr>
              <w:t>146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الاتحاد الروسي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3.088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3.860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457</w:t>
            </w:r>
            <w:r>
              <w:rPr>
                <w:sz w:val="20"/>
                <w:szCs w:val="20"/>
              </w:rPr>
              <w:t xml:space="preserve"> </w:t>
            </w:r>
            <w:r w:rsidRPr="00790A39">
              <w:rPr>
                <w:sz w:val="20"/>
                <w:szCs w:val="20"/>
              </w:rPr>
              <w:t>322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484</w:t>
            </w:r>
            <w:r>
              <w:rPr>
                <w:sz w:val="20"/>
                <w:szCs w:val="20"/>
              </w:rPr>
              <w:t xml:space="preserve"> </w:t>
            </w:r>
            <w:r w:rsidRPr="00790A39">
              <w:rPr>
                <w:sz w:val="20"/>
                <w:szCs w:val="20"/>
              </w:rPr>
              <w:t>947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r>
              <w:rPr>
                <w:sz w:val="20"/>
                <w:szCs w:val="20"/>
              </w:rPr>
              <w:t xml:space="preserve"> </w:t>
            </w:r>
            <w:r w:rsidRPr="00790A39">
              <w:rPr>
                <w:sz w:val="20"/>
                <w:szCs w:val="20"/>
              </w:rPr>
              <w:t>269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رواندا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610</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Pr>
                <w:sz w:val="20"/>
                <w:szCs w:val="22"/>
                <w:rtl/>
              </w:rPr>
              <w:t>سانت كيتس ونيف</w:t>
            </w:r>
            <w:r w:rsidRPr="00134960">
              <w:rPr>
                <w:sz w:val="20"/>
                <w:szCs w:val="22"/>
                <w:rtl/>
              </w:rPr>
              <w:t>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سانت لوسيا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سانت فنسنت وجزر غرينادين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ساموا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سان مارينو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سان ت</w:t>
            </w:r>
            <w:r w:rsidRPr="00134960">
              <w:rPr>
                <w:rFonts w:hint="cs"/>
                <w:sz w:val="20"/>
                <w:szCs w:val="22"/>
                <w:rtl/>
              </w:rPr>
              <w:t>و</w:t>
            </w:r>
            <w:r w:rsidRPr="00134960">
              <w:rPr>
                <w:sz w:val="20"/>
                <w:szCs w:val="22"/>
                <w:rtl/>
              </w:rPr>
              <w:t>مي وبرينسيبي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المملكة العربية السعودية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1.146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1.433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169</w:t>
            </w:r>
            <w:r>
              <w:rPr>
                <w:sz w:val="20"/>
                <w:szCs w:val="20"/>
              </w:rPr>
              <w:t xml:space="preserve"> </w:t>
            </w:r>
            <w:r w:rsidRPr="00790A39">
              <w:rPr>
                <w:sz w:val="20"/>
                <w:szCs w:val="20"/>
              </w:rPr>
              <w:t>719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179</w:t>
            </w:r>
            <w:r>
              <w:rPr>
                <w:sz w:val="20"/>
                <w:szCs w:val="20"/>
              </w:rPr>
              <w:t xml:space="preserve"> </w:t>
            </w:r>
            <w:r w:rsidRPr="00790A39">
              <w:rPr>
                <w:sz w:val="20"/>
                <w:szCs w:val="20"/>
              </w:rPr>
              <w:t>970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349</w:t>
            </w:r>
            <w:r>
              <w:rPr>
                <w:sz w:val="20"/>
                <w:szCs w:val="20"/>
              </w:rPr>
              <w:t xml:space="preserve"> </w:t>
            </w:r>
            <w:r w:rsidRPr="00790A39">
              <w:rPr>
                <w:sz w:val="20"/>
                <w:szCs w:val="20"/>
              </w:rPr>
              <w:t>689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السنغال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0.005</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0.006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785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526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صربيا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0.032</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0.040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739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025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764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سيشيل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سيراليون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سنغافورة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0.447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0.559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66</w:t>
            </w:r>
            <w:r>
              <w:rPr>
                <w:sz w:val="20"/>
                <w:szCs w:val="20"/>
              </w:rPr>
              <w:t xml:space="preserve"> </w:t>
            </w:r>
            <w:r w:rsidRPr="00790A39">
              <w:rPr>
                <w:sz w:val="20"/>
                <w:szCs w:val="20"/>
              </w:rPr>
              <w:t>199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70</w:t>
            </w:r>
            <w:r>
              <w:rPr>
                <w:sz w:val="20"/>
                <w:szCs w:val="20"/>
              </w:rPr>
              <w:t xml:space="preserve"> </w:t>
            </w:r>
            <w:r w:rsidRPr="00790A39">
              <w:rPr>
                <w:sz w:val="20"/>
                <w:szCs w:val="20"/>
              </w:rPr>
              <w:t>198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136</w:t>
            </w:r>
            <w:r>
              <w:rPr>
                <w:sz w:val="20"/>
                <w:szCs w:val="20"/>
              </w:rPr>
              <w:t xml:space="preserve"> </w:t>
            </w:r>
            <w:r w:rsidRPr="00790A39">
              <w:rPr>
                <w:sz w:val="20"/>
                <w:szCs w:val="20"/>
              </w:rPr>
              <w:t>397</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سلوفاكيا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0.160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0.200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23</w:t>
            </w:r>
            <w:r>
              <w:rPr>
                <w:sz w:val="20"/>
                <w:szCs w:val="20"/>
              </w:rPr>
              <w:t xml:space="preserve"> </w:t>
            </w:r>
            <w:r w:rsidRPr="00790A39">
              <w:rPr>
                <w:sz w:val="20"/>
                <w:szCs w:val="20"/>
              </w:rPr>
              <w:t>695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w:t>
            </w:r>
            <w:r>
              <w:rPr>
                <w:sz w:val="20"/>
                <w:szCs w:val="20"/>
              </w:rPr>
              <w:t xml:space="preserve"> </w:t>
            </w:r>
            <w:r w:rsidRPr="00790A39">
              <w:rPr>
                <w:sz w:val="20"/>
                <w:szCs w:val="20"/>
              </w:rPr>
              <w:t>127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48</w:t>
            </w:r>
            <w:r>
              <w:rPr>
                <w:sz w:val="20"/>
                <w:szCs w:val="20"/>
              </w:rPr>
              <w:t xml:space="preserve"> </w:t>
            </w:r>
            <w:r w:rsidRPr="00790A39">
              <w:rPr>
                <w:sz w:val="20"/>
                <w:szCs w:val="20"/>
              </w:rPr>
              <w:t>822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سلوفينيا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0.084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12</w:t>
            </w:r>
            <w:r>
              <w:rPr>
                <w:sz w:val="20"/>
                <w:szCs w:val="20"/>
              </w:rPr>
              <w:t xml:space="preserve"> </w:t>
            </w:r>
            <w:r w:rsidRPr="00790A39">
              <w:rPr>
                <w:sz w:val="20"/>
                <w:szCs w:val="20"/>
              </w:rPr>
              <w:t>440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13</w:t>
            </w:r>
            <w:r>
              <w:rPr>
                <w:sz w:val="20"/>
                <w:szCs w:val="20"/>
              </w:rPr>
              <w:t xml:space="preserve"> </w:t>
            </w:r>
            <w:r w:rsidRPr="00790A39">
              <w:rPr>
                <w:sz w:val="20"/>
                <w:szCs w:val="20"/>
              </w:rPr>
              <w:t>192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25</w:t>
            </w:r>
            <w:r>
              <w:rPr>
                <w:sz w:val="20"/>
                <w:szCs w:val="20"/>
              </w:rPr>
              <w:t xml:space="preserve"> </w:t>
            </w:r>
            <w:r w:rsidRPr="00790A39">
              <w:rPr>
                <w:sz w:val="20"/>
                <w:szCs w:val="20"/>
              </w:rPr>
              <w:t>632</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جزر سليمان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الصومال</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جنوب أفريقيا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0.364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0.455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53</w:t>
            </w:r>
            <w:r>
              <w:rPr>
                <w:sz w:val="20"/>
                <w:szCs w:val="20"/>
              </w:rPr>
              <w:t xml:space="preserve"> </w:t>
            </w:r>
            <w:r w:rsidRPr="00790A39">
              <w:rPr>
                <w:sz w:val="20"/>
                <w:szCs w:val="20"/>
              </w:rPr>
              <w:t>907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57</w:t>
            </w:r>
            <w:r>
              <w:rPr>
                <w:sz w:val="20"/>
                <w:szCs w:val="20"/>
              </w:rPr>
              <w:t xml:space="preserve"> </w:t>
            </w:r>
            <w:r w:rsidRPr="00790A39">
              <w:rPr>
                <w:sz w:val="20"/>
                <w:szCs w:val="20"/>
              </w:rPr>
              <w:t>163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111</w:t>
            </w:r>
            <w:r>
              <w:rPr>
                <w:sz w:val="20"/>
                <w:szCs w:val="20"/>
              </w:rPr>
              <w:t xml:space="preserve"> </w:t>
            </w:r>
            <w:r w:rsidRPr="00790A39">
              <w:rPr>
                <w:sz w:val="20"/>
                <w:szCs w:val="20"/>
              </w:rPr>
              <w:t>071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جنوب السودان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إسبانيا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2.443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3.054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361</w:t>
            </w:r>
            <w:r>
              <w:rPr>
                <w:sz w:val="20"/>
                <w:szCs w:val="20"/>
              </w:rPr>
              <w:t xml:space="preserve"> </w:t>
            </w:r>
            <w:r w:rsidRPr="00790A39">
              <w:rPr>
                <w:sz w:val="20"/>
                <w:szCs w:val="20"/>
              </w:rPr>
              <w:t>800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383</w:t>
            </w:r>
            <w:r>
              <w:rPr>
                <w:sz w:val="20"/>
                <w:szCs w:val="20"/>
              </w:rPr>
              <w:t xml:space="preserve"> </w:t>
            </w:r>
            <w:r w:rsidRPr="00790A39">
              <w:rPr>
                <w:sz w:val="20"/>
                <w:szCs w:val="20"/>
              </w:rPr>
              <w:t>654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745</w:t>
            </w:r>
            <w:r>
              <w:rPr>
                <w:sz w:val="20"/>
                <w:szCs w:val="20"/>
              </w:rPr>
              <w:t xml:space="preserve"> </w:t>
            </w:r>
            <w:r w:rsidRPr="00790A39">
              <w:rPr>
                <w:sz w:val="20"/>
                <w:szCs w:val="20"/>
              </w:rPr>
              <w:t>454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سري لانكا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0.031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591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868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459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دوله فلسطين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037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السودان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سورينام</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0.008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889</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831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السويد</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0.956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1.195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141</w:t>
            </w:r>
            <w:r>
              <w:rPr>
                <w:sz w:val="20"/>
                <w:szCs w:val="20"/>
              </w:rPr>
              <w:t xml:space="preserve"> </w:t>
            </w:r>
            <w:r w:rsidRPr="00790A39">
              <w:rPr>
                <w:sz w:val="20"/>
                <w:szCs w:val="20"/>
              </w:rPr>
              <w:t>580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150</w:t>
            </w:r>
            <w:r>
              <w:rPr>
                <w:sz w:val="20"/>
                <w:szCs w:val="20"/>
              </w:rPr>
              <w:t xml:space="preserve"> </w:t>
            </w:r>
            <w:r w:rsidRPr="00790A39">
              <w:rPr>
                <w:sz w:val="20"/>
                <w:szCs w:val="20"/>
              </w:rPr>
              <w:t>132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291</w:t>
            </w:r>
            <w:r>
              <w:rPr>
                <w:sz w:val="20"/>
                <w:szCs w:val="20"/>
              </w:rPr>
              <w:t xml:space="preserve"> </w:t>
            </w:r>
            <w:r w:rsidRPr="00790A39">
              <w:rPr>
                <w:sz w:val="20"/>
                <w:szCs w:val="20"/>
              </w:rPr>
              <w:t>713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سويسرا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1.140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1.425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168</w:t>
            </w:r>
            <w:r>
              <w:rPr>
                <w:sz w:val="20"/>
                <w:szCs w:val="20"/>
              </w:rPr>
              <w:t xml:space="preserve"> </w:t>
            </w:r>
            <w:r w:rsidRPr="00790A39">
              <w:rPr>
                <w:sz w:val="20"/>
                <w:szCs w:val="20"/>
              </w:rPr>
              <w:t>830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179</w:t>
            </w:r>
            <w:r>
              <w:rPr>
                <w:sz w:val="20"/>
                <w:szCs w:val="20"/>
              </w:rPr>
              <w:t xml:space="preserve"> </w:t>
            </w:r>
            <w:r w:rsidRPr="00790A39">
              <w:rPr>
                <w:sz w:val="20"/>
                <w:szCs w:val="20"/>
              </w:rPr>
              <w:t>028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347</w:t>
            </w:r>
            <w:r>
              <w:rPr>
                <w:sz w:val="20"/>
                <w:szCs w:val="20"/>
              </w:rPr>
              <w:t xml:space="preserve"> </w:t>
            </w:r>
            <w:r w:rsidRPr="00790A39">
              <w:rPr>
                <w:sz w:val="20"/>
                <w:szCs w:val="20"/>
              </w:rPr>
              <w:t>858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الجمهورية العربية السورية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554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769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323</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طاجيكستان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تايلند</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0.291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0.364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43</w:t>
            </w:r>
            <w:r>
              <w:rPr>
                <w:sz w:val="20"/>
                <w:szCs w:val="20"/>
              </w:rPr>
              <w:t xml:space="preserve"> </w:t>
            </w:r>
            <w:r w:rsidRPr="00790A39">
              <w:rPr>
                <w:sz w:val="20"/>
                <w:szCs w:val="20"/>
              </w:rPr>
              <w:t>096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45</w:t>
            </w:r>
            <w:r>
              <w:rPr>
                <w:sz w:val="20"/>
                <w:szCs w:val="20"/>
              </w:rPr>
              <w:t xml:space="preserve"> </w:t>
            </w:r>
            <w:r w:rsidRPr="00790A39">
              <w:rPr>
                <w:sz w:val="20"/>
                <w:szCs w:val="20"/>
              </w:rPr>
              <w:t>699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88</w:t>
            </w:r>
            <w:r>
              <w:rPr>
                <w:sz w:val="20"/>
                <w:szCs w:val="20"/>
              </w:rPr>
              <w:t xml:space="preserve"> </w:t>
            </w:r>
            <w:r w:rsidRPr="00790A39">
              <w:rPr>
                <w:sz w:val="20"/>
                <w:szCs w:val="20"/>
              </w:rPr>
              <w:t>795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مقدونيا اليوغوسلافية</w:t>
            </w:r>
            <w:r w:rsidRPr="00134960">
              <w:rPr>
                <w:rFonts w:hint="cs"/>
                <w:sz w:val="20"/>
                <w:szCs w:val="22"/>
                <w:rtl/>
              </w:rPr>
              <w:t xml:space="preserve"> السابقة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037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تيمور-</w:t>
            </w:r>
            <w:r>
              <w:rPr>
                <w:rFonts w:hint="cs"/>
                <w:sz w:val="20"/>
                <w:szCs w:val="22"/>
                <w:rtl/>
              </w:rPr>
              <w:t xml:space="preserve"> </w:t>
            </w:r>
            <w:r w:rsidRPr="00134960">
              <w:rPr>
                <w:sz w:val="20"/>
                <w:szCs w:val="22"/>
                <w:rtl/>
              </w:rPr>
              <w:t>ليشتي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444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915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توغو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تونغا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تر</w:t>
            </w:r>
            <w:r w:rsidRPr="00134960">
              <w:rPr>
                <w:rFonts w:hint="cs"/>
                <w:sz w:val="20"/>
                <w:szCs w:val="22"/>
                <w:rtl/>
              </w:rPr>
              <w:t>ي</w:t>
            </w:r>
            <w:r w:rsidRPr="00134960">
              <w:rPr>
                <w:sz w:val="20"/>
                <w:szCs w:val="22"/>
                <w:rtl/>
              </w:rPr>
              <w:t>ن</w:t>
            </w:r>
            <w:r w:rsidRPr="00134960">
              <w:rPr>
                <w:rFonts w:hint="cs"/>
                <w:sz w:val="20"/>
                <w:szCs w:val="22"/>
                <w:rtl/>
              </w:rPr>
              <w:t>ي</w:t>
            </w:r>
            <w:r w:rsidRPr="00134960">
              <w:rPr>
                <w:sz w:val="20"/>
                <w:szCs w:val="22"/>
                <w:rtl/>
              </w:rPr>
              <w:t>داد وتوبا</w:t>
            </w:r>
            <w:r>
              <w:rPr>
                <w:rFonts w:hint="cs"/>
                <w:sz w:val="20"/>
                <w:szCs w:val="22"/>
                <w:rtl/>
              </w:rPr>
              <w:t>غ</w:t>
            </w:r>
            <w:r w:rsidRPr="00134960">
              <w:rPr>
                <w:sz w:val="20"/>
                <w:szCs w:val="22"/>
                <w:rtl/>
              </w:rPr>
              <w:t>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0.034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0.043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035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w:t>
            </w:r>
            <w:r>
              <w:rPr>
                <w:sz w:val="20"/>
                <w:szCs w:val="20"/>
              </w:rPr>
              <w:t xml:space="preserve"> </w:t>
            </w:r>
            <w:r w:rsidRPr="00790A39">
              <w:rPr>
                <w:sz w:val="20"/>
                <w:szCs w:val="20"/>
              </w:rPr>
              <w:t>339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10</w:t>
            </w:r>
            <w:r>
              <w:rPr>
                <w:sz w:val="20"/>
                <w:szCs w:val="20"/>
              </w:rPr>
              <w:t xml:space="preserve"> </w:t>
            </w:r>
            <w:r w:rsidRPr="00790A39">
              <w:rPr>
                <w:sz w:val="20"/>
                <w:szCs w:val="20"/>
              </w:rPr>
              <w:t>375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تونس</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147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397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544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تركيا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1.018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1.273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150</w:t>
            </w:r>
            <w:r>
              <w:rPr>
                <w:sz w:val="20"/>
                <w:szCs w:val="20"/>
              </w:rPr>
              <w:t xml:space="preserve"> </w:t>
            </w:r>
            <w:r w:rsidRPr="00790A39">
              <w:rPr>
                <w:sz w:val="20"/>
                <w:szCs w:val="20"/>
              </w:rPr>
              <w:t>762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159</w:t>
            </w:r>
            <w:r>
              <w:rPr>
                <w:sz w:val="20"/>
                <w:szCs w:val="20"/>
              </w:rPr>
              <w:t xml:space="preserve"> </w:t>
            </w:r>
            <w:r w:rsidRPr="00790A39">
              <w:rPr>
                <w:sz w:val="20"/>
                <w:szCs w:val="20"/>
              </w:rPr>
              <w:t>869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310</w:t>
            </w:r>
            <w:r>
              <w:rPr>
                <w:sz w:val="20"/>
                <w:szCs w:val="20"/>
              </w:rPr>
              <w:t xml:space="preserve"> </w:t>
            </w:r>
            <w:r w:rsidRPr="00790A39">
              <w:rPr>
                <w:sz w:val="20"/>
                <w:szCs w:val="20"/>
              </w:rPr>
              <w:t>631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تركمانستان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0.026</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0.033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851</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4</w:t>
            </w:r>
            <w:r>
              <w:rPr>
                <w:sz w:val="20"/>
                <w:szCs w:val="20"/>
              </w:rPr>
              <w:t xml:space="preserve"> </w:t>
            </w:r>
            <w:r w:rsidRPr="00790A39">
              <w:rPr>
                <w:sz w:val="20"/>
                <w:szCs w:val="20"/>
              </w:rPr>
              <w:t>083</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934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توفالو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اوغندا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أوكرانيا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0.103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0.129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w:t>
            </w:r>
            <w:r>
              <w:rPr>
                <w:sz w:val="20"/>
                <w:szCs w:val="20"/>
              </w:rPr>
              <w:t xml:space="preserve"> </w:t>
            </w:r>
            <w:r w:rsidRPr="00790A39">
              <w:rPr>
                <w:sz w:val="20"/>
                <w:szCs w:val="20"/>
              </w:rPr>
              <w:t>254</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16</w:t>
            </w:r>
            <w:r>
              <w:rPr>
                <w:sz w:val="20"/>
                <w:szCs w:val="20"/>
              </w:rPr>
              <w:t xml:space="preserve"> </w:t>
            </w:r>
            <w:r w:rsidRPr="00790A39">
              <w:rPr>
                <w:sz w:val="20"/>
                <w:szCs w:val="20"/>
              </w:rPr>
              <w:t>175</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31</w:t>
            </w:r>
            <w:r>
              <w:rPr>
                <w:sz w:val="20"/>
                <w:szCs w:val="20"/>
              </w:rPr>
              <w:t xml:space="preserve"> </w:t>
            </w:r>
            <w:r w:rsidRPr="00790A39">
              <w:rPr>
                <w:sz w:val="20"/>
                <w:szCs w:val="20"/>
              </w:rPr>
              <w:t>429</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الإمارات العربية المتحدة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0.604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0.755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89</w:t>
            </w:r>
            <w:r>
              <w:rPr>
                <w:sz w:val="20"/>
                <w:szCs w:val="20"/>
              </w:rPr>
              <w:t xml:space="preserve"> </w:t>
            </w:r>
            <w:r w:rsidRPr="00790A39">
              <w:rPr>
                <w:sz w:val="20"/>
                <w:szCs w:val="20"/>
              </w:rPr>
              <w:t>450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94</w:t>
            </w:r>
            <w:r>
              <w:rPr>
                <w:sz w:val="20"/>
                <w:szCs w:val="20"/>
              </w:rPr>
              <w:t xml:space="preserve"> </w:t>
            </w:r>
            <w:r w:rsidRPr="00790A39">
              <w:rPr>
                <w:sz w:val="20"/>
                <w:szCs w:val="20"/>
              </w:rPr>
              <w:t>854</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184</w:t>
            </w:r>
            <w:r>
              <w:rPr>
                <w:sz w:val="20"/>
                <w:szCs w:val="20"/>
              </w:rPr>
              <w:t xml:space="preserve"> </w:t>
            </w:r>
            <w:r w:rsidRPr="00790A39">
              <w:rPr>
                <w:sz w:val="20"/>
                <w:szCs w:val="20"/>
              </w:rPr>
              <w:t>304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المملكة المتحدة لبريطانيا العظمي و</w:t>
            </w:r>
            <w:r w:rsidRPr="00134960">
              <w:rPr>
                <w:rFonts w:hint="cs"/>
                <w:sz w:val="20"/>
                <w:szCs w:val="22"/>
                <w:rtl/>
              </w:rPr>
              <w:t>أ</w:t>
            </w:r>
            <w:r w:rsidRPr="00134960">
              <w:rPr>
                <w:sz w:val="20"/>
                <w:szCs w:val="22"/>
                <w:rtl/>
              </w:rPr>
              <w:t>يرلندا الشمالية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4.463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5.579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660</w:t>
            </w:r>
            <w:r>
              <w:rPr>
                <w:sz w:val="20"/>
                <w:szCs w:val="20"/>
              </w:rPr>
              <w:t xml:space="preserve"> </w:t>
            </w:r>
            <w:r w:rsidRPr="00790A39">
              <w:rPr>
                <w:sz w:val="20"/>
                <w:szCs w:val="20"/>
              </w:rPr>
              <w:t>955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700</w:t>
            </w:r>
            <w:r>
              <w:rPr>
                <w:sz w:val="20"/>
                <w:szCs w:val="20"/>
              </w:rPr>
              <w:t xml:space="preserve"> </w:t>
            </w:r>
            <w:r w:rsidRPr="00790A39">
              <w:rPr>
                <w:sz w:val="20"/>
                <w:szCs w:val="20"/>
              </w:rPr>
              <w:t>880</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361</w:t>
            </w:r>
            <w:r>
              <w:rPr>
                <w:sz w:val="20"/>
                <w:szCs w:val="20"/>
              </w:rPr>
              <w:t xml:space="preserve"> </w:t>
            </w:r>
            <w:r w:rsidRPr="00790A39">
              <w:rPr>
                <w:sz w:val="20"/>
                <w:szCs w:val="20"/>
              </w:rPr>
              <w:t>835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جمهوريه تنزانيا المتحدة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اورو</w:t>
            </w:r>
            <w:r w:rsidRPr="00134960">
              <w:rPr>
                <w:rFonts w:hint="cs"/>
                <w:sz w:val="20"/>
                <w:szCs w:val="22"/>
                <w:rtl/>
              </w:rPr>
              <w:t>غ</w:t>
            </w:r>
            <w:r w:rsidRPr="00134960">
              <w:rPr>
                <w:sz w:val="20"/>
                <w:szCs w:val="22"/>
                <w:rtl/>
              </w:rPr>
              <w:t>واي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0.079</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0.099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11</w:t>
            </w:r>
            <w:r>
              <w:rPr>
                <w:sz w:val="20"/>
                <w:szCs w:val="20"/>
              </w:rPr>
              <w:t xml:space="preserve"> </w:t>
            </w:r>
            <w:r w:rsidRPr="00790A39">
              <w:rPr>
                <w:sz w:val="20"/>
                <w:szCs w:val="20"/>
              </w:rPr>
              <w:t>700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12</w:t>
            </w:r>
            <w:r>
              <w:rPr>
                <w:sz w:val="20"/>
                <w:szCs w:val="20"/>
              </w:rPr>
              <w:t xml:space="preserve"> </w:t>
            </w:r>
            <w:r w:rsidRPr="00790A39">
              <w:rPr>
                <w:sz w:val="20"/>
                <w:szCs w:val="20"/>
              </w:rPr>
              <w:t>406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24</w:t>
            </w:r>
            <w:r>
              <w:rPr>
                <w:sz w:val="20"/>
                <w:szCs w:val="20"/>
              </w:rPr>
              <w:t xml:space="preserve"> </w:t>
            </w:r>
            <w:r w:rsidRPr="00790A39">
              <w:rPr>
                <w:sz w:val="20"/>
                <w:szCs w:val="20"/>
              </w:rPr>
              <w:t>106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أوزبكستان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0.023</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0.029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406</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w:t>
            </w:r>
            <w:r>
              <w:rPr>
                <w:sz w:val="20"/>
                <w:szCs w:val="20"/>
              </w:rPr>
              <w:t xml:space="preserve"> </w:t>
            </w:r>
            <w:r w:rsidRPr="00790A39">
              <w:rPr>
                <w:sz w:val="20"/>
                <w:szCs w:val="20"/>
              </w:rPr>
              <w:t>612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7</w:t>
            </w:r>
            <w:r>
              <w:rPr>
                <w:sz w:val="20"/>
                <w:szCs w:val="20"/>
              </w:rPr>
              <w:t xml:space="preserve"> </w:t>
            </w:r>
            <w:r w:rsidRPr="00790A39">
              <w:rPr>
                <w:sz w:val="20"/>
                <w:szCs w:val="20"/>
              </w:rPr>
              <w:t>018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lastRenderedPageBreak/>
              <w:t>فانواتو</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0.001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148</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157</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305</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فنزويلا</w:t>
            </w:r>
            <w:r>
              <w:rPr>
                <w:rFonts w:hint="cs"/>
                <w:sz w:val="20"/>
                <w:szCs w:val="22"/>
                <w:rtl/>
                <w:lang w:eastAsia="en-CA"/>
              </w:rPr>
              <w:t xml:space="preserve"> (جمهورية </w:t>
            </w:r>
            <w:r>
              <w:rPr>
                <w:sz w:val="20"/>
                <w:szCs w:val="22"/>
                <w:rtl/>
                <w:lang w:eastAsia="en-CA"/>
              </w:rPr>
              <w:t>–</w:t>
            </w:r>
            <w:r>
              <w:rPr>
                <w:rFonts w:hint="cs"/>
                <w:sz w:val="20"/>
                <w:szCs w:val="22"/>
                <w:rtl/>
                <w:lang w:eastAsia="en-CA"/>
              </w:rPr>
              <w:t xml:space="preserve"> البوليفارية)</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0.571</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0.714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84</w:t>
            </w:r>
            <w:r>
              <w:rPr>
                <w:sz w:val="20"/>
                <w:szCs w:val="20"/>
              </w:rPr>
              <w:t xml:space="preserve"> </w:t>
            </w:r>
            <w:r w:rsidRPr="00790A39">
              <w:rPr>
                <w:sz w:val="20"/>
                <w:szCs w:val="20"/>
              </w:rPr>
              <w:t>563</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89</w:t>
            </w:r>
            <w:r>
              <w:rPr>
                <w:sz w:val="20"/>
                <w:szCs w:val="20"/>
              </w:rPr>
              <w:t xml:space="preserve"> </w:t>
            </w:r>
            <w:r w:rsidRPr="00790A39">
              <w:rPr>
                <w:sz w:val="20"/>
                <w:szCs w:val="20"/>
              </w:rPr>
              <w:t>671</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174</w:t>
            </w:r>
            <w:r>
              <w:rPr>
                <w:sz w:val="20"/>
                <w:szCs w:val="20"/>
              </w:rPr>
              <w:t xml:space="preserve"> </w:t>
            </w:r>
            <w:r w:rsidRPr="00790A39">
              <w:rPr>
                <w:sz w:val="20"/>
                <w:szCs w:val="20"/>
              </w:rPr>
              <w:t>234</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rFonts w:hint="cs"/>
                <w:sz w:val="20"/>
                <w:szCs w:val="22"/>
                <w:rtl/>
              </w:rPr>
              <w:t>فييت نام</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0.058</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  0.073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8</w:t>
            </w:r>
            <w:r>
              <w:rPr>
                <w:sz w:val="20"/>
                <w:szCs w:val="20"/>
              </w:rPr>
              <w:t xml:space="preserve"> </w:t>
            </w:r>
            <w:r w:rsidRPr="00790A39">
              <w:rPr>
                <w:sz w:val="20"/>
                <w:szCs w:val="20"/>
              </w:rPr>
              <w:t>590</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9</w:t>
            </w:r>
            <w:r>
              <w:rPr>
                <w:sz w:val="20"/>
                <w:szCs w:val="20"/>
              </w:rPr>
              <w:t xml:space="preserve"> </w:t>
            </w:r>
            <w:r w:rsidRPr="00790A39">
              <w:rPr>
                <w:sz w:val="20"/>
                <w:szCs w:val="20"/>
              </w:rPr>
              <w:t>108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17</w:t>
            </w:r>
            <w:r>
              <w:rPr>
                <w:sz w:val="20"/>
                <w:szCs w:val="20"/>
              </w:rPr>
              <w:t xml:space="preserve"> </w:t>
            </w:r>
            <w:r w:rsidRPr="00790A39">
              <w:rPr>
                <w:sz w:val="20"/>
                <w:szCs w:val="20"/>
              </w:rPr>
              <w:t>698</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اليمن</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0.010</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0.010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185</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256</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441</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زامبيا</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0.007</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0.009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037</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099</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2</w:t>
            </w:r>
            <w:r>
              <w:rPr>
                <w:sz w:val="20"/>
                <w:szCs w:val="20"/>
              </w:rPr>
              <w:t xml:space="preserve"> </w:t>
            </w:r>
            <w:r w:rsidRPr="00790A39">
              <w:rPr>
                <w:sz w:val="20"/>
                <w:szCs w:val="20"/>
              </w:rPr>
              <w:t>136</w:t>
            </w:r>
          </w:p>
        </w:tc>
      </w:tr>
      <w:tr w:rsidR="00ED48E1" w:rsidRPr="00134960"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134960" w:rsidRDefault="00ED48E1" w:rsidP="00ED48E1">
            <w:pPr>
              <w:spacing w:after="0" w:line="240" w:lineRule="auto"/>
              <w:rPr>
                <w:sz w:val="20"/>
                <w:szCs w:val="22"/>
                <w:lang w:eastAsia="en-CA"/>
              </w:rPr>
            </w:pPr>
            <w:r w:rsidRPr="00134960">
              <w:rPr>
                <w:sz w:val="20"/>
                <w:szCs w:val="22"/>
                <w:rtl/>
              </w:rPr>
              <w:t>زمبابوي</w:t>
            </w:r>
          </w:p>
        </w:tc>
        <w:tc>
          <w:tcPr>
            <w:tcW w:w="798" w:type="pct"/>
            <w:tcBorders>
              <w:top w:val="single" w:sz="4" w:space="0" w:color="auto"/>
              <w:left w:val="nil"/>
              <w:bottom w:val="single" w:sz="4" w:space="0" w:color="auto"/>
              <w:right w:val="single" w:sz="4" w:space="0" w:color="auto"/>
            </w:tcBorders>
            <w:shd w:val="clear" w:color="auto" w:fill="auto"/>
            <w:hideMark/>
          </w:tcPr>
          <w:p w:rsidR="00ED48E1" w:rsidRPr="00790A39" w:rsidRDefault="00ED48E1" w:rsidP="00ED48E1">
            <w:pPr>
              <w:spacing w:before="80" w:after="0" w:line="240" w:lineRule="auto"/>
              <w:rPr>
                <w:sz w:val="20"/>
                <w:szCs w:val="20"/>
              </w:rPr>
            </w:pPr>
            <w:r w:rsidRPr="00790A39">
              <w:rPr>
                <w:sz w:val="20"/>
                <w:szCs w:val="20"/>
              </w:rPr>
              <w:t>0.004</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 xml:space="preserve">0.005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592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628</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sz w:val="20"/>
                <w:szCs w:val="20"/>
              </w:rPr>
            </w:pPr>
            <w:r w:rsidRPr="00790A39">
              <w:rPr>
                <w:sz w:val="20"/>
                <w:szCs w:val="20"/>
              </w:rPr>
              <w:t>1</w:t>
            </w:r>
            <w:r>
              <w:rPr>
                <w:sz w:val="20"/>
                <w:szCs w:val="20"/>
              </w:rPr>
              <w:t xml:space="preserve"> </w:t>
            </w:r>
            <w:r w:rsidRPr="00790A39">
              <w:rPr>
                <w:sz w:val="20"/>
                <w:szCs w:val="20"/>
              </w:rPr>
              <w:t>221</w:t>
            </w:r>
          </w:p>
        </w:tc>
      </w:tr>
      <w:tr w:rsidR="00ED48E1" w:rsidRPr="00506DB4" w:rsidTr="000217A3">
        <w:trPr>
          <w:cantSplit/>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ED48E1" w:rsidRPr="00506DB4" w:rsidRDefault="00ED48E1" w:rsidP="00ED48E1">
            <w:pPr>
              <w:spacing w:after="0" w:line="240" w:lineRule="auto"/>
              <w:rPr>
                <w:b/>
                <w:bCs/>
                <w:sz w:val="20"/>
                <w:szCs w:val="22"/>
                <w:lang w:eastAsia="en-CA"/>
              </w:rPr>
            </w:pPr>
            <w:r w:rsidRPr="00134960">
              <w:rPr>
                <w:rFonts w:hint="cs"/>
                <w:b/>
                <w:bCs/>
                <w:sz w:val="20"/>
                <w:szCs w:val="22"/>
                <w:rtl/>
              </w:rPr>
              <w:t>ال</w:t>
            </w:r>
            <w:r w:rsidRPr="00134960">
              <w:rPr>
                <w:b/>
                <w:bCs/>
                <w:sz w:val="20"/>
                <w:szCs w:val="22"/>
                <w:rtl/>
              </w:rPr>
              <w:t>مجموع</w:t>
            </w:r>
          </w:p>
        </w:tc>
        <w:tc>
          <w:tcPr>
            <w:tcW w:w="798"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b/>
                <w:bCs/>
                <w:sz w:val="20"/>
                <w:szCs w:val="20"/>
              </w:rPr>
            </w:pPr>
            <w:r w:rsidRPr="00790A39">
              <w:rPr>
                <w:b/>
                <w:bCs/>
                <w:sz w:val="20"/>
                <w:szCs w:val="20"/>
              </w:rPr>
              <w:t xml:space="preserve">78.009 </w:t>
            </w:r>
          </w:p>
        </w:tc>
        <w:tc>
          <w:tcPr>
            <w:tcW w:w="786"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b/>
                <w:bCs/>
                <w:sz w:val="20"/>
                <w:szCs w:val="20"/>
              </w:rPr>
            </w:pPr>
            <w:r w:rsidRPr="00790A39">
              <w:rPr>
                <w:b/>
                <w:bCs/>
                <w:sz w:val="20"/>
                <w:szCs w:val="20"/>
              </w:rPr>
              <w:t xml:space="preserve">100 </w:t>
            </w:r>
          </w:p>
        </w:tc>
        <w:tc>
          <w:tcPr>
            <w:tcW w:w="637"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b/>
                <w:bCs/>
                <w:sz w:val="20"/>
                <w:szCs w:val="20"/>
              </w:rPr>
            </w:pPr>
            <w:r w:rsidRPr="00790A39">
              <w:rPr>
                <w:b/>
                <w:bCs/>
                <w:sz w:val="20"/>
                <w:szCs w:val="20"/>
              </w:rPr>
              <w:t>11</w:t>
            </w:r>
            <w:r>
              <w:rPr>
                <w:b/>
                <w:bCs/>
                <w:sz w:val="20"/>
                <w:szCs w:val="20"/>
              </w:rPr>
              <w:t xml:space="preserve"> </w:t>
            </w:r>
            <w:r w:rsidRPr="00790A39">
              <w:rPr>
                <w:b/>
                <w:bCs/>
                <w:sz w:val="20"/>
                <w:szCs w:val="20"/>
              </w:rPr>
              <w:t>846</w:t>
            </w:r>
            <w:r>
              <w:rPr>
                <w:b/>
                <w:bCs/>
                <w:sz w:val="20"/>
                <w:szCs w:val="20"/>
              </w:rPr>
              <w:t xml:space="preserve"> </w:t>
            </w:r>
            <w:r w:rsidRPr="00790A39">
              <w:rPr>
                <w:b/>
                <w:bCs/>
                <w:sz w:val="20"/>
                <w:szCs w:val="20"/>
              </w:rPr>
              <w:t>512</w:t>
            </w:r>
          </w:p>
        </w:tc>
        <w:tc>
          <w:tcPr>
            <w:tcW w:w="654"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b/>
                <w:bCs/>
                <w:sz w:val="20"/>
                <w:szCs w:val="20"/>
              </w:rPr>
            </w:pPr>
            <w:r w:rsidRPr="00790A39">
              <w:rPr>
                <w:b/>
                <w:bCs/>
                <w:sz w:val="20"/>
                <w:szCs w:val="20"/>
              </w:rPr>
              <w:t>12</w:t>
            </w:r>
            <w:r>
              <w:rPr>
                <w:b/>
                <w:bCs/>
                <w:sz w:val="20"/>
                <w:szCs w:val="20"/>
              </w:rPr>
              <w:t xml:space="preserve"> </w:t>
            </w:r>
            <w:r w:rsidRPr="00790A39">
              <w:rPr>
                <w:b/>
                <w:bCs/>
                <w:sz w:val="20"/>
                <w:szCs w:val="20"/>
              </w:rPr>
              <w:t>562</w:t>
            </w:r>
            <w:r>
              <w:rPr>
                <w:b/>
                <w:bCs/>
                <w:sz w:val="20"/>
                <w:szCs w:val="20"/>
              </w:rPr>
              <w:t xml:space="preserve"> </w:t>
            </w:r>
            <w:r w:rsidRPr="00790A39">
              <w:rPr>
                <w:b/>
                <w:bCs/>
                <w:sz w:val="20"/>
                <w:szCs w:val="20"/>
              </w:rPr>
              <w:t>092</w:t>
            </w:r>
          </w:p>
        </w:tc>
        <w:tc>
          <w:tcPr>
            <w:tcW w:w="715" w:type="pct"/>
            <w:tcBorders>
              <w:top w:val="single" w:sz="4" w:space="0" w:color="auto"/>
              <w:left w:val="nil"/>
              <w:bottom w:val="single" w:sz="4" w:space="0" w:color="auto"/>
              <w:right w:val="single" w:sz="4" w:space="0" w:color="auto"/>
            </w:tcBorders>
            <w:shd w:val="clear" w:color="auto" w:fill="auto"/>
            <w:noWrap/>
            <w:hideMark/>
          </w:tcPr>
          <w:p w:rsidR="00ED48E1" w:rsidRPr="00790A39" w:rsidRDefault="00ED48E1" w:rsidP="00ED48E1">
            <w:pPr>
              <w:spacing w:before="80" w:after="0" w:line="240" w:lineRule="auto"/>
              <w:rPr>
                <w:b/>
                <w:bCs/>
                <w:sz w:val="20"/>
                <w:szCs w:val="20"/>
              </w:rPr>
            </w:pPr>
            <w:r w:rsidRPr="00790A39">
              <w:rPr>
                <w:b/>
                <w:bCs/>
                <w:sz w:val="20"/>
                <w:szCs w:val="20"/>
              </w:rPr>
              <w:t>24</w:t>
            </w:r>
            <w:r>
              <w:rPr>
                <w:b/>
                <w:bCs/>
                <w:sz w:val="20"/>
                <w:szCs w:val="20"/>
              </w:rPr>
              <w:t xml:space="preserve"> </w:t>
            </w:r>
            <w:r w:rsidRPr="00790A39">
              <w:rPr>
                <w:b/>
                <w:bCs/>
                <w:sz w:val="20"/>
                <w:szCs w:val="20"/>
              </w:rPr>
              <w:t>408</w:t>
            </w:r>
            <w:r>
              <w:rPr>
                <w:b/>
                <w:bCs/>
                <w:sz w:val="20"/>
                <w:szCs w:val="20"/>
              </w:rPr>
              <w:t xml:space="preserve"> </w:t>
            </w:r>
            <w:r w:rsidRPr="00790A39">
              <w:rPr>
                <w:b/>
                <w:bCs/>
                <w:sz w:val="20"/>
                <w:szCs w:val="20"/>
              </w:rPr>
              <w:t>604</w:t>
            </w:r>
          </w:p>
        </w:tc>
      </w:tr>
      <w:bookmarkEnd w:id="210"/>
    </w:tbl>
    <w:p w:rsidR="00023979" w:rsidRDefault="00023979" w:rsidP="001D61EA">
      <w:pPr>
        <w:spacing w:after="0" w:line="240" w:lineRule="auto"/>
        <w:jc w:val="left"/>
        <w:rPr>
          <w:sz w:val="24"/>
          <w:rtl/>
        </w:rPr>
      </w:pPr>
    </w:p>
    <w:p w:rsidR="00516FD0" w:rsidRDefault="00516FD0" w:rsidP="00516FD0">
      <w:pPr>
        <w:spacing w:after="0" w:line="240" w:lineRule="auto"/>
        <w:jc w:val="left"/>
        <w:rPr>
          <w:b/>
          <w:bCs/>
          <w:sz w:val="24"/>
          <w:rtl/>
        </w:rPr>
      </w:pPr>
      <w:r>
        <w:rPr>
          <w:b/>
          <w:bCs/>
          <w:sz w:val="24"/>
          <w:rtl/>
        </w:rPr>
        <w:br w:type="page"/>
      </w:r>
    </w:p>
    <w:p w:rsidR="000217A3" w:rsidRPr="00575BF1" w:rsidRDefault="000217A3" w:rsidP="000834BC">
      <w:pPr>
        <w:pStyle w:val="Heading2"/>
        <w:rPr>
          <w:b w:val="0"/>
          <w:bCs w:val="0"/>
          <w:rtl/>
        </w:rPr>
      </w:pPr>
      <w:bookmarkStart w:id="211" w:name="_Toc6071642"/>
      <w:bookmarkStart w:id="212" w:name="_Toc6139999"/>
      <w:r>
        <w:rPr>
          <w:rFonts w:hint="cs"/>
          <w:rtl/>
        </w:rPr>
        <w:lastRenderedPageBreak/>
        <w:t>المقرر 14/38</w:t>
      </w:r>
      <w:r>
        <w:rPr>
          <w:rFonts w:hint="cs"/>
          <w:rtl/>
        </w:rPr>
        <w:tab/>
      </w:r>
      <w:r w:rsidRPr="00575BF1">
        <w:rPr>
          <w:rFonts w:hint="cs"/>
          <w:rtl/>
        </w:rPr>
        <w:t>تاريخ ومكان الاجتماعات القادمة لمؤتمر الأطراف</w:t>
      </w:r>
      <w:bookmarkEnd w:id="211"/>
      <w:bookmarkEnd w:id="212"/>
    </w:p>
    <w:p w:rsidR="000217A3" w:rsidRPr="0015661B" w:rsidRDefault="000217A3" w:rsidP="000217A3">
      <w:pPr>
        <w:ind w:firstLine="720"/>
        <w:rPr>
          <w:i/>
          <w:iCs/>
          <w:rtl/>
        </w:rPr>
      </w:pPr>
      <w:r w:rsidRPr="0015661B">
        <w:rPr>
          <w:rFonts w:hint="cs"/>
          <w:i/>
          <w:iCs/>
          <w:rtl/>
        </w:rPr>
        <w:t>إن مؤتمر الأطراف،</w:t>
      </w:r>
    </w:p>
    <w:p w:rsidR="000217A3" w:rsidRPr="0015661B" w:rsidRDefault="000217A3" w:rsidP="000217A3">
      <w:pPr>
        <w:ind w:firstLine="720"/>
        <w:rPr>
          <w:sz w:val="20"/>
          <w:rtl/>
        </w:rPr>
      </w:pPr>
      <w:r w:rsidRPr="0015661B">
        <w:rPr>
          <w:rFonts w:hint="cs"/>
          <w:i/>
          <w:iCs/>
          <w:rtl/>
        </w:rPr>
        <w:t>إذ يشير</w:t>
      </w:r>
      <w:r w:rsidRPr="0015661B">
        <w:rPr>
          <w:rFonts w:hint="cs"/>
          <w:rtl/>
        </w:rPr>
        <w:t xml:space="preserve"> إلى المقرر 13/33 الذي قرر فيه </w:t>
      </w:r>
      <w:r w:rsidRPr="0015661B">
        <w:rPr>
          <w:rFonts w:hint="cs"/>
          <w:sz w:val="20"/>
          <w:rtl/>
        </w:rPr>
        <w:t>أن يعقد الاجتماع الخامس عشر لمؤتمر الأطراف في الصين، وأن يعقد الاجتماع السادس عشر لمؤتمر الأطراف في تركيا،</w:t>
      </w:r>
    </w:p>
    <w:p w:rsidR="000217A3" w:rsidRPr="0015661B" w:rsidRDefault="000217A3" w:rsidP="00366E36">
      <w:pPr>
        <w:numPr>
          <w:ilvl w:val="0"/>
          <w:numId w:val="99"/>
        </w:numPr>
        <w:spacing w:afterLines="120"/>
        <w:ind w:left="0" w:firstLine="720"/>
        <w:rPr>
          <w:sz w:val="20"/>
          <w:rtl/>
        </w:rPr>
      </w:pPr>
      <w:r w:rsidRPr="0015661B">
        <w:rPr>
          <w:rFonts w:hint="cs"/>
          <w:i/>
          <w:iCs/>
          <w:sz w:val="20"/>
          <w:rtl/>
        </w:rPr>
        <w:t>يقرر</w:t>
      </w:r>
      <w:r w:rsidRPr="0015661B">
        <w:rPr>
          <w:rFonts w:hint="cs"/>
          <w:sz w:val="20"/>
          <w:rtl/>
        </w:rPr>
        <w:t xml:space="preserve"> أن يعقد الاجتماع السادس عشر لمؤتمر الأطراف، والاجتماع الحادي عشر لمؤتمر الأطراف العامل كاجتماع للأطراف في بروتوكول قرطاجنة والاجتماع الخامس لمؤتمر الأطراف العامل كاجتماع للأطراف في بروتوكول ناغويا في </w:t>
      </w:r>
      <w:r>
        <w:rPr>
          <w:rFonts w:hint="cs"/>
          <w:sz w:val="20"/>
          <w:rtl/>
        </w:rPr>
        <w:t>الربع الأخير من عام 2022؛</w:t>
      </w:r>
    </w:p>
    <w:p w:rsidR="000217A3" w:rsidRPr="0015661B" w:rsidRDefault="000217A3" w:rsidP="00366E36">
      <w:pPr>
        <w:numPr>
          <w:ilvl w:val="0"/>
          <w:numId w:val="99"/>
        </w:numPr>
        <w:spacing w:afterLines="120"/>
        <w:ind w:left="0" w:firstLine="720"/>
        <w:rPr>
          <w:sz w:val="20"/>
          <w:rtl/>
        </w:rPr>
      </w:pPr>
      <w:r w:rsidRPr="0015661B">
        <w:rPr>
          <w:rFonts w:hint="cs"/>
          <w:i/>
          <w:iCs/>
          <w:sz w:val="20"/>
          <w:rtl/>
        </w:rPr>
        <w:t xml:space="preserve">يدعو </w:t>
      </w:r>
      <w:r w:rsidRPr="0015661B">
        <w:rPr>
          <w:rFonts w:hint="cs"/>
          <w:sz w:val="20"/>
          <w:rtl/>
        </w:rPr>
        <w:t>الأطراف من منطقة أوروبا الوسطى والشرقية إلى إخطار الأمينة التنفيذية بعروضهم ل</w:t>
      </w:r>
      <w:r>
        <w:rPr>
          <w:rFonts w:hint="cs"/>
          <w:sz w:val="20"/>
          <w:rtl/>
        </w:rPr>
        <w:t>استضافة</w:t>
      </w:r>
      <w:r w:rsidRPr="0015661B">
        <w:rPr>
          <w:rFonts w:hint="cs"/>
          <w:sz w:val="20"/>
          <w:rtl/>
        </w:rPr>
        <w:t xml:space="preserve"> الاجتماع السابع عشر لمؤتمر الأطراف وكذلك الاجتماع الثاني عشر لمؤتمر الأطراف العامل كاجتماع للأطراف في بروتوكول قرطاجنة والاجتماع السادس لمؤتمر الأطراف العامل كاجتماع للأطراف في بروتوكول ناغويا؛</w:t>
      </w:r>
    </w:p>
    <w:p w:rsidR="00516FD0" w:rsidRPr="000217A3" w:rsidRDefault="000217A3" w:rsidP="00366E36">
      <w:pPr>
        <w:numPr>
          <w:ilvl w:val="0"/>
          <w:numId w:val="99"/>
        </w:numPr>
        <w:spacing w:afterLines="120"/>
        <w:ind w:left="0" w:firstLine="720"/>
        <w:rPr>
          <w:rtl/>
        </w:rPr>
      </w:pPr>
      <w:r w:rsidRPr="0015661B">
        <w:rPr>
          <w:rFonts w:hint="cs"/>
          <w:i/>
          <w:iCs/>
          <w:sz w:val="20"/>
          <w:rtl/>
        </w:rPr>
        <w:t>يطلب</w:t>
      </w:r>
      <w:r w:rsidRPr="0015661B">
        <w:rPr>
          <w:rFonts w:hint="cs"/>
          <w:sz w:val="20"/>
          <w:rtl/>
        </w:rPr>
        <w:t xml:space="preserve"> إلى الهيئة الفرعية للتنفيذ، في ضوء نظرها في المقترحات للإطار العالمي للتنوع البيولوجي </w:t>
      </w:r>
      <w:r>
        <w:rPr>
          <w:rFonts w:hint="cs"/>
          <w:sz w:val="20"/>
          <w:rtl/>
        </w:rPr>
        <w:t>ل</w:t>
      </w:r>
      <w:r w:rsidRPr="0015661B">
        <w:rPr>
          <w:rFonts w:hint="cs"/>
          <w:sz w:val="20"/>
          <w:rtl/>
        </w:rPr>
        <w:t xml:space="preserve">ما بعد عام 2020، أن تعد مقترحا بشأن وتيرة انعقاد اجتماعات </w:t>
      </w:r>
      <w:r>
        <w:rPr>
          <w:rFonts w:hint="cs"/>
          <w:sz w:val="20"/>
          <w:rtl/>
        </w:rPr>
        <w:t>مؤتمر</w:t>
      </w:r>
      <w:r w:rsidRPr="0015661B">
        <w:rPr>
          <w:rFonts w:hint="cs"/>
          <w:sz w:val="20"/>
          <w:rtl/>
        </w:rPr>
        <w:t xml:space="preserve"> الأطراف بعد الاجتماع السادس عشر، </w:t>
      </w:r>
      <w:r>
        <w:rPr>
          <w:rFonts w:hint="cs"/>
          <w:sz w:val="20"/>
          <w:rtl/>
        </w:rPr>
        <w:t>لكي ي</w:t>
      </w:r>
      <w:r w:rsidRPr="0015661B">
        <w:rPr>
          <w:rFonts w:hint="cs"/>
          <w:sz w:val="20"/>
          <w:rtl/>
        </w:rPr>
        <w:t xml:space="preserve">نظر </w:t>
      </w:r>
      <w:r>
        <w:rPr>
          <w:rFonts w:hint="cs"/>
          <w:sz w:val="20"/>
          <w:rtl/>
        </w:rPr>
        <w:t xml:space="preserve">فيه ويعتمده </w:t>
      </w:r>
      <w:r w:rsidRPr="0015661B">
        <w:rPr>
          <w:rFonts w:hint="cs"/>
          <w:sz w:val="20"/>
          <w:rtl/>
        </w:rPr>
        <w:t>مؤتمر الأطراف في اجتماعه الخامس عشر</w:t>
      </w:r>
      <w:r w:rsidRPr="0015661B">
        <w:rPr>
          <w:sz w:val="20"/>
          <w:rtl/>
        </w:rPr>
        <w:t>.</w:t>
      </w:r>
    </w:p>
    <w:p w:rsidR="00516FD0" w:rsidRDefault="00516FD0" w:rsidP="00516FD0">
      <w:pPr>
        <w:spacing w:after="0" w:line="240" w:lineRule="auto"/>
        <w:jc w:val="left"/>
        <w:rPr>
          <w:b/>
          <w:bCs/>
          <w:sz w:val="24"/>
          <w:rtl/>
        </w:rPr>
      </w:pPr>
      <w:r>
        <w:rPr>
          <w:b/>
          <w:bCs/>
          <w:sz w:val="24"/>
          <w:rtl/>
        </w:rPr>
        <w:br w:type="page"/>
      </w:r>
    </w:p>
    <w:p w:rsidR="00FC19E4" w:rsidRPr="00897427" w:rsidRDefault="00FC19E4" w:rsidP="00EF2416">
      <w:pPr>
        <w:pStyle w:val="Heading1"/>
        <w:tabs>
          <w:tab w:val="left" w:pos="1080"/>
        </w:tabs>
        <w:spacing w:line="204" w:lineRule="auto"/>
        <w:rPr>
          <w:sz w:val="32"/>
          <w:szCs w:val="32"/>
          <w:rtl/>
        </w:rPr>
      </w:pPr>
      <w:bookmarkStart w:id="213" w:name="_Toc6140000"/>
      <w:r w:rsidRPr="00897427">
        <w:rPr>
          <w:rFonts w:hint="cs"/>
          <w:sz w:val="32"/>
          <w:szCs w:val="32"/>
          <w:rtl/>
        </w:rPr>
        <w:lastRenderedPageBreak/>
        <w:t>ثانيا -</w:t>
      </w:r>
      <w:r w:rsidRPr="00897427">
        <w:rPr>
          <w:rFonts w:hint="cs"/>
          <w:sz w:val="32"/>
          <w:szCs w:val="32"/>
          <w:rtl/>
        </w:rPr>
        <w:tab/>
        <w:t>مداولات الاجتماع</w:t>
      </w:r>
      <w:bookmarkEnd w:id="213"/>
    </w:p>
    <w:p w:rsidR="001445C7" w:rsidRPr="007E4A33" w:rsidRDefault="001445C7" w:rsidP="00EF2416">
      <w:pPr>
        <w:pStyle w:val="Heading2"/>
        <w:spacing w:line="204" w:lineRule="auto"/>
        <w:rPr>
          <w:sz w:val="24"/>
          <w:rtl/>
        </w:rPr>
      </w:pPr>
      <w:bookmarkStart w:id="214" w:name="_Toc6140001"/>
      <w:r w:rsidRPr="007E4A33">
        <w:rPr>
          <w:rFonts w:hint="cs"/>
          <w:sz w:val="24"/>
          <w:rtl/>
        </w:rPr>
        <w:t xml:space="preserve">ألف </w:t>
      </w:r>
      <w:r w:rsidRPr="007E4A33">
        <w:rPr>
          <w:sz w:val="24"/>
          <w:rtl/>
        </w:rPr>
        <w:t>–</w:t>
      </w:r>
      <w:r w:rsidR="00461566" w:rsidRPr="007E4A33">
        <w:rPr>
          <w:rFonts w:hint="cs"/>
          <w:sz w:val="24"/>
          <w:rtl/>
        </w:rPr>
        <w:tab/>
      </w:r>
      <w:r w:rsidRPr="007E4A33">
        <w:rPr>
          <w:rFonts w:hint="cs"/>
          <w:sz w:val="24"/>
          <w:rtl/>
        </w:rPr>
        <w:t>معلومات أساسية</w:t>
      </w:r>
      <w:bookmarkEnd w:id="214"/>
    </w:p>
    <w:p w:rsidR="001445C7" w:rsidRDefault="001445C7" w:rsidP="00EF2416">
      <w:pPr>
        <w:pStyle w:val="ListParagraph"/>
        <w:numPr>
          <w:ilvl w:val="0"/>
          <w:numId w:val="6"/>
        </w:numPr>
        <w:bidi/>
        <w:spacing w:line="204" w:lineRule="auto"/>
        <w:ind w:left="0" w:firstLine="0"/>
        <w:rPr>
          <w:rFonts w:cs="Simplified Arabic"/>
          <w:sz w:val="24"/>
        </w:rPr>
      </w:pPr>
      <w:r w:rsidRPr="005A6EB5">
        <w:rPr>
          <w:rFonts w:cs="Simplified Arabic" w:hint="cs"/>
          <w:rtl/>
          <w:lang w:bidi="ar-LY"/>
        </w:rPr>
        <w:t xml:space="preserve">بناء على دعوة من حكومة مصر، التي رحب بها مؤتمر الأطراف في اتفاقية التنوع البيولوجي في </w:t>
      </w:r>
      <w:r w:rsidRPr="005A6EB5">
        <w:rPr>
          <w:rFonts w:cs="Simplified Arabic" w:hint="cs"/>
          <w:rtl/>
        </w:rPr>
        <w:t>ال</w:t>
      </w:r>
      <w:hyperlink r:id="rId90" w:history="1">
        <w:r w:rsidRPr="005A6EB5">
          <w:rPr>
            <w:rStyle w:val="Hyperlink"/>
            <w:rFonts w:cs="Simplified Arabic" w:hint="cs"/>
            <w:color w:val="auto"/>
            <w:u w:val="none"/>
            <w:rtl/>
            <w:lang w:bidi="ar-LY"/>
          </w:rPr>
          <w:t xml:space="preserve">مقرر </w:t>
        </w:r>
        <w:r w:rsidRPr="005A6EB5">
          <w:rPr>
            <w:rStyle w:val="Hyperlink"/>
            <w:rFonts w:cs="Simplified Arabic" w:hint="cs"/>
            <w:rtl/>
            <w:lang w:bidi="ar-LY"/>
          </w:rPr>
          <w:t>13/33</w:t>
        </w:r>
      </w:hyperlink>
      <w:r w:rsidRPr="005A6EB5">
        <w:rPr>
          <w:rFonts w:cs="Simplified Arabic" w:hint="cs"/>
          <w:rtl/>
          <w:lang w:bidi="ar-LY"/>
        </w:rPr>
        <w:t xml:space="preserve">، عقد مؤتمر الأطراف اجتماعه الرابع عشر في شرم الشيخ، مصر، من 17 إلى 29 نوفمبر/تشرين الثاني 2018، بالتزامن مع الاجتماع التاسع لمؤتمر الأطراف العامل كاجتماع للأطراف في بروتوكول قرطاجنة للسلامة الأحيائية (بروتوكول قرطاجنة) والاجتماع الثالث </w:t>
      </w:r>
      <w:r w:rsidR="00563808" w:rsidRPr="005A6EB5">
        <w:rPr>
          <w:rFonts w:cs="Simplified Arabic" w:hint="cs"/>
          <w:rtl/>
          <w:lang w:val="en-US"/>
        </w:rPr>
        <w:t>لمؤتمر الأطراف العامل كاجتماع للأطراف في بروتوكول ناغويا بشأن الحصول على الموارد الجينية والتقاسم العادل والمنصف للمنافع الناشئة عن استخدامها (بروتوكول ناغويا).</w:t>
      </w:r>
    </w:p>
    <w:p w:rsidR="00A70350" w:rsidRPr="00A70350" w:rsidRDefault="00A70350" w:rsidP="00A70350">
      <w:pPr>
        <w:pStyle w:val="ListParagraph"/>
        <w:bidi/>
        <w:spacing w:line="204" w:lineRule="auto"/>
        <w:ind w:left="0"/>
        <w:jc w:val="center"/>
        <w:outlineLvl w:val="1"/>
        <w:rPr>
          <w:rFonts w:ascii="Simplified Arabic" w:hAnsi="Simplified Arabic" w:cs="Simplified Arabic"/>
          <w:b/>
          <w:bCs/>
          <w:sz w:val="24"/>
        </w:rPr>
      </w:pPr>
      <w:bookmarkStart w:id="215" w:name="_Toc6140002"/>
      <w:r w:rsidRPr="00A70350">
        <w:rPr>
          <w:rFonts w:ascii="Simplified Arabic" w:hAnsi="Simplified Arabic" w:cs="Simplified Arabic"/>
          <w:b/>
          <w:bCs/>
          <w:sz w:val="24"/>
          <w:rtl/>
        </w:rPr>
        <w:t>باء -</w:t>
      </w:r>
      <w:r w:rsidRPr="00A70350">
        <w:rPr>
          <w:rFonts w:ascii="Simplified Arabic" w:hAnsi="Simplified Arabic" w:cs="Simplified Arabic"/>
          <w:b/>
          <w:bCs/>
          <w:sz w:val="24"/>
          <w:rtl/>
        </w:rPr>
        <w:tab/>
        <w:t>الحضور</w:t>
      </w:r>
      <w:bookmarkEnd w:id="215"/>
    </w:p>
    <w:p w:rsidR="001B036B" w:rsidRPr="00A70350" w:rsidRDefault="00563808" w:rsidP="00A70350">
      <w:pPr>
        <w:pStyle w:val="ListParagraph"/>
        <w:numPr>
          <w:ilvl w:val="0"/>
          <w:numId w:val="6"/>
        </w:numPr>
        <w:bidi/>
        <w:spacing w:line="204" w:lineRule="auto"/>
        <w:ind w:left="0" w:firstLine="0"/>
        <w:rPr>
          <w:rFonts w:cs="Simplified Arabic"/>
          <w:sz w:val="24"/>
        </w:rPr>
      </w:pPr>
      <w:r w:rsidRPr="001B036B">
        <w:rPr>
          <w:rtl/>
        </w:rPr>
        <w:t>دعيت جميع الدول إلى المشاركة في الاجتماع</w:t>
      </w:r>
      <w:r w:rsidRPr="001B036B">
        <w:rPr>
          <w:rFonts w:hint="cs"/>
          <w:rtl/>
        </w:rPr>
        <w:t>.</w:t>
      </w:r>
      <w:r w:rsidRPr="001B036B">
        <w:rPr>
          <w:rtl/>
        </w:rPr>
        <w:t xml:space="preserve"> وحضر الاجتماع الأطراف في </w:t>
      </w:r>
      <w:r w:rsidR="001E3CF2">
        <w:rPr>
          <w:rFonts w:hint="cs"/>
          <w:rtl/>
        </w:rPr>
        <w:t>ا</w:t>
      </w:r>
      <w:r w:rsidRPr="001B036B">
        <w:rPr>
          <w:rFonts w:hint="cs"/>
          <w:rtl/>
        </w:rPr>
        <w:t xml:space="preserve">تفاقية </w:t>
      </w:r>
      <w:r w:rsidR="001E3CF2">
        <w:rPr>
          <w:rFonts w:hint="cs"/>
          <w:rtl/>
        </w:rPr>
        <w:t xml:space="preserve">التنوع البيولوجي </w:t>
      </w:r>
      <w:r w:rsidRPr="001B036B">
        <w:rPr>
          <w:rFonts w:hint="cs"/>
          <w:rtl/>
        </w:rPr>
        <w:t>التالية أسماؤها:</w:t>
      </w:r>
      <w:r w:rsidR="00461566" w:rsidRPr="00A70350">
        <w:rPr>
          <w:rFonts w:hint="cs"/>
          <w:sz w:val="24"/>
          <w:rtl/>
        </w:rPr>
        <w:t xml:space="preserve"> </w:t>
      </w:r>
    </w:p>
    <w:p w:rsidR="001B036B" w:rsidRDefault="001B036B" w:rsidP="001B036B">
      <w:pPr>
        <w:spacing w:line="204" w:lineRule="auto"/>
        <w:rPr>
          <w:rtl/>
        </w:rPr>
        <w:sectPr w:rsidR="001B036B" w:rsidSect="00702979">
          <w:headerReference w:type="even" r:id="rId91"/>
          <w:headerReference w:type="default" r:id="rId92"/>
          <w:type w:val="continuous"/>
          <w:pgSz w:w="12240" w:h="15840" w:code="1"/>
          <w:pgMar w:top="1008" w:right="1440" w:bottom="1008" w:left="1440" w:header="461" w:footer="706" w:gutter="0"/>
          <w:cols w:space="708"/>
          <w:titlePg/>
          <w:bidi/>
          <w:rtlGutter/>
          <w:docGrid w:linePitch="360"/>
        </w:sectPr>
      </w:pPr>
    </w:p>
    <w:p w:rsidR="001B036B" w:rsidRDefault="001B036B" w:rsidP="00897427">
      <w:pPr>
        <w:spacing w:after="0"/>
        <w:rPr>
          <w:rtl/>
        </w:rPr>
      </w:pPr>
      <w:r>
        <w:rPr>
          <w:rFonts w:hint="cs"/>
          <w:rtl/>
        </w:rPr>
        <w:lastRenderedPageBreak/>
        <w:t>أفغانستان</w:t>
      </w:r>
    </w:p>
    <w:p w:rsidR="001B036B" w:rsidRPr="00BA08C7" w:rsidRDefault="001B036B" w:rsidP="00897427">
      <w:pPr>
        <w:spacing w:after="0"/>
        <w:rPr>
          <w:rtl/>
        </w:rPr>
      </w:pPr>
      <w:r w:rsidRPr="00BA08C7">
        <w:rPr>
          <w:rtl/>
        </w:rPr>
        <w:t>ألبانيا</w:t>
      </w:r>
    </w:p>
    <w:p w:rsidR="001B036B" w:rsidRDefault="001B036B" w:rsidP="00897427">
      <w:pPr>
        <w:spacing w:after="0"/>
        <w:rPr>
          <w:rtl/>
        </w:rPr>
      </w:pPr>
      <w:r>
        <w:rPr>
          <w:rFonts w:hint="cs"/>
          <w:rtl/>
        </w:rPr>
        <w:t>الجزائر</w:t>
      </w:r>
    </w:p>
    <w:p w:rsidR="001E3CF2" w:rsidRDefault="001E3CF2" w:rsidP="00897427">
      <w:pPr>
        <w:spacing w:after="0"/>
        <w:rPr>
          <w:rtl/>
        </w:rPr>
      </w:pPr>
      <w:r>
        <w:rPr>
          <w:rFonts w:hint="cs"/>
          <w:rtl/>
        </w:rPr>
        <w:t>أندورا</w:t>
      </w:r>
    </w:p>
    <w:p w:rsidR="001B036B" w:rsidRPr="00BA08C7" w:rsidRDefault="001B036B" w:rsidP="00897427">
      <w:pPr>
        <w:spacing w:after="0"/>
        <w:rPr>
          <w:rtl/>
        </w:rPr>
      </w:pPr>
      <w:r w:rsidRPr="00BA08C7">
        <w:rPr>
          <w:rFonts w:hint="cs"/>
          <w:rtl/>
        </w:rPr>
        <w:t>أنغولا</w:t>
      </w:r>
    </w:p>
    <w:p w:rsidR="001B036B" w:rsidRDefault="00F757CE" w:rsidP="00897427">
      <w:pPr>
        <w:spacing w:after="0"/>
        <w:rPr>
          <w:rtl/>
        </w:rPr>
      </w:pPr>
      <w:r>
        <w:rPr>
          <w:rFonts w:hint="cs"/>
          <w:rtl/>
        </w:rPr>
        <w:t>أنتيغوا وب</w:t>
      </w:r>
      <w:r w:rsidR="001B036B">
        <w:rPr>
          <w:rFonts w:hint="cs"/>
          <w:rtl/>
        </w:rPr>
        <w:t>ربودا</w:t>
      </w:r>
    </w:p>
    <w:p w:rsidR="001B036B" w:rsidRDefault="001B036B" w:rsidP="00897427">
      <w:pPr>
        <w:spacing w:after="0"/>
        <w:rPr>
          <w:rtl/>
        </w:rPr>
      </w:pPr>
      <w:r>
        <w:rPr>
          <w:rFonts w:hint="cs"/>
          <w:rtl/>
        </w:rPr>
        <w:t>الأرجنتين</w:t>
      </w:r>
    </w:p>
    <w:p w:rsidR="001E3CF2" w:rsidRDefault="001E3CF2" w:rsidP="00897427">
      <w:pPr>
        <w:spacing w:after="0"/>
        <w:rPr>
          <w:rtl/>
        </w:rPr>
      </w:pPr>
      <w:r>
        <w:rPr>
          <w:rFonts w:hint="cs"/>
          <w:rtl/>
        </w:rPr>
        <w:t>أرمينيا</w:t>
      </w:r>
    </w:p>
    <w:p w:rsidR="001B036B" w:rsidRDefault="001E3CF2" w:rsidP="00897427">
      <w:pPr>
        <w:spacing w:after="0"/>
        <w:rPr>
          <w:rtl/>
        </w:rPr>
      </w:pPr>
      <w:r>
        <w:rPr>
          <w:rFonts w:hint="cs"/>
          <w:rtl/>
        </w:rPr>
        <w:t>النمسا</w:t>
      </w:r>
    </w:p>
    <w:p w:rsidR="001E3CF2" w:rsidRDefault="001E3CF2" w:rsidP="00897427">
      <w:pPr>
        <w:spacing w:after="0"/>
        <w:rPr>
          <w:rtl/>
        </w:rPr>
      </w:pPr>
      <w:r>
        <w:rPr>
          <w:rFonts w:hint="cs"/>
          <w:rtl/>
        </w:rPr>
        <w:t>أذربيجيان</w:t>
      </w:r>
    </w:p>
    <w:p w:rsidR="001B036B" w:rsidRDefault="001B036B" w:rsidP="00897427">
      <w:pPr>
        <w:spacing w:after="0"/>
        <w:rPr>
          <w:rtl/>
        </w:rPr>
      </w:pPr>
      <w:r>
        <w:rPr>
          <w:rFonts w:hint="cs"/>
          <w:rtl/>
        </w:rPr>
        <w:t>البحرين</w:t>
      </w:r>
    </w:p>
    <w:p w:rsidR="001B036B" w:rsidRDefault="001B036B" w:rsidP="00897427">
      <w:pPr>
        <w:spacing w:after="0"/>
        <w:rPr>
          <w:rtl/>
        </w:rPr>
      </w:pPr>
      <w:r>
        <w:rPr>
          <w:rFonts w:hint="cs"/>
          <w:rtl/>
        </w:rPr>
        <w:t>بنغلاديش</w:t>
      </w:r>
    </w:p>
    <w:p w:rsidR="001B036B" w:rsidRPr="00BA08C7" w:rsidRDefault="001B036B" w:rsidP="00897427">
      <w:pPr>
        <w:spacing w:after="0"/>
        <w:rPr>
          <w:rtl/>
        </w:rPr>
      </w:pPr>
      <w:r w:rsidRPr="00BA08C7">
        <w:rPr>
          <w:rFonts w:hint="cs"/>
          <w:rtl/>
        </w:rPr>
        <w:t>بيلاروس</w:t>
      </w:r>
    </w:p>
    <w:p w:rsidR="001B036B" w:rsidRPr="00BA08C7" w:rsidRDefault="001B036B" w:rsidP="00897427">
      <w:pPr>
        <w:spacing w:after="0"/>
        <w:rPr>
          <w:rtl/>
        </w:rPr>
      </w:pPr>
      <w:r w:rsidRPr="00BA08C7">
        <w:rPr>
          <w:rtl/>
        </w:rPr>
        <w:t>بلجيكا</w:t>
      </w:r>
    </w:p>
    <w:p w:rsidR="001E3CF2" w:rsidRDefault="001E3CF2" w:rsidP="00897427">
      <w:pPr>
        <w:spacing w:after="0"/>
        <w:rPr>
          <w:rtl/>
        </w:rPr>
      </w:pPr>
      <w:r>
        <w:rPr>
          <w:rFonts w:hint="cs"/>
          <w:rtl/>
        </w:rPr>
        <w:t>بليز</w:t>
      </w:r>
    </w:p>
    <w:p w:rsidR="001B036B" w:rsidRPr="00BA08C7" w:rsidRDefault="001B036B" w:rsidP="00897427">
      <w:pPr>
        <w:spacing w:after="0"/>
        <w:rPr>
          <w:rtl/>
        </w:rPr>
      </w:pPr>
      <w:r w:rsidRPr="00BA08C7">
        <w:rPr>
          <w:rtl/>
        </w:rPr>
        <w:t>بنن</w:t>
      </w:r>
    </w:p>
    <w:p w:rsidR="001B036B" w:rsidRPr="00BA08C7" w:rsidRDefault="001B036B" w:rsidP="00897427">
      <w:pPr>
        <w:spacing w:after="0"/>
        <w:rPr>
          <w:rtl/>
        </w:rPr>
      </w:pPr>
      <w:r w:rsidRPr="00BA08C7">
        <w:rPr>
          <w:rtl/>
        </w:rPr>
        <w:t>بوتان</w:t>
      </w:r>
    </w:p>
    <w:p w:rsidR="001B036B" w:rsidRPr="00BA08C7" w:rsidRDefault="001B036B" w:rsidP="00897427">
      <w:pPr>
        <w:spacing w:after="0"/>
        <w:rPr>
          <w:rtl/>
        </w:rPr>
      </w:pPr>
      <w:r w:rsidRPr="00BA08C7">
        <w:rPr>
          <w:rtl/>
        </w:rPr>
        <w:t>بوليفيا (دولة</w:t>
      </w:r>
      <w:r w:rsidRPr="00BA08C7">
        <w:rPr>
          <w:rFonts w:hint="cs"/>
          <w:rtl/>
        </w:rPr>
        <w:t xml:space="preserve"> </w:t>
      </w:r>
      <w:r w:rsidRPr="00BA08C7">
        <w:rPr>
          <w:rtl/>
        </w:rPr>
        <w:t>-</w:t>
      </w:r>
      <w:r w:rsidRPr="00BA08C7">
        <w:rPr>
          <w:rFonts w:hint="cs"/>
          <w:rtl/>
        </w:rPr>
        <w:t xml:space="preserve"> </w:t>
      </w:r>
      <w:r w:rsidRPr="00BA08C7">
        <w:rPr>
          <w:rtl/>
        </w:rPr>
        <w:t>المتعددة القوميات)</w:t>
      </w:r>
    </w:p>
    <w:p w:rsidR="001B036B" w:rsidRDefault="001B036B" w:rsidP="00897427">
      <w:pPr>
        <w:spacing w:after="0"/>
        <w:rPr>
          <w:rtl/>
        </w:rPr>
      </w:pPr>
      <w:r>
        <w:rPr>
          <w:rFonts w:hint="cs"/>
          <w:rtl/>
        </w:rPr>
        <w:t>البوسنة والهرسك</w:t>
      </w:r>
    </w:p>
    <w:p w:rsidR="001B036B" w:rsidRPr="00BA08C7" w:rsidRDefault="001B036B" w:rsidP="00897427">
      <w:pPr>
        <w:spacing w:after="0"/>
        <w:rPr>
          <w:rtl/>
        </w:rPr>
      </w:pPr>
      <w:r w:rsidRPr="00BA08C7">
        <w:rPr>
          <w:rtl/>
        </w:rPr>
        <w:t>بوتسوانا</w:t>
      </w:r>
    </w:p>
    <w:p w:rsidR="001B036B" w:rsidRPr="00BA08C7" w:rsidRDefault="001B036B" w:rsidP="00897427">
      <w:pPr>
        <w:spacing w:after="0"/>
        <w:rPr>
          <w:rtl/>
        </w:rPr>
      </w:pPr>
      <w:r w:rsidRPr="00BA08C7">
        <w:rPr>
          <w:rtl/>
        </w:rPr>
        <w:t>البرازيل</w:t>
      </w:r>
    </w:p>
    <w:p w:rsidR="001B036B" w:rsidRPr="00BA08C7" w:rsidRDefault="001B036B" w:rsidP="00897427">
      <w:pPr>
        <w:spacing w:after="0"/>
        <w:rPr>
          <w:rtl/>
        </w:rPr>
      </w:pPr>
      <w:r w:rsidRPr="00BA08C7">
        <w:rPr>
          <w:rtl/>
        </w:rPr>
        <w:t>بلغاريا</w:t>
      </w:r>
    </w:p>
    <w:p w:rsidR="001B036B" w:rsidRPr="00BA08C7" w:rsidRDefault="001B036B" w:rsidP="00897427">
      <w:pPr>
        <w:spacing w:after="0"/>
        <w:rPr>
          <w:rtl/>
        </w:rPr>
      </w:pPr>
      <w:r w:rsidRPr="00BA08C7">
        <w:rPr>
          <w:rtl/>
        </w:rPr>
        <w:t>بوركينا فاسو</w:t>
      </w:r>
    </w:p>
    <w:p w:rsidR="001B036B" w:rsidRPr="00BA08C7" w:rsidRDefault="001B036B" w:rsidP="00897427">
      <w:pPr>
        <w:spacing w:after="0"/>
        <w:rPr>
          <w:rtl/>
        </w:rPr>
      </w:pPr>
      <w:r w:rsidRPr="00BA08C7">
        <w:rPr>
          <w:rtl/>
        </w:rPr>
        <w:t>بوروندي</w:t>
      </w:r>
    </w:p>
    <w:p w:rsidR="001B036B" w:rsidRDefault="001B036B" w:rsidP="00897427">
      <w:pPr>
        <w:spacing w:after="0"/>
        <w:rPr>
          <w:rtl/>
        </w:rPr>
      </w:pPr>
      <w:r>
        <w:rPr>
          <w:rFonts w:hint="cs"/>
          <w:rtl/>
        </w:rPr>
        <w:t>كابو فيردي</w:t>
      </w:r>
    </w:p>
    <w:p w:rsidR="001B036B" w:rsidRPr="00BA08C7" w:rsidRDefault="001B036B" w:rsidP="00897427">
      <w:pPr>
        <w:spacing w:after="0"/>
        <w:rPr>
          <w:rtl/>
        </w:rPr>
      </w:pPr>
      <w:r w:rsidRPr="00BA08C7">
        <w:rPr>
          <w:rtl/>
        </w:rPr>
        <w:t>كمبوديا</w:t>
      </w:r>
    </w:p>
    <w:p w:rsidR="001B036B" w:rsidRPr="00BA08C7" w:rsidRDefault="001B036B" w:rsidP="00897427">
      <w:pPr>
        <w:spacing w:after="0"/>
        <w:rPr>
          <w:rtl/>
        </w:rPr>
      </w:pPr>
      <w:r w:rsidRPr="00BA08C7">
        <w:rPr>
          <w:rtl/>
        </w:rPr>
        <w:t>الكاميرون</w:t>
      </w:r>
    </w:p>
    <w:p w:rsidR="001E3CF2" w:rsidRDefault="001E3CF2" w:rsidP="00897427">
      <w:pPr>
        <w:spacing w:after="0"/>
        <w:rPr>
          <w:rtl/>
        </w:rPr>
      </w:pPr>
      <w:r>
        <w:rPr>
          <w:rFonts w:hint="cs"/>
          <w:rtl/>
        </w:rPr>
        <w:lastRenderedPageBreak/>
        <w:t>كندا</w:t>
      </w:r>
    </w:p>
    <w:p w:rsidR="001B036B" w:rsidRPr="00BA08C7" w:rsidRDefault="001B036B" w:rsidP="00897427">
      <w:pPr>
        <w:spacing w:after="0"/>
        <w:rPr>
          <w:rtl/>
        </w:rPr>
      </w:pPr>
      <w:r w:rsidRPr="00BA08C7">
        <w:rPr>
          <w:rtl/>
        </w:rPr>
        <w:t>جمهورية أفريقيا الوسطى</w:t>
      </w:r>
    </w:p>
    <w:p w:rsidR="001B036B" w:rsidRDefault="001B036B" w:rsidP="00897427">
      <w:pPr>
        <w:spacing w:after="0"/>
        <w:rPr>
          <w:rtl/>
        </w:rPr>
      </w:pPr>
      <w:r>
        <w:rPr>
          <w:rFonts w:hint="cs"/>
          <w:rtl/>
        </w:rPr>
        <w:t>تشاد</w:t>
      </w:r>
    </w:p>
    <w:p w:rsidR="001B036B" w:rsidRDefault="001B036B" w:rsidP="00897427">
      <w:pPr>
        <w:spacing w:after="0"/>
        <w:rPr>
          <w:rtl/>
        </w:rPr>
      </w:pPr>
      <w:r>
        <w:rPr>
          <w:rFonts w:hint="cs"/>
          <w:rtl/>
        </w:rPr>
        <w:t>شيلي</w:t>
      </w:r>
    </w:p>
    <w:p w:rsidR="001B036B" w:rsidRPr="00BA08C7" w:rsidRDefault="001B036B" w:rsidP="00897427">
      <w:pPr>
        <w:spacing w:after="0"/>
        <w:rPr>
          <w:rtl/>
        </w:rPr>
      </w:pPr>
      <w:r w:rsidRPr="00BA08C7">
        <w:rPr>
          <w:rtl/>
        </w:rPr>
        <w:t>الصين</w:t>
      </w:r>
    </w:p>
    <w:p w:rsidR="001B036B" w:rsidRPr="00BA08C7" w:rsidRDefault="001B036B" w:rsidP="00897427">
      <w:pPr>
        <w:spacing w:after="0"/>
        <w:rPr>
          <w:rtl/>
        </w:rPr>
      </w:pPr>
      <w:r w:rsidRPr="00BA08C7">
        <w:rPr>
          <w:rtl/>
        </w:rPr>
        <w:t>كولومبيا</w:t>
      </w:r>
    </w:p>
    <w:p w:rsidR="001B036B" w:rsidRPr="00BA08C7" w:rsidRDefault="001B036B" w:rsidP="00897427">
      <w:pPr>
        <w:spacing w:after="0"/>
        <w:rPr>
          <w:rtl/>
        </w:rPr>
      </w:pPr>
      <w:r w:rsidRPr="00BA08C7">
        <w:rPr>
          <w:rtl/>
        </w:rPr>
        <w:t>جزر القمر</w:t>
      </w:r>
    </w:p>
    <w:p w:rsidR="001B036B" w:rsidRDefault="001B036B" w:rsidP="00897427">
      <w:pPr>
        <w:spacing w:after="0"/>
        <w:rPr>
          <w:rtl/>
        </w:rPr>
      </w:pPr>
      <w:r>
        <w:rPr>
          <w:rFonts w:hint="cs"/>
          <w:rtl/>
        </w:rPr>
        <w:t>الكونغو</w:t>
      </w:r>
    </w:p>
    <w:p w:rsidR="001E3CF2" w:rsidRDefault="001E3CF2" w:rsidP="00897427">
      <w:pPr>
        <w:spacing w:after="0"/>
        <w:rPr>
          <w:rtl/>
        </w:rPr>
      </w:pPr>
      <w:r>
        <w:rPr>
          <w:rFonts w:hint="cs"/>
          <w:rtl/>
        </w:rPr>
        <w:t>جزر كوك</w:t>
      </w:r>
    </w:p>
    <w:p w:rsidR="001B036B" w:rsidRPr="00BA08C7" w:rsidRDefault="001B036B" w:rsidP="00897427">
      <w:pPr>
        <w:spacing w:after="0"/>
        <w:rPr>
          <w:rtl/>
        </w:rPr>
      </w:pPr>
      <w:r w:rsidRPr="00BA08C7">
        <w:rPr>
          <w:rtl/>
        </w:rPr>
        <w:t>كوستاريكا</w:t>
      </w:r>
    </w:p>
    <w:p w:rsidR="001B036B" w:rsidRPr="00BA08C7" w:rsidRDefault="001B036B" w:rsidP="00897427">
      <w:pPr>
        <w:spacing w:after="0"/>
        <w:rPr>
          <w:rtl/>
        </w:rPr>
      </w:pPr>
      <w:r w:rsidRPr="00BA08C7">
        <w:rPr>
          <w:rtl/>
        </w:rPr>
        <w:t>كرواتيا</w:t>
      </w:r>
    </w:p>
    <w:p w:rsidR="001B036B" w:rsidRPr="00BA08C7" w:rsidRDefault="001B036B" w:rsidP="00897427">
      <w:pPr>
        <w:spacing w:after="0"/>
        <w:rPr>
          <w:rtl/>
        </w:rPr>
      </w:pPr>
      <w:r w:rsidRPr="00BA08C7">
        <w:rPr>
          <w:rtl/>
        </w:rPr>
        <w:t>كوبا</w:t>
      </w:r>
    </w:p>
    <w:p w:rsidR="001E3CF2" w:rsidRDefault="001E3CF2" w:rsidP="00897427">
      <w:pPr>
        <w:spacing w:after="0"/>
        <w:rPr>
          <w:rtl/>
        </w:rPr>
      </w:pPr>
      <w:r>
        <w:rPr>
          <w:rFonts w:hint="cs"/>
          <w:rtl/>
        </w:rPr>
        <w:t>قبرص</w:t>
      </w:r>
    </w:p>
    <w:p w:rsidR="001B036B" w:rsidRDefault="001B036B" w:rsidP="00897427">
      <w:pPr>
        <w:spacing w:after="0"/>
        <w:rPr>
          <w:rtl/>
        </w:rPr>
      </w:pPr>
      <w:r>
        <w:rPr>
          <w:rFonts w:hint="cs"/>
          <w:rtl/>
        </w:rPr>
        <w:t>الجمهورية التشيكية</w:t>
      </w:r>
    </w:p>
    <w:p w:rsidR="001E3CF2" w:rsidRDefault="001E3CF2" w:rsidP="00897427">
      <w:pPr>
        <w:spacing w:after="0"/>
        <w:rPr>
          <w:rtl/>
        </w:rPr>
      </w:pPr>
      <w:r>
        <w:rPr>
          <w:rFonts w:hint="cs"/>
          <w:rtl/>
        </w:rPr>
        <w:t>كوت ديفوار</w:t>
      </w:r>
    </w:p>
    <w:p w:rsidR="002B2013" w:rsidRDefault="002B2013" w:rsidP="00897427">
      <w:pPr>
        <w:spacing w:after="0"/>
        <w:rPr>
          <w:rtl/>
        </w:rPr>
      </w:pPr>
      <w:r>
        <w:rPr>
          <w:rFonts w:hint="cs"/>
          <w:rtl/>
        </w:rPr>
        <w:t>جمهورية كوريا الشعبية الديمقراطية</w:t>
      </w:r>
    </w:p>
    <w:p w:rsidR="001B036B" w:rsidRPr="00BA08C7" w:rsidRDefault="001B036B" w:rsidP="00897427">
      <w:pPr>
        <w:spacing w:after="0"/>
        <w:rPr>
          <w:rtl/>
        </w:rPr>
      </w:pPr>
      <w:r w:rsidRPr="00BA08C7">
        <w:rPr>
          <w:rtl/>
        </w:rPr>
        <w:t>جمهورية الكونغو الديمقراطية</w:t>
      </w:r>
    </w:p>
    <w:p w:rsidR="001B036B" w:rsidRDefault="001B036B" w:rsidP="00897427">
      <w:pPr>
        <w:spacing w:after="0"/>
        <w:rPr>
          <w:rtl/>
        </w:rPr>
      </w:pPr>
      <w:r>
        <w:rPr>
          <w:rFonts w:hint="cs"/>
          <w:rtl/>
        </w:rPr>
        <w:t>الدانمرك</w:t>
      </w:r>
    </w:p>
    <w:p w:rsidR="001B036B" w:rsidRPr="00BA08C7" w:rsidRDefault="001B036B" w:rsidP="00897427">
      <w:pPr>
        <w:spacing w:after="0"/>
        <w:rPr>
          <w:rtl/>
        </w:rPr>
      </w:pPr>
      <w:r w:rsidRPr="00BA08C7">
        <w:rPr>
          <w:rtl/>
        </w:rPr>
        <w:t>جيبوتي</w:t>
      </w:r>
    </w:p>
    <w:p w:rsidR="001B036B" w:rsidRPr="00BA08C7" w:rsidRDefault="001B036B" w:rsidP="00897427">
      <w:pPr>
        <w:spacing w:after="0"/>
        <w:rPr>
          <w:rtl/>
        </w:rPr>
      </w:pPr>
      <w:r w:rsidRPr="00BA08C7">
        <w:rPr>
          <w:rtl/>
        </w:rPr>
        <w:t>الجمهورية الدومينيكية</w:t>
      </w:r>
    </w:p>
    <w:p w:rsidR="001B036B" w:rsidRPr="00BA08C7" w:rsidRDefault="001B036B" w:rsidP="00897427">
      <w:pPr>
        <w:spacing w:after="0"/>
        <w:rPr>
          <w:rtl/>
        </w:rPr>
      </w:pPr>
      <w:r w:rsidRPr="00BA08C7">
        <w:rPr>
          <w:rtl/>
        </w:rPr>
        <w:t>إكوادور</w:t>
      </w:r>
    </w:p>
    <w:p w:rsidR="001B036B" w:rsidRPr="00BA08C7" w:rsidRDefault="001B036B" w:rsidP="00897427">
      <w:pPr>
        <w:spacing w:after="0"/>
        <w:rPr>
          <w:rtl/>
        </w:rPr>
      </w:pPr>
      <w:r w:rsidRPr="00BA08C7">
        <w:rPr>
          <w:rtl/>
        </w:rPr>
        <w:t>مصر</w:t>
      </w:r>
    </w:p>
    <w:p w:rsidR="001B036B" w:rsidRPr="00BA08C7" w:rsidRDefault="001B036B" w:rsidP="00897427">
      <w:pPr>
        <w:spacing w:after="0"/>
        <w:rPr>
          <w:rtl/>
        </w:rPr>
      </w:pPr>
      <w:r w:rsidRPr="00BA08C7">
        <w:rPr>
          <w:rtl/>
        </w:rPr>
        <w:t>السلفادور</w:t>
      </w:r>
    </w:p>
    <w:p w:rsidR="002B2013" w:rsidRDefault="002B2013" w:rsidP="00897427">
      <w:pPr>
        <w:spacing w:after="0"/>
        <w:rPr>
          <w:rtl/>
        </w:rPr>
      </w:pPr>
      <w:r>
        <w:rPr>
          <w:rFonts w:hint="cs"/>
          <w:rtl/>
        </w:rPr>
        <w:t>غينيا الإستوائية</w:t>
      </w:r>
    </w:p>
    <w:p w:rsidR="004E3E1F" w:rsidRDefault="004E3E1F" w:rsidP="00897427">
      <w:pPr>
        <w:spacing w:after="0"/>
        <w:rPr>
          <w:rtl/>
        </w:rPr>
      </w:pPr>
      <w:r>
        <w:rPr>
          <w:rFonts w:hint="cs"/>
          <w:rtl/>
        </w:rPr>
        <w:t>إريتريا</w:t>
      </w:r>
    </w:p>
    <w:p w:rsidR="001B036B" w:rsidRPr="00BA08C7" w:rsidRDefault="00B70157" w:rsidP="00897427">
      <w:pPr>
        <w:spacing w:after="0"/>
        <w:rPr>
          <w:rtl/>
        </w:rPr>
      </w:pPr>
      <w:r>
        <w:rPr>
          <w:rFonts w:hint="cs"/>
          <w:rtl/>
        </w:rPr>
        <w:t>إس</w:t>
      </w:r>
      <w:r w:rsidR="001B036B" w:rsidRPr="00BA08C7">
        <w:rPr>
          <w:rFonts w:hint="cs"/>
          <w:rtl/>
        </w:rPr>
        <w:t>و</w:t>
      </w:r>
      <w:r>
        <w:rPr>
          <w:rFonts w:hint="cs"/>
          <w:rtl/>
        </w:rPr>
        <w:t>اتي</w:t>
      </w:r>
      <w:r w:rsidR="00CF0B26">
        <w:rPr>
          <w:rFonts w:hint="cs"/>
          <w:rtl/>
        </w:rPr>
        <w:t>ني</w:t>
      </w:r>
    </w:p>
    <w:p w:rsidR="004E3E1F" w:rsidRDefault="004E3E1F" w:rsidP="00897427">
      <w:pPr>
        <w:spacing w:after="0"/>
        <w:rPr>
          <w:rtl/>
        </w:rPr>
      </w:pPr>
      <w:r>
        <w:rPr>
          <w:rFonts w:hint="cs"/>
          <w:rtl/>
        </w:rPr>
        <w:t>إستواتيني</w:t>
      </w:r>
    </w:p>
    <w:p w:rsidR="001B036B" w:rsidRDefault="001B036B" w:rsidP="00897427">
      <w:pPr>
        <w:spacing w:after="0"/>
        <w:rPr>
          <w:rtl/>
        </w:rPr>
      </w:pPr>
      <w:r>
        <w:rPr>
          <w:rFonts w:hint="cs"/>
          <w:rtl/>
        </w:rPr>
        <w:lastRenderedPageBreak/>
        <w:t>إثيوبيا</w:t>
      </w:r>
    </w:p>
    <w:p w:rsidR="001B036B" w:rsidRPr="00BA08C7" w:rsidRDefault="001B036B" w:rsidP="00897427">
      <w:pPr>
        <w:spacing w:after="0"/>
        <w:rPr>
          <w:rtl/>
        </w:rPr>
      </w:pPr>
      <w:r w:rsidRPr="00BA08C7">
        <w:rPr>
          <w:rtl/>
        </w:rPr>
        <w:t>الاتحاد الأوروبي</w:t>
      </w:r>
    </w:p>
    <w:p w:rsidR="001B036B" w:rsidRPr="00BA08C7" w:rsidRDefault="001B036B" w:rsidP="00897427">
      <w:pPr>
        <w:spacing w:after="0"/>
        <w:rPr>
          <w:rtl/>
        </w:rPr>
      </w:pPr>
      <w:r w:rsidRPr="00BA08C7">
        <w:rPr>
          <w:rtl/>
        </w:rPr>
        <w:t>فيجي</w:t>
      </w:r>
    </w:p>
    <w:p w:rsidR="001B036B" w:rsidRPr="00BA08C7" w:rsidRDefault="001B036B" w:rsidP="00897427">
      <w:pPr>
        <w:spacing w:after="0"/>
        <w:rPr>
          <w:rtl/>
        </w:rPr>
      </w:pPr>
      <w:r w:rsidRPr="00BA08C7">
        <w:rPr>
          <w:rtl/>
        </w:rPr>
        <w:t>فنلندا</w:t>
      </w:r>
    </w:p>
    <w:p w:rsidR="001B036B" w:rsidRPr="00BA08C7" w:rsidRDefault="001B036B" w:rsidP="00897427">
      <w:pPr>
        <w:spacing w:after="0"/>
        <w:rPr>
          <w:rtl/>
        </w:rPr>
      </w:pPr>
      <w:r w:rsidRPr="00BA08C7">
        <w:rPr>
          <w:rtl/>
        </w:rPr>
        <w:t>فرنسا</w:t>
      </w:r>
    </w:p>
    <w:p w:rsidR="001B036B" w:rsidRDefault="001B036B" w:rsidP="00897427">
      <w:pPr>
        <w:spacing w:after="0"/>
        <w:rPr>
          <w:rtl/>
        </w:rPr>
      </w:pPr>
      <w:r>
        <w:rPr>
          <w:rFonts w:hint="cs"/>
          <w:rtl/>
        </w:rPr>
        <w:t>غابون</w:t>
      </w:r>
    </w:p>
    <w:p w:rsidR="001B036B" w:rsidRPr="00BA08C7" w:rsidRDefault="001B036B" w:rsidP="00897427">
      <w:pPr>
        <w:spacing w:after="0"/>
        <w:rPr>
          <w:rtl/>
        </w:rPr>
      </w:pPr>
      <w:r w:rsidRPr="00BA08C7">
        <w:rPr>
          <w:rtl/>
        </w:rPr>
        <w:t>غامبيا</w:t>
      </w:r>
    </w:p>
    <w:p w:rsidR="001B036B" w:rsidRPr="00BA08C7" w:rsidRDefault="001B036B" w:rsidP="00897427">
      <w:pPr>
        <w:spacing w:after="0"/>
        <w:rPr>
          <w:rtl/>
        </w:rPr>
      </w:pPr>
      <w:r w:rsidRPr="00BA08C7">
        <w:rPr>
          <w:rtl/>
        </w:rPr>
        <w:t>جورجيا</w:t>
      </w:r>
    </w:p>
    <w:p w:rsidR="001B036B" w:rsidRPr="00BA08C7" w:rsidRDefault="001B036B" w:rsidP="00897427">
      <w:pPr>
        <w:spacing w:after="0"/>
        <w:rPr>
          <w:rtl/>
        </w:rPr>
      </w:pPr>
      <w:r w:rsidRPr="00BA08C7">
        <w:rPr>
          <w:rtl/>
        </w:rPr>
        <w:t>ألمانيا</w:t>
      </w:r>
    </w:p>
    <w:p w:rsidR="001B036B" w:rsidRPr="00BA08C7" w:rsidRDefault="001B036B" w:rsidP="00897427">
      <w:pPr>
        <w:spacing w:after="0"/>
        <w:rPr>
          <w:rtl/>
        </w:rPr>
      </w:pPr>
      <w:r w:rsidRPr="00BA08C7">
        <w:rPr>
          <w:rtl/>
        </w:rPr>
        <w:t>غانا</w:t>
      </w:r>
    </w:p>
    <w:p w:rsidR="001B036B" w:rsidRDefault="001B036B" w:rsidP="00897427">
      <w:pPr>
        <w:spacing w:after="0"/>
        <w:rPr>
          <w:rtl/>
        </w:rPr>
      </w:pPr>
      <w:r>
        <w:rPr>
          <w:rFonts w:hint="cs"/>
          <w:rtl/>
        </w:rPr>
        <w:t>اليونان</w:t>
      </w:r>
    </w:p>
    <w:p w:rsidR="001B036B" w:rsidRPr="00BA08C7" w:rsidRDefault="001B036B" w:rsidP="00897427">
      <w:pPr>
        <w:spacing w:after="0"/>
        <w:rPr>
          <w:rtl/>
        </w:rPr>
      </w:pPr>
      <w:r w:rsidRPr="00BA08C7">
        <w:rPr>
          <w:rtl/>
        </w:rPr>
        <w:t>غرينادا</w:t>
      </w:r>
    </w:p>
    <w:p w:rsidR="001B036B" w:rsidRPr="00BA08C7" w:rsidRDefault="001B036B" w:rsidP="00897427">
      <w:pPr>
        <w:spacing w:after="0"/>
        <w:rPr>
          <w:rtl/>
        </w:rPr>
      </w:pPr>
      <w:r w:rsidRPr="00BA08C7">
        <w:rPr>
          <w:rtl/>
        </w:rPr>
        <w:t>غواتيمالا</w:t>
      </w:r>
    </w:p>
    <w:p w:rsidR="001B036B" w:rsidRPr="00BA08C7" w:rsidRDefault="001B036B" w:rsidP="00897427">
      <w:pPr>
        <w:spacing w:after="0"/>
        <w:rPr>
          <w:rtl/>
        </w:rPr>
      </w:pPr>
      <w:r w:rsidRPr="00BA08C7">
        <w:rPr>
          <w:rtl/>
        </w:rPr>
        <w:t>غينيا</w:t>
      </w:r>
    </w:p>
    <w:p w:rsidR="001B036B" w:rsidRPr="00BA08C7" w:rsidRDefault="001B036B" w:rsidP="00897427">
      <w:pPr>
        <w:spacing w:after="0"/>
        <w:rPr>
          <w:rtl/>
        </w:rPr>
      </w:pPr>
      <w:r w:rsidRPr="00BA08C7">
        <w:rPr>
          <w:rtl/>
        </w:rPr>
        <w:t>غينيا-</w:t>
      </w:r>
      <w:r>
        <w:rPr>
          <w:rFonts w:hint="cs"/>
          <w:rtl/>
        </w:rPr>
        <w:t xml:space="preserve"> </w:t>
      </w:r>
      <w:r w:rsidRPr="00BA08C7">
        <w:rPr>
          <w:rtl/>
        </w:rPr>
        <w:t>بيساو</w:t>
      </w:r>
    </w:p>
    <w:p w:rsidR="001B036B" w:rsidRPr="00BA08C7" w:rsidRDefault="001B036B" w:rsidP="00897427">
      <w:pPr>
        <w:spacing w:after="0"/>
        <w:rPr>
          <w:rtl/>
        </w:rPr>
      </w:pPr>
      <w:r w:rsidRPr="00BA08C7">
        <w:rPr>
          <w:rtl/>
        </w:rPr>
        <w:t>غيانا</w:t>
      </w:r>
    </w:p>
    <w:p w:rsidR="001B036B" w:rsidRDefault="001B036B" w:rsidP="00897427">
      <w:pPr>
        <w:spacing w:after="0"/>
        <w:rPr>
          <w:rtl/>
        </w:rPr>
      </w:pPr>
      <w:r>
        <w:rPr>
          <w:rFonts w:hint="cs"/>
          <w:rtl/>
        </w:rPr>
        <w:t>هايتي</w:t>
      </w:r>
    </w:p>
    <w:p w:rsidR="001B036B" w:rsidRPr="00BA08C7" w:rsidRDefault="001B036B" w:rsidP="00897427">
      <w:pPr>
        <w:spacing w:after="0"/>
        <w:rPr>
          <w:rtl/>
        </w:rPr>
      </w:pPr>
      <w:r w:rsidRPr="00BA08C7">
        <w:rPr>
          <w:rtl/>
        </w:rPr>
        <w:t>هندوراس</w:t>
      </w:r>
    </w:p>
    <w:p w:rsidR="001B036B" w:rsidRPr="00BA08C7" w:rsidRDefault="001B036B" w:rsidP="00897427">
      <w:pPr>
        <w:spacing w:after="0"/>
        <w:rPr>
          <w:rtl/>
        </w:rPr>
      </w:pPr>
      <w:r w:rsidRPr="00BA08C7">
        <w:rPr>
          <w:rtl/>
        </w:rPr>
        <w:t>هنغاريا</w:t>
      </w:r>
    </w:p>
    <w:p w:rsidR="001B036B" w:rsidRDefault="001B036B" w:rsidP="00897427">
      <w:pPr>
        <w:spacing w:after="0"/>
        <w:rPr>
          <w:rtl/>
        </w:rPr>
      </w:pPr>
      <w:r>
        <w:rPr>
          <w:rFonts w:hint="cs"/>
          <w:rtl/>
        </w:rPr>
        <w:t>أيسلندا</w:t>
      </w:r>
    </w:p>
    <w:p w:rsidR="001B036B" w:rsidRPr="00BA08C7" w:rsidRDefault="001B036B" w:rsidP="00897427">
      <w:pPr>
        <w:spacing w:after="0"/>
        <w:rPr>
          <w:rtl/>
        </w:rPr>
      </w:pPr>
      <w:r w:rsidRPr="00BA08C7">
        <w:rPr>
          <w:rtl/>
        </w:rPr>
        <w:t>الهند</w:t>
      </w:r>
    </w:p>
    <w:p w:rsidR="001B036B" w:rsidRPr="00BA08C7" w:rsidRDefault="001B036B" w:rsidP="00897427">
      <w:pPr>
        <w:spacing w:after="0"/>
        <w:rPr>
          <w:rtl/>
        </w:rPr>
      </w:pPr>
      <w:r w:rsidRPr="00BA08C7">
        <w:rPr>
          <w:rFonts w:hint="cs"/>
          <w:rtl/>
        </w:rPr>
        <w:t>إ</w:t>
      </w:r>
      <w:r w:rsidRPr="00BA08C7">
        <w:rPr>
          <w:rtl/>
        </w:rPr>
        <w:t>ندونيسيا</w:t>
      </w:r>
    </w:p>
    <w:p w:rsidR="001B036B" w:rsidRPr="00BA08C7" w:rsidRDefault="001B036B" w:rsidP="00897427">
      <w:pPr>
        <w:spacing w:after="0"/>
        <w:rPr>
          <w:rtl/>
        </w:rPr>
      </w:pPr>
      <w:r w:rsidRPr="00BA08C7">
        <w:rPr>
          <w:rtl/>
        </w:rPr>
        <w:t xml:space="preserve">إيران (جمهورية </w:t>
      </w:r>
      <w:r w:rsidRPr="00BA08C7">
        <w:rPr>
          <w:rFonts w:hint="cs"/>
          <w:rtl/>
        </w:rPr>
        <w:t xml:space="preserve">- </w:t>
      </w:r>
      <w:r w:rsidRPr="00BA08C7">
        <w:rPr>
          <w:rtl/>
        </w:rPr>
        <w:t>الإسلامية)</w:t>
      </w:r>
    </w:p>
    <w:p w:rsidR="001B036B" w:rsidRPr="00BA08C7" w:rsidRDefault="001B036B" w:rsidP="00897427">
      <w:pPr>
        <w:spacing w:after="0"/>
        <w:rPr>
          <w:rtl/>
        </w:rPr>
      </w:pPr>
      <w:r w:rsidRPr="00BA08C7">
        <w:rPr>
          <w:rtl/>
        </w:rPr>
        <w:t>العراق</w:t>
      </w:r>
    </w:p>
    <w:p w:rsidR="001B036B" w:rsidRPr="00BA08C7" w:rsidRDefault="001B036B" w:rsidP="00897427">
      <w:pPr>
        <w:spacing w:after="0"/>
        <w:rPr>
          <w:rtl/>
        </w:rPr>
      </w:pPr>
      <w:r w:rsidRPr="00BA08C7">
        <w:rPr>
          <w:rtl/>
        </w:rPr>
        <w:t>أيرلندا</w:t>
      </w:r>
    </w:p>
    <w:p w:rsidR="004E3E1F" w:rsidRDefault="004E3E1F" w:rsidP="00897427">
      <w:pPr>
        <w:spacing w:after="0"/>
        <w:rPr>
          <w:rtl/>
        </w:rPr>
      </w:pPr>
      <w:r>
        <w:rPr>
          <w:rFonts w:hint="cs"/>
          <w:rtl/>
        </w:rPr>
        <w:t>إسرائيل</w:t>
      </w:r>
    </w:p>
    <w:p w:rsidR="001B036B" w:rsidRPr="00BA08C7" w:rsidRDefault="001B036B" w:rsidP="00897427">
      <w:pPr>
        <w:spacing w:after="0"/>
        <w:rPr>
          <w:rtl/>
        </w:rPr>
      </w:pPr>
      <w:r w:rsidRPr="00BA08C7">
        <w:rPr>
          <w:rtl/>
        </w:rPr>
        <w:t>إيطاليا</w:t>
      </w:r>
    </w:p>
    <w:p w:rsidR="001B036B" w:rsidRDefault="001B036B" w:rsidP="00897427">
      <w:pPr>
        <w:spacing w:after="0"/>
        <w:rPr>
          <w:rtl/>
        </w:rPr>
      </w:pPr>
      <w:r>
        <w:rPr>
          <w:rFonts w:hint="cs"/>
          <w:rtl/>
        </w:rPr>
        <w:lastRenderedPageBreak/>
        <w:t>جامايكا</w:t>
      </w:r>
    </w:p>
    <w:p w:rsidR="001B036B" w:rsidRPr="00BA08C7" w:rsidRDefault="001B036B" w:rsidP="00897427">
      <w:pPr>
        <w:spacing w:after="0"/>
        <w:rPr>
          <w:rtl/>
        </w:rPr>
      </w:pPr>
      <w:r w:rsidRPr="00BA08C7">
        <w:rPr>
          <w:rtl/>
        </w:rPr>
        <w:t>اليابان</w:t>
      </w:r>
    </w:p>
    <w:p w:rsidR="001B036B" w:rsidRPr="00BA08C7" w:rsidRDefault="001B036B" w:rsidP="00897427">
      <w:pPr>
        <w:spacing w:after="0"/>
        <w:rPr>
          <w:rtl/>
        </w:rPr>
      </w:pPr>
      <w:r w:rsidRPr="00BA08C7">
        <w:rPr>
          <w:rtl/>
        </w:rPr>
        <w:t>الأردن</w:t>
      </w:r>
    </w:p>
    <w:p w:rsidR="001B036B" w:rsidRPr="00BA08C7" w:rsidRDefault="001B036B" w:rsidP="00897427">
      <w:pPr>
        <w:spacing w:after="0"/>
        <w:rPr>
          <w:rtl/>
        </w:rPr>
      </w:pPr>
      <w:r w:rsidRPr="00BA08C7">
        <w:rPr>
          <w:rtl/>
        </w:rPr>
        <w:t>كينيا</w:t>
      </w:r>
    </w:p>
    <w:p w:rsidR="001B036B" w:rsidRPr="00BA08C7" w:rsidRDefault="001B036B" w:rsidP="00897427">
      <w:pPr>
        <w:spacing w:after="0"/>
        <w:rPr>
          <w:rtl/>
        </w:rPr>
      </w:pPr>
      <w:r w:rsidRPr="00BA08C7">
        <w:rPr>
          <w:rFonts w:hint="cs"/>
          <w:rtl/>
        </w:rPr>
        <w:t>كيريباتي</w:t>
      </w:r>
    </w:p>
    <w:p w:rsidR="001B036B" w:rsidRDefault="001B036B" w:rsidP="00897427">
      <w:pPr>
        <w:spacing w:after="0"/>
        <w:rPr>
          <w:rtl/>
        </w:rPr>
      </w:pPr>
      <w:r>
        <w:rPr>
          <w:rFonts w:hint="cs"/>
          <w:rtl/>
        </w:rPr>
        <w:t>الكويت</w:t>
      </w:r>
    </w:p>
    <w:p w:rsidR="001B036B" w:rsidRDefault="001B036B" w:rsidP="00897427">
      <w:pPr>
        <w:spacing w:after="0"/>
        <w:rPr>
          <w:rtl/>
        </w:rPr>
      </w:pPr>
      <w:r>
        <w:rPr>
          <w:rFonts w:hint="cs"/>
          <w:rtl/>
        </w:rPr>
        <w:t>قيرغيرستان</w:t>
      </w:r>
    </w:p>
    <w:p w:rsidR="001B036B" w:rsidRDefault="001B036B" w:rsidP="00897427">
      <w:pPr>
        <w:spacing w:after="0"/>
        <w:rPr>
          <w:rtl/>
        </w:rPr>
      </w:pPr>
      <w:r>
        <w:rPr>
          <w:rFonts w:hint="cs"/>
          <w:rtl/>
        </w:rPr>
        <w:t>جمهورية لاو الشعبية الديمقراطية</w:t>
      </w:r>
    </w:p>
    <w:p w:rsidR="001B036B" w:rsidRPr="00BA08C7" w:rsidRDefault="001B036B" w:rsidP="00897427">
      <w:pPr>
        <w:spacing w:after="0"/>
        <w:rPr>
          <w:rtl/>
        </w:rPr>
      </w:pPr>
      <w:r>
        <w:rPr>
          <w:rFonts w:hint="cs"/>
          <w:rtl/>
        </w:rPr>
        <w:t>ل</w:t>
      </w:r>
      <w:r w:rsidRPr="00BA08C7">
        <w:rPr>
          <w:rtl/>
        </w:rPr>
        <w:t>اتفيا</w:t>
      </w:r>
    </w:p>
    <w:p w:rsidR="004E3E1F" w:rsidRDefault="004E3E1F" w:rsidP="00897427">
      <w:pPr>
        <w:spacing w:after="0"/>
        <w:rPr>
          <w:rtl/>
        </w:rPr>
      </w:pPr>
      <w:r>
        <w:rPr>
          <w:rFonts w:hint="cs"/>
          <w:rtl/>
        </w:rPr>
        <w:t>لبنان</w:t>
      </w:r>
    </w:p>
    <w:p w:rsidR="001B036B" w:rsidRDefault="001B036B" w:rsidP="00897427">
      <w:pPr>
        <w:spacing w:after="0"/>
        <w:rPr>
          <w:rtl/>
        </w:rPr>
      </w:pPr>
      <w:r>
        <w:rPr>
          <w:rFonts w:hint="cs"/>
          <w:rtl/>
        </w:rPr>
        <w:t>ليسوتو</w:t>
      </w:r>
    </w:p>
    <w:p w:rsidR="001B036B" w:rsidRPr="00BA08C7" w:rsidRDefault="001B036B" w:rsidP="00897427">
      <w:pPr>
        <w:spacing w:after="0"/>
        <w:rPr>
          <w:rtl/>
        </w:rPr>
      </w:pPr>
      <w:r w:rsidRPr="00BA08C7">
        <w:rPr>
          <w:rtl/>
        </w:rPr>
        <w:t>ليبيريا</w:t>
      </w:r>
    </w:p>
    <w:p w:rsidR="004E3E1F" w:rsidRDefault="004E3E1F" w:rsidP="00897427">
      <w:pPr>
        <w:spacing w:after="0"/>
        <w:rPr>
          <w:rtl/>
        </w:rPr>
      </w:pPr>
      <w:r>
        <w:rPr>
          <w:rFonts w:hint="cs"/>
          <w:rtl/>
        </w:rPr>
        <w:t>ليبيا</w:t>
      </w:r>
    </w:p>
    <w:p w:rsidR="001B036B" w:rsidRDefault="001B036B" w:rsidP="00897427">
      <w:pPr>
        <w:spacing w:after="0"/>
        <w:rPr>
          <w:rtl/>
        </w:rPr>
      </w:pPr>
      <w:r w:rsidRPr="00720DE5">
        <w:rPr>
          <w:rtl/>
        </w:rPr>
        <w:t>ليختنشتاين</w:t>
      </w:r>
    </w:p>
    <w:p w:rsidR="001B036B" w:rsidRDefault="001B036B" w:rsidP="00897427">
      <w:pPr>
        <w:spacing w:after="0"/>
        <w:rPr>
          <w:rtl/>
        </w:rPr>
      </w:pPr>
      <w:r>
        <w:rPr>
          <w:rFonts w:hint="cs"/>
          <w:rtl/>
        </w:rPr>
        <w:t>ليتوانيا</w:t>
      </w:r>
    </w:p>
    <w:p w:rsidR="001B036B" w:rsidRDefault="001B036B" w:rsidP="00897427">
      <w:pPr>
        <w:spacing w:after="0"/>
        <w:rPr>
          <w:rtl/>
        </w:rPr>
      </w:pPr>
      <w:r>
        <w:rPr>
          <w:rFonts w:hint="cs"/>
          <w:rtl/>
        </w:rPr>
        <w:t>لكسمبرغ</w:t>
      </w:r>
    </w:p>
    <w:p w:rsidR="001B036B" w:rsidRPr="00BA08C7" w:rsidRDefault="001B036B" w:rsidP="00897427">
      <w:pPr>
        <w:spacing w:after="0"/>
        <w:rPr>
          <w:rtl/>
        </w:rPr>
      </w:pPr>
      <w:r w:rsidRPr="00BA08C7">
        <w:rPr>
          <w:rtl/>
        </w:rPr>
        <w:t>مدغشقر</w:t>
      </w:r>
    </w:p>
    <w:p w:rsidR="001B036B" w:rsidRPr="00BA08C7" w:rsidRDefault="001B036B" w:rsidP="00897427">
      <w:pPr>
        <w:spacing w:after="0"/>
        <w:rPr>
          <w:rtl/>
        </w:rPr>
      </w:pPr>
      <w:r w:rsidRPr="00BA08C7">
        <w:rPr>
          <w:rtl/>
        </w:rPr>
        <w:t>ملاوي</w:t>
      </w:r>
    </w:p>
    <w:p w:rsidR="001B036B" w:rsidRPr="00BA08C7" w:rsidRDefault="001B036B" w:rsidP="00897427">
      <w:pPr>
        <w:spacing w:after="0"/>
        <w:rPr>
          <w:rtl/>
        </w:rPr>
      </w:pPr>
      <w:r w:rsidRPr="00BA08C7">
        <w:rPr>
          <w:rtl/>
        </w:rPr>
        <w:t>ماليزيا</w:t>
      </w:r>
    </w:p>
    <w:p w:rsidR="001B036B" w:rsidRPr="00BA08C7" w:rsidRDefault="001B036B" w:rsidP="00897427">
      <w:pPr>
        <w:spacing w:after="0"/>
        <w:rPr>
          <w:rtl/>
        </w:rPr>
      </w:pPr>
      <w:r w:rsidRPr="00BA08C7">
        <w:rPr>
          <w:rtl/>
        </w:rPr>
        <w:t>ملديف</w:t>
      </w:r>
    </w:p>
    <w:p w:rsidR="001B036B" w:rsidRPr="00BA08C7" w:rsidRDefault="001B036B" w:rsidP="00897427">
      <w:pPr>
        <w:spacing w:after="0"/>
        <w:rPr>
          <w:rtl/>
        </w:rPr>
      </w:pPr>
      <w:r w:rsidRPr="00BA08C7">
        <w:rPr>
          <w:rtl/>
        </w:rPr>
        <w:t>مالي</w:t>
      </w:r>
    </w:p>
    <w:p w:rsidR="001B036B" w:rsidRDefault="001B036B" w:rsidP="00897427">
      <w:pPr>
        <w:spacing w:after="0"/>
        <w:rPr>
          <w:rtl/>
        </w:rPr>
      </w:pPr>
      <w:r>
        <w:rPr>
          <w:rFonts w:hint="cs"/>
          <w:rtl/>
        </w:rPr>
        <w:t>مالطة</w:t>
      </w:r>
    </w:p>
    <w:p w:rsidR="001B036B" w:rsidRDefault="001B036B" w:rsidP="00897427">
      <w:pPr>
        <w:spacing w:after="0"/>
        <w:rPr>
          <w:rtl/>
        </w:rPr>
      </w:pPr>
      <w:r>
        <w:rPr>
          <w:rFonts w:hint="cs"/>
          <w:rtl/>
        </w:rPr>
        <w:t>جزر مارشال</w:t>
      </w:r>
    </w:p>
    <w:p w:rsidR="001B036B" w:rsidRPr="00BA08C7" w:rsidRDefault="001B036B" w:rsidP="00897427">
      <w:pPr>
        <w:spacing w:after="0"/>
        <w:rPr>
          <w:rtl/>
        </w:rPr>
      </w:pPr>
      <w:r w:rsidRPr="00BA08C7">
        <w:rPr>
          <w:rtl/>
        </w:rPr>
        <w:t>موريتانيا</w:t>
      </w:r>
    </w:p>
    <w:p w:rsidR="001B036B" w:rsidRDefault="001B036B" w:rsidP="00897427">
      <w:pPr>
        <w:spacing w:after="0"/>
        <w:rPr>
          <w:rtl/>
        </w:rPr>
      </w:pPr>
      <w:r>
        <w:rPr>
          <w:rFonts w:hint="cs"/>
          <w:rtl/>
        </w:rPr>
        <w:t>موريشيوس</w:t>
      </w:r>
    </w:p>
    <w:p w:rsidR="001B036B" w:rsidRPr="00BA08C7" w:rsidRDefault="001B036B" w:rsidP="00897427">
      <w:pPr>
        <w:spacing w:after="0"/>
        <w:rPr>
          <w:rtl/>
        </w:rPr>
      </w:pPr>
      <w:r w:rsidRPr="00BA08C7">
        <w:rPr>
          <w:rtl/>
        </w:rPr>
        <w:t>المكسيك</w:t>
      </w:r>
    </w:p>
    <w:p w:rsidR="001B036B" w:rsidRDefault="001B036B" w:rsidP="00897427">
      <w:pPr>
        <w:spacing w:after="0"/>
        <w:rPr>
          <w:rtl/>
        </w:rPr>
      </w:pPr>
      <w:r>
        <w:rPr>
          <w:rFonts w:hint="cs"/>
          <w:rtl/>
        </w:rPr>
        <w:t>ميكرونيزيا (ولايات _ الموحدة)</w:t>
      </w:r>
    </w:p>
    <w:p w:rsidR="001B036B" w:rsidRDefault="001B036B" w:rsidP="00897427">
      <w:pPr>
        <w:spacing w:after="0"/>
        <w:rPr>
          <w:rtl/>
        </w:rPr>
      </w:pPr>
      <w:r>
        <w:rPr>
          <w:rFonts w:hint="cs"/>
          <w:rtl/>
        </w:rPr>
        <w:t>موناكو</w:t>
      </w:r>
    </w:p>
    <w:p w:rsidR="001B036B" w:rsidRPr="00BA08C7" w:rsidRDefault="001B036B" w:rsidP="00897427">
      <w:pPr>
        <w:spacing w:after="0"/>
        <w:rPr>
          <w:rtl/>
        </w:rPr>
      </w:pPr>
      <w:r w:rsidRPr="00BA08C7">
        <w:rPr>
          <w:rtl/>
        </w:rPr>
        <w:t>منغوليا</w:t>
      </w:r>
    </w:p>
    <w:p w:rsidR="001B036B" w:rsidRDefault="001B036B" w:rsidP="00897427">
      <w:pPr>
        <w:spacing w:after="0"/>
        <w:rPr>
          <w:rtl/>
        </w:rPr>
      </w:pPr>
      <w:r>
        <w:rPr>
          <w:rFonts w:hint="cs"/>
          <w:rtl/>
        </w:rPr>
        <w:t>المغرب</w:t>
      </w:r>
    </w:p>
    <w:p w:rsidR="001B036B" w:rsidRPr="00BA08C7" w:rsidRDefault="001B036B" w:rsidP="00897427">
      <w:pPr>
        <w:spacing w:after="0"/>
        <w:rPr>
          <w:rtl/>
        </w:rPr>
      </w:pPr>
      <w:r w:rsidRPr="00BA08C7">
        <w:rPr>
          <w:rtl/>
        </w:rPr>
        <w:t>موز</w:t>
      </w:r>
      <w:r w:rsidRPr="00BA08C7">
        <w:rPr>
          <w:rFonts w:hint="cs"/>
          <w:rtl/>
        </w:rPr>
        <w:t>ا</w:t>
      </w:r>
      <w:r w:rsidRPr="00BA08C7">
        <w:rPr>
          <w:rtl/>
        </w:rPr>
        <w:t>مبيق</w:t>
      </w:r>
    </w:p>
    <w:p w:rsidR="001B036B" w:rsidRPr="00BA08C7" w:rsidRDefault="001B036B" w:rsidP="00897427">
      <w:pPr>
        <w:spacing w:after="0"/>
        <w:rPr>
          <w:rtl/>
        </w:rPr>
      </w:pPr>
      <w:r w:rsidRPr="00BA08C7">
        <w:rPr>
          <w:rtl/>
        </w:rPr>
        <w:t>ميانمار</w:t>
      </w:r>
    </w:p>
    <w:p w:rsidR="001B036B" w:rsidRDefault="001B036B" w:rsidP="00897427">
      <w:pPr>
        <w:spacing w:after="0"/>
        <w:rPr>
          <w:rtl/>
        </w:rPr>
      </w:pPr>
      <w:r w:rsidRPr="00BA08C7">
        <w:rPr>
          <w:rtl/>
        </w:rPr>
        <w:t>ناميبيا</w:t>
      </w:r>
    </w:p>
    <w:p w:rsidR="001B036B" w:rsidRDefault="001B036B" w:rsidP="00897427">
      <w:pPr>
        <w:spacing w:after="0"/>
        <w:rPr>
          <w:rtl/>
        </w:rPr>
      </w:pPr>
      <w:r>
        <w:rPr>
          <w:rFonts w:hint="cs"/>
          <w:rtl/>
        </w:rPr>
        <w:t>نيبال</w:t>
      </w:r>
    </w:p>
    <w:p w:rsidR="001B036B" w:rsidRPr="00BA08C7" w:rsidRDefault="001B036B" w:rsidP="00897427">
      <w:pPr>
        <w:spacing w:after="0"/>
        <w:rPr>
          <w:rtl/>
        </w:rPr>
      </w:pPr>
      <w:r w:rsidRPr="00BA08C7">
        <w:rPr>
          <w:rtl/>
        </w:rPr>
        <w:lastRenderedPageBreak/>
        <w:t>هولندا</w:t>
      </w:r>
    </w:p>
    <w:p w:rsidR="001B036B" w:rsidRPr="00BA08C7" w:rsidRDefault="001B036B" w:rsidP="00897427">
      <w:pPr>
        <w:spacing w:after="0"/>
        <w:rPr>
          <w:rtl/>
        </w:rPr>
      </w:pPr>
      <w:r w:rsidRPr="00BA08C7">
        <w:rPr>
          <w:rtl/>
        </w:rPr>
        <w:t>نيوزيلندا</w:t>
      </w:r>
    </w:p>
    <w:p w:rsidR="004E3E1F" w:rsidRDefault="004E3E1F" w:rsidP="00897427">
      <w:pPr>
        <w:spacing w:after="0"/>
        <w:rPr>
          <w:rtl/>
        </w:rPr>
      </w:pPr>
      <w:r>
        <w:rPr>
          <w:rFonts w:hint="cs"/>
          <w:rtl/>
        </w:rPr>
        <w:t>نيكاراغوا</w:t>
      </w:r>
    </w:p>
    <w:p w:rsidR="001B036B" w:rsidRPr="00BA08C7" w:rsidRDefault="001B036B" w:rsidP="00897427">
      <w:pPr>
        <w:spacing w:after="0"/>
        <w:rPr>
          <w:rtl/>
        </w:rPr>
      </w:pPr>
      <w:r w:rsidRPr="00BA08C7">
        <w:rPr>
          <w:rtl/>
        </w:rPr>
        <w:t>النيجر</w:t>
      </w:r>
    </w:p>
    <w:p w:rsidR="001B036B" w:rsidRPr="00BA08C7" w:rsidRDefault="001B036B" w:rsidP="00897427">
      <w:pPr>
        <w:spacing w:after="0"/>
        <w:rPr>
          <w:rtl/>
        </w:rPr>
      </w:pPr>
      <w:r w:rsidRPr="00BA08C7">
        <w:rPr>
          <w:rtl/>
        </w:rPr>
        <w:t>نيجيريا</w:t>
      </w:r>
    </w:p>
    <w:p w:rsidR="001B036B" w:rsidRPr="00BA08C7" w:rsidRDefault="001B036B" w:rsidP="00897427">
      <w:pPr>
        <w:spacing w:after="0"/>
        <w:rPr>
          <w:rtl/>
        </w:rPr>
      </w:pPr>
      <w:r w:rsidRPr="00BA08C7">
        <w:rPr>
          <w:rtl/>
        </w:rPr>
        <w:t>النرويج</w:t>
      </w:r>
    </w:p>
    <w:p w:rsidR="001B036B" w:rsidRPr="00BA08C7" w:rsidRDefault="001B036B" w:rsidP="00897427">
      <w:pPr>
        <w:spacing w:after="0"/>
        <w:rPr>
          <w:rtl/>
        </w:rPr>
      </w:pPr>
      <w:r w:rsidRPr="00BA08C7">
        <w:rPr>
          <w:rtl/>
        </w:rPr>
        <w:t>عمان</w:t>
      </w:r>
    </w:p>
    <w:p w:rsidR="001B036B" w:rsidRPr="00BA08C7" w:rsidRDefault="001B036B" w:rsidP="00897427">
      <w:pPr>
        <w:spacing w:after="0"/>
        <w:rPr>
          <w:rtl/>
        </w:rPr>
      </w:pPr>
      <w:r w:rsidRPr="00BA08C7">
        <w:rPr>
          <w:rtl/>
        </w:rPr>
        <w:t>بالاو</w:t>
      </w:r>
    </w:p>
    <w:p w:rsidR="001B036B" w:rsidRDefault="001B036B" w:rsidP="00897427">
      <w:pPr>
        <w:spacing w:after="0"/>
        <w:rPr>
          <w:rtl/>
        </w:rPr>
      </w:pPr>
      <w:r w:rsidRPr="00BA08C7">
        <w:rPr>
          <w:rtl/>
        </w:rPr>
        <w:t>بنما</w:t>
      </w:r>
    </w:p>
    <w:p w:rsidR="004E3E1F" w:rsidRDefault="004E3E1F" w:rsidP="00897427">
      <w:pPr>
        <w:spacing w:after="0"/>
        <w:rPr>
          <w:rtl/>
        </w:rPr>
      </w:pPr>
      <w:r>
        <w:rPr>
          <w:rFonts w:hint="cs"/>
          <w:rtl/>
        </w:rPr>
        <w:t>بابوا غينيا الجديدة</w:t>
      </w:r>
    </w:p>
    <w:p w:rsidR="004E3E1F" w:rsidRDefault="004E3E1F" w:rsidP="00897427">
      <w:pPr>
        <w:spacing w:after="0"/>
        <w:rPr>
          <w:rtl/>
        </w:rPr>
      </w:pPr>
      <w:r>
        <w:rPr>
          <w:rFonts w:hint="cs"/>
          <w:rtl/>
        </w:rPr>
        <w:t>باراغواي</w:t>
      </w:r>
    </w:p>
    <w:p w:rsidR="001B036B" w:rsidRPr="00BA08C7" w:rsidRDefault="001B036B" w:rsidP="00897427">
      <w:pPr>
        <w:spacing w:after="0"/>
        <w:rPr>
          <w:rtl/>
        </w:rPr>
      </w:pPr>
      <w:r w:rsidRPr="00BA08C7">
        <w:rPr>
          <w:rtl/>
        </w:rPr>
        <w:t>بيرو</w:t>
      </w:r>
    </w:p>
    <w:p w:rsidR="001B036B" w:rsidRPr="00BA08C7" w:rsidRDefault="001B036B" w:rsidP="00897427">
      <w:pPr>
        <w:spacing w:after="0"/>
        <w:rPr>
          <w:rtl/>
        </w:rPr>
      </w:pPr>
      <w:r w:rsidRPr="00BA08C7">
        <w:rPr>
          <w:rtl/>
        </w:rPr>
        <w:t>الفلبين</w:t>
      </w:r>
    </w:p>
    <w:p w:rsidR="001B036B" w:rsidRPr="00BA08C7" w:rsidRDefault="001B036B" w:rsidP="00897427">
      <w:pPr>
        <w:spacing w:after="0"/>
        <w:rPr>
          <w:rtl/>
        </w:rPr>
      </w:pPr>
      <w:r w:rsidRPr="00BA08C7">
        <w:rPr>
          <w:rtl/>
        </w:rPr>
        <w:t>بولندا</w:t>
      </w:r>
    </w:p>
    <w:p w:rsidR="001B036B" w:rsidRPr="00BA08C7" w:rsidRDefault="001B036B" w:rsidP="00897427">
      <w:pPr>
        <w:spacing w:after="0"/>
        <w:rPr>
          <w:rtl/>
        </w:rPr>
      </w:pPr>
      <w:r w:rsidRPr="00BA08C7">
        <w:rPr>
          <w:rtl/>
        </w:rPr>
        <w:t>البرتغال</w:t>
      </w:r>
    </w:p>
    <w:p w:rsidR="001B036B" w:rsidRPr="00BA08C7" w:rsidRDefault="001B036B" w:rsidP="00897427">
      <w:pPr>
        <w:spacing w:after="0"/>
        <w:rPr>
          <w:rtl/>
        </w:rPr>
      </w:pPr>
      <w:r w:rsidRPr="00BA08C7">
        <w:rPr>
          <w:rtl/>
        </w:rPr>
        <w:t>قطر</w:t>
      </w:r>
    </w:p>
    <w:p w:rsidR="001B036B" w:rsidRPr="00BA08C7" w:rsidRDefault="001B036B" w:rsidP="00897427">
      <w:pPr>
        <w:spacing w:after="0"/>
        <w:rPr>
          <w:rtl/>
        </w:rPr>
      </w:pPr>
      <w:r w:rsidRPr="00BA08C7">
        <w:rPr>
          <w:rtl/>
        </w:rPr>
        <w:t>جمهورية كوريا</w:t>
      </w:r>
    </w:p>
    <w:p w:rsidR="004E3E1F" w:rsidRDefault="004E3E1F" w:rsidP="00897427">
      <w:pPr>
        <w:spacing w:after="0"/>
        <w:rPr>
          <w:rtl/>
        </w:rPr>
      </w:pPr>
      <w:r>
        <w:rPr>
          <w:rFonts w:hint="cs"/>
          <w:rtl/>
        </w:rPr>
        <w:t>جمهوريو مولدوفا</w:t>
      </w:r>
    </w:p>
    <w:p w:rsidR="001B036B" w:rsidRDefault="001B036B" w:rsidP="00897427">
      <w:pPr>
        <w:spacing w:after="0"/>
        <w:rPr>
          <w:rtl/>
        </w:rPr>
      </w:pPr>
      <w:r>
        <w:rPr>
          <w:rFonts w:hint="cs"/>
          <w:rtl/>
        </w:rPr>
        <w:t>رومانيا</w:t>
      </w:r>
    </w:p>
    <w:p w:rsidR="001B036B" w:rsidRPr="00BA08C7" w:rsidRDefault="001B036B" w:rsidP="00897427">
      <w:pPr>
        <w:spacing w:after="0"/>
        <w:rPr>
          <w:rtl/>
        </w:rPr>
      </w:pPr>
      <w:r>
        <w:rPr>
          <w:rFonts w:hint="cs"/>
          <w:rtl/>
        </w:rPr>
        <w:t>الاتحاد الروسي</w:t>
      </w:r>
    </w:p>
    <w:p w:rsidR="004E3E1F" w:rsidRDefault="004E3E1F" w:rsidP="00897427">
      <w:pPr>
        <w:spacing w:after="0"/>
        <w:rPr>
          <w:rtl/>
        </w:rPr>
      </w:pPr>
      <w:r>
        <w:rPr>
          <w:rFonts w:hint="cs"/>
          <w:rtl/>
        </w:rPr>
        <w:t>رواندا</w:t>
      </w:r>
    </w:p>
    <w:p w:rsidR="001B036B" w:rsidRPr="00BA08C7" w:rsidRDefault="004E3E1F" w:rsidP="00897427">
      <w:pPr>
        <w:spacing w:after="0"/>
        <w:rPr>
          <w:rtl/>
        </w:rPr>
      </w:pPr>
      <w:r>
        <w:rPr>
          <w:rFonts w:hint="cs"/>
          <w:rtl/>
        </w:rPr>
        <w:t>سا</w:t>
      </w:r>
      <w:r w:rsidR="001B036B" w:rsidRPr="00BA08C7">
        <w:rPr>
          <w:rtl/>
        </w:rPr>
        <w:t>نت كيتس و</w:t>
      </w:r>
      <w:r w:rsidR="001B036B">
        <w:rPr>
          <w:rtl/>
        </w:rPr>
        <w:t>نيف</w:t>
      </w:r>
      <w:r w:rsidR="001B036B" w:rsidRPr="00BA08C7">
        <w:rPr>
          <w:rtl/>
        </w:rPr>
        <w:t>س</w:t>
      </w:r>
    </w:p>
    <w:p w:rsidR="001B036B" w:rsidRPr="00BA08C7" w:rsidRDefault="001B036B" w:rsidP="00897427">
      <w:pPr>
        <w:spacing w:after="0"/>
        <w:rPr>
          <w:rtl/>
        </w:rPr>
      </w:pPr>
      <w:r w:rsidRPr="00BA08C7">
        <w:rPr>
          <w:rtl/>
        </w:rPr>
        <w:t>سانت لوسيا</w:t>
      </w:r>
    </w:p>
    <w:p w:rsidR="001B036B" w:rsidRDefault="001B036B" w:rsidP="00897427">
      <w:pPr>
        <w:spacing w:after="0"/>
        <w:rPr>
          <w:rtl/>
        </w:rPr>
      </w:pPr>
      <w:r>
        <w:rPr>
          <w:rFonts w:hint="cs"/>
          <w:rtl/>
        </w:rPr>
        <w:t>سانت فنسنت وجزر غرينادين</w:t>
      </w:r>
    </w:p>
    <w:p w:rsidR="001B036B" w:rsidRDefault="001B036B" w:rsidP="00897427">
      <w:pPr>
        <w:spacing w:after="0"/>
        <w:rPr>
          <w:rtl/>
        </w:rPr>
      </w:pPr>
      <w:r>
        <w:rPr>
          <w:rFonts w:hint="cs"/>
          <w:rtl/>
        </w:rPr>
        <w:t>ساموا</w:t>
      </w:r>
    </w:p>
    <w:p w:rsidR="001B036B" w:rsidRDefault="001B036B" w:rsidP="00897427">
      <w:pPr>
        <w:spacing w:after="0"/>
        <w:rPr>
          <w:rtl/>
        </w:rPr>
      </w:pPr>
      <w:r>
        <w:rPr>
          <w:rFonts w:hint="cs"/>
          <w:rtl/>
        </w:rPr>
        <w:t>سان تومي وبرنسيبي</w:t>
      </w:r>
    </w:p>
    <w:p w:rsidR="001B036B" w:rsidRPr="00BA08C7" w:rsidRDefault="001B036B" w:rsidP="00897427">
      <w:pPr>
        <w:spacing w:after="0"/>
        <w:rPr>
          <w:rtl/>
        </w:rPr>
      </w:pPr>
      <w:r w:rsidRPr="00BA08C7">
        <w:rPr>
          <w:rFonts w:hint="cs"/>
          <w:rtl/>
        </w:rPr>
        <w:t xml:space="preserve">المملكة </w:t>
      </w:r>
      <w:r w:rsidRPr="00BA08C7">
        <w:rPr>
          <w:rtl/>
        </w:rPr>
        <w:t>العربية السعودية</w:t>
      </w:r>
    </w:p>
    <w:p w:rsidR="001B036B" w:rsidRPr="00BA08C7" w:rsidRDefault="001B036B" w:rsidP="00897427">
      <w:pPr>
        <w:spacing w:after="0"/>
        <w:rPr>
          <w:rtl/>
        </w:rPr>
      </w:pPr>
      <w:r w:rsidRPr="00BA08C7">
        <w:rPr>
          <w:rtl/>
        </w:rPr>
        <w:t>السنغال</w:t>
      </w:r>
    </w:p>
    <w:p w:rsidR="001B036B" w:rsidRDefault="001B036B" w:rsidP="00897427">
      <w:pPr>
        <w:spacing w:after="0"/>
        <w:rPr>
          <w:rtl/>
        </w:rPr>
      </w:pPr>
      <w:r>
        <w:rPr>
          <w:rFonts w:hint="cs"/>
          <w:rtl/>
        </w:rPr>
        <w:t>صربيا</w:t>
      </w:r>
    </w:p>
    <w:p w:rsidR="001B036B" w:rsidRDefault="001B036B" w:rsidP="00897427">
      <w:pPr>
        <w:spacing w:after="0"/>
        <w:rPr>
          <w:rtl/>
        </w:rPr>
      </w:pPr>
      <w:r>
        <w:rPr>
          <w:rFonts w:hint="cs"/>
          <w:rtl/>
        </w:rPr>
        <w:t>سيشيل</w:t>
      </w:r>
    </w:p>
    <w:p w:rsidR="001B036B" w:rsidRDefault="001B036B" w:rsidP="00897427">
      <w:pPr>
        <w:spacing w:after="0"/>
        <w:rPr>
          <w:rtl/>
        </w:rPr>
      </w:pPr>
      <w:r>
        <w:rPr>
          <w:rFonts w:hint="cs"/>
          <w:rtl/>
        </w:rPr>
        <w:t>سيراليون</w:t>
      </w:r>
    </w:p>
    <w:p w:rsidR="001B036B" w:rsidRDefault="001B036B" w:rsidP="00897427">
      <w:pPr>
        <w:spacing w:after="0"/>
        <w:rPr>
          <w:rtl/>
        </w:rPr>
      </w:pPr>
      <w:r>
        <w:rPr>
          <w:rFonts w:hint="cs"/>
          <w:rtl/>
        </w:rPr>
        <w:t>سنغافورة</w:t>
      </w:r>
    </w:p>
    <w:p w:rsidR="001B036B" w:rsidRPr="00BA08C7" w:rsidRDefault="001B036B" w:rsidP="00897427">
      <w:pPr>
        <w:spacing w:after="0"/>
        <w:rPr>
          <w:rtl/>
        </w:rPr>
      </w:pPr>
      <w:r w:rsidRPr="00BA08C7">
        <w:rPr>
          <w:rtl/>
        </w:rPr>
        <w:t>سلوفاكيا</w:t>
      </w:r>
    </w:p>
    <w:p w:rsidR="001B036B" w:rsidRPr="00BA08C7" w:rsidRDefault="001B036B" w:rsidP="00897427">
      <w:pPr>
        <w:spacing w:after="0"/>
        <w:rPr>
          <w:rtl/>
        </w:rPr>
      </w:pPr>
      <w:r w:rsidRPr="00BA08C7">
        <w:rPr>
          <w:rtl/>
        </w:rPr>
        <w:t>سلوفينيا</w:t>
      </w:r>
    </w:p>
    <w:p w:rsidR="001B036B" w:rsidRPr="00BA08C7" w:rsidRDefault="001B036B" w:rsidP="00897427">
      <w:pPr>
        <w:spacing w:after="0"/>
        <w:rPr>
          <w:rtl/>
        </w:rPr>
      </w:pPr>
      <w:r w:rsidRPr="00BA08C7">
        <w:rPr>
          <w:rtl/>
        </w:rPr>
        <w:lastRenderedPageBreak/>
        <w:t>جزر سليمان</w:t>
      </w:r>
    </w:p>
    <w:p w:rsidR="004E3E1F" w:rsidRDefault="004E3E1F" w:rsidP="00897427">
      <w:pPr>
        <w:spacing w:after="0"/>
        <w:rPr>
          <w:rtl/>
        </w:rPr>
      </w:pPr>
      <w:r>
        <w:rPr>
          <w:rFonts w:hint="cs"/>
          <w:rtl/>
        </w:rPr>
        <w:t>الصومال</w:t>
      </w:r>
    </w:p>
    <w:p w:rsidR="001B036B" w:rsidRPr="00BA08C7" w:rsidRDefault="001B036B" w:rsidP="00897427">
      <w:pPr>
        <w:spacing w:after="0"/>
        <w:rPr>
          <w:rtl/>
        </w:rPr>
      </w:pPr>
      <w:r w:rsidRPr="00BA08C7">
        <w:rPr>
          <w:rtl/>
        </w:rPr>
        <w:t>جنوب أفريقيا</w:t>
      </w:r>
    </w:p>
    <w:p w:rsidR="004E3E1F" w:rsidRDefault="004E3E1F" w:rsidP="00897427">
      <w:pPr>
        <w:spacing w:after="0"/>
        <w:rPr>
          <w:rtl/>
        </w:rPr>
      </w:pPr>
      <w:r>
        <w:rPr>
          <w:rFonts w:hint="cs"/>
          <w:rtl/>
        </w:rPr>
        <w:t>جنوب السودان</w:t>
      </w:r>
    </w:p>
    <w:p w:rsidR="001B036B" w:rsidRPr="00BA08C7" w:rsidRDefault="001B036B" w:rsidP="00897427">
      <w:pPr>
        <w:spacing w:after="0"/>
        <w:rPr>
          <w:rtl/>
        </w:rPr>
      </w:pPr>
      <w:r w:rsidRPr="00BA08C7">
        <w:rPr>
          <w:rtl/>
        </w:rPr>
        <w:t>إسبانيا</w:t>
      </w:r>
    </w:p>
    <w:p w:rsidR="001B036B" w:rsidRPr="00BA08C7" w:rsidRDefault="001B036B" w:rsidP="00897427">
      <w:pPr>
        <w:spacing w:after="0"/>
        <w:rPr>
          <w:rtl/>
        </w:rPr>
      </w:pPr>
      <w:r w:rsidRPr="00BA08C7">
        <w:rPr>
          <w:rtl/>
        </w:rPr>
        <w:t>سري لانكا</w:t>
      </w:r>
    </w:p>
    <w:p w:rsidR="004E3E1F" w:rsidRDefault="004E3E1F" w:rsidP="00897427">
      <w:pPr>
        <w:spacing w:after="0"/>
        <w:rPr>
          <w:rtl/>
        </w:rPr>
      </w:pPr>
      <w:r>
        <w:rPr>
          <w:rFonts w:hint="cs"/>
          <w:rtl/>
        </w:rPr>
        <w:t>دولة فلسطين</w:t>
      </w:r>
    </w:p>
    <w:p w:rsidR="001B036B" w:rsidRPr="00BA08C7" w:rsidRDefault="001B036B" w:rsidP="00897427">
      <w:pPr>
        <w:spacing w:after="0"/>
        <w:rPr>
          <w:rtl/>
        </w:rPr>
      </w:pPr>
      <w:r w:rsidRPr="00BA08C7">
        <w:rPr>
          <w:rFonts w:hint="cs"/>
          <w:rtl/>
        </w:rPr>
        <w:t>ال</w:t>
      </w:r>
      <w:r w:rsidRPr="00BA08C7">
        <w:rPr>
          <w:rtl/>
        </w:rPr>
        <w:t>سودان</w:t>
      </w:r>
    </w:p>
    <w:p w:rsidR="004E3E1F" w:rsidRDefault="004E3E1F" w:rsidP="00897427">
      <w:pPr>
        <w:spacing w:after="0"/>
        <w:rPr>
          <w:rtl/>
        </w:rPr>
      </w:pPr>
      <w:r>
        <w:rPr>
          <w:rFonts w:hint="cs"/>
          <w:rtl/>
        </w:rPr>
        <w:t>سورينام</w:t>
      </w:r>
    </w:p>
    <w:p w:rsidR="001B036B" w:rsidRPr="00BA08C7" w:rsidRDefault="001B036B" w:rsidP="00897427">
      <w:pPr>
        <w:spacing w:after="0"/>
        <w:rPr>
          <w:rtl/>
        </w:rPr>
      </w:pPr>
      <w:r w:rsidRPr="00BA08C7">
        <w:rPr>
          <w:rtl/>
        </w:rPr>
        <w:t>السويد</w:t>
      </w:r>
    </w:p>
    <w:p w:rsidR="001B036B" w:rsidRPr="00BA08C7" w:rsidRDefault="001B036B" w:rsidP="00897427">
      <w:pPr>
        <w:spacing w:after="0"/>
        <w:rPr>
          <w:rtl/>
        </w:rPr>
      </w:pPr>
      <w:r w:rsidRPr="00BA08C7">
        <w:rPr>
          <w:rtl/>
        </w:rPr>
        <w:t>سويسرا</w:t>
      </w:r>
    </w:p>
    <w:p w:rsidR="001B036B" w:rsidRPr="00BA08C7" w:rsidRDefault="001B036B" w:rsidP="00897427">
      <w:pPr>
        <w:spacing w:after="0"/>
        <w:rPr>
          <w:rtl/>
        </w:rPr>
      </w:pPr>
      <w:r w:rsidRPr="00BA08C7">
        <w:rPr>
          <w:rtl/>
        </w:rPr>
        <w:t>الجمهورية العربية السورية</w:t>
      </w:r>
    </w:p>
    <w:p w:rsidR="001B036B" w:rsidRPr="00BA08C7" w:rsidRDefault="001B036B" w:rsidP="00897427">
      <w:pPr>
        <w:spacing w:after="0"/>
        <w:rPr>
          <w:rtl/>
        </w:rPr>
      </w:pPr>
      <w:r w:rsidRPr="00BA08C7">
        <w:rPr>
          <w:rtl/>
        </w:rPr>
        <w:t>طاجيكستان</w:t>
      </w:r>
    </w:p>
    <w:p w:rsidR="001B036B" w:rsidRPr="00BA08C7" w:rsidRDefault="001B036B" w:rsidP="00897427">
      <w:pPr>
        <w:spacing w:after="0"/>
        <w:rPr>
          <w:rtl/>
        </w:rPr>
      </w:pPr>
      <w:r w:rsidRPr="00BA08C7">
        <w:rPr>
          <w:rtl/>
        </w:rPr>
        <w:t>تايلند</w:t>
      </w:r>
    </w:p>
    <w:p w:rsidR="004E3E1F" w:rsidRDefault="004E3E1F" w:rsidP="00897427">
      <w:pPr>
        <w:spacing w:after="0"/>
        <w:ind w:left="308" w:hanging="308"/>
        <w:jc w:val="left"/>
        <w:rPr>
          <w:rtl/>
        </w:rPr>
      </w:pPr>
      <w:r>
        <w:rPr>
          <w:rFonts w:hint="cs"/>
          <w:rtl/>
        </w:rPr>
        <w:t>توغو</w:t>
      </w:r>
    </w:p>
    <w:p w:rsidR="004E3E1F" w:rsidRDefault="004E3E1F" w:rsidP="00897427">
      <w:pPr>
        <w:spacing w:after="0"/>
        <w:ind w:left="308" w:hanging="308"/>
        <w:jc w:val="left"/>
        <w:rPr>
          <w:rtl/>
        </w:rPr>
      </w:pPr>
      <w:r>
        <w:rPr>
          <w:rFonts w:hint="cs"/>
          <w:rtl/>
        </w:rPr>
        <w:t>تونغا</w:t>
      </w:r>
    </w:p>
    <w:p w:rsidR="004E3E1F" w:rsidRDefault="004E3E1F" w:rsidP="00897427">
      <w:pPr>
        <w:spacing w:after="0"/>
        <w:ind w:left="308" w:hanging="308"/>
        <w:jc w:val="left"/>
        <w:rPr>
          <w:rtl/>
        </w:rPr>
      </w:pPr>
      <w:r>
        <w:rPr>
          <w:rFonts w:hint="cs"/>
          <w:rtl/>
        </w:rPr>
        <w:t>ترينيداد وتوباغو</w:t>
      </w:r>
    </w:p>
    <w:p w:rsidR="001B036B" w:rsidRPr="00BA08C7" w:rsidRDefault="001B036B" w:rsidP="00897427">
      <w:pPr>
        <w:spacing w:after="0"/>
        <w:rPr>
          <w:rtl/>
        </w:rPr>
      </w:pPr>
      <w:r w:rsidRPr="00BA08C7">
        <w:rPr>
          <w:rtl/>
        </w:rPr>
        <w:t>تونس</w:t>
      </w:r>
    </w:p>
    <w:p w:rsidR="001B036B" w:rsidRPr="00BA08C7" w:rsidRDefault="001B036B" w:rsidP="00897427">
      <w:pPr>
        <w:spacing w:after="0"/>
        <w:rPr>
          <w:rtl/>
        </w:rPr>
      </w:pPr>
      <w:r w:rsidRPr="00BA08C7">
        <w:rPr>
          <w:rtl/>
        </w:rPr>
        <w:t>تركيا</w:t>
      </w:r>
    </w:p>
    <w:p w:rsidR="004E3E1F" w:rsidRDefault="004E3E1F" w:rsidP="00897427">
      <w:pPr>
        <w:spacing w:after="0"/>
        <w:rPr>
          <w:rtl/>
        </w:rPr>
      </w:pPr>
      <w:r>
        <w:rPr>
          <w:rFonts w:hint="cs"/>
          <w:rtl/>
        </w:rPr>
        <w:t>تركمانستان</w:t>
      </w:r>
    </w:p>
    <w:p w:rsidR="001B036B" w:rsidRDefault="001B036B" w:rsidP="00897427">
      <w:pPr>
        <w:spacing w:after="0"/>
        <w:rPr>
          <w:rtl/>
        </w:rPr>
      </w:pPr>
      <w:r>
        <w:rPr>
          <w:rFonts w:hint="cs"/>
          <w:rtl/>
        </w:rPr>
        <w:t>توفالو</w:t>
      </w:r>
    </w:p>
    <w:p w:rsidR="001B036B" w:rsidRPr="00BA08C7" w:rsidRDefault="001B036B" w:rsidP="00897427">
      <w:pPr>
        <w:spacing w:after="0"/>
        <w:rPr>
          <w:rtl/>
        </w:rPr>
      </w:pPr>
      <w:r w:rsidRPr="00BA08C7">
        <w:rPr>
          <w:rtl/>
        </w:rPr>
        <w:t>أوغندا</w:t>
      </w:r>
    </w:p>
    <w:p w:rsidR="004E3E1F" w:rsidRDefault="004E3E1F" w:rsidP="00897427">
      <w:pPr>
        <w:spacing w:after="0"/>
        <w:rPr>
          <w:rtl/>
        </w:rPr>
      </w:pPr>
      <w:r>
        <w:rPr>
          <w:rFonts w:hint="cs"/>
          <w:rtl/>
        </w:rPr>
        <w:t>أوكرانيا</w:t>
      </w:r>
    </w:p>
    <w:p w:rsidR="001B036B" w:rsidRPr="00BA08C7" w:rsidRDefault="001B036B" w:rsidP="00897427">
      <w:pPr>
        <w:spacing w:after="0"/>
        <w:rPr>
          <w:rtl/>
        </w:rPr>
      </w:pPr>
      <w:r w:rsidRPr="00BA08C7">
        <w:rPr>
          <w:rtl/>
        </w:rPr>
        <w:t>ال</w:t>
      </w:r>
      <w:r w:rsidRPr="00BA08C7">
        <w:rPr>
          <w:rFonts w:hint="cs"/>
          <w:rtl/>
        </w:rPr>
        <w:t>إ</w:t>
      </w:r>
      <w:r w:rsidRPr="00BA08C7">
        <w:rPr>
          <w:rtl/>
        </w:rPr>
        <w:t>مارات العربية المتحدة</w:t>
      </w:r>
    </w:p>
    <w:p w:rsidR="001B036B" w:rsidRPr="00BA08C7" w:rsidRDefault="001B036B" w:rsidP="00897427">
      <w:pPr>
        <w:spacing w:after="0"/>
        <w:ind w:left="398" w:hanging="398"/>
        <w:jc w:val="left"/>
        <w:rPr>
          <w:rtl/>
        </w:rPr>
      </w:pPr>
      <w:r w:rsidRPr="00BA08C7">
        <w:rPr>
          <w:rtl/>
        </w:rPr>
        <w:t>المملكة المتحدة لبريطانيا العظمى وأيرلندا الشمالية</w:t>
      </w:r>
    </w:p>
    <w:p w:rsidR="001B036B" w:rsidRPr="00BA08C7" w:rsidRDefault="001B036B" w:rsidP="00897427">
      <w:pPr>
        <w:spacing w:after="0"/>
        <w:rPr>
          <w:rtl/>
        </w:rPr>
      </w:pPr>
      <w:r w:rsidRPr="00BA08C7">
        <w:rPr>
          <w:rtl/>
        </w:rPr>
        <w:t>جمهورية تنزانيا المتحدة</w:t>
      </w:r>
    </w:p>
    <w:p w:rsidR="001B036B" w:rsidRPr="00BA08C7" w:rsidRDefault="001B036B" w:rsidP="00897427">
      <w:pPr>
        <w:spacing w:after="0"/>
        <w:rPr>
          <w:rtl/>
        </w:rPr>
      </w:pPr>
      <w:r w:rsidRPr="00BA08C7">
        <w:rPr>
          <w:rtl/>
        </w:rPr>
        <w:t>أوروغواي</w:t>
      </w:r>
    </w:p>
    <w:p w:rsidR="001B036B" w:rsidRPr="00BA08C7" w:rsidRDefault="001B036B" w:rsidP="00897427">
      <w:pPr>
        <w:spacing w:after="0"/>
        <w:rPr>
          <w:rtl/>
        </w:rPr>
      </w:pPr>
      <w:r w:rsidRPr="00BA08C7">
        <w:rPr>
          <w:rtl/>
        </w:rPr>
        <w:t xml:space="preserve">فنزويلا (جمهورية </w:t>
      </w:r>
      <w:r w:rsidRPr="00BA08C7">
        <w:rPr>
          <w:rFonts w:hint="cs"/>
          <w:rtl/>
        </w:rPr>
        <w:t xml:space="preserve">- </w:t>
      </w:r>
      <w:r w:rsidRPr="00BA08C7">
        <w:rPr>
          <w:rtl/>
        </w:rPr>
        <w:t>البوليفارية)</w:t>
      </w:r>
    </w:p>
    <w:p w:rsidR="001B036B" w:rsidRDefault="001B036B" w:rsidP="00897427">
      <w:pPr>
        <w:spacing w:after="0"/>
        <w:rPr>
          <w:rtl/>
        </w:rPr>
      </w:pPr>
      <w:r>
        <w:rPr>
          <w:rFonts w:hint="cs"/>
          <w:rtl/>
        </w:rPr>
        <w:t>فييت نام</w:t>
      </w:r>
    </w:p>
    <w:p w:rsidR="001B036B" w:rsidRPr="00BA08C7" w:rsidRDefault="001B036B" w:rsidP="00897427">
      <w:pPr>
        <w:spacing w:after="0"/>
        <w:rPr>
          <w:rtl/>
        </w:rPr>
      </w:pPr>
      <w:r w:rsidRPr="00BA08C7">
        <w:rPr>
          <w:rFonts w:hint="cs"/>
          <w:rtl/>
        </w:rPr>
        <w:t>اليمن</w:t>
      </w:r>
    </w:p>
    <w:p w:rsidR="001B036B" w:rsidRPr="00BA08C7" w:rsidRDefault="001B036B" w:rsidP="00897427">
      <w:pPr>
        <w:spacing w:after="0"/>
        <w:rPr>
          <w:rtl/>
        </w:rPr>
      </w:pPr>
      <w:r w:rsidRPr="00BA08C7">
        <w:rPr>
          <w:rtl/>
        </w:rPr>
        <w:t>زامبيا</w:t>
      </w:r>
    </w:p>
    <w:p w:rsidR="001B036B" w:rsidRDefault="001B036B" w:rsidP="001B036B">
      <w:pPr>
        <w:spacing w:after="0" w:line="204" w:lineRule="auto"/>
        <w:rPr>
          <w:rtl/>
        </w:rPr>
        <w:sectPr w:rsidR="001B036B" w:rsidSect="006828ED">
          <w:type w:val="continuous"/>
          <w:pgSz w:w="12240" w:h="15840" w:code="1"/>
          <w:pgMar w:top="1008" w:right="1440" w:bottom="1008" w:left="1440" w:header="461" w:footer="706" w:gutter="0"/>
          <w:cols w:num="3" w:space="708"/>
          <w:titlePg/>
          <w:bidi/>
          <w:rtlGutter/>
          <w:docGrid w:linePitch="360"/>
        </w:sectPr>
      </w:pPr>
      <w:r w:rsidRPr="00BA08C7">
        <w:rPr>
          <w:rtl/>
        </w:rPr>
        <w:t>زمبابوي</w:t>
      </w:r>
    </w:p>
    <w:p w:rsidR="001B036B" w:rsidRPr="007A286A" w:rsidRDefault="001B036B" w:rsidP="00CF0B26">
      <w:pPr>
        <w:spacing w:after="0" w:line="204" w:lineRule="auto"/>
      </w:pPr>
    </w:p>
    <w:p w:rsidR="005F39CD" w:rsidRPr="001B036B" w:rsidRDefault="000C24A5" w:rsidP="00EF2416">
      <w:pPr>
        <w:pStyle w:val="ListParagraph"/>
        <w:numPr>
          <w:ilvl w:val="0"/>
          <w:numId w:val="6"/>
        </w:numPr>
        <w:bidi/>
        <w:spacing w:line="204" w:lineRule="auto"/>
        <w:ind w:hanging="720"/>
        <w:rPr>
          <w:rFonts w:cs="Simplified Arabic"/>
          <w:sz w:val="24"/>
        </w:rPr>
      </w:pPr>
      <w:r>
        <w:rPr>
          <w:rFonts w:cs="Simplified Arabic"/>
          <w:rtl/>
        </w:rPr>
        <w:t>وكانت الدو</w:t>
      </w:r>
      <w:r>
        <w:rPr>
          <w:rFonts w:cs="Simplified Arabic" w:hint="cs"/>
          <w:rtl/>
        </w:rPr>
        <w:t>لتان</w:t>
      </w:r>
      <w:r w:rsidR="00563808" w:rsidRPr="001B036B">
        <w:rPr>
          <w:rFonts w:cs="Simplified Arabic"/>
          <w:rtl/>
        </w:rPr>
        <w:t xml:space="preserve"> </w:t>
      </w:r>
      <w:r w:rsidR="00563808" w:rsidRPr="001B036B">
        <w:rPr>
          <w:rFonts w:cs="Simplified Arabic" w:hint="cs"/>
          <w:rtl/>
        </w:rPr>
        <w:t>التالي</w:t>
      </w:r>
      <w:r>
        <w:rPr>
          <w:rFonts w:cs="Simplified Arabic" w:hint="cs"/>
          <w:rtl/>
        </w:rPr>
        <w:t>تان</w:t>
      </w:r>
      <w:r w:rsidR="00563808" w:rsidRPr="001B036B">
        <w:rPr>
          <w:rFonts w:cs="Simplified Arabic"/>
          <w:rtl/>
        </w:rPr>
        <w:t xml:space="preserve"> </w:t>
      </w:r>
      <w:r w:rsidR="00461566" w:rsidRPr="001B036B">
        <w:rPr>
          <w:rFonts w:cs="Simplified Arabic" w:hint="cs"/>
          <w:rtl/>
        </w:rPr>
        <w:t>ال</w:t>
      </w:r>
      <w:r>
        <w:rPr>
          <w:rFonts w:cs="Simplified Arabic" w:hint="cs"/>
          <w:rtl/>
        </w:rPr>
        <w:t>لتان</w:t>
      </w:r>
      <w:r w:rsidR="00563808" w:rsidRPr="001B036B">
        <w:rPr>
          <w:rFonts w:cs="Simplified Arabic" w:hint="cs"/>
          <w:rtl/>
        </w:rPr>
        <w:t xml:space="preserve"> ليست طرفا</w:t>
      </w:r>
      <w:r w:rsidR="00563808" w:rsidRPr="001B036B">
        <w:rPr>
          <w:rFonts w:cs="Simplified Arabic"/>
          <w:rtl/>
        </w:rPr>
        <w:t xml:space="preserve"> في </w:t>
      </w:r>
      <w:r w:rsidR="00563808" w:rsidRPr="001B036B">
        <w:rPr>
          <w:rFonts w:cs="Simplified Arabic" w:hint="cs"/>
          <w:rtl/>
        </w:rPr>
        <w:t>الاتفاقية</w:t>
      </w:r>
      <w:r w:rsidR="00563808" w:rsidRPr="001B036B">
        <w:rPr>
          <w:rFonts w:cs="Simplified Arabic"/>
          <w:rtl/>
        </w:rPr>
        <w:t xml:space="preserve"> ممثلة</w:t>
      </w:r>
      <w:r w:rsidR="00563808" w:rsidRPr="001B036B">
        <w:rPr>
          <w:rFonts w:cs="Simplified Arabic" w:hint="cs"/>
          <w:rtl/>
        </w:rPr>
        <w:t xml:space="preserve"> أيضا:</w:t>
      </w:r>
      <w:r w:rsidR="00563808" w:rsidRPr="001B036B">
        <w:rPr>
          <w:rFonts w:cs="Simplified Arabic" w:hint="cs"/>
          <w:sz w:val="24"/>
          <w:rtl/>
        </w:rPr>
        <w:t xml:space="preserve"> </w:t>
      </w:r>
      <w:r>
        <w:rPr>
          <w:rFonts w:cs="Simplified Arabic" w:hint="cs"/>
          <w:sz w:val="24"/>
          <w:rtl/>
        </w:rPr>
        <w:t>الكرسي الرسولي؛ الولايات المتحدة الأمريكية</w:t>
      </w:r>
      <w:r w:rsidR="002B6FB4" w:rsidRPr="001B036B">
        <w:rPr>
          <w:rFonts w:cs="Simplified Arabic" w:hint="cs"/>
          <w:sz w:val="24"/>
          <w:rtl/>
        </w:rPr>
        <w:t>.</w:t>
      </w:r>
    </w:p>
    <w:p w:rsidR="00563808" w:rsidRPr="005A6EB5" w:rsidRDefault="00563808" w:rsidP="00897427">
      <w:pPr>
        <w:pStyle w:val="ListParagraph"/>
        <w:numPr>
          <w:ilvl w:val="0"/>
          <w:numId w:val="6"/>
        </w:numPr>
        <w:bidi/>
        <w:spacing w:line="204" w:lineRule="auto"/>
        <w:ind w:hanging="720"/>
        <w:rPr>
          <w:rFonts w:cs="Simplified Arabic"/>
          <w:sz w:val="24"/>
        </w:rPr>
      </w:pPr>
      <w:r w:rsidRPr="005A6EB5">
        <w:rPr>
          <w:rFonts w:cs="Simplified Arabic" w:hint="cs"/>
          <w:rtl/>
        </w:rPr>
        <w:t xml:space="preserve">وترد قائمة </w:t>
      </w:r>
      <w:r w:rsidR="00897427">
        <w:rPr>
          <w:rFonts w:cs="Simplified Arabic" w:hint="cs"/>
          <w:rtl/>
        </w:rPr>
        <w:t>بجميع المشاركين الآخرين</w:t>
      </w:r>
      <w:r w:rsidRPr="005A6EB5">
        <w:rPr>
          <w:rFonts w:cs="Simplified Arabic" w:hint="cs"/>
          <w:rtl/>
        </w:rPr>
        <w:t xml:space="preserve"> </w:t>
      </w:r>
      <w:r w:rsidR="00897427">
        <w:rPr>
          <w:rFonts w:cs="Simplified Arabic" w:hint="cs"/>
          <w:rtl/>
        </w:rPr>
        <w:t xml:space="preserve">في </w:t>
      </w:r>
      <w:r w:rsidRPr="005A6EB5">
        <w:rPr>
          <w:rFonts w:cs="Simplified Arabic" w:hint="cs"/>
          <w:rtl/>
        </w:rPr>
        <w:t>ال</w:t>
      </w:r>
      <w:r w:rsidR="00FC19E4">
        <w:rPr>
          <w:rFonts w:cs="Simplified Arabic" w:hint="cs"/>
          <w:rtl/>
        </w:rPr>
        <w:t>مرفق</w:t>
      </w:r>
      <w:r w:rsidRPr="005A6EB5">
        <w:rPr>
          <w:rFonts w:cs="Simplified Arabic" w:hint="cs"/>
          <w:rtl/>
        </w:rPr>
        <w:t xml:space="preserve"> </w:t>
      </w:r>
      <w:r w:rsidR="00FC19E4">
        <w:rPr>
          <w:rFonts w:cs="Simplified Arabic" w:hint="cs"/>
          <w:rtl/>
        </w:rPr>
        <w:t>الأول بالتقرير الحالي</w:t>
      </w:r>
      <w:r w:rsidRPr="005A6EB5">
        <w:rPr>
          <w:rFonts w:cs="Simplified Arabic" w:hint="cs"/>
          <w:rtl/>
        </w:rPr>
        <w:t>.</w:t>
      </w:r>
    </w:p>
    <w:p w:rsidR="002B6FB4" w:rsidRPr="007E4A33" w:rsidRDefault="00FC19E4" w:rsidP="00897427">
      <w:pPr>
        <w:pStyle w:val="Heading2"/>
        <w:spacing w:line="204" w:lineRule="auto"/>
        <w:rPr>
          <w:sz w:val="24"/>
          <w:rtl/>
        </w:rPr>
      </w:pPr>
      <w:bookmarkStart w:id="216" w:name="_Toc6140003"/>
      <w:r w:rsidRPr="007E4A33">
        <w:rPr>
          <w:rFonts w:hint="cs"/>
          <w:sz w:val="24"/>
          <w:rtl/>
        </w:rPr>
        <w:lastRenderedPageBreak/>
        <w:t>جيم</w:t>
      </w:r>
      <w:r w:rsidR="00563808" w:rsidRPr="007E4A33">
        <w:rPr>
          <w:rFonts w:hint="cs"/>
          <w:sz w:val="24"/>
          <w:rtl/>
        </w:rPr>
        <w:t xml:space="preserve"> -</w:t>
      </w:r>
      <w:r w:rsidR="00563808" w:rsidRPr="007E4A33">
        <w:rPr>
          <w:rFonts w:hint="cs"/>
          <w:sz w:val="24"/>
          <w:rtl/>
        </w:rPr>
        <w:tab/>
        <w:t>المسائل التنظيمية</w:t>
      </w:r>
      <w:bookmarkEnd w:id="216"/>
    </w:p>
    <w:p w:rsidR="00563808" w:rsidRPr="00477B14" w:rsidRDefault="00563808" w:rsidP="00897427">
      <w:pPr>
        <w:pStyle w:val="Heading2"/>
        <w:tabs>
          <w:tab w:val="left" w:pos="1080"/>
        </w:tabs>
        <w:spacing w:line="204" w:lineRule="auto"/>
        <w:rPr>
          <w:sz w:val="24"/>
          <w:lang w:val="en-GB"/>
        </w:rPr>
      </w:pPr>
      <w:bookmarkStart w:id="217" w:name="_Toc6140004"/>
      <w:r w:rsidRPr="007E4A33">
        <w:rPr>
          <w:rFonts w:hint="cs"/>
          <w:sz w:val="24"/>
          <w:rtl/>
        </w:rPr>
        <w:t>البند 1 -</w:t>
      </w:r>
      <w:r w:rsidRPr="007E4A33">
        <w:rPr>
          <w:rFonts w:hint="cs"/>
          <w:sz w:val="24"/>
          <w:rtl/>
        </w:rPr>
        <w:tab/>
        <w:t>افتتاح الاجتماع</w:t>
      </w:r>
      <w:bookmarkEnd w:id="217"/>
    </w:p>
    <w:p w:rsidR="00563808" w:rsidRPr="00B7030D" w:rsidRDefault="00563808" w:rsidP="00897427">
      <w:pPr>
        <w:spacing w:line="204" w:lineRule="auto"/>
        <w:jc w:val="center"/>
        <w:rPr>
          <w:i/>
          <w:iCs/>
        </w:rPr>
      </w:pPr>
      <w:r w:rsidRPr="00B7030D">
        <w:rPr>
          <w:rFonts w:hint="cs"/>
          <w:i/>
          <w:iCs/>
          <w:rtl/>
        </w:rPr>
        <w:t>الكلمات الافتتاحية</w:t>
      </w:r>
    </w:p>
    <w:p w:rsidR="00563808" w:rsidRPr="00B7030D" w:rsidRDefault="00563808" w:rsidP="00897427">
      <w:pPr>
        <w:numPr>
          <w:ilvl w:val="0"/>
          <w:numId w:val="6"/>
        </w:numPr>
        <w:spacing w:line="204" w:lineRule="auto"/>
        <w:ind w:left="0" w:firstLine="0"/>
      </w:pPr>
      <w:r w:rsidRPr="00B7030D">
        <w:rPr>
          <w:rtl/>
        </w:rPr>
        <w:t xml:space="preserve">افتتح </w:t>
      </w:r>
      <w:r w:rsidRPr="00B7030D">
        <w:rPr>
          <w:rFonts w:hint="cs"/>
          <w:rtl/>
        </w:rPr>
        <w:t xml:space="preserve">السيد </w:t>
      </w:r>
      <w:r w:rsidR="008F6F33" w:rsidRPr="00B7030D">
        <w:rPr>
          <w:rFonts w:hint="cs"/>
          <w:rtl/>
        </w:rPr>
        <w:t>خوزيه أوكتافيو تريب ف</w:t>
      </w:r>
      <w:r w:rsidR="00461566" w:rsidRPr="00B7030D">
        <w:rPr>
          <w:rFonts w:hint="cs"/>
          <w:rtl/>
        </w:rPr>
        <w:t>ي</w:t>
      </w:r>
      <w:r w:rsidR="008F6F33" w:rsidRPr="00B7030D">
        <w:rPr>
          <w:rFonts w:hint="cs"/>
          <w:rtl/>
        </w:rPr>
        <w:t>لانويفا</w:t>
      </w:r>
      <w:r w:rsidRPr="00B7030D">
        <w:rPr>
          <w:rFonts w:hint="cs"/>
          <w:rtl/>
        </w:rPr>
        <w:t xml:space="preserve">، </w:t>
      </w:r>
      <w:r w:rsidR="008F6F33" w:rsidRPr="00B7030D">
        <w:rPr>
          <w:rFonts w:hint="cs"/>
          <w:rtl/>
        </w:rPr>
        <w:t xml:space="preserve">سفير المكسيك في مصر، </w:t>
      </w:r>
      <w:r w:rsidRPr="00B7030D">
        <w:rPr>
          <w:rtl/>
        </w:rPr>
        <w:t xml:space="preserve">الاجتماع </w:t>
      </w:r>
      <w:r w:rsidRPr="00B7030D">
        <w:rPr>
          <w:rFonts w:hint="cs"/>
          <w:rtl/>
        </w:rPr>
        <w:t>ال</w:t>
      </w:r>
      <w:r w:rsidR="0084429A" w:rsidRPr="00B7030D">
        <w:rPr>
          <w:rFonts w:hint="cs"/>
          <w:rtl/>
        </w:rPr>
        <w:t>رابع</w:t>
      </w:r>
      <w:r w:rsidRPr="00B7030D">
        <w:rPr>
          <w:rFonts w:hint="cs"/>
          <w:rtl/>
        </w:rPr>
        <w:t xml:space="preserve"> عشر</w:t>
      </w:r>
      <w:r w:rsidRPr="00B7030D">
        <w:rPr>
          <w:rtl/>
        </w:rPr>
        <w:t xml:space="preserve"> لمؤتمر الأطراف في الساعة </w:t>
      </w:r>
      <w:r w:rsidR="0084429A" w:rsidRPr="00B7030D">
        <w:rPr>
          <w:rFonts w:hint="cs"/>
          <w:rtl/>
        </w:rPr>
        <w:t>11:00</w:t>
      </w:r>
      <w:r w:rsidRPr="00B7030D">
        <w:rPr>
          <w:rtl/>
        </w:rPr>
        <w:t xml:space="preserve"> </w:t>
      </w:r>
      <w:r w:rsidR="0084429A" w:rsidRPr="00B7030D">
        <w:rPr>
          <w:rFonts w:hint="cs"/>
          <w:rtl/>
        </w:rPr>
        <w:t>صباحا، يوم</w:t>
      </w:r>
      <w:r w:rsidRPr="00B7030D">
        <w:rPr>
          <w:rtl/>
        </w:rPr>
        <w:t xml:space="preserve"> </w:t>
      </w:r>
      <w:r w:rsidR="0084429A" w:rsidRPr="00B7030D">
        <w:rPr>
          <w:rFonts w:hint="cs"/>
          <w:rtl/>
        </w:rPr>
        <w:t>17</w:t>
      </w:r>
      <w:r w:rsidRPr="00B7030D">
        <w:rPr>
          <w:rtl/>
        </w:rPr>
        <w:t xml:space="preserve"> </w:t>
      </w:r>
      <w:r w:rsidR="0084429A" w:rsidRPr="00B7030D">
        <w:rPr>
          <w:rFonts w:hint="cs"/>
          <w:rtl/>
        </w:rPr>
        <w:t>نوفم</w:t>
      </w:r>
      <w:r w:rsidRPr="00B7030D">
        <w:rPr>
          <w:rFonts w:hint="cs"/>
          <w:rtl/>
        </w:rPr>
        <w:t>بر/</w:t>
      </w:r>
      <w:r w:rsidR="0084429A" w:rsidRPr="00B7030D">
        <w:rPr>
          <w:rFonts w:hint="cs"/>
          <w:rtl/>
        </w:rPr>
        <w:t>تشرين الثاني</w:t>
      </w:r>
      <w:r w:rsidRPr="00B7030D">
        <w:rPr>
          <w:rFonts w:hint="cs"/>
          <w:rtl/>
        </w:rPr>
        <w:t xml:space="preserve"> 201</w:t>
      </w:r>
      <w:r w:rsidR="0084429A" w:rsidRPr="00B7030D">
        <w:rPr>
          <w:rFonts w:hint="cs"/>
          <w:rtl/>
        </w:rPr>
        <w:t>8</w:t>
      </w:r>
      <w:r w:rsidRPr="00B7030D">
        <w:rPr>
          <w:rFonts w:hint="cs"/>
          <w:rtl/>
        </w:rPr>
        <w:t xml:space="preserve">، بالنيابة عن السيد </w:t>
      </w:r>
      <w:r w:rsidR="0084429A" w:rsidRPr="00B7030D">
        <w:rPr>
          <w:rFonts w:hint="cs"/>
          <w:rtl/>
        </w:rPr>
        <w:t>رافاييل باكيانو آلمان</w:t>
      </w:r>
      <w:r w:rsidRPr="00B7030D">
        <w:rPr>
          <w:rFonts w:hint="cs"/>
          <w:rtl/>
        </w:rPr>
        <w:t xml:space="preserve">، وزير البيئة </w:t>
      </w:r>
      <w:r w:rsidR="0084429A" w:rsidRPr="00B7030D">
        <w:rPr>
          <w:rFonts w:hint="cs"/>
          <w:rtl/>
        </w:rPr>
        <w:t xml:space="preserve">والموارد الطبيعية في المكسيك </w:t>
      </w:r>
      <w:r w:rsidRPr="00B7030D">
        <w:rPr>
          <w:rFonts w:hint="cs"/>
          <w:rtl/>
        </w:rPr>
        <w:t>ورئيس مؤتمر الأطراف المنتهية ولايته</w:t>
      </w:r>
      <w:r w:rsidRPr="00B7030D">
        <w:rPr>
          <w:rtl/>
        </w:rPr>
        <w:t>.</w:t>
      </w:r>
    </w:p>
    <w:p w:rsidR="0084429A" w:rsidRPr="00B7030D" w:rsidRDefault="0084429A" w:rsidP="00591CEE">
      <w:pPr>
        <w:numPr>
          <w:ilvl w:val="0"/>
          <w:numId w:val="6"/>
        </w:numPr>
        <w:spacing w:line="204" w:lineRule="auto"/>
        <w:ind w:left="0" w:firstLine="0"/>
      </w:pPr>
      <w:r w:rsidRPr="00B7030D">
        <w:rPr>
          <w:rFonts w:hint="cs"/>
          <w:rtl/>
        </w:rPr>
        <w:t xml:space="preserve">وأدلى ببيانات </w:t>
      </w:r>
      <w:r w:rsidR="008F6F33" w:rsidRPr="00B7030D">
        <w:rPr>
          <w:rFonts w:hint="cs"/>
          <w:rtl/>
        </w:rPr>
        <w:t xml:space="preserve">افتتاحية </w:t>
      </w:r>
      <w:r w:rsidR="00461566" w:rsidRPr="00B7030D">
        <w:rPr>
          <w:rFonts w:hint="cs"/>
          <w:rtl/>
        </w:rPr>
        <w:t>السيدة يا</w:t>
      </w:r>
      <w:r w:rsidRPr="00B7030D">
        <w:rPr>
          <w:rFonts w:hint="cs"/>
          <w:rtl/>
        </w:rPr>
        <w:t>س</w:t>
      </w:r>
      <w:r w:rsidR="00461566" w:rsidRPr="00B7030D">
        <w:rPr>
          <w:rFonts w:hint="cs"/>
          <w:rtl/>
        </w:rPr>
        <w:t>م</w:t>
      </w:r>
      <w:r w:rsidRPr="00B7030D">
        <w:rPr>
          <w:rFonts w:hint="cs"/>
          <w:rtl/>
        </w:rPr>
        <w:t>ين فؤاد، وز</w:t>
      </w:r>
      <w:r w:rsidR="00461566" w:rsidRPr="00B7030D">
        <w:rPr>
          <w:rFonts w:hint="cs"/>
          <w:rtl/>
        </w:rPr>
        <w:t>ير</w:t>
      </w:r>
      <w:r w:rsidRPr="00B7030D">
        <w:rPr>
          <w:rFonts w:hint="cs"/>
          <w:rtl/>
        </w:rPr>
        <w:t>ة البيئة في مصر ورئيس</w:t>
      </w:r>
      <w:r w:rsidR="00461566" w:rsidRPr="00B7030D">
        <w:rPr>
          <w:rFonts w:hint="cs"/>
          <w:rtl/>
        </w:rPr>
        <w:t>ة</w:t>
      </w:r>
      <w:r w:rsidRPr="00B7030D">
        <w:rPr>
          <w:rFonts w:hint="cs"/>
          <w:rtl/>
        </w:rPr>
        <w:t xml:space="preserve"> مؤتم</w:t>
      </w:r>
      <w:r w:rsidR="00363E47">
        <w:rPr>
          <w:rFonts w:hint="cs"/>
          <w:rtl/>
        </w:rPr>
        <w:t>ر الأطراف في اجتماعه الرابع عشر</w:t>
      </w:r>
      <w:r w:rsidRPr="00B7030D">
        <w:rPr>
          <w:rFonts w:hint="cs"/>
          <w:rtl/>
        </w:rPr>
        <w:t>؛ والسيد</w:t>
      </w:r>
      <w:r w:rsidR="00461566" w:rsidRPr="00B7030D">
        <w:rPr>
          <w:rFonts w:hint="cs"/>
          <w:rtl/>
        </w:rPr>
        <w:t>ة</w:t>
      </w:r>
      <w:r w:rsidRPr="00B7030D">
        <w:rPr>
          <w:rFonts w:hint="cs"/>
          <w:rtl/>
        </w:rPr>
        <w:t xml:space="preserve"> كريستيانا باشكا بالمر، الأمينة التنفيذية </w:t>
      </w:r>
      <w:r w:rsidR="00461566" w:rsidRPr="00B7030D">
        <w:rPr>
          <w:rFonts w:hint="cs"/>
          <w:rtl/>
        </w:rPr>
        <w:t>ل</w:t>
      </w:r>
      <w:r w:rsidR="00363E47">
        <w:rPr>
          <w:rFonts w:hint="cs"/>
          <w:rtl/>
        </w:rPr>
        <w:t xml:space="preserve">أمانة </w:t>
      </w:r>
      <w:r w:rsidRPr="00B7030D">
        <w:rPr>
          <w:rFonts w:hint="cs"/>
          <w:rtl/>
        </w:rPr>
        <w:t>اتفاقية</w:t>
      </w:r>
      <w:r w:rsidR="00363E47">
        <w:rPr>
          <w:rFonts w:hint="cs"/>
          <w:rtl/>
        </w:rPr>
        <w:t xml:space="preserve"> التنوع البيولوجي</w:t>
      </w:r>
      <w:r w:rsidRPr="00B7030D">
        <w:rPr>
          <w:rFonts w:hint="cs"/>
          <w:rtl/>
        </w:rPr>
        <w:t xml:space="preserve">؛ والسيدة </w:t>
      </w:r>
      <w:r w:rsidR="00591CEE" w:rsidRPr="00591CEE">
        <w:rPr>
          <w:color w:val="000000"/>
          <w:sz w:val="24"/>
          <w:rtl/>
        </w:rPr>
        <w:t>ماريا فرناندا إسبينوسا غارسيس</w:t>
      </w:r>
      <w:r w:rsidR="00591CEE">
        <w:rPr>
          <w:rFonts w:hint="cs"/>
          <w:color w:val="000000"/>
          <w:sz w:val="24"/>
          <w:rtl/>
        </w:rPr>
        <w:t>،</w:t>
      </w:r>
      <w:r w:rsidRPr="00B7030D">
        <w:rPr>
          <w:rFonts w:hint="cs"/>
          <w:rtl/>
        </w:rPr>
        <w:t xml:space="preserve"> رئيسة الجمعية العامة للأمم المتحدة، عبر التو</w:t>
      </w:r>
      <w:r w:rsidR="00461566" w:rsidRPr="00B7030D">
        <w:rPr>
          <w:rFonts w:hint="cs"/>
          <w:rtl/>
        </w:rPr>
        <w:t>ا</w:t>
      </w:r>
      <w:r w:rsidRPr="00B7030D">
        <w:rPr>
          <w:rFonts w:hint="cs"/>
          <w:rtl/>
        </w:rPr>
        <w:t>صل بالفيديو؛ والسيد عبد الفتاح السيسي، رئيس مصر.</w:t>
      </w:r>
    </w:p>
    <w:p w:rsidR="0084429A" w:rsidRPr="00B7030D" w:rsidRDefault="0084429A" w:rsidP="00897427">
      <w:pPr>
        <w:numPr>
          <w:ilvl w:val="0"/>
          <w:numId w:val="6"/>
        </w:numPr>
        <w:spacing w:line="204" w:lineRule="auto"/>
        <w:ind w:left="0" w:firstLine="0"/>
      </w:pPr>
      <w:r w:rsidRPr="00B7030D">
        <w:rPr>
          <w:rFonts w:hint="cs"/>
          <w:rtl/>
        </w:rPr>
        <w:t xml:space="preserve">وفي كلمتها، أشارت الرئيسة إلى نتائج الجزء الرفيع المستوى، بما في ذلك إعلان شرم الشيخ: الاستثمار في التنوع البيولوجي من أجل الناس والكوكب. </w:t>
      </w:r>
      <w:r w:rsidR="008F6F33" w:rsidRPr="00B7030D">
        <w:rPr>
          <w:rFonts w:hint="cs"/>
          <w:rtl/>
        </w:rPr>
        <w:t>و</w:t>
      </w:r>
      <w:r w:rsidR="00363E47">
        <w:rPr>
          <w:rFonts w:hint="cs"/>
          <w:rtl/>
        </w:rPr>
        <w:t>صدر</w:t>
      </w:r>
      <w:r w:rsidR="008F6F33" w:rsidRPr="00B7030D">
        <w:rPr>
          <w:rFonts w:hint="cs"/>
          <w:rtl/>
        </w:rPr>
        <w:t xml:space="preserve"> إعلان شرم الشيخ </w:t>
      </w:r>
      <w:r w:rsidR="00363E47">
        <w:rPr>
          <w:rFonts w:hint="cs"/>
          <w:rtl/>
        </w:rPr>
        <w:t>بوصفه</w:t>
      </w:r>
      <w:r w:rsidR="008F6F33" w:rsidRPr="00B7030D">
        <w:rPr>
          <w:rFonts w:hint="cs"/>
          <w:rtl/>
        </w:rPr>
        <w:t xml:space="preserve"> </w:t>
      </w:r>
      <w:r w:rsidR="008F6F33" w:rsidRPr="00B7030D">
        <w:t>CBD/COP/14/12</w:t>
      </w:r>
      <w:r w:rsidR="008F6F33" w:rsidRPr="00B7030D">
        <w:rPr>
          <w:rFonts w:hint="cs"/>
          <w:rtl/>
        </w:rPr>
        <w:t xml:space="preserve"> وتقرير </w:t>
      </w:r>
      <w:r w:rsidR="00363E47">
        <w:rPr>
          <w:rFonts w:hint="cs"/>
          <w:rtl/>
        </w:rPr>
        <w:t xml:space="preserve">عن </w:t>
      </w:r>
      <w:r w:rsidR="008F6F33" w:rsidRPr="00B7030D">
        <w:rPr>
          <w:rFonts w:hint="cs"/>
          <w:rtl/>
        </w:rPr>
        <w:t xml:space="preserve">الجزء الرفيع المستوى </w:t>
      </w:r>
      <w:r w:rsidR="00363E47">
        <w:rPr>
          <w:rFonts w:hint="cs"/>
          <w:rtl/>
        </w:rPr>
        <w:t>بوصفه</w:t>
      </w:r>
      <w:r w:rsidR="008F6F33" w:rsidRPr="00B7030D">
        <w:rPr>
          <w:rFonts w:hint="cs"/>
          <w:rtl/>
        </w:rPr>
        <w:t xml:space="preserve"> </w:t>
      </w:r>
      <w:r w:rsidR="008F6F33" w:rsidRPr="00B7030D">
        <w:t>CBD/COP/14/12/Add.1</w:t>
      </w:r>
      <w:r w:rsidR="008F6F33" w:rsidRPr="00B7030D">
        <w:rPr>
          <w:rFonts w:hint="cs"/>
          <w:rtl/>
        </w:rPr>
        <w:t>.</w:t>
      </w:r>
    </w:p>
    <w:p w:rsidR="0084429A" w:rsidRPr="00B7030D" w:rsidRDefault="008F6F33" w:rsidP="00897427">
      <w:pPr>
        <w:numPr>
          <w:ilvl w:val="0"/>
          <w:numId w:val="6"/>
        </w:numPr>
        <w:spacing w:line="204" w:lineRule="auto"/>
        <w:ind w:left="0" w:firstLine="0"/>
      </w:pPr>
      <w:r w:rsidRPr="00B7030D">
        <w:rPr>
          <w:rFonts w:hint="cs"/>
          <w:rtl/>
        </w:rPr>
        <w:t>وقدم عرضان بالفيديو، أعد أولهما حكومة المكسيك بشأن تعميم التنوع البيولوجي، والثاني أعدته حكومة مصر عن التنوع البيولوجي وعلاقته الحيوية لبقاء البشرية. كما كان هناك عرض من أطفال المدارس عن أهمية التنوع البيولوجي.</w:t>
      </w:r>
    </w:p>
    <w:p w:rsidR="0084429A" w:rsidRPr="00B7030D" w:rsidRDefault="008F6F33" w:rsidP="00897427">
      <w:pPr>
        <w:numPr>
          <w:ilvl w:val="0"/>
          <w:numId w:val="6"/>
        </w:numPr>
        <w:spacing w:line="204" w:lineRule="auto"/>
        <w:ind w:left="0" w:firstLine="0"/>
      </w:pPr>
      <w:r w:rsidRPr="00B7030D">
        <w:rPr>
          <w:rFonts w:hint="cs"/>
          <w:rtl/>
        </w:rPr>
        <w:t>وفي الجلسة العامة الثانية للاجتماع، المنعقدة في 17 نوفمبر/تشرين الثاني 2018، أدلى ببيانات السيدة أمينة محمد، نائبة الأمين ال</w:t>
      </w:r>
      <w:r w:rsidR="00897427">
        <w:rPr>
          <w:rFonts w:hint="cs"/>
          <w:rtl/>
        </w:rPr>
        <w:t>عام</w:t>
      </w:r>
      <w:r w:rsidRPr="00B7030D">
        <w:rPr>
          <w:rFonts w:hint="cs"/>
          <w:rtl/>
        </w:rPr>
        <w:t xml:space="preserve"> للأمم المتحدة، عن طريق الفيديو، والسيد</w:t>
      </w:r>
      <w:r w:rsidR="00461566" w:rsidRPr="00B7030D">
        <w:rPr>
          <w:rFonts w:hint="cs"/>
          <w:rtl/>
        </w:rPr>
        <w:t>ة</w:t>
      </w:r>
      <w:r w:rsidRPr="00B7030D">
        <w:rPr>
          <w:rFonts w:hint="cs"/>
          <w:rtl/>
        </w:rPr>
        <w:t xml:space="preserve"> كورتي ب</w:t>
      </w:r>
      <w:r w:rsidR="00B7030D" w:rsidRPr="00B7030D">
        <w:rPr>
          <w:rFonts w:hint="cs"/>
          <w:rtl/>
        </w:rPr>
        <w:t>ري</w:t>
      </w:r>
      <w:r w:rsidRPr="00B7030D">
        <w:rPr>
          <w:rFonts w:hint="cs"/>
          <w:rtl/>
        </w:rPr>
        <w:t>توريوس، نائب</w:t>
      </w:r>
      <w:r w:rsidR="00B7030D" w:rsidRPr="00B7030D">
        <w:rPr>
          <w:rFonts w:hint="cs"/>
          <w:rtl/>
        </w:rPr>
        <w:t>ة</w:t>
      </w:r>
      <w:r w:rsidRPr="00B7030D">
        <w:rPr>
          <w:rFonts w:hint="cs"/>
          <w:rtl/>
        </w:rPr>
        <w:t xml:space="preserve"> مدير المركز العالمي لرصد الحفظ التابع لبرنامج الأمم المتحدة للبيئة (يونيب).</w:t>
      </w:r>
    </w:p>
    <w:p w:rsidR="0084429A" w:rsidRPr="00B7030D" w:rsidRDefault="008F6F33" w:rsidP="00897427">
      <w:pPr>
        <w:numPr>
          <w:ilvl w:val="0"/>
          <w:numId w:val="6"/>
        </w:numPr>
        <w:spacing w:line="204" w:lineRule="auto"/>
        <w:ind w:left="0" w:firstLine="0"/>
      </w:pPr>
      <w:r w:rsidRPr="00B7030D">
        <w:rPr>
          <w:rFonts w:hint="cs"/>
          <w:rtl/>
        </w:rPr>
        <w:t>وشاهد الممثلون فيلمين، أحدهما من الجمعية الوطنية للجغرافيا، وال</w:t>
      </w:r>
      <w:r w:rsidR="00B7030D" w:rsidRPr="00B7030D">
        <w:rPr>
          <w:rFonts w:hint="cs"/>
          <w:rtl/>
        </w:rPr>
        <w:t>آخر</w:t>
      </w:r>
      <w:r w:rsidRPr="00B7030D">
        <w:rPr>
          <w:rFonts w:hint="cs"/>
          <w:rtl/>
        </w:rPr>
        <w:t xml:space="preserve"> من الصندوق العالمي للطبيعة</w:t>
      </w:r>
      <w:r w:rsidR="00B7030D" w:rsidRPr="00B7030D">
        <w:rPr>
          <w:rFonts w:hint="cs"/>
          <w:rtl/>
        </w:rPr>
        <w:t xml:space="preserve"> </w:t>
      </w:r>
      <w:r w:rsidR="00B7030D" w:rsidRPr="00B7030D">
        <w:t>(WWF)</w:t>
      </w:r>
      <w:r w:rsidRPr="00B7030D">
        <w:rPr>
          <w:rFonts w:hint="cs"/>
          <w:rtl/>
        </w:rPr>
        <w:t>، فضلا عن رسالة بالفيديو من السيد بول م</w:t>
      </w:r>
      <w:r w:rsidR="00B7030D" w:rsidRPr="00B7030D">
        <w:rPr>
          <w:rFonts w:hint="cs"/>
          <w:rtl/>
        </w:rPr>
        <w:t>ك</w:t>
      </w:r>
      <w:r w:rsidRPr="00B7030D">
        <w:rPr>
          <w:rFonts w:hint="cs"/>
          <w:rtl/>
        </w:rPr>
        <w:t>ارتني.</w:t>
      </w:r>
    </w:p>
    <w:p w:rsidR="0084429A" w:rsidRPr="00B7030D" w:rsidRDefault="008F6F33" w:rsidP="006D0288">
      <w:pPr>
        <w:numPr>
          <w:ilvl w:val="0"/>
          <w:numId w:val="6"/>
        </w:numPr>
        <w:spacing w:line="204" w:lineRule="auto"/>
        <w:ind w:left="0" w:firstLine="0"/>
      </w:pPr>
      <w:r w:rsidRPr="00B7030D">
        <w:rPr>
          <w:rFonts w:hint="cs"/>
          <w:rtl/>
        </w:rPr>
        <w:t>وأدلى ببيانات عامة ممثلو الأرجنتين (بالنيابة عن مجموعة أمريكا اللاتينية و</w:t>
      </w:r>
      <w:r w:rsidR="00B7030D" w:rsidRPr="00B7030D">
        <w:rPr>
          <w:rFonts w:hint="cs"/>
          <w:rtl/>
        </w:rPr>
        <w:t>ال</w:t>
      </w:r>
      <w:r w:rsidRPr="00B7030D">
        <w:rPr>
          <w:rFonts w:hint="cs"/>
          <w:rtl/>
        </w:rPr>
        <w:t>بحر الكاريبي)، وكندا (بالنيابة عن مجموعة بلدان عدم الانحياز)، والاتحاد</w:t>
      </w:r>
      <w:r w:rsidR="006D0288">
        <w:rPr>
          <w:rFonts w:hint="cs"/>
          <w:rtl/>
        </w:rPr>
        <w:t xml:space="preserve"> الأوروبي ودوله الأعضاء الثماني</w:t>
      </w:r>
      <w:r w:rsidRPr="00B7030D">
        <w:rPr>
          <w:rFonts w:hint="cs"/>
          <w:rtl/>
        </w:rPr>
        <w:t xml:space="preserve"> والعشر</w:t>
      </w:r>
      <w:r w:rsidR="006D0288">
        <w:rPr>
          <w:rFonts w:hint="cs"/>
          <w:rtl/>
        </w:rPr>
        <w:t>ي</w:t>
      </w:r>
      <w:r w:rsidRPr="00B7030D">
        <w:rPr>
          <w:rFonts w:hint="cs"/>
          <w:rtl/>
        </w:rPr>
        <w:t xml:space="preserve">ن، وبيلاروس (بالنيابة عن بلدان أوروبا الوسطى والشرقية)، ورواندا (بالنيابة عن المجموعة الأفريقية) وماليزيا (بالنيابة عن </w:t>
      </w:r>
      <w:r w:rsidR="00E9683E" w:rsidRPr="00B7030D">
        <w:rPr>
          <w:rtl/>
        </w:rPr>
        <w:t>مجموعة البلدان ذات التنوع البيولوجي الشديد المتقاربة التفكير</w:t>
      </w:r>
      <w:r w:rsidR="00E9683E" w:rsidRPr="00B7030D">
        <w:rPr>
          <w:rFonts w:hint="cs"/>
          <w:rtl/>
        </w:rPr>
        <w:t>).</w:t>
      </w:r>
    </w:p>
    <w:p w:rsidR="0084429A" w:rsidRPr="00B7030D" w:rsidRDefault="00E9683E" w:rsidP="00897427">
      <w:pPr>
        <w:numPr>
          <w:ilvl w:val="0"/>
          <w:numId w:val="6"/>
        </w:numPr>
        <w:spacing w:line="204" w:lineRule="auto"/>
        <w:ind w:left="0" w:firstLine="0"/>
      </w:pPr>
      <w:r w:rsidRPr="00B7030D">
        <w:rPr>
          <w:rFonts w:hint="cs"/>
          <w:rtl/>
        </w:rPr>
        <w:t>وأ</w:t>
      </w:r>
      <w:r w:rsidR="00B7030D" w:rsidRPr="00B7030D">
        <w:rPr>
          <w:rFonts w:hint="cs"/>
          <w:rtl/>
        </w:rPr>
        <w:t>د</w:t>
      </w:r>
      <w:r w:rsidRPr="00B7030D">
        <w:rPr>
          <w:rFonts w:hint="cs"/>
          <w:rtl/>
        </w:rPr>
        <w:t xml:space="preserve">لى ببيانات أيضا ممثلو شبكة نساء الشعوب الأصلية المعنية بالتنوع البيولوجي </w:t>
      </w:r>
      <w:r w:rsidRPr="00B7030D">
        <w:t>(IWBN)</w:t>
      </w:r>
      <w:r w:rsidRPr="00B7030D">
        <w:rPr>
          <w:rFonts w:hint="cs"/>
          <w:rtl/>
        </w:rPr>
        <w:t xml:space="preserve">، والمنتدى الدولي للشعوب الأصلية المعني بالتنوع البيولوجي </w:t>
      </w:r>
      <w:r w:rsidRPr="00B7030D">
        <w:t>(IIFB)</w:t>
      </w:r>
      <w:r w:rsidRPr="00B7030D">
        <w:rPr>
          <w:rFonts w:hint="cs"/>
          <w:rtl/>
        </w:rPr>
        <w:t xml:space="preserve">، والتحالف المعني باتفاقية التنوع البيولوجي والشبكة العالمية للشباب المعنية بالتنوع البيولوجي </w:t>
      </w:r>
      <w:r w:rsidRPr="00B7030D">
        <w:t>(GYBN)</w:t>
      </w:r>
      <w:r w:rsidRPr="00B7030D">
        <w:rPr>
          <w:rFonts w:hint="cs"/>
          <w:rtl/>
        </w:rPr>
        <w:t xml:space="preserve">، والمنبر الحكومي الدولي للعلوم والسياسات في مجال التنوع البيولوجي وخدمات النظم الإيكولوجية </w:t>
      </w:r>
      <w:r w:rsidRPr="00B7030D">
        <w:t>(IPBES)</w:t>
      </w:r>
      <w:r w:rsidRPr="00B7030D">
        <w:rPr>
          <w:rFonts w:hint="cs"/>
          <w:rtl/>
        </w:rPr>
        <w:t>.</w:t>
      </w:r>
    </w:p>
    <w:p w:rsidR="0084429A" w:rsidRPr="00B7030D" w:rsidRDefault="00B7030D" w:rsidP="00897427">
      <w:pPr>
        <w:numPr>
          <w:ilvl w:val="0"/>
          <w:numId w:val="6"/>
        </w:numPr>
        <w:spacing w:line="204" w:lineRule="auto"/>
        <w:ind w:left="0" w:firstLine="0"/>
      </w:pPr>
      <w:r>
        <w:rPr>
          <w:rFonts w:hint="cs"/>
          <w:rtl/>
        </w:rPr>
        <w:t>وت</w:t>
      </w:r>
      <w:r w:rsidR="00E9683E" w:rsidRPr="00B7030D">
        <w:rPr>
          <w:rFonts w:hint="cs"/>
          <w:rtl/>
        </w:rPr>
        <w:t>رد ملخصات للبيانات الافتتاحية في المرفق الثاني بالتقرير الحالي.</w:t>
      </w:r>
    </w:p>
    <w:p w:rsidR="005A6EB5" w:rsidRPr="007E4A33" w:rsidRDefault="005A6EB5" w:rsidP="00897427">
      <w:pPr>
        <w:pStyle w:val="Heading2"/>
        <w:spacing w:line="204" w:lineRule="auto"/>
        <w:rPr>
          <w:rtl/>
        </w:rPr>
      </w:pPr>
      <w:bookmarkStart w:id="218" w:name="_Toc6140005"/>
      <w:r w:rsidRPr="007E4A33">
        <w:rPr>
          <w:rFonts w:hint="cs"/>
          <w:rtl/>
        </w:rPr>
        <w:t>البند 2 -</w:t>
      </w:r>
      <w:r w:rsidRPr="007E4A33">
        <w:rPr>
          <w:rFonts w:hint="cs"/>
          <w:rtl/>
        </w:rPr>
        <w:tab/>
        <w:t>إقرار جدول الأعمال وتنظيم العمل</w:t>
      </w:r>
      <w:bookmarkEnd w:id="218"/>
    </w:p>
    <w:p w:rsidR="005A6EB5" w:rsidRPr="00B7030D" w:rsidRDefault="005A6EB5" w:rsidP="00897427">
      <w:pPr>
        <w:spacing w:line="204" w:lineRule="auto"/>
        <w:jc w:val="center"/>
        <w:rPr>
          <w:i/>
          <w:iCs/>
        </w:rPr>
      </w:pPr>
      <w:r w:rsidRPr="00B7030D">
        <w:rPr>
          <w:rFonts w:hint="cs"/>
          <w:i/>
          <w:iCs/>
          <w:rtl/>
        </w:rPr>
        <w:t>إقرار جدول الأعمال</w:t>
      </w:r>
    </w:p>
    <w:p w:rsidR="005A6EB5" w:rsidRPr="00B7030D" w:rsidRDefault="005A6EB5" w:rsidP="00897427">
      <w:pPr>
        <w:numPr>
          <w:ilvl w:val="0"/>
          <w:numId w:val="6"/>
        </w:numPr>
        <w:spacing w:line="204" w:lineRule="auto"/>
        <w:ind w:left="0" w:firstLine="0"/>
      </w:pPr>
      <w:r w:rsidRPr="00B7030D">
        <w:rPr>
          <w:rFonts w:hint="cs"/>
          <w:rtl/>
        </w:rPr>
        <w:t xml:space="preserve">في الجلسة العامة الثانية للاجتماع، المنعقدة في 17 نوفمبر/تشرين الثاني 2018، أقر مؤتمر الأطراف جدول الأعمال التالي على أساس جدول الأعمال المؤقت الذي أعدته الأمينة التنفيذية بالتشاور مع المكتب </w:t>
      </w:r>
      <w:r w:rsidRPr="00B7030D">
        <w:t>(CBD/COP/14/1)</w:t>
      </w:r>
      <w:r w:rsidRPr="00B7030D">
        <w:rPr>
          <w:rFonts w:hint="cs"/>
          <w:rtl/>
        </w:rPr>
        <w:t>.</w:t>
      </w:r>
    </w:p>
    <w:p w:rsidR="005A6EB5" w:rsidRPr="00B7030D" w:rsidRDefault="005A6EB5" w:rsidP="00897427">
      <w:pPr>
        <w:pStyle w:val="ListParagraph"/>
        <w:numPr>
          <w:ilvl w:val="0"/>
          <w:numId w:val="8"/>
        </w:numPr>
        <w:bidi/>
        <w:spacing w:after="80" w:line="204" w:lineRule="auto"/>
        <w:ind w:left="1440" w:hanging="720"/>
        <w:rPr>
          <w:rFonts w:cs="Simplified Arabic"/>
        </w:rPr>
      </w:pPr>
      <w:r w:rsidRPr="00B7030D">
        <w:rPr>
          <w:rFonts w:cs="Simplified Arabic" w:hint="cs"/>
          <w:rtl/>
        </w:rPr>
        <w:t>افتتاح الاجتماع.</w:t>
      </w:r>
    </w:p>
    <w:p w:rsidR="005A6EB5" w:rsidRPr="00B7030D" w:rsidRDefault="005A6EB5" w:rsidP="00EB61BD">
      <w:pPr>
        <w:pStyle w:val="ListParagraph"/>
        <w:numPr>
          <w:ilvl w:val="0"/>
          <w:numId w:val="8"/>
        </w:numPr>
        <w:bidi/>
        <w:spacing w:after="80" w:line="204" w:lineRule="auto"/>
        <w:ind w:left="1440" w:hanging="720"/>
        <w:rPr>
          <w:rFonts w:cs="Simplified Arabic"/>
          <w:rtl/>
        </w:rPr>
      </w:pPr>
      <w:r w:rsidRPr="00B7030D">
        <w:rPr>
          <w:rFonts w:cs="Simplified Arabic" w:hint="cs"/>
          <w:rtl/>
        </w:rPr>
        <w:t>المسائل التنظيمية.</w:t>
      </w:r>
    </w:p>
    <w:p w:rsidR="005A6EB5" w:rsidRPr="00B7030D" w:rsidRDefault="005A6EB5" w:rsidP="00EB61BD">
      <w:pPr>
        <w:numPr>
          <w:ilvl w:val="0"/>
          <w:numId w:val="8"/>
        </w:numPr>
        <w:spacing w:after="80" w:line="204" w:lineRule="auto"/>
        <w:ind w:left="1440" w:hanging="720"/>
      </w:pPr>
      <w:r w:rsidRPr="00B7030D">
        <w:rPr>
          <w:rFonts w:hint="cs"/>
          <w:rtl/>
        </w:rPr>
        <w:lastRenderedPageBreak/>
        <w:t>تقرير</w:t>
      </w:r>
      <w:r w:rsidRPr="00B7030D">
        <w:rPr>
          <w:rFonts w:hint="eastAsia"/>
          <w:rtl/>
        </w:rPr>
        <w:t xml:space="preserve"> </w:t>
      </w:r>
      <w:r w:rsidRPr="00B7030D">
        <w:rPr>
          <w:rFonts w:hint="cs"/>
          <w:rtl/>
        </w:rPr>
        <w:t>عن</w:t>
      </w:r>
      <w:r w:rsidRPr="00B7030D">
        <w:rPr>
          <w:rFonts w:hint="eastAsia"/>
          <w:rtl/>
        </w:rPr>
        <w:t xml:space="preserve"> </w:t>
      </w:r>
      <w:r w:rsidRPr="00B7030D">
        <w:rPr>
          <w:rFonts w:hint="cs"/>
          <w:rtl/>
        </w:rPr>
        <w:t>وثائق</w:t>
      </w:r>
      <w:r w:rsidRPr="00B7030D">
        <w:rPr>
          <w:rFonts w:hint="eastAsia"/>
          <w:rtl/>
        </w:rPr>
        <w:t xml:space="preserve"> </w:t>
      </w:r>
      <w:r w:rsidRPr="00B7030D">
        <w:rPr>
          <w:rFonts w:hint="cs"/>
          <w:rtl/>
        </w:rPr>
        <w:t>تفويض</w:t>
      </w:r>
      <w:r w:rsidRPr="00B7030D">
        <w:rPr>
          <w:rFonts w:hint="eastAsia"/>
          <w:rtl/>
        </w:rPr>
        <w:t xml:space="preserve"> </w:t>
      </w:r>
      <w:r w:rsidRPr="00B7030D">
        <w:rPr>
          <w:rFonts w:hint="cs"/>
          <w:rtl/>
        </w:rPr>
        <w:t>الممثلين</w:t>
      </w:r>
      <w:r w:rsidRPr="00B7030D">
        <w:rPr>
          <w:rFonts w:hint="eastAsia"/>
          <w:rtl/>
        </w:rPr>
        <w:t xml:space="preserve"> </w:t>
      </w:r>
      <w:r w:rsidRPr="00B7030D">
        <w:rPr>
          <w:rFonts w:hint="cs"/>
          <w:rtl/>
        </w:rPr>
        <w:t>إلى</w:t>
      </w:r>
      <w:r w:rsidRPr="00B7030D">
        <w:rPr>
          <w:rFonts w:hint="eastAsia"/>
          <w:rtl/>
        </w:rPr>
        <w:t xml:space="preserve"> </w:t>
      </w:r>
      <w:r w:rsidRPr="00B7030D">
        <w:rPr>
          <w:rFonts w:hint="cs"/>
          <w:rtl/>
        </w:rPr>
        <w:t>الاجتماع الرابع عشر لمؤتمر الأطراف</w:t>
      </w:r>
      <w:r w:rsidRPr="00B7030D">
        <w:rPr>
          <w:rFonts w:hint="cs"/>
          <w:rtl/>
          <w:lang w:bidi="ar-LY"/>
        </w:rPr>
        <w:t>.</w:t>
      </w:r>
    </w:p>
    <w:p w:rsidR="005A6EB5" w:rsidRPr="00B7030D" w:rsidRDefault="005A6EB5" w:rsidP="00EB61BD">
      <w:pPr>
        <w:numPr>
          <w:ilvl w:val="0"/>
          <w:numId w:val="8"/>
        </w:numPr>
        <w:spacing w:after="80" w:line="204" w:lineRule="auto"/>
        <w:ind w:left="1440" w:hanging="720"/>
      </w:pPr>
      <w:r w:rsidRPr="00B7030D">
        <w:rPr>
          <w:rFonts w:hint="cs"/>
          <w:rtl/>
        </w:rPr>
        <w:t>القضايا المعلقة.</w:t>
      </w:r>
    </w:p>
    <w:p w:rsidR="005A6EB5" w:rsidRPr="00B7030D" w:rsidRDefault="005A6EB5" w:rsidP="00EB61BD">
      <w:pPr>
        <w:numPr>
          <w:ilvl w:val="0"/>
          <w:numId w:val="8"/>
        </w:numPr>
        <w:spacing w:after="80" w:line="204" w:lineRule="auto"/>
        <w:ind w:left="1440" w:hanging="720"/>
      </w:pPr>
      <w:r w:rsidRPr="00B7030D">
        <w:rPr>
          <w:rFonts w:hint="cs"/>
          <w:rtl/>
        </w:rPr>
        <w:t>تاريخ ومكان الاجتماعات القادمة لمؤتمر الأطراف.</w:t>
      </w:r>
    </w:p>
    <w:p w:rsidR="005A6EB5" w:rsidRPr="00B7030D" w:rsidRDefault="005A6EB5" w:rsidP="00EB61BD">
      <w:pPr>
        <w:numPr>
          <w:ilvl w:val="0"/>
          <w:numId w:val="8"/>
        </w:numPr>
        <w:spacing w:after="80" w:line="204" w:lineRule="auto"/>
        <w:ind w:left="1440" w:hanging="720"/>
      </w:pPr>
      <w:r w:rsidRPr="00B7030D">
        <w:rPr>
          <w:rFonts w:hint="cs"/>
          <w:rtl/>
        </w:rPr>
        <w:t>تقارير</w:t>
      </w:r>
      <w:r w:rsidRPr="00B7030D">
        <w:rPr>
          <w:rFonts w:hint="eastAsia"/>
          <w:rtl/>
        </w:rPr>
        <w:t xml:space="preserve"> </w:t>
      </w:r>
      <w:r w:rsidRPr="00B7030D">
        <w:rPr>
          <w:rFonts w:hint="cs"/>
          <w:rtl/>
        </w:rPr>
        <w:t>عن الاجتماعات</w:t>
      </w:r>
      <w:r w:rsidRPr="00B7030D">
        <w:rPr>
          <w:rFonts w:hint="eastAsia"/>
          <w:rtl/>
        </w:rPr>
        <w:t xml:space="preserve"> </w:t>
      </w:r>
      <w:r w:rsidRPr="00B7030D">
        <w:rPr>
          <w:rFonts w:hint="cs"/>
          <w:rtl/>
        </w:rPr>
        <w:t>المنعقدة</w:t>
      </w:r>
      <w:r w:rsidRPr="00B7030D">
        <w:rPr>
          <w:rFonts w:hint="eastAsia"/>
          <w:rtl/>
        </w:rPr>
        <w:t xml:space="preserve"> </w:t>
      </w:r>
      <w:r w:rsidRPr="00B7030D">
        <w:rPr>
          <w:rFonts w:hint="cs"/>
          <w:rtl/>
        </w:rPr>
        <w:t>بين</w:t>
      </w:r>
      <w:r w:rsidRPr="00B7030D">
        <w:rPr>
          <w:rFonts w:hint="eastAsia"/>
          <w:rtl/>
        </w:rPr>
        <w:t xml:space="preserve"> </w:t>
      </w:r>
      <w:r w:rsidRPr="00B7030D">
        <w:rPr>
          <w:rFonts w:hint="cs"/>
          <w:rtl/>
        </w:rPr>
        <w:t>الدورات</w:t>
      </w:r>
      <w:r w:rsidRPr="00B7030D">
        <w:rPr>
          <w:rFonts w:hint="eastAsia"/>
          <w:rtl/>
        </w:rPr>
        <w:t xml:space="preserve"> </w:t>
      </w:r>
      <w:r w:rsidRPr="00B7030D">
        <w:rPr>
          <w:rFonts w:hint="cs"/>
          <w:rtl/>
        </w:rPr>
        <w:t>والاجتماعات التحضيرية الإقليمية.</w:t>
      </w:r>
    </w:p>
    <w:p w:rsidR="005A6EB5" w:rsidRPr="00B7030D" w:rsidRDefault="005A6EB5" w:rsidP="00EB61BD">
      <w:pPr>
        <w:numPr>
          <w:ilvl w:val="0"/>
          <w:numId w:val="8"/>
        </w:numPr>
        <w:spacing w:after="80" w:line="204" w:lineRule="auto"/>
        <w:ind w:left="1440" w:hanging="720"/>
      </w:pPr>
      <w:r w:rsidRPr="00B7030D">
        <w:rPr>
          <w:rFonts w:hint="cs"/>
          <w:rtl/>
        </w:rPr>
        <w:t>إدارة الاتفاقية وميزانية الصناديق الاستئمانية.</w:t>
      </w:r>
    </w:p>
    <w:p w:rsidR="005A6EB5" w:rsidRPr="00B7030D" w:rsidRDefault="005A6EB5" w:rsidP="00EB61BD">
      <w:pPr>
        <w:numPr>
          <w:ilvl w:val="0"/>
          <w:numId w:val="8"/>
        </w:numPr>
        <w:spacing w:after="80" w:line="204" w:lineRule="auto"/>
        <w:ind w:left="1440" w:hanging="720"/>
      </w:pPr>
      <w:r w:rsidRPr="00B7030D">
        <w:rPr>
          <w:rFonts w:hint="cs"/>
          <w:rtl/>
        </w:rPr>
        <w:t>استعراض التقدم المحرز في تنفيذ الاتفاقية والخطة الاستراتيجية للتنوع البيولوجي 2011-2020.</w:t>
      </w:r>
    </w:p>
    <w:p w:rsidR="005A6EB5" w:rsidRPr="00B7030D" w:rsidRDefault="005A6EB5" w:rsidP="00EB61BD">
      <w:pPr>
        <w:numPr>
          <w:ilvl w:val="0"/>
          <w:numId w:val="8"/>
        </w:numPr>
        <w:spacing w:after="80" w:line="204" w:lineRule="auto"/>
        <w:ind w:left="1440" w:hanging="720"/>
      </w:pPr>
      <w:r w:rsidRPr="00B7030D">
        <w:rPr>
          <w:rFonts w:hint="cs"/>
          <w:rtl/>
        </w:rPr>
        <w:t>حشد الموارد والآلية المالية.</w:t>
      </w:r>
    </w:p>
    <w:p w:rsidR="005A6EB5" w:rsidRPr="00B7030D" w:rsidRDefault="005A6EB5" w:rsidP="00EB61BD">
      <w:pPr>
        <w:numPr>
          <w:ilvl w:val="0"/>
          <w:numId w:val="8"/>
        </w:numPr>
        <w:spacing w:after="80" w:line="204" w:lineRule="auto"/>
        <w:ind w:left="1440" w:hanging="720"/>
      </w:pPr>
      <w:r w:rsidRPr="00B7030D">
        <w:rPr>
          <w:rFonts w:hint="cs"/>
          <w:rtl/>
        </w:rPr>
        <w:t>بناء القدرات والتعاون التقني والعلمي.</w:t>
      </w:r>
    </w:p>
    <w:p w:rsidR="005A6EB5" w:rsidRPr="00B7030D" w:rsidRDefault="005A6EB5" w:rsidP="00EB61BD">
      <w:pPr>
        <w:numPr>
          <w:ilvl w:val="0"/>
          <w:numId w:val="8"/>
        </w:numPr>
        <w:spacing w:after="80" w:line="204" w:lineRule="auto"/>
        <w:ind w:left="1440" w:hanging="720"/>
      </w:pPr>
      <w:r w:rsidRPr="00B7030D">
        <w:rPr>
          <w:rFonts w:hint="cs"/>
          <w:rtl/>
        </w:rPr>
        <w:t>إدارة المعارف والاتصال.</w:t>
      </w:r>
    </w:p>
    <w:p w:rsidR="005A6EB5" w:rsidRPr="00B7030D" w:rsidRDefault="005A6EB5" w:rsidP="00EB61BD">
      <w:pPr>
        <w:numPr>
          <w:ilvl w:val="0"/>
          <w:numId w:val="8"/>
        </w:numPr>
        <w:spacing w:after="80" w:line="204" w:lineRule="auto"/>
        <w:ind w:left="1440" w:hanging="720"/>
      </w:pPr>
      <w:r w:rsidRPr="00B7030D">
        <w:rPr>
          <w:rFonts w:hint="cs"/>
          <w:rtl/>
        </w:rPr>
        <w:t>آليات للإبلاغ الوطني، والتقييم والاستعراض.</w:t>
      </w:r>
    </w:p>
    <w:p w:rsidR="005A6EB5" w:rsidRPr="00B7030D" w:rsidRDefault="005A6EB5" w:rsidP="00EB61BD">
      <w:pPr>
        <w:numPr>
          <w:ilvl w:val="0"/>
          <w:numId w:val="8"/>
        </w:numPr>
        <w:spacing w:after="80" w:line="204" w:lineRule="auto"/>
        <w:ind w:left="1440" w:hanging="720"/>
      </w:pPr>
      <w:r w:rsidRPr="00B7030D">
        <w:rPr>
          <w:rFonts w:hint="cs"/>
          <w:rtl/>
        </w:rPr>
        <w:t>تعزيز التكامل في إطار الاتفاقية وبروتوكوليها فيما يتعلق بالأحكام المتصلة بالحصول وتقاسم المنافع، والسلامة الأحيائية، والمادة 8(ي) والأحكام المتصلة بها.</w:t>
      </w:r>
    </w:p>
    <w:p w:rsidR="005A6EB5" w:rsidRPr="00B7030D" w:rsidRDefault="005A6EB5" w:rsidP="00EB61BD">
      <w:pPr>
        <w:numPr>
          <w:ilvl w:val="0"/>
          <w:numId w:val="8"/>
        </w:numPr>
        <w:spacing w:after="80" w:line="204" w:lineRule="auto"/>
        <w:ind w:left="1440" w:hanging="720"/>
      </w:pPr>
      <w:r w:rsidRPr="00B7030D">
        <w:rPr>
          <w:rFonts w:hint="cs"/>
          <w:rtl/>
        </w:rPr>
        <w:t>التعاون مع الاتفاقيات والمنظمات والمبادرات الدولية الأخرى.</w:t>
      </w:r>
    </w:p>
    <w:p w:rsidR="005A6EB5" w:rsidRPr="00B7030D" w:rsidRDefault="005A6EB5" w:rsidP="00EB61BD">
      <w:pPr>
        <w:numPr>
          <w:ilvl w:val="0"/>
          <w:numId w:val="8"/>
        </w:numPr>
        <w:spacing w:after="80" w:line="204" w:lineRule="auto"/>
        <w:ind w:left="1440" w:hanging="720"/>
      </w:pPr>
      <w:r w:rsidRPr="00B7030D">
        <w:rPr>
          <w:rFonts w:hint="cs"/>
          <w:rtl/>
        </w:rPr>
        <w:t>استعراض فاعلية العمليات في إطار الاتفاقية وبروتوكوليها.</w:t>
      </w:r>
    </w:p>
    <w:p w:rsidR="005A6EB5" w:rsidRPr="00B7030D" w:rsidRDefault="005A6EB5" w:rsidP="00EB61BD">
      <w:pPr>
        <w:numPr>
          <w:ilvl w:val="0"/>
          <w:numId w:val="8"/>
        </w:numPr>
        <w:spacing w:after="80" w:line="204" w:lineRule="auto"/>
        <w:ind w:left="1440" w:hanging="720"/>
      </w:pPr>
      <w:r w:rsidRPr="00B7030D">
        <w:rPr>
          <w:rFonts w:hint="cs"/>
          <w:rtl/>
        </w:rPr>
        <w:t>برنامج العمل الثاني للمنبر الحكومي الدولي في مجال التنوع البيولوجي وخدمات النظم الإيكولوجية.</w:t>
      </w:r>
    </w:p>
    <w:p w:rsidR="005A6EB5" w:rsidRPr="00B7030D" w:rsidRDefault="005A6EB5" w:rsidP="00EB61BD">
      <w:pPr>
        <w:numPr>
          <w:ilvl w:val="0"/>
          <w:numId w:val="8"/>
        </w:numPr>
        <w:spacing w:after="80" w:line="204" w:lineRule="auto"/>
        <w:ind w:left="1440" w:hanging="720"/>
      </w:pPr>
      <w:r w:rsidRPr="00B7030D">
        <w:rPr>
          <w:rFonts w:hint="cs"/>
          <w:rtl/>
        </w:rPr>
        <w:t xml:space="preserve">التوجهات الاستراتيجية طويلة الأجل لرؤية عام 2050 للتنوع البيولوجي، ونُهج الحياة في تناغم مع الطبيعة والتحضير للإطار العالمي للتنوع البيولوجي </w:t>
      </w:r>
      <w:r w:rsidR="00356BE7">
        <w:rPr>
          <w:rFonts w:hint="cs"/>
          <w:rtl/>
        </w:rPr>
        <w:t>ل</w:t>
      </w:r>
      <w:r w:rsidRPr="00B7030D">
        <w:rPr>
          <w:rFonts w:hint="cs"/>
          <w:rtl/>
        </w:rPr>
        <w:t>ما بعد عام 2020.</w:t>
      </w:r>
    </w:p>
    <w:p w:rsidR="005A6EB5" w:rsidRPr="00B7030D" w:rsidRDefault="005A6EB5" w:rsidP="00EB61BD">
      <w:pPr>
        <w:numPr>
          <w:ilvl w:val="0"/>
          <w:numId w:val="8"/>
        </w:numPr>
        <w:spacing w:after="80" w:line="204" w:lineRule="auto"/>
        <w:ind w:left="1440" w:hanging="720"/>
      </w:pPr>
      <w:r w:rsidRPr="00B7030D">
        <w:rPr>
          <w:rFonts w:hint="cs"/>
          <w:rtl/>
        </w:rPr>
        <w:t>معلومات التسلسل الرقمي بشأن الموارد الجينية.</w:t>
      </w:r>
    </w:p>
    <w:p w:rsidR="005A6EB5" w:rsidRPr="00B7030D" w:rsidRDefault="005A6EB5" w:rsidP="00EB61BD">
      <w:pPr>
        <w:numPr>
          <w:ilvl w:val="0"/>
          <w:numId w:val="8"/>
        </w:numPr>
        <w:spacing w:after="80" w:line="204" w:lineRule="auto"/>
        <w:ind w:left="1440" w:hanging="720"/>
      </w:pPr>
      <w:r w:rsidRPr="00B7030D">
        <w:rPr>
          <w:rFonts w:hint="cs"/>
          <w:rtl/>
        </w:rPr>
        <w:t>المادة 8(ي) والأحكام المتصلة بها.</w:t>
      </w:r>
    </w:p>
    <w:p w:rsidR="005A6EB5" w:rsidRPr="00B7030D" w:rsidRDefault="005A6EB5" w:rsidP="00EB61BD">
      <w:pPr>
        <w:numPr>
          <w:ilvl w:val="0"/>
          <w:numId w:val="8"/>
        </w:numPr>
        <w:spacing w:after="80" w:line="204" w:lineRule="auto"/>
        <w:ind w:left="1440" w:hanging="720"/>
      </w:pPr>
      <w:r w:rsidRPr="00B7030D">
        <w:rPr>
          <w:rFonts w:hint="cs"/>
          <w:rtl/>
        </w:rPr>
        <w:t>الإدارة المستدامة للأحياء البرية.</w:t>
      </w:r>
    </w:p>
    <w:p w:rsidR="005A6EB5" w:rsidRPr="00B7030D" w:rsidRDefault="005A6EB5" w:rsidP="00EB61BD">
      <w:pPr>
        <w:numPr>
          <w:ilvl w:val="0"/>
          <w:numId w:val="8"/>
        </w:numPr>
        <w:spacing w:after="80" w:line="204" w:lineRule="auto"/>
        <w:ind w:left="1440" w:hanging="720"/>
      </w:pPr>
      <w:r w:rsidRPr="00B7030D">
        <w:rPr>
          <w:rFonts w:hint="cs"/>
          <w:rtl/>
        </w:rPr>
        <w:t>التنوع البيولوجي وتغير المناخ.</w:t>
      </w:r>
    </w:p>
    <w:p w:rsidR="005A6EB5" w:rsidRPr="00B7030D" w:rsidRDefault="005A6EB5" w:rsidP="00EB61BD">
      <w:pPr>
        <w:numPr>
          <w:ilvl w:val="0"/>
          <w:numId w:val="8"/>
        </w:numPr>
        <w:spacing w:after="80" w:line="204" w:lineRule="auto"/>
        <w:ind w:left="1440" w:hanging="720"/>
      </w:pPr>
      <w:r w:rsidRPr="00B7030D">
        <w:rPr>
          <w:rFonts w:hint="cs"/>
          <w:rtl/>
        </w:rPr>
        <w:t>تعميم التنوع البيولوجي داخل القطاعات وعبرها.</w:t>
      </w:r>
    </w:p>
    <w:p w:rsidR="005A6EB5" w:rsidRPr="00B7030D" w:rsidRDefault="005A6EB5" w:rsidP="00EB61BD">
      <w:pPr>
        <w:numPr>
          <w:ilvl w:val="0"/>
          <w:numId w:val="8"/>
        </w:numPr>
        <w:spacing w:after="80" w:line="204" w:lineRule="auto"/>
        <w:ind w:left="1440" w:hanging="720"/>
      </w:pPr>
      <w:r w:rsidRPr="00B7030D">
        <w:rPr>
          <w:rFonts w:hint="cs"/>
          <w:rtl/>
        </w:rPr>
        <w:t>حفظ الملحقات واستخدامها المستدام.</w:t>
      </w:r>
    </w:p>
    <w:p w:rsidR="005A6EB5" w:rsidRPr="00B7030D" w:rsidRDefault="005A6EB5" w:rsidP="00EB61BD">
      <w:pPr>
        <w:numPr>
          <w:ilvl w:val="0"/>
          <w:numId w:val="8"/>
        </w:numPr>
        <w:spacing w:after="80" w:line="204" w:lineRule="auto"/>
        <w:ind w:left="1440" w:hanging="720"/>
      </w:pPr>
      <w:r w:rsidRPr="00B7030D">
        <w:rPr>
          <w:rFonts w:hint="cs"/>
          <w:rtl/>
        </w:rPr>
        <w:t>التخطيط المكاني، والمناطق المحمية وتدابير الحفظ الفعالة الأخرى القائمة على المنطقة.</w:t>
      </w:r>
    </w:p>
    <w:p w:rsidR="005A6EB5" w:rsidRPr="00B7030D" w:rsidRDefault="005A6EB5" w:rsidP="00EB61BD">
      <w:pPr>
        <w:numPr>
          <w:ilvl w:val="0"/>
          <w:numId w:val="8"/>
        </w:numPr>
        <w:spacing w:after="80" w:line="204" w:lineRule="auto"/>
        <w:ind w:left="1440" w:hanging="720"/>
      </w:pPr>
      <w:r w:rsidRPr="00B7030D">
        <w:rPr>
          <w:rFonts w:hint="cs"/>
          <w:rtl/>
        </w:rPr>
        <w:t>التنوع البيولوجي البحري والساحلي.</w:t>
      </w:r>
    </w:p>
    <w:p w:rsidR="005A6EB5" w:rsidRPr="00B7030D" w:rsidRDefault="005A6EB5" w:rsidP="00EB61BD">
      <w:pPr>
        <w:numPr>
          <w:ilvl w:val="0"/>
          <w:numId w:val="8"/>
        </w:numPr>
        <w:spacing w:after="80" w:line="204" w:lineRule="auto"/>
        <w:ind w:left="1440" w:hanging="720"/>
      </w:pPr>
      <w:r w:rsidRPr="00B7030D">
        <w:rPr>
          <w:rFonts w:hint="cs"/>
          <w:rtl/>
        </w:rPr>
        <w:t>الأنواع الغريبة الغازية.</w:t>
      </w:r>
    </w:p>
    <w:p w:rsidR="005A6EB5" w:rsidRPr="00B7030D" w:rsidRDefault="005A6EB5" w:rsidP="00EB61BD">
      <w:pPr>
        <w:numPr>
          <w:ilvl w:val="0"/>
          <w:numId w:val="8"/>
        </w:numPr>
        <w:spacing w:after="80" w:line="204" w:lineRule="auto"/>
        <w:ind w:left="1440" w:hanging="720"/>
      </w:pPr>
      <w:r w:rsidRPr="00B7030D">
        <w:rPr>
          <w:rFonts w:hint="cs"/>
          <w:rtl/>
        </w:rPr>
        <w:t>البيولوجيا التركيبية.</w:t>
      </w:r>
    </w:p>
    <w:p w:rsidR="005A6EB5" w:rsidRPr="00B7030D" w:rsidRDefault="005A6EB5" w:rsidP="00EB61BD">
      <w:pPr>
        <w:numPr>
          <w:ilvl w:val="0"/>
          <w:numId w:val="8"/>
        </w:numPr>
        <w:spacing w:after="80" w:line="204" w:lineRule="auto"/>
        <w:ind w:left="1440" w:hanging="720"/>
      </w:pPr>
      <w:r w:rsidRPr="00B7030D">
        <w:rPr>
          <w:rFonts w:hint="cs"/>
          <w:rtl/>
        </w:rPr>
        <w:t>المسؤولية والجبر التعويضي (المادة 14، الفقرة 2).</w:t>
      </w:r>
    </w:p>
    <w:p w:rsidR="005A6EB5" w:rsidRPr="00B7030D" w:rsidRDefault="005A6EB5" w:rsidP="00EB61BD">
      <w:pPr>
        <w:numPr>
          <w:ilvl w:val="0"/>
          <w:numId w:val="8"/>
        </w:numPr>
        <w:spacing w:after="80" w:line="204" w:lineRule="auto"/>
        <w:ind w:left="1440" w:hanging="720"/>
      </w:pPr>
      <w:r w:rsidRPr="00B7030D">
        <w:rPr>
          <w:rFonts w:hint="cs"/>
          <w:rtl/>
        </w:rPr>
        <w:t>مسائل أخرى.</w:t>
      </w:r>
    </w:p>
    <w:p w:rsidR="005A6EB5" w:rsidRPr="00B7030D" w:rsidRDefault="005A6EB5" w:rsidP="00EB61BD">
      <w:pPr>
        <w:numPr>
          <w:ilvl w:val="0"/>
          <w:numId w:val="8"/>
        </w:numPr>
        <w:spacing w:after="80" w:line="204" w:lineRule="auto"/>
        <w:ind w:left="1440" w:hanging="720"/>
      </w:pPr>
      <w:r w:rsidRPr="00B7030D">
        <w:rPr>
          <w:rFonts w:hint="cs"/>
          <w:rtl/>
        </w:rPr>
        <w:t>اعتماد التقرير.</w:t>
      </w:r>
    </w:p>
    <w:p w:rsidR="005A6EB5" w:rsidRPr="00B7030D" w:rsidRDefault="005A6EB5" w:rsidP="00366E36">
      <w:pPr>
        <w:numPr>
          <w:ilvl w:val="0"/>
          <w:numId w:val="8"/>
        </w:numPr>
        <w:spacing w:afterLines="80"/>
        <w:ind w:left="1440" w:hanging="720"/>
      </w:pPr>
      <w:r w:rsidRPr="00B7030D">
        <w:rPr>
          <w:rFonts w:hint="cs"/>
          <w:rtl/>
        </w:rPr>
        <w:t>اختتام الاجتماع.</w:t>
      </w:r>
    </w:p>
    <w:p w:rsidR="005A6EB5" w:rsidRPr="00B7030D" w:rsidRDefault="005A6EB5" w:rsidP="00897427">
      <w:pPr>
        <w:keepNext/>
        <w:spacing w:line="204" w:lineRule="auto"/>
        <w:jc w:val="center"/>
        <w:rPr>
          <w:i/>
          <w:iCs/>
          <w:rtl/>
        </w:rPr>
      </w:pPr>
      <w:r w:rsidRPr="00B7030D">
        <w:rPr>
          <w:rFonts w:hint="cs"/>
          <w:i/>
          <w:iCs/>
          <w:rtl/>
        </w:rPr>
        <w:lastRenderedPageBreak/>
        <w:t>تنظيم العمل</w:t>
      </w:r>
    </w:p>
    <w:p w:rsidR="005A6EB5" w:rsidRPr="00832642" w:rsidRDefault="005A6EB5" w:rsidP="00EB61BD">
      <w:pPr>
        <w:pStyle w:val="ListParagraph"/>
        <w:numPr>
          <w:ilvl w:val="0"/>
          <w:numId w:val="6"/>
        </w:numPr>
        <w:bidi/>
        <w:spacing w:line="204" w:lineRule="auto"/>
        <w:ind w:left="0" w:firstLine="0"/>
        <w:rPr>
          <w:rFonts w:cs="Simplified Arabic"/>
        </w:rPr>
      </w:pPr>
      <w:r w:rsidRPr="00B7030D">
        <w:rPr>
          <w:rFonts w:cs="Simplified Arabic" w:hint="cs"/>
          <w:rtl/>
        </w:rPr>
        <w:t xml:space="preserve">في الجلسة العامة الثانية للاجتماع، المنعقدة في 17 نوفمبر/تشرين الثاني 2018، وافق مؤتمر الأطراف على تنظيم عمله على النحو المحدد في المرفق الثاني بتنظيم العمل المقترح </w:t>
      </w:r>
      <w:r w:rsidRPr="00B7030D">
        <w:rPr>
          <w:rFonts w:cs="Simplified Arabic"/>
        </w:rPr>
        <w:t>(CBD/COP/14/1/Add.2)</w:t>
      </w:r>
      <w:r w:rsidRPr="00B7030D">
        <w:rPr>
          <w:rFonts w:cs="Simplified Arabic" w:hint="cs"/>
          <w:rtl/>
        </w:rPr>
        <w:t>.</w:t>
      </w:r>
      <w:r w:rsidR="00832642">
        <w:rPr>
          <w:rFonts w:cs="Simplified Arabic" w:hint="cs"/>
          <w:rtl/>
        </w:rPr>
        <w:t xml:space="preserve"> </w:t>
      </w:r>
      <w:r w:rsidR="001628BD" w:rsidRPr="00832642">
        <w:rPr>
          <w:rFonts w:cs="Simplified Arabic" w:hint="cs"/>
          <w:rtl/>
        </w:rPr>
        <w:t xml:space="preserve">وبناء عليه، </w:t>
      </w:r>
      <w:r w:rsidR="00363E47">
        <w:rPr>
          <w:rFonts w:cs="Simplified Arabic" w:hint="cs"/>
          <w:rtl/>
        </w:rPr>
        <w:t>قرر</w:t>
      </w:r>
      <w:r w:rsidR="001628BD" w:rsidRPr="00832642">
        <w:rPr>
          <w:rFonts w:cs="Simplified Arabic" w:hint="cs"/>
          <w:rtl/>
        </w:rPr>
        <w:t xml:space="preserve"> مؤتمر الأطراف إنشاء فريقين عاملين. يرأس الفريق العامل الأول السيد هايو هانسترا (هولندا) وترأس الفريق العامل الثاني السيدة كلاريسا نينا (البرازيل). وسيتناول الفريقان العاملان والجلسة العامة بنود جدول الأعمال وفقا لتوزيع المسؤوليات المقترح في المرفق الأول بالوثيقة.</w:t>
      </w:r>
    </w:p>
    <w:p w:rsidR="005A6EB5" w:rsidRPr="00B7030D" w:rsidRDefault="001628BD" w:rsidP="00EB61BD">
      <w:pPr>
        <w:pStyle w:val="ListParagraph"/>
        <w:numPr>
          <w:ilvl w:val="0"/>
          <w:numId w:val="6"/>
        </w:numPr>
        <w:bidi/>
        <w:spacing w:line="204" w:lineRule="auto"/>
        <w:ind w:left="0" w:firstLine="0"/>
        <w:rPr>
          <w:rFonts w:cs="Simplified Arabic"/>
        </w:rPr>
      </w:pPr>
      <w:r w:rsidRPr="00B7030D">
        <w:rPr>
          <w:rFonts w:cs="Simplified Arabic" w:hint="cs"/>
          <w:rtl/>
        </w:rPr>
        <w:t xml:space="preserve">وفي الجلسة العامة </w:t>
      </w:r>
      <w:r w:rsidR="00832642">
        <w:rPr>
          <w:rFonts w:cs="Simplified Arabic" w:hint="cs"/>
          <w:rtl/>
        </w:rPr>
        <w:t>الرابعة</w:t>
      </w:r>
      <w:r w:rsidRPr="00B7030D">
        <w:rPr>
          <w:rFonts w:cs="Simplified Arabic" w:hint="cs"/>
          <w:rtl/>
        </w:rPr>
        <w:t xml:space="preserve"> للاجتماع، المنع</w:t>
      </w:r>
      <w:r w:rsidR="00721943">
        <w:rPr>
          <w:rFonts w:cs="Simplified Arabic" w:hint="cs"/>
          <w:rtl/>
        </w:rPr>
        <w:t>ق</w:t>
      </w:r>
      <w:r w:rsidRPr="00B7030D">
        <w:rPr>
          <w:rFonts w:cs="Simplified Arabic" w:hint="cs"/>
          <w:rtl/>
        </w:rPr>
        <w:t xml:space="preserve">دة في </w:t>
      </w:r>
      <w:r w:rsidR="00832642">
        <w:rPr>
          <w:rFonts w:cs="Simplified Arabic" w:hint="cs"/>
          <w:rtl/>
        </w:rPr>
        <w:t>22</w:t>
      </w:r>
      <w:r w:rsidRPr="00B7030D">
        <w:rPr>
          <w:rFonts w:cs="Simplified Arabic" w:hint="cs"/>
          <w:rtl/>
        </w:rPr>
        <w:t xml:space="preserve"> نوفمبر/تشرين الثاني 2</w:t>
      </w:r>
      <w:r w:rsidR="00721943">
        <w:rPr>
          <w:rFonts w:cs="Simplified Arabic" w:hint="cs"/>
          <w:rtl/>
        </w:rPr>
        <w:t>018، استمع مؤتمر الأطراف إلى تق</w:t>
      </w:r>
      <w:r w:rsidRPr="00B7030D">
        <w:rPr>
          <w:rFonts w:cs="Simplified Arabic" w:hint="cs"/>
          <w:rtl/>
        </w:rPr>
        <w:t>رير</w:t>
      </w:r>
      <w:r w:rsidR="00721943">
        <w:rPr>
          <w:rFonts w:cs="Simplified Arabic" w:hint="cs"/>
          <w:rtl/>
        </w:rPr>
        <w:t>ين</w:t>
      </w:r>
      <w:r w:rsidRPr="00B7030D">
        <w:rPr>
          <w:rFonts w:cs="Simplified Arabic" w:hint="cs"/>
          <w:rtl/>
        </w:rPr>
        <w:t xml:space="preserve"> مرحلي</w:t>
      </w:r>
      <w:r w:rsidR="00721943">
        <w:rPr>
          <w:rFonts w:cs="Simplified Arabic" w:hint="cs"/>
          <w:rtl/>
        </w:rPr>
        <w:t>ين</w:t>
      </w:r>
      <w:r w:rsidRPr="00B7030D">
        <w:rPr>
          <w:rFonts w:cs="Simplified Arabic" w:hint="cs"/>
          <w:rtl/>
        </w:rPr>
        <w:t xml:space="preserve"> مؤقت</w:t>
      </w:r>
      <w:r w:rsidR="00721943">
        <w:rPr>
          <w:rFonts w:cs="Simplified Arabic" w:hint="cs"/>
          <w:rtl/>
        </w:rPr>
        <w:t>ين</w:t>
      </w:r>
      <w:r w:rsidRPr="00B7030D">
        <w:rPr>
          <w:rFonts w:cs="Simplified Arabic" w:hint="cs"/>
          <w:rtl/>
        </w:rPr>
        <w:t xml:space="preserve"> من رئيسي الفريقين العاملين الأول والثاني.</w:t>
      </w:r>
    </w:p>
    <w:p w:rsidR="005A6EB5" w:rsidRDefault="00832642" w:rsidP="00EB61BD">
      <w:pPr>
        <w:pStyle w:val="ListParagraph"/>
        <w:numPr>
          <w:ilvl w:val="0"/>
          <w:numId w:val="6"/>
        </w:numPr>
        <w:bidi/>
        <w:spacing w:line="204" w:lineRule="auto"/>
        <w:ind w:left="0" w:firstLine="0"/>
        <w:rPr>
          <w:rFonts w:cs="Simplified Arabic"/>
        </w:rPr>
      </w:pPr>
      <w:r w:rsidRPr="00B7030D">
        <w:rPr>
          <w:rFonts w:cs="Simplified Arabic" w:hint="cs"/>
          <w:rtl/>
        </w:rPr>
        <w:t xml:space="preserve">وفي الجلسة العامة </w:t>
      </w:r>
      <w:r>
        <w:rPr>
          <w:rFonts w:cs="Simplified Arabic" w:hint="cs"/>
          <w:rtl/>
        </w:rPr>
        <w:t>الخامسة</w:t>
      </w:r>
      <w:r w:rsidRPr="00B7030D">
        <w:rPr>
          <w:rFonts w:cs="Simplified Arabic" w:hint="cs"/>
          <w:rtl/>
        </w:rPr>
        <w:t xml:space="preserve"> للاجتماع، المنع</w:t>
      </w:r>
      <w:r w:rsidR="00721943">
        <w:rPr>
          <w:rFonts w:cs="Simplified Arabic" w:hint="cs"/>
          <w:rtl/>
        </w:rPr>
        <w:t>ق</w:t>
      </w:r>
      <w:r w:rsidRPr="00B7030D">
        <w:rPr>
          <w:rFonts w:cs="Simplified Arabic" w:hint="cs"/>
          <w:rtl/>
        </w:rPr>
        <w:t xml:space="preserve">دة في </w:t>
      </w:r>
      <w:r>
        <w:rPr>
          <w:rFonts w:cs="Simplified Arabic" w:hint="cs"/>
          <w:rtl/>
        </w:rPr>
        <w:t>25</w:t>
      </w:r>
      <w:r w:rsidRPr="00B7030D">
        <w:rPr>
          <w:rFonts w:cs="Simplified Arabic" w:hint="cs"/>
          <w:rtl/>
        </w:rPr>
        <w:t xml:space="preserve"> نوفمبر/تشرين الثاني 2018، استمع مؤتمر الأطراف إلى</w:t>
      </w:r>
      <w:r>
        <w:rPr>
          <w:rFonts w:cs="Simplified Arabic" w:hint="cs"/>
          <w:rtl/>
        </w:rPr>
        <w:t xml:space="preserve"> تقريرين مرحلين من رئيسي الفريقين العاملين الأول والثاني.</w:t>
      </w:r>
    </w:p>
    <w:p w:rsidR="00363E47" w:rsidRDefault="00363E47" w:rsidP="00EB61BD">
      <w:pPr>
        <w:pStyle w:val="ListParagraph"/>
        <w:numPr>
          <w:ilvl w:val="0"/>
          <w:numId w:val="6"/>
        </w:numPr>
        <w:bidi/>
        <w:spacing w:line="204" w:lineRule="auto"/>
        <w:ind w:left="0" w:firstLine="0"/>
        <w:rPr>
          <w:rFonts w:cs="Simplified Arabic"/>
        </w:rPr>
      </w:pPr>
      <w:r>
        <w:rPr>
          <w:rFonts w:cs="Simplified Arabic" w:hint="cs"/>
          <w:rtl/>
        </w:rPr>
        <w:t>وفي الجلسة العامة السابعة للاجتماع، المنعقدة في 29 نوفمبر/تشرين الثاني 2018، استمع مؤتمر الأطراف إلى التقريرين النهائيين لرئيسي الفريقين العاملين الأول والثاني.</w:t>
      </w:r>
    </w:p>
    <w:p w:rsidR="005A6EB5" w:rsidRPr="00832642" w:rsidRDefault="00A4604D" w:rsidP="00EB61BD">
      <w:pPr>
        <w:pStyle w:val="ListParagraph"/>
        <w:bidi/>
        <w:spacing w:line="204" w:lineRule="auto"/>
        <w:ind w:left="0"/>
        <w:jc w:val="center"/>
        <w:rPr>
          <w:rFonts w:cs="Simplified Arabic"/>
          <w:i/>
          <w:iCs/>
        </w:rPr>
      </w:pPr>
      <w:r w:rsidRPr="00832642">
        <w:rPr>
          <w:rFonts w:cs="Simplified Arabic" w:hint="cs"/>
          <w:i/>
          <w:iCs/>
          <w:rtl/>
        </w:rPr>
        <w:t>عمل الفريقين العاملي</w:t>
      </w:r>
      <w:r w:rsidR="00043C85" w:rsidRPr="00832642">
        <w:rPr>
          <w:rFonts w:cs="Simplified Arabic" w:hint="cs"/>
          <w:i/>
          <w:iCs/>
          <w:rtl/>
        </w:rPr>
        <w:t>ن أثناء الدورة</w:t>
      </w:r>
    </w:p>
    <w:p w:rsidR="00043C85" w:rsidRPr="00B7030D" w:rsidRDefault="001628BD" w:rsidP="00EB61BD">
      <w:pPr>
        <w:pStyle w:val="ListParagraph"/>
        <w:numPr>
          <w:ilvl w:val="0"/>
          <w:numId w:val="6"/>
        </w:numPr>
        <w:bidi/>
        <w:spacing w:line="204" w:lineRule="auto"/>
        <w:ind w:left="0" w:firstLine="0"/>
        <w:rPr>
          <w:rFonts w:cs="Simplified Arabic"/>
        </w:rPr>
      </w:pPr>
      <w:r w:rsidRPr="00B7030D">
        <w:rPr>
          <w:rFonts w:cs="Simplified Arabic" w:hint="cs"/>
          <w:rtl/>
        </w:rPr>
        <w:t xml:space="preserve">عقد الفريق العامل الأول </w:t>
      </w:r>
      <w:r w:rsidR="00B54CF7">
        <w:rPr>
          <w:rFonts w:cs="Simplified Arabic" w:hint="cs"/>
          <w:rtl/>
        </w:rPr>
        <w:t>13</w:t>
      </w:r>
      <w:r w:rsidRPr="00B7030D">
        <w:rPr>
          <w:rFonts w:cs="Simplified Arabic" w:hint="cs"/>
          <w:rtl/>
        </w:rPr>
        <w:t xml:space="preserve"> جلسة </w:t>
      </w:r>
      <w:r w:rsidR="00B54CF7">
        <w:rPr>
          <w:rFonts w:cs="Simplified Arabic" w:hint="cs"/>
          <w:rtl/>
        </w:rPr>
        <w:t>في الفترة من 18 إلى 28</w:t>
      </w:r>
      <w:r w:rsidR="00A4604D">
        <w:rPr>
          <w:rFonts w:cs="Simplified Arabic" w:hint="cs"/>
          <w:rtl/>
        </w:rPr>
        <w:t xml:space="preserve"> نوفمبر/تشرين الثاني 2018. </w:t>
      </w:r>
      <w:r w:rsidRPr="00B7030D">
        <w:rPr>
          <w:rFonts w:cs="Simplified Arabic" w:hint="cs"/>
          <w:rtl/>
        </w:rPr>
        <w:t xml:space="preserve">واعتمد الفريق العامل تقريره </w:t>
      </w:r>
      <w:r w:rsidR="00B54CF7" w:rsidRPr="005605E5">
        <w:t>(</w:t>
      </w:r>
      <w:r w:rsidR="00B54CF7">
        <w:rPr>
          <w:bCs/>
        </w:rPr>
        <w:t>CBD/COP/14/WG.1</w:t>
      </w:r>
      <w:r w:rsidR="00B54CF7" w:rsidRPr="005605E5">
        <w:rPr>
          <w:bCs/>
        </w:rPr>
        <w:t>/L.1)</w:t>
      </w:r>
      <w:r w:rsidR="00B54CF7">
        <w:rPr>
          <w:rFonts w:cs="Simplified Arabic" w:hint="cs"/>
          <w:rtl/>
        </w:rPr>
        <w:t xml:space="preserve"> </w:t>
      </w:r>
      <w:r w:rsidRPr="00B7030D">
        <w:rPr>
          <w:rFonts w:cs="Simplified Arabic" w:hint="cs"/>
          <w:rtl/>
        </w:rPr>
        <w:t xml:space="preserve">في </w:t>
      </w:r>
      <w:r w:rsidR="00B54CF7">
        <w:rPr>
          <w:rFonts w:cs="Simplified Arabic" w:hint="cs"/>
          <w:rtl/>
        </w:rPr>
        <w:t>28</w:t>
      </w:r>
      <w:r w:rsidRPr="00B7030D">
        <w:rPr>
          <w:rFonts w:cs="Simplified Arabic" w:hint="cs"/>
          <w:rtl/>
        </w:rPr>
        <w:t xml:space="preserve"> نوفمبر/تشرين الثاني 2018.</w:t>
      </w:r>
    </w:p>
    <w:p w:rsidR="00043C85" w:rsidRPr="00B7030D" w:rsidRDefault="00A4604D" w:rsidP="00EB61BD">
      <w:pPr>
        <w:pStyle w:val="ListParagraph"/>
        <w:numPr>
          <w:ilvl w:val="0"/>
          <w:numId w:val="6"/>
        </w:numPr>
        <w:bidi/>
        <w:spacing w:line="204" w:lineRule="auto"/>
        <w:ind w:left="0" w:firstLine="0"/>
        <w:rPr>
          <w:rFonts w:cs="Simplified Arabic"/>
        </w:rPr>
      </w:pPr>
      <w:r>
        <w:rPr>
          <w:rFonts w:cs="Simplified Arabic" w:hint="cs"/>
          <w:rtl/>
        </w:rPr>
        <w:t>و</w:t>
      </w:r>
      <w:r w:rsidR="001628BD" w:rsidRPr="00B7030D">
        <w:rPr>
          <w:rFonts w:cs="Simplified Arabic" w:hint="cs"/>
          <w:rtl/>
        </w:rPr>
        <w:t xml:space="preserve">عقد الفريق العامل الثاني </w:t>
      </w:r>
      <w:r w:rsidR="00B54CF7">
        <w:rPr>
          <w:rFonts w:cs="Simplified Arabic" w:hint="cs"/>
          <w:rtl/>
        </w:rPr>
        <w:t>18</w:t>
      </w:r>
      <w:r w:rsidR="001628BD" w:rsidRPr="00B7030D">
        <w:rPr>
          <w:rFonts w:cs="Simplified Arabic" w:hint="cs"/>
          <w:rtl/>
        </w:rPr>
        <w:t xml:space="preserve"> جلسة </w:t>
      </w:r>
      <w:r w:rsidR="00B54CF7">
        <w:rPr>
          <w:rFonts w:cs="Simplified Arabic" w:hint="cs"/>
          <w:rtl/>
        </w:rPr>
        <w:t xml:space="preserve">في الفترة من 18 إلى 28 </w:t>
      </w:r>
      <w:r>
        <w:rPr>
          <w:rFonts w:cs="Simplified Arabic" w:hint="cs"/>
          <w:rtl/>
        </w:rPr>
        <w:t xml:space="preserve">نوفمبر/تشرين الثاني 2018. </w:t>
      </w:r>
      <w:r w:rsidR="001628BD" w:rsidRPr="00B7030D">
        <w:rPr>
          <w:rFonts w:cs="Simplified Arabic" w:hint="cs"/>
          <w:rtl/>
        </w:rPr>
        <w:t xml:space="preserve">واعتمد الفريق العامل تقريره </w:t>
      </w:r>
      <w:r w:rsidR="007C5A0C">
        <w:t>(</w:t>
      </w:r>
      <w:r w:rsidR="007C5A0C">
        <w:rPr>
          <w:bCs/>
        </w:rPr>
        <w:t>CBD/COP/14/WG.2/L.1)</w:t>
      </w:r>
      <w:r w:rsidR="007C5A0C">
        <w:rPr>
          <w:rFonts w:cs="Simplified Arabic" w:hint="cs"/>
          <w:rtl/>
        </w:rPr>
        <w:t xml:space="preserve"> </w:t>
      </w:r>
      <w:r w:rsidR="001628BD" w:rsidRPr="00B7030D">
        <w:rPr>
          <w:rFonts w:cs="Simplified Arabic" w:hint="cs"/>
          <w:rtl/>
        </w:rPr>
        <w:t xml:space="preserve">في </w:t>
      </w:r>
      <w:r w:rsidR="007C5A0C">
        <w:rPr>
          <w:rFonts w:cs="Simplified Arabic" w:hint="cs"/>
          <w:rtl/>
        </w:rPr>
        <w:t>28</w:t>
      </w:r>
      <w:r w:rsidR="001628BD" w:rsidRPr="00B7030D">
        <w:rPr>
          <w:rFonts w:cs="Simplified Arabic" w:hint="cs"/>
          <w:rtl/>
        </w:rPr>
        <w:t xml:space="preserve"> نوفمبر/تشرين الثاني 2018.</w:t>
      </w:r>
    </w:p>
    <w:p w:rsidR="00832642" w:rsidRPr="00832642" w:rsidRDefault="00832642" w:rsidP="00EB61BD">
      <w:pPr>
        <w:pStyle w:val="ListParagraph"/>
        <w:bidi/>
        <w:spacing w:line="204" w:lineRule="auto"/>
        <w:ind w:left="0"/>
        <w:jc w:val="center"/>
        <w:rPr>
          <w:rFonts w:cs="Simplified Arabic"/>
          <w:i/>
          <w:iCs/>
        </w:rPr>
      </w:pPr>
      <w:r w:rsidRPr="00832642">
        <w:rPr>
          <w:rFonts w:cs="Simplified Arabic" w:hint="cs"/>
          <w:i/>
          <w:iCs/>
          <w:rtl/>
        </w:rPr>
        <w:t>الأحداث الموازية والجوائز</w:t>
      </w:r>
    </w:p>
    <w:p w:rsidR="00832642" w:rsidRDefault="00832642" w:rsidP="00EB61BD">
      <w:pPr>
        <w:pStyle w:val="ListParagraph"/>
        <w:numPr>
          <w:ilvl w:val="0"/>
          <w:numId w:val="6"/>
        </w:numPr>
        <w:bidi/>
        <w:spacing w:line="204" w:lineRule="auto"/>
        <w:ind w:left="0" w:firstLine="0"/>
        <w:rPr>
          <w:rFonts w:cs="Simplified Arabic"/>
        </w:rPr>
      </w:pPr>
      <w:r>
        <w:rPr>
          <w:rFonts w:cs="Simplified Arabic" w:hint="cs"/>
          <w:rtl/>
        </w:rPr>
        <w:t>خلال الاجتماع الرابع عشر لمؤتمر الأطراف، عقدت ثلاثة احتفالات للجوائز. وبالإضافة إلى ذلك، عقدت أحداث متعددة ذات صلة بالتوازي مع الاجتماع. ويرد المزيد م</w:t>
      </w:r>
      <w:r w:rsidR="00D82C6A">
        <w:rPr>
          <w:rFonts w:cs="Simplified Arabic" w:hint="cs"/>
          <w:rtl/>
        </w:rPr>
        <w:t xml:space="preserve">ن المعلومات عن تلك </w:t>
      </w:r>
      <w:r>
        <w:rPr>
          <w:rFonts w:cs="Simplified Arabic" w:hint="cs"/>
          <w:rtl/>
        </w:rPr>
        <w:t>الاحتفالات بالجوائز والأحداث ال</w:t>
      </w:r>
      <w:r w:rsidR="00D82C6A">
        <w:rPr>
          <w:rFonts w:cs="Simplified Arabic" w:hint="cs"/>
          <w:rtl/>
        </w:rPr>
        <w:t>مواز</w:t>
      </w:r>
      <w:r>
        <w:rPr>
          <w:rFonts w:cs="Simplified Arabic" w:hint="cs"/>
          <w:rtl/>
        </w:rPr>
        <w:t>ية في المرفق الرابع بالتقرير الحالي.</w:t>
      </w:r>
    </w:p>
    <w:p w:rsidR="00043C85" w:rsidRPr="00B7030D" w:rsidRDefault="00043C85" w:rsidP="00EB61BD">
      <w:pPr>
        <w:pStyle w:val="ListParagraph"/>
        <w:bidi/>
        <w:spacing w:line="204" w:lineRule="auto"/>
        <w:ind w:left="0"/>
        <w:jc w:val="center"/>
        <w:rPr>
          <w:rFonts w:cs="Simplified Arabic"/>
          <w:i/>
          <w:iCs/>
        </w:rPr>
      </w:pPr>
      <w:r w:rsidRPr="00B7030D">
        <w:rPr>
          <w:rFonts w:cs="Simplified Arabic" w:hint="cs"/>
          <w:i/>
          <w:iCs/>
          <w:rtl/>
        </w:rPr>
        <w:t>انتخاب الأعضاء</w:t>
      </w:r>
    </w:p>
    <w:p w:rsidR="00043C85" w:rsidRPr="00363E47" w:rsidRDefault="00043C85" w:rsidP="00EB61BD">
      <w:pPr>
        <w:pStyle w:val="ListParagraph"/>
        <w:bidi/>
        <w:spacing w:line="204" w:lineRule="auto"/>
        <w:ind w:left="0"/>
        <w:rPr>
          <w:rFonts w:cs="Simplified Arabic"/>
          <w:b/>
          <w:bCs/>
        </w:rPr>
      </w:pPr>
      <w:r w:rsidRPr="00363E47">
        <w:rPr>
          <w:rFonts w:cs="Simplified Arabic" w:hint="cs"/>
          <w:b/>
          <w:bCs/>
          <w:rtl/>
        </w:rPr>
        <w:t>انتخاب الرئيس</w:t>
      </w:r>
    </w:p>
    <w:p w:rsidR="00043C85" w:rsidRPr="00B7030D" w:rsidRDefault="00043C85" w:rsidP="00EB61BD">
      <w:pPr>
        <w:pStyle w:val="ListParagraph"/>
        <w:numPr>
          <w:ilvl w:val="0"/>
          <w:numId w:val="6"/>
        </w:numPr>
        <w:bidi/>
        <w:spacing w:line="204" w:lineRule="auto"/>
        <w:ind w:left="0" w:firstLine="0"/>
        <w:rPr>
          <w:rFonts w:cs="Simplified Arabic"/>
        </w:rPr>
      </w:pPr>
      <w:r w:rsidRPr="00B7030D">
        <w:rPr>
          <w:rFonts w:cs="Simplified Arabic"/>
          <w:rtl/>
          <w:lang w:bidi="ar-LY"/>
        </w:rPr>
        <w:t>وفقا للمادة 21 من النظام الداخلي، انتخب مؤتمر الأطراف</w:t>
      </w:r>
      <w:r w:rsidRPr="00B7030D">
        <w:rPr>
          <w:rFonts w:cs="Simplified Arabic" w:hint="cs"/>
          <w:rtl/>
          <w:lang w:bidi="ar-LY"/>
        </w:rPr>
        <w:t xml:space="preserve">، في الجلسة العامة الافتتاحية للاجتماع، المنعقدة </w:t>
      </w:r>
      <w:r w:rsidR="00BE3DAA" w:rsidRPr="00B7030D">
        <w:rPr>
          <w:rFonts w:cs="Simplified Arabic" w:hint="cs"/>
          <w:rtl/>
          <w:lang w:bidi="ar-LY"/>
        </w:rPr>
        <w:t>في</w:t>
      </w:r>
      <w:r w:rsidR="00A4604D">
        <w:rPr>
          <w:rFonts w:cs="Simplified Arabic" w:hint="cs"/>
          <w:rtl/>
          <w:lang w:bidi="ar-LY"/>
        </w:rPr>
        <w:t xml:space="preserve"> 17</w:t>
      </w:r>
      <w:r w:rsidR="00BE3DAA" w:rsidRPr="00B7030D">
        <w:rPr>
          <w:rFonts w:cs="Simplified Arabic" w:hint="cs"/>
          <w:rtl/>
          <w:lang w:bidi="ar-LY"/>
        </w:rPr>
        <w:t xml:space="preserve"> نوفمبر/تشرين الثاني 2018</w:t>
      </w:r>
      <w:r w:rsidRPr="00B7030D">
        <w:rPr>
          <w:rFonts w:cs="Simplified Arabic" w:hint="cs"/>
          <w:rtl/>
          <w:lang w:bidi="ar-LY"/>
        </w:rPr>
        <w:t>، انتخب بالتزكية السيدة ياسمين فؤاد، وزير</w:t>
      </w:r>
      <w:r w:rsidR="00BE3DAA" w:rsidRPr="00B7030D">
        <w:rPr>
          <w:rFonts w:cs="Simplified Arabic" w:hint="cs"/>
          <w:rtl/>
          <w:lang w:bidi="ar-LY"/>
        </w:rPr>
        <w:t>ة</w:t>
      </w:r>
      <w:r w:rsidRPr="00B7030D">
        <w:rPr>
          <w:rFonts w:cs="Simplified Arabic" w:hint="cs"/>
          <w:rtl/>
          <w:lang w:bidi="ar-LY"/>
        </w:rPr>
        <w:t xml:space="preserve"> البيئة في مصر، رئيسة لاجتماعه الرابع عشر</w:t>
      </w:r>
      <w:r w:rsidR="00BE3DAA" w:rsidRPr="00B7030D">
        <w:rPr>
          <w:rFonts w:cs="Simplified Arabic" w:hint="cs"/>
          <w:rtl/>
          <w:lang w:bidi="ar-LY"/>
        </w:rPr>
        <w:t>.</w:t>
      </w:r>
    </w:p>
    <w:p w:rsidR="00043C85" w:rsidRPr="00363E47" w:rsidRDefault="00043C85" w:rsidP="00EB61BD">
      <w:pPr>
        <w:spacing w:line="204" w:lineRule="auto"/>
        <w:rPr>
          <w:b/>
          <w:bCs/>
        </w:rPr>
      </w:pPr>
      <w:r w:rsidRPr="00363E47">
        <w:rPr>
          <w:rFonts w:hint="cs"/>
          <w:b/>
          <w:bCs/>
          <w:rtl/>
        </w:rPr>
        <w:t>انتخاب الأعضاء بخلاف الرئيس</w:t>
      </w:r>
    </w:p>
    <w:p w:rsidR="00043C85" w:rsidRPr="00477B14" w:rsidRDefault="00043C85" w:rsidP="00EB61BD">
      <w:pPr>
        <w:numPr>
          <w:ilvl w:val="0"/>
          <w:numId w:val="6"/>
        </w:numPr>
        <w:spacing w:line="204" w:lineRule="auto"/>
        <w:ind w:left="0" w:firstLine="0"/>
      </w:pPr>
      <w:r w:rsidRPr="00B7030D">
        <w:rPr>
          <w:rFonts w:hint="cs"/>
          <w:rtl/>
          <w:lang w:bidi="ar-LY"/>
        </w:rPr>
        <w:t>وفقا للمادة 21 من النظام الداخلي، انتخب مؤتمر الأطراف في اجتماعه الثا</w:t>
      </w:r>
      <w:r w:rsidR="00BE3DAA" w:rsidRPr="00B7030D">
        <w:rPr>
          <w:rFonts w:hint="cs"/>
          <w:rtl/>
          <w:lang w:bidi="ar-LY"/>
        </w:rPr>
        <w:t>لث</w:t>
      </w:r>
      <w:r w:rsidRPr="00B7030D">
        <w:rPr>
          <w:rFonts w:hint="cs"/>
          <w:rtl/>
          <w:lang w:bidi="ar-LY"/>
        </w:rPr>
        <w:t xml:space="preserve"> عشر، 10 نواب للرئيس، للعمل كنواب للرئيس لفترة ولاية </w:t>
      </w:r>
      <w:r w:rsidR="00BE3DAA" w:rsidRPr="00B7030D">
        <w:rPr>
          <w:rFonts w:hint="cs"/>
          <w:rtl/>
          <w:lang w:bidi="ar-LY"/>
        </w:rPr>
        <w:t>حتى</w:t>
      </w:r>
      <w:r w:rsidRPr="00B7030D">
        <w:rPr>
          <w:rFonts w:hint="cs"/>
          <w:rtl/>
          <w:lang w:bidi="ar-LY"/>
        </w:rPr>
        <w:t xml:space="preserve"> اختتام الاجتماع ال</w:t>
      </w:r>
      <w:r w:rsidR="00A4604D">
        <w:rPr>
          <w:rFonts w:hint="cs"/>
          <w:rtl/>
          <w:lang w:bidi="ar-LY"/>
        </w:rPr>
        <w:t>رابع</w:t>
      </w:r>
      <w:r w:rsidRPr="00B7030D">
        <w:rPr>
          <w:rFonts w:hint="cs"/>
          <w:rtl/>
          <w:lang w:bidi="ar-LY"/>
        </w:rPr>
        <w:t xml:space="preserve"> عشر لمؤتمر الأطراف. وتم إحلال </w:t>
      </w:r>
      <w:r w:rsidR="00BE3DAA" w:rsidRPr="00B7030D">
        <w:rPr>
          <w:rFonts w:hint="cs"/>
          <w:rtl/>
          <w:lang w:bidi="ar-LY"/>
        </w:rPr>
        <w:t>عضو من المكتب</w:t>
      </w:r>
      <w:r w:rsidRPr="00B7030D">
        <w:rPr>
          <w:rFonts w:hint="cs"/>
          <w:rtl/>
          <w:lang w:bidi="ar-LY"/>
        </w:rPr>
        <w:t xml:space="preserve"> بعد ذلك بال</w:t>
      </w:r>
      <w:r w:rsidR="00BE3DAA" w:rsidRPr="00B7030D">
        <w:rPr>
          <w:rFonts w:hint="cs"/>
          <w:rtl/>
          <w:lang w:bidi="ar-LY"/>
        </w:rPr>
        <w:t>طرف المعني</w:t>
      </w:r>
      <w:r w:rsidRPr="00B7030D">
        <w:rPr>
          <w:rFonts w:hint="cs"/>
          <w:rtl/>
          <w:lang w:bidi="ar-LY"/>
        </w:rPr>
        <w:t>. وعمل الممثلون التالية أسماؤهم كنواب للرئيس في الاجتماع ال</w:t>
      </w:r>
      <w:r w:rsidR="00BE3DAA" w:rsidRPr="00B7030D">
        <w:rPr>
          <w:rFonts w:hint="cs"/>
          <w:rtl/>
          <w:lang w:bidi="ar-LY"/>
        </w:rPr>
        <w:t>رابع</w:t>
      </w:r>
      <w:r w:rsidR="0097264D">
        <w:rPr>
          <w:rFonts w:hint="cs"/>
          <w:rtl/>
          <w:lang w:bidi="ar-LY"/>
        </w:rPr>
        <w:t xml:space="preserve"> عشر لمؤتمر</w:t>
      </w:r>
      <w:r w:rsidRPr="00B7030D">
        <w:rPr>
          <w:rFonts w:hint="cs"/>
          <w:rtl/>
          <w:lang w:bidi="ar-LY"/>
        </w:rPr>
        <w:t xml:space="preserve"> الأطراف</w:t>
      </w:r>
      <w:r w:rsidRPr="00B7030D">
        <w:rPr>
          <w:rFonts w:hint="cs"/>
          <w:rtl/>
        </w:rPr>
        <w:t>:</w:t>
      </w:r>
    </w:p>
    <w:p w:rsidR="00043C85" w:rsidRPr="00B7030D" w:rsidRDefault="00043C85" w:rsidP="00043C85">
      <w:pPr>
        <w:spacing w:after="0" w:line="204" w:lineRule="auto"/>
        <w:ind w:left="1080"/>
        <w:rPr>
          <w:rtl/>
        </w:rPr>
      </w:pPr>
      <w:r w:rsidRPr="00B7030D">
        <w:rPr>
          <w:rFonts w:hint="cs"/>
          <w:rtl/>
        </w:rPr>
        <w:t>السيد سامويل نداييراجيجي (بوروندي)</w:t>
      </w:r>
    </w:p>
    <w:p w:rsidR="007C5A0C" w:rsidRDefault="007C5A0C" w:rsidP="00043C85">
      <w:pPr>
        <w:spacing w:after="0" w:line="204" w:lineRule="auto"/>
        <w:ind w:left="1080"/>
        <w:rPr>
          <w:rtl/>
        </w:rPr>
      </w:pPr>
      <w:r w:rsidRPr="00B7030D">
        <w:rPr>
          <w:rFonts w:hint="cs"/>
          <w:rtl/>
        </w:rPr>
        <w:t>السيد محمد على بن تمسك (تونس)</w:t>
      </w:r>
    </w:p>
    <w:p w:rsidR="00043C85" w:rsidRPr="00B7030D" w:rsidRDefault="00043C85" w:rsidP="0097264D">
      <w:pPr>
        <w:spacing w:after="0" w:line="204" w:lineRule="auto"/>
        <w:ind w:left="1080"/>
        <w:rPr>
          <w:rtl/>
        </w:rPr>
      </w:pPr>
      <w:r w:rsidRPr="00B7030D">
        <w:rPr>
          <w:rFonts w:hint="cs"/>
          <w:rtl/>
        </w:rPr>
        <w:t>السيدة إيلينا راماج (أل</w:t>
      </w:r>
      <w:r w:rsidR="0097264D">
        <w:rPr>
          <w:rFonts w:hint="cs"/>
          <w:rtl/>
        </w:rPr>
        <w:t>ب</w:t>
      </w:r>
      <w:r w:rsidRPr="00B7030D">
        <w:rPr>
          <w:rFonts w:hint="cs"/>
          <w:rtl/>
        </w:rPr>
        <w:t>انيا)</w:t>
      </w:r>
    </w:p>
    <w:p w:rsidR="00043C85" w:rsidRPr="00B7030D" w:rsidRDefault="00043C85" w:rsidP="00BE3DAA">
      <w:pPr>
        <w:spacing w:after="0" w:line="204" w:lineRule="auto"/>
        <w:ind w:left="1080"/>
        <w:rPr>
          <w:rtl/>
        </w:rPr>
      </w:pPr>
      <w:r w:rsidRPr="00B7030D">
        <w:rPr>
          <w:rFonts w:hint="cs"/>
          <w:rtl/>
        </w:rPr>
        <w:t>السيد</w:t>
      </w:r>
      <w:r w:rsidR="00BE3DAA" w:rsidRPr="00B7030D">
        <w:rPr>
          <w:rFonts w:hint="cs"/>
          <w:rtl/>
        </w:rPr>
        <w:t>ة</w:t>
      </w:r>
      <w:r w:rsidR="00553F72">
        <w:rPr>
          <w:rFonts w:hint="cs"/>
          <w:rtl/>
        </w:rPr>
        <w:t xml:space="preserve"> </w:t>
      </w:r>
      <w:r w:rsidR="00BE3DAA" w:rsidRPr="00B7030D">
        <w:rPr>
          <w:rFonts w:hint="cs"/>
          <w:rtl/>
        </w:rPr>
        <w:t xml:space="preserve">إيلينا ماكييفا </w:t>
      </w:r>
      <w:r w:rsidRPr="00B7030D">
        <w:rPr>
          <w:rFonts w:hint="cs"/>
          <w:rtl/>
        </w:rPr>
        <w:t>(بيلاروس)</w:t>
      </w:r>
    </w:p>
    <w:p w:rsidR="00043C85" w:rsidRPr="00B7030D" w:rsidRDefault="00043C85" w:rsidP="00043C85">
      <w:pPr>
        <w:spacing w:after="0" w:line="204" w:lineRule="auto"/>
        <w:ind w:left="1080"/>
        <w:rPr>
          <w:rtl/>
        </w:rPr>
      </w:pPr>
      <w:r w:rsidRPr="00B7030D">
        <w:rPr>
          <w:rFonts w:hint="cs"/>
          <w:rtl/>
        </w:rPr>
        <w:t>السيدة كلاريسا نينا (البرازيل)</w:t>
      </w:r>
    </w:p>
    <w:p w:rsidR="007C5A0C" w:rsidRPr="00B7030D" w:rsidRDefault="007C5A0C" w:rsidP="007C5A0C">
      <w:pPr>
        <w:spacing w:after="0" w:line="204" w:lineRule="auto"/>
        <w:ind w:left="1080"/>
        <w:rPr>
          <w:rtl/>
        </w:rPr>
      </w:pPr>
      <w:r w:rsidRPr="00B7030D">
        <w:rPr>
          <w:rFonts w:hint="cs"/>
          <w:rtl/>
        </w:rPr>
        <w:t>السيد راندولف إيدميد (سانت كيتس ونيفس)</w:t>
      </w:r>
    </w:p>
    <w:p w:rsidR="00043C85" w:rsidRPr="00B7030D" w:rsidRDefault="00043C85" w:rsidP="00043C85">
      <w:pPr>
        <w:spacing w:after="0" w:line="204" w:lineRule="auto"/>
        <w:ind w:left="1080"/>
        <w:rPr>
          <w:rtl/>
        </w:rPr>
      </w:pPr>
      <w:r w:rsidRPr="00B7030D">
        <w:rPr>
          <w:rFonts w:hint="cs"/>
          <w:rtl/>
        </w:rPr>
        <w:lastRenderedPageBreak/>
        <w:t>السيد باسيل فان هافر (كندا)</w:t>
      </w:r>
    </w:p>
    <w:p w:rsidR="007C5A0C" w:rsidRPr="00B7030D" w:rsidRDefault="007C5A0C" w:rsidP="007C5A0C">
      <w:pPr>
        <w:spacing w:after="0" w:line="204" w:lineRule="auto"/>
        <w:ind w:left="1080"/>
        <w:rPr>
          <w:rtl/>
        </w:rPr>
      </w:pPr>
      <w:r w:rsidRPr="00B7030D">
        <w:rPr>
          <w:rFonts w:hint="cs"/>
          <w:rtl/>
        </w:rPr>
        <w:t>السيد هايو هانسترا (هولندا)</w:t>
      </w:r>
    </w:p>
    <w:p w:rsidR="007C5A0C" w:rsidRDefault="00043C85" w:rsidP="007C5A0C">
      <w:pPr>
        <w:spacing w:after="0" w:line="204" w:lineRule="auto"/>
        <w:ind w:left="1080"/>
        <w:rPr>
          <w:rtl/>
        </w:rPr>
      </w:pPr>
      <w:r w:rsidRPr="00B7030D">
        <w:rPr>
          <w:rFonts w:hint="cs"/>
          <w:rtl/>
        </w:rPr>
        <w:t>السيد مونيراك مينغ (كمبوديا)</w:t>
      </w:r>
      <w:r w:rsidR="007C5A0C" w:rsidRPr="007C5A0C">
        <w:rPr>
          <w:rFonts w:hint="cs"/>
          <w:rtl/>
        </w:rPr>
        <w:t xml:space="preserve"> </w:t>
      </w:r>
    </w:p>
    <w:p w:rsidR="007C5A0C" w:rsidRPr="00B7030D" w:rsidRDefault="007C5A0C" w:rsidP="007C5A0C">
      <w:pPr>
        <w:spacing w:line="204" w:lineRule="auto"/>
        <w:ind w:left="1080"/>
        <w:rPr>
          <w:rtl/>
        </w:rPr>
      </w:pPr>
      <w:r w:rsidRPr="00B7030D">
        <w:rPr>
          <w:rFonts w:hint="cs"/>
          <w:rtl/>
        </w:rPr>
        <w:t>السيدة غواندالين ك. سيسيور (بالاو)</w:t>
      </w:r>
    </w:p>
    <w:p w:rsidR="00043C85" w:rsidRPr="00B7030D" w:rsidRDefault="007C5A0C" w:rsidP="00FF7FA5">
      <w:pPr>
        <w:numPr>
          <w:ilvl w:val="0"/>
          <w:numId w:val="6"/>
        </w:numPr>
        <w:spacing w:line="204" w:lineRule="auto"/>
        <w:ind w:left="0" w:firstLine="0"/>
      </w:pPr>
      <w:r>
        <w:rPr>
          <w:rFonts w:hint="cs"/>
          <w:rtl/>
        </w:rPr>
        <w:t>وفي الجلسة العامة الثانية للاجتماع، المنعقدة في 17 نوفمبر/تشرين الثاني 2018،</w:t>
      </w:r>
      <w:r w:rsidR="00BE3DAA" w:rsidRPr="00B7030D">
        <w:rPr>
          <w:rFonts w:hint="cs"/>
          <w:rtl/>
        </w:rPr>
        <w:t xml:space="preserve"> </w:t>
      </w:r>
      <w:r>
        <w:rPr>
          <w:rFonts w:hint="cs"/>
          <w:rtl/>
        </w:rPr>
        <w:t>اتفق</w:t>
      </w:r>
      <w:r w:rsidR="00043C85" w:rsidRPr="00B7030D">
        <w:rPr>
          <w:rFonts w:hint="cs"/>
          <w:rtl/>
        </w:rPr>
        <w:t xml:space="preserve"> مؤتمر الأطراف </w:t>
      </w:r>
      <w:r w:rsidR="00BE3DAA" w:rsidRPr="00B7030D">
        <w:rPr>
          <w:rFonts w:hint="cs"/>
          <w:rtl/>
        </w:rPr>
        <w:t xml:space="preserve">على </w:t>
      </w:r>
      <w:r w:rsidR="00043C85" w:rsidRPr="00B7030D">
        <w:rPr>
          <w:rFonts w:hint="cs"/>
          <w:rtl/>
        </w:rPr>
        <w:t xml:space="preserve">أن يعمل السيد </w:t>
      </w:r>
      <w:r w:rsidR="00BE3DAA" w:rsidRPr="00B7030D">
        <w:rPr>
          <w:rFonts w:hint="cs"/>
          <w:rtl/>
        </w:rPr>
        <w:t>مونيراك مينغ (كمبوديا)</w:t>
      </w:r>
      <w:r w:rsidR="00043C85" w:rsidRPr="00B7030D">
        <w:rPr>
          <w:rFonts w:hint="cs"/>
          <w:rtl/>
        </w:rPr>
        <w:t>، مقررا للاجتماع</w:t>
      </w:r>
      <w:r>
        <w:rPr>
          <w:rFonts w:hint="cs"/>
          <w:rtl/>
        </w:rPr>
        <w:t>، حسبما اقترح المكتب</w:t>
      </w:r>
      <w:r w:rsidR="00043C85" w:rsidRPr="00B7030D">
        <w:rPr>
          <w:rFonts w:hint="cs"/>
          <w:rtl/>
        </w:rPr>
        <w:t>.</w:t>
      </w:r>
    </w:p>
    <w:p w:rsidR="00043C85" w:rsidRPr="00B7030D" w:rsidRDefault="00043C85" w:rsidP="00FF7FA5">
      <w:pPr>
        <w:numPr>
          <w:ilvl w:val="0"/>
          <w:numId w:val="6"/>
        </w:numPr>
        <w:spacing w:line="204" w:lineRule="auto"/>
        <w:ind w:left="0" w:firstLine="0"/>
      </w:pPr>
      <w:r w:rsidRPr="00B7030D">
        <w:rPr>
          <w:rFonts w:hint="cs"/>
          <w:rtl/>
        </w:rPr>
        <w:t>ووفقا للمادة 21 من النظام الداخل</w:t>
      </w:r>
      <w:r w:rsidR="00553F72">
        <w:rPr>
          <w:rFonts w:hint="cs"/>
          <w:rtl/>
        </w:rPr>
        <w:t>ي، انتخب مؤتمر الأطراف، في جلست</w:t>
      </w:r>
      <w:r w:rsidRPr="00B7030D">
        <w:rPr>
          <w:rFonts w:hint="cs"/>
          <w:rtl/>
        </w:rPr>
        <w:t xml:space="preserve">ه العامة </w:t>
      </w:r>
      <w:r w:rsidR="00D82C6A">
        <w:rPr>
          <w:rFonts w:hint="cs"/>
          <w:rtl/>
        </w:rPr>
        <w:t>الرابعة</w:t>
      </w:r>
      <w:r w:rsidRPr="00B7030D">
        <w:rPr>
          <w:rFonts w:hint="cs"/>
          <w:rtl/>
        </w:rPr>
        <w:t>،</w:t>
      </w:r>
      <w:r w:rsidR="00D82C6A">
        <w:rPr>
          <w:rFonts w:hint="cs"/>
          <w:rtl/>
        </w:rPr>
        <w:t xml:space="preserve"> المنعقدة في 22</w:t>
      </w:r>
      <w:r w:rsidRPr="00B7030D">
        <w:rPr>
          <w:rFonts w:hint="cs"/>
          <w:rtl/>
        </w:rPr>
        <w:t xml:space="preserve"> </w:t>
      </w:r>
      <w:r w:rsidR="00BE3DAA" w:rsidRPr="00B7030D">
        <w:rPr>
          <w:rFonts w:hint="cs"/>
          <w:rtl/>
        </w:rPr>
        <w:t>نوفمبر/تشرين الثاني 2018</w:t>
      </w:r>
      <w:r w:rsidRPr="00B7030D">
        <w:rPr>
          <w:rFonts w:hint="cs"/>
          <w:rtl/>
        </w:rPr>
        <w:t>، الممثلين التالية أسماؤهم للعمل كأعضاء في المكتب لفترة ولاية تبدأ عند اختتام اجتماعه ال</w:t>
      </w:r>
      <w:r w:rsidR="00553F72">
        <w:rPr>
          <w:rFonts w:hint="cs"/>
          <w:rtl/>
        </w:rPr>
        <w:t>رابع</w:t>
      </w:r>
      <w:r w:rsidRPr="00B7030D">
        <w:rPr>
          <w:rFonts w:hint="cs"/>
          <w:rtl/>
        </w:rPr>
        <w:t xml:space="preserve"> عشر وتنتهي باختتام اجتماعه ال</w:t>
      </w:r>
      <w:r w:rsidR="00553F72">
        <w:rPr>
          <w:rFonts w:hint="cs"/>
          <w:rtl/>
        </w:rPr>
        <w:t>خامس</w:t>
      </w:r>
      <w:r w:rsidRPr="00B7030D">
        <w:rPr>
          <w:rFonts w:hint="cs"/>
          <w:rtl/>
        </w:rPr>
        <w:t xml:space="preserve"> عشر:</w:t>
      </w:r>
    </w:p>
    <w:p w:rsidR="00BE3DAA" w:rsidRDefault="00832642" w:rsidP="0083090A">
      <w:pPr>
        <w:spacing w:after="0" w:line="204" w:lineRule="auto"/>
        <w:ind w:firstLine="1080"/>
        <w:rPr>
          <w:rtl/>
        </w:rPr>
      </w:pPr>
      <w:r>
        <w:rPr>
          <w:rFonts w:hint="cs"/>
          <w:rtl/>
        </w:rPr>
        <w:t>السيد ميليس ماريو (إثيوبيا)</w:t>
      </w:r>
    </w:p>
    <w:p w:rsidR="00832642" w:rsidRDefault="00832642" w:rsidP="0083090A">
      <w:pPr>
        <w:spacing w:after="0" w:line="204" w:lineRule="auto"/>
        <w:ind w:firstLine="1080"/>
        <w:rPr>
          <w:rtl/>
        </w:rPr>
      </w:pPr>
      <w:r>
        <w:rPr>
          <w:rFonts w:hint="cs"/>
          <w:rtl/>
        </w:rPr>
        <w:t>السيد إيريك أوكوري (غانا)</w:t>
      </w:r>
    </w:p>
    <w:p w:rsidR="0083090A" w:rsidRDefault="0083090A" w:rsidP="0083090A">
      <w:pPr>
        <w:spacing w:after="0" w:line="204" w:lineRule="auto"/>
        <w:ind w:firstLine="1080"/>
        <w:rPr>
          <w:rtl/>
        </w:rPr>
      </w:pPr>
      <w:r>
        <w:rPr>
          <w:rFonts w:hint="cs"/>
          <w:rtl/>
        </w:rPr>
        <w:t>السيدة إيلفانا راماج (ألبانيا)</w:t>
      </w:r>
    </w:p>
    <w:p w:rsidR="00832642" w:rsidRDefault="00832642" w:rsidP="0083090A">
      <w:pPr>
        <w:spacing w:after="0" w:line="204" w:lineRule="auto"/>
        <w:ind w:firstLine="1080"/>
        <w:rPr>
          <w:rtl/>
        </w:rPr>
      </w:pPr>
      <w:r>
        <w:rPr>
          <w:rFonts w:hint="cs"/>
          <w:rtl/>
        </w:rPr>
        <w:t>السيدة تيونا كارشافا (جورجيا)</w:t>
      </w:r>
    </w:p>
    <w:p w:rsidR="00832642" w:rsidRDefault="00832642" w:rsidP="0083090A">
      <w:pPr>
        <w:spacing w:after="0" w:line="204" w:lineRule="auto"/>
        <w:ind w:firstLine="1080"/>
        <w:rPr>
          <w:rtl/>
        </w:rPr>
      </w:pPr>
      <w:r>
        <w:rPr>
          <w:rFonts w:hint="cs"/>
          <w:rtl/>
        </w:rPr>
        <w:t>السيدة هيلينا جيفري براون (أنتيغ</w:t>
      </w:r>
      <w:r w:rsidR="0083090A">
        <w:rPr>
          <w:rFonts w:hint="cs"/>
          <w:rtl/>
        </w:rPr>
        <w:t>و</w:t>
      </w:r>
      <w:r w:rsidR="00F757CE">
        <w:rPr>
          <w:rFonts w:hint="cs"/>
          <w:rtl/>
        </w:rPr>
        <w:t>ا وب</w:t>
      </w:r>
      <w:r>
        <w:rPr>
          <w:rFonts w:hint="cs"/>
          <w:rtl/>
        </w:rPr>
        <w:t>ربودا)</w:t>
      </w:r>
    </w:p>
    <w:p w:rsidR="0083090A" w:rsidRDefault="0083090A" w:rsidP="0083090A">
      <w:pPr>
        <w:spacing w:after="0" w:line="204" w:lineRule="auto"/>
        <w:ind w:firstLine="1080"/>
        <w:rPr>
          <w:rtl/>
        </w:rPr>
      </w:pPr>
      <w:r>
        <w:rPr>
          <w:rFonts w:hint="cs"/>
          <w:rtl/>
        </w:rPr>
        <w:t>السيد كارلوس مانويل رودريغس (كوستاريكا)</w:t>
      </w:r>
    </w:p>
    <w:p w:rsidR="0083090A" w:rsidRDefault="0083090A" w:rsidP="0083090A">
      <w:pPr>
        <w:spacing w:after="0" w:line="204" w:lineRule="auto"/>
        <w:ind w:firstLine="1080"/>
        <w:rPr>
          <w:rtl/>
        </w:rPr>
      </w:pPr>
      <w:r>
        <w:rPr>
          <w:rFonts w:hint="cs"/>
          <w:rtl/>
        </w:rPr>
        <w:t>السيدة غابري</w:t>
      </w:r>
      <w:r w:rsidR="0097264D">
        <w:rPr>
          <w:rFonts w:hint="cs"/>
          <w:rtl/>
        </w:rPr>
        <w:t>ـ</w:t>
      </w:r>
      <w:r>
        <w:rPr>
          <w:rFonts w:hint="cs"/>
          <w:rtl/>
        </w:rPr>
        <w:t>ال أوبرماير (النمسا)</w:t>
      </w:r>
    </w:p>
    <w:p w:rsidR="0083090A" w:rsidRDefault="0083090A" w:rsidP="0083090A">
      <w:pPr>
        <w:spacing w:after="0" w:line="204" w:lineRule="auto"/>
        <w:ind w:firstLine="1080"/>
        <w:rPr>
          <w:rtl/>
        </w:rPr>
      </w:pPr>
      <w:r>
        <w:rPr>
          <w:rFonts w:hint="cs"/>
          <w:rtl/>
        </w:rPr>
        <w:t>السيدة روزماري باترسون (نيوزيلندا)</w:t>
      </w:r>
    </w:p>
    <w:p w:rsidR="0083090A" w:rsidRDefault="0083090A" w:rsidP="0083090A">
      <w:pPr>
        <w:spacing w:after="0" w:line="204" w:lineRule="auto"/>
        <w:ind w:firstLine="1080"/>
        <w:rPr>
          <w:rtl/>
        </w:rPr>
      </w:pPr>
      <w:r>
        <w:rPr>
          <w:rFonts w:hint="cs"/>
          <w:rtl/>
        </w:rPr>
        <w:t>السيدة سوجاتا أرورا (الهند)</w:t>
      </w:r>
    </w:p>
    <w:p w:rsidR="0083090A" w:rsidRDefault="0083090A" w:rsidP="0083090A">
      <w:pPr>
        <w:spacing w:line="204" w:lineRule="auto"/>
        <w:ind w:firstLine="1080"/>
        <w:rPr>
          <w:rtl/>
        </w:rPr>
      </w:pPr>
      <w:r>
        <w:rPr>
          <w:rFonts w:hint="cs"/>
          <w:rtl/>
        </w:rPr>
        <w:t>السيدة لينا العوضي (الكويت)</w:t>
      </w:r>
    </w:p>
    <w:p w:rsidR="00043C85" w:rsidRPr="00192C17" w:rsidRDefault="00043C85" w:rsidP="001C08DD">
      <w:pPr>
        <w:rPr>
          <w:b/>
          <w:bCs/>
          <w:rtl/>
          <w:lang w:bidi="ar-LY"/>
        </w:rPr>
      </w:pPr>
      <w:r w:rsidRPr="00192C17">
        <w:rPr>
          <w:b/>
          <w:bCs/>
          <w:rtl/>
          <w:lang w:bidi="ar-LY"/>
        </w:rPr>
        <w:t>انتخاب أعضاء الهيئات الفرعية والاجتماعات الأخرى</w:t>
      </w:r>
    </w:p>
    <w:p w:rsidR="00043C85" w:rsidRDefault="00043C85" w:rsidP="00FF7FA5">
      <w:pPr>
        <w:numPr>
          <w:ilvl w:val="0"/>
          <w:numId w:val="6"/>
        </w:numPr>
        <w:ind w:left="0" w:firstLine="0"/>
      </w:pPr>
      <w:r w:rsidRPr="00B7030D">
        <w:rPr>
          <w:rFonts w:hint="cs"/>
          <w:rtl/>
        </w:rPr>
        <w:t xml:space="preserve">في </w:t>
      </w:r>
      <w:r w:rsidRPr="00B7030D">
        <w:rPr>
          <w:rtl/>
          <w:lang w:bidi="ar-LY"/>
        </w:rPr>
        <w:t xml:space="preserve">الجلسة العامة </w:t>
      </w:r>
      <w:r w:rsidR="00697943">
        <w:rPr>
          <w:rFonts w:hint="cs"/>
          <w:rtl/>
          <w:lang w:bidi="ar-LY"/>
        </w:rPr>
        <w:t>الرابعة</w:t>
      </w:r>
      <w:r w:rsidRPr="00B7030D">
        <w:rPr>
          <w:rtl/>
          <w:lang w:bidi="ar-LY"/>
        </w:rPr>
        <w:t xml:space="preserve"> للاجتماع، المنعقدة </w:t>
      </w:r>
      <w:r w:rsidR="00822C5E" w:rsidRPr="00B7030D">
        <w:rPr>
          <w:rtl/>
          <w:lang w:bidi="ar-LY"/>
        </w:rPr>
        <w:t>في</w:t>
      </w:r>
      <w:r w:rsidR="00822C5E" w:rsidRPr="00B7030D">
        <w:rPr>
          <w:rFonts w:hint="cs"/>
          <w:rtl/>
          <w:lang w:bidi="ar-LY"/>
        </w:rPr>
        <w:t xml:space="preserve"> </w:t>
      </w:r>
      <w:r w:rsidR="00697943">
        <w:rPr>
          <w:rFonts w:hint="cs"/>
          <w:rtl/>
          <w:lang w:bidi="ar-LY"/>
        </w:rPr>
        <w:t>22</w:t>
      </w:r>
      <w:r w:rsidR="00822C5E" w:rsidRPr="00B7030D">
        <w:rPr>
          <w:rtl/>
          <w:lang w:bidi="ar-LY"/>
        </w:rPr>
        <w:t xml:space="preserve"> </w:t>
      </w:r>
      <w:r w:rsidR="00822C5E" w:rsidRPr="00B7030D">
        <w:rPr>
          <w:rFonts w:hint="cs"/>
          <w:rtl/>
        </w:rPr>
        <w:t>نوفمبر/تشرين الثاني 2018</w:t>
      </w:r>
      <w:r w:rsidR="00822C5E" w:rsidRPr="00B7030D">
        <w:rPr>
          <w:rtl/>
          <w:lang w:bidi="ar-LY"/>
        </w:rPr>
        <w:t>،</w:t>
      </w:r>
      <w:r w:rsidR="006A2A03">
        <w:rPr>
          <w:rFonts w:hint="cs"/>
          <w:rtl/>
          <w:lang w:bidi="ar-LY"/>
        </w:rPr>
        <w:t xml:space="preserve"> </w:t>
      </w:r>
      <w:r w:rsidRPr="00B7030D">
        <w:rPr>
          <w:rtl/>
          <w:lang w:bidi="ar-LY"/>
        </w:rPr>
        <w:t xml:space="preserve">انتخب مؤتمر الأطراف </w:t>
      </w:r>
      <w:r w:rsidRPr="00B7030D">
        <w:rPr>
          <w:rFonts w:hint="cs"/>
          <w:rtl/>
          <w:lang w:bidi="ar-LY"/>
        </w:rPr>
        <w:t xml:space="preserve">السيد </w:t>
      </w:r>
      <w:r w:rsidR="00697943">
        <w:rPr>
          <w:rFonts w:hint="cs"/>
          <w:rtl/>
          <w:lang w:bidi="ar-LY"/>
        </w:rPr>
        <w:t>إيزيكيو ب</w:t>
      </w:r>
      <w:r w:rsidR="00192C17">
        <w:rPr>
          <w:rFonts w:hint="cs"/>
          <w:rtl/>
          <w:lang w:bidi="ar-LY"/>
        </w:rPr>
        <w:t>ن</w:t>
      </w:r>
      <w:r w:rsidR="00697943">
        <w:rPr>
          <w:rFonts w:hint="cs"/>
          <w:rtl/>
          <w:lang w:bidi="ar-LY"/>
        </w:rPr>
        <w:t>يتز دياز (المكسيك)</w:t>
      </w:r>
      <w:r w:rsidRPr="00B7030D">
        <w:rPr>
          <w:rFonts w:hint="cs"/>
          <w:rtl/>
          <w:lang w:bidi="ar-LY"/>
        </w:rPr>
        <w:t xml:space="preserve"> </w:t>
      </w:r>
      <w:r w:rsidRPr="00B7030D">
        <w:rPr>
          <w:rtl/>
          <w:lang w:bidi="ar-LY"/>
        </w:rPr>
        <w:t>رئيس</w:t>
      </w:r>
      <w:r w:rsidRPr="00B7030D">
        <w:rPr>
          <w:rFonts w:hint="cs"/>
          <w:rtl/>
          <w:lang w:bidi="ar-LY"/>
        </w:rPr>
        <w:t>ا</w:t>
      </w:r>
      <w:r w:rsidRPr="00B7030D">
        <w:rPr>
          <w:rtl/>
          <w:lang w:bidi="ar-LY"/>
        </w:rPr>
        <w:t xml:space="preserve"> للهيئة الفرعية </w:t>
      </w:r>
      <w:r w:rsidRPr="00B7030D">
        <w:rPr>
          <w:rFonts w:hint="cs"/>
          <w:rtl/>
          <w:lang w:bidi="ar-LY"/>
        </w:rPr>
        <w:t>للمشورة العلمية والتقنية والتكنولوجية</w:t>
      </w:r>
      <w:r w:rsidRPr="00B7030D">
        <w:rPr>
          <w:rtl/>
          <w:lang w:bidi="ar-LY"/>
        </w:rPr>
        <w:t xml:space="preserve"> ل</w:t>
      </w:r>
      <w:r w:rsidRPr="00B7030D">
        <w:rPr>
          <w:rFonts w:hint="cs"/>
          <w:rtl/>
          <w:lang w:bidi="ar-LY"/>
        </w:rPr>
        <w:t>فترة ولاي</w:t>
      </w:r>
      <w:r w:rsidRPr="00B7030D">
        <w:rPr>
          <w:rtl/>
          <w:lang w:bidi="ar-LY"/>
        </w:rPr>
        <w:t>ة ت</w:t>
      </w:r>
      <w:r w:rsidRPr="00B7030D">
        <w:rPr>
          <w:rFonts w:hint="cs"/>
          <w:rtl/>
          <w:lang w:bidi="ar-LY"/>
        </w:rPr>
        <w:t>متد</w:t>
      </w:r>
      <w:r w:rsidRPr="00B7030D">
        <w:rPr>
          <w:rtl/>
          <w:lang w:bidi="ar-LY"/>
        </w:rPr>
        <w:t xml:space="preserve"> </w:t>
      </w:r>
      <w:r w:rsidRPr="00B7030D">
        <w:rPr>
          <w:rFonts w:hint="cs"/>
          <w:rtl/>
          <w:lang w:bidi="ar-LY"/>
        </w:rPr>
        <w:t>حتى</w:t>
      </w:r>
      <w:r w:rsidRPr="00B7030D">
        <w:rPr>
          <w:rtl/>
          <w:lang w:bidi="ar-LY"/>
        </w:rPr>
        <w:t xml:space="preserve"> الاجتماع ال</w:t>
      </w:r>
      <w:r w:rsidR="00822C5E" w:rsidRPr="00B7030D">
        <w:rPr>
          <w:rFonts w:hint="cs"/>
          <w:rtl/>
          <w:lang w:bidi="ar-LY"/>
        </w:rPr>
        <w:t>خامس</w:t>
      </w:r>
      <w:r w:rsidRPr="00B7030D">
        <w:rPr>
          <w:rtl/>
          <w:lang w:bidi="ar-LY"/>
        </w:rPr>
        <w:t xml:space="preserve"> عشر لمؤتمر الأطراف.</w:t>
      </w:r>
    </w:p>
    <w:p w:rsidR="00697943" w:rsidRPr="00B7030D" w:rsidRDefault="00697943" w:rsidP="00FF7FA5">
      <w:pPr>
        <w:numPr>
          <w:ilvl w:val="0"/>
          <w:numId w:val="6"/>
        </w:numPr>
        <w:ind w:left="0" w:firstLine="0"/>
      </w:pPr>
      <w:r w:rsidRPr="00B7030D">
        <w:rPr>
          <w:rFonts w:hint="cs"/>
          <w:rtl/>
        </w:rPr>
        <w:t xml:space="preserve">وفي </w:t>
      </w:r>
      <w:r w:rsidRPr="00B7030D">
        <w:rPr>
          <w:rtl/>
          <w:lang w:bidi="ar-LY"/>
        </w:rPr>
        <w:t xml:space="preserve">الجلسة العامة </w:t>
      </w:r>
      <w:r>
        <w:rPr>
          <w:rFonts w:hint="cs"/>
          <w:rtl/>
          <w:lang w:bidi="ar-LY"/>
        </w:rPr>
        <w:t>الخامسة</w:t>
      </w:r>
      <w:r w:rsidRPr="00B7030D">
        <w:rPr>
          <w:rtl/>
          <w:lang w:bidi="ar-LY"/>
        </w:rPr>
        <w:t xml:space="preserve"> للاجتماع، المنعقدة في</w:t>
      </w:r>
      <w:r w:rsidRPr="00B7030D">
        <w:rPr>
          <w:rFonts w:hint="cs"/>
          <w:rtl/>
          <w:lang w:bidi="ar-LY"/>
        </w:rPr>
        <w:t xml:space="preserve"> </w:t>
      </w:r>
      <w:r>
        <w:rPr>
          <w:rFonts w:hint="cs"/>
          <w:rtl/>
          <w:lang w:bidi="ar-LY"/>
        </w:rPr>
        <w:t>25</w:t>
      </w:r>
      <w:r w:rsidRPr="00B7030D">
        <w:rPr>
          <w:rtl/>
          <w:lang w:bidi="ar-LY"/>
        </w:rPr>
        <w:t xml:space="preserve"> </w:t>
      </w:r>
      <w:r w:rsidRPr="00B7030D">
        <w:rPr>
          <w:rFonts w:hint="cs"/>
          <w:rtl/>
        </w:rPr>
        <w:t>نوفمبر/تشرين الثاني 2018</w:t>
      </w:r>
      <w:r w:rsidRPr="00B7030D">
        <w:rPr>
          <w:rtl/>
          <w:lang w:bidi="ar-LY"/>
        </w:rPr>
        <w:t>،</w:t>
      </w:r>
      <w:r>
        <w:rPr>
          <w:rFonts w:hint="cs"/>
          <w:rtl/>
          <w:lang w:bidi="ar-LY"/>
        </w:rPr>
        <w:t xml:space="preserve"> </w:t>
      </w:r>
      <w:r w:rsidRPr="00B7030D">
        <w:rPr>
          <w:rtl/>
          <w:lang w:bidi="ar-LY"/>
        </w:rPr>
        <w:t xml:space="preserve">انتخب مؤتمر الأطراف </w:t>
      </w:r>
      <w:r w:rsidRPr="00B7030D">
        <w:rPr>
          <w:rFonts w:hint="cs"/>
          <w:rtl/>
          <w:lang w:bidi="ar-LY"/>
        </w:rPr>
        <w:t>السيد</w:t>
      </w:r>
      <w:r>
        <w:rPr>
          <w:rFonts w:hint="cs"/>
          <w:rtl/>
          <w:lang w:bidi="ar-LY"/>
        </w:rPr>
        <w:t>ة</w:t>
      </w:r>
      <w:r w:rsidRPr="00B7030D">
        <w:rPr>
          <w:rFonts w:hint="cs"/>
          <w:rtl/>
          <w:lang w:bidi="ar-LY"/>
        </w:rPr>
        <w:t xml:space="preserve"> </w:t>
      </w:r>
      <w:r>
        <w:rPr>
          <w:rFonts w:hint="cs"/>
          <w:rtl/>
          <w:lang w:bidi="ar-LY"/>
        </w:rPr>
        <w:t xml:space="preserve">شارلوتا سوركفست (السويد) </w:t>
      </w:r>
      <w:r w:rsidRPr="00B7030D">
        <w:rPr>
          <w:rtl/>
          <w:lang w:bidi="ar-LY"/>
        </w:rPr>
        <w:t>رئيس</w:t>
      </w:r>
      <w:r>
        <w:rPr>
          <w:rFonts w:hint="cs"/>
          <w:rtl/>
          <w:lang w:bidi="ar-LY"/>
        </w:rPr>
        <w:t>ة</w:t>
      </w:r>
      <w:r w:rsidRPr="00B7030D">
        <w:rPr>
          <w:rtl/>
          <w:lang w:bidi="ar-LY"/>
        </w:rPr>
        <w:t xml:space="preserve"> للهيئة الفرعية </w:t>
      </w:r>
      <w:r>
        <w:rPr>
          <w:rFonts w:hint="cs"/>
          <w:rtl/>
          <w:lang w:bidi="ar-LY"/>
        </w:rPr>
        <w:t>للتنفيذ</w:t>
      </w:r>
      <w:r w:rsidRPr="00B7030D">
        <w:rPr>
          <w:rtl/>
          <w:lang w:bidi="ar-LY"/>
        </w:rPr>
        <w:t xml:space="preserve"> ل</w:t>
      </w:r>
      <w:r w:rsidRPr="00B7030D">
        <w:rPr>
          <w:rFonts w:hint="cs"/>
          <w:rtl/>
          <w:lang w:bidi="ar-LY"/>
        </w:rPr>
        <w:t>فترة ولاي</w:t>
      </w:r>
      <w:r w:rsidRPr="00B7030D">
        <w:rPr>
          <w:rtl/>
          <w:lang w:bidi="ar-LY"/>
        </w:rPr>
        <w:t>ة ت</w:t>
      </w:r>
      <w:r w:rsidRPr="00B7030D">
        <w:rPr>
          <w:rFonts w:hint="cs"/>
          <w:rtl/>
          <w:lang w:bidi="ar-LY"/>
        </w:rPr>
        <w:t>متد</w:t>
      </w:r>
      <w:r w:rsidRPr="00B7030D">
        <w:rPr>
          <w:rtl/>
          <w:lang w:bidi="ar-LY"/>
        </w:rPr>
        <w:t xml:space="preserve"> </w:t>
      </w:r>
      <w:r w:rsidRPr="00B7030D">
        <w:rPr>
          <w:rFonts w:hint="cs"/>
          <w:rtl/>
          <w:lang w:bidi="ar-LY"/>
        </w:rPr>
        <w:t>حتى</w:t>
      </w:r>
      <w:r w:rsidRPr="00B7030D">
        <w:rPr>
          <w:rtl/>
          <w:lang w:bidi="ar-LY"/>
        </w:rPr>
        <w:t xml:space="preserve"> الاجتماع ال</w:t>
      </w:r>
      <w:r w:rsidRPr="00B7030D">
        <w:rPr>
          <w:rFonts w:hint="cs"/>
          <w:rtl/>
          <w:lang w:bidi="ar-LY"/>
        </w:rPr>
        <w:t>خامس</w:t>
      </w:r>
      <w:r w:rsidRPr="00B7030D">
        <w:rPr>
          <w:rtl/>
          <w:lang w:bidi="ar-LY"/>
        </w:rPr>
        <w:t xml:space="preserve"> عشر لمؤتمر الأطراف.</w:t>
      </w:r>
    </w:p>
    <w:p w:rsidR="00043C85" w:rsidRPr="00B7030D" w:rsidRDefault="00822C5E" w:rsidP="00094717">
      <w:pPr>
        <w:pStyle w:val="ListParagraph"/>
        <w:tabs>
          <w:tab w:val="left" w:pos="1080"/>
        </w:tabs>
        <w:bidi/>
        <w:spacing w:line="216" w:lineRule="auto"/>
        <w:ind w:left="0"/>
        <w:jc w:val="center"/>
        <w:outlineLvl w:val="1"/>
        <w:rPr>
          <w:rFonts w:cs="Simplified Arabic"/>
          <w:b/>
          <w:bCs/>
        </w:rPr>
      </w:pPr>
      <w:bookmarkStart w:id="219" w:name="_Toc6140006"/>
      <w:r w:rsidRPr="00B7030D">
        <w:rPr>
          <w:rFonts w:cs="Simplified Arabic" w:hint="cs"/>
          <w:b/>
          <w:bCs/>
          <w:rtl/>
        </w:rPr>
        <w:t>البند 3 -</w:t>
      </w:r>
      <w:r w:rsidRPr="00B7030D">
        <w:rPr>
          <w:rFonts w:cs="Simplified Arabic" w:hint="cs"/>
          <w:b/>
          <w:bCs/>
          <w:rtl/>
        </w:rPr>
        <w:tab/>
        <w:t>تقرير</w:t>
      </w:r>
      <w:r w:rsidRPr="00B7030D">
        <w:rPr>
          <w:rFonts w:cs="Simplified Arabic" w:hint="eastAsia"/>
          <w:b/>
          <w:bCs/>
          <w:rtl/>
        </w:rPr>
        <w:t xml:space="preserve"> </w:t>
      </w:r>
      <w:r w:rsidRPr="00B7030D">
        <w:rPr>
          <w:rFonts w:cs="Simplified Arabic" w:hint="cs"/>
          <w:b/>
          <w:bCs/>
          <w:rtl/>
        </w:rPr>
        <w:t>عن</w:t>
      </w:r>
      <w:r w:rsidRPr="00B7030D">
        <w:rPr>
          <w:rFonts w:cs="Simplified Arabic" w:hint="eastAsia"/>
          <w:b/>
          <w:bCs/>
          <w:rtl/>
        </w:rPr>
        <w:t xml:space="preserve"> </w:t>
      </w:r>
      <w:r w:rsidRPr="00B7030D">
        <w:rPr>
          <w:rFonts w:cs="Simplified Arabic" w:hint="cs"/>
          <w:b/>
          <w:bCs/>
          <w:rtl/>
        </w:rPr>
        <w:t>وثائق</w:t>
      </w:r>
      <w:r w:rsidRPr="00B7030D">
        <w:rPr>
          <w:rFonts w:cs="Simplified Arabic" w:hint="eastAsia"/>
          <w:b/>
          <w:bCs/>
          <w:rtl/>
        </w:rPr>
        <w:t xml:space="preserve"> </w:t>
      </w:r>
      <w:r w:rsidRPr="00B7030D">
        <w:rPr>
          <w:rFonts w:cs="Simplified Arabic" w:hint="cs"/>
          <w:b/>
          <w:bCs/>
          <w:rtl/>
        </w:rPr>
        <w:t>تفويض</w:t>
      </w:r>
      <w:r w:rsidRPr="00B7030D">
        <w:rPr>
          <w:rFonts w:cs="Simplified Arabic" w:hint="eastAsia"/>
          <w:b/>
          <w:bCs/>
          <w:rtl/>
        </w:rPr>
        <w:t xml:space="preserve"> </w:t>
      </w:r>
      <w:r w:rsidRPr="00B7030D">
        <w:rPr>
          <w:rFonts w:cs="Simplified Arabic" w:hint="cs"/>
          <w:b/>
          <w:bCs/>
          <w:rtl/>
        </w:rPr>
        <w:t>الممثلين</w:t>
      </w:r>
      <w:r w:rsidRPr="00B7030D">
        <w:rPr>
          <w:rFonts w:cs="Simplified Arabic" w:hint="eastAsia"/>
          <w:b/>
          <w:bCs/>
          <w:rtl/>
        </w:rPr>
        <w:t xml:space="preserve"> </w:t>
      </w:r>
      <w:r w:rsidRPr="00B7030D">
        <w:rPr>
          <w:rFonts w:cs="Simplified Arabic" w:hint="cs"/>
          <w:b/>
          <w:bCs/>
          <w:rtl/>
        </w:rPr>
        <w:t>إلى</w:t>
      </w:r>
      <w:r w:rsidRPr="00B7030D">
        <w:rPr>
          <w:rFonts w:cs="Simplified Arabic" w:hint="eastAsia"/>
          <w:b/>
          <w:bCs/>
          <w:rtl/>
        </w:rPr>
        <w:t xml:space="preserve"> </w:t>
      </w:r>
      <w:r w:rsidRPr="00B7030D">
        <w:rPr>
          <w:rFonts w:cs="Simplified Arabic" w:hint="cs"/>
          <w:b/>
          <w:bCs/>
          <w:rtl/>
        </w:rPr>
        <w:t>الاجتماع الرابع عشر لمؤتمر الأطراف</w:t>
      </w:r>
      <w:bookmarkEnd w:id="219"/>
    </w:p>
    <w:p w:rsidR="009B1CC5" w:rsidRPr="00B7030D" w:rsidRDefault="009B1CC5" w:rsidP="00FF7FA5">
      <w:pPr>
        <w:numPr>
          <w:ilvl w:val="0"/>
          <w:numId w:val="6"/>
        </w:numPr>
        <w:ind w:left="0" w:firstLine="0"/>
        <w:rPr>
          <w:lang w:bidi="ar-LY"/>
        </w:rPr>
      </w:pPr>
      <w:r w:rsidRPr="00B7030D">
        <w:rPr>
          <w:rFonts w:hint="cs"/>
          <w:rtl/>
        </w:rPr>
        <w:t xml:space="preserve">تم بحث </w:t>
      </w:r>
      <w:r w:rsidRPr="00B7030D">
        <w:rPr>
          <w:rtl/>
        </w:rPr>
        <w:t xml:space="preserve">البند </w:t>
      </w:r>
      <w:r w:rsidRPr="00B7030D">
        <w:rPr>
          <w:rFonts w:hint="cs"/>
          <w:rtl/>
        </w:rPr>
        <w:t>4</w:t>
      </w:r>
      <w:r w:rsidRPr="00B7030D">
        <w:rPr>
          <w:rtl/>
        </w:rPr>
        <w:t xml:space="preserve"> من جدول الأعمال </w:t>
      </w:r>
      <w:r w:rsidRPr="00B7030D">
        <w:rPr>
          <w:rFonts w:hint="cs"/>
          <w:rtl/>
        </w:rPr>
        <w:t>في</w:t>
      </w:r>
      <w:r w:rsidRPr="00B7030D">
        <w:rPr>
          <w:rtl/>
        </w:rPr>
        <w:t xml:space="preserve"> الجلسة </w:t>
      </w:r>
      <w:r w:rsidRPr="00B7030D">
        <w:rPr>
          <w:rFonts w:hint="cs"/>
          <w:rtl/>
        </w:rPr>
        <w:t>العامة الثانية</w:t>
      </w:r>
      <w:r w:rsidRPr="00B7030D">
        <w:rPr>
          <w:rtl/>
        </w:rPr>
        <w:t xml:space="preserve"> </w:t>
      </w:r>
      <w:r w:rsidRPr="00B7030D">
        <w:rPr>
          <w:rFonts w:hint="cs"/>
          <w:rtl/>
        </w:rPr>
        <w:t>لل</w:t>
      </w:r>
      <w:r w:rsidRPr="00B7030D">
        <w:rPr>
          <w:rtl/>
        </w:rPr>
        <w:t>اجتماع</w:t>
      </w:r>
      <w:r w:rsidRPr="00B7030D">
        <w:rPr>
          <w:rFonts w:hint="cs"/>
          <w:rtl/>
        </w:rPr>
        <w:t xml:space="preserve">، المنعقدة </w:t>
      </w:r>
      <w:r w:rsidRPr="00B7030D">
        <w:rPr>
          <w:rtl/>
          <w:lang w:bidi="ar-LY"/>
        </w:rPr>
        <w:t xml:space="preserve">في </w:t>
      </w:r>
      <w:r w:rsidRPr="00B7030D">
        <w:rPr>
          <w:rFonts w:hint="cs"/>
          <w:rtl/>
          <w:lang w:bidi="ar-LY"/>
        </w:rPr>
        <w:t>17 نوفمبر/تشرين الثاني 2018</w:t>
      </w:r>
      <w:r w:rsidRPr="00B7030D">
        <w:rPr>
          <w:rtl/>
        </w:rPr>
        <w:t xml:space="preserve">. </w:t>
      </w:r>
      <w:r w:rsidRPr="00B7030D">
        <w:rPr>
          <w:rFonts w:hint="cs"/>
          <w:rtl/>
        </w:rPr>
        <w:t>ووفقا ل</w:t>
      </w:r>
      <w:r w:rsidRPr="00B7030D">
        <w:rPr>
          <w:rtl/>
        </w:rPr>
        <w:t xml:space="preserve">لمادة 19 من النظام الداخلي، يتعين على المكتب أن يفحص </w:t>
      </w:r>
      <w:r w:rsidRPr="00B7030D">
        <w:rPr>
          <w:rFonts w:hint="cs"/>
          <w:rtl/>
        </w:rPr>
        <w:t>وثائق</w:t>
      </w:r>
      <w:r w:rsidRPr="00B7030D">
        <w:rPr>
          <w:rtl/>
        </w:rPr>
        <w:t xml:space="preserve"> تفويض </w:t>
      </w:r>
      <w:r w:rsidRPr="00B7030D">
        <w:rPr>
          <w:rFonts w:hint="cs"/>
          <w:rtl/>
        </w:rPr>
        <w:t>الوفود</w:t>
      </w:r>
      <w:r w:rsidRPr="00B7030D">
        <w:rPr>
          <w:rtl/>
        </w:rPr>
        <w:t xml:space="preserve"> و</w:t>
      </w:r>
      <w:r w:rsidRPr="00B7030D">
        <w:rPr>
          <w:rFonts w:hint="cs"/>
          <w:rtl/>
        </w:rPr>
        <w:t xml:space="preserve">أن </w:t>
      </w:r>
      <w:r w:rsidRPr="00B7030D">
        <w:rPr>
          <w:rtl/>
        </w:rPr>
        <w:t>يقدم تقريرا عن</w:t>
      </w:r>
      <w:r w:rsidRPr="00B7030D">
        <w:rPr>
          <w:rFonts w:hint="cs"/>
          <w:rtl/>
        </w:rPr>
        <w:t>ها. وبناء عليه، أبلغت الرئيسة الاجتماع بأن المكتب عين السيدة إيلينا ماكييفا (بيلاروس)</w:t>
      </w:r>
      <w:r w:rsidRPr="00B7030D">
        <w:rPr>
          <w:rFonts w:hint="cs"/>
          <w:rtl/>
          <w:lang w:bidi="ar-LY"/>
        </w:rPr>
        <w:t>، نائبة رئيس المكتب، لفحص وثائق التفويض ورفع تقرير عنها.</w:t>
      </w:r>
    </w:p>
    <w:p w:rsidR="009B1CC5" w:rsidRPr="00A87B7D" w:rsidRDefault="007C5A0C" w:rsidP="003051C4">
      <w:pPr>
        <w:pStyle w:val="ListParagraph"/>
        <w:numPr>
          <w:ilvl w:val="0"/>
          <w:numId w:val="6"/>
        </w:numPr>
        <w:bidi/>
        <w:spacing w:line="216" w:lineRule="auto"/>
        <w:ind w:left="0" w:firstLine="0"/>
        <w:rPr>
          <w:rFonts w:ascii="Simplified Arabic" w:hAnsi="Simplified Arabic" w:cs="Simplified Arabic"/>
          <w:sz w:val="24"/>
        </w:rPr>
      </w:pPr>
      <w:r w:rsidRPr="00A87B7D">
        <w:rPr>
          <w:rFonts w:ascii="Simplified Arabic" w:hAnsi="Simplified Arabic" w:cs="Simplified Arabic"/>
          <w:sz w:val="24"/>
          <w:rtl/>
        </w:rPr>
        <w:t xml:space="preserve">وفي الجلسة العامة الرابعة للاجتماع، المنعقدة في 22 نوفمبر/تشرين الثاني 2018، أبلغت السيدة ماكييفا مؤتمر الأطراف أن 180 طرفا </w:t>
      </w:r>
      <w:r w:rsidRPr="00A87B7D">
        <w:rPr>
          <w:rFonts w:ascii="Simplified Arabic" w:hAnsi="Simplified Arabic" w:cs="Simplified Arabic"/>
          <w:sz w:val="24"/>
          <w:rtl/>
          <w:lang w:bidi="ar-LY"/>
        </w:rPr>
        <w:t xml:space="preserve">كانوا مسجلين على أنهم يحضرون الاجتماع. وقد فحص المكتب وثائق تفويض ممثلي 154 طرفا </w:t>
      </w:r>
      <w:r w:rsidR="00C93FC0">
        <w:rPr>
          <w:rFonts w:ascii="Simplified Arabic" w:hAnsi="Simplified Arabic" w:cs="Simplified Arabic" w:hint="cs"/>
          <w:sz w:val="24"/>
          <w:rtl/>
          <w:lang w:bidi="ar-LY"/>
        </w:rPr>
        <w:t xml:space="preserve">كانوا يحضرون الاجتماع. </w:t>
      </w:r>
      <w:r w:rsidRPr="00A87B7D">
        <w:rPr>
          <w:rFonts w:ascii="Simplified Arabic" w:hAnsi="Simplified Arabic" w:cs="Simplified Arabic"/>
          <w:sz w:val="24"/>
          <w:rtl/>
          <w:lang w:bidi="ar-LY"/>
        </w:rPr>
        <w:t xml:space="preserve">ووجد أن وثائق تفويض </w:t>
      </w:r>
      <w:r w:rsidR="00C93FC0">
        <w:rPr>
          <w:rFonts w:ascii="Simplified Arabic" w:hAnsi="Simplified Arabic" w:cs="Simplified Arabic" w:hint="cs"/>
          <w:sz w:val="24"/>
          <w:rtl/>
          <w:lang w:bidi="ar-LY"/>
        </w:rPr>
        <w:t xml:space="preserve">135 </w:t>
      </w:r>
      <w:r w:rsidRPr="00A87B7D">
        <w:rPr>
          <w:rFonts w:ascii="Simplified Arabic" w:hAnsi="Simplified Arabic" w:cs="Simplified Arabic"/>
          <w:sz w:val="24"/>
          <w:rtl/>
          <w:lang w:bidi="ar-LY"/>
        </w:rPr>
        <w:t>وفدا تمتثل بالكامل لأحكام المادة 18 من النظام الداخلي</w:t>
      </w:r>
      <w:r w:rsidR="00C93FC0">
        <w:rPr>
          <w:rFonts w:ascii="Simplified Arabic" w:hAnsi="Simplified Arabic" w:cs="Simplified Arabic" w:hint="cs"/>
          <w:sz w:val="24"/>
          <w:rtl/>
          <w:lang w:bidi="ar-LY"/>
        </w:rPr>
        <w:t>.</w:t>
      </w:r>
      <w:r w:rsidRPr="00A87B7D">
        <w:rPr>
          <w:rFonts w:ascii="Simplified Arabic" w:hAnsi="Simplified Arabic" w:cs="Simplified Arabic"/>
          <w:sz w:val="24"/>
          <w:rtl/>
          <w:lang w:bidi="ar-LY"/>
        </w:rPr>
        <w:t xml:space="preserve"> </w:t>
      </w:r>
      <w:r w:rsidR="00C93FC0">
        <w:rPr>
          <w:rFonts w:ascii="Simplified Arabic" w:hAnsi="Simplified Arabic" w:cs="Simplified Arabic" w:hint="cs"/>
          <w:sz w:val="24"/>
          <w:rtl/>
          <w:lang w:bidi="ar-LY"/>
        </w:rPr>
        <w:t>ولم يمتثل وثائق تفويض 19 وفد</w:t>
      </w:r>
      <w:r w:rsidR="008B2478">
        <w:rPr>
          <w:rFonts w:ascii="Simplified Arabic" w:hAnsi="Simplified Arabic" w:cs="Simplified Arabic" w:hint="cs"/>
          <w:sz w:val="24"/>
          <w:rtl/>
          <w:lang w:bidi="ar-LY"/>
        </w:rPr>
        <w:t>ا</w:t>
      </w:r>
      <w:r w:rsidR="00C93FC0">
        <w:rPr>
          <w:rFonts w:ascii="Simplified Arabic" w:hAnsi="Simplified Arabic" w:cs="Simplified Arabic" w:hint="cs"/>
          <w:sz w:val="24"/>
          <w:rtl/>
          <w:lang w:bidi="ar-LY"/>
        </w:rPr>
        <w:t xml:space="preserve"> بالكامل لأحكام المادة 18 </w:t>
      </w:r>
      <w:r w:rsidRPr="00A87B7D">
        <w:rPr>
          <w:rFonts w:ascii="Simplified Arabic" w:hAnsi="Simplified Arabic" w:cs="Simplified Arabic"/>
          <w:sz w:val="24"/>
          <w:rtl/>
          <w:lang w:bidi="ar-LY"/>
        </w:rPr>
        <w:t>ولم يقدم 1</w:t>
      </w:r>
      <w:r w:rsidR="008B2478">
        <w:rPr>
          <w:rFonts w:ascii="Simplified Arabic" w:hAnsi="Simplified Arabic" w:cs="Simplified Arabic" w:hint="cs"/>
          <w:sz w:val="24"/>
          <w:rtl/>
          <w:lang w:bidi="ar-LY"/>
        </w:rPr>
        <w:t>9</w:t>
      </w:r>
      <w:r w:rsidRPr="00A87B7D">
        <w:rPr>
          <w:rFonts w:ascii="Simplified Arabic" w:hAnsi="Simplified Arabic" w:cs="Simplified Arabic"/>
          <w:sz w:val="24"/>
          <w:rtl/>
          <w:lang w:bidi="ar-LY"/>
        </w:rPr>
        <w:t xml:space="preserve"> وفدا آخر وثائق تفويضهم حتى اليوم.</w:t>
      </w:r>
    </w:p>
    <w:p w:rsidR="00192C17" w:rsidRDefault="00C93FC0" w:rsidP="003051C4">
      <w:pPr>
        <w:pStyle w:val="ListParagraph"/>
        <w:numPr>
          <w:ilvl w:val="0"/>
          <w:numId w:val="6"/>
        </w:numPr>
        <w:bidi/>
        <w:spacing w:line="216" w:lineRule="auto"/>
        <w:ind w:left="0" w:firstLine="0"/>
        <w:rPr>
          <w:rFonts w:cs="Simplified Arabic"/>
        </w:rPr>
      </w:pPr>
      <w:r>
        <w:rPr>
          <w:rFonts w:cs="Simplified Arabic" w:hint="cs"/>
          <w:rtl/>
        </w:rPr>
        <w:lastRenderedPageBreak/>
        <w:t xml:space="preserve">وفي الجلسة العامة السابعة للاجتماع، المنعقدة في 29 نوفمبر/تشرين الثاني 2018، أبلغت السيدة ماكييفا مؤتمر الأطراف أن 181 طرفا كانوا مسجلين </w:t>
      </w:r>
      <w:r w:rsidRPr="00A87B7D">
        <w:rPr>
          <w:rFonts w:ascii="Simplified Arabic" w:hAnsi="Simplified Arabic" w:cs="Simplified Arabic"/>
          <w:sz w:val="24"/>
          <w:rtl/>
          <w:lang w:bidi="ar-LY"/>
        </w:rPr>
        <w:t>على أنهم يحضرون الاجتماع. وقد فحص المكتب وثائق تفويض ممثلي 1</w:t>
      </w:r>
      <w:r>
        <w:rPr>
          <w:rFonts w:ascii="Simplified Arabic" w:hAnsi="Simplified Arabic" w:cs="Simplified Arabic" w:hint="cs"/>
          <w:sz w:val="24"/>
          <w:rtl/>
          <w:lang w:bidi="ar-LY"/>
        </w:rPr>
        <w:t>62</w:t>
      </w:r>
      <w:r w:rsidRPr="00A87B7D">
        <w:rPr>
          <w:rFonts w:ascii="Simplified Arabic" w:hAnsi="Simplified Arabic" w:cs="Simplified Arabic"/>
          <w:sz w:val="24"/>
          <w:rtl/>
          <w:lang w:bidi="ar-LY"/>
        </w:rPr>
        <w:t xml:space="preserve"> طرفا</w:t>
      </w:r>
      <w:r>
        <w:rPr>
          <w:rFonts w:ascii="Simplified Arabic" w:hAnsi="Simplified Arabic" w:cs="Simplified Arabic" w:hint="cs"/>
          <w:sz w:val="24"/>
          <w:rtl/>
          <w:lang w:bidi="ar-LY"/>
        </w:rPr>
        <w:t xml:space="preserve">. </w:t>
      </w:r>
      <w:r w:rsidRPr="00A87B7D">
        <w:rPr>
          <w:rFonts w:ascii="Simplified Arabic" w:hAnsi="Simplified Arabic" w:cs="Simplified Arabic"/>
          <w:sz w:val="24"/>
          <w:rtl/>
          <w:lang w:bidi="ar-LY"/>
        </w:rPr>
        <w:t xml:space="preserve">ووجد أن وثائق تفويض </w:t>
      </w:r>
      <w:r>
        <w:rPr>
          <w:rFonts w:ascii="Simplified Arabic" w:hAnsi="Simplified Arabic" w:cs="Simplified Arabic" w:hint="cs"/>
          <w:sz w:val="24"/>
          <w:rtl/>
          <w:lang w:bidi="ar-LY"/>
        </w:rPr>
        <w:t xml:space="preserve">148 </w:t>
      </w:r>
      <w:r w:rsidRPr="00A87B7D">
        <w:rPr>
          <w:rFonts w:ascii="Simplified Arabic" w:hAnsi="Simplified Arabic" w:cs="Simplified Arabic"/>
          <w:sz w:val="24"/>
          <w:rtl/>
          <w:lang w:bidi="ar-LY"/>
        </w:rPr>
        <w:t>وفدا تمتثل بالكامل لأحكام المادة 18 من النظام الداخلي</w:t>
      </w:r>
      <w:r>
        <w:rPr>
          <w:rFonts w:ascii="Simplified Arabic" w:hAnsi="Simplified Arabic" w:cs="Simplified Arabic" w:hint="cs"/>
          <w:sz w:val="24"/>
          <w:rtl/>
          <w:lang w:bidi="ar-LY"/>
        </w:rPr>
        <w:t>،</w:t>
      </w:r>
      <w:r w:rsidRPr="00A87B7D">
        <w:rPr>
          <w:rFonts w:ascii="Simplified Arabic" w:hAnsi="Simplified Arabic" w:cs="Simplified Arabic"/>
          <w:sz w:val="24"/>
          <w:rtl/>
          <w:lang w:bidi="ar-LY"/>
        </w:rPr>
        <w:t xml:space="preserve"> </w:t>
      </w:r>
      <w:r>
        <w:rPr>
          <w:rFonts w:ascii="Simplified Arabic" w:hAnsi="Simplified Arabic" w:cs="Simplified Arabic" w:hint="cs"/>
          <w:sz w:val="24"/>
          <w:rtl/>
          <w:lang w:bidi="ar-LY"/>
        </w:rPr>
        <w:t>وأن وثائق تفويض 14 وفدا لم تمتثل بالكامل لأحكام المادة 18 وأن</w:t>
      </w:r>
      <w:r w:rsidRPr="00A87B7D">
        <w:rPr>
          <w:rFonts w:ascii="Simplified Arabic" w:hAnsi="Simplified Arabic" w:cs="Simplified Arabic"/>
          <w:sz w:val="24"/>
          <w:rtl/>
          <w:lang w:bidi="ar-LY"/>
        </w:rPr>
        <w:t xml:space="preserve"> </w:t>
      </w:r>
      <w:r w:rsidR="003051C4">
        <w:rPr>
          <w:rFonts w:ascii="Simplified Arabic" w:hAnsi="Simplified Arabic" w:cs="Simplified Arabic" w:hint="cs"/>
          <w:sz w:val="24"/>
          <w:rtl/>
          <w:lang w:bidi="ar-LY"/>
        </w:rPr>
        <w:t>19</w:t>
      </w:r>
      <w:r w:rsidRPr="00A87B7D">
        <w:rPr>
          <w:rFonts w:ascii="Simplified Arabic" w:hAnsi="Simplified Arabic" w:cs="Simplified Arabic"/>
          <w:sz w:val="24"/>
          <w:rtl/>
          <w:lang w:bidi="ar-LY"/>
        </w:rPr>
        <w:t xml:space="preserve"> وفدا آخر </w:t>
      </w:r>
      <w:r>
        <w:rPr>
          <w:rFonts w:ascii="Simplified Arabic" w:hAnsi="Simplified Arabic" w:cs="Simplified Arabic" w:hint="cs"/>
          <w:sz w:val="24"/>
          <w:rtl/>
          <w:lang w:bidi="ar-LY"/>
        </w:rPr>
        <w:t xml:space="preserve">لم يقدموا </w:t>
      </w:r>
      <w:r w:rsidRPr="00A87B7D">
        <w:rPr>
          <w:rFonts w:ascii="Simplified Arabic" w:hAnsi="Simplified Arabic" w:cs="Simplified Arabic"/>
          <w:sz w:val="24"/>
          <w:rtl/>
          <w:lang w:bidi="ar-LY"/>
        </w:rPr>
        <w:t>وثائق تفويضهم حتى اليوم.</w:t>
      </w:r>
      <w:r w:rsidR="003051C4" w:rsidRPr="003051C4">
        <w:rPr>
          <w:rFonts w:ascii="Simplified Arabic" w:hAnsi="Simplified Arabic" w:cs="Simplified Arabic" w:hint="cs"/>
          <w:sz w:val="24"/>
          <w:rtl/>
        </w:rPr>
        <w:t xml:space="preserve"> </w:t>
      </w:r>
      <w:r w:rsidR="003051C4">
        <w:rPr>
          <w:rFonts w:ascii="Simplified Arabic" w:hAnsi="Simplified Arabic" w:cs="Simplified Arabic" w:hint="cs"/>
          <w:sz w:val="24"/>
          <w:rtl/>
        </w:rPr>
        <w:t xml:space="preserve">ويرد المزيد من المعلومات في الوثيقة </w:t>
      </w:r>
      <w:r w:rsidR="003051C4" w:rsidRPr="00DC65D8">
        <w:rPr>
          <w:kern w:val="22"/>
        </w:rPr>
        <w:t>CBD/COP/14/INF/49</w:t>
      </w:r>
      <w:r w:rsidR="003051C4">
        <w:rPr>
          <w:rFonts w:ascii="Simplified Arabic" w:hAnsi="Simplified Arabic" w:cs="Simplified Arabic" w:hint="cs"/>
          <w:sz w:val="24"/>
          <w:rtl/>
        </w:rPr>
        <w:t>.</w:t>
      </w:r>
    </w:p>
    <w:p w:rsidR="008B2478" w:rsidRPr="008B2478" w:rsidRDefault="00C93FC0" w:rsidP="008B2478">
      <w:pPr>
        <w:pStyle w:val="ListParagraph"/>
        <w:numPr>
          <w:ilvl w:val="0"/>
          <w:numId w:val="6"/>
        </w:numPr>
        <w:bidi/>
        <w:spacing w:line="216" w:lineRule="auto"/>
        <w:ind w:left="0" w:firstLine="0"/>
        <w:rPr>
          <w:rFonts w:cs="Simplified Arabic"/>
        </w:rPr>
      </w:pPr>
      <w:r w:rsidRPr="008B2478">
        <w:rPr>
          <w:rFonts w:cs="Simplified Arabic" w:hint="cs"/>
          <w:rtl/>
        </w:rPr>
        <w:t xml:space="preserve">ووقع </w:t>
      </w:r>
      <w:r w:rsidR="003051C4">
        <w:rPr>
          <w:rFonts w:cs="Simplified Arabic" w:hint="cs"/>
          <w:rtl/>
        </w:rPr>
        <w:t>عدد</w:t>
      </w:r>
      <w:r w:rsidRPr="008B2478">
        <w:rPr>
          <w:rFonts w:cs="Simplified Arabic" w:hint="cs"/>
          <w:rtl/>
        </w:rPr>
        <w:t xml:space="preserve"> من رؤساء الوفود على </w:t>
      </w:r>
      <w:r w:rsidR="008B2478" w:rsidRPr="008B2478">
        <w:rPr>
          <w:rFonts w:cs="Simplified Arabic" w:hint="cs"/>
          <w:rtl/>
        </w:rPr>
        <w:t xml:space="preserve">إقرار </w:t>
      </w:r>
      <w:r w:rsidR="008B2478" w:rsidRPr="008B2478">
        <w:rPr>
          <w:rFonts w:cs="Simplified Arabic"/>
          <w:rtl/>
        </w:rPr>
        <w:t>يتعهد</w:t>
      </w:r>
      <w:r w:rsidR="003051C4">
        <w:rPr>
          <w:rFonts w:cs="Simplified Arabic" w:hint="cs"/>
          <w:rtl/>
        </w:rPr>
        <w:t>ون</w:t>
      </w:r>
      <w:r w:rsidR="008B2478" w:rsidRPr="008B2478">
        <w:rPr>
          <w:rFonts w:cs="Simplified Arabic"/>
          <w:rtl/>
        </w:rPr>
        <w:t xml:space="preserve"> فيه بتقديم وثائق تفويضهم</w:t>
      </w:r>
      <w:r w:rsidR="008B2478" w:rsidRPr="008B2478">
        <w:rPr>
          <w:rFonts w:cs="Simplified Arabic" w:hint="cs"/>
          <w:rtl/>
        </w:rPr>
        <w:t>،</w:t>
      </w:r>
      <w:r w:rsidR="008B2478" w:rsidRPr="008B2478">
        <w:rPr>
          <w:rFonts w:cs="Simplified Arabic"/>
          <w:rtl/>
        </w:rPr>
        <w:t xml:space="preserve"> في الشكل الملائم، </w:t>
      </w:r>
      <w:r w:rsidR="008B2478" w:rsidRPr="008B2478">
        <w:rPr>
          <w:rFonts w:cs="Simplified Arabic" w:hint="cs"/>
          <w:rtl/>
        </w:rPr>
        <w:t xml:space="preserve">وفي نسختها الأصلية، </w:t>
      </w:r>
      <w:r w:rsidR="008B2478" w:rsidRPr="008B2478">
        <w:rPr>
          <w:rFonts w:cs="Simplified Arabic"/>
          <w:rtl/>
        </w:rPr>
        <w:t>إلى الأمين</w:t>
      </w:r>
      <w:r w:rsidR="008B2478" w:rsidRPr="008B2478">
        <w:rPr>
          <w:rFonts w:cs="Simplified Arabic" w:hint="cs"/>
          <w:rtl/>
        </w:rPr>
        <w:t>ة</w:t>
      </w:r>
      <w:r w:rsidR="008B2478" w:rsidRPr="008B2478">
        <w:rPr>
          <w:rFonts w:cs="Simplified Arabic"/>
          <w:rtl/>
        </w:rPr>
        <w:t xml:space="preserve"> التنفيذي</w:t>
      </w:r>
      <w:r w:rsidR="008B2478" w:rsidRPr="008B2478">
        <w:rPr>
          <w:rFonts w:cs="Simplified Arabic" w:hint="cs"/>
          <w:rtl/>
        </w:rPr>
        <w:t>ة</w:t>
      </w:r>
      <w:r w:rsidR="008B2478" w:rsidRPr="008B2478">
        <w:rPr>
          <w:rFonts w:cs="Simplified Arabic"/>
          <w:rtl/>
        </w:rPr>
        <w:t xml:space="preserve"> في غضون ثلاثين يوما من اختتام الاجتماع، وفي موعد أقصاه</w:t>
      </w:r>
      <w:r w:rsidR="008B2478" w:rsidRPr="008B2478">
        <w:rPr>
          <w:rFonts w:cs="Simplified Arabic" w:hint="cs"/>
          <w:rtl/>
        </w:rPr>
        <w:t xml:space="preserve"> 29 ديسمبر/كانون الأول 2018. </w:t>
      </w:r>
      <w:r w:rsidR="008B2478" w:rsidRPr="008B2478">
        <w:rPr>
          <w:rFonts w:cs="Simplified Arabic"/>
          <w:rtl/>
        </w:rPr>
        <w:t xml:space="preserve">وتمشيا مع العرف المتبع في الماضي، </w:t>
      </w:r>
      <w:r w:rsidR="008B2478" w:rsidRPr="008B2478">
        <w:rPr>
          <w:rFonts w:cs="Simplified Arabic" w:hint="cs"/>
          <w:rtl/>
        </w:rPr>
        <w:t>وافق مؤتمر الأطراف على اقتراح المكتب بأن يسمح لهذه الوفود التي لم تقدم بعد وثائق تفويضها، أو التي لم تستوف وثائقها بالكامل لأحكام المادة 18، بالمشاركة بالكامل في الاجتماع على أساس مؤقت.</w:t>
      </w:r>
    </w:p>
    <w:p w:rsidR="008B2478" w:rsidRPr="008B2478" w:rsidRDefault="008B2478" w:rsidP="008B2478">
      <w:pPr>
        <w:pStyle w:val="ListParagraph"/>
        <w:numPr>
          <w:ilvl w:val="0"/>
          <w:numId w:val="6"/>
        </w:numPr>
        <w:bidi/>
        <w:spacing w:line="216" w:lineRule="auto"/>
        <w:ind w:left="0" w:firstLine="0"/>
        <w:rPr>
          <w:rFonts w:cs="Simplified Arabic"/>
        </w:rPr>
      </w:pPr>
      <w:r w:rsidRPr="008B2478">
        <w:rPr>
          <w:rFonts w:cs="Simplified Arabic" w:hint="cs"/>
          <w:rtl/>
        </w:rPr>
        <w:t xml:space="preserve">وأعربت الرئيسة عن أملها أن جميع الوفود التي طُلب منها أن تقدم وثائق تفويضها إلى الأمينة التنفيذية أن تفعل ذلك في موعد </w:t>
      </w:r>
      <w:r w:rsidRPr="008B2478">
        <w:rPr>
          <w:rFonts w:cs="Simplified Arabic"/>
          <w:rtl/>
        </w:rPr>
        <w:t>أقصاه</w:t>
      </w:r>
      <w:r w:rsidRPr="008B2478">
        <w:rPr>
          <w:rFonts w:cs="Simplified Arabic" w:hint="cs"/>
          <w:rtl/>
        </w:rPr>
        <w:t xml:space="preserve"> 29 ديسمبر/كانون الأول 2018.</w:t>
      </w:r>
      <w:r w:rsidR="003051C4">
        <w:rPr>
          <w:rFonts w:cs="Simplified Arabic" w:hint="cs"/>
          <w:rtl/>
        </w:rPr>
        <w:t xml:space="preserve"> ومنذ نهاية الاجتماع الرابع عشر لمؤتمر الأطراف، تم استلام وثائق تفويض من 12 طرفا إضافيا.</w:t>
      </w:r>
    </w:p>
    <w:p w:rsidR="00192C17" w:rsidRDefault="00171FB1" w:rsidP="003A1E82">
      <w:pPr>
        <w:pStyle w:val="ListParagraph"/>
        <w:numPr>
          <w:ilvl w:val="0"/>
          <w:numId w:val="6"/>
        </w:numPr>
        <w:bidi/>
        <w:spacing w:line="216" w:lineRule="auto"/>
        <w:ind w:left="0" w:firstLine="0"/>
        <w:rPr>
          <w:rFonts w:cs="Simplified Arabic"/>
        </w:rPr>
      </w:pPr>
      <w:r w:rsidRPr="00171FB1">
        <w:rPr>
          <w:rFonts w:cs="Simplified Arabic" w:hint="cs"/>
          <w:rtl/>
        </w:rPr>
        <w:t>و</w:t>
      </w:r>
      <w:r w:rsidR="003051C4">
        <w:rPr>
          <w:rFonts w:cs="Simplified Arabic" w:hint="cs"/>
          <w:rtl/>
        </w:rPr>
        <w:t xml:space="preserve">بحلول إصدار التقرير الحالي، </w:t>
      </w:r>
      <w:r w:rsidRPr="00171FB1">
        <w:rPr>
          <w:rFonts w:cs="Simplified Arabic" w:hint="cs"/>
          <w:rtl/>
        </w:rPr>
        <w:t xml:space="preserve">تم استلام وثائق التفويض التي تمتثل بالكامل للمادة 18 من النظام الداخلي من الأطراف </w:t>
      </w:r>
      <w:r w:rsidR="003051C4">
        <w:rPr>
          <w:rFonts w:cs="Simplified Arabic" w:hint="cs"/>
          <w:rtl/>
        </w:rPr>
        <w:t xml:space="preserve">البالغ عددها 160 طرفا </w:t>
      </w:r>
      <w:r w:rsidRPr="00171FB1">
        <w:rPr>
          <w:rFonts w:cs="Simplified Arabic" w:hint="cs"/>
          <w:rtl/>
        </w:rPr>
        <w:t xml:space="preserve">التالية أسماؤها: الجزائر، </w:t>
      </w:r>
      <w:r w:rsidR="00B90759">
        <w:rPr>
          <w:rFonts w:cs="Simplified Arabic" w:hint="cs"/>
          <w:rtl/>
        </w:rPr>
        <w:t xml:space="preserve">وأنغولا، </w:t>
      </w:r>
      <w:r w:rsidR="00F757CE">
        <w:rPr>
          <w:rFonts w:cs="Simplified Arabic" w:hint="cs"/>
          <w:rtl/>
        </w:rPr>
        <w:t>وأنتيغوا وب</w:t>
      </w:r>
      <w:r w:rsidRPr="00171FB1">
        <w:rPr>
          <w:rFonts w:cs="Simplified Arabic" w:hint="cs"/>
          <w:rtl/>
        </w:rPr>
        <w:t xml:space="preserve">ربودا، والأرجنتين، </w:t>
      </w:r>
      <w:r w:rsidR="00B90759">
        <w:rPr>
          <w:rFonts w:cs="Simplified Arabic" w:hint="cs"/>
          <w:rtl/>
        </w:rPr>
        <w:t xml:space="preserve">وأرمينيا، </w:t>
      </w:r>
      <w:r w:rsidRPr="00171FB1">
        <w:rPr>
          <w:rFonts w:cs="Simplified Arabic" w:hint="cs"/>
          <w:rtl/>
        </w:rPr>
        <w:t>و</w:t>
      </w:r>
      <w:r w:rsidRPr="00171FB1">
        <w:rPr>
          <w:rFonts w:cs="Simplified Arabic"/>
          <w:rtl/>
        </w:rPr>
        <w:t>النمسا</w:t>
      </w:r>
      <w:r w:rsidRPr="00171FB1">
        <w:rPr>
          <w:rFonts w:cs="Simplified Arabic" w:hint="cs"/>
          <w:rtl/>
        </w:rPr>
        <w:t xml:space="preserve">، </w:t>
      </w:r>
      <w:r w:rsidR="00B90759">
        <w:rPr>
          <w:rFonts w:cs="Simplified Arabic" w:hint="cs"/>
          <w:rtl/>
        </w:rPr>
        <w:t xml:space="preserve">وأذربيجيان، </w:t>
      </w:r>
      <w:r w:rsidRPr="00171FB1">
        <w:rPr>
          <w:rFonts w:cs="Simplified Arabic" w:hint="cs"/>
          <w:rtl/>
        </w:rPr>
        <w:t xml:space="preserve">والبحرين، </w:t>
      </w:r>
      <w:r w:rsidR="00B90759">
        <w:rPr>
          <w:rFonts w:cs="Simplified Arabic" w:hint="cs"/>
          <w:rtl/>
        </w:rPr>
        <w:t xml:space="preserve">وبنغلاديش، </w:t>
      </w:r>
      <w:r w:rsidRPr="00171FB1">
        <w:rPr>
          <w:rFonts w:cs="Simplified Arabic" w:hint="cs"/>
          <w:rtl/>
        </w:rPr>
        <w:t>وبيلاروس، و</w:t>
      </w:r>
      <w:r w:rsidRPr="00171FB1">
        <w:rPr>
          <w:rFonts w:cs="Simplified Arabic"/>
          <w:rtl/>
        </w:rPr>
        <w:t>بلجيكا</w:t>
      </w:r>
      <w:r w:rsidRPr="00171FB1">
        <w:rPr>
          <w:rFonts w:cs="Simplified Arabic" w:hint="cs"/>
          <w:rtl/>
        </w:rPr>
        <w:t xml:space="preserve">، </w:t>
      </w:r>
      <w:r w:rsidR="00B90759">
        <w:rPr>
          <w:rFonts w:cs="Simplified Arabic" w:hint="cs"/>
          <w:rtl/>
        </w:rPr>
        <w:t xml:space="preserve">وبليز، </w:t>
      </w:r>
      <w:r w:rsidRPr="00171FB1">
        <w:rPr>
          <w:rFonts w:cs="Simplified Arabic" w:hint="cs"/>
          <w:rtl/>
        </w:rPr>
        <w:t>و</w:t>
      </w:r>
      <w:r w:rsidRPr="00171FB1">
        <w:rPr>
          <w:rFonts w:cs="Simplified Arabic"/>
          <w:rtl/>
        </w:rPr>
        <w:t>بنن</w:t>
      </w:r>
      <w:r w:rsidRPr="00171FB1">
        <w:rPr>
          <w:rFonts w:cs="Simplified Arabic" w:hint="cs"/>
          <w:rtl/>
        </w:rPr>
        <w:t>، و</w:t>
      </w:r>
      <w:r w:rsidRPr="00171FB1">
        <w:rPr>
          <w:rFonts w:cs="Simplified Arabic"/>
          <w:rtl/>
        </w:rPr>
        <w:t>بوليفيا</w:t>
      </w:r>
      <w:r w:rsidRPr="00171FB1">
        <w:rPr>
          <w:rFonts w:cs="Simplified Arabic" w:hint="cs"/>
          <w:rtl/>
        </w:rPr>
        <w:t>، والبوسنة والهرسك، و</w:t>
      </w:r>
      <w:r w:rsidRPr="00171FB1">
        <w:rPr>
          <w:rFonts w:cs="Simplified Arabic"/>
          <w:rtl/>
        </w:rPr>
        <w:t>بوتسوانا</w:t>
      </w:r>
      <w:r w:rsidRPr="00171FB1">
        <w:rPr>
          <w:rFonts w:cs="Simplified Arabic" w:hint="cs"/>
          <w:rtl/>
        </w:rPr>
        <w:t>، و</w:t>
      </w:r>
      <w:r w:rsidRPr="00171FB1">
        <w:rPr>
          <w:rFonts w:cs="Simplified Arabic"/>
          <w:rtl/>
        </w:rPr>
        <w:t>البرازيل</w:t>
      </w:r>
      <w:r w:rsidRPr="00171FB1">
        <w:rPr>
          <w:rFonts w:cs="Simplified Arabic" w:hint="cs"/>
          <w:rtl/>
        </w:rPr>
        <w:t xml:space="preserve">، </w:t>
      </w:r>
      <w:r w:rsidR="00B90759">
        <w:rPr>
          <w:rFonts w:cs="Simplified Arabic" w:hint="cs"/>
          <w:rtl/>
        </w:rPr>
        <w:t xml:space="preserve">وبلغاريا، </w:t>
      </w:r>
      <w:r w:rsidRPr="00171FB1">
        <w:rPr>
          <w:rFonts w:cs="Simplified Arabic" w:hint="cs"/>
          <w:rtl/>
        </w:rPr>
        <w:t>و</w:t>
      </w:r>
      <w:r w:rsidRPr="00171FB1">
        <w:rPr>
          <w:rFonts w:cs="Simplified Arabic"/>
          <w:rtl/>
        </w:rPr>
        <w:t>بوركينا فاسو</w:t>
      </w:r>
      <w:r w:rsidRPr="00171FB1">
        <w:rPr>
          <w:rFonts w:cs="Simplified Arabic" w:hint="cs"/>
          <w:rtl/>
        </w:rPr>
        <w:t>، و</w:t>
      </w:r>
      <w:r w:rsidRPr="00171FB1">
        <w:rPr>
          <w:rFonts w:cs="Simplified Arabic"/>
          <w:rtl/>
        </w:rPr>
        <w:t>بوروندي</w:t>
      </w:r>
      <w:r w:rsidRPr="00171FB1">
        <w:rPr>
          <w:rFonts w:cs="Simplified Arabic" w:hint="cs"/>
          <w:rtl/>
        </w:rPr>
        <w:t xml:space="preserve">، وكابو فيردي، </w:t>
      </w:r>
      <w:r w:rsidR="003051C4">
        <w:rPr>
          <w:rFonts w:cs="Simplified Arabic" w:hint="cs"/>
          <w:rtl/>
        </w:rPr>
        <w:t xml:space="preserve">وكمبوديا، </w:t>
      </w:r>
      <w:r w:rsidR="00B90759">
        <w:rPr>
          <w:rFonts w:cs="Simplified Arabic" w:hint="cs"/>
          <w:rtl/>
        </w:rPr>
        <w:t xml:space="preserve">والكاميرون، </w:t>
      </w:r>
      <w:r w:rsidRPr="00171FB1">
        <w:rPr>
          <w:rFonts w:cs="Simplified Arabic" w:hint="cs"/>
          <w:rtl/>
        </w:rPr>
        <w:t>وكندا، و</w:t>
      </w:r>
      <w:r w:rsidRPr="00171FB1">
        <w:rPr>
          <w:rFonts w:cs="Simplified Arabic"/>
          <w:rtl/>
        </w:rPr>
        <w:t>جمهورية أفريقيا الوسطى</w:t>
      </w:r>
      <w:r w:rsidRPr="00171FB1">
        <w:rPr>
          <w:rFonts w:cs="Simplified Arabic" w:hint="cs"/>
          <w:rtl/>
        </w:rPr>
        <w:t>، و</w:t>
      </w:r>
      <w:r w:rsidR="00B90759">
        <w:rPr>
          <w:rFonts w:cs="Simplified Arabic" w:hint="cs"/>
          <w:rtl/>
        </w:rPr>
        <w:t>تشاد، و</w:t>
      </w:r>
      <w:r w:rsidRPr="00171FB1">
        <w:rPr>
          <w:rFonts w:cs="Simplified Arabic" w:hint="cs"/>
          <w:rtl/>
        </w:rPr>
        <w:t>شيلي، و</w:t>
      </w:r>
      <w:r w:rsidRPr="00171FB1">
        <w:rPr>
          <w:rFonts w:cs="Simplified Arabic"/>
          <w:rtl/>
        </w:rPr>
        <w:t>الصين</w:t>
      </w:r>
      <w:r w:rsidRPr="00171FB1">
        <w:rPr>
          <w:rFonts w:cs="Simplified Arabic" w:hint="cs"/>
          <w:rtl/>
        </w:rPr>
        <w:t>، و</w:t>
      </w:r>
      <w:r w:rsidRPr="00171FB1">
        <w:rPr>
          <w:rFonts w:cs="Simplified Arabic"/>
          <w:rtl/>
        </w:rPr>
        <w:t>كولومبيا</w:t>
      </w:r>
      <w:r w:rsidRPr="00171FB1">
        <w:rPr>
          <w:rFonts w:cs="Simplified Arabic" w:hint="cs"/>
          <w:rtl/>
        </w:rPr>
        <w:t>، و</w:t>
      </w:r>
      <w:r w:rsidRPr="00171FB1">
        <w:rPr>
          <w:rFonts w:cs="Simplified Arabic"/>
          <w:rtl/>
        </w:rPr>
        <w:t xml:space="preserve">جزر </w:t>
      </w:r>
      <w:r w:rsidR="00B90759">
        <w:rPr>
          <w:rFonts w:cs="Simplified Arabic" w:hint="cs"/>
          <w:rtl/>
        </w:rPr>
        <w:t>كوك</w:t>
      </w:r>
      <w:r w:rsidRPr="00171FB1">
        <w:rPr>
          <w:rFonts w:cs="Simplified Arabic" w:hint="cs"/>
          <w:rtl/>
        </w:rPr>
        <w:t>، و</w:t>
      </w:r>
      <w:r w:rsidRPr="00171FB1">
        <w:rPr>
          <w:rFonts w:cs="Simplified Arabic"/>
          <w:rtl/>
        </w:rPr>
        <w:t>كوستاريكا</w:t>
      </w:r>
      <w:r w:rsidRPr="00171FB1">
        <w:rPr>
          <w:rFonts w:cs="Simplified Arabic" w:hint="cs"/>
          <w:rtl/>
        </w:rPr>
        <w:t>، وكوت ديفوار، و</w:t>
      </w:r>
      <w:r w:rsidRPr="00171FB1">
        <w:rPr>
          <w:rFonts w:cs="Simplified Arabic"/>
          <w:rtl/>
        </w:rPr>
        <w:t>كرواتيا</w:t>
      </w:r>
      <w:r w:rsidRPr="00171FB1">
        <w:rPr>
          <w:rFonts w:cs="Simplified Arabic" w:hint="cs"/>
          <w:rtl/>
        </w:rPr>
        <w:t>، و</w:t>
      </w:r>
      <w:r w:rsidRPr="00171FB1">
        <w:rPr>
          <w:rFonts w:cs="Simplified Arabic"/>
          <w:rtl/>
        </w:rPr>
        <w:t>كوبا</w:t>
      </w:r>
      <w:r w:rsidRPr="00171FB1">
        <w:rPr>
          <w:rFonts w:cs="Simplified Arabic" w:hint="cs"/>
          <w:rtl/>
        </w:rPr>
        <w:t>، والجمهورية التشيكية، و</w:t>
      </w:r>
      <w:r w:rsidR="00B90759">
        <w:rPr>
          <w:rFonts w:cs="Simplified Arabic" w:hint="cs"/>
          <w:rtl/>
        </w:rPr>
        <w:t xml:space="preserve">جمهورية كوريا الشعبية الديمقراطية، </w:t>
      </w:r>
      <w:r w:rsidRPr="00171FB1">
        <w:rPr>
          <w:rFonts w:cs="Simplified Arabic" w:hint="cs"/>
          <w:rtl/>
        </w:rPr>
        <w:t>والدانمرك، و</w:t>
      </w:r>
      <w:r w:rsidRPr="00171FB1">
        <w:rPr>
          <w:rFonts w:cs="Simplified Arabic"/>
          <w:rtl/>
        </w:rPr>
        <w:t>الجمهورية الدومينيكية</w:t>
      </w:r>
      <w:r w:rsidRPr="00171FB1">
        <w:rPr>
          <w:rFonts w:cs="Simplified Arabic" w:hint="cs"/>
          <w:rtl/>
        </w:rPr>
        <w:t>، و</w:t>
      </w:r>
      <w:r w:rsidRPr="00171FB1">
        <w:rPr>
          <w:rFonts w:cs="Simplified Arabic"/>
          <w:rtl/>
        </w:rPr>
        <w:t>إكوادور</w:t>
      </w:r>
      <w:r w:rsidRPr="00171FB1">
        <w:rPr>
          <w:rFonts w:cs="Simplified Arabic" w:hint="cs"/>
          <w:rtl/>
        </w:rPr>
        <w:t>، و</w:t>
      </w:r>
      <w:r w:rsidRPr="00171FB1">
        <w:rPr>
          <w:rFonts w:cs="Simplified Arabic"/>
          <w:rtl/>
        </w:rPr>
        <w:t>مصر</w:t>
      </w:r>
      <w:r w:rsidRPr="00171FB1">
        <w:rPr>
          <w:rFonts w:cs="Simplified Arabic" w:hint="cs"/>
          <w:rtl/>
        </w:rPr>
        <w:t>، و</w:t>
      </w:r>
      <w:r w:rsidRPr="00171FB1">
        <w:rPr>
          <w:rFonts w:cs="Simplified Arabic"/>
          <w:rtl/>
        </w:rPr>
        <w:t>السلفادور</w:t>
      </w:r>
      <w:r w:rsidRPr="00171FB1">
        <w:rPr>
          <w:rFonts w:cs="Simplified Arabic" w:hint="cs"/>
          <w:rtl/>
        </w:rPr>
        <w:t xml:space="preserve">، </w:t>
      </w:r>
      <w:r w:rsidR="00B90759">
        <w:rPr>
          <w:rFonts w:cs="Simplified Arabic" w:hint="cs"/>
          <w:rtl/>
        </w:rPr>
        <w:t xml:space="preserve">وإريتريا، </w:t>
      </w:r>
      <w:r w:rsidRPr="00171FB1">
        <w:rPr>
          <w:rFonts w:cs="Simplified Arabic" w:hint="cs"/>
          <w:rtl/>
        </w:rPr>
        <w:t xml:space="preserve">وإستونيا، </w:t>
      </w:r>
      <w:r w:rsidR="003051C4">
        <w:rPr>
          <w:rFonts w:cs="Simplified Arabic" w:hint="cs"/>
          <w:rtl/>
        </w:rPr>
        <w:t xml:space="preserve">واسواتيني، وإثيوبيا، </w:t>
      </w:r>
      <w:r w:rsidRPr="00171FB1">
        <w:rPr>
          <w:rFonts w:cs="Simplified Arabic" w:hint="cs"/>
          <w:rtl/>
        </w:rPr>
        <w:t>و</w:t>
      </w:r>
      <w:r w:rsidRPr="00171FB1">
        <w:rPr>
          <w:rFonts w:cs="Simplified Arabic"/>
          <w:rtl/>
        </w:rPr>
        <w:t>الاتحاد الأوروبي</w:t>
      </w:r>
      <w:r w:rsidRPr="00171FB1">
        <w:rPr>
          <w:rFonts w:cs="Simplified Arabic" w:hint="cs"/>
          <w:rtl/>
        </w:rPr>
        <w:t>، و</w:t>
      </w:r>
      <w:r w:rsidRPr="00171FB1">
        <w:rPr>
          <w:rFonts w:cs="Simplified Arabic"/>
          <w:rtl/>
        </w:rPr>
        <w:t>فيجي</w:t>
      </w:r>
      <w:r w:rsidRPr="00171FB1">
        <w:rPr>
          <w:rFonts w:cs="Simplified Arabic" w:hint="cs"/>
          <w:rtl/>
        </w:rPr>
        <w:t>، و</w:t>
      </w:r>
      <w:r w:rsidRPr="00171FB1">
        <w:rPr>
          <w:rFonts w:cs="Simplified Arabic"/>
          <w:rtl/>
        </w:rPr>
        <w:t>فنلندا</w:t>
      </w:r>
      <w:r w:rsidRPr="00171FB1">
        <w:rPr>
          <w:rFonts w:cs="Simplified Arabic" w:hint="cs"/>
          <w:rtl/>
        </w:rPr>
        <w:t>، و</w:t>
      </w:r>
      <w:r w:rsidRPr="00171FB1">
        <w:rPr>
          <w:rFonts w:cs="Simplified Arabic"/>
          <w:rtl/>
        </w:rPr>
        <w:t>فرنسا</w:t>
      </w:r>
      <w:r w:rsidRPr="00171FB1">
        <w:rPr>
          <w:rFonts w:cs="Simplified Arabic" w:hint="cs"/>
          <w:rtl/>
        </w:rPr>
        <w:t xml:space="preserve">، </w:t>
      </w:r>
      <w:r w:rsidR="00B90759">
        <w:rPr>
          <w:rFonts w:cs="Simplified Arabic" w:hint="cs"/>
          <w:rtl/>
        </w:rPr>
        <w:t xml:space="preserve">وغابون، </w:t>
      </w:r>
      <w:r w:rsidRPr="00171FB1">
        <w:rPr>
          <w:rFonts w:cs="Simplified Arabic" w:hint="cs"/>
          <w:rtl/>
        </w:rPr>
        <w:t>و</w:t>
      </w:r>
      <w:r w:rsidRPr="00171FB1">
        <w:rPr>
          <w:rFonts w:cs="Simplified Arabic"/>
          <w:rtl/>
        </w:rPr>
        <w:t>غامبيا</w:t>
      </w:r>
      <w:r w:rsidRPr="00171FB1">
        <w:rPr>
          <w:rFonts w:cs="Simplified Arabic" w:hint="cs"/>
          <w:rtl/>
        </w:rPr>
        <w:t>، و</w:t>
      </w:r>
      <w:r w:rsidRPr="00171FB1">
        <w:rPr>
          <w:rFonts w:cs="Simplified Arabic"/>
          <w:rtl/>
        </w:rPr>
        <w:t>جورجيا</w:t>
      </w:r>
      <w:r w:rsidRPr="00171FB1">
        <w:rPr>
          <w:rFonts w:cs="Simplified Arabic" w:hint="cs"/>
          <w:rtl/>
        </w:rPr>
        <w:t>، و</w:t>
      </w:r>
      <w:r w:rsidRPr="00171FB1">
        <w:rPr>
          <w:rFonts w:cs="Simplified Arabic"/>
          <w:rtl/>
        </w:rPr>
        <w:t>ألمانيا</w:t>
      </w:r>
      <w:r w:rsidRPr="00171FB1">
        <w:rPr>
          <w:rFonts w:cs="Simplified Arabic" w:hint="cs"/>
          <w:rtl/>
        </w:rPr>
        <w:t>، و</w:t>
      </w:r>
      <w:r w:rsidRPr="00171FB1">
        <w:rPr>
          <w:rFonts w:cs="Simplified Arabic"/>
          <w:rtl/>
        </w:rPr>
        <w:t>غانا</w:t>
      </w:r>
      <w:r w:rsidRPr="00171FB1">
        <w:rPr>
          <w:rFonts w:cs="Simplified Arabic" w:hint="cs"/>
          <w:rtl/>
        </w:rPr>
        <w:t>، واليونان، و</w:t>
      </w:r>
      <w:r w:rsidRPr="00171FB1">
        <w:rPr>
          <w:rFonts w:cs="Simplified Arabic"/>
          <w:rtl/>
        </w:rPr>
        <w:t>غرينادا</w:t>
      </w:r>
      <w:r w:rsidRPr="00171FB1">
        <w:rPr>
          <w:rFonts w:cs="Simplified Arabic" w:hint="cs"/>
          <w:rtl/>
        </w:rPr>
        <w:t>، و</w:t>
      </w:r>
      <w:r w:rsidRPr="00171FB1">
        <w:rPr>
          <w:rFonts w:cs="Simplified Arabic"/>
          <w:rtl/>
        </w:rPr>
        <w:t>غواتيمالا</w:t>
      </w:r>
      <w:r w:rsidRPr="00171FB1">
        <w:rPr>
          <w:rFonts w:cs="Simplified Arabic" w:hint="cs"/>
          <w:rtl/>
        </w:rPr>
        <w:t>، و</w:t>
      </w:r>
      <w:r w:rsidRPr="00171FB1">
        <w:rPr>
          <w:rFonts w:cs="Simplified Arabic"/>
          <w:rtl/>
        </w:rPr>
        <w:t>غينيا</w:t>
      </w:r>
      <w:r w:rsidRPr="00171FB1">
        <w:rPr>
          <w:rFonts w:cs="Simplified Arabic" w:hint="cs"/>
          <w:rtl/>
        </w:rPr>
        <w:t>، و</w:t>
      </w:r>
      <w:r w:rsidRPr="00171FB1">
        <w:rPr>
          <w:rFonts w:cs="Simplified Arabic"/>
          <w:rtl/>
        </w:rPr>
        <w:t>غينيا-</w:t>
      </w:r>
      <w:r w:rsidRPr="00171FB1">
        <w:rPr>
          <w:rFonts w:cs="Simplified Arabic" w:hint="cs"/>
          <w:rtl/>
        </w:rPr>
        <w:t xml:space="preserve"> </w:t>
      </w:r>
      <w:r w:rsidRPr="00171FB1">
        <w:rPr>
          <w:rFonts w:cs="Simplified Arabic"/>
          <w:rtl/>
        </w:rPr>
        <w:t>بيساو</w:t>
      </w:r>
      <w:r w:rsidRPr="00171FB1">
        <w:rPr>
          <w:rFonts w:cs="Simplified Arabic" w:hint="cs"/>
          <w:rtl/>
        </w:rPr>
        <w:t>، و</w:t>
      </w:r>
      <w:r w:rsidRPr="00171FB1">
        <w:rPr>
          <w:rFonts w:cs="Simplified Arabic"/>
          <w:rtl/>
        </w:rPr>
        <w:t>غيانا</w:t>
      </w:r>
      <w:r w:rsidRPr="00171FB1">
        <w:rPr>
          <w:rFonts w:cs="Simplified Arabic" w:hint="cs"/>
          <w:rtl/>
        </w:rPr>
        <w:t>، و</w:t>
      </w:r>
      <w:r w:rsidRPr="00171FB1">
        <w:rPr>
          <w:rFonts w:cs="Simplified Arabic"/>
          <w:rtl/>
        </w:rPr>
        <w:t>هندوراس</w:t>
      </w:r>
      <w:r w:rsidRPr="00171FB1">
        <w:rPr>
          <w:rFonts w:cs="Simplified Arabic" w:hint="cs"/>
          <w:rtl/>
        </w:rPr>
        <w:t>، و</w:t>
      </w:r>
      <w:r w:rsidRPr="00171FB1">
        <w:rPr>
          <w:rFonts w:cs="Simplified Arabic"/>
          <w:rtl/>
        </w:rPr>
        <w:t>هنغاريا</w:t>
      </w:r>
      <w:r w:rsidRPr="00171FB1">
        <w:rPr>
          <w:rFonts w:cs="Simplified Arabic" w:hint="cs"/>
          <w:rtl/>
        </w:rPr>
        <w:t>، وأيسلندا، و</w:t>
      </w:r>
      <w:r w:rsidRPr="00171FB1">
        <w:rPr>
          <w:rFonts w:cs="Simplified Arabic"/>
          <w:rtl/>
        </w:rPr>
        <w:t>الهند</w:t>
      </w:r>
      <w:r w:rsidRPr="00171FB1">
        <w:rPr>
          <w:rFonts w:cs="Simplified Arabic" w:hint="cs"/>
          <w:rtl/>
        </w:rPr>
        <w:t>، وإ</w:t>
      </w:r>
      <w:r w:rsidRPr="00171FB1">
        <w:rPr>
          <w:rFonts w:cs="Simplified Arabic"/>
          <w:rtl/>
        </w:rPr>
        <w:t>ندونيسيا</w:t>
      </w:r>
      <w:r w:rsidRPr="00171FB1">
        <w:rPr>
          <w:rFonts w:cs="Simplified Arabic" w:hint="cs"/>
          <w:rtl/>
        </w:rPr>
        <w:t xml:space="preserve">، </w:t>
      </w:r>
      <w:r w:rsidR="00B90759">
        <w:rPr>
          <w:rFonts w:cs="Simplified Arabic" w:hint="cs"/>
          <w:rtl/>
        </w:rPr>
        <w:t>وإير</w:t>
      </w:r>
      <w:r w:rsidR="003051C4">
        <w:rPr>
          <w:rFonts w:cs="Simplified Arabic" w:hint="cs"/>
          <w:rtl/>
        </w:rPr>
        <w:t>ا</w:t>
      </w:r>
      <w:r w:rsidR="00B90759">
        <w:rPr>
          <w:rFonts w:cs="Simplified Arabic" w:hint="cs"/>
          <w:rtl/>
        </w:rPr>
        <w:t xml:space="preserve">ن (جمهورية </w:t>
      </w:r>
      <w:r w:rsidR="00B90759">
        <w:rPr>
          <w:rFonts w:cs="Simplified Arabic"/>
          <w:rtl/>
        </w:rPr>
        <w:t>–</w:t>
      </w:r>
      <w:r w:rsidR="00B90759">
        <w:rPr>
          <w:rFonts w:cs="Simplified Arabic" w:hint="cs"/>
          <w:rtl/>
        </w:rPr>
        <w:t xml:space="preserve"> الإسلامية</w:t>
      </w:r>
      <w:r w:rsidR="003051C4">
        <w:rPr>
          <w:rFonts w:cs="Simplified Arabic" w:hint="cs"/>
          <w:rtl/>
        </w:rPr>
        <w:t>)</w:t>
      </w:r>
      <w:r w:rsidR="00B90759">
        <w:rPr>
          <w:rFonts w:cs="Simplified Arabic" w:hint="cs"/>
          <w:rtl/>
        </w:rPr>
        <w:t>، وإسرائيل</w:t>
      </w:r>
      <w:r w:rsidRPr="00171FB1">
        <w:rPr>
          <w:rFonts w:cs="Simplified Arabic" w:hint="cs"/>
          <w:rtl/>
        </w:rPr>
        <w:t>، و</w:t>
      </w:r>
      <w:r w:rsidRPr="00171FB1">
        <w:rPr>
          <w:rFonts w:cs="Simplified Arabic"/>
          <w:rtl/>
        </w:rPr>
        <w:t>إيطاليا</w:t>
      </w:r>
      <w:r w:rsidRPr="00171FB1">
        <w:rPr>
          <w:rFonts w:cs="Simplified Arabic" w:hint="cs"/>
          <w:rtl/>
        </w:rPr>
        <w:t>، وجامايكا، و</w:t>
      </w:r>
      <w:r w:rsidRPr="00171FB1">
        <w:rPr>
          <w:rFonts w:cs="Simplified Arabic"/>
          <w:rtl/>
        </w:rPr>
        <w:t>اليابان</w:t>
      </w:r>
      <w:r w:rsidRPr="00171FB1">
        <w:rPr>
          <w:rFonts w:cs="Simplified Arabic" w:hint="cs"/>
          <w:rtl/>
        </w:rPr>
        <w:t>، و</w:t>
      </w:r>
      <w:r w:rsidRPr="00171FB1">
        <w:rPr>
          <w:rFonts w:cs="Simplified Arabic"/>
          <w:rtl/>
        </w:rPr>
        <w:t>كينيا</w:t>
      </w:r>
      <w:r w:rsidRPr="00171FB1">
        <w:rPr>
          <w:rFonts w:cs="Simplified Arabic" w:hint="cs"/>
          <w:rtl/>
        </w:rPr>
        <w:t xml:space="preserve">، وكيريباتي، </w:t>
      </w:r>
      <w:r w:rsidR="00B90759">
        <w:rPr>
          <w:rFonts w:cs="Simplified Arabic" w:hint="cs"/>
          <w:rtl/>
        </w:rPr>
        <w:t xml:space="preserve">والكويت، وجمهورية لاو </w:t>
      </w:r>
      <w:r w:rsidR="003051C4">
        <w:rPr>
          <w:rFonts w:cs="Simplified Arabic" w:hint="cs"/>
          <w:rtl/>
        </w:rPr>
        <w:t>الشعبية الديمقراطية</w:t>
      </w:r>
      <w:r w:rsidR="00B90759">
        <w:rPr>
          <w:rFonts w:cs="Simplified Arabic" w:hint="cs"/>
          <w:rtl/>
        </w:rPr>
        <w:t xml:space="preserve">، </w:t>
      </w:r>
      <w:r w:rsidRPr="00171FB1">
        <w:rPr>
          <w:rFonts w:cs="Simplified Arabic" w:hint="cs"/>
          <w:rtl/>
        </w:rPr>
        <w:t>ولا</w:t>
      </w:r>
      <w:r w:rsidRPr="00171FB1">
        <w:rPr>
          <w:rFonts w:cs="Simplified Arabic"/>
          <w:rtl/>
        </w:rPr>
        <w:t>تفيا</w:t>
      </w:r>
      <w:r w:rsidRPr="00171FB1">
        <w:rPr>
          <w:rFonts w:cs="Simplified Arabic" w:hint="cs"/>
          <w:rtl/>
        </w:rPr>
        <w:t>، وليسوتو، و</w:t>
      </w:r>
      <w:r w:rsidRPr="00171FB1">
        <w:rPr>
          <w:rFonts w:cs="Simplified Arabic"/>
          <w:rtl/>
        </w:rPr>
        <w:t>ليبيريا</w:t>
      </w:r>
      <w:r w:rsidRPr="00171FB1">
        <w:rPr>
          <w:rFonts w:cs="Simplified Arabic" w:hint="cs"/>
          <w:rtl/>
        </w:rPr>
        <w:t>، و</w:t>
      </w:r>
      <w:r w:rsidRPr="00171FB1">
        <w:rPr>
          <w:rFonts w:cs="Simplified Arabic"/>
          <w:rtl/>
        </w:rPr>
        <w:t>ليختنشتاين</w:t>
      </w:r>
      <w:r w:rsidRPr="00171FB1">
        <w:rPr>
          <w:rFonts w:cs="Simplified Arabic" w:hint="cs"/>
          <w:rtl/>
        </w:rPr>
        <w:t>، وليتوانيا، ولكسمبرغ، و</w:t>
      </w:r>
      <w:r w:rsidRPr="00171FB1">
        <w:rPr>
          <w:rFonts w:cs="Simplified Arabic"/>
          <w:rtl/>
        </w:rPr>
        <w:t>مدغشقر</w:t>
      </w:r>
      <w:r w:rsidRPr="00171FB1">
        <w:rPr>
          <w:rFonts w:cs="Simplified Arabic" w:hint="cs"/>
          <w:rtl/>
        </w:rPr>
        <w:t>، و</w:t>
      </w:r>
      <w:r w:rsidRPr="00171FB1">
        <w:rPr>
          <w:rFonts w:cs="Simplified Arabic"/>
          <w:rtl/>
        </w:rPr>
        <w:t>ملاوي</w:t>
      </w:r>
      <w:r w:rsidRPr="00171FB1">
        <w:rPr>
          <w:rFonts w:cs="Simplified Arabic" w:hint="cs"/>
          <w:rtl/>
        </w:rPr>
        <w:t>، و</w:t>
      </w:r>
      <w:r w:rsidRPr="00171FB1">
        <w:rPr>
          <w:rFonts w:cs="Simplified Arabic"/>
          <w:rtl/>
        </w:rPr>
        <w:t>ماليزيا</w:t>
      </w:r>
      <w:r w:rsidRPr="00171FB1">
        <w:rPr>
          <w:rFonts w:cs="Simplified Arabic" w:hint="cs"/>
          <w:rtl/>
        </w:rPr>
        <w:t>، و</w:t>
      </w:r>
      <w:r w:rsidRPr="00171FB1">
        <w:rPr>
          <w:rFonts w:cs="Simplified Arabic"/>
          <w:rtl/>
        </w:rPr>
        <w:t>ملديف</w:t>
      </w:r>
      <w:r w:rsidRPr="00171FB1">
        <w:rPr>
          <w:rFonts w:cs="Simplified Arabic" w:hint="cs"/>
          <w:rtl/>
        </w:rPr>
        <w:t xml:space="preserve">، ومالطة، </w:t>
      </w:r>
      <w:r w:rsidR="003A1E82">
        <w:rPr>
          <w:rFonts w:cs="Simplified Arabic" w:hint="cs"/>
          <w:rtl/>
        </w:rPr>
        <w:t xml:space="preserve">وجزر مارشال، </w:t>
      </w:r>
      <w:r w:rsidRPr="00171FB1">
        <w:rPr>
          <w:rFonts w:cs="Simplified Arabic" w:hint="cs"/>
          <w:rtl/>
        </w:rPr>
        <w:t>و</w:t>
      </w:r>
      <w:r w:rsidRPr="00171FB1">
        <w:rPr>
          <w:rFonts w:cs="Simplified Arabic"/>
          <w:rtl/>
        </w:rPr>
        <w:t>موريتانيا</w:t>
      </w:r>
      <w:r w:rsidRPr="00171FB1">
        <w:rPr>
          <w:rFonts w:cs="Simplified Arabic" w:hint="cs"/>
          <w:rtl/>
        </w:rPr>
        <w:t>، وموريشيوس، و</w:t>
      </w:r>
      <w:r w:rsidRPr="00171FB1">
        <w:rPr>
          <w:rFonts w:cs="Simplified Arabic"/>
          <w:rtl/>
        </w:rPr>
        <w:t>المكسيك</w:t>
      </w:r>
      <w:r w:rsidRPr="00171FB1">
        <w:rPr>
          <w:rFonts w:cs="Simplified Arabic" w:hint="cs"/>
          <w:rtl/>
        </w:rPr>
        <w:t xml:space="preserve">، </w:t>
      </w:r>
      <w:r w:rsidR="003949D7">
        <w:rPr>
          <w:rFonts w:cs="Simplified Arabic" w:hint="cs"/>
          <w:rtl/>
        </w:rPr>
        <w:t xml:space="preserve">وميكرونيزيا (ولايات </w:t>
      </w:r>
      <w:r w:rsidR="003949D7">
        <w:rPr>
          <w:rFonts w:cs="Simplified Arabic"/>
          <w:rtl/>
        </w:rPr>
        <w:t>–</w:t>
      </w:r>
      <w:r w:rsidR="003949D7">
        <w:rPr>
          <w:rFonts w:cs="Simplified Arabic" w:hint="cs"/>
          <w:rtl/>
        </w:rPr>
        <w:t xml:space="preserve"> الموحدة)، </w:t>
      </w:r>
      <w:r w:rsidRPr="00171FB1">
        <w:rPr>
          <w:rFonts w:cs="Simplified Arabic" w:hint="cs"/>
          <w:rtl/>
        </w:rPr>
        <w:t>وموناكو، و</w:t>
      </w:r>
      <w:r w:rsidRPr="00171FB1">
        <w:rPr>
          <w:rFonts w:cs="Simplified Arabic"/>
          <w:rtl/>
        </w:rPr>
        <w:t>منغوليا</w:t>
      </w:r>
      <w:r w:rsidRPr="00171FB1">
        <w:rPr>
          <w:rFonts w:cs="Simplified Arabic" w:hint="cs"/>
          <w:rtl/>
        </w:rPr>
        <w:t>، والمغرب، و</w:t>
      </w:r>
      <w:r w:rsidRPr="00171FB1">
        <w:rPr>
          <w:rFonts w:cs="Simplified Arabic"/>
          <w:rtl/>
        </w:rPr>
        <w:t>موز</w:t>
      </w:r>
      <w:r w:rsidRPr="00171FB1">
        <w:rPr>
          <w:rFonts w:cs="Simplified Arabic" w:hint="cs"/>
          <w:rtl/>
        </w:rPr>
        <w:t>ا</w:t>
      </w:r>
      <w:r w:rsidRPr="00171FB1">
        <w:rPr>
          <w:rFonts w:cs="Simplified Arabic"/>
          <w:rtl/>
        </w:rPr>
        <w:t>مبيق</w:t>
      </w:r>
      <w:r w:rsidRPr="00171FB1">
        <w:rPr>
          <w:rFonts w:cs="Simplified Arabic" w:hint="cs"/>
          <w:rtl/>
        </w:rPr>
        <w:t>، و</w:t>
      </w:r>
      <w:r w:rsidRPr="00171FB1">
        <w:rPr>
          <w:rFonts w:cs="Simplified Arabic"/>
          <w:rtl/>
        </w:rPr>
        <w:t>ميانمار</w:t>
      </w:r>
      <w:r w:rsidRPr="00171FB1">
        <w:rPr>
          <w:rFonts w:cs="Simplified Arabic" w:hint="cs"/>
          <w:rtl/>
        </w:rPr>
        <w:t>، و</w:t>
      </w:r>
      <w:r w:rsidRPr="00171FB1">
        <w:rPr>
          <w:rFonts w:cs="Simplified Arabic"/>
          <w:rtl/>
        </w:rPr>
        <w:t>ناميبيا</w:t>
      </w:r>
      <w:r w:rsidRPr="00171FB1">
        <w:rPr>
          <w:rFonts w:cs="Simplified Arabic" w:hint="cs"/>
          <w:rtl/>
        </w:rPr>
        <w:t>، ونيبال، و</w:t>
      </w:r>
      <w:r w:rsidRPr="00171FB1">
        <w:rPr>
          <w:rFonts w:cs="Simplified Arabic"/>
          <w:rtl/>
        </w:rPr>
        <w:t>هولندا</w:t>
      </w:r>
      <w:r w:rsidRPr="00171FB1">
        <w:rPr>
          <w:rFonts w:cs="Simplified Arabic" w:hint="cs"/>
          <w:rtl/>
        </w:rPr>
        <w:t>، و</w:t>
      </w:r>
      <w:r w:rsidRPr="00171FB1">
        <w:rPr>
          <w:rFonts w:cs="Simplified Arabic"/>
          <w:rtl/>
        </w:rPr>
        <w:t>نيوزيلندا</w:t>
      </w:r>
      <w:r w:rsidRPr="00171FB1">
        <w:rPr>
          <w:rFonts w:cs="Simplified Arabic" w:hint="cs"/>
          <w:rtl/>
        </w:rPr>
        <w:t xml:space="preserve">، </w:t>
      </w:r>
      <w:r w:rsidR="003949D7">
        <w:rPr>
          <w:rFonts w:cs="Simplified Arabic" w:hint="cs"/>
          <w:rtl/>
        </w:rPr>
        <w:t xml:space="preserve">ونيكاراغوا، </w:t>
      </w:r>
      <w:r w:rsidRPr="00171FB1">
        <w:rPr>
          <w:rFonts w:cs="Simplified Arabic" w:hint="cs"/>
          <w:rtl/>
        </w:rPr>
        <w:t>و</w:t>
      </w:r>
      <w:r w:rsidRPr="00171FB1">
        <w:rPr>
          <w:rFonts w:cs="Simplified Arabic"/>
          <w:rtl/>
        </w:rPr>
        <w:t>النيجر</w:t>
      </w:r>
      <w:r w:rsidRPr="00171FB1">
        <w:rPr>
          <w:rFonts w:cs="Simplified Arabic" w:hint="cs"/>
          <w:rtl/>
        </w:rPr>
        <w:t>، و</w:t>
      </w:r>
      <w:r w:rsidRPr="00171FB1">
        <w:rPr>
          <w:rFonts w:cs="Simplified Arabic"/>
          <w:rtl/>
        </w:rPr>
        <w:t>النرويج</w:t>
      </w:r>
      <w:r w:rsidRPr="00171FB1">
        <w:rPr>
          <w:rFonts w:cs="Simplified Arabic" w:hint="cs"/>
          <w:rtl/>
        </w:rPr>
        <w:t>، و</w:t>
      </w:r>
      <w:r w:rsidRPr="00171FB1">
        <w:rPr>
          <w:rFonts w:cs="Simplified Arabic"/>
          <w:rtl/>
        </w:rPr>
        <w:t>عمان</w:t>
      </w:r>
      <w:r w:rsidRPr="00171FB1">
        <w:rPr>
          <w:rFonts w:cs="Simplified Arabic" w:hint="cs"/>
          <w:rtl/>
        </w:rPr>
        <w:t>، و</w:t>
      </w:r>
      <w:r w:rsidRPr="00171FB1">
        <w:rPr>
          <w:rFonts w:cs="Simplified Arabic"/>
          <w:rtl/>
        </w:rPr>
        <w:t>بالاو</w:t>
      </w:r>
      <w:r w:rsidRPr="00171FB1">
        <w:rPr>
          <w:rFonts w:cs="Simplified Arabic" w:hint="cs"/>
          <w:rtl/>
        </w:rPr>
        <w:t>، و</w:t>
      </w:r>
      <w:r w:rsidRPr="00171FB1">
        <w:rPr>
          <w:rFonts w:cs="Simplified Arabic"/>
          <w:rtl/>
        </w:rPr>
        <w:t>بنما</w:t>
      </w:r>
      <w:r w:rsidRPr="00171FB1">
        <w:rPr>
          <w:rFonts w:cs="Simplified Arabic" w:hint="cs"/>
          <w:rtl/>
        </w:rPr>
        <w:t xml:space="preserve">، </w:t>
      </w:r>
      <w:r w:rsidR="003949D7">
        <w:rPr>
          <w:rFonts w:cs="Simplified Arabic" w:hint="cs"/>
          <w:rtl/>
        </w:rPr>
        <w:t xml:space="preserve">وبابوا غينيا الجديدة، وباراغواي، </w:t>
      </w:r>
      <w:r w:rsidRPr="00171FB1">
        <w:rPr>
          <w:rFonts w:cs="Simplified Arabic" w:hint="cs"/>
          <w:rtl/>
        </w:rPr>
        <w:t>و</w:t>
      </w:r>
      <w:r w:rsidRPr="00171FB1">
        <w:rPr>
          <w:rFonts w:cs="Simplified Arabic"/>
          <w:rtl/>
        </w:rPr>
        <w:t>بيرو</w:t>
      </w:r>
      <w:r w:rsidRPr="00171FB1">
        <w:rPr>
          <w:rFonts w:cs="Simplified Arabic" w:hint="cs"/>
          <w:rtl/>
        </w:rPr>
        <w:t>، و</w:t>
      </w:r>
      <w:r w:rsidRPr="00171FB1">
        <w:rPr>
          <w:rFonts w:cs="Simplified Arabic"/>
          <w:rtl/>
        </w:rPr>
        <w:t>الفلبين</w:t>
      </w:r>
      <w:r w:rsidRPr="00171FB1">
        <w:rPr>
          <w:rFonts w:cs="Simplified Arabic" w:hint="cs"/>
          <w:rtl/>
        </w:rPr>
        <w:t>، و</w:t>
      </w:r>
      <w:r w:rsidRPr="00171FB1">
        <w:rPr>
          <w:rFonts w:cs="Simplified Arabic"/>
          <w:rtl/>
        </w:rPr>
        <w:t>بولندا</w:t>
      </w:r>
      <w:r w:rsidRPr="00171FB1">
        <w:rPr>
          <w:rFonts w:cs="Simplified Arabic" w:hint="cs"/>
          <w:rtl/>
        </w:rPr>
        <w:t>، و</w:t>
      </w:r>
      <w:r w:rsidRPr="00171FB1">
        <w:rPr>
          <w:rFonts w:cs="Simplified Arabic"/>
          <w:rtl/>
        </w:rPr>
        <w:t>البرتغال</w:t>
      </w:r>
      <w:r w:rsidRPr="00171FB1">
        <w:rPr>
          <w:rFonts w:cs="Simplified Arabic" w:hint="cs"/>
          <w:rtl/>
        </w:rPr>
        <w:t>، و</w:t>
      </w:r>
      <w:r w:rsidRPr="00171FB1">
        <w:rPr>
          <w:rFonts w:cs="Simplified Arabic"/>
          <w:rtl/>
        </w:rPr>
        <w:t>قطر</w:t>
      </w:r>
      <w:r w:rsidRPr="00171FB1">
        <w:rPr>
          <w:rFonts w:cs="Simplified Arabic" w:hint="cs"/>
          <w:rtl/>
        </w:rPr>
        <w:t>، و</w:t>
      </w:r>
      <w:r w:rsidRPr="00171FB1">
        <w:rPr>
          <w:rFonts w:cs="Simplified Arabic"/>
          <w:rtl/>
        </w:rPr>
        <w:t>جمهورية كوريا</w:t>
      </w:r>
      <w:r w:rsidRPr="00171FB1">
        <w:rPr>
          <w:rFonts w:cs="Simplified Arabic" w:hint="cs"/>
          <w:rtl/>
        </w:rPr>
        <w:t xml:space="preserve">، </w:t>
      </w:r>
      <w:r w:rsidR="003949D7">
        <w:rPr>
          <w:rFonts w:cs="Simplified Arabic" w:hint="cs"/>
          <w:rtl/>
        </w:rPr>
        <w:t xml:space="preserve">وجمهورية مولدوفا، </w:t>
      </w:r>
      <w:r w:rsidRPr="00171FB1">
        <w:rPr>
          <w:rFonts w:cs="Simplified Arabic" w:hint="cs"/>
          <w:rtl/>
        </w:rPr>
        <w:t xml:space="preserve">ورومانيا، والاتحاد الروسي، </w:t>
      </w:r>
      <w:r w:rsidR="003949D7">
        <w:rPr>
          <w:rFonts w:cs="Simplified Arabic" w:hint="cs"/>
          <w:rtl/>
        </w:rPr>
        <w:t xml:space="preserve">ورواندا، </w:t>
      </w:r>
      <w:r w:rsidRPr="00171FB1">
        <w:rPr>
          <w:rFonts w:cs="Simplified Arabic" w:hint="cs"/>
          <w:rtl/>
        </w:rPr>
        <w:t>و</w:t>
      </w:r>
      <w:r w:rsidRPr="00171FB1">
        <w:rPr>
          <w:rFonts w:cs="Simplified Arabic"/>
          <w:rtl/>
        </w:rPr>
        <w:t>سانت كيتس ونيفس</w:t>
      </w:r>
      <w:r w:rsidRPr="00171FB1">
        <w:rPr>
          <w:rFonts w:cs="Simplified Arabic" w:hint="cs"/>
          <w:rtl/>
        </w:rPr>
        <w:t>، و</w:t>
      </w:r>
      <w:r w:rsidRPr="00171FB1">
        <w:rPr>
          <w:rFonts w:cs="Simplified Arabic"/>
          <w:rtl/>
        </w:rPr>
        <w:t>سانت لوسيا</w:t>
      </w:r>
      <w:r w:rsidRPr="00171FB1">
        <w:rPr>
          <w:rFonts w:cs="Simplified Arabic" w:hint="cs"/>
          <w:rtl/>
        </w:rPr>
        <w:t xml:space="preserve">، وسانت فنسنت وجزر غرينادين، وساموا، والمملكة </w:t>
      </w:r>
      <w:r w:rsidRPr="00171FB1">
        <w:rPr>
          <w:rFonts w:cs="Simplified Arabic"/>
          <w:rtl/>
        </w:rPr>
        <w:t>العربية السعودية</w:t>
      </w:r>
      <w:r w:rsidRPr="00171FB1">
        <w:rPr>
          <w:rFonts w:cs="Simplified Arabic" w:hint="cs"/>
          <w:rtl/>
        </w:rPr>
        <w:t>، و</w:t>
      </w:r>
      <w:r w:rsidRPr="00171FB1">
        <w:rPr>
          <w:rFonts w:cs="Simplified Arabic"/>
          <w:rtl/>
        </w:rPr>
        <w:t>السنغال</w:t>
      </w:r>
      <w:r w:rsidRPr="00171FB1">
        <w:rPr>
          <w:rFonts w:cs="Simplified Arabic" w:hint="cs"/>
          <w:rtl/>
        </w:rPr>
        <w:t>، وصربيا، وسيشيل، وسيراليون، وسنغافورة، و</w:t>
      </w:r>
      <w:r w:rsidRPr="00171FB1">
        <w:rPr>
          <w:rFonts w:cs="Simplified Arabic"/>
          <w:rtl/>
        </w:rPr>
        <w:t>سلوفاكيا</w:t>
      </w:r>
      <w:r w:rsidRPr="00171FB1">
        <w:rPr>
          <w:rFonts w:cs="Simplified Arabic" w:hint="cs"/>
          <w:rtl/>
        </w:rPr>
        <w:t>، و</w:t>
      </w:r>
      <w:r w:rsidRPr="00171FB1">
        <w:rPr>
          <w:rFonts w:cs="Simplified Arabic"/>
          <w:rtl/>
        </w:rPr>
        <w:t>سلوفينيا</w:t>
      </w:r>
      <w:r w:rsidRPr="00171FB1">
        <w:rPr>
          <w:rFonts w:cs="Simplified Arabic" w:hint="cs"/>
          <w:rtl/>
        </w:rPr>
        <w:t>، و</w:t>
      </w:r>
      <w:r w:rsidRPr="00171FB1">
        <w:rPr>
          <w:rFonts w:cs="Simplified Arabic"/>
          <w:rtl/>
        </w:rPr>
        <w:t>جزر سليمان</w:t>
      </w:r>
      <w:r w:rsidRPr="00171FB1">
        <w:rPr>
          <w:rFonts w:cs="Simplified Arabic" w:hint="cs"/>
          <w:rtl/>
        </w:rPr>
        <w:t>، و</w:t>
      </w:r>
      <w:r w:rsidRPr="00171FB1">
        <w:rPr>
          <w:rFonts w:cs="Simplified Arabic"/>
          <w:rtl/>
        </w:rPr>
        <w:t>جنوب أفريقيا</w:t>
      </w:r>
      <w:r w:rsidRPr="00171FB1">
        <w:rPr>
          <w:rFonts w:cs="Simplified Arabic" w:hint="cs"/>
          <w:rtl/>
        </w:rPr>
        <w:t xml:space="preserve">، </w:t>
      </w:r>
      <w:r w:rsidR="003949D7">
        <w:rPr>
          <w:rFonts w:cs="Simplified Arabic" w:hint="cs"/>
          <w:rtl/>
        </w:rPr>
        <w:t xml:space="preserve">وجنوب السودان، </w:t>
      </w:r>
      <w:r w:rsidRPr="00171FB1">
        <w:rPr>
          <w:rFonts w:cs="Simplified Arabic" w:hint="cs"/>
          <w:rtl/>
        </w:rPr>
        <w:t>و</w:t>
      </w:r>
      <w:r w:rsidRPr="00171FB1">
        <w:rPr>
          <w:rFonts w:cs="Simplified Arabic"/>
          <w:rtl/>
        </w:rPr>
        <w:t>إسبانيا</w:t>
      </w:r>
      <w:r w:rsidRPr="00171FB1">
        <w:rPr>
          <w:rFonts w:cs="Simplified Arabic" w:hint="cs"/>
          <w:rtl/>
        </w:rPr>
        <w:t>، و</w:t>
      </w:r>
      <w:r w:rsidRPr="00171FB1">
        <w:rPr>
          <w:rFonts w:cs="Simplified Arabic"/>
          <w:rtl/>
        </w:rPr>
        <w:t>سري لانكا</w:t>
      </w:r>
      <w:r w:rsidRPr="00171FB1">
        <w:rPr>
          <w:rFonts w:cs="Simplified Arabic" w:hint="cs"/>
          <w:rtl/>
        </w:rPr>
        <w:t xml:space="preserve">، </w:t>
      </w:r>
      <w:r w:rsidR="003949D7">
        <w:rPr>
          <w:rFonts w:cs="Simplified Arabic" w:hint="cs"/>
          <w:rtl/>
        </w:rPr>
        <w:t>ودولة ف</w:t>
      </w:r>
      <w:r w:rsidR="003A1E82">
        <w:rPr>
          <w:rFonts w:cs="Simplified Arabic" w:hint="cs"/>
          <w:rtl/>
        </w:rPr>
        <w:t>ل</w:t>
      </w:r>
      <w:r w:rsidR="003949D7">
        <w:rPr>
          <w:rFonts w:cs="Simplified Arabic" w:hint="cs"/>
          <w:rtl/>
        </w:rPr>
        <w:t xml:space="preserve">سطين، </w:t>
      </w:r>
      <w:r w:rsidRPr="00171FB1">
        <w:rPr>
          <w:rFonts w:cs="Simplified Arabic" w:hint="cs"/>
          <w:rtl/>
        </w:rPr>
        <w:t>وال</w:t>
      </w:r>
      <w:r w:rsidRPr="00171FB1">
        <w:rPr>
          <w:rFonts w:cs="Simplified Arabic"/>
          <w:rtl/>
        </w:rPr>
        <w:t>سودان</w:t>
      </w:r>
      <w:r w:rsidRPr="00171FB1">
        <w:rPr>
          <w:rFonts w:cs="Simplified Arabic" w:hint="cs"/>
          <w:rtl/>
        </w:rPr>
        <w:t xml:space="preserve">، </w:t>
      </w:r>
      <w:r w:rsidR="003949D7">
        <w:rPr>
          <w:rFonts w:cs="Simplified Arabic" w:hint="cs"/>
          <w:rtl/>
        </w:rPr>
        <w:t xml:space="preserve">وسورينام، </w:t>
      </w:r>
      <w:r w:rsidRPr="00171FB1">
        <w:rPr>
          <w:rFonts w:cs="Simplified Arabic" w:hint="cs"/>
          <w:rtl/>
        </w:rPr>
        <w:t>و</w:t>
      </w:r>
      <w:r w:rsidRPr="00171FB1">
        <w:rPr>
          <w:rFonts w:cs="Simplified Arabic"/>
          <w:rtl/>
        </w:rPr>
        <w:t>السويد</w:t>
      </w:r>
      <w:r w:rsidRPr="00171FB1">
        <w:rPr>
          <w:rFonts w:cs="Simplified Arabic" w:hint="cs"/>
          <w:rtl/>
        </w:rPr>
        <w:t>، و</w:t>
      </w:r>
      <w:r w:rsidRPr="00171FB1">
        <w:rPr>
          <w:rFonts w:cs="Simplified Arabic"/>
          <w:rtl/>
        </w:rPr>
        <w:t>سويسرا</w:t>
      </w:r>
      <w:r w:rsidRPr="00171FB1">
        <w:rPr>
          <w:rFonts w:cs="Simplified Arabic" w:hint="cs"/>
          <w:rtl/>
        </w:rPr>
        <w:t>، و</w:t>
      </w:r>
      <w:r w:rsidRPr="00171FB1">
        <w:rPr>
          <w:rFonts w:cs="Simplified Arabic"/>
          <w:rtl/>
        </w:rPr>
        <w:t>الجمهورية العربية السورية</w:t>
      </w:r>
      <w:r w:rsidRPr="00171FB1">
        <w:rPr>
          <w:rFonts w:cs="Simplified Arabic" w:hint="cs"/>
          <w:rtl/>
        </w:rPr>
        <w:t>، و</w:t>
      </w:r>
      <w:r w:rsidRPr="00171FB1">
        <w:rPr>
          <w:rFonts w:cs="Simplified Arabic"/>
          <w:rtl/>
        </w:rPr>
        <w:t>طاجيكستان</w:t>
      </w:r>
      <w:r w:rsidRPr="00171FB1">
        <w:rPr>
          <w:rFonts w:cs="Simplified Arabic" w:hint="cs"/>
          <w:rtl/>
        </w:rPr>
        <w:t>، و</w:t>
      </w:r>
      <w:r w:rsidRPr="00171FB1">
        <w:rPr>
          <w:rFonts w:cs="Simplified Arabic"/>
          <w:rtl/>
        </w:rPr>
        <w:t>تايلند</w:t>
      </w:r>
      <w:r w:rsidRPr="00171FB1">
        <w:rPr>
          <w:rFonts w:cs="Simplified Arabic" w:hint="cs"/>
          <w:rtl/>
        </w:rPr>
        <w:t>، و</w:t>
      </w:r>
      <w:r w:rsidRPr="00171FB1">
        <w:rPr>
          <w:rFonts w:cs="Simplified Arabic"/>
          <w:rtl/>
        </w:rPr>
        <w:t>توغو</w:t>
      </w:r>
      <w:r w:rsidRPr="00171FB1">
        <w:rPr>
          <w:rFonts w:cs="Simplified Arabic" w:hint="cs"/>
          <w:rtl/>
        </w:rPr>
        <w:t>، و</w:t>
      </w:r>
      <w:r w:rsidRPr="00171FB1">
        <w:rPr>
          <w:rFonts w:cs="Simplified Arabic"/>
          <w:rtl/>
        </w:rPr>
        <w:t>تونغا</w:t>
      </w:r>
      <w:r w:rsidRPr="00171FB1">
        <w:rPr>
          <w:rFonts w:cs="Simplified Arabic" w:hint="cs"/>
          <w:rtl/>
        </w:rPr>
        <w:t xml:space="preserve">، </w:t>
      </w:r>
      <w:r w:rsidR="003949D7">
        <w:rPr>
          <w:rFonts w:cs="Simplified Arabic" w:hint="cs"/>
          <w:rtl/>
        </w:rPr>
        <w:t xml:space="preserve">وترينيداد وتوباغو، وتونس، </w:t>
      </w:r>
      <w:r w:rsidRPr="00171FB1">
        <w:rPr>
          <w:rFonts w:cs="Simplified Arabic" w:hint="cs"/>
          <w:rtl/>
        </w:rPr>
        <w:t>و</w:t>
      </w:r>
      <w:r w:rsidRPr="00171FB1">
        <w:rPr>
          <w:rFonts w:cs="Simplified Arabic"/>
          <w:rtl/>
        </w:rPr>
        <w:t>تركيا</w:t>
      </w:r>
      <w:r w:rsidRPr="00171FB1">
        <w:rPr>
          <w:rFonts w:cs="Simplified Arabic" w:hint="cs"/>
          <w:rtl/>
        </w:rPr>
        <w:t>، و</w:t>
      </w:r>
      <w:r w:rsidRPr="00171FB1">
        <w:rPr>
          <w:rFonts w:cs="Simplified Arabic"/>
          <w:rtl/>
        </w:rPr>
        <w:t>أوغندا</w:t>
      </w:r>
      <w:r w:rsidRPr="00171FB1">
        <w:rPr>
          <w:rFonts w:cs="Simplified Arabic" w:hint="cs"/>
          <w:rtl/>
        </w:rPr>
        <w:t>، و</w:t>
      </w:r>
      <w:r w:rsidRPr="00171FB1">
        <w:rPr>
          <w:rFonts w:cs="Simplified Arabic"/>
          <w:rtl/>
        </w:rPr>
        <w:t>ال</w:t>
      </w:r>
      <w:r w:rsidRPr="00171FB1">
        <w:rPr>
          <w:rFonts w:cs="Simplified Arabic" w:hint="cs"/>
          <w:rtl/>
        </w:rPr>
        <w:t>إ</w:t>
      </w:r>
      <w:r w:rsidRPr="00171FB1">
        <w:rPr>
          <w:rFonts w:cs="Simplified Arabic"/>
          <w:rtl/>
        </w:rPr>
        <w:t>مارات العربية المتحدة</w:t>
      </w:r>
      <w:r w:rsidRPr="00171FB1">
        <w:rPr>
          <w:rFonts w:cs="Simplified Arabic" w:hint="cs"/>
          <w:rtl/>
        </w:rPr>
        <w:t>، و</w:t>
      </w:r>
      <w:r w:rsidRPr="00171FB1">
        <w:rPr>
          <w:rFonts w:cs="Simplified Arabic"/>
          <w:rtl/>
        </w:rPr>
        <w:t>المملكة المتحدة</w:t>
      </w:r>
      <w:r w:rsidR="003949D7">
        <w:rPr>
          <w:rFonts w:cs="Simplified Arabic" w:hint="cs"/>
          <w:rtl/>
        </w:rPr>
        <w:t xml:space="preserve"> لبريطانيا العظمى وأيرلندا الشمالية</w:t>
      </w:r>
      <w:r w:rsidRPr="00171FB1">
        <w:rPr>
          <w:rFonts w:cs="Simplified Arabic" w:hint="cs"/>
          <w:rtl/>
        </w:rPr>
        <w:t>، و</w:t>
      </w:r>
      <w:r w:rsidRPr="00171FB1">
        <w:rPr>
          <w:rFonts w:cs="Simplified Arabic"/>
          <w:rtl/>
        </w:rPr>
        <w:t>جمهورية تنزانيا المتحدة</w:t>
      </w:r>
      <w:r w:rsidRPr="00171FB1">
        <w:rPr>
          <w:rFonts w:cs="Simplified Arabic" w:hint="cs"/>
          <w:rtl/>
        </w:rPr>
        <w:t>،</w:t>
      </w:r>
      <w:r w:rsidR="003949D7">
        <w:rPr>
          <w:rFonts w:cs="Simplified Arabic" w:hint="cs"/>
          <w:rtl/>
        </w:rPr>
        <w:t xml:space="preserve"> وأوكرانيا،</w:t>
      </w:r>
      <w:r w:rsidRPr="00171FB1">
        <w:rPr>
          <w:rFonts w:cs="Simplified Arabic" w:hint="cs"/>
          <w:rtl/>
        </w:rPr>
        <w:t xml:space="preserve"> و</w:t>
      </w:r>
      <w:r w:rsidRPr="00171FB1">
        <w:rPr>
          <w:rFonts w:cs="Simplified Arabic"/>
          <w:rtl/>
        </w:rPr>
        <w:t>أوروغواي</w:t>
      </w:r>
      <w:r w:rsidRPr="00171FB1">
        <w:rPr>
          <w:rFonts w:cs="Simplified Arabic" w:hint="cs"/>
          <w:rtl/>
        </w:rPr>
        <w:t xml:space="preserve">، </w:t>
      </w:r>
      <w:r w:rsidR="003949D7">
        <w:rPr>
          <w:rFonts w:cs="Simplified Arabic" w:hint="cs"/>
          <w:rtl/>
        </w:rPr>
        <w:t xml:space="preserve">وفنزويلا (جمهورية </w:t>
      </w:r>
      <w:r w:rsidR="003949D7">
        <w:rPr>
          <w:rFonts w:cs="Simplified Arabic"/>
          <w:rtl/>
        </w:rPr>
        <w:t>–</w:t>
      </w:r>
      <w:r w:rsidR="003949D7">
        <w:rPr>
          <w:rFonts w:cs="Simplified Arabic" w:hint="cs"/>
          <w:rtl/>
        </w:rPr>
        <w:t xml:space="preserve"> البوليفارية)</w:t>
      </w:r>
      <w:r w:rsidRPr="00171FB1">
        <w:rPr>
          <w:rFonts w:cs="Simplified Arabic" w:hint="cs"/>
          <w:rtl/>
        </w:rPr>
        <w:t>، وفييت نام، واليمن، و</w:t>
      </w:r>
      <w:r w:rsidRPr="00171FB1">
        <w:rPr>
          <w:rFonts w:cs="Simplified Arabic"/>
          <w:rtl/>
        </w:rPr>
        <w:t>زامبيا</w:t>
      </w:r>
      <w:r w:rsidRPr="00171FB1">
        <w:rPr>
          <w:rFonts w:cs="Simplified Arabic" w:hint="cs"/>
          <w:rtl/>
        </w:rPr>
        <w:t>، وزمبابوي.</w:t>
      </w:r>
    </w:p>
    <w:p w:rsidR="003949D7" w:rsidRPr="00171FB1" w:rsidRDefault="003949D7" w:rsidP="003A1E82">
      <w:pPr>
        <w:pStyle w:val="ListParagraph"/>
        <w:numPr>
          <w:ilvl w:val="0"/>
          <w:numId w:val="6"/>
        </w:numPr>
        <w:bidi/>
        <w:spacing w:line="216" w:lineRule="auto"/>
        <w:ind w:left="0" w:firstLine="0"/>
        <w:rPr>
          <w:rFonts w:cs="Simplified Arabic"/>
        </w:rPr>
      </w:pPr>
      <w:r>
        <w:rPr>
          <w:rFonts w:cs="Simplified Arabic" w:hint="cs"/>
          <w:rtl/>
        </w:rPr>
        <w:t>كما تم استلام وثا</w:t>
      </w:r>
      <w:r w:rsidR="003A1E82">
        <w:rPr>
          <w:rFonts w:cs="Simplified Arabic" w:hint="cs"/>
          <w:rtl/>
        </w:rPr>
        <w:t>ئ</w:t>
      </w:r>
      <w:r>
        <w:rPr>
          <w:rFonts w:cs="Simplified Arabic" w:hint="cs"/>
          <w:rtl/>
        </w:rPr>
        <w:t xml:space="preserve">ق تفويض </w:t>
      </w:r>
      <w:r w:rsidR="003A1E82">
        <w:rPr>
          <w:rFonts w:cs="Simplified Arabic" w:hint="cs"/>
          <w:rtl/>
        </w:rPr>
        <w:t xml:space="preserve">من </w:t>
      </w:r>
      <w:r>
        <w:rPr>
          <w:rFonts w:cs="Simplified Arabic" w:hint="cs"/>
          <w:rtl/>
        </w:rPr>
        <w:t>الدولتين غير الأعضاء وهما الكرسي الرسولي والولايات المتحدة الأمريكية.</w:t>
      </w:r>
    </w:p>
    <w:p w:rsidR="002B6FB4" w:rsidRPr="00094717" w:rsidRDefault="009B1CC5" w:rsidP="00094717">
      <w:pPr>
        <w:pStyle w:val="Heading2"/>
        <w:tabs>
          <w:tab w:val="left" w:pos="1080"/>
        </w:tabs>
      </w:pPr>
      <w:bookmarkStart w:id="220" w:name="_Toc6140007"/>
      <w:r w:rsidRPr="00094717">
        <w:rPr>
          <w:rFonts w:hint="cs"/>
          <w:rtl/>
        </w:rPr>
        <w:t>البند 4 -</w:t>
      </w:r>
      <w:r w:rsidRPr="00094717">
        <w:rPr>
          <w:rFonts w:hint="cs"/>
          <w:rtl/>
        </w:rPr>
        <w:tab/>
      </w:r>
      <w:r w:rsidR="00563808" w:rsidRPr="00094717">
        <w:rPr>
          <w:rFonts w:hint="cs"/>
          <w:rtl/>
        </w:rPr>
        <w:t>القضايا المعلقة</w:t>
      </w:r>
      <w:bookmarkEnd w:id="220"/>
    </w:p>
    <w:p w:rsidR="007E2521" w:rsidRPr="00477B14" w:rsidRDefault="007E2521" w:rsidP="00FF7FA5">
      <w:pPr>
        <w:pStyle w:val="ListParagraph"/>
        <w:numPr>
          <w:ilvl w:val="0"/>
          <w:numId w:val="6"/>
        </w:numPr>
        <w:bidi/>
        <w:spacing w:line="216" w:lineRule="auto"/>
        <w:ind w:left="0" w:firstLine="0"/>
        <w:rPr>
          <w:rFonts w:ascii="Simplified Arabic" w:hAnsi="Simplified Arabic" w:cs="Simplified Arabic"/>
          <w:lang w:val="fr-CA"/>
        </w:rPr>
      </w:pPr>
      <w:r w:rsidRPr="007E2521">
        <w:rPr>
          <w:rFonts w:ascii="Simplified Arabic" w:hAnsi="Simplified Arabic" w:cs="Simplified Arabic"/>
          <w:rtl/>
        </w:rPr>
        <w:t xml:space="preserve">تم بحث البند </w:t>
      </w:r>
      <w:r>
        <w:rPr>
          <w:rFonts w:ascii="Simplified Arabic" w:hAnsi="Simplified Arabic" w:cs="Simplified Arabic" w:hint="cs"/>
          <w:rtl/>
        </w:rPr>
        <w:t>4</w:t>
      </w:r>
      <w:r w:rsidRPr="007E2521">
        <w:rPr>
          <w:rFonts w:ascii="Simplified Arabic" w:hAnsi="Simplified Arabic" w:cs="Simplified Arabic"/>
          <w:rtl/>
        </w:rPr>
        <w:t xml:space="preserve"> من جدول الأعمال في الجلسة </w:t>
      </w:r>
      <w:r>
        <w:rPr>
          <w:rFonts w:ascii="Simplified Arabic" w:hAnsi="Simplified Arabic" w:cs="Simplified Arabic" w:hint="cs"/>
          <w:rtl/>
        </w:rPr>
        <w:t>العامة الثانية</w:t>
      </w:r>
      <w:r w:rsidRPr="007E2521">
        <w:rPr>
          <w:rFonts w:ascii="Simplified Arabic" w:hAnsi="Simplified Arabic" w:cs="Simplified Arabic"/>
          <w:rtl/>
        </w:rPr>
        <w:t xml:space="preserve"> للاجتماع، المنعقدة في </w:t>
      </w:r>
      <w:r>
        <w:rPr>
          <w:rFonts w:ascii="Simplified Arabic" w:hAnsi="Simplified Arabic" w:cs="Simplified Arabic" w:hint="cs"/>
          <w:rtl/>
        </w:rPr>
        <w:t>17 نوفمبر/تشرين الثاني 2018</w:t>
      </w:r>
      <w:r w:rsidRPr="007E2521">
        <w:rPr>
          <w:rFonts w:ascii="Simplified Arabic" w:hAnsi="Simplified Arabic" w:cs="Simplified Arabic"/>
          <w:rtl/>
        </w:rPr>
        <w:t>. ولدى تقديم هذا البند، قال</w:t>
      </w:r>
      <w:r>
        <w:rPr>
          <w:rFonts w:ascii="Simplified Arabic" w:hAnsi="Simplified Arabic" w:cs="Simplified Arabic" w:hint="cs"/>
          <w:rtl/>
        </w:rPr>
        <w:t>ت</w:t>
      </w:r>
      <w:r w:rsidRPr="007E2521">
        <w:rPr>
          <w:rFonts w:ascii="Simplified Arabic" w:hAnsi="Simplified Arabic" w:cs="Simplified Arabic"/>
          <w:rtl/>
        </w:rPr>
        <w:t xml:space="preserve"> الرئيس</w:t>
      </w:r>
      <w:r>
        <w:rPr>
          <w:rFonts w:ascii="Simplified Arabic" w:hAnsi="Simplified Arabic" w:cs="Simplified Arabic" w:hint="cs"/>
          <w:rtl/>
        </w:rPr>
        <w:t>ة</w:t>
      </w:r>
      <w:r w:rsidRPr="007E2521">
        <w:rPr>
          <w:rFonts w:ascii="Simplified Arabic" w:hAnsi="Simplified Arabic" w:cs="Simplified Arabic"/>
          <w:rtl/>
        </w:rPr>
        <w:t xml:space="preserve"> إن القضية المعلقة الوحيدة أمام مؤتمر الأطراف تتعلق بالفقرة 1 من المادة 40 من النظام الداخلي والفقرتين 4 و16 من القواعد المالية التي تحكم تمويل الأمانة، التي ظلت بين أقواس </w:t>
      </w:r>
      <w:r>
        <w:rPr>
          <w:rFonts w:ascii="Simplified Arabic" w:hAnsi="Simplified Arabic" w:cs="Simplified Arabic" w:hint="cs"/>
          <w:rtl/>
        </w:rPr>
        <w:t>معكوف</w:t>
      </w:r>
      <w:r w:rsidRPr="007E2521">
        <w:rPr>
          <w:rFonts w:ascii="Simplified Arabic" w:hAnsi="Simplified Arabic" w:cs="Simplified Arabic"/>
          <w:rtl/>
        </w:rPr>
        <w:t>ة بسبب عدم الاتفاق بين الأطراف بخصوص الأغلبية اللازمة لصن</w:t>
      </w:r>
      <w:r>
        <w:rPr>
          <w:rFonts w:ascii="Simplified Arabic" w:hAnsi="Simplified Arabic" w:cs="Simplified Arabic"/>
          <w:rtl/>
        </w:rPr>
        <w:t>ع القرار بشأن المسائل الجوهرية.</w:t>
      </w:r>
    </w:p>
    <w:p w:rsidR="009B1CC5" w:rsidRPr="00477B14" w:rsidRDefault="007E2521" w:rsidP="00FF7FA5">
      <w:pPr>
        <w:pStyle w:val="ListParagraph"/>
        <w:numPr>
          <w:ilvl w:val="0"/>
          <w:numId w:val="6"/>
        </w:numPr>
        <w:bidi/>
        <w:spacing w:line="216" w:lineRule="auto"/>
        <w:ind w:left="0" w:firstLine="0"/>
        <w:rPr>
          <w:rFonts w:ascii="Simplified Arabic" w:hAnsi="Simplified Arabic" w:cs="Simplified Arabic"/>
          <w:lang w:val="fr-CA"/>
        </w:rPr>
      </w:pPr>
      <w:r>
        <w:rPr>
          <w:rFonts w:ascii="Simplified Arabic" w:hAnsi="Simplified Arabic" w:cs="Simplified Arabic" w:hint="cs"/>
          <w:rtl/>
        </w:rPr>
        <w:lastRenderedPageBreak/>
        <w:t xml:space="preserve">ووافق مؤتمر الأطراف </w:t>
      </w:r>
      <w:r w:rsidRPr="007E2521">
        <w:rPr>
          <w:rFonts w:ascii="Simplified Arabic" w:hAnsi="Simplified Arabic" w:cs="Simplified Arabic"/>
          <w:rtl/>
        </w:rPr>
        <w:t>على تأجيل مناقشة هذه المسألة إلى اجتماع</w:t>
      </w:r>
      <w:r>
        <w:rPr>
          <w:rFonts w:ascii="Simplified Arabic" w:hAnsi="Simplified Arabic" w:cs="Simplified Arabic" w:hint="cs"/>
          <w:rtl/>
        </w:rPr>
        <w:t>ه</w:t>
      </w:r>
      <w:r w:rsidRPr="007E2521">
        <w:rPr>
          <w:rFonts w:ascii="Simplified Arabic" w:hAnsi="Simplified Arabic" w:cs="Simplified Arabic"/>
          <w:rtl/>
        </w:rPr>
        <w:t xml:space="preserve"> ال</w:t>
      </w:r>
      <w:r>
        <w:rPr>
          <w:rFonts w:ascii="Simplified Arabic" w:hAnsi="Simplified Arabic" w:cs="Simplified Arabic" w:hint="cs"/>
          <w:rtl/>
        </w:rPr>
        <w:t>خامس</w:t>
      </w:r>
      <w:r>
        <w:rPr>
          <w:rFonts w:ascii="Simplified Arabic" w:hAnsi="Simplified Arabic" w:cs="Simplified Arabic"/>
          <w:rtl/>
        </w:rPr>
        <w:t xml:space="preserve"> عشر</w:t>
      </w:r>
      <w:r w:rsidRPr="007E2521">
        <w:rPr>
          <w:rFonts w:ascii="Simplified Arabic" w:hAnsi="Simplified Arabic" w:cs="Simplified Arabic"/>
          <w:rtl/>
        </w:rPr>
        <w:t>.</w:t>
      </w:r>
    </w:p>
    <w:p w:rsidR="002B6FB4" w:rsidRPr="00094717" w:rsidRDefault="009B1CC5" w:rsidP="00094717">
      <w:pPr>
        <w:pStyle w:val="Heading2"/>
        <w:tabs>
          <w:tab w:val="left" w:pos="1170"/>
        </w:tabs>
      </w:pPr>
      <w:bookmarkStart w:id="221" w:name="_Toc6140008"/>
      <w:r w:rsidRPr="00094717">
        <w:rPr>
          <w:rFonts w:hint="cs"/>
          <w:rtl/>
        </w:rPr>
        <w:t>البند 5-</w:t>
      </w:r>
      <w:r w:rsidRPr="00094717">
        <w:rPr>
          <w:rFonts w:hint="cs"/>
          <w:rtl/>
        </w:rPr>
        <w:tab/>
      </w:r>
      <w:r w:rsidR="007873F4" w:rsidRPr="00094717">
        <w:rPr>
          <w:rFonts w:hint="cs"/>
          <w:rtl/>
        </w:rPr>
        <w:t>تاريخ ومكان ال</w:t>
      </w:r>
      <w:r w:rsidR="00563808" w:rsidRPr="00094717">
        <w:rPr>
          <w:rFonts w:hint="cs"/>
          <w:rtl/>
        </w:rPr>
        <w:t>اجتماعات القادمة لمؤتمر الأطراف</w:t>
      </w:r>
      <w:bookmarkEnd w:id="221"/>
    </w:p>
    <w:p w:rsidR="009B1CC5" w:rsidRPr="00477B14" w:rsidRDefault="009B1CC5" w:rsidP="00FF7FA5">
      <w:pPr>
        <w:pStyle w:val="ListParagraph"/>
        <w:numPr>
          <w:ilvl w:val="0"/>
          <w:numId w:val="6"/>
        </w:numPr>
        <w:bidi/>
        <w:spacing w:line="216" w:lineRule="auto"/>
        <w:ind w:left="0" w:firstLine="0"/>
        <w:rPr>
          <w:rFonts w:ascii="Simplified Arabic" w:hAnsi="Simplified Arabic" w:cs="Simplified Arabic"/>
          <w:lang w:val="fr-CA"/>
        </w:rPr>
      </w:pPr>
      <w:r w:rsidRPr="009B1CC5">
        <w:rPr>
          <w:rFonts w:ascii="Simplified Arabic" w:hAnsi="Simplified Arabic" w:cs="Simplified Arabic"/>
          <w:rtl/>
        </w:rPr>
        <w:t xml:space="preserve">تم بحث البند </w:t>
      </w:r>
      <w:r>
        <w:rPr>
          <w:rFonts w:ascii="Simplified Arabic" w:hAnsi="Simplified Arabic" w:cs="Simplified Arabic" w:hint="cs"/>
          <w:rtl/>
        </w:rPr>
        <w:t>5</w:t>
      </w:r>
      <w:r w:rsidRPr="009B1CC5">
        <w:rPr>
          <w:rFonts w:ascii="Simplified Arabic" w:hAnsi="Simplified Arabic" w:cs="Simplified Arabic"/>
          <w:rtl/>
        </w:rPr>
        <w:t xml:space="preserve"> من جدول الأعمال في الجلسة </w:t>
      </w:r>
      <w:r w:rsidR="00192C17">
        <w:rPr>
          <w:rFonts w:ascii="Simplified Arabic" w:hAnsi="Simplified Arabic" w:cs="Simplified Arabic" w:hint="cs"/>
          <w:rtl/>
        </w:rPr>
        <w:t>الثانية عشرة</w:t>
      </w:r>
      <w:r w:rsidRPr="009B1CC5">
        <w:rPr>
          <w:rFonts w:ascii="Simplified Arabic" w:hAnsi="Simplified Arabic" w:cs="Simplified Arabic"/>
          <w:rtl/>
        </w:rPr>
        <w:t xml:space="preserve"> للاجتماع، المنعقدة </w:t>
      </w:r>
      <w:r w:rsidRPr="009B1CC5">
        <w:rPr>
          <w:rFonts w:ascii="Simplified Arabic" w:hAnsi="Simplified Arabic" w:cs="Simplified Arabic"/>
          <w:rtl/>
          <w:lang w:bidi="ar-LY"/>
        </w:rPr>
        <w:t xml:space="preserve">في </w:t>
      </w:r>
      <w:r w:rsidR="00192C17">
        <w:rPr>
          <w:rFonts w:ascii="Simplified Arabic" w:hAnsi="Simplified Arabic" w:cs="Simplified Arabic" w:hint="cs"/>
          <w:rtl/>
        </w:rPr>
        <w:t>17</w:t>
      </w:r>
      <w:r w:rsidRPr="009B1CC5">
        <w:rPr>
          <w:rFonts w:ascii="Simplified Arabic" w:hAnsi="Simplified Arabic" w:cs="Simplified Arabic"/>
          <w:rtl/>
        </w:rPr>
        <w:t xml:space="preserve"> </w:t>
      </w:r>
      <w:r>
        <w:rPr>
          <w:rFonts w:ascii="Simplified Arabic" w:hAnsi="Simplified Arabic" w:cs="Simplified Arabic" w:hint="cs"/>
          <w:rtl/>
        </w:rPr>
        <w:t>نوفمبر/تشرين الثاني 2018</w:t>
      </w:r>
      <w:r w:rsidRPr="009B1CC5">
        <w:rPr>
          <w:rFonts w:ascii="Simplified Arabic" w:hAnsi="Simplified Arabic" w:cs="Simplified Arabic"/>
          <w:rtl/>
        </w:rPr>
        <w:t>. و</w:t>
      </w:r>
      <w:r w:rsidR="007E2521">
        <w:rPr>
          <w:rFonts w:ascii="Simplified Arabic" w:hAnsi="Simplified Arabic" w:cs="Simplified Arabic" w:hint="cs"/>
          <w:rtl/>
        </w:rPr>
        <w:t xml:space="preserve">لدى تقديمها لهذا البند، </w:t>
      </w:r>
      <w:r w:rsidRPr="009B1CC5">
        <w:rPr>
          <w:rFonts w:ascii="Simplified Arabic" w:hAnsi="Simplified Arabic" w:cs="Simplified Arabic"/>
          <w:rtl/>
        </w:rPr>
        <w:t>أشار</w:t>
      </w:r>
      <w:r>
        <w:rPr>
          <w:rFonts w:ascii="Simplified Arabic" w:hAnsi="Simplified Arabic" w:cs="Simplified Arabic" w:hint="cs"/>
          <w:rtl/>
        </w:rPr>
        <w:t>ت</w:t>
      </w:r>
      <w:r w:rsidRPr="009B1CC5">
        <w:rPr>
          <w:rFonts w:ascii="Simplified Arabic" w:hAnsi="Simplified Arabic" w:cs="Simplified Arabic"/>
          <w:rtl/>
        </w:rPr>
        <w:t xml:space="preserve"> </w:t>
      </w:r>
      <w:r>
        <w:rPr>
          <w:rFonts w:ascii="Simplified Arabic" w:hAnsi="Simplified Arabic" w:cs="Simplified Arabic" w:hint="cs"/>
          <w:rtl/>
        </w:rPr>
        <w:t>ال</w:t>
      </w:r>
      <w:r w:rsidRPr="009B1CC5">
        <w:rPr>
          <w:rFonts w:ascii="Simplified Arabic" w:hAnsi="Simplified Arabic" w:cs="Simplified Arabic"/>
          <w:rtl/>
        </w:rPr>
        <w:t>رئيس</w:t>
      </w:r>
      <w:r w:rsidR="007E2521">
        <w:rPr>
          <w:rFonts w:ascii="Simplified Arabic" w:hAnsi="Simplified Arabic" w:cs="Simplified Arabic" w:hint="cs"/>
          <w:rtl/>
        </w:rPr>
        <w:t>ة</w:t>
      </w:r>
      <w:r w:rsidRPr="009B1CC5">
        <w:rPr>
          <w:rFonts w:ascii="Simplified Arabic" w:hAnsi="Simplified Arabic" w:cs="Simplified Arabic"/>
          <w:rtl/>
        </w:rPr>
        <w:t xml:space="preserve"> إلى أن</w:t>
      </w:r>
      <w:r>
        <w:rPr>
          <w:rFonts w:ascii="Simplified Arabic" w:hAnsi="Simplified Arabic" w:cs="Simplified Arabic" w:hint="cs"/>
          <w:rtl/>
        </w:rPr>
        <w:t xml:space="preserve">ه في اجتماعه الثالث عشر، قرر مؤتمر الأطراف أن يعقد اجتماعه الخامس عشر والاجتماعين المتزامنين للأطراف في بروتوكولي قرطاجنة وناغويا </w:t>
      </w:r>
      <w:r w:rsidR="003A1E82">
        <w:rPr>
          <w:rFonts w:ascii="Simplified Arabic" w:hAnsi="Simplified Arabic" w:cs="Simplified Arabic" w:hint="cs"/>
          <w:rtl/>
        </w:rPr>
        <w:t xml:space="preserve">في الصين، </w:t>
      </w:r>
      <w:r>
        <w:rPr>
          <w:rFonts w:ascii="Simplified Arabic" w:hAnsi="Simplified Arabic" w:cs="Simplified Arabic" w:hint="cs"/>
          <w:rtl/>
        </w:rPr>
        <w:t xml:space="preserve">في الربع الأخير من عام 2020، واجتماعه السادس عشر واجتماعيه المتزامنين للأطراف في البروتوكولين في تركيا، في تاريخ يحدد فيما بعد (المقرر 13/33). وفي نفس المقرر، وافق مؤتمر الأطراف على </w:t>
      </w:r>
      <w:r w:rsidR="007E2521">
        <w:rPr>
          <w:rFonts w:ascii="Simplified Arabic" w:hAnsi="Simplified Arabic" w:cs="Simplified Arabic" w:hint="cs"/>
          <w:rtl/>
        </w:rPr>
        <w:t>تناوب الاجتماعات المقبلة، ولذلك شجعت الرئيسة الأطراف من منطقة أوروبا الوسطى والشرقية إل</w:t>
      </w:r>
      <w:r w:rsidR="003A1E82">
        <w:rPr>
          <w:rFonts w:ascii="Simplified Arabic" w:hAnsi="Simplified Arabic" w:cs="Simplified Arabic" w:hint="cs"/>
          <w:rtl/>
        </w:rPr>
        <w:t>ى عقد مشاو</w:t>
      </w:r>
      <w:r w:rsidR="007E2521">
        <w:rPr>
          <w:rFonts w:ascii="Simplified Arabic" w:hAnsi="Simplified Arabic" w:cs="Simplified Arabic" w:hint="cs"/>
          <w:rtl/>
        </w:rPr>
        <w:t>رات بخصوص مكان للاجتماع السابع عشر</w:t>
      </w:r>
      <w:r w:rsidRPr="009B1CC5">
        <w:rPr>
          <w:rFonts w:ascii="Simplified Arabic" w:hAnsi="Simplified Arabic" w:cs="Simplified Arabic"/>
          <w:rtl/>
        </w:rPr>
        <w:t>.</w:t>
      </w:r>
    </w:p>
    <w:p w:rsidR="007E2521" w:rsidRPr="00477B14" w:rsidRDefault="007C5A0C" w:rsidP="00FF7FA5">
      <w:pPr>
        <w:pStyle w:val="ListParagraph"/>
        <w:numPr>
          <w:ilvl w:val="0"/>
          <w:numId w:val="6"/>
        </w:numPr>
        <w:bidi/>
        <w:spacing w:line="216" w:lineRule="auto"/>
        <w:ind w:left="0" w:firstLine="0"/>
        <w:rPr>
          <w:rFonts w:ascii="Simplified Arabic" w:hAnsi="Simplified Arabic" w:cs="Simplified Arabic"/>
          <w:lang w:val="fr-CA"/>
        </w:rPr>
      </w:pPr>
      <w:r>
        <w:rPr>
          <w:rFonts w:ascii="Simplified Arabic" w:hAnsi="Simplified Arabic" w:cs="Simplified Arabic" w:hint="cs"/>
          <w:rtl/>
        </w:rPr>
        <w:t>وفي الجلسة العامة الرابعة للاجتماع، المنعقدة في 22 نوفمبر/تشرين الثاني 2018، نظر مؤتمر الأطراف في مشروع مقرر قدمته الرئيسة واعتمد</w:t>
      </w:r>
      <w:r w:rsidR="00C07061">
        <w:rPr>
          <w:rFonts w:ascii="Simplified Arabic" w:hAnsi="Simplified Arabic" w:cs="Simplified Arabic" w:hint="cs"/>
          <w:rtl/>
        </w:rPr>
        <w:t>ه</w:t>
      </w:r>
      <w:r>
        <w:rPr>
          <w:rFonts w:ascii="Simplified Arabic" w:hAnsi="Simplified Arabic" w:cs="Simplified Arabic" w:hint="cs"/>
          <w:rtl/>
        </w:rPr>
        <w:t xml:space="preserve"> بوصفه المقرر 14/</w:t>
      </w:r>
      <w:r w:rsidR="00192C17">
        <w:rPr>
          <w:rFonts w:asciiTheme="majorBidi" w:hAnsiTheme="majorBidi" w:cstheme="majorBidi" w:hint="cs"/>
          <w:rtl/>
        </w:rPr>
        <w:t>38</w:t>
      </w:r>
      <w:r>
        <w:rPr>
          <w:rFonts w:ascii="Simplified Arabic" w:hAnsi="Simplified Arabic" w:cs="Simplified Arabic" w:hint="cs"/>
          <w:rtl/>
        </w:rPr>
        <w:t>.</w:t>
      </w:r>
    </w:p>
    <w:p w:rsidR="002B6FB4" w:rsidRPr="00094717" w:rsidRDefault="007E2521" w:rsidP="00094717">
      <w:pPr>
        <w:pStyle w:val="Heading2"/>
      </w:pPr>
      <w:bookmarkStart w:id="222" w:name="_Toc6140009"/>
      <w:r w:rsidRPr="00094717">
        <w:rPr>
          <w:rFonts w:hint="cs"/>
          <w:rtl/>
          <w:lang w:val="en-GB"/>
        </w:rPr>
        <w:t>البند 6 -</w:t>
      </w:r>
      <w:r w:rsidRPr="00094717">
        <w:rPr>
          <w:rFonts w:hint="cs"/>
          <w:rtl/>
          <w:lang w:val="en-GB"/>
        </w:rPr>
        <w:tab/>
      </w:r>
      <w:r w:rsidR="002B6FB4" w:rsidRPr="00094717">
        <w:rPr>
          <w:rFonts w:hint="cs"/>
          <w:rtl/>
        </w:rPr>
        <w:t>تقارير</w:t>
      </w:r>
      <w:r w:rsidR="002B6FB4" w:rsidRPr="00094717">
        <w:rPr>
          <w:rFonts w:hint="eastAsia"/>
          <w:rtl/>
        </w:rPr>
        <w:t xml:space="preserve"> </w:t>
      </w:r>
      <w:r w:rsidR="002B6FB4" w:rsidRPr="00094717">
        <w:rPr>
          <w:rFonts w:hint="cs"/>
          <w:rtl/>
        </w:rPr>
        <w:t>عن الاجتماعات</w:t>
      </w:r>
      <w:r w:rsidR="002B6FB4" w:rsidRPr="00094717">
        <w:rPr>
          <w:rFonts w:hint="eastAsia"/>
          <w:rtl/>
        </w:rPr>
        <w:t xml:space="preserve"> </w:t>
      </w:r>
      <w:r w:rsidR="002B6FB4" w:rsidRPr="00094717">
        <w:rPr>
          <w:rFonts w:hint="cs"/>
          <w:rtl/>
        </w:rPr>
        <w:t>المنعقدة</w:t>
      </w:r>
      <w:r w:rsidR="002B6FB4" w:rsidRPr="00094717">
        <w:rPr>
          <w:rFonts w:hint="eastAsia"/>
          <w:rtl/>
        </w:rPr>
        <w:t xml:space="preserve"> </w:t>
      </w:r>
      <w:r w:rsidR="002B6FB4" w:rsidRPr="00094717">
        <w:rPr>
          <w:rFonts w:hint="cs"/>
          <w:rtl/>
        </w:rPr>
        <w:t>بين</w:t>
      </w:r>
      <w:r w:rsidR="002B6FB4" w:rsidRPr="00094717">
        <w:rPr>
          <w:rFonts w:hint="eastAsia"/>
          <w:rtl/>
        </w:rPr>
        <w:t xml:space="preserve"> </w:t>
      </w:r>
      <w:r w:rsidR="002B6FB4" w:rsidRPr="00094717">
        <w:rPr>
          <w:rFonts w:hint="cs"/>
          <w:rtl/>
        </w:rPr>
        <w:t>الدورات</w:t>
      </w:r>
      <w:r w:rsidR="002B6FB4" w:rsidRPr="00094717">
        <w:rPr>
          <w:rFonts w:hint="eastAsia"/>
          <w:rtl/>
        </w:rPr>
        <w:t xml:space="preserve"> </w:t>
      </w:r>
      <w:r w:rsidR="00563808" w:rsidRPr="00094717">
        <w:rPr>
          <w:rFonts w:hint="cs"/>
          <w:rtl/>
        </w:rPr>
        <w:t>والاجتماعات التحضيرية الإقليمية</w:t>
      </w:r>
      <w:bookmarkEnd w:id="222"/>
    </w:p>
    <w:p w:rsidR="007E2521" w:rsidRPr="00477B14" w:rsidRDefault="00F9451E" w:rsidP="00FF7FA5">
      <w:pPr>
        <w:pStyle w:val="ListParagraph"/>
        <w:numPr>
          <w:ilvl w:val="0"/>
          <w:numId w:val="6"/>
        </w:numPr>
        <w:bidi/>
        <w:spacing w:line="216" w:lineRule="auto"/>
        <w:ind w:left="0" w:firstLine="0"/>
        <w:rPr>
          <w:rFonts w:cs="Simplified Arabic"/>
          <w:lang w:val="fr-CA"/>
        </w:rPr>
      </w:pPr>
      <w:r w:rsidRPr="00F9451E">
        <w:rPr>
          <w:rFonts w:cs="Simplified Arabic" w:hint="cs"/>
          <w:rtl/>
        </w:rPr>
        <w:t xml:space="preserve">تم بحث البند </w:t>
      </w:r>
      <w:r>
        <w:rPr>
          <w:rFonts w:cs="Simplified Arabic" w:hint="cs"/>
          <w:rtl/>
        </w:rPr>
        <w:t>6</w:t>
      </w:r>
      <w:r w:rsidRPr="00F9451E">
        <w:rPr>
          <w:rFonts w:cs="Simplified Arabic" w:hint="cs"/>
          <w:rtl/>
        </w:rPr>
        <w:t xml:space="preserve"> من جدول الأعمال في الجلسة العامة ال</w:t>
      </w:r>
      <w:r>
        <w:rPr>
          <w:rFonts w:cs="Simplified Arabic" w:hint="cs"/>
          <w:rtl/>
        </w:rPr>
        <w:t>ثان</w:t>
      </w:r>
      <w:r w:rsidRPr="00F9451E">
        <w:rPr>
          <w:rFonts w:cs="Simplified Arabic" w:hint="cs"/>
          <w:rtl/>
        </w:rPr>
        <w:t xml:space="preserve">ية للاجتماع، المنعقدة </w:t>
      </w:r>
      <w:r w:rsidRPr="00F9451E">
        <w:rPr>
          <w:rFonts w:cs="Simplified Arabic"/>
          <w:rtl/>
          <w:lang w:bidi="ar-LY"/>
        </w:rPr>
        <w:t xml:space="preserve">في </w:t>
      </w:r>
      <w:r>
        <w:rPr>
          <w:rFonts w:cs="Simplified Arabic" w:hint="cs"/>
          <w:rtl/>
          <w:lang w:bidi="ar-LY"/>
        </w:rPr>
        <w:t>17 نوفمبر/تشرين الثاني 2018</w:t>
      </w:r>
      <w:r w:rsidRPr="00F9451E">
        <w:rPr>
          <w:rFonts w:cs="Simplified Arabic" w:hint="cs"/>
          <w:rtl/>
        </w:rPr>
        <w:t>. ولدى نظره في هذا البند، كان أمام مؤتمر الأطراف تقارير الاجتماع ال</w:t>
      </w:r>
      <w:r>
        <w:rPr>
          <w:rFonts w:cs="Simplified Arabic" w:hint="cs"/>
          <w:rtl/>
        </w:rPr>
        <w:t>عاشر</w:t>
      </w:r>
      <w:r w:rsidRPr="00F9451E">
        <w:rPr>
          <w:rFonts w:cs="Simplified Arabic" w:hint="cs"/>
          <w:rtl/>
        </w:rPr>
        <w:t xml:space="preserve"> للفريق المفتوح العضوية العامل بين الدورات المخصص للمادة 8(ي) والأحكام المتصلة بها في اتفاقية التنوع البيولوجي </w:t>
      </w:r>
      <w:r w:rsidRPr="00477B14">
        <w:rPr>
          <w:rFonts w:cs="Simplified Arabic"/>
          <w:lang w:val="fr-CA"/>
        </w:rPr>
        <w:t>(CBD/WG8J/10/11)</w:t>
      </w:r>
      <w:r w:rsidRPr="00F9451E">
        <w:rPr>
          <w:rFonts w:cs="Simplified Arabic" w:hint="cs"/>
          <w:rtl/>
        </w:rPr>
        <w:t xml:space="preserve">؛ والاجتماعين </w:t>
      </w:r>
      <w:r>
        <w:rPr>
          <w:rFonts w:cs="Simplified Arabic" w:hint="cs"/>
          <w:rtl/>
        </w:rPr>
        <w:t>الحادي والعشرين</w:t>
      </w:r>
      <w:r w:rsidRPr="00F9451E">
        <w:rPr>
          <w:rFonts w:cs="Simplified Arabic" w:hint="cs"/>
          <w:rtl/>
        </w:rPr>
        <w:t xml:space="preserve"> و</w:t>
      </w:r>
      <w:r>
        <w:rPr>
          <w:rFonts w:cs="Simplified Arabic" w:hint="cs"/>
          <w:rtl/>
        </w:rPr>
        <w:t>الثاني و</w:t>
      </w:r>
      <w:r w:rsidRPr="00F9451E">
        <w:rPr>
          <w:rFonts w:cs="Simplified Arabic" w:hint="cs"/>
          <w:rtl/>
        </w:rPr>
        <w:t>العشرين للهيئة الفرعية للمشورة العلمية والتقنية والتكنولوجية (</w:t>
      </w:r>
      <w:r w:rsidRPr="00477B14">
        <w:rPr>
          <w:lang w:val="fr-CA"/>
        </w:rPr>
        <w:t>CBD/SBSTTA/21/10</w:t>
      </w:r>
      <w:r w:rsidRPr="00F9451E">
        <w:rPr>
          <w:rFonts w:cs="Simplified Arabic" w:hint="cs"/>
          <w:rtl/>
        </w:rPr>
        <w:t xml:space="preserve"> و</w:t>
      </w:r>
      <w:r w:rsidRPr="00477B14">
        <w:rPr>
          <w:lang w:val="fr-CA"/>
        </w:rPr>
        <w:t>CBD/SBSTTA/22/12</w:t>
      </w:r>
      <w:r w:rsidRPr="00F9451E">
        <w:rPr>
          <w:rFonts w:cs="Simplified Arabic" w:hint="cs"/>
          <w:rtl/>
        </w:rPr>
        <w:t>)؛ والاجتماع ال</w:t>
      </w:r>
      <w:r>
        <w:rPr>
          <w:rFonts w:cs="Simplified Arabic" w:hint="cs"/>
          <w:rtl/>
        </w:rPr>
        <w:t>ثاني</w:t>
      </w:r>
      <w:r w:rsidRPr="00F9451E">
        <w:rPr>
          <w:rFonts w:cs="Simplified Arabic" w:hint="cs"/>
          <w:rtl/>
        </w:rPr>
        <w:t xml:space="preserve"> للهيئة الفرعية للتنفيذ </w:t>
      </w:r>
      <w:r w:rsidRPr="00477B14">
        <w:rPr>
          <w:rFonts w:cs="Simplified Arabic"/>
          <w:lang w:val="fr-CA"/>
        </w:rPr>
        <w:t>(</w:t>
      </w:r>
      <w:r w:rsidRPr="00477B14">
        <w:rPr>
          <w:lang w:val="fr-CA"/>
        </w:rPr>
        <w:t>CBD/SBI/2/22</w:t>
      </w:r>
      <w:r w:rsidRPr="00477B14">
        <w:rPr>
          <w:rFonts w:cs="Simplified Arabic"/>
          <w:lang w:val="fr-CA"/>
        </w:rPr>
        <w:t>)</w:t>
      </w:r>
      <w:r w:rsidRPr="00F9451E">
        <w:rPr>
          <w:rFonts w:cs="Simplified Arabic" w:hint="cs"/>
          <w:rtl/>
        </w:rPr>
        <w:t>.</w:t>
      </w:r>
    </w:p>
    <w:p w:rsidR="00F9451E" w:rsidRPr="00477B14" w:rsidRDefault="00F9451E" w:rsidP="00FF7FA5">
      <w:pPr>
        <w:pStyle w:val="ListParagraph"/>
        <w:numPr>
          <w:ilvl w:val="0"/>
          <w:numId w:val="6"/>
        </w:numPr>
        <w:bidi/>
        <w:spacing w:line="216" w:lineRule="auto"/>
        <w:ind w:left="0" w:firstLine="0"/>
        <w:rPr>
          <w:rFonts w:cs="Simplified Arabic"/>
          <w:lang w:val="fr-CA"/>
        </w:rPr>
      </w:pPr>
      <w:r>
        <w:rPr>
          <w:rFonts w:cs="Simplified Arabic" w:hint="cs"/>
          <w:rtl/>
        </w:rPr>
        <w:t>وأحاط مؤتمر الأطراف علما بتقارير الاجتماعات المنعقدة بين الدورات للهيئات الفرعية ووافق على النظر في التوصيات الواردة في التقارير في إطار بنود جدول الأعمال ذات الصلة.</w:t>
      </w:r>
    </w:p>
    <w:p w:rsidR="00160B87" w:rsidRPr="00160B87" w:rsidRDefault="00160B87" w:rsidP="00192C17">
      <w:pPr>
        <w:pStyle w:val="ListParagraph"/>
        <w:bidi/>
        <w:spacing w:line="216" w:lineRule="auto"/>
        <w:ind w:left="0"/>
        <w:jc w:val="center"/>
        <w:rPr>
          <w:rFonts w:cs="Simplified Arabic"/>
          <w:i/>
          <w:iCs/>
        </w:rPr>
      </w:pPr>
      <w:r w:rsidRPr="00160B87">
        <w:rPr>
          <w:rFonts w:cs="Simplified Arabic" w:hint="cs"/>
          <w:i/>
          <w:iCs/>
          <w:rtl/>
        </w:rPr>
        <w:t>القضايا الجديدة والناشئة</w:t>
      </w:r>
    </w:p>
    <w:p w:rsidR="00160B87" w:rsidRPr="00F9451E" w:rsidRDefault="00160B87" w:rsidP="00FF7FA5">
      <w:pPr>
        <w:pStyle w:val="ListParagraph"/>
        <w:numPr>
          <w:ilvl w:val="0"/>
          <w:numId w:val="6"/>
        </w:numPr>
        <w:bidi/>
        <w:spacing w:line="216" w:lineRule="auto"/>
        <w:ind w:left="0" w:firstLine="0"/>
        <w:rPr>
          <w:rFonts w:cs="Simplified Arabic"/>
        </w:rPr>
      </w:pPr>
      <w:r>
        <w:rPr>
          <w:rFonts w:cs="Simplified Arabic" w:hint="cs"/>
          <w:rtl/>
        </w:rPr>
        <w:t xml:space="preserve">وفقا للتوصية 21/7 للهيئة الفرعية للمشورة العلمية والتقنية والتكنولوجية، وافق مؤتمر الأطراف على عدم إضافة القضايا الجديدة والناشئة </w:t>
      </w:r>
      <w:r w:rsidR="004F4E26">
        <w:rPr>
          <w:rFonts w:cs="Simplified Arabic" w:hint="cs"/>
          <w:rtl/>
        </w:rPr>
        <w:t>ال</w:t>
      </w:r>
      <w:r w:rsidR="006A2A03">
        <w:rPr>
          <w:rFonts w:cs="Simplified Arabic" w:hint="cs"/>
          <w:rtl/>
        </w:rPr>
        <w:t>مذكور</w:t>
      </w:r>
      <w:r w:rsidR="004F4E26">
        <w:rPr>
          <w:rFonts w:cs="Simplified Arabic" w:hint="cs"/>
          <w:rtl/>
        </w:rPr>
        <w:t xml:space="preserve">ة في مذكرة الأمينة التنفيذية بشأن القضايا الجديدة والناشئة </w:t>
      </w:r>
      <w:r w:rsidR="004F4E26" w:rsidRPr="0024725A">
        <w:t>(CBD/SBSTTA/21/8)</w:t>
      </w:r>
      <w:r w:rsidR="004F4E26">
        <w:rPr>
          <w:rFonts w:cs="Simplified Arabic" w:hint="cs"/>
          <w:rtl/>
        </w:rPr>
        <w:t xml:space="preserve">، في جدول أعمال الهيئة الفرعية للمشورة العلمية والتقنية والتكنولوجية في </w:t>
      </w:r>
      <w:r w:rsidR="006A2A03">
        <w:rPr>
          <w:rFonts w:cs="Simplified Arabic" w:hint="cs"/>
          <w:rtl/>
        </w:rPr>
        <w:t>ف</w:t>
      </w:r>
      <w:r w:rsidR="004F4E26">
        <w:rPr>
          <w:rFonts w:cs="Simplified Arabic" w:hint="cs"/>
          <w:rtl/>
        </w:rPr>
        <w:t>ترة السنتين القادمتين.</w:t>
      </w:r>
    </w:p>
    <w:p w:rsidR="00160B87" w:rsidRPr="00477B14" w:rsidRDefault="00160B87" w:rsidP="00094717">
      <w:pPr>
        <w:pStyle w:val="Heading2"/>
        <w:tabs>
          <w:tab w:val="left" w:pos="1170"/>
        </w:tabs>
        <w:rPr>
          <w:lang w:val="en-GB"/>
        </w:rPr>
      </w:pPr>
      <w:bookmarkStart w:id="223" w:name="_Toc6140010"/>
      <w:r w:rsidRPr="00094717">
        <w:rPr>
          <w:rFonts w:hint="cs"/>
          <w:rtl/>
        </w:rPr>
        <w:t>البند 7 -</w:t>
      </w:r>
      <w:r w:rsidRPr="00094717">
        <w:rPr>
          <w:rFonts w:hint="cs"/>
          <w:rtl/>
        </w:rPr>
        <w:tab/>
        <w:t>إدارة الاتفاقية وميزانية الصناديق الاستئمانية</w:t>
      </w:r>
      <w:bookmarkEnd w:id="223"/>
    </w:p>
    <w:p w:rsidR="00160B87" w:rsidRDefault="004F4E26" w:rsidP="00FF7FA5">
      <w:pPr>
        <w:pStyle w:val="ListParagraph"/>
        <w:numPr>
          <w:ilvl w:val="0"/>
          <w:numId w:val="6"/>
        </w:numPr>
        <w:bidi/>
        <w:spacing w:line="216" w:lineRule="auto"/>
        <w:ind w:left="0" w:firstLine="0"/>
        <w:rPr>
          <w:rFonts w:cs="Simplified Arabic"/>
        </w:rPr>
      </w:pPr>
      <w:r w:rsidRPr="00F9451E">
        <w:rPr>
          <w:rFonts w:cs="Simplified Arabic" w:hint="cs"/>
          <w:rtl/>
        </w:rPr>
        <w:t xml:space="preserve">تم بحث البند </w:t>
      </w:r>
      <w:r>
        <w:rPr>
          <w:rFonts w:cs="Simplified Arabic" w:hint="cs"/>
          <w:rtl/>
        </w:rPr>
        <w:t>7</w:t>
      </w:r>
      <w:r w:rsidRPr="00F9451E">
        <w:rPr>
          <w:rFonts w:cs="Simplified Arabic" w:hint="cs"/>
          <w:rtl/>
        </w:rPr>
        <w:t xml:space="preserve"> من جدول الأعمال في الجلسة العامة ال</w:t>
      </w:r>
      <w:r>
        <w:rPr>
          <w:rFonts w:cs="Simplified Arabic" w:hint="cs"/>
          <w:rtl/>
        </w:rPr>
        <w:t>ثان</w:t>
      </w:r>
      <w:r w:rsidRPr="00F9451E">
        <w:rPr>
          <w:rFonts w:cs="Simplified Arabic" w:hint="cs"/>
          <w:rtl/>
        </w:rPr>
        <w:t xml:space="preserve">ية للاجتماع، المنعقدة </w:t>
      </w:r>
      <w:r w:rsidRPr="00F9451E">
        <w:rPr>
          <w:rFonts w:cs="Simplified Arabic"/>
          <w:rtl/>
          <w:lang w:bidi="ar-LY"/>
        </w:rPr>
        <w:t xml:space="preserve">في </w:t>
      </w:r>
      <w:r>
        <w:rPr>
          <w:rFonts w:cs="Simplified Arabic" w:hint="cs"/>
          <w:rtl/>
          <w:lang w:bidi="ar-LY"/>
        </w:rPr>
        <w:t>17 نوفمبر/تشرين الثاني 2018</w:t>
      </w:r>
      <w:r w:rsidRPr="00F9451E">
        <w:rPr>
          <w:rFonts w:cs="Simplified Arabic" w:hint="cs"/>
          <w:rtl/>
        </w:rPr>
        <w:t>. ولدى نظره في هذا البند، كان أمام مؤتمر الأطراف</w:t>
      </w:r>
      <w:r w:rsidRPr="00404565">
        <w:rPr>
          <w:rFonts w:cs="Simplified Arabic" w:hint="cs"/>
          <w:rtl/>
        </w:rPr>
        <w:t xml:space="preserve"> </w:t>
      </w:r>
      <w:r w:rsidR="00160B87" w:rsidRPr="00404565">
        <w:rPr>
          <w:rFonts w:cs="Simplified Arabic" w:hint="cs"/>
          <w:rtl/>
        </w:rPr>
        <w:t>تقرير الأمين</w:t>
      </w:r>
      <w:r w:rsidR="00160B87">
        <w:rPr>
          <w:rFonts w:cs="Simplified Arabic" w:hint="cs"/>
          <w:rtl/>
        </w:rPr>
        <w:t>ة</w:t>
      </w:r>
      <w:r w:rsidR="00160B87" w:rsidRPr="00404565">
        <w:rPr>
          <w:rFonts w:cs="Simplified Arabic" w:hint="cs"/>
          <w:rtl/>
        </w:rPr>
        <w:t xml:space="preserve"> التنفيذي</w:t>
      </w:r>
      <w:r w:rsidR="00160B87">
        <w:rPr>
          <w:rFonts w:cs="Simplified Arabic" w:hint="cs"/>
          <w:rtl/>
        </w:rPr>
        <w:t>ة</w:t>
      </w:r>
      <w:r w:rsidR="00160B87" w:rsidRPr="00404565">
        <w:rPr>
          <w:rFonts w:cs="Simplified Arabic" w:hint="cs"/>
          <w:rtl/>
        </w:rPr>
        <w:t xml:space="preserve"> عن إدارة الاتفاقية</w:t>
      </w:r>
      <w:r>
        <w:rPr>
          <w:rFonts w:cs="Simplified Arabic" w:hint="cs"/>
          <w:rtl/>
        </w:rPr>
        <w:t xml:space="preserve"> وبروتوكولي قرطاجنة وناغويا لفترة السنتين 2017-2019</w:t>
      </w:r>
      <w:r w:rsidR="00160B87" w:rsidRPr="00404565">
        <w:rPr>
          <w:rFonts w:cs="Simplified Arabic" w:hint="cs"/>
          <w:rtl/>
        </w:rPr>
        <w:t xml:space="preserve">، بما في ذلك ميزانية الصناديق الاستئمانية </w:t>
      </w:r>
      <w:r w:rsidR="00160B87" w:rsidRPr="00404565">
        <w:rPr>
          <w:szCs w:val="22"/>
        </w:rPr>
        <w:t>CBD/COP/14/</w:t>
      </w:r>
      <w:r w:rsidR="00160B87">
        <w:rPr>
          <w:szCs w:val="22"/>
        </w:rPr>
        <w:t>3</w:t>
      </w:r>
      <w:r w:rsidR="00160B87" w:rsidRPr="00404565">
        <w:rPr>
          <w:szCs w:val="22"/>
        </w:rPr>
        <w:t>)</w:t>
      </w:r>
      <w:r w:rsidR="00160B87" w:rsidRPr="00404565">
        <w:rPr>
          <w:szCs w:val="22"/>
          <w:rtl/>
        </w:rPr>
        <w:t>)</w:t>
      </w:r>
      <w:r>
        <w:rPr>
          <w:rFonts w:cs="Simplified Arabic" w:hint="cs"/>
          <w:rtl/>
        </w:rPr>
        <w:t xml:space="preserve">، والميزانية المقترحة لبرنامج عمل الاتفاقية وبروتوكولي قرطاجنة وناغويا لفترة السنتين 2019-2020 </w:t>
      </w:r>
      <w:r w:rsidRPr="00A74725">
        <w:t>(CBD/COP/14/4)</w:t>
      </w:r>
      <w:r>
        <w:rPr>
          <w:rFonts w:cs="Simplified Arabic" w:hint="cs"/>
          <w:rtl/>
        </w:rPr>
        <w:t xml:space="preserve">، فضلا عن عناصر لمشروع مقرر بشأن المسألة </w:t>
      </w:r>
      <w:r w:rsidRPr="00A74725">
        <w:t>(CBD/COP/14/</w:t>
      </w:r>
      <w:r>
        <w:t>2</w:t>
      </w:r>
      <w:r w:rsidRPr="00A74725">
        <w:t>)</w:t>
      </w:r>
      <w:r>
        <w:rPr>
          <w:rFonts w:cs="Simplified Arabic" w:hint="cs"/>
          <w:rtl/>
        </w:rPr>
        <w:t xml:space="preserve"> وتقرير من الأمينة التنفيذية عن إدارة الاتفاقية وميزانية الصناديق الاستئمانية للاتفاقية وبروتوكولي قرطاجنة وناغويا </w:t>
      </w:r>
      <w:r>
        <w:t>(CBD/COP/14/INF/17)</w:t>
      </w:r>
      <w:r>
        <w:rPr>
          <w:rFonts w:cs="Simplified Arabic" w:hint="cs"/>
          <w:rtl/>
        </w:rPr>
        <w:t>.</w:t>
      </w:r>
    </w:p>
    <w:p w:rsidR="004F4E26" w:rsidRDefault="004F4E26" w:rsidP="00FF7FA5">
      <w:pPr>
        <w:pStyle w:val="ListParagraph"/>
        <w:numPr>
          <w:ilvl w:val="0"/>
          <w:numId w:val="6"/>
        </w:numPr>
        <w:bidi/>
        <w:spacing w:line="216" w:lineRule="auto"/>
        <w:ind w:left="0" w:firstLine="0"/>
        <w:rPr>
          <w:rFonts w:cs="Simplified Arabic"/>
        </w:rPr>
      </w:pPr>
      <w:r>
        <w:rPr>
          <w:rFonts w:cs="Simplified Arabic" w:hint="cs"/>
          <w:rtl/>
        </w:rPr>
        <w:t>وأدلى ببيان ممثل اليابان.</w:t>
      </w:r>
    </w:p>
    <w:p w:rsidR="004F4E26" w:rsidRDefault="004F4E26" w:rsidP="00FF7FA5">
      <w:pPr>
        <w:pStyle w:val="ListParagraph"/>
        <w:numPr>
          <w:ilvl w:val="0"/>
          <w:numId w:val="6"/>
        </w:numPr>
        <w:bidi/>
        <w:spacing w:line="216" w:lineRule="auto"/>
        <w:ind w:left="0" w:firstLine="0"/>
        <w:rPr>
          <w:rFonts w:cs="Simplified Arabic"/>
        </w:rPr>
      </w:pPr>
      <w:r>
        <w:rPr>
          <w:rFonts w:cs="Simplified Arabic" w:hint="cs"/>
          <w:rtl/>
        </w:rPr>
        <w:t>وأحاط مؤت</w:t>
      </w:r>
      <w:r w:rsidR="004E4086">
        <w:rPr>
          <w:rFonts w:cs="Simplified Arabic" w:hint="cs"/>
          <w:rtl/>
        </w:rPr>
        <w:t>مر</w:t>
      </w:r>
      <w:r>
        <w:rPr>
          <w:rFonts w:cs="Simplified Arabic" w:hint="cs"/>
          <w:rtl/>
        </w:rPr>
        <w:t xml:space="preserve"> الأطراف علما بالتقارير ووافق على إنشاء فريق اتصال معني بالميزانية، </w:t>
      </w:r>
      <w:r w:rsidR="004E4086">
        <w:rPr>
          <w:rFonts w:cs="Simplified Arabic" w:hint="cs"/>
          <w:rtl/>
        </w:rPr>
        <w:t xml:space="preserve">يكلف باستعراض المسألة وإعداد مشروع ميزانية لبرنامج </w:t>
      </w:r>
      <w:r w:rsidR="006A2A03">
        <w:rPr>
          <w:rFonts w:cs="Simplified Arabic" w:hint="cs"/>
          <w:rtl/>
        </w:rPr>
        <w:t>ال</w:t>
      </w:r>
      <w:r w:rsidR="004E4086">
        <w:rPr>
          <w:rFonts w:cs="Simplified Arabic" w:hint="cs"/>
          <w:rtl/>
        </w:rPr>
        <w:t xml:space="preserve">عمل </w:t>
      </w:r>
      <w:r w:rsidR="006A2A03">
        <w:rPr>
          <w:rFonts w:cs="Simplified Arabic" w:hint="cs"/>
          <w:rtl/>
        </w:rPr>
        <w:t>ل</w:t>
      </w:r>
      <w:r w:rsidR="004E4086">
        <w:rPr>
          <w:rFonts w:cs="Simplified Arabic" w:hint="cs"/>
          <w:rtl/>
        </w:rPr>
        <w:t>فترة السنتين 2019-2020، ل</w:t>
      </w:r>
      <w:r w:rsidR="006A2A03">
        <w:rPr>
          <w:rFonts w:cs="Simplified Arabic" w:hint="cs"/>
          <w:rtl/>
        </w:rPr>
        <w:t>كي ي</w:t>
      </w:r>
      <w:r w:rsidR="004E4086">
        <w:rPr>
          <w:rFonts w:cs="Simplified Arabic" w:hint="cs"/>
          <w:rtl/>
        </w:rPr>
        <w:t xml:space="preserve">نظر </w:t>
      </w:r>
      <w:r w:rsidR="006A2A03">
        <w:rPr>
          <w:rFonts w:cs="Simplified Arabic" w:hint="cs"/>
          <w:rtl/>
        </w:rPr>
        <w:t xml:space="preserve">فيه </w:t>
      </w:r>
      <w:r w:rsidR="004E4086">
        <w:rPr>
          <w:rFonts w:cs="Simplified Arabic" w:hint="cs"/>
          <w:rtl/>
        </w:rPr>
        <w:t>الأطراف. وسيرأس فريق الاتصال السيد سبنسر توماس (غرينادا)، وسيكون الفريق مفتوحا لجميع الأطراف وي</w:t>
      </w:r>
      <w:r w:rsidR="00356BE7">
        <w:rPr>
          <w:rFonts w:cs="Simplified Arabic" w:hint="cs"/>
          <w:rtl/>
        </w:rPr>
        <w:t>جتمع</w:t>
      </w:r>
      <w:r w:rsidR="004E4086">
        <w:rPr>
          <w:rFonts w:cs="Simplified Arabic" w:hint="cs"/>
          <w:rtl/>
        </w:rPr>
        <w:t xml:space="preserve"> على نحو غير رسمي بناء على دعوة من رئيسه، مع الإعلان عن الاجتماعات مقدما في </w:t>
      </w:r>
      <w:r w:rsidR="00356BE7">
        <w:rPr>
          <w:rFonts w:cs="Simplified Arabic" w:hint="cs"/>
          <w:rtl/>
        </w:rPr>
        <w:t>الجدول اليومي</w:t>
      </w:r>
      <w:r w:rsidR="004E4086">
        <w:rPr>
          <w:rFonts w:cs="Simplified Arabic" w:hint="cs"/>
          <w:rtl/>
        </w:rPr>
        <w:t xml:space="preserve"> للاجتماعات.</w:t>
      </w:r>
    </w:p>
    <w:p w:rsidR="00697943" w:rsidRPr="00697943" w:rsidRDefault="00697943" w:rsidP="00FF7FA5">
      <w:pPr>
        <w:pStyle w:val="ListParagraph"/>
        <w:numPr>
          <w:ilvl w:val="0"/>
          <w:numId w:val="6"/>
        </w:numPr>
        <w:bidi/>
        <w:spacing w:line="216" w:lineRule="auto"/>
        <w:ind w:left="0" w:firstLine="0"/>
        <w:rPr>
          <w:rFonts w:ascii="Simplified Arabic" w:hAnsi="Simplified Arabic" w:cs="Simplified Arabic"/>
        </w:rPr>
      </w:pPr>
      <w:r w:rsidRPr="00697943">
        <w:rPr>
          <w:rFonts w:ascii="Simplified Arabic" w:hAnsi="Simplified Arabic" w:cs="Simplified Arabic"/>
          <w:rtl/>
        </w:rPr>
        <w:lastRenderedPageBreak/>
        <w:t>و</w:t>
      </w:r>
      <w:r w:rsidR="00465AB5">
        <w:rPr>
          <w:rFonts w:ascii="Simplified Arabic" w:hAnsi="Simplified Arabic" w:cs="Simplified Arabic" w:hint="cs"/>
          <w:rtl/>
          <w:lang w:bidi="ar-LY"/>
        </w:rPr>
        <w:t>استمع</w:t>
      </w:r>
      <w:r w:rsidR="00465AB5" w:rsidRPr="00697943">
        <w:rPr>
          <w:rFonts w:ascii="Simplified Arabic" w:hAnsi="Simplified Arabic" w:cs="Simplified Arabic"/>
          <w:rtl/>
          <w:lang w:bidi="ar-LY"/>
        </w:rPr>
        <w:t xml:space="preserve"> مؤتمر الأطراف </w:t>
      </w:r>
      <w:r w:rsidR="00465AB5">
        <w:rPr>
          <w:rFonts w:ascii="Simplified Arabic" w:hAnsi="Simplified Arabic" w:cs="Simplified Arabic" w:hint="cs"/>
          <w:rtl/>
          <w:lang w:bidi="ar-LY"/>
        </w:rPr>
        <w:t>إلى تقرير مرحلي قدمه رئيس فريق الاتصال المفتوح العضوية المعني بالميزانية</w:t>
      </w:r>
      <w:r w:rsidR="00465AB5" w:rsidRPr="00697943">
        <w:rPr>
          <w:rFonts w:ascii="Simplified Arabic" w:hAnsi="Simplified Arabic" w:cs="Simplified Arabic"/>
          <w:rtl/>
        </w:rPr>
        <w:t xml:space="preserve"> </w:t>
      </w:r>
      <w:r w:rsidRPr="00697943">
        <w:rPr>
          <w:rFonts w:ascii="Simplified Arabic" w:hAnsi="Simplified Arabic" w:cs="Simplified Arabic"/>
          <w:rtl/>
        </w:rPr>
        <w:t xml:space="preserve">في </w:t>
      </w:r>
      <w:r w:rsidRPr="00697943">
        <w:rPr>
          <w:rFonts w:ascii="Simplified Arabic" w:hAnsi="Simplified Arabic" w:cs="Simplified Arabic"/>
          <w:rtl/>
          <w:lang w:bidi="ar-LY"/>
        </w:rPr>
        <w:t>الجلسة العامة ال</w:t>
      </w:r>
      <w:r w:rsidR="00A35AF8">
        <w:rPr>
          <w:rFonts w:ascii="Simplified Arabic" w:hAnsi="Simplified Arabic" w:cs="Simplified Arabic" w:hint="cs"/>
          <w:rtl/>
          <w:lang w:bidi="ar-LY"/>
        </w:rPr>
        <w:t>رابع</w:t>
      </w:r>
      <w:r w:rsidRPr="00697943">
        <w:rPr>
          <w:rFonts w:ascii="Simplified Arabic" w:hAnsi="Simplified Arabic" w:cs="Simplified Arabic"/>
          <w:rtl/>
          <w:lang w:bidi="ar-LY"/>
        </w:rPr>
        <w:t>ة، المنعقدة في 2</w:t>
      </w:r>
      <w:r w:rsidR="00A35AF8">
        <w:rPr>
          <w:rFonts w:ascii="Simplified Arabic" w:hAnsi="Simplified Arabic" w:cs="Simplified Arabic" w:hint="cs"/>
          <w:rtl/>
          <w:lang w:bidi="ar-LY"/>
        </w:rPr>
        <w:t>2</w:t>
      </w:r>
      <w:r w:rsidRPr="00697943">
        <w:rPr>
          <w:rFonts w:ascii="Simplified Arabic" w:hAnsi="Simplified Arabic" w:cs="Simplified Arabic"/>
          <w:rtl/>
          <w:lang w:bidi="ar-LY"/>
        </w:rPr>
        <w:t xml:space="preserve"> </w:t>
      </w:r>
      <w:r w:rsidRPr="00697943">
        <w:rPr>
          <w:rFonts w:ascii="Simplified Arabic" w:hAnsi="Simplified Arabic" w:cs="Simplified Arabic"/>
          <w:rtl/>
        </w:rPr>
        <w:t>نوفمبر/تشرين الثاني 2018</w:t>
      </w:r>
      <w:r w:rsidRPr="00697943">
        <w:rPr>
          <w:rFonts w:ascii="Simplified Arabic" w:hAnsi="Simplified Arabic" w:cs="Simplified Arabic"/>
          <w:rtl/>
          <w:lang w:bidi="ar-LY"/>
        </w:rPr>
        <w:t>،</w:t>
      </w:r>
      <w:r w:rsidR="00A35AF8">
        <w:rPr>
          <w:rFonts w:ascii="Simplified Arabic" w:hAnsi="Simplified Arabic" w:cs="Simplified Arabic" w:hint="cs"/>
          <w:rtl/>
          <w:lang w:bidi="ar-LY"/>
        </w:rPr>
        <w:t xml:space="preserve"> والجلسة العامة الخامسة، المنعقدة في 25 نوفمبر/تشرين الثاني 2018، والجلسة العامة السادسة، المنعقدة في 28 نوفمبر/تشرين الثاني 2018</w:t>
      </w:r>
      <w:r w:rsidRPr="00697943">
        <w:rPr>
          <w:rFonts w:ascii="Simplified Arabic" w:hAnsi="Simplified Arabic" w:cs="Simplified Arabic"/>
          <w:rtl/>
          <w:lang w:bidi="ar-LY"/>
        </w:rPr>
        <w:t>.</w:t>
      </w:r>
    </w:p>
    <w:p w:rsidR="00192C17" w:rsidRDefault="00EF76D8" w:rsidP="00FF7FA5">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الثامنة، المنعقدة في 29 نوفمبر/تشرين الثاني 2018، تناول مؤتمر الأطراف بحث مشروع المقرر </w:t>
      </w:r>
      <w:r w:rsidRPr="00DC65D8">
        <w:rPr>
          <w:kern w:val="22"/>
        </w:rPr>
        <w:t>CBD/COP/14/L.37</w:t>
      </w:r>
      <w:r>
        <w:rPr>
          <w:rFonts w:cs="Simplified Arabic" w:hint="cs"/>
          <w:rtl/>
        </w:rPr>
        <w:t>، بشأن الميزانية لبرنامج العمل المتكامل للأمانة.</w:t>
      </w:r>
    </w:p>
    <w:p w:rsidR="00192C17" w:rsidRDefault="00EF76D8" w:rsidP="00FF7FA5">
      <w:pPr>
        <w:pStyle w:val="ListParagraph"/>
        <w:numPr>
          <w:ilvl w:val="0"/>
          <w:numId w:val="6"/>
        </w:numPr>
        <w:bidi/>
        <w:spacing w:line="216" w:lineRule="auto"/>
        <w:ind w:left="0" w:firstLine="0"/>
        <w:rPr>
          <w:rFonts w:cs="Simplified Arabic"/>
        </w:rPr>
      </w:pPr>
      <w:r>
        <w:rPr>
          <w:rFonts w:cs="Simplified Arabic" w:hint="cs"/>
          <w:rtl/>
        </w:rPr>
        <w:t>وأدلى ببيانين ممثلا الصين واليابان.</w:t>
      </w:r>
    </w:p>
    <w:p w:rsidR="00192C17" w:rsidRDefault="00EF76D8" w:rsidP="00FF7FA5">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DC65D8">
        <w:rPr>
          <w:kern w:val="22"/>
        </w:rPr>
        <w:t>CBD/COP/14/L.37</w:t>
      </w:r>
      <w:r>
        <w:rPr>
          <w:rFonts w:cs="Simplified Arabic" w:hint="cs"/>
          <w:rtl/>
        </w:rPr>
        <w:t>، بصيغته المعدلة شفويا</w:t>
      </w:r>
      <w:r w:rsidR="00C07061">
        <w:rPr>
          <w:rFonts w:cs="Simplified Arabic" w:hint="cs"/>
          <w:rtl/>
        </w:rPr>
        <w:t>ً</w:t>
      </w:r>
      <w:r>
        <w:rPr>
          <w:rFonts w:cs="Simplified Arabic" w:hint="cs"/>
          <w:rtl/>
        </w:rPr>
        <w:t>، بوصفه المقرر 14/37 (</w:t>
      </w:r>
      <w:r w:rsidR="00C07061">
        <w:rPr>
          <w:rFonts w:cs="Simplified Arabic" w:hint="cs"/>
          <w:rtl/>
        </w:rPr>
        <w:t xml:space="preserve">للاطلاع على </w:t>
      </w:r>
      <w:r>
        <w:rPr>
          <w:rFonts w:cs="Simplified Arabic" w:hint="cs"/>
          <w:rtl/>
        </w:rPr>
        <w:t>نص المقرر، انظر الفصل الأول).</w:t>
      </w:r>
    </w:p>
    <w:p w:rsidR="00192C17" w:rsidRDefault="00EF76D8" w:rsidP="00FF7FA5">
      <w:pPr>
        <w:pStyle w:val="ListParagraph"/>
        <w:numPr>
          <w:ilvl w:val="0"/>
          <w:numId w:val="6"/>
        </w:numPr>
        <w:bidi/>
        <w:spacing w:line="216" w:lineRule="auto"/>
        <w:ind w:left="0" w:firstLine="0"/>
        <w:rPr>
          <w:rFonts w:cs="Simplified Arabic"/>
        </w:rPr>
      </w:pPr>
      <w:r>
        <w:rPr>
          <w:rFonts w:cs="Simplified Arabic" w:hint="cs"/>
          <w:rtl/>
        </w:rPr>
        <w:t>وعقب اعتماد المقرر، أعلن ممثلو النرويج وجنوب أفريقيا وكن</w:t>
      </w:r>
      <w:r w:rsidR="00C07061">
        <w:rPr>
          <w:rFonts w:cs="Simplified Arabic" w:hint="cs"/>
          <w:rtl/>
        </w:rPr>
        <w:t>د</w:t>
      </w:r>
      <w:r>
        <w:rPr>
          <w:rFonts w:cs="Simplified Arabic" w:hint="cs"/>
          <w:rtl/>
        </w:rPr>
        <w:t>ا عن تعهدات قيمتها 000</w:t>
      </w:r>
      <w:r>
        <w:rPr>
          <w:rFonts w:cs="Simplified Arabic" w:hint="eastAsia"/>
          <w:rtl/>
        </w:rPr>
        <w:t> 50 دولار</w:t>
      </w:r>
      <w:r w:rsidR="00806392">
        <w:rPr>
          <w:rFonts w:cs="Simplified Arabic" w:hint="cs"/>
          <w:rtl/>
        </w:rPr>
        <w:t>ا</w:t>
      </w:r>
      <w:r>
        <w:rPr>
          <w:rFonts w:cs="Simplified Arabic" w:hint="eastAsia"/>
          <w:rtl/>
        </w:rPr>
        <w:t>،</w:t>
      </w:r>
      <w:r>
        <w:rPr>
          <w:rFonts w:cs="Simplified Arabic" w:hint="cs"/>
          <w:rtl/>
        </w:rPr>
        <w:t xml:space="preserve"> و000 50 دولار</w:t>
      </w:r>
      <w:r w:rsidR="00806392">
        <w:rPr>
          <w:rFonts w:cs="Simplified Arabic" w:hint="cs"/>
          <w:rtl/>
        </w:rPr>
        <w:t>ا</w:t>
      </w:r>
      <w:r>
        <w:rPr>
          <w:rFonts w:cs="Simplified Arabic" w:hint="cs"/>
          <w:rtl/>
        </w:rPr>
        <w:t xml:space="preserve"> و000</w:t>
      </w:r>
      <w:r>
        <w:rPr>
          <w:rFonts w:cs="Simplified Arabic" w:hint="eastAsia"/>
          <w:rtl/>
        </w:rPr>
        <w:t> 1</w:t>
      </w:r>
      <w:r>
        <w:rPr>
          <w:rFonts w:cs="Simplified Arabic" w:hint="cs"/>
          <w:rtl/>
        </w:rPr>
        <w:t xml:space="preserve">9 دولارا، على التوالي، للصندوق الاستئماني الطوعي الخاص لتيسير مشاركة الأطراف في عملية الاتفاقية (الصندوق الاستئماني </w:t>
      </w:r>
      <w:r>
        <w:rPr>
          <w:rFonts w:cs="Simplified Arabic"/>
          <w:lang w:val="en-US"/>
        </w:rPr>
        <w:t>BZ</w:t>
      </w:r>
      <w:r>
        <w:rPr>
          <w:rFonts w:cs="Simplified Arabic" w:hint="cs"/>
          <w:rtl/>
        </w:rPr>
        <w:t>)، ولاسيما لدعم مشاركة الأطراف من البلدان النامية في اجتماعات الاتفاقية وهيئاتها الفرعية خلال فترة السنتين 2019-2020.</w:t>
      </w:r>
    </w:p>
    <w:p w:rsidR="00192C17" w:rsidRDefault="00806392" w:rsidP="003A1E82">
      <w:pPr>
        <w:pStyle w:val="ListParagraph"/>
        <w:numPr>
          <w:ilvl w:val="0"/>
          <w:numId w:val="6"/>
        </w:numPr>
        <w:bidi/>
        <w:spacing w:line="216" w:lineRule="auto"/>
        <w:ind w:left="0" w:firstLine="0"/>
        <w:rPr>
          <w:rFonts w:cs="Simplified Arabic"/>
        </w:rPr>
      </w:pPr>
      <w:r>
        <w:rPr>
          <w:rFonts w:cs="Simplified Arabic" w:hint="cs"/>
          <w:rtl/>
        </w:rPr>
        <w:t>وأعلن ممثل عن الاتحاد</w:t>
      </w:r>
      <w:r w:rsidR="003A1E82">
        <w:rPr>
          <w:rFonts w:cs="Simplified Arabic" w:hint="cs"/>
          <w:rtl/>
        </w:rPr>
        <w:t xml:space="preserve"> الأوروبي ودوله الأعضاء الثماني</w:t>
      </w:r>
      <w:r>
        <w:rPr>
          <w:rFonts w:cs="Simplified Arabic" w:hint="cs"/>
          <w:rtl/>
        </w:rPr>
        <w:t xml:space="preserve"> والعشر</w:t>
      </w:r>
      <w:r w:rsidR="003A1E82">
        <w:rPr>
          <w:rFonts w:cs="Simplified Arabic" w:hint="cs"/>
          <w:rtl/>
        </w:rPr>
        <w:t>ي</w:t>
      </w:r>
      <w:r>
        <w:rPr>
          <w:rFonts w:cs="Simplified Arabic" w:hint="cs"/>
          <w:rtl/>
        </w:rPr>
        <w:t xml:space="preserve">ن عن تعهد للصندوق الاستئماني </w:t>
      </w:r>
      <w:r>
        <w:rPr>
          <w:rFonts w:cs="Simplified Arabic"/>
          <w:lang w:val="en-US"/>
        </w:rPr>
        <w:t>BZ</w:t>
      </w:r>
      <w:r>
        <w:rPr>
          <w:rFonts w:cs="Simplified Arabic" w:hint="cs"/>
          <w:rtl/>
        </w:rPr>
        <w:t xml:space="preserve"> بمقدار 000 2</w:t>
      </w:r>
      <w:r w:rsidR="00E95D16">
        <w:rPr>
          <w:rFonts w:cs="Simplified Arabic" w:hint="cs"/>
          <w:rtl/>
        </w:rPr>
        <w:t>0</w:t>
      </w:r>
      <w:r>
        <w:rPr>
          <w:rFonts w:cs="Simplified Arabic" w:hint="cs"/>
          <w:rtl/>
        </w:rPr>
        <w:t>0 دولارات، الذي كانت المفوضية الأوروبية قد وافقت عليه.</w:t>
      </w:r>
    </w:p>
    <w:p w:rsidR="00192C17" w:rsidRDefault="00806392" w:rsidP="00FF7FA5">
      <w:pPr>
        <w:pStyle w:val="ListParagraph"/>
        <w:numPr>
          <w:ilvl w:val="0"/>
          <w:numId w:val="6"/>
        </w:numPr>
        <w:bidi/>
        <w:spacing w:line="216" w:lineRule="auto"/>
        <w:ind w:left="0" w:firstLine="0"/>
        <w:rPr>
          <w:rFonts w:cs="Simplified Arabic"/>
        </w:rPr>
      </w:pPr>
      <w:r>
        <w:rPr>
          <w:rFonts w:cs="Simplified Arabic" w:hint="cs"/>
          <w:rtl/>
        </w:rPr>
        <w:t xml:space="preserve">وأعلن ممثل ألمانيا عن تعهد بمقدار 000 200 يورو للصندوق الاستئماني </w:t>
      </w:r>
      <w:r>
        <w:rPr>
          <w:rFonts w:cs="Simplified Arabic"/>
          <w:lang w:val="en-US"/>
        </w:rPr>
        <w:t>BZ</w:t>
      </w:r>
      <w:r>
        <w:rPr>
          <w:rFonts w:cs="Simplified Arabic" w:hint="cs"/>
          <w:rtl/>
          <w:lang w:val="en-US"/>
        </w:rPr>
        <w:t xml:space="preserve"> لعام 2019 ومبلغ إضافي ق</w:t>
      </w:r>
      <w:r w:rsidR="00E95D16">
        <w:rPr>
          <w:rFonts w:cs="Simplified Arabic" w:hint="cs"/>
          <w:rtl/>
          <w:lang w:val="en-US"/>
        </w:rPr>
        <w:t>د</w:t>
      </w:r>
      <w:r>
        <w:rPr>
          <w:rFonts w:cs="Simplified Arabic" w:hint="cs"/>
          <w:rtl/>
          <w:lang w:val="en-US"/>
        </w:rPr>
        <w:t>ره 000 40 يورو (</w:t>
      </w:r>
      <w:r>
        <w:rPr>
          <w:rFonts w:cs="Simplified Arabic" w:hint="cs"/>
          <w:rtl/>
        </w:rPr>
        <w:t>524 45 دولارا) لدعم الشراكة المعنية بتحقيق الهدف 11 من أهداف أيشي للتنوع البيولوجي.</w:t>
      </w:r>
    </w:p>
    <w:p w:rsidR="004E4086" w:rsidRDefault="00806392" w:rsidP="00FF7FA5">
      <w:pPr>
        <w:pStyle w:val="ListParagraph"/>
        <w:numPr>
          <w:ilvl w:val="0"/>
          <w:numId w:val="6"/>
        </w:numPr>
        <w:bidi/>
        <w:spacing w:line="216" w:lineRule="auto"/>
        <w:ind w:left="0" w:firstLine="0"/>
        <w:rPr>
          <w:rFonts w:cs="Simplified Arabic"/>
        </w:rPr>
      </w:pPr>
      <w:r>
        <w:rPr>
          <w:rFonts w:cs="Simplified Arabic" w:hint="cs"/>
          <w:rtl/>
        </w:rPr>
        <w:t xml:space="preserve">وأعلن ممثل عن فنلندا عن مساهمة طوعية بمقدار 000 50 يورو للصندوق الاستئماني </w:t>
      </w:r>
      <w:r>
        <w:rPr>
          <w:rFonts w:cs="Simplified Arabic"/>
          <w:lang w:val="en-US"/>
        </w:rPr>
        <w:t>BZ</w:t>
      </w:r>
      <w:r>
        <w:rPr>
          <w:rFonts w:cs="Simplified Arabic" w:hint="cs"/>
          <w:rtl/>
          <w:lang w:val="en-US"/>
        </w:rPr>
        <w:t>، لمشاركة البلدان النامية، وعلى رأسها أقل البلدان نموا والدول الجزرية الصغيرة النامية في اجتماعات مؤتمر الأطراف وهيئاته الفرعية خلال فترة السنتين 2019-2020.</w:t>
      </w:r>
    </w:p>
    <w:p w:rsidR="00697943" w:rsidRPr="00697943" w:rsidRDefault="00697943" w:rsidP="00094717">
      <w:pPr>
        <w:pStyle w:val="ListParagraph"/>
        <w:tabs>
          <w:tab w:val="left" w:pos="1170"/>
        </w:tabs>
        <w:bidi/>
        <w:spacing w:line="216" w:lineRule="auto"/>
        <w:ind w:left="2880" w:right="1440" w:hanging="1170"/>
        <w:jc w:val="left"/>
        <w:outlineLvl w:val="1"/>
        <w:rPr>
          <w:rFonts w:cs="Simplified Arabic"/>
          <w:b/>
          <w:bCs/>
        </w:rPr>
      </w:pPr>
      <w:bookmarkStart w:id="224" w:name="_Toc6140011"/>
      <w:r w:rsidRPr="00697943">
        <w:rPr>
          <w:rFonts w:cs="Simplified Arabic" w:hint="cs"/>
          <w:b/>
          <w:bCs/>
          <w:rtl/>
        </w:rPr>
        <w:t>البند 8 -</w:t>
      </w:r>
      <w:r w:rsidRPr="00697943">
        <w:rPr>
          <w:rFonts w:cs="Simplified Arabic" w:hint="cs"/>
          <w:b/>
          <w:bCs/>
          <w:rtl/>
        </w:rPr>
        <w:tab/>
        <w:t>استعراض التقدم المحرز في تنفيذ الاتفاقية والخطة الاستراتيجية للتنوع البيولوجي 2011-2020</w:t>
      </w:r>
      <w:bookmarkEnd w:id="224"/>
    </w:p>
    <w:p w:rsidR="0039018D" w:rsidRPr="00997CAE" w:rsidRDefault="0039018D" w:rsidP="00EF6B50">
      <w:pPr>
        <w:tabs>
          <w:tab w:val="left" w:pos="1814"/>
          <w:tab w:val="left" w:pos="2948"/>
          <w:tab w:val="left" w:pos="3515"/>
          <w:tab w:val="left" w:pos="4014"/>
        </w:tabs>
        <w:ind w:right="176"/>
        <w:jc w:val="center"/>
        <w:rPr>
          <w:i/>
          <w:iCs/>
          <w:snapToGrid w:val="0"/>
          <w:kern w:val="22"/>
          <w:rtl/>
        </w:rPr>
      </w:pPr>
      <w:r w:rsidRPr="00997CAE">
        <w:rPr>
          <w:rFonts w:hint="cs"/>
          <w:i/>
          <w:iCs/>
          <w:snapToGrid w:val="0"/>
          <w:kern w:val="22"/>
          <w:rtl/>
        </w:rPr>
        <w:t xml:space="preserve">تقييم واستعراض </w:t>
      </w:r>
      <w:r w:rsidRPr="00997CAE">
        <w:rPr>
          <w:i/>
          <w:iCs/>
          <w:snapToGrid w:val="0"/>
          <w:kern w:val="22"/>
          <w:rtl/>
        </w:rPr>
        <w:t>للتقدم المحرز نحو تحقيق أهداف أيشي للتنوع البيولوجي</w:t>
      </w:r>
      <w:r w:rsidRPr="00997CAE">
        <w:rPr>
          <w:rFonts w:hint="cs"/>
          <w:i/>
          <w:iCs/>
          <w:snapToGrid w:val="0"/>
          <w:kern w:val="22"/>
          <w:rtl/>
        </w:rPr>
        <w:t xml:space="preserve"> وخيارات لتعجيل التقدم</w:t>
      </w:r>
    </w:p>
    <w:p w:rsidR="0039018D" w:rsidRPr="00B54CF7" w:rsidRDefault="0039018D" w:rsidP="00EF6B50">
      <w:pPr>
        <w:pStyle w:val="ListParagraph"/>
        <w:numPr>
          <w:ilvl w:val="0"/>
          <w:numId w:val="6"/>
        </w:numPr>
        <w:bidi/>
        <w:spacing w:line="216" w:lineRule="auto"/>
        <w:ind w:left="0" w:firstLine="0"/>
        <w:rPr>
          <w:rFonts w:cs="Simplified Arabic"/>
          <w:kern w:val="22"/>
          <w:rtl/>
        </w:rPr>
      </w:pPr>
      <w:r w:rsidRPr="00B54CF7">
        <w:rPr>
          <w:rFonts w:cs="Simplified Arabic" w:hint="cs"/>
          <w:snapToGrid w:val="0"/>
          <w:kern w:val="22"/>
          <w:rtl/>
        </w:rPr>
        <w:t xml:space="preserve">تناول الفريق العامل الأول الجانب الأول من البند 8 من جدول الأعمال خلال اجتماعه الأول، في 18 </w:t>
      </w:r>
      <w:r w:rsidRPr="00B54CF7">
        <w:rPr>
          <w:rFonts w:cs="Simplified Arabic"/>
          <w:snapToGrid w:val="0"/>
          <w:kern w:val="22"/>
          <w:rtl/>
        </w:rPr>
        <w:t>نوفمبر/تشرين</w:t>
      </w:r>
      <w:r w:rsidRPr="00B54CF7">
        <w:rPr>
          <w:rFonts w:cs="Simplified Arabic" w:hint="cs"/>
          <w:snapToGrid w:val="0"/>
          <w:kern w:val="22"/>
          <w:rtl/>
        </w:rPr>
        <w:t xml:space="preserve"> </w:t>
      </w:r>
      <w:r w:rsidRPr="00B54CF7">
        <w:rPr>
          <w:rFonts w:cs="Simplified Arabic"/>
          <w:snapToGrid w:val="0"/>
          <w:kern w:val="22"/>
          <w:rtl/>
        </w:rPr>
        <w:t>الثاني</w:t>
      </w:r>
      <w:r w:rsidRPr="00B54CF7">
        <w:rPr>
          <w:rFonts w:cs="Simplified Arabic" w:hint="cs"/>
          <w:snapToGrid w:val="0"/>
          <w:kern w:val="22"/>
          <w:rtl/>
        </w:rPr>
        <w:t xml:space="preserve"> </w:t>
      </w:r>
      <w:r w:rsidRPr="00B54CF7">
        <w:rPr>
          <w:rFonts w:cs="Simplified Arabic"/>
          <w:snapToGrid w:val="0"/>
          <w:kern w:val="22"/>
          <w:rtl/>
        </w:rPr>
        <w:t>2018</w:t>
      </w:r>
      <w:r w:rsidRPr="00B54CF7">
        <w:rPr>
          <w:rFonts w:cs="Simplified Arabic" w:hint="cs"/>
          <w:snapToGrid w:val="0"/>
          <w:kern w:val="22"/>
          <w:rtl/>
        </w:rPr>
        <w:t xml:space="preserve">. </w:t>
      </w:r>
      <w:r w:rsidRPr="00B54CF7">
        <w:rPr>
          <w:rFonts w:cs="Simplified Arabic"/>
          <w:rtl/>
        </w:rPr>
        <w:t>وكان معروضا على الفريق العامل في غضون نظره في البند</w:t>
      </w:r>
      <w:r w:rsidRPr="00B54CF7">
        <w:rPr>
          <w:rFonts w:cs="Simplified Arabic" w:hint="cs"/>
          <w:rtl/>
        </w:rPr>
        <w:t xml:space="preserve"> مشروع مقرّر بشأن</w:t>
      </w:r>
      <w:r w:rsidRPr="00B54CF7">
        <w:rPr>
          <w:rFonts w:cs="Simplified Arabic"/>
          <w:rtl/>
        </w:rPr>
        <w:t xml:space="preserve"> التوصي</w:t>
      </w:r>
      <w:r w:rsidR="00EF6B50">
        <w:rPr>
          <w:rFonts w:cs="Simplified Arabic" w:hint="cs"/>
          <w:rtl/>
        </w:rPr>
        <w:t xml:space="preserve">ة 22/4 للهيئة الفرعية للمشورة العلمية والتقنية والتكنولوجية والتوصية 2/1 للهيئة الفرعية للتنفيذ </w:t>
      </w:r>
      <w:r w:rsidRPr="00EF6B50">
        <w:rPr>
          <w:rFonts w:cs="Simplified Arabic"/>
          <w:i/>
          <w:kern w:val="22"/>
          <w:rtl/>
        </w:rPr>
        <w:t>المبينتين</w:t>
      </w:r>
      <w:r w:rsidRPr="00B54CF7">
        <w:rPr>
          <w:rFonts w:cs="Simplified Arabic"/>
          <w:iCs/>
          <w:kern w:val="22"/>
          <w:rtl/>
        </w:rPr>
        <w:t xml:space="preserve"> </w:t>
      </w:r>
      <w:r w:rsidRPr="00B54CF7">
        <w:rPr>
          <w:rFonts w:cs="Simplified Arabic"/>
          <w:i/>
          <w:kern w:val="22"/>
          <w:rtl/>
        </w:rPr>
        <w:t>في تجميع مشاريع المقررات</w:t>
      </w:r>
      <w:r w:rsidRPr="00B54CF7">
        <w:rPr>
          <w:rFonts w:cs="Simplified Arabic" w:hint="cs"/>
          <w:i/>
          <w:kern w:val="22"/>
          <w:rtl/>
        </w:rPr>
        <w:t xml:space="preserve"> </w:t>
      </w:r>
      <w:r w:rsidRPr="00B54CF7">
        <w:rPr>
          <w:rFonts w:cs="Simplified Arabic"/>
          <w:kern w:val="22"/>
        </w:rPr>
        <w:t>(</w:t>
      </w:r>
      <w:r w:rsidRPr="00B54CF7">
        <w:rPr>
          <w:rFonts w:cs="Simplified Arabic"/>
          <w:color w:val="000000"/>
          <w:kern w:val="22"/>
        </w:rPr>
        <w:t>CBD/COP/14/2)</w:t>
      </w:r>
      <w:r w:rsidRPr="00B54CF7">
        <w:rPr>
          <w:rFonts w:cs="Simplified Arabic" w:hint="cs"/>
          <w:color w:val="000000"/>
          <w:kern w:val="22"/>
          <w:rtl/>
        </w:rPr>
        <w:t xml:space="preserve">. </w:t>
      </w:r>
      <w:r w:rsidRPr="00B54CF7">
        <w:rPr>
          <w:rFonts w:cs="Simplified Arabic"/>
          <w:color w:val="000000"/>
          <w:kern w:val="22"/>
          <w:rtl/>
        </w:rPr>
        <w:t>كما كان معروضا على الفريق العامل</w:t>
      </w:r>
      <w:r w:rsidRPr="00B54CF7">
        <w:rPr>
          <w:rFonts w:cs="Simplified Arabic" w:hint="cs"/>
          <w:color w:val="000000"/>
          <w:kern w:val="22"/>
          <w:rtl/>
        </w:rPr>
        <w:t xml:space="preserve"> </w:t>
      </w:r>
      <w:r w:rsidRPr="00B54CF7">
        <w:rPr>
          <w:rFonts w:cs="Simplified Arabic"/>
          <w:color w:val="000000"/>
          <w:kern w:val="22"/>
          <w:rtl/>
        </w:rPr>
        <w:t xml:space="preserve">مذكرة </w:t>
      </w:r>
      <w:r w:rsidR="00EF6B50">
        <w:rPr>
          <w:rFonts w:cs="Simplified Arabic" w:hint="cs"/>
          <w:color w:val="000000"/>
          <w:kern w:val="22"/>
          <w:rtl/>
        </w:rPr>
        <w:t>أعدتها</w:t>
      </w:r>
      <w:r w:rsidRPr="00B54CF7">
        <w:rPr>
          <w:rFonts w:cs="Simplified Arabic"/>
          <w:color w:val="000000"/>
          <w:kern w:val="22"/>
          <w:rtl/>
        </w:rPr>
        <w:t xml:space="preserve"> الأمينة التنفيذية</w:t>
      </w:r>
      <w:r w:rsidRPr="00B54CF7">
        <w:rPr>
          <w:rFonts w:cs="Simplified Arabic" w:hint="cs"/>
          <w:color w:val="000000"/>
          <w:kern w:val="22"/>
          <w:rtl/>
        </w:rPr>
        <w:t xml:space="preserve"> بشأن التقدم المحرز في تنفيذ الاتفاقية والخطة الاستراتيجية للتنوع البيولوجي 2011-2020 وتحقيق </w:t>
      </w:r>
      <w:r w:rsidRPr="00B54CF7">
        <w:rPr>
          <w:rFonts w:cs="Simplified Arabic"/>
          <w:color w:val="000000"/>
          <w:kern w:val="22"/>
          <w:rtl/>
        </w:rPr>
        <w:t>أهداف أيشي للتنوع البيولوجي</w:t>
      </w:r>
      <w:r w:rsidRPr="00B54CF7">
        <w:rPr>
          <w:rFonts w:cs="Simplified Arabic" w:hint="cs"/>
          <w:color w:val="000000"/>
          <w:kern w:val="22"/>
          <w:rtl/>
        </w:rPr>
        <w:t xml:space="preserve"> </w:t>
      </w:r>
      <w:r w:rsidRPr="00B54CF7">
        <w:rPr>
          <w:rFonts w:cs="Simplified Arabic"/>
          <w:kern w:val="22"/>
        </w:rPr>
        <w:t>(CBD/COP/14/5)</w:t>
      </w:r>
      <w:r w:rsidRPr="00B54CF7">
        <w:rPr>
          <w:rFonts w:cs="Simplified Arabic" w:hint="cs"/>
          <w:kern w:val="22"/>
          <w:rtl/>
        </w:rPr>
        <w:t xml:space="preserve">، ومستجدات </w:t>
      </w:r>
      <w:r w:rsidRPr="00B54CF7">
        <w:rPr>
          <w:rFonts w:cs="Simplified Arabic"/>
          <w:kern w:val="22"/>
          <w:rtl/>
        </w:rPr>
        <w:t xml:space="preserve">عن التقدم المحرز في تنقيح واستكمال وتنفيذ </w:t>
      </w:r>
      <w:r w:rsidR="00EF6B50">
        <w:rPr>
          <w:rFonts w:eastAsia="YouYuan" w:cs="Simplified Arabic" w:hint="cs"/>
          <w:kern w:val="2"/>
          <w:rtl/>
        </w:rPr>
        <w:t>ا</w:t>
      </w:r>
      <w:r w:rsidRPr="00B54CF7">
        <w:rPr>
          <w:rFonts w:eastAsia="YouYuan" w:cs="Simplified Arabic"/>
          <w:kern w:val="2"/>
          <w:rtl/>
        </w:rPr>
        <w:t>لاستراتيجيات</w:t>
      </w:r>
      <w:r w:rsidRPr="00B54CF7">
        <w:rPr>
          <w:rFonts w:eastAsia="YouYuan" w:cs="Simplified Arabic" w:hint="cs"/>
          <w:kern w:val="2"/>
          <w:rtl/>
        </w:rPr>
        <w:t xml:space="preserve"> </w:t>
      </w:r>
      <w:r w:rsidRPr="00B54CF7">
        <w:rPr>
          <w:rFonts w:eastAsia="YouYuan" w:cs="Simplified Arabic"/>
          <w:kern w:val="2"/>
          <w:rtl/>
        </w:rPr>
        <w:t>وخطط العمل الوطنية للتنوع البيولوجي</w:t>
      </w:r>
      <w:r w:rsidRPr="00B54CF7">
        <w:rPr>
          <w:rFonts w:eastAsia="YouYuan" w:cs="Simplified Arabic" w:hint="cs"/>
          <w:kern w:val="2"/>
          <w:rtl/>
        </w:rPr>
        <w:t xml:space="preserve">، بما في ذلك الأهداف الوطنية </w:t>
      </w:r>
      <w:r w:rsidRPr="00B54CF7">
        <w:rPr>
          <w:rFonts w:cs="Simplified Arabic"/>
          <w:kern w:val="22"/>
        </w:rPr>
        <w:t>(CBD/COP/14/5/Add.1)</w:t>
      </w:r>
      <w:r w:rsidRPr="00B54CF7">
        <w:rPr>
          <w:rFonts w:cs="Simplified Arabic" w:hint="cs"/>
          <w:kern w:val="22"/>
          <w:rtl/>
        </w:rPr>
        <w:t xml:space="preserve">، </w:t>
      </w:r>
      <w:r w:rsidRPr="00B54CF7">
        <w:rPr>
          <w:rFonts w:cs="Simplified Arabic"/>
          <w:kern w:val="22"/>
          <w:rtl/>
        </w:rPr>
        <w:t>وتحليل إسهام الأهداف التي وضعتها الأطراف والتقدم المحرز في تحقيق أهداف أيشي للتنوع البيولوجي</w:t>
      </w:r>
      <w:r w:rsidRPr="00B54CF7">
        <w:rPr>
          <w:rFonts w:cs="Simplified Arabic" w:hint="cs"/>
          <w:kern w:val="22"/>
          <w:rtl/>
        </w:rPr>
        <w:t xml:space="preserve"> </w:t>
      </w:r>
      <w:r w:rsidRPr="00B54CF7">
        <w:rPr>
          <w:rFonts w:cs="Simplified Arabic"/>
          <w:kern w:val="22"/>
        </w:rPr>
        <w:t>(CBD/COP/14/5/Add.2)</w:t>
      </w:r>
      <w:r w:rsidRPr="00B54CF7">
        <w:rPr>
          <w:rFonts w:cs="Simplified Arabic" w:hint="cs"/>
          <w:kern w:val="22"/>
          <w:rtl/>
        </w:rPr>
        <w:t>. كما كانت</w:t>
      </w:r>
      <w:r w:rsidRPr="00B54CF7">
        <w:rPr>
          <w:rFonts w:cs="Simplified Arabic"/>
          <w:kern w:val="22"/>
          <w:rtl/>
        </w:rPr>
        <w:t xml:space="preserve"> وثائق </w:t>
      </w:r>
      <w:r w:rsidR="00EF6B50">
        <w:rPr>
          <w:rFonts w:cs="Simplified Arabic" w:hint="cs"/>
          <w:kern w:val="22"/>
          <w:rtl/>
        </w:rPr>
        <w:t>معلومات</w:t>
      </w:r>
      <w:r w:rsidRPr="00B54CF7">
        <w:rPr>
          <w:rFonts w:cs="Simplified Arabic" w:hint="cs"/>
          <w:kern w:val="22"/>
          <w:rtl/>
        </w:rPr>
        <w:t xml:space="preserve"> متاحة </w:t>
      </w:r>
      <w:r w:rsidRPr="00B54CF7">
        <w:rPr>
          <w:rFonts w:cs="Simplified Arabic"/>
          <w:rtl/>
        </w:rPr>
        <w:t>عن منتدى المبادرة العالمية للتصنيف: "إزالة العوائق التصنيفية لجميع المواطنين"</w:t>
      </w:r>
      <w:r w:rsidRPr="00B54CF7">
        <w:rPr>
          <w:rFonts w:cs="Simplified Arabic" w:hint="cs"/>
          <w:rtl/>
        </w:rPr>
        <w:t xml:space="preserve">، </w:t>
      </w:r>
      <w:r w:rsidRPr="00B54CF7">
        <w:rPr>
          <w:rFonts w:cs="Simplified Arabic"/>
          <w:color w:val="000000" w:themeColor="text1"/>
        </w:rPr>
        <w:t>(CBD/COP/14/INF/12 and Add.)</w:t>
      </w:r>
      <w:r w:rsidRPr="00B54CF7">
        <w:rPr>
          <w:rFonts w:cs="Simplified Arabic" w:hint="cs"/>
          <w:color w:val="000000" w:themeColor="text1"/>
          <w:rtl/>
        </w:rPr>
        <w:t xml:space="preserve">، </w:t>
      </w:r>
      <w:r w:rsidR="00EF6B50">
        <w:rPr>
          <w:rFonts w:cs="Simplified Arabic" w:hint="cs"/>
          <w:color w:val="000000" w:themeColor="text1"/>
          <w:rtl/>
        </w:rPr>
        <w:t>و</w:t>
      </w:r>
      <w:r w:rsidRPr="00B54CF7">
        <w:rPr>
          <w:rFonts w:cs="Simplified Arabic" w:hint="cs"/>
          <w:kern w:val="22"/>
          <w:rtl/>
        </w:rPr>
        <w:t xml:space="preserve">تعجيل </w:t>
      </w:r>
      <w:r w:rsidRPr="00B54CF7">
        <w:rPr>
          <w:rFonts w:cs="Simplified Arabic"/>
          <w:snapToGrid w:val="0"/>
          <w:kern w:val="22"/>
          <w:rtl/>
        </w:rPr>
        <w:t>التزامات التنوع البيولوجي من خلال استعادة المناظر الطبيعية للغابات</w:t>
      </w:r>
      <w:r w:rsidRPr="00B54CF7">
        <w:rPr>
          <w:rFonts w:cs="Simplified Arabic" w:hint="cs"/>
          <w:snapToGrid w:val="0"/>
          <w:kern w:val="22"/>
          <w:rtl/>
        </w:rPr>
        <w:t xml:space="preserve"> </w:t>
      </w:r>
      <w:r w:rsidRPr="00B54CF7">
        <w:rPr>
          <w:rFonts w:cs="Simplified Arabic"/>
          <w:kern w:val="22"/>
        </w:rPr>
        <w:t>(CBD/COP/14/INF/18)</w:t>
      </w:r>
      <w:r w:rsidRPr="00B54CF7">
        <w:rPr>
          <w:rFonts w:cs="Simplified Arabic" w:hint="cs"/>
          <w:kern w:val="22"/>
          <w:rtl/>
        </w:rPr>
        <w:t xml:space="preserve">، </w:t>
      </w:r>
      <w:r w:rsidRPr="00B54CF7">
        <w:rPr>
          <w:rFonts w:cs="Simplified Arabic"/>
          <w:kern w:val="22"/>
          <w:rtl/>
        </w:rPr>
        <w:t>والاستنتاجات الرئيسية المستخلصة من</w:t>
      </w:r>
      <w:r w:rsidRPr="00B54CF7">
        <w:rPr>
          <w:rFonts w:cs="Simplified Arabic" w:hint="cs"/>
          <w:kern w:val="22"/>
          <w:rtl/>
        </w:rPr>
        <w:t xml:space="preserve"> </w:t>
      </w:r>
      <w:r w:rsidRPr="00B54CF7">
        <w:rPr>
          <w:rFonts w:cs="Simplified Arabic" w:hint="cs"/>
          <w:snapToGrid w:val="0"/>
          <w:kern w:val="22"/>
          <w:rtl/>
        </w:rPr>
        <w:t>أربعة</w:t>
      </w:r>
      <w:r w:rsidRPr="00B54CF7">
        <w:rPr>
          <w:rFonts w:cs="Simplified Arabic"/>
          <w:snapToGrid w:val="0"/>
          <w:kern w:val="22"/>
          <w:rtl/>
        </w:rPr>
        <w:t xml:space="preserve"> تقييمات إقليمية للتنوع البيولوجي وخدمات النظم الإيكولوجية </w:t>
      </w:r>
      <w:r w:rsidR="002D6647">
        <w:rPr>
          <w:rFonts w:cs="Simplified Arabic" w:hint="cs"/>
          <w:snapToGrid w:val="0"/>
          <w:kern w:val="22"/>
          <w:rtl/>
        </w:rPr>
        <w:t>أجرا</w:t>
      </w:r>
      <w:r w:rsidRPr="00B54CF7">
        <w:rPr>
          <w:rFonts w:cs="Simplified Arabic" w:hint="cs"/>
          <w:snapToGrid w:val="0"/>
          <w:kern w:val="22"/>
          <w:rtl/>
        </w:rPr>
        <w:t xml:space="preserve">ها </w:t>
      </w:r>
      <w:r w:rsidRPr="00B54CF7">
        <w:rPr>
          <w:rFonts w:cs="Simplified Arabic"/>
          <w:snapToGrid w:val="0"/>
          <w:kern w:val="22"/>
          <w:rtl/>
        </w:rPr>
        <w:t>الم</w:t>
      </w:r>
      <w:r w:rsidR="00EF6B50">
        <w:rPr>
          <w:rFonts w:cs="Simplified Arabic" w:hint="cs"/>
          <w:snapToGrid w:val="0"/>
          <w:kern w:val="22"/>
          <w:rtl/>
        </w:rPr>
        <w:t>نبر</w:t>
      </w:r>
      <w:r w:rsidRPr="00B54CF7">
        <w:rPr>
          <w:rFonts w:cs="Simplified Arabic"/>
          <w:snapToGrid w:val="0"/>
          <w:kern w:val="22"/>
          <w:rtl/>
        </w:rPr>
        <w:t xml:space="preserve"> الحكومي الدولي </w:t>
      </w:r>
      <w:r w:rsidR="002D6647">
        <w:rPr>
          <w:rFonts w:cs="Simplified Arabic" w:hint="cs"/>
          <w:snapToGrid w:val="0"/>
          <w:kern w:val="22"/>
          <w:rtl/>
        </w:rPr>
        <w:t xml:space="preserve">للعلوم والسياسات في مجال </w:t>
      </w:r>
      <w:r w:rsidRPr="00B54CF7">
        <w:rPr>
          <w:rFonts w:cs="Simplified Arabic"/>
          <w:snapToGrid w:val="0"/>
          <w:kern w:val="22"/>
          <w:rtl/>
        </w:rPr>
        <w:t>التنوع البيولوجي وخدمات النُظم الإيكولوجية</w:t>
      </w:r>
      <w:r w:rsidRPr="00B54CF7">
        <w:rPr>
          <w:rFonts w:cs="Simplified Arabic" w:hint="cs"/>
          <w:snapToGrid w:val="0"/>
          <w:kern w:val="22"/>
          <w:rtl/>
        </w:rPr>
        <w:t xml:space="preserve"> </w:t>
      </w:r>
      <w:r w:rsidRPr="00B54CF7">
        <w:rPr>
          <w:rFonts w:cs="Simplified Arabic"/>
          <w:kern w:val="22"/>
        </w:rPr>
        <w:t>(CBD/COP/14/INF/24)</w:t>
      </w:r>
      <w:r w:rsidRPr="00B54CF7">
        <w:rPr>
          <w:rFonts w:cs="Simplified Arabic" w:hint="cs"/>
          <w:kern w:val="22"/>
          <w:rtl/>
        </w:rPr>
        <w:t xml:space="preserve">، </w:t>
      </w:r>
      <w:r w:rsidRPr="00B54CF7">
        <w:rPr>
          <w:rFonts w:cs="Simplified Arabic"/>
          <w:kern w:val="22"/>
          <w:rtl/>
        </w:rPr>
        <w:t xml:space="preserve">وبناء القدرات من أجل تقييم النظم الإيكولوجية </w:t>
      </w:r>
      <w:r w:rsidRPr="00B54CF7">
        <w:rPr>
          <w:rFonts w:cs="Simplified Arabic"/>
          <w:kern w:val="22"/>
          <w:rtl/>
        </w:rPr>
        <w:lastRenderedPageBreak/>
        <w:t>الوطنية</w:t>
      </w:r>
      <w:r w:rsidRPr="00B54CF7">
        <w:rPr>
          <w:rFonts w:cs="Simplified Arabic" w:hint="cs"/>
          <w:kern w:val="22"/>
          <w:rtl/>
        </w:rPr>
        <w:t xml:space="preserve"> </w:t>
      </w:r>
      <w:r w:rsidRPr="00B54CF7">
        <w:rPr>
          <w:rFonts w:cs="Simplified Arabic"/>
          <w:kern w:val="22"/>
        </w:rPr>
        <w:t>(CBD/COP/14/INF/28)</w:t>
      </w:r>
      <w:r w:rsidRPr="00B54CF7">
        <w:rPr>
          <w:rFonts w:cs="Simplified Arabic" w:hint="cs"/>
          <w:kern w:val="22"/>
          <w:rtl/>
        </w:rPr>
        <w:t xml:space="preserve">؛ </w:t>
      </w:r>
      <w:r w:rsidRPr="00B54CF7">
        <w:rPr>
          <w:rFonts w:cs="Simplified Arabic"/>
          <w:kern w:val="22"/>
          <w:rtl/>
        </w:rPr>
        <w:t>ورأي اللجنة الأوروبية للمناطق</w:t>
      </w:r>
      <w:r w:rsidRPr="00B54CF7">
        <w:rPr>
          <w:rFonts w:cs="Simplified Arabic" w:hint="cs"/>
          <w:kern w:val="22"/>
          <w:rtl/>
        </w:rPr>
        <w:t>: مساهمة مدن ومناطق الاتحاد الأوروبي في اجتماع</w:t>
      </w:r>
      <w:r w:rsidR="00EF6B50">
        <w:rPr>
          <w:rFonts w:cs="Simplified Arabic" w:hint="cs"/>
          <w:kern w:val="22"/>
          <w:rtl/>
        </w:rPr>
        <w:t xml:space="preserve"> مؤتمر الأطراف الرابع عشر في ا</w:t>
      </w:r>
      <w:r w:rsidRPr="00B54CF7">
        <w:rPr>
          <w:rFonts w:cs="Simplified Arabic" w:hint="cs"/>
          <w:kern w:val="22"/>
          <w:rtl/>
        </w:rPr>
        <w:t>تفاقية التنوع البيولوجي و</w:t>
      </w:r>
      <w:r w:rsidRPr="00B54CF7">
        <w:rPr>
          <w:rFonts w:cs="Simplified Arabic"/>
          <w:kern w:val="22"/>
          <w:rtl/>
        </w:rPr>
        <w:t xml:space="preserve">استراتيجية التنوع البيولوجي للاتحاد الأوروبي </w:t>
      </w:r>
      <w:r w:rsidR="00EF6B50">
        <w:rPr>
          <w:rFonts w:cs="Simplified Arabic" w:hint="cs"/>
          <w:kern w:val="22"/>
          <w:rtl/>
        </w:rPr>
        <w:t xml:space="preserve">لما </w:t>
      </w:r>
      <w:r w:rsidRPr="00B54CF7">
        <w:rPr>
          <w:rFonts w:cs="Simplified Arabic"/>
          <w:kern w:val="22"/>
          <w:rtl/>
        </w:rPr>
        <w:t>بعد عام 2020</w:t>
      </w:r>
      <w:r w:rsidRPr="00B54CF7">
        <w:rPr>
          <w:rFonts w:cs="Simplified Arabic" w:hint="cs"/>
          <w:kern w:val="22"/>
          <w:rtl/>
        </w:rPr>
        <w:t xml:space="preserve"> </w:t>
      </w:r>
      <w:r w:rsidRPr="00B54CF7">
        <w:rPr>
          <w:rFonts w:cs="Simplified Arabic"/>
          <w:kern w:val="22"/>
        </w:rPr>
        <w:t>(CBD/COP/14/INF</w:t>
      </w:r>
      <w:r w:rsidR="00B54CF7">
        <w:rPr>
          <w:rFonts w:cs="Simplified Arabic"/>
          <w:kern w:val="22"/>
        </w:rPr>
        <w:t>/</w:t>
      </w:r>
      <w:r w:rsidRPr="00B54CF7">
        <w:rPr>
          <w:rFonts w:cs="Simplified Arabic"/>
          <w:kern w:val="22"/>
        </w:rPr>
        <w:t>39)</w:t>
      </w:r>
      <w:r w:rsidRPr="00B54CF7">
        <w:rPr>
          <w:rFonts w:cs="Simplified Arabic" w:hint="cs"/>
          <w:kern w:val="22"/>
          <w:rtl/>
        </w:rPr>
        <w:t>.</w:t>
      </w:r>
    </w:p>
    <w:p w:rsidR="0039018D" w:rsidRPr="00B54CF7" w:rsidRDefault="0039018D" w:rsidP="00FF7FA5">
      <w:pPr>
        <w:pStyle w:val="ListParagraph"/>
        <w:numPr>
          <w:ilvl w:val="0"/>
          <w:numId w:val="6"/>
        </w:numPr>
        <w:bidi/>
        <w:spacing w:line="216" w:lineRule="auto"/>
        <w:ind w:left="0" w:firstLine="0"/>
        <w:rPr>
          <w:rFonts w:cs="Simplified Arabic"/>
          <w:rtl/>
        </w:rPr>
      </w:pPr>
      <w:r w:rsidRPr="00B54CF7">
        <w:rPr>
          <w:rFonts w:cs="Simplified Arabic"/>
          <w:snapToGrid w:val="0"/>
          <w:kern w:val="22"/>
          <w:rtl/>
          <w:lang w:val="fr-CH"/>
        </w:rPr>
        <w:t xml:space="preserve">وأدلى ببيانات ممثلو </w:t>
      </w:r>
      <w:r w:rsidRPr="00B54CF7">
        <w:rPr>
          <w:rFonts w:cs="Simplified Arabic"/>
          <w:color w:val="000000"/>
          <w:rtl/>
        </w:rPr>
        <w:t>الأرجنتين</w:t>
      </w:r>
      <w:r w:rsidR="006C3806">
        <w:rPr>
          <w:rFonts w:cs="Simplified Arabic" w:hint="cs"/>
          <w:color w:val="000000"/>
          <w:rtl/>
        </w:rPr>
        <w:t>،</w:t>
      </w:r>
      <w:r w:rsidRPr="00B54CF7">
        <w:rPr>
          <w:rFonts w:cs="Simplified Arabic"/>
          <w:color w:val="000000"/>
          <w:rtl/>
        </w:rPr>
        <w:t xml:space="preserve"> </w:t>
      </w:r>
      <w:r w:rsidR="006C3806">
        <w:rPr>
          <w:rFonts w:cs="Simplified Arabic" w:hint="cs"/>
          <w:color w:val="000000"/>
          <w:rtl/>
        </w:rPr>
        <w:t xml:space="preserve">والنمسا، والبحرين، وبنغلاديش، والبوسنة والهرسك، وبوتسوانا، والبرازيل، وبوليفيا (دولة </w:t>
      </w:r>
      <w:r w:rsidR="006C3806">
        <w:rPr>
          <w:rFonts w:cs="Simplified Arabic"/>
          <w:color w:val="000000"/>
          <w:rtl/>
        </w:rPr>
        <w:t>–</w:t>
      </w:r>
      <w:r w:rsidR="006C3806">
        <w:rPr>
          <w:rFonts w:cs="Simplified Arabic" w:hint="cs"/>
          <w:color w:val="000000"/>
          <w:rtl/>
        </w:rPr>
        <w:t xml:space="preserve"> المتعددة القوميات)، والبرازيل، وكمبوديا، والكاميرون (بالنيابة عن المجموعة الأفريقية)، وكندا، وشيلي، والصين، وكولومبيا، وكوستاريكا، وإكوادور، </w:t>
      </w:r>
      <w:r w:rsidRPr="00B54CF7">
        <w:rPr>
          <w:rFonts w:cs="Simplified Arabic" w:hint="cs"/>
          <w:color w:val="000000"/>
          <w:rtl/>
        </w:rPr>
        <w:t xml:space="preserve">والاتحاد الأوروبي ودوله الأعضاء </w:t>
      </w:r>
      <w:r w:rsidR="006C3806">
        <w:rPr>
          <w:rFonts w:cs="Simplified Arabic" w:hint="cs"/>
          <w:rtl/>
        </w:rPr>
        <w:t>الثماني والعشرين</w:t>
      </w:r>
      <w:r w:rsidR="006C3806" w:rsidRPr="00793E64">
        <w:rPr>
          <w:rFonts w:cs="Simplified Arabic"/>
          <w:rtl/>
        </w:rPr>
        <w:t>،</w:t>
      </w:r>
      <w:r w:rsidRPr="00B54CF7">
        <w:rPr>
          <w:rFonts w:cs="Simplified Arabic" w:hint="cs"/>
          <w:color w:val="000000"/>
          <w:rtl/>
        </w:rPr>
        <w:t xml:space="preserve"> </w:t>
      </w:r>
      <w:r w:rsidR="006C3806">
        <w:rPr>
          <w:rFonts w:cs="Simplified Arabic" w:hint="cs"/>
          <w:color w:val="000000"/>
          <w:rtl/>
        </w:rPr>
        <w:t xml:space="preserve">وغانا، وإندونيسيا، والهند، والأردن، وكينيا، ولبنان، وملاوي، ومالي، والمكسيك، </w:t>
      </w:r>
      <w:r w:rsidR="00C07B77">
        <w:rPr>
          <w:rFonts w:cs="Simplified Arabic" w:hint="cs"/>
          <w:color w:val="000000"/>
          <w:rtl/>
        </w:rPr>
        <w:t xml:space="preserve">والمغرب، ونيبال، والنيجر، وبنما، وبيرو، والصومال، </w:t>
      </w:r>
      <w:r w:rsidR="006C3806">
        <w:rPr>
          <w:rFonts w:cs="Simplified Arabic" w:hint="cs"/>
          <w:color w:val="000000"/>
          <w:rtl/>
        </w:rPr>
        <w:t xml:space="preserve">وجنوب أفريقيا، ودولة فلسطين، </w:t>
      </w:r>
      <w:r w:rsidR="00C07B77">
        <w:rPr>
          <w:rFonts w:cs="Simplified Arabic" w:hint="cs"/>
          <w:color w:val="000000"/>
          <w:rtl/>
        </w:rPr>
        <w:t xml:space="preserve">والسودان، والجمهورية العربية السورية، وسويسرا، وتايلند، وأوغندا، وجمهورية تنزانيا المتحدة، وفنزويلا (جمهورية </w:t>
      </w:r>
      <w:r w:rsidR="00C07B77">
        <w:rPr>
          <w:rFonts w:cs="Simplified Arabic"/>
          <w:color w:val="000000"/>
          <w:rtl/>
        </w:rPr>
        <w:t>–</w:t>
      </w:r>
      <w:r w:rsidR="00C07B77">
        <w:rPr>
          <w:rFonts w:cs="Simplified Arabic" w:hint="cs"/>
          <w:color w:val="000000"/>
          <w:rtl/>
        </w:rPr>
        <w:t xml:space="preserve"> البوليفارية).</w:t>
      </w:r>
    </w:p>
    <w:p w:rsidR="0039018D" w:rsidRPr="00B54CF7" w:rsidRDefault="0039018D" w:rsidP="00FF7FA5">
      <w:pPr>
        <w:pStyle w:val="ListParagraph"/>
        <w:numPr>
          <w:ilvl w:val="0"/>
          <w:numId w:val="6"/>
        </w:numPr>
        <w:bidi/>
        <w:spacing w:line="216" w:lineRule="auto"/>
        <w:ind w:left="0" w:firstLine="0"/>
        <w:rPr>
          <w:rFonts w:cs="Simplified Arabic"/>
          <w:snapToGrid w:val="0"/>
          <w:kern w:val="22"/>
          <w:lang w:val="fr-CH"/>
        </w:rPr>
      </w:pPr>
      <w:r w:rsidRPr="0045279C">
        <w:rPr>
          <w:rFonts w:cs="Simplified Arabic"/>
          <w:snapToGrid w:val="0"/>
          <w:kern w:val="22"/>
          <w:rtl/>
          <w:lang w:val="fr-CH"/>
        </w:rPr>
        <w:t>وأدلى ببيانات أخرى ممثل</w:t>
      </w:r>
      <w:r w:rsidR="00C07B77" w:rsidRPr="0045279C">
        <w:rPr>
          <w:rFonts w:cs="Simplified Arabic" w:hint="cs"/>
          <w:snapToGrid w:val="0"/>
          <w:kern w:val="22"/>
          <w:rtl/>
          <w:lang w:val="fr-CH"/>
        </w:rPr>
        <w:t>و</w:t>
      </w:r>
      <w:r w:rsidRPr="0045279C">
        <w:rPr>
          <w:rFonts w:cs="Simplified Arabic"/>
          <w:snapToGrid w:val="0"/>
          <w:kern w:val="22"/>
          <w:rtl/>
          <w:lang w:val="fr-CH"/>
        </w:rPr>
        <w:t xml:space="preserve"> </w:t>
      </w:r>
      <w:r w:rsidRPr="00B54CF7">
        <w:rPr>
          <w:rFonts w:cs="Simplified Arabic"/>
          <w:snapToGrid w:val="0"/>
          <w:kern w:val="22"/>
          <w:rtl/>
          <w:lang w:val="fr-CH"/>
        </w:rPr>
        <w:t>منظمة الأغذية والزراعة للأمم المتحدة (الفاو)، والاتفاقية الدولية لوقاية النباتات</w:t>
      </w:r>
      <w:r w:rsidR="0045279C">
        <w:rPr>
          <w:rFonts w:cs="Simplified Arabic" w:hint="cs"/>
          <w:snapToGrid w:val="0"/>
          <w:kern w:val="22"/>
          <w:rtl/>
          <w:lang w:val="fr-CH"/>
        </w:rPr>
        <w:t xml:space="preserve"> </w:t>
      </w:r>
      <w:r w:rsidR="0045279C">
        <w:rPr>
          <w:rFonts w:cs="Simplified Arabic"/>
          <w:snapToGrid w:val="0"/>
          <w:kern w:val="22"/>
          <w:lang w:val="en-US"/>
        </w:rPr>
        <w:t>(IPPC)</w:t>
      </w:r>
      <w:r w:rsidRPr="00B54CF7">
        <w:rPr>
          <w:rFonts w:cs="Simplified Arabic"/>
          <w:snapToGrid w:val="0"/>
          <w:kern w:val="22"/>
          <w:rtl/>
          <w:lang w:val="fr-CH"/>
        </w:rPr>
        <w:t>، وهيئة الأمم المتحدة للمساواة بين الجنسين وتمكين المرأة (هيئة الأمم المتحدة للمرأة).</w:t>
      </w:r>
    </w:p>
    <w:p w:rsidR="0039018D" w:rsidRPr="00B54CF7" w:rsidRDefault="0039018D" w:rsidP="00FF1655">
      <w:pPr>
        <w:pStyle w:val="ListParagraph"/>
        <w:numPr>
          <w:ilvl w:val="0"/>
          <w:numId w:val="6"/>
        </w:numPr>
        <w:bidi/>
        <w:spacing w:line="216" w:lineRule="auto"/>
        <w:ind w:left="0" w:firstLine="0"/>
        <w:rPr>
          <w:rFonts w:cs="Simplified Arabic"/>
          <w:snapToGrid w:val="0"/>
          <w:kern w:val="22"/>
          <w:lang w:val="fr-CH"/>
        </w:rPr>
      </w:pPr>
      <w:r w:rsidRPr="00B54CF7">
        <w:rPr>
          <w:rFonts w:cs="Simplified Arabic"/>
          <w:snapToGrid w:val="0"/>
          <w:kern w:val="22"/>
          <w:rtl/>
          <w:lang w:val="fr-CH"/>
        </w:rPr>
        <w:t>وأدلت ببيانات أيضا منظمة بيردلايف الدولية، و</w:t>
      </w:r>
      <w:r w:rsidR="00C07B77">
        <w:rPr>
          <w:rFonts w:cs="Simplified Arabic" w:hint="cs"/>
          <w:snapToGrid w:val="0"/>
          <w:kern w:val="22"/>
          <w:rtl/>
          <w:lang w:val="fr-CH"/>
        </w:rPr>
        <w:t xml:space="preserve">المجموعة النسائية </w:t>
      </w:r>
      <w:r w:rsidR="00CF3DF8">
        <w:rPr>
          <w:rFonts w:cs="Simplified Arabic" w:hint="cs"/>
          <w:snapToGrid w:val="0"/>
          <w:kern w:val="22"/>
          <w:rtl/>
          <w:lang w:val="fr-CH"/>
        </w:rPr>
        <w:t>المعنية ب</w:t>
      </w:r>
      <w:r w:rsidR="00C07B77">
        <w:rPr>
          <w:rFonts w:cs="Simplified Arabic" w:hint="cs"/>
          <w:snapToGrid w:val="0"/>
          <w:kern w:val="22"/>
          <w:rtl/>
          <w:lang w:val="fr-CH"/>
        </w:rPr>
        <w:t>ا</w:t>
      </w:r>
      <w:r w:rsidRPr="00B54CF7">
        <w:rPr>
          <w:rFonts w:cs="Simplified Arabic" w:hint="cs"/>
          <w:snapToGrid w:val="0"/>
          <w:kern w:val="22"/>
          <w:rtl/>
          <w:lang w:val="fr-CH"/>
        </w:rPr>
        <w:t>تفاقية التنوع البيولوجي</w:t>
      </w:r>
      <w:r w:rsidRPr="00B54CF7">
        <w:rPr>
          <w:rFonts w:cs="Simplified Arabic"/>
          <w:snapToGrid w:val="0"/>
          <w:kern w:val="22"/>
          <w:rtl/>
          <w:lang w:val="fr-CH"/>
        </w:rPr>
        <w:t>،</w:t>
      </w:r>
      <w:r w:rsidRPr="00B54CF7">
        <w:rPr>
          <w:rFonts w:cs="Simplified Arabic" w:hint="cs"/>
          <w:snapToGrid w:val="0"/>
          <w:kern w:val="22"/>
          <w:rtl/>
          <w:lang w:val="fr-CH"/>
        </w:rPr>
        <w:t xml:space="preserve"> و</w:t>
      </w:r>
      <w:r w:rsidRPr="00B54CF7">
        <w:rPr>
          <w:rFonts w:cs="Simplified Arabic"/>
          <w:snapToGrid w:val="0"/>
          <w:kern w:val="22"/>
          <w:rtl/>
          <w:lang w:val="fr-CH"/>
        </w:rPr>
        <w:t>لجنــة</w:t>
      </w:r>
      <w:r w:rsidRPr="00B54CF7">
        <w:rPr>
          <w:rFonts w:cs="Simplified Arabic" w:hint="cs"/>
          <w:snapToGrid w:val="0"/>
          <w:kern w:val="22"/>
          <w:rtl/>
          <w:lang w:val="fr-CH"/>
        </w:rPr>
        <w:t xml:space="preserve"> </w:t>
      </w:r>
      <w:r w:rsidRPr="00B54CF7">
        <w:rPr>
          <w:rFonts w:cs="Simplified Arabic"/>
          <w:snapToGrid w:val="0"/>
          <w:kern w:val="22"/>
          <w:rtl/>
          <w:lang w:val="fr-CH"/>
        </w:rPr>
        <w:t xml:space="preserve">التخطيط الدولية للسيادة الغذائية </w:t>
      </w:r>
      <w:r w:rsidRPr="00477B14">
        <w:rPr>
          <w:rFonts w:cs="Simplified Arabic"/>
          <w:lang w:val="fr-CH"/>
        </w:rPr>
        <w:t>(IPC)</w:t>
      </w:r>
      <w:r w:rsidRPr="00B54CF7">
        <w:rPr>
          <w:rFonts w:cs="Simplified Arabic"/>
          <w:snapToGrid w:val="0"/>
          <w:kern w:val="22"/>
          <w:rtl/>
          <w:lang w:val="fr-CH"/>
        </w:rPr>
        <w:t xml:space="preserve">، </w:t>
      </w:r>
      <w:r w:rsidRPr="00B54CF7">
        <w:rPr>
          <w:rFonts w:cs="Simplified Arabic" w:hint="cs"/>
          <w:snapToGrid w:val="0"/>
          <w:kern w:val="22"/>
          <w:rtl/>
          <w:lang w:val="fr-CH"/>
        </w:rPr>
        <w:t>و</w:t>
      </w:r>
      <w:r w:rsidRPr="00B54CF7">
        <w:rPr>
          <w:rFonts w:cs="Simplified Arabic"/>
          <w:snapToGrid w:val="0"/>
          <w:kern w:val="22"/>
          <w:rtl/>
          <w:lang w:val="fr-CH"/>
        </w:rPr>
        <w:t xml:space="preserve">المرفق العالمي لمعلومات التنوع البيولوجي </w:t>
      </w:r>
      <w:r w:rsidRPr="002D6647">
        <w:rPr>
          <w:snapToGrid w:val="0"/>
          <w:kern w:val="22"/>
          <w:szCs w:val="22"/>
          <w:rtl/>
          <w:lang w:val="fr-CH"/>
        </w:rPr>
        <w:t>(</w:t>
      </w:r>
      <w:r w:rsidRPr="002D6647">
        <w:rPr>
          <w:snapToGrid w:val="0"/>
          <w:kern w:val="22"/>
          <w:szCs w:val="22"/>
          <w:lang w:val="fr-CH"/>
        </w:rPr>
        <w:t>GBIF</w:t>
      </w:r>
      <w:r w:rsidRPr="002D6647">
        <w:rPr>
          <w:snapToGrid w:val="0"/>
          <w:kern w:val="22"/>
          <w:szCs w:val="22"/>
          <w:rtl/>
          <w:lang w:val="fr-CH"/>
        </w:rPr>
        <w:t>)</w:t>
      </w:r>
      <w:r w:rsidRPr="00B54CF7">
        <w:rPr>
          <w:rFonts w:cs="Simplified Arabic"/>
          <w:snapToGrid w:val="0"/>
          <w:kern w:val="22"/>
          <w:rtl/>
          <w:lang w:val="fr-CH"/>
        </w:rPr>
        <w:t>، والتحالف العالمي للغابات، والشبكة العالمية ل</w:t>
      </w:r>
      <w:r w:rsidR="00FF1655">
        <w:rPr>
          <w:rFonts w:cs="Simplified Arabic" w:hint="cs"/>
          <w:snapToGrid w:val="0"/>
          <w:kern w:val="22"/>
          <w:rtl/>
          <w:lang w:val="fr-CH"/>
        </w:rPr>
        <w:t>لشباب المعنية با</w:t>
      </w:r>
      <w:r w:rsidRPr="00B54CF7">
        <w:rPr>
          <w:rFonts w:cs="Simplified Arabic"/>
          <w:snapToGrid w:val="0"/>
          <w:kern w:val="22"/>
          <w:rtl/>
          <w:lang w:val="fr-CH"/>
        </w:rPr>
        <w:t xml:space="preserve">لتنوع البيولوجي </w:t>
      </w:r>
      <w:r w:rsidRPr="00CF3DF8">
        <w:rPr>
          <w:snapToGrid w:val="0"/>
          <w:kern w:val="22"/>
          <w:szCs w:val="22"/>
          <w:rtl/>
          <w:lang w:val="fr-CH"/>
        </w:rPr>
        <w:t>(</w:t>
      </w:r>
      <w:r w:rsidRPr="00CF3DF8">
        <w:rPr>
          <w:snapToGrid w:val="0"/>
          <w:kern w:val="22"/>
          <w:szCs w:val="22"/>
          <w:lang w:val="fr-CH"/>
        </w:rPr>
        <w:t>GBYN</w:t>
      </w:r>
      <w:r w:rsidRPr="00CF3DF8">
        <w:rPr>
          <w:snapToGrid w:val="0"/>
          <w:kern w:val="22"/>
          <w:szCs w:val="22"/>
          <w:rtl/>
          <w:lang w:val="fr-CH"/>
        </w:rPr>
        <w:t>)</w:t>
      </w:r>
      <w:r w:rsidRPr="00B54CF7">
        <w:rPr>
          <w:rFonts w:cs="Simplified Arabic"/>
          <w:snapToGrid w:val="0"/>
          <w:kern w:val="22"/>
          <w:rtl/>
          <w:lang w:val="fr-CH"/>
        </w:rPr>
        <w:t xml:space="preserve">، والمنتدى الدولي للشعوب الأصلية المعني بالتنوع البيولوجي </w:t>
      </w:r>
      <w:r w:rsidRPr="00CF3DF8">
        <w:rPr>
          <w:snapToGrid w:val="0"/>
          <w:kern w:val="22"/>
          <w:szCs w:val="22"/>
          <w:rtl/>
          <w:lang w:val="fr-CH"/>
        </w:rPr>
        <w:t>(</w:t>
      </w:r>
      <w:r w:rsidRPr="00CF3DF8">
        <w:rPr>
          <w:snapToGrid w:val="0"/>
          <w:kern w:val="22"/>
          <w:szCs w:val="22"/>
          <w:lang w:val="fr-CH"/>
        </w:rPr>
        <w:t>IIFB</w:t>
      </w:r>
      <w:r w:rsidRPr="00CF3DF8">
        <w:rPr>
          <w:snapToGrid w:val="0"/>
          <w:kern w:val="22"/>
          <w:szCs w:val="22"/>
          <w:rtl/>
          <w:lang w:val="fr-CH"/>
        </w:rPr>
        <w:t>)</w:t>
      </w:r>
      <w:r w:rsidRPr="00B54CF7">
        <w:rPr>
          <w:rFonts w:cs="Simplified Arabic"/>
          <w:snapToGrid w:val="0"/>
          <w:kern w:val="22"/>
          <w:rtl/>
          <w:lang w:val="fr-CH"/>
        </w:rPr>
        <w:t>.</w:t>
      </w:r>
    </w:p>
    <w:p w:rsidR="0039018D" w:rsidRPr="00B54CF7" w:rsidRDefault="0039018D" w:rsidP="00FF7FA5">
      <w:pPr>
        <w:pStyle w:val="ListParagraph"/>
        <w:numPr>
          <w:ilvl w:val="0"/>
          <w:numId w:val="6"/>
        </w:numPr>
        <w:bidi/>
        <w:spacing w:line="216" w:lineRule="auto"/>
        <w:ind w:left="0" w:firstLine="0"/>
        <w:rPr>
          <w:rFonts w:cs="Simplified Arabic"/>
          <w:snapToGrid w:val="0"/>
          <w:kern w:val="22"/>
          <w:rtl/>
          <w:lang w:val="fr-CH"/>
        </w:rPr>
      </w:pPr>
      <w:r w:rsidRPr="00B54CF7">
        <w:rPr>
          <w:rFonts w:cs="Simplified Arabic" w:hint="cs"/>
          <w:snapToGrid w:val="0"/>
          <w:kern w:val="22"/>
          <w:rtl/>
          <w:lang w:val="fr-CH"/>
        </w:rPr>
        <w:t>و</w:t>
      </w:r>
      <w:r w:rsidRPr="00B54CF7">
        <w:rPr>
          <w:rFonts w:cs="Simplified Arabic"/>
          <w:snapToGrid w:val="0"/>
          <w:kern w:val="22"/>
          <w:rtl/>
          <w:lang w:val="fr-CH"/>
        </w:rPr>
        <w:t>قال الرئيس إنه سيعد مشروع مقرر</w:t>
      </w:r>
      <w:r w:rsidRPr="00B54CF7">
        <w:rPr>
          <w:rFonts w:cs="Simplified Arabic"/>
          <w:snapToGrid w:val="0"/>
          <w:kern w:val="22"/>
          <w:lang w:val="fr-CH"/>
        </w:rPr>
        <w:t xml:space="preserve"> </w:t>
      </w:r>
      <w:r w:rsidRPr="00B54CF7">
        <w:rPr>
          <w:rFonts w:cs="Simplified Arabic" w:hint="cs"/>
          <w:snapToGrid w:val="0"/>
          <w:kern w:val="22"/>
          <w:rtl/>
          <w:lang w:val="fr-CH"/>
        </w:rPr>
        <w:t>منقح بشأن هذه المسألة،</w:t>
      </w:r>
      <w:r w:rsidRPr="00B54CF7">
        <w:rPr>
          <w:rFonts w:cs="Simplified Arabic"/>
          <w:snapToGrid w:val="0"/>
          <w:kern w:val="22"/>
          <w:rtl/>
          <w:lang w:val="fr-CH"/>
        </w:rPr>
        <w:t xml:space="preserve"> </w:t>
      </w:r>
      <w:r w:rsidR="00CF3DF8" w:rsidRPr="001A7ADC">
        <w:rPr>
          <w:rtl/>
          <w:lang w:val="fr-CA"/>
        </w:rPr>
        <w:t>مع مراعاة الآراء المعرب عنها شفويا</w:t>
      </w:r>
      <w:r w:rsidR="00CF3DF8" w:rsidRPr="001A7ADC">
        <w:rPr>
          <w:rFonts w:hint="cs"/>
          <w:rtl/>
          <w:lang w:val="fr-CA"/>
        </w:rPr>
        <w:t>ً</w:t>
      </w:r>
      <w:r w:rsidR="00CF3DF8" w:rsidRPr="001A7ADC">
        <w:rPr>
          <w:rtl/>
          <w:lang w:val="fr-CA"/>
        </w:rPr>
        <w:t xml:space="preserve"> و</w:t>
      </w:r>
      <w:r w:rsidR="00CF3DF8" w:rsidRPr="001A7ADC">
        <w:rPr>
          <w:rFonts w:hint="cs"/>
          <w:rtl/>
          <w:lang w:val="fr-CA"/>
        </w:rPr>
        <w:t>المستلمة كتابة</w:t>
      </w:r>
      <w:r w:rsidR="00CF3DF8" w:rsidRPr="001A7ADC">
        <w:rPr>
          <w:rtl/>
          <w:lang w:val="fr-CA"/>
        </w:rPr>
        <w:t>.</w:t>
      </w:r>
    </w:p>
    <w:p w:rsidR="0039018D" w:rsidRPr="00B54CF7" w:rsidRDefault="0039018D" w:rsidP="00FF7FA5">
      <w:pPr>
        <w:pStyle w:val="ListParagraph"/>
        <w:numPr>
          <w:ilvl w:val="0"/>
          <w:numId w:val="6"/>
        </w:numPr>
        <w:bidi/>
        <w:spacing w:line="216" w:lineRule="auto"/>
        <w:ind w:left="0" w:firstLine="0"/>
        <w:rPr>
          <w:rFonts w:cs="Simplified Arabic"/>
        </w:rPr>
      </w:pPr>
      <w:r w:rsidRPr="00B54CF7">
        <w:rPr>
          <w:rFonts w:cs="Simplified Arabic" w:hint="cs"/>
          <w:rtl/>
        </w:rPr>
        <w:t>و</w:t>
      </w:r>
      <w:r w:rsidRPr="00B54CF7">
        <w:rPr>
          <w:rFonts w:cs="Simplified Arabic"/>
          <w:rtl/>
        </w:rPr>
        <w:t xml:space="preserve">نظر الفريق العامل في جلسته السابعة، المنعقدة في 21 </w:t>
      </w:r>
      <w:r w:rsidRPr="00B54CF7">
        <w:rPr>
          <w:rFonts w:cs="Simplified Arabic"/>
          <w:snapToGrid w:val="0"/>
          <w:kern w:val="22"/>
          <w:rtl/>
        </w:rPr>
        <w:t>نوفمبر/تشرين</w:t>
      </w:r>
      <w:r w:rsidRPr="00B54CF7">
        <w:rPr>
          <w:rFonts w:cs="Simplified Arabic" w:hint="cs"/>
          <w:snapToGrid w:val="0"/>
          <w:kern w:val="22"/>
          <w:rtl/>
        </w:rPr>
        <w:t xml:space="preserve"> </w:t>
      </w:r>
      <w:r w:rsidRPr="00B54CF7">
        <w:rPr>
          <w:rFonts w:cs="Simplified Arabic"/>
          <w:snapToGrid w:val="0"/>
          <w:kern w:val="22"/>
          <w:rtl/>
        </w:rPr>
        <w:t>الثاني</w:t>
      </w:r>
      <w:r w:rsidRPr="00B54CF7">
        <w:rPr>
          <w:rFonts w:cs="Simplified Arabic"/>
          <w:snapToGrid w:val="0"/>
          <w:kern w:val="22"/>
        </w:rPr>
        <w:t xml:space="preserve"> </w:t>
      </w:r>
      <w:r w:rsidRPr="00B54CF7">
        <w:rPr>
          <w:rFonts w:cs="Simplified Arabic"/>
          <w:rtl/>
        </w:rPr>
        <w:t>2018، في مشروع مقرر منقح قدم</w:t>
      </w:r>
      <w:r w:rsidR="00CF3DF8">
        <w:rPr>
          <w:rFonts w:cs="Simplified Arabic" w:hint="cs"/>
          <w:rtl/>
        </w:rPr>
        <w:t>ه</w:t>
      </w:r>
      <w:r w:rsidRPr="00B54CF7">
        <w:rPr>
          <w:rFonts w:cs="Simplified Arabic"/>
          <w:rtl/>
        </w:rPr>
        <w:t xml:space="preserve"> الرئيس.</w:t>
      </w:r>
    </w:p>
    <w:p w:rsidR="0039018D" w:rsidRPr="00B54CF7" w:rsidRDefault="0039018D" w:rsidP="00FF7FA5">
      <w:pPr>
        <w:pStyle w:val="ListParagraph"/>
        <w:numPr>
          <w:ilvl w:val="0"/>
          <w:numId w:val="6"/>
        </w:numPr>
        <w:bidi/>
        <w:spacing w:line="216" w:lineRule="auto"/>
        <w:ind w:left="0" w:firstLine="0"/>
        <w:rPr>
          <w:rFonts w:cs="Simplified Arabic"/>
        </w:rPr>
      </w:pPr>
      <w:r w:rsidRPr="00B54CF7">
        <w:rPr>
          <w:rFonts w:cs="Simplified Arabic"/>
          <w:rtl/>
        </w:rPr>
        <w:t xml:space="preserve">وأدلى ببيانات ممثلو الأرجنتين، </w:t>
      </w:r>
      <w:r w:rsidR="002D6647">
        <w:rPr>
          <w:rFonts w:cs="Simplified Arabic" w:hint="cs"/>
          <w:rtl/>
        </w:rPr>
        <w:t>و</w:t>
      </w:r>
      <w:r w:rsidRPr="00B54CF7">
        <w:rPr>
          <w:rFonts w:cs="Simplified Arabic"/>
          <w:rtl/>
        </w:rPr>
        <w:t xml:space="preserve">البرازيل، </w:t>
      </w:r>
      <w:r w:rsidR="002D6647">
        <w:rPr>
          <w:rFonts w:cs="Simplified Arabic" w:hint="cs"/>
          <w:rtl/>
        </w:rPr>
        <w:t>و</w:t>
      </w:r>
      <w:r w:rsidRPr="00B54CF7">
        <w:rPr>
          <w:rFonts w:cs="Simplified Arabic"/>
          <w:rtl/>
        </w:rPr>
        <w:t xml:space="preserve">إثيوبيا، </w:t>
      </w:r>
      <w:r w:rsidRPr="00B54CF7">
        <w:rPr>
          <w:rFonts w:cs="Simplified Arabic" w:hint="cs"/>
          <w:rtl/>
        </w:rPr>
        <w:t>و</w:t>
      </w:r>
      <w:r w:rsidRPr="00B54CF7">
        <w:rPr>
          <w:rFonts w:cs="Simplified Arabic"/>
          <w:rtl/>
        </w:rPr>
        <w:t xml:space="preserve">الاتحاد الأوروبي ودوله الأعضاء </w:t>
      </w:r>
      <w:r w:rsidR="002D6647">
        <w:rPr>
          <w:rFonts w:cs="Simplified Arabic" w:hint="cs"/>
          <w:rtl/>
        </w:rPr>
        <w:t>الثماني والعشرين</w:t>
      </w:r>
      <w:r w:rsidR="002D6647" w:rsidRPr="00793E64">
        <w:rPr>
          <w:rFonts w:cs="Simplified Arabic"/>
          <w:rtl/>
        </w:rPr>
        <w:t>،</w:t>
      </w:r>
      <w:r w:rsidRPr="00B54CF7">
        <w:rPr>
          <w:rFonts w:cs="Simplified Arabic"/>
          <w:rtl/>
        </w:rPr>
        <w:t xml:space="preserve"> وغينيا، والمغرب، ونيوزيلندا، والنرويج، وقطر، وجنوب أفريقيا، </w:t>
      </w:r>
      <w:r w:rsidR="002D6647">
        <w:rPr>
          <w:rFonts w:cs="Simplified Arabic" w:hint="cs"/>
          <w:rtl/>
        </w:rPr>
        <w:t>و</w:t>
      </w:r>
      <w:r w:rsidRPr="00B54CF7">
        <w:rPr>
          <w:rFonts w:cs="Simplified Arabic"/>
          <w:rtl/>
        </w:rPr>
        <w:t>أوغندا وجمهورية تنزانيا المتحدة.</w:t>
      </w:r>
    </w:p>
    <w:p w:rsidR="0039018D" w:rsidRPr="00B54CF7" w:rsidRDefault="0039018D" w:rsidP="00FF7FA5">
      <w:pPr>
        <w:pStyle w:val="ListParagraph"/>
        <w:numPr>
          <w:ilvl w:val="0"/>
          <w:numId w:val="6"/>
        </w:numPr>
        <w:bidi/>
        <w:spacing w:line="216" w:lineRule="auto"/>
        <w:ind w:left="0" w:firstLine="0"/>
        <w:rPr>
          <w:rFonts w:cs="Simplified Arabic"/>
          <w:rtl/>
        </w:rPr>
      </w:pPr>
      <w:r w:rsidRPr="00B54CF7">
        <w:rPr>
          <w:rFonts w:cs="Simplified Arabic" w:hint="cs"/>
          <w:rtl/>
        </w:rPr>
        <w:t>و</w:t>
      </w:r>
      <w:r w:rsidRPr="00B54CF7">
        <w:rPr>
          <w:rFonts w:cs="Simplified Arabic"/>
          <w:rtl/>
        </w:rPr>
        <w:t>وافق الفريق العامل على مشروع المقرر</w:t>
      </w:r>
      <w:r w:rsidRPr="00B54CF7">
        <w:rPr>
          <w:rFonts w:cs="Simplified Arabic" w:hint="cs"/>
          <w:rtl/>
        </w:rPr>
        <w:t xml:space="preserve"> المنقح</w:t>
      </w:r>
      <w:r w:rsidRPr="00B54CF7">
        <w:rPr>
          <w:rFonts w:cs="Simplified Arabic"/>
          <w:rtl/>
        </w:rPr>
        <w:t>، بصيغته المعدلة شفويا</w:t>
      </w:r>
      <w:r w:rsidR="00CF3DF8">
        <w:rPr>
          <w:rFonts w:cs="Simplified Arabic" w:hint="cs"/>
          <w:rtl/>
        </w:rPr>
        <w:t>ً</w:t>
      </w:r>
      <w:r w:rsidRPr="00B54CF7">
        <w:rPr>
          <w:rFonts w:cs="Simplified Arabic"/>
          <w:rtl/>
        </w:rPr>
        <w:t xml:space="preserve">، لإحالته إلى الجلسة العامة بوصفه مشروع المقرر </w:t>
      </w:r>
      <w:r w:rsidRPr="00B54CF7">
        <w:rPr>
          <w:rFonts w:cs="Simplified Arabic"/>
        </w:rPr>
        <w:t>CBD/COP/14/L.2</w:t>
      </w:r>
      <w:r w:rsidRPr="00B54CF7">
        <w:rPr>
          <w:rFonts w:cs="Simplified Arabic"/>
          <w:rtl/>
        </w:rPr>
        <w:t>.</w:t>
      </w:r>
    </w:p>
    <w:p w:rsidR="00A35AF8" w:rsidRPr="00997CAE" w:rsidRDefault="00A35AF8" w:rsidP="00FF7FA5">
      <w:pPr>
        <w:pStyle w:val="ListParagraph"/>
        <w:numPr>
          <w:ilvl w:val="0"/>
          <w:numId w:val="6"/>
        </w:numPr>
        <w:bidi/>
        <w:spacing w:line="216" w:lineRule="auto"/>
        <w:ind w:left="0" w:firstLine="0"/>
        <w:rPr>
          <w:rFonts w:cs="Simplified Arabic"/>
        </w:rPr>
      </w:pPr>
      <w:r w:rsidRPr="00997CAE">
        <w:rPr>
          <w:rFonts w:cs="Simplified Arabic" w:hint="cs"/>
          <w:rtl/>
        </w:rPr>
        <w:t xml:space="preserve">وفي الجلسة العامة الرابعة للاجتماع، المنعقدة في 22 نوفمبر/تشرين الثاني 2018، اعتمد مؤتمر الأطراف مشروع المقرر </w:t>
      </w:r>
      <w:r w:rsidR="0039018D" w:rsidRPr="00997CAE">
        <w:rPr>
          <w:rFonts w:cs="Simplified Arabic"/>
        </w:rPr>
        <w:t>CBD/COP/14/L.2</w:t>
      </w:r>
      <w:r w:rsidRPr="00997CAE">
        <w:rPr>
          <w:rFonts w:cs="Simplified Arabic" w:hint="cs"/>
          <w:rtl/>
        </w:rPr>
        <w:t xml:space="preserve"> بوصفه المقرر 14/</w:t>
      </w:r>
      <w:r w:rsidR="00CF3DF8">
        <w:rPr>
          <w:rFonts w:asciiTheme="majorBidi" w:hAnsiTheme="majorBidi" w:cstheme="majorBidi" w:hint="cs"/>
          <w:rtl/>
        </w:rPr>
        <w:t>1</w:t>
      </w:r>
      <w:r w:rsidRPr="00997CAE">
        <w:rPr>
          <w:rFonts w:cs="Simplified Arabic" w:hint="cs"/>
          <w:rtl/>
        </w:rPr>
        <w:t>.</w:t>
      </w:r>
    </w:p>
    <w:p w:rsidR="004A3612" w:rsidRPr="00997CAE" w:rsidRDefault="004A3612" w:rsidP="00CF3DF8">
      <w:pPr>
        <w:pStyle w:val="ListParagraph"/>
        <w:bidi/>
        <w:spacing w:line="216" w:lineRule="auto"/>
        <w:ind w:left="0"/>
        <w:jc w:val="center"/>
        <w:rPr>
          <w:rFonts w:cs="Simplified Arabic"/>
          <w:i/>
          <w:iCs/>
        </w:rPr>
      </w:pPr>
      <w:r w:rsidRPr="00997CAE">
        <w:rPr>
          <w:rFonts w:cs="Simplified Arabic" w:hint="cs"/>
          <w:i/>
          <w:iCs/>
          <w:rtl/>
        </w:rPr>
        <w:t>خطة عمل الاعتبارات الجنسانية</w:t>
      </w:r>
    </w:p>
    <w:p w:rsidR="004A3612" w:rsidRPr="00B54CF7" w:rsidRDefault="004A3612" w:rsidP="00FF1655">
      <w:pPr>
        <w:pStyle w:val="ListParagraph"/>
        <w:numPr>
          <w:ilvl w:val="0"/>
          <w:numId w:val="6"/>
        </w:numPr>
        <w:bidi/>
        <w:spacing w:line="216" w:lineRule="auto"/>
        <w:ind w:left="0" w:firstLine="0"/>
        <w:rPr>
          <w:rFonts w:cs="Simplified Arabic"/>
          <w:color w:val="000000"/>
          <w:kern w:val="22"/>
          <w:rtl/>
        </w:rPr>
      </w:pPr>
      <w:r w:rsidRPr="00B54CF7">
        <w:rPr>
          <w:rFonts w:cs="Simplified Arabic" w:hint="cs"/>
          <w:snapToGrid w:val="0"/>
          <w:kern w:val="22"/>
          <w:rtl/>
        </w:rPr>
        <w:t xml:space="preserve">تناول الفريق العامل الأول الجانب الثاني من </w:t>
      </w:r>
      <w:r w:rsidR="00CF3DF8">
        <w:rPr>
          <w:rFonts w:cs="Simplified Arabic" w:hint="cs"/>
          <w:snapToGrid w:val="0"/>
          <w:kern w:val="22"/>
          <w:rtl/>
        </w:rPr>
        <w:t>ال</w:t>
      </w:r>
      <w:r w:rsidRPr="00B54CF7">
        <w:rPr>
          <w:rFonts w:cs="Simplified Arabic" w:hint="cs"/>
          <w:snapToGrid w:val="0"/>
          <w:kern w:val="22"/>
          <w:rtl/>
        </w:rPr>
        <w:t xml:space="preserve">بند 8 من جدول الأعمال </w:t>
      </w:r>
      <w:r w:rsidR="00FF1655">
        <w:rPr>
          <w:rFonts w:cs="Simplified Arabic" w:hint="cs"/>
          <w:snapToGrid w:val="0"/>
          <w:kern w:val="22"/>
          <w:rtl/>
        </w:rPr>
        <w:t>في</w:t>
      </w:r>
      <w:r w:rsidRPr="00B54CF7">
        <w:rPr>
          <w:rFonts w:cs="Simplified Arabic" w:hint="cs"/>
          <w:snapToGrid w:val="0"/>
          <w:kern w:val="22"/>
          <w:rtl/>
        </w:rPr>
        <w:t xml:space="preserve"> </w:t>
      </w:r>
      <w:r w:rsidR="00CF3DF8">
        <w:rPr>
          <w:rFonts w:cs="Simplified Arabic" w:hint="cs"/>
          <w:snapToGrid w:val="0"/>
          <w:kern w:val="22"/>
          <w:rtl/>
        </w:rPr>
        <w:t>جلسته</w:t>
      </w:r>
      <w:r w:rsidRPr="00B54CF7">
        <w:rPr>
          <w:rFonts w:cs="Simplified Arabic" w:hint="cs"/>
          <w:snapToGrid w:val="0"/>
          <w:kern w:val="22"/>
          <w:rtl/>
        </w:rPr>
        <w:t xml:space="preserve"> الأول</w:t>
      </w:r>
      <w:r w:rsidR="00CF3DF8">
        <w:rPr>
          <w:rFonts w:cs="Simplified Arabic" w:hint="cs"/>
          <w:snapToGrid w:val="0"/>
          <w:kern w:val="22"/>
          <w:rtl/>
        </w:rPr>
        <w:t>ى</w:t>
      </w:r>
      <w:r w:rsidRPr="00B54CF7">
        <w:rPr>
          <w:rFonts w:cs="Simplified Arabic" w:hint="cs"/>
          <w:snapToGrid w:val="0"/>
          <w:kern w:val="22"/>
          <w:rtl/>
        </w:rPr>
        <w:t xml:space="preserve">، </w:t>
      </w:r>
      <w:r w:rsidR="00CF3DF8">
        <w:rPr>
          <w:rFonts w:cs="Simplified Arabic" w:hint="cs"/>
          <w:snapToGrid w:val="0"/>
          <w:kern w:val="22"/>
          <w:rtl/>
        </w:rPr>
        <w:t xml:space="preserve">المنعقدة </w:t>
      </w:r>
      <w:r w:rsidRPr="00B54CF7">
        <w:rPr>
          <w:rFonts w:cs="Simplified Arabic" w:hint="cs"/>
          <w:snapToGrid w:val="0"/>
          <w:kern w:val="22"/>
          <w:rtl/>
        </w:rPr>
        <w:t xml:space="preserve">في 18 نوفمبر/تشرين الثاني 2018. </w:t>
      </w:r>
      <w:r w:rsidRPr="00B54CF7">
        <w:rPr>
          <w:rFonts w:cs="Simplified Arabic"/>
          <w:rtl/>
        </w:rPr>
        <w:t>وكان معروضا على الفريق العامل في غضون نظره في البند</w:t>
      </w:r>
      <w:r w:rsidRPr="00B54CF7">
        <w:rPr>
          <w:rFonts w:cs="Simplified Arabic" w:hint="cs"/>
          <w:rtl/>
        </w:rPr>
        <w:t xml:space="preserve"> مشروع مقرّر على أساس </w:t>
      </w:r>
      <w:r w:rsidRPr="00B54CF7">
        <w:rPr>
          <w:rFonts w:cs="Simplified Arabic"/>
          <w:i/>
          <w:kern w:val="22"/>
          <w:rtl/>
        </w:rPr>
        <w:t>الجزء باء</w:t>
      </w:r>
      <w:r w:rsidRPr="00B54CF7">
        <w:rPr>
          <w:rFonts w:cs="Simplified Arabic"/>
          <w:rtl/>
        </w:rPr>
        <w:t xml:space="preserve"> </w:t>
      </w:r>
      <w:r w:rsidRPr="00B54CF7">
        <w:rPr>
          <w:rFonts w:cs="Simplified Arabic" w:hint="cs"/>
          <w:rtl/>
        </w:rPr>
        <w:t xml:space="preserve">من </w:t>
      </w:r>
      <w:r w:rsidRPr="00B54CF7">
        <w:rPr>
          <w:rFonts w:cs="Simplified Arabic"/>
          <w:rtl/>
        </w:rPr>
        <w:t>التوصية</w:t>
      </w:r>
      <w:r w:rsidRPr="00B54CF7">
        <w:rPr>
          <w:rFonts w:cs="Simplified Arabic" w:hint="cs"/>
          <w:rtl/>
        </w:rPr>
        <w:t xml:space="preserve"> </w:t>
      </w:r>
      <w:r w:rsidR="00CF3DF8" w:rsidRPr="00CF3DF8">
        <w:rPr>
          <w:rFonts w:cs="Simplified Arabic" w:hint="cs"/>
          <w:i/>
          <w:kern w:val="22"/>
          <w:rtl/>
          <w:lang w:val="en-US"/>
        </w:rPr>
        <w:t>2/1</w:t>
      </w:r>
      <w:r w:rsidR="00CF3DF8">
        <w:rPr>
          <w:rFonts w:cs="Simplified Arabic" w:hint="cs"/>
          <w:i/>
          <w:kern w:val="22"/>
          <w:rtl/>
        </w:rPr>
        <w:t xml:space="preserve"> للهيئة الفرعية للتنفيذ،</w:t>
      </w:r>
      <w:r w:rsidRPr="00B54CF7">
        <w:rPr>
          <w:rFonts w:cs="Simplified Arabic" w:hint="cs"/>
          <w:iCs/>
          <w:kern w:val="22"/>
          <w:rtl/>
        </w:rPr>
        <w:t xml:space="preserve"> </w:t>
      </w:r>
      <w:r w:rsidRPr="00B54CF7">
        <w:rPr>
          <w:rFonts w:cs="Simplified Arabic"/>
          <w:i/>
          <w:kern w:val="22"/>
          <w:rtl/>
        </w:rPr>
        <w:t>ال</w:t>
      </w:r>
      <w:r w:rsidR="00FF1655">
        <w:rPr>
          <w:rFonts w:cs="Simplified Arabic" w:hint="cs"/>
          <w:i/>
          <w:kern w:val="22"/>
          <w:rtl/>
        </w:rPr>
        <w:t>مبين</w:t>
      </w:r>
      <w:r w:rsidRPr="00B54CF7">
        <w:rPr>
          <w:rFonts w:cs="Simplified Arabic" w:hint="cs"/>
          <w:i/>
          <w:kern w:val="22"/>
          <w:rtl/>
        </w:rPr>
        <w:t xml:space="preserve"> في تجميع مشاريع المقررات </w:t>
      </w:r>
      <w:r w:rsidRPr="00B54CF7">
        <w:rPr>
          <w:rFonts w:cs="Simplified Arabic"/>
          <w:kern w:val="22"/>
        </w:rPr>
        <w:t>(</w:t>
      </w:r>
      <w:r w:rsidRPr="00B54CF7">
        <w:rPr>
          <w:rFonts w:cs="Simplified Arabic"/>
          <w:color w:val="000000"/>
          <w:kern w:val="22"/>
        </w:rPr>
        <w:t>CBD/COP/14/2)</w:t>
      </w:r>
      <w:r w:rsidRPr="00B54CF7">
        <w:rPr>
          <w:rFonts w:cs="Simplified Arabic" w:hint="cs"/>
          <w:color w:val="000000"/>
          <w:kern w:val="22"/>
          <w:rtl/>
        </w:rPr>
        <w:t xml:space="preserve">. </w:t>
      </w:r>
    </w:p>
    <w:p w:rsidR="004A3612" w:rsidRPr="00B54CF7" w:rsidRDefault="004A3612" w:rsidP="00FF7FA5">
      <w:pPr>
        <w:pStyle w:val="ListParagraph"/>
        <w:numPr>
          <w:ilvl w:val="0"/>
          <w:numId w:val="6"/>
        </w:numPr>
        <w:bidi/>
        <w:spacing w:line="216" w:lineRule="auto"/>
        <w:ind w:left="0" w:firstLine="0"/>
        <w:rPr>
          <w:rFonts w:cs="Simplified Arabic"/>
          <w:color w:val="000000"/>
          <w:kern w:val="22"/>
          <w:rtl/>
        </w:rPr>
      </w:pPr>
      <w:r w:rsidRPr="00B54CF7">
        <w:rPr>
          <w:rFonts w:cs="Simplified Arabic"/>
          <w:color w:val="000000"/>
          <w:kern w:val="22"/>
          <w:rtl/>
        </w:rPr>
        <w:t>وقال الرئيس إنه في ضوء توافق الآراء</w:t>
      </w:r>
      <w:r w:rsidRPr="00B54CF7">
        <w:rPr>
          <w:rFonts w:cs="Simplified Arabic" w:hint="cs"/>
          <w:color w:val="000000"/>
          <w:kern w:val="22"/>
          <w:rtl/>
        </w:rPr>
        <w:t xml:space="preserve"> بشأن هذه المسألة</w:t>
      </w:r>
      <w:r w:rsidRPr="00B54CF7">
        <w:rPr>
          <w:rFonts w:cs="Simplified Arabic"/>
          <w:color w:val="000000"/>
          <w:kern w:val="22"/>
          <w:rtl/>
        </w:rPr>
        <w:t xml:space="preserve">، </w:t>
      </w:r>
      <w:r w:rsidR="00FF1655">
        <w:rPr>
          <w:rFonts w:cs="Simplified Arabic" w:hint="cs"/>
          <w:color w:val="000000"/>
          <w:kern w:val="22"/>
          <w:rtl/>
        </w:rPr>
        <w:t xml:space="preserve">إنه </w:t>
      </w:r>
      <w:r w:rsidRPr="00B54CF7">
        <w:rPr>
          <w:rFonts w:cs="Simplified Arabic"/>
          <w:color w:val="000000"/>
          <w:kern w:val="22"/>
          <w:rtl/>
        </w:rPr>
        <w:t>سيعد مشروع مقرر</w:t>
      </w:r>
      <w:r w:rsidRPr="00B54CF7">
        <w:rPr>
          <w:rFonts w:cs="Simplified Arabic" w:hint="cs"/>
          <w:color w:val="000000"/>
          <w:kern w:val="22"/>
          <w:rtl/>
        </w:rPr>
        <w:t xml:space="preserve"> </w:t>
      </w:r>
      <w:r w:rsidR="00CF3DF8">
        <w:rPr>
          <w:rFonts w:cs="Simplified Arabic" w:hint="cs"/>
          <w:color w:val="000000"/>
          <w:kern w:val="22"/>
          <w:rtl/>
        </w:rPr>
        <w:t>لموافقة</w:t>
      </w:r>
      <w:r w:rsidRPr="00B54CF7">
        <w:rPr>
          <w:rFonts w:cs="Simplified Arabic"/>
          <w:color w:val="000000"/>
          <w:kern w:val="22"/>
          <w:rtl/>
        </w:rPr>
        <w:t xml:space="preserve"> الفريق العامل.</w:t>
      </w:r>
    </w:p>
    <w:p w:rsidR="004A3612" w:rsidRPr="00B54CF7" w:rsidRDefault="004A3612" w:rsidP="00FF7FA5">
      <w:pPr>
        <w:pStyle w:val="ListParagraph"/>
        <w:numPr>
          <w:ilvl w:val="0"/>
          <w:numId w:val="6"/>
        </w:numPr>
        <w:bidi/>
        <w:spacing w:line="216" w:lineRule="auto"/>
        <w:ind w:left="0" w:firstLine="0"/>
        <w:rPr>
          <w:rFonts w:cs="Simplified Arabic"/>
          <w:rtl/>
        </w:rPr>
      </w:pPr>
      <w:r w:rsidRPr="00B54CF7">
        <w:rPr>
          <w:rFonts w:cs="Simplified Arabic" w:hint="cs"/>
          <w:rtl/>
        </w:rPr>
        <w:t>و</w:t>
      </w:r>
      <w:r w:rsidR="00CF3DF8">
        <w:rPr>
          <w:rFonts w:cs="Simplified Arabic" w:hint="cs"/>
          <w:rtl/>
        </w:rPr>
        <w:t xml:space="preserve">في جلسته السابعة، </w:t>
      </w:r>
      <w:r w:rsidR="00CF3DF8">
        <w:rPr>
          <w:rFonts w:cs="Simplified Arabic"/>
          <w:rtl/>
        </w:rPr>
        <w:t xml:space="preserve">المعقودة في 21 </w:t>
      </w:r>
      <w:r w:rsidR="00CF3DF8">
        <w:rPr>
          <w:rFonts w:cs="Simplified Arabic" w:hint="cs"/>
          <w:rtl/>
        </w:rPr>
        <w:t>نوفمبر/</w:t>
      </w:r>
      <w:r w:rsidR="00CF3DF8">
        <w:rPr>
          <w:rFonts w:cs="Simplified Arabic"/>
          <w:rtl/>
        </w:rPr>
        <w:t>تشرين الثاني</w:t>
      </w:r>
      <w:r w:rsidRPr="00B54CF7">
        <w:rPr>
          <w:rFonts w:cs="Simplified Arabic"/>
          <w:rtl/>
        </w:rPr>
        <w:t xml:space="preserve"> 2018، </w:t>
      </w:r>
      <w:r w:rsidR="00CF3DF8">
        <w:rPr>
          <w:rFonts w:cs="Simplified Arabic" w:hint="cs"/>
          <w:rtl/>
        </w:rPr>
        <w:t xml:space="preserve">وافق الفريق العامل </w:t>
      </w:r>
      <w:r w:rsidRPr="00B54CF7">
        <w:rPr>
          <w:rFonts w:cs="Simplified Arabic"/>
          <w:rtl/>
        </w:rPr>
        <w:t xml:space="preserve">على مشروع المقرر لإحالته إلى الجلسة العامة بوصفه مشروع المقرر </w:t>
      </w:r>
      <w:r w:rsidRPr="00B54CF7">
        <w:rPr>
          <w:rFonts w:cs="Simplified Arabic"/>
        </w:rPr>
        <w:t>CBD/ COP/14/L.3</w:t>
      </w:r>
      <w:r w:rsidRPr="00B54CF7">
        <w:rPr>
          <w:rFonts w:cs="Simplified Arabic"/>
          <w:rtl/>
        </w:rPr>
        <w:t>.</w:t>
      </w:r>
    </w:p>
    <w:p w:rsidR="004A3612" w:rsidRPr="00997CAE" w:rsidRDefault="004A3612" w:rsidP="00FF7FA5">
      <w:pPr>
        <w:pStyle w:val="ListParagraph"/>
        <w:numPr>
          <w:ilvl w:val="0"/>
          <w:numId w:val="6"/>
        </w:numPr>
        <w:bidi/>
        <w:spacing w:line="216" w:lineRule="auto"/>
        <w:ind w:left="0" w:firstLine="0"/>
        <w:rPr>
          <w:rFonts w:cs="Simplified Arabic"/>
        </w:rPr>
      </w:pPr>
      <w:r w:rsidRPr="00997CAE">
        <w:rPr>
          <w:rFonts w:cs="Simplified Arabic" w:hint="cs"/>
          <w:rtl/>
        </w:rPr>
        <w:t xml:space="preserve">وفي الجلسة العامة الرابعة للاجتماع، المنعقدة في 22 نوفمبر/تشرين الثاني 2018، اعتمد مؤتمر الأطراف مشروع المقرر </w:t>
      </w:r>
      <w:r w:rsidRPr="00997CAE">
        <w:rPr>
          <w:rFonts w:cs="Simplified Arabic"/>
        </w:rPr>
        <w:t>CBD/COP/14/L.3</w:t>
      </w:r>
      <w:r w:rsidRPr="00997CAE">
        <w:rPr>
          <w:rFonts w:cs="Simplified Arabic" w:hint="cs"/>
          <w:rtl/>
        </w:rPr>
        <w:t xml:space="preserve"> بوصفه </w:t>
      </w:r>
      <w:r w:rsidR="00B54CF7" w:rsidRPr="00997CAE">
        <w:rPr>
          <w:rFonts w:cs="Simplified Arabic" w:hint="cs"/>
          <w:rtl/>
        </w:rPr>
        <w:t>المقرر 14/</w:t>
      </w:r>
      <w:r w:rsidR="0050720B">
        <w:rPr>
          <w:rFonts w:asciiTheme="majorBidi" w:hAnsiTheme="majorBidi" w:cstheme="majorBidi" w:hint="cs"/>
          <w:rtl/>
        </w:rPr>
        <w:t>18</w:t>
      </w:r>
      <w:r w:rsidR="00B54CF7" w:rsidRPr="00997CAE">
        <w:rPr>
          <w:rFonts w:cs="Simplified Arabic" w:hint="cs"/>
          <w:rtl/>
        </w:rPr>
        <w:t>.</w:t>
      </w:r>
    </w:p>
    <w:p w:rsidR="00697943" w:rsidRPr="00997CAE" w:rsidRDefault="00697943" w:rsidP="006822FE">
      <w:pPr>
        <w:pStyle w:val="ListParagraph"/>
        <w:keepNext/>
        <w:tabs>
          <w:tab w:val="left" w:pos="1080"/>
        </w:tabs>
        <w:bidi/>
        <w:spacing w:line="216" w:lineRule="auto"/>
        <w:ind w:left="0"/>
        <w:jc w:val="center"/>
        <w:outlineLvl w:val="1"/>
        <w:rPr>
          <w:rFonts w:cs="Simplified Arabic"/>
          <w:b/>
          <w:bCs/>
        </w:rPr>
      </w:pPr>
      <w:bookmarkStart w:id="225" w:name="_Toc6140012"/>
      <w:r w:rsidRPr="00997CAE">
        <w:rPr>
          <w:rFonts w:cs="Simplified Arabic" w:hint="cs"/>
          <w:b/>
          <w:bCs/>
          <w:rtl/>
        </w:rPr>
        <w:lastRenderedPageBreak/>
        <w:t xml:space="preserve">البند 9 - </w:t>
      </w:r>
      <w:r w:rsidRPr="00997CAE">
        <w:rPr>
          <w:rFonts w:cs="Simplified Arabic" w:hint="cs"/>
          <w:b/>
          <w:bCs/>
          <w:rtl/>
        </w:rPr>
        <w:tab/>
        <w:t>حشد الموارد والآلية المالية</w:t>
      </w:r>
      <w:bookmarkEnd w:id="225"/>
    </w:p>
    <w:p w:rsidR="00C1562B" w:rsidRPr="00B54CF7" w:rsidRDefault="00FF1655" w:rsidP="00FE22AF">
      <w:pPr>
        <w:pStyle w:val="ListParagraph"/>
        <w:numPr>
          <w:ilvl w:val="0"/>
          <w:numId w:val="6"/>
        </w:numPr>
        <w:bidi/>
        <w:spacing w:line="216" w:lineRule="auto"/>
        <w:ind w:left="0" w:firstLine="0"/>
        <w:rPr>
          <w:rFonts w:cs="Simplified Arabic"/>
        </w:rPr>
      </w:pPr>
      <w:r>
        <w:rPr>
          <w:rFonts w:cs="Simplified Arabic" w:hint="cs"/>
          <w:snapToGrid w:val="0"/>
          <w:kern w:val="22"/>
          <w:rtl/>
        </w:rPr>
        <w:t>كان البند 9 منقسما إلى بندين فرعيين: (1) حشد الموارد، والضمانات في آليات تمويل التنوع البيولوجي والإرشادات المنهجية بشأن مساهمات الشعوب الأصلية والمجتمعات المحلية و(ب) الآلية المالية.</w:t>
      </w:r>
    </w:p>
    <w:p w:rsidR="004A3612" w:rsidRPr="00997CAE" w:rsidRDefault="004A3612" w:rsidP="0050720B">
      <w:pPr>
        <w:jc w:val="center"/>
      </w:pPr>
      <w:r w:rsidRPr="00997CAE">
        <w:rPr>
          <w:rFonts w:hint="cs"/>
          <w:i/>
          <w:iCs/>
          <w:rtl/>
        </w:rPr>
        <w:t>حشد الموارد: الضمانات في آليات تمويل التنوع البيولوجي؛</w:t>
      </w:r>
      <w:r w:rsidRPr="00997CAE">
        <w:rPr>
          <w:rFonts w:hint="cs"/>
          <w:rtl/>
        </w:rPr>
        <w:t xml:space="preserve"> و</w:t>
      </w:r>
      <w:r w:rsidRPr="00997CAE">
        <w:rPr>
          <w:rFonts w:hint="cs"/>
          <w:i/>
          <w:iCs/>
          <w:rtl/>
        </w:rPr>
        <w:t>الإرشادات المنهجية بشأن مساهمات الشعوب الأصلية والمجتمعات المحلية</w:t>
      </w:r>
    </w:p>
    <w:p w:rsidR="004A3612" w:rsidRPr="00B54CF7" w:rsidRDefault="00FE22AF" w:rsidP="00FE22AF">
      <w:pPr>
        <w:pStyle w:val="ListParagraph"/>
        <w:numPr>
          <w:ilvl w:val="0"/>
          <w:numId w:val="6"/>
        </w:numPr>
        <w:bidi/>
        <w:spacing w:line="216" w:lineRule="auto"/>
        <w:ind w:left="0" w:firstLine="0"/>
        <w:rPr>
          <w:rFonts w:cs="Simplified Arabic"/>
          <w:snapToGrid w:val="0"/>
          <w:kern w:val="22"/>
          <w:rtl/>
        </w:rPr>
      </w:pPr>
      <w:r>
        <w:rPr>
          <w:rFonts w:cs="Simplified Arabic" w:hint="cs"/>
          <w:snapToGrid w:val="0"/>
          <w:kern w:val="22"/>
          <w:rtl/>
        </w:rPr>
        <w:t>في</w:t>
      </w:r>
      <w:r w:rsidRPr="00B54CF7">
        <w:rPr>
          <w:rFonts w:cs="Simplified Arabic" w:hint="cs"/>
          <w:snapToGrid w:val="0"/>
          <w:kern w:val="22"/>
          <w:rtl/>
        </w:rPr>
        <w:t xml:space="preserve"> </w:t>
      </w:r>
      <w:r w:rsidRPr="00B54CF7">
        <w:rPr>
          <w:rFonts w:cs="Simplified Arabic" w:hint="cs"/>
          <w:color w:val="000000"/>
          <w:kern w:val="22"/>
          <w:rtl/>
        </w:rPr>
        <w:t>جلسته</w:t>
      </w:r>
      <w:r w:rsidRPr="00B54CF7">
        <w:rPr>
          <w:rFonts w:cs="Simplified Arabic"/>
          <w:color w:val="000000"/>
          <w:kern w:val="22"/>
          <w:rtl/>
        </w:rPr>
        <w:t xml:space="preserve"> الثالث</w:t>
      </w:r>
      <w:r w:rsidRPr="00B54CF7">
        <w:rPr>
          <w:rFonts w:cs="Simplified Arabic" w:hint="cs"/>
          <w:color w:val="000000"/>
          <w:kern w:val="22"/>
          <w:rtl/>
        </w:rPr>
        <w:t>ة</w:t>
      </w:r>
      <w:r>
        <w:rPr>
          <w:rFonts w:cs="Simplified Arabic" w:hint="cs"/>
          <w:snapToGrid w:val="0"/>
          <w:kern w:val="22"/>
          <w:rtl/>
        </w:rPr>
        <w:t>،</w:t>
      </w:r>
      <w:r w:rsidRPr="00B54CF7">
        <w:rPr>
          <w:rFonts w:cs="Simplified Arabic" w:hint="cs"/>
          <w:snapToGrid w:val="0"/>
          <w:kern w:val="22"/>
          <w:rtl/>
        </w:rPr>
        <w:t xml:space="preserve"> المنعقدة في </w:t>
      </w:r>
      <w:r w:rsidRPr="00B54CF7">
        <w:rPr>
          <w:rFonts w:cs="Simplified Arabic" w:hint="cs"/>
          <w:color w:val="000000"/>
          <w:kern w:val="22"/>
          <w:rtl/>
        </w:rPr>
        <w:t xml:space="preserve">19 </w:t>
      </w:r>
      <w:r w:rsidRPr="00B54CF7">
        <w:rPr>
          <w:rFonts w:cs="Simplified Arabic"/>
          <w:color w:val="000000"/>
          <w:kern w:val="22"/>
          <w:rtl/>
        </w:rPr>
        <w:t xml:space="preserve">نوفمبر/تشرين </w:t>
      </w:r>
      <w:r w:rsidRPr="00B54CF7">
        <w:rPr>
          <w:rFonts w:cs="Simplified Arabic" w:hint="cs"/>
          <w:color w:val="000000"/>
          <w:kern w:val="22"/>
          <w:rtl/>
        </w:rPr>
        <w:t>الثاني 2018</w:t>
      </w:r>
      <w:r>
        <w:rPr>
          <w:rFonts w:cs="Simplified Arabic" w:hint="cs"/>
          <w:snapToGrid w:val="0"/>
          <w:kern w:val="22"/>
          <w:rtl/>
        </w:rPr>
        <w:t xml:space="preserve">، </w:t>
      </w:r>
      <w:r w:rsidR="004A3612" w:rsidRPr="00B54CF7">
        <w:rPr>
          <w:rFonts w:cs="Simplified Arabic" w:hint="cs"/>
          <w:snapToGrid w:val="0"/>
          <w:kern w:val="22"/>
          <w:rtl/>
        </w:rPr>
        <w:t xml:space="preserve">تناول الفريق العامل الأول البند الفرعي الأول من البند 9 من جدول </w:t>
      </w:r>
      <w:r w:rsidR="0050720B">
        <w:rPr>
          <w:rFonts w:cs="Simplified Arabic" w:hint="cs"/>
          <w:snapToGrid w:val="0"/>
          <w:kern w:val="22"/>
          <w:rtl/>
        </w:rPr>
        <w:t>الأعمال الذي يتضمن ثلاثة جوانب.</w:t>
      </w:r>
    </w:p>
    <w:p w:rsidR="004A3612" w:rsidRPr="00B54CF7" w:rsidRDefault="004A3612" w:rsidP="00EE1A6B">
      <w:pPr>
        <w:pStyle w:val="ListParagraph"/>
        <w:numPr>
          <w:ilvl w:val="0"/>
          <w:numId w:val="6"/>
        </w:numPr>
        <w:bidi/>
        <w:spacing w:line="216" w:lineRule="auto"/>
        <w:ind w:left="0" w:firstLine="0"/>
        <w:rPr>
          <w:rFonts w:cs="Simplified Arabic"/>
          <w:snapToGrid w:val="0"/>
          <w:kern w:val="22"/>
          <w:rtl/>
        </w:rPr>
      </w:pPr>
      <w:r w:rsidRPr="00B54CF7">
        <w:rPr>
          <w:rFonts w:cs="Simplified Arabic"/>
          <w:rtl/>
        </w:rPr>
        <w:t>وكان معروضا على الفريق العامل في غضون نظره في</w:t>
      </w:r>
      <w:r w:rsidRPr="00B54CF7">
        <w:rPr>
          <w:rFonts w:cs="Simplified Arabic" w:hint="cs"/>
          <w:rtl/>
        </w:rPr>
        <w:t xml:space="preserve"> </w:t>
      </w:r>
      <w:r w:rsidRPr="00B54CF7">
        <w:rPr>
          <w:rFonts w:cs="Simplified Arabic" w:hint="cs"/>
          <w:kern w:val="22"/>
          <w:rtl/>
        </w:rPr>
        <w:t>الجانب المتعلق بحشد الموارد من</w:t>
      </w:r>
      <w:r w:rsidRPr="00B54CF7">
        <w:rPr>
          <w:rFonts w:cs="Simplified Arabic"/>
          <w:rtl/>
        </w:rPr>
        <w:t xml:space="preserve"> البند</w:t>
      </w:r>
      <w:r w:rsidRPr="00B54CF7">
        <w:rPr>
          <w:rFonts w:cs="Simplified Arabic" w:hint="cs"/>
          <w:rtl/>
        </w:rPr>
        <w:t xml:space="preserve"> الفرعي</w:t>
      </w:r>
      <w:r w:rsidRPr="00B54CF7">
        <w:rPr>
          <w:rFonts w:cs="Simplified Arabic"/>
          <w:rtl/>
        </w:rPr>
        <w:t xml:space="preserve"> </w:t>
      </w:r>
      <w:r w:rsidRPr="00B54CF7">
        <w:rPr>
          <w:rFonts w:cs="Simplified Arabic" w:hint="cs"/>
          <w:rtl/>
        </w:rPr>
        <w:t>مشروع المقرّر المبين</w:t>
      </w:r>
      <w:r w:rsidRPr="00B54CF7">
        <w:rPr>
          <w:rFonts w:cs="Simplified Arabic"/>
          <w:i/>
          <w:kern w:val="22"/>
          <w:rtl/>
        </w:rPr>
        <w:t xml:space="preserve"> في تجميع مشاريع المقررات</w:t>
      </w:r>
      <w:r w:rsidRPr="00B54CF7">
        <w:rPr>
          <w:rFonts w:cs="Simplified Arabic" w:hint="cs"/>
          <w:i/>
          <w:kern w:val="22"/>
          <w:rtl/>
        </w:rPr>
        <w:t xml:space="preserve"> </w:t>
      </w:r>
      <w:r w:rsidRPr="00B54CF7">
        <w:rPr>
          <w:rFonts w:cs="Simplified Arabic"/>
          <w:kern w:val="22"/>
        </w:rPr>
        <w:t>(CBD/COP/14/2)</w:t>
      </w:r>
      <w:r w:rsidRPr="00B54CF7">
        <w:rPr>
          <w:rFonts w:cs="Simplified Arabic" w:hint="cs"/>
          <w:kern w:val="22"/>
          <w:rtl/>
        </w:rPr>
        <w:t xml:space="preserve">. </w:t>
      </w:r>
      <w:r w:rsidRPr="00B54CF7">
        <w:rPr>
          <w:rFonts w:cs="Simplified Arabic"/>
          <w:kern w:val="22"/>
          <w:rtl/>
        </w:rPr>
        <w:t>و</w:t>
      </w:r>
      <w:r w:rsidR="00FE22AF">
        <w:rPr>
          <w:rFonts w:cs="Simplified Arabic" w:hint="cs"/>
          <w:kern w:val="22"/>
          <w:rtl/>
        </w:rPr>
        <w:t xml:space="preserve">يستند </w:t>
      </w:r>
      <w:r w:rsidRPr="00B54CF7">
        <w:rPr>
          <w:rFonts w:cs="Simplified Arabic"/>
          <w:kern w:val="22"/>
          <w:rtl/>
        </w:rPr>
        <w:t xml:space="preserve">مشروع المقرر </w:t>
      </w:r>
      <w:r w:rsidRPr="00B54CF7">
        <w:rPr>
          <w:rFonts w:cs="Simplified Arabic" w:hint="cs"/>
          <w:kern w:val="22"/>
          <w:rtl/>
        </w:rPr>
        <w:t>إلى التوصية</w:t>
      </w:r>
      <w:r w:rsidR="0050720B">
        <w:rPr>
          <w:rFonts w:cs="Simplified Arabic" w:hint="cs"/>
          <w:kern w:val="22"/>
          <w:rtl/>
        </w:rPr>
        <w:t xml:space="preserve"> 2/6 للهيئة الفرعية للتنفيذ</w:t>
      </w:r>
      <w:r w:rsidRPr="00B54CF7">
        <w:rPr>
          <w:rFonts w:cs="Simplified Arabic" w:hint="cs"/>
          <w:kern w:val="22"/>
          <w:rtl/>
        </w:rPr>
        <w:t xml:space="preserve"> </w:t>
      </w:r>
      <w:r w:rsidRPr="00B54CF7">
        <w:rPr>
          <w:rFonts w:cs="Simplified Arabic"/>
          <w:kern w:val="22"/>
          <w:rtl/>
        </w:rPr>
        <w:t>مع مراعاة المعلومات المستكملة والتحليل الذي أعدته الأمينة التنفيذية</w:t>
      </w:r>
      <w:r w:rsidRPr="00B54CF7">
        <w:rPr>
          <w:rFonts w:cs="Simplified Arabic" w:hint="cs"/>
          <w:kern w:val="22"/>
          <w:rtl/>
        </w:rPr>
        <w:t xml:space="preserve"> </w:t>
      </w:r>
      <w:r w:rsidRPr="00B54CF7">
        <w:rPr>
          <w:rFonts w:cs="Simplified Arabic"/>
          <w:kern w:val="22"/>
        </w:rPr>
        <w:t>(CBD/COP/14/6)</w:t>
      </w:r>
      <w:r w:rsidRPr="00B54CF7">
        <w:rPr>
          <w:rFonts w:cs="Simplified Arabic" w:hint="cs"/>
          <w:kern w:val="22"/>
          <w:rtl/>
        </w:rPr>
        <w:t>.</w:t>
      </w:r>
      <w:r w:rsidRPr="00B54CF7">
        <w:rPr>
          <w:rFonts w:cs="Simplified Arabic"/>
          <w:kern w:val="22"/>
          <w:rtl/>
        </w:rPr>
        <w:t xml:space="preserve"> </w:t>
      </w:r>
      <w:r w:rsidRPr="00B54CF7">
        <w:rPr>
          <w:rFonts w:cs="Simplified Arabic" w:hint="cs"/>
          <w:kern w:val="22"/>
          <w:rtl/>
        </w:rPr>
        <w:t xml:space="preserve">وفيما يخص الجانب المتعلق بحشد الموارد، </w:t>
      </w:r>
      <w:r w:rsidRPr="00B54CF7">
        <w:rPr>
          <w:rFonts w:cs="Simplified Arabic" w:hint="cs"/>
          <w:rtl/>
        </w:rPr>
        <w:t>قال</w:t>
      </w:r>
      <w:r w:rsidRPr="00B54CF7">
        <w:rPr>
          <w:rFonts w:cs="Simplified Arabic"/>
          <w:rtl/>
        </w:rPr>
        <w:t xml:space="preserve"> </w:t>
      </w:r>
      <w:r w:rsidRPr="00B54CF7">
        <w:rPr>
          <w:rFonts w:cs="Simplified Arabic" w:hint="cs"/>
          <w:rtl/>
        </w:rPr>
        <w:t>ممثل</w:t>
      </w:r>
      <w:r w:rsidRPr="00B54CF7">
        <w:rPr>
          <w:rFonts w:cs="Simplified Arabic"/>
          <w:rtl/>
        </w:rPr>
        <w:t xml:space="preserve"> </w:t>
      </w:r>
      <w:r w:rsidR="00EE1A6B">
        <w:rPr>
          <w:rFonts w:cs="Simplified Arabic" w:hint="cs"/>
          <w:rtl/>
        </w:rPr>
        <w:t xml:space="preserve">عن </w:t>
      </w:r>
      <w:r w:rsidRPr="00B54CF7">
        <w:rPr>
          <w:rFonts w:cs="Simplified Arabic" w:hint="cs"/>
          <w:rtl/>
        </w:rPr>
        <w:t>الأمانة</w:t>
      </w:r>
      <w:r w:rsidRPr="00B54CF7">
        <w:rPr>
          <w:rFonts w:cs="Simplified Arabic"/>
          <w:rtl/>
        </w:rPr>
        <w:t xml:space="preserve"> </w:t>
      </w:r>
      <w:r w:rsidRPr="00B54CF7">
        <w:rPr>
          <w:rFonts w:cs="Simplified Arabic" w:hint="cs"/>
          <w:rtl/>
        </w:rPr>
        <w:t>إنه</w:t>
      </w:r>
      <w:r w:rsidRPr="00B54CF7">
        <w:rPr>
          <w:rFonts w:cs="Simplified Arabic"/>
          <w:rtl/>
        </w:rPr>
        <w:t xml:space="preserve"> </w:t>
      </w:r>
      <w:r w:rsidRPr="00B54CF7">
        <w:rPr>
          <w:rFonts w:cs="Simplified Arabic" w:hint="cs"/>
          <w:rtl/>
        </w:rPr>
        <w:t>منذ</w:t>
      </w:r>
      <w:r w:rsidRPr="00B54CF7">
        <w:rPr>
          <w:rFonts w:cs="Simplified Arabic"/>
          <w:rtl/>
        </w:rPr>
        <w:t xml:space="preserve"> </w:t>
      </w:r>
      <w:r w:rsidRPr="00B54CF7">
        <w:rPr>
          <w:rFonts w:cs="Simplified Arabic" w:hint="cs"/>
          <w:rtl/>
        </w:rPr>
        <w:t>صدور</w:t>
      </w:r>
      <w:r w:rsidRPr="00B54CF7">
        <w:rPr>
          <w:rFonts w:cs="Simplified Arabic"/>
          <w:rtl/>
        </w:rPr>
        <w:t xml:space="preserve"> </w:t>
      </w:r>
      <w:r w:rsidRPr="00B54CF7">
        <w:rPr>
          <w:rFonts w:cs="Simplified Arabic" w:hint="cs"/>
          <w:rtl/>
        </w:rPr>
        <w:t>التحليل</w:t>
      </w:r>
      <w:r w:rsidRPr="00B54CF7">
        <w:rPr>
          <w:rFonts w:cs="Simplified Arabic"/>
          <w:rtl/>
        </w:rPr>
        <w:t xml:space="preserve"> </w:t>
      </w:r>
      <w:r w:rsidRPr="00B54CF7">
        <w:rPr>
          <w:rFonts w:cs="Simplified Arabic" w:hint="cs"/>
          <w:rtl/>
        </w:rPr>
        <w:t>الذي</w:t>
      </w:r>
      <w:r w:rsidRPr="00B54CF7">
        <w:rPr>
          <w:rFonts w:cs="Simplified Arabic"/>
          <w:rtl/>
        </w:rPr>
        <w:t xml:space="preserve"> </w:t>
      </w:r>
      <w:r w:rsidRPr="00B54CF7">
        <w:rPr>
          <w:rFonts w:cs="Simplified Arabic" w:hint="cs"/>
          <w:rtl/>
        </w:rPr>
        <w:t>أعدته</w:t>
      </w:r>
      <w:r w:rsidRPr="00B54CF7">
        <w:rPr>
          <w:rFonts w:cs="Simplified Arabic"/>
          <w:rtl/>
        </w:rPr>
        <w:t xml:space="preserve"> </w:t>
      </w:r>
      <w:r w:rsidRPr="00B54CF7">
        <w:rPr>
          <w:rFonts w:cs="Simplified Arabic" w:hint="cs"/>
          <w:rtl/>
        </w:rPr>
        <w:t>الأمينة</w:t>
      </w:r>
      <w:r w:rsidRPr="00B54CF7">
        <w:rPr>
          <w:rFonts w:cs="Simplified Arabic"/>
          <w:rtl/>
        </w:rPr>
        <w:t xml:space="preserve"> </w:t>
      </w:r>
      <w:r w:rsidRPr="00B54CF7">
        <w:rPr>
          <w:rFonts w:cs="Simplified Arabic" w:hint="cs"/>
          <w:rtl/>
        </w:rPr>
        <w:t>التنفيذية،</w:t>
      </w:r>
      <w:r w:rsidRPr="00B54CF7">
        <w:rPr>
          <w:rFonts w:cs="Simplified Arabic"/>
          <w:rtl/>
        </w:rPr>
        <w:t xml:space="preserve"> </w:t>
      </w:r>
      <w:r w:rsidR="0050720B">
        <w:rPr>
          <w:rFonts w:cs="Simplified Arabic" w:hint="cs"/>
          <w:rtl/>
        </w:rPr>
        <w:t xml:space="preserve">قدمت </w:t>
      </w:r>
      <w:r w:rsidRPr="00B54CF7">
        <w:rPr>
          <w:rFonts w:cs="Simplified Arabic" w:hint="cs"/>
          <w:rtl/>
        </w:rPr>
        <w:t>كندا،</w:t>
      </w:r>
      <w:r w:rsidRPr="00B54CF7">
        <w:rPr>
          <w:rFonts w:cs="Simplified Arabic"/>
          <w:rtl/>
        </w:rPr>
        <w:t xml:space="preserve"> </w:t>
      </w:r>
      <w:r w:rsidR="0050720B">
        <w:rPr>
          <w:rFonts w:cs="Simplified Arabic" w:hint="cs"/>
          <w:rtl/>
        </w:rPr>
        <w:t>و</w:t>
      </w:r>
      <w:r w:rsidRPr="00B54CF7">
        <w:rPr>
          <w:rFonts w:cs="Simplified Arabic" w:hint="cs"/>
          <w:rtl/>
        </w:rPr>
        <w:t>كازاخستان</w:t>
      </w:r>
      <w:r w:rsidRPr="00B54CF7">
        <w:rPr>
          <w:rFonts w:cs="Simplified Arabic"/>
          <w:rtl/>
        </w:rPr>
        <w:t xml:space="preserve"> </w:t>
      </w:r>
      <w:r w:rsidRPr="00B54CF7">
        <w:rPr>
          <w:rFonts w:cs="Simplified Arabic" w:hint="cs"/>
          <w:rtl/>
        </w:rPr>
        <w:t>وسويسرا</w:t>
      </w:r>
      <w:r w:rsidRPr="00B54CF7">
        <w:rPr>
          <w:rFonts w:cs="Simplified Arabic"/>
          <w:rtl/>
        </w:rPr>
        <w:t xml:space="preserve"> </w:t>
      </w:r>
      <w:r w:rsidRPr="00B54CF7">
        <w:rPr>
          <w:rFonts w:cs="Simplified Arabic" w:hint="cs"/>
          <w:rtl/>
        </w:rPr>
        <w:t>معلومات</w:t>
      </w:r>
      <w:r w:rsidRPr="00B54CF7">
        <w:rPr>
          <w:rFonts w:cs="Simplified Arabic"/>
          <w:rtl/>
        </w:rPr>
        <w:t xml:space="preserve"> </w:t>
      </w:r>
      <w:r w:rsidRPr="00B54CF7">
        <w:rPr>
          <w:rFonts w:cs="Simplified Arabic" w:hint="cs"/>
          <w:rtl/>
        </w:rPr>
        <w:t>مستكملة</w:t>
      </w:r>
      <w:r w:rsidRPr="00B54CF7">
        <w:rPr>
          <w:rFonts w:cs="Simplified Arabic"/>
          <w:rtl/>
        </w:rPr>
        <w:t xml:space="preserve"> </w:t>
      </w:r>
      <w:r w:rsidRPr="00B54CF7">
        <w:rPr>
          <w:rFonts w:cs="Simplified Arabic" w:hint="cs"/>
          <w:rtl/>
        </w:rPr>
        <w:t>من</w:t>
      </w:r>
      <w:r w:rsidRPr="00B54CF7">
        <w:rPr>
          <w:rFonts w:cs="Simplified Arabic"/>
          <w:rtl/>
        </w:rPr>
        <w:t xml:space="preserve"> </w:t>
      </w:r>
      <w:r w:rsidRPr="00B54CF7">
        <w:rPr>
          <w:rFonts w:cs="Simplified Arabic" w:hint="cs"/>
          <w:rtl/>
        </w:rPr>
        <w:t>خلال</w:t>
      </w:r>
      <w:r w:rsidRPr="00B54CF7">
        <w:rPr>
          <w:rFonts w:cs="Simplified Arabic"/>
          <w:rtl/>
        </w:rPr>
        <w:t xml:space="preserve"> </w:t>
      </w:r>
      <w:r w:rsidRPr="00B54CF7">
        <w:rPr>
          <w:rFonts w:cs="Simplified Arabic" w:hint="cs"/>
          <w:rtl/>
        </w:rPr>
        <w:t>إطار</w:t>
      </w:r>
      <w:r w:rsidRPr="00B54CF7">
        <w:rPr>
          <w:rFonts w:cs="Simplified Arabic"/>
          <w:rtl/>
        </w:rPr>
        <w:t xml:space="preserve"> </w:t>
      </w:r>
      <w:r w:rsidRPr="00B54CF7">
        <w:rPr>
          <w:rFonts w:cs="Simplified Arabic" w:hint="cs"/>
          <w:rtl/>
        </w:rPr>
        <w:t>الإبلاغ</w:t>
      </w:r>
      <w:r w:rsidRPr="00B54CF7">
        <w:rPr>
          <w:rFonts w:cs="Simplified Arabic"/>
          <w:rtl/>
        </w:rPr>
        <w:t xml:space="preserve"> </w:t>
      </w:r>
      <w:r w:rsidRPr="00B54CF7">
        <w:rPr>
          <w:rFonts w:cs="Simplified Arabic" w:hint="cs"/>
          <w:rtl/>
        </w:rPr>
        <w:t>المالي</w:t>
      </w:r>
      <w:r w:rsidRPr="00B54CF7">
        <w:rPr>
          <w:rFonts w:cs="Simplified Arabic"/>
          <w:rtl/>
        </w:rPr>
        <w:t xml:space="preserve"> </w:t>
      </w:r>
      <w:r w:rsidRPr="00B54CF7">
        <w:rPr>
          <w:rFonts w:cs="Simplified Arabic" w:hint="cs"/>
          <w:rtl/>
        </w:rPr>
        <w:t>ل</w:t>
      </w:r>
      <w:r w:rsidR="0050720B">
        <w:rPr>
          <w:rFonts w:cs="Simplified Arabic" w:hint="cs"/>
          <w:rtl/>
        </w:rPr>
        <w:t>دور</w:t>
      </w:r>
      <w:r w:rsidRPr="00B54CF7">
        <w:rPr>
          <w:rFonts w:cs="Simplified Arabic" w:hint="cs"/>
          <w:rtl/>
        </w:rPr>
        <w:t>ة</w:t>
      </w:r>
      <w:r w:rsidRPr="00B54CF7">
        <w:rPr>
          <w:rFonts w:cs="Simplified Arabic"/>
          <w:rtl/>
        </w:rPr>
        <w:t xml:space="preserve"> </w:t>
      </w:r>
      <w:r w:rsidRPr="00B54CF7">
        <w:rPr>
          <w:rFonts w:cs="Simplified Arabic" w:hint="cs"/>
          <w:rtl/>
        </w:rPr>
        <w:t>الإبلاغ</w:t>
      </w:r>
      <w:r w:rsidRPr="00B54CF7">
        <w:rPr>
          <w:rFonts w:cs="Simplified Arabic"/>
          <w:rtl/>
        </w:rPr>
        <w:t xml:space="preserve"> </w:t>
      </w:r>
      <w:r w:rsidRPr="00B54CF7">
        <w:rPr>
          <w:rFonts w:cs="Simplified Arabic" w:hint="cs"/>
          <w:rtl/>
        </w:rPr>
        <w:t>الأولى</w:t>
      </w:r>
      <w:r w:rsidRPr="00B54CF7">
        <w:rPr>
          <w:rFonts w:cs="Simplified Arabic"/>
          <w:rtl/>
        </w:rPr>
        <w:t xml:space="preserve"> </w:t>
      </w:r>
      <w:r w:rsidRPr="00B54CF7">
        <w:rPr>
          <w:rFonts w:cs="Simplified Arabic" w:hint="cs"/>
          <w:rtl/>
        </w:rPr>
        <w:t>حتى</w:t>
      </w:r>
      <w:r w:rsidRPr="00B54CF7">
        <w:rPr>
          <w:rFonts w:cs="Simplified Arabic"/>
          <w:rtl/>
        </w:rPr>
        <w:t xml:space="preserve"> </w:t>
      </w:r>
      <w:r w:rsidRPr="00B54CF7">
        <w:rPr>
          <w:rFonts w:cs="Simplified Arabic" w:hint="cs"/>
          <w:rtl/>
        </w:rPr>
        <w:t>عام</w:t>
      </w:r>
      <w:r w:rsidRPr="00B54CF7">
        <w:rPr>
          <w:rFonts w:cs="Simplified Arabic"/>
          <w:rtl/>
        </w:rPr>
        <w:t xml:space="preserve"> 2015</w:t>
      </w:r>
      <w:r w:rsidRPr="00B54CF7">
        <w:rPr>
          <w:rFonts w:cs="Simplified Arabic" w:hint="cs"/>
          <w:rtl/>
        </w:rPr>
        <w:t>.</w:t>
      </w:r>
      <w:r w:rsidRPr="00B54CF7">
        <w:rPr>
          <w:rFonts w:cs="Simplified Arabic"/>
          <w:rtl/>
        </w:rPr>
        <w:t xml:space="preserve"> </w:t>
      </w:r>
      <w:r w:rsidRPr="00B54CF7">
        <w:rPr>
          <w:rFonts w:cs="Simplified Arabic" w:hint="cs"/>
          <w:rtl/>
        </w:rPr>
        <w:t>وعلاوة على ذلك،</w:t>
      </w:r>
      <w:r w:rsidRPr="00B54CF7">
        <w:rPr>
          <w:rFonts w:cs="Simplified Arabic"/>
          <w:rtl/>
        </w:rPr>
        <w:t xml:space="preserve"> </w:t>
      </w:r>
      <w:r w:rsidRPr="00B54CF7">
        <w:rPr>
          <w:rFonts w:cs="Simplified Arabic" w:hint="cs"/>
          <w:rtl/>
        </w:rPr>
        <w:t>قدمت تايلند</w:t>
      </w:r>
      <w:r w:rsidRPr="00B54CF7">
        <w:rPr>
          <w:rFonts w:cs="Simplified Arabic"/>
          <w:rtl/>
        </w:rPr>
        <w:t xml:space="preserve"> </w:t>
      </w:r>
      <w:r w:rsidRPr="00B54CF7">
        <w:rPr>
          <w:rFonts w:cs="Simplified Arabic" w:hint="cs"/>
          <w:rtl/>
        </w:rPr>
        <w:t>معلومات</w:t>
      </w:r>
      <w:r w:rsidRPr="00B54CF7">
        <w:rPr>
          <w:rFonts w:cs="Simplified Arabic"/>
          <w:rtl/>
        </w:rPr>
        <w:t xml:space="preserve"> </w:t>
      </w:r>
      <w:r w:rsidRPr="00B54CF7">
        <w:rPr>
          <w:rFonts w:cs="Simplified Arabic" w:hint="cs"/>
          <w:rtl/>
        </w:rPr>
        <w:t>في</w:t>
      </w:r>
      <w:r w:rsidRPr="00B54CF7">
        <w:rPr>
          <w:rFonts w:cs="Simplified Arabic"/>
          <w:rtl/>
        </w:rPr>
        <w:t xml:space="preserve"> </w:t>
      </w:r>
      <w:r w:rsidRPr="00B54CF7">
        <w:rPr>
          <w:rFonts w:cs="Simplified Arabic" w:hint="cs"/>
          <w:rtl/>
        </w:rPr>
        <w:t>إطار</w:t>
      </w:r>
      <w:r w:rsidRPr="00B54CF7">
        <w:rPr>
          <w:rFonts w:cs="Simplified Arabic"/>
          <w:rtl/>
        </w:rPr>
        <w:t xml:space="preserve"> </w:t>
      </w:r>
      <w:r w:rsidRPr="00B54CF7">
        <w:rPr>
          <w:rFonts w:cs="Simplified Arabic" w:hint="cs"/>
          <w:rtl/>
        </w:rPr>
        <w:t>أول</w:t>
      </w:r>
      <w:r w:rsidRPr="00B54CF7">
        <w:rPr>
          <w:rFonts w:cs="Simplified Arabic"/>
          <w:rtl/>
        </w:rPr>
        <w:t xml:space="preserve"> </w:t>
      </w:r>
      <w:r w:rsidR="0050720B">
        <w:rPr>
          <w:rFonts w:cs="Simplified Arabic" w:hint="cs"/>
          <w:rtl/>
        </w:rPr>
        <w:t>دور</w:t>
      </w:r>
      <w:r w:rsidRPr="00B54CF7">
        <w:rPr>
          <w:rFonts w:cs="Simplified Arabic" w:hint="cs"/>
          <w:rtl/>
        </w:rPr>
        <w:t>ة</w:t>
      </w:r>
      <w:r w:rsidRPr="00B54CF7">
        <w:rPr>
          <w:rFonts w:cs="Simplified Arabic"/>
          <w:rtl/>
        </w:rPr>
        <w:t xml:space="preserve"> </w:t>
      </w:r>
      <w:r w:rsidRPr="00B54CF7">
        <w:rPr>
          <w:rFonts w:cs="Simplified Arabic" w:hint="cs"/>
          <w:rtl/>
        </w:rPr>
        <w:t>تقارير</w:t>
      </w:r>
      <w:r w:rsidRPr="00B54CF7">
        <w:rPr>
          <w:rFonts w:cs="Simplified Arabic"/>
          <w:rtl/>
        </w:rPr>
        <w:t xml:space="preserve"> </w:t>
      </w:r>
      <w:r w:rsidRPr="00B54CF7">
        <w:rPr>
          <w:rFonts w:cs="Simplified Arabic" w:hint="cs"/>
          <w:rtl/>
        </w:rPr>
        <w:t>حتى</w:t>
      </w:r>
      <w:r w:rsidRPr="00B54CF7">
        <w:rPr>
          <w:rFonts w:cs="Simplified Arabic"/>
          <w:rtl/>
        </w:rPr>
        <w:t xml:space="preserve"> </w:t>
      </w:r>
      <w:r w:rsidRPr="00B54CF7">
        <w:rPr>
          <w:rFonts w:cs="Simplified Arabic" w:hint="cs"/>
          <w:rtl/>
        </w:rPr>
        <w:t>نهاية</w:t>
      </w:r>
      <w:r w:rsidRPr="00B54CF7">
        <w:rPr>
          <w:rFonts w:cs="Simplified Arabic"/>
          <w:rtl/>
        </w:rPr>
        <w:t xml:space="preserve"> </w:t>
      </w:r>
      <w:r w:rsidRPr="00B54CF7">
        <w:rPr>
          <w:rFonts w:cs="Simplified Arabic" w:hint="cs"/>
          <w:rtl/>
        </w:rPr>
        <w:t>العام</w:t>
      </w:r>
      <w:r w:rsidR="0050720B">
        <w:rPr>
          <w:rFonts w:cs="Simplified Arabic" w:hint="cs"/>
          <w:rtl/>
        </w:rPr>
        <w:t xml:space="preserve"> ال</w:t>
      </w:r>
      <w:r w:rsidR="00EE1A6B">
        <w:rPr>
          <w:rFonts w:cs="Simplified Arabic" w:hint="cs"/>
          <w:rtl/>
        </w:rPr>
        <w:t>جار</w:t>
      </w:r>
      <w:r w:rsidR="0050720B">
        <w:rPr>
          <w:rFonts w:cs="Simplified Arabic" w:hint="cs"/>
          <w:rtl/>
        </w:rPr>
        <w:t>ي</w:t>
      </w:r>
      <w:r w:rsidRPr="00B54CF7">
        <w:rPr>
          <w:rFonts w:cs="Simplified Arabic"/>
          <w:rtl/>
        </w:rPr>
        <w:t xml:space="preserve">. </w:t>
      </w:r>
      <w:r w:rsidRPr="00B54CF7">
        <w:rPr>
          <w:rFonts w:cs="Simplified Arabic" w:hint="cs"/>
          <w:rtl/>
        </w:rPr>
        <w:t>كما أبلغت</w:t>
      </w:r>
      <w:r w:rsidRPr="00B54CF7">
        <w:rPr>
          <w:rFonts w:cs="Simplified Arabic"/>
          <w:rtl/>
        </w:rPr>
        <w:t xml:space="preserve"> </w:t>
      </w:r>
      <w:r w:rsidRPr="00B54CF7">
        <w:rPr>
          <w:rFonts w:cs="Simplified Arabic" w:hint="cs"/>
          <w:rtl/>
        </w:rPr>
        <w:t>فنلندا</w:t>
      </w:r>
      <w:r w:rsidRPr="00B54CF7">
        <w:rPr>
          <w:rFonts w:cs="Simplified Arabic"/>
          <w:rtl/>
        </w:rPr>
        <w:t xml:space="preserve"> </w:t>
      </w:r>
      <w:r w:rsidRPr="00B54CF7">
        <w:rPr>
          <w:rFonts w:cs="Simplified Arabic" w:hint="cs"/>
          <w:rtl/>
        </w:rPr>
        <w:t>والنرويج</w:t>
      </w:r>
      <w:r w:rsidRPr="00B54CF7">
        <w:rPr>
          <w:rFonts w:cs="Simplified Arabic"/>
          <w:rtl/>
        </w:rPr>
        <w:t xml:space="preserve"> </w:t>
      </w:r>
      <w:r w:rsidRPr="00B54CF7">
        <w:rPr>
          <w:rFonts w:cs="Simplified Arabic" w:hint="cs"/>
          <w:rtl/>
        </w:rPr>
        <w:t>وسويسرا</w:t>
      </w:r>
      <w:r w:rsidRPr="00B54CF7">
        <w:rPr>
          <w:rFonts w:cs="Simplified Arabic"/>
          <w:rtl/>
        </w:rPr>
        <w:t xml:space="preserve"> </w:t>
      </w:r>
      <w:r w:rsidRPr="00B54CF7">
        <w:rPr>
          <w:rFonts w:cs="Simplified Arabic" w:hint="cs"/>
          <w:rtl/>
        </w:rPr>
        <w:t>عن</w:t>
      </w:r>
      <w:r w:rsidRPr="00B54CF7">
        <w:rPr>
          <w:rFonts w:cs="Simplified Arabic"/>
          <w:rtl/>
        </w:rPr>
        <w:t xml:space="preserve"> </w:t>
      </w:r>
      <w:r w:rsidRPr="00B54CF7">
        <w:rPr>
          <w:rFonts w:cs="Simplified Arabic" w:hint="cs"/>
          <w:rtl/>
        </w:rPr>
        <w:t>معلومات</w:t>
      </w:r>
      <w:r w:rsidRPr="00B54CF7">
        <w:rPr>
          <w:rFonts w:cs="Simplified Arabic"/>
          <w:rtl/>
        </w:rPr>
        <w:t xml:space="preserve"> </w:t>
      </w:r>
      <w:r w:rsidRPr="00B54CF7">
        <w:rPr>
          <w:rFonts w:cs="Simplified Arabic" w:hint="cs"/>
          <w:rtl/>
        </w:rPr>
        <w:t>من</w:t>
      </w:r>
      <w:r w:rsidRPr="00B54CF7">
        <w:rPr>
          <w:rFonts w:cs="Simplified Arabic"/>
          <w:rtl/>
        </w:rPr>
        <w:t xml:space="preserve"> </w:t>
      </w:r>
      <w:r w:rsidRPr="00B54CF7">
        <w:rPr>
          <w:rFonts w:cs="Simplified Arabic" w:hint="cs"/>
          <w:rtl/>
        </w:rPr>
        <w:t>خلال</w:t>
      </w:r>
      <w:r w:rsidRPr="00B54CF7">
        <w:rPr>
          <w:rFonts w:cs="Simplified Arabic"/>
          <w:rtl/>
        </w:rPr>
        <w:t xml:space="preserve"> </w:t>
      </w:r>
      <w:r w:rsidRPr="00B54CF7">
        <w:rPr>
          <w:rFonts w:cs="Simplified Arabic" w:hint="cs"/>
          <w:rtl/>
        </w:rPr>
        <w:t>إطار</w:t>
      </w:r>
      <w:r w:rsidRPr="00B54CF7">
        <w:rPr>
          <w:rFonts w:cs="Simplified Arabic"/>
          <w:rtl/>
        </w:rPr>
        <w:t xml:space="preserve"> </w:t>
      </w:r>
      <w:r w:rsidRPr="00B54CF7">
        <w:rPr>
          <w:rFonts w:cs="Simplified Arabic" w:hint="cs"/>
          <w:rtl/>
        </w:rPr>
        <w:t>الإبلاغ</w:t>
      </w:r>
      <w:r w:rsidRPr="00B54CF7">
        <w:rPr>
          <w:rFonts w:cs="Simplified Arabic"/>
          <w:rtl/>
        </w:rPr>
        <w:t xml:space="preserve"> </w:t>
      </w:r>
      <w:r w:rsidRPr="00B54CF7">
        <w:rPr>
          <w:rFonts w:cs="Simplified Arabic" w:hint="cs"/>
          <w:rtl/>
        </w:rPr>
        <w:t>المالي</w:t>
      </w:r>
      <w:r w:rsidRPr="00B54CF7">
        <w:rPr>
          <w:rFonts w:cs="Simplified Arabic"/>
          <w:rtl/>
        </w:rPr>
        <w:t xml:space="preserve"> </w:t>
      </w:r>
      <w:r w:rsidRPr="00B54CF7">
        <w:rPr>
          <w:rFonts w:cs="Simplified Arabic" w:hint="cs"/>
          <w:rtl/>
        </w:rPr>
        <w:t>ل</w:t>
      </w:r>
      <w:r w:rsidR="0050720B">
        <w:rPr>
          <w:rFonts w:cs="Simplified Arabic" w:hint="cs"/>
          <w:rtl/>
        </w:rPr>
        <w:t>دور</w:t>
      </w:r>
      <w:r w:rsidRPr="00B54CF7">
        <w:rPr>
          <w:rFonts w:cs="Simplified Arabic" w:hint="cs"/>
          <w:rtl/>
        </w:rPr>
        <w:t>ة</w:t>
      </w:r>
      <w:r w:rsidRPr="00B54CF7">
        <w:rPr>
          <w:rFonts w:cs="Simplified Arabic"/>
          <w:rtl/>
        </w:rPr>
        <w:t xml:space="preserve"> </w:t>
      </w:r>
      <w:r w:rsidRPr="00B54CF7">
        <w:rPr>
          <w:rFonts w:cs="Simplified Arabic" w:hint="cs"/>
          <w:rtl/>
        </w:rPr>
        <w:t>الإبلاغ</w:t>
      </w:r>
      <w:r w:rsidRPr="00B54CF7">
        <w:rPr>
          <w:rFonts w:cs="Simplified Arabic"/>
          <w:rtl/>
        </w:rPr>
        <w:t xml:space="preserve"> </w:t>
      </w:r>
      <w:r w:rsidRPr="00B54CF7">
        <w:rPr>
          <w:rFonts w:cs="Simplified Arabic" w:hint="cs"/>
          <w:rtl/>
        </w:rPr>
        <w:t>الثانية</w:t>
      </w:r>
      <w:r w:rsidRPr="00B54CF7">
        <w:rPr>
          <w:rFonts w:cs="Simplified Arabic"/>
          <w:rtl/>
        </w:rPr>
        <w:t xml:space="preserve"> </w:t>
      </w:r>
      <w:r w:rsidRPr="00B54CF7">
        <w:rPr>
          <w:rFonts w:cs="Simplified Arabic" w:hint="cs"/>
          <w:rtl/>
        </w:rPr>
        <w:t>التي</w:t>
      </w:r>
      <w:r w:rsidRPr="00B54CF7">
        <w:rPr>
          <w:rFonts w:cs="Simplified Arabic"/>
          <w:rtl/>
        </w:rPr>
        <w:t xml:space="preserve"> </w:t>
      </w:r>
      <w:r w:rsidRPr="00B54CF7">
        <w:rPr>
          <w:rFonts w:cs="Simplified Arabic" w:hint="cs"/>
          <w:rtl/>
        </w:rPr>
        <w:t>أبلغت</w:t>
      </w:r>
      <w:r w:rsidRPr="00B54CF7">
        <w:rPr>
          <w:rFonts w:cs="Simplified Arabic"/>
          <w:rtl/>
        </w:rPr>
        <w:t xml:space="preserve"> </w:t>
      </w:r>
      <w:r w:rsidRPr="00B54CF7">
        <w:rPr>
          <w:rFonts w:cs="Simplified Arabic" w:hint="cs"/>
          <w:rtl/>
        </w:rPr>
        <w:t>عن</w:t>
      </w:r>
      <w:r w:rsidRPr="00B54CF7">
        <w:rPr>
          <w:rFonts w:cs="Simplified Arabic"/>
          <w:rtl/>
        </w:rPr>
        <w:t xml:space="preserve"> </w:t>
      </w:r>
      <w:r w:rsidRPr="00B54CF7">
        <w:rPr>
          <w:rFonts w:cs="Simplified Arabic" w:hint="cs"/>
          <w:rtl/>
        </w:rPr>
        <w:t>التقدم</w:t>
      </w:r>
      <w:r w:rsidRPr="00B54CF7">
        <w:rPr>
          <w:rFonts w:cs="Simplified Arabic"/>
          <w:rtl/>
        </w:rPr>
        <w:t xml:space="preserve"> </w:t>
      </w:r>
      <w:r w:rsidRPr="00B54CF7">
        <w:rPr>
          <w:rFonts w:cs="Simplified Arabic" w:hint="cs"/>
          <w:rtl/>
        </w:rPr>
        <w:t>المحرز</w:t>
      </w:r>
      <w:r w:rsidRPr="00B54CF7">
        <w:rPr>
          <w:rFonts w:cs="Simplified Arabic"/>
          <w:rtl/>
        </w:rPr>
        <w:t xml:space="preserve"> </w:t>
      </w:r>
      <w:r w:rsidRPr="00B54CF7">
        <w:rPr>
          <w:rFonts w:cs="Simplified Arabic" w:hint="cs"/>
          <w:rtl/>
        </w:rPr>
        <w:t>حتى</w:t>
      </w:r>
      <w:r w:rsidRPr="00B54CF7">
        <w:rPr>
          <w:rFonts w:cs="Simplified Arabic"/>
          <w:rtl/>
        </w:rPr>
        <w:t xml:space="preserve"> </w:t>
      </w:r>
      <w:r w:rsidRPr="00B54CF7">
        <w:rPr>
          <w:rFonts w:cs="Simplified Arabic" w:hint="cs"/>
          <w:rtl/>
        </w:rPr>
        <w:t>عام</w:t>
      </w:r>
      <w:r w:rsidRPr="00B54CF7">
        <w:rPr>
          <w:rFonts w:cs="Simplified Arabic"/>
          <w:rtl/>
        </w:rPr>
        <w:t xml:space="preserve"> 2020.</w:t>
      </w:r>
    </w:p>
    <w:p w:rsidR="004A3612" w:rsidRPr="00B54CF7" w:rsidRDefault="004A3612" w:rsidP="00FF7FA5">
      <w:pPr>
        <w:pStyle w:val="ListParagraph"/>
        <w:numPr>
          <w:ilvl w:val="0"/>
          <w:numId w:val="6"/>
        </w:numPr>
        <w:bidi/>
        <w:spacing w:line="216" w:lineRule="auto"/>
        <w:ind w:left="0" w:firstLine="0"/>
        <w:rPr>
          <w:rFonts w:cs="Simplified Arabic"/>
          <w:kern w:val="22"/>
          <w:rtl/>
        </w:rPr>
      </w:pPr>
      <w:r w:rsidRPr="00B54CF7">
        <w:rPr>
          <w:rFonts w:cs="Simplified Arabic"/>
          <w:rtl/>
        </w:rPr>
        <w:t xml:space="preserve">وكان معروضا على الفريق العامل في غضون نظره في </w:t>
      </w:r>
      <w:r w:rsidRPr="00B54CF7">
        <w:rPr>
          <w:rFonts w:cs="Simplified Arabic" w:hint="cs"/>
          <w:rtl/>
        </w:rPr>
        <w:t xml:space="preserve">جانب </w:t>
      </w:r>
      <w:r w:rsidRPr="00B54CF7">
        <w:rPr>
          <w:rFonts w:cs="Simplified Arabic"/>
          <w:rtl/>
        </w:rPr>
        <w:t>البند</w:t>
      </w:r>
      <w:r w:rsidRPr="00B54CF7">
        <w:rPr>
          <w:rFonts w:cs="Simplified Arabic" w:hint="cs"/>
          <w:rtl/>
        </w:rPr>
        <w:t xml:space="preserve"> الفرعي المتعلق </w:t>
      </w:r>
      <w:r w:rsidRPr="00B54CF7">
        <w:rPr>
          <w:rFonts w:cs="Simplified Arabic" w:hint="cs"/>
          <w:snapToGrid w:val="0"/>
          <w:kern w:val="22"/>
          <w:rtl/>
        </w:rPr>
        <w:t>ب</w:t>
      </w:r>
      <w:r w:rsidRPr="00B54CF7">
        <w:rPr>
          <w:rFonts w:cs="Simplified Arabic"/>
          <w:snapToGrid w:val="0"/>
          <w:kern w:val="22"/>
          <w:rtl/>
        </w:rPr>
        <w:t>الضمانات في آليات تمويل التنوع البيولوجي</w:t>
      </w:r>
      <w:r w:rsidR="00EE1A6B">
        <w:rPr>
          <w:rFonts w:cs="Simplified Arabic" w:hint="cs"/>
          <w:snapToGrid w:val="0"/>
          <w:kern w:val="22"/>
          <w:rtl/>
        </w:rPr>
        <w:t>،</w:t>
      </w:r>
      <w:r w:rsidRPr="00B54CF7">
        <w:rPr>
          <w:rFonts w:cs="Simplified Arabic" w:hint="cs"/>
          <w:snapToGrid w:val="0"/>
          <w:kern w:val="22"/>
          <w:rtl/>
        </w:rPr>
        <w:t xml:space="preserve"> مشروع مقرّر </w:t>
      </w:r>
      <w:r w:rsidRPr="00B54CF7">
        <w:rPr>
          <w:rFonts w:cs="Simplified Arabic" w:hint="cs"/>
          <w:rtl/>
        </w:rPr>
        <w:t>يستند إلى</w:t>
      </w:r>
      <w:r w:rsidRPr="00B54CF7">
        <w:rPr>
          <w:rFonts w:cs="Simplified Arabic"/>
          <w:rtl/>
        </w:rPr>
        <w:t xml:space="preserve"> التوصية</w:t>
      </w:r>
      <w:r w:rsidR="0050720B">
        <w:rPr>
          <w:rFonts w:cs="Simplified Arabic" w:hint="cs"/>
          <w:rtl/>
        </w:rPr>
        <w:t xml:space="preserve"> 2/17 للهيئة الفرعية للتنفيذ،</w:t>
      </w:r>
      <w:r w:rsidRPr="00B54CF7">
        <w:rPr>
          <w:rFonts w:cs="Simplified Arabic" w:hint="cs"/>
          <w:rtl/>
        </w:rPr>
        <w:t xml:space="preserve"> </w:t>
      </w:r>
      <w:r w:rsidRPr="00B54CF7">
        <w:rPr>
          <w:rFonts w:cs="Simplified Arabic"/>
          <w:i/>
          <w:kern w:val="22"/>
          <w:rtl/>
        </w:rPr>
        <w:t>الم</w:t>
      </w:r>
      <w:r w:rsidRPr="00B54CF7">
        <w:rPr>
          <w:rFonts w:cs="Simplified Arabic" w:hint="cs"/>
          <w:i/>
          <w:kern w:val="22"/>
          <w:rtl/>
        </w:rPr>
        <w:t>بين</w:t>
      </w:r>
      <w:r w:rsidRPr="00B54CF7">
        <w:rPr>
          <w:rFonts w:cs="Simplified Arabic"/>
          <w:i/>
          <w:kern w:val="22"/>
          <w:rtl/>
        </w:rPr>
        <w:t xml:space="preserve"> في تجميع مشاريع المقررات</w:t>
      </w:r>
      <w:r w:rsidRPr="00B54CF7">
        <w:rPr>
          <w:rFonts w:cs="Simplified Arabic" w:hint="cs"/>
          <w:i/>
          <w:kern w:val="22"/>
          <w:rtl/>
        </w:rPr>
        <w:t xml:space="preserve"> </w:t>
      </w:r>
      <w:r w:rsidRPr="00B54CF7">
        <w:rPr>
          <w:rFonts w:cs="Simplified Arabic"/>
          <w:kern w:val="22"/>
        </w:rPr>
        <w:t>(CBD/COP/14/2)</w:t>
      </w:r>
      <w:r w:rsidRPr="00B54CF7">
        <w:rPr>
          <w:rFonts w:cs="Simplified Arabic" w:hint="cs"/>
          <w:kern w:val="22"/>
          <w:rtl/>
        </w:rPr>
        <w:t xml:space="preserve"> </w:t>
      </w:r>
      <w:r w:rsidRPr="00B54CF7">
        <w:rPr>
          <w:rFonts w:cs="Simplified Arabic"/>
          <w:kern w:val="22"/>
          <w:rtl/>
        </w:rPr>
        <w:t>و</w:t>
      </w:r>
      <w:r w:rsidRPr="00B54CF7">
        <w:rPr>
          <w:rFonts w:cs="Simplified Arabic" w:hint="cs"/>
          <w:kern w:val="22"/>
          <w:rtl/>
        </w:rPr>
        <w:t xml:space="preserve">كذلك </w:t>
      </w:r>
      <w:r w:rsidRPr="00B54CF7">
        <w:rPr>
          <w:rFonts w:cs="Simplified Arabic"/>
          <w:kern w:val="22"/>
          <w:rtl/>
        </w:rPr>
        <w:t>وثيقة ال</w:t>
      </w:r>
      <w:r w:rsidR="00A314BE">
        <w:rPr>
          <w:rFonts w:cs="Simplified Arabic" w:hint="cs"/>
          <w:kern w:val="22"/>
          <w:rtl/>
        </w:rPr>
        <w:t>معلومات</w:t>
      </w:r>
      <w:r w:rsidRPr="00B54CF7">
        <w:rPr>
          <w:rFonts w:cs="Simplified Arabic"/>
          <w:kern w:val="22"/>
          <w:rtl/>
        </w:rPr>
        <w:t xml:space="preserve"> بشأن</w:t>
      </w:r>
      <w:r w:rsidRPr="00B54CF7">
        <w:rPr>
          <w:rFonts w:cs="Simplified Arabic" w:hint="cs"/>
          <w:kern w:val="22"/>
          <w:rtl/>
        </w:rPr>
        <w:t xml:space="preserve"> </w:t>
      </w:r>
      <w:r w:rsidRPr="00B54CF7">
        <w:rPr>
          <w:rFonts w:cs="Simplified Arabic"/>
          <w:kern w:val="22"/>
          <w:rtl/>
        </w:rPr>
        <w:t>المبادئ التوجيهية الطوعية للضمانات</w:t>
      </w:r>
      <w:r w:rsidR="00EE1A6B">
        <w:rPr>
          <w:rFonts w:cs="Simplified Arabic" w:hint="cs"/>
          <w:kern w:val="22"/>
          <w:rtl/>
        </w:rPr>
        <w:t xml:space="preserve"> التابعة لاتفاقية التنوع البيولوجي</w:t>
      </w:r>
      <w:r w:rsidRPr="00B54CF7">
        <w:rPr>
          <w:rFonts w:cs="Simplified Arabic" w:hint="cs"/>
          <w:kern w:val="22"/>
          <w:rtl/>
        </w:rPr>
        <w:t xml:space="preserve">: </w:t>
      </w:r>
      <w:r w:rsidR="0050720B">
        <w:rPr>
          <w:rFonts w:cs="Simplified Arabic" w:hint="cs"/>
          <w:kern w:val="22"/>
          <w:rtl/>
        </w:rPr>
        <w:t>مسارات</w:t>
      </w:r>
      <w:r w:rsidRPr="00B54CF7">
        <w:rPr>
          <w:rFonts w:cs="Simplified Arabic" w:hint="cs"/>
          <w:kern w:val="22"/>
          <w:rtl/>
        </w:rPr>
        <w:t xml:space="preserve"> التنفيذ </w:t>
      </w:r>
      <w:r w:rsidRPr="00B54CF7">
        <w:rPr>
          <w:rFonts w:cs="Simplified Arabic"/>
          <w:kern w:val="22"/>
        </w:rPr>
        <w:t>(CBD/COP/14/INF/37)</w:t>
      </w:r>
      <w:r w:rsidR="0039386A">
        <w:rPr>
          <w:rFonts w:cs="Simplified Arabic" w:hint="cs"/>
          <w:kern w:val="22"/>
          <w:rtl/>
        </w:rPr>
        <w:t>.</w:t>
      </w:r>
    </w:p>
    <w:p w:rsidR="004A3612" w:rsidRPr="00B54CF7" w:rsidRDefault="004A3612" w:rsidP="00EE1A6B">
      <w:pPr>
        <w:pStyle w:val="ListParagraph"/>
        <w:numPr>
          <w:ilvl w:val="0"/>
          <w:numId w:val="6"/>
        </w:numPr>
        <w:bidi/>
        <w:spacing w:line="216" w:lineRule="auto"/>
        <w:ind w:left="0" w:firstLine="0"/>
        <w:rPr>
          <w:rFonts w:cs="Simplified Arabic"/>
          <w:kern w:val="22"/>
          <w:rtl/>
        </w:rPr>
      </w:pPr>
      <w:r w:rsidRPr="00B54CF7">
        <w:rPr>
          <w:rFonts w:cs="Simplified Arabic"/>
          <w:rtl/>
        </w:rPr>
        <w:t>وكان معروضا على الفريق العامل في غضون نظره في</w:t>
      </w:r>
      <w:r w:rsidRPr="00B54CF7">
        <w:rPr>
          <w:rFonts w:cs="Simplified Arabic" w:hint="cs"/>
          <w:rtl/>
        </w:rPr>
        <w:t xml:space="preserve"> جانب </w:t>
      </w:r>
      <w:r w:rsidRPr="00B54CF7">
        <w:rPr>
          <w:rFonts w:cs="Simplified Arabic"/>
          <w:rtl/>
        </w:rPr>
        <w:t>البند</w:t>
      </w:r>
      <w:r w:rsidRPr="00B54CF7">
        <w:rPr>
          <w:rFonts w:cs="Simplified Arabic" w:hint="cs"/>
          <w:rtl/>
        </w:rPr>
        <w:t xml:space="preserve"> الفرعي المتعلق</w:t>
      </w:r>
      <w:r w:rsidRPr="00B54CF7">
        <w:rPr>
          <w:rFonts w:cs="Simplified Arabic"/>
          <w:rtl/>
        </w:rPr>
        <w:t xml:space="preserve"> </w:t>
      </w:r>
      <w:r w:rsidRPr="00B54CF7">
        <w:rPr>
          <w:rFonts w:cs="Simplified Arabic" w:hint="cs"/>
          <w:rtl/>
        </w:rPr>
        <w:t>بالإرشادات المنهجية بشأن مساهمات الشعوب الأصلية والمجتمعات المحلية</w:t>
      </w:r>
      <w:r w:rsidR="0050720B">
        <w:rPr>
          <w:rFonts w:cs="Simplified Arabic" w:hint="cs"/>
          <w:rtl/>
        </w:rPr>
        <w:t>،</w:t>
      </w:r>
      <w:r w:rsidRPr="00B54CF7">
        <w:rPr>
          <w:rFonts w:cs="Simplified Arabic" w:hint="cs"/>
          <w:rtl/>
        </w:rPr>
        <w:t xml:space="preserve"> مشروع مقرر يستند إلى</w:t>
      </w:r>
      <w:r w:rsidRPr="00B54CF7">
        <w:rPr>
          <w:rFonts w:cs="Simplified Arabic"/>
          <w:rtl/>
        </w:rPr>
        <w:t xml:space="preserve"> التوصية</w:t>
      </w:r>
      <w:r w:rsidR="0050720B">
        <w:rPr>
          <w:rFonts w:cs="Simplified Arabic" w:hint="cs"/>
          <w:rtl/>
        </w:rPr>
        <w:t xml:space="preserve"> 2/7 للهيئة الفرعية للتنفيذ،</w:t>
      </w:r>
      <w:r w:rsidR="0050720B" w:rsidRPr="00B54CF7">
        <w:rPr>
          <w:rFonts w:cs="Simplified Arabic" w:hint="cs"/>
          <w:rtl/>
        </w:rPr>
        <w:t xml:space="preserve"> </w:t>
      </w:r>
      <w:r w:rsidRPr="00B54CF7">
        <w:rPr>
          <w:rFonts w:cs="Simplified Arabic"/>
          <w:i/>
          <w:kern w:val="22"/>
          <w:rtl/>
        </w:rPr>
        <w:t>الم</w:t>
      </w:r>
      <w:r w:rsidRPr="00B54CF7">
        <w:rPr>
          <w:rFonts w:cs="Simplified Arabic" w:hint="cs"/>
          <w:i/>
          <w:kern w:val="22"/>
          <w:rtl/>
        </w:rPr>
        <w:t>بين</w:t>
      </w:r>
      <w:r w:rsidRPr="00B54CF7">
        <w:rPr>
          <w:rFonts w:cs="Simplified Arabic"/>
          <w:i/>
          <w:kern w:val="22"/>
          <w:rtl/>
        </w:rPr>
        <w:t xml:space="preserve"> في تجميع مشاريع المقررات</w:t>
      </w:r>
      <w:r w:rsidRPr="00B54CF7">
        <w:rPr>
          <w:rFonts w:cs="Simplified Arabic" w:hint="cs"/>
          <w:i/>
          <w:kern w:val="22"/>
          <w:rtl/>
        </w:rPr>
        <w:t xml:space="preserve"> </w:t>
      </w:r>
      <w:r w:rsidRPr="00B54CF7">
        <w:rPr>
          <w:rFonts w:cs="Simplified Arabic"/>
          <w:kern w:val="22"/>
        </w:rPr>
        <w:t>(CBD/COP/14/2)</w:t>
      </w:r>
      <w:r w:rsidR="0039386A">
        <w:rPr>
          <w:rFonts w:cs="Simplified Arabic" w:hint="cs"/>
          <w:kern w:val="22"/>
          <w:rtl/>
        </w:rPr>
        <w:t>.</w:t>
      </w:r>
    </w:p>
    <w:p w:rsidR="004A3612" w:rsidRPr="00B54CF7" w:rsidRDefault="004A3612" w:rsidP="00FF7FA5">
      <w:pPr>
        <w:pStyle w:val="ListParagraph"/>
        <w:numPr>
          <w:ilvl w:val="0"/>
          <w:numId w:val="6"/>
        </w:numPr>
        <w:bidi/>
        <w:spacing w:line="216" w:lineRule="auto"/>
        <w:ind w:left="0" w:firstLine="0"/>
        <w:rPr>
          <w:rFonts w:cs="Simplified Arabic"/>
          <w:rtl/>
        </w:rPr>
      </w:pPr>
      <w:r w:rsidRPr="00B54CF7">
        <w:rPr>
          <w:rFonts w:cs="Simplified Arabic" w:hint="cs"/>
          <w:kern w:val="22"/>
          <w:rtl/>
        </w:rPr>
        <w:t>و</w:t>
      </w:r>
      <w:r w:rsidRPr="00B54CF7">
        <w:rPr>
          <w:rFonts w:cs="Simplified Arabic"/>
          <w:rtl/>
        </w:rPr>
        <w:t xml:space="preserve">أدلى ببيانات ممثلو </w:t>
      </w:r>
      <w:r w:rsidR="0050720B">
        <w:rPr>
          <w:rFonts w:cs="Simplified Arabic" w:hint="cs"/>
          <w:rtl/>
        </w:rPr>
        <w:t xml:space="preserve">ألبانيا، </w:t>
      </w:r>
      <w:r w:rsidR="0050720B" w:rsidRPr="00B54CF7">
        <w:rPr>
          <w:rFonts w:eastAsia="Times New Roman" w:cs="Simplified Arabic"/>
          <w:color w:val="000000"/>
          <w:rtl/>
          <w:lang w:eastAsia="fr-CH"/>
        </w:rPr>
        <w:t>وأنتيغوا وبربودا</w:t>
      </w:r>
      <w:r w:rsidR="0050720B">
        <w:rPr>
          <w:rFonts w:cs="Simplified Arabic" w:hint="cs"/>
          <w:rtl/>
        </w:rPr>
        <w:t>، و</w:t>
      </w:r>
      <w:r w:rsidRPr="00B54CF7">
        <w:rPr>
          <w:rFonts w:eastAsia="Times New Roman" w:cs="Simplified Arabic"/>
          <w:color w:val="000000"/>
          <w:rtl/>
          <w:lang w:eastAsia="fr-CH"/>
        </w:rPr>
        <w:t>الأرجنتين</w:t>
      </w:r>
      <w:r w:rsidR="0050720B">
        <w:rPr>
          <w:rFonts w:eastAsia="Times New Roman" w:cs="Simplified Arabic" w:hint="cs"/>
          <w:color w:val="000000"/>
          <w:rtl/>
          <w:lang w:eastAsia="fr-CH"/>
        </w:rPr>
        <w:t>،</w:t>
      </w:r>
      <w:r w:rsidRPr="00B54CF7">
        <w:rPr>
          <w:rFonts w:eastAsia="Times New Roman" w:cs="Simplified Arabic"/>
          <w:color w:val="000000"/>
          <w:rtl/>
          <w:lang w:eastAsia="fr-CH"/>
        </w:rPr>
        <w:t xml:space="preserve"> </w:t>
      </w:r>
      <w:r w:rsidR="00D17B39" w:rsidRPr="00B54CF7">
        <w:rPr>
          <w:rFonts w:eastAsia="Times New Roman" w:cs="Simplified Arabic"/>
          <w:color w:val="000000"/>
          <w:rtl/>
          <w:lang w:eastAsia="fr-CH"/>
        </w:rPr>
        <w:t>وبنغلاديش</w:t>
      </w:r>
      <w:r w:rsidR="00D17B39">
        <w:rPr>
          <w:rFonts w:eastAsia="Times New Roman" w:cs="Simplified Arabic" w:hint="cs"/>
          <w:color w:val="000000"/>
          <w:rtl/>
          <w:lang w:eastAsia="fr-CH"/>
        </w:rPr>
        <w:t xml:space="preserve">، </w:t>
      </w:r>
      <w:r w:rsidR="00D17B39" w:rsidRPr="00B54CF7">
        <w:rPr>
          <w:rFonts w:eastAsia="Times New Roman" w:cs="Simplified Arabic"/>
          <w:color w:val="000000"/>
          <w:rtl/>
          <w:lang w:eastAsia="fr-CH"/>
        </w:rPr>
        <w:t>وبوليفيا (دولة - المتعددة القوميات)</w:t>
      </w:r>
      <w:r w:rsidR="00D17B39">
        <w:rPr>
          <w:rFonts w:eastAsia="Times New Roman" w:cs="Simplified Arabic" w:hint="cs"/>
          <w:color w:val="000000"/>
          <w:rtl/>
          <w:lang w:eastAsia="fr-CH"/>
        </w:rPr>
        <w:t xml:space="preserve">، وكندا، وكولومبيا، والصين، وإكوادور، ومصر، </w:t>
      </w:r>
      <w:bookmarkStart w:id="226" w:name="_Hlk531075017"/>
      <w:r w:rsidRPr="00B54CF7">
        <w:rPr>
          <w:rFonts w:eastAsia="Times New Roman" w:cs="Simplified Arabic" w:hint="cs"/>
          <w:color w:val="000000"/>
          <w:rtl/>
          <w:lang w:eastAsia="fr-CH"/>
        </w:rPr>
        <w:t xml:space="preserve">والاتحاد الأوروبي </w:t>
      </w:r>
      <w:r w:rsidRPr="00B54CF7">
        <w:rPr>
          <w:rFonts w:cs="Simplified Arabic"/>
          <w:color w:val="000000"/>
          <w:rtl/>
        </w:rPr>
        <w:t xml:space="preserve">ودوله الأعضاء </w:t>
      </w:r>
      <w:bookmarkEnd w:id="226"/>
      <w:r w:rsidR="00A314BE">
        <w:rPr>
          <w:rFonts w:cs="Simplified Arabic" w:hint="cs"/>
          <w:color w:val="000000"/>
          <w:rtl/>
        </w:rPr>
        <w:t>الثماني</w:t>
      </w:r>
      <w:r w:rsidR="0050720B">
        <w:rPr>
          <w:rFonts w:cs="Simplified Arabic" w:hint="cs"/>
          <w:color w:val="000000"/>
          <w:rtl/>
        </w:rPr>
        <w:t xml:space="preserve"> والعشرين</w:t>
      </w:r>
      <w:r w:rsidRPr="00B54CF7">
        <w:rPr>
          <w:rFonts w:cs="Simplified Arabic" w:hint="cs"/>
          <w:color w:val="000000"/>
          <w:rtl/>
        </w:rPr>
        <w:t>،</w:t>
      </w:r>
      <w:r w:rsidRPr="00B54CF7">
        <w:rPr>
          <w:rFonts w:eastAsia="Times New Roman" w:cs="Simplified Arabic" w:hint="cs"/>
          <w:color w:val="000000"/>
          <w:rtl/>
          <w:lang w:eastAsia="fr-CH"/>
        </w:rPr>
        <w:t xml:space="preserve"> </w:t>
      </w:r>
      <w:r w:rsidR="00D17B39">
        <w:rPr>
          <w:rFonts w:eastAsia="Times New Roman" w:cs="Simplified Arabic" w:hint="cs"/>
          <w:color w:val="000000"/>
          <w:rtl/>
          <w:lang w:eastAsia="fr-CH"/>
        </w:rPr>
        <w:t xml:space="preserve">وجورجيا (بالنيابة أيضا عن البوسنة والهرسك، وصربيا وأوكرانيا)، وغواتيمالا، واليابان، والأردن، والهند، وإندونيسيا، </w:t>
      </w:r>
      <w:r w:rsidRPr="00B54CF7">
        <w:rPr>
          <w:rFonts w:eastAsia="Times New Roman" w:cs="Simplified Arabic"/>
          <w:color w:val="000000"/>
          <w:rtl/>
          <w:lang w:eastAsia="fr-CH"/>
        </w:rPr>
        <w:t>وإيران (جمهورية - الإسلامية)</w:t>
      </w:r>
      <w:r w:rsidR="00D17B39">
        <w:rPr>
          <w:rFonts w:eastAsia="Times New Roman" w:cs="Simplified Arabic" w:hint="cs"/>
          <w:color w:val="000000"/>
          <w:rtl/>
          <w:lang w:eastAsia="fr-CH"/>
        </w:rPr>
        <w:t>، وكينيا، وكيريباتي (بال</w:t>
      </w:r>
      <w:r w:rsidR="00D17B39" w:rsidRPr="00B54CF7">
        <w:rPr>
          <w:rFonts w:eastAsia="Times New Roman" w:cs="Simplified Arabic"/>
          <w:color w:val="000000"/>
          <w:rtl/>
          <w:lang w:eastAsia="fr-CH"/>
        </w:rPr>
        <w:t>نيابة أيضا عن الدول الجزرية الصغيرة النامية في المحيط الهادئ الحاضرة في الاجتماع)</w:t>
      </w:r>
      <w:r w:rsidR="00D17B39">
        <w:rPr>
          <w:rFonts w:eastAsia="Times New Roman" w:cs="Simplified Arabic" w:hint="cs"/>
          <w:color w:val="000000"/>
          <w:rtl/>
          <w:lang w:eastAsia="fr-CH"/>
        </w:rPr>
        <w:t>، والمكسيك، والمغرب، والنرويج، ونيبال، وسيشيل،</w:t>
      </w:r>
      <w:r w:rsidRPr="00B54CF7">
        <w:rPr>
          <w:rFonts w:eastAsia="Times New Roman" w:cs="Simplified Arabic"/>
          <w:color w:val="000000"/>
          <w:rtl/>
          <w:lang w:eastAsia="fr-CH"/>
        </w:rPr>
        <w:t xml:space="preserve"> وجنوب أفريقيا</w:t>
      </w:r>
      <w:r w:rsidR="00D17B39">
        <w:rPr>
          <w:rFonts w:eastAsia="Times New Roman" w:cs="Simplified Arabic" w:hint="cs"/>
          <w:color w:val="000000"/>
          <w:rtl/>
          <w:lang w:eastAsia="fr-CH"/>
        </w:rPr>
        <w:t>،</w:t>
      </w:r>
      <w:r w:rsidRPr="00B54CF7">
        <w:rPr>
          <w:rFonts w:eastAsia="Times New Roman" w:cs="Simplified Arabic"/>
          <w:color w:val="000000"/>
          <w:rtl/>
          <w:lang w:eastAsia="fr-CH"/>
        </w:rPr>
        <w:t xml:space="preserve"> ودولة فلسطين</w:t>
      </w:r>
      <w:r w:rsidR="00D17B39">
        <w:rPr>
          <w:rFonts w:eastAsia="Times New Roman" w:cs="Simplified Arabic" w:hint="cs"/>
          <w:color w:val="000000"/>
          <w:rtl/>
          <w:lang w:eastAsia="fr-CH"/>
        </w:rPr>
        <w:t>،</w:t>
      </w:r>
      <w:r w:rsidRPr="00B54CF7">
        <w:rPr>
          <w:rFonts w:eastAsia="Times New Roman" w:cs="Simplified Arabic"/>
          <w:color w:val="000000"/>
          <w:rtl/>
          <w:lang w:eastAsia="fr-CH"/>
        </w:rPr>
        <w:t xml:space="preserve"> وسويسرا</w:t>
      </w:r>
      <w:r w:rsidR="00D17B39">
        <w:rPr>
          <w:rFonts w:eastAsia="Times New Roman" w:cs="Simplified Arabic" w:hint="cs"/>
          <w:color w:val="000000"/>
          <w:rtl/>
          <w:lang w:eastAsia="fr-CH"/>
        </w:rPr>
        <w:t>،</w:t>
      </w:r>
      <w:r w:rsidRPr="00B54CF7">
        <w:rPr>
          <w:rFonts w:eastAsia="Times New Roman" w:cs="Simplified Arabic"/>
          <w:color w:val="000000"/>
          <w:rtl/>
          <w:lang w:eastAsia="fr-CH"/>
        </w:rPr>
        <w:t xml:space="preserve"> و</w:t>
      </w:r>
      <w:r w:rsidR="00D17B39">
        <w:rPr>
          <w:rFonts w:eastAsia="Times New Roman" w:cs="Simplified Arabic" w:hint="cs"/>
          <w:color w:val="000000"/>
          <w:rtl/>
          <w:lang w:eastAsia="fr-CH"/>
        </w:rPr>
        <w:t>تايلند،</w:t>
      </w:r>
      <w:r w:rsidRPr="00B54CF7">
        <w:rPr>
          <w:rFonts w:eastAsia="Times New Roman" w:cs="Simplified Arabic"/>
          <w:color w:val="000000"/>
          <w:rtl/>
          <w:lang w:eastAsia="fr-CH"/>
        </w:rPr>
        <w:t xml:space="preserve"> </w:t>
      </w:r>
      <w:r w:rsidR="00D17B39">
        <w:rPr>
          <w:rFonts w:eastAsia="Times New Roman" w:cs="Simplified Arabic" w:hint="cs"/>
          <w:color w:val="000000"/>
          <w:rtl/>
          <w:lang w:eastAsia="fr-CH"/>
        </w:rPr>
        <w:t>وأوغندا (بالنيابة عن المجموعة الأفريقية)</w:t>
      </w:r>
      <w:r w:rsidRPr="00B54CF7">
        <w:rPr>
          <w:rFonts w:eastAsia="Times New Roman" w:cs="Simplified Arabic" w:hint="cs"/>
          <w:color w:val="000000"/>
          <w:rtl/>
          <w:lang w:eastAsia="fr-CH"/>
        </w:rPr>
        <w:t>.</w:t>
      </w:r>
    </w:p>
    <w:p w:rsidR="004A3612" w:rsidRPr="00B54CF7" w:rsidRDefault="004A3612" w:rsidP="00FF7FA5">
      <w:pPr>
        <w:pStyle w:val="ListParagraph"/>
        <w:numPr>
          <w:ilvl w:val="0"/>
          <w:numId w:val="6"/>
        </w:numPr>
        <w:bidi/>
        <w:spacing w:line="216" w:lineRule="auto"/>
        <w:ind w:left="0" w:firstLine="0"/>
        <w:rPr>
          <w:rFonts w:cs="Simplified Arabic"/>
          <w:kern w:val="22"/>
          <w:rtl/>
        </w:rPr>
      </w:pPr>
      <w:r w:rsidRPr="00B54CF7">
        <w:rPr>
          <w:rFonts w:cs="Simplified Arabic"/>
          <w:kern w:val="22"/>
          <w:rtl/>
        </w:rPr>
        <w:t>كما أدلى ببيان ممثل عن برنامج الأمم المتحدة الإنمائي.</w:t>
      </w:r>
    </w:p>
    <w:p w:rsidR="004A3612" w:rsidRPr="00B54CF7" w:rsidRDefault="004A3612" w:rsidP="0089756E">
      <w:pPr>
        <w:pStyle w:val="ListParagraph"/>
        <w:numPr>
          <w:ilvl w:val="0"/>
          <w:numId w:val="6"/>
        </w:numPr>
        <w:bidi/>
        <w:spacing w:line="216" w:lineRule="auto"/>
        <w:ind w:left="0" w:firstLine="0"/>
        <w:rPr>
          <w:rFonts w:cs="Simplified Arabic"/>
          <w:rtl/>
        </w:rPr>
      </w:pPr>
      <w:r w:rsidRPr="00B54CF7">
        <w:rPr>
          <w:rFonts w:cs="Simplified Arabic" w:hint="cs"/>
          <w:kern w:val="22"/>
          <w:rtl/>
        </w:rPr>
        <w:t>وأدلى ببيانات</w:t>
      </w:r>
      <w:r w:rsidRPr="00B54CF7">
        <w:rPr>
          <w:rFonts w:cs="Simplified Arabic"/>
          <w:kern w:val="22"/>
        </w:rPr>
        <w:t xml:space="preserve"> </w:t>
      </w:r>
      <w:r w:rsidR="0089756E">
        <w:rPr>
          <w:rFonts w:cs="Simplified Arabic" w:hint="cs"/>
          <w:kern w:val="22"/>
          <w:rtl/>
        </w:rPr>
        <w:t>أخرى</w:t>
      </w:r>
      <w:r w:rsidRPr="00B54CF7">
        <w:rPr>
          <w:rFonts w:cs="Simplified Arabic" w:hint="cs"/>
          <w:kern w:val="22"/>
          <w:rtl/>
        </w:rPr>
        <w:t xml:space="preserve"> ممثلو الائتلاف العالمي للغابات (أيضا بالنيابة عن </w:t>
      </w:r>
      <w:r w:rsidR="00D17B39" w:rsidRPr="00D8536D">
        <w:rPr>
          <w:rFonts w:cs="Simplified Arabic"/>
          <w:rtl/>
          <w:lang w:val="en-CA"/>
        </w:rPr>
        <w:t>اتحاد الجمعيات المعنية بمناطق وأقاليم التراث الأصلي والمجتمعي</w:t>
      </w:r>
      <w:r w:rsidRPr="00B54CF7">
        <w:rPr>
          <w:rFonts w:cs="Simplified Arabic" w:hint="cs"/>
          <w:rtl/>
        </w:rPr>
        <w:t xml:space="preserve"> </w:t>
      </w:r>
      <w:r w:rsidRPr="00D17B39">
        <w:rPr>
          <w:szCs w:val="22"/>
          <w:rtl/>
        </w:rPr>
        <w:t>(</w:t>
      </w:r>
      <w:r w:rsidRPr="00D17B39">
        <w:rPr>
          <w:kern w:val="22"/>
          <w:szCs w:val="22"/>
        </w:rPr>
        <w:t>ICCA</w:t>
      </w:r>
      <w:r w:rsidRPr="00D17B39">
        <w:rPr>
          <w:szCs w:val="22"/>
          <w:rtl/>
        </w:rPr>
        <w:t>)</w:t>
      </w:r>
      <w:r w:rsidR="00D17B39">
        <w:rPr>
          <w:rFonts w:cs="Simplified Arabic" w:hint="cs"/>
          <w:rtl/>
        </w:rPr>
        <w:t>،</w:t>
      </w:r>
      <w:r w:rsidRPr="00B54CF7">
        <w:rPr>
          <w:rFonts w:cs="Simplified Arabic" w:hint="cs"/>
          <w:rtl/>
        </w:rPr>
        <w:t xml:space="preserve"> </w:t>
      </w:r>
      <w:r w:rsidRPr="00B54CF7">
        <w:rPr>
          <w:rFonts w:cs="Simplified Arabic" w:hint="cs"/>
          <w:kern w:val="22"/>
          <w:rtl/>
        </w:rPr>
        <w:t>و</w:t>
      </w:r>
      <w:r w:rsidRPr="00B54CF7">
        <w:rPr>
          <w:rFonts w:cs="Simplified Arabic"/>
          <w:kern w:val="22"/>
          <w:rtl/>
        </w:rPr>
        <w:t>جمعية أصدقاء الأرض الدولية</w:t>
      </w:r>
      <w:r w:rsidR="00D17B39">
        <w:rPr>
          <w:rFonts w:cs="Simplified Arabic" w:hint="cs"/>
          <w:kern w:val="22"/>
          <w:rtl/>
        </w:rPr>
        <w:t>،</w:t>
      </w:r>
      <w:r w:rsidRPr="00B54CF7">
        <w:rPr>
          <w:rFonts w:cs="Simplified Arabic" w:hint="cs"/>
          <w:kern w:val="22"/>
          <w:rtl/>
        </w:rPr>
        <w:t xml:space="preserve"> </w:t>
      </w:r>
      <w:r w:rsidR="00D23B8F">
        <w:rPr>
          <w:rFonts w:cs="Simplified Arabic" w:hint="cs"/>
          <w:kern w:val="22"/>
          <w:rtl/>
        </w:rPr>
        <w:t>و</w:t>
      </w:r>
      <w:r w:rsidR="00D23B8F" w:rsidRPr="00D8536D">
        <w:rPr>
          <w:rFonts w:cs="Simplified Arabic" w:hint="cs"/>
          <w:rtl/>
          <w:lang w:val="en-CA"/>
        </w:rPr>
        <w:t>الشبكة الأوروبية المعنية بالتفكير والعمل الإيكولوجي</w:t>
      </w:r>
      <w:r w:rsidRPr="00B54CF7">
        <w:rPr>
          <w:rFonts w:cs="Simplified Arabic" w:hint="cs"/>
          <w:kern w:val="22"/>
          <w:rtl/>
        </w:rPr>
        <w:t xml:space="preserve"> </w:t>
      </w:r>
      <w:r w:rsidRPr="00D23B8F">
        <w:rPr>
          <w:szCs w:val="22"/>
          <w:rtl/>
        </w:rPr>
        <w:t>(</w:t>
      </w:r>
      <w:r w:rsidRPr="00D23B8F">
        <w:rPr>
          <w:caps/>
          <w:szCs w:val="22"/>
        </w:rPr>
        <w:t>Ecoropa</w:t>
      </w:r>
      <w:r w:rsidRPr="00D23B8F">
        <w:rPr>
          <w:szCs w:val="22"/>
          <w:rtl/>
        </w:rPr>
        <w:t>)</w:t>
      </w:r>
      <w:r w:rsidRPr="00B54CF7">
        <w:rPr>
          <w:rFonts w:cs="Simplified Arabic" w:hint="cs"/>
          <w:rtl/>
        </w:rPr>
        <w:t xml:space="preserve">، </w:t>
      </w:r>
      <w:r w:rsidRPr="00B54CF7">
        <w:rPr>
          <w:rFonts w:cs="Simplified Arabic"/>
          <w:rtl/>
        </w:rPr>
        <w:t>ومنظمة</w:t>
      </w:r>
      <w:r w:rsidRPr="00B54CF7">
        <w:rPr>
          <w:rFonts w:cs="Simplified Arabic" w:hint="cs"/>
          <w:rtl/>
        </w:rPr>
        <w:t xml:space="preserve"> </w:t>
      </w:r>
      <w:r w:rsidRPr="00B54CF7">
        <w:rPr>
          <w:rFonts w:cs="Simplified Arabic"/>
        </w:rPr>
        <w:t>Natural Justice</w:t>
      </w:r>
      <w:r w:rsidRPr="00B54CF7">
        <w:rPr>
          <w:rFonts w:cs="Simplified Arabic" w:hint="cs"/>
          <w:rtl/>
        </w:rPr>
        <w:t xml:space="preserve">، </w:t>
      </w:r>
      <w:r w:rsidRPr="00B54CF7">
        <w:rPr>
          <w:rFonts w:cs="Simplified Arabic"/>
          <w:rtl/>
        </w:rPr>
        <w:t>ومنظمة البحوث</w:t>
      </w:r>
      <w:r w:rsidRPr="00B54CF7">
        <w:rPr>
          <w:rFonts w:cs="Simplified Arabic" w:hint="cs"/>
          <w:rtl/>
        </w:rPr>
        <w:t xml:space="preserve"> </w:t>
      </w:r>
      <w:r w:rsidRPr="00B54CF7">
        <w:rPr>
          <w:rFonts w:cs="Simplified Arabic"/>
        </w:rPr>
        <w:t>EcoNexus</w:t>
      </w:r>
      <w:r w:rsidRPr="00B54CF7">
        <w:rPr>
          <w:rFonts w:cs="Simplified Arabic" w:hint="cs"/>
          <w:rtl/>
        </w:rPr>
        <w:t xml:space="preserve">)، </w:t>
      </w:r>
      <w:r w:rsidR="00D23B8F" w:rsidRPr="007A286A">
        <w:rPr>
          <w:rFonts w:ascii="Simplified Arabic" w:hAnsi="Simplified Arabic" w:hint="cs"/>
          <w:sz w:val="24"/>
          <w:rtl/>
        </w:rPr>
        <w:t xml:space="preserve">والشبكة العالمية للشباب </w:t>
      </w:r>
      <w:r w:rsidR="00D23B8F">
        <w:rPr>
          <w:rFonts w:ascii="Simplified Arabic" w:hAnsi="Simplified Arabic" w:hint="cs"/>
          <w:sz w:val="24"/>
          <w:rtl/>
        </w:rPr>
        <w:t>المعنية ب</w:t>
      </w:r>
      <w:r w:rsidR="00D23B8F" w:rsidRPr="007A286A">
        <w:rPr>
          <w:rFonts w:ascii="Simplified Arabic" w:hAnsi="Simplified Arabic" w:hint="cs"/>
          <w:sz w:val="24"/>
          <w:rtl/>
        </w:rPr>
        <w:t>التنوع البيولوجي</w:t>
      </w:r>
      <w:r w:rsidRPr="00B54CF7">
        <w:rPr>
          <w:rFonts w:cs="Simplified Arabic" w:hint="cs"/>
          <w:snapToGrid w:val="0"/>
          <w:kern w:val="22"/>
          <w:rtl/>
          <w:lang w:val="fr-CH"/>
        </w:rPr>
        <w:t>، و</w:t>
      </w:r>
      <w:r w:rsidRPr="00B54CF7">
        <w:rPr>
          <w:rFonts w:cs="Simplified Arabic"/>
          <w:rtl/>
        </w:rPr>
        <w:t>المنتدى الدولي للشعوب الأصلية المعني بالتنوع البيولوجي</w:t>
      </w:r>
      <w:r w:rsidR="00D23B8F">
        <w:rPr>
          <w:rFonts w:cs="Simplified Arabic" w:hint="cs"/>
          <w:rtl/>
        </w:rPr>
        <w:t>.</w:t>
      </w:r>
    </w:p>
    <w:p w:rsidR="004A3612" w:rsidRPr="00B54CF7" w:rsidRDefault="004A3612" w:rsidP="00FF7FA5">
      <w:pPr>
        <w:pStyle w:val="ListParagraph"/>
        <w:numPr>
          <w:ilvl w:val="0"/>
          <w:numId w:val="6"/>
        </w:numPr>
        <w:bidi/>
        <w:spacing w:line="216" w:lineRule="auto"/>
        <w:ind w:left="0" w:firstLine="0"/>
        <w:rPr>
          <w:rFonts w:cs="Simplified Arabic"/>
          <w:rtl/>
        </w:rPr>
      </w:pPr>
      <w:r w:rsidRPr="00B54CF7">
        <w:rPr>
          <w:rFonts w:cs="Simplified Arabic" w:hint="cs"/>
          <w:rtl/>
        </w:rPr>
        <w:t>وعقب</w:t>
      </w:r>
      <w:r w:rsidRPr="00B54CF7">
        <w:rPr>
          <w:rFonts w:cs="Simplified Arabic"/>
          <w:rtl/>
        </w:rPr>
        <w:t xml:space="preserve"> </w:t>
      </w:r>
      <w:r w:rsidRPr="00B54CF7">
        <w:rPr>
          <w:rFonts w:cs="Simplified Arabic" w:hint="cs"/>
          <w:rtl/>
        </w:rPr>
        <w:t>المناقشات،</w:t>
      </w:r>
      <w:r w:rsidRPr="00B54CF7">
        <w:rPr>
          <w:rFonts w:cs="Simplified Arabic"/>
          <w:rtl/>
        </w:rPr>
        <w:t xml:space="preserve"> </w:t>
      </w:r>
      <w:r w:rsidRPr="00B54CF7">
        <w:rPr>
          <w:rFonts w:cs="Simplified Arabic" w:hint="cs"/>
          <w:rtl/>
        </w:rPr>
        <w:t xml:space="preserve">قال </w:t>
      </w:r>
      <w:r w:rsidR="00D23B8F">
        <w:rPr>
          <w:rFonts w:cs="Simplified Arabic" w:hint="cs"/>
          <w:rtl/>
        </w:rPr>
        <w:t>ال</w:t>
      </w:r>
      <w:r w:rsidRPr="00B54CF7">
        <w:rPr>
          <w:rFonts w:cs="Simplified Arabic" w:hint="cs"/>
          <w:rtl/>
        </w:rPr>
        <w:t>رئيس</w:t>
      </w:r>
      <w:r w:rsidRPr="00B54CF7">
        <w:rPr>
          <w:rFonts w:cs="Simplified Arabic"/>
          <w:rtl/>
        </w:rPr>
        <w:t xml:space="preserve"> </w:t>
      </w:r>
      <w:r w:rsidRPr="00B54CF7">
        <w:rPr>
          <w:rFonts w:cs="Simplified Arabic" w:hint="cs"/>
          <w:rtl/>
        </w:rPr>
        <w:t>إنه سيقوم بإعداد مشروع مقرر منقح لكل جانب من البند الفرعي،</w:t>
      </w:r>
      <w:r w:rsidRPr="00B54CF7">
        <w:rPr>
          <w:rFonts w:cs="Simplified Arabic"/>
          <w:rtl/>
        </w:rPr>
        <w:t xml:space="preserve"> </w:t>
      </w:r>
      <w:r w:rsidRPr="00B54CF7">
        <w:rPr>
          <w:rFonts w:cs="Simplified Arabic" w:hint="cs"/>
          <w:rtl/>
        </w:rPr>
        <w:t>مع</w:t>
      </w:r>
      <w:r w:rsidRPr="00B54CF7">
        <w:rPr>
          <w:rFonts w:cs="Simplified Arabic"/>
          <w:rtl/>
        </w:rPr>
        <w:t xml:space="preserve"> </w:t>
      </w:r>
      <w:r w:rsidRPr="00B54CF7">
        <w:rPr>
          <w:rFonts w:cs="Simplified Arabic" w:hint="cs"/>
          <w:rtl/>
        </w:rPr>
        <w:t>مراعاة</w:t>
      </w:r>
      <w:r w:rsidRPr="00B54CF7">
        <w:rPr>
          <w:rFonts w:cs="Simplified Arabic"/>
          <w:rtl/>
        </w:rPr>
        <w:t xml:space="preserve"> </w:t>
      </w:r>
      <w:r w:rsidRPr="00B54CF7">
        <w:rPr>
          <w:rFonts w:cs="Simplified Arabic" w:hint="cs"/>
          <w:rtl/>
        </w:rPr>
        <w:t>الآراء</w:t>
      </w:r>
      <w:r w:rsidRPr="00B54CF7">
        <w:rPr>
          <w:rFonts w:cs="Simplified Arabic"/>
          <w:rtl/>
        </w:rPr>
        <w:t xml:space="preserve"> </w:t>
      </w:r>
      <w:r w:rsidRPr="00B54CF7">
        <w:rPr>
          <w:rFonts w:cs="Simplified Arabic" w:hint="cs"/>
          <w:rtl/>
        </w:rPr>
        <w:t>المعبر عنها</w:t>
      </w:r>
      <w:r w:rsidRPr="00B54CF7">
        <w:rPr>
          <w:rFonts w:cs="Simplified Arabic"/>
          <w:rtl/>
        </w:rPr>
        <w:t xml:space="preserve"> </w:t>
      </w:r>
      <w:r w:rsidRPr="00B54CF7">
        <w:rPr>
          <w:rFonts w:cs="Simplified Arabic" w:hint="cs"/>
          <w:rtl/>
        </w:rPr>
        <w:t>شفويا</w:t>
      </w:r>
      <w:r w:rsidR="00D23B8F">
        <w:rPr>
          <w:rFonts w:cs="Simplified Arabic" w:hint="cs"/>
          <w:rtl/>
        </w:rPr>
        <w:t>ً</w:t>
      </w:r>
      <w:r w:rsidRPr="00B54CF7">
        <w:rPr>
          <w:rFonts w:cs="Simplified Arabic"/>
          <w:rtl/>
        </w:rPr>
        <w:t xml:space="preserve"> </w:t>
      </w:r>
      <w:r w:rsidRPr="00B54CF7">
        <w:rPr>
          <w:rFonts w:cs="Simplified Arabic" w:hint="cs"/>
          <w:rtl/>
        </w:rPr>
        <w:t>والمقدمة كتاب</w:t>
      </w:r>
      <w:r w:rsidR="00D23B8F">
        <w:rPr>
          <w:rFonts w:cs="Simplified Arabic" w:hint="cs"/>
          <w:rtl/>
        </w:rPr>
        <w:t>ة</w:t>
      </w:r>
      <w:r w:rsidRPr="00B54CF7">
        <w:rPr>
          <w:rFonts w:cs="Simplified Arabic"/>
          <w:rtl/>
        </w:rPr>
        <w:t>.</w:t>
      </w:r>
    </w:p>
    <w:p w:rsidR="004A3612" w:rsidRPr="00D23B8F" w:rsidRDefault="004A3612" w:rsidP="006822FE">
      <w:pPr>
        <w:pStyle w:val="ListParagraph"/>
        <w:keepNext/>
        <w:bidi/>
        <w:spacing w:line="216" w:lineRule="auto"/>
        <w:ind w:left="0"/>
        <w:jc w:val="center"/>
        <w:outlineLvl w:val="1"/>
        <w:rPr>
          <w:rFonts w:cs="Simplified Arabic"/>
          <w:i/>
          <w:iCs/>
          <w:rtl/>
        </w:rPr>
      </w:pPr>
      <w:r w:rsidRPr="00D23B8F">
        <w:rPr>
          <w:rFonts w:cs="Simplified Arabic" w:hint="cs"/>
          <w:i/>
          <w:iCs/>
          <w:rtl/>
        </w:rPr>
        <w:lastRenderedPageBreak/>
        <w:t>حشد الموارد</w:t>
      </w:r>
    </w:p>
    <w:p w:rsidR="004A3612" w:rsidRPr="00D23B8F" w:rsidRDefault="004A3612" w:rsidP="00FF7FA5">
      <w:pPr>
        <w:pStyle w:val="Para10"/>
        <w:numPr>
          <w:ilvl w:val="0"/>
          <w:numId w:val="6"/>
        </w:numPr>
        <w:bidi/>
        <w:spacing w:before="0" w:line="216" w:lineRule="auto"/>
        <w:ind w:left="0" w:firstLine="0"/>
        <w:rPr>
          <w:rFonts w:cs="Simplified Arabic"/>
          <w:szCs w:val="24"/>
        </w:rPr>
      </w:pPr>
      <w:r w:rsidRPr="00B54CF7">
        <w:rPr>
          <w:rFonts w:cs="Simplified Arabic"/>
          <w:szCs w:val="24"/>
          <w:rtl/>
        </w:rPr>
        <w:t>نظر الفريق العامل في جلسته السابعة</w:t>
      </w:r>
      <w:r w:rsidRPr="00B54CF7">
        <w:rPr>
          <w:rFonts w:cs="Simplified Arabic" w:hint="cs"/>
          <w:szCs w:val="24"/>
          <w:rtl/>
        </w:rPr>
        <w:t xml:space="preserve"> </w:t>
      </w:r>
      <w:r w:rsidRPr="00B54CF7">
        <w:rPr>
          <w:rFonts w:cs="Simplified Arabic"/>
          <w:szCs w:val="24"/>
          <w:rtl/>
        </w:rPr>
        <w:t xml:space="preserve">المعقودة في 21 </w:t>
      </w:r>
      <w:r w:rsidR="00D23B8F">
        <w:rPr>
          <w:rFonts w:cs="Simplified Arabic" w:hint="cs"/>
          <w:szCs w:val="24"/>
          <w:rtl/>
        </w:rPr>
        <w:t>نوفمبر/</w:t>
      </w:r>
      <w:r w:rsidRPr="00B54CF7">
        <w:rPr>
          <w:rFonts w:cs="Simplified Arabic"/>
          <w:szCs w:val="24"/>
          <w:rtl/>
        </w:rPr>
        <w:t xml:space="preserve">تشرين الثاني 2018، في مشروع مقرر منقح بشأن </w:t>
      </w:r>
      <w:r w:rsidR="00D23B8F">
        <w:rPr>
          <w:rFonts w:cs="Simplified Arabic" w:hint="cs"/>
          <w:szCs w:val="24"/>
          <w:rtl/>
        </w:rPr>
        <w:t>حشد</w:t>
      </w:r>
      <w:r w:rsidRPr="00D23B8F">
        <w:rPr>
          <w:rFonts w:cs="Simplified Arabic"/>
          <w:szCs w:val="24"/>
          <w:rtl/>
        </w:rPr>
        <w:t xml:space="preserve"> الموارد مقدم من رئيسه</w:t>
      </w:r>
      <w:r w:rsidRPr="00D23B8F">
        <w:rPr>
          <w:rFonts w:cs="Simplified Arabic"/>
          <w:szCs w:val="24"/>
        </w:rPr>
        <w:t>.</w:t>
      </w:r>
    </w:p>
    <w:p w:rsidR="004A3612" w:rsidRPr="00B54CF7" w:rsidRDefault="004A3612" w:rsidP="00FF7FA5">
      <w:pPr>
        <w:pStyle w:val="ListParagraph"/>
        <w:numPr>
          <w:ilvl w:val="0"/>
          <w:numId w:val="6"/>
        </w:numPr>
        <w:bidi/>
        <w:spacing w:line="216" w:lineRule="auto"/>
        <w:ind w:left="0" w:firstLine="0"/>
        <w:rPr>
          <w:rFonts w:cs="Simplified Arabic"/>
        </w:rPr>
      </w:pPr>
      <w:r w:rsidRPr="00B54CF7">
        <w:rPr>
          <w:rFonts w:cs="Simplified Arabic"/>
          <w:rtl/>
        </w:rPr>
        <w:t xml:space="preserve">وأدلى ببيانات ممثلو </w:t>
      </w:r>
      <w:r w:rsidR="00D23B8F">
        <w:rPr>
          <w:rFonts w:cs="Simplified Arabic" w:hint="cs"/>
          <w:rtl/>
        </w:rPr>
        <w:t xml:space="preserve">الأرجنتين، والبرازيل، وكندا، وكولومبيا، وكوستاريكا، وإكوادور، وإثيوبيا، </w:t>
      </w:r>
      <w:r w:rsidRPr="00B54CF7">
        <w:rPr>
          <w:rFonts w:cs="Simplified Arabic" w:hint="cs"/>
          <w:color w:val="000000"/>
          <w:rtl/>
          <w:lang w:eastAsia="fr-CH"/>
        </w:rPr>
        <w:t xml:space="preserve">والاتحاد الأوروبي </w:t>
      </w:r>
      <w:r w:rsidRPr="00B54CF7">
        <w:rPr>
          <w:rFonts w:cs="Simplified Arabic"/>
          <w:color w:val="000000"/>
          <w:rtl/>
        </w:rPr>
        <w:t xml:space="preserve">ودوله الأعضاء </w:t>
      </w:r>
      <w:r w:rsidR="00D23B8F">
        <w:rPr>
          <w:rFonts w:cs="Simplified Arabic" w:hint="cs"/>
          <w:color w:val="000000"/>
          <w:rtl/>
        </w:rPr>
        <w:t>الثماني والعشرين</w:t>
      </w:r>
      <w:r w:rsidRPr="00B54CF7">
        <w:rPr>
          <w:rFonts w:cs="Simplified Arabic" w:hint="cs"/>
          <w:rtl/>
        </w:rPr>
        <w:t>،</w:t>
      </w:r>
      <w:r w:rsidRPr="00B54CF7">
        <w:rPr>
          <w:rFonts w:cs="Simplified Arabic"/>
          <w:rtl/>
        </w:rPr>
        <w:t xml:space="preserve"> </w:t>
      </w:r>
      <w:r w:rsidR="00D23B8F">
        <w:rPr>
          <w:rFonts w:cs="Simplified Arabic" w:hint="cs"/>
          <w:rtl/>
        </w:rPr>
        <w:t xml:space="preserve">وغواتيمالا، والعراق، واليابان، وكينيا، ونيوزيلندا، والنرويج، </w:t>
      </w:r>
      <w:r w:rsidRPr="00B54CF7">
        <w:rPr>
          <w:rFonts w:cs="Simplified Arabic"/>
          <w:color w:val="000000"/>
          <w:rtl/>
        </w:rPr>
        <w:t>وجنوب أفريقيا</w:t>
      </w:r>
      <w:r w:rsidR="00D23B8F">
        <w:rPr>
          <w:rFonts w:cs="Simplified Arabic" w:hint="cs"/>
          <w:color w:val="000000"/>
          <w:rtl/>
        </w:rPr>
        <w:t>،</w:t>
      </w:r>
      <w:r w:rsidRPr="00B54CF7">
        <w:rPr>
          <w:rFonts w:cs="Simplified Arabic"/>
          <w:color w:val="000000"/>
          <w:rtl/>
        </w:rPr>
        <w:t xml:space="preserve"> وسويسرا </w:t>
      </w:r>
      <w:r w:rsidR="00D23B8F">
        <w:rPr>
          <w:rFonts w:cs="Simplified Arabic" w:hint="cs"/>
          <w:color w:val="000000"/>
          <w:rtl/>
        </w:rPr>
        <w:t>وأوغندا</w:t>
      </w:r>
      <w:r w:rsidRPr="00B54CF7">
        <w:rPr>
          <w:rFonts w:cs="Simplified Arabic" w:hint="cs"/>
          <w:rtl/>
        </w:rPr>
        <w:t>.</w:t>
      </w:r>
    </w:p>
    <w:p w:rsidR="004A3612" w:rsidRDefault="004A3612" w:rsidP="00FF7FA5">
      <w:pPr>
        <w:pStyle w:val="Para10"/>
        <w:numPr>
          <w:ilvl w:val="0"/>
          <w:numId w:val="6"/>
        </w:numPr>
        <w:bidi/>
        <w:spacing w:before="0" w:line="216" w:lineRule="auto"/>
        <w:ind w:left="0" w:firstLine="0"/>
        <w:rPr>
          <w:rFonts w:cs="Simplified Arabic"/>
          <w:szCs w:val="24"/>
        </w:rPr>
      </w:pPr>
      <w:r w:rsidRPr="00B54CF7">
        <w:rPr>
          <w:rFonts w:cs="Simplified Arabic"/>
          <w:szCs w:val="24"/>
          <w:rtl/>
        </w:rPr>
        <w:t xml:space="preserve">وبعد تبادل الآراء، قال الرئيس إنه سيعد صيغة جديدة لمشروع المقرر </w:t>
      </w:r>
      <w:r w:rsidR="00D23B8F">
        <w:rPr>
          <w:rFonts w:cs="Simplified Arabic" w:hint="cs"/>
          <w:szCs w:val="24"/>
          <w:rtl/>
        </w:rPr>
        <w:t xml:space="preserve">المنقح </w:t>
      </w:r>
      <w:r w:rsidRPr="00B54CF7">
        <w:rPr>
          <w:rFonts w:cs="Simplified Arabic"/>
          <w:szCs w:val="24"/>
          <w:rtl/>
        </w:rPr>
        <w:t xml:space="preserve">بشأن </w:t>
      </w:r>
      <w:r w:rsidR="008512EC">
        <w:rPr>
          <w:rFonts w:cs="Simplified Arabic" w:hint="cs"/>
          <w:szCs w:val="24"/>
          <w:rtl/>
        </w:rPr>
        <w:t>حشد</w:t>
      </w:r>
      <w:r w:rsidRPr="00B54CF7">
        <w:rPr>
          <w:rFonts w:cs="Simplified Arabic"/>
          <w:szCs w:val="24"/>
          <w:rtl/>
        </w:rPr>
        <w:t xml:space="preserve"> الموارد، مع مراعاة التعليقات المقدمة، ووافق الفريق العامل على إحالة ال</w:t>
      </w:r>
      <w:r w:rsidRPr="00B54CF7">
        <w:rPr>
          <w:rFonts w:cs="Simplified Arabic" w:hint="cs"/>
          <w:szCs w:val="24"/>
          <w:rtl/>
        </w:rPr>
        <w:t>صيغ</w:t>
      </w:r>
      <w:r w:rsidRPr="00B54CF7">
        <w:rPr>
          <w:rFonts w:cs="Simplified Arabic"/>
          <w:szCs w:val="24"/>
          <w:rtl/>
        </w:rPr>
        <w:t xml:space="preserve">ة الجديدة والمسائل المعلقة ذات الصلة إلى </w:t>
      </w:r>
      <w:r w:rsidR="008512EC">
        <w:rPr>
          <w:rFonts w:cs="Simplified Arabic" w:hint="cs"/>
          <w:szCs w:val="24"/>
          <w:rtl/>
        </w:rPr>
        <w:t>فريق</w:t>
      </w:r>
      <w:r w:rsidRPr="00B54CF7">
        <w:rPr>
          <w:rFonts w:cs="Simplified Arabic"/>
          <w:szCs w:val="24"/>
          <w:rtl/>
        </w:rPr>
        <w:t xml:space="preserve"> الاتصال</w:t>
      </w:r>
      <w:r w:rsidRPr="00B54CF7">
        <w:rPr>
          <w:rFonts w:cs="Simplified Arabic" w:hint="cs"/>
          <w:szCs w:val="24"/>
          <w:rtl/>
        </w:rPr>
        <w:t xml:space="preserve"> ال</w:t>
      </w:r>
      <w:r w:rsidR="008512EC">
        <w:rPr>
          <w:rFonts w:cs="Simplified Arabic" w:hint="cs"/>
          <w:szCs w:val="24"/>
          <w:rtl/>
        </w:rPr>
        <w:t>ذ</w:t>
      </w:r>
      <w:r w:rsidRPr="00B54CF7">
        <w:rPr>
          <w:rFonts w:cs="Simplified Arabic" w:hint="cs"/>
          <w:szCs w:val="24"/>
          <w:rtl/>
        </w:rPr>
        <w:t>ي</w:t>
      </w:r>
      <w:r w:rsidR="008512EC">
        <w:rPr>
          <w:rFonts w:cs="Simplified Arabic"/>
          <w:szCs w:val="24"/>
          <w:rtl/>
        </w:rPr>
        <w:t xml:space="preserve"> أنشئ</w:t>
      </w:r>
      <w:r w:rsidRPr="00B54CF7">
        <w:rPr>
          <w:rFonts w:cs="Simplified Arabic"/>
          <w:szCs w:val="24"/>
          <w:rtl/>
        </w:rPr>
        <w:t xml:space="preserve"> لمناقشة الآلية المالية</w:t>
      </w:r>
      <w:r w:rsidRPr="00B54CF7">
        <w:rPr>
          <w:rFonts w:cs="Simplified Arabic"/>
          <w:szCs w:val="24"/>
        </w:rPr>
        <w:t>.</w:t>
      </w:r>
    </w:p>
    <w:p w:rsidR="00B54CF7" w:rsidRDefault="00B54CF7" w:rsidP="00FF7FA5">
      <w:pPr>
        <w:pStyle w:val="Para10"/>
        <w:numPr>
          <w:ilvl w:val="0"/>
          <w:numId w:val="6"/>
        </w:numPr>
        <w:bidi/>
        <w:spacing w:before="0" w:line="216" w:lineRule="auto"/>
        <w:ind w:left="0" w:firstLine="0"/>
        <w:rPr>
          <w:rFonts w:cs="Simplified Arabic"/>
          <w:szCs w:val="24"/>
        </w:rPr>
      </w:pPr>
      <w:r>
        <w:rPr>
          <w:rFonts w:cs="Simplified Arabic" w:hint="cs"/>
          <w:szCs w:val="24"/>
          <w:rtl/>
        </w:rPr>
        <w:t>ونظر الفريق العامل، في جلسته الثالثة عشرة المنعقدة في 27 نوفمبر/تشرين الثاني 2018، في مشروع مقرر منقح قدم</w:t>
      </w:r>
      <w:r w:rsidR="008512EC">
        <w:rPr>
          <w:rFonts w:cs="Simplified Arabic" w:hint="cs"/>
          <w:szCs w:val="24"/>
          <w:rtl/>
        </w:rPr>
        <w:t xml:space="preserve">ه </w:t>
      </w:r>
      <w:r>
        <w:rPr>
          <w:rFonts w:cs="Simplified Arabic" w:hint="cs"/>
          <w:szCs w:val="24"/>
          <w:rtl/>
        </w:rPr>
        <w:t>الرئيس.</w:t>
      </w:r>
    </w:p>
    <w:p w:rsidR="00B54CF7" w:rsidRDefault="00B54CF7" w:rsidP="00FF7FA5">
      <w:pPr>
        <w:pStyle w:val="Para10"/>
        <w:numPr>
          <w:ilvl w:val="0"/>
          <w:numId w:val="6"/>
        </w:numPr>
        <w:bidi/>
        <w:spacing w:before="0" w:line="216" w:lineRule="auto"/>
        <w:ind w:left="0" w:firstLine="0"/>
        <w:rPr>
          <w:rFonts w:cs="Simplified Arabic"/>
          <w:szCs w:val="24"/>
        </w:rPr>
      </w:pPr>
      <w:r>
        <w:rPr>
          <w:rFonts w:cs="Simplified Arabic" w:hint="cs"/>
          <w:szCs w:val="24"/>
          <w:rtl/>
        </w:rPr>
        <w:t xml:space="preserve">وأدلى ببيانات ممثلو البرازيل، وكندا، وكولومبيا، وإكوادور، والاتحاد الأوروبي ودوله الأعضاء </w:t>
      </w:r>
      <w:r w:rsidR="008512EC">
        <w:rPr>
          <w:rFonts w:cs="Simplified Arabic" w:hint="cs"/>
          <w:szCs w:val="24"/>
          <w:rtl/>
        </w:rPr>
        <w:t>الثماني والعشرين</w:t>
      </w:r>
      <w:r>
        <w:rPr>
          <w:rFonts w:cs="Simplified Arabic" w:hint="cs"/>
          <w:szCs w:val="24"/>
          <w:rtl/>
        </w:rPr>
        <w:t>، وكينيا، وليختنشتاين، والنرويج، وسويسرا.</w:t>
      </w:r>
    </w:p>
    <w:p w:rsidR="00B54CF7" w:rsidRPr="00B54CF7" w:rsidRDefault="00B54CF7" w:rsidP="00FF7FA5">
      <w:pPr>
        <w:pStyle w:val="Para10"/>
        <w:numPr>
          <w:ilvl w:val="0"/>
          <w:numId w:val="6"/>
        </w:numPr>
        <w:bidi/>
        <w:spacing w:before="0" w:line="216" w:lineRule="auto"/>
        <w:ind w:left="0" w:firstLine="0"/>
        <w:rPr>
          <w:rFonts w:cs="Simplified Arabic"/>
          <w:szCs w:val="24"/>
        </w:rPr>
      </w:pPr>
      <w:r>
        <w:rPr>
          <w:rFonts w:cs="Simplified Arabic" w:hint="cs"/>
          <w:szCs w:val="24"/>
          <w:rtl/>
        </w:rPr>
        <w:t>وبعد المشاورات وتبادل آخر للآراء، وافق الفريق العامل على مشروع المقرر المنقح، بصيغته المعدلة شفويا</w:t>
      </w:r>
      <w:r w:rsidR="008512EC">
        <w:rPr>
          <w:rFonts w:cs="Simplified Arabic" w:hint="cs"/>
          <w:szCs w:val="24"/>
          <w:rtl/>
        </w:rPr>
        <w:t>ً</w:t>
      </w:r>
      <w:r>
        <w:rPr>
          <w:rFonts w:cs="Simplified Arabic" w:hint="cs"/>
          <w:szCs w:val="24"/>
          <w:rtl/>
        </w:rPr>
        <w:t xml:space="preserve">، لإحالته إلى الجلسة العامة بوصفه مشروع المقرر </w:t>
      </w:r>
      <w:r w:rsidRPr="008F0645">
        <w:t>CBD/COP/14/L.33</w:t>
      </w:r>
      <w:r>
        <w:rPr>
          <w:rFonts w:cs="Simplified Arabic" w:hint="cs"/>
          <w:szCs w:val="24"/>
          <w:rtl/>
        </w:rPr>
        <w:t>.</w:t>
      </w:r>
    </w:p>
    <w:p w:rsidR="0076647E" w:rsidRDefault="008512EC" w:rsidP="00FF7FA5">
      <w:pPr>
        <w:pStyle w:val="Para10"/>
        <w:numPr>
          <w:ilvl w:val="0"/>
          <w:numId w:val="6"/>
        </w:numPr>
        <w:bidi/>
        <w:spacing w:before="0" w:line="216" w:lineRule="auto"/>
        <w:ind w:left="0" w:firstLine="0"/>
        <w:rPr>
          <w:rFonts w:cs="Simplified Arabic"/>
          <w:szCs w:val="24"/>
        </w:rPr>
      </w:pPr>
      <w:r>
        <w:rPr>
          <w:rFonts w:cs="Simplified Arabic" w:hint="cs"/>
          <w:szCs w:val="24"/>
          <w:rtl/>
        </w:rPr>
        <w:t xml:space="preserve">وفي الجلسة العامة الثامنة، المنعقدة في 29 نوفمبر/تشرين الثاني 2018، تناول مؤتمر الأطراف بحث مشروع المقرر المنقح </w:t>
      </w:r>
      <w:r w:rsidRPr="008F0645">
        <w:t>CBD/COP/14/L.33</w:t>
      </w:r>
      <w:r>
        <w:rPr>
          <w:rFonts w:cs="Simplified Arabic" w:hint="cs"/>
          <w:szCs w:val="24"/>
          <w:rtl/>
        </w:rPr>
        <w:t>، بصيغته المعدلة شفويا</w:t>
      </w:r>
      <w:r w:rsidR="00281C09">
        <w:rPr>
          <w:rFonts w:cs="Simplified Arabic" w:hint="cs"/>
          <w:szCs w:val="24"/>
          <w:rtl/>
        </w:rPr>
        <w:t>ً</w:t>
      </w:r>
      <w:r>
        <w:rPr>
          <w:rFonts w:cs="Simplified Arabic" w:hint="cs"/>
          <w:szCs w:val="24"/>
          <w:rtl/>
        </w:rPr>
        <w:t xml:space="preserve"> بواسطة ممثل عن الأمانة.</w:t>
      </w:r>
    </w:p>
    <w:p w:rsidR="008512EC" w:rsidRDefault="008512EC" w:rsidP="00FF7FA5">
      <w:pPr>
        <w:pStyle w:val="Para10"/>
        <w:numPr>
          <w:ilvl w:val="0"/>
          <w:numId w:val="6"/>
        </w:numPr>
        <w:bidi/>
        <w:spacing w:before="0" w:line="216" w:lineRule="auto"/>
        <w:ind w:left="0" w:firstLine="0"/>
        <w:rPr>
          <w:rFonts w:cs="Simplified Arabic"/>
          <w:szCs w:val="24"/>
        </w:rPr>
      </w:pPr>
      <w:r>
        <w:rPr>
          <w:rFonts w:cs="Simplified Arabic" w:hint="cs"/>
          <w:szCs w:val="24"/>
          <w:rtl/>
        </w:rPr>
        <w:t>وأدلى ببيانات ممثلو البرازيل، وكندا، وكولومبيا، والاتحاد الأوروبي ودوله الأعضاء الثماني والعشرين، وغابون، واليابان والنرويج.</w:t>
      </w:r>
    </w:p>
    <w:p w:rsidR="008512EC" w:rsidRPr="00997CAE" w:rsidRDefault="008512EC" w:rsidP="00FF7FA5">
      <w:pPr>
        <w:pStyle w:val="Para10"/>
        <w:numPr>
          <w:ilvl w:val="0"/>
          <w:numId w:val="6"/>
        </w:numPr>
        <w:bidi/>
        <w:spacing w:before="0" w:line="216" w:lineRule="auto"/>
        <w:ind w:left="0" w:firstLine="0"/>
        <w:rPr>
          <w:rFonts w:cs="Simplified Arabic"/>
          <w:szCs w:val="24"/>
        </w:rPr>
      </w:pPr>
      <w:r>
        <w:rPr>
          <w:rFonts w:cs="Simplified Arabic" w:hint="cs"/>
          <w:szCs w:val="24"/>
          <w:rtl/>
        </w:rPr>
        <w:t xml:space="preserve">وبعد تبادل الآراء، اعتمد مؤتمر الأطراف مشروع المقرر </w:t>
      </w:r>
      <w:r w:rsidRPr="008F0645">
        <w:t>CBD/COP/14/L.33</w:t>
      </w:r>
      <w:r>
        <w:rPr>
          <w:rFonts w:cs="Simplified Arabic" w:hint="cs"/>
          <w:szCs w:val="24"/>
          <w:rtl/>
        </w:rPr>
        <w:t>، بصيغته المعدلة شفوياً، بوصفه المقرر 14/22 (للاطلاع على النص، انظر الفصل الأول).</w:t>
      </w:r>
    </w:p>
    <w:p w:rsidR="004A3612" w:rsidRPr="00997CAE" w:rsidRDefault="004A3612" w:rsidP="008512EC">
      <w:pPr>
        <w:pStyle w:val="ListParagraph"/>
        <w:kinsoku w:val="0"/>
        <w:overflowPunct w:val="0"/>
        <w:autoSpaceDE w:val="0"/>
        <w:autoSpaceDN w:val="0"/>
        <w:bidi/>
        <w:snapToGrid w:val="0"/>
        <w:spacing w:line="216" w:lineRule="auto"/>
        <w:ind w:left="0"/>
        <w:jc w:val="center"/>
        <w:rPr>
          <w:rFonts w:cs="Simplified Arabic"/>
          <w:i/>
          <w:iCs/>
        </w:rPr>
      </w:pPr>
      <w:r w:rsidRPr="00997CAE">
        <w:rPr>
          <w:rFonts w:cs="Simplified Arabic"/>
          <w:i/>
          <w:iCs/>
          <w:rtl/>
        </w:rPr>
        <w:t>الضمانات في آليات تمويل التنوع البيولوجي</w:t>
      </w:r>
    </w:p>
    <w:p w:rsidR="004A3612" w:rsidRPr="00B54CF7" w:rsidRDefault="0089756E" w:rsidP="0089756E">
      <w:pPr>
        <w:pStyle w:val="Para10"/>
        <w:numPr>
          <w:ilvl w:val="0"/>
          <w:numId w:val="6"/>
        </w:numPr>
        <w:bidi/>
        <w:spacing w:before="0" w:line="216" w:lineRule="auto"/>
        <w:ind w:left="0" w:firstLine="0"/>
        <w:rPr>
          <w:rFonts w:cs="Simplified Arabic"/>
          <w:szCs w:val="24"/>
        </w:rPr>
      </w:pPr>
      <w:r>
        <w:rPr>
          <w:rFonts w:cs="Simplified Arabic" w:hint="cs"/>
          <w:szCs w:val="24"/>
          <w:rtl/>
        </w:rPr>
        <w:t>في</w:t>
      </w:r>
      <w:r w:rsidRPr="00B54CF7">
        <w:rPr>
          <w:rFonts w:cs="Simplified Arabic"/>
          <w:szCs w:val="24"/>
          <w:rtl/>
        </w:rPr>
        <w:t xml:space="preserve"> جلسته</w:t>
      </w:r>
      <w:r>
        <w:rPr>
          <w:rFonts w:cs="Simplified Arabic"/>
          <w:szCs w:val="24"/>
          <w:rtl/>
        </w:rPr>
        <w:t xml:space="preserve"> السابعة، المنعقدة في 21 نوفمبر/</w:t>
      </w:r>
      <w:r w:rsidRPr="00B54CF7">
        <w:rPr>
          <w:rFonts w:cs="Simplified Arabic"/>
          <w:szCs w:val="24"/>
          <w:rtl/>
        </w:rPr>
        <w:t xml:space="preserve">تشرين الثاني 2018، </w:t>
      </w:r>
      <w:r w:rsidR="004A3612" w:rsidRPr="00B54CF7">
        <w:rPr>
          <w:rFonts w:cs="Simplified Arabic"/>
          <w:szCs w:val="24"/>
          <w:rtl/>
        </w:rPr>
        <w:t>نظر الفريق العامل أيضاً في مشروع المقرر المنقح الذي أعده الرئيس بشأن الضمانات في آليات تمويل التنوع البيولوجي</w:t>
      </w:r>
      <w:r w:rsidR="004A3612" w:rsidRPr="00B54CF7">
        <w:rPr>
          <w:rFonts w:cs="Simplified Arabic"/>
          <w:szCs w:val="24"/>
        </w:rPr>
        <w:t>.</w:t>
      </w:r>
    </w:p>
    <w:p w:rsidR="004A3612" w:rsidRPr="00B54CF7" w:rsidRDefault="004A3612" w:rsidP="00FF7FA5">
      <w:pPr>
        <w:pStyle w:val="ListParagraph"/>
        <w:numPr>
          <w:ilvl w:val="0"/>
          <w:numId w:val="6"/>
        </w:numPr>
        <w:tabs>
          <w:tab w:val="num" w:pos="720"/>
        </w:tabs>
        <w:kinsoku w:val="0"/>
        <w:overflowPunct w:val="0"/>
        <w:autoSpaceDE w:val="0"/>
        <w:autoSpaceDN w:val="0"/>
        <w:bidi/>
        <w:snapToGrid w:val="0"/>
        <w:spacing w:line="216" w:lineRule="auto"/>
        <w:ind w:left="0" w:firstLine="0"/>
        <w:rPr>
          <w:rFonts w:cs="Simplified Arabic"/>
        </w:rPr>
      </w:pPr>
      <w:r w:rsidRPr="00B54CF7">
        <w:rPr>
          <w:rFonts w:cs="Simplified Arabic"/>
          <w:rtl/>
        </w:rPr>
        <w:t>وأدلى ببيان</w:t>
      </w:r>
      <w:r w:rsidR="00B53BFE">
        <w:rPr>
          <w:rFonts w:cs="Simplified Arabic" w:hint="cs"/>
          <w:rtl/>
        </w:rPr>
        <w:t>ين</w:t>
      </w:r>
      <w:r w:rsidRPr="00B54CF7">
        <w:rPr>
          <w:rFonts w:cs="Simplified Arabic"/>
          <w:rtl/>
        </w:rPr>
        <w:t xml:space="preserve"> ممثل</w:t>
      </w:r>
      <w:r w:rsidR="00B53BFE">
        <w:rPr>
          <w:rFonts w:cs="Simplified Arabic" w:hint="cs"/>
          <w:rtl/>
        </w:rPr>
        <w:t>ا</w:t>
      </w:r>
      <w:r w:rsidRPr="00B54CF7">
        <w:rPr>
          <w:rFonts w:cs="Simplified Arabic"/>
          <w:rtl/>
        </w:rPr>
        <w:t xml:space="preserve"> الاتحاد الأوروبي ودوله الأعضاء </w:t>
      </w:r>
      <w:r w:rsidR="00B53BFE">
        <w:rPr>
          <w:rFonts w:cs="Simplified Arabic" w:hint="cs"/>
          <w:rtl/>
        </w:rPr>
        <w:t>الثماني والعشرين</w:t>
      </w:r>
      <w:r w:rsidRPr="00B54CF7">
        <w:rPr>
          <w:rFonts w:cs="Simplified Arabic" w:hint="cs"/>
          <w:rtl/>
        </w:rPr>
        <w:t xml:space="preserve"> </w:t>
      </w:r>
      <w:r w:rsidRPr="00B54CF7">
        <w:rPr>
          <w:rFonts w:cs="Simplified Arabic"/>
          <w:rtl/>
        </w:rPr>
        <w:t>وغينيا</w:t>
      </w:r>
      <w:r w:rsidRPr="00B54CF7">
        <w:rPr>
          <w:rFonts w:cs="Simplified Arabic"/>
        </w:rPr>
        <w:t>.</w:t>
      </w:r>
    </w:p>
    <w:p w:rsidR="004A3612" w:rsidRPr="00B54CF7" w:rsidRDefault="004A3612" w:rsidP="00FF7FA5">
      <w:pPr>
        <w:pStyle w:val="ListParagraph"/>
        <w:numPr>
          <w:ilvl w:val="0"/>
          <w:numId w:val="6"/>
        </w:numPr>
        <w:tabs>
          <w:tab w:val="num" w:pos="720"/>
        </w:tabs>
        <w:kinsoku w:val="0"/>
        <w:overflowPunct w:val="0"/>
        <w:autoSpaceDE w:val="0"/>
        <w:autoSpaceDN w:val="0"/>
        <w:bidi/>
        <w:snapToGrid w:val="0"/>
        <w:spacing w:line="216" w:lineRule="auto"/>
        <w:ind w:left="0" w:firstLine="0"/>
        <w:rPr>
          <w:rFonts w:cs="Simplified Arabic"/>
        </w:rPr>
      </w:pPr>
      <w:r w:rsidRPr="00B54CF7">
        <w:rPr>
          <w:rFonts w:cs="Simplified Arabic"/>
          <w:rtl/>
        </w:rPr>
        <w:t>واستأنف الفريق العامل النظر في مشروع المقرر المنقح</w:t>
      </w:r>
      <w:r w:rsidRPr="00B54CF7">
        <w:rPr>
          <w:rFonts w:cs="Simplified Arabic" w:hint="cs"/>
          <w:rtl/>
        </w:rPr>
        <w:t xml:space="preserve"> بشأن </w:t>
      </w:r>
      <w:r w:rsidRPr="00B54CF7">
        <w:rPr>
          <w:rFonts w:cs="Simplified Arabic"/>
          <w:snapToGrid w:val="0"/>
          <w:kern w:val="22"/>
          <w:rtl/>
        </w:rPr>
        <w:t>الضمانات في آليات تمويل التنوع البيولوجي</w:t>
      </w:r>
      <w:r w:rsidRPr="00B54CF7">
        <w:rPr>
          <w:rFonts w:cs="Simplified Arabic"/>
          <w:rtl/>
        </w:rPr>
        <w:t xml:space="preserve"> </w:t>
      </w:r>
      <w:r w:rsidR="00B53BFE">
        <w:rPr>
          <w:rFonts w:cs="Simplified Arabic" w:hint="cs"/>
          <w:rtl/>
        </w:rPr>
        <w:t>في</w:t>
      </w:r>
      <w:r w:rsidRPr="00B54CF7">
        <w:rPr>
          <w:rFonts w:cs="Simplified Arabic"/>
          <w:rtl/>
        </w:rPr>
        <w:t xml:space="preserve"> جلسته الثام</w:t>
      </w:r>
      <w:r w:rsidR="00B53BFE">
        <w:rPr>
          <w:rFonts w:cs="Simplified Arabic"/>
          <w:rtl/>
        </w:rPr>
        <w:t>نة، المعقودة في 22 تشرين الثاني/</w:t>
      </w:r>
      <w:r w:rsidRPr="00B54CF7">
        <w:rPr>
          <w:rFonts w:cs="Simplified Arabic"/>
          <w:rtl/>
        </w:rPr>
        <w:t>نوفمبر 2018</w:t>
      </w:r>
      <w:r w:rsidRPr="00B54CF7">
        <w:rPr>
          <w:rFonts w:cs="Simplified Arabic"/>
        </w:rPr>
        <w:t>.</w:t>
      </w:r>
    </w:p>
    <w:p w:rsidR="004A3612" w:rsidRPr="00B54CF7" w:rsidRDefault="004A3612" w:rsidP="00FF7FA5">
      <w:pPr>
        <w:pStyle w:val="ListParagraph"/>
        <w:numPr>
          <w:ilvl w:val="0"/>
          <w:numId w:val="6"/>
        </w:numPr>
        <w:tabs>
          <w:tab w:val="num" w:pos="720"/>
        </w:tabs>
        <w:kinsoku w:val="0"/>
        <w:overflowPunct w:val="0"/>
        <w:autoSpaceDE w:val="0"/>
        <w:autoSpaceDN w:val="0"/>
        <w:bidi/>
        <w:snapToGrid w:val="0"/>
        <w:spacing w:line="216" w:lineRule="auto"/>
        <w:ind w:left="0" w:firstLine="0"/>
        <w:rPr>
          <w:rFonts w:cs="Simplified Arabic"/>
        </w:rPr>
      </w:pPr>
      <w:r w:rsidRPr="00B54CF7">
        <w:rPr>
          <w:rFonts w:cs="Simplified Arabic"/>
          <w:rtl/>
        </w:rPr>
        <w:t>وأدلى ببيانات ممثلو كندا</w:t>
      </w:r>
      <w:r w:rsidR="00B53BFE">
        <w:rPr>
          <w:rFonts w:cs="Simplified Arabic" w:hint="cs"/>
          <w:rtl/>
        </w:rPr>
        <w:t>،</w:t>
      </w:r>
      <w:r w:rsidRPr="00B54CF7">
        <w:rPr>
          <w:rFonts w:cs="Simplified Arabic"/>
          <w:rtl/>
        </w:rPr>
        <w:t xml:space="preserve"> والاتحاد الأوروبي ودوله الأعضاء </w:t>
      </w:r>
      <w:r w:rsidR="00B53BFE">
        <w:rPr>
          <w:rFonts w:cs="Simplified Arabic" w:hint="cs"/>
          <w:rtl/>
        </w:rPr>
        <w:t>الثماني والعشرين،</w:t>
      </w:r>
      <w:r w:rsidRPr="00B54CF7">
        <w:rPr>
          <w:rFonts w:cs="Simplified Arabic"/>
          <w:rtl/>
        </w:rPr>
        <w:t xml:space="preserve"> </w:t>
      </w:r>
      <w:r w:rsidR="00B53BFE">
        <w:rPr>
          <w:rFonts w:cs="Simplified Arabic" w:hint="cs"/>
          <w:rtl/>
        </w:rPr>
        <w:t>والمكسيك، والفلبين، وتركيا و</w:t>
      </w:r>
      <w:r w:rsidRPr="00B54CF7">
        <w:rPr>
          <w:rFonts w:cs="Simplified Arabic"/>
          <w:rtl/>
        </w:rPr>
        <w:t>أوغندا</w:t>
      </w:r>
      <w:r w:rsidR="00B53BFE">
        <w:rPr>
          <w:rFonts w:cs="Simplified Arabic" w:hint="cs"/>
          <w:rtl/>
        </w:rPr>
        <w:t>.</w:t>
      </w:r>
    </w:p>
    <w:p w:rsidR="004A3612" w:rsidRPr="00B54CF7" w:rsidRDefault="004A3612" w:rsidP="00FF7FA5">
      <w:pPr>
        <w:pStyle w:val="ListParagraph"/>
        <w:numPr>
          <w:ilvl w:val="0"/>
          <w:numId w:val="6"/>
        </w:numPr>
        <w:tabs>
          <w:tab w:val="num" w:pos="720"/>
        </w:tabs>
        <w:kinsoku w:val="0"/>
        <w:overflowPunct w:val="0"/>
        <w:autoSpaceDE w:val="0"/>
        <w:autoSpaceDN w:val="0"/>
        <w:bidi/>
        <w:snapToGrid w:val="0"/>
        <w:spacing w:line="216" w:lineRule="auto"/>
        <w:ind w:left="0" w:firstLine="0"/>
        <w:rPr>
          <w:rFonts w:cs="Simplified Arabic"/>
        </w:rPr>
      </w:pPr>
      <w:r w:rsidRPr="00B54CF7">
        <w:rPr>
          <w:rFonts w:cs="Simplified Arabic"/>
          <w:rtl/>
        </w:rPr>
        <w:t xml:space="preserve">وبعد تبادل الآراء، </w:t>
      </w:r>
      <w:r w:rsidR="00B53BFE">
        <w:rPr>
          <w:rFonts w:cs="Simplified Arabic" w:hint="cs"/>
          <w:rtl/>
        </w:rPr>
        <w:t>وافق</w:t>
      </w:r>
      <w:r w:rsidRPr="00B54CF7">
        <w:rPr>
          <w:rFonts w:cs="Simplified Arabic" w:hint="cs"/>
          <w:rtl/>
        </w:rPr>
        <w:t xml:space="preserve"> الفريق العامل</w:t>
      </w:r>
      <w:r w:rsidRPr="00B54CF7">
        <w:rPr>
          <w:rFonts w:cs="Simplified Arabic"/>
          <w:rtl/>
        </w:rPr>
        <w:t xml:space="preserve"> </w:t>
      </w:r>
      <w:r w:rsidR="00B53BFE">
        <w:rPr>
          <w:rFonts w:cs="Simplified Arabic" w:hint="cs"/>
          <w:rtl/>
        </w:rPr>
        <w:t xml:space="preserve">على </w:t>
      </w:r>
      <w:r w:rsidRPr="00B54CF7">
        <w:rPr>
          <w:rFonts w:cs="Simplified Arabic"/>
          <w:rtl/>
        </w:rPr>
        <w:t>مشروع المقرر</w:t>
      </w:r>
      <w:r w:rsidRPr="00B54CF7">
        <w:rPr>
          <w:rFonts w:cs="Simplified Arabic" w:hint="cs"/>
          <w:rtl/>
        </w:rPr>
        <w:t xml:space="preserve"> المنقح</w:t>
      </w:r>
      <w:r w:rsidRPr="00B54CF7">
        <w:rPr>
          <w:rFonts w:cs="Simplified Arabic"/>
          <w:rtl/>
        </w:rPr>
        <w:t xml:space="preserve"> </w:t>
      </w:r>
      <w:r w:rsidRPr="00B54CF7">
        <w:rPr>
          <w:rFonts w:cs="Simplified Arabic" w:hint="cs"/>
          <w:rtl/>
        </w:rPr>
        <w:t xml:space="preserve">بشأن </w:t>
      </w:r>
      <w:r w:rsidRPr="00B54CF7">
        <w:rPr>
          <w:rFonts w:cs="Simplified Arabic"/>
          <w:snapToGrid w:val="0"/>
          <w:kern w:val="22"/>
          <w:rtl/>
        </w:rPr>
        <w:t>الضمانات في آليات تمويل التنوع البيولوجي</w:t>
      </w:r>
      <w:r w:rsidRPr="00B54CF7">
        <w:rPr>
          <w:rFonts w:cs="Simplified Arabic"/>
          <w:rtl/>
        </w:rPr>
        <w:t xml:space="preserve"> </w:t>
      </w:r>
      <w:r w:rsidRPr="00B54CF7">
        <w:rPr>
          <w:rFonts w:cs="Simplified Arabic" w:hint="cs"/>
          <w:rtl/>
        </w:rPr>
        <w:t xml:space="preserve">بغية </w:t>
      </w:r>
      <w:r w:rsidRPr="00B54CF7">
        <w:rPr>
          <w:rFonts w:cs="Simplified Arabic"/>
          <w:rtl/>
        </w:rPr>
        <w:t>إحالته إلى الجلسة العامة بوصفه مشروع المقرر</w:t>
      </w:r>
      <w:r w:rsidR="00AD71BF">
        <w:rPr>
          <w:rFonts w:cs="Simplified Arabic" w:hint="cs"/>
          <w:rtl/>
        </w:rPr>
        <w:t xml:space="preserve"> </w:t>
      </w:r>
      <w:r w:rsidRPr="00B54CF7">
        <w:rPr>
          <w:rFonts w:cs="Simplified Arabic"/>
        </w:rPr>
        <w:t>.</w:t>
      </w:r>
      <w:r w:rsidR="002A009A" w:rsidRPr="00B54CF7">
        <w:rPr>
          <w:rFonts w:cs="Simplified Arabic"/>
        </w:rPr>
        <w:t>CBD/COP/14/</w:t>
      </w:r>
      <w:r w:rsidRPr="00B54CF7">
        <w:rPr>
          <w:rFonts w:cs="Simplified Arabic"/>
        </w:rPr>
        <w:t>L.5</w:t>
      </w:r>
    </w:p>
    <w:p w:rsidR="004A3612" w:rsidRDefault="0076647E" w:rsidP="00FF7FA5">
      <w:pPr>
        <w:pStyle w:val="ListParagraph"/>
        <w:numPr>
          <w:ilvl w:val="0"/>
          <w:numId w:val="6"/>
        </w:numPr>
        <w:bidi/>
        <w:spacing w:line="216" w:lineRule="auto"/>
        <w:ind w:left="0" w:firstLine="0"/>
        <w:rPr>
          <w:rFonts w:cs="Simplified Arabic"/>
        </w:rPr>
      </w:pPr>
      <w:r w:rsidRPr="00997CAE">
        <w:rPr>
          <w:rFonts w:cs="Simplified Arabic" w:hint="cs"/>
          <w:rtl/>
        </w:rPr>
        <w:t xml:space="preserve">وفي </w:t>
      </w:r>
      <w:r w:rsidR="002A009A" w:rsidRPr="00997CAE">
        <w:rPr>
          <w:rFonts w:cs="Simplified Arabic" w:hint="cs"/>
          <w:rtl/>
        </w:rPr>
        <w:t>ال</w:t>
      </w:r>
      <w:r w:rsidRPr="00997CAE">
        <w:rPr>
          <w:rFonts w:cs="Simplified Arabic" w:hint="cs"/>
          <w:rtl/>
        </w:rPr>
        <w:t>جلس</w:t>
      </w:r>
      <w:r w:rsidR="002A009A" w:rsidRPr="00997CAE">
        <w:rPr>
          <w:rFonts w:cs="Simplified Arabic" w:hint="cs"/>
          <w:rtl/>
        </w:rPr>
        <w:t>ة</w:t>
      </w:r>
      <w:r w:rsidRPr="00997CAE">
        <w:rPr>
          <w:rFonts w:cs="Simplified Arabic" w:hint="cs"/>
          <w:rtl/>
        </w:rPr>
        <w:t xml:space="preserve"> العامة الخامسة</w:t>
      </w:r>
      <w:r w:rsidR="002A009A" w:rsidRPr="00997CAE">
        <w:rPr>
          <w:rFonts w:cs="Simplified Arabic" w:hint="cs"/>
          <w:rtl/>
        </w:rPr>
        <w:t xml:space="preserve"> للاجتماع</w:t>
      </w:r>
      <w:r w:rsidRPr="00997CAE">
        <w:rPr>
          <w:rFonts w:cs="Simplified Arabic" w:hint="cs"/>
          <w:rtl/>
        </w:rPr>
        <w:t xml:space="preserve">، المنعقدة في </w:t>
      </w:r>
      <w:r w:rsidR="002A009A" w:rsidRPr="00997CAE">
        <w:rPr>
          <w:rFonts w:cs="Simplified Arabic" w:hint="cs"/>
          <w:rtl/>
        </w:rPr>
        <w:t xml:space="preserve">25 نوفمبر/تشرين الثاني 2018، نظر مؤتمر الأطراف في مشروع المقرر </w:t>
      </w:r>
      <w:r w:rsidR="002A009A" w:rsidRPr="00997CAE">
        <w:rPr>
          <w:rFonts w:cs="Simplified Arabic"/>
        </w:rPr>
        <w:t>CBD/COP/14/L.5</w:t>
      </w:r>
      <w:r w:rsidR="002A009A" w:rsidRPr="00997CAE">
        <w:rPr>
          <w:rFonts w:cs="Simplified Arabic" w:hint="cs"/>
          <w:rtl/>
        </w:rPr>
        <w:t>، و</w:t>
      </w:r>
      <w:r w:rsidR="00B53BFE">
        <w:rPr>
          <w:rFonts w:cs="Simplified Arabic" w:hint="cs"/>
          <w:rtl/>
        </w:rPr>
        <w:t>قرر</w:t>
      </w:r>
      <w:r w:rsidR="002A009A" w:rsidRPr="00997CAE">
        <w:rPr>
          <w:rFonts w:cs="Simplified Arabic" w:hint="cs"/>
          <w:rtl/>
        </w:rPr>
        <w:t xml:space="preserve"> تأجيل </w:t>
      </w:r>
      <w:r w:rsidR="00B53BFE">
        <w:rPr>
          <w:rFonts w:cs="Simplified Arabic" w:hint="cs"/>
          <w:rtl/>
        </w:rPr>
        <w:t>استنتاجه</w:t>
      </w:r>
      <w:r w:rsidR="002A009A" w:rsidRPr="00997CAE">
        <w:rPr>
          <w:rFonts w:cs="Simplified Arabic" w:hint="cs"/>
          <w:rtl/>
        </w:rPr>
        <w:t xml:space="preserve"> للسماح لإحدى الممثلين للتشاور مع حكومتها.</w:t>
      </w:r>
    </w:p>
    <w:p w:rsidR="00B53BFE" w:rsidRDefault="00B53BFE" w:rsidP="00FF7FA5">
      <w:pPr>
        <w:pStyle w:val="ListParagraph"/>
        <w:numPr>
          <w:ilvl w:val="0"/>
          <w:numId w:val="6"/>
        </w:numPr>
        <w:bidi/>
        <w:spacing w:line="216" w:lineRule="auto"/>
        <w:ind w:left="0" w:firstLine="0"/>
        <w:rPr>
          <w:rFonts w:cs="Simplified Arabic"/>
        </w:rPr>
      </w:pPr>
      <w:r>
        <w:rPr>
          <w:rFonts w:cs="Simplified Arabic" w:hint="cs"/>
          <w:rtl/>
        </w:rPr>
        <w:lastRenderedPageBreak/>
        <w:t xml:space="preserve">وفي الجلسة العامة السابعة للاجتماع، المنعقدة في 29 نوفمبر/تشرين الثاني 2018، استأنف مؤتمر الأطراف نظره في مشروع المقرر </w:t>
      </w:r>
      <w:r w:rsidRPr="00997CAE">
        <w:rPr>
          <w:rFonts w:cs="Simplified Arabic"/>
        </w:rPr>
        <w:t>CBD/COP/14/L.5</w:t>
      </w:r>
      <w:r>
        <w:rPr>
          <w:rFonts w:cs="Simplified Arabic" w:hint="cs"/>
          <w:rtl/>
        </w:rPr>
        <w:t>.</w:t>
      </w:r>
    </w:p>
    <w:p w:rsidR="00B53BFE" w:rsidRDefault="00B53BFE" w:rsidP="00FF7FA5">
      <w:pPr>
        <w:pStyle w:val="ListParagraph"/>
        <w:numPr>
          <w:ilvl w:val="0"/>
          <w:numId w:val="6"/>
        </w:numPr>
        <w:bidi/>
        <w:spacing w:line="216" w:lineRule="auto"/>
        <w:ind w:left="0" w:firstLine="0"/>
        <w:rPr>
          <w:rFonts w:cs="Simplified Arabic"/>
        </w:rPr>
      </w:pPr>
      <w:r>
        <w:rPr>
          <w:rFonts w:cs="Simplified Arabic" w:hint="cs"/>
          <w:rtl/>
        </w:rPr>
        <w:t xml:space="preserve">وأدلى ببيانات ممثلو بوليفيا (دولة </w:t>
      </w:r>
      <w:r>
        <w:rPr>
          <w:rFonts w:cs="Simplified Arabic"/>
          <w:rtl/>
        </w:rPr>
        <w:t>–</w:t>
      </w:r>
      <w:r>
        <w:rPr>
          <w:rFonts w:cs="Simplified Arabic" w:hint="cs"/>
          <w:rtl/>
        </w:rPr>
        <w:t xml:space="preserve"> المتعددة القوميات)، والبرازيل، وكوستاريكا والمغرب.</w:t>
      </w:r>
    </w:p>
    <w:p w:rsidR="00B53BFE" w:rsidRDefault="00056D15" w:rsidP="00FF7FA5">
      <w:pPr>
        <w:pStyle w:val="ListParagraph"/>
        <w:numPr>
          <w:ilvl w:val="0"/>
          <w:numId w:val="6"/>
        </w:numPr>
        <w:bidi/>
        <w:spacing w:line="216" w:lineRule="auto"/>
        <w:ind w:left="0" w:firstLine="0"/>
        <w:rPr>
          <w:rFonts w:cs="Simplified Arabic"/>
        </w:rPr>
      </w:pPr>
      <w:r>
        <w:rPr>
          <w:rFonts w:cs="Simplified Arabic" w:hint="cs"/>
          <w:rtl/>
        </w:rPr>
        <w:t>واستأنف مؤتمر الأطراف نظره في مشروع المقرر في الجلسة العامة الثامنة، المنعقدة في 29 نوفمبر/تشرين الثاني 2018.</w:t>
      </w:r>
    </w:p>
    <w:p w:rsidR="00056D15" w:rsidRDefault="00056D15" w:rsidP="00FF7FA5">
      <w:pPr>
        <w:pStyle w:val="ListParagraph"/>
        <w:numPr>
          <w:ilvl w:val="0"/>
          <w:numId w:val="6"/>
        </w:numPr>
        <w:bidi/>
        <w:spacing w:line="216" w:lineRule="auto"/>
        <w:ind w:left="0" w:firstLine="0"/>
        <w:rPr>
          <w:rFonts w:cs="Simplified Arabic"/>
        </w:rPr>
      </w:pPr>
      <w:r>
        <w:rPr>
          <w:rFonts w:cs="Simplified Arabic" w:hint="cs"/>
          <w:rtl/>
        </w:rPr>
        <w:t xml:space="preserve">وأدلى ببيانات ممثلو بوليفيا (دولة </w:t>
      </w:r>
      <w:r>
        <w:rPr>
          <w:rFonts w:cs="Simplified Arabic"/>
          <w:rtl/>
        </w:rPr>
        <w:t>–</w:t>
      </w:r>
      <w:r>
        <w:rPr>
          <w:rFonts w:cs="Simplified Arabic" w:hint="cs"/>
          <w:rtl/>
        </w:rPr>
        <w:t xml:space="preserve"> المتعددة القوميات)، والبرازيل والاتحاد الأوروبي ودوله الأعضاء الثماني والعشرين.</w:t>
      </w:r>
    </w:p>
    <w:p w:rsidR="00056D15" w:rsidRPr="00997CAE" w:rsidRDefault="00056D15" w:rsidP="00FF7FA5">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997CAE">
        <w:rPr>
          <w:rFonts w:cs="Simplified Arabic"/>
        </w:rPr>
        <w:t>CBD/COP/14/L.5</w:t>
      </w:r>
      <w:r>
        <w:rPr>
          <w:rFonts w:cs="Simplified Arabic" w:hint="cs"/>
          <w:rtl/>
        </w:rPr>
        <w:t>، بصيغته المعدلة شفوياً، بوصفه المقرر 14/15 (للاطلاع على النص، انظر الفصل الأول).</w:t>
      </w:r>
    </w:p>
    <w:p w:rsidR="002A009A" w:rsidRPr="00B53BFE" w:rsidRDefault="002A009A" w:rsidP="00B53BFE">
      <w:pPr>
        <w:tabs>
          <w:tab w:val="num" w:pos="720"/>
        </w:tabs>
        <w:kinsoku w:val="0"/>
        <w:overflowPunct w:val="0"/>
        <w:autoSpaceDE w:val="0"/>
        <w:autoSpaceDN w:val="0"/>
        <w:snapToGrid w:val="0"/>
        <w:jc w:val="center"/>
        <w:rPr>
          <w:i/>
          <w:iCs/>
        </w:rPr>
      </w:pPr>
      <w:r w:rsidRPr="00B53BFE">
        <w:rPr>
          <w:i/>
          <w:iCs/>
          <w:rtl/>
        </w:rPr>
        <w:t>ال</w:t>
      </w:r>
      <w:r w:rsidRPr="00B53BFE">
        <w:rPr>
          <w:rFonts w:hint="cs"/>
          <w:i/>
          <w:iCs/>
          <w:rtl/>
        </w:rPr>
        <w:t>إرشادات</w:t>
      </w:r>
      <w:r w:rsidRPr="00B53BFE">
        <w:rPr>
          <w:i/>
          <w:iCs/>
          <w:rtl/>
        </w:rPr>
        <w:t xml:space="preserve"> المنهجي</w:t>
      </w:r>
      <w:r w:rsidRPr="00B53BFE">
        <w:rPr>
          <w:rFonts w:hint="cs"/>
          <w:i/>
          <w:iCs/>
          <w:rtl/>
        </w:rPr>
        <w:t>ة</w:t>
      </w:r>
      <w:r w:rsidRPr="00B53BFE">
        <w:rPr>
          <w:i/>
          <w:iCs/>
          <w:rtl/>
        </w:rPr>
        <w:t xml:space="preserve"> فيما يتعلق بمساهمات الشعوب الأصلية والمجتمعات المحلية</w:t>
      </w:r>
    </w:p>
    <w:p w:rsidR="002A009A" w:rsidRPr="00793E64" w:rsidRDefault="00E73E7E" w:rsidP="00E73E7E">
      <w:pPr>
        <w:pStyle w:val="ListParagraph"/>
        <w:numPr>
          <w:ilvl w:val="0"/>
          <w:numId w:val="6"/>
        </w:numPr>
        <w:tabs>
          <w:tab w:val="num" w:pos="720"/>
        </w:tabs>
        <w:kinsoku w:val="0"/>
        <w:overflowPunct w:val="0"/>
        <w:autoSpaceDE w:val="0"/>
        <w:autoSpaceDN w:val="0"/>
        <w:bidi/>
        <w:snapToGrid w:val="0"/>
        <w:spacing w:line="216" w:lineRule="auto"/>
        <w:ind w:left="90" w:hanging="90"/>
        <w:rPr>
          <w:rFonts w:cs="Simplified Arabic"/>
        </w:rPr>
      </w:pPr>
      <w:r>
        <w:rPr>
          <w:rFonts w:cs="Simplified Arabic" w:hint="cs"/>
          <w:rtl/>
        </w:rPr>
        <w:t>في</w:t>
      </w:r>
      <w:r w:rsidRPr="00793E64">
        <w:rPr>
          <w:rFonts w:cs="Simplified Arabic"/>
          <w:rtl/>
        </w:rPr>
        <w:t xml:space="preserve"> جلست</w:t>
      </w:r>
      <w:r>
        <w:rPr>
          <w:rFonts w:cs="Simplified Arabic"/>
          <w:rtl/>
        </w:rPr>
        <w:t>ه الثامنة المنعقدة في 22 نوفمبر/</w:t>
      </w:r>
      <w:r w:rsidRPr="00793E64">
        <w:rPr>
          <w:rFonts w:cs="Simplified Arabic"/>
          <w:rtl/>
        </w:rPr>
        <w:t xml:space="preserve">تشرين الثاني 2018، </w:t>
      </w:r>
      <w:r w:rsidR="002A009A" w:rsidRPr="0039386A">
        <w:rPr>
          <w:rFonts w:cs="Simplified Arabic"/>
          <w:rtl/>
        </w:rPr>
        <w:t>نظر الفريق العامل أيضاً</w:t>
      </w:r>
      <w:r w:rsidR="002A009A" w:rsidRPr="00793E64">
        <w:rPr>
          <w:rFonts w:cs="Simplified Arabic"/>
          <w:rtl/>
        </w:rPr>
        <w:t xml:space="preserve"> في مشروع المقرر المنقح الذي أعده الرئيس بشأن ال</w:t>
      </w:r>
      <w:r w:rsidR="002A009A" w:rsidRPr="00793E64">
        <w:rPr>
          <w:rFonts w:cs="Simplified Arabic" w:hint="cs"/>
          <w:rtl/>
        </w:rPr>
        <w:t>إرشادات</w:t>
      </w:r>
      <w:r w:rsidR="002A009A" w:rsidRPr="00793E64">
        <w:rPr>
          <w:rFonts w:cs="Simplified Arabic"/>
          <w:rtl/>
        </w:rPr>
        <w:t xml:space="preserve"> المنهجي</w:t>
      </w:r>
      <w:r w:rsidR="002A009A" w:rsidRPr="00793E64">
        <w:rPr>
          <w:rFonts w:cs="Simplified Arabic" w:hint="cs"/>
          <w:rtl/>
        </w:rPr>
        <w:t>ة</w:t>
      </w:r>
      <w:r w:rsidR="002A009A" w:rsidRPr="00793E64">
        <w:rPr>
          <w:rFonts w:cs="Simplified Arabic"/>
          <w:rtl/>
        </w:rPr>
        <w:t xml:space="preserve"> فيما يتعلق بمساهمات الشعوب الأصلية والمجتمعات المحلية</w:t>
      </w:r>
      <w:r w:rsidR="002A009A" w:rsidRPr="00793E64">
        <w:rPr>
          <w:rFonts w:cs="Simplified Arabic"/>
        </w:rPr>
        <w:t>.</w:t>
      </w:r>
    </w:p>
    <w:p w:rsidR="002A009A" w:rsidRPr="00793E64" w:rsidRDefault="002A009A" w:rsidP="0039386A">
      <w:pPr>
        <w:pStyle w:val="ListParagraph"/>
        <w:numPr>
          <w:ilvl w:val="0"/>
          <w:numId w:val="6"/>
        </w:numPr>
        <w:tabs>
          <w:tab w:val="num" w:pos="720"/>
        </w:tabs>
        <w:kinsoku w:val="0"/>
        <w:overflowPunct w:val="0"/>
        <w:autoSpaceDE w:val="0"/>
        <w:autoSpaceDN w:val="0"/>
        <w:bidi/>
        <w:snapToGrid w:val="0"/>
        <w:spacing w:line="216" w:lineRule="auto"/>
        <w:ind w:left="90" w:hanging="90"/>
        <w:rPr>
          <w:rFonts w:cs="Simplified Arabic"/>
        </w:rPr>
      </w:pPr>
      <w:r w:rsidRPr="00793E64">
        <w:rPr>
          <w:rFonts w:cs="Simplified Arabic"/>
          <w:rtl/>
        </w:rPr>
        <w:t xml:space="preserve">وأدلى ببيانات ممثلو </w:t>
      </w:r>
      <w:r w:rsidR="0039386A">
        <w:rPr>
          <w:rFonts w:cs="Simplified Arabic" w:hint="cs"/>
          <w:rtl/>
        </w:rPr>
        <w:t xml:space="preserve">المغرب </w:t>
      </w:r>
      <w:r w:rsidR="0039386A" w:rsidRPr="00793E64">
        <w:rPr>
          <w:rFonts w:cs="Simplified Arabic"/>
          <w:rtl/>
        </w:rPr>
        <w:t>ونيوزيلندا</w:t>
      </w:r>
      <w:r w:rsidR="0039386A">
        <w:rPr>
          <w:rFonts w:cs="Simplified Arabic" w:hint="cs"/>
          <w:rtl/>
        </w:rPr>
        <w:t xml:space="preserve"> و</w:t>
      </w:r>
      <w:r w:rsidRPr="00793E64">
        <w:rPr>
          <w:rFonts w:cs="Simplified Arabic" w:hint="cs"/>
          <w:rtl/>
        </w:rPr>
        <w:t>ا</w:t>
      </w:r>
      <w:r w:rsidRPr="00793E64">
        <w:rPr>
          <w:rFonts w:cs="Simplified Arabic"/>
          <w:rtl/>
        </w:rPr>
        <w:t>لفلبين</w:t>
      </w:r>
      <w:r w:rsidRPr="00793E64">
        <w:rPr>
          <w:rFonts w:cs="Simplified Arabic"/>
        </w:rPr>
        <w:t>.</w:t>
      </w:r>
    </w:p>
    <w:p w:rsidR="002A009A" w:rsidRPr="00793E64" w:rsidRDefault="002A009A" w:rsidP="00E73E7E">
      <w:pPr>
        <w:pStyle w:val="ListParagraph"/>
        <w:numPr>
          <w:ilvl w:val="0"/>
          <w:numId w:val="6"/>
        </w:numPr>
        <w:bidi/>
        <w:spacing w:line="216" w:lineRule="auto"/>
        <w:ind w:left="90" w:hanging="90"/>
        <w:rPr>
          <w:rFonts w:cs="Simplified Arabic"/>
        </w:rPr>
      </w:pPr>
      <w:r w:rsidRPr="00793E64">
        <w:rPr>
          <w:rFonts w:cs="Simplified Arabic"/>
          <w:rtl/>
        </w:rPr>
        <w:t xml:space="preserve">وبعد تبادل الآراء، </w:t>
      </w:r>
      <w:r w:rsidR="00E73E7E">
        <w:rPr>
          <w:rFonts w:cs="Simplified Arabic" w:hint="cs"/>
          <w:rtl/>
        </w:rPr>
        <w:t>وافق</w:t>
      </w:r>
      <w:r w:rsidRPr="00793E64">
        <w:rPr>
          <w:rFonts w:cs="Simplified Arabic" w:hint="cs"/>
          <w:rtl/>
        </w:rPr>
        <w:t xml:space="preserve"> الفريق العامل</w:t>
      </w:r>
      <w:r w:rsidRPr="00793E64">
        <w:rPr>
          <w:rFonts w:cs="Simplified Arabic"/>
          <w:rtl/>
        </w:rPr>
        <w:t xml:space="preserve"> </w:t>
      </w:r>
      <w:r w:rsidR="00E73E7E">
        <w:rPr>
          <w:rFonts w:cs="Simplified Arabic" w:hint="cs"/>
          <w:rtl/>
        </w:rPr>
        <w:t xml:space="preserve">على </w:t>
      </w:r>
      <w:r w:rsidRPr="00793E64">
        <w:rPr>
          <w:rFonts w:cs="Simplified Arabic"/>
          <w:rtl/>
        </w:rPr>
        <w:t>مشروع المقرر</w:t>
      </w:r>
      <w:r w:rsidRPr="00793E64">
        <w:rPr>
          <w:rFonts w:cs="Simplified Arabic" w:hint="cs"/>
          <w:rtl/>
        </w:rPr>
        <w:t xml:space="preserve"> المنقح</w:t>
      </w:r>
      <w:r w:rsidRPr="00793E64">
        <w:rPr>
          <w:rFonts w:cs="Simplified Arabic"/>
          <w:rtl/>
        </w:rPr>
        <w:t xml:space="preserve"> </w:t>
      </w:r>
      <w:r w:rsidRPr="00793E64">
        <w:rPr>
          <w:rFonts w:cs="Simplified Arabic" w:hint="cs"/>
          <w:rtl/>
        </w:rPr>
        <w:t xml:space="preserve">بشأن الإرشادات المنهجية </w:t>
      </w:r>
      <w:r w:rsidR="00E73E7E">
        <w:rPr>
          <w:rFonts w:cs="Simplified Arabic" w:hint="cs"/>
          <w:rtl/>
        </w:rPr>
        <w:t>فيما يتعلق</w:t>
      </w:r>
      <w:r w:rsidRPr="00793E64">
        <w:rPr>
          <w:rFonts w:cs="Simplified Arabic" w:hint="cs"/>
          <w:rtl/>
        </w:rPr>
        <w:t xml:space="preserve"> بمساهمات الشعوب الأصلية والمجتمعات المحلية </w:t>
      </w:r>
      <w:r w:rsidRPr="00793E64">
        <w:rPr>
          <w:rFonts w:cs="Simplified Arabic"/>
          <w:rtl/>
        </w:rPr>
        <w:t xml:space="preserve">لإحالته إلى الجلسة العامة بوصفه مشروع </w:t>
      </w:r>
      <w:r w:rsidRPr="00793E64">
        <w:rPr>
          <w:rFonts w:cs="Simplified Arabic" w:hint="cs"/>
          <w:rtl/>
        </w:rPr>
        <w:t>المقرر</w:t>
      </w:r>
      <w:r w:rsidRPr="00793E64">
        <w:rPr>
          <w:rFonts w:cs="Simplified Arabic"/>
        </w:rPr>
        <w:t>.</w:t>
      </w:r>
      <w:r w:rsidR="0039386A">
        <w:rPr>
          <w:rFonts w:cs="Simplified Arabic"/>
        </w:rPr>
        <w:t>CBD/COP/14/</w:t>
      </w:r>
      <w:r w:rsidRPr="00793E64">
        <w:rPr>
          <w:rFonts w:cs="Simplified Arabic"/>
        </w:rPr>
        <w:t>L.6</w:t>
      </w:r>
      <w:r w:rsidR="0039386A">
        <w:rPr>
          <w:rFonts w:cs="Simplified Arabic"/>
        </w:rPr>
        <w:t xml:space="preserve"> </w:t>
      </w:r>
    </w:p>
    <w:p w:rsidR="002A009A" w:rsidRPr="00997CAE" w:rsidRDefault="002A009A" w:rsidP="0039386A">
      <w:pPr>
        <w:pStyle w:val="ListParagraph"/>
        <w:numPr>
          <w:ilvl w:val="0"/>
          <w:numId w:val="6"/>
        </w:numPr>
        <w:bidi/>
        <w:spacing w:line="216" w:lineRule="auto"/>
        <w:ind w:left="0" w:firstLine="0"/>
        <w:rPr>
          <w:rFonts w:cs="Simplified Arabic"/>
        </w:rPr>
      </w:pPr>
      <w:r w:rsidRPr="00997CAE">
        <w:rPr>
          <w:rFonts w:cs="Simplified Arabic" w:hint="cs"/>
          <w:rtl/>
        </w:rPr>
        <w:t xml:space="preserve">وفي الجلسة العامة الخامسة للاجتماع، المنعقدة في 25 نوفمبر/تشرين الثاني 2018، اعتمد مؤتمر الأطراف مشروع المقرر </w:t>
      </w:r>
      <w:r w:rsidRPr="00997CAE">
        <w:rPr>
          <w:rFonts w:cs="Simplified Arabic"/>
        </w:rPr>
        <w:t>CBD/COP/14/L.6</w:t>
      </w:r>
      <w:r w:rsidRPr="00997CAE">
        <w:rPr>
          <w:rFonts w:cs="Simplified Arabic" w:hint="cs"/>
          <w:rtl/>
        </w:rPr>
        <w:t>، بوصفه المقرر 14/</w:t>
      </w:r>
      <w:r w:rsidR="0039386A">
        <w:rPr>
          <w:rFonts w:cs="Simplified Arabic"/>
        </w:rPr>
        <w:t>16</w:t>
      </w:r>
      <w:r w:rsidRPr="00997CAE">
        <w:rPr>
          <w:rFonts w:cs="Simplified Arabic" w:hint="cs"/>
          <w:rtl/>
        </w:rPr>
        <w:t>.</w:t>
      </w:r>
    </w:p>
    <w:p w:rsidR="00C1562B" w:rsidRPr="00997CAE" w:rsidRDefault="00C1562B" w:rsidP="0039386A">
      <w:pPr>
        <w:pStyle w:val="ListParagraph"/>
        <w:bidi/>
        <w:spacing w:line="216" w:lineRule="auto"/>
        <w:ind w:left="0"/>
        <w:jc w:val="center"/>
        <w:rPr>
          <w:rFonts w:cs="Simplified Arabic"/>
          <w:i/>
          <w:iCs/>
        </w:rPr>
      </w:pPr>
      <w:r w:rsidRPr="00997CAE">
        <w:rPr>
          <w:rFonts w:cs="Simplified Arabic" w:hint="cs"/>
          <w:i/>
          <w:iCs/>
          <w:rtl/>
        </w:rPr>
        <w:t>الآلية المالية</w:t>
      </w:r>
    </w:p>
    <w:p w:rsidR="002A009A" w:rsidRPr="00793E64" w:rsidRDefault="00E73E7E" w:rsidP="00E73E7E">
      <w:pPr>
        <w:pStyle w:val="ListParagraph"/>
        <w:numPr>
          <w:ilvl w:val="0"/>
          <w:numId w:val="6"/>
        </w:numPr>
        <w:bidi/>
        <w:spacing w:line="216" w:lineRule="auto"/>
        <w:ind w:left="0" w:firstLine="0"/>
        <w:rPr>
          <w:rFonts w:cs="Simplified Arabic"/>
          <w:kern w:val="22"/>
          <w:rtl/>
        </w:rPr>
      </w:pPr>
      <w:r>
        <w:rPr>
          <w:rFonts w:cs="Simplified Arabic" w:hint="cs"/>
          <w:snapToGrid w:val="0"/>
          <w:kern w:val="22"/>
          <w:rtl/>
        </w:rPr>
        <w:t>في</w:t>
      </w:r>
      <w:r w:rsidRPr="00793E64">
        <w:rPr>
          <w:rFonts w:cs="Simplified Arabic" w:hint="cs"/>
          <w:snapToGrid w:val="0"/>
          <w:kern w:val="22"/>
          <w:rtl/>
        </w:rPr>
        <w:t xml:space="preserve"> </w:t>
      </w:r>
      <w:r w:rsidRPr="00793E64">
        <w:rPr>
          <w:rFonts w:cs="Simplified Arabic"/>
          <w:color w:val="000000"/>
          <w:kern w:val="22"/>
          <w:rtl/>
        </w:rPr>
        <w:t>جلسته الثالثة</w:t>
      </w:r>
      <w:r w:rsidRPr="00793E64">
        <w:rPr>
          <w:rFonts w:cs="Simplified Arabic" w:hint="cs"/>
          <w:snapToGrid w:val="0"/>
          <w:kern w:val="22"/>
          <w:rtl/>
        </w:rPr>
        <w:t xml:space="preserve"> في 19 نوفمبر/تشرين الثاني 2018</w:t>
      </w:r>
      <w:r>
        <w:rPr>
          <w:rFonts w:cs="Simplified Arabic" w:hint="cs"/>
          <w:snapToGrid w:val="0"/>
          <w:kern w:val="22"/>
          <w:rtl/>
        </w:rPr>
        <w:t xml:space="preserve">، </w:t>
      </w:r>
      <w:r w:rsidR="002A009A" w:rsidRPr="00793E64">
        <w:rPr>
          <w:rFonts w:cs="Simplified Arabic" w:hint="cs"/>
          <w:snapToGrid w:val="0"/>
          <w:kern w:val="22"/>
          <w:rtl/>
        </w:rPr>
        <w:t xml:space="preserve">تناول الفريق العامل الأول الجانب الثاني من البند الفرعي من البند 9 من جدول الأعمال. </w:t>
      </w:r>
      <w:r w:rsidR="002A009A" w:rsidRPr="00793E64">
        <w:rPr>
          <w:rFonts w:cs="Simplified Arabic"/>
          <w:rtl/>
        </w:rPr>
        <w:t>وكان معروضا على الفريق العامل في غضون نظره في البند</w:t>
      </w:r>
      <w:r w:rsidR="002A009A" w:rsidRPr="00793E64">
        <w:rPr>
          <w:rFonts w:cs="Simplified Arabic" w:hint="cs"/>
          <w:rtl/>
        </w:rPr>
        <w:t xml:space="preserve"> مشروع مقرر على أساس</w:t>
      </w:r>
      <w:r w:rsidR="002A009A" w:rsidRPr="00793E64">
        <w:rPr>
          <w:rFonts w:cs="Simplified Arabic"/>
          <w:rtl/>
        </w:rPr>
        <w:t xml:space="preserve"> التوصيت</w:t>
      </w:r>
      <w:r w:rsidR="002A009A" w:rsidRPr="00793E64">
        <w:rPr>
          <w:rFonts w:cs="Simplified Arabic" w:hint="cs"/>
          <w:rtl/>
        </w:rPr>
        <w:t>ي</w:t>
      </w:r>
      <w:r w:rsidR="002A009A" w:rsidRPr="00793E64">
        <w:rPr>
          <w:rFonts w:cs="Simplified Arabic"/>
          <w:rtl/>
        </w:rPr>
        <w:t>ن</w:t>
      </w:r>
      <w:r>
        <w:rPr>
          <w:rFonts w:cs="Simplified Arabic" w:hint="cs"/>
          <w:rtl/>
        </w:rPr>
        <w:t>2/6 و2/7 للهيئة الفرعية للتنفيذ</w:t>
      </w:r>
      <w:r w:rsidR="002A009A" w:rsidRPr="00793E64">
        <w:rPr>
          <w:rFonts w:cs="Simplified Arabic" w:hint="cs"/>
          <w:kern w:val="22"/>
          <w:rtl/>
        </w:rPr>
        <w:t xml:space="preserve">، </w:t>
      </w:r>
      <w:r w:rsidR="002A009A" w:rsidRPr="00793E64">
        <w:rPr>
          <w:rFonts w:cs="Simplified Arabic"/>
          <w:i/>
          <w:kern w:val="22"/>
          <w:rtl/>
        </w:rPr>
        <w:t>الم</w:t>
      </w:r>
      <w:r w:rsidR="002A009A" w:rsidRPr="00793E64">
        <w:rPr>
          <w:rFonts w:cs="Simplified Arabic" w:hint="cs"/>
          <w:i/>
          <w:kern w:val="22"/>
          <w:rtl/>
        </w:rPr>
        <w:t>بينتين</w:t>
      </w:r>
      <w:r w:rsidR="002A009A" w:rsidRPr="00793E64">
        <w:rPr>
          <w:rFonts w:cs="Simplified Arabic"/>
          <w:i/>
          <w:kern w:val="22"/>
          <w:rtl/>
        </w:rPr>
        <w:t xml:space="preserve"> في تجميع مشاريع المقررات</w:t>
      </w:r>
      <w:r w:rsidR="002A009A" w:rsidRPr="00793E64">
        <w:rPr>
          <w:rFonts w:cs="Simplified Arabic" w:hint="cs"/>
          <w:i/>
          <w:kern w:val="22"/>
          <w:rtl/>
        </w:rPr>
        <w:t xml:space="preserve"> </w:t>
      </w:r>
      <w:r w:rsidR="002A009A" w:rsidRPr="00793E64">
        <w:rPr>
          <w:rFonts w:cs="Simplified Arabic"/>
          <w:kern w:val="22"/>
        </w:rPr>
        <w:t>(CBD/COP/14/2)</w:t>
      </w:r>
      <w:r w:rsidR="002A009A" w:rsidRPr="00793E64">
        <w:rPr>
          <w:rFonts w:cs="Simplified Arabic" w:hint="cs"/>
          <w:kern w:val="22"/>
          <w:rtl/>
        </w:rPr>
        <w:t>، وكذلك</w:t>
      </w:r>
      <w:r w:rsidR="002A009A" w:rsidRPr="00793E64">
        <w:rPr>
          <w:rFonts w:cs="Simplified Arabic"/>
          <w:kern w:val="22"/>
          <w:rtl/>
        </w:rPr>
        <w:t xml:space="preserve"> تقرير</w:t>
      </w:r>
      <w:r w:rsidR="002A009A" w:rsidRPr="00793E64">
        <w:rPr>
          <w:rFonts w:cs="Simplified Arabic" w:hint="cs"/>
          <w:kern w:val="22"/>
          <w:rtl/>
        </w:rPr>
        <w:t xml:space="preserve"> </w:t>
      </w:r>
      <w:r w:rsidR="002A009A" w:rsidRPr="00793E64">
        <w:rPr>
          <w:rFonts w:cs="Simplified Arabic"/>
          <w:kern w:val="22"/>
          <w:rtl/>
        </w:rPr>
        <w:t>مجلس</w:t>
      </w:r>
      <w:r w:rsidR="002A009A" w:rsidRPr="00793E64">
        <w:rPr>
          <w:rFonts w:cs="Simplified Arabic" w:hint="cs"/>
          <w:kern w:val="22"/>
          <w:rtl/>
        </w:rPr>
        <w:t xml:space="preserve"> </w:t>
      </w:r>
      <w:r w:rsidR="002A009A" w:rsidRPr="00793E64">
        <w:rPr>
          <w:rFonts w:cs="Simplified Arabic"/>
          <w:kern w:val="22"/>
          <w:rtl/>
        </w:rPr>
        <w:t>مرفق البيئة العالمي</w:t>
      </w:r>
      <w:r>
        <w:rPr>
          <w:rFonts w:cs="Simplified Arabic" w:hint="cs"/>
          <w:kern w:val="22"/>
          <w:rtl/>
        </w:rPr>
        <w:t>ة</w:t>
      </w:r>
      <w:r w:rsidR="002A009A" w:rsidRPr="00793E64">
        <w:rPr>
          <w:rFonts w:cs="Simplified Arabic" w:hint="cs"/>
          <w:kern w:val="22"/>
          <w:rtl/>
        </w:rPr>
        <w:t xml:space="preserve"> </w:t>
      </w:r>
      <w:r w:rsidR="002A009A" w:rsidRPr="00793E64">
        <w:rPr>
          <w:rFonts w:cs="Simplified Arabic"/>
          <w:kern w:val="22"/>
        </w:rPr>
        <w:t>(CBD/COP/14/7)</w:t>
      </w:r>
      <w:r w:rsidR="002A009A" w:rsidRPr="00793E64">
        <w:rPr>
          <w:rFonts w:cs="Simplified Arabic" w:hint="cs"/>
          <w:kern w:val="22"/>
          <w:rtl/>
        </w:rPr>
        <w:t xml:space="preserve"> </w:t>
      </w:r>
      <w:r w:rsidR="002A009A" w:rsidRPr="00793E64">
        <w:rPr>
          <w:rFonts w:cs="Simplified Arabic"/>
          <w:kern w:val="22"/>
          <w:rtl/>
        </w:rPr>
        <w:t>ومذكرة من الأمينة التنفيذية بشأن الآلية المالية</w:t>
      </w:r>
      <w:r w:rsidR="002A009A" w:rsidRPr="00793E64">
        <w:rPr>
          <w:rFonts w:cs="Simplified Arabic" w:hint="cs"/>
          <w:kern w:val="22"/>
          <w:rtl/>
        </w:rPr>
        <w:t xml:space="preserve"> </w:t>
      </w:r>
      <w:r w:rsidR="002A009A" w:rsidRPr="00793E64">
        <w:rPr>
          <w:rFonts w:cs="Simplified Arabic"/>
          <w:kern w:val="22"/>
        </w:rPr>
        <w:t>(CBD/COP/14/8)</w:t>
      </w:r>
      <w:r w:rsidR="002A009A" w:rsidRPr="00793E64">
        <w:rPr>
          <w:rFonts w:cs="Simplified Arabic" w:hint="cs"/>
          <w:kern w:val="22"/>
          <w:rtl/>
        </w:rPr>
        <w:t>.</w:t>
      </w:r>
    </w:p>
    <w:p w:rsidR="002A009A" w:rsidRPr="00793E64" w:rsidRDefault="002A009A" w:rsidP="0039386A">
      <w:pPr>
        <w:pStyle w:val="ListParagraph"/>
        <w:numPr>
          <w:ilvl w:val="0"/>
          <w:numId w:val="6"/>
        </w:numPr>
        <w:bidi/>
        <w:spacing w:line="216" w:lineRule="auto"/>
        <w:ind w:left="0" w:firstLine="0"/>
        <w:rPr>
          <w:rFonts w:cs="Simplified Arabic"/>
          <w:rtl/>
        </w:rPr>
      </w:pPr>
      <w:r w:rsidRPr="00793E64">
        <w:rPr>
          <w:rFonts w:cs="Simplified Arabic"/>
          <w:kern w:val="22"/>
          <w:rtl/>
        </w:rPr>
        <w:t>و</w:t>
      </w:r>
      <w:r w:rsidRPr="00793E64">
        <w:rPr>
          <w:rFonts w:cs="Simplified Arabic" w:hint="cs"/>
          <w:rtl/>
        </w:rPr>
        <w:t>عرض</w:t>
      </w:r>
      <w:r w:rsidRPr="00793E64">
        <w:rPr>
          <w:rFonts w:cs="Simplified Arabic"/>
          <w:rtl/>
        </w:rPr>
        <w:t xml:space="preserve"> </w:t>
      </w:r>
      <w:r w:rsidRPr="00793E64">
        <w:rPr>
          <w:rFonts w:cs="Simplified Arabic" w:hint="cs"/>
          <w:rtl/>
        </w:rPr>
        <w:t>السيد</w:t>
      </w:r>
      <w:r w:rsidRPr="00793E64">
        <w:rPr>
          <w:rFonts w:cs="Simplified Arabic"/>
          <w:rtl/>
        </w:rPr>
        <w:t xml:space="preserve"> </w:t>
      </w:r>
      <w:r w:rsidRPr="00793E64">
        <w:rPr>
          <w:rFonts w:cs="Simplified Arabic" w:hint="cs"/>
          <w:rtl/>
        </w:rPr>
        <w:t>مارك</w:t>
      </w:r>
      <w:r w:rsidRPr="00793E64">
        <w:rPr>
          <w:rFonts w:cs="Simplified Arabic"/>
          <w:rtl/>
        </w:rPr>
        <w:t xml:space="preserve"> </w:t>
      </w:r>
      <w:r w:rsidRPr="00793E64">
        <w:rPr>
          <w:rFonts w:cs="Simplified Arabic" w:hint="cs"/>
          <w:rtl/>
        </w:rPr>
        <w:t>زيمسكي</w:t>
      </w:r>
      <w:r w:rsidRPr="00793E64">
        <w:rPr>
          <w:rFonts w:cs="Simplified Arabic"/>
          <w:rtl/>
        </w:rPr>
        <w:t xml:space="preserve"> </w:t>
      </w:r>
      <w:r w:rsidRPr="00793E64">
        <w:rPr>
          <w:rFonts w:cs="Simplified Arabic" w:hint="cs"/>
          <w:rtl/>
        </w:rPr>
        <w:t>تقرير</w:t>
      </w:r>
      <w:r w:rsidRPr="00793E64">
        <w:rPr>
          <w:rFonts w:cs="Simplified Arabic"/>
          <w:rtl/>
        </w:rPr>
        <w:t xml:space="preserve"> </w:t>
      </w:r>
      <w:r w:rsidRPr="00793E64">
        <w:rPr>
          <w:rFonts w:cs="Simplified Arabic" w:hint="cs"/>
          <w:rtl/>
        </w:rPr>
        <w:t>مرفق</w:t>
      </w:r>
      <w:r w:rsidRPr="00793E64">
        <w:rPr>
          <w:rFonts w:cs="Simplified Arabic"/>
          <w:rtl/>
        </w:rPr>
        <w:t xml:space="preserve"> </w:t>
      </w:r>
      <w:r w:rsidRPr="00793E64">
        <w:rPr>
          <w:rFonts w:cs="Simplified Arabic" w:hint="cs"/>
          <w:rtl/>
        </w:rPr>
        <w:t>البيئة</w:t>
      </w:r>
      <w:r w:rsidRPr="00793E64">
        <w:rPr>
          <w:rFonts w:cs="Simplified Arabic"/>
          <w:rtl/>
        </w:rPr>
        <w:t xml:space="preserve"> </w:t>
      </w:r>
      <w:r w:rsidRPr="00793E64">
        <w:rPr>
          <w:rFonts w:cs="Simplified Arabic" w:hint="cs"/>
          <w:rtl/>
        </w:rPr>
        <w:t>العالمية</w:t>
      </w:r>
      <w:r w:rsidRPr="00793E64">
        <w:rPr>
          <w:rFonts w:cs="Simplified Arabic"/>
          <w:rtl/>
        </w:rPr>
        <w:t xml:space="preserve"> </w:t>
      </w:r>
      <w:r w:rsidRPr="00793E64">
        <w:rPr>
          <w:rFonts w:cs="Simplified Arabic" w:hint="cs"/>
          <w:rtl/>
        </w:rPr>
        <w:t>مشيرا إلى أنه</w:t>
      </w:r>
      <w:r w:rsidRPr="00793E64">
        <w:rPr>
          <w:rFonts w:cs="Simplified Arabic"/>
          <w:rtl/>
        </w:rPr>
        <w:t xml:space="preserve"> </w:t>
      </w:r>
      <w:r w:rsidRPr="00793E64">
        <w:rPr>
          <w:rFonts w:cs="Simplified Arabic" w:hint="cs"/>
          <w:rtl/>
        </w:rPr>
        <w:t>يحتوي</w:t>
      </w:r>
      <w:r w:rsidRPr="00793E64">
        <w:rPr>
          <w:rFonts w:cs="Simplified Arabic"/>
          <w:rtl/>
        </w:rPr>
        <w:t xml:space="preserve"> </w:t>
      </w:r>
      <w:r w:rsidRPr="00793E64">
        <w:rPr>
          <w:rFonts w:cs="Simplified Arabic" w:hint="cs"/>
          <w:rtl/>
        </w:rPr>
        <w:t>على</w:t>
      </w:r>
      <w:r w:rsidRPr="00793E64">
        <w:rPr>
          <w:rFonts w:cs="Simplified Arabic"/>
          <w:rtl/>
        </w:rPr>
        <w:t xml:space="preserve"> </w:t>
      </w:r>
      <w:r w:rsidRPr="00793E64">
        <w:rPr>
          <w:rFonts w:cs="Simplified Arabic" w:hint="cs"/>
          <w:rtl/>
        </w:rPr>
        <w:t>معلومات</w:t>
      </w:r>
      <w:r w:rsidRPr="00793E64">
        <w:rPr>
          <w:rFonts w:cs="Simplified Arabic"/>
          <w:rtl/>
        </w:rPr>
        <w:t xml:space="preserve"> </w:t>
      </w:r>
      <w:r w:rsidRPr="00793E64">
        <w:rPr>
          <w:rFonts w:cs="Simplified Arabic" w:hint="cs"/>
          <w:rtl/>
        </w:rPr>
        <w:t>عن</w:t>
      </w:r>
      <w:r w:rsidRPr="00793E64">
        <w:rPr>
          <w:rFonts w:cs="Simplified Arabic"/>
          <w:rtl/>
        </w:rPr>
        <w:t xml:space="preserve">: </w:t>
      </w:r>
      <w:r w:rsidR="0039386A">
        <w:rPr>
          <w:rFonts w:cs="Simplified Arabic" w:hint="cs"/>
          <w:rtl/>
        </w:rPr>
        <w:t xml:space="preserve">(أ) </w:t>
      </w:r>
      <w:r w:rsidRPr="00793E64">
        <w:rPr>
          <w:rFonts w:cs="Simplified Arabic" w:hint="cs"/>
          <w:rtl/>
        </w:rPr>
        <w:t>أنشطة</w:t>
      </w:r>
      <w:r w:rsidRPr="00793E64">
        <w:rPr>
          <w:rFonts w:cs="Simplified Arabic"/>
          <w:rtl/>
        </w:rPr>
        <w:t xml:space="preserve"> </w:t>
      </w:r>
      <w:r w:rsidRPr="00793E64">
        <w:rPr>
          <w:rFonts w:cs="Simplified Arabic" w:hint="cs"/>
          <w:rtl/>
        </w:rPr>
        <w:t>مرفق</w:t>
      </w:r>
      <w:r w:rsidRPr="00793E64">
        <w:rPr>
          <w:rFonts w:cs="Simplified Arabic"/>
          <w:rtl/>
        </w:rPr>
        <w:t xml:space="preserve"> </w:t>
      </w:r>
      <w:r w:rsidRPr="00793E64">
        <w:rPr>
          <w:rFonts w:cs="Simplified Arabic" w:hint="cs"/>
          <w:rtl/>
        </w:rPr>
        <w:t>البيئة</w:t>
      </w:r>
      <w:r w:rsidRPr="00793E64">
        <w:rPr>
          <w:rFonts w:cs="Simplified Arabic"/>
          <w:rtl/>
        </w:rPr>
        <w:t xml:space="preserve"> </w:t>
      </w:r>
      <w:r w:rsidRPr="00793E64">
        <w:rPr>
          <w:rFonts w:cs="Simplified Arabic" w:hint="cs"/>
          <w:rtl/>
        </w:rPr>
        <w:t>العالمية</w:t>
      </w:r>
      <w:r w:rsidRPr="00793E64">
        <w:rPr>
          <w:rFonts w:cs="Simplified Arabic"/>
          <w:rtl/>
        </w:rPr>
        <w:t xml:space="preserve"> </w:t>
      </w:r>
      <w:r w:rsidRPr="00793E64">
        <w:rPr>
          <w:rFonts w:cs="Simplified Arabic" w:hint="cs"/>
          <w:rtl/>
        </w:rPr>
        <w:t>في</w:t>
      </w:r>
      <w:r w:rsidRPr="00793E64">
        <w:rPr>
          <w:rFonts w:cs="Simplified Arabic"/>
          <w:rtl/>
        </w:rPr>
        <w:t xml:space="preserve"> </w:t>
      </w:r>
      <w:r w:rsidRPr="00793E64">
        <w:rPr>
          <w:rFonts w:cs="Simplified Arabic" w:hint="cs"/>
          <w:rtl/>
        </w:rPr>
        <w:t>المجال</w:t>
      </w:r>
      <w:r w:rsidRPr="00793E64">
        <w:rPr>
          <w:rFonts w:cs="Simplified Arabic"/>
          <w:rtl/>
        </w:rPr>
        <w:t xml:space="preserve"> </w:t>
      </w:r>
      <w:r w:rsidRPr="00793E64">
        <w:rPr>
          <w:rFonts w:cs="Simplified Arabic" w:hint="cs"/>
          <w:rtl/>
        </w:rPr>
        <w:t>البؤري</w:t>
      </w:r>
      <w:r w:rsidRPr="00793E64">
        <w:rPr>
          <w:rFonts w:cs="Simplified Arabic"/>
          <w:rtl/>
        </w:rPr>
        <w:t xml:space="preserve"> </w:t>
      </w:r>
      <w:r w:rsidRPr="00793E64">
        <w:rPr>
          <w:rFonts w:cs="Simplified Arabic" w:hint="cs"/>
          <w:rtl/>
        </w:rPr>
        <w:t>للتنوع</w:t>
      </w:r>
      <w:r w:rsidRPr="00793E64">
        <w:rPr>
          <w:rFonts w:cs="Simplified Arabic"/>
          <w:rtl/>
        </w:rPr>
        <w:t xml:space="preserve"> </w:t>
      </w:r>
      <w:r w:rsidRPr="00793E64">
        <w:rPr>
          <w:rFonts w:cs="Simplified Arabic" w:hint="cs"/>
          <w:rtl/>
        </w:rPr>
        <w:t>البيولوجي</w:t>
      </w:r>
      <w:r w:rsidRPr="00793E64">
        <w:rPr>
          <w:rFonts w:cs="Simplified Arabic"/>
          <w:rtl/>
        </w:rPr>
        <w:t xml:space="preserve"> </w:t>
      </w:r>
      <w:r w:rsidRPr="00793E64">
        <w:rPr>
          <w:rFonts w:cs="Simplified Arabic" w:hint="cs"/>
          <w:rtl/>
        </w:rPr>
        <w:t>والمجالات</w:t>
      </w:r>
      <w:r w:rsidRPr="00793E64">
        <w:rPr>
          <w:rFonts w:cs="Simplified Arabic"/>
          <w:rtl/>
        </w:rPr>
        <w:t xml:space="preserve"> </w:t>
      </w:r>
      <w:r w:rsidRPr="00793E64">
        <w:rPr>
          <w:rFonts w:cs="Simplified Arabic" w:hint="cs"/>
          <w:rtl/>
        </w:rPr>
        <w:t>البؤرية</w:t>
      </w:r>
      <w:r w:rsidRPr="00793E64">
        <w:rPr>
          <w:rFonts w:cs="Simplified Arabic"/>
          <w:rtl/>
        </w:rPr>
        <w:t xml:space="preserve"> </w:t>
      </w:r>
      <w:r w:rsidRPr="00793E64">
        <w:rPr>
          <w:rFonts w:cs="Simplified Arabic" w:hint="cs"/>
          <w:rtl/>
        </w:rPr>
        <w:t>الأخرى</w:t>
      </w:r>
      <w:r w:rsidRPr="00793E64">
        <w:rPr>
          <w:rFonts w:cs="Simplified Arabic"/>
          <w:rtl/>
        </w:rPr>
        <w:t xml:space="preserve"> </w:t>
      </w:r>
      <w:r w:rsidRPr="00793E64">
        <w:rPr>
          <w:rFonts w:cs="Simplified Arabic" w:hint="cs"/>
          <w:rtl/>
        </w:rPr>
        <w:t>ذات</w:t>
      </w:r>
      <w:r w:rsidRPr="00793E64">
        <w:rPr>
          <w:rFonts w:cs="Simplified Arabic"/>
          <w:rtl/>
        </w:rPr>
        <w:t xml:space="preserve"> </w:t>
      </w:r>
      <w:r w:rsidRPr="00793E64">
        <w:rPr>
          <w:rFonts w:cs="Simplified Arabic" w:hint="cs"/>
          <w:rtl/>
        </w:rPr>
        <w:t>الصلة</w:t>
      </w:r>
      <w:r w:rsidRPr="00793E64">
        <w:rPr>
          <w:rFonts w:cs="Simplified Arabic"/>
          <w:rtl/>
        </w:rPr>
        <w:t xml:space="preserve"> </w:t>
      </w:r>
      <w:r w:rsidRPr="00793E64">
        <w:rPr>
          <w:rFonts w:cs="Simplified Arabic" w:hint="cs"/>
          <w:rtl/>
        </w:rPr>
        <w:t>ل</w:t>
      </w:r>
      <w:r w:rsidR="00E73E7E">
        <w:rPr>
          <w:rFonts w:cs="Simplified Arabic" w:hint="cs"/>
          <w:rtl/>
        </w:rPr>
        <w:t>ل</w:t>
      </w:r>
      <w:r w:rsidRPr="00793E64">
        <w:rPr>
          <w:rFonts w:cs="Simplified Arabic" w:hint="cs"/>
          <w:rtl/>
        </w:rPr>
        <w:t>مرفق،</w:t>
      </w:r>
      <w:r w:rsidRPr="00793E64">
        <w:rPr>
          <w:rFonts w:cs="Simplified Arabic"/>
          <w:rtl/>
        </w:rPr>
        <w:t xml:space="preserve"> </w:t>
      </w:r>
      <w:r w:rsidRPr="00793E64">
        <w:rPr>
          <w:rFonts w:cs="Simplified Arabic" w:hint="cs"/>
          <w:rtl/>
        </w:rPr>
        <w:t>للفترة</w:t>
      </w:r>
      <w:r w:rsidRPr="00793E64">
        <w:rPr>
          <w:rFonts w:cs="Simplified Arabic"/>
          <w:rtl/>
        </w:rPr>
        <w:t xml:space="preserve"> </w:t>
      </w:r>
      <w:r w:rsidRPr="00793E64">
        <w:rPr>
          <w:rFonts w:cs="Simplified Arabic" w:hint="cs"/>
          <w:rtl/>
        </w:rPr>
        <w:t>من</w:t>
      </w:r>
      <w:r w:rsidRPr="00793E64">
        <w:rPr>
          <w:rFonts w:cs="Simplified Arabic"/>
          <w:rtl/>
        </w:rPr>
        <w:t xml:space="preserve"> 1 </w:t>
      </w:r>
      <w:r w:rsidR="0039386A">
        <w:rPr>
          <w:rFonts w:cs="Simplified Arabic" w:hint="cs"/>
          <w:rtl/>
        </w:rPr>
        <w:t>يوليه/</w:t>
      </w:r>
      <w:r w:rsidRPr="00793E64">
        <w:rPr>
          <w:rFonts w:cs="Simplified Arabic" w:hint="cs"/>
          <w:rtl/>
        </w:rPr>
        <w:t>تموز</w:t>
      </w:r>
      <w:r w:rsidRPr="00793E64">
        <w:rPr>
          <w:rFonts w:cs="Simplified Arabic"/>
          <w:rtl/>
        </w:rPr>
        <w:t xml:space="preserve"> 2016 </w:t>
      </w:r>
      <w:r w:rsidRPr="00793E64">
        <w:rPr>
          <w:rFonts w:cs="Simplified Arabic" w:hint="cs"/>
          <w:rtl/>
        </w:rPr>
        <w:t>إلى</w:t>
      </w:r>
      <w:r w:rsidRPr="00793E64">
        <w:rPr>
          <w:rFonts w:cs="Simplified Arabic"/>
          <w:rtl/>
        </w:rPr>
        <w:t xml:space="preserve"> 30 </w:t>
      </w:r>
      <w:r w:rsidR="0039386A">
        <w:rPr>
          <w:rFonts w:cs="Simplified Arabic" w:hint="cs"/>
          <w:rtl/>
        </w:rPr>
        <w:t>يونيه/</w:t>
      </w:r>
      <w:r w:rsidRPr="00793E64">
        <w:rPr>
          <w:rFonts w:cs="Simplified Arabic" w:hint="cs"/>
          <w:rtl/>
        </w:rPr>
        <w:t>حزيران</w:t>
      </w:r>
      <w:r w:rsidRPr="00793E64">
        <w:rPr>
          <w:rFonts w:cs="Simplified Arabic"/>
          <w:rtl/>
        </w:rPr>
        <w:t xml:space="preserve"> 2018</w:t>
      </w:r>
      <w:r w:rsidRPr="00793E64">
        <w:rPr>
          <w:rFonts w:cs="Simplified Arabic" w:hint="cs"/>
          <w:rtl/>
        </w:rPr>
        <w:t>؛</w:t>
      </w:r>
      <w:r w:rsidRPr="00793E64">
        <w:rPr>
          <w:rFonts w:cs="Simplified Arabic"/>
          <w:rtl/>
        </w:rPr>
        <w:t xml:space="preserve"> </w:t>
      </w:r>
      <w:r w:rsidR="0039386A">
        <w:rPr>
          <w:rFonts w:cs="Simplified Arabic" w:hint="cs"/>
          <w:rtl/>
        </w:rPr>
        <w:t xml:space="preserve">(ب) </w:t>
      </w:r>
      <w:r w:rsidRPr="00793E64">
        <w:rPr>
          <w:rFonts w:cs="Simplified Arabic" w:hint="cs"/>
          <w:rtl/>
        </w:rPr>
        <w:t>ومعلومات</w:t>
      </w:r>
      <w:r w:rsidRPr="00793E64">
        <w:rPr>
          <w:rFonts w:cs="Simplified Arabic"/>
          <w:rtl/>
        </w:rPr>
        <w:t xml:space="preserve"> </w:t>
      </w:r>
      <w:r w:rsidRPr="00793E64">
        <w:rPr>
          <w:rFonts w:cs="Simplified Arabic" w:hint="cs"/>
          <w:rtl/>
        </w:rPr>
        <w:t>البرمجة</w:t>
      </w:r>
      <w:r w:rsidRPr="00793E64">
        <w:rPr>
          <w:rFonts w:cs="Simplified Arabic"/>
          <w:rtl/>
        </w:rPr>
        <w:t xml:space="preserve"> </w:t>
      </w:r>
      <w:r w:rsidRPr="00793E64">
        <w:rPr>
          <w:rFonts w:cs="Simplified Arabic" w:hint="cs"/>
          <w:rtl/>
        </w:rPr>
        <w:t>للفترة</w:t>
      </w:r>
      <w:r w:rsidRPr="00793E64">
        <w:rPr>
          <w:rFonts w:cs="Simplified Arabic"/>
          <w:rtl/>
        </w:rPr>
        <w:t xml:space="preserve"> </w:t>
      </w:r>
      <w:r w:rsidRPr="00793E64">
        <w:rPr>
          <w:rFonts w:cs="Simplified Arabic" w:hint="cs"/>
          <w:rtl/>
        </w:rPr>
        <w:t>من</w:t>
      </w:r>
      <w:r w:rsidRPr="00793E64">
        <w:rPr>
          <w:rFonts w:cs="Simplified Arabic"/>
          <w:rtl/>
        </w:rPr>
        <w:t xml:space="preserve"> 1 </w:t>
      </w:r>
      <w:r w:rsidRPr="00793E64">
        <w:rPr>
          <w:rFonts w:cs="Simplified Arabic" w:hint="cs"/>
          <w:rtl/>
        </w:rPr>
        <w:t>يولي</w:t>
      </w:r>
      <w:r w:rsidR="0039386A">
        <w:rPr>
          <w:rFonts w:cs="Simplified Arabic" w:hint="cs"/>
          <w:rtl/>
        </w:rPr>
        <w:t>ه</w:t>
      </w:r>
      <w:r w:rsidRPr="00793E64">
        <w:rPr>
          <w:rFonts w:cs="Simplified Arabic" w:hint="cs"/>
          <w:rtl/>
        </w:rPr>
        <w:t>/تموز</w:t>
      </w:r>
      <w:r w:rsidRPr="00793E64">
        <w:rPr>
          <w:rFonts w:cs="Simplified Arabic"/>
          <w:rtl/>
        </w:rPr>
        <w:t xml:space="preserve"> 2014 </w:t>
      </w:r>
      <w:r w:rsidRPr="00793E64">
        <w:rPr>
          <w:rFonts w:cs="Simplified Arabic" w:hint="cs"/>
          <w:rtl/>
        </w:rPr>
        <w:t>إلى</w:t>
      </w:r>
      <w:r w:rsidRPr="00793E64">
        <w:rPr>
          <w:rFonts w:cs="Simplified Arabic"/>
          <w:rtl/>
        </w:rPr>
        <w:t xml:space="preserve"> 30 </w:t>
      </w:r>
      <w:r w:rsidRPr="00793E64">
        <w:rPr>
          <w:rFonts w:cs="Simplified Arabic" w:hint="cs"/>
          <w:rtl/>
        </w:rPr>
        <w:t>يوني</w:t>
      </w:r>
      <w:r w:rsidR="0039386A">
        <w:rPr>
          <w:rFonts w:cs="Simplified Arabic" w:hint="cs"/>
          <w:rtl/>
        </w:rPr>
        <w:t>ه</w:t>
      </w:r>
      <w:r w:rsidRPr="00793E64">
        <w:rPr>
          <w:rFonts w:cs="Simplified Arabic" w:hint="cs"/>
          <w:rtl/>
        </w:rPr>
        <w:t>/حزيران</w:t>
      </w:r>
      <w:r w:rsidRPr="00793E64">
        <w:rPr>
          <w:rFonts w:cs="Simplified Arabic"/>
          <w:rtl/>
        </w:rPr>
        <w:t xml:space="preserve"> 2018</w:t>
      </w:r>
      <w:r w:rsidRPr="00793E64">
        <w:rPr>
          <w:rFonts w:cs="Simplified Arabic" w:hint="cs"/>
          <w:rtl/>
        </w:rPr>
        <w:t>،</w:t>
      </w:r>
      <w:r w:rsidRPr="00793E64">
        <w:rPr>
          <w:rFonts w:cs="Simplified Arabic"/>
          <w:rtl/>
        </w:rPr>
        <w:t xml:space="preserve"> </w:t>
      </w:r>
      <w:r w:rsidR="00AD71BF">
        <w:rPr>
          <w:rFonts w:cs="Simplified Arabic" w:hint="cs"/>
          <w:rtl/>
        </w:rPr>
        <w:t xml:space="preserve">(ج) </w:t>
      </w:r>
      <w:r w:rsidRPr="00793E64">
        <w:rPr>
          <w:rFonts w:cs="Simplified Arabic" w:hint="cs"/>
          <w:rtl/>
        </w:rPr>
        <w:t>واستجابة</w:t>
      </w:r>
      <w:r w:rsidRPr="00793E64">
        <w:rPr>
          <w:rFonts w:cs="Simplified Arabic"/>
          <w:rtl/>
        </w:rPr>
        <w:t xml:space="preserve"> </w:t>
      </w:r>
      <w:r w:rsidRPr="00793E64">
        <w:rPr>
          <w:rFonts w:cs="Simplified Arabic" w:hint="cs"/>
          <w:rtl/>
        </w:rPr>
        <w:t>مرفق</w:t>
      </w:r>
      <w:r w:rsidRPr="00793E64">
        <w:rPr>
          <w:rFonts w:cs="Simplified Arabic"/>
          <w:rtl/>
        </w:rPr>
        <w:t xml:space="preserve"> </w:t>
      </w:r>
      <w:r w:rsidRPr="00793E64">
        <w:rPr>
          <w:rFonts w:cs="Simplified Arabic" w:hint="cs"/>
          <w:rtl/>
        </w:rPr>
        <w:t>البيئة</w:t>
      </w:r>
      <w:r w:rsidRPr="00793E64">
        <w:rPr>
          <w:rFonts w:cs="Simplified Arabic"/>
          <w:rtl/>
        </w:rPr>
        <w:t xml:space="preserve"> </w:t>
      </w:r>
      <w:r w:rsidRPr="00793E64">
        <w:rPr>
          <w:rFonts w:cs="Simplified Arabic" w:hint="cs"/>
          <w:rtl/>
        </w:rPr>
        <w:t>العالمية</w:t>
      </w:r>
      <w:r w:rsidRPr="00793E64">
        <w:rPr>
          <w:rFonts w:cs="Simplified Arabic"/>
          <w:rtl/>
        </w:rPr>
        <w:t xml:space="preserve"> </w:t>
      </w:r>
      <w:r w:rsidRPr="00793E64">
        <w:rPr>
          <w:rFonts w:cs="Simplified Arabic" w:hint="cs"/>
          <w:rtl/>
        </w:rPr>
        <w:t>للتوجيه</w:t>
      </w:r>
      <w:r w:rsidRPr="00793E64">
        <w:rPr>
          <w:rFonts w:cs="Simplified Arabic"/>
          <w:rtl/>
        </w:rPr>
        <w:t xml:space="preserve"> </w:t>
      </w:r>
      <w:r w:rsidRPr="00793E64">
        <w:rPr>
          <w:rFonts w:cs="Simplified Arabic" w:hint="cs"/>
          <w:rtl/>
        </w:rPr>
        <w:t>الوارد</w:t>
      </w:r>
      <w:r w:rsidRPr="00793E64">
        <w:rPr>
          <w:rFonts w:cs="Simplified Arabic"/>
          <w:rtl/>
        </w:rPr>
        <w:t xml:space="preserve"> </w:t>
      </w:r>
      <w:r w:rsidRPr="00793E64">
        <w:rPr>
          <w:rFonts w:cs="Simplified Arabic" w:hint="cs"/>
          <w:rtl/>
        </w:rPr>
        <w:t>في</w:t>
      </w:r>
      <w:r w:rsidRPr="00793E64">
        <w:rPr>
          <w:rFonts w:cs="Simplified Arabic"/>
          <w:rtl/>
        </w:rPr>
        <w:t xml:space="preserve"> </w:t>
      </w:r>
      <w:r w:rsidRPr="00793E64">
        <w:rPr>
          <w:rFonts w:cs="Simplified Arabic" w:hint="cs"/>
          <w:rtl/>
        </w:rPr>
        <w:t>المقرر</w:t>
      </w:r>
      <w:r w:rsidRPr="00793E64">
        <w:rPr>
          <w:rFonts w:cs="Simplified Arabic"/>
          <w:rtl/>
        </w:rPr>
        <w:t xml:space="preserve"> 12/21</w:t>
      </w:r>
      <w:r w:rsidRPr="00793E64">
        <w:rPr>
          <w:rFonts w:cs="Simplified Arabic" w:hint="cs"/>
          <w:rtl/>
        </w:rPr>
        <w:t>،</w:t>
      </w:r>
      <w:r w:rsidRPr="00793E64">
        <w:rPr>
          <w:rFonts w:cs="Simplified Arabic"/>
          <w:rtl/>
        </w:rPr>
        <w:t xml:space="preserve"> </w:t>
      </w:r>
      <w:r w:rsidR="00AD71BF">
        <w:rPr>
          <w:rFonts w:cs="Simplified Arabic" w:hint="cs"/>
          <w:rtl/>
        </w:rPr>
        <w:t xml:space="preserve">(د) </w:t>
      </w:r>
      <w:r w:rsidRPr="00793E64">
        <w:rPr>
          <w:rFonts w:cs="Simplified Arabic" w:hint="cs"/>
          <w:rtl/>
        </w:rPr>
        <w:t>وملخص</w:t>
      </w:r>
      <w:r w:rsidRPr="00793E64">
        <w:rPr>
          <w:rFonts w:cs="Simplified Arabic"/>
          <w:rtl/>
        </w:rPr>
        <w:t xml:space="preserve"> </w:t>
      </w:r>
      <w:r w:rsidRPr="00793E64">
        <w:rPr>
          <w:rFonts w:cs="Simplified Arabic" w:hint="cs"/>
          <w:rtl/>
        </w:rPr>
        <w:t>لنتائج</w:t>
      </w:r>
      <w:r w:rsidRPr="00793E64">
        <w:rPr>
          <w:rFonts w:cs="Simplified Arabic"/>
          <w:rtl/>
        </w:rPr>
        <w:t xml:space="preserve"> </w:t>
      </w:r>
      <w:r w:rsidRPr="00793E64">
        <w:rPr>
          <w:rFonts w:cs="Simplified Arabic" w:hint="cs"/>
          <w:rtl/>
        </w:rPr>
        <w:t>مراقبة</w:t>
      </w:r>
      <w:r w:rsidRPr="00793E64">
        <w:rPr>
          <w:rFonts w:cs="Simplified Arabic"/>
          <w:rtl/>
        </w:rPr>
        <w:t xml:space="preserve"> </w:t>
      </w:r>
      <w:r w:rsidRPr="00793E64">
        <w:rPr>
          <w:rFonts w:cs="Simplified Arabic" w:hint="cs"/>
          <w:rtl/>
        </w:rPr>
        <w:t>الحافظة،</w:t>
      </w:r>
      <w:r w:rsidRPr="00793E64">
        <w:rPr>
          <w:rFonts w:cs="Simplified Arabic"/>
          <w:rtl/>
        </w:rPr>
        <w:t xml:space="preserve"> </w:t>
      </w:r>
      <w:r w:rsidRPr="00793E64">
        <w:rPr>
          <w:rFonts w:cs="Simplified Arabic" w:hint="cs"/>
          <w:rtl/>
        </w:rPr>
        <w:t>و</w:t>
      </w:r>
      <w:r w:rsidR="00AD71BF">
        <w:rPr>
          <w:rFonts w:cs="Simplified Arabic" w:hint="cs"/>
          <w:rtl/>
        </w:rPr>
        <w:t xml:space="preserve">(ﻫ) </w:t>
      </w:r>
      <w:r w:rsidRPr="00793E64">
        <w:rPr>
          <w:rFonts w:cs="Simplified Arabic" w:hint="cs"/>
          <w:rtl/>
        </w:rPr>
        <w:t>النتائج</w:t>
      </w:r>
      <w:r w:rsidRPr="00793E64">
        <w:rPr>
          <w:rFonts w:cs="Simplified Arabic"/>
          <w:rtl/>
        </w:rPr>
        <w:t xml:space="preserve"> </w:t>
      </w:r>
      <w:r w:rsidRPr="00793E64">
        <w:rPr>
          <w:rFonts w:cs="Simplified Arabic" w:hint="cs"/>
          <w:rtl/>
        </w:rPr>
        <w:t>الرئيسية</w:t>
      </w:r>
      <w:r w:rsidRPr="00793E64">
        <w:rPr>
          <w:rFonts w:cs="Simplified Arabic"/>
          <w:rtl/>
        </w:rPr>
        <w:t xml:space="preserve"> </w:t>
      </w:r>
      <w:r w:rsidRPr="00793E64">
        <w:rPr>
          <w:rFonts w:cs="Simplified Arabic" w:hint="cs"/>
          <w:rtl/>
        </w:rPr>
        <w:t>لمكتب</w:t>
      </w:r>
      <w:r w:rsidRPr="00793E64">
        <w:rPr>
          <w:rFonts w:cs="Simplified Arabic"/>
          <w:rtl/>
        </w:rPr>
        <w:t xml:space="preserve"> </w:t>
      </w:r>
      <w:r w:rsidRPr="00793E64">
        <w:rPr>
          <w:rFonts w:cs="Simplified Arabic" w:hint="cs"/>
          <w:rtl/>
        </w:rPr>
        <w:t>التقييم</w:t>
      </w:r>
      <w:r w:rsidRPr="00793E64">
        <w:rPr>
          <w:rFonts w:cs="Simplified Arabic"/>
          <w:rtl/>
        </w:rPr>
        <w:t xml:space="preserve"> </w:t>
      </w:r>
      <w:r w:rsidRPr="00793E64">
        <w:rPr>
          <w:rFonts w:cs="Simplified Arabic" w:hint="cs"/>
          <w:rtl/>
        </w:rPr>
        <w:t>المستقل</w:t>
      </w:r>
      <w:r w:rsidRPr="00793E64">
        <w:rPr>
          <w:rFonts w:cs="Simplified Arabic"/>
          <w:rtl/>
        </w:rPr>
        <w:t xml:space="preserve"> </w:t>
      </w:r>
      <w:r w:rsidRPr="00793E64">
        <w:rPr>
          <w:rFonts w:cs="Simplified Arabic" w:hint="cs"/>
          <w:rtl/>
        </w:rPr>
        <w:t>التابع لمرفق</w:t>
      </w:r>
      <w:r w:rsidRPr="00793E64">
        <w:rPr>
          <w:rFonts w:cs="Simplified Arabic"/>
          <w:rtl/>
        </w:rPr>
        <w:t xml:space="preserve"> </w:t>
      </w:r>
      <w:r w:rsidRPr="00793E64">
        <w:rPr>
          <w:rFonts w:cs="Simplified Arabic" w:hint="cs"/>
          <w:rtl/>
        </w:rPr>
        <w:t>البيئة</w:t>
      </w:r>
      <w:r w:rsidRPr="00793E64">
        <w:rPr>
          <w:rFonts w:cs="Simplified Arabic"/>
          <w:rtl/>
        </w:rPr>
        <w:t xml:space="preserve"> </w:t>
      </w:r>
      <w:r w:rsidRPr="00793E64">
        <w:rPr>
          <w:rFonts w:cs="Simplified Arabic" w:hint="cs"/>
          <w:rtl/>
        </w:rPr>
        <w:t>العالمية</w:t>
      </w:r>
      <w:r w:rsidRPr="00793E64">
        <w:rPr>
          <w:rFonts w:cs="Simplified Arabic"/>
          <w:rtl/>
        </w:rPr>
        <w:t>.</w:t>
      </w:r>
    </w:p>
    <w:p w:rsidR="002A009A" w:rsidRPr="00793E64" w:rsidRDefault="002A009A" w:rsidP="00FF7FA5">
      <w:pPr>
        <w:pStyle w:val="ListParagraph"/>
        <w:numPr>
          <w:ilvl w:val="0"/>
          <w:numId w:val="6"/>
        </w:numPr>
        <w:bidi/>
        <w:spacing w:line="216" w:lineRule="auto"/>
        <w:ind w:left="0" w:firstLine="0"/>
        <w:rPr>
          <w:rFonts w:cs="Simplified Arabic"/>
          <w:rtl/>
        </w:rPr>
      </w:pPr>
      <w:r w:rsidRPr="00793E64">
        <w:rPr>
          <w:rFonts w:cs="Simplified Arabic" w:hint="cs"/>
          <w:rtl/>
        </w:rPr>
        <w:t>وأدلى</w:t>
      </w:r>
      <w:r w:rsidRPr="00793E64">
        <w:rPr>
          <w:rFonts w:cs="Simplified Arabic"/>
          <w:rtl/>
        </w:rPr>
        <w:t xml:space="preserve"> </w:t>
      </w:r>
      <w:r w:rsidRPr="00793E64">
        <w:rPr>
          <w:rFonts w:cs="Simplified Arabic" w:hint="cs"/>
          <w:rtl/>
        </w:rPr>
        <w:t>ببيانات</w:t>
      </w:r>
      <w:r w:rsidRPr="00793E64">
        <w:rPr>
          <w:rFonts w:cs="Simplified Arabic"/>
          <w:rtl/>
        </w:rPr>
        <w:t xml:space="preserve"> </w:t>
      </w:r>
      <w:r w:rsidRPr="00793E64">
        <w:rPr>
          <w:rFonts w:cs="Simplified Arabic" w:hint="cs"/>
          <w:rtl/>
        </w:rPr>
        <w:t>ممثلو</w:t>
      </w:r>
      <w:r w:rsidRPr="00793E64">
        <w:rPr>
          <w:rFonts w:cs="Simplified Arabic"/>
          <w:rtl/>
        </w:rPr>
        <w:t xml:space="preserve">: </w:t>
      </w:r>
      <w:r w:rsidRPr="00793E64">
        <w:rPr>
          <w:rFonts w:cs="Simplified Arabic" w:hint="cs"/>
          <w:rtl/>
        </w:rPr>
        <w:t>كندا</w:t>
      </w:r>
      <w:r w:rsidR="00AD71BF">
        <w:rPr>
          <w:rFonts w:cs="Simplified Arabic" w:hint="cs"/>
          <w:rtl/>
        </w:rPr>
        <w:t>،</w:t>
      </w:r>
      <w:r w:rsidRPr="00793E64">
        <w:rPr>
          <w:rFonts w:cs="Simplified Arabic"/>
          <w:rtl/>
        </w:rPr>
        <w:t xml:space="preserve"> </w:t>
      </w:r>
      <w:r w:rsidRPr="00793E64">
        <w:rPr>
          <w:rFonts w:cs="Simplified Arabic" w:hint="cs"/>
          <w:rtl/>
        </w:rPr>
        <w:t>وكولومبيا</w:t>
      </w:r>
      <w:r w:rsidR="00AD71BF">
        <w:rPr>
          <w:rFonts w:cs="Simplified Arabic" w:hint="cs"/>
          <w:rtl/>
        </w:rPr>
        <w:t>،</w:t>
      </w:r>
      <w:r w:rsidRPr="00793E64">
        <w:rPr>
          <w:rFonts w:cs="Simplified Arabic"/>
          <w:rtl/>
        </w:rPr>
        <w:t xml:space="preserve"> </w:t>
      </w:r>
      <w:r w:rsidRPr="00793E64">
        <w:rPr>
          <w:rFonts w:cs="Simplified Arabic" w:hint="cs"/>
          <w:rtl/>
        </w:rPr>
        <w:t>والاتحاد</w:t>
      </w:r>
      <w:r w:rsidRPr="00793E64">
        <w:rPr>
          <w:rFonts w:cs="Simplified Arabic"/>
          <w:rtl/>
        </w:rPr>
        <w:t xml:space="preserve"> </w:t>
      </w:r>
      <w:r w:rsidRPr="00793E64">
        <w:rPr>
          <w:rFonts w:cs="Simplified Arabic" w:hint="cs"/>
          <w:rtl/>
        </w:rPr>
        <w:t>الأوروبي</w:t>
      </w:r>
      <w:r w:rsidRPr="00793E64">
        <w:rPr>
          <w:rFonts w:cs="Simplified Arabic"/>
          <w:rtl/>
        </w:rPr>
        <w:t xml:space="preserve"> </w:t>
      </w:r>
      <w:r w:rsidRPr="00793E64">
        <w:rPr>
          <w:rFonts w:cs="Simplified Arabic" w:hint="cs"/>
          <w:rtl/>
        </w:rPr>
        <w:t>ودوله</w:t>
      </w:r>
      <w:r w:rsidRPr="00793E64">
        <w:rPr>
          <w:rFonts w:cs="Simplified Arabic"/>
          <w:rtl/>
        </w:rPr>
        <w:t xml:space="preserve"> </w:t>
      </w:r>
      <w:r w:rsidRPr="00793E64">
        <w:rPr>
          <w:rFonts w:cs="Simplified Arabic" w:hint="cs"/>
          <w:rtl/>
        </w:rPr>
        <w:t>الأعضاء</w:t>
      </w:r>
      <w:r w:rsidRPr="00793E64">
        <w:rPr>
          <w:rFonts w:cs="Simplified Arabic"/>
          <w:rtl/>
        </w:rPr>
        <w:t xml:space="preserve"> </w:t>
      </w:r>
      <w:r w:rsidR="00ED4C91">
        <w:rPr>
          <w:rFonts w:cs="Simplified Arabic" w:hint="cs"/>
          <w:rtl/>
        </w:rPr>
        <w:t>الثماني والعشرين</w:t>
      </w:r>
      <w:r w:rsidR="00AD71BF">
        <w:rPr>
          <w:rFonts w:cs="Simplified Arabic" w:hint="cs"/>
          <w:rtl/>
        </w:rPr>
        <w:t>،</w:t>
      </w:r>
      <w:r w:rsidRPr="00793E64">
        <w:rPr>
          <w:rFonts w:cs="Simplified Arabic"/>
          <w:rtl/>
        </w:rPr>
        <w:t xml:space="preserve"> </w:t>
      </w:r>
      <w:r w:rsidRPr="00793E64">
        <w:rPr>
          <w:rFonts w:cs="Simplified Arabic" w:hint="cs"/>
          <w:rtl/>
        </w:rPr>
        <w:t>والهند</w:t>
      </w:r>
      <w:r w:rsidR="00AD71BF">
        <w:rPr>
          <w:rFonts w:cs="Simplified Arabic" w:hint="cs"/>
          <w:rtl/>
        </w:rPr>
        <w:t>،</w:t>
      </w:r>
      <w:r w:rsidRPr="00793E64">
        <w:rPr>
          <w:rFonts w:cs="Simplified Arabic"/>
          <w:rtl/>
        </w:rPr>
        <w:t xml:space="preserve"> </w:t>
      </w:r>
      <w:r w:rsidRPr="00793E64">
        <w:rPr>
          <w:rFonts w:cs="Simplified Arabic" w:hint="cs"/>
          <w:rtl/>
        </w:rPr>
        <w:t>واليابان</w:t>
      </w:r>
      <w:r w:rsidR="00AD71BF">
        <w:rPr>
          <w:rFonts w:cs="Simplified Arabic" w:hint="cs"/>
          <w:rtl/>
        </w:rPr>
        <w:t>،</w:t>
      </w:r>
      <w:r w:rsidRPr="00793E64">
        <w:rPr>
          <w:rFonts w:cs="Simplified Arabic" w:hint="cs"/>
          <w:rtl/>
        </w:rPr>
        <w:t xml:space="preserve"> ونيوزيلندا</w:t>
      </w:r>
      <w:r w:rsidR="00AD71BF">
        <w:rPr>
          <w:rFonts w:cs="Simplified Arabic" w:hint="cs"/>
          <w:rtl/>
        </w:rPr>
        <w:t>،</w:t>
      </w:r>
      <w:r w:rsidRPr="00793E64">
        <w:rPr>
          <w:rFonts w:cs="Simplified Arabic"/>
          <w:rtl/>
        </w:rPr>
        <w:t xml:space="preserve"> </w:t>
      </w:r>
      <w:r w:rsidRPr="00793E64">
        <w:rPr>
          <w:rFonts w:cs="Simplified Arabic" w:hint="cs"/>
          <w:rtl/>
        </w:rPr>
        <w:t>والنرويج</w:t>
      </w:r>
      <w:r w:rsidRPr="00793E64">
        <w:rPr>
          <w:rFonts w:cs="Simplified Arabic"/>
          <w:rtl/>
        </w:rPr>
        <w:t xml:space="preserve"> </w:t>
      </w:r>
      <w:r w:rsidRPr="00793E64">
        <w:rPr>
          <w:rFonts w:cs="Simplified Arabic" w:hint="cs"/>
          <w:rtl/>
        </w:rPr>
        <w:t>وسويسرا</w:t>
      </w:r>
      <w:r w:rsidRPr="00793E64">
        <w:rPr>
          <w:rFonts w:cs="Simplified Arabic"/>
          <w:rtl/>
        </w:rPr>
        <w:t>.</w:t>
      </w:r>
    </w:p>
    <w:p w:rsidR="00C1562B" w:rsidRDefault="002A009A" w:rsidP="004726CA">
      <w:pPr>
        <w:pStyle w:val="ListParagraph"/>
        <w:numPr>
          <w:ilvl w:val="0"/>
          <w:numId w:val="6"/>
        </w:numPr>
        <w:bidi/>
        <w:spacing w:line="216" w:lineRule="auto"/>
        <w:ind w:left="0" w:firstLine="0"/>
        <w:rPr>
          <w:rFonts w:cs="Simplified Arabic"/>
        </w:rPr>
      </w:pPr>
      <w:r w:rsidRPr="00793E64">
        <w:rPr>
          <w:rFonts w:cs="Simplified Arabic" w:hint="cs"/>
          <w:rtl/>
        </w:rPr>
        <w:t>وبعد</w:t>
      </w:r>
      <w:r w:rsidRPr="00793E64">
        <w:rPr>
          <w:rFonts w:cs="Simplified Arabic"/>
          <w:rtl/>
        </w:rPr>
        <w:t xml:space="preserve"> </w:t>
      </w:r>
      <w:r w:rsidRPr="00793E64">
        <w:rPr>
          <w:rFonts w:cs="Simplified Arabic" w:hint="cs"/>
          <w:rtl/>
        </w:rPr>
        <w:t>تبادل</w:t>
      </w:r>
      <w:r w:rsidRPr="00793E64">
        <w:rPr>
          <w:rFonts w:cs="Simplified Arabic"/>
          <w:rtl/>
        </w:rPr>
        <w:t xml:space="preserve"> </w:t>
      </w:r>
      <w:r w:rsidRPr="00793E64">
        <w:rPr>
          <w:rFonts w:cs="Simplified Arabic" w:hint="cs"/>
          <w:rtl/>
        </w:rPr>
        <w:t>الآراء،</w:t>
      </w:r>
      <w:r w:rsidRPr="00793E64">
        <w:rPr>
          <w:rFonts w:cs="Simplified Arabic"/>
          <w:rtl/>
        </w:rPr>
        <w:t xml:space="preserve"> </w:t>
      </w:r>
      <w:r w:rsidRPr="00793E64">
        <w:rPr>
          <w:rFonts w:cs="Simplified Arabic" w:hint="cs"/>
          <w:rtl/>
        </w:rPr>
        <w:t>وافق</w:t>
      </w:r>
      <w:r w:rsidRPr="00793E64">
        <w:rPr>
          <w:rFonts w:cs="Simplified Arabic"/>
          <w:rtl/>
        </w:rPr>
        <w:t xml:space="preserve"> </w:t>
      </w:r>
      <w:r w:rsidRPr="00793E64">
        <w:rPr>
          <w:rFonts w:cs="Simplified Arabic" w:hint="cs"/>
          <w:rtl/>
        </w:rPr>
        <w:t>الفريق</w:t>
      </w:r>
      <w:r w:rsidRPr="00793E64">
        <w:rPr>
          <w:rFonts w:cs="Simplified Arabic"/>
          <w:rtl/>
        </w:rPr>
        <w:t xml:space="preserve"> </w:t>
      </w:r>
      <w:r w:rsidRPr="00793E64">
        <w:rPr>
          <w:rFonts w:cs="Simplified Arabic" w:hint="cs"/>
          <w:rtl/>
        </w:rPr>
        <w:t>العامل</w:t>
      </w:r>
      <w:r w:rsidRPr="00793E64">
        <w:rPr>
          <w:rFonts w:cs="Simplified Arabic"/>
          <w:rtl/>
        </w:rPr>
        <w:t xml:space="preserve"> </w:t>
      </w:r>
      <w:r w:rsidRPr="00793E64">
        <w:rPr>
          <w:rFonts w:cs="Simplified Arabic" w:hint="cs"/>
          <w:rtl/>
        </w:rPr>
        <w:t>على</w:t>
      </w:r>
      <w:r w:rsidRPr="00793E64">
        <w:rPr>
          <w:rFonts w:cs="Simplified Arabic"/>
          <w:rtl/>
        </w:rPr>
        <w:t xml:space="preserve"> </w:t>
      </w:r>
      <w:r w:rsidRPr="00793E64">
        <w:rPr>
          <w:rFonts w:cs="Simplified Arabic" w:hint="cs"/>
          <w:rtl/>
        </w:rPr>
        <w:t>إنشاء</w:t>
      </w:r>
      <w:r w:rsidRPr="00793E64">
        <w:rPr>
          <w:rFonts w:cs="Simplified Arabic"/>
          <w:rtl/>
        </w:rPr>
        <w:t xml:space="preserve"> </w:t>
      </w:r>
      <w:r w:rsidRPr="00793E64">
        <w:rPr>
          <w:rFonts w:cs="Simplified Arabic" w:hint="cs"/>
          <w:rtl/>
        </w:rPr>
        <w:t>فريق</w:t>
      </w:r>
      <w:r w:rsidRPr="00793E64">
        <w:rPr>
          <w:rFonts w:cs="Simplified Arabic"/>
          <w:rtl/>
        </w:rPr>
        <w:t xml:space="preserve"> </w:t>
      </w:r>
      <w:r w:rsidRPr="00793E64">
        <w:rPr>
          <w:rFonts w:cs="Simplified Arabic" w:hint="cs"/>
          <w:rtl/>
        </w:rPr>
        <w:t>اتصال</w:t>
      </w:r>
      <w:r w:rsidRPr="00793E64">
        <w:rPr>
          <w:rFonts w:cs="Simplified Arabic"/>
          <w:rtl/>
        </w:rPr>
        <w:t xml:space="preserve"> </w:t>
      </w:r>
      <w:r w:rsidRPr="00793E64">
        <w:rPr>
          <w:rFonts w:cs="Simplified Arabic" w:hint="cs"/>
          <w:rtl/>
        </w:rPr>
        <w:t>تشارك</w:t>
      </w:r>
      <w:r w:rsidRPr="00793E64">
        <w:rPr>
          <w:rFonts w:cs="Simplified Arabic"/>
          <w:rtl/>
        </w:rPr>
        <w:t xml:space="preserve"> </w:t>
      </w:r>
      <w:r w:rsidRPr="00793E64">
        <w:rPr>
          <w:rFonts w:cs="Simplified Arabic" w:hint="cs"/>
          <w:rtl/>
        </w:rPr>
        <w:t>في</w:t>
      </w:r>
      <w:r w:rsidRPr="00793E64">
        <w:rPr>
          <w:rFonts w:cs="Simplified Arabic"/>
          <w:rtl/>
        </w:rPr>
        <w:t xml:space="preserve"> </w:t>
      </w:r>
      <w:r w:rsidRPr="00793E64">
        <w:rPr>
          <w:rFonts w:cs="Simplified Arabic" w:hint="cs"/>
          <w:rtl/>
        </w:rPr>
        <w:t>رئاسته</w:t>
      </w:r>
      <w:r w:rsidRPr="00793E64">
        <w:rPr>
          <w:rFonts w:cs="Simplified Arabic"/>
          <w:rtl/>
        </w:rPr>
        <w:t xml:space="preserve"> </w:t>
      </w:r>
      <w:r w:rsidRPr="00793E64">
        <w:rPr>
          <w:rFonts w:cs="Simplified Arabic" w:hint="cs"/>
          <w:rtl/>
        </w:rPr>
        <w:t>السيدة</w:t>
      </w:r>
      <w:r w:rsidRPr="00793E64">
        <w:rPr>
          <w:rFonts w:cs="Simplified Arabic"/>
          <w:rtl/>
        </w:rPr>
        <w:t xml:space="preserve"> </w:t>
      </w:r>
      <w:r w:rsidRPr="00793E64">
        <w:rPr>
          <w:rFonts w:cs="Simplified Arabic" w:hint="cs"/>
          <w:rtl/>
        </w:rPr>
        <w:t>لو</w:t>
      </w:r>
      <w:r w:rsidR="00AD71BF">
        <w:rPr>
          <w:rFonts w:cs="Simplified Arabic" w:hint="cs"/>
          <w:rtl/>
        </w:rPr>
        <w:t>ري</w:t>
      </w:r>
      <w:r w:rsidRPr="00793E64">
        <w:rPr>
          <w:rFonts w:cs="Simplified Arabic"/>
          <w:rtl/>
        </w:rPr>
        <w:t xml:space="preserve"> </w:t>
      </w:r>
      <w:r w:rsidRPr="00793E64">
        <w:rPr>
          <w:rFonts w:cs="Simplified Arabic" w:hint="cs"/>
          <w:rtl/>
        </w:rPr>
        <w:t>ليدو</w:t>
      </w:r>
      <w:r w:rsidRPr="00793E64">
        <w:rPr>
          <w:rFonts w:cs="Simplified Arabic"/>
          <w:rtl/>
        </w:rPr>
        <w:t xml:space="preserve"> (</w:t>
      </w:r>
      <w:r w:rsidRPr="00793E64">
        <w:rPr>
          <w:rFonts w:cs="Simplified Arabic" w:hint="cs"/>
          <w:rtl/>
        </w:rPr>
        <w:t>الاتحاد</w:t>
      </w:r>
      <w:r w:rsidRPr="00793E64">
        <w:rPr>
          <w:rFonts w:cs="Simplified Arabic"/>
          <w:rtl/>
        </w:rPr>
        <w:t xml:space="preserve"> </w:t>
      </w:r>
      <w:r w:rsidRPr="00793E64">
        <w:rPr>
          <w:rFonts w:cs="Simplified Arabic" w:hint="cs"/>
          <w:rtl/>
        </w:rPr>
        <w:t>الأوروبي</w:t>
      </w:r>
      <w:r w:rsidRPr="00793E64">
        <w:rPr>
          <w:rFonts w:cs="Simplified Arabic"/>
          <w:rtl/>
        </w:rPr>
        <w:t xml:space="preserve">) </w:t>
      </w:r>
      <w:r w:rsidRPr="00793E64">
        <w:rPr>
          <w:rFonts w:cs="Simplified Arabic" w:hint="cs"/>
          <w:rtl/>
        </w:rPr>
        <w:t>والسيد</w:t>
      </w:r>
      <w:r w:rsidRPr="00793E64">
        <w:rPr>
          <w:rFonts w:cs="Simplified Arabic"/>
          <w:rtl/>
        </w:rPr>
        <w:t xml:space="preserve"> </w:t>
      </w:r>
      <w:r w:rsidRPr="00793E64">
        <w:rPr>
          <w:rFonts w:cs="Simplified Arabic" w:hint="cs"/>
          <w:rtl/>
        </w:rPr>
        <w:t>سابينو</w:t>
      </w:r>
      <w:r w:rsidRPr="00793E64">
        <w:rPr>
          <w:rFonts w:cs="Simplified Arabic"/>
          <w:rtl/>
        </w:rPr>
        <w:t xml:space="preserve"> </w:t>
      </w:r>
      <w:r w:rsidRPr="00793E64">
        <w:rPr>
          <w:rFonts w:cs="Simplified Arabic" w:hint="cs"/>
          <w:rtl/>
        </w:rPr>
        <w:t>ميري</w:t>
      </w:r>
      <w:r w:rsidRPr="00793E64">
        <w:rPr>
          <w:rFonts w:cs="Simplified Arabic"/>
          <w:rtl/>
        </w:rPr>
        <w:t xml:space="preserve"> </w:t>
      </w:r>
      <w:r w:rsidRPr="00793E64">
        <w:rPr>
          <w:rFonts w:cs="Simplified Arabic" w:hint="cs"/>
          <w:rtl/>
        </w:rPr>
        <w:t>فر</w:t>
      </w:r>
      <w:r w:rsidR="00C33F19">
        <w:rPr>
          <w:rFonts w:cs="Simplified Arabic" w:hint="cs"/>
          <w:rtl/>
        </w:rPr>
        <w:t>ا</w:t>
      </w:r>
      <w:r w:rsidRPr="00793E64">
        <w:rPr>
          <w:rFonts w:cs="Simplified Arabic" w:hint="cs"/>
          <w:rtl/>
        </w:rPr>
        <w:t>نسيس</w:t>
      </w:r>
      <w:r w:rsidRPr="00793E64">
        <w:rPr>
          <w:rFonts w:cs="Simplified Arabic"/>
          <w:rtl/>
        </w:rPr>
        <w:t xml:space="preserve"> </w:t>
      </w:r>
      <w:r w:rsidRPr="00793E64">
        <w:rPr>
          <w:rFonts w:cs="Simplified Arabic" w:hint="cs"/>
          <w:rtl/>
        </w:rPr>
        <w:t xml:space="preserve">أوغوال </w:t>
      </w:r>
      <w:r w:rsidRPr="00793E64">
        <w:rPr>
          <w:rFonts w:cs="Simplified Arabic"/>
          <w:rtl/>
        </w:rPr>
        <w:t>(</w:t>
      </w:r>
      <w:r w:rsidRPr="00793E64">
        <w:rPr>
          <w:rFonts w:cs="Simplified Arabic" w:hint="cs"/>
          <w:rtl/>
        </w:rPr>
        <w:t>أوغندا</w:t>
      </w:r>
      <w:r w:rsidRPr="00793E64">
        <w:rPr>
          <w:rFonts w:cs="Simplified Arabic"/>
          <w:rtl/>
        </w:rPr>
        <w:t xml:space="preserve">) </w:t>
      </w:r>
      <w:r w:rsidRPr="00793E64">
        <w:rPr>
          <w:rFonts w:cs="Simplified Arabic" w:hint="cs"/>
          <w:rtl/>
        </w:rPr>
        <w:t>لمواصلة</w:t>
      </w:r>
      <w:r w:rsidRPr="00793E64">
        <w:rPr>
          <w:rFonts w:cs="Simplified Arabic"/>
          <w:rtl/>
        </w:rPr>
        <w:t xml:space="preserve"> </w:t>
      </w:r>
      <w:r w:rsidRPr="00793E64">
        <w:rPr>
          <w:rFonts w:cs="Simplified Arabic" w:hint="cs"/>
          <w:rtl/>
        </w:rPr>
        <w:t>مناقشة</w:t>
      </w:r>
      <w:r w:rsidRPr="00793E64">
        <w:rPr>
          <w:rFonts w:cs="Simplified Arabic"/>
          <w:rtl/>
        </w:rPr>
        <w:t xml:space="preserve"> </w:t>
      </w:r>
      <w:r w:rsidRPr="00793E64">
        <w:rPr>
          <w:rFonts w:cs="Simplified Arabic" w:hint="cs"/>
          <w:rtl/>
        </w:rPr>
        <w:t>مشروع</w:t>
      </w:r>
      <w:r w:rsidRPr="00793E64">
        <w:rPr>
          <w:rFonts w:cs="Simplified Arabic"/>
          <w:rtl/>
        </w:rPr>
        <w:t xml:space="preserve"> </w:t>
      </w:r>
      <w:r w:rsidR="00AD71BF">
        <w:rPr>
          <w:rFonts w:cs="Simplified Arabic" w:hint="cs"/>
          <w:rtl/>
        </w:rPr>
        <w:t>ال</w:t>
      </w:r>
      <w:r w:rsidRPr="00793E64">
        <w:rPr>
          <w:rFonts w:cs="Simplified Arabic" w:hint="cs"/>
          <w:rtl/>
        </w:rPr>
        <w:t>مقرر</w:t>
      </w:r>
      <w:r w:rsidRPr="00793E64">
        <w:rPr>
          <w:rFonts w:cs="Simplified Arabic"/>
          <w:rtl/>
        </w:rPr>
        <w:t xml:space="preserve"> </w:t>
      </w:r>
      <w:r w:rsidRPr="00793E64">
        <w:rPr>
          <w:rFonts w:cs="Simplified Arabic" w:hint="cs"/>
          <w:rtl/>
        </w:rPr>
        <w:t>بشأن</w:t>
      </w:r>
      <w:r w:rsidRPr="00793E64">
        <w:rPr>
          <w:rFonts w:cs="Simplified Arabic"/>
          <w:rtl/>
        </w:rPr>
        <w:t xml:space="preserve"> </w:t>
      </w:r>
      <w:r w:rsidRPr="00793E64">
        <w:rPr>
          <w:rFonts w:cs="Simplified Arabic" w:hint="cs"/>
          <w:rtl/>
        </w:rPr>
        <w:t>الآلية</w:t>
      </w:r>
      <w:r w:rsidRPr="00793E64">
        <w:rPr>
          <w:rFonts w:cs="Simplified Arabic"/>
          <w:rtl/>
        </w:rPr>
        <w:t xml:space="preserve"> </w:t>
      </w:r>
      <w:r w:rsidRPr="00793E64">
        <w:rPr>
          <w:rFonts w:cs="Simplified Arabic" w:hint="cs"/>
          <w:rtl/>
        </w:rPr>
        <w:t>المالية،</w:t>
      </w:r>
      <w:r w:rsidRPr="00793E64">
        <w:rPr>
          <w:rFonts w:cs="Simplified Arabic"/>
          <w:rtl/>
        </w:rPr>
        <w:t xml:space="preserve"> </w:t>
      </w:r>
      <w:r w:rsidR="00AD71BF" w:rsidRPr="00B54CF7">
        <w:rPr>
          <w:rFonts w:cs="Simplified Arabic" w:hint="cs"/>
          <w:rtl/>
        </w:rPr>
        <w:t>مع</w:t>
      </w:r>
      <w:r w:rsidR="00AD71BF" w:rsidRPr="00B54CF7">
        <w:rPr>
          <w:rFonts w:cs="Simplified Arabic"/>
          <w:rtl/>
        </w:rPr>
        <w:t xml:space="preserve"> </w:t>
      </w:r>
      <w:r w:rsidR="00AD71BF" w:rsidRPr="00B54CF7">
        <w:rPr>
          <w:rFonts w:cs="Simplified Arabic" w:hint="cs"/>
          <w:rtl/>
        </w:rPr>
        <w:t>مراعاة</w:t>
      </w:r>
      <w:r w:rsidR="00AD71BF" w:rsidRPr="00B54CF7">
        <w:rPr>
          <w:rFonts w:cs="Simplified Arabic"/>
          <w:rtl/>
        </w:rPr>
        <w:t xml:space="preserve"> </w:t>
      </w:r>
      <w:r w:rsidR="00AD71BF" w:rsidRPr="00B54CF7">
        <w:rPr>
          <w:rFonts w:cs="Simplified Arabic" w:hint="cs"/>
          <w:rtl/>
        </w:rPr>
        <w:t>الآراء</w:t>
      </w:r>
      <w:r w:rsidR="00AD71BF" w:rsidRPr="00B54CF7">
        <w:rPr>
          <w:rFonts w:cs="Simplified Arabic"/>
          <w:rtl/>
        </w:rPr>
        <w:t xml:space="preserve"> </w:t>
      </w:r>
      <w:r w:rsidR="00AD71BF" w:rsidRPr="00B54CF7">
        <w:rPr>
          <w:rFonts w:cs="Simplified Arabic" w:hint="cs"/>
          <w:rtl/>
        </w:rPr>
        <w:t>الم</w:t>
      </w:r>
      <w:r w:rsidR="004726CA">
        <w:rPr>
          <w:rFonts w:cs="Simplified Arabic" w:hint="cs"/>
          <w:rtl/>
        </w:rPr>
        <w:t>عرب</w:t>
      </w:r>
      <w:r w:rsidR="00AD71BF" w:rsidRPr="00B54CF7">
        <w:rPr>
          <w:rFonts w:cs="Simplified Arabic" w:hint="cs"/>
          <w:rtl/>
        </w:rPr>
        <w:t xml:space="preserve"> عنها</w:t>
      </w:r>
      <w:r w:rsidR="00AD71BF" w:rsidRPr="00B54CF7">
        <w:rPr>
          <w:rFonts w:cs="Simplified Arabic"/>
          <w:rtl/>
        </w:rPr>
        <w:t xml:space="preserve"> </w:t>
      </w:r>
      <w:r w:rsidR="00AD71BF" w:rsidRPr="00B54CF7">
        <w:rPr>
          <w:rFonts w:cs="Simplified Arabic" w:hint="cs"/>
          <w:rtl/>
        </w:rPr>
        <w:t>شفويا</w:t>
      </w:r>
      <w:r w:rsidR="00AD71BF">
        <w:rPr>
          <w:rFonts w:cs="Simplified Arabic" w:hint="cs"/>
          <w:rtl/>
        </w:rPr>
        <w:t>ً</w:t>
      </w:r>
      <w:r w:rsidR="00AD71BF" w:rsidRPr="00B54CF7">
        <w:rPr>
          <w:rFonts w:cs="Simplified Arabic"/>
          <w:rtl/>
        </w:rPr>
        <w:t xml:space="preserve"> </w:t>
      </w:r>
      <w:r w:rsidR="00AD71BF" w:rsidRPr="00B54CF7">
        <w:rPr>
          <w:rFonts w:cs="Simplified Arabic" w:hint="cs"/>
          <w:rtl/>
        </w:rPr>
        <w:t>والمقدمة كتاب</w:t>
      </w:r>
      <w:r w:rsidR="00AD71BF">
        <w:rPr>
          <w:rFonts w:cs="Simplified Arabic" w:hint="cs"/>
          <w:rtl/>
        </w:rPr>
        <w:t>ة</w:t>
      </w:r>
      <w:r w:rsidRPr="00793E64">
        <w:rPr>
          <w:rFonts w:cs="Simplified Arabic"/>
          <w:rtl/>
        </w:rPr>
        <w:t>.</w:t>
      </w:r>
    </w:p>
    <w:p w:rsidR="00793E64" w:rsidRDefault="00793E64" w:rsidP="00AD71BF">
      <w:pPr>
        <w:pStyle w:val="Para10"/>
        <w:numPr>
          <w:ilvl w:val="0"/>
          <w:numId w:val="6"/>
        </w:numPr>
        <w:bidi/>
        <w:spacing w:before="0" w:line="216" w:lineRule="auto"/>
        <w:ind w:left="0" w:firstLine="0"/>
        <w:rPr>
          <w:rFonts w:cs="Simplified Arabic"/>
          <w:szCs w:val="24"/>
        </w:rPr>
      </w:pPr>
      <w:r>
        <w:rPr>
          <w:rFonts w:cs="Simplified Arabic" w:hint="cs"/>
          <w:szCs w:val="24"/>
          <w:rtl/>
        </w:rPr>
        <w:lastRenderedPageBreak/>
        <w:t>و</w:t>
      </w:r>
      <w:r w:rsidR="00AD71BF">
        <w:rPr>
          <w:rFonts w:cs="Simplified Arabic" w:hint="cs"/>
          <w:szCs w:val="24"/>
          <w:rtl/>
        </w:rPr>
        <w:t xml:space="preserve">في جلسته الثالثة عشرة، المنعقدة في 27 نوفمبر/تشرين الثاني 2018، </w:t>
      </w:r>
      <w:r>
        <w:rPr>
          <w:rFonts w:cs="Simplified Arabic" w:hint="cs"/>
          <w:szCs w:val="24"/>
          <w:rtl/>
        </w:rPr>
        <w:t xml:space="preserve">نظر الفريق العامل </w:t>
      </w:r>
      <w:r w:rsidR="00AD71BF">
        <w:rPr>
          <w:rFonts w:cs="Simplified Arabic" w:hint="cs"/>
          <w:szCs w:val="24"/>
          <w:rtl/>
        </w:rPr>
        <w:t xml:space="preserve">في مشروع مقرر منقح </w:t>
      </w:r>
      <w:r>
        <w:rPr>
          <w:rFonts w:cs="Simplified Arabic" w:hint="cs"/>
          <w:szCs w:val="24"/>
          <w:rtl/>
        </w:rPr>
        <w:t>قدم</w:t>
      </w:r>
      <w:r w:rsidR="00AD71BF">
        <w:rPr>
          <w:rFonts w:cs="Simplified Arabic" w:hint="cs"/>
          <w:szCs w:val="24"/>
          <w:rtl/>
        </w:rPr>
        <w:t>ه</w:t>
      </w:r>
      <w:r>
        <w:rPr>
          <w:rFonts w:cs="Simplified Arabic" w:hint="cs"/>
          <w:szCs w:val="24"/>
          <w:rtl/>
        </w:rPr>
        <w:t xml:space="preserve"> الرئيس.</w:t>
      </w:r>
    </w:p>
    <w:p w:rsidR="00793E64" w:rsidRDefault="00AD71BF" w:rsidP="00FF7FA5">
      <w:pPr>
        <w:pStyle w:val="ListParagraph"/>
        <w:numPr>
          <w:ilvl w:val="0"/>
          <w:numId w:val="6"/>
        </w:numPr>
        <w:bidi/>
        <w:spacing w:line="216" w:lineRule="auto"/>
        <w:ind w:left="0" w:firstLine="0"/>
        <w:rPr>
          <w:rFonts w:cs="Simplified Arabic"/>
        </w:rPr>
      </w:pPr>
      <w:r>
        <w:rPr>
          <w:rFonts w:cs="Simplified Arabic" w:hint="cs"/>
          <w:rtl/>
        </w:rPr>
        <w:t>وأدلى ببيانات ممث</w:t>
      </w:r>
      <w:r w:rsidR="00793E64">
        <w:rPr>
          <w:rFonts w:cs="Simplified Arabic" w:hint="cs"/>
          <w:rtl/>
        </w:rPr>
        <w:t>ل</w:t>
      </w:r>
      <w:r>
        <w:rPr>
          <w:rFonts w:cs="Simplified Arabic" w:hint="cs"/>
          <w:rtl/>
        </w:rPr>
        <w:t>و</w:t>
      </w:r>
      <w:r w:rsidR="00793E64">
        <w:rPr>
          <w:rFonts w:cs="Simplified Arabic" w:hint="cs"/>
          <w:rtl/>
        </w:rPr>
        <w:t xml:space="preserve"> البرازيل، والاتحاد الأوروبي ودوله الأعضاء </w:t>
      </w:r>
      <w:r w:rsidR="00ED4C91">
        <w:rPr>
          <w:rFonts w:cs="Simplified Arabic" w:hint="cs"/>
          <w:rtl/>
        </w:rPr>
        <w:t>الثماني والعشرين</w:t>
      </w:r>
      <w:r w:rsidR="00793E64">
        <w:rPr>
          <w:rFonts w:cs="Simplified Arabic" w:hint="cs"/>
          <w:rtl/>
        </w:rPr>
        <w:t>، واليابان وكينيا.</w:t>
      </w:r>
    </w:p>
    <w:p w:rsidR="00793E64" w:rsidRPr="00793E64" w:rsidRDefault="00793E64" w:rsidP="00FF7FA5">
      <w:pPr>
        <w:pStyle w:val="ListParagraph"/>
        <w:numPr>
          <w:ilvl w:val="0"/>
          <w:numId w:val="6"/>
        </w:numPr>
        <w:bidi/>
        <w:spacing w:line="216" w:lineRule="auto"/>
        <w:ind w:left="0" w:firstLine="0"/>
        <w:rPr>
          <w:rFonts w:cs="Simplified Arabic"/>
        </w:rPr>
      </w:pPr>
      <w:r>
        <w:rPr>
          <w:rFonts w:cs="Simplified Arabic" w:hint="cs"/>
          <w:rtl/>
        </w:rPr>
        <w:t xml:space="preserve">وبعد تبادل الآراء، وافق الفريق العامل على مشروع المقرر لإحالته إلى الجلسة العامة بوصفه مشروع المقرر </w:t>
      </w:r>
      <w:r w:rsidRPr="007F48C2">
        <w:t>CBD/COP/14/L.35</w:t>
      </w:r>
      <w:r>
        <w:rPr>
          <w:rFonts w:cs="Simplified Arabic" w:hint="cs"/>
          <w:rtl/>
        </w:rPr>
        <w:t>.</w:t>
      </w:r>
    </w:p>
    <w:p w:rsidR="00C1562B" w:rsidRPr="00997CAE" w:rsidRDefault="00AD71BF" w:rsidP="00FF7FA5">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الثامنة، المنعقدة في 29 نوفمبر/تشرين الثاني 2018، اعتمد مؤتمر الأطراف مشروع المقرر </w:t>
      </w:r>
      <w:r w:rsidRPr="007F48C2">
        <w:t>CBD/COP/14/L.35</w:t>
      </w:r>
      <w:r>
        <w:rPr>
          <w:rFonts w:cs="Simplified Arabic" w:hint="cs"/>
          <w:rtl/>
        </w:rPr>
        <w:t xml:space="preserve"> بوصفه المقرر 14/23 (للاطلاع على النص، انظر الفصل الأول).</w:t>
      </w:r>
    </w:p>
    <w:p w:rsidR="00C1562B" w:rsidRPr="00997CAE" w:rsidRDefault="00C1562B" w:rsidP="00094717">
      <w:pPr>
        <w:pStyle w:val="ListParagraph"/>
        <w:tabs>
          <w:tab w:val="left" w:pos="1260"/>
        </w:tabs>
        <w:bidi/>
        <w:spacing w:line="216" w:lineRule="auto"/>
        <w:ind w:left="0"/>
        <w:jc w:val="center"/>
        <w:outlineLvl w:val="1"/>
        <w:rPr>
          <w:rFonts w:cs="Simplified Arabic"/>
          <w:b/>
          <w:bCs/>
        </w:rPr>
      </w:pPr>
      <w:bookmarkStart w:id="227" w:name="_Toc6140013"/>
      <w:r w:rsidRPr="00997CAE">
        <w:rPr>
          <w:rFonts w:cs="Simplified Arabic"/>
          <w:b/>
          <w:bCs/>
          <w:rtl/>
        </w:rPr>
        <w:t>البند 10 -</w:t>
      </w:r>
      <w:r w:rsidRPr="00997CAE">
        <w:rPr>
          <w:rFonts w:cs="Simplified Arabic"/>
          <w:b/>
          <w:bCs/>
          <w:rtl/>
        </w:rPr>
        <w:tab/>
        <w:t>بناء القدرات والتعاون التقني والعلمي</w:t>
      </w:r>
      <w:bookmarkEnd w:id="227"/>
    </w:p>
    <w:p w:rsidR="002A009A" w:rsidRPr="00793E64" w:rsidRDefault="002A009A" w:rsidP="00331677">
      <w:pPr>
        <w:pStyle w:val="ListParagraph"/>
        <w:numPr>
          <w:ilvl w:val="0"/>
          <w:numId w:val="6"/>
        </w:numPr>
        <w:bidi/>
        <w:spacing w:line="216" w:lineRule="auto"/>
        <w:ind w:left="0" w:firstLine="0"/>
        <w:rPr>
          <w:rFonts w:cs="Simplified Arabic"/>
          <w:kern w:val="22"/>
          <w:rtl/>
        </w:rPr>
      </w:pPr>
      <w:r w:rsidRPr="00793E64">
        <w:rPr>
          <w:rFonts w:cs="Simplified Arabic" w:hint="cs"/>
          <w:snapToGrid w:val="0"/>
          <w:kern w:val="22"/>
          <w:rtl/>
        </w:rPr>
        <w:t xml:space="preserve">تناول الفريق العامل الأول البند 10 من جدول الأعمال </w:t>
      </w:r>
      <w:r w:rsidR="00C33F19">
        <w:rPr>
          <w:rFonts w:cs="Simplified Arabic" w:hint="cs"/>
          <w:snapToGrid w:val="0"/>
          <w:kern w:val="22"/>
          <w:rtl/>
        </w:rPr>
        <w:t>في</w:t>
      </w:r>
      <w:r w:rsidRPr="00793E64">
        <w:rPr>
          <w:rFonts w:cs="Simplified Arabic" w:hint="cs"/>
          <w:snapToGrid w:val="0"/>
          <w:kern w:val="22"/>
          <w:rtl/>
        </w:rPr>
        <w:t xml:space="preserve"> جلسته الرابعة</w:t>
      </w:r>
      <w:r w:rsidR="00C33F19">
        <w:rPr>
          <w:rFonts w:cs="Simplified Arabic" w:hint="cs"/>
          <w:snapToGrid w:val="0"/>
          <w:kern w:val="22"/>
          <w:rtl/>
        </w:rPr>
        <w:t>،</w:t>
      </w:r>
      <w:r w:rsidRPr="00793E64">
        <w:rPr>
          <w:rFonts w:cs="Simplified Arabic" w:hint="cs"/>
          <w:snapToGrid w:val="0"/>
          <w:kern w:val="22"/>
          <w:rtl/>
        </w:rPr>
        <w:t xml:space="preserve"> المنعقدة في 19 نوفمبر/تشرين الثاني 2018. </w:t>
      </w:r>
      <w:r w:rsidRPr="00793E64">
        <w:rPr>
          <w:rFonts w:cs="Simplified Arabic"/>
          <w:rtl/>
        </w:rPr>
        <w:t>وكان معروضا على الفريق العامل في غضون نظره في البند تقرير مرحلي عن تنفيذ خطة العمل قصيرة الأجل (20</w:t>
      </w:r>
      <w:r w:rsidRPr="00793E64">
        <w:rPr>
          <w:rFonts w:cs="Simplified Arabic" w:hint="cs"/>
          <w:rtl/>
        </w:rPr>
        <w:t>20</w:t>
      </w:r>
      <w:r w:rsidRPr="00793E64">
        <w:rPr>
          <w:rFonts w:cs="Simplified Arabic"/>
          <w:rtl/>
        </w:rPr>
        <w:t>-20</w:t>
      </w:r>
      <w:r w:rsidRPr="00793E64">
        <w:rPr>
          <w:rFonts w:cs="Simplified Arabic" w:hint="cs"/>
          <w:rtl/>
        </w:rPr>
        <w:t>17</w:t>
      </w:r>
      <w:r w:rsidRPr="00793E64">
        <w:rPr>
          <w:rFonts w:cs="Simplified Arabic"/>
          <w:rtl/>
        </w:rPr>
        <w:t>) لتعزيز ودعم بناء القدرات من أجل تنفيذ الاتفاقية وبروتوكو</w:t>
      </w:r>
      <w:r w:rsidRPr="00793E64">
        <w:rPr>
          <w:rFonts w:cs="Simplified Arabic" w:hint="cs"/>
          <w:rtl/>
        </w:rPr>
        <w:t xml:space="preserve">ليها </w:t>
      </w:r>
      <w:r w:rsidRPr="00793E64">
        <w:rPr>
          <w:rFonts w:cs="Simplified Arabic"/>
          <w:kern w:val="22"/>
        </w:rPr>
        <w:t>(CBD/COP/14/INF/10)</w:t>
      </w:r>
      <w:r w:rsidRPr="00793E64">
        <w:rPr>
          <w:rFonts w:cs="Simplified Arabic" w:hint="cs"/>
          <w:kern w:val="22"/>
          <w:rtl/>
        </w:rPr>
        <w:t xml:space="preserve">، </w:t>
      </w:r>
      <w:r w:rsidRPr="00793E64">
        <w:rPr>
          <w:rFonts w:cs="Simplified Arabic"/>
          <w:kern w:val="22"/>
          <w:rtl/>
        </w:rPr>
        <w:t>و</w:t>
      </w:r>
      <w:r w:rsidRPr="00793E64">
        <w:rPr>
          <w:rFonts w:cs="Simplified Arabic"/>
          <w:rtl/>
        </w:rPr>
        <w:t>تقرير عن منتدى المبادرة العالمية للتصنيف: "إزالة العوائق التصنيفية لجميع المواطنين"</w:t>
      </w:r>
      <w:r w:rsidRPr="00793E64">
        <w:rPr>
          <w:rFonts w:cs="Simplified Arabic" w:hint="cs"/>
          <w:rtl/>
        </w:rPr>
        <w:t xml:space="preserve"> </w:t>
      </w:r>
      <w:r w:rsidRPr="00793E64">
        <w:rPr>
          <w:rFonts w:cs="Simplified Arabic"/>
        </w:rPr>
        <w:t>(CBD/COP/14/INF/12/Add.1)</w:t>
      </w:r>
      <w:r w:rsidRPr="00793E64">
        <w:rPr>
          <w:rFonts w:cs="Simplified Arabic" w:hint="cs"/>
          <w:rtl/>
        </w:rPr>
        <w:t xml:space="preserve">؛ </w:t>
      </w:r>
      <w:r w:rsidRPr="00793E64">
        <w:rPr>
          <w:rFonts w:cs="Simplified Arabic"/>
          <w:kern w:val="22"/>
          <w:rtl/>
        </w:rPr>
        <w:t>و</w:t>
      </w:r>
      <w:r w:rsidRPr="00793E64">
        <w:rPr>
          <w:rFonts w:cs="Simplified Arabic" w:hint="cs"/>
          <w:rtl/>
        </w:rPr>
        <w:t>تقرير</w:t>
      </w:r>
      <w:r w:rsidRPr="00793E64">
        <w:rPr>
          <w:rFonts w:cs="Simplified Arabic"/>
          <w:rtl/>
        </w:rPr>
        <w:t xml:space="preserve"> </w:t>
      </w:r>
      <w:r w:rsidRPr="00793E64">
        <w:rPr>
          <w:rFonts w:cs="Simplified Arabic" w:hint="cs"/>
          <w:rtl/>
        </w:rPr>
        <w:t>مرحلي</w:t>
      </w:r>
      <w:r w:rsidRPr="00793E64">
        <w:rPr>
          <w:rFonts w:cs="Simplified Arabic"/>
          <w:rtl/>
        </w:rPr>
        <w:t xml:space="preserve"> </w:t>
      </w:r>
      <w:r w:rsidRPr="00793E64">
        <w:rPr>
          <w:rFonts w:cs="Simplified Arabic" w:hint="cs"/>
          <w:rtl/>
        </w:rPr>
        <w:t>عن</w:t>
      </w:r>
      <w:r w:rsidRPr="00793E64">
        <w:rPr>
          <w:rFonts w:cs="Simplified Arabic"/>
          <w:rtl/>
        </w:rPr>
        <w:t xml:space="preserve"> </w:t>
      </w:r>
      <w:r w:rsidRPr="00793E64">
        <w:rPr>
          <w:rFonts w:cs="Simplified Arabic" w:hint="cs"/>
          <w:rtl/>
        </w:rPr>
        <w:t>التعاون</w:t>
      </w:r>
      <w:r w:rsidRPr="00793E64">
        <w:rPr>
          <w:rFonts w:cs="Simplified Arabic"/>
          <w:rtl/>
        </w:rPr>
        <w:t xml:space="preserve"> </w:t>
      </w:r>
      <w:r w:rsidRPr="00793E64">
        <w:rPr>
          <w:rFonts w:cs="Simplified Arabic" w:hint="cs"/>
          <w:rtl/>
        </w:rPr>
        <w:t>التقني</w:t>
      </w:r>
      <w:r w:rsidRPr="00793E64">
        <w:rPr>
          <w:rFonts w:cs="Simplified Arabic"/>
          <w:rtl/>
        </w:rPr>
        <w:t xml:space="preserve"> </w:t>
      </w:r>
      <w:r w:rsidRPr="00793E64">
        <w:rPr>
          <w:rFonts w:cs="Simplified Arabic" w:hint="cs"/>
          <w:rtl/>
        </w:rPr>
        <w:t>والعلمي</w:t>
      </w:r>
      <w:r w:rsidR="00C33F19">
        <w:rPr>
          <w:rFonts w:cs="Simplified Arabic" w:hint="cs"/>
          <w:rtl/>
        </w:rPr>
        <w:t xml:space="preserve"> </w:t>
      </w:r>
      <w:r w:rsidRPr="00793E64">
        <w:rPr>
          <w:rFonts w:cs="Simplified Arabic"/>
        </w:rPr>
        <w:t xml:space="preserve"> </w:t>
      </w:r>
      <w:r w:rsidRPr="00793E64">
        <w:rPr>
          <w:rFonts w:cs="Simplified Arabic"/>
          <w:kern w:val="22"/>
        </w:rPr>
        <w:t>.(CBD/COP/14/INF/23)</w:t>
      </w:r>
      <w:r w:rsidRPr="00793E64">
        <w:rPr>
          <w:rFonts w:cs="Simplified Arabic"/>
          <w:kern w:val="22"/>
          <w:rtl/>
        </w:rPr>
        <w:t xml:space="preserve">كما كان معروضا على الفريق </w:t>
      </w:r>
      <w:r w:rsidR="00331677">
        <w:rPr>
          <w:rFonts w:cs="Simplified Arabic" w:hint="cs"/>
          <w:kern w:val="22"/>
          <w:rtl/>
        </w:rPr>
        <w:t xml:space="preserve">العامل </w:t>
      </w:r>
      <w:r w:rsidRPr="00793E64">
        <w:rPr>
          <w:rFonts w:cs="Simplified Arabic"/>
          <w:kern w:val="22"/>
          <w:rtl/>
        </w:rPr>
        <w:t>مشروع مقرر مستمد من</w:t>
      </w:r>
      <w:r w:rsidRPr="00793E64">
        <w:rPr>
          <w:rFonts w:cs="Simplified Arabic" w:hint="cs"/>
          <w:rtl/>
        </w:rPr>
        <w:t xml:space="preserve"> </w:t>
      </w:r>
      <w:r w:rsidR="00331677">
        <w:rPr>
          <w:rFonts w:cs="Simplified Arabic" w:hint="cs"/>
          <w:rtl/>
        </w:rPr>
        <w:t>ال</w:t>
      </w:r>
      <w:r w:rsidRPr="00793E64">
        <w:rPr>
          <w:rFonts w:cs="Simplified Arabic" w:hint="cs"/>
          <w:rtl/>
        </w:rPr>
        <w:t xml:space="preserve">توصية </w:t>
      </w:r>
      <w:r w:rsidR="00331677">
        <w:rPr>
          <w:rFonts w:cs="Simplified Arabic" w:hint="cs"/>
          <w:rtl/>
        </w:rPr>
        <w:t>2/8 ل</w:t>
      </w:r>
      <w:r w:rsidRPr="00793E64">
        <w:rPr>
          <w:rFonts w:cs="Simplified Arabic" w:hint="cs"/>
          <w:rtl/>
        </w:rPr>
        <w:t>لهيئة الفرعية للتنفيذ</w:t>
      </w:r>
      <w:r w:rsidRPr="00793E64">
        <w:rPr>
          <w:rFonts w:cs="Simplified Arabic" w:hint="cs"/>
          <w:kern w:val="22"/>
          <w:rtl/>
        </w:rPr>
        <w:t xml:space="preserve">، </w:t>
      </w:r>
      <w:r w:rsidRPr="00793E64">
        <w:rPr>
          <w:rFonts w:cs="Simplified Arabic"/>
          <w:i/>
          <w:kern w:val="22"/>
          <w:rtl/>
        </w:rPr>
        <w:t>الم</w:t>
      </w:r>
      <w:r w:rsidRPr="00793E64">
        <w:rPr>
          <w:rFonts w:cs="Simplified Arabic" w:hint="cs"/>
          <w:i/>
          <w:kern w:val="22"/>
          <w:rtl/>
        </w:rPr>
        <w:t>بين</w:t>
      </w:r>
      <w:r w:rsidRPr="00793E64">
        <w:rPr>
          <w:rFonts w:cs="Simplified Arabic"/>
          <w:i/>
          <w:kern w:val="22"/>
          <w:rtl/>
        </w:rPr>
        <w:t>ة في تجميع مشاريع المقررات</w:t>
      </w:r>
      <w:r w:rsidRPr="00793E64">
        <w:rPr>
          <w:rFonts w:cs="Simplified Arabic" w:hint="cs"/>
          <w:i/>
          <w:kern w:val="22"/>
          <w:rtl/>
        </w:rPr>
        <w:t xml:space="preserve"> </w:t>
      </w:r>
      <w:r w:rsidRPr="00793E64">
        <w:rPr>
          <w:rFonts w:cs="Simplified Arabic"/>
          <w:kern w:val="22"/>
        </w:rPr>
        <w:t>(CBD/COP/14/2)</w:t>
      </w:r>
      <w:r w:rsidRPr="00793E64">
        <w:rPr>
          <w:rFonts w:cs="Simplified Arabic" w:hint="cs"/>
          <w:kern w:val="22"/>
          <w:rtl/>
        </w:rPr>
        <w:t xml:space="preserve">. </w:t>
      </w:r>
      <w:r w:rsidRPr="00793E64">
        <w:rPr>
          <w:rFonts w:cs="Simplified Arabic"/>
          <w:kern w:val="22"/>
          <w:rtl/>
        </w:rPr>
        <w:t>وفي هذا الصدد،</w:t>
      </w:r>
      <w:r w:rsidRPr="00793E64">
        <w:rPr>
          <w:rFonts w:cs="Simplified Arabic" w:hint="cs"/>
          <w:kern w:val="22"/>
          <w:rtl/>
        </w:rPr>
        <w:t xml:space="preserve"> </w:t>
      </w:r>
      <w:r w:rsidRPr="00793E64">
        <w:rPr>
          <w:rFonts w:cs="Simplified Arabic"/>
          <w:kern w:val="22"/>
          <w:rtl/>
        </w:rPr>
        <w:t>قال</w:t>
      </w:r>
      <w:r w:rsidRPr="00793E64">
        <w:rPr>
          <w:rFonts w:cs="Simplified Arabic" w:hint="cs"/>
          <w:kern w:val="22"/>
          <w:rtl/>
        </w:rPr>
        <w:t>ت</w:t>
      </w:r>
      <w:r w:rsidRPr="00793E64">
        <w:rPr>
          <w:rFonts w:cs="Simplified Arabic"/>
          <w:kern w:val="22"/>
          <w:rtl/>
        </w:rPr>
        <w:t xml:space="preserve"> ممثل</w:t>
      </w:r>
      <w:r w:rsidRPr="00793E64">
        <w:rPr>
          <w:rFonts w:cs="Simplified Arabic" w:hint="cs"/>
          <w:kern w:val="22"/>
          <w:rtl/>
        </w:rPr>
        <w:t>ة</w:t>
      </w:r>
      <w:r w:rsidRPr="00793E64">
        <w:rPr>
          <w:rFonts w:cs="Simplified Arabic"/>
          <w:kern w:val="22"/>
          <w:rtl/>
        </w:rPr>
        <w:t xml:space="preserve"> </w:t>
      </w:r>
      <w:r w:rsidRPr="00793E64">
        <w:rPr>
          <w:rFonts w:cs="Simplified Arabic" w:hint="cs"/>
          <w:kern w:val="22"/>
          <w:rtl/>
        </w:rPr>
        <w:t>ع</w:t>
      </w:r>
      <w:r w:rsidRPr="00793E64">
        <w:rPr>
          <w:rFonts w:cs="Simplified Arabic"/>
          <w:kern w:val="22"/>
          <w:rtl/>
        </w:rPr>
        <w:t xml:space="preserve">ن الأمانة إن </w:t>
      </w:r>
      <w:r w:rsidRPr="00793E64">
        <w:rPr>
          <w:rFonts w:cs="Simplified Arabic" w:hint="cs"/>
          <w:kern w:val="22"/>
          <w:rtl/>
        </w:rPr>
        <w:t xml:space="preserve">مشروع </w:t>
      </w:r>
      <w:r w:rsidRPr="00793E64">
        <w:rPr>
          <w:rFonts w:cs="Simplified Arabic"/>
          <w:kern w:val="22"/>
          <w:rtl/>
        </w:rPr>
        <w:t xml:space="preserve">اختصاصات </w:t>
      </w:r>
      <w:r w:rsidRPr="00793E64">
        <w:rPr>
          <w:rFonts w:cs="Simplified Arabic" w:hint="cs"/>
          <w:kern w:val="22"/>
          <w:rtl/>
        </w:rPr>
        <w:t>اللجنة الاستشارية غير الرسمية المعنية بالتعاون التقني والعلمي</w:t>
      </w:r>
      <w:r w:rsidR="00331677">
        <w:rPr>
          <w:rFonts w:cs="Simplified Arabic" w:hint="cs"/>
          <w:kern w:val="22"/>
          <w:rtl/>
        </w:rPr>
        <w:t>،</w:t>
      </w:r>
      <w:r w:rsidRPr="00793E64">
        <w:rPr>
          <w:rFonts w:cs="Simplified Arabic" w:hint="cs"/>
          <w:kern w:val="22"/>
          <w:rtl/>
        </w:rPr>
        <w:t xml:space="preserve"> التي أدرجت عن غير عمد في المرفق الثاني من الوثيقة</w:t>
      </w:r>
      <w:r w:rsidRPr="00793E64">
        <w:rPr>
          <w:rFonts w:cs="Simplified Arabic"/>
          <w:kern w:val="22"/>
          <w:rtl/>
        </w:rPr>
        <w:t xml:space="preserve">، ينبغي </w:t>
      </w:r>
      <w:r w:rsidRPr="00793E64">
        <w:rPr>
          <w:rFonts w:cs="Simplified Arabic" w:hint="cs"/>
          <w:kern w:val="22"/>
          <w:rtl/>
        </w:rPr>
        <w:t>التغاضي</w:t>
      </w:r>
      <w:r w:rsidRPr="00793E64">
        <w:rPr>
          <w:rFonts w:cs="Simplified Arabic"/>
          <w:kern w:val="22"/>
          <w:rtl/>
        </w:rPr>
        <w:t xml:space="preserve"> </w:t>
      </w:r>
      <w:r w:rsidRPr="00793E64">
        <w:rPr>
          <w:rFonts w:cs="Simplified Arabic" w:hint="cs"/>
          <w:kern w:val="22"/>
          <w:rtl/>
        </w:rPr>
        <w:t>عن</w:t>
      </w:r>
      <w:r w:rsidRPr="00793E64">
        <w:rPr>
          <w:rFonts w:cs="Simplified Arabic"/>
          <w:kern w:val="22"/>
          <w:rtl/>
        </w:rPr>
        <w:t xml:space="preserve">ها حيث </w:t>
      </w:r>
      <w:r w:rsidRPr="00793E64">
        <w:rPr>
          <w:rFonts w:cs="Simplified Arabic" w:hint="cs"/>
          <w:kern w:val="22"/>
          <w:rtl/>
        </w:rPr>
        <w:t>إ</w:t>
      </w:r>
      <w:r w:rsidRPr="00793E64">
        <w:rPr>
          <w:rFonts w:cs="Simplified Arabic"/>
          <w:kern w:val="22"/>
          <w:rtl/>
        </w:rPr>
        <w:t>ن هذه ال</w:t>
      </w:r>
      <w:r w:rsidR="00331677">
        <w:rPr>
          <w:rFonts w:cs="Simplified Arabic" w:hint="cs"/>
          <w:kern w:val="22"/>
          <w:rtl/>
        </w:rPr>
        <w:t>اختصاصات</w:t>
      </w:r>
      <w:r w:rsidRPr="00793E64">
        <w:rPr>
          <w:rFonts w:cs="Simplified Arabic"/>
          <w:kern w:val="22"/>
          <w:rtl/>
        </w:rPr>
        <w:t xml:space="preserve"> سيتم </w:t>
      </w:r>
      <w:r w:rsidRPr="00793E64">
        <w:rPr>
          <w:rFonts w:cs="Simplified Arabic" w:hint="cs"/>
          <w:kern w:val="22"/>
          <w:rtl/>
        </w:rPr>
        <w:t>استعراض</w:t>
      </w:r>
      <w:r w:rsidRPr="00793E64">
        <w:rPr>
          <w:rFonts w:cs="Simplified Arabic"/>
          <w:kern w:val="22"/>
          <w:rtl/>
        </w:rPr>
        <w:t>ها مرة أخرى وتقديمها بدلاً من ذلك إلى مؤتمر الأطراف في اجتماعه الخامس عشر.</w:t>
      </w:r>
    </w:p>
    <w:p w:rsidR="002A009A" w:rsidRPr="00793E64" w:rsidRDefault="002A009A" w:rsidP="00331677">
      <w:pPr>
        <w:pStyle w:val="ListParagraph"/>
        <w:numPr>
          <w:ilvl w:val="0"/>
          <w:numId w:val="6"/>
        </w:numPr>
        <w:bidi/>
        <w:spacing w:line="216" w:lineRule="auto"/>
        <w:ind w:left="0" w:firstLine="0"/>
        <w:rPr>
          <w:rFonts w:cs="Simplified Arabic"/>
          <w:kern w:val="22"/>
        </w:rPr>
      </w:pPr>
      <w:r w:rsidRPr="00793E64">
        <w:rPr>
          <w:rFonts w:cs="Simplified Arabic" w:hint="cs"/>
          <w:kern w:val="22"/>
          <w:rtl/>
        </w:rPr>
        <w:t>و</w:t>
      </w:r>
      <w:r w:rsidRPr="00793E64">
        <w:rPr>
          <w:rFonts w:cs="Simplified Arabic"/>
          <w:kern w:val="22"/>
          <w:rtl/>
        </w:rPr>
        <w:t xml:space="preserve">وافق الفريق العامل على أن ينظر في إطار هذا البند في الفرعين الأول والثاني </w:t>
      </w:r>
      <w:r w:rsidR="00331677">
        <w:rPr>
          <w:rFonts w:cs="Simplified Arabic" w:hint="cs"/>
          <w:kern w:val="22"/>
          <w:rtl/>
        </w:rPr>
        <w:t xml:space="preserve">فقط </w:t>
      </w:r>
      <w:r w:rsidRPr="00793E64">
        <w:rPr>
          <w:rFonts w:cs="Simplified Arabic"/>
          <w:kern w:val="22"/>
          <w:rtl/>
        </w:rPr>
        <w:t>من مشروع المقرر، المتعلق</w:t>
      </w:r>
      <w:r w:rsidRPr="00793E64">
        <w:rPr>
          <w:rFonts w:cs="Simplified Arabic" w:hint="cs"/>
          <w:kern w:val="22"/>
          <w:rtl/>
        </w:rPr>
        <w:t>ي</w:t>
      </w:r>
      <w:r w:rsidRPr="00793E64">
        <w:rPr>
          <w:rFonts w:cs="Simplified Arabic"/>
          <w:kern w:val="22"/>
          <w:rtl/>
        </w:rPr>
        <w:t xml:space="preserve">ن، على التوالي، ببناء القدرات والتعاون التقني والعلمي، وأن ينظر في الجزء الثالث من مشروع المقرر، فيما يتعلق </w:t>
      </w:r>
      <w:r w:rsidRPr="00793E64">
        <w:rPr>
          <w:rFonts w:cs="Simplified Arabic" w:hint="cs"/>
          <w:kern w:val="22"/>
          <w:rtl/>
        </w:rPr>
        <w:t>ب</w:t>
      </w:r>
      <w:r w:rsidRPr="00793E64">
        <w:rPr>
          <w:rFonts w:cs="Simplified Arabic"/>
          <w:kern w:val="22"/>
          <w:rtl/>
        </w:rPr>
        <w:t>آلية تبادل المعلومات، في إطار البند 11 (إدارة المعارف والاتصال).</w:t>
      </w:r>
    </w:p>
    <w:p w:rsidR="002A009A" w:rsidRPr="00793E64" w:rsidRDefault="002A009A" w:rsidP="00FF7FA5">
      <w:pPr>
        <w:pStyle w:val="ListParagraph"/>
        <w:numPr>
          <w:ilvl w:val="0"/>
          <w:numId w:val="6"/>
        </w:numPr>
        <w:bidi/>
        <w:spacing w:line="216" w:lineRule="auto"/>
        <w:ind w:left="0" w:firstLine="0"/>
        <w:rPr>
          <w:rFonts w:cs="Simplified Arabic"/>
          <w:kern w:val="22"/>
        </w:rPr>
      </w:pPr>
      <w:r w:rsidRPr="00793E64">
        <w:rPr>
          <w:rFonts w:cs="Simplified Arabic"/>
          <w:kern w:val="22"/>
          <w:rtl/>
        </w:rPr>
        <w:t>وأدلى ببيانات ممثلو كمبوديا</w:t>
      </w:r>
      <w:r w:rsidR="00AD71BF">
        <w:rPr>
          <w:rFonts w:cs="Simplified Arabic" w:hint="cs"/>
          <w:kern w:val="22"/>
          <w:rtl/>
        </w:rPr>
        <w:t>،</w:t>
      </w:r>
      <w:r w:rsidRPr="00793E64">
        <w:rPr>
          <w:rFonts w:cs="Simplified Arabic" w:hint="cs"/>
          <w:kern w:val="22"/>
          <w:rtl/>
        </w:rPr>
        <w:t xml:space="preserve"> وا</w:t>
      </w:r>
      <w:r w:rsidRPr="00793E64">
        <w:rPr>
          <w:rFonts w:cs="Simplified Arabic"/>
          <w:kern w:val="22"/>
          <w:rtl/>
        </w:rPr>
        <w:t>لكاميرون</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كولومبيا</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الكونغو</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كوستاريكا</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إكوادور</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مصر</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 xml:space="preserve">الاتحاد الأوروبي ودوله الأعضاء </w:t>
      </w:r>
      <w:r w:rsidR="00ED4C91">
        <w:rPr>
          <w:rFonts w:cs="Simplified Arabic" w:hint="cs"/>
          <w:kern w:val="22"/>
          <w:rtl/>
        </w:rPr>
        <w:t>الثماني والعشرين</w:t>
      </w:r>
      <w:r w:rsidR="00AD71BF">
        <w:rPr>
          <w:rFonts w:cs="Simplified Arabic" w:hint="cs"/>
          <w:kern w:val="22"/>
          <w:rtl/>
        </w:rPr>
        <w:t>،</w:t>
      </w:r>
      <w:r w:rsidRPr="00793E64">
        <w:rPr>
          <w:rFonts w:cs="Simplified Arabic" w:hint="cs"/>
          <w:kern w:val="22"/>
          <w:rtl/>
        </w:rPr>
        <w:t xml:space="preserve"> و</w:t>
      </w:r>
      <w:r w:rsidRPr="00793E64">
        <w:rPr>
          <w:rFonts w:cs="Simplified Arabic"/>
          <w:kern w:val="22"/>
          <w:rtl/>
        </w:rPr>
        <w:t>غانا</w:t>
      </w:r>
      <w:r w:rsidR="00331677">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غواتيمالا</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الهند</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إيران (جمهورية - الإسلامية)</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كينيا</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لبنان</w:t>
      </w:r>
      <w:r w:rsidR="00AD71BF">
        <w:rPr>
          <w:rFonts w:cs="Simplified Arabic" w:hint="cs"/>
          <w:kern w:val="22"/>
          <w:rtl/>
        </w:rPr>
        <w:t>،</w:t>
      </w:r>
      <w:r w:rsidRPr="00793E64">
        <w:rPr>
          <w:rFonts w:cs="Simplified Arabic"/>
          <w:kern w:val="22"/>
          <w:rtl/>
        </w:rPr>
        <w:t xml:space="preserve"> </w:t>
      </w:r>
      <w:r w:rsidRPr="00793E64">
        <w:rPr>
          <w:rFonts w:cs="Simplified Arabic" w:hint="cs"/>
          <w:kern w:val="22"/>
          <w:rtl/>
        </w:rPr>
        <w:t>و</w:t>
      </w:r>
      <w:r w:rsidRPr="00793E64">
        <w:rPr>
          <w:rFonts w:cs="Simplified Arabic"/>
          <w:kern w:val="22"/>
          <w:rtl/>
        </w:rPr>
        <w:t>مالي</w:t>
      </w:r>
      <w:r w:rsidR="00AD71BF">
        <w:rPr>
          <w:rFonts w:cs="Simplified Arabic" w:hint="cs"/>
          <w:kern w:val="22"/>
          <w:rtl/>
        </w:rPr>
        <w:t>،</w:t>
      </w:r>
      <w:r w:rsidRPr="00793E64">
        <w:rPr>
          <w:rFonts w:cs="Simplified Arabic"/>
          <w:kern w:val="22"/>
          <w:rtl/>
        </w:rPr>
        <w:t xml:space="preserve"> والمغرب</w:t>
      </w:r>
      <w:r w:rsidR="00AD71BF">
        <w:rPr>
          <w:rFonts w:cs="Simplified Arabic" w:hint="cs"/>
          <w:kern w:val="22"/>
          <w:rtl/>
        </w:rPr>
        <w:t>،</w:t>
      </w:r>
      <w:r w:rsidRPr="00793E64">
        <w:rPr>
          <w:rFonts w:cs="Simplified Arabic"/>
          <w:kern w:val="22"/>
          <w:rtl/>
        </w:rPr>
        <w:t xml:space="preserve"> وناميبيا (بالنيابة عن المجموعة الأفريقية)</w:t>
      </w:r>
      <w:r w:rsidR="00AD71BF">
        <w:rPr>
          <w:rFonts w:cs="Simplified Arabic" w:hint="cs"/>
          <w:kern w:val="22"/>
          <w:rtl/>
        </w:rPr>
        <w:t>،</w:t>
      </w:r>
      <w:r w:rsidRPr="00793E64">
        <w:rPr>
          <w:rFonts w:cs="Simplified Arabic"/>
          <w:kern w:val="22"/>
          <w:rtl/>
        </w:rPr>
        <w:t xml:space="preserve"> والنرويج</w:t>
      </w:r>
      <w:r w:rsidR="00AD71BF">
        <w:rPr>
          <w:rFonts w:cs="Simplified Arabic" w:hint="cs"/>
          <w:kern w:val="22"/>
          <w:rtl/>
        </w:rPr>
        <w:t>،</w:t>
      </w:r>
      <w:r w:rsidRPr="00793E64">
        <w:rPr>
          <w:rFonts w:cs="Simplified Arabic"/>
          <w:kern w:val="22"/>
          <w:rtl/>
        </w:rPr>
        <w:t xml:space="preserve"> وجنوب أفريقيا</w:t>
      </w:r>
      <w:r w:rsidR="00AD71BF">
        <w:rPr>
          <w:rFonts w:cs="Simplified Arabic" w:hint="cs"/>
          <w:kern w:val="22"/>
          <w:rtl/>
        </w:rPr>
        <w:t>،</w:t>
      </w:r>
      <w:r w:rsidRPr="00793E64">
        <w:rPr>
          <w:rFonts w:cs="Simplified Arabic"/>
          <w:kern w:val="22"/>
          <w:rtl/>
        </w:rPr>
        <w:t xml:space="preserve"> وأوغندا وجمهورية تنزانيا المتحدة.</w:t>
      </w:r>
    </w:p>
    <w:p w:rsidR="002A009A" w:rsidRPr="00793E64" w:rsidRDefault="002A009A" w:rsidP="00331677">
      <w:pPr>
        <w:pStyle w:val="ListParagraph"/>
        <w:numPr>
          <w:ilvl w:val="0"/>
          <w:numId w:val="6"/>
        </w:numPr>
        <w:bidi/>
        <w:spacing w:line="216" w:lineRule="auto"/>
        <w:ind w:left="0" w:firstLine="0"/>
        <w:rPr>
          <w:rFonts w:cs="Simplified Arabic"/>
          <w:kern w:val="22"/>
        </w:rPr>
      </w:pPr>
      <w:r w:rsidRPr="00793E64">
        <w:rPr>
          <w:rFonts w:cs="Simplified Arabic"/>
          <w:kern w:val="22"/>
          <w:rtl/>
        </w:rPr>
        <w:t xml:space="preserve">وأدلى ببيانات أيضا ممثلو </w:t>
      </w:r>
      <w:r w:rsidR="00331677">
        <w:rPr>
          <w:rFonts w:cs="Simplified Arabic" w:hint="cs"/>
          <w:kern w:val="22"/>
          <w:rtl/>
        </w:rPr>
        <w:t>ال</w:t>
      </w:r>
      <w:r w:rsidRPr="00793E64">
        <w:rPr>
          <w:rFonts w:cs="Simplified Arabic"/>
          <w:kern w:val="22"/>
          <w:rtl/>
        </w:rPr>
        <w:t xml:space="preserve">مرفق </w:t>
      </w:r>
      <w:r w:rsidR="00331677">
        <w:rPr>
          <w:rFonts w:cs="Simplified Arabic" w:hint="cs"/>
          <w:kern w:val="22"/>
          <w:rtl/>
        </w:rPr>
        <w:t>العالمي ل</w:t>
      </w:r>
      <w:r w:rsidRPr="00793E64">
        <w:rPr>
          <w:rFonts w:cs="Simplified Arabic"/>
          <w:kern w:val="22"/>
          <w:rtl/>
        </w:rPr>
        <w:t xml:space="preserve">معلومات التنوع البيولوجي </w:t>
      </w:r>
      <w:r w:rsidRPr="002D6647">
        <w:rPr>
          <w:kern w:val="22"/>
          <w:szCs w:val="22"/>
          <w:rtl/>
        </w:rPr>
        <w:t>(</w:t>
      </w:r>
      <w:r w:rsidRPr="002D6647">
        <w:rPr>
          <w:kern w:val="22"/>
          <w:szCs w:val="22"/>
        </w:rPr>
        <w:t>GBIF</w:t>
      </w:r>
      <w:r w:rsidRPr="002D6647">
        <w:rPr>
          <w:kern w:val="22"/>
          <w:szCs w:val="22"/>
          <w:rtl/>
        </w:rPr>
        <w:t>)</w:t>
      </w:r>
      <w:r w:rsidRPr="00793E64">
        <w:rPr>
          <w:rFonts w:cs="Simplified Arabic"/>
          <w:kern w:val="22"/>
          <w:rtl/>
        </w:rPr>
        <w:t xml:space="preserve">، ومعهد البلدان الأمريكية للتعاون في الزراعة </w:t>
      </w:r>
      <w:r w:rsidRPr="002D6647">
        <w:rPr>
          <w:kern w:val="22"/>
          <w:szCs w:val="22"/>
          <w:rtl/>
        </w:rPr>
        <w:t>(</w:t>
      </w:r>
      <w:r w:rsidRPr="002D6647">
        <w:rPr>
          <w:kern w:val="22"/>
          <w:szCs w:val="22"/>
        </w:rPr>
        <w:t>IICA</w:t>
      </w:r>
      <w:r w:rsidRPr="002D6647">
        <w:rPr>
          <w:kern w:val="22"/>
          <w:szCs w:val="22"/>
          <w:rtl/>
        </w:rPr>
        <w:t>)</w:t>
      </w:r>
      <w:r w:rsidRPr="00793E64">
        <w:rPr>
          <w:rFonts w:cs="Simplified Arabic"/>
          <w:kern w:val="22"/>
          <w:rtl/>
        </w:rPr>
        <w:t xml:space="preserve">، والمنتدى الدولي للشعوب الأصلية المعني بالتنوع البيولوجي </w:t>
      </w:r>
      <w:r w:rsidRPr="002D6647">
        <w:rPr>
          <w:kern w:val="22"/>
          <w:szCs w:val="22"/>
          <w:rtl/>
        </w:rPr>
        <w:t>(</w:t>
      </w:r>
      <w:r w:rsidRPr="002D6647">
        <w:rPr>
          <w:kern w:val="22"/>
          <w:szCs w:val="22"/>
        </w:rPr>
        <w:t>IIFB</w:t>
      </w:r>
      <w:r w:rsidRPr="002D6647">
        <w:rPr>
          <w:kern w:val="22"/>
          <w:szCs w:val="22"/>
          <w:rtl/>
        </w:rPr>
        <w:t>)</w:t>
      </w:r>
      <w:r w:rsidRPr="00793E64">
        <w:rPr>
          <w:rFonts w:cs="Simplified Arabic"/>
          <w:kern w:val="22"/>
          <w:rtl/>
        </w:rPr>
        <w:t>، وال</w:t>
      </w:r>
      <w:r w:rsidRPr="00793E64">
        <w:rPr>
          <w:rFonts w:cs="Simplified Arabic" w:hint="cs"/>
          <w:kern w:val="22"/>
          <w:rtl/>
        </w:rPr>
        <w:t>دائرة</w:t>
      </w:r>
      <w:r w:rsidRPr="00793E64">
        <w:rPr>
          <w:rFonts w:cs="Simplified Arabic"/>
          <w:kern w:val="22"/>
          <w:rtl/>
        </w:rPr>
        <w:t xml:space="preserve"> الدولية </w:t>
      </w:r>
      <w:r w:rsidRPr="00793E64">
        <w:rPr>
          <w:rFonts w:cs="Simplified Arabic" w:hint="cs"/>
          <w:kern w:val="22"/>
          <w:rtl/>
        </w:rPr>
        <w:t>لحيازة</w:t>
      </w:r>
      <w:r w:rsidRPr="00793E64">
        <w:rPr>
          <w:rFonts w:cs="Simplified Arabic"/>
          <w:kern w:val="22"/>
          <w:rtl/>
        </w:rPr>
        <w:t xml:space="preserve"> تطبيقات التكنولوجيا الأحيائية الزراعية </w:t>
      </w:r>
      <w:r w:rsidRPr="002D6647">
        <w:rPr>
          <w:kern w:val="22"/>
          <w:szCs w:val="22"/>
          <w:rtl/>
        </w:rPr>
        <w:t>(</w:t>
      </w:r>
      <w:r w:rsidRPr="002D6647">
        <w:rPr>
          <w:kern w:val="22"/>
          <w:szCs w:val="22"/>
        </w:rPr>
        <w:t>ISAAA</w:t>
      </w:r>
      <w:r w:rsidRPr="002D6647">
        <w:rPr>
          <w:kern w:val="22"/>
          <w:szCs w:val="22"/>
          <w:rtl/>
        </w:rPr>
        <w:t>)</w:t>
      </w:r>
      <w:r w:rsidRPr="00793E64">
        <w:rPr>
          <w:rFonts w:cs="Simplified Arabic"/>
          <w:kern w:val="22"/>
          <w:rtl/>
        </w:rPr>
        <w:t xml:space="preserve">، واللجنة الدولية لصيد الحيتان </w:t>
      </w:r>
      <w:r w:rsidRPr="002D6647">
        <w:rPr>
          <w:kern w:val="22"/>
          <w:szCs w:val="22"/>
          <w:rtl/>
        </w:rPr>
        <w:t>(</w:t>
      </w:r>
      <w:r w:rsidRPr="002D6647">
        <w:rPr>
          <w:kern w:val="22"/>
          <w:szCs w:val="22"/>
        </w:rPr>
        <w:t>IWC</w:t>
      </w:r>
      <w:r w:rsidRPr="002D6647">
        <w:rPr>
          <w:kern w:val="22"/>
          <w:szCs w:val="22"/>
          <w:rtl/>
        </w:rPr>
        <w:t>)</w:t>
      </w:r>
      <w:r w:rsidRPr="00793E64">
        <w:rPr>
          <w:rFonts w:cs="Simplified Arabic"/>
          <w:kern w:val="22"/>
          <w:rtl/>
        </w:rPr>
        <w:t xml:space="preserve"> والاتحاد الدولي لحفظ الطبيعة </w:t>
      </w:r>
      <w:r w:rsidRPr="002D6647">
        <w:rPr>
          <w:kern w:val="22"/>
          <w:szCs w:val="22"/>
          <w:rtl/>
        </w:rPr>
        <w:t>(</w:t>
      </w:r>
      <w:r w:rsidRPr="002D6647">
        <w:rPr>
          <w:kern w:val="22"/>
          <w:szCs w:val="22"/>
        </w:rPr>
        <w:t>IUCN</w:t>
      </w:r>
      <w:r w:rsidRPr="002D6647">
        <w:rPr>
          <w:kern w:val="22"/>
          <w:szCs w:val="22"/>
          <w:rtl/>
        </w:rPr>
        <w:t>)</w:t>
      </w:r>
      <w:r w:rsidRPr="00793E64">
        <w:rPr>
          <w:rFonts w:cs="Simplified Arabic"/>
          <w:kern w:val="22"/>
          <w:rtl/>
        </w:rPr>
        <w:t>.</w:t>
      </w:r>
    </w:p>
    <w:p w:rsidR="002A009A" w:rsidRPr="00793E64" w:rsidRDefault="002A009A" w:rsidP="0080444D">
      <w:pPr>
        <w:pStyle w:val="ListParagraph"/>
        <w:numPr>
          <w:ilvl w:val="0"/>
          <w:numId w:val="6"/>
        </w:numPr>
        <w:bidi/>
        <w:spacing w:line="216" w:lineRule="auto"/>
        <w:ind w:left="0" w:firstLine="0"/>
        <w:rPr>
          <w:rFonts w:cs="Simplified Arabic"/>
          <w:kern w:val="22"/>
          <w:rtl/>
        </w:rPr>
      </w:pPr>
      <w:r w:rsidRPr="00793E64">
        <w:rPr>
          <w:rFonts w:cs="Simplified Arabic" w:hint="cs"/>
          <w:kern w:val="22"/>
          <w:rtl/>
        </w:rPr>
        <w:t>و</w:t>
      </w:r>
      <w:r w:rsidRPr="00793E64">
        <w:rPr>
          <w:rFonts w:cs="Simplified Arabic"/>
          <w:kern w:val="22"/>
          <w:rtl/>
        </w:rPr>
        <w:t xml:space="preserve">قال </w:t>
      </w:r>
      <w:r w:rsidRPr="00793E64">
        <w:rPr>
          <w:rFonts w:cs="Simplified Arabic" w:hint="cs"/>
          <w:kern w:val="22"/>
          <w:rtl/>
        </w:rPr>
        <w:t xml:space="preserve">الرئيس </w:t>
      </w:r>
      <w:r w:rsidRPr="00793E64">
        <w:rPr>
          <w:rFonts w:cs="Simplified Arabic"/>
          <w:kern w:val="22"/>
          <w:rtl/>
        </w:rPr>
        <w:t>إنه سيعد مشروع مقرر منقح بشأن هذه المسألة</w:t>
      </w:r>
      <w:r w:rsidR="00331677">
        <w:rPr>
          <w:rFonts w:cs="Simplified Arabic" w:hint="cs"/>
          <w:kern w:val="22"/>
          <w:rtl/>
        </w:rPr>
        <w:t>،</w:t>
      </w:r>
      <w:r w:rsidRPr="00793E64">
        <w:rPr>
          <w:rFonts w:cs="Simplified Arabic"/>
          <w:kern w:val="22"/>
          <w:rtl/>
        </w:rPr>
        <w:t xml:space="preserve"> مع مراعاة الآراء المعرب عنها شفويا</w:t>
      </w:r>
      <w:r w:rsidR="0080444D">
        <w:rPr>
          <w:rFonts w:cs="Simplified Arabic" w:hint="cs"/>
          <w:kern w:val="22"/>
          <w:rtl/>
        </w:rPr>
        <w:t>ً</w:t>
      </w:r>
      <w:r w:rsidRPr="00793E64">
        <w:rPr>
          <w:rFonts w:cs="Simplified Arabic"/>
          <w:kern w:val="22"/>
          <w:rtl/>
        </w:rPr>
        <w:t xml:space="preserve"> والمقدمة كتاب</w:t>
      </w:r>
      <w:r w:rsidR="0080444D">
        <w:rPr>
          <w:rFonts w:cs="Simplified Arabic" w:hint="cs"/>
          <w:kern w:val="22"/>
          <w:rtl/>
        </w:rPr>
        <w:t>ة</w:t>
      </w:r>
      <w:r w:rsidRPr="00793E64">
        <w:rPr>
          <w:rFonts w:cs="Simplified Arabic"/>
          <w:kern w:val="22"/>
          <w:rtl/>
        </w:rPr>
        <w:t>.</w:t>
      </w:r>
    </w:p>
    <w:p w:rsidR="002A009A" w:rsidRPr="00793E64" w:rsidRDefault="0080444D" w:rsidP="0080444D">
      <w:pPr>
        <w:pStyle w:val="ListParagraph"/>
        <w:numPr>
          <w:ilvl w:val="0"/>
          <w:numId w:val="6"/>
        </w:numPr>
        <w:bidi/>
        <w:spacing w:line="216" w:lineRule="auto"/>
        <w:ind w:left="0" w:firstLine="0"/>
        <w:rPr>
          <w:rFonts w:cs="Simplified Arabic"/>
          <w:kern w:val="22"/>
        </w:rPr>
      </w:pPr>
      <w:r>
        <w:rPr>
          <w:rFonts w:cs="Simplified Arabic" w:hint="cs"/>
          <w:kern w:val="22"/>
          <w:rtl/>
        </w:rPr>
        <w:t xml:space="preserve">وفي </w:t>
      </w:r>
      <w:r w:rsidRPr="00793E64">
        <w:rPr>
          <w:rFonts w:cs="Simplified Arabic"/>
          <w:kern w:val="22"/>
          <w:rtl/>
        </w:rPr>
        <w:t>جلسته الثامنة</w:t>
      </w:r>
      <w:r>
        <w:rPr>
          <w:rFonts w:cs="Simplified Arabic" w:hint="cs"/>
          <w:kern w:val="22"/>
          <w:rtl/>
        </w:rPr>
        <w:t>،</w:t>
      </w:r>
      <w:r w:rsidRPr="00793E64">
        <w:rPr>
          <w:rFonts w:cs="Simplified Arabic"/>
          <w:kern w:val="22"/>
          <w:rtl/>
        </w:rPr>
        <w:t xml:space="preserve"> المنعقدة في 22 </w:t>
      </w:r>
      <w:r>
        <w:rPr>
          <w:rFonts w:cs="Simplified Arabic" w:hint="cs"/>
          <w:kern w:val="22"/>
          <w:rtl/>
        </w:rPr>
        <w:t xml:space="preserve">نوفمبر/تشرين الثاني 2018، </w:t>
      </w:r>
      <w:r w:rsidR="002A009A" w:rsidRPr="00793E64">
        <w:rPr>
          <w:rFonts w:cs="Simplified Arabic"/>
          <w:kern w:val="22"/>
          <w:rtl/>
        </w:rPr>
        <w:t>نظر الفريق العامل في مشروع المقرر المنقح الذي أعده الرئيس.</w:t>
      </w:r>
    </w:p>
    <w:p w:rsidR="002A009A" w:rsidRPr="00793E64" w:rsidRDefault="002A009A" w:rsidP="0080444D">
      <w:pPr>
        <w:pStyle w:val="ListParagraph"/>
        <w:numPr>
          <w:ilvl w:val="0"/>
          <w:numId w:val="6"/>
        </w:numPr>
        <w:bidi/>
        <w:spacing w:line="216" w:lineRule="auto"/>
        <w:ind w:left="0" w:firstLine="0"/>
        <w:rPr>
          <w:rFonts w:cs="Simplified Arabic"/>
        </w:rPr>
      </w:pPr>
      <w:r w:rsidRPr="00793E64">
        <w:rPr>
          <w:rFonts w:cs="Simplified Arabic"/>
          <w:kern w:val="22"/>
          <w:rtl/>
        </w:rPr>
        <w:t xml:space="preserve">وأدلى ببيانات ممثلو </w:t>
      </w:r>
      <w:r w:rsidRPr="00793E64">
        <w:rPr>
          <w:rFonts w:cs="Simplified Arabic"/>
          <w:color w:val="000000"/>
          <w:rtl/>
        </w:rPr>
        <w:t>الأرجنتين</w:t>
      </w:r>
      <w:r w:rsidR="0080444D">
        <w:rPr>
          <w:rFonts w:cs="Simplified Arabic" w:hint="cs"/>
          <w:color w:val="000000"/>
          <w:rtl/>
        </w:rPr>
        <w:t>،</w:t>
      </w:r>
      <w:r w:rsidRPr="00793E64">
        <w:rPr>
          <w:rFonts w:cs="Simplified Arabic"/>
          <w:color w:val="000000"/>
          <w:rtl/>
        </w:rPr>
        <w:t xml:space="preserve"> </w:t>
      </w:r>
      <w:r w:rsidR="0080444D" w:rsidRPr="00793E64">
        <w:rPr>
          <w:rFonts w:cs="Simplified Arabic"/>
          <w:color w:val="000000"/>
          <w:rtl/>
        </w:rPr>
        <w:t>وبنغلاديش</w:t>
      </w:r>
      <w:r w:rsidR="0080444D">
        <w:rPr>
          <w:rFonts w:cs="Simplified Arabic" w:hint="cs"/>
          <w:color w:val="000000"/>
          <w:rtl/>
        </w:rPr>
        <w:t xml:space="preserve">، </w:t>
      </w:r>
      <w:r w:rsidR="0080444D" w:rsidRPr="00793E64">
        <w:rPr>
          <w:rFonts w:cs="Simplified Arabic"/>
          <w:color w:val="000000"/>
          <w:rtl/>
        </w:rPr>
        <w:t>وبيلاروس</w:t>
      </w:r>
      <w:r w:rsidR="0080444D">
        <w:rPr>
          <w:rFonts w:cs="Simplified Arabic" w:hint="cs"/>
          <w:color w:val="000000"/>
          <w:rtl/>
        </w:rPr>
        <w:t xml:space="preserve">، والبرازيل، </w:t>
      </w:r>
      <w:r w:rsidR="0080444D" w:rsidRPr="00793E64">
        <w:rPr>
          <w:rFonts w:cs="Simplified Arabic"/>
          <w:color w:val="000000"/>
          <w:rtl/>
        </w:rPr>
        <w:t>والكاميرون</w:t>
      </w:r>
      <w:r w:rsidR="0080444D">
        <w:rPr>
          <w:rFonts w:cs="Simplified Arabic" w:hint="cs"/>
          <w:color w:val="000000"/>
          <w:rtl/>
        </w:rPr>
        <w:t xml:space="preserve">، </w:t>
      </w:r>
      <w:r w:rsidR="0080444D" w:rsidRPr="00793E64">
        <w:rPr>
          <w:rFonts w:cs="Simplified Arabic"/>
          <w:color w:val="000000"/>
          <w:rtl/>
        </w:rPr>
        <w:t>وكندا</w:t>
      </w:r>
      <w:r w:rsidR="0080444D">
        <w:rPr>
          <w:rFonts w:cs="Simplified Arabic" w:hint="cs"/>
          <w:color w:val="000000"/>
          <w:rtl/>
        </w:rPr>
        <w:t xml:space="preserve">، </w:t>
      </w:r>
      <w:r w:rsidR="0080444D" w:rsidRPr="00793E64">
        <w:rPr>
          <w:rFonts w:cs="Simplified Arabic"/>
          <w:color w:val="000000"/>
          <w:rtl/>
        </w:rPr>
        <w:t>وجمهورية أفريقيا الوسطى</w:t>
      </w:r>
      <w:r w:rsidR="0080444D">
        <w:rPr>
          <w:rFonts w:cs="Simplified Arabic" w:hint="cs"/>
          <w:color w:val="000000"/>
          <w:rtl/>
        </w:rPr>
        <w:t xml:space="preserve">، </w:t>
      </w:r>
      <w:r w:rsidR="0080444D" w:rsidRPr="00793E64">
        <w:rPr>
          <w:rFonts w:cs="Simplified Arabic"/>
          <w:color w:val="000000"/>
          <w:rtl/>
        </w:rPr>
        <w:t>وكولومبيا</w:t>
      </w:r>
      <w:r w:rsidR="0080444D">
        <w:rPr>
          <w:rFonts w:cs="Simplified Arabic" w:hint="cs"/>
          <w:color w:val="000000"/>
          <w:rtl/>
        </w:rPr>
        <w:t>،</w:t>
      </w:r>
      <w:r w:rsidR="0080444D" w:rsidRPr="00793E64">
        <w:rPr>
          <w:rFonts w:cs="Simplified Arabic"/>
          <w:color w:val="000000"/>
          <w:rtl/>
        </w:rPr>
        <w:t xml:space="preserve"> والكونغو</w:t>
      </w:r>
      <w:r w:rsidR="0080444D">
        <w:rPr>
          <w:rFonts w:cs="Simplified Arabic" w:hint="cs"/>
          <w:color w:val="000000"/>
          <w:rtl/>
        </w:rPr>
        <w:t xml:space="preserve">، </w:t>
      </w:r>
      <w:r w:rsidR="0080444D" w:rsidRPr="00793E64">
        <w:rPr>
          <w:rFonts w:cs="Simplified Arabic"/>
          <w:color w:val="000000"/>
          <w:rtl/>
        </w:rPr>
        <w:t>وكوستاريكا</w:t>
      </w:r>
      <w:r w:rsidR="0080444D">
        <w:rPr>
          <w:rFonts w:cs="Simplified Arabic" w:hint="cs"/>
          <w:color w:val="000000"/>
          <w:rtl/>
        </w:rPr>
        <w:t>،</w:t>
      </w:r>
      <w:r w:rsidR="0080444D" w:rsidRPr="00793E64">
        <w:rPr>
          <w:rFonts w:cs="Simplified Arabic"/>
          <w:color w:val="000000"/>
          <w:rtl/>
        </w:rPr>
        <w:t xml:space="preserve"> </w:t>
      </w:r>
      <w:r w:rsidRPr="00793E64">
        <w:rPr>
          <w:rFonts w:cs="Simplified Arabic"/>
          <w:kern w:val="22"/>
          <w:rtl/>
        </w:rPr>
        <w:t xml:space="preserve">والاتحاد الأوروبي ودوله الأعضاء </w:t>
      </w:r>
      <w:r w:rsidR="00ED4C91">
        <w:rPr>
          <w:rFonts w:cs="Simplified Arabic" w:hint="cs"/>
          <w:kern w:val="22"/>
          <w:rtl/>
        </w:rPr>
        <w:t>الثماني والعشرين</w:t>
      </w:r>
      <w:r w:rsidR="0080444D">
        <w:rPr>
          <w:rFonts w:cs="Simplified Arabic" w:hint="cs"/>
          <w:kern w:val="22"/>
          <w:rtl/>
        </w:rPr>
        <w:t>،</w:t>
      </w:r>
      <w:r w:rsidRPr="00793E64">
        <w:rPr>
          <w:rFonts w:cs="Simplified Arabic"/>
          <w:rtl/>
        </w:rPr>
        <w:t xml:space="preserve"> </w:t>
      </w:r>
      <w:r w:rsidRPr="00793E64">
        <w:rPr>
          <w:rFonts w:cs="Simplified Arabic"/>
          <w:color w:val="000000"/>
          <w:rtl/>
        </w:rPr>
        <w:t>وغابون</w:t>
      </w:r>
      <w:r w:rsidR="0080444D">
        <w:rPr>
          <w:rFonts w:cs="Simplified Arabic" w:hint="cs"/>
          <w:color w:val="000000"/>
          <w:rtl/>
        </w:rPr>
        <w:t>،</w:t>
      </w:r>
      <w:r w:rsidRPr="00793E64">
        <w:rPr>
          <w:rFonts w:cs="Simplified Arabic"/>
          <w:color w:val="000000"/>
          <w:rtl/>
        </w:rPr>
        <w:t xml:space="preserve"> وغينيا</w:t>
      </w:r>
      <w:r w:rsidR="0080444D">
        <w:rPr>
          <w:rFonts w:cs="Simplified Arabic" w:hint="cs"/>
          <w:color w:val="000000"/>
          <w:rtl/>
        </w:rPr>
        <w:t>، وملاوي، والمكسيك، والمغرب، ونيجيريا، ونيوزيلندا، والنرويج، وبيرو،</w:t>
      </w:r>
      <w:r w:rsidRPr="00793E64">
        <w:rPr>
          <w:rFonts w:cs="Simplified Arabic"/>
          <w:color w:val="000000"/>
          <w:rtl/>
        </w:rPr>
        <w:t xml:space="preserve"> وقطر</w:t>
      </w:r>
      <w:r w:rsidR="0080444D">
        <w:rPr>
          <w:rFonts w:cs="Simplified Arabic" w:hint="cs"/>
          <w:color w:val="000000"/>
          <w:rtl/>
        </w:rPr>
        <w:t>،</w:t>
      </w:r>
      <w:r w:rsidRPr="00793E64">
        <w:rPr>
          <w:rFonts w:cs="Simplified Arabic"/>
          <w:color w:val="000000"/>
          <w:rtl/>
        </w:rPr>
        <w:t xml:space="preserve"> </w:t>
      </w:r>
      <w:r w:rsidR="0080444D">
        <w:rPr>
          <w:rFonts w:cs="Simplified Arabic" w:hint="cs"/>
          <w:color w:val="000000"/>
          <w:rtl/>
        </w:rPr>
        <w:t>وجمهورية كوريا، وجنوب أفريقيا، وتركيا، وأوعندا وأوروغواي</w:t>
      </w:r>
      <w:r w:rsidRPr="00793E64">
        <w:rPr>
          <w:rFonts w:cs="Simplified Arabic"/>
          <w:kern w:val="22"/>
          <w:rtl/>
        </w:rPr>
        <w:t>.</w:t>
      </w:r>
    </w:p>
    <w:p w:rsidR="002A009A" w:rsidRPr="00793E64" w:rsidRDefault="002A009A" w:rsidP="0080444D">
      <w:pPr>
        <w:pStyle w:val="ListParagraph"/>
        <w:numPr>
          <w:ilvl w:val="0"/>
          <w:numId w:val="6"/>
        </w:numPr>
        <w:bidi/>
        <w:spacing w:line="216" w:lineRule="auto"/>
        <w:ind w:left="0" w:firstLine="0"/>
        <w:rPr>
          <w:rFonts w:cs="Simplified Arabic"/>
          <w:kern w:val="22"/>
        </w:rPr>
      </w:pPr>
      <w:r w:rsidRPr="00793E64">
        <w:rPr>
          <w:rFonts w:cs="Simplified Arabic"/>
          <w:kern w:val="22"/>
          <w:rtl/>
        </w:rPr>
        <w:t xml:space="preserve">واستأنف الفريق العامل نظره في مشروع المقرر المنقح في جلسته التاسعة، المعقودة في 22 </w:t>
      </w:r>
      <w:r w:rsidR="0080444D">
        <w:rPr>
          <w:rFonts w:cs="Simplified Arabic" w:hint="cs"/>
          <w:kern w:val="22"/>
          <w:rtl/>
        </w:rPr>
        <w:t>نوفمبر/</w:t>
      </w:r>
      <w:r w:rsidRPr="00793E64">
        <w:rPr>
          <w:rFonts w:cs="Simplified Arabic"/>
          <w:kern w:val="22"/>
          <w:rtl/>
        </w:rPr>
        <w:t>تشرين الثاني 2018.</w:t>
      </w:r>
    </w:p>
    <w:p w:rsidR="002A009A" w:rsidRPr="00793E64" w:rsidRDefault="002A009A" w:rsidP="0080444D">
      <w:pPr>
        <w:pStyle w:val="ListParagraph"/>
        <w:numPr>
          <w:ilvl w:val="0"/>
          <w:numId w:val="6"/>
        </w:numPr>
        <w:bidi/>
        <w:spacing w:line="216" w:lineRule="auto"/>
        <w:ind w:left="0" w:firstLine="0"/>
        <w:rPr>
          <w:rFonts w:cs="Simplified Arabic"/>
          <w:kern w:val="22"/>
        </w:rPr>
      </w:pPr>
      <w:r w:rsidRPr="00793E64">
        <w:rPr>
          <w:rFonts w:cs="Simplified Arabic" w:hint="cs"/>
          <w:kern w:val="22"/>
          <w:rtl/>
        </w:rPr>
        <w:lastRenderedPageBreak/>
        <w:t>و</w:t>
      </w:r>
      <w:r w:rsidRPr="00793E64">
        <w:rPr>
          <w:rFonts w:cs="Simplified Arabic"/>
          <w:kern w:val="22"/>
          <w:rtl/>
        </w:rPr>
        <w:t>أدلى ببيانات ممثلو الأرجنتين</w:t>
      </w:r>
      <w:r w:rsidR="00E61BBA">
        <w:rPr>
          <w:rFonts w:cs="Simplified Arabic" w:hint="cs"/>
          <w:kern w:val="22"/>
          <w:rtl/>
        </w:rPr>
        <w:t>،</w:t>
      </w:r>
      <w:r w:rsidRPr="00793E64">
        <w:rPr>
          <w:rFonts w:cs="Simplified Arabic"/>
          <w:kern w:val="22"/>
          <w:rtl/>
        </w:rPr>
        <w:t xml:space="preserve"> وكندا والاتحاد الأوروبي ودوله الأعضاء </w:t>
      </w:r>
      <w:r w:rsidR="00ED4C91">
        <w:rPr>
          <w:rFonts w:cs="Simplified Arabic" w:hint="cs"/>
          <w:rtl/>
          <w:lang w:val="fr-CH"/>
        </w:rPr>
        <w:t>الثماني والعشرين</w:t>
      </w:r>
      <w:r w:rsidRPr="00793E64">
        <w:rPr>
          <w:rFonts w:cs="Simplified Arabic"/>
          <w:kern w:val="22"/>
          <w:rtl/>
        </w:rPr>
        <w:t xml:space="preserve"> والمكسيك.</w:t>
      </w:r>
    </w:p>
    <w:p w:rsidR="00C1562B" w:rsidRPr="00793E64" w:rsidRDefault="002A009A" w:rsidP="00E61BBA">
      <w:pPr>
        <w:pStyle w:val="ListParagraph"/>
        <w:numPr>
          <w:ilvl w:val="0"/>
          <w:numId w:val="6"/>
        </w:numPr>
        <w:bidi/>
        <w:spacing w:line="216" w:lineRule="auto"/>
        <w:ind w:left="0" w:firstLine="0"/>
        <w:rPr>
          <w:rFonts w:cs="Simplified Arabic"/>
          <w:kern w:val="22"/>
        </w:rPr>
      </w:pPr>
      <w:r w:rsidRPr="00793E64">
        <w:rPr>
          <w:rFonts w:cs="Simplified Arabic" w:hint="cs"/>
          <w:kern w:val="22"/>
          <w:rtl/>
        </w:rPr>
        <w:t>و</w:t>
      </w:r>
      <w:r w:rsidR="0080444D">
        <w:rPr>
          <w:rFonts w:cs="Simplified Arabic" w:hint="cs"/>
          <w:kern w:val="22"/>
          <w:rtl/>
        </w:rPr>
        <w:t>وافق</w:t>
      </w:r>
      <w:r w:rsidRPr="00793E64">
        <w:rPr>
          <w:rFonts w:cs="Simplified Arabic"/>
          <w:kern w:val="22"/>
          <w:rtl/>
        </w:rPr>
        <w:t xml:space="preserve"> الفريق العامل </w:t>
      </w:r>
      <w:r w:rsidR="0080444D">
        <w:rPr>
          <w:rFonts w:cs="Simplified Arabic" w:hint="cs"/>
          <w:kern w:val="22"/>
          <w:rtl/>
        </w:rPr>
        <w:t xml:space="preserve">على </w:t>
      </w:r>
      <w:r w:rsidRPr="00793E64">
        <w:rPr>
          <w:rFonts w:cs="Simplified Arabic"/>
          <w:kern w:val="22"/>
          <w:rtl/>
        </w:rPr>
        <w:t>مشروع المقرر</w:t>
      </w:r>
      <w:r w:rsidRPr="00793E64">
        <w:rPr>
          <w:rFonts w:cs="Simplified Arabic" w:hint="cs"/>
          <w:kern w:val="22"/>
          <w:rtl/>
        </w:rPr>
        <w:t xml:space="preserve"> المنقح</w:t>
      </w:r>
      <w:r w:rsidRPr="00793E64">
        <w:rPr>
          <w:rFonts w:cs="Simplified Arabic"/>
          <w:kern w:val="22"/>
          <w:rtl/>
        </w:rPr>
        <w:t>، بصيغته المعدلة شفويا</w:t>
      </w:r>
      <w:r w:rsidR="00484CC5">
        <w:rPr>
          <w:rFonts w:cs="Simplified Arabic" w:hint="cs"/>
          <w:kern w:val="22"/>
          <w:rtl/>
        </w:rPr>
        <w:t>ً</w:t>
      </w:r>
      <w:r w:rsidRPr="00793E64">
        <w:rPr>
          <w:rFonts w:cs="Simplified Arabic"/>
          <w:kern w:val="22"/>
          <w:rtl/>
        </w:rPr>
        <w:t xml:space="preserve"> و</w:t>
      </w:r>
      <w:r w:rsidRPr="00793E64">
        <w:rPr>
          <w:rFonts w:cs="Simplified Arabic" w:hint="cs"/>
          <w:kern w:val="22"/>
          <w:rtl/>
        </w:rPr>
        <w:t xml:space="preserve">الذي </w:t>
      </w:r>
      <w:r w:rsidRPr="00793E64">
        <w:rPr>
          <w:rFonts w:cs="Simplified Arabic"/>
          <w:kern w:val="22"/>
          <w:rtl/>
        </w:rPr>
        <w:t>يحتوي على</w:t>
      </w:r>
      <w:r w:rsidR="00E61BBA">
        <w:rPr>
          <w:rFonts w:cs="Simplified Arabic" w:hint="cs"/>
          <w:kern w:val="22"/>
          <w:rtl/>
        </w:rPr>
        <w:t xml:space="preserve"> </w:t>
      </w:r>
      <w:r w:rsidRPr="00793E64">
        <w:rPr>
          <w:rFonts w:cs="Simplified Arabic" w:hint="cs"/>
          <w:kern w:val="22"/>
          <w:rtl/>
        </w:rPr>
        <w:t xml:space="preserve">مجموعة </w:t>
      </w:r>
      <w:r w:rsidR="00E61BBA">
        <w:rPr>
          <w:rFonts w:cs="Simplified Arabic" w:hint="cs"/>
          <w:kern w:val="22"/>
          <w:rtl/>
        </w:rPr>
        <w:t xml:space="preserve">واحدة </w:t>
      </w:r>
      <w:r w:rsidRPr="00793E64">
        <w:rPr>
          <w:rFonts w:cs="Simplified Arabic" w:hint="cs"/>
          <w:kern w:val="22"/>
          <w:rtl/>
        </w:rPr>
        <w:t>من الأقواس المعقوفة</w:t>
      </w:r>
      <w:r w:rsidRPr="00793E64">
        <w:rPr>
          <w:rFonts w:cs="Simplified Arabic"/>
          <w:kern w:val="22"/>
          <w:rtl/>
        </w:rPr>
        <w:t xml:space="preserve">، لإحالته إلى الجلسة العامة بوصفه مشروع المقرر </w:t>
      </w:r>
      <w:r w:rsidR="001C08DD" w:rsidRPr="00793E64">
        <w:rPr>
          <w:rFonts w:cs="Simplified Arabic"/>
          <w:kern w:val="22"/>
        </w:rPr>
        <w:t>CBD/COP/14/</w:t>
      </w:r>
      <w:r w:rsidRPr="00793E64">
        <w:rPr>
          <w:rFonts w:cs="Simplified Arabic"/>
          <w:kern w:val="22"/>
        </w:rPr>
        <w:t>L.12</w:t>
      </w:r>
      <w:r w:rsidRPr="00793E64">
        <w:rPr>
          <w:rFonts w:cs="Simplified Arabic"/>
          <w:kern w:val="22"/>
          <w:rtl/>
        </w:rPr>
        <w:t>.</w:t>
      </w:r>
    </w:p>
    <w:p w:rsidR="00C1562B" w:rsidRPr="00997CAE" w:rsidRDefault="00D77278" w:rsidP="00D77278">
      <w:pPr>
        <w:pStyle w:val="ListParagraph"/>
        <w:numPr>
          <w:ilvl w:val="0"/>
          <w:numId w:val="6"/>
        </w:numPr>
        <w:bidi/>
        <w:spacing w:line="216" w:lineRule="auto"/>
        <w:ind w:left="0" w:firstLine="0"/>
        <w:rPr>
          <w:rFonts w:cs="Simplified Arabic"/>
        </w:rPr>
      </w:pPr>
      <w:r>
        <w:rPr>
          <w:rFonts w:cs="Simplified Arabic" w:hint="cs"/>
          <w:rtl/>
        </w:rPr>
        <w:t>وفي الجلسة العامة السابعة</w:t>
      </w:r>
      <w:r w:rsidR="00E61BBA">
        <w:rPr>
          <w:rFonts w:cs="Simplified Arabic" w:hint="cs"/>
          <w:rtl/>
        </w:rPr>
        <w:t xml:space="preserve"> للاجتماع</w:t>
      </w:r>
      <w:r>
        <w:rPr>
          <w:rFonts w:cs="Simplified Arabic" w:hint="cs"/>
          <w:rtl/>
        </w:rPr>
        <w:t xml:space="preserve">، المنعقدة في 29 نوفمبر/تشرين الثاني 2018، اعتمد مؤتمر الأطراف مشروع المقرر </w:t>
      </w:r>
      <w:r w:rsidRPr="007F48C2">
        <w:t>CBD/COP/14/L.</w:t>
      </w:r>
      <w:r>
        <w:t>12</w:t>
      </w:r>
      <w:r>
        <w:rPr>
          <w:rFonts w:cs="Simplified Arabic" w:hint="cs"/>
          <w:rtl/>
        </w:rPr>
        <w:t xml:space="preserve"> بوصفه المقرر 14/24 (للاطلاع على النص، انظر الفصل الأول).</w:t>
      </w:r>
    </w:p>
    <w:p w:rsidR="00C1562B" w:rsidRPr="00997CAE" w:rsidRDefault="00C1562B" w:rsidP="00094717">
      <w:pPr>
        <w:pStyle w:val="ListParagraph"/>
        <w:tabs>
          <w:tab w:val="left" w:pos="1260"/>
        </w:tabs>
        <w:bidi/>
        <w:spacing w:line="216" w:lineRule="auto"/>
        <w:ind w:left="0"/>
        <w:jc w:val="center"/>
        <w:outlineLvl w:val="1"/>
        <w:rPr>
          <w:rFonts w:cs="Simplified Arabic"/>
        </w:rPr>
      </w:pPr>
      <w:bookmarkStart w:id="228" w:name="_Toc6140014"/>
      <w:r w:rsidRPr="00997CAE">
        <w:rPr>
          <w:rFonts w:cs="Simplified Arabic" w:hint="cs"/>
          <w:b/>
          <w:bCs/>
          <w:rtl/>
        </w:rPr>
        <w:t>البند 11 -</w:t>
      </w:r>
      <w:r w:rsidRPr="00997CAE">
        <w:rPr>
          <w:rFonts w:cs="Simplified Arabic" w:hint="cs"/>
          <w:b/>
          <w:bCs/>
          <w:rtl/>
        </w:rPr>
        <w:tab/>
        <w:t>إدارة المعارف والاتصال</w:t>
      </w:r>
      <w:bookmarkEnd w:id="228"/>
    </w:p>
    <w:p w:rsidR="002A009A" w:rsidRPr="00793E64" w:rsidRDefault="002A009A" w:rsidP="00E61BBA">
      <w:pPr>
        <w:pStyle w:val="ListParagraph"/>
        <w:numPr>
          <w:ilvl w:val="0"/>
          <w:numId w:val="6"/>
        </w:numPr>
        <w:bidi/>
        <w:spacing w:line="216" w:lineRule="auto"/>
        <w:ind w:left="0" w:firstLine="0"/>
        <w:rPr>
          <w:rFonts w:cs="Simplified Arabic"/>
          <w:rtl/>
          <w:lang w:val="fr-CH"/>
        </w:rPr>
      </w:pPr>
      <w:r w:rsidRPr="00793E64">
        <w:rPr>
          <w:rFonts w:cs="Simplified Arabic"/>
          <w:rtl/>
          <w:lang w:val="fr-CH"/>
        </w:rPr>
        <w:t>تناول الفريق العامل الأول البند 11 من جدول الأعمال في جلسته</w:t>
      </w:r>
      <w:r w:rsidR="00E61BBA">
        <w:rPr>
          <w:rFonts w:cs="Simplified Arabic"/>
          <w:rtl/>
          <w:lang w:val="fr-CH"/>
        </w:rPr>
        <w:t xml:space="preserve"> الرابعة، المنعقدة في 19 نوفمبر/</w:t>
      </w:r>
      <w:r w:rsidRPr="00793E64">
        <w:rPr>
          <w:rFonts w:cs="Simplified Arabic"/>
          <w:rtl/>
          <w:lang w:val="fr-CH"/>
        </w:rPr>
        <w:t xml:space="preserve">تشرين الثاني 2018. </w:t>
      </w:r>
      <w:r w:rsidRPr="00793E64">
        <w:rPr>
          <w:rFonts w:cs="Simplified Arabic" w:hint="cs"/>
          <w:rtl/>
          <w:lang w:val="fr-CH"/>
        </w:rPr>
        <w:t>و</w:t>
      </w:r>
      <w:r w:rsidRPr="00793E64">
        <w:rPr>
          <w:rFonts w:cs="Simplified Arabic"/>
          <w:rtl/>
          <w:lang w:val="fr-CH"/>
        </w:rPr>
        <w:t xml:space="preserve">لدى النظر في هذا البند، كان أمام الفريق العامل مذكرة </w:t>
      </w:r>
      <w:r w:rsidR="00E61BBA">
        <w:rPr>
          <w:rFonts w:cs="Simplified Arabic" w:hint="cs"/>
          <w:rtl/>
          <w:lang w:val="fr-CH"/>
        </w:rPr>
        <w:t>أعدتها</w:t>
      </w:r>
      <w:r w:rsidRPr="00793E64">
        <w:rPr>
          <w:rFonts w:cs="Simplified Arabic"/>
          <w:rtl/>
          <w:lang w:val="fr-CH"/>
        </w:rPr>
        <w:t xml:space="preserve"> الأمين</w:t>
      </w:r>
      <w:r w:rsidRPr="00793E64">
        <w:rPr>
          <w:rFonts w:cs="Simplified Arabic" w:hint="cs"/>
          <w:rtl/>
          <w:lang w:val="fr-CH"/>
        </w:rPr>
        <w:t>ة</w:t>
      </w:r>
      <w:r w:rsidRPr="00793E64">
        <w:rPr>
          <w:rFonts w:cs="Simplified Arabic"/>
          <w:rtl/>
          <w:lang w:val="fr-CH"/>
        </w:rPr>
        <w:t xml:space="preserve"> التنفيذي</w:t>
      </w:r>
      <w:r w:rsidRPr="00793E64">
        <w:rPr>
          <w:rFonts w:cs="Simplified Arabic" w:hint="cs"/>
          <w:rtl/>
          <w:lang w:val="fr-CH"/>
        </w:rPr>
        <w:t>ة</w:t>
      </w:r>
      <w:r w:rsidRPr="00793E64">
        <w:rPr>
          <w:rFonts w:cs="Simplified Arabic"/>
          <w:rtl/>
          <w:lang w:val="fr-CH"/>
        </w:rPr>
        <w:t xml:space="preserve"> بشأن إدارة المعارف بموجب الاتفاقية وبروتوكولاتها </w:t>
      </w:r>
      <w:r w:rsidRPr="00E61BBA">
        <w:rPr>
          <w:szCs w:val="22"/>
          <w:rtl/>
          <w:lang w:val="fr-CH"/>
        </w:rPr>
        <w:t>(</w:t>
      </w:r>
      <w:r w:rsidR="00D77278" w:rsidRPr="00477B14">
        <w:rPr>
          <w:szCs w:val="22"/>
        </w:rPr>
        <w:t>CBD/COP/</w:t>
      </w:r>
      <w:r w:rsidRPr="00477B14">
        <w:rPr>
          <w:szCs w:val="22"/>
        </w:rPr>
        <w:t>14/11</w:t>
      </w:r>
      <w:r w:rsidRPr="00E61BBA">
        <w:rPr>
          <w:szCs w:val="22"/>
          <w:rtl/>
          <w:lang w:val="fr-CH"/>
        </w:rPr>
        <w:t>)</w:t>
      </w:r>
      <w:r w:rsidRPr="00793E64">
        <w:rPr>
          <w:rFonts w:cs="Simplified Arabic"/>
          <w:rtl/>
          <w:lang w:val="fr-CH"/>
        </w:rPr>
        <w:t xml:space="preserve"> التي أرفقت بها الطرائق المشتركة للتشغيل </w:t>
      </w:r>
      <w:r w:rsidR="00E61BBA">
        <w:rPr>
          <w:rFonts w:cs="Simplified Arabic" w:hint="cs"/>
          <w:rtl/>
          <w:lang w:val="fr-CH"/>
        </w:rPr>
        <w:t>ا</w:t>
      </w:r>
      <w:r w:rsidRPr="00793E64">
        <w:rPr>
          <w:rFonts w:cs="Simplified Arabic"/>
          <w:rtl/>
          <w:lang w:val="fr-CH"/>
        </w:rPr>
        <w:t xml:space="preserve">لآلية </w:t>
      </w:r>
      <w:r w:rsidR="00E61BBA">
        <w:rPr>
          <w:rFonts w:cs="Simplified Arabic" w:hint="cs"/>
          <w:rtl/>
          <w:lang w:val="fr-CH"/>
        </w:rPr>
        <w:t>ال</w:t>
      </w:r>
      <w:r w:rsidRPr="00793E64">
        <w:rPr>
          <w:rFonts w:cs="Simplified Arabic"/>
          <w:rtl/>
          <w:lang w:val="fr-CH"/>
        </w:rPr>
        <w:t>مركز</w:t>
      </w:r>
      <w:r w:rsidR="00E61BBA">
        <w:rPr>
          <w:rFonts w:cs="Simplified Arabic" w:hint="cs"/>
          <w:rtl/>
          <w:lang w:val="fr-CH"/>
        </w:rPr>
        <w:t>ية</w:t>
      </w:r>
      <w:r w:rsidRPr="00793E64">
        <w:rPr>
          <w:rFonts w:cs="Simplified Arabic"/>
          <w:rtl/>
          <w:lang w:val="fr-CH"/>
        </w:rPr>
        <w:t xml:space="preserve"> </w:t>
      </w:r>
      <w:r w:rsidR="00E61BBA">
        <w:rPr>
          <w:rFonts w:cs="Simplified Arabic" w:hint="cs"/>
          <w:rtl/>
          <w:lang w:val="fr-CH"/>
        </w:rPr>
        <w:t>ل</w:t>
      </w:r>
      <w:r w:rsidRPr="00793E64">
        <w:rPr>
          <w:rFonts w:cs="Simplified Arabic"/>
          <w:rtl/>
          <w:lang w:val="fr-CH"/>
        </w:rPr>
        <w:t xml:space="preserve">تبادل المعلومات وغرفة تبادل معلومات </w:t>
      </w:r>
      <w:r w:rsidR="00E61BBA">
        <w:rPr>
          <w:rFonts w:cs="Simplified Arabic"/>
          <w:rtl/>
          <w:lang w:val="fr-CH"/>
        </w:rPr>
        <w:t xml:space="preserve">السلامة الأحيائية وغرفة تبادل </w:t>
      </w:r>
      <w:r w:rsidRPr="00793E64">
        <w:rPr>
          <w:rFonts w:cs="Simplified Arabic"/>
          <w:rtl/>
          <w:lang w:val="fr-CH"/>
        </w:rPr>
        <w:t>معلومات الحصول وتقاسم المنافع</w:t>
      </w:r>
      <w:r w:rsidRPr="00793E64">
        <w:rPr>
          <w:rFonts w:cs="Simplified Arabic" w:hint="cs"/>
          <w:rtl/>
          <w:lang w:val="fr-CH"/>
        </w:rPr>
        <w:t>،</w:t>
      </w:r>
      <w:r w:rsidRPr="00793E64">
        <w:rPr>
          <w:rFonts w:cs="Simplified Arabic"/>
          <w:rtl/>
          <w:lang w:val="fr-CH"/>
        </w:rPr>
        <w:t xml:space="preserve"> </w:t>
      </w:r>
      <w:r w:rsidRPr="00793E64">
        <w:rPr>
          <w:rFonts w:cs="Simplified Arabic" w:hint="cs"/>
          <w:rtl/>
          <w:lang w:val="fr-CH"/>
        </w:rPr>
        <w:t>و</w:t>
      </w:r>
      <w:r w:rsidRPr="00793E64">
        <w:rPr>
          <w:rFonts w:cs="Simplified Arabic"/>
          <w:rtl/>
          <w:lang w:val="fr-CH"/>
        </w:rPr>
        <w:t xml:space="preserve">تقرير مرحلي عن أنشطة إدارة المعارف </w:t>
      </w:r>
      <w:r w:rsidRPr="00E61BBA">
        <w:rPr>
          <w:szCs w:val="22"/>
          <w:rtl/>
          <w:lang w:val="fr-CH"/>
        </w:rPr>
        <w:t>(</w:t>
      </w:r>
      <w:r w:rsidR="00D77278" w:rsidRPr="00477B14">
        <w:rPr>
          <w:szCs w:val="22"/>
        </w:rPr>
        <w:t>CBD/COP/14/INF/</w:t>
      </w:r>
      <w:r w:rsidRPr="00477B14">
        <w:rPr>
          <w:szCs w:val="22"/>
        </w:rPr>
        <w:t>4</w:t>
      </w:r>
      <w:r w:rsidRPr="00E61BBA">
        <w:rPr>
          <w:szCs w:val="22"/>
          <w:rtl/>
          <w:lang w:val="fr-CH"/>
        </w:rPr>
        <w:t>)</w:t>
      </w:r>
      <w:r w:rsidRPr="00793E64">
        <w:rPr>
          <w:rFonts w:cs="Simplified Arabic"/>
          <w:rtl/>
          <w:lang w:val="fr-CH"/>
        </w:rPr>
        <w:t xml:space="preserve"> وتقرير عن الأنشطة التي </w:t>
      </w:r>
      <w:r w:rsidRPr="00793E64">
        <w:rPr>
          <w:rFonts w:cs="Simplified Arabic" w:hint="cs"/>
          <w:rtl/>
          <w:lang w:val="fr-CH"/>
        </w:rPr>
        <w:t>قامت</w:t>
      </w:r>
      <w:r w:rsidRPr="00793E64">
        <w:rPr>
          <w:rFonts w:cs="Simplified Arabic"/>
          <w:rtl/>
          <w:lang w:val="fr-CH"/>
        </w:rPr>
        <w:t xml:space="preserve"> بها الأمين</w:t>
      </w:r>
      <w:r w:rsidRPr="00793E64">
        <w:rPr>
          <w:rFonts w:cs="Simplified Arabic" w:hint="cs"/>
          <w:rtl/>
          <w:lang w:val="fr-CH"/>
        </w:rPr>
        <w:t>ة</w:t>
      </w:r>
      <w:r w:rsidRPr="00793E64">
        <w:rPr>
          <w:rFonts w:cs="Simplified Arabic"/>
          <w:rtl/>
          <w:lang w:val="fr-CH"/>
        </w:rPr>
        <w:t xml:space="preserve"> التنفيذي</w:t>
      </w:r>
      <w:r w:rsidRPr="00793E64">
        <w:rPr>
          <w:rFonts w:cs="Simplified Arabic" w:hint="cs"/>
          <w:rtl/>
          <w:lang w:val="fr-CH"/>
        </w:rPr>
        <w:t>ة</w:t>
      </w:r>
      <w:r w:rsidR="00E61BBA">
        <w:rPr>
          <w:rFonts w:cs="Simplified Arabic"/>
          <w:rtl/>
          <w:lang w:val="fr-CH"/>
        </w:rPr>
        <w:t xml:space="preserve"> دعما للمقرر 13/22، بشأن إطار ل</w:t>
      </w:r>
      <w:r w:rsidRPr="00793E64">
        <w:rPr>
          <w:rFonts w:cs="Simplified Arabic"/>
          <w:rtl/>
          <w:lang w:val="fr-CH"/>
        </w:rPr>
        <w:t>ا</w:t>
      </w:r>
      <w:r w:rsidR="00E61BBA">
        <w:rPr>
          <w:rFonts w:cs="Simplified Arabic" w:hint="cs"/>
          <w:rtl/>
          <w:lang w:val="fr-CH"/>
        </w:rPr>
        <w:t>ستراتيجية الا</w:t>
      </w:r>
      <w:r w:rsidRPr="00793E64">
        <w:rPr>
          <w:rFonts w:cs="Simplified Arabic"/>
          <w:rtl/>
          <w:lang w:val="fr-CH"/>
        </w:rPr>
        <w:t xml:space="preserve">تصالات العالمية </w:t>
      </w:r>
      <w:r w:rsidRPr="00E61BBA">
        <w:rPr>
          <w:szCs w:val="22"/>
          <w:rtl/>
          <w:lang w:val="fr-CH"/>
        </w:rPr>
        <w:t>(</w:t>
      </w:r>
      <w:r w:rsidR="00D77278" w:rsidRPr="00477B14">
        <w:rPr>
          <w:rFonts w:cs="Simplified Arabic"/>
        </w:rPr>
        <w:t>CBD/COP/14/INF/</w:t>
      </w:r>
      <w:r w:rsidRPr="00477B14">
        <w:rPr>
          <w:rFonts w:cs="Simplified Arabic"/>
        </w:rPr>
        <w:t>43</w:t>
      </w:r>
      <w:r w:rsidR="00D77278" w:rsidRPr="00E61BBA">
        <w:rPr>
          <w:szCs w:val="22"/>
          <w:rtl/>
          <w:lang w:val="fr-CH"/>
        </w:rPr>
        <w:t>)</w:t>
      </w:r>
      <w:r w:rsidR="00D77278">
        <w:rPr>
          <w:rFonts w:cs="Simplified Arabic"/>
          <w:rtl/>
          <w:lang w:val="fr-CH"/>
        </w:rPr>
        <w:t>.</w:t>
      </w:r>
    </w:p>
    <w:p w:rsidR="002A009A" w:rsidRPr="00793E64" w:rsidRDefault="002A009A" w:rsidP="00E61BBA">
      <w:pPr>
        <w:pStyle w:val="ListParagraph"/>
        <w:numPr>
          <w:ilvl w:val="0"/>
          <w:numId w:val="6"/>
        </w:numPr>
        <w:bidi/>
        <w:spacing w:line="216" w:lineRule="auto"/>
        <w:ind w:left="0" w:firstLine="0"/>
        <w:rPr>
          <w:rFonts w:cs="Simplified Arabic"/>
          <w:rtl/>
          <w:lang w:val="fr-CH"/>
        </w:rPr>
      </w:pPr>
      <w:r w:rsidRPr="00793E64">
        <w:rPr>
          <w:rFonts w:cs="Simplified Arabic"/>
          <w:rtl/>
          <w:lang w:val="fr-CH"/>
        </w:rPr>
        <w:t xml:space="preserve">وكان معروضا على الفريق العامل أيضا </w:t>
      </w:r>
      <w:r w:rsidRPr="00793E64">
        <w:rPr>
          <w:rFonts w:cs="Simplified Arabic" w:hint="cs"/>
          <w:rtl/>
          <w:lang w:val="fr-CH"/>
        </w:rPr>
        <w:t>ل</w:t>
      </w:r>
      <w:r w:rsidRPr="00793E64">
        <w:rPr>
          <w:rFonts w:cs="Simplified Arabic"/>
          <w:rtl/>
          <w:lang w:val="fr-CH"/>
        </w:rPr>
        <w:t>لنظر في</w:t>
      </w:r>
      <w:r w:rsidRPr="00793E64">
        <w:rPr>
          <w:rFonts w:cs="Simplified Arabic" w:hint="cs"/>
          <w:rtl/>
          <w:lang w:val="fr-CH"/>
        </w:rPr>
        <w:t>ه</w:t>
      </w:r>
      <w:r w:rsidRPr="00793E64">
        <w:rPr>
          <w:rFonts w:cs="Simplified Arabic"/>
          <w:rtl/>
          <w:lang w:val="fr-CH"/>
        </w:rPr>
        <w:t xml:space="preserve"> فرع بعنوان "آلية </w:t>
      </w:r>
      <w:r w:rsidRPr="00793E64">
        <w:rPr>
          <w:rFonts w:cs="Simplified Arabic" w:hint="cs"/>
          <w:rtl/>
          <w:lang w:val="fr-CH"/>
        </w:rPr>
        <w:t xml:space="preserve">غرفة </w:t>
      </w:r>
      <w:r w:rsidRPr="00793E64">
        <w:rPr>
          <w:rFonts w:cs="Simplified Arabic"/>
          <w:rtl/>
          <w:lang w:val="fr-CH"/>
        </w:rPr>
        <w:t xml:space="preserve">تبادل المعلومات" </w:t>
      </w:r>
      <w:r w:rsidRPr="00793E64">
        <w:rPr>
          <w:rFonts w:cs="Simplified Arabic" w:hint="cs"/>
          <w:rtl/>
          <w:lang w:val="fr-CH"/>
        </w:rPr>
        <w:t xml:space="preserve">الذي </w:t>
      </w:r>
      <w:r w:rsidRPr="00793E64">
        <w:rPr>
          <w:rFonts w:cs="Simplified Arabic"/>
          <w:rtl/>
          <w:lang w:val="fr-CH"/>
        </w:rPr>
        <w:t xml:space="preserve">يشكل جزءا من مشروع مقرر يعالج في إطار البند 10 (بناء القدرات والتعاون التقني والعلمي)، وهو مشروع مأخوذ من التوصية 2/8 </w:t>
      </w:r>
      <w:r w:rsidR="00E61BBA">
        <w:rPr>
          <w:rFonts w:cs="Simplified Arabic" w:hint="cs"/>
          <w:rtl/>
          <w:lang w:val="fr-CH"/>
        </w:rPr>
        <w:t>ل</w:t>
      </w:r>
      <w:r w:rsidRPr="00793E64">
        <w:rPr>
          <w:rFonts w:cs="Simplified Arabic"/>
          <w:rtl/>
          <w:lang w:val="fr-CH"/>
        </w:rPr>
        <w:t xml:space="preserve">لهيئة الفرعية للتنفيذ، </w:t>
      </w:r>
      <w:r w:rsidR="00E61BBA">
        <w:rPr>
          <w:rFonts w:cs="Simplified Arabic" w:hint="cs"/>
          <w:rtl/>
          <w:lang w:val="fr-CH"/>
        </w:rPr>
        <w:t>المبين</w:t>
      </w:r>
      <w:r w:rsidRPr="00793E64">
        <w:rPr>
          <w:rFonts w:cs="Simplified Arabic"/>
          <w:rtl/>
          <w:lang w:val="fr-CH"/>
        </w:rPr>
        <w:t xml:space="preserve"> في تجميع مشاريع المقررات </w:t>
      </w:r>
      <w:r w:rsidRPr="00E61BBA">
        <w:rPr>
          <w:szCs w:val="22"/>
          <w:rtl/>
          <w:lang w:val="fr-CH"/>
        </w:rPr>
        <w:t>(</w:t>
      </w:r>
      <w:r w:rsidR="00D77278" w:rsidRPr="00E61BBA">
        <w:rPr>
          <w:szCs w:val="22"/>
          <w:lang w:val="fr-CH"/>
        </w:rPr>
        <w:t>CBD/COP/</w:t>
      </w:r>
      <w:r w:rsidRPr="00E61BBA">
        <w:rPr>
          <w:szCs w:val="22"/>
          <w:lang w:val="fr-CH"/>
        </w:rPr>
        <w:t>14/2</w:t>
      </w:r>
      <w:r w:rsidRPr="00E61BBA">
        <w:rPr>
          <w:szCs w:val="22"/>
          <w:rtl/>
          <w:lang w:val="fr-CH"/>
        </w:rPr>
        <w:t>)</w:t>
      </w:r>
      <w:r w:rsidRPr="00793E64">
        <w:rPr>
          <w:rFonts w:cs="Simplified Arabic"/>
          <w:rtl/>
          <w:lang w:val="fr-CH"/>
        </w:rPr>
        <w:t>.</w:t>
      </w:r>
    </w:p>
    <w:p w:rsidR="002A009A" w:rsidRPr="00793E64" w:rsidRDefault="002A009A" w:rsidP="00D77278">
      <w:pPr>
        <w:pStyle w:val="ListParagraph"/>
        <w:numPr>
          <w:ilvl w:val="0"/>
          <w:numId w:val="6"/>
        </w:numPr>
        <w:bidi/>
        <w:spacing w:line="216" w:lineRule="auto"/>
        <w:ind w:left="0" w:firstLine="0"/>
        <w:rPr>
          <w:rFonts w:cs="Simplified Arabic"/>
          <w:rtl/>
        </w:rPr>
      </w:pPr>
      <w:r w:rsidRPr="00793E64">
        <w:rPr>
          <w:rFonts w:cs="Simplified Arabic"/>
          <w:rtl/>
        </w:rPr>
        <w:t xml:space="preserve">وأدلى ببيانات ممثلو </w:t>
      </w:r>
      <w:r w:rsidRPr="00793E64">
        <w:rPr>
          <w:rFonts w:cs="Simplified Arabic" w:hint="cs"/>
          <w:rtl/>
        </w:rPr>
        <w:t>كندا</w:t>
      </w:r>
      <w:r w:rsidR="00D77278">
        <w:rPr>
          <w:rFonts w:cs="Simplified Arabic" w:hint="cs"/>
          <w:rtl/>
        </w:rPr>
        <w:t>،</w:t>
      </w:r>
      <w:r w:rsidRPr="00793E64">
        <w:rPr>
          <w:rFonts w:cs="Simplified Arabic" w:hint="cs"/>
          <w:rtl/>
        </w:rPr>
        <w:t xml:space="preserve"> و</w:t>
      </w:r>
      <w:r w:rsidRPr="00793E64">
        <w:rPr>
          <w:rFonts w:cs="Simplified Arabic"/>
          <w:rtl/>
        </w:rPr>
        <w:t xml:space="preserve">الاتحاد الأوروبي ودوله الأعضاء </w:t>
      </w:r>
      <w:r w:rsidR="00ED4C91">
        <w:rPr>
          <w:rFonts w:cs="Simplified Arabic" w:hint="cs"/>
          <w:rtl/>
          <w:lang w:val="fr-CH"/>
        </w:rPr>
        <w:t>الثماني والعشرين</w:t>
      </w:r>
      <w:r w:rsidR="00ED4C91" w:rsidRPr="00793E64">
        <w:rPr>
          <w:rFonts w:cs="Simplified Arabic"/>
          <w:rtl/>
          <w:lang w:val="fr-CH"/>
        </w:rPr>
        <w:t>،</w:t>
      </w:r>
      <w:r w:rsidRPr="00793E64">
        <w:rPr>
          <w:rFonts w:cs="Simplified Arabic"/>
          <w:rtl/>
        </w:rPr>
        <w:t xml:space="preserve"> </w:t>
      </w:r>
      <w:r w:rsidR="00D77278">
        <w:rPr>
          <w:rFonts w:cs="Simplified Arabic" w:hint="cs"/>
          <w:rtl/>
        </w:rPr>
        <w:t xml:space="preserve">والهند، </w:t>
      </w:r>
      <w:r w:rsidRPr="00793E64">
        <w:rPr>
          <w:rFonts w:cs="Simplified Arabic" w:hint="cs"/>
          <w:rtl/>
        </w:rPr>
        <w:t>و</w:t>
      </w:r>
      <w:r w:rsidRPr="00793E64">
        <w:rPr>
          <w:rFonts w:cs="Simplified Arabic"/>
          <w:rtl/>
        </w:rPr>
        <w:t>الأردن</w:t>
      </w:r>
      <w:r w:rsidR="00D77278">
        <w:rPr>
          <w:rFonts w:cs="Simplified Arabic" w:hint="cs"/>
          <w:rtl/>
        </w:rPr>
        <w:t>،</w:t>
      </w:r>
      <w:r w:rsidRPr="00793E64">
        <w:rPr>
          <w:rFonts w:cs="Simplified Arabic"/>
          <w:rtl/>
        </w:rPr>
        <w:t xml:space="preserve"> </w:t>
      </w:r>
      <w:r w:rsidR="00D77278" w:rsidRPr="00793E64">
        <w:rPr>
          <w:rFonts w:cs="Simplified Arabic"/>
          <w:rtl/>
        </w:rPr>
        <w:t>والنرويج</w:t>
      </w:r>
      <w:r w:rsidR="00D77278">
        <w:rPr>
          <w:rFonts w:cs="Simplified Arabic" w:hint="cs"/>
          <w:rtl/>
        </w:rPr>
        <w:t>،</w:t>
      </w:r>
      <w:r w:rsidR="00D77278" w:rsidRPr="00793E64">
        <w:rPr>
          <w:rFonts w:cs="Simplified Arabic"/>
          <w:rtl/>
        </w:rPr>
        <w:t xml:space="preserve"> </w:t>
      </w:r>
      <w:r w:rsidRPr="00793E64">
        <w:rPr>
          <w:rFonts w:cs="Simplified Arabic"/>
          <w:rtl/>
        </w:rPr>
        <w:t>وجنوب أفريقيا و</w:t>
      </w:r>
      <w:r w:rsidR="00D77278">
        <w:rPr>
          <w:rFonts w:cs="Simplified Arabic" w:hint="cs"/>
          <w:rtl/>
        </w:rPr>
        <w:t>تايلند</w:t>
      </w:r>
      <w:r w:rsidRPr="00793E64">
        <w:rPr>
          <w:rFonts w:cs="Simplified Arabic" w:hint="cs"/>
          <w:rtl/>
        </w:rPr>
        <w:t>.</w:t>
      </w:r>
    </w:p>
    <w:p w:rsidR="002A009A" w:rsidRPr="00793E64" w:rsidRDefault="002A009A" w:rsidP="00FF7FA5">
      <w:pPr>
        <w:pStyle w:val="ListParagraph"/>
        <w:numPr>
          <w:ilvl w:val="0"/>
          <w:numId w:val="6"/>
        </w:numPr>
        <w:bidi/>
        <w:spacing w:line="216" w:lineRule="auto"/>
        <w:ind w:left="0" w:firstLine="0"/>
        <w:rPr>
          <w:rFonts w:cs="Simplified Arabic"/>
          <w:rtl/>
          <w:lang w:val="fr-CH"/>
        </w:rPr>
      </w:pPr>
      <w:r w:rsidRPr="00793E64">
        <w:rPr>
          <w:rFonts w:cs="Simplified Arabic" w:hint="cs"/>
          <w:rtl/>
          <w:lang w:val="fr-CH"/>
        </w:rPr>
        <w:t>واستأنف الفريق العامل نظره في بند جدول الأعمال خلال جلسته الخامسة</w:t>
      </w:r>
      <w:r w:rsidR="00D77278">
        <w:rPr>
          <w:rFonts w:cs="Simplified Arabic" w:hint="cs"/>
          <w:rtl/>
          <w:lang w:val="fr-CH"/>
        </w:rPr>
        <w:t>،</w:t>
      </w:r>
      <w:r w:rsidRPr="00793E64">
        <w:rPr>
          <w:rFonts w:cs="Simplified Arabic" w:hint="cs"/>
          <w:rtl/>
          <w:lang w:val="fr-CH"/>
        </w:rPr>
        <w:t xml:space="preserve"> المنعقدة في 20 نوفمبر/تشرين الثاني 2018.</w:t>
      </w:r>
    </w:p>
    <w:p w:rsidR="002A009A" w:rsidRPr="00793E64" w:rsidRDefault="002A009A" w:rsidP="00D77278">
      <w:pPr>
        <w:pStyle w:val="ListParagraph"/>
        <w:numPr>
          <w:ilvl w:val="0"/>
          <w:numId w:val="6"/>
        </w:numPr>
        <w:bidi/>
        <w:spacing w:line="216" w:lineRule="auto"/>
        <w:ind w:left="0" w:firstLine="0"/>
        <w:rPr>
          <w:rFonts w:cs="Simplified Arabic"/>
          <w:rtl/>
          <w:lang w:val="fr-CH"/>
        </w:rPr>
      </w:pPr>
      <w:r w:rsidRPr="00793E64">
        <w:rPr>
          <w:rFonts w:cs="Simplified Arabic" w:hint="cs"/>
          <w:rtl/>
          <w:lang w:val="fr-CH"/>
        </w:rPr>
        <w:t>و</w:t>
      </w:r>
      <w:r w:rsidRPr="00793E64">
        <w:rPr>
          <w:rFonts w:cs="Simplified Arabic"/>
          <w:rtl/>
          <w:lang w:val="fr-CH"/>
        </w:rPr>
        <w:t xml:space="preserve">قدم ممثل </w:t>
      </w:r>
      <w:r w:rsidR="00D77278">
        <w:rPr>
          <w:rFonts w:cs="Simplified Arabic" w:hint="cs"/>
          <w:rtl/>
          <w:lang w:val="fr-CH"/>
        </w:rPr>
        <w:t xml:space="preserve">عن </w:t>
      </w:r>
      <w:r w:rsidRPr="00793E64">
        <w:rPr>
          <w:rFonts w:cs="Simplified Arabic"/>
          <w:rtl/>
          <w:lang w:val="fr-CH"/>
        </w:rPr>
        <w:t>الأمانة النسخة الجديدة</w:t>
      </w:r>
      <w:r w:rsidRPr="00793E64">
        <w:rPr>
          <w:rFonts w:cs="Simplified Arabic" w:hint="cs"/>
          <w:rtl/>
          <w:lang w:val="fr-CH"/>
        </w:rPr>
        <w:t xml:space="preserve"> لل</w:t>
      </w:r>
      <w:r w:rsidRPr="00793E64">
        <w:rPr>
          <w:rFonts w:cs="Simplified Arabic"/>
          <w:rtl/>
          <w:lang w:val="fr-CH"/>
        </w:rPr>
        <w:t>موقع</w:t>
      </w:r>
      <w:r w:rsidRPr="00793E64">
        <w:rPr>
          <w:rFonts w:cs="Simplified Arabic" w:hint="cs"/>
          <w:rtl/>
          <w:lang w:val="fr-CH"/>
        </w:rPr>
        <w:t xml:space="preserve"> الإلكتروني</w:t>
      </w:r>
      <w:r w:rsidRPr="00793E64">
        <w:rPr>
          <w:rFonts w:cs="Simplified Arabic"/>
          <w:rtl/>
          <w:lang w:val="fr-CH"/>
        </w:rPr>
        <w:t xml:space="preserve"> </w:t>
      </w:r>
      <w:r w:rsidRPr="00793E64">
        <w:rPr>
          <w:rFonts w:cs="Simplified Arabic" w:hint="cs"/>
          <w:rtl/>
          <w:lang w:val="fr-CH"/>
        </w:rPr>
        <w:t>ل</w:t>
      </w:r>
      <w:r w:rsidRPr="00793E64">
        <w:rPr>
          <w:rFonts w:cs="Simplified Arabic"/>
          <w:rtl/>
          <w:lang w:val="fr-CH"/>
        </w:rPr>
        <w:t>ل</w:t>
      </w:r>
      <w:r w:rsidR="00D77278">
        <w:rPr>
          <w:rFonts w:cs="Simplified Arabic" w:hint="cs"/>
          <w:rtl/>
          <w:lang w:val="fr-CH"/>
        </w:rPr>
        <w:t>اتفاقية</w:t>
      </w:r>
      <w:r w:rsidRPr="00793E64">
        <w:rPr>
          <w:rFonts w:cs="Simplified Arabic"/>
          <w:rtl/>
          <w:lang w:val="fr-CH"/>
        </w:rPr>
        <w:t>.</w:t>
      </w:r>
    </w:p>
    <w:p w:rsidR="002A009A" w:rsidRPr="00793E64" w:rsidRDefault="002A009A" w:rsidP="00D77278">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 xml:space="preserve">أدلى ببيانات ممثلو الاتحاد الأوروبي ودوله الأعضاء </w:t>
      </w:r>
      <w:r w:rsidR="00ED4C91">
        <w:rPr>
          <w:rFonts w:cs="Simplified Arabic" w:hint="cs"/>
          <w:rtl/>
          <w:lang w:val="fr-CH"/>
        </w:rPr>
        <w:t>الثماني والعشرين</w:t>
      </w:r>
      <w:r w:rsidRPr="00793E64">
        <w:rPr>
          <w:rFonts w:cs="Simplified Arabic"/>
          <w:rtl/>
          <w:lang w:val="fr-CH"/>
        </w:rPr>
        <w:t>، وغواتيمالا، وكينيا، وناميبيا والنيجر.</w:t>
      </w:r>
    </w:p>
    <w:p w:rsidR="002A009A" w:rsidRPr="00793E64" w:rsidRDefault="002A009A" w:rsidP="00FF7FA5">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 xml:space="preserve">أدلى ببيان </w:t>
      </w:r>
      <w:r w:rsidR="00E61BBA">
        <w:rPr>
          <w:rFonts w:cs="Simplified Arabic" w:hint="cs"/>
          <w:rtl/>
          <w:lang w:val="fr-CH"/>
        </w:rPr>
        <w:t xml:space="preserve">أيضا </w:t>
      </w:r>
      <w:r w:rsidRPr="00793E64">
        <w:rPr>
          <w:rFonts w:cs="Simplified Arabic"/>
          <w:rtl/>
          <w:lang w:val="fr-CH"/>
        </w:rPr>
        <w:t xml:space="preserve">ممثل </w:t>
      </w:r>
      <w:r w:rsidRPr="00793E64">
        <w:rPr>
          <w:rFonts w:cs="Simplified Arabic" w:hint="cs"/>
          <w:snapToGrid w:val="0"/>
          <w:kern w:val="22"/>
          <w:rtl/>
          <w:lang w:val="fr-CH"/>
        </w:rPr>
        <w:t xml:space="preserve">عن </w:t>
      </w:r>
      <w:r w:rsidRPr="00793E64">
        <w:rPr>
          <w:rFonts w:cs="Simplified Arabic"/>
          <w:snapToGrid w:val="0"/>
          <w:kern w:val="22"/>
          <w:rtl/>
          <w:lang w:val="fr-CH"/>
        </w:rPr>
        <w:t xml:space="preserve">المنتدى الدولي للشعوب الأصلية المعني بالتنوع البيولوجي </w:t>
      </w:r>
      <w:r w:rsidRPr="00484CC5">
        <w:rPr>
          <w:snapToGrid w:val="0"/>
          <w:kern w:val="22"/>
          <w:szCs w:val="22"/>
          <w:rtl/>
          <w:lang w:val="fr-CH"/>
        </w:rPr>
        <w:t>(</w:t>
      </w:r>
      <w:r w:rsidRPr="00484CC5">
        <w:rPr>
          <w:snapToGrid w:val="0"/>
          <w:kern w:val="22"/>
          <w:szCs w:val="22"/>
          <w:lang w:val="fr-CH"/>
        </w:rPr>
        <w:t>IIFB</w:t>
      </w:r>
      <w:r w:rsidRPr="00484CC5">
        <w:rPr>
          <w:snapToGrid w:val="0"/>
          <w:kern w:val="22"/>
          <w:szCs w:val="22"/>
          <w:rtl/>
          <w:lang w:val="fr-CH"/>
        </w:rPr>
        <w:t>)</w:t>
      </w:r>
      <w:r w:rsidRPr="00793E64">
        <w:rPr>
          <w:rFonts w:cs="Simplified Arabic"/>
          <w:rtl/>
          <w:lang w:val="fr-CH"/>
        </w:rPr>
        <w:t>.</w:t>
      </w:r>
    </w:p>
    <w:p w:rsidR="002A009A" w:rsidRPr="00793E64" w:rsidRDefault="002A009A" w:rsidP="00D77278">
      <w:pPr>
        <w:pStyle w:val="ListParagraph"/>
        <w:numPr>
          <w:ilvl w:val="0"/>
          <w:numId w:val="6"/>
        </w:numPr>
        <w:bidi/>
        <w:spacing w:line="216" w:lineRule="auto"/>
        <w:ind w:left="0" w:firstLine="0"/>
        <w:rPr>
          <w:rFonts w:cs="Simplified Arabic"/>
          <w:rtl/>
          <w:lang w:val="fr-CH"/>
        </w:rPr>
      </w:pPr>
      <w:r w:rsidRPr="00793E64">
        <w:rPr>
          <w:rFonts w:cs="Simplified Arabic" w:hint="cs"/>
          <w:rtl/>
          <w:lang w:val="fr-CH"/>
        </w:rPr>
        <w:t>و</w:t>
      </w:r>
      <w:r w:rsidRPr="00793E64">
        <w:rPr>
          <w:rFonts w:cs="Simplified Arabic"/>
          <w:rtl/>
          <w:lang w:val="fr-CH"/>
        </w:rPr>
        <w:t xml:space="preserve">بعد المناقشة، قال الرئيس </w:t>
      </w:r>
      <w:r w:rsidRPr="00793E64">
        <w:rPr>
          <w:rFonts w:cs="Simplified Arabic" w:hint="cs"/>
          <w:rtl/>
          <w:lang w:val="fr-CH"/>
        </w:rPr>
        <w:t>إ</w:t>
      </w:r>
      <w:r w:rsidRPr="00793E64">
        <w:rPr>
          <w:rFonts w:cs="Simplified Arabic"/>
          <w:rtl/>
          <w:lang w:val="fr-CH"/>
        </w:rPr>
        <w:t>نه سيعد مشروع</w:t>
      </w:r>
      <w:r w:rsidRPr="00793E64">
        <w:rPr>
          <w:rFonts w:cs="Simplified Arabic" w:hint="cs"/>
          <w:rtl/>
          <w:lang w:val="fr-CH"/>
        </w:rPr>
        <w:t>ي</w:t>
      </w:r>
      <w:r w:rsidRPr="00793E64">
        <w:rPr>
          <w:rFonts w:cs="Simplified Arabic"/>
          <w:rtl/>
          <w:lang w:val="fr-CH"/>
        </w:rPr>
        <w:t xml:space="preserve"> مقرر</w:t>
      </w:r>
      <w:r w:rsidRPr="00793E64">
        <w:rPr>
          <w:rFonts w:cs="Simplified Arabic" w:hint="cs"/>
          <w:rtl/>
          <w:lang w:val="fr-CH"/>
        </w:rPr>
        <w:t>ين</w:t>
      </w:r>
      <w:r w:rsidRPr="00793E64">
        <w:rPr>
          <w:rFonts w:cs="Simplified Arabic"/>
          <w:rtl/>
          <w:lang w:val="fr-CH"/>
        </w:rPr>
        <w:t xml:space="preserve"> لكي ينظر فيه</w:t>
      </w:r>
      <w:r w:rsidRPr="00793E64">
        <w:rPr>
          <w:rFonts w:cs="Simplified Arabic" w:hint="cs"/>
          <w:rtl/>
          <w:lang w:val="fr-CH"/>
        </w:rPr>
        <w:t>ما</w:t>
      </w:r>
      <w:r w:rsidRPr="00793E64">
        <w:rPr>
          <w:rFonts w:cs="Simplified Arabic"/>
          <w:rtl/>
          <w:lang w:val="fr-CH"/>
        </w:rPr>
        <w:t xml:space="preserve"> الفريق العامل. </w:t>
      </w:r>
      <w:r w:rsidRPr="00793E64">
        <w:rPr>
          <w:rFonts w:cs="Simplified Arabic" w:hint="cs"/>
          <w:rtl/>
          <w:lang w:val="fr-CH"/>
        </w:rPr>
        <w:t>و</w:t>
      </w:r>
      <w:r w:rsidRPr="00793E64">
        <w:rPr>
          <w:rFonts w:cs="Simplified Arabic"/>
          <w:rtl/>
          <w:lang w:val="fr-CH"/>
        </w:rPr>
        <w:t>سيتضمن مشروع المقرر</w:t>
      </w:r>
      <w:r w:rsidRPr="00793E64">
        <w:rPr>
          <w:rFonts w:cs="Simplified Arabic" w:hint="cs"/>
          <w:rtl/>
          <w:lang w:val="fr-CH"/>
        </w:rPr>
        <w:t xml:space="preserve"> الأول</w:t>
      </w:r>
      <w:r w:rsidRPr="00793E64">
        <w:rPr>
          <w:rFonts w:cs="Simplified Arabic"/>
          <w:rtl/>
          <w:lang w:val="fr-CH"/>
        </w:rPr>
        <w:t xml:space="preserve"> ما يلي: </w:t>
      </w:r>
      <w:r w:rsidRPr="00793E64">
        <w:rPr>
          <w:rFonts w:cs="Simplified Arabic" w:hint="cs"/>
          <w:rtl/>
          <w:lang w:val="fr-CH"/>
        </w:rPr>
        <w:t>صيغة</w:t>
      </w:r>
      <w:r w:rsidRPr="00793E64">
        <w:rPr>
          <w:rFonts w:cs="Simplified Arabic"/>
          <w:rtl/>
          <w:lang w:val="fr-CH"/>
        </w:rPr>
        <w:t xml:space="preserve"> بشأن الطرائق المشتركة لتشغيل غرف تبادل المعلومات</w:t>
      </w:r>
      <w:r w:rsidR="00D77278">
        <w:rPr>
          <w:rFonts w:cs="Simplified Arabic" w:hint="cs"/>
          <w:rtl/>
          <w:lang w:val="fr-CH"/>
        </w:rPr>
        <w:t>؛</w:t>
      </w:r>
      <w:r w:rsidRPr="00793E64">
        <w:rPr>
          <w:rFonts w:cs="Simplified Arabic"/>
          <w:rtl/>
          <w:lang w:val="fr-CH"/>
        </w:rPr>
        <w:t xml:space="preserve"> والنص المتعلق بآلية غرفة تبادل المعلومات؛ </w:t>
      </w:r>
      <w:r w:rsidRPr="00793E64">
        <w:rPr>
          <w:rFonts w:cs="Simplified Arabic" w:hint="cs"/>
          <w:rtl/>
          <w:lang w:val="fr-CH"/>
        </w:rPr>
        <w:t>و</w:t>
      </w:r>
      <w:r w:rsidRPr="00793E64">
        <w:rPr>
          <w:rFonts w:cs="Simplified Arabic"/>
          <w:rtl/>
          <w:lang w:val="fr-CH"/>
        </w:rPr>
        <w:t xml:space="preserve">وجهات النظر </w:t>
      </w:r>
      <w:r w:rsidR="00D77278">
        <w:rPr>
          <w:rFonts w:cs="Simplified Arabic" w:hint="cs"/>
          <w:rtl/>
          <w:lang w:val="fr-CH"/>
        </w:rPr>
        <w:t>المعرب</w:t>
      </w:r>
      <w:r w:rsidRPr="00793E64">
        <w:rPr>
          <w:rFonts w:cs="Simplified Arabic"/>
          <w:rtl/>
          <w:lang w:val="fr-CH"/>
        </w:rPr>
        <w:t xml:space="preserve"> عنها شفويا</w:t>
      </w:r>
      <w:r w:rsidR="00D77278">
        <w:rPr>
          <w:rFonts w:cs="Simplified Arabic" w:hint="cs"/>
          <w:rtl/>
          <w:lang w:val="fr-CH"/>
        </w:rPr>
        <w:t>ً</w:t>
      </w:r>
      <w:r w:rsidRPr="00793E64">
        <w:rPr>
          <w:rFonts w:cs="Simplified Arabic"/>
          <w:rtl/>
          <w:lang w:val="fr-CH"/>
        </w:rPr>
        <w:t xml:space="preserve"> والمقدمة كتاب</w:t>
      </w:r>
      <w:r w:rsidR="00D77278">
        <w:rPr>
          <w:rFonts w:cs="Simplified Arabic" w:hint="cs"/>
          <w:rtl/>
          <w:lang w:val="fr-CH"/>
        </w:rPr>
        <w:t>ة.</w:t>
      </w:r>
      <w:r w:rsidRPr="00793E64">
        <w:rPr>
          <w:rFonts w:cs="Simplified Arabic" w:hint="cs"/>
          <w:rtl/>
          <w:lang w:val="fr-CH"/>
        </w:rPr>
        <w:t xml:space="preserve"> </w:t>
      </w:r>
      <w:r w:rsidR="00D77278">
        <w:rPr>
          <w:rFonts w:cs="Simplified Arabic" w:hint="cs"/>
          <w:rtl/>
          <w:lang w:val="fr-CH"/>
        </w:rPr>
        <w:t>و</w:t>
      </w:r>
      <w:r w:rsidRPr="00793E64">
        <w:rPr>
          <w:rFonts w:cs="Simplified Arabic" w:hint="cs"/>
          <w:rtl/>
          <w:lang w:val="fr-CH"/>
        </w:rPr>
        <w:t>سيكون مشروع المقرر الثاني متعلقا بالاتصال.</w:t>
      </w:r>
    </w:p>
    <w:p w:rsidR="002A009A" w:rsidRPr="00793E64" w:rsidRDefault="002A009A" w:rsidP="00D77278">
      <w:pPr>
        <w:pStyle w:val="ListParagraph"/>
        <w:numPr>
          <w:ilvl w:val="0"/>
          <w:numId w:val="6"/>
        </w:numPr>
        <w:bidi/>
        <w:spacing w:line="216" w:lineRule="auto"/>
        <w:ind w:left="0" w:firstLine="0"/>
        <w:rPr>
          <w:rFonts w:cs="Simplified Arabic"/>
        </w:rPr>
      </w:pPr>
      <w:r w:rsidRPr="00793E64">
        <w:rPr>
          <w:rFonts w:cs="Simplified Arabic" w:hint="cs"/>
          <w:rtl/>
        </w:rPr>
        <w:t>و</w:t>
      </w:r>
      <w:r w:rsidR="00D77278">
        <w:rPr>
          <w:rFonts w:cs="Simplified Arabic" w:hint="cs"/>
          <w:rtl/>
        </w:rPr>
        <w:t xml:space="preserve">في </w:t>
      </w:r>
      <w:r w:rsidR="00D77278" w:rsidRPr="00793E64">
        <w:rPr>
          <w:rFonts w:cs="Simplified Arabic"/>
          <w:rtl/>
        </w:rPr>
        <w:t xml:space="preserve">جلسته العاشرة، المنعقدة في 25 </w:t>
      </w:r>
      <w:r w:rsidR="00D77278">
        <w:rPr>
          <w:rFonts w:cs="Simplified Arabic" w:hint="cs"/>
          <w:rtl/>
        </w:rPr>
        <w:t>نوفمبر/</w:t>
      </w:r>
      <w:r w:rsidR="00D77278" w:rsidRPr="00793E64">
        <w:rPr>
          <w:rFonts w:cs="Simplified Arabic"/>
          <w:rtl/>
        </w:rPr>
        <w:t xml:space="preserve">تشرين الثاني 2018، </w:t>
      </w:r>
      <w:r w:rsidRPr="00793E64">
        <w:rPr>
          <w:rFonts w:cs="Simplified Arabic"/>
          <w:rtl/>
        </w:rPr>
        <w:t>نظر الفريق العامل في مشروعي مقررين قدمهما الرئيس، أحدهما عن إدارة المعارف بموجب الاتفاقية وبروتوكو</w:t>
      </w:r>
      <w:r w:rsidRPr="00793E64">
        <w:rPr>
          <w:rFonts w:cs="Simplified Arabic" w:hint="cs"/>
          <w:rtl/>
        </w:rPr>
        <w:t>ليها</w:t>
      </w:r>
      <w:r w:rsidRPr="00793E64">
        <w:rPr>
          <w:rFonts w:cs="Simplified Arabic"/>
          <w:rtl/>
        </w:rPr>
        <w:t xml:space="preserve"> والآخر بشأن ال</w:t>
      </w:r>
      <w:r w:rsidR="00D77278">
        <w:rPr>
          <w:rFonts w:cs="Simplified Arabic" w:hint="cs"/>
          <w:rtl/>
        </w:rPr>
        <w:t>اتصال</w:t>
      </w:r>
      <w:r w:rsidRPr="00793E64">
        <w:rPr>
          <w:rFonts w:cs="Simplified Arabic"/>
          <w:rtl/>
        </w:rPr>
        <w:t>.</w:t>
      </w:r>
    </w:p>
    <w:p w:rsidR="002A009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hint="cs"/>
          <w:rtl/>
        </w:rPr>
        <w:t>و</w:t>
      </w:r>
      <w:r w:rsidRPr="00793E64">
        <w:rPr>
          <w:rFonts w:cs="Simplified Arabic"/>
          <w:rtl/>
        </w:rPr>
        <w:t>نظر الفريق العامل أولاً في مشروع المقرر بشأن إدارة المعارف بموجب الاتفاقية وبروتوكو</w:t>
      </w:r>
      <w:r w:rsidRPr="00793E64">
        <w:rPr>
          <w:rFonts w:cs="Simplified Arabic" w:hint="cs"/>
          <w:rtl/>
        </w:rPr>
        <w:t>ليها</w:t>
      </w:r>
      <w:r w:rsidRPr="00793E64">
        <w:rPr>
          <w:rFonts w:cs="Simplified Arabic"/>
          <w:rtl/>
        </w:rPr>
        <w:t>.</w:t>
      </w:r>
    </w:p>
    <w:p w:rsidR="002A009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hint="cs"/>
          <w:rtl/>
        </w:rPr>
        <w:t>و</w:t>
      </w:r>
      <w:r w:rsidRPr="00793E64">
        <w:rPr>
          <w:rFonts w:cs="Simplified Arabic"/>
          <w:rtl/>
        </w:rPr>
        <w:t>أدلى ببيانات ممثلو كندا</w:t>
      </w:r>
      <w:r w:rsidR="001F7C5B">
        <w:rPr>
          <w:rFonts w:cs="Simplified Arabic" w:hint="cs"/>
          <w:rtl/>
        </w:rPr>
        <w:t>،</w:t>
      </w:r>
      <w:r w:rsidRPr="00793E64">
        <w:rPr>
          <w:rFonts w:cs="Simplified Arabic"/>
          <w:rtl/>
        </w:rPr>
        <w:t xml:space="preserve"> والاتحاد الأوروبي ودوله الأعضاء </w:t>
      </w:r>
      <w:r w:rsidR="00484CC5">
        <w:rPr>
          <w:rFonts w:cs="Simplified Arabic" w:hint="cs"/>
          <w:rtl/>
        </w:rPr>
        <w:t>الثماني والعشرين</w:t>
      </w:r>
      <w:r w:rsidRPr="00793E64">
        <w:rPr>
          <w:rFonts w:cs="Simplified Arabic" w:hint="cs"/>
          <w:rtl/>
        </w:rPr>
        <w:t xml:space="preserve"> </w:t>
      </w:r>
      <w:r w:rsidRPr="00793E64">
        <w:rPr>
          <w:rFonts w:cs="Simplified Arabic"/>
          <w:rtl/>
        </w:rPr>
        <w:t>والمغرب.</w:t>
      </w:r>
    </w:p>
    <w:p w:rsidR="002A009A" w:rsidRPr="00793E64" w:rsidRDefault="002A009A" w:rsidP="00D77278">
      <w:pPr>
        <w:pStyle w:val="ListParagraph"/>
        <w:numPr>
          <w:ilvl w:val="0"/>
          <w:numId w:val="6"/>
        </w:numPr>
        <w:bidi/>
        <w:spacing w:line="216" w:lineRule="auto"/>
        <w:ind w:left="0" w:firstLine="0"/>
        <w:rPr>
          <w:rFonts w:cs="Simplified Arabic"/>
        </w:rPr>
      </w:pPr>
      <w:r w:rsidRPr="00793E64">
        <w:rPr>
          <w:rFonts w:cs="Simplified Arabic" w:hint="cs"/>
          <w:rtl/>
        </w:rPr>
        <w:t>و</w:t>
      </w:r>
      <w:r w:rsidR="00D77278">
        <w:rPr>
          <w:rFonts w:cs="Simplified Arabic" w:hint="cs"/>
          <w:rtl/>
        </w:rPr>
        <w:t>وافق</w:t>
      </w:r>
      <w:r w:rsidRPr="00793E64">
        <w:rPr>
          <w:rFonts w:cs="Simplified Arabic"/>
          <w:rtl/>
        </w:rPr>
        <w:t xml:space="preserve"> الفريق العامل </w:t>
      </w:r>
      <w:r w:rsidR="00D77278">
        <w:rPr>
          <w:rFonts w:cs="Simplified Arabic" w:hint="cs"/>
          <w:rtl/>
        </w:rPr>
        <w:t xml:space="preserve">على </w:t>
      </w:r>
      <w:r w:rsidRPr="00793E64">
        <w:rPr>
          <w:rFonts w:cs="Simplified Arabic"/>
          <w:rtl/>
        </w:rPr>
        <w:t>مشروع المقرر، بصيغته المعدلة شفويا</w:t>
      </w:r>
      <w:r w:rsidR="002D6647">
        <w:rPr>
          <w:rFonts w:cs="Simplified Arabic" w:hint="cs"/>
          <w:rtl/>
        </w:rPr>
        <w:t>ً</w:t>
      </w:r>
      <w:r w:rsidRPr="00793E64">
        <w:rPr>
          <w:rFonts w:cs="Simplified Arabic"/>
          <w:rtl/>
        </w:rPr>
        <w:t xml:space="preserve">، لإحالته إلى الجلسة العامة بوصفه مشروع المقرر </w:t>
      </w:r>
      <w:r w:rsidR="009847DD" w:rsidRPr="00793E64">
        <w:rPr>
          <w:rFonts w:cs="Simplified Arabic"/>
        </w:rPr>
        <w:t>CBD/COP/</w:t>
      </w:r>
      <w:r w:rsidR="001C08DD" w:rsidRPr="00793E64">
        <w:rPr>
          <w:rFonts w:cs="Simplified Arabic"/>
        </w:rPr>
        <w:t>14/</w:t>
      </w:r>
      <w:r w:rsidRPr="00793E64">
        <w:rPr>
          <w:rFonts w:cs="Simplified Arabic"/>
        </w:rPr>
        <w:t>L.15</w:t>
      </w:r>
      <w:r w:rsidRPr="00793E64">
        <w:rPr>
          <w:rFonts w:cs="Simplified Arabic"/>
          <w:rtl/>
        </w:rPr>
        <w:t>.</w:t>
      </w:r>
    </w:p>
    <w:p w:rsidR="002A009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rtl/>
        </w:rPr>
        <w:t>و</w:t>
      </w:r>
      <w:r w:rsidRPr="00793E64">
        <w:rPr>
          <w:rFonts w:cs="Simplified Arabic" w:hint="cs"/>
          <w:rtl/>
        </w:rPr>
        <w:t>بعد ذلك</w:t>
      </w:r>
      <w:r w:rsidRPr="00793E64">
        <w:rPr>
          <w:rFonts w:cs="Simplified Arabic"/>
          <w:rtl/>
        </w:rPr>
        <w:t xml:space="preserve"> نظر الفريق العامل في مشروع مقرر بشأن الاتصال.</w:t>
      </w:r>
    </w:p>
    <w:p w:rsidR="002A009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hint="cs"/>
          <w:rtl/>
        </w:rPr>
        <w:lastRenderedPageBreak/>
        <w:t>و</w:t>
      </w:r>
      <w:r w:rsidRPr="00793E64">
        <w:rPr>
          <w:rFonts w:cs="Simplified Arabic"/>
          <w:rtl/>
        </w:rPr>
        <w:t xml:space="preserve">أدلى ببيانات ممثلو البرازيل، </w:t>
      </w:r>
      <w:r w:rsidRPr="00793E64">
        <w:rPr>
          <w:rFonts w:cs="Simplified Arabic" w:hint="cs"/>
          <w:rtl/>
        </w:rPr>
        <w:t>و</w:t>
      </w:r>
      <w:r w:rsidRPr="00793E64">
        <w:rPr>
          <w:rFonts w:cs="Simplified Arabic"/>
          <w:rtl/>
        </w:rPr>
        <w:t xml:space="preserve">كندا، </w:t>
      </w:r>
      <w:r w:rsidRPr="00793E64">
        <w:rPr>
          <w:rFonts w:cs="Simplified Arabic" w:hint="cs"/>
          <w:rtl/>
        </w:rPr>
        <w:t>و</w:t>
      </w:r>
      <w:r w:rsidRPr="00793E64">
        <w:rPr>
          <w:rFonts w:cs="Simplified Arabic"/>
          <w:rtl/>
        </w:rPr>
        <w:t xml:space="preserve">كولومبيا، </w:t>
      </w:r>
      <w:r w:rsidRPr="00793E64">
        <w:rPr>
          <w:rFonts w:cs="Simplified Arabic" w:hint="cs"/>
          <w:rtl/>
        </w:rPr>
        <w:t>و</w:t>
      </w:r>
      <w:r w:rsidRPr="00793E64">
        <w:rPr>
          <w:rFonts w:cs="Simplified Arabic"/>
          <w:rtl/>
        </w:rPr>
        <w:t xml:space="preserve">الاتحاد الأوروبي ودوله الأعضاء </w:t>
      </w:r>
      <w:r w:rsidR="002D6647">
        <w:rPr>
          <w:rFonts w:cs="Simplified Arabic" w:hint="cs"/>
          <w:rtl/>
        </w:rPr>
        <w:t>الثماني والعشرين</w:t>
      </w:r>
      <w:r w:rsidR="002D6647" w:rsidRPr="00793E64">
        <w:rPr>
          <w:rFonts w:cs="Simplified Arabic"/>
          <w:rtl/>
        </w:rPr>
        <w:t>،</w:t>
      </w:r>
      <w:r w:rsidRPr="00793E64">
        <w:rPr>
          <w:rFonts w:cs="Simplified Arabic"/>
          <w:rtl/>
        </w:rPr>
        <w:t xml:space="preserve"> </w:t>
      </w:r>
      <w:r w:rsidRPr="00793E64">
        <w:rPr>
          <w:rFonts w:cs="Simplified Arabic" w:hint="cs"/>
          <w:rtl/>
        </w:rPr>
        <w:t>و</w:t>
      </w:r>
      <w:r w:rsidRPr="00793E64">
        <w:rPr>
          <w:rFonts w:cs="Simplified Arabic"/>
          <w:rtl/>
        </w:rPr>
        <w:t>غينيا والمكسيك.</w:t>
      </w:r>
    </w:p>
    <w:p w:rsidR="00656CE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hint="cs"/>
          <w:rtl/>
        </w:rPr>
        <w:t>و</w:t>
      </w:r>
      <w:r w:rsidR="002D6647">
        <w:rPr>
          <w:rFonts w:cs="Simplified Arabic" w:hint="cs"/>
          <w:rtl/>
        </w:rPr>
        <w:t>وافق</w:t>
      </w:r>
      <w:r w:rsidRPr="00793E64">
        <w:rPr>
          <w:rFonts w:cs="Simplified Arabic"/>
          <w:rtl/>
        </w:rPr>
        <w:t xml:space="preserve"> الفريق العامل </w:t>
      </w:r>
      <w:r w:rsidR="002D6647">
        <w:rPr>
          <w:rFonts w:cs="Simplified Arabic" w:hint="cs"/>
          <w:rtl/>
        </w:rPr>
        <w:t xml:space="preserve">على </w:t>
      </w:r>
      <w:r w:rsidRPr="00793E64">
        <w:rPr>
          <w:rFonts w:cs="Simplified Arabic"/>
          <w:rtl/>
        </w:rPr>
        <w:t>مشروع المقرر، بصيغته المعدلة شفويا</w:t>
      </w:r>
      <w:r w:rsidR="002D6647">
        <w:rPr>
          <w:rFonts w:cs="Simplified Arabic" w:hint="cs"/>
          <w:rtl/>
        </w:rPr>
        <w:t>ً</w:t>
      </w:r>
      <w:r w:rsidRPr="00793E64">
        <w:rPr>
          <w:rFonts w:cs="Simplified Arabic"/>
          <w:rtl/>
        </w:rPr>
        <w:t xml:space="preserve">، لإحالته إلى الجلسة العامة بوصفه مشروع المقرر </w:t>
      </w:r>
      <w:r w:rsidR="009847DD" w:rsidRPr="00793E64">
        <w:rPr>
          <w:rFonts w:cs="Simplified Arabic"/>
        </w:rPr>
        <w:t>CBD/COP/14/</w:t>
      </w:r>
      <w:r w:rsidRPr="00793E64">
        <w:rPr>
          <w:rFonts w:cs="Simplified Arabic"/>
        </w:rPr>
        <w:t>L.16</w:t>
      </w:r>
      <w:r w:rsidRPr="00793E64">
        <w:rPr>
          <w:rFonts w:cs="Simplified Arabic"/>
          <w:rtl/>
        </w:rPr>
        <w:t>.</w:t>
      </w:r>
    </w:p>
    <w:p w:rsidR="00656CEA" w:rsidRPr="00997CAE" w:rsidRDefault="00D77278" w:rsidP="001F7C5B">
      <w:pPr>
        <w:pStyle w:val="ListParagraph"/>
        <w:numPr>
          <w:ilvl w:val="0"/>
          <w:numId w:val="6"/>
        </w:numPr>
        <w:bidi/>
        <w:spacing w:line="216" w:lineRule="auto"/>
        <w:ind w:left="0" w:firstLine="0"/>
        <w:rPr>
          <w:rFonts w:cs="Simplified Arabic"/>
        </w:rPr>
      </w:pPr>
      <w:r>
        <w:rPr>
          <w:rFonts w:cs="Simplified Arabic" w:hint="cs"/>
          <w:rtl/>
        </w:rPr>
        <w:t>وفي الجلسة العامة ال</w:t>
      </w:r>
      <w:r w:rsidR="001F7C5B">
        <w:rPr>
          <w:rFonts w:cs="Simplified Arabic" w:hint="cs"/>
          <w:rtl/>
        </w:rPr>
        <w:t>سابع</w:t>
      </w:r>
      <w:r>
        <w:rPr>
          <w:rFonts w:cs="Simplified Arabic" w:hint="cs"/>
          <w:rtl/>
        </w:rPr>
        <w:t>ة</w:t>
      </w:r>
      <w:r w:rsidR="006C7608">
        <w:rPr>
          <w:rFonts w:cs="Simplified Arabic" w:hint="cs"/>
          <w:rtl/>
        </w:rPr>
        <w:t xml:space="preserve"> للاجتماع</w:t>
      </w:r>
      <w:r>
        <w:rPr>
          <w:rFonts w:cs="Simplified Arabic" w:hint="cs"/>
          <w:rtl/>
        </w:rPr>
        <w:t xml:space="preserve">، المنعقدة في 29 نوفمبر/تشرين الثاني 2018، اعتمد مؤتمر الأطراف مشروع المقرر </w:t>
      </w:r>
      <w:r w:rsidRPr="007F48C2">
        <w:t>CBD/COP/14/L.</w:t>
      </w:r>
      <w:r w:rsidR="001F7C5B">
        <w:t>1</w:t>
      </w:r>
      <w:r w:rsidRPr="007F48C2">
        <w:t>5</w:t>
      </w:r>
      <w:r>
        <w:rPr>
          <w:rFonts w:cs="Simplified Arabic" w:hint="cs"/>
          <w:rtl/>
        </w:rPr>
        <w:t xml:space="preserve"> بوصفه المقرر 14/</w:t>
      </w:r>
      <w:r w:rsidR="001F7C5B">
        <w:rPr>
          <w:rFonts w:cs="Simplified Arabic" w:hint="cs"/>
          <w:rtl/>
        </w:rPr>
        <w:t>25</w:t>
      </w:r>
      <w:r>
        <w:rPr>
          <w:rFonts w:cs="Simplified Arabic" w:hint="cs"/>
          <w:rtl/>
        </w:rPr>
        <w:t xml:space="preserve"> </w:t>
      </w:r>
      <w:r w:rsidR="001F7C5B">
        <w:rPr>
          <w:rFonts w:cs="Simplified Arabic" w:hint="cs"/>
          <w:rtl/>
        </w:rPr>
        <w:t xml:space="preserve">ومشروع المقرر </w:t>
      </w:r>
      <w:r w:rsidR="001F7C5B" w:rsidRPr="00793E64">
        <w:rPr>
          <w:rFonts w:cs="Simplified Arabic"/>
        </w:rPr>
        <w:t>CBD/COP/14/L.16</w:t>
      </w:r>
      <w:r w:rsidR="001F7C5B">
        <w:rPr>
          <w:rFonts w:cs="Simplified Arabic" w:hint="cs"/>
          <w:rtl/>
        </w:rPr>
        <w:t xml:space="preserve"> بوصفه المقرر 14/26 </w:t>
      </w:r>
      <w:r>
        <w:rPr>
          <w:rFonts w:cs="Simplified Arabic" w:hint="cs"/>
          <w:rtl/>
        </w:rPr>
        <w:t>(للاطلاع على النص، انظر الفصل الأول).</w:t>
      </w:r>
    </w:p>
    <w:p w:rsidR="00656CEA" w:rsidRPr="00997CAE" w:rsidRDefault="00656CEA" w:rsidP="00094717">
      <w:pPr>
        <w:pStyle w:val="ListParagraph"/>
        <w:tabs>
          <w:tab w:val="left" w:pos="1170"/>
        </w:tabs>
        <w:bidi/>
        <w:spacing w:line="216" w:lineRule="auto"/>
        <w:ind w:left="0"/>
        <w:jc w:val="center"/>
        <w:outlineLvl w:val="1"/>
        <w:rPr>
          <w:rFonts w:cs="Simplified Arabic"/>
        </w:rPr>
      </w:pPr>
      <w:bookmarkStart w:id="229" w:name="_Toc6140015"/>
      <w:r w:rsidRPr="00997CAE">
        <w:rPr>
          <w:rFonts w:cs="Simplified Arabic" w:hint="cs"/>
          <w:b/>
          <w:bCs/>
          <w:rtl/>
        </w:rPr>
        <w:t>البند 12 -</w:t>
      </w:r>
      <w:r w:rsidRPr="00997CAE">
        <w:rPr>
          <w:rFonts w:cs="Simplified Arabic" w:hint="cs"/>
          <w:b/>
          <w:bCs/>
          <w:rtl/>
        </w:rPr>
        <w:tab/>
        <w:t>آليات للإبلاغ الوطني، والتقييم والاستعراض</w:t>
      </w:r>
      <w:bookmarkEnd w:id="229"/>
    </w:p>
    <w:p w:rsidR="00656CEA" w:rsidRPr="00997CAE" w:rsidRDefault="00656CEA" w:rsidP="006C7608">
      <w:pPr>
        <w:pStyle w:val="ListParagraph"/>
        <w:bidi/>
        <w:spacing w:line="216" w:lineRule="auto"/>
        <w:ind w:left="0"/>
        <w:jc w:val="center"/>
        <w:rPr>
          <w:rFonts w:cs="Simplified Arabic"/>
        </w:rPr>
      </w:pPr>
      <w:r w:rsidRPr="00997CAE">
        <w:rPr>
          <w:rFonts w:cs="Simplified Arabic" w:hint="cs"/>
          <w:i/>
          <w:iCs/>
          <w:rtl/>
        </w:rPr>
        <w:t>عملية لتحقيق توافق الإبلاغ الوطني، والتقييم والاستعراض</w:t>
      </w:r>
    </w:p>
    <w:p w:rsidR="002A009A" w:rsidRPr="00793E64" w:rsidRDefault="002A009A" w:rsidP="006C7608">
      <w:pPr>
        <w:pStyle w:val="ListParagraph"/>
        <w:numPr>
          <w:ilvl w:val="0"/>
          <w:numId w:val="6"/>
        </w:numPr>
        <w:bidi/>
        <w:spacing w:line="216" w:lineRule="auto"/>
        <w:ind w:left="0" w:firstLine="0"/>
        <w:rPr>
          <w:rFonts w:cs="Simplified Arabic"/>
          <w:kern w:val="22"/>
          <w:rtl/>
        </w:rPr>
      </w:pPr>
      <w:r w:rsidRPr="00793E64">
        <w:rPr>
          <w:rFonts w:cs="Simplified Arabic"/>
          <w:rtl/>
          <w:lang w:val="fr-CH"/>
        </w:rPr>
        <w:t>تناول الفريق العامل الأول</w:t>
      </w:r>
      <w:r w:rsidRPr="00793E64">
        <w:rPr>
          <w:rFonts w:cs="Simplified Arabic" w:hint="cs"/>
          <w:rtl/>
          <w:lang w:val="fr-CH"/>
        </w:rPr>
        <w:t xml:space="preserve"> الجانب الأول</w:t>
      </w:r>
      <w:r w:rsidRPr="00793E64">
        <w:rPr>
          <w:rFonts w:cs="Simplified Arabic"/>
          <w:rtl/>
          <w:lang w:val="fr-CH"/>
        </w:rPr>
        <w:t xml:space="preserve"> </w:t>
      </w:r>
      <w:r w:rsidRPr="00793E64">
        <w:rPr>
          <w:rFonts w:cs="Simplified Arabic" w:hint="cs"/>
          <w:rtl/>
          <w:lang w:val="fr-CH"/>
        </w:rPr>
        <w:t xml:space="preserve">من </w:t>
      </w:r>
      <w:r w:rsidRPr="00793E64">
        <w:rPr>
          <w:rFonts w:cs="Simplified Arabic"/>
          <w:rtl/>
          <w:lang w:val="fr-CH"/>
        </w:rPr>
        <w:t xml:space="preserve">البند </w:t>
      </w:r>
      <w:r w:rsidRPr="00793E64">
        <w:rPr>
          <w:rFonts w:cs="Simplified Arabic" w:hint="cs"/>
          <w:rtl/>
          <w:lang w:val="fr-CH"/>
        </w:rPr>
        <w:t>12</w:t>
      </w:r>
      <w:r w:rsidRPr="00793E64">
        <w:rPr>
          <w:rFonts w:cs="Simplified Arabic"/>
          <w:rtl/>
          <w:lang w:val="fr-CH"/>
        </w:rPr>
        <w:t xml:space="preserve"> من جدول الأعمال </w:t>
      </w:r>
      <w:r w:rsidR="006C7608">
        <w:rPr>
          <w:rFonts w:cs="Simplified Arabic" w:hint="cs"/>
          <w:rtl/>
          <w:lang w:val="fr-CH"/>
        </w:rPr>
        <w:t>في</w:t>
      </w:r>
      <w:r w:rsidRPr="00793E64">
        <w:rPr>
          <w:rFonts w:cs="Simplified Arabic" w:hint="cs"/>
          <w:rtl/>
          <w:lang w:val="fr-CH"/>
        </w:rPr>
        <w:t xml:space="preserve"> جلسته الخامسة</w:t>
      </w:r>
      <w:r w:rsidR="006C7608">
        <w:rPr>
          <w:rFonts w:cs="Simplified Arabic" w:hint="cs"/>
          <w:rtl/>
          <w:lang w:val="fr-CH"/>
        </w:rPr>
        <w:t>،</w:t>
      </w:r>
      <w:r w:rsidRPr="00793E64">
        <w:rPr>
          <w:rFonts w:cs="Simplified Arabic" w:hint="cs"/>
          <w:rtl/>
          <w:lang w:val="fr-CH"/>
        </w:rPr>
        <w:t xml:space="preserve"> المنعقدة</w:t>
      </w:r>
      <w:r w:rsidRPr="00793E64">
        <w:rPr>
          <w:rFonts w:cs="Simplified Arabic"/>
          <w:rtl/>
          <w:lang w:val="fr-CH"/>
        </w:rPr>
        <w:t xml:space="preserve"> في</w:t>
      </w:r>
      <w:r w:rsidRPr="00793E64">
        <w:rPr>
          <w:rFonts w:cs="Simplified Arabic" w:hint="cs"/>
          <w:rtl/>
          <w:lang w:val="fr-CH"/>
        </w:rPr>
        <w:t xml:space="preserve"> 20 نوفمبر/تشرين الثاني 2018</w:t>
      </w:r>
      <w:r w:rsidRPr="00793E64">
        <w:rPr>
          <w:rFonts w:cs="Simplified Arabic"/>
          <w:rtl/>
          <w:lang w:val="fr-CH"/>
        </w:rPr>
        <w:t>. وكان معروضا على الفريق العامل في غضون نظره في البند</w:t>
      </w:r>
      <w:r w:rsidRPr="00793E64">
        <w:rPr>
          <w:rFonts w:cs="Simplified Arabic" w:hint="cs"/>
          <w:rtl/>
          <w:lang w:val="fr-CH"/>
        </w:rPr>
        <w:t xml:space="preserve"> مشروع مقرر يستند إلى التوصية</w:t>
      </w:r>
      <w:r w:rsidR="006C7608">
        <w:rPr>
          <w:rFonts w:cs="Simplified Arabic" w:hint="cs"/>
          <w:rtl/>
          <w:lang w:val="fr-CH"/>
        </w:rPr>
        <w:t xml:space="preserve"> 2/11 للهيئة الفرعية للتنفيذ،</w:t>
      </w:r>
      <w:r w:rsidRPr="00793E64">
        <w:rPr>
          <w:rFonts w:cs="Simplified Arabic" w:hint="cs"/>
          <w:rtl/>
          <w:lang w:val="fr-CH"/>
        </w:rPr>
        <w:t xml:space="preserve"> </w:t>
      </w:r>
      <w:r w:rsidRPr="00793E64">
        <w:rPr>
          <w:rFonts w:cs="Simplified Arabic"/>
          <w:i/>
          <w:kern w:val="22"/>
          <w:rtl/>
        </w:rPr>
        <w:t>الم</w:t>
      </w:r>
      <w:r w:rsidRPr="00793E64">
        <w:rPr>
          <w:rFonts w:cs="Simplified Arabic" w:hint="cs"/>
          <w:i/>
          <w:kern w:val="22"/>
          <w:rtl/>
        </w:rPr>
        <w:t>بين</w:t>
      </w:r>
      <w:r w:rsidRPr="00793E64">
        <w:rPr>
          <w:rFonts w:cs="Simplified Arabic"/>
          <w:i/>
          <w:kern w:val="22"/>
          <w:rtl/>
        </w:rPr>
        <w:t xml:space="preserve"> في</w:t>
      </w:r>
      <w:r w:rsidRPr="00793E64">
        <w:rPr>
          <w:rFonts w:cs="Simplified Arabic" w:hint="cs"/>
          <w:iCs/>
          <w:kern w:val="22"/>
          <w:rtl/>
        </w:rPr>
        <w:t xml:space="preserve"> </w:t>
      </w:r>
      <w:r w:rsidRPr="00793E64">
        <w:rPr>
          <w:rFonts w:cs="Simplified Arabic"/>
          <w:i/>
          <w:kern w:val="22"/>
          <w:rtl/>
        </w:rPr>
        <w:t>تجميع مشاريع المقررات</w:t>
      </w:r>
      <w:r w:rsidRPr="00793E64">
        <w:rPr>
          <w:rFonts w:cs="Simplified Arabic" w:hint="cs"/>
          <w:i/>
          <w:kern w:val="22"/>
          <w:rtl/>
        </w:rPr>
        <w:t xml:space="preserve"> </w:t>
      </w:r>
      <w:r w:rsidRPr="00793E64">
        <w:rPr>
          <w:rFonts w:cs="Simplified Arabic"/>
          <w:kern w:val="22"/>
        </w:rPr>
        <w:t>(CBD/COP/14/2)</w:t>
      </w:r>
      <w:r w:rsidRPr="00793E64">
        <w:rPr>
          <w:rFonts w:cs="Simplified Arabic" w:hint="cs"/>
          <w:kern w:val="22"/>
          <w:rtl/>
        </w:rPr>
        <w:t>.</w:t>
      </w:r>
    </w:p>
    <w:p w:rsidR="002A009A" w:rsidRPr="00793E64" w:rsidRDefault="002A009A" w:rsidP="00FF7FA5">
      <w:pPr>
        <w:pStyle w:val="ListParagraph"/>
        <w:numPr>
          <w:ilvl w:val="0"/>
          <w:numId w:val="6"/>
        </w:numPr>
        <w:bidi/>
        <w:spacing w:line="216" w:lineRule="auto"/>
        <w:ind w:left="0" w:firstLine="0"/>
        <w:jc w:val="left"/>
        <w:rPr>
          <w:rFonts w:cs="Simplified Arabic"/>
          <w:kern w:val="22"/>
          <w:rtl/>
        </w:rPr>
      </w:pPr>
      <w:r w:rsidRPr="00793E64">
        <w:rPr>
          <w:rFonts w:cs="Simplified Arabic"/>
          <w:kern w:val="22"/>
          <w:rtl/>
        </w:rPr>
        <w:t>وأدلى ببيانات ممثلو كندا</w:t>
      </w:r>
      <w:r w:rsidR="006C7608">
        <w:rPr>
          <w:rFonts w:cs="Simplified Arabic" w:hint="cs"/>
          <w:kern w:val="22"/>
          <w:rtl/>
        </w:rPr>
        <w:t>،</w:t>
      </w:r>
      <w:r w:rsidRPr="00793E64">
        <w:rPr>
          <w:rFonts w:cs="Simplified Arabic"/>
          <w:kern w:val="22"/>
          <w:rtl/>
        </w:rPr>
        <w:t xml:space="preserve"> والاتحاد الأوروبي </w:t>
      </w:r>
      <w:r w:rsidRPr="00793E64">
        <w:rPr>
          <w:rFonts w:cs="Simplified Arabic"/>
          <w:rtl/>
        </w:rPr>
        <w:t xml:space="preserve">ودوله الأعضاء </w:t>
      </w:r>
      <w:r w:rsidR="002D6647">
        <w:rPr>
          <w:rFonts w:cs="Simplified Arabic" w:hint="cs"/>
          <w:rtl/>
        </w:rPr>
        <w:t>الثماني والعشرين</w:t>
      </w:r>
      <w:r w:rsidR="002D6647" w:rsidRPr="00793E64">
        <w:rPr>
          <w:rFonts w:cs="Simplified Arabic"/>
          <w:rtl/>
        </w:rPr>
        <w:t>،</w:t>
      </w:r>
      <w:r w:rsidRPr="00793E64">
        <w:rPr>
          <w:rFonts w:cs="Simplified Arabic"/>
          <w:kern w:val="22"/>
          <w:rtl/>
        </w:rPr>
        <w:t xml:space="preserve"> واليابان وأوغندا.</w:t>
      </w:r>
    </w:p>
    <w:p w:rsidR="002A009A" w:rsidRPr="00793E64" w:rsidRDefault="002A009A" w:rsidP="006C7608">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 xml:space="preserve">قال الرئيس </w:t>
      </w:r>
      <w:r w:rsidRPr="00793E64">
        <w:rPr>
          <w:rFonts w:cs="Simplified Arabic" w:hint="cs"/>
          <w:rtl/>
          <w:lang w:val="fr-CH"/>
        </w:rPr>
        <w:t>إ</w:t>
      </w:r>
      <w:r w:rsidRPr="00793E64">
        <w:rPr>
          <w:rFonts w:cs="Simplified Arabic"/>
          <w:rtl/>
          <w:lang w:val="fr-CH"/>
        </w:rPr>
        <w:t>نه سيعد مشروع</w:t>
      </w:r>
      <w:r w:rsidRPr="00793E64">
        <w:rPr>
          <w:rFonts w:cs="Simplified Arabic" w:hint="cs"/>
          <w:rtl/>
          <w:lang w:val="fr-CH"/>
        </w:rPr>
        <w:t xml:space="preserve"> مقرر منقح</w:t>
      </w:r>
      <w:r w:rsidR="006C7608">
        <w:rPr>
          <w:rFonts w:cs="Simplified Arabic" w:hint="cs"/>
          <w:rtl/>
          <w:lang w:val="fr-CH"/>
        </w:rPr>
        <w:t>، مع مراعاة</w:t>
      </w:r>
      <w:r w:rsidRPr="00793E64">
        <w:rPr>
          <w:rFonts w:cs="Simplified Arabic"/>
          <w:rtl/>
          <w:lang w:val="fr-CH"/>
        </w:rPr>
        <w:t xml:space="preserve"> الآراء الم</w:t>
      </w:r>
      <w:r w:rsidRPr="00793E64">
        <w:rPr>
          <w:rFonts w:cs="Simplified Arabic" w:hint="cs"/>
          <w:rtl/>
          <w:lang w:val="fr-CH"/>
        </w:rPr>
        <w:t>ع</w:t>
      </w:r>
      <w:r w:rsidR="001F7C5B">
        <w:rPr>
          <w:rFonts w:cs="Simplified Arabic" w:hint="cs"/>
          <w:rtl/>
          <w:lang w:val="fr-CH"/>
        </w:rPr>
        <w:t>رب</w:t>
      </w:r>
      <w:r w:rsidRPr="00793E64">
        <w:rPr>
          <w:rFonts w:cs="Simplified Arabic" w:hint="cs"/>
          <w:rtl/>
          <w:lang w:val="fr-CH"/>
        </w:rPr>
        <w:t xml:space="preserve"> عنها</w:t>
      </w:r>
      <w:r w:rsidRPr="00793E64">
        <w:rPr>
          <w:rFonts w:cs="Simplified Arabic"/>
          <w:rtl/>
          <w:lang w:val="fr-CH"/>
        </w:rPr>
        <w:t xml:space="preserve"> شف</w:t>
      </w:r>
      <w:r w:rsidRPr="00793E64">
        <w:rPr>
          <w:rFonts w:cs="Simplified Arabic" w:hint="cs"/>
          <w:rtl/>
          <w:lang w:val="fr-CH"/>
        </w:rPr>
        <w:t>و</w:t>
      </w:r>
      <w:r w:rsidRPr="00793E64">
        <w:rPr>
          <w:rFonts w:cs="Simplified Arabic"/>
          <w:rtl/>
          <w:lang w:val="fr-CH"/>
        </w:rPr>
        <w:t>يا</w:t>
      </w:r>
      <w:r w:rsidR="001F7C5B">
        <w:rPr>
          <w:rFonts w:cs="Simplified Arabic" w:hint="cs"/>
          <w:rtl/>
          <w:lang w:val="fr-CH"/>
        </w:rPr>
        <w:t>ً</w:t>
      </w:r>
      <w:r w:rsidRPr="00793E64">
        <w:rPr>
          <w:rFonts w:cs="Simplified Arabic"/>
          <w:rtl/>
          <w:lang w:val="fr-CH"/>
        </w:rPr>
        <w:t xml:space="preserve"> والمقدمة كتاب</w:t>
      </w:r>
      <w:r w:rsidR="001F7C5B">
        <w:rPr>
          <w:rFonts w:cs="Simplified Arabic" w:hint="cs"/>
          <w:rtl/>
          <w:lang w:val="fr-CH"/>
        </w:rPr>
        <w:t>ة</w:t>
      </w:r>
      <w:r w:rsidRPr="00793E64">
        <w:rPr>
          <w:rFonts w:cs="Simplified Arabic"/>
          <w:rtl/>
          <w:lang w:val="fr-CH"/>
        </w:rPr>
        <w:t>.</w:t>
      </w:r>
      <w:r w:rsidRPr="00793E64">
        <w:rPr>
          <w:rFonts w:cs="Simplified Arabic" w:hint="cs"/>
          <w:rtl/>
          <w:lang w:val="fr-CH"/>
        </w:rPr>
        <w:t xml:space="preserve"> </w:t>
      </w:r>
      <w:r w:rsidRPr="00793E64">
        <w:rPr>
          <w:rFonts w:cs="Simplified Arabic"/>
          <w:rtl/>
          <w:lang w:val="fr-CH"/>
        </w:rPr>
        <w:t>وأشار إلى أن النص ظل بين أقواس معقوفة، واقترح أيضاً عقد مشاورات غير رسمية مع الأطراف المهتمة بهدف إزالة الأقواس المعقوفة.</w:t>
      </w:r>
    </w:p>
    <w:p w:rsidR="002A009A" w:rsidRPr="00793E64" w:rsidRDefault="002A009A" w:rsidP="006C7608">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001F7C5B">
        <w:rPr>
          <w:rFonts w:cs="Simplified Arabic" w:hint="cs"/>
          <w:rtl/>
          <w:lang w:val="fr-CH"/>
        </w:rPr>
        <w:t>في</w:t>
      </w:r>
      <w:r w:rsidR="001F7C5B" w:rsidRPr="001F7C5B">
        <w:rPr>
          <w:rFonts w:cs="Simplified Arabic"/>
          <w:rtl/>
          <w:lang w:val="fr-CH"/>
        </w:rPr>
        <w:t xml:space="preserve"> </w:t>
      </w:r>
      <w:r w:rsidR="001F7C5B" w:rsidRPr="00793E64">
        <w:rPr>
          <w:rFonts w:cs="Simplified Arabic"/>
          <w:rtl/>
          <w:lang w:val="fr-CH"/>
        </w:rPr>
        <w:t>جلست</w:t>
      </w:r>
      <w:r w:rsidR="001F7C5B">
        <w:rPr>
          <w:rFonts w:cs="Simplified Arabic"/>
          <w:rtl/>
          <w:lang w:val="fr-CH"/>
        </w:rPr>
        <w:t>ه التاسعة</w:t>
      </w:r>
      <w:r w:rsidR="006C7608">
        <w:rPr>
          <w:rFonts w:cs="Simplified Arabic" w:hint="cs"/>
          <w:rtl/>
          <w:lang w:val="fr-CH"/>
        </w:rPr>
        <w:t>،</w:t>
      </w:r>
      <w:r w:rsidR="001F7C5B">
        <w:rPr>
          <w:rFonts w:cs="Simplified Arabic"/>
          <w:rtl/>
          <w:lang w:val="fr-CH"/>
        </w:rPr>
        <w:t xml:space="preserve"> المنعقدة في 22 نوفمبر/</w:t>
      </w:r>
      <w:r w:rsidR="001F7C5B" w:rsidRPr="00793E64">
        <w:rPr>
          <w:rFonts w:cs="Simplified Arabic"/>
          <w:rtl/>
          <w:lang w:val="fr-CH"/>
        </w:rPr>
        <w:t>تشرين الثاني 2018</w:t>
      </w:r>
      <w:r w:rsidR="001F7C5B">
        <w:rPr>
          <w:rFonts w:cs="Simplified Arabic" w:hint="cs"/>
          <w:rtl/>
          <w:lang w:val="fr-CH"/>
        </w:rPr>
        <w:t>،</w:t>
      </w:r>
      <w:r w:rsidR="001F7C5B" w:rsidRPr="00793E64">
        <w:rPr>
          <w:rFonts w:cs="Simplified Arabic" w:hint="cs"/>
          <w:rtl/>
          <w:lang w:val="fr-CH"/>
        </w:rPr>
        <w:t xml:space="preserve"> </w:t>
      </w:r>
      <w:r w:rsidRPr="00793E64">
        <w:rPr>
          <w:rFonts w:cs="Simplified Arabic"/>
          <w:rtl/>
          <w:lang w:val="fr-CH"/>
        </w:rPr>
        <w:t xml:space="preserve">نظر الفريق العامل في مشروع المقرر المنقح الذي أعده الرئيس، </w:t>
      </w:r>
      <w:r w:rsidRPr="00793E64">
        <w:rPr>
          <w:rFonts w:cs="Simplified Arabic" w:hint="cs"/>
          <w:rtl/>
          <w:lang w:val="fr-CH"/>
        </w:rPr>
        <w:t>على</w:t>
      </w:r>
      <w:r w:rsidRPr="00793E64">
        <w:rPr>
          <w:rFonts w:cs="Simplified Arabic"/>
          <w:rtl/>
          <w:lang w:val="fr-CH"/>
        </w:rPr>
        <w:t xml:space="preserve"> ضوء شرح قصير من جانب ممثل </w:t>
      </w:r>
      <w:r w:rsidR="001F7C5B">
        <w:rPr>
          <w:rFonts w:cs="Simplified Arabic" w:hint="cs"/>
          <w:rtl/>
          <w:lang w:val="fr-CH"/>
        </w:rPr>
        <w:t xml:space="preserve">عن </w:t>
      </w:r>
      <w:r w:rsidRPr="00793E64">
        <w:rPr>
          <w:rFonts w:cs="Simplified Arabic"/>
          <w:rtl/>
          <w:lang w:val="fr-CH"/>
        </w:rPr>
        <w:t xml:space="preserve">الأمانة </w:t>
      </w:r>
      <w:r w:rsidR="006C7608">
        <w:rPr>
          <w:rFonts w:cs="Simplified Arabic" w:hint="cs"/>
          <w:rtl/>
          <w:lang w:val="fr-CH"/>
        </w:rPr>
        <w:t>بخصوص</w:t>
      </w:r>
      <w:r w:rsidRPr="00793E64">
        <w:rPr>
          <w:rFonts w:cs="Simplified Arabic"/>
          <w:rtl/>
          <w:lang w:val="fr-CH"/>
        </w:rPr>
        <w:t xml:space="preserve"> إزالة الأقواس المعقوفة.</w:t>
      </w:r>
    </w:p>
    <w:p w:rsidR="002A009A" w:rsidRPr="00793E64" w:rsidRDefault="002A009A" w:rsidP="00FF7FA5">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وافق الفريق العامل على حذف الأقواس المعقوفة و</w:t>
      </w:r>
      <w:r w:rsidRPr="00793E64">
        <w:rPr>
          <w:rFonts w:cs="Simplified Arabic" w:hint="cs"/>
          <w:rtl/>
          <w:lang w:val="fr-CH"/>
        </w:rPr>
        <w:t>إحالة</w:t>
      </w:r>
      <w:r w:rsidRPr="00793E64">
        <w:rPr>
          <w:rFonts w:cs="Simplified Arabic"/>
          <w:rtl/>
          <w:lang w:val="fr-CH"/>
        </w:rPr>
        <w:t xml:space="preserve"> مشروع المقرر</w:t>
      </w:r>
      <w:r w:rsidRPr="00793E64">
        <w:rPr>
          <w:rFonts w:cs="Simplified Arabic" w:hint="cs"/>
          <w:rtl/>
          <w:lang w:val="fr-CH"/>
        </w:rPr>
        <w:t xml:space="preserve"> المنقح</w:t>
      </w:r>
      <w:r w:rsidRPr="00793E64">
        <w:rPr>
          <w:rFonts w:cs="Simplified Arabic"/>
          <w:rtl/>
          <w:lang w:val="fr-CH"/>
        </w:rPr>
        <w:t xml:space="preserve"> إلى الجلسة العامة بوصفه مشروع المقرر </w:t>
      </w:r>
      <w:r w:rsidRPr="00793E64">
        <w:rPr>
          <w:rFonts w:cs="Simplified Arabic"/>
          <w:lang w:val="fr-CH"/>
        </w:rPr>
        <w:t>CBD/COP/14/L.7</w:t>
      </w:r>
      <w:r w:rsidRPr="00793E64">
        <w:rPr>
          <w:rFonts w:cs="Simplified Arabic"/>
          <w:rtl/>
          <w:lang w:val="fr-CH"/>
        </w:rPr>
        <w:t>.</w:t>
      </w:r>
    </w:p>
    <w:p w:rsidR="002A009A" w:rsidRPr="00997CAE" w:rsidRDefault="002A009A" w:rsidP="001F7C5B">
      <w:pPr>
        <w:pStyle w:val="ListParagraph"/>
        <w:numPr>
          <w:ilvl w:val="0"/>
          <w:numId w:val="6"/>
        </w:numPr>
        <w:bidi/>
        <w:spacing w:line="216" w:lineRule="auto"/>
        <w:ind w:left="0" w:firstLine="0"/>
        <w:rPr>
          <w:rFonts w:cs="Simplified Arabic"/>
          <w:rtl/>
          <w:lang w:val="fr-CH"/>
        </w:rPr>
      </w:pPr>
      <w:r w:rsidRPr="00997CAE">
        <w:rPr>
          <w:rFonts w:cs="Simplified Arabic" w:hint="cs"/>
          <w:rtl/>
        </w:rPr>
        <w:t xml:space="preserve">وفي الجلسة العامة الخامسة للاجتماع، المنعقدة في 25 نوفمبر/تشرين الثاني 2018، </w:t>
      </w:r>
      <w:r w:rsidR="008C1330" w:rsidRPr="00997CAE">
        <w:rPr>
          <w:rFonts w:cs="Simplified Arabic" w:hint="cs"/>
          <w:rtl/>
        </w:rPr>
        <w:t>اعتمد</w:t>
      </w:r>
      <w:r w:rsidRPr="00997CAE">
        <w:rPr>
          <w:rFonts w:cs="Simplified Arabic" w:hint="cs"/>
          <w:rtl/>
        </w:rPr>
        <w:t xml:space="preserve"> مؤتمر الأطراف مشروع المقرر </w:t>
      </w:r>
      <w:r w:rsidRPr="00477B14">
        <w:rPr>
          <w:rFonts w:cs="Simplified Arabic"/>
          <w:lang w:val="fr-CH"/>
        </w:rPr>
        <w:t>CBD/COP/14/L.</w:t>
      </w:r>
      <w:r w:rsidR="008C1330" w:rsidRPr="00477B14">
        <w:rPr>
          <w:rFonts w:cs="Simplified Arabic"/>
          <w:lang w:val="fr-CH"/>
        </w:rPr>
        <w:t>7</w:t>
      </w:r>
      <w:r w:rsidRPr="00997CAE">
        <w:rPr>
          <w:rFonts w:cs="Simplified Arabic" w:hint="cs"/>
          <w:rtl/>
        </w:rPr>
        <w:t>،</w:t>
      </w:r>
      <w:r w:rsidRPr="00997CAE">
        <w:rPr>
          <w:rFonts w:cs="Simplified Arabic" w:hint="cs"/>
          <w:rtl/>
          <w:lang w:val="fr-CH"/>
        </w:rPr>
        <w:t xml:space="preserve"> بوصفه المقرر 14/</w:t>
      </w:r>
      <w:r w:rsidR="001F7C5B">
        <w:rPr>
          <w:rFonts w:cs="Simplified Arabic" w:hint="cs"/>
          <w:rtl/>
          <w:lang w:val="fr-CH"/>
        </w:rPr>
        <w:t>27</w:t>
      </w:r>
      <w:r w:rsidRPr="00997CAE">
        <w:rPr>
          <w:rFonts w:cs="Simplified Arabic" w:hint="cs"/>
          <w:rtl/>
          <w:lang w:val="fr-CH"/>
        </w:rPr>
        <w:t>.</w:t>
      </w:r>
    </w:p>
    <w:p w:rsidR="002A009A" w:rsidRPr="00997CAE" w:rsidRDefault="002A009A" w:rsidP="00AB779D">
      <w:pPr>
        <w:pStyle w:val="ListParagraph"/>
        <w:bidi/>
        <w:spacing w:line="216" w:lineRule="auto"/>
        <w:ind w:left="0"/>
        <w:jc w:val="center"/>
        <w:rPr>
          <w:rFonts w:cs="Simplified Arabic"/>
          <w:i/>
          <w:iCs/>
          <w:rtl/>
          <w:lang w:val="fr-CH"/>
        </w:rPr>
      </w:pPr>
      <w:r w:rsidRPr="00997CAE">
        <w:rPr>
          <w:rFonts w:cs="Simplified Arabic"/>
          <w:i/>
          <w:iCs/>
          <w:rtl/>
          <w:lang w:val="fr-CH"/>
        </w:rPr>
        <w:t>أدوات لتقييم فاعلية أدوات السياسات لتنفيذ الخطة الاستراتيجية للتنوع البيولوجي 2011-2020</w:t>
      </w:r>
    </w:p>
    <w:p w:rsidR="002A009A" w:rsidRPr="00793E64" w:rsidRDefault="002A009A" w:rsidP="00AD64EA">
      <w:pPr>
        <w:pStyle w:val="ListParagraph"/>
        <w:numPr>
          <w:ilvl w:val="0"/>
          <w:numId w:val="6"/>
        </w:numPr>
        <w:bidi/>
        <w:spacing w:line="216" w:lineRule="auto"/>
        <w:ind w:left="0" w:firstLine="0"/>
        <w:rPr>
          <w:rFonts w:cs="Simplified Arabic"/>
          <w:kern w:val="22"/>
          <w:rtl/>
        </w:rPr>
      </w:pPr>
      <w:r w:rsidRPr="00AD64EA">
        <w:rPr>
          <w:rFonts w:cs="Simplified Arabic"/>
          <w:rtl/>
          <w:lang w:val="fr-CH"/>
        </w:rPr>
        <w:t xml:space="preserve">تناول الفريق العامل </w:t>
      </w:r>
      <w:r w:rsidRPr="00AD64EA">
        <w:rPr>
          <w:rFonts w:cs="Simplified Arabic" w:hint="cs"/>
          <w:rtl/>
          <w:lang w:val="fr-CH"/>
        </w:rPr>
        <w:t>ال</w:t>
      </w:r>
      <w:r w:rsidR="00AD64EA">
        <w:rPr>
          <w:rFonts w:cs="Simplified Arabic" w:hint="cs"/>
          <w:rtl/>
          <w:lang w:val="fr-CH"/>
        </w:rPr>
        <w:t>أول</w:t>
      </w:r>
      <w:r w:rsidRPr="00AD64EA">
        <w:rPr>
          <w:rFonts w:cs="Simplified Arabic" w:hint="cs"/>
          <w:rtl/>
          <w:lang w:val="fr-CH"/>
        </w:rPr>
        <w:t xml:space="preserve"> الجانب</w:t>
      </w:r>
      <w:r w:rsidRPr="00793E64">
        <w:rPr>
          <w:rFonts w:cs="Simplified Arabic" w:hint="cs"/>
          <w:rtl/>
          <w:lang w:val="fr-CH"/>
        </w:rPr>
        <w:t xml:space="preserve"> الثاني</w:t>
      </w:r>
      <w:r w:rsidRPr="00793E64">
        <w:rPr>
          <w:rFonts w:cs="Simplified Arabic"/>
          <w:rtl/>
          <w:lang w:val="fr-CH"/>
        </w:rPr>
        <w:t xml:space="preserve"> </w:t>
      </w:r>
      <w:r w:rsidRPr="00793E64">
        <w:rPr>
          <w:rFonts w:cs="Simplified Arabic" w:hint="cs"/>
          <w:rtl/>
          <w:lang w:val="fr-CH"/>
        </w:rPr>
        <w:t xml:space="preserve">من </w:t>
      </w:r>
      <w:r w:rsidRPr="00793E64">
        <w:rPr>
          <w:rFonts w:cs="Simplified Arabic"/>
          <w:rtl/>
          <w:lang w:val="fr-CH"/>
        </w:rPr>
        <w:t>البند 1</w:t>
      </w:r>
      <w:r w:rsidRPr="00793E64">
        <w:rPr>
          <w:rFonts w:cs="Simplified Arabic" w:hint="cs"/>
          <w:rtl/>
          <w:lang w:val="fr-CH"/>
        </w:rPr>
        <w:t>2</w:t>
      </w:r>
      <w:r w:rsidRPr="00793E64">
        <w:rPr>
          <w:rFonts w:cs="Simplified Arabic"/>
          <w:rtl/>
          <w:lang w:val="fr-CH"/>
        </w:rPr>
        <w:t xml:space="preserve"> من جدول الأعمال </w:t>
      </w:r>
      <w:r w:rsidR="00AB779D">
        <w:rPr>
          <w:rFonts w:cs="Simplified Arabic" w:hint="cs"/>
          <w:rtl/>
          <w:lang w:val="fr-CH"/>
        </w:rPr>
        <w:t>في</w:t>
      </w:r>
      <w:r w:rsidRPr="00793E64">
        <w:rPr>
          <w:rFonts w:cs="Simplified Arabic" w:hint="cs"/>
          <w:rtl/>
          <w:lang w:val="fr-CH"/>
        </w:rPr>
        <w:t xml:space="preserve"> جلسته الخامسة</w:t>
      </w:r>
      <w:r w:rsidR="00AB779D">
        <w:rPr>
          <w:rFonts w:cs="Simplified Arabic" w:hint="cs"/>
          <w:rtl/>
          <w:lang w:val="fr-CH"/>
        </w:rPr>
        <w:t>،</w:t>
      </w:r>
      <w:r w:rsidRPr="00793E64">
        <w:rPr>
          <w:rFonts w:cs="Simplified Arabic" w:hint="cs"/>
          <w:rtl/>
          <w:lang w:val="fr-CH"/>
        </w:rPr>
        <w:t xml:space="preserve"> المنعقدة في 20 نوفمبر/تشرين الثاني 2018.</w:t>
      </w:r>
      <w:r w:rsidRPr="00793E64">
        <w:rPr>
          <w:rFonts w:cs="Simplified Arabic"/>
          <w:lang w:val="fr-CH"/>
        </w:rPr>
        <w:t xml:space="preserve"> </w:t>
      </w:r>
      <w:r w:rsidRPr="00793E64">
        <w:rPr>
          <w:rFonts w:cs="Simplified Arabic"/>
          <w:rtl/>
          <w:lang w:val="fr-CH"/>
        </w:rPr>
        <w:t>وكان معروضا على الفريق العامل في غضون نظره في البند</w:t>
      </w:r>
      <w:r w:rsidRPr="00793E64">
        <w:rPr>
          <w:rFonts w:cs="Simplified Arabic" w:hint="cs"/>
          <w:rtl/>
          <w:lang w:val="fr-CH"/>
        </w:rPr>
        <w:t xml:space="preserve"> مشروع مقرر يستند إلى </w:t>
      </w:r>
      <w:r w:rsidR="00AD64EA">
        <w:rPr>
          <w:rFonts w:cs="Simplified Arabic" w:hint="cs"/>
          <w:rtl/>
          <w:lang w:val="fr-CH"/>
        </w:rPr>
        <w:t>ال</w:t>
      </w:r>
      <w:r w:rsidRPr="00793E64">
        <w:rPr>
          <w:rFonts w:cs="Simplified Arabic" w:hint="cs"/>
          <w:rtl/>
          <w:lang w:val="fr-CH"/>
        </w:rPr>
        <w:t xml:space="preserve">توصية </w:t>
      </w:r>
      <w:r w:rsidR="00AD64EA">
        <w:rPr>
          <w:rFonts w:cs="Simplified Arabic" w:hint="cs"/>
          <w:rtl/>
        </w:rPr>
        <w:t>21/6 ل</w:t>
      </w:r>
      <w:r w:rsidRPr="00793E64">
        <w:rPr>
          <w:rFonts w:cs="Simplified Arabic"/>
          <w:rtl/>
        </w:rPr>
        <w:t>لهيئة الفرعية للمشورة العلمية والتقنية والتكنولوجية</w:t>
      </w:r>
      <w:r w:rsidR="00AD64EA">
        <w:rPr>
          <w:rFonts w:cs="Simplified Arabic" w:hint="cs"/>
          <w:rtl/>
        </w:rPr>
        <w:t>، المبين</w:t>
      </w:r>
      <w:r w:rsidRPr="00793E64">
        <w:rPr>
          <w:rFonts w:cs="Simplified Arabic" w:hint="cs"/>
          <w:rtl/>
        </w:rPr>
        <w:t xml:space="preserve"> </w:t>
      </w:r>
      <w:r w:rsidRPr="00793E64">
        <w:rPr>
          <w:rFonts w:cs="Simplified Arabic"/>
          <w:i/>
          <w:kern w:val="22"/>
          <w:rtl/>
        </w:rPr>
        <w:t>في</w:t>
      </w:r>
      <w:r w:rsidRPr="00793E64">
        <w:rPr>
          <w:rFonts w:cs="Simplified Arabic" w:hint="cs"/>
          <w:iCs/>
          <w:kern w:val="22"/>
          <w:rtl/>
        </w:rPr>
        <w:t xml:space="preserve"> </w:t>
      </w:r>
      <w:r w:rsidRPr="00793E64">
        <w:rPr>
          <w:rFonts w:cs="Simplified Arabic"/>
          <w:i/>
          <w:kern w:val="22"/>
          <w:rtl/>
        </w:rPr>
        <w:t>تجميع مشاريع المقررات</w:t>
      </w:r>
      <w:r w:rsidRPr="00793E64">
        <w:rPr>
          <w:rFonts w:cs="Simplified Arabic" w:hint="cs"/>
          <w:i/>
          <w:kern w:val="22"/>
          <w:rtl/>
        </w:rPr>
        <w:t xml:space="preserve"> </w:t>
      </w:r>
      <w:r w:rsidRPr="00793E64">
        <w:rPr>
          <w:rFonts w:cs="Simplified Arabic"/>
          <w:kern w:val="22"/>
        </w:rPr>
        <w:t>(CBD/COP/14/2)</w:t>
      </w:r>
      <w:r w:rsidRPr="00793E64">
        <w:rPr>
          <w:rFonts w:cs="Simplified Arabic" w:hint="cs"/>
          <w:kern w:val="22"/>
          <w:rtl/>
        </w:rPr>
        <w:t>.</w:t>
      </w:r>
    </w:p>
    <w:p w:rsidR="002A009A" w:rsidRPr="00793E64" w:rsidRDefault="002A009A" w:rsidP="00FF7FA5">
      <w:pPr>
        <w:pStyle w:val="ListParagraph"/>
        <w:numPr>
          <w:ilvl w:val="0"/>
          <w:numId w:val="6"/>
        </w:numPr>
        <w:bidi/>
        <w:spacing w:line="216" w:lineRule="auto"/>
        <w:ind w:left="0" w:firstLine="0"/>
        <w:rPr>
          <w:rFonts w:cs="Simplified Arabic"/>
          <w:rtl/>
          <w:lang w:val="fr-CH"/>
        </w:rPr>
      </w:pPr>
      <w:r w:rsidRPr="00793E64">
        <w:rPr>
          <w:rFonts w:cs="Simplified Arabic" w:hint="cs"/>
          <w:rtl/>
          <w:lang w:val="fr-CH"/>
        </w:rPr>
        <w:t>وأدلى ممثل اليابان ببيان.</w:t>
      </w:r>
    </w:p>
    <w:p w:rsidR="002A009A" w:rsidRPr="00793E64" w:rsidRDefault="002A009A" w:rsidP="00AB779D">
      <w:pPr>
        <w:pStyle w:val="ListParagraph"/>
        <w:numPr>
          <w:ilvl w:val="0"/>
          <w:numId w:val="6"/>
        </w:numPr>
        <w:bidi/>
        <w:spacing w:line="216" w:lineRule="auto"/>
        <w:ind w:left="0" w:firstLine="0"/>
        <w:rPr>
          <w:rFonts w:cs="Simplified Arabic"/>
          <w:rtl/>
          <w:lang w:val="fr-CH"/>
        </w:rPr>
      </w:pPr>
      <w:r w:rsidRPr="00793E64">
        <w:rPr>
          <w:rFonts w:cs="Simplified Arabic" w:hint="cs"/>
          <w:rtl/>
          <w:lang w:val="fr-CH"/>
        </w:rPr>
        <w:t>و</w:t>
      </w:r>
      <w:r w:rsidRPr="00793E64">
        <w:rPr>
          <w:rFonts w:cs="Simplified Arabic"/>
          <w:rtl/>
          <w:lang w:val="fr-CH"/>
        </w:rPr>
        <w:t xml:space="preserve">قال الرئيس </w:t>
      </w:r>
      <w:r w:rsidRPr="00793E64">
        <w:rPr>
          <w:rFonts w:cs="Simplified Arabic" w:hint="cs"/>
          <w:rtl/>
          <w:lang w:val="fr-CH"/>
        </w:rPr>
        <w:t>إ</w:t>
      </w:r>
      <w:r w:rsidRPr="00793E64">
        <w:rPr>
          <w:rFonts w:cs="Simplified Arabic"/>
          <w:rtl/>
          <w:lang w:val="fr-CH"/>
        </w:rPr>
        <w:t>نه سيعد مشروع</w:t>
      </w:r>
      <w:r w:rsidRPr="00793E64">
        <w:rPr>
          <w:rFonts w:cs="Simplified Arabic" w:hint="cs"/>
          <w:rtl/>
          <w:lang w:val="fr-CH"/>
        </w:rPr>
        <w:t xml:space="preserve"> مقرر منقح</w:t>
      </w:r>
      <w:r w:rsidRPr="00793E64">
        <w:rPr>
          <w:rFonts w:cs="Simplified Arabic"/>
          <w:rtl/>
          <w:lang w:val="fr-CH"/>
        </w:rPr>
        <w:t xml:space="preserve"> يأخذ في الاعتبار الآراء </w:t>
      </w:r>
      <w:r w:rsidR="00AB779D">
        <w:rPr>
          <w:rFonts w:cs="Simplified Arabic" w:hint="cs"/>
          <w:rtl/>
          <w:lang w:val="fr-CH"/>
        </w:rPr>
        <w:t>المعرب</w:t>
      </w:r>
      <w:r w:rsidRPr="00793E64">
        <w:rPr>
          <w:rFonts w:cs="Simplified Arabic" w:hint="cs"/>
          <w:rtl/>
          <w:lang w:val="fr-CH"/>
        </w:rPr>
        <w:t xml:space="preserve"> عنها.</w:t>
      </w:r>
    </w:p>
    <w:p w:rsidR="002A009A" w:rsidRPr="00793E64" w:rsidRDefault="00AB779D" w:rsidP="00AB779D">
      <w:pPr>
        <w:pStyle w:val="ListParagraph"/>
        <w:numPr>
          <w:ilvl w:val="0"/>
          <w:numId w:val="6"/>
        </w:numPr>
        <w:bidi/>
        <w:spacing w:line="216" w:lineRule="auto"/>
        <w:ind w:left="0" w:firstLine="0"/>
        <w:rPr>
          <w:rFonts w:cs="Simplified Arabic"/>
          <w:lang w:val="fr-CH"/>
        </w:rPr>
      </w:pPr>
      <w:r>
        <w:rPr>
          <w:rFonts w:cs="Simplified Arabic" w:hint="cs"/>
          <w:rtl/>
          <w:lang w:val="fr-CH"/>
        </w:rPr>
        <w:t>وفي</w:t>
      </w:r>
      <w:r w:rsidR="002A009A" w:rsidRPr="00793E64">
        <w:rPr>
          <w:rFonts w:cs="Simplified Arabic"/>
          <w:rtl/>
          <w:lang w:val="fr-CH"/>
        </w:rPr>
        <w:t xml:space="preserve"> </w:t>
      </w:r>
      <w:r>
        <w:rPr>
          <w:rFonts w:cs="Simplified Arabic" w:hint="cs"/>
          <w:rtl/>
          <w:lang w:val="fr-CH"/>
        </w:rPr>
        <w:t xml:space="preserve">جلسته </w:t>
      </w:r>
      <w:r w:rsidR="002A009A" w:rsidRPr="00793E64">
        <w:rPr>
          <w:rFonts w:cs="Simplified Arabic"/>
          <w:rtl/>
          <w:lang w:val="fr-CH"/>
        </w:rPr>
        <w:t>التاسعة</w:t>
      </w:r>
      <w:r>
        <w:rPr>
          <w:rFonts w:cs="Simplified Arabic" w:hint="cs"/>
          <w:rtl/>
          <w:lang w:val="fr-CH"/>
        </w:rPr>
        <w:t>،</w:t>
      </w:r>
      <w:r w:rsidR="002A009A" w:rsidRPr="00793E64">
        <w:rPr>
          <w:rFonts w:cs="Simplified Arabic"/>
          <w:rtl/>
          <w:lang w:val="fr-CH"/>
        </w:rPr>
        <w:t xml:space="preserve"> المنعقدة في 22 نوفمبر</w:t>
      </w:r>
      <w:r w:rsidR="002A009A" w:rsidRPr="00793E64">
        <w:rPr>
          <w:rFonts w:cs="Simplified Arabic" w:hint="cs"/>
          <w:rtl/>
          <w:lang w:val="fr-CH"/>
        </w:rPr>
        <w:t>/تشرين</w:t>
      </w:r>
      <w:r w:rsidR="002A009A" w:rsidRPr="00793E64">
        <w:rPr>
          <w:rFonts w:cs="Simplified Arabic"/>
          <w:rtl/>
          <w:lang w:val="fr-CH"/>
        </w:rPr>
        <w:t xml:space="preserve"> 2018</w:t>
      </w:r>
      <w:r>
        <w:rPr>
          <w:rFonts w:cs="Simplified Arabic" w:hint="cs"/>
          <w:rtl/>
          <w:lang w:val="fr-CH"/>
        </w:rPr>
        <w:t>،</w:t>
      </w:r>
      <w:r w:rsidR="002A009A" w:rsidRPr="00793E64">
        <w:rPr>
          <w:rFonts w:cs="Simplified Arabic" w:hint="cs"/>
          <w:rtl/>
          <w:lang w:val="fr-CH"/>
        </w:rPr>
        <w:t xml:space="preserve"> </w:t>
      </w:r>
      <w:r w:rsidRPr="00793E64">
        <w:rPr>
          <w:rFonts w:cs="Simplified Arabic"/>
          <w:rtl/>
          <w:lang w:val="fr-CH"/>
        </w:rPr>
        <w:t xml:space="preserve">نظر الفريق العامل </w:t>
      </w:r>
      <w:r w:rsidR="002A009A" w:rsidRPr="00793E64">
        <w:rPr>
          <w:rFonts w:cs="Simplified Arabic"/>
          <w:rtl/>
          <w:lang w:val="fr-CH"/>
        </w:rPr>
        <w:t xml:space="preserve">في مشروع المقرر المنقح </w:t>
      </w:r>
      <w:r>
        <w:rPr>
          <w:rFonts w:cs="Simplified Arabic" w:hint="cs"/>
          <w:rtl/>
          <w:lang w:val="fr-CH"/>
        </w:rPr>
        <w:t xml:space="preserve">الذي </w:t>
      </w:r>
      <w:r w:rsidR="002A009A" w:rsidRPr="00793E64">
        <w:rPr>
          <w:rFonts w:cs="Simplified Arabic"/>
          <w:rtl/>
          <w:lang w:val="fr-CH"/>
        </w:rPr>
        <w:t>أعده الرئيس.</w:t>
      </w:r>
    </w:p>
    <w:p w:rsidR="002A009A" w:rsidRPr="00793E64" w:rsidRDefault="002A009A" w:rsidP="00FF7FA5">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 xml:space="preserve">أدلى ببيانات الاتحاد الأوروبي ودوله الأعضاء </w:t>
      </w:r>
      <w:r w:rsidR="002D6647">
        <w:rPr>
          <w:rFonts w:cs="Simplified Arabic" w:hint="cs"/>
          <w:rtl/>
        </w:rPr>
        <w:t>الثماني والعشرين</w:t>
      </w:r>
      <w:r w:rsidR="002D6647" w:rsidRPr="00793E64">
        <w:rPr>
          <w:rFonts w:cs="Simplified Arabic"/>
          <w:rtl/>
        </w:rPr>
        <w:t>،</w:t>
      </w:r>
      <w:r w:rsidRPr="00793E64">
        <w:rPr>
          <w:rFonts w:cs="Simplified Arabic"/>
          <w:rtl/>
          <w:lang w:val="fr-CH"/>
        </w:rPr>
        <w:t xml:space="preserve"> </w:t>
      </w:r>
      <w:r w:rsidRPr="00793E64">
        <w:rPr>
          <w:rFonts w:cs="Simplified Arabic" w:hint="cs"/>
          <w:rtl/>
          <w:lang w:val="fr-CH"/>
        </w:rPr>
        <w:t>و</w:t>
      </w:r>
      <w:r w:rsidRPr="00793E64">
        <w:rPr>
          <w:rFonts w:cs="Simplified Arabic"/>
          <w:rtl/>
          <w:lang w:val="fr-CH"/>
        </w:rPr>
        <w:t>المغرب وأوغندا.</w:t>
      </w:r>
    </w:p>
    <w:p w:rsidR="002A009A" w:rsidRPr="00793E64" w:rsidRDefault="002A009A" w:rsidP="00FF7FA5">
      <w:pPr>
        <w:pStyle w:val="ListParagraph"/>
        <w:numPr>
          <w:ilvl w:val="0"/>
          <w:numId w:val="6"/>
        </w:numPr>
        <w:bidi/>
        <w:spacing w:line="216" w:lineRule="auto"/>
        <w:ind w:left="0" w:firstLine="0"/>
        <w:rPr>
          <w:rFonts w:cs="Simplified Arabic"/>
          <w:lang w:val="fr-CH"/>
        </w:rPr>
      </w:pPr>
      <w:r w:rsidRPr="00793E64">
        <w:rPr>
          <w:rFonts w:cs="Simplified Arabic" w:hint="cs"/>
          <w:rtl/>
          <w:lang w:val="fr-CH"/>
        </w:rPr>
        <w:t>و</w:t>
      </w:r>
      <w:r w:rsidRPr="00793E64">
        <w:rPr>
          <w:rFonts w:cs="Simplified Arabic"/>
          <w:rtl/>
          <w:lang w:val="fr-CH"/>
        </w:rPr>
        <w:t>وافق الفريق العامل على مشروع المقرر</w:t>
      </w:r>
      <w:r w:rsidRPr="00793E64">
        <w:rPr>
          <w:rFonts w:cs="Simplified Arabic" w:hint="cs"/>
          <w:rtl/>
          <w:lang w:val="fr-CH"/>
        </w:rPr>
        <w:t xml:space="preserve"> المنقح</w:t>
      </w:r>
      <w:r w:rsidRPr="00793E64">
        <w:rPr>
          <w:rFonts w:cs="Simplified Arabic"/>
          <w:rtl/>
          <w:lang w:val="fr-CH"/>
        </w:rPr>
        <w:t>، بصيغته المعدلة شفويا</w:t>
      </w:r>
      <w:r w:rsidR="00FE0200">
        <w:rPr>
          <w:rFonts w:cs="Simplified Arabic" w:hint="cs"/>
          <w:rtl/>
          <w:lang w:val="fr-CH"/>
        </w:rPr>
        <w:t>ً</w:t>
      </w:r>
      <w:r w:rsidRPr="00793E64">
        <w:rPr>
          <w:rFonts w:cs="Simplified Arabic"/>
          <w:rtl/>
          <w:lang w:val="fr-CH"/>
        </w:rPr>
        <w:t xml:space="preserve">، لإحالته إلى الجلسة العامة بوصفه مشروع المقرر </w:t>
      </w:r>
      <w:r w:rsidR="009847DD" w:rsidRPr="00793E64">
        <w:rPr>
          <w:rFonts w:cs="Simplified Arabic"/>
          <w:lang w:val="fr-CH"/>
        </w:rPr>
        <w:t>CBD/COP/14/</w:t>
      </w:r>
      <w:r w:rsidRPr="00793E64">
        <w:rPr>
          <w:rFonts w:cs="Simplified Arabic"/>
          <w:lang w:val="fr-CH"/>
        </w:rPr>
        <w:t>L.8</w:t>
      </w:r>
      <w:r w:rsidRPr="00793E64">
        <w:rPr>
          <w:rFonts w:cs="Simplified Arabic"/>
          <w:rtl/>
          <w:lang w:val="fr-CH"/>
        </w:rPr>
        <w:t>.</w:t>
      </w:r>
    </w:p>
    <w:p w:rsidR="008C1330" w:rsidRPr="00997CAE" w:rsidRDefault="008C1330" w:rsidP="00AB779D">
      <w:pPr>
        <w:pStyle w:val="ListParagraph"/>
        <w:numPr>
          <w:ilvl w:val="0"/>
          <w:numId w:val="6"/>
        </w:numPr>
        <w:bidi/>
        <w:spacing w:line="216" w:lineRule="auto"/>
        <w:ind w:left="0" w:firstLine="0"/>
        <w:rPr>
          <w:rFonts w:cs="Simplified Arabic"/>
          <w:rtl/>
          <w:lang w:val="fr-CH"/>
        </w:rPr>
      </w:pPr>
      <w:r w:rsidRPr="00997CAE">
        <w:rPr>
          <w:rFonts w:cs="Simplified Arabic" w:hint="cs"/>
          <w:rtl/>
        </w:rPr>
        <w:lastRenderedPageBreak/>
        <w:t xml:space="preserve">وفي الجلسة العامة الخامسة للاجتماع، المنعقدة في 25 نوفمبر/تشرين الثاني 2018، اعتمد مؤتمر الأطراف مشروع المقرر </w:t>
      </w:r>
      <w:r w:rsidRPr="00477B14">
        <w:rPr>
          <w:rFonts w:cs="Simplified Arabic"/>
          <w:lang w:val="fr-CH"/>
        </w:rPr>
        <w:t>CBD/COP/14/L.8</w:t>
      </w:r>
      <w:r w:rsidRPr="00997CAE">
        <w:rPr>
          <w:rFonts w:cs="Simplified Arabic" w:hint="cs"/>
          <w:rtl/>
        </w:rPr>
        <w:t>،</w:t>
      </w:r>
      <w:r w:rsidRPr="00997CAE">
        <w:rPr>
          <w:rFonts w:cs="Simplified Arabic" w:hint="cs"/>
          <w:rtl/>
          <w:lang w:val="fr-CH"/>
        </w:rPr>
        <w:t xml:space="preserve"> بوصفه المقرر 14/</w:t>
      </w:r>
      <w:r w:rsidR="00AB779D">
        <w:rPr>
          <w:rFonts w:cs="Simplified Arabic" w:hint="cs"/>
          <w:rtl/>
          <w:lang w:val="fr-CH"/>
        </w:rPr>
        <w:t>28</w:t>
      </w:r>
      <w:r w:rsidRPr="00997CAE">
        <w:rPr>
          <w:rFonts w:cs="Simplified Arabic" w:hint="cs"/>
          <w:rtl/>
          <w:lang w:val="fr-CH"/>
        </w:rPr>
        <w:t>.</w:t>
      </w:r>
    </w:p>
    <w:p w:rsidR="002A009A" w:rsidRPr="00997CAE" w:rsidRDefault="002A009A" w:rsidP="00AB779D">
      <w:pPr>
        <w:pStyle w:val="ListParagraph"/>
        <w:bidi/>
        <w:spacing w:line="216" w:lineRule="auto"/>
        <w:ind w:left="0"/>
        <w:jc w:val="center"/>
        <w:rPr>
          <w:rFonts w:cs="Simplified Arabic"/>
          <w:i/>
          <w:iCs/>
          <w:rtl/>
          <w:lang w:val="fr-CH"/>
        </w:rPr>
      </w:pPr>
      <w:r w:rsidRPr="00997CAE">
        <w:rPr>
          <w:rFonts w:cs="Simplified Arabic" w:hint="cs"/>
          <w:i/>
          <w:iCs/>
          <w:rtl/>
          <w:lang w:val="fr-CH"/>
        </w:rPr>
        <w:t>آليات الاستعراض</w:t>
      </w:r>
    </w:p>
    <w:p w:rsidR="002A009A" w:rsidRPr="00793E64" w:rsidRDefault="002A009A" w:rsidP="00AD64EA">
      <w:pPr>
        <w:pStyle w:val="ListParagraph"/>
        <w:numPr>
          <w:ilvl w:val="0"/>
          <w:numId w:val="6"/>
        </w:numPr>
        <w:bidi/>
        <w:spacing w:line="216" w:lineRule="auto"/>
        <w:ind w:left="0" w:firstLine="0"/>
        <w:rPr>
          <w:rFonts w:cs="Simplified Arabic"/>
          <w:rtl/>
          <w:lang w:val="fr-CH"/>
        </w:rPr>
      </w:pPr>
      <w:r w:rsidRPr="00793E64">
        <w:rPr>
          <w:rFonts w:cs="Simplified Arabic"/>
          <w:rtl/>
          <w:lang w:val="fr-CH"/>
        </w:rPr>
        <w:t xml:space="preserve">تناول الفريق العامل </w:t>
      </w:r>
      <w:r w:rsidRPr="00793E64">
        <w:rPr>
          <w:rFonts w:cs="Simplified Arabic" w:hint="cs"/>
          <w:rtl/>
          <w:lang w:val="fr-CH"/>
        </w:rPr>
        <w:t>ال</w:t>
      </w:r>
      <w:r w:rsidR="00AD64EA">
        <w:rPr>
          <w:rFonts w:cs="Simplified Arabic" w:hint="cs"/>
          <w:rtl/>
          <w:lang w:val="fr-CH"/>
        </w:rPr>
        <w:t>أول</w:t>
      </w:r>
      <w:r w:rsidRPr="00793E64">
        <w:rPr>
          <w:rFonts w:cs="Simplified Arabic" w:hint="cs"/>
          <w:rtl/>
          <w:lang w:val="fr-CH"/>
        </w:rPr>
        <w:t xml:space="preserve"> الجانب الثالث</w:t>
      </w:r>
      <w:r w:rsidRPr="00793E64">
        <w:rPr>
          <w:rFonts w:cs="Simplified Arabic"/>
          <w:rtl/>
          <w:lang w:val="fr-CH"/>
        </w:rPr>
        <w:t xml:space="preserve"> (مؤتمر الأطراف) </w:t>
      </w:r>
      <w:r w:rsidRPr="00793E64">
        <w:rPr>
          <w:rFonts w:cs="Simplified Arabic" w:hint="cs"/>
          <w:rtl/>
          <w:lang w:val="fr-CH"/>
        </w:rPr>
        <w:t xml:space="preserve">من </w:t>
      </w:r>
      <w:r w:rsidRPr="00793E64">
        <w:rPr>
          <w:rFonts w:cs="Simplified Arabic"/>
          <w:rtl/>
          <w:lang w:val="fr-CH"/>
        </w:rPr>
        <w:t>البند 1</w:t>
      </w:r>
      <w:r w:rsidRPr="00793E64">
        <w:rPr>
          <w:rFonts w:cs="Simplified Arabic" w:hint="cs"/>
          <w:rtl/>
          <w:lang w:val="fr-CH"/>
        </w:rPr>
        <w:t>2</w:t>
      </w:r>
      <w:r w:rsidRPr="00793E64">
        <w:rPr>
          <w:rFonts w:cs="Simplified Arabic"/>
          <w:rtl/>
          <w:lang w:val="fr-CH"/>
        </w:rPr>
        <w:t xml:space="preserve"> من جدول الأعمال </w:t>
      </w:r>
      <w:r w:rsidR="00AD64EA">
        <w:rPr>
          <w:rFonts w:cs="Simplified Arabic" w:hint="cs"/>
          <w:rtl/>
          <w:lang w:val="fr-CH"/>
        </w:rPr>
        <w:t>في</w:t>
      </w:r>
      <w:r w:rsidRPr="00793E64">
        <w:rPr>
          <w:rFonts w:cs="Simplified Arabic" w:hint="cs"/>
          <w:rtl/>
          <w:lang w:val="fr-CH"/>
        </w:rPr>
        <w:t xml:space="preserve"> جلسته الخامسة</w:t>
      </w:r>
      <w:r w:rsidR="00AD64EA">
        <w:rPr>
          <w:rFonts w:cs="Simplified Arabic" w:hint="cs"/>
          <w:rtl/>
          <w:lang w:val="fr-CH"/>
        </w:rPr>
        <w:t>،</w:t>
      </w:r>
      <w:r w:rsidRPr="00793E64">
        <w:rPr>
          <w:rFonts w:cs="Simplified Arabic" w:hint="cs"/>
          <w:rtl/>
          <w:lang w:val="fr-CH"/>
        </w:rPr>
        <w:t xml:space="preserve"> المنعقدة في 20 نوفمبر/تشرين الثاني 2018</w:t>
      </w:r>
      <w:r w:rsidRPr="00793E64">
        <w:rPr>
          <w:rFonts w:cs="Simplified Arabic"/>
          <w:rtl/>
          <w:lang w:val="fr-CH"/>
        </w:rPr>
        <w:t>. وكان معروضا على الفريق العامل في غضون نظره في البند</w:t>
      </w:r>
      <w:r w:rsidRPr="00793E64">
        <w:rPr>
          <w:rFonts w:cs="Simplified Arabic" w:hint="cs"/>
          <w:rtl/>
          <w:lang w:val="fr-CH"/>
        </w:rPr>
        <w:t xml:space="preserve"> وثيقتان إعلاميتان: إحداهما بشأن </w:t>
      </w:r>
      <w:r w:rsidRPr="00793E64">
        <w:rPr>
          <w:rFonts w:cs="Simplified Arabic"/>
          <w:rtl/>
        </w:rPr>
        <w:t>الاستعراض الطوعي للنظراء من أجل إعداد وتنفيذ</w:t>
      </w:r>
      <w:r w:rsidRPr="00793E64">
        <w:rPr>
          <w:rFonts w:cs="Simplified Arabic" w:hint="cs"/>
          <w:rtl/>
        </w:rPr>
        <w:t xml:space="preserve"> </w:t>
      </w:r>
      <w:r w:rsidR="00AD64EA">
        <w:rPr>
          <w:rFonts w:eastAsia="YouYuan" w:cs="Simplified Arabic" w:hint="cs"/>
          <w:kern w:val="2"/>
          <w:rtl/>
        </w:rPr>
        <w:t>ا</w:t>
      </w:r>
      <w:r w:rsidRPr="00793E64">
        <w:rPr>
          <w:rFonts w:eastAsia="YouYuan" w:cs="Simplified Arabic"/>
          <w:kern w:val="2"/>
          <w:rtl/>
        </w:rPr>
        <w:t>لاستراتيج</w:t>
      </w:r>
      <w:r w:rsidR="00AD64EA">
        <w:rPr>
          <w:rFonts w:eastAsia="YouYuan" w:cs="Simplified Arabic" w:hint="cs"/>
          <w:kern w:val="2"/>
          <w:rtl/>
        </w:rPr>
        <w:t>ية</w:t>
      </w:r>
      <w:r w:rsidRPr="00793E64">
        <w:rPr>
          <w:rFonts w:eastAsia="YouYuan" w:cs="Simplified Arabic"/>
          <w:kern w:val="2"/>
          <w:rtl/>
        </w:rPr>
        <w:t xml:space="preserve"> وخط</w:t>
      </w:r>
      <w:r w:rsidR="00AD64EA">
        <w:rPr>
          <w:rFonts w:eastAsia="YouYuan" w:cs="Simplified Arabic" w:hint="cs"/>
          <w:kern w:val="2"/>
          <w:rtl/>
        </w:rPr>
        <w:t>ة</w:t>
      </w:r>
      <w:r w:rsidRPr="00793E64">
        <w:rPr>
          <w:rFonts w:eastAsia="YouYuan" w:cs="Simplified Arabic"/>
          <w:kern w:val="2"/>
          <w:rtl/>
        </w:rPr>
        <w:t xml:space="preserve"> العمل الوطنية للتنوع البيولوجي</w:t>
      </w:r>
      <w:r w:rsidRPr="00793E64">
        <w:rPr>
          <w:rFonts w:eastAsia="YouYuan" w:cs="Simplified Arabic" w:hint="cs"/>
          <w:kern w:val="2"/>
          <w:rtl/>
        </w:rPr>
        <w:t xml:space="preserve"> للجبل الأسود</w:t>
      </w:r>
      <w:r w:rsidRPr="00793E64">
        <w:rPr>
          <w:rFonts w:cs="Simplified Arabic" w:hint="cs"/>
          <w:rtl/>
        </w:rPr>
        <w:t xml:space="preserve"> </w:t>
      </w:r>
      <w:r w:rsidRPr="00793E64">
        <w:rPr>
          <w:rFonts w:cs="Simplified Arabic"/>
          <w:kern w:val="22"/>
        </w:rPr>
        <w:t>(CBD/COP/14/INF/19)</w:t>
      </w:r>
      <w:r w:rsidRPr="00793E64">
        <w:rPr>
          <w:rFonts w:cs="Simplified Arabic" w:hint="cs"/>
          <w:kern w:val="22"/>
          <w:rtl/>
        </w:rPr>
        <w:t xml:space="preserve"> </w:t>
      </w:r>
      <w:r w:rsidRPr="00793E64">
        <w:rPr>
          <w:rFonts w:cs="Simplified Arabic"/>
          <w:kern w:val="22"/>
          <w:rtl/>
        </w:rPr>
        <w:t>و</w:t>
      </w:r>
      <w:r w:rsidRPr="00793E64">
        <w:rPr>
          <w:rFonts w:cs="Simplified Arabic" w:hint="cs"/>
          <w:kern w:val="22"/>
          <w:rtl/>
        </w:rPr>
        <w:t xml:space="preserve">الوثيقة الأخرى بشأن </w:t>
      </w:r>
      <w:r w:rsidRPr="00793E64">
        <w:rPr>
          <w:rFonts w:cs="Simplified Arabic" w:hint="cs"/>
          <w:rtl/>
        </w:rPr>
        <w:t>إرشادات</w:t>
      </w:r>
      <w:r w:rsidRPr="00793E64">
        <w:rPr>
          <w:rFonts w:cs="Simplified Arabic"/>
          <w:rtl/>
        </w:rPr>
        <w:t xml:space="preserve"> </w:t>
      </w:r>
      <w:r w:rsidRPr="00793E64">
        <w:rPr>
          <w:rFonts w:cs="Simplified Arabic" w:hint="cs"/>
          <w:rtl/>
        </w:rPr>
        <w:t>التنوع</w:t>
      </w:r>
      <w:r w:rsidRPr="00793E64">
        <w:rPr>
          <w:rFonts w:cs="Simplified Arabic"/>
          <w:rtl/>
        </w:rPr>
        <w:t xml:space="preserve"> </w:t>
      </w:r>
      <w:r w:rsidRPr="00793E64">
        <w:rPr>
          <w:rFonts w:cs="Simplified Arabic" w:hint="cs"/>
          <w:rtl/>
        </w:rPr>
        <w:t>البيولوجي</w:t>
      </w:r>
      <w:r w:rsidRPr="00793E64">
        <w:rPr>
          <w:rFonts w:cs="Simplified Arabic"/>
          <w:rtl/>
        </w:rPr>
        <w:t xml:space="preserve"> </w:t>
      </w:r>
      <w:r w:rsidRPr="00793E64">
        <w:rPr>
          <w:rFonts w:cs="Simplified Arabic" w:hint="cs"/>
          <w:rtl/>
        </w:rPr>
        <w:t>لعمليات الاستعراض</w:t>
      </w:r>
      <w:r w:rsidRPr="00793E64">
        <w:rPr>
          <w:rFonts w:cs="Simplified Arabic"/>
          <w:rtl/>
        </w:rPr>
        <w:t xml:space="preserve"> </w:t>
      </w:r>
      <w:r w:rsidRPr="00793E64">
        <w:rPr>
          <w:rFonts w:cs="Simplified Arabic" w:hint="cs"/>
          <w:rtl/>
        </w:rPr>
        <w:t>الوطنية</w:t>
      </w:r>
      <w:r w:rsidRPr="00793E64">
        <w:rPr>
          <w:rFonts w:cs="Simplified Arabic"/>
          <w:rtl/>
        </w:rPr>
        <w:t xml:space="preserve"> </w:t>
      </w:r>
      <w:r w:rsidRPr="00793E64">
        <w:rPr>
          <w:rFonts w:cs="Simplified Arabic" w:hint="cs"/>
          <w:rtl/>
        </w:rPr>
        <w:t>الطوعية</w:t>
      </w:r>
      <w:r w:rsidRPr="00793E64">
        <w:rPr>
          <w:rFonts w:cs="Simplified Arabic"/>
          <w:kern w:val="22"/>
        </w:rPr>
        <w:t xml:space="preserve"> (CBD/COP/14/INF/26)</w:t>
      </w:r>
      <w:r w:rsidRPr="00793E64">
        <w:rPr>
          <w:rFonts w:cs="Simplified Arabic" w:hint="cs"/>
          <w:kern w:val="22"/>
          <w:rtl/>
        </w:rPr>
        <w:t xml:space="preserve">. </w:t>
      </w:r>
      <w:r w:rsidR="00AD64EA">
        <w:rPr>
          <w:rFonts w:cs="Simplified Arabic" w:hint="cs"/>
          <w:rtl/>
        </w:rPr>
        <w:t xml:space="preserve">كما </w:t>
      </w:r>
      <w:r w:rsidRPr="00793E64">
        <w:rPr>
          <w:rFonts w:cs="Simplified Arabic" w:hint="cs"/>
          <w:rtl/>
        </w:rPr>
        <w:t xml:space="preserve">كان معروضا على الفريق </w:t>
      </w:r>
      <w:r w:rsidR="00AD64EA">
        <w:rPr>
          <w:rFonts w:cs="Simplified Arabic" w:hint="cs"/>
          <w:rtl/>
        </w:rPr>
        <w:t>مشروع مقرر يستند إلى ال</w:t>
      </w:r>
      <w:r w:rsidRPr="00793E64">
        <w:rPr>
          <w:rFonts w:cs="Simplified Arabic" w:hint="cs"/>
          <w:rtl/>
        </w:rPr>
        <w:t xml:space="preserve">توصية </w:t>
      </w:r>
      <w:r w:rsidR="00AD64EA">
        <w:rPr>
          <w:rFonts w:cs="Simplified Arabic" w:hint="cs"/>
          <w:rtl/>
        </w:rPr>
        <w:t>2/10 ل</w:t>
      </w:r>
      <w:r w:rsidRPr="00793E64">
        <w:rPr>
          <w:rFonts w:cs="Simplified Arabic" w:hint="cs"/>
          <w:rtl/>
        </w:rPr>
        <w:t>لهيئة الفرعية للتنفيذ</w:t>
      </w:r>
      <w:r w:rsidR="00AD64EA">
        <w:rPr>
          <w:rFonts w:cs="Simplified Arabic" w:hint="cs"/>
          <w:rtl/>
        </w:rPr>
        <w:t>،</w:t>
      </w:r>
      <w:r w:rsidRPr="00793E64">
        <w:rPr>
          <w:rFonts w:cs="Simplified Arabic" w:hint="cs"/>
          <w:rtl/>
        </w:rPr>
        <w:t xml:space="preserve"> </w:t>
      </w:r>
      <w:r w:rsidR="00AD64EA">
        <w:rPr>
          <w:rFonts w:cs="Simplified Arabic" w:hint="cs"/>
          <w:rtl/>
        </w:rPr>
        <w:t>المبين</w:t>
      </w:r>
      <w:r w:rsidRPr="00793E64">
        <w:rPr>
          <w:rFonts w:cs="Simplified Arabic" w:hint="cs"/>
          <w:rtl/>
        </w:rPr>
        <w:t xml:space="preserve"> </w:t>
      </w:r>
      <w:r w:rsidRPr="00793E64">
        <w:rPr>
          <w:rFonts w:cs="Simplified Arabic"/>
          <w:i/>
          <w:kern w:val="22"/>
          <w:rtl/>
        </w:rPr>
        <w:t>في</w:t>
      </w:r>
      <w:r w:rsidRPr="00793E64">
        <w:rPr>
          <w:rFonts w:cs="Simplified Arabic" w:hint="cs"/>
          <w:iCs/>
          <w:kern w:val="22"/>
          <w:rtl/>
        </w:rPr>
        <w:t xml:space="preserve"> </w:t>
      </w:r>
      <w:r w:rsidRPr="00793E64">
        <w:rPr>
          <w:rFonts w:cs="Simplified Arabic"/>
          <w:i/>
          <w:kern w:val="22"/>
          <w:rtl/>
        </w:rPr>
        <w:t>تجميع مشاريع المقررات</w:t>
      </w:r>
      <w:r w:rsidRPr="00793E64">
        <w:rPr>
          <w:rFonts w:cs="Simplified Arabic" w:hint="cs"/>
          <w:i/>
          <w:kern w:val="22"/>
          <w:rtl/>
        </w:rPr>
        <w:t xml:space="preserve"> </w:t>
      </w:r>
      <w:r w:rsidRPr="00793E64">
        <w:rPr>
          <w:rFonts w:cs="Simplified Arabic"/>
          <w:kern w:val="22"/>
        </w:rPr>
        <w:t>(CBD/COP/14/2)</w:t>
      </w:r>
      <w:r w:rsidRPr="00793E64">
        <w:rPr>
          <w:rFonts w:cs="Simplified Arabic" w:hint="cs"/>
          <w:kern w:val="22"/>
          <w:rtl/>
        </w:rPr>
        <w:t>.</w:t>
      </w:r>
    </w:p>
    <w:p w:rsidR="002A009A" w:rsidRPr="00793E64" w:rsidRDefault="002A009A" w:rsidP="00FF7FA5">
      <w:pPr>
        <w:pStyle w:val="ListParagraph"/>
        <w:numPr>
          <w:ilvl w:val="0"/>
          <w:numId w:val="6"/>
        </w:numPr>
        <w:bidi/>
        <w:spacing w:line="216" w:lineRule="auto"/>
        <w:ind w:left="0" w:firstLine="0"/>
        <w:rPr>
          <w:rFonts w:cs="Simplified Arabic"/>
          <w:rtl/>
        </w:rPr>
      </w:pPr>
      <w:r w:rsidRPr="00793E64">
        <w:rPr>
          <w:rFonts w:cs="Simplified Arabic"/>
          <w:rtl/>
        </w:rPr>
        <w:t>وأدلى ببيانات ممثلو ألبانيا (بالنيابة عن مجموعة أوروبا الوسطى والشرقية)، وكمبوديا</w:t>
      </w:r>
      <w:r w:rsidR="00FF09ED">
        <w:rPr>
          <w:rFonts w:cs="Simplified Arabic" w:hint="cs"/>
          <w:rtl/>
        </w:rPr>
        <w:t>،</w:t>
      </w:r>
      <w:r w:rsidRPr="00793E64">
        <w:rPr>
          <w:rFonts w:cs="Simplified Arabic"/>
          <w:rtl/>
        </w:rPr>
        <w:t xml:space="preserve"> والاتحاد الأوروبي ودوله الأعضاء </w:t>
      </w:r>
      <w:r w:rsidR="00A87B7D">
        <w:rPr>
          <w:rFonts w:cs="Simplified Arabic" w:hint="cs"/>
          <w:rtl/>
        </w:rPr>
        <w:t>الثماني والعشرين</w:t>
      </w:r>
      <w:r w:rsidR="00A87B7D" w:rsidRPr="00793E64">
        <w:rPr>
          <w:rFonts w:cs="Simplified Arabic"/>
          <w:rtl/>
        </w:rPr>
        <w:t>،</w:t>
      </w:r>
      <w:r w:rsidRPr="00793E64">
        <w:rPr>
          <w:rFonts w:cs="Simplified Arabic"/>
          <w:rtl/>
        </w:rPr>
        <w:t xml:space="preserve"> وغواتيمالا</w:t>
      </w:r>
      <w:r w:rsidR="00FF09ED">
        <w:rPr>
          <w:rFonts w:cs="Simplified Arabic" w:hint="cs"/>
          <w:rtl/>
        </w:rPr>
        <w:t>،</w:t>
      </w:r>
      <w:r w:rsidRPr="00793E64">
        <w:rPr>
          <w:rFonts w:cs="Simplified Arabic"/>
          <w:rtl/>
        </w:rPr>
        <w:t xml:space="preserve"> والهند</w:t>
      </w:r>
      <w:r w:rsidR="00FF09ED">
        <w:rPr>
          <w:rFonts w:cs="Simplified Arabic" w:hint="cs"/>
          <w:rtl/>
        </w:rPr>
        <w:t>،</w:t>
      </w:r>
      <w:r w:rsidRPr="00793E64">
        <w:rPr>
          <w:rFonts w:cs="Simplified Arabic"/>
          <w:rtl/>
        </w:rPr>
        <w:t xml:space="preserve"> وإيران (جمهورية - الإسلامية) والأردن</w:t>
      </w:r>
      <w:r w:rsidRPr="00793E64">
        <w:rPr>
          <w:rFonts w:cs="Simplified Arabic" w:hint="cs"/>
          <w:rtl/>
        </w:rPr>
        <w:t>.</w:t>
      </w:r>
    </w:p>
    <w:p w:rsidR="002A009A" w:rsidRPr="00793E64" w:rsidRDefault="002A009A" w:rsidP="00FF7FA5">
      <w:pPr>
        <w:pStyle w:val="ListParagraph"/>
        <w:numPr>
          <w:ilvl w:val="0"/>
          <w:numId w:val="6"/>
        </w:numPr>
        <w:bidi/>
        <w:spacing w:line="216" w:lineRule="auto"/>
        <w:ind w:left="0" w:firstLine="0"/>
        <w:jc w:val="left"/>
        <w:rPr>
          <w:rFonts w:cs="Simplified Arabic"/>
          <w:kern w:val="22"/>
          <w:rtl/>
        </w:rPr>
      </w:pPr>
      <w:r w:rsidRPr="00793E64">
        <w:rPr>
          <w:rFonts w:cs="Simplified Arabic"/>
          <w:kern w:val="22"/>
          <w:rtl/>
        </w:rPr>
        <w:t>وأدلى ببيان أيضا ممثل هيئة الأمم المتحدة للمرأة.</w:t>
      </w:r>
    </w:p>
    <w:p w:rsidR="002A009A" w:rsidRPr="00793E64" w:rsidRDefault="002A009A" w:rsidP="00AD64EA">
      <w:pPr>
        <w:pStyle w:val="ListParagraph"/>
        <w:numPr>
          <w:ilvl w:val="0"/>
          <w:numId w:val="6"/>
        </w:numPr>
        <w:bidi/>
        <w:spacing w:line="216" w:lineRule="auto"/>
        <w:ind w:left="0" w:firstLine="0"/>
        <w:jc w:val="left"/>
        <w:rPr>
          <w:rFonts w:cs="Simplified Arabic"/>
          <w:kern w:val="22"/>
          <w:rtl/>
        </w:rPr>
      </w:pPr>
      <w:r w:rsidRPr="00793E64">
        <w:rPr>
          <w:rFonts w:cs="Simplified Arabic" w:hint="cs"/>
          <w:kern w:val="22"/>
          <w:rtl/>
        </w:rPr>
        <w:t>و</w:t>
      </w:r>
      <w:r w:rsidRPr="00793E64">
        <w:rPr>
          <w:rFonts w:cs="Simplified Arabic"/>
          <w:kern w:val="22"/>
          <w:rtl/>
        </w:rPr>
        <w:t xml:space="preserve">قال الرئيس </w:t>
      </w:r>
      <w:r w:rsidRPr="00793E64">
        <w:rPr>
          <w:rFonts w:cs="Simplified Arabic" w:hint="cs"/>
          <w:kern w:val="22"/>
          <w:rtl/>
        </w:rPr>
        <w:t>إ</w:t>
      </w:r>
      <w:r w:rsidRPr="00793E64">
        <w:rPr>
          <w:rFonts w:cs="Simplified Arabic"/>
          <w:kern w:val="22"/>
          <w:rtl/>
        </w:rPr>
        <w:t>نه سيعد مشروع</w:t>
      </w:r>
      <w:r w:rsidRPr="00793E64">
        <w:rPr>
          <w:rFonts w:cs="Simplified Arabic" w:hint="cs"/>
          <w:kern w:val="22"/>
          <w:rtl/>
        </w:rPr>
        <w:t xml:space="preserve"> مقرر منقح </w:t>
      </w:r>
      <w:r w:rsidRPr="00793E64">
        <w:rPr>
          <w:rFonts w:cs="Simplified Arabic"/>
          <w:kern w:val="22"/>
          <w:rtl/>
        </w:rPr>
        <w:t xml:space="preserve">يأخذ في الاعتبار الآراء </w:t>
      </w:r>
      <w:r w:rsidR="00FF09ED">
        <w:rPr>
          <w:rFonts w:cs="Simplified Arabic" w:hint="cs"/>
          <w:kern w:val="22"/>
          <w:rtl/>
        </w:rPr>
        <w:t>المعرب</w:t>
      </w:r>
      <w:r w:rsidRPr="00793E64">
        <w:rPr>
          <w:rFonts w:cs="Simplified Arabic" w:hint="cs"/>
          <w:kern w:val="22"/>
          <w:rtl/>
        </w:rPr>
        <w:t xml:space="preserve"> عنها</w:t>
      </w:r>
      <w:r w:rsidRPr="00793E64">
        <w:rPr>
          <w:rFonts w:cs="Simplified Arabic"/>
          <w:kern w:val="22"/>
          <w:rtl/>
        </w:rPr>
        <w:t xml:space="preserve"> شف</w:t>
      </w:r>
      <w:r w:rsidRPr="00793E64">
        <w:rPr>
          <w:rFonts w:cs="Simplified Arabic" w:hint="cs"/>
          <w:kern w:val="22"/>
          <w:rtl/>
        </w:rPr>
        <w:t>و</w:t>
      </w:r>
      <w:r w:rsidRPr="00793E64">
        <w:rPr>
          <w:rFonts w:cs="Simplified Arabic"/>
          <w:kern w:val="22"/>
          <w:rtl/>
        </w:rPr>
        <w:t>يا</w:t>
      </w:r>
      <w:r w:rsidR="00FF09ED">
        <w:rPr>
          <w:rFonts w:cs="Simplified Arabic" w:hint="cs"/>
          <w:kern w:val="22"/>
          <w:rtl/>
        </w:rPr>
        <w:t>ً</w:t>
      </w:r>
      <w:r w:rsidRPr="00793E64">
        <w:rPr>
          <w:rFonts w:cs="Simplified Arabic"/>
          <w:kern w:val="22"/>
          <w:rtl/>
        </w:rPr>
        <w:t xml:space="preserve"> والمقدمة كتاب</w:t>
      </w:r>
      <w:r w:rsidR="00AD64EA">
        <w:rPr>
          <w:rFonts w:cs="Simplified Arabic" w:hint="cs"/>
          <w:kern w:val="22"/>
          <w:rtl/>
        </w:rPr>
        <w:t>ة</w:t>
      </w:r>
      <w:r w:rsidRPr="00793E64">
        <w:rPr>
          <w:rFonts w:cs="Simplified Arabic"/>
          <w:kern w:val="22"/>
          <w:rtl/>
        </w:rPr>
        <w:t>.</w:t>
      </w:r>
    </w:p>
    <w:p w:rsidR="002A009A" w:rsidRPr="00793E64" w:rsidRDefault="002A009A" w:rsidP="00AD64EA">
      <w:pPr>
        <w:pStyle w:val="ListParagraph"/>
        <w:numPr>
          <w:ilvl w:val="0"/>
          <w:numId w:val="6"/>
        </w:numPr>
        <w:bidi/>
        <w:spacing w:line="216" w:lineRule="auto"/>
        <w:ind w:left="0" w:firstLine="0"/>
        <w:rPr>
          <w:rFonts w:cs="Simplified Arabic"/>
        </w:rPr>
      </w:pPr>
      <w:r w:rsidRPr="00793E64">
        <w:rPr>
          <w:rFonts w:cs="Simplified Arabic"/>
          <w:rtl/>
        </w:rPr>
        <w:t>و</w:t>
      </w:r>
      <w:r w:rsidR="00AD64EA">
        <w:rPr>
          <w:rFonts w:cs="Simplified Arabic" w:hint="cs"/>
          <w:rtl/>
        </w:rPr>
        <w:t>في</w:t>
      </w:r>
      <w:r w:rsidRPr="00793E64">
        <w:rPr>
          <w:rFonts w:cs="Simplified Arabic"/>
          <w:rtl/>
        </w:rPr>
        <w:t xml:space="preserve"> جلسته</w:t>
      </w:r>
      <w:r w:rsidR="00A87B7D">
        <w:rPr>
          <w:rFonts w:cs="Simplified Arabic"/>
          <w:rtl/>
        </w:rPr>
        <w:t xml:space="preserve"> العاشرة، المنعقدة في 25 نوفمبر/</w:t>
      </w:r>
      <w:r w:rsidRPr="00793E64">
        <w:rPr>
          <w:rFonts w:cs="Simplified Arabic"/>
          <w:rtl/>
        </w:rPr>
        <w:t xml:space="preserve">تشرين الثاني 2018، </w:t>
      </w:r>
      <w:r w:rsidR="00AD64EA" w:rsidRPr="00793E64">
        <w:rPr>
          <w:rFonts w:cs="Simplified Arabic"/>
          <w:rtl/>
        </w:rPr>
        <w:t xml:space="preserve">نظر الفريق العامل </w:t>
      </w:r>
      <w:r w:rsidRPr="00793E64">
        <w:rPr>
          <w:rFonts w:cs="Simplified Arabic"/>
          <w:rtl/>
        </w:rPr>
        <w:t>في مشروع مقرر منقح بشأن آليات الاستعراض مقدم من الرئيس</w:t>
      </w:r>
      <w:r w:rsidRPr="00793E64">
        <w:rPr>
          <w:rFonts w:cs="Simplified Arabic"/>
        </w:rPr>
        <w:t>.</w:t>
      </w:r>
    </w:p>
    <w:p w:rsidR="002A009A" w:rsidRPr="00793E64" w:rsidRDefault="002A009A" w:rsidP="00FF7FA5">
      <w:pPr>
        <w:pStyle w:val="ListParagraph"/>
        <w:numPr>
          <w:ilvl w:val="0"/>
          <w:numId w:val="6"/>
        </w:numPr>
        <w:bidi/>
        <w:spacing w:line="216" w:lineRule="auto"/>
        <w:ind w:left="0" w:firstLine="0"/>
        <w:rPr>
          <w:rFonts w:cs="Simplified Arabic"/>
        </w:rPr>
      </w:pPr>
      <w:r w:rsidRPr="00793E64">
        <w:rPr>
          <w:rFonts w:cs="Simplified Arabic"/>
          <w:rtl/>
        </w:rPr>
        <w:t xml:space="preserve">وأدلى ببيانات ممثلو الاتحاد الأوروبي ودوله الأعضاء </w:t>
      </w:r>
      <w:r w:rsidR="00A87B7D">
        <w:rPr>
          <w:rFonts w:cs="Simplified Arabic" w:hint="cs"/>
          <w:rtl/>
        </w:rPr>
        <w:t>الثماني والعشرين</w:t>
      </w:r>
      <w:r w:rsidRPr="00793E64">
        <w:rPr>
          <w:rFonts w:cs="Simplified Arabic"/>
          <w:rtl/>
        </w:rPr>
        <w:t xml:space="preserve">، </w:t>
      </w:r>
      <w:r w:rsidRPr="00793E64">
        <w:rPr>
          <w:rFonts w:cs="Simplified Arabic" w:hint="cs"/>
          <w:rtl/>
        </w:rPr>
        <w:t>و</w:t>
      </w:r>
      <w:r w:rsidRPr="00793E64">
        <w:rPr>
          <w:rFonts w:cs="Simplified Arabic"/>
          <w:rtl/>
        </w:rPr>
        <w:t>المغرب والنرويج</w:t>
      </w:r>
      <w:r w:rsidRPr="00793E64">
        <w:rPr>
          <w:rFonts w:cs="Simplified Arabic"/>
        </w:rPr>
        <w:t>.</w:t>
      </w:r>
    </w:p>
    <w:p w:rsidR="002A009A" w:rsidRPr="00793E64" w:rsidRDefault="002A009A" w:rsidP="00FF09ED">
      <w:pPr>
        <w:pStyle w:val="ListParagraph"/>
        <w:numPr>
          <w:ilvl w:val="0"/>
          <w:numId w:val="6"/>
        </w:numPr>
        <w:bidi/>
        <w:spacing w:line="216" w:lineRule="auto"/>
        <w:ind w:left="0" w:firstLine="0"/>
        <w:rPr>
          <w:rFonts w:cs="Simplified Arabic"/>
          <w:rtl/>
        </w:rPr>
      </w:pPr>
      <w:r w:rsidRPr="00793E64">
        <w:rPr>
          <w:rFonts w:cs="Simplified Arabic"/>
          <w:rtl/>
        </w:rPr>
        <w:t>و</w:t>
      </w:r>
      <w:r w:rsidR="00ED4C91">
        <w:rPr>
          <w:rFonts w:cs="Simplified Arabic" w:hint="cs"/>
          <w:rtl/>
        </w:rPr>
        <w:t>وافق</w:t>
      </w:r>
      <w:r w:rsidRPr="00793E64">
        <w:rPr>
          <w:rFonts w:cs="Simplified Arabic"/>
          <w:rtl/>
        </w:rPr>
        <w:t xml:space="preserve"> الفريق العامل على مشروع المقرر المنقح، بصيغته المعدلة شفويا</w:t>
      </w:r>
      <w:r w:rsidR="00ED4C91">
        <w:rPr>
          <w:rFonts w:cs="Simplified Arabic" w:hint="cs"/>
          <w:rtl/>
        </w:rPr>
        <w:t>ً</w:t>
      </w:r>
      <w:r w:rsidRPr="00793E64">
        <w:rPr>
          <w:rFonts w:cs="Simplified Arabic"/>
          <w:rtl/>
        </w:rPr>
        <w:t>، لإحالته إلى الجلسة العامة بوصفه مشروع المقرر</w:t>
      </w:r>
      <w:r w:rsidR="00FF09ED">
        <w:rPr>
          <w:rFonts w:cs="Simplified Arabic" w:hint="cs"/>
          <w:rtl/>
        </w:rPr>
        <w:t xml:space="preserve"> </w:t>
      </w:r>
      <w:r w:rsidRPr="00793E64">
        <w:rPr>
          <w:rFonts w:cs="Simplified Arabic"/>
        </w:rPr>
        <w:t xml:space="preserve"> </w:t>
      </w:r>
      <w:r w:rsidRPr="00477B14">
        <w:rPr>
          <w:rFonts w:cs="Simplified Arabic"/>
        </w:rPr>
        <w:t>.</w:t>
      </w:r>
      <w:r w:rsidR="009847DD" w:rsidRPr="00793E64">
        <w:rPr>
          <w:rFonts w:cs="Simplified Arabic"/>
        </w:rPr>
        <w:t>CBD/COP/14/</w:t>
      </w:r>
      <w:r w:rsidRPr="00793E64">
        <w:rPr>
          <w:rFonts w:cs="Simplified Arabic"/>
        </w:rPr>
        <w:t>L.13</w:t>
      </w:r>
    </w:p>
    <w:p w:rsidR="004154A6" w:rsidRPr="00997CAE" w:rsidRDefault="00FF09ED" w:rsidP="00FF09ED">
      <w:pPr>
        <w:pStyle w:val="ListParagraph"/>
        <w:numPr>
          <w:ilvl w:val="0"/>
          <w:numId w:val="6"/>
        </w:numPr>
        <w:bidi/>
        <w:spacing w:line="216" w:lineRule="auto"/>
        <w:ind w:left="0" w:firstLine="0"/>
        <w:rPr>
          <w:rFonts w:cs="Simplified Arabic"/>
        </w:rPr>
      </w:pPr>
      <w:r>
        <w:rPr>
          <w:rFonts w:cs="Simplified Arabic" w:hint="cs"/>
          <w:rtl/>
        </w:rPr>
        <w:t>وفي الجلسة العامة السابعة</w:t>
      </w:r>
      <w:r w:rsidR="00AD64EA">
        <w:rPr>
          <w:rFonts w:cs="Simplified Arabic" w:hint="cs"/>
          <w:rtl/>
        </w:rPr>
        <w:t xml:space="preserve"> للاجتماع</w:t>
      </w:r>
      <w:r>
        <w:rPr>
          <w:rFonts w:cs="Simplified Arabic" w:hint="cs"/>
          <w:rtl/>
        </w:rPr>
        <w:t xml:space="preserve">، المنعقدة في 29 نوفمبر/تشرين الثاني 2018، اعتمد مؤتمر الأطراف مشروع المقرر </w:t>
      </w:r>
      <w:r w:rsidRPr="007F48C2">
        <w:t>CBD/COP/14/L.</w:t>
      </w:r>
      <w:r>
        <w:t>13</w:t>
      </w:r>
      <w:r>
        <w:rPr>
          <w:rFonts w:cs="Simplified Arabic" w:hint="cs"/>
          <w:rtl/>
        </w:rPr>
        <w:t xml:space="preserve"> بوصفه المقرر 14/29 (للاطلاع على النص، انظر الفصل الأول).</w:t>
      </w:r>
    </w:p>
    <w:p w:rsidR="004154A6" w:rsidRPr="00477B14" w:rsidRDefault="004154A6" w:rsidP="00094717">
      <w:pPr>
        <w:pStyle w:val="Heading2"/>
        <w:ind w:left="1890" w:right="990" w:hanging="1170"/>
        <w:jc w:val="left"/>
        <w:rPr>
          <w:lang w:val="en-GB"/>
        </w:rPr>
      </w:pPr>
      <w:bookmarkStart w:id="230" w:name="_Toc6140016"/>
      <w:r w:rsidRPr="00094717">
        <w:rPr>
          <w:rFonts w:hint="cs"/>
          <w:rtl/>
        </w:rPr>
        <w:t>البند 13 -</w:t>
      </w:r>
      <w:r w:rsidRPr="00094717">
        <w:rPr>
          <w:rFonts w:hint="cs"/>
          <w:rtl/>
        </w:rPr>
        <w:tab/>
        <w:t>تعزيز التكامل في إطار الاتفاقية وبروتوكوليها فيما يتعلق بالأحكام المتصلة بالحصول وتقاسم المنافع، والسلامة الأحيائية، والمادة 8(ي) والأحكام المتصلة بها</w:t>
      </w:r>
      <w:bookmarkEnd w:id="230"/>
    </w:p>
    <w:p w:rsidR="00793E64" w:rsidRPr="00A87B7D" w:rsidRDefault="00793E64" w:rsidP="00AD64EA">
      <w:pPr>
        <w:pStyle w:val="ListParagraph"/>
        <w:numPr>
          <w:ilvl w:val="0"/>
          <w:numId w:val="6"/>
        </w:numPr>
        <w:bidi/>
        <w:spacing w:line="216" w:lineRule="auto"/>
        <w:ind w:left="0" w:firstLine="0"/>
        <w:rPr>
          <w:rFonts w:ascii="Simplified Arabic" w:hAnsi="Simplified Arabic" w:cs="Simplified Arabic"/>
          <w:rtl/>
        </w:rPr>
      </w:pPr>
      <w:r w:rsidRPr="00A87B7D">
        <w:rPr>
          <w:rFonts w:ascii="Simplified Arabic" w:hAnsi="Simplified Arabic" w:cs="Simplified Arabic"/>
          <w:rtl/>
          <w:lang w:val="fr-CH"/>
        </w:rPr>
        <w:t>تناول</w:t>
      </w:r>
      <w:r w:rsidRPr="00A87B7D">
        <w:rPr>
          <w:rFonts w:ascii="Simplified Arabic" w:hAnsi="Simplified Arabic" w:cs="Simplified Arabic"/>
          <w:rtl/>
        </w:rPr>
        <w:t xml:space="preserve"> الفريق العامل الأول البند 13 من جدول الأعمال </w:t>
      </w:r>
      <w:r w:rsidR="00AD64EA">
        <w:rPr>
          <w:rFonts w:ascii="Simplified Arabic" w:hAnsi="Simplified Arabic" w:cs="Simplified Arabic" w:hint="cs"/>
          <w:rtl/>
        </w:rPr>
        <w:t>في</w:t>
      </w:r>
      <w:r w:rsidRPr="00A87B7D">
        <w:rPr>
          <w:rFonts w:ascii="Simplified Arabic" w:hAnsi="Simplified Arabic" w:cs="Simplified Arabic"/>
          <w:rtl/>
        </w:rPr>
        <w:t xml:space="preserve"> جلسته السادسة</w:t>
      </w:r>
      <w:r w:rsidR="00AD64EA">
        <w:rPr>
          <w:rFonts w:ascii="Simplified Arabic" w:hAnsi="Simplified Arabic" w:cs="Simplified Arabic" w:hint="cs"/>
          <w:rtl/>
        </w:rPr>
        <w:t>،</w:t>
      </w:r>
      <w:r w:rsidRPr="00A87B7D">
        <w:rPr>
          <w:rFonts w:ascii="Simplified Arabic" w:hAnsi="Simplified Arabic" w:cs="Simplified Arabic"/>
          <w:rtl/>
        </w:rPr>
        <w:t xml:space="preserve"> المنعقدة في 21 نوفمبر/تشرين الثاني 2018، بالاقتران مع البند 13 من جدول أعمال مؤتمر الأطراف العامل كاجتماع للأطراف</w:t>
      </w:r>
      <w:r w:rsidR="0004487E" w:rsidRPr="00A87B7D">
        <w:rPr>
          <w:rFonts w:ascii="Simplified Arabic" w:hAnsi="Simplified Arabic" w:cs="Simplified Arabic"/>
          <w:rtl/>
        </w:rPr>
        <w:t xml:space="preserve"> في بروتوكول </w:t>
      </w:r>
      <w:r w:rsidR="00FF09ED">
        <w:rPr>
          <w:rFonts w:ascii="Simplified Arabic" w:hAnsi="Simplified Arabic" w:cs="Simplified Arabic" w:hint="cs"/>
          <w:rtl/>
        </w:rPr>
        <w:t>ناغويا</w:t>
      </w:r>
      <w:r w:rsidR="0004487E" w:rsidRPr="00A87B7D">
        <w:rPr>
          <w:rFonts w:ascii="Simplified Arabic" w:hAnsi="Simplified Arabic" w:cs="Simplified Arabic"/>
          <w:rtl/>
        </w:rPr>
        <w:t xml:space="preserve"> والبند 11 من جدول أعمال مؤتمر الأطراف العامل كاجتماع للأطراف في بروتوكول قرطاجنة.</w:t>
      </w:r>
    </w:p>
    <w:p w:rsidR="008C1330" w:rsidRPr="00997CAE" w:rsidRDefault="008C1330" w:rsidP="00AD64EA">
      <w:pPr>
        <w:ind w:left="2250" w:right="1620" w:hanging="450"/>
        <w:jc w:val="left"/>
        <w:rPr>
          <w:i/>
          <w:iCs/>
        </w:rPr>
      </w:pPr>
      <w:r w:rsidRPr="00997CAE">
        <w:rPr>
          <w:i/>
          <w:iCs/>
          <w:rtl/>
        </w:rPr>
        <w:t xml:space="preserve">تعزيز التكامل في إطار الاتفاقية وبروتوكوليها فيما يتعلق بالأحكام المتصلة </w:t>
      </w:r>
      <w:r w:rsidR="00FF09ED">
        <w:rPr>
          <w:rFonts w:hint="cs"/>
          <w:i/>
          <w:iCs/>
          <w:rtl/>
        </w:rPr>
        <w:t xml:space="preserve">بالسلامة الأحيائية والأحكام المتصلة </w:t>
      </w:r>
      <w:r w:rsidRPr="00997CAE">
        <w:rPr>
          <w:i/>
          <w:iCs/>
          <w:rtl/>
        </w:rPr>
        <w:t>بالحصول وتقاسم المنافع</w:t>
      </w:r>
    </w:p>
    <w:p w:rsidR="008C1330" w:rsidRPr="0004487E" w:rsidRDefault="008C1330" w:rsidP="00CE79C8">
      <w:pPr>
        <w:pStyle w:val="ListParagraph"/>
        <w:numPr>
          <w:ilvl w:val="0"/>
          <w:numId w:val="6"/>
        </w:numPr>
        <w:bidi/>
        <w:spacing w:line="216" w:lineRule="auto"/>
        <w:ind w:left="0" w:firstLine="0"/>
        <w:rPr>
          <w:rFonts w:cs="Simplified Arabic"/>
          <w:rtl/>
          <w:lang w:val="fr-CH"/>
        </w:rPr>
      </w:pPr>
      <w:r w:rsidRPr="0004487E">
        <w:rPr>
          <w:rFonts w:cs="Simplified Arabic"/>
          <w:rtl/>
          <w:lang w:val="fr-CH"/>
        </w:rPr>
        <w:t xml:space="preserve">تناول الفريق العامل الأول الجانب </w:t>
      </w:r>
      <w:r w:rsidRPr="0004487E">
        <w:rPr>
          <w:rFonts w:cs="Simplified Arabic" w:hint="cs"/>
          <w:rtl/>
          <w:lang w:val="fr-CH"/>
        </w:rPr>
        <w:t>الأول</w:t>
      </w:r>
      <w:r w:rsidRPr="0004487E">
        <w:rPr>
          <w:rFonts w:cs="Simplified Arabic"/>
          <w:rtl/>
          <w:lang w:val="fr-CH"/>
        </w:rPr>
        <w:t xml:space="preserve"> من البند 1</w:t>
      </w:r>
      <w:r w:rsidRPr="0004487E">
        <w:rPr>
          <w:rFonts w:cs="Simplified Arabic" w:hint="cs"/>
          <w:rtl/>
          <w:lang w:val="fr-CH"/>
        </w:rPr>
        <w:t>3</w:t>
      </w:r>
      <w:r w:rsidRPr="0004487E">
        <w:rPr>
          <w:rFonts w:cs="Simplified Arabic"/>
          <w:rtl/>
          <w:lang w:val="fr-CH"/>
        </w:rPr>
        <w:t xml:space="preserve"> من جدول الأعمال </w:t>
      </w:r>
      <w:r w:rsidR="00CE79C8">
        <w:rPr>
          <w:rFonts w:cs="Simplified Arabic" w:hint="cs"/>
          <w:rtl/>
          <w:lang w:val="fr-CH"/>
        </w:rPr>
        <w:t>في</w:t>
      </w:r>
      <w:r w:rsidRPr="0004487E">
        <w:rPr>
          <w:rFonts w:cs="Simplified Arabic" w:hint="cs"/>
          <w:rtl/>
          <w:lang w:val="fr-CH"/>
        </w:rPr>
        <w:t xml:space="preserve"> جلسته السادسة</w:t>
      </w:r>
      <w:r w:rsidR="00CE79C8">
        <w:rPr>
          <w:rFonts w:cs="Simplified Arabic" w:hint="cs"/>
          <w:rtl/>
          <w:lang w:val="fr-CH"/>
        </w:rPr>
        <w:t>،</w:t>
      </w:r>
      <w:r w:rsidRPr="0004487E">
        <w:rPr>
          <w:rFonts w:cs="Simplified Arabic" w:hint="cs"/>
          <w:rtl/>
          <w:lang w:val="fr-CH"/>
        </w:rPr>
        <w:t xml:space="preserve"> المنعقدة في 21 نوفمبر/تشرين الثاني 2018. و</w:t>
      </w:r>
      <w:r w:rsidRPr="0004487E">
        <w:rPr>
          <w:rFonts w:cs="Simplified Arabic"/>
          <w:rtl/>
          <w:lang w:val="fr-CH"/>
        </w:rPr>
        <w:t>كان معروضا على الفريق العامل في غضون نظره في البند</w:t>
      </w:r>
      <w:r w:rsidRPr="0004487E">
        <w:rPr>
          <w:rFonts w:cs="Simplified Arabic" w:hint="cs"/>
          <w:rtl/>
          <w:lang w:val="fr-CH"/>
        </w:rPr>
        <w:t xml:space="preserve"> مشروع مقرّر يستند إلى</w:t>
      </w:r>
      <w:r w:rsidRPr="0004487E">
        <w:rPr>
          <w:rFonts w:cs="Simplified Arabic"/>
          <w:rtl/>
          <w:lang w:val="fr-CH"/>
        </w:rPr>
        <w:t xml:space="preserve"> التوصية</w:t>
      </w:r>
      <w:r w:rsidR="00987BDE">
        <w:rPr>
          <w:rFonts w:cs="Simplified Arabic" w:hint="cs"/>
          <w:rtl/>
          <w:lang w:val="fr-CH"/>
        </w:rPr>
        <w:t xml:space="preserve"> 2/14 للهيئة الفرعية للتنفيذ،</w:t>
      </w:r>
      <w:r w:rsidRPr="0004487E">
        <w:rPr>
          <w:rFonts w:cs="Simplified Arabic"/>
          <w:rtl/>
          <w:lang w:val="fr-CH"/>
        </w:rPr>
        <w:t xml:space="preserve"> الم</w:t>
      </w:r>
      <w:r w:rsidRPr="0004487E">
        <w:rPr>
          <w:rFonts w:cs="Simplified Arabic" w:hint="cs"/>
          <w:rtl/>
          <w:lang w:val="fr-CH"/>
        </w:rPr>
        <w:t>بين</w:t>
      </w:r>
      <w:r w:rsidRPr="0004487E">
        <w:rPr>
          <w:rFonts w:cs="Simplified Arabic"/>
          <w:rtl/>
          <w:lang w:val="fr-CH"/>
        </w:rPr>
        <w:t xml:space="preserve"> في تجميع مشاريع المقررات</w:t>
      </w:r>
      <w:r w:rsidRPr="0004487E">
        <w:rPr>
          <w:rFonts w:cs="Simplified Arabic" w:hint="cs"/>
          <w:rtl/>
          <w:lang w:val="fr-CH"/>
        </w:rPr>
        <w:t xml:space="preserve"> </w:t>
      </w:r>
      <w:r w:rsidRPr="00FE0200">
        <w:rPr>
          <w:kern w:val="22"/>
          <w:szCs w:val="22"/>
          <w:rtl/>
        </w:rPr>
        <w:t>(</w:t>
      </w:r>
      <w:r w:rsidRPr="00FE0200">
        <w:rPr>
          <w:kern w:val="22"/>
          <w:szCs w:val="22"/>
        </w:rPr>
        <w:t>CBD/COP/14/2</w:t>
      </w:r>
      <w:r w:rsidRPr="00FE0200">
        <w:rPr>
          <w:kern w:val="22"/>
          <w:szCs w:val="22"/>
          <w:rtl/>
        </w:rPr>
        <w:t>)</w:t>
      </w:r>
      <w:r w:rsidRPr="0004487E">
        <w:rPr>
          <w:rFonts w:cs="Simplified Arabic" w:hint="cs"/>
          <w:kern w:val="22"/>
          <w:rtl/>
        </w:rPr>
        <w:t>.</w:t>
      </w:r>
    </w:p>
    <w:p w:rsidR="008C1330" w:rsidRPr="0004487E" w:rsidRDefault="008C1330" w:rsidP="00FF7FA5">
      <w:pPr>
        <w:pStyle w:val="ListParagraph"/>
        <w:numPr>
          <w:ilvl w:val="0"/>
          <w:numId w:val="6"/>
        </w:numPr>
        <w:bidi/>
        <w:spacing w:line="216" w:lineRule="auto"/>
        <w:ind w:left="0" w:firstLine="0"/>
        <w:rPr>
          <w:rFonts w:cs="Simplified Arabic"/>
        </w:rPr>
      </w:pPr>
      <w:r w:rsidRPr="0004487E">
        <w:rPr>
          <w:rFonts w:cs="Simplified Arabic"/>
          <w:rtl/>
        </w:rPr>
        <w:t xml:space="preserve">وأدلى ببيانات ممثلو الأرجنتين، </w:t>
      </w:r>
      <w:r w:rsidRPr="0004487E">
        <w:rPr>
          <w:rFonts w:cs="Simplified Arabic" w:hint="cs"/>
          <w:rtl/>
        </w:rPr>
        <w:t>و</w:t>
      </w:r>
      <w:r w:rsidRPr="0004487E">
        <w:rPr>
          <w:rFonts w:cs="Simplified Arabic"/>
          <w:rtl/>
        </w:rPr>
        <w:t xml:space="preserve">كولومبيا، </w:t>
      </w:r>
      <w:r w:rsidRPr="0004487E">
        <w:rPr>
          <w:rFonts w:cs="Simplified Arabic" w:hint="cs"/>
          <w:rtl/>
        </w:rPr>
        <w:t>و</w:t>
      </w:r>
      <w:r w:rsidRPr="0004487E">
        <w:rPr>
          <w:rFonts w:cs="Simplified Arabic"/>
          <w:rtl/>
        </w:rPr>
        <w:t xml:space="preserve">الاتحاد الأوروبي </w:t>
      </w:r>
      <w:r w:rsidRPr="0004487E">
        <w:rPr>
          <w:rFonts w:cs="Simplified Arabic" w:hint="cs"/>
          <w:rtl/>
        </w:rPr>
        <w:t>ودوله</w:t>
      </w:r>
      <w:r w:rsidRPr="0004487E">
        <w:rPr>
          <w:rFonts w:cs="Simplified Arabic"/>
          <w:rtl/>
        </w:rPr>
        <w:t xml:space="preserve"> </w:t>
      </w:r>
      <w:r w:rsidRPr="0004487E">
        <w:rPr>
          <w:rFonts w:cs="Simplified Arabic" w:hint="cs"/>
          <w:rtl/>
        </w:rPr>
        <w:t>الأعضاء</w:t>
      </w:r>
      <w:r w:rsidRPr="0004487E">
        <w:rPr>
          <w:rFonts w:cs="Simplified Arabic"/>
          <w:rtl/>
        </w:rPr>
        <w:t xml:space="preserve"> </w:t>
      </w:r>
      <w:r w:rsidR="00A87B7D">
        <w:rPr>
          <w:rFonts w:cs="Simplified Arabic" w:hint="cs"/>
          <w:rtl/>
        </w:rPr>
        <w:t>الثماني والعشرين</w:t>
      </w:r>
      <w:r w:rsidRPr="0004487E">
        <w:rPr>
          <w:rFonts w:cs="Simplified Arabic"/>
          <w:rtl/>
        </w:rPr>
        <w:t xml:space="preserve">، </w:t>
      </w:r>
      <w:r w:rsidRPr="0004487E">
        <w:rPr>
          <w:rFonts w:cs="Simplified Arabic" w:hint="cs"/>
          <w:rtl/>
        </w:rPr>
        <w:t>و</w:t>
      </w:r>
      <w:r w:rsidRPr="0004487E">
        <w:rPr>
          <w:rFonts w:cs="Simplified Arabic"/>
          <w:rtl/>
        </w:rPr>
        <w:t xml:space="preserve">غابون، </w:t>
      </w:r>
      <w:r w:rsidRPr="0004487E">
        <w:rPr>
          <w:rFonts w:cs="Simplified Arabic" w:hint="cs"/>
          <w:rtl/>
        </w:rPr>
        <w:t>و</w:t>
      </w:r>
      <w:r w:rsidRPr="0004487E">
        <w:rPr>
          <w:rFonts w:cs="Simplified Arabic"/>
          <w:rtl/>
        </w:rPr>
        <w:t xml:space="preserve">الهند، </w:t>
      </w:r>
      <w:r w:rsidRPr="0004487E">
        <w:rPr>
          <w:rFonts w:cs="Simplified Arabic" w:hint="cs"/>
          <w:rtl/>
        </w:rPr>
        <w:t>و</w:t>
      </w:r>
      <w:r w:rsidRPr="0004487E">
        <w:rPr>
          <w:rFonts w:cs="Simplified Arabic"/>
          <w:rtl/>
        </w:rPr>
        <w:t xml:space="preserve">إندونيسيا، </w:t>
      </w:r>
      <w:r w:rsidRPr="0004487E">
        <w:rPr>
          <w:rFonts w:cs="Simplified Arabic" w:hint="cs"/>
          <w:rtl/>
        </w:rPr>
        <w:t>و</w:t>
      </w:r>
      <w:r w:rsidRPr="0004487E">
        <w:rPr>
          <w:rFonts w:cs="Simplified Arabic"/>
          <w:rtl/>
        </w:rPr>
        <w:t xml:space="preserve">ملاوي، </w:t>
      </w:r>
      <w:r w:rsidRPr="0004487E">
        <w:rPr>
          <w:rFonts w:cs="Simplified Arabic" w:hint="cs"/>
          <w:rtl/>
        </w:rPr>
        <w:t>و</w:t>
      </w:r>
      <w:r w:rsidRPr="0004487E">
        <w:rPr>
          <w:rFonts w:cs="Simplified Arabic"/>
          <w:rtl/>
        </w:rPr>
        <w:t>المغرب، وفنزويلا (جمهورية - البوليفارية).</w:t>
      </w:r>
    </w:p>
    <w:p w:rsidR="008C1330" w:rsidRPr="0004487E" w:rsidRDefault="008C1330" w:rsidP="00CE79C8">
      <w:pPr>
        <w:pStyle w:val="ListParagraph"/>
        <w:numPr>
          <w:ilvl w:val="0"/>
          <w:numId w:val="6"/>
        </w:numPr>
        <w:bidi/>
        <w:spacing w:line="216" w:lineRule="auto"/>
        <w:ind w:left="0" w:firstLine="0"/>
        <w:jc w:val="left"/>
        <w:rPr>
          <w:rFonts w:cs="Simplified Arabic"/>
          <w:rtl/>
        </w:rPr>
      </w:pPr>
      <w:r w:rsidRPr="0004487E">
        <w:rPr>
          <w:rFonts w:cs="Simplified Arabic"/>
          <w:rtl/>
        </w:rPr>
        <w:t xml:space="preserve">وأدلى </w:t>
      </w:r>
      <w:r w:rsidR="00FE0200" w:rsidRPr="0004487E">
        <w:rPr>
          <w:rFonts w:cs="Simplified Arabic"/>
          <w:rtl/>
        </w:rPr>
        <w:t xml:space="preserve">ببيان </w:t>
      </w:r>
      <w:r w:rsidR="00CE79C8">
        <w:rPr>
          <w:rFonts w:cs="Simplified Arabic" w:hint="cs"/>
          <w:rtl/>
        </w:rPr>
        <w:t>آخر</w:t>
      </w:r>
      <w:r w:rsidR="00FE0200" w:rsidRPr="0004487E">
        <w:rPr>
          <w:rFonts w:cs="Simplified Arabic"/>
          <w:rtl/>
        </w:rPr>
        <w:t xml:space="preserve"> </w:t>
      </w:r>
      <w:r w:rsidRPr="0004487E">
        <w:rPr>
          <w:rFonts w:cs="Simplified Arabic"/>
          <w:rtl/>
        </w:rPr>
        <w:t>ممثل ال</w:t>
      </w:r>
      <w:r w:rsidRPr="0004487E">
        <w:rPr>
          <w:rFonts w:cs="Simplified Arabic" w:hint="cs"/>
          <w:rtl/>
        </w:rPr>
        <w:t>دائرة</w:t>
      </w:r>
      <w:r w:rsidRPr="0004487E">
        <w:rPr>
          <w:rFonts w:cs="Simplified Arabic"/>
          <w:rtl/>
        </w:rPr>
        <w:t xml:space="preserve"> الدولية </w:t>
      </w:r>
      <w:r w:rsidRPr="0004487E">
        <w:rPr>
          <w:rFonts w:cs="Simplified Arabic" w:hint="cs"/>
          <w:rtl/>
        </w:rPr>
        <w:t>لحيازة</w:t>
      </w:r>
      <w:r w:rsidRPr="0004487E">
        <w:rPr>
          <w:rFonts w:cs="Simplified Arabic"/>
          <w:rtl/>
        </w:rPr>
        <w:t xml:space="preserve"> تطبيقات</w:t>
      </w:r>
      <w:r w:rsidRPr="0004487E">
        <w:rPr>
          <w:rFonts w:cs="Simplified Arabic" w:hint="cs"/>
          <w:rtl/>
        </w:rPr>
        <w:t xml:space="preserve"> </w:t>
      </w:r>
      <w:r w:rsidRPr="0004487E">
        <w:rPr>
          <w:rFonts w:cs="Simplified Arabic"/>
          <w:kern w:val="22"/>
          <w:rtl/>
        </w:rPr>
        <w:t>التكنولوجيا الأحيائية الزراعية</w:t>
      </w:r>
      <w:r w:rsidRPr="0004487E">
        <w:rPr>
          <w:rFonts w:cs="Simplified Arabic" w:hint="cs"/>
          <w:rtl/>
        </w:rPr>
        <w:t xml:space="preserve"> </w:t>
      </w:r>
      <w:r w:rsidRPr="0004487E">
        <w:rPr>
          <w:rFonts w:cs="Simplified Arabic"/>
        </w:rPr>
        <w:t>(ISAAA)</w:t>
      </w:r>
      <w:r w:rsidRPr="0004487E">
        <w:rPr>
          <w:rFonts w:cs="Simplified Arabic"/>
          <w:rtl/>
        </w:rPr>
        <w:t>.</w:t>
      </w:r>
      <w:r w:rsidRPr="0004487E">
        <w:rPr>
          <w:rFonts w:cs="Simplified Arabic" w:hint="cs"/>
          <w:rtl/>
        </w:rPr>
        <w:t xml:space="preserve"> </w:t>
      </w:r>
    </w:p>
    <w:p w:rsidR="004154A6" w:rsidRDefault="008C1330" w:rsidP="00987BDE">
      <w:pPr>
        <w:pStyle w:val="ListParagraph"/>
        <w:numPr>
          <w:ilvl w:val="0"/>
          <w:numId w:val="6"/>
        </w:numPr>
        <w:bidi/>
        <w:spacing w:line="216" w:lineRule="auto"/>
        <w:ind w:left="0" w:firstLine="0"/>
        <w:rPr>
          <w:rFonts w:cs="Simplified Arabic"/>
        </w:rPr>
      </w:pPr>
      <w:r w:rsidRPr="0004487E">
        <w:rPr>
          <w:rFonts w:cs="Simplified Arabic" w:hint="cs"/>
          <w:rtl/>
        </w:rPr>
        <w:lastRenderedPageBreak/>
        <w:t>و</w:t>
      </w:r>
      <w:r w:rsidRPr="0004487E">
        <w:rPr>
          <w:rFonts w:cs="Simplified Arabic"/>
          <w:rtl/>
        </w:rPr>
        <w:t xml:space="preserve">قال </w:t>
      </w:r>
      <w:r w:rsidRPr="0004487E">
        <w:rPr>
          <w:rFonts w:cs="Simplified Arabic" w:hint="cs"/>
          <w:rtl/>
        </w:rPr>
        <w:t>الرئيس</w:t>
      </w:r>
      <w:r w:rsidRPr="0004487E">
        <w:rPr>
          <w:rFonts w:cs="Simplified Arabic"/>
          <w:rtl/>
        </w:rPr>
        <w:t xml:space="preserve"> </w:t>
      </w:r>
      <w:r w:rsidRPr="0004487E">
        <w:rPr>
          <w:rFonts w:cs="Simplified Arabic" w:hint="cs"/>
          <w:rtl/>
        </w:rPr>
        <w:t>إنه</w:t>
      </w:r>
      <w:r w:rsidRPr="0004487E">
        <w:rPr>
          <w:rFonts w:cs="Simplified Arabic"/>
          <w:rtl/>
        </w:rPr>
        <w:t xml:space="preserve"> </w:t>
      </w:r>
      <w:r w:rsidRPr="0004487E">
        <w:rPr>
          <w:rFonts w:cs="Simplified Arabic" w:hint="cs"/>
          <w:rtl/>
        </w:rPr>
        <w:t>سيعد</w:t>
      </w:r>
      <w:r w:rsidRPr="0004487E">
        <w:rPr>
          <w:rFonts w:cs="Simplified Arabic"/>
          <w:rtl/>
        </w:rPr>
        <w:t xml:space="preserve"> </w:t>
      </w:r>
      <w:r w:rsidRPr="0004487E">
        <w:rPr>
          <w:rFonts w:cs="Simplified Arabic" w:hint="cs"/>
          <w:rtl/>
        </w:rPr>
        <w:t>مشروع مقرر منقح</w:t>
      </w:r>
      <w:r w:rsidRPr="0004487E">
        <w:rPr>
          <w:rFonts w:cs="Simplified Arabic"/>
          <w:rtl/>
        </w:rPr>
        <w:t xml:space="preserve"> </w:t>
      </w:r>
      <w:r w:rsidRPr="0004487E">
        <w:rPr>
          <w:rFonts w:cs="Simplified Arabic" w:hint="cs"/>
          <w:rtl/>
        </w:rPr>
        <w:t>يأخذ</w:t>
      </w:r>
      <w:r w:rsidRPr="0004487E">
        <w:rPr>
          <w:rFonts w:cs="Simplified Arabic"/>
          <w:rtl/>
        </w:rPr>
        <w:t xml:space="preserve"> </w:t>
      </w:r>
      <w:r w:rsidRPr="0004487E">
        <w:rPr>
          <w:rFonts w:cs="Simplified Arabic" w:hint="cs"/>
          <w:rtl/>
        </w:rPr>
        <w:t>في</w:t>
      </w:r>
      <w:r w:rsidRPr="0004487E">
        <w:rPr>
          <w:rFonts w:cs="Simplified Arabic"/>
          <w:rtl/>
        </w:rPr>
        <w:t xml:space="preserve"> </w:t>
      </w:r>
      <w:r w:rsidRPr="0004487E">
        <w:rPr>
          <w:rFonts w:cs="Simplified Arabic" w:hint="cs"/>
          <w:rtl/>
        </w:rPr>
        <w:t>الاعتبار</w:t>
      </w:r>
      <w:r w:rsidRPr="0004487E">
        <w:rPr>
          <w:rFonts w:cs="Simplified Arabic"/>
          <w:rtl/>
        </w:rPr>
        <w:t xml:space="preserve"> </w:t>
      </w:r>
      <w:r w:rsidRPr="0004487E">
        <w:rPr>
          <w:rFonts w:cs="Simplified Arabic" w:hint="cs"/>
          <w:rtl/>
        </w:rPr>
        <w:t>الآراء</w:t>
      </w:r>
      <w:r w:rsidRPr="0004487E">
        <w:rPr>
          <w:rFonts w:cs="Simplified Arabic"/>
          <w:rtl/>
        </w:rPr>
        <w:t xml:space="preserve"> </w:t>
      </w:r>
      <w:r w:rsidR="00FE0200">
        <w:rPr>
          <w:rFonts w:cs="Simplified Arabic" w:hint="cs"/>
          <w:rtl/>
        </w:rPr>
        <w:t>المع</w:t>
      </w:r>
      <w:r w:rsidRPr="0004487E">
        <w:rPr>
          <w:rFonts w:cs="Simplified Arabic" w:hint="cs"/>
          <w:rtl/>
        </w:rPr>
        <w:t>ر</w:t>
      </w:r>
      <w:r w:rsidR="00FE0200">
        <w:rPr>
          <w:rFonts w:cs="Simplified Arabic" w:hint="cs"/>
          <w:rtl/>
        </w:rPr>
        <w:t>ب</w:t>
      </w:r>
      <w:r w:rsidRPr="0004487E">
        <w:rPr>
          <w:rFonts w:cs="Simplified Arabic" w:hint="cs"/>
          <w:rtl/>
        </w:rPr>
        <w:t xml:space="preserve"> عنها</w:t>
      </w:r>
      <w:r w:rsidRPr="0004487E">
        <w:rPr>
          <w:rFonts w:cs="Simplified Arabic"/>
          <w:rtl/>
        </w:rPr>
        <w:t xml:space="preserve"> </w:t>
      </w:r>
      <w:r w:rsidRPr="0004487E">
        <w:rPr>
          <w:rFonts w:cs="Simplified Arabic" w:hint="cs"/>
          <w:rtl/>
        </w:rPr>
        <w:t>شفويا</w:t>
      </w:r>
      <w:r w:rsidR="00FE0200">
        <w:rPr>
          <w:rFonts w:cs="Simplified Arabic" w:hint="cs"/>
          <w:rtl/>
        </w:rPr>
        <w:t>ً</w:t>
      </w:r>
      <w:r w:rsidRPr="0004487E">
        <w:rPr>
          <w:rFonts w:cs="Simplified Arabic"/>
          <w:rtl/>
        </w:rPr>
        <w:t xml:space="preserve"> </w:t>
      </w:r>
      <w:r w:rsidRPr="0004487E">
        <w:rPr>
          <w:rFonts w:cs="Simplified Arabic" w:hint="cs"/>
          <w:rtl/>
        </w:rPr>
        <w:t>والمقدمة</w:t>
      </w:r>
      <w:r w:rsidRPr="0004487E">
        <w:rPr>
          <w:rFonts w:cs="Simplified Arabic"/>
          <w:rtl/>
        </w:rPr>
        <w:t xml:space="preserve"> </w:t>
      </w:r>
      <w:r w:rsidRPr="0004487E">
        <w:rPr>
          <w:rFonts w:cs="Simplified Arabic" w:hint="cs"/>
          <w:rtl/>
        </w:rPr>
        <w:t>كتاب</w:t>
      </w:r>
      <w:r w:rsidR="00FE0200">
        <w:rPr>
          <w:rFonts w:cs="Simplified Arabic" w:hint="cs"/>
          <w:rtl/>
        </w:rPr>
        <w:t>ة</w:t>
      </w:r>
      <w:r w:rsidRPr="0004487E">
        <w:rPr>
          <w:rFonts w:cs="Simplified Arabic" w:hint="cs"/>
          <w:rtl/>
        </w:rPr>
        <w:t>.</w:t>
      </w:r>
    </w:p>
    <w:p w:rsidR="0004487E" w:rsidRDefault="00987BDE" w:rsidP="00987BDE">
      <w:pPr>
        <w:pStyle w:val="ListParagraph"/>
        <w:numPr>
          <w:ilvl w:val="0"/>
          <w:numId w:val="6"/>
        </w:numPr>
        <w:bidi/>
        <w:spacing w:line="216" w:lineRule="auto"/>
        <w:ind w:left="0" w:firstLine="0"/>
        <w:rPr>
          <w:rFonts w:cs="Simplified Arabic"/>
        </w:rPr>
      </w:pPr>
      <w:r>
        <w:rPr>
          <w:rFonts w:cs="Simplified Arabic" w:hint="cs"/>
          <w:rtl/>
        </w:rPr>
        <w:t xml:space="preserve">وفي </w:t>
      </w:r>
      <w:r w:rsidRPr="00793E64">
        <w:rPr>
          <w:rFonts w:cs="Simplified Arabic"/>
          <w:rtl/>
        </w:rPr>
        <w:t xml:space="preserve">جلسته </w:t>
      </w:r>
      <w:r>
        <w:rPr>
          <w:rFonts w:cs="Simplified Arabic" w:hint="cs"/>
          <w:rtl/>
        </w:rPr>
        <w:t>الثانية عشرة</w:t>
      </w:r>
      <w:r w:rsidRPr="00793E64">
        <w:rPr>
          <w:rFonts w:cs="Simplified Arabic"/>
          <w:rtl/>
        </w:rPr>
        <w:t xml:space="preserve">، المنعقدة في </w:t>
      </w:r>
      <w:r>
        <w:rPr>
          <w:rFonts w:cs="Simplified Arabic" w:hint="cs"/>
          <w:rtl/>
        </w:rPr>
        <w:t>28</w:t>
      </w:r>
      <w:r>
        <w:rPr>
          <w:rFonts w:cs="Simplified Arabic"/>
          <w:rtl/>
        </w:rPr>
        <w:t xml:space="preserve"> نوفمبر/</w:t>
      </w:r>
      <w:r w:rsidRPr="00793E64">
        <w:rPr>
          <w:rFonts w:cs="Simplified Arabic"/>
          <w:rtl/>
        </w:rPr>
        <w:t>تشرين ا</w:t>
      </w:r>
      <w:r>
        <w:rPr>
          <w:rFonts w:cs="Simplified Arabic"/>
          <w:rtl/>
        </w:rPr>
        <w:t xml:space="preserve">لثاني 2018، </w:t>
      </w:r>
      <w:r w:rsidR="0004487E" w:rsidRPr="00793E64">
        <w:rPr>
          <w:rFonts w:cs="Simplified Arabic"/>
          <w:rtl/>
        </w:rPr>
        <w:t xml:space="preserve">نظر الفريق العامل </w:t>
      </w:r>
      <w:r w:rsidR="00FE0200">
        <w:rPr>
          <w:rFonts w:cs="Simplified Arabic"/>
          <w:rtl/>
        </w:rPr>
        <w:t xml:space="preserve">في مشروع مقرر منقح </w:t>
      </w:r>
      <w:r w:rsidR="0004487E" w:rsidRPr="00793E64">
        <w:rPr>
          <w:rFonts w:cs="Simplified Arabic"/>
          <w:rtl/>
        </w:rPr>
        <w:t>قدم</w:t>
      </w:r>
      <w:r w:rsidR="00FE0200">
        <w:rPr>
          <w:rFonts w:cs="Simplified Arabic" w:hint="cs"/>
          <w:rtl/>
        </w:rPr>
        <w:t>ه</w:t>
      </w:r>
      <w:r w:rsidR="0004487E" w:rsidRPr="00793E64">
        <w:rPr>
          <w:rFonts w:cs="Simplified Arabic"/>
          <w:rtl/>
        </w:rPr>
        <w:t xml:space="preserve"> الرئيس</w:t>
      </w:r>
      <w:r w:rsidR="0004487E">
        <w:rPr>
          <w:rFonts w:cs="Simplified Arabic" w:hint="cs"/>
          <w:rtl/>
        </w:rPr>
        <w:t>.</w:t>
      </w:r>
    </w:p>
    <w:p w:rsidR="0004487E" w:rsidRDefault="0004487E" w:rsidP="00CE79C8">
      <w:pPr>
        <w:pStyle w:val="ListParagraph"/>
        <w:numPr>
          <w:ilvl w:val="0"/>
          <w:numId w:val="6"/>
        </w:numPr>
        <w:bidi/>
        <w:spacing w:line="216" w:lineRule="auto"/>
        <w:ind w:left="0" w:firstLine="0"/>
        <w:rPr>
          <w:rFonts w:cs="Simplified Arabic"/>
        </w:rPr>
      </w:pPr>
      <w:r>
        <w:rPr>
          <w:rFonts w:cs="Simplified Arabic" w:hint="cs"/>
          <w:rtl/>
        </w:rPr>
        <w:t xml:space="preserve">وأدلى ببيانات ممثلو كولومبيا، وإكوادور، والاتحاد الأوروبي ودوله الأعضاء </w:t>
      </w:r>
      <w:r w:rsidR="00A87B7D">
        <w:rPr>
          <w:rFonts w:cs="Simplified Arabic" w:hint="cs"/>
          <w:rtl/>
        </w:rPr>
        <w:t>الثماني والعشرين</w:t>
      </w:r>
      <w:r>
        <w:rPr>
          <w:rFonts w:cs="Simplified Arabic" w:hint="cs"/>
          <w:rtl/>
        </w:rPr>
        <w:t>، وغابون</w:t>
      </w:r>
      <w:r w:rsidR="00FE0200">
        <w:rPr>
          <w:rFonts w:cs="Simplified Arabic" w:hint="cs"/>
          <w:rtl/>
        </w:rPr>
        <w:t>،</w:t>
      </w:r>
      <w:r>
        <w:rPr>
          <w:rFonts w:cs="Simplified Arabic" w:hint="cs"/>
          <w:rtl/>
        </w:rPr>
        <w:t xml:space="preserve"> وغينيا، واليابان، وكينيا، والمكسيك، والمغرب، وقطر وبيرو.</w:t>
      </w:r>
    </w:p>
    <w:p w:rsidR="0004487E" w:rsidRPr="0004487E" w:rsidRDefault="0004487E" w:rsidP="00FF7FA5">
      <w:pPr>
        <w:pStyle w:val="ListParagraph"/>
        <w:numPr>
          <w:ilvl w:val="0"/>
          <w:numId w:val="6"/>
        </w:numPr>
        <w:bidi/>
        <w:spacing w:line="216" w:lineRule="auto"/>
        <w:ind w:left="0" w:firstLine="0"/>
        <w:rPr>
          <w:rFonts w:cs="Simplified Arabic"/>
        </w:rPr>
      </w:pPr>
      <w:r>
        <w:rPr>
          <w:rFonts w:cs="Simplified Arabic" w:hint="cs"/>
          <w:rtl/>
        </w:rPr>
        <w:t>و</w:t>
      </w:r>
      <w:r w:rsidR="00EE5359">
        <w:rPr>
          <w:rFonts w:cs="Simplified Arabic" w:hint="cs"/>
          <w:rtl/>
        </w:rPr>
        <w:t>وافق</w:t>
      </w:r>
      <w:r>
        <w:rPr>
          <w:rFonts w:cs="Simplified Arabic" w:hint="cs"/>
          <w:rtl/>
        </w:rPr>
        <w:t xml:space="preserve"> الفريق العامل </w:t>
      </w:r>
      <w:r w:rsidR="00EE5359">
        <w:rPr>
          <w:rFonts w:cs="Simplified Arabic" w:hint="cs"/>
          <w:rtl/>
        </w:rPr>
        <w:t xml:space="preserve">على </w:t>
      </w:r>
      <w:r>
        <w:rPr>
          <w:rFonts w:cs="Simplified Arabic" w:hint="cs"/>
          <w:rtl/>
        </w:rPr>
        <w:t>مشروع المقرر المنقح، بص</w:t>
      </w:r>
      <w:r w:rsidR="00EE5359">
        <w:rPr>
          <w:rFonts w:cs="Simplified Arabic" w:hint="cs"/>
          <w:rtl/>
        </w:rPr>
        <w:t>يغته المعدلة شفوياً</w:t>
      </w:r>
      <w:r w:rsidR="00987BDE">
        <w:rPr>
          <w:rFonts w:cs="Simplified Arabic" w:hint="cs"/>
          <w:rtl/>
        </w:rPr>
        <w:t>،</w:t>
      </w:r>
      <w:r>
        <w:rPr>
          <w:rFonts w:cs="Simplified Arabic" w:hint="cs"/>
          <w:rtl/>
        </w:rPr>
        <w:t xml:space="preserve"> لإحالته إلى الجلسة العامة بوصفه مشروع المقرر </w:t>
      </w:r>
      <w:r>
        <w:t>CBD/COP/14/L.32</w:t>
      </w:r>
      <w:r>
        <w:rPr>
          <w:rFonts w:cs="Simplified Arabic" w:hint="cs"/>
          <w:rtl/>
        </w:rPr>
        <w:t>.</w:t>
      </w:r>
    </w:p>
    <w:p w:rsidR="004154A6" w:rsidRPr="00997CAE" w:rsidRDefault="00987BDE" w:rsidP="00987BDE">
      <w:pPr>
        <w:pStyle w:val="ListParagraph"/>
        <w:numPr>
          <w:ilvl w:val="0"/>
          <w:numId w:val="6"/>
        </w:numPr>
        <w:bidi/>
        <w:spacing w:line="216" w:lineRule="auto"/>
        <w:ind w:left="0" w:firstLine="0"/>
        <w:rPr>
          <w:rFonts w:cs="Simplified Arabic"/>
        </w:rPr>
      </w:pPr>
      <w:r>
        <w:rPr>
          <w:rFonts w:cs="Simplified Arabic" w:hint="cs"/>
          <w:rtl/>
        </w:rPr>
        <w:t>وفي الجلسة العامة السابعة</w:t>
      </w:r>
      <w:r w:rsidR="00CE79C8">
        <w:rPr>
          <w:rFonts w:cs="Simplified Arabic" w:hint="cs"/>
          <w:rtl/>
        </w:rPr>
        <w:t xml:space="preserve"> للاجتماع</w:t>
      </w:r>
      <w:r>
        <w:rPr>
          <w:rFonts w:cs="Simplified Arabic" w:hint="cs"/>
          <w:rtl/>
        </w:rPr>
        <w:t xml:space="preserve">، المنعقدة في 29 نوفمبر/تشرين الثاني 2018، اعتمد مؤتمر الأطراف مشروع المقرر </w:t>
      </w:r>
      <w:r w:rsidRPr="007F48C2">
        <w:t>CBD/COP/14/L.</w:t>
      </w:r>
      <w:r>
        <w:t>32</w:t>
      </w:r>
      <w:r>
        <w:rPr>
          <w:rFonts w:cs="Simplified Arabic" w:hint="cs"/>
          <w:rtl/>
        </w:rPr>
        <w:t xml:space="preserve"> بوصفه المقرر 14/31 (للاطلاع على النص، انظر الفصل الأول).</w:t>
      </w:r>
    </w:p>
    <w:p w:rsidR="00861ABC" w:rsidRPr="00997CAE" w:rsidRDefault="00861ABC" w:rsidP="00CE79C8">
      <w:pPr>
        <w:pStyle w:val="ListParagraph1"/>
        <w:numPr>
          <w:ilvl w:val="0"/>
          <w:numId w:val="0"/>
        </w:numPr>
        <w:bidi/>
        <w:spacing w:before="0" w:line="216" w:lineRule="auto"/>
        <w:jc w:val="center"/>
        <w:rPr>
          <w:rFonts w:cs="Simplified Arabic"/>
          <w:i/>
          <w:iCs/>
          <w:szCs w:val="24"/>
          <w:rtl/>
        </w:rPr>
      </w:pPr>
      <w:r w:rsidRPr="00997CAE">
        <w:rPr>
          <w:rFonts w:cs="Simplified Arabic" w:hint="cs"/>
          <w:i/>
          <w:iCs/>
          <w:szCs w:val="24"/>
          <w:rtl/>
        </w:rPr>
        <w:t>إ</w:t>
      </w:r>
      <w:r w:rsidRPr="00997CAE">
        <w:rPr>
          <w:rFonts w:cs="Simplified Arabic"/>
          <w:i/>
          <w:iCs/>
          <w:szCs w:val="24"/>
          <w:rtl/>
        </w:rPr>
        <w:t>دم</w:t>
      </w:r>
      <w:r w:rsidRPr="00997CAE">
        <w:rPr>
          <w:rFonts w:cs="Simplified Arabic" w:hint="cs"/>
          <w:i/>
          <w:iCs/>
          <w:szCs w:val="24"/>
          <w:rtl/>
        </w:rPr>
        <w:t>ا</w:t>
      </w:r>
      <w:r w:rsidRPr="00997CAE">
        <w:rPr>
          <w:rFonts w:cs="Simplified Arabic"/>
          <w:i/>
          <w:iCs/>
          <w:szCs w:val="24"/>
          <w:rtl/>
        </w:rPr>
        <w:t>ج المادة 8</w:t>
      </w:r>
      <w:r w:rsidRPr="00997CAE">
        <w:rPr>
          <w:rFonts w:cs="Simplified Arabic" w:hint="cs"/>
          <w:i/>
          <w:iCs/>
          <w:szCs w:val="24"/>
          <w:rtl/>
        </w:rPr>
        <w:t>(</w:t>
      </w:r>
      <w:r w:rsidRPr="00997CAE">
        <w:rPr>
          <w:rFonts w:cs="Simplified Arabic"/>
          <w:i/>
          <w:iCs/>
          <w:szCs w:val="24"/>
          <w:rtl/>
        </w:rPr>
        <w:t xml:space="preserve">ي) والأحكام المتعلقة بالشعوب الأصلية والمجتمعات المحلية في </w:t>
      </w:r>
      <w:r w:rsidRPr="00997CAE">
        <w:rPr>
          <w:rFonts w:cs="Simplified Arabic" w:hint="cs"/>
          <w:i/>
          <w:iCs/>
          <w:szCs w:val="24"/>
          <w:rtl/>
        </w:rPr>
        <w:t>عمل</w:t>
      </w:r>
      <w:r w:rsidRPr="00997CAE">
        <w:rPr>
          <w:rFonts w:cs="Simplified Arabic"/>
          <w:i/>
          <w:iCs/>
          <w:szCs w:val="24"/>
          <w:rtl/>
        </w:rPr>
        <w:t xml:space="preserve"> الاتفاقية وبروتوكول</w:t>
      </w:r>
      <w:r w:rsidRPr="00997CAE">
        <w:rPr>
          <w:rFonts w:cs="Simplified Arabic" w:hint="cs"/>
          <w:i/>
          <w:iCs/>
          <w:szCs w:val="24"/>
          <w:rtl/>
        </w:rPr>
        <w:t>ي</w:t>
      </w:r>
      <w:r w:rsidRPr="00997CAE">
        <w:rPr>
          <w:rFonts w:cs="Simplified Arabic"/>
          <w:i/>
          <w:iCs/>
          <w:szCs w:val="24"/>
          <w:rtl/>
        </w:rPr>
        <w:t>ها</w:t>
      </w:r>
    </w:p>
    <w:p w:rsidR="00861ABC" w:rsidRPr="0004487E" w:rsidRDefault="00861ABC" w:rsidP="00CE79C8">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 xml:space="preserve">تناول الفريق العامل الثاني البند 13 من جدول الأعمال في </w:t>
      </w:r>
      <w:r w:rsidR="00CE79C8">
        <w:rPr>
          <w:rFonts w:cs="Simplified Arabic" w:hint="cs"/>
          <w:szCs w:val="24"/>
          <w:rtl/>
        </w:rPr>
        <w:t>جلست</w:t>
      </w:r>
      <w:r w:rsidRPr="0004487E">
        <w:rPr>
          <w:rFonts w:cs="Simplified Arabic"/>
          <w:szCs w:val="24"/>
          <w:rtl/>
        </w:rPr>
        <w:t>ه الخامس</w:t>
      </w:r>
      <w:r w:rsidR="00CE79C8">
        <w:rPr>
          <w:rFonts w:cs="Simplified Arabic" w:hint="cs"/>
          <w:szCs w:val="24"/>
          <w:rtl/>
        </w:rPr>
        <w:t>ة،</w:t>
      </w:r>
      <w:r w:rsidRPr="0004487E">
        <w:rPr>
          <w:rFonts w:cs="Simplified Arabic"/>
          <w:szCs w:val="24"/>
          <w:rtl/>
        </w:rPr>
        <w:t xml:space="preserve"> المعقود</w:t>
      </w:r>
      <w:r w:rsidR="00CE79C8">
        <w:rPr>
          <w:rFonts w:cs="Simplified Arabic" w:hint="cs"/>
          <w:szCs w:val="24"/>
          <w:rtl/>
        </w:rPr>
        <w:t>ة</w:t>
      </w:r>
      <w:r w:rsidRPr="0004487E">
        <w:rPr>
          <w:rFonts w:cs="Simplified Arabic"/>
          <w:szCs w:val="24"/>
          <w:rtl/>
        </w:rPr>
        <w:t xml:space="preserve"> في 20 نوفمبر/تشرين الثاني 2018. ولدى النظر في هذا البند، كان معروضا أمام الفريق العامل مشروع مقرر يستند إلى </w:t>
      </w:r>
      <w:r w:rsidR="00CE79C8">
        <w:rPr>
          <w:rFonts w:cs="Simplified Arabic" w:hint="cs"/>
          <w:szCs w:val="24"/>
          <w:rtl/>
        </w:rPr>
        <w:t>ال</w:t>
      </w:r>
      <w:r w:rsidRPr="0004487E">
        <w:rPr>
          <w:rFonts w:cs="Simplified Arabic"/>
          <w:szCs w:val="24"/>
          <w:rtl/>
        </w:rPr>
        <w:t>توصية</w:t>
      </w:r>
      <w:r w:rsidRPr="0004487E">
        <w:rPr>
          <w:rFonts w:cs="Simplified Arabic" w:hint="cs"/>
          <w:szCs w:val="24"/>
          <w:rtl/>
        </w:rPr>
        <w:t xml:space="preserve"> </w:t>
      </w:r>
      <w:r w:rsidR="00CE79C8">
        <w:rPr>
          <w:rFonts w:cs="Simplified Arabic" w:hint="cs"/>
          <w:szCs w:val="24"/>
          <w:rtl/>
        </w:rPr>
        <w:t>2/16 ل</w:t>
      </w:r>
      <w:r w:rsidRPr="0004487E">
        <w:rPr>
          <w:rFonts w:cs="Simplified Arabic" w:hint="cs"/>
          <w:szCs w:val="24"/>
          <w:rtl/>
        </w:rPr>
        <w:t>لهيئة الفرعية للتنفيذ،</w:t>
      </w:r>
      <w:r w:rsidRPr="0004487E">
        <w:rPr>
          <w:rFonts w:cs="Simplified Arabic"/>
          <w:szCs w:val="24"/>
          <w:rtl/>
        </w:rPr>
        <w:t xml:space="preserve"> ال</w:t>
      </w:r>
      <w:r w:rsidR="00CE79C8">
        <w:rPr>
          <w:rFonts w:cs="Simplified Arabic" w:hint="cs"/>
          <w:szCs w:val="24"/>
          <w:rtl/>
        </w:rPr>
        <w:t>مبين</w:t>
      </w:r>
      <w:r w:rsidRPr="0004487E">
        <w:rPr>
          <w:rFonts w:cs="Simplified Arabic"/>
          <w:szCs w:val="24"/>
          <w:rtl/>
        </w:rPr>
        <w:t xml:space="preserve"> في تجميع مشاريع المقررات </w:t>
      </w:r>
      <w:r w:rsidRPr="00FE0200">
        <w:rPr>
          <w:rtl/>
        </w:rPr>
        <w:t>(</w:t>
      </w:r>
      <w:r w:rsidRPr="00FE0200">
        <w:rPr>
          <w:lang w:val="en-GB"/>
        </w:rPr>
        <w:t>CBD/COP/14/2</w:t>
      </w:r>
      <w:r w:rsidRPr="00FE0200">
        <w:rPr>
          <w:rtl/>
        </w:rPr>
        <w:t>)</w:t>
      </w:r>
      <w:r w:rsidRPr="0004487E">
        <w:rPr>
          <w:rFonts w:cs="Simplified Arabic" w:hint="cs"/>
          <w:szCs w:val="24"/>
          <w:rtl/>
        </w:rPr>
        <w:t>.</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و</w:t>
      </w:r>
      <w:r w:rsidR="00EE5359">
        <w:rPr>
          <w:rFonts w:cs="Simplified Arabic" w:hint="cs"/>
          <w:szCs w:val="24"/>
          <w:rtl/>
        </w:rPr>
        <w:t>أدلى ب</w:t>
      </w:r>
      <w:r w:rsidRPr="0004487E">
        <w:rPr>
          <w:rFonts w:cs="Simplified Arabic"/>
          <w:szCs w:val="24"/>
          <w:rtl/>
        </w:rPr>
        <w:t>بيانات</w:t>
      </w:r>
      <w:r w:rsidRPr="0004487E">
        <w:rPr>
          <w:rFonts w:cs="Simplified Arabic" w:hint="cs"/>
          <w:szCs w:val="24"/>
          <w:rtl/>
        </w:rPr>
        <w:t xml:space="preserve"> </w:t>
      </w:r>
      <w:r w:rsidRPr="0004487E">
        <w:rPr>
          <w:rFonts w:cs="Simplified Arabic"/>
          <w:szCs w:val="24"/>
          <w:rtl/>
        </w:rPr>
        <w:t>ممثل</w:t>
      </w:r>
      <w:r w:rsidR="00EE5359">
        <w:rPr>
          <w:rFonts w:cs="Simplified Arabic" w:hint="cs"/>
          <w:szCs w:val="24"/>
          <w:rtl/>
        </w:rPr>
        <w:t>و</w:t>
      </w:r>
      <w:r w:rsidRPr="0004487E">
        <w:rPr>
          <w:rFonts w:cs="Simplified Arabic"/>
          <w:szCs w:val="24"/>
          <w:rtl/>
        </w:rPr>
        <w:t xml:space="preserve"> بوليفيا (دولة - المتعددة القوميات)، وكولومبيا، وكوستاريكا، والاتحاد الأوروبي ودول</w:t>
      </w:r>
      <w:r w:rsidR="00EE5359">
        <w:rPr>
          <w:rFonts w:cs="Simplified Arabic" w:hint="cs"/>
          <w:szCs w:val="24"/>
          <w:rtl/>
        </w:rPr>
        <w:t>ه</w:t>
      </w:r>
      <w:r w:rsidRPr="0004487E">
        <w:rPr>
          <w:rFonts w:cs="Simplified Arabic"/>
          <w:szCs w:val="24"/>
          <w:rtl/>
        </w:rPr>
        <w:t xml:space="preserve"> الأعضاء</w:t>
      </w:r>
      <w:r w:rsidRPr="0004487E">
        <w:rPr>
          <w:rFonts w:cs="Simplified Arabic" w:hint="cs"/>
          <w:szCs w:val="24"/>
          <w:rtl/>
        </w:rPr>
        <w:t xml:space="preserve"> </w:t>
      </w:r>
      <w:r w:rsidR="00EE5359">
        <w:rPr>
          <w:rFonts w:cs="Simplified Arabic" w:hint="cs"/>
          <w:rtl/>
          <w:lang w:val="fr-CH"/>
        </w:rPr>
        <w:t>الثماني والعشرين</w:t>
      </w:r>
      <w:r w:rsidR="00EE5359" w:rsidRPr="00793E64">
        <w:rPr>
          <w:rFonts w:cs="Simplified Arabic"/>
          <w:rtl/>
          <w:lang w:val="fr-CH"/>
        </w:rPr>
        <w:t>،</w:t>
      </w:r>
      <w:r w:rsidRPr="0004487E">
        <w:rPr>
          <w:rFonts w:cs="Simplified Arabic"/>
          <w:szCs w:val="24"/>
          <w:rtl/>
        </w:rPr>
        <w:t xml:space="preserve"> وغواتيمالا، والمكسيك، والمغرب، والفلبين، وفنزويلا (جمهورية - البوليفارية)</w:t>
      </w:r>
      <w:r w:rsidRPr="0004487E">
        <w:rPr>
          <w:rFonts w:cs="Simplified Arabic" w:hint="cs"/>
          <w:szCs w:val="24"/>
          <w:rtl/>
        </w:rPr>
        <w:t>.</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 xml:space="preserve">وأدلى </w:t>
      </w:r>
      <w:r w:rsidRPr="0004487E">
        <w:rPr>
          <w:rFonts w:cs="Simplified Arabic" w:hint="cs"/>
          <w:szCs w:val="24"/>
          <w:rtl/>
        </w:rPr>
        <w:t>ب</w:t>
      </w:r>
      <w:r w:rsidRPr="0004487E">
        <w:rPr>
          <w:rFonts w:cs="Simplified Arabic"/>
          <w:szCs w:val="24"/>
          <w:rtl/>
        </w:rPr>
        <w:t>بيان</w:t>
      </w:r>
      <w:r w:rsidRPr="0004487E">
        <w:rPr>
          <w:rFonts w:cs="Simplified Arabic" w:hint="cs"/>
          <w:szCs w:val="24"/>
          <w:rtl/>
        </w:rPr>
        <w:t xml:space="preserve"> آخر </w:t>
      </w:r>
      <w:r w:rsidRPr="0004487E">
        <w:rPr>
          <w:rFonts w:cs="Simplified Arabic"/>
          <w:szCs w:val="24"/>
          <w:rtl/>
        </w:rPr>
        <w:t xml:space="preserve">ممثل </w:t>
      </w:r>
      <w:r w:rsidR="00CE79C8">
        <w:rPr>
          <w:rFonts w:cs="Simplified Arabic" w:hint="cs"/>
          <w:szCs w:val="24"/>
          <w:rtl/>
        </w:rPr>
        <w:t xml:space="preserve">عن </w:t>
      </w:r>
      <w:r w:rsidRPr="0004487E">
        <w:rPr>
          <w:rFonts w:cs="Simplified Arabic"/>
          <w:szCs w:val="24"/>
          <w:rtl/>
        </w:rPr>
        <w:t>المنظمة العالمية للملكية الفكرية</w:t>
      </w:r>
      <w:r w:rsidRPr="0004487E">
        <w:rPr>
          <w:rFonts w:cs="Simplified Arabic" w:hint="cs"/>
          <w:szCs w:val="24"/>
          <w:rtl/>
        </w:rPr>
        <w:t>.</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و</w:t>
      </w:r>
      <w:r w:rsidR="00EE5359">
        <w:rPr>
          <w:rFonts w:cs="Simplified Arabic" w:hint="cs"/>
          <w:szCs w:val="24"/>
          <w:rtl/>
        </w:rPr>
        <w:t>أدلى ب</w:t>
      </w:r>
      <w:r w:rsidRPr="0004487E">
        <w:rPr>
          <w:rFonts w:cs="Simplified Arabic"/>
          <w:szCs w:val="24"/>
          <w:rtl/>
        </w:rPr>
        <w:t>بيان</w:t>
      </w:r>
      <w:r w:rsidRPr="0004487E">
        <w:rPr>
          <w:rFonts w:cs="Simplified Arabic" w:hint="cs"/>
          <w:szCs w:val="24"/>
          <w:rtl/>
        </w:rPr>
        <w:t>ات</w:t>
      </w:r>
      <w:r w:rsidRPr="0004487E">
        <w:rPr>
          <w:rFonts w:cs="Simplified Arabic"/>
          <w:szCs w:val="24"/>
          <w:rtl/>
        </w:rPr>
        <w:t xml:space="preserve"> أيضا ممثل</w:t>
      </w:r>
      <w:r w:rsidR="00EE5359">
        <w:rPr>
          <w:rFonts w:cs="Simplified Arabic" w:hint="cs"/>
          <w:szCs w:val="24"/>
          <w:rtl/>
        </w:rPr>
        <w:t>و</w:t>
      </w:r>
      <w:r w:rsidRPr="0004487E">
        <w:rPr>
          <w:rFonts w:cs="Simplified Arabic"/>
          <w:szCs w:val="24"/>
          <w:rtl/>
        </w:rPr>
        <w:t xml:space="preserve"> المنتدى الدولي للشعوب الأصلية المعني بالتنوع البيولوجي (ب</w:t>
      </w:r>
      <w:r w:rsidR="00FE0200">
        <w:rPr>
          <w:rFonts w:cs="Simplified Arabic" w:hint="cs"/>
          <w:szCs w:val="24"/>
          <w:rtl/>
        </w:rPr>
        <w:t>تأييد</w:t>
      </w:r>
      <w:r w:rsidRPr="0004487E">
        <w:rPr>
          <w:rFonts w:cs="Simplified Arabic"/>
          <w:szCs w:val="24"/>
          <w:rtl/>
        </w:rPr>
        <w:t xml:space="preserve"> من بوليفيا (دولة - المتعددة القوميات) </w:t>
      </w:r>
      <w:r w:rsidRPr="0004487E">
        <w:rPr>
          <w:rFonts w:cs="Simplified Arabic" w:hint="cs"/>
          <w:szCs w:val="24"/>
          <w:rtl/>
        </w:rPr>
        <w:t>والبرازيل</w:t>
      </w:r>
      <w:r w:rsidRPr="0004487E">
        <w:rPr>
          <w:rFonts w:cs="Simplified Arabic"/>
          <w:szCs w:val="24"/>
          <w:rtl/>
        </w:rPr>
        <w:t>)</w:t>
      </w:r>
      <w:r w:rsidRPr="0004487E">
        <w:rPr>
          <w:rFonts w:cs="Simplified Arabic" w:hint="cs"/>
          <w:szCs w:val="24"/>
          <w:rtl/>
        </w:rPr>
        <w:t xml:space="preserve"> و</w:t>
      </w:r>
      <w:r w:rsidRPr="0004487E">
        <w:rPr>
          <w:rFonts w:cs="Simplified Arabic"/>
          <w:szCs w:val="24"/>
          <w:rtl/>
        </w:rPr>
        <w:t>اللجنة الدولية لصيد الحيتان</w:t>
      </w:r>
      <w:r w:rsidRPr="0004487E">
        <w:rPr>
          <w:rFonts w:cs="Simplified Arabic" w:hint="cs"/>
          <w:szCs w:val="24"/>
          <w:rtl/>
        </w:rPr>
        <w:t>.</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وبعد تبادل الآراء، قالت الرئيسة إنها ست</w:t>
      </w:r>
      <w:r w:rsidRPr="0004487E">
        <w:rPr>
          <w:rFonts w:cs="Simplified Arabic" w:hint="cs"/>
          <w:szCs w:val="24"/>
          <w:rtl/>
        </w:rPr>
        <w:t>عد</w:t>
      </w:r>
      <w:r w:rsidRPr="0004487E">
        <w:rPr>
          <w:rFonts w:cs="Simplified Arabic"/>
          <w:szCs w:val="24"/>
          <w:rtl/>
        </w:rPr>
        <w:t xml:space="preserve"> مشروع مقرر</w:t>
      </w:r>
      <w:r w:rsidRPr="0004487E">
        <w:rPr>
          <w:rFonts w:cs="Simplified Arabic" w:hint="cs"/>
          <w:szCs w:val="24"/>
          <w:rtl/>
        </w:rPr>
        <w:t xml:space="preserve"> منقح</w:t>
      </w:r>
      <w:r w:rsidRPr="0004487E">
        <w:rPr>
          <w:rFonts w:cs="Simplified Arabic"/>
          <w:szCs w:val="24"/>
          <w:rtl/>
        </w:rPr>
        <w:t xml:space="preserve"> </w:t>
      </w:r>
      <w:r w:rsidRPr="0004487E">
        <w:rPr>
          <w:rFonts w:cs="Simplified Arabic" w:hint="cs"/>
          <w:szCs w:val="24"/>
          <w:rtl/>
        </w:rPr>
        <w:t>ل</w:t>
      </w:r>
      <w:r w:rsidRPr="0004487E">
        <w:rPr>
          <w:rFonts w:cs="Simplified Arabic"/>
          <w:szCs w:val="24"/>
          <w:rtl/>
        </w:rPr>
        <w:t xml:space="preserve">ينظر فيه الفريق العامل، مع </w:t>
      </w:r>
      <w:r w:rsidRPr="0004487E">
        <w:rPr>
          <w:rFonts w:cs="Simplified Arabic" w:hint="cs"/>
          <w:szCs w:val="24"/>
          <w:rtl/>
        </w:rPr>
        <w:t>الأخذ في الاعتبار</w:t>
      </w:r>
      <w:r w:rsidRPr="0004487E">
        <w:rPr>
          <w:rFonts w:cs="Simplified Arabic"/>
          <w:szCs w:val="24"/>
          <w:rtl/>
        </w:rPr>
        <w:t xml:space="preserve"> الآراء </w:t>
      </w:r>
      <w:r w:rsidRPr="0004487E">
        <w:rPr>
          <w:rFonts w:cs="Simplified Arabic" w:hint="cs"/>
          <w:szCs w:val="24"/>
          <w:rtl/>
        </w:rPr>
        <w:t>المعر</w:t>
      </w:r>
      <w:r w:rsidRPr="0004487E">
        <w:rPr>
          <w:rFonts w:cs="Simplified Arabic"/>
          <w:szCs w:val="24"/>
          <w:rtl/>
        </w:rPr>
        <w:t>ب عنها شفويا</w:t>
      </w:r>
      <w:r w:rsidR="00FE0200">
        <w:rPr>
          <w:rFonts w:cs="Simplified Arabic" w:hint="cs"/>
          <w:szCs w:val="24"/>
          <w:rtl/>
        </w:rPr>
        <w:t>ً</w:t>
      </w:r>
      <w:r w:rsidRPr="0004487E">
        <w:rPr>
          <w:rFonts w:cs="Simplified Arabic"/>
          <w:szCs w:val="24"/>
          <w:rtl/>
        </w:rPr>
        <w:t xml:space="preserve"> </w:t>
      </w:r>
      <w:r w:rsidRPr="0004487E">
        <w:rPr>
          <w:rFonts w:cs="Simplified Arabic" w:hint="cs"/>
          <w:szCs w:val="24"/>
          <w:rtl/>
        </w:rPr>
        <w:t xml:space="preserve">والمقدمة </w:t>
      </w:r>
      <w:r w:rsidR="00FE0200">
        <w:rPr>
          <w:rFonts w:cs="Simplified Arabic" w:hint="cs"/>
          <w:szCs w:val="24"/>
          <w:rtl/>
        </w:rPr>
        <w:t>كتابة</w:t>
      </w:r>
      <w:r w:rsidRPr="0004487E">
        <w:rPr>
          <w:rFonts w:cs="Simplified Arabic" w:hint="cs"/>
          <w:szCs w:val="24"/>
          <w:rtl/>
        </w:rPr>
        <w:t>.</w:t>
      </w:r>
    </w:p>
    <w:p w:rsidR="00861ABC" w:rsidRPr="0004487E" w:rsidRDefault="00CE79C8" w:rsidP="00CE79C8">
      <w:pPr>
        <w:pStyle w:val="ListParagraph1"/>
        <w:numPr>
          <w:ilvl w:val="0"/>
          <w:numId w:val="6"/>
        </w:numPr>
        <w:tabs>
          <w:tab w:val="clear" w:pos="720"/>
        </w:tabs>
        <w:bidi/>
        <w:spacing w:before="0" w:line="216" w:lineRule="auto"/>
        <w:ind w:left="0" w:firstLine="0"/>
        <w:rPr>
          <w:rFonts w:cs="Simplified Arabic"/>
          <w:szCs w:val="24"/>
          <w:rtl/>
        </w:rPr>
      </w:pPr>
      <w:r>
        <w:rPr>
          <w:rFonts w:cs="Simplified Arabic" w:hint="cs"/>
          <w:szCs w:val="24"/>
          <w:rtl/>
        </w:rPr>
        <w:t>وفي جلست</w:t>
      </w:r>
      <w:r w:rsidRPr="0004487E">
        <w:rPr>
          <w:rFonts w:cs="Simplified Arabic" w:hint="cs"/>
          <w:szCs w:val="24"/>
          <w:rtl/>
        </w:rPr>
        <w:t>ه</w:t>
      </w:r>
      <w:r w:rsidRPr="0004487E">
        <w:rPr>
          <w:rFonts w:cs="Simplified Arabic"/>
          <w:szCs w:val="24"/>
          <w:rtl/>
        </w:rPr>
        <w:t xml:space="preserve"> الرابع</w:t>
      </w:r>
      <w:r>
        <w:rPr>
          <w:rFonts w:cs="Simplified Arabic" w:hint="cs"/>
          <w:szCs w:val="24"/>
          <w:rtl/>
        </w:rPr>
        <w:t>ة</w:t>
      </w:r>
      <w:r w:rsidRPr="0004487E">
        <w:rPr>
          <w:rFonts w:cs="Simplified Arabic"/>
          <w:szCs w:val="24"/>
          <w:rtl/>
        </w:rPr>
        <w:t xml:space="preserve"> عشر</w:t>
      </w:r>
      <w:r>
        <w:rPr>
          <w:rFonts w:cs="Simplified Arabic" w:hint="cs"/>
          <w:szCs w:val="24"/>
          <w:rtl/>
        </w:rPr>
        <w:t>ة</w:t>
      </w:r>
      <w:r w:rsidRPr="0004487E">
        <w:rPr>
          <w:rFonts w:cs="Simplified Arabic"/>
          <w:szCs w:val="24"/>
          <w:rtl/>
        </w:rPr>
        <w:t>، المعقود</w:t>
      </w:r>
      <w:r>
        <w:rPr>
          <w:rFonts w:cs="Simplified Arabic" w:hint="cs"/>
          <w:szCs w:val="24"/>
          <w:rtl/>
        </w:rPr>
        <w:t>ة</w:t>
      </w:r>
      <w:r w:rsidRPr="0004487E">
        <w:rPr>
          <w:rFonts w:cs="Simplified Arabic"/>
          <w:szCs w:val="24"/>
          <w:rtl/>
        </w:rPr>
        <w:t xml:space="preserve"> في 27 نوفمبر/تشرين ا</w:t>
      </w:r>
      <w:r>
        <w:rPr>
          <w:rFonts w:cs="Simplified Arabic"/>
          <w:szCs w:val="24"/>
          <w:rtl/>
        </w:rPr>
        <w:t>لثاني 2018،</w:t>
      </w:r>
      <w:r>
        <w:rPr>
          <w:rFonts w:cs="Simplified Arabic" w:hint="cs"/>
          <w:szCs w:val="24"/>
          <w:rtl/>
        </w:rPr>
        <w:t xml:space="preserve"> </w:t>
      </w:r>
      <w:r w:rsidR="00861ABC" w:rsidRPr="0004487E">
        <w:rPr>
          <w:rFonts w:cs="Simplified Arabic"/>
          <w:szCs w:val="24"/>
          <w:rtl/>
        </w:rPr>
        <w:t xml:space="preserve">نظر الفريق العامل </w:t>
      </w:r>
      <w:r w:rsidR="00FE0200">
        <w:rPr>
          <w:rFonts w:cs="Simplified Arabic"/>
          <w:szCs w:val="24"/>
          <w:rtl/>
        </w:rPr>
        <w:t xml:space="preserve">في مشروع مقرر منقح </w:t>
      </w:r>
      <w:r w:rsidR="00861ABC" w:rsidRPr="0004487E">
        <w:rPr>
          <w:rFonts w:cs="Simplified Arabic"/>
          <w:szCs w:val="24"/>
          <w:rtl/>
        </w:rPr>
        <w:t>قدم</w:t>
      </w:r>
      <w:r w:rsidR="00FE0200">
        <w:rPr>
          <w:rFonts w:cs="Simplified Arabic" w:hint="cs"/>
          <w:szCs w:val="24"/>
          <w:rtl/>
        </w:rPr>
        <w:t>ته</w:t>
      </w:r>
      <w:r w:rsidR="00861ABC" w:rsidRPr="0004487E">
        <w:rPr>
          <w:rFonts w:cs="Simplified Arabic"/>
          <w:szCs w:val="24"/>
          <w:rtl/>
        </w:rPr>
        <w:t xml:space="preserve"> الرئيس</w:t>
      </w:r>
      <w:r w:rsidR="00861ABC" w:rsidRPr="0004487E">
        <w:rPr>
          <w:rFonts w:cs="Simplified Arabic" w:hint="cs"/>
          <w:szCs w:val="24"/>
          <w:rtl/>
        </w:rPr>
        <w:t>ة.</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tl/>
        </w:rPr>
      </w:pPr>
      <w:r w:rsidRPr="0004487E">
        <w:rPr>
          <w:rFonts w:cs="Simplified Arabic"/>
          <w:szCs w:val="24"/>
          <w:rtl/>
        </w:rPr>
        <w:t>وأ</w:t>
      </w:r>
      <w:r w:rsidR="00ED4C91">
        <w:rPr>
          <w:rFonts w:cs="Simplified Arabic" w:hint="cs"/>
          <w:szCs w:val="24"/>
          <w:rtl/>
        </w:rPr>
        <w:t>دلى</w:t>
      </w:r>
      <w:r w:rsidRPr="0004487E">
        <w:rPr>
          <w:rFonts w:cs="Simplified Arabic"/>
          <w:szCs w:val="24"/>
          <w:rtl/>
        </w:rPr>
        <w:t xml:space="preserve"> </w:t>
      </w:r>
      <w:r w:rsidR="00ED4C91">
        <w:rPr>
          <w:rFonts w:cs="Simplified Arabic" w:hint="cs"/>
          <w:szCs w:val="24"/>
          <w:rtl/>
        </w:rPr>
        <w:t>ب</w:t>
      </w:r>
      <w:r w:rsidRPr="0004487E">
        <w:rPr>
          <w:rFonts w:cs="Simplified Arabic"/>
          <w:szCs w:val="24"/>
          <w:rtl/>
        </w:rPr>
        <w:t>بيان</w:t>
      </w:r>
      <w:r w:rsidRPr="0004487E">
        <w:rPr>
          <w:rFonts w:cs="Simplified Arabic" w:hint="cs"/>
          <w:szCs w:val="24"/>
          <w:rtl/>
        </w:rPr>
        <w:t>ات</w:t>
      </w:r>
      <w:r w:rsidRPr="0004487E">
        <w:rPr>
          <w:rFonts w:cs="Simplified Arabic"/>
          <w:szCs w:val="24"/>
          <w:rtl/>
        </w:rPr>
        <w:t xml:space="preserve"> ممثل</w:t>
      </w:r>
      <w:r w:rsidR="00ED4C91">
        <w:rPr>
          <w:rFonts w:cs="Simplified Arabic" w:hint="cs"/>
          <w:szCs w:val="24"/>
          <w:rtl/>
        </w:rPr>
        <w:t>و</w:t>
      </w:r>
      <w:r w:rsidRPr="0004487E">
        <w:rPr>
          <w:rFonts w:cs="Simplified Arabic"/>
          <w:szCs w:val="24"/>
          <w:rtl/>
        </w:rPr>
        <w:t xml:space="preserve"> البرازيل</w:t>
      </w:r>
      <w:r w:rsidRPr="0004487E">
        <w:rPr>
          <w:rFonts w:cs="Simplified Arabic" w:hint="cs"/>
          <w:szCs w:val="24"/>
          <w:rtl/>
        </w:rPr>
        <w:t>،</w:t>
      </w:r>
      <w:r w:rsidRPr="0004487E">
        <w:rPr>
          <w:rFonts w:cs="Simplified Arabic"/>
          <w:szCs w:val="24"/>
          <w:rtl/>
        </w:rPr>
        <w:t xml:space="preserve"> والاتحاد الأوروبي </w:t>
      </w:r>
      <w:r w:rsidR="00ED4C91">
        <w:rPr>
          <w:rFonts w:cs="Simplified Arabic" w:hint="cs"/>
          <w:szCs w:val="24"/>
          <w:rtl/>
        </w:rPr>
        <w:t xml:space="preserve">ودوله الأعضاء </w:t>
      </w:r>
      <w:r w:rsidR="00ED4C91">
        <w:rPr>
          <w:rFonts w:cs="Simplified Arabic" w:hint="cs"/>
          <w:rtl/>
          <w:lang w:val="fr-CH"/>
        </w:rPr>
        <w:t>الثماني والعشرين</w:t>
      </w:r>
      <w:r w:rsidR="00ED4C91" w:rsidRPr="00793E64">
        <w:rPr>
          <w:rFonts w:cs="Simplified Arabic"/>
          <w:rtl/>
          <w:lang w:val="fr-CH"/>
        </w:rPr>
        <w:t>،</w:t>
      </w:r>
      <w:r w:rsidRPr="0004487E">
        <w:rPr>
          <w:rFonts w:cs="Simplified Arabic"/>
          <w:szCs w:val="24"/>
          <w:rtl/>
        </w:rPr>
        <w:t xml:space="preserve"> والمكسيك</w:t>
      </w:r>
      <w:r w:rsidRPr="0004487E">
        <w:rPr>
          <w:rFonts w:cs="Simplified Arabic" w:hint="cs"/>
          <w:szCs w:val="24"/>
          <w:rtl/>
        </w:rPr>
        <w:t>.</w:t>
      </w:r>
    </w:p>
    <w:p w:rsidR="00861ABC" w:rsidRPr="0004487E" w:rsidRDefault="00861ABC" w:rsidP="00FF7FA5">
      <w:pPr>
        <w:pStyle w:val="ListParagraph1"/>
        <w:numPr>
          <w:ilvl w:val="0"/>
          <w:numId w:val="6"/>
        </w:numPr>
        <w:tabs>
          <w:tab w:val="clear" w:pos="720"/>
        </w:tabs>
        <w:bidi/>
        <w:spacing w:before="0" w:line="216" w:lineRule="auto"/>
        <w:ind w:left="0" w:firstLine="0"/>
        <w:rPr>
          <w:rFonts w:cs="Simplified Arabic"/>
          <w:szCs w:val="24"/>
        </w:rPr>
      </w:pPr>
      <w:r w:rsidRPr="0004487E">
        <w:rPr>
          <w:rFonts w:cs="Simplified Arabic"/>
          <w:szCs w:val="24"/>
          <w:rtl/>
        </w:rPr>
        <w:t xml:space="preserve">وبعد تبادل الآراء، </w:t>
      </w:r>
      <w:r w:rsidRPr="0004487E">
        <w:rPr>
          <w:rFonts w:cs="Simplified Arabic" w:hint="cs"/>
          <w:szCs w:val="24"/>
          <w:rtl/>
        </w:rPr>
        <w:t>وُوفق</w:t>
      </w:r>
      <w:r w:rsidRPr="0004487E">
        <w:rPr>
          <w:rFonts w:cs="Simplified Arabic"/>
          <w:szCs w:val="24"/>
          <w:rtl/>
        </w:rPr>
        <w:t xml:space="preserve"> على مشروع المقرر، بصيغته المعدلة شفويا</w:t>
      </w:r>
      <w:r w:rsidR="00ED4C91">
        <w:rPr>
          <w:rFonts w:cs="Simplified Arabic" w:hint="cs"/>
          <w:szCs w:val="24"/>
          <w:rtl/>
        </w:rPr>
        <w:t>ً</w:t>
      </w:r>
      <w:r w:rsidRPr="0004487E">
        <w:rPr>
          <w:rFonts w:cs="Simplified Arabic"/>
          <w:szCs w:val="24"/>
          <w:rtl/>
        </w:rPr>
        <w:t xml:space="preserve">، لإحالته إلى الجلسة العامة </w:t>
      </w:r>
      <w:r w:rsidR="00ED4C91">
        <w:rPr>
          <w:rFonts w:cs="Simplified Arabic" w:hint="cs"/>
          <w:szCs w:val="24"/>
          <w:rtl/>
        </w:rPr>
        <w:t xml:space="preserve">بوصفه </w:t>
      </w:r>
      <w:r w:rsidRPr="0004487E">
        <w:rPr>
          <w:rFonts w:cs="Simplified Arabic"/>
          <w:szCs w:val="24"/>
          <w:rtl/>
        </w:rPr>
        <w:t xml:space="preserve">مشروع </w:t>
      </w:r>
      <w:r w:rsidR="00ED4C91">
        <w:rPr>
          <w:rFonts w:cs="Simplified Arabic" w:hint="cs"/>
          <w:szCs w:val="24"/>
          <w:rtl/>
        </w:rPr>
        <w:t>ال</w:t>
      </w:r>
      <w:r w:rsidRPr="0004487E">
        <w:rPr>
          <w:rFonts w:cs="Simplified Arabic"/>
          <w:szCs w:val="24"/>
          <w:rtl/>
        </w:rPr>
        <w:t>مقرر</w:t>
      </w:r>
      <w:r w:rsidRPr="0004487E">
        <w:rPr>
          <w:rFonts w:cs="Simplified Arabic" w:hint="cs"/>
          <w:szCs w:val="24"/>
          <w:rtl/>
        </w:rPr>
        <w:t xml:space="preserve"> </w:t>
      </w:r>
      <w:r w:rsidRPr="0004487E">
        <w:rPr>
          <w:rFonts w:cs="Simplified Arabic"/>
          <w:snapToGrid w:val="0"/>
          <w:szCs w:val="24"/>
        </w:rPr>
        <w:t>CBD/COP/14/L.25</w:t>
      </w:r>
      <w:r w:rsidRPr="0004487E">
        <w:rPr>
          <w:rFonts w:cs="Simplified Arabic" w:hint="cs"/>
          <w:szCs w:val="24"/>
          <w:rtl/>
        </w:rPr>
        <w:t>.</w:t>
      </w:r>
    </w:p>
    <w:p w:rsidR="00861ABC" w:rsidRPr="00997CAE" w:rsidRDefault="00987BDE" w:rsidP="00987BDE">
      <w:pPr>
        <w:pStyle w:val="ListParagraph"/>
        <w:numPr>
          <w:ilvl w:val="0"/>
          <w:numId w:val="6"/>
        </w:numPr>
        <w:bidi/>
        <w:spacing w:line="216" w:lineRule="auto"/>
        <w:ind w:left="0" w:firstLine="0"/>
        <w:rPr>
          <w:rFonts w:cs="Simplified Arabic"/>
        </w:rPr>
      </w:pPr>
      <w:r>
        <w:rPr>
          <w:rFonts w:cs="Simplified Arabic" w:hint="cs"/>
          <w:rtl/>
        </w:rPr>
        <w:t>وفي الجلسة العامة السابعة</w:t>
      </w:r>
      <w:r w:rsidR="00CE79C8">
        <w:rPr>
          <w:rFonts w:cs="Simplified Arabic" w:hint="cs"/>
          <w:rtl/>
        </w:rPr>
        <w:t xml:space="preserve"> للاجتماع</w:t>
      </w:r>
      <w:r>
        <w:rPr>
          <w:rFonts w:cs="Simplified Arabic" w:hint="cs"/>
          <w:rtl/>
        </w:rPr>
        <w:t xml:space="preserve">، المنعقدة في 29 نوفمبر/تشرين الثاني 2018، اعتمد مؤتمر الأطراف مشروع المقرر </w:t>
      </w:r>
      <w:r w:rsidRPr="007F48C2">
        <w:t>CBD/COP/14/L.</w:t>
      </w:r>
      <w:r>
        <w:t>25</w:t>
      </w:r>
      <w:r>
        <w:rPr>
          <w:rFonts w:cs="Simplified Arabic" w:hint="cs"/>
          <w:rtl/>
        </w:rPr>
        <w:t xml:space="preserve"> بوصفه المقرر 14/</w:t>
      </w:r>
      <w:r>
        <w:rPr>
          <w:rFonts w:cs="Simplified Arabic"/>
        </w:rPr>
        <w:t>17</w:t>
      </w:r>
      <w:r>
        <w:rPr>
          <w:rFonts w:cs="Simplified Arabic" w:hint="cs"/>
          <w:rtl/>
        </w:rPr>
        <w:t xml:space="preserve"> (للاطلاع على النص، انظر الفصل الأول).</w:t>
      </w:r>
    </w:p>
    <w:p w:rsidR="004154A6" w:rsidRPr="00477B14" w:rsidRDefault="004154A6" w:rsidP="00094717">
      <w:pPr>
        <w:pStyle w:val="Heading2"/>
        <w:rPr>
          <w:lang w:val="en-GB"/>
        </w:rPr>
      </w:pPr>
      <w:bookmarkStart w:id="231" w:name="_Toc6140017"/>
      <w:r w:rsidRPr="00094717">
        <w:rPr>
          <w:rFonts w:hint="cs"/>
          <w:rtl/>
        </w:rPr>
        <w:t>البند 14 -</w:t>
      </w:r>
      <w:r w:rsidRPr="00094717">
        <w:rPr>
          <w:rFonts w:hint="cs"/>
          <w:rtl/>
        </w:rPr>
        <w:tab/>
        <w:t>التعاون مع الاتفاقيات والمنظمات والمبادرات الدولية الأخرى</w:t>
      </w:r>
      <w:bookmarkEnd w:id="231"/>
    </w:p>
    <w:p w:rsidR="00861ABC" w:rsidRPr="0004487E" w:rsidRDefault="00861ABC" w:rsidP="00D54649">
      <w:pPr>
        <w:pStyle w:val="ListParagraph"/>
        <w:numPr>
          <w:ilvl w:val="0"/>
          <w:numId w:val="6"/>
        </w:numPr>
        <w:bidi/>
        <w:spacing w:line="216" w:lineRule="auto"/>
        <w:ind w:left="0" w:firstLine="0"/>
        <w:rPr>
          <w:rFonts w:cs="Simplified Arabic"/>
          <w:kern w:val="22"/>
          <w:rtl/>
        </w:rPr>
      </w:pPr>
      <w:r w:rsidRPr="0004487E">
        <w:rPr>
          <w:rFonts w:cs="Simplified Arabic"/>
          <w:rtl/>
          <w:lang w:val="fr-CH"/>
        </w:rPr>
        <w:t>تناول الفريق العامل الأول البند</w:t>
      </w:r>
      <w:r w:rsidRPr="00477B14">
        <w:rPr>
          <w:rFonts w:cs="Simplified Arabic"/>
        </w:rPr>
        <w:t xml:space="preserve"> </w:t>
      </w:r>
      <w:r w:rsidRPr="0004487E">
        <w:rPr>
          <w:rFonts w:cs="Simplified Arabic" w:hint="cs"/>
          <w:rtl/>
          <w:lang w:val="fr-CH"/>
        </w:rPr>
        <w:t>14</w:t>
      </w:r>
      <w:r w:rsidRPr="00477B14">
        <w:rPr>
          <w:rFonts w:cs="Simplified Arabic"/>
        </w:rPr>
        <w:t xml:space="preserve"> </w:t>
      </w:r>
      <w:r w:rsidRPr="0004487E">
        <w:rPr>
          <w:rFonts w:cs="Simplified Arabic"/>
          <w:rtl/>
          <w:lang w:val="fr-CH"/>
        </w:rPr>
        <w:t>من جدول</w:t>
      </w:r>
      <w:r w:rsidRPr="0004487E">
        <w:rPr>
          <w:rFonts w:cs="Simplified Arabic" w:hint="cs"/>
          <w:rtl/>
          <w:lang w:val="fr-CH"/>
        </w:rPr>
        <w:t xml:space="preserve"> </w:t>
      </w:r>
      <w:r w:rsidRPr="0004487E">
        <w:rPr>
          <w:rFonts w:cs="Simplified Arabic"/>
          <w:rtl/>
          <w:lang w:val="fr-CH"/>
        </w:rPr>
        <w:t xml:space="preserve">الأعمال </w:t>
      </w:r>
      <w:r w:rsidR="00401510">
        <w:rPr>
          <w:rFonts w:cs="Simplified Arabic" w:hint="cs"/>
          <w:rtl/>
          <w:lang w:val="fr-CH"/>
        </w:rPr>
        <w:t>في</w:t>
      </w:r>
      <w:r w:rsidRPr="0004487E">
        <w:rPr>
          <w:rFonts w:cs="Simplified Arabic" w:hint="cs"/>
          <w:rtl/>
          <w:lang w:val="fr-CH"/>
        </w:rPr>
        <w:t xml:space="preserve"> جلسته السادسة</w:t>
      </w:r>
      <w:r w:rsidR="00401510">
        <w:rPr>
          <w:rFonts w:cs="Simplified Arabic" w:hint="cs"/>
          <w:rtl/>
          <w:lang w:val="fr-CH"/>
        </w:rPr>
        <w:t>،</w:t>
      </w:r>
      <w:r w:rsidRPr="0004487E">
        <w:rPr>
          <w:rFonts w:cs="Simplified Arabic" w:hint="cs"/>
          <w:rtl/>
          <w:lang w:val="fr-CH"/>
        </w:rPr>
        <w:t xml:space="preserve"> المنعقدة في 21 نوفمبر/تشرين الثاني 2018. </w:t>
      </w:r>
      <w:r w:rsidRPr="0004487E">
        <w:rPr>
          <w:rFonts w:cs="Simplified Arabic"/>
          <w:rtl/>
          <w:lang w:val="fr-CH"/>
        </w:rPr>
        <w:t>وكان معروضا على الفريق العامل في غضون نظره في البند</w:t>
      </w:r>
      <w:r w:rsidRPr="00477B14">
        <w:rPr>
          <w:rFonts w:cs="Simplified Arabic"/>
        </w:rPr>
        <w:t xml:space="preserve"> </w:t>
      </w:r>
      <w:r w:rsidRPr="0004487E">
        <w:rPr>
          <w:rFonts w:cs="Simplified Arabic" w:hint="cs"/>
          <w:rtl/>
          <w:lang w:val="fr-CH"/>
        </w:rPr>
        <w:t xml:space="preserve"> مشروع مقرر يستند إلى </w:t>
      </w:r>
      <w:r w:rsidRPr="0004487E">
        <w:rPr>
          <w:rFonts w:cs="Simplified Arabic"/>
          <w:rtl/>
          <w:lang w:val="fr-CH"/>
        </w:rPr>
        <w:t>التوصية</w:t>
      </w:r>
      <w:r w:rsidR="00401510">
        <w:rPr>
          <w:rFonts w:cs="Simplified Arabic" w:hint="cs"/>
          <w:rtl/>
          <w:lang w:val="fr-CH"/>
        </w:rPr>
        <w:t xml:space="preserve"> 2/9 للهيئة الفرعية للتنفيذ، </w:t>
      </w:r>
      <w:r w:rsidRPr="0004487E">
        <w:rPr>
          <w:rFonts w:cs="Simplified Arabic"/>
          <w:rtl/>
          <w:lang w:val="fr-CH"/>
        </w:rPr>
        <w:t>الم</w:t>
      </w:r>
      <w:r w:rsidRPr="0004487E">
        <w:rPr>
          <w:rFonts w:cs="Simplified Arabic" w:hint="cs"/>
          <w:rtl/>
          <w:lang w:val="fr-CH"/>
        </w:rPr>
        <w:t>بين</w:t>
      </w:r>
      <w:r w:rsidRPr="0004487E">
        <w:rPr>
          <w:rFonts w:cs="Simplified Arabic"/>
          <w:rtl/>
          <w:lang w:val="fr-CH"/>
        </w:rPr>
        <w:t xml:space="preserve"> في تجميع مشاريع المقررات</w:t>
      </w:r>
      <w:r w:rsidR="00401510" w:rsidRPr="00477B14">
        <w:rPr>
          <w:rFonts w:cs="Simplified Arabic"/>
        </w:rPr>
        <w:t>.</w:t>
      </w:r>
      <w:r w:rsidRPr="0004487E">
        <w:rPr>
          <w:rFonts w:cs="Simplified Arabic"/>
          <w:kern w:val="22"/>
        </w:rPr>
        <w:t xml:space="preserve">(CBD/COP/14/2) </w:t>
      </w:r>
      <w:r w:rsidR="00401510">
        <w:rPr>
          <w:rFonts w:cs="Simplified Arabic" w:hint="cs"/>
          <w:kern w:val="22"/>
          <w:rtl/>
        </w:rPr>
        <w:t xml:space="preserve"> </w:t>
      </w:r>
      <w:r w:rsidRPr="0004487E">
        <w:rPr>
          <w:rFonts w:cs="Simplified Arabic"/>
          <w:kern w:val="22"/>
          <w:rtl/>
        </w:rPr>
        <w:t>وكان أمامها أيضا وثائق معلومات</w:t>
      </w:r>
      <w:r w:rsidRPr="0004487E">
        <w:rPr>
          <w:rFonts w:cs="Simplified Arabic" w:hint="cs"/>
          <w:kern w:val="22"/>
          <w:rtl/>
        </w:rPr>
        <w:t>،</w:t>
      </w:r>
      <w:r w:rsidRPr="0004487E">
        <w:rPr>
          <w:rFonts w:cs="Simplified Arabic"/>
          <w:kern w:val="22"/>
          <w:rtl/>
        </w:rPr>
        <w:t xml:space="preserve"> </w:t>
      </w:r>
      <w:r w:rsidRPr="0004487E">
        <w:rPr>
          <w:rFonts w:cs="Simplified Arabic" w:hint="cs"/>
          <w:kern w:val="22"/>
          <w:rtl/>
        </w:rPr>
        <w:t>و</w:t>
      </w:r>
      <w:r w:rsidRPr="0004487E">
        <w:rPr>
          <w:rFonts w:cs="Simplified Arabic"/>
          <w:kern w:val="22"/>
          <w:rtl/>
        </w:rPr>
        <w:t>خ</w:t>
      </w:r>
      <w:r w:rsidRPr="0004487E">
        <w:rPr>
          <w:rFonts w:cs="Simplified Arabic" w:hint="cs"/>
          <w:kern w:val="22"/>
          <w:rtl/>
        </w:rPr>
        <w:t>ا</w:t>
      </w:r>
      <w:r w:rsidRPr="0004487E">
        <w:rPr>
          <w:rFonts w:cs="Simplified Arabic"/>
          <w:kern w:val="22"/>
          <w:rtl/>
        </w:rPr>
        <w:t xml:space="preserve">رطة طريق لتعزيز التآزر بين الاتفاقيات المتعلقة بالتنوع البيولوجي على المستوى الدولي 2017-2020 </w:t>
      </w:r>
      <w:r w:rsidRPr="00401510">
        <w:rPr>
          <w:kern w:val="22"/>
          <w:szCs w:val="22"/>
          <w:rtl/>
        </w:rPr>
        <w:t>(</w:t>
      </w:r>
      <w:r w:rsidRPr="00401510">
        <w:rPr>
          <w:kern w:val="22"/>
          <w:szCs w:val="22"/>
        </w:rPr>
        <w:t>CBD/COP/14/INF/2</w:t>
      </w:r>
      <w:r w:rsidRPr="00401510">
        <w:rPr>
          <w:kern w:val="22"/>
          <w:szCs w:val="22"/>
          <w:rtl/>
        </w:rPr>
        <w:t>)</w:t>
      </w:r>
      <w:r w:rsidRPr="0004487E">
        <w:rPr>
          <w:rFonts w:cs="Simplified Arabic"/>
          <w:kern w:val="22"/>
          <w:rtl/>
        </w:rPr>
        <w:t xml:space="preserve">، </w:t>
      </w:r>
      <w:r w:rsidRPr="0004487E">
        <w:rPr>
          <w:rFonts w:cs="Simplified Arabic" w:hint="cs"/>
          <w:kern w:val="22"/>
          <w:rtl/>
        </w:rPr>
        <w:t>و</w:t>
      </w:r>
      <w:r w:rsidRPr="0004487E">
        <w:rPr>
          <w:rFonts w:cs="Simplified Arabic"/>
          <w:kern w:val="22"/>
          <w:rtl/>
        </w:rPr>
        <w:t xml:space="preserve">التعجيل </w:t>
      </w:r>
      <w:r w:rsidRPr="0004487E">
        <w:rPr>
          <w:rFonts w:cs="Simplified Arabic"/>
          <w:kern w:val="22"/>
          <w:rtl/>
        </w:rPr>
        <w:lastRenderedPageBreak/>
        <w:t xml:space="preserve">بالتزامات التنوع البيولوجي من خلال استعادة المناظر الطبيعية للغابات </w:t>
      </w:r>
      <w:r w:rsidRPr="0004487E">
        <w:rPr>
          <w:rFonts w:cs="Simplified Arabic"/>
          <w:color w:val="000000" w:themeColor="text1"/>
        </w:rPr>
        <w:t>(CBD/COP/14/INF/18)</w:t>
      </w:r>
      <w:r w:rsidRPr="0004487E">
        <w:rPr>
          <w:rFonts w:cs="Simplified Arabic"/>
          <w:kern w:val="22"/>
          <w:rtl/>
        </w:rPr>
        <w:t xml:space="preserve">، </w:t>
      </w:r>
      <w:r w:rsidRPr="0004487E">
        <w:rPr>
          <w:rFonts w:cs="Simplified Arabic" w:hint="cs"/>
          <w:kern w:val="22"/>
          <w:rtl/>
        </w:rPr>
        <w:t>و</w:t>
      </w:r>
      <w:r w:rsidRPr="0004487E">
        <w:rPr>
          <w:rFonts w:cs="Simplified Arabic"/>
          <w:kern w:val="22"/>
          <w:rtl/>
        </w:rPr>
        <w:t xml:space="preserve">التطورات الأخيرة في إطار المعاهدة الدولية بشأن الموارد الوراثية النباتية للأغذية والزراعة ذات الصلة باتفاقية التنوع البيولوجي وبروتوكول ناغويا </w:t>
      </w:r>
      <w:r w:rsidRPr="00FE0200">
        <w:rPr>
          <w:kern w:val="22"/>
          <w:szCs w:val="22"/>
          <w:rtl/>
        </w:rPr>
        <w:t>(</w:t>
      </w:r>
      <w:r w:rsidR="009847DD" w:rsidRPr="00FE0200">
        <w:rPr>
          <w:kern w:val="22"/>
          <w:szCs w:val="22"/>
        </w:rPr>
        <w:t>CBD/COP/14/INF/</w:t>
      </w:r>
      <w:r w:rsidRPr="00FE0200">
        <w:rPr>
          <w:kern w:val="22"/>
          <w:szCs w:val="22"/>
        </w:rPr>
        <w:t>30</w:t>
      </w:r>
      <w:r w:rsidRPr="00FE0200">
        <w:rPr>
          <w:kern w:val="22"/>
          <w:szCs w:val="22"/>
          <w:rtl/>
        </w:rPr>
        <w:t>)</w:t>
      </w:r>
      <w:r w:rsidRPr="0004487E">
        <w:rPr>
          <w:rFonts w:cs="Simplified Arabic"/>
          <w:kern w:val="22"/>
          <w:rtl/>
        </w:rPr>
        <w:t xml:space="preserve">، </w:t>
      </w:r>
      <w:r w:rsidRPr="0004487E">
        <w:rPr>
          <w:rFonts w:cs="Simplified Arabic" w:hint="cs"/>
          <w:kern w:val="22"/>
          <w:rtl/>
        </w:rPr>
        <w:t>و</w:t>
      </w:r>
      <w:r w:rsidRPr="0004487E">
        <w:rPr>
          <w:rFonts w:cs="Simplified Arabic"/>
          <w:kern w:val="22"/>
          <w:rtl/>
        </w:rPr>
        <w:t>التقدم المحرز في تنفيذ المبادرة الدولية للحفظ والاستعمال ال</w:t>
      </w:r>
      <w:r w:rsidR="009847DD" w:rsidRPr="0004487E">
        <w:rPr>
          <w:rFonts w:cs="Simplified Arabic"/>
          <w:kern w:val="22"/>
          <w:rtl/>
        </w:rPr>
        <w:t xml:space="preserve">مستدام للتنوع البيولوجي للتربة </w:t>
      </w:r>
      <w:r w:rsidR="00EE5359">
        <w:rPr>
          <w:rFonts w:cs="Simplified Arabic"/>
          <w:kern w:val="22"/>
        </w:rPr>
        <w:t>CBD/COP/14/INF</w:t>
      </w:r>
      <w:r w:rsidR="009847DD" w:rsidRPr="0004487E">
        <w:rPr>
          <w:rFonts w:cs="Simplified Arabic"/>
          <w:kern w:val="22"/>
        </w:rPr>
        <w:t>/</w:t>
      </w:r>
      <w:r w:rsidRPr="0004487E">
        <w:rPr>
          <w:rFonts w:cs="Simplified Arabic"/>
          <w:kern w:val="22"/>
        </w:rPr>
        <w:t>42</w:t>
      </w:r>
      <w:r w:rsidR="00EE5359">
        <w:rPr>
          <w:rFonts w:cs="Simplified Arabic"/>
          <w:kern w:val="22"/>
        </w:rPr>
        <w:t>)</w:t>
      </w:r>
      <w:r w:rsidRPr="00EE5359">
        <w:rPr>
          <w:kern w:val="22"/>
          <w:szCs w:val="22"/>
          <w:rtl/>
        </w:rPr>
        <w:t xml:space="preserve">) </w:t>
      </w:r>
      <w:r w:rsidRPr="0004487E">
        <w:rPr>
          <w:rFonts w:cs="Simplified Arabic"/>
          <w:kern w:val="22"/>
          <w:rtl/>
        </w:rPr>
        <w:t xml:space="preserve">وتقرير الفريق الاستشاري غير الرسمي المعني بالتآزر بين الاتفاقيات المتعلقة بالتنوع البيولوجي </w:t>
      </w:r>
      <w:r w:rsidRPr="00EE5359">
        <w:rPr>
          <w:kern w:val="22"/>
          <w:szCs w:val="22"/>
          <w:rtl/>
        </w:rPr>
        <w:t>(</w:t>
      </w:r>
      <w:r w:rsidR="00EE5359" w:rsidRPr="00EE5359">
        <w:rPr>
          <w:kern w:val="22"/>
          <w:szCs w:val="22"/>
        </w:rPr>
        <w:t>CBD/SBI/2/</w:t>
      </w:r>
      <w:r w:rsidR="009847DD" w:rsidRPr="00EE5359">
        <w:rPr>
          <w:kern w:val="22"/>
          <w:szCs w:val="22"/>
        </w:rPr>
        <w:t>INF/</w:t>
      </w:r>
      <w:r w:rsidRPr="00EE5359">
        <w:rPr>
          <w:kern w:val="22"/>
          <w:szCs w:val="22"/>
        </w:rPr>
        <w:t>14</w:t>
      </w:r>
      <w:r w:rsidRPr="00EE5359">
        <w:rPr>
          <w:kern w:val="22"/>
          <w:szCs w:val="22"/>
          <w:rtl/>
        </w:rPr>
        <w:t>)</w:t>
      </w:r>
      <w:r w:rsidRPr="0004487E">
        <w:rPr>
          <w:rFonts w:cs="Simplified Arabic"/>
          <w:kern w:val="22"/>
          <w:rtl/>
        </w:rPr>
        <w:t>.</w:t>
      </w:r>
    </w:p>
    <w:p w:rsidR="00861ABC" w:rsidRPr="0004487E" w:rsidRDefault="00861ABC" w:rsidP="00FF7FA5">
      <w:pPr>
        <w:pStyle w:val="ListParagraph"/>
        <w:numPr>
          <w:ilvl w:val="0"/>
          <w:numId w:val="6"/>
        </w:numPr>
        <w:bidi/>
        <w:spacing w:line="216" w:lineRule="auto"/>
        <w:ind w:left="0" w:firstLine="0"/>
        <w:rPr>
          <w:rFonts w:cs="Simplified Arabic"/>
          <w:kern w:val="22"/>
        </w:rPr>
      </w:pPr>
      <w:r w:rsidRPr="0004487E">
        <w:rPr>
          <w:rFonts w:cs="Simplified Arabic" w:hint="cs"/>
          <w:kern w:val="22"/>
          <w:rtl/>
        </w:rPr>
        <w:t>و</w:t>
      </w:r>
      <w:r w:rsidRPr="0004487E">
        <w:rPr>
          <w:rFonts w:cs="Simplified Arabic"/>
          <w:kern w:val="22"/>
          <w:rtl/>
        </w:rPr>
        <w:t xml:space="preserve">أدلى ببيانات ممثلو بوليفيا (دولة - المتعددة القوميات)، وكمبوديا، والكاميرون (أيضا </w:t>
      </w:r>
      <w:r w:rsidRPr="0004487E">
        <w:rPr>
          <w:rFonts w:cs="Simplified Arabic" w:hint="cs"/>
          <w:kern w:val="22"/>
          <w:rtl/>
        </w:rPr>
        <w:t>نيابة عن</w:t>
      </w:r>
      <w:r w:rsidRPr="0004487E">
        <w:rPr>
          <w:rFonts w:cs="Simplified Arabic"/>
          <w:kern w:val="22"/>
          <w:rtl/>
        </w:rPr>
        <w:t xml:space="preserve"> المجموعة الأفريقية)، والصين، وكوستاريكا، وإكوادور، ومصر، والسلفادور، والاتحاد الأوروبي ودوله الأعضاء </w:t>
      </w:r>
      <w:r w:rsidR="00FE0200">
        <w:rPr>
          <w:rFonts w:cs="Simplified Arabic" w:hint="cs"/>
          <w:kern w:val="22"/>
          <w:rtl/>
        </w:rPr>
        <w:t>الثماني والعشرين</w:t>
      </w:r>
      <w:r w:rsidRPr="0004487E">
        <w:rPr>
          <w:rFonts w:cs="Simplified Arabic"/>
          <w:kern w:val="22"/>
          <w:rtl/>
        </w:rPr>
        <w:t xml:space="preserve">، </w:t>
      </w:r>
      <w:r w:rsidRPr="0004487E">
        <w:rPr>
          <w:rFonts w:cs="Simplified Arabic" w:hint="cs"/>
          <w:kern w:val="22"/>
          <w:rtl/>
        </w:rPr>
        <w:t>و</w:t>
      </w:r>
      <w:r w:rsidRPr="0004487E">
        <w:rPr>
          <w:rFonts w:cs="Simplified Arabic"/>
          <w:kern w:val="22"/>
          <w:rtl/>
        </w:rPr>
        <w:t>جورجيا (</w:t>
      </w:r>
      <w:r w:rsidRPr="0004487E">
        <w:rPr>
          <w:rFonts w:cs="Simplified Arabic" w:hint="cs"/>
          <w:kern w:val="22"/>
          <w:rtl/>
        </w:rPr>
        <w:t>نيابة عن</w:t>
      </w:r>
      <w:r w:rsidRPr="0004487E">
        <w:rPr>
          <w:rFonts w:cs="Simplified Arabic"/>
          <w:kern w:val="22"/>
          <w:rtl/>
        </w:rPr>
        <w:t xml:space="preserve"> مجموعة أوروبا الوسطى والشرقية) وغواتيمالا</w:t>
      </w:r>
      <w:r w:rsidR="00401510">
        <w:rPr>
          <w:rFonts w:cs="Simplified Arabic" w:hint="cs"/>
          <w:kern w:val="22"/>
          <w:rtl/>
        </w:rPr>
        <w:t>،</w:t>
      </w:r>
      <w:r w:rsidRPr="0004487E">
        <w:rPr>
          <w:rFonts w:cs="Simplified Arabic"/>
          <w:kern w:val="22"/>
          <w:rtl/>
        </w:rPr>
        <w:t xml:space="preserve"> والهند</w:t>
      </w:r>
      <w:r w:rsidR="00401510">
        <w:rPr>
          <w:rFonts w:cs="Simplified Arabic" w:hint="cs"/>
          <w:kern w:val="22"/>
          <w:rtl/>
        </w:rPr>
        <w:t>،</w:t>
      </w:r>
      <w:r w:rsidRPr="0004487E">
        <w:rPr>
          <w:rFonts w:cs="Simplified Arabic"/>
          <w:kern w:val="22"/>
          <w:rtl/>
        </w:rPr>
        <w:t xml:space="preserve"> وإندونيسيا</w:t>
      </w:r>
      <w:r w:rsidR="00401510">
        <w:rPr>
          <w:rFonts w:cs="Simplified Arabic" w:hint="cs"/>
          <w:kern w:val="22"/>
          <w:rtl/>
        </w:rPr>
        <w:t>،</w:t>
      </w:r>
      <w:r w:rsidRPr="0004487E">
        <w:rPr>
          <w:rFonts w:cs="Simplified Arabic"/>
          <w:kern w:val="22"/>
          <w:rtl/>
        </w:rPr>
        <w:t xml:space="preserve"> والأردن</w:t>
      </w:r>
      <w:r w:rsidR="00401510">
        <w:rPr>
          <w:rFonts w:cs="Simplified Arabic" w:hint="cs"/>
          <w:kern w:val="22"/>
          <w:rtl/>
        </w:rPr>
        <w:t>،</w:t>
      </w:r>
      <w:r w:rsidRPr="0004487E">
        <w:rPr>
          <w:rFonts w:cs="Simplified Arabic"/>
          <w:kern w:val="22"/>
          <w:rtl/>
        </w:rPr>
        <w:t xml:space="preserve"> والمكسيك</w:t>
      </w:r>
      <w:r w:rsidR="00401510">
        <w:rPr>
          <w:rFonts w:cs="Simplified Arabic" w:hint="cs"/>
          <w:kern w:val="22"/>
          <w:rtl/>
        </w:rPr>
        <w:t>،</w:t>
      </w:r>
      <w:r w:rsidRPr="0004487E">
        <w:rPr>
          <w:rFonts w:cs="Simplified Arabic"/>
          <w:kern w:val="22"/>
          <w:rtl/>
        </w:rPr>
        <w:t xml:space="preserve"> والمغرب</w:t>
      </w:r>
      <w:r w:rsidR="00401510">
        <w:rPr>
          <w:rFonts w:cs="Simplified Arabic" w:hint="cs"/>
          <w:kern w:val="22"/>
          <w:rtl/>
        </w:rPr>
        <w:t>،</w:t>
      </w:r>
      <w:r w:rsidRPr="0004487E">
        <w:rPr>
          <w:rFonts w:cs="Simplified Arabic"/>
          <w:kern w:val="22"/>
          <w:rtl/>
        </w:rPr>
        <w:t xml:space="preserve"> ونيجيريا</w:t>
      </w:r>
      <w:r w:rsidR="00401510">
        <w:rPr>
          <w:rFonts w:cs="Simplified Arabic" w:hint="cs"/>
          <w:kern w:val="22"/>
          <w:rtl/>
        </w:rPr>
        <w:t>،</w:t>
      </w:r>
      <w:r w:rsidRPr="0004487E">
        <w:rPr>
          <w:rFonts w:cs="Simplified Arabic"/>
          <w:kern w:val="22"/>
          <w:rtl/>
        </w:rPr>
        <w:t xml:space="preserve"> وبنما</w:t>
      </w:r>
      <w:r w:rsidR="00401510">
        <w:rPr>
          <w:rFonts w:cs="Simplified Arabic" w:hint="cs"/>
          <w:kern w:val="22"/>
          <w:rtl/>
        </w:rPr>
        <w:t>،</w:t>
      </w:r>
      <w:r w:rsidRPr="0004487E">
        <w:rPr>
          <w:rFonts w:cs="Simplified Arabic"/>
          <w:kern w:val="22"/>
          <w:rtl/>
        </w:rPr>
        <w:t xml:space="preserve"> وبيرو</w:t>
      </w:r>
      <w:r w:rsidR="00401510">
        <w:rPr>
          <w:rFonts w:cs="Simplified Arabic" w:hint="cs"/>
          <w:kern w:val="22"/>
          <w:rtl/>
        </w:rPr>
        <w:t>،</w:t>
      </w:r>
      <w:r w:rsidRPr="0004487E">
        <w:rPr>
          <w:rFonts w:cs="Simplified Arabic"/>
          <w:kern w:val="22"/>
          <w:rtl/>
        </w:rPr>
        <w:t xml:space="preserve"> وجمهورية كوريا</w:t>
      </w:r>
      <w:r w:rsidR="00401510">
        <w:rPr>
          <w:rFonts w:cs="Simplified Arabic" w:hint="cs"/>
          <w:kern w:val="22"/>
          <w:rtl/>
        </w:rPr>
        <w:t>،</w:t>
      </w:r>
      <w:r w:rsidRPr="0004487E">
        <w:rPr>
          <w:rFonts w:cs="Simplified Arabic"/>
          <w:kern w:val="22"/>
          <w:rtl/>
        </w:rPr>
        <w:t xml:space="preserve"> والسودان</w:t>
      </w:r>
      <w:r w:rsidR="00401510">
        <w:rPr>
          <w:rFonts w:cs="Simplified Arabic" w:hint="cs"/>
          <w:kern w:val="22"/>
          <w:rtl/>
        </w:rPr>
        <w:t>،</w:t>
      </w:r>
      <w:r w:rsidRPr="0004487E">
        <w:rPr>
          <w:rFonts w:cs="Simplified Arabic"/>
          <w:kern w:val="22"/>
          <w:rtl/>
        </w:rPr>
        <w:t xml:space="preserve"> والجمهورية العربية السورية</w:t>
      </w:r>
      <w:r w:rsidR="00401510">
        <w:rPr>
          <w:rFonts w:cs="Simplified Arabic" w:hint="cs"/>
          <w:kern w:val="22"/>
          <w:rtl/>
        </w:rPr>
        <w:t>،</w:t>
      </w:r>
      <w:r w:rsidRPr="0004487E">
        <w:rPr>
          <w:rFonts w:cs="Simplified Arabic"/>
          <w:kern w:val="22"/>
          <w:rtl/>
        </w:rPr>
        <w:t xml:space="preserve"> وتوفالو</w:t>
      </w:r>
      <w:r w:rsidR="00401510">
        <w:rPr>
          <w:rFonts w:cs="Simplified Arabic" w:hint="cs"/>
          <w:kern w:val="22"/>
          <w:rtl/>
        </w:rPr>
        <w:t>،</w:t>
      </w:r>
      <w:r w:rsidRPr="0004487E">
        <w:rPr>
          <w:rFonts w:cs="Simplified Arabic"/>
          <w:kern w:val="22"/>
          <w:rtl/>
        </w:rPr>
        <w:t xml:space="preserve"> وأوغندا</w:t>
      </w:r>
      <w:r w:rsidR="00401510">
        <w:rPr>
          <w:rFonts w:cs="Simplified Arabic" w:hint="cs"/>
          <w:kern w:val="22"/>
          <w:rtl/>
        </w:rPr>
        <w:t>،</w:t>
      </w:r>
      <w:r w:rsidRPr="0004487E">
        <w:rPr>
          <w:rFonts w:cs="Simplified Arabic"/>
          <w:kern w:val="22"/>
          <w:rtl/>
        </w:rPr>
        <w:t xml:space="preserve"> وجمهورية تنزانيا المتحدة</w:t>
      </w:r>
      <w:r w:rsidR="00401510">
        <w:rPr>
          <w:rFonts w:cs="Simplified Arabic" w:hint="cs"/>
          <w:kern w:val="22"/>
          <w:rtl/>
        </w:rPr>
        <w:t>،</w:t>
      </w:r>
      <w:r w:rsidRPr="0004487E">
        <w:rPr>
          <w:rFonts w:cs="Simplified Arabic"/>
          <w:kern w:val="22"/>
          <w:rtl/>
        </w:rPr>
        <w:t xml:space="preserve"> وفنزويلا (جمهورية</w:t>
      </w:r>
      <w:r w:rsidR="00FE0200">
        <w:rPr>
          <w:rFonts w:cs="Simplified Arabic" w:hint="cs"/>
          <w:kern w:val="22"/>
          <w:rtl/>
        </w:rPr>
        <w:t xml:space="preserve"> -</w:t>
      </w:r>
      <w:r w:rsidRPr="0004487E">
        <w:rPr>
          <w:rFonts w:cs="Simplified Arabic"/>
          <w:kern w:val="22"/>
          <w:rtl/>
        </w:rPr>
        <w:t xml:space="preserve"> </w:t>
      </w:r>
      <w:r w:rsidR="00FE0200">
        <w:rPr>
          <w:rFonts w:cs="Simplified Arabic" w:hint="cs"/>
          <w:kern w:val="22"/>
          <w:rtl/>
        </w:rPr>
        <w:t>ال</w:t>
      </w:r>
      <w:r w:rsidRPr="0004487E">
        <w:rPr>
          <w:rFonts w:cs="Simplified Arabic"/>
          <w:kern w:val="22"/>
          <w:rtl/>
        </w:rPr>
        <w:t>بوليفارية) وفي</w:t>
      </w:r>
      <w:r w:rsidR="00FE0200">
        <w:rPr>
          <w:rFonts w:cs="Simplified Arabic" w:hint="cs"/>
          <w:kern w:val="22"/>
          <w:rtl/>
        </w:rPr>
        <w:t>ي</w:t>
      </w:r>
      <w:r w:rsidRPr="0004487E">
        <w:rPr>
          <w:rFonts w:cs="Simplified Arabic"/>
          <w:kern w:val="22"/>
          <w:rtl/>
        </w:rPr>
        <w:t>ت</w:t>
      </w:r>
      <w:r w:rsidR="00EE5359">
        <w:rPr>
          <w:rFonts w:cs="Simplified Arabic" w:hint="cs"/>
          <w:kern w:val="22"/>
          <w:rtl/>
        </w:rPr>
        <w:t xml:space="preserve"> </w:t>
      </w:r>
      <w:r w:rsidRPr="0004487E">
        <w:rPr>
          <w:rFonts w:cs="Simplified Arabic"/>
          <w:kern w:val="22"/>
          <w:rtl/>
        </w:rPr>
        <w:t>نام.</w:t>
      </w:r>
    </w:p>
    <w:p w:rsidR="00861ABC" w:rsidRPr="0004487E" w:rsidRDefault="00861ABC" w:rsidP="00401510">
      <w:pPr>
        <w:pStyle w:val="ListParagraph"/>
        <w:numPr>
          <w:ilvl w:val="0"/>
          <w:numId w:val="6"/>
        </w:numPr>
        <w:bidi/>
        <w:spacing w:line="216" w:lineRule="auto"/>
        <w:ind w:left="0" w:firstLine="0"/>
        <w:rPr>
          <w:rFonts w:cs="Simplified Arabic"/>
          <w:kern w:val="22"/>
        </w:rPr>
      </w:pPr>
      <w:r w:rsidRPr="0004487E">
        <w:rPr>
          <w:rFonts w:cs="Simplified Arabic"/>
          <w:kern w:val="22"/>
          <w:rtl/>
        </w:rPr>
        <w:t>وأدلى ببيانات أخرى ممثلو منظمة الأغذية والزراعة</w:t>
      </w:r>
      <w:r w:rsidR="00401510">
        <w:rPr>
          <w:rFonts w:cs="Simplified Arabic" w:hint="cs"/>
          <w:kern w:val="22"/>
          <w:rtl/>
        </w:rPr>
        <w:t>،</w:t>
      </w:r>
      <w:r w:rsidRPr="0004487E">
        <w:rPr>
          <w:rFonts w:cs="Simplified Arabic"/>
          <w:kern w:val="22"/>
          <w:rtl/>
        </w:rPr>
        <w:t xml:space="preserve"> والمعاهدة الدولية بشأن الموارد الوراثية النباتية للأغذية والزراعة </w:t>
      </w:r>
      <w:r w:rsidRPr="00401510">
        <w:rPr>
          <w:kern w:val="22"/>
          <w:szCs w:val="22"/>
          <w:rtl/>
        </w:rPr>
        <w:t>(</w:t>
      </w:r>
      <w:r w:rsidRPr="00401510">
        <w:rPr>
          <w:kern w:val="22"/>
          <w:szCs w:val="22"/>
        </w:rPr>
        <w:t>ITGRFA</w:t>
      </w:r>
      <w:r w:rsidRPr="00401510">
        <w:rPr>
          <w:kern w:val="22"/>
          <w:szCs w:val="22"/>
          <w:rtl/>
        </w:rPr>
        <w:t>)</w:t>
      </w:r>
      <w:r w:rsidRPr="0004487E">
        <w:rPr>
          <w:rFonts w:cs="Simplified Arabic"/>
          <w:kern w:val="22"/>
          <w:rtl/>
        </w:rPr>
        <w:t xml:space="preserve"> وفريق الاتصال المعني بالاتفاقيات المتعلقة بالتنوع البيولوجي </w:t>
      </w:r>
      <w:r w:rsidRPr="00FE0200">
        <w:rPr>
          <w:kern w:val="22"/>
          <w:szCs w:val="22"/>
          <w:rtl/>
        </w:rPr>
        <w:t>(</w:t>
      </w:r>
      <w:r w:rsidRPr="00FE0200">
        <w:rPr>
          <w:kern w:val="22"/>
          <w:szCs w:val="22"/>
        </w:rPr>
        <w:t>BLG</w:t>
      </w:r>
      <w:r w:rsidRPr="00FE0200">
        <w:rPr>
          <w:kern w:val="22"/>
          <w:szCs w:val="22"/>
          <w:rtl/>
        </w:rPr>
        <w:t>)</w:t>
      </w:r>
      <w:r w:rsidRPr="0004487E">
        <w:rPr>
          <w:rFonts w:cs="Simplified Arabic"/>
          <w:kern w:val="22"/>
          <w:rtl/>
        </w:rPr>
        <w:t xml:space="preserve"> و</w:t>
      </w:r>
      <w:r w:rsidR="00401510">
        <w:rPr>
          <w:rFonts w:cs="Simplified Arabic" w:hint="cs"/>
          <w:kern w:val="22"/>
          <w:rtl/>
        </w:rPr>
        <w:t>هيئ</w:t>
      </w:r>
      <w:r w:rsidRPr="0004487E">
        <w:rPr>
          <w:rFonts w:cs="Simplified Arabic"/>
          <w:kern w:val="22"/>
          <w:rtl/>
        </w:rPr>
        <w:t>ة الأمم المتحدة للمرأة.</w:t>
      </w:r>
    </w:p>
    <w:p w:rsidR="00861ABC" w:rsidRPr="0004487E" w:rsidRDefault="00861ABC" w:rsidP="00401510">
      <w:pPr>
        <w:pStyle w:val="ListParagraph"/>
        <w:numPr>
          <w:ilvl w:val="0"/>
          <w:numId w:val="6"/>
        </w:numPr>
        <w:bidi/>
        <w:spacing w:line="216" w:lineRule="auto"/>
        <w:ind w:left="0" w:firstLine="0"/>
        <w:rPr>
          <w:rFonts w:cs="Simplified Arabic"/>
          <w:kern w:val="22"/>
        </w:rPr>
      </w:pPr>
      <w:r w:rsidRPr="0004487E">
        <w:rPr>
          <w:rFonts w:cs="Simplified Arabic" w:hint="cs"/>
          <w:kern w:val="22"/>
          <w:rtl/>
        </w:rPr>
        <w:t>و</w:t>
      </w:r>
      <w:r w:rsidRPr="0004487E">
        <w:rPr>
          <w:rFonts w:cs="Simplified Arabic"/>
          <w:kern w:val="22"/>
          <w:rtl/>
        </w:rPr>
        <w:t>أدلى ببيان</w:t>
      </w:r>
      <w:r w:rsidR="00401510">
        <w:rPr>
          <w:rFonts w:cs="Simplified Arabic" w:hint="cs"/>
          <w:kern w:val="22"/>
          <w:rtl/>
        </w:rPr>
        <w:t>ين</w:t>
      </w:r>
      <w:r w:rsidRPr="0004487E">
        <w:rPr>
          <w:rFonts w:cs="Simplified Arabic"/>
          <w:kern w:val="22"/>
          <w:rtl/>
        </w:rPr>
        <w:t xml:space="preserve"> إضافي</w:t>
      </w:r>
      <w:r w:rsidR="00401510">
        <w:rPr>
          <w:rFonts w:cs="Simplified Arabic" w:hint="cs"/>
          <w:kern w:val="22"/>
          <w:rtl/>
        </w:rPr>
        <w:t>ين</w:t>
      </w:r>
      <w:r w:rsidRPr="0004487E">
        <w:rPr>
          <w:rFonts w:cs="Simplified Arabic"/>
          <w:kern w:val="22"/>
          <w:rtl/>
        </w:rPr>
        <w:t xml:space="preserve"> ممثل</w:t>
      </w:r>
      <w:r w:rsidR="00401510">
        <w:rPr>
          <w:rFonts w:cs="Simplified Arabic" w:hint="cs"/>
          <w:kern w:val="22"/>
          <w:rtl/>
        </w:rPr>
        <w:t>ا</w:t>
      </w:r>
      <w:r w:rsidRPr="0004487E">
        <w:rPr>
          <w:rFonts w:cs="Simplified Arabic"/>
          <w:kern w:val="22"/>
          <w:rtl/>
        </w:rPr>
        <w:t xml:space="preserve"> الاتحاد الدولي لحفظ الطبيعة </w:t>
      </w:r>
      <w:r w:rsidRPr="00FE0200">
        <w:rPr>
          <w:kern w:val="22"/>
          <w:szCs w:val="22"/>
          <w:rtl/>
        </w:rPr>
        <w:t>(</w:t>
      </w:r>
      <w:r w:rsidRPr="00FE0200">
        <w:rPr>
          <w:kern w:val="22"/>
          <w:szCs w:val="22"/>
        </w:rPr>
        <w:t>IUCN</w:t>
      </w:r>
      <w:r w:rsidRPr="00FE0200">
        <w:rPr>
          <w:kern w:val="22"/>
          <w:szCs w:val="22"/>
          <w:rtl/>
        </w:rPr>
        <w:t>)</w:t>
      </w:r>
      <w:r w:rsidRPr="00FE0200">
        <w:rPr>
          <w:rFonts w:cs="Simplified Arabic"/>
          <w:kern w:val="22"/>
          <w:szCs w:val="22"/>
          <w:rtl/>
        </w:rPr>
        <w:t xml:space="preserve"> </w:t>
      </w:r>
      <w:r w:rsidRPr="0004487E">
        <w:rPr>
          <w:rFonts w:cs="Simplified Arabic"/>
          <w:kern w:val="22"/>
          <w:rtl/>
        </w:rPr>
        <w:t>و</w:t>
      </w:r>
      <w:r w:rsidRPr="0004487E">
        <w:rPr>
          <w:rFonts w:cs="Simplified Arabic"/>
          <w:rtl/>
        </w:rPr>
        <w:t>ال</w:t>
      </w:r>
      <w:r w:rsidRPr="0004487E">
        <w:rPr>
          <w:rFonts w:cs="Simplified Arabic" w:hint="cs"/>
          <w:rtl/>
        </w:rPr>
        <w:t>دائرة</w:t>
      </w:r>
      <w:r w:rsidRPr="0004487E">
        <w:rPr>
          <w:rFonts w:cs="Simplified Arabic"/>
          <w:rtl/>
        </w:rPr>
        <w:t xml:space="preserve"> الدولية </w:t>
      </w:r>
      <w:r w:rsidRPr="0004487E">
        <w:rPr>
          <w:rFonts w:cs="Simplified Arabic" w:hint="cs"/>
          <w:rtl/>
        </w:rPr>
        <w:t>لحيازة</w:t>
      </w:r>
      <w:r w:rsidRPr="0004487E">
        <w:rPr>
          <w:rFonts w:cs="Simplified Arabic"/>
          <w:rtl/>
        </w:rPr>
        <w:t xml:space="preserve"> تطبيقات</w:t>
      </w:r>
      <w:r w:rsidRPr="0004487E">
        <w:rPr>
          <w:rFonts w:cs="Simplified Arabic" w:hint="cs"/>
          <w:rtl/>
        </w:rPr>
        <w:t xml:space="preserve"> </w:t>
      </w:r>
      <w:r w:rsidRPr="0004487E">
        <w:rPr>
          <w:rFonts w:cs="Simplified Arabic"/>
          <w:kern w:val="22"/>
          <w:rtl/>
        </w:rPr>
        <w:t>التكنولوجيا الأحيائية الزراعية</w:t>
      </w:r>
      <w:r w:rsidRPr="0004487E">
        <w:rPr>
          <w:rFonts w:cs="Simplified Arabic" w:hint="cs"/>
          <w:rtl/>
        </w:rPr>
        <w:t xml:space="preserve"> </w:t>
      </w:r>
      <w:r w:rsidRPr="0004487E">
        <w:rPr>
          <w:rFonts w:cs="Simplified Arabic"/>
        </w:rPr>
        <w:t>(ISAAA)</w:t>
      </w:r>
      <w:r w:rsidRPr="0004487E">
        <w:rPr>
          <w:rFonts w:cs="Simplified Arabic"/>
          <w:kern w:val="22"/>
          <w:rtl/>
        </w:rPr>
        <w:t>.</w:t>
      </w:r>
      <w:r w:rsidRPr="0004487E">
        <w:rPr>
          <w:rFonts w:cs="Simplified Arabic" w:hint="cs"/>
          <w:kern w:val="22"/>
          <w:rtl/>
        </w:rPr>
        <w:t xml:space="preserve"> </w:t>
      </w:r>
    </w:p>
    <w:p w:rsidR="00861ABC" w:rsidRPr="0004487E" w:rsidRDefault="00861ABC" w:rsidP="00FF7FA5">
      <w:pPr>
        <w:pStyle w:val="ListParagraph"/>
        <w:numPr>
          <w:ilvl w:val="0"/>
          <w:numId w:val="6"/>
        </w:numPr>
        <w:bidi/>
        <w:spacing w:line="216" w:lineRule="auto"/>
        <w:ind w:left="0" w:firstLine="0"/>
        <w:rPr>
          <w:rFonts w:cs="Simplified Arabic"/>
          <w:kern w:val="22"/>
          <w:rtl/>
        </w:rPr>
      </w:pPr>
      <w:r w:rsidRPr="0004487E">
        <w:rPr>
          <w:rFonts w:cs="Simplified Arabic" w:hint="cs"/>
          <w:kern w:val="22"/>
          <w:rtl/>
        </w:rPr>
        <w:t>و</w:t>
      </w:r>
      <w:r w:rsidRPr="0004487E">
        <w:rPr>
          <w:rFonts w:cs="Simplified Arabic"/>
          <w:kern w:val="22"/>
          <w:rtl/>
        </w:rPr>
        <w:t>قال الرئيس أنه سيعد مشروع مقرر منقح، مع مراعاة الآراء المعرب عنها شفويا</w:t>
      </w:r>
      <w:r w:rsidR="00EE5359">
        <w:rPr>
          <w:rFonts w:cs="Simplified Arabic" w:hint="cs"/>
          <w:kern w:val="22"/>
          <w:rtl/>
        </w:rPr>
        <w:t>ً</w:t>
      </w:r>
      <w:r w:rsidRPr="0004487E">
        <w:rPr>
          <w:rFonts w:cs="Simplified Arabic"/>
          <w:kern w:val="22"/>
          <w:rtl/>
        </w:rPr>
        <w:t xml:space="preserve"> والمقدمة كتاب</w:t>
      </w:r>
      <w:r w:rsidR="00EE5359">
        <w:rPr>
          <w:rFonts w:cs="Simplified Arabic" w:hint="cs"/>
          <w:kern w:val="22"/>
          <w:rtl/>
        </w:rPr>
        <w:t>ة</w:t>
      </w:r>
      <w:r w:rsidRPr="0004487E">
        <w:rPr>
          <w:rFonts w:cs="Simplified Arabic"/>
          <w:kern w:val="22"/>
          <w:rtl/>
        </w:rPr>
        <w:t>.</w:t>
      </w:r>
    </w:p>
    <w:p w:rsidR="00861ABC" w:rsidRPr="0004487E" w:rsidRDefault="00861ABC" w:rsidP="00D110E3">
      <w:pPr>
        <w:pStyle w:val="ListParagraph"/>
        <w:numPr>
          <w:ilvl w:val="0"/>
          <w:numId w:val="6"/>
        </w:numPr>
        <w:bidi/>
        <w:spacing w:line="216" w:lineRule="auto"/>
        <w:ind w:left="0" w:firstLine="0"/>
        <w:rPr>
          <w:rFonts w:cs="Simplified Arabic"/>
        </w:rPr>
      </w:pPr>
      <w:r w:rsidRPr="0004487E">
        <w:rPr>
          <w:rFonts w:cs="Simplified Arabic"/>
          <w:rtl/>
        </w:rPr>
        <w:t>و</w:t>
      </w:r>
      <w:r w:rsidR="00401510">
        <w:rPr>
          <w:rFonts w:cs="Simplified Arabic" w:hint="cs"/>
          <w:rtl/>
        </w:rPr>
        <w:t>في</w:t>
      </w:r>
      <w:r w:rsidRPr="0004487E">
        <w:rPr>
          <w:rFonts w:cs="Simplified Arabic"/>
          <w:rtl/>
        </w:rPr>
        <w:t xml:space="preserve"> جلسته الحادية عشرة</w:t>
      </w:r>
      <w:r w:rsidR="00FE0200">
        <w:rPr>
          <w:rFonts w:cs="Simplified Arabic" w:hint="cs"/>
          <w:rtl/>
        </w:rPr>
        <w:t>،</w:t>
      </w:r>
      <w:r w:rsidRPr="0004487E">
        <w:rPr>
          <w:rFonts w:cs="Simplified Arabic"/>
          <w:rtl/>
        </w:rPr>
        <w:t xml:space="preserve"> المنعقدة يوم الا</w:t>
      </w:r>
      <w:r w:rsidR="00FE0200">
        <w:rPr>
          <w:rFonts w:cs="Simplified Arabic"/>
          <w:rtl/>
        </w:rPr>
        <w:t>ثنين 26 نوفمبر/</w:t>
      </w:r>
      <w:r w:rsidRPr="0004487E">
        <w:rPr>
          <w:rFonts w:cs="Simplified Arabic"/>
          <w:rtl/>
        </w:rPr>
        <w:t>تشرين الثاني 2018،</w:t>
      </w:r>
      <w:r w:rsidR="00401510" w:rsidRPr="00401510">
        <w:rPr>
          <w:rFonts w:cs="Simplified Arabic"/>
          <w:rtl/>
        </w:rPr>
        <w:t xml:space="preserve"> </w:t>
      </w:r>
      <w:r w:rsidR="00401510" w:rsidRPr="0004487E">
        <w:rPr>
          <w:rFonts w:cs="Simplified Arabic"/>
          <w:rtl/>
        </w:rPr>
        <w:t>نظر الفريق العامل</w:t>
      </w:r>
      <w:r w:rsidRPr="0004487E">
        <w:rPr>
          <w:rFonts w:cs="Simplified Arabic"/>
          <w:rtl/>
        </w:rPr>
        <w:t xml:space="preserve"> في مشروع مقرر </w:t>
      </w:r>
      <w:r w:rsidR="00401510">
        <w:rPr>
          <w:rFonts w:cs="Simplified Arabic" w:hint="cs"/>
          <w:rtl/>
        </w:rPr>
        <w:t xml:space="preserve">منقح </w:t>
      </w:r>
      <w:r w:rsidRPr="0004487E">
        <w:rPr>
          <w:rFonts w:cs="Simplified Arabic"/>
          <w:rtl/>
        </w:rPr>
        <w:t xml:space="preserve">مقدم من </w:t>
      </w:r>
      <w:r w:rsidRPr="0004487E">
        <w:rPr>
          <w:rFonts w:cs="Simplified Arabic" w:hint="cs"/>
          <w:rtl/>
        </w:rPr>
        <w:t>ال</w:t>
      </w:r>
      <w:r w:rsidRPr="0004487E">
        <w:rPr>
          <w:rFonts w:cs="Simplified Arabic"/>
          <w:rtl/>
        </w:rPr>
        <w:t>رئيس</w:t>
      </w:r>
      <w:r w:rsidRPr="0004487E">
        <w:rPr>
          <w:rFonts w:cs="Simplified Arabic" w:hint="cs"/>
          <w:rtl/>
        </w:rPr>
        <w:t>. ولدى النظر في مشروع المقرر المنقح</w:t>
      </w:r>
      <w:r w:rsidRPr="0004487E">
        <w:rPr>
          <w:rFonts w:cs="Simplified Arabic"/>
          <w:rtl/>
        </w:rPr>
        <w:t>، كان معروضا عل</w:t>
      </w:r>
      <w:r w:rsidRPr="0004487E">
        <w:rPr>
          <w:rFonts w:cs="Simplified Arabic" w:hint="cs"/>
          <w:rtl/>
        </w:rPr>
        <w:t>ى الفريق العامل</w:t>
      </w:r>
      <w:r w:rsidRPr="0004487E">
        <w:rPr>
          <w:rFonts w:cs="Simplified Arabic"/>
          <w:rtl/>
        </w:rPr>
        <w:t xml:space="preserve"> </w:t>
      </w:r>
      <w:r w:rsidRPr="0004487E">
        <w:rPr>
          <w:rFonts w:cs="Simplified Arabic" w:hint="cs"/>
          <w:rtl/>
        </w:rPr>
        <w:t xml:space="preserve">مذكرة </w:t>
      </w:r>
      <w:r w:rsidR="00D110E3">
        <w:rPr>
          <w:rFonts w:cs="Simplified Arabic" w:hint="cs"/>
          <w:rtl/>
        </w:rPr>
        <w:t>صادرة</w:t>
      </w:r>
      <w:r w:rsidRPr="0004487E">
        <w:rPr>
          <w:rFonts w:cs="Simplified Arabic" w:hint="cs"/>
          <w:rtl/>
        </w:rPr>
        <w:t xml:space="preserve"> مؤخرا </w:t>
      </w:r>
      <w:r w:rsidR="00D110E3">
        <w:rPr>
          <w:rFonts w:cs="Simplified Arabic" w:hint="cs"/>
          <w:rtl/>
        </w:rPr>
        <w:t xml:space="preserve">من </w:t>
      </w:r>
      <w:r w:rsidRPr="0004487E">
        <w:rPr>
          <w:rFonts w:cs="Simplified Arabic" w:hint="cs"/>
          <w:rtl/>
        </w:rPr>
        <w:t>الأمينة التنفيذية</w:t>
      </w:r>
      <w:r w:rsidRPr="0004487E">
        <w:rPr>
          <w:rFonts w:cs="Simplified Arabic"/>
          <w:rtl/>
        </w:rPr>
        <w:t xml:space="preserve"> بشأن المبادرة المصرية لنهج متماسك للتصدي لفقدان التنوع البيولوجي وتغير المناخ وتدهور الأراضي والنظام الإيكولوجي </w:t>
      </w:r>
      <w:r w:rsidRPr="00FE0200">
        <w:rPr>
          <w:szCs w:val="22"/>
          <w:rtl/>
        </w:rPr>
        <w:t>(</w:t>
      </w:r>
      <w:r w:rsidR="00FE0200" w:rsidRPr="00FE0200">
        <w:rPr>
          <w:szCs w:val="22"/>
        </w:rPr>
        <w:t>CBD/COP</w:t>
      </w:r>
      <w:r w:rsidRPr="00FE0200">
        <w:rPr>
          <w:szCs w:val="22"/>
        </w:rPr>
        <w:t>/14/INF/47</w:t>
      </w:r>
      <w:r w:rsidRPr="00FE0200">
        <w:rPr>
          <w:szCs w:val="22"/>
          <w:rtl/>
        </w:rPr>
        <w:t>)</w:t>
      </w:r>
      <w:r w:rsidRPr="0004487E">
        <w:rPr>
          <w:rFonts w:cs="Simplified Arabic"/>
          <w:rtl/>
        </w:rPr>
        <w:t>.</w:t>
      </w:r>
    </w:p>
    <w:p w:rsidR="00861ABC" w:rsidRPr="00D110E3" w:rsidRDefault="00861ABC" w:rsidP="00D110E3">
      <w:pPr>
        <w:pStyle w:val="ListParagraph"/>
        <w:numPr>
          <w:ilvl w:val="0"/>
          <w:numId w:val="6"/>
        </w:numPr>
        <w:bidi/>
        <w:spacing w:line="216" w:lineRule="auto"/>
        <w:ind w:left="0" w:firstLine="0"/>
        <w:rPr>
          <w:rFonts w:cs="Simplified Arabic"/>
        </w:rPr>
      </w:pPr>
      <w:r w:rsidRPr="0004487E">
        <w:rPr>
          <w:rFonts w:cs="Simplified Arabic"/>
          <w:rtl/>
        </w:rPr>
        <w:t xml:space="preserve">وأدلى ببيانات ممثلو </w:t>
      </w:r>
      <w:r w:rsidRPr="0004487E">
        <w:rPr>
          <w:rFonts w:cs="Simplified Arabic"/>
          <w:color w:val="000000"/>
          <w:rtl/>
        </w:rPr>
        <w:t>الأرجنتين</w:t>
      </w:r>
      <w:r w:rsidR="00D110E3">
        <w:rPr>
          <w:rFonts w:cs="Simplified Arabic" w:hint="cs"/>
          <w:color w:val="000000"/>
          <w:rtl/>
        </w:rPr>
        <w:t>،</w:t>
      </w:r>
      <w:r w:rsidRPr="0004487E">
        <w:rPr>
          <w:rFonts w:cs="Simplified Arabic"/>
          <w:color w:val="000000"/>
          <w:rtl/>
        </w:rPr>
        <w:t xml:space="preserve"> </w:t>
      </w:r>
      <w:r w:rsidR="00D110E3" w:rsidRPr="0004487E">
        <w:rPr>
          <w:rFonts w:cs="Simplified Arabic"/>
          <w:color w:val="000000"/>
          <w:rtl/>
        </w:rPr>
        <w:t>وبوليفيا (دولة - المتعددة القوميات)</w:t>
      </w:r>
      <w:r w:rsidR="00D110E3">
        <w:rPr>
          <w:rFonts w:cs="Simplified Arabic" w:hint="cs"/>
          <w:rtl/>
        </w:rPr>
        <w:t xml:space="preserve">، والبرازيل، والكاميرون، وكندا، والصين، وكولومبيا، والكونغو، وإكوادور، ومصر، والسلفادور، </w:t>
      </w:r>
      <w:r w:rsidRPr="00D110E3">
        <w:rPr>
          <w:rFonts w:cs="Simplified Arabic"/>
          <w:kern w:val="22"/>
          <w:rtl/>
        </w:rPr>
        <w:t xml:space="preserve">والاتحاد الأوروبي ودوله الأعضاء </w:t>
      </w:r>
      <w:r w:rsidR="00FE0200" w:rsidRPr="00D110E3">
        <w:rPr>
          <w:rFonts w:cs="Simplified Arabic" w:hint="cs"/>
          <w:kern w:val="22"/>
          <w:rtl/>
        </w:rPr>
        <w:t>الثماني والعشرين،</w:t>
      </w:r>
      <w:r w:rsidRPr="00D110E3">
        <w:rPr>
          <w:rFonts w:cs="Simplified Arabic"/>
          <w:color w:val="000000"/>
          <w:rtl/>
        </w:rPr>
        <w:t xml:space="preserve"> </w:t>
      </w:r>
      <w:r w:rsidR="00D110E3">
        <w:rPr>
          <w:rFonts w:cs="Simplified Arabic" w:hint="cs"/>
          <w:color w:val="000000"/>
          <w:rtl/>
        </w:rPr>
        <w:t>وغابون</w:t>
      </w:r>
      <w:r w:rsidR="00D110E3" w:rsidRPr="00D110E3">
        <w:rPr>
          <w:rFonts w:cs="Simplified Arabic" w:hint="cs"/>
          <w:color w:val="000000"/>
          <w:rtl/>
        </w:rPr>
        <w:t>،</w:t>
      </w:r>
      <w:r w:rsidRPr="00D110E3">
        <w:rPr>
          <w:rFonts w:cs="Simplified Arabic"/>
          <w:color w:val="000000"/>
          <w:rtl/>
        </w:rPr>
        <w:t xml:space="preserve"> </w:t>
      </w:r>
      <w:r w:rsidR="00D110E3">
        <w:rPr>
          <w:rFonts w:cs="Simplified Arabic" w:hint="cs"/>
          <w:color w:val="000000"/>
          <w:rtl/>
        </w:rPr>
        <w:t xml:space="preserve">واليابان، والمكسيك، والمغرب، ونيجيريا، والنرويج، وعمان، وقطر، وجنوب أفريقيا، وسويسرا، وأوغندا، </w:t>
      </w:r>
      <w:r w:rsidRPr="00D110E3">
        <w:rPr>
          <w:rFonts w:cs="Simplified Arabic"/>
          <w:color w:val="000000"/>
          <w:rtl/>
        </w:rPr>
        <w:t>وجمهورية تنزانيا المتحدة</w:t>
      </w:r>
      <w:r w:rsidR="00D110E3">
        <w:rPr>
          <w:rFonts w:cs="Simplified Arabic" w:hint="cs"/>
          <w:color w:val="000000"/>
          <w:rtl/>
        </w:rPr>
        <w:t>،</w:t>
      </w:r>
      <w:r w:rsidRPr="00D110E3">
        <w:rPr>
          <w:rFonts w:cs="Simplified Arabic"/>
          <w:color w:val="000000"/>
          <w:rtl/>
        </w:rPr>
        <w:t xml:space="preserve"> وفنزويلا (جمهورية – البوليفارية) وفييت نام</w:t>
      </w:r>
      <w:r w:rsidRPr="00D110E3">
        <w:rPr>
          <w:rFonts w:cs="Simplified Arabic" w:hint="cs"/>
          <w:color w:val="000000"/>
          <w:rtl/>
        </w:rPr>
        <w:t>.</w:t>
      </w:r>
    </w:p>
    <w:p w:rsidR="004154A6" w:rsidRPr="0004487E" w:rsidRDefault="00861ABC" w:rsidP="00FF7FA5">
      <w:pPr>
        <w:pStyle w:val="ListParagraph"/>
        <w:numPr>
          <w:ilvl w:val="0"/>
          <w:numId w:val="6"/>
        </w:numPr>
        <w:bidi/>
        <w:spacing w:line="216" w:lineRule="auto"/>
        <w:ind w:left="0" w:firstLine="0"/>
        <w:rPr>
          <w:rFonts w:cs="Simplified Arabic"/>
        </w:rPr>
      </w:pPr>
      <w:r w:rsidRPr="0004487E">
        <w:rPr>
          <w:rFonts w:cs="Simplified Arabic"/>
          <w:rtl/>
        </w:rPr>
        <w:t>و</w:t>
      </w:r>
      <w:r w:rsidR="00EE5359">
        <w:rPr>
          <w:rFonts w:cs="Simplified Arabic" w:hint="cs"/>
          <w:rtl/>
        </w:rPr>
        <w:t>وافق</w:t>
      </w:r>
      <w:r w:rsidRPr="0004487E">
        <w:rPr>
          <w:rFonts w:cs="Simplified Arabic"/>
          <w:rtl/>
        </w:rPr>
        <w:t xml:space="preserve"> الفريق العامل </w:t>
      </w:r>
      <w:r w:rsidR="00EE5359">
        <w:rPr>
          <w:rFonts w:cs="Simplified Arabic" w:hint="cs"/>
          <w:rtl/>
        </w:rPr>
        <w:t xml:space="preserve">على </w:t>
      </w:r>
      <w:r w:rsidRPr="0004487E">
        <w:rPr>
          <w:rFonts w:cs="Simplified Arabic"/>
          <w:rtl/>
        </w:rPr>
        <w:t>مشروع المقرر</w:t>
      </w:r>
      <w:r w:rsidRPr="0004487E">
        <w:rPr>
          <w:rFonts w:cs="Simplified Arabic" w:hint="cs"/>
          <w:rtl/>
        </w:rPr>
        <w:t xml:space="preserve"> المنقح</w:t>
      </w:r>
      <w:r w:rsidRPr="0004487E">
        <w:rPr>
          <w:rFonts w:cs="Simplified Arabic"/>
          <w:rtl/>
        </w:rPr>
        <w:t>، بصيغته المعدلة شفويا</w:t>
      </w:r>
      <w:r w:rsidR="00D110E3">
        <w:rPr>
          <w:rFonts w:cs="Simplified Arabic" w:hint="cs"/>
          <w:rtl/>
        </w:rPr>
        <w:t>ً</w:t>
      </w:r>
      <w:r w:rsidRPr="0004487E">
        <w:rPr>
          <w:rFonts w:cs="Simplified Arabic"/>
          <w:rtl/>
        </w:rPr>
        <w:t xml:space="preserve">، لإحالته إلى الجلسة العامة بوصفه مشروع المقرر </w:t>
      </w:r>
      <w:r w:rsidR="001C08DD" w:rsidRPr="0004487E">
        <w:rPr>
          <w:rFonts w:cs="Simplified Arabic"/>
        </w:rPr>
        <w:t>CBD/COP/14/</w:t>
      </w:r>
      <w:r w:rsidRPr="0004487E">
        <w:rPr>
          <w:rFonts w:cs="Simplified Arabic"/>
        </w:rPr>
        <w:t>L.</w:t>
      </w:r>
      <w:r w:rsidRPr="00477B14">
        <w:rPr>
          <w:rFonts w:cs="Simplified Arabic"/>
        </w:rPr>
        <w:t>21</w:t>
      </w:r>
      <w:r w:rsidRPr="0004487E">
        <w:rPr>
          <w:rFonts w:cs="Simplified Arabic"/>
          <w:rtl/>
        </w:rPr>
        <w:t>.</w:t>
      </w:r>
    </w:p>
    <w:p w:rsidR="00987BDE" w:rsidRDefault="00987BDE" w:rsidP="00987BDE">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الثامنة، المنعقدة في 29 نوفمبر/تشرين الثاني 2018، تناول مؤتمر الأطراف مشروع المقرر </w:t>
      </w:r>
      <w:r>
        <w:rPr>
          <w:rFonts w:cs="Simplified Arabic"/>
          <w:lang w:val="en-US"/>
        </w:rPr>
        <w:t>CBD/COP/14/L.21</w:t>
      </w:r>
      <w:r>
        <w:rPr>
          <w:rFonts w:cs="Simplified Arabic" w:hint="cs"/>
          <w:rtl/>
        </w:rPr>
        <w:t>.</w:t>
      </w:r>
    </w:p>
    <w:p w:rsidR="00987BDE" w:rsidRDefault="00987BDE" w:rsidP="00D110E3">
      <w:pPr>
        <w:pStyle w:val="ListParagraph"/>
        <w:numPr>
          <w:ilvl w:val="0"/>
          <w:numId w:val="6"/>
        </w:numPr>
        <w:bidi/>
        <w:spacing w:line="216" w:lineRule="auto"/>
        <w:ind w:left="0" w:firstLine="0"/>
        <w:rPr>
          <w:rFonts w:cs="Simplified Arabic"/>
        </w:rPr>
      </w:pPr>
      <w:r>
        <w:rPr>
          <w:rFonts w:cs="Simplified Arabic" w:hint="cs"/>
          <w:rtl/>
        </w:rPr>
        <w:t>وأدلى ببيانين ممثل</w:t>
      </w:r>
      <w:r w:rsidR="00D110E3">
        <w:rPr>
          <w:rFonts w:cs="Simplified Arabic" w:hint="cs"/>
          <w:rtl/>
        </w:rPr>
        <w:t>ا</w:t>
      </w:r>
      <w:r>
        <w:rPr>
          <w:rFonts w:cs="Simplified Arabic" w:hint="cs"/>
          <w:rtl/>
        </w:rPr>
        <w:t xml:space="preserve"> المكسيك وجنوب أفريقيا.</w:t>
      </w:r>
    </w:p>
    <w:p w:rsidR="004154A6" w:rsidRPr="00997CAE" w:rsidRDefault="00987BDE" w:rsidP="00987BDE">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7F48C2">
        <w:t>CBD/COP/14/L.</w:t>
      </w:r>
      <w:r>
        <w:t>21</w:t>
      </w:r>
      <w:r>
        <w:rPr>
          <w:rFonts w:cs="Simplified Arabic" w:hint="cs"/>
          <w:rtl/>
        </w:rPr>
        <w:t>، بصيغته المعدلة شفوياً، بوصفه المقرر 14/30 (للاطلاع على النص، انظر الفصل الأول).</w:t>
      </w:r>
    </w:p>
    <w:p w:rsidR="004154A6" w:rsidRPr="00477B14" w:rsidRDefault="009B484C" w:rsidP="00792EE7">
      <w:pPr>
        <w:pStyle w:val="Heading2"/>
        <w:tabs>
          <w:tab w:val="left" w:pos="1260"/>
        </w:tabs>
        <w:rPr>
          <w:lang w:val="en-GB"/>
        </w:rPr>
      </w:pPr>
      <w:bookmarkStart w:id="232" w:name="_Toc6140018"/>
      <w:r w:rsidRPr="00997CAE">
        <w:rPr>
          <w:rFonts w:hint="cs"/>
          <w:rtl/>
        </w:rPr>
        <w:lastRenderedPageBreak/>
        <w:t>البند 15 -</w:t>
      </w:r>
      <w:r w:rsidRPr="00997CAE">
        <w:rPr>
          <w:rFonts w:hint="cs"/>
          <w:rtl/>
        </w:rPr>
        <w:tab/>
        <w:t>استعراض فاعلية العمليات في إطار الاتفاقية وبروتوكوليها</w:t>
      </w:r>
      <w:bookmarkEnd w:id="232"/>
    </w:p>
    <w:p w:rsidR="00E305CC" w:rsidRPr="00997CAE" w:rsidRDefault="00E305CC" w:rsidP="00792EE7">
      <w:pPr>
        <w:keepNext/>
        <w:jc w:val="center"/>
        <w:rPr>
          <w:i/>
          <w:iCs/>
          <w:rtl/>
          <w:lang w:val="fr-CH"/>
        </w:rPr>
      </w:pPr>
      <w:r w:rsidRPr="00997CAE">
        <w:rPr>
          <w:i/>
          <w:iCs/>
          <w:rtl/>
          <w:lang w:val="fr-CH"/>
        </w:rPr>
        <w:t>استعراض الخبرة المكتسبة من عقد اجتماعات متزامنة لمؤتمر الأطراف في الاتفاقية</w:t>
      </w:r>
      <w:r w:rsidRPr="00997CAE">
        <w:rPr>
          <w:rFonts w:hint="cs"/>
          <w:i/>
          <w:iCs/>
          <w:rtl/>
          <w:lang w:val="fr-CH"/>
        </w:rPr>
        <w:t xml:space="preserve"> وبروتوكوليها</w:t>
      </w:r>
    </w:p>
    <w:p w:rsidR="00E305CC" w:rsidRPr="0004487E" w:rsidRDefault="00E305CC" w:rsidP="00D54649">
      <w:pPr>
        <w:pStyle w:val="ListParagraph"/>
        <w:numPr>
          <w:ilvl w:val="0"/>
          <w:numId w:val="6"/>
        </w:numPr>
        <w:bidi/>
        <w:spacing w:line="216" w:lineRule="auto"/>
        <w:ind w:left="0" w:firstLine="0"/>
        <w:rPr>
          <w:rFonts w:cs="Simplified Arabic"/>
        </w:rPr>
      </w:pPr>
      <w:r w:rsidRPr="0004487E">
        <w:rPr>
          <w:rFonts w:cs="Simplified Arabic"/>
          <w:rtl/>
          <w:lang w:val="fr-CH"/>
        </w:rPr>
        <w:t>تناول الفريق العامل الأول</w:t>
      </w:r>
      <w:r w:rsidRPr="0004487E">
        <w:rPr>
          <w:rFonts w:cs="Simplified Arabic" w:hint="cs"/>
          <w:rtl/>
          <w:lang w:val="fr-CH"/>
        </w:rPr>
        <w:t xml:space="preserve"> الجانب الأول</w:t>
      </w:r>
      <w:r w:rsidRPr="0004487E">
        <w:rPr>
          <w:rFonts w:cs="Simplified Arabic"/>
          <w:rtl/>
          <w:lang w:val="fr-CH"/>
        </w:rPr>
        <w:t xml:space="preserve"> </w:t>
      </w:r>
      <w:r w:rsidRPr="0004487E">
        <w:rPr>
          <w:rFonts w:cs="Simplified Arabic" w:hint="cs"/>
          <w:rtl/>
          <w:lang w:val="fr-CH"/>
        </w:rPr>
        <w:t xml:space="preserve">من </w:t>
      </w:r>
      <w:r w:rsidRPr="0004487E">
        <w:rPr>
          <w:rFonts w:cs="Simplified Arabic"/>
          <w:rtl/>
          <w:lang w:val="fr-CH"/>
        </w:rPr>
        <w:t xml:space="preserve">البند </w:t>
      </w:r>
      <w:r w:rsidRPr="0004487E">
        <w:rPr>
          <w:rFonts w:cs="Simplified Arabic" w:hint="cs"/>
          <w:rtl/>
          <w:lang w:val="fr-CH"/>
        </w:rPr>
        <w:t>15</w:t>
      </w:r>
      <w:r w:rsidRPr="0004487E">
        <w:rPr>
          <w:rFonts w:cs="Simplified Arabic"/>
          <w:rtl/>
          <w:lang w:val="fr-CH"/>
        </w:rPr>
        <w:t xml:space="preserve"> من جدول الأعمال </w:t>
      </w:r>
      <w:r w:rsidR="00DD0000">
        <w:rPr>
          <w:rFonts w:cs="Simplified Arabic" w:hint="cs"/>
          <w:rtl/>
          <w:lang w:val="fr-CH"/>
        </w:rPr>
        <w:t>في</w:t>
      </w:r>
      <w:r w:rsidRPr="0004487E">
        <w:rPr>
          <w:rFonts w:cs="Simplified Arabic"/>
          <w:rtl/>
          <w:lang w:val="fr-CH"/>
        </w:rPr>
        <w:t xml:space="preserve"> </w:t>
      </w:r>
      <w:r w:rsidRPr="0004487E">
        <w:rPr>
          <w:rFonts w:cs="Simplified Arabic" w:hint="cs"/>
          <w:rtl/>
          <w:lang w:val="fr-CH"/>
        </w:rPr>
        <w:t>جلسته السادسة</w:t>
      </w:r>
      <w:r w:rsidR="00DD0000">
        <w:rPr>
          <w:rFonts w:cs="Simplified Arabic" w:hint="cs"/>
          <w:rtl/>
          <w:lang w:val="fr-CH"/>
        </w:rPr>
        <w:t>،</w:t>
      </w:r>
      <w:r w:rsidRPr="0004487E">
        <w:rPr>
          <w:rFonts w:cs="Simplified Arabic" w:hint="cs"/>
          <w:rtl/>
          <w:lang w:val="fr-CH"/>
        </w:rPr>
        <w:t xml:space="preserve"> المنعقدة في 21 نوفمبر/تشرين الثاني 2018. </w:t>
      </w:r>
      <w:r w:rsidRPr="0004487E">
        <w:rPr>
          <w:rFonts w:cs="Simplified Arabic"/>
          <w:rtl/>
          <w:lang w:val="fr-CH"/>
        </w:rPr>
        <w:t>وكان معروضا على الفريق العامل في غضون نظره في البند</w:t>
      </w:r>
      <w:r w:rsidRPr="0004487E">
        <w:rPr>
          <w:rFonts w:cs="Simplified Arabic" w:hint="cs"/>
          <w:rtl/>
          <w:lang w:val="fr-CH"/>
        </w:rPr>
        <w:t xml:space="preserve"> مشروع مقرر يستند إلى </w:t>
      </w:r>
      <w:r w:rsidR="00DD0000">
        <w:rPr>
          <w:rFonts w:cs="Simplified Arabic" w:hint="cs"/>
          <w:rtl/>
          <w:lang w:val="fr-CH"/>
        </w:rPr>
        <w:t>الجزء ألف من ال</w:t>
      </w:r>
      <w:r w:rsidRPr="0004487E">
        <w:rPr>
          <w:rFonts w:cs="Simplified Arabic" w:hint="cs"/>
          <w:rtl/>
          <w:lang w:val="fr-CH"/>
        </w:rPr>
        <w:t xml:space="preserve">توصية </w:t>
      </w:r>
      <w:r w:rsidR="00DD0000">
        <w:rPr>
          <w:rFonts w:cs="Simplified Arabic" w:hint="cs"/>
          <w:rtl/>
          <w:lang w:val="fr-CH"/>
        </w:rPr>
        <w:t>2/5 ل</w:t>
      </w:r>
      <w:r w:rsidRPr="0004487E">
        <w:rPr>
          <w:rFonts w:cs="Simplified Arabic" w:hint="cs"/>
          <w:rtl/>
          <w:lang w:val="fr-CH"/>
        </w:rPr>
        <w:t>لهيئة الفرعية للتنفيذ</w:t>
      </w:r>
      <w:r w:rsidR="00DD0000">
        <w:rPr>
          <w:rFonts w:cs="Simplified Arabic" w:hint="cs"/>
          <w:kern w:val="22"/>
          <w:rtl/>
        </w:rPr>
        <w:t>، المبين</w:t>
      </w:r>
      <w:r w:rsidRPr="0004487E">
        <w:rPr>
          <w:rFonts w:cs="Simplified Arabic"/>
          <w:kern w:val="22"/>
          <w:rtl/>
        </w:rPr>
        <w:t xml:space="preserve"> في تجميع مشاريع المقررات</w:t>
      </w:r>
      <w:r w:rsidRPr="0004487E">
        <w:rPr>
          <w:rFonts w:cs="Simplified Arabic" w:hint="cs"/>
          <w:kern w:val="22"/>
          <w:rtl/>
        </w:rPr>
        <w:t xml:space="preserve"> </w:t>
      </w:r>
      <w:r w:rsidRPr="0004487E">
        <w:rPr>
          <w:rFonts w:cs="Simplified Arabic"/>
          <w:kern w:val="22"/>
        </w:rPr>
        <w:t>(CBD/COP/14/2)</w:t>
      </w:r>
      <w:r w:rsidRPr="0004487E">
        <w:rPr>
          <w:rFonts w:cs="Simplified Arabic" w:hint="cs"/>
          <w:kern w:val="22"/>
          <w:rtl/>
        </w:rPr>
        <w:t xml:space="preserve">. </w:t>
      </w:r>
      <w:r w:rsidRPr="0004487E">
        <w:rPr>
          <w:rFonts w:cs="Simplified Arabic" w:hint="cs"/>
          <w:rtl/>
        </w:rPr>
        <w:t>كما</w:t>
      </w:r>
      <w:r w:rsidRPr="0004487E">
        <w:rPr>
          <w:rFonts w:cs="Simplified Arabic"/>
          <w:rtl/>
        </w:rPr>
        <w:t xml:space="preserve"> </w:t>
      </w:r>
      <w:r w:rsidRPr="0004487E">
        <w:rPr>
          <w:rFonts w:cs="Simplified Arabic" w:hint="cs"/>
          <w:rtl/>
        </w:rPr>
        <w:t>كان</w:t>
      </w:r>
      <w:r w:rsidRPr="0004487E">
        <w:rPr>
          <w:rFonts w:cs="Simplified Arabic"/>
          <w:rtl/>
        </w:rPr>
        <w:t xml:space="preserve"> </w:t>
      </w:r>
      <w:r w:rsidR="00DD0000">
        <w:rPr>
          <w:rFonts w:cs="Simplified Arabic" w:hint="cs"/>
          <w:rtl/>
        </w:rPr>
        <w:t>أمامه</w:t>
      </w:r>
      <w:r w:rsidRPr="0004487E">
        <w:rPr>
          <w:rFonts w:cs="Simplified Arabic"/>
          <w:rtl/>
        </w:rPr>
        <w:t xml:space="preserve"> </w:t>
      </w:r>
      <w:r w:rsidRPr="0004487E">
        <w:rPr>
          <w:rFonts w:cs="Simplified Arabic" w:hint="cs"/>
          <w:rtl/>
        </w:rPr>
        <w:t>وثيقة</w:t>
      </w:r>
      <w:r w:rsidRPr="0004487E">
        <w:rPr>
          <w:rFonts w:cs="Simplified Arabic"/>
          <w:rtl/>
        </w:rPr>
        <w:t xml:space="preserve"> </w:t>
      </w:r>
      <w:r w:rsidRPr="0004487E">
        <w:rPr>
          <w:rFonts w:cs="Simplified Arabic" w:hint="cs"/>
          <w:rtl/>
        </w:rPr>
        <w:t>معلومات</w:t>
      </w:r>
      <w:r w:rsidRPr="0004487E">
        <w:rPr>
          <w:rFonts w:cs="Simplified Arabic"/>
          <w:rtl/>
        </w:rPr>
        <w:t xml:space="preserve"> </w:t>
      </w:r>
      <w:r w:rsidRPr="0004487E">
        <w:rPr>
          <w:rFonts w:cs="Simplified Arabic" w:hint="cs"/>
          <w:rtl/>
        </w:rPr>
        <w:t>بشأن</w:t>
      </w:r>
      <w:r w:rsidRPr="0004487E">
        <w:rPr>
          <w:rFonts w:cs="Simplified Arabic"/>
          <w:rtl/>
        </w:rPr>
        <w:t xml:space="preserve"> </w:t>
      </w:r>
      <w:r w:rsidRPr="0004487E">
        <w:rPr>
          <w:rFonts w:cs="Simplified Arabic" w:hint="cs"/>
          <w:rtl/>
        </w:rPr>
        <w:t>توصيات</w:t>
      </w:r>
      <w:r w:rsidRPr="0004487E">
        <w:rPr>
          <w:rFonts w:cs="Simplified Arabic"/>
          <w:rtl/>
        </w:rPr>
        <w:t xml:space="preserve"> </w:t>
      </w:r>
      <w:r w:rsidRPr="0004487E">
        <w:rPr>
          <w:rFonts w:cs="Simplified Arabic" w:hint="cs"/>
          <w:rtl/>
        </w:rPr>
        <w:t>لزيادة</w:t>
      </w:r>
      <w:r w:rsidRPr="0004487E">
        <w:rPr>
          <w:rFonts w:cs="Simplified Arabic"/>
          <w:rtl/>
        </w:rPr>
        <w:t xml:space="preserve"> </w:t>
      </w:r>
      <w:r w:rsidRPr="0004487E">
        <w:rPr>
          <w:rFonts w:cs="Simplified Arabic" w:hint="cs"/>
          <w:rtl/>
        </w:rPr>
        <w:t>التركيز</w:t>
      </w:r>
      <w:r w:rsidRPr="0004487E">
        <w:rPr>
          <w:rFonts w:cs="Simplified Arabic"/>
          <w:rtl/>
        </w:rPr>
        <w:t xml:space="preserve"> </w:t>
      </w:r>
      <w:r w:rsidRPr="0004487E">
        <w:rPr>
          <w:rFonts w:cs="Simplified Arabic" w:hint="cs"/>
          <w:rtl/>
        </w:rPr>
        <w:t>على</w:t>
      </w:r>
      <w:r w:rsidRPr="0004487E">
        <w:rPr>
          <w:rFonts w:cs="Simplified Arabic"/>
          <w:rtl/>
        </w:rPr>
        <w:t xml:space="preserve"> </w:t>
      </w:r>
      <w:r w:rsidRPr="0004487E">
        <w:rPr>
          <w:rFonts w:cs="Simplified Arabic" w:hint="cs"/>
          <w:rtl/>
        </w:rPr>
        <w:t>توصيل</w:t>
      </w:r>
      <w:r w:rsidRPr="0004487E">
        <w:rPr>
          <w:rFonts w:cs="Simplified Arabic"/>
          <w:rtl/>
        </w:rPr>
        <w:t xml:space="preserve"> </w:t>
      </w:r>
      <w:r w:rsidRPr="0004487E">
        <w:rPr>
          <w:rFonts w:cs="Simplified Arabic" w:hint="cs"/>
          <w:rtl/>
        </w:rPr>
        <w:t>الأشخاص</w:t>
      </w:r>
      <w:r w:rsidRPr="0004487E">
        <w:rPr>
          <w:rFonts w:cs="Simplified Arabic"/>
          <w:rtl/>
        </w:rPr>
        <w:t xml:space="preserve"> </w:t>
      </w:r>
      <w:r w:rsidRPr="0004487E">
        <w:rPr>
          <w:rFonts w:cs="Simplified Arabic" w:hint="cs"/>
          <w:rtl/>
        </w:rPr>
        <w:t>بالطبيعة</w:t>
      </w:r>
      <w:r w:rsidRPr="0004487E">
        <w:rPr>
          <w:rFonts w:cs="Simplified Arabic"/>
          <w:rtl/>
        </w:rPr>
        <w:t xml:space="preserve"> </w:t>
      </w:r>
      <w:r w:rsidRPr="0004487E">
        <w:rPr>
          <w:rFonts w:cs="Simplified Arabic" w:hint="cs"/>
          <w:rtl/>
        </w:rPr>
        <w:t>لإلهام</w:t>
      </w:r>
      <w:r w:rsidRPr="0004487E">
        <w:rPr>
          <w:rFonts w:cs="Simplified Arabic"/>
          <w:rtl/>
        </w:rPr>
        <w:t xml:space="preserve"> </w:t>
      </w:r>
      <w:r w:rsidRPr="0004487E">
        <w:rPr>
          <w:rFonts w:cs="Simplified Arabic" w:hint="cs"/>
          <w:rtl/>
        </w:rPr>
        <w:t>العمل</w:t>
      </w:r>
      <w:r w:rsidRPr="0004487E">
        <w:rPr>
          <w:rFonts w:cs="Simplified Arabic"/>
          <w:rtl/>
        </w:rPr>
        <w:t xml:space="preserve"> </w:t>
      </w:r>
      <w:r w:rsidRPr="0004487E">
        <w:rPr>
          <w:rFonts w:cs="Simplified Arabic" w:hint="cs"/>
          <w:rtl/>
        </w:rPr>
        <w:t>المعزز</w:t>
      </w:r>
      <w:r w:rsidRPr="0004487E">
        <w:rPr>
          <w:rFonts w:cs="Simplified Arabic"/>
          <w:rtl/>
        </w:rPr>
        <w:t xml:space="preserve"> </w:t>
      </w:r>
      <w:r w:rsidRPr="0004487E">
        <w:rPr>
          <w:rFonts w:cs="Simplified Arabic" w:hint="cs"/>
          <w:rtl/>
        </w:rPr>
        <w:t>بشأن</w:t>
      </w:r>
      <w:r w:rsidRPr="0004487E">
        <w:rPr>
          <w:rFonts w:cs="Simplified Arabic"/>
          <w:rtl/>
        </w:rPr>
        <w:t xml:space="preserve"> </w:t>
      </w:r>
      <w:r w:rsidRPr="0004487E">
        <w:rPr>
          <w:rFonts w:cs="Simplified Arabic" w:hint="cs"/>
          <w:rtl/>
        </w:rPr>
        <w:t>حفظ</w:t>
      </w:r>
      <w:r w:rsidRPr="0004487E">
        <w:rPr>
          <w:rFonts w:cs="Simplified Arabic"/>
          <w:rtl/>
        </w:rPr>
        <w:t xml:space="preserve"> </w:t>
      </w:r>
      <w:r w:rsidRPr="0004487E">
        <w:rPr>
          <w:rFonts w:cs="Simplified Arabic" w:hint="cs"/>
          <w:rtl/>
        </w:rPr>
        <w:t>التنوع</w:t>
      </w:r>
      <w:r w:rsidRPr="0004487E">
        <w:rPr>
          <w:rFonts w:cs="Simplified Arabic"/>
          <w:rtl/>
        </w:rPr>
        <w:t xml:space="preserve"> </w:t>
      </w:r>
      <w:r w:rsidRPr="0004487E">
        <w:rPr>
          <w:rFonts w:cs="Simplified Arabic" w:hint="cs"/>
          <w:rtl/>
        </w:rPr>
        <w:t>البيولوجي</w:t>
      </w:r>
      <w:r w:rsidR="00DD0000">
        <w:rPr>
          <w:rFonts w:cs="Simplified Arabic" w:hint="cs"/>
          <w:rtl/>
        </w:rPr>
        <w:t xml:space="preserve"> </w:t>
      </w:r>
      <w:r w:rsidR="00EE5359" w:rsidRPr="00DD0000">
        <w:rPr>
          <w:szCs w:val="22"/>
          <w:rtl/>
        </w:rPr>
        <w:t>(</w:t>
      </w:r>
      <w:r w:rsidR="00EE5359" w:rsidRPr="00DD0000">
        <w:rPr>
          <w:szCs w:val="22"/>
        </w:rPr>
        <w:t>CBD/COP/14/INF/</w:t>
      </w:r>
      <w:r w:rsidRPr="00DD0000">
        <w:rPr>
          <w:szCs w:val="22"/>
        </w:rPr>
        <w:t>20</w:t>
      </w:r>
      <w:r w:rsidRPr="00DD0000">
        <w:rPr>
          <w:szCs w:val="22"/>
          <w:rtl/>
        </w:rPr>
        <w:t>)</w:t>
      </w:r>
      <w:r w:rsidRPr="0004487E">
        <w:rPr>
          <w:rFonts w:cs="Simplified Arabic" w:hint="cs"/>
          <w:rtl/>
        </w:rPr>
        <w:t>.</w:t>
      </w:r>
    </w:p>
    <w:p w:rsidR="00E305CC" w:rsidRPr="00DD0000" w:rsidRDefault="00E305CC" w:rsidP="00DD0000">
      <w:pPr>
        <w:pStyle w:val="ListParagraph"/>
        <w:numPr>
          <w:ilvl w:val="0"/>
          <w:numId w:val="6"/>
        </w:numPr>
        <w:bidi/>
        <w:spacing w:line="216" w:lineRule="auto"/>
        <w:ind w:left="0" w:firstLine="0"/>
        <w:rPr>
          <w:rFonts w:cs="Simplified Arabic"/>
        </w:rPr>
      </w:pPr>
      <w:r w:rsidRPr="0004487E">
        <w:rPr>
          <w:rFonts w:cs="Simplified Arabic"/>
          <w:kern w:val="22"/>
          <w:rtl/>
        </w:rPr>
        <w:t xml:space="preserve">وأدلى ببيانات ممثلو </w:t>
      </w:r>
      <w:r w:rsidR="00DD0000">
        <w:rPr>
          <w:rFonts w:cs="Simplified Arabic" w:hint="cs"/>
          <w:kern w:val="22"/>
          <w:rtl/>
        </w:rPr>
        <w:t xml:space="preserve">كندا، وكولومبيا، </w:t>
      </w:r>
      <w:r w:rsidR="00DD0000" w:rsidRPr="0004487E">
        <w:rPr>
          <w:rFonts w:cs="Simplified Arabic"/>
          <w:rtl/>
        </w:rPr>
        <w:t xml:space="preserve">والاتحاد الأوروبي ودوله الأعضاء </w:t>
      </w:r>
      <w:r w:rsidR="00DD0000">
        <w:rPr>
          <w:rFonts w:cs="Simplified Arabic" w:hint="cs"/>
          <w:rtl/>
        </w:rPr>
        <w:t>الثماني والعشرين</w:t>
      </w:r>
      <w:r w:rsidR="00DD0000" w:rsidRPr="0004487E">
        <w:rPr>
          <w:rFonts w:cs="Simplified Arabic"/>
          <w:rtl/>
        </w:rPr>
        <w:t>،</w:t>
      </w:r>
      <w:r w:rsidR="00DD0000">
        <w:rPr>
          <w:rFonts w:cs="Simplified Arabic" w:hint="cs"/>
          <w:rtl/>
        </w:rPr>
        <w:t xml:space="preserve"> والهند، والأردن، والمكسيك، والمغرب، ونيوزيلندا، وبنما، وباراغواي، وسويسرا </w:t>
      </w:r>
      <w:r w:rsidRPr="00DD0000">
        <w:rPr>
          <w:rFonts w:cs="Simplified Arabic"/>
          <w:color w:val="000000"/>
          <w:rtl/>
        </w:rPr>
        <w:t xml:space="preserve">وأوغندا </w:t>
      </w:r>
      <w:r w:rsidRPr="00DD0000">
        <w:rPr>
          <w:rFonts w:cs="Simplified Arabic"/>
          <w:kern w:val="22"/>
          <w:rtl/>
        </w:rPr>
        <w:t>(بالنيابة عن المجموعة الأفريقية)</w:t>
      </w:r>
      <w:r w:rsidR="00DD0000">
        <w:rPr>
          <w:rFonts w:cs="Simplified Arabic" w:hint="cs"/>
          <w:kern w:val="22"/>
          <w:rtl/>
        </w:rPr>
        <w:t>.</w:t>
      </w:r>
    </w:p>
    <w:p w:rsidR="00E305CC" w:rsidRDefault="00E305CC" w:rsidP="00DD0000">
      <w:pPr>
        <w:pStyle w:val="ListParagraph"/>
        <w:numPr>
          <w:ilvl w:val="0"/>
          <w:numId w:val="6"/>
        </w:numPr>
        <w:bidi/>
        <w:spacing w:line="216" w:lineRule="auto"/>
        <w:ind w:left="0" w:firstLine="0"/>
        <w:rPr>
          <w:rFonts w:cs="Simplified Arabic"/>
        </w:rPr>
      </w:pPr>
      <w:r w:rsidRPr="0004487E">
        <w:rPr>
          <w:rFonts w:cs="Simplified Arabic" w:hint="cs"/>
          <w:kern w:val="22"/>
          <w:rtl/>
        </w:rPr>
        <w:t>و</w:t>
      </w:r>
      <w:r w:rsidR="00DD0000">
        <w:rPr>
          <w:rFonts w:cs="Simplified Arabic" w:hint="cs"/>
          <w:rtl/>
        </w:rPr>
        <w:t>في</w:t>
      </w:r>
      <w:r w:rsidRPr="0004487E">
        <w:rPr>
          <w:rFonts w:cs="Simplified Arabic"/>
          <w:rtl/>
        </w:rPr>
        <w:t xml:space="preserve"> جلست</w:t>
      </w:r>
      <w:r w:rsidR="00EE5359">
        <w:rPr>
          <w:rFonts w:cs="Simplified Arabic"/>
          <w:rtl/>
        </w:rPr>
        <w:t>ه العاشرة</w:t>
      </w:r>
      <w:r w:rsidR="00DD0000">
        <w:rPr>
          <w:rFonts w:cs="Simplified Arabic" w:hint="cs"/>
          <w:rtl/>
        </w:rPr>
        <w:t>،</w:t>
      </w:r>
      <w:r w:rsidR="00EE5359">
        <w:rPr>
          <w:rFonts w:cs="Simplified Arabic"/>
          <w:rtl/>
        </w:rPr>
        <w:t xml:space="preserve"> المنعقدة في 25 نوفمبر/</w:t>
      </w:r>
      <w:r w:rsidRPr="0004487E">
        <w:rPr>
          <w:rFonts w:cs="Simplified Arabic"/>
          <w:rtl/>
        </w:rPr>
        <w:t xml:space="preserve">تشرين الثاني 2018، </w:t>
      </w:r>
      <w:r w:rsidR="00DD0000">
        <w:rPr>
          <w:rFonts w:cs="Simplified Arabic" w:hint="cs"/>
          <w:rtl/>
        </w:rPr>
        <w:t xml:space="preserve">نظر الفريق العامل الأول </w:t>
      </w:r>
      <w:r w:rsidRPr="0004487E">
        <w:rPr>
          <w:rFonts w:cs="Simplified Arabic"/>
          <w:rtl/>
        </w:rPr>
        <w:t>في</w:t>
      </w:r>
      <w:r w:rsidR="00DD0000">
        <w:rPr>
          <w:rFonts w:cs="Simplified Arabic"/>
          <w:rtl/>
        </w:rPr>
        <w:t xml:space="preserve"> مشروع مقرر منقح مقدم من الرئيس</w:t>
      </w:r>
      <w:r w:rsidR="00DD0000">
        <w:rPr>
          <w:rFonts w:cs="Simplified Arabic" w:hint="cs"/>
          <w:rtl/>
        </w:rPr>
        <w:t xml:space="preserve">، </w:t>
      </w:r>
      <w:r w:rsidRPr="0004487E">
        <w:rPr>
          <w:rFonts w:cs="Simplified Arabic"/>
          <w:rtl/>
        </w:rPr>
        <w:t>وافق عليه لإحالته إلى الجلسة العامة بوصفه مشروع المقرر</w:t>
      </w:r>
      <w:r w:rsidR="0004487E">
        <w:rPr>
          <w:rFonts w:cs="Simplified Arabic" w:hint="cs"/>
          <w:rtl/>
        </w:rPr>
        <w:t xml:space="preserve"> </w:t>
      </w:r>
      <w:r w:rsidR="0004487E" w:rsidRPr="005605E5">
        <w:t>CBD/COP/14/L.18</w:t>
      </w:r>
      <w:r w:rsidR="0004487E">
        <w:rPr>
          <w:rFonts w:cs="Simplified Arabic" w:hint="cs"/>
          <w:rtl/>
        </w:rPr>
        <w:t>.</w:t>
      </w:r>
    </w:p>
    <w:p w:rsidR="0004487E" w:rsidRPr="0004487E" w:rsidRDefault="0004487E" w:rsidP="00DD0000">
      <w:pPr>
        <w:pStyle w:val="ListParagraph"/>
        <w:numPr>
          <w:ilvl w:val="0"/>
          <w:numId w:val="6"/>
        </w:numPr>
        <w:bidi/>
        <w:spacing w:line="216" w:lineRule="auto"/>
        <w:ind w:left="0" w:firstLine="0"/>
        <w:rPr>
          <w:rFonts w:cs="Simplified Arabic"/>
        </w:rPr>
      </w:pPr>
      <w:r>
        <w:rPr>
          <w:rFonts w:cs="Simplified Arabic" w:hint="cs"/>
          <w:rtl/>
        </w:rPr>
        <w:t>و</w:t>
      </w:r>
      <w:r w:rsidR="00DD0000">
        <w:rPr>
          <w:rFonts w:cs="Simplified Arabic" w:hint="cs"/>
          <w:rtl/>
        </w:rPr>
        <w:t>في</w:t>
      </w:r>
      <w:r>
        <w:rPr>
          <w:rFonts w:cs="Simplified Arabic" w:hint="cs"/>
          <w:rtl/>
        </w:rPr>
        <w:t xml:space="preserve"> جلسته العاشرة</w:t>
      </w:r>
      <w:r w:rsidR="00303176">
        <w:rPr>
          <w:rFonts w:cs="Simplified Arabic" w:hint="cs"/>
          <w:rtl/>
        </w:rPr>
        <w:t>،</w:t>
      </w:r>
      <w:r>
        <w:rPr>
          <w:rFonts w:cs="Simplified Arabic" w:hint="cs"/>
          <w:rtl/>
        </w:rPr>
        <w:t xml:space="preserve"> المنعقدة يوم الأحد الموافق 25 نوفمبر/تشرين الثاني</w:t>
      </w:r>
      <w:r w:rsidR="00303176">
        <w:rPr>
          <w:rFonts w:cs="Simplified Arabic" w:hint="cs"/>
          <w:rtl/>
        </w:rPr>
        <w:t>،</w:t>
      </w:r>
      <w:r>
        <w:rPr>
          <w:rFonts w:cs="Simplified Arabic" w:hint="cs"/>
          <w:rtl/>
        </w:rPr>
        <w:t xml:space="preserve"> </w:t>
      </w:r>
      <w:r w:rsidR="00DD0000">
        <w:rPr>
          <w:rFonts w:cs="Simplified Arabic" w:hint="cs"/>
          <w:rtl/>
        </w:rPr>
        <w:t xml:space="preserve">نظر الفريق العامل الأول </w:t>
      </w:r>
      <w:r>
        <w:rPr>
          <w:rFonts w:cs="Simplified Arabic" w:hint="cs"/>
          <w:rtl/>
        </w:rPr>
        <w:t xml:space="preserve">في مشروع مقرر مُقدم من الرئيس، </w:t>
      </w:r>
      <w:r w:rsidR="00303176">
        <w:rPr>
          <w:rFonts w:cs="Simplified Arabic" w:hint="cs"/>
          <w:rtl/>
        </w:rPr>
        <w:t>ووافق عليه</w:t>
      </w:r>
      <w:r>
        <w:rPr>
          <w:rFonts w:cs="Simplified Arabic" w:hint="cs"/>
          <w:rtl/>
        </w:rPr>
        <w:t xml:space="preserve"> لإحالته إلى الجلسة العامة بوصفه مشروع المقرر </w:t>
      </w:r>
      <w:r w:rsidRPr="00CA4215">
        <w:t>CBD/COP/14/L</w:t>
      </w:r>
      <w:r>
        <w:t>.18</w:t>
      </w:r>
      <w:r>
        <w:rPr>
          <w:rFonts w:cs="Simplified Arabic" w:hint="cs"/>
          <w:rtl/>
        </w:rPr>
        <w:t>.</w:t>
      </w:r>
    </w:p>
    <w:p w:rsidR="00E305CC" w:rsidRPr="00997CAE" w:rsidRDefault="00987BDE" w:rsidP="008462E7">
      <w:pPr>
        <w:pStyle w:val="ListParagraph"/>
        <w:numPr>
          <w:ilvl w:val="0"/>
          <w:numId w:val="6"/>
        </w:numPr>
        <w:bidi/>
        <w:spacing w:line="216" w:lineRule="auto"/>
        <w:ind w:left="0" w:firstLine="0"/>
        <w:rPr>
          <w:rFonts w:cs="Simplified Arabic"/>
          <w:rtl/>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1</w:t>
      </w:r>
      <w:r w:rsidR="008462E7">
        <w:t>8</w:t>
      </w:r>
      <w:r>
        <w:rPr>
          <w:rFonts w:cs="Simplified Arabic" w:hint="cs"/>
          <w:rtl/>
        </w:rPr>
        <w:t xml:space="preserve"> بوصفه المقرر 14/</w:t>
      </w:r>
      <w:r w:rsidR="008462E7">
        <w:rPr>
          <w:rFonts w:cs="Simplified Arabic" w:hint="cs"/>
          <w:rtl/>
        </w:rPr>
        <w:t>32</w:t>
      </w:r>
      <w:r>
        <w:rPr>
          <w:rFonts w:cs="Simplified Arabic" w:hint="cs"/>
          <w:rtl/>
        </w:rPr>
        <w:t xml:space="preserve"> (للاطلاع على النص، انظر الفصل الأول).</w:t>
      </w:r>
    </w:p>
    <w:p w:rsidR="00E305CC" w:rsidRPr="0004487E" w:rsidRDefault="00997CAE" w:rsidP="008462E7">
      <w:pPr>
        <w:jc w:val="center"/>
        <w:rPr>
          <w:i/>
          <w:iCs/>
          <w:rtl/>
          <w:lang w:val="fr-CH"/>
        </w:rPr>
      </w:pPr>
      <w:r w:rsidRPr="0004487E">
        <w:rPr>
          <w:rFonts w:hint="cs"/>
          <w:i/>
          <w:iCs/>
          <w:rtl/>
        </w:rPr>
        <w:t>إجراءات</w:t>
      </w:r>
      <w:r w:rsidRPr="0004487E">
        <w:rPr>
          <w:i/>
          <w:iCs/>
          <w:rtl/>
        </w:rPr>
        <w:t xml:space="preserve"> </w:t>
      </w:r>
      <w:r w:rsidRPr="0004487E">
        <w:rPr>
          <w:rFonts w:hint="cs"/>
          <w:i/>
          <w:iCs/>
          <w:rtl/>
        </w:rPr>
        <w:t>تجنب</w:t>
      </w:r>
      <w:r w:rsidRPr="0004487E">
        <w:rPr>
          <w:i/>
          <w:iCs/>
          <w:rtl/>
        </w:rPr>
        <w:t xml:space="preserve"> </w:t>
      </w:r>
      <w:r w:rsidRPr="0004487E">
        <w:rPr>
          <w:rFonts w:hint="cs"/>
          <w:i/>
          <w:iCs/>
          <w:rtl/>
        </w:rPr>
        <w:t>أو</w:t>
      </w:r>
      <w:r w:rsidRPr="0004487E">
        <w:rPr>
          <w:i/>
          <w:iCs/>
          <w:rtl/>
        </w:rPr>
        <w:t xml:space="preserve"> </w:t>
      </w:r>
      <w:r w:rsidRPr="0004487E">
        <w:rPr>
          <w:rFonts w:hint="cs"/>
          <w:i/>
          <w:iCs/>
          <w:rtl/>
        </w:rPr>
        <w:t>إدارة</w:t>
      </w:r>
      <w:r w:rsidRPr="0004487E">
        <w:rPr>
          <w:i/>
          <w:iCs/>
          <w:rtl/>
        </w:rPr>
        <w:t xml:space="preserve"> </w:t>
      </w:r>
      <w:r w:rsidRPr="0004487E">
        <w:rPr>
          <w:rFonts w:hint="cs"/>
          <w:i/>
          <w:iCs/>
          <w:rtl/>
        </w:rPr>
        <w:t>تضارب</w:t>
      </w:r>
      <w:r w:rsidRPr="0004487E">
        <w:rPr>
          <w:i/>
          <w:iCs/>
          <w:rtl/>
        </w:rPr>
        <w:t xml:space="preserve"> </w:t>
      </w:r>
      <w:r w:rsidRPr="0004487E">
        <w:rPr>
          <w:rFonts w:hint="cs"/>
          <w:i/>
          <w:iCs/>
          <w:rtl/>
        </w:rPr>
        <w:t>المصالح</w:t>
      </w:r>
      <w:r w:rsidRPr="0004487E">
        <w:rPr>
          <w:i/>
          <w:iCs/>
          <w:rtl/>
        </w:rPr>
        <w:t xml:space="preserve"> </w:t>
      </w:r>
      <w:r w:rsidRPr="0004487E">
        <w:rPr>
          <w:rFonts w:hint="cs"/>
          <w:i/>
          <w:iCs/>
          <w:rtl/>
        </w:rPr>
        <w:t>في</w:t>
      </w:r>
      <w:r w:rsidRPr="0004487E">
        <w:rPr>
          <w:i/>
          <w:iCs/>
          <w:rtl/>
        </w:rPr>
        <w:t xml:space="preserve"> </w:t>
      </w:r>
      <w:r w:rsidRPr="0004487E">
        <w:rPr>
          <w:rFonts w:hint="cs"/>
          <w:i/>
          <w:iCs/>
          <w:rtl/>
        </w:rPr>
        <w:t>مجموعات</w:t>
      </w:r>
      <w:r w:rsidRPr="0004487E">
        <w:rPr>
          <w:i/>
          <w:iCs/>
          <w:rtl/>
        </w:rPr>
        <w:t xml:space="preserve"> </w:t>
      </w:r>
      <w:r w:rsidRPr="0004487E">
        <w:rPr>
          <w:rFonts w:hint="cs"/>
          <w:i/>
          <w:iCs/>
          <w:rtl/>
        </w:rPr>
        <w:t>الخبراء</w:t>
      </w:r>
    </w:p>
    <w:p w:rsidR="00997CAE" w:rsidRPr="0004487E" w:rsidRDefault="00997CAE" w:rsidP="00D54649">
      <w:pPr>
        <w:pStyle w:val="ListParagraph"/>
        <w:numPr>
          <w:ilvl w:val="0"/>
          <w:numId w:val="6"/>
        </w:numPr>
        <w:bidi/>
        <w:spacing w:line="216" w:lineRule="auto"/>
        <w:ind w:left="0" w:firstLine="0"/>
        <w:rPr>
          <w:rFonts w:cs="Simplified Arabic"/>
        </w:rPr>
      </w:pPr>
      <w:r w:rsidRPr="0004487E">
        <w:rPr>
          <w:rFonts w:cs="Simplified Arabic"/>
          <w:rtl/>
        </w:rPr>
        <w:t>تناول الفريق العامل الأول الجانب ال</w:t>
      </w:r>
      <w:r w:rsidR="00D54649">
        <w:rPr>
          <w:rFonts w:cs="Simplified Arabic" w:hint="cs"/>
          <w:rtl/>
        </w:rPr>
        <w:t xml:space="preserve">ثاني </w:t>
      </w:r>
      <w:r w:rsidRPr="0004487E">
        <w:rPr>
          <w:rFonts w:cs="Simplified Arabic"/>
          <w:rtl/>
        </w:rPr>
        <w:t xml:space="preserve">من البند 15 من جدول الأعمال </w:t>
      </w:r>
      <w:r w:rsidR="00D54649">
        <w:rPr>
          <w:rFonts w:cs="Simplified Arabic" w:hint="cs"/>
          <w:rtl/>
        </w:rPr>
        <w:t>في</w:t>
      </w:r>
      <w:r w:rsidRPr="0004487E">
        <w:rPr>
          <w:rFonts w:cs="Simplified Arabic"/>
          <w:rtl/>
        </w:rPr>
        <w:t xml:space="preserve"> جلسته السادسة</w:t>
      </w:r>
      <w:r w:rsidR="00D54649">
        <w:rPr>
          <w:rFonts w:cs="Simplified Arabic" w:hint="cs"/>
          <w:rtl/>
        </w:rPr>
        <w:t>،</w:t>
      </w:r>
      <w:r w:rsidR="00D54649">
        <w:rPr>
          <w:rFonts w:cs="Simplified Arabic"/>
          <w:rtl/>
        </w:rPr>
        <w:t xml:space="preserve"> المنعقدة في 21 </w:t>
      </w:r>
      <w:r w:rsidR="00D54649">
        <w:rPr>
          <w:rFonts w:cs="Simplified Arabic" w:hint="cs"/>
          <w:rtl/>
        </w:rPr>
        <w:t>نوفمبر/</w:t>
      </w:r>
      <w:r w:rsidR="00D54649">
        <w:rPr>
          <w:rFonts w:cs="Simplified Arabic"/>
          <w:rtl/>
        </w:rPr>
        <w:t>تشرين الثاني</w:t>
      </w:r>
      <w:r w:rsidRPr="0004487E">
        <w:rPr>
          <w:rFonts w:cs="Simplified Arabic"/>
          <w:rtl/>
        </w:rPr>
        <w:t xml:space="preserve"> 2018. ولدى النظر في هذا البند، كان معروضا على الفريق العامل</w:t>
      </w:r>
      <w:r w:rsidRPr="0004487E">
        <w:rPr>
          <w:rFonts w:cs="Simplified Arabic" w:hint="cs"/>
          <w:rtl/>
        </w:rPr>
        <w:t xml:space="preserve"> مشروع مقرر يستند إلى الجزء باء من</w:t>
      </w:r>
      <w:r w:rsidRPr="0004487E">
        <w:rPr>
          <w:rFonts w:cs="Simplified Arabic"/>
          <w:rtl/>
        </w:rPr>
        <w:t xml:space="preserve"> </w:t>
      </w:r>
      <w:r w:rsidRPr="0004487E">
        <w:rPr>
          <w:rFonts w:cs="Simplified Arabic" w:hint="cs"/>
          <w:rtl/>
        </w:rPr>
        <w:t>التوصية</w:t>
      </w:r>
      <w:r w:rsidR="00D54649">
        <w:rPr>
          <w:rFonts w:cs="Simplified Arabic" w:hint="cs"/>
          <w:rtl/>
        </w:rPr>
        <w:t xml:space="preserve"> 2/15 للهيئة الفرعية للتنفيذ،</w:t>
      </w:r>
      <w:r w:rsidRPr="0004487E">
        <w:rPr>
          <w:rFonts w:cs="Simplified Arabic"/>
          <w:rtl/>
        </w:rPr>
        <w:t xml:space="preserve"> </w:t>
      </w:r>
      <w:r w:rsidR="00D54649">
        <w:rPr>
          <w:rFonts w:cs="Simplified Arabic" w:hint="cs"/>
          <w:rtl/>
        </w:rPr>
        <w:t>المبين</w:t>
      </w:r>
      <w:r w:rsidRPr="0004487E">
        <w:rPr>
          <w:rFonts w:cs="Simplified Arabic" w:hint="cs"/>
          <w:rtl/>
        </w:rPr>
        <w:t xml:space="preserve"> </w:t>
      </w:r>
      <w:r w:rsidRPr="0004487E">
        <w:rPr>
          <w:rFonts w:cs="Simplified Arabic"/>
          <w:rtl/>
        </w:rPr>
        <w:t xml:space="preserve">في تجميع مشاريع المقررات </w:t>
      </w:r>
      <w:r w:rsidRPr="00D54649">
        <w:rPr>
          <w:szCs w:val="22"/>
          <w:rtl/>
        </w:rPr>
        <w:t>(</w:t>
      </w:r>
      <w:r w:rsidR="00D54649">
        <w:rPr>
          <w:szCs w:val="22"/>
        </w:rPr>
        <w:t>CBD/COP/14/</w:t>
      </w:r>
      <w:r w:rsidRPr="00D54649">
        <w:rPr>
          <w:szCs w:val="22"/>
        </w:rPr>
        <w:t>2</w:t>
      </w:r>
      <w:r w:rsidRPr="00D54649">
        <w:rPr>
          <w:szCs w:val="22"/>
          <w:rtl/>
        </w:rPr>
        <w:t>)</w:t>
      </w:r>
      <w:r w:rsidR="00D54649">
        <w:rPr>
          <w:rFonts w:cs="Simplified Arabic" w:hint="cs"/>
          <w:rtl/>
        </w:rPr>
        <w:t>،</w:t>
      </w:r>
      <w:r w:rsidRPr="0004487E">
        <w:rPr>
          <w:rFonts w:cs="Simplified Arabic"/>
          <w:rtl/>
        </w:rPr>
        <w:t xml:space="preserve"> و</w:t>
      </w:r>
      <w:r w:rsidRPr="0004487E">
        <w:rPr>
          <w:rFonts w:cs="Simplified Arabic" w:hint="cs"/>
          <w:rtl/>
        </w:rPr>
        <w:t xml:space="preserve">ملخص </w:t>
      </w:r>
      <w:r w:rsidRPr="0004487E">
        <w:rPr>
          <w:rFonts w:cs="Simplified Arabic"/>
          <w:rtl/>
        </w:rPr>
        <w:t xml:space="preserve">الآراء التي قدمها الأطراف والمراقبون بشأن الإجراء المتبع لتجنب أو إدارة تضارب المصالح في مجموعات الخبراء </w:t>
      </w:r>
      <w:r w:rsidRPr="00303176">
        <w:rPr>
          <w:szCs w:val="22"/>
          <w:rtl/>
        </w:rPr>
        <w:t>(</w:t>
      </w:r>
      <w:r w:rsidR="00303176" w:rsidRPr="00303176">
        <w:rPr>
          <w:szCs w:val="22"/>
        </w:rPr>
        <w:t>CBD/COP/</w:t>
      </w:r>
      <w:r w:rsidRPr="00303176">
        <w:rPr>
          <w:szCs w:val="22"/>
        </w:rPr>
        <w:t>14/INF/3</w:t>
      </w:r>
      <w:r w:rsidRPr="00303176">
        <w:rPr>
          <w:szCs w:val="22"/>
          <w:rtl/>
        </w:rPr>
        <w:t>)</w:t>
      </w:r>
      <w:r w:rsidRPr="0004487E">
        <w:rPr>
          <w:rFonts w:cs="Simplified Arabic"/>
          <w:rtl/>
        </w:rPr>
        <w:t>.</w:t>
      </w:r>
    </w:p>
    <w:p w:rsidR="00997CAE" w:rsidRPr="0004487E" w:rsidRDefault="00997CAE" w:rsidP="00FF7FA5">
      <w:pPr>
        <w:pStyle w:val="ListParagraph"/>
        <w:numPr>
          <w:ilvl w:val="0"/>
          <w:numId w:val="6"/>
        </w:numPr>
        <w:bidi/>
        <w:spacing w:line="216" w:lineRule="auto"/>
        <w:ind w:left="0" w:firstLine="0"/>
        <w:rPr>
          <w:rFonts w:cs="Simplified Arabic"/>
        </w:rPr>
      </w:pPr>
      <w:r w:rsidRPr="0004487E">
        <w:rPr>
          <w:rFonts w:cs="Simplified Arabic"/>
          <w:rtl/>
        </w:rPr>
        <w:t>وأدلى ببيانات ممثلو الأرجنتين</w:t>
      </w:r>
      <w:r w:rsidR="00D54649">
        <w:rPr>
          <w:rFonts w:cs="Simplified Arabic" w:hint="cs"/>
          <w:rtl/>
        </w:rPr>
        <w:t>، وكندا،</w:t>
      </w:r>
      <w:r w:rsidRPr="0004487E">
        <w:rPr>
          <w:rFonts w:cs="Simplified Arabic"/>
          <w:rtl/>
        </w:rPr>
        <w:t xml:space="preserve"> والاتحاد الأوروبي ودوله الأعضاء </w:t>
      </w:r>
      <w:r w:rsidR="00303176">
        <w:rPr>
          <w:rFonts w:cs="Simplified Arabic" w:hint="cs"/>
          <w:rtl/>
        </w:rPr>
        <w:t>الثماني والعشرين،</w:t>
      </w:r>
      <w:r w:rsidRPr="0004487E">
        <w:rPr>
          <w:rFonts w:cs="Simplified Arabic"/>
          <w:rtl/>
        </w:rPr>
        <w:t xml:space="preserve"> وهندوراس</w:t>
      </w:r>
      <w:r w:rsidR="00D54649">
        <w:rPr>
          <w:rFonts w:cs="Simplified Arabic" w:hint="cs"/>
          <w:rtl/>
        </w:rPr>
        <w:t>،</w:t>
      </w:r>
      <w:r w:rsidRPr="0004487E">
        <w:rPr>
          <w:rFonts w:cs="Simplified Arabic"/>
          <w:rtl/>
        </w:rPr>
        <w:t xml:space="preserve"> والهند</w:t>
      </w:r>
      <w:r w:rsidR="00D54649">
        <w:rPr>
          <w:rFonts w:cs="Simplified Arabic" w:hint="cs"/>
          <w:rtl/>
        </w:rPr>
        <w:t>،</w:t>
      </w:r>
      <w:r w:rsidRPr="0004487E">
        <w:rPr>
          <w:rFonts w:cs="Simplified Arabic"/>
          <w:rtl/>
        </w:rPr>
        <w:t xml:space="preserve"> والأردن</w:t>
      </w:r>
      <w:r w:rsidR="00D54649">
        <w:rPr>
          <w:rFonts w:cs="Simplified Arabic" w:hint="cs"/>
          <w:rtl/>
        </w:rPr>
        <w:t>،</w:t>
      </w:r>
      <w:r w:rsidRPr="0004487E">
        <w:rPr>
          <w:rFonts w:cs="Simplified Arabic"/>
          <w:rtl/>
        </w:rPr>
        <w:t xml:space="preserve"> والمكسيك</w:t>
      </w:r>
      <w:r w:rsidR="00D54649">
        <w:rPr>
          <w:rFonts w:cs="Simplified Arabic" w:hint="cs"/>
          <w:rtl/>
        </w:rPr>
        <w:t>، ونيوزيلندا،</w:t>
      </w:r>
      <w:r w:rsidRPr="0004487E">
        <w:rPr>
          <w:rFonts w:cs="Simplified Arabic"/>
          <w:rtl/>
        </w:rPr>
        <w:t xml:space="preserve"> وبنما</w:t>
      </w:r>
      <w:r w:rsidR="00D54649">
        <w:rPr>
          <w:rFonts w:cs="Simplified Arabic" w:hint="cs"/>
          <w:rtl/>
        </w:rPr>
        <w:t>، وباراغواي،</w:t>
      </w:r>
      <w:r w:rsidRPr="0004487E">
        <w:rPr>
          <w:rFonts w:cs="Simplified Arabic"/>
          <w:rtl/>
        </w:rPr>
        <w:t xml:space="preserve"> وسويسرا وأوغندا (بالنيابة عن المجموعة الأفريقية).</w:t>
      </w:r>
    </w:p>
    <w:p w:rsidR="00997CAE" w:rsidRPr="0004487E" w:rsidRDefault="00997CAE" w:rsidP="00792EE7">
      <w:pPr>
        <w:pStyle w:val="ListParagraph"/>
        <w:numPr>
          <w:ilvl w:val="0"/>
          <w:numId w:val="6"/>
        </w:numPr>
        <w:bidi/>
        <w:spacing w:line="216" w:lineRule="auto"/>
        <w:ind w:left="0" w:firstLine="0"/>
        <w:rPr>
          <w:rFonts w:cs="Simplified Arabic"/>
          <w:rtl/>
        </w:rPr>
      </w:pPr>
      <w:r w:rsidRPr="0004487E">
        <w:rPr>
          <w:rFonts w:cs="Simplified Arabic"/>
          <w:rtl/>
        </w:rPr>
        <w:t xml:space="preserve">وأدلى ببيانات </w:t>
      </w:r>
      <w:r w:rsidR="00D54649">
        <w:rPr>
          <w:rFonts w:cs="Simplified Arabic" w:hint="cs"/>
          <w:rtl/>
        </w:rPr>
        <w:t xml:space="preserve">أخرى </w:t>
      </w:r>
      <w:r w:rsidRPr="0004487E">
        <w:rPr>
          <w:rFonts w:cs="Simplified Arabic"/>
          <w:rtl/>
        </w:rPr>
        <w:t xml:space="preserve">ممثلو معهد </w:t>
      </w:r>
      <w:r w:rsidRPr="0004487E">
        <w:rPr>
          <w:rFonts w:cs="Simplified Arabic"/>
        </w:rPr>
        <w:t>J. Craig Venter</w:t>
      </w:r>
      <w:r w:rsidR="00D54649">
        <w:rPr>
          <w:rFonts w:cs="Simplified Arabic" w:hint="cs"/>
          <w:rtl/>
        </w:rPr>
        <w:t>، والمبادرة العامة للبحوث والتنظيم</w:t>
      </w:r>
      <w:r w:rsidRPr="0004487E">
        <w:rPr>
          <w:rFonts w:cs="Simplified Arabic"/>
          <w:rtl/>
        </w:rPr>
        <w:t xml:space="preserve"> </w:t>
      </w:r>
      <w:r w:rsidR="00D54649">
        <w:rPr>
          <w:rFonts w:cs="Simplified Arabic"/>
        </w:rPr>
        <w:t>(</w:t>
      </w:r>
      <w:r w:rsidRPr="0004487E">
        <w:rPr>
          <w:rFonts w:cs="Simplified Arabic"/>
        </w:rPr>
        <w:t>PRRI</w:t>
      </w:r>
      <w:r w:rsidR="00D54649">
        <w:rPr>
          <w:rFonts w:cs="Simplified Arabic"/>
        </w:rPr>
        <w:t>)</w:t>
      </w:r>
      <w:r w:rsidR="00D54649">
        <w:rPr>
          <w:rFonts w:cs="Simplified Arabic" w:hint="cs"/>
          <w:rtl/>
        </w:rPr>
        <w:t>،</w:t>
      </w:r>
      <w:r w:rsidRPr="0004487E">
        <w:rPr>
          <w:rFonts w:cs="Simplified Arabic" w:hint="cs"/>
          <w:rtl/>
        </w:rPr>
        <w:t xml:space="preserve"> </w:t>
      </w:r>
      <w:r w:rsidRPr="0004487E">
        <w:rPr>
          <w:rFonts w:cs="Simplified Arabic"/>
          <w:rtl/>
        </w:rPr>
        <w:t>وشبكة العالم الثالث (</w:t>
      </w:r>
      <w:r w:rsidR="00D54649">
        <w:rPr>
          <w:rFonts w:cs="Simplified Arabic" w:hint="cs"/>
          <w:rtl/>
        </w:rPr>
        <w:t xml:space="preserve">أيضا </w:t>
      </w:r>
      <w:r w:rsidRPr="0004487E">
        <w:rPr>
          <w:rFonts w:cs="Simplified Arabic"/>
          <w:rtl/>
        </w:rPr>
        <w:t xml:space="preserve">بالنيابة عن </w:t>
      </w:r>
      <w:r w:rsidRPr="0004487E">
        <w:rPr>
          <w:rFonts w:cs="Simplified Arabic"/>
        </w:rPr>
        <w:t>Econexus</w:t>
      </w:r>
      <w:r w:rsidRPr="0004487E">
        <w:rPr>
          <w:rFonts w:cs="Simplified Arabic"/>
          <w:rtl/>
        </w:rPr>
        <w:t xml:space="preserve"> و </w:t>
      </w:r>
      <w:r w:rsidRPr="0004487E">
        <w:rPr>
          <w:rFonts w:cs="Simplified Arabic"/>
        </w:rPr>
        <w:t>ETC Group</w:t>
      </w:r>
      <w:r w:rsidRPr="0004487E">
        <w:rPr>
          <w:rFonts w:cs="Simplified Arabic"/>
          <w:rtl/>
        </w:rPr>
        <w:t xml:space="preserve"> وأصدقاء الأرض الدولية</w:t>
      </w:r>
      <w:r w:rsidRPr="0004487E">
        <w:rPr>
          <w:rFonts w:cs="Simplified Arabic" w:hint="cs"/>
          <w:rtl/>
        </w:rPr>
        <w:t xml:space="preserve"> </w:t>
      </w:r>
      <w:r w:rsidRPr="0004487E">
        <w:rPr>
          <w:rFonts w:cs="Simplified Arabic"/>
          <w:rtl/>
        </w:rPr>
        <w:t>و</w:t>
      </w:r>
      <w:r w:rsidRPr="0004487E">
        <w:rPr>
          <w:rFonts w:cs="Simplified Arabic"/>
        </w:rPr>
        <w:t>Pro</w:t>
      </w:r>
      <w:r w:rsidR="00792EE7">
        <w:rPr>
          <w:rFonts w:cs="Simplified Arabic"/>
        </w:rPr>
        <w:t xml:space="preserve"> N</w:t>
      </w:r>
      <w:r w:rsidRPr="0004487E">
        <w:rPr>
          <w:rFonts w:cs="Simplified Arabic"/>
        </w:rPr>
        <w:t>atura</w:t>
      </w:r>
      <w:r w:rsidRPr="0004487E">
        <w:rPr>
          <w:rFonts w:cs="Simplified Arabic"/>
          <w:rtl/>
        </w:rPr>
        <w:t>).</w:t>
      </w:r>
    </w:p>
    <w:p w:rsidR="00997CAE" w:rsidRPr="0004487E" w:rsidRDefault="00997CAE" w:rsidP="00FF7FA5">
      <w:pPr>
        <w:pStyle w:val="ListParagraph"/>
        <w:numPr>
          <w:ilvl w:val="0"/>
          <w:numId w:val="6"/>
        </w:numPr>
        <w:bidi/>
        <w:spacing w:line="216" w:lineRule="auto"/>
        <w:ind w:left="0" w:firstLine="0"/>
        <w:rPr>
          <w:rFonts w:cs="Simplified Arabic"/>
        </w:rPr>
      </w:pPr>
      <w:r w:rsidRPr="0004487E">
        <w:rPr>
          <w:rFonts w:cs="Simplified Arabic"/>
          <w:snapToGrid w:val="0"/>
          <w:kern w:val="22"/>
          <w:rtl/>
        </w:rPr>
        <w:t xml:space="preserve">وبعد تبادل الآراء، </w:t>
      </w:r>
      <w:r w:rsidRPr="0004487E">
        <w:rPr>
          <w:rFonts w:cs="Simplified Arabic" w:hint="cs"/>
          <w:snapToGrid w:val="0"/>
          <w:kern w:val="22"/>
          <w:rtl/>
        </w:rPr>
        <w:t>قام الرئيس</w:t>
      </w:r>
      <w:r w:rsidRPr="0004487E">
        <w:rPr>
          <w:rFonts w:cs="Simplified Arabic"/>
          <w:snapToGrid w:val="0"/>
          <w:kern w:val="22"/>
          <w:rtl/>
        </w:rPr>
        <w:t xml:space="preserve"> </w:t>
      </w:r>
      <w:r w:rsidRPr="0004487E">
        <w:rPr>
          <w:rFonts w:cs="Simplified Arabic" w:hint="cs"/>
          <w:snapToGrid w:val="0"/>
          <w:kern w:val="22"/>
          <w:rtl/>
        </w:rPr>
        <w:t>ب</w:t>
      </w:r>
      <w:r w:rsidRPr="0004487E">
        <w:rPr>
          <w:rFonts w:cs="Simplified Arabic"/>
          <w:snapToGrid w:val="0"/>
          <w:kern w:val="22"/>
          <w:rtl/>
        </w:rPr>
        <w:t xml:space="preserve">إنشاء </w:t>
      </w:r>
      <w:r w:rsidR="00303176">
        <w:rPr>
          <w:rFonts w:cs="Simplified Arabic" w:hint="cs"/>
          <w:snapToGrid w:val="0"/>
          <w:kern w:val="22"/>
          <w:rtl/>
        </w:rPr>
        <w:t>مجموعة</w:t>
      </w:r>
      <w:r w:rsidRPr="0004487E">
        <w:rPr>
          <w:rFonts w:cs="Simplified Arabic"/>
          <w:snapToGrid w:val="0"/>
          <w:kern w:val="22"/>
          <w:rtl/>
        </w:rPr>
        <w:t xml:space="preserve"> أصدقاء الرئيس لمواصلة مناقشة المسائل التي لم يتم حلها.</w:t>
      </w:r>
    </w:p>
    <w:p w:rsidR="0004487E" w:rsidRPr="0004487E" w:rsidRDefault="0004487E" w:rsidP="003223AF">
      <w:pPr>
        <w:pStyle w:val="ListParagraph"/>
        <w:numPr>
          <w:ilvl w:val="0"/>
          <w:numId w:val="6"/>
        </w:numPr>
        <w:bidi/>
        <w:spacing w:line="216" w:lineRule="auto"/>
        <w:ind w:left="0" w:firstLine="0"/>
        <w:rPr>
          <w:rFonts w:cs="Simplified Arabic"/>
        </w:rPr>
      </w:pPr>
      <w:r>
        <w:rPr>
          <w:rFonts w:cs="Simplified Arabic" w:hint="cs"/>
          <w:snapToGrid w:val="0"/>
          <w:kern w:val="22"/>
          <w:rtl/>
        </w:rPr>
        <w:t>و</w:t>
      </w:r>
      <w:r w:rsidR="003223AF">
        <w:rPr>
          <w:rFonts w:cs="Simplified Arabic" w:hint="cs"/>
          <w:snapToGrid w:val="0"/>
          <w:kern w:val="22"/>
          <w:rtl/>
        </w:rPr>
        <w:t xml:space="preserve">في </w:t>
      </w:r>
      <w:r>
        <w:rPr>
          <w:rFonts w:cs="Simplified Arabic" w:hint="cs"/>
          <w:snapToGrid w:val="0"/>
          <w:kern w:val="22"/>
          <w:rtl/>
        </w:rPr>
        <w:t>جلسته الثانية عشرة</w:t>
      </w:r>
      <w:r w:rsidR="00303176">
        <w:rPr>
          <w:rFonts w:cs="Simplified Arabic" w:hint="cs"/>
          <w:snapToGrid w:val="0"/>
          <w:kern w:val="22"/>
          <w:rtl/>
        </w:rPr>
        <w:t>،</w:t>
      </w:r>
      <w:r>
        <w:rPr>
          <w:rFonts w:cs="Simplified Arabic" w:hint="cs"/>
          <w:snapToGrid w:val="0"/>
          <w:kern w:val="22"/>
          <w:rtl/>
        </w:rPr>
        <w:t xml:space="preserve"> المنعقدة في 28 نوفمبر/تشرين الثاني 2018</w:t>
      </w:r>
      <w:r w:rsidR="00303176">
        <w:rPr>
          <w:rFonts w:cs="Simplified Arabic" w:hint="cs"/>
          <w:snapToGrid w:val="0"/>
          <w:kern w:val="22"/>
          <w:rtl/>
        </w:rPr>
        <w:t>،</w:t>
      </w:r>
      <w:r>
        <w:rPr>
          <w:rFonts w:cs="Simplified Arabic" w:hint="cs"/>
          <w:snapToGrid w:val="0"/>
          <w:kern w:val="22"/>
          <w:rtl/>
        </w:rPr>
        <w:t xml:space="preserve"> </w:t>
      </w:r>
      <w:r w:rsidR="003223AF">
        <w:rPr>
          <w:rFonts w:cs="Simplified Arabic" w:hint="cs"/>
          <w:snapToGrid w:val="0"/>
          <w:kern w:val="22"/>
          <w:rtl/>
        </w:rPr>
        <w:t xml:space="preserve">نظر الفريق العامل </w:t>
      </w:r>
      <w:r>
        <w:rPr>
          <w:rFonts w:cs="Simplified Arabic" w:hint="cs"/>
          <w:snapToGrid w:val="0"/>
          <w:kern w:val="22"/>
          <w:rtl/>
        </w:rPr>
        <w:t>في مشروع مقرر منقح مقدم من الرئيس.</w:t>
      </w:r>
    </w:p>
    <w:p w:rsidR="0004487E" w:rsidRPr="0004487E" w:rsidRDefault="0004487E" w:rsidP="00FF7FA5">
      <w:pPr>
        <w:pStyle w:val="ListParagraph"/>
        <w:numPr>
          <w:ilvl w:val="0"/>
          <w:numId w:val="6"/>
        </w:numPr>
        <w:bidi/>
        <w:spacing w:line="216" w:lineRule="auto"/>
        <w:ind w:left="0" w:firstLine="0"/>
        <w:rPr>
          <w:rFonts w:cs="Simplified Arabic"/>
        </w:rPr>
      </w:pPr>
      <w:r>
        <w:rPr>
          <w:rFonts w:cs="Simplified Arabic" w:hint="cs"/>
          <w:snapToGrid w:val="0"/>
          <w:kern w:val="22"/>
          <w:rtl/>
        </w:rPr>
        <w:t>وأدلى ببيانات م</w:t>
      </w:r>
      <w:r w:rsidR="00303176">
        <w:rPr>
          <w:rFonts w:cs="Simplified Arabic" w:hint="cs"/>
          <w:snapToGrid w:val="0"/>
          <w:kern w:val="22"/>
          <w:rtl/>
        </w:rPr>
        <w:t>م</w:t>
      </w:r>
      <w:r>
        <w:rPr>
          <w:rFonts w:cs="Simplified Arabic" w:hint="cs"/>
          <w:snapToGrid w:val="0"/>
          <w:kern w:val="22"/>
          <w:rtl/>
        </w:rPr>
        <w:t xml:space="preserve">ثلو كندا، وكولومبيا، والكونغو، والاتحاد الأوروبي ودوله الأعضاء </w:t>
      </w:r>
      <w:r w:rsidR="00303176">
        <w:rPr>
          <w:rFonts w:cs="Simplified Arabic" w:hint="cs"/>
          <w:rtl/>
        </w:rPr>
        <w:t>الثماني والعشرين،</w:t>
      </w:r>
      <w:r w:rsidR="003223AF">
        <w:rPr>
          <w:rFonts w:cs="Simplified Arabic" w:hint="cs"/>
          <w:snapToGrid w:val="0"/>
          <w:kern w:val="22"/>
          <w:rtl/>
        </w:rPr>
        <w:t xml:space="preserve"> وغابون، وغينيا، وقطر، وسويسرا</w:t>
      </w:r>
      <w:r>
        <w:rPr>
          <w:rFonts w:cs="Simplified Arabic" w:hint="cs"/>
          <w:snapToGrid w:val="0"/>
          <w:kern w:val="22"/>
          <w:rtl/>
        </w:rPr>
        <w:t xml:space="preserve"> وجمهورية تنزانيا المتحدة.</w:t>
      </w:r>
    </w:p>
    <w:p w:rsidR="0004487E" w:rsidRPr="0004487E" w:rsidRDefault="0004487E" w:rsidP="00FF7FA5">
      <w:pPr>
        <w:pStyle w:val="ListParagraph"/>
        <w:numPr>
          <w:ilvl w:val="0"/>
          <w:numId w:val="6"/>
        </w:numPr>
        <w:bidi/>
        <w:spacing w:line="216" w:lineRule="auto"/>
        <w:ind w:left="0" w:firstLine="0"/>
        <w:rPr>
          <w:rFonts w:cs="Simplified Arabic"/>
        </w:rPr>
      </w:pPr>
      <w:r>
        <w:rPr>
          <w:rFonts w:cs="Simplified Arabic" w:hint="cs"/>
          <w:snapToGrid w:val="0"/>
          <w:kern w:val="22"/>
          <w:rtl/>
        </w:rPr>
        <w:t>و</w:t>
      </w:r>
      <w:r w:rsidR="00303176">
        <w:rPr>
          <w:rFonts w:cs="Simplified Arabic" w:hint="cs"/>
          <w:snapToGrid w:val="0"/>
          <w:kern w:val="22"/>
          <w:rtl/>
        </w:rPr>
        <w:t>وافق</w:t>
      </w:r>
      <w:r>
        <w:rPr>
          <w:rFonts w:cs="Simplified Arabic" w:hint="cs"/>
          <w:snapToGrid w:val="0"/>
          <w:kern w:val="22"/>
          <w:rtl/>
        </w:rPr>
        <w:t xml:space="preserve"> الفريق العامل </w:t>
      </w:r>
      <w:r w:rsidR="00303176">
        <w:rPr>
          <w:rFonts w:cs="Simplified Arabic" w:hint="cs"/>
          <w:snapToGrid w:val="0"/>
          <w:kern w:val="22"/>
          <w:rtl/>
        </w:rPr>
        <w:t xml:space="preserve">على </w:t>
      </w:r>
      <w:r>
        <w:rPr>
          <w:rFonts w:cs="Simplified Arabic" w:hint="cs"/>
          <w:snapToGrid w:val="0"/>
          <w:kern w:val="22"/>
          <w:rtl/>
        </w:rPr>
        <w:t>مشروع المقرر المنقح، بصيغته المعدلة شفويا</w:t>
      </w:r>
      <w:r w:rsidR="00303176">
        <w:rPr>
          <w:rFonts w:cs="Simplified Arabic" w:hint="cs"/>
          <w:snapToGrid w:val="0"/>
          <w:kern w:val="22"/>
          <w:rtl/>
        </w:rPr>
        <w:t>ً،</w:t>
      </w:r>
      <w:r>
        <w:rPr>
          <w:rFonts w:cs="Simplified Arabic" w:hint="cs"/>
          <w:snapToGrid w:val="0"/>
          <w:kern w:val="22"/>
          <w:rtl/>
        </w:rPr>
        <w:t xml:space="preserve"> لإحالته إلى الجلسة العامة بوصفه مشروع المقرر </w:t>
      </w:r>
      <w:r>
        <w:t>CBD/COP/14/L</w:t>
      </w:r>
      <w:r w:rsidRPr="00CA4215">
        <w:t>.</w:t>
      </w:r>
      <w:r>
        <w:t>29</w:t>
      </w:r>
      <w:r>
        <w:rPr>
          <w:rFonts w:cs="Simplified Arabic" w:hint="cs"/>
          <w:snapToGrid w:val="0"/>
          <w:kern w:val="22"/>
          <w:rtl/>
        </w:rPr>
        <w:t>.</w:t>
      </w:r>
    </w:p>
    <w:p w:rsidR="008462E7" w:rsidRDefault="008462E7" w:rsidP="008462E7">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28 نوفمبر/تشرين الثاني 2018، نظر مؤتمر الأطراف في مشروع المقرر </w:t>
      </w:r>
      <w:r w:rsidRPr="007F48C2">
        <w:t>CBD/COP/14/L.</w:t>
      </w:r>
      <w:r>
        <w:t>29</w:t>
      </w:r>
      <w:r>
        <w:rPr>
          <w:rFonts w:cs="Simplified Arabic" w:hint="cs"/>
          <w:rtl/>
        </w:rPr>
        <w:t>.</w:t>
      </w:r>
    </w:p>
    <w:p w:rsidR="008462E7" w:rsidRDefault="008462E7" w:rsidP="008462E7">
      <w:pPr>
        <w:pStyle w:val="ListParagraph"/>
        <w:numPr>
          <w:ilvl w:val="0"/>
          <w:numId w:val="6"/>
        </w:numPr>
        <w:bidi/>
        <w:spacing w:line="216" w:lineRule="auto"/>
        <w:ind w:left="0" w:firstLine="0"/>
        <w:rPr>
          <w:rFonts w:cs="Simplified Arabic"/>
        </w:rPr>
      </w:pPr>
      <w:r>
        <w:rPr>
          <w:rFonts w:cs="Simplified Arabic" w:hint="cs"/>
          <w:rtl/>
        </w:rPr>
        <w:lastRenderedPageBreak/>
        <w:t xml:space="preserve">وأدلى ببيان ممثل </w:t>
      </w:r>
      <w:r w:rsidR="003223AF">
        <w:rPr>
          <w:rFonts w:cs="Simplified Arabic" w:hint="cs"/>
          <w:rtl/>
        </w:rPr>
        <w:t xml:space="preserve">عن </w:t>
      </w:r>
      <w:r>
        <w:rPr>
          <w:rFonts w:cs="Simplified Arabic" w:hint="cs"/>
          <w:rtl/>
        </w:rPr>
        <w:t>سويسرا.</w:t>
      </w:r>
    </w:p>
    <w:p w:rsidR="009B484C" w:rsidRPr="00997CAE" w:rsidRDefault="008462E7" w:rsidP="008462E7">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7F48C2">
        <w:t>CBD/COP/14/L.</w:t>
      </w:r>
      <w:r>
        <w:t>29</w:t>
      </w:r>
      <w:r>
        <w:rPr>
          <w:rFonts w:cs="Simplified Arabic" w:hint="cs"/>
          <w:rtl/>
        </w:rPr>
        <w:t xml:space="preserve"> بوصفه المقرر 14/</w:t>
      </w:r>
      <w:r w:rsidRPr="00792EE7">
        <w:rPr>
          <w:rFonts w:ascii="Simplified Arabic" w:hAnsi="Simplified Arabic" w:cs="Simplified Arabic"/>
        </w:rPr>
        <w:t>33</w:t>
      </w:r>
      <w:r>
        <w:rPr>
          <w:rFonts w:cs="Simplified Arabic" w:hint="cs"/>
          <w:rtl/>
        </w:rPr>
        <w:t xml:space="preserve"> (للاطلاع على النص، انظر الفصل الأول).</w:t>
      </w:r>
    </w:p>
    <w:p w:rsidR="00E305CC" w:rsidRPr="00477B14" w:rsidRDefault="009B484C" w:rsidP="00094717">
      <w:pPr>
        <w:pStyle w:val="Heading2"/>
        <w:ind w:left="2430" w:right="1530" w:hanging="1350"/>
        <w:jc w:val="left"/>
        <w:rPr>
          <w:lang w:val="en-GB"/>
        </w:rPr>
      </w:pPr>
      <w:bookmarkStart w:id="233" w:name="_Toc6140019"/>
      <w:r w:rsidRPr="00997CAE">
        <w:rPr>
          <w:rtl/>
        </w:rPr>
        <w:t>البند 16 -</w:t>
      </w:r>
      <w:r w:rsidRPr="00997CAE">
        <w:rPr>
          <w:rtl/>
        </w:rPr>
        <w:tab/>
        <w:t xml:space="preserve">برنامج العمل الثاني للمنبر الحكومي الدولي </w:t>
      </w:r>
      <w:r w:rsidR="00792EE7">
        <w:rPr>
          <w:rFonts w:hint="cs"/>
          <w:rtl/>
        </w:rPr>
        <w:t xml:space="preserve">للعلوم والسياسات </w:t>
      </w:r>
      <w:r w:rsidRPr="00997CAE">
        <w:rPr>
          <w:rtl/>
        </w:rPr>
        <w:t>في مجال التنوع البيولوجي وخدمات النظم الإيكولوجية</w:t>
      </w:r>
      <w:bookmarkEnd w:id="233"/>
    </w:p>
    <w:p w:rsidR="00E305CC" w:rsidRPr="002E513E" w:rsidRDefault="00E305CC" w:rsidP="003223AF">
      <w:pPr>
        <w:pStyle w:val="Para10"/>
        <w:numPr>
          <w:ilvl w:val="0"/>
          <w:numId w:val="6"/>
        </w:numPr>
        <w:tabs>
          <w:tab w:val="left" w:pos="720"/>
        </w:tabs>
        <w:kinsoku w:val="0"/>
        <w:overflowPunct w:val="0"/>
        <w:autoSpaceDE w:val="0"/>
        <w:autoSpaceDN w:val="0"/>
        <w:bidi/>
        <w:snapToGrid w:val="0"/>
        <w:spacing w:before="0" w:line="216" w:lineRule="auto"/>
        <w:ind w:left="0" w:firstLine="0"/>
        <w:rPr>
          <w:rFonts w:cs="Simplified Arabic"/>
          <w:szCs w:val="24"/>
          <w:rtl/>
        </w:rPr>
      </w:pPr>
      <w:r w:rsidRPr="002E513E">
        <w:rPr>
          <w:rFonts w:cs="Simplified Arabic"/>
          <w:szCs w:val="24"/>
          <w:rtl/>
        </w:rPr>
        <w:t>تناول الفريق العامل الثاني البند 16 من جدول الأعمال</w:t>
      </w:r>
      <w:r w:rsidRPr="002E513E">
        <w:rPr>
          <w:rFonts w:cs="Simplified Arabic" w:hint="cs"/>
          <w:szCs w:val="24"/>
          <w:rtl/>
        </w:rPr>
        <w:t xml:space="preserve"> في</w:t>
      </w:r>
      <w:r w:rsidRPr="002E513E">
        <w:rPr>
          <w:rFonts w:cs="Simplified Arabic"/>
          <w:szCs w:val="24"/>
          <w:rtl/>
        </w:rPr>
        <w:t xml:space="preserve"> </w:t>
      </w:r>
      <w:r w:rsidR="003223AF">
        <w:rPr>
          <w:rFonts w:cs="Simplified Arabic" w:hint="cs"/>
          <w:szCs w:val="24"/>
          <w:rtl/>
        </w:rPr>
        <w:t>جلست</w:t>
      </w:r>
      <w:r w:rsidRPr="002E513E">
        <w:rPr>
          <w:rFonts w:cs="Simplified Arabic"/>
          <w:szCs w:val="24"/>
          <w:rtl/>
        </w:rPr>
        <w:t>ه الخامس</w:t>
      </w:r>
      <w:r w:rsidR="003223AF">
        <w:rPr>
          <w:rFonts w:cs="Simplified Arabic" w:hint="cs"/>
          <w:szCs w:val="24"/>
          <w:rtl/>
        </w:rPr>
        <w:t>ة،</w:t>
      </w:r>
      <w:r w:rsidRPr="002E513E">
        <w:rPr>
          <w:rFonts w:cs="Simplified Arabic"/>
          <w:szCs w:val="24"/>
          <w:rtl/>
        </w:rPr>
        <w:t xml:space="preserve"> المعقود</w:t>
      </w:r>
      <w:r w:rsidR="003223AF">
        <w:rPr>
          <w:rFonts w:cs="Simplified Arabic" w:hint="cs"/>
          <w:szCs w:val="24"/>
          <w:rtl/>
        </w:rPr>
        <w:t>ة</w:t>
      </w:r>
      <w:r w:rsidRPr="002E513E">
        <w:rPr>
          <w:rFonts w:cs="Simplified Arabic"/>
          <w:szCs w:val="24"/>
          <w:rtl/>
        </w:rPr>
        <w:t xml:space="preserve"> في 20 نوفمبر/تشرين الثاني 2018. ولدى النظر في هذا البند، كان معروضا أمام الفريق </w:t>
      </w:r>
      <w:r w:rsidR="003223AF">
        <w:rPr>
          <w:rFonts w:cs="Simplified Arabic" w:hint="cs"/>
          <w:szCs w:val="24"/>
          <w:rtl/>
        </w:rPr>
        <w:t xml:space="preserve">العانل </w:t>
      </w:r>
      <w:r w:rsidRPr="002E513E">
        <w:rPr>
          <w:rFonts w:cs="Simplified Arabic"/>
          <w:szCs w:val="24"/>
          <w:rtl/>
        </w:rPr>
        <w:t>مشروع مقرر يستند إلى التوصية</w:t>
      </w:r>
      <w:r w:rsidRPr="002E513E">
        <w:rPr>
          <w:rFonts w:cs="Simplified Arabic" w:hint="cs"/>
          <w:szCs w:val="24"/>
          <w:rtl/>
        </w:rPr>
        <w:t xml:space="preserve"> 22/10 ل</w:t>
      </w:r>
      <w:r w:rsidRPr="002E513E">
        <w:rPr>
          <w:rFonts w:cs="Simplified Arabic"/>
          <w:szCs w:val="24"/>
          <w:rtl/>
        </w:rPr>
        <w:t xml:space="preserve">لهيئة الفرعية </w:t>
      </w:r>
      <w:r w:rsidRPr="002E513E">
        <w:rPr>
          <w:rFonts w:cs="Simplified Arabic" w:hint="cs"/>
          <w:szCs w:val="24"/>
          <w:rtl/>
        </w:rPr>
        <w:t>ل</w:t>
      </w:r>
      <w:r w:rsidRPr="002E513E">
        <w:rPr>
          <w:rFonts w:cs="Simplified Arabic"/>
          <w:szCs w:val="24"/>
          <w:rtl/>
        </w:rPr>
        <w:t>لمشورة العلمية والتقنية والتكنولوجية</w:t>
      </w:r>
      <w:r w:rsidRPr="002E513E">
        <w:rPr>
          <w:rFonts w:cs="Simplified Arabic" w:hint="cs"/>
          <w:szCs w:val="24"/>
          <w:rtl/>
        </w:rPr>
        <w:t>،</w:t>
      </w:r>
      <w:r w:rsidRPr="002E513E">
        <w:rPr>
          <w:rFonts w:cs="Simplified Arabic"/>
          <w:szCs w:val="24"/>
          <w:rtl/>
        </w:rPr>
        <w:t xml:space="preserve"> ال</w:t>
      </w:r>
      <w:r w:rsidR="003223AF">
        <w:rPr>
          <w:rFonts w:cs="Simplified Arabic" w:hint="cs"/>
          <w:szCs w:val="24"/>
          <w:rtl/>
        </w:rPr>
        <w:t>مبين</w:t>
      </w:r>
      <w:r w:rsidRPr="002E513E">
        <w:rPr>
          <w:rFonts w:cs="Simplified Arabic"/>
          <w:szCs w:val="24"/>
          <w:rtl/>
        </w:rPr>
        <w:t xml:space="preserve"> في تجميع مشاريع المقررات </w:t>
      </w:r>
      <w:r w:rsidRPr="00303176">
        <w:rPr>
          <w:szCs w:val="22"/>
          <w:rtl/>
        </w:rPr>
        <w:t>(</w:t>
      </w:r>
      <w:r w:rsidRPr="00303176">
        <w:rPr>
          <w:szCs w:val="22"/>
        </w:rPr>
        <w:t>CBD/COP/14/2</w:t>
      </w:r>
      <w:r w:rsidRPr="00303176">
        <w:rPr>
          <w:szCs w:val="22"/>
          <w:rtl/>
        </w:rPr>
        <w:t>)</w:t>
      </w:r>
      <w:r w:rsidRPr="002E513E">
        <w:rPr>
          <w:rFonts w:cs="Simplified Arabic" w:hint="cs"/>
          <w:szCs w:val="24"/>
          <w:rtl/>
        </w:rPr>
        <w:t>،</w:t>
      </w:r>
      <w:r w:rsidRPr="002E513E">
        <w:rPr>
          <w:rFonts w:cs="Simplified Arabic"/>
          <w:szCs w:val="24"/>
          <w:rtl/>
        </w:rPr>
        <w:t xml:space="preserve"> </w:t>
      </w:r>
      <w:r w:rsidRPr="002E513E">
        <w:rPr>
          <w:rFonts w:cs="Simplified Arabic" w:hint="cs"/>
          <w:szCs w:val="24"/>
          <w:rtl/>
        </w:rPr>
        <w:t>وكذلك</w:t>
      </w:r>
      <w:r w:rsidRPr="002E513E">
        <w:rPr>
          <w:rFonts w:cs="Simplified Arabic"/>
          <w:szCs w:val="24"/>
          <w:rtl/>
        </w:rPr>
        <w:t xml:space="preserve"> وثيقة تتضمن معلومات عن الطلبات </w:t>
      </w:r>
      <w:r w:rsidRPr="002E513E">
        <w:rPr>
          <w:rFonts w:cs="Simplified Arabic" w:hint="cs"/>
          <w:szCs w:val="24"/>
          <w:rtl/>
        </w:rPr>
        <w:t>المق</w:t>
      </w:r>
      <w:r w:rsidR="003223AF">
        <w:rPr>
          <w:rFonts w:cs="Simplified Arabic" w:hint="cs"/>
          <w:szCs w:val="24"/>
          <w:rtl/>
        </w:rPr>
        <w:t>ترح</w:t>
      </w:r>
      <w:r w:rsidRPr="002E513E">
        <w:rPr>
          <w:rFonts w:cs="Simplified Arabic" w:hint="cs"/>
          <w:szCs w:val="24"/>
          <w:rtl/>
        </w:rPr>
        <w:t>ة</w:t>
      </w:r>
      <w:r w:rsidRPr="002E513E">
        <w:rPr>
          <w:rFonts w:cs="Simplified Arabic"/>
          <w:szCs w:val="24"/>
          <w:rtl/>
        </w:rPr>
        <w:t xml:space="preserve"> </w:t>
      </w:r>
      <w:r w:rsidRPr="002E513E">
        <w:rPr>
          <w:rFonts w:cs="Simplified Arabic" w:hint="cs"/>
          <w:szCs w:val="24"/>
          <w:rtl/>
        </w:rPr>
        <w:t>إ</w:t>
      </w:r>
      <w:r w:rsidRPr="002E513E">
        <w:rPr>
          <w:rFonts w:cs="Simplified Arabic"/>
          <w:szCs w:val="24"/>
          <w:rtl/>
        </w:rPr>
        <w:t>لى</w:t>
      </w:r>
      <w:r w:rsidRPr="002E513E">
        <w:rPr>
          <w:rFonts w:cs="Simplified Arabic" w:hint="cs"/>
          <w:szCs w:val="24"/>
          <w:rtl/>
        </w:rPr>
        <w:t xml:space="preserve"> المنبر</w:t>
      </w:r>
      <w:r w:rsidRPr="002E513E">
        <w:rPr>
          <w:rFonts w:cs="Simplified Arabic"/>
          <w:szCs w:val="24"/>
          <w:rtl/>
        </w:rPr>
        <w:t xml:space="preserve"> الحكومي الدولي للعلوم والسياسات في مجال التنوع البيولوجي وخدمات النظم الإيكولوجية</w:t>
      </w:r>
      <w:r w:rsidRPr="002E513E">
        <w:rPr>
          <w:rFonts w:cs="Simplified Arabic" w:hint="cs"/>
          <w:szCs w:val="24"/>
          <w:rtl/>
        </w:rPr>
        <w:t xml:space="preserve"> </w:t>
      </w:r>
      <w:r w:rsidRPr="00303176">
        <w:rPr>
          <w:szCs w:val="22"/>
          <w:rtl/>
        </w:rPr>
        <w:t>(</w:t>
      </w:r>
      <w:r w:rsidRPr="00303176">
        <w:rPr>
          <w:iCs/>
          <w:szCs w:val="22"/>
        </w:rPr>
        <w:t>IPBES</w:t>
      </w:r>
      <w:r w:rsidRPr="00303176">
        <w:rPr>
          <w:szCs w:val="22"/>
          <w:rtl/>
        </w:rPr>
        <w:t>)</w:t>
      </w:r>
      <w:r w:rsidRPr="002E513E">
        <w:rPr>
          <w:rFonts w:cs="Simplified Arabic"/>
          <w:szCs w:val="24"/>
          <w:rtl/>
        </w:rPr>
        <w:t xml:space="preserve">، </w:t>
      </w:r>
      <w:r w:rsidRPr="002E513E">
        <w:rPr>
          <w:rFonts w:cs="Simplified Arabic" w:hint="cs"/>
          <w:szCs w:val="24"/>
          <w:rtl/>
        </w:rPr>
        <w:t>و</w:t>
      </w:r>
      <w:r w:rsidRPr="002E513E">
        <w:rPr>
          <w:rFonts w:cs="Simplified Arabic"/>
          <w:szCs w:val="24"/>
          <w:rtl/>
        </w:rPr>
        <w:t>أ</w:t>
      </w:r>
      <w:r w:rsidRPr="002E513E">
        <w:rPr>
          <w:rFonts w:cs="Simplified Arabic" w:hint="cs"/>
          <w:szCs w:val="24"/>
          <w:rtl/>
        </w:rPr>
        <w:t>ُ</w:t>
      </w:r>
      <w:r w:rsidRPr="002E513E">
        <w:rPr>
          <w:rFonts w:cs="Simplified Arabic"/>
          <w:szCs w:val="24"/>
          <w:rtl/>
        </w:rPr>
        <w:t>ع</w:t>
      </w:r>
      <w:r w:rsidRPr="002E513E">
        <w:rPr>
          <w:rFonts w:cs="Simplified Arabic" w:hint="cs"/>
          <w:szCs w:val="24"/>
          <w:rtl/>
        </w:rPr>
        <w:t>ِ</w:t>
      </w:r>
      <w:r w:rsidRPr="002E513E">
        <w:rPr>
          <w:rFonts w:cs="Simplified Arabic"/>
          <w:szCs w:val="24"/>
          <w:rtl/>
        </w:rPr>
        <w:t>د</w:t>
      </w:r>
      <w:r w:rsidRPr="002E513E">
        <w:rPr>
          <w:rFonts w:cs="Simplified Arabic" w:hint="cs"/>
          <w:szCs w:val="24"/>
          <w:rtl/>
        </w:rPr>
        <w:t>َّ</w:t>
      </w:r>
      <w:r w:rsidRPr="002E513E">
        <w:rPr>
          <w:rFonts w:cs="Simplified Arabic"/>
          <w:szCs w:val="24"/>
          <w:rtl/>
        </w:rPr>
        <w:t>ت وفقا لإجراءات تلق</w:t>
      </w:r>
      <w:r w:rsidRPr="002E513E">
        <w:rPr>
          <w:rFonts w:cs="Simplified Arabic" w:hint="cs"/>
          <w:szCs w:val="24"/>
          <w:rtl/>
        </w:rPr>
        <w:t>ّ</w:t>
      </w:r>
      <w:r w:rsidRPr="002E513E">
        <w:rPr>
          <w:rFonts w:cs="Simplified Arabic"/>
          <w:szCs w:val="24"/>
          <w:rtl/>
        </w:rPr>
        <w:t>ي الطلبات المقد</w:t>
      </w:r>
      <w:r w:rsidRPr="002E513E">
        <w:rPr>
          <w:rFonts w:cs="Simplified Arabic" w:hint="cs"/>
          <w:szCs w:val="24"/>
          <w:rtl/>
        </w:rPr>
        <w:t>َّ</w:t>
      </w:r>
      <w:r w:rsidRPr="002E513E">
        <w:rPr>
          <w:rFonts w:cs="Simplified Arabic"/>
          <w:szCs w:val="24"/>
          <w:rtl/>
        </w:rPr>
        <w:t xml:space="preserve">مة إلى المنبر وترتيبها حسب الأولوية التي حددها المقرر 1/3 الصادر عن المنبر </w:t>
      </w:r>
      <w:r w:rsidRPr="00303176">
        <w:rPr>
          <w:szCs w:val="22"/>
          <w:rtl/>
        </w:rPr>
        <w:t>(</w:t>
      </w:r>
      <w:r w:rsidRPr="00303176">
        <w:rPr>
          <w:iCs/>
          <w:kern w:val="22"/>
          <w:szCs w:val="22"/>
        </w:rPr>
        <w:t>CBD/COP/14/INF/6</w:t>
      </w:r>
      <w:r w:rsidRPr="00303176">
        <w:rPr>
          <w:szCs w:val="22"/>
          <w:rtl/>
        </w:rPr>
        <w:t>)</w:t>
      </w:r>
      <w:r w:rsidRPr="002E513E">
        <w:rPr>
          <w:rFonts w:cs="Simplified Arabic" w:hint="cs"/>
          <w:szCs w:val="24"/>
          <w:rtl/>
        </w:rPr>
        <w:t>.</w:t>
      </w:r>
    </w:p>
    <w:p w:rsidR="00E305CC" w:rsidRPr="002E513E" w:rsidRDefault="00E305CC" w:rsidP="00B37593">
      <w:pPr>
        <w:pStyle w:val="ListParagraph"/>
        <w:numPr>
          <w:ilvl w:val="0"/>
          <w:numId w:val="6"/>
        </w:numPr>
        <w:bidi/>
        <w:spacing w:line="216" w:lineRule="auto"/>
        <w:ind w:left="0" w:firstLine="0"/>
        <w:rPr>
          <w:rFonts w:cs="Simplified Arabic"/>
          <w:rtl/>
        </w:rPr>
      </w:pPr>
      <w:r w:rsidRPr="00A04C64">
        <w:rPr>
          <w:rFonts w:cs="Simplified Arabic" w:hint="cs"/>
          <w:rtl/>
        </w:rPr>
        <w:t>و</w:t>
      </w:r>
      <w:r w:rsidRPr="00A04C64">
        <w:rPr>
          <w:rFonts w:cs="Simplified Arabic"/>
          <w:rtl/>
        </w:rPr>
        <w:t>استمع الفريق العامل إلى</w:t>
      </w:r>
      <w:r w:rsidRPr="002E513E">
        <w:rPr>
          <w:rFonts w:cs="Simplified Arabic"/>
          <w:rtl/>
        </w:rPr>
        <w:t xml:space="preserve"> عرض قصير </w:t>
      </w:r>
      <w:r w:rsidR="008462E7">
        <w:rPr>
          <w:rFonts w:cs="Simplified Arabic" w:hint="cs"/>
          <w:rtl/>
        </w:rPr>
        <w:t>من</w:t>
      </w:r>
      <w:r w:rsidRPr="002E513E">
        <w:rPr>
          <w:rFonts w:cs="Simplified Arabic"/>
          <w:rtl/>
        </w:rPr>
        <w:t xml:space="preserve"> الأمينة التنفيذية </w:t>
      </w:r>
      <w:r w:rsidRPr="002E513E">
        <w:rPr>
          <w:rFonts w:cs="Simplified Arabic" w:hint="cs"/>
          <w:rtl/>
        </w:rPr>
        <w:t>للمنبر</w:t>
      </w:r>
      <w:r w:rsidRPr="002E513E">
        <w:rPr>
          <w:rFonts w:cs="Simplified Arabic"/>
          <w:rtl/>
        </w:rPr>
        <w:t xml:space="preserve"> الحكومي الدولي للعلوم والسياسات في مجال التنوع البيولوجي وخدمات النظم الإيكولوجية، </w:t>
      </w:r>
      <w:r w:rsidR="00A04C64">
        <w:rPr>
          <w:rFonts w:cs="Simplified Arabic" w:hint="cs"/>
          <w:rtl/>
        </w:rPr>
        <w:t>التي أفاد</w:t>
      </w:r>
      <w:r w:rsidRPr="002E513E">
        <w:rPr>
          <w:rFonts w:cs="Simplified Arabic"/>
          <w:rtl/>
        </w:rPr>
        <w:t>ت</w:t>
      </w:r>
      <w:r w:rsidRPr="002E513E">
        <w:rPr>
          <w:rFonts w:cs="Simplified Arabic" w:hint="cs"/>
          <w:rtl/>
        </w:rPr>
        <w:t xml:space="preserve"> </w:t>
      </w:r>
      <w:r w:rsidRPr="002E513E">
        <w:rPr>
          <w:rFonts w:cs="Simplified Arabic"/>
          <w:rtl/>
        </w:rPr>
        <w:t>أن</w:t>
      </w:r>
      <w:r w:rsidRPr="002E513E">
        <w:rPr>
          <w:rFonts w:cs="Simplified Arabic" w:hint="cs"/>
          <w:rtl/>
        </w:rPr>
        <w:t xml:space="preserve">ّ </w:t>
      </w:r>
      <w:r w:rsidRPr="002E513E">
        <w:rPr>
          <w:rFonts w:cs="Simplified Arabic"/>
          <w:rtl/>
        </w:rPr>
        <w:t>ال</w:t>
      </w:r>
      <w:r w:rsidR="008018A6">
        <w:rPr>
          <w:rFonts w:cs="Simplified Arabic" w:hint="cs"/>
          <w:rtl/>
        </w:rPr>
        <w:t>اجتماع</w:t>
      </w:r>
      <w:r w:rsidR="008018A6">
        <w:rPr>
          <w:rFonts w:cs="Simplified Arabic"/>
          <w:rtl/>
        </w:rPr>
        <w:t xml:space="preserve"> العام</w:t>
      </w:r>
      <w:r w:rsidRPr="002E513E">
        <w:rPr>
          <w:rFonts w:cs="Simplified Arabic"/>
          <w:rtl/>
        </w:rPr>
        <w:t xml:space="preserve"> للمنبر</w:t>
      </w:r>
      <w:r w:rsidRPr="002E513E">
        <w:rPr>
          <w:rFonts w:cs="Simplified Arabic" w:hint="cs"/>
          <w:rtl/>
        </w:rPr>
        <w:t xml:space="preserve"> </w:t>
      </w:r>
      <w:r w:rsidRPr="002E513E">
        <w:rPr>
          <w:rFonts w:cs="Simplified Arabic"/>
          <w:rtl/>
        </w:rPr>
        <w:t>س</w:t>
      </w:r>
      <w:r w:rsidR="008018A6">
        <w:rPr>
          <w:rFonts w:cs="Simplified Arabic" w:hint="cs"/>
          <w:rtl/>
        </w:rPr>
        <w:t>ي</w:t>
      </w:r>
      <w:r w:rsidRPr="002E513E">
        <w:rPr>
          <w:rFonts w:cs="Simplified Arabic"/>
          <w:rtl/>
        </w:rPr>
        <w:t>عتمد في أبريل</w:t>
      </w:r>
      <w:r w:rsidRPr="002E513E">
        <w:rPr>
          <w:rFonts w:cs="Simplified Arabic" w:hint="cs"/>
          <w:rtl/>
        </w:rPr>
        <w:t>/نيسان</w:t>
      </w:r>
      <w:r w:rsidRPr="002E513E">
        <w:rPr>
          <w:rFonts w:cs="Simplified Arabic"/>
          <w:rtl/>
        </w:rPr>
        <w:t xml:space="preserve"> 2019 برنامج عمل ثان للمنبر حتى عام 2030</w:t>
      </w:r>
      <w:r w:rsidRPr="002E513E">
        <w:rPr>
          <w:rFonts w:cs="Simplified Arabic" w:hint="cs"/>
          <w:rtl/>
        </w:rPr>
        <w:t xml:space="preserve">. وكانت قد أُصدرت </w:t>
      </w:r>
      <w:r w:rsidRPr="002E513E">
        <w:rPr>
          <w:rFonts w:cs="Simplified Arabic"/>
          <w:rtl/>
        </w:rPr>
        <w:t>دعوة</w:t>
      </w:r>
      <w:r w:rsidRPr="002E513E">
        <w:rPr>
          <w:rFonts w:cs="Simplified Arabic" w:hint="cs"/>
          <w:rtl/>
        </w:rPr>
        <w:t xml:space="preserve"> لتقديم</w:t>
      </w:r>
      <w:r w:rsidRPr="002E513E">
        <w:rPr>
          <w:rFonts w:cs="Simplified Arabic"/>
          <w:rtl/>
        </w:rPr>
        <w:t xml:space="preserve"> </w:t>
      </w:r>
      <w:r w:rsidRPr="002E513E">
        <w:rPr>
          <w:rFonts w:cs="Simplified Arabic" w:hint="cs"/>
          <w:rtl/>
        </w:rPr>
        <w:t>ا</w:t>
      </w:r>
      <w:r w:rsidRPr="002E513E">
        <w:rPr>
          <w:rFonts w:cs="Simplified Arabic"/>
          <w:rtl/>
        </w:rPr>
        <w:t>لطلبات والم</w:t>
      </w:r>
      <w:r w:rsidRPr="002E513E">
        <w:rPr>
          <w:rFonts w:cs="Simplified Arabic" w:hint="cs"/>
          <w:rtl/>
        </w:rPr>
        <w:t>ُ</w:t>
      </w:r>
      <w:r w:rsidRPr="002E513E">
        <w:rPr>
          <w:rFonts w:cs="Simplified Arabic"/>
          <w:rtl/>
        </w:rPr>
        <w:t xml:space="preserve">دخلات والاقتراحات بشأن الموضوعات التي </w:t>
      </w:r>
      <w:r w:rsidRPr="002E513E">
        <w:rPr>
          <w:rFonts w:cs="Simplified Arabic" w:hint="cs"/>
          <w:rtl/>
        </w:rPr>
        <w:t>تحظى</w:t>
      </w:r>
      <w:r w:rsidRPr="002E513E">
        <w:rPr>
          <w:rFonts w:cs="Simplified Arabic"/>
          <w:rtl/>
        </w:rPr>
        <w:t xml:space="preserve"> </w:t>
      </w:r>
      <w:r w:rsidRPr="002E513E">
        <w:rPr>
          <w:rFonts w:cs="Simplified Arabic" w:hint="cs"/>
          <w:rtl/>
        </w:rPr>
        <w:t>بال</w:t>
      </w:r>
      <w:r w:rsidRPr="002E513E">
        <w:rPr>
          <w:rFonts w:cs="Simplified Arabic"/>
          <w:rtl/>
        </w:rPr>
        <w:t>أولوي</w:t>
      </w:r>
      <w:r w:rsidRPr="002E513E">
        <w:rPr>
          <w:rFonts w:cs="Simplified Arabic" w:hint="cs"/>
          <w:rtl/>
        </w:rPr>
        <w:t>ة</w:t>
      </w:r>
      <w:r w:rsidRPr="002E513E">
        <w:rPr>
          <w:rFonts w:cs="Simplified Arabic"/>
          <w:rtl/>
        </w:rPr>
        <w:t xml:space="preserve">، </w:t>
      </w:r>
      <w:r w:rsidRPr="002E513E">
        <w:rPr>
          <w:rFonts w:cs="Simplified Arabic" w:hint="cs"/>
          <w:rtl/>
        </w:rPr>
        <w:t>ونتج عنها الحصول على</w:t>
      </w:r>
      <w:r w:rsidRPr="002E513E">
        <w:rPr>
          <w:rFonts w:cs="Simplified Arabic"/>
          <w:rtl/>
        </w:rPr>
        <w:t xml:space="preserve"> أكثر من 80 طلبا من الاتفاقات البيئية </w:t>
      </w:r>
      <w:r w:rsidRPr="002E513E">
        <w:rPr>
          <w:rFonts w:cs="Simplified Arabic" w:hint="cs"/>
          <w:rtl/>
        </w:rPr>
        <w:t>ال</w:t>
      </w:r>
      <w:r w:rsidRPr="002E513E">
        <w:rPr>
          <w:rFonts w:cs="Simplified Arabic"/>
          <w:rtl/>
        </w:rPr>
        <w:t>متعددة الأطراف</w:t>
      </w:r>
      <w:r w:rsidR="00A04C64">
        <w:rPr>
          <w:rFonts w:cs="Simplified Arabic" w:hint="cs"/>
          <w:rtl/>
        </w:rPr>
        <w:t>،</w:t>
      </w:r>
      <w:r w:rsidRPr="002E513E">
        <w:rPr>
          <w:rFonts w:cs="Simplified Arabic"/>
          <w:rtl/>
        </w:rPr>
        <w:t xml:space="preserve"> والحكومات </w:t>
      </w:r>
      <w:r w:rsidR="008018A6">
        <w:rPr>
          <w:rFonts w:cs="Simplified Arabic" w:hint="cs"/>
          <w:rtl/>
        </w:rPr>
        <w:t>وأصحاب</w:t>
      </w:r>
      <w:r w:rsidRPr="002E513E">
        <w:rPr>
          <w:rFonts w:cs="Simplified Arabic" w:hint="cs"/>
          <w:rtl/>
        </w:rPr>
        <w:t xml:space="preserve"> </w:t>
      </w:r>
      <w:r w:rsidRPr="002E513E">
        <w:rPr>
          <w:rFonts w:cs="Simplified Arabic"/>
          <w:rtl/>
        </w:rPr>
        <w:t>المصلحة</w:t>
      </w:r>
      <w:r w:rsidRPr="002E513E">
        <w:rPr>
          <w:rFonts w:cs="Simplified Arabic" w:hint="cs"/>
          <w:rtl/>
        </w:rPr>
        <w:t xml:space="preserve">. </w:t>
      </w:r>
      <w:r w:rsidRPr="002E513E">
        <w:rPr>
          <w:rFonts w:cs="Simplified Arabic"/>
          <w:rtl/>
        </w:rPr>
        <w:t>وكان فريق الخبراء المتعدد التخصصات والمكتب</w:t>
      </w:r>
      <w:r w:rsidRPr="002E513E">
        <w:rPr>
          <w:rFonts w:cs="Simplified Arabic" w:hint="cs"/>
          <w:rtl/>
        </w:rPr>
        <w:t xml:space="preserve"> التابعين للمنبر قررا</w:t>
      </w:r>
      <w:r w:rsidRPr="002E513E">
        <w:rPr>
          <w:rFonts w:cs="Simplified Arabic"/>
          <w:rtl/>
        </w:rPr>
        <w:t xml:space="preserve"> في اجتماعهم</w:t>
      </w:r>
      <w:r w:rsidRPr="002E513E">
        <w:rPr>
          <w:rFonts w:cs="Simplified Arabic" w:hint="cs"/>
          <w:rtl/>
        </w:rPr>
        <w:t>ا</w:t>
      </w:r>
      <w:r w:rsidRPr="002E513E">
        <w:rPr>
          <w:rFonts w:cs="Simplified Arabic"/>
          <w:rtl/>
        </w:rPr>
        <w:t xml:space="preserve"> </w:t>
      </w:r>
      <w:r w:rsidRPr="002E513E">
        <w:rPr>
          <w:rFonts w:cs="Simplified Arabic" w:hint="cs"/>
          <w:rtl/>
        </w:rPr>
        <w:t xml:space="preserve">المعقود </w:t>
      </w:r>
      <w:r w:rsidRPr="002E513E">
        <w:rPr>
          <w:rFonts w:cs="Simplified Arabic"/>
          <w:rtl/>
        </w:rPr>
        <w:t>في أكتوبر</w:t>
      </w:r>
      <w:r w:rsidRPr="002E513E">
        <w:rPr>
          <w:rFonts w:cs="Simplified Arabic" w:hint="cs"/>
          <w:rtl/>
        </w:rPr>
        <w:t>/تشرين الثاني</w:t>
      </w:r>
      <w:r w:rsidRPr="002E513E">
        <w:rPr>
          <w:rFonts w:cs="Simplified Arabic"/>
          <w:rtl/>
        </w:rPr>
        <w:t xml:space="preserve"> 2018 </w:t>
      </w:r>
      <w:r w:rsidRPr="002E513E">
        <w:rPr>
          <w:rFonts w:cs="Simplified Arabic" w:hint="cs"/>
          <w:rtl/>
        </w:rPr>
        <w:t>ترتيب</w:t>
      </w:r>
      <w:r w:rsidRPr="002E513E">
        <w:rPr>
          <w:rFonts w:cs="Simplified Arabic"/>
          <w:rtl/>
        </w:rPr>
        <w:t xml:space="preserve"> </w:t>
      </w:r>
      <w:r w:rsidRPr="002E513E">
        <w:rPr>
          <w:rFonts w:cs="Simplified Arabic" w:hint="cs"/>
          <w:rtl/>
        </w:rPr>
        <w:t>ا</w:t>
      </w:r>
      <w:r w:rsidRPr="002E513E">
        <w:rPr>
          <w:rFonts w:cs="Simplified Arabic"/>
          <w:rtl/>
        </w:rPr>
        <w:t>لطلبات</w:t>
      </w:r>
      <w:r w:rsidRPr="002E513E">
        <w:rPr>
          <w:rFonts w:cs="Simplified Arabic" w:hint="cs"/>
          <w:rtl/>
        </w:rPr>
        <w:t xml:space="preserve"> حسب </w:t>
      </w:r>
      <w:r w:rsidRPr="002E513E">
        <w:rPr>
          <w:rFonts w:cs="Simplified Arabic"/>
          <w:rtl/>
        </w:rPr>
        <w:t xml:space="preserve">الأولوية، مع </w:t>
      </w:r>
      <w:r w:rsidRPr="002E513E">
        <w:rPr>
          <w:rFonts w:cs="Simplified Arabic" w:hint="cs"/>
          <w:rtl/>
        </w:rPr>
        <w:t>الأخذ في الحسبان</w:t>
      </w:r>
      <w:r w:rsidRPr="002E513E">
        <w:rPr>
          <w:rFonts w:cs="Simplified Arabic"/>
          <w:rtl/>
        </w:rPr>
        <w:t xml:space="preserve"> الموضوعات التي أوصت بها الهيئة الفرعية للمشورة العلمية والتقنية والتكنولوجية</w:t>
      </w:r>
      <w:r w:rsidRPr="002E513E">
        <w:rPr>
          <w:rFonts w:cs="Simplified Arabic" w:hint="cs"/>
          <w:rtl/>
        </w:rPr>
        <w:t xml:space="preserve"> في اجتماعها الثاني والعشرين.</w:t>
      </w:r>
      <w:r w:rsidRPr="002E513E">
        <w:rPr>
          <w:rFonts w:cs="Simplified Arabic"/>
          <w:rtl/>
        </w:rPr>
        <w:t xml:space="preserve"> </w:t>
      </w:r>
      <w:r w:rsidRPr="002E513E">
        <w:rPr>
          <w:rFonts w:cs="Simplified Arabic" w:hint="cs"/>
          <w:rtl/>
        </w:rPr>
        <w:t>ويتطلع المنبر</w:t>
      </w:r>
      <w:r w:rsidRPr="002E513E">
        <w:rPr>
          <w:rFonts w:cs="Simplified Arabic"/>
          <w:rtl/>
        </w:rPr>
        <w:t xml:space="preserve"> إلى تلق</w:t>
      </w:r>
      <w:r w:rsidRPr="002E513E">
        <w:rPr>
          <w:rFonts w:cs="Simplified Arabic" w:hint="cs"/>
          <w:rtl/>
        </w:rPr>
        <w:t>ّ</w:t>
      </w:r>
      <w:r w:rsidRPr="002E513E">
        <w:rPr>
          <w:rFonts w:cs="Simplified Arabic"/>
          <w:rtl/>
        </w:rPr>
        <w:t xml:space="preserve">ي الطلبات النهائية من </w:t>
      </w:r>
      <w:r w:rsidRPr="002E513E">
        <w:rPr>
          <w:rFonts w:cs="Simplified Arabic" w:hint="cs"/>
          <w:rtl/>
        </w:rPr>
        <w:t>الاجتماع</w:t>
      </w:r>
      <w:r w:rsidRPr="002E513E">
        <w:rPr>
          <w:rFonts w:cs="Simplified Arabic"/>
          <w:rtl/>
        </w:rPr>
        <w:t xml:space="preserve"> الرابع عشر لمؤتمر الأطراف من أجل إعداد توصية</w:t>
      </w:r>
      <w:r w:rsidRPr="002E513E">
        <w:rPr>
          <w:rFonts w:cs="Simplified Arabic" w:hint="cs"/>
          <w:rtl/>
        </w:rPr>
        <w:t xml:space="preserve"> وتقديمها</w:t>
      </w:r>
      <w:r w:rsidRPr="002E513E">
        <w:rPr>
          <w:rFonts w:cs="Simplified Arabic"/>
          <w:rtl/>
        </w:rPr>
        <w:t xml:space="preserve"> إلى ال</w:t>
      </w:r>
      <w:r w:rsidR="008018A6">
        <w:rPr>
          <w:rFonts w:cs="Simplified Arabic" w:hint="cs"/>
          <w:rtl/>
        </w:rPr>
        <w:t>اجتماع</w:t>
      </w:r>
      <w:r w:rsidR="008018A6">
        <w:rPr>
          <w:rFonts w:cs="Simplified Arabic"/>
          <w:rtl/>
        </w:rPr>
        <w:t xml:space="preserve"> العام</w:t>
      </w:r>
      <w:r w:rsidRPr="002E513E">
        <w:rPr>
          <w:rFonts w:cs="Simplified Arabic"/>
          <w:rtl/>
        </w:rPr>
        <w:t xml:space="preserve"> لل</w:t>
      </w:r>
      <w:r w:rsidRPr="002E513E">
        <w:rPr>
          <w:rFonts w:cs="Simplified Arabic" w:hint="cs"/>
          <w:rtl/>
        </w:rPr>
        <w:t>منبر</w:t>
      </w:r>
      <w:r w:rsidRPr="002E513E">
        <w:rPr>
          <w:rFonts w:cs="Simplified Arabic"/>
          <w:rtl/>
        </w:rPr>
        <w:t xml:space="preserve"> بشأن مجموعة أولى من الموضوعات التي سيتم تناولها</w:t>
      </w:r>
      <w:r w:rsidRPr="002E513E">
        <w:rPr>
          <w:rFonts w:cs="Simplified Arabic" w:hint="cs"/>
          <w:rtl/>
        </w:rPr>
        <w:t xml:space="preserve">. </w:t>
      </w:r>
      <w:r w:rsidRPr="002E513E">
        <w:rPr>
          <w:rFonts w:cs="Simplified Arabic"/>
          <w:rtl/>
        </w:rPr>
        <w:t>و</w:t>
      </w:r>
      <w:r w:rsidR="008018A6">
        <w:rPr>
          <w:rFonts w:cs="Simplified Arabic" w:hint="cs"/>
          <w:rtl/>
        </w:rPr>
        <w:t>كان</w:t>
      </w:r>
      <w:r w:rsidRPr="002E513E">
        <w:rPr>
          <w:rFonts w:cs="Simplified Arabic"/>
          <w:rtl/>
        </w:rPr>
        <w:t xml:space="preserve"> ال</w:t>
      </w:r>
      <w:r w:rsidR="008018A6">
        <w:rPr>
          <w:rFonts w:cs="Simplified Arabic" w:hint="cs"/>
          <w:rtl/>
        </w:rPr>
        <w:t>اجتماع</w:t>
      </w:r>
      <w:r w:rsidR="008018A6">
        <w:rPr>
          <w:rFonts w:cs="Simplified Arabic"/>
          <w:rtl/>
        </w:rPr>
        <w:t xml:space="preserve"> العام</w:t>
      </w:r>
      <w:r w:rsidRPr="002E513E">
        <w:rPr>
          <w:rFonts w:cs="Simplified Arabic" w:hint="cs"/>
          <w:rtl/>
        </w:rPr>
        <w:t xml:space="preserve"> </w:t>
      </w:r>
      <w:r w:rsidR="008018A6">
        <w:rPr>
          <w:rFonts w:cs="Simplified Arabic" w:hint="cs"/>
          <w:rtl/>
        </w:rPr>
        <w:t xml:space="preserve">للمنبر </w:t>
      </w:r>
      <w:r w:rsidR="008018A6">
        <w:rPr>
          <w:rFonts w:cs="Simplified Arabic"/>
          <w:rtl/>
        </w:rPr>
        <w:t>قد أعرب عن عزمه</w:t>
      </w:r>
      <w:r w:rsidRPr="002E513E">
        <w:rPr>
          <w:rFonts w:cs="Simplified Arabic"/>
          <w:rtl/>
        </w:rPr>
        <w:t xml:space="preserve"> على إتاحة </w:t>
      </w:r>
      <w:r w:rsidRPr="002E513E">
        <w:rPr>
          <w:rFonts w:cs="Simplified Arabic" w:hint="cs"/>
          <w:rtl/>
        </w:rPr>
        <w:t>ال</w:t>
      </w:r>
      <w:r w:rsidRPr="002E513E">
        <w:rPr>
          <w:rFonts w:cs="Simplified Arabic"/>
          <w:rtl/>
        </w:rPr>
        <w:t xml:space="preserve">مزيد من المرونة في برنامج العمل الثاني، وبالتالي </w:t>
      </w:r>
      <w:r w:rsidR="008018A6">
        <w:rPr>
          <w:rFonts w:cs="Simplified Arabic" w:hint="cs"/>
          <w:rtl/>
        </w:rPr>
        <w:t>فإنه</w:t>
      </w:r>
      <w:r w:rsidRPr="002E513E">
        <w:rPr>
          <w:rFonts w:cs="Simplified Arabic" w:hint="cs"/>
          <w:rtl/>
        </w:rPr>
        <w:t xml:space="preserve"> ربما</w:t>
      </w:r>
      <w:r w:rsidRPr="002E513E">
        <w:rPr>
          <w:rFonts w:cs="Simplified Arabic"/>
          <w:rtl/>
        </w:rPr>
        <w:t xml:space="preserve"> </w:t>
      </w:r>
      <w:r w:rsidR="008018A6">
        <w:rPr>
          <w:rFonts w:cs="Simplified Arabic" w:hint="cs"/>
          <w:rtl/>
        </w:rPr>
        <w:t>ي</w:t>
      </w:r>
      <w:r w:rsidRPr="002E513E">
        <w:rPr>
          <w:rFonts w:cs="Simplified Arabic"/>
          <w:rtl/>
        </w:rPr>
        <w:t>قرر إصدار دعوة إضافية أو أكثر ل</w:t>
      </w:r>
      <w:r w:rsidRPr="002E513E">
        <w:rPr>
          <w:rFonts w:cs="Simplified Arabic" w:hint="cs"/>
          <w:rtl/>
        </w:rPr>
        <w:t>تقديم ا</w:t>
      </w:r>
      <w:r w:rsidRPr="002E513E">
        <w:rPr>
          <w:rFonts w:cs="Simplified Arabic"/>
          <w:rtl/>
        </w:rPr>
        <w:t>لطلبات قبل حلول</w:t>
      </w:r>
      <w:r w:rsidR="008018A6">
        <w:rPr>
          <w:rFonts w:cs="Simplified Arabic" w:hint="cs"/>
          <w:rtl/>
        </w:rPr>
        <w:t xml:space="preserve"> عام</w:t>
      </w:r>
      <w:r w:rsidRPr="002E513E">
        <w:rPr>
          <w:rFonts w:cs="Simplified Arabic"/>
          <w:rtl/>
        </w:rPr>
        <w:t xml:space="preserve"> 2030</w:t>
      </w:r>
      <w:r w:rsidRPr="002E513E">
        <w:rPr>
          <w:rFonts w:cs="Simplified Arabic" w:hint="cs"/>
          <w:rtl/>
        </w:rPr>
        <w:t>.</w:t>
      </w:r>
      <w:r w:rsidRPr="002E513E">
        <w:rPr>
          <w:rFonts w:cs="Simplified Arabic"/>
          <w:rtl/>
        </w:rPr>
        <w:t xml:space="preserve"> وسي</w:t>
      </w:r>
      <w:r w:rsidRPr="002E513E">
        <w:rPr>
          <w:rFonts w:cs="Simplified Arabic" w:hint="cs"/>
          <w:rtl/>
        </w:rPr>
        <w:t>كون</w:t>
      </w:r>
      <w:r w:rsidRPr="002E513E">
        <w:rPr>
          <w:rFonts w:cs="Simplified Arabic"/>
          <w:rtl/>
        </w:rPr>
        <w:t xml:space="preserve"> مشروع برنامج العمل الثاني</w:t>
      </w:r>
      <w:r w:rsidRPr="002E513E">
        <w:rPr>
          <w:rFonts w:cs="Simplified Arabic" w:hint="cs"/>
          <w:rtl/>
        </w:rPr>
        <w:t xml:space="preserve"> متاحا</w:t>
      </w:r>
      <w:r w:rsidRPr="002E513E">
        <w:rPr>
          <w:rFonts w:cs="Simplified Arabic"/>
          <w:rtl/>
        </w:rPr>
        <w:t xml:space="preserve"> </w:t>
      </w:r>
      <w:r w:rsidRPr="002E513E">
        <w:rPr>
          <w:rFonts w:cs="Simplified Arabic" w:hint="cs"/>
          <w:rtl/>
        </w:rPr>
        <w:t>ل</w:t>
      </w:r>
      <w:r w:rsidRPr="002E513E">
        <w:rPr>
          <w:rFonts w:cs="Simplified Arabic"/>
          <w:rtl/>
        </w:rPr>
        <w:t>ل</w:t>
      </w:r>
      <w:r w:rsidRPr="002E513E">
        <w:rPr>
          <w:rFonts w:cs="Simplified Arabic" w:hint="cs"/>
          <w:rtl/>
        </w:rPr>
        <w:t>استعراض</w:t>
      </w:r>
      <w:r w:rsidRPr="002E513E">
        <w:rPr>
          <w:rFonts w:cs="Simplified Arabic"/>
          <w:rtl/>
        </w:rPr>
        <w:t xml:space="preserve"> قبل نهاية العام، </w:t>
      </w:r>
      <w:r w:rsidRPr="002E513E">
        <w:rPr>
          <w:rFonts w:cs="Simplified Arabic" w:hint="cs"/>
          <w:rtl/>
        </w:rPr>
        <w:t xml:space="preserve">وذلك </w:t>
      </w:r>
      <w:r w:rsidRPr="002E513E">
        <w:rPr>
          <w:rFonts w:cs="Simplified Arabic"/>
          <w:rtl/>
        </w:rPr>
        <w:t>قبل تقديمه إلى ال</w:t>
      </w:r>
      <w:r w:rsidR="008018A6">
        <w:rPr>
          <w:rFonts w:cs="Simplified Arabic" w:hint="cs"/>
          <w:rtl/>
        </w:rPr>
        <w:t>اجتماع</w:t>
      </w:r>
      <w:r w:rsidR="008018A6">
        <w:rPr>
          <w:rFonts w:cs="Simplified Arabic"/>
          <w:rtl/>
        </w:rPr>
        <w:t xml:space="preserve"> العام</w:t>
      </w:r>
      <w:r w:rsidRPr="002E513E">
        <w:rPr>
          <w:rFonts w:cs="Simplified Arabic"/>
          <w:rtl/>
        </w:rPr>
        <w:t xml:space="preserve"> للمنبر</w:t>
      </w:r>
      <w:r w:rsidRPr="002E513E">
        <w:rPr>
          <w:rFonts w:cs="Simplified Arabic" w:hint="cs"/>
          <w:rtl/>
        </w:rPr>
        <w:t>. و</w:t>
      </w:r>
      <w:r w:rsidRPr="002E513E">
        <w:rPr>
          <w:rFonts w:cs="Simplified Arabic"/>
          <w:rtl/>
        </w:rPr>
        <w:t xml:space="preserve">قد يكون برنامج </w:t>
      </w:r>
      <w:r w:rsidRPr="002E513E">
        <w:rPr>
          <w:rFonts w:cs="Simplified Arabic" w:hint="cs"/>
          <w:rtl/>
        </w:rPr>
        <w:t>ال</w:t>
      </w:r>
      <w:r w:rsidRPr="002E513E">
        <w:rPr>
          <w:rFonts w:cs="Simplified Arabic"/>
          <w:rtl/>
        </w:rPr>
        <w:t>عمل المقبل حاسما في دعم تنفيذ إطار التنوع البيولوجي لما بعد 2020</w:t>
      </w:r>
      <w:r w:rsidR="00B37593">
        <w:rPr>
          <w:rFonts w:cs="Simplified Arabic" w:hint="cs"/>
          <w:rtl/>
        </w:rPr>
        <w:t>،</w:t>
      </w:r>
      <w:r w:rsidRPr="002E513E">
        <w:rPr>
          <w:rFonts w:cs="Simplified Arabic"/>
          <w:rtl/>
        </w:rPr>
        <w:t xml:space="preserve"> و</w:t>
      </w:r>
      <w:r w:rsidR="00B37593">
        <w:rPr>
          <w:rFonts w:cs="Simplified Arabic" w:hint="cs"/>
          <w:rtl/>
        </w:rPr>
        <w:t xml:space="preserve">هي </w:t>
      </w:r>
      <w:r w:rsidRPr="002E513E">
        <w:rPr>
          <w:rFonts w:cs="Simplified Arabic"/>
          <w:rtl/>
        </w:rPr>
        <w:t>ت</w:t>
      </w:r>
      <w:r w:rsidR="00B37593">
        <w:rPr>
          <w:rFonts w:cs="Simplified Arabic" w:hint="cs"/>
          <w:rtl/>
        </w:rPr>
        <w:t>ت</w:t>
      </w:r>
      <w:r w:rsidRPr="002E513E">
        <w:rPr>
          <w:rFonts w:cs="Simplified Arabic"/>
          <w:rtl/>
        </w:rPr>
        <w:t>طلع</w:t>
      </w:r>
      <w:r w:rsidRPr="002E513E">
        <w:rPr>
          <w:rFonts w:cs="Simplified Arabic" w:hint="cs"/>
          <w:rtl/>
        </w:rPr>
        <w:t xml:space="preserve"> </w:t>
      </w:r>
      <w:r w:rsidRPr="002E513E">
        <w:rPr>
          <w:rFonts w:cs="Simplified Arabic"/>
          <w:rtl/>
        </w:rPr>
        <w:t xml:space="preserve">إلى مواصلة التعاون المثمر مع اتفاقية التنوع البيولوجي </w:t>
      </w:r>
      <w:r w:rsidRPr="002E513E">
        <w:rPr>
          <w:rFonts w:cs="Simplified Arabic" w:hint="cs"/>
          <w:rtl/>
        </w:rPr>
        <w:t>من أجل تحقيق</w:t>
      </w:r>
      <w:r w:rsidRPr="002E513E">
        <w:rPr>
          <w:rFonts w:cs="Simplified Arabic"/>
          <w:rtl/>
        </w:rPr>
        <w:t xml:space="preserve"> رؤية عام 2050.</w:t>
      </w:r>
    </w:p>
    <w:p w:rsidR="00E305CC" w:rsidRPr="002E513E" w:rsidRDefault="00E305CC" w:rsidP="008018A6">
      <w:pPr>
        <w:pStyle w:val="ListParagraph1"/>
        <w:numPr>
          <w:ilvl w:val="0"/>
          <w:numId w:val="6"/>
        </w:numPr>
        <w:bidi/>
        <w:spacing w:before="0" w:line="216" w:lineRule="auto"/>
        <w:ind w:left="0" w:firstLine="0"/>
        <w:rPr>
          <w:rFonts w:cs="Simplified Arabic"/>
          <w:szCs w:val="24"/>
          <w:rtl/>
        </w:rPr>
      </w:pPr>
      <w:r w:rsidRPr="002E513E">
        <w:rPr>
          <w:rFonts w:cs="Simplified Arabic"/>
          <w:szCs w:val="24"/>
          <w:rtl/>
        </w:rPr>
        <w:t xml:space="preserve">وطلب ممثل كوستاريكا أن </w:t>
      </w:r>
      <w:r w:rsidR="008018A6">
        <w:rPr>
          <w:rFonts w:cs="Simplified Arabic" w:hint="cs"/>
          <w:szCs w:val="24"/>
          <w:rtl/>
        </w:rPr>
        <w:t>تتاح</w:t>
      </w:r>
      <w:r w:rsidRPr="002E513E">
        <w:rPr>
          <w:rFonts w:cs="Simplified Arabic"/>
          <w:szCs w:val="24"/>
          <w:rtl/>
        </w:rPr>
        <w:t xml:space="preserve"> تقييمات و</w:t>
      </w:r>
      <w:r w:rsidRPr="002E513E">
        <w:rPr>
          <w:rFonts w:cs="Simplified Arabic" w:hint="cs"/>
          <w:szCs w:val="24"/>
          <w:rtl/>
        </w:rPr>
        <w:t>ملخصات</w:t>
      </w:r>
      <w:r w:rsidRPr="002E513E">
        <w:rPr>
          <w:rFonts w:cs="Simplified Arabic"/>
          <w:szCs w:val="24"/>
          <w:rtl/>
        </w:rPr>
        <w:t xml:space="preserve"> </w:t>
      </w:r>
      <w:r w:rsidRPr="002E513E">
        <w:rPr>
          <w:rFonts w:cs="Simplified Arabic" w:hint="cs"/>
          <w:szCs w:val="24"/>
          <w:rtl/>
        </w:rPr>
        <w:t xml:space="preserve">المنبر </w:t>
      </w:r>
      <w:r w:rsidR="008018A6">
        <w:rPr>
          <w:rFonts w:cs="Simplified Arabic" w:hint="cs"/>
          <w:szCs w:val="24"/>
          <w:rtl/>
        </w:rPr>
        <w:t>بال</w:t>
      </w:r>
      <w:r w:rsidRPr="002E513E">
        <w:rPr>
          <w:rFonts w:cs="Simplified Arabic"/>
          <w:szCs w:val="24"/>
          <w:rtl/>
        </w:rPr>
        <w:t xml:space="preserve">لغات </w:t>
      </w:r>
      <w:r w:rsidR="008018A6">
        <w:rPr>
          <w:rFonts w:cs="Simplified Arabic" w:hint="cs"/>
          <w:szCs w:val="24"/>
          <w:rtl/>
        </w:rPr>
        <w:t>الست ل</w:t>
      </w:r>
      <w:r w:rsidR="008018A6">
        <w:rPr>
          <w:rFonts w:cs="Simplified Arabic"/>
          <w:szCs w:val="24"/>
          <w:rtl/>
        </w:rPr>
        <w:t>لأمم المتحدة</w:t>
      </w:r>
      <w:r w:rsidRPr="002E513E">
        <w:rPr>
          <w:rFonts w:cs="Simplified Arabic"/>
          <w:szCs w:val="24"/>
          <w:rtl/>
        </w:rPr>
        <w:t>، لأن</w:t>
      </w:r>
      <w:r w:rsidRPr="002E513E">
        <w:rPr>
          <w:rFonts w:cs="Simplified Arabic" w:hint="cs"/>
          <w:szCs w:val="24"/>
          <w:rtl/>
        </w:rPr>
        <w:t>ّ</w:t>
      </w:r>
      <w:r w:rsidRPr="002E513E">
        <w:rPr>
          <w:rFonts w:cs="Simplified Arabic"/>
          <w:szCs w:val="24"/>
          <w:rtl/>
        </w:rPr>
        <w:t xml:space="preserve"> نشرها </w:t>
      </w:r>
      <w:r w:rsidRPr="002E513E">
        <w:rPr>
          <w:rFonts w:cs="Simplified Arabic" w:hint="cs"/>
          <w:szCs w:val="24"/>
          <w:rtl/>
        </w:rPr>
        <w:t>يمثل</w:t>
      </w:r>
      <w:r w:rsidRPr="002E513E">
        <w:rPr>
          <w:rFonts w:cs="Simplified Arabic"/>
          <w:szCs w:val="24"/>
          <w:rtl/>
        </w:rPr>
        <w:t xml:space="preserve"> هدفا هاما للمنبر</w:t>
      </w:r>
      <w:r w:rsidRPr="002E513E">
        <w:rPr>
          <w:rFonts w:cs="Simplified Arabic" w:hint="cs"/>
          <w:szCs w:val="24"/>
          <w:rtl/>
        </w:rPr>
        <w:t>.</w:t>
      </w:r>
    </w:p>
    <w:p w:rsidR="00E305CC" w:rsidRPr="002E513E" w:rsidRDefault="00303176" w:rsidP="00B37593">
      <w:pPr>
        <w:pStyle w:val="ListParagraph1"/>
        <w:numPr>
          <w:ilvl w:val="0"/>
          <w:numId w:val="6"/>
        </w:numPr>
        <w:bidi/>
        <w:spacing w:before="0" w:line="216" w:lineRule="auto"/>
        <w:ind w:left="0" w:firstLine="0"/>
        <w:rPr>
          <w:rFonts w:cs="Simplified Arabic"/>
          <w:szCs w:val="24"/>
          <w:rtl/>
          <w:lang w:bidi="ar-EG"/>
        </w:rPr>
      </w:pPr>
      <w:r>
        <w:rPr>
          <w:rFonts w:cs="Simplified Arabic" w:hint="cs"/>
          <w:szCs w:val="24"/>
          <w:rtl/>
        </w:rPr>
        <w:t>وأدلى ببيانات ممثلو</w:t>
      </w:r>
      <w:r w:rsidR="00E305CC" w:rsidRPr="002E513E">
        <w:rPr>
          <w:rFonts w:cs="Simplified Arabic"/>
          <w:szCs w:val="24"/>
          <w:rtl/>
        </w:rPr>
        <w:t xml:space="preserve"> الأرجنتين</w:t>
      </w:r>
      <w:r w:rsidR="00E305CC" w:rsidRPr="002E513E">
        <w:rPr>
          <w:rFonts w:cs="Simplified Arabic" w:hint="cs"/>
          <w:szCs w:val="24"/>
          <w:rtl/>
        </w:rPr>
        <w:t>،</w:t>
      </w:r>
      <w:r w:rsidR="00E305CC" w:rsidRPr="002E513E">
        <w:rPr>
          <w:rFonts w:cs="Simplified Arabic"/>
          <w:szCs w:val="24"/>
          <w:rtl/>
        </w:rPr>
        <w:t xml:space="preserve"> والبوسنة والهرسك (متحدثا </w:t>
      </w:r>
      <w:r w:rsidR="008018A6">
        <w:rPr>
          <w:rFonts w:cs="Simplified Arabic" w:hint="cs"/>
          <w:szCs w:val="24"/>
          <w:rtl/>
        </w:rPr>
        <w:t>بالنيابة عن</w:t>
      </w:r>
      <w:r w:rsidR="00E305CC" w:rsidRPr="002E513E">
        <w:rPr>
          <w:rFonts w:cs="Simplified Arabic"/>
          <w:szCs w:val="24"/>
          <w:rtl/>
        </w:rPr>
        <w:t xml:space="preserve"> منطقة </w:t>
      </w:r>
      <w:r w:rsidR="00B37593">
        <w:rPr>
          <w:rFonts w:cs="Simplified Arabic" w:hint="cs"/>
          <w:szCs w:val="24"/>
          <w:rtl/>
        </w:rPr>
        <w:t>أوروبا ال</w:t>
      </w:r>
      <w:r w:rsidR="00E305CC" w:rsidRPr="002E513E">
        <w:rPr>
          <w:rFonts w:cs="Simplified Arabic"/>
          <w:szCs w:val="24"/>
          <w:rtl/>
        </w:rPr>
        <w:t>وسط</w:t>
      </w:r>
      <w:r w:rsidR="00B37593">
        <w:rPr>
          <w:rFonts w:cs="Simplified Arabic" w:hint="cs"/>
          <w:szCs w:val="24"/>
          <w:rtl/>
        </w:rPr>
        <w:t>ى</w:t>
      </w:r>
      <w:r w:rsidR="00E305CC" w:rsidRPr="002E513E">
        <w:rPr>
          <w:rFonts w:cs="Simplified Arabic"/>
          <w:szCs w:val="24"/>
          <w:rtl/>
        </w:rPr>
        <w:t xml:space="preserve"> و</w:t>
      </w:r>
      <w:r w:rsidR="00B37593">
        <w:rPr>
          <w:rFonts w:cs="Simplified Arabic" w:hint="cs"/>
          <w:szCs w:val="24"/>
          <w:rtl/>
        </w:rPr>
        <w:t>ال</w:t>
      </w:r>
      <w:r w:rsidR="00E305CC" w:rsidRPr="002E513E">
        <w:rPr>
          <w:rFonts w:cs="Simplified Arabic"/>
          <w:szCs w:val="24"/>
          <w:rtl/>
        </w:rPr>
        <w:t>شرق</w:t>
      </w:r>
      <w:r w:rsidR="00B37593">
        <w:rPr>
          <w:rFonts w:cs="Simplified Arabic" w:hint="cs"/>
          <w:szCs w:val="24"/>
          <w:rtl/>
        </w:rPr>
        <w:t>ية</w:t>
      </w:r>
      <w:r w:rsidR="00E305CC" w:rsidRPr="002E513E">
        <w:rPr>
          <w:rFonts w:cs="Simplified Arabic"/>
          <w:szCs w:val="24"/>
          <w:rtl/>
        </w:rPr>
        <w:t>)</w:t>
      </w:r>
      <w:r w:rsidR="00E305CC" w:rsidRPr="002E513E">
        <w:rPr>
          <w:rFonts w:cs="Simplified Arabic" w:hint="cs"/>
          <w:szCs w:val="24"/>
          <w:rtl/>
        </w:rPr>
        <w:t>، والبرازيل،</w:t>
      </w:r>
      <w:r w:rsidR="00E305CC" w:rsidRPr="002E513E">
        <w:rPr>
          <w:rFonts w:cs="Simplified Arabic"/>
          <w:szCs w:val="24"/>
          <w:rtl/>
        </w:rPr>
        <w:t xml:space="preserve"> وكمبوديا</w:t>
      </w:r>
      <w:r w:rsidR="00E305CC" w:rsidRPr="002E513E">
        <w:rPr>
          <w:rFonts w:cs="Simplified Arabic" w:hint="cs"/>
          <w:szCs w:val="24"/>
          <w:rtl/>
        </w:rPr>
        <w:t>،</w:t>
      </w:r>
      <w:r w:rsidR="00E305CC" w:rsidRPr="002E513E">
        <w:rPr>
          <w:rFonts w:cs="Simplified Arabic"/>
          <w:szCs w:val="24"/>
          <w:rtl/>
        </w:rPr>
        <w:t xml:space="preserve"> وكندا</w:t>
      </w:r>
      <w:r w:rsidR="00E305CC" w:rsidRPr="002E513E">
        <w:rPr>
          <w:rFonts w:cs="Simplified Arabic" w:hint="cs"/>
          <w:szCs w:val="24"/>
          <w:rtl/>
        </w:rPr>
        <w:t>،</w:t>
      </w:r>
      <w:r w:rsidR="00E305CC" w:rsidRPr="002E513E">
        <w:rPr>
          <w:rFonts w:cs="Simplified Arabic"/>
          <w:szCs w:val="24"/>
          <w:rtl/>
        </w:rPr>
        <w:t xml:space="preserve"> وكولومبيا</w:t>
      </w:r>
      <w:r w:rsidR="00E305CC" w:rsidRPr="002E513E">
        <w:rPr>
          <w:rFonts w:cs="Simplified Arabic" w:hint="cs"/>
          <w:szCs w:val="24"/>
          <w:rtl/>
        </w:rPr>
        <w:t>، وكوستاريكا،</w:t>
      </w:r>
      <w:r w:rsidR="00E305CC" w:rsidRPr="002E513E">
        <w:rPr>
          <w:rFonts w:cs="Simplified Arabic"/>
          <w:szCs w:val="24"/>
          <w:rtl/>
        </w:rPr>
        <w:t xml:space="preserve"> ومصر</w:t>
      </w:r>
      <w:r w:rsidR="00E305CC" w:rsidRPr="002E513E">
        <w:rPr>
          <w:rFonts w:cs="Simplified Arabic" w:hint="cs"/>
          <w:szCs w:val="24"/>
          <w:rtl/>
        </w:rPr>
        <w:t>،</w:t>
      </w:r>
      <w:r w:rsidR="00E305CC" w:rsidRPr="002E513E">
        <w:rPr>
          <w:rFonts w:cs="Simplified Arabic"/>
          <w:szCs w:val="24"/>
          <w:rtl/>
        </w:rPr>
        <w:t xml:space="preserve"> والاتحاد الأوروبي </w:t>
      </w:r>
      <w:r>
        <w:rPr>
          <w:rFonts w:cs="Simplified Arabic" w:hint="cs"/>
          <w:szCs w:val="24"/>
          <w:rtl/>
        </w:rPr>
        <w:t>ودوله الأعضاء الثماني والعشرين</w:t>
      </w:r>
      <w:r w:rsidR="008018A6">
        <w:rPr>
          <w:rFonts w:cs="Simplified Arabic" w:hint="cs"/>
          <w:szCs w:val="24"/>
          <w:rtl/>
        </w:rPr>
        <w:t>،</w:t>
      </w:r>
      <w:r w:rsidR="00E305CC" w:rsidRPr="002E513E">
        <w:rPr>
          <w:rFonts w:cs="Simplified Arabic"/>
          <w:szCs w:val="24"/>
          <w:rtl/>
        </w:rPr>
        <w:t xml:space="preserve"> وغابون</w:t>
      </w:r>
      <w:r w:rsidR="00E305CC" w:rsidRPr="002E513E">
        <w:rPr>
          <w:rFonts w:cs="Simplified Arabic" w:hint="cs"/>
          <w:szCs w:val="24"/>
          <w:rtl/>
        </w:rPr>
        <w:t>،</w:t>
      </w:r>
      <w:r w:rsidR="00E305CC" w:rsidRPr="002E513E">
        <w:rPr>
          <w:rFonts w:cs="Simplified Arabic"/>
          <w:szCs w:val="24"/>
          <w:rtl/>
        </w:rPr>
        <w:t xml:space="preserve"> وغانا</w:t>
      </w:r>
      <w:r w:rsidR="00E305CC" w:rsidRPr="002E513E">
        <w:rPr>
          <w:rFonts w:cs="Simplified Arabic" w:hint="cs"/>
          <w:szCs w:val="24"/>
          <w:rtl/>
        </w:rPr>
        <w:t>،</w:t>
      </w:r>
      <w:r w:rsidR="00E305CC" w:rsidRPr="002E513E">
        <w:rPr>
          <w:rFonts w:cs="Simplified Arabic"/>
          <w:szCs w:val="24"/>
          <w:rtl/>
        </w:rPr>
        <w:t xml:space="preserve"> والهند</w:t>
      </w:r>
      <w:r w:rsidR="00E305CC" w:rsidRPr="002E513E">
        <w:rPr>
          <w:rFonts w:cs="Simplified Arabic" w:hint="cs"/>
          <w:szCs w:val="24"/>
          <w:rtl/>
        </w:rPr>
        <w:t>،</w:t>
      </w:r>
      <w:r w:rsidR="00E305CC" w:rsidRPr="002E513E">
        <w:rPr>
          <w:rFonts w:cs="Simplified Arabic"/>
          <w:szCs w:val="24"/>
          <w:rtl/>
        </w:rPr>
        <w:t xml:space="preserve"> والمكسيك، </w:t>
      </w:r>
      <w:r w:rsidR="00E305CC" w:rsidRPr="002E513E">
        <w:rPr>
          <w:rFonts w:cs="Simplified Arabic" w:hint="cs"/>
          <w:szCs w:val="24"/>
          <w:rtl/>
        </w:rPr>
        <w:t>والمغرب،</w:t>
      </w:r>
      <w:r w:rsidR="00E305CC" w:rsidRPr="002E513E">
        <w:rPr>
          <w:rFonts w:cs="Simplified Arabic"/>
          <w:szCs w:val="24"/>
          <w:rtl/>
        </w:rPr>
        <w:t xml:space="preserve"> </w:t>
      </w:r>
      <w:r w:rsidR="008018A6">
        <w:rPr>
          <w:rFonts w:cs="Simplified Arabic" w:hint="cs"/>
          <w:szCs w:val="24"/>
          <w:rtl/>
        </w:rPr>
        <w:t xml:space="preserve">ونيوزيلندا، </w:t>
      </w:r>
      <w:r w:rsidR="00E305CC" w:rsidRPr="002E513E">
        <w:rPr>
          <w:rFonts w:cs="Simplified Arabic" w:hint="cs"/>
          <w:szCs w:val="24"/>
          <w:rtl/>
        </w:rPr>
        <w:t>و</w:t>
      </w:r>
      <w:r w:rsidR="00E305CC" w:rsidRPr="002E513E">
        <w:rPr>
          <w:rFonts w:cs="Simplified Arabic"/>
          <w:szCs w:val="24"/>
          <w:rtl/>
        </w:rPr>
        <w:t xml:space="preserve">النرويج، </w:t>
      </w:r>
      <w:r w:rsidR="00E305CC" w:rsidRPr="002E513E">
        <w:rPr>
          <w:rFonts w:cs="Simplified Arabic" w:hint="cs"/>
          <w:szCs w:val="24"/>
          <w:rtl/>
        </w:rPr>
        <w:t>و</w:t>
      </w:r>
      <w:r w:rsidR="00E305CC" w:rsidRPr="002E513E">
        <w:rPr>
          <w:rFonts w:cs="Simplified Arabic"/>
          <w:szCs w:val="24"/>
          <w:rtl/>
        </w:rPr>
        <w:t>جنوب أفريقيا (</w:t>
      </w:r>
      <w:r>
        <w:rPr>
          <w:rFonts w:cs="Simplified Arabic" w:hint="cs"/>
          <w:szCs w:val="24"/>
          <w:rtl/>
        </w:rPr>
        <w:t>بالنيابة عن</w:t>
      </w:r>
      <w:r w:rsidR="00E305CC" w:rsidRPr="002E513E">
        <w:rPr>
          <w:rFonts w:cs="Simplified Arabic"/>
          <w:szCs w:val="24"/>
          <w:rtl/>
        </w:rPr>
        <w:t xml:space="preserve"> </w:t>
      </w:r>
      <w:r>
        <w:rPr>
          <w:rFonts w:cs="Simplified Arabic" w:hint="cs"/>
          <w:szCs w:val="24"/>
          <w:rtl/>
        </w:rPr>
        <w:t>ال</w:t>
      </w:r>
      <w:r w:rsidR="00E305CC" w:rsidRPr="002E513E">
        <w:rPr>
          <w:rFonts w:cs="Simplified Arabic"/>
          <w:szCs w:val="24"/>
          <w:rtl/>
        </w:rPr>
        <w:t xml:space="preserve">مجموعة الأفريقية)، </w:t>
      </w:r>
      <w:r w:rsidR="00E305CC" w:rsidRPr="002E513E">
        <w:rPr>
          <w:rFonts w:cs="Simplified Arabic" w:hint="cs"/>
          <w:szCs w:val="24"/>
          <w:rtl/>
        </w:rPr>
        <w:t>و</w:t>
      </w:r>
      <w:r w:rsidR="00E305CC" w:rsidRPr="002E513E">
        <w:rPr>
          <w:rFonts w:cs="Simplified Arabic"/>
          <w:szCs w:val="24"/>
          <w:rtl/>
        </w:rPr>
        <w:t xml:space="preserve">السودان، </w:t>
      </w:r>
      <w:r w:rsidR="00E305CC" w:rsidRPr="002E513E">
        <w:rPr>
          <w:rFonts w:cs="Simplified Arabic" w:hint="cs"/>
          <w:szCs w:val="24"/>
          <w:rtl/>
        </w:rPr>
        <w:t>و</w:t>
      </w:r>
      <w:r w:rsidR="00E305CC" w:rsidRPr="002E513E">
        <w:rPr>
          <w:rFonts w:cs="Simplified Arabic"/>
          <w:szCs w:val="24"/>
          <w:rtl/>
        </w:rPr>
        <w:t xml:space="preserve">سويسرا، </w:t>
      </w:r>
      <w:r w:rsidR="00E305CC" w:rsidRPr="002E513E">
        <w:rPr>
          <w:rFonts w:cs="Simplified Arabic" w:hint="cs"/>
          <w:szCs w:val="24"/>
          <w:rtl/>
        </w:rPr>
        <w:t>و</w:t>
      </w:r>
      <w:r w:rsidR="00E305CC" w:rsidRPr="002E513E">
        <w:rPr>
          <w:rFonts w:cs="Simplified Arabic"/>
          <w:szCs w:val="24"/>
          <w:rtl/>
        </w:rPr>
        <w:t>جمهورية تنزانيا المتحدة</w:t>
      </w:r>
      <w:r w:rsidR="00E305CC" w:rsidRPr="002E513E">
        <w:rPr>
          <w:rFonts w:cs="Simplified Arabic" w:hint="cs"/>
          <w:szCs w:val="24"/>
          <w:rtl/>
        </w:rPr>
        <w:t>،</w:t>
      </w:r>
      <w:r w:rsidR="00E305CC" w:rsidRPr="002E513E">
        <w:rPr>
          <w:rFonts w:cs="Simplified Arabic"/>
          <w:szCs w:val="24"/>
          <w:rtl/>
        </w:rPr>
        <w:t xml:space="preserve"> وفنزويلا (جمهورية - البوليفارية)</w:t>
      </w:r>
      <w:r w:rsidR="00E305CC" w:rsidRPr="002E513E">
        <w:rPr>
          <w:rFonts w:cs="Simplified Arabic" w:hint="cs"/>
          <w:szCs w:val="24"/>
          <w:rtl/>
        </w:rPr>
        <w:t>.</w:t>
      </w:r>
    </w:p>
    <w:p w:rsidR="00E305CC" w:rsidRPr="002E513E" w:rsidRDefault="00E305CC" w:rsidP="00FF7FA5">
      <w:pPr>
        <w:pStyle w:val="ListParagraph1"/>
        <w:numPr>
          <w:ilvl w:val="0"/>
          <w:numId w:val="6"/>
        </w:numPr>
        <w:bidi/>
        <w:spacing w:before="0" w:line="216" w:lineRule="auto"/>
        <w:ind w:left="0" w:firstLine="0"/>
        <w:rPr>
          <w:rFonts w:cs="Simplified Arabic"/>
          <w:szCs w:val="24"/>
          <w:rtl/>
        </w:rPr>
      </w:pPr>
      <w:r w:rsidRPr="002E513E">
        <w:rPr>
          <w:rFonts w:cs="Simplified Arabic"/>
          <w:szCs w:val="24"/>
          <w:rtl/>
        </w:rPr>
        <w:t>و</w:t>
      </w:r>
      <w:r w:rsidR="00303176">
        <w:rPr>
          <w:rFonts w:cs="Simplified Arabic" w:hint="cs"/>
          <w:szCs w:val="24"/>
          <w:rtl/>
        </w:rPr>
        <w:t>أدلى ببيان</w:t>
      </w:r>
      <w:r w:rsidRPr="002E513E">
        <w:rPr>
          <w:rFonts w:cs="Simplified Arabic"/>
          <w:szCs w:val="24"/>
          <w:rtl/>
        </w:rPr>
        <w:t xml:space="preserve"> ممثل هيئة الأمم المتحدة للمرأة</w:t>
      </w:r>
      <w:r w:rsidRPr="002E513E">
        <w:rPr>
          <w:rFonts w:cs="Simplified Arabic" w:hint="cs"/>
          <w:szCs w:val="24"/>
          <w:rtl/>
        </w:rPr>
        <w:t xml:space="preserve"> (</w:t>
      </w:r>
      <w:r w:rsidRPr="002E513E">
        <w:rPr>
          <w:rFonts w:cs="Simplified Arabic"/>
          <w:szCs w:val="24"/>
          <w:rtl/>
        </w:rPr>
        <w:t>أيده ممثلا كندا وأوروغواي</w:t>
      </w:r>
      <w:r w:rsidRPr="002E513E">
        <w:rPr>
          <w:rFonts w:cs="Simplified Arabic" w:hint="cs"/>
          <w:szCs w:val="24"/>
          <w:rtl/>
        </w:rPr>
        <w:t>).</w:t>
      </w:r>
    </w:p>
    <w:p w:rsidR="00E305CC" w:rsidRPr="002E513E" w:rsidRDefault="00E305CC" w:rsidP="008018A6">
      <w:pPr>
        <w:pStyle w:val="ListParagraph1"/>
        <w:numPr>
          <w:ilvl w:val="0"/>
          <w:numId w:val="6"/>
        </w:numPr>
        <w:bidi/>
        <w:spacing w:before="0" w:line="216" w:lineRule="auto"/>
        <w:ind w:left="0" w:firstLine="0"/>
        <w:rPr>
          <w:rFonts w:cs="Simplified Arabic"/>
          <w:szCs w:val="24"/>
          <w:rtl/>
        </w:rPr>
      </w:pPr>
      <w:r w:rsidRPr="002E513E">
        <w:rPr>
          <w:rFonts w:cs="Simplified Arabic"/>
          <w:szCs w:val="24"/>
          <w:rtl/>
        </w:rPr>
        <w:t>و</w:t>
      </w:r>
      <w:r w:rsidRPr="002E513E">
        <w:rPr>
          <w:rFonts w:cs="Simplified Arabic" w:hint="cs"/>
          <w:szCs w:val="24"/>
          <w:rtl/>
        </w:rPr>
        <w:t>أ</w:t>
      </w:r>
      <w:r w:rsidR="00303176">
        <w:rPr>
          <w:rFonts w:cs="Simplified Arabic" w:hint="cs"/>
          <w:szCs w:val="24"/>
          <w:rtl/>
        </w:rPr>
        <w:t>دلى ببيان آخر</w:t>
      </w:r>
      <w:r w:rsidRPr="002E513E">
        <w:rPr>
          <w:rFonts w:cs="Simplified Arabic"/>
          <w:szCs w:val="24"/>
          <w:rtl/>
        </w:rPr>
        <w:t xml:space="preserve"> ممثل الصندوق العالمي </w:t>
      </w:r>
      <w:r w:rsidRPr="002E513E">
        <w:rPr>
          <w:rFonts w:cs="Simplified Arabic" w:hint="cs"/>
          <w:szCs w:val="24"/>
          <w:rtl/>
        </w:rPr>
        <w:t>ل</w:t>
      </w:r>
      <w:r w:rsidRPr="002E513E">
        <w:rPr>
          <w:rFonts w:cs="Simplified Arabic"/>
          <w:szCs w:val="24"/>
          <w:rtl/>
        </w:rPr>
        <w:t xml:space="preserve">لطبيعة </w:t>
      </w:r>
      <w:r w:rsidR="008018A6">
        <w:rPr>
          <w:rFonts w:cs="Simplified Arabic" w:hint="cs"/>
          <w:szCs w:val="24"/>
          <w:rtl/>
        </w:rPr>
        <w:t>(</w:t>
      </w:r>
      <w:r w:rsidRPr="002E513E">
        <w:rPr>
          <w:rFonts w:cs="Simplified Arabic"/>
          <w:szCs w:val="24"/>
          <w:rtl/>
        </w:rPr>
        <w:t>أيده ممثل</w:t>
      </w:r>
      <w:r w:rsidRPr="002E513E">
        <w:rPr>
          <w:rFonts w:cs="Simplified Arabic" w:hint="cs"/>
          <w:szCs w:val="24"/>
          <w:rtl/>
        </w:rPr>
        <w:t>ا</w:t>
      </w:r>
      <w:r w:rsidRPr="002E513E">
        <w:rPr>
          <w:rFonts w:cs="Simplified Arabic"/>
          <w:szCs w:val="24"/>
          <w:rtl/>
        </w:rPr>
        <w:t xml:space="preserve"> غابون وغانا</w:t>
      </w:r>
      <w:r w:rsidR="008018A6">
        <w:rPr>
          <w:rFonts w:cs="Simplified Arabic" w:hint="cs"/>
          <w:szCs w:val="24"/>
          <w:rtl/>
        </w:rPr>
        <w:t>)</w:t>
      </w:r>
      <w:r w:rsidRPr="002E513E">
        <w:rPr>
          <w:rFonts w:cs="Simplified Arabic" w:hint="cs"/>
          <w:szCs w:val="24"/>
          <w:rtl/>
        </w:rPr>
        <w:t>.</w:t>
      </w:r>
    </w:p>
    <w:p w:rsidR="00E305CC" w:rsidRPr="002E513E" w:rsidRDefault="00E305CC" w:rsidP="00FF7FA5">
      <w:pPr>
        <w:pStyle w:val="ListParagraph1"/>
        <w:numPr>
          <w:ilvl w:val="0"/>
          <w:numId w:val="6"/>
        </w:numPr>
        <w:bidi/>
        <w:spacing w:before="0" w:line="216" w:lineRule="auto"/>
        <w:ind w:left="0" w:firstLine="0"/>
        <w:rPr>
          <w:rFonts w:cs="Simplified Arabic"/>
          <w:szCs w:val="24"/>
          <w:rtl/>
        </w:rPr>
      </w:pPr>
      <w:r w:rsidRPr="002E513E">
        <w:rPr>
          <w:rFonts w:cs="Simplified Arabic" w:hint="cs"/>
          <w:szCs w:val="24"/>
          <w:rtl/>
        </w:rPr>
        <w:t>و</w:t>
      </w:r>
      <w:r w:rsidRPr="002E513E">
        <w:rPr>
          <w:rFonts w:cs="Simplified Arabic"/>
          <w:szCs w:val="24"/>
          <w:rtl/>
        </w:rPr>
        <w:t>قالت الرئيسة إنها ست</w:t>
      </w:r>
      <w:r w:rsidRPr="002E513E">
        <w:rPr>
          <w:rFonts w:cs="Simplified Arabic" w:hint="cs"/>
          <w:szCs w:val="24"/>
          <w:rtl/>
        </w:rPr>
        <w:t>عد</w:t>
      </w:r>
      <w:r w:rsidRPr="002E513E">
        <w:rPr>
          <w:rFonts w:cs="Simplified Arabic"/>
          <w:szCs w:val="24"/>
          <w:rtl/>
        </w:rPr>
        <w:t xml:space="preserve"> مشروع مقرر</w:t>
      </w:r>
      <w:r w:rsidRPr="002E513E">
        <w:rPr>
          <w:rFonts w:cs="Simplified Arabic" w:hint="cs"/>
          <w:szCs w:val="24"/>
          <w:rtl/>
        </w:rPr>
        <w:t xml:space="preserve"> منقَّح</w:t>
      </w:r>
      <w:r w:rsidRPr="002E513E">
        <w:rPr>
          <w:rFonts w:cs="Simplified Arabic"/>
          <w:szCs w:val="24"/>
          <w:rtl/>
        </w:rPr>
        <w:t xml:space="preserve"> </w:t>
      </w:r>
      <w:r w:rsidRPr="002E513E">
        <w:rPr>
          <w:rFonts w:cs="Simplified Arabic" w:hint="cs"/>
          <w:szCs w:val="24"/>
          <w:rtl/>
        </w:rPr>
        <w:t>ل</w:t>
      </w:r>
      <w:r w:rsidRPr="002E513E">
        <w:rPr>
          <w:rFonts w:cs="Simplified Arabic"/>
          <w:szCs w:val="24"/>
          <w:rtl/>
        </w:rPr>
        <w:t>ينظر فيه الفريق العامل</w:t>
      </w:r>
      <w:r w:rsidRPr="002E513E">
        <w:rPr>
          <w:rFonts w:cs="Simplified Arabic" w:hint="cs"/>
          <w:szCs w:val="24"/>
          <w:rtl/>
        </w:rPr>
        <w:t>.</w:t>
      </w:r>
    </w:p>
    <w:p w:rsidR="00E305CC" w:rsidRPr="002E513E" w:rsidRDefault="008018A6" w:rsidP="008018A6">
      <w:pPr>
        <w:pStyle w:val="ListParagraph1"/>
        <w:numPr>
          <w:ilvl w:val="0"/>
          <w:numId w:val="6"/>
        </w:numPr>
        <w:bidi/>
        <w:spacing w:before="0" w:line="216" w:lineRule="auto"/>
        <w:ind w:left="0" w:firstLine="0"/>
        <w:rPr>
          <w:rFonts w:cs="Simplified Arabic"/>
          <w:szCs w:val="24"/>
          <w:rtl/>
        </w:rPr>
      </w:pPr>
      <w:r>
        <w:rPr>
          <w:rFonts w:cs="Simplified Arabic" w:hint="cs"/>
          <w:szCs w:val="24"/>
          <w:rtl/>
        </w:rPr>
        <w:lastRenderedPageBreak/>
        <w:t>وفي</w:t>
      </w:r>
      <w:r w:rsidRPr="002E513E">
        <w:rPr>
          <w:rFonts w:cs="Simplified Arabic"/>
          <w:szCs w:val="24"/>
          <w:rtl/>
        </w:rPr>
        <w:t xml:space="preserve"> </w:t>
      </w:r>
      <w:r>
        <w:rPr>
          <w:rFonts w:cs="Simplified Arabic" w:hint="cs"/>
          <w:szCs w:val="24"/>
          <w:rtl/>
        </w:rPr>
        <w:t>جلست</w:t>
      </w:r>
      <w:r w:rsidRPr="002E513E">
        <w:rPr>
          <w:rFonts w:cs="Simplified Arabic" w:hint="cs"/>
          <w:szCs w:val="24"/>
          <w:rtl/>
        </w:rPr>
        <w:t>ه</w:t>
      </w:r>
      <w:r w:rsidRPr="002E513E">
        <w:rPr>
          <w:rFonts w:cs="Simplified Arabic"/>
          <w:szCs w:val="24"/>
          <w:rtl/>
        </w:rPr>
        <w:t xml:space="preserve"> الثالث</w:t>
      </w:r>
      <w:r>
        <w:rPr>
          <w:rFonts w:cs="Simplified Arabic" w:hint="cs"/>
          <w:szCs w:val="24"/>
          <w:rtl/>
        </w:rPr>
        <w:t>ة</w:t>
      </w:r>
      <w:r w:rsidRPr="002E513E">
        <w:rPr>
          <w:rFonts w:cs="Simplified Arabic"/>
          <w:szCs w:val="24"/>
          <w:rtl/>
        </w:rPr>
        <w:t xml:space="preserve"> عشر</w:t>
      </w:r>
      <w:r>
        <w:rPr>
          <w:rFonts w:cs="Simplified Arabic" w:hint="cs"/>
          <w:szCs w:val="24"/>
          <w:rtl/>
        </w:rPr>
        <w:t>ة</w:t>
      </w:r>
      <w:r w:rsidRPr="002E513E">
        <w:rPr>
          <w:rFonts w:cs="Simplified Arabic"/>
          <w:szCs w:val="24"/>
          <w:rtl/>
        </w:rPr>
        <w:t>، المعقود</w:t>
      </w:r>
      <w:r>
        <w:rPr>
          <w:rFonts w:cs="Simplified Arabic" w:hint="cs"/>
          <w:szCs w:val="24"/>
          <w:rtl/>
        </w:rPr>
        <w:t>ة</w:t>
      </w:r>
      <w:r w:rsidRPr="002E513E">
        <w:rPr>
          <w:rFonts w:cs="Simplified Arabic"/>
          <w:szCs w:val="24"/>
          <w:rtl/>
        </w:rPr>
        <w:t xml:space="preserve"> في 26 نوفمبر/تشرين الثاني 2018، </w:t>
      </w:r>
      <w:r w:rsidR="00E305CC" w:rsidRPr="002E513E">
        <w:rPr>
          <w:rFonts w:cs="Simplified Arabic"/>
          <w:szCs w:val="24"/>
          <w:rtl/>
        </w:rPr>
        <w:t>نظر الفريق العامل في مشروع المقرر المنقح المقدم من الرئيس</w:t>
      </w:r>
      <w:r w:rsidR="00E305CC" w:rsidRPr="002E513E">
        <w:rPr>
          <w:rFonts w:cs="Simplified Arabic" w:hint="cs"/>
          <w:szCs w:val="24"/>
          <w:rtl/>
        </w:rPr>
        <w:t>ة.</w:t>
      </w:r>
    </w:p>
    <w:p w:rsidR="00E305CC" w:rsidRPr="002E513E" w:rsidRDefault="00303176" w:rsidP="00FF7FA5">
      <w:pPr>
        <w:pStyle w:val="ListParagraph1"/>
        <w:numPr>
          <w:ilvl w:val="0"/>
          <w:numId w:val="6"/>
        </w:numPr>
        <w:bidi/>
        <w:spacing w:before="0" w:line="216" w:lineRule="auto"/>
        <w:ind w:left="0" w:firstLine="0"/>
        <w:rPr>
          <w:rFonts w:cs="Simplified Arabic"/>
          <w:szCs w:val="24"/>
          <w:rtl/>
        </w:rPr>
      </w:pPr>
      <w:r>
        <w:rPr>
          <w:rFonts w:cs="Simplified Arabic" w:hint="cs"/>
          <w:szCs w:val="24"/>
          <w:rtl/>
        </w:rPr>
        <w:t>وأدلى ب</w:t>
      </w:r>
      <w:r w:rsidR="00E305CC" w:rsidRPr="002E513E">
        <w:rPr>
          <w:rFonts w:cs="Simplified Arabic"/>
          <w:szCs w:val="24"/>
          <w:rtl/>
        </w:rPr>
        <w:t>بيانات</w:t>
      </w:r>
      <w:r w:rsidR="00E305CC" w:rsidRPr="002E513E">
        <w:rPr>
          <w:rFonts w:cs="Simplified Arabic" w:hint="cs"/>
          <w:szCs w:val="24"/>
          <w:rtl/>
        </w:rPr>
        <w:t xml:space="preserve"> </w:t>
      </w:r>
      <w:r w:rsidR="00E305CC" w:rsidRPr="002E513E">
        <w:rPr>
          <w:rFonts w:cs="Simplified Arabic"/>
          <w:szCs w:val="24"/>
          <w:rtl/>
        </w:rPr>
        <w:t>ممثل</w:t>
      </w:r>
      <w:r>
        <w:rPr>
          <w:rFonts w:cs="Simplified Arabic" w:hint="cs"/>
          <w:szCs w:val="24"/>
          <w:rtl/>
        </w:rPr>
        <w:t>و</w:t>
      </w:r>
      <w:r w:rsidR="00E305CC" w:rsidRPr="002E513E">
        <w:rPr>
          <w:rFonts w:cs="Simplified Arabic"/>
          <w:szCs w:val="24"/>
          <w:rtl/>
        </w:rPr>
        <w:t xml:space="preserve"> بوليفيا (دولة - المتعددة القوميات)، وكندا، وكولومبيا، والاتحاد الأوروبي ودول</w:t>
      </w:r>
      <w:r>
        <w:rPr>
          <w:rFonts w:cs="Simplified Arabic" w:hint="cs"/>
          <w:szCs w:val="24"/>
          <w:rtl/>
        </w:rPr>
        <w:t>ه</w:t>
      </w:r>
      <w:r w:rsidR="00E305CC" w:rsidRPr="002E513E">
        <w:rPr>
          <w:rFonts w:cs="Simplified Arabic"/>
          <w:szCs w:val="24"/>
          <w:rtl/>
        </w:rPr>
        <w:t xml:space="preserve"> الأعضاء</w:t>
      </w:r>
      <w:r w:rsidR="00E305CC" w:rsidRPr="002E513E">
        <w:rPr>
          <w:rFonts w:cs="Simplified Arabic" w:hint="cs"/>
          <w:szCs w:val="24"/>
          <w:rtl/>
        </w:rPr>
        <w:t xml:space="preserve"> </w:t>
      </w:r>
      <w:r>
        <w:rPr>
          <w:rFonts w:cs="Simplified Arabic" w:hint="cs"/>
          <w:rtl/>
        </w:rPr>
        <w:t>الثماني والعشرين،</w:t>
      </w:r>
      <w:r w:rsidR="00E305CC" w:rsidRPr="002E513E">
        <w:rPr>
          <w:rFonts w:cs="Simplified Arabic"/>
          <w:szCs w:val="24"/>
          <w:rtl/>
        </w:rPr>
        <w:t xml:space="preserve"> وغاب</w:t>
      </w:r>
      <w:r w:rsidR="008018A6">
        <w:rPr>
          <w:rFonts w:cs="Simplified Arabic"/>
          <w:szCs w:val="24"/>
          <w:rtl/>
        </w:rPr>
        <w:t>ون، وغانا، والمكسيك، ونيوزيلندا</w:t>
      </w:r>
      <w:r w:rsidR="00E305CC" w:rsidRPr="002E513E">
        <w:rPr>
          <w:rFonts w:cs="Simplified Arabic"/>
          <w:szCs w:val="24"/>
          <w:rtl/>
        </w:rPr>
        <w:t xml:space="preserve"> وفنزويلا (جمهورية - البوليفارية)</w:t>
      </w:r>
      <w:r w:rsidR="00E305CC" w:rsidRPr="002E513E">
        <w:rPr>
          <w:rFonts w:cs="Simplified Arabic" w:hint="cs"/>
          <w:szCs w:val="24"/>
          <w:rtl/>
        </w:rPr>
        <w:t>.</w:t>
      </w:r>
    </w:p>
    <w:p w:rsidR="009B484C" w:rsidRPr="002E513E" w:rsidRDefault="00E305CC" w:rsidP="00FF7FA5">
      <w:pPr>
        <w:pStyle w:val="ListParagraph1"/>
        <w:numPr>
          <w:ilvl w:val="0"/>
          <w:numId w:val="6"/>
        </w:numPr>
        <w:bidi/>
        <w:spacing w:before="0" w:line="216" w:lineRule="auto"/>
        <w:ind w:left="0" w:firstLine="0"/>
        <w:rPr>
          <w:rFonts w:cs="Simplified Arabic"/>
          <w:szCs w:val="24"/>
        </w:rPr>
      </w:pPr>
      <w:r w:rsidRPr="002E513E">
        <w:rPr>
          <w:rFonts w:cs="Simplified Arabic"/>
          <w:szCs w:val="24"/>
          <w:rtl/>
        </w:rPr>
        <w:t xml:space="preserve">وبعد تبادل الآراء، </w:t>
      </w:r>
      <w:r w:rsidRPr="002E513E">
        <w:rPr>
          <w:rFonts w:cs="Simplified Arabic" w:hint="cs"/>
          <w:szCs w:val="24"/>
          <w:rtl/>
        </w:rPr>
        <w:t xml:space="preserve">وافق </w:t>
      </w:r>
      <w:r w:rsidRPr="002E513E">
        <w:rPr>
          <w:rFonts w:cs="Simplified Arabic"/>
          <w:szCs w:val="24"/>
          <w:rtl/>
        </w:rPr>
        <w:t xml:space="preserve">الفريق العامل على مشروع المقرر لإحالته إلى الجلسة العامة </w:t>
      </w:r>
      <w:r w:rsidR="00303176">
        <w:rPr>
          <w:rFonts w:cs="Simplified Arabic" w:hint="cs"/>
          <w:szCs w:val="24"/>
          <w:rtl/>
        </w:rPr>
        <w:t xml:space="preserve">بوصفه </w:t>
      </w:r>
      <w:r w:rsidRPr="002E513E">
        <w:rPr>
          <w:rFonts w:cs="Simplified Arabic"/>
          <w:szCs w:val="24"/>
          <w:rtl/>
        </w:rPr>
        <w:t xml:space="preserve">مشروع </w:t>
      </w:r>
      <w:r w:rsidR="00303176">
        <w:rPr>
          <w:rFonts w:cs="Simplified Arabic" w:hint="cs"/>
          <w:szCs w:val="24"/>
          <w:rtl/>
        </w:rPr>
        <w:t>ال</w:t>
      </w:r>
      <w:r w:rsidRPr="002E513E">
        <w:rPr>
          <w:rFonts w:cs="Simplified Arabic"/>
          <w:szCs w:val="24"/>
          <w:rtl/>
        </w:rPr>
        <w:t>مقرر</w:t>
      </w:r>
      <w:r w:rsidRPr="002E513E">
        <w:rPr>
          <w:rFonts w:cs="Simplified Arabic" w:hint="cs"/>
          <w:szCs w:val="24"/>
          <w:rtl/>
        </w:rPr>
        <w:t xml:space="preserve"> </w:t>
      </w:r>
      <w:r w:rsidRPr="002E513E">
        <w:rPr>
          <w:rFonts w:cs="Simplified Arabic"/>
          <w:szCs w:val="24"/>
        </w:rPr>
        <w:t>CBD/COP/14/L.22</w:t>
      </w:r>
      <w:r w:rsidRPr="002E513E">
        <w:rPr>
          <w:rFonts w:cs="Simplified Arabic" w:hint="cs"/>
          <w:szCs w:val="24"/>
          <w:rtl/>
        </w:rPr>
        <w:t>.</w:t>
      </w:r>
    </w:p>
    <w:p w:rsidR="009B484C" w:rsidRPr="00997CAE" w:rsidRDefault="008018A6" w:rsidP="00A45390">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rsidR="00A45390">
        <w:t>22</w:t>
      </w:r>
      <w:r>
        <w:rPr>
          <w:rFonts w:cs="Simplified Arabic" w:hint="cs"/>
          <w:rtl/>
        </w:rPr>
        <w:t xml:space="preserve"> بوصفه المقرر 14/</w:t>
      </w:r>
      <w:r w:rsidR="00A45390">
        <w:rPr>
          <w:rFonts w:cs="Simplified Arabic" w:hint="cs"/>
          <w:rtl/>
        </w:rPr>
        <w:t>36</w:t>
      </w:r>
      <w:r>
        <w:rPr>
          <w:rFonts w:cs="Simplified Arabic" w:hint="cs"/>
          <w:rtl/>
        </w:rPr>
        <w:t xml:space="preserve"> (للاطلاع على النص، انظر الفصل الأول).</w:t>
      </w:r>
    </w:p>
    <w:p w:rsidR="00B35174" w:rsidRPr="00477B14" w:rsidRDefault="004E4086" w:rsidP="00094717">
      <w:pPr>
        <w:pStyle w:val="Heading2"/>
        <w:ind w:left="2340" w:hanging="1080"/>
        <w:jc w:val="left"/>
        <w:rPr>
          <w:lang w:val="en-GB"/>
        </w:rPr>
      </w:pPr>
      <w:bookmarkStart w:id="234" w:name="_Toc6140020"/>
      <w:r w:rsidRPr="00997CAE">
        <w:rPr>
          <w:rFonts w:hint="cs"/>
          <w:rtl/>
          <w:lang w:val="en-GB"/>
        </w:rPr>
        <w:t>البند 17 -</w:t>
      </w:r>
      <w:r w:rsidRPr="00997CAE">
        <w:rPr>
          <w:rFonts w:hint="cs"/>
          <w:rtl/>
          <w:lang w:val="en-GB"/>
        </w:rPr>
        <w:tab/>
      </w:r>
      <w:r w:rsidR="00B35174" w:rsidRPr="00997CAE">
        <w:rPr>
          <w:rFonts w:hint="cs"/>
          <w:rtl/>
        </w:rPr>
        <w:t>التوجهات الاستراتيجية طويلة الأجل لرؤية عام 2050 للتنوع البيولوجي، ونُهج الحياة في تناغم مع الطبيعة و</w:t>
      </w:r>
      <w:r w:rsidR="00984F88" w:rsidRPr="00997CAE">
        <w:rPr>
          <w:rFonts w:hint="cs"/>
          <w:rtl/>
        </w:rPr>
        <w:t>ال</w:t>
      </w:r>
      <w:r w:rsidR="00B35174" w:rsidRPr="00997CAE">
        <w:rPr>
          <w:rFonts w:hint="cs"/>
          <w:rtl/>
        </w:rPr>
        <w:t xml:space="preserve">تحضير </w:t>
      </w:r>
      <w:r w:rsidR="00984F88" w:rsidRPr="00997CAE">
        <w:rPr>
          <w:rFonts w:hint="cs"/>
          <w:rtl/>
        </w:rPr>
        <w:t>ل</w:t>
      </w:r>
      <w:r w:rsidR="00B35174" w:rsidRPr="00997CAE">
        <w:rPr>
          <w:rFonts w:hint="cs"/>
          <w:rtl/>
        </w:rPr>
        <w:t>لإطار العالمي للت</w:t>
      </w:r>
      <w:r w:rsidR="00563808" w:rsidRPr="00997CAE">
        <w:rPr>
          <w:rFonts w:hint="cs"/>
          <w:rtl/>
        </w:rPr>
        <w:t xml:space="preserve">نوع البيولوجي </w:t>
      </w:r>
      <w:r w:rsidR="00356BE7" w:rsidRPr="00997CAE">
        <w:rPr>
          <w:rFonts w:hint="cs"/>
          <w:rtl/>
        </w:rPr>
        <w:t>ل</w:t>
      </w:r>
      <w:r w:rsidR="00563808" w:rsidRPr="00997CAE">
        <w:rPr>
          <w:rFonts w:hint="cs"/>
          <w:rtl/>
        </w:rPr>
        <w:t>ما بعد عام 2020</w:t>
      </w:r>
      <w:bookmarkEnd w:id="234"/>
    </w:p>
    <w:p w:rsidR="00084BC8" w:rsidRDefault="0049644D" w:rsidP="00FF7FA5">
      <w:pPr>
        <w:pStyle w:val="ListParagraph"/>
        <w:numPr>
          <w:ilvl w:val="0"/>
          <w:numId w:val="6"/>
        </w:numPr>
        <w:bidi/>
        <w:spacing w:line="216" w:lineRule="auto"/>
        <w:ind w:left="0" w:firstLine="0"/>
        <w:rPr>
          <w:rFonts w:cs="Simplified Arabic"/>
        </w:rPr>
      </w:pPr>
      <w:r>
        <w:rPr>
          <w:rFonts w:cs="Simplified Arabic" w:hint="cs"/>
          <w:rtl/>
          <w:lang w:val="en-US"/>
        </w:rPr>
        <w:t>كان ا</w:t>
      </w:r>
      <w:r w:rsidR="00084BC8">
        <w:rPr>
          <w:rFonts w:cs="Simplified Arabic" w:hint="cs"/>
          <w:rtl/>
          <w:lang w:val="en-US"/>
        </w:rPr>
        <w:t xml:space="preserve">لبند 17 من جدول الأعمال، الذي تم بحثه </w:t>
      </w:r>
      <w:r w:rsidR="009B484C" w:rsidRPr="00997CAE">
        <w:rPr>
          <w:rFonts w:cs="Simplified Arabic" w:hint="cs"/>
          <w:rtl/>
        </w:rPr>
        <w:t>في الجلسة العامة الثالثة للاجتماع، المنعقدة في 20 نوفمبر/تشرين الثاني 2018،</w:t>
      </w:r>
      <w:r w:rsidR="002E513E">
        <w:rPr>
          <w:rFonts w:cs="Simplified Arabic" w:hint="cs"/>
          <w:rtl/>
        </w:rPr>
        <w:t xml:space="preserve"> بالاقتران مع البند 16 من جدول أعمال مؤتمر الأطراف العامل كاجتماع للأطراف في بروتوكول ناغويا، والبند 14 من جدول أعمال مؤتمر الأطراف العامل كاجتماع للأطراف في بروتوكول قرطاجنة،</w:t>
      </w:r>
      <w:r w:rsidR="009B484C" w:rsidRPr="00997CAE">
        <w:rPr>
          <w:rFonts w:cs="Simplified Arabic" w:hint="cs"/>
          <w:rtl/>
        </w:rPr>
        <w:t xml:space="preserve"> </w:t>
      </w:r>
      <w:r w:rsidR="00084BC8">
        <w:rPr>
          <w:rFonts w:cs="Simplified Arabic" w:hint="cs"/>
          <w:rtl/>
        </w:rPr>
        <w:t>ي</w:t>
      </w:r>
      <w:r w:rsidR="009B484C" w:rsidRPr="00997CAE">
        <w:rPr>
          <w:rFonts w:cs="Simplified Arabic" w:hint="cs"/>
          <w:rtl/>
        </w:rPr>
        <w:t>حتوى على ثلاثة عناصر</w:t>
      </w:r>
      <w:r w:rsidR="00084BC8">
        <w:rPr>
          <w:rFonts w:cs="Simplified Arabic" w:hint="cs"/>
          <w:rtl/>
        </w:rPr>
        <w:t>: (أ)</w:t>
      </w:r>
      <w:r w:rsidR="00303176">
        <w:rPr>
          <w:rFonts w:cs="Simplified Arabic" w:hint="eastAsia"/>
        </w:rPr>
        <w:t> </w:t>
      </w:r>
      <w:r w:rsidR="00084BC8">
        <w:rPr>
          <w:rFonts w:cs="Simplified Arabic" w:hint="cs"/>
          <w:rtl/>
        </w:rPr>
        <w:t>سيناريوهات لرؤية عام 2050 للتنوع البيولوجي؛ (ب) م</w:t>
      </w:r>
      <w:r w:rsidR="00303176">
        <w:rPr>
          <w:rFonts w:cs="Simplified Arabic" w:hint="cs"/>
          <w:rtl/>
        </w:rPr>
        <w:t>ق</w:t>
      </w:r>
      <w:r w:rsidR="00084BC8">
        <w:rPr>
          <w:rFonts w:cs="Simplified Arabic" w:hint="cs"/>
          <w:rtl/>
        </w:rPr>
        <w:t>ترحات لعملية شاملة وتشاركية لتحضير</w:t>
      </w:r>
      <w:r w:rsidR="009B484C" w:rsidRPr="00997CAE">
        <w:rPr>
          <w:rFonts w:cs="Simplified Arabic" w:hint="cs"/>
          <w:rtl/>
        </w:rPr>
        <w:t xml:space="preserve"> </w:t>
      </w:r>
      <w:r w:rsidR="00084BC8">
        <w:rPr>
          <w:rFonts w:cs="Simplified Arabic" w:hint="cs"/>
          <w:rtl/>
        </w:rPr>
        <w:t xml:space="preserve">الإطار العالمي للتنوع البيولوجي لما بعد عام 2020؛ و(ج) إعداد الإصدار الخامس من </w:t>
      </w:r>
      <w:r w:rsidR="00084BC8" w:rsidRPr="00B37593">
        <w:rPr>
          <w:rFonts w:cs="Simplified Arabic" w:hint="cs"/>
          <w:i/>
          <w:iCs/>
          <w:rtl/>
        </w:rPr>
        <w:t>التوقعات العالمية للتنوع البيولوجي</w:t>
      </w:r>
      <w:r w:rsidR="00084BC8">
        <w:rPr>
          <w:rFonts w:cs="Simplified Arabic" w:hint="cs"/>
          <w:rtl/>
        </w:rPr>
        <w:t>.</w:t>
      </w:r>
    </w:p>
    <w:p w:rsidR="00084BC8" w:rsidRDefault="00084BC8" w:rsidP="00A45390">
      <w:pPr>
        <w:pStyle w:val="ListParagraph"/>
        <w:numPr>
          <w:ilvl w:val="0"/>
          <w:numId w:val="6"/>
        </w:numPr>
        <w:bidi/>
        <w:spacing w:line="216" w:lineRule="auto"/>
        <w:ind w:left="0" w:firstLine="0"/>
        <w:rPr>
          <w:rFonts w:cs="Simplified Arabic"/>
        </w:rPr>
      </w:pPr>
      <w:r>
        <w:rPr>
          <w:rFonts w:cs="Simplified Arabic" w:hint="cs"/>
          <w:rtl/>
        </w:rPr>
        <w:t>ولإعلام المناقشة بشأن البند 17 من جدول الأعمال، أجري حوار تفاعلي نسق</w:t>
      </w:r>
      <w:r w:rsidR="00A45390">
        <w:rPr>
          <w:rFonts w:cs="Simplified Arabic" w:hint="cs"/>
          <w:rtl/>
        </w:rPr>
        <w:t>ت</w:t>
      </w:r>
      <w:r>
        <w:rPr>
          <w:rFonts w:cs="Simplified Arabic" w:hint="cs"/>
          <w:rtl/>
        </w:rPr>
        <w:t xml:space="preserve">ه </w:t>
      </w:r>
      <w:r w:rsidR="00A45390">
        <w:rPr>
          <w:rFonts w:cs="Simplified Arabic" w:hint="cs"/>
          <w:rtl/>
        </w:rPr>
        <w:t xml:space="preserve">الأمينة التنفيذية لاتفاقية التنوع البيولوجي </w:t>
      </w:r>
      <w:r>
        <w:rPr>
          <w:rFonts w:cs="Simplified Arabic" w:hint="cs"/>
          <w:rtl/>
        </w:rPr>
        <w:t xml:space="preserve">خلال الجلسة العامة الثالثة للاجتماع، المنعقدة في 20 نوفمبر/تشرين الثاني 2018، على موضوع "نُهج للحياة في تناغم مع الطبيعة". وترد معلومات أساسية عن الحوار في الوثيقة </w:t>
      </w:r>
      <w:r>
        <w:t>CBD/COP/14/9/Add.2</w:t>
      </w:r>
      <w:r>
        <w:rPr>
          <w:rFonts w:cs="Simplified Arabic" w:hint="cs"/>
          <w:rtl/>
        </w:rPr>
        <w:t>.</w:t>
      </w:r>
    </w:p>
    <w:p w:rsidR="00084BC8" w:rsidRDefault="00084BC8" w:rsidP="00FF7FA5">
      <w:pPr>
        <w:pStyle w:val="ListParagraph"/>
        <w:numPr>
          <w:ilvl w:val="0"/>
          <w:numId w:val="6"/>
        </w:numPr>
        <w:bidi/>
        <w:spacing w:line="216" w:lineRule="auto"/>
        <w:ind w:left="0" w:firstLine="0"/>
        <w:rPr>
          <w:rFonts w:cs="Simplified Arabic"/>
        </w:rPr>
      </w:pPr>
      <w:r>
        <w:rPr>
          <w:rFonts w:cs="Simplified Arabic" w:hint="cs"/>
          <w:rtl/>
        </w:rPr>
        <w:t>ويرد تقرير عن عروض الخبراء والمناقشة العامة في المرفق الثالث بالتقرير الحالي.</w:t>
      </w:r>
    </w:p>
    <w:p w:rsidR="00084BC8" w:rsidRDefault="00356B18" w:rsidP="00A45390">
      <w:pPr>
        <w:pStyle w:val="ListParagraph"/>
        <w:numPr>
          <w:ilvl w:val="0"/>
          <w:numId w:val="6"/>
        </w:numPr>
        <w:bidi/>
        <w:spacing w:line="216" w:lineRule="auto"/>
        <w:ind w:left="0" w:firstLine="0"/>
        <w:rPr>
          <w:rFonts w:cs="Simplified Arabic"/>
        </w:rPr>
      </w:pPr>
      <w:r>
        <w:rPr>
          <w:rFonts w:cs="Simplified Arabic" w:hint="cs"/>
          <w:rtl/>
        </w:rPr>
        <w:t xml:space="preserve">وعقب الحوار التفاعلي، التفت مؤتمر الأطراف إلى العناصر الثلاثة للبند 17 من جدول الأعمال. ولدى نظره في هذا البند، كان أمام مؤتمر الأطراف مذكرة أعدتها الأمينة التنفيذية بشأن التوجهات الاستراتيجية طويلة الأجل لرؤية عام 2050 للتنوع البيولوجي، والنُهج للحياة في تناغم مع الطبيعة، وتحضير الإطار العالمي للتنوع البيولوجي لما بعد عام 2020 </w:t>
      </w:r>
      <w:r>
        <w:t>(CBD/COP/14/9)</w:t>
      </w:r>
      <w:r w:rsidR="00A45390">
        <w:rPr>
          <w:rFonts w:cs="Simplified Arabic" w:hint="cs"/>
          <w:rtl/>
        </w:rPr>
        <w:t>.</w:t>
      </w:r>
      <w:r>
        <w:rPr>
          <w:rFonts w:cs="Simplified Arabic" w:hint="cs"/>
          <w:rtl/>
        </w:rPr>
        <w:t xml:space="preserve"> و</w:t>
      </w:r>
      <w:r w:rsidR="00A45390">
        <w:rPr>
          <w:rFonts w:cs="Simplified Arabic" w:hint="cs"/>
          <w:rtl/>
        </w:rPr>
        <w:t xml:space="preserve">كان أمامه أيضا </w:t>
      </w:r>
      <w:r>
        <w:rPr>
          <w:rFonts w:cs="Simplified Arabic" w:hint="cs"/>
          <w:rtl/>
        </w:rPr>
        <w:t xml:space="preserve">مذكرة أعدتها الأمينة التنفيذية عن مشورة لتمكين عملية مراعية للمنظور الجنساني لإعداد الإطار لما بعد عام 2020 </w:t>
      </w:r>
      <w:r>
        <w:t>(CBD/COP/14/9/Add.1)</w:t>
      </w:r>
      <w:r>
        <w:rPr>
          <w:rFonts w:cs="Simplified Arabic" w:hint="cs"/>
          <w:rtl/>
        </w:rPr>
        <w:t>.</w:t>
      </w:r>
    </w:p>
    <w:p w:rsidR="009B484C" w:rsidRPr="00997CAE" w:rsidRDefault="00EF6009" w:rsidP="00966199">
      <w:pPr>
        <w:pStyle w:val="ListParagraph"/>
        <w:numPr>
          <w:ilvl w:val="0"/>
          <w:numId w:val="6"/>
        </w:numPr>
        <w:bidi/>
        <w:spacing w:line="216" w:lineRule="auto"/>
        <w:ind w:left="0" w:firstLine="0"/>
        <w:rPr>
          <w:rFonts w:cs="Simplified Arabic"/>
        </w:rPr>
      </w:pPr>
      <w:r>
        <w:rPr>
          <w:rFonts w:cs="Simplified Arabic" w:hint="cs"/>
          <w:rtl/>
        </w:rPr>
        <w:t xml:space="preserve">وكان أمام مؤتمر الأطراف أيضا عدة وثائق معلومات تقدم معلومات أساسية ذات الصلة، مثل الخلفية التكميلية والأدوات لتمكين عملية تراعي المنظور الجنساني لإعداد الإطار العالمي للتنوع البيولوجي لما بعد عام 2020 </w:t>
      </w:r>
      <w:r>
        <w:t>(CBD/COP/14/INF/15)</w:t>
      </w:r>
      <w:r>
        <w:rPr>
          <w:rFonts w:cs="Simplified Arabic" w:hint="cs"/>
          <w:rtl/>
        </w:rPr>
        <w:t>؛ وتجميع أولي وت</w:t>
      </w:r>
      <w:r w:rsidR="00966199">
        <w:rPr>
          <w:rFonts w:cs="Simplified Arabic" w:hint="cs"/>
          <w:rtl/>
        </w:rPr>
        <w:t>ح</w:t>
      </w:r>
      <w:r>
        <w:rPr>
          <w:rFonts w:cs="Simplified Arabic" w:hint="cs"/>
          <w:rtl/>
        </w:rPr>
        <w:t xml:space="preserve">ليل الآراء بشأن </w:t>
      </w:r>
      <w:r w:rsidR="00966199">
        <w:rPr>
          <w:rFonts w:cs="Simplified Arabic" w:hint="cs"/>
          <w:rtl/>
        </w:rPr>
        <w:t>نطاق</w:t>
      </w:r>
      <w:r>
        <w:rPr>
          <w:rFonts w:cs="Simplified Arabic" w:hint="cs"/>
          <w:rtl/>
        </w:rPr>
        <w:t xml:space="preserve"> ومحتو</w:t>
      </w:r>
      <w:r w:rsidR="00966199">
        <w:rPr>
          <w:rFonts w:cs="Simplified Arabic" w:hint="cs"/>
          <w:rtl/>
        </w:rPr>
        <w:t>ى</w:t>
      </w:r>
      <w:r>
        <w:rPr>
          <w:rFonts w:cs="Simplified Arabic" w:hint="cs"/>
          <w:rtl/>
        </w:rPr>
        <w:t xml:space="preserve"> الإطار </w:t>
      </w:r>
      <w:r>
        <w:t>(CBD/COP/14/INF/16)</w:t>
      </w:r>
      <w:r>
        <w:rPr>
          <w:rFonts w:cs="Simplified Arabic" w:hint="cs"/>
          <w:rtl/>
        </w:rPr>
        <w:t xml:space="preserve">؛ وتجميع للآراء بشأن العناصر الممكنة لبرنامج عمل مستقبلي عن المادة 8(ي) والأحكام المتصلة بها كجزء من الإطار </w:t>
      </w:r>
      <w:r>
        <w:t>(CBD/COP/14/INF/5/Rev.1)</w:t>
      </w:r>
      <w:r>
        <w:rPr>
          <w:rFonts w:cs="Simplified Arabic" w:hint="cs"/>
          <w:rtl/>
        </w:rPr>
        <w:t xml:space="preserve">؛ وتوصية لزيادة التركيز على الربط بين الناس والطبيعة لإلهام الإجراءات المعززة بشأن حفظ التنوع البيولوجي </w:t>
      </w:r>
      <w:r>
        <w:t>(CBD/COP/14/INF/20)</w:t>
      </w:r>
      <w:r>
        <w:rPr>
          <w:rFonts w:cs="Simplified Arabic" w:hint="cs"/>
          <w:rtl/>
        </w:rPr>
        <w:t xml:space="preserve">؛ ومذكرة بشأن "حماية المكان للطبيعة وضمان مستقبلنا" </w:t>
      </w:r>
      <w:r>
        <w:t>(CBD/COP/14/INF/25)</w:t>
      </w:r>
      <w:r>
        <w:rPr>
          <w:rFonts w:cs="Simplified Arabic" w:hint="cs"/>
          <w:rtl/>
        </w:rPr>
        <w:t xml:space="preserve">؛ وتقرير عن الحلقة الدراسية بشأن التغير التحويلي لخطة التنوع البيولوجي المنعقدة في بوغيس بوسيه، سويسرا، في يوليه/تموز 2018 </w:t>
      </w:r>
      <w:r>
        <w:t>(CBD/COP/14/INF/27)</w:t>
      </w:r>
      <w:r>
        <w:rPr>
          <w:rFonts w:cs="Simplified Arabic" w:hint="cs"/>
          <w:rtl/>
        </w:rPr>
        <w:t>؛ وتقرير عن الاجتماع السادس لفريق الاتصال المعني بالاستراتيجية العالمية لحفظ النباتا</w:t>
      </w:r>
      <w:r w:rsidR="00966199">
        <w:rPr>
          <w:rFonts w:cs="Simplified Arabic" w:hint="cs"/>
          <w:rtl/>
        </w:rPr>
        <w:t>ت</w:t>
      </w:r>
      <w:r>
        <w:rPr>
          <w:rFonts w:cs="Simplified Arabic" w:hint="cs"/>
          <w:rtl/>
        </w:rPr>
        <w:t xml:space="preserve"> </w:t>
      </w:r>
      <w:r>
        <w:t>(CBD/GSPC/LG/6/2)</w:t>
      </w:r>
      <w:r w:rsidR="009B484C" w:rsidRPr="00997CAE">
        <w:rPr>
          <w:rFonts w:cs="Simplified Arabic" w:hint="cs"/>
          <w:rtl/>
        </w:rPr>
        <w:t>.</w:t>
      </w:r>
    </w:p>
    <w:p w:rsidR="00B35174" w:rsidRPr="00A45390" w:rsidRDefault="005858D4" w:rsidP="00982D91">
      <w:pPr>
        <w:pStyle w:val="ListParagraph"/>
        <w:keepNext/>
        <w:bidi/>
        <w:spacing w:line="216" w:lineRule="auto"/>
        <w:ind w:left="0"/>
        <w:rPr>
          <w:rFonts w:cs="Simplified Arabic"/>
          <w:b/>
          <w:bCs/>
        </w:rPr>
      </w:pPr>
      <w:r w:rsidRPr="00A45390">
        <w:rPr>
          <w:rFonts w:cs="Simplified Arabic" w:hint="cs"/>
          <w:b/>
          <w:bCs/>
          <w:rtl/>
        </w:rPr>
        <w:lastRenderedPageBreak/>
        <w:t>سيناريوهات لرؤية عام 2050 للتنوع البيولوجي</w:t>
      </w:r>
    </w:p>
    <w:p w:rsidR="005858D4" w:rsidRPr="00997CAE" w:rsidRDefault="00BB56B1" w:rsidP="00966199">
      <w:pPr>
        <w:pStyle w:val="ListParagraph"/>
        <w:numPr>
          <w:ilvl w:val="0"/>
          <w:numId w:val="6"/>
        </w:numPr>
        <w:bidi/>
        <w:spacing w:line="216" w:lineRule="auto"/>
        <w:ind w:left="0" w:firstLine="0"/>
        <w:rPr>
          <w:rFonts w:cs="Simplified Arabic"/>
        </w:rPr>
      </w:pPr>
      <w:r w:rsidRPr="00997CAE">
        <w:rPr>
          <w:rFonts w:cs="Simplified Arabic" w:hint="cs"/>
          <w:rtl/>
        </w:rPr>
        <w:t>لدى النظر في</w:t>
      </w:r>
      <w:r w:rsidR="005858D4" w:rsidRPr="00997CAE">
        <w:rPr>
          <w:rFonts w:cs="Simplified Arabic"/>
          <w:rtl/>
        </w:rPr>
        <w:t xml:space="preserve"> ال</w:t>
      </w:r>
      <w:r w:rsidRPr="00997CAE">
        <w:rPr>
          <w:rFonts w:cs="Simplified Arabic" w:hint="cs"/>
          <w:rtl/>
        </w:rPr>
        <w:t>عنصر</w:t>
      </w:r>
      <w:r w:rsidR="005858D4" w:rsidRPr="00997CAE">
        <w:rPr>
          <w:rFonts w:cs="Simplified Arabic"/>
          <w:rtl/>
        </w:rPr>
        <w:t xml:space="preserve"> الأول من </w:t>
      </w:r>
      <w:r w:rsidRPr="00997CAE">
        <w:rPr>
          <w:rFonts w:cs="Simplified Arabic" w:hint="cs"/>
          <w:rtl/>
        </w:rPr>
        <w:t xml:space="preserve">هذا </w:t>
      </w:r>
      <w:r w:rsidRPr="00997CAE">
        <w:rPr>
          <w:rFonts w:cs="Simplified Arabic"/>
          <w:rtl/>
        </w:rPr>
        <w:t>البند</w:t>
      </w:r>
      <w:r w:rsidRPr="00997CAE">
        <w:rPr>
          <w:rFonts w:cs="Simplified Arabic" w:hint="cs"/>
          <w:rtl/>
        </w:rPr>
        <w:t>، كان أمام مؤتمر</w:t>
      </w:r>
      <w:r w:rsidR="005858D4" w:rsidRPr="00997CAE">
        <w:rPr>
          <w:rFonts w:cs="Simplified Arabic"/>
          <w:rtl/>
        </w:rPr>
        <w:t xml:space="preserve"> </w:t>
      </w:r>
      <w:r w:rsidR="00A45390">
        <w:rPr>
          <w:rFonts w:cs="Simplified Arabic" w:hint="cs"/>
          <w:rtl/>
        </w:rPr>
        <w:t xml:space="preserve">الأطراف، بالإضافة إلى </w:t>
      </w:r>
      <w:r w:rsidR="00A45390">
        <w:rPr>
          <w:rFonts w:cs="Simplified Arabic"/>
          <w:lang w:val="en-US"/>
        </w:rPr>
        <w:t>CBD/COP/14/9</w:t>
      </w:r>
      <w:r w:rsidR="00A45390">
        <w:rPr>
          <w:rFonts w:cs="Simplified Arabic" w:hint="cs"/>
          <w:rtl/>
        </w:rPr>
        <w:t xml:space="preserve">، ووثائق المعلومات المتعددة، </w:t>
      </w:r>
      <w:r w:rsidRPr="00997CAE">
        <w:rPr>
          <w:rFonts w:cs="Simplified Arabic" w:hint="cs"/>
          <w:rtl/>
        </w:rPr>
        <w:t xml:space="preserve">مشروع مقرر يستند إلى </w:t>
      </w:r>
      <w:r w:rsidR="005858D4" w:rsidRPr="00997CAE">
        <w:rPr>
          <w:rFonts w:cs="Simplified Arabic"/>
          <w:rtl/>
        </w:rPr>
        <w:t xml:space="preserve">التوصية 21/1 للهيئة الفرعية للمشورة </w:t>
      </w:r>
      <w:r w:rsidR="00966199">
        <w:rPr>
          <w:rFonts w:cs="Simplified Arabic" w:hint="cs"/>
          <w:rtl/>
        </w:rPr>
        <w:t>العلمية والتقنية والتكنولوجية</w:t>
      </w:r>
      <w:r w:rsidR="005858D4" w:rsidRPr="00997CAE">
        <w:rPr>
          <w:rFonts w:cs="Simplified Arabic" w:hint="cs"/>
          <w:rtl/>
        </w:rPr>
        <w:t xml:space="preserve">، </w:t>
      </w:r>
      <w:r w:rsidR="00F757CE">
        <w:rPr>
          <w:rFonts w:cs="Simplified Arabic" w:hint="cs"/>
          <w:rtl/>
        </w:rPr>
        <w:t>المبين</w:t>
      </w:r>
      <w:r w:rsidR="005858D4" w:rsidRPr="00997CAE">
        <w:rPr>
          <w:rFonts w:cs="Simplified Arabic" w:hint="cs"/>
          <w:rtl/>
        </w:rPr>
        <w:t xml:space="preserve"> في تجميع مشاريع المقررات </w:t>
      </w:r>
      <w:r w:rsidR="005858D4" w:rsidRPr="00997CAE">
        <w:rPr>
          <w:rFonts w:cs="Simplified Arabic"/>
        </w:rPr>
        <w:t>(CBD/COP/14/2)</w:t>
      </w:r>
      <w:r w:rsidR="005858D4" w:rsidRPr="00997CAE">
        <w:rPr>
          <w:rFonts w:cs="Simplified Arabic" w:hint="cs"/>
          <w:rtl/>
        </w:rPr>
        <w:t>.</w:t>
      </w:r>
    </w:p>
    <w:p w:rsidR="00BB56B1" w:rsidRPr="00997CAE" w:rsidRDefault="002D5141" w:rsidP="00FF7FA5">
      <w:pPr>
        <w:pStyle w:val="ListParagraph"/>
        <w:numPr>
          <w:ilvl w:val="0"/>
          <w:numId w:val="6"/>
        </w:numPr>
        <w:bidi/>
        <w:spacing w:line="216" w:lineRule="auto"/>
        <w:ind w:left="0" w:firstLine="0"/>
        <w:rPr>
          <w:rFonts w:cs="Simplified Arabic"/>
        </w:rPr>
      </w:pPr>
      <w:r>
        <w:rPr>
          <w:rFonts w:cs="Simplified Arabic" w:hint="cs"/>
          <w:rtl/>
        </w:rPr>
        <w:t>وأدلى ببي</w:t>
      </w:r>
      <w:r w:rsidR="00F757CE">
        <w:rPr>
          <w:rFonts w:cs="Simplified Arabic" w:hint="cs"/>
          <w:rtl/>
        </w:rPr>
        <w:t>انات ممثلو الجزائر، وأنتيغوا وب</w:t>
      </w:r>
      <w:r>
        <w:rPr>
          <w:rFonts w:cs="Simplified Arabic" w:hint="cs"/>
          <w:rtl/>
        </w:rPr>
        <w:t xml:space="preserve">ربودا، والأرجنتين، وبنغلاديش، والبوسنة والهرسك، وبوتسوانا، والبرازيل، وبوركينا فاسو، وكامبوديا، والكاميرون، وكندا، والصين، وكولومبيا (بالنيابة عن البلدان ذات التنوع البيولوجي الشديد المتقاربة التفكير)، وكوستاريكا، وكوت ديفوار، وكوبا (بالنيابة عن الدول الجزرية الصغيرة النامية)، والجمهورية الدومينيكية، وإكوادور، ومصر، وإثيوبيا، والاتحاد الأوروبي ودوله الأعضاء الثماني والعشرين، وغابون، والهند، والعراق، وجامايكا، واليابان، وكينيا، وملاوي، والمكسيك، والمغرب، ونيبال، ونيوزيلندا، والنرويج، وبالاو (بالنيابة عن البلدان الجزرية في المحيط الهادئ)، وبنما، والفلبين، وجنوب أفريقيا (بالنيابة عن المجموعة الأفريقية)، وسانت كيتس ونيفس (بالنيابة عن مجموعة أمريكا اللاتينية والبحر الكاريبي)، والسودان، وسويسرا، وتركيا، وأوغندا، وجمهورية تنزانيا المتحدة، وأوروغواي وفنزويلا (جمهورية </w:t>
      </w:r>
      <w:r>
        <w:rPr>
          <w:rFonts w:cs="Simplified Arabic"/>
          <w:rtl/>
        </w:rPr>
        <w:t>–</w:t>
      </w:r>
      <w:r>
        <w:rPr>
          <w:rFonts w:cs="Simplified Arabic" w:hint="cs"/>
          <w:rtl/>
        </w:rPr>
        <w:t xml:space="preserve"> البوليفارية).</w:t>
      </w:r>
    </w:p>
    <w:p w:rsidR="00556B7E" w:rsidRDefault="005B6FC4" w:rsidP="00A45390">
      <w:pPr>
        <w:pStyle w:val="ListParagraph"/>
        <w:numPr>
          <w:ilvl w:val="0"/>
          <w:numId w:val="6"/>
        </w:numPr>
        <w:bidi/>
        <w:spacing w:line="216" w:lineRule="auto"/>
        <w:ind w:left="0" w:firstLine="0"/>
        <w:rPr>
          <w:rFonts w:cs="Simplified Arabic"/>
        </w:rPr>
      </w:pPr>
      <w:r>
        <w:rPr>
          <w:rFonts w:cs="Simplified Arabic" w:hint="cs"/>
          <w:rtl/>
        </w:rPr>
        <w:t>وأد</w:t>
      </w:r>
      <w:r w:rsidR="00556B7E">
        <w:rPr>
          <w:rFonts w:cs="Simplified Arabic" w:hint="cs"/>
          <w:rtl/>
        </w:rPr>
        <w:t>لى ببيان</w:t>
      </w:r>
      <w:r>
        <w:rPr>
          <w:rFonts w:cs="Simplified Arabic" w:hint="cs"/>
          <w:rtl/>
        </w:rPr>
        <w:t>ات</w:t>
      </w:r>
      <w:r w:rsidR="00556B7E">
        <w:rPr>
          <w:rFonts w:cs="Simplified Arabic" w:hint="cs"/>
          <w:rtl/>
        </w:rPr>
        <w:t xml:space="preserve"> </w:t>
      </w:r>
      <w:r w:rsidR="00A45390">
        <w:rPr>
          <w:rFonts w:cs="Simplified Arabic" w:hint="cs"/>
          <w:rtl/>
        </w:rPr>
        <w:t>أيضا ممثلو</w:t>
      </w:r>
      <w:r w:rsidR="00556B7E">
        <w:rPr>
          <w:rFonts w:cs="Simplified Arabic" w:hint="cs"/>
          <w:rtl/>
        </w:rPr>
        <w:t xml:space="preserve"> الفاو (بالنيابة عن المعاهدة الدولية بشأن الموارد الوراثية النباتية للأغذية وال</w:t>
      </w:r>
      <w:r w:rsidR="00A45390">
        <w:rPr>
          <w:rFonts w:cs="Simplified Arabic" w:hint="cs"/>
          <w:rtl/>
        </w:rPr>
        <w:t xml:space="preserve">زراعة)، وهيئة </w:t>
      </w:r>
      <w:r w:rsidR="00556B7E">
        <w:rPr>
          <w:rFonts w:cs="Simplified Arabic" w:hint="cs"/>
          <w:rtl/>
        </w:rPr>
        <w:t xml:space="preserve">الأمم المتحدة للمرأة، وأمانة اتفاقية </w:t>
      </w:r>
      <w:r w:rsidR="00556B7E" w:rsidRPr="00D8536D">
        <w:rPr>
          <w:rFonts w:cs="Simplified Arabic" w:hint="cs"/>
          <w:rtl/>
          <w:lang w:val="en-CA"/>
        </w:rPr>
        <w:t>التجارة الدولية بأنواع الحيوانات والنباتات البرية المهددة بالانقراض</w:t>
      </w:r>
      <w:r w:rsidR="00556B7E">
        <w:rPr>
          <w:rFonts w:cs="Simplified Arabic" w:hint="cs"/>
          <w:rtl/>
        </w:rPr>
        <w:t xml:space="preserve"> </w:t>
      </w:r>
      <w:r w:rsidR="00556B7E">
        <w:rPr>
          <w:rFonts w:cs="Simplified Arabic"/>
          <w:lang w:val="en-US"/>
        </w:rPr>
        <w:t>(CITES)</w:t>
      </w:r>
      <w:r w:rsidR="00556B7E">
        <w:rPr>
          <w:rFonts w:cs="Simplified Arabic" w:hint="cs"/>
          <w:rtl/>
        </w:rPr>
        <w:t xml:space="preserve"> (بالنيابة عن فريق الاتصال المعني بالاتفاقيات المتعلقة بالتنوع البيولوجي).</w:t>
      </w:r>
    </w:p>
    <w:p w:rsidR="00556B7E" w:rsidRPr="00B75D9E" w:rsidRDefault="00556B7E" w:rsidP="00533F87">
      <w:pPr>
        <w:pStyle w:val="ListParagraph"/>
        <w:numPr>
          <w:ilvl w:val="0"/>
          <w:numId w:val="6"/>
        </w:numPr>
        <w:bidi/>
        <w:spacing w:line="216" w:lineRule="auto"/>
        <w:ind w:left="0" w:firstLine="0"/>
        <w:rPr>
          <w:rFonts w:ascii="Simplified Arabic" w:hAnsi="Simplified Arabic" w:cs="Simplified Arabic"/>
          <w:sz w:val="24"/>
        </w:rPr>
      </w:pPr>
      <w:r>
        <w:rPr>
          <w:rFonts w:cs="Simplified Arabic" w:hint="cs"/>
          <w:rtl/>
        </w:rPr>
        <w:t xml:space="preserve">وأدلى ببيانات كذلك ممثلو منظمة حياة الطيور الدولية (أيضا بالنيابة عن منظمة الحفظ الدولية، والشبكة العالمية للشباب المعنية بالتنوع البيولوجي، والصندوق الدولي </w:t>
      </w:r>
      <w:r w:rsidR="00533F87">
        <w:rPr>
          <w:rFonts w:cs="Simplified Arabic" w:hint="cs"/>
          <w:rtl/>
        </w:rPr>
        <w:t>للرفق با</w:t>
      </w:r>
      <w:r>
        <w:rPr>
          <w:rFonts w:cs="Simplified Arabic" w:hint="cs"/>
          <w:rtl/>
        </w:rPr>
        <w:t>لحيوان، ورير، والجمعية الملكية لحماية الطيور</w:t>
      </w:r>
      <w:r w:rsidR="00533F87">
        <w:rPr>
          <w:rFonts w:cs="Simplified Arabic" w:hint="cs"/>
          <w:rtl/>
        </w:rPr>
        <w:t xml:space="preserve"> </w:t>
      </w:r>
      <w:r w:rsidR="00533F87">
        <w:rPr>
          <w:rFonts w:cs="Simplified Arabic"/>
          <w:lang w:val="en-US"/>
        </w:rPr>
        <w:t>(RSPB)</w:t>
      </w:r>
      <w:r>
        <w:rPr>
          <w:rFonts w:cs="Simplified Arabic" w:hint="cs"/>
          <w:rtl/>
        </w:rPr>
        <w:t>، وحفظ الطبيعة، وصناديق بيو الخيرية والصندوق العالمي للأحيا</w:t>
      </w:r>
      <w:r w:rsidR="00A45390">
        <w:rPr>
          <w:rFonts w:cs="Simplified Arabic" w:hint="cs"/>
          <w:rtl/>
        </w:rPr>
        <w:t>ء</w:t>
      </w:r>
      <w:r>
        <w:rPr>
          <w:rFonts w:cs="Simplified Arabic" w:hint="cs"/>
          <w:rtl/>
        </w:rPr>
        <w:t xml:space="preserve"> البرية)، وأصدقاء الأرض </w:t>
      </w:r>
      <w:r w:rsidR="00533F87">
        <w:rPr>
          <w:rFonts w:cs="Simplified Arabic" w:hint="cs"/>
          <w:rtl/>
        </w:rPr>
        <w:t xml:space="preserve">الدولية </w:t>
      </w:r>
      <w:r>
        <w:rPr>
          <w:rFonts w:cs="Simplified Arabic" w:hint="cs"/>
          <w:rtl/>
        </w:rPr>
        <w:t xml:space="preserve">(أيضا بالنيابة عن </w:t>
      </w:r>
      <w:r>
        <w:rPr>
          <w:rFonts w:cs="Simplified Arabic"/>
          <w:lang w:val="en-US"/>
        </w:rPr>
        <w:t>EcoNexus</w:t>
      </w:r>
      <w:r>
        <w:rPr>
          <w:rFonts w:cs="Simplified Arabic" w:hint="cs"/>
          <w:rtl/>
        </w:rPr>
        <w:t>، و</w:t>
      </w:r>
      <w:r w:rsidRPr="00D8536D">
        <w:rPr>
          <w:rFonts w:cs="Simplified Arabic" w:hint="cs"/>
          <w:rtl/>
          <w:lang w:val="en-CA"/>
        </w:rPr>
        <w:t>الشبكة الأوروبية المعنية بالتفكير والعمل الإيكولوجي</w:t>
      </w:r>
      <w:r>
        <w:rPr>
          <w:rFonts w:cs="Simplified Arabic" w:hint="cs"/>
          <w:rtl/>
        </w:rPr>
        <w:t xml:space="preserve"> </w:t>
      </w:r>
      <w:r>
        <w:rPr>
          <w:rFonts w:cs="Simplified Arabic"/>
          <w:lang w:val="en-US"/>
        </w:rPr>
        <w:t>(ECOROPA)</w:t>
      </w:r>
      <w:r>
        <w:rPr>
          <w:rFonts w:cs="Simplified Arabic" w:hint="cs"/>
          <w:rtl/>
        </w:rPr>
        <w:t>، وغابات العالم، و</w:t>
      </w:r>
      <w:r>
        <w:rPr>
          <w:rFonts w:cs="Simplified Arabic"/>
          <w:lang w:val="en-US"/>
        </w:rPr>
        <w:t>FARN</w:t>
      </w:r>
      <w:r>
        <w:rPr>
          <w:rFonts w:cs="Simplified Arabic" w:hint="cs"/>
          <w:rtl/>
        </w:rPr>
        <w:t>، والتحالف العالمي للغابات)، و</w:t>
      </w:r>
      <w:r w:rsidRPr="00D8536D">
        <w:rPr>
          <w:rFonts w:cs="Simplified Arabic" w:hint="cs"/>
          <w:rtl/>
        </w:rPr>
        <w:t>شبكة رصد التنوع البيولوجي التابعة للفريق المعني برصد الأرض</w:t>
      </w:r>
      <w:r>
        <w:rPr>
          <w:rFonts w:cs="Simplified Arabic" w:hint="cs"/>
          <w:rtl/>
        </w:rPr>
        <w:t xml:space="preserve"> </w:t>
      </w:r>
      <w:r>
        <w:rPr>
          <w:rFonts w:cs="Simplified Arabic"/>
          <w:lang w:val="en-US"/>
        </w:rPr>
        <w:t>(GEO-BON)</w:t>
      </w:r>
      <w:r>
        <w:rPr>
          <w:rFonts w:cs="Simplified Arabic" w:hint="cs"/>
          <w:rtl/>
        </w:rPr>
        <w:t>،</w:t>
      </w:r>
      <w:r w:rsidR="00B75D9E">
        <w:rPr>
          <w:rFonts w:cs="Simplified Arabic" w:hint="cs"/>
          <w:rtl/>
        </w:rPr>
        <w:t xml:space="preserve"> والشبكة العالمية للشباب المعنية بالتنوع البيولوجي، واللجنة الدولية لسيادة الأ</w:t>
      </w:r>
      <w:r w:rsidR="00533F87">
        <w:rPr>
          <w:rFonts w:cs="Simplified Arabic" w:hint="cs"/>
          <w:rtl/>
        </w:rPr>
        <w:t>غ</w:t>
      </w:r>
      <w:r w:rsidR="00B75D9E">
        <w:rPr>
          <w:rFonts w:cs="Simplified Arabic" w:hint="cs"/>
          <w:rtl/>
        </w:rPr>
        <w:t xml:space="preserve">ذية، والمنتدى الدولي للشعوب الأصلية المعني بالتنوع البيولوجي، والاتحاد الدولي لحفظ الطبيعة، ومعهد </w:t>
      </w:r>
      <w:r w:rsidR="00B75D9E" w:rsidRPr="00B75D9E">
        <w:rPr>
          <w:rFonts w:ascii="Simplified Arabic" w:hAnsi="Simplified Arabic" w:cs="Simplified Arabic"/>
          <w:color w:val="000000"/>
          <w:sz w:val="24"/>
          <w:rtl/>
        </w:rPr>
        <w:t>الدراسات المتقدمة للاستدامة التابع لجامعة الأمم المتحدة</w:t>
      </w:r>
      <w:r w:rsidR="00B75D9E">
        <w:rPr>
          <w:rFonts w:ascii="Simplified Arabic" w:hAnsi="Simplified Arabic" w:cs="Simplified Arabic" w:hint="cs"/>
          <w:sz w:val="24"/>
          <w:rtl/>
        </w:rPr>
        <w:t xml:space="preserve"> </w:t>
      </w:r>
      <w:r w:rsidR="00B75D9E" w:rsidRPr="00B75D9E">
        <w:rPr>
          <w:szCs w:val="22"/>
          <w:lang w:val="en-US"/>
        </w:rPr>
        <w:t>(UNU-IAS)</w:t>
      </w:r>
      <w:r w:rsidR="00B75D9E">
        <w:rPr>
          <w:rFonts w:ascii="Simplified Arabic" w:hAnsi="Simplified Arabic" w:cs="Simplified Arabic" w:hint="cs"/>
          <w:sz w:val="24"/>
          <w:rtl/>
        </w:rPr>
        <w:t xml:space="preserve"> والصندوق العالمي للأحياء البرية.</w:t>
      </w:r>
    </w:p>
    <w:p w:rsidR="00BB56B1" w:rsidRPr="00997CAE" w:rsidRDefault="00BB56B1" w:rsidP="00FF7FA5">
      <w:pPr>
        <w:pStyle w:val="ListParagraph"/>
        <w:numPr>
          <w:ilvl w:val="0"/>
          <w:numId w:val="6"/>
        </w:numPr>
        <w:bidi/>
        <w:spacing w:line="216" w:lineRule="auto"/>
        <w:ind w:left="0" w:firstLine="0"/>
        <w:rPr>
          <w:rFonts w:cs="Simplified Arabic"/>
        </w:rPr>
      </w:pPr>
      <w:r w:rsidRPr="00997CAE">
        <w:rPr>
          <w:rFonts w:cs="Simplified Arabic" w:hint="cs"/>
          <w:rtl/>
        </w:rPr>
        <w:t>وفي الجلسة العامة الخامسة للاجتماع، المنعقدة في 25 نوفمبر</w:t>
      </w:r>
      <w:r w:rsidR="00556B7E">
        <w:rPr>
          <w:rFonts w:cs="Simplified Arabic" w:hint="cs"/>
          <w:rtl/>
        </w:rPr>
        <w:t>/</w:t>
      </w:r>
      <w:r w:rsidRPr="00997CAE">
        <w:rPr>
          <w:rFonts w:cs="Simplified Arabic" w:hint="cs"/>
          <w:rtl/>
        </w:rPr>
        <w:t>تشرين الثاني 2018، نظر مؤتمر الأطراف في مشروع مقرر قدمته الرئيسة</w:t>
      </w:r>
      <w:r w:rsidR="00B75D9E">
        <w:rPr>
          <w:rFonts w:cs="Simplified Arabic" w:hint="cs"/>
          <w:rtl/>
        </w:rPr>
        <w:t xml:space="preserve"> بشأن سيناريوهات لرؤية عام 2050 للتنوع البيولوجي</w:t>
      </w:r>
      <w:r w:rsidRPr="00997CAE">
        <w:rPr>
          <w:rFonts w:cs="Simplified Arabic" w:hint="cs"/>
          <w:rtl/>
        </w:rPr>
        <w:t>.</w:t>
      </w:r>
    </w:p>
    <w:p w:rsidR="00B75D9E" w:rsidRPr="009847DD" w:rsidRDefault="00BB56B1" w:rsidP="00FF7FA5">
      <w:pPr>
        <w:pStyle w:val="ListParagraph"/>
        <w:numPr>
          <w:ilvl w:val="0"/>
          <w:numId w:val="6"/>
        </w:numPr>
        <w:bidi/>
        <w:spacing w:line="216" w:lineRule="auto"/>
        <w:ind w:left="0" w:firstLine="0"/>
        <w:rPr>
          <w:rFonts w:cs="Simplified Arabic"/>
        </w:rPr>
      </w:pPr>
      <w:r w:rsidRPr="00997CAE">
        <w:rPr>
          <w:rFonts w:cs="Simplified Arabic" w:hint="cs"/>
          <w:rtl/>
        </w:rPr>
        <w:t xml:space="preserve">وأدلى ببيانات ممثلو الأرجنتين، وبوليفيا (دولة </w:t>
      </w:r>
      <w:r w:rsidRPr="00997CAE">
        <w:rPr>
          <w:rFonts w:cs="Simplified Arabic"/>
          <w:rtl/>
        </w:rPr>
        <w:t>–</w:t>
      </w:r>
      <w:r w:rsidRPr="00997CAE">
        <w:rPr>
          <w:rFonts w:cs="Simplified Arabic" w:hint="cs"/>
          <w:rtl/>
        </w:rPr>
        <w:t xml:space="preserve"> المتعددة القوميات)، والبرازيل، والكاميرون، وكوستاريكا، والاتحاد الدو</w:t>
      </w:r>
      <w:r w:rsidR="00B236D6">
        <w:rPr>
          <w:rFonts w:cs="Simplified Arabic" w:hint="cs"/>
          <w:rtl/>
        </w:rPr>
        <w:t>لي ودوله الأعضاء الثماني</w:t>
      </w:r>
      <w:r w:rsidRPr="00997CAE">
        <w:rPr>
          <w:rFonts w:cs="Simplified Arabic" w:hint="cs"/>
          <w:rtl/>
        </w:rPr>
        <w:t xml:space="preserve"> والعشرين، وغابون، وهندوراس، والمكسيك، والمغرب، وبنما، وبا</w:t>
      </w:r>
      <w:r w:rsidR="00EE5359">
        <w:rPr>
          <w:rFonts w:cs="Simplified Arabic" w:hint="cs"/>
          <w:rtl/>
        </w:rPr>
        <w:t>را</w:t>
      </w:r>
      <w:r w:rsidR="00EE5359" w:rsidRPr="00997CAE">
        <w:rPr>
          <w:rFonts w:cs="Simplified Arabic" w:hint="cs"/>
          <w:rtl/>
        </w:rPr>
        <w:t>غ</w:t>
      </w:r>
      <w:r w:rsidRPr="00997CAE">
        <w:rPr>
          <w:rFonts w:cs="Simplified Arabic" w:hint="cs"/>
          <w:rtl/>
        </w:rPr>
        <w:t>واي، وبيرو وأوروغواي.</w:t>
      </w:r>
    </w:p>
    <w:p w:rsidR="00B75D9E" w:rsidRDefault="00B75D9E" w:rsidP="00FF7FA5">
      <w:pPr>
        <w:pStyle w:val="ListParagraph"/>
        <w:numPr>
          <w:ilvl w:val="0"/>
          <w:numId w:val="6"/>
        </w:numPr>
        <w:bidi/>
        <w:spacing w:line="216" w:lineRule="auto"/>
        <w:ind w:left="0" w:firstLine="0"/>
        <w:rPr>
          <w:rFonts w:cs="Simplified Arabic"/>
        </w:rPr>
      </w:pPr>
      <w:r>
        <w:rPr>
          <w:rFonts w:cs="Simplified Arabic" w:hint="cs"/>
          <w:rtl/>
        </w:rPr>
        <w:t>وفي الجلسة العامة السادسة للاجتماع، المنعقدة في 28 نوفمبر/تشرين الثاني 2018، استأنف مؤتمر الأطراف نظره في مشروع المقرر.</w:t>
      </w:r>
    </w:p>
    <w:p w:rsidR="00B75D9E" w:rsidRDefault="00B75D9E" w:rsidP="00FF7FA5">
      <w:pPr>
        <w:pStyle w:val="ListParagraph"/>
        <w:numPr>
          <w:ilvl w:val="0"/>
          <w:numId w:val="6"/>
        </w:numPr>
        <w:bidi/>
        <w:spacing w:line="216" w:lineRule="auto"/>
        <w:ind w:left="0" w:firstLine="0"/>
        <w:rPr>
          <w:rFonts w:cs="Simplified Arabic"/>
        </w:rPr>
      </w:pPr>
      <w:r>
        <w:rPr>
          <w:rFonts w:cs="Simplified Arabic" w:hint="cs"/>
          <w:rtl/>
        </w:rPr>
        <w:t>وأدلى ببيان</w:t>
      </w:r>
      <w:r w:rsidR="005B6FC4">
        <w:rPr>
          <w:rFonts w:cs="Simplified Arabic" w:hint="cs"/>
          <w:rtl/>
        </w:rPr>
        <w:t>ين</w:t>
      </w:r>
      <w:r>
        <w:rPr>
          <w:rFonts w:cs="Simplified Arabic" w:hint="cs"/>
          <w:rtl/>
        </w:rPr>
        <w:t xml:space="preserve"> ممثلا كولومبيا والمغرب.</w:t>
      </w:r>
    </w:p>
    <w:p w:rsidR="00B75D9E" w:rsidRDefault="00B75D9E" w:rsidP="00FF7FA5">
      <w:pPr>
        <w:pStyle w:val="ListParagraph"/>
        <w:numPr>
          <w:ilvl w:val="0"/>
          <w:numId w:val="6"/>
        </w:numPr>
        <w:bidi/>
        <w:spacing w:line="216" w:lineRule="auto"/>
        <w:ind w:left="0" w:firstLine="0"/>
        <w:rPr>
          <w:rFonts w:cs="Simplified Arabic"/>
        </w:rPr>
      </w:pPr>
      <w:r>
        <w:rPr>
          <w:rFonts w:cs="Simplified Arabic" w:hint="cs"/>
          <w:rtl/>
        </w:rPr>
        <w:t>وعقب تبادل الآراء، تمت الموافقة على مشروع المقرر، بصيغته المعدلة شفويا</w:t>
      </w:r>
      <w:r w:rsidR="005B6FC4">
        <w:rPr>
          <w:rFonts w:cs="Simplified Arabic" w:hint="cs"/>
          <w:rtl/>
        </w:rPr>
        <w:t>ً</w:t>
      </w:r>
      <w:r>
        <w:rPr>
          <w:rFonts w:cs="Simplified Arabic" w:hint="cs"/>
          <w:rtl/>
        </w:rPr>
        <w:t xml:space="preserve">، لاعتماده الرسمي بوصفه مشروع المقرر </w:t>
      </w:r>
      <w:r w:rsidRPr="00E162D9">
        <w:t>CBD/COP/14/L.</w:t>
      </w:r>
      <w:r w:rsidR="002E513E">
        <w:t>30</w:t>
      </w:r>
      <w:r>
        <w:rPr>
          <w:rFonts w:cs="Simplified Arabic" w:hint="cs"/>
          <w:rtl/>
        </w:rPr>
        <w:t>.</w:t>
      </w:r>
    </w:p>
    <w:p w:rsidR="00D12524" w:rsidRDefault="00D12524" w:rsidP="00FF7FA5">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نظر مؤتمر الأطراف في مشروع المقرر </w:t>
      </w:r>
      <w:r>
        <w:rPr>
          <w:rFonts w:cs="Simplified Arabic"/>
          <w:lang w:val="en-US"/>
        </w:rPr>
        <w:t>CBD/COP/14/30</w:t>
      </w:r>
      <w:r>
        <w:rPr>
          <w:rFonts w:cs="Simplified Arabic" w:hint="cs"/>
          <w:rtl/>
        </w:rPr>
        <w:t>.</w:t>
      </w:r>
    </w:p>
    <w:p w:rsidR="00D12524" w:rsidRDefault="00D12524" w:rsidP="00D12524">
      <w:pPr>
        <w:pStyle w:val="ListParagraph"/>
        <w:numPr>
          <w:ilvl w:val="0"/>
          <w:numId w:val="6"/>
        </w:numPr>
        <w:bidi/>
        <w:spacing w:line="216" w:lineRule="auto"/>
        <w:ind w:left="0" w:firstLine="0"/>
        <w:rPr>
          <w:rFonts w:cs="Simplified Arabic"/>
        </w:rPr>
      </w:pPr>
      <w:r>
        <w:rPr>
          <w:rFonts w:cs="Simplified Arabic" w:hint="cs"/>
          <w:rtl/>
        </w:rPr>
        <w:t xml:space="preserve">وأدلى ببيانات ممثلو الأرجنتين، وبوليفيا (دولة </w:t>
      </w:r>
      <w:r>
        <w:rPr>
          <w:rFonts w:cs="Simplified Arabic"/>
          <w:rtl/>
        </w:rPr>
        <w:t>–</w:t>
      </w:r>
      <w:r>
        <w:rPr>
          <w:rFonts w:cs="Simplified Arabic" w:hint="cs"/>
          <w:rtl/>
        </w:rPr>
        <w:t xml:space="preserve"> المتعددة القوميات)، والبرازيل، وكندا، والاتحاد الأوروبي ودوله الأعضاء الثماني والعشرين، والعراق، وليبيريا، والمكسيك، والمغرب، وقطر، والنرويج وأوروغواي.</w:t>
      </w:r>
    </w:p>
    <w:p w:rsidR="00BB56B1" w:rsidRPr="00997CAE" w:rsidRDefault="00D12524" w:rsidP="00D12524">
      <w:pPr>
        <w:pStyle w:val="ListParagraph"/>
        <w:numPr>
          <w:ilvl w:val="0"/>
          <w:numId w:val="6"/>
        </w:numPr>
        <w:bidi/>
        <w:spacing w:line="216" w:lineRule="auto"/>
        <w:ind w:left="0" w:firstLine="0"/>
        <w:rPr>
          <w:rFonts w:cs="Simplified Arabic"/>
        </w:rPr>
      </w:pPr>
      <w:r>
        <w:rPr>
          <w:rFonts w:cs="Simplified Arabic" w:hint="cs"/>
          <w:rtl/>
        </w:rPr>
        <w:lastRenderedPageBreak/>
        <w:t xml:space="preserve">واعتمد مؤتمر الأطراف مشروع المقرر </w:t>
      </w:r>
      <w:r w:rsidRPr="007F48C2">
        <w:t>CBD/COP/14/L.</w:t>
      </w:r>
      <w:r>
        <w:t>30</w:t>
      </w:r>
      <w:r>
        <w:rPr>
          <w:rFonts w:cs="Simplified Arabic" w:hint="cs"/>
          <w:rtl/>
        </w:rPr>
        <w:t xml:space="preserve"> بوصفه المقرر 14/2 (للاطلاع على النص، انظر الفصل الأول).</w:t>
      </w:r>
    </w:p>
    <w:p w:rsidR="005858D4" w:rsidRPr="00D12524" w:rsidRDefault="005858D4" w:rsidP="00533F87">
      <w:pPr>
        <w:pStyle w:val="ListParagraph"/>
        <w:bidi/>
        <w:spacing w:line="216" w:lineRule="auto"/>
        <w:ind w:left="0"/>
        <w:rPr>
          <w:rFonts w:cs="Simplified Arabic"/>
          <w:b/>
          <w:bCs/>
        </w:rPr>
      </w:pPr>
      <w:r w:rsidRPr="00D12524">
        <w:rPr>
          <w:rFonts w:cs="Simplified Arabic" w:hint="cs"/>
          <w:b/>
          <w:bCs/>
          <w:rtl/>
        </w:rPr>
        <w:t>مقترحات لعملية شاملة وتشاركية ل</w:t>
      </w:r>
      <w:r w:rsidR="00533F87">
        <w:rPr>
          <w:rFonts w:cs="Simplified Arabic" w:hint="cs"/>
          <w:b/>
          <w:bCs/>
          <w:rtl/>
        </w:rPr>
        <w:t>تحضير</w:t>
      </w:r>
      <w:r w:rsidRPr="00D12524">
        <w:rPr>
          <w:rFonts w:cs="Simplified Arabic" w:hint="cs"/>
          <w:b/>
          <w:bCs/>
          <w:rtl/>
        </w:rPr>
        <w:t xml:space="preserve"> الإطار العالمي للتنوع البيولوجي لما بعد عام 2020</w:t>
      </w:r>
    </w:p>
    <w:p w:rsidR="005858D4" w:rsidRPr="00997CAE" w:rsidRDefault="005858D4" w:rsidP="00533F87">
      <w:pPr>
        <w:pStyle w:val="ListParagraph"/>
        <w:numPr>
          <w:ilvl w:val="0"/>
          <w:numId w:val="6"/>
        </w:numPr>
        <w:bidi/>
        <w:spacing w:line="216" w:lineRule="auto"/>
        <w:ind w:left="0" w:firstLine="0"/>
        <w:rPr>
          <w:rFonts w:cs="Simplified Arabic"/>
        </w:rPr>
      </w:pPr>
      <w:r w:rsidRPr="00997CAE">
        <w:rPr>
          <w:rFonts w:cs="Simplified Arabic"/>
          <w:rtl/>
        </w:rPr>
        <w:t>لدى نظر</w:t>
      </w:r>
      <w:r w:rsidR="00356BE7" w:rsidRPr="00997CAE">
        <w:rPr>
          <w:rFonts w:cs="Simplified Arabic" w:hint="cs"/>
          <w:rtl/>
        </w:rPr>
        <w:t>ه</w:t>
      </w:r>
      <w:r w:rsidRPr="00997CAE">
        <w:rPr>
          <w:rFonts w:cs="Simplified Arabic"/>
          <w:rtl/>
        </w:rPr>
        <w:t xml:space="preserve"> في </w:t>
      </w:r>
      <w:r w:rsidR="00BB56B1" w:rsidRPr="00997CAE">
        <w:rPr>
          <w:rFonts w:cs="Simplified Arabic" w:hint="cs"/>
          <w:rtl/>
        </w:rPr>
        <w:t xml:space="preserve">العنصر الثاني من </w:t>
      </w:r>
      <w:r w:rsidRPr="00997CAE">
        <w:rPr>
          <w:rFonts w:cs="Simplified Arabic"/>
          <w:rtl/>
        </w:rPr>
        <w:t>هذا البند</w:t>
      </w:r>
      <w:r w:rsidR="00BB56B1" w:rsidRPr="00997CAE">
        <w:rPr>
          <w:rFonts w:cs="Simplified Arabic" w:hint="cs"/>
          <w:rtl/>
        </w:rPr>
        <w:t xml:space="preserve"> من جدول الأعمال</w:t>
      </w:r>
      <w:r w:rsidR="00356BE7" w:rsidRPr="00997CAE">
        <w:rPr>
          <w:rFonts w:cs="Simplified Arabic" w:hint="cs"/>
          <w:rtl/>
        </w:rPr>
        <w:t>،</w:t>
      </w:r>
      <w:r w:rsidRPr="00997CAE">
        <w:rPr>
          <w:rFonts w:cs="Simplified Arabic"/>
          <w:rtl/>
        </w:rPr>
        <w:t xml:space="preserve"> </w:t>
      </w:r>
      <w:r w:rsidR="00B75D9E">
        <w:rPr>
          <w:rFonts w:cs="Simplified Arabic" w:hint="cs"/>
          <w:rtl/>
        </w:rPr>
        <w:t>بشأن مقترحات لعملية شاملة وتشاركية ل</w:t>
      </w:r>
      <w:r w:rsidR="00533F87">
        <w:rPr>
          <w:rFonts w:cs="Simplified Arabic" w:hint="cs"/>
          <w:rtl/>
        </w:rPr>
        <w:t>تحضير</w:t>
      </w:r>
      <w:r w:rsidR="00B75D9E">
        <w:rPr>
          <w:rFonts w:cs="Simplified Arabic" w:hint="cs"/>
          <w:rtl/>
        </w:rPr>
        <w:t xml:space="preserve"> الإطار العالمي للتنوع البيولوجي لما بعد عام 2</w:t>
      </w:r>
      <w:r w:rsidR="00B236D6">
        <w:rPr>
          <w:rFonts w:cs="Simplified Arabic" w:hint="cs"/>
          <w:rtl/>
        </w:rPr>
        <w:t>0</w:t>
      </w:r>
      <w:r w:rsidR="00B75D9E">
        <w:rPr>
          <w:rFonts w:cs="Simplified Arabic" w:hint="cs"/>
          <w:rtl/>
        </w:rPr>
        <w:t>2</w:t>
      </w:r>
      <w:r w:rsidR="00B236D6">
        <w:rPr>
          <w:rFonts w:cs="Simplified Arabic" w:hint="cs"/>
          <w:rtl/>
        </w:rPr>
        <w:t>0</w:t>
      </w:r>
      <w:r w:rsidR="00B75D9E">
        <w:rPr>
          <w:rFonts w:cs="Simplified Arabic" w:hint="cs"/>
          <w:rtl/>
        </w:rPr>
        <w:t xml:space="preserve">، </w:t>
      </w:r>
      <w:r w:rsidRPr="00997CAE">
        <w:rPr>
          <w:rFonts w:cs="Simplified Arabic"/>
          <w:rtl/>
        </w:rPr>
        <w:t xml:space="preserve">كان أمام </w:t>
      </w:r>
      <w:r w:rsidR="00BB56B1" w:rsidRPr="00997CAE">
        <w:rPr>
          <w:rFonts w:cs="Simplified Arabic" w:hint="cs"/>
          <w:rtl/>
        </w:rPr>
        <w:t>مؤتمر الأطراف</w:t>
      </w:r>
      <w:r w:rsidR="00B75D9E">
        <w:rPr>
          <w:rFonts w:cs="Simplified Arabic" w:hint="cs"/>
          <w:rtl/>
        </w:rPr>
        <w:t xml:space="preserve">، بالإضافة إلى </w:t>
      </w:r>
      <w:r w:rsidR="00B236D6">
        <w:t>CBD/COP/14/9/Add.1</w:t>
      </w:r>
      <w:r w:rsidR="00B75D9E">
        <w:rPr>
          <w:rFonts w:cs="Simplified Arabic" w:hint="cs"/>
          <w:rtl/>
        </w:rPr>
        <w:t xml:space="preserve"> ووثائق المعلومات المختلفة،</w:t>
      </w:r>
      <w:r w:rsidRPr="00997CAE">
        <w:rPr>
          <w:rFonts w:cs="Simplified Arabic"/>
          <w:rtl/>
        </w:rPr>
        <w:t xml:space="preserve"> </w:t>
      </w:r>
      <w:r w:rsidR="00CB2B3F" w:rsidRPr="00997CAE">
        <w:rPr>
          <w:rFonts w:cs="Simplified Arabic" w:hint="cs"/>
          <w:rtl/>
        </w:rPr>
        <w:t xml:space="preserve">مشروع مقرر يستند إلى </w:t>
      </w:r>
      <w:r w:rsidRPr="00997CAE">
        <w:rPr>
          <w:rFonts w:cs="Simplified Arabic" w:hint="cs"/>
          <w:rtl/>
        </w:rPr>
        <w:t>التوصية 2/19 للهيئة الفرعية للتنفيذ، ال</w:t>
      </w:r>
      <w:r w:rsidR="00D12524">
        <w:rPr>
          <w:rFonts w:cs="Simplified Arabic" w:hint="cs"/>
          <w:rtl/>
        </w:rPr>
        <w:t>مبين</w:t>
      </w:r>
      <w:r w:rsidRPr="00997CAE">
        <w:rPr>
          <w:rFonts w:cs="Simplified Arabic" w:hint="cs"/>
          <w:rtl/>
        </w:rPr>
        <w:t xml:space="preserve"> في تجميع مشاريع المقررات </w:t>
      </w:r>
      <w:r w:rsidRPr="00997CAE">
        <w:rPr>
          <w:rFonts w:cs="Simplified Arabic"/>
        </w:rPr>
        <w:t>(CBD/COP/14/2)</w:t>
      </w:r>
      <w:r w:rsidRPr="00997CAE">
        <w:rPr>
          <w:rFonts w:cs="Simplified Arabic" w:hint="cs"/>
          <w:rtl/>
        </w:rPr>
        <w:t>.</w:t>
      </w:r>
    </w:p>
    <w:p w:rsidR="00CB2B3F" w:rsidRDefault="00B236D6" w:rsidP="00FF7FA5">
      <w:pPr>
        <w:pStyle w:val="ListParagraph"/>
        <w:numPr>
          <w:ilvl w:val="0"/>
          <w:numId w:val="6"/>
        </w:numPr>
        <w:bidi/>
        <w:spacing w:line="216" w:lineRule="auto"/>
        <w:ind w:left="0" w:firstLine="0"/>
        <w:rPr>
          <w:rFonts w:cs="Simplified Arabic"/>
        </w:rPr>
      </w:pPr>
      <w:r>
        <w:rPr>
          <w:rFonts w:cs="Simplified Arabic" w:hint="cs"/>
          <w:rtl/>
        </w:rPr>
        <w:t>وتناول أيضا الممثلون الذين أدلوا ببيانات عن العنصر الأول من البند المذكورين أعلاه العنصر الثاني من البند في تلك البيانات.</w:t>
      </w:r>
    </w:p>
    <w:p w:rsidR="00B236D6" w:rsidRPr="00B236D6" w:rsidRDefault="00B236D6" w:rsidP="00FF7FA5">
      <w:pPr>
        <w:pStyle w:val="ListParagraph"/>
        <w:numPr>
          <w:ilvl w:val="0"/>
          <w:numId w:val="6"/>
        </w:numPr>
        <w:bidi/>
        <w:spacing w:line="216" w:lineRule="auto"/>
        <w:ind w:left="0" w:firstLine="0"/>
        <w:rPr>
          <w:rFonts w:cs="Simplified Arabic"/>
        </w:rPr>
      </w:pPr>
      <w:r>
        <w:rPr>
          <w:rFonts w:cs="Simplified Arabic" w:hint="cs"/>
          <w:rtl/>
        </w:rPr>
        <w:t>واستنادا إلى الآراء التي أعرب عنها، وافق مؤتمر الأطراف على تأسيس فريق اتصال</w:t>
      </w:r>
      <w:r w:rsidR="009847DD">
        <w:rPr>
          <w:rFonts w:cs="Simplified Arabic" w:hint="cs"/>
          <w:rtl/>
        </w:rPr>
        <w:t>، ترأسه السيدة شارلوتا سوركفست (السويد) لمناقشة عملية التحضير للإطار</w:t>
      </w:r>
      <w:r>
        <w:rPr>
          <w:rFonts w:cs="Simplified Arabic" w:hint="cs"/>
          <w:rtl/>
        </w:rPr>
        <w:t xml:space="preserve"> </w:t>
      </w:r>
      <w:r w:rsidR="009847DD">
        <w:rPr>
          <w:rFonts w:cs="Simplified Arabic" w:hint="cs"/>
          <w:rtl/>
        </w:rPr>
        <w:t>العالمي للتنوع البيولوجي لما بعد عام 2020</w:t>
      </w:r>
      <w:r>
        <w:rPr>
          <w:rFonts w:cs="Simplified Arabic" w:hint="cs"/>
          <w:rtl/>
        </w:rPr>
        <w:t>.</w:t>
      </w:r>
    </w:p>
    <w:p w:rsidR="009847DD" w:rsidRDefault="009847DD" w:rsidP="00D12524">
      <w:pPr>
        <w:pStyle w:val="ListParagraph"/>
        <w:numPr>
          <w:ilvl w:val="0"/>
          <w:numId w:val="6"/>
        </w:numPr>
        <w:bidi/>
        <w:spacing w:line="216" w:lineRule="auto"/>
        <w:ind w:left="0" w:firstLine="0"/>
        <w:rPr>
          <w:rFonts w:cs="Simplified Arabic"/>
        </w:rPr>
      </w:pPr>
      <w:r>
        <w:rPr>
          <w:rFonts w:cs="Simplified Arabic" w:hint="cs"/>
          <w:rtl/>
        </w:rPr>
        <w:t>وفي الجلسة العامة الرابعة للاجتماع، المنعقدة في 22 نوفمبر/تشرين الثاني 2018، أبلغت رئيسة فريق الاتصال عن التقدم المحرز.</w:t>
      </w:r>
    </w:p>
    <w:p w:rsidR="00CB2B3F" w:rsidRPr="00997CAE" w:rsidRDefault="00CB2B3F" w:rsidP="00D12524">
      <w:pPr>
        <w:pStyle w:val="ListParagraph"/>
        <w:numPr>
          <w:ilvl w:val="0"/>
          <w:numId w:val="6"/>
        </w:numPr>
        <w:bidi/>
        <w:spacing w:line="216" w:lineRule="auto"/>
        <w:ind w:left="0" w:firstLine="0"/>
        <w:rPr>
          <w:rFonts w:cs="Simplified Arabic"/>
        </w:rPr>
      </w:pPr>
      <w:r w:rsidRPr="00997CAE">
        <w:rPr>
          <w:rFonts w:cs="Simplified Arabic" w:hint="cs"/>
          <w:rtl/>
        </w:rPr>
        <w:t xml:space="preserve">وفي الجلسة العامة الخامسة للاجتماع، المنعقدة في 25 نوفمبر/تشرين الثاني 2018، استمع مؤتمر الأطراف إلى تقرير </w:t>
      </w:r>
      <w:r w:rsidR="00D12524">
        <w:rPr>
          <w:rFonts w:cs="Simplified Arabic" w:hint="cs"/>
          <w:rtl/>
        </w:rPr>
        <w:t xml:space="preserve">آخر من </w:t>
      </w:r>
      <w:r w:rsidRPr="00997CAE">
        <w:rPr>
          <w:rFonts w:cs="Simplified Arabic" w:hint="cs"/>
          <w:rtl/>
        </w:rPr>
        <w:t>رئيس</w:t>
      </w:r>
      <w:r w:rsidR="00D12524">
        <w:rPr>
          <w:rFonts w:cs="Simplified Arabic" w:hint="cs"/>
          <w:rtl/>
        </w:rPr>
        <w:t>ة</w:t>
      </w:r>
      <w:r w:rsidRPr="00997CAE">
        <w:rPr>
          <w:rFonts w:cs="Simplified Arabic" w:hint="cs"/>
          <w:rtl/>
        </w:rPr>
        <w:t xml:space="preserve"> فريق الاتصال.</w:t>
      </w:r>
    </w:p>
    <w:p w:rsidR="00CB2B3F" w:rsidRPr="00997CAE" w:rsidRDefault="00CB2B3F" w:rsidP="00C42230">
      <w:pPr>
        <w:pStyle w:val="ListParagraph"/>
        <w:numPr>
          <w:ilvl w:val="0"/>
          <w:numId w:val="6"/>
        </w:numPr>
        <w:bidi/>
        <w:spacing w:line="216" w:lineRule="auto"/>
        <w:ind w:left="0" w:firstLine="0"/>
        <w:rPr>
          <w:rFonts w:cs="Simplified Arabic"/>
        </w:rPr>
      </w:pPr>
      <w:r w:rsidRPr="00997CAE">
        <w:rPr>
          <w:rFonts w:cs="Simplified Arabic" w:hint="cs"/>
          <w:rtl/>
        </w:rPr>
        <w:t xml:space="preserve">وأبلغ ممثل النرويج مؤتمر الأطراف بأنه رهنا بموافقة البرلمان، ستمنح النرويج مبلغا قدره </w:t>
      </w:r>
      <w:r w:rsidR="00C42230">
        <w:rPr>
          <w:rFonts w:cs="Simplified Arabic" w:hint="cs"/>
          <w:rtl/>
        </w:rPr>
        <w:t>3</w:t>
      </w:r>
      <w:r w:rsidRPr="00997CAE">
        <w:rPr>
          <w:rFonts w:cs="Simplified Arabic" w:hint="cs"/>
          <w:rtl/>
        </w:rPr>
        <w:t xml:space="preserve">50000 دولارا لحلقات العمل الإقليمية في أفريقيا، وأمريكا اللاتينية والبحر الكاريبي، وآسيا والمحيط الهادئ كمساهمة منها لمزيد من المناقشة بشأن الإطار لما بعد عام 2020. وقال أيضا </w:t>
      </w:r>
      <w:r w:rsidR="00C42230">
        <w:rPr>
          <w:rFonts w:cs="Simplified Arabic" w:hint="cs"/>
          <w:rtl/>
        </w:rPr>
        <w:t>إ</w:t>
      </w:r>
      <w:r w:rsidRPr="00997CAE">
        <w:rPr>
          <w:rFonts w:cs="Simplified Arabic" w:hint="cs"/>
          <w:rtl/>
        </w:rPr>
        <w:t xml:space="preserve">ن النرويج ستوفر الدعم لسفر المندوبين من </w:t>
      </w:r>
      <w:r w:rsidR="009E71B5" w:rsidRPr="00997CAE">
        <w:rPr>
          <w:rFonts w:cs="Simplified Arabic" w:hint="cs"/>
          <w:rtl/>
        </w:rPr>
        <w:t>العالم النامي</w:t>
      </w:r>
      <w:r w:rsidRPr="00997CAE">
        <w:rPr>
          <w:rFonts w:cs="Simplified Arabic" w:hint="cs"/>
          <w:rtl/>
        </w:rPr>
        <w:t xml:space="preserve"> لحضور مؤتمر تروندهايم بشأن التنوع البيولوجي، المقرر عقده في يوليه/تموز 2019.</w:t>
      </w:r>
    </w:p>
    <w:p w:rsidR="00CB2B3F" w:rsidRDefault="00B236D6" w:rsidP="00FF7FA5">
      <w:pPr>
        <w:pStyle w:val="ListParagraph"/>
        <w:numPr>
          <w:ilvl w:val="0"/>
          <w:numId w:val="6"/>
        </w:numPr>
        <w:bidi/>
        <w:spacing w:line="216" w:lineRule="auto"/>
        <w:ind w:left="0" w:firstLine="0"/>
        <w:rPr>
          <w:rFonts w:cs="Simplified Arabic"/>
        </w:rPr>
      </w:pPr>
      <w:r>
        <w:rPr>
          <w:rFonts w:cs="Simplified Arabic" w:hint="cs"/>
          <w:rtl/>
        </w:rPr>
        <w:t>وفي الجلسة العامة السادسة للاجتماع، المنعقدة في 28 نوفمبر/تشرين الثاني 2018، استأنف مؤتمر الأطراف نظره في مشروع المقرر بشأن مقترحات لعملية شاملة وتشاركية لتحضير الإطار العالمي للتنوع البيولوجي لما بعد عام 2020.</w:t>
      </w:r>
    </w:p>
    <w:p w:rsidR="00B236D6" w:rsidRDefault="00B236D6" w:rsidP="00C42230">
      <w:pPr>
        <w:pStyle w:val="ListParagraph"/>
        <w:numPr>
          <w:ilvl w:val="0"/>
          <w:numId w:val="6"/>
        </w:numPr>
        <w:bidi/>
        <w:spacing w:line="216" w:lineRule="auto"/>
        <w:ind w:left="0" w:firstLine="0"/>
        <w:rPr>
          <w:rFonts w:cs="Simplified Arabic"/>
        </w:rPr>
      </w:pPr>
      <w:r>
        <w:rPr>
          <w:rFonts w:cs="Simplified Arabic" w:hint="cs"/>
          <w:rtl/>
        </w:rPr>
        <w:t xml:space="preserve">وأدلى ببيانات </w:t>
      </w:r>
      <w:r w:rsidRPr="00997CAE">
        <w:rPr>
          <w:rFonts w:cs="Simplified Arabic" w:hint="cs"/>
          <w:rtl/>
        </w:rPr>
        <w:t xml:space="preserve">ممثلو الأرجنتين، والبرازيل، </w:t>
      </w:r>
      <w:r>
        <w:rPr>
          <w:rFonts w:cs="Simplified Arabic" w:hint="cs"/>
          <w:rtl/>
        </w:rPr>
        <w:t xml:space="preserve">وكندا، وكولومبيا، </w:t>
      </w:r>
      <w:r w:rsidRPr="00997CAE">
        <w:rPr>
          <w:rFonts w:cs="Simplified Arabic" w:hint="cs"/>
          <w:rtl/>
        </w:rPr>
        <w:t xml:space="preserve">وكوستاريكا، </w:t>
      </w:r>
      <w:r>
        <w:rPr>
          <w:rFonts w:cs="Simplified Arabic" w:hint="cs"/>
          <w:rtl/>
        </w:rPr>
        <w:t xml:space="preserve">وكوبا، وإكوادور، ومصر، </w:t>
      </w:r>
      <w:r w:rsidRPr="00997CAE">
        <w:rPr>
          <w:rFonts w:cs="Simplified Arabic" w:hint="cs"/>
          <w:rtl/>
        </w:rPr>
        <w:t>والاتحاد ال</w:t>
      </w:r>
      <w:r w:rsidR="00C42230">
        <w:rPr>
          <w:rFonts w:cs="Simplified Arabic" w:hint="cs"/>
          <w:rtl/>
        </w:rPr>
        <w:t>أوروب</w:t>
      </w:r>
      <w:r>
        <w:rPr>
          <w:rFonts w:cs="Simplified Arabic" w:hint="cs"/>
          <w:rtl/>
        </w:rPr>
        <w:t>ي ودوله الأعضاء الثماني</w:t>
      </w:r>
      <w:r w:rsidRPr="00997CAE">
        <w:rPr>
          <w:rFonts w:cs="Simplified Arabic" w:hint="cs"/>
          <w:rtl/>
        </w:rPr>
        <w:t xml:space="preserve"> والعشرين، </w:t>
      </w:r>
      <w:r>
        <w:rPr>
          <w:rFonts w:cs="Simplified Arabic" w:hint="cs"/>
          <w:rtl/>
        </w:rPr>
        <w:t xml:space="preserve">وغواتيمالا، والهند، واليابان، وماليزيا (بالنيابة عن البلدان ذات التنوع البيولوجي الشديد المتقاربة التفكير)، </w:t>
      </w:r>
      <w:r w:rsidRPr="00997CAE">
        <w:rPr>
          <w:rFonts w:cs="Simplified Arabic" w:hint="cs"/>
          <w:rtl/>
        </w:rPr>
        <w:t xml:space="preserve">والمكسيك، والمغرب، </w:t>
      </w:r>
      <w:r>
        <w:rPr>
          <w:rFonts w:cs="Simplified Arabic" w:hint="cs"/>
          <w:rtl/>
        </w:rPr>
        <w:t xml:space="preserve">ونيوزيلندا، والنرويج، </w:t>
      </w:r>
      <w:r w:rsidRPr="00997CAE">
        <w:rPr>
          <w:rFonts w:cs="Simplified Arabic" w:hint="cs"/>
          <w:rtl/>
        </w:rPr>
        <w:t>وبيرو</w:t>
      </w:r>
      <w:r>
        <w:rPr>
          <w:rFonts w:cs="Simplified Arabic" w:hint="cs"/>
          <w:rtl/>
        </w:rPr>
        <w:t>، وجنوب أفريقيا، وسويسرا، وأوغندا،</w:t>
      </w:r>
      <w:r w:rsidRPr="00997CAE">
        <w:rPr>
          <w:rFonts w:cs="Simplified Arabic" w:hint="cs"/>
          <w:rtl/>
        </w:rPr>
        <w:t xml:space="preserve"> وأوروغواي</w:t>
      </w:r>
      <w:r>
        <w:rPr>
          <w:rFonts w:cs="Simplified Arabic" w:hint="cs"/>
          <w:rtl/>
        </w:rPr>
        <w:t xml:space="preserve"> وفنزويلا (جمهورية </w:t>
      </w:r>
      <w:r>
        <w:rPr>
          <w:rFonts w:cs="Simplified Arabic"/>
          <w:rtl/>
        </w:rPr>
        <w:t>–</w:t>
      </w:r>
      <w:r>
        <w:rPr>
          <w:rFonts w:cs="Simplified Arabic" w:hint="cs"/>
          <w:rtl/>
        </w:rPr>
        <w:t xml:space="preserve"> البوليفارية)</w:t>
      </w:r>
      <w:r w:rsidRPr="00997CAE">
        <w:rPr>
          <w:rFonts w:cs="Simplified Arabic" w:hint="cs"/>
          <w:rtl/>
        </w:rPr>
        <w:t>.</w:t>
      </w:r>
    </w:p>
    <w:p w:rsidR="007B52A3" w:rsidRDefault="007B52A3" w:rsidP="007B52A3">
      <w:pPr>
        <w:pStyle w:val="ListParagraph"/>
        <w:numPr>
          <w:ilvl w:val="0"/>
          <w:numId w:val="6"/>
        </w:numPr>
        <w:bidi/>
        <w:spacing w:line="216" w:lineRule="auto"/>
        <w:ind w:left="0" w:firstLine="0"/>
        <w:rPr>
          <w:rFonts w:cs="Simplified Arabic"/>
        </w:rPr>
      </w:pPr>
      <w:r>
        <w:rPr>
          <w:rFonts w:cs="Simplified Arabic" w:hint="cs"/>
          <w:rtl/>
        </w:rPr>
        <w:t>وفي الجلسة العامة السابعة للاجتماع، المنعقدة في 29 نوفمبر/تشرين الثاني 2018، استأنف مؤتمر الأطراف نظره في مشروع المقرر الذي قدمته الرئيسة.</w:t>
      </w:r>
    </w:p>
    <w:p w:rsidR="007B52A3" w:rsidRDefault="007B52A3" w:rsidP="00C42230">
      <w:pPr>
        <w:pStyle w:val="ListParagraph"/>
        <w:numPr>
          <w:ilvl w:val="0"/>
          <w:numId w:val="6"/>
        </w:numPr>
        <w:bidi/>
        <w:spacing w:line="216" w:lineRule="auto"/>
        <w:ind w:left="0" w:firstLine="0"/>
        <w:rPr>
          <w:rFonts w:cs="Simplified Arabic"/>
        </w:rPr>
      </w:pPr>
      <w:r>
        <w:rPr>
          <w:rFonts w:cs="Simplified Arabic" w:hint="cs"/>
          <w:rtl/>
        </w:rPr>
        <w:t>وأدلى ببيانات ممثلو البرازيل، والاتحاد الأوروبي ودوله الأعضاء الثماني والعشرين، وماليزيا (بالنيابة عن مجموعة البلدان ذا</w:t>
      </w:r>
      <w:r w:rsidR="00C42230">
        <w:rPr>
          <w:rFonts w:cs="Simplified Arabic" w:hint="cs"/>
          <w:rtl/>
        </w:rPr>
        <w:t>ت</w:t>
      </w:r>
      <w:r>
        <w:rPr>
          <w:rFonts w:cs="Simplified Arabic" w:hint="cs"/>
          <w:rtl/>
        </w:rPr>
        <w:t xml:space="preserve"> التنوع البيولوجي الشديد المتقاربة التفكير) وأوغندا.</w:t>
      </w:r>
    </w:p>
    <w:p w:rsidR="007B52A3" w:rsidRDefault="007B52A3" w:rsidP="007B52A3">
      <w:pPr>
        <w:pStyle w:val="ListParagraph"/>
        <w:numPr>
          <w:ilvl w:val="0"/>
          <w:numId w:val="6"/>
        </w:numPr>
        <w:bidi/>
        <w:spacing w:line="216" w:lineRule="auto"/>
        <w:ind w:left="0" w:firstLine="0"/>
        <w:rPr>
          <w:rFonts w:cs="Simplified Arabic"/>
        </w:rPr>
      </w:pPr>
      <w:r>
        <w:rPr>
          <w:rFonts w:cs="Simplified Arabic" w:hint="cs"/>
          <w:rtl/>
        </w:rPr>
        <w:t>وعقب التصحيحات الشفوية بواسطة الأمانة، اعتمد مؤتمر الأطراف المقرر 14/34، بصيغته المعدلة شفوياً (للاطلاع على النص، انظر الفصل الأول).</w:t>
      </w:r>
    </w:p>
    <w:p w:rsidR="007B52A3" w:rsidRDefault="00C42230" w:rsidP="007B52A3">
      <w:pPr>
        <w:pStyle w:val="ListParagraph"/>
        <w:numPr>
          <w:ilvl w:val="0"/>
          <w:numId w:val="6"/>
        </w:numPr>
        <w:bidi/>
        <w:spacing w:line="216" w:lineRule="auto"/>
        <w:ind w:left="0" w:firstLine="0"/>
        <w:rPr>
          <w:rFonts w:cs="Simplified Arabic"/>
        </w:rPr>
      </w:pPr>
      <w:r>
        <w:rPr>
          <w:rFonts w:cs="Simplified Arabic" w:hint="cs"/>
          <w:rtl/>
        </w:rPr>
        <w:t xml:space="preserve">وأعلنت ممثلة عن المملكة المتحدة لبريطانيا العظمى وأيرلندا الشمالية أنه دعما لنهج شامل يستند إلى العلم لإعداد إطار طموح للتنوع البيولوجي لما بعد عام 2020، فإن حكومة بلدها ستسهم بتمويل طوعي إضافي إلى الأمانة بمبلغ </w:t>
      </w:r>
      <w:r>
        <w:rPr>
          <w:rFonts w:cs="Simplified Arabic" w:hint="cs"/>
          <w:rtl/>
        </w:rPr>
        <w:lastRenderedPageBreak/>
        <w:t xml:space="preserve">000 265 </w:t>
      </w:r>
      <w:r w:rsidR="001B3784">
        <w:rPr>
          <w:rFonts w:cs="Simplified Arabic" w:hint="cs"/>
          <w:rtl/>
        </w:rPr>
        <w:t xml:space="preserve">جنيها استرليني لتنظيم اجتماع تشاور أفريقي وأنشطة تتعلق بتجميع وتحليل وإيصال المدخلات الثائمة على المعارف إلى العملية. ووأضافت أنه دعما آخر لذلك النهج، سيسهم بلدها بمبلغ 000 150 جنيها استرلينيا إلى الصندوق الاستئماني الطوعي الخاص لتيسير مشاركة الأطراف في عملية الاتفاقية (الصندوق </w:t>
      </w:r>
      <w:r w:rsidR="001B3784">
        <w:rPr>
          <w:rFonts w:cs="Simplified Arabic"/>
          <w:lang w:val="en-US"/>
        </w:rPr>
        <w:t>BZ</w:t>
      </w:r>
      <w:r w:rsidR="001B3784">
        <w:rPr>
          <w:rFonts w:cs="Simplified Arabic" w:hint="cs"/>
          <w:rtl/>
        </w:rPr>
        <w:t>).</w:t>
      </w:r>
    </w:p>
    <w:p w:rsidR="007B52A3" w:rsidRDefault="001B3784" w:rsidP="007B52A3">
      <w:pPr>
        <w:pStyle w:val="ListParagraph"/>
        <w:numPr>
          <w:ilvl w:val="0"/>
          <w:numId w:val="6"/>
        </w:numPr>
        <w:bidi/>
        <w:spacing w:line="216" w:lineRule="auto"/>
        <w:ind w:left="0" w:firstLine="0"/>
        <w:rPr>
          <w:rFonts w:cs="Simplified Arabic"/>
        </w:rPr>
      </w:pPr>
      <w:r>
        <w:rPr>
          <w:rFonts w:cs="Simplified Arabic" w:hint="cs"/>
          <w:rtl/>
        </w:rPr>
        <w:t>وفي الجلسة العامة الثامنة، المنعقدة في 29 نوفمبر/تشرين الثاني 2018، وبعد اعتماد المقررات ذات الصلة، قرر مؤتمر الأطراف تعيين السيد باسيل فان هافر (كندا) والسيد فرانسيس أوغوال (أوغندا) كرئيسين مشاركين للفريق العامل بين الدورات المنشأ لدعم التحضير للإطار العالمي للتنوع البيولوجي لما بعد عام 2020.</w:t>
      </w:r>
    </w:p>
    <w:p w:rsidR="00B236D6" w:rsidRPr="00997CAE" w:rsidRDefault="007B52A3" w:rsidP="007B52A3">
      <w:pPr>
        <w:pStyle w:val="ListParagraph"/>
        <w:numPr>
          <w:ilvl w:val="0"/>
          <w:numId w:val="6"/>
        </w:numPr>
        <w:bidi/>
        <w:spacing w:line="216" w:lineRule="auto"/>
        <w:ind w:left="0" w:firstLine="0"/>
        <w:rPr>
          <w:rFonts w:cs="Simplified Arabic"/>
        </w:rPr>
      </w:pPr>
      <w:r>
        <w:rPr>
          <w:rFonts w:cs="Simplified Arabic" w:hint="cs"/>
          <w:rtl/>
        </w:rPr>
        <w:t xml:space="preserve">وأدلى ببيان ممثل </w:t>
      </w:r>
      <w:r w:rsidR="001B3784">
        <w:rPr>
          <w:rFonts w:cs="Simplified Arabic" w:hint="cs"/>
          <w:rtl/>
        </w:rPr>
        <w:t xml:space="preserve">عن </w:t>
      </w:r>
      <w:r>
        <w:rPr>
          <w:rFonts w:cs="Simplified Arabic" w:hint="cs"/>
          <w:rtl/>
        </w:rPr>
        <w:t>الأرجنتين</w:t>
      </w:r>
      <w:r w:rsidR="00B236D6">
        <w:rPr>
          <w:rFonts w:cs="Simplified Arabic" w:hint="cs"/>
          <w:rtl/>
        </w:rPr>
        <w:t>.</w:t>
      </w:r>
    </w:p>
    <w:p w:rsidR="005858D4" w:rsidRPr="007B52A3" w:rsidRDefault="00356BE7" w:rsidP="001C08DD">
      <w:pPr>
        <w:pStyle w:val="ListParagraph"/>
        <w:bidi/>
        <w:spacing w:line="216" w:lineRule="auto"/>
        <w:ind w:left="0"/>
        <w:rPr>
          <w:rFonts w:cs="Simplified Arabic"/>
          <w:b/>
          <w:bCs/>
        </w:rPr>
      </w:pPr>
      <w:r w:rsidRPr="007B52A3">
        <w:rPr>
          <w:rFonts w:cs="Simplified Arabic" w:hint="cs"/>
          <w:b/>
          <w:bCs/>
          <w:rtl/>
        </w:rPr>
        <w:t>التوقعات العالمية للتنوع البيولوجي</w:t>
      </w:r>
    </w:p>
    <w:p w:rsidR="009E71B5" w:rsidRPr="00997CAE" w:rsidRDefault="005858D4" w:rsidP="00FF7FA5">
      <w:pPr>
        <w:pStyle w:val="ListParagraph"/>
        <w:numPr>
          <w:ilvl w:val="0"/>
          <w:numId w:val="6"/>
        </w:numPr>
        <w:bidi/>
        <w:spacing w:line="216" w:lineRule="auto"/>
        <w:ind w:left="0" w:firstLine="0"/>
        <w:rPr>
          <w:rFonts w:cs="Simplified Arabic"/>
        </w:rPr>
      </w:pPr>
      <w:r w:rsidRPr="00997CAE">
        <w:rPr>
          <w:rFonts w:cs="Simplified Arabic"/>
          <w:rtl/>
        </w:rPr>
        <w:t>لدى نظر</w:t>
      </w:r>
      <w:r w:rsidR="00356BE7" w:rsidRPr="00997CAE">
        <w:rPr>
          <w:rFonts w:cs="Simplified Arabic" w:hint="cs"/>
          <w:rtl/>
        </w:rPr>
        <w:t>ه</w:t>
      </w:r>
      <w:r w:rsidRPr="00997CAE">
        <w:rPr>
          <w:rFonts w:cs="Simplified Arabic"/>
          <w:rtl/>
        </w:rPr>
        <w:t xml:space="preserve"> في </w:t>
      </w:r>
      <w:r w:rsidR="009E71B5" w:rsidRPr="00997CAE">
        <w:rPr>
          <w:rFonts w:cs="Simplified Arabic" w:hint="cs"/>
          <w:rtl/>
        </w:rPr>
        <w:t xml:space="preserve">العنصر الثالث من </w:t>
      </w:r>
      <w:r w:rsidRPr="00997CAE">
        <w:rPr>
          <w:rFonts w:cs="Simplified Arabic"/>
          <w:rtl/>
        </w:rPr>
        <w:t>هذا البند</w:t>
      </w:r>
      <w:r w:rsidR="009E71B5" w:rsidRPr="00997CAE">
        <w:rPr>
          <w:rFonts w:cs="Simplified Arabic" w:hint="cs"/>
          <w:rtl/>
        </w:rPr>
        <w:t xml:space="preserve"> من جدول الأعمال</w:t>
      </w:r>
      <w:r w:rsidR="00356BE7" w:rsidRPr="00997CAE">
        <w:rPr>
          <w:rFonts w:cs="Simplified Arabic" w:hint="cs"/>
          <w:rtl/>
        </w:rPr>
        <w:t>،</w:t>
      </w:r>
      <w:r w:rsidRPr="00997CAE">
        <w:rPr>
          <w:rFonts w:cs="Simplified Arabic"/>
          <w:rtl/>
        </w:rPr>
        <w:t xml:space="preserve"> </w:t>
      </w:r>
      <w:r w:rsidR="00B236D6">
        <w:rPr>
          <w:rFonts w:cs="Simplified Arabic" w:hint="cs"/>
          <w:rtl/>
        </w:rPr>
        <w:t xml:space="preserve">بشأن إعداد الإصدار الخامس من </w:t>
      </w:r>
      <w:r w:rsidR="00B236D6" w:rsidRPr="001B3784">
        <w:rPr>
          <w:rFonts w:cs="Simplified Arabic" w:hint="cs"/>
          <w:i/>
          <w:iCs/>
          <w:rtl/>
        </w:rPr>
        <w:t>التوقعات العالمية للتنوع البيولوجي</w:t>
      </w:r>
      <w:r w:rsidR="00B236D6">
        <w:rPr>
          <w:rFonts w:cs="Simplified Arabic" w:hint="cs"/>
          <w:rtl/>
        </w:rPr>
        <w:t xml:space="preserve">، </w:t>
      </w:r>
      <w:r w:rsidRPr="00997CAE">
        <w:rPr>
          <w:rFonts w:cs="Simplified Arabic"/>
          <w:rtl/>
        </w:rPr>
        <w:t xml:space="preserve">كان أمام </w:t>
      </w:r>
      <w:r w:rsidR="009E71B5" w:rsidRPr="00997CAE">
        <w:rPr>
          <w:rFonts w:cs="Simplified Arabic" w:hint="cs"/>
          <w:rtl/>
        </w:rPr>
        <w:t>مؤتمر الأطراف</w:t>
      </w:r>
      <w:r w:rsidR="00313083">
        <w:rPr>
          <w:rFonts w:cs="Simplified Arabic" w:hint="cs"/>
          <w:rtl/>
        </w:rPr>
        <w:t>، بالإضافة إلى وثائق المعلومات المختلفة،</w:t>
      </w:r>
      <w:r w:rsidR="009E71B5" w:rsidRPr="00997CAE">
        <w:rPr>
          <w:rFonts w:cs="Simplified Arabic" w:hint="cs"/>
          <w:rtl/>
        </w:rPr>
        <w:t xml:space="preserve"> مشروع مقرر </w:t>
      </w:r>
      <w:r w:rsidR="00360037" w:rsidRPr="00997CAE">
        <w:rPr>
          <w:rFonts w:cs="Simplified Arabic" w:hint="cs"/>
          <w:rtl/>
        </w:rPr>
        <w:t>يستند</w:t>
      </w:r>
      <w:r w:rsidR="009E71B5" w:rsidRPr="00997CAE">
        <w:rPr>
          <w:rFonts w:cs="Simplified Arabic" w:hint="cs"/>
          <w:rtl/>
        </w:rPr>
        <w:t xml:space="preserve"> إلى</w:t>
      </w:r>
      <w:r w:rsidRPr="00997CAE">
        <w:rPr>
          <w:rFonts w:cs="Simplified Arabic"/>
          <w:rtl/>
        </w:rPr>
        <w:t xml:space="preserve"> التوصية</w:t>
      </w:r>
      <w:r w:rsidRPr="00997CAE">
        <w:rPr>
          <w:rFonts w:cs="Simplified Arabic" w:hint="cs"/>
          <w:rtl/>
        </w:rPr>
        <w:t xml:space="preserve"> 21/5 </w:t>
      </w:r>
      <w:r w:rsidRPr="00997CAE">
        <w:rPr>
          <w:rFonts w:cs="Simplified Arabic"/>
          <w:rtl/>
        </w:rPr>
        <w:t xml:space="preserve">للهيئة الفرعية للمشورة </w:t>
      </w:r>
      <w:r w:rsidRPr="00997CAE">
        <w:rPr>
          <w:rFonts w:cs="Simplified Arabic" w:hint="cs"/>
          <w:rtl/>
        </w:rPr>
        <w:t>العلمية والتقنية والتكنولوجية</w:t>
      </w:r>
      <w:r w:rsidR="007B52A3">
        <w:rPr>
          <w:rFonts w:cs="Simplified Arabic" w:hint="cs"/>
          <w:rtl/>
        </w:rPr>
        <w:t>،</w:t>
      </w:r>
      <w:r w:rsidRPr="00997CAE">
        <w:rPr>
          <w:rFonts w:cs="Simplified Arabic" w:hint="cs"/>
          <w:rtl/>
        </w:rPr>
        <w:t xml:space="preserve"> ال</w:t>
      </w:r>
      <w:r w:rsidR="001B3784">
        <w:rPr>
          <w:rFonts w:cs="Simplified Arabic" w:hint="cs"/>
          <w:rtl/>
        </w:rPr>
        <w:t>وارد</w:t>
      </w:r>
      <w:r w:rsidRPr="00997CAE">
        <w:rPr>
          <w:rFonts w:cs="Simplified Arabic" w:hint="cs"/>
          <w:rtl/>
        </w:rPr>
        <w:t xml:space="preserve"> في تجميع مشاريع المقررات </w:t>
      </w:r>
      <w:r w:rsidRPr="00997CAE">
        <w:rPr>
          <w:rFonts w:cs="Simplified Arabic"/>
        </w:rPr>
        <w:t>(CBD/COP/14/2)</w:t>
      </w:r>
      <w:r w:rsidR="00260DBB" w:rsidRPr="00997CAE">
        <w:rPr>
          <w:rFonts w:cs="Simplified Arabic"/>
          <w:rtl/>
          <w:lang w:bidi="ar-LY"/>
        </w:rPr>
        <w:t>.</w:t>
      </w:r>
    </w:p>
    <w:p w:rsidR="009E71B5" w:rsidRPr="00997CAE" w:rsidRDefault="00313083" w:rsidP="00FF7FA5">
      <w:pPr>
        <w:pStyle w:val="ListParagraph"/>
        <w:numPr>
          <w:ilvl w:val="0"/>
          <w:numId w:val="6"/>
        </w:numPr>
        <w:bidi/>
        <w:spacing w:line="216" w:lineRule="auto"/>
        <w:ind w:left="0" w:firstLine="0"/>
        <w:rPr>
          <w:rFonts w:cs="Simplified Arabic"/>
        </w:rPr>
      </w:pPr>
      <w:r>
        <w:rPr>
          <w:rFonts w:cs="Simplified Arabic" w:hint="cs"/>
          <w:rtl/>
        </w:rPr>
        <w:t>وتناول أيضا الممثلون الذين أدلوا ببيانات عن العنصر الأول من هذا البند، المذكورين أعلاه، العنصر الثالث من هذا البند في تلك البيانات.</w:t>
      </w:r>
    </w:p>
    <w:p w:rsidR="008E0E15" w:rsidRDefault="008E0E15" w:rsidP="00FF7FA5">
      <w:pPr>
        <w:pStyle w:val="ListParagraph"/>
        <w:numPr>
          <w:ilvl w:val="0"/>
          <w:numId w:val="6"/>
        </w:numPr>
        <w:bidi/>
        <w:spacing w:line="216" w:lineRule="auto"/>
        <w:ind w:left="0" w:firstLine="0"/>
        <w:rPr>
          <w:rFonts w:cs="Simplified Arabic"/>
        </w:rPr>
      </w:pPr>
      <w:r>
        <w:rPr>
          <w:rFonts w:cs="Simplified Arabic" w:hint="cs"/>
          <w:rtl/>
        </w:rPr>
        <w:t>واستنادا إلى الآراء المعرب عنها، قالت الرئيسة إنها ستعد مشروع مقرر بشأن المسألة.</w:t>
      </w:r>
    </w:p>
    <w:p w:rsidR="009E71B5" w:rsidRPr="00997CAE" w:rsidRDefault="009E71B5" w:rsidP="00FF7FA5">
      <w:pPr>
        <w:pStyle w:val="ListParagraph"/>
        <w:numPr>
          <w:ilvl w:val="0"/>
          <w:numId w:val="6"/>
        </w:numPr>
        <w:bidi/>
        <w:spacing w:line="216" w:lineRule="auto"/>
        <w:ind w:left="0" w:firstLine="0"/>
        <w:rPr>
          <w:rFonts w:cs="Simplified Arabic"/>
        </w:rPr>
      </w:pPr>
      <w:r w:rsidRPr="00997CAE">
        <w:rPr>
          <w:rFonts w:cs="Simplified Arabic" w:hint="cs"/>
          <w:rtl/>
        </w:rPr>
        <w:t xml:space="preserve">وفي الجلسة العامة الخامسة للاجتماع، المنعقدة في 25 نوفمبر/تشرين الثاني، نظر مؤتمر الأطراف في مشروع مقرر قدمته </w:t>
      </w:r>
      <w:r w:rsidR="00313083">
        <w:rPr>
          <w:rFonts w:cs="Simplified Arabic" w:hint="cs"/>
          <w:rtl/>
        </w:rPr>
        <w:t>ال</w:t>
      </w:r>
      <w:r w:rsidRPr="00997CAE">
        <w:rPr>
          <w:rFonts w:cs="Simplified Arabic" w:hint="cs"/>
          <w:rtl/>
        </w:rPr>
        <w:t>رئيسة.</w:t>
      </w:r>
    </w:p>
    <w:p w:rsidR="009E71B5" w:rsidRPr="00997CAE" w:rsidRDefault="009E71B5" w:rsidP="00FF7FA5">
      <w:pPr>
        <w:pStyle w:val="ListParagraph"/>
        <w:numPr>
          <w:ilvl w:val="0"/>
          <w:numId w:val="6"/>
        </w:numPr>
        <w:bidi/>
        <w:spacing w:line="216" w:lineRule="auto"/>
        <w:ind w:left="0" w:firstLine="0"/>
        <w:rPr>
          <w:rFonts w:cs="Simplified Arabic"/>
        </w:rPr>
      </w:pPr>
      <w:r w:rsidRPr="00997CAE">
        <w:rPr>
          <w:rFonts w:cs="Simplified Arabic" w:hint="cs"/>
          <w:rtl/>
        </w:rPr>
        <w:t>وأدلى ببيانات ممثلو كوستاريكا، والاتحاد</w:t>
      </w:r>
      <w:r w:rsidR="00EE5359">
        <w:rPr>
          <w:rFonts w:cs="Simplified Arabic" w:hint="cs"/>
          <w:rtl/>
        </w:rPr>
        <w:t xml:space="preserve"> الأوروبي ودوله الأعضاء الثماني</w:t>
      </w:r>
      <w:r w:rsidRPr="00997CAE">
        <w:rPr>
          <w:rFonts w:cs="Simplified Arabic" w:hint="cs"/>
          <w:rtl/>
        </w:rPr>
        <w:t xml:space="preserve"> والعشرين، والنرويج وجنوب أفريقيا.</w:t>
      </w:r>
    </w:p>
    <w:p w:rsidR="005858D4" w:rsidRPr="00997CAE" w:rsidRDefault="009E71B5" w:rsidP="00FF7FA5">
      <w:pPr>
        <w:pStyle w:val="ListParagraph"/>
        <w:numPr>
          <w:ilvl w:val="0"/>
          <w:numId w:val="6"/>
        </w:numPr>
        <w:bidi/>
        <w:spacing w:line="216" w:lineRule="auto"/>
        <w:ind w:left="0" w:firstLine="0"/>
        <w:rPr>
          <w:rFonts w:cs="Simplified Arabic"/>
        </w:rPr>
      </w:pPr>
      <w:r w:rsidRPr="00997CAE">
        <w:rPr>
          <w:rFonts w:cs="Simplified Arabic" w:hint="cs"/>
          <w:rtl/>
        </w:rPr>
        <w:t>وعقب تبادل الآراء، تمت الموافقة على مشروع المقرر، بصيغته المعدلة شفويا</w:t>
      </w:r>
      <w:r w:rsidR="001B3784">
        <w:rPr>
          <w:rFonts w:cs="Simplified Arabic" w:hint="cs"/>
          <w:rtl/>
        </w:rPr>
        <w:t>ً</w:t>
      </w:r>
      <w:r w:rsidRPr="00997CAE">
        <w:rPr>
          <w:rFonts w:cs="Simplified Arabic" w:hint="cs"/>
          <w:rtl/>
        </w:rPr>
        <w:t xml:space="preserve">، لاعتمادة الرسمي بوصفة مشروع المقرر </w:t>
      </w:r>
      <w:r w:rsidRPr="00997CAE">
        <w:rPr>
          <w:rFonts w:cs="Simplified Arabic"/>
        </w:rPr>
        <w:t>CBD/COP/14/L.</w:t>
      </w:r>
      <w:r w:rsidRPr="00997CAE">
        <w:rPr>
          <w:rFonts w:cs="Simplified Arabic"/>
          <w:lang w:val="en-US"/>
        </w:rPr>
        <w:t>1</w:t>
      </w:r>
      <w:r w:rsidRPr="00997CAE">
        <w:rPr>
          <w:rFonts w:cs="Simplified Arabic"/>
        </w:rPr>
        <w:t>7</w:t>
      </w:r>
      <w:r w:rsidRPr="00997CAE">
        <w:rPr>
          <w:rFonts w:cs="Simplified Arabic" w:hint="cs"/>
          <w:rtl/>
        </w:rPr>
        <w:t>.</w:t>
      </w:r>
    </w:p>
    <w:p w:rsidR="009E71B5" w:rsidRPr="00997CAE" w:rsidRDefault="007B52A3" w:rsidP="007B52A3">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17</w:t>
      </w:r>
      <w:r>
        <w:rPr>
          <w:rFonts w:cs="Simplified Arabic" w:hint="cs"/>
          <w:rtl/>
        </w:rPr>
        <w:t xml:space="preserve"> بوصفه المقرر 14/35 (للاطلاع على النص، انظر الفصل الأول).</w:t>
      </w:r>
    </w:p>
    <w:p w:rsidR="009E71B5" w:rsidRPr="00477B14" w:rsidRDefault="009E71B5" w:rsidP="00094717">
      <w:pPr>
        <w:pStyle w:val="Heading2"/>
        <w:rPr>
          <w:lang w:val="en-GB"/>
        </w:rPr>
      </w:pPr>
      <w:bookmarkStart w:id="235" w:name="_Toc6140021"/>
      <w:r w:rsidRPr="00997CAE">
        <w:rPr>
          <w:rFonts w:hint="cs"/>
          <w:rtl/>
        </w:rPr>
        <w:t>البند 18 -</w:t>
      </w:r>
      <w:r w:rsidRPr="00997CAE">
        <w:rPr>
          <w:rFonts w:hint="cs"/>
          <w:rtl/>
        </w:rPr>
        <w:tab/>
        <w:t>معلومات التسلسل الرقمي بشأن الموارد الجينية</w:t>
      </w:r>
      <w:bookmarkEnd w:id="235"/>
    </w:p>
    <w:p w:rsidR="008E0E15" w:rsidRPr="002E513E" w:rsidRDefault="008E0E15" w:rsidP="00BF355A">
      <w:pPr>
        <w:pStyle w:val="ListParagraph"/>
        <w:numPr>
          <w:ilvl w:val="0"/>
          <w:numId w:val="6"/>
        </w:numPr>
        <w:bidi/>
        <w:spacing w:line="216" w:lineRule="auto"/>
        <w:ind w:left="0" w:firstLine="0"/>
        <w:rPr>
          <w:rFonts w:cs="Simplified Arabic"/>
          <w:bCs/>
          <w:snapToGrid w:val="0"/>
          <w:rtl/>
          <w:lang w:val="en-US"/>
        </w:rPr>
      </w:pPr>
      <w:r w:rsidRPr="002E513E">
        <w:rPr>
          <w:rFonts w:cs="Simplified Arabic" w:hint="cs"/>
          <w:snapToGrid w:val="0"/>
          <w:kern w:val="22"/>
          <w:rtl/>
        </w:rPr>
        <w:t xml:space="preserve">تناول الفريق العامل الأول البند 18 من جدول الأعمال </w:t>
      </w:r>
      <w:r w:rsidR="001B3784">
        <w:rPr>
          <w:rFonts w:cs="Simplified Arabic" w:hint="cs"/>
          <w:snapToGrid w:val="0"/>
          <w:kern w:val="22"/>
          <w:rtl/>
        </w:rPr>
        <w:t>في</w:t>
      </w:r>
      <w:r w:rsidRPr="002E513E">
        <w:rPr>
          <w:rFonts w:cs="Simplified Arabic" w:hint="cs"/>
          <w:snapToGrid w:val="0"/>
          <w:kern w:val="22"/>
          <w:rtl/>
        </w:rPr>
        <w:t xml:space="preserve"> </w:t>
      </w:r>
      <w:r w:rsidR="00C458C4">
        <w:rPr>
          <w:rFonts w:cs="Simplified Arabic" w:hint="cs"/>
          <w:snapToGrid w:val="0"/>
          <w:kern w:val="22"/>
          <w:rtl/>
        </w:rPr>
        <w:t>جلست</w:t>
      </w:r>
      <w:r w:rsidRPr="002E513E">
        <w:rPr>
          <w:rFonts w:cs="Simplified Arabic" w:hint="cs"/>
          <w:snapToGrid w:val="0"/>
          <w:kern w:val="22"/>
          <w:rtl/>
        </w:rPr>
        <w:t>ه الثاني</w:t>
      </w:r>
      <w:r w:rsidR="00C458C4">
        <w:rPr>
          <w:rFonts w:cs="Simplified Arabic" w:hint="cs"/>
          <w:snapToGrid w:val="0"/>
          <w:kern w:val="22"/>
          <w:rtl/>
        </w:rPr>
        <w:t>ة</w:t>
      </w:r>
      <w:r w:rsidRPr="002E513E">
        <w:rPr>
          <w:rFonts w:cs="Simplified Arabic" w:hint="cs"/>
          <w:snapToGrid w:val="0"/>
          <w:kern w:val="22"/>
          <w:rtl/>
        </w:rPr>
        <w:t xml:space="preserve"> </w:t>
      </w:r>
      <w:r w:rsidRPr="002E513E">
        <w:rPr>
          <w:rFonts w:cs="Simplified Arabic"/>
          <w:color w:val="000000"/>
          <w:kern w:val="22"/>
          <w:rtl/>
        </w:rPr>
        <w:t xml:space="preserve">في 18 نوفمبر/تشرين </w:t>
      </w:r>
      <w:r w:rsidRPr="002E513E">
        <w:rPr>
          <w:rFonts w:cs="Simplified Arabic" w:hint="cs"/>
          <w:color w:val="000000"/>
          <w:kern w:val="22"/>
          <w:rtl/>
        </w:rPr>
        <w:t>الثاني 2018</w:t>
      </w:r>
      <w:r w:rsidR="002E513E">
        <w:rPr>
          <w:rFonts w:cs="Simplified Arabic" w:hint="cs"/>
          <w:color w:val="000000"/>
          <w:kern w:val="22"/>
          <w:rtl/>
        </w:rPr>
        <w:t xml:space="preserve"> </w:t>
      </w:r>
      <w:r w:rsidR="002E513E">
        <w:rPr>
          <w:rFonts w:cs="Simplified Arabic" w:hint="cs"/>
          <w:rtl/>
        </w:rPr>
        <w:t>بالاقتران مع البند 17 من جدول أعمال مؤتمر الأطراف العامل كاجتماع للأطراف في بروتوكول ناغويا</w:t>
      </w:r>
      <w:r w:rsidRPr="002E513E">
        <w:rPr>
          <w:rFonts w:cs="Simplified Arabic"/>
          <w:color w:val="000000"/>
          <w:kern w:val="22"/>
          <w:rtl/>
        </w:rPr>
        <w:t>.</w:t>
      </w:r>
      <w:r w:rsidRPr="002E513E">
        <w:rPr>
          <w:rFonts w:cs="Simplified Arabic" w:hint="cs"/>
          <w:color w:val="000000"/>
          <w:kern w:val="22"/>
          <w:rtl/>
        </w:rPr>
        <w:t xml:space="preserve"> </w:t>
      </w:r>
      <w:r w:rsidRPr="002E513E">
        <w:rPr>
          <w:rFonts w:cs="Simplified Arabic"/>
          <w:rtl/>
        </w:rPr>
        <w:t xml:space="preserve">وكان معروضا على الفريق العامل في غضون نظره في البند </w:t>
      </w:r>
      <w:r w:rsidRPr="002E513E">
        <w:rPr>
          <w:rFonts w:cs="Simplified Arabic"/>
          <w:kern w:val="22"/>
          <w:rtl/>
        </w:rPr>
        <w:t xml:space="preserve">تقرير من أمانة </w:t>
      </w:r>
      <w:r w:rsidR="00BF355A">
        <w:rPr>
          <w:rFonts w:cs="Simplified Arabic" w:hint="cs"/>
          <w:kern w:val="22"/>
          <w:rtl/>
        </w:rPr>
        <w:t>هيئ</w:t>
      </w:r>
      <w:r w:rsidRPr="002E513E">
        <w:rPr>
          <w:rFonts w:cs="Simplified Arabic" w:hint="cs"/>
          <w:kern w:val="22"/>
          <w:rtl/>
        </w:rPr>
        <w:t>ة</w:t>
      </w:r>
      <w:r w:rsidRPr="002E513E">
        <w:rPr>
          <w:rFonts w:cs="Simplified Arabic"/>
          <w:kern w:val="22"/>
          <w:rtl/>
        </w:rPr>
        <w:t xml:space="preserve"> الموارد الوراثية للأغذية والزراعة: دراسة استطلاعية لتقصي الحقائق بشأن "معلومات التسلسل الرقمي" </w:t>
      </w:r>
      <w:r w:rsidR="00CB7607">
        <w:rPr>
          <w:rFonts w:cs="Simplified Arabic" w:hint="cs"/>
          <w:kern w:val="22"/>
          <w:rtl/>
        </w:rPr>
        <w:t>بشأ</w:t>
      </w:r>
      <w:r w:rsidRPr="002E513E">
        <w:rPr>
          <w:rFonts w:cs="Simplified Arabic"/>
          <w:kern w:val="22"/>
          <w:rtl/>
        </w:rPr>
        <w:t>ن الموارد ال</w:t>
      </w:r>
      <w:r w:rsidR="00CB7607">
        <w:rPr>
          <w:rFonts w:cs="Simplified Arabic" w:hint="cs"/>
          <w:kern w:val="22"/>
          <w:rtl/>
        </w:rPr>
        <w:t>وراثي</w:t>
      </w:r>
      <w:r w:rsidRPr="002E513E">
        <w:rPr>
          <w:rFonts w:cs="Simplified Arabic"/>
          <w:kern w:val="22"/>
          <w:rtl/>
        </w:rPr>
        <w:t>ية للأغذية والزراعة</w:t>
      </w:r>
      <w:r w:rsidRPr="002E513E">
        <w:rPr>
          <w:rFonts w:cs="Simplified Arabic" w:hint="cs"/>
          <w:kern w:val="22"/>
          <w:rtl/>
        </w:rPr>
        <w:t xml:space="preserve"> </w:t>
      </w:r>
      <w:r w:rsidRPr="002E513E">
        <w:rPr>
          <w:rFonts w:cs="Simplified Arabic"/>
          <w:bCs/>
          <w:lang w:val="en-US"/>
        </w:rPr>
        <w:t>(</w:t>
      </w:r>
      <w:r w:rsidRPr="002E513E">
        <w:rPr>
          <w:rFonts w:cs="Simplified Arabic"/>
          <w:bCs/>
          <w:snapToGrid w:val="0"/>
          <w:lang w:val="en-US"/>
        </w:rPr>
        <w:t>CBD/COP/14/INF/29)</w:t>
      </w:r>
      <w:r w:rsidRPr="00CB7607">
        <w:rPr>
          <w:rFonts w:cs="Simplified Arabic" w:hint="cs"/>
          <w:i/>
          <w:kern w:val="22"/>
          <w:rtl/>
        </w:rPr>
        <w:t>؛</w:t>
      </w:r>
      <w:r w:rsidRPr="002E513E">
        <w:rPr>
          <w:rFonts w:cs="Simplified Arabic"/>
          <w:kern w:val="22"/>
          <w:rtl/>
        </w:rPr>
        <w:t xml:space="preserve"> ودراسات حالة وأمثلة عن استخدام معلومات التسلسل الرقمي فيما يتعلق بأهداف الاتفاقية وبروتوكول</w:t>
      </w:r>
      <w:r w:rsidRPr="002E513E">
        <w:rPr>
          <w:rFonts w:cs="Simplified Arabic" w:hint="cs"/>
          <w:kern w:val="22"/>
          <w:rtl/>
        </w:rPr>
        <w:t xml:space="preserve"> </w:t>
      </w:r>
      <w:r w:rsidRPr="002E513E">
        <w:rPr>
          <w:rFonts w:cs="Simplified Arabic"/>
          <w:kern w:val="22"/>
          <w:rtl/>
        </w:rPr>
        <w:t>ناغويا</w:t>
      </w:r>
      <w:r w:rsidRPr="002E513E">
        <w:rPr>
          <w:rFonts w:cs="Simplified Arabic" w:hint="cs"/>
          <w:kern w:val="22"/>
          <w:rtl/>
        </w:rPr>
        <w:t xml:space="preserve"> </w:t>
      </w:r>
      <w:r w:rsidRPr="002E513E">
        <w:rPr>
          <w:rFonts w:cs="Simplified Arabic"/>
          <w:kern w:val="22"/>
        </w:rPr>
        <w:t>(CBD/DSI/AHTEG/2018/1/2/Add.1)</w:t>
      </w:r>
      <w:r w:rsidRPr="002E513E">
        <w:rPr>
          <w:rFonts w:cs="Simplified Arabic" w:hint="cs"/>
          <w:kern w:val="22"/>
          <w:rtl/>
        </w:rPr>
        <w:t xml:space="preserve">، </w:t>
      </w:r>
      <w:r w:rsidRPr="002E513E">
        <w:rPr>
          <w:rFonts w:cs="Simplified Arabic"/>
          <w:kern w:val="22"/>
          <w:rtl/>
        </w:rPr>
        <w:t>ومعلومات التسلسل الرقمي بشأن الموارد الجينية في العمليات الدولية الجارية ومناقشات السياسات الجارية</w:t>
      </w:r>
      <w:r w:rsidRPr="002E513E">
        <w:rPr>
          <w:rFonts w:cs="Simplified Arabic" w:hint="cs"/>
          <w:kern w:val="22"/>
          <w:rtl/>
        </w:rPr>
        <w:t xml:space="preserve"> </w:t>
      </w:r>
      <w:r w:rsidRPr="002E513E">
        <w:rPr>
          <w:rFonts w:cs="Simplified Arabic"/>
          <w:kern w:val="22"/>
        </w:rPr>
        <w:t>(CBD/DSI/AHTEG/2018/1/2/Add.2)</w:t>
      </w:r>
      <w:r w:rsidR="00BF355A">
        <w:rPr>
          <w:rFonts w:cs="Simplified Arabic" w:hint="cs"/>
          <w:kern w:val="22"/>
          <w:rtl/>
        </w:rPr>
        <w:t>؛</w:t>
      </w:r>
      <w:r w:rsidRPr="002E513E">
        <w:rPr>
          <w:rFonts w:cs="Simplified Arabic" w:hint="cs"/>
          <w:kern w:val="22"/>
          <w:rtl/>
        </w:rPr>
        <w:t xml:space="preserve"> </w:t>
      </w:r>
      <w:r w:rsidRPr="002E513E">
        <w:rPr>
          <w:rFonts w:cs="Simplified Arabic"/>
          <w:i/>
          <w:kern w:val="22"/>
          <w:rtl/>
        </w:rPr>
        <w:t>و</w:t>
      </w:r>
      <w:r w:rsidRPr="002E513E">
        <w:rPr>
          <w:rFonts w:cs="Simplified Arabic"/>
          <w:kern w:val="22"/>
          <w:rtl/>
        </w:rPr>
        <w:t>دراسة استطلاعية لتقصي الحقائق</w:t>
      </w:r>
      <w:r w:rsidRPr="002E513E">
        <w:rPr>
          <w:rFonts w:cs="Simplified Arabic" w:hint="cs"/>
          <w:kern w:val="22"/>
          <w:rtl/>
        </w:rPr>
        <w:t xml:space="preserve"> بشأن </w:t>
      </w:r>
      <w:r w:rsidRPr="002E513E">
        <w:rPr>
          <w:rFonts w:cs="Simplified Arabic"/>
          <w:kern w:val="22"/>
          <w:rtl/>
        </w:rPr>
        <w:t>معلومات التسلسل الرقمي بشأن الموارد الجينية</w:t>
      </w:r>
      <w:r w:rsidR="00CB7607">
        <w:rPr>
          <w:rFonts w:cs="Simplified Arabic" w:hint="cs"/>
          <w:kern w:val="22"/>
          <w:rtl/>
        </w:rPr>
        <w:t xml:space="preserve"> في سياق ا</w:t>
      </w:r>
      <w:r w:rsidRPr="002E513E">
        <w:rPr>
          <w:rFonts w:cs="Simplified Arabic" w:hint="cs"/>
          <w:kern w:val="22"/>
          <w:rtl/>
        </w:rPr>
        <w:t xml:space="preserve">تفاقية التنوع البيولوجي وبروتوكول ناغويا </w:t>
      </w:r>
      <w:r w:rsidRPr="002E513E">
        <w:rPr>
          <w:rFonts w:cs="Simplified Arabic"/>
          <w:kern w:val="22"/>
        </w:rPr>
        <w:t>(CBD/DSI/AHTEG/2018/1/3)</w:t>
      </w:r>
      <w:r w:rsidRPr="002E513E">
        <w:rPr>
          <w:rFonts w:cs="Simplified Arabic" w:hint="cs"/>
          <w:kern w:val="22"/>
          <w:rtl/>
        </w:rPr>
        <w:t xml:space="preserve">. كما كان </w:t>
      </w:r>
      <w:r w:rsidRPr="002E513E">
        <w:rPr>
          <w:rFonts w:cs="Simplified Arabic"/>
          <w:rtl/>
        </w:rPr>
        <w:t xml:space="preserve">معروضا على الفريق العامل </w:t>
      </w:r>
      <w:r w:rsidRPr="002E513E">
        <w:rPr>
          <w:rFonts w:cs="Simplified Arabic" w:hint="cs"/>
          <w:rtl/>
        </w:rPr>
        <w:t>مشروع مقرّر مستمد من التوصية</w:t>
      </w:r>
      <w:r w:rsidR="005B6FC4">
        <w:rPr>
          <w:rFonts w:cs="Simplified Arabic" w:hint="cs"/>
          <w:rtl/>
        </w:rPr>
        <w:t xml:space="preserve"> 22/1</w:t>
      </w:r>
      <w:r w:rsidRPr="002E513E">
        <w:rPr>
          <w:rFonts w:cs="Simplified Arabic" w:hint="cs"/>
          <w:rtl/>
        </w:rPr>
        <w:t xml:space="preserve"> </w:t>
      </w:r>
      <w:r w:rsidR="00BF355A">
        <w:rPr>
          <w:rFonts w:cs="Simplified Arabic" w:hint="cs"/>
          <w:rtl/>
        </w:rPr>
        <w:t>ل</w:t>
      </w:r>
      <w:r w:rsidRPr="002E513E">
        <w:rPr>
          <w:rFonts w:cs="Simplified Arabic" w:hint="cs"/>
          <w:rtl/>
        </w:rPr>
        <w:t>لهيئة الفرعية للمشورة العلمية والتقنية والتكنولوجية</w:t>
      </w:r>
      <w:r w:rsidR="00BF355A">
        <w:rPr>
          <w:rFonts w:cs="Simplified Arabic" w:hint="cs"/>
          <w:rtl/>
        </w:rPr>
        <w:t>، المبين</w:t>
      </w:r>
      <w:r w:rsidRPr="002E513E">
        <w:rPr>
          <w:rFonts w:cs="Simplified Arabic" w:hint="cs"/>
          <w:rtl/>
        </w:rPr>
        <w:t xml:space="preserve"> في تجميع مشاريع المقررات </w:t>
      </w:r>
      <w:r w:rsidRPr="005B6FC4">
        <w:rPr>
          <w:b/>
          <w:snapToGrid w:val="0"/>
          <w:szCs w:val="22"/>
          <w:rtl/>
          <w:lang w:val="en-US"/>
        </w:rPr>
        <w:t>(</w:t>
      </w:r>
      <w:r w:rsidRPr="005B6FC4">
        <w:rPr>
          <w:bCs/>
          <w:snapToGrid w:val="0"/>
          <w:szCs w:val="22"/>
          <w:lang w:val="en-US"/>
        </w:rPr>
        <w:t>CBD/COP/14/2</w:t>
      </w:r>
      <w:r w:rsidRPr="005B6FC4">
        <w:rPr>
          <w:b/>
          <w:snapToGrid w:val="0"/>
          <w:szCs w:val="22"/>
          <w:rtl/>
          <w:lang w:val="en-US"/>
        </w:rPr>
        <w:t>)</w:t>
      </w:r>
      <w:r w:rsidRPr="002E513E">
        <w:rPr>
          <w:rFonts w:cs="Simplified Arabic" w:hint="cs"/>
          <w:bCs/>
          <w:snapToGrid w:val="0"/>
          <w:rtl/>
          <w:lang w:val="en-US"/>
        </w:rPr>
        <w:t>.</w:t>
      </w:r>
    </w:p>
    <w:p w:rsidR="008E0E15" w:rsidRPr="002E513E" w:rsidRDefault="008E0E15" w:rsidP="008C4263">
      <w:pPr>
        <w:pStyle w:val="ListParagraph"/>
        <w:numPr>
          <w:ilvl w:val="0"/>
          <w:numId w:val="6"/>
        </w:numPr>
        <w:bidi/>
        <w:spacing w:line="216" w:lineRule="auto"/>
        <w:ind w:left="0" w:firstLine="0"/>
        <w:rPr>
          <w:rFonts w:cs="Simplified Arabic"/>
          <w:color w:val="000000"/>
          <w:rtl/>
        </w:rPr>
      </w:pPr>
      <w:r w:rsidRPr="00BF355A">
        <w:rPr>
          <w:rFonts w:cs="Simplified Arabic" w:hint="cs"/>
          <w:snapToGrid w:val="0"/>
          <w:kern w:val="22"/>
          <w:rtl/>
        </w:rPr>
        <w:lastRenderedPageBreak/>
        <w:t>و</w:t>
      </w:r>
      <w:r w:rsidRPr="00BF355A">
        <w:rPr>
          <w:rFonts w:cs="Simplified Arabic"/>
          <w:snapToGrid w:val="0"/>
          <w:kern w:val="22"/>
          <w:rtl/>
        </w:rPr>
        <w:t xml:space="preserve">أدلى ببيانات ممثلو </w:t>
      </w:r>
      <w:r w:rsidRPr="00BF355A">
        <w:rPr>
          <w:rFonts w:cs="Simplified Arabic"/>
          <w:rtl/>
        </w:rPr>
        <w:t>الأرجنتين</w:t>
      </w:r>
      <w:r w:rsidR="00BF355A">
        <w:rPr>
          <w:rFonts w:cs="Simplified Arabic" w:hint="cs"/>
          <w:rtl/>
        </w:rPr>
        <w:t xml:space="preserve">، وبيلاروس، وبوليفيا (دولة </w:t>
      </w:r>
      <w:r w:rsidR="00BF355A">
        <w:rPr>
          <w:rFonts w:cs="Simplified Arabic"/>
          <w:rtl/>
        </w:rPr>
        <w:t>–</w:t>
      </w:r>
      <w:r w:rsidR="00BF355A">
        <w:rPr>
          <w:rFonts w:cs="Simplified Arabic" w:hint="cs"/>
          <w:rtl/>
        </w:rPr>
        <w:t xml:space="preserve"> المتعددة القوميات)، وبوتسوانا، والبرازيل </w:t>
      </w:r>
      <w:r w:rsidR="00BF355A" w:rsidRPr="002E513E">
        <w:rPr>
          <w:rFonts w:cs="Simplified Arabic"/>
          <w:rtl/>
        </w:rPr>
        <w:t xml:space="preserve">(بالنيابة عن </w:t>
      </w:r>
      <w:r w:rsidR="008C4263">
        <w:rPr>
          <w:rFonts w:cs="Simplified Arabic" w:hint="cs"/>
          <w:rtl/>
        </w:rPr>
        <w:t xml:space="preserve">مجموعة </w:t>
      </w:r>
      <w:r w:rsidR="00BF355A" w:rsidRPr="002E513E">
        <w:rPr>
          <w:rFonts w:cs="Simplified Arabic"/>
          <w:rtl/>
        </w:rPr>
        <w:t>البلدان ذات التنوع البيولوجي الشديد والمتقاربة التفكير)</w:t>
      </w:r>
      <w:r w:rsidR="00BF355A">
        <w:rPr>
          <w:rFonts w:cs="Simplified Arabic" w:hint="cs"/>
          <w:color w:val="000000"/>
          <w:rtl/>
        </w:rPr>
        <w:t xml:space="preserve">، والكاميرون، وكندا، والصين، وكولومبيا، وكوستاريكا، والجمهورية الدومينيكية، وإكوادور، وإثيوبيا، </w:t>
      </w:r>
      <w:r w:rsidRPr="002E513E">
        <w:rPr>
          <w:rFonts w:cs="Simplified Arabic" w:hint="cs"/>
          <w:rtl/>
        </w:rPr>
        <w:t>و</w:t>
      </w:r>
      <w:r w:rsidRPr="002E513E">
        <w:rPr>
          <w:rFonts w:cs="Simplified Arabic"/>
          <w:rtl/>
        </w:rPr>
        <w:t xml:space="preserve">الاتحاد الأوروبي ودوله الأعضاء </w:t>
      </w:r>
      <w:r w:rsidR="00EE5359">
        <w:rPr>
          <w:rFonts w:cs="Simplified Arabic" w:hint="cs"/>
          <w:rtl/>
          <w:lang w:val="fr-CH"/>
        </w:rPr>
        <w:t>الثماني والعشرين</w:t>
      </w:r>
      <w:r w:rsidR="00EE5359" w:rsidRPr="00793E64">
        <w:rPr>
          <w:rFonts w:cs="Simplified Arabic"/>
          <w:rtl/>
          <w:lang w:val="fr-CH"/>
        </w:rPr>
        <w:t>،</w:t>
      </w:r>
      <w:r w:rsidRPr="002E513E">
        <w:rPr>
          <w:rFonts w:cs="Simplified Arabic"/>
          <w:color w:val="000000"/>
          <w:rtl/>
        </w:rPr>
        <w:t xml:space="preserve"> وغواتيمالا</w:t>
      </w:r>
      <w:r w:rsidR="00BF355A">
        <w:rPr>
          <w:rFonts w:cs="Simplified Arabic" w:hint="cs"/>
          <w:color w:val="000000"/>
          <w:rtl/>
        </w:rPr>
        <w:t>،</w:t>
      </w:r>
      <w:r w:rsidR="008C4263">
        <w:rPr>
          <w:rFonts w:cs="Simplified Arabic"/>
          <w:color w:val="000000"/>
          <w:rtl/>
        </w:rPr>
        <w:t xml:space="preserve"> وغينيا</w:t>
      </w:r>
      <w:r w:rsidR="00BF355A">
        <w:rPr>
          <w:rFonts w:cs="Simplified Arabic"/>
          <w:color w:val="000000"/>
          <w:rtl/>
        </w:rPr>
        <w:t>–</w:t>
      </w:r>
      <w:r w:rsidRPr="002E513E">
        <w:rPr>
          <w:rFonts w:cs="Simplified Arabic"/>
          <w:color w:val="000000"/>
          <w:rtl/>
        </w:rPr>
        <w:t xml:space="preserve"> بيساو</w:t>
      </w:r>
      <w:r w:rsidR="00BF355A">
        <w:rPr>
          <w:rFonts w:cs="Simplified Arabic" w:hint="cs"/>
          <w:color w:val="000000"/>
          <w:rtl/>
        </w:rPr>
        <w:t>، والهند، وإندونيسيا، واليابان، و</w:t>
      </w:r>
      <w:r w:rsidR="008C4263">
        <w:rPr>
          <w:rFonts w:cs="Simplified Arabic" w:hint="cs"/>
          <w:color w:val="000000"/>
          <w:rtl/>
        </w:rPr>
        <w:t>الأ</w:t>
      </w:r>
      <w:r w:rsidR="00BF355A">
        <w:rPr>
          <w:rFonts w:cs="Simplified Arabic" w:hint="cs"/>
          <w:color w:val="000000"/>
          <w:rtl/>
        </w:rPr>
        <w:t>ردن، وكينيا، ومدغشقر، وم</w:t>
      </w:r>
      <w:r w:rsidR="008C4263">
        <w:rPr>
          <w:rFonts w:cs="Simplified Arabic" w:hint="cs"/>
          <w:color w:val="000000"/>
          <w:rtl/>
        </w:rPr>
        <w:t>لا</w:t>
      </w:r>
      <w:r w:rsidR="00BF355A">
        <w:rPr>
          <w:rFonts w:cs="Simplified Arabic" w:hint="cs"/>
          <w:color w:val="000000"/>
          <w:rtl/>
        </w:rPr>
        <w:t>وي (بالنيابة عن المجموعة الأفريقية)، وماليزيا، والمكسيك، والمغرب، ونيوزيلندا، والنرويج، وبيرو، والفلبين، وجمهورية كوريا، والسنغال، وجنوب أفريقيا، والسودان، وسويسرا، وتايلند، وتوغو، وتركيا، وأوغندا، وجمهورية تنزانيا المتحدة، وأوروغواي</w:t>
      </w:r>
      <w:r w:rsidRPr="002E513E">
        <w:rPr>
          <w:rFonts w:cs="Simplified Arabic"/>
          <w:color w:val="000000"/>
          <w:rtl/>
        </w:rPr>
        <w:t xml:space="preserve"> وفنزويلا (جمهورية – البوليفارية)</w:t>
      </w:r>
      <w:r w:rsidR="00BF355A">
        <w:rPr>
          <w:rFonts w:cs="Simplified Arabic" w:hint="cs"/>
          <w:color w:val="000000"/>
          <w:rtl/>
        </w:rPr>
        <w:t>.</w:t>
      </w:r>
    </w:p>
    <w:p w:rsidR="008E0E15" w:rsidRPr="002E513E" w:rsidRDefault="008E0E15" w:rsidP="00C458C4">
      <w:pPr>
        <w:pStyle w:val="ListParagraph"/>
        <w:numPr>
          <w:ilvl w:val="0"/>
          <w:numId w:val="6"/>
        </w:numPr>
        <w:bidi/>
        <w:spacing w:line="216" w:lineRule="auto"/>
        <w:ind w:left="0" w:firstLine="0"/>
        <w:rPr>
          <w:rFonts w:cs="Simplified Arabic"/>
          <w:rtl/>
        </w:rPr>
      </w:pPr>
      <w:r w:rsidRPr="002E513E">
        <w:rPr>
          <w:rFonts w:cs="Simplified Arabic" w:hint="cs"/>
          <w:rtl/>
        </w:rPr>
        <w:t>وأدلى</w:t>
      </w:r>
      <w:r w:rsidRPr="002E513E">
        <w:rPr>
          <w:rFonts w:cs="Simplified Arabic"/>
          <w:rtl/>
        </w:rPr>
        <w:t xml:space="preserve"> </w:t>
      </w:r>
      <w:r w:rsidRPr="002E513E">
        <w:rPr>
          <w:rFonts w:cs="Simplified Arabic" w:hint="cs"/>
          <w:rtl/>
        </w:rPr>
        <w:t>ببيانات</w:t>
      </w:r>
      <w:r w:rsidRPr="002E513E">
        <w:rPr>
          <w:rFonts w:cs="Simplified Arabic"/>
          <w:rtl/>
        </w:rPr>
        <w:t xml:space="preserve"> </w:t>
      </w:r>
      <w:r w:rsidRPr="002E513E">
        <w:rPr>
          <w:rFonts w:cs="Simplified Arabic" w:hint="cs"/>
          <w:rtl/>
        </w:rPr>
        <w:t>أيضا</w:t>
      </w:r>
      <w:r w:rsidRPr="002E513E">
        <w:rPr>
          <w:rFonts w:cs="Simplified Arabic"/>
          <w:rtl/>
        </w:rPr>
        <w:t xml:space="preserve"> </w:t>
      </w:r>
      <w:r w:rsidRPr="002E513E">
        <w:rPr>
          <w:rFonts w:cs="Simplified Arabic" w:hint="cs"/>
          <w:rtl/>
        </w:rPr>
        <w:t>ممثلو</w:t>
      </w:r>
      <w:r w:rsidRPr="002E513E">
        <w:rPr>
          <w:rFonts w:cs="Simplified Arabic"/>
          <w:rtl/>
        </w:rPr>
        <w:t xml:space="preserve"> </w:t>
      </w:r>
      <w:r w:rsidRPr="002E513E">
        <w:rPr>
          <w:rFonts w:cs="Simplified Arabic" w:hint="cs"/>
          <w:rtl/>
        </w:rPr>
        <w:t>الاتحاد</w:t>
      </w:r>
      <w:r w:rsidRPr="002E513E">
        <w:rPr>
          <w:rFonts w:cs="Simplified Arabic"/>
          <w:rtl/>
        </w:rPr>
        <w:t xml:space="preserve"> </w:t>
      </w:r>
      <w:r w:rsidRPr="002E513E">
        <w:rPr>
          <w:rFonts w:cs="Simplified Arabic" w:hint="cs"/>
          <w:rtl/>
        </w:rPr>
        <w:t>الأفريقي،</w:t>
      </w:r>
      <w:r w:rsidRPr="002E513E">
        <w:rPr>
          <w:rFonts w:cs="Simplified Arabic"/>
          <w:rtl/>
        </w:rPr>
        <w:t xml:space="preserve"> </w:t>
      </w:r>
      <w:r w:rsidRPr="002E513E">
        <w:rPr>
          <w:rFonts w:cs="Simplified Arabic" w:hint="cs"/>
          <w:rtl/>
        </w:rPr>
        <w:t>وشعبة</w:t>
      </w:r>
      <w:r w:rsidRPr="002E513E">
        <w:rPr>
          <w:rFonts w:cs="Simplified Arabic"/>
          <w:rtl/>
        </w:rPr>
        <w:t xml:space="preserve"> </w:t>
      </w:r>
      <w:r w:rsidRPr="002E513E">
        <w:rPr>
          <w:rFonts w:cs="Simplified Arabic" w:hint="cs"/>
          <w:rtl/>
        </w:rPr>
        <w:t>شؤون</w:t>
      </w:r>
      <w:r w:rsidRPr="002E513E">
        <w:rPr>
          <w:rFonts w:cs="Simplified Arabic"/>
          <w:rtl/>
        </w:rPr>
        <w:t xml:space="preserve"> </w:t>
      </w:r>
      <w:r w:rsidRPr="002E513E">
        <w:rPr>
          <w:rFonts w:cs="Simplified Arabic" w:hint="cs"/>
          <w:rtl/>
        </w:rPr>
        <w:t>المحيطات</w:t>
      </w:r>
      <w:r w:rsidRPr="002E513E">
        <w:rPr>
          <w:rFonts w:cs="Simplified Arabic"/>
          <w:rtl/>
        </w:rPr>
        <w:t xml:space="preserve"> </w:t>
      </w:r>
      <w:r w:rsidRPr="002E513E">
        <w:rPr>
          <w:rFonts w:cs="Simplified Arabic" w:hint="cs"/>
          <w:rtl/>
        </w:rPr>
        <w:t>وقانون</w:t>
      </w:r>
      <w:r w:rsidRPr="002E513E">
        <w:rPr>
          <w:rFonts w:cs="Simplified Arabic"/>
          <w:rtl/>
        </w:rPr>
        <w:t xml:space="preserve"> </w:t>
      </w:r>
      <w:r w:rsidRPr="002E513E">
        <w:rPr>
          <w:rFonts w:cs="Simplified Arabic" w:hint="cs"/>
          <w:rtl/>
        </w:rPr>
        <w:t>البحار</w:t>
      </w:r>
      <w:r w:rsidRPr="002E513E">
        <w:rPr>
          <w:rFonts w:cs="Simplified Arabic"/>
          <w:rtl/>
        </w:rPr>
        <w:t xml:space="preserve"> </w:t>
      </w:r>
      <w:r w:rsidRPr="002E513E">
        <w:rPr>
          <w:rFonts w:cs="Simplified Arabic" w:hint="cs"/>
          <w:rtl/>
        </w:rPr>
        <w:t>التابعة</w:t>
      </w:r>
      <w:r w:rsidRPr="002E513E">
        <w:rPr>
          <w:rFonts w:cs="Simplified Arabic"/>
          <w:rtl/>
        </w:rPr>
        <w:t xml:space="preserve"> </w:t>
      </w:r>
      <w:r w:rsidRPr="002E513E">
        <w:rPr>
          <w:rFonts w:cs="Simplified Arabic" w:hint="cs"/>
          <w:rtl/>
        </w:rPr>
        <w:t>لمكتب</w:t>
      </w:r>
      <w:r w:rsidRPr="002E513E">
        <w:rPr>
          <w:rFonts w:cs="Simplified Arabic"/>
          <w:rtl/>
        </w:rPr>
        <w:t xml:space="preserve"> </w:t>
      </w:r>
      <w:r w:rsidRPr="002E513E">
        <w:rPr>
          <w:rFonts w:cs="Simplified Arabic" w:hint="cs"/>
          <w:rtl/>
        </w:rPr>
        <w:t>الأمم</w:t>
      </w:r>
      <w:r w:rsidRPr="002E513E">
        <w:rPr>
          <w:rFonts w:cs="Simplified Arabic"/>
          <w:rtl/>
        </w:rPr>
        <w:t xml:space="preserve"> </w:t>
      </w:r>
      <w:r w:rsidRPr="002E513E">
        <w:rPr>
          <w:rFonts w:cs="Simplified Arabic" w:hint="cs"/>
          <w:rtl/>
        </w:rPr>
        <w:t>المتحدة</w:t>
      </w:r>
      <w:r w:rsidRPr="002E513E">
        <w:rPr>
          <w:rFonts w:cs="Simplified Arabic"/>
          <w:rtl/>
        </w:rPr>
        <w:t xml:space="preserve"> </w:t>
      </w:r>
      <w:r w:rsidRPr="002E513E">
        <w:rPr>
          <w:rFonts w:cs="Simplified Arabic" w:hint="cs"/>
          <w:rtl/>
        </w:rPr>
        <w:t>للشؤون</w:t>
      </w:r>
      <w:r w:rsidRPr="002E513E">
        <w:rPr>
          <w:rFonts w:cs="Simplified Arabic"/>
          <w:rtl/>
        </w:rPr>
        <w:t xml:space="preserve"> </w:t>
      </w:r>
      <w:r w:rsidRPr="002E513E">
        <w:rPr>
          <w:rFonts w:cs="Simplified Arabic" w:hint="cs"/>
          <w:rtl/>
        </w:rPr>
        <w:t>القانونية،</w:t>
      </w:r>
      <w:r w:rsidRPr="002E513E">
        <w:rPr>
          <w:rFonts w:cs="Simplified Arabic"/>
          <w:rtl/>
        </w:rPr>
        <w:t xml:space="preserve"> </w:t>
      </w:r>
      <w:r w:rsidRPr="002E513E">
        <w:rPr>
          <w:rFonts w:cs="Simplified Arabic" w:hint="cs"/>
          <w:rtl/>
        </w:rPr>
        <w:t>ومنظمة</w:t>
      </w:r>
      <w:r w:rsidRPr="002E513E">
        <w:rPr>
          <w:rFonts w:cs="Simplified Arabic"/>
          <w:rtl/>
        </w:rPr>
        <w:t xml:space="preserve"> </w:t>
      </w:r>
      <w:r w:rsidRPr="002E513E">
        <w:rPr>
          <w:rFonts w:cs="Simplified Arabic" w:hint="cs"/>
          <w:rtl/>
        </w:rPr>
        <w:t>الصحة</w:t>
      </w:r>
      <w:r w:rsidRPr="002E513E">
        <w:rPr>
          <w:rFonts w:cs="Simplified Arabic"/>
          <w:rtl/>
        </w:rPr>
        <w:t xml:space="preserve"> </w:t>
      </w:r>
      <w:r w:rsidRPr="002E513E">
        <w:rPr>
          <w:rFonts w:cs="Simplified Arabic" w:hint="cs"/>
          <w:rtl/>
        </w:rPr>
        <w:t>العالمية</w:t>
      </w:r>
      <w:r w:rsidRPr="002E513E">
        <w:rPr>
          <w:rFonts w:cs="Simplified Arabic"/>
          <w:rtl/>
        </w:rPr>
        <w:t xml:space="preserve"> </w:t>
      </w:r>
      <w:r w:rsidRPr="005B6FC4">
        <w:rPr>
          <w:szCs w:val="22"/>
          <w:rtl/>
        </w:rPr>
        <w:t>(</w:t>
      </w:r>
      <w:r w:rsidRPr="005B6FC4">
        <w:rPr>
          <w:szCs w:val="22"/>
        </w:rPr>
        <w:t>WHO</w:t>
      </w:r>
      <w:r w:rsidRPr="005B6FC4">
        <w:rPr>
          <w:szCs w:val="22"/>
          <w:rtl/>
        </w:rPr>
        <w:t>)</w:t>
      </w:r>
      <w:r w:rsidRPr="002E513E">
        <w:rPr>
          <w:rFonts w:cs="Simplified Arabic" w:hint="cs"/>
          <w:rtl/>
        </w:rPr>
        <w:t>،</w:t>
      </w:r>
      <w:r w:rsidRPr="002E513E">
        <w:rPr>
          <w:rFonts w:cs="Simplified Arabic"/>
          <w:rtl/>
        </w:rPr>
        <w:t xml:space="preserve"> </w:t>
      </w:r>
      <w:r w:rsidRPr="002E513E">
        <w:rPr>
          <w:rFonts w:cs="Simplified Arabic" w:hint="cs"/>
          <w:rtl/>
        </w:rPr>
        <w:t>والمنظمة</w:t>
      </w:r>
      <w:r w:rsidRPr="002E513E">
        <w:rPr>
          <w:rFonts w:cs="Simplified Arabic"/>
          <w:rtl/>
        </w:rPr>
        <w:t xml:space="preserve"> </w:t>
      </w:r>
      <w:r w:rsidRPr="002E513E">
        <w:rPr>
          <w:rFonts w:cs="Simplified Arabic" w:hint="cs"/>
          <w:rtl/>
        </w:rPr>
        <w:t>العالمية</w:t>
      </w:r>
      <w:r w:rsidRPr="002E513E">
        <w:rPr>
          <w:rFonts w:cs="Simplified Arabic"/>
          <w:rtl/>
        </w:rPr>
        <w:t xml:space="preserve"> </w:t>
      </w:r>
      <w:r w:rsidRPr="002E513E">
        <w:rPr>
          <w:rFonts w:cs="Simplified Arabic" w:hint="cs"/>
          <w:rtl/>
        </w:rPr>
        <w:t>للملكية</w:t>
      </w:r>
      <w:r w:rsidRPr="002E513E">
        <w:rPr>
          <w:rFonts w:cs="Simplified Arabic"/>
          <w:rtl/>
        </w:rPr>
        <w:t xml:space="preserve"> </w:t>
      </w:r>
      <w:r w:rsidRPr="002E513E">
        <w:rPr>
          <w:rFonts w:cs="Simplified Arabic" w:hint="cs"/>
          <w:rtl/>
        </w:rPr>
        <w:t>الفكرية</w:t>
      </w:r>
      <w:r w:rsidRPr="002E513E">
        <w:rPr>
          <w:rFonts w:cs="Simplified Arabic"/>
          <w:rtl/>
        </w:rPr>
        <w:t xml:space="preserve"> </w:t>
      </w:r>
      <w:r w:rsidRPr="005B6FC4">
        <w:rPr>
          <w:szCs w:val="22"/>
          <w:rtl/>
        </w:rPr>
        <w:t>(</w:t>
      </w:r>
      <w:r w:rsidRPr="005B6FC4">
        <w:rPr>
          <w:szCs w:val="22"/>
        </w:rPr>
        <w:t>WIPO</w:t>
      </w:r>
      <w:r w:rsidRPr="005B6FC4">
        <w:rPr>
          <w:szCs w:val="22"/>
          <w:rtl/>
        </w:rPr>
        <w:t>)</w:t>
      </w:r>
      <w:r w:rsidRPr="002E513E">
        <w:rPr>
          <w:rFonts w:cs="Simplified Arabic"/>
          <w:rtl/>
        </w:rPr>
        <w:t>.</w:t>
      </w:r>
    </w:p>
    <w:p w:rsidR="008E0E15" w:rsidRPr="002E513E" w:rsidRDefault="008E0E15" w:rsidP="00FF7FA5">
      <w:pPr>
        <w:pStyle w:val="ListParagraph"/>
        <w:numPr>
          <w:ilvl w:val="0"/>
          <w:numId w:val="6"/>
        </w:numPr>
        <w:bidi/>
        <w:spacing w:line="216" w:lineRule="auto"/>
        <w:ind w:left="0" w:firstLine="0"/>
        <w:rPr>
          <w:rFonts w:cs="Simplified Arabic"/>
          <w:rtl/>
        </w:rPr>
      </w:pPr>
      <w:r w:rsidRPr="002E513E">
        <w:rPr>
          <w:rFonts w:cs="Simplified Arabic" w:hint="cs"/>
          <w:rtl/>
        </w:rPr>
        <w:t>و</w:t>
      </w:r>
      <w:r w:rsidRPr="002E513E">
        <w:rPr>
          <w:rFonts w:cs="Simplified Arabic"/>
          <w:rtl/>
        </w:rPr>
        <w:t xml:space="preserve">أدلى ببيان </w:t>
      </w:r>
      <w:r w:rsidRPr="002E513E">
        <w:rPr>
          <w:rFonts w:cs="Simplified Arabic" w:hint="cs"/>
          <w:rtl/>
        </w:rPr>
        <w:t>إضافي</w:t>
      </w:r>
      <w:r w:rsidRPr="002E513E">
        <w:rPr>
          <w:rFonts w:cs="Simplified Arabic"/>
          <w:rtl/>
        </w:rPr>
        <w:t xml:space="preserve"> ممثل </w:t>
      </w:r>
      <w:r w:rsidRPr="002E513E">
        <w:rPr>
          <w:rFonts w:cs="Simplified Arabic" w:hint="cs"/>
          <w:rtl/>
        </w:rPr>
        <w:t>عن ا</w:t>
      </w:r>
      <w:r w:rsidRPr="002E513E">
        <w:rPr>
          <w:rFonts w:cs="Simplified Arabic"/>
          <w:rtl/>
        </w:rPr>
        <w:t xml:space="preserve">لمنتدى الدولي للشعوب الأصلية المعني بالتنوع البيولوجي </w:t>
      </w:r>
      <w:r w:rsidRPr="005B6FC4">
        <w:rPr>
          <w:szCs w:val="22"/>
          <w:rtl/>
        </w:rPr>
        <w:t>(</w:t>
      </w:r>
      <w:r w:rsidRPr="005B6FC4">
        <w:rPr>
          <w:szCs w:val="22"/>
        </w:rPr>
        <w:t>IIFB</w:t>
      </w:r>
      <w:r w:rsidRPr="005B6FC4">
        <w:rPr>
          <w:szCs w:val="22"/>
          <w:rtl/>
        </w:rPr>
        <w:t>)</w:t>
      </w:r>
      <w:r w:rsidRPr="002E513E">
        <w:rPr>
          <w:rFonts w:cs="Simplified Arabic"/>
          <w:rtl/>
        </w:rPr>
        <w:t>.</w:t>
      </w:r>
    </w:p>
    <w:p w:rsidR="009E71B5" w:rsidRDefault="008E0E15" w:rsidP="00C458C4">
      <w:pPr>
        <w:pStyle w:val="ListParagraph"/>
        <w:numPr>
          <w:ilvl w:val="0"/>
          <w:numId w:val="6"/>
        </w:numPr>
        <w:bidi/>
        <w:spacing w:line="216" w:lineRule="auto"/>
        <w:ind w:left="0" w:firstLine="0"/>
        <w:rPr>
          <w:rFonts w:cs="Simplified Arabic"/>
        </w:rPr>
      </w:pPr>
      <w:r w:rsidRPr="002E513E">
        <w:rPr>
          <w:rFonts w:cs="Simplified Arabic" w:hint="cs"/>
          <w:rtl/>
        </w:rPr>
        <w:t>وبعد</w:t>
      </w:r>
      <w:r w:rsidRPr="002E513E">
        <w:rPr>
          <w:rFonts w:cs="Simplified Arabic"/>
          <w:rtl/>
        </w:rPr>
        <w:t xml:space="preserve"> </w:t>
      </w:r>
      <w:r w:rsidRPr="002E513E">
        <w:rPr>
          <w:rFonts w:cs="Simplified Arabic" w:hint="cs"/>
          <w:rtl/>
        </w:rPr>
        <w:t>تبادل</w:t>
      </w:r>
      <w:r w:rsidRPr="002E513E">
        <w:rPr>
          <w:rFonts w:cs="Simplified Arabic"/>
          <w:rtl/>
        </w:rPr>
        <w:t xml:space="preserve"> </w:t>
      </w:r>
      <w:r w:rsidRPr="002E513E">
        <w:rPr>
          <w:rFonts w:cs="Simplified Arabic" w:hint="cs"/>
          <w:rtl/>
        </w:rPr>
        <w:t>الآراء،</w:t>
      </w:r>
      <w:r w:rsidRPr="002E513E">
        <w:rPr>
          <w:rFonts w:cs="Simplified Arabic"/>
          <w:rtl/>
        </w:rPr>
        <w:t xml:space="preserve"> </w:t>
      </w:r>
      <w:r w:rsidR="00C458C4">
        <w:rPr>
          <w:rFonts w:cs="Simplified Arabic" w:hint="cs"/>
          <w:rtl/>
        </w:rPr>
        <w:t>قرر</w:t>
      </w:r>
      <w:r w:rsidRPr="002E513E">
        <w:rPr>
          <w:rFonts w:cs="Simplified Arabic"/>
          <w:rtl/>
        </w:rPr>
        <w:t xml:space="preserve"> </w:t>
      </w:r>
      <w:r w:rsidRPr="002E513E">
        <w:rPr>
          <w:rFonts w:cs="Simplified Arabic" w:hint="cs"/>
          <w:rtl/>
        </w:rPr>
        <w:t>الفريق</w:t>
      </w:r>
      <w:r w:rsidRPr="002E513E">
        <w:rPr>
          <w:rFonts w:cs="Simplified Arabic"/>
          <w:rtl/>
        </w:rPr>
        <w:t xml:space="preserve"> </w:t>
      </w:r>
      <w:r w:rsidRPr="002E513E">
        <w:rPr>
          <w:rFonts w:cs="Simplified Arabic" w:hint="cs"/>
          <w:rtl/>
        </w:rPr>
        <w:t>العامل</w:t>
      </w:r>
      <w:r w:rsidRPr="002E513E">
        <w:rPr>
          <w:rFonts w:cs="Simplified Arabic"/>
          <w:rtl/>
        </w:rPr>
        <w:t xml:space="preserve"> </w:t>
      </w:r>
      <w:r w:rsidRPr="002E513E">
        <w:rPr>
          <w:rFonts w:cs="Simplified Arabic" w:hint="cs"/>
          <w:rtl/>
        </w:rPr>
        <w:t>إنشاء</w:t>
      </w:r>
      <w:r w:rsidRPr="002E513E">
        <w:rPr>
          <w:rFonts w:cs="Simplified Arabic"/>
          <w:rtl/>
        </w:rPr>
        <w:t xml:space="preserve"> </w:t>
      </w:r>
      <w:r w:rsidRPr="002E513E">
        <w:rPr>
          <w:rFonts w:cs="Simplified Arabic" w:hint="cs"/>
          <w:rtl/>
        </w:rPr>
        <w:t>فريق</w:t>
      </w:r>
      <w:r w:rsidRPr="002E513E">
        <w:rPr>
          <w:rFonts w:cs="Simplified Arabic"/>
          <w:rtl/>
        </w:rPr>
        <w:t xml:space="preserve"> </w:t>
      </w:r>
      <w:r w:rsidRPr="002E513E">
        <w:rPr>
          <w:rFonts w:cs="Simplified Arabic" w:hint="cs"/>
          <w:rtl/>
        </w:rPr>
        <w:t>اتصال،</w:t>
      </w:r>
      <w:r w:rsidRPr="002E513E">
        <w:rPr>
          <w:rFonts w:cs="Simplified Arabic"/>
          <w:rtl/>
        </w:rPr>
        <w:t xml:space="preserve"> </w:t>
      </w:r>
      <w:r w:rsidRPr="002E513E">
        <w:rPr>
          <w:rFonts w:cs="Simplified Arabic" w:hint="cs"/>
          <w:rtl/>
        </w:rPr>
        <w:t>تشارك</w:t>
      </w:r>
      <w:r w:rsidRPr="002E513E">
        <w:rPr>
          <w:rFonts w:cs="Simplified Arabic"/>
          <w:rtl/>
        </w:rPr>
        <w:t xml:space="preserve"> </w:t>
      </w:r>
      <w:r w:rsidRPr="002E513E">
        <w:rPr>
          <w:rFonts w:cs="Simplified Arabic" w:hint="cs"/>
          <w:rtl/>
        </w:rPr>
        <w:t>في</w:t>
      </w:r>
      <w:r w:rsidRPr="002E513E">
        <w:rPr>
          <w:rFonts w:cs="Simplified Arabic"/>
          <w:rtl/>
        </w:rPr>
        <w:t xml:space="preserve"> </w:t>
      </w:r>
      <w:r w:rsidRPr="002E513E">
        <w:rPr>
          <w:rFonts w:cs="Simplified Arabic" w:hint="cs"/>
          <w:rtl/>
        </w:rPr>
        <w:t>رئاسته</w:t>
      </w:r>
      <w:r w:rsidRPr="002E513E">
        <w:rPr>
          <w:rFonts w:cs="Simplified Arabic"/>
          <w:rtl/>
        </w:rPr>
        <w:t xml:space="preserve"> </w:t>
      </w:r>
      <w:r w:rsidRPr="002E513E">
        <w:rPr>
          <w:rFonts w:cs="Simplified Arabic" w:hint="cs"/>
          <w:rtl/>
        </w:rPr>
        <w:t>السيدة</w:t>
      </w:r>
      <w:r w:rsidRPr="002E513E">
        <w:rPr>
          <w:rFonts w:cs="Simplified Arabic"/>
          <w:rtl/>
        </w:rPr>
        <w:t xml:space="preserve"> </w:t>
      </w:r>
      <w:r w:rsidRPr="002E513E">
        <w:rPr>
          <w:rFonts w:cs="Simplified Arabic" w:hint="cs"/>
          <w:rtl/>
        </w:rPr>
        <w:t>جورجينا</w:t>
      </w:r>
      <w:r w:rsidRPr="002E513E">
        <w:rPr>
          <w:rFonts w:cs="Simplified Arabic"/>
          <w:rtl/>
        </w:rPr>
        <w:t xml:space="preserve"> </w:t>
      </w:r>
      <w:r w:rsidRPr="002E513E">
        <w:rPr>
          <w:rFonts w:cs="Simplified Arabic" w:hint="cs"/>
          <w:rtl/>
        </w:rPr>
        <w:t>كاتاكورا</w:t>
      </w:r>
      <w:r w:rsidR="00C458C4">
        <w:rPr>
          <w:rFonts w:cs="Simplified Arabic" w:hint="cs"/>
          <w:rtl/>
        </w:rPr>
        <w:t>- فارغاس</w:t>
      </w:r>
      <w:r w:rsidRPr="002E513E">
        <w:rPr>
          <w:rFonts w:cs="Simplified Arabic"/>
          <w:rtl/>
        </w:rPr>
        <w:t xml:space="preserve"> (</w:t>
      </w:r>
      <w:r w:rsidRPr="002E513E">
        <w:rPr>
          <w:rFonts w:cs="Simplified Arabic" w:hint="cs"/>
          <w:rtl/>
        </w:rPr>
        <w:t>بوليفيا،</w:t>
      </w:r>
      <w:r w:rsidRPr="002E513E">
        <w:rPr>
          <w:rFonts w:cs="Simplified Arabic"/>
          <w:rtl/>
        </w:rPr>
        <w:t xml:space="preserve"> </w:t>
      </w:r>
      <w:r w:rsidRPr="002E513E">
        <w:rPr>
          <w:rFonts w:cs="Simplified Arabic" w:hint="cs"/>
          <w:rtl/>
        </w:rPr>
        <w:t>دولة</w:t>
      </w:r>
      <w:r w:rsidRPr="002E513E">
        <w:rPr>
          <w:rFonts w:cs="Simplified Arabic"/>
          <w:rtl/>
        </w:rPr>
        <w:t xml:space="preserve"> - </w:t>
      </w:r>
      <w:r w:rsidRPr="002E513E">
        <w:rPr>
          <w:rFonts w:cs="Simplified Arabic" w:hint="cs"/>
          <w:rtl/>
        </w:rPr>
        <w:t>المتعددة</w:t>
      </w:r>
      <w:r w:rsidRPr="002E513E">
        <w:rPr>
          <w:rFonts w:cs="Simplified Arabic"/>
          <w:rtl/>
        </w:rPr>
        <w:t xml:space="preserve"> </w:t>
      </w:r>
      <w:r w:rsidRPr="002E513E">
        <w:rPr>
          <w:rFonts w:cs="Simplified Arabic" w:hint="cs"/>
          <w:rtl/>
        </w:rPr>
        <w:t>القوميات</w:t>
      </w:r>
      <w:r w:rsidRPr="002E513E">
        <w:rPr>
          <w:rFonts w:cs="Simplified Arabic"/>
          <w:rtl/>
        </w:rPr>
        <w:t xml:space="preserve">) </w:t>
      </w:r>
      <w:r w:rsidRPr="002E513E">
        <w:rPr>
          <w:rFonts w:cs="Simplified Arabic" w:hint="cs"/>
          <w:rtl/>
        </w:rPr>
        <w:t>والسيد</w:t>
      </w:r>
      <w:r w:rsidRPr="002E513E">
        <w:rPr>
          <w:rFonts w:cs="Simplified Arabic"/>
          <w:rtl/>
        </w:rPr>
        <w:t xml:space="preserve"> </w:t>
      </w:r>
      <w:r w:rsidRPr="002E513E">
        <w:rPr>
          <w:rFonts w:cs="Simplified Arabic" w:hint="cs"/>
          <w:rtl/>
        </w:rPr>
        <w:t>نيكولاي</w:t>
      </w:r>
      <w:r w:rsidRPr="002E513E">
        <w:rPr>
          <w:rFonts w:cs="Simplified Arabic"/>
          <w:rtl/>
        </w:rPr>
        <w:t xml:space="preserve"> </w:t>
      </w:r>
      <w:r w:rsidRPr="002E513E">
        <w:rPr>
          <w:rFonts w:cs="Simplified Arabic" w:hint="cs"/>
          <w:rtl/>
        </w:rPr>
        <w:t>تزفيتكوف</w:t>
      </w:r>
      <w:r w:rsidRPr="002E513E">
        <w:rPr>
          <w:rFonts w:cs="Simplified Arabic"/>
          <w:rtl/>
        </w:rPr>
        <w:t xml:space="preserve"> (</w:t>
      </w:r>
      <w:r w:rsidRPr="002E513E">
        <w:rPr>
          <w:rFonts w:cs="Simplified Arabic" w:hint="cs"/>
          <w:rtl/>
        </w:rPr>
        <w:t>بلغاريا</w:t>
      </w:r>
      <w:r w:rsidRPr="002E513E">
        <w:rPr>
          <w:rFonts w:cs="Simplified Arabic"/>
          <w:rtl/>
        </w:rPr>
        <w:t>)</w:t>
      </w:r>
      <w:r w:rsidRPr="002E513E">
        <w:rPr>
          <w:rFonts w:cs="Simplified Arabic" w:hint="cs"/>
          <w:rtl/>
        </w:rPr>
        <w:t>،</w:t>
      </w:r>
      <w:r w:rsidRPr="002E513E">
        <w:rPr>
          <w:rFonts w:cs="Simplified Arabic"/>
          <w:rtl/>
        </w:rPr>
        <w:t xml:space="preserve"> </w:t>
      </w:r>
      <w:r w:rsidRPr="002E513E">
        <w:rPr>
          <w:rFonts w:cs="Simplified Arabic" w:hint="cs"/>
          <w:rtl/>
        </w:rPr>
        <w:t>لمواصلة</w:t>
      </w:r>
      <w:r w:rsidRPr="002E513E">
        <w:rPr>
          <w:rFonts w:cs="Simplified Arabic"/>
          <w:rtl/>
        </w:rPr>
        <w:t xml:space="preserve"> </w:t>
      </w:r>
      <w:r w:rsidRPr="002E513E">
        <w:rPr>
          <w:rFonts w:cs="Simplified Arabic" w:hint="cs"/>
          <w:rtl/>
        </w:rPr>
        <w:t>مناقشة</w:t>
      </w:r>
      <w:r w:rsidRPr="002E513E">
        <w:rPr>
          <w:rFonts w:cs="Simplified Arabic"/>
          <w:rtl/>
        </w:rPr>
        <w:t xml:space="preserve"> </w:t>
      </w:r>
      <w:r w:rsidRPr="002E513E">
        <w:rPr>
          <w:rFonts w:cs="Simplified Arabic" w:hint="cs"/>
          <w:rtl/>
        </w:rPr>
        <w:t>القضايا</w:t>
      </w:r>
      <w:r w:rsidRPr="002E513E">
        <w:rPr>
          <w:rFonts w:cs="Simplified Arabic"/>
          <w:rtl/>
        </w:rPr>
        <w:t xml:space="preserve"> </w:t>
      </w:r>
      <w:r w:rsidRPr="002E513E">
        <w:rPr>
          <w:rFonts w:cs="Simplified Arabic" w:hint="cs"/>
          <w:rtl/>
        </w:rPr>
        <w:t>المتعلقة</w:t>
      </w:r>
      <w:r w:rsidRPr="002E513E">
        <w:rPr>
          <w:rFonts w:cs="Simplified Arabic"/>
          <w:rtl/>
        </w:rPr>
        <w:t xml:space="preserve"> </w:t>
      </w:r>
      <w:r w:rsidRPr="002E513E">
        <w:rPr>
          <w:rFonts w:cs="Simplified Arabic" w:hint="cs"/>
          <w:rtl/>
        </w:rPr>
        <w:t>بالبند</w:t>
      </w:r>
      <w:r w:rsidRPr="002E513E">
        <w:rPr>
          <w:rFonts w:cs="Simplified Arabic"/>
          <w:rtl/>
        </w:rPr>
        <w:t>.</w:t>
      </w:r>
    </w:p>
    <w:p w:rsidR="002E513E" w:rsidRPr="002E513E" w:rsidRDefault="00C458C4" w:rsidP="00C458C4">
      <w:pPr>
        <w:pStyle w:val="ListParagraph"/>
        <w:numPr>
          <w:ilvl w:val="0"/>
          <w:numId w:val="6"/>
        </w:numPr>
        <w:bidi/>
        <w:spacing w:line="216" w:lineRule="auto"/>
        <w:ind w:left="0" w:firstLine="0"/>
        <w:rPr>
          <w:rFonts w:cs="Simplified Arabic"/>
        </w:rPr>
      </w:pPr>
      <w:r>
        <w:rPr>
          <w:rFonts w:cs="Simplified Arabic" w:hint="cs"/>
          <w:snapToGrid w:val="0"/>
          <w:kern w:val="22"/>
          <w:rtl/>
        </w:rPr>
        <w:t xml:space="preserve">وفي </w:t>
      </w:r>
      <w:r w:rsidR="002E513E">
        <w:rPr>
          <w:rFonts w:cs="Simplified Arabic" w:hint="cs"/>
          <w:snapToGrid w:val="0"/>
          <w:kern w:val="22"/>
          <w:rtl/>
        </w:rPr>
        <w:t>جلسته الثالثة عشرة</w:t>
      </w:r>
      <w:r>
        <w:rPr>
          <w:rFonts w:cs="Simplified Arabic" w:hint="cs"/>
          <w:snapToGrid w:val="0"/>
          <w:kern w:val="22"/>
          <w:rtl/>
        </w:rPr>
        <w:t>،</w:t>
      </w:r>
      <w:r w:rsidR="002E513E">
        <w:rPr>
          <w:rFonts w:cs="Simplified Arabic" w:hint="cs"/>
          <w:snapToGrid w:val="0"/>
          <w:kern w:val="22"/>
          <w:rtl/>
        </w:rPr>
        <w:t xml:space="preserve"> المنعقدة في 27 نوفمبر/تشرين الثاني 2018</w:t>
      </w:r>
      <w:r>
        <w:rPr>
          <w:rFonts w:cs="Simplified Arabic" w:hint="cs"/>
          <w:snapToGrid w:val="0"/>
          <w:kern w:val="22"/>
          <w:rtl/>
        </w:rPr>
        <w:t>، نظر الفريق العامل</w:t>
      </w:r>
      <w:r w:rsidR="002E513E">
        <w:rPr>
          <w:rFonts w:cs="Simplified Arabic" w:hint="cs"/>
          <w:snapToGrid w:val="0"/>
          <w:kern w:val="22"/>
          <w:rtl/>
        </w:rPr>
        <w:t xml:space="preserve"> في مشروع مقرر منقح مقدم من الرئيس.</w:t>
      </w:r>
    </w:p>
    <w:p w:rsidR="002E513E" w:rsidRDefault="002E513E" w:rsidP="00FF7FA5">
      <w:pPr>
        <w:pStyle w:val="ListParagraph"/>
        <w:numPr>
          <w:ilvl w:val="0"/>
          <w:numId w:val="6"/>
        </w:numPr>
        <w:bidi/>
        <w:spacing w:line="216" w:lineRule="auto"/>
        <w:ind w:left="0" w:firstLine="0"/>
        <w:rPr>
          <w:rFonts w:cs="Simplified Arabic"/>
        </w:rPr>
      </w:pPr>
      <w:r>
        <w:rPr>
          <w:rFonts w:cs="Simplified Arabic" w:hint="cs"/>
          <w:snapToGrid w:val="0"/>
          <w:kern w:val="22"/>
          <w:rtl/>
        </w:rPr>
        <w:t>وأدلى ببيانات ممثلو البرازيل، وكولومبيا، والكونغو، والاتحاد الأوروبي، واليابان</w:t>
      </w:r>
      <w:r w:rsidR="00C458C4">
        <w:rPr>
          <w:rFonts w:cs="Simplified Arabic" w:hint="cs"/>
          <w:snapToGrid w:val="0"/>
          <w:kern w:val="22"/>
          <w:rtl/>
        </w:rPr>
        <w:t>،</w:t>
      </w:r>
      <w:r>
        <w:rPr>
          <w:rFonts w:cs="Simplified Arabic" w:hint="cs"/>
          <w:snapToGrid w:val="0"/>
          <w:kern w:val="22"/>
          <w:rtl/>
        </w:rPr>
        <w:t xml:space="preserve"> وماليزيا (</w:t>
      </w:r>
      <w:r w:rsidRPr="002E513E">
        <w:rPr>
          <w:rFonts w:cs="Simplified Arabic"/>
          <w:rtl/>
        </w:rPr>
        <w:t xml:space="preserve">بالنيابة عن </w:t>
      </w:r>
      <w:r w:rsidR="008C4263">
        <w:rPr>
          <w:rFonts w:cs="Simplified Arabic" w:hint="cs"/>
          <w:rtl/>
        </w:rPr>
        <w:t xml:space="preserve">مجموعة </w:t>
      </w:r>
      <w:r w:rsidRPr="002E513E">
        <w:rPr>
          <w:rFonts w:cs="Simplified Arabic"/>
          <w:rtl/>
        </w:rPr>
        <w:t>البلدان ذات التنوع البيولوجي الشديد والمتقاربة التفكير</w:t>
      </w:r>
      <w:r>
        <w:rPr>
          <w:rFonts w:cs="Simplified Arabic" w:hint="cs"/>
          <w:rtl/>
        </w:rPr>
        <w:t>)</w:t>
      </w:r>
      <w:r w:rsidR="00C458C4">
        <w:rPr>
          <w:rFonts w:cs="Simplified Arabic" w:hint="cs"/>
          <w:rtl/>
        </w:rPr>
        <w:t>،</w:t>
      </w:r>
      <w:r>
        <w:rPr>
          <w:rFonts w:cs="Simplified Arabic" w:hint="cs"/>
          <w:rtl/>
        </w:rPr>
        <w:t xml:space="preserve"> والمكسيك</w:t>
      </w:r>
      <w:r w:rsidR="00C458C4">
        <w:rPr>
          <w:rFonts w:cs="Simplified Arabic" w:hint="cs"/>
          <w:rtl/>
        </w:rPr>
        <w:t>،</w:t>
      </w:r>
      <w:r>
        <w:rPr>
          <w:rFonts w:cs="Simplified Arabic" w:hint="cs"/>
          <w:rtl/>
        </w:rPr>
        <w:t xml:space="preserve"> وجمهورية كوريا</w:t>
      </w:r>
      <w:r w:rsidR="00C458C4">
        <w:rPr>
          <w:rFonts w:cs="Simplified Arabic" w:hint="cs"/>
          <w:rtl/>
        </w:rPr>
        <w:t>،</w:t>
      </w:r>
      <w:r>
        <w:rPr>
          <w:rFonts w:cs="Simplified Arabic" w:hint="cs"/>
          <w:rtl/>
        </w:rPr>
        <w:t xml:space="preserve"> وسويسرا وأوغندا (بالنيابة عن المجموعة الأفريقية).</w:t>
      </w:r>
    </w:p>
    <w:p w:rsidR="002E513E" w:rsidRPr="002E513E" w:rsidRDefault="002E513E" w:rsidP="00FF7FA5">
      <w:pPr>
        <w:pStyle w:val="ListParagraph"/>
        <w:numPr>
          <w:ilvl w:val="0"/>
          <w:numId w:val="6"/>
        </w:numPr>
        <w:bidi/>
        <w:spacing w:line="216" w:lineRule="auto"/>
        <w:ind w:left="0" w:firstLine="0"/>
        <w:rPr>
          <w:rFonts w:cs="Simplified Arabic"/>
        </w:rPr>
      </w:pPr>
      <w:r>
        <w:rPr>
          <w:rFonts w:cs="Simplified Arabic" w:hint="cs"/>
          <w:snapToGrid w:val="0"/>
          <w:kern w:val="22"/>
          <w:rtl/>
        </w:rPr>
        <w:t xml:space="preserve">وعقب المشاورات وتبادل الآراء، </w:t>
      </w:r>
      <w:r w:rsidR="00EE5359">
        <w:rPr>
          <w:rFonts w:cs="Simplified Arabic" w:hint="cs"/>
          <w:snapToGrid w:val="0"/>
          <w:kern w:val="22"/>
          <w:rtl/>
        </w:rPr>
        <w:t>وافق</w:t>
      </w:r>
      <w:r>
        <w:rPr>
          <w:rFonts w:cs="Simplified Arabic" w:hint="cs"/>
          <w:snapToGrid w:val="0"/>
          <w:kern w:val="22"/>
          <w:rtl/>
        </w:rPr>
        <w:t xml:space="preserve"> الفريق العامل </w:t>
      </w:r>
      <w:r w:rsidR="00EE5359">
        <w:rPr>
          <w:rFonts w:cs="Simplified Arabic" w:hint="cs"/>
          <w:snapToGrid w:val="0"/>
          <w:kern w:val="22"/>
          <w:rtl/>
        </w:rPr>
        <w:t xml:space="preserve">على </w:t>
      </w:r>
      <w:r>
        <w:rPr>
          <w:rFonts w:cs="Simplified Arabic" w:hint="cs"/>
          <w:snapToGrid w:val="0"/>
          <w:kern w:val="22"/>
          <w:rtl/>
        </w:rPr>
        <w:t>مشروع المقرر المنقح، بصيغته المعدلة شفويا</w:t>
      </w:r>
      <w:r w:rsidR="00EE5359">
        <w:rPr>
          <w:rFonts w:cs="Simplified Arabic" w:hint="cs"/>
          <w:snapToGrid w:val="0"/>
          <w:kern w:val="22"/>
          <w:rtl/>
        </w:rPr>
        <w:t>ً،</w:t>
      </w:r>
      <w:r>
        <w:rPr>
          <w:rFonts w:cs="Simplified Arabic" w:hint="cs"/>
          <w:snapToGrid w:val="0"/>
          <w:kern w:val="22"/>
          <w:rtl/>
        </w:rPr>
        <w:t xml:space="preserve"> لإحالته إلى الجلسة العامة بوصفه مشروع المقرر </w:t>
      </w:r>
      <w:r>
        <w:t>CBD/COP/14/L</w:t>
      </w:r>
      <w:r w:rsidRPr="00CA4215">
        <w:t>.</w:t>
      </w:r>
      <w:r>
        <w:t>36</w:t>
      </w:r>
      <w:r>
        <w:rPr>
          <w:rFonts w:cs="Simplified Arabic" w:hint="cs"/>
          <w:snapToGrid w:val="0"/>
          <w:kern w:val="22"/>
          <w:rtl/>
        </w:rPr>
        <w:t>.</w:t>
      </w:r>
    </w:p>
    <w:p w:rsidR="009E71B5" w:rsidRDefault="00C458C4" w:rsidP="00792EE7">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w:t>
      </w:r>
      <w:r w:rsidR="00792EE7" w:rsidRPr="00792EE7">
        <w:rPr>
          <w:rFonts w:cs="Simplified Arabic" w:hint="cs"/>
          <w:rtl/>
        </w:rPr>
        <w:t xml:space="preserve">29 </w:t>
      </w:r>
      <w:r>
        <w:rPr>
          <w:rFonts w:cs="Simplified Arabic" w:hint="cs"/>
          <w:rtl/>
        </w:rPr>
        <w:t xml:space="preserve">نوفمبر/تشرين الثاني 2018، نظر مؤتمر الأطراف في مشروع المقرر </w:t>
      </w:r>
      <w:r w:rsidRPr="007F48C2">
        <w:t>CBD/COP/14/L.</w:t>
      </w:r>
      <w:r>
        <w:t>36</w:t>
      </w:r>
      <w:r>
        <w:rPr>
          <w:rFonts w:cs="Simplified Arabic" w:hint="cs"/>
          <w:rtl/>
        </w:rPr>
        <w:t>.</w:t>
      </w:r>
    </w:p>
    <w:p w:rsidR="00C458C4" w:rsidRDefault="008C4263" w:rsidP="00C458C4">
      <w:pPr>
        <w:pStyle w:val="ListParagraph"/>
        <w:numPr>
          <w:ilvl w:val="0"/>
          <w:numId w:val="6"/>
        </w:numPr>
        <w:bidi/>
        <w:spacing w:line="216" w:lineRule="auto"/>
        <w:ind w:left="0" w:firstLine="0"/>
        <w:rPr>
          <w:rFonts w:cs="Simplified Arabic"/>
        </w:rPr>
      </w:pPr>
      <w:r>
        <w:rPr>
          <w:rFonts w:cs="Simplified Arabic" w:hint="cs"/>
          <w:rtl/>
        </w:rPr>
        <w:t>وأ</w:t>
      </w:r>
      <w:r w:rsidR="00C458C4">
        <w:rPr>
          <w:rFonts w:cs="Simplified Arabic" w:hint="cs"/>
          <w:rtl/>
        </w:rPr>
        <w:t>دلى ببيان ممثل عن الاتحاد الأوروبي ودوله الأعضاء الثماني والعشرين.</w:t>
      </w:r>
    </w:p>
    <w:p w:rsidR="00C458C4" w:rsidRPr="008E0E15" w:rsidRDefault="00C458C4" w:rsidP="008C4263">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7F48C2">
        <w:t>CBD/COP/14/L.</w:t>
      </w:r>
      <w:r>
        <w:t>36</w:t>
      </w:r>
      <w:r>
        <w:rPr>
          <w:rFonts w:cs="Simplified Arabic" w:hint="cs"/>
          <w:rtl/>
        </w:rPr>
        <w:t>، بصيغته المعدلة شفوياً، بوصفه المقرر 14/</w:t>
      </w:r>
      <w:r w:rsidR="008C4263">
        <w:rPr>
          <w:rFonts w:cs="Simplified Arabic" w:hint="cs"/>
          <w:rtl/>
        </w:rPr>
        <w:t>20</w:t>
      </w:r>
      <w:r>
        <w:rPr>
          <w:rFonts w:cs="Simplified Arabic" w:hint="cs"/>
          <w:rtl/>
        </w:rPr>
        <w:t xml:space="preserve"> (للاطلاع على النص، انظر الفصل الأول).</w:t>
      </w:r>
    </w:p>
    <w:p w:rsidR="009E71B5" w:rsidRPr="00477B14" w:rsidRDefault="009E71B5" w:rsidP="00094717">
      <w:pPr>
        <w:pStyle w:val="Heading2"/>
        <w:rPr>
          <w:lang w:val="en-GB"/>
        </w:rPr>
      </w:pPr>
      <w:bookmarkStart w:id="236" w:name="_Toc6140022"/>
      <w:r w:rsidRPr="008E0E15">
        <w:rPr>
          <w:rFonts w:hint="cs"/>
          <w:rtl/>
        </w:rPr>
        <w:t>البند 19 -</w:t>
      </w:r>
      <w:r w:rsidRPr="008E0E15">
        <w:rPr>
          <w:rFonts w:hint="cs"/>
          <w:rtl/>
        </w:rPr>
        <w:tab/>
        <w:t>المادة 8(ي) والأحكام المتصلة بها</w:t>
      </w:r>
      <w:bookmarkEnd w:id="236"/>
    </w:p>
    <w:p w:rsidR="008E0E15" w:rsidRPr="002E513E" w:rsidRDefault="008E0E15" w:rsidP="00C458C4">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cs="Simplified Arabic"/>
          <w:szCs w:val="24"/>
          <w:rtl/>
          <w:lang w:bidi="ar-EG"/>
        </w:rPr>
      </w:pPr>
      <w:r w:rsidRPr="002E513E">
        <w:rPr>
          <w:rFonts w:cs="Simplified Arabic"/>
          <w:szCs w:val="24"/>
          <w:rtl/>
        </w:rPr>
        <w:t xml:space="preserve">في </w:t>
      </w:r>
      <w:r w:rsidR="00C458C4">
        <w:rPr>
          <w:rFonts w:cs="Simplified Arabic" w:hint="cs"/>
          <w:szCs w:val="24"/>
          <w:rtl/>
        </w:rPr>
        <w:t>جلست</w:t>
      </w:r>
      <w:r w:rsidRPr="002E513E">
        <w:rPr>
          <w:rFonts w:cs="Simplified Arabic"/>
          <w:szCs w:val="24"/>
          <w:rtl/>
        </w:rPr>
        <w:t>ه الخامس</w:t>
      </w:r>
      <w:r w:rsidR="00C458C4">
        <w:rPr>
          <w:rFonts w:cs="Simplified Arabic" w:hint="cs"/>
          <w:szCs w:val="24"/>
          <w:rtl/>
        </w:rPr>
        <w:t>ة</w:t>
      </w:r>
      <w:r w:rsidRPr="002E513E">
        <w:rPr>
          <w:rFonts w:cs="Simplified Arabic"/>
          <w:szCs w:val="24"/>
          <w:rtl/>
        </w:rPr>
        <w:t>، المعقود</w:t>
      </w:r>
      <w:r w:rsidR="00C458C4">
        <w:rPr>
          <w:rFonts w:cs="Simplified Arabic" w:hint="cs"/>
          <w:szCs w:val="24"/>
          <w:rtl/>
        </w:rPr>
        <w:t>ة</w:t>
      </w:r>
      <w:r w:rsidRPr="002E513E">
        <w:rPr>
          <w:rFonts w:cs="Simplified Arabic"/>
          <w:szCs w:val="24"/>
          <w:rtl/>
        </w:rPr>
        <w:t xml:space="preserve"> في 20 نوفمبر/تشرين الثاني 2018</w:t>
      </w:r>
      <w:r w:rsidRPr="002E513E">
        <w:rPr>
          <w:rFonts w:cs="Simplified Arabic" w:hint="cs"/>
          <w:szCs w:val="24"/>
          <w:rtl/>
        </w:rPr>
        <w:t>،</w:t>
      </w:r>
      <w:r w:rsidRPr="002E513E">
        <w:rPr>
          <w:rFonts w:cs="Simplified Arabic"/>
          <w:szCs w:val="24"/>
          <w:rtl/>
        </w:rPr>
        <w:t xml:space="preserve"> </w:t>
      </w:r>
      <w:r w:rsidR="00C458C4">
        <w:rPr>
          <w:rFonts w:cs="Simplified Arabic" w:hint="cs"/>
          <w:szCs w:val="24"/>
          <w:rtl/>
        </w:rPr>
        <w:t xml:space="preserve">تناول الفريق العامل الثاني البند 19 من جدول الأعمال </w:t>
      </w:r>
      <w:r w:rsidRPr="002E513E">
        <w:rPr>
          <w:rFonts w:cs="Simplified Arabic" w:hint="cs"/>
          <w:szCs w:val="24"/>
          <w:rtl/>
        </w:rPr>
        <w:t>و</w:t>
      </w:r>
      <w:r w:rsidRPr="002E513E">
        <w:rPr>
          <w:rFonts w:cs="Simplified Arabic"/>
          <w:szCs w:val="24"/>
          <w:rtl/>
        </w:rPr>
        <w:t>ال</w:t>
      </w:r>
      <w:r w:rsidRPr="002E513E">
        <w:rPr>
          <w:rFonts w:cs="Simplified Arabic" w:hint="cs"/>
          <w:szCs w:val="24"/>
          <w:rtl/>
        </w:rPr>
        <w:t>ذ</w:t>
      </w:r>
      <w:r w:rsidRPr="002E513E">
        <w:rPr>
          <w:rFonts w:cs="Simplified Arabic"/>
          <w:szCs w:val="24"/>
          <w:rtl/>
        </w:rPr>
        <w:t>ي تضم</w:t>
      </w:r>
      <w:r w:rsidRPr="002E513E">
        <w:rPr>
          <w:rFonts w:cs="Simplified Arabic" w:hint="cs"/>
          <w:szCs w:val="24"/>
          <w:rtl/>
        </w:rPr>
        <w:t>َّ</w:t>
      </w:r>
      <w:r w:rsidRPr="002E513E">
        <w:rPr>
          <w:rFonts w:cs="Simplified Arabic"/>
          <w:szCs w:val="24"/>
          <w:rtl/>
        </w:rPr>
        <w:t>ن ثلاثة بنود فرعية</w:t>
      </w:r>
      <w:r w:rsidRPr="002E513E">
        <w:rPr>
          <w:rFonts w:cs="Simplified Arabic" w:hint="cs"/>
          <w:szCs w:val="24"/>
          <w:rtl/>
        </w:rPr>
        <w:t>.</w:t>
      </w:r>
    </w:p>
    <w:p w:rsidR="008E0E15" w:rsidRPr="002E513E" w:rsidRDefault="008E0E15" w:rsidP="008C4263">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cs="Simplified Arabic"/>
          <w:szCs w:val="24"/>
          <w:rtl/>
        </w:rPr>
      </w:pPr>
      <w:r w:rsidRPr="002E513E">
        <w:rPr>
          <w:rFonts w:cs="Simplified Arabic" w:hint="cs"/>
          <w:szCs w:val="24"/>
          <w:rtl/>
        </w:rPr>
        <w:t>و</w:t>
      </w:r>
      <w:r w:rsidRPr="002E513E">
        <w:rPr>
          <w:rFonts w:cs="Simplified Arabic"/>
          <w:szCs w:val="24"/>
          <w:rtl/>
        </w:rPr>
        <w:t xml:space="preserve">لدى النظر في هذا البند، كان معروضا </w:t>
      </w:r>
      <w:r w:rsidRPr="002E513E">
        <w:rPr>
          <w:rFonts w:cs="Simplified Arabic" w:hint="cs"/>
          <w:szCs w:val="24"/>
          <w:rtl/>
        </w:rPr>
        <w:t>أمام</w:t>
      </w:r>
      <w:r w:rsidRPr="002E513E">
        <w:rPr>
          <w:rFonts w:cs="Simplified Arabic"/>
          <w:szCs w:val="24"/>
          <w:rtl/>
        </w:rPr>
        <w:t xml:space="preserve"> الفريق العامل </w:t>
      </w:r>
      <w:r w:rsidRPr="002E513E">
        <w:rPr>
          <w:rFonts w:cs="Simplified Arabic" w:hint="cs"/>
          <w:szCs w:val="24"/>
          <w:rtl/>
        </w:rPr>
        <w:t>مشاريع</w:t>
      </w:r>
      <w:r w:rsidRPr="002E513E">
        <w:rPr>
          <w:rFonts w:cs="Simplified Arabic"/>
          <w:szCs w:val="24"/>
          <w:rtl/>
        </w:rPr>
        <w:t xml:space="preserve"> المقررات</w:t>
      </w:r>
      <w:r w:rsidRPr="002E513E">
        <w:rPr>
          <w:rFonts w:cs="Simplified Arabic" w:hint="cs"/>
          <w:szCs w:val="24"/>
          <w:rtl/>
        </w:rPr>
        <w:t xml:space="preserve"> </w:t>
      </w:r>
      <w:r w:rsidRPr="002E513E">
        <w:rPr>
          <w:rFonts w:cs="Simplified Arabic"/>
          <w:szCs w:val="24"/>
          <w:rtl/>
        </w:rPr>
        <w:t>التالي</w:t>
      </w:r>
      <w:r w:rsidRPr="002E513E">
        <w:rPr>
          <w:rFonts w:cs="Simplified Arabic" w:hint="cs"/>
          <w:szCs w:val="24"/>
          <w:rtl/>
        </w:rPr>
        <w:t>ة</w:t>
      </w:r>
      <w:r w:rsidRPr="002E513E">
        <w:rPr>
          <w:rFonts w:cs="Simplified Arabic"/>
          <w:szCs w:val="24"/>
          <w:rtl/>
        </w:rPr>
        <w:t xml:space="preserve">: </w:t>
      </w:r>
      <w:r w:rsidR="008C4263">
        <w:rPr>
          <w:rFonts w:cs="Simplified Arabic" w:hint="cs"/>
          <w:szCs w:val="24"/>
          <w:rtl/>
        </w:rPr>
        <w:t xml:space="preserve">(أ) </w:t>
      </w:r>
      <w:r w:rsidRPr="002E513E">
        <w:rPr>
          <w:rFonts w:cs="Simplified Arabic"/>
          <w:szCs w:val="24"/>
          <w:rtl/>
        </w:rPr>
        <w:t xml:space="preserve">للبند الفرعي </w:t>
      </w:r>
      <w:r w:rsidRPr="002E513E">
        <w:rPr>
          <w:rFonts w:cs="Simplified Arabic" w:hint="cs"/>
          <w:szCs w:val="24"/>
          <w:rtl/>
        </w:rPr>
        <w:t>المتعلق</w:t>
      </w:r>
      <w:r w:rsidRPr="002E513E">
        <w:rPr>
          <w:rFonts w:cs="Simplified Arabic"/>
          <w:szCs w:val="24"/>
          <w:rtl/>
        </w:rPr>
        <w:t xml:space="preserve"> </w:t>
      </w:r>
      <w:r w:rsidRPr="002E513E">
        <w:rPr>
          <w:rFonts w:cs="Simplified Arabic" w:hint="cs"/>
          <w:szCs w:val="24"/>
          <w:rtl/>
        </w:rPr>
        <w:t>ب</w:t>
      </w:r>
      <w:r w:rsidRPr="002E513E">
        <w:rPr>
          <w:rFonts w:cs="Simplified Arabic"/>
          <w:szCs w:val="24"/>
          <w:rtl/>
        </w:rPr>
        <w:t xml:space="preserve">المبادئ التوجيهية الطوعية روتسوليهيرساجيك لإعادة توطين المعارف التقليدية ذات الصلة بحفظ التنوع البيولوجي واستخدامه المستدام، </w:t>
      </w:r>
      <w:r w:rsidRPr="002E513E">
        <w:rPr>
          <w:rFonts w:cs="Simplified Arabic" w:hint="cs"/>
          <w:szCs w:val="24"/>
          <w:rtl/>
        </w:rPr>
        <w:t xml:space="preserve">وهو </w:t>
      </w:r>
      <w:r w:rsidRPr="002E513E">
        <w:rPr>
          <w:rFonts w:cs="Simplified Arabic"/>
          <w:szCs w:val="24"/>
          <w:rtl/>
        </w:rPr>
        <w:t xml:space="preserve">مشروع مقرر يستند إلى </w:t>
      </w:r>
      <w:r w:rsidRPr="002E513E">
        <w:rPr>
          <w:rFonts w:cs="Simplified Arabic"/>
          <w:kern w:val="22"/>
          <w:szCs w:val="24"/>
          <w:rtl/>
          <w:lang w:bidi="ar-EG"/>
        </w:rPr>
        <w:t>التوصية 10/</w:t>
      </w:r>
      <w:r w:rsidRPr="002E513E">
        <w:rPr>
          <w:rFonts w:cs="Simplified Arabic" w:hint="cs"/>
          <w:kern w:val="22"/>
          <w:szCs w:val="24"/>
          <w:rtl/>
          <w:lang w:bidi="ar-EG"/>
        </w:rPr>
        <w:t>1</w:t>
      </w:r>
      <w:r w:rsidRPr="002E513E">
        <w:rPr>
          <w:rFonts w:cs="Simplified Arabic"/>
          <w:kern w:val="22"/>
          <w:szCs w:val="24"/>
          <w:rtl/>
          <w:lang w:bidi="ar-EG"/>
        </w:rPr>
        <w:t xml:space="preserve"> </w:t>
      </w:r>
      <w:r w:rsidRPr="002E513E">
        <w:rPr>
          <w:rFonts w:cs="Simplified Arabic" w:hint="cs"/>
          <w:szCs w:val="24"/>
          <w:rtl/>
        </w:rPr>
        <w:t>للفريق العامل المعني بالمادة 8(ي)</w:t>
      </w:r>
      <w:r w:rsidRPr="002E513E">
        <w:rPr>
          <w:rFonts w:cs="Simplified Arabic"/>
          <w:szCs w:val="24"/>
          <w:rtl/>
        </w:rPr>
        <w:t xml:space="preserve">؛ </w:t>
      </w:r>
      <w:r w:rsidR="008C4263">
        <w:rPr>
          <w:rFonts w:cs="Simplified Arabic" w:hint="cs"/>
          <w:szCs w:val="24"/>
          <w:rtl/>
        </w:rPr>
        <w:t xml:space="preserve">(ب) </w:t>
      </w:r>
      <w:r w:rsidRPr="002E513E">
        <w:rPr>
          <w:rFonts w:cs="Simplified Arabic" w:hint="cs"/>
          <w:szCs w:val="24"/>
          <w:rtl/>
        </w:rPr>
        <w:t>و</w:t>
      </w:r>
      <w:r w:rsidRPr="002E513E">
        <w:rPr>
          <w:rFonts w:cs="Simplified Arabic"/>
          <w:szCs w:val="24"/>
          <w:rtl/>
        </w:rPr>
        <w:t xml:space="preserve">للبند الفرعي </w:t>
      </w:r>
      <w:r w:rsidRPr="002E513E">
        <w:rPr>
          <w:rFonts w:cs="Simplified Arabic" w:hint="cs"/>
          <w:szCs w:val="24"/>
          <w:rtl/>
        </w:rPr>
        <w:t>المتعلق</w:t>
      </w:r>
      <w:r w:rsidRPr="002E513E">
        <w:rPr>
          <w:rFonts w:cs="Simplified Arabic"/>
          <w:szCs w:val="24"/>
          <w:rtl/>
        </w:rPr>
        <w:t xml:space="preserve"> </w:t>
      </w:r>
      <w:r w:rsidRPr="002E513E">
        <w:rPr>
          <w:rFonts w:cs="Simplified Arabic" w:hint="cs"/>
          <w:szCs w:val="24"/>
          <w:rtl/>
        </w:rPr>
        <w:t>ب</w:t>
      </w:r>
      <w:r w:rsidRPr="002E513E">
        <w:rPr>
          <w:rFonts w:cs="Simplified Arabic"/>
          <w:szCs w:val="24"/>
          <w:rtl/>
        </w:rPr>
        <w:t xml:space="preserve">مسرد المصطلحات والمفاهيم الرئيسية ذات الصلة في سياق المادة 8(ي) والأحكام المتصلة بها، </w:t>
      </w:r>
      <w:r w:rsidRPr="002E513E">
        <w:rPr>
          <w:rFonts w:cs="Simplified Arabic" w:hint="cs"/>
          <w:szCs w:val="24"/>
          <w:rtl/>
        </w:rPr>
        <w:t xml:space="preserve">وهو </w:t>
      </w:r>
      <w:r w:rsidRPr="002E513E">
        <w:rPr>
          <w:rFonts w:cs="Simplified Arabic"/>
          <w:szCs w:val="24"/>
          <w:rtl/>
        </w:rPr>
        <w:t xml:space="preserve">مشروع مقرر يستند إلى </w:t>
      </w:r>
      <w:r w:rsidRPr="002E513E">
        <w:rPr>
          <w:rFonts w:cs="Simplified Arabic"/>
          <w:kern w:val="22"/>
          <w:szCs w:val="24"/>
          <w:rtl/>
          <w:lang w:bidi="ar-EG"/>
        </w:rPr>
        <w:t>التوصية 10/</w:t>
      </w:r>
      <w:r w:rsidRPr="002E513E">
        <w:rPr>
          <w:rFonts w:cs="Simplified Arabic" w:hint="cs"/>
          <w:kern w:val="22"/>
          <w:szCs w:val="24"/>
          <w:rtl/>
          <w:lang w:bidi="ar-EG"/>
        </w:rPr>
        <w:t>2</w:t>
      </w:r>
      <w:r w:rsidRPr="002E513E">
        <w:rPr>
          <w:rFonts w:cs="Simplified Arabic"/>
          <w:kern w:val="22"/>
          <w:szCs w:val="24"/>
          <w:rtl/>
          <w:lang w:bidi="ar-EG"/>
        </w:rPr>
        <w:t xml:space="preserve"> </w:t>
      </w:r>
      <w:r w:rsidRPr="002E513E">
        <w:rPr>
          <w:rFonts w:cs="Simplified Arabic" w:hint="cs"/>
          <w:szCs w:val="24"/>
          <w:rtl/>
        </w:rPr>
        <w:t>للفريق العامل المعني بالمادة 8(ي)</w:t>
      </w:r>
      <w:r w:rsidRPr="002E513E">
        <w:rPr>
          <w:rFonts w:cs="Simplified Arabic"/>
          <w:szCs w:val="24"/>
          <w:rtl/>
        </w:rPr>
        <w:t xml:space="preserve">؛ </w:t>
      </w:r>
      <w:r w:rsidR="008C4263">
        <w:rPr>
          <w:rFonts w:cs="Simplified Arabic" w:hint="cs"/>
          <w:szCs w:val="24"/>
          <w:rtl/>
        </w:rPr>
        <w:t xml:space="preserve">(ج) </w:t>
      </w:r>
      <w:r w:rsidRPr="002E513E">
        <w:rPr>
          <w:rFonts w:cs="Simplified Arabic" w:hint="cs"/>
          <w:szCs w:val="24"/>
          <w:rtl/>
        </w:rPr>
        <w:t>و</w:t>
      </w:r>
      <w:r w:rsidRPr="002E513E">
        <w:rPr>
          <w:rFonts w:cs="Simplified Arabic"/>
          <w:szCs w:val="24"/>
          <w:rtl/>
        </w:rPr>
        <w:t>للبند الفرعي المتعلق بالمسائل الأخرى المتعلقة بالمادة 8</w:t>
      </w:r>
      <w:r w:rsidRPr="002E513E">
        <w:rPr>
          <w:rFonts w:cs="Simplified Arabic" w:hint="cs"/>
          <w:szCs w:val="24"/>
          <w:rtl/>
        </w:rPr>
        <w:t>(</w:t>
      </w:r>
      <w:r w:rsidRPr="002E513E">
        <w:rPr>
          <w:rFonts w:cs="Simplified Arabic"/>
          <w:szCs w:val="24"/>
          <w:rtl/>
        </w:rPr>
        <w:t xml:space="preserve">ي)، </w:t>
      </w:r>
      <w:r w:rsidRPr="002E513E">
        <w:rPr>
          <w:rFonts w:cs="Simplified Arabic" w:hint="cs"/>
          <w:szCs w:val="24"/>
          <w:rtl/>
        </w:rPr>
        <w:t xml:space="preserve">وهو </w:t>
      </w:r>
      <w:r w:rsidRPr="002E513E">
        <w:rPr>
          <w:rFonts w:cs="Simplified Arabic"/>
          <w:szCs w:val="24"/>
          <w:rtl/>
        </w:rPr>
        <w:t xml:space="preserve">مشروع مقرر يستند إلى </w:t>
      </w:r>
      <w:r w:rsidRPr="002E513E">
        <w:rPr>
          <w:rFonts w:cs="Simplified Arabic"/>
          <w:kern w:val="22"/>
          <w:szCs w:val="24"/>
          <w:rtl/>
          <w:lang w:bidi="ar-EG"/>
        </w:rPr>
        <w:t>التوصية 10/</w:t>
      </w:r>
      <w:r w:rsidRPr="002E513E">
        <w:rPr>
          <w:rFonts w:cs="Simplified Arabic" w:hint="cs"/>
          <w:kern w:val="22"/>
          <w:szCs w:val="24"/>
          <w:rtl/>
          <w:lang w:bidi="ar-EG"/>
        </w:rPr>
        <w:t>5</w:t>
      </w:r>
      <w:r w:rsidRPr="002E513E">
        <w:rPr>
          <w:rFonts w:cs="Simplified Arabic"/>
          <w:kern w:val="22"/>
          <w:szCs w:val="24"/>
          <w:rtl/>
          <w:lang w:bidi="ar-EG"/>
        </w:rPr>
        <w:t xml:space="preserve"> </w:t>
      </w:r>
      <w:r w:rsidRPr="002E513E">
        <w:rPr>
          <w:rFonts w:cs="Simplified Arabic" w:hint="cs"/>
          <w:szCs w:val="24"/>
          <w:rtl/>
        </w:rPr>
        <w:t>للفريق العامل المعني بالمادة 8(ي)</w:t>
      </w:r>
      <w:r w:rsidRPr="002E513E">
        <w:rPr>
          <w:rFonts w:cs="Simplified Arabic"/>
          <w:szCs w:val="24"/>
          <w:rtl/>
        </w:rPr>
        <w:t xml:space="preserve"> بشأن </w:t>
      </w:r>
      <w:r w:rsidRPr="002E513E">
        <w:rPr>
          <w:rFonts w:cs="Simplified Arabic" w:hint="cs"/>
          <w:szCs w:val="24"/>
          <w:rtl/>
        </w:rPr>
        <w:t>إجراء</w:t>
      </w:r>
      <w:r w:rsidRPr="002E513E">
        <w:rPr>
          <w:rFonts w:cs="Simplified Arabic"/>
          <w:szCs w:val="24"/>
          <w:rtl/>
        </w:rPr>
        <w:t xml:space="preserve"> حوار متعمق </w:t>
      </w:r>
      <w:r w:rsidRPr="002E513E">
        <w:rPr>
          <w:rFonts w:cs="Simplified Arabic" w:hint="cs"/>
          <w:szCs w:val="24"/>
          <w:rtl/>
        </w:rPr>
        <w:t>حول</w:t>
      </w:r>
      <w:r w:rsidRPr="002E513E">
        <w:rPr>
          <w:rFonts w:cs="Simplified Arabic"/>
          <w:szCs w:val="24"/>
          <w:rtl/>
        </w:rPr>
        <w:t xml:space="preserve"> المجالات المواضيعية وال</w:t>
      </w:r>
      <w:r w:rsidRPr="002E513E">
        <w:rPr>
          <w:rFonts w:cs="Simplified Arabic" w:hint="cs"/>
          <w:szCs w:val="24"/>
          <w:rtl/>
        </w:rPr>
        <w:t>قضايا الشاملة</w:t>
      </w:r>
      <w:r w:rsidRPr="002E513E">
        <w:rPr>
          <w:rFonts w:cs="Simplified Arabic"/>
          <w:szCs w:val="24"/>
          <w:rtl/>
        </w:rPr>
        <w:t xml:space="preserve"> الأخرى</w:t>
      </w:r>
      <w:r w:rsidRPr="002E513E">
        <w:rPr>
          <w:rFonts w:cs="Simplified Arabic" w:hint="cs"/>
          <w:szCs w:val="24"/>
          <w:rtl/>
        </w:rPr>
        <w:t xml:space="preserve"> </w:t>
      </w:r>
      <w:r w:rsidRPr="002E513E">
        <w:rPr>
          <w:rFonts w:cs="Simplified Arabic"/>
          <w:szCs w:val="24"/>
          <w:rtl/>
        </w:rPr>
        <w:t>و</w:t>
      </w:r>
      <w:r w:rsidRPr="002E513E">
        <w:rPr>
          <w:rFonts w:cs="Simplified Arabic"/>
          <w:kern w:val="22"/>
          <w:szCs w:val="24"/>
          <w:rtl/>
          <w:lang w:val="en-GB" w:bidi="ar-EG"/>
        </w:rPr>
        <w:t>التوصية 10/6</w:t>
      </w:r>
      <w:r w:rsidRPr="002E513E">
        <w:rPr>
          <w:rFonts w:cs="Simplified Arabic"/>
          <w:szCs w:val="24"/>
          <w:rtl/>
        </w:rPr>
        <w:t xml:space="preserve"> </w:t>
      </w:r>
      <w:r w:rsidR="008C4263" w:rsidRPr="002E513E">
        <w:rPr>
          <w:rFonts w:cs="Simplified Arabic" w:hint="cs"/>
          <w:szCs w:val="24"/>
          <w:rtl/>
        </w:rPr>
        <w:t>للفريق العامل المعني بالمادة 8(ي)</w:t>
      </w:r>
      <w:r w:rsidRPr="002E513E">
        <w:rPr>
          <w:rFonts w:cs="Simplified Arabic" w:hint="cs"/>
          <w:szCs w:val="24"/>
          <w:rtl/>
        </w:rPr>
        <w:t xml:space="preserve"> </w:t>
      </w:r>
      <w:r w:rsidRPr="002E513E">
        <w:rPr>
          <w:rFonts w:cs="Simplified Arabic"/>
          <w:szCs w:val="24"/>
          <w:rtl/>
        </w:rPr>
        <w:t xml:space="preserve">بشأن توصيات منتدى الأمم المتحدة الدائم المعني بقضايا </w:t>
      </w:r>
      <w:r w:rsidRPr="002E513E">
        <w:rPr>
          <w:rFonts w:cs="Simplified Arabic" w:hint="cs"/>
          <w:szCs w:val="24"/>
          <w:rtl/>
        </w:rPr>
        <w:t>الشعوب الأصلية.</w:t>
      </w:r>
      <w:r w:rsidRPr="002E513E">
        <w:rPr>
          <w:rFonts w:cs="Simplified Arabic"/>
          <w:szCs w:val="24"/>
          <w:rtl/>
        </w:rPr>
        <w:t xml:space="preserve"> و</w:t>
      </w:r>
      <w:r w:rsidRPr="002E513E">
        <w:rPr>
          <w:rFonts w:cs="Simplified Arabic" w:hint="cs"/>
          <w:szCs w:val="24"/>
          <w:rtl/>
        </w:rPr>
        <w:t>ترد</w:t>
      </w:r>
      <w:r w:rsidRPr="002E513E">
        <w:rPr>
          <w:rFonts w:cs="Simplified Arabic"/>
          <w:szCs w:val="24"/>
          <w:rtl/>
        </w:rPr>
        <w:t xml:space="preserve"> مشاريع المقررات الثلاثة في تجميع مشاريع المقررات </w:t>
      </w:r>
      <w:r w:rsidRPr="005B6FC4">
        <w:rPr>
          <w:rtl/>
        </w:rPr>
        <w:t>(</w:t>
      </w:r>
      <w:r w:rsidRPr="005B6FC4">
        <w:rPr>
          <w:lang w:val="en-GB"/>
        </w:rPr>
        <w:t>CBD/COP/14/2</w:t>
      </w:r>
      <w:r w:rsidRPr="005B6FC4">
        <w:rPr>
          <w:rtl/>
        </w:rPr>
        <w:t>)</w:t>
      </w:r>
      <w:r w:rsidRPr="002E513E">
        <w:rPr>
          <w:rFonts w:cs="Simplified Arabic" w:hint="cs"/>
          <w:szCs w:val="24"/>
          <w:rtl/>
        </w:rPr>
        <w:t>.</w:t>
      </w:r>
    </w:p>
    <w:p w:rsidR="008E0E15" w:rsidRPr="002E513E" w:rsidRDefault="008E0E15" w:rsidP="00C458C4">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cs="Simplified Arabic"/>
          <w:szCs w:val="24"/>
          <w:rtl/>
        </w:rPr>
      </w:pPr>
      <w:r w:rsidRPr="002E513E">
        <w:rPr>
          <w:rFonts w:cs="Simplified Arabic" w:hint="cs"/>
          <w:szCs w:val="24"/>
          <w:rtl/>
        </w:rPr>
        <w:lastRenderedPageBreak/>
        <w:t>وأ</w:t>
      </w:r>
      <w:r w:rsidR="00C458C4">
        <w:rPr>
          <w:rFonts w:cs="Simplified Arabic" w:hint="cs"/>
          <w:szCs w:val="24"/>
          <w:rtl/>
        </w:rPr>
        <w:t>دلى</w:t>
      </w:r>
      <w:r w:rsidRPr="002E513E">
        <w:rPr>
          <w:rFonts w:cs="Simplified Arabic"/>
          <w:szCs w:val="24"/>
          <w:rtl/>
        </w:rPr>
        <w:t xml:space="preserve"> </w:t>
      </w:r>
      <w:r w:rsidR="00C458C4">
        <w:rPr>
          <w:rFonts w:cs="Simplified Arabic" w:hint="cs"/>
          <w:szCs w:val="24"/>
          <w:rtl/>
        </w:rPr>
        <w:t>ب</w:t>
      </w:r>
      <w:r w:rsidRPr="002E513E">
        <w:rPr>
          <w:rFonts w:cs="Simplified Arabic"/>
          <w:szCs w:val="24"/>
          <w:rtl/>
        </w:rPr>
        <w:t>بيان</w:t>
      </w:r>
      <w:r w:rsidRPr="002E513E">
        <w:rPr>
          <w:rFonts w:cs="Simplified Arabic" w:hint="cs"/>
          <w:szCs w:val="24"/>
          <w:rtl/>
        </w:rPr>
        <w:t xml:space="preserve"> </w:t>
      </w:r>
      <w:r w:rsidRPr="002E513E">
        <w:rPr>
          <w:rFonts w:cs="Simplified Arabic"/>
          <w:szCs w:val="24"/>
          <w:rtl/>
        </w:rPr>
        <w:t xml:space="preserve">ممثل </w:t>
      </w:r>
      <w:r w:rsidR="00361098">
        <w:rPr>
          <w:rFonts w:cs="Simplified Arabic" w:hint="cs"/>
          <w:szCs w:val="24"/>
          <w:rtl/>
        </w:rPr>
        <w:t xml:space="preserve">عن </w:t>
      </w:r>
      <w:r w:rsidRPr="002E513E">
        <w:rPr>
          <w:rFonts w:cs="Simplified Arabic"/>
          <w:szCs w:val="24"/>
          <w:rtl/>
        </w:rPr>
        <w:t>المنتدى الدولي للشعوب الأصلية المعني بالتنوع البيولوجي (</w:t>
      </w:r>
      <w:r w:rsidR="00C458C4">
        <w:rPr>
          <w:rFonts w:cs="Simplified Arabic" w:hint="cs"/>
          <w:szCs w:val="24"/>
          <w:rtl/>
        </w:rPr>
        <w:t>بتأييد</w:t>
      </w:r>
      <w:r w:rsidRPr="002E513E">
        <w:rPr>
          <w:rFonts w:cs="Simplified Arabic"/>
          <w:szCs w:val="24"/>
          <w:rtl/>
        </w:rPr>
        <w:t xml:space="preserve"> من بوليفيا (دولة - المتعددة القوميات)،</w:t>
      </w:r>
      <w:r w:rsidR="00C458C4">
        <w:rPr>
          <w:rFonts w:cs="Simplified Arabic" w:hint="cs"/>
          <w:szCs w:val="24"/>
          <w:rtl/>
        </w:rPr>
        <w:t xml:space="preserve"> وكندا،</w:t>
      </w:r>
      <w:r w:rsidRPr="002E513E">
        <w:rPr>
          <w:rFonts w:cs="Simplified Arabic"/>
          <w:szCs w:val="24"/>
          <w:rtl/>
        </w:rPr>
        <w:t xml:space="preserve"> وكوستاريكا، والاتحاد الأوروبي ودول</w:t>
      </w:r>
      <w:r w:rsidR="00EE5359">
        <w:rPr>
          <w:rFonts w:cs="Simplified Arabic" w:hint="cs"/>
          <w:szCs w:val="24"/>
          <w:rtl/>
        </w:rPr>
        <w:t>ه</w:t>
      </w:r>
      <w:r w:rsidRPr="002E513E">
        <w:rPr>
          <w:rFonts w:cs="Simplified Arabic"/>
          <w:szCs w:val="24"/>
          <w:rtl/>
        </w:rPr>
        <w:t xml:space="preserve"> الأعضاء</w:t>
      </w:r>
      <w:r w:rsidRPr="002E513E">
        <w:rPr>
          <w:rFonts w:cs="Simplified Arabic" w:hint="cs"/>
          <w:szCs w:val="24"/>
          <w:rtl/>
        </w:rPr>
        <w:t xml:space="preserve"> </w:t>
      </w:r>
      <w:r w:rsidR="00EE5359">
        <w:rPr>
          <w:rFonts w:cs="Simplified Arabic" w:hint="cs"/>
          <w:rtl/>
          <w:lang w:val="fr-CH"/>
        </w:rPr>
        <w:t>الثماني والعشرين</w:t>
      </w:r>
      <w:r w:rsidR="00EE5359" w:rsidRPr="00793E64">
        <w:rPr>
          <w:rFonts w:cs="Simplified Arabic"/>
          <w:rtl/>
          <w:lang w:val="fr-CH"/>
        </w:rPr>
        <w:t>،</w:t>
      </w:r>
      <w:r w:rsidRPr="002E513E">
        <w:rPr>
          <w:rFonts w:cs="Simplified Arabic"/>
          <w:szCs w:val="24"/>
          <w:rtl/>
        </w:rPr>
        <w:t xml:space="preserve"> وغواتيمالا</w:t>
      </w:r>
      <w:r w:rsidRPr="002E513E">
        <w:rPr>
          <w:rFonts w:cs="Simplified Arabic" w:hint="cs"/>
          <w:szCs w:val="24"/>
          <w:rtl/>
        </w:rPr>
        <w:t>،</w:t>
      </w:r>
      <w:r w:rsidRPr="002E513E">
        <w:rPr>
          <w:rFonts w:cs="Simplified Arabic"/>
          <w:szCs w:val="24"/>
          <w:rtl/>
        </w:rPr>
        <w:t xml:space="preserve"> والمكسيك)</w:t>
      </w:r>
      <w:r w:rsidRPr="002E513E">
        <w:rPr>
          <w:rFonts w:cs="Simplified Arabic" w:hint="cs"/>
          <w:szCs w:val="24"/>
          <w:rtl/>
        </w:rPr>
        <w:t>.</w:t>
      </w:r>
    </w:p>
    <w:p w:rsidR="008E0E15" w:rsidRPr="002E513E" w:rsidRDefault="008E0E15"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cs="Simplified Arabic"/>
          <w:szCs w:val="24"/>
          <w:rtl/>
        </w:rPr>
      </w:pPr>
      <w:r w:rsidRPr="002E513E">
        <w:rPr>
          <w:rFonts w:cs="Simplified Arabic" w:hint="cs"/>
          <w:szCs w:val="24"/>
          <w:rtl/>
        </w:rPr>
        <w:t>و</w:t>
      </w:r>
      <w:r w:rsidRPr="002E513E">
        <w:rPr>
          <w:rFonts w:cs="Simplified Arabic"/>
          <w:szCs w:val="24"/>
          <w:rtl/>
        </w:rPr>
        <w:t>قالت الرئيسة إنها ست</w:t>
      </w:r>
      <w:r w:rsidRPr="002E513E">
        <w:rPr>
          <w:rFonts w:cs="Simplified Arabic" w:hint="cs"/>
          <w:szCs w:val="24"/>
          <w:rtl/>
        </w:rPr>
        <w:t>عد</w:t>
      </w:r>
      <w:r w:rsidRPr="002E513E">
        <w:rPr>
          <w:rFonts w:cs="Simplified Arabic"/>
          <w:szCs w:val="24"/>
          <w:rtl/>
        </w:rPr>
        <w:t xml:space="preserve"> مشروع مقرر بشأن كل بند فرعي </w:t>
      </w:r>
      <w:r w:rsidRPr="002E513E">
        <w:rPr>
          <w:rFonts w:cs="Simplified Arabic" w:hint="cs"/>
          <w:szCs w:val="24"/>
          <w:rtl/>
        </w:rPr>
        <w:t>ل</w:t>
      </w:r>
      <w:r w:rsidRPr="002E513E">
        <w:rPr>
          <w:rFonts w:cs="Simplified Arabic"/>
          <w:szCs w:val="24"/>
          <w:rtl/>
        </w:rPr>
        <w:t>ينظر فيه الفريق العامل</w:t>
      </w:r>
      <w:r w:rsidRPr="002E513E">
        <w:rPr>
          <w:rFonts w:cs="Simplified Arabic" w:hint="cs"/>
          <w:szCs w:val="24"/>
          <w:rtl/>
        </w:rPr>
        <w:t>.</w:t>
      </w:r>
    </w:p>
    <w:p w:rsidR="009E71B5" w:rsidRPr="00C458C4" w:rsidRDefault="008E0E15" w:rsidP="001C08DD">
      <w:pPr>
        <w:pStyle w:val="ListParagraph"/>
        <w:kinsoku w:val="0"/>
        <w:overflowPunct w:val="0"/>
        <w:autoSpaceDE w:val="0"/>
        <w:autoSpaceDN w:val="0"/>
        <w:bidi/>
        <w:snapToGrid w:val="0"/>
        <w:spacing w:line="216" w:lineRule="auto"/>
        <w:ind w:left="0"/>
        <w:rPr>
          <w:rFonts w:cs="Simplified Arabic"/>
          <w:b/>
          <w:bCs/>
        </w:rPr>
      </w:pPr>
      <w:r w:rsidRPr="00C458C4">
        <w:rPr>
          <w:rFonts w:cs="Simplified Arabic" w:hint="cs"/>
          <w:b/>
          <w:bCs/>
          <w:rtl/>
        </w:rPr>
        <w:t xml:space="preserve">المسائل الأخرى </w:t>
      </w:r>
      <w:r w:rsidR="00A63EB9" w:rsidRPr="00C458C4">
        <w:rPr>
          <w:rFonts w:cs="Simplified Arabic" w:hint="cs"/>
          <w:b/>
          <w:bCs/>
          <w:rtl/>
        </w:rPr>
        <w:t>المتعلقة</w:t>
      </w:r>
      <w:r w:rsidRPr="00C458C4">
        <w:rPr>
          <w:rFonts w:cs="Simplified Arabic" w:hint="cs"/>
          <w:b/>
          <w:bCs/>
          <w:rtl/>
        </w:rPr>
        <w:t xml:space="preserve"> بالمادة 8(ي)</w:t>
      </w:r>
    </w:p>
    <w:p w:rsidR="00A63EB9" w:rsidRPr="002E513E" w:rsidRDefault="00C458C4" w:rsidP="00C458C4">
      <w:pPr>
        <w:pStyle w:val="ListParagraph"/>
        <w:numPr>
          <w:ilvl w:val="0"/>
          <w:numId w:val="6"/>
        </w:numPr>
        <w:kinsoku w:val="0"/>
        <w:overflowPunct w:val="0"/>
        <w:autoSpaceDE w:val="0"/>
        <w:autoSpaceDN w:val="0"/>
        <w:bidi/>
        <w:snapToGrid w:val="0"/>
        <w:spacing w:line="216" w:lineRule="auto"/>
        <w:ind w:left="0" w:firstLine="0"/>
      </w:pPr>
      <w:r>
        <w:rPr>
          <w:rFonts w:ascii="Simplified Arabic" w:hAnsi="Simplified Arabic" w:hint="cs"/>
          <w:rtl/>
        </w:rPr>
        <w:t>في جلست</w:t>
      </w:r>
      <w:r w:rsidR="00A63EB9" w:rsidRPr="002E513E">
        <w:rPr>
          <w:rFonts w:ascii="Simplified Arabic" w:hAnsi="Simplified Arabic"/>
          <w:rtl/>
        </w:rPr>
        <w:t>ه التاسع</w:t>
      </w:r>
      <w:r>
        <w:rPr>
          <w:rFonts w:ascii="Simplified Arabic" w:hAnsi="Simplified Arabic" w:hint="cs"/>
          <w:rtl/>
        </w:rPr>
        <w:t>ة</w:t>
      </w:r>
      <w:r w:rsidR="00A63EB9" w:rsidRPr="002E513E">
        <w:rPr>
          <w:rFonts w:ascii="Simplified Arabic" w:hAnsi="Simplified Arabic"/>
          <w:rtl/>
        </w:rPr>
        <w:t>، المعقود</w:t>
      </w:r>
      <w:r>
        <w:rPr>
          <w:rFonts w:ascii="Simplified Arabic" w:hAnsi="Simplified Arabic" w:hint="cs"/>
          <w:rtl/>
        </w:rPr>
        <w:t>ة</w:t>
      </w:r>
      <w:r w:rsidR="00A63EB9" w:rsidRPr="002E513E">
        <w:rPr>
          <w:rFonts w:ascii="Simplified Arabic" w:hAnsi="Simplified Arabic"/>
          <w:rtl/>
        </w:rPr>
        <w:t xml:space="preserve"> في 25 نوفمبر/تشرين الثاني 2018، </w:t>
      </w:r>
      <w:r w:rsidR="00D75E9D">
        <w:rPr>
          <w:rFonts w:ascii="Simplified Arabic" w:hAnsi="Simplified Arabic" w:hint="cs"/>
          <w:rtl/>
        </w:rPr>
        <w:t xml:space="preserve">نظر الفريق العامل </w:t>
      </w:r>
      <w:r w:rsidR="00A63EB9" w:rsidRPr="002E513E">
        <w:rPr>
          <w:rFonts w:ascii="Simplified Arabic" w:hAnsi="Simplified Arabic"/>
          <w:rtl/>
        </w:rPr>
        <w:t>في مشروع المقرر المقدم من الرئيس</w:t>
      </w:r>
      <w:r w:rsidR="00A63EB9" w:rsidRPr="002E513E">
        <w:rPr>
          <w:rFonts w:ascii="Simplified Arabic" w:hAnsi="Simplified Arabic" w:hint="cs"/>
          <w:rtl/>
        </w:rPr>
        <w:t>ة</w:t>
      </w:r>
      <w:r w:rsidR="00A63EB9" w:rsidRPr="002E513E">
        <w:rPr>
          <w:rFonts w:ascii="Simplified Arabic" w:hAnsi="Simplified Arabic"/>
          <w:rtl/>
        </w:rPr>
        <w:t xml:space="preserve"> بشأن </w:t>
      </w:r>
      <w:r w:rsidR="00A63EB9" w:rsidRPr="002E513E">
        <w:rPr>
          <w:rFonts w:ascii="Simplified Arabic" w:hAnsi="Simplified Arabic" w:hint="cs"/>
          <w:rtl/>
        </w:rPr>
        <w:t>ال</w:t>
      </w:r>
      <w:r w:rsidR="00A63EB9" w:rsidRPr="002E513E">
        <w:rPr>
          <w:rFonts w:ascii="Simplified Arabic" w:hAnsi="Simplified Arabic"/>
          <w:rtl/>
        </w:rPr>
        <w:t xml:space="preserve">مسائل </w:t>
      </w:r>
      <w:r w:rsidR="00A63EB9" w:rsidRPr="002E513E">
        <w:rPr>
          <w:rFonts w:ascii="Simplified Arabic" w:hAnsi="Simplified Arabic" w:hint="cs"/>
          <w:rtl/>
        </w:rPr>
        <w:t>ال</w:t>
      </w:r>
      <w:r w:rsidR="00A63EB9" w:rsidRPr="002E513E">
        <w:rPr>
          <w:rFonts w:ascii="Simplified Arabic" w:hAnsi="Simplified Arabic"/>
          <w:rtl/>
        </w:rPr>
        <w:t xml:space="preserve">أخرى </w:t>
      </w:r>
      <w:r w:rsidR="00A63EB9" w:rsidRPr="002E513E">
        <w:rPr>
          <w:rFonts w:ascii="Simplified Arabic" w:hAnsi="Simplified Arabic" w:hint="cs"/>
          <w:rtl/>
        </w:rPr>
        <w:t>الم</w:t>
      </w:r>
      <w:r w:rsidR="00A63EB9" w:rsidRPr="002E513E">
        <w:rPr>
          <w:rFonts w:ascii="Simplified Arabic" w:hAnsi="Simplified Arabic"/>
          <w:rtl/>
        </w:rPr>
        <w:t>تعلق</w:t>
      </w:r>
      <w:r w:rsidR="00A63EB9" w:rsidRPr="002E513E">
        <w:rPr>
          <w:rFonts w:ascii="Simplified Arabic" w:hAnsi="Simplified Arabic" w:hint="cs"/>
          <w:rtl/>
        </w:rPr>
        <w:t>ة</w:t>
      </w:r>
      <w:r w:rsidR="00A63EB9" w:rsidRPr="002E513E">
        <w:rPr>
          <w:rFonts w:ascii="Simplified Arabic" w:hAnsi="Simplified Arabic"/>
          <w:rtl/>
        </w:rPr>
        <w:t xml:space="preserve"> بالمادة 8</w:t>
      </w:r>
      <w:r w:rsidR="00A63EB9" w:rsidRPr="002E513E">
        <w:rPr>
          <w:rFonts w:ascii="Simplified Arabic" w:hAnsi="Simplified Arabic" w:hint="cs"/>
          <w:rtl/>
        </w:rPr>
        <w:t>(</w:t>
      </w:r>
      <w:r w:rsidR="00A63EB9" w:rsidRPr="002E513E">
        <w:rPr>
          <w:rFonts w:ascii="Simplified Arabic" w:hAnsi="Simplified Arabic"/>
          <w:rtl/>
        </w:rPr>
        <w:t>ي) و</w:t>
      </w:r>
      <w:r w:rsidR="00A63EB9" w:rsidRPr="002E513E">
        <w:rPr>
          <w:rFonts w:ascii="Simplified Arabic" w:hAnsi="Simplified Arabic" w:hint="cs"/>
          <w:rtl/>
        </w:rPr>
        <w:t>وافق عليه</w:t>
      </w:r>
      <w:r w:rsidR="00A63EB9" w:rsidRPr="002E513E">
        <w:rPr>
          <w:rFonts w:ascii="Simplified Arabic" w:hAnsi="Simplified Arabic"/>
          <w:rtl/>
        </w:rPr>
        <w:t xml:space="preserve"> لإحالته إلى الجلسة العامة </w:t>
      </w:r>
      <w:r w:rsidR="00BE3594" w:rsidRPr="002E513E">
        <w:rPr>
          <w:rFonts w:ascii="Simplified Arabic" w:hAnsi="Simplified Arabic" w:cs="Simplified Arabic" w:hint="cs"/>
          <w:rtl/>
        </w:rPr>
        <w:t>بوصفه مشروع المقرر</w:t>
      </w:r>
      <w:r w:rsidR="00A63EB9" w:rsidRPr="002E513E">
        <w:rPr>
          <w:rFonts w:ascii="Simplified Arabic" w:hAnsi="Simplified Arabic" w:hint="cs"/>
          <w:rtl/>
        </w:rPr>
        <w:t xml:space="preserve"> </w:t>
      </w:r>
      <w:r w:rsidR="00A63EB9" w:rsidRPr="002E513E">
        <w:rPr>
          <w:iCs/>
          <w:szCs w:val="22"/>
        </w:rPr>
        <w:t>CBD/COP/14/L.9</w:t>
      </w:r>
      <w:r w:rsidR="00A63EB9" w:rsidRPr="002E513E">
        <w:rPr>
          <w:rFonts w:ascii="Simplified Arabic" w:hAnsi="Simplified Arabic" w:hint="cs"/>
          <w:rtl/>
        </w:rPr>
        <w:t>.</w:t>
      </w:r>
    </w:p>
    <w:p w:rsidR="008E0E15" w:rsidRDefault="00A63EB9" w:rsidP="00A11410">
      <w:pPr>
        <w:pStyle w:val="ListParagraph"/>
        <w:numPr>
          <w:ilvl w:val="0"/>
          <w:numId w:val="6"/>
        </w:numPr>
        <w:kinsoku w:val="0"/>
        <w:overflowPunct w:val="0"/>
        <w:autoSpaceDE w:val="0"/>
        <w:autoSpaceDN w:val="0"/>
        <w:bidi/>
        <w:snapToGrid w:val="0"/>
        <w:spacing w:line="216" w:lineRule="auto"/>
        <w:ind w:left="0" w:firstLine="0"/>
        <w:rPr>
          <w:rFonts w:cs="Simplified Arabic"/>
        </w:rPr>
      </w:pPr>
      <w:r w:rsidRPr="00997CAE">
        <w:rPr>
          <w:rFonts w:cs="Simplified Arabic" w:hint="cs"/>
          <w:rtl/>
        </w:rPr>
        <w:t xml:space="preserve">وفي الجلسة العامة الخامسة للاجتماع، المنعقدة في 25 نوفمبر/تشرين الثاني 2018، اعتمد مؤتمر الأطراف مشروع المقرر </w:t>
      </w:r>
      <w:r w:rsidRPr="00997CAE">
        <w:rPr>
          <w:rFonts w:cs="Simplified Arabic"/>
        </w:rPr>
        <w:t>CBD/COP/14/L.</w:t>
      </w:r>
      <w:r>
        <w:rPr>
          <w:rFonts w:cs="Simplified Arabic"/>
        </w:rPr>
        <w:t>9</w:t>
      </w:r>
      <w:r w:rsidRPr="00997CAE">
        <w:rPr>
          <w:rFonts w:cs="Simplified Arabic" w:hint="cs"/>
          <w:rtl/>
        </w:rPr>
        <w:t>،</w:t>
      </w:r>
      <w:r w:rsidRPr="00997CAE">
        <w:rPr>
          <w:rFonts w:cs="Simplified Arabic" w:hint="cs"/>
          <w:rtl/>
          <w:lang w:val="fr-CH"/>
        </w:rPr>
        <w:t xml:space="preserve"> بوصفه المقرر 14/</w:t>
      </w:r>
      <w:r w:rsidR="00A11410">
        <w:rPr>
          <w:rFonts w:cs="Simplified Arabic" w:hint="cs"/>
          <w:rtl/>
          <w:lang w:val="fr-CH"/>
        </w:rPr>
        <w:t>14</w:t>
      </w:r>
      <w:r w:rsidR="00A11410">
        <w:rPr>
          <w:rFonts w:cs="Simplified Arabic" w:hint="cs"/>
          <w:rtl/>
        </w:rPr>
        <w:t xml:space="preserve"> (للاطلاع على النص، انظر الفصل الأول).</w:t>
      </w:r>
    </w:p>
    <w:p w:rsidR="00A63EB9" w:rsidRPr="00A11410" w:rsidRDefault="00A63EB9" w:rsidP="001C08DD">
      <w:pPr>
        <w:kinsoku w:val="0"/>
        <w:overflowPunct w:val="0"/>
        <w:autoSpaceDE w:val="0"/>
        <w:autoSpaceDN w:val="0"/>
        <w:snapToGrid w:val="0"/>
        <w:rPr>
          <w:b/>
          <w:bCs/>
        </w:rPr>
      </w:pPr>
      <w:r w:rsidRPr="00A11410">
        <w:rPr>
          <w:rFonts w:hint="cs"/>
          <w:b/>
          <w:bCs/>
          <w:rtl/>
        </w:rPr>
        <w:t>مبادئ روتسوليهيرساجيك التوجيهية الطوعية لإعادة توطين المعارف التقليدية ذات الصلة بحفظ التنوع البيولوجي واستخدامه المستدام</w:t>
      </w:r>
    </w:p>
    <w:p w:rsidR="00A63EB9" w:rsidRPr="002E513E" w:rsidRDefault="00A11410" w:rsidP="00361098">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ascii="Simplified Arabic" w:hAnsi="Simplified Arabic" w:cs="Simplified Arabic" w:hint="cs"/>
          <w:sz w:val="24"/>
          <w:rtl/>
        </w:rPr>
        <w:t>في جلسته</w:t>
      </w:r>
      <w:r w:rsidR="00A63EB9" w:rsidRPr="002E513E">
        <w:rPr>
          <w:rFonts w:ascii="Simplified Arabic" w:hAnsi="Simplified Arabic" w:cs="Simplified Arabic"/>
          <w:sz w:val="24"/>
          <w:rtl/>
        </w:rPr>
        <w:t xml:space="preserve"> ال</w:t>
      </w:r>
      <w:r w:rsidR="008666BC">
        <w:rPr>
          <w:rFonts w:ascii="Simplified Arabic" w:hAnsi="Simplified Arabic" w:cs="Simplified Arabic" w:hint="cs"/>
          <w:sz w:val="24"/>
          <w:rtl/>
        </w:rPr>
        <w:t>عاشر</w:t>
      </w:r>
      <w:r>
        <w:rPr>
          <w:rFonts w:ascii="Simplified Arabic" w:hAnsi="Simplified Arabic" w:cs="Simplified Arabic" w:hint="cs"/>
          <w:sz w:val="24"/>
          <w:rtl/>
        </w:rPr>
        <w:t>ة</w:t>
      </w:r>
      <w:r w:rsidR="00A63EB9" w:rsidRPr="002E513E">
        <w:rPr>
          <w:rFonts w:ascii="Simplified Arabic" w:hAnsi="Simplified Arabic" w:cs="Simplified Arabic"/>
          <w:sz w:val="24"/>
          <w:rtl/>
        </w:rPr>
        <w:t>، المعقود</w:t>
      </w:r>
      <w:r>
        <w:rPr>
          <w:rFonts w:ascii="Simplified Arabic" w:hAnsi="Simplified Arabic" w:cs="Simplified Arabic" w:hint="cs"/>
          <w:sz w:val="24"/>
          <w:rtl/>
        </w:rPr>
        <w:t>ة</w:t>
      </w:r>
      <w:r w:rsidR="00A63EB9" w:rsidRPr="002E513E">
        <w:rPr>
          <w:rFonts w:ascii="Simplified Arabic" w:hAnsi="Simplified Arabic" w:cs="Simplified Arabic"/>
          <w:sz w:val="24"/>
          <w:rtl/>
        </w:rPr>
        <w:t xml:space="preserve"> </w:t>
      </w:r>
      <w:r w:rsidR="00361098">
        <w:rPr>
          <w:rFonts w:ascii="Simplified Arabic" w:hAnsi="Simplified Arabic" w:cs="Simplified Arabic" w:hint="cs"/>
          <w:sz w:val="24"/>
          <w:rtl/>
        </w:rPr>
        <w:t>يوم الأحد</w:t>
      </w:r>
      <w:r w:rsidR="00A63EB9" w:rsidRPr="002E513E">
        <w:rPr>
          <w:rFonts w:ascii="Simplified Arabic" w:hAnsi="Simplified Arabic" w:cs="Simplified Arabic"/>
          <w:sz w:val="24"/>
          <w:rtl/>
        </w:rPr>
        <w:t xml:space="preserve"> 25 نوفمبر/تشرين الثاني 2018، </w:t>
      </w:r>
      <w:r w:rsidR="00D75E9D">
        <w:rPr>
          <w:rFonts w:ascii="Simplified Arabic" w:hAnsi="Simplified Arabic" w:cs="Simplified Arabic" w:hint="cs"/>
          <w:sz w:val="24"/>
          <w:rtl/>
        </w:rPr>
        <w:t xml:space="preserve">نظر الفريق العامل </w:t>
      </w:r>
      <w:r w:rsidR="00A63EB9" w:rsidRPr="002E513E">
        <w:rPr>
          <w:rFonts w:ascii="Simplified Arabic" w:hAnsi="Simplified Arabic" w:cs="Simplified Arabic"/>
          <w:sz w:val="24"/>
          <w:rtl/>
        </w:rPr>
        <w:t>في مشروع المقرر المقدم من الرئيسة بشأن المبادئ التوجيهية الطوعية روتسوليهيرساجيك.</w:t>
      </w:r>
    </w:p>
    <w:p w:rsidR="00A63EB9" w:rsidRPr="002E513E" w:rsidRDefault="00A63EB9" w:rsidP="00A11410">
      <w:pPr>
        <w:pStyle w:val="ListParagraph"/>
        <w:numPr>
          <w:ilvl w:val="0"/>
          <w:numId w:val="6"/>
        </w:numPr>
        <w:kinsoku w:val="0"/>
        <w:overflowPunct w:val="0"/>
        <w:autoSpaceDE w:val="0"/>
        <w:autoSpaceDN w:val="0"/>
        <w:bidi/>
        <w:snapToGrid w:val="0"/>
        <w:spacing w:line="216" w:lineRule="auto"/>
        <w:ind w:left="0" w:firstLine="0"/>
        <w:rPr>
          <w:rFonts w:cs="Simplified Arabic"/>
          <w:rtl/>
        </w:rPr>
      </w:pPr>
      <w:r w:rsidRPr="002E513E">
        <w:rPr>
          <w:rFonts w:ascii="Simplified Arabic" w:hAnsi="Simplified Arabic" w:cs="Simplified Arabic"/>
          <w:rtl/>
        </w:rPr>
        <w:t>و</w:t>
      </w:r>
      <w:r w:rsidR="00A11410">
        <w:rPr>
          <w:rFonts w:ascii="Simplified Arabic" w:hAnsi="Simplified Arabic" w:cs="Simplified Arabic" w:hint="cs"/>
          <w:rtl/>
        </w:rPr>
        <w:t>أدلى ب</w:t>
      </w:r>
      <w:r w:rsidRPr="002E513E">
        <w:rPr>
          <w:rFonts w:ascii="Simplified Arabic" w:hAnsi="Simplified Arabic" w:cs="Simplified Arabic" w:hint="cs"/>
          <w:rtl/>
        </w:rPr>
        <w:t xml:space="preserve">بيانات </w:t>
      </w:r>
      <w:r w:rsidRPr="002E513E">
        <w:rPr>
          <w:rFonts w:ascii="Simplified Arabic" w:hAnsi="Simplified Arabic" w:cs="Simplified Arabic"/>
          <w:rtl/>
        </w:rPr>
        <w:t>ممثل</w:t>
      </w:r>
      <w:r w:rsidR="00A11410">
        <w:rPr>
          <w:rFonts w:ascii="Simplified Arabic" w:hAnsi="Simplified Arabic" w:cs="Simplified Arabic" w:hint="cs"/>
          <w:rtl/>
        </w:rPr>
        <w:t>و</w:t>
      </w:r>
      <w:r w:rsidRPr="002E513E">
        <w:rPr>
          <w:rFonts w:ascii="Simplified Arabic" w:hAnsi="Simplified Arabic" w:cs="Simplified Arabic"/>
          <w:sz w:val="24"/>
          <w:rtl/>
        </w:rPr>
        <w:t xml:space="preserve"> بنن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وبوليفيا (دولة - المتعددة القوميات)</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والبرازيل</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والكاميرون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وكندا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ومصر</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والاتحاد الأوروبي</w:t>
      </w:r>
      <w:r w:rsidR="00A11410">
        <w:rPr>
          <w:rFonts w:ascii="Simplified Arabic" w:hAnsi="Simplified Arabic" w:cs="Simplified Arabic" w:hint="cs"/>
          <w:sz w:val="24"/>
          <w:rtl/>
        </w:rPr>
        <w:t xml:space="preserve"> ودوله الأعضاء الثماني والعشرين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وغابون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وغواتيمالا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والعراق</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ونيوزيلندا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والفلبين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وجمهورية كوريا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وجنوب أفريقيا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002E513E">
        <w:rPr>
          <w:rFonts w:ascii="Simplified Arabic" w:hAnsi="Simplified Arabic" w:cs="Simplified Arabic" w:hint="cs"/>
          <w:sz w:val="24"/>
          <w:rtl/>
        </w:rPr>
        <w:t xml:space="preserve">وسويسرا </w:t>
      </w:r>
      <w:r w:rsidRPr="002E513E">
        <w:rPr>
          <w:rFonts w:ascii="Simplified Arabic" w:hAnsi="Simplified Arabic" w:cs="Simplified Arabic"/>
          <w:sz w:val="24"/>
          <w:rtl/>
        </w:rPr>
        <w:t>وتركيا</w:t>
      </w:r>
      <w:r w:rsidRPr="002E513E">
        <w:rPr>
          <w:rFonts w:ascii="Simplified Arabic" w:hAnsi="Simplified Arabic" w:cs="Simplified Arabic" w:hint="cs"/>
          <w:sz w:val="24"/>
          <w:rtl/>
        </w:rPr>
        <w:t>.</w:t>
      </w:r>
    </w:p>
    <w:p w:rsidR="00A63EB9" w:rsidRPr="002E513E" w:rsidRDefault="00A63EB9" w:rsidP="00FF7FA5">
      <w:pPr>
        <w:pStyle w:val="ListParagraph"/>
        <w:numPr>
          <w:ilvl w:val="0"/>
          <w:numId w:val="6"/>
        </w:numPr>
        <w:kinsoku w:val="0"/>
        <w:overflowPunct w:val="0"/>
        <w:autoSpaceDE w:val="0"/>
        <w:autoSpaceDN w:val="0"/>
        <w:bidi/>
        <w:snapToGrid w:val="0"/>
        <w:spacing w:line="216" w:lineRule="auto"/>
        <w:ind w:left="0" w:firstLine="0"/>
        <w:rPr>
          <w:rFonts w:cs="Simplified Arabic"/>
        </w:rPr>
      </w:pPr>
      <w:r w:rsidRPr="002E513E">
        <w:rPr>
          <w:rFonts w:ascii="Simplified Arabic" w:hAnsi="Simplified Arabic" w:cs="Simplified Arabic" w:hint="cs"/>
          <w:sz w:val="24"/>
          <w:rtl/>
        </w:rPr>
        <w:t>و</w:t>
      </w:r>
      <w:r w:rsidRPr="002E513E">
        <w:rPr>
          <w:rFonts w:ascii="Simplified Arabic" w:hAnsi="Simplified Arabic" w:cs="Simplified Arabic"/>
          <w:sz w:val="24"/>
          <w:rtl/>
        </w:rPr>
        <w:t>وافق الفريق العامل</w:t>
      </w:r>
      <w:r w:rsidRPr="002E513E">
        <w:rPr>
          <w:rFonts w:ascii="Simplified Arabic" w:hAnsi="Simplified Arabic" w:cs="Simplified Arabic"/>
          <w:rtl/>
        </w:rPr>
        <w:t xml:space="preserve"> على مشروع المقرر، بصيغته المعدلة شفويا</w:t>
      </w:r>
      <w:r w:rsidR="00830816">
        <w:rPr>
          <w:rFonts w:ascii="Simplified Arabic" w:hAnsi="Simplified Arabic" w:cs="Simplified Arabic" w:hint="cs"/>
          <w:rtl/>
        </w:rPr>
        <w:t>ً</w:t>
      </w:r>
      <w:r w:rsidRPr="002E513E">
        <w:rPr>
          <w:rFonts w:ascii="Simplified Arabic" w:hAnsi="Simplified Arabic" w:cs="Simplified Arabic"/>
          <w:rtl/>
        </w:rPr>
        <w:t xml:space="preserve">، لإحالته إلى الجلسة العامة </w:t>
      </w:r>
      <w:r w:rsidRPr="002E513E">
        <w:rPr>
          <w:rFonts w:ascii="Simplified Arabic" w:hAnsi="Simplified Arabic" w:cs="Simplified Arabic" w:hint="cs"/>
          <w:rtl/>
        </w:rPr>
        <w:t xml:space="preserve">بوصفه </w:t>
      </w:r>
      <w:r w:rsidRPr="002E513E">
        <w:rPr>
          <w:rFonts w:ascii="Simplified Arabic" w:hAnsi="Simplified Arabic" w:cs="Simplified Arabic"/>
          <w:rtl/>
        </w:rPr>
        <w:t xml:space="preserve">مشروع </w:t>
      </w:r>
      <w:r w:rsidRPr="002E513E">
        <w:rPr>
          <w:rFonts w:ascii="Simplified Arabic" w:hAnsi="Simplified Arabic" w:cs="Simplified Arabic" w:hint="cs"/>
          <w:rtl/>
        </w:rPr>
        <w:t>ال</w:t>
      </w:r>
      <w:r w:rsidRPr="002E513E">
        <w:rPr>
          <w:rFonts w:ascii="Simplified Arabic" w:hAnsi="Simplified Arabic" w:cs="Simplified Arabic"/>
          <w:rtl/>
        </w:rPr>
        <w:t>مقرر</w:t>
      </w:r>
      <w:r w:rsidRPr="002E513E">
        <w:rPr>
          <w:iCs/>
        </w:rPr>
        <w:t xml:space="preserve"> CBD/COP/14/L.14</w:t>
      </w:r>
      <w:r w:rsidRPr="002E513E">
        <w:rPr>
          <w:rFonts w:ascii="Simplified Arabic" w:hAnsi="Simplified Arabic" w:cs="Simplified Arabic" w:hint="cs"/>
          <w:sz w:val="24"/>
          <w:rtl/>
        </w:rPr>
        <w:t>.</w:t>
      </w:r>
    </w:p>
    <w:p w:rsidR="008666BC" w:rsidRDefault="00A11410" w:rsidP="00A11410">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نظر مؤتمر الأطراف في مشروع المقرر </w:t>
      </w:r>
      <w:r>
        <w:rPr>
          <w:rFonts w:cs="Simplified Arabic"/>
          <w:lang w:val="en-US"/>
        </w:rPr>
        <w:t>CBD/COP/14/L.14</w:t>
      </w:r>
      <w:r>
        <w:rPr>
          <w:rFonts w:cs="Simplified Arabic" w:hint="cs"/>
          <w:rtl/>
        </w:rPr>
        <w:t>.</w:t>
      </w:r>
    </w:p>
    <w:p w:rsidR="00A11410" w:rsidRPr="00A11410" w:rsidRDefault="00A11410" w:rsidP="008666BC">
      <w:pPr>
        <w:pStyle w:val="ListParagraph"/>
        <w:numPr>
          <w:ilvl w:val="0"/>
          <w:numId w:val="6"/>
        </w:numPr>
        <w:kinsoku w:val="0"/>
        <w:overflowPunct w:val="0"/>
        <w:autoSpaceDE w:val="0"/>
        <w:autoSpaceDN w:val="0"/>
        <w:bidi/>
        <w:snapToGrid w:val="0"/>
        <w:spacing w:line="216" w:lineRule="auto"/>
        <w:ind w:left="0" w:firstLine="0"/>
        <w:rPr>
          <w:rFonts w:cs="Simplified Arabic"/>
        </w:rPr>
      </w:pPr>
      <w:r w:rsidRPr="00A11410">
        <w:rPr>
          <w:rFonts w:cs="Simplified Arabic" w:hint="cs"/>
          <w:rtl/>
        </w:rPr>
        <w:t>وأدلى ببيانين ممثلا جمهورية كوريا وسويسرا.</w:t>
      </w:r>
    </w:p>
    <w:p w:rsidR="009E71B5" w:rsidRPr="00997CAE" w:rsidRDefault="00A11410" w:rsidP="008666BC">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cs="Simplified Arabic" w:hint="cs"/>
          <w:rtl/>
        </w:rPr>
        <w:t xml:space="preserve">واعتمد مؤتمر الأطراف مشروع المقرر </w:t>
      </w:r>
      <w:r w:rsidRPr="007F48C2">
        <w:t>CBD/COP/14/L.</w:t>
      </w:r>
      <w:r>
        <w:t>1</w:t>
      </w:r>
      <w:r w:rsidR="008666BC">
        <w:t>4</w:t>
      </w:r>
      <w:r>
        <w:rPr>
          <w:rFonts w:cs="Simplified Arabic" w:hint="cs"/>
          <w:rtl/>
        </w:rPr>
        <w:t xml:space="preserve"> بوصفه المقرر 14/</w:t>
      </w:r>
      <w:r w:rsidR="008666BC">
        <w:rPr>
          <w:rFonts w:cs="Simplified Arabic" w:hint="cs"/>
          <w:rtl/>
        </w:rPr>
        <w:t>1</w:t>
      </w:r>
      <w:r>
        <w:rPr>
          <w:rFonts w:cs="Simplified Arabic" w:hint="cs"/>
          <w:rtl/>
        </w:rPr>
        <w:t>2 (للاطلاع على النص، انظر الفصل الأول).</w:t>
      </w:r>
    </w:p>
    <w:p w:rsidR="009E71B5" w:rsidRPr="008666BC" w:rsidRDefault="009E71B5" w:rsidP="001C08DD">
      <w:pPr>
        <w:pStyle w:val="ListParagraph"/>
        <w:kinsoku w:val="0"/>
        <w:overflowPunct w:val="0"/>
        <w:autoSpaceDE w:val="0"/>
        <w:autoSpaceDN w:val="0"/>
        <w:bidi/>
        <w:snapToGrid w:val="0"/>
        <w:spacing w:line="216" w:lineRule="auto"/>
        <w:ind w:left="0"/>
        <w:rPr>
          <w:rFonts w:cs="Simplified Arabic"/>
          <w:b/>
          <w:bCs/>
        </w:rPr>
      </w:pPr>
      <w:r w:rsidRPr="008666BC">
        <w:rPr>
          <w:rFonts w:cs="Simplified Arabic" w:hint="cs"/>
          <w:b/>
          <w:bCs/>
          <w:rtl/>
        </w:rPr>
        <w:t>مسرد المصطلحات والمفاهيم الرئيسية ذات الصلة في سياق المادة 8(ي) والأحكام المتصلة بها</w:t>
      </w:r>
    </w:p>
    <w:p w:rsidR="009E71B5" w:rsidRPr="002E513E" w:rsidRDefault="008666BC" w:rsidP="008666BC">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ascii="Simplified Arabic" w:hAnsi="Simplified Arabic" w:cs="Simplified Arabic" w:hint="cs"/>
          <w:rtl/>
        </w:rPr>
        <w:t>في جلسته</w:t>
      </w:r>
      <w:r w:rsidR="00A63EB9" w:rsidRPr="002E513E">
        <w:rPr>
          <w:rFonts w:ascii="Simplified Arabic" w:hAnsi="Simplified Arabic" w:cs="Simplified Arabic"/>
          <w:rtl/>
        </w:rPr>
        <w:t xml:space="preserve"> التاسع</w:t>
      </w:r>
      <w:r>
        <w:rPr>
          <w:rFonts w:ascii="Simplified Arabic" w:hAnsi="Simplified Arabic" w:cs="Simplified Arabic" w:hint="cs"/>
          <w:rtl/>
        </w:rPr>
        <w:t>ة</w:t>
      </w:r>
      <w:r w:rsidR="00A63EB9" w:rsidRPr="002E513E">
        <w:rPr>
          <w:rFonts w:ascii="Simplified Arabic" w:hAnsi="Simplified Arabic" w:cs="Simplified Arabic"/>
          <w:rtl/>
        </w:rPr>
        <w:t>، المعقود</w:t>
      </w:r>
      <w:r>
        <w:rPr>
          <w:rFonts w:ascii="Simplified Arabic" w:hAnsi="Simplified Arabic" w:cs="Simplified Arabic" w:hint="cs"/>
          <w:rtl/>
        </w:rPr>
        <w:t>ة</w:t>
      </w:r>
      <w:r w:rsidR="00A63EB9" w:rsidRPr="002E513E">
        <w:rPr>
          <w:rFonts w:ascii="Simplified Arabic" w:hAnsi="Simplified Arabic" w:cs="Simplified Arabic"/>
          <w:rtl/>
        </w:rPr>
        <w:t xml:space="preserve"> في 25 نوفمبر/تشرين الثاني 2018، </w:t>
      </w:r>
      <w:r>
        <w:rPr>
          <w:rFonts w:ascii="Simplified Arabic" w:hAnsi="Simplified Arabic" w:cs="Simplified Arabic" w:hint="cs"/>
          <w:rtl/>
        </w:rPr>
        <w:t xml:space="preserve">نظر الفريق العامل </w:t>
      </w:r>
      <w:r w:rsidR="00A63EB9" w:rsidRPr="002E513E">
        <w:rPr>
          <w:rFonts w:ascii="Simplified Arabic" w:hAnsi="Simplified Arabic" w:cs="Simplified Arabic"/>
          <w:rtl/>
        </w:rPr>
        <w:t>في مشروع المقرر المقدم من الرئيسة بشأن مسرد المصطلحات والمفاهيم الرئيسية ذات الصلة في سياق المادة 8(ي) والأحكام المتصلة بها، و</w:t>
      </w:r>
      <w:r w:rsidR="00A63EB9" w:rsidRPr="002E513E">
        <w:rPr>
          <w:rFonts w:ascii="Simplified Arabic" w:hAnsi="Simplified Arabic" w:cs="Simplified Arabic" w:hint="cs"/>
          <w:rtl/>
        </w:rPr>
        <w:t>وافق عليه</w:t>
      </w:r>
      <w:r w:rsidR="00A63EB9" w:rsidRPr="002E513E">
        <w:rPr>
          <w:rFonts w:ascii="Simplified Arabic" w:hAnsi="Simplified Arabic" w:cs="Simplified Arabic"/>
          <w:rtl/>
        </w:rPr>
        <w:t xml:space="preserve"> لإحالته إلى الجلسة العامة </w:t>
      </w:r>
      <w:r w:rsidR="00A63EB9" w:rsidRPr="002E513E">
        <w:rPr>
          <w:rFonts w:ascii="Simplified Arabic" w:hAnsi="Simplified Arabic" w:cs="Simplified Arabic" w:hint="cs"/>
          <w:rtl/>
        </w:rPr>
        <w:t xml:space="preserve">بوصفه </w:t>
      </w:r>
      <w:r w:rsidR="00A63EB9" w:rsidRPr="002E513E">
        <w:rPr>
          <w:rFonts w:ascii="Simplified Arabic" w:hAnsi="Simplified Arabic" w:cs="Simplified Arabic"/>
          <w:rtl/>
        </w:rPr>
        <w:t xml:space="preserve">مشروع </w:t>
      </w:r>
      <w:r w:rsidR="00A63EB9" w:rsidRPr="002E513E">
        <w:rPr>
          <w:rFonts w:ascii="Simplified Arabic" w:hAnsi="Simplified Arabic" w:cs="Simplified Arabic" w:hint="cs"/>
          <w:rtl/>
        </w:rPr>
        <w:t>ال</w:t>
      </w:r>
      <w:r w:rsidR="00A63EB9" w:rsidRPr="002E513E">
        <w:rPr>
          <w:rFonts w:ascii="Simplified Arabic" w:hAnsi="Simplified Arabic" w:cs="Simplified Arabic"/>
          <w:rtl/>
        </w:rPr>
        <w:t>مقرر</w:t>
      </w:r>
      <w:r w:rsidR="00A63EB9" w:rsidRPr="002E513E">
        <w:rPr>
          <w:rFonts w:ascii="Simplified Arabic" w:hAnsi="Simplified Arabic" w:cs="Simplified Arabic" w:hint="cs"/>
          <w:rtl/>
        </w:rPr>
        <w:t xml:space="preserve"> </w:t>
      </w:r>
      <w:r w:rsidR="00A63EB9" w:rsidRPr="002E513E">
        <w:rPr>
          <w:iCs/>
          <w:szCs w:val="22"/>
        </w:rPr>
        <w:t>CBD/COP/14/L.10</w:t>
      </w:r>
      <w:r w:rsidR="00A63EB9" w:rsidRPr="002E513E">
        <w:rPr>
          <w:rFonts w:ascii="Simplified Arabic" w:hAnsi="Simplified Arabic" w:cs="Simplified Arabic" w:hint="cs"/>
          <w:rtl/>
        </w:rPr>
        <w:t>.</w:t>
      </w:r>
    </w:p>
    <w:p w:rsidR="00D50BC6" w:rsidRPr="00997CAE" w:rsidRDefault="00D50BC6" w:rsidP="00FF7FA5">
      <w:pPr>
        <w:pStyle w:val="ListParagraph"/>
        <w:numPr>
          <w:ilvl w:val="0"/>
          <w:numId w:val="6"/>
        </w:numPr>
        <w:kinsoku w:val="0"/>
        <w:overflowPunct w:val="0"/>
        <w:autoSpaceDE w:val="0"/>
        <w:autoSpaceDN w:val="0"/>
        <w:bidi/>
        <w:snapToGrid w:val="0"/>
        <w:spacing w:line="216" w:lineRule="auto"/>
        <w:ind w:left="0" w:firstLine="0"/>
        <w:rPr>
          <w:rFonts w:cs="Simplified Arabic"/>
        </w:rPr>
      </w:pPr>
      <w:r w:rsidRPr="00997CAE">
        <w:rPr>
          <w:rFonts w:cs="Simplified Arabic"/>
          <w:rtl/>
        </w:rPr>
        <w:t xml:space="preserve">وفي </w:t>
      </w:r>
      <w:r w:rsidRPr="00997CAE">
        <w:rPr>
          <w:rFonts w:cs="Simplified Arabic"/>
          <w:rtl/>
          <w:lang w:bidi="ar-LY"/>
        </w:rPr>
        <w:t>الجلسة العامة ال</w:t>
      </w:r>
      <w:r w:rsidRPr="00997CAE">
        <w:rPr>
          <w:rFonts w:cs="Simplified Arabic" w:hint="cs"/>
          <w:rtl/>
          <w:lang w:bidi="ar-LY"/>
        </w:rPr>
        <w:t>خامس</w:t>
      </w:r>
      <w:r w:rsidRPr="00997CAE">
        <w:rPr>
          <w:rFonts w:cs="Simplified Arabic"/>
          <w:rtl/>
          <w:lang w:bidi="ar-LY"/>
        </w:rPr>
        <w:t>ة للاجتماع، المنعقدة في 2</w:t>
      </w:r>
      <w:r w:rsidRPr="00997CAE">
        <w:rPr>
          <w:rFonts w:cs="Simplified Arabic" w:hint="cs"/>
          <w:rtl/>
          <w:lang w:bidi="ar-LY"/>
        </w:rPr>
        <w:t>5</w:t>
      </w:r>
      <w:r w:rsidRPr="00997CAE">
        <w:rPr>
          <w:rFonts w:cs="Simplified Arabic"/>
          <w:rtl/>
          <w:lang w:bidi="ar-LY"/>
        </w:rPr>
        <w:t xml:space="preserve"> </w:t>
      </w:r>
      <w:r w:rsidRPr="00997CAE">
        <w:rPr>
          <w:rFonts w:cs="Simplified Arabic"/>
          <w:rtl/>
        </w:rPr>
        <w:t>نوفمبر/تشرين الثاني 2018</w:t>
      </w:r>
      <w:r w:rsidRPr="00997CAE">
        <w:rPr>
          <w:rFonts w:cs="Simplified Arabic"/>
          <w:rtl/>
          <w:lang w:bidi="ar-LY"/>
        </w:rPr>
        <w:t>،</w:t>
      </w:r>
      <w:r w:rsidRPr="00997CAE">
        <w:rPr>
          <w:rFonts w:cs="Simplified Arabic" w:hint="cs"/>
          <w:rtl/>
        </w:rPr>
        <w:t xml:space="preserve"> نظر مؤتمر الأطراف في مشروع المقرر </w:t>
      </w:r>
      <w:r w:rsidRPr="00997CAE">
        <w:rPr>
          <w:rFonts w:cs="Simplified Arabic"/>
        </w:rPr>
        <w:t>CBD/COP/14/L.10</w:t>
      </w:r>
      <w:r w:rsidRPr="00997CAE">
        <w:rPr>
          <w:rFonts w:cs="Simplified Arabic" w:hint="cs"/>
          <w:rtl/>
        </w:rPr>
        <w:t xml:space="preserve">، ولكنه </w:t>
      </w:r>
      <w:r w:rsidR="00360037" w:rsidRPr="00997CAE">
        <w:rPr>
          <w:rFonts w:cs="Simplified Arabic" w:hint="cs"/>
          <w:rtl/>
        </w:rPr>
        <w:t>وافق على تأجيل</w:t>
      </w:r>
      <w:r w:rsidRPr="00997CAE">
        <w:rPr>
          <w:rFonts w:cs="Simplified Arabic" w:hint="cs"/>
          <w:rtl/>
        </w:rPr>
        <w:t xml:space="preserve"> استنتاجه بشأن مشروع المقرر للسماح لإحدى الممثلين بالتشاور مع حكومتها.</w:t>
      </w:r>
    </w:p>
    <w:p w:rsidR="00D50BC6" w:rsidRPr="005807D5" w:rsidRDefault="008666BC" w:rsidP="008666BC">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استأنف مؤتمر الأطراف نظره في مشروع المقرر </w:t>
      </w:r>
      <w:r w:rsidRPr="007F48C2">
        <w:t>CBD/COP/14/L.</w:t>
      </w:r>
      <w:r>
        <w:t>10</w:t>
      </w:r>
      <w:r>
        <w:rPr>
          <w:rFonts w:cs="Simplified Arabic" w:hint="cs"/>
          <w:rtl/>
        </w:rPr>
        <w:t xml:space="preserve"> واعتمده بوصفه المقرر 14/13 (للاطلاع على النص، انظر الفصل الأول).</w:t>
      </w:r>
    </w:p>
    <w:p w:rsidR="00D50BC6" w:rsidRPr="00997CAE" w:rsidRDefault="00D50BC6" w:rsidP="00094717">
      <w:pPr>
        <w:pStyle w:val="Heading2"/>
      </w:pPr>
      <w:bookmarkStart w:id="237" w:name="_Toc6140023"/>
      <w:r w:rsidRPr="00997CAE">
        <w:rPr>
          <w:rFonts w:hint="cs"/>
          <w:rtl/>
        </w:rPr>
        <w:lastRenderedPageBreak/>
        <w:t>البند 20 -</w:t>
      </w:r>
      <w:r w:rsidRPr="00997CAE">
        <w:rPr>
          <w:rFonts w:hint="cs"/>
          <w:rtl/>
        </w:rPr>
        <w:tab/>
        <w:t>الإدارة المستدامة للأحياء البرية</w:t>
      </w:r>
      <w:bookmarkEnd w:id="237"/>
    </w:p>
    <w:p w:rsidR="005807D5" w:rsidRPr="00477B14" w:rsidRDefault="005807D5" w:rsidP="005F0FBD">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szCs w:val="24"/>
          <w:rtl/>
        </w:rPr>
        <w:t xml:space="preserve">تناول الفريق العامل الثاني البند 20 من جدول الأعمال في </w:t>
      </w:r>
      <w:r w:rsidR="008666BC">
        <w:rPr>
          <w:rFonts w:ascii="Simplified Arabic" w:hAnsi="Simplified Arabic" w:cs="Simplified Arabic" w:hint="cs"/>
          <w:szCs w:val="24"/>
          <w:rtl/>
        </w:rPr>
        <w:t>جلست</w:t>
      </w:r>
      <w:r w:rsidRPr="002E513E">
        <w:rPr>
          <w:rFonts w:ascii="Simplified Arabic" w:hAnsi="Simplified Arabic" w:cs="Simplified Arabic"/>
          <w:szCs w:val="24"/>
          <w:rtl/>
        </w:rPr>
        <w:t>ه الرابع</w:t>
      </w:r>
      <w:r w:rsidR="008666BC">
        <w:rPr>
          <w:rFonts w:ascii="Simplified Arabic" w:hAnsi="Simplified Arabic" w:cs="Simplified Arabic" w:hint="cs"/>
          <w:szCs w:val="24"/>
          <w:rtl/>
        </w:rPr>
        <w:t>ة،</w:t>
      </w:r>
      <w:r w:rsidRPr="002E513E">
        <w:rPr>
          <w:rFonts w:ascii="Simplified Arabic" w:hAnsi="Simplified Arabic" w:cs="Simplified Arabic"/>
          <w:szCs w:val="24"/>
          <w:rtl/>
        </w:rPr>
        <w:t xml:space="preserve"> المعقود</w:t>
      </w:r>
      <w:r w:rsidR="008666BC">
        <w:rPr>
          <w:rFonts w:ascii="Simplified Arabic" w:hAnsi="Simplified Arabic" w:cs="Simplified Arabic" w:hint="cs"/>
          <w:szCs w:val="24"/>
          <w:rtl/>
        </w:rPr>
        <w:t>ة</w:t>
      </w:r>
      <w:r w:rsidRPr="002E513E">
        <w:rPr>
          <w:rFonts w:ascii="Simplified Arabic" w:hAnsi="Simplified Arabic" w:cs="Simplified Arabic"/>
          <w:szCs w:val="24"/>
          <w:rtl/>
        </w:rPr>
        <w:t xml:space="preserve"> في 19 نوفمبر/تشرين الثاني 2018</w:t>
      </w:r>
      <w:r w:rsidRPr="002E513E">
        <w:rPr>
          <w:rFonts w:ascii="Simplified Arabic" w:hAnsi="Simplified Arabic" w:cs="Simplified Arabic" w:hint="cs"/>
          <w:szCs w:val="24"/>
          <w:rtl/>
        </w:rPr>
        <w:t>. و</w:t>
      </w:r>
      <w:r w:rsidRPr="002E513E">
        <w:rPr>
          <w:rFonts w:ascii="Simplified Arabic" w:hAnsi="Simplified Arabic" w:cs="Simplified Arabic"/>
          <w:szCs w:val="24"/>
          <w:rtl/>
        </w:rPr>
        <w:t xml:space="preserve">لدى النظر في هذا البند، كان معروضا </w:t>
      </w:r>
      <w:r w:rsidRPr="002E513E">
        <w:rPr>
          <w:rFonts w:ascii="Simplified Arabic" w:hAnsi="Simplified Arabic" w:cs="Simplified Arabic" w:hint="cs"/>
          <w:szCs w:val="24"/>
          <w:rtl/>
        </w:rPr>
        <w:t>أمام</w:t>
      </w:r>
      <w:r w:rsidRPr="002E513E">
        <w:rPr>
          <w:rFonts w:ascii="Simplified Arabic" w:hAnsi="Simplified Arabic" w:cs="Simplified Arabic"/>
          <w:szCs w:val="24"/>
          <w:rtl/>
        </w:rPr>
        <w:t xml:space="preserve"> الفريق العامل مشروع مقرر يستند إلى التوصية</w:t>
      </w:r>
      <w:r w:rsidRPr="002E513E">
        <w:rPr>
          <w:rFonts w:ascii="Simplified Arabic" w:hAnsi="Simplified Arabic" w:cs="Simplified Arabic" w:hint="cs"/>
          <w:szCs w:val="24"/>
          <w:rtl/>
        </w:rPr>
        <w:t xml:space="preserve"> 21/2 ل</w:t>
      </w:r>
      <w:r w:rsidRPr="002E513E">
        <w:rPr>
          <w:rFonts w:ascii="Simplified Arabic" w:hAnsi="Simplified Arabic" w:cs="Simplified Arabic"/>
          <w:szCs w:val="24"/>
          <w:rtl/>
        </w:rPr>
        <w:t xml:space="preserve">لهيئة الفرعية </w:t>
      </w:r>
      <w:r w:rsidRPr="002E513E">
        <w:rPr>
          <w:rFonts w:ascii="Simplified Arabic" w:hAnsi="Simplified Arabic" w:cs="Simplified Arabic" w:hint="cs"/>
          <w:szCs w:val="24"/>
          <w:rtl/>
        </w:rPr>
        <w:t>ل</w:t>
      </w:r>
      <w:r w:rsidRPr="002E513E">
        <w:rPr>
          <w:rFonts w:ascii="Simplified Arabic" w:hAnsi="Simplified Arabic" w:cs="Simplified Arabic"/>
          <w:szCs w:val="24"/>
          <w:rtl/>
        </w:rPr>
        <w:t>لمشورة العلمية والتقنية والتكنولوجية، ال</w:t>
      </w:r>
      <w:r w:rsidR="005F0FBD">
        <w:rPr>
          <w:rFonts w:ascii="Simplified Arabic" w:hAnsi="Simplified Arabic" w:cs="Simplified Arabic" w:hint="cs"/>
          <w:szCs w:val="24"/>
          <w:rtl/>
        </w:rPr>
        <w:t>مبين</w:t>
      </w:r>
      <w:r w:rsidRPr="002E513E">
        <w:rPr>
          <w:rFonts w:ascii="Simplified Arabic" w:hAnsi="Simplified Arabic" w:cs="Simplified Arabic"/>
          <w:szCs w:val="24"/>
          <w:rtl/>
        </w:rPr>
        <w:t xml:space="preserve"> في تجميع مشاريع المقررات </w:t>
      </w:r>
      <w:r w:rsidRPr="00477B14">
        <w:rPr>
          <w:kern w:val="22"/>
          <w:szCs w:val="22"/>
          <w:lang w:val="fr-CA"/>
        </w:rPr>
        <w:t>CBD/COP/14/2)</w:t>
      </w:r>
      <w:r w:rsidRPr="005B6FC4">
        <w:rPr>
          <w:szCs w:val="22"/>
          <w:rtl/>
        </w:rPr>
        <w:t>)</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وثيقة </w:t>
      </w:r>
      <w:r w:rsidR="008666BC">
        <w:rPr>
          <w:rFonts w:ascii="Simplified Arabic" w:hAnsi="Simplified Arabic" w:cs="Simplified Arabic" w:hint="cs"/>
          <w:szCs w:val="24"/>
          <w:rtl/>
        </w:rPr>
        <w:t>معلومات</w:t>
      </w:r>
      <w:r w:rsidRPr="002E513E">
        <w:rPr>
          <w:rFonts w:ascii="Simplified Arabic" w:hAnsi="Simplified Arabic" w:cs="Simplified Arabic"/>
          <w:szCs w:val="24"/>
          <w:rtl/>
        </w:rPr>
        <w:t xml:space="preserve"> تحتوي على دراسة </w:t>
      </w:r>
      <w:r w:rsidRPr="002E513E">
        <w:rPr>
          <w:rFonts w:ascii="Simplified Arabic" w:hAnsi="Simplified Arabic" w:cs="Simplified Arabic" w:hint="cs"/>
          <w:szCs w:val="24"/>
          <w:rtl/>
        </w:rPr>
        <w:t>تقنية</w:t>
      </w:r>
      <w:r w:rsidRPr="002E513E">
        <w:rPr>
          <w:rFonts w:ascii="Simplified Arabic" w:hAnsi="Simplified Arabic" w:cs="Simplified Arabic"/>
          <w:szCs w:val="24"/>
          <w:rtl/>
        </w:rPr>
        <w:t xml:space="preserve"> بعنوان "</w:t>
      </w:r>
      <w:r w:rsidRPr="002E513E">
        <w:rPr>
          <w:rFonts w:ascii="Simplified Arabic" w:hAnsi="Simplified Arabic" w:cs="Simplified Arabic" w:hint="cs"/>
          <w:szCs w:val="24"/>
          <w:rtl/>
        </w:rPr>
        <w:t>صوب</w:t>
      </w:r>
      <w:r w:rsidRPr="002E513E">
        <w:rPr>
          <w:rFonts w:ascii="Simplified Arabic" w:hAnsi="Simplified Arabic" w:cs="Simplified Arabic"/>
          <w:szCs w:val="24"/>
          <w:rtl/>
        </w:rPr>
        <w:t xml:space="preserve"> قطاع لحوم برية مستدام وتشاركي وشامل" </w:t>
      </w:r>
      <w:r w:rsidRPr="005B6FC4">
        <w:rPr>
          <w:szCs w:val="22"/>
          <w:rtl/>
        </w:rPr>
        <w:t>(</w:t>
      </w:r>
      <w:r w:rsidRPr="00477B14">
        <w:rPr>
          <w:kern w:val="22"/>
          <w:szCs w:val="22"/>
          <w:lang w:val="fr-CA"/>
        </w:rPr>
        <w:t>CBD/COP/14/INF/7</w:t>
      </w:r>
      <w:r w:rsidRPr="005B6FC4">
        <w:rPr>
          <w:szCs w:val="22"/>
          <w:rtl/>
        </w:rPr>
        <w:t>)</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وثيقة </w:t>
      </w:r>
      <w:r w:rsidR="008666BC">
        <w:rPr>
          <w:rFonts w:ascii="Simplified Arabic" w:hAnsi="Simplified Arabic" w:cs="Simplified Arabic" w:hint="cs"/>
          <w:szCs w:val="24"/>
          <w:rtl/>
        </w:rPr>
        <w:t>معلومات</w:t>
      </w:r>
      <w:r w:rsidRPr="002E513E">
        <w:rPr>
          <w:rFonts w:ascii="Simplified Arabic" w:hAnsi="Simplified Arabic" w:cs="Simplified Arabic"/>
          <w:szCs w:val="24"/>
          <w:rtl/>
        </w:rPr>
        <w:t xml:space="preserve"> تحتوي على تقرير مرحلي </w:t>
      </w:r>
      <w:r w:rsidRPr="002E513E">
        <w:rPr>
          <w:rFonts w:ascii="Simplified Arabic" w:hAnsi="Simplified Arabic" w:cs="Simplified Arabic" w:hint="cs"/>
          <w:szCs w:val="24"/>
          <w:rtl/>
        </w:rPr>
        <w:t>أعدته</w:t>
      </w:r>
      <w:r w:rsidRPr="002E513E">
        <w:rPr>
          <w:rFonts w:ascii="Simplified Arabic" w:hAnsi="Simplified Arabic" w:cs="Simplified Arabic"/>
          <w:szCs w:val="24"/>
          <w:rtl/>
        </w:rPr>
        <w:t xml:space="preserve"> الشراكة التعاونية بشأن الإدارة المستدامة </w:t>
      </w:r>
      <w:r w:rsidRPr="002E513E">
        <w:rPr>
          <w:rFonts w:ascii="Simplified Arabic" w:hAnsi="Simplified Arabic" w:cs="Simplified Arabic" w:hint="cs"/>
          <w:szCs w:val="24"/>
          <w:rtl/>
        </w:rPr>
        <w:t>للأحياء</w:t>
      </w:r>
      <w:r w:rsidRPr="002E513E">
        <w:rPr>
          <w:rFonts w:ascii="Simplified Arabic" w:hAnsi="Simplified Arabic" w:cs="Simplified Arabic"/>
          <w:szCs w:val="24"/>
          <w:rtl/>
        </w:rPr>
        <w:t xml:space="preserve"> البرية</w:t>
      </w:r>
      <w:r w:rsidRPr="002E513E">
        <w:rPr>
          <w:rFonts w:ascii="Simplified Arabic" w:hAnsi="Simplified Arabic" w:cs="Simplified Arabic" w:hint="cs"/>
          <w:szCs w:val="24"/>
          <w:rtl/>
        </w:rPr>
        <w:t xml:space="preserve"> </w:t>
      </w:r>
      <w:r w:rsidRPr="005B6FC4">
        <w:rPr>
          <w:szCs w:val="22"/>
          <w:rtl/>
        </w:rPr>
        <w:t>(</w:t>
      </w:r>
      <w:r w:rsidRPr="00477B14">
        <w:rPr>
          <w:szCs w:val="22"/>
          <w:lang w:val="fr-CA"/>
        </w:rPr>
        <w:t>CBD/COP/14/INF/11</w:t>
      </w:r>
      <w:r w:rsidRPr="005B6FC4">
        <w:rPr>
          <w:szCs w:val="22"/>
          <w:rtl/>
        </w:rPr>
        <w:t>)</w:t>
      </w:r>
      <w:r w:rsidRPr="002E513E">
        <w:rPr>
          <w:rFonts w:ascii="Simplified Arabic" w:hAnsi="Simplified Arabic" w:cs="Simplified Arabic" w:hint="cs"/>
          <w:szCs w:val="24"/>
          <w:rtl/>
        </w:rPr>
        <w:t>.</w:t>
      </w:r>
    </w:p>
    <w:p w:rsidR="005807D5" w:rsidRPr="00477B14" w:rsidRDefault="005807D5"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szCs w:val="24"/>
          <w:rtl/>
        </w:rPr>
        <w:t>و</w:t>
      </w:r>
      <w:r w:rsidR="005B6FC4">
        <w:rPr>
          <w:rFonts w:ascii="Simplified Arabic" w:hAnsi="Simplified Arabic" w:cs="Simplified Arabic" w:hint="cs"/>
          <w:szCs w:val="24"/>
          <w:rtl/>
        </w:rPr>
        <w:t>أدلى ب</w:t>
      </w:r>
      <w:r w:rsidRPr="002E513E">
        <w:rPr>
          <w:rFonts w:ascii="Simplified Arabic" w:hAnsi="Simplified Arabic" w:cs="Simplified Arabic" w:hint="cs"/>
          <w:szCs w:val="24"/>
          <w:rtl/>
        </w:rPr>
        <w:t xml:space="preserve">بيانات </w:t>
      </w:r>
      <w:r w:rsidRPr="002E513E">
        <w:rPr>
          <w:rFonts w:ascii="Simplified Arabic" w:hAnsi="Simplified Arabic" w:cs="Simplified Arabic"/>
          <w:szCs w:val="24"/>
          <w:rtl/>
        </w:rPr>
        <w:t>ممثل</w:t>
      </w:r>
      <w:r w:rsidR="005B6FC4">
        <w:rPr>
          <w:rFonts w:ascii="Simplified Arabic" w:hAnsi="Simplified Arabic" w:cs="Simplified Arabic" w:hint="cs"/>
          <w:szCs w:val="24"/>
          <w:rtl/>
        </w:rPr>
        <w:t>و</w:t>
      </w:r>
      <w:r w:rsidRPr="002E513E">
        <w:rPr>
          <w:rFonts w:ascii="Simplified Arabic" w:hAnsi="Simplified Arabic" w:cs="Simplified Arabic"/>
          <w:szCs w:val="24"/>
          <w:rtl/>
        </w:rPr>
        <w:t xml:space="preserve"> كولومبيا</w:t>
      </w:r>
      <w:r w:rsidR="005F0FBD">
        <w:rPr>
          <w:rFonts w:ascii="Simplified Arabic" w:hAnsi="Simplified Arabic" w:cs="Simplified Arabic" w:hint="cs"/>
          <w:szCs w:val="24"/>
          <w:rtl/>
        </w:rPr>
        <w:t>،</w:t>
      </w:r>
      <w:r w:rsidRPr="002E513E">
        <w:rPr>
          <w:rFonts w:ascii="Simplified Arabic" w:hAnsi="Simplified Arabic" w:cs="Simplified Arabic"/>
          <w:szCs w:val="24"/>
          <w:rtl/>
        </w:rPr>
        <w:t xml:space="preserve"> والكونغو</w:t>
      </w:r>
      <w:r w:rsidR="005F0FBD">
        <w:rPr>
          <w:rFonts w:ascii="Simplified Arabic" w:hAnsi="Simplified Arabic" w:cs="Simplified Arabic" w:hint="cs"/>
          <w:szCs w:val="24"/>
          <w:rtl/>
        </w:rPr>
        <w:t>،</w:t>
      </w:r>
      <w:r w:rsidRPr="002E513E">
        <w:rPr>
          <w:rFonts w:ascii="Simplified Arabic" w:hAnsi="Simplified Arabic" w:cs="Simplified Arabic"/>
          <w:szCs w:val="24"/>
          <w:rtl/>
        </w:rPr>
        <w:t xml:space="preserve"> و</w:t>
      </w:r>
      <w:r w:rsidRPr="002E513E">
        <w:rPr>
          <w:rFonts w:ascii="Simplified Arabic" w:hAnsi="Simplified Arabic" w:cs="Simplified Arabic" w:hint="cs"/>
          <w:szCs w:val="24"/>
          <w:rtl/>
        </w:rPr>
        <w:t>غ</w:t>
      </w:r>
      <w:r w:rsidRPr="002E513E">
        <w:rPr>
          <w:rFonts w:ascii="Simplified Arabic" w:hAnsi="Simplified Arabic" w:cs="Simplified Arabic"/>
          <w:szCs w:val="24"/>
          <w:rtl/>
        </w:rPr>
        <w:t>ابون والمكسيك</w:t>
      </w:r>
      <w:r w:rsidRPr="002E513E">
        <w:rPr>
          <w:rFonts w:ascii="Simplified Arabic" w:hAnsi="Simplified Arabic" w:cs="Simplified Arabic" w:hint="cs"/>
          <w:szCs w:val="24"/>
          <w:rtl/>
        </w:rPr>
        <w:t>.</w:t>
      </w:r>
    </w:p>
    <w:p w:rsidR="005807D5" w:rsidRPr="00477B14" w:rsidRDefault="005807D5"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بعد مشاورة قصيرة بين الأطراف التي قدمت مداخلات، قالت الرئيسة إنها ست</w:t>
      </w:r>
      <w:r w:rsidRPr="002E513E">
        <w:rPr>
          <w:rFonts w:ascii="Simplified Arabic" w:hAnsi="Simplified Arabic" w:cs="Simplified Arabic" w:hint="cs"/>
          <w:szCs w:val="24"/>
          <w:rtl/>
        </w:rPr>
        <w:t>عد</w:t>
      </w:r>
      <w:r w:rsidRPr="002E513E">
        <w:rPr>
          <w:rFonts w:ascii="Simplified Arabic" w:hAnsi="Simplified Arabic" w:cs="Simplified Arabic"/>
          <w:szCs w:val="24"/>
          <w:rtl/>
        </w:rPr>
        <w:t xml:space="preserve"> مشروع مقرر</w:t>
      </w:r>
      <w:r w:rsidRPr="002E513E">
        <w:rPr>
          <w:rFonts w:ascii="Simplified Arabic" w:hAnsi="Simplified Arabic" w:cs="Simplified Arabic" w:hint="cs"/>
          <w:szCs w:val="24"/>
          <w:rtl/>
        </w:rPr>
        <w:t xml:space="preserve"> منقح</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ل</w:t>
      </w:r>
      <w:r w:rsidRPr="002E513E">
        <w:rPr>
          <w:rFonts w:ascii="Simplified Arabic" w:hAnsi="Simplified Arabic" w:cs="Simplified Arabic"/>
          <w:szCs w:val="24"/>
          <w:rtl/>
        </w:rPr>
        <w:t>ينظر فيه الفريق العامل</w:t>
      </w:r>
      <w:r w:rsidRPr="002E513E">
        <w:rPr>
          <w:rFonts w:ascii="Simplified Arabic" w:hAnsi="Simplified Arabic" w:cs="Simplified Arabic" w:hint="cs"/>
          <w:szCs w:val="24"/>
          <w:rtl/>
        </w:rPr>
        <w:t>.</w:t>
      </w:r>
    </w:p>
    <w:p w:rsidR="005807D5" w:rsidRPr="00477B14" w:rsidRDefault="005807D5" w:rsidP="008666B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hint="cs"/>
          <w:szCs w:val="24"/>
          <w:rtl/>
        </w:rPr>
        <w:t>و</w:t>
      </w:r>
      <w:r w:rsidR="008666BC">
        <w:rPr>
          <w:rFonts w:ascii="Simplified Arabic" w:hAnsi="Simplified Arabic" w:cs="Simplified Arabic" w:hint="cs"/>
          <w:szCs w:val="24"/>
          <w:rtl/>
        </w:rPr>
        <w:t xml:space="preserve">في </w:t>
      </w:r>
      <w:r w:rsidR="005B6FC4">
        <w:rPr>
          <w:rFonts w:ascii="Simplified Arabic" w:hAnsi="Simplified Arabic" w:cs="Simplified Arabic" w:hint="cs"/>
          <w:szCs w:val="24"/>
          <w:rtl/>
        </w:rPr>
        <w:t>جلست</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الثامن</w:t>
      </w:r>
      <w:r w:rsidR="005B6FC4">
        <w:rPr>
          <w:rFonts w:ascii="Simplified Arabic" w:hAnsi="Simplified Arabic" w:cs="Simplified Arabic" w:hint="cs"/>
          <w:szCs w:val="24"/>
          <w:rtl/>
        </w:rPr>
        <w:t>ة</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المعق</w:t>
      </w:r>
      <w:r w:rsidRPr="002E513E">
        <w:rPr>
          <w:rFonts w:ascii="Simplified Arabic" w:hAnsi="Simplified Arabic" w:cs="Simplified Arabic" w:hint="cs"/>
          <w:szCs w:val="24"/>
          <w:rtl/>
        </w:rPr>
        <w:t>و</w:t>
      </w:r>
      <w:r w:rsidRPr="002E513E">
        <w:rPr>
          <w:rFonts w:ascii="Simplified Arabic" w:hAnsi="Simplified Arabic" w:cs="Simplified Arabic"/>
          <w:szCs w:val="24"/>
          <w:rtl/>
        </w:rPr>
        <w:t>د</w:t>
      </w:r>
      <w:r w:rsidR="005B6FC4">
        <w:rPr>
          <w:rFonts w:ascii="Simplified Arabic" w:hAnsi="Simplified Arabic" w:cs="Simplified Arabic" w:hint="cs"/>
          <w:szCs w:val="24"/>
          <w:rtl/>
        </w:rPr>
        <w:t>ة</w:t>
      </w:r>
      <w:r w:rsidRPr="002E513E">
        <w:rPr>
          <w:rFonts w:ascii="Simplified Arabic" w:hAnsi="Simplified Arabic" w:cs="Simplified Arabic" w:hint="cs"/>
          <w:szCs w:val="24"/>
          <w:rtl/>
        </w:rPr>
        <w:t xml:space="preserve"> في</w:t>
      </w:r>
      <w:r w:rsidRPr="002E513E">
        <w:rPr>
          <w:rFonts w:ascii="Simplified Arabic" w:hAnsi="Simplified Arabic" w:cs="Simplified Arabic"/>
          <w:szCs w:val="24"/>
          <w:rtl/>
        </w:rPr>
        <w:t xml:space="preserve"> </w:t>
      </w:r>
      <w:r w:rsidR="005F0FBD">
        <w:rPr>
          <w:rFonts w:ascii="Simplified Arabic" w:hAnsi="Simplified Arabic" w:cs="Simplified Arabic" w:hint="cs"/>
          <w:szCs w:val="24"/>
          <w:rtl/>
        </w:rPr>
        <w:t xml:space="preserve">22 </w:t>
      </w:r>
      <w:r w:rsidRPr="002E513E">
        <w:rPr>
          <w:rFonts w:ascii="Simplified Arabic" w:hAnsi="Simplified Arabic" w:cs="Simplified Arabic"/>
          <w:szCs w:val="24"/>
          <w:rtl/>
        </w:rPr>
        <w:t xml:space="preserve">نوفمبر/تشرين الثاني 2018، </w:t>
      </w:r>
      <w:r w:rsidR="008666BC">
        <w:rPr>
          <w:rFonts w:ascii="Simplified Arabic" w:hAnsi="Simplified Arabic" w:cs="Simplified Arabic" w:hint="cs"/>
          <w:szCs w:val="24"/>
          <w:rtl/>
        </w:rPr>
        <w:t xml:space="preserve">نظر الفريق العامل </w:t>
      </w:r>
      <w:r w:rsidRPr="002E513E">
        <w:rPr>
          <w:rFonts w:ascii="Simplified Arabic" w:hAnsi="Simplified Arabic" w:cs="Simplified Arabic"/>
          <w:szCs w:val="24"/>
          <w:rtl/>
        </w:rPr>
        <w:t>في مشروع المقرر المنقح المقدم من الرئيس</w:t>
      </w:r>
      <w:r w:rsidRPr="002E513E">
        <w:rPr>
          <w:rFonts w:ascii="Simplified Arabic" w:hAnsi="Simplified Arabic" w:cs="Simplified Arabic" w:hint="cs"/>
          <w:szCs w:val="24"/>
          <w:rtl/>
        </w:rPr>
        <w:t>ة.</w:t>
      </w:r>
    </w:p>
    <w:p w:rsidR="005807D5" w:rsidRPr="00477B14" w:rsidRDefault="005807D5" w:rsidP="008666B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szCs w:val="24"/>
          <w:rtl/>
        </w:rPr>
        <w:t>و</w:t>
      </w:r>
      <w:r w:rsidR="00830816">
        <w:rPr>
          <w:rFonts w:ascii="Simplified Arabic" w:hAnsi="Simplified Arabic" w:cs="Simplified Arabic" w:hint="cs"/>
          <w:szCs w:val="24"/>
          <w:rtl/>
        </w:rPr>
        <w:t>أدلى ب</w:t>
      </w:r>
      <w:r w:rsidRPr="002E513E">
        <w:rPr>
          <w:rFonts w:ascii="Simplified Arabic" w:hAnsi="Simplified Arabic" w:cs="Simplified Arabic" w:hint="cs"/>
          <w:szCs w:val="24"/>
          <w:rtl/>
        </w:rPr>
        <w:t xml:space="preserve">بيانات </w:t>
      </w:r>
      <w:r w:rsidRPr="002E513E">
        <w:rPr>
          <w:rFonts w:ascii="Simplified Arabic" w:hAnsi="Simplified Arabic" w:cs="Simplified Arabic"/>
          <w:szCs w:val="24"/>
          <w:rtl/>
        </w:rPr>
        <w:t>ممثل</w:t>
      </w:r>
      <w:r w:rsidR="00830816">
        <w:rPr>
          <w:rFonts w:ascii="Simplified Arabic" w:hAnsi="Simplified Arabic" w:cs="Simplified Arabic" w:hint="cs"/>
          <w:szCs w:val="24"/>
          <w:rtl/>
        </w:rPr>
        <w:t>و</w:t>
      </w:r>
      <w:r w:rsidRPr="002E513E">
        <w:rPr>
          <w:rFonts w:ascii="Simplified Arabic" w:hAnsi="Simplified Arabic" w:cs="Simplified Arabic"/>
          <w:szCs w:val="24"/>
          <w:rtl/>
        </w:rPr>
        <w:t xml:space="preserve"> الأرجنتين</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وبوليفيا (دولة - المتعددة القوميات)</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والبرازيل</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وكولومبيا</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وكوستاريكا</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وكوت ديفوار</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والاتحاد الأوروبي ودول</w:t>
      </w:r>
      <w:r w:rsidR="00830816">
        <w:rPr>
          <w:rFonts w:ascii="Simplified Arabic" w:hAnsi="Simplified Arabic" w:cs="Simplified Arabic" w:hint="cs"/>
          <w:szCs w:val="24"/>
          <w:rtl/>
        </w:rPr>
        <w:t>ه</w:t>
      </w:r>
      <w:r w:rsidRPr="002E513E">
        <w:rPr>
          <w:rFonts w:ascii="Simplified Arabic" w:hAnsi="Simplified Arabic" w:cs="Simplified Arabic"/>
          <w:szCs w:val="24"/>
          <w:rtl/>
        </w:rPr>
        <w:t xml:space="preserve"> الأعضاء</w:t>
      </w:r>
      <w:r w:rsidRPr="002E513E">
        <w:rPr>
          <w:rFonts w:ascii="Simplified Arabic" w:hAnsi="Simplified Arabic" w:cs="Simplified Arabic" w:hint="cs"/>
          <w:szCs w:val="24"/>
          <w:rtl/>
        </w:rPr>
        <w:t xml:space="preserve"> </w:t>
      </w:r>
      <w:r w:rsidR="00830816" w:rsidRPr="00830816">
        <w:rPr>
          <w:rFonts w:cs="Simplified Arabic" w:hint="cs"/>
          <w:sz w:val="24"/>
          <w:szCs w:val="24"/>
          <w:rtl/>
          <w:lang w:val="fr-CH"/>
        </w:rPr>
        <w:t>الثماني والعشرين</w:t>
      </w:r>
      <w:r w:rsidR="00830816" w:rsidRPr="00830816">
        <w:rPr>
          <w:rFonts w:cs="Simplified Arabic"/>
          <w:sz w:val="24"/>
          <w:szCs w:val="24"/>
          <w:rtl/>
          <w:lang w:val="fr-CH"/>
        </w:rPr>
        <w:t>،</w:t>
      </w:r>
      <w:r w:rsidRPr="002E513E">
        <w:rPr>
          <w:rFonts w:ascii="Simplified Arabic" w:hAnsi="Simplified Arabic" w:cs="Simplified Arabic"/>
          <w:szCs w:val="24"/>
          <w:rtl/>
        </w:rPr>
        <w:t xml:space="preserve"> والمكسيك</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ونيوزيلندا</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وجمهورية كوريا</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والسنغال (</w:t>
      </w:r>
      <w:r w:rsidRPr="002E513E">
        <w:rPr>
          <w:rFonts w:ascii="Simplified Arabic" w:hAnsi="Simplified Arabic" w:cs="Simplified Arabic" w:hint="cs"/>
          <w:szCs w:val="24"/>
          <w:rtl/>
        </w:rPr>
        <w:t>با</w:t>
      </w:r>
      <w:r w:rsidR="008666BC">
        <w:rPr>
          <w:rFonts w:ascii="Simplified Arabic" w:hAnsi="Simplified Arabic" w:cs="Simplified Arabic" w:hint="cs"/>
          <w:szCs w:val="24"/>
          <w:rtl/>
        </w:rPr>
        <w:t>لنيابة عن</w:t>
      </w:r>
      <w:r w:rsidRPr="002E513E">
        <w:rPr>
          <w:rFonts w:ascii="Simplified Arabic" w:hAnsi="Simplified Arabic" w:cs="Simplified Arabic"/>
          <w:szCs w:val="24"/>
          <w:rtl/>
        </w:rPr>
        <w:t xml:space="preserve"> </w:t>
      </w:r>
      <w:r w:rsidR="008666BC">
        <w:rPr>
          <w:rFonts w:ascii="Simplified Arabic" w:hAnsi="Simplified Arabic" w:cs="Simplified Arabic" w:hint="cs"/>
          <w:szCs w:val="24"/>
          <w:rtl/>
        </w:rPr>
        <w:t>ال</w:t>
      </w:r>
      <w:r w:rsidRPr="002E513E">
        <w:rPr>
          <w:rFonts w:ascii="Simplified Arabic" w:hAnsi="Simplified Arabic" w:cs="Simplified Arabic"/>
          <w:szCs w:val="24"/>
          <w:rtl/>
        </w:rPr>
        <w:t>مجموعة الأفريقية)، وجنوب أفريقيا، وأوروغواي، وفنزويلا (جمهورية - البوليفارية) وفييت نا</w:t>
      </w:r>
      <w:r w:rsidRPr="002E513E">
        <w:rPr>
          <w:rFonts w:ascii="Simplified Arabic" w:hAnsi="Simplified Arabic" w:cs="Simplified Arabic" w:hint="cs"/>
          <w:szCs w:val="24"/>
          <w:rtl/>
        </w:rPr>
        <w:t>م.</w:t>
      </w:r>
    </w:p>
    <w:p w:rsidR="005807D5" w:rsidRPr="00477B14" w:rsidRDefault="005807D5"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lang w:val="fr-CA"/>
        </w:rPr>
      </w:pPr>
      <w:r w:rsidRPr="002E513E">
        <w:rPr>
          <w:rFonts w:ascii="Simplified Arabic" w:hAnsi="Simplified Arabic" w:cs="Simplified Arabic"/>
          <w:szCs w:val="24"/>
          <w:rtl/>
        </w:rPr>
        <w:t>واستأنف الفريق العامل نظر</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في مشروع المقرر المنق</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ح في </w:t>
      </w:r>
      <w:r w:rsidR="005B6FC4">
        <w:rPr>
          <w:rFonts w:ascii="Simplified Arabic" w:hAnsi="Simplified Arabic" w:cs="Simplified Arabic" w:hint="cs"/>
          <w:szCs w:val="24"/>
          <w:rtl/>
        </w:rPr>
        <w:t>جلست</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التاسع</w:t>
      </w:r>
      <w:r w:rsidR="005B6FC4">
        <w:rPr>
          <w:rFonts w:ascii="Simplified Arabic" w:hAnsi="Simplified Arabic" w:cs="Simplified Arabic" w:hint="cs"/>
          <w:szCs w:val="24"/>
          <w:rtl/>
        </w:rPr>
        <w:t>ة</w:t>
      </w:r>
      <w:r w:rsidRPr="002E513E">
        <w:rPr>
          <w:rFonts w:ascii="Simplified Arabic" w:hAnsi="Simplified Arabic" w:cs="Simplified Arabic"/>
          <w:szCs w:val="24"/>
          <w:rtl/>
        </w:rPr>
        <w:t>، المعقود</w:t>
      </w:r>
      <w:r w:rsidR="005B6FC4">
        <w:rPr>
          <w:rFonts w:ascii="Simplified Arabic" w:hAnsi="Simplified Arabic" w:cs="Simplified Arabic" w:hint="cs"/>
          <w:szCs w:val="24"/>
          <w:rtl/>
        </w:rPr>
        <w:t>ة</w:t>
      </w:r>
      <w:r w:rsidRPr="002E513E">
        <w:rPr>
          <w:rFonts w:ascii="Simplified Arabic" w:hAnsi="Simplified Arabic" w:cs="Simplified Arabic"/>
          <w:szCs w:val="24"/>
          <w:rtl/>
        </w:rPr>
        <w:t xml:space="preserve"> في 22 نوفمبر/تشرين الثاني 2018</w:t>
      </w:r>
      <w:r w:rsidRPr="002E513E">
        <w:rPr>
          <w:rFonts w:ascii="Simplified Arabic" w:hAnsi="Simplified Arabic" w:cs="Simplified Arabic" w:hint="cs"/>
          <w:szCs w:val="24"/>
          <w:rtl/>
        </w:rPr>
        <w:t>.</w:t>
      </w:r>
    </w:p>
    <w:p w:rsidR="005807D5" w:rsidRPr="002E513E" w:rsidRDefault="005807D5" w:rsidP="005F0FBD">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و</w:t>
      </w:r>
      <w:r w:rsidR="00830816">
        <w:rPr>
          <w:rFonts w:ascii="Simplified Arabic" w:hAnsi="Simplified Arabic" w:cs="Simplified Arabic" w:hint="cs"/>
          <w:szCs w:val="24"/>
          <w:rtl/>
        </w:rPr>
        <w:t>أدلى ب</w:t>
      </w:r>
      <w:r w:rsidRPr="002E513E">
        <w:rPr>
          <w:rFonts w:ascii="Simplified Arabic" w:hAnsi="Simplified Arabic" w:cs="Simplified Arabic" w:hint="cs"/>
          <w:szCs w:val="24"/>
          <w:rtl/>
        </w:rPr>
        <w:t xml:space="preserve">بيانات </w:t>
      </w:r>
      <w:r w:rsidRPr="002E513E">
        <w:rPr>
          <w:rFonts w:ascii="Simplified Arabic" w:hAnsi="Simplified Arabic" w:cs="Simplified Arabic"/>
          <w:szCs w:val="24"/>
          <w:rtl/>
        </w:rPr>
        <w:t>ممثل</w:t>
      </w:r>
      <w:r w:rsidR="00830816">
        <w:rPr>
          <w:rFonts w:ascii="Simplified Arabic" w:hAnsi="Simplified Arabic" w:cs="Simplified Arabic" w:hint="cs"/>
          <w:szCs w:val="24"/>
          <w:rtl/>
        </w:rPr>
        <w:t>و</w:t>
      </w:r>
      <w:r w:rsidRPr="002E513E">
        <w:rPr>
          <w:rFonts w:ascii="Simplified Arabic" w:hAnsi="Simplified Arabic" w:cs="Simplified Arabic"/>
          <w:szCs w:val="24"/>
          <w:rtl/>
        </w:rPr>
        <w:t xml:space="preserve"> الأرجنتين،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كولومبيا، </w:t>
      </w:r>
      <w:r w:rsidRPr="002E513E">
        <w:rPr>
          <w:rFonts w:ascii="Simplified Arabic" w:hAnsi="Simplified Arabic" w:cs="Simplified Arabic" w:hint="cs"/>
          <w:szCs w:val="24"/>
          <w:rtl/>
        </w:rPr>
        <w:t>و</w:t>
      </w:r>
      <w:r w:rsidRPr="002E513E">
        <w:rPr>
          <w:rFonts w:ascii="Simplified Arabic" w:hAnsi="Simplified Arabic" w:cs="Simplified Arabic"/>
          <w:szCs w:val="24"/>
          <w:rtl/>
        </w:rPr>
        <w:t>الاتحاد الأوروبي</w:t>
      </w:r>
      <w:r w:rsidR="008666BC">
        <w:rPr>
          <w:rFonts w:ascii="Simplified Arabic" w:hAnsi="Simplified Arabic" w:cs="Simplified Arabic" w:hint="cs"/>
          <w:szCs w:val="24"/>
          <w:rtl/>
        </w:rPr>
        <w:t xml:space="preserve"> ودوله الأعضاء الثماني والعشرين</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المكسيك،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جنوب أفريقيا </w:t>
      </w:r>
      <w:r w:rsidRPr="002E513E">
        <w:rPr>
          <w:rFonts w:ascii="Simplified Arabic" w:hAnsi="Simplified Arabic" w:cs="Simplified Arabic" w:hint="cs"/>
          <w:szCs w:val="24"/>
          <w:rtl/>
        </w:rPr>
        <w:t>و</w:t>
      </w:r>
      <w:r w:rsidRPr="002E513E">
        <w:rPr>
          <w:rFonts w:ascii="Simplified Arabic" w:hAnsi="Simplified Arabic" w:cs="Simplified Arabic"/>
          <w:szCs w:val="24"/>
          <w:rtl/>
        </w:rPr>
        <w:t>فنزويلا (جمهورية - البوليفارية)</w:t>
      </w:r>
      <w:r w:rsidRPr="002E513E">
        <w:rPr>
          <w:rFonts w:ascii="Simplified Arabic" w:hAnsi="Simplified Arabic" w:cs="Simplified Arabic" w:hint="cs"/>
          <w:szCs w:val="24"/>
          <w:rtl/>
        </w:rPr>
        <w:t>.</w:t>
      </w:r>
    </w:p>
    <w:p w:rsidR="00D50BC6" w:rsidRPr="002E513E"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rPr>
      </w:pPr>
      <w:r w:rsidRPr="002E513E">
        <w:rPr>
          <w:rFonts w:ascii="Simplified Arabic" w:hAnsi="Simplified Arabic" w:cs="Simplified Arabic"/>
          <w:rtl/>
        </w:rPr>
        <w:t xml:space="preserve">وبعد تبادل الآراء، </w:t>
      </w:r>
      <w:r w:rsidRPr="002E513E">
        <w:rPr>
          <w:rFonts w:ascii="Simplified Arabic" w:hAnsi="Simplified Arabic" w:cs="Simplified Arabic" w:hint="cs"/>
          <w:rtl/>
        </w:rPr>
        <w:t>ووفق</w:t>
      </w:r>
      <w:r w:rsidRPr="002E513E">
        <w:rPr>
          <w:rFonts w:ascii="Simplified Arabic" w:hAnsi="Simplified Arabic" w:cs="Simplified Arabic"/>
          <w:rtl/>
        </w:rPr>
        <w:t xml:space="preserve"> على مشروع المقرر، بصيغته المعدلة شفويا</w:t>
      </w:r>
      <w:r w:rsidR="00830816">
        <w:rPr>
          <w:rFonts w:ascii="Simplified Arabic" w:hAnsi="Simplified Arabic" w:cs="Simplified Arabic" w:hint="cs"/>
          <w:rtl/>
        </w:rPr>
        <w:t>ً</w:t>
      </w:r>
      <w:r w:rsidRPr="002E513E">
        <w:rPr>
          <w:rFonts w:ascii="Simplified Arabic" w:hAnsi="Simplified Arabic" w:cs="Simplified Arabic"/>
          <w:rtl/>
        </w:rPr>
        <w:t xml:space="preserve">، لإحالته إلى الجلسة العامة </w:t>
      </w:r>
      <w:r w:rsidR="00BE3594" w:rsidRPr="002E513E">
        <w:rPr>
          <w:rFonts w:ascii="Simplified Arabic" w:hAnsi="Simplified Arabic" w:cs="Simplified Arabic" w:hint="cs"/>
          <w:rtl/>
        </w:rPr>
        <w:t>بوصفه مشروع المقرر</w:t>
      </w:r>
      <w:r w:rsidRPr="002E513E">
        <w:rPr>
          <w:rFonts w:ascii="Simplified Arabic" w:hAnsi="Simplified Arabic" w:cs="Simplified Arabic" w:hint="cs"/>
          <w:rtl/>
        </w:rPr>
        <w:t xml:space="preserve"> </w:t>
      </w:r>
      <w:r w:rsidRPr="002E513E">
        <w:rPr>
          <w:iCs/>
        </w:rPr>
        <w:t>CBD/COP/14/L.11</w:t>
      </w:r>
      <w:r w:rsidRPr="002E513E">
        <w:rPr>
          <w:rFonts w:ascii="Simplified Arabic" w:hAnsi="Simplified Arabic" w:cs="Simplified Arabic" w:hint="cs"/>
          <w:rtl/>
        </w:rPr>
        <w:t>.</w:t>
      </w:r>
    </w:p>
    <w:p w:rsidR="00D50BC6" w:rsidRPr="00997CAE" w:rsidRDefault="008666BC" w:rsidP="00EA685E">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11</w:t>
      </w:r>
      <w:r>
        <w:rPr>
          <w:rFonts w:cs="Simplified Arabic" w:hint="cs"/>
          <w:rtl/>
        </w:rPr>
        <w:t xml:space="preserve"> بوصفه المقرر 14/</w:t>
      </w:r>
      <w:r w:rsidR="00EA685E">
        <w:rPr>
          <w:rFonts w:cs="Simplified Arabic" w:hint="cs"/>
          <w:rtl/>
        </w:rPr>
        <w:t>7</w:t>
      </w:r>
      <w:r>
        <w:rPr>
          <w:rFonts w:cs="Simplified Arabic" w:hint="cs"/>
          <w:rtl/>
        </w:rPr>
        <w:t xml:space="preserve"> (للاطلاع على النص، انظر الفصل الأول).</w:t>
      </w:r>
    </w:p>
    <w:p w:rsidR="00D50BC6" w:rsidRPr="00997CAE" w:rsidRDefault="00D50BC6" w:rsidP="00094717">
      <w:pPr>
        <w:pStyle w:val="Heading2"/>
      </w:pPr>
      <w:bookmarkStart w:id="238" w:name="_Toc6140024"/>
      <w:r w:rsidRPr="00997CAE">
        <w:rPr>
          <w:rFonts w:hint="cs"/>
          <w:rtl/>
        </w:rPr>
        <w:t>البند 21 -</w:t>
      </w:r>
      <w:r w:rsidRPr="00997CAE">
        <w:rPr>
          <w:rFonts w:hint="cs"/>
          <w:rtl/>
        </w:rPr>
        <w:tab/>
        <w:t>التنوع البيولوجي وتغير المناخ</w:t>
      </w:r>
      <w:bookmarkEnd w:id="238"/>
    </w:p>
    <w:p w:rsidR="005807D5" w:rsidRPr="00477B14" w:rsidRDefault="005807D5" w:rsidP="00DC4A1B">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rtl/>
        </w:rPr>
        <w:t xml:space="preserve">تناول الفريق العامل الثاني البند 21 من جدول الأعمال في </w:t>
      </w:r>
      <w:r w:rsidR="00EA685E">
        <w:rPr>
          <w:rFonts w:ascii="Simplified Arabic" w:hAnsi="Simplified Arabic" w:cs="Simplified Arabic" w:hint="cs"/>
          <w:rtl/>
        </w:rPr>
        <w:t>جلست</w:t>
      </w:r>
      <w:r w:rsidRPr="002E513E">
        <w:rPr>
          <w:rFonts w:ascii="Simplified Arabic" w:hAnsi="Simplified Arabic" w:cs="Simplified Arabic"/>
          <w:rtl/>
        </w:rPr>
        <w:t xml:space="preserve">ه </w:t>
      </w:r>
      <w:r w:rsidRPr="002E513E">
        <w:rPr>
          <w:rFonts w:ascii="Simplified Arabic" w:hAnsi="Simplified Arabic" w:cs="Simplified Arabic" w:hint="cs"/>
          <w:rtl/>
        </w:rPr>
        <w:t>الرابع</w:t>
      </w:r>
      <w:r w:rsidR="00EA685E">
        <w:rPr>
          <w:rFonts w:ascii="Simplified Arabic" w:hAnsi="Simplified Arabic" w:cs="Simplified Arabic" w:hint="cs"/>
          <w:rtl/>
        </w:rPr>
        <w:t>ة</w:t>
      </w:r>
      <w:r w:rsidR="005F0FBD">
        <w:rPr>
          <w:rFonts w:ascii="Simplified Arabic" w:hAnsi="Simplified Arabic" w:cs="Simplified Arabic" w:hint="cs"/>
          <w:rtl/>
        </w:rPr>
        <w:t>،</w:t>
      </w:r>
      <w:r w:rsidRPr="002E513E">
        <w:rPr>
          <w:rFonts w:ascii="Simplified Arabic" w:hAnsi="Simplified Arabic" w:cs="Simplified Arabic"/>
          <w:rtl/>
        </w:rPr>
        <w:t xml:space="preserve"> المعقود</w:t>
      </w:r>
      <w:r w:rsidR="00EA685E">
        <w:rPr>
          <w:rFonts w:ascii="Simplified Arabic" w:hAnsi="Simplified Arabic" w:cs="Simplified Arabic" w:hint="cs"/>
          <w:rtl/>
        </w:rPr>
        <w:t>ة</w:t>
      </w:r>
      <w:r w:rsidRPr="002E513E">
        <w:rPr>
          <w:rFonts w:ascii="Simplified Arabic" w:hAnsi="Simplified Arabic" w:cs="Simplified Arabic"/>
          <w:rtl/>
        </w:rPr>
        <w:t xml:space="preserve"> في 19 نوفمبر</w:t>
      </w:r>
      <w:r w:rsidRPr="002E513E">
        <w:rPr>
          <w:rFonts w:ascii="Simplified Arabic" w:hAnsi="Simplified Arabic" w:cs="Simplified Arabic" w:hint="cs"/>
          <w:rtl/>
        </w:rPr>
        <w:t>/</w:t>
      </w:r>
      <w:r w:rsidRPr="002E513E">
        <w:rPr>
          <w:rFonts w:ascii="Simplified Arabic" w:hAnsi="Simplified Arabic" w:cs="Simplified Arabic"/>
          <w:rtl/>
        </w:rPr>
        <w:t>تشرين الثاني 2018. ولدى النظر في هذا البند، كان معروضا أمام الفريق العامل</w:t>
      </w:r>
      <w:r w:rsidRPr="002E513E">
        <w:rPr>
          <w:rFonts w:ascii="Simplified Arabic" w:hAnsi="Simplified Arabic" w:cs="Simplified Arabic" w:hint="cs"/>
          <w:rtl/>
        </w:rPr>
        <w:t xml:space="preserve"> </w:t>
      </w:r>
      <w:r w:rsidRPr="002E513E">
        <w:rPr>
          <w:rFonts w:ascii="Simplified Arabic" w:hAnsi="Simplified Arabic" w:cs="Simplified Arabic"/>
          <w:rtl/>
        </w:rPr>
        <w:t xml:space="preserve">مشروع مقرر </w:t>
      </w:r>
      <w:r w:rsidRPr="002E513E">
        <w:rPr>
          <w:rFonts w:ascii="Simplified Arabic" w:hAnsi="Simplified Arabic" w:cs="Simplified Arabic" w:hint="cs"/>
          <w:rtl/>
        </w:rPr>
        <w:t>م</w:t>
      </w:r>
      <w:r w:rsidR="00DC4A1B">
        <w:rPr>
          <w:rFonts w:ascii="Simplified Arabic" w:hAnsi="Simplified Arabic" w:cs="Simplified Arabic" w:hint="cs"/>
          <w:rtl/>
        </w:rPr>
        <w:t>نبثق ع</w:t>
      </w:r>
      <w:r w:rsidRPr="002E513E">
        <w:rPr>
          <w:rFonts w:ascii="Simplified Arabic" w:hAnsi="Simplified Arabic" w:cs="Simplified Arabic"/>
          <w:rtl/>
        </w:rPr>
        <w:t>ن التوصية</w:t>
      </w:r>
      <w:r w:rsidRPr="002E513E">
        <w:rPr>
          <w:rFonts w:ascii="Simplified Arabic" w:hAnsi="Simplified Arabic" w:cs="Simplified Arabic" w:hint="cs"/>
          <w:rtl/>
        </w:rPr>
        <w:t xml:space="preserve"> 22/7 ل</w:t>
      </w:r>
      <w:r w:rsidRPr="002E513E">
        <w:rPr>
          <w:rFonts w:ascii="Simplified Arabic" w:hAnsi="Simplified Arabic" w:cs="Simplified Arabic"/>
          <w:rtl/>
        </w:rPr>
        <w:t xml:space="preserve">لهيئة الفرعية </w:t>
      </w:r>
      <w:r w:rsidRPr="002E513E">
        <w:rPr>
          <w:rFonts w:ascii="Simplified Arabic" w:hAnsi="Simplified Arabic" w:cs="Simplified Arabic" w:hint="cs"/>
          <w:rtl/>
        </w:rPr>
        <w:t>ل</w:t>
      </w:r>
      <w:r w:rsidRPr="002E513E">
        <w:rPr>
          <w:rFonts w:ascii="Simplified Arabic" w:hAnsi="Simplified Arabic" w:cs="Simplified Arabic"/>
          <w:rtl/>
        </w:rPr>
        <w:t>لمشورة العلمية والتقنية والتكنولوجية</w:t>
      </w:r>
      <w:r w:rsidRPr="002E513E">
        <w:rPr>
          <w:rFonts w:ascii="Simplified Arabic" w:hAnsi="Simplified Arabic" w:cs="Simplified Arabic" w:hint="cs"/>
          <w:rtl/>
        </w:rPr>
        <w:t>،</w:t>
      </w:r>
      <w:r w:rsidRPr="002E513E">
        <w:rPr>
          <w:rFonts w:ascii="Simplified Arabic" w:hAnsi="Simplified Arabic" w:cs="Simplified Arabic"/>
          <w:rtl/>
        </w:rPr>
        <w:t xml:space="preserve"> ال</w:t>
      </w:r>
      <w:r w:rsidR="00DC4A1B">
        <w:rPr>
          <w:rFonts w:ascii="Simplified Arabic" w:hAnsi="Simplified Arabic" w:cs="Simplified Arabic" w:hint="cs"/>
          <w:rtl/>
        </w:rPr>
        <w:t>مبين</w:t>
      </w:r>
      <w:r w:rsidRPr="002E513E">
        <w:rPr>
          <w:rFonts w:ascii="Simplified Arabic" w:hAnsi="Simplified Arabic" w:cs="Simplified Arabic"/>
          <w:rtl/>
        </w:rPr>
        <w:t xml:space="preserve"> في تجميع مشاريع المقررات</w:t>
      </w:r>
      <w:r w:rsidRPr="002E513E">
        <w:rPr>
          <w:rFonts w:ascii="Simplified Arabic" w:hAnsi="Simplified Arabic" w:cs="Simplified Arabic" w:hint="cs"/>
          <w:rtl/>
        </w:rPr>
        <w:t xml:space="preserve"> </w:t>
      </w:r>
      <w:r w:rsidRPr="00DC4A1B">
        <w:rPr>
          <w:szCs w:val="22"/>
          <w:rtl/>
        </w:rPr>
        <w:t>(</w:t>
      </w:r>
      <w:r w:rsidRPr="00477B14">
        <w:rPr>
          <w:kern w:val="22"/>
          <w:szCs w:val="22"/>
          <w:lang w:val="fr-CA"/>
        </w:rPr>
        <w:t>CBD/COP/14/2</w:t>
      </w:r>
      <w:r w:rsidRPr="00DC4A1B">
        <w:rPr>
          <w:szCs w:val="22"/>
          <w:rtl/>
        </w:rPr>
        <w:t>)</w:t>
      </w:r>
      <w:r w:rsidRPr="002E513E">
        <w:rPr>
          <w:rFonts w:ascii="Simplified Arabic" w:hAnsi="Simplified Arabic" w:cs="Simplified Arabic" w:hint="cs"/>
          <w:rtl/>
        </w:rPr>
        <w:t>. و</w:t>
      </w:r>
      <w:r w:rsidR="00DC4A1B">
        <w:rPr>
          <w:rFonts w:ascii="Simplified Arabic" w:hAnsi="Simplified Arabic" w:cs="Simplified Arabic" w:hint="cs"/>
          <w:rtl/>
        </w:rPr>
        <w:t>قدم</w:t>
      </w:r>
      <w:r w:rsidRPr="002E513E">
        <w:rPr>
          <w:rFonts w:ascii="Simplified Arabic" w:hAnsi="Simplified Arabic" w:cs="Simplified Arabic"/>
          <w:rtl/>
        </w:rPr>
        <w:t xml:space="preserve"> مشروع المقرر، في مرفقه، مبادئ توجيهية طوعية لتصميم وتنفيذ</w:t>
      </w:r>
      <w:r w:rsidRPr="002E513E">
        <w:rPr>
          <w:rFonts w:ascii="Simplified Arabic" w:hAnsi="Simplified Arabic" w:cs="Simplified Arabic" w:hint="cs"/>
          <w:rtl/>
        </w:rPr>
        <w:t xml:space="preserve"> </w:t>
      </w:r>
      <w:r w:rsidRPr="002E513E">
        <w:rPr>
          <w:rFonts w:ascii="Simplified Arabic" w:hAnsi="Simplified Arabic" w:cs="Simplified Arabic"/>
          <w:rtl/>
        </w:rPr>
        <w:t>ن</w:t>
      </w:r>
      <w:r w:rsidRPr="002E513E">
        <w:rPr>
          <w:rFonts w:ascii="Simplified Arabic" w:hAnsi="Simplified Arabic" w:cs="Simplified Arabic" w:hint="cs"/>
          <w:rtl/>
        </w:rPr>
        <w:t>ُ</w:t>
      </w:r>
      <w:r w:rsidRPr="002E513E">
        <w:rPr>
          <w:rFonts w:ascii="Simplified Arabic" w:hAnsi="Simplified Arabic" w:cs="Simplified Arabic"/>
          <w:rtl/>
        </w:rPr>
        <w:t>هج قائمة على النظم الإيكولوجي</w:t>
      </w:r>
      <w:r w:rsidRPr="002E513E">
        <w:rPr>
          <w:rFonts w:ascii="Simplified Arabic" w:hAnsi="Simplified Arabic" w:cs="Simplified Arabic" w:hint="cs"/>
          <w:rtl/>
        </w:rPr>
        <w:t>ة</w:t>
      </w:r>
      <w:r w:rsidRPr="002E513E">
        <w:rPr>
          <w:rFonts w:ascii="Simplified Arabic" w:hAnsi="Simplified Arabic" w:cs="Simplified Arabic"/>
          <w:rtl/>
        </w:rPr>
        <w:t xml:space="preserve"> للتكيف مع تغير المناخ والحد من مخاطر الكوارث تنفيذا فعالا</w:t>
      </w:r>
      <w:r w:rsidRPr="002E513E">
        <w:rPr>
          <w:rFonts w:ascii="Simplified Arabic" w:hAnsi="Simplified Arabic" w:cs="Simplified Arabic" w:hint="cs"/>
          <w:rtl/>
        </w:rPr>
        <w:t>.</w:t>
      </w:r>
    </w:p>
    <w:p w:rsidR="005807D5" w:rsidRPr="00477B14" w:rsidRDefault="005807D5" w:rsidP="00DC4A1B">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 xml:space="preserve">وشاهد الفريق العامل بيانا موجزا </w:t>
      </w:r>
      <w:r w:rsidRPr="002E513E">
        <w:rPr>
          <w:rFonts w:ascii="Simplified Arabic" w:hAnsi="Simplified Arabic" w:cs="Simplified Arabic" w:hint="cs"/>
          <w:rtl/>
        </w:rPr>
        <w:t>مسجلا</w:t>
      </w:r>
      <w:r w:rsidRPr="002E513E">
        <w:rPr>
          <w:rFonts w:ascii="Simplified Arabic" w:hAnsi="Simplified Arabic" w:cs="Simplified Arabic"/>
          <w:rtl/>
        </w:rPr>
        <w:t xml:space="preserve"> </w:t>
      </w:r>
      <w:r w:rsidRPr="002E513E">
        <w:rPr>
          <w:rFonts w:ascii="Simplified Arabic" w:hAnsi="Simplified Arabic" w:cs="Simplified Arabic" w:hint="cs"/>
          <w:rtl/>
        </w:rPr>
        <w:t>بال</w:t>
      </w:r>
      <w:r w:rsidRPr="002E513E">
        <w:rPr>
          <w:rFonts w:ascii="Simplified Arabic" w:hAnsi="Simplified Arabic" w:cs="Simplified Arabic"/>
          <w:rtl/>
        </w:rPr>
        <w:t>فيديو أ</w:t>
      </w:r>
      <w:r w:rsidRPr="002E513E">
        <w:rPr>
          <w:rFonts w:ascii="Simplified Arabic" w:hAnsi="Simplified Arabic" w:cs="Simplified Arabic" w:hint="cs"/>
          <w:rtl/>
        </w:rPr>
        <w:t>لقاه</w:t>
      </w:r>
      <w:r w:rsidRPr="002E513E">
        <w:rPr>
          <w:rFonts w:ascii="Simplified Arabic" w:hAnsi="Simplified Arabic" w:cs="Simplified Arabic"/>
          <w:sz w:val="24"/>
          <w:rtl/>
        </w:rPr>
        <w:t xml:space="preserve"> السيد هانز</w:t>
      </w:r>
      <w:r w:rsidR="00EA685E">
        <w:rPr>
          <w:rFonts w:ascii="Simplified Arabic" w:hAnsi="Simplified Arabic" w:cs="Simplified Arabic" w:hint="cs"/>
          <w:sz w:val="24"/>
          <w:rtl/>
        </w:rPr>
        <w:t xml:space="preserve">- </w:t>
      </w:r>
      <w:r w:rsidRPr="002E513E">
        <w:rPr>
          <w:rFonts w:ascii="Simplified Arabic" w:hAnsi="Simplified Arabic" w:cs="Simplified Arabic"/>
          <w:sz w:val="24"/>
          <w:rtl/>
        </w:rPr>
        <w:t>أوتو بوترنر، الرئيس المشارك للفريق العامل الثاني التابع لل</w:t>
      </w:r>
      <w:r w:rsidR="00DC4A1B">
        <w:rPr>
          <w:rFonts w:ascii="Simplified Arabic" w:hAnsi="Simplified Arabic" w:cs="Simplified Arabic" w:hint="cs"/>
          <w:sz w:val="24"/>
          <w:rtl/>
        </w:rPr>
        <w:t>هيئة</w:t>
      </w:r>
      <w:r w:rsidRPr="002E513E">
        <w:rPr>
          <w:rFonts w:ascii="Simplified Arabic" w:hAnsi="Simplified Arabic" w:cs="Simplified Arabic"/>
          <w:sz w:val="24"/>
          <w:rtl/>
        </w:rPr>
        <w:t xml:space="preserve"> الحكومي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الدولي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المعني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بتغير المناخ </w:t>
      </w:r>
      <w:r w:rsidRPr="00EA685E">
        <w:rPr>
          <w:szCs w:val="22"/>
          <w:rtl/>
        </w:rPr>
        <w:t>(</w:t>
      </w:r>
      <w:r w:rsidRPr="00477B14">
        <w:rPr>
          <w:snapToGrid w:val="0"/>
          <w:szCs w:val="22"/>
          <w:lang w:val="fr-CA"/>
        </w:rPr>
        <w:t>IPCC</w:t>
      </w:r>
      <w:r w:rsidRPr="00EA685E">
        <w:rPr>
          <w:szCs w:val="22"/>
          <w:rtl/>
        </w:rPr>
        <w:t>)</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و</w:t>
      </w:r>
      <w:r w:rsidRPr="002E513E">
        <w:rPr>
          <w:rFonts w:ascii="Simplified Arabic" w:hAnsi="Simplified Arabic" w:cs="Simplified Arabic"/>
          <w:sz w:val="24"/>
          <w:rtl/>
        </w:rPr>
        <w:t>الذي قدم لمحة عامة عن التقرير الخاص لل</w:t>
      </w:r>
      <w:r w:rsidR="00DC4A1B">
        <w:rPr>
          <w:rFonts w:ascii="Simplified Arabic" w:hAnsi="Simplified Arabic" w:cs="Simplified Arabic" w:hint="cs"/>
          <w:sz w:val="24"/>
          <w:rtl/>
        </w:rPr>
        <w:t>هيئة</w:t>
      </w:r>
      <w:r w:rsidRPr="002E513E">
        <w:rPr>
          <w:rFonts w:ascii="Simplified Arabic" w:hAnsi="Simplified Arabic" w:cs="Simplified Arabic"/>
          <w:sz w:val="24"/>
          <w:rtl/>
        </w:rPr>
        <w:t xml:space="preserve"> الحكومي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الدولي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المعني</w:t>
      </w:r>
      <w:r w:rsidR="00DC4A1B">
        <w:rPr>
          <w:rFonts w:ascii="Simplified Arabic" w:hAnsi="Simplified Arabic" w:cs="Simplified Arabic" w:hint="cs"/>
          <w:sz w:val="24"/>
          <w:rtl/>
        </w:rPr>
        <w:t>ة</w:t>
      </w:r>
      <w:r w:rsidRPr="002E513E">
        <w:rPr>
          <w:rFonts w:ascii="Simplified Arabic" w:hAnsi="Simplified Arabic" w:cs="Simplified Arabic"/>
          <w:sz w:val="24"/>
          <w:rtl/>
        </w:rPr>
        <w:t xml:space="preserve"> بتغير المناخ بشأن </w:t>
      </w:r>
      <w:r w:rsidRPr="00EA685E">
        <w:rPr>
          <w:rFonts w:ascii="Simplified Arabic" w:hAnsi="Simplified Arabic" w:cs="Simplified Arabic"/>
          <w:i/>
          <w:iCs/>
          <w:sz w:val="24"/>
          <w:rtl/>
        </w:rPr>
        <w:t xml:space="preserve">الاحترار العالمي </w:t>
      </w:r>
      <w:r w:rsidRPr="00EA685E">
        <w:rPr>
          <w:rFonts w:ascii="Simplified Arabic" w:hAnsi="Simplified Arabic" w:cs="Simplified Arabic" w:hint="cs"/>
          <w:i/>
          <w:iCs/>
          <w:sz w:val="24"/>
          <w:rtl/>
        </w:rPr>
        <w:t>بمقدار</w:t>
      </w:r>
      <w:r w:rsidRPr="00EA685E">
        <w:rPr>
          <w:rFonts w:ascii="Simplified Arabic" w:hAnsi="Simplified Arabic" w:cs="Simplified Arabic"/>
          <w:i/>
          <w:iCs/>
          <w:sz w:val="24"/>
          <w:rtl/>
        </w:rPr>
        <w:t xml:space="preserve"> 1.5 درجة مئوية</w:t>
      </w:r>
      <w:r w:rsidRPr="002E513E">
        <w:rPr>
          <w:rFonts w:ascii="Simplified Arabic" w:hAnsi="Simplified Arabic" w:cs="Simplified Arabic" w:hint="cs"/>
          <w:sz w:val="24"/>
          <w:rtl/>
        </w:rPr>
        <w:t>.</w:t>
      </w:r>
    </w:p>
    <w:p w:rsidR="005807D5" w:rsidRPr="00477B14"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rtl/>
        </w:rPr>
        <w:t>و</w:t>
      </w:r>
      <w:r w:rsidR="005B6FC4">
        <w:rPr>
          <w:rFonts w:ascii="Simplified Arabic" w:hAnsi="Simplified Arabic" w:cs="Simplified Arabic" w:hint="cs"/>
          <w:rtl/>
        </w:rPr>
        <w:t>أدلى ب</w:t>
      </w:r>
      <w:r w:rsidRPr="002E513E">
        <w:rPr>
          <w:rFonts w:ascii="Simplified Arabic" w:hAnsi="Simplified Arabic" w:cs="Simplified Arabic" w:hint="cs"/>
          <w:rtl/>
        </w:rPr>
        <w:t xml:space="preserve">بيانات </w:t>
      </w:r>
      <w:r w:rsidRPr="002E513E">
        <w:rPr>
          <w:rFonts w:ascii="Simplified Arabic" w:hAnsi="Simplified Arabic" w:cs="Simplified Arabic"/>
          <w:rtl/>
        </w:rPr>
        <w:t>ممثل</w:t>
      </w:r>
      <w:r w:rsidR="005B6FC4">
        <w:rPr>
          <w:rFonts w:ascii="Simplified Arabic" w:hAnsi="Simplified Arabic" w:cs="Simplified Arabic" w:hint="cs"/>
          <w:rtl/>
        </w:rPr>
        <w:t>و</w:t>
      </w:r>
      <w:r w:rsidRPr="002E513E">
        <w:rPr>
          <w:rFonts w:ascii="Simplified Arabic" w:hAnsi="Simplified Arabic" w:cs="Simplified Arabic"/>
          <w:sz w:val="24"/>
          <w:rtl/>
        </w:rPr>
        <w:t xml:space="preserve"> الأرجنتين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وبنغلاديش</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وبوليفيا (دولة - المتعددة القوميات)</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وبوتسوانا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والبرازيل</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وكمبوديا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وكندا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وجمهورية أفريقيا الوسطى</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وكولومبيا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وكوستاريكا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وكوت ديفوار</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وكوبا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وجيبوتي</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والجمهورية الدومينيكية</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وإكوادور</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lastRenderedPageBreak/>
        <w:t>و</w:t>
      </w:r>
      <w:r w:rsidRPr="002E513E">
        <w:rPr>
          <w:rFonts w:ascii="Simplified Arabic" w:hAnsi="Simplified Arabic" w:cs="Simplified Arabic"/>
          <w:sz w:val="24"/>
          <w:rtl/>
        </w:rPr>
        <w:t xml:space="preserve">مصر، </w:t>
      </w:r>
      <w:r w:rsidRPr="002E513E">
        <w:rPr>
          <w:rFonts w:ascii="Simplified Arabic" w:hAnsi="Simplified Arabic" w:cs="Simplified Arabic" w:hint="cs"/>
          <w:sz w:val="24"/>
          <w:rtl/>
        </w:rPr>
        <w:t>و</w:t>
      </w:r>
      <w:r w:rsidRPr="002E513E">
        <w:rPr>
          <w:rFonts w:ascii="Simplified Arabic" w:hAnsi="Simplified Arabic" w:cs="Simplified Arabic"/>
          <w:sz w:val="24"/>
          <w:rtl/>
        </w:rPr>
        <w:t>إسواتيني (بالنيابة عن المجموعة الأفريقية)، والاتحاد الأوروبي ودول</w:t>
      </w:r>
      <w:r w:rsidR="005B6FC4">
        <w:rPr>
          <w:rFonts w:ascii="Simplified Arabic" w:hAnsi="Simplified Arabic" w:cs="Simplified Arabic" w:hint="cs"/>
          <w:sz w:val="24"/>
          <w:rtl/>
        </w:rPr>
        <w:t>ه</w:t>
      </w:r>
      <w:r w:rsidRPr="002E513E">
        <w:rPr>
          <w:rFonts w:ascii="Simplified Arabic" w:hAnsi="Simplified Arabic" w:cs="Simplified Arabic"/>
          <w:sz w:val="24"/>
          <w:rtl/>
        </w:rPr>
        <w:t xml:space="preserve"> الأعضاء</w:t>
      </w:r>
      <w:r w:rsidRPr="002E513E">
        <w:rPr>
          <w:rFonts w:ascii="Simplified Arabic" w:hAnsi="Simplified Arabic" w:cs="Simplified Arabic" w:hint="cs"/>
          <w:sz w:val="24"/>
          <w:rtl/>
        </w:rPr>
        <w:t xml:space="preserve"> </w:t>
      </w:r>
      <w:r w:rsidR="005B6FC4">
        <w:rPr>
          <w:rFonts w:cs="Simplified Arabic" w:hint="cs"/>
          <w:rtl/>
        </w:rPr>
        <w:t>الثماني والعشرين،</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غواتيمالا،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الهند،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إندونيسيا،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جامايكا،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اليابان،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ملاوي،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ماليزيا،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ملديف،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المكسيك،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المغرب،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نيوزيلندا،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النرويج، </w:t>
      </w:r>
      <w:r w:rsidRPr="002E513E">
        <w:rPr>
          <w:rFonts w:ascii="Simplified Arabic" w:hAnsi="Simplified Arabic" w:cs="Simplified Arabic" w:hint="cs"/>
          <w:sz w:val="24"/>
          <w:rtl/>
        </w:rPr>
        <w:t>و</w:t>
      </w:r>
      <w:r w:rsidRPr="002E513E">
        <w:rPr>
          <w:rFonts w:ascii="Simplified Arabic" w:hAnsi="Simplified Arabic" w:cs="Simplified Arabic"/>
          <w:sz w:val="24"/>
          <w:rtl/>
        </w:rPr>
        <w:t>بالاو (</w:t>
      </w:r>
      <w:r w:rsidR="00AE53EB">
        <w:rPr>
          <w:rFonts w:ascii="Simplified Arabic" w:hAnsi="Simplified Arabic" w:cs="Simplified Arabic" w:hint="cs"/>
          <w:rtl/>
        </w:rPr>
        <w:t>بالنيابة عن</w:t>
      </w:r>
      <w:r w:rsidRPr="002E513E">
        <w:rPr>
          <w:rFonts w:ascii="Simplified Arabic" w:hAnsi="Simplified Arabic" w:cs="Simplified Arabic"/>
          <w:rtl/>
        </w:rPr>
        <w:t xml:space="preserve"> الدول الج</w:t>
      </w:r>
      <w:r w:rsidRPr="002E513E">
        <w:rPr>
          <w:rFonts w:ascii="Simplified Arabic" w:hAnsi="Simplified Arabic" w:cs="Simplified Arabic" w:hint="cs"/>
          <w:rtl/>
        </w:rPr>
        <w:t>ُ</w:t>
      </w:r>
      <w:r w:rsidRPr="002E513E">
        <w:rPr>
          <w:rFonts w:ascii="Simplified Arabic" w:hAnsi="Simplified Arabic" w:cs="Simplified Arabic"/>
          <w:rtl/>
        </w:rPr>
        <w:t xml:space="preserve">زرية </w:t>
      </w:r>
      <w:r w:rsidRPr="002E513E">
        <w:rPr>
          <w:rFonts w:ascii="Simplified Arabic" w:hAnsi="Simplified Arabic" w:cs="Simplified Arabic"/>
          <w:sz w:val="24"/>
          <w:rtl/>
        </w:rPr>
        <w:t xml:space="preserve">في المحيط الهادئ)،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بيرو،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الفلبين، </w:t>
      </w:r>
      <w:r w:rsidRPr="002E513E">
        <w:rPr>
          <w:rFonts w:ascii="Simplified Arabic" w:hAnsi="Simplified Arabic" w:cs="Simplified Arabic" w:hint="cs"/>
          <w:sz w:val="24"/>
          <w:rtl/>
        </w:rPr>
        <w:t>و</w:t>
      </w:r>
      <w:r w:rsidRPr="002E513E">
        <w:rPr>
          <w:rFonts w:ascii="Simplified Arabic" w:hAnsi="Simplified Arabic" w:cs="Simplified Arabic"/>
          <w:sz w:val="24"/>
          <w:rtl/>
        </w:rPr>
        <w:t>سانت لوسيا (</w:t>
      </w:r>
      <w:r w:rsidR="00AE53EB">
        <w:rPr>
          <w:rFonts w:ascii="Simplified Arabic" w:hAnsi="Simplified Arabic" w:cs="Simplified Arabic" w:hint="cs"/>
          <w:rtl/>
        </w:rPr>
        <w:t xml:space="preserve">بالنيابة عن </w:t>
      </w:r>
      <w:r w:rsidRPr="002E513E">
        <w:rPr>
          <w:rFonts w:ascii="Simplified Arabic" w:hAnsi="Simplified Arabic" w:cs="Simplified Arabic"/>
          <w:rtl/>
        </w:rPr>
        <w:t>الدول الج</w:t>
      </w:r>
      <w:r w:rsidRPr="002E513E">
        <w:rPr>
          <w:rFonts w:ascii="Simplified Arabic" w:hAnsi="Simplified Arabic" w:cs="Simplified Arabic" w:hint="cs"/>
          <w:rtl/>
        </w:rPr>
        <w:t>ُ</w:t>
      </w:r>
      <w:r w:rsidRPr="002E513E">
        <w:rPr>
          <w:rFonts w:ascii="Simplified Arabic" w:hAnsi="Simplified Arabic" w:cs="Simplified Arabic"/>
          <w:rtl/>
        </w:rPr>
        <w:t>زرية</w:t>
      </w:r>
      <w:r w:rsidRPr="002E513E">
        <w:rPr>
          <w:rFonts w:ascii="Simplified Arabic" w:hAnsi="Simplified Arabic" w:cs="Simplified Arabic"/>
          <w:sz w:val="24"/>
          <w:rtl/>
        </w:rPr>
        <w:t xml:space="preserve"> الصغيرة والدول </w:t>
      </w:r>
      <w:r w:rsidR="00AE53EB">
        <w:rPr>
          <w:rFonts w:ascii="Simplified Arabic" w:hAnsi="Simplified Arabic" w:cs="Simplified Arabic" w:hint="cs"/>
          <w:sz w:val="24"/>
          <w:rtl/>
        </w:rPr>
        <w:t>الساحلية الواطئة</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المملكة العربية السعودية،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السنغال،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جنوب أفريقيا، </w:t>
      </w:r>
      <w:r w:rsidRPr="002E513E">
        <w:rPr>
          <w:rFonts w:ascii="Simplified Arabic" w:hAnsi="Simplified Arabic" w:cs="Simplified Arabic" w:hint="cs"/>
          <w:sz w:val="24"/>
          <w:rtl/>
        </w:rPr>
        <w:t>و</w:t>
      </w:r>
      <w:r w:rsidRPr="002E513E">
        <w:rPr>
          <w:rFonts w:ascii="Simplified Arabic" w:hAnsi="Simplified Arabic" w:cs="Simplified Arabic"/>
          <w:sz w:val="24"/>
          <w:rtl/>
        </w:rPr>
        <w:t>سويسرا وفنزويلا (جمهورية - البوليفارية)</w:t>
      </w:r>
      <w:r w:rsidRPr="002E513E">
        <w:rPr>
          <w:rFonts w:ascii="Simplified Arabic" w:hAnsi="Simplified Arabic" w:cs="Simplified Arabic" w:hint="cs"/>
          <w:sz w:val="24"/>
          <w:rtl/>
        </w:rPr>
        <w:t>.</w:t>
      </w:r>
    </w:p>
    <w:p w:rsidR="005807D5" w:rsidRPr="00477B14" w:rsidRDefault="005807D5"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وأدلى ببيانات أخرى ممثلو</w:t>
      </w:r>
      <w:r w:rsidRPr="002E513E">
        <w:rPr>
          <w:rFonts w:ascii="Simplified Arabic" w:hAnsi="Simplified Arabic" w:cs="Simplified Arabic" w:hint="cs"/>
          <w:sz w:val="24"/>
          <w:rtl/>
        </w:rPr>
        <w:t xml:space="preserve"> </w:t>
      </w:r>
      <w:r w:rsidRPr="002E513E">
        <w:rPr>
          <w:rFonts w:ascii="Simplified Arabic" w:hAnsi="Simplified Arabic" w:cs="Simplified Arabic"/>
          <w:sz w:val="24"/>
          <w:rtl/>
        </w:rPr>
        <w:t>التحالف العالمي للغابات (</w:t>
      </w:r>
      <w:r w:rsidRPr="002E513E">
        <w:rPr>
          <w:rFonts w:ascii="Simplified Arabic" w:hAnsi="Simplified Arabic" w:cs="Simplified Arabic"/>
          <w:rtl/>
        </w:rPr>
        <w:t xml:space="preserve">أيضا </w:t>
      </w:r>
      <w:r w:rsidRPr="002E513E">
        <w:rPr>
          <w:rFonts w:ascii="Simplified Arabic" w:hAnsi="Simplified Arabic" w:cs="Simplified Arabic" w:hint="cs"/>
          <w:rtl/>
        </w:rPr>
        <w:t>ب</w:t>
      </w:r>
      <w:r w:rsidR="00DC4A1B">
        <w:rPr>
          <w:rFonts w:ascii="Simplified Arabic" w:hAnsi="Simplified Arabic" w:cs="Simplified Arabic" w:hint="cs"/>
          <w:rtl/>
        </w:rPr>
        <w:t>ا</w:t>
      </w:r>
      <w:r w:rsidR="00EA685E">
        <w:rPr>
          <w:rFonts w:ascii="Simplified Arabic" w:hAnsi="Simplified Arabic" w:cs="Simplified Arabic" w:hint="cs"/>
          <w:rtl/>
        </w:rPr>
        <w:t>لنيابة عن</w:t>
      </w:r>
      <w:r w:rsidRPr="002E513E">
        <w:rPr>
          <w:rFonts w:ascii="Simplified Arabic" w:hAnsi="Simplified Arabic" w:cs="Simplified Arabic"/>
          <w:sz w:val="24"/>
          <w:rtl/>
        </w:rPr>
        <w:t xml:space="preserve"> </w:t>
      </w:r>
      <w:r w:rsidRPr="002E513E">
        <w:rPr>
          <w:rFonts w:ascii="Simplified Arabic" w:hAnsi="Simplified Arabic" w:cs="Simplified Arabic"/>
          <w:rtl/>
        </w:rPr>
        <w:t xml:space="preserve">الشبكة الأوروبية </w:t>
      </w:r>
      <w:r w:rsidRPr="002E513E">
        <w:rPr>
          <w:rFonts w:ascii="Simplified Arabic" w:hAnsi="Simplified Arabic" w:cs="Simplified Arabic" w:hint="cs"/>
          <w:rtl/>
        </w:rPr>
        <w:t>للتفكير</w:t>
      </w:r>
      <w:r w:rsidRPr="002E513E">
        <w:rPr>
          <w:rFonts w:ascii="Simplified Arabic" w:hAnsi="Simplified Arabic" w:cs="Simplified Arabic"/>
          <w:rtl/>
        </w:rPr>
        <w:t xml:space="preserve"> والعمل</w:t>
      </w:r>
      <w:r w:rsidRPr="002E513E">
        <w:rPr>
          <w:rFonts w:ascii="Simplified Arabic" w:hAnsi="Simplified Arabic" w:cs="Simplified Arabic" w:hint="cs"/>
          <w:rtl/>
        </w:rPr>
        <w:t xml:space="preserve"> </w:t>
      </w:r>
      <w:r w:rsidRPr="002E513E">
        <w:rPr>
          <w:rFonts w:ascii="Simplified Arabic" w:hAnsi="Simplified Arabic" w:cs="Simplified Arabic"/>
          <w:rtl/>
        </w:rPr>
        <w:t>الإيكولوجي</w:t>
      </w:r>
      <w:r w:rsidRPr="002E513E">
        <w:rPr>
          <w:rFonts w:ascii="Simplified Arabic" w:hAnsi="Simplified Arabic" w:cs="Simplified Arabic"/>
          <w:sz w:val="24"/>
          <w:rtl/>
        </w:rPr>
        <w:t xml:space="preserve">، </w:t>
      </w:r>
      <w:r w:rsidRPr="002E513E">
        <w:rPr>
          <w:rFonts w:ascii="Simplified Arabic" w:hAnsi="Simplified Arabic" w:cs="Simplified Arabic" w:hint="cs"/>
          <w:rtl/>
        </w:rPr>
        <w:t xml:space="preserve">وجمعية </w:t>
      </w:r>
      <w:r w:rsidRPr="002E513E">
        <w:rPr>
          <w:rFonts w:ascii="Simplified Arabic" w:hAnsi="Simplified Arabic" w:cs="Simplified Arabic"/>
          <w:rtl/>
        </w:rPr>
        <w:t>أصدقاء الأرض الدولية</w:t>
      </w:r>
      <w:r w:rsidRPr="002E513E">
        <w:rPr>
          <w:rFonts w:ascii="Simplified Arabic" w:hAnsi="Simplified Arabic" w:cs="Simplified Arabic" w:hint="cs"/>
          <w:rtl/>
        </w:rPr>
        <w:t>،</w:t>
      </w:r>
      <w:r w:rsidRPr="002E513E">
        <w:rPr>
          <w:rFonts w:ascii="Simplified Arabic" w:hAnsi="Simplified Arabic" w:cs="Simplified Arabic"/>
          <w:sz w:val="24"/>
          <w:rtl/>
        </w:rPr>
        <w:t xml:space="preserve"> ومؤسسة </w:t>
      </w:r>
      <w:r w:rsidRPr="00477B14">
        <w:rPr>
          <w:szCs w:val="22"/>
          <w:lang w:val="fr-CA"/>
        </w:rPr>
        <w:t>Siemenpuu</w:t>
      </w:r>
      <w:r w:rsidRPr="002E513E">
        <w:rPr>
          <w:rFonts w:ascii="Simplified Arabic" w:hAnsi="Simplified Arabic" w:cs="Simplified Arabic"/>
          <w:sz w:val="24"/>
          <w:rtl/>
        </w:rPr>
        <w:t>)</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Pr="002E513E">
        <w:rPr>
          <w:rFonts w:ascii="Simplified Arabic" w:hAnsi="Simplified Arabic" w:cs="Simplified Arabic" w:hint="cs"/>
          <w:rtl/>
        </w:rPr>
        <w:t>و</w:t>
      </w:r>
      <w:r w:rsidRPr="002E513E">
        <w:rPr>
          <w:rFonts w:ascii="Simplified Arabic" w:hAnsi="Simplified Arabic" w:cs="Simplified Arabic"/>
          <w:rtl/>
        </w:rPr>
        <w:t xml:space="preserve">الشبكة العالمية </w:t>
      </w:r>
      <w:r w:rsidR="00EA685E">
        <w:rPr>
          <w:rFonts w:ascii="Simplified Arabic" w:hAnsi="Simplified Arabic" w:cs="Simplified Arabic" w:hint="cs"/>
          <w:rtl/>
        </w:rPr>
        <w:t>للشباب المعنية با</w:t>
      </w:r>
      <w:r w:rsidRPr="002E513E">
        <w:rPr>
          <w:rFonts w:ascii="Simplified Arabic" w:hAnsi="Simplified Arabic" w:cs="Simplified Arabic"/>
          <w:rtl/>
        </w:rPr>
        <w:t>لتنوع البيولوجي</w:t>
      </w:r>
      <w:r w:rsidRPr="002E513E">
        <w:rPr>
          <w:rFonts w:ascii="Simplified Arabic" w:hAnsi="Simplified Arabic" w:cs="Simplified Arabic"/>
          <w:sz w:val="24"/>
          <w:rtl/>
        </w:rPr>
        <w:t xml:space="preserve">، </w:t>
      </w:r>
      <w:r w:rsidR="00DC4A1B">
        <w:rPr>
          <w:rFonts w:ascii="Simplified Arabic" w:hAnsi="Simplified Arabic" w:cs="Simplified Arabic" w:hint="cs"/>
          <w:rtl/>
        </w:rPr>
        <w:t>و</w:t>
      </w:r>
      <w:r w:rsidRPr="002E513E">
        <w:rPr>
          <w:rFonts w:ascii="Simplified Arabic" w:hAnsi="Simplified Arabic" w:cs="Simplified Arabic"/>
          <w:rtl/>
        </w:rPr>
        <w:t>المنتدى الدولي للشعوب الأصلية المعني بالتنوع البيولوجي</w:t>
      </w:r>
      <w:r w:rsidRPr="002E513E">
        <w:rPr>
          <w:rFonts w:ascii="Simplified Arabic" w:hAnsi="Simplified Arabic" w:cs="Simplified Arabic"/>
          <w:sz w:val="24"/>
          <w:rtl/>
        </w:rPr>
        <w:t>، والاتحاد الدولي لحفظ الطبيعة</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Pr="002E513E">
        <w:rPr>
          <w:rFonts w:ascii="Simplified Arabic" w:hAnsi="Simplified Arabic" w:cs="Simplified Arabic" w:hint="cs"/>
          <w:rtl/>
        </w:rPr>
        <w:t>وحركة "فيا كامبيسينا"،</w:t>
      </w:r>
      <w:r w:rsidRPr="002E513E">
        <w:rPr>
          <w:rFonts w:ascii="Simplified Arabic" w:hAnsi="Simplified Arabic" w:cs="Simplified Arabic"/>
          <w:sz w:val="24"/>
          <w:rtl/>
        </w:rPr>
        <w:t xml:space="preserve"> </w:t>
      </w:r>
      <w:r w:rsidRPr="002E513E">
        <w:rPr>
          <w:rFonts w:ascii="Simplified Arabic" w:hAnsi="Simplified Arabic" w:cs="Simplified Arabic" w:hint="cs"/>
          <w:rtl/>
        </w:rPr>
        <w:t>و</w:t>
      </w:r>
      <w:r w:rsidRPr="002E513E">
        <w:rPr>
          <w:rFonts w:ascii="Simplified Arabic" w:hAnsi="Simplified Arabic" w:cs="Simplified Arabic"/>
          <w:rtl/>
        </w:rPr>
        <w:t xml:space="preserve">الصندوق العالمي </w:t>
      </w:r>
      <w:r w:rsidRPr="002E513E">
        <w:rPr>
          <w:rFonts w:ascii="Simplified Arabic" w:hAnsi="Simplified Arabic" w:cs="Simplified Arabic" w:hint="cs"/>
          <w:rtl/>
        </w:rPr>
        <w:t>ل</w:t>
      </w:r>
      <w:r w:rsidRPr="002E513E">
        <w:rPr>
          <w:rFonts w:ascii="Simplified Arabic" w:hAnsi="Simplified Arabic" w:cs="Simplified Arabic"/>
          <w:rtl/>
        </w:rPr>
        <w:t>لطبيعة</w:t>
      </w:r>
      <w:r w:rsidRPr="002E513E">
        <w:rPr>
          <w:rFonts w:ascii="Simplified Arabic" w:hAnsi="Simplified Arabic" w:cs="Simplified Arabic" w:hint="cs"/>
          <w:rtl/>
        </w:rPr>
        <w:t>.</w:t>
      </w:r>
    </w:p>
    <w:p w:rsidR="005807D5" w:rsidRPr="00477B14"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hint="cs"/>
          <w:rtl/>
        </w:rPr>
        <w:t>و</w:t>
      </w:r>
      <w:r w:rsidRPr="002E513E">
        <w:rPr>
          <w:rFonts w:ascii="Simplified Arabic" w:hAnsi="Simplified Arabic" w:cs="Simplified Arabic"/>
          <w:rtl/>
        </w:rPr>
        <w:t>قالت الرئيسة إنها ست</w:t>
      </w:r>
      <w:r w:rsidRPr="002E513E">
        <w:rPr>
          <w:rFonts w:ascii="Simplified Arabic" w:hAnsi="Simplified Arabic" w:cs="Simplified Arabic" w:hint="cs"/>
          <w:rtl/>
        </w:rPr>
        <w:t>عد</w:t>
      </w:r>
      <w:r w:rsidRPr="002E513E">
        <w:rPr>
          <w:rFonts w:ascii="Simplified Arabic" w:hAnsi="Simplified Arabic" w:cs="Simplified Arabic"/>
          <w:rtl/>
        </w:rPr>
        <w:t xml:space="preserve"> مشروع مقرر </w:t>
      </w:r>
      <w:r w:rsidRPr="002E513E">
        <w:rPr>
          <w:rFonts w:ascii="Simplified Arabic" w:hAnsi="Simplified Arabic" w:cs="Simplified Arabic" w:hint="cs"/>
          <w:rtl/>
        </w:rPr>
        <w:t>ل</w:t>
      </w:r>
      <w:r w:rsidRPr="002E513E">
        <w:rPr>
          <w:rFonts w:ascii="Simplified Arabic" w:hAnsi="Simplified Arabic" w:cs="Simplified Arabic"/>
          <w:rtl/>
        </w:rPr>
        <w:t>ينظر فيه الفريق العامل</w:t>
      </w:r>
      <w:r w:rsidRPr="002E513E">
        <w:rPr>
          <w:rFonts w:ascii="Simplified Arabic" w:hAnsi="Simplified Arabic" w:cs="Simplified Arabic" w:hint="cs"/>
          <w:rtl/>
        </w:rPr>
        <w:t>.</w:t>
      </w:r>
    </w:p>
    <w:p w:rsidR="005807D5" w:rsidRPr="00477B14"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hint="cs"/>
          <w:sz w:val="24"/>
          <w:rtl/>
        </w:rPr>
        <w:t>و</w:t>
      </w:r>
      <w:r w:rsidRPr="002E513E">
        <w:rPr>
          <w:rFonts w:ascii="Simplified Arabic" w:hAnsi="Simplified Arabic" w:cs="Simplified Arabic"/>
          <w:sz w:val="24"/>
          <w:rtl/>
        </w:rPr>
        <w:t>نظر الفريق العامل في مشروع المقرر المقدم من الرئيس</w:t>
      </w:r>
      <w:r w:rsidRPr="002E513E">
        <w:rPr>
          <w:rFonts w:ascii="Simplified Arabic" w:hAnsi="Simplified Arabic" w:cs="Simplified Arabic" w:hint="cs"/>
          <w:sz w:val="24"/>
          <w:rtl/>
        </w:rPr>
        <w:t>ة</w:t>
      </w:r>
      <w:r w:rsidRPr="002E513E">
        <w:rPr>
          <w:rFonts w:ascii="Simplified Arabic" w:hAnsi="Simplified Arabic" w:cs="Simplified Arabic"/>
          <w:sz w:val="24"/>
          <w:rtl/>
        </w:rPr>
        <w:t xml:space="preserve"> في </w:t>
      </w:r>
      <w:r w:rsidR="00AE53EB">
        <w:rPr>
          <w:rFonts w:ascii="Simplified Arabic" w:hAnsi="Simplified Arabic" w:cs="Simplified Arabic" w:hint="cs"/>
          <w:rtl/>
        </w:rPr>
        <w:t>جلست</w:t>
      </w:r>
      <w:r w:rsidRPr="002E513E">
        <w:rPr>
          <w:rFonts w:ascii="Simplified Arabic" w:hAnsi="Simplified Arabic" w:cs="Simplified Arabic"/>
          <w:rtl/>
        </w:rPr>
        <w:t>ه</w:t>
      </w:r>
      <w:r w:rsidRPr="002E513E">
        <w:rPr>
          <w:rFonts w:ascii="Simplified Arabic" w:hAnsi="Simplified Arabic" w:cs="Simplified Arabic"/>
          <w:sz w:val="24"/>
          <w:rtl/>
        </w:rPr>
        <w:t xml:space="preserve"> العاشر</w:t>
      </w:r>
      <w:r w:rsidR="00EA685E">
        <w:rPr>
          <w:rFonts w:ascii="Simplified Arabic" w:hAnsi="Simplified Arabic" w:cs="Simplified Arabic" w:hint="cs"/>
          <w:sz w:val="24"/>
          <w:rtl/>
        </w:rPr>
        <w:t>ة</w:t>
      </w:r>
      <w:r w:rsidRPr="002E513E">
        <w:rPr>
          <w:rFonts w:ascii="Simplified Arabic" w:hAnsi="Simplified Arabic" w:cs="Simplified Arabic"/>
          <w:sz w:val="24"/>
          <w:rtl/>
        </w:rPr>
        <w:t xml:space="preserve">، </w:t>
      </w:r>
      <w:r w:rsidRPr="002E513E">
        <w:rPr>
          <w:rFonts w:ascii="Simplified Arabic" w:hAnsi="Simplified Arabic" w:cs="Simplified Arabic"/>
          <w:rtl/>
        </w:rPr>
        <w:t>المعقود</w:t>
      </w:r>
      <w:r w:rsidR="00AE53EB">
        <w:rPr>
          <w:rFonts w:ascii="Simplified Arabic" w:hAnsi="Simplified Arabic" w:cs="Simplified Arabic" w:hint="cs"/>
          <w:rtl/>
        </w:rPr>
        <w:t>ة</w:t>
      </w:r>
      <w:r w:rsidRPr="002E513E">
        <w:rPr>
          <w:rFonts w:ascii="Simplified Arabic" w:hAnsi="Simplified Arabic" w:cs="Simplified Arabic"/>
          <w:sz w:val="24"/>
          <w:rtl/>
        </w:rPr>
        <w:t xml:space="preserve"> في 25 </w:t>
      </w:r>
      <w:r w:rsidRPr="002E513E">
        <w:rPr>
          <w:rFonts w:ascii="Simplified Arabic" w:hAnsi="Simplified Arabic" w:cs="Simplified Arabic"/>
          <w:rtl/>
        </w:rPr>
        <w:t>نوفمبر</w:t>
      </w:r>
      <w:r w:rsidRPr="002E513E">
        <w:rPr>
          <w:rFonts w:ascii="Simplified Arabic" w:hAnsi="Simplified Arabic" w:cs="Simplified Arabic" w:hint="cs"/>
          <w:rtl/>
        </w:rPr>
        <w:t>/</w:t>
      </w:r>
      <w:r w:rsidRPr="002E513E">
        <w:rPr>
          <w:rFonts w:ascii="Simplified Arabic" w:hAnsi="Simplified Arabic" w:cs="Simplified Arabic"/>
          <w:rtl/>
        </w:rPr>
        <w:t>تشرين الثاني</w:t>
      </w:r>
      <w:r w:rsidRPr="002E513E">
        <w:rPr>
          <w:rFonts w:ascii="Simplified Arabic" w:hAnsi="Simplified Arabic" w:cs="Simplified Arabic"/>
          <w:sz w:val="24"/>
          <w:rtl/>
        </w:rPr>
        <w:t xml:space="preserve"> 2018</w:t>
      </w:r>
      <w:r w:rsidRPr="002E513E">
        <w:rPr>
          <w:rFonts w:ascii="Simplified Arabic" w:hAnsi="Simplified Arabic" w:cs="Simplified Arabic" w:hint="cs"/>
          <w:sz w:val="24"/>
          <w:rtl/>
        </w:rPr>
        <w:t>.</w:t>
      </w:r>
    </w:p>
    <w:p w:rsidR="005807D5" w:rsidRPr="00477B14" w:rsidRDefault="005807D5"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rtl/>
        </w:rPr>
        <w:t>و</w:t>
      </w:r>
      <w:r w:rsidR="00830816">
        <w:rPr>
          <w:rFonts w:ascii="Simplified Arabic" w:hAnsi="Simplified Arabic" w:cs="Simplified Arabic" w:hint="cs"/>
          <w:rtl/>
        </w:rPr>
        <w:t>أدلى ب</w:t>
      </w:r>
      <w:r w:rsidRPr="002E513E">
        <w:rPr>
          <w:rFonts w:ascii="Simplified Arabic" w:hAnsi="Simplified Arabic" w:cs="Simplified Arabic" w:hint="cs"/>
          <w:rtl/>
        </w:rPr>
        <w:t xml:space="preserve">بيانات </w:t>
      </w:r>
      <w:r w:rsidRPr="002E513E">
        <w:rPr>
          <w:rFonts w:ascii="Simplified Arabic" w:hAnsi="Simplified Arabic" w:cs="Simplified Arabic"/>
          <w:rtl/>
        </w:rPr>
        <w:t>ممثل</w:t>
      </w:r>
      <w:r w:rsidR="00830816">
        <w:rPr>
          <w:rFonts w:ascii="Simplified Arabic" w:hAnsi="Simplified Arabic" w:cs="Simplified Arabic" w:hint="cs"/>
          <w:rtl/>
        </w:rPr>
        <w:t>و</w:t>
      </w:r>
      <w:r w:rsidRPr="002E513E">
        <w:rPr>
          <w:rFonts w:ascii="Simplified Arabic" w:hAnsi="Simplified Arabic" w:cs="Simplified Arabic"/>
          <w:sz w:val="24"/>
          <w:rtl/>
        </w:rPr>
        <w:t xml:space="preserve"> بنغلاديش</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وبنن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وبوليفيا (دولة - المتعددة القوميات)</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والبرازيل</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وكندا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وجمهورية أفريقيا الوسطى</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وتشاد</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والصين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وكولومبيا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وكوستاريكا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وكوت ديفوار</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وكوبا</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ومصر</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والسلفادور</w:t>
      </w:r>
      <w:r w:rsidRPr="002E513E">
        <w:rPr>
          <w:rFonts w:ascii="Simplified Arabic" w:hAnsi="Simplified Arabic" w:cs="Simplified Arabic" w:hint="cs"/>
          <w:sz w:val="24"/>
          <w:rtl/>
        </w:rPr>
        <w:t>،</w:t>
      </w:r>
      <w:r w:rsidR="00AE53EB">
        <w:rPr>
          <w:rFonts w:ascii="Simplified Arabic" w:hAnsi="Simplified Arabic" w:cs="Simplified Arabic"/>
          <w:sz w:val="24"/>
          <w:rtl/>
        </w:rPr>
        <w:t xml:space="preserve"> وإسواتيني (</w:t>
      </w:r>
      <w:r w:rsidRPr="002E513E">
        <w:rPr>
          <w:rFonts w:ascii="Simplified Arabic" w:hAnsi="Simplified Arabic" w:cs="Simplified Arabic"/>
          <w:sz w:val="24"/>
          <w:rtl/>
        </w:rPr>
        <w:t xml:space="preserve">أيضا </w:t>
      </w:r>
      <w:r w:rsidR="00AE53EB">
        <w:rPr>
          <w:rFonts w:ascii="Simplified Arabic" w:hAnsi="Simplified Arabic" w:cs="Simplified Arabic" w:hint="cs"/>
          <w:sz w:val="24"/>
          <w:rtl/>
        </w:rPr>
        <w:t>بالنيابة عن</w:t>
      </w:r>
      <w:r w:rsidRPr="002E513E">
        <w:rPr>
          <w:rFonts w:ascii="Simplified Arabic" w:hAnsi="Simplified Arabic" w:cs="Simplified Arabic"/>
          <w:sz w:val="24"/>
          <w:rtl/>
        </w:rPr>
        <w:t xml:space="preserve"> </w:t>
      </w:r>
      <w:r w:rsidR="00AE53EB">
        <w:rPr>
          <w:rFonts w:ascii="Simplified Arabic" w:hAnsi="Simplified Arabic" w:cs="Simplified Arabic" w:hint="cs"/>
          <w:rtl/>
        </w:rPr>
        <w:t>ال</w:t>
      </w:r>
      <w:r w:rsidRPr="002E513E">
        <w:rPr>
          <w:rFonts w:ascii="Simplified Arabic" w:hAnsi="Simplified Arabic" w:cs="Simplified Arabic"/>
          <w:rtl/>
        </w:rPr>
        <w:t>مجموعة الأفريقية</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و</w:t>
      </w:r>
      <w:r w:rsidRPr="002E513E">
        <w:rPr>
          <w:rFonts w:ascii="Simplified Arabic" w:hAnsi="Simplified Arabic" w:cs="Simplified Arabic"/>
          <w:sz w:val="24"/>
          <w:rtl/>
        </w:rPr>
        <w:t>الاتحاد الأوروبي</w:t>
      </w:r>
      <w:r w:rsidR="00EA685E">
        <w:rPr>
          <w:rFonts w:ascii="Simplified Arabic" w:hAnsi="Simplified Arabic" w:cs="Simplified Arabic" w:hint="cs"/>
          <w:sz w:val="24"/>
          <w:rtl/>
        </w:rPr>
        <w:t xml:space="preserve"> ودوله الأعضاء الثماني والعشرين</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غابون،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غانا،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إيران (جمهورية - الإسلامية)،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العراق،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كيريباتي،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ملاوي،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ماليزيا،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ملديف،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نيوزيلندا،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نيجيريا،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ناميبيا،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النرويج،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السنغال،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سيشيل، </w:t>
      </w:r>
      <w:r w:rsidRPr="002E513E">
        <w:rPr>
          <w:rFonts w:ascii="Simplified Arabic" w:hAnsi="Simplified Arabic" w:cs="Simplified Arabic" w:hint="cs"/>
          <w:sz w:val="24"/>
          <w:rtl/>
        </w:rPr>
        <w:t>و</w:t>
      </w:r>
      <w:r w:rsidRPr="002E513E">
        <w:rPr>
          <w:rFonts w:ascii="Simplified Arabic" w:hAnsi="Simplified Arabic" w:cs="Simplified Arabic"/>
          <w:sz w:val="24"/>
          <w:rtl/>
        </w:rPr>
        <w:t xml:space="preserve">جنوب أفريقيا، </w:t>
      </w:r>
      <w:r w:rsidRPr="002E513E">
        <w:rPr>
          <w:rFonts w:ascii="Simplified Arabic" w:hAnsi="Simplified Arabic" w:cs="Simplified Arabic" w:hint="cs"/>
          <w:sz w:val="24"/>
          <w:rtl/>
        </w:rPr>
        <w:t>و</w:t>
      </w:r>
      <w:r w:rsidRPr="002E513E">
        <w:rPr>
          <w:rFonts w:ascii="Simplified Arabic" w:hAnsi="Simplified Arabic" w:cs="Simplified Arabic"/>
          <w:sz w:val="24"/>
          <w:rtl/>
        </w:rPr>
        <w:t>تركيا وفنزويلا (جمهورية - البوليفارية)</w:t>
      </w:r>
      <w:r w:rsidRPr="002E513E">
        <w:rPr>
          <w:rFonts w:ascii="Simplified Arabic" w:hAnsi="Simplified Arabic" w:cs="Simplified Arabic" w:hint="cs"/>
          <w:sz w:val="24"/>
          <w:rtl/>
        </w:rPr>
        <w:t>.</w:t>
      </w:r>
    </w:p>
    <w:p w:rsidR="005807D5" w:rsidRPr="00477B14" w:rsidRDefault="005807D5"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واستأنف الفريق العامل نظر</w:t>
      </w:r>
      <w:r w:rsidRPr="002E513E">
        <w:rPr>
          <w:rFonts w:ascii="Simplified Arabic" w:hAnsi="Simplified Arabic" w:cs="Simplified Arabic" w:hint="cs"/>
          <w:sz w:val="24"/>
          <w:rtl/>
        </w:rPr>
        <w:t>ه</w:t>
      </w:r>
      <w:r w:rsidRPr="002E513E">
        <w:rPr>
          <w:rFonts w:ascii="Simplified Arabic" w:hAnsi="Simplified Arabic" w:cs="Simplified Arabic"/>
          <w:sz w:val="24"/>
          <w:rtl/>
        </w:rPr>
        <w:t xml:space="preserve"> في مشروع المقرر </w:t>
      </w:r>
      <w:r w:rsidR="00EA685E">
        <w:rPr>
          <w:rFonts w:ascii="Simplified Arabic" w:hAnsi="Simplified Arabic" w:cs="Simplified Arabic" w:hint="cs"/>
          <w:sz w:val="24"/>
          <w:rtl/>
        </w:rPr>
        <w:t>في</w:t>
      </w:r>
      <w:r w:rsidRPr="002E513E">
        <w:rPr>
          <w:rFonts w:ascii="Simplified Arabic" w:hAnsi="Simplified Arabic" w:cs="Simplified Arabic"/>
          <w:sz w:val="24"/>
          <w:rtl/>
        </w:rPr>
        <w:t xml:space="preserve"> </w:t>
      </w:r>
      <w:r w:rsidR="00AE53EB">
        <w:rPr>
          <w:rFonts w:ascii="Simplified Arabic" w:hAnsi="Simplified Arabic" w:cs="Simplified Arabic" w:hint="cs"/>
          <w:rtl/>
        </w:rPr>
        <w:t>جلست</w:t>
      </w:r>
      <w:r w:rsidRPr="002E513E">
        <w:rPr>
          <w:rFonts w:ascii="Simplified Arabic" w:hAnsi="Simplified Arabic" w:cs="Simplified Arabic"/>
          <w:rtl/>
        </w:rPr>
        <w:t>ه</w:t>
      </w:r>
      <w:r w:rsidRPr="002E513E">
        <w:rPr>
          <w:rFonts w:ascii="Simplified Arabic" w:hAnsi="Simplified Arabic" w:cs="Simplified Arabic"/>
          <w:sz w:val="24"/>
          <w:rtl/>
        </w:rPr>
        <w:t xml:space="preserve"> الحادي</w:t>
      </w:r>
      <w:r w:rsidR="00AE53EB">
        <w:rPr>
          <w:rFonts w:ascii="Simplified Arabic" w:hAnsi="Simplified Arabic" w:cs="Simplified Arabic" w:hint="cs"/>
          <w:sz w:val="24"/>
          <w:rtl/>
        </w:rPr>
        <w:t>ة</w:t>
      </w:r>
      <w:r w:rsidRPr="002E513E">
        <w:rPr>
          <w:rFonts w:ascii="Simplified Arabic" w:hAnsi="Simplified Arabic" w:cs="Simplified Arabic"/>
          <w:sz w:val="24"/>
          <w:rtl/>
        </w:rPr>
        <w:t xml:space="preserve"> عشر</w:t>
      </w:r>
      <w:r w:rsidR="00AE53EB">
        <w:rPr>
          <w:rFonts w:ascii="Simplified Arabic" w:hAnsi="Simplified Arabic" w:cs="Simplified Arabic" w:hint="cs"/>
          <w:sz w:val="24"/>
          <w:rtl/>
        </w:rPr>
        <w:t>ة</w:t>
      </w:r>
      <w:r w:rsidRPr="002E513E">
        <w:rPr>
          <w:rFonts w:ascii="Simplified Arabic" w:hAnsi="Simplified Arabic" w:cs="Simplified Arabic"/>
          <w:sz w:val="24"/>
          <w:rtl/>
        </w:rPr>
        <w:t>، المعقود</w:t>
      </w:r>
      <w:r w:rsidR="00AE53EB">
        <w:rPr>
          <w:rFonts w:ascii="Simplified Arabic" w:hAnsi="Simplified Arabic" w:cs="Simplified Arabic" w:hint="cs"/>
          <w:sz w:val="24"/>
          <w:rtl/>
        </w:rPr>
        <w:t>ة</w:t>
      </w:r>
      <w:r w:rsidRPr="002E513E">
        <w:rPr>
          <w:rFonts w:ascii="Simplified Arabic" w:hAnsi="Simplified Arabic" w:cs="Simplified Arabic"/>
          <w:sz w:val="24"/>
          <w:rtl/>
        </w:rPr>
        <w:t xml:space="preserve"> في 25 </w:t>
      </w:r>
      <w:r w:rsidRPr="002E513E">
        <w:rPr>
          <w:rFonts w:ascii="Simplified Arabic" w:hAnsi="Simplified Arabic" w:cs="Simplified Arabic"/>
          <w:rtl/>
        </w:rPr>
        <w:t>نوفمبر</w:t>
      </w:r>
      <w:r w:rsidRPr="002E513E">
        <w:rPr>
          <w:rFonts w:ascii="Simplified Arabic" w:hAnsi="Simplified Arabic" w:cs="Simplified Arabic" w:hint="cs"/>
          <w:rtl/>
        </w:rPr>
        <w:t>/</w:t>
      </w:r>
      <w:r w:rsidRPr="002E513E">
        <w:rPr>
          <w:rFonts w:ascii="Simplified Arabic" w:hAnsi="Simplified Arabic" w:cs="Simplified Arabic"/>
          <w:rtl/>
        </w:rPr>
        <w:t>تشرين الثاني</w:t>
      </w:r>
      <w:r w:rsidRPr="002E513E">
        <w:rPr>
          <w:rFonts w:ascii="Simplified Arabic" w:hAnsi="Simplified Arabic" w:cs="Simplified Arabic"/>
          <w:sz w:val="24"/>
          <w:rtl/>
        </w:rPr>
        <w:t xml:space="preserve"> 2018</w:t>
      </w:r>
      <w:r w:rsidRPr="002E513E">
        <w:rPr>
          <w:rFonts w:ascii="Simplified Arabic" w:hAnsi="Simplified Arabic" w:cs="Simplified Arabic" w:hint="cs"/>
          <w:sz w:val="24"/>
          <w:rtl/>
        </w:rPr>
        <w:t>.</w:t>
      </w:r>
    </w:p>
    <w:p w:rsidR="005807D5" w:rsidRPr="00477B14" w:rsidRDefault="00830816"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rtl/>
        </w:rPr>
        <w:t>و</w:t>
      </w:r>
      <w:r>
        <w:rPr>
          <w:rFonts w:ascii="Simplified Arabic" w:hAnsi="Simplified Arabic" w:cs="Simplified Arabic" w:hint="cs"/>
          <w:rtl/>
        </w:rPr>
        <w:t>أدلى ب</w:t>
      </w:r>
      <w:r w:rsidRPr="002E513E">
        <w:rPr>
          <w:rFonts w:ascii="Simplified Arabic" w:hAnsi="Simplified Arabic" w:cs="Simplified Arabic" w:hint="cs"/>
          <w:rtl/>
        </w:rPr>
        <w:t xml:space="preserve">بيانات </w:t>
      </w:r>
      <w:r w:rsidRPr="002E513E">
        <w:rPr>
          <w:rFonts w:ascii="Simplified Arabic" w:hAnsi="Simplified Arabic" w:cs="Simplified Arabic"/>
          <w:rtl/>
        </w:rPr>
        <w:t>ممثل</w:t>
      </w:r>
      <w:r>
        <w:rPr>
          <w:rFonts w:ascii="Simplified Arabic" w:hAnsi="Simplified Arabic" w:cs="Simplified Arabic" w:hint="cs"/>
          <w:rtl/>
        </w:rPr>
        <w:t>و</w:t>
      </w:r>
      <w:r w:rsidR="005807D5" w:rsidRPr="002E513E">
        <w:rPr>
          <w:rFonts w:ascii="Simplified Arabic" w:hAnsi="Simplified Arabic" w:cs="Simplified Arabic"/>
          <w:sz w:val="24"/>
          <w:rtl/>
        </w:rPr>
        <w:t xml:space="preserve"> الأرجنتين،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بنن،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بوليفيا (دولة - المتعددة القوميات)،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البرازيل،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كندا،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كوستاريكا،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إسواتيني، والاتحاد الأوروبي ودول</w:t>
      </w:r>
      <w:r w:rsidR="00AE53EB">
        <w:rPr>
          <w:rFonts w:ascii="Simplified Arabic" w:hAnsi="Simplified Arabic" w:cs="Simplified Arabic" w:hint="cs"/>
          <w:sz w:val="24"/>
          <w:rtl/>
        </w:rPr>
        <w:t>ه</w:t>
      </w:r>
      <w:r w:rsidR="005807D5" w:rsidRPr="002E513E">
        <w:rPr>
          <w:rFonts w:ascii="Simplified Arabic" w:hAnsi="Simplified Arabic" w:cs="Simplified Arabic"/>
          <w:sz w:val="24"/>
          <w:rtl/>
        </w:rPr>
        <w:t xml:space="preserve"> الأعضاء</w:t>
      </w:r>
      <w:r w:rsidR="005807D5" w:rsidRPr="002E513E">
        <w:rPr>
          <w:rFonts w:ascii="Simplified Arabic" w:hAnsi="Simplified Arabic" w:cs="Simplified Arabic" w:hint="cs"/>
          <w:sz w:val="24"/>
          <w:rtl/>
        </w:rPr>
        <w:t xml:space="preserve"> </w:t>
      </w:r>
      <w:r w:rsidR="00AE53EB">
        <w:rPr>
          <w:rFonts w:ascii="Simplified Arabic" w:hAnsi="Simplified Arabic" w:cs="Simplified Arabic" w:hint="cs"/>
          <w:sz w:val="24"/>
          <w:rtl/>
        </w:rPr>
        <w:t>الثماني والعشرين</w:t>
      </w:r>
      <w:r w:rsidR="005807D5" w:rsidRPr="002E513E">
        <w:rPr>
          <w:rFonts w:ascii="Simplified Arabic" w:hAnsi="Simplified Arabic" w:cs="Simplified Arabic" w:hint="cs"/>
          <w:sz w:val="24"/>
          <w:rtl/>
        </w:rPr>
        <w:t>،</w:t>
      </w:r>
      <w:r w:rsidR="005807D5" w:rsidRPr="002E513E">
        <w:rPr>
          <w:rFonts w:ascii="Simplified Arabic" w:hAnsi="Simplified Arabic" w:cs="Simplified Arabic"/>
          <w:sz w:val="24"/>
          <w:rtl/>
        </w:rPr>
        <w:t xml:space="preserve">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غواتيمالا،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المكسيك،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نيوزيلندا،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النرويج،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الفلبين،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جنوب أفريقيا،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 xml:space="preserve">سويسرا، </w:t>
      </w:r>
      <w:r w:rsidR="005807D5" w:rsidRPr="002E513E">
        <w:rPr>
          <w:rFonts w:ascii="Simplified Arabic" w:hAnsi="Simplified Arabic" w:cs="Simplified Arabic" w:hint="cs"/>
          <w:sz w:val="24"/>
          <w:rtl/>
        </w:rPr>
        <w:t>و</w:t>
      </w:r>
      <w:r w:rsidR="005807D5" w:rsidRPr="002E513E">
        <w:rPr>
          <w:rFonts w:ascii="Simplified Arabic" w:hAnsi="Simplified Arabic" w:cs="Simplified Arabic"/>
          <w:sz w:val="24"/>
          <w:rtl/>
        </w:rPr>
        <w:t>تركيا وفنزويلا (جمهورية - البوليفارية)</w:t>
      </w:r>
      <w:r w:rsidR="005807D5" w:rsidRPr="002E513E">
        <w:rPr>
          <w:rFonts w:ascii="Simplified Arabic" w:hAnsi="Simplified Arabic" w:cs="Simplified Arabic" w:hint="cs"/>
          <w:sz w:val="24"/>
          <w:rtl/>
        </w:rPr>
        <w:t>.</w:t>
      </w:r>
    </w:p>
    <w:p w:rsidR="005807D5" w:rsidRPr="00477B14" w:rsidRDefault="005807D5"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واستأنف الفريق العامل نظر</w:t>
      </w:r>
      <w:r w:rsidRPr="002E513E">
        <w:rPr>
          <w:rFonts w:ascii="Simplified Arabic" w:hAnsi="Simplified Arabic" w:cs="Simplified Arabic" w:hint="cs"/>
          <w:sz w:val="24"/>
          <w:rtl/>
        </w:rPr>
        <w:t>ه</w:t>
      </w:r>
      <w:r w:rsidRPr="002E513E">
        <w:rPr>
          <w:rFonts w:ascii="Simplified Arabic" w:hAnsi="Simplified Arabic" w:cs="Simplified Arabic"/>
          <w:sz w:val="24"/>
          <w:rtl/>
        </w:rPr>
        <w:t xml:space="preserve"> في مشروع المقرر </w:t>
      </w:r>
      <w:r w:rsidR="00EA685E">
        <w:rPr>
          <w:rFonts w:ascii="Simplified Arabic" w:hAnsi="Simplified Arabic" w:cs="Simplified Arabic" w:hint="cs"/>
          <w:sz w:val="24"/>
          <w:rtl/>
        </w:rPr>
        <w:t>في</w:t>
      </w:r>
      <w:r w:rsidRPr="002E513E">
        <w:rPr>
          <w:rFonts w:ascii="Simplified Arabic" w:hAnsi="Simplified Arabic" w:cs="Simplified Arabic"/>
          <w:sz w:val="24"/>
          <w:rtl/>
        </w:rPr>
        <w:t xml:space="preserve"> </w:t>
      </w:r>
      <w:r w:rsidR="00EA685E">
        <w:rPr>
          <w:rFonts w:ascii="Simplified Arabic" w:hAnsi="Simplified Arabic" w:cs="Simplified Arabic" w:hint="cs"/>
          <w:rtl/>
        </w:rPr>
        <w:t>جلست</w:t>
      </w:r>
      <w:r w:rsidRPr="002E513E">
        <w:rPr>
          <w:rFonts w:ascii="Simplified Arabic" w:hAnsi="Simplified Arabic" w:cs="Simplified Arabic"/>
          <w:rtl/>
        </w:rPr>
        <w:t>ه</w:t>
      </w:r>
      <w:r w:rsidRPr="002E513E">
        <w:rPr>
          <w:rFonts w:ascii="Simplified Arabic" w:hAnsi="Simplified Arabic" w:cs="Simplified Arabic"/>
          <w:sz w:val="24"/>
          <w:rtl/>
        </w:rPr>
        <w:t xml:space="preserve"> الثاني</w:t>
      </w:r>
      <w:r w:rsidR="00EA685E">
        <w:rPr>
          <w:rFonts w:ascii="Simplified Arabic" w:hAnsi="Simplified Arabic" w:cs="Simplified Arabic" w:hint="cs"/>
          <w:sz w:val="24"/>
          <w:rtl/>
        </w:rPr>
        <w:t>ة</w:t>
      </w:r>
      <w:r w:rsidRPr="002E513E">
        <w:rPr>
          <w:rFonts w:ascii="Simplified Arabic" w:hAnsi="Simplified Arabic" w:cs="Simplified Arabic"/>
          <w:sz w:val="24"/>
          <w:rtl/>
        </w:rPr>
        <w:t xml:space="preserve"> عشر</w:t>
      </w:r>
      <w:r w:rsidR="00EA685E">
        <w:rPr>
          <w:rFonts w:ascii="Simplified Arabic" w:hAnsi="Simplified Arabic" w:cs="Simplified Arabic" w:hint="cs"/>
          <w:sz w:val="24"/>
          <w:rtl/>
        </w:rPr>
        <w:t>ة</w:t>
      </w:r>
      <w:r w:rsidRPr="002E513E">
        <w:rPr>
          <w:rFonts w:ascii="Simplified Arabic" w:hAnsi="Simplified Arabic" w:cs="Simplified Arabic"/>
          <w:sz w:val="24"/>
          <w:rtl/>
        </w:rPr>
        <w:t>، المعقود</w:t>
      </w:r>
      <w:r w:rsidR="00EA685E">
        <w:rPr>
          <w:rFonts w:ascii="Simplified Arabic" w:hAnsi="Simplified Arabic" w:cs="Simplified Arabic" w:hint="cs"/>
          <w:sz w:val="24"/>
          <w:rtl/>
        </w:rPr>
        <w:t>ة</w:t>
      </w:r>
      <w:r w:rsidRPr="002E513E">
        <w:rPr>
          <w:rFonts w:ascii="Simplified Arabic" w:hAnsi="Simplified Arabic" w:cs="Simplified Arabic"/>
          <w:sz w:val="24"/>
          <w:rtl/>
        </w:rPr>
        <w:t xml:space="preserve"> في 25 </w:t>
      </w:r>
      <w:r w:rsidRPr="002E513E">
        <w:rPr>
          <w:rFonts w:ascii="Simplified Arabic" w:hAnsi="Simplified Arabic" w:cs="Simplified Arabic"/>
          <w:rtl/>
        </w:rPr>
        <w:t>نوفمبر</w:t>
      </w:r>
      <w:r w:rsidRPr="002E513E">
        <w:rPr>
          <w:rFonts w:ascii="Simplified Arabic" w:hAnsi="Simplified Arabic" w:cs="Simplified Arabic" w:hint="cs"/>
          <w:rtl/>
        </w:rPr>
        <w:t>/</w:t>
      </w:r>
      <w:r w:rsidRPr="002E513E">
        <w:rPr>
          <w:rFonts w:ascii="Simplified Arabic" w:hAnsi="Simplified Arabic" w:cs="Simplified Arabic"/>
          <w:rtl/>
        </w:rPr>
        <w:t>تشرين الثاني</w:t>
      </w:r>
      <w:r w:rsidRPr="002E513E">
        <w:rPr>
          <w:rFonts w:ascii="Simplified Arabic" w:hAnsi="Simplified Arabic" w:cs="Simplified Arabic"/>
          <w:sz w:val="24"/>
          <w:rtl/>
        </w:rPr>
        <w:t xml:space="preserve"> 2018</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w:t>
      </w:r>
      <w:r w:rsidRPr="002E513E">
        <w:rPr>
          <w:rFonts w:ascii="Simplified Arabic" w:hAnsi="Simplified Arabic" w:cs="Simplified Arabic" w:hint="cs"/>
          <w:rtl/>
        </w:rPr>
        <w:t>و</w:t>
      </w:r>
      <w:r w:rsidRPr="002E513E">
        <w:rPr>
          <w:rFonts w:ascii="Simplified Arabic" w:hAnsi="Simplified Arabic" w:cs="Simplified Arabic"/>
          <w:rtl/>
        </w:rPr>
        <w:t>أنشأ</w:t>
      </w:r>
      <w:r w:rsidRPr="002E513E">
        <w:rPr>
          <w:rFonts w:ascii="Simplified Arabic" w:hAnsi="Simplified Arabic" w:cs="Simplified Arabic" w:hint="cs"/>
          <w:rtl/>
        </w:rPr>
        <w:t>ت</w:t>
      </w:r>
      <w:r w:rsidRPr="002E513E">
        <w:rPr>
          <w:rFonts w:ascii="Simplified Arabic" w:hAnsi="Simplified Arabic" w:cs="Simplified Arabic"/>
          <w:rtl/>
        </w:rPr>
        <w:t xml:space="preserve"> الرئيس</w:t>
      </w:r>
      <w:r w:rsidRPr="002E513E">
        <w:rPr>
          <w:rFonts w:ascii="Simplified Arabic" w:hAnsi="Simplified Arabic" w:cs="Simplified Arabic" w:hint="cs"/>
          <w:rtl/>
        </w:rPr>
        <w:t>ة</w:t>
      </w:r>
      <w:r w:rsidRPr="002E513E">
        <w:rPr>
          <w:rFonts w:ascii="Simplified Arabic" w:hAnsi="Simplified Arabic" w:cs="Simplified Arabic"/>
          <w:rtl/>
        </w:rPr>
        <w:t xml:space="preserve"> مجموعة أصدقاء الرئيس</w:t>
      </w:r>
      <w:r w:rsidR="00EA685E">
        <w:rPr>
          <w:rFonts w:ascii="Simplified Arabic" w:hAnsi="Simplified Arabic" w:cs="Simplified Arabic" w:hint="cs"/>
          <w:sz w:val="24"/>
          <w:rtl/>
        </w:rPr>
        <w:t>ة</w:t>
      </w:r>
      <w:r w:rsidRPr="002E513E">
        <w:rPr>
          <w:rFonts w:ascii="Simplified Arabic" w:hAnsi="Simplified Arabic" w:cs="Simplified Arabic"/>
          <w:sz w:val="24"/>
          <w:rtl/>
        </w:rPr>
        <w:t>، برئاسة</w:t>
      </w:r>
      <w:r w:rsidRPr="002E513E">
        <w:rPr>
          <w:rFonts w:ascii="Simplified Arabic" w:hAnsi="Simplified Arabic" w:cs="Simplified Arabic" w:hint="cs"/>
          <w:sz w:val="24"/>
          <w:rtl/>
        </w:rPr>
        <w:t xml:space="preserve"> السيد جيل</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 xml:space="preserve">سوتين </w:t>
      </w:r>
      <w:r w:rsidRPr="002E513E">
        <w:rPr>
          <w:rFonts w:ascii="Simplified Arabic" w:hAnsi="Simplified Arabic" w:cs="Simplified Arabic"/>
          <w:sz w:val="24"/>
          <w:rtl/>
        </w:rPr>
        <w:t xml:space="preserve">(كندا)، لتحديد </w:t>
      </w:r>
      <w:r w:rsidRPr="002E513E">
        <w:rPr>
          <w:rFonts w:ascii="Simplified Arabic" w:hAnsi="Simplified Arabic" w:cs="Simplified Arabic" w:hint="cs"/>
          <w:sz w:val="24"/>
          <w:rtl/>
        </w:rPr>
        <w:t>السبيل إلى</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ا</w:t>
      </w:r>
      <w:r w:rsidRPr="002E513E">
        <w:rPr>
          <w:rFonts w:ascii="Simplified Arabic" w:hAnsi="Simplified Arabic" w:cs="Simplified Arabic"/>
          <w:sz w:val="24"/>
          <w:rtl/>
        </w:rPr>
        <w:t>لمضي قدما في</w:t>
      </w:r>
      <w:r w:rsidRPr="002E513E">
        <w:rPr>
          <w:rFonts w:ascii="Simplified Arabic" w:hAnsi="Simplified Arabic" w:cs="Simplified Arabic" w:hint="cs"/>
          <w:sz w:val="24"/>
          <w:rtl/>
        </w:rPr>
        <w:t>ما يتصل</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ب</w:t>
      </w:r>
      <w:r w:rsidRPr="002E513E">
        <w:rPr>
          <w:rFonts w:ascii="Simplified Arabic" w:hAnsi="Simplified Arabic" w:cs="Simplified Arabic"/>
          <w:sz w:val="24"/>
          <w:rtl/>
        </w:rPr>
        <w:t xml:space="preserve">النص </w:t>
      </w:r>
      <w:r w:rsidRPr="002E513E">
        <w:rPr>
          <w:rFonts w:ascii="Simplified Arabic" w:hAnsi="Simplified Arabic" w:cs="Simplified Arabic" w:hint="cs"/>
          <w:sz w:val="24"/>
          <w:rtl/>
        </w:rPr>
        <w:t>موضع الخلاف.</w:t>
      </w:r>
    </w:p>
    <w:p w:rsidR="005807D5" w:rsidRPr="00477B14" w:rsidRDefault="005807D5" w:rsidP="00EA685E">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واستأنف الفريق العامل نظر</w:t>
      </w:r>
      <w:r w:rsidRPr="002E513E">
        <w:rPr>
          <w:rFonts w:ascii="Simplified Arabic" w:hAnsi="Simplified Arabic" w:cs="Simplified Arabic" w:hint="cs"/>
          <w:sz w:val="24"/>
          <w:rtl/>
        </w:rPr>
        <w:t>ه</w:t>
      </w:r>
      <w:r w:rsidRPr="002E513E">
        <w:rPr>
          <w:rFonts w:ascii="Simplified Arabic" w:hAnsi="Simplified Arabic" w:cs="Simplified Arabic"/>
          <w:sz w:val="24"/>
          <w:rtl/>
        </w:rPr>
        <w:t xml:space="preserve"> في مشروع المقرر </w:t>
      </w:r>
      <w:r w:rsidR="00EA685E">
        <w:rPr>
          <w:rFonts w:ascii="Simplified Arabic" w:hAnsi="Simplified Arabic" w:cs="Simplified Arabic" w:hint="cs"/>
          <w:sz w:val="24"/>
          <w:rtl/>
        </w:rPr>
        <w:t>في</w:t>
      </w:r>
      <w:r w:rsidRPr="002E513E">
        <w:rPr>
          <w:rFonts w:ascii="Simplified Arabic" w:hAnsi="Simplified Arabic" w:cs="Simplified Arabic"/>
          <w:sz w:val="24"/>
          <w:rtl/>
        </w:rPr>
        <w:t xml:space="preserve"> </w:t>
      </w:r>
      <w:r w:rsidR="00EA685E">
        <w:rPr>
          <w:rFonts w:ascii="Simplified Arabic" w:hAnsi="Simplified Arabic" w:cs="Simplified Arabic" w:hint="cs"/>
          <w:rtl/>
        </w:rPr>
        <w:t>جلست</w:t>
      </w:r>
      <w:r w:rsidRPr="002E513E">
        <w:rPr>
          <w:rFonts w:ascii="Simplified Arabic" w:hAnsi="Simplified Arabic" w:cs="Simplified Arabic"/>
          <w:rtl/>
        </w:rPr>
        <w:t>ه</w:t>
      </w:r>
      <w:r w:rsidRPr="002E513E">
        <w:rPr>
          <w:rFonts w:ascii="Simplified Arabic" w:hAnsi="Simplified Arabic" w:cs="Simplified Arabic"/>
          <w:sz w:val="24"/>
          <w:rtl/>
        </w:rPr>
        <w:t xml:space="preserve"> الثالث</w:t>
      </w:r>
      <w:r w:rsidR="00EA685E">
        <w:rPr>
          <w:rFonts w:ascii="Simplified Arabic" w:hAnsi="Simplified Arabic" w:cs="Simplified Arabic" w:hint="cs"/>
          <w:sz w:val="24"/>
          <w:rtl/>
        </w:rPr>
        <w:t>ة</w:t>
      </w:r>
      <w:r w:rsidRPr="002E513E">
        <w:rPr>
          <w:rFonts w:ascii="Simplified Arabic" w:hAnsi="Simplified Arabic" w:cs="Simplified Arabic"/>
          <w:sz w:val="24"/>
          <w:rtl/>
        </w:rPr>
        <w:t xml:space="preserve"> عشر</w:t>
      </w:r>
      <w:r w:rsidR="00EA685E">
        <w:rPr>
          <w:rFonts w:ascii="Simplified Arabic" w:hAnsi="Simplified Arabic" w:cs="Simplified Arabic" w:hint="cs"/>
          <w:sz w:val="24"/>
          <w:rtl/>
        </w:rPr>
        <w:t>ة</w:t>
      </w:r>
      <w:r w:rsidRPr="002E513E">
        <w:rPr>
          <w:rFonts w:ascii="Simplified Arabic" w:hAnsi="Simplified Arabic" w:cs="Simplified Arabic"/>
          <w:sz w:val="24"/>
          <w:rtl/>
        </w:rPr>
        <w:t>، المعقود</w:t>
      </w:r>
      <w:r w:rsidR="00EA685E">
        <w:rPr>
          <w:rFonts w:ascii="Simplified Arabic" w:hAnsi="Simplified Arabic" w:cs="Simplified Arabic" w:hint="cs"/>
          <w:sz w:val="24"/>
          <w:rtl/>
        </w:rPr>
        <w:t>ة</w:t>
      </w:r>
      <w:r w:rsidRPr="002E513E">
        <w:rPr>
          <w:rFonts w:ascii="Simplified Arabic" w:hAnsi="Simplified Arabic" w:cs="Simplified Arabic"/>
          <w:sz w:val="24"/>
          <w:rtl/>
        </w:rPr>
        <w:t xml:space="preserve"> في 26 نوفمبر/تشرين الثاني 2018، بما في ذلك النص المعد</w:t>
      </w:r>
      <w:r w:rsidRPr="002E513E">
        <w:rPr>
          <w:rFonts w:ascii="Simplified Arabic" w:hAnsi="Simplified Arabic" w:cs="Simplified Arabic" w:hint="cs"/>
          <w:sz w:val="24"/>
          <w:rtl/>
        </w:rPr>
        <w:t>َّ</w:t>
      </w:r>
      <w:r w:rsidRPr="002E513E">
        <w:rPr>
          <w:rFonts w:ascii="Simplified Arabic" w:hAnsi="Simplified Arabic" w:cs="Simplified Arabic"/>
          <w:sz w:val="24"/>
          <w:rtl/>
        </w:rPr>
        <w:t>ل الذي اقترح</w:t>
      </w:r>
      <w:r w:rsidR="00194303">
        <w:rPr>
          <w:rFonts w:ascii="Simplified Arabic" w:hAnsi="Simplified Arabic" w:cs="Simplified Arabic" w:hint="cs"/>
          <w:sz w:val="24"/>
          <w:rtl/>
        </w:rPr>
        <w:t>ت</w:t>
      </w:r>
      <w:r w:rsidRPr="002E513E">
        <w:rPr>
          <w:rFonts w:ascii="Simplified Arabic" w:hAnsi="Simplified Arabic" w:cs="Simplified Arabic"/>
          <w:sz w:val="24"/>
          <w:rtl/>
        </w:rPr>
        <w:t>ه</w:t>
      </w:r>
      <w:r w:rsidR="00194303">
        <w:rPr>
          <w:rFonts w:ascii="Simplified Arabic" w:hAnsi="Simplified Arabic" w:cs="Simplified Arabic" w:hint="cs"/>
          <w:sz w:val="24"/>
          <w:rtl/>
        </w:rPr>
        <w:t xml:space="preserve"> مجموعة</w:t>
      </w:r>
      <w:r w:rsidRPr="002E513E">
        <w:rPr>
          <w:rFonts w:ascii="Simplified Arabic" w:hAnsi="Simplified Arabic" w:cs="Simplified Arabic"/>
          <w:sz w:val="24"/>
          <w:rtl/>
        </w:rPr>
        <w:t xml:space="preserve"> أصدقاء الرئيس</w:t>
      </w:r>
      <w:r w:rsidR="00EA685E">
        <w:rPr>
          <w:rFonts w:ascii="Simplified Arabic" w:hAnsi="Simplified Arabic" w:cs="Simplified Arabic" w:hint="cs"/>
          <w:sz w:val="24"/>
          <w:rtl/>
        </w:rPr>
        <w:t>ة</w:t>
      </w:r>
      <w:r w:rsidRPr="002E513E">
        <w:rPr>
          <w:rFonts w:ascii="Simplified Arabic" w:hAnsi="Simplified Arabic" w:cs="Simplified Arabic" w:hint="cs"/>
          <w:sz w:val="24"/>
          <w:rtl/>
        </w:rPr>
        <w:t>.</w:t>
      </w:r>
    </w:p>
    <w:p w:rsidR="005807D5" w:rsidRPr="00477B14" w:rsidRDefault="00830816" w:rsidP="00FF7FA5">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rtl/>
        </w:rPr>
        <w:t>و</w:t>
      </w:r>
      <w:r>
        <w:rPr>
          <w:rFonts w:ascii="Simplified Arabic" w:hAnsi="Simplified Arabic" w:cs="Simplified Arabic" w:hint="cs"/>
          <w:rtl/>
        </w:rPr>
        <w:t>أدلى ب</w:t>
      </w:r>
      <w:r w:rsidRPr="002E513E">
        <w:rPr>
          <w:rFonts w:ascii="Simplified Arabic" w:hAnsi="Simplified Arabic" w:cs="Simplified Arabic" w:hint="cs"/>
          <w:rtl/>
        </w:rPr>
        <w:t xml:space="preserve">بيانات </w:t>
      </w:r>
      <w:r w:rsidRPr="002E513E">
        <w:rPr>
          <w:rFonts w:ascii="Simplified Arabic" w:hAnsi="Simplified Arabic" w:cs="Simplified Arabic"/>
          <w:rtl/>
        </w:rPr>
        <w:t>ممثل</w:t>
      </w:r>
      <w:r>
        <w:rPr>
          <w:rFonts w:ascii="Simplified Arabic" w:hAnsi="Simplified Arabic" w:cs="Simplified Arabic" w:hint="cs"/>
          <w:rtl/>
        </w:rPr>
        <w:t>و</w:t>
      </w:r>
      <w:r w:rsidR="005807D5" w:rsidRPr="002E513E">
        <w:rPr>
          <w:rFonts w:ascii="Simplified Arabic" w:hAnsi="Simplified Arabic" w:cs="Simplified Arabic"/>
          <w:sz w:val="24"/>
          <w:rtl/>
        </w:rPr>
        <w:t xml:space="preserve"> كوت ديفوار</w:t>
      </w:r>
      <w:r w:rsidR="005807D5" w:rsidRPr="002E513E">
        <w:rPr>
          <w:rFonts w:ascii="Simplified Arabic" w:hAnsi="Simplified Arabic" w:cs="Simplified Arabic" w:hint="cs"/>
          <w:sz w:val="24"/>
          <w:rtl/>
        </w:rPr>
        <w:t>،</w:t>
      </w:r>
      <w:r w:rsidR="005807D5" w:rsidRPr="002E513E">
        <w:rPr>
          <w:rFonts w:ascii="Simplified Arabic" w:hAnsi="Simplified Arabic" w:cs="Simplified Arabic"/>
          <w:sz w:val="24"/>
          <w:rtl/>
        </w:rPr>
        <w:t xml:space="preserve"> وإيران (جمهورية - الإسلامية)</w:t>
      </w:r>
      <w:r w:rsidR="005807D5" w:rsidRPr="002E513E">
        <w:rPr>
          <w:rFonts w:ascii="Simplified Arabic" w:hAnsi="Simplified Arabic" w:cs="Simplified Arabic" w:hint="cs"/>
          <w:sz w:val="24"/>
          <w:rtl/>
        </w:rPr>
        <w:t>،</w:t>
      </w:r>
      <w:r w:rsidR="005807D5" w:rsidRPr="002E513E">
        <w:rPr>
          <w:rFonts w:ascii="Simplified Arabic" w:hAnsi="Simplified Arabic" w:cs="Simplified Arabic"/>
          <w:sz w:val="24"/>
          <w:rtl/>
        </w:rPr>
        <w:t xml:space="preserve"> وماليزيا</w:t>
      </w:r>
      <w:r w:rsidR="005807D5" w:rsidRPr="002E513E">
        <w:rPr>
          <w:rFonts w:ascii="Simplified Arabic" w:hAnsi="Simplified Arabic" w:cs="Simplified Arabic" w:hint="cs"/>
          <w:sz w:val="24"/>
          <w:rtl/>
        </w:rPr>
        <w:t>،</w:t>
      </w:r>
      <w:r w:rsidR="005807D5" w:rsidRPr="002E513E">
        <w:rPr>
          <w:rFonts w:ascii="Simplified Arabic" w:hAnsi="Simplified Arabic" w:cs="Simplified Arabic"/>
          <w:sz w:val="24"/>
          <w:rtl/>
        </w:rPr>
        <w:t xml:space="preserve"> والسنغال</w:t>
      </w:r>
      <w:r w:rsidR="005807D5" w:rsidRPr="002E513E">
        <w:rPr>
          <w:rFonts w:ascii="Simplified Arabic" w:hAnsi="Simplified Arabic" w:cs="Simplified Arabic" w:hint="cs"/>
          <w:sz w:val="24"/>
          <w:rtl/>
        </w:rPr>
        <w:t>.</w:t>
      </w:r>
    </w:p>
    <w:p w:rsidR="005807D5" w:rsidRPr="00477B14"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lang w:val="fr-CA"/>
        </w:rPr>
      </w:pPr>
      <w:r w:rsidRPr="002E513E">
        <w:rPr>
          <w:rFonts w:ascii="Simplified Arabic" w:hAnsi="Simplified Arabic" w:cs="Simplified Arabic"/>
          <w:sz w:val="24"/>
          <w:rtl/>
        </w:rPr>
        <w:t>وفيما يتعلق بالفقرة ٤ من الديباجة، ذكر</w:t>
      </w:r>
      <w:r w:rsidRPr="002E513E">
        <w:rPr>
          <w:rFonts w:ascii="Simplified Arabic" w:hAnsi="Simplified Arabic" w:cs="Simplified Arabic" w:hint="cs"/>
          <w:sz w:val="24"/>
          <w:rtl/>
        </w:rPr>
        <w:t>ت</w:t>
      </w:r>
      <w:r w:rsidRPr="002E513E">
        <w:rPr>
          <w:rFonts w:ascii="Simplified Arabic" w:hAnsi="Simplified Arabic" w:cs="Simplified Arabic"/>
          <w:sz w:val="24"/>
          <w:rtl/>
        </w:rPr>
        <w:t xml:space="preserve"> ممثل</w:t>
      </w:r>
      <w:r w:rsidRPr="002E513E">
        <w:rPr>
          <w:rFonts w:ascii="Simplified Arabic" w:hAnsi="Simplified Arabic" w:cs="Simplified Arabic" w:hint="cs"/>
          <w:sz w:val="24"/>
          <w:rtl/>
        </w:rPr>
        <w:t>ة</w:t>
      </w:r>
      <w:r w:rsidRPr="002E513E">
        <w:rPr>
          <w:rFonts w:ascii="Simplified Arabic" w:hAnsi="Simplified Arabic" w:cs="Simplified Arabic"/>
          <w:sz w:val="24"/>
          <w:rtl/>
        </w:rPr>
        <w:t xml:space="preserve"> </w:t>
      </w:r>
      <w:r w:rsidR="00194303">
        <w:rPr>
          <w:rFonts w:ascii="Simplified Arabic" w:hAnsi="Simplified Arabic" w:cs="Simplified Arabic" w:hint="cs"/>
          <w:sz w:val="24"/>
          <w:rtl/>
        </w:rPr>
        <w:t xml:space="preserve">عن </w:t>
      </w:r>
      <w:r w:rsidRPr="002E513E">
        <w:rPr>
          <w:rFonts w:ascii="Simplified Arabic" w:hAnsi="Simplified Arabic" w:cs="Simplified Arabic"/>
          <w:sz w:val="24"/>
          <w:rtl/>
        </w:rPr>
        <w:t>ماليزيا أن</w:t>
      </w:r>
      <w:r w:rsidRPr="002E513E">
        <w:rPr>
          <w:rFonts w:ascii="Simplified Arabic" w:hAnsi="Simplified Arabic" w:cs="Simplified Arabic" w:hint="cs"/>
          <w:sz w:val="24"/>
          <w:rtl/>
        </w:rPr>
        <w:t>ّ</w:t>
      </w:r>
      <w:r w:rsidRPr="002E513E">
        <w:rPr>
          <w:rFonts w:ascii="Simplified Arabic" w:hAnsi="Simplified Arabic" w:cs="Simplified Arabic"/>
          <w:sz w:val="24"/>
          <w:rtl/>
        </w:rPr>
        <w:t xml:space="preserve"> انبعاثات غازات الدفيئة </w:t>
      </w:r>
      <w:r w:rsidRPr="002E513E">
        <w:rPr>
          <w:rFonts w:ascii="Simplified Arabic" w:hAnsi="Simplified Arabic" w:cs="Simplified Arabic" w:hint="cs"/>
          <w:sz w:val="24"/>
          <w:rtl/>
        </w:rPr>
        <w:t>تزداد</w:t>
      </w:r>
      <w:r w:rsidRPr="002E513E">
        <w:rPr>
          <w:rFonts w:ascii="Simplified Arabic" w:hAnsi="Simplified Arabic" w:cs="Simplified Arabic"/>
          <w:sz w:val="24"/>
          <w:rtl/>
        </w:rPr>
        <w:t xml:space="preserve"> أيضا ب</w:t>
      </w:r>
      <w:r w:rsidRPr="002E513E">
        <w:rPr>
          <w:rFonts w:ascii="Simplified Arabic" w:hAnsi="Simplified Arabic" w:cs="Simplified Arabic" w:hint="cs"/>
          <w:sz w:val="24"/>
          <w:rtl/>
        </w:rPr>
        <w:t xml:space="preserve">فعل </w:t>
      </w:r>
      <w:r w:rsidRPr="002E513E">
        <w:rPr>
          <w:rFonts w:ascii="Simplified Arabic" w:hAnsi="Simplified Arabic" w:cs="Simplified Arabic"/>
          <w:sz w:val="24"/>
          <w:rtl/>
        </w:rPr>
        <w:t xml:space="preserve">عوامل غير تلك المذكورة وطلبت </w:t>
      </w:r>
      <w:r w:rsidRPr="002E513E">
        <w:rPr>
          <w:rFonts w:ascii="Simplified Arabic" w:hAnsi="Simplified Arabic" w:cs="Simplified Arabic" w:hint="cs"/>
          <w:sz w:val="24"/>
          <w:rtl/>
        </w:rPr>
        <w:t>إدراج</w:t>
      </w:r>
      <w:r w:rsidRPr="002E513E">
        <w:rPr>
          <w:rFonts w:ascii="Simplified Arabic" w:hAnsi="Simplified Arabic" w:cs="Simplified Arabic"/>
          <w:sz w:val="24"/>
          <w:rtl/>
        </w:rPr>
        <w:t xml:space="preserve"> </w:t>
      </w:r>
      <w:r w:rsidRPr="002E513E">
        <w:rPr>
          <w:rFonts w:ascii="Simplified Arabic" w:hAnsi="Simplified Arabic" w:cs="Simplified Arabic" w:hint="cs"/>
          <w:sz w:val="24"/>
          <w:rtl/>
        </w:rPr>
        <w:t>ال</w:t>
      </w:r>
      <w:r w:rsidRPr="002E513E">
        <w:rPr>
          <w:rFonts w:ascii="Simplified Arabic" w:hAnsi="Simplified Arabic" w:cs="Simplified Arabic"/>
          <w:sz w:val="24"/>
          <w:rtl/>
        </w:rPr>
        <w:t>شواغل</w:t>
      </w:r>
      <w:r w:rsidRPr="002E513E">
        <w:rPr>
          <w:rFonts w:ascii="Simplified Arabic" w:hAnsi="Simplified Arabic" w:cs="Simplified Arabic" w:hint="cs"/>
          <w:sz w:val="24"/>
          <w:rtl/>
        </w:rPr>
        <w:t xml:space="preserve"> التي أعربت عنها</w:t>
      </w:r>
      <w:r w:rsidRPr="002E513E">
        <w:rPr>
          <w:rFonts w:ascii="Simplified Arabic" w:hAnsi="Simplified Arabic" w:cs="Simplified Arabic"/>
          <w:sz w:val="24"/>
          <w:rtl/>
        </w:rPr>
        <w:t xml:space="preserve"> في تقرير اﻻجتماع</w:t>
      </w:r>
      <w:r w:rsidRPr="002E513E">
        <w:rPr>
          <w:rFonts w:ascii="Simplified Arabic" w:hAnsi="Simplified Arabic" w:cs="Simplified Arabic" w:hint="cs"/>
          <w:sz w:val="24"/>
          <w:rtl/>
        </w:rPr>
        <w:t>.</w:t>
      </w:r>
    </w:p>
    <w:p w:rsidR="005807D5" w:rsidRPr="002E513E" w:rsidRDefault="005807D5" w:rsidP="00FF7FA5">
      <w:pPr>
        <w:pStyle w:val="ListParagraph"/>
        <w:numPr>
          <w:ilvl w:val="0"/>
          <w:numId w:val="6"/>
        </w:numPr>
        <w:kinsoku w:val="0"/>
        <w:overflowPunct w:val="0"/>
        <w:autoSpaceDE w:val="0"/>
        <w:autoSpaceDN w:val="0"/>
        <w:bidi/>
        <w:snapToGrid w:val="0"/>
        <w:spacing w:line="216" w:lineRule="auto"/>
        <w:ind w:left="0" w:firstLine="0"/>
        <w:rPr>
          <w:rFonts w:cs="Simplified Arabic"/>
          <w:rtl/>
        </w:rPr>
      </w:pPr>
      <w:r w:rsidRPr="002E513E">
        <w:rPr>
          <w:rFonts w:ascii="Simplified Arabic" w:hAnsi="Simplified Arabic" w:cs="Simplified Arabic"/>
          <w:sz w:val="24"/>
          <w:rtl/>
        </w:rPr>
        <w:t xml:space="preserve">وبعد تبادل الآراء، وافق الفريق العامل على مشروع المقرر لإحالته إلى الجلسة العامة </w:t>
      </w:r>
      <w:r w:rsidR="00BE3594" w:rsidRPr="002E513E">
        <w:rPr>
          <w:rFonts w:ascii="Simplified Arabic" w:hAnsi="Simplified Arabic" w:cs="Simplified Arabic" w:hint="cs"/>
          <w:rtl/>
        </w:rPr>
        <w:t>بوصفه مشروع المقرر</w:t>
      </w:r>
      <w:r w:rsidRPr="002E513E">
        <w:rPr>
          <w:rFonts w:ascii="Simplified Arabic" w:hAnsi="Simplified Arabic" w:cs="Simplified Arabic" w:hint="cs"/>
          <w:rtl/>
        </w:rPr>
        <w:t xml:space="preserve"> </w:t>
      </w:r>
      <w:r w:rsidRPr="00477B14">
        <w:rPr>
          <w:lang w:val="fr-CA"/>
        </w:rPr>
        <w:t>CBD/COP/14/L.23</w:t>
      </w:r>
      <w:r w:rsidRPr="002E513E">
        <w:rPr>
          <w:rFonts w:ascii="Simplified Arabic" w:hAnsi="Simplified Arabic" w:cs="Simplified Arabic" w:hint="cs"/>
          <w:rtl/>
        </w:rPr>
        <w:t>.</w:t>
      </w:r>
    </w:p>
    <w:p w:rsidR="00D50BC6" w:rsidRPr="00997CAE" w:rsidRDefault="00EA685E" w:rsidP="00EA685E">
      <w:pPr>
        <w:pStyle w:val="ListParagraph"/>
        <w:numPr>
          <w:ilvl w:val="0"/>
          <w:numId w:val="6"/>
        </w:numPr>
        <w:kinsoku w:val="0"/>
        <w:overflowPunct w:val="0"/>
        <w:autoSpaceDE w:val="0"/>
        <w:autoSpaceDN w:val="0"/>
        <w:bidi/>
        <w:snapToGrid w:val="0"/>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23</w:t>
      </w:r>
      <w:r>
        <w:rPr>
          <w:rFonts w:cs="Simplified Arabic" w:hint="cs"/>
          <w:rtl/>
        </w:rPr>
        <w:t xml:space="preserve"> بوصفه المقرر 14/5 (للاطلاع على النص، انظر الفصل الأول).</w:t>
      </w:r>
    </w:p>
    <w:p w:rsidR="00D50BC6" w:rsidRPr="00477B14" w:rsidRDefault="00D50BC6" w:rsidP="00094717">
      <w:pPr>
        <w:pStyle w:val="Heading2"/>
        <w:rPr>
          <w:lang w:val="en-GB"/>
        </w:rPr>
      </w:pPr>
      <w:bookmarkStart w:id="239" w:name="_Toc6140025"/>
      <w:r w:rsidRPr="00997CAE">
        <w:rPr>
          <w:rFonts w:hint="cs"/>
          <w:rtl/>
        </w:rPr>
        <w:lastRenderedPageBreak/>
        <w:t>البند 22 -</w:t>
      </w:r>
      <w:r w:rsidRPr="00997CAE">
        <w:rPr>
          <w:rFonts w:hint="cs"/>
          <w:rtl/>
        </w:rPr>
        <w:tab/>
        <w:t>تعميم التنوع البيولوجي داخل القطاعات وعبرها</w:t>
      </w:r>
      <w:bookmarkEnd w:id="239"/>
    </w:p>
    <w:p w:rsidR="00C93F66" w:rsidRPr="00EA685E" w:rsidRDefault="00C93F66" w:rsidP="001C08DD">
      <w:pPr>
        <w:pStyle w:val="ListParagraph"/>
        <w:kinsoku w:val="0"/>
        <w:overflowPunct w:val="0"/>
        <w:autoSpaceDE w:val="0"/>
        <w:autoSpaceDN w:val="0"/>
        <w:bidi/>
        <w:snapToGrid w:val="0"/>
        <w:spacing w:line="216" w:lineRule="auto"/>
        <w:ind w:left="0"/>
        <w:rPr>
          <w:rFonts w:cs="Simplified Arabic"/>
          <w:b/>
          <w:bCs/>
        </w:rPr>
      </w:pPr>
      <w:r w:rsidRPr="00EA685E">
        <w:rPr>
          <w:rFonts w:cs="Simplified Arabic" w:hint="cs"/>
          <w:b/>
          <w:bCs/>
          <w:rtl/>
        </w:rPr>
        <w:t>الصحة والتنوع البيولوجي</w:t>
      </w:r>
    </w:p>
    <w:p w:rsidR="00C93F66" w:rsidRPr="002E513E" w:rsidRDefault="00C93F66" w:rsidP="007B0C3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szCs w:val="24"/>
          <w:rtl/>
        </w:rPr>
        <w:t>تناول الفريق العامل الثاني الجانب الأول من البند 22 من جدول الأعمال</w:t>
      </w:r>
      <w:r w:rsidRPr="002E513E">
        <w:rPr>
          <w:rFonts w:ascii="Simplified Arabic" w:hAnsi="Simplified Arabic" w:cs="Simplified Arabic" w:hint="cs"/>
          <w:szCs w:val="24"/>
          <w:rtl/>
        </w:rPr>
        <w:t xml:space="preserve"> في</w:t>
      </w:r>
      <w:r w:rsidRPr="002E513E">
        <w:rPr>
          <w:rFonts w:ascii="Simplified Arabic" w:hAnsi="Simplified Arabic" w:cs="Simplified Arabic"/>
          <w:szCs w:val="24"/>
          <w:rtl/>
        </w:rPr>
        <w:t xml:space="preserve"> </w:t>
      </w:r>
      <w:r w:rsidR="00EA685E">
        <w:rPr>
          <w:rFonts w:ascii="Simplified Arabic" w:hAnsi="Simplified Arabic" w:cs="Simplified Arabic" w:hint="cs"/>
          <w:szCs w:val="24"/>
          <w:rtl/>
        </w:rPr>
        <w:t>جلست</w:t>
      </w:r>
      <w:r w:rsidRPr="002E513E">
        <w:rPr>
          <w:rFonts w:ascii="Simplified Arabic" w:hAnsi="Simplified Arabic" w:cs="Simplified Arabic"/>
          <w:szCs w:val="24"/>
          <w:rtl/>
        </w:rPr>
        <w:t xml:space="preserve">ه </w:t>
      </w:r>
      <w:r w:rsidRPr="002E513E">
        <w:rPr>
          <w:rFonts w:ascii="Simplified Arabic" w:hAnsi="Simplified Arabic" w:cs="Simplified Arabic" w:hint="cs"/>
          <w:szCs w:val="24"/>
          <w:rtl/>
        </w:rPr>
        <w:t>الثالث</w:t>
      </w:r>
      <w:r w:rsidR="00EA685E">
        <w:rPr>
          <w:rFonts w:ascii="Simplified Arabic" w:hAnsi="Simplified Arabic" w:cs="Simplified Arabic" w:hint="cs"/>
          <w:szCs w:val="24"/>
          <w:rtl/>
        </w:rPr>
        <w:t>ة</w:t>
      </w:r>
      <w:r w:rsidR="00194303">
        <w:rPr>
          <w:rFonts w:ascii="Simplified Arabic" w:hAnsi="Simplified Arabic" w:cs="Simplified Arabic" w:hint="cs"/>
          <w:szCs w:val="24"/>
          <w:rtl/>
        </w:rPr>
        <w:t>،</w:t>
      </w:r>
      <w:r w:rsidRPr="002E513E">
        <w:rPr>
          <w:rFonts w:ascii="Simplified Arabic" w:hAnsi="Simplified Arabic" w:cs="Simplified Arabic"/>
          <w:szCs w:val="24"/>
          <w:rtl/>
        </w:rPr>
        <w:t xml:space="preserve"> المعقود</w:t>
      </w:r>
      <w:r w:rsidR="00EA685E">
        <w:rPr>
          <w:rFonts w:ascii="Simplified Arabic" w:hAnsi="Simplified Arabic" w:cs="Simplified Arabic" w:hint="cs"/>
          <w:szCs w:val="24"/>
          <w:rtl/>
        </w:rPr>
        <w:t>ة</w:t>
      </w:r>
      <w:r w:rsidRPr="002E513E">
        <w:rPr>
          <w:rFonts w:ascii="Simplified Arabic" w:hAnsi="Simplified Arabic" w:cs="Simplified Arabic" w:hint="cs"/>
          <w:szCs w:val="24"/>
          <w:rtl/>
        </w:rPr>
        <w:t xml:space="preserve"> في 19</w:t>
      </w:r>
      <w:r w:rsidRPr="002E513E">
        <w:rPr>
          <w:rFonts w:ascii="Simplified Arabic" w:hAnsi="Simplified Arabic" w:cs="Simplified Arabic"/>
          <w:szCs w:val="24"/>
          <w:rtl/>
        </w:rPr>
        <w:t xml:space="preserve"> نوفمبر/تشرين الثاني.</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ولدى النظر في هذا البند، كان معروضا أمام الفريق العامل</w:t>
      </w:r>
      <w:r w:rsidRPr="002E513E">
        <w:rPr>
          <w:rFonts w:ascii="Simplified Arabic" w:hAnsi="Simplified Arabic" w:cs="Simplified Arabic" w:hint="cs"/>
          <w:szCs w:val="24"/>
          <w:rtl/>
        </w:rPr>
        <w:t xml:space="preserve"> عناصر</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ل</w:t>
      </w:r>
      <w:r w:rsidRPr="002E513E">
        <w:rPr>
          <w:rFonts w:ascii="Simplified Arabic" w:hAnsi="Simplified Arabic" w:cs="Simplified Arabic"/>
          <w:szCs w:val="24"/>
          <w:rtl/>
        </w:rPr>
        <w:t>مشروع مقرر يستند إلى التوصية</w:t>
      </w:r>
      <w:r w:rsidRPr="002E513E">
        <w:rPr>
          <w:rFonts w:ascii="Simplified Arabic" w:hAnsi="Simplified Arabic" w:cs="Simplified Arabic" w:hint="cs"/>
          <w:szCs w:val="24"/>
          <w:rtl/>
        </w:rPr>
        <w:t xml:space="preserve"> 21/3 ل</w:t>
      </w:r>
      <w:r w:rsidRPr="002E513E">
        <w:rPr>
          <w:rFonts w:ascii="Simplified Arabic" w:hAnsi="Simplified Arabic" w:cs="Simplified Arabic"/>
          <w:szCs w:val="24"/>
          <w:rtl/>
        </w:rPr>
        <w:t xml:space="preserve">لهيئة الفرعية </w:t>
      </w:r>
      <w:r w:rsidRPr="002E513E">
        <w:rPr>
          <w:rFonts w:ascii="Simplified Arabic" w:hAnsi="Simplified Arabic" w:cs="Simplified Arabic" w:hint="cs"/>
          <w:szCs w:val="24"/>
          <w:rtl/>
        </w:rPr>
        <w:t>ل</w:t>
      </w:r>
      <w:r w:rsidRPr="002E513E">
        <w:rPr>
          <w:rFonts w:ascii="Simplified Arabic" w:hAnsi="Simplified Arabic" w:cs="Simplified Arabic"/>
          <w:szCs w:val="24"/>
          <w:rtl/>
        </w:rPr>
        <w:t>لمشورة العلمية والتقنية والتكنولوجية</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ال</w:t>
      </w:r>
      <w:r w:rsidR="007B0C3C">
        <w:rPr>
          <w:rFonts w:ascii="Simplified Arabic" w:hAnsi="Simplified Arabic" w:cs="Simplified Arabic" w:hint="cs"/>
          <w:szCs w:val="24"/>
          <w:rtl/>
        </w:rPr>
        <w:t>مبين</w:t>
      </w:r>
      <w:r w:rsidRPr="002E513E">
        <w:rPr>
          <w:rFonts w:ascii="Simplified Arabic" w:hAnsi="Simplified Arabic" w:cs="Simplified Arabic"/>
          <w:szCs w:val="24"/>
          <w:rtl/>
        </w:rPr>
        <w:t xml:space="preserve"> في تجميع مشاريع المقررات </w:t>
      </w:r>
      <w:r w:rsidRPr="007B0C3C">
        <w:rPr>
          <w:szCs w:val="22"/>
          <w:rtl/>
        </w:rPr>
        <w:t>(</w:t>
      </w:r>
      <w:r w:rsidRPr="007B0C3C">
        <w:rPr>
          <w:szCs w:val="22"/>
        </w:rPr>
        <w:t>CBD/COP/14/2</w:t>
      </w:r>
      <w:r w:rsidRPr="007B0C3C">
        <w:rPr>
          <w:szCs w:val="22"/>
          <w:rtl/>
        </w:rPr>
        <w:t>)</w:t>
      </w:r>
      <w:r w:rsidRPr="002E513E">
        <w:rPr>
          <w:rFonts w:ascii="Simplified Arabic" w:hAnsi="Simplified Arabic" w:cs="Simplified Arabic" w:hint="cs"/>
          <w:szCs w:val="24"/>
          <w:rtl/>
        </w:rPr>
        <w:t>.</w:t>
      </w:r>
    </w:p>
    <w:p w:rsidR="00C93F66" w:rsidRPr="002E513E" w:rsidRDefault="00C93F66" w:rsidP="007B0C3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szCs w:val="24"/>
          <w:rtl/>
        </w:rPr>
        <w:t>و</w:t>
      </w:r>
      <w:r w:rsidRPr="002E513E">
        <w:rPr>
          <w:rFonts w:ascii="Simplified Arabic" w:hAnsi="Simplified Arabic" w:cs="Simplified Arabic" w:hint="cs"/>
          <w:szCs w:val="24"/>
          <w:rtl/>
        </w:rPr>
        <w:t>استمع</w:t>
      </w:r>
      <w:r w:rsidRPr="002E513E">
        <w:rPr>
          <w:rFonts w:ascii="Simplified Arabic" w:hAnsi="Simplified Arabic" w:cs="Simplified Arabic"/>
          <w:szCs w:val="24"/>
          <w:rtl/>
        </w:rPr>
        <w:t xml:space="preserve"> الفريق العامل</w:t>
      </w:r>
      <w:r w:rsidRPr="002E513E">
        <w:rPr>
          <w:rFonts w:ascii="Simplified Arabic" w:hAnsi="Simplified Arabic" w:cs="Simplified Arabic" w:hint="cs"/>
          <w:szCs w:val="24"/>
          <w:rtl/>
        </w:rPr>
        <w:t xml:space="preserve"> إلى</w:t>
      </w:r>
      <w:r w:rsidRPr="002E513E">
        <w:rPr>
          <w:rFonts w:ascii="Simplified Arabic" w:hAnsi="Simplified Arabic" w:cs="Simplified Arabic"/>
          <w:szCs w:val="24"/>
          <w:rtl/>
        </w:rPr>
        <w:t xml:space="preserve"> بيان</w:t>
      </w:r>
      <w:r w:rsidRPr="002E513E">
        <w:rPr>
          <w:rFonts w:ascii="Simplified Arabic" w:hAnsi="Simplified Arabic" w:cs="Simplified Arabic" w:hint="cs"/>
          <w:szCs w:val="24"/>
          <w:rtl/>
        </w:rPr>
        <w:t xml:space="preserve"> مسجل</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بال</w:t>
      </w:r>
      <w:r w:rsidRPr="002E513E">
        <w:rPr>
          <w:rFonts w:ascii="Simplified Arabic" w:hAnsi="Simplified Arabic" w:cs="Simplified Arabic"/>
          <w:szCs w:val="24"/>
          <w:rtl/>
        </w:rPr>
        <w:t>فيديو أ</w:t>
      </w:r>
      <w:r w:rsidRPr="002E513E">
        <w:rPr>
          <w:rFonts w:ascii="Simplified Arabic" w:hAnsi="Simplified Arabic" w:cs="Simplified Arabic" w:hint="cs"/>
          <w:szCs w:val="24"/>
          <w:rtl/>
        </w:rPr>
        <w:t>لقاه</w:t>
      </w:r>
      <w:r w:rsidRPr="002E513E">
        <w:rPr>
          <w:rFonts w:ascii="Simplified Arabic" w:hAnsi="Simplified Arabic" w:cs="Simplified Arabic"/>
          <w:szCs w:val="24"/>
          <w:rtl/>
        </w:rPr>
        <w:t xml:space="preserve"> الدكتور تيدروس أد</w:t>
      </w:r>
      <w:r w:rsidRPr="002E513E">
        <w:rPr>
          <w:rFonts w:ascii="Simplified Arabic" w:hAnsi="Simplified Arabic" w:cs="Simplified Arabic" w:hint="cs"/>
          <w:szCs w:val="24"/>
          <w:rtl/>
        </w:rPr>
        <w:t>ه</w:t>
      </w:r>
      <w:r w:rsidRPr="002E513E">
        <w:rPr>
          <w:rFonts w:ascii="Simplified Arabic" w:hAnsi="Simplified Arabic" w:cs="Simplified Arabic"/>
          <w:szCs w:val="24"/>
          <w:rtl/>
        </w:rPr>
        <w:t>انوم غ</w:t>
      </w:r>
      <w:r w:rsidRPr="002E513E">
        <w:rPr>
          <w:rFonts w:ascii="Simplified Arabic" w:hAnsi="Simplified Arabic" w:cs="Simplified Arabic" w:hint="cs"/>
          <w:szCs w:val="24"/>
          <w:rtl/>
        </w:rPr>
        <w:t>ي</w:t>
      </w:r>
      <w:r w:rsidRPr="002E513E">
        <w:rPr>
          <w:rFonts w:ascii="Simplified Arabic" w:hAnsi="Simplified Arabic" w:cs="Simplified Arabic"/>
          <w:szCs w:val="24"/>
          <w:rtl/>
        </w:rPr>
        <w:t>بريسوس، المدير العام لمنظمة الصحة العالمية</w:t>
      </w:r>
      <w:r w:rsidRPr="002E513E">
        <w:rPr>
          <w:rFonts w:ascii="Simplified Arabic" w:hAnsi="Simplified Arabic" w:cs="Simplified Arabic" w:hint="cs"/>
          <w:szCs w:val="24"/>
          <w:rtl/>
        </w:rPr>
        <w:t xml:space="preserve"> </w:t>
      </w:r>
      <w:r w:rsidRPr="00830816">
        <w:rPr>
          <w:szCs w:val="22"/>
          <w:rtl/>
        </w:rPr>
        <w:t>(</w:t>
      </w:r>
      <w:r w:rsidRPr="00830816">
        <w:rPr>
          <w:szCs w:val="22"/>
        </w:rPr>
        <w:t>WHO</w:t>
      </w:r>
      <w:r w:rsidRPr="00830816">
        <w:rPr>
          <w:szCs w:val="22"/>
          <w:rtl/>
        </w:rPr>
        <w:t>)</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و</w:t>
      </w:r>
      <w:r w:rsidRPr="002E513E">
        <w:rPr>
          <w:rFonts w:ascii="Simplified Arabic" w:hAnsi="Simplified Arabic" w:cs="Simplified Arabic"/>
          <w:szCs w:val="24"/>
          <w:rtl/>
        </w:rPr>
        <w:t>قال الدكتور غ</w:t>
      </w:r>
      <w:r w:rsidRPr="002E513E">
        <w:rPr>
          <w:rFonts w:ascii="Simplified Arabic" w:hAnsi="Simplified Arabic" w:cs="Simplified Arabic" w:hint="cs"/>
          <w:szCs w:val="24"/>
          <w:rtl/>
        </w:rPr>
        <w:t>ي</w:t>
      </w:r>
      <w:r w:rsidRPr="002E513E">
        <w:rPr>
          <w:rFonts w:ascii="Simplified Arabic" w:hAnsi="Simplified Arabic" w:cs="Simplified Arabic"/>
          <w:szCs w:val="24"/>
          <w:rtl/>
        </w:rPr>
        <w:t>بريسوس إن</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التقدم المحرز في مجال الصحة سيذهب س</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دى إذا ظل تغير المناخ </w:t>
      </w:r>
      <w:r w:rsidRPr="002E513E">
        <w:rPr>
          <w:rFonts w:ascii="Simplified Arabic" w:hAnsi="Simplified Arabic" w:cs="Simplified Arabic" w:hint="cs"/>
          <w:szCs w:val="24"/>
          <w:rtl/>
        </w:rPr>
        <w:t xml:space="preserve">يشكل </w:t>
      </w:r>
      <w:r w:rsidRPr="002E513E">
        <w:rPr>
          <w:rFonts w:ascii="Simplified Arabic" w:hAnsi="Simplified Arabic" w:cs="Simplified Arabic"/>
          <w:szCs w:val="24"/>
          <w:rtl/>
        </w:rPr>
        <w:t xml:space="preserve">الخطر </w:t>
      </w:r>
      <w:r w:rsidRPr="002E513E">
        <w:rPr>
          <w:rFonts w:ascii="Simplified Arabic" w:hAnsi="Simplified Arabic" w:cs="Simplified Arabic" w:hint="cs"/>
          <w:szCs w:val="24"/>
          <w:rtl/>
        </w:rPr>
        <w:t>الرئيسي</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الذي يهدد</w:t>
      </w:r>
      <w:r w:rsidRPr="002E513E">
        <w:rPr>
          <w:rFonts w:ascii="Simplified Arabic" w:hAnsi="Simplified Arabic" w:cs="Simplified Arabic"/>
          <w:szCs w:val="24"/>
          <w:rtl/>
        </w:rPr>
        <w:t xml:space="preserve"> صحة الإنسان، </w:t>
      </w:r>
      <w:r w:rsidRPr="002E513E">
        <w:rPr>
          <w:rFonts w:ascii="Simplified Arabic" w:hAnsi="Simplified Arabic" w:cs="Simplified Arabic" w:hint="cs"/>
          <w:szCs w:val="24"/>
          <w:rtl/>
        </w:rPr>
        <w:t>ولا سيما</w:t>
      </w:r>
      <w:r w:rsidRPr="002E513E">
        <w:rPr>
          <w:rFonts w:ascii="Simplified Arabic" w:hAnsi="Simplified Arabic" w:cs="Simplified Arabic"/>
          <w:szCs w:val="24"/>
          <w:rtl/>
        </w:rPr>
        <w:t xml:space="preserve"> في الدول الفقيرة</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و</w:t>
      </w:r>
      <w:r w:rsidRPr="002E513E">
        <w:rPr>
          <w:rFonts w:ascii="Simplified Arabic" w:hAnsi="Simplified Arabic" w:cs="Simplified Arabic" w:hint="cs"/>
          <w:szCs w:val="24"/>
          <w:rtl/>
        </w:rPr>
        <w:t>أعلن ا</w:t>
      </w:r>
      <w:r w:rsidRPr="002E513E">
        <w:rPr>
          <w:rFonts w:ascii="Simplified Arabic" w:hAnsi="Simplified Arabic" w:cs="Simplified Arabic"/>
          <w:szCs w:val="24"/>
          <w:rtl/>
        </w:rPr>
        <w:t>ل</w:t>
      </w:r>
      <w:r w:rsidRPr="002E513E">
        <w:rPr>
          <w:rFonts w:ascii="Simplified Arabic" w:hAnsi="Simplified Arabic" w:cs="Simplified Arabic" w:hint="cs"/>
          <w:szCs w:val="24"/>
          <w:rtl/>
        </w:rPr>
        <w:t>ت</w:t>
      </w:r>
      <w:r w:rsidRPr="002E513E">
        <w:rPr>
          <w:rFonts w:ascii="Simplified Arabic" w:hAnsi="Simplified Arabic" w:cs="Simplified Arabic"/>
          <w:szCs w:val="24"/>
          <w:rtl/>
        </w:rPr>
        <w:t>ز</w:t>
      </w:r>
      <w:r w:rsidRPr="002E513E">
        <w:rPr>
          <w:rFonts w:ascii="Simplified Arabic" w:hAnsi="Simplified Arabic" w:cs="Simplified Arabic" w:hint="cs"/>
          <w:szCs w:val="24"/>
          <w:rtl/>
        </w:rPr>
        <w:t>ا</w:t>
      </w:r>
      <w:r w:rsidRPr="002E513E">
        <w:rPr>
          <w:rFonts w:ascii="Simplified Arabic" w:hAnsi="Simplified Arabic" w:cs="Simplified Arabic"/>
          <w:szCs w:val="24"/>
          <w:rtl/>
        </w:rPr>
        <w:t xml:space="preserve">م المنظمة بالعمل عن كثب مع </w:t>
      </w:r>
      <w:r w:rsidRPr="002E513E">
        <w:rPr>
          <w:rFonts w:ascii="Simplified Arabic" w:hAnsi="Simplified Arabic" w:cs="Simplified Arabic" w:hint="cs"/>
          <w:szCs w:val="24"/>
          <w:rtl/>
        </w:rPr>
        <w:t xml:space="preserve">أمانة </w:t>
      </w:r>
      <w:r w:rsidRPr="002E513E">
        <w:rPr>
          <w:rFonts w:ascii="Simplified Arabic" w:hAnsi="Simplified Arabic" w:cs="Simplified Arabic"/>
          <w:szCs w:val="24"/>
          <w:rtl/>
        </w:rPr>
        <w:t xml:space="preserve">اتفاقية التنوع البيولوجي </w:t>
      </w:r>
      <w:r w:rsidRPr="002E513E">
        <w:rPr>
          <w:rFonts w:ascii="Simplified Arabic" w:hAnsi="Simplified Arabic" w:cs="Simplified Arabic" w:hint="cs"/>
          <w:szCs w:val="24"/>
          <w:rtl/>
        </w:rPr>
        <w:t>ل</w:t>
      </w:r>
      <w:r w:rsidRPr="002E513E">
        <w:rPr>
          <w:rFonts w:ascii="Simplified Arabic" w:hAnsi="Simplified Arabic" w:cs="Simplified Arabic"/>
          <w:szCs w:val="24"/>
          <w:rtl/>
        </w:rPr>
        <w:t>ضمان</w:t>
      </w:r>
      <w:r w:rsidRPr="002E513E">
        <w:rPr>
          <w:rFonts w:ascii="Simplified Arabic" w:hAnsi="Simplified Arabic" w:cs="Simplified Arabic" w:hint="cs"/>
          <w:szCs w:val="24"/>
          <w:rtl/>
        </w:rPr>
        <w:t xml:space="preserve"> زيادة مستوى السلامة والإنصاف في الرعاية</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ال</w:t>
      </w:r>
      <w:r w:rsidRPr="002E513E">
        <w:rPr>
          <w:rFonts w:ascii="Simplified Arabic" w:hAnsi="Simplified Arabic" w:cs="Simplified Arabic"/>
          <w:szCs w:val="24"/>
          <w:rtl/>
        </w:rPr>
        <w:t>صح</w:t>
      </w:r>
      <w:r w:rsidRPr="002E513E">
        <w:rPr>
          <w:rFonts w:ascii="Simplified Arabic" w:hAnsi="Simplified Arabic" w:cs="Simplified Arabic" w:hint="cs"/>
          <w:szCs w:val="24"/>
          <w:rtl/>
        </w:rPr>
        <w:t>ي</w:t>
      </w:r>
      <w:r w:rsidRPr="002E513E">
        <w:rPr>
          <w:rFonts w:ascii="Simplified Arabic" w:hAnsi="Simplified Arabic" w:cs="Simplified Arabic"/>
          <w:szCs w:val="24"/>
          <w:rtl/>
        </w:rPr>
        <w:t>ة</w:t>
      </w:r>
      <w:r w:rsidRPr="002E513E">
        <w:rPr>
          <w:rFonts w:ascii="Simplified Arabic" w:hAnsi="Simplified Arabic" w:cs="Simplified Arabic" w:hint="cs"/>
          <w:szCs w:val="24"/>
          <w:rtl/>
        </w:rPr>
        <w:t>.</w:t>
      </w:r>
    </w:p>
    <w:p w:rsidR="00C93F66" w:rsidRPr="002E513E" w:rsidRDefault="00C93F66"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قالت الرئيسة إنها ست</w:t>
      </w:r>
      <w:r w:rsidRPr="002E513E">
        <w:rPr>
          <w:rFonts w:ascii="Simplified Arabic" w:hAnsi="Simplified Arabic" w:cs="Simplified Arabic" w:hint="cs"/>
          <w:szCs w:val="24"/>
          <w:rtl/>
        </w:rPr>
        <w:t>عد</w:t>
      </w:r>
      <w:r w:rsidRPr="002E513E">
        <w:rPr>
          <w:rFonts w:ascii="Simplified Arabic" w:hAnsi="Simplified Arabic" w:cs="Simplified Arabic"/>
          <w:szCs w:val="24"/>
          <w:rtl/>
        </w:rPr>
        <w:t xml:space="preserve"> مشروع مقرر</w:t>
      </w:r>
      <w:r w:rsidRPr="002E513E">
        <w:rPr>
          <w:rFonts w:ascii="Simplified Arabic" w:hAnsi="Simplified Arabic" w:cs="Simplified Arabic" w:hint="cs"/>
          <w:szCs w:val="24"/>
          <w:rtl/>
        </w:rPr>
        <w:t xml:space="preserve"> ل</w:t>
      </w:r>
      <w:r w:rsidRPr="002E513E">
        <w:rPr>
          <w:rFonts w:ascii="Simplified Arabic" w:hAnsi="Simplified Arabic" w:cs="Simplified Arabic"/>
          <w:szCs w:val="24"/>
          <w:rtl/>
        </w:rPr>
        <w:t>ينظر فيه الفريق العامل</w:t>
      </w:r>
      <w:r w:rsidRPr="002E513E">
        <w:rPr>
          <w:rFonts w:ascii="Simplified Arabic" w:hAnsi="Simplified Arabic" w:cs="Simplified Arabic" w:hint="cs"/>
          <w:szCs w:val="24"/>
          <w:rtl/>
        </w:rPr>
        <w:t>.</w:t>
      </w:r>
    </w:p>
    <w:p w:rsidR="00C93F66" w:rsidRPr="002E513E" w:rsidRDefault="00C93F66" w:rsidP="007B0C3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hint="cs"/>
          <w:szCs w:val="24"/>
          <w:rtl/>
        </w:rPr>
        <w:t>و</w:t>
      </w:r>
      <w:r w:rsidR="00830816">
        <w:rPr>
          <w:rFonts w:ascii="Simplified Arabic" w:hAnsi="Simplified Arabic" w:cs="Simplified Arabic" w:hint="cs"/>
          <w:szCs w:val="24"/>
          <w:rtl/>
        </w:rPr>
        <w:t>في جلسته</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السادس</w:t>
      </w:r>
      <w:r w:rsidR="00830816">
        <w:rPr>
          <w:rFonts w:ascii="Simplified Arabic" w:hAnsi="Simplified Arabic" w:cs="Simplified Arabic" w:hint="cs"/>
          <w:szCs w:val="24"/>
          <w:rtl/>
        </w:rPr>
        <w:t>ة</w:t>
      </w:r>
      <w:r w:rsidRPr="002E513E">
        <w:rPr>
          <w:rFonts w:ascii="Simplified Arabic" w:hAnsi="Simplified Arabic" w:cs="Simplified Arabic"/>
          <w:szCs w:val="24"/>
          <w:rtl/>
        </w:rPr>
        <w:t>، المعقود</w:t>
      </w:r>
      <w:r w:rsidR="00830816">
        <w:rPr>
          <w:rFonts w:ascii="Simplified Arabic" w:hAnsi="Simplified Arabic" w:cs="Simplified Arabic" w:hint="cs"/>
          <w:szCs w:val="24"/>
          <w:rtl/>
        </w:rPr>
        <w:t>ة</w:t>
      </w:r>
      <w:r w:rsidRPr="002E513E">
        <w:rPr>
          <w:rFonts w:ascii="Simplified Arabic" w:hAnsi="Simplified Arabic" w:cs="Simplified Arabic"/>
          <w:szCs w:val="24"/>
          <w:rtl/>
        </w:rPr>
        <w:t xml:space="preserve"> في 21 نوفمبر/تشرين الثاني 2018، </w:t>
      </w:r>
      <w:r w:rsidR="007B0C3C">
        <w:rPr>
          <w:rFonts w:ascii="Simplified Arabic" w:hAnsi="Simplified Arabic" w:cs="Simplified Arabic" w:hint="cs"/>
          <w:szCs w:val="24"/>
          <w:rtl/>
        </w:rPr>
        <w:t xml:space="preserve">نظر الفريق العامل </w:t>
      </w:r>
      <w:r w:rsidRPr="002E513E">
        <w:rPr>
          <w:rFonts w:ascii="Simplified Arabic" w:hAnsi="Simplified Arabic" w:cs="Simplified Arabic"/>
          <w:szCs w:val="24"/>
          <w:rtl/>
        </w:rPr>
        <w:t>في مشروع المقرر المقدم من الرئيس</w:t>
      </w:r>
      <w:r w:rsidRPr="002E513E">
        <w:rPr>
          <w:rFonts w:ascii="Simplified Arabic" w:hAnsi="Simplified Arabic" w:cs="Simplified Arabic" w:hint="cs"/>
          <w:szCs w:val="24"/>
          <w:rtl/>
        </w:rPr>
        <w:t>ة.</w:t>
      </w:r>
    </w:p>
    <w:p w:rsidR="00C93F66" w:rsidRPr="002E513E" w:rsidRDefault="00830816" w:rsidP="007B0C3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830816">
        <w:rPr>
          <w:rFonts w:ascii="Simplified Arabic" w:hAnsi="Simplified Arabic" w:cs="Simplified Arabic"/>
          <w:sz w:val="24"/>
          <w:szCs w:val="24"/>
          <w:rtl/>
        </w:rPr>
        <w:t>و</w:t>
      </w:r>
      <w:r w:rsidRPr="00830816">
        <w:rPr>
          <w:rFonts w:ascii="Simplified Arabic" w:hAnsi="Simplified Arabic" w:cs="Simplified Arabic" w:hint="cs"/>
          <w:sz w:val="24"/>
          <w:szCs w:val="24"/>
          <w:rtl/>
        </w:rPr>
        <w:t xml:space="preserve">أدلى ببيانات </w:t>
      </w:r>
      <w:r w:rsidRPr="00830816">
        <w:rPr>
          <w:rFonts w:ascii="Simplified Arabic" w:hAnsi="Simplified Arabic" w:cs="Simplified Arabic"/>
          <w:sz w:val="24"/>
          <w:szCs w:val="24"/>
          <w:rtl/>
        </w:rPr>
        <w:t>ممثل</w:t>
      </w:r>
      <w:r w:rsidRPr="00830816">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 xml:space="preserve"> الأرجنتين</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وبوليفيا (دولة - المتعددة القوميات)</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والبرازيل</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وكولومبيا</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ومصر</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والاتحاد الأوروبي</w:t>
      </w:r>
      <w:r w:rsidR="007B0C3C">
        <w:rPr>
          <w:rFonts w:ascii="Simplified Arabic" w:hAnsi="Simplified Arabic" w:cs="Simplified Arabic" w:hint="cs"/>
          <w:sz w:val="24"/>
          <w:szCs w:val="24"/>
          <w:rtl/>
        </w:rPr>
        <w:t xml:space="preserve"> ودوله الأعضاء الثماني والعشرين</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وغامبيا</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وغانا</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وغواتيمالا</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والمكسيك</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والنرويج</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والفلبين</w:t>
      </w:r>
      <w:r w:rsidR="00C93F66" w:rsidRPr="002E513E">
        <w:rPr>
          <w:rFonts w:ascii="Simplified Arabic" w:hAnsi="Simplified Arabic" w:cs="Simplified Arabic" w:hint="cs"/>
          <w:sz w:val="24"/>
          <w:szCs w:val="24"/>
          <w:rtl/>
        </w:rPr>
        <w:t>،</w:t>
      </w:r>
      <w:r w:rsidR="00C93F66" w:rsidRPr="002E513E">
        <w:rPr>
          <w:rFonts w:ascii="Simplified Arabic" w:hAnsi="Simplified Arabic" w:cs="Simplified Arabic"/>
          <w:sz w:val="24"/>
          <w:szCs w:val="24"/>
          <w:rtl/>
        </w:rPr>
        <w:t xml:space="preserve"> وسنغافورة وسويسرا</w:t>
      </w:r>
      <w:r w:rsidR="00C93F66" w:rsidRPr="002E513E">
        <w:rPr>
          <w:rFonts w:ascii="Simplified Arabic" w:hAnsi="Simplified Arabic" w:cs="Simplified Arabic" w:hint="cs"/>
          <w:sz w:val="24"/>
          <w:szCs w:val="24"/>
          <w:rtl/>
        </w:rPr>
        <w:t>.</w:t>
      </w:r>
    </w:p>
    <w:p w:rsidR="00C93F66" w:rsidRPr="002E513E" w:rsidRDefault="00C93F66" w:rsidP="00B634A0">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واصل الفريق العامل الثاني</w:t>
      </w:r>
      <w:r w:rsidRPr="002E513E">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 xml:space="preserve">نظره في مشروع المقرر في </w:t>
      </w:r>
      <w:r w:rsidR="007B0C3C">
        <w:rPr>
          <w:rFonts w:ascii="Simplified Arabic" w:hAnsi="Simplified Arabic" w:cs="Simplified Arabic" w:hint="cs"/>
          <w:szCs w:val="24"/>
          <w:rtl/>
        </w:rPr>
        <w:t>جلست</w:t>
      </w:r>
      <w:r w:rsidRPr="002E513E">
        <w:rPr>
          <w:rFonts w:ascii="Simplified Arabic" w:hAnsi="Simplified Arabic" w:cs="Simplified Arabic" w:hint="cs"/>
          <w:szCs w:val="24"/>
          <w:rtl/>
        </w:rPr>
        <w:t xml:space="preserve">ه </w:t>
      </w:r>
      <w:r w:rsidRPr="002E513E">
        <w:rPr>
          <w:rFonts w:ascii="Simplified Arabic" w:hAnsi="Simplified Arabic" w:cs="Simplified Arabic"/>
          <w:sz w:val="24"/>
          <w:szCs w:val="24"/>
          <w:rtl/>
        </w:rPr>
        <w:t>السابع</w:t>
      </w:r>
      <w:r w:rsidR="007B0C3C">
        <w:rPr>
          <w:rFonts w:ascii="Simplified Arabic" w:hAnsi="Simplified Arabic" w:cs="Simplified Arabic" w:hint="cs"/>
          <w:sz w:val="24"/>
          <w:szCs w:val="24"/>
          <w:rtl/>
        </w:rPr>
        <w:t>ة</w:t>
      </w:r>
      <w:r w:rsidRPr="002E513E">
        <w:rPr>
          <w:rFonts w:ascii="Simplified Arabic" w:hAnsi="Simplified Arabic" w:cs="Simplified Arabic"/>
          <w:sz w:val="24"/>
          <w:szCs w:val="24"/>
          <w:rtl/>
        </w:rPr>
        <w:t>، المعقود</w:t>
      </w:r>
      <w:r w:rsidR="007B0C3C">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في 21 </w:t>
      </w:r>
      <w:r w:rsidR="00B634A0">
        <w:rPr>
          <w:rFonts w:ascii="Simplified Arabic" w:hAnsi="Simplified Arabic" w:cs="Simplified Arabic" w:hint="cs"/>
          <w:sz w:val="24"/>
          <w:szCs w:val="24"/>
          <w:rtl/>
        </w:rPr>
        <w:t>نوفمبر/</w:t>
      </w:r>
      <w:r w:rsidRPr="002E513E">
        <w:rPr>
          <w:rFonts w:ascii="Simplified Arabic" w:hAnsi="Simplified Arabic" w:cs="Simplified Arabic"/>
          <w:sz w:val="24"/>
          <w:szCs w:val="24"/>
          <w:rtl/>
        </w:rPr>
        <w:t>تشرين الثاني 2018</w:t>
      </w:r>
      <w:r w:rsidRPr="002E513E">
        <w:rPr>
          <w:rFonts w:ascii="Simplified Arabic" w:hAnsi="Simplified Arabic" w:cs="Simplified Arabic" w:hint="cs"/>
          <w:sz w:val="24"/>
          <w:szCs w:val="24"/>
          <w:rtl/>
        </w:rPr>
        <w:t>.</w:t>
      </w:r>
    </w:p>
    <w:p w:rsidR="00C93F66" w:rsidRPr="002E513E" w:rsidRDefault="00830816" w:rsidP="007B0C3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830816">
        <w:rPr>
          <w:rFonts w:ascii="Simplified Arabic" w:hAnsi="Simplified Arabic" w:cs="Simplified Arabic"/>
          <w:sz w:val="24"/>
          <w:szCs w:val="24"/>
          <w:rtl/>
        </w:rPr>
        <w:t>و</w:t>
      </w:r>
      <w:r w:rsidRPr="00830816">
        <w:rPr>
          <w:rFonts w:ascii="Simplified Arabic" w:hAnsi="Simplified Arabic" w:cs="Simplified Arabic" w:hint="cs"/>
          <w:sz w:val="24"/>
          <w:szCs w:val="24"/>
          <w:rtl/>
        </w:rPr>
        <w:t xml:space="preserve">أدلى ببيانات </w:t>
      </w:r>
      <w:r w:rsidRPr="00830816">
        <w:rPr>
          <w:rFonts w:ascii="Simplified Arabic" w:hAnsi="Simplified Arabic" w:cs="Simplified Arabic"/>
          <w:sz w:val="24"/>
          <w:szCs w:val="24"/>
          <w:rtl/>
        </w:rPr>
        <w:t>ممثل</w:t>
      </w:r>
      <w:r w:rsidRPr="00830816">
        <w:rPr>
          <w:rFonts w:ascii="Simplified Arabic" w:hAnsi="Simplified Arabic" w:cs="Simplified Arabic" w:hint="cs"/>
          <w:sz w:val="24"/>
          <w:szCs w:val="24"/>
          <w:rtl/>
        </w:rPr>
        <w:t>و</w:t>
      </w:r>
      <w:r w:rsidR="00C93F66" w:rsidRPr="00830816">
        <w:rPr>
          <w:rFonts w:ascii="Simplified Arabic" w:hAnsi="Simplified Arabic" w:cs="Simplified Arabic"/>
          <w:sz w:val="28"/>
          <w:szCs w:val="28"/>
          <w:rtl/>
        </w:rPr>
        <w:t xml:space="preserve"> </w:t>
      </w:r>
      <w:r w:rsidR="00C93F66" w:rsidRPr="002E513E">
        <w:rPr>
          <w:rFonts w:ascii="Simplified Arabic" w:hAnsi="Simplified Arabic" w:cs="Simplified Arabic"/>
          <w:sz w:val="24"/>
          <w:szCs w:val="24"/>
          <w:rtl/>
        </w:rPr>
        <w:t xml:space="preserve">البرازيل، </w:t>
      </w:r>
      <w:r w:rsidR="00C93F66" w:rsidRPr="002E513E">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 xml:space="preserve">كولومبيا، </w:t>
      </w:r>
      <w:r w:rsidR="00C93F66" w:rsidRPr="002E513E">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 xml:space="preserve">مصر، والاتحاد الأوروبي </w:t>
      </w:r>
      <w:r w:rsidR="00AE53EB" w:rsidRPr="00AE53EB">
        <w:rPr>
          <w:rFonts w:ascii="Simplified Arabic" w:hAnsi="Simplified Arabic" w:cs="Simplified Arabic"/>
          <w:sz w:val="24"/>
          <w:szCs w:val="24"/>
          <w:rtl/>
        </w:rPr>
        <w:t>ودول</w:t>
      </w:r>
      <w:r w:rsidR="00AE53EB" w:rsidRPr="00AE53EB">
        <w:rPr>
          <w:rFonts w:ascii="Simplified Arabic" w:hAnsi="Simplified Arabic" w:cs="Simplified Arabic" w:hint="cs"/>
          <w:sz w:val="24"/>
          <w:szCs w:val="24"/>
          <w:rtl/>
        </w:rPr>
        <w:t>ه</w:t>
      </w:r>
      <w:r w:rsidR="00AE53EB" w:rsidRPr="00AE53EB">
        <w:rPr>
          <w:rFonts w:ascii="Simplified Arabic" w:hAnsi="Simplified Arabic" w:cs="Simplified Arabic"/>
          <w:sz w:val="24"/>
          <w:szCs w:val="24"/>
          <w:rtl/>
        </w:rPr>
        <w:t xml:space="preserve"> الأعضاء</w:t>
      </w:r>
      <w:r w:rsidR="00AE53EB" w:rsidRPr="00AE53EB">
        <w:rPr>
          <w:rFonts w:ascii="Simplified Arabic" w:hAnsi="Simplified Arabic" w:cs="Simplified Arabic" w:hint="cs"/>
          <w:sz w:val="24"/>
          <w:szCs w:val="24"/>
          <w:rtl/>
        </w:rPr>
        <w:t xml:space="preserve"> الثماني والعشرين،</w:t>
      </w:r>
      <w:r w:rsidR="00C93F66" w:rsidRPr="002E513E">
        <w:rPr>
          <w:rFonts w:ascii="Simplified Arabic" w:hAnsi="Simplified Arabic" w:cs="Simplified Arabic"/>
          <w:sz w:val="24"/>
          <w:szCs w:val="24"/>
          <w:rtl/>
        </w:rPr>
        <w:t xml:space="preserve"> </w:t>
      </w:r>
      <w:r w:rsidR="00C93F66" w:rsidRPr="002E513E">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 xml:space="preserve">غانا، </w:t>
      </w:r>
      <w:r w:rsidR="00C93F66" w:rsidRPr="002E513E">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 xml:space="preserve">غواتيمالا، </w:t>
      </w:r>
      <w:r w:rsidR="00C93F66" w:rsidRPr="002E513E">
        <w:rPr>
          <w:rFonts w:ascii="Simplified Arabic" w:hAnsi="Simplified Arabic" w:cs="Simplified Arabic" w:hint="cs"/>
          <w:sz w:val="24"/>
          <w:szCs w:val="24"/>
          <w:rtl/>
        </w:rPr>
        <w:t>و</w:t>
      </w:r>
      <w:r w:rsidR="00C93F66" w:rsidRPr="002E513E">
        <w:rPr>
          <w:rFonts w:ascii="Simplified Arabic" w:hAnsi="Simplified Arabic" w:cs="Simplified Arabic"/>
          <w:sz w:val="24"/>
          <w:szCs w:val="24"/>
          <w:rtl/>
        </w:rPr>
        <w:t>الفلبين والمملكة العربية السعودية</w:t>
      </w:r>
      <w:r w:rsidR="00C93F66" w:rsidRPr="002E513E">
        <w:rPr>
          <w:rFonts w:ascii="Simplified Arabic" w:hAnsi="Simplified Arabic" w:cs="Simplified Arabic" w:hint="cs"/>
          <w:sz w:val="24"/>
          <w:szCs w:val="24"/>
          <w:rtl/>
        </w:rPr>
        <w:t>.</w:t>
      </w:r>
    </w:p>
    <w:p w:rsidR="00356B18" w:rsidRPr="002E513E" w:rsidRDefault="00C93F66"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szCs w:val="24"/>
          <w:rtl/>
        </w:rPr>
        <w:t xml:space="preserve">وبعد تبادل الآراء، </w:t>
      </w:r>
      <w:r w:rsidRPr="002E513E">
        <w:rPr>
          <w:rFonts w:ascii="Simplified Arabic" w:hAnsi="Simplified Arabic" w:cs="Simplified Arabic" w:hint="cs"/>
          <w:szCs w:val="24"/>
          <w:rtl/>
        </w:rPr>
        <w:t>وُوفق</w:t>
      </w:r>
      <w:r w:rsidRPr="002E513E">
        <w:rPr>
          <w:rFonts w:ascii="Simplified Arabic" w:hAnsi="Simplified Arabic" w:cs="Simplified Arabic"/>
          <w:szCs w:val="24"/>
          <w:rtl/>
        </w:rPr>
        <w:t xml:space="preserve"> على مشروع المقرر، بصيغته المعدلة شفويا</w:t>
      </w:r>
      <w:r w:rsidR="00AE53EB">
        <w:rPr>
          <w:rFonts w:ascii="Simplified Arabic" w:hAnsi="Simplified Arabic" w:cs="Simplified Arabic" w:hint="cs"/>
          <w:szCs w:val="24"/>
          <w:rtl/>
        </w:rPr>
        <w:t>ً</w:t>
      </w:r>
      <w:r w:rsidRPr="002E513E">
        <w:rPr>
          <w:rFonts w:ascii="Simplified Arabic" w:hAnsi="Simplified Arabic" w:cs="Simplified Arabic"/>
          <w:szCs w:val="24"/>
          <w:rtl/>
        </w:rPr>
        <w:t xml:space="preserve">، لإحالته إلى الجلسة العامة </w:t>
      </w:r>
      <w:r w:rsidR="00BE3594" w:rsidRPr="002E513E">
        <w:rPr>
          <w:rFonts w:ascii="Simplified Arabic" w:hAnsi="Simplified Arabic" w:cs="Simplified Arabic" w:hint="cs"/>
          <w:szCs w:val="24"/>
          <w:rtl/>
        </w:rPr>
        <w:t xml:space="preserve">بوصفه مشروع المقرر </w:t>
      </w:r>
      <w:r w:rsidRPr="002E513E">
        <w:t>CBD/COP/14/L.4</w:t>
      </w:r>
      <w:r w:rsidRPr="002E513E">
        <w:rPr>
          <w:rFonts w:ascii="Simplified Arabic" w:hAnsi="Simplified Arabic" w:cs="Simplified Arabic" w:hint="cs"/>
          <w:szCs w:val="24"/>
          <w:rtl/>
        </w:rPr>
        <w:t>.</w:t>
      </w:r>
    </w:p>
    <w:p w:rsidR="004922D5" w:rsidRPr="004922D5" w:rsidRDefault="004922D5" w:rsidP="00532BEB">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4922D5">
        <w:rPr>
          <w:rFonts w:cs="Simplified Arabic" w:hint="cs"/>
          <w:szCs w:val="24"/>
          <w:rtl/>
        </w:rPr>
        <w:t>وفي الجلسة العامة ال</w:t>
      </w:r>
      <w:r>
        <w:rPr>
          <w:rFonts w:cs="Simplified Arabic" w:hint="cs"/>
          <w:szCs w:val="24"/>
          <w:rtl/>
        </w:rPr>
        <w:t>رابع</w:t>
      </w:r>
      <w:r w:rsidRPr="004922D5">
        <w:rPr>
          <w:rFonts w:cs="Simplified Arabic" w:hint="cs"/>
          <w:szCs w:val="24"/>
          <w:rtl/>
        </w:rPr>
        <w:t>ة للاجتماع، المنعقدة في 2</w:t>
      </w:r>
      <w:r>
        <w:rPr>
          <w:rFonts w:cs="Simplified Arabic" w:hint="cs"/>
          <w:szCs w:val="24"/>
          <w:rtl/>
        </w:rPr>
        <w:t>2</w:t>
      </w:r>
      <w:r w:rsidRPr="004922D5">
        <w:rPr>
          <w:rFonts w:cs="Simplified Arabic" w:hint="cs"/>
          <w:szCs w:val="24"/>
          <w:rtl/>
        </w:rPr>
        <w:t xml:space="preserve"> نوفمبر/تشرين الثاني 2018، اعتمد مؤتمر الأطراف مشروع المقرر </w:t>
      </w:r>
      <w:r w:rsidRPr="004922D5">
        <w:rPr>
          <w:rFonts w:cs="Simplified Arabic"/>
          <w:szCs w:val="24"/>
        </w:rPr>
        <w:t>CBD/COP/14/L.</w:t>
      </w:r>
      <w:r>
        <w:rPr>
          <w:rFonts w:cs="Simplified Arabic"/>
          <w:szCs w:val="24"/>
        </w:rPr>
        <w:t>4</w:t>
      </w:r>
      <w:r w:rsidRPr="004922D5">
        <w:rPr>
          <w:rFonts w:cs="Simplified Arabic" w:hint="cs"/>
          <w:szCs w:val="24"/>
          <w:rtl/>
        </w:rPr>
        <w:t>،</w:t>
      </w:r>
      <w:r w:rsidRPr="004922D5">
        <w:rPr>
          <w:rFonts w:cs="Simplified Arabic" w:hint="cs"/>
          <w:szCs w:val="24"/>
          <w:rtl/>
          <w:lang w:val="fr-CH"/>
        </w:rPr>
        <w:t xml:space="preserve"> بوصفه المقرر 14/</w:t>
      </w:r>
      <w:r w:rsidR="007B0C3C">
        <w:rPr>
          <w:rFonts w:cs="Simplified Arabic" w:hint="cs"/>
          <w:szCs w:val="24"/>
          <w:rtl/>
          <w:lang w:val="fr-CH"/>
        </w:rPr>
        <w:t>4 (للاطلاع على الن</w:t>
      </w:r>
      <w:r w:rsidR="00532BEB">
        <w:rPr>
          <w:rFonts w:cs="Simplified Arabic" w:hint="cs"/>
          <w:szCs w:val="24"/>
          <w:rtl/>
          <w:lang w:val="fr-CH"/>
        </w:rPr>
        <w:t>ص</w:t>
      </w:r>
      <w:r w:rsidR="007B0C3C">
        <w:rPr>
          <w:rFonts w:cs="Simplified Arabic" w:hint="cs"/>
          <w:szCs w:val="24"/>
          <w:rtl/>
          <w:lang w:val="fr-CH"/>
        </w:rPr>
        <w:t>، انظر الفصل الأول)</w:t>
      </w:r>
      <w:r w:rsidRPr="004922D5">
        <w:rPr>
          <w:rFonts w:cs="Simplified Arabic" w:hint="cs"/>
          <w:szCs w:val="24"/>
          <w:rtl/>
          <w:lang w:val="fr-CH"/>
        </w:rPr>
        <w:t>.</w:t>
      </w:r>
    </w:p>
    <w:p w:rsidR="004922D5" w:rsidRPr="007B0C3C" w:rsidRDefault="004922D5" w:rsidP="007B0C3C">
      <w:pPr>
        <w:pStyle w:val="Para10"/>
        <w:numPr>
          <w:ilvl w:val="0"/>
          <w:numId w:val="0"/>
        </w:numPr>
        <w:tabs>
          <w:tab w:val="left" w:pos="720"/>
        </w:tabs>
        <w:kinsoku w:val="0"/>
        <w:overflowPunct w:val="0"/>
        <w:autoSpaceDE w:val="0"/>
        <w:autoSpaceDN w:val="0"/>
        <w:bidi/>
        <w:snapToGrid w:val="0"/>
        <w:spacing w:before="0" w:line="216" w:lineRule="auto"/>
        <w:rPr>
          <w:b/>
          <w:bCs/>
          <w:kern w:val="22"/>
          <w:szCs w:val="22"/>
          <w:lang w:val="en-US"/>
        </w:rPr>
      </w:pPr>
      <w:r w:rsidRPr="007B0C3C">
        <w:rPr>
          <w:rFonts w:ascii="Simplified Arabic" w:hAnsi="Simplified Arabic" w:cs="Simplified Arabic"/>
          <w:b/>
          <w:bCs/>
          <w:szCs w:val="24"/>
          <w:rtl/>
        </w:rPr>
        <w:t>تعميم التنوع البيولوجي في قطاعات الطاقة والتعدين</w:t>
      </w:r>
      <w:r w:rsidRPr="007B0C3C">
        <w:rPr>
          <w:rFonts w:ascii="Simplified Arabic" w:hAnsi="Simplified Arabic" w:cs="Simplified Arabic" w:hint="cs"/>
          <w:b/>
          <w:bCs/>
          <w:szCs w:val="24"/>
          <w:rtl/>
        </w:rPr>
        <w:t>،</w:t>
      </w:r>
      <w:r w:rsidRPr="007B0C3C">
        <w:rPr>
          <w:rFonts w:ascii="Simplified Arabic" w:hAnsi="Simplified Arabic" w:cs="Simplified Arabic"/>
          <w:b/>
          <w:bCs/>
          <w:szCs w:val="24"/>
          <w:rtl/>
        </w:rPr>
        <w:t xml:space="preserve"> والب</w:t>
      </w:r>
      <w:r w:rsidRPr="007B0C3C">
        <w:rPr>
          <w:rFonts w:ascii="Simplified Arabic" w:hAnsi="Simplified Arabic" w:cs="Simplified Arabic" w:hint="cs"/>
          <w:b/>
          <w:bCs/>
          <w:szCs w:val="24"/>
          <w:rtl/>
        </w:rPr>
        <w:t>ن</w:t>
      </w:r>
      <w:r w:rsidR="007B0C3C">
        <w:rPr>
          <w:rFonts w:ascii="Simplified Arabic" w:hAnsi="Simplified Arabic" w:cs="Simplified Arabic" w:hint="cs"/>
          <w:b/>
          <w:bCs/>
          <w:szCs w:val="24"/>
          <w:rtl/>
        </w:rPr>
        <w:t>ية</w:t>
      </w:r>
      <w:r w:rsidRPr="007B0C3C">
        <w:rPr>
          <w:rFonts w:ascii="Simplified Arabic" w:hAnsi="Simplified Arabic" w:cs="Simplified Arabic"/>
          <w:b/>
          <w:bCs/>
          <w:szCs w:val="24"/>
          <w:rtl/>
        </w:rPr>
        <w:t xml:space="preserve"> التحتية</w:t>
      </w:r>
      <w:r w:rsidRPr="007B0C3C">
        <w:rPr>
          <w:rFonts w:ascii="Simplified Arabic" w:hAnsi="Simplified Arabic" w:cs="Simplified Arabic" w:hint="cs"/>
          <w:b/>
          <w:bCs/>
          <w:szCs w:val="24"/>
          <w:rtl/>
        </w:rPr>
        <w:t>،</w:t>
      </w:r>
      <w:r w:rsidRPr="007B0C3C">
        <w:rPr>
          <w:rFonts w:ascii="Simplified Arabic" w:hAnsi="Simplified Arabic" w:cs="Simplified Arabic"/>
          <w:b/>
          <w:bCs/>
          <w:szCs w:val="24"/>
          <w:rtl/>
        </w:rPr>
        <w:t xml:space="preserve"> </w:t>
      </w:r>
      <w:r w:rsidR="007B0C3C">
        <w:rPr>
          <w:rFonts w:ascii="Simplified Arabic" w:hAnsi="Simplified Arabic" w:cs="Simplified Arabic" w:hint="cs"/>
          <w:b/>
          <w:bCs/>
          <w:szCs w:val="24"/>
          <w:rtl/>
        </w:rPr>
        <w:t>والصناعات التحويلية والتجهيز</w:t>
      </w:r>
    </w:p>
    <w:p w:rsidR="004922D5" w:rsidRPr="002E513E" w:rsidRDefault="004922D5" w:rsidP="00FA76FA">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 xml:space="preserve">في </w:t>
      </w:r>
      <w:r w:rsidR="007B0C3C">
        <w:rPr>
          <w:rFonts w:ascii="Simplified Arabic" w:hAnsi="Simplified Arabic" w:cs="Simplified Arabic" w:hint="cs"/>
          <w:szCs w:val="24"/>
          <w:rtl/>
        </w:rPr>
        <w:t>جلست</w:t>
      </w:r>
      <w:r w:rsidRPr="002E513E">
        <w:rPr>
          <w:rFonts w:ascii="Simplified Arabic" w:hAnsi="Simplified Arabic" w:cs="Simplified Arabic"/>
          <w:szCs w:val="24"/>
          <w:rtl/>
        </w:rPr>
        <w:t>ه الثالث</w:t>
      </w:r>
      <w:r w:rsidR="007B0C3C">
        <w:rPr>
          <w:rFonts w:ascii="Simplified Arabic" w:hAnsi="Simplified Arabic" w:cs="Simplified Arabic" w:hint="cs"/>
          <w:szCs w:val="24"/>
          <w:rtl/>
        </w:rPr>
        <w:t>ة</w:t>
      </w:r>
      <w:r w:rsidRPr="002E513E">
        <w:rPr>
          <w:rFonts w:ascii="Simplified Arabic" w:hAnsi="Simplified Arabic" w:cs="Simplified Arabic"/>
          <w:szCs w:val="24"/>
          <w:rtl/>
        </w:rPr>
        <w:t>،</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المعقود</w:t>
      </w:r>
      <w:r w:rsidR="007B0C3C">
        <w:rPr>
          <w:rFonts w:ascii="Simplified Arabic" w:hAnsi="Simplified Arabic" w:cs="Simplified Arabic" w:hint="cs"/>
          <w:szCs w:val="24"/>
          <w:rtl/>
        </w:rPr>
        <w:t>ة</w:t>
      </w:r>
      <w:r w:rsidRPr="002E513E">
        <w:rPr>
          <w:rFonts w:ascii="Simplified Arabic" w:hAnsi="Simplified Arabic" w:cs="Simplified Arabic"/>
          <w:szCs w:val="24"/>
          <w:rtl/>
        </w:rPr>
        <w:t xml:space="preserve"> في 19 نوفمبر/تشرين الثاني 2018، </w:t>
      </w:r>
      <w:r w:rsidR="007B0C3C">
        <w:rPr>
          <w:rFonts w:ascii="Simplified Arabic" w:hAnsi="Simplified Arabic" w:cs="Simplified Arabic" w:hint="cs"/>
          <w:szCs w:val="24"/>
          <w:rtl/>
        </w:rPr>
        <w:t xml:space="preserve">تناول الفريق العامل الثاني بحث </w:t>
      </w:r>
      <w:r w:rsidRPr="002E513E">
        <w:rPr>
          <w:rFonts w:ascii="Simplified Arabic" w:hAnsi="Simplified Arabic" w:cs="Simplified Arabic"/>
          <w:szCs w:val="24"/>
          <w:rtl/>
        </w:rPr>
        <w:t>الجانب الثاني من</w:t>
      </w:r>
      <w:r w:rsidRPr="002E513E">
        <w:rPr>
          <w:rFonts w:ascii="Simplified Arabic" w:hAnsi="Simplified Arabic" w:cs="Simplified Arabic" w:hint="cs"/>
          <w:szCs w:val="24"/>
          <w:rtl/>
        </w:rPr>
        <w:t xml:space="preserve"> هذا</w:t>
      </w:r>
      <w:r w:rsidRPr="002E513E">
        <w:rPr>
          <w:rFonts w:ascii="Simplified Arabic" w:hAnsi="Simplified Arabic" w:cs="Simplified Arabic"/>
          <w:szCs w:val="24"/>
          <w:rtl/>
        </w:rPr>
        <w:t xml:space="preserve"> البند</w:t>
      </w:r>
      <w:r w:rsidR="000579C2">
        <w:rPr>
          <w:rFonts w:ascii="Simplified Arabic" w:hAnsi="Simplified Arabic" w:cs="Simplified Arabic" w:hint="cs"/>
          <w:szCs w:val="24"/>
          <w:rtl/>
        </w:rPr>
        <w:t xml:space="preserve"> من جدول الأعمال</w:t>
      </w:r>
      <w:r w:rsidRPr="002E513E">
        <w:rPr>
          <w:rFonts w:ascii="Simplified Arabic" w:hAnsi="Simplified Arabic" w:cs="Simplified Arabic"/>
          <w:szCs w:val="24"/>
          <w:rtl/>
        </w:rPr>
        <w:t xml:space="preserve">. ولدى النظر في البند، كان معروضا أمام الفريق العامل مشروع مقرر </w:t>
      </w:r>
      <w:r w:rsidR="007B0C3C">
        <w:rPr>
          <w:rFonts w:ascii="Simplified Arabic" w:hAnsi="Simplified Arabic" w:cs="Simplified Arabic" w:hint="cs"/>
          <w:szCs w:val="24"/>
          <w:rtl/>
        </w:rPr>
        <w:t>مبين</w:t>
      </w:r>
      <w:r w:rsidRPr="002E513E">
        <w:rPr>
          <w:rFonts w:ascii="Simplified Arabic" w:hAnsi="Simplified Arabic" w:cs="Simplified Arabic"/>
          <w:szCs w:val="24"/>
          <w:rtl/>
        </w:rPr>
        <w:t xml:space="preserve"> في تجميع مشاريع المقررات </w:t>
      </w:r>
      <w:r w:rsidRPr="00AE53EB">
        <w:rPr>
          <w:szCs w:val="22"/>
          <w:rtl/>
        </w:rPr>
        <w:t>(</w:t>
      </w:r>
      <w:r w:rsidRPr="00AE53EB">
        <w:rPr>
          <w:szCs w:val="22"/>
        </w:rPr>
        <w:t>CBD/COP/14/2</w:t>
      </w:r>
      <w:r w:rsidRPr="00AE53EB">
        <w:rPr>
          <w:szCs w:val="22"/>
          <w:rtl/>
        </w:rPr>
        <w:t>)</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و</w:t>
      </w:r>
      <w:r w:rsidRPr="002E513E">
        <w:rPr>
          <w:rFonts w:ascii="Simplified Arabic" w:hAnsi="Simplified Arabic" w:cs="Simplified Arabic" w:hint="cs"/>
          <w:szCs w:val="24"/>
          <w:rtl/>
        </w:rPr>
        <w:t>ي</w:t>
      </w:r>
      <w:r w:rsidRPr="002E513E">
        <w:rPr>
          <w:rFonts w:ascii="Simplified Arabic" w:hAnsi="Simplified Arabic" w:cs="Simplified Arabic"/>
          <w:szCs w:val="24"/>
          <w:rtl/>
        </w:rPr>
        <w:t>ستند مشروع المقرر إلى التوصية</w:t>
      </w:r>
      <w:r w:rsidR="007B0C3C">
        <w:rPr>
          <w:rFonts w:ascii="Simplified Arabic" w:hAnsi="Simplified Arabic" w:cs="Simplified Arabic" w:hint="cs"/>
          <w:szCs w:val="24"/>
          <w:rtl/>
        </w:rPr>
        <w:t xml:space="preserve"> 2/3 للهيئة الفرعية للتنفيذ</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ال</w:t>
      </w:r>
      <w:r w:rsidR="00FA76FA">
        <w:rPr>
          <w:rFonts w:ascii="Simplified Arabic" w:hAnsi="Simplified Arabic" w:cs="Simplified Arabic" w:hint="cs"/>
          <w:szCs w:val="24"/>
          <w:rtl/>
        </w:rPr>
        <w:t>ذ</w:t>
      </w:r>
      <w:r w:rsidRPr="002E513E">
        <w:rPr>
          <w:rFonts w:ascii="Simplified Arabic" w:hAnsi="Simplified Arabic" w:cs="Simplified Arabic"/>
          <w:szCs w:val="24"/>
          <w:rtl/>
        </w:rPr>
        <w:t xml:space="preserve">ي </w:t>
      </w:r>
      <w:r w:rsidR="00FA76FA">
        <w:rPr>
          <w:rFonts w:ascii="Simplified Arabic" w:hAnsi="Simplified Arabic" w:cs="Simplified Arabic" w:hint="cs"/>
          <w:szCs w:val="24"/>
          <w:rtl/>
        </w:rPr>
        <w:t>ي</w:t>
      </w:r>
      <w:r w:rsidRPr="002E513E">
        <w:rPr>
          <w:rFonts w:ascii="Simplified Arabic" w:hAnsi="Simplified Arabic" w:cs="Simplified Arabic" w:hint="cs"/>
          <w:szCs w:val="24"/>
          <w:rtl/>
        </w:rPr>
        <w:t>ت</w:t>
      </w:r>
      <w:r w:rsidRPr="002E513E">
        <w:rPr>
          <w:rFonts w:ascii="Simplified Arabic" w:hAnsi="Simplified Arabic" w:cs="Simplified Arabic"/>
          <w:szCs w:val="24"/>
          <w:rtl/>
        </w:rPr>
        <w:t>ضمن أيضا عناصر</w:t>
      </w:r>
      <w:r w:rsidRPr="002E513E">
        <w:rPr>
          <w:rFonts w:ascii="Simplified Arabic" w:hAnsi="Simplified Arabic" w:cs="Simplified Arabic" w:hint="cs"/>
          <w:szCs w:val="24"/>
          <w:rtl/>
        </w:rPr>
        <w:t xml:space="preserve"> من</w:t>
      </w:r>
      <w:r w:rsidRPr="002E513E">
        <w:rPr>
          <w:rFonts w:ascii="Simplified Arabic" w:hAnsi="Simplified Arabic" w:cs="Simplified Arabic"/>
          <w:szCs w:val="24"/>
          <w:rtl/>
        </w:rPr>
        <w:t xml:space="preserve"> </w:t>
      </w:r>
      <w:r w:rsidR="007B0C3C">
        <w:rPr>
          <w:rFonts w:ascii="Simplified Arabic" w:hAnsi="Simplified Arabic" w:cs="Simplified Arabic" w:hint="cs"/>
          <w:szCs w:val="24"/>
          <w:rtl/>
        </w:rPr>
        <w:t>ال</w:t>
      </w:r>
      <w:r w:rsidRPr="002E513E">
        <w:rPr>
          <w:rFonts w:ascii="Simplified Arabic" w:hAnsi="Simplified Arabic" w:cs="Simplified Arabic"/>
          <w:szCs w:val="24"/>
          <w:rtl/>
        </w:rPr>
        <w:t>توصية</w:t>
      </w:r>
      <w:r w:rsidRPr="002E513E">
        <w:rPr>
          <w:rFonts w:ascii="Simplified Arabic" w:hAnsi="Simplified Arabic" w:cs="Simplified Arabic" w:hint="cs"/>
          <w:szCs w:val="24"/>
          <w:rtl/>
        </w:rPr>
        <w:t xml:space="preserve"> </w:t>
      </w:r>
      <w:r w:rsidR="007B0C3C">
        <w:rPr>
          <w:rFonts w:ascii="Simplified Arabic" w:hAnsi="Simplified Arabic" w:cs="Simplified Arabic" w:hint="cs"/>
          <w:szCs w:val="24"/>
          <w:rtl/>
        </w:rPr>
        <w:t>21/4 ل</w:t>
      </w:r>
      <w:r w:rsidRPr="002E513E">
        <w:rPr>
          <w:rFonts w:ascii="Simplified Arabic" w:hAnsi="Simplified Arabic" w:cs="Simplified Arabic"/>
          <w:szCs w:val="24"/>
          <w:rtl/>
        </w:rPr>
        <w:t xml:space="preserve">لهيئة الفرعية </w:t>
      </w:r>
      <w:r w:rsidRPr="002E513E">
        <w:rPr>
          <w:rFonts w:ascii="Simplified Arabic" w:hAnsi="Simplified Arabic" w:cs="Simplified Arabic" w:hint="cs"/>
          <w:szCs w:val="24"/>
          <w:rtl/>
        </w:rPr>
        <w:t>ل</w:t>
      </w:r>
      <w:r w:rsidRPr="002E513E">
        <w:rPr>
          <w:rFonts w:ascii="Simplified Arabic" w:hAnsi="Simplified Arabic" w:cs="Simplified Arabic"/>
          <w:szCs w:val="24"/>
          <w:rtl/>
        </w:rPr>
        <w:t>لمشورة العلمية والتقنية والتكنولوجية</w:t>
      </w:r>
      <w:r w:rsidRPr="002E513E">
        <w:rPr>
          <w:rFonts w:ascii="Simplified Arabic" w:hAnsi="Simplified Arabic" w:cs="Simplified Arabic" w:hint="cs"/>
          <w:szCs w:val="24"/>
          <w:rtl/>
        </w:rPr>
        <w:t xml:space="preserve"> المتعلقة</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ب</w:t>
      </w:r>
      <w:r w:rsidRPr="002E513E">
        <w:rPr>
          <w:rFonts w:ascii="Simplified Arabic" w:hAnsi="Simplified Arabic" w:cs="Simplified Arabic"/>
          <w:szCs w:val="24"/>
          <w:rtl/>
        </w:rPr>
        <w:t>تعميم التنوع البيولوجي</w:t>
      </w:r>
      <w:r w:rsidRPr="002E513E">
        <w:rPr>
          <w:rFonts w:ascii="Simplified Arabic" w:hAnsi="Simplified Arabic" w:cs="Simplified Arabic" w:hint="cs"/>
          <w:szCs w:val="24"/>
          <w:rtl/>
        </w:rPr>
        <w:t>.</w:t>
      </w:r>
    </w:p>
    <w:p w:rsidR="004922D5" w:rsidRPr="002E513E" w:rsidRDefault="004922D5" w:rsidP="000579C2">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وب</w:t>
      </w:r>
      <w:r w:rsidRPr="002E513E">
        <w:rPr>
          <w:rFonts w:ascii="Simplified Arabic" w:hAnsi="Simplified Arabic" w:cs="Simplified Arabic"/>
          <w:szCs w:val="24"/>
          <w:rtl/>
        </w:rPr>
        <w:t>دعوة من الرئيس</w:t>
      </w:r>
      <w:r w:rsidRPr="002E513E">
        <w:rPr>
          <w:rFonts w:ascii="Simplified Arabic" w:hAnsi="Simplified Arabic" w:cs="Simplified Arabic" w:hint="cs"/>
          <w:szCs w:val="24"/>
          <w:rtl/>
        </w:rPr>
        <w:t>ة</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عرض</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السيد</w:t>
      </w:r>
      <w:r w:rsidRPr="002E513E">
        <w:rPr>
          <w:rFonts w:ascii="Simplified Arabic" w:hAnsi="Simplified Arabic" w:cs="Simplified Arabic"/>
          <w:szCs w:val="24"/>
          <w:rtl/>
        </w:rPr>
        <w:t xml:space="preserve"> حمد</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 xml:space="preserve">الله زيدان، رئيس اللجنة التحضيرية ونقطة الاتصال الوطنية لمصر في </w:t>
      </w:r>
      <w:r w:rsidR="000579C2">
        <w:rPr>
          <w:rFonts w:ascii="Simplified Arabic" w:hAnsi="Simplified Arabic" w:cs="Simplified Arabic" w:hint="cs"/>
          <w:szCs w:val="24"/>
          <w:rtl/>
        </w:rPr>
        <w:t>الاجتماع الرابع عشر ل</w:t>
      </w:r>
      <w:r w:rsidR="00FA76FA">
        <w:rPr>
          <w:rFonts w:ascii="Simplified Arabic" w:hAnsi="Simplified Arabic" w:cs="Simplified Arabic" w:hint="cs"/>
          <w:szCs w:val="24"/>
          <w:rtl/>
        </w:rPr>
        <w:t>مؤتمر ا</w:t>
      </w:r>
      <w:r w:rsidR="000579C2">
        <w:rPr>
          <w:rFonts w:ascii="Simplified Arabic" w:hAnsi="Simplified Arabic" w:cs="Simplified Arabic" w:hint="cs"/>
          <w:szCs w:val="24"/>
          <w:rtl/>
        </w:rPr>
        <w:t>لأطراف في اتفاقية ا</w:t>
      </w:r>
      <w:r w:rsidRPr="002E513E">
        <w:rPr>
          <w:rFonts w:ascii="Simplified Arabic" w:hAnsi="Simplified Arabic" w:cs="Simplified Arabic"/>
          <w:szCs w:val="24"/>
          <w:rtl/>
        </w:rPr>
        <w:t xml:space="preserve">لتنوع البيولوجي، </w:t>
      </w:r>
      <w:r w:rsidR="000579C2">
        <w:rPr>
          <w:rFonts w:ascii="Simplified Arabic" w:hAnsi="Simplified Arabic" w:cs="Simplified Arabic" w:hint="cs"/>
          <w:szCs w:val="24"/>
          <w:rtl/>
        </w:rPr>
        <w:t xml:space="preserve">والاجتماعي المتزامنين للأطراف في بروتوكولي قرطاجنة وناغويا، </w:t>
      </w:r>
      <w:r w:rsidRPr="002E513E">
        <w:rPr>
          <w:rFonts w:ascii="Simplified Arabic" w:hAnsi="Simplified Arabic" w:cs="Simplified Arabic" w:hint="cs"/>
          <w:szCs w:val="24"/>
          <w:rtl/>
        </w:rPr>
        <w:t>المعالم الرئيسية</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ل</w:t>
      </w:r>
      <w:r w:rsidRPr="002E513E">
        <w:rPr>
          <w:rFonts w:ascii="Simplified Arabic" w:hAnsi="Simplified Arabic" w:cs="Simplified Arabic"/>
          <w:szCs w:val="24"/>
          <w:rtl/>
        </w:rPr>
        <w:t>اجتماعات المائدة المستديرة</w:t>
      </w:r>
      <w:r w:rsidRPr="002E513E">
        <w:rPr>
          <w:rFonts w:ascii="Simplified Arabic" w:hAnsi="Simplified Arabic" w:cs="Simplified Arabic" w:hint="cs"/>
          <w:szCs w:val="24"/>
          <w:rtl/>
        </w:rPr>
        <w:t xml:space="preserve"> ل</w:t>
      </w:r>
      <w:r w:rsidRPr="002E513E">
        <w:rPr>
          <w:rFonts w:ascii="Simplified Arabic" w:hAnsi="Simplified Arabic" w:cs="Simplified Arabic"/>
          <w:szCs w:val="24"/>
          <w:rtl/>
        </w:rPr>
        <w:t>لجزء الرفيع المستوى بشأن تعميم التنوع البيولوجي</w:t>
      </w:r>
      <w:r w:rsidR="000579C2">
        <w:rPr>
          <w:rFonts w:ascii="Simplified Arabic" w:hAnsi="Simplified Arabic" w:cs="Simplified Arabic" w:hint="cs"/>
          <w:szCs w:val="24"/>
          <w:rtl/>
        </w:rPr>
        <w:t xml:space="preserve"> (انظر </w:t>
      </w:r>
      <w:r w:rsidR="000579C2" w:rsidRPr="000579C2">
        <w:rPr>
          <w:szCs w:val="24"/>
          <w:lang w:val="en-US"/>
        </w:rPr>
        <w:t>CBD/COP/14/12</w:t>
      </w:r>
      <w:r w:rsidR="000579C2">
        <w:rPr>
          <w:rFonts w:ascii="Simplified Arabic" w:hAnsi="Simplified Arabic" w:cs="Simplified Arabic" w:hint="cs"/>
          <w:szCs w:val="24"/>
          <w:rtl/>
        </w:rPr>
        <w:t xml:space="preserve"> و</w:t>
      </w:r>
      <w:r w:rsidR="000579C2" w:rsidRPr="000579C2">
        <w:rPr>
          <w:szCs w:val="24"/>
          <w:lang w:val="en-US"/>
        </w:rPr>
        <w:t>Add.1</w:t>
      </w:r>
      <w:r w:rsidR="000579C2">
        <w:rPr>
          <w:rFonts w:ascii="Simplified Arabic" w:hAnsi="Simplified Arabic" w:cs="Simplified Arabic" w:hint="cs"/>
          <w:szCs w:val="24"/>
          <w:rtl/>
        </w:rPr>
        <w:t>)</w:t>
      </w:r>
      <w:r w:rsidRPr="002E513E">
        <w:rPr>
          <w:rFonts w:ascii="Simplified Arabic" w:hAnsi="Simplified Arabic" w:cs="Simplified Arabic" w:hint="cs"/>
          <w:szCs w:val="24"/>
          <w:rtl/>
        </w:rPr>
        <w:t xml:space="preserve"> ولمنتدى </w:t>
      </w:r>
      <w:r w:rsidRPr="002E513E">
        <w:rPr>
          <w:rFonts w:ascii="Simplified Arabic" w:hAnsi="Simplified Arabic" w:cs="Simplified Arabic"/>
          <w:szCs w:val="24"/>
          <w:rtl/>
        </w:rPr>
        <w:t>الأعمال</w:t>
      </w:r>
      <w:r w:rsidRPr="002E513E">
        <w:rPr>
          <w:rFonts w:ascii="Simplified Arabic" w:hAnsi="Simplified Arabic" w:cs="Simplified Arabic" w:hint="cs"/>
          <w:szCs w:val="24"/>
          <w:rtl/>
        </w:rPr>
        <w:t xml:space="preserve"> و</w:t>
      </w:r>
      <w:r w:rsidRPr="002E513E">
        <w:rPr>
          <w:rFonts w:ascii="Simplified Arabic" w:hAnsi="Simplified Arabic" w:cs="Simplified Arabic"/>
          <w:szCs w:val="24"/>
          <w:rtl/>
        </w:rPr>
        <w:t>التنوع البيولوجي.</w:t>
      </w:r>
    </w:p>
    <w:p w:rsidR="004922D5" w:rsidRPr="002E513E" w:rsidRDefault="00830816" w:rsidP="00532BEB">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32BEB">
        <w:rPr>
          <w:rFonts w:ascii="Simplified Arabic" w:hAnsi="Simplified Arabic" w:cs="Simplified Arabic"/>
          <w:sz w:val="24"/>
          <w:szCs w:val="24"/>
          <w:rtl/>
        </w:rPr>
        <w:t>و</w:t>
      </w:r>
      <w:r w:rsidRPr="00532BEB">
        <w:rPr>
          <w:rFonts w:ascii="Simplified Arabic" w:hAnsi="Simplified Arabic" w:cs="Simplified Arabic" w:hint="cs"/>
          <w:sz w:val="24"/>
          <w:szCs w:val="24"/>
          <w:rtl/>
        </w:rPr>
        <w:t xml:space="preserve">أدلى ببيانات </w:t>
      </w:r>
      <w:r w:rsidRPr="00532BEB">
        <w:rPr>
          <w:rFonts w:ascii="Simplified Arabic" w:hAnsi="Simplified Arabic" w:cs="Simplified Arabic"/>
          <w:sz w:val="24"/>
          <w:szCs w:val="24"/>
          <w:rtl/>
        </w:rPr>
        <w:t>ممثل</w:t>
      </w:r>
      <w:r w:rsidRPr="00532BEB">
        <w:rPr>
          <w:rFonts w:ascii="Simplified Arabic" w:hAnsi="Simplified Arabic" w:cs="Simplified Arabic" w:hint="cs"/>
          <w:sz w:val="24"/>
          <w:szCs w:val="24"/>
          <w:rtl/>
        </w:rPr>
        <w:t>و</w:t>
      </w:r>
      <w:r w:rsidR="004922D5" w:rsidRPr="00532BEB">
        <w:rPr>
          <w:rFonts w:ascii="Simplified Arabic" w:hAnsi="Simplified Arabic" w:cs="Simplified Arabic"/>
          <w:szCs w:val="24"/>
          <w:rtl/>
        </w:rPr>
        <w:t xml:space="preserve"> الأرجنتين</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والبحرين</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وبنغلاديش</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وبوتسوانا</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كمبوديا،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كندا،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شيلي،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كولومبيا،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كوستاريكا،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كوت ديفوار،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كوبا، والاتحاد الأوروبي ودول</w:t>
      </w:r>
      <w:r>
        <w:rPr>
          <w:rFonts w:ascii="Simplified Arabic" w:hAnsi="Simplified Arabic" w:cs="Simplified Arabic" w:hint="cs"/>
          <w:szCs w:val="24"/>
          <w:rtl/>
        </w:rPr>
        <w:t>ه</w:t>
      </w:r>
      <w:r w:rsidR="004922D5" w:rsidRPr="002E513E">
        <w:rPr>
          <w:rFonts w:ascii="Simplified Arabic" w:hAnsi="Simplified Arabic" w:cs="Simplified Arabic"/>
          <w:szCs w:val="24"/>
          <w:rtl/>
        </w:rPr>
        <w:t xml:space="preserve"> الأعضاء</w:t>
      </w:r>
      <w:r w:rsidR="004922D5" w:rsidRPr="002E513E">
        <w:rPr>
          <w:rFonts w:ascii="Simplified Arabic" w:hAnsi="Simplified Arabic" w:cs="Simplified Arabic" w:hint="cs"/>
          <w:szCs w:val="24"/>
          <w:rtl/>
        </w:rPr>
        <w:t xml:space="preserve"> </w:t>
      </w:r>
      <w:r>
        <w:rPr>
          <w:rFonts w:ascii="Simplified Arabic" w:hAnsi="Simplified Arabic" w:cs="Simplified Arabic" w:hint="cs"/>
          <w:szCs w:val="24"/>
          <w:rtl/>
        </w:rPr>
        <w:t>الثماني والعشرين</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غواتيمالا،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الهند،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اليابان،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ليبيريا،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ملاوي، </w:t>
      </w:r>
      <w:r w:rsidR="004922D5" w:rsidRPr="002E513E">
        <w:rPr>
          <w:rFonts w:ascii="Simplified Arabic" w:hAnsi="Simplified Arabic" w:cs="Simplified Arabic" w:hint="cs"/>
          <w:szCs w:val="24"/>
          <w:rtl/>
        </w:rPr>
        <w:lastRenderedPageBreak/>
        <w:t>و</w:t>
      </w:r>
      <w:r w:rsidR="004922D5" w:rsidRPr="002E513E">
        <w:rPr>
          <w:rFonts w:ascii="Simplified Arabic" w:hAnsi="Simplified Arabic" w:cs="Simplified Arabic"/>
          <w:szCs w:val="24"/>
          <w:rtl/>
        </w:rPr>
        <w:t xml:space="preserve">ماليزيا،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المكسيك،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المغرب،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النرويج،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عمان،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الفلبين،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جنوب أفريقيا،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سري لانكا،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تايلند،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توغو (</w:t>
      </w:r>
      <w:r w:rsidR="00532BEB">
        <w:rPr>
          <w:rFonts w:ascii="Simplified Arabic" w:hAnsi="Simplified Arabic" w:cs="Simplified Arabic" w:hint="cs"/>
          <w:szCs w:val="24"/>
          <w:rtl/>
        </w:rPr>
        <w:t>با</w:t>
      </w:r>
      <w:r w:rsidR="00FA76FA">
        <w:rPr>
          <w:rFonts w:ascii="Simplified Arabic" w:hAnsi="Simplified Arabic" w:cs="Simplified Arabic" w:hint="cs"/>
          <w:szCs w:val="24"/>
          <w:rtl/>
        </w:rPr>
        <w:t>ل</w:t>
      </w:r>
      <w:r w:rsidR="00532BEB">
        <w:rPr>
          <w:rFonts w:ascii="Simplified Arabic" w:hAnsi="Simplified Arabic" w:cs="Simplified Arabic" w:hint="cs"/>
          <w:szCs w:val="24"/>
          <w:rtl/>
        </w:rPr>
        <w:t>نيابة عن</w:t>
      </w:r>
      <w:r w:rsidR="004922D5" w:rsidRPr="002E513E">
        <w:rPr>
          <w:rFonts w:ascii="Simplified Arabic" w:hAnsi="Simplified Arabic" w:cs="Simplified Arabic"/>
          <w:szCs w:val="24"/>
          <w:rtl/>
        </w:rPr>
        <w:t xml:space="preserve"> </w:t>
      </w:r>
      <w:r w:rsidR="00532BEB">
        <w:rPr>
          <w:rFonts w:ascii="Simplified Arabic" w:hAnsi="Simplified Arabic" w:cs="Simplified Arabic" w:hint="cs"/>
          <w:szCs w:val="24"/>
          <w:rtl/>
        </w:rPr>
        <w:t>ال</w:t>
      </w:r>
      <w:r w:rsidR="004922D5" w:rsidRPr="002E513E">
        <w:rPr>
          <w:rFonts w:ascii="Simplified Arabic" w:hAnsi="Simplified Arabic" w:cs="Simplified Arabic"/>
          <w:szCs w:val="24"/>
          <w:rtl/>
        </w:rPr>
        <w:t xml:space="preserve">مجموعة الأفريقية)، </w:t>
      </w:r>
      <w:r w:rsidR="004922D5" w:rsidRPr="002E513E">
        <w:rPr>
          <w:rFonts w:ascii="Simplified Arabic" w:hAnsi="Simplified Arabic" w:cs="Simplified Arabic" w:hint="cs"/>
          <w:szCs w:val="24"/>
          <w:rtl/>
        </w:rPr>
        <w:t>و</w:t>
      </w:r>
      <w:r w:rsidR="004922D5" w:rsidRPr="002E513E">
        <w:rPr>
          <w:rFonts w:ascii="Simplified Arabic" w:hAnsi="Simplified Arabic" w:cs="Simplified Arabic"/>
          <w:szCs w:val="24"/>
          <w:rtl/>
        </w:rPr>
        <w:t>تركيا وفنزويلا (جمهورية - البوليفارية)</w:t>
      </w:r>
      <w:r w:rsidR="004922D5" w:rsidRPr="002E513E">
        <w:rPr>
          <w:rFonts w:ascii="Simplified Arabic" w:hAnsi="Simplified Arabic" w:cs="Simplified Arabic" w:hint="cs"/>
          <w:szCs w:val="24"/>
          <w:rtl/>
        </w:rPr>
        <w:t>.</w:t>
      </w:r>
    </w:p>
    <w:p w:rsidR="004922D5" w:rsidRPr="002E513E" w:rsidRDefault="004922D5" w:rsidP="00532BEB">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و</w:t>
      </w:r>
      <w:r w:rsidR="00532BEB" w:rsidRPr="002E513E">
        <w:rPr>
          <w:rFonts w:ascii="Simplified Arabic" w:hAnsi="Simplified Arabic" w:cs="Simplified Arabic" w:hint="cs"/>
          <w:szCs w:val="24"/>
          <w:rtl/>
        </w:rPr>
        <w:t xml:space="preserve">في </w:t>
      </w:r>
      <w:r w:rsidR="00532BEB">
        <w:rPr>
          <w:rFonts w:ascii="Simplified Arabic" w:hAnsi="Simplified Arabic" w:cs="Simplified Arabic" w:hint="cs"/>
          <w:szCs w:val="24"/>
          <w:rtl/>
        </w:rPr>
        <w:t>جلست</w:t>
      </w:r>
      <w:r w:rsidR="00532BEB" w:rsidRPr="002E513E">
        <w:rPr>
          <w:rFonts w:ascii="Simplified Arabic" w:hAnsi="Simplified Arabic" w:cs="Simplified Arabic" w:hint="cs"/>
          <w:szCs w:val="24"/>
          <w:rtl/>
        </w:rPr>
        <w:t>ه</w:t>
      </w:r>
      <w:r w:rsidR="00532BEB" w:rsidRPr="002E513E">
        <w:rPr>
          <w:rFonts w:ascii="Simplified Arabic" w:hAnsi="Simplified Arabic" w:cs="Simplified Arabic"/>
          <w:szCs w:val="24"/>
          <w:rtl/>
        </w:rPr>
        <w:t xml:space="preserve"> الرابع</w:t>
      </w:r>
      <w:r w:rsidR="00532BEB">
        <w:rPr>
          <w:rFonts w:ascii="Simplified Arabic" w:hAnsi="Simplified Arabic" w:cs="Simplified Arabic" w:hint="cs"/>
          <w:szCs w:val="24"/>
          <w:rtl/>
        </w:rPr>
        <w:t>ة</w:t>
      </w:r>
      <w:r w:rsidR="00532BEB" w:rsidRPr="002E513E">
        <w:rPr>
          <w:rFonts w:ascii="Simplified Arabic" w:hAnsi="Simplified Arabic" w:cs="Simplified Arabic"/>
          <w:szCs w:val="24"/>
          <w:rtl/>
        </w:rPr>
        <w:t>، المعقود</w:t>
      </w:r>
      <w:r w:rsidR="00532BEB">
        <w:rPr>
          <w:rFonts w:ascii="Simplified Arabic" w:hAnsi="Simplified Arabic" w:cs="Simplified Arabic" w:hint="cs"/>
          <w:szCs w:val="24"/>
          <w:rtl/>
        </w:rPr>
        <w:t>ة</w:t>
      </w:r>
      <w:r w:rsidR="00532BEB" w:rsidRPr="002E513E">
        <w:rPr>
          <w:rFonts w:ascii="Simplified Arabic" w:hAnsi="Simplified Arabic" w:cs="Simplified Arabic"/>
          <w:szCs w:val="24"/>
          <w:rtl/>
        </w:rPr>
        <w:t xml:space="preserve"> في 19 نوفمبر</w:t>
      </w:r>
      <w:r w:rsidR="00532BEB" w:rsidRPr="002E513E">
        <w:rPr>
          <w:rFonts w:ascii="Simplified Arabic" w:hAnsi="Simplified Arabic" w:cs="Simplified Arabic" w:hint="cs"/>
          <w:szCs w:val="24"/>
          <w:rtl/>
        </w:rPr>
        <w:t>/</w:t>
      </w:r>
      <w:r w:rsidR="00532BEB" w:rsidRPr="002E513E">
        <w:rPr>
          <w:rFonts w:ascii="Simplified Arabic" w:hAnsi="Simplified Arabic" w:cs="Simplified Arabic"/>
          <w:szCs w:val="24"/>
          <w:rtl/>
        </w:rPr>
        <w:t>تشرين الثاني 2018</w:t>
      </w:r>
      <w:r w:rsidR="00532BEB">
        <w:rPr>
          <w:rFonts w:ascii="Simplified Arabic" w:hAnsi="Simplified Arabic" w:cs="Simplified Arabic" w:hint="cs"/>
          <w:szCs w:val="24"/>
          <w:rtl/>
        </w:rPr>
        <w:t xml:space="preserve">، </w:t>
      </w:r>
      <w:r w:rsidRPr="002E513E">
        <w:rPr>
          <w:rFonts w:ascii="Simplified Arabic" w:hAnsi="Simplified Arabic" w:cs="Simplified Arabic"/>
          <w:szCs w:val="24"/>
          <w:rtl/>
        </w:rPr>
        <w:t xml:space="preserve">استأنف الفريق العامل </w:t>
      </w:r>
      <w:r w:rsidRPr="002E513E">
        <w:rPr>
          <w:rFonts w:ascii="Simplified Arabic" w:hAnsi="Simplified Arabic" w:cs="Simplified Arabic" w:hint="cs"/>
          <w:szCs w:val="24"/>
          <w:rtl/>
        </w:rPr>
        <w:t>نظره</w:t>
      </w:r>
      <w:r w:rsidRPr="002E513E">
        <w:rPr>
          <w:rFonts w:ascii="Simplified Arabic" w:hAnsi="Simplified Arabic" w:cs="Simplified Arabic"/>
          <w:szCs w:val="24"/>
          <w:rtl/>
        </w:rPr>
        <w:t xml:space="preserve"> في الجانب الثاني من البند 22 من جدول الأعمال</w:t>
      </w:r>
      <w:r w:rsidRPr="002E513E">
        <w:rPr>
          <w:rFonts w:ascii="Simplified Arabic" w:hAnsi="Simplified Arabic" w:cs="Simplified Arabic" w:hint="cs"/>
          <w:szCs w:val="24"/>
          <w:rtl/>
        </w:rPr>
        <w:t>.</w:t>
      </w:r>
    </w:p>
    <w:p w:rsidR="004922D5" w:rsidRPr="002E513E" w:rsidRDefault="00AE53EB" w:rsidP="00532BEB">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Pr>
          <w:rFonts w:ascii="Simplified Arabic" w:hAnsi="Simplified Arabic" w:cs="Simplified Arabic" w:hint="cs"/>
          <w:szCs w:val="24"/>
          <w:rtl/>
        </w:rPr>
        <w:t>وأدلى ب</w:t>
      </w:r>
      <w:r w:rsidR="004922D5" w:rsidRPr="002E513E">
        <w:rPr>
          <w:rFonts w:ascii="Simplified Arabic" w:hAnsi="Simplified Arabic" w:cs="Simplified Arabic" w:hint="cs"/>
          <w:szCs w:val="24"/>
          <w:rtl/>
        </w:rPr>
        <w:t xml:space="preserve">بيانات </w:t>
      </w:r>
      <w:r w:rsidR="004922D5" w:rsidRPr="002E513E">
        <w:rPr>
          <w:rFonts w:ascii="Simplified Arabic" w:hAnsi="Simplified Arabic" w:cs="Simplified Arabic"/>
          <w:szCs w:val="24"/>
          <w:rtl/>
        </w:rPr>
        <w:t>ممثل</w:t>
      </w:r>
      <w:r>
        <w:rPr>
          <w:rFonts w:ascii="Simplified Arabic" w:hAnsi="Simplified Arabic" w:cs="Simplified Arabic" w:hint="cs"/>
          <w:szCs w:val="24"/>
          <w:rtl/>
        </w:rPr>
        <w:t>و</w:t>
      </w:r>
      <w:r w:rsidR="004922D5" w:rsidRPr="002E513E">
        <w:rPr>
          <w:rFonts w:ascii="Simplified Arabic" w:hAnsi="Simplified Arabic" w:cs="Simplified Arabic"/>
          <w:szCs w:val="24"/>
          <w:rtl/>
        </w:rPr>
        <w:t xml:space="preserve"> بوروندي</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وتشاد</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والصين</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وإريتريا</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وإثيوبيا</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وكينيا</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والنيجر</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وبابوا غينيا الجديدة (</w:t>
      </w:r>
      <w:r>
        <w:rPr>
          <w:rFonts w:ascii="Simplified Arabic" w:hAnsi="Simplified Arabic" w:cs="Simplified Arabic" w:hint="cs"/>
          <w:szCs w:val="24"/>
          <w:rtl/>
        </w:rPr>
        <w:t>بالنيابة عن</w:t>
      </w:r>
      <w:r w:rsidR="004922D5" w:rsidRPr="002E513E">
        <w:rPr>
          <w:rFonts w:ascii="Simplified Arabic" w:hAnsi="Simplified Arabic" w:cs="Simplified Arabic"/>
          <w:szCs w:val="24"/>
          <w:rtl/>
        </w:rPr>
        <w:t xml:space="preserve"> ال</w:t>
      </w:r>
      <w:r w:rsidR="00532BEB">
        <w:rPr>
          <w:rFonts w:ascii="Simplified Arabic" w:hAnsi="Simplified Arabic" w:cs="Simplified Arabic" w:hint="cs"/>
          <w:szCs w:val="24"/>
          <w:rtl/>
        </w:rPr>
        <w:t>بلدان</w:t>
      </w:r>
      <w:r w:rsidR="004922D5" w:rsidRPr="002E513E">
        <w:rPr>
          <w:rFonts w:ascii="Simplified Arabic" w:hAnsi="Simplified Arabic" w:cs="Simplified Arabic"/>
          <w:szCs w:val="24"/>
          <w:rtl/>
        </w:rPr>
        <w:t xml:space="preserve"> الج</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زرية في المحيط الهادئ)</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وبيرو</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والمملكة العربية السعودية</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وسنغافورة</w:t>
      </w:r>
      <w:r w:rsidR="004922D5" w:rsidRPr="002E513E">
        <w:rPr>
          <w:rFonts w:ascii="Simplified Arabic" w:hAnsi="Simplified Arabic" w:cs="Simplified Arabic" w:hint="cs"/>
          <w:szCs w:val="24"/>
          <w:rtl/>
        </w:rPr>
        <w:t>،</w:t>
      </w:r>
      <w:r w:rsidR="004922D5" w:rsidRPr="002E513E">
        <w:rPr>
          <w:rFonts w:ascii="Simplified Arabic" w:hAnsi="Simplified Arabic" w:cs="Simplified Arabic"/>
          <w:szCs w:val="24"/>
          <w:rtl/>
        </w:rPr>
        <w:t xml:space="preserve"> وأوغندا وجمهورية تنزانيا المتحدة</w:t>
      </w:r>
      <w:r w:rsidR="004922D5" w:rsidRPr="002E513E">
        <w:rPr>
          <w:rFonts w:ascii="Simplified Arabic" w:hAnsi="Simplified Arabic" w:cs="Simplified Arabic" w:hint="cs"/>
          <w:szCs w:val="24"/>
          <w:rtl/>
        </w:rPr>
        <w:t>.</w:t>
      </w:r>
    </w:p>
    <w:p w:rsidR="004922D5" w:rsidRPr="002E513E" w:rsidRDefault="004922D5" w:rsidP="00532BEB">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أدلى ببيان</w:t>
      </w:r>
      <w:r w:rsidRPr="002E513E">
        <w:rPr>
          <w:rFonts w:ascii="Simplified Arabic" w:hAnsi="Simplified Arabic" w:cs="Simplified Arabic" w:hint="cs"/>
          <w:szCs w:val="24"/>
          <w:rtl/>
        </w:rPr>
        <w:t xml:space="preserve">ين أيضا </w:t>
      </w:r>
      <w:r w:rsidRPr="002E513E">
        <w:rPr>
          <w:rFonts w:ascii="Simplified Arabic" w:hAnsi="Simplified Arabic" w:cs="Simplified Arabic"/>
          <w:szCs w:val="24"/>
          <w:rtl/>
        </w:rPr>
        <w:t>ممثل</w:t>
      </w:r>
      <w:r w:rsidRPr="002E513E">
        <w:rPr>
          <w:rFonts w:ascii="Simplified Arabic" w:hAnsi="Simplified Arabic" w:cs="Simplified Arabic" w:hint="cs"/>
          <w:szCs w:val="24"/>
          <w:rtl/>
        </w:rPr>
        <w:t xml:space="preserve">ا </w:t>
      </w:r>
      <w:r w:rsidRPr="002E513E">
        <w:rPr>
          <w:rFonts w:ascii="Simplified Arabic" w:hAnsi="Simplified Arabic" w:cs="Simplified Arabic"/>
          <w:szCs w:val="24"/>
          <w:rtl/>
        </w:rPr>
        <w:t xml:space="preserve">الفاو </w:t>
      </w:r>
      <w:r w:rsidRPr="002E513E">
        <w:rPr>
          <w:rFonts w:ascii="Simplified Arabic" w:hAnsi="Simplified Arabic" w:cs="Simplified Arabic" w:hint="cs"/>
          <w:szCs w:val="24"/>
          <w:rtl/>
        </w:rPr>
        <w:t>و</w:t>
      </w:r>
      <w:r w:rsidRPr="002E513E">
        <w:rPr>
          <w:rFonts w:ascii="Simplified Arabic" w:hAnsi="Simplified Arabic" w:cs="Simplified Arabic"/>
          <w:szCs w:val="24"/>
          <w:rtl/>
        </w:rPr>
        <w:t>هيئة الأمم المتحدة للمرأة</w:t>
      </w:r>
      <w:r w:rsidRPr="002E513E">
        <w:rPr>
          <w:rFonts w:ascii="Simplified Arabic" w:hAnsi="Simplified Arabic" w:cs="Simplified Arabic" w:hint="cs"/>
          <w:szCs w:val="24"/>
          <w:rtl/>
        </w:rPr>
        <w:t>.</w:t>
      </w:r>
    </w:p>
    <w:p w:rsidR="004922D5" w:rsidRPr="002E513E" w:rsidRDefault="004922D5" w:rsidP="00FA76FA">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و</w:t>
      </w:r>
      <w:r w:rsidR="00AE53EB">
        <w:rPr>
          <w:rFonts w:ascii="Simplified Arabic" w:hAnsi="Simplified Arabic" w:cs="Simplified Arabic" w:hint="cs"/>
          <w:szCs w:val="24"/>
          <w:rtl/>
        </w:rPr>
        <w:t>أدلى ب</w:t>
      </w:r>
      <w:r w:rsidRPr="002E513E">
        <w:rPr>
          <w:rFonts w:ascii="Simplified Arabic" w:hAnsi="Simplified Arabic" w:cs="Simplified Arabic" w:hint="cs"/>
          <w:szCs w:val="24"/>
          <w:rtl/>
        </w:rPr>
        <w:t>بيانات</w:t>
      </w:r>
      <w:r w:rsidRPr="002E513E">
        <w:rPr>
          <w:rFonts w:ascii="Simplified Arabic" w:hAnsi="Simplified Arabic" w:cs="Simplified Arabic"/>
          <w:szCs w:val="24"/>
          <w:rtl/>
        </w:rPr>
        <w:t xml:space="preserve"> أخرى</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ممثل</w:t>
      </w:r>
      <w:r w:rsidR="00AE53EB">
        <w:rPr>
          <w:rFonts w:ascii="Simplified Arabic" w:hAnsi="Simplified Arabic" w:cs="Simplified Arabic" w:hint="cs"/>
          <w:szCs w:val="24"/>
          <w:rtl/>
        </w:rPr>
        <w:t>و</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مركز ا</w:t>
      </w:r>
      <w:r w:rsidRPr="002E513E">
        <w:rPr>
          <w:rFonts w:ascii="Simplified Arabic" w:hAnsi="Simplified Arabic" w:cs="Simplified Arabic"/>
          <w:szCs w:val="24"/>
          <w:rtl/>
        </w:rPr>
        <w:t xml:space="preserve">لمياه والبيئة </w:t>
      </w:r>
      <w:r w:rsidRPr="002E513E">
        <w:rPr>
          <w:rFonts w:ascii="Simplified Arabic" w:hAnsi="Simplified Arabic" w:cs="Simplified Arabic" w:hint="cs"/>
          <w:szCs w:val="24"/>
          <w:rtl/>
        </w:rPr>
        <w:t>ب</w:t>
      </w:r>
      <w:r w:rsidRPr="002E513E">
        <w:rPr>
          <w:rFonts w:ascii="Simplified Arabic" w:hAnsi="Simplified Arabic" w:cs="Simplified Arabic"/>
          <w:szCs w:val="24"/>
          <w:rtl/>
        </w:rPr>
        <w:t>ماليزيا</w:t>
      </w:r>
      <w:r w:rsidRPr="002E513E">
        <w:rPr>
          <w:rFonts w:ascii="Simplified Arabic" w:hAnsi="Simplified Arabic" w:cs="Simplified Arabic" w:hint="cs"/>
          <w:szCs w:val="24"/>
          <w:rtl/>
        </w:rPr>
        <w:t xml:space="preserve"> التابع ل</w:t>
      </w:r>
      <w:r w:rsidR="00FA76FA">
        <w:rPr>
          <w:rFonts w:ascii="Simplified Arabic" w:hAnsi="Simplified Arabic" w:cs="Simplified Arabic" w:hint="cs"/>
          <w:szCs w:val="24"/>
          <w:rtl/>
        </w:rPr>
        <w:t>ل</w:t>
      </w:r>
      <w:r w:rsidRPr="002E513E">
        <w:rPr>
          <w:rFonts w:ascii="Simplified Arabic" w:hAnsi="Simplified Arabic" w:cs="Simplified Arabic" w:hint="cs"/>
          <w:szCs w:val="24"/>
          <w:rtl/>
        </w:rPr>
        <w:t xml:space="preserve">معهد </w:t>
      </w:r>
      <w:r w:rsidR="00FA76FA">
        <w:rPr>
          <w:rFonts w:ascii="Simplified Arabic" w:hAnsi="Simplified Arabic" w:cs="Simplified Arabic" w:hint="cs"/>
          <w:szCs w:val="24"/>
          <w:rtl/>
        </w:rPr>
        <w:t>الألماني للهيدروغرافيا</w:t>
      </w:r>
      <w:r w:rsidRPr="002E513E">
        <w:rPr>
          <w:rFonts w:ascii="Simplified Arabic" w:hAnsi="Simplified Arabic" w:cs="Simplified Arabic" w:hint="cs"/>
          <w:szCs w:val="24"/>
          <w:rtl/>
        </w:rPr>
        <w:t xml:space="preserve">؛ وجمعية </w:t>
      </w:r>
      <w:r w:rsidRPr="002E513E">
        <w:rPr>
          <w:rFonts w:ascii="Simplified Arabic" w:hAnsi="Simplified Arabic" w:cs="Simplified Arabic"/>
          <w:szCs w:val="24"/>
          <w:rtl/>
        </w:rPr>
        <w:t xml:space="preserve">أصدقاء الأرض الدولية (أيضا </w:t>
      </w:r>
      <w:r w:rsidR="00AE53EB">
        <w:rPr>
          <w:rFonts w:ascii="Simplified Arabic" w:hAnsi="Simplified Arabic" w:cs="Simplified Arabic" w:hint="cs"/>
          <w:szCs w:val="24"/>
          <w:rtl/>
        </w:rPr>
        <w:t>بالنيابة عن</w:t>
      </w:r>
      <w:r w:rsidRPr="002E513E">
        <w:rPr>
          <w:rFonts w:ascii="Simplified Arabic" w:hAnsi="Simplified Arabic" w:cs="Simplified Arabic" w:hint="cs"/>
          <w:szCs w:val="24"/>
          <w:rtl/>
        </w:rPr>
        <w:t xml:space="preserve"> اتحاد المناطق المحفوظة بواسطة الشعوب الأصلية والمجتمعات المحلية</w:t>
      </w:r>
      <w:r w:rsidRPr="002E513E">
        <w:rPr>
          <w:rFonts w:ascii="Simplified Arabic" w:hAnsi="Simplified Arabic" w:cs="Simplified Arabic"/>
          <w:szCs w:val="24"/>
          <w:rtl/>
        </w:rPr>
        <w:t>،</w:t>
      </w:r>
      <w:r w:rsidRPr="002E513E">
        <w:rPr>
          <w:rFonts w:ascii="Simplified Arabic" w:hAnsi="Simplified Arabic" w:cs="Simplified Arabic" w:hint="cs"/>
          <w:szCs w:val="24"/>
          <w:rtl/>
        </w:rPr>
        <w:t xml:space="preserve"> ومركز</w:t>
      </w:r>
      <w:r w:rsidRPr="002E513E">
        <w:rPr>
          <w:rFonts w:ascii="Simplified Arabic" w:hAnsi="Simplified Arabic" w:cs="Simplified Arabic"/>
          <w:szCs w:val="24"/>
          <w:rtl/>
        </w:rPr>
        <w:t xml:space="preserve"> </w:t>
      </w:r>
      <w:r w:rsidRPr="002E513E">
        <w:t>EcoNexus</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الشبكة الأوروبية </w:t>
      </w:r>
      <w:r w:rsidRPr="002E513E">
        <w:rPr>
          <w:rFonts w:ascii="Simplified Arabic" w:hAnsi="Simplified Arabic" w:cs="Simplified Arabic" w:hint="cs"/>
          <w:szCs w:val="24"/>
          <w:rtl/>
        </w:rPr>
        <w:t>للتفكير</w:t>
      </w:r>
      <w:r w:rsidRPr="002E513E">
        <w:rPr>
          <w:rFonts w:ascii="Simplified Arabic" w:hAnsi="Simplified Arabic" w:cs="Simplified Arabic"/>
          <w:szCs w:val="24"/>
          <w:rtl/>
        </w:rPr>
        <w:t xml:space="preserve"> والعمل</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 xml:space="preserve">الإيكولوجي </w:t>
      </w:r>
      <w:r w:rsidRPr="00830816">
        <w:rPr>
          <w:szCs w:val="22"/>
          <w:rtl/>
        </w:rPr>
        <w:t>(</w:t>
      </w:r>
      <w:r w:rsidRPr="00830816">
        <w:rPr>
          <w:szCs w:val="22"/>
        </w:rPr>
        <w:t>ECOROPA</w:t>
      </w:r>
      <w:r w:rsidRPr="00830816">
        <w:rPr>
          <w:szCs w:val="22"/>
          <w:rtl/>
        </w:rPr>
        <w:t>)</w:t>
      </w:r>
      <w:r w:rsidRPr="002E513E">
        <w:rPr>
          <w:rFonts w:ascii="Simplified Arabic" w:hAnsi="Simplified Arabic" w:cs="Simplified Arabic"/>
          <w:szCs w:val="24"/>
          <w:rtl/>
        </w:rPr>
        <w:t xml:space="preserve"> والتحالف العالمي للغابات)، </w:t>
      </w:r>
      <w:r w:rsidRPr="002E513E">
        <w:rPr>
          <w:rFonts w:ascii="Simplified Arabic" w:hAnsi="Simplified Arabic" w:cs="Simplified Arabic" w:hint="cs"/>
          <w:szCs w:val="24"/>
          <w:rtl/>
        </w:rPr>
        <w:t xml:space="preserve">ومنظمة </w:t>
      </w:r>
      <w:r w:rsidRPr="002E513E">
        <w:rPr>
          <w:rFonts w:ascii="Simplified Arabic" w:hAnsi="Simplified Arabic" w:cs="Simplified Arabic"/>
          <w:szCs w:val="24"/>
          <w:rtl/>
        </w:rPr>
        <w:t xml:space="preserve">أصدقاء الغابات السيبيرية (أيضا </w:t>
      </w:r>
      <w:r w:rsidR="00616D3E">
        <w:rPr>
          <w:rFonts w:ascii="Simplified Arabic" w:hAnsi="Simplified Arabic" w:cs="Simplified Arabic" w:hint="cs"/>
          <w:szCs w:val="24"/>
          <w:rtl/>
        </w:rPr>
        <w:t>بالنيابة عن</w:t>
      </w:r>
      <w:r w:rsidRPr="002E513E">
        <w:rPr>
          <w:rFonts w:ascii="Simplified Arabic" w:hAnsi="Simplified Arabic" w:cs="Simplified Arabic"/>
          <w:szCs w:val="24"/>
          <w:rtl/>
        </w:rPr>
        <w:t xml:space="preserve"> التحالف العالمي للغابات)، </w:t>
      </w: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الشبكة العالمية </w:t>
      </w:r>
      <w:r w:rsidR="00616D3E">
        <w:rPr>
          <w:rFonts w:ascii="Simplified Arabic" w:hAnsi="Simplified Arabic" w:cs="Simplified Arabic" w:hint="cs"/>
          <w:szCs w:val="24"/>
          <w:rtl/>
        </w:rPr>
        <w:t>للشباب المعنية با</w:t>
      </w:r>
      <w:r w:rsidRPr="002E513E">
        <w:rPr>
          <w:rFonts w:ascii="Simplified Arabic" w:hAnsi="Simplified Arabic" w:cs="Simplified Arabic"/>
          <w:szCs w:val="24"/>
          <w:rtl/>
        </w:rPr>
        <w:t xml:space="preserve">لتنوع البيولوجي </w:t>
      </w:r>
      <w:r w:rsidRPr="00830816">
        <w:rPr>
          <w:szCs w:val="22"/>
          <w:rtl/>
        </w:rPr>
        <w:t>(</w:t>
      </w:r>
      <w:r w:rsidRPr="00830816">
        <w:rPr>
          <w:szCs w:val="22"/>
        </w:rPr>
        <w:t>GYBN</w:t>
      </w:r>
      <w:r w:rsidRPr="00830816">
        <w:rPr>
          <w:szCs w:val="22"/>
          <w:rtl/>
        </w:rPr>
        <w:t>)</w:t>
      </w:r>
      <w:r w:rsidR="00830816">
        <w:rPr>
          <w:rFonts w:ascii="Simplified Arabic" w:hAnsi="Simplified Arabic" w:cs="Simplified Arabic" w:hint="cs"/>
          <w:szCs w:val="24"/>
          <w:rtl/>
        </w:rPr>
        <w:t>،</w:t>
      </w:r>
      <w:r w:rsidRPr="002E513E">
        <w:rPr>
          <w:rFonts w:ascii="Simplified Arabic" w:hAnsi="Simplified Arabic" w:cs="Simplified Arabic"/>
          <w:szCs w:val="24"/>
          <w:rtl/>
        </w:rPr>
        <w:t xml:space="preserve"> و</w:t>
      </w:r>
      <w:r w:rsidRPr="002E513E">
        <w:rPr>
          <w:rFonts w:ascii="Simplified Arabic" w:hAnsi="Simplified Arabic" w:cs="Simplified Arabic" w:hint="cs"/>
          <w:szCs w:val="24"/>
          <w:rtl/>
        </w:rPr>
        <w:t xml:space="preserve">رابطة </w:t>
      </w:r>
      <w:r w:rsidRPr="002E513E">
        <w:rPr>
          <w:rFonts w:ascii="Simplified Arabic" w:hAnsi="Simplified Arabic" w:cs="Simplified Arabic"/>
          <w:szCs w:val="24"/>
          <w:rtl/>
        </w:rPr>
        <w:t>صناع</w:t>
      </w:r>
      <w:r w:rsidRPr="002E513E">
        <w:rPr>
          <w:rFonts w:ascii="Simplified Arabic" w:hAnsi="Simplified Arabic" w:cs="Simplified Arabic" w:hint="cs"/>
          <w:szCs w:val="24"/>
          <w:rtl/>
        </w:rPr>
        <w:t>ة</w:t>
      </w:r>
      <w:r w:rsidRPr="002E513E">
        <w:rPr>
          <w:rFonts w:ascii="Simplified Arabic" w:hAnsi="Simplified Arabic" w:cs="Simplified Arabic"/>
          <w:szCs w:val="24"/>
          <w:rtl/>
        </w:rPr>
        <w:t xml:space="preserve"> النفط الدولية لحفظ البيئة </w:t>
      </w:r>
      <w:r w:rsidRPr="00830816">
        <w:rPr>
          <w:szCs w:val="22"/>
          <w:rtl/>
        </w:rPr>
        <w:t>(</w:t>
      </w:r>
      <w:r w:rsidRPr="00830816">
        <w:rPr>
          <w:szCs w:val="22"/>
        </w:rPr>
        <w:t>IPIECA</w:t>
      </w:r>
      <w:r w:rsidRPr="00830816">
        <w:rPr>
          <w:szCs w:val="22"/>
          <w:rtl/>
        </w:rPr>
        <w:t>)</w:t>
      </w:r>
      <w:r w:rsidRPr="002E513E">
        <w:rPr>
          <w:rFonts w:ascii="Simplified Arabic" w:hAnsi="Simplified Arabic" w:cs="Simplified Arabic" w:hint="cs"/>
          <w:szCs w:val="24"/>
          <w:rtl/>
        </w:rPr>
        <w:t>.</w:t>
      </w:r>
    </w:p>
    <w:p w:rsidR="004922D5" w:rsidRPr="002E513E" w:rsidRDefault="004922D5"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قالت الرئيسة إنها ست</w:t>
      </w:r>
      <w:r w:rsidRPr="002E513E">
        <w:rPr>
          <w:rFonts w:ascii="Simplified Arabic" w:hAnsi="Simplified Arabic" w:cs="Simplified Arabic" w:hint="cs"/>
          <w:szCs w:val="24"/>
          <w:rtl/>
        </w:rPr>
        <w:t>عد</w:t>
      </w:r>
      <w:r w:rsidRPr="002E513E">
        <w:rPr>
          <w:rFonts w:ascii="Simplified Arabic" w:hAnsi="Simplified Arabic" w:cs="Simplified Arabic"/>
          <w:szCs w:val="24"/>
          <w:rtl/>
        </w:rPr>
        <w:t xml:space="preserve"> مشروع مقرر</w:t>
      </w:r>
      <w:r w:rsidRPr="002E513E">
        <w:rPr>
          <w:rFonts w:ascii="Simplified Arabic" w:hAnsi="Simplified Arabic" w:cs="Simplified Arabic" w:hint="cs"/>
          <w:szCs w:val="24"/>
          <w:rtl/>
        </w:rPr>
        <w:t xml:space="preserve"> منقَّح</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ل</w:t>
      </w:r>
      <w:r w:rsidRPr="002E513E">
        <w:rPr>
          <w:rFonts w:ascii="Simplified Arabic" w:hAnsi="Simplified Arabic" w:cs="Simplified Arabic"/>
          <w:szCs w:val="24"/>
          <w:rtl/>
        </w:rPr>
        <w:t>ينظر فيه الفريق العامل</w:t>
      </w:r>
      <w:r w:rsidRPr="002E513E">
        <w:rPr>
          <w:rFonts w:ascii="Simplified Arabic" w:hAnsi="Simplified Arabic" w:cs="Simplified Arabic" w:hint="cs"/>
          <w:szCs w:val="24"/>
          <w:rtl/>
        </w:rPr>
        <w:t>.</w:t>
      </w:r>
    </w:p>
    <w:p w:rsidR="004922D5" w:rsidRPr="002E513E" w:rsidRDefault="004922D5"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 w:val="24"/>
          <w:szCs w:val="24"/>
          <w:rtl/>
        </w:rPr>
        <w:t>و</w:t>
      </w:r>
      <w:r w:rsidR="00816DC2">
        <w:rPr>
          <w:rFonts w:ascii="Simplified Arabic" w:hAnsi="Simplified Arabic" w:cs="Simplified Arabic" w:hint="cs"/>
          <w:sz w:val="24"/>
          <w:szCs w:val="24"/>
          <w:rtl/>
        </w:rPr>
        <w:t>في</w:t>
      </w:r>
      <w:r w:rsidR="00816DC2" w:rsidRPr="002E513E">
        <w:rPr>
          <w:rFonts w:ascii="Simplified Arabic" w:hAnsi="Simplified Arabic" w:cs="Simplified Arabic"/>
          <w:sz w:val="24"/>
          <w:szCs w:val="24"/>
          <w:rtl/>
        </w:rPr>
        <w:t xml:space="preserve"> </w:t>
      </w:r>
      <w:r w:rsidR="00816DC2">
        <w:rPr>
          <w:rFonts w:ascii="Simplified Arabic" w:hAnsi="Simplified Arabic" w:cs="Simplified Arabic" w:hint="cs"/>
          <w:szCs w:val="24"/>
          <w:rtl/>
        </w:rPr>
        <w:t>جلست</w:t>
      </w:r>
      <w:r w:rsidR="00816DC2" w:rsidRPr="002E513E">
        <w:rPr>
          <w:rFonts w:ascii="Simplified Arabic" w:hAnsi="Simplified Arabic" w:cs="Simplified Arabic"/>
          <w:szCs w:val="24"/>
          <w:rtl/>
        </w:rPr>
        <w:t xml:space="preserve">ه </w:t>
      </w:r>
      <w:r w:rsidR="00816DC2" w:rsidRPr="002E513E">
        <w:rPr>
          <w:rFonts w:ascii="Simplified Arabic" w:hAnsi="Simplified Arabic" w:cs="Simplified Arabic"/>
          <w:sz w:val="24"/>
          <w:szCs w:val="24"/>
          <w:rtl/>
        </w:rPr>
        <w:t>الثالث</w:t>
      </w:r>
      <w:r w:rsidR="00816DC2">
        <w:rPr>
          <w:rFonts w:ascii="Simplified Arabic" w:hAnsi="Simplified Arabic" w:cs="Simplified Arabic" w:hint="cs"/>
          <w:sz w:val="24"/>
          <w:szCs w:val="24"/>
          <w:rtl/>
        </w:rPr>
        <w:t>ة</w:t>
      </w:r>
      <w:r w:rsidR="00816DC2" w:rsidRPr="002E513E">
        <w:rPr>
          <w:rFonts w:ascii="Simplified Arabic" w:hAnsi="Simplified Arabic" w:cs="Simplified Arabic"/>
          <w:sz w:val="24"/>
          <w:szCs w:val="24"/>
          <w:rtl/>
        </w:rPr>
        <w:t xml:space="preserve"> عشر</w:t>
      </w:r>
      <w:r w:rsidR="00816DC2">
        <w:rPr>
          <w:rFonts w:ascii="Simplified Arabic" w:hAnsi="Simplified Arabic" w:cs="Simplified Arabic" w:hint="cs"/>
          <w:sz w:val="24"/>
          <w:szCs w:val="24"/>
          <w:rtl/>
        </w:rPr>
        <w:t>ة</w:t>
      </w:r>
      <w:r w:rsidR="00816DC2" w:rsidRPr="002E513E">
        <w:rPr>
          <w:rFonts w:ascii="Simplified Arabic" w:hAnsi="Simplified Arabic" w:cs="Simplified Arabic"/>
          <w:sz w:val="24"/>
          <w:szCs w:val="24"/>
          <w:rtl/>
        </w:rPr>
        <w:t xml:space="preserve">، </w:t>
      </w:r>
      <w:r w:rsidR="00816DC2" w:rsidRPr="002E513E">
        <w:rPr>
          <w:rFonts w:ascii="Simplified Arabic" w:hAnsi="Simplified Arabic" w:cs="Simplified Arabic"/>
          <w:szCs w:val="24"/>
          <w:rtl/>
        </w:rPr>
        <w:t>المعقود</w:t>
      </w:r>
      <w:r w:rsidR="00816DC2">
        <w:rPr>
          <w:rFonts w:ascii="Simplified Arabic" w:hAnsi="Simplified Arabic" w:cs="Simplified Arabic" w:hint="cs"/>
          <w:szCs w:val="24"/>
          <w:rtl/>
        </w:rPr>
        <w:t>ة</w:t>
      </w:r>
      <w:r w:rsidR="00816DC2" w:rsidRPr="002E513E">
        <w:rPr>
          <w:rFonts w:ascii="Simplified Arabic" w:hAnsi="Simplified Arabic" w:cs="Simplified Arabic"/>
          <w:szCs w:val="24"/>
          <w:rtl/>
        </w:rPr>
        <w:t xml:space="preserve"> </w:t>
      </w:r>
      <w:r w:rsidR="00816DC2" w:rsidRPr="002E513E">
        <w:rPr>
          <w:rFonts w:ascii="Simplified Arabic" w:hAnsi="Simplified Arabic" w:cs="Simplified Arabic"/>
          <w:sz w:val="24"/>
          <w:szCs w:val="24"/>
          <w:rtl/>
        </w:rPr>
        <w:t>في 26 نوفمبر/تشرين الثاني 2018،</w:t>
      </w:r>
      <w:r w:rsidR="00816DC2">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نظر الفريق العامل في مشروع المقرر المنقح المقدم من الرئيس</w:t>
      </w:r>
      <w:r w:rsidRPr="002E513E">
        <w:rPr>
          <w:rFonts w:ascii="Simplified Arabic" w:hAnsi="Simplified Arabic" w:cs="Simplified Arabic" w:hint="cs"/>
          <w:sz w:val="24"/>
          <w:szCs w:val="24"/>
          <w:rtl/>
        </w:rPr>
        <w:t>ة.</w:t>
      </w:r>
    </w:p>
    <w:p w:rsidR="004922D5" w:rsidRPr="002E513E" w:rsidRDefault="004922D5"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sz w:val="24"/>
          <w:szCs w:val="24"/>
          <w:rtl/>
        </w:rPr>
        <w:t>وأدلى ببيانات ممثلو</w:t>
      </w:r>
      <w:r w:rsidRPr="002E513E">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الأرجنتين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والبرازيل</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وتشاد</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وكولومبيا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والاتحاد الأوروبي ودول</w:t>
      </w:r>
      <w:r w:rsidR="00830816">
        <w:rPr>
          <w:rFonts w:ascii="Simplified Arabic" w:hAnsi="Simplified Arabic" w:cs="Simplified Arabic" w:hint="cs"/>
          <w:sz w:val="24"/>
          <w:szCs w:val="24"/>
          <w:rtl/>
        </w:rPr>
        <w:t>ه</w:t>
      </w:r>
      <w:r w:rsidRPr="002E513E">
        <w:rPr>
          <w:rFonts w:ascii="Simplified Arabic" w:hAnsi="Simplified Arabic" w:cs="Simplified Arabic"/>
          <w:sz w:val="24"/>
          <w:szCs w:val="24"/>
          <w:rtl/>
        </w:rPr>
        <w:t xml:space="preserve"> الأعضاء</w:t>
      </w:r>
      <w:r w:rsidRPr="002E513E">
        <w:rPr>
          <w:rFonts w:ascii="Simplified Arabic" w:hAnsi="Simplified Arabic" w:cs="Simplified Arabic" w:hint="cs"/>
          <w:sz w:val="24"/>
          <w:szCs w:val="24"/>
          <w:rtl/>
        </w:rPr>
        <w:t xml:space="preserve"> </w:t>
      </w:r>
      <w:r w:rsidR="00830816">
        <w:rPr>
          <w:rFonts w:ascii="Simplified Arabic" w:hAnsi="Simplified Arabic" w:cs="Simplified Arabic" w:hint="cs"/>
          <w:sz w:val="24"/>
          <w:szCs w:val="24"/>
          <w:rtl/>
        </w:rPr>
        <w:t>الثماني والعشرين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وغانا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والمكسيك</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ونيوزيلندا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والنرويج</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والفلبين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وسنغافورة</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وجنوب أفريقيا وفنزويلا (جمهورية - البوليفارية)</w:t>
      </w:r>
      <w:r w:rsidRPr="002E513E">
        <w:rPr>
          <w:rFonts w:ascii="Simplified Arabic" w:hAnsi="Simplified Arabic" w:cs="Simplified Arabic" w:hint="cs"/>
          <w:sz w:val="24"/>
          <w:szCs w:val="24"/>
          <w:rtl/>
        </w:rPr>
        <w:t>.</w:t>
      </w:r>
    </w:p>
    <w:p w:rsidR="004922D5" w:rsidRPr="002E513E" w:rsidRDefault="004922D5"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sz w:val="24"/>
          <w:szCs w:val="24"/>
          <w:rtl/>
        </w:rPr>
        <w:t>و</w:t>
      </w:r>
      <w:r w:rsidR="00816DC2">
        <w:rPr>
          <w:rFonts w:ascii="Simplified Arabic" w:hAnsi="Simplified Arabic" w:cs="Simplified Arabic" w:hint="cs"/>
          <w:sz w:val="24"/>
          <w:szCs w:val="24"/>
          <w:rtl/>
        </w:rPr>
        <w:t>في</w:t>
      </w:r>
      <w:r w:rsidR="00816DC2" w:rsidRPr="002E513E">
        <w:rPr>
          <w:rFonts w:ascii="Simplified Arabic" w:hAnsi="Simplified Arabic" w:cs="Simplified Arabic"/>
          <w:sz w:val="24"/>
          <w:szCs w:val="24"/>
          <w:rtl/>
        </w:rPr>
        <w:t xml:space="preserve"> </w:t>
      </w:r>
      <w:r w:rsidR="00816DC2">
        <w:rPr>
          <w:rFonts w:ascii="Simplified Arabic" w:hAnsi="Simplified Arabic" w:cs="Simplified Arabic" w:hint="cs"/>
          <w:szCs w:val="24"/>
          <w:rtl/>
        </w:rPr>
        <w:t>جلست</w:t>
      </w:r>
      <w:r w:rsidR="00816DC2" w:rsidRPr="002E513E">
        <w:rPr>
          <w:rFonts w:ascii="Simplified Arabic" w:hAnsi="Simplified Arabic" w:cs="Simplified Arabic"/>
          <w:szCs w:val="24"/>
          <w:rtl/>
        </w:rPr>
        <w:t>ه</w:t>
      </w:r>
      <w:r w:rsidR="00816DC2" w:rsidRPr="002E513E">
        <w:rPr>
          <w:rFonts w:ascii="Simplified Arabic" w:hAnsi="Simplified Arabic" w:cs="Simplified Arabic"/>
          <w:sz w:val="24"/>
          <w:szCs w:val="24"/>
          <w:rtl/>
        </w:rPr>
        <w:t xml:space="preserve"> الرابع</w:t>
      </w:r>
      <w:r w:rsidR="00816DC2">
        <w:rPr>
          <w:rFonts w:ascii="Simplified Arabic" w:hAnsi="Simplified Arabic" w:cs="Simplified Arabic" w:hint="cs"/>
          <w:sz w:val="24"/>
          <w:szCs w:val="24"/>
          <w:rtl/>
        </w:rPr>
        <w:t>ة</w:t>
      </w:r>
      <w:r w:rsidR="00816DC2" w:rsidRPr="002E513E">
        <w:rPr>
          <w:rFonts w:ascii="Simplified Arabic" w:hAnsi="Simplified Arabic" w:cs="Simplified Arabic"/>
          <w:sz w:val="24"/>
          <w:szCs w:val="24"/>
          <w:rtl/>
        </w:rPr>
        <w:t xml:space="preserve"> عشر</w:t>
      </w:r>
      <w:r w:rsidR="00816DC2">
        <w:rPr>
          <w:rFonts w:ascii="Simplified Arabic" w:hAnsi="Simplified Arabic" w:cs="Simplified Arabic" w:hint="cs"/>
          <w:sz w:val="24"/>
          <w:szCs w:val="24"/>
          <w:rtl/>
        </w:rPr>
        <w:t>ة</w:t>
      </w:r>
      <w:r w:rsidR="00816DC2" w:rsidRPr="002E513E">
        <w:rPr>
          <w:rFonts w:ascii="Simplified Arabic" w:hAnsi="Simplified Arabic" w:cs="Simplified Arabic"/>
          <w:sz w:val="24"/>
          <w:szCs w:val="24"/>
          <w:rtl/>
        </w:rPr>
        <w:t xml:space="preserve">، </w:t>
      </w:r>
      <w:r w:rsidR="00816DC2" w:rsidRPr="002E513E">
        <w:rPr>
          <w:rFonts w:ascii="Simplified Arabic" w:hAnsi="Simplified Arabic" w:cs="Simplified Arabic"/>
          <w:szCs w:val="24"/>
          <w:rtl/>
        </w:rPr>
        <w:t>المعقود</w:t>
      </w:r>
      <w:r w:rsidR="00816DC2">
        <w:rPr>
          <w:rFonts w:ascii="Simplified Arabic" w:hAnsi="Simplified Arabic" w:cs="Simplified Arabic" w:hint="cs"/>
          <w:szCs w:val="24"/>
          <w:rtl/>
        </w:rPr>
        <w:t>ة</w:t>
      </w:r>
      <w:r w:rsidR="00816DC2" w:rsidRPr="002E513E">
        <w:rPr>
          <w:rFonts w:ascii="Simplified Arabic" w:hAnsi="Simplified Arabic" w:cs="Simplified Arabic"/>
          <w:szCs w:val="24"/>
          <w:rtl/>
        </w:rPr>
        <w:t xml:space="preserve"> </w:t>
      </w:r>
      <w:r w:rsidR="00816DC2" w:rsidRPr="002E513E">
        <w:rPr>
          <w:rFonts w:ascii="Simplified Arabic" w:hAnsi="Simplified Arabic" w:cs="Simplified Arabic"/>
          <w:sz w:val="24"/>
          <w:szCs w:val="24"/>
          <w:rtl/>
        </w:rPr>
        <w:t>في 27 نوفمبر/تشرين الثاني 2018</w:t>
      </w:r>
      <w:r w:rsidR="00816DC2">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استأنف الفريق العامل نظر</w:t>
      </w:r>
      <w:r w:rsidRPr="002E513E">
        <w:rPr>
          <w:rFonts w:ascii="Simplified Arabic" w:hAnsi="Simplified Arabic" w:cs="Simplified Arabic" w:hint="cs"/>
          <w:sz w:val="24"/>
          <w:szCs w:val="24"/>
          <w:rtl/>
        </w:rPr>
        <w:t>ه</w:t>
      </w:r>
      <w:r w:rsidRPr="002E513E">
        <w:rPr>
          <w:rFonts w:ascii="Simplified Arabic" w:hAnsi="Simplified Arabic" w:cs="Simplified Arabic"/>
          <w:sz w:val="24"/>
          <w:szCs w:val="24"/>
          <w:rtl/>
        </w:rPr>
        <w:t xml:space="preserve"> في مشروع المقرر</w:t>
      </w:r>
      <w:r w:rsidRPr="002E513E">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المنقح</w:t>
      </w:r>
      <w:r w:rsidRPr="002E513E">
        <w:rPr>
          <w:rFonts w:ascii="Simplified Arabic" w:hAnsi="Simplified Arabic" w:cs="Simplified Arabic" w:hint="cs"/>
          <w:sz w:val="24"/>
          <w:szCs w:val="24"/>
          <w:rtl/>
        </w:rPr>
        <w:t>.</w:t>
      </w:r>
    </w:p>
    <w:p w:rsidR="004922D5" w:rsidRPr="002E513E" w:rsidRDefault="00830816"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830816">
        <w:rPr>
          <w:rFonts w:ascii="Simplified Arabic" w:hAnsi="Simplified Arabic" w:cs="Simplified Arabic"/>
          <w:sz w:val="24"/>
          <w:szCs w:val="24"/>
          <w:rtl/>
        </w:rPr>
        <w:t>و</w:t>
      </w:r>
      <w:r w:rsidRPr="00830816">
        <w:rPr>
          <w:rFonts w:ascii="Simplified Arabic" w:hAnsi="Simplified Arabic" w:cs="Simplified Arabic" w:hint="cs"/>
          <w:sz w:val="24"/>
          <w:szCs w:val="24"/>
          <w:rtl/>
        </w:rPr>
        <w:t xml:space="preserve">أدلى ببيانات </w:t>
      </w:r>
      <w:r w:rsidRPr="00830816">
        <w:rPr>
          <w:rFonts w:ascii="Simplified Arabic" w:hAnsi="Simplified Arabic" w:cs="Simplified Arabic"/>
          <w:sz w:val="24"/>
          <w:szCs w:val="24"/>
          <w:rtl/>
        </w:rPr>
        <w:t>ممثل</w:t>
      </w:r>
      <w:r w:rsidRPr="00830816">
        <w:rPr>
          <w:rFonts w:ascii="Simplified Arabic" w:hAnsi="Simplified Arabic" w:cs="Simplified Arabic" w:hint="cs"/>
          <w:sz w:val="24"/>
          <w:szCs w:val="24"/>
          <w:rtl/>
        </w:rPr>
        <w:t>و</w:t>
      </w:r>
      <w:r w:rsidR="004922D5" w:rsidRPr="002E513E">
        <w:rPr>
          <w:rFonts w:ascii="Simplified Arabic" w:hAnsi="Simplified Arabic" w:cs="Simplified Arabic"/>
          <w:sz w:val="24"/>
          <w:szCs w:val="24"/>
          <w:rtl/>
        </w:rPr>
        <w:t xml:space="preserve"> الأرجنتين، </w:t>
      </w:r>
      <w:r w:rsidR="004922D5" w:rsidRPr="002E513E">
        <w:rPr>
          <w:rFonts w:ascii="Simplified Arabic" w:hAnsi="Simplified Arabic" w:cs="Simplified Arabic" w:hint="cs"/>
          <w:sz w:val="24"/>
          <w:szCs w:val="24"/>
          <w:rtl/>
        </w:rPr>
        <w:t>و</w:t>
      </w:r>
      <w:r w:rsidR="004922D5" w:rsidRPr="002E513E">
        <w:rPr>
          <w:rFonts w:ascii="Simplified Arabic" w:hAnsi="Simplified Arabic" w:cs="Simplified Arabic"/>
          <w:sz w:val="24"/>
          <w:szCs w:val="24"/>
          <w:rtl/>
        </w:rPr>
        <w:t xml:space="preserve">كولومبيا، </w:t>
      </w:r>
      <w:r w:rsidR="004922D5" w:rsidRPr="002E513E">
        <w:rPr>
          <w:rFonts w:ascii="Simplified Arabic" w:hAnsi="Simplified Arabic" w:cs="Simplified Arabic" w:hint="cs"/>
          <w:sz w:val="24"/>
          <w:szCs w:val="24"/>
          <w:rtl/>
        </w:rPr>
        <w:t>و</w:t>
      </w:r>
      <w:r w:rsidR="004922D5" w:rsidRPr="002E513E">
        <w:rPr>
          <w:rFonts w:ascii="Simplified Arabic" w:hAnsi="Simplified Arabic" w:cs="Simplified Arabic"/>
          <w:sz w:val="24"/>
          <w:szCs w:val="24"/>
          <w:rtl/>
        </w:rPr>
        <w:t>مصر، والاتحاد الأوروبي ودول</w:t>
      </w:r>
      <w:r w:rsidR="00C57E2E">
        <w:rPr>
          <w:rFonts w:ascii="Simplified Arabic" w:hAnsi="Simplified Arabic" w:cs="Simplified Arabic" w:hint="cs"/>
          <w:sz w:val="24"/>
          <w:szCs w:val="24"/>
          <w:rtl/>
        </w:rPr>
        <w:t>ه</w:t>
      </w:r>
      <w:r w:rsidR="004922D5" w:rsidRPr="002E513E">
        <w:rPr>
          <w:rFonts w:ascii="Simplified Arabic" w:hAnsi="Simplified Arabic" w:cs="Simplified Arabic"/>
          <w:sz w:val="24"/>
          <w:szCs w:val="24"/>
          <w:rtl/>
        </w:rPr>
        <w:t xml:space="preserve"> الأعضاء</w:t>
      </w:r>
      <w:r w:rsidR="004922D5" w:rsidRPr="002E513E">
        <w:rPr>
          <w:rFonts w:ascii="Simplified Arabic" w:hAnsi="Simplified Arabic" w:cs="Simplified Arabic" w:hint="cs"/>
          <w:sz w:val="24"/>
          <w:szCs w:val="24"/>
          <w:rtl/>
        </w:rPr>
        <w:t xml:space="preserve"> </w:t>
      </w:r>
      <w:r w:rsidR="00C57E2E">
        <w:rPr>
          <w:rFonts w:ascii="Simplified Arabic" w:hAnsi="Simplified Arabic" w:cs="Simplified Arabic" w:hint="cs"/>
          <w:sz w:val="24"/>
          <w:szCs w:val="24"/>
          <w:rtl/>
        </w:rPr>
        <w:t>الثماني والعشرين،</w:t>
      </w:r>
      <w:r w:rsidR="004922D5" w:rsidRPr="002E513E">
        <w:rPr>
          <w:rFonts w:ascii="Simplified Arabic" w:hAnsi="Simplified Arabic" w:cs="Simplified Arabic"/>
          <w:sz w:val="24"/>
          <w:szCs w:val="24"/>
          <w:rtl/>
        </w:rPr>
        <w:t xml:space="preserve"> </w:t>
      </w:r>
      <w:r w:rsidR="004922D5" w:rsidRPr="002E513E">
        <w:rPr>
          <w:rFonts w:ascii="Simplified Arabic" w:hAnsi="Simplified Arabic" w:cs="Simplified Arabic" w:hint="cs"/>
          <w:sz w:val="24"/>
          <w:szCs w:val="24"/>
          <w:rtl/>
        </w:rPr>
        <w:t>و</w:t>
      </w:r>
      <w:r w:rsidR="004922D5" w:rsidRPr="002E513E">
        <w:rPr>
          <w:rFonts w:ascii="Simplified Arabic" w:hAnsi="Simplified Arabic" w:cs="Simplified Arabic"/>
          <w:sz w:val="24"/>
          <w:szCs w:val="24"/>
          <w:rtl/>
        </w:rPr>
        <w:t>المكسيك ونيوزيلندا</w:t>
      </w:r>
      <w:r w:rsidR="004922D5" w:rsidRPr="002E513E">
        <w:rPr>
          <w:rFonts w:ascii="Simplified Arabic" w:hAnsi="Simplified Arabic" w:cs="Simplified Arabic" w:hint="cs"/>
          <w:sz w:val="24"/>
          <w:szCs w:val="24"/>
          <w:rtl/>
        </w:rPr>
        <w:t>.</w:t>
      </w:r>
    </w:p>
    <w:p w:rsidR="004922D5" w:rsidRPr="002E513E" w:rsidRDefault="004922D5"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Pr>
      </w:pPr>
      <w:r w:rsidRPr="002E513E">
        <w:rPr>
          <w:rFonts w:ascii="Simplified Arabic" w:hAnsi="Simplified Arabic" w:cs="Simplified Arabic"/>
          <w:szCs w:val="24"/>
          <w:rtl/>
        </w:rPr>
        <w:t xml:space="preserve">وبعد تبادل الآراء، </w:t>
      </w:r>
      <w:r w:rsidRPr="002E513E">
        <w:rPr>
          <w:rFonts w:ascii="Simplified Arabic" w:hAnsi="Simplified Arabic" w:cs="Simplified Arabic" w:hint="cs"/>
          <w:szCs w:val="24"/>
          <w:rtl/>
        </w:rPr>
        <w:t>وُوفق</w:t>
      </w:r>
      <w:r w:rsidRPr="002E513E">
        <w:rPr>
          <w:rFonts w:ascii="Simplified Arabic" w:hAnsi="Simplified Arabic" w:cs="Simplified Arabic"/>
          <w:szCs w:val="24"/>
          <w:rtl/>
        </w:rPr>
        <w:t xml:space="preserve"> على مشروع المقرر، بصيغته المعدلة شفويا</w:t>
      </w:r>
      <w:r w:rsidR="00C57E2E">
        <w:rPr>
          <w:rFonts w:ascii="Simplified Arabic" w:hAnsi="Simplified Arabic" w:cs="Simplified Arabic" w:hint="cs"/>
          <w:szCs w:val="24"/>
          <w:rtl/>
        </w:rPr>
        <w:t>ً</w:t>
      </w:r>
      <w:r w:rsidRPr="002E513E">
        <w:rPr>
          <w:rFonts w:ascii="Simplified Arabic" w:hAnsi="Simplified Arabic" w:cs="Simplified Arabic"/>
          <w:szCs w:val="24"/>
          <w:rtl/>
        </w:rPr>
        <w:t xml:space="preserve">، لإحالته إلى الجلسة العامة </w:t>
      </w:r>
      <w:r w:rsidR="00BE3594" w:rsidRPr="002E513E">
        <w:rPr>
          <w:rFonts w:ascii="Simplified Arabic" w:hAnsi="Simplified Arabic" w:cs="Simplified Arabic" w:hint="cs"/>
          <w:szCs w:val="24"/>
          <w:rtl/>
        </w:rPr>
        <w:t>بوصفه مشروع المقرر</w:t>
      </w:r>
      <w:r w:rsidRPr="002E513E">
        <w:rPr>
          <w:rFonts w:ascii="Simplified Arabic" w:hAnsi="Simplified Arabic" w:cs="Simplified Arabic" w:hint="cs"/>
          <w:szCs w:val="24"/>
          <w:rtl/>
          <w:lang w:bidi="ar-EG"/>
        </w:rPr>
        <w:t xml:space="preserve"> </w:t>
      </w:r>
      <w:r w:rsidRPr="002E513E">
        <w:rPr>
          <w:snapToGrid w:val="0"/>
        </w:rPr>
        <w:t>CBD/COP/14/L.20</w:t>
      </w:r>
      <w:r w:rsidRPr="002E513E">
        <w:rPr>
          <w:rFonts w:ascii="Simplified Arabic" w:hAnsi="Simplified Arabic" w:cs="Simplified Arabic" w:hint="cs"/>
          <w:szCs w:val="24"/>
          <w:rtl/>
        </w:rPr>
        <w:t>.</w:t>
      </w:r>
    </w:p>
    <w:p w:rsidR="00816DC2" w:rsidRDefault="00816DC2"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Pr>
      </w:pPr>
      <w:r w:rsidRPr="004922D5">
        <w:rPr>
          <w:rFonts w:cs="Simplified Arabic" w:hint="cs"/>
          <w:szCs w:val="24"/>
          <w:rtl/>
        </w:rPr>
        <w:t>وفي الجلسة العامة ال</w:t>
      </w:r>
      <w:r>
        <w:rPr>
          <w:rFonts w:cs="Simplified Arabic" w:hint="cs"/>
          <w:szCs w:val="24"/>
          <w:rtl/>
        </w:rPr>
        <w:t>سابع</w:t>
      </w:r>
      <w:r w:rsidRPr="004922D5">
        <w:rPr>
          <w:rFonts w:cs="Simplified Arabic" w:hint="cs"/>
          <w:szCs w:val="24"/>
          <w:rtl/>
        </w:rPr>
        <w:t>ة للاجتماع، المنعقدة في 2</w:t>
      </w:r>
      <w:r>
        <w:rPr>
          <w:rFonts w:cs="Simplified Arabic" w:hint="cs"/>
          <w:szCs w:val="24"/>
          <w:rtl/>
        </w:rPr>
        <w:t>9</w:t>
      </w:r>
      <w:r w:rsidRPr="004922D5">
        <w:rPr>
          <w:rFonts w:cs="Simplified Arabic" w:hint="cs"/>
          <w:szCs w:val="24"/>
          <w:rtl/>
        </w:rPr>
        <w:t xml:space="preserve"> نوفمبر/تشرين الثاني 2018، </w:t>
      </w:r>
      <w:r>
        <w:rPr>
          <w:rFonts w:cs="Simplified Arabic" w:hint="cs"/>
          <w:szCs w:val="24"/>
          <w:rtl/>
        </w:rPr>
        <w:t>نظر</w:t>
      </w:r>
      <w:r w:rsidRPr="004922D5">
        <w:rPr>
          <w:rFonts w:cs="Simplified Arabic" w:hint="cs"/>
          <w:szCs w:val="24"/>
          <w:rtl/>
        </w:rPr>
        <w:t xml:space="preserve"> مؤتمر الأطراف </w:t>
      </w:r>
      <w:r>
        <w:rPr>
          <w:rFonts w:cs="Simplified Arabic" w:hint="cs"/>
          <w:szCs w:val="24"/>
          <w:rtl/>
        </w:rPr>
        <w:t xml:space="preserve">في </w:t>
      </w:r>
      <w:r w:rsidRPr="004922D5">
        <w:rPr>
          <w:rFonts w:cs="Simplified Arabic" w:hint="cs"/>
          <w:szCs w:val="24"/>
          <w:rtl/>
        </w:rPr>
        <w:t xml:space="preserve">مشروع المقرر </w:t>
      </w:r>
      <w:r w:rsidRPr="004922D5">
        <w:rPr>
          <w:rFonts w:cs="Simplified Arabic"/>
          <w:szCs w:val="24"/>
        </w:rPr>
        <w:t>CBD/COP/14/L.</w:t>
      </w:r>
      <w:r>
        <w:rPr>
          <w:rFonts w:cs="Simplified Arabic"/>
          <w:szCs w:val="24"/>
        </w:rPr>
        <w:t>20</w:t>
      </w:r>
      <w:r w:rsidRPr="004922D5">
        <w:rPr>
          <w:rFonts w:cs="Simplified Arabic" w:hint="cs"/>
          <w:szCs w:val="24"/>
          <w:rtl/>
          <w:lang w:val="fr-CH"/>
        </w:rPr>
        <w:t>.</w:t>
      </w:r>
    </w:p>
    <w:p w:rsidR="00816DC2" w:rsidRPr="00816DC2" w:rsidRDefault="00816DC2"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Pr>
      </w:pPr>
      <w:r>
        <w:rPr>
          <w:rFonts w:ascii="Simplified Arabic" w:hAnsi="Simplified Arabic" w:cs="Simplified Arabic" w:hint="cs"/>
          <w:sz w:val="24"/>
          <w:szCs w:val="24"/>
          <w:rtl/>
        </w:rPr>
        <w:t>وأدلى ببيانين ممثلا كولومبيا والمكسيك.</w:t>
      </w:r>
    </w:p>
    <w:p w:rsidR="00D50BC6" w:rsidRPr="009A2C4F" w:rsidRDefault="00816DC2"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Pr>
      </w:pPr>
      <w:r>
        <w:rPr>
          <w:rFonts w:cs="Simplified Arabic" w:hint="cs"/>
          <w:szCs w:val="24"/>
          <w:rtl/>
        </w:rPr>
        <w:t>و</w:t>
      </w:r>
      <w:r w:rsidRPr="004922D5">
        <w:rPr>
          <w:rFonts w:cs="Simplified Arabic" w:hint="cs"/>
          <w:szCs w:val="24"/>
          <w:rtl/>
        </w:rPr>
        <w:t xml:space="preserve">اعتمد مؤتمر الأطراف مشروع المقرر </w:t>
      </w:r>
      <w:r w:rsidRPr="004922D5">
        <w:rPr>
          <w:rFonts w:cs="Simplified Arabic"/>
          <w:szCs w:val="24"/>
        </w:rPr>
        <w:t>CBD/COP/14/L.</w:t>
      </w:r>
      <w:r>
        <w:rPr>
          <w:rFonts w:cs="Simplified Arabic"/>
          <w:szCs w:val="24"/>
        </w:rPr>
        <w:t>20</w:t>
      </w:r>
      <w:r w:rsidRPr="004922D5">
        <w:rPr>
          <w:rFonts w:cs="Simplified Arabic" w:hint="cs"/>
          <w:szCs w:val="24"/>
          <w:rtl/>
        </w:rPr>
        <w:t>،</w:t>
      </w:r>
      <w:r w:rsidRPr="004922D5">
        <w:rPr>
          <w:rFonts w:cs="Simplified Arabic" w:hint="cs"/>
          <w:szCs w:val="24"/>
          <w:rtl/>
          <w:lang w:val="fr-CH"/>
        </w:rPr>
        <w:t xml:space="preserve"> </w:t>
      </w:r>
      <w:r>
        <w:rPr>
          <w:rFonts w:cs="Simplified Arabic" w:hint="cs"/>
          <w:szCs w:val="24"/>
          <w:rtl/>
          <w:lang w:val="fr-CH"/>
        </w:rPr>
        <w:t xml:space="preserve">بصيغته المعدلة شفوياً، </w:t>
      </w:r>
      <w:r w:rsidRPr="004922D5">
        <w:rPr>
          <w:rFonts w:cs="Simplified Arabic" w:hint="cs"/>
          <w:szCs w:val="24"/>
          <w:rtl/>
          <w:lang w:val="fr-CH"/>
        </w:rPr>
        <w:t>بوصفه المقرر 14/</w:t>
      </w:r>
      <w:r>
        <w:rPr>
          <w:rFonts w:cs="Simplified Arabic" w:hint="cs"/>
          <w:szCs w:val="24"/>
          <w:rtl/>
          <w:lang w:val="fr-CH"/>
        </w:rPr>
        <w:t>3 (للاطلاع على النص، انظر الفصل الأول)</w:t>
      </w:r>
      <w:r w:rsidR="004922D5">
        <w:rPr>
          <w:rFonts w:ascii="Simplified Arabic" w:hAnsi="Simplified Arabic" w:cs="Simplified Arabic" w:hint="cs"/>
          <w:sz w:val="24"/>
          <w:szCs w:val="24"/>
          <w:rtl/>
        </w:rPr>
        <w:t>.</w:t>
      </w:r>
    </w:p>
    <w:p w:rsidR="00D50BC6" w:rsidRPr="00997CAE" w:rsidRDefault="00D50BC6" w:rsidP="00094717">
      <w:pPr>
        <w:pStyle w:val="Heading2"/>
      </w:pPr>
      <w:bookmarkStart w:id="240" w:name="_Toc6140026"/>
      <w:r w:rsidRPr="00997CAE">
        <w:rPr>
          <w:rFonts w:hint="cs"/>
          <w:rtl/>
        </w:rPr>
        <w:t>البند 23 -</w:t>
      </w:r>
      <w:r w:rsidRPr="00997CAE">
        <w:rPr>
          <w:rFonts w:hint="cs"/>
          <w:rtl/>
        </w:rPr>
        <w:tab/>
        <w:t>حفظ الملقحات واستخدامها المستدام</w:t>
      </w:r>
      <w:bookmarkEnd w:id="240"/>
    </w:p>
    <w:p w:rsidR="009A2C4F" w:rsidRPr="002E513E" w:rsidRDefault="009A2C4F" w:rsidP="00FA76FA">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تناول الفريق العامل الثاني البند 23 من جدول الأعمال</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 xml:space="preserve">في </w:t>
      </w:r>
      <w:r w:rsidR="00FA76FA">
        <w:rPr>
          <w:rFonts w:ascii="Simplified Arabic" w:hAnsi="Simplified Arabic" w:cs="Simplified Arabic" w:hint="cs"/>
          <w:szCs w:val="24"/>
          <w:rtl/>
        </w:rPr>
        <w:t>جلست</w:t>
      </w:r>
      <w:r w:rsidRPr="002E513E">
        <w:rPr>
          <w:rFonts w:ascii="Simplified Arabic" w:hAnsi="Simplified Arabic" w:cs="Simplified Arabic"/>
          <w:szCs w:val="24"/>
          <w:rtl/>
        </w:rPr>
        <w:t>ه الخامس</w:t>
      </w:r>
      <w:r w:rsidR="00FA76FA">
        <w:rPr>
          <w:rFonts w:ascii="Simplified Arabic" w:hAnsi="Simplified Arabic" w:cs="Simplified Arabic" w:hint="cs"/>
          <w:szCs w:val="24"/>
          <w:rtl/>
        </w:rPr>
        <w:t>ة،</w:t>
      </w:r>
      <w:r w:rsidRPr="002E513E">
        <w:rPr>
          <w:rFonts w:ascii="Simplified Arabic" w:hAnsi="Simplified Arabic" w:cs="Simplified Arabic"/>
          <w:szCs w:val="24"/>
          <w:rtl/>
        </w:rPr>
        <w:t xml:space="preserve"> المعقود</w:t>
      </w:r>
      <w:r w:rsidR="00FA76FA">
        <w:rPr>
          <w:rFonts w:ascii="Simplified Arabic" w:hAnsi="Simplified Arabic" w:cs="Simplified Arabic" w:hint="cs"/>
          <w:szCs w:val="24"/>
          <w:rtl/>
        </w:rPr>
        <w:t>ة</w:t>
      </w:r>
      <w:r w:rsidRPr="002E513E">
        <w:rPr>
          <w:rFonts w:ascii="Simplified Arabic" w:hAnsi="Simplified Arabic" w:cs="Simplified Arabic"/>
          <w:szCs w:val="24"/>
          <w:rtl/>
        </w:rPr>
        <w:t xml:space="preserve"> في 20 نوفمبر/تشرين الثاني 2018. ولدى النظر في هذا البند، كان معروضا أمام الفريق العامل</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مشروع مقرر يستند إلى التوصية 22/9 للهيئة الفرعية للمشورة العلمية والتقنية والتكنولوجية، ال</w:t>
      </w:r>
      <w:r w:rsidR="00FA76FA">
        <w:rPr>
          <w:rFonts w:ascii="Simplified Arabic" w:hAnsi="Simplified Arabic" w:cs="Simplified Arabic" w:hint="cs"/>
          <w:szCs w:val="24"/>
          <w:rtl/>
        </w:rPr>
        <w:t>مبين</w:t>
      </w:r>
      <w:r w:rsidRPr="002E513E">
        <w:rPr>
          <w:rFonts w:ascii="Simplified Arabic" w:hAnsi="Simplified Arabic" w:cs="Simplified Arabic"/>
          <w:szCs w:val="24"/>
          <w:rtl/>
        </w:rPr>
        <w:t xml:space="preserve"> في تجميع مشاريع المقررات </w:t>
      </w:r>
      <w:r w:rsidRPr="00C57E2E">
        <w:rPr>
          <w:szCs w:val="22"/>
          <w:rtl/>
        </w:rPr>
        <w:t>(</w:t>
      </w:r>
      <w:r w:rsidRPr="00477B14">
        <w:rPr>
          <w:kern w:val="22"/>
          <w:szCs w:val="22"/>
          <w:lang w:val="fr-CA"/>
        </w:rPr>
        <w:t>CBD/COP/14/2</w:t>
      </w:r>
      <w:r w:rsidRPr="00C57E2E">
        <w:rPr>
          <w:szCs w:val="22"/>
          <w:rtl/>
        </w:rPr>
        <w:t>)</w:t>
      </w:r>
      <w:r w:rsidRPr="002E513E">
        <w:rPr>
          <w:rFonts w:ascii="Simplified Arabic" w:hAnsi="Simplified Arabic" w:cs="Simplified Arabic" w:hint="cs"/>
          <w:szCs w:val="24"/>
          <w:rtl/>
        </w:rPr>
        <w:t>،</w:t>
      </w:r>
      <w:r w:rsidRPr="002E513E">
        <w:rPr>
          <w:rFonts w:ascii="Simplified Arabic" w:hAnsi="Simplified Arabic" w:cs="Simplified Arabic"/>
          <w:szCs w:val="24"/>
          <w:rtl/>
        </w:rPr>
        <w:t xml:space="preserve"> و</w:t>
      </w:r>
      <w:r w:rsidRPr="002E513E">
        <w:rPr>
          <w:rFonts w:ascii="Simplified Arabic" w:hAnsi="Simplified Arabic" w:cs="Simplified Arabic" w:hint="cs"/>
          <w:szCs w:val="24"/>
          <w:rtl/>
        </w:rPr>
        <w:t xml:space="preserve">كذلك </w:t>
      </w:r>
      <w:r w:rsidRPr="002E513E">
        <w:rPr>
          <w:rFonts w:ascii="Simplified Arabic" w:hAnsi="Simplified Arabic" w:cs="Simplified Arabic"/>
          <w:szCs w:val="24"/>
          <w:rtl/>
        </w:rPr>
        <w:t xml:space="preserve">التقرير النهائي عن </w:t>
      </w:r>
      <w:r w:rsidRPr="002E513E">
        <w:rPr>
          <w:rFonts w:ascii="Simplified Arabic" w:hAnsi="Simplified Arabic" w:cs="Simplified Arabic" w:hint="cs"/>
          <w:szCs w:val="24"/>
          <w:rtl/>
        </w:rPr>
        <w:lastRenderedPageBreak/>
        <w:t>أهمية</w:t>
      </w:r>
      <w:r w:rsidRPr="002E513E">
        <w:rPr>
          <w:rFonts w:ascii="Simplified Arabic" w:hAnsi="Simplified Arabic" w:cs="Simplified Arabic"/>
          <w:szCs w:val="24"/>
          <w:rtl/>
        </w:rPr>
        <w:t xml:space="preserve"> الملق</w:t>
      </w:r>
      <w:r w:rsidRPr="002E513E">
        <w:rPr>
          <w:rFonts w:ascii="Simplified Arabic" w:hAnsi="Simplified Arabic" w:cs="Simplified Arabic" w:hint="cs"/>
          <w:szCs w:val="24"/>
          <w:rtl/>
        </w:rPr>
        <w:t>ِّ</w:t>
      </w:r>
      <w:r w:rsidRPr="002E513E">
        <w:rPr>
          <w:rFonts w:ascii="Simplified Arabic" w:hAnsi="Simplified Arabic" w:cs="Simplified Arabic"/>
          <w:szCs w:val="24"/>
          <w:rtl/>
        </w:rPr>
        <w:t>حات والتلقيح</w:t>
      </w:r>
      <w:r w:rsidRPr="002E513E">
        <w:rPr>
          <w:rFonts w:ascii="Simplified Arabic" w:hAnsi="Simplified Arabic" w:cs="Simplified Arabic" w:hint="cs"/>
          <w:szCs w:val="24"/>
          <w:rtl/>
        </w:rPr>
        <w:t xml:space="preserve"> بالنسبة</w:t>
      </w:r>
      <w:r w:rsidRPr="002E513E">
        <w:rPr>
          <w:rFonts w:ascii="Simplified Arabic" w:hAnsi="Simplified Arabic" w:cs="Simplified Arabic"/>
          <w:szCs w:val="24"/>
          <w:rtl/>
        </w:rPr>
        <w:t xml:space="preserve"> لحفظ </w:t>
      </w:r>
      <w:r w:rsidRPr="002E513E">
        <w:rPr>
          <w:rFonts w:ascii="Simplified Arabic" w:hAnsi="Simplified Arabic" w:cs="Simplified Arabic" w:hint="cs"/>
          <w:szCs w:val="24"/>
          <w:rtl/>
        </w:rPr>
        <w:t>ا</w:t>
      </w:r>
      <w:r w:rsidRPr="002E513E">
        <w:rPr>
          <w:rFonts w:ascii="Simplified Arabic" w:hAnsi="Simplified Arabic" w:cs="Simplified Arabic"/>
          <w:szCs w:val="24"/>
          <w:rtl/>
        </w:rPr>
        <w:t>لتنوع البيولوجي</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واستخدام</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المستدام في جميع النظم الإيكولوجية</w:t>
      </w:r>
      <w:r w:rsidR="00FA76FA">
        <w:rPr>
          <w:rFonts w:ascii="Simplified Arabic" w:hAnsi="Simplified Arabic" w:cs="Simplified Arabic" w:hint="cs"/>
          <w:szCs w:val="24"/>
          <w:rtl/>
        </w:rPr>
        <w:t>،</w:t>
      </w:r>
      <w:r w:rsidRPr="002E513E">
        <w:rPr>
          <w:rFonts w:ascii="Simplified Arabic" w:hAnsi="Simplified Arabic" w:cs="Simplified Arabic"/>
          <w:szCs w:val="24"/>
          <w:rtl/>
        </w:rPr>
        <w:t xml:space="preserve"> </w:t>
      </w:r>
      <w:r w:rsidRPr="002E513E">
        <w:rPr>
          <w:rFonts w:ascii="Simplified Arabic" w:hAnsi="Simplified Arabic" w:cs="Simplified Arabic" w:hint="cs"/>
          <w:szCs w:val="24"/>
          <w:rtl/>
        </w:rPr>
        <w:t>خارج نطاق</w:t>
      </w:r>
      <w:r w:rsidRPr="002E513E">
        <w:rPr>
          <w:rFonts w:ascii="Simplified Arabic" w:hAnsi="Simplified Arabic" w:cs="Simplified Arabic"/>
          <w:szCs w:val="24"/>
          <w:rtl/>
        </w:rPr>
        <w:t xml:space="preserve"> دورها في الزراعة وإنتاج ال</w:t>
      </w:r>
      <w:r w:rsidRPr="002E513E">
        <w:rPr>
          <w:rFonts w:ascii="Simplified Arabic" w:hAnsi="Simplified Arabic" w:cs="Simplified Arabic" w:hint="cs"/>
          <w:szCs w:val="24"/>
          <w:rtl/>
        </w:rPr>
        <w:t>أغذية</w:t>
      </w:r>
      <w:r w:rsidRPr="002E513E">
        <w:rPr>
          <w:rFonts w:ascii="Simplified Arabic" w:hAnsi="Simplified Arabic" w:cs="Simplified Arabic"/>
          <w:szCs w:val="24"/>
          <w:rtl/>
        </w:rPr>
        <w:t xml:space="preserve"> </w:t>
      </w:r>
      <w:r w:rsidRPr="00C57E2E">
        <w:rPr>
          <w:szCs w:val="22"/>
          <w:rtl/>
        </w:rPr>
        <w:t>(</w:t>
      </w:r>
      <w:r w:rsidRPr="00477B14">
        <w:rPr>
          <w:rFonts w:eastAsiaTheme="minorEastAsia"/>
          <w:snapToGrid/>
          <w:color w:val="000000"/>
          <w:szCs w:val="22"/>
          <w:lang w:val="fr-CA"/>
        </w:rPr>
        <w:t>CBD/COP/14/INF/8</w:t>
      </w:r>
      <w:r w:rsidRPr="00C57E2E">
        <w:rPr>
          <w:szCs w:val="22"/>
          <w:rtl/>
        </w:rPr>
        <w:t>)</w:t>
      </w:r>
      <w:r w:rsidRPr="002E513E">
        <w:rPr>
          <w:rFonts w:ascii="Simplified Arabic" w:hAnsi="Simplified Arabic" w:cs="Simplified Arabic" w:hint="cs"/>
          <w:szCs w:val="24"/>
          <w:rtl/>
        </w:rPr>
        <w:t>.</w:t>
      </w:r>
    </w:p>
    <w:p w:rsidR="009A2C4F" w:rsidRPr="002E513E" w:rsidRDefault="009A2C4F"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قال</w:t>
      </w:r>
      <w:r w:rsidRPr="002E513E">
        <w:rPr>
          <w:rFonts w:ascii="Simplified Arabic" w:hAnsi="Simplified Arabic" w:cs="Simplified Arabic" w:hint="cs"/>
          <w:sz w:val="24"/>
          <w:szCs w:val="24"/>
          <w:rtl/>
        </w:rPr>
        <w:t>ت</w:t>
      </w:r>
      <w:r w:rsidRPr="002E513E">
        <w:rPr>
          <w:rFonts w:ascii="Simplified Arabic" w:hAnsi="Simplified Arabic" w:cs="Simplified Arabic"/>
          <w:sz w:val="24"/>
          <w:szCs w:val="24"/>
          <w:rtl/>
        </w:rPr>
        <w:t xml:space="preserve"> الرئيس</w:t>
      </w:r>
      <w:r w:rsidRPr="002E513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إ</w:t>
      </w:r>
      <w:r w:rsidRPr="002E513E">
        <w:rPr>
          <w:rFonts w:ascii="Simplified Arabic" w:hAnsi="Simplified Arabic" w:cs="Simplified Arabic"/>
          <w:sz w:val="24"/>
          <w:szCs w:val="24"/>
          <w:rtl/>
        </w:rPr>
        <w:t>نه</w:t>
      </w:r>
      <w:r w:rsidRPr="002E513E">
        <w:rPr>
          <w:rFonts w:ascii="Simplified Arabic" w:hAnsi="Simplified Arabic" w:cs="Simplified Arabic" w:hint="cs"/>
          <w:sz w:val="24"/>
          <w:szCs w:val="24"/>
          <w:rtl/>
        </w:rPr>
        <w:t xml:space="preserve">ا </w:t>
      </w:r>
      <w:r w:rsidRPr="002E513E">
        <w:rPr>
          <w:rFonts w:ascii="Simplified Arabic" w:hAnsi="Simplified Arabic" w:cs="Simplified Arabic"/>
          <w:sz w:val="24"/>
          <w:szCs w:val="24"/>
          <w:rtl/>
        </w:rPr>
        <w:t>س</w:t>
      </w:r>
      <w:r w:rsidRPr="002E513E">
        <w:rPr>
          <w:rFonts w:ascii="Simplified Arabic" w:hAnsi="Simplified Arabic" w:cs="Simplified Arabic" w:hint="cs"/>
          <w:sz w:val="24"/>
          <w:szCs w:val="24"/>
          <w:rtl/>
        </w:rPr>
        <w:t>ت</w:t>
      </w:r>
      <w:r w:rsidRPr="002E513E">
        <w:rPr>
          <w:rFonts w:ascii="Simplified Arabic" w:hAnsi="Simplified Arabic" w:cs="Simplified Arabic"/>
          <w:sz w:val="24"/>
          <w:szCs w:val="24"/>
          <w:rtl/>
        </w:rPr>
        <w:t>عد مشروع المقرر</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في ضوء التوافق في الآراء بشأن المسألة، </w:t>
      </w:r>
      <w:r w:rsidRPr="002E513E">
        <w:rPr>
          <w:rFonts w:ascii="Simplified Arabic" w:hAnsi="Simplified Arabic" w:cs="Simplified Arabic" w:hint="cs"/>
          <w:szCs w:val="24"/>
          <w:rtl/>
        </w:rPr>
        <w:t>كي يوافق عليه</w:t>
      </w:r>
      <w:r w:rsidRPr="002E513E">
        <w:rPr>
          <w:rFonts w:ascii="Simplified Arabic" w:hAnsi="Simplified Arabic" w:cs="Simplified Arabic"/>
          <w:szCs w:val="24"/>
          <w:rtl/>
        </w:rPr>
        <w:t xml:space="preserve"> الفريق العامل</w:t>
      </w:r>
      <w:r w:rsidRPr="002E513E">
        <w:rPr>
          <w:rFonts w:ascii="Simplified Arabic" w:hAnsi="Simplified Arabic" w:cs="Simplified Arabic" w:hint="cs"/>
          <w:sz w:val="24"/>
          <w:szCs w:val="24"/>
          <w:rtl/>
        </w:rPr>
        <w:t>.</w:t>
      </w:r>
    </w:p>
    <w:p w:rsidR="009A2C4F" w:rsidRPr="002E513E" w:rsidRDefault="009A2C4F"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Cs w:val="24"/>
          <w:rtl/>
        </w:rPr>
        <w:t>و</w:t>
      </w:r>
      <w:r w:rsidR="00C57E2E">
        <w:rPr>
          <w:rFonts w:ascii="Simplified Arabic" w:hAnsi="Simplified Arabic" w:cs="Simplified Arabic" w:hint="cs"/>
          <w:szCs w:val="24"/>
          <w:rtl/>
        </w:rPr>
        <w:t>في جلست</w:t>
      </w:r>
      <w:r w:rsidRPr="002E513E">
        <w:rPr>
          <w:rFonts w:ascii="Simplified Arabic" w:hAnsi="Simplified Arabic" w:cs="Simplified Arabic" w:hint="cs"/>
          <w:szCs w:val="24"/>
          <w:rtl/>
        </w:rPr>
        <w:t>ه</w:t>
      </w:r>
      <w:r w:rsidRPr="002E513E">
        <w:rPr>
          <w:rFonts w:ascii="Simplified Arabic" w:hAnsi="Simplified Arabic" w:cs="Simplified Arabic"/>
          <w:sz w:val="24"/>
          <w:szCs w:val="24"/>
          <w:rtl/>
        </w:rPr>
        <w:t xml:space="preserve"> الرابع</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عشر</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المعقود</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في 27 نوفمبر/تشرين الثاني 2018، </w:t>
      </w:r>
      <w:r w:rsidR="00816DC2">
        <w:rPr>
          <w:rFonts w:ascii="Simplified Arabic" w:hAnsi="Simplified Arabic" w:cs="Simplified Arabic" w:hint="cs"/>
          <w:sz w:val="24"/>
          <w:szCs w:val="24"/>
          <w:rtl/>
        </w:rPr>
        <w:t xml:space="preserve">نظر الفريق العامل </w:t>
      </w:r>
      <w:r w:rsidRPr="002E513E">
        <w:rPr>
          <w:rFonts w:ascii="Simplified Arabic" w:hAnsi="Simplified Arabic" w:cs="Simplified Arabic"/>
          <w:sz w:val="24"/>
          <w:szCs w:val="24"/>
          <w:rtl/>
        </w:rPr>
        <w:t>في مشروع المقرر المقدم من الرئيس</w:t>
      </w:r>
      <w:r w:rsidRPr="002E513E">
        <w:rPr>
          <w:rFonts w:ascii="Simplified Arabic" w:hAnsi="Simplified Arabic" w:cs="Simplified Arabic" w:hint="cs"/>
          <w:sz w:val="24"/>
          <w:szCs w:val="24"/>
          <w:rtl/>
        </w:rPr>
        <w:t>ة.</w:t>
      </w:r>
    </w:p>
    <w:p w:rsidR="009A2C4F" w:rsidRPr="002E513E" w:rsidRDefault="009A2C4F"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szCs w:val="24"/>
          <w:rtl/>
        </w:rPr>
        <w:t>و</w:t>
      </w:r>
      <w:r w:rsidR="00C57E2E">
        <w:rPr>
          <w:rFonts w:ascii="Simplified Arabic" w:hAnsi="Simplified Arabic" w:cs="Simplified Arabic" w:hint="cs"/>
          <w:szCs w:val="24"/>
          <w:rtl/>
        </w:rPr>
        <w:t>أدلى ب</w:t>
      </w:r>
      <w:r w:rsidRPr="002E513E">
        <w:rPr>
          <w:rFonts w:ascii="Simplified Arabic" w:hAnsi="Simplified Arabic" w:cs="Simplified Arabic" w:hint="cs"/>
          <w:szCs w:val="24"/>
          <w:rtl/>
        </w:rPr>
        <w:t xml:space="preserve">بيانات </w:t>
      </w:r>
      <w:r w:rsidRPr="002E513E">
        <w:rPr>
          <w:rFonts w:ascii="Simplified Arabic" w:hAnsi="Simplified Arabic" w:cs="Simplified Arabic"/>
          <w:szCs w:val="24"/>
          <w:rtl/>
        </w:rPr>
        <w:t>ممثل</w:t>
      </w:r>
      <w:r w:rsidR="00C57E2E">
        <w:rPr>
          <w:rFonts w:ascii="Simplified Arabic" w:hAnsi="Simplified Arabic" w:cs="Simplified Arabic" w:hint="cs"/>
          <w:szCs w:val="24"/>
          <w:rtl/>
        </w:rPr>
        <w:t>و</w:t>
      </w:r>
      <w:r w:rsidRPr="002E513E">
        <w:rPr>
          <w:rFonts w:ascii="Simplified Arabic" w:hAnsi="Simplified Arabic" w:cs="Simplified Arabic"/>
          <w:sz w:val="24"/>
          <w:szCs w:val="24"/>
          <w:rtl/>
        </w:rPr>
        <w:t xml:space="preserve"> الأرجنتين،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بيلاروس،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بنن،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بوليفيا (دولة - المتعددة القوميات)،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البرازيل،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بوروندي،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كندا،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كولومبيا،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كوستاريكا،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الجمهورية الدومينيكية، والاتحاد الأوروبي ودول</w:t>
      </w:r>
      <w:r w:rsidR="00830816">
        <w:rPr>
          <w:rFonts w:ascii="Simplified Arabic" w:hAnsi="Simplified Arabic" w:cs="Simplified Arabic" w:hint="cs"/>
          <w:sz w:val="24"/>
          <w:szCs w:val="24"/>
          <w:rtl/>
        </w:rPr>
        <w:t>ه</w:t>
      </w:r>
      <w:r w:rsidRPr="002E513E">
        <w:rPr>
          <w:rFonts w:ascii="Simplified Arabic" w:hAnsi="Simplified Arabic" w:cs="Simplified Arabic"/>
          <w:sz w:val="24"/>
          <w:szCs w:val="24"/>
          <w:rtl/>
        </w:rPr>
        <w:t xml:space="preserve"> الأعضاء</w:t>
      </w:r>
      <w:r w:rsidRPr="002E513E">
        <w:rPr>
          <w:rFonts w:ascii="Simplified Arabic" w:hAnsi="Simplified Arabic" w:cs="Simplified Arabic" w:hint="cs"/>
          <w:sz w:val="24"/>
          <w:szCs w:val="24"/>
          <w:rtl/>
        </w:rPr>
        <w:t xml:space="preserve"> </w:t>
      </w:r>
      <w:r w:rsidR="00830816">
        <w:rPr>
          <w:rFonts w:ascii="Simplified Arabic" w:hAnsi="Simplified Arabic" w:cs="Simplified Arabic" w:hint="cs"/>
          <w:sz w:val="24"/>
          <w:szCs w:val="24"/>
          <w:rtl/>
        </w:rPr>
        <w:t>الثماني والعشرين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غابون،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غواتيمالا،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 xml:space="preserve">هندوراس، </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العراق</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وكينيا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والمكسيك</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ونيوزيلندا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وبنما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وباراغواي</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وبيرو</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وجنوب أفريقيا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وأوروغواي وفنزويلا (جمهورية - البوليفارية)</w:t>
      </w:r>
      <w:r w:rsidRPr="002E513E">
        <w:rPr>
          <w:rFonts w:ascii="Simplified Arabic" w:hAnsi="Simplified Arabic" w:cs="Simplified Arabic" w:hint="cs"/>
          <w:sz w:val="24"/>
          <w:szCs w:val="24"/>
          <w:rtl/>
        </w:rPr>
        <w:t>.</w:t>
      </w:r>
    </w:p>
    <w:p w:rsidR="009A2C4F" w:rsidRPr="002E513E" w:rsidRDefault="009A2C4F" w:rsidP="00816DC2">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Cs w:val="24"/>
          <w:rtl/>
        </w:rPr>
        <w:t>و</w:t>
      </w:r>
      <w:r w:rsidRPr="002E513E">
        <w:rPr>
          <w:rFonts w:ascii="Simplified Arabic" w:hAnsi="Simplified Arabic" w:cs="Simplified Arabic"/>
          <w:sz w:val="24"/>
          <w:szCs w:val="24"/>
          <w:rtl/>
        </w:rPr>
        <w:t xml:space="preserve">في </w:t>
      </w:r>
      <w:r w:rsidR="00C57E2E">
        <w:rPr>
          <w:rFonts w:ascii="Simplified Arabic" w:hAnsi="Simplified Arabic" w:cs="Simplified Arabic" w:hint="cs"/>
          <w:szCs w:val="24"/>
          <w:rtl/>
        </w:rPr>
        <w:t>جلست</w:t>
      </w:r>
      <w:r w:rsidRPr="002E513E">
        <w:rPr>
          <w:rFonts w:ascii="Simplified Arabic" w:hAnsi="Simplified Arabic" w:cs="Simplified Arabic"/>
          <w:szCs w:val="24"/>
          <w:rtl/>
        </w:rPr>
        <w:t xml:space="preserve">ه </w:t>
      </w:r>
      <w:r w:rsidRPr="002E513E">
        <w:rPr>
          <w:rFonts w:ascii="Simplified Arabic" w:hAnsi="Simplified Arabic" w:cs="Simplified Arabic"/>
          <w:sz w:val="24"/>
          <w:szCs w:val="24"/>
          <w:rtl/>
        </w:rPr>
        <w:t>الخامس</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عشر</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المعقود</w:t>
      </w:r>
      <w:r w:rsidR="00C57E2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في 27 نوفمبر/تشرين الثاني 2018</w:t>
      </w:r>
      <w:r w:rsidR="00816DC2">
        <w:rPr>
          <w:rFonts w:ascii="Simplified Arabic" w:hAnsi="Simplified Arabic" w:cs="Simplified Arabic" w:hint="cs"/>
          <w:sz w:val="24"/>
          <w:szCs w:val="24"/>
          <w:rtl/>
        </w:rPr>
        <w:t xml:space="preserve">، </w:t>
      </w:r>
      <w:r w:rsidR="00816DC2" w:rsidRPr="002E513E">
        <w:rPr>
          <w:rFonts w:ascii="Simplified Arabic" w:hAnsi="Simplified Arabic" w:cs="Simplified Arabic"/>
          <w:szCs w:val="24"/>
          <w:rtl/>
        </w:rPr>
        <w:t xml:space="preserve">استأنف الفريق العامل </w:t>
      </w:r>
      <w:r w:rsidR="00816DC2" w:rsidRPr="002E513E">
        <w:rPr>
          <w:rFonts w:ascii="Simplified Arabic" w:hAnsi="Simplified Arabic" w:cs="Simplified Arabic" w:hint="cs"/>
          <w:szCs w:val="24"/>
          <w:rtl/>
        </w:rPr>
        <w:t>نظره</w:t>
      </w:r>
      <w:r w:rsidR="00816DC2" w:rsidRPr="002E513E">
        <w:rPr>
          <w:rFonts w:ascii="Simplified Arabic" w:hAnsi="Simplified Arabic" w:cs="Simplified Arabic"/>
          <w:szCs w:val="24"/>
          <w:rtl/>
        </w:rPr>
        <w:t xml:space="preserve"> في</w:t>
      </w:r>
      <w:r w:rsidR="00816DC2" w:rsidRPr="002E513E">
        <w:rPr>
          <w:rFonts w:ascii="Simplified Arabic" w:hAnsi="Simplified Arabic" w:cs="Simplified Arabic" w:hint="cs"/>
          <w:szCs w:val="24"/>
          <w:rtl/>
        </w:rPr>
        <w:t xml:space="preserve"> </w:t>
      </w:r>
      <w:r w:rsidR="00816DC2" w:rsidRPr="002E513E">
        <w:rPr>
          <w:rFonts w:ascii="Simplified Arabic" w:hAnsi="Simplified Arabic" w:cs="Simplified Arabic"/>
          <w:sz w:val="24"/>
          <w:szCs w:val="24"/>
          <w:rtl/>
        </w:rPr>
        <w:t>مشروع المقرر</w:t>
      </w:r>
      <w:r w:rsidRPr="002E513E">
        <w:rPr>
          <w:rFonts w:ascii="Simplified Arabic" w:hAnsi="Simplified Arabic" w:cs="Simplified Arabic" w:hint="cs"/>
          <w:sz w:val="24"/>
          <w:szCs w:val="24"/>
          <w:rtl/>
        </w:rPr>
        <w:t>.</w:t>
      </w:r>
    </w:p>
    <w:p w:rsidR="009A2C4F" w:rsidRPr="002E513E" w:rsidRDefault="009A2C4F" w:rsidP="00477C79">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 w:val="24"/>
          <w:szCs w:val="24"/>
          <w:rtl/>
        </w:rPr>
        <w:t>وأبدت</w:t>
      </w:r>
      <w:r w:rsidRPr="002E513E">
        <w:rPr>
          <w:rFonts w:ascii="Simplified Arabic" w:hAnsi="Simplified Arabic" w:cs="Simplified Arabic"/>
          <w:sz w:val="24"/>
          <w:szCs w:val="24"/>
          <w:rtl/>
        </w:rPr>
        <w:t xml:space="preserve"> ممثلة أوروغواي، التي طلبت إدراج بيانها في التقرير وتحدثت أيضا </w:t>
      </w:r>
      <w:r w:rsidR="00C57E2E">
        <w:rPr>
          <w:rFonts w:ascii="Simplified Arabic" w:hAnsi="Simplified Arabic" w:cs="Simplified Arabic" w:hint="cs"/>
          <w:sz w:val="24"/>
          <w:szCs w:val="24"/>
          <w:rtl/>
        </w:rPr>
        <w:t>بالنيابة عن</w:t>
      </w:r>
      <w:r w:rsidRPr="002E513E">
        <w:rPr>
          <w:rFonts w:ascii="Simplified Arabic" w:hAnsi="Simplified Arabic" w:cs="Simplified Arabic"/>
          <w:sz w:val="24"/>
          <w:szCs w:val="24"/>
          <w:rtl/>
        </w:rPr>
        <w:t xml:space="preserve"> بوليفيا (دولة - متعددة القوميات) وبيرو، </w:t>
      </w:r>
      <w:r w:rsidRPr="002E513E">
        <w:rPr>
          <w:rFonts w:ascii="Simplified Arabic" w:hAnsi="Simplified Arabic" w:cs="Simplified Arabic" w:hint="cs"/>
          <w:sz w:val="24"/>
          <w:szCs w:val="24"/>
          <w:rtl/>
        </w:rPr>
        <w:t>اعتراضا على أنه لا</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ي</w:t>
      </w:r>
      <w:r w:rsidRPr="002E513E">
        <w:rPr>
          <w:rFonts w:ascii="Simplified Arabic" w:hAnsi="Simplified Arabic" w:cs="Simplified Arabic"/>
          <w:sz w:val="24"/>
          <w:szCs w:val="24"/>
          <w:rtl/>
        </w:rPr>
        <w:t>وجد دليل علمي على أن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الكائنات الحية المحورة </w:t>
      </w:r>
      <w:r w:rsidRPr="002E513E">
        <w:rPr>
          <w:rFonts w:ascii="Simplified Arabic" w:hAnsi="Simplified Arabic" w:cs="Simplified Arabic" w:hint="cs"/>
          <w:sz w:val="24"/>
          <w:szCs w:val="24"/>
          <w:rtl/>
        </w:rPr>
        <w:t>تؤثر على ا</w:t>
      </w:r>
      <w:r w:rsidRPr="002E513E">
        <w:rPr>
          <w:rFonts w:ascii="Simplified Arabic" w:hAnsi="Simplified Arabic" w:cs="Simplified Arabic"/>
          <w:sz w:val="24"/>
          <w:szCs w:val="24"/>
          <w:rtl/>
        </w:rPr>
        <w:t>لملق</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حات</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واستشهدت بالتقييم المواضيعي</w:t>
      </w:r>
      <w:r w:rsidRPr="002E513E">
        <w:rPr>
          <w:rFonts w:ascii="Simplified Arabic" w:hAnsi="Simplified Arabic" w:cs="Simplified Arabic" w:hint="cs"/>
          <w:sz w:val="24"/>
          <w:szCs w:val="24"/>
          <w:rtl/>
        </w:rPr>
        <w:t xml:space="preserve"> بشأن ا</w:t>
      </w:r>
      <w:r w:rsidRPr="002E513E">
        <w:rPr>
          <w:rFonts w:ascii="Simplified Arabic" w:hAnsi="Simplified Arabic" w:cs="Simplified Arabic"/>
          <w:sz w:val="24"/>
          <w:szCs w:val="24"/>
          <w:rtl/>
        </w:rPr>
        <w:t>لملق</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حات والتلقيح وإنتاج الأغذية </w:t>
      </w:r>
      <w:r w:rsidRPr="002E513E">
        <w:rPr>
          <w:rFonts w:ascii="Simplified Arabic" w:hAnsi="Simplified Arabic" w:cs="Simplified Arabic" w:hint="cs"/>
          <w:sz w:val="24"/>
          <w:szCs w:val="24"/>
          <w:rtl/>
        </w:rPr>
        <w:t>الصادر عن</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Cs w:val="24"/>
          <w:rtl/>
        </w:rPr>
        <w:t>المنبر</w:t>
      </w:r>
      <w:r w:rsidRPr="002E513E">
        <w:rPr>
          <w:rFonts w:ascii="Simplified Arabic" w:hAnsi="Simplified Arabic" w:cs="Simplified Arabic"/>
          <w:szCs w:val="24"/>
          <w:rtl/>
        </w:rPr>
        <w:t xml:space="preserve"> </w:t>
      </w:r>
      <w:r w:rsidRPr="002E513E">
        <w:rPr>
          <w:rFonts w:cs="Simplified Arabic"/>
          <w:szCs w:val="24"/>
          <w:rtl/>
        </w:rPr>
        <w:t>الحكومي الدولي للعلوم والسياسات في مجال التنوع البيولوجي وخدمات النظم الإيكولوجية</w:t>
      </w:r>
      <w:r w:rsidRPr="002E513E">
        <w:rPr>
          <w:rFonts w:ascii="Simplified Arabic" w:hAnsi="Simplified Arabic" w:cs="Simplified Arabic" w:hint="cs"/>
          <w:szCs w:val="24"/>
          <w:rtl/>
        </w:rPr>
        <w:t xml:space="preserve"> </w:t>
      </w:r>
      <w:r w:rsidRPr="00830816">
        <w:rPr>
          <w:rtl/>
        </w:rPr>
        <w:t>(</w:t>
      </w:r>
      <w:r w:rsidRPr="00830816">
        <w:rPr>
          <w:iCs/>
          <w:lang w:val="en-GB"/>
        </w:rPr>
        <w:t>IPBES</w:t>
      </w:r>
      <w:r w:rsidRPr="00830816">
        <w:rPr>
          <w:rtl/>
        </w:rPr>
        <w:t>)</w:t>
      </w:r>
      <w:r w:rsidRPr="002E513E">
        <w:rPr>
          <w:rFonts w:ascii="Simplified Arabic" w:hAnsi="Simplified Arabic" w:cs="Simplified Arabic"/>
          <w:sz w:val="24"/>
          <w:szCs w:val="24"/>
          <w:rtl/>
        </w:rPr>
        <w:t>، وال</w:t>
      </w:r>
      <w:r w:rsidRPr="002E513E">
        <w:rPr>
          <w:rFonts w:ascii="Simplified Arabic" w:hAnsi="Simplified Arabic" w:cs="Simplified Arabic" w:hint="cs"/>
          <w:sz w:val="24"/>
          <w:szCs w:val="24"/>
          <w:rtl/>
        </w:rPr>
        <w:t>ذ</w:t>
      </w:r>
      <w:r w:rsidRPr="002E513E">
        <w:rPr>
          <w:rFonts w:ascii="Simplified Arabic" w:hAnsi="Simplified Arabic" w:cs="Simplified Arabic"/>
          <w:sz w:val="24"/>
          <w:szCs w:val="24"/>
          <w:rtl/>
        </w:rPr>
        <w:t xml:space="preserve">ي </w:t>
      </w:r>
      <w:r w:rsidRPr="002E513E">
        <w:rPr>
          <w:rFonts w:ascii="Simplified Arabic" w:hAnsi="Simplified Arabic" w:cs="Simplified Arabic" w:hint="cs"/>
          <w:sz w:val="24"/>
          <w:szCs w:val="24"/>
          <w:rtl/>
        </w:rPr>
        <w:t>أورد</w:t>
      </w:r>
      <w:r w:rsidRPr="002E513E">
        <w:rPr>
          <w:rFonts w:ascii="Simplified Arabic" w:hAnsi="Simplified Arabic" w:cs="Simplified Arabic"/>
          <w:sz w:val="24"/>
          <w:szCs w:val="24"/>
          <w:rtl/>
        </w:rPr>
        <w:t xml:space="preserve"> في الصفحة 49</w:t>
      </w:r>
      <w:r w:rsidRPr="002E513E">
        <w:rPr>
          <w:rFonts w:ascii="Simplified Arabic" w:hAnsi="Simplified Arabic" w:cs="Simplified Arabic" w:hint="cs"/>
          <w:sz w:val="24"/>
          <w:szCs w:val="24"/>
          <w:rtl/>
        </w:rPr>
        <w:t xml:space="preserve"> أنه</w:t>
      </w:r>
      <w:r w:rsidRPr="002E513E">
        <w:rPr>
          <w:rFonts w:ascii="Simplified Arabic" w:hAnsi="Simplified Arabic" w:cs="Simplified Arabic"/>
          <w:sz w:val="24"/>
          <w:szCs w:val="24"/>
          <w:rtl/>
        </w:rPr>
        <w:t>:</w:t>
      </w:r>
      <w:r w:rsidRPr="002E513E">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"ل</w:t>
      </w:r>
      <w:r w:rsidRPr="002E513E">
        <w:rPr>
          <w:rFonts w:ascii="Simplified Arabic" w:hAnsi="Simplified Arabic" w:cs="Simplified Arabic" w:hint="cs"/>
          <w:sz w:val="24"/>
          <w:szCs w:val="24"/>
          <w:rtl/>
        </w:rPr>
        <w:t>م يتم الإبلاغ عن</w:t>
      </w:r>
      <w:r w:rsidRPr="002E513E">
        <w:rPr>
          <w:rFonts w:ascii="Simplified Arabic" w:hAnsi="Simplified Arabic" w:cs="Simplified Arabic"/>
          <w:sz w:val="24"/>
          <w:szCs w:val="24"/>
          <w:rtl/>
        </w:rPr>
        <w:t xml:space="preserve"> آثار مميتة مباشرة </w:t>
      </w:r>
      <w:r w:rsidRPr="002E513E">
        <w:rPr>
          <w:rFonts w:ascii="Simplified Arabic" w:hAnsi="Simplified Arabic" w:cs="Simplified Arabic" w:hint="cs"/>
          <w:sz w:val="24"/>
          <w:szCs w:val="24"/>
          <w:rtl/>
        </w:rPr>
        <w:t>ناجمة عن المحاصيل ال</w:t>
      </w:r>
      <w:r w:rsidRPr="002E513E">
        <w:rPr>
          <w:rFonts w:ascii="Simplified Arabic" w:hAnsi="Simplified Arabic" w:cs="Simplified Arabic"/>
          <w:sz w:val="24"/>
          <w:szCs w:val="24"/>
          <w:rtl/>
        </w:rPr>
        <w:t>مقاو</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مة </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 xml:space="preserve">لحشرات </w:t>
      </w:r>
      <w:r w:rsidRPr="00830816">
        <w:rPr>
          <w:rtl/>
        </w:rPr>
        <w:t>(</w:t>
      </w:r>
      <w:r w:rsidRPr="00830816">
        <w:t>IR</w:t>
      </w:r>
      <w:r w:rsidRPr="00830816">
        <w:rPr>
          <w:rtl/>
        </w:rPr>
        <w:t>)</w:t>
      </w:r>
      <w:r w:rsidRPr="002E513E">
        <w:rPr>
          <w:rFonts w:ascii="Simplified Arabic" w:hAnsi="Simplified Arabic" w:cs="Simplified Arabic"/>
          <w:sz w:val="24"/>
          <w:szCs w:val="24"/>
          <w:rtl/>
        </w:rPr>
        <w:t xml:space="preserve"> (على سبيل المثال، إنتاج</w:t>
      </w:r>
      <w:r w:rsidRPr="002E513E">
        <w:rPr>
          <w:rFonts w:ascii="Simplified Arabic" w:hAnsi="Simplified Arabic" w:cs="Simplified Arabic" w:hint="cs"/>
          <w:sz w:val="24"/>
          <w:szCs w:val="24"/>
          <w:rtl/>
        </w:rPr>
        <w:t xml:space="preserve"> سموم العصوية التورنجية </w:t>
      </w:r>
      <w:r w:rsidRPr="00830816">
        <w:rPr>
          <w:rtl/>
        </w:rPr>
        <w:t>(</w:t>
      </w:r>
      <w:r w:rsidRPr="00830816">
        <w:t>Bt</w:t>
      </w:r>
      <w:r w:rsidRPr="00830816">
        <w:rPr>
          <w:rtl/>
        </w:rPr>
        <w:t>)</w:t>
      </w:r>
      <w:r w:rsidRPr="002E513E">
        <w:rPr>
          <w:rFonts w:ascii="Simplified Arabic" w:hAnsi="Simplified Arabic" w:cs="Simplified Arabic"/>
          <w:sz w:val="24"/>
          <w:szCs w:val="24"/>
          <w:rtl/>
        </w:rPr>
        <w:t xml:space="preserve">) على نحل العسل أو </w:t>
      </w:r>
      <w:r w:rsidRPr="002E513E">
        <w:rPr>
          <w:rFonts w:ascii="Simplified Arabic" w:hAnsi="Simplified Arabic" w:cs="Simplified Arabic" w:hint="cs"/>
          <w:sz w:val="24"/>
          <w:szCs w:val="24"/>
          <w:rtl/>
        </w:rPr>
        <w:t xml:space="preserve">غيره من </w:t>
      </w:r>
      <w:r w:rsidRPr="002E513E">
        <w:rPr>
          <w:rFonts w:ascii="Simplified Arabic" w:hAnsi="Simplified Arabic" w:cs="Simplified Arabic"/>
          <w:sz w:val="24"/>
          <w:szCs w:val="24"/>
          <w:rtl/>
        </w:rPr>
        <w:t>غشائيات الأجنحة</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ولكن</w:t>
      </w:r>
      <w:r w:rsidRPr="002E513E">
        <w:rPr>
          <w:rFonts w:ascii="Simplified Arabic" w:hAnsi="Simplified Arabic" w:cs="Simplified Arabic" w:hint="cs"/>
          <w:sz w:val="24"/>
          <w:szCs w:val="24"/>
          <w:rtl/>
        </w:rPr>
        <w:t xml:space="preserve"> ظهرت</w:t>
      </w:r>
      <w:r w:rsidRPr="002E513E">
        <w:rPr>
          <w:rFonts w:ascii="Simplified Arabic" w:hAnsi="Simplified Arabic" w:cs="Simplified Arabic"/>
          <w:sz w:val="24"/>
          <w:szCs w:val="24"/>
          <w:rtl/>
        </w:rPr>
        <w:t xml:space="preserve"> بعض </w:t>
      </w:r>
      <w:r w:rsidRPr="002E513E">
        <w:rPr>
          <w:rFonts w:ascii="Simplified Arabic" w:hAnsi="Simplified Arabic" w:cs="Simplified Arabic" w:hint="cs"/>
          <w:sz w:val="24"/>
          <w:szCs w:val="24"/>
          <w:rtl/>
        </w:rPr>
        <w:t>ال</w:t>
      </w:r>
      <w:r w:rsidRPr="002E513E">
        <w:rPr>
          <w:rFonts w:ascii="Simplified Arabic" w:hAnsi="Simplified Arabic" w:cs="Simplified Arabic"/>
          <w:sz w:val="24"/>
          <w:szCs w:val="24"/>
          <w:rtl/>
        </w:rPr>
        <w:t>آثار غير ال</w:t>
      </w:r>
      <w:r w:rsidRPr="002E513E">
        <w:rPr>
          <w:rFonts w:ascii="Simplified Arabic" w:hAnsi="Simplified Arabic" w:cs="Simplified Arabic" w:hint="cs"/>
          <w:sz w:val="24"/>
          <w:szCs w:val="24"/>
          <w:rtl/>
        </w:rPr>
        <w:t>مميت</w:t>
      </w:r>
      <w:r w:rsidRPr="002E513E">
        <w:rPr>
          <w:rFonts w:ascii="Simplified Arabic" w:hAnsi="Simplified Arabic" w:cs="Simplified Arabic"/>
          <w:sz w:val="24"/>
          <w:szCs w:val="24"/>
          <w:rtl/>
        </w:rPr>
        <w:t>ة على سلوك نحل العسل</w:t>
      </w:r>
      <w:r w:rsidRPr="002E513E">
        <w:rPr>
          <w:rFonts w:ascii="Simplified Arabic" w:hAnsi="Simplified Arabic" w:cs="Simplified Arabic" w:hint="cs"/>
          <w:sz w:val="24"/>
          <w:szCs w:val="24"/>
          <w:rtl/>
        </w:rPr>
        <w:t>"، وفي ال</w:t>
      </w:r>
      <w:r w:rsidRPr="002E513E">
        <w:rPr>
          <w:rFonts w:ascii="Simplified Arabic" w:hAnsi="Simplified Arabic" w:cs="Simplified Arabic"/>
          <w:sz w:val="24"/>
          <w:szCs w:val="24"/>
          <w:rtl/>
        </w:rPr>
        <w:t xml:space="preserve">صفحة 592 </w:t>
      </w:r>
      <w:r w:rsidRPr="002E513E">
        <w:rPr>
          <w:rFonts w:ascii="Simplified Arabic" w:hAnsi="Simplified Arabic" w:cs="Simplified Arabic" w:hint="cs"/>
          <w:sz w:val="24"/>
          <w:szCs w:val="24"/>
          <w:rtl/>
        </w:rPr>
        <w:t>أنّ</w:t>
      </w:r>
      <w:r w:rsidRPr="002E513E">
        <w:rPr>
          <w:rFonts w:ascii="Simplified Arabic" w:hAnsi="Simplified Arabic" w:cs="Simplified Arabic"/>
          <w:sz w:val="24"/>
          <w:szCs w:val="24"/>
          <w:rtl/>
        </w:rPr>
        <w:t>:</w:t>
      </w:r>
      <w:r w:rsidRPr="002E513E">
        <w:rPr>
          <w:rFonts w:ascii="Simplified Arabic" w:hAnsi="Simplified Arabic" w:cs="Simplified Arabic" w:hint="cs"/>
          <w:sz w:val="24"/>
          <w:szCs w:val="24"/>
          <w:rtl/>
        </w:rPr>
        <w:t xml:space="preserve"> </w:t>
      </w:r>
      <w:r w:rsidRPr="002E513E">
        <w:rPr>
          <w:rFonts w:ascii="Simplified Arabic" w:hAnsi="Simplified Arabic" w:cs="Simplified Arabic"/>
          <w:sz w:val="24"/>
          <w:szCs w:val="24"/>
          <w:rtl/>
        </w:rPr>
        <w:t>"تقييم</w:t>
      </w:r>
      <w:r w:rsidRPr="002E513E">
        <w:rPr>
          <w:rFonts w:ascii="Simplified Arabic" w:hAnsi="Simplified Arabic" w:cs="Simplified Arabic" w:hint="cs"/>
          <w:sz w:val="24"/>
          <w:szCs w:val="24"/>
          <w:rtl/>
        </w:rPr>
        <w:t>ات</w:t>
      </w:r>
      <w:r w:rsidRPr="002E513E">
        <w:rPr>
          <w:rFonts w:ascii="Simplified Arabic" w:hAnsi="Simplified Arabic" w:cs="Simplified Arabic"/>
          <w:sz w:val="24"/>
          <w:szCs w:val="24"/>
          <w:rtl/>
        </w:rPr>
        <w:t xml:space="preserve"> المخاطر المطلوبة للموافقة على المحاصيل </w:t>
      </w:r>
      <w:r w:rsidRPr="002E513E">
        <w:rPr>
          <w:rFonts w:ascii="Simplified Arabic" w:hAnsi="Simplified Arabic" w:cs="Simplified Arabic" w:hint="cs"/>
          <w:sz w:val="24"/>
          <w:szCs w:val="24"/>
          <w:rtl/>
        </w:rPr>
        <w:t>الم</w:t>
      </w:r>
      <w:r w:rsidR="00477C79">
        <w:rPr>
          <w:rFonts w:ascii="Simplified Arabic" w:hAnsi="Simplified Arabic" w:cs="Simplified Arabic" w:hint="cs"/>
          <w:sz w:val="24"/>
          <w:szCs w:val="24"/>
          <w:rtl/>
        </w:rPr>
        <w:t>حور</w:t>
      </w:r>
      <w:r w:rsidRPr="002E513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w:t>
      </w:r>
      <w:r w:rsidR="00477C79">
        <w:rPr>
          <w:rFonts w:ascii="Simplified Arabic" w:hAnsi="Simplified Arabic" w:cs="Simplified Arabic" w:hint="cs"/>
          <w:sz w:val="24"/>
          <w:szCs w:val="24"/>
          <w:rtl/>
        </w:rPr>
        <w:t>جين</w:t>
      </w:r>
      <w:r w:rsidRPr="002E513E">
        <w:rPr>
          <w:rFonts w:ascii="Simplified Arabic" w:hAnsi="Simplified Arabic" w:cs="Simplified Arabic"/>
          <w:sz w:val="24"/>
          <w:szCs w:val="24"/>
          <w:rtl/>
        </w:rPr>
        <w:t>يا في معظم البلدان</w:t>
      </w:r>
      <w:r w:rsidRPr="002E513E">
        <w:rPr>
          <w:rFonts w:ascii="Simplified Arabic" w:hAnsi="Simplified Arabic" w:cs="Simplified Arabic" w:hint="cs"/>
          <w:sz w:val="24"/>
          <w:szCs w:val="24"/>
          <w:rtl/>
        </w:rPr>
        <w:t xml:space="preserve"> لا تتطرق إلى</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ال</w:t>
      </w:r>
      <w:r w:rsidRPr="002E513E">
        <w:rPr>
          <w:rFonts w:ascii="Simplified Arabic" w:hAnsi="Simplified Arabic" w:cs="Simplified Arabic"/>
          <w:sz w:val="24"/>
          <w:szCs w:val="24"/>
          <w:rtl/>
        </w:rPr>
        <w:t>آثار غير ال</w:t>
      </w:r>
      <w:r w:rsidRPr="002E513E">
        <w:rPr>
          <w:rFonts w:ascii="Simplified Arabic" w:hAnsi="Simplified Arabic" w:cs="Simplified Arabic" w:hint="cs"/>
          <w:sz w:val="24"/>
          <w:szCs w:val="24"/>
          <w:rtl/>
        </w:rPr>
        <w:t>مميت</w:t>
      </w:r>
      <w:r w:rsidRPr="002E513E">
        <w:rPr>
          <w:rFonts w:ascii="Simplified Arabic" w:hAnsi="Simplified Arabic" w:cs="Simplified Arabic"/>
          <w:sz w:val="24"/>
          <w:szCs w:val="24"/>
          <w:rtl/>
        </w:rPr>
        <w:t>ة المباشرة ل</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 xml:space="preserve">محاصيل </w:t>
      </w:r>
      <w:r w:rsidRPr="002E513E">
        <w:rPr>
          <w:rFonts w:ascii="Simplified Arabic" w:hAnsi="Simplified Arabic" w:cs="Simplified Arabic" w:hint="cs"/>
          <w:sz w:val="24"/>
          <w:szCs w:val="24"/>
          <w:rtl/>
        </w:rPr>
        <w:t>ال</w:t>
      </w:r>
      <w:r w:rsidRPr="002E513E">
        <w:rPr>
          <w:rFonts w:ascii="Simplified Arabic" w:hAnsi="Simplified Arabic" w:cs="Simplified Arabic"/>
          <w:sz w:val="24"/>
          <w:szCs w:val="24"/>
          <w:rtl/>
        </w:rPr>
        <w:t>مقاو</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مة </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 xml:space="preserve">لحشرات أو </w:t>
      </w:r>
      <w:r w:rsidRPr="002E513E">
        <w:rPr>
          <w:rFonts w:ascii="Simplified Arabic" w:hAnsi="Simplified Arabic" w:cs="Simplified Arabic" w:hint="cs"/>
          <w:sz w:val="24"/>
          <w:szCs w:val="24"/>
          <w:rtl/>
        </w:rPr>
        <w:t>ال</w:t>
      </w:r>
      <w:r w:rsidRPr="002E513E">
        <w:rPr>
          <w:rFonts w:ascii="Simplified Arabic" w:hAnsi="Simplified Arabic" w:cs="Simplified Arabic"/>
          <w:sz w:val="24"/>
          <w:szCs w:val="24"/>
          <w:rtl/>
        </w:rPr>
        <w:t>آثار غير المباشرة ل</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 xml:space="preserve">محاصيل </w:t>
      </w:r>
      <w:r w:rsidRPr="002E513E">
        <w:rPr>
          <w:rFonts w:ascii="Simplified Arabic" w:hAnsi="Simplified Arabic" w:cs="Simplified Arabic" w:hint="cs"/>
          <w:sz w:val="24"/>
          <w:szCs w:val="24"/>
          <w:rtl/>
        </w:rPr>
        <w:t xml:space="preserve">التي تتحمل </w:t>
      </w:r>
      <w:r w:rsidRPr="002E513E">
        <w:rPr>
          <w:rFonts w:ascii="Simplified Arabic" w:hAnsi="Simplified Arabic" w:cs="Simplified Arabic"/>
          <w:sz w:val="24"/>
          <w:szCs w:val="24"/>
          <w:rtl/>
        </w:rPr>
        <w:t xml:space="preserve">مبيدات الحشائش </w:t>
      </w:r>
      <w:r w:rsidRPr="002E513E">
        <w:rPr>
          <w:rFonts w:ascii="Simplified Arabic" w:hAnsi="Simplified Arabic" w:cs="Simplified Arabic" w:hint="cs"/>
          <w:sz w:val="24"/>
          <w:szCs w:val="24"/>
          <w:rtl/>
        </w:rPr>
        <w:t>وال</w:t>
      </w:r>
      <w:r w:rsidRPr="002E513E">
        <w:rPr>
          <w:rFonts w:ascii="Simplified Arabic" w:hAnsi="Simplified Arabic" w:cs="Simplified Arabic"/>
          <w:sz w:val="24"/>
          <w:szCs w:val="24"/>
          <w:rtl/>
        </w:rPr>
        <w:t>مقاو</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مة </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لحشرات،</w:t>
      </w:r>
      <w:r w:rsidRPr="002E513E">
        <w:rPr>
          <w:rFonts w:ascii="Simplified Arabic" w:hAnsi="Simplified Arabic" w:cs="Simplified Arabic" w:hint="cs"/>
          <w:sz w:val="24"/>
          <w:szCs w:val="24"/>
          <w:rtl/>
        </w:rPr>
        <w:t xml:space="preserve"> ويرجع ذلك جزئيا إلى نقص </w:t>
      </w:r>
      <w:r w:rsidRPr="002E513E">
        <w:rPr>
          <w:rFonts w:ascii="Simplified Arabic" w:hAnsi="Simplified Arabic" w:cs="Simplified Arabic"/>
          <w:sz w:val="24"/>
          <w:szCs w:val="24"/>
          <w:rtl/>
        </w:rPr>
        <w:t>اﻟﺒﻴﺎﻧﺎت</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ومن شأن توسيع نطاق</w:t>
      </w:r>
      <w:r w:rsidRPr="002E513E">
        <w:rPr>
          <w:rFonts w:ascii="Simplified Arabic" w:hAnsi="Simplified Arabic" w:cs="Simplified Arabic" w:hint="cs"/>
          <w:sz w:val="24"/>
          <w:szCs w:val="24"/>
          <w:rtl/>
        </w:rPr>
        <w:t xml:space="preserve"> عملية</w:t>
      </w:r>
      <w:r w:rsidRPr="002E513E">
        <w:rPr>
          <w:rFonts w:ascii="Simplified Arabic" w:hAnsi="Simplified Arabic" w:cs="Simplified Arabic"/>
          <w:sz w:val="24"/>
          <w:szCs w:val="24"/>
          <w:rtl/>
        </w:rPr>
        <w:t xml:space="preserve"> رصد</w:t>
      </w:r>
      <w:r w:rsidRPr="002E513E">
        <w:rPr>
          <w:rFonts w:ascii="Simplified Arabic" w:hAnsi="Simplified Arabic" w:cs="Simplified Arabic" w:hint="cs"/>
          <w:sz w:val="24"/>
          <w:szCs w:val="24"/>
          <w:rtl/>
        </w:rPr>
        <w:t xml:space="preserve"> وتحديد مخاطر ال</w:t>
      </w:r>
      <w:r w:rsidRPr="002E513E">
        <w:rPr>
          <w:rFonts w:ascii="Simplified Arabic" w:hAnsi="Simplified Arabic" w:cs="Simplified Arabic"/>
          <w:sz w:val="24"/>
          <w:szCs w:val="24"/>
          <w:rtl/>
        </w:rPr>
        <w:t>آثار البيئية و</w:t>
      </w:r>
      <w:r w:rsidRPr="002E513E">
        <w:rPr>
          <w:rFonts w:ascii="Simplified Arabic" w:hAnsi="Simplified Arabic" w:cs="Simplified Arabic" w:hint="cs"/>
          <w:sz w:val="24"/>
          <w:szCs w:val="24"/>
          <w:rtl/>
        </w:rPr>
        <w:t>المتعلقة ب</w:t>
      </w:r>
      <w:r w:rsidRPr="002E513E">
        <w:rPr>
          <w:rFonts w:ascii="Simplified Arabic" w:hAnsi="Simplified Arabic" w:cs="Simplified Arabic"/>
          <w:sz w:val="24"/>
          <w:szCs w:val="24"/>
          <w:rtl/>
        </w:rPr>
        <w:t>التنوع البيولوجي ل</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مبيدات والكائنات الم</w:t>
      </w:r>
      <w:r w:rsidR="00477C79">
        <w:rPr>
          <w:rFonts w:ascii="Simplified Arabic" w:hAnsi="Simplified Arabic" w:cs="Simplified Arabic" w:hint="cs"/>
          <w:sz w:val="24"/>
          <w:szCs w:val="24"/>
          <w:rtl/>
        </w:rPr>
        <w:t>حور</w:t>
      </w:r>
      <w:r w:rsidRPr="002E513E">
        <w:rPr>
          <w:rFonts w:ascii="Simplified Arabic" w:hAnsi="Simplified Arabic" w:cs="Simplified Arabic"/>
          <w:sz w:val="24"/>
          <w:szCs w:val="24"/>
          <w:rtl/>
        </w:rPr>
        <w:t xml:space="preserve">ة </w:t>
      </w:r>
      <w:r w:rsidR="00477C79">
        <w:rPr>
          <w:rFonts w:ascii="Simplified Arabic" w:hAnsi="Simplified Arabic" w:cs="Simplified Arabic" w:hint="cs"/>
          <w:sz w:val="24"/>
          <w:szCs w:val="24"/>
          <w:rtl/>
        </w:rPr>
        <w:t>جين</w:t>
      </w:r>
      <w:r w:rsidRPr="002E513E">
        <w:rPr>
          <w:rFonts w:ascii="Simplified Arabic" w:hAnsi="Simplified Arabic" w:cs="Simplified Arabic"/>
          <w:sz w:val="24"/>
          <w:szCs w:val="24"/>
          <w:rtl/>
        </w:rPr>
        <w:t>يا</w:t>
      </w:r>
      <w:r w:rsidRPr="002E513E">
        <w:rPr>
          <w:rFonts w:ascii="Simplified Arabic" w:hAnsi="Simplified Arabic" w:cs="Simplified Arabic" w:hint="cs"/>
          <w:sz w:val="24"/>
          <w:szCs w:val="24"/>
          <w:rtl/>
        </w:rPr>
        <w:t xml:space="preserve"> لتشمل</w:t>
      </w:r>
      <w:r w:rsidRPr="002E513E">
        <w:rPr>
          <w:rFonts w:ascii="Simplified Arabic" w:hAnsi="Simplified Arabic" w:cs="Simplified Arabic"/>
          <w:sz w:val="24"/>
          <w:szCs w:val="24"/>
          <w:rtl/>
        </w:rPr>
        <w:t xml:space="preserve"> على وجه التحديد الملق</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حات البرية </w:t>
      </w:r>
      <w:r w:rsidRPr="002E513E">
        <w:rPr>
          <w:rFonts w:ascii="Simplified Arabic" w:hAnsi="Simplified Arabic" w:cs="Simplified Arabic" w:hint="cs"/>
          <w:sz w:val="24"/>
          <w:szCs w:val="24"/>
          <w:rtl/>
        </w:rPr>
        <w:t>والداجنة</w:t>
      </w:r>
      <w:r w:rsidRPr="002E513E">
        <w:rPr>
          <w:rFonts w:ascii="Simplified Arabic" w:hAnsi="Simplified Arabic" w:cs="Simplified Arabic"/>
          <w:sz w:val="24"/>
          <w:szCs w:val="24"/>
          <w:rtl/>
        </w:rPr>
        <w:t xml:space="preserve"> (توجد خطط </w:t>
      </w:r>
      <w:r w:rsidRPr="002E513E">
        <w:rPr>
          <w:rFonts w:ascii="Simplified Arabic" w:hAnsi="Simplified Arabic" w:cs="Simplified Arabic" w:hint="cs"/>
          <w:sz w:val="24"/>
          <w:szCs w:val="24"/>
          <w:rtl/>
        </w:rPr>
        <w:t>لل</w:t>
      </w:r>
      <w:r w:rsidRPr="002E513E">
        <w:rPr>
          <w:rFonts w:ascii="Simplified Arabic" w:hAnsi="Simplified Arabic" w:cs="Simplified Arabic"/>
          <w:sz w:val="24"/>
          <w:szCs w:val="24"/>
          <w:rtl/>
        </w:rPr>
        <w:t>رصد في بلدان</w:t>
      </w:r>
      <w:r w:rsidRPr="002E513E">
        <w:rPr>
          <w:rFonts w:ascii="Simplified Arabic" w:hAnsi="Simplified Arabic" w:cs="Simplified Arabic" w:hint="cs"/>
          <w:sz w:val="24"/>
          <w:szCs w:val="24"/>
          <w:rtl/>
        </w:rPr>
        <w:t xml:space="preserve"> عديدة</w:t>
      </w:r>
      <w:r w:rsidRPr="002E513E">
        <w:rPr>
          <w:rFonts w:ascii="Simplified Arabic" w:hAnsi="Simplified Arabic" w:cs="Simplified Arabic"/>
          <w:sz w:val="24"/>
          <w:szCs w:val="24"/>
          <w:rtl/>
        </w:rPr>
        <w:t>) أن يحسِّن فهم حجم المخاطر</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وبالتالي</w:t>
      </w:r>
      <w:r w:rsidRPr="002E513E">
        <w:rPr>
          <w:rFonts w:ascii="Simplified Arabic" w:hAnsi="Simplified Arabic" w:cs="Simplified Arabic" w:hint="cs"/>
          <w:sz w:val="24"/>
          <w:szCs w:val="24"/>
          <w:rtl/>
        </w:rPr>
        <w:t>، فبغضّ</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 xml:space="preserve">النظر </w:t>
      </w:r>
      <w:r w:rsidRPr="002E513E">
        <w:rPr>
          <w:rFonts w:ascii="Simplified Arabic" w:hAnsi="Simplified Arabic" w:cs="Simplified Arabic"/>
          <w:sz w:val="24"/>
          <w:szCs w:val="24"/>
          <w:rtl/>
        </w:rPr>
        <w:t>عن تجنب إدراج الكائنات الحية المحورة كعوامل يمكن أن تؤثر على الملق</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حات، </w:t>
      </w:r>
      <w:r w:rsidRPr="002E513E">
        <w:rPr>
          <w:rFonts w:ascii="Simplified Arabic" w:hAnsi="Simplified Arabic" w:cs="Simplified Arabic" w:hint="cs"/>
          <w:sz w:val="24"/>
          <w:szCs w:val="24"/>
          <w:rtl/>
        </w:rPr>
        <w:t xml:space="preserve">فإنه </w:t>
      </w:r>
      <w:r w:rsidRPr="002E513E">
        <w:rPr>
          <w:rFonts w:ascii="Simplified Arabic" w:hAnsi="Simplified Arabic" w:cs="Simplified Arabic"/>
          <w:sz w:val="24"/>
          <w:szCs w:val="24"/>
          <w:rtl/>
        </w:rPr>
        <w:t>ينبغي زيادة الجه</w:t>
      </w: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د المبذول</w:t>
      </w:r>
      <w:r w:rsidRPr="002E513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لفهم نطاق الآثار</w:t>
      </w:r>
      <w:r w:rsidRPr="002E513E">
        <w:rPr>
          <w:rFonts w:ascii="Simplified Arabic" w:hAnsi="Simplified Arabic" w:cs="Simplified Arabic" w:hint="cs"/>
          <w:sz w:val="24"/>
          <w:szCs w:val="24"/>
          <w:rtl/>
        </w:rPr>
        <w:t xml:space="preserve"> المترتبة عليها</w:t>
      </w:r>
      <w:r w:rsidRPr="002E513E">
        <w:rPr>
          <w:rFonts w:ascii="Simplified Arabic" w:hAnsi="Simplified Arabic" w:cs="Simplified Arabic"/>
          <w:sz w:val="24"/>
          <w:szCs w:val="24"/>
          <w:rtl/>
        </w:rPr>
        <w:t>، خاصة في البلدان التي تنتج محاصيل محورة جينيا</w:t>
      </w:r>
      <w:r w:rsidRPr="002E513E">
        <w:rPr>
          <w:rFonts w:ascii="Simplified Arabic" w:hAnsi="Simplified Arabic" w:cs="Simplified Arabic" w:hint="cs"/>
          <w:sz w:val="24"/>
          <w:szCs w:val="24"/>
          <w:rtl/>
        </w:rPr>
        <w:t>. ووفقا</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ل</w:t>
      </w:r>
      <w:r w:rsidRPr="002E513E">
        <w:rPr>
          <w:rFonts w:ascii="Simplified Arabic" w:hAnsi="Simplified Arabic" w:cs="Simplified Arabic"/>
          <w:sz w:val="24"/>
          <w:szCs w:val="24"/>
          <w:rtl/>
        </w:rPr>
        <w:t xml:space="preserve">لمبدأ التحوطي، لا يمكن اعتبار </w:t>
      </w:r>
      <w:r w:rsidRPr="002E513E">
        <w:rPr>
          <w:rFonts w:ascii="Simplified Arabic" w:hAnsi="Simplified Arabic" w:cs="Simplified Arabic" w:hint="cs"/>
          <w:sz w:val="24"/>
          <w:szCs w:val="24"/>
          <w:rtl/>
        </w:rPr>
        <w:t>نقص</w:t>
      </w:r>
      <w:r w:rsidRPr="002E513E">
        <w:rPr>
          <w:rFonts w:ascii="Simplified Arabic" w:hAnsi="Simplified Arabic" w:cs="Simplified Arabic"/>
          <w:sz w:val="24"/>
          <w:szCs w:val="24"/>
          <w:rtl/>
        </w:rPr>
        <w:t xml:space="preserve"> </w:t>
      </w:r>
      <w:r w:rsidRPr="002E513E">
        <w:rPr>
          <w:rFonts w:ascii="Simplified Arabic" w:hAnsi="Simplified Arabic" w:cs="Simplified Arabic" w:hint="cs"/>
          <w:sz w:val="24"/>
          <w:szCs w:val="24"/>
          <w:rtl/>
        </w:rPr>
        <w:t>ال</w:t>
      </w:r>
      <w:r w:rsidRPr="002E513E">
        <w:rPr>
          <w:rFonts w:ascii="Simplified Arabic" w:hAnsi="Simplified Arabic" w:cs="Simplified Arabic"/>
          <w:sz w:val="24"/>
          <w:szCs w:val="24"/>
          <w:rtl/>
        </w:rPr>
        <w:t>دراسات نقص</w:t>
      </w:r>
      <w:r w:rsidR="00C57E2E">
        <w:rPr>
          <w:rFonts w:ascii="Simplified Arabic" w:hAnsi="Simplified Arabic" w:cs="Simplified Arabic" w:hint="cs"/>
          <w:sz w:val="24"/>
          <w:szCs w:val="24"/>
          <w:rtl/>
        </w:rPr>
        <w:t>ا</w:t>
      </w:r>
      <w:r w:rsidRPr="002E513E">
        <w:rPr>
          <w:rFonts w:ascii="Simplified Arabic" w:hAnsi="Simplified Arabic" w:cs="Simplified Arabic"/>
          <w:sz w:val="24"/>
          <w:szCs w:val="24"/>
          <w:rtl/>
        </w:rPr>
        <w:t xml:space="preserve"> في الأدلة</w:t>
      </w:r>
      <w:r w:rsidRPr="002E513E">
        <w:rPr>
          <w:rFonts w:ascii="Simplified Arabic" w:hAnsi="Simplified Arabic" w:cs="Simplified Arabic" w:hint="cs"/>
          <w:sz w:val="24"/>
          <w:szCs w:val="24"/>
          <w:rtl/>
        </w:rPr>
        <w:t>.</w:t>
      </w:r>
    </w:p>
    <w:p w:rsidR="009A2C4F" w:rsidRPr="002E513E" w:rsidRDefault="009A2C4F" w:rsidP="00477C79">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أيد بيان ممثل</w:t>
      </w:r>
      <w:r w:rsidRPr="002E513E">
        <w:rPr>
          <w:rFonts w:ascii="Simplified Arabic" w:hAnsi="Simplified Arabic" w:cs="Simplified Arabic" w:hint="cs"/>
          <w:sz w:val="24"/>
          <w:szCs w:val="24"/>
          <w:rtl/>
        </w:rPr>
        <w:t>ة</w:t>
      </w:r>
      <w:r w:rsidRPr="002E513E">
        <w:rPr>
          <w:rFonts w:ascii="Simplified Arabic" w:hAnsi="Simplified Arabic" w:cs="Simplified Arabic"/>
          <w:sz w:val="24"/>
          <w:szCs w:val="24"/>
          <w:rtl/>
        </w:rPr>
        <w:t xml:space="preserve"> أوروغواي ممثلو بوليفيا (دولة - المتعددة القوميات)</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والاتحاد الأوروبي</w:t>
      </w:r>
      <w:r w:rsidR="00477C79">
        <w:rPr>
          <w:rFonts w:ascii="Simplified Arabic" w:hAnsi="Simplified Arabic" w:cs="Simplified Arabic" w:hint="cs"/>
          <w:sz w:val="24"/>
          <w:szCs w:val="24"/>
          <w:rtl/>
        </w:rPr>
        <w:t xml:space="preserve"> ودوله الأعضاء الثماني والعشرين</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وغواتيمالا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وكينيا</w:t>
      </w:r>
      <w:r w:rsidRPr="002E513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وجمهورية تنزانيا المتحدة وفنزويلا (جمهورية - البوليفارية)</w:t>
      </w:r>
      <w:r w:rsidRPr="002E513E">
        <w:rPr>
          <w:rFonts w:ascii="Simplified Arabic" w:hAnsi="Simplified Arabic" w:cs="Simplified Arabic" w:hint="cs"/>
          <w:sz w:val="24"/>
          <w:szCs w:val="24"/>
          <w:rtl/>
        </w:rPr>
        <w:t>.</w:t>
      </w:r>
    </w:p>
    <w:p w:rsidR="009A2C4F" w:rsidRPr="002E513E" w:rsidRDefault="009A2C4F"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tl/>
        </w:rPr>
      </w:pPr>
      <w:r w:rsidRPr="002E513E">
        <w:rPr>
          <w:rFonts w:ascii="Simplified Arabic" w:hAnsi="Simplified Arabic" w:cs="Simplified Arabic" w:hint="cs"/>
          <w:sz w:val="24"/>
          <w:szCs w:val="24"/>
          <w:rtl/>
        </w:rPr>
        <w:t>و</w:t>
      </w:r>
      <w:r w:rsidRPr="002E513E">
        <w:rPr>
          <w:rFonts w:ascii="Simplified Arabic" w:hAnsi="Simplified Arabic" w:cs="Simplified Arabic"/>
          <w:sz w:val="24"/>
          <w:szCs w:val="24"/>
          <w:rtl/>
        </w:rPr>
        <w:t>أدلى ببيان أيضا ممثل معهد البلدان الأمريكية للتعاون في</w:t>
      </w:r>
      <w:r w:rsidRPr="002E513E">
        <w:rPr>
          <w:rFonts w:ascii="Simplified Arabic" w:hAnsi="Simplified Arabic" w:cs="Simplified Arabic" w:hint="cs"/>
          <w:sz w:val="24"/>
          <w:szCs w:val="24"/>
          <w:rtl/>
        </w:rPr>
        <w:t xml:space="preserve"> ميدان</w:t>
      </w:r>
      <w:r w:rsidRPr="002E513E">
        <w:rPr>
          <w:rFonts w:ascii="Simplified Arabic" w:hAnsi="Simplified Arabic" w:cs="Simplified Arabic"/>
          <w:sz w:val="24"/>
          <w:szCs w:val="24"/>
          <w:rtl/>
        </w:rPr>
        <w:t xml:space="preserve"> الزراعة (ب</w:t>
      </w:r>
      <w:r w:rsidR="00C57E2E">
        <w:rPr>
          <w:rFonts w:ascii="Simplified Arabic" w:hAnsi="Simplified Arabic" w:cs="Simplified Arabic" w:hint="cs"/>
          <w:sz w:val="24"/>
          <w:szCs w:val="24"/>
          <w:rtl/>
        </w:rPr>
        <w:t>تأييد</w:t>
      </w:r>
      <w:r w:rsidRPr="002E513E">
        <w:rPr>
          <w:rFonts w:ascii="Simplified Arabic" w:hAnsi="Simplified Arabic" w:cs="Simplified Arabic"/>
          <w:sz w:val="24"/>
          <w:szCs w:val="24"/>
          <w:rtl/>
        </w:rPr>
        <w:t xml:space="preserve"> من بنما)</w:t>
      </w:r>
      <w:r w:rsidRPr="002E513E">
        <w:rPr>
          <w:rFonts w:ascii="Simplified Arabic" w:hAnsi="Simplified Arabic" w:cs="Simplified Arabic" w:hint="cs"/>
          <w:sz w:val="24"/>
          <w:szCs w:val="24"/>
          <w:rtl/>
        </w:rPr>
        <w:t>.</w:t>
      </w:r>
    </w:p>
    <w:p w:rsidR="00D50BC6" w:rsidRPr="002E513E" w:rsidRDefault="009A2C4F" w:rsidP="00FF7FA5">
      <w:pPr>
        <w:pStyle w:val="ListParagraph1"/>
        <w:numPr>
          <w:ilvl w:val="0"/>
          <w:numId w:val="6"/>
        </w:numPr>
        <w:tabs>
          <w:tab w:val="clear" w:pos="720"/>
        </w:tabs>
        <w:kinsoku w:val="0"/>
        <w:overflowPunct w:val="0"/>
        <w:autoSpaceDE w:val="0"/>
        <w:autoSpaceDN w:val="0"/>
        <w:bidi/>
        <w:snapToGrid w:val="0"/>
        <w:spacing w:before="0" w:line="216" w:lineRule="auto"/>
        <w:ind w:left="0" w:firstLine="0"/>
        <w:rPr>
          <w:rFonts w:ascii="Simplified Arabic" w:hAnsi="Simplified Arabic" w:cs="Simplified Arabic"/>
          <w:sz w:val="24"/>
          <w:szCs w:val="24"/>
        </w:rPr>
      </w:pPr>
      <w:r w:rsidRPr="002E513E">
        <w:rPr>
          <w:rFonts w:ascii="Simplified Arabic" w:hAnsi="Simplified Arabic" w:cs="Simplified Arabic"/>
          <w:sz w:val="24"/>
          <w:szCs w:val="24"/>
          <w:rtl/>
        </w:rPr>
        <w:t xml:space="preserve">وبعد تبادل الآراء، </w:t>
      </w:r>
      <w:r w:rsidRPr="002E513E">
        <w:rPr>
          <w:rFonts w:ascii="Simplified Arabic" w:hAnsi="Simplified Arabic" w:cs="Simplified Arabic" w:hint="cs"/>
          <w:sz w:val="24"/>
          <w:szCs w:val="24"/>
          <w:rtl/>
        </w:rPr>
        <w:t>وُوفق</w:t>
      </w:r>
      <w:r w:rsidRPr="002E513E">
        <w:rPr>
          <w:rFonts w:ascii="Simplified Arabic" w:hAnsi="Simplified Arabic" w:cs="Simplified Arabic"/>
          <w:sz w:val="24"/>
          <w:szCs w:val="24"/>
          <w:rtl/>
        </w:rPr>
        <w:t xml:space="preserve"> على مشروع المقرر، بصيغته المعدلة شفويا</w:t>
      </w:r>
      <w:r w:rsidR="00C57E2E">
        <w:rPr>
          <w:rFonts w:ascii="Simplified Arabic" w:hAnsi="Simplified Arabic" w:cs="Simplified Arabic" w:hint="cs"/>
          <w:sz w:val="24"/>
          <w:szCs w:val="24"/>
          <w:rtl/>
        </w:rPr>
        <w:t>ً</w:t>
      </w:r>
      <w:r w:rsidRPr="002E513E">
        <w:rPr>
          <w:rFonts w:ascii="Simplified Arabic" w:hAnsi="Simplified Arabic" w:cs="Simplified Arabic"/>
          <w:sz w:val="24"/>
          <w:szCs w:val="24"/>
          <w:rtl/>
        </w:rPr>
        <w:t xml:space="preserve">، لإحالته إلى الجلسة العامة </w:t>
      </w:r>
      <w:r w:rsidR="00BE3594" w:rsidRPr="002E513E">
        <w:rPr>
          <w:rFonts w:ascii="Simplified Arabic" w:hAnsi="Simplified Arabic" w:cs="Simplified Arabic" w:hint="cs"/>
          <w:szCs w:val="24"/>
          <w:rtl/>
        </w:rPr>
        <w:t>بوصفه مشروع المقرر</w:t>
      </w:r>
      <w:r w:rsidRPr="002E513E">
        <w:rPr>
          <w:rFonts w:ascii="Simplified Arabic" w:hAnsi="Simplified Arabic" w:cs="Simplified Arabic" w:hint="cs"/>
          <w:sz w:val="24"/>
          <w:szCs w:val="24"/>
          <w:rtl/>
        </w:rPr>
        <w:t xml:space="preserve"> </w:t>
      </w:r>
      <w:r w:rsidRPr="002E513E">
        <w:t>CBD/COP/14/L.28</w:t>
      </w:r>
      <w:r w:rsidRPr="002E513E">
        <w:rPr>
          <w:rFonts w:ascii="Simplified Arabic" w:hAnsi="Simplified Arabic" w:cs="Simplified Arabic" w:hint="cs"/>
          <w:sz w:val="24"/>
          <w:szCs w:val="24"/>
          <w:rtl/>
        </w:rPr>
        <w:t>.</w:t>
      </w:r>
    </w:p>
    <w:p w:rsidR="00D50BC6" w:rsidRDefault="00477C79" w:rsidP="00477C79">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نظر مؤتمر الأطراف في مشروع المقرر </w:t>
      </w:r>
      <w:r w:rsidRPr="007F48C2">
        <w:t>CBD/COP/14/L.</w:t>
      </w:r>
      <w:r>
        <w:t>28</w:t>
      </w:r>
      <w:r>
        <w:rPr>
          <w:rFonts w:cs="Simplified Arabic" w:hint="cs"/>
          <w:rtl/>
        </w:rPr>
        <w:t>.</w:t>
      </w:r>
    </w:p>
    <w:p w:rsidR="00477C79" w:rsidRPr="00997CAE" w:rsidRDefault="00477C79" w:rsidP="00477C79">
      <w:pPr>
        <w:pStyle w:val="ListParagraph"/>
        <w:numPr>
          <w:ilvl w:val="0"/>
          <w:numId w:val="6"/>
        </w:numPr>
        <w:bidi/>
        <w:spacing w:line="216" w:lineRule="auto"/>
        <w:ind w:left="0" w:firstLine="0"/>
        <w:rPr>
          <w:rFonts w:cs="Simplified Arabic"/>
        </w:rPr>
      </w:pPr>
      <w:r>
        <w:rPr>
          <w:rFonts w:cs="Simplified Arabic" w:hint="cs"/>
          <w:rtl/>
        </w:rPr>
        <w:t>وبعد تصحيحا</w:t>
      </w:r>
      <w:r w:rsidR="00286C73">
        <w:rPr>
          <w:rFonts w:cs="Simplified Arabic" w:hint="cs"/>
          <w:rtl/>
        </w:rPr>
        <w:t>ت</w:t>
      </w:r>
      <w:r>
        <w:rPr>
          <w:rFonts w:cs="Simplified Arabic" w:hint="cs"/>
          <w:rtl/>
        </w:rPr>
        <w:t xml:space="preserve"> شفوية</w:t>
      </w:r>
      <w:r w:rsidR="00A610F6">
        <w:rPr>
          <w:rFonts w:cs="Simplified Arabic" w:hint="cs"/>
          <w:rtl/>
        </w:rPr>
        <w:t xml:space="preserve"> قدمتها الأمانة</w:t>
      </w:r>
      <w:r>
        <w:rPr>
          <w:rFonts w:cs="Simplified Arabic" w:hint="cs"/>
          <w:rtl/>
        </w:rPr>
        <w:t xml:space="preserve">، اعتمد مؤتمر الأطراف مشروع المقرر </w:t>
      </w:r>
      <w:r w:rsidRPr="007F48C2">
        <w:t>CBD/COP/14/L.</w:t>
      </w:r>
      <w:r>
        <w:t>28</w:t>
      </w:r>
      <w:r>
        <w:rPr>
          <w:rFonts w:cs="Simplified Arabic" w:hint="cs"/>
          <w:rtl/>
        </w:rPr>
        <w:t>، بصيغته المعدلة شفوياً، بوصفه المقرر 14/6 (للاطلاع على النص، انظر الفصل الأول).</w:t>
      </w:r>
    </w:p>
    <w:p w:rsidR="00D50BC6" w:rsidRPr="00477B14" w:rsidRDefault="00D50BC6" w:rsidP="00094717">
      <w:pPr>
        <w:pStyle w:val="Heading2"/>
        <w:rPr>
          <w:lang w:val="en-GB"/>
        </w:rPr>
      </w:pPr>
      <w:bookmarkStart w:id="241" w:name="_Toc6140027"/>
      <w:r w:rsidRPr="00997CAE">
        <w:rPr>
          <w:rFonts w:hint="cs"/>
          <w:rtl/>
        </w:rPr>
        <w:lastRenderedPageBreak/>
        <w:t>البند 24 -</w:t>
      </w:r>
      <w:r w:rsidRPr="00997CAE">
        <w:rPr>
          <w:rFonts w:hint="cs"/>
          <w:rtl/>
        </w:rPr>
        <w:tab/>
        <w:t>التخطيط المكاني، والمناطق المحمية وتدابير الحفظ الفعالة الأخرى القائمة على أساس المناطق</w:t>
      </w:r>
      <w:bookmarkEnd w:id="241"/>
    </w:p>
    <w:p w:rsidR="009A2C4F" w:rsidRPr="002E513E" w:rsidRDefault="009A2C4F" w:rsidP="0018031C">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18031C">
        <w:rPr>
          <w:rFonts w:ascii="Simplified Arabic" w:hAnsi="Simplified Arabic" w:cs="Simplified Arabic"/>
          <w:szCs w:val="24"/>
          <w:rtl/>
        </w:rPr>
        <w:t>تناول الفريق العامل الثاني البند</w:t>
      </w:r>
      <w:r w:rsidRPr="002E513E">
        <w:rPr>
          <w:rFonts w:ascii="Simplified Arabic" w:hAnsi="Simplified Arabic" w:cs="Simplified Arabic"/>
          <w:szCs w:val="24"/>
          <w:rtl/>
        </w:rPr>
        <w:t xml:space="preserve"> 24 من جدول الأعمال في </w:t>
      </w:r>
      <w:r w:rsidR="0018031C">
        <w:rPr>
          <w:rFonts w:ascii="Simplified Arabic" w:hAnsi="Simplified Arabic" w:cs="Simplified Arabic" w:hint="cs"/>
          <w:szCs w:val="24"/>
          <w:rtl/>
        </w:rPr>
        <w:t>جلست</w:t>
      </w:r>
      <w:r w:rsidRPr="002E513E">
        <w:rPr>
          <w:rFonts w:ascii="Simplified Arabic" w:hAnsi="Simplified Arabic" w:cs="Simplified Arabic"/>
          <w:szCs w:val="24"/>
          <w:rtl/>
        </w:rPr>
        <w:t>ه الخامس</w:t>
      </w:r>
      <w:r w:rsidR="0018031C">
        <w:rPr>
          <w:rFonts w:ascii="Simplified Arabic" w:hAnsi="Simplified Arabic" w:cs="Simplified Arabic" w:hint="cs"/>
          <w:szCs w:val="24"/>
          <w:rtl/>
        </w:rPr>
        <w:t>ة،</w:t>
      </w:r>
      <w:r w:rsidRPr="002E513E">
        <w:rPr>
          <w:rFonts w:ascii="Simplified Arabic" w:hAnsi="Simplified Arabic" w:cs="Simplified Arabic"/>
          <w:szCs w:val="24"/>
          <w:rtl/>
        </w:rPr>
        <w:t xml:space="preserve"> المعقود</w:t>
      </w:r>
      <w:r w:rsidR="0018031C">
        <w:rPr>
          <w:rFonts w:ascii="Simplified Arabic" w:hAnsi="Simplified Arabic" w:cs="Simplified Arabic" w:hint="cs"/>
          <w:szCs w:val="24"/>
          <w:rtl/>
        </w:rPr>
        <w:t>ة</w:t>
      </w:r>
      <w:r w:rsidRPr="002E513E">
        <w:rPr>
          <w:rFonts w:ascii="Simplified Arabic" w:hAnsi="Simplified Arabic" w:cs="Simplified Arabic"/>
          <w:szCs w:val="24"/>
          <w:rtl/>
        </w:rPr>
        <w:t xml:space="preserve"> في 20 نوفمبر/تشرين الثاني 2018. ولدى النظر في هذا البند، كان معروضا أمام الفريق العامل </w:t>
      </w:r>
      <w:r w:rsidRPr="002E513E">
        <w:rPr>
          <w:rFonts w:ascii="Simplified Arabic" w:hAnsi="Simplified Arabic" w:cs="Simplified Arabic" w:hint="cs"/>
          <w:szCs w:val="24"/>
          <w:rtl/>
        </w:rPr>
        <w:t>عناصر ل</w:t>
      </w:r>
      <w:r w:rsidRPr="002E513E">
        <w:rPr>
          <w:rFonts w:ascii="Simplified Arabic" w:hAnsi="Simplified Arabic" w:cs="Simplified Arabic"/>
          <w:szCs w:val="24"/>
          <w:rtl/>
        </w:rPr>
        <w:t xml:space="preserve">مشروع مقرر يستند إلى التوصية 22/5 </w:t>
      </w:r>
      <w:r w:rsidRPr="002E513E">
        <w:rPr>
          <w:rFonts w:ascii="Simplified Arabic" w:hAnsi="Simplified Arabic" w:cs="Simplified Arabic" w:hint="cs"/>
          <w:szCs w:val="24"/>
          <w:rtl/>
        </w:rPr>
        <w:t>ل</w:t>
      </w:r>
      <w:r w:rsidRPr="002E513E">
        <w:rPr>
          <w:rFonts w:ascii="Simplified Arabic" w:hAnsi="Simplified Arabic" w:cs="Simplified Arabic"/>
          <w:szCs w:val="24"/>
          <w:rtl/>
        </w:rPr>
        <w:t>لهيئة الفرعية للمشورة العلمية والتقنية والتكنولوجية، ال</w:t>
      </w:r>
      <w:r w:rsidR="0018031C">
        <w:rPr>
          <w:rFonts w:ascii="Simplified Arabic" w:hAnsi="Simplified Arabic" w:cs="Simplified Arabic" w:hint="cs"/>
          <w:szCs w:val="24"/>
          <w:rtl/>
        </w:rPr>
        <w:t>مبينة</w:t>
      </w:r>
      <w:r w:rsidRPr="002E513E">
        <w:rPr>
          <w:rFonts w:ascii="Simplified Arabic" w:hAnsi="Simplified Arabic" w:cs="Simplified Arabic"/>
          <w:szCs w:val="24"/>
          <w:rtl/>
        </w:rPr>
        <w:t xml:space="preserve"> في تجميع مشاريع المقررات </w:t>
      </w:r>
      <w:r w:rsidRPr="00C57E2E">
        <w:rPr>
          <w:szCs w:val="22"/>
          <w:rtl/>
        </w:rPr>
        <w:t>(</w:t>
      </w:r>
      <w:r w:rsidRPr="00C57E2E">
        <w:rPr>
          <w:kern w:val="22"/>
          <w:szCs w:val="22"/>
        </w:rPr>
        <w:t>CBD/COP/14/2</w:t>
      </w:r>
      <w:r w:rsidRPr="00C57E2E">
        <w:rPr>
          <w:szCs w:val="22"/>
          <w:rtl/>
        </w:rPr>
        <w:t>)</w:t>
      </w:r>
      <w:r w:rsidRPr="002E513E">
        <w:rPr>
          <w:rFonts w:ascii="Simplified Arabic" w:hAnsi="Simplified Arabic" w:cs="Simplified Arabic" w:hint="cs"/>
          <w:szCs w:val="24"/>
          <w:rtl/>
        </w:rPr>
        <w:t>.</w:t>
      </w:r>
    </w:p>
    <w:p w:rsidR="009A2C4F" w:rsidRPr="002E513E" w:rsidRDefault="009A2C4F"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قالت الرئيسة</w:t>
      </w:r>
      <w:r w:rsidRPr="002E513E">
        <w:rPr>
          <w:rFonts w:ascii="Simplified Arabic" w:hAnsi="Simplified Arabic" w:cs="Simplified Arabic" w:hint="cs"/>
          <w:szCs w:val="24"/>
          <w:rtl/>
        </w:rPr>
        <w:t xml:space="preserve">، </w:t>
      </w:r>
      <w:r w:rsidRPr="002E513E">
        <w:rPr>
          <w:rFonts w:ascii="Simplified Arabic" w:hAnsi="Simplified Arabic" w:cs="Simplified Arabic"/>
          <w:szCs w:val="24"/>
          <w:rtl/>
        </w:rPr>
        <w:t xml:space="preserve">مدعومة </w:t>
      </w:r>
      <w:r w:rsidRPr="002E513E">
        <w:rPr>
          <w:rFonts w:ascii="Simplified Arabic" w:hAnsi="Simplified Arabic" w:cs="Simplified Arabic" w:hint="cs"/>
          <w:szCs w:val="24"/>
          <w:rtl/>
        </w:rPr>
        <w:t xml:space="preserve">من </w:t>
      </w:r>
      <w:r w:rsidRPr="002E513E">
        <w:rPr>
          <w:rFonts w:ascii="Simplified Arabic" w:hAnsi="Simplified Arabic" w:cs="Simplified Arabic"/>
          <w:szCs w:val="24"/>
          <w:rtl/>
        </w:rPr>
        <w:t>ممثلي الأرجنتين</w:t>
      </w:r>
      <w:r w:rsidR="0018031C">
        <w:rPr>
          <w:rFonts w:ascii="Simplified Arabic" w:hAnsi="Simplified Arabic" w:cs="Simplified Arabic" w:hint="cs"/>
          <w:szCs w:val="24"/>
          <w:rtl/>
        </w:rPr>
        <w:t>،</w:t>
      </w:r>
      <w:r w:rsidRPr="002E513E">
        <w:rPr>
          <w:rFonts w:ascii="Simplified Arabic" w:hAnsi="Simplified Arabic" w:cs="Simplified Arabic"/>
          <w:szCs w:val="24"/>
          <w:rtl/>
        </w:rPr>
        <w:t xml:space="preserve"> وبوليفيا (دولة - المتعددة القوميات)</w:t>
      </w:r>
      <w:r w:rsidR="0018031C">
        <w:rPr>
          <w:rFonts w:ascii="Simplified Arabic" w:hAnsi="Simplified Arabic" w:cs="Simplified Arabic" w:hint="cs"/>
          <w:szCs w:val="24"/>
          <w:rtl/>
        </w:rPr>
        <w:t>،</w:t>
      </w:r>
      <w:r w:rsidRPr="002E513E">
        <w:rPr>
          <w:rFonts w:ascii="Simplified Arabic" w:hAnsi="Simplified Arabic" w:cs="Simplified Arabic"/>
          <w:szCs w:val="24"/>
          <w:rtl/>
        </w:rPr>
        <w:t xml:space="preserve"> وكولومبيا</w:t>
      </w:r>
      <w:r w:rsidR="0018031C">
        <w:rPr>
          <w:rFonts w:ascii="Simplified Arabic" w:hAnsi="Simplified Arabic" w:cs="Simplified Arabic" w:hint="cs"/>
          <w:szCs w:val="24"/>
          <w:rtl/>
        </w:rPr>
        <w:t>،</w:t>
      </w:r>
      <w:r w:rsidRPr="002E513E">
        <w:rPr>
          <w:rFonts w:ascii="Simplified Arabic" w:hAnsi="Simplified Arabic" w:cs="Simplified Arabic"/>
          <w:szCs w:val="24"/>
          <w:rtl/>
        </w:rPr>
        <w:t xml:space="preserve"> ومصر</w:t>
      </w:r>
      <w:r w:rsidR="0018031C">
        <w:rPr>
          <w:rFonts w:ascii="Simplified Arabic" w:hAnsi="Simplified Arabic" w:cs="Simplified Arabic" w:hint="cs"/>
          <w:szCs w:val="24"/>
          <w:rtl/>
        </w:rPr>
        <w:t>،</w:t>
      </w:r>
      <w:r w:rsidRPr="002E513E">
        <w:rPr>
          <w:rFonts w:ascii="Simplified Arabic" w:hAnsi="Simplified Arabic" w:cs="Simplified Arabic"/>
          <w:szCs w:val="24"/>
          <w:rtl/>
        </w:rPr>
        <w:t xml:space="preserve"> وغانا</w:t>
      </w:r>
      <w:r w:rsidR="0018031C">
        <w:rPr>
          <w:rFonts w:ascii="Simplified Arabic" w:hAnsi="Simplified Arabic" w:cs="Simplified Arabic" w:hint="cs"/>
          <w:szCs w:val="24"/>
          <w:rtl/>
        </w:rPr>
        <w:t>،</w:t>
      </w:r>
      <w:r w:rsidRPr="002E513E">
        <w:rPr>
          <w:rFonts w:ascii="Simplified Arabic" w:hAnsi="Simplified Arabic" w:cs="Simplified Arabic"/>
          <w:szCs w:val="24"/>
          <w:rtl/>
        </w:rPr>
        <w:t xml:space="preserve"> وغواتيمالا وجمهورية تنزانيا المتحدة، إنها ست</w:t>
      </w:r>
      <w:r w:rsidRPr="002E513E">
        <w:rPr>
          <w:rFonts w:ascii="Simplified Arabic" w:hAnsi="Simplified Arabic" w:cs="Simplified Arabic" w:hint="cs"/>
          <w:szCs w:val="24"/>
          <w:rtl/>
        </w:rPr>
        <w:t>عد</w:t>
      </w:r>
      <w:r w:rsidRPr="002E513E">
        <w:rPr>
          <w:rFonts w:ascii="Simplified Arabic" w:hAnsi="Simplified Arabic" w:cs="Simplified Arabic"/>
          <w:szCs w:val="24"/>
          <w:rtl/>
        </w:rPr>
        <w:t xml:space="preserve"> مشروع مقرر</w:t>
      </w:r>
      <w:r w:rsidRPr="002E513E">
        <w:rPr>
          <w:rFonts w:ascii="Simplified Arabic" w:hAnsi="Simplified Arabic" w:cs="Simplified Arabic" w:hint="cs"/>
          <w:szCs w:val="24"/>
          <w:rtl/>
        </w:rPr>
        <w:t xml:space="preserve"> لينظر فيه</w:t>
      </w:r>
      <w:r w:rsidRPr="002E513E">
        <w:rPr>
          <w:rFonts w:ascii="Simplified Arabic" w:hAnsi="Simplified Arabic" w:cs="Simplified Arabic"/>
          <w:szCs w:val="24"/>
          <w:rtl/>
        </w:rPr>
        <w:t xml:space="preserve"> الفريق العامل</w:t>
      </w:r>
      <w:r w:rsidRPr="002E513E">
        <w:rPr>
          <w:rFonts w:ascii="Simplified Arabic" w:hAnsi="Simplified Arabic" w:cs="Simplified Arabic" w:hint="cs"/>
          <w:szCs w:val="24"/>
          <w:rtl/>
        </w:rPr>
        <w:t>.</w:t>
      </w:r>
    </w:p>
    <w:p w:rsidR="009A2C4F" w:rsidRPr="002E513E" w:rsidRDefault="009A2C4F" w:rsidP="00477C79">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00C57E2E">
        <w:rPr>
          <w:rFonts w:ascii="Simplified Arabic" w:hAnsi="Simplified Arabic" w:cs="Simplified Arabic" w:hint="cs"/>
          <w:szCs w:val="24"/>
          <w:rtl/>
        </w:rPr>
        <w:t>في</w:t>
      </w:r>
      <w:r w:rsidRPr="002E513E">
        <w:rPr>
          <w:rFonts w:ascii="Simplified Arabic" w:hAnsi="Simplified Arabic" w:cs="Simplified Arabic" w:hint="cs"/>
          <w:szCs w:val="24"/>
          <w:rtl/>
        </w:rPr>
        <w:t xml:space="preserve"> </w:t>
      </w:r>
      <w:r w:rsidR="00C57E2E">
        <w:rPr>
          <w:rFonts w:ascii="Simplified Arabic" w:hAnsi="Simplified Arabic" w:cs="Simplified Arabic" w:hint="cs"/>
          <w:szCs w:val="24"/>
          <w:rtl/>
        </w:rPr>
        <w:t>جلست</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الثاني</w:t>
      </w:r>
      <w:r w:rsidR="00C57E2E">
        <w:rPr>
          <w:rFonts w:ascii="Simplified Arabic" w:hAnsi="Simplified Arabic" w:cs="Simplified Arabic" w:hint="cs"/>
          <w:szCs w:val="24"/>
          <w:rtl/>
        </w:rPr>
        <w:t>ة</w:t>
      </w:r>
      <w:r w:rsidRPr="002E513E">
        <w:rPr>
          <w:rFonts w:ascii="Simplified Arabic" w:hAnsi="Simplified Arabic" w:cs="Simplified Arabic"/>
          <w:szCs w:val="24"/>
          <w:rtl/>
        </w:rPr>
        <w:t xml:space="preserve"> عشر</w:t>
      </w:r>
      <w:r w:rsidR="00C57E2E">
        <w:rPr>
          <w:rFonts w:ascii="Simplified Arabic" w:hAnsi="Simplified Arabic" w:cs="Simplified Arabic" w:hint="cs"/>
          <w:szCs w:val="24"/>
          <w:rtl/>
        </w:rPr>
        <w:t>ة</w:t>
      </w:r>
      <w:r w:rsidRPr="002E513E">
        <w:rPr>
          <w:rFonts w:ascii="Simplified Arabic" w:hAnsi="Simplified Arabic" w:cs="Simplified Arabic"/>
          <w:szCs w:val="24"/>
          <w:rtl/>
        </w:rPr>
        <w:t>، المعقود</w:t>
      </w:r>
      <w:r w:rsidR="00C57E2E">
        <w:rPr>
          <w:rFonts w:ascii="Simplified Arabic" w:hAnsi="Simplified Arabic" w:cs="Simplified Arabic" w:hint="cs"/>
          <w:szCs w:val="24"/>
          <w:rtl/>
        </w:rPr>
        <w:t>ة</w:t>
      </w:r>
      <w:r w:rsidRPr="002E513E">
        <w:rPr>
          <w:rFonts w:ascii="Simplified Arabic" w:hAnsi="Simplified Arabic" w:cs="Simplified Arabic"/>
          <w:szCs w:val="24"/>
          <w:rtl/>
        </w:rPr>
        <w:t xml:space="preserve"> في 26 نوفمبر/تشرين الثاني 2018، </w:t>
      </w:r>
      <w:r w:rsidR="00477C79">
        <w:rPr>
          <w:rFonts w:ascii="Simplified Arabic" w:hAnsi="Simplified Arabic" w:cs="Simplified Arabic" w:hint="cs"/>
          <w:szCs w:val="24"/>
          <w:rtl/>
        </w:rPr>
        <w:t xml:space="preserve">نظر الفريق العامل </w:t>
      </w:r>
      <w:r w:rsidRPr="002E513E">
        <w:rPr>
          <w:rFonts w:ascii="Simplified Arabic" w:hAnsi="Simplified Arabic" w:cs="Simplified Arabic"/>
          <w:szCs w:val="24"/>
          <w:rtl/>
        </w:rPr>
        <w:t>في مشروع المقرر الذي أعد</w:t>
      </w:r>
      <w:r w:rsidRPr="002E513E">
        <w:rPr>
          <w:rFonts w:ascii="Simplified Arabic" w:hAnsi="Simplified Arabic" w:cs="Simplified Arabic" w:hint="cs"/>
          <w:szCs w:val="24"/>
          <w:rtl/>
        </w:rPr>
        <w:t>ت</w:t>
      </w:r>
      <w:r w:rsidRPr="002E513E">
        <w:rPr>
          <w:rFonts w:ascii="Simplified Arabic" w:hAnsi="Simplified Arabic" w:cs="Simplified Arabic"/>
          <w:szCs w:val="24"/>
          <w:rtl/>
        </w:rPr>
        <w:t>ه الرئيس</w:t>
      </w:r>
      <w:r w:rsidRPr="002E513E">
        <w:rPr>
          <w:rFonts w:ascii="Simplified Arabic" w:hAnsi="Simplified Arabic" w:cs="Simplified Arabic" w:hint="cs"/>
          <w:szCs w:val="24"/>
          <w:rtl/>
        </w:rPr>
        <w:t>ة.</w:t>
      </w:r>
    </w:p>
    <w:p w:rsidR="009A2C4F" w:rsidRPr="002E513E" w:rsidRDefault="007414C9"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9A2C4F" w:rsidRPr="002E513E">
        <w:rPr>
          <w:rFonts w:ascii="Simplified Arabic" w:hAnsi="Simplified Arabic" w:cs="Simplified Arabic"/>
          <w:szCs w:val="24"/>
          <w:rtl/>
        </w:rPr>
        <w:t xml:space="preserve"> بوليفيا (دولة - المتعددة القوميات)</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والبرازيل</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والكاميرون</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وكندا</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وكولومبيا</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وكوستاريكا</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وإكوادور</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ومصر</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والاتحاد الأوروبي ودول</w:t>
      </w:r>
      <w:r w:rsidR="00C57E2E">
        <w:rPr>
          <w:rFonts w:ascii="Simplified Arabic" w:hAnsi="Simplified Arabic" w:cs="Simplified Arabic" w:hint="cs"/>
          <w:szCs w:val="24"/>
          <w:rtl/>
        </w:rPr>
        <w:t>ه</w:t>
      </w:r>
      <w:r w:rsidR="009A2C4F" w:rsidRPr="002E513E">
        <w:rPr>
          <w:rFonts w:ascii="Simplified Arabic" w:hAnsi="Simplified Arabic" w:cs="Simplified Arabic"/>
          <w:szCs w:val="24"/>
          <w:rtl/>
        </w:rPr>
        <w:t xml:space="preserve"> الأعضاء</w:t>
      </w:r>
      <w:r w:rsidR="009A2C4F" w:rsidRPr="002E513E">
        <w:rPr>
          <w:rFonts w:ascii="Simplified Arabic" w:hAnsi="Simplified Arabic" w:cs="Simplified Arabic" w:hint="cs"/>
          <w:szCs w:val="24"/>
          <w:rtl/>
        </w:rPr>
        <w:t xml:space="preserve"> </w:t>
      </w:r>
      <w:r w:rsidR="00C57E2E">
        <w:rPr>
          <w:rFonts w:ascii="Simplified Arabic" w:hAnsi="Simplified Arabic" w:cs="Simplified Arabic" w:hint="cs"/>
          <w:sz w:val="24"/>
          <w:szCs w:val="24"/>
          <w:rtl/>
        </w:rPr>
        <w:t>الثماني والعشرين</w:t>
      </w:r>
      <w:r w:rsidR="00C57E2E" w:rsidRPr="002E513E">
        <w:rPr>
          <w:rFonts w:ascii="Simplified Arabic" w:hAnsi="Simplified Arabic" w:cs="Simplified Arabic" w:hint="cs"/>
          <w:sz w:val="24"/>
          <w:szCs w:val="24"/>
          <w:rtl/>
        </w:rPr>
        <w:t>،</w:t>
      </w:r>
      <w:r w:rsidR="009A2C4F" w:rsidRPr="002E513E">
        <w:rPr>
          <w:rFonts w:ascii="Simplified Arabic" w:hAnsi="Simplified Arabic" w:cs="Simplified Arabic"/>
          <w:szCs w:val="24"/>
          <w:rtl/>
        </w:rPr>
        <w:t xml:space="preserve"> وغابون</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وغواتيمالا</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وهندوراس</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واليابان</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والمكسيك</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والفلبين</w:t>
      </w:r>
      <w:r w:rsidR="009A2C4F" w:rsidRPr="002E513E">
        <w:rPr>
          <w:rFonts w:ascii="Simplified Arabic" w:hAnsi="Simplified Arabic" w:cs="Simplified Arabic" w:hint="cs"/>
          <w:szCs w:val="24"/>
          <w:rtl/>
        </w:rPr>
        <w:t>،</w:t>
      </w:r>
      <w:r w:rsidR="009A2C4F" w:rsidRPr="002E513E">
        <w:rPr>
          <w:rFonts w:ascii="Simplified Arabic" w:hAnsi="Simplified Arabic" w:cs="Simplified Arabic"/>
          <w:szCs w:val="24"/>
          <w:rtl/>
        </w:rPr>
        <w:t xml:space="preserve"> </w:t>
      </w:r>
      <w:r w:rsidR="009A2C4F" w:rsidRPr="002E513E">
        <w:rPr>
          <w:rFonts w:ascii="Simplified Arabic" w:hAnsi="Simplified Arabic" w:cs="Simplified Arabic" w:hint="cs"/>
          <w:szCs w:val="24"/>
          <w:rtl/>
        </w:rPr>
        <w:t>و</w:t>
      </w:r>
      <w:r w:rsidR="009A2C4F" w:rsidRPr="002E513E">
        <w:rPr>
          <w:rFonts w:ascii="Simplified Arabic" w:hAnsi="Simplified Arabic" w:cs="Simplified Arabic"/>
          <w:szCs w:val="24"/>
          <w:rtl/>
        </w:rPr>
        <w:t xml:space="preserve">نيوزيلندا، </w:t>
      </w:r>
      <w:r w:rsidR="009A2C4F" w:rsidRPr="002E513E">
        <w:rPr>
          <w:rFonts w:ascii="Simplified Arabic" w:hAnsi="Simplified Arabic" w:cs="Simplified Arabic" w:hint="cs"/>
          <w:szCs w:val="24"/>
          <w:rtl/>
        </w:rPr>
        <w:t>و</w:t>
      </w:r>
      <w:r w:rsidR="009A2C4F" w:rsidRPr="002E513E">
        <w:rPr>
          <w:rFonts w:ascii="Simplified Arabic" w:hAnsi="Simplified Arabic" w:cs="Simplified Arabic"/>
          <w:szCs w:val="24"/>
          <w:rtl/>
        </w:rPr>
        <w:t xml:space="preserve">بيرو، </w:t>
      </w:r>
      <w:r w:rsidR="009A2C4F" w:rsidRPr="002E513E">
        <w:rPr>
          <w:rFonts w:ascii="Simplified Arabic" w:hAnsi="Simplified Arabic" w:cs="Simplified Arabic" w:hint="cs"/>
          <w:szCs w:val="24"/>
          <w:rtl/>
        </w:rPr>
        <w:t>و</w:t>
      </w:r>
      <w:r w:rsidR="00286C73">
        <w:rPr>
          <w:rFonts w:ascii="Simplified Arabic" w:hAnsi="Simplified Arabic" w:cs="Simplified Arabic"/>
          <w:szCs w:val="24"/>
          <w:rtl/>
        </w:rPr>
        <w:t>أوروغواي</w:t>
      </w:r>
      <w:r w:rsidR="009A2C4F" w:rsidRPr="002E513E">
        <w:rPr>
          <w:rFonts w:ascii="Simplified Arabic" w:hAnsi="Simplified Arabic" w:cs="Simplified Arabic"/>
          <w:szCs w:val="24"/>
          <w:rtl/>
        </w:rPr>
        <w:t xml:space="preserve"> </w:t>
      </w:r>
      <w:r w:rsidR="009A2C4F" w:rsidRPr="002E513E">
        <w:rPr>
          <w:rFonts w:ascii="Simplified Arabic" w:hAnsi="Simplified Arabic" w:cs="Simplified Arabic" w:hint="cs"/>
          <w:szCs w:val="24"/>
          <w:rtl/>
        </w:rPr>
        <w:t>و</w:t>
      </w:r>
      <w:r w:rsidR="009A2C4F" w:rsidRPr="002E513E">
        <w:rPr>
          <w:rFonts w:ascii="Simplified Arabic" w:hAnsi="Simplified Arabic" w:cs="Simplified Arabic"/>
          <w:szCs w:val="24"/>
          <w:rtl/>
        </w:rPr>
        <w:t>فنزويلا (جمهورية - البوليفارية)</w:t>
      </w:r>
      <w:r w:rsidR="009A2C4F" w:rsidRPr="002E513E">
        <w:rPr>
          <w:rFonts w:ascii="Simplified Arabic" w:hAnsi="Simplified Arabic" w:cs="Simplified Arabic" w:hint="cs"/>
          <w:szCs w:val="24"/>
          <w:rtl/>
        </w:rPr>
        <w:t>.</w:t>
      </w:r>
    </w:p>
    <w:p w:rsidR="009A2C4F" w:rsidRPr="002E513E" w:rsidRDefault="009A2C4F"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hint="cs"/>
          <w:szCs w:val="24"/>
          <w:rtl/>
        </w:rPr>
        <w:t>و</w:t>
      </w:r>
      <w:r w:rsidRPr="002E513E">
        <w:rPr>
          <w:rFonts w:ascii="Simplified Arabic" w:hAnsi="Simplified Arabic" w:cs="Simplified Arabic"/>
          <w:szCs w:val="24"/>
          <w:rtl/>
        </w:rPr>
        <w:t xml:space="preserve">استأنف الفريق العامل </w:t>
      </w:r>
      <w:r w:rsidRPr="002E513E">
        <w:rPr>
          <w:rFonts w:ascii="Simplified Arabic" w:hAnsi="Simplified Arabic" w:cs="Simplified Arabic" w:hint="cs"/>
          <w:szCs w:val="24"/>
          <w:rtl/>
        </w:rPr>
        <w:t>نظره</w:t>
      </w:r>
      <w:r w:rsidRPr="002E513E">
        <w:rPr>
          <w:rFonts w:ascii="Simplified Arabic" w:hAnsi="Simplified Arabic" w:cs="Simplified Arabic"/>
          <w:szCs w:val="24"/>
          <w:rtl/>
        </w:rPr>
        <w:t xml:space="preserve"> في مشروع المقرر في </w:t>
      </w:r>
      <w:r w:rsidR="00C57E2E">
        <w:rPr>
          <w:rFonts w:ascii="Simplified Arabic" w:hAnsi="Simplified Arabic" w:cs="Simplified Arabic" w:hint="cs"/>
          <w:szCs w:val="24"/>
          <w:rtl/>
        </w:rPr>
        <w:t>جلست</w:t>
      </w:r>
      <w:r w:rsidRPr="002E513E">
        <w:rPr>
          <w:rFonts w:ascii="Simplified Arabic" w:hAnsi="Simplified Arabic" w:cs="Simplified Arabic" w:hint="cs"/>
          <w:szCs w:val="24"/>
          <w:rtl/>
        </w:rPr>
        <w:t>ه</w:t>
      </w:r>
      <w:r w:rsidRPr="002E513E">
        <w:rPr>
          <w:rFonts w:ascii="Simplified Arabic" w:hAnsi="Simplified Arabic" w:cs="Simplified Arabic"/>
          <w:szCs w:val="24"/>
          <w:rtl/>
        </w:rPr>
        <w:t xml:space="preserve"> الثالث</w:t>
      </w:r>
      <w:r w:rsidR="00C57E2E">
        <w:rPr>
          <w:rFonts w:ascii="Simplified Arabic" w:hAnsi="Simplified Arabic" w:cs="Simplified Arabic" w:hint="cs"/>
          <w:szCs w:val="24"/>
          <w:rtl/>
        </w:rPr>
        <w:t>ة</w:t>
      </w:r>
      <w:r w:rsidRPr="002E513E">
        <w:rPr>
          <w:rFonts w:ascii="Simplified Arabic" w:hAnsi="Simplified Arabic" w:cs="Simplified Arabic"/>
          <w:szCs w:val="24"/>
          <w:rtl/>
        </w:rPr>
        <w:t xml:space="preserve"> عشر</w:t>
      </w:r>
      <w:r w:rsidR="00C57E2E">
        <w:rPr>
          <w:rFonts w:ascii="Simplified Arabic" w:hAnsi="Simplified Arabic" w:cs="Simplified Arabic" w:hint="cs"/>
          <w:szCs w:val="24"/>
          <w:rtl/>
        </w:rPr>
        <w:t>ة</w:t>
      </w:r>
      <w:r w:rsidRPr="002E513E">
        <w:rPr>
          <w:rFonts w:ascii="Simplified Arabic" w:hAnsi="Simplified Arabic" w:cs="Simplified Arabic"/>
          <w:szCs w:val="24"/>
          <w:rtl/>
        </w:rPr>
        <w:t>، المعقود</w:t>
      </w:r>
      <w:r w:rsidR="00C57E2E">
        <w:rPr>
          <w:rFonts w:ascii="Simplified Arabic" w:hAnsi="Simplified Arabic" w:cs="Simplified Arabic" w:hint="cs"/>
          <w:szCs w:val="24"/>
          <w:rtl/>
        </w:rPr>
        <w:t>ة</w:t>
      </w:r>
      <w:r w:rsidRPr="002E513E">
        <w:rPr>
          <w:rFonts w:ascii="Simplified Arabic" w:hAnsi="Simplified Arabic" w:cs="Simplified Arabic"/>
          <w:szCs w:val="24"/>
          <w:rtl/>
        </w:rPr>
        <w:t xml:space="preserve"> في 26 نوفمبر/تشرين الثاني 2018</w:t>
      </w:r>
      <w:r w:rsidRPr="002E513E">
        <w:rPr>
          <w:rFonts w:ascii="Simplified Arabic" w:hAnsi="Simplified Arabic" w:cs="Simplified Arabic" w:hint="cs"/>
          <w:szCs w:val="24"/>
          <w:rtl/>
        </w:rPr>
        <w:t>.</w:t>
      </w:r>
    </w:p>
    <w:p w:rsidR="009A2C4F" w:rsidRPr="002E513E" w:rsidRDefault="007414C9"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9A2C4F" w:rsidRPr="002E513E">
        <w:rPr>
          <w:rFonts w:ascii="Simplified Arabic" w:hAnsi="Simplified Arabic" w:cs="Simplified Arabic"/>
          <w:szCs w:val="24"/>
          <w:rtl/>
        </w:rPr>
        <w:t xml:space="preserve"> كندا، وكولومبيا، ونيوزيلندا</w:t>
      </w:r>
      <w:r w:rsidR="009A2C4F" w:rsidRPr="002E513E">
        <w:rPr>
          <w:rFonts w:ascii="Simplified Arabic" w:hAnsi="Simplified Arabic" w:cs="Simplified Arabic" w:hint="cs"/>
          <w:szCs w:val="24"/>
          <w:rtl/>
        </w:rPr>
        <w:t>.</w:t>
      </w:r>
    </w:p>
    <w:p w:rsidR="009A2C4F" w:rsidRPr="00C57E2E" w:rsidRDefault="009A2C4F"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2E513E">
        <w:rPr>
          <w:rFonts w:ascii="Simplified Arabic" w:hAnsi="Simplified Arabic" w:cs="Simplified Arabic"/>
          <w:szCs w:val="24"/>
          <w:rtl/>
        </w:rPr>
        <w:t>وأ</w:t>
      </w:r>
      <w:r w:rsidRPr="002E513E">
        <w:rPr>
          <w:rFonts w:ascii="Simplified Arabic" w:hAnsi="Simplified Arabic" w:cs="Simplified Arabic" w:hint="cs"/>
          <w:szCs w:val="24"/>
          <w:rtl/>
        </w:rPr>
        <w:t>دلى</w:t>
      </w:r>
      <w:r w:rsidRPr="002E513E">
        <w:rPr>
          <w:rFonts w:ascii="Simplified Arabic" w:hAnsi="Simplified Arabic" w:cs="Simplified Arabic"/>
          <w:szCs w:val="24"/>
          <w:rtl/>
        </w:rPr>
        <w:t xml:space="preserve"> </w:t>
      </w:r>
      <w:r w:rsidR="00C57E2E">
        <w:rPr>
          <w:rFonts w:ascii="Simplified Arabic" w:hAnsi="Simplified Arabic" w:cs="Simplified Arabic" w:hint="cs"/>
          <w:szCs w:val="24"/>
          <w:rtl/>
        </w:rPr>
        <w:t xml:space="preserve">ببيان أيضا </w:t>
      </w:r>
      <w:r w:rsidRPr="002E513E">
        <w:rPr>
          <w:rFonts w:ascii="Simplified Arabic" w:hAnsi="Simplified Arabic" w:cs="Simplified Arabic"/>
          <w:szCs w:val="24"/>
          <w:rtl/>
        </w:rPr>
        <w:t>ممثل المنتدى الدولي للشعوب ا</w:t>
      </w:r>
      <w:r w:rsidR="00C57E2E">
        <w:rPr>
          <w:rFonts w:ascii="Simplified Arabic" w:hAnsi="Simplified Arabic" w:cs="Simplified Arabic"/>
          <w:szCs w:val="24"/>
          <w:rtl/>
        </w:rPr>
        <w:t>لأصلية المعني بالتنوع البيولوجي</w:t>
      </w:r>
      <w:r w:rsidRPr="00C57E2E">
        <w:rPr>
          <w:rFonts w:ascii="Simplified Arabic" w:hAnsi="Simplified Arabic" w:cs="Simplified Arabic" w:hint="cs"/>
          <w:szCs w:val="24"/>
          <w:rtl/>
        </w:rPr>
        <w:t>.</w:t>
      </w:r>
    </w:p>
    <w:p w:rsidR="00D50BC6" w:rsidRPr="002E513E" w:rsidRDefault="009A2C4F"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sidRPr="002E513E">
        <w:rPr>
          <w:rFonts w:ascii="Simplified Arabic" w:hAnsi="Simplified Arabic" w:cs="Simplified Arabic"/>
          <w:szCs w:val="24"/>
          <w:rtl/>
        </w:rPr>
        <w:t xml:space="preserve">وبعد تبادل الآراء، وافق الفريق العامل على مشروع المقرر لإحالته إلى الجلسة العامة </w:t>
      </w:r>
      <w:r w:rsidR="00BE3594" w:rsidRPr="002E513E">
        <w:rPr>
          <w:rFonts w:ascii="Simplified Arabic" w:hAnsi="Simplified Arabic" w:cs="Simplified Arabic" w:hint="cs"/>
          <w:szCs w:val="24"/>
          <w:rtl/>
        </w:rPr>
        <w:t>بوصفه مشروع المقرر</w:t>
      </w:r>
      <w:r w:rsidRPr="002E513E">
        <w:rPr>
          <w:rFonts w:ascii="Simplified Arabic" w:hAnsi="Simplified Arabic" w:cs="Simplified Arabic" w:hint="cs"/>
          <w:szCs w:val="24"/>
          <w:rtl/>
        </w:rPr>
        <w:t xml:space="preserve"> </w:t>
      </w:r>
      <w:r w:rsidRPr="002E513E">
        <w:t>CBD/COP/14/L.19</w:t>
      </w:r>
      <w:r w:rsidRPr="002E513E">
        <w:rPr>
          <w:rFonts w:ascii="Simplified Arabic" w:hAnsi="Simplified Arabic" w:cs="Simplified Arabic" w:hint="cs"/>
          <w:szCs w:val="24"/>
          <w:rtl/>
        </w:rPr>
        <w:t>.</w:t>
      </w:r>
    </w:p>
    <w:p w:rsidR="00D50BC6" w:rsidRDefault="00286C73" w:rsidP="00286C73">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نظر مؤتمر الأطراف في مشروع المقرر </w:t>
      </w:r>
      <w:r w:rsidRPr="007F48C2">
        <w:t>CBD/COP/14/L.</w:t>
      </w:r>
      <w:r>
        <w:t>19</w:t>
      </w:r>
      <w:r>
        <w:rPr>
          <w:rFonts w:cs="Simplified Arabic" w:hint="cs"/>
          <w:rtl/>
        </w:rPr>
        <w:t>.</w:t>
      </w:r>
    </w:p>
    <w:p w:rsidR="00286C73" w:rsidRPr="00997CAE" w:rsidRDefault="00286C73" w:rsidP="00286C73">
      <w:pPr>
        <w:pStyle w:val="ListParagraph"/>
        <w:numPr>
          <w:ilvl w:val="0"/>
          <w:numId w:val="6"/>
        </w:numPr>
        <w:bidi/>
        <w:spacing w:line="216" w:lineRule="auto"/>
        <w:ind w:left="0" w:firstLine="0"/>
        <w:rPr>
          <w:rFonts w:cs="Simplified Arabic"/>
        </w:rPr>
      </w:pPr>
      <w:r>
        <w:rPr>
          <w:rFonts w:cs="Simplified Arabic" w:hint="cs"/>
          <w:rtl/>
        </w:rPr>
        <w:t xml:space="preserve">وبعد تصحيحات شفوية، اعتمد مؤتمر الأطراف مشروع المقرر </w:t>
      </w:r>
      <w:r w:rsidRPr="007F48C2">
        <w:t>CBD/COP/14/L.</w:t>
      </w:r>
      <w:r>
        <w:t>19</w:t>
      </w:r>
      <w:r>
        <w:rPr>
          <w:rFonts w:cs="Simplified Arabic" w:hint="cs"/>
          <w:rtl/>
        </w:rPr>
        <w:t>، بصيغته المعدلة شفوياً، بوصفه المقرر 14/8 (للاطلاع على النص، انظر الفصل الأول).</w:t>
      </w:r>
    </w:p>
    <w:p w:rsidR="00D50BC6" w:rsidRPr="00997CAE" w:rsidRDefault="00D50BC6" w:rsidP="0018031C">
      <w:pPr>
        <w:pStyle w:val="Heading2"/>
        <w:tabs>
          <w:tab w:val="left" w:pos="1260"/>
        </w:tabs>
      </w:pPr>
      <w:bookmarkStart w:id="242" w:name="_Toc6140028"/>
      <w:r w:rsidRPr="00997CAE">
        <w:rPr>
          <w:rFonts w:hint="cs"/>
          <w:rtl/>
        </w:rPr>
        <w:t>البند 25 -</w:t>
      </w:r>
      <w:r w:rsidRPr="00997CAE">
        <w:rPr>
          <w:rFonts w:hint="cs"/>
          <w:rtl/>
        </w:rPr>
        <w:tab/>
        <w:t>التنوع البيولوجي البحري والساحلي</w:t>
      </w:r>
      <w:bookmarkEnd w:id="242"/>
    </w:p>
    <w:p w:rsidR="00C765FC" w:rsidRPr="002E513E" w:rsidRDefault="00C765FC" w:rsidP="00286C73">
      <w:pPr>
        <w:pStyle w:val="ListParagraph"/>
        <w:numPr>
          <w:ilvl w:val="0"/>
          <w:numId w:val="6"/>
        </w:numPr>
        <w:bidi/>
        <w:spacing w:line="216" w:lineRule="auto"/>
        <w:ind w:left="0" w:firstLine="0"/>
        <w:rPr>
          <w:rFonts w:cs="Simplified Arabic"/>
          <w:rtl/>
        </w:rPr>
      </w:pPr>
      <w:r w:rsidRPr="002E513E">
        <w:rPr>
          <w:rFonts w:cs="Simplified Arabic"/>
          <w:rtl/>
        </w:rPr>
        <w:t>تناول الفريق العامل الثاني</w:t>
      </w:r>
      <w:r w:rsidRPr="002E513E">
        <w:rPr>
          <w:rFonts w:cs="Simplified Arabic" w:hint="cs"/>
          <w:rtl/>
        </w:rPr>
        <w:t xml:space="preserve">، </w:t>
      </w:r>
      <w:r w:rsidRPr="002E513E">
        <w:rPr>
          <w:rFonts w:cs="Simplified Arabic"/>
          <w:rtl/>
        </w:rPr>
        <w:t xml:space="preserve">في </w:t>
      </w:r>
      <w:r w:rsidR="00286C73">
        <w:rPr>
          <w:rFonts w:cs="Simplified Arabic" w:hint="cs"/>
          <w:rtl/>
        </w:rPr>
        <w:t>جلست</w:t>
      </w:r>
      <w:r w:rsidRPr="002E513E">
        <w:rPr>
          <w:rFonts w:cs="Simplified Arabic" w:hint="cs"/>
          <w:rtl/>
        </w:rPr>
        <w:t>ه</w:t>
      </w:r>
      <w:r w:rsidRPr="002E513E">
        <w:rPr>
          <w:rFonts w:cs="Simplified Arabic"/>
          <w:rtl/>
        </w:rPr>
        <w:t xml:space="preserve"> الخامس</w:t>
      </w:r>
      <w:r w:rsidR="00286C73">
        <w:rPr>
          <w:rFonts w:cs="Simplified Arabic" w:hint="cs"/>
          <w:rtl/>
        </w:rPr>
        <w:t>ة،</w:t>
      </w:r>
      <w:r w:rsidRPr="002E513E">
        <w:rPr>
          <w:rFonts w:cs="Simplified Arabic"/>
          <w:rtl/>
        </w:rPr>
        <w:t xml:space="preserve"> المعقود</w:t>
      </w:r>
      <w:r w:rsidR="00286C73">
        <w:rPr>
          <w:rFonts w:cs="Simplified Arabic" w:hint="cs"/>
          <w:rtl/>
        </w:rPr>
        <w:t>ة</w:t>
      </w:r>
      <w:r w:rsidRPr="002E513E">
        <w:rPr>
          <w:rFonts w:cs="Simplified Arabic"/>
          <w:rtl/>
        </w:rPr>
        <w:t xml:space="preserve"> في 20 نوفمبر/تشرين الثاني 2018، البند 25 من جدول الأعمال، </w:t>
      </w:r>
      <w:r w:rsidRPr="002E513E">
        <w:rPr>
          <w:rFonts w:cs="Simplified Arabic" w:hint="cs"/>
          <w:rtl/>
        </w:rPr>
        <w:t>و</w:t>
      </w:r>
      <w:r w:rsidRPr="002E513E">
        <w:rPr>
          <w:rFonts w:cs="Simplified Arabic"/>
          <w:rtl/>
        </w:rPr>
        <w:t>الذي تضمن بندين فرعيين.</w:t>
      </w:r>
      <w:r w:rsidRPr="002E513E">
        <w:rPr>
          <w:rFonts w:cs="Simplified Arabic" w:hint="cs"/>
          <w:rtl/>
        </w:rPr>
        <w:t xml:space="preserve"> و</w:t>
      </w:r>
      <w:r w:rsidRPr="002E513E">
        <w:rPr>
          <w:rFonts w:cs="Simplified Arabic"/>
          <w:rtl/>
        </w:rPr>
        <w:t>لدى النظر في</w:t>
      </w:r>
      <w:r w:rsidR="002E513E">
        <w:rPr>
          <w:rFonts w:cs="Simplified Arabic" w:hint="cs"/>
          <w:rtl/>
        </w:rPr>
        <w:t xml:space="preserve"> هذا</w:t>
      </w:r>
      <w:r w:rsidR="002E513E">
        <w:rPr>
          <w:rFonts w:cs="Simplified Arabic"/>
          <w:rtl/>
        </w:rPr>
        <w:t xml:space="preserve"> البند</w:t>
      </w:r>
      <w:r w:rsidRPr="002E513E">
        <w:rPr>
          <w:rFonts w:cs="Simplified Arabic"/>
          <w:rtl/>
        </w:rPr>
        <w:t xml:space="preserve">، كان معروضا </w:t>
      </w:r>
      <w:r w:rsidRPr="002E513E">
        <w:rPr>
          <w:rFonts w:cs="Simplified Arabic" w:hint="cs"/>
          <w:rtl/>
        </w:rPr>
        <w:t>أمام</w:t>
      </w:r>
      <w:r w:rsidRPr="002E513E">
        <w:rPr>
          <w:rFonts w:cs="Simplified Arabic"/>
          <w:rtl/>
        </w:rPr>
        <w:t xml:space="preserve"> الفريق العامل مشروع مقرر يستند إلى التوصية 22/</w:t>
      </w:r>
      <w:r w:rsidRPr="002E513E">
        <w:rPr>
          <w:rFonts w:cs="Simplified Arabic" w:hint="cs"/>
          <w:rtl/>
        </w:rPr>
        <w:t>6</w:t>
      </w:r>
      <w:r w:rsidRPr="002E513E">
        <w:rPr>
          <w:rFonts w:cs="Simplified Arabic"/>
          <w:rtl/>
        </w:rPr>
        <w:t xml:space="preserve"> </w:t>
      </w:r>
      <w:r w:rsidRPr="002E513E">
        <w:rPr>
          <w:rFonts w:cs="Simplified Arabic" w:hint="cs"/>
          <w:rtl/>
        </w:rPr>
        <w:t>ل</w:t>
      </w:r>
      <w:r w:rsidRPr="002E513E">
        <w:rPr>
          <w:rFonts w:cs="Simplified Arabic"/>
          <w:rtl/>
        </w:rPr>
        <w:t>لهيئة الفرعية للمشورة العلمية والتقنية والتكنولوجية</w:t>
      </w:r>
      <w:r w:rsidR="00FE60B0">
        <w:rPr>
          <w:rFonts w:cs="Simplified Arabic" w:hint="cs"/>
          <w:rtl/>
        </w:rPr>
        <w:t>،</w:t>
      </w:r>
      <w:r w:rsidR="002E513E">
        <w:rPr>
          <w:rFonts w:cs="Simplified Arabic" w:hint="cs"/>
          <w:rtl/>
        </w:rPr>
        <w:t xml:space="preserve"> ال</w:t>
      </w:r>
      <w:r w:rsidR="00286C73">
        <w:rPr>
          <w:rFonts w:cs="Simplified Arabic" w:hint="cs"/>
          <w:rtl/>
        </w:rPr>
        <w:t>مبين</w:t>
      </w:r>
      <w:r w:rsidRPr="002E513E">
        <w:rPr>
          <w:rFonts w:cs="Simplified Arabic"/>
          <w:rtl/>
        </w:rPr>
        <w:t xml:space="preserve"> في تجميع مشاريع المقررات (</w:t>
      </w:r>
      <w:r w:rsidRPr="00477B14">
        <w:rPr>
          <w:rFonts w:cs="Simplified Arabic"/>
          <w:lang w:val="fr-CA"/>
        </w:rPr>
        <w:t>CBD/COP/14/2</w:t>
      </w:r>
      <w:r w:rsidRPr="002E513E">
        <w:rPr>
          <w:rFonts w:cs="Simplified Arabic"/>
          <w:rtl/>
        </w:rPr>
        <w:t>)</w:t>
      </w:r>
      <w:r w:rsidRPr="002E513E">
        <w:rPr>
          <w:rFonts w:cs="Simplified Arabic" w:hint="cs"/>
          <w:rtl/>
        </w:rPr>
        <w:t>.</w:t>
      </w:r>
    </w:p>
    <w:p w:rsidR="00C765FC" w:rsidRPr="00286C73" w:rsidRDefault="00C765FC" w:rsidP="00286C73">
      <w:pPr>
        <w:pStyle w:val="ListParagraph"/>
        <w:numPr>
          <w:ilvl w:val="0"/>
          <w:numId w:val="6"/>
        </w:numPr>
        <w:bidi/>
        <w:spacing w:line="216" w:lineRule="auto"/>
        <w:ind w:left="0" w:firstLine="0"/>
        <w:rPr>
          <w:rFonts w:cs="Simplified Arabic"/>
        </w:rPr>
      </w:pPr>
      <w:r w:rsidRPr="002E513E">
        <w:rPr>
          <w:rFonts w:cs="Simplified Arabic"/>
          <w:rtl/>
        </w:rPr>
        <w:t xml:space="preserve">وأدلى ببيانات ممثلو الأرجنتين، </w:t>
      </w:r>
      <w:r w:rsidRPr="002E513E">
        <w:rPr>
          <w:rFonts w:cs="Simplified Arabic" w:hint="cs"/>
          <w:rtl/>
        </w:rPr>
        <w:t>و</w:t>
      </w:r>
      <w:r w:rsidRPr="002E513E">
        <w:rPr>
          <w:rFonts w:cs="Simplified Arabic"/>
          <w:rtl/>
        </w:rPr>
        <w:t xml:space="preserve">البرازيل، </w:t>
      </w:r>
      <w:r w:rsidRPr="002E513E">
        <w:rPr>
          <w:rFonts w:cs="Simplified Arabic" w:hint="cs"/>
          <w:rtl/>
        </w:rPr>
        <w:t>و</w:t>
      </w:r>
      <w:r w:rsidRPr="002E513E">
        <w:rPr>
          <w:rFonts w:cs="Simplified Arabic"/>
          <w:rtl/>
        </w:rPr>
        <w:t xml:space="preserve">كندا، </w:t>
      </w:r>
      <w:r w:rsidRPr="002E513E">
        <w:rPr>
          <w:rFonts w:cs="Simplified Arabic" w:hint="cs"/>
          <w:rtl/>
        </w:rPr>
        <w:t>و</w:t>
      </w:r>
      <w:r w:rsidRPr="002E513E">
        <w:rPr>
          <w:rFonts w:cs="Simplified Arabic"/>
          <w:rtl/>
        </w:rPr>
        <w:t xml:space="preserve">كولومبيا، </w:t>
      </w:r>
      <w:r w:rsidRPr="002E513E">
        <w:rPr>
          <w:rFonts w:cs="Simplified Arabic" w:hint="cs"/>
          <w:rtl/>
        </w:rPr>
        <w:t>و</w:t>
      </w:r>
      <w:r w:rsidRPr="002E513E">
        <w:rPr>
          <w:rFonts w:cs="Simplified Arabic"/>
          <w:rtl/>
        </w:rPr>
        <w:t xml:space="preserve">كوستاريكا، </w:t>
      </w:r>
      <w:r w:rsidRPr="002E513E">
        <w:rPr>
          <w:rFonts w:cs="Simplified Arabic" w:hint="cs"/>
          <w:rtl/>
        </w:rPr>
        <w:t>و</w:t>
      </w:r>
      <w:r w:rsidRPr="002E513E">
        <w:rPr>
          <w:rFonts w:cs="Simplified Arabic"/>
          <w:rtl/>
        </w:rPr>
        <w:t xml:space="preserve">مصر، </w:t>
      </w:r>
      <w:r w:rsidRPr="00286C73">
        <w:rPr>
          <w:rFonts w:cs="Simplified Arabic"/>
          <w:rtl/>
        </w:rPr>
        <w:t>و</w:t>
      </w:r>
      <w:r w:rsidR="007414C9" w:rsidRPr="00286C73">
        <w:rPr>
          <w:rFonts w:cs="Simplified Arabic"/>
          <w:rtl/>
        </w:rPr>
        <w:t>الاتحاد الأوروبي و</w:t>
      </w:r>
      <w:r w:rsidRPr="00286C73">
        <w:rPr>
          <w:rFonts w:cs="Simplified Arabic"/>
          <w:rtl/>
        </w:rPr>
        <w:t>دول</w:t>
      </w:r>
      <w:r w:rsidR="007414C9" w:rsidRPr="00286C73">
        <w:rPr>
          <w:rFonts w:cs="Simplified Arabic" w:hint="cs"/>
          <w:rtl/>
        </w:rPr>
        <w:t>ه</w:t>
      </w:r>
      <w:r w:rsidRPr="00286C73">
        <w:rPr>
          <w:rFonts w:cs="Simplified Arabic"/>
          <w:rtl/>
        </w:rPr>
        <w:t xml:space="preserve"> الأعضاء </w:t>
      </w:r>
      <w:r w:rsidR="007414C9" w:rsidRPr="00286C73">
        <w:rPr>
          <w:rFonts w:cs="Simplified Arabic" w:hint="cs"/>
          <w:rtl/>
        </w:rPr>
        <w:t>الثماني والعشرين</w:t>
      </w:r>
      <w:r w:rsidRPr="00286C73">
        <w:rPr>
          <w:rFonts w:cs="Simplified Arabic"/>
          <w:rtl/>
        </w:rPr>
        <w:t xml:space="preserve">، </w:t>
      </w:r>
      <w:r w:rsidRPr="00286C73">
        <w:rPr>
          <w:rFonts w:cs="Simplified Arabic" w:hint="cs"/>
          <w:rtl/>
        </w:rPr>
        <w:t>و</w:t>
      </w:r>
      <w:r w:rsidRPr="00286C73">
        <w:rPr>
          <w:rFonts w:cs="Simplified Arabic"/>
          <w:rtl/>
        </w:rPr>
        <w:t xml:space="preserve">غابون، </w:t>
      </w:r>
      <w:r w:rsidRPr="00286C73">
        <w:rPr>
          <w:rFonts w:cs="Simplified Arabic" w:hint="cs"/>
          <w:rtl/>
        </w:rPr>
        <w:t>و</w:t>
      </w:r>
      <w:r w:rsidRPr="00286C73">
        <w:rPr>
          <w:rFonts w:cs="Simplified Arabic"/>
          <w:rtl/>
        </w:rPr>
        <w:t xml:space="preserve">إندونيسيا، </w:t>
      </w:r>
      <w:r w:rsidRPr="00286C73">
        <w:rPr>
          <w:rFonts w:cs="Simplified Arabic" w:hint="cs"/>
          <w:rtl/>
        </w:rPr>
        <w:t>و</w:t>
      </w:r>
      <w:r w:rsidRPr="00286C73">
        <w:rPr>
          <w:rFonts w:cs="Simplified Arabic"/>
          <w:rtl/>
        </w:rPr>
        <w:t xml:space="preserve">جامايكا، </w:t>
      </w:r>
      <w:r w:rsidRPr="00286C73">
        <w:rPr>
          <w:rFonts w:cs="Simplified Arabic" w:hint="cs"/>
          <w:rtl/>
        </w:rPr>
        <w:t>و</w:t>
      </w:r>
      <w:r w:rsidRPr="00286C73">
        <w:rPr>
          <w:rFonts w:cs="Simplified Arabic"/>
          <w:rtl/>
        </w:rPr>
        <w:t xml:space="preserve">ملديف، </w:t>
      </w:r>
      <w:r w:rsidRPr="00286C73">
        <w:rPr>
          <w:rFonts w:cs="Simplified Arabic" w:hint="cs"/>
          <w:rtl/>
        </w:rPr>
        <w:t>و</w:t>
      </w:r>
      <w:r w:rsidRPr="00286C73">
        <w:rPr>
          <w:rFonts w:cs="Simplified Arabic"/>
          <w:rtl/>
        </w:rPr>
        <w:t xml:space="preserve">النرويج، </w:t>
      </w:r>
      <w:r w:rsidRPr="00286C73">
        <w:rPr>
          <w:rFonts w:cs="Simplified Arabic" w:hint="cs"/>
          <w:rtl/>
        </w:rPr>
        <w:t>و</w:t>
      </w:r>
      <w:r w:rsidRPr="00286C73">
        <w:rPr>
          <w:rFonts w:cs="Simplified Arabic"/>
          <w:rtl/>
        </w:rPr>
        <w:t xml:space="preserve">بالاو، </w:t>
      </w:r>
      <w:r w:rsidRPr="00286C73">
        <w:rPr>
          <w:rFonts w:cs="Simplified Arabic" w:hint="cs"/>
          <w:rtl/>
        </w:rPr>
        <w:t>و</w:t>
      </w:r>
      <w:r w:rsidRPr="00286C73">
        <w:rPr>
          <w:rFonts w:cs="Simplified Arabic"/>
          <w:rtl/>
        </w:rPr>
        <w:t xml:space="preserve">الفلبين، </w:t>
      </w:r>
      <w:r w:rsidRPr="00286C73">
        <w:rPr>
          <w:rFonts w:cs="Simplified Arabic" w:hint="cs"/>
          <w:rtl/>
        </w:rPr>
        <w:t>و</w:t>
      </w:r>
      <w:r w:rsidRPr="00286C73">
        <w:rPr>
          <w:rFonts w:cs="Simplified Arabic"/>
          <w:rtl/>
        </w:rPr>
        <w:t xml:space="preserve">جمهورية كوريا، </w:t>
      </w:r>
      <w:r w:rsidRPr="00286C73">
        <w:rPr>
          <w:rFonts w:cs="Simplified Arabic" w:hint="cs"/>
          <w:rtl/>
        </w:rPr>
        <w:t>و</w:t>
      </w:r>
      <w:r w:rsidRPr="00286C73">
        <w:rPr>
          <w:rFonts w:cs="Simplified Arabic"/>
          <w:rtl/>
        </w:rPr>
        <w:t xml:space="preserve">سنغافورة، </w:t>
      </w:r>
      <w:r w:rsidRPr="00286C73">
        <w:rPr>
          <w:rFonts w:cs="Simplified Arabic" w:hint="cs"/>
          <w:rtl/>
        </w:rPr>
        <w:t>و</w:t>
      </w:r>
      <w:r w:rsidRPr="00286C73">
        <w:rPr>
          <w:rFonts w:cs="Simplified Arabic"/>
          <w:rtl/>
        </w:rPr>
        <w:t>جنوب أفريقيا</w:t>
      </w:r>
      <w:r w:rsidRPr="00286C73">
        <w:rPr>
          <w:rFonts w:cs="Simplified Arabic" w:hint="cs"/>
          <w:rtl/>
        </w:rPr>
        <w:t>،</w:t>
      </w:r>
      <w:r w:rsidRPr="00286C73">
        <w:rPr>
          <w:rFonts w:cs="Simplified Arabic"/>
          <w:rtl/>
        </w:rPr>
        <w:t xml:space="preserve"> وسويسرا</w:t>
      </w:r>
      <w:r w:rsidRPr="00286C73">
        <w:rPr>
          <w:rFonts w:cs="Simplified Arabic" w:hint="cs"/>
          <w:rtl/>
        </w:rPr>
        <w:t>،</w:t>
      </w:r>
      <w:r w:rsidRPr="00286C73">
        <w:rPr>
          <w:rFonts w:cs="Simplified Arabic"/>
          <w:rtl/>
        </w:rPr>
        <w:t xml:space="preserve"> وتركيا وفنزويلا (جمهورية - البوليفارية)</w:t>
      </w:r>
      <w:r w:rsidRPr="00286C73">
        <w:rPr>
          <w:rFonts w:cs="Simplified Arabic" w:hint="cs"/>
          <w:rtl/>
        </w:rPr>
        <w:t xml:space="preserve">. </w:t>
      </w:r>
    </w:p>
    <w:p w:rsidR="002E513E" w:rsidRDefault="002E513E" w:rsidP="00FE60B0">
      <w:pPr>
        <w:pStyle w:val="ListParagraph"/>
        <w:numPr>
          <w:ilvl w:val="0"/>
          <w:numId w:val="6"/>
        </w:numPr>
        <w:bidi/>
        <w:spacing w:line="216" w:lineRule="auto"/>
        <w:ind w:left="0" w:firstLine="0"/>
        <w:rPr>
          <w:rFonts w:cs="Simplified Arabic"/>
        </w:rPr>
      </w:pPr>
      <w:r>
        <w:rPr>
          <w:rFonts w:cs="Simplified Arabic" w:hint="cs"/>
          <w:rtl/>
        </w:rPr>
        <w:t>واست</w:t>
      </w:r>
      <w:r w:rsidR="00FE60B0">
        <w:rPr>
          <w:rFonts w:cs="Simplified Arabic" w:hint="cs"/>
          <w:rtl/>
        </w:rPr>
        <w:t>أنف</w:t>
      </w:r>
      <w:r>
        <w:rPr>
          <w:rFonts w:cs="Simplified Arabic" w:hint="cs"/>
          <w:rtl/>
        </w:rPr>
        <w:t xml:space="preserve"> الفريق العامل النظر في البند </w:t>
      </w:r>
      <w:r w:rsidR="00FE60B0">
        <w:rPr>
          <w:rFonts w:cs="Simplified Arabic" w:hint="cs"/>
          <w:rtl/>
        </w:rPr>
        <w:t>في</w:t>
      </w:r>
      <w:r>
        <w:rPr>
          <w:rFonts w:cs="Simplified Arabic" w:hint="cs"/>
          <w:rtl/>
        </w:rPr>
        <w:t xml:space="preserve"> جلسته السادسة</w:t>
      </w:r>
      <w:r w:rsidR="00FE60B0">
        <w:rPr>
          <w:rFonts w:cs="Simplified Arabic" w:hint="cs"/>
          <w:rtl/>
        </w:rPr>
        <w:t>،</w:t>
      </w:r>
      <w:r>
        <w:rPr>
          <w:rFonts w:cs="Simplified Arabic" w:hint="cs"/>
          <w:rtl/>
        </w:rPr>
        <w:t xml:space="preserve"> المنعقدة في 21 نوفمبر/تشرين الثاني 2018.</w:t>
      </w:r>
    </w:p>
    <w:p w:rsidR="002E513E" w:rsidRDefault="002E513E" w:rsidP="00FF7FA5">
      <w:pPr>
        <w:pStyle w:val="ListParagraph"/>
        <w:numPr>
          <w:ilvl w:val="0"/>
          <w:numId w:val="6"/>
        </w:numPr>
        <w:bidi/>
        <w:spacing w:line="216" w:lineRule="auto"/>
        <w:ind w:left="0" w:firstLine="0"/>
        <w:rPr>
          <w:rFonts w:cs="Simplified Arabic"/>
        </w:rPr>
      </w:pPr>
      <w:r>
        <w:rPr>
          <w:rFonts w:cs="Simplified Arabic" w:hint="cs"/>
          <w:rtl/>
        </w:rPr>
        <w:t>وأدلى ببيانات ممثلو الجزائر، والبحرين، وشيلي، والصين، وكوت ديفوار، وغواتميالا، وآيسلندا، والهند، واليابان، وموريتانيا، والمكسيك، والمغرب، ونيوزيلندا، والمملكة العربية السعودية، والسنغال، وسيش</w:t>
      </w:r>
      <w:r w:rsidR="0049644D">
        <w:rPr>
          <w:rFonts w:cs="Simplified Arabic" w:hint="cs"/>
          <w:rtl/>
        </w:rPr>
        <w:t>ي</w:t>
      </w:r>
      <w:r>
        <w:rPr>
          <w:rFonts w:cs="Simplified Arabic" w:hint="cs"/>
          <w:rtl/>
        </w:rPr>
        <w:t>ل، والإمارات العربية المتحدة وأوروغواي.</w:t>
      </w:r>
    </w:p>
    <w:p w:rsidR="002E513E" w:rsidRDefault="00FE60B0" w:rsidP="00286C73">
      <w:pPr>
        <w:pStyle w:val="ListParagraph"/>
        <w:numPr>
          <w:ilvl w:val="0"/>
          <w:numId w:val="6"/>
        </w:numPr>
        <w:bidi/>
        <w:spacing w:line="216" w:lineRule="auto"/>
        <w:ind w:left="0" w:firstLine="0"/>
        <w:rPr>
          <w:rFonts w:cs="Simplified Arabic"/>
        </w:rPr>
      </w:pPr>
      <w:r>
        <w:rPr>
          <w:rFonts w:cs="Simplified Arabic" w:hint="cs"/>
          <w:rtl/>
        </w:rPr>
        <w:lastRenderedPageBreak/>
        <w:t>و</w:t>
      </w:r>
      <w:r w:rsidR="00C57E2E">
        <w:rPr>
          <w:rFonts w:cs="Simplified Arabic" w:hint="cs"/>
          <w:rtl/>
        </w:rPr>
        <w:t>أدلى ببيان</w:t>
      </w:r>
      <w:r w:rsidR="002E513E">
        <w:rPr>
          <w:rFonts w:cs="Simplified Arabic" w:hint="cs"/>
          <w:rtl/>
        </w:rPr>
        <w:t xml:space="preserve"> أيضا ممثل </w:t>
      </w:r>
      <w:r w:rsidR="00286C73">
        <w:rPr>
          <w:rFonts w:cs="Simplified Arabic" w:hint="cs"/>
          <w:rtl/>
        </w:rPr>
        <w:t xml:space="preserve">عن </w:t>
      </w:r>
      <w:r w:rsidR="002E513E">
        <w:rPr>
          <w:rFonts w:cs="Simplified Arabic" w:hint="cs"/>
          <w:rtl/>
        </w:rPr>
        <w:t>شعبة شؤون المحيطات وقانون البح</w:t>
      </w:r>
      <w:r w:rsidR="00C57E2E">
        <w:rPr>
          <w:rFonts w:cs="Simplified Arabic" w:hint="cs"/>
          <w:rtl/>
        </w:rPr>
        <w:t>ا</w:t>
      </w:r>
      <w:r w:rsidR="002E513E">
        <w:rPr>
          <w:rFonts w:cs="Simplified Arabic" w:hint="cs"/>
          <w:rtl/>
        </w:rPr>
        <w:t xml:space="preserve">ر التابعة </w:t>
      </w:r>
      <w:r w:rsidR="00286C73">
        <w:rPr>
          <w:rFonts w:cs="Simplified Arabic" w:hint="cs"/>
          <w:rtl/>
        </w:rPr>
        <w:t>لمكتب الشؤون القانونية</w:t>
      </w:r>
      <w:r w:rsidR="002E513E">
        <w:rPr>
          <w:rFonts w:cs="Simplified Arabic" w:hint="cs"/>
          <w:rtl/>
        </w:rPr>
        <w:t>.</w:t>
      </w:r>
    </w:p>
    <w:p w:rsidR="005010E6" w:rsidRPr="005010E6" w:rsidRDefault="005010E6" w:rsidP="00FE60B0">
      <w:pPr>
        <w:pStyle w:val="ListParagraph"/>
        <w:numPr>
          <w:ilvl w:val="0"/>
          <w:numId w:val="6"/>
        </w:numPr>
        <w:bidi/>
        <w:spacing w:line="216" w:lineRule="auto"/>
        <w:ind w:left="0" w:firstLine="0"/>
        <w:rPr>
          <w:rFonts w:cs="Simplified Arabic"/>
          <w:rtl/>
        </w:rPr>
      </w:pPr>
      <w:r>
        <w:rPr>
          <w:rFonts w:cs="Simplified Arabic" w:hint="cs"/>
          <w:rtl/>
        </w:rPr>
        <w:t xml:space="preserve">وأدلى ببيانات </w:t>
      </w:r>
      <w:r w:rsidR="00FE60B0">
        <w:rPr>
          <w:rFonts w:cs="Simplified Arabic" w:hint="cs"/>
          <w:rtl/>
        </w:rPr>
        <w:t>أخرى</w:t>
      </w:r>
      <w:r>
        <w:rPr>
          <w:rFonts w:cs="Simplified Arabic" w:hint="cs"/>
          <w:rtl/>
        </w:rPr>
        <w:t xml:space="preserve"> ممثلو منظمة بيردلايف الدولية، وشبكة الشباب ال</w:t>
      </w:r>
      <w:r w:rsidR="00286C73">
        <w:rPr>
          <w:rFonts w:cs="Simplified Arabic" w:hint="cs"/>
          <w:rtl/>
        </w:rPr>
        <w:t>عالم</w:t>
      </w:r>
      <w:r>
        <w:rPr>
          <w:rFonts w:cs="Simplified Arabic" w:hint="cs"/>
          <w:rtl/>
        </w:rPr>
        <w:t>ية المعنية بالتنوع البيولوجي، و</w:t>
      </w:r>
      <w:r>
        <w:rPr>
          <w:rFonts w:cs="Simplified Arabic" w:hint="cs"/>
          <w:rtl/>
          <w:lang w:val="en-US"/>
        </w:rPr>
        <w:t>المنتدى الدولي للشعوب الأصلية المعني بالتنوع البيولوجي</w:t>
      </w:r>
      <w:r w:rsidR="00FE60B0">
        <w:rPr>
          <w:rFonts w:cs="Simplified Arabic" w:hint="cs"/>
          <w:rtl/>
          <w:lang w:val="en-US"/>
        </w:rPr>
        <w:t>،</w:t>
      </w:r>
      <w:r>
        <w:rPr>
          <w:rFonts w:cs="Simplified Arabic" w:hint="cs"/>
          <w:rtl/>
          <w:lang w:val="en-US"/>
        </w:rPr>
        <w:t xml:space="preserve"> واللجنة الدولية لشؤون صيد الحيتان والصندوق العالمي للطبيعة (بالنيابة أيضا عن منظمة حفظ الطبيعة).</w:t>
      </w:r>
    </w:p>
    <w:p w:rsidR="00C765FC" w:rsidRPr="00286C73" w:rsidRDefault="00C765FC" w:rsidP="005C478D">
      <w:pPr>
        <w:rPr>
          <w:b/>
          <w:bCs/>
        </w:rPr>
      </w:pPr>
      <w:bookmarkStart w:id="243" w:name="_Toc6071643"/>
      <w:bookmarkStart w:id="244" w:name="_Toc6136111"/>
      <w:r w:rsidRPr="00286C73">
        <w:rPr>
          <w:rFonts w:hint="cs"/>
          <w:b/>
          <w:bCs/>
          <w:rtl/>
        </w:rPr>
        <w:t>ال</w:t>
      </w:r>
      <w:r w:rsidRPr="00286C73">
        <w:rPr>
          <w:b/>
          <w:bCs/>
          <w:rtl/>
        </w:rPr>
        <w:t xml:space="preserve">مسائل </w:t>
      </w:r>
      <w:r w:rsidRPr="00286C73">
        <w:rPr>
          <w:rFonts w:hint="cs"/>
          <w:b/>
          <w:bCs/>
          <w:rtl/>
        </w:rPr>
        <w:t>ال</w:t>
      </w:r>
      <w:r w:rsidRPr="00286C73">
        <w:rPr>
          <w:b/>
          <w:bCs/>
          <w:rtl/>
        </w:rPr>
        <w:t xml:space="preserve">أخرى </w:t>
      </w:r>
      <w:r w:rsidRPr="00286C73">
        <w:rPr>
          <w:rFonts w:hint="cs"/>
          <w:b/>
          <w:bCs/>
          <w:rtl/>
        </w:rPr>
        <w:t>ال</w:t>
      </w:r>
      <w:r w:rsidRPr="00286C73">
        <w:rPr>
          <w:b/>
          <w:bCs/>
          <w:rtl/>
        </w:rPr>
        <w:t>متعلقة بالتنوع البيولوجي البحري والساحلي</w:t>
      </w:r>
      <w:bookmarkEnd w:id="243"/>
      <w:bookmarkEnd w:id="244"/>
    </w:p>
    <w:p w:rsidR="00C765FC" w:rsidRPr="002E513E" w:rsidRDefault="00C765FC" w:rsidP="00286C73">
      <w:pPr>
        <w:pStyle w:val="ListParagraph1"/>
        <w:numPr>
          <w:ilvl w:val="0"/>
          <w:numId w:val="6"/>
        </w:numPr>
        <w:bidi/>
        <w:spacing w:before="0" w:line="216" w:lineRule="auto"/>
        <w:ind w:left="0" w:firstLine="0"/>
        <w:rPr>
          <w:rFonts w:cs="Simplified Arabic"/>
          <w:szCs w:val="24"/>
          <w:rtl/>
        </w:rPr>
      </w:pPr>
      <w:r w:rsidRPr="002E513E">
        <w:rPr>
          <w:rFonts w:cs="Simplified Arabic"/>
          <w:szCs w:val="24"/>
          <w:rtl/>
        </w:rPr>
        <w:t xml:space="preserve">بعد تبادل الآراء في </w:t>
      </w:r>
      <w:r w:rsidR="00286C73">
        <w:rPr>
          <w:rFonts w:cs="Simplified Arabic" w:hint="cs"/>
          <w:szCs w:val="24"/>
          <w:rtl/>
        </w:rPr>
        <w:t>ال</w:t>
      </w:r>
      <w:r w:rsidR="0049644D">
        <w:rPr>
          <w:rFonts w:cs="Simplified Arabic" w:hint="cs"/>
          <w:szCs w:val="24"/>
          <w:rtl/>
        </w:rPr>
        <w:t>جلس</w:t>
      </w:r>
      <w:r w:rsidR="00286C73">
        <w:rPr>
          <w:rFonts w:cs="Simplified Arabic" w:hint="cs"/>
          <w:szCs w:val="24"/>
          <w:rtl/>
        </w:rPr>
        <w:t>ة</w:t>
      </w:r>
      <w:r w:rsidRPr="002E513E">
        <w:rPr>
          <w:rFonts w:cs="Simplified Arabic"/>
          <w:szCs w:val="24"/>
          <w:rtl/>
        </w:rPr>
        <w:t xml:space="preserve"> </w:t>
      </w:r>
      <w:r w:rsidR="0049644D">
        <w:rPr>
          <w:rFonts w:cs="Simplified Arabic" w:hint="cs"/>
          <w:szCs w:val="24"/>
          <w:rtl/>
        </w:rPr>
        <w:t>السادسة</w:t>
      </w:r>
      <w:r w:rsidR="00286C73">
        <w:rPr>
          <w:rFonts w:cs="Simplified Arabic" w:hint="cs"/>
          <w:szCs w:val="24"/>
          <w:rtl/>
        </w:rPr>
        <w:t xml:space="preserve"> للفريق العامل</w:t>
      </w:r>
      <w:r w:rsidRPr="002E513E">
        <w:rPr>
          <w:rFonts w:cs="Simplified Arabic" w:hint="cs"/>
          <w:szCs w:val="24"/>
          <w:rtl/>
          <w:lang w:bidi="ar-EG"/>
        </w:rPr>
        <w:t>،</w:t>
      </w:r>
      <w:r w:rsidRPr="002E513E">
        <w:rPr>
          <w:rFonts w:cs="Simplified Arabic"/>
          <w:szCs w:val="24"/>
          <w:rtl/>
        </w:rPr>
        <w:t xml:space="preserve"> </w:t>
      </w:r>
      <w:r w:rsidR="0049644D">
        <w:rPr>
          <w:rFonts w:cs="Simplified Arabic" w:hint="cs"/>
          <w:szCs w:val="24"/>
          <w:rtl/>
        </w:rPr>
        <w:t>المنعقدة</w:t>
      </w:r>
      <w:r w:rsidRPr="002E513E">
        <w:rPr>
          <w:rFonts w:cs="Simplified Arabic"/>
          <w:szCs w:val="24"/>
          <w:rtl/>
        </w:rPr>
        <w:t xml:space="preserve"> في </w:t>
      </w:r>
      <w:r w:rsidR="0049644D">
        <w:rPr>
          <w:rFonts w:cs="Simplified Arabic" w:hint="cs"/>
          <w:szCs w:val="24"/>
          <w:rtl/>
        </w:rPr>
        <w:t>21</w:t>
      </w:r>
      <w:r w:rsidRPr="002E513E">
        <w:rPr>
          <w:rFonts w:cs="Simplified Arabic"/>
          <w:szCs w:val="24"/>
          <w:rtl/>
        </w:rPr>
        <w:t xml:space="preserve"> نوفمبر/تشرين الثاني 2018، قالت الرئيسة </w:t>
      </w:r>
      <w:r w:rsidRPr="002E513E">
        <w:rPr>
          <w:rFonts w:cs="Simplified Arabic" w:hint="cs"/>
          <w:szCs w:val="24"/>
          <w:rtl/>
        </w:rPr>
        <w:t>إ</w:t>
      </w:r>
      <w:r w:rsidRPr="002E513E">
        <w:rPr>
          <w:rFonts w:cs="Simplified Arabic"/>
          <w:szCs w:val="24"/>
          <w:rtl/>
        </w:rPr>
        <w:t xml:space="preserve">نها ستعد مشروع مقرر منقح </w:t>
      </w:r>
      <w:r w:rsidRPr="002E513E">
        <w:rPr>
          <w:rFonts w:cs="Simplified Arabic" w:hint="cs"/>
          <w:szCs w:val="24"/>
          <w:rtl/>
        </w:rPr>
        <w:t>بشأن ال</w:t>
      </w:r>
      <w:r w:rsidRPr="002E513E">
        <w:rPr>
          <w:rFonts w:cs="Simplified Arabic"/>
          <w:szCs w:val="24"/>
          <w:rtl/>
        </w:rPr>
        <w:t xml:space="preserve">مسائل </w:t>
      </w:r>
      <w:r w:rsidRPr="002E513E">
        <w:rPr>
          <w:rFonts w:cs="Simplified Arabic" w:hint="cs"/>
          <w:szCs w:val="24"/>
          <w:rtl/>
        </w:rPr>
        <w:t>ال</w:t>
      </w:r>
      <w:r w:rsidRPr="002E513E">
        <w:rPr>
          <w:rFonts w:cs="Simplified Arabic"/>
          <w:szCs w:val="24"/>
          <w:rtl/>
        </w:rPr>
        <w:t xml:space="preserve">أخرى </w:t>
      </w:r>
      <w:r w:rsidRPr="002E513E">
        <w:rPr>
          <w:rFonts w:cs="Simplified Arabic" w:hint="cs"/>
          <w:szCs w:val="24"/>
          <w:rtl/>
        </w:rPr>
        <w:t>الم</w:t>
      </w:r>
      <w:r w:rsidRPr="002E513E">
        <w:rPr>
          <w:rFonts w:cs="Simplified Arabic"/>
          <w:szCs w:val="24"/>
          <w:rtl/>
        </w:rPr>
        <w:t>تعلق</w:t>
      </w:r>
      <w:r w:rsidRPr="002E513E">
        <w:rPr>
          <w:rFonts w:cs="Simplified Arabic" w:hint="cs"/>
          <w:szCs w:val="24"/>
          <w:rtl/>
        </w:rPr>
        <w:t>ة</w:t>
      </w:r>
      <w:r w:rsidRPr="002E513E">
        <w:rPr>
          <w:rFonts w:cs="Simplified Arabic"/>
          <w:szCs w:val="24"/>
          <w:rtl/>
        </w:rPr>
        <w:t xml:space="preserve"> بالتنوع البيولوجي البحري والساحلي </w:t>
      </w:r>
      <w:r w:rsidRPr="002E513E">
        <w:rPr>
          <w:rFonts w:cs="Simplified Arabic" w:hint="cs"/>
          <w:szCs w:val="24"/>
          <w:rtl/>
        </w:rPr>
        <w:t>ل</w:t>
      </w:r>
      <w:r w:rsidRPr="002E513E">
        <w:rPr>
          <w:rFonts w:cs="Simplified Arabic"/>
          <w:szCs w:val="24"/>
          <w:rtl/>
        </w:rPr>
        <w:t>ينظر فيه الفريق العامل</w:t>
      </w:r>
      <w:r w:rsidRPr="002E513E">
        <w:rPr>
          <w:rFonts w:cs="Simplified Arabic" w:hint="cs"/>
          <w:szCs w:val="24"/>
          <w:rtl/>
        </w:rPr>
        <w:t>.</w:t>
      </w:r>
    </w:p>
    <w:p w:rsidR="00C765FC" w:rsidRPr="002E513E" w:rsidRDefault="00286C73" w:rsidP="00FF7FA5">
      <w:pPr>
        <w:pStyle w:val="ListParagraph1"/>
        <w:numPr>
          <w:ilvl w:val="0"/>
          <w:numId w:val="6"/>
        </w:numPr>
        <w:bidi/>
        <w:spacing w:before="0" w:line="216" w:lineRule="auto"/>
        <w:ind w:left="0" w:firstLine="0"/>
        <w:rPr>
          <w:rFonts w:cs="Simplified Arabic"/>
          <w:szCs w:val="24"/>
          <w:rtl/>
        </w:rPr>
      </w:pPr>
      <w:r>
        <w:rPr>
          <w:rFonts w:cs="Simplified Arabic" w:hint="cs"/>
          <w:szCs w:val="24"/>
          <w:rtl/>
        </w:rPr>
        <w:t xml:space="preserve">وفي </w:t>
      </w:r>
      <w:r w:rsidR="00C57E2E">
        <w:rPr>
          <w:rFonts w:cs="Simplified Arabic" w:hint="cs"/>
          <w:szCs w:val="24"/>
          <w:rtl/>
        </w:rPr>
        <w:t>جلست</w:t>
      </w:r>
      <w:r w:rsidR="00C765FC" w:rsidRPr="002E513E">
        <w:rPr>
          <w:rFonts w:cs="Simplified Arabic" w:hint="cs"/>
          <w:szCs w:val="24"/>
          <w:rtl/>
        </w:rPr>
        <w:t>ه</w:t>
      </w:r>
      <w:r w:rsidR="00C765FC" w:rsidRPr="002E513E">
        <w:rPr>
          <w:rFonts w:cs="Simplified Arabic"/>
          <w:szCs w:val="24"/>
          <w:rtl/>
        </w:rPr>
        <w:t xml:space="preserve"> الرابع</w:t>
      </w:r>
      <w:r w:rsidR="00C57E2E">
        <w:rPr>
          <w:rFonts w:cs="Simplified Arabic" w:hint="cs"/>
          <w:szCs w:val="24"/>
          <w:rtl/>
        </w:rPr>
        <w:t>ة</w:t>
      </w:r>
      <w:r w:rsidR="00C765FC" w:rsidRPr="002E513E">
        <w:rPr>
          <w:rFonts w:cs="Simplified Arabic"/>
          <w:szCs w:val="24"/>
          <w:rtl/>
        </w:rPr>
        <w:t xml:space="preserve"> عشر</w:t>
      </w:r>
      <w:r w:rsidR="00C57E2E">
        <w:rPr>
          <w:rFonts w:cs="Simplified Arabic" w:hint="cs"/>
          <w:szCs w:val="24"/>
          <w:rtl/>
        </w:rPr>
        <w:t>ة</w:t>
      </w:r>
      <w:r w:rsidR="00C765FC" w:rsidRPr="002E513E">
        <w:rPr>
          <w:rFonts w:cs="Simplified Arabic"/>
          <w:szCs w:val="24"/>
          <w:rtl/>
        </w:rPr>
        <w:t>، المعقود</w:t>
      </w:r>
      <w:r w:rsidR="00C57E2E">
        <w:rPr>
          <w:rFonts w:cs="Simplified Arabic" w:hint="cs"/>
          <w:szCs w:val="24"/>
          <w:rtl/>
        </w:rPr>
        <w:t>ة</w:t>
      </w:r>
      <w:r w:rsidR="00C765FC" w:rsidRPr="002E513E">
        <w:rPr>
          <w:rFonts w:cs="Simplified Arabic"/>
          <w:szCs w:val="24"/>
          <w:rtl/>
        </w:rPr>
        <w:t xml:space="preserve"> في 27 نوفمبر/تشرين الثاني 2018، </w:t>
      </w:r>
      <w:r>
        <w:rPr>
          <w:rFonts w:cs="Simplified Arabic" w:hint="cs"/>
          <w:szCs w:val="24"/>
          <w:rtl/>
        </w:rPr>
        <w:t xml:space="preserve">نظر الفريق العامل </w:t>
      </w:r>
      <w:r w:rsidR="00C765FC" w:rsidRPr="002E513E">
        <w:rPr>
          <w:rFonts w:cs="Simplified Arabic"/>
          <w:szCs w:val="24"/>
          <w:rtl/>
        </w:rPr>
        <w:t>في مشروع</w:t>
      </w:r>
      <w:r w:rsidR="00C765FC" w:rsidRPr="002E513E">
        <w:rPr>
          <w:rFonts w:cs="Simplified Arabic" w:hint="cs"/>
          <w:szCs w:val="24"/>
          <w:rtl/>
        </w:rPr>
        <w:t xml:space="preserve"> المقرر</w:t>
      </w:r>
      <w:r w:rsidR="00C765FC" w:rsidRPr="002E513E">
        <w:rPr>
          <w:rFonts w:cs="Simplified Arabic"/>
          <w:szCs w:val="24"/>
          <w:rtl/>
        </w:rPr>
        <w:t xml:space="preserve"> </w:t>
      </w:r>
      <w:r w:rsidR="00C765FC" w:rsidRPr="002E513E">
        <w:rPr>
          <w:rFonts w:cs="Simplified Arabic" w:hint="cs"/>
          <w:szCs w:val="24"/>
          <w:rtl/>
        </w:rPr>
        <w:t>ال</w:t>
      </w:r>
      <w:r w:rsidR="00C765FC" w:rsidRPr="002E513E">
        <w:rPr>
          <w:rFonts w:cs="Simplified Arabic"/>
          <w:szCs w:val="24"/>
          <w:rtl/>
        </w:rPr>
        <w:t xml:space="preserve">منقح </w:t>
      </w:r>
      <w:r w:rsidR="00C765FC" w:rsidRPr="002E513E">
        <w:rPr>
          <w:rFonts w:cs="Simplified Arabic" w:hint="cs"/>
          <w:szCs w:val="24"/>
          <w:rtl/>
        </w:rPr>
        <w:t xml:space="preserve">المقدم من </w:t>
      </w:r>
      <w:r w:rsidR="00C765FC" w:rsidRPr="002E513E">
        <w:rPr>
          <w:rFonts w:cs="Simplified Arabic"/>
          <w:szCs w:val="24"/>
          <w:rtl/>
        </w:rPr>
        <w:t>الرئيسة</w:t>
      </w:r>
      <w:r w:rsidR="00C765FC" w:rsidRPr="002E513E">
        <w:rPr>
          <w:rFonts w:cs="Simplified Arabic" w:hint="cs"/>
          <w:szCs w:val="24"/>
          <w:rtl/>
        </w:rPr>
        <w:t>.</w:t>
      </w:r>
    </w:p>
    <w:p w:rsidR="00C765FC" w:rsidRPr="002E513E" w:rsidRDefault="007414C9" w:rsidP="00FF7FA5">
      <w:pPr>
        <w:pStyle w:val="ListParagraph1"/>
        <w:numPr>
          <w:ilvl w:val="0"/>
          <w:numId w:val="6"/>
        </w:numPr>
        <w:bidi/>
        <w:spacing w:before="0" w:line="216" w:lineRule="auto"/>
        <w:ind w:left="0" w:firstLine="0"/>
        <w:rPr>
          <w:rFonts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286C73">
        <w:rPr>
          <w:rFonts w:cs="Simplified Arabic"/>
          <w:szCs w:val="24"/>
          <w:rtl/>
        </w:rPr>
        <w:t xml:space="preserve"> النمسا، وبن</w:t>
      </w:r>
      <w:r w:rsidR="00C765FC" w:rsidRPr="002E513E">
        <w:rPr>
          <w:rFonts w:cs="Simplified Arabic"/>
          <w:szCs w:val="24"/>
          <w:rtl/>
        </w:rPr>
        <w:t>ن، وكندا، والاتحاد الأوروبي ودول</w:t>
      </w:r>
      <w:r w:rsidR="00C57E2E">
        <w:rPr>
          <w:rFonts w:cs="Simplified Arabic" w:hint="cs"/>
          <w:szCs w:val="24"/>
          <w:rtl/>
        </w:rPr>
        <w:t>ه</w:t>
      </w:r>
      <w:r w:rsidR="00C765FC" w:rsidRPr="002E513E">
        <w:rPr>
          <w:rFonts w:cs="Simplified Arabic"/>
          <w:szCs w:val="24"/>
          <w:rtl/>
        </w:rPr>
        <w:t xml:space="preserve"> الأعضاء</w:t>
      </w:r>
      <w:r w:rsidR="00C765FC" w:rsidRPr="002E513E">
        <w:rPr>
          <w:rFonts w:cs="Simplified Arabic" w:hint="cs"/>
          <w:szCs w:val="24"/>
          <w:rtl/>
        </w:rPr>
        <w:t xml:space="preserve"> </w:t>
      </w:r>
      <w:r w:rsidR="00C57E2E">
        <w:rPr>
          <w:rFonts w:ascii="Simplified Arabic" w:hAnsi="Simplified Arabic" w:cs="Simplified Arabic" w:hint="cs"/>
          <w:sz w:val="24"/>
          <w:szCs w:val="24"/>
          <w:rtl/>
        </w:rPr>
        <w:t>الثماني والعشرين</w:t>
      </w:r>
      <w:r w:rsidR="00C57E2E" w:rsidRPr="002E513E">
        <w:rPr>
          <w:rFonts w:ascii="Simplified Arabic" w:hAnsi="Simplified Arabic" w:cs="Simplified Arabic" w:hint="cs"/>
          <w:sz w:val="24"/>
          <w:szCs w:val="24"/>
          <w:rtl/>
        </w:rPr>
        <w:t>،</w:t>
      </w:r>
      <w:r w:rsidR="007648E7">
        <w:rPr>
          <w:rFonts w:cs="Simplified Arabic"/>
          <w:szCs w:val="24"/>
          <w:rtl/>
        </w:rPr>
        <w:t xml:space="preserve"> والمغرب، وسيشيل</w:t>
      </w:r>
      <w:r w:rsidR="00C765FC" w:rsidRPr="002E513E">
        <w:rPr>
          <w:rFonts w:cs="Simplified Arabic"/>
          <w:szCs w:val="24"/>
          <w:rtl/>
        </w:rPr>
        <w:t xml:space="preserve"> وجنوب أفريقيا</w:t>
      </w:r>
      <w:r w:rsidR="00C765FC" w:rsidRPr="002E513E">
        <w:rPr>
          <w:rFonts w:cs="Simplified Arabic" w:hint="cs"/>
          <w:szCs w:val="24"/>
          <w:rtl/>
        </w:rPr>
        <w:t>.</w:t>
      </w:r>
    </w:p>
    <w:p w:rsidR="00C765FC" w:rsidRPr="002E513E" w:rsidRDefault="00C765FC" w:rsidP="007648E7">
      <w:pPr>
        <w:pStyle w:val="ListParagraph1"/>
        <w:numPr>
          <w:ilvl w:val="0"/>
          <w:numId w:val="6"/>
        </w:numPr>
        <w:bidi/>
        <w:spacing w:before="0" w:line="216" w:lineRule="auto"/>
        <w:ind w:left="0" w:firstLine="0"/>
        <w:rPr>
          <w:rFonts w:cs="Simplified Arabic"/>
          <w:szCs w:val="24"/>
          <w:lang w:val="en-GB"/>
        </w:rPr>
      </w:pPr>
      <w:r w:rsidRPr="002E513E">
        <w:rPr>
          <w:rFonts w:cs="Simplified Arabic"/>
          <w:szCs w:val="24"/>
          <w:rtl/>
        </w:rPr>
        <w:t xml:space="preserve">وبعد تبادل الآراء، </w:t>
      </w:r>
      <w:r w:rsidRPr="002E513E">
        <w:rPr>
          <w:rFonts w:cs="Simplified Arabic" w:hint="cs"/>
          <w:szCs w:val="24"/>
          <w:rtl/>
        </w:rPr>
        <w:t>وُوفق</w:t>
      </w:r>
      <w:r w:rsidRPr="002E513E">
        <w:rPr>
          <w:rFonts w:cs="Simplified Arabic"/>
          <w:szCs w:val="24"/>
          <w:rtl/>
        </w:rPr>
        <w:t xml:space="preserve"> على مشروع المقرر، بصيغته المعدلة شفويا</w:t>
      </w:r>
      <w:r w:rsidR="00C57E2E">
        <w:rPr>
          <w:rFonts w:cs="Simplified Arabic" w:hint="cs"/>
          <w:szCs w:val="24"/>
          <w:rtl/>
        </w:rPr>
        <w:t>ً</w:t>
      </w:r>
      <w:r w:rsidRPr="002E513E">
        <w:rPr>
          <w:rFonts w:cs="Simplified Arabic"/>
          <w:szCs w:val="24"/>
          <w:rtl/>
        </w:rPr>
        <w:t xml:space="preserve">، لإحالته إلى الجلسة العامة </w:t>
      </w:r>
      <w:r w:rsidR="007648E7">
        <w:rPr>
          <w:rFonts w:cs="Simplified Arabic" w:hint="cs"/>
          <w:szCs w:val="24"/>
          <w:rtl/>
        </w:rPr>
        <w:t xml:space="preserve">بوصفه </w:t>
      </w:r>
      <w:r w:rsidRPr="002E513E">
        <w:rPr>
          <w:rFonts w:cs="Simplified Arabic"/>
          <w:szCs w:val="24"/>
          <w:rtl/>
        </w:rPr>
        <w:t xml:space="preserve">مشروع </w:t>
      </w:r>
      <w:r w:rsidR="007648E7">
        <w:rPr>
          <w:rFonts w:cs="Simplified Arabic" w:hint="cs"/>
          <w:szCs w:val="24"/>
          <w:rtl/>
        </w:rPr>
        <w:t>ال</w:t>
      </w:r>
      <w:r w:rsidRPr="002E513E">
        <w:rPr>
          <w:rFonts w:cs="Simplified Arabic"/>
          <w:szCs w:val="24"/>
          <w:rtl/>
        </w:rPr>
        <w:t>مقرر</w:t>
      </w:r>
      <w:r w:rsidRPr="002E513E">
        <w:rPr>
          <w:rFonts w:cs="Simplified Arabic" w:hint="cs"/>
          <w:szCs w:val="24"/>
          <w:rtl/>
        </w:rPr>
        <w:t xml:space="preserve"> </w:t>
      </w:r>
      <w:r w:rsidRPr="002E513E">
        <w:rPr>
          <w:rFonts w:cs="Simplified Arabic"/>
          <w:szCs w:val="24"/>
        </w:rPr>
        <w:t>CBD/COP/14/L.24</w:t>
      </w:r>
      <w:r w:rsidRPr="002E513E">
        <w:rPr>
          <w:rFonts w:cs="Simplified Arabic" w:hint="cs"/>
          <w:szCs w:val="24"/>
          <w:rtl/>
        </w:rPr>
        <w:t>.</w:t>
      </w:r>
    </w:p>
    <w:p w:rsidR="007648E7" w:rsidRDefault="007648E7" w:rsidP="007648E7">
      <w:pPr>
        <w:pStyle w:val="ListParagraph1"/>
        <w:numPr>
          <w:ilvl w:val="0"/>
          <w:numId w:val="6"/>
        </w:numPr>
        <w:bidi/>
        <w:spacing w:before="0" w:line="216" w:lineRule="auto"/>
        <w:ind w:left="0" w:firstLine="0"/>
        <w:rPr>
          <w:rFonts w:cs="Simplified Arabic"/>
          <w:szCs w:val="24"/>
          <w:lang w:val="en-GB"/>
        </w:rPr>
      </w:pPr>
      <w:r w:rsidRPr="00792EE7">
        <w:rPr>
          <w:rFonts w:cs="Simplified Arabic" w:hint="cs"/>
          <w:sz w:val="24"/>
          <w:szCs w:val="24"/>
          <w:rtl/>
        </w:rPr>
        <w:t>وفي الجلسة العامة السابعة للاجتماع، المنعقدة في 29 نوفمبر/تشرين الثاني 2018، نظر مؤتمر الأطراف في مشروع المقرر</w:t>
      </w:r>
      <w:r>
        <w:rPr>
          <w:rFonts w:cs="Simplified Arabic" w:hint="cs"/>
          <w:rtl/>
        </w:rPr>
        <w:t xml:space="preserve"> </w:t>
      </w:r>
      <w:r w:rsidRPr="007F48C2">
        <w:t>CBD/COP/14/L.</w:t>
      </w:r>
      <w:r>
        <w:t>24</w:t>
      </w:r>
      <w:r>
        <w:rPr>
          <w:rFonts w:cs="Simplified Arabic" w:hint="cs"/>
          <w:rtl/>
        </w:rPr>
        <w:t>.</w:t>
      </w:r>
    </w:p>
    <w:p w:rsidR="007648E7" w:rsidRDefault="007648E7" w:rsidP="007648E7">
      <w:pPr>
        <w:pStyle w:val="ListParagraph1"/>
        <w:numPr>
          <w:ilvl w:val="0"/>
          <w:numId w:val="6"/>
        </w:numPr>
        <w:bidi/>
        <w:spacing w:before="0" w:line="216" w:lineRule="auto"/>
        <w:ind w:left="0" w:firstLine="0"/>
        <w:rPr>
          <w:rFonts w:cs="Simplified Arabic"/>
          <w:szCs w:val="24"/>
          <w:lang w:val="en-GB"/>
        </w:rPr>
      </w:pPr>
      <w:r>
        <w:rPr>
          <w:rFonts w:cs="Simplified Arabic" w:hint="cs"/>
          <w:szCs w:val="24"/>
          <w:rtl/>
          <w:lang w:val="en-GB" w:bidi="ar-EG"/>
        </w:rPr>
        <w:t xml:space="preserve">وأدلى ببيان ممثل </w:t>
      </w:r>
      <w:r w:rsidR="00FE60B0">
        <w:rPr>
          <w:rFonts w:cs="Simplified Arabic" w:hint="cs"/>
          <w:szCs w:val="24"/>
          <w:rtl/>
          <w:lang w:val="en-GB" w:bidi="ar-EG"/>
        </w:rPr>
        <w:t xml:space="preserve">عن </w:t>
      </w:r>
      <w:r>
        <w:rPr>
          <w:rFonts w:cs="Simplified Arabic" w:hint="cs"/>
          <w:szCs w:val="24"/>
          <w:rtl/>
          <w:lang w:val="en-GB" w:bidi="ar-EG"/>
        </w:rPr>
        <w:t>المغرب</w:t>
      </w:r>
      <w:r w:rsidR="00C765FC" w:rsidRPr="00BE3594">
        <w:rPr>
          <w:rFonts w:cs="Simplified Arabic" w:hint="cs"/>
          <w:szCs w:val="24"/>
          <w:rtl/>
          <w:lang w:val="en-GB"/>
        </w:rPr>
        <w:t>.</w:t>
      </w:r>
    </w:p>
    <w:p w:rsidR="00C765FC" w:rsidRPr="00BE3594" w:rsidRDefault="007648E7" w:rsidP="007648E7">
      <w:pPr>
        <w:pStyle w:val="ListParagraph1"/>
        <w:numPr>
          <w:ilvl w:val="0"/>
          <w:numId w:val="6"/>
        </w:numPr>
        <w:bidi/>
        <w:spacing w:before="0" w:line="216" w:lineRule="auto"/>
        <w:ind w:left="0" w:firstLine="0"/>
        <w:rPr>
          <w:rFonts w:cs="Simplified Arabic"/>
          <w:szCs w:val="24"/>
          <w:rtl/>
          <w:lang w:val="en-GB"/>
        </w:rPr>
      </w:pPr>
      <w:r w:rsidRPr="00792EE7">
        <w:rPr>
          <w:rFonts w:cs="Simplified Arabic" w:hint="cs"/>
          <w:sz w:val="24"/>
          <w:szCs w:val="24"/>
          <w:rtl/>
        </w:rPr>
        <w:t>واعتمد مشروع المقرر</w:t>
      </w:r>
      <w:r>
        <w:rPr>
          <w:rFonts w:cs="Simplified Arabic" w:hint="cs"/>
          <w:rtl/>
        </w:rPr>
        <w:t xml:space="preserve"> </w:t>
      </w:r>
      <w:r w:rsidRPr="007F48C2">
        <w:t>CBD/COP/14/L.</w:t>
      </w:r>
      <w:r>
        <w:t>24</w:t>
      </w:r>
      <w:r>
        <w:rPr>
          <w:rFonts w:cs="Simplified Arabic" w:hint="cs"/>
          <w:rtl/>
        </w:rPr>
        <w:t xml:space="preserve"> </w:t>
      </w:r>
      <w:r w:rsidRPr="00792EE7">
        <w:rPr>
          <w:rFonts w:cs="Simplified Arabic" w:hint="cs"/>
          <w:sz w:val="24"/>
          <w:szCs w:val="24"/>
          <w:rtl/>
        </w:rPr>
        <w:t>بوصفه المقرر</w:t>
      </w:r>
      <w:r>
        <w:rPr>
          <w:rFonts w:cs="Simplified Arabic" w:hint="cs"/>
          <w:rtl/>
        </w:rPr>
        <w:t xml:space="preserve"> 14/10 </w:t>
      </w:r>
      <w:r w:rsidRPr="00792EE7">
        <w:rPr>
          <w:rFonts w:cs="Simplified Arabic" w:hint="cs"/>
          <w:sz w:val="24"/>
          <w:szCs w:val="24"/>
          <w:rtl/>
        </w:rPr>
        <w:t>(للاطلاع على النص، انظر الفصل الأول).</w:t>
      </w:r>
    </w:p>
    <w:p w:rsidR="00C765FC" w:rsidRPr="007648E7" w:rsidRDefault="00C765FC" w:rsidP="005C478D">
      <w:pPr>
        <w:rPr>
          <w:b/>
          <w:bCs/>
          <w:rtl/>
        </w:rPr>
      </w:pPr>
      <w:bookmarkStart w:id="245" w:name="_Toc6071644"/>
      <w:bookmarkStart w:id="246" w:name="_Toc6136112"/>
      <w:r w:rsidRPr="007648E7">
        <w:rPr>
          <w:b/>
          <w:bCs/>
          <w:rtl/>
        </w:rPr>
        <w:t>المناطق البحرية المهمة إيكولوجيا أو بيولوجيا</w:t>
      </w:r>
      <w:bookmarkEnd w:id="245"/>
      <w:bookmarkEnd w:id="246"/>
    </w:p>
    <w:p w:rsidR="00C765FC" w:rsidRPr="005010E6" w:rsidRDefault="005010E6" w:rsidP="007648E7">
      <w:pPr>
        <w:pStyle w:val="ListParagraph"/>
        <w:numPr>
          <w:ilvl w:val="0"/>
          <w:numId w:val="6"/>
        </w:numPr>
        <w:bidi/>
        <w:spacing w:line="216" w:lineRule="auto"/>
        <w:ind w:left="0" w:firstLine="0"/>
        <w:rPr>
          <w:rFonts w:cs="Simplified Arabic"/>
          <w:rtl/>
        </w:rPr>
      </w:pPr>
      <w:r>
        <w:rPr>
          <w:rFonts w:cs="Simplified Arabic" w:hint="cs"/>
          <w:rtl/>
        </w:rPr>
        <w:t xml:space="preserve">عقب تبادل الآراء </w:t>
      </w:r>
      <w:r w:rsidR="007648E7">
        <w:rPr>
          <w:rFonts w:cs="Simplified Arabic" w:hint="cs"/>
          <w:rtl/>
        </w:rPr>
        <w:t>في</w:t>
      </w:r>
      <w:r>
        <w:rPr>
          <w:rFonts w:cs="Simplified Arabic" w:hint="cs"/>
          <w:rtl/>
        </w:rPr>
        <w:t xml:space="preserve"> جلسته السادسة</w:t>
      </w:r>
      <w:r w:rsidR="00FE60B0">
        <w:rPr>
          <w:rFonts w:cs="Simplified Arabic" w:hint="cs"/>
          <w:rtl/>
        </w:rPr>
        <w:t>،</w:t>
      </w:r>
      <w:r>
        <w:rPr>
          <w:rFonts w:cs="Simplified Arabic" w:hint="cs"/>
          <w:rtl/>
        </w:rPr>
        <w:t xml:space="preserve"> المنعقدة في 21 نوفمبر/تشرين الثاني 2018،</w:t>
      </w:r>
      <w:r w:rsidR="00C765FC" w:rsidRPr="005010E6">
        <w:rPr>
          <w:rFonts w:cs="Simplified Arabic"/>
          <w:rtl/>
        </w:rPr>
        <w:t xml:space="preserve"> </w:t>
      </w:r>
      <w:r w:rsidR="007648E7">
        <w:rPr>
          <w:rFonts w:cs="Simplified Arabic" w:hint="cs"/>
          <w:rtl/>
        </w:rPr>
        <w:t xml:space="preserve">وافق الفريق العامل </w:t>
      </w:r>
      <w:r w:rsidR="00C765FC" w:rsidRPr="005010E6">
        <w:rPr>
          <w:rFonts w:cs="Simplified Arabic"/>
          <w:rtl/>
        </w:rPr>
        <w:t>على إنشاء فريق اتصال، برئاسة السيد آلان د</w:t>
      </w:r>
      <w:r w:rsidR="00C765FC" w:rsidRPr="005010E6">
        <w:rPr>
          <w:rFonts w:cs="Simplified Arabic" w:hint="cs"/>
          <w:rtl/>
        </w:rPr>
        <w:t>و</w:t>
      </w:r>
      <w:r w:rsidR="00C765FC" w:rsidRPr="005010E6">
        <w:rPr>
          <w:rFonts w:cs="Simplified Arabic"/>
          <w:rtl/>
        </w:rPr>
        <w:t xml:space="preserve"> كومارمون (سيشيل)، لمواصلة المناقشات بشأن هذ</w:t>
      </w:r>
      <w:r w:rsidR="00C765FC" w:rsidRPr="005010E6">
        <w:rPr>
          <w:rFonts w:cs="Simplified Arabic" w:hint="cs"/>
          <w:rtl/>
        </w:rPr>
        <w:t>ه</w:t>
      </w:r>
      <w:r w:rsidR="00C765FC" w:rsidRPr="005010E6">
        <w:rPr>
          <w:rFonts w:cs="Simplified Arabic"/>
          <w:rtl/>
        </w:rPr>
        <w:t xml:space="preserve"> </w:t>
      </w:r>
      <w:r w:rsidR="00C765FC" w:rsidRPr="005010E6">
        <w:rPr>
          <w:rFonts w:cs="Simplified Arabic" w:hint="cs"/>
          <w:rtl/>
        </w:rPr>
        <w:t>المسألة.</w:t>
      </w:r>
    </w:p>
    <w:p w:rsidR="00C765FC" w:rsidRPr="005010E6" w:rsidRDefault="00C765FC" w:rsidP="007648E7">
      <w:pPr>
        <w:pStyle w:val="ListParagraph1"/>
        <w:numPr>
          <w:ilvl w:val="0"/>
          <w:numId w:val="6"/>
        </w:numPr>
        <w:bidi/>
        <w:spacing w:before="0" w:line="216" w:lineRule="auto"/>
        <w:ind w:left="0" w:firstLine="0"/>
        <w:rPr>
          <w:rFonts w:cs="Simplified Arabic"/>
          <w:szCs w:val="24"/>
          <w:rtl/>
        </w:rPr>
      </w:pPr>
      <w:r w:rsidRPr="005010E6">
        <w:rPr>
          <w:rFonts w:cs="Simplified Arabic" w:hint="cs"/>
          <w:szCs w:val="24"/>
          <w:rtl/>
        </w:rPr>
        <w:t>و</w:t>
      </w:r>
      <w:r w:rsidR="007648E7">
        <w:rPr>
          <w:rFonts w:cs="Simplified Arabic" w:hint="cs"/>
          <w:szCs w:val="24"/>
          <w:rtl/>
        </w:rPr>
        <w:t xml:space="preserve">في </w:t>
      </w:r>
      <w:r w:rsidR="008F3A5A">
        <w:rPr>
          <w:rFonts w:cs="Simplified Arabic" w:hint="cs"/>
          <w:szCs w:val="24"/>
          <w:rtl/>
        </w:rPr>
        <w:t>جلست</w:t>
      </w:r>
      <w:r w:rsidRPr="005010E6">
        <w:rPr>
          <w:rFonts w:cs="Simplified Arabic" w:hint="cs"/>
          <w:szCs w:val="24"/>
          <w:rtl/>
        </w:rPr>
        <w:t>ه</w:t>
      </w:r>
      <w:r w:rsidRPr="005010E6">
        <w:rPr>
          <w:rFonts w:cs="Simplified Arabic"/>
          <w:szCs w:val="24"/>
          <w:rtl/>
        </w:rPr>
        <w:t xml:space="preserve"> السادس</w:t>
      </w:r>
      <w:r w:rsidR="008F3A5A">
        <w:rPr>
          <w:rFonts w:cs="Simplified Arabic" w:hint="cs"/>
          <w:szCs w:val="24"/>
          <w:rtl/>
        </w:rPr>
        <w:t>ة</w:t>
      </w:r>
      <w:r w:rsidRPr="005010E6">
        <w:rPr>
          <w:rFonts w:cs="Simplified Arabic"/>
          <w:szCs w:val="24"/>
          <w:rtl/>
        </w:rPr>
        <w:t xml:space="preserve"> عشر</w:t>
      </w:r>
      <w:r w:rsidR="008F3A5A">
        <w:rPr>
          <w:rFonts w:cs="Simplified Arabic" w:hint="cs"/>
          <w:szCs w:val="24"/>
          <w:rtl/>
        </w:rPr>
        <w:t>ة</w:t>
      </w:r>
      <w:r w:rsidRPr="005010E6">
        <w:rPr>
          <w:rFonts w:cs="Simplified Arabic"/>
          <w:szCs w:val="24"/>
          <w:rtl/>
        </w:rPr>
        <w:t>، المعقود</w:t>
      </w:r>
      <w:r w:rsidR="008F3A5A">
        <w:rPr>
          <w:rFonts w:cs="Simplified Arabic" w:hint="cs"/>
          <w:szCs w:val="24"/>
          <w:rtl/>
        </w:rPr>
        <w:t>ة</w:t>
      </w:r>
      <w:r w:rsidRPr="005010E6">
        <w:rPr>
          <w:rFonts w:cs="Simplified Arabic"/>
          <w:szCs w:val="24"/>
          <w:rtl/>
        </w:rPr>
        <w:t xml:space="preserve"> في 27 نوفمبر/تشرين الثاني 2018، </w:t>
      </w:r>
      <w:r w:rsidR="007648E7">
        <w:rPr>
          <w:rFonts w:cs="Simplified Arabic" w:hint="cs"/>
          <w:szCs w:val="24"/>
          <w:rtl/>
        </w:rPr>
        <w:t xml:space="preserve">نظر الفريق العامل </w:t>
      </w:r>
      <w:r w:rsidRPr="005010E6">
        <w:rPr>
          <w:rFonts w:cs="Simplified Arabic"/>
          <w:szCs w:val="24"/>
          <w:rtl/>
        </w:rPr>
        <w:t>في مشروع مقرر مقدم من فريق الاتصال</w:t>
      </w:r>
      <w:r w:rsidRPr="005010E6">
        <w:rPr>
          <w:rFonts w:cs="Simplified Arabic" w:hint="cs"/>
          <w:szCs w:val="24"/>
          <w:rtl/>
        </w:rPr>
        <w:t>.</w:t>
      </w:r>
    </w:p>
    <w:p w:rsidR="00C765FC" w:rsidRPr="005010E6" w:rsidRDefault="007414C9" w:rsidP="00FF7FA5">
      <w:pPr>
        <w:pStyle w:val="ListParagraph1"/>
        <w:numPr>
          <w:ilvl w:val="0"/>
          <w:numId w:val="6"/>
        </w:numPr>
        <w:bidi/>
        <w:spacing w:before="0" w:line="216" w:lineRule="auto"/>
        <w:ind w:left="0" w:firstLine="0"/>
        <w:rPr>
          <w:rFonts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C765FC" w:rsidRPr="005010E6">
        <w:rPr>
          <w:rFonts w:cs="Simplified Arabic"/>
          <w:szCs w:val="24"/>
          <w:rtl/>
        </w:rPr>
        <w:t xml:space="preserve"> الأرجنتين، </w:t>
      </w:r>
      <w:r w:rsidR="00C765FC" w:rsidRPr="005010E6">
        <w:rPr>
          <w:rFonts w:cs="Simplified Arabic" w:hint="cs"/>
          <w:szCs w:val="24"/>
          <w:rtl/>
        </w:rPr>
        <w:t>و</w:t>
      </w:r>
      <w:r w:rsidR="00C765FC" w:rsidRPr="005010E6">
        <w:rPr>
          <w:rFonts w:cs="Simplified Arabic"/>
          <w:szCs w:val="24"/>
          <w:rtl/>
        </w:rPr>
        <w:t xml:space="preserve">البرازيل، </w:t>
      </w:r>
      <w:r w:rsidR="00C765FC" w:rsidRPr="005010E6">
        <w:rPr>
          <w:rFonts w:cs="Simplified Arabic" w:hint="cs"/>
          <w:szCs w:val="24"/>
          <w:rtl/>
        </w:rPr>
        <w:t>و</w:t>
      </w:r>
      <w:r w:rsidR="00C765FC" w:rsidRPr="005010E6">
        <w:rPr>
          <w:rFonts w:cs="Simplified Arabic"/>
          <w:szCs w:val="24"/>
          <w:rtl/>
        </w:rPr>
        <w:t xml:space="preserve">كندا، </w:t>
      </w:r>
      <w:r w:rsidR="00C765FC" w:rsidRPr="005010E6">
        <w:rPr>
          <w:rFonts w:cs="Simplified Arabic" w:hint="cs"/>
          <w:szCs w:val="24"/>
          <w:rtl/>
        </w:rPr>
        <w:t>و</w:t>
      </w:r>
      <w:r w:rsidR="00C765FC" w:rsidRPr="005010E6">
        <w:rPr>
          <w:rFonts w:cs="Simplified Arabic"/>
          <w:szCs w:val="24"/>
          <w:rtl/>
        </w:rPr>
        <w:t xml:space="preserve">كولومبيا، </w:t>
      </w:r>
      <w:r w:rsidR="00C765FC" w:rsidRPr="005010E6">
        <w:rPr>
          <w:rFonts w:cs="Simplified Arabic" w:hint="cs"/>
          <w:szCs w:val="24"/>
          <w:rtl/>
        </w:rPr>
        <w:t>و</w:t>
      </w:r>
      <w:r w:rsidR="00C765FC" w:rsidRPr="005010E6">
        <w:rPr>
          <w:rFonts w:cs="Simplified Arabic"/>
          <w:szCs w:val="24"/>
          <w:rtl/>
        </w:rPr>
        <w:t xml:space="preserve">كوستاريكا، </w:t>
      </w:r>
      <w:r w:rsidR="00C765FC" w:rsidRPr="005010E6">
        <w:rPr>
          <w:rFonts w:cs="Simplified Arabic" w:hint="cs"/>
          <w:szCs w:val="24"/>
          <w:rtl/>
        </w:rPr>
        <w:t>و</w:t>
      </w:r>
      <w:r w:rsidR="00C765FC" w:rsidRPr="005010E6">
        <w:rPr>
          <w:rFonts w:cs="Simplified Arabic"/>
          <w:szCs w:val="24"/>
          <w:rtl/>
        </w:rPr>
        <w:t xml:space="preserve">مصر، </w:t>
      </w:r>
      <w:r w:rsidR="00C765FC" w:rsidRPr="005010E6">
        <w:rPr>
          <w:rFonts w:cs="Simplified Arabic" w:hint="cs"/>
          <w:szCs w:val="24"/>
          <w:rtl/>
        </w:rPr>
        <w:t>و</w:t>
      </w:r>
      <w:r w:rsidR="00C765FC" w:rsidRPr="005010E6">
        <w:rPr>
          <w:rFonts w:cs="Simplified Arabic"/>
          <w:szCs w:val="24"/>
          <w:rtl/>
        </w:rPr>
        <w:t>الاتحاد الأوروبي</w:t>
      </w:r>
      <w:r w:rsidR="00C765FC" w:rsidRPr="005010E6">
        <w:rPr>
          <w:rFonts w:cs="Simplified Arabic" w:hint="cs"/>
          <w:szCs w:val="24"/>
          <w:rtl/>
        </w:rPr>
        <w:t xml:space="preserve"> ودوله الأعضاء الثماني والعشرين</w:t>
      </w:r>
      <w:r w:rsidR="00C765FC" w:rsidRPr="005010E6">
        <w:rPr>
          <w:rFonts w:cs="Simplified Arabic"/>
          <w:szCs w:val="24"/>
          <w:rtl/>
        </w:rPr>
        <w:t xml:space="preserve">، </w:t>
      </w:r>
      <w:r w:rsidR="00C765FC" w:rsidRPr="005010E6">
        <w:rPr>
          <w:rFonts w:cs="Simplified Arabic" w:hint="cs"/>
          <w:szCs w:val="24"/>
          <w:rtl/>
        </w:rPr>
        <w:t>و</w:t>
      </w:r>
      <w:r w:rsidR="00C765FC" w:rsidRPr="005010E6">
        <w:rPr>
          <w:rFonts w:cs="Simplified Arabic"/>
          <w:szCs w:val="24"/>
          <w:rtl/>
        </w:rPr>
        <w:t xml:space="preserve">غابون، </w:t>
      </w:r>
      <w:r w:rsidR="00C765FC" w:rsidRPr="005010E6">
        <w:rPr>
          <w:rFonts w:cs="Simplified Arabic" w:hint="cs"/>
          <w:szCs w:val="24"/>
          <w:rtl/>
        </w:rPr>
        <w:t>و</w:t>
      </w:r>
      <w:r w:rsidR="00C765FC" w:rsidRPr="005010E6">
        <w:rPr>
          <w:rFonts w:cs="Simplified Arabic"/>
          <w:szCs w:val="24"/>
          <w:rtl/>
        </w:rPr>
        <w:t xml:space="preserve">أيسلندا، </w:t>
      </w:r>
      <w:r w:rsidR="00C765FC" w:rsidRPr="005010E6">
        <w:rPr>
          <w:rFonts w:cs="Simplified Arabic" w:hint="cs"/>
          <w:szCs w:val="24"/>
          <w:rtl/>
        </w:rPr>
        <w:t>و</w:t>
      </w:r>
      <w:r w:rsidR="00C765FC" w:rsidRPr="005010E6">
        <w:rPr>
          <w:rFonts w:cs="Simplified Arabic"/>
          <w:szCs w:val="24"/>
          <w:rtl/>
        </w:rPr>
        <w:t xml:space="preserve">إندونيسيا، </w:t>
      </w:r>
      <w:r w:rsidR="00C765FC" w:rsidRPr="005010E6">
        <w:rPr>
          <w:rFonts w:cs="Simplified Arabic" w:hint="cs"/>
          <w:szCs w:val="24"/>
          <w:rtl/>
        </w:rPr>
        <w:t>و</w:t>
      </w:r>
      <w:r w:rsidR="00C765FC" w:rsidRPr="005010E6">
        <w:rPr>
          <w:rFonts w:cs="Simplified Arabic"/>
          <w:szCs w:val="24"/>
          <w:rtl/>
        </w:rPr>
        <w:t xml:space="preserve">اليابان، </w:t>
      </w:r>
      <w:r w:rsidR="00C765FC" w:rsidRPr="005010E6">
        <w:rPr>
          <w:rFonts w:cs="Simplified Arabic" w:hint="cs"/>
          <w:szCs w:val="24"/>
          <w:rtl/>
        </w:rPr>
        <w:t>و</w:t>
      </w:r>
      <w:r w:rsidR="00C765FC" w:rsidRPr="005010E6">
        <w:rPr>
          <w:rFonts w:cs="Simplified Arabic"/>
          <w:szCs w:val="24"/>
          <w:rtl/>
        </w:rPr>
        <w:t xml:space="preserve">نيوزيلندا، </w:t>
      </w:r>
      <w:r w:rsidR="00C765FC" w:rsidRPr="005010E6">
        <w:rPr>
          <w:rFonts w:cs="Simplified Arabic" w:hint="cs"/>
          <w:szCs w:val="24"/>
          <w:rtl/>
        </w:rPr>
        <w:t>و</w:t>
      </w:r>
      <w:r w:rsidR="00C765FC" w:rsidRPr="005010E6">
        <w:rPr>
          <w:rFonts w:cs="Simplified Arabic"/>
          <w:szCs w:val="24"/>
          <w:rtl/>
        </w:rPr>
        <w:t xml:space="preserve">النرويج، </w:t>
      </w:r>
      <w:r w:rsidR="00C765FC" w:rsidRPr="005010E6">
        <w:rPr>
          <w:rFonts w:cs="Simplified Arabic" w:hint="cs"/>
          <w:szCs w:val="24"/>
          <w:rtl/>
        </w:rPr>
        <w:t>و</w:t>
      </w:r>
      <w:r w:rsidR="00C765FC" w:rsidRPr="005010E6">
        <w:rPr>
          <w:rFonts w:cs="Simplified Arabic"/>
          <w:szCs w:val="24"/>
          <w:rtl/>
        </w:rPr>
        <w:t xml:space="preserve">الفلبين، </w:t>
      </w:r>
      <w:r w:rsidR="00C765FC" w:rsidRPr="005010E6">
        <w:rPr>
          <w:rFonts w:cs="Simplified Arabic" w:hint="cs"/>
          <w:szCs w:val="24"/>
          <w:rtl/>
        </w:rPr>
        <w:t>و</w:t>
      </w:r>
      <w:r w:rsidR="00C765FC" w:rsidRPr="005010E6">
        <w:rPr>
          <w:rFonts w:cs="Simplified Arabic"/>
          <w:szCs w:val="24"/>
          <w:rtl/>
        </w:rPr>
        <w:t xml:space="preserve">جمهورية كوريا، </w:t>
      </w:r>
      <w:r w:rsidR="00C765FC" w:rsidRPr="005010E6">
        <w:rPr>
          <w:rFonts w:cs="Simplified Arabic" w:hint="cs"/>
          <w:szCs w:val="24"/>
          <w:rtl/>
        </w:rPr>
        <w:t>و</w:t>
      </w:r>
      <w:r w:rsidR="00C765FC" w:rsidRPr="005010E6">
        <w:rPr>
          <w:rFonts w:cs="Simplified Arabic"/>
          <w:szCs w:val="24"/>
          <w:rtl/>
        </w:rPr>
        <w:t xml:space="preserve">سنغافورة، </w:t>
      </w:r>
      <w:r w:rsidR="00C765FC" w:rsidRPr="005010E6">
        <w:rPr>
          <w:rFonts w:cs="Simplified Arabic" w:hint="cs"/>
          <w:szCs w:val="24"/>
          <w:rtl/>
        </w:rPr>
        <w:t>و</w:t>
      </w:r>
      <w:r w:rsidR="00C765FC" w:rsidRPr="005010E6">
        <w:rPr>
          <w:rFonts w:cs="Simplified Arabic"/>
          <w:szCs w:val="24"/>
          <w:rtl/>
        </w:rPr>
        <w:t xml:space="preserve">جنوب أفريقيا، </w:t>
      </w:r>
      <w:r w:rsidR="00C765FC" w:rsidRPr="005010E6">
        <w:rPr>
          <w:rFonts w:cs="Simplified Arabic" w:hint="cs"/>
          <w:szCs w:val="24"/>
          <w:rtl/>
        </w:rPr>
        <w:t>و</w:t>
      </w:r>
      <w:r w:rsidR="00047450">
        <w:rPr>
          <w:rFonts w:cs="Simplified Arabic"/>
          <w:szCs w:val="24"/>
          <w:rtl/>
        </w:rPr>
        <w:t>تركيا</w:t>
      </w:r>
      <w:r w:rsidR="00C765FC" w:rsidRPr="005010E6">
        <w:rPr>
          <w:rFonts w:cs="Simplified Arabic"/>
          <w:szCs w:val="24"/>
          <w:rtl/>
        </w:rPr>
        <w:t xml:space="preserve"> </w:t>
      </w:r>
      <w:r w:rsidR="00C765FC" w:rsidRPr="005010E6">
        <w:rPr>
          <w:rFonts w:cs="Simplified Arabic" w:hint="cs"/>
          <w:szCs w:val="24"/>
          <w:rtl/>
        </w:rPr>
        <w:t>و</w:t>
      </w:r>
      <w:r w:rsidR="00C765FC" w:rsidRPr="005010E6">
        <w:rPr>
          <w:rFonts w:cs="Simplified Arabic"/>
          <w:szCs w:val="24"/>
          <w:rtl/>
        </w:rPr>
        <w:t>فنزويلا (جمهورية</w:t>
      </w:r>
      <w:r w:rsidR="00C765FC" w:rsidRPr="005010E6">
        <w:rPr>
          <w:rFonts w:cs="Simplified Arabic" w:hint="cs"/>
          <w:szCs w:val="24"/>
          <w:rtl/>
        </w:rPr>
        <w:t xml:space="preserve"> -</w:t>
      </w:r>
      <w:r w:rsidR="00C765FC" w:rsidRPr="005010E6">
        <w:rPr>
          <w:rFonts w:cs="Simplified Arabic"/>
          <w:szCs w:val="24"/>
          <w:rtl/>
        </w:rPr>
        <w:t xml:space="preserve"> </w:t>
      </w:r>
      <w:r w:rsidR="00C765FC" w:rsidRPr="005010E6">
        <w:rPr>
          <w:rFonts w:cs="Simplified Arabic" w:hint="cs"/>
          <w:szCs w:val="24"/>
          <w:rtl/>
        </w:rPr>
        <w:t>ال</w:t>
      </w:r>
      <w:r w:rsidR="00C765FC" w:rsidRPr="005010E6">
        <w:rPr>
          <w:rFonts w:cs="Simplified Arabic"/>
          <w:szCs w:val="24"/>
          <w:rtl/>
        </w:rPr>
        <w:t>بوليفارية)</w:t>
      </w:r>
      <w:r w:rsidR="00C765FC" w:rsidRPr="005010E6">
        <w:rPr>
          <w:rFonts w:cs="Simplified Arabic" w:hint="cs"/>
          <w:szCs w:val="24"/>
          <w:rtl/>
        </w:rPr>
        <w:t>.</w:t>
      </w:r>
    </w:p>
    <w:p w:rsidR="00C765FC" w:rsidRPr="005010E6" w:rsidRDefault="00C765FC" w:rsidP="00FF7FA5">
      <w:pPr>
        <w:pStyle w:val="ListParagraph1"/>
        <w:numPr>
          <w:ilvl w:val="0"/>
          <w:numId w:val="6"/>
        </w:numPr>
        <w:bidi/>
        <w:spacing w:before="0" w:line="216" w:lineRule="auto"/>
        <w:ind w:left="0" w:firstLine="0"/>
        <w:rPr>
          <w:rFonts w:cs="Simplified Arabic"/>
          <w:szCs w:val="24"/>
          <w:rtl/>
        </w:rPr>
      </w:pPr>
      <w:r w:rsidRPr="005010E6">
        <w:rPr>
          <w:rFonts w:cs="Simplified Arabic" w:hint="cs"/>
          <w:szCs w:val="24"/>
          <w:rtl/>
        </w:rPr>
        <w:t>و</w:t>
      </w:r>
      <w:r w:rsidRPr="005010E6">
        <w:rPr>
          <w:rFonts w:cs="Simplified Arabic"/>
          <w:szCs w:val="24"/>
          <w:rtl/>
        </w:rPr>
        <w:t>قالت الرئيسة إنها ستعد مشروع مقرر منقح ل</w:t>
      </w:r>
      <w:r w:rsidRPr="005010E6">
        <w:rPr>
          <w:rFonts w:cs="Simplified Arabic" w:hint="cs"/>
          <w:szCs w:val="24"/>
          <w:rtl/>
        </w:rPr>
        <w:t>ي</w:t>
      </w:r>
      <w:r w:rsidRPr="005010E6">
        <w:rPr>
          <w:rFonts w:cs="Simplified Arabic"/>
          <w:szCs w:val="24"/>
          <w:rtl/>
        </w:rPr>
        <w:t>نظر</w:t>
      </w:r>
      <w:r w:rsidRPr="005010E6">
        <w:rPr>
          <w:rFonts w:cs="Simplified Arabic" w:hint="cs"/>
          <w:szCs w:val="24"/>
          <w:rtl/>
        </w:rPr>
        <w:t xml:space="preserve"> فيه</w:t>
      </w:r>
      <w:r w:rsidRPr="005010E6">
        <w:rPr>
          <w:rFonts w:cs="Simplified Arabic"/>
          <w:szCs w:val="24"/>
          <w:rtl/>
        </w:rPr>
        <w:t xml:space="preserve"> الفريق العامل</w:t>
      </w:r>
      <w:r w:rsidRPr="005010E6">
        <w:rPr>
          <w:rFonts w:cs="Simplified Arabic" w:hint="cs"/>
          <w:szCs w:val="24"/>
          <w:rtl/>
        </w:rPr>
        <w:t>.</w:t>
      </w:r>
    </w:p>
    <w:p w:rsidR="00C765FC" w:rsidRPr="005010E6" w:rsidRDefault="00C765FC" w:rsidP="00047450">
      <w:pPr>
        <w:pStyle w:val="ListParagraph1"/>
        <w:numPr>
          <w:ilvl w:val="0"/>
          <w:numId w:val="6"/>
        </w:numPr>
        <w:bidi/>
        <w:spacing w:before="0" w:line="216" w:lineRule="auto"/>
        <w:ind w:left="0" w:firstLine="0"/>
        <w:rPr>
          <w:rFonts w:cs="Simplified Arabic"/>
          <w:szCs w:val="24"/>
          <w:rtl/>
        </w:rPr>
      </w:pPr>
      <w:r w:rsidRPr="005010E6">
        <w:rPr>
          <w:rFonts w:cs="Simplified Arabic" w:hint="cs"/>
          <w:szCs w:val="24"/>
          <w:rtl/>
        </w:rPr>
        <w:t>و</w:t>
      </w:r>
      <w:r w:rsidR="008F3A5A">
        <w:rPr>
          <w:rFonts w:cs="Simplified Arabic" w:hint="cs"/>
          <w:szCs w:val="24"/>
          <w:rtl/>
        </w:rPr>
        <w:t>في جلست</w:t>
      </w:r>
      <w:r w:rsidRPr="005010E6">
        <w:rPr>
          <w:rFonts w:cs="Simplified Arabic" w:hint="cs"/>
          <w:szCs w:val="24"/>
          <w:rtl/>
        </w:rPr>
        <w:t>ه</w:t>
      </w:r>
      <w:r w:rsidRPr="005010E6">
        <w:rPr>
          <w:rFonts w:cs="Simplified Arabic"/>
          <w:szCs w:val="24"/>
          <w:rtl/>
        </w:rPr>
        <w:t xml:space="preserve"> السابع</w:t>
      </w:r>
      <w:r w:rsidR="008F3A5A">
        <w:rPr>
          <w:rFonts w:cs="Simplified Arabic" w:hint="cs"/>
          <w:szCs w:val="24"/>
          <w:rtl/>
        </w:rPr>
        <w:t>ة</w:t>
      </w:r>
      <w:r w:rsidRPr="005010E6">
        <w:rPr>
          <w:rFonts w:cs="Simplified Arabic"/>
          <w:szCs w:val="24"/>
          <w:rtl/>
        </w:rPr>
        <w:t xml:space="preserve"> عشر</w:t>
      </w:r>
      <w:r w:rsidR="008F3A5A">
        <w:rPr>
          <w:rFonts w:cs="Simplified Arabic" w:hint="cs"/>
          <w:szCs w:val="24"/>
          <w:rtl/>
        </w:rPr>
        <w:t>ة</w:t>
      </w:r>
      <w:r w:rsidRPr="005010E6">
        <w:rPr>
          <w:rFonts w:cs="Simplified Arabic"/>
          <w:szCs w:val="24"/>
          <w:rtl/>
        </w:rPr>
        <w:t>، المعقود</w:t>
      </w:r>
      <w:r w:rsidR="008F3A5A">
        <w:rPr>
          <w:rFonts w:cs="Simplified Arabic" w:hint="cs"/>
          <w:szCs w:val="24"/>
          <w:rtl/>
        </w:rPr>
        <w:t>ة</w:t>
      </w:r>
      <w:r w:rsidRPr="005010E6">
        <w:rPr>
          <w:rFonts w:cs="Simplified Arabic"/>
          <w:szCs w:val="24"/>
          <w:rtl/>
        </w:rPr>
        <w:t xml:space="preserve"> في 28 نوفمبر/تشرين الثاني، </w:t>
      </w:r>
      <w:r w:rsidR="00047450">
        <w:rPr>
          <w:rFonts w:cs="Simplified Arabic" w:hint="cs"/>
          <w:szCs w:val="24"/>
          <w:rtl/>
        </w:rPr>
        <w:t xml:space="preserve">نظر الفريق العامل </w:t>
      </w:r>
      <w:r w:rsidRPr="005010E6">
        <w:rPr>
          <w:rFonts w:cs="Simplified Arabic"/>
          <w:szCs w:val="24"/>
          <w:rtl/>
        </w:rPr>
        <w:t xml:space="preserve">في </w:t>
      </w:r>
      <w:r w:rsidRPr="005010E6">
        <w:rPr>
          <w:rFonts w:cs="Simplified Arabic" w:hint="cs"/>
          <w:szCs w:val="24"/>
          <w:rtl/>
        </w:rPr>
        <w:t>البند الفرعي مرة أخرى</w:t>
      </w:r>
      <w:r w:rsidRPr="005010E6">
        <w:rPr>
          <w:rFonts w:cs="Simplified Arabic"/>
          <w:szCs w:val="24"/>
          <w:rtl/>
        </w:rPr>
        <w:t>.</w:t>
      </w:r>
    </w:p>
    <w:p w:rsidR="00C765FC" w:rsidRPr="005010E6" w:rsidRDefault="007414C9" w:rsidP="00FF7FA5">
      <w:pPr>
        <w:pStyle w:val="ListParagraph1"/>
        <w:numPr>
          <w:ilvl w:val="0"/>
          <w:numId w:val="6"/>
        </w:numPr>
        <w:bidi/>
        <w:spacing w:before="0" w:line="216" w:lineRule="auto"/>
        <w:ind w:left="0" w:firstLine="0"/>
        <w:rPr>
          <w:rFonts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C765FC" w:rsidRPr="005010E6">
        <w:rPr>
          <w:rFonts w:cs="Simplified Arabic"/>
          <w:szCs w:val="24"/>
          <w:rtl/>
        </w:rPr>
        <w:t xml:space="preserve"> الأرجنتين، ومصر</w:t>
      </w:r>
      <w:r w:rsidR="00C765FC" w:rsidRPr="005010E6">
        <w:rPr>
          <w:rFonts w:cs="Simplified Arabic" w:hint="cs"/>
          <w:szCs w:val="24"/>
          <w:rtl/>
        </w:rPr>
        <w:t>،</w:t>
      </w:r>
      <w:r w:rsidR="00C765FC" w:rsidRPr="005010E6">
        <w:rPr>
          <w:rFonts w:cs="Simplified Arabic"/>
          <w:szCs w:val="24"/>
          <w:rtl/>
        </w:rPr>
        <w:t xml:space="preserve"> وأيسلندا</w:t>
      </w:r>
      <w:r w:rsidR="00C765FC" w:rsidRPr="005010E6">
        <w:rPr>
          <w:rFonts w:cs="Simplified Arabic" w:hint="cs"/>
          <w:szCs w:val="24"/>
          <w:rtl/>
        </w:rPr>
        <w:t>،</w:t>
      </w:r>
      <w:r w:rsidR="00C765FC" w:rsidRPr="005010E6">
        <w:rPr>
          <w:rFonts w:cs="Simplified Arabic"/>
          <w:szCs w:val="24"/>
          <w:rtl/>
        </w:rPr>
        <w:t xml:space="preserve"> وجمهورية كوريا</w:t>
      </w:r>
      <w:r w:rsidR="00C765FC" w:rsidRPr="005010E6">
        <w:rPr>
          <w:rFonts w:cs="Simplified Arabic" w:hint="cs"/>
          <w:szCs w:val="24"/>
          <w:rtl/>
        </w:rPr>
        <w:t>،</w:t>
      </w:r>
      <w:r w:rsidR="00C765FC" w:rsidRPr="005010E6">
        <w:rPr>
          <w:rFonts w:cs="Simplified Arabic"/>
          <w:szCs w:val="24"/>
          <w:rtl/>
        </w:rPr>
        <w:t xml:space="preserve"> وسنغافورة</w:t>
      </w:r>
      <w:r w:rsidR="00C765FC" w:rsidRPr="005010E6">
        <w:rPr>
          <w:rFonts w:cs="Simplified Arabic" w:hint="cs"/>
          <w:szCs w:val="24"/>
          <w:rtl/>
        </w:rPr>
        <w:t>،</w:t>
      </w:r>
      <w:r w:rsidR="00C765FC" w:rsidRPr="005010E6">
        <w:rPr>
          <w:rFonts w:cs="Simplified Arabic"/>
          <w:szCs w:val="24"/>
          <w:rtl/>
        </w:rPr>
        <w:t xml:space="preserve"> وجنوب أفريقيا وتركيا</w:t>
      </w:r>
      <w:r w:rsidR="00C765FC" w:rsidRPr="005010E6">
        <w:rPr>
          <w:rFonts w:cs="Simplified Arabic" w:hint="cs"/>
          <w:szCs w:val="24"/>
          <w:rtl/>
        </w:rPr>
        <w:t>.</w:t>
      </w:r>
    </w:p>
    <w:p w:rsidR="00C765FC" w:rsidRPr="005010E6" w:rsidRDefault="00C765FC" w:rsidP="00FF7FA5">
      <w:pPr>
        <w:pStyle w:val="ListParagraph1"/>
        <w:numPr>
          <w:ilvl w:val="0"/>
          <w:numId w:val="6"/>
        </w:numPr>
        <w:bidi/>
        <w:spacing w:before="0" w:line="216" w:lineRule="auto"/>
        <w:ind w:left="0" w:firstLine="0"/>
        <w:rPr>
          <w:rFonts w:cs="Simplified Arabic"/>
          <w:szCs w:val="24"/>
          <w:rtl/>
        </w:rPr>
      </w:pPr>
      <w:r w:rsidRPr="005010E6">
        <w:rPr>
          <w:rFonts w:cs="Simplified Arabic" w:hint="cs"/>
          <w:szCs w:val="24"/>
          <w:rtl/>
        </w:rPr>
        <w:t>و</w:t>
      </w:r>
      <w:r w:rsidRPr="005010E6">
        <w:rPr>
          <w:rFonts w:cs="Simplified Arabic"/>
          <w:szCs w:val="24"/>
          <w:rtl/>
        </w:rPr>
        <w:t>أنشأ</w:t>
      </w:r>
      <w:r w:rsidRPr="005010E6">
        <w:rPr>
          <w:rFonts w:cs="Simplified Arabic" w:hint="cs"/>
          <w:szCs w:val="24"/>
          <w:rtl/>
        </w:rPr>
        <w:t>ت</w:t>
      </w:r>
      <w:r w:rsidRPr="005010E6">
        <w:rPr>
          <w:rFonts w:cs="Simplified Arabic"/>
          <w:szCs w:val="24"/>
          <w:rtl/>
        </w:rPr>
        <w:t xml:space="preserve"> الرئيس</w:t>
      </w:r>
      <w:r w:rsidRPr="005010E6">
        <w:rPr>
          <w:rFonts w:cs="Simplified Arabic" w:hint="cs"/>
          <w:szCs w:val="24"/>
          <w:rtl/>
        </w:rPr>
        <w:t>ة</w:t>
      </w:r>
      <w:r w:rsidRPr="005010E6">
        <w:rPr>
          <w:rFonts w:cs="Simplified Arabic"/>
          <w:szCs w:val="24"/>
          <w:rtl/>
        </w:rPr>
        <w:t xml:space="preserve"> مجموعة أصدقاء الرئيس</w:t>
      </w:r>
      <w:r w:rsidR="00047450">
        <w:rPr>
          <w:rFonts w:cs="Simplified Arabic" w:hint="cs"/>
          <w:szCs w:val="24"/>
          <w:rtl/>
        </w:rPr>
        <w:t>ة</w:t>
      </w:r>
      <w:r w:rsidRPr="005010E6">
        <w:rPr>
          <w:rFonts w:cs="Simplified Arabic"/>
          <w:szCs w:val="24"/>
          <w:rtl/>
        </w:rPr>
        <w:t>، بتيسير من السيد آلان د</w:t>
      </w:r>
      <w:r w:rsidRPr="005010E6">
        <w:rPr>
          <w:rFonts w:cs="Simplified Arabic" w:hint="cs"/>
          <w:szCs w:val="24"/>
          <w:rtl/>
        </w:rPr>
        <w:t>و</w:t>
      </w:r>
      <w:r w:rsidRPr="005010E6">
        <w:rPr>
          <w:rFonts w:cs="Simplified Arabic"/>
          <w:szCs w:val="24"/>
          <w:rtl/>
        </w:rPr>
        <w:t xml:space="preserve"> كومارمون (سيشيل)، للتوصل إلى اتفاق بشأن القضايا المعل</w:t>
      </w:r>
      <w:r w:rsidRPr="005010E6">
        <w:rPr>
          <w:rFonts w:cs="Simplified Arabic" w:hint="cs"/>
          <w:szCs w:val="24"/>
          <w:rtl/>
        </w:rPr>
        <w:t>َّ</w:t>
      </w:r>
      <w:r w:rsidRPr="005010E6">
        <w:rPr>
          <w:rFonts w:cs="Simplified Arabic"/>
          <w:szCs w:val="24"/>
          <w:rtl/>
        </w:rPr>
        <w:t>قة</w:t>
      </w:r>
      <w:r w:rsidRPr="005010E6">
        <w:rPr>
          <w:rFonts w:cs="Simplified Arabic" w:hint="cs"/>
          <w:szCs w:val="24"/>
          <w:rtl/>
        </w:rPr>
        <w:t>.</w:t>
      </w:r>
    </w:p>
    <w:p w:rsidR="00C765FC" w:rsidRPr="005010E6" w:rsidRDefault="00C765FC" w:rsidP="00FF7FA5">
      <w:pPr>
        <w:pStyle w:val="ListParagraph1"/>
        <w:numPr>
          <w:ilvl w:val="0"/>
          <w:numId w:val="6"/>
        </w:numPr>
        <w:bidi/>
        <w:spacing w:before="0" w:line="216" w:lineRule="auto"/>
        <w:ind w:left="0" w:firstLine="0"/>
        <w:rPr>
          <w:rFonts w:cs="Simplified Arabic"/>
          <w:szCs w:val="24"/>
          <w:rtl/>
        </w:rPr>
      </w:pPr>
      <w:r w:rsidRPr="005010E6">
        <w:rPr>
          <w:rFonts w:cs="Simplified Arabic" w:hint="cs"/>
          <w:szCs w:val="24"/>
          <w:rtl/>
        </w:rPr>
        <w:t>و</w:t>
      </w:r>
      <w:r w:rsidR="008F3A5A">
        <w:rPr>
          <w:rFonts w:cs="Simplified Arabic" w:hint="cs"/>
          <w:szCs w:val="24"/>
          <w:rtl/>
        </w:rPr>
        <w:t>في جلست</w:t>
      </w:r>
      <w:r w:rsidRPr="005010E6">
        <w:rPr>
          <w:rFonts w:cs="Simplified Arabic" w:hint="cs"/>
          <w:szCs w:val="24"/>
          <w:rtl/>
        </w:rPr>
        <w:t>ه</w:t>
      </w:r>
      <w:r w:rsidRPr="005010E6">
        <w:rPr>
          <w:rFonts w:cs="Simplified Arabic"/>
          <w:szCs w:val="24"/>
          <w:rtl/>
        </w:rPr>
        <w:t xml:space="preserve"> ال</w:t>
      </w:r>
      <w:r w:rsidRPr="005010E6">
        <w:rPr>
          <w:rFonts w:cs="Simplified Arabic" w:hint="cs"/>
          <w:szCs w:val="24"/>
          <w:rtl/>
        </w:rPr>
        <w:t>ثامن</w:t>
      </w:r>
      <w:r w:rsidR="008F3A5A">
        <w:rPr>
          <w:rFonts w:cs="Simplified Arabic" w:hint="cs"/>
          <w:szCs w:val="24"/>
          <w:rtl/>
        </w:rPr>
        <w:t>ة</w:t>
      </w:r>
      <w:r w:rsidRPr="005010E6">
        <w:rPr>
          <w:rFonts w:cs="Simplified Arabic"/>
          <w:szCs w:val="24"/>
          <w:rtl/>
        </w:rPr>
        <w:t xml:space="preserve"> عشر</w:t>
      </w:r>
      <w:r w:rsidR="008F3A5A">
        <w:rPr>
          <w:rFonts w:cs="Simplified Arabic" w:hint="cs"/>
          <w:szCs w:val="24"/>
          <w:rtl/>
        </w:rPr>
        <w:t>ة</w:t>
      </w:r>
      <w:r w:rsidRPr="005010E6">
        <w:rPr>
          <w:rFonts w:cs="Simplified Arabic"/>
          <w:szCs w:val="24"/>
          <w:rtl/>
        </w:rPr>
        <w:t>، المعقود</w:t>
      </w:r>
      <w:r w:rsidR="008F3A5A">
        <w:rPr>
          <w:rFonts w:cs="Simplified Arabic" w:hint="cs"/>
          <w:szCs w:val="24"/>
          <w:rtl/>
        </w:rPr>
        <w:t>ة</w:t>
      </w:r>
      <w:r w:rsidRPr="005010E6">
        <w:rPr>
          <w:rFonts w:cs="Simplified Arabic"/>
          <w:szCs w:val="24"/>
          <w:rtl/>
        </w:rPr>
        <w:t xml:space="preserve"> في 28 نوفمبر/تشرين الثاني، </w:t>
      </w:r>
      <w:r w:rsidR="00047450">
        <w:rPr>
          <w:rFonts w:cs="Simplified Arabic" w:hint="cs"/>
          <w:szCs w:val="24"/>
          <w:rtl/>
        </w:rPr>
        <w:t xml:space="preserve">نظر الفريق العامل </w:t>
      </w:r>
      <w:r w:rsidRPr="005010E6">
        <w:rPr>
          <w:rFonts w:cs="Simplified Arabic"/>
          <w:szCs w:val="24"/>
          <w:rtl/>
        </w:rPr>
        <w:t>في مشروع المقرر المنقح المقدم من الرئيس</w:t>
      </w:r>
      <w:r w:rsidRPr="005010E6">
        <w:rPr>
          <w:rFonts w:cs="Simplified Arabic" w:hint="cs"/>
          <w:szCs w:val="24"/>
          <w:rtl/>
        </w:rPr>
        <w:t>ة</w:t>
      </w:r>
      <w:r w:rsidRPr="005010E6">
        <w:rPr>
          <w:rFonts w:cs="Simplified Arabic"/>
          <w:szCs w:val="24"/>
          <w:rtl/>
        </w:rPr>
        <w:t>.</w:t>
      </w:r>
    </w:p>
    <w:p w:rsidR="00C765FC" w:rsidRDefault="00C765FC" w:rsidP="00FF7FA5">
      <w:pPr>
        <w:pStyle w:val="ListParagraph"/>
        <w:numPr>
          <w:ilvl w:val="0"/>
          <w:numId w:val="6"/>
        </w:numPr>
        <w:bidi/>
        <w:spacing w:line="216" w:lineRule="auto"/>
        <w:ind w:left="0" w:firstLine="0"/>
        <w:rPr>
          <w:rFonts w:cs="Simplified Arabic"/>
        </w:rPr>
      </w:pPr>
      <w:r>
        <w:rPr>
          <w:rFonts w:cs="Simplified Arabic" w:hint="cs"/>
          <w:rtl/>
        </w:rPr>
        <w:lastRenderedPageBreak/>
        <w:t xml:space="preserve">وأدلى ببيانات ممثلو الأرجنتين، والبرازيل، وكندا، وكولومبيا، ومصر، والاتحاد الأوروبي ودوله الأعضاء الثماني والعشرين، وغابون، وآيسلندا، وإندونيسيا، والمكسيك، ونيوزيلندا، والفلبين، وجمهورية كوريا، وسنغافورة، وجنوب أفريقيا، وتركيا وفنزويلا (جمهورية </w:t>
      </w:r>
      <w:r>
        <w:rPr>
          <w:rFonts w:cs="Simplified Arabic"/>
          <w:rtl/>
        </w:rPr>
        <w:t>–</w:t>
      </w:r>
      <w:r>
        <w:rPr>
          <w:rFonts w:cs="Simplified Arabic" w:hint="cs"/>
          <w:rtl/>
        </w:rPr>
        <w:t xml:space="preserve"> البوليفارية).</w:t>
      </w:r>
    </w:p>
    <w:p w:rsidR="00C765FC" w:rsidRDefault="00C765FC" w:rsidP="00FF7FA5">
      <w:pPr>
        <w:pStyle w:val="ListParagraph"/>
        <w:numPr>
          <w:ilvl w:val="0"/>
          <w:numId w:val="6"/>
        </w:numPr>
        <w:bidi/>
        <w:spacing w:line="216" w:lineRule="auto"/>
        <w:ind w:left="0" w:firstLine="0"/>
        <w:rPr>
          <w:rFonts w:cs="Simplified Arabic"/>
        </w:rPr>
      </w:pPr>
      <w:r>
        <w:rPr>
          <w:rFonts w:cs="Simplified Arabic" w:hint="cs"/>
          <w:rtl/>
        </w:rPr>
        <w:t>وعقب تبادل الآراء، تمت الموافقة على مشروع المقرر، بصيغته المعدلة شفويا</w:t>
      </w:r>
      <w:r w:rsidR="007414C9">
        <w:rPr>
          <w:rFonts w:cs="Simplified Arabic" w:hint="cs"/>
          <w:rtl/>
        </w:rPr>
        <w:t>ً</w:t>
      </w:r>
      <w:r>
        <w:rPr>
          <w:rFonts w:cs="Simplified Arabic" w:hint="cs"/>
          <w:rtl/>
        </w:rPr>
        <w:t xml:space="preserve">، لإحالته إلى الجلسة العامة بوصفه مشروع المقرر </w:t>
      </w:r>
      <w:r w:rsidRPr="00870C63">
        <w:t>CBD/</w:t>
      </w:r>
      <w:r w:rsidRPr="00870C63">
        <w:rPr>
          <w:lang w:val="en-US"/>
        </w:rPr>
        <w:t>COP</w:t>
      </w:r>
      <w:r w:rsidRPr="00870C63">
        <w:t>/14/L</w:t>
      </w:r>
      <w:r w:rsidR="00652C74">
        <w:rPr>
          <w:lang w:val="en-US"/>
        </w:rPr>
        <w:t>.</w:t>
      </w:r>
      <w:r w:rsidR="005010E6">
        <w:rPr>
          <w:lang w:val="en-US"/>
        </w:rPr>
        <w:t>34</w:t>
      </w:r>
      <w:r w:rsidR="00D50BC6" w:rsidRPr="00C765FC">
        <w:rPr>
          <w:rFonts w:cs="Simplified Arabic" w:hint="cs"/>
          <w:rtl/>
        </w:rPr>
        <w:t>.</w:t>
      </w:r>
    </w:p>
    <w:p w:rsidR="00D50BC6" w:rsidRDefault="00047450" w:rsidP="00047450">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نظر مؤتمر الأطراف في مشروع المقرر </w:t>
      </w:r>
      <w:r w:rsidRPr="007F48C2">
        <w:t>CBD/COP/14/L.</w:t>
      </w:r>
      <w:r>
        <w:t>34</w:t>
      </w:r>
      <w:r>
        <w:rPr>
          <w:rFonts w:cs="Simplified Arabic" w:hint="cs"/>
          <w:rtl/>
        </w:rPr>
        <w:t>.</w:t>
      </w:r>
    </w:p>
    <w:p w:rsidR="00CF3534" w:rsidRDefault="00C616A7" w:rsidP="00047450">
      <w:pPr>
        <w:pStyle w:val="ListParagraph"/>
        <w:numPr>
          <w:ilvl w:val="0"/>
          <w:numId w:val="6"/>
        </w:numPr>
        <w:bidi/>
        <w:spacing w:line="216" w:lineRule="auto"/>
        <w:ind w:left="0" w:firstLine="0"/>
        <w:rPr>
          <w:rFonts w:cs="Simplified Arabic"/>
        </w:rPr>
      </w:pPr>
      <w:r>
        <w:rPr>
          <w:rFonts w:cs="Simplified Arabic" w:hint="cs"/>
          <w:rtl/>
        </w:rPr>
        <w:t>وأدلى ببيانين ممثلا المغرب وتركيا.</w:t>
      </w:r>
    </w:p>
    <w:p w:rsidR="00CF3534" w:rsidRDefault="00C616A7" w:rsidP="00CF3534">
      <w:pPr>
        <w:pStyle w:val="ListParagraph"/>
        <w:numPr>
          <w:ilvl w:val="0"/>
          <w:numId w:val="6"/>
        </w:numPr>
        <w:bidi/>
        <w:spacing w:line="216" w:lineRule="auto"/>
        <w:ind w:left="0" w:firstLine="0"/>
        <w:rPr>
          <w:rFonts w:cs="Simplified Arabic"/>
        </w:rPr>
      </w:pPr>
      <w:r>
        <w:rPr>
          <w:rFonts w:cs="Simplified Arabic" w:hint="cs"/>
          <w:rtl/>
        </w:rPr>
        <w:t xml:space="preserve">ونظر مؤتمر الأطراف في مشروع المقرر </w:t>
      </w:r>
      <w:r w:rsidRPr="007F48C2">
        <w:t>CBD/COP/14/L.</w:t>
      </w:r>
      <w:r>
        <w:t>34</w:t>
      </w:r>
      <w:r>
        <w:rPr>
          <w:rFonts w:cs="Simplified Arabic" w:hint="cs"/>
          <w:rtl/>
        </w:rPr>
        <w:t xml:space="preserve"> في جلسته العامة الثامنة، المنعقدة في 29 نوفمبر/تشرين الثاني 2018.</w:t>
      </w:r>
    </w:p>
    <w:p w:rsidR="00CF3534" w:rsidRDefault="00C616A7" w:rsidP="00CF3534">
      <w:pPr>
        <w:pStyle w:val="ListParagraph"/>
        <w:numPr>
          <w:ilvl w:val="0"/>
          <w:numId w:val="6"/>
        </w:numPr>
        <w:bidi/>
        <w:spacing w:line="216" w:lineRule="auto"/>
        <w:ind w:left="0" w:firstLine="0"/>
        <w:rPr>
          <w:rFonts w:cs="Simplified Arabic"/>
        </w:rPr>
      </w:pPr>
      <w:r>
        <w:rPr>
          <w:rFonts w:cs="Simplified Arabic" w:hint="cs"/>
          <w:rtl/>
        </w:rPr>
        <w:t xml:space="preserve">وأدلى ببيانات ممثلو الأرجنتين، والبرازيل، والصين، وكولومبيا، وإندونيسيا، والمغرب، والفلبين، وتركيا وفنزويلا (جمهورية </w:t>
      </w:r>
      <w:r>
        <w:rPr>
          <w:rFonts w:cs="Simplified Arabic"/>
          <w:rtl/>
        </w:rPr>
        <w:t>–</w:t>
      </w:r>
      <w:r>
        <w:rPr>
          <w:rFonts w:cs="Simplified Arabic" w:hint="cs"/>
          <w:rtl/>
        </w:rPr>
        <w:t xml:space="preserve"> البوليفارية).</w:t>
      </w:r>
    </w:p>
    <w:p w:rsidR="00CF3534" w:rsidRDefault="00C616A7" w:rsidP="0004425E">
      <w:pPr>
        <w:pStyle w:val="ListParagraph"/>
        <w:numPr>
          <w:ilvl w:val="0"/>
          <w:numId w:val="6"/>
        </w:numPr>
        <w:bidi/>
        <w:spacing w:line="216" w:lineRule="auto"/>
        <w:ind w:left="0" w:firstLine="0"/>
        <w:rPr>
          <w:rFonts w:cs="Simplified Arabic"/>
        </w:rPr>
      </w:pPr>
      <w:r>
        <w:rPr>
          <w:rFonts w:cs="Simplified Arabic" w:hint="cs"/>
          <w:rtl/>
        </w:rPr>
        <w:t xml:space="preserve">وطلب ممثل عن جمهورية كوريا، طالبا </w:t>
      </w:r>
      <w:r w:rsidR="0004425E">
        <w:rPr>
          <w:rFonts w:cs="Simplified Arabic" w:hint="cs"/>
          <w:rtl/>
        </w:rPr>
        <w:t>إدراج</w:t>
      </w:r>
      <w:r>
        <w:rPr>
          <w:rFonts w:cs="Simplified Arabic" w:hint="cs"/>
          <w:rtl/>
        </w:rPr>
        <w:t xml:space="preserve"> بيانه في التقرير، أن تأخذ الأمينة التنفيذية في الحسبان المناقشة الجارية والشواغل التي أثارتها الأطراف بخصوص العملية الجارية لتقديم نتائج العمليات الوطنية إلى مستودع المناطق البحرية المهمة إيكو</w:t>
      </w:r>
      <w:r w:rsidR="00860725">
        <w:rPr>
          <w:rFonts w:cs="Simplified Arabic" w:hint="cs"/>
          <w:rtl/>
        </w:rPr>
        <w:t xml:space="preserve">لوجياً أو بيولوجياً، </w:t>
      </w:r>
      <w:r>
        <w:rPr>
          <w:rFonts w:cs="Simplified Arabic" w:hint="cs"/>
          <w:rtl/>
        </w:rPr>
        <w:t>عند استلام الأمانة للتقديمات.</w:t>
      </w:r>
    </w:p>
    <w:p w:rsidR="00CF3534" w:rsidRDefault="004D2E99" w:rsidP="005B3133">
      <w:pPr>
        <w:pStyle w:val="ListParagraph"/>
        <w:numPr>
          <w:ilvl w:val="0"/>
          <w:numId w:val="6"/>
        </w:numPr>
        <w:bidi/>
        <w:spacing w:line="216" w:lineRule="auto"/>
        <w:ind w:left="0" w:firstLine="0"/>
        <w:rPr>
          <w:rFonts w:cs="Simplified Arabic"/>
        </w:rPr>
      </w:pPr>
      <w:r>
        <w:rPr>
          <w:rFonts w:cs="Simplified Arabic" w:hint="cs"/>
          <w:rtl/>
        </w:rPr>
        <w:t xml:space="preserve">وقالت ممثلة عن سنغافورة، </w:t>
      </w:r>
      <w:r w:rsidR="005B3133">
        <w:rPr>
          <w:rFonts w:cs="Simplified Arabic" w:hint="cs"/>
          <w:rtl/>
        </w:rPr>
        <w:t>طالبة إدراج</w:t>
      </w:r>
      <w:r>
        <w:rPr>
          <w:rFonts w:cs="Simplified Arabic" w:hint="cs"/>
          <w:rtl/>
        </w:rPr>
        <w:t xml:space="preserve"> بيانها في التقرير، إنه كان من الصعب التوصل إلى توافق في الآراء في المشاورات حول أوصاف المناطق البحرية المهمة إيكولوجياً أو بيولوجياً على الرغم من المفاوضات المستفيضة. غير أنه من الواضح أن الصياغة في المقرر لم تضف أو تحيد عن الالتزامات القائمة بموجب القانون الدولي، بما في ذلك اتفاقية الأمم المتحدة لقانون البحار، لكي تتشاور الدول أو تتعاون.</w:t>
      </w:r>
    </w:p>
    <w:p w:rsidR="00CF3534" w:rsidRPr="00860725" w:rsidRDefault="004D2E99" w:rsidP="005B3133">
      <w:pPr>
        <w:pStyle w:val="ListParagraph"/>
        <w:numPr>
          <w:ilvl w:val="0"/>
          <w:numId w:val="6"/>
        </w:numPr>
        <w:bidi/>
        <w:spacing w:line="216" w:lineRule="auto"/>
        <w:ind w:left="0" w:firstLine="0"/>
        <w:rPr>
          <w:rFonts w:ascii="Simplified Arabic" w:hAnsi="Simplified Arabic" w:cs="Simplified Arabic"/>
          <w:sz w:val="24"/>
        </w:rPr>
      </w:pPr>
      <w:r>
        <w:rPr>
          <w:rFonts w:cs="Simplified Arabic" w:hint="cs"/>
          <w:rtl/>
        </w:rPr>
        <w:t xml:space="preserve">وقالت ممثلة عن الاتحاد الأوروبي ودوله الأعضاء الثماني والعشرين، </w:t>
      </w:r>
      <w:r w:rsidR="005B3133">
        <w:rPr>
          <w:rFonts w:cs="Simplified Arabic" w:hint="cs"/>
          <w:rtl/>
        </w:rPr>
        <w:t>طالبة</w:t>
      </w:r>
      <w:r>
        <w:rPr>
          <w:rFonts w:cs="Simplified Arabic" w:hint="cs"/>
          <w:rtl/>
        </w:rPr>
        <w:t xml:space="preserve"> </w:t>
      </w:r>
      <w:r w:rsidR="005B3133">
        <w:rPr>
          <w:rFonts w:cs="Simplified Arabic" w:hint="cs"/>
          <w:rtl/>
        </w:rPr>
        <w:t xml:space="preserve">إدراج </w:t>
      </w:r>
      <w:r>
        <w:rPr>
          <w:rFonts w:cs="Simplified Arabic" w:hint="cs"/>
          <w:rtl/>
        </w:rPr>
        <w:t>بيانها في التقرير، إنه فيما يتعلق بديباجة المقرر بشأن المسألة، فإن الصياغة المتفق عليها في قرار الجمعية العامة 72/73 بشأن المحيطات وقانون البحار شدد</w:t>
      </w:r>
      <w:r w:rsidR="007233C7">
        <w:rPr>
          <w:rFonts w:cs="Simplified Arabic" w:hint="cs"/>
          <w:rtl/>
        </w:rPr>
        <w:t>ت</w:t>
      </w:r>
      <w:r>
        <w:rPr>
          <w:rFonts w:cs="Simplified Arabic" w:hint="cs"/>
          <w:rtl/>
        </w:rPr>
        <w:t xml:space="preserve"> على الطابع العالمي والموحد لاتفاقية قانون البحار، التي حددت </w:t>
      </w:r>
      <w:r w:rsidRPr="00251584">
        <w:rPr>
          <w:rFonts w:ascii="Simplified Arabic" w:hAnsi="Simplified Arabic" w:cs="Simplified Arabic"/>
          <w:sz w:val="24"/>
          <w:rtl/>
        </w:rPr>
        <w:t>الإطار القانوني</w:t>
      </w:r>
      <w:r w:rsidR="00251584" w:rsidRPr="00251584">
        <w:rPr>
          <w:rFonts w:ascii="Simplified Arabic" w:hAnsi="Simplified Arabic" w:cs="Simplified Arabic"/>
          <w:sz w:val="24"/>
          <w:rtl/>
        </w:rPr>
        <w:t xml:space="preserve"> </w:t>
      </w:r>
      <w:r w:rsidR="00251584" w:rsidRPr="00251584">
        <w:rPr>
          <w:rFonts w:ascii="Simplified Arabic" w:hAnsi="Simplified Arabic" w:cs="Simplified Arabic"/>
          <w:color w:val="000000"/>
          <w:sz w:val="24"/>
          <w:rtl/>
        </w:rPr>
        <w:t>الذي يجب أن تنفذ من خلاله جميع الأنشطة في المحيطات والبحار، وأنها تتسم بأهمية استراتيجية كأساس للعمل والتعاون على الصعد الوطني والإقليمي والعالمي في القطاع البحري</w:t>
      </w:r>
      <w:r w:rsidR="007233C7">
        <w:rPr>
          <w:rFonts w:ascii="Simplified Arabic" w:hAnsi="Simplified Arabic" w:cs="Simplified Arabic" w:hint="cs"/>
          <w:sz w:val="24"/>
          <w:rtl/>
        </w:rPr>
        <w:t xml:space="preserve">. </w:t>
      </w:r>
      <w:r w:rsidR="007D5D32" w:rsidRPr="007D5D32">
        <w:rPr>
          <w:rFonts w:ascii="Simplified Arabic" w:hAnsi="Simplified Arabic" w:cs="Simplified Arabic"/>
          <w:color w:val="000000"/>
          <w:sz w:val="24"/>
          <w:rtl/>
        </w:rPr>
        <w:t>وأنه يلزم الحفاظ على طابعها الموحد، على نحو ما أقره أيضا مؤتمر الأمم المتحدة المعني بالبيئة والتنمية في الفصل 17 من جدول أعمال القرن 21</w:t>
      </w:r>
      <w:r w:rsidR="007D5D32">
        <w:rPr>
          <w:rFonts w:ascii="Simplified Arabic" w:hAnsi="Simplified Arabic" w:cs="Simplified Arabic" w:hint="cs"/>
          <w:sz w:val="24"/>
          <w:rtl/>
        </w:rPr>
        <w:t>. وبالتالي، فبالنسبة لمشروع المقرر بشأن المناطق البحرية المهمة إيكولوجياً أو بيولوجياً، أعادت التأكيد على أن اتفاقية قانون البحار، م</w:t>
      </w:r>
      <w:r w:rsidR="007D5D32" w:rsidRPr="007D5D32">
        <w:rPr>
          <w:rFonts w:ascii="Simplified Arabic" w:hAnsi="Simplified Arabic" w:cs="Simplified Arabic"/>
          <w:color w:val="000000"/>
          <w:sz w:val="24"/>
          <w:rtl/>
        </w:rPr>
        <w:t xml:space="preserve">ن خلال وضع الإطار القانوني الذي يجب أن تنفذ من خلاله جميع الأنشطة في المحيطات والبحار، </w:t>
      </w:r>
      <w:r w:rsidR="007D5D32">
        <w:rPr>
          <w:rFonts w:ascii="Simplified Arabic" w:hAnsi="Simplified Arabic" w:cs="Simplified Arabic" w:hint="cs"/>
          <w:color w:val="000000"/>
          <w:sz w:val="24"/>
          <w:rtl/>
        </w:rPr>
        <w:t xml:space="preserve">فهي تعمل </w:t>
      </w:r>
      <w:r w:rsidR="007D5D32" w:rsidRPr="007D5D32">
        <w:rPr>
          <w:rFonts w:ascii="Simplified Arabic" w:hAnsi="Simplified Arabic" w:cs="Simplified Arabic"/>
          <w:color w:val="000000"/>
          <w:sz w:val="24"/>
          <w:rtl/>
        </w:rPr>
        <w:t>على النهوض باستقرار القانون وصون السلم والأمن الدوليي</w:t>
      </w:r>
      <w:r w:rsidR="007D5D32">
        <w:rPr>
          <w:rFonts w:ascii="Simplified Arabic" w:hAnsi="Simplified Arabic" w:cs="Simplified Arabic" w:hint="cs"/>
          <w:color w:val="000000"/>
          <w:sz w:val="24"/>
          <w:rtl/>
        </w:rPr>
        <w:t>ن</w:t>
      </w:r>
      <w:r w:rsidR="007D5D32">
        <w:rPr>
          <w:rFonts w:ascii="Simplified Arabic" w:hAnsi="Simplified Arabic" w:cs="Simplified Arabic" w:hint="cs"/>
          <w:sz w:val="24"/>
          <w:rtl/>
        </w:rPr>
        <w:t>.</w:t>
      </w:r>
      <w:r w:rsidR="007D5D32" w:rsidRPr="007D5D32">
        <w:rPr>
          <w:color w:val="000000"/>
          <w:sz w:val="27"/>
          <w:szCs w:val="27"/>
          <w:rtl/>
        </w:rPr>
        <w:t xml:space="preserve"> </w:t>
      </w:r>
      <w:r w:rsidR="007D5D32" w:rsidRPr="007D5D32">
        <w:rPr>
          <w:rFonts w:ascii="Simplified Arabic" w:hAnsi="Simplified Arabic" w:cs="Simplified Arabic"/>
          <w:color w:val="000000"/>
          <w:sz w:val="24"/>
          <w:rtl/>
        </w:rPr>
        <w:t>و</w:t>
      </w:r>
      <w:r w:rsidR="005B3133">
        <w:rPr>
          <w:rFonts w:ascii="Simplified Arabic" w:hAnsi="Simplified Arabic" w:cs="Simplified Arabic"/>
          <w:color w:val="000000"/>
          <w:sz w:val="24"/>
          <w:rtl/>
        </w:rPr>
        <w:t>لا يتضح الطابع العالمي ل</w:t>
      </w:r>
      <w:r w:rsidR="007D5D32" w:rsidRPr="007D5D32">
        <w:rPr>
          <w:rFonts w:ascii="Simplified Arabic" w:hAnsi="Simplified Arabic" w:cs="Simplified Arabic"/>
          <w:color w:val="000000"/>
          <w:sz w:val="24"/>
          <w:rtl/>
        </w:rPr>
        <w:t xml:space="preserve">اتفاقية </w:t>
      </w:r>
      <w:r w:rsidR="005B3133">
        <w:rPr>
          <w:rFonts w:ascii="Simplified Arabic" w:hAnsi="Simplified Arabic" w:cs="Simplified Arabic" w:hint="cs"/>
          <w:color w:val="000000"/>
          <w:sz w:val="24"/>
          <w:rtl/>
        </w:rPr>
        <w:t xml:space="preserve">قانون البحار </w:t>
      </w:r>
      <w:r w:rsidR="007D5D32" w:rsidRPr="007D5D32">
        <w:rPr>
          <w:rFonts w:ascii="Simplified Arabic" w:hAnsi="Simplified Arabic" w:cs="Simplified Arabic"/>
          <w:color w:val="000000"/>
          <w:sz w:val="24"/>
          <w:rtl/>
        </w:rPr>
        <w:t xml:space="preserve">فقط من صيغتها وغرضها الشاملين ومن الالتزام بتسوية جميع المسائل المتعلقة بقانون البحار على أساس أنها مترابطة وينبغي النظر فيها ككل، بل يتضح في المقام الأول في ما تحظى به من مشاركة </w:t>
      </w:r>
      <w:r w:rsidR="00860725">
        <w:rPr>
          <w:rFonts w:ascii="Simplified Arabic" w:hAnsi="Simplified Arabic" w:cs="Simplified Arabic" w:hint="cs"/>
          <w:color w:val="000000"/>
          <w:sz w:val="24"/>
          <w:rtl/>
        </w:rPr>
        <w:t>تكاد تكون عالمية.</w:t>
      </w:r>
      <w:r w:rsidR="00860725">
        <w:rPr>
          <w:rFonts w:ascii="Simplified Arabic" w:hAnsi="Simplified Arabic" w:cs="Simplified Arabic" w:hint="cs"/>
          <w:sz w:val="24"/>
          <w:rtl/>
        </w:rPr>
        <w:t xml:space="preserve"> </w:t>
      </w:r>
      <w:r w:rsidR="00860725">
        <w:rPr>
          <w:rFonts w:ascii="Simplified Arabic" w:hAnsi="Simplified Arabic" w:cs="Simplified Arabic" w:hint="cs"/>
          <w:color w:val="000000"/>
          <w:sz w:val="24"/>
          <w:rtl/>
        </w:rPr>
        <w:t>وت</w:t>
      </w:r>
      <w:r w:rsidR="00860725" w:rsidRPr="00860725">
        <w:rPr>
          <w:rFonts w:ascii="Simplified Arabic" w:hAnsi="Simplified Arabic" w:cs="Simplified Arabic"/>
          <w:color w:val="000000"/>
          <w:sz w:val="24"/>
          <w:rtl/>
        </w:rPr>
        <w:t>عد حاليا 168 دولة طرفا، بما في ذلك الاتحاد الأوروبي، ملزمة بأحكامها</w:t>
      </w:r>
      <w:r w:rsidR="00860725">
        <w:rPr>
          <w:rFonts w:ascii="Simplified Arabic" w:hAnsi="Simplified Arabic" w:cs="Simplified Arabic" w:hint="cs"/>
          <w:sz w:val="24"/>
          <w:rtl/>
        </w:rPr>
        <w:t xml:space="preserve">. وبالإضافة إلى ذلك، </w:t>
      </w:r>
      <w:r w:rsidR="00860725">
        <w:rPr>
          <w:rFonts w:ascii="Simplified Arabic" w:hAnsi="Simplified Arabic" w:cs="Simplified Arabic" w:hint="cs"/>
          <w:color w:val="000000"/>
          <w:sz w:val="24"/>
          <w:rtl/>
        </w:rPr>
        <w:t>فإن ا</w:t>
      </w:r>
      <w:r w:rsidR="00860725" w:rsidRPr="00860725">
        <w:rPr>
          <w:rFonts w:ascii="Simplified Arabic" w:hAnsi="Simplified Arabic" w:cs="Simplified Arabic"/>
          <w:color w:val="000000"/>
          <w:sz w:val="24"/>
          <w:rtl/>
        </w:rPr>
        <w:t>لفقه الدولي يعتبر منذ أمد بعيد أن أحكامها تجسد أو تعكس القانون الدولي العرفي</w:t>
      </w:r>
      <w:r w:rsidR="00860725" w:rsidRPr="00860725">
        <w:rPr>
          <w:rFonts w:ascii="Simplified Arabic" w:hAnsi="Simplified Arabic" w:cs="Simplified Arabic"/>
          <w:color w:val="000000"/>
          <w:sz w:val="24"/>
        </w:rPr>
        <w:t>.</w:t>
      </w:r>
    </w:p>
    <w:p w:rsidR="00CF3534" w:rsidRDefault="00860725" w:rsidP="005B3133">
      <w:pPr>
        <w:pStyle w:val="ListParagraph"/>
        <w:numPr>
          <w:ilvl w:val="0"/>
          <w:numId w:val="6"/>
        </w:numPr>
        <w:bidi/>
        <w:spacing w:line="216" w:lineRule="auto"/>
        <w:ind w:left="0" w:firstLine="0"/>
        <w:rPr>
          <w:rFonts w:cs="Simplified Arabic"/>
        </w:rPr>
      </w:pPr>
      <w:r>
        <w:rPr>
          <w:rFonts w:cs="Simplified Arabic" w:hint="cs"/>
          <w:rtl/>
        </w:rPr>
        <w:t>وأيد ممثلا غانا واليابان البيان الذي أدلت</w:t>
      </w:r>
      <w:r w:rsidR="005B3133">
        <w:rPr>
          <w:rFonts w:cs="Simplified Arabic" w:hint="cs"/>
          <w:rtl/>
        </w:rPr>
        <w:t xml:space="preserve"> ب</w:t>
      </w:r>
      <w:r>
        <w:rPr>
          <w:rFonts w:cs="Simplified Arabic" w:hint="cs"/>
          <w:rtl/>
        </w:rPr>
        <w:t>ه ممثلة الا</w:t>
      </w:r>
      <w:r w:rsidR="005B3133">
        <w:rPr>
          <w:rFonts w:cs="Simplified Arabic" w:hint="cs"/>
          <w:rtl/>
        </w:rPr>
        <w:t>ت</w:t>
      </w:r>
      <w:r>
        <w:rPr>
          <w:rFonts w:cs="Simplified Arabic" w:hint="cs"/>
          <w:rtl/>
        </w:rPr>
        <w:t>حاد ال</w:t>
      </w:r>
      <w:r w:rsidR="005B3133">
        <w:rPr>
          <w:rFonts w:cs="Simplified Arabic" w:hint="cs"/>
          <w:rtl/>
        </w:rPr>
        <w:t>أوروب</w:t>
      </w:r>
      <w:r>
        <w:rPr>
          <w:rFonts w:cs="Simplified Arabic" w:hint="cs"/>
          <w:rtl/>
        </w:rPr>
        <w:t>ي ودوله الأعضاء الثماني والعشرين.</w:t>
      </w:r>
    </w:p>
    <w:p w:rsidR="00CF3534" w:rsidRDefault="00860725" w:rsidP="0004425E">
      <w:pPr>
        <w:pStyle w:val="ListParagraph"/>
        <w:numPr>
          <w:ilvl w:val="0"/>
          <w:numId w:val="6"/>
        </w:numPr>
        <w:bidi/>
        <w:spacing w:line="216" w:lineRule="auto"/>
        <w:ind w:left="0" w:firstLine="0"/>
        <w:rPr>
          <w:rFonts w:cs="Simplified Arabic"/>
        </w:rPr>
      </w:pPr>
      <w:r>
        <w:rPr>
          <w:rFonts w:cs="Simplified Arabic" w:hint="cs"/>
          <w:rtl/>
        </w:rPr>
        <w:lastRenderedPageBreak/>
        <w:t>وذكرت ممثلة عن الفلبين أنها ستقدم بياناً مكتوباً</w:t>
      </w:r>
      <w:r w:rsidR="0004425E">
        <w:rPr>
          <w:rFonts w:cs="Simplified Arabic" w:hint="cs"/>
          <w:rtl/>
        </w:rPr>
        <w:t>،</w:t>
      </w:r>
      <w:r>
        <w:rPr>
          <w:rFonts w:cs="Simplified Arabic" w:hint="cs"/>
          <w:rtl/>
        </w:rPr>
        <w:t xml:space="preserve"> </w:t>
      </w:r>
      <w:r w:rsidR="0004425E">
        <w:rPr>
          <w:rFonts w:cs="Simplified Arabic" w:hint="cs"/>
          <w:rtl/>
        </w:rPr>
        <w:t>وطلبت إدراجه</w:t>
      </w:r>
      <w:r>
        <w:rPr>
          <w:rFonts w:cs="Simplified Arabic" w:hint="cs"/>
          <w:rtl/>
        </w:rPr>
        <w:t xml:space="preserve"> في التقرير</w:t>
      </w:r>
      <w:r w:rsidR="00CF3534">
        <w:rPr>
          <w:rFonts w:cs="Simplified Arabic" w:hint="cs"/>
          <w:rtl/>
        </w:rPr>
        <w:t>.</w:t>
      </w:r>
      <w:r w:rsidR="00CF3534">
        <w:rPr>
          <w:rStyle w:val="FootnoteReference"/>
          <w:rtl/>
        </w:rPr>
        <w:footnoteReference w:id="335"/>
      </w:r>
    </w:p>
    <w:p w:rsidR="00047450" w:rsidRPr="00C765FC" w:rsidRDefault="00CF3534" w:rsidP="00527267">
      <w:pPr>
        <w:pStyle w:val="ListParagraph"/>
        <w:numPr>
          <w:ilvl w:val="0"/>
          <w:numId w:val="6"/>
        </w:numPr>
        <w:bidi/>
        <w:spacing w:line="216" w:lineRule="auto"/>
        <w:ind w:left="0" w:firstLine="0"/>
        <w:rPr>
          <w:rFonts w:cs="Simplified Arabic"/>
        </w:rPr>
      </w:pPr>
      <w:r>
        <w:rPr>
          <w:rFonts w:cs="Simplified Arabic" w:hint="cs"/>
          <w:rtl/>
        </w:rPr>
        <w:t xml:space="preserve">واعتمد مؤتمر الأطراف مشروع المقرر </w:t>
      </w:r>
      <w:r w:rsidRPr="007F48C2">
        <w:t>CBD/COP/14/L.</w:t>
      </w:r>
      <w:r>
        <w:t>34</w:t>
      </w:r>
      <w:r>
        <w:rPr>
          <w:rFonts w:cs="Simplified Arabic" w:hint="cs"/>
          <w:rtl/>
        </w:rPr>
        <w:t>، بصيغته المعدلة شفوياً، بوصفه المقرر 14/</w:t>
      </w:r>
      <w:r w:rsidR="00527267" w:rsidRPr="00527267">
        <w:rPr>
          <w:rFonts w:ascii="Simplified Arabic" w:hAnsi="Simplified Arabic" w:cs="Simplified Arabic"/>
          <w:sz w:val="24"/>
        </w:rPr>
        <w:t>9</w:t>
      </w:r>
      <w:r w:rsidRPr="00527267">
        <w:rPr>
          <w:rFonts w:ascii="Simplified Arabic" w:hAnsi="Simplified Arabic" w:cs="Simplified Arabic"/>
          <w:sz w:val="24"/>
          <w:rtl/>
        </w:rPr>
        <w:t xml:space="preserve"> </w:t>
      </w:r>
      <w:r>
        <w:rPr>
          <w:rFonts w:cs="Simplified Arabic" w:hint="cs"/>
          <w:rtl/>
        </w:rPr>
        <w:t>(للاطل</w:t>
      </w:r>
      <w:r w:rsidR="00860725">
        <w:rPr>
          <w:rFonts w:cs="Simplified Arabic" w:hint="cs"/>
          <w:rtl/>
        </w:rPr>
        <w:t>اع على النص، انظر الفصل الأول).</w:t>
      </w:r>
    </w:p>
    <w:p w:rsidR="00D50BC6" w:rsidRPr="00997CAE" w:rsidRDefault="00D50BC6" w:rsidP="00094717">
      <w:pPr>
        <w:pStyle w:val="Heading2"/>
      </w:pPr>
      <w:bookmarkStart w:id="247" w:name="_Toc6140029"/>
      <w:r w:rsidRPr="00997CAE">
        <w:rPr>
          <w:rFonts w:hint="cs"/>
          <w:rtl/>
        </w:rPr>
        <w:t>البند 26 -</w:t>
      </w:r>
      <w:r w:rsidRPr="00997CAE">
        <w:rPr>
          <w:rFonts w:hint="cs"/>
          <w:rtl/>
        </w:rPr>
        <w:tab/>
        <w:t>الأنواع الغريبة الغازية</w:t>
      </w:r>
      <w:bookmarkEnd w:id="247"/>
    </w:p>
    <w:p w:rsidR="00C765FC" w:rsidRPr="005010E6" w:rsidRDefault="00C765FC" w:rsidP="005B3133">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تناول الفريق العامل الثاني البند 26 من جدول الأعمال</w:t>
      </w:r>
      <w:r w:rsidRPr="005010E6">
        <w:rPr>
          <w:rFonts w:ascii="Simplified Arabic" w:hAnsi="Simplified Arabic" w:cs="Simplified Arabic" w:hint="cs"/>
          <w:szCs w:val="24"/>
          <w:rtl/>
        </w:rPr>
        <w:t xml:space="preserve"> </w:t>
      </w:r>
      <w:r w:rsidRPr="005010E6">
        <w:rPr>
          <w:rFonts w:ascii="Simplified Arabic" w:hAnsi="Simplified Arabic" w:cs="Simplified Arabic"/>
          <w:szCs w:val="24"/>
          <w:rtl/>
        </w:rPr>
        <w:t xml:space="preserve">في </w:t>
      </w:r>
      <w:r w:rsidR="005B3133">
        <w:rPr>
          <w:rFonts w:ascii="Simplified Arabic" w:hAnsi="Simplified Arabic" w:cs="Simplified Arabic" w:hint="cs"/>
          <w:szCs w:val="24"/>
          <w:rtl/>
        </w:rPr>
        <w:t>جلست</w:t>
      </w:r>
      <w:r w:rsidRPr="005010E6">
        <w:rPr>
          <w:rFonts w:ascii="Simplified Arabic" w:hAnsi="Simplified Arabic" w:cs="Simplified Arabic" w:hint="cs"/>
          <w:szCs w:val="24"/>
          <w:rtl/>
        </w:rPr>
        <w:t xml:space="preserve">ه </w:t>
      </w:r>
      <w:r w:rsidRPr="005010E6">
        <w:rPr>
          <w:rFonts w:ascii="Simplified Arabic" w:hAnsi="Simplified Arabic" w:cs="Simplified Arabic"/>
          <w:szCs w:val="24"/>
          <w:rtl/>
        </w:rPr>
        <w:t>السادس</w:t>
      </w:r>
      <w:r w:rsidR="005B3133">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5B3133">
        <w:rPr>
          <w:rFonts w:ascii="Simplified Arabic" w:hAnsi="Simplified Arabic" w:cs="Simplified Arabic" w:hint="cs"/>
          <w:szCs w:val="24"/>
          <w:rtl/>
        </w:rPr>
        <w:t>ة</w:t>
      </w:r>
      <w:r w:rsidRPr="005010E6">
        <w:rPr>
          <w:rFonts w:ascii="Simplified Arabic" w:hAnsi="Simplified Arabic" w:cs="Simplified Arabic"/>
          <w:szCs w:val="24"/>
          <w:rtl/>
        </w:rPr>
        <w:t xml:space="preserve"> في 21 نوفمبر/تشرين الثاني 2018. ولدى النظر في هذا البند، كان معروضا أمام الفريق العامل</w:t>
      </w:r>
      <w:r w:rsidRPr="005010E6">
        <w:rPr>
          <w:rFonts w:ascii="Simplified Arabic" w:hAnsi="Simplified Arabic" w:cs="Simplified Arabic" w:hint="cs"/>
          <w:szCs w:val="24"/>
          <w:rtl/>
        </w:rPr>
        <w:t xml:space="preserve"> مشروع مقرر </w:t>
      </w:r>
      <w:r w:rsidRPr="005010E6">
        <w:rPr>
          <w:rFonts w:ascii="Simplified Arabic" w:hAnsi="Simplified Arabic" w:cs="Simplified Arabic"/>
          <w:szCs w:val="24"/>
          <w:rtl/>
        </w:rPr>
        <w:t>يستند إلى التوصية</w:t>
      </w:r>
      <w:r w:rsidRPr="005010E6">
        <w:rPr>
          <w:rFonts w:ascii="Simplified Arabic" w:hAnsi="Simplified Arabic" w:cs="Simplified Arabic" w:hint="cs"/>
          <w:szCs w:val="24"/>
          <w:rtl/>
        </w:rPr>
        <w:t xml:space="preserve"> </w:t>
      </w:r>
      <w:r w:rsidRPr="005010E6">
        <w:rPr>
          <w:rFonts w:ascii="Simplified Arabic" w:hAnsi="Simplified Arabic" w:cs="Simplified Arabic"/>
          <w:szCs w:val="24"/>
          <w:rtl/>
        </w:rPr>
        <w:t>22/8</w:t>
      </w:r>
      <w:r w:rsidRPr="005010E6">
        <w:rPr>
          <w:rFonts w:ascii="Simplified Arabic" w:hAnsi="Simplified Arabic" w:cs="Simplified Arabic" w:hint="cs"/>
          <w:szCs w:val="24"/>
          <w:rtl/>
        </w:rPr>
        <w:t xml:space="preserve"> ل</w:t>
      </w:r>
      <w:r w:rsidRPr="005010E6">
        <w:rPr>
          <w:rFonts w:ascii="Simplified Arabic" w:hAnsi="Simplified Arabic" w:cs="Simplified Arabic"/>
          <w:szCs w:val="24"/>
          <w:rtl/>
        </w:rPr>
        <w:t xml:space="preserve">لهيئة الفرعية </w:t>
      </w:r>
      <w:r w:rsidRPr="005010E6">
        <w:rPr>
          <w:rFonts w:ascii="Simplified Arabic" w:hAnsi="Simplified Arabic" w:cs="Simplified Arabic" w:hint="cs"/>
          <w:szCs w:val="24"/>
          <w:rtl/>
        </w:rPr>
        <w:t>ل</w:t>
      </w:r>
      <w:r w:rsidRPr="005010E6">
        <w:rPr>
          <w:rFonts w:ascii="Simplified Arabic" w:hAnsi="Simplified Arabic" w:cs="Simplified Arabic"/>
          <w:szCs w:val="24"/>
          <w:rtl/>
        </w:rPr>
        <w:t>لمشورة العلمية والتقنية والتكنولوجية</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ال</w:t>
      </w:r>
      <w:r w:rsidR="005B3133">
        <w:rPr>
          <w:rFonts w:ascii="Simplified Arabic" w:hAnsi="Simplified Arabic" w:cs="Simplified Arabic" w:hint="cs"/>
          <w:szCs w:val="24"/>
          <w:rtl/>
        </w:rPr>
        <w:t>مبين</w:t>
      </w:r>
      <w:r w:rsidRPr="005010E6">
        <w:rPr>
          <w:rFonts w:ascii="Simplified Arabic" w:hAnsi="Simplified Arabic" w:cs="Simplified Arabic"/>
          <w:szCs w:val="24"/>
          <w:rtl/>
        </w:rPr>
        <w:t xml:space="preserve"> في تجميع مشاريع المقررات </w:t>
      </w:r>
      <w:r w:rsidRPr="008F3A5A">
        <w:rPr>
          <w:szCs w:val="22"/>
          <w:rtl/>
        </w:rPr>
        <w:t>(</w:t>
      </w:r>
      <w:r w:rsidRPr="00477B14">
        <w:rPr>
          <w:szCs w:val="22"/>
          <w:lang w:val="fr-CA"/>
        </w:rPr>
        <w:t>CBD/COP/14/2</w:t>
      </w:r>
      <w:r w:rsidRPr="008F3A5A">
        <w:rPr>
          <w:szCs w:val="22"/>
          <w:rtl/>
        </w:rPr>
        <w:t>)</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وكذلك</w:t>
      </w:r>
      <w:r w:rsidRPr="005010E6">
        <w:rPr>
          <w:rFonts w:ascii="Simplified Arabic" w:hAnsi="Simplified Arabic" w:cs="Simplified Arabic"/>
          <w:szCs w:val="24"/>
          <w:rtl/>
        </w:rPr>
        <w:t xml:space="preserve"> تقرير مرحلي عن التعاون مع الاتحاد الدولي لحفظ الطبيعة و</w:t>
      </w:r>
      <w:r w:rsidRPr="005010E6">
        <w:rPr>
          <w:rFonts w:ascii="Simplified Arabic" w:hAnsi="Simplified Arabic" w:cs="Simplified Arabic" w:hint="cs"/>
          <w:szCs w:val="24"/>
          <w:rtl/>
        </w:rPr>
        <w:t>فريقه المتخصص المعني بال</w:t>
      </w:r>
      <w:r w:rsidRPr="005010E6">
        <w:rPr>
          <w:rFonts w:ascii="Simplified Arabic" w:hAnsi="Simplified Arabic" w:cs="Simplified Arabic"/>
          <w:szCs w:val="24"/>
          <w:rtl/>
        </w:rPr>
        <w:t xml:space="preserve">أنواع الغازية والمنظمات الدولية ذات الصلة المتعلقة باستخدام عوامل المكافحة البيولوجية ضد الأنواع الغريبة الغازية </w:t>
      </w:r>
      <w:r w:rsidRPr="008F3A5A">
        <w:rPr>
          <w:szCs w:val="22"/>
          <w:rtl/>
        </w:rPr>
        <w:t>(</w:t>
      </w:r>
      <w:r w:rsidRPr="00477B14">
        <w:rPr>
          <w:kern w:val="22"/>
          <w:szCs w:val="22"/>
          <w:lang w:val="fr-CA"/>
        </w:rPr>
        <w:t>CBD/COP/14/INF/9</w:t>
      </w:r>
      <w:r w:rsidRPr="008F3A5A">
        <w:rPr>
          <w:szCs w:val="22"/>
          <w:rtl/>
        </w:rPr>
        <w:t>)</w:t>
      </w:r>
      <w:r w:rsidRPr="005010E6">
        <w:rPr>
          <w:rFonts w:ascii="Simplified Arabic" w:hAnsi="Simplified Arabic" w:cs="Simplified Arabic" w:hint="cs"/>
          <w:szCs w:val="24"/>
          <w:rtl/>
        </w:rPr>
        <w:t>.</w:t>
      </w:r>
    </w:p>
    <w:p w:rsidR="00C765FC" w:rsidRPr="005010E6" w:rsidRDefault="00C765FC"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Pr="005010E6">
        <w:rPr>
          <w:rFonts w:ascii="Simplified Arabic" w:hAnsi="Simplified Arabic" w:cs="Simplified Arabic"/>
          <w:szCs w:val="24"/>
          <w:rtl/>
        </w:rPr>
        <w:t>قالت الرئيسة إنها ست</w:t>
      </w:r>
      <w:r w:rsidRPr="005010E6">
        <w:rPr>
          <w:rFonts w:ascii="Simplified Arabic" w:hAnsi="Simplified Arabic" w:cs="Simplified Arabic" w:hint="cs"/>
          <w:szCs w:val="24"/>
          <w:rtl/>
        </w:rPr>
        <w:t>عد</w:t>
      </w:r>
      <w:r w:rsidRPr="005010E6">
        <w:rPr>
          <w:rFonts w:ascii="Simplified Arabic" w:hAnsi="Simplified Arabic" w:cs="Simplified Arabic"/>
          <w:szCs w:val="24"/>
          <w:rtl/>
        </w:rPr>
        <w:t xml:space="preserve"> مشروع </w:t>
      </w:r>
      <w:r w:rsidRPr="005010E6">
        <w:rPr>
          <w:rFonts w:ascii="Simplified Arabic" w:hAnsi="Simplified Arabic" w:cs="Simplified Arabic" w:hint="cs"/>
          <w:szCs w:val="24"/>
          <w:rtl/>
        </w:rPr>
        <w:t>ال</w:t>
      </w:r>
      <w:r w:rsidRPr="005010E6">
        <w:rPr>
          <w:rFonts w:ascii="Simplified Arabic" w:hAnsi="Simplified Arabic" w:cs="Simplified Arabic"/>
          <w:szCs w:val="24"/>
          <w:rtl/>
        </w:rPr>
        <w:t>مقرر</w:t>
      </w:r>
      <w:r w:rsidRPr="005010E6">
        <w:rPr>
          <w:rFonts w:ascii="Simplified Arabic" w:hAnsi="Simplified Arabic" w:cs="Simplified Arabic" w:hint="cs"/>
          <w:szCs w:val="24"/>
          <w:rtl/>
        </w:rPr>
        <w:t xml:space="preserve"> كي يوافق عليه</w:t>
      </w:r>
      <w:r w:rsidRPr="005010E6">
        <w:rPr>
          <w:rFonts w:ascii="Simplified Arabic" w:hAnsi="Simplified Arabic" w:cs="Simplified Arabic"/>
          <w:szCs w:val="24"/>
          <w:rtl/>
        </w:rPr>
        <w:t xml:space="preserve"> الفريق العامل</w:t>
      </w:r>
      <w:r w:rsidRPr="005010E6">
        <w:rPr>
          <w:rFonts w:ascii="Simplified Arabic" w:hAnsi="Simplified Arabic" w:cs="Simplified Arabic" w:hint="cs"/>
          <w:szCs w:val="24"/>
          <w:rtl/>
        </w:rPr>
        <w:t>.</w:t>
      </w:r>
    </w:p>
    <w:p w:rsidR="00C765FC" w:rsidRPr="005010E6" w:rsidRDefault="00C765FC" w:rsidP="005B3133">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008F3A5A">
        <w:rPr>
          <w:rFonts w:ascii="Simplified Arabic" w:hAnsi="Simplified Arabic" w:cs="Simplified Arabic" w:hint="cs"/>
          <w:szCs w:val="24"/>
          <w:rtl/>
        </w:rPr>
        <w:t>في جلست</w:t>
      </w:r>
      <w:r w:rsidRPr="005010E6">
        <w:rPr>
          <w:rFonts w:ascii="Simplified Arabic" w:hAnsi="Simplified Arabic" w:cs="Simplified Arabic" w:hint="cs"/>
          <w:szCs w:val="24"/>
          <w:rtl/>
        </w:rPr>
        <w:t>ه</w:t>
      </w:r>
      <w:r w:rsidRPr="005010E6">
        <w:rPr>
          <w:rFonts w:ascii="Simplified Arabic" w:hAnsi="Simplified Arabic" w:cs="Simplified Arabic"/>
          <w:szCs w:val="24"/>
          <w:rtl/>
        </w:rPr>
        <w:t xml:space="preserve"> الخامس</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عشر</w:t>
      </w:r>
      <w:r w:rsidR="008F3A5A">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27 نوفمبر/تشرين الثاني 2018، </w:t>
      </w:r>
      <w:r w:rsidR="005B3133" w:rsidRPr="005010E6">
        <w:rPr>
          <w:rFonts w:ascii="Simplified Arabic" w:hAnsi="Simplified Arabic" w:cs="Simplified Arabic"/>
          <w:szCs w:val="24"/>
          <w:rtl/>
        </w:rPr>
        <w:t xml:space="preserve">نظر الفريق العامل </w:t>
      </w:r>
      <w:r w:rsidRPr="005010E6">
        <w:rPr>
          <w:rFonts w:ascii="Simplified Arabic" w:hAnsi="Simplified Arabic" w:cs="Simplified Arabic"/>
          <w:szCs w:val="24"/>
          <w:rtl/>
        </w:rPr>
        <w:t>في مشروع المقرر المقدم من الرئيس</w:t>
      </w:r>
      <w:r w:rsidRPr="005010E6">
        <w:rPr>
          <w:rFonts w:ascii="Simplified Arabic" w:hAnsi="Simplified Arabic" w:cs="Simplified Arabic" w:hint="cs"/>
          <w:szCs w:val="24"/>
          <w:rtl/>
        </w:rPr>
        <w:t>ة.</w:t>
      </w:r>
    </w:p>
    <w:p w:rsidR="00C765FC" w:rsidRPr="005010E6" w:rsidRDefault="007414C9" w:rsidP="005B3133">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C765FC" w:rsidRPr="005010E6">
        <w:rPr>
          <w:rFonts w:ascii="Simplified Arabic" w:hAnsi="Simplified Arabic" w:cs="Simplified Arabic"/>
          <w:szCs w:val="24"/>
          <w:rtl/>
        </w:rPr>
        <w:t xml:space="preserve"> أنتيغوا وبربودا،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الأرجنتين،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بنغلاديش،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بنن،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كولومبيا،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كوستاريكا،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إكوادور،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مصر،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إثيوبيا، والاتحاد الأوروبي ودول</w:t>
      </w:r>
      <w:r w:rsidR="008F3A5A">
        <w:rPr>
          <w:rFonts w:ascii="Simplified Arabic" w:hAnsi="Simplified Arabic" w:cs="Simplified Arabic" w:hint="cs"/>
          <w:szCs w:val="24"/>
          <w:rtl/>
        </w:rPr>
        <w:t>ه</w:t>
      </w:r>
      <w:r w:rsidR="00C765FC" w:rsidRPr="005010E6">
        <w:rPr>
          <w:rFonts w:ascii="Simplified Arabic" w:hAnsi="Simplified Arabic" w:cs="Simplified Arabic"/>
          <w:szCs w:val="24"/>
          <w:rtl/>
        </w:rPr>
        <w:t xml:space="preserve"> الأعضاء</w:t>
      </w:r>
      <w:r w:rsidR="00C765FC" w:rsidRPr="005010E6">
        <w:rPr>
          <w:rFonts w:ascii="Simplified Arabic" w:hAnsi="Simplified Arabic" w:cs="Simplified Arabic" w:hint="cs"/>
          <w:szCs w:val="24"/>
          <w:rtl/>
        </w:rPr>
        <w:t xml:space="preserve"> </w:t>
      </w:r>
      <w:r w:rsidR="008F3A5A">
        <w:rPr>
          <w:rFonts w:ascii="Simplified Arabic" w:hAnsi="Simplified Arabic" w:cs="Simplified Arabic" w:hint="cs"/>
          <w:sz w:val="24"/>
          <w:szCs w:val="24"/>
          <w:rtl/>
        </w:rPr>
        <w:t>الثماني والعشرين</w:t>
      </w:r>
      <w:r w:rsidR="008F3A5A" w:rsidRPr="002E513E">
        <w:rPr>
          <w:rFonts w:ascii="Simplified Arabic" w:hAnsi="Simplified Arabic" w:cs="Simplified Arabic" w:hint="cs"/>
          <w:sz w:val="24"/>
          <w:szCs w:val="24"/>
          <w:rtl/>
        </w:rPr>
        <w:t>،</w:t>
      </w:r>
      <w:r w:rsidR="00C765FC" w:rsidRPr="005010E6">
        <w:rPr>
          <w:rFonts w:ascii="Simplified Arabic" w:hAnsi="Simplified Arabic" w:cs="Simplified Arabic"/>
          <w:szCs w:val="24"/>
          <w:rtl/>
        </w:rPr>
        <w:t xml:space="preserve">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غابون،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غانا،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غرينادا،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غواتيمالا،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آيسلندا،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 xml:space="preserve">كينيا،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ملاوي</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والمكسيك</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والمغرب</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ونيوزيلندا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ونيجيريا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والنرويج</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وبيرو</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وجنوب أفريقيا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وجمهورية تنزانيا المتحدة</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وفنزويلا (جمهورية - البوليفارية) وفييت نام</w:t>
      </w:r>
      <w:r w:rsidR="00C765FC" w:rsidRPr="005010E6">
        <w:rPr>
          <w:rFonts w:ascii="Simplified Arabic" w:hAnsi="Simplified Arabic" w:cs="Simplified Arabic" w:hint="cs"/>
          <w:szCs w:val="24"/>
          <w:rtl/>
        </w:rPr>
        <w:t>.</w:t>
      </w:r>
    </w:p>
    <w:p w:rsidR="00C765FC" w:rsidRPr="005010E6" w:rsidRDefault="00C765FC" w:rsidP="0004425E">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وقالت ممثلة كولومبيا، طالبة إدراج بيانها في تقرير الاجتماع، إن</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وفدها لن يوافق في الاجتماعات المقبلة على نصوص مشاريع ال</w:t>
      </w:r>
      <w:r w:rsidRPr="005010E6">
        <w:rPr>
          <w:rFonts w:ascii="Simplified Arabic" w:hAnsi="Simplified Arabic" w:cs="Simplified Arabic" w:hint="cs"/>
          <w:szCs w:val="24"/>
          <w:rtl/>
        </w:rPr>
        <w:t>م</w:t>
      </w:r>
      <w:r w:rsidRPr="005010E6">
        <w:rPr>
          <w:rFonts w:ascii="Simplified Arabic" w:hAnsi="Simplified Arabic" w:cs="Simplified Arabic"/>
          <w:szCs w:val="24"/>
          <w:rtl/>
        </w:rPr>
        <w:t>قررات التي لا</w:t>
      </w:r>
      <w:r w:rsidRPr="005010E6">
        <w:rPr>
          <w:rFonts w:ascii="Simplified Arabic" w:hAnsi="Simplified Arabic" w:cs="Simplified Arabic" w:hint="cs"/>
          <w:szCs w:val="24"/>
          <w:rtl/>
        </w:rPr>
        <w:t xml:space="preserve"> تكون</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م</w:t>
      </w:r>
      <w:r w:rsidRPr="005010E6">
        <w:rPr>
          <w:rFonts w:ascii="Simplified Arabic" w:hAnsi="Simplified Arabic" w:cs="Simplified Arabic"/>
          <w:szCs w:val="24"/>
          <w:rtl/>
        </w:rPr>
        <w:t>فت</w:t>
      </w:r>
      <w:r w:rsidRPr="005010E6">
        <w:rPr>
          <w:rFonts w:ascii="Simplified Arabic" w:hAnsi="Simplified Arabic" w:cs="Simplified Arabic" w:hint="cs"/>
          <w:szCs w:val="24"/>
          <w:rtl/>
        </w:rPr>
        <w:t>و</w:t>
      </w:r>
      <w:r w:rsidRPr="005010E6">
        <w:rPr>
          <w:rFonts w:ascii="Simplified Arabic" w:hAnsi="Simplified Arabic" w:cs="Simplified Arabic"/>
          <w:szCs w:val="24"/>
          <w:rtl/>
        </w:rPr>
        <w:t>ح</w:t>
      </w:r>
      <w:r w:rsidRPr="005010E6">
        <w:rPr>
          <w:rFonts w:ascii="Simplified Arabic" w:hAnsi="Simplified Arabic" w:cs="Simplified Arabic" w:hint="cs"/>
          <w:szCs w:val="24"/>
          <w:rtl/>
        </w:rPr>
        <w:t>ة</w:t>
      </w:r>
      <w:r w:rsidRPr="005010E6">
        <w:rPr>
          <w:rFonts w:ascii="Simplified Arabic" w:hAnsi="Simplified Arabic" w:cs="Simplified Arabic"/>
          <w:szCs w:val="24"/>
          <w:rtl/>
        </w:rPr>
        <w:t xml:space="preserve"> للتفاوض</w:t>
      </w:r>
      <w:r w:rsidRPr="005010E6">
        <w:rPr>
          <w:rFonts w:ascii="Simplified Arabic" w:hAnsi="Simplified Arabic" w:cs="Simplified Arabic" w:hint="cs"/>
          <w:szCs w:val="24"/>
          <w:rtl/>
        </w:rPr>
        <w:t xml:space="preserve">. ولاقى موقف وفدها تأييدا من </w:t>
      </w:r>
      <w:r w:rsidR="0004425E">
        <w:rPr>
          <w:rFonts w:ascii="Simplified Arabic" w:hAnsi="Simplified Arabic" w:cs="Simplified Arabic" w:hint="cs"/>
          <w:szCs w:val="24"/>
          <w:rtl/>
        </w:rPr>
        <w:t xml:space="preserve">ممثلي </w:t>
      </w:r>
      <w:r w:rsidRPr="005010E6">
        <w:rPr>
          <w:rFonts w:ascii="Simplified Arabic" w:hAnsi="Simplified Arabic" w:cs="Simplified Arabic"/>
          <w:szCs w:val="24"/>
          <w:rtl/>
        </w:rPr>
        <w:t xml:space="preserve">الأرجنتين،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بنغلاديش،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بوليفيا (دولة - المتعددة القوميات)،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البرازيل،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شيلي،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كوستاريكا،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كوبا،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الجمهورية الدومينيكية،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إكوادور،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غواتيمالا،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هندوراس،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المكسيك،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نيكاراغوا،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بنما،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باراغواي،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بيرو،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أوروغواي </w:t>
      </w:r>
      <w:r w:rsidRPr="005010E6">
        <w:rPr>
          <w:rFonts w:ascii="Simplified Arabic" w:hAnsi="Simplified Arabic" w:cs="Simplified Arabic" w:hint="cs"/>
          <w:szCs w:val="24"/>
          <w:rtl/>
        </w:rPr>
        <w:t>و</w:t>
      </w:r>
      <w:r w:rsidRPr="005010E6">
        <w:rPr>
          <w:rFonts w:ascii="Simplified Arabic" w:hAnsi="Simplified Arabic" w:cs="Simplified Arabic"/>
          <w:szCs w:val="24"/>
          <w:rtl/>
        </w:rPr>
        <w:t>فنزويلا (جمهورية - البوليفارية)</w:t>
      </w:r>
      <w:r w:rsidRPr="005010E6">
        <w:rPr>
          <w:rFonts w:ascii="Simplified Arabic" w:hAnsi="Simplified Arabic" w:cs="Simplified Arabic" w:hint="cs"/>
          <w:szCs w:val="24"/>
          <w:rtl/>
        </w:rPr>
        <w:t>.</w:t>
      </w:r>
    </w:p>
    <w:p w:rsidR="00C765FC" w:rsidRPr="0004425E" w:rsidRDefault="00C765FC" w:rsidP="0004425E">
      <w:pPr>
        <w:pStyle w:val="ListParagraph1"/>
        <w:numPr>
          <w:ilvl w:val="0"/>
          <w:numId w:val="6"/>
        </w:numPr>
        <w:tabs>
          <w:tab w:val="clear" w:pos="720"/>
        </w:tabs>
        <w:bidi/>
        <w:spacing w:before="0" w:line="216" w:lineRule="auto"/>
        <w:ind w:left="0" w:firstLine="0"/>
        <w:rPr>
          <w:rFonts w:ascii="Simplified Arabic" w:hAnsi="Simplified Arabic" w:cs="Simplified Arabic"/>
          <w:sz w:val="24"/>
          <w:szCs w:val="24"/>
          <w:rtl/>
          <w:lang w:bidi="ar-EG"/>
        </w:rPr>
      </w:pPr>
      <w:r w:rsidRPr="005010E6">
        <w:rPr>
          <w:rFonts w:ascii="Simplified Arabic" w:hAnsi="Simplified Arabic" w:cs="Simplified Arabic"/>
          <w:sz w:val="24"/>
          <w:szCs w:val="24"/>
          <w:rtl/>
        </w:rPr>
        <w:t>و</w:t>
      </w:r>
      <w:r w:rsidRPr="005010E6">
        <w:rPr>
          <w:rFonts w:ascii="Simplified Arabic" w:hAnsi="Simplified Arabic" w:cs="Simplified Arabic" w:hint="cs"/>
          <w:sz w:val="24"/>
          <w:szCs w:val="24"/>
          <w:rtl/>
        </w:rPr>
        <w:t>حين</w:t>
      </w:r>
      <w:r w:rsidRPr="005010E6">
        <w:rPr>
          <w:rFonts w:ascii="Simplified Arabic" w:hAnsi="Simplified Arabic" w:cs="Simplified Arabic"/>
          <w:sz w:val="24"/>
          <w:szCs w:val="24"/>
          <w:rtl/>
        </w:rPr>
        <w:t xml:space="preserve"> طُلب من </w:t>
      </w:r>
      <w:r w:rsidR="008A317D">
        <w:rPr>
          <w:rFonts w:ascii="Simplified Arabic" w:hAnsi="Simplified Arabic" w:cs="Simplified Arabic" w:hint="cs"/>
          <w:sz w:val="24"/>
          <w:szCs w:val="24"/>
          <w:rtl/>
        </w:rPr>
        <w:t xml:space="preserve">كبير </w:t>
      </w:r>
      <w:r w:rsidRPr="005010E6">
        <w:rPr>
          <w:rFonts w:ascii="Simplified Arabic" w:hAnsi="Simplified Arabic" w:cs="Simplified Arabic"/>
          <w:sz w:val="24"/>
          <w:szCs w:val="24"/>
          <w:rtl/>
        </w:rPr>
        <w:t>الم</w:t>
      </w:r>
      <w:r w:rsidRPr="005010E6">
        <w:rPr>
          <w:rFonts w:ascii="Simplified Arabic" w:hAnsi="Simplified Arabic" w:cs="Simplified Arabic" w:hint="cs"/>
          <w:sz w:val="24"/>
          <w:szCs w:val="24"/>
          <w:rtl/>
        </w:rPr>
        <w:t>سؤول</w:t>
      </w:r>
      <w:r w:rsidR="008A317D">
        <w:rPr>
          <w:rFonts w:ascii="Simplified Arabic" w:hAnsi="Simplified Arabic" w:cs="Simplified Arabic" w:hint="cs"/>
          <w:sz w:val="24"/>
          <w:szCs w:val="24"/>
          <w:rtl/>
        </w:rPr>
        <w:t>ين</w:t>
      </w:r>
      <w:r w:rsidRPr="005010E6">
        <w:rPr>
          <w:rFonts w:ascii="Simplified Arabic" w:hAnsi="Simplified Arabic" w:cs="Simplified Arabic"/>
          <w:sz w:val="24"/>
          <w:szCs w:val="24"/>
          <w:rtl/>
        </w:rPr>
        <w:t xml:space="preserve"> القانوني</w:t>
      </w:r>
      <w:r w:rsidR="008A317D">
        <w:rPr>
          <w:rFonts w:ascii="Simplified Arabic" w:hAnsi="Simplified Arabic" w:cs="Simplified Arabic" w:hint="cs"/>
          <w:sz w:val="24"/>
          <w:szCs w:val="24"/>
          <w:rtl/>
        </w:rPr>
        <w:t>ين</w:t>
      </w:r>
      <w:r w:rsidRPr="005010E6">
        <w:rPr>
          <w:rFonts w:ascii="Simplified Arabic" w:hAnsi="Simplified Arabic" w:cs="Simplified Arabic"/>
          <w:sz w:val="24"/>
          <w:szCs w:val="24"/>
          <w:rtl/>
        </w:rPr>
        <w:t xml:space="preserve"> </w:t>
      </w:r>
      <w:r w:rsidR="008A317D">
        <w:rPr>
          <w:rFonts w:ascii="Simplified Arabic" w:hAnsi="Simplified Arabic" w:cs="Simplified Arabic" w:hint="cs"/>
          <w:sz w:val="24"/>
          <w:szCs w:val="24"/>
          <w:rtl/>
        </w:rPr>
        <w:t>في ا</w:t>
      </w:r>
      <w:r w:rsidRPr="005010E6">
        <w:rPr>
          <w:rFonts w:ascii="Simplified Arabic" w:hAnsi="Simplified Arabic" w:cs="Simplified Arabic"/>
          <w:sz w:val="24"/>
          <w:szCs w:val="24"/>
          <w:rtl/>
        </w:rPr>
        <w:t>لأمانة تقديم توضيح، قال إن</w:t>
      </w:r>
      <w:r w:rsidRPr="005010E6">
        <w:rPr>
          <w:rFonts w:ascii="Simplified Arabic" w:hAnsi="Simplified Arabic" w:cs="Simplified Arabic" w:hint="cs"/>
          <w:sz w:val="24"/>
          <w:szCs w:val="24"/>
          <w:rtl/>
        </w:rPr>
        <w:t>ّ</w:t>
      </w:r>
      <w:r w:rsidRPr="005010E6">
        <w:rPr>
          <w:rFonts w:ascii="Simplified Arabic" w:hAnsi="Simplified Arabic" w:cs="Simplified Arabic"/>
          <w:sz w:val="24"/>
          <w:szCs w:val="24"/>
          <w:rtl/>
        </w:rPr>
        <w:t xml:space="preserve"> موقف ممثل</w:t>
      </w:r>
      <w:r w:rsidRPr="005010E6">
        <w:rPr>
          <w:rFonts w:ascii="Simplified Arabic" w:hAnsi="Simplified Arabic" w:cs="Simplified Arabic" w:hint="cs"/>
          <w:sz w:val="24"/>
          <w:szCs w:val="24"/>
          <w:rtl/>
        </w:rPr>
        <w:t>ة</w:t>
      </w:r>
      <w:r w:rsidRPr="005010E6">
        <w:rPr>
          <w:rFonts w:ascii="Simplified Arabic" w:hAnsi="Simplified Arabic" w:cs="Simplified Arabic"/>
          <w:sz w:val="24"/>
          <w:szCs w:val="24"/>
          <w:rtl/>
        </w:rPr>
        <w:t xml:space="preserve"> كولومبيا يتفق مع النظام الداخلي للاتفاقية. </w:t>
      </w:r>
      <w:r w:rsidR="008A317D">
        <w:rPr>
          <w:rFonts w:ascii="Simplified Arabic" w:hAnsi="Simplified Arabic" w:cs="Simplified Arabic" w:hint="cs"/>
          <w:sz w:val="24"/>
          <w:szCs w:val="24"/>
          <w:rtl/>
        </w:rPr>
        <w:t xml:space="preserve">وأضاف أنه حتى إذا كان المقرر المقترح نتيجة لهيئة فرعية اجتمعت فيما بين الدورات، </w:t>
      </w:r>
      <w:r w:rsidR="00BF3F4E">
        <w:rPr>
          <w:rFonts w:ascii="Simplified Arabic" w:hAnsi="Simplified Arabic" w:cs="Simplified Arabic" w:hint="cs"/>
          <w:sz w:val="24"/>
          <w:szCs w:val="24"/>
          <w:rtl/>
        </w:rPr>
        <w:t xml:space="preserve">ينبغي أن يسمح للمندوبين في الاجتماع الحالي أن </w:t>
      </w:r>
      <w:r w:rsidR="0004425E">
        <w:rPr>
          <w:rFonts w:ascii="Simplified Arabic" w:hAnsi="Simplified Arabic" w:cs="Simplified Arabic" w:hint="cs"/>
          <w:sz w:val="24"/>
          <w:szCs w:val="24"/>
          <w:rtl/>
        </w:rPr>
        <w:t>ي</w:t>
      </w:r>
      <w:r w:rsidR="00BF3F4E">
        <w:rPr>
          <w:rFonts w:ascii="Simplified Arabic" w:hAnsi="Simplified Arabic" w:cs="Simplified Arabic" w:hint="cs"/>
          <w:sz w:val="24"/>
          <w:szCs w:val="24"/>
          <w:rtl/>
        </w:rPr>
        <w:t xml:space="preserve">قدموا تعليقات كجزء من سلطة مؤتمر الأطراف بوصفة هيئة إدارية. وأضاف أنه نظرا لضيق الوقت، </w:t>
      </w:r>
      <w:r w:rsidRPr="005010E6">
        <w:rPr>
          <w:rFonts w:ascii="Simplified Arabic" w:hAnsi="Simplified Arabic" w:cs="Simplified Arabic"/>
          <w:sz w:val="24"/>
          <w:szCs w:val="24"/>
          <w:rtl/>
        </w:rPr>
        <w:t>لم ي</w:t>
      </w:r>
      <w:r w:rsidRPr="005010E6">
        <w:rPr>
          <w:rFonts w:ascii="Simplified Arabic" w:hAnsi="Simplified Arabic" w:cs="Simplified Arabic" w:hint="cs"/>
          <w:sz w:val="24"/>
          <w:szCs w:val="24"/>
          <w:rtl/>
        </w:rPr>
        <w:t>تسنَ</w:t>
      </w:r>
      <w:r w:rsidRPr="005010E6">
        <w:rPr>
          <w:rFonts w:ascii="Simplified Arabic" w:hAnsi="Simplified Arabic" w:cs="Simplified Arabic"/>
          <w:sz w:val="24"/>
          <w:szCs w:val="24"/>
          <w:rtl/>
        </w:rPr>
        <w:t xml:space="preserve"> استكمال البند </w:t>
      </w:r>
      <w:r w:rsidRPr="005010E6">
        <w:rPr>
          <w:rFonts w:ascii="Simplified Arabic" w:hAnsi="Simplified Arabic" w:cs="Simplified Arabic" w:hint="cs"/>
          <w:sz w:val="24"/>
          <w:szCs w:val="24"/>
          <w:rtl/>
        </w:rPr>
        <w:t>في</w:t>
      </w:r>
      <w:r w:rsidRPr="005010E6">
        <w:rPr>
          <w:rFonts w:ascii="Simplified Arabic" w:hAnsi="Simplified Arabic" w:cs="Simplified Arabic"/>
          <w:sz w:val="24"/>
          <w:szCs w:val="24"/>
          <w:rtl/>
        </w:rPr>
        <w:t xml:space="preserve"> الاجتماع</w:t>
      </w:r>
      <w:r w:rsidR="00BF3F4E">
        <w:rPr>
          <w:rFonts w:ascii="Simplified Arabic" w:hAnsi="Simplified Arabic" w:cs="Simplified Arabic" w:hint="cs"/>
          <w:sz w:val="24"/>
          <w:szCs w:val="24"/>
          <w:rtl/>
        </w:rPr>
        <w:t xml:space="preserve"> الحالي</w:t>
      </w:r>
      <w:r w:rsidR="00BF3F4E">
        <w:rPr>
          <w:rFonts w:ascii="Simplified Arabic" w:hAnsi="Simplified Arabic" w:cs="Simplified Arabic"/>
          <w:sz w:val="24"/>
          <w:szCs w:val="24"/>
          <w:rtl/>
        </w:rPr>
        <w:t xml:space="preserve">، </w:t>
      </w:r>
      <w:r w:rsidR="00BF3F4E">
        <w:rPr>
          <w:rFonts w:ascii="Simplified Arabic" w:hAnsi="Simplified Arabic" w:cs="Simplified Arabic" w:hint="cs"/>
          <w:sz w:val="24"/>
          <w:szCs w:val="24"/>
          <w:rtl/>
        </w:rPr>
        <w:t>و</w:t>
      </w:r>
      <w:r w:rsidRPr="005010E6">
        <w:rPr>
          <w:rFonts w:ascii="Simplified Arabic" w:hAnsi="Simplified Arabic" w:cs="Simplified Arabic"/>
          <w:sz w:val="24"/>
          <w:szCs w:val="24"/>
          <w:rtl/>
        </w:rPr>
        <w:t>يمكن إعادة النظر فيه في اجتماع لاحق</w:t>
      </w:r>
      <w:r w:rsidRPr="005010E6">
        <w:rPr>
          <w:rFonts w:ascii="Simplified Arabic" w:hAnsi="Simplified Arabic" w:cs="Simplified Arabic" w:hint="cs"/>
          <w:sz w:val="24"/>
          <w:szCs w:val="24"/>
          <w:rtl/>
        </w:rPr>
        <w:t>.</w:t>
      </w:r>
      <w:r w:rsidR="00BF3F4E">
        <w:rPr>
          <w:rFonts w:hint="cs"/>
          <w:rtl/>
        </w:rPr>
        <w:t xml:space="preserve"> </w:t>
      </w:r>
      <w:r w:rsidR="00BF3F4E" w:rsidRPr="0004425E">
        <w:rPr>
          <w:rFonts w:ascii="Simplified Arabic" w:hAnsi="Simplified Arabic" w:cs="Simplified Arabic"/>
          <w:sz w:val="24"/>
          <w:szCs w:val="24"/>
          <w:rtl/>
        </w:rPr>
        <w:t>وبعد المشورة، سمحت رئيسة الفريق للمندوبين الإدلاء بتعليقات وتقديم التغييرات على مشروع المقرر المعروض أمامهم.</w:t>
      </w:r>
    </w:p>
    <w:p w:rsidR="00C765FC" w:rsidRPr="005010E6" w:rsidRDefault="00C765FC" w:rsidP="008A317D">
      <w:pPr>
        <w:pStyle w:val="ListParagraph1"/>
        <w:numPr>
          <w:ilvl w:val="0"/>
          <w:numId w:val="6"/>
        </w:numPr>
        <w:tabs>
          <w:tab w:val="clear" w:pos="720"/>
        </w:tabs>
        <w:bidi/>
        <w:spacing w:before="0" w:line="216" w:lineRule="auto"/>
        <w:ind w:left="0" w:firstLine="0"/>
        <w:rPr>
          <w:rtl/>
          <w:lang w:bidi="ar-EG"/>
        </w:rPr>
      </w:pPr>
      <w:r w:rsidRPr="005010E6">
        <w:rPr>
          <w:rFonts w:ascii="Simplified Arabic" w:hAnsi="Simplified Arabic" w:cs="Simplified Arabic" w:hint="cs"/>
          <w:sz w:val="24"/>
          <w:szCs w:val="24"/>
          <w:rtl/>
        </w:rPr>
        <w:t>و</w:t>
      </w:r>
      <w:r w:rsidRPr="005010E6">
        <w:rPr>
          <w:rFonts w:ascii="Simplified Arabic" w:hAnsi="Simplified Arabic" w:cs="Simplified Arabic"/>
          <w:sz w:val="24"/>
          <w:szCs w:val="24"/>
          <w:rtl/>
        </w:rPr>
        <w:t xml:space="preserve">قالت ممثلة النرويج، مشيرة إلى البيان الوارد في مشروع المقرر </w:t>
      </w:r>
      <w:r w:rsidRPr="005010E6">
        <w:rPr>
          <w:rFonts w:ascii="Simplified Arabic" w:hAnsi="Simplified Arabic" w:cs="Simplified Arabic" w:hint="cs"/>
          <w:sz w:val="24"/>
          <w:szCs w:val="24"/>
          <w:rtl/>
        </w:rPr>
        <w:t>والذي مفاده اعتزام</w:t>
      </w:r>
      <w:r w:rsidRPr="005010E6">
        <w:rPr>
          <w:rFonts w:ascii="Simplified Arabic" w:hAnsi="Simplified Arabic" w:cs="Simplified Arabic"/>
          <w:sz w:val="24"/>
          <w:szCs w:val="24"/>
          <w:rtl/>
        </w:rPr>
        <w:t xml:space="preserve"> تشكيل فريق مخصص من الخبراء التقنيين بشأن الأنواع الغريبة الغازية، إن</w:t>
      </w:r>
      <w:r w:rsidRPr="005010E6">
        <w:rPr>
          <w:rFonts w:ascii="Simplified Arabic" w:hAnsi="Simplified Arabic" w:cs="Simplified Arabic" w:hint="cs"/>
          <w:sz w:val="24"/>
          <w:szCs w:val="24"/>
          <w:rtl/>
        </w:rPr>
        <w:t>ّ</w:t>
      </w:r>
      <w:r w:rsidRPr="005010E6">
        <w:rPr>
          <w:rFonts w:ascii="Simplified Arabic" w:hAnsi="Simplified Arabic" w:cs="Simplified Arabic"/>
          <w:sz w:val="24"/>
          <w:szCs w:val="24"/>
          <w:rtl/>
        </w:rPr>
        <w:t xml:space="preserve"> حكومتها تعهدت بمبلغ 000</w:t>
      </w:r>
      <w:r w:rsidR="008A317D">
        <w:rPr>
          <w:rFonts w:ascii="Simplified Arabic" w:hAnsi="Simplified Arabic" w:cs="Simplified Arabic" w:hint="cs"/>
          <w:sz w:val="24"/>
          <w:szCs w:val="24"/>
          <w:rtl/>
        </w:rPr>
        <w:t> 500</w:t>
      </w:r>
      <w:r w:rsidRPr="005010E6">
        <w:rPr>
          <w:rFonts w:ascii="Simplified Arabic" w:hAnsi="Simplified Arabic" w:cs="Simplified Arabic"/>
          <w:sz w:val="24"/>
          <w:szCs w:val="24"/>
          <w:rtl/>
        </w:rPr>
        <w:t xml:space="preserve"> كرونة نرويجية (حوالي </w:t>
      </w:r>
      <w:r w:rsidRPr="005010E6">
        <w:rPr>
          <w:rFonts w:ascii="Simplified Arabic" w:hAnsi="Simplified Arabic" w:cs="Simplified Arabic" w:hint="cs"/>
          <w:sz w:val="24"/>
          <w:szCs w:val="24"/>
          <w:rtl/>
        </w:rPr>
        <w:t>000</w:t>
      </w:r>
      <w:r w:rsidR="008A317D">
        <w:rPr>
          <w:rFonts w:ascii="Simplified Arabic" w:hAnsi="Simplified Arabic" w:cs="Simplified Arabic" w:hint="eastAsia"/>
          <w:sz w:val="24"/>
          <w:szCs w:val="24"/>
          <w:rtl/>
        </w:rPr>
        <w:t> 60</w:t>
      </w:r>
      <w:r w:rsidRPr="005010E6">
        <w:rPr>
          <w:rFonts w:ascii="Simplified Arabic" w:hAnsi="Simplified Arabic" w:cs="Simplified Arabic"/>
          <w:sz w:val="24"/>
          <w:szCs w:val="24"/>
          <w:rtl/>
        </w:rPr>
        <w:t xml:space="preserve"> دولار) لدعم عمل </w:t>
      </w:r>
      <w:r w:rsidRPr="005010E6">
        <w:rPr>
          <w:rFonts w:ascii="Simplified Arabic" w:hAnsi="Simplified Arabic" w:cs="Simplified Arabic" w:hint="cs"/>
          <w:sz w:val="24"/>
          <w:szCs w:val="24"/>
          <w:rtl/>
        </w:rPr>
        <w:t>الفريق.</w:t>
      </w:r>
    </w:p>
    <w:p w:rsidR="00C765FC" w:rsidRPr="005010E6" w:rsidRDefault="00C765FC" w:rsidP="00FF7FA5">
      <w:pPr>
        <w:pStyle w:val="ListParagraph1"/>
        <w:numPr>
          <w:ilvl w:val="0"/>
          <w:numId w:val="6"/>
        </w:numPr>
        <w:tabs>
          <w:tab w:val="clear" w:pos="720"/>
        </w:tabs>
        <w:bidi/>
        <w:spacing w:before="0" w:line="216" w:lineRule="auto"/>
        <w:ind w:left="0" w:firstLine="0"/>
        <w:rPr>
          <w:rFonts w:ascii="Simplified Arabic" w:hAnsi="Simplified Arabic" w:cs="Simplified Arabic"/>
          <w:sz w:val="24"/>
          <w:szCs w:val="24"/>
          <w:rtl/>
        </w:rPr>
      </w:pPr>
      <w:r w:rsidRPr="005010E6">
        <w:rPr>
          <w:rFonts w:ascii="Simplified Arabic" w:hAnsi="Simplified Arabic" w:cs="Simplified Arabic"/>
          <w:szCs w:val="24"/>
          <w:rtl/>
        </w:rPr>
        <w:t xml:space="preserve">واستأنف الفريق العامل </w:t>
      </w:r>
      <w:r w:rsidRPr="005010E6">
        <w:rPr>
          <w:rFonts w:ascii="Simplified Arabic" w:hAnsi="Simplified Arabic" w:cs="Simplified Arabic" w:hint="cs"/>
          <w:szCs w:val="24"/>
          <w:rtl/>
        </w:rPr>
        <w:t>نظره</w:t>
      </w:r>
      <w:r w:rsidRPr="005010E6">
        <w:rPr>
          <w:rFonts w:ascii="Simplified Arabic" w:hAnsi="Simplified Arabic" w:cs="Simplified Arabic"/>
          <w:szCs w:val="24"/>
          <w:rtl/>
        </w:rPr>
        <w:t xml:space="preserve"> في</w:t>
      </w:r>
      <w:r w:rsidRPr="005010E6">
        <w:rPr>
          <w:rFonts w:ascii="Simplified Arabic" w:hAnsi="Simplified Arabic" w:cs="Simplified Arabic" w:hint="cs"/>
          <w:szCs w:val="24"/>
          <w:rtl/>
        </w:rPr>
        <w:t xml:space="preserve"> </w:t>
      </w:r>
      <w:r w:rsidRPr="005010E6">
        <w:rPr>
          <w:rFonts w:ascii="Simplified Arabic" w:hAnsi="Simplified Arabic" w:cs="Simplified Arabic"/>
          <w:sz w:val="24"/>
          <w:szCs w:val="24"/>
          <w:rtl/>
        </w:rPr>
        <w:t xml:space="preserve">مشروع المقرر </w:t>
      </w:r>
      <w:r w:rsidRPr="005010E6">
        <w:rPr>
          <w:rFonts w:ascii="Simplified Arabic" w:hAnsi="Simplified Arabic" w:cs="Simplified Arabic" w:hint="cs"/>
          <w:sz w:val="24"/>
          <w:szCs w:val="24"/>
          <w:rtl/>
        </w:rPr>
        <w:t>المتعلق</w:t>
      </w:r>
      <w:r w:rsidRPr="005010E6">
        <w:rPr>
          <w:rFonts w:ascii="Simplified Arabic" w:hAnsi="Simplified Arabic" w:cs="Simplified Arabic"/>
          <w:sz w:val="24"/>
          <w:szCs w:val="24"/>
          <w:rtl/>
        </w:rPr>
        <w:t xml:space="preserve"> </w:t>
      </w:r>
      <w:r w:rsidRPr="005010E6">
        <w:rPr>
          <w:rFonts w:ascii="Simplified Arabic" w:hAnsi="Simplified Arabic" w:cs="Simplified Arabic" w:hint="cs"/>
          <w:sz w:val="24"/>
          <w:szCs w:val="24"/>
          <w:rtl/>
        </w:rPr>
        <w:t>ب</w:t>
      </w:r>
      <w:r w:rsidRPr="005010E6">
        <w:rPr>
          <w:rFonts w:ascii="Simplified Arabic" w:hAnsi="Simplified Arabic" w:cs="Simplified Arabic"/>
          <w:sz w:val="24"/>
          <w:szCs w:val="24"/>
          <w:rtl/>
        </w:rPr>
        <w:t>الأنواع الغريبة الغازية</w:t>
      </w:r>
      <w:r w:rsidRPr="005010E6">
        <w:rPr>
          <w:rFonts w:ascii="Simplified Arabic" w:hAnsi="Simplified Arabic" w:cs="Simplified Arabic"/>
          <w:szCs w:val="24"/>
          <w:rtl/>
        </w:rPr>
        <w:t xml:space="preserve"> في</w:t>
      </w:r>
      <w:r w:rsidRPr="005010E6">
        <w:rPr>
          <w:rFonts w:ascii="Simplified Arabic" w:hAnsi="Simplified Arabic" w:cs="Simplified Arabic" w:hint="cs"/>
          <w:szCs w:val="24"/>
          <w:rtl/>
        </w:rPr>
        <w:t xml:space="preserve"> </w:t>
      </w:r>
      <w:r w:rsidR="008F3A5A">
        <w:rPr>
          <w:rFonts w:ascii="Simplified Arabic" w:hAnsi="Simplified Arabic" w:cs="Simplified Arabic" w:hint="cs"/>
          <w:szCs w:val="24"/>
          <w:rtl/>
        </w:rPr>
        <w:t>جلست</w:t>
      </w:r>
      <w:r w:rsidRPr="005010E6">
        <w:rPr>
          <w:rFonts w:ascii="Simplified Arabic" w:hAnsi="Simplified Arabic" w:cs="Simplified Arabic" w:hint="cs"/>
          <w:szCs w:val="24"/>
          <w:rtl/>
        </w:rPr>
        <w:t>ه</w:t>
      </w:r>
      <w:r w:rsidRPr="005010E6">
        <w:rPr>
          <w:rFonts w:ascii="Simplified Arabic" w:hAnsi="Simplified Arabic" w:cs="Simplified Arabic"/>
          <w:szCs w:val="24"/>
          <w:rtl/>
        </w:rPr>
        <w:t xml:space="preserve"> </w:t>
      </w:r>
      <w:r w:rsidRPr="005010E6">
        <w:rPr>
          <w:rFonts w:ascii="Simplified Arabic" w:hAnsi="Simplified Arabic" w:cs="Simplified Arabic"/>
          <w:sz w:val="24"/>
          <w:szCs w:val="24"/>
          <w:rtl/>
        </w:rPr>
        <w:t>السادس</w:t>
      </w:r>
      <w:r w:rsidR="008F3A5A">
        <w:rPr>
          <w:rFonts w:ascii="Simplified Arabic" w:hAnsi="Simplified Arabic" w:cs="Simplified Arabic" w:hint="cs"/>
          <w:sz w:val="24"/>
          <w:szCs w:val="24"/>
          <w:rtl/>
        </w:rPr>
        <w:t>ة</w:t>
      </w:r>
      <w:r w:rsidRPr="005010E6">
        <w:rPr>
          <w:rFonts w:ascii="Simplified Arabic" w:hAnsi="Simplified Arabic" w:cs="Simplified Arabic"/>
          <w:sz w:val="24"/>
          <w:szCs w:val="24"/>
          <w:rtl/>
        </w:rPr>
        <w:t xml:space="preserve"> عشر</w:t>
      </w:r>
      <w:r w:rsidR="008F3A5A">
        <w:rPr>
          <w:rFonts w:ascii="Simplified Arabic" w:hAnsi="Simplified Arabic" w:cs="Simplified Arabic" w:hint="cs"/>
          <w:sz w:val="24"/>
          <w:szCs w:val="24"/>
          <w:rtl/>
        </w:rPr>
        <w:t>ة</w:t>
      </w:r>
      <w:r w:rsidRPr="005010E6">
        <w:rPr>
          <w:rFonts w:ascii="Simplified Arabic" w:hAnsi="Simplified Arabic" w:cs="Simplified Arabic"/>
          <w:sz w:val="24"/>
          <w:szCs w:val="24"/>
          <w:rtl/>
        </w:rPr>
        <w:t>،</w:t>
      </w:r>
      <w:r w:rsidRPr="005010E6">
        <w:rPr>
          <w:rFonts w:ascii="Simplified Arabic" w:hAnsi="Simplified Arabic" w:cs="Simplified Arabic"/>
          <w:szCs w:val="24"/>
          <w:rtl/>
        </w:rPr>
        <w:t xml:space="preserve">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w:t>
      </w:r>
      <w:r w:rsidRPr="005010E6">
        <w:rPr>
          <w:rFonts w:ascii="Simplified Arabic" w:hAnsi="Simplified Arabic" w:cs="Simplified Arabic"/>
          <w:sz w:val="24"/>
          <w:szCs w:val="24"/>
          <w:rtl/>
        </w:rPr>
        <w:t>27 نوفمبر/تشرين الثاني</w:t>
      </w:r>
      <w:r w:rsidRPr="005010E6">
        <w:rPr>
          <w:rFonts w:ascii="Simplified Arabic" w:hAnsi="Simplified Arabic" w:cs="Simplified Arabic"/>
          <w:szCs w:val="24"/>
          <w:rtl/>
        </w:rPr>
        <w:t xml:space="preserve"> 2018</w:t>
      </w:r>
      <w:r w:rsidRPr="005010E6">
        <w:rPr>
          <w:rFonts w:ascii="Simplified Arabic" w:hAnsi="Simplified Arabic" w:cs="Simplified Arabic" w:hint="cs"/>
          <w:szCs w:val="24"/>
          <w:rtl/>
        </w:rPr>
        <w:t>.</w:t>
      </w:r>
    </w:p>
    <w:p w:rsidR="00C765FC" w:rsidRPr="005010E6" w:rsidRDefault="00C765FC" w:rsidP="00FF7FA5">
      <w:pPr>
        <w:pStyle w:val="ListParagraph1"/>
        <w:numPr>
          <w:ilvl w:val="0"/>
          <w:numId w:val="6"/>
        </w:numPr>
        <w:tabs>
          <w:tab w:val="clear" w:pos="720"/>
        </w:tabs>
        <w:bidi/>
        <w:spacing w:before="0" w:line="216" w:lineRule="auto"/>
        <w:ind w:left="0" w:firstLine="0"/>
        <w:rPr>
          <w:rFonts w:ascii="Simplified Arabic" w:hAnsi="Simplified Arabic" w:cs="Simplified Arabic"/>
          <w:sz w:val="24"/>
          <w:szCs w:val="24"/>
          <w:rtl/>
        </w:rPr>
      </w:pPr>
      <w:r w:rsidRPr="005010E6">
        <w:rPr>
          <w:rFonts w:ascii="Simplified Arabic" w:hAnsi="Simplified Arabic" w:cs="Simplified Arabic"/>
          <w:szCs w:val="24"/>
          <w:rtl/>
        </w:rPr>
        <w:lastRenderedPageBreak/>
        <w:t>وأ</w:t>
      </w:r>
      <w:r w:rsidR="008F3A5A">
        <w:rPr>
          <w:rFonts w:ascii="Simplified Arabic" w:hAnsi="Simplified Arabic" w:cs="Simplified Arabic" w:hint="cs"/>
          <w:szCs w:val="24"/>
          <w:rtl/>
        </w:rPr>
        <w:t>دلى ب</w:t>
      </w:r>
      <w:r w:rsidRPr="005010E6">
        <w:rPr>
          <w:rFonts w:ascii="Simplified Arabic" w:hAnsi="Simplified Arabic" w:cs="Simplified Arabic"/>
          <w:szCs w:val="24"/>
          <w:rtl/>
        </w:rPr>
        <w:t>بيانات ممثل</w:t>
      </w:r>
      <w:r w:rsidR="008F3A5A">
        <w:rPr>
          <w:rFonts w:ascii="Simplified Arabic" w:hAnsi="Simplified Arabic" w:cs="Simplified Arabic" w:hint="cs"/>
          <w:szCs w:val="24"/>
          <w:rtl/>
        </w:rPr>
        <w:t>و</w:t>
      </w:r>
      <w:r w:rsidRPr="005010E6">
        <w:rPr>
          <w:rFonts w:ascii="Simplified Arabic" w:hAnsi="Simplified Arabic" w:cs="Simplified Arabic"/>
          <w:sz w:val="24"/>
          <w:szCs w:val="24"/>
          <w:rtl/>
        </w:rPr>
        <w:t xml:space="preserve"> البرازيل، </w:t>
      </w:r>
      <w:r w:rsidRPr="005010E6">
        <w:rPr>
          <w:rFonts w:ascii="Simplified Arabic" w:hAnsi="Simplified Arabic" w:cs="Simplified Arabic" w:hint="cs"/>
          <w:sz w:val="24"/>
          <w:szCs w:val="24"/>
          <w:rtl/>
        </w:rPr>
        <w:t>و</w:t>
      </w:r>
      <w:r w:rsidRPr="005010E6">
        <w:rPr>
          <w:rFonts w:ascii="Simplified Arabic" w:hAnsi="Simplified Arabic" w:cs="Simplified Arabic"/>
          <w:sz w:val="24"/>
          <w:szCs w:val="24"/>
          <w:rtl/>
        </w:rPr>
        <w:t xml:space="preserve">كولومبيا، </w:t>
      </w:r>
      <w:r w:rsidRPr="005010E6">
        <w:rPr>
          <w:rFonts w:ascii="Simplified Arabic" w:hAnsi="Simplified Arabic" w:cs="Simplified Arabic" w:hint="cs"/>
          <w:sz w:val="24"/>
          <w:szCs w:val="24"/>
          <w:rtl/>
        </w:rPr>
        <w:t>و</w:t>
      </w:r>
      <w:r w:rsidRPr="005010E6">
        <w:rPr>
          <w:rFonts w:ascii="Simplified Arabic" w:hAnsi="Simplified Arabic" w:cs="Simplified Arabic"/>
          <w:sz w:val="24"/>
          <w:szCs w:val="24"/>
          <w:rtl/>
        </w:rPr>
        <w:t>غرينادا ونيوزيلندا</w:t>
      </w:r>
      <w:r w:rsidRPr="005010E6">
        <w:rPr>
          <w:rFonts w:ascii="Simplified Arabic" w:hAnsi="Simplified Arabic" w:cs="Simplified Arabic" w:hint="cs"/>
          <w:sz w:val="24"/>
          <w:szCs w:val="24"/>
          <w:rtl/>
        </w:rPr>
        <w:t>.</w:t>
      </w:r>
    </w:p>
    <w:p w:rsidR="00C765FC" w:rsidRPr="005010E6" w:rsidRDefault="00C765FC" w:rsidP="00FF7FA5">
      <w:pPr>
        <w:pStyle w:val="ListParagraph1"/>
        <w:numPr>
          <w:ilvl w:val="0"/>
          <w:numId w:val="6"/>
        </w:numPr>
        <w:tabs>
          <w:tab w:val="clear" w:pos="720"/>
        </w:tabs>
        <w:bidi/>
        <w:spacing w:before="0" w:line="216" w:lineRule="auto"/>
        <w:ind w:left="0" w:firstLine="0"/>
        <w:rPr>
          <w:rFonts w:ascii="Simplified Arabic" w:hAnsi="Simplified Arabic" w:cs="Simplified Arabic"/>
          <w:szCs w:val="24"/>
          <w:rtl/>
          <w:lang w:bidi="ar-EG"/>
        </w:rPr>
      </w:pPr>
      <w:r w:rsidRPr="005010E6">
        <w:rPr>
          <w:rFonts w:ascii="Simplified Arabic" w:hAnsi="Simplified Arabic" w:cs="Simplified Arabic" w:hint="cs"/>
          <w:sz w:val="24"/>
          <w:szCs w:val="24"/>
          <w:rtl/>
        </w:rPr>
        <w:t>و</w:t>
      </w:r>
      <w:r w:rsidRPr="005010E6">
        <w:rPr>
          <w:rFonts w:ascii="Simplified Arabic" w:hAnsi="Simplified Arabic" w:cs="Simplified Arabic"/>
          <w:sz w:val="24"/>
          <w:szCs w:val="24"/>
          <w:rtl/>
        </w:rPr>
        <w:t>أدلى ببيان</w:t>
      </w:r>
      <w:r w:rsidRPr="005010E6">
        <w:rPr>
          <w:rFonts w:ascii="Simplified Arabic" w:hAnsi="Simplified Arabic" w:cs="Simplified Arabic" w:hint="cs"/>
          <w:sz w:val="24"/>
          <w:szCs w:val="24"/>
          <w:rtl/>
        </w:rPr>
        <w:t>ين</w:t>
      </w:r>
      <w:r w:rsidRPr="005010E6">
        <w:rPr>
          <w:rFonts w:ascii="Simplified Arabic" w:hAnsi="Simplified Arabic" w:cs="Simplified Arabic"/>
          <w:sz w:val="24"/>
          <w:szCs w:val="24"/>
          <w:rtl/>
        </w:rPr>
        <w:t xml:space="preserve"> أيضا ممثل</w:t>
      </w:r>
      <w:r w:rsidRPr="005010E6">
        <w:rPr>
          <w:rFonts w:ascii="Simplified Arabic" w:hAnsi="Simplified Arabic" w:cs="Simplified Arabic" w:hint="cs"/>
          <w:sz w:val="24"/>
          <w:szCs w:val="24"/>
          <w:rtl/>
        </w:rPr>
        <w:t xml:space="preserve">ا </w:t>
      </w:r>
      <w:r w:rsidRPr="005010E6">
        <w:rPr>
          <w:rFonts w:ascii="Simplified Arabic" w:hAnsi="Simplified Arabic" w:cs="Simplified Arabic"/>
          <w:szCs w:val="24"/>
          <w:rtl/>
        </w:rPr>
        <w:t>المنتدى الدولي للشعوب الأصلية المعني بالتنوع البيولوجي</w:t>
      </w:r>
      <w:r w:rsidRPr="005010E6">
        <w:rPr>
          <w:rFonts w:ascii="Simplified Arabic" w:hAnsi="Simplified Arabic" w:cs="Simplified Arabic"/>
          <w:sz w:val="24"/>
          <w:szCs w:val="24"/>
          <w:rtl/>
        </w:rPr>
        <w:t xml:space="preserve"> (ب</w:t>
      </w:r>
      <w:r w:rsidR="008F3A5A">
        <w:rPr>
          <w:rFonts w:ascii="Simplified Arabic" w:hAnsi="Simplified Arabic" w:cs="Simplified Arabic" w:hint="cs"/>
          <w:sz w:val="24"/>
          <w:szCs w:val="24"/>
          <w:rtl/>
        </w:rPr>
        <w:t>تأييد</w:t>
      </w:r>
      <w:r w:rsidRPr="005010E6">
        <w:rPr>
          <w:rFonts w:ascii="Simplified Arabic" w:hAnsi="Simplified Arabic" w:cs="Simplified Arabic"/>
          <w:sz w:val="24"/>
          <w:szCs w:val="24"/>
          <w:rtl/>
        </w:rPr>
        <w:t xml:space="preserve"> من كندا، وكوستاريكا، وإكوادور، والفلبين) </w:t>
      </w:r>
      <w:r w:rsidRPr="005010E6">
        <w:rPr>
          <w:rFonts w:ascii="Simplified Arabic" w:hAnsi="Simplified Arabic" w:cs="Simplified Arabic" w:hint="cs"/>
          <w:szCs w:val="24"/>
          <w:rtl/>
        </w:rPr>
        <w:t>ومنظمة حفظ</w:t>
      </w:r>
      <w:r w:rsidRPr="005010E6">
        <w:rPr>
          <w:rFonts w:ascii="Simplified Arabic" w:hAnsi="Simplified Arabic" w:cs="Simplified Arabic"/>
          <w:szCs w:val="24"/>
          <w:rtl/>
        </w:rPr>
        <w:t xml:space="preserve"> الجز</w:t>
      </w:r>
      <w:r w:rsidRPr="005010E6">
        <w:rPr>
          <w:rFonts w:ascii="Simplified Arabic" w:hAnsi="Simplified Arabic" w:cs="Simplified Arabic" w:hint="cs"/>
          <w:szCs w:val="24"/>
          <w:rtl/>
        </w:rPr>
        <w:t>ر.</w:t>
      </w:r>
    </w:p>
    <w:p w:rsidR="00D50BC6" w:rsidRPr="005010E6" w:rsidRDefault="00C765FC" w:rsidP="00FF7FA5">
      <w:pPr>
        <w:pStyle w:val="ListParagraph1"/>
        <w:numPr>
          <w:ilvl w:val="0"/>
          <w:numId w:val="6"/>
        </w:numPr>
        <w:tabs>
          <w:tab w:val="clear" w:pos="720"/>
        </w:tabs>
        <w:bidi/>
        <w:spacing w:before="0" w:line="216" w:lineRule="auto"/>
        <w:ind w:left="0" w:firstLine="0"/>
        <w:rPr>
          <w:rFonts w:ascii="Simplified Arabic" w:hAnsi="Simplified Arabic" w:cs="Simplified Arabic"/>
          <w:sz w:val="24"/>
          <w:szCs w:val="24"/>
          <w:lang w:bidi="ar-EG"/>
        </w:rPr>
      </w:pPr>
      <w:r w:rsidRPr="005010E6">
        <w:rPr>
          <w:rFonts w:ascii="Simplified Arabic" w:hAnsi="Simplified Arabic" w:cs="Simplified Arabic"/>
          <w:sz w:val="24"/>
          <w:szCs w:val="24"/>
          <w:rtl/>
        </w:rPr>
        <w:t xml:space="preserve">وبعد تبادل الآراء، </w:t>
      </w:r>
      <w:r w:rsidRPr="005010E6">
        <w:rPr>
          <w:rFonts w:ascii="Simplified Arabic" w:hAnsi="Simplified Arabic" w:cs="Simplified Arabic" w:hint="cs"/>
          <w:sz w:val="24"/>
          <w:szCs w:val="24"/>
          <w:rtl/>
        </w:rPr>
        <w:t>وُوفق</w:t>
      </w:r>
      <w:r w:rsidRPr="005010E6">
        <w:rPr>
          <w:rFonts w:ascii="Simplified Arabic" w:hAnsi="Simplified Arabic" w:cs="Simplified Arabic"/>
          <w:sz w:val="24"/>
          <w:szCs w:val="24"/>
          <w:rtl/>
        </w:rPr>
        <w:t xml:space="preserve"> على مشروع المقرر، بصيغته المعدلة شفويا</w:t>
      </w:r>
      <w:r w:rsidR="007414C9">
        <w:rPr>
          <w:rFonts w:ascii="Simplified Arabic" w:hAnsi="Simplified Arabic" w:cs="Simplified Arabic" w:hint="cs"/>
          <w:sz w:val="24"/>
          <w:szCs w:val="24"/>
          <w:rtl/>
        </w:rPr>
        <w:t>ً</w:t>
      </w:r>
      <w:r w:rsidRPr="005010E6">
        <w:rPr>
          <w:rFonts w:ascii="Simplified Arabic" w:hAnsi="Simplified Arabic" w:cs="Simplified Arabic"/>
          <w:sz w:val="24"/>
          <w:szCs w:val="24"/>
          <w:rtl/>
        </w:rPr>
        <w:t xml:space="preserve">، لإحالته إلى الجلسة العامة </w:t>
      </w:r>
      <w:r w:rsidR="00BE3594" w:rsidRPr="005010E6">
        <w:rPr>
          <w:rFonts w:ascii="Simplified Arabic" w:hAnsi="Simplified Arabic" w:cs="Simplified Arabic" w:hint="cs"/>
          <w:szCs w:val="24"/>
          <w:rtl/>
        </w:rPr>
        <w:t>بوصفه مشروع المقرر</w:t>
      </w:r>
      <w:r w:rsidRPr="005010E6">
        <w:rPr>
          <w:rFonts w:ascii="Simplified Arabic" w:hAnsi="Simplified Arabic" w:cs="Simplified Arabic" w:hint="cs"/>
          <w:sz w:val="24"/>
          <w:szCs w:val="24"/>
          <w:rtl/>
        </w:rPr>
        <w:t xml:space="preserve"> </w:t>
      </w:r>
      <w:r w:rsidRPr="005010E6">
        <w:t>CBD/COP/14/L.27</w:t>
      </w:r>
      <w:r w:rsidRPr="005010E6">
        <w:rPr>
          <w:rFonts w:ascii="Simplified Arabic" w:hAnsi="Simplified Arabic" w:cs="Simplified Arabic" w:hint="cs"/>
          <w:sz w:val="24"/>
          <w:szCs w:val="24"/>
          <w:rtl/>
        </w:rPr>
        <w:t>.</w:t>
      </w:r>
    </w:p>
    <w:p w:rsidR="00D50BC6" w:rsidRPr="00997CAE" w:rsidRDefault="00BF3F4E" w:rsidP="00BF3F4E">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27</w:t>
      </w:r>
      <w:r>
        <w:rPr>
          <w:rFonts w:cs="Simplified Arabic" w:hint="cs"/>
          <w:rtl/>
        </w:rPr>
        <w:t xml:space="preserve"> بوصفه المقرر 14/11 (للاطلاع على النص، انظر الفصل الأول).</w:t>
      </w:r>
    </w:p>
    <w:p w:rsidR="00E5069F" w:rsidRPr="00997CAE" w:rsidRDefault="00E5069F" w:rsidP="00094717">
      <w:pPr>
        <w:pStyle w:val="Heading2"/>
      </w:pPr>
      <w:bookmarkStart w:id="248" w:name="_Toc6140030"/>
      <w:r w:rsidRPr="00997CAE">
        <w:rPr>
          <w:rFonts w:hint="cs"/>
          <w:rtl/>
        </w:rPr>
        <w:t>البند 27 -</w:t>
      </w:r>
      <w:r w:rsidRPr="00997CAE">
        <w:rPr>
          <w:rFonts w:hint="cs"/>
          <w:rtl/>
        </w:rPr>
        <w:tab/>
        <w:t>البيولوجيا التركيبية</w:t>
      </w:r>
      <w:bookmarkEnd w:id="248"/>
    </w:p>
    <w:p w:rsidR="00C765FC" w:rsidRPr="005010E6" w:rsidRDefault="00C765FC"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 xml:space="preserve">تناول الفريق العامل الثاني البند 27 من جدول الأعمال في </w:t>
      </w:r>
      <w:r w:rsidRPr="005010E6">
        <w:rPr>
          <w:rFonts w:ascii="Simplified Arabic" w:hAnsi="Simplified Arabic" w:cs="Simplified Arabic" w:hint="cs"/>
          <w:szCs w:val="24"/>
          <w:rtl/>
        </w:rPr>
        <w:t>اجتماعه</w:t>
      </w:r>
      <w:r w:rsidRPr="005010E6">
        <w:rPr>
          <w:rFonts w:ascii="Simplified Arabic" w:hAnsi="Simplified Arabic" w:cs="Simplified Arabic"/>
          <w:szCs w:val="24"/>
          <w:rtl/>
        </w:rPr>
        <w:t xml:space="preserve"> الأول المعقود في 18 نوفمبر/تشرين الثاني 2018. ولدى النظر في هذا البند، كان معروضا أمام الفريق العامل</w:t>
      </w:r>
      <w:r w:rsidRPr="005010E6">
        <w:rPr>
          <w:rFonts w:ascii="Simplified Arabic" w:hAnsi="Simplified Arabic" w:cs="Simplified Arabic" w:hint="cs"/>
          <w:szCs w:val="24"/>
          <w:rtl/>
        </w:rPr>
        <w:t xml:space="preserve"> مشروع </w:t>
      </w:r>
      <w:r w:rsidRPr="005010E6">
        <w:rPr>
          <w:rFonts w:ascii="Simplified Arabic" w:hAnsi="Simplified Arabic" w:cs="Simplified Arabic"/>
          <w:szCs w:val="24"/>
          <w:rtl/>
        </w:rPr>
        <w:t xml:space="preserve">مقرر يستند إلى </w:t>
      </w:r>
      <w:r w:rsidRPr="005010E6">
        <w:rPr>
          <w:rFonts w:ascii="Simplified Arabic" w:hAnsi="Simplified Arabic" w:cs="Simplified Arabic" w:hint="cs"/>
          <w:szCs w:val="24"/>
          <w:rtl/>
        </w:rPr>
        <w:t>ال</w:t>
      </w:r>
      <w:r w:rsidRPr="005010E6">
        <w:rPr>
          <w:rFonts w:ascii="Simplified Arabic" w:hAnsi="Simplified Arabic" w:cs="Simplified Arabic"/>
          <w:szCs w:val="24"/>
          <w:rtl/>
        </w:rPr>
        <w:t>توصي</w:t>
      </w:r>
      <w:r w:rsidRPr="005010E6">
        <w:rPr>
          <w:rFonts w:ascii="Simplified Arabic" w:hAnsi="Simplified Arabic" w:cs="Simplified Arabic" w:hint="cs"/>
          <w:szCs w:val="24"/>
          <w:rtl/>
        </w:rPr>
        <w:t xml:space="preserve">تين </w:t>
      </w:r>
      <w:r w:rsidRPr="005010E6">
        <w:rPr>
          <w:rFonts w:ascii="Simplified Arabic" w:hAnsi="Simplified Arabic" w:cs="Simplified Arabic"/>
          <w:szCs w:val="24"/>
          <w:rtl/>
        </w:rPr>
        <w:t xml:space="preserve">22/2 و22/3 </w:t>
      </w:r>
      <w:r w:rsidRPr="005010E6">
        <w:rPr>
          <w:rFonts w:ascii="Simplified Arabic" w:hAnsi="Simplified Arabic" w:cs="Simplified Arabic" w:hint="cs"/>
          <w:szCs w:val="24"/>
          <w:rtl/>
        </w:rPr>
        <w:t>ل</w:t>
      </w:r>
      <w:r w:rsidRPr="005010E6">
        <w:rPr>
          <w:rFonts w:ascii="Simplified Arabic" w:hAnsi="Simplified Arabic" w:cs="Simplified Arabic"/>
          <w:szCs w:val="24"/>
          <w:rtl/>
        </w:rPr>
        <w:t>لهيئة الفرعية للمشورة العلمية والتقنية والتكنولوجية، الوارد</w:t>
      </w:r>
      <w:r w:rsidRPr="005010E6">
        <w:rPr>
          <w:rFonts w:ascii="Simplified Arabic" w:hAnsi="Simplified Arabic" w:cs="Simplified Arabic" w:hint="cs"/>
          <w:szCs w:val="24"/>
          <w:rtl/>
        </w:rPr>
        <w:t>تين</w:t>
      </w:r>
      <w:r w:rsidRPr="005010E6">
        <w:rPr>
          <w:rFonts w:ascii="Simplified Arabic" w:hAnsi="Simplified Arabic" w:cs="Simplified Arabic"/>
          <w:szCs w:val="24"/>
          <w:rtl/>
        </w:rPr>
        <w:t xml:space="preserve"> في تجميع مشاريع المقررات </w:t>
      </w:r>
      <w:r w:rsidRPr="008F3A5A">
        <w:rPr>
          <w:szCs w:val="22"/>
          <w:rtl/>
        </w:rPr>
        <w:t>(</w:t>
      </w:r>
      <w:r w:rsidRPr="00477B14">
        <w:rPr>
          <w:szCs w:val="22"/>
          <w:lang w:val="fr-CA"/>
        </w:rPr>
        <w:t>CBD/COP/14/2</w:t>
      </w:r>
      <w:r w:rsidRPr="008F3A5A">
        <w:rPr>
          <w:szCs w:val="22"/>
          <w:rtl/>
        </w:rPr>
        <w:t>)</w:t>
      </w:r>
      <w:r w:rsidRPr="005010E6">
        <w:rPr>
          <w:rFonts w:ascii="Simplified Arabic" w:hAnsi="Simplified Arabic" w:cs="Simplified Arabic" w:hint="cs"/>
          <w:szCs w:val="24"/>
          <w:rtl/>
        </w:rPr>
        <w:t>.</w:t>
      </w:r>
    </w:p>
    <w:p w:rsidR="00C765FC" w:rsidRPr="005010E6" w:rsidRDefault="007414C9"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C765FC" w:rsidRPr="005010E6">
        <w:rPr>
          <w:rFonts w:ascii="Simplified Arabic" w:hAnsi="Simplified Arabic" w:cs="Simplified Arabic"/>
          <w:szCs w:val="24"/>
          <w:rtl/>
        </w:rPr>
        <w:t xml:space="preserve"> أنغولا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والأرجنتين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وبنغلاديش</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وبوليفيا (دولة - المتعددة القوميات)</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والبرازيل</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وكندا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وكولومبيا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والكونغو</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وكوستاريكا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وإكوادور</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ومصر</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والسلفادور</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والاتحاد الأوروبي ودول</w:t>
      </w:r>
      <w:r>
        <w:rPr>
          <w:rFonts w:ascii="Simplified Arabic" w:hAnsi="Simplified Arabic" w:cs="Simplified Arabic" w:hint="cs"/>
          <w:szCs w:val="24"/>
          <w:rtl/>
        </w:rPr>
        <w:t>ه</w:t>
      </w:r>
      <w:r w:rsidR="00C765FC" w:rsidRPr="005010E6">
        <w:rPr>
          <w:rFonts w:ascii="Simplified Arabic" w:hAnsi="Simplified Arabic" w:cs="Simplified Arabic"/>
          <w:szCs w:val="24"/>
          <w:rtl/>
        </w:rPr>
        <w:t xml:space="preserve"> الأعضاء</w:t>
      </w:r>
      <w:r w:rsidR="00C765FC" w:rsidRPr="005010E6">
        <w:rPr>
          <w:rFonts w:ascii="Simplified Arabic" w:hAnsi="Simplified Arabic" w:cs="Simplified Arabic" w:hint="cs"/>
          <w:szCs w:val="24"/>
          <w:rtl/>
        </w:rPr>
        <w:t xml:space="preserve"> </w:t>
      </w:r>
      <w:r>
        <w:rPr>
          <w:rFonts w:ascii="Simplified Arabic" w:hAnsi="Simplified Arabic" w:cs="Simplified Arabic" w:hint="cs"/>
          <w:szCs w:val="24"/>
          <w:rtl/>
        </w:rPr>
        <w:t>الثماني والعشرين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غانا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وغرينادا، وغواتيمالا، وهندوراس، والهند، وإندونيسيا، واليابان، وكينيا، وماليزيا، ومالي، والمكسيك، والمغرب، ونيوزيلندا، والنيجر، ونيجيريا، والنرويج، وبنما، وبارا</w:t>
      </w:r>
      <w:r w:rsidR="00C765FC" w:rsidRPr="005010E6">
        <w:rPr>
          <w:rFonts w:ascii="Simplified Arabic" w:hAnsi="Simplified Arabic" w:cs="Simplified Arabic" w:hint="cs"/>
          <w:szCs w:val="24"/>
          <w:rtl/>
        </w:rPr>
        <w:t>غ</w:t>
      </w:r>
      <w:r w:rsidR="00C765FC" w:rsidRPr="005010E6">
        <w:rPr>
          <w:rFonts w:ascii="Simplified Arabic" w:hAnsi="Simplified Arabic" w:cs="Simplified Arabic"/>
          <w:szCs w:val="24"/>
          <w:rtl/>
        </w:rPr>
        <w:t>واي، وبيرو، والفلبين، وجمهورية كوريا، والمملكة العربية السعودية، وجنوب أفريقيا، وسويسرا، وتايلند</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وتوغو</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وتركيا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وأوغندا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وجمهورية تنزانيا المتحدة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فنزويلا (جمهورية - البوليفارية)</w:t>
      </w:r>
      <w:r w:rsidR="00C765FC" w:rsidRPr="005010E6">
        <w:rPr>
          <w:rFonts w:ascii="Simplified Arabic" w:hAnsi="Simplified Arabic" w:cs="Simplified Arabic" w:hint="cs"/>
          <w:szCs w:val="24"/>
          <w:rtl/>
        </w:rPr>
        <w:t>.</w:t>
      </w:r>
    </w:p>
    <w:p w:rsidR="00C765FC" w:rsidRPr="005010E6" w:rsidRDefault="00C765FC" w:rsidP="00527267">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و</w:t>
      </w:r>
      <w:r w:rsidR="008F3A5A">
        <w:rPr>
          <w:rFonts w:ascii="Simplified Arabic" w:hAnsi="Simplified Arabic" w:cs="Simplified Arabic" w:hint="cs"/>
          <w:szCs w:val="24"/>
          <w:rtl/>
        </w:rPr>
        <w:t>أدلى ب</w:t>
      </w:r>
      <w:r w:rsidRPr="005010E6">
        <w:rPr>
          <w:rFonts w:ascii="Simplified Arabic" w:hAnsi="Simplified Arabic" w:cs="Simplified Arabic"/>
          <w:szCs w:val="24"/>
          <w:rtl/>
        </w:rPr>
        <w:t>بيانات أيضا المنتدى الدولي للشعوب الأصلية المعني بالتنوع البيولوجي،</w:t>
      </w:r>
      <w:r w:rsidRPr="005010E6">
        <w:rPr>
          <w:rFonts w:ascii="Simplified Arabic" w:hAnsi="Simplified Arabic" w:cs="Simplified Arabic" w:hint="cs"/>
          <w:szCs w:val="24"/>
          <w:rtl/>
        </w:rPr>
        <w:t xml:space="preserve"> وحركة "فيا كامبيسينا"،</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ومنظمة "تيرا في"</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مبادرة </w:t>
      </w:r>
      <w:r w:rsidRPr="005010E6">
        <w:rPr>
          <w:rFonts w:ascii="Simplified Arabic" w:hAnsi="Simplified Arabic" w:cs="Simplified Arabic" w:hint="cs"/>
          <w:szCs w:val="24"/>
          <w:rtl/>
        </w:rPr>
        <w:t>ا</w:t>
      </w:r>
      <w:r w:rsidRPr="005010E6">
        <w:rPr>
          <w:rFonts w:ascii="Simplified Arabic" w:hAnsi="Simplified Arabic" w:cs="Simplified Arabic"/>
          <w:szCs w:val="24"/>
          <w:rtl/>
        </w:rPr>
        <w:t>لبحوث</w:t>
      </w:r>
      <w:r w:rsidRPr="005010E6">
        <w:rPr>
          <w:rFonts w:ascii="Simplified Arabic" w:hAnsi="Simplified Arabic" w:cs="Simplified Arabic" w:hint="cs"/>
          <w:szCs w:val="24"/>
          <w:rtl/>
        </w:rPr>
        <w:t xml:space="preserve"> </w:t>
      </w:r>
      <w:r w:rsidRPr="005010E6">
        <w:rPr>
          <w:rFonts w:ascii="Simplified Arabic" w:hAnsi="Simplified Arabic" w:cs="Simplified Arabic"/>
          <w:szCs w:val="24"/>
          <w:rtl/>
        </w:rPr>
        <w:t>العامة والتنظيم</w:t>
      </w:r>
      <w:r w:rsidRPr="005010E6">
        <w:rPr>
          <w:rFonts w:ascii="Simplified Arabic" w:hAnsi="Simplified Arabic" w:cs="Simplified Arabic" w:hint="cs"/>
          <w:szCs w:val="24"/>
          <w:rtl/>
        </w:rPr>
        <w:t xml:space="preserve"> </w:t>
      </w:r>
      <w:r w:rsidRPr="007414C9">
        <w:rPr>
          <w:szCs w:val="22"/>
          <w:rtl/>
        </w:rPr>
        <w:t>(</w:t>
      </w:r>
      <w:r w:rsidRPr="007414C9">
        <w:rPr>
          <w:szCs w:val="22"/>
        </w:rPr>
        <w:t>PRRI</w:t>
      </w:r>
      <w:r w:rsidRPr="007414C9">
        <w:rPr>
          <w:szCs w:val="22"/>
          <w:rtl/>
        </w:rPr>
        <w:t>)</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ومنظمة حفظ</w:t>
      </w:r>
      <w:r w:rsidRPr="005010E6">
        <w:rPr>
          <w:rFonts w:ascii="Simplified Arabic" w:hAnsi="Simplified Arabic" w:cs="Simplified Arabic"/>
          <w:szCs w:val="24"/>
          <w:rtl/>
        </w:rPr>
        <w:t xml:space="preserve"> الجز</w:t>
      </w:r>
      <w:r w:rsidRPr="005010E6">
        <w:rPr>
          <w:rFonts w:ascii="Simplified Arabic" w:hAnsi="Simplified Arabic" w:cs="Simplified Arabic" w:hint="cs"/>
          <w:szCs w:val="24"/>
          <w:rtl/>
        </w:rPr>
        <w:t>ر</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 xml:space="preserve">وبرنامج </w:t>
      </w:r>
      <w:r w:rsidRPr="005010E6">
        <w:rPr>
          <w:rFonts w:ascii="Simplified Arabic" w:hAnsi="Simplified Arabic" w:cs="Simplified Arabic"/>
          <w:szCs w:val="24"/>
          <w:rtl/>
        </w:rPr>
        <w:t>الأعمال التجارية والتنوع البيولوجي،</w:t>
      </w:r>
      <w:r w:rsidRPr="005010E6">
        <w:rPr>
          <w:rFonts w:ascii="Simplified Arabic" w:hAnsi="Simplified Arabic" w:cs="Simplified Arabic" w:hint="cs"/>
          <w:szCs w:val="24"/>
          <w:rtl/>
        </w:rPr>
        <w:t xml:space="preserve"> وكلية إمبريال اللندنية</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الشبكة العالمية </w:t>
      </w:r>
      <w:r w:rsidR="008F3A5A">
        <w:rPr>
          <w:rFonts w:ascii="Simplified Arabic" w:hAnsi="Simplified Arabic" w:cs="Simplified Arabic" w:hint="cs"/>
          <w:szCs w:val="24"/>
          <w:rtl/>
        </w:rPr>
        <w:t>للشباب المعنية ب</w:t>
      </w:r>
      <w:r w:rsidR="008F3A5A">
        <w:rPr>
          <w:rFonts w:ascii="Simplified Arabic" w:hAnsi="Simplified Arabic" w:cs="Simplified Arabic"/>
          <w:szCs w:val="24"/>
          <w:rtl/>
        </w:rPr>
        <w:t>لتنوع البيولوجي</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و</w:t>
      </w:r>
      <w:r w:rsidRPr="005010E6">
        <w:rPr>
          <w:rFonts w:ascii="Simplified Arabic" w:hAnsi="Simplified Arabic" w:cs="Simplified Arabic"/>
          <w:szCs w:val="24"/>
          <w:rtl/>
        </w:rPr>
        <w:t>جامعة</w:t>
      </w:r>
      <w:r w:rsidR="00BF3F4E">
        <w:rPr>
          <w:rFonts w:ascii="Simplified Arabic" w:hAnsi="Simplified Arabic" w:cs="Simplified Arabic" w:hint="cs"/>
          <w:szCs w:val="24"/>
          <w:rtl/>
        </w:rPr>
        <w:t xml:space="preserve"> ييل</w:t>
      </w:r>
      <w:r w:rsidRPr="005010E6">
        <w:rPr>
          <w:rFonts w:ascii="Simplified Arabic" w:hAnsi="Simplified Arabic" w:cs="Simplified Arabic"/>
          <w:szCs w:val="24"/>
          <w:rtl/>
        </w:rPr>
        <w:t xml:space="preserve"> وجامعة لندن للفنون</w:t>
      </w:r>
      <w:r w:rsidRPr="005010E6">
        <w:rPr>
          <w:rFonts w:ascii="Simplified Arabic" w:hAnsi="Simplified Arabic" w:cs="Simplified Arabic" w:hint="cs"/>
          <w:szCs w:val="24"/>
          <w:rtl/>
        </w:rPr>
        <w:t>.</w:t>
      </w:r>
    </w:p>
    <w:p w:rsidR="00C765FC" w:rsidRPr="005010E6" w:rsidRDefault="00C765FC"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و</w:t>
      </w:r>
      <w:r w:rsidRPr="005010E6">
        <w:rPr>
          <w:rFonts w:ascii="Simplified Arabic" w:hAnsi="Simplified Arabic" w:cs="Simplified Arabic" w:hint="cs"/>
          <w:szCs w:val="24"/>
          <w:rtl/>
        </w:rPr>
        <w:t>اتفق</w:t>
      </w:r>
      <w:r w:rsidRPr="005010E6">
        <w:rPr>
          <w:rFonts w:ascii="Simplified Arabic" w:hAnsi="Simplified Arabic" w:cs="Simplified Arabic"/>
          <w:szCs w:val="24"/>
          <w:rtl/>
        </w:rPr>
        <w:t xml:space="preserve"> الفريق العامل </w:t>
      </w:r>
      <w:r w:rsidRPr="005010E6">
        <w:rPr>
          <w:rFonts w:ascii="Simplified Arabic" w:hAnsi="Simplified Arabic" w:cs="Simplified Arabic" w:hint="cs"/>
          <w:szCs w:val="24"/>
          <w:rtl/>
        </w:rPr>
        <w:t xml:space="preserve">على </w:t>
      </w:r>
      <w:r w:rsidRPr="005010E6">
        <w:rPr>
          <w:rFonts w:ascii="Simplified Arabic" w:hAnsi="Simplified Arabic" w:cs="Simplified Arabic"/>
          <w:szCs w:val="24"/>
          <w:rtl/>
        </w:rPr>
        <w:t>إنشاء فريق اتصال برئاسة السيد هورست كورن (ألمانيا)، لمواصلة المناقشات بشأن الفقرات 3 و4 و10</w:t>
      </w:r>
      <w:r w:rsidRPr="005010E6">
        <w:rPr>
          <w:rFonts w:ascii="Simplified Arabic" w:hAnsi="Simplified Arabic" w:cs="Simplified Arabic" w:hint="cs"/>
          <w:szCs w:val="24"/>
          <w:rtl/>
        </w:rPr>
        <w:t>.</w:t>
      </w:r>
    </w:p>
    <w:p w:rsidR="00C765FC" w:rsidRPr="005010E6" w:rsidRDefault="00C765FC" w:rsidP="00BF3F4E">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و</w:t>
      </w:r>
      <w:r w:rsidR="00BF3F4E">
        <w:rPr>
          <w:rFonts w:ascii="Simplified Arabic" w:hAnsi="Simplified Arabic" w:cs="Simplified Arabic" w:hint="cs"/>
          <w:szCs w:val="24"/>
          <w:rtl/>
        </w:rPr>
        <w:t>نظر</w:t>
      </w:r>
      <w:r w:rsidRPr="005010E6">
        <w:rPr>
          <w:rFonts w:ascii="Simplified Arabic" w:hAnsi="Simplified Arabic" w:cs="Simplified Arabic"/>
          <w:szCs w:val="24"/>
          <w:rtl/>
        </w:rPr>
        <w:t xml:space="preserve"> الفريق العامل في</w:t>
      </w:r>
      <w:r w:rsidRPr="005010E6">
        <w:rPr>
          <w:rFonts w:ascii="Simplified Arabic" w:hAnsi="Simplified Arabic" w:cs="Simplified Arabic" w:hint="cs"/>
          <w:szCs w:val="24"/>
          <w:rtl/>
        </w:rPr>
        <w:t xml:space="preserve"> </w:t>
      </w:r>
      <w:r w:rsidR="008F3A5A">
        <w:rPr>
          <w:rFonts w:ascii="Simplified Arabic" w:hAnsi="Simplified Arabic" w:cs="Simplified Arabic" w:hint="cs"/>
          <w:szCs w:val="24"/>
          <w:rtl/>
        </w:rPr>
        <w:t>جلست</w:t>
      </w:r>
      <w:r w:rsidRPr="005010E6">
        <w:rPr>
          <w:rFonts w:ascii="Simplified Arabic" w:hAnsi="Simplified Arabic" w:cs="Simplified Arabic" w:hint="cs"/>
          <w:szCs w:val="24"/>
          <w:rtl/>
        </w:rPr>
        <w:t>ه</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السابع</w:t>
      </w:r>
      <w:r w:rsidR="008F3A5A">
        <w:rPr>
          <w:rFonts w:ascii="Simplified Arabic" w:hAnsi="Simplified Arabic" w:cs="Simplified Arabic" w:hint="cs"/>
          <w:szCs w:val="24"/>
          <w:rtl/>
        </w:rPr>
        <w:t>ة</w:t>
      </w:r>
      <w:r w:rsidRPr="005010E6">
        <w:rPr>
          <w:rFonts w:ascii="Simplified Arabic" w:hAnsi="Simplified Arabic" w:cs="Simplified Arabic" w:hint="cs"/>
          <w:szCs w:val="24"/>
          <w:rtl/>
        </w:rPr>
        <w:t xml:space="preserve"> عشر</w:t>
      </w:r>
      <w:r w:rsidR="008F3A5A">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28 نوفمبر/تشرين الثاني 2018، </w:t>
      </w:r>
      <w:r w:rsidR="00BF3F4E">
        <w:rPr>
          <w:rFonts w:ascii="Simplified Arabic" w:hAnsi="Simplified Arabic" w:cs="Simplified Arabic" w:hint="cs"/>
          <w:szCs w:val="24"/>
          <w:rtl/>
        </w:rPr>
        <w:t xml:space="preserve">في </w:t>
      </w:r>
      <w:r w:rsidRPr="005010E6">
        <w:rPr>
          <w:rFonts w:ascii="Simplified Arabic" w:hAnsi="Simplified Arabic" w:cs="Simplified Arabic"/>
          <w:szCs w:val="24"/>
          <w:rtl/>
        </w:rPr>
        <w:t xml:space="preserve">نسخة منقحة من مشروع المقرر </w:t>
      </w:r>
      <w:r w:rsidRPr="005010E6">
        <w:rPr>
          <w:rFonts w:ascii="Simplified Arabic" w:hAnsi="Simplified Arabic" w:cs="Simplified Arabic" w:hint="cs"/>
          <w:szCs w:val="24"/>
          <w:rtl/>
        </w:rPr>
        <w:t>المتعلق</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ب</w:t>
      </w:r>
      <w:r w:rsidRPr="005010E6">
        <w:rPr>
          <w:rFonts w:ascii="Simplified Arabic" w:hAnsi="Simplified Arabic" w:cs="Simplified Arabic"/>
          <w:szCs w:val="24"/>
          <w:rtl/>
        </w:rPr>
        <w:t>البيولوجيا الت</w:t>
      </w:r>
      <w:r w:rsidRPr="005010E6">
        <w:rPr>
          <w:rFonts w:ascii="Simplified Arabic" w:hAnsi="Simplified Arabic" w:cs="Simplified Arabic" w:hint="cs"/>
          <w:szCs w:val="24"/>
          <w:rtl/>
        </w:rPr>
        <w:t>ركيب</w:t>
      </w:r>
      <w:r w:rsidRPr="005010E6">
        <w:rPr>
          <w:rFonts w:ascii="Simplified Arabic" w:hAnsi="Simplified Arabic" w:cs="Simplified Arabic"/>
          <w:szCs w:val="24"/>
          <w:rtl/>
        </w:rPr>
        <w:t>ية</w:t>
      </w:r>
      <w:r w:rsidRPr="005010E6">
        <w:rPr>
          <w:rFonts w:ascii="Simplified Arabic" w:hAnsi="Simplified Arabic" w:cs="Simplified Arabic" w:hint="cs"/>
          <w:szCs w:val="24"/>
          <w:rtl/>
        </w:rPr>
        <w:t>.</w:t>
      </w:r>
    </w:p>
    <w:p w:rsidR="00C765FC" w:rsidRPr="005010E6" w:rsidRDefault="007414C9" w:rsidP="00BF3F4E">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Pr="002E513E">
        <w:rPr>
          <w:rFonts w:ascii="Simplified Arabic" w:hAnsi="Simplified Arabic" w:cs="Simplified Arabic"/>
          <w:szCs w:val="24"/>
          <w:rtl/>
        </w:rPr>
        <w:t xml:space="preserve"> </w:t>
      </w:r>
      <w:r w:rsidR="00C765FC" w:rsidRPr="005010E6">
        <w:rPr>
          <w:rFonts w:ascii="Simplified Arabic" w:hAnsi="Simplified Arabic" w:cs="Simplified Arabic"/>
          <w:szCs w:val="24"/>
          <w:rtl/>
        </w:rPr>
        <w:t>الأرجنتين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وبوليفيا (دولة - المتعددة القوميات)</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والبرازيل</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وكندا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وكولومبيا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وكوستاريكا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وكوبا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ومصر</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والاتحاد الأوروبي</w:t>
      </w:r>
      <w:r w:rsidR="00BF3F4E">
        <w:rPr>
          <w:rFonts w:ascii="Simplified Arabic" w:hAnsi="Simplified Arabic" w:cs="Simplified Arabic" w:hint="cs"/>
          <w:szCs w:val="24"/>
          <w:rtl/>
        </w:rPr>
        <w:t xml:space="preserve"> ودوله الأعضاء الثماني والعشرين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وغابون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وغانا (</w:t>
      </w:r>
      <w:r w:rsidR="00BF3F4E">
        <w:rPr>
          <w:rFonts w:ascii="Simplified Arabic" w:hAnsi="Simplified Arabic" w:cs="Simplified Arabic" w:hint="cs"/>
          <w:szCs w:val="24"/>
          <w:rtl/>
        </w:rPr>
        <w:t>بالنيابة عن</w:t>
      </w:r>
      <w:r w:rsidR="00C765FC" w:rsidRPr="005010E6">
        <w:rPr>
          <w:rFonts w:ascii="Simplified Arabic" w:hAnsi="Simplified Arabic" w:cs="Simplified Arabic"/>
          <w:szCs w:val="24"/>
          <w:rtl/>
        </w:rPr>
        <w:t xml:space="preserve"> </w:t>
      </w:r>
      <w:r w:rsidR="00BF3F4E">
        <w:rPr>
          <w:rFonts w:ascii="Simplified Arabic" w:hAnsi="Simplified Arabic" w:cs="Simplified Arabic" w:hint="cs"/>
          <w:szCs w:val="24"/>
          <w:rtl/>
        </w:rPr>
        <w:t>ال</w:t>
      </w:r>
      <w:r w:rsidR="00C765FC" w:rsidRPr="005010E6">
        <w:rPr>
          <w:rFonts w:ascii="Simplified Arabic" w:hAnsi="Simplified Arabic" w:cs="Simplified Arabic"/>
          <w:szCs w:val="24"/>
          <w:rtl/>
        </w:rPr>
        <w:t>مجموعة الأفريقية)</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وغرينادا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وهندوراس</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w:t>
      </w:r>
      <w:r w:rsidR="00C765FC" w:rsidRPr="005010E6">
        <w:rPr>
          <w:rFonts w:ascii="Simplified Arabic" w:hAnsi="Simplified Arabic" w:cs="Simplified Arabic" w:hint="cs"/>
          <w:szCs w:val="24"/>
          <w:rtl/>
        </w:rPr>
        <w:t>و</w:t>
      </w:r>
      <w:r w:rsidR="00C765FC" w:rsidRPr="005010E6">
        <w:rPr>
          <w:rFonts w:ascii="Simplified Arabic" w:hAnsi="Simplified Arabic" w:cs="Simplified Arabic"/>
          <w:szCs w:val="24"/>
          <w:rtl/>
        </w:rPr>
        <w:t>اليابان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وكينيا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ونيوزيلندا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ونيجيريا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والنرويج</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والفلبين</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وجنوب أفريقيا</w:t>
      </w:r>
      <w:r w:rsidR="00C765FC" w:rsidRPr="005010E6">
        <w:rPr>
          <w:rFonts w:ascii="Simplified Arabic" w:hAnsi="Simplified Arabic" w:cs="Simplified Arabic" w:hint="cs"/>
          <w:szCs w:val="24"/>
          <w:rtl/>
        </w:rPr>
        <w:t>،</w:t>
      </w:r>
      <w:r w:rsidR="00C765FC" w:rsidRPr="005010E6">
        <w:rPr>
          <w:rFonts w:ascii="Simplified Arabic" w:hAnsi="Simplified Arabic" w:cs="Simplified Arabic"/>
          <w:szCs w:val="24"/>
          <w:rtl/>
        </w:rPr>
        <w:t xml:space="preserve"> وأوروغواي وفنزويلا (جمهورية - البوليفارية)</w:t>
      </w:r>
      <w:r w:rsidR="00C765FC" w:rsidRPr="005010E6">
        <w:rPr>
          <w:rFonts w:ascii="Simplified Arabic" w:hAnsi="Simplified Arabic" w:cs="Simplified Arabic" w:hint="cs"/>
          <w:szCs w:val="24"/>
          <w:rtl/>
        </w:rPr>
        <w:t>.</w:t>
      </w:r>
    </w:p>
    <w:p w:rsidR="00C765FC" w:rsidRPr="005010E6" w:rsidRDefault="00C765FC"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Pr="005010E6">
        <w:rPr>
          <w:rFonts w:ascii="Simplified Arabic" w:hAnsi="Simplified Arabic" w:cs="Simplified Arabic"/>
          <w:szCs w:val="24"/>
          <w:rtl/>
        </w:rPr>
        <w:t>أدلى ببيان</w:t>
      </w:r>
      <w:r w:rsidR="008F3A5A">
        <w:rPr>
          <w:rFonts w:ascii="Simplified Arabic" w:hAnsi="Simplified Arabic" w:cs="Simplified Arabic" w:hint="cs"/>
          <w:szCs w:val="24"/>
          <w:rtl/>
        </w:rPr>
        <w:t>ي</w:t>
      </w:r>
      <w:r w:rsidRPr="005010E6">
        <w:rPr>
          <w:rFonts w:ascii="Simplified Arabic" w:hAnsi="Simplified Arabic" w:cs="Simplified Arabic" w:hint="cs"/>
          <w:szCs w:val="24"/>
          <w:rtl/>
        </w:rPr>
        <w:t xml:space="preserve"> أيضا</w:t>
      </w:r>
      <w:r w:rsidRPr="005010E6">
        <w:rPr>
          <w:rFonts w:ascii="Simplified Arabic" w:hAnsi="Simplified Arabic" w:cs="Simplified Arabic"/>
          <w:szCs w:val="24"/>
          <w:rtl/>
        </w:rPr>
        <w:t xml:space="preserve"> ممثل</w:t>
      </w:r>
      <w:r w:rsidR="0049644D">
        <w:rPr>
          <w:rFonts w:ascii="Simplified Arabic" w:hAnsi="Simplified Arabic" w:cs="Simplified Arabic" w:hint="cs"/>
          <w:szCs w:val="24"/>
          <w:rtl/>
        </w:rPr>
        <w:t>ا</w:t>
      </w:r>
      <w:r w:rsidRPr="005010E6">
        <w:rPr>
          <w:rFonts w:ascii="Simplified Arabic" w:hAnsi="Simplified Arabic" w:cs="Simplified Arabic"/>
          <w:szCs w:val="24"/>
          <w:rtl/>
        </w:rPr>
        <w:t xml:space="preserve"> </w:t>
      </w:r>
      <w:r w:rsidR="005010E6">
        <w:rPr>
          <w:rFonts w:cs="Simplified Arabic" w:hint="cs"/>
          <w:szCs w:val="24"/>
          <w:rtl/>
          <w:lang w:val="en-US"/>
        </w:rPr>
        <w:t>المنتدى الدولي للشعوب الأصلية المعني بالتنوع البيولوجي و</w:t>
      </w:r>
      <w:r w:rsidRPr="005010E6">
        <w:rPr>
          <w:rFonts w:ascii="Simplified Arabic" w:hAnsi="Simplified Arabic" w:cs="Simplified Arabic" w:hint="cs"/>
          <w:szCs w:val="24"/>
          <w:rtl/>
        </w:rPr>
        <w:t>كلية إمبريال اللندنية</w:t>
      </w:r>
      <w:r w:rsidRPr="005010E6">
        <w:rPr>
          <w:rFonts w:ascii="Simplified Arabic" w:hAnsi="Simplified Arabic" w:cs="Simplified Arabic"/>
          <w:szCs w:val="24"/>
          <w:rtl/>
        </w:rPr>
        <w:t xml:space="preserve"> (</w:t>
      </w:r>
      <w:r w:rsidR="008F3A5A">
        <w:rPr>
          <w:rFonts w:ascii="Simplified Arabic" w:hAnsi="Simplified Arabic" w:cs="Simplified Arabic" w:hint="cs"/>
          <w:szCs w:val="24"/>
          <w:rtl/>
        </w:rPr>
        <w:t xml:space="preserve">بالنيابة عن </w:t>
      </w:r>
      <w:r w:rsidRPr="005010E6">
        <w:rPr>
          <w:rFonts w:ascii="Simplified Arabic" w:hAnsi="Simplified Arabic" w:cs="Simplified Arabic" w:hint="cs"/>
          <w:szCs w:val="24"/>
          <w:rtl/>
        </w:rPr>
        <w:t>مشروع استهداف الملاريا</w:t>
      </w:r>
      <w:r w:rsidRPr="005010E6">
        <w:rPr>
          <w:rFonts w:ascii="Simplified Arabic" w:hAnsi="Simplified Arabic" w:cs="Simplified Arabic"/>
          <w:szCs w:val="24"/>
          <w:rtl/>
        </w:rPr>
        <w:t>)</w:t>
      </w:r>
      <w:r w:rsidRPr="005010E6">
        <w:rPr>
          <w:rFonts w:ascii="Simplified Arabic" w:hAnsi="Simplified Arabic" w:cs="Simplified Arabic" w:hint="cs"/>
          <w:szCs w:val="24"/>
          <w:rtl/>
        </w:rPr>
        <w:t>.</w:t>
      </w:r>
    </w:p>
    <w:p w:rsidR="00C765FC" w:rsidRDefault="00652C74" w:rsidP="00FF7FA5">
      <w:pPr>
        <w:pStyle w:val="ListParagraph"/>
        <w:numPr>
          <w:ilvl w:val="0"/>
          <w:numId w:val="6"/>
        </w:numPr>
        <w:bidi/>
        <w:spacing w:line="216" w:lineRule="auto"/>
        <w:ind w:left="0" w:firstLine="0"/>
        <w:rPr>
          <w:rFonts w:cs="Simplified Arabic"/>
        </w:rPr>
      </w:pPr>
      <w:r>
        <w:rPr>
          <w:rFonts w:cs="Simplified Arabic" w:hint="cs"/>
          <w:rtl/>
        </w:rPr>
        <w:t>وفي جلسته الثامنة عشرة، المنعقدة في 28 نوفمبر/تشرين الثاني 2018، استأنف الفريق العامل نظره في مشروع المقرر</w:t>
      </w:r>
      <w:r w:rsidR="00D50BC6" w:rsidRPr="00997CAE">
        <w:rPr>
          <w:rFonts w:cs="Simplified Arabic" w:hint="cs"/>
          <w:rtl/>
        </w:rPr>
        <w:t>.</w:t>
      </w:r>
    </w:p>
    <w:p w:rsidR="00C765FC" w:rsidRDefault="00652C74" w:rsidP="00FF7FA5">
      <w:pPr>
        <w:pStyle w:val="ListParagraph"/>
        <w:numPr>
          <w:ilvl w:val="0"/>
          <w:numId w:val="6"/>
        </w:numPr>
        <w:bidi/>
        <w:spacing w:line="216" w:lineRule="auto"/>
        <w:ind w:left="0" w:firstLine="0"/>
        <w:rPr>
          <w:rFonts w:cs="Simplified Arabic"/>
        </w:rPr>
      </w:pPr>
      <w:r>
        <w:rPr>
          <w:rFonts w:cs="Simplified Arabic" w:hint="cs"/>
          <w:rtl/>
        </w:rPr>
        <w:lastRenderedPageBreak/>
        <w:t>وأدلى ببيانات ممثلو الأرجنتين، والبرازيل، ومصر، والاتحاد الأوروبي ودوله الأعضاء الثماني والعشرين، وغابون، وغانا (بالنيابة عن المجموعة الأفريقية)، وغرينادا، واليابان، وماليزيا، والمكسيك، ونيوزيلندا، والنرويج، وبنما، والفلبين، وجمهورية كوريا وسويسرا.</w:t>
      </w:r>
    </w:p>
    <w:p w:rsidR="00C765FC" w:rsidRDefault="00652C74" w:rsidP="00FF7FA5">
      <w:pPr>
        <w:pStyle w:val="ListParagraph"/>
        <w:numPr>
          <w:ilvl w:val="0"/>
          <w:numId w:val="6"/>
        </w:numPr>
        <w:bidi/>
        <w:spacing w:line="216" w:lineRule="auto"/>
        <w:ind w:left="0" w:firstLine="0"/>
        <w:rPr>
          <w:rFonts w:cs="Simplified Arabic"/>
        </w:rPr>
      </w:pPr>
      <w:r>
        <w:rPr>
          <w:rFonts w:cs="Simplified Arabic" w:hint="cs"/>
          <w:rtl/>
        </w:rPr>
        <w:t>وعقب تبادل الآراء، تمت الموافقة على مشروع المقرر، بصيغته المعدلة شفويا</w:t>
      </w:r>
      <w:r w:rsidR="008F3A5A">
        <w:rPr>
          <w:rFonts w:cs="Simplified Arabic" w:hint="cs"/>
          <w:rtl/>
        </w:rPr>
        <w:t>ً</w:t>
      </w:r>
      <w:r>
        <w:rPr>
          <w:rFonts w:cs="Simplified Arabic" w:hint="cs"/>
          <w:rtl/>
        </w:rPr>
        <w:t xml:space="preserve">، لإحالته إلى الجلسة العامة بوصفه مشروع المقرر </w:t>
      </w:r>
      <w:r w:rsidR="0049644D">
        <w:rPr>
          <w:rFonts w:cs="Simplified Arabic"/>
        </w:rPr>
        <w:t>31</w:t>
      </w:r>
      <w:r w:rsidRPr="008F3A5A">
        <w:rPr>
          <w:szCs w:val="22"/>
          <w:rtl/>
        </w:rPr>
        <w:t>.</w:t>
      </w:r>
      <w:r w:rsidRPr="00870C63">
        <w:t>CBD/</w:t>
      </w:r>
      <w:r w:rsidRPr="00870C63">
        <w:rPr>
          <w:lang w:val="en-US"/>
        </w:rPr>
        <w:t>COP</w:t>
      </w:r>
      <w:r w:rsidRPr="00870C63">
        <w:t>/14/L</w:t>
      </w:r>
      <w:r>
        <w:rPr>
          <w:rFonts w:cs="Simplified Arabic" w:hint="cs"/>
          <w:rtl/>
        </w:rPr>
        <w:t>.</w:t>
      </w:r>
    </w:p>
    <w:p w:rsidR="00D50BC6" w:rsidRPr="00997CAE" w:rsidRDefault="004419D8" w:rsidP="004419D8">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31</w:t>
      </w:r>
      <w:r>
        <w:rPr>
          <w:rFonts w:cs="Simplified Arabic" w:hint="cs"/>
          <w:rtl/>
        </w:rPr>
        <w:t xml:space="preserve"> بوصفه المقرر 14/19 (للاطلاع على النص، انظر الفصل الأول).</w:t>
      </w:r>
    </w:p>
    <w:p w:rsidR="00E5069F" w:rsidRPr="00477B14" w:rsidRDefault="00E5069F" w:rsidP="00094717">
      <w:pPr>
        <w:pStyle w:val="Heading2"/>
        <w:rPr>
          <w:lang w:val="en-GB"/>
        </w:rPr>
      </w:pPr>
      <w:bookmarkStart w:id="249" w:name="_Toc6140031"/>
      <w:r w:rsidRPr="00997CAE">
        <w:rPr>
          <w:rFonts w:hint="cs"/>
          <w:rtl/>
        </w:rPr>
        <w:t>البند 28 -</w:t>
      </w:r>
      <w:r w:rsidRPr="00997CAE">
        <w:rPr>
          <w:rFonts w:hint="cs"/>
          <w:rtl/>
        </w:rPr>
        <w:tab/>
        <w:t>المسؤولية والجبر التعويضي (المادة 14، الفقرة 2)</w:t>
      </w:r>
      <w:bookmarkEnd w:id="249"/>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 xml:space="preserve">تناول الفريق العامل الثاني البند 28 من جدول الأعمال في </w:t>
      </w:r>
      <w:r w:rsidR="008F3A5A">
        <w:rPr>
          <w:rFonts w:ascii="Simplified Arabic" w:hAnsi="Simplified Arabic" w:cs="Simplified Arabic" w:hint="cs"/>
          <w:szCs w:val="24"/>
          <w:rtl/>
        </w:rPr>
        <w:t>جلست</w:t>
      </w:r>
      <w:r w:rsidRPr="005010E6">
        <w:rPr>
          <w:rFonts w:ascii="Simplified Arabic" w:hAnsi="Simplified Arabic" w:cs="Simplified Arabic" w:hint="cs"/>
          <w:szCs w:val="24"/>
          <w:rtl/>
        </w:rPr>
        <w:t>ه الثالث</w:t>
      </w:r>
      <w:r w:rsidR="008F3A5A">
        <w:rPr>
          <w:rFonts w:ascii="Simplified Arabic" w:hAnsi="Simplified Arabic" w:cs="Simplified Arabic" w:hint="cs"/>
          <w:szCs w:val="24"/>
          <w:rtl/>
        </w:rPr>
        <w:t>ة</w:t>
      </w:r>
      <w:r w:rsidR="00914A68">
        <w:rPr>
          <w:rFonts w:ascii="Simplified Arabic" w:hAnsi="Simplified Arabic" w:cs="Simplified Arabic" w:hint="cs"/>
          <w:szCs w:val="24"/>
          <w:rtl/>
        </w:rPr>
        <w:t>،</w:t>
      </w:r>
      <w:r w:rsidRPr="005010E6">
        <w:rPr>
          <w:rFonts w:ascii="Simplified Arabic" w:hAnsi="Simplified Arabic" w:cs="Simplified Arabic" w:hint="cs"/>
          <w:szCs w:val="24"/>
          <w:rtl/>
        </w:rPr>
        <w:t xml:space="preserve"> </w:t>
      </w:r>
      <w:r w:rsidRPr="005010E6">
        <w:rPr>
          <w:rFonts w:ascii="Simplified Arabic" w:hAnsi="Simplified Arabic" w:cs="Simplified Arabic"/>
          <w:szCs w:val="24"/>
          <w:rtl/>
        </w:rPr>
        <w:t>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w:t>
      </w:r>
      <w:r w:rsidRPr="005010E6">
        <w:rPr>
          <w:rFonts w:ascii="Simplified Arabic" w:hAnsi="Simplified Arabic" w:cs="Simplified Arabic" w:hint="cs"/>
          <w:szCs w:val="24"/>
          <w:rtl/>
        </w:rPr>
        <w:t xml:space="preserve"> 19</w:t>
      </w:r>
      <w:r w:rsidRPr="005010E6">
        <w:rPr>
          <w:rFonts w:ascii="Simplified Arabic" w:hAnsi="Simplified Arabic" w:cs="Simplified Arabic"/>
          <w:szCs w:val="24"/>
          <w:rtl/>
        </w:rPr>
        <w:t xml:space="preserve"> نوفمبر</w:t>
      </w:r>
      <w:r w:rsidRPr="005010E6">
        <w:rPr>
          <w:rFonts w:ascii="Simplified Arabic" w:hAnsi="Simplified Arabic" w:cs="Simplified Arabic" w:hint="cs"/>
          <w:szCs w:val="24"/>
          <w:rtl/>
        </w:rPr>
        <w:t xml:space="preserve">/تشرين </w:t>
      </w:r>
      <w:r w:rsidRPr="005010E6">
        <w:rPr>
          <w:rFonts w:ascii="Simplified Arabic" w:hAnsi="Simplified Arabic" w:cs="Simplified Arabic"/>
          <w:szCs w:val="24"/>
          <w:rtl/>
        </w:rPr>
        <w:t>الثاني</w:t>
      </w:r>
      <w:r w:rsidRPr="005010E6">
        <w:rPr>
          <w:rFonts w:ascii="Simplified Arabic" w:hAnsi="Simplified Arabic" w:cs="Simplified Arabic" w:hint="cs"/>
          <w:szCs w:val="24"/>
          <w:rtl/>
        </w:rPr>
        <w:t xml:space="preserve"> 2018.</w:t>
      </w:r>
      <w:r w:rsidRPr="005010E6">
        <w:rPr>
          <w:rFonts w:ascii="Simplified Arabic" w:hAnsi="Simplified Arabic" w:cs="Simplified Arabic"/>
          <w:szCs w:val="24"/>
          <w:rtl/>
        </w:rPr>
        <w:t xml:space="preserve"> ولدى النظر في هذا البند، كان معروضا أمام الفريق العامل مذكرة </w:t>
      </w:r>
      <w:r w:rsidRPr="005010E6">
        <w:rPr>
          <w:rFonts w:ascii="Simplified Arabic" w:hAnsi="Simplified Arabic" w:cs="Simplified Arabic" w:hint="cs"/>
          <w:szCs w:val="24"/>
          <w:rtl/>
        </w:rPr>
        <w:t>أعدتها</w:t>
      </w:r>
      <w:r w:rsidRPr="005010E6">
        <w:rPr>
          <w:rFonts w:ascii="Simplified Arabic" w:hAnsi="Simplified Arabic" w:cs="Simplified Arabic"/>
          <w:szCs w:val="24"/>
          <w:rtl/>
        </w:rPr>
        <w:t xml:space="preserve"> الأمين</w:t>
      </w:r>
      <w:r w:rsidRPr="005010E6">
        <w:rPr>
          <w:rFonts w:ascii="Simplified Arabic" w:hAnsi="Simplified Arabic" w:cs="Simplified Arabic" w:hint="cs"/>
          <w:szCs w:val="24"/>
          <w:rtl/>
        </w:rPr>
        <w:t>ة</w:t>
      </w:r>
      <w:r w:rsidRPr="005010E6">
        <w:rPr>
          <w:rFonts w:ascii="Simplified Arabic" w:hAnsi="Simplified Arabic" w:cs="Simplified Arabic"/>
          <w:szCs w:val="24"/>
          <w:rtl/>
        </w:rPr>
        <w:t xml:space="preserve"> التنفيذي</w:t>
      </w:r>
      <w:r w:rsidRPr="005010E6">
        <w:rPr>
          <w:rFonts w:ascii="Simplified Arabic" w:hAnsi="Simplified Arabic" w:cs="Simplified Arabic" w:hint="cs"/>
          <w:szCs w:val="24"/>
          <w:rtl/>
        </w:rPr>
        <w:t>ة</w:t>
      </w:r>
      <w:r w:rsidRPr="005010E6">
        <w:rPr>
          <w:rFonts w:ascii="Simplified Arabic" w:hAnsi="Simplified Arabic" w:cs="Simplified Arabic"/>
          <w:szCs w:val="24"/>
          <w:rtl/>
        </w:rPr>
        <w:t xml:space="preserve"> بشأن المسؤولية والجبر التعويضي </w:t>
      </w:r>
      <w:r w:rsidRPr="008F3A5A">
        <w:rPr>
          <w:szCs w:val="22"/>
          <w:rtl/>
        </w:rPr>
        <w:t>(</w:t>
      </w:r>
      <w:r w:rsidRPr="008F3A5A">
        <w:rPr>
          <w:iCs/>
          <w:kern w:val="22"/>
          <w:szCs w:val="22"/>
        </w:rPr>
        <w:t>CBD/COP/14/10</w:t>
      </w:r>
      <w:r w:rsidRPr="008F3A5A">
        <w:rPr>
          <w:szCs w:val="22"/>
          <w:rtl/>
        </w:rPr>
        <w:t>)</w:t>
      </w:r>
      <w:r w:rsidRPr="005010E6">
        <w:rPr>
          <w:rFonts w:ascii="Simplified Arabic" w:hAnsi="Simplified Arabic" w:cs="Simplified Arabic" w:hint="cs"/>
          <w:szCs w:val="24"/>
          <w:rtl/>
        </w:rPr>
        <w:t xml:space="preserve">، </w:t>
      </w:r>
      <w:r w:rsidRPr="005010E6">
        <w:rPr>
          <w:rFonts w:ascii="Simplified Arabic" w:hAnsi="Simplified Arabic" w:cs="Simplified Arabic"/>
          <w:szCs w:val="24"/>
          <w:rtl/>
        </w:rPr>
        <w:t xml:space="preserve">بما في ذلك عناصر </w:t>
      </w:r>
      <w:r w:rsidRPr="005010E6">
        <w:rPr>
          <w:rFonts w:ascii="Simplified Arabic" w:hAnsi="Simplified Arabic" w:cs="Simplified Arabic" w:hint="cs"/>
          <w:szCs w:val="24"/>
          <w:rtl/>
        </w:rPr>
        <w:t>ل</w:t>
      </w:r>
      <w:r w:rsidRPr="005010E6">
        <w:rPr>
          <w:rFonts w:ascii="Simplified Arabic" w:hAnsi="Simplified Arabic" w:cs="Simplified Arabic"/>
          <w:szCs w:val="24"/>
          <w:rtl/>
        </w:rPr>
        <w:t xml:space="preserve">مشروع </w:t>
      </w:r>
      <w:r w:rsidRPr="005010E6">
        <w:rPr>
          <w:rFonts w:ascii="Simplified Arabic" w:hAnsi="Simplified Arabic" w:cs="Simplified Arabic" w:hint="cs"/>
          <w:szCs w:val="24"/>
          <w:rtl/>
        </w:rPr>
        <w:t>م</w:t>
      </w:r>
      <w:r w:rsidRPr="005010E6">
        <w:rPr>
          <w:rFonts w:ascii="Simplified Arabic" w:hAnsi="Simplified Arabic" w:cs="Simplified Arabic"/>
          <w:szCs w:val="24"/>
          <w:rtl/>
        </w:rPr>
        <w:t>قرر</w:t>
      </w:r>
      <w:r w:rsidRPr="005010E6">
        <w:rPr>
          <w:rFonts w:ascii="Simplified Arabic" w:hAnsi="Simplified Arabic" w:cs="Simplified Arabic" w:hint="cs"/>
          <w:szCs w:val="24"/>
          <w:rtl/>
        </w:rPr>
        <w:t>.</w:t>
      </w:r>
    </w:p>
    <w:p w:rsidR="00652C74" w:rsidRPr="005010E6" w:rsidRDefault="007414C9"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652C74" w:rsidRPr="005010E6">
        <w:rPr>
          <w:rFonts w:ascii="Simplified Arabic" w:hAnsi="Simplified Arabic" w:cs="Simplified Arabic"/>
          <w:szCs w:val="24"/>
          <w:rtl/>
        </w:rPr>
        <w:t xml:space="preserve"> الكاميرون</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وكوبا</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وإسواتيني</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والاتحاد الأوروبي ودول</w:t>
      </w:r>
      <w:r>
        <w:rPr>
          <w:rFonts w:ascii="Simplified Arabic" w:hAnsi="Simplified Arabic" w:cs="Simplified Arabic" w:hint="cs"/>
          <w:szCs w:val="24"/>
          <w:rtl/>
        </w:rPr>
        <w:t>ه</w:t>
      </w:r>
      <w:r w:rsidR="00652C74" w:rsidRPr="005010E6">
        <w:rPr>
          <w:rFonts w:ascii="Simplified Arabic" w:hAnsi="Simplified Arabic" w:cs="Simplified Arabic"/>
          <w:szCs w:val="24"/>
          <w:rtl/>
        </w:rPr>
        <w:t xml:space="preserve"> الأعضاء</w:t>
      </w:r>
      <w:r w:rsidR="00652C74" w:rsidRPr="005010E6">
        <w:rPr>
          <w:rFonts w:ascii="Simplified Arabic" w:hAnsi="Simplified Arabic" w:cs="Simplified Arabic" w:hint="cs"/>
          <w:szCs w:val="24"/>
          <w:rtl/>
        </w:rPr>
        <w:t xml:space="preserve"> </w:t>
      </w:r>
      <w:r>
        <w:rPr>
          <w:rFonts w:ascii="Simplified Arabic" w:hAnsi="Simplified Arabic" w:cs="Simplified Arabic" w:hint="cs"/>
          <w:szCs w:val="24"/>
          <w:rtl/>
        </w:rPr>
        <w:t>الثماني والعشرين</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وغينيا، والهند، وكينيا، وملاوي، وماليزيا، وملديف (</w:t>
      </w:r>
      <w:r w:rsidR="008F3A5A">
        <w:rPr>
          <w:rFonts w:ascii="Simplified Arabic" w:hAnsi="Simplified Arabic" w:cs="Simplified Arabic" w:hint="cs"/>
          <w:szCs w:val="24"/>
          <w:rtl/>
        </w:rPr>
        <w:t>بالنيابة عن</w:t>
      </w:r>
      <w:r w:rsidR="00652C74" w:rsidRPr="005010E6">
        <w:rPr>
          <w:rFonts w:ascii="Simplified Arabic" w:hAnsi="Simplified Arabic" w:cs="Simplified Arabic"/>
          <w:szCs w:val="24"/>
          <w:rtl/>
        </w:rPr>
        <w:t xml:space="preserve"> الدول الج</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زرية الصغيرة النامية </w:t>
      </w:r>
      <w:r w:rsidR="00652C74" w:rsidRPr="005010E6">
        <w:rPr>
          <w:rFonts w:ascii="Simplified Arabic" w:hAnsi="Simplified Arabic" w:cs="Simplified Arabic" w:hint="cs"/>
          <w:szCs w:val="24"/>
          <w:rtl/>
        </w:rPr>
        <w:t>التي حضرت</w:t>
      </w:r>
      <w:r w:rsidR="00652C74" w:rsidRPr="005010E6">
        <w:rPr>
          <w:rFonts w:ascii="Simplified Arabic" w:hAnsi="Simplified Arabic" w:cs="Simplified Arabic"/>
          <w:szCs w:val="24"/>
          <w:rtl/>
        </w:rPr>
        <w:t xml:space="preserve"> الاجتماع)، ومالي</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والمغرب (</w:t>
      </w:r>
      <w:r w:rsidR="008F3A5A">
        <w:rPr>
          <w:rFonts w:ascii="Simplified Arabic" w:hAnsi="Simplified Arabic" w:cs="Simplified Arabic" w:hint="cs"/>
          <w:szCs w:val="24"/>
          <w:rtl/>
        </w:rPr>
        <w:t>بالنيابة عن</w:t>
      </w:r>
      <w:r w:rsidR="00652C74" w:rsidRPr="005010E6">
        <w:rPr>
          <w:rFonts w:ascii="Simplified Arabic" w:hAnsi="Simplified Arabic" w:cs="Simplified Arabic"/>
          <w:szCs w:val="24"/>
          <w:rtl/>
        </w:rPr>
        <w:t xml:space="preserve"> </w:t>
      </w:r>
      <w:r w:rsidR="008F3A5A">
        <w:rPr>
          <w:rFonts w:ascii="Simplified Arabic" w:hAnsi="Simplified Arabic" w:cs="Simplified Arabic" w:hint="cs"/>
          <w:szCs w:val="24"/>
          <w:rtl/>
        </w:rPr>
        <w:t>ال</w:t>
      </w:r>
      <w:r w:rsidR="00652C74" w:rsidRPr="005010E6">
        <w:rPr>
          <w:rFonts w:ascii="Simplified Arabic" w:hAnsi="Simplified Arabic" w:cs="Simplified Arabic"/>
          <w:szCs w:val="24"/>
          <w:rtl/>
        </w:rPr>
        <w:t>مجموعة الأفريقية)</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وجنوب أفريقيا</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وسويسرا</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وأوغندا وفنزويلا (جمهورية - البوليفارية)</w:t>
      </w:r>
      <w:r w:rsidR="00652C74" w:rsidRPr="005010E6">
        <w:rPr>
          <w:rFonts w:ascii="Simplified Arabic" w:hAnsi="Simplified Arabic" w:cs="Simplified Arabic" w:hint="cs"/>
          <w:szCs w:val="24"/>
          <w:rtl/>
        </w:rPr>
        <w:t>.</w:t>
      </w:r>
    </w:p>
    <w:p w:rsidR="00652C74" w:rsidRPr="005010E6" w:rsidRDefault="00652C74" w:rsidP="004419D8">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 xml:space="preserve">وبعد تبادل الآراء، قالت الرئيسة إنها ستعد مشروع مقرر لينظر فيه الفريق العامل، مع </w:t>
      </w:r>
      <w:r w:rsidR="004419D8">
        <w:rPr>
          <w:rFonts w:ascii="Simplified Arabic" w:hAnsi="Simplified Arabic" w:cs="Simplified Arabic" w:hint="cs"/>
          <w:szCs w:val="24"/>
          <w:rtl/>
        </w:rPr>
        <w:t>مراعاة</w:t>
      </w:r>
      <w:r w:rsidRPr="005010E6">
        <w:rPr>
          <w:rFonts w:ascii="Simplified Arabic" w:hAnsi="Simplified Arabic" w:cs="Simplified Arabic"/>
          <w:szCs w:val="24"/>
          <w:rtl/>
        </w:rPr>
        <w:t xml:space="preserve"> الآراء المعرب عنها شفويا</w:t>
      </w:r>
      <w:r w:rsidR="008F3A5A">
        <w:rPr>
          <w:rFonts w:ascii="Simplified Arabic" w:hAnsi="Simplified Arabic" w:cs="Simplified Arabic" w:hint="cs"/>
          <w:szCs w:val="24"/>
          <w:rtl/>
        </w:rPr>
        <w:t>ً</w:t>
      </w:r>
      <w:r w:rsidRPr="005010E6">
        <w:rPr>
          <w:rFonts w:ascii="Simplified Arabic" w:hAnsi="Simplified Arabic" w:cs="Simplified Arabic"/>
          <w:szCs w:val="24"/>
          <w:rtl/>
        </w:rPr>
        <w:t xml:space="preserve"> والمقدمة </w:t>
      </w:r>
      <w:r w:rsidR="008F3A5A">
        <w:rPr>
          <w:rFonts w:ascii="Simplified Arabic" w:hAnsi="Simplified Arabic" w:cs="Simplified Arabic" w:hint="cs"/>
          <w:szCs w:val="24"/>
          <w:rtl/>
        </w:rPr>
        <w:t>كتابة</w:t>
      </w:r>
      <w:r w:rsidRPr="005010E6">
        <w:rPr>
          <w:rFonts w:ascii="Simplified Arabic" w:hAnsi="Simplified Arabic" w:cs="Simplified Arabic"/>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Pr="005010E6">
        <w:rPr>
          <w:rFonts w:ascii="Simplified Arabic" w:hAnsi="Simplified Arabic" w:cs="Simplified Arabic"/>
          <w:szCs w:val="24"/>
          <w:rtl/>
        </w:rPr>
        <w:t xml:space="preserve">نظر الفريق العامل </w:t>
      </w:r>
      <w:r w:rsidR="008F3A5A">
        <w:rPr>
          <w:rFonts w:ascii="Simplified Arabic" w:hAnsi="Simplified Arabic" w:cs="Simplified Arabic" w:hint="cs"/>
          <w:szCs w:val="24"/>
          <w:rtl/>
        </w:rPr>
        <w:t>في جلست</w:t>
      </w:r>
      <w:r w:rsidRPr="005010E6">
        <w:rPr>
          <w:rFonts w:ascii="Simplified Arabic" w:hAnsi="Simplified Arabic" w:cs="Simplified Arabic" w:hint="cs"/>
          <w:szCs w:val="24"/>
          <w:rtl/>
        </w:rPr>
        <w:t xml:space="preserve">ه </w:t>
      </w:r>
      <w:r w:rsidRPr="005010E6">
        <w:rPr>
          <w:rFonts w:ascii="Simplified Arabic" w:hAnsi="Simplified Arabic" w:cs="Simplified Arabic"/>
          <w:szCs w:val="24"/>
          <w:rtl/>
        </w:rPr>
        <w:t>السادس</w:t>
      </w:r>
      <w:r w:rsidR="008F3A5A">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21 نوفمبر/تشرين الثاني 2018، في مشروع مقرر مقدم من الرئيس</w:t>
      </w:r>
      <w:r w:rsidRPr="005010E6">
        <w:rPr>
          <w:rFonts w:ascii="Simplified Arabic" w:hAnsi="Simplified Arabic" w:cs="Simplified Arabic" w:hint="cs"/>
          <w:szCs w:val="24"/>
          <w:rtl/>
        </w:rPr>
        <w:t>ة.</w:t>
      </w:r>
    </w:p>
    <w:p w:rsidR="00652C74" w:rsidRPr="005010E6" w:rsidRDefault="007414C9"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652C74" w:rsidRPr="005010E6">
        <w:rPr>
          <w:rFonts w:ascii="Simplified Arabic" w:hAnsi="Simplified Arabic" w:cs="Simplified Arabic"/>
          <w:szCs w:val="24"/>
          <w:rtl/>
        </w:rPr>
        <w:t xml:space="preserve"> الأرجنتين</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وبوليفيا (دولة - المتعددة القوميات)</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والبرازيل</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وكندا</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والاتحاد الأوروبي ودول</w:t>
      </w:r>
      <w:r>
        <w:rPr>
          <w:rFonts w:ascii="Simplified Arabic" w:hAnsi="Simplified Arabic" w:cs="Simplified Arabic" w:hint="cs"/>
          <w:szCs w:val="24"/>
          <w:rtl/>
        </w:rPr>
        <w:t>ه</w:t>
      </w:r>
      <w:r w:rsidR="00652C74" w:rsidRPr="005010E6">
        <w:rPr>
          <w:rFonts w:ascii="Simplified Arabic" w:hAnsi="Simplified Arabic" w:cs="Simplified Arabic"/>
          <w:szCs w:val="24"/>
          <w:rtl/>
        </w:rPr>
        <w:t xml:space="preserve"> الأعضاء</w:t>
      </w:r>
      <w:r w:rsidR="00652C74" w:rsidRPr="005010E6">
        <w:rPr>
          <w:rFonts w:ascii="Simplified Arabic" w:hAnsi="Simplified Arabic" w:cs="Simplified Arabic" w:hint="cs"/>
          <w:szCs w:val="24"/>
          <w:rtl/>
        </w:rPr>
        <w:t xml:space="preserve"> </w:t>
      </w:r>
      <w:r>
        <w:rPr>
          <w:rFonts w:ascii="Simplified Arabic" w:hAnsi="Simplified Arabic" w:cs="Simplified Arabic" w:hint="cs"/>
          <w:szCs w:val="24"/>
          <w:rtl/>
        </w:rPr>
        <w:t>الثماني والعشرين</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وإيران (جمهورية - الإسلامية)</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وملديف والمملكة العربية السعودية</w:t>
      </w:r>
      <w:r w:rsidR="00652C74" w:rsidRPr="005010E6">
        <w:rPr>
          <w:rFonts w:ascii="Simplified Arabic" w:hAnsi="Simplified Arabic" w:cs="Simplified Arabic" w:hint="cs"/>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وات</w:t>
      </w:r>
      <w:r w:rsidRPr="005010E6">
        <w:rPr>
          <w:rFonts w:ascii="Simplified Arabic" w:hAnsi="Simplified Arabic" w:cs="Simplified Arabic"/>
          <w:szCs w:val="24"/>
          <w:rtl/>
        </w:rPr>
        <w:t>فق الفريق العامل على مواصلة المناقشات في مجموعة صغيرة</w:t>
      </w:r>
      <w:r w:rsidRPr="005010E6">
        <w:rPr>
          <w:rFonts w:ascii="Simplified Arabic" w:hAnsi="Simplified Arabic" w:cs="Simplified Arabic" w:hint="cs"/>
          <w:szCs w:val="24"/>
          <w:rtl/>
        </w:rPr>
        <w:t>.</w:t>
      </w:r>
    </w:p>
    <w:p w:rsidR="00652C74" w:rsidRPr="005010E6" w:rsidRDefault="004419D8" w:rsidP="004419D8">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Pr>
          <w:rFonts w:ascii="Simplified Arabic" w:hAnsi="Simplified Arabic" w:cs="Simplified Arabic" w:hint="cs"/>
          <w:szCs w:val="24"/>
          <w:rtl/>
        </w:rPr>
        <w:t>وفي</w:t>
      </w:r>
      <w:r w:rsidR="00652C74" w:rsidRPr="005010E6">
        <w:rPr>
          <w:rFonts w:ascii="Simplified Arabic" w:hAnsi="Simplified Arabic" w:cs="Simplified Arabic"/>
          <w:szCs w:val="24"/>
          <w:rtl/>
        </w:rPr>
        <w:t xml:space="preserve"> </w:t>
      </w:r>
      <w:r w:rsidR="008F3A5A">
        <w:rPr>
          <w:rFonts w:ascii="Simplified Arabic" w:hAnsi="Simplified Arabic" w:cs="Simplified Arabic" w:hint="cs"/>
          <w:szCs w:val="24"/>
          <w:rtl/>
        </w:rPr>
        <w:t>جلست</w:t>
      </w:r>
      <w:r w:rsidR="00652C74" w:rsidRPr="005010E6">
        <w:rPr>
          <w:rFonts w:ascii="Simplified Arabic" w:hAnsi="Simplified Arabic" w:cs="Simplified Arabic" w:hint="cs"/>
          <w:szCs w:val="24"/>
          <w:rtl/>
        </w:rPr>
        <w:t>ه</w:t>
      </w:r>
      <w:r w:rsidR="00652C74" w:rsidRPr="005010E6">
        <w:rPr>
          <w:rFonts w:ascii="Simplified Arabic" w:hAnsi="Simplified Arabic" w:cs="Simplified Arabic"/>
          <w:szCs w:val="24"/>
          <w:rtl/>
        </w:rPr>
        <w:t xml:space="preserve"> الثامن</w:t>
      </w:r>
      <w:r w:rsidR="008F3A5A">
        <w:rPr>
          <w:rFonts w:ascii="Simplified Arabic" w:hAnsi="Simplified Arabic" w:cs="Simplified Arabic" w:hint="cs"/>
          <w:szCs w:val="24"/>
          <w:rtl/>
        </w:rPr>
        <w:t>ة</w:t>
      </w:r>
      <w:r w:rsidR="00652C74"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00652C74" w:rsidRPr="005010E6">
        <w:rPr>
          <w:rFonts w:ascii="Simplified Arabic" w:hAnsi="Simplified Arabic" w:cs="Simplified Arabic"/>
          <w:szCs w:val="24"/>
          <w:rtl/>
        </w:rPr>
        <w:t xml:space="preserve"> في 22 نوفمبر/تشرين 2018، </w:t>
      </w:r>
      <w:r>
        <w:rPr>
          <w:rFonts w:ascii="Simplified Arabic" w:hAnsi="Simplified Arabic" w:cs="Simplified Arabic" w:hint="cs"/>
          <w:szCs w:val="24"/>
          <w:rtl/>
        </w:rPr>
        <w:t xml:space="preserve">استأنف الفريق العامل </w:t>
      </w:r>
      <w:r w:rsidR="00652C74" w:rsidRPr="005010E6">
        <w:rPr>
          <w:rFonts w:ascii="Simplified Arabic" w:hAnsi="Simplified Arabic" w:cs="Simplified Arabic"/>
          <w:szCs w:val="24"/>
          <w:rtl/>
        </w:rPr>
        <w:t>نظر</w:t>
      </w:r>
      <w:r w:rsidR="00652C74" w:rsidRPr="005010E6">
        <w:rPr>
          <w:rFonts w:ascii="Simplified Arabic" w:hAnsi="Simplified Arabic" w:cs="Simplified Arabic" w:hint="cs"/>
          <w:szCs w:val="24"/>
          <w:rtl/>
        </w:rPr>
        <w:t>ه</w:t>
      </w:r>
      <w:r w:rsidR="00652C74" w:rsidRPr="005010E6">
        <w:rPr>
          <w:rFonts w:ascii="Simplified Arabic" w:hAnsi="Simplified Arabic" w:cs="Simplified Arabic"/>
          <w:szCs w:val="24"/>
          <w:rtl/>
        </w:rPr>
        <w:t xml:space="preserve"> في مشروع المقرر، بما في ذلك النص المقترح للفقرة 3 الذي اتفق</w:t>
      </w:r>
      <w:r w:rsidR="00652C74" w:rsidRPr="005010E6">
        <w:rPr>
          <w:rFonts w:ascii="Simplified Arabic" w:hAnsi="Simplified Arabic" w:cs="Simplified Arabic" w:hint="cs"/>
          <w:szCs w:val="24"/>
          <w:rtl/>
        </w:rPr>
        <w:t>ت</w:t>
      </w:r>
      <w:r w:rsidR="00652C74" w:rsidRPr="005010E6">
        <w:rPr>
          <w:rFonts w:ascii="Simplified Arabic" w:hAnsi="Simplified Arabic" w:cs="Simplified Arabic"/>
          <w:szCs w:val="24"/>
          <w:rtl/>
        </w:rPr>
        <w:t xml:space="preserve"> عليه ال</w:t>
      </w:r>
      <w:r w:rsidR="00652C74" w:rsidRPr="005010E6">
        <w:rPr>
          <w:rFonts w:ascii="Simplified Arabic" w:hAnsi="Simplified Arabic" w:cs="Simplified Arabic" w:hint="cs"/>
          <w:szCs w:val="24"/>
          <w:rtl/>
        </w:rPr>
        <w:t>مجموعة</w:t>
      </w:r>
      <w:r w:rsidR="00652C74" w:rsidRPr="005010E6">
        <w:rPr>
          <w:rFonts w:ascii="Simplified Arabic" w:hAnsi="Simplified Arabic" w:cs="Simplified Arabic"/>
          <w:szCs w:val="24"/>
          <w:rtl/>
        </w:rPr>
        <w:t xml:space="preserve"> الصغير</w:t>
      </w:r>
      <w:r w:rsidR="00652C74" w:rsidRPr="005010E6">
        <w:rPr>
          <w:rFonts w:ascii="Simplified Arabic" w:hAnsi="Simplified Arabic" w:cs="Simplified Arabic" w:hint="cs"/>
          <w:szCs w:val="24"/>
          <w:rtl/>
        </w:rPr>
        <w:t>ة</w:t>
      </w:r>
      <w:r w:rsidR="00652C74" w:rsidRPr="005010E6">
        <w:rPr>
          <w:rFonts w:ascii="Simplified Arabic" w:hAnsi="Simplified Arabic" w:cs="Simplified Arabic"/>
          <w:szCs w:val="24"/>
          <w:rtl/>
        </w:rPr>
        <w:t xml:space="preserve"> </w:t>
      </w:r>
      <w:r w:rsidR="00652C74" w:rsidRPr="005010E6">
        <w:rPr>
          <w:rFonts w:ascii="Simplified Arabic" w:hAnsi="Simplified Arabic" w:cs="Simplified Arabic" w:hint="cs"/>
          <w:szCs w:val="24"/>
          <w:rtl/>
        </w:rPr>
        <w:t>التي شُكلت</w:t>
      </w:r>
      <w:r w:rsidR="00652C74" w:rsidRPr="005010E6">
        <w:rPr>
          <w:rFonts w:ascii="Simplified Arabic" w:hAnsi="Simplified Arabic" w:cs="Simplified Arabic"/>
          <w:szCs w:val="24"/>
          <w:rtl/>
        </w:rPr>
        <w:t xml:space="preserve"> في ال</w:t>
      </w:r>
      <w:r>
        <w:rPr>
          <w:rFonts w:ascii="Simplified Arabic" w:hAnsi="Simplified Arabic" w:cs="Simplified Arabic" w:hint="cs"/>
          <w:szCs w:val="24"/>
          <w:rtl/>
        </w:rPr>
        <w:t>جلسة</w:t>
      </w:r>
      <w:r w:rsidR="00652C74" w:rsidRPr="005010E6">
        <w:rPr>
          <w:rFonts w:ascii="Simplified Arabic" w:hAnsi="Simplified Arabic" w:cs="Simplified Arabic"/>
          <w:szCs w:val="24"/>
          <w:rtl/>
        </w:rPr>
        <w:t xml:space="preserve"> السابق</w:t>
      </w:r>
      <w:r>
        <w:rPr>
          <w:rFonts w:ascii="Simplified Arabic" w:hAnsi="Simplified Arabic" w:cs="Simplified Arabic" w:hint="cs"/>
          <w:szCs w:val="24"/>
          <w:rtl/>
        </w:rPr>
        <w:t>ة</w:t>
      </w:r>
      <w:r w:rsidR="00652C74" w:rsidRPr="005010E6">
        <w:rPr>
          <w:rFonts w:ascii="Simplified Arabic" w:hAnsi="Simplified Arabic" w:cs="Simplified Arabic" w:hint="cs"/>
          <w:szCs w:val="24"/>
          <w:rtl/>
        </w:rPr>
        <w:t>.</w:t>
      </w:r>
    </w:p>
    <w:p w:rsidR="00652C74" w:rsidRPr="005010E6" w:rsidRDefault="00652C74" w:rsidP="004419D8">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وأدلى بتعليقات ممثلو الأرجنتين</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وبوليفيا (دولة - المتعددة القوميات)</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والبرازيل</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وكندا</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وكوت ديفوار</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والاتحاد الأوروبي ودول</w:t>
      </w:r>
      <w:r w:rsidR="008F3A5A">
        <w:rPr>
          <w:rFonts w:ascii="Simplified Arabic" w:hAnsi="Simplified Arabic" w:cs="Simplified Arabic" w:hint="cs"/>
          <w:szCs w:val="24"/>
          <w:rtl/>
        </w:rPr>
        <w:t>ه</w:t>
      </w:r>
      <w:r w:rsidRPr="005010E6">
        <w:rPr>
          <w:rFonts w:ascii="Simplified Arabic" w:hAnsi="Simplified Arabic" w:cs="Simplified Arabic"/>
          <w:szCs w:val="24"/>
          <w:rtl/>
        </w:rPr>
        <w:t xml:space="preserve"> الأعضاء</w:t>
      </w:r>
      <w:r w:rsidRPr="005010E6">
        <w:rPr>
          <w:rFonts w:ascii="Simplified Arabic" w:hAnsi="Simplified Arabic" w:cs="Simplified Arabic" w:hint="cs"/>
          <w:szCs w:val="24"/>
          <w:rtl/>
        </w:rPr>
        <w:t xml:space="preserve"> </w:t>
      </w:r>
      <w:r w:rsidR="008F3A5A">
        <w:rPr>
          <w:rFonts w:ascii="Simplified Arabic" w:hAnsi="Simplified Arabic" w:cs="Simplified Arabic" w:hint="cs"/>
          <w:sz w:val="24"/>
          <w:szCs w:val="24"/>
          <w:rtl/>
        </w:rPr>
        <w:t>الثماني والعشرين</w:t>
      </w:r>
      <w:r w:rsidR="008F3A5A" w:rsidRPr="002E513E">
        <w:rPr>
          <w:rFonts w:ascii="Simplified Arabic" w:hAnsi="Simplified Arabic" w:cs="Simplified Arabic" w:hint="cs"/>
          <w:sz w:val="24"/>
          <w:szCs w:val="24"/>
          <w:rtl/>
        </w:rPr>
        <w:t>،</w:t>
      </w:r>
      <w:r w:rsidRPr="005010E6">
        <w:rPr>
          <w:rFonts w:ascii="Simplified Arabic" w:hAnsi="Simplified Arabic" w:cs="Simplified Arabic"/>
          <w:szCs w:val="24"/>
          <w:rtl/>
        </w:rPr>
        <w:t xml:space="preserve"> وإيران (جمهورية - الإسلامية)</w:t>
      </w:r>
      <w:r w:rsidRPr="005010E6">
        <w:rPr>
          <w:rFonts w:ascii="Simplified Arabic" w:hAnsi="Simplified Arabic" w:cs="Simplified Arabic" w:hint="cs"/>
          <w:szCs w:val="24"/>
          <w:rtl/>
        </w:rPr>
        <w:t>،</w:t>
      </w:r>
      <w:r w:rsidRPr="005010E6">
        <w:rPr>
          <w:rFonts w:ascii="Simplified Arabic" w:hAnsi="Simplified Arabic" w:cs="Simplified Arabic"/>
          <w:szCs w:val="24"/>
          <w:rtl/>
        </w:rPr>
        <w:t xml:space="preserve"> والمكسيك وسويسرا</w:t>
      </w:r>
      <w:r w:rsidRPr="005010E6">
        <w:rPr>
          <w:rFonts w:ascii="Simplified Arabic" w:hAnsi="Simplified Arabic" w:cs="Simplified Arabic" w:hint="cs"/>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Pr="005010E6">
        <w:rPr>
          <w:rFonts w:ascii="Simplified Arabic" w:hAnsi="Simplified Arabic" w:cs="Simplified Arabic"/>
          <w:szCs w:val="24"/>
          <w:rtl/>
        </w:rPr>
        <w:t>قدم ممثل</w:t>
      </w:r>
      <w:r w:rsidRPr="005010E6">
        <w:rPr>
          <w:rFonts w:ascii="Simplified Arabic" w:hAnsi="Simplified Arabic" w:cs="Simplified Arabic" w:hint="cs"/>
          <w:szCs w:val="24"/>
          <w:rtl/>
        </w:rPr>
        <w:t xml:space="preserve"> عن</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ا</w:t>
      </w:r>
      <w:r w:rsidRPr="005010E6">
        <w:rPr>
          <w:rFonts w:ascii="Simplified Arabic" w:hAnsi="Simplified Arabic" w:cs="Simplified Arabic"/>
          <w:szCs w:val="24"/>
          <w:rtl/>
        </w:rPr>
        <w:t>لأمانة توضيحا بشأن مسألة قانونية</w:t>
      </w:r>
      <w:r w:rsidRPr="005010E6">
        <w:rPr>
          <w:rFonts w:ascii="Simplified Arabic" w:hAnsi="Simplified Arabic" w:cs="Simplified Arabic" w:hint="cs"/>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hint="cs"/>
          <w:szCs w:val="24"/>
          <w:rtl/>
        </w:rPr>
        <w:t>و</w:t>
      </w:r>
      <w:r w:rsidRPr="005010E6">
        <w:rPr>
          <w:rFonts w:ascii="Simplified Arabic" w:hAnsi="Simplified Arabic" w:cs="Simplified Arabic"/>
          <w:szCs w:val="24"/>
          <w:rtl/>
        </w:rPr>
        <w:t>أنشأ</w:t>
      </w:r>
      <w:r w:rsidRPr="005010E6">
        <w:rPr>
          <w:rFonts w:ascii="Simplified Arabic" w:hAnsi="Simplified Arabic" w:cs="Simplified Arabic" w:hint="cs"/>
          <w:szCs w:val="24"/>
          <w:rtl/>
        </w:rPr>
        <w:t>ت</w:t>
      </w:r>
      <w:r w:rsidRPr="005010E6">
        <w:rPr>
          <w:rFonts w:ascii="Simplified Arabic" w:hAnsi="Simplified Arabic" w:cs="Simplified Arabic"/>
          <w:szCs w:val="24"/>
          <w:rtl/>
        </w:rPr>
        <w:t xml:space="preserve"> الرئيس</w:t>
      </w:r>
      <w:r w:rsidRPr="005010E6">
        <w:rPr>
          <w:rFonts w:ascii="Simplified Arabic" w:hAnsi="Simplified Arabic" w:cs="Simplified Arabic" w:hint="cs"/>
          <w:szCs w:val="24"/>
          <w:rtl/>
        </w:rPr>
        <w:t>ة</w:t>
      </w:r>
      <w:r w:rsidRPr="005010E6">
        <w:rPr>
          <w:rFonts w:ascii="Simplified Arabic" w:hAnsi="Simplified Arabic" w:cs="Simplified Arabic"/>
          <w:szCs w:val="24"/>
          <w:rtl/>
        </w:rPr>
        <w:t xml:space="preserve"> مجموعة أصدقاء الرئيس</w:t>
      </w:r>
      <w:r w:rsidR="008F3A5A">
        <w:rPr>
          <w:rFonts w:ascii="Simplified Arabic" w:hAnsi="Simplified Arabic" w:cs="Simplified Arabic" w:hint="cs"/>
          <w:szCs w:val="24"/>
          <w:rtl/>
        </w:rPr>
        <w:t>ة</w:t>
      </w:r>
      <w:r w:rsidRPr="005010E6">
        <w:rPr>
          <w:rFonts w:ascii="Simplified Arabic" w:hAnsi="Simplified Arabic" w:cs="Simplified Arabic"/>
          <w:szCs w:val="24"/>
          <w:rtl/>
        </w:rPr>
        <w:t>، بتيسير من السيدة إلهام محمد (ملديف)، لمواصلة مناقشة الفقرة</w:t>
      </w:r>
      <w:r w:rsidRPr="005010E6">
        <w:rPr>
          <w:rFonts w:ascii="Simplified Arabic" w:hAnsi="Simplified Arabic" w:cs="Simplified Arabic" w:hint="cs"/>
          <w:szCs w:val="24"/>
          <w:rtl/>
        </w:rPr>
        <w:t xml:space="preserve"> 3.</w:t>
      </w:r>
    </w:p>
    <w:p w:rsidR="00652C74" w:rsidRPr="005010E6" w:rsidRDefault="004419D8"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في </w:t>
      </w:r>
      <w:r w:rsidR="008F3A5A">
        <w:rPr>
          <w:rFonts w:ascii="Simplified Arabic" w:hAnsi="Simplified Arabic" w:cs="Simplified Arabic" w:hint="cs"/>
          <w:szCs w:val="24"/>
          <w:rtl/>
        </w:rPr>
        <w:t>جلست</w:t>
      </w:r>
      <w:r w:rsidR="00652C74" w:rsidRPr="005010E6">
        <w:rPr>
          <w:rFonts w:ascii="Simplified Arabic" w:hAnsi="Simplified Arabic" w:cs="Simplified Arabic" w:hint="cs"/>
          <w:szCs w:val="24"/>
          <w:rtl/>
        </w:rPr>
        <w:t>ه</w:t>
      </w:r>
      <w:r w:rsidR="00652C74" w:rsidRPr="005010E6">
        <w:rPr>
          <w:rFonts w:ascii="Simplified Arabic" w:hAnsi="Simplified Arabic" w:cs="Simplified Arabic"/>
          <w:szCs w:val="24"/>
          <w:rtl/>
        </w:rPr>
        <w:t xml:space="preserve"> التاسع</w:t>
      </w:r>
      <w:r w:rsidR="008F3A5A">
        <w:rPr>
          <w:rFonts w:ascii="Simplified Arabic" w:hAnsi="Simplified Arabic" w:cs="Simplified Arabic" w:hint="cs"/>
          <w:szCs w:val="24"/>
          <w:rtl/>
        </w:rPr>
        <w:t>ة</w:t>
      </w:r>
      <w:r w:rsidR="00652C74"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00652C74" w:rsidRPr="005010E6">
        <w:rPr>
          <w:rFonts w:ascii="Simplified Arabic" w:hAnsi="Simplified Arabic" w:cs="Simplified Arabic"/>
          <w:szCs w:val="24"/>
          <w:rtl/>
        </w:rPr>
        <w:t xml:space="preserve"> في 22 نوفمبر/تشرين الثاني 2018، </w:t>
      </w:r>
      <w:r>
        <w:rPr>
          <w:rFonts w:ascii="Simplified Arabic" w:hAnsi="Simplified Arabic" w:cs="Simplified Arabic" w:hint="cs"/>
          <w:szCs w:val="24"/>
          <w:rtl/>
        </w:rPr>
        <w:t xml:space="preserve">تناول الفريق العامل مرة أخرى </w:t>
      </w:r>
      <w:r w:rsidR="00652C74" w:rsidRPr="005010E6">
        <w:rPr>
          <w:rFonts w:ascii="Simplified Arabic" w:hAnsi="Simplified Arabic" w:cs="Simplified Arabic"/>
          <w:szCs w:val="24"/>
          <w:rtl/>
        </w:rPr>
        <w:t xml:space="preserve">مشروع المقرر للنظر فيه، وأعاد </w:t>
      </w:r>
      <w:r w:rsidR="00652C74" w:rsidRPr="005010E6">
        <w:rPr>
          <w:rFonts w:ascii="Simplified Arabic" w:hAnsi="Simplified Arabic" w:cs="Simplified Arabic" w:hint="cs"/>
          <w:szCs w:val="24"/>
          <w:rtl/>
        </w:rPr>
        <w:t>إنشاء</w:t>
      </w:r>
      <w:r w:rsidR="00652C74" w:rsidRPr="005010E6">
        <w:rPr>
          <w:rFonts w:ascii="Simplified Arabic" w:hAnsi="Simplified Arabic" w:cs="Simplified Arabic"/>
          <w:szCs w:val="24"/>
          <w:rtl/>
        </w:rPr>
        <w:t xml:space="preserve"> مجموعة</w:t>
      </w:r>
      <w:r w:rsidR="00652C74" w:rsidRPr="005010E6">
        <w:rPr>
          <w:rFonts w:ascii="Simplified Arabic" w:hAnsi="Simplified Arabic" w:cs="Simplified Arabic" w:hint="cs"/>
          <w:szCs w:val="24"/>
          <w:rtl/>
        </w:rPr>
        <w:t xml:space="preserve"> </w:t>
      </w:r>
      <w:r w:rsidR="00652C74" w:rsidRPr="005010E6">
        <w:rPr>
          <w:rFonts w:ascii="Simplified Arabic" w:hAnsi="Simplified Arabic" w:cs="Simplified Arabic"/>
          <w:szCs w:val="24"/>
          <w:rtl/>
        </w:rPr>
        <w:t>أصدقاء الرئيس</w:t>
      </w:r>
      <w:r w:rsidR="008F3A5A">
        <w:rPr>
          <w:rFonts w:ascii="Simplified Arabic" w:hAnsi="Simplified Arabic" w:cs="Simplified Arabic" w:hint="cs"/>
          <w:szCs w:val="24"/>
          <w:rtl/>
        </w:rPr>
        <w:t>ة</w:t>
      </w:r>
      <w:r w:rsidR="00652C74" w:rsidRPr="005010E6">
        <w:rPr>
          <w:rFonts w:ascii="Simplified Arabic" w:hAnsi="Simplified Arabic" w:cs="Simplified Arabic"/>
          <w:szCs w:val="24"/>
          <w:rtl/>
        </w:rPr>
        <w:t xml:space="preserve"> لمواصلة المناقشة</w:t>
      </w:r>
      <w:r w:rsidR="00652C74" w:rsidRPr="005010E6">
        <w:rPr>
          <w:rFonts w:ascii="Simplified Arabic" w:hAnsi="Simplified Arabic" w:cs="Simplified Arabic" w:hint="cs"/>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 xml:space="preserve">واستأنف الفريق العامل </w:t>
      </w:r>
      <w:r w:rsidRPr="005010E6">
        <w:rPr>
          <w:rFonts w:ascii="Simplified Arabic" w:hAnsi="Simplified Arabic" w:cs="Simplified Arabic" w:hint="cs"/>
          <w:szCs w:val="24"/>
          <w:rtl/>
        </w:rPr>
        <w:t>نظره</w:t>
      </w:r>
      <w:r w:rsidRPr="005010E6">
        <w:rPr>
          <w:rFonts w:ascii="Simplified Arabic" w:hAnsi="Simplified Arabic" w:cs="Simplified Arabic"/>
          <w:szCs w:val="24"/>
          <w:rtl/>
        </w:rPr>
        <w:t xml:space="preserve"> في مشروع المقرر</w:t>
      </w:r>
      <w:r w:rsidRPr="005010E6">
        <w:rPr>
          <w:rFonts w:ascii="Simplified Arabic" w:hAnsi="Simplified Arabic" w:cs="Simplified Arabic" w:hint="cs"/>
          <w:szCs w:val="24"/>
          <w:rtl/>
        </w:rPr>
        <w:t xml:space="preserve"> </w:t>
      </w:r>
      <w:r w:rsidR="008F3A5A">
        <w:rPr>
          <w:rFonts w:ascii="Simplified Arabic" w:hAnsi="Simplified Arabic" w:cs="Simplified Arabic" w:hint="cs"/>
          <w:szCs w:val="24"/>
          <w:rtl/>
        </w:rPr>
        <w:t>في جلست</w:t>
      </w:r>
      <w:r w:rsidRPr="005010E6">
        <w:rPr>
          <w:rFonts w:ascii="Simplified Arabic" w:hAnsi="Simplified Arabic" w:cs="Simplified Arabic" w:hint="cs"/>
          <w:szCs w:val="24"/>
          <w:rtl/>
        </w:rPr>
        <w:t>ه</w:t>
      </w:r>
      <w:r w:rsidRPr="005010E6">
        <w:rPr>
          <w:rFonts w:ascii="Simplified Arabic" w:hAnsi="Simplified Arabic" w:cs="Simplified Arabic"/>
          <w:szCs w:val="24"/>
          <w:rtl/>
        </w:rPr>
        <w:t xml:space="preserve"> الثاني</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عشر</w:t>
      </w:r>
      <w:r w:rsidR="008F3A5A">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26 نوفمبر/تشرين الثاني 2018</w:t>
      </w:r>
      <w:r w:rsidRPr="005010E6">
        <w:rPr>
          <w:rFonts w:ascii="Simplified Arabic" w:hAnsi="Simplified Arabic" w:cs="Simplified Arabic" w:hint="cs"/>
          <w:szCs w:val="24"/>
          <w:rtl/>
        </w:rPr>
        <w:t>.</w:t>
      </w:r>
    </w:p>
    <w:p w:rsidR="00652C74" w:rsidRPr="005010E6" w:rsidRDefault="007414C9" w:rsidP="004419D8">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7414C9">
        <w:rPr>
          <w:rFonts w:ascii="Simplified Arabic" w:hAnsi="Simplified Arabic" w:cs="Simplified Arabic"/>
          <w:sz w:val="24"/>
          <w:szCs w:val="24"/>
          <w:rtl/>
        </w:rPr>
        <w:lastRenderedPageBreak/>
        <w:t>و</w:t>
      </w:r>
      <w:r w:rsidRPr="007414C9">
        <w:rPr>
          <w:rFonts w:ascii="Simplified Arabic" w:hAnsi="Simplified Arabic" w:cs="Simplified Arabic" w:hint="cs"/>
          <w:sz w:val="24"/>
          <w:szCs w:val="24"/>
          <w:rtl/>
        </w:rPr>
        <w:t xml:space="preserve">أدلى ببيانات </w:t>
      </w:r>
      <w:r w:rsidRPr="007414C9">
        <w:rPr>
          <w:rFonts w:ascii="Simplified Arabic" w:hAnsi="Simplified Arabic" w:cs="Simplified Arabic"/>
          <w:sz w:val="24"/>
          <w:szCs w:val="24"/>
          <w:rtl/>
        </w:rPr>
        <w:t>ممثل</w:t>
      </w:r>
      <w:r w:rsidRPr="007414C9">
        <w:rPr>
          <w:rFonts w:ascii="Simplified Arabic" w:hAnsi="Simplified Arabic" w:cs="Simplified Arabic" w:hint="cs"/>
          <w:sz w:val="24"/>
          <w:szCs w:val="24"/>
          <w:rtl/>
        </w:rPr>
        <w:t>و</w:t>
      </w:r>
      <w:r w:rsidR="00652C74" w:rsidRPr="005010E6">
        <w:rPr>
          <w:rFonts w:ascii="Simplified Arabic" w:hAnsi="Simplified Arabic" w:cs="Simplified Arabic"/>
          <w:szCs w:val="24"/>
          <w:rtl/>
        </w:rPr>
        <w:t xml:space="preserve"> بوليفيا (دولة - المتعددة القوميات)،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البرازيل،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الكاميرون،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كندا،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كولومبيا،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كوستاريكا،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إكوادور،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مصر،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الاتحاد الأوروبي</w:t>
      </w:r>
      <w:r w:rsidR="004419D8">
        <w:rPr>
          <w:rFonts w:ascii="Simplified Arabic" w:hAnsi="Simplified Arabic" w:cs="Simplified Arabic" w:hint="cs"/>
          <w:szCs w:val="24"/>
          <w:rtl/>
        </w:rPr>
        <w:t xml:space="preserve"> ودوله الأعضاء الثماني والعشرين</w:t>
      </w:r>
      <w:r w:rsidR="00652C74" w:rsidRPr="005010E6">
        <w:rPr>
          <w:rFonts w:ascii="Simplified Arabic" w:hAnsi="Simplified Arabic" w:cs="Simplified Arabic"/>
          <w:szCs w:val="24"/>
          <w:rtl/>
        </w:rPr>
        <w:t xml:space="preserve">،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غابون،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غواتيمالا،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هندوراس،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المكسيك،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الفلبين،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 xml:space="preserve">نيوزيلندا، </w:t>
      </w:r>
      <w:r w:rsidR="00652C74" w:rsidRPr="005010E6">
        <w:rPr>
          <w:rFonts w:ascii="Simplified Arabic" w:hAnsi="Simplified Arabic" w:cs="Simplified Arabic" w:hint="cs"/>
          <w:szCs w:val="24"/>
          <w:rtl/>
        </w:rPr>
        <w:t>و</w:t>
      </w:r>
      <w:r w:rsidR="00652C74" w:rsidRPr="005010E6">
        <w:rPr>
          <w:rFonts w:ascii="Simplified Arabic" w:hAnsi="Simplified Arabic" w:cs="Simplified Arabic"/>
          <w:szCs w:val="24"/>
          <w:rtl/>
        </w:rPr>
        <w:t>بيرو</w:t>
      </w:r>
      <w:r w:rsidR="00652C74" w:rsidRPr="005010E6">
        <w:rPr>
          <w:rFonts w:ascii="Simplified Arabic" w:hAnsi="Simplified Arabic" w:cs="Simplified Arabic" w:hint="cs"/>
          <w:szCs w:val="24"/>
          <w:rtl/>
        </w:rPr>
        <w:t>،</w:t>
      </w:r>
      <w:r w:rsidR="00652C74" w:rsidRPr="005010E6">
        <w:rPr>
          <w:rFonts w:ascii="Simplified Arabic" w:hAnsi="Simplified Arabic" w:cs="Simplified Arabic"/>
          <w:szCs w:val="24"/>
          <w:rtl/>
        </w:rPr>
        <w:t xml:space="preserve"> وأوروغواي وفنزويلا (جمهورية - البوليفارية)</w:t>
      </w:r>
      <w:r w:rsidR="00652C74" w:rsidRPr="005010E6">
        <w:rPr>
          <w:rFonts w:ascii="Simplified Arabic" w:hAnsi="Simplified Arabic" w:cs="Simplified Arabic" w:hint="cs"/>
          <w:szCs w:val="24"/>
          <w:rtl/>
        </w:rPr>
        <w:t>.</w:t>
      </w:r>
    </w:p>
    <w:p w:rsidR="00652C74" w:rsidRPr="005010E6" w:rsidRDefault="00652C74"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tl/>
        </w:rPr>
      </w:pPr>
      <w:r w:rsidRPr="005010E6">
        <w:rPr>
          <w:rFonts w:ascii="Simplified Arabic" w:hAnsi="Simplified Arabic" w:cs="Simplified Arabic"/>
          <w:szCs w:val="24"/>
          <w:rtl/>
        </w:rPr>
        <w:t xml:space="preserve">واستأنف الفريق العامل </w:t>
      </w:r>
      <w:r w:rsidRPr="005010E6">
        <w:rPr>
          <w:rFonts w:ascii="Simplified Arabic" w:hAnsi="Simplified Arabic" w:cs="Simplified Arabic" w:hint="cs"/>
          <w:szCs w:val="24"/>
          <w:rtl/>
        </w:rPr>
        <w:t>نظره</w:t>
      </w:r>
      <w:r w:rsidRPr="005010E6">
        <w:rPr>
          <w:rFonts w:ascii="Simplified Arabic" w:hAnsi="Simplified Arabic" w:cs="Simplified Arabic"/>
          <w:szCs w:val="24"/>
          <w:rtl/>
        </w:rPr>
        <w:t xml:space="preserve"> في مشروع المقرر </w:t>
      </w:r>
      <w:r w:rsidRPr="005010E6">
        <w:rPr>
          <w:rFonts w:ascii="Simplified Arabic" w:hAnsi="Simplified Arabic" w:cs="Simplified Arabic" w:hint="cs"/>
          <w:szCs w:val="24"/>
          <w:rtl/>
        </w:rPr>
        <w:t>المتعلق</w:t>
      </w:r>
      <w:r w:rsidRPr="005010E6">
        <w:rPr>
          <w:rFonts w:ascii="Simplified Arabic" w:hAnsi="Simplified Arabic" w:cs="Simplified Arabic"/>
          <w:szCs w:val="24"/>
          <w:rtl/>
        </w:rPr>
        <w:t xml:space="preserve"> </w:t>
      </w:r>
      <w:r w:rsidRPr="005010E6">
        <w:rPr>
          <w:rFonts w:ascii="Simplified Arabic" w:hAnsi="Simplified Arabic" w:cs="Simplified Arabic" w:hint="cs"/>
          <w:szCs w:val="24"/>
          <w:rtl/>
        </w:rPr>
        <w:t>ب</w:t>
      </w:r>
      <w:r w:rsidRPr="005010E6">
        <w:rPr>
          <w:rFonts w:ascii="Simplified Arabic" w:hAnsi="Simplified Arabic" w:cs="Simplified Arabic"/>
          <w:szCs w:val="24"/>
          <w:rtl/>
        </w:rPr>
        <w:t xml:space="preserve">المسؤولية والجبر التعويضي في </w:t>
      </w:r>
      <w:r w:rsidR="008F3A5A">
        <w:rPr>
          <w:rFonts w:ascii="Simplified Arabic" w:hAnsi="Simplified Arabic" w:cs="Simplified Arabic" w:hint="cs"/>
          <w:szCs w:val="24"/>
          <w:rtl/>
        </w:rPr>
        <w:t>جلست</w:t>
      </w:r>
      <w:r w:rsidRPr="005010E6">
        <w:rPr>
          <w:rFonts w:ascii="Simplified Arabic" w:hAnsi="Simplified Arabic" w:cs="Simplified Arabic" w:hint="cs"/>
          <w:szCs w:val="24"/>
          <w:rtl/>
        </w:rPr>
        <w:t>ه</w:t>
      </w:r>
      <w:r w:rsidRPr="005010E6">
        <w:rPr>
          <w:rFonts w:ascii="Simplified Arabic" w:hAnsi="Simplified Arabic" w:cs="Simplified Arabic"/>
          <w:szCs w:val="24"/>
          <w:rtl/>
        </w:rPr>
        <w:t xml:space="preserve"> السادس</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عشر</w:t>
      </w:r>
      <w:r w:rsidR="008F3A5A">
        <w:rPr>
          <w:rFonts w:ascii="Simplified Arabic" w:hAnsi="Simplified Arabic" w:cs="Simplified Arabic" w:hint="cs"/>
          <w:szCs w:val="24"/>
          <w:rtl/>
        </w:rPr>
        <w:t>ة</w:t>
      </w:r>
      <w:r w:rsidRPr="005010E6">
        <w:rPr>
          <w:rFonts w:ascii="Simplified Arabic" w:hAnsi="Simplified Arabic" w:cs="Simplified Arabic"/>
          <w:szCs w:val="24"/>
          <w:rtl/>
        </w:rPr>
        <w:t>، المعقود</w:t>
      </w:r>
      <w:r w:rsidR="008F3A5A">
        <w:rPr>
          <w:rFonts w:ascii="Simplified Arabic" w:hAnsi="Simplified Arabic" w:cs="Simplified Arabic" w:hint="cs"/>
          <w:szCs w:val="24"/>
          <w:rtl/>
        </w:rPr>
        <w:t>ة</w:t>
      </w:r>
      <w:r w:rsidRPr="005010E6">
        <w:rPr>
          <w:rFonts w:ascii="Simplified Arabic" w:hAnsi="Simplified Arabic" w:cs="Simplified Arabic"/>
          <w:szCs w:val="24"/>
          <w:rtl/>
        </w:rPr>
        <w:t xml:space="preserve"> في 27 نوفمبر/تشرين الثاني 2018</w:t>
      </w:r>
      <w:r w:rsidRPr="005010E6">
        <w:rPr>
          <w:rFonts w:ascii="Simplified Arabic" w:hAnsi="Simplified Arabic" w:cs="Simplified Arabic" w:hint="cs"/>
          <w:szCs w:val="24"/>
          <w:rtl/>
        </w:rPr>
        <w:t>.</w:t>
      </w:r>
    </w:p>
    <w:p w:rsidR="00D50BC6" w:rsidRPr="005010E6" w:rsidRDefault="00914A68" w:rsidP="00FF7FA5">
      <w:pPr>
        <w:pStyle w:val="Para10"/>
        <w:numPr>
          <w:ilvl w:val="0"/>
          <w:numId w:val="6"/>
        </w:numPr>
        <w:kinsoku w:val="0"/>
        <w:overflowPunct w:val="0"/>
        <w:autoSpaceDE w:val="0"/>
        <w:autoSpaceDN w:val="0"/>
        <w:bidi/>
        <w:snapToGrid w:val="0"/>
        <w:spacing w:before="0" w:line="216" w:lineRule="auto"/>
        <w:ind w:left="0" w:firstLine="0"/>
        <w:rPr>
          <w:rFonts w:ascii="Simplified Arabic" w:hAnsi="Simplified Arabic" w:cs="Simplified Arabic"/>
          <w:szCs w:val="24"/>
        </w:rPr>
      </w:pPr>
      <w:r>
        <w:rPr>
          <w:rFonts w:ascii="Simplified Arabic" w:hAnsi="Simplified Arabic" w:cs="Simplified Arabic" w:hint="cs"/>
          <w:szCs w:val="24"/>
          <w:rtl/>
        </w:rPr>
        <w:t>وتمت الموافقة</w:t>
      </w:r>
      <w:r w:rsidR="00652C74" w:rsidRPr="005010E6">
        <w:rPr>
          <w:rFonts w:ascii="Simplified Arabic" w:hAnsi="Simplified Arabic" w:cs="Simplified Arabic"/>
          <w:szCs w:val="24"/>
          <w:rtl/>
        </w:rPr>
        <w:t xml:space="preserve"> على مشروع المقرر لإحالته إلى الجلسة العامة </w:t>
      </w:r>
      <w:r w:rsidR="00652C74" w:rsidRPr="005010E6">
        <w:rPr>
          <w:rFonts w:ascii="Simplified Arabic" w:hAnsi="Simplified Arabic" w:cs="Simplified Arabic" w:hint="cs"/>
          <w:szCs w:val="24"/>
          <w:rtl/>
        </w:rPr>
        <w:t xml:space="preserve">بوصفه مشروع المقرر </w:t>
      </w:r>
      <w:r w:rsidR="00652C74" w:rsidRPr="005010E6">
        <w:t>CBD/COP/14/L.26</w:t>
      </w:r>
      <w:r w:rsidR="00652C74" w:rsidRPr="005010E6">
        <w:rPr>
          <w:rFonts w:ascii="Simplified Arabic" w:hAnsi="Simplified Arabic" w:cs="Simplified Arabic" w:hint="cs"/>
          <w:szCs w:val="24"/>
          <w:rtl/>
        </w:rPr>
        <w:t>.</w:t>
      </w:r>
      <w:bookmarkStart w:id="250" w:name="_GoBack"/>
      <w:bookmarkEnd w:id="250"/>
    </w:p>
    <w:p w:rsidR="00D50BC6" w:rsidRPr="00997CAE" w:rsidRDefault="004419D8" w:rsidP="004419D8">
      <w:pPr>
        <w:pStyle w:val="ListParagraph"/>
        <w:numPr>
          <w:ilvl w:val="0"/>
          <w:numId w:val="6"/>
        </w:numPr>
        <w:bidi/>
        <w:spacing w:line="216" w:lineRule="auto"/>
        <w:ind w:left="0" w:firstLine="0"/>
        <w:rPr>
          <w:rFonts w:cs="Simplified Arabic"/>
        </w:rPr>
      </w:pPr>
      <w:r>
        <w:rPr>
          <w:rFonts w:cs="Simplified Arabic" w:hint="cs"/>
          <w:rtl/>
        </w:rPr>
        <w:t xml:space="preserve">وفي الجلسة العامة السابعة للاجتماع، المنعقدة في 29 نوفمبر/تشرين الثاني 2018، اعتمد مؤتمر الأطراف مشروع المقرر </w:t>
      </w:r>
      <w:r w:rsidRPr="007F48C2">
        <w:t>CBD/COP/14/L.</w:t>
      </w:r>
      <w:r>
        <w:t>26</w:t>
      </w:r>
      <w:r>
        <w:rPr>
          <w:rFonts w:cs="Simplified Arabic" w:hint="cs"/>
          <w:rtl/>
        </w:rPr>
        <w:t xml:space="preserve"> بوصفه المقرر 14/21 (للاطلاع على النص، انظر الفصل الأول).</w:t>
      </w:r>
    </w:p>
    <w:p w:rsidR="00260DBB" w:rsidRPr="00997CAE" w:rsidRDefault="00260DBB" w:rsidP="00094717">
      <w:pPr>
        <w:pStyle w:val="Heading2"/>
        <w:rPr>
          <w:rtl/>
        </w:rPr>
      </w:pPr>
      <w:bookmarkStart w:id="251" w:name="_Toc6140032"/>
      <w:r w:rsidRPr="00997CAE">
        <w:rPr>
          <w:rFonts w:hint="cs"/>
          <w:rtl/>
        </w:rPr>
        <w:t>البند 29 -</w:t>
      </w:r>
      <w:r w:rsidRPr="00997CAE">
        <w:rPr>
          <w:rFonts w:hint="cs"/>
          <w:rtl/>
        </w:rPr>
        <w:tab/>
        <w:t>مسائل أخرى</w:t>
      </w:r>
      <w:bookmarkEnd w:id="251"/>
    </w:p>
    <w:p w:rsidR="00260DBB" w:rsidRPr="00997CAE" w:rsidRDefault="00914A68" w:rsidP="006A66B9">
      <w:pPr>
        <w:pStyle w:val="ListParagraph"/>
        <w:numPr>
          <w:ilvl w:val="0"/>
          <w:numId w:val="6"/>
        </w:numPr>
        <w:bidi/>
        <w:spacing w:line="216" w:lineRule="auto"/>
        <w:ind w:left="0" w:firstLine="0"/>
        <w:rPr>
          <w:rFonts w:cs="Simplified Arabic"/>
        </w:rPr>
      </w:pPr>
      <w:r>
        <w:rPr>
          <w:rFonts w:cs="Simplified Arabic" w:hint="cs"/>
          <w:rtl/>
        </w:rPr>
        <w:t xml:space="preserve">في الجلسة </w:t>
      </w:r>
      <w:r w:rsidR="00B154A1">
        <w:rPr>
          <w:rFonts w:cs="Simplified Arabic" w:hint="cs"/>
          <w:rtl/>
        </w:rPr>
        <w:t xml:space="preserve">العامة </w:t>
      </w:r>
      <w:r>
        <w:rPr>
          <w:rFonts w:cs="Simplified Arabic" w:hint="cs"/>
          <w:rtl/>
        </w:rPr>
        <w:t>السابعة</w:t>
      </w:r>
      <w:r w:rsidR="00B154A1">
        <w:rPr>
          <w:rFonts w:cs="Simplified Arabic" w:hint="cs"/>
          <w:rtl/>
        </w:rPr>
        <w:t xml:space="preserve"> للاجتماع، </w:t>
      </w:r>
      <w:r w:rsidR="00D728EC">
        <w:rPr>
          <w:rFonts w:cs="Simplified Arabic" w:hint="cs"/>
          <w:rtl/>
        </w:rPr>
        <w:t>المنعقدة في 29 نوفمبر/تشرين الثاني 2018، طلبت الرئيسة من المندوبين الوقوف و</w:t>
      </w:r>
      <w:r w:rsidR="006A66B9">
        <w:rPr>
          <w:rFonts w:cs="Simplified Arabic" w:hint="cs"/>
          <w:rtl/>
        </w:rPr>
        <w:t>التزام دقيقة صمت حدادا على الزملاء والأصدقاء الذين وافتهم المنية خلال العام: وهم السيد شيخ ولد سيدي محمد، نقطة الاتصال الوطنية لموريتانيا وعضو مكتب الاجتماع الثالث عشر؛ والسيد بنواه نزيجيداهيرا، نقطة الاتصال الوطنية الثانية لبوروندي؛ والسيد جوهانسن فولكر، نقطة الاتصال الوطنية لليبيريا وعضو لجنة الامتثال في إطار بروتوكول قرطاجنة؛ والسيدة إدنا موليوا، وزيرة البيئة في جنوب أفريقيا؛ والسيد أوليفييه دي مونك، عضو أمانة الاتفاقية.</w:t>
      </w:r>
    </w:p>
    <w:p w:rsidR="002B6FB4" w:rsidRPr="00094717" w:rsidRDefault="00260DBB" w:rsidP="00094717">
      <w:pPr>
        <w:pStyle w:val="Heading3"/>
        <w:rPr>
          <w:rFonts w:ascii="Simplified Arabic" w:hAnsi="Simplified Arabic" w:cs="Simplified Arabic"/>
          <w:b/>
          <w:bCs/>
        </w:rPr>
      </w:pPr>
      <w:bookmarkStart w:id="252" w:name="_Toc6140033"/>
      <w:r w:rsidRPr="00094717">
        <w:rPr>
          <w:rFonts w:ascii="Simplified Arabic" w:hAnsi="Simplified Arabic" w:cs="Simplified Arabic"/>
          <w:b/>
          <w:bCs/>
          <w:rtl/>
        </w:rPr>
        <w:t>البند 30 -</w:t>
      </w:r>
      <w:r w:rsidRPr="00094717">
        <w:rPr>
          <w:rFonts w:ascii="Simplified Arabic" w:hAnsi="Simplified Arabic" w:cs="Simplified Arabic"/>
          <w:b/>
          <w:bCs/>
          <w:rtl/>
        </w:rPr>
        <w:tab/>
      </w:r>
      <w:r w:rsidR="00563808" w:rsidRPr="00094717">
        <w:rPr>
          <w:rFonts w:ascii="Simplified Arabic" w:hAnsi="Simplified Arabic" w:cs="Simplified Arabic"/>
          <w:b/>
          <w:bCs/>
          <w:rtl/>
        </w:rPr>
        <w:t>اعتماد التقرير</w:t>
      </w:r>
      <w:bookmarkEnd w:id="252"/>
    </w:p>
    <w:p w:rsidR="00260DBB" w:rsidRPr="00477B14" w:rsidRDefault="00260DBB" w:rsidP="004419D8">
      <w:pPr>
        <w:pStyle w:val="ListParagraph"/>
        <w:numPr>
          <w:ilvl w:val="0"/>
          <w:numId w:val="6"/>
        </w:numPr>
        <w:bidi/>
        <w:spacing w:line="216" w:lineRule="auto"/>
        <w:ind w:left="0" w:firstLine="0"/>
        <w:rPr>
          <w:rFonts w:cs="Simplified Arabic"/>
          <w:lang w:val="fr-CA"/>
        </w:rPr>
      </w:pPr>
      <w:r w:rsidRPr="00997CAE">
        <w:rPr>
          <w:rFonts w:cs="Simplified Arabic" w:hint="cs"/>
          <w:rtl/>
        </w:rPr>
        <w:t xml:space="preserve">اعتمد التقرير الحالي في الجلسة العامة </w:t>
      </w:r>
      <w:r w:rsidR="004419D8">
        <w:rPr>
          <w:rFonts w:cs="Simplified Arabic" w:hint="cs"/>
          <w:rtl/>
        </w:rPr>
        <w:t>الثامنة</w:t>
      </w:r>
      <w:r w:rsidRPr="00997CAE">
        <w:rPr>
          <w:rFonts w:cs="Simplified Arabic" w:hint="cs"/>
          <w:rtl/>
        </w:rPr>
        <w:t xml:space="preserve"> للاجتماع، المنعقدة </w:t>
      </w:r>
      <w:r w:rsidRPr="00997CAE">
        <w:rPr>
          <w:rFonts w:cs="Simplified Arabic"/>
          <w:rtl/>
          <w:lang w:bidi="ar-LY"/>
        </w:rPr>
        <w:t xml:space="preserve">في </w:t>
      </w:r>
      <w:r w:rsidR="004419D8">
        <w:rPr>
          <w:rFonts w:cs="Simplified Arabic" w:hint="cs"/>
          <w:rtl/>
          <w:lang w:bidi="ar-LY"/>
        </w:rPr>
        <w:t>29</w:t>
      </w:r>
      <w:r w:rsidRPr="00997CAE">
        <w:rPr>
          <w:rFonts w:cs="Simplified Arabic" w:hint="cs"/>
          <w:rtl/>
          <w:lang w:bidi="ar-LY"/>
        </w:rPr>
        <w:t xml:space="preserve"> نوفمبر/تشرين الثاني 2018</w:t>
      </w:r>
      <w:r w:rsidRPr="00997CAE">
        <w:rPr>
          <w:rFonts w:cs="Simplified Arabic" w:hint="cs"/>
          <w:rtl/>
        </w:rPr>
        <w:t xml:space="preserve">، على أساس مشروع التقرير المقدم من المقرر </w:t>
      </w:r>
      <w:r w:rsidRPr="00477B14">
        <w:rPr>
          <w:rFonts w:cs="Simplified Arabic"/>
          <w:lang w:val="fr-CA"/>
        </w:rPr>
        <w:t>(CBD/COP/14/L.1)</w:t>
      </w:r>
      <w:r w:rsidRPr="00997CAE">
        <w:rPr>
          <w:rFonts w:cs="Simplified Arabic" w:hint="cs"/>
          <w:rtl/>
        </w:rPr>
        <w:t>.</w:t>
      </w:r>
    </w:p>
    <w:p w:rsidR="004419D8" w:rsidRDefault="004419D8" w:rsidP="004419D8">
      <w:pPr>
        <w:pStyle w:val="ListParagraph"/>
        <w:numPr>
          <w:ilvl w:val="0"/>
          <w:numId w:val="6"/>
        </w:numPr>
        <w:bidi/>
        <w:spacing w:line="216" w:lineRule="auto"/>
        <w:ind w:left="0" w:firstLine="0"/>
        <w:rPr>
          <w:rFonts w:cs="Simplified Arabic"/>
        </w:rPr>
      </w:pPr>
      <w:r>
        <w:rPr>
          <w:rFonts w:cs="Simplified Arabic" w:hint="cs"/>
          <w:rtl/>
        </w:rPr>
        <w:t>وأدلى ببيان ممثل المكسيك.</w:t>
      </w:r>
    </w:p>
    <w:p w:rsidR="004419D8" w:rsidRPr="00997CAE" w:rsidRDefault="006A66B9" w:rsidP="006A66B9">
      <w:pPr>
        <w:pStyle w:val="ListParagraph"/>
        <w:numPr>
          <w:ilvl w:val="0"/>
          <w:numId w:val="6"/>
        </w:numPr>
        <w:bidi/>
        <w:spacing w:line="216" w:lineRule="auto"/>
        <w:ind w:left="0" w:firstLine="0"/>
        <w:rPr>
          <w:rFonts w:cs="Simplified Arabic"/>
        </w:rPr>
      </w:pPr>
      <w:r>
        <w:rPr>
          <w:rFonts w:cs="Simplified Arabic" w:hint="cs"/>
          <w:rtl/>
        </w:rPr>
        <w:t xml:space="preserve">واعتمد التقرير، بصيغته المعدلة شفوياً، </w:t>
      </w:r>
      <w:r w:rsidRPr="00415338">
        <w:rPr>
          <w:rFonts w:hint="cs"/>
          <w:rtl/>
        </w:rPr>
        <w:t xml:space="preserve">على أساس الفهم </w:t>
      </w:r>
      <w:r>
        <w:rPr>
          <w:rFonts w:hint="cs"/>
          <w:rtl/>
        </w:rPr>
        <w:t>أن المقرر</w:t>
      </w:r>
      <w:r w:rsidRPr="00415338">
        <w:rPr>
          <w:rFonts w:hint="cs"/>
          <w:rtl/>
        </w:rPr>
        <w:t xml:space="preserve"> س</w:t>
      </w:r>
      <w:r>
        <w:rPr>
          <w:rFonts w:hint="cs"/>
          <w:rtl/>
        </w:rPr>
        <w:t>ي</w:t>
      </w:r>
      <w:r w:rsidRPr="00415338">
        <w:rPr>
          <w:rFonts w:hint="cs"/>
          <w:rtl/>
        </w:rPr>
        <w:t>كلف بوضع التقرير في صورته النهائية</w:t>
      </w:r>
      <w:r>
        <w:rPr>
          <w:rFonts w:cs="Simplified Arabic" w:hint="cs"/>
          <w:rtl/>
        </w:rPr>
        <w:t>.</w:t>
      </w:r>
    </w:p>
    <w:p w:rsidR="002B6FB4" w:rsidRPr="00997CAE" w:rsidRDefault="00260DBB" w:rsidP="00094717">
      <w:pPr>
        <w:pStyle w:val="Heading2"/>
      </w:pPr>
      <w:bookmarkStart w:id="253" w:name="_Toc6140034"/>
      <w:r w:rsidRPr="00997CAE">
        <w:rPr>
          <w:rFonts w:hint="cs"/>
          <w:rtl/>
        </w:rPr>
        <w:t>البند 31 -</w:t>
      </w:r>
      <w:r w:rsidRPr="00997CAE">
        <w:rPr>
          <w:rFonts w:hint="cs"/>
          <w:rtl/>
        </w:rPr>
        <w:tab/>
      </w:r>
      <w:r w:rsidR="00563808" w:rsidRPr="00997CAE">
        <w:rPr>
          <w:rtl/>
        </w:rPr>
        <w:t>اختتام الاجتماع</w:t>
      </w:r>
      <w:bookmarkEnd w:id="253"/>
    </w:p>
    <w:p w:rsidR="00260DBB" w:rsidRPr="00477B14" w:rsidRDefault="004419D8" w:rsidP="0063044E">
      <w:pPr>
        <w:pStyle w:val="ListParagraph"/>
        <w:numPr>
          <w:ilvl w:val="0"/>
          <w:numId w:val="6"/>
        </w:numPr>
        <w:bidi/>
        <w:spacing w:line="216" w:lineRule="auto"/>
        <w:ind w:left="0" w:firstLine="0"/>
        <w:rPr>
          <w:rFonts w:cs="Simplified Arabic"/>
          <w:lang w:val="fr-CA"/>
        </w:rPr>
      </w:pPr>
      <w:r>
        <w:rPr>
          <w:rFonts w:cs="Simplified Arabic" w:hint="cs"/>
          <w:rtl/>
        </w:rPr>
        <w:t xml:space="preserve">وبعد تبادل المجاملات المعتادة، </w:t>
      </w:r>
      <w:r w:rsidR="00260DBB" w:rsidRPr="00997CAE">
        <w:rPr>
          <w:rFonts w:cs="Simplified Arabic" w:hint="cs"/>
          <w:rtl/>
        </w:rPr>
        <w:t xml:space="preserve">اختتم الاجتماع الرابع عشر لمؤتمر الأطراف في الساعة </w:t>
      </w:r>
      <w:r w:rsidR="0063044E">
        <w:rPr>
          <w:rFonts w:cs="Simplified Arabic" w:hint="cs"/>
          <w:rtl/>
        </w:rPr>
        <w:t>التاسعة مساء، في</w:t>
      </w:r>
      <w:r w:rsidR="00260DBB" w:rsidRPr="00997CAE">
        <w:rPr>
          <w:rFonts w:cs="Simplified Arabic" w:hint="cs"/>
          <w:rtl/>
        </w:rPr>
        <w:t xml:space="preserve"> </w:t>
      </w:r>
      <w:r w:rsidR="0063044E">
        <w:rPr>
          <w:rFonts w:cs="Simplified Arabic" w:hint="cs"/>
          <w:rtl/>
        </w:rPr>
        <w:t>29 نوفمبر/تشرين الثاني 2018.</w:t>
      </w:r>
    </w:p>
    <w:p w:rsidR="00260DBB" w:rsidRPr="00997CAE" w:rsidRDefault="00260DBB" w:rsidP="005F403B">
      <w:pPr>
        <w:spacing w:after="100"/>
        <w:jc w:val="left"/>
        <w:rPr>
          <w:rFonts w:eastAsia="Malgun Gothic"/>
          <w:snapToGrid w:val="0"/>
          <w:kern w:val="0"/>
          <w:rtl/>
        </w:rPr>
      </w:pPr>
      <w:r w:rsidRPr="00997CAE">
        <w:rPr>
          <w:rtl/>
        </w:rPr>
        <w:br w:type="page"/>
      </w:r>
    </w:p>
    <w:p w:rsidR="0060267F" w:rsidRPr="00094717" w:rsidRDefault="0060267F" w:rsidP="00551E22">
      <w:pPr>
        <w:pStyle w:val="Heading1"/>
        <w:rPr>
          <w:b w:val="0"/>
          <w:bCs w:val="0"/>
          <w:i/>
          <w:iCs/>
          <w:szCs w:val="24"/>
          <w:rtl/>
        </w:rPr>
      </w:pPr>
      <w:bookmarkStart w:id="254" w:name="_Toc6140035"/>
      <w:r w:rsidRPr="00094717">
        <w:rPr>
          <w:rFonts w:hint="cs"/>
          <w:b w:val="0"/>
          <w:bCs w:val="0"/>
          <w:i/>
          <w:iCs/>
          <w:szCs w:val="24"/>
          <w:rtl/>
        </w:rPr>
        <w:lastRenderedPageBreak/>
        <w:t>المرفق الأول</w:t>
      </w:r>
      <w:bookmarkEnd w:id="254"/>
    </w:p>
    <w:p w:rsidR="0060267F" w:rsidRPr="00094717" w:rsidRDefault="0060267F" w:rsidP="00A13DCC">
      <w:pPr>
        <w:pStyle w:val="Heading1"/>
        <w:rPr>
          <w:b w:val="0"/>
          <w:bCs w:val="0"/>
          <w:szCs w:val="24"/>
          <w:rtl/>
        </w:rPr>
      </w:pPr>
      <w:bookmarkStart w:id="255" w:name="_Toc6140036"/>
      <w:r w:rsidRPr="00094717">
        <w:rPr>
          <w:rFonts w:hint="cs"/>
          <w:szCs w:val="24"/>
          <w:rtl/>
        </w:rPr>
        <w:t>المنظمات المم</w:t>
      </w:r>
      <w:r w:rsidR="00A13DCC">
        <w:rPr>
          <w:rFonts w:hint="cs"/>
          <w:szCs w:val="24"/>
          <w:rtl/>
        </w:rPr>
        <w:t>ث</w:t>
      </w:r>
      <w:r w:rsidRPr="00094717">
        <w:rPr>
          <w:rFonts w:hint="cs"/>
          <w:szCs w:val="24"/>
          <w:rtl/>
        </w:rPr>
        <w:t>لة في الاجتماع الرابع عشر لمؤتمر الأطراف، والاجتماع التاسع لمؤتمر الأطراف العامل كاجتماع للأطراف في بروتوكول قرطاجنة للسلامة الأحيائية والاجتماع الثالث لمؤتمر الأطراف العامل كاجتماع للأطراف في بروتوكول ناغويا بشأن الحصول وتقاسم المنافع</w:t>
      </w:r>
      <w:bookmarkEnd w:id="255"/>
    </w:p>
    <w:p w:rsidR="00CC6399" w:rsidRDefault="00D06109" w:rsidP="00CC6399">
      <w:pPr>
        <w:pStyle w:val="Para10"/>
        <w:numPr>
          <w:ilvl w:val="0"/>
          <w:numId w:val="0"/>
        </w:numPr>
        <w:bidi/>
        <w:spacing w:before="0" w:line="216" w:lineRule="auto"/>
        <w:jc w:val="center"/>
        <w:rPr>
          <w:rFonts w:ascii="Simplified Arabic" w:hAnsi="Simplified Arabic" w:cs="Simplified Arabic"/>
          <w:b/>
          <w:bCs/>
          <w:sz w:val="24"/>
          <w:szCs w:val="24"/>
          <w:rtl/>
          <w:lang w:val="en-US"/>
        </w:rPr>
        <w:sectPr w:rsidR="00CC6399" w:rsidSect="00D709EE">
          <w:type w:val="continuous"/>
          <w:pgSz w:w="12240" w:h="15840" w:code="1"/>
          <w:pgMar w:top="1008" w:right="1440" w:bottom="1008" w:left="1440" w:header="461" w:footer="706" w:gutter="0"/>
          <w:cols w:space="708"/>
          <w:titlePg/>
          <w:bidi/>
          <w:rtlGutter/>
          <w:docGrid w:linePitch="360"/>
        </w:sectPr>
      </w:pPr>
      <w:r w:rsidRPr="00CC6399">
        <w:rPr>
          <w:rFonts w:ascii="Simplified Arabic" w:hAnsi="Simplified Arabic" w:cs="Simplified Arabic" w:hint="cs"/>
          <w:b/>
          <w:bCs/>
          <w:sz w:val="24"/>
          <w:szCs w:val="24"/>
          <w:rtl/>
          <w:lang w:val="en-US"/>
        </w:rPr>
        <w:t>ألف -</w:t>
      </w:r>
      <w:r w:rsidRPr="00CC6399">
        <w:rPr>
          <w:rFonts w:ascii="Simplified Arabic" w:hAnsi="Simplified Arabic" w:cs="Simplified Arabic" w:hint="cs"/>
          <w:b/>
          <w:bCs/>
          <w:sz w:val="24"/>
          <w:szCs w:val="24"/>
          <w:rtl/>
          <w:lang w:val="en-US"/>
        </w:rPr>
        <w:tab/>
      </w:r>
      <w:r w:rsidR="00CC6399" w:rsidRPr="00CC6399">
        <w:rPr>
          <w:rFonts w:ascii="Simplified Arabic" w:hAnsi="Simplified Arabic" w:cs="Simplified Arabic"/>
          <w:b/>
          <w:bCs/>
          <w:sz w:val="24"/>
          <w:szCs w:val="24"/>
          <w:rtl/>
        </w:rPr>
        <w:t>وحدات الأمانات، والبرامج والوكالات المتخصصة في الأمم المتحدة</w:t>
      </w:r>
      <w:r w:rsidR="00CC6399" w:rsidRPr="00CC6399">
        <w:rPr>
          <w:rFonts w:ascii="Simplified Arabic" w:hAnsi="Simplified Arabic" w:cs="Simplified Arabic" w:hint="cs"/>
          <w:b/>
          <w:bCs/>
          <w:sz w:val="24"/>
          <w:szCs w:val="24"/>
          <w:rtl/>
          <w:lang w:val="en-US"/>
        </w:rPr>
        <w:t>، والاتفاقيات والاتفاقات الأخرى</w:t>
      </w:r>
    </w:p>
    <w:p w:rsidR="00844B91" w:rsidRDefault="00527267" w:rsidP="00844B91">
      <w:pPr>
        <w:pStyle w:val="Para10"/>
        <w:numPr>
          <w:ilvl w:val="0"/>
          <w:numId w:val="0"/>
        </w:numPr>
        <w:bidi/>
        <w:spacing w:before="0" w:after="0" w:line="204" w:lineRule="auto"/>
        <w:ind w:left="366" w:hanging="366"/>
        <w:jc w:val="left"/>
        <w:rPr>
          <w:rFonts w:cs="Simplified Arabic"/>
          <w:sz w:val="24"/>
          <w:szCs w:val="24"/>
          <w:rtl/>
          <w:lang w:val="en-CA"/>
        </w:rPr>
      </w:pPr>
      <w:r>
        <w:rPr>
          <w:rFonts w:ascii="Simplified Arabic" w:hAnsi="Simplified Arabic" w:cs="Simplified Arabic" w:hint="cs"/>
          <w:sz w:val="24"/>
          <w:szCs w:val="24"/>
          <w:rtl/>
          <w:lang w:val="en-US"/>
        </w:rPr>
        <w:lastRenderedPageBreak/>
        <w:t xml:space="preserve">اتفاقية </w:t>
      </w:r>
      <w:r w:rsidR="00844B91" w:rsidRPr="00844B91">
        <w:rPr>
          <w:rFonts w:ascii="Simplified Arabic" w:hAnsi="Simplified Arabic" w:cs="Simplified Arabic" w:hint="cs"/>
          <w:sz w:val="24"/>
          <w:szCs w:val="24"/>
          <w:rtl/>
          <w:lang w:val="en-US"/>
        </w:rPr>
        <w:t xml:space="preserve">التجارة الدولية </w:t>
      </w:r>
      <w:r w:rsidR="00844B91" w:rsidRPr="00844B91">
        <w:rPr>
          <w:rFonts w:cs="Simplified Arabic" w:hint="cs"/>
          <w:sz w:val="24"/>
          <w:szCs w:val="24"/>
          <w:rtl/>
          <w:lang w:val="en-CA"/>
        </w:rPr>
        <w:t>بأنواع الحيوانات والنباتات البرية المهددة بالانقراض</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sidRPr="00844B91">
        <w:rPr>
          <w:rFonts w:cs="Simplified Arabic" w:hint="cs"/>
          <w:sz w:val="24"/>
          <w:szCs w:val="24"/>
          <w:rtl/>
          <w:lang w:val="en-CA"/>
        </w:rPr>
        <w:t>اتفاقية المحافظة على الأنواع المهاجرة من الحيوانات الفطرية</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منظمة الأغذية والزراعة للأمم المتحدة</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مرفق البيئة العالمية</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قاعدة بيانات الموارد العالمية</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المنبر الحكومي الدولي للعلوم والسياسات في مجال التنوع البيولوجي وخدمات النظم الإيكولوجية</w:t>
      </w:r>
    </w:p>
    <w:p w:rsid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 xml:space="preserve">مؤسسة التمويل الدولية </w:t>
      </w:r>
      <w:r>
        <w:rPr>
          <w:rFonts w:cs="Simplified Arabic"/>
          <w:sz w:val="24"/>
          <w:szCs w:val="24"/>
          <w:rtl/>
          <w:lang w:val="en-CA"/>
        </w:rPr>
        <w:t>–</w:t>
      </w:r>
      <w:r>
        <w:rPr>
          <w:rFonts w:cs="Simplified Arabic" w:hint="cs"/>
          <w:sz w:val="24"/>
          <w:szCs w:val="24"/>
          <w:rtl/>
          <w:lang w:val="en-CA"/>
        </w:rPr>
        <w:t xml:space="preserve"> مجموعة البنك الدولي</w:t>
      </w:r>
    </w:p>
    <w:p w:rsidR="00873ABD" w:rsidRDefault="00873ABD" w:rsidP="00844B91">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الصندوق الدولي للتنمية الزراعية</w:t>
      </w:r>
    </w:p>
    <w:p w:rsidR="00844B91" w:rsidRDefault="00844B91"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أمانة الاتفاقية الدولية لوقاية النباتات</w:t>
      </w:r>
    </w:p>
    <w:p w:rsidR="00844B91" w:rsidRDefault="00844B91"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 xml:space="preserve">أمانة </w:t>
      </w:r>
      <w:r w:rsidR="002073C7" w:rsidRPr="002073C7">
        <w:rPr>
          <w:rFonts w:ascii="Simplified Arabic" w:hAnsi="Simplified Arabic" w:cs="Simplified Arabic"/>
          <w:sz w:val="24"/>
          <w:szCs w:val="24"/>
          <w:rtl/>
        </w:rPr>
        <w:t>الاتفاقية المتعلقة بحماية جبال الكاربات وكفالة تنميتها المستدامة</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البنك الدولي</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هيئة الأمم المتحدة للمرأة</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lastRenderedPageBreak/>
        <w:t>الأمم المتحدة</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مؤتمر الأمم المتحدة للتجارة والتنمية</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اتفاقية الأمم المتحدة لمكافحة التصحر</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برنامج الأمم المتحدة الإنمائي</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برنامج الأمم المتحدة للبيئة</w:t>
      </w:r>
    </w:p>
    <w:p w:rsidR="002073C7" w:rsidRDefault="002073C7"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اللجنة الاقتصادية والاجتماعية لغربي آسيا</w:t>
      </w:r>
    </w:p>
    <w:p w:rsidR="00873ABD" w:rsidRDefault="00873ABD" w:rsidP="002073C7">
      <w:pPr>
        <w:pStyle w:val="Para10"/>
        <w:numPr>
          <w:ilvl w:val="0"/>
          <w:numId w:val="0"/>
        </w:numPr>
        <w:bidi/>
        <w:spacing w:before="0" w:after="0" w:line="204" w:lineRule="auto"/>
        <w:ind w:left="366" w:hanging="366"/>
        <w:jc w:val="left"/>
        <w:rPr>
          <w:rFonts w:ascii="Simplified Arabic" w:hAnsi="Simplified Arabic" w:cs="Simplified Arabic"/>
          <w:sz w:val="24"/>
          <w:szCs w:val="24"/>
          <w:rtl/>
        </w:rPr>
      </w:pPr>
      <w:r>
        <w:rPr>
          <w:rFonts w:ascii="Simplified Arabic" w:hAnsi="Simplified Arabic" w:cs="Simplified Arabic" w:hint="cs"/>
          <w:sz w:val="24"/>
          <w:szCs w:val="24"/>
          <w:rtl/>
        </w:rPr>
        <w:t>منظمة الأمم المتحدة للتربية والعلم والثقافة</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sidRPr="002073C7">
        <w:rPr>
          <w:rFonts w:ascii="Simplified Arabic" w:hAnsi="Simplified Arabic" w:cs="Simplified Arabic" w:hint="cs"/>
          <w:sz w:val="24"/>
          <w:szCs w:val="24"/>
          <w:rtl/>
        </w:rPr>
        <w:t>منتدى الأمم المتحدة المعني بالغابات</w:t>
      </w:r>
    </w:p>
    <w:p w:rsidR="002073C7" w:rsidRDefault="002073C7"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اتفاقية الأمم المتحدة الإطارية بشأن تغير المناخ</w:t>
      </w:r>
    </w:p>
    <w:p w:rsidR="002073C7" w:rsidRDefault="00873ABD" w:rsidP="002073C7">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برنامج الأمم المتحدة للمستوطنات البشرية</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منظمة الأمم المتحدة للتنمية الصناعية</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مكتب الأمم المتحدة لخدمات المشاريع</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معهد الدراسات المتقدمة للاستدامة التابع لجامعة الأمم المتحدة</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متطوعو الأمم المتحدة</w:t>
      </w:r>
    </w:p>
    <w:p w:rsidR="00873ABD" w:rsidRDefault="00873ABD" w:rsidP="00873ABD">
      <w:pPr>
        <w:pStyle w:val="Para10"/>
        <w:numPr>
          <w:ilvl w:val="0"/>
          <w:numId w:val="0"/>
        </w:numPr>
        <w:bidi/>
        <w:spacing w:before="0" w:after="0" w:line="204" w:lineRule="auto"/>
        <w:ind w:left="366" w:hanging="366"/>
        <w:jc w:val="left"/>
        <w:rPr>
          <w:rFonts w:cs="Simplified Arabic"/>
          <w:sz w:val="24"/>
          <w:szCs w:val="24"/>
          <w:rtl/>
          <w:lang w:val="en-CA"/>
        </w:rPr>
      </w:pPr>
      <w:r>
        <w:rPr>
          <w:rFonts w:cs="Simplified Arabic" w:hint="cs"/>
          <w:sz w:val="24"/>
          <w:szCs w:val="24"/>
          <w:rtl/>
          <w:lang w:val="en-CA"/>
        </w:rPr>
        <w:t>منظمة الصحة العالمية</w:t>
      </w:r>
    </w:p>
    <w:p w:rsidR="00844B91" w:rsidRP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sectPr w:rsidR="00844B91" w:rsidRPr="00844B91" w:rsidSect="00DF5921">
          <w:type w:val="continuous"/>
          <w:pgSz w:w="12240" w:h="15840" w:code="1"/>
          <w:pgMar w:top="1008" w:right="1440" w:bottom="1008" w:left="1440" w:header="461" w:footer="706" w:gutter="0"/>
          <w:cols w:num="2" w:space="708"/>
          <w:titlePg/>
          <w:bidi/>
          <w:rtlGutter/>
          <w:docGrid w:linePitch="360"/>
        </w:sectPr>
      </w:pPr>
    </w:p>
    <w:p w:rsidR="00844B91" w:rsidRPr="00844B91" w:rsidRDefault="00844B91" w:rsidP="00844B91">
      <w:pPr>
        <w:pStyle w:val="Para10"/>
        <w:numPr>
          <w:ilvl w:val="0"/>
          <w:numId w:val="0"/>
        </w:numPr>
        <w:bidi/>
        <w:spacing w:before="0" w:after="0" w:line="204" w:lineRule="auto"/>
        <w:ind w:left="366" w:hanging="366"/>
        <w:jc w:val="left"/>
        <w:rPr>
          <w:rFonts w:cs="Simplified Arabic"/>
          <w:sz w:val="24"/>
          <w:szCs w:val="24"/>
          <w:rtl/>
          <w:lang w:val="en-CA"/>
        </w:rPr>
      </w:pPr>
    </w:p>
    <w:p w:rsidR="00844B91" w:rsidRPr="00844B91" w:rsidRDefault="00844B91" w:rsidP="00844B91">
      <w:pPr>
        <w:pStyle w:val="Para10"/>
        <w:numPr>
          <w:ilvl w:val="0"/>
          <w:numId w:val="0"/>
        </w:numPr>
        <w:bidi/>
        <w:spacing w:before="0" w:after="0" w:line="204" w:lineRule="auto"/>
        <w:ind w:left="366" w:hanging="366"/>
        <w:jc w:val="left"/>
        <w:rPr>
          <w:rFonts w:ascii="Simplified Arabic" w:hAnsi="Simplified Arabic" w:cs="Simplified Arabic"/>
          <w:sz w:val="24"/>
          <w:szCs w:val="24"/>
          <w:rtl/>
          <w:lang w:val="en-US"/>
        </w:rPr>
        <w:sectPr w:rsidR="00844B91" w:rsidRPr="00844B91" w:rsidSect="00844B91">
          <w:type w:val="continuous"/>
          <w:pgSz w:w="12240" w:h="15840" w:code="1"/>
          <w:pgMar w:top="1008" w:right="1440" w:bottom="1008" w:left="1440" w:header="461" w:footer="706" w:gutter="0"/>
          <w:cols w:num="2" w:space="708"/>
          <w:titlePg/>
          <w:bidi/>
          <w:rtlGutter/>
          <w:docGrid w:linePitch="360"/>
        </w:sectPr>
      </w:pPr>
    </w:p>
    <w:p w:rsidR="00D709EE" w:rsidRPr="00204BF4" w:rsidRDefault="00CC6399" w:rsidP="00844B91">
      <w:pPr>
        <w:spacing w:line="204" w:lineRule="auto"/>
        <w:jc w:val="center"/>
        <w:rPr>
          <w:b/>
          <w:bCs/>
          <w:i/>
          <w:iCs/>
          <w:rtl/>
        </w:rPr>
      </w:pPr>
      <w:r>
        <w:rPr>
          <w:rFonts w:hint="cs"/>
          <w:b/>
          <w:bCs/>
          <w:i/>
          <w:iCs/>
          <w:rtl/>
        </w:rPr>
        <w:lastRenderedPageBreak/>
        <w:t>باء</w:t>
      </w:r>
      <w:r w:rsidR="00D709EE" w:rsidRPr="00204BF4">
        <w:rPr>
          <w:rFonts w:hint="cs"/>
          <w:b/>
          <w:bCs/>
          <w:i/>
          <w:iCs/>
          <w:rtl/>
        </w:rPr>
        <w:t xml:space="preserve"> -</w:t>
      </w:r>
      <w:r w:rsidR="00D709EE" w:rsidRPr="00204BF4">
        <w:rPr>
          <w:rFonts w:hint="cs"/>
          <w:b/>
          <w:bCs/>
          <w:i/>
          <w:iCs/>
          <w:rtl/>
        </w:rPr>
        <w:tab/>
        <w:t>المنظمات الحكومية الدولية</w:t>
      </w:r>
    </w:p>
    <w:p w:rsidR="00D709EE" w:rsidRPr="00CC6399" w:rsidRDefault="00D709EE" w:rsidP="00D709EE">
      <w:pPr>
        <w:bidi w:val="0"/>
        <w:spacing w:line="204" w:lineRule="auto"/>
        <w:sectPr w:rsidR="00D709EE" w:rsidRPr="00CC6399" w:rsidSect="00844B91">
          <w:type w:val="continuous"/>
          <w:pgSz w:w="12240" w:h="15840" w:code="1"/>
          <w:pgMar w:top="1008" w:right="1440" w:bottom="1008" w:left="1440" w:header="461" w:footer="706" w:gutter="0"/>
          <w:cols w:space="708"/>
          <w:titlePg/>
          <w:bidi/>
          <w:rtlGutter/>
          <w:docGrid w:linePitch="360"/>
        </w:sectPr>
      </w:pPr>
    </w:p>
    <w:p w:rsidR="00DF5921" w:rsidRPr="00DC65D8" w:rsidRDefault="00DF5921" w:rsidP="00DF5921">
      <w:pPr>
        <w:bidi w:val="0"/>
        <w:spacing w:after="0" w:line="204" w:lineRule="auto"/>
        <w:ind w:left="284" w:hanging="284"/>
        <w:jc w:val="left"/>
        <w:rPr>
          <w:kern w:val="22"/>
        </w:rPr>
      </w:pPr>
      <w:r w:rsidRPr="00DC65D8">
        <w:rPr>
          <w:kern w:val="22"/>
        </w:rPr>
        <w:lastRenderedPageBreak/>
        <w:t>African Development Bank Group</w:t>
      </w:r>
    </w:p>
    <w:p w:rsidR="00DF5921" w:rsidRPr="00DC65D8" w:rsidRDefault="00DF5921" w:rsidP="00DF5921">
      <w:pPr>
        <w:bidi w:val="0"/>
        <w:spacing w:after="0" w:line="204" w:lineRule="auto"/>
        <w:ind w:left="284" w:hanging="284"/>
        <w:jc w:val="left"/>
        <w:rPr>
          <w:kern w:val="22"/>
        </w:rPr>
      </w:pPr>
      <w:r w:rsidRPr="00DC65D8">
        <w:rPr>
          <w:kern w:val="22"/>
        </w:rPr>
        <w:t>African Regional Intellectual Property Organization</w:t>
      </w:r>
    </w:p>
    <w:p w:rsidR="00DF5921" w:rsidRPr="00DC65D8" w:rsidRDefault="00DF5921" w:rsidP="00DF5921">
      <w:pPr>
        <w:bidi w:val="0"/>
        <w:spacing w:after="0" w:line="204" w:lineRule="auto"/>
        <w:ind w:left="284" w:hanging="284"/>
        <w:jc w:val="left"/>
        <w:rPr>
          <w:kern w:val="22"/>
        </w:rPr>
      </w:pPr>
      <w:r w:rsidRPr="00DC65D8">
        <w:rPr>
          <w:kern w:val="22"/>
        </w:rPr>
        <w:t>African Union</w:t>
      </w:r>
    </w:p>
    <w:p w:rsidR="00DF5921" w:rsidRPr="00DC65D8" w:rsidRDefault="00DF5921" w:rsidP="00DF5921">
      <w:pPr>
        <w:bidi w:val="0"/>
        <w:spacing w:after="0" w:line="204" w:lineRule="auto"/>
        <w:ind w:left="284" w:hanging="284"/>
        <w:jc w:val="left"/>
        <w:rPr>
          <w:kern w:val="22"/>
        </w:rPr>
      </w:pPr>
      <w:r w:rsidRPr="00DC65D8">
        <w:rPr>
          <w:kern w:val="22"/>
        </w:rPr>
        <w:t>Amazon Cooperation Treaty Organization</w:t>
      </w:r>
    </w:p>
    <w:p w:rsidR="00DF5921" w:rsidRPr="00DC65D8" w:rsidRDefault="00DF5921" w:rsidP="00DF5921">
      <w:pPr>
        <w:bidi w:val="0"/>
        <w:spacing w:after="0" w:line="204" w:lineRule="auto"/>
        <w:ind w:left="284" w:hanging="284"/>
        <w:jc w:val="left"/>
        <w:rPr>
          <w:kern w:val="22"/>
        </w:rPr>
      </w:pPr>
      <w:r w:rsidRPr="00DC65D8">
        <w:rPr>
          <w:kern w:val="22"/>
        </w:rPr>
        <w:t>Arab Organization for Agricultural Development</w:t>
      </w:r>
    </w:p>
    <w:p w:rsidR="00DF5921" w:rsidRPr="00DC65D8" w:rsidRDefault="00DF5921" w:rsidP="00DF5921">
      <w:pPr>
        <w:bidi w:val="0"/>
        <w:spacing w:after="0" w:line="204" w:lineRule="auto"/>
        <w:ind w:left="284" w:hanging="284"/>
        <w:jc w:val="left"/>
        <w:rPr>
          <w:kern w:val="22"/>
        </w:rPr>
      </w:pPr>
      <w:r w:rsidRPr="00DC65D8">
        <w:rPr>
          <w:kern w:val="22"/>
        </w:rPr>
        <w:t>ASEAN Centre for Biodiversity</w:t>
      </w:r>
    </w:p>
    <w:p w:rsidR="00DF5921" w:rsidRPr="00DC65D8" w:rsidRDefault="00DF5921" w:rsidP="00DF5921">
      <w:pPr>
        <w:bidi w:val="0"/>
        <w:spacing w:after="0" w:line="204" w:lineRule="auto"/>
        <w:ind w:left="284" w:hanging="284"/>
        <w:jc w:val="left"/>
        <w:rPr>
          <w:kern w:val="22"/>
        </w:rPr>
      </w:pPr>
      <w:r w:rsidRPr="00DC65D8">
        <w:rPr>
          <w:kern w:val="22"/>
        </w:rPr>
        <w:t>Asian Development Bank</w:t>
      </w:r>
    </w:p>
    <w:p w:rsidR="00DF5921" w:rsidRPr="00DC65D8" w:rsidRDefault="00DF5921" w:rsidP="00DF5921">
      <w:pPr>
        <w:bidi w:val="0"/>
        <w:spacing w:after="0" w:line="204" w:lineRule="auto"/>
        <w:ind w:left="284" w:hanging="284"/>
        <w:jc w:val="left"/>
        <w:rPr>
          <w:kern w:val="22"/>
        </w:rPr>
      </w:pPr>
      <w:r w:rsidRPr="00DC65D8">
        <w:rPr>
          <w:kern w:val="22"/>
        </w:rPr>
        <w:t>Bioversity International</w:t>
      </w:r>
    </w:p>
    <w:p w:rsidR="00DF5921" w:rsidRPr="00DC65D8" w:rsidRDefault="00DF5921" w:rsidP="00DF5921">
      <w:pPr>
        <w:bidi w:val="0"/>
        <w:spacing w:after="0" w:line="204" w:lineRule="auto"/>
        <w:ind w:left="284" w:hanging="284"/>
        <w:jc w:val="left"/>
        <w:rPr>
          <w:kern w:val="22"/>
        </w:rPr>
      </w:pPr>
      <w:r w:rsidRPr="00DC65D8">
        <w:rPr>
          <w:kern w:val="22"/>
        </w:rPr>
        <w:t>CAF Development Bank of Latin America</w:t>
      </w:r>
    </w:p>
    <w:p w:rsidR="00DF5921" w:rsidRPr="00DC65D8" w:rsidRDefault="00DF5921" w:rsidP="00DF5921">
      <w:pPr>
        <w:bidi w:val="0"/>
        <w:spacing w:after="0" w:line="204" w:lineRule="auto"/>
        <w:ind w:left="284" w:hanging="284"/>
        <w:jc w:val="left"/>
        <w:rPr>
          <w:kern w:val="22"/>
        </w:rPr>
      </w:pPr>
      <w:r w:rsidRPr="00DC65D8">
        <w:rPr>
          <w:kern w:val="22"/>
        </w:rPr>
        <w:t>Center for International Forestry Research</w:t>
      </w:r>
    </w:p>
    <w:p w:rsidR="00DF5921" w:rsidRPr="00DC65D8" w:rsidRDefault="00DF5921" w:rsidP="00DF5921">
      <w:pPr>
        <w:bidi w:val="0"/>
        <w:spacing w:after="0" w:line="204" w:lineRule="auto"/>
        <w:ind w:left="284" w:hanging="284"/>
        <w:jc w:val="left"/>
        <w:rPr>
          <w:kern w:val="22"/>
        </w:rPr>
      </w:pPr>
      <w:r w:rsidRPr="00DC65D8">
        <w:rPr>
          <w:kern w:val="22"/>
        </w:rPr>
        <w:t>CIC - International Council for Game and Wildlife Conservation</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Comité français de l’UICN</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Commission des Forêts d’Afrique Centrale</w:t>
      </w:r>
    </w:p>
    <w:p w:rsidR="00DF5921" w:rsidRPr="00DC65D8" w:rsidRDefault="00DF5921" w:rsidP="00DF5921">
      <w:pPr>
        <w:bidi w:val="0"/>
        <w:spacing w:after="0" w:line="204" w:lineRule="auto"/>
        <w:ind w:left="284" w:hanging="284"/>
        <w:jc w:val="left"/>
        <w:rPr>
          <w:kern w:val="22"/>
        </w:rPr>
      </w:pPr>
      <w:r w:rsidRPr="00DC65D8">
        <w:rPr>
          <w:kern w:val="22"/>
        </w:rPr>
        <w:t>Ecologic Institute</w:t>
      </w:r>
    </w:p>
    <w:p w:rsidR="00DF5921" w:rsidRPr="00DC65D8" w:rsidRDefault="00DF5921" w:rsidP="00DF5921">
      <w:pPr>
        <w:bidi w:val="0"/>
        <w:spacing w:after="0" w:line="204" w:lineRule="auto"/>
        <w:ind w:left="284" w:hanging="284"/>
        <w:jc w:val="left"/>
        <w:rPr>
          <w:kern w:val="22"/>
        </w:rPr>
      </w:pPr>
      <w:r w:rsidRPr="00DC65D8">
        <w:rPr>
          <w:kern w:val="22"/>
        </w:rPr>
        <w:t xml:space="preserve">Future Earth </w:t>
      </w:r>
    </w:p>
    <w:p w:rsidR="00DF5921" w:rsidRPr="00DC65D8" w:rsidRDefault="00DF5921" w:rsidP="00DF5921">
      <w:pPr>
        <w:bidi w:val="0"/>
        <w:spacing w:after="0" w:line="204" w:lineRule="auto"/>
        <w:ind w:left="284" w:hanging="284"/>
        <w:jc w:val="left"/>
        <w:rPr>
          <w:kern w:val="22"/>
        </w:rPr>
      </w:pPr>
      <w:r w:rsidRPr="00DC65D8">
        <w:rPr>
          <w:kern w:val="22"/>
        </w:rPr>
        <w:t>Global Biodiversity Information Facility</w:t>
      </w:r>
    </w:p>
    <w:p w:rsidR="00DF5921" w:rsidRPr="00DC65D8" w:rsidRDefault="00DF5921" w:rsidP="00DF5921">
      <w:pPr>
        <w:bidi w:val="0"/>
        <w:spacing w:after="0" w:line="204" w:lineRule="auto"/>
        <w:ind w:left="284" w:hanging="284"/>
        <w:jc w:val="left"/>
        <w:rPr>
          <w:kern w:val="22"/>
        </w:rPr>
      </w:pPr>
      <w:r w:rsidRPr="00DC65D8">
        <w:rPr>
          <w:kern w:val="22"/>
        </w:rPr>
        <w:t>Global Crop Diversity Trust</w:t>
      </w:r>
    </w:p>
    <w:p w:rsidR="00DF5921" w:rsidRPr="00DC65D8" w:rsidRDefault="00DF5921" w:rsidP="00DF5921">
      <w:pPr>
        <w:bidi w:val="0"/>
        <w:spacing w:after="0" w:line="204" w:lineRule="auto"/>
        <w:ind w:left="284" w:hanging="284"/>
        <w:jc w:val="left"/>
        <w:rPr>
          <w:kern w:val="22"/>
        </w:rPr>
      </w:pPr>
      <w:r w:rsidRPr="00DC65D8">
        <w:rPr>
          <w:kern w:val="22"/>
        </w:rPr>
        <w:t>Great Green Wall of the Sahara and the Sahel Initiative</w:t>
      </w:r>
    </w:p>
    <w:p w:rsidR="00DF5921" w:rsidRPr="00DC65D8" w:rsidRDefault="00DF5921" w:rsidP="00DF5921">
      <w:pPr>
        <w:bidi w:val="0"/>
        <w:spacing w:after="0" w:line="204" w:lineRule="auto"/>
        <w:ind w:left="284" w:hanging="284"/>
        <w:jc w:val="left"/>
        <w:rPr>
          <w:kern w:val="22"/>
        </w:rPr>
      </w:pPr>
      <w:r w:rsidRPr="00DC65D8">
        <w:rPr>
          <w:kern w:val="22"/>
        </w:rPr>
        <w:t>Group on Earth Observations Biodiversity Observation Network</w:t>
      </w:r>
    </w:p>
    <w:p w:rsidR="00DF5921" w:rsidRPr="00A32F89" w:rsidRDefault="00DF5921" w:rsidP="00DF5921">
      <w:pPr>
        <w:bidi w:val="0"/>
        <w:spacing w:after="0" w:line="204" w:lineRule="auto"/>
        <w:ind w:left="284" w:hanging="284"/>
        <w:jc w:val="left"/>
        <w:rPr>
          <w:kern w:val="22"/>
          <w:lang w:val="fr-FR"/>
        </w:rPr>
      </w:pPr>
      <w:r w:rsidRPr="00155A50">
        <w:rPr>
          <w:kern w:val="22"/>
          <w:lang w:val="fr-FR"/>
        </w:rPr>
        <w:t>ICLEI - Local Governments for Sustainability</w:t>
      </w:r>
    </w:p>
    <w:p w:rsidR="00DF5921" w:rsidRPr="00DC65D8" w:rsidRDefault="00DF5921" w:rsidP="00DF5921">
      <w:pPr>
        <w:bidi w:val="0"/>
        <w:spacing w:after="0" w:line="204" w:lineRule="auto"/>
        <w:ind w:left="284" w:hanging="284"/>
        <w:jc w:val="left"/>
        <w:rPr>
          <w:kern w:val="22"/>
          <w:lang w:val="fr-FR"/>
        </w:rPr>
      </w:pPr>
      <w:r w:rsidRPr="00285DD9">
        <w:rPr>
          <w:kern w:val="22"/>
          <w:lang w:val="fr-FR"/>
        </w:rPr>
        <w:lastRenderedPageBreak/>
        <w:t>Institut de la Francophonie pour le développement durable</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Institut de Recherche pour le Développement</w:t>
      </w:r>
    </w:p>
    <w:p w:rsidR="00DF5921" w:rsidRPr="00DC65D8" w:rsidRDefault="00DF5921" w:rsidP="00DF5921">
      <w:pPr>
        <w:bidi w:val="0"/>
        <w:spacing w:after="0" w:line="204" w:lineRule="auto"/>
        <w:ind w:left="284" w:hanging="284"/>
        <w:jc w:val="left"/>
        <w:rPr>
          <w:kern w:val="22"/>
        </w:rPr>
      </w:pPr>
      <w:r w:rsidRPr="00DC65D8">
        <w:rPr>
          <w:kern w:val="22"/>
        </w:rPr>
        <w:t>Inter-American Development Bank</w:t>
      </w:r>
    </w:p>
    <w:p w:rsidR="00DF5921" w:rsidRPr="00DC65D8" w:rsidRDefault="00DF5921" w:rsidP="00DF5921">
      <w:pPr>
        <w:bidi w:val="0"/>
        <w:spacing w:after="0" w:line="204" w:lineRule="auto"/>
        <w:ind w:left="284" w:hanging="284"/>
        <w:jc w:val="left"/>
        <w:rPr>
          <w:kern w:val="22"/>
        </w:rPr>
      </w:pPr>
      <w:r w:rsidRPr="00DC65D8">
        <w:rPr>
          <w:kern w:val="22"/>
        </w:rPr>
        <w:t>Inter-American Institute for Cooperation on Agriculture</w:t>
      </w:r>
    </w:p>
    <w:p w:rsidR="00DF5921" w:rsidRPr="00DC65D8" w:rsidRDefault="00DF5921" w:rsidP="00DF5921">
      <w:pPr>
        <w:bidi w:val="0"/>
        <w:spacing w:after="0" w:line="204" w:lineRule="auto"/>
        <w:ind w:left="284" w:hanging="284"/>
        <w:jc w:val="left"/>
        <w:rPr>
          <w:kern w:val="22"/>
        </w:rPr>
      </w:pPr>
      <w:r w:rsidRPr="00DC65D8">
        <w:rPr>
          <w:kern w:val="22"/>
        </w:rPr>
        <w:t>Inter-American Institute for Global Change Research</w:t>
      </w:r>
    </w:p>
    <w:p w:rsidR="00DF5921" w:rsidRPr="00DC65D8" w:rsidRDefault="00DF5921" w:rsidP="00DF5921">
      <w:pPr>
        <w:bidi w:val="0"/>
        <w:spacing w:after="0" w:line="204" w:lineRule="auto"/>
        <w:ind w:left="284" w:hanging="284"/>
        <w:jc w:val="left"/>
        <w:rPr>
          <w:kern w:val="22"/>
        </w:rPr>
      </w:pPr>
      <w:r w:rsidRPr="00DC65D8">
        <w:rPr>
          <w:kern w:val="22"/>
        </w:rPr>
        <w:t>International Center for Agricultural Research in the Dry Areas (ICARDA)</w:t>
      </w:r>
    </w:p>
    <w:p w:rsidR="00DF5921" w:rsidRPr="00DC65D8" w:rsidRDefault="00DF5921" w:rsidP="00DF5921">
      <w:pPr>
        <w:bidi w:val="0"/>
        <w:spacing w:after="0" w:line="204" w:lineRule="auto"/>
        <w:ind w:left="284" w:hanging="284"/>
        <w:jc w:val="left"/>
        <w:rPr>
          <w:kern w:val="22"/>
        </w:rPr>
      </w:pPr>
      <w:r w:rsidRPr="00DC65D8">
        <w:rPr>
          <w:kern w:val="22"/>
        </w:rPr>
        <w:t>International Centre for Genetic Engineering and Biotechnology</w:t>
      </w:r>
    </w:p>
    <w:p w:rsidR="00DF5921" w:rsidRPr="00DC65D8" w:rsidRDefault="00DF5921" w:rsidP="00DF5921">
      <w:pPr>
        <w:bidi w:val="0"/>
        <w:spacing w:after="0" w:line="204" w:lineRule="auto"/>
        <w:ind w:left="284" w:hanging="284"/>
        <w:jc w:val="left"/>
        <w:rPr>
          <w:kern w:val="22"/>
        </w:rPr>
      </w:pPr>
      <w:r w:rsidRPr="00DC65D8">
        <w:rPr>
          <w:kern w:val="22"/>
        </w:rPr>
        <w:t>International Coral Reef Initiative</w:t>
      </w:r>
    </w:p>
    <w:p w:rsidR="00DF5921" w:rsidRPr="00DC65D8" w:rsidRDefault="00DF5921" w:rsidP="00DF5921">
      <w:pPr>
        <w:bidi w:val="0"/>
        <w:spacing w:after="0" w:line="204" w:lineRule="auto"/>
        <w:ind w:left="284" w:hanging="284"/>
        <w:jc w:val="left"/>
        <w:rPr>
          <w:kern w:val="22"/>
        </w:rPr>
      </w:pPr>
      <w:r w:rsidRPr="00DC65D8">
        <w:rPr>
          <w:kern w:val="22"/>
        </w:rPr>
        <w:t>International Development Law Organization</w:t>
      </w:r>
    </w:p>
    <w:p w:rsidR="00DF5921" w:rsidRPr="00DC65D8" w:rsidRDefault="00DF5921" w:rsidP="00DF5921">
      <w:pPr>
        <w:bidi w:val="0"/>
        <w:spacing w:after="0" w:line="204" w:lineRule="auto"/>
        <w:ind w:left="284" w:hanging="284"/>
        <w:jc w:val="left"/>
        <w:rPr>
          <w:kern w:val="22"/>
        </w:rPr>
      </w:pPr>
      <w:r w:rsidRPr="00DC65D8">
        <w:rPr>
          <w:kern w:val="22"/>
        </w:rPr>
        <w:t xml:space="preserve">International Partnership for the Satoyama Initiative </w:t>
      </w:r>
    </w:p>
    <w:p w:rsidR="00DF5921" w:rsidRPr="00DC65D8" w:rsidRDefault="00DF5921" w:rsidP="00DF5921">
      <w:pPr>
        <w:bidi w:val="0"/>
        <w:spacing w:after="0" w:line="204" w:lineRule="auto"/>
        <w:ind w:left="284" w:hanging="284"/>
        <w:jc w:val="left"/>
        <w:rPr>
          <w:kern w:val="22"/>
        </w:rPr>
      </w:pPr>
      <w:r w:rsidRPr="00DC65D8">
        <w:rPr>
          <w:kern w:val="22"/>
        </w:rPr>
        <w:t>International Potato Center</w:t>
      </w:r>
    </w:p>
    <w:p w:rsidR="00DF5921" w:rsidRPr="00DC65D8" w:rsidRDefault="00DF5921" w:rsidP="00DF5921">
      <w:pPr>
        <w:bidi w:val="0"/>
        <w:spacing w:after="0" w:line="204" w:lineRule="auto"/>
        <w:ind w:left="284" w:hanging="284"/>
        <w:jc w:val="left"/>
        <w:rPr>
          <w:kern w:val="22"/>
        </w:rPr>
      </w:pPr>
      <w:r w:rsidRPr="00DC65D8">
        <w:rPr>
          <w:kern w:val="22"/>
        </w:rPr>
        <w:t>International Whaling Commission</w:t>
      </w:r>
    </w:p>
    <w:p w:rsidR="00DF5921" w:rsidRPr="00477B14" w:rsidRDefault="00DF5921" w:rsidP="00DF5921">
      <w:pPr>
        <w:bidi w:val="0"/>
        <w:spacing w:after="0" w:line="204" w:lineRule="auto"/>
        <w:ind w:left="284" w:hanging="284"/>
        <w:jc w:val="left"/>
        <w:rPr>
          <w:kern w:val="22"/>
        </w:rPr>
      </w:pPr>
      <w:r w:rsidRPr="00477B14">
        <w:rPr>
          <w:kern w:val="22"/>
        </w:rPr>
        <w:t>Itaipu Binacional</w:t>
      </w:r>
    </w:p>
    <w:p w:rsidR="00DF5921" w:rsidRPr="00DC65D8" w:rsidRDefault="00DF5921" w:rsidP="00DF5921">
      <w:pPr>
        <w:bidi w:val="0"/>
        <w:spacing w:after="0" w:line="204" w:lineRule="auto"/>
        <w:ind w:left="284" w:hanging="284"/>
        <w:jc w:val="left"/>
        <w:rPr>
          <w:kern w:val="22"/>
        </w:rPr>
      </w:pPr>
      <w:r w:rsidRPr="00285DD9">
        <w:rPr>
          <w:kern w:val="22"/>
        </w:rPr>
        <w:t xml:space="preserve">IUCN </w:t>
      </w:r>
      <w:r w:rsidRPr="00DC65D8">
        <w:rPr>
          <w:kern w:val="22"/>
        </w:rPr>
        <w:t>International Union for Conservation of Nature</w:t>
      </w:r>
    </w:p>
    <w:p w:rsidR="00DF5921" w:rsidRPr="00DC65D8" w:rsidRDefault="00DF5921" w:rsidP="00DF5921">
      <w:pPr>
        <w:bidi w:val="0"/>
        <w:spacing w:after="0" w:line="204" w:lineRule="auto"/>
        <w:ind w:left="284" w:hanging="284"/>
        <w:jc w:val="left"/>
        <w:rPr>
          <w:kern w:val="22"/>
        </w:rPr>
      </w:pPr>
      <w:r w:rsidRPr="00DC65D8">
        <w:rPr>
          <w:kern w:val="22"/>
        </w:rPr>
        <w:t>League of Arab States</w:t>
      </w:r>
    </w:p>
    <w:p w:rsidR="00DF5921" w:rsidRPr="00DC65D8" w:rsidRDefault="00DF5921" w:rsidP="00DF5921">
      <w:pPr>
        <w:bidi w:val="0"/>
        <w:spacing w:after="0" w:line="204" w:lineRule="auto"/>
        <w:ind w:left="284" w:hanging="284"/>
        <w:jc w:val="left"/>
        <w:rPr>
          <w:kern w:val="22"/>
        </w:rPr>
      </w:pPr>
      <w:r w:rsidRPr="00DC65D8">
        <w:rPr>
          <w:kern w:val="22"/>
        </w:rPr>
        <w:t>NEPAD Planning and Coordinating Agency</w:t>
      </w:r>
    </w:p>
    <w:p w:rsidR="00DF5921" w:rsidRPr="00DC65D8" w:rsidRDefault="00DF5921" w:rsidP="00DF5921">
      <w:pPr>
        <w:bidi w:val="0"/>
        <w:spacing w:after="0" w:line="204" w:lineRule="auto"/>
        <w:ind w:left="284" w:hanging="284"/>
        <w:jc w:val="left"/>
        <w:rPr>
          <w:kern w:val="22"/>
        </w:rPr>
      </w:pPr>
      <w:r w:rsidRPr="00DC65D8">
        <w:rPr>
          <w:kern w:val="22"/>
        </w:rPr>
        <w:t xml:space="preserve">Nile Basin Initiative </w:t>
      </w:r>
    </w:p>
    <w:p w:rsidR="00DF5921" w:rsidRPr="00DC65D8" w:rsidRDefault="00DF5921" w:rsidP="00DF5921">
      <w:pPr>
        <w:bidi w:val="0"/>
        <w:spacing w:after="0" w:line="204" w:lineRule="auto"/>
        <w:ind w:left="284" w:hanging="284"/>
        <w:jc w:val="left"/>
        <w:rPr>
          <w:kern w:val="22"/>
        </w:rPr>
      </w:pPr>
      <w:r w:rsidRPr="00DC65D8">
        <w:rPr>
          <w:kern w:val="22"/>
        </w:rPr>
        <w:lastRenderedPageBreak/>
        <w:t>Nordic Council of Ministers</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Observatoire du Sahara et du Sahel</w:t>
      </w:r>
    </w:p>
    <w:p w:rsidR="00DF5921" w:rsidRPr="00DC65D8" w:rsidRDefault="00DF5921" w:rsidP="00DF5921">
      <w:pPr>
        <w:bidi w:val="0"/>
        <w:spacing w:after="0" w:line="204" w:lineRule="auto"/>
        <w:ind w:left="284" w:hanging="284"/>
        <w:jc w:val="left"/>
        <w:rPr>
          <w:kern w:val="22"/>
        </w:rPr>
      </w:pPr>
      <w:r w:rsidRPr="00DC65D8">
        <w:rPr>
          <w:kern w:val="22"/>
        </w:rPr>
        <w:t>Organization for Economic Co-operation and Development</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Ramsar Convention on Wetlands</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Réseau des gestionnaires d’aires marines protégées en Méditerranée</w:t>
      </w:r>
    </w:p>
    <w:p w:rsidR="00DF5921" w:rsidRPr="00DC65D8" w:rsidRDefault="00DF5921" w:rsidP="00DF5921">
      <w:pPr>
        <w:bidi w:val="0"/>
        <w:spacing w:after="0" w:line="204" w:lineRule="auto"/>
        <w:ind w:left="284" w:hanging="284"/>
        <w:jc w:val="left"/>
        <w:rPr>
          <w:kern w:val="22"/>
        </w:rPr>
      </w:pPr>
      <w:r w:rsidRPr="00DC65D8">
        <w:rPr>
          <w:kern w:val="22"/>
        </w:rPr>
        <w:t>Secretariat of the Pacific Regional Environment Programme</w:t>
      </w:r>
    </w:p>
    <w:p w:rsidR="00DF5921" w:rsidRPr="00DC65D8" w:rsidRDefault="00DF5921" w:rsidP="00DF5921">
      <w:pPr>
        <w:bidi w:val="0"/>
        <w:spacing w:after="0" w:line="204" w:lineRule="auto"/>
        <w:ind w:left="284" w:hanging="284"/>
        <w:jc w:val="left"/>
        <w:rPr>
          <w:kern w:val="22"/>
        </w:rPr>
      </w:pPr>
      <w:r w:rsidRPr="00DC65D8">
        <w:rPr>
          <w:kern w:val="22"/>
        </w:rPr>
        <w:t>South Asia Co-operative Environment Programme</w:t>
      </w:r>
    </w:p>
    <w:p w:rsidR="00DF5921" w:rsidRPr="00DC65D8" w:rsidRDefault="00DF5921" w:rsidP="00DF5921">
      <w:pPr>
        <w:bidi w:val="0"/>
        <w:spacing w:after="0" w:line="204" w:lineRule="auto"/>
        <w:ind w:left="284" w:hanging="284"/>
        <w:jc w:val="left"/>
        <w:rPr>
          <w:kern w:val="22"/>
        </w:rPr>
      </w:pPr>
      <w:r w:rsidRPr="00DC65D8">
        <w:rPr>
          <w:kern w:val="22"/>
        </w:rPr>
        <w:lastRenderedPageBreak/>
        <w:t>Southern African Development Community Secretariat</w:t>
      </w:r>
    </w:p>
    <w:p w:rsidR="00DF5921" w:rsidRPr="00DC65D8" w:rsidRDefault="00DF5921" w:rsidP="00DF5921">
      <w:pPr>
        <w:bidi w:val="0"/>
        <w:spacing w:after="0" w:line="204" w:lineRule="auto"/>
        <w:ind w:left="284" w:hanging="284"/>
        <w:jc w:val="left"/>
        <w:rPr>
          <w:kern w:val="22"/>
        </w:rPr>
      </w:pPr>
      <w:r w:rsidRPr="00DC65D8">
        <w:rPr>
          <w:kern w:val="22"/>
        </w:rPr>
        <w:t>The Cooperation Council for the Arab States of the Gulf</w:t>
      </w:r>
    </w:p>
    <w:p w:rsidR="00DF5921" w:rsidRPr="00DC65D8" w:rsidRDefault="00DF5921" w:rsidP="00DF5921">
      <w:pPr>
        <w:bidi w:val="0"/>
        <w:spacing w:after="0" w:line="204" w:lineRule="auto"/>
        <w:ind w:left="284" w:hanging="284"/>
        <w:jc w:val="left"/>
        <w:rPr>
          <w:kern w:val="22"/>
        </w:rPr>
      </w:pPr>
      <w:r w:rsidRPr="00DC65D8">
        <w:rPr>
          <w:kern w:val="22"/>
        </w:rPr>
        <w:t>The Regional Organization for the Conservation of the Environment of the Red Sea and Gulf of Aden</w:t>
      </w:r>
    </w:p>
    <w:p w:rsidR="00DF5921" w:rsidRPr="00DC65D8" w:rsidRDefault="00DF5921" w:rsidP="00DF5921">
      <w:pPr>
        <w:bidi w:val="0"/>
        <w:spacing w:after="0" w:line="204" w:lineRule="auto"/>
        <w:ind w:left="284" w:hanging="284"/>
        <w:jc w:val="left"/>
        <w:rPr>
          <w:kern w:val="22"/>
        </w:rPr>
      </w:pPr>
      <w:r w:rsidRPr="00DC65D8">
        <w:rPr>
          <w:kern w:val="22"/>
        </w:rPr>
        <w:t>Union for the Mediterranean</w:t>
      </w:r>
    </w:p>
    <w:p w:rsidR="00DF5921" w:rsidRPr="00DC65D8" w:rsidRDefault="00DF5921" w:rsidP="00DF5921">
      <w:pPr>
        <w:bidi w:val="0"/>
        <w:spacing w:after="0" w:line="204" w:lineRule="auto"/>
        <w:ind w:left="284" w:hanging="284"/>
        <w:jc w:val="left"/>
        <w:rPr>
          <w:kern w:val="22"/>
        </w:rPr>
      </w:pPr>
      <w:r w:rsidRPr="00DC65D8">
        <w:rPr>
          <w:kern w:val="22"/>
        </w:rPr>
        <w:t>World Agroforestry Centre</w:t>
      </w:r>
    </w:p>
    <w:p w:rsidR="00D709EE" w:rsidRPr="00204BF4" w:rsidRDefault="00DF5921" w:rsidP="00DF5921">
      <w:pPr>
        <w:bidi w:val="0"/>
        <w:spacing w:after="0" w:line="204" w:lineRule="auto"/>
        <w:rPr>
          <w:lang w:val="en-GB"/>
        </w:rPr>
      </w:pPr>
      <w:r w:rsidRPr="00DC65D8">
        <w:rPr>
          <w:kern w:val="22"/>
        </w:rPr>
        <w:t>World Economic Forum</w:t>
      </w:r>
    </w:p>
    <w:p w:rsidR="00D709EE" w:rsidRDefault="00D709EE" w:rsidP="00D709EE">
      <w:pPr>
        <w:bidi w:val="0"/>
        <w:spacing w:after="0" w:line="204" w:lineRule="auto"/>
        <w:rPr>
          <w:lang w:val="en-CA"/>
        </w:rPr>
        <w:sectPr w:rsidR="00D709EE" w:rsidSect="00D709EE">
          <w:type w:val="continuous"/>
          <w:pgSz w:w="12240" w:h="15840" w:code="1"/>
          <w:pgMar w:top="1008" w:right="1440" w:bottom="1008" w:left="1440" w:header="461" w:footer="706" w:gutter="0"/>
          <w:cols w:num="2" w:space="706"/>
          <w:titlePg/>
          <w:rtlGutter/>
          <w:docGrid w:linePitch="360"/>
        </w:sectPr>
      </w:pPr>
    </w:p>
    <w:p w:rsidR="00D709EE" w:rsidRPr="00204BF4" w:rsidRDefault="00D709EE" w:rsidP="00D709EE">
      <w:pPr>
        <w:bidi w:val="0"/>
        <w:spacing w:line="204" w:lineRule="auto"/>
        <w:rPr>
          <w:lang w:val="en-CA"/>
        </w:rPr>
      </w:pPr>
    </w:p>
    <w:p w:rsidR="00D709EE" w:rsidRPr="00204BF4" w:rsidRDefault="00D709EE" w:rsidP="00D709EE">
      <w:pPr>
        <w:spacing w:line="204" w:lineRule="auto"/>
        <w:jc w:val="center"/>
        <w:rPr>
          <w:b/>
          <w:bCs/>
          <w:i/>
          <w:iCs/>
          <w:rtl/>
        </w:rPr>
      </w:pPr>
      <w:r w:rsidRPr="00204BF4">
        <w:rPr>
          <w:rFonts w:hint="cs"/>
          <w:b/>
          <w:bCs/>
          <w:i/>
          <w:iCs/>
          <w:rtl/>
        </w:rPr>
        <w:t>باء -</w:t>
      </w:r>
      <w:r w:rsidRPr="00204BF4">
        <w:rPr>
          <w:rFonts w:hint="cs"/>
          <w:b/>
          <w:bCs/>
          <w:i/>
          <w:iCs/>
          <w:rtl/>
        </w:rPr>
        <w:tab/>
        <w:t>المؤسسات الأكاديمية</w:t>
      </w:r>
    </w:p>
    <w:p w:rsidR="00D709EE" w:rsidRPr="00477B14" w:rsidRDefault="00D709EE" w:rsidP="00D709EE">
      <w:pPr>
        <w:bidi w:val="0"/>
        <w:spacing w:line="204" w:lineRule="auto"/>
        <w:sectPr w:rsidR="00D709EE" w:rsidRPr="00477B14" w:rsidSect="00D709EE">
          <w:type w:val="continuous"/>
          <w:pgSz w:w="12240" w:h="15840" w:code="1"/>
          <w:pgMar w:top="1008" w:right="1440" w:bottom="1008" w:left="1440" w:header="461" w:footer="706" w:gutter="0"/>
          <w:cols w:space="708"/>
          <w:titlePg/>
          <w:bidi/>
          <w:rtlGutter/>
          <w:docGrid w:linePitch="360"/>
        </w:sectPr>
      </w:pPr>
    </w:p>
    <w:p w:rsidR="00DF5921" w:rsidRPr="00DC65D8" w:rsidRDefault="00DF5921" w:rsidP="00DF5921">
      <w:pPr>
        <w:bidi w:val="0"/>
        <w:spacing w:after="0" w:line="204" w:lineRule="auto"/>
        <w:jc w:val="left"/>
        <w:rPr>
          <w:kern w:val="22"/>
        </w:rPr>
      </w:pPr>
      <w:r w:rsidRPr="00DC65D8">
        <w:rPr>
          <w:kern w:val="22"/>
        </w:rPr>
        <w:lastRenderedPageBreak/>
        <w:t>Ain Shams University</w:t>
      </w:r>
    </w:p>
    <w:p w:rsidR="00DF5921" w:rsidRPr="00DC65D8" w:rsidRDefault="00DF5921" w:rsidP="00DF5921">
      <w:pPr>
        <w:bidi w:val="0"/>
        <w:spacing w:after="0" w:line="204" w:lineRule="auto"/>
        <w:ind w:left="284" w:hanging="284"/>
        <w:jc w:val="left"/>
        <w:rPr>
          <w:kern w:val="22"/>
        </w:rPr>
      </w:pPr>
      <w:r w:rsidRPr="00DC65D8">
        <w:rPr>
          <w:kern w:val="22"/>
        </w:rPr>
        <w:t>American Museum of Natural History</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Association de Recherches et Études sur le Littoral du Sahara</w:t>
      </w:r>
    </w:p>
    <w:p w:rsidR="00DF5921" w:rsidRPr="00DC65D8" w:rsidRDefault="00DF5921" w:rsidP="00DF5921">
      <w:pPr>
        <w:bidi w:val="0"/>
        <w:spacing w:after="0" w:line="204" w:lineRule="auto"/>
        <w:ind w:left="284" w:hanging="284"/>
        <w:jc w:val="left"/>
        <w:rPr>
          <w:kern w:val="22"/>
        </w:rPr>
      </w:pPr>
      <w:r w:rsidRPr="00DC65D8">
        <w:rPr>
          <w:kern w:val="22"/>
        </w:rPr>
        <w:t>Bayreuth Center of Ecology and Environmental Research (BayCEER)</w:t>
      </w:r>
    </w:p>
    <w:p w:rsidR="00DF5921" w:rsidRPr="00DC65D8" w:rsidRDefault="00DF5921" w:rsidP="00DF5921">
      <w:pPr>
        <w:bidi w:val="0"/>
        <w:spacing w:after="0" w:line="204" w:lineRule="auto"/>
        <w:ind w:left="284" w:hanging="284"/>
        <w:jc w:val="left"/>
        <w:rPr>
          <w:kern w:val="22"/>
        </w:rPr>
      </w:pPr>
      <w:r w:rsidRPr="00DC65D8">
        <w:rPr>
          <w:kern w:val="22"/>
        </w:rPr>
        <w:t>Carnegie Council for Ethics in International Affairs</w:t>
      </w:r>
    </w:p>
    <w:p w:rsidR="00DF5921" w:rsidRPr="00DC65D8" w:rsidRDefault="00DF5921" w:rsidP="00DF5921">
      <w:pPr>
        <w:bidi w:val="0"/>
        <w:spacing w:after="0" w:line="204" w:lineRule="auto"/>
        <w:ind w:left="284" w:hanging="284"/>
        <w:jc w:val="left"/>
        <w:rPr>
          <w:kern w:val="22"/>
        </w:rPr>
      </w:pPr>
      <w:r w:rsidRPr="00DC65D8">
        <w:rPr>
          <w:kern w:val="22"/>
        </w:rPr>
        <w:t>Centre for International Governance Innovation</w:t>
      </w:r>
    </w:p>
    <w:p w:rsidR="00DF5921" w:rsidRPr="00DC65D8" w:rsidRDefault="00DF5921" w:rsidP="00DF5921">
      <w:pPr>
        <w:bidi w:val="0"/>
        <w:spacing w:after="0" w:line="204" w:lineRule="auto"/>
        <w:ind w:left="284" w:hanging="284"/>
        <w:jc w:val="left"/>
        <w:rPr>
          <w:kern w:val="22"/>
        </w:rPr>
      </w:pPr>
      <w:r w:rsidRPr="00DC65D8">
        <w:rPr>
          <w:kern w:val="22"/>
        </w:rPr>
        <w:t>Centre for International Sustainable Development Law</w:t>
      </w:r>
    </w:p>
    <w:p w:rsidR="00DF5921" w:rsidRPr="00DC65D8" w:rsidRDefault="00DF5921" w:rsidP="00DF5921">
      <w:pPr>
        <w:bidi w:val="0"/>
        <w:spacing w:after="0" w:line="204" w:lineRule="auto"/>
        <w:ind w:left="284" w:hanging="284"/>
        <w:jc w:val="left"/>
        <w:rPr>
          <w:kern w:val="22"/>
        </w:rPr>
      </w:pPr>
      <w:r w:rsidRPr="00DC65D8">
        <w:rPr>
          <w:kern w:val="22"/>
        </w:rPr>
        <w:t>China Foreign Affairs University</w:t>
      </w:r>
    </w:p>
    <w:p w:rsidR="00DF5921" w:rsidRPr="00DC65D8" w:rsidRDefault="00DF5921" w:rsidP="00DF5921">
      <w:pPr>
        <w:bidi w:val="0"/>
        <w:spacing w:after="0" w:line="204" w:lineRule="auto"/>
        <w:ind w:left="284" w:hanging="284"/>
        <w:jc w:val="left"/>
        <w:rPr>
          <w:kern w:val="22"/>
        </w:rPr>
      </w:pPr>
      <w:r w:rsidRPr="00DC65D8">
        <w:rPr>
          <w:kern w:val="22"/>
        </w:rPr>
        <w:t>Chinese Academy of Forestry</w:t>
      </w:r>
    </w:p>
    <w:p w:rsidR="00DF5921" w:rsidRPr="00477B14" w:rsidRDefault="00DF5921" w:rsidP="00DF5921">
      <w:pPr>
        <w:bidi w:val="0"/>
        <w:spacing w:after="0" w:line="204" w:lineRule="auto"/>
        <w:ind w:left="284" w:hanging="284"/>
        <w:jc w:val="left"/>
        <w:rPr>
          <w:kern w:val="22"/>
          <w:lang w:val="es-AR"/>
        </w:rPr>
      </w:pPr>
      <w:r w:rsidRPr="00477B14">
        <w:rPr>
          <w:kern w:val="22"/>
          <w:lang w:val="es-AR"/>
        </w:rPr>
        <w:t>Cornell University</w:t>
      </w:r>
    </w:p>
    <w:p w:rsidR="00DF5921" w:rsidRPr="00477B14" w:rsidRDefault="00DF5921" w:rsidP="00DF5921">
      <w:pPr>
        <w:bidi w:val="0"/>
        <w:spacing w:after="0" w:line="204" w:lineRule="auto"/>
        <w:ind w:left="284" w:hanging="284"/>
        <w:jc w:val="left"/>
        <w:rPr>
          <w:kern w:val="22"/>
          <w:lang w:val="es-AR"/>
        </w:rPr>
      </w:pPr>
      <w:r w:rsidRPr="00477B14">
        <w:rPr>
          <w:kern w:val="22"/>
          <w:lang w:val="es-AR"/>
        </w:rPr>
        <w:t>EKLIPSE (EU Project)</w:t>
      </w:r>
    </w:p>
    <w:p w:rsidR="00DF5921" w:rsidRPr="008427BB" w:rsidRDefault="00DF5921" w:rsidP="00DF5921">
      <w:pPr>
        <w:bidi w:val="0"/>
        <w:spacing w:after="0" w:line="204" w:lineRule="auto"/>
        <w:ind w:left="284" w:hanging="284"/>
        <w:jc w:val="left"/>
        <w:rPr>
          <w:kern w:val="22"/>
          <w:lang w:val="es-ES"/>
        </w:rPr>
      </w:pPr>
      <w:r w:rsidRPr="008427BB">
        <w:rPr>
          <w:kern w:val="22"/>
          <w:lang w:val="es-ES"/>
        </w:rPr>
        <w:t xml:space="preserve">Escuela Superior </w:t>
      </w:r>
      <w:r w:rsidRPr="00285DD9">
        <w:rPr>
          <w:kern w:val="22"/>
          <w:lang w:val="es-ES"/>
        </w:rPr>
        <w:t>Polit</w:t>
      </w:r>
      <w:r w:rsidRPr="00DC65D8">
        <w:rPr>
          <w:kern w:val="22"/>
          <w:lang w:val="es-ES"/>
        </w:rPr>
        <w:t>écnica</w:t>
      </w:r>
      <w:r w:rsidRPr="008427BB">
        <w:rPr>
          <w:kern w:val="22"/>
          <w:lang w:val="es-ES"/>
        </w:rPr>
        <w:t xml:space="preserve"> del Litoral</w:t>
      </w:r>
    </w:p>
    <w:p w:rsidR="00DF5921" w:rsidRPr="00DC65D8" w:rsidRDefault="00DF5921" w:rsidP="00DF5921">
      <w:pPr>
        <w:bidi w:val="0"/>
        <w:spacing w:after="0" w:line="204" w:lineRule="auto"/>
        <w:ind w:left="284" w:hanging="284"/>
        <w:jc w:val="left"/>
        <w:rPr>
          <w:kern w:val="22"/>
        </w:rPr>
      </w:pPr>
      <w:r w:rsidRPr="00285DD9">
        <w:rPr>
          <w:kern w:val="22"/>
        </w:rPr>
        <w:t>European Network of Scientists for Social Environmental Responsibility</w:t>
      </w:r>
    </w:p>
    <w:p w:rsidR="00DF5921" w:rsidRPr="00DC65D8" w:rsidRDefault="00DF5921" w:rsidP="00DF5921">
      <w:pPr>
        <w:bidi w:val="0"/>
        <w:spacing w:after="0" w:line="204" w:lineRule="auto"/>
        <w:ind w:left="284" w:hanging="284"/>
        <w:jc w:val="left"/>
        <w:rPr>
          <w:kern w:val="22"/>
        </w:rPr>
      </w:pPr>
      <w:r w:rsidRPr="00DC65D8">
        <w:rPr>
          <w:kern w:val="22"/>
        </w:rPr>
        <w:t>Fayoum University</w:t>
      </w:r>
    </w:p>
    <w:p w:rsidR="00DF5921" w:rsidRPr="00DC65D8" w:rsidRDefault="00DF5921" w:rsidP="00DF5921">
      <w:pPr>
        <w:bidi w:val="0"/>
        <w:spacing w:after="0" w:line="204" w:lineRule="auto"/>
        <w:ind w:left="284" w:hanging="284"/>
        <w:jc w:val="left"/>
        <w:rPr>
          <w:kern w:val="22"/>
        </w:rPr>
      </w:pPr>
      <w:r w:rsidRPr="00DC65D8">
        <w:rPr>
          <w:kern w:val="22"/>
        </w:rPr>
        <w:t>Fridtjof Nansen Institute</w:t>
      </w:r>
    </w:p>
    <w:p w:rsidR="00DF5921" w:rsidRPr="00DC65D8" w:rsidRDefault="00DF5921" w:rsidP="00DF5921">
      <w:pPr>
        <w:bidi w:val="0"/>
        <w:spacing w:after="0" w:line="204" w:lineRule="auto"/>
        <w:ind w:left="284" w:hanging="284"/>
        <w:jc w:val="left"/>
        <w:rPr>
          <w:kern w:val="22"/>
        </w:rPr>
      </w:pPr>
      <w:r w:rsidRPr="00DC65D8">
        <w:rPr>
          <w:kern w:val="22"/>
        </w:rPr>
        <w:t>German Association for Synthetic Biology</w:t>
      </w:r>
    </w:p>
    <w:p w:rsidR="00DF5921" w:rsidRPr="00DC65D8" w:rsidRDefault="00DF5921" w:rsidP="00DF5921">
      <w:pPr>
        <w:bidi w:val="0"/>
        <w:spacing w:after="0" w:line="204" w:lineRule="auto"/>
        <w:ind w:left="284" w:hanging="284"/>
        <w:jc w:val="left"/>
        <w:rPr>
          <w:kern w:val="22"/>
        </w:rPr>
      </w:pPr>
      <w:r w:rsidRPr="00DC65D8">
        <w:rPr>
          <w:kern w:val="22"/>
        </w:rPr>
        <w:t>German Research Foundation (DFG)</w:t>
      </w:r>
    </w:p>
    <w:p w:rsidR="00DF5921" w:rsidRPr="00DC65D8" w:rsidRDefault="00DF5921" w:rsidP="00DF5921">
      <w:pPr>
        <w:bidi w:val="0"/>
        <w:spacing w:after="0" w:line="204" w:lineRule="auto"/>
        <w:ind w:left="284" w:hanging="284"/>
        <w:jc w:val="left"/>
        <w:rPr>
          <w:kern w:val="22"/>
        </w:rPr>
      </w:pPr>
      <w:r w:rsidRPr="00DC65D8">
        <w:rPr>
          <w:kern w:val="22"/>
        </w:rPr>
        <w:t>Ghent University</w:t>
      </w:r>
    </w:p>
    <w:p w:rsidR="00DF5921" w:rsidRPr="00DC65D8" w:rsidRDefault="00DF5921" w:rsidP="00DF5921">
      <w:pPr>
        <w:bidi w:val="0"/>
        <w:spacing w:after="0" w:line="204" w:lineRule="auto"/>
        <w:ind w:left="284" w:hanging="284"/>
        <w:jc w:val="left"/>
        <w:rPr>
          <w:kern w:val="22"/>
        </w:rPr>
      </w:pPr>
      <w:r w:rsidRPr="00DC65D8">
        <w:rPr>
          <w:kern w:val="22"/>
        </w:rPr>
        <w:t>Helmholtz Centre for Environmental Research - UFZ</w:t>
      </w:r>
    </w:p>
    <w:p w:rsidR="00DF5921" w:rsidRPr="00DC65D8" w:rsidRDefault="00DF5921" w:rsidP="00DF5921">
      <w:pPr>
        <w:bidi w:val="0"/>
        <w:spacing w:after="0" w:line="204" w:lineRule="auto"/>
        <w:ind w:left="284" w:hanging="284"/>
        <w:jc w:val="left"/>
        <w:rPr>
          <w:kern w:val="22"/>
        </w:rPr>
      </w:pPr>
      <w:r w:rsidRPr="00DC65D8">
        <w:rPr>
          <w:kern w:val="22"/>
        </w:rPr>
        <w:t>Imperial College London</w:t>
      </w:r>
    </w:p>
    <w:p w:rsidR="00DF5921" w:rsidRPr="00DC65D8" w:rsidRDefault="00DF5921" w:rsidP="00DF5921">
      <w:pPr>
        <w:bidi w:val="0"/>
        <w:spacing w:after="0" w:line="204" w:lineRule="auto"/>
        <w:ind w:left="284" w:hanging="284"/>
        <w:jc w:val="left"/>
        <w:rPr>
          <w:kern w:val="22"/>
        </w:rPr>
      </w:pPr>
      <w:r w:rsidRPr="00DC65D8">
        <w:rPr>
          <w:kern w:val="22"/>
        </w:rPr>
        <w:t>Indian Institute of Technology Kharagpur</w:t>
      </w:r>
    </w:p>
    <w:p w:rsidR="00DF5921" w:rsidRPr="00DC65D8" w:rsidRDefault="00DF5921" w:rsidP="00DF5921">
      <w:pPr>
        <w:bidi w:val="0"/>
        <w:spacing w:after="0" w:line="204" w:lineRule="auto"/>
        <w:ind w:left="284" w:hanging="284"/>
        <w:jc w:val="left"/>
        <w:rPr>
          <w:kern w:val="22"/>
          <w:lang w:val="fr-FR"/>
        </w:rPr>
      </w:pPr>
      <w:r w:rsidRPr="00DC65D8">
        <w:rPr>
          <w:kern w:val="22"/>
          <w:lang w:val="fr-FR"/>
        </w:rPr>
        <w:t>Institut de recherche en sciences de la santé</w:t>
      </w:r>
    </w:p>
    <w:p w:rsidR="00DF5921" w:rsidRPr="00DC65D8" w:rsidRDefault="00DF5921" w:rsidP="00DF5921">
      <w:pPr>
        <w:bidi w:val="0"/>
        <w:spacing w:after="0" w:line="204" w:lineRule="auto"/>
        <w:ind w:left="284" w:hanging="284"/>
        <w:jc w:val="left"/>
        <w:rPr>
          <w:kern w:val="22"/>
        </w:rPr>
      </w:pPr>
      <w:r w:rsidRPr="00DC65D8">
        <w:rPr>
          <w:kern w:val="22"/>
        </w:rPr>
        <w:t>International Forestry Students Association</w:t>
      </w:r>
    </w:p>
    <w:p w:rsidR="00DF5921" w:rsidRPr="00DC65D8" w:rsidRDefault="00DF5921" w:rsidP="00DF5921">
      <w:pPr>
        <w:bidi w:val="0"/>
        <w:spacing w:after="0" w:line="204" w:lineRule="auto"/>
        <w:ind w:left="284" w:hanging="284"/>
        <w:jc w:val="left"/>
        <w:rPr>
          <w:kern w:val="22"/>
        </w:rPr>
      </w:pPr>
      <w:r w:rsidRPr="00DC65D8">
        <w:rPr>
          <w:kern w:val="22"/>
        </w:rPr>
        <w:t>International Institute for Applied Systems Analysis</w:t>
      </w:r>
    </w:p>
    <w:p w:rsidR="00DF5921" w:rsidRPr="00DC65D8" w:rsidRDefault="00DF5921" w:rsidP="00DF5921">
      <w:pPr>
        <w:bidi w:val="0"/>
        <w:spacing w:after="0" w:line="204" w:lineRule="auto"/>
        <w:ind w:left="284" w:hanging="284"/>
        <w:jc w:val="left"/>
        <w:rPr>
          <w:kern w:val="22"/>
        </w:rPr>
      </w:pPr>
      <w:r w:rsidRPr="00DC65D8">
        <w:rPr>
          <w:kern w:val="22"/>
        </w:rPr>
        <w:t>International Society for Biosafety Research</w:t>
      </w:r>
    </w:p>
    <w:p w:rsidR="00DF5921" w:rsidRPr="00DC65D8" w:rsidRDefault="00DF5921" w:rsidP="00DF5921">
      <w:pPr>
        <w:bidi w:val="0"/>
        <w:spacing w:after="0" w:line="204" w:lineRule="auto"/>
        <w:ind w:left="284" w:hanging="284"/>
        <w:jc w:val="left"/>
        <w:rPr>
          <w:kern w:val="22"/>
        </w:rPr>
      </w:pPr>
      <w:r w:rsidRPr="00DC65D8">
        <w:rPr>
          <w:kern w:val="22"/>
        </w:rPr>
        <w:t>International Society for Reef Studies</w:t>
      </w:r>
    </w:p>
    <w:p w:rsidR="00DF5921" w:rsidRPr="00DC65D8" w:rsidRDefault="00DF5921" w:rsidP="00DF5921">
      <w:pPr>
        <w:bidi w:val="0"/>
        <w:spacing w:after="0" w:line="204" w:lineRule="auto"/>
        <w:ind w:left="284" w:hanging="284"/>
        <w:jc w:val="left"/>
        <w:rPr>
          <w:kern w:val="22"/>
        </w:rPr>
      </w:pPr>
      <w:r w:rsidRPr="00DC65D8">
        <w:rPr>
          <w:kern w:val="22"/>
        </w:rPr>
        <w:t>International Sustainable Development Research Society</w:t>
      </w:r>
    </w:p>
    <w:p w:rsidR="00DF5921" w:rsidRPr="00DC65D8" w:rsidRDefault="00DF5921" w:rsidP="00DF5921">
      <w:pPr>
        <w:bidi w:val="0"/>
        <w:spacing w:after="0" w:line="204" w:lineRule="auto"/>
        <w:ind w:left="284" w:hanging="284"/>
        <w:jc w:val="left"/>
        <w:rPr>
          <w:kern w:val="22"/>
        </w:rPr>
      </w:pPr>
      <w:r w:rsidRPr="00DC65D8">
        <w:rPr>
          <w:kern w:val="22"/>
        </w:rPr>
        <w:t>International University Network on Cultural and Biological Diversity</w:t>
      </w:r>
    </w:p>
    <w:p w:rsidR="00DF5921" w:rsidRPr="00DC65D8" w:rsidRDefault="00DF5921" w:rsidP="00DF5921">
      <w:pPr>
        <w:bidi w:val="0"/>
        <w:spacing w:after="0" w:line="204" w:lineRule="auto"/>
        <w:ind w:left="284" w:hanging="284"/>
        <w:jc w:val="left"/>
        <w:rPr>
          <w:kern w:val="22"/>
        </w:rPr>
      </w:pPr>
      <w:r w:rsidRPr="00DC65D8">
        <w:rPr>
          <w:kern w:val="22"/>
        </w:rPr>
        <w:t>Key Conservation</w:t>
      </w:r>
    </w:p>
    <w:p w:rsidR="00DF5921" w:rsidRPr="00DC65D8" w:rsidRDefault="00DF5921" w:rsidP="00DF5921">
      <w:pPr>
        <w:bidi w:val="0"/>
        <w:spacing w:after="0" w:line="204" w:lineRule="auto"/>
        <w:ind w:left="284" w:hanging="284"/>
        <w:jc w:val="left"/>
        <w:rPr>
          <w:kern w:val="22"/>
        </w:rPr>
      </w:pPr>
      <w:r w:rsidRPr="00DC65D8">
        <w:rPr>
          <w:kern w:val="22"/>
        </w:rPr>
        <w:t>Kyushu University</w:t>
      </w:r>
    </w:p>
    <w:p w:rsidR="00DF5921" w:rsidRPr="00DC65D8" w:rsidRDefault="00DF5921" w:rsidP="00DF5921">
      <w:pPr>
        <w:bidi w:val="0"/>
        <w:spacing w:after="0" w:line="204" w:lineRule="auto"/>
        <w:ind w:left="284" w:hanging="284"/>
        <w:jc w:val="left"/>
        <w:rPr>
          <w:kern w:val="22"/>
        </w:rPr>
      </w:pPr>
      <w:r w:rsidRPr="00DC65D8">
        <w:rPr>
          <w:kern w:val="22"/>
        </w:rPr>
        <w:t>Leibniz Association</w:t>
      </w:r>
    </w:p>
    <w:p w:rsidR="00DF5921" w:rsidRPr="00DC65D8" w:rsidRDefault="00DF5921" w:rsidP="00DF5921">
      <w:pPr>
        <w:bidi w:val="0"/>
        <w:spacing w:after="0" w:line="204" w:lineRule="auto"/>
        <w:ind w:left="284" w:hanging="284"/>
        <w:jc w:val="left"/>
        <w:rPr>
          <w:kern w:val="22"/>
        </w:rPr>
      </w:pPr>
      <w:r w:rsidRPr="00DC65D8">
        <w:rPr>
          <w:kern w:val="22"/>
        </w:rPr>
        <w:t>Max Planck Institute for Ornithology</w:t>
      </w:r>
    </w:p>
    <w:p w:rsidR="00DF5921" w:rsidRPr="00DC65D8" w:rsidRDefault="00DF5921" w:rsidP="00DF5921">
      <w:pPr>
        <w:bidi w:val="0"/>
        <w:spacing w:after="0" w:line="204" w:lineRule="auto"/>
        <w:ind w:left="284" w:hanging="284"/>
        <w:jc w:val="left"/>
        <w:rPr>
          <w:kern w:val="22"/>
        </w:rPr>
      </w:pPr>
      <w:r w:rsidRPr="00DC65D8">
        <w:rPr>
          <w:kern w:val="22"/>
        </w:rPr>
        <w:t>McGill University</w:t>
      </w:r>
    </w:p>
    <w:p w:rsidR="00DF5921" w:rsidRPr="00DC65D8" w:rsidRDefault="00DF5921" w:rsidP="00DF5921">
      <w:pPr>
        <w:bidi w:val="0"/>
        <w:spacing w:after="0" w:line="204" w:lineRule="auto"/>
        <w:ind w:left="284" w:hanging="284"/>
        <w:jc w:val="left"/>
        <w:rPr>
          <w:kern w:val="22"/>
        </w:rPr>
      </w:pPr>
      <w:r w:rsidRPr="00DC65D8">
        <w:rPr>
          <w:kern w:val="22"/>
        </w:rPr>
        <w:t>Michigan State University</w:t>
      </w:r>
    </w:p>
    <w:p w:rsidR="00DF5921" w:rsidRPr="00DC65D8" w:rsidRDefault="00DF5921" w:rsidP="00DF5921">
      <w:pPr>
        <w:bidi w:val="0"/>
        <w:spacing w:after="0" w:line="204" w:lineRule="auto"/>
        <w:ind w:left="284" w:hanging="284"/>
        <w:jc w:val="left"/>
        <w:rPr>
          <w:kern w:val="22"/>
        </w:rPr>
      </w:pPr>
      <w:r w:rsidRPr="00DC65D8">
        <w:rPr>
          <w:kern w:val="22"/>
        </w:rPr>
        <w:lastRenderedPageBreak/>
        <w:t>Monash University</w:t>
      </w:r>
    </w:p>
    <w:p w:rsidR="00DF5921" w:rsidRPr="008427BB" w:rsidRDefault="00DF5921" w:rsidP="00DF5921">
      <w:pPr>
        <w:bidi w:val="0"/>
        <w:spacing w:after="0" w:line="204" w:lineRule="auto"/>
        <w:ind w:left="284" w:hanging="284"/>
        <w:jc w:val="left"/>
        <w:rPr>
          <w:kern w:val="22"/>
          <w:lang w:val="de-DE"/>
        </w:rPr>
      </w:pPr>
      <w:r w:rsidRPr="008427BB">
        <w:rPr>
          <w:kern w:val="22"/>
          <w:lang w:val="de-DE"/>
        </w:rPr>
        <w:t>Museum für Naturkunde Berlin</w:t>
      </w:r>
    </w:p>
    <w:p w:rsidR="00DF5921" w:rsidRPr="00DC65D8" w:rsidRDefault="00DF5921" w:rsidP="00DF5921">
      <w:pPr>
        <w:bidi w:val="0"/>
        <w:spacing w:after="0" w:line="204" w:lineRule="auto"/>
        <w:ind w:left="284" w:hanging="284"/>
        <w:jc w:val="left"/>
        <w:rPr>
          <w:kern w:val="22"/>
        </w:rPr>
      </w:pPr>
      <w:r w:rsidRPr="00285DD9">
        <w:rPr>
          <w:kern w:val="22"/>
        </w:rPr>
        <w:t>National Institute of Oceanography and Fisheries</w:t>
      </w:r>
    </w:p>
    <w:p w:rsidR="00DF5921" w:rsidRPr="00DC65D8" w:rsidRDefault="00DF5921" w:rsidP="00DF5921">
      <w:pPr>
        <w:bidi w:val="0"/>
        <w:spacing w:after="0" w:line="204" w:lineRule="auto"/>
        <w:ind w:left="284" w:hanging="284"/>
        <w:jc w:val="left"/>
        <w:rPr>
          <w:kern w:val="22"/>
        </w:rPr>
      </w:pPr>
      <w:r w:rsidRPr="00DC65D8">
        <w:rPr>
          <w:kern w:val="22"/>
        </w:rPr>
        <w:t>National Research Centre</w:t>
      </w:r>
    </w:p>
    <w:p w:rsidR="00DF5921" w:rsidRPr="00DC65D8" w:rsidRDefault="00DF5921" w:rsidP="00DF5921">
      <w:pPr>
        <w:bidi w:val="0"/>
        <w:spacing w:after="0" w:line="204" w:lineRule="auto"/>
        <w:ind w:left="284" w:hanging="284"/>
        <w:jc w:val="left"/>
        <w:rPr>
          <w:kern w:val="22"/>
        </w:rPr>
      </w:pPr>
      <w:r w:rsidRPr="00DC65D8">
        <w:rPr>
          <w:kern w:val="22"/>
        </w:rPr>
        <w:t>National Taiwan University</w:t>
      </w:r>
    </w:p>
    <w:p w:rsidR="00DF5921" w:rsidRPr="00DC65D8" w:rsidRDefault="00DF5921" w:rsidP="00DF5921">
      <w:pPr>
        <w:bidi w:val="0"/>
        <w:spacing w:after="0" w:line="204" w:lineRule="auto"/>
        <w:ind w:left="284" w:hanging="284"/>
        <w:jc w:val="left"/>
        <w:rPr>
          <w:kern w:val="22"/>
        </w:rPr>
      </w:pPr>
      <w:r w:rsidRPr="00DC65D8">
        <w:rPr>
          <w:kern w:val="22"/>
        </w:rPr>
        <w:t>NatureMetrics Ltd.</w:t>
      </w:r>
    </w:p>
    <w:p w:rsidR="00DF5921" w:rsidRPr="00DC65D8" w:rsidRDefault="00DF5921" w:rsidP="00DF5921">
      <w:pPr>
        <w:bidi w:val="0"/>
        <w:spacing w:after="0" w:line="204" w:lineRule="auto"/>
        <w:ind w:left="284" w:hanging="284"/>
        <w:jc w:val="left"/>
        <w:rPr>
          <w:kern w:val="22"/>
        </w:rPr>
      </w:pPr>
      <w:r w:rsidRPr="00DC65D8">
        <w:rPr>
          <w:kern w:val="22"/>
        </w:rPr>
        <w:t>One World Analytics</w:t>
      </w:r>
    </w:p>
    <w:p w:rsidR="00DF5921" w:rsidRPr="00DC65D8" w:rsidRDefault="00DF5921" w:rsidP="00DF5921">
      <w:pPr>
        <w:bidi w:val="0"/>
        <w:spacing w:after="0" w:line="204" w:lineRule="auto"/>
        <w:ind w:left="284" w:hanging="284"/>
        <w:jc w:val="left"/>
        <w:rPr>
          <w:kern w:val="22"/>
        </w:rPr>
      </w:pPr>
      <w:r w:rsidRPr="00DC65D8">
        <w:rPr>
          <w:kern w:val="22"/>
        </w:rPr>
        <w:t>Plant for Life International</w:t>
      </w:r>
    </w:p>
    <w:p w:rsidR="00DF5921" w:rsidRPr="00DC65D8" w:rsidRDefault="00DF5921" w:rsidP="00DF5921">
      <w:pPr>
        <w:bidi w:val="0"/>
        <w:spacing w:after="0" w:line="204" w:lineRule="auto"/>
        <w:ind w:left="284" w:hanging="284"/>
        <w:jc w:val="left"/>
        <w:rPr>
          <w:kern w:val="22"/>
        </w:rPr>
      </w:pPr>
      <w:r w:rsidRPr="00DC65D8">
        <w:rPr>
          <w:kern w:val="22"/>
        </w:rPr>
        <w:t>Public Research and Regulation Initiative</w:t>
      </w:r>
    </w:p>
    <w:p w:rsidR="00DF5921" w:rsidRPr="00DC65D8" w:rsidRDefault="00DF5921" w:rsidP="00DF5921">
      <w:pPr>
        <w:bidi w:val="0"/>
        <w:spacing w:after="0" w:line="204" w:lineRule="auto"/>
        <w:ind w:left="284" w:hanging="284"/>
        <w:jc w:val="left"/>
        <w:rPr>
          <w:kern w:val="22"/>
        </w:rPr>
      </w:pPr>
      <w:r w:rsidRPr="00DC65D8">
        <w:rPr>
          <w:kern w:val="22"/>
        </w:rPr>
        <w:t>Royal Botanic Gardens, Kew</w:t>
      </w:r>
    </w:p>
    <w:p w:rsidR="00DF5921" w:rsidRPr="00DC65D8" w:rsidRDefault="00DF5921" w:rsidP="00DF5921">
      <w:pPr>
        <w:bidi w:val="0"/>
        <w:spacing w:after="0" w:line="204" w:lineRule="auto"/>
        <w:ind w:left="284" w:hanging="284"/>
        <w:jc w:val="left"/>
        <w:rPr>
          <w:kern w:val="22"/>
        </w:rPr>
      </w:pPr>
      <w:r w:rsidRPr="00DC65D8">
        <w:rPr>
          <w:kern w:val="22"/>
        </w:rPr>
        <w:t>Sabancı University</w:t>
      </w:r>
    </w:p>
    <w:p w:rsidR="00DF5921" w:rsidRPr="00DC65D8" w:rsidRDefault="00DF5921" w:rsidP="00DF5921">
      <w:pPr>
        <w:bidi w:val="0"/>
        <w:spacing w:after="0" w:line="204" w:lineRule="auto"/>
        <w:ind w:left="284" w:hanging="284"/>
        <w:jc w:val="left"/>
        <w:rPr>
          <w:kern w:val="22"/>
        </w:rPr>
      </w:pPr>
      <w:r w:rsidRPr="00DC65D8">
        <w:rPr>
          <w:kern w:val="22"/>
        </w:rPr>
        <w:t>Saint-Joseph University</w:t>
      </w:r>
    </w:p>
    <w:p w:rsidR="00DF5921" w:rsidRPr="00DC65D8" w:rsidRDefault="00DF5921" w:rsidP="00DF5921">
      <w:pPr>
        <w:bidi w:val="0"/>
        <w:spacing w:after="0" w:line="204" w:lineRule="auto"/>
        <w:ind w:left="284" w:hanging="284"/>
        <w:jc w:val="left"/>
        <w:rPr>
          <w:kern w:val="22"/>
        </w:rPr>
      </w:pPr>
      <w:r w:rsidRPr="00DC65D8">
        <w:rPr>
          <w:kern w:val="22"/>
        </w:rPr>
        <w:t>Sohag University</w:t>
      </w:r>
    </w:p>
    <w:p w:rsidR="00DF5921" w:rsidRPr="00DC65D8" w:rsidRDefault="00DF5921" w:rsidP="00DF5921">
      <w:pPr>
        <w:bidi w:val="0"/>
        <w:spacing w:after="0" w:line="204" w:lineRule="auto"/>
        <w:ind w:left="284" w:hanging="284"/>
        <w:jc w:val="left"/>
        <w:rPr>
          <w:kern w:val="22"/>
        </w:rPr>
      </w:pPr>
      <w:r w:rsidRPr="00DC65D8">
        <w:rPr>
          <w:kern w:val="22"/>
        </w:rPr>
        <w:t>Stockholm Resilience Centre</w:t>
      </w:r>
    </w:p>
    <w:p w:rsidR="00DF5921" w:rsidRPr="00DC65D8" w:rsidRDefault="00DF5921" w:rsidP="00DF5921">
      <w:pPr>
        <w:bidi w:val="0"/>
        <w:spacing w:after="0" w:line="204" w:lineRule="auto"/>
        <w:ind w:left="284" w:hanging="284"/>
        <w:jc w:val="left"/>
        <w:rPr>
          <w:kern w:val="22"/>
        </w:rPr>
      </w:pPr>
      <w:r w:rsidRPr="00DC65D8">
        <w:rPr>
          <w:kern w:val="22"/>
        </w:rPr>
        <w:t>SwedBio</w:t>
      </w:r>
    </w:p>
    <w:p w:rsidR="00DF5921" w:rsidRPr="00DC65D8" w:rsidRDefault="00DF5921" w:rsidP="00DF5921">
      <w:pPr>
        <w:bidi w:val="0"/>
        <w:spacing w:after="0" w:line="204" w:lineRule="auto"/>
        <w:ind w:left="284" w:hanging="284"/>
        <w:jc w:val="left"/>
        <w:rPr>
          <w:kern w:val="22"/>
        </w:rPr>
      </w:pPr>
      <w:r w:rsidRPr="00DC65D8">
        <w:rPr>
          <w:kern w:val="22"/>
        </w:rPr>
        <w:t>Swedish University of Agricultural Sciences</w:t>
      </w:r>
    </w:p>
    <w:p w:rsidR="00DF5921" w:rsidRPr="00DC65D8" w:rsidRDefault="00DF5921" w:rsidP="00DF5921">
      <w:pPr>
        <w:bidi w:val="0"/>
        <w:spacing w:after="0" w:line="204" w:lineRule="auto"/>
        <w:ind w:left="284" w:hanging="284"/>
        <w:jc w:val="left"/>
        <w:rPr>
          <w:kern w:val="22"/>
        </w:rPr>
      </w:pPr>
      <w:r w:rsidRPr="00DC65D8">
        <w:rPr>
          <w:kern w:val="22"/>
        </w:rPr>
        <w:t>Tanta University</w:t>
      </w:r>
    </w:p>
    <w:p w:rsidR="00DF5921" w:rsidRPr="00DC65D8" w:rsidRDefault="00DF5921" w:rsidP="00DF5921">
      <w:pPr>
        <w:bidi w:val="0"/>
        <w:spacing w:after="0" w:line="204" w:lineRule="auto"/>
        <w:ind w:left="284" w:hanging="284"/>
        <w:jc w:val="left"/>
        <w:rPr>
          <w:kern w:val="22"/>
        </w:rPr>
      </w:pPr>
      <w:r w:rsidRPr="00DC65D8">
        <w:rPr>
          <w:kern w:val="22"/>
        </w:rPr>
        <w:t>Tata Institute for Genetics and Society</w:t>
      </w:r>
    </w:p>
    <w:p w:rsidR="00DF5921" w:rsidRPr="008427BB" w:rsidRDefault="00DF5921" w:rsidP="00DF5921">
      <w:pPr>
        <w:bidi w:val="0"/>
        <w:spacing w:after="0" w:line="204" w:lineRule="auto"/>
        <w:ind w:left="284" w:hanging="284"/>
        <w:jc w:val="left"/>
        <w:rPr>
          <w:kern w:val="22"/>
        </w:rPr>
      </w:pPr>
      <w:r w:rsidRPr="008427BB">
        <w:rPr>
          <w:kern w:val="22"/>
        </w:rPr>
        <w:t>The Royal Society</w:t>
      </w:r>
    </w:p>
    <w:p w:rsidR="00DF5921" w:rsidRPr="00285DD9" w:rsidRDefault="00DF5921" w:rsidP="00DF5921">
      <w:pPr>
        <w:bidi w:val="0"/>
        <w:spacing w:after="0" w:line="204" w:lineRule="auto"/>
        <w:ind w:left="284" w:hanging="284"/>
        <w:jc w:val="left"/>
        <w:rPr>
          <w:kern w:val="22"/>
        </w:rPr>
      </w:pPr>
      <w:r w:rsidRPr="008427BB">
        <w:rPr>
          <w:kern w:val="22"/>
        </w:rPr>
        <w:t>The Royal Society of Queensland</w:t>
      </w:r>
    </w:p>
    <w:p w:rsidR="00DF5921" w:rsidRPr="00DC65D8" w:rsidRDefault="00DF5921" w:rsidP="00DF5921">
      <w:pPr>
        <w:bidi w:val="0"/>
        <w:spacing w:after="0" w:line="204" w:lineRule="auto"/>
        <w:ind w:left="284" w:hanging="284"/>
        <w:jc w:val="left"/>
        <w:rPr>
          <w:kern w:val="22"/>
        </w:rPr>
      </w:pPr>
      <w:r w:rsidRPr="00DC65D8">
        <w:rPr>
          <w:kern w:val="22"/>
        </w:rPr>
        <w:t>University of Bonn, Botanical Institute, Botanical Gardens</w:t>
      </w:r>
    </w:p>
    <w:p w:rsidR="00DF5921" w:rsidRPr="00DC65D8" w:rsidRDefault="00DF5921" w:rsidP="00DF5921">
      <w:pPr>
        <w:bidi w:val="0"/>
        <w:spacing w:after="0" w:line="204" w:lineRule="auto"/>
        <w:ind w:left="284" w:hanging="284"/>
        <w:jc w:val="left"/>
        <w:rPr>
          <w:kern w:val="22"/>
        </w:rPr>
      </w:pPr>
      <w:r w:rsidRPr="00DC65D8">
        <w:rPr>
          <w:kern w:val="22"/>
        </w:rPr>
        <w:t xml:space="preserve">University of California </w:t>
      </w:r>
    </w:p>
    <w:p w:rsidR="00DF5921" w:rsidRPr="00DC65D8" w:rsidRDefault="00DF5921" w:rsidP="00DF5921">
      <w:pPr>
        <w:bidi w:val="0"/>
        <w:spacing w:after="0" w:line="204" w:lineRule="auto"/>
        <w:ind w:left="284" w:hanging="284"/>
        <w:jc w:val="left"/>
        <w:rPr>
          <w:kern w:val="22"/>
        </w:rPr>
      </w:pPr>
      <w:r w:rsidRPr="00DC65D8">
        <w:rPr>
          <w:kern w:val="22"/>
        </w:rPr>
        <w:t>University of Canberra</w:t>
      </w:r>
    </w:p>
    <w:p w:rsidR="00DF5921" w:rsidRPr="00DC65D8" w:rsidRDefault="00DF5921" w:rsidP="00DF5921">
      <w:pPr>
        <w:bidi w:val="0"/>
        <w:spacing w:after="0" w:line="204" w:lineRule="auto"/>
        <w:ind w:left="284" w:hanging="284"/>
        <w:rPr>
          <w:kern w:val="22"/>
        </w:rPr>
      </w:pPr>
      <w:r w:rsidRPr="00DC65D8">
        <w:rPr>
          <w:kern w:val="22"/>
        </w:rPr>
        <w:t>University of Exeter</w:t>
      </w:r>
    </w:p>
    <w:p w:rsidR="00DF5921" w:rsidRPr="00DC65D8" w:rsidRDefault="00DF5921" w:rsidP="00DF5921">
      <w:pPr>
        <w:bidi w:val="0"/>
        <w:spacing w:after="0" w:line="204" w:lineRule="auto"/>
        <w:ind w:left="284" w:hanging="284"/>
        <w:rPr>
          <w:kern w:val="22"/>
        </w:rPr>
      </w:pPr>
      <w:r w:rsidRPr="00DC65D8">
        <w:rPr>
          <w:kern w:val="22"/>
        </w:rPr>
        <w:t>University of Guelph</w:t>
      </w:r>
    </w:p>
    <w:p w:rsidR="00DF5921" w:rsidRPr="00DC65D8" w:rsidRDefault="00DF5921" w:rsidP="00DF5921">
      <w:pPr>
        <w:bidi w:val="0"/>
        <w:spacing w:after="0" w:line="204" w:lineRule="auto"/>
        <w:ind w:left="284" w:hanging="284"/>
        <w:rPr>
          <w:kern w:val="22"/>
        </w:rPr>
      </w:pPr>
      <w:r w:rsidRPr="00DC65D8">
        <w:rPr>
          <w:kern w:val="22"/>
        </w:rPr>
        <w:t>University of Helsinki</w:t>
      </w:r>
    </w:p>
    <w:p w:rsidR="00DF5921" w:rsidRPr="00DC65D8" w:rsidRDefault="00DF5921" w:rsidP="00DF5921">
      <w:pPr>
        <w:bidi w:val="0"/>
        <w:spacing w:after="0" w:line="204" w:lineRule="auto"/>
        <w:ind w:left="284" w:hanging="284"/>
        <w:rPr>
          <w:kern w:val="22"/>
        </w:rPr>
      </w:pPr>
      <w:r w:rsidRPr="00DC65D8">
        <w:rPr>
          <w:kern w:val="22"/>
        </w:rPr>
        <w:t>University of Ottawa</w:t>
      </w:r>
    </w:p>
    <w:p w:rsidR="00DF5921" w:rsidRPr="00DC65D8" w:rsidRDefault="00DF5921" w:rsidP="00DF5921">
      <w:pPr>
        <w:bidi w:val="0"/>
        <w:spacing w:after="0" w:line="204" w:lineRule="auto"/>
        <w:ind w:left="284" w:hanging="284"/>
        <w:rPr>
          <w:kern w:val="22"/>
        </w:rPr>
      </w:pPr>
      <w:r w:rsidRPr="00DC65D8">
        <w:rPr>
          <w:kern w:val="22"/>
        </w:rPr>
        <w:t>University of Plovdiv (Bulgaria)</w:t>
      </w:r>
    </w:p>
    <w:p w:rsidR="00DF5921" w:rsidRPr="00DC65D8" w:rsidRDefault="00DF5921" w:rsidP="00DF5921">
      <w:pPr>
        <w:bidi w:val="0"/>
        <w:spacing w:after="0" w:line="204" w:lineRule="auto"/>
        <w:ind w:left="284" w:hanging="284"/>
        <w:rPr>
          <w:kern w:val="22"/>
        </w:rPr>
      </w:pPr>
      <w:r w:rsidRPr="00DC65D8">
        <w:rPr>
          <w:kern w:val="22"/>
        </w:rPr>
        <w:t>University of Sadat City</w:t>
      </w:r>
    </w:p>
    <w:p w:rsidR="00DF5921" w:rsidRPr="00DC65D8" w:rsidRDefault="00DF5921" w:rsidP="00DF5921">
      <w:pPr>
        <w:bidi w:val="0"/>
        <w:spacing w:after="0" w:line="204" w:lineRule="auto"/>
        <w:ind w:left="284" w:hanging="284"/>
        <w:rPr>
          <w:kern w:val="22"/>
          <w:rtl/>
        </w:rPr>
      </w:pPr>
      <w:r w:rsidRPr="00DC65D8">
        <w:rPr>
          <w:kern w:val="22"/>
        </w:rPr>
        <w:t>University of Saskatchewan</w:t>
      </w:r>
    </w:p>
    <w:p w:rsidR="00DF5921" w:rsidRPr="00DC65D8" w:rsidRDefault="00DF5921" w:rsidP="00DF5921">
      <w:pPr>
        <w:bidi w:val="0"/>
        <w:spacing w:after="0" w:line="204" w:lineRule="auto"/>
        <w:ind w:left="284" w:hanging="284"/>
        <w:rPr>
          <w:kern w:val="22"/>
        </w:rPr>
      </w:pPr>
      <w:r w:rsidRPr="00DC65D8">
        <w:rPr>
          <w:kern w:val="22"/>
        </w:rPr>
        <w:t>University of Sheffield</w:t>
      </w:r>
    </w:p>
    <w:p w:rsidR="00DF5921" w:rsidRPr="00DC65D8" w:rsidRDefault="00DF5921" w:rsidP="00DF5921">
      <w:pPr>
        <w:bidi w:val="0"/>
        <w:spacing w:after="0" w:line="204" w:lineRule="auto"/>
        <w:ind w:left="284" w:hanging="284"/>
        <w:rPr>
          <w:kern w:val="22"/>
        </w:rPr>
      </w:pPr>
      <w:r w:rsidRPr="00DC65D8">
        <w:rPr>
          <w:kern w:val="22"/>
        </w:rPr>
        <w:t>University of Strathclyde</w:t>
      </w:r>
    </w:p>
    <w:p w:rsidR="00DF5921" w:rsidRPr="00DC65D8" w:rsidRDefault="00DF5921" w:rsidP="00DF5921">
      <w:pPr>
        <w:bidi w:val="0"/>
        <w:spacing w:after="0" w:line="204" w:lineRule="auto"/>
        <w:ind w:left="284" w:hanging="284"/>
        <w:rPr>
          <w:kern w:val="22"/>
        </w:rPr>
      </w:pPr>
      <w:r w:rsidRPr="00DC65D8">
        <w:rPr>
          <w:kern w:val="22"/>
        </w:rPr>
        <w:t>University of the Arts London</w:t>
      </w:r>
    </w:p>
    <w:p w:rsidR="00DF5921" w:rsidRPr="00DC65D8" w:rsidRDefault="00DF5921" w:rsidP="00DF5921">
      <w:pPr>
        <w:bidi w:val="0"/>
        <w:spacing w:after="0" w:line="204" w:lineRule="auto"/>
        <w:ind w:left="284" w:hanging="284"/>
        <w:rPr>
          <w:kern w:val="22"/>
        </w:rPr>
      </w:pPr>
      <w:r w:rsidRPr="00DC65D8">
        <w:rPr>
          <w:kern w:val="22"/>
        </w:rPr>
        <w:t>University of the West Indies</w:t>
      </w:r>
    </w:p>
    <w:p w:rsidR="00DF5921" w:rsidRPr="00DC65D8" w:rsidRDefault="00DF5921" w:rsidP="00DF5921">
      <w:pPr>
        <w:bidi w:val="0"/>
        <w:spacing w:after="0" w:line="204" w:lineRule="auto"/>
        <w:ind w:left="284" w:hanging="284"/>
        <w:rPr>
          <w:kern w:val="22"/>
        </w:rPr>
      </w:pPr>
      <w:r w:rsidRPr="00DC65D8">
        <w:rPr>
          <w:kern w:val="22"/>
        </w:rPr>
        <w:t>University of Trento</w:t>
      </w:r>
    </w:p>
    <w:p w:rsidR="00DF5921" w:rsidRPr="00DC65D8" w:rsidRDefault="00DF5921" w:rsidP="00DF5921">
      <w:pPr>
        <w:bidi w:val="0"/>
        <w:spacing w:after="0" w:line="204" w:lineRule="auto"/>
        <w:ind w:left="284" w:hanging="284"/>
        <w:rPr>
          <w:kern w:val="22"/>
        </w:rPr>
      </w:pPr>
      <w:r w:rsidRPr="00DC65D8">
        <w:rPr>
          <w:kern w:val="22"/>
        </w:rPr>
        <w:t>University of Vienna</w:t>
      </w:r>
    </w:p>
    <w:p w:rsidR="00DF5921" w:rsidRPr="00DC65D8" w:rsidRDefault="00DF5921" w:rsidP="00DF5921">
      <w:pPr>
        <w:bidi w:val="0"/>
        <w:spacing w:after="0" w:line="204" w:lineRule="auto"/>
        <w:ind w:left="284" w:hanging="284"/>
        <w:rPr>
          <w:kern w:val="22"/>
        </w:rPr>
      </w:pPr>
      <w:r w:rsidRPr="00DC65D8">
        <w:rPr>
          <w:kern w:val="22"/>
        </w:rPr>
        <w:t>University of Warsaw</w:t>
      </w:r>
    </w:p>
    <w:p w:rsidR="00DF5921" w:rsidRPr="00DC65D8" w:rsidRDefault="00DF5921" w:rsidP="00DF5921">
      <w:pPr>
        <w:bidi w:val="0"/>
        <w:spacing w:after="0" w:line="204" w:lineRule="auto"/>
        <w:ind w:left="284" w:hanging="284"/>
        <w:rPr>
          <w:kern w:val="22"/>
        </w:rPr>
      </w:pPr>
      <w:r w:rsidRPr="00DC65D8">
        <w:rPr>
          <w:kern w:val="22"/>
        </w:rPr>
        <w:t>Vale Institute of Technology</w:t>
      </w:r>
    </w:p>
    <w:p w:rsidR="00DF5921" w:rsidRPr="00DC65D8" w:rsidRDefault="00DF5921" w:rsidP="00DF5921">
      <w:pPr>
        <w:bidi w:val="0"/>
        <w:spacing w:after="0" w:line="204" w:lineRule="auto"/>
        <w:ind w:left="284" w:hanging="284"/>
        <w:rPr>
          <w:kern w:val="22"/>
        </w:rPr>
      </w:pPr>
      <w:r w:rsidRPr="008427BB">
        <w:rPr>
          <w:kern w:val="22"/>
          <w:lang w:val="pl-PL"/>
        </w:rPr>
        <w:t>Wszechnica Polska</w:t>
      </w:r>
      <w:r w:rsidRPr="00285DD9">
        <w:rPr>
          <w:kern w:val="22"/>
        </w:rPr>
        <w:t xml:space="preserve"> University in Warsaw</w:t>
      </w:r>
    </w:p>
    <w:p w:rsidR="00DF5921" w:rsidRPr="00DC65D8" w:rsidRDefault="00DF5921" w:rsidP="00DF5921">
      <w:pPr>
        <w:bidi w:val="0"/>
        <w:spacing w:after="0" w:line="204" w:lineRule="auto"/>
        <w:ind w:left="284" w:hanging="284"/>
        <w:rPr>
          <w:kern w:val="22"/>
        </w:rPr>
      </w:pPr>
      <w:r w:rsidRPr="00DC65D8">
        <w:rPr>
          <w:kern w:val="22"/>
        </w:rPr>
        <w:t>Yale University</w:t>
      </w:r>
    </w:p>
    <w:p w:rsidR="00DF5921" w:rsidRDefault="00DF5921" w:rsidP="00DF5921">
      <w:pPr>
        <w:bidi w:val="0"/>
        <w:spacing w:after="0" w:line="204" w:lineRule="auto"/>
        <w:ind w:left="284" w:hanging="284"/>
        <w:rPr>
          <w:kern w:val="22"/>
        </w:rPr>
        <w:sectPr w:rsidR="00DF5921" w:rsidSect="00DF5921">
          <w:type w:val="continuous"/>
          <w:pgSz w:w="12240" w:h="15840"/>
          <w:pgMar w:top="567" w:right="1389" w:bottom="1134" w:left="1389" w:header="709" w:footer="709" w:gutter="0"/>
          <w:cols w:num="2" w:space="708"/>
          <w:docGrid w:linePitch="360"/>
        </w:sectPr>
      </w:pPr>
      <w:r w:rsidRPr="00DC65D8">
        <w:rPr>
          <w:kern w:val="22"/>
        </w:rPr>
        <w:t>Youth Biotech</w:t>
      </w:r>
    </w:p>
    <w:p w:rsidR="00D709EE" w:rsidRPr="00EF7156" w:rsidRDefault="00D709EE" w:rsidP="00D709EE">
      <w:pPr>
        <w:bidi w:val="0"/>
        <w:spacing w:after="0" w:line="204" w:lineRule="auto"/>
        <w:ind w:left="360" w:hanging="360"/>
        <w:rPr>
          <w:lang w:val="en-GB"/>
        </w:rPr>
      </w:pPr>
    </w:p>
    <w:p w:rsidR="00D709EE" w:rsidRDefault="00D709EE" w:rsidP="00D709EE">
      <w:pPr>
        <w:bidi w:val="0"/>
        <w:spacing w:after="0" w:line="204" w:lineRule="auto"/>
        <w:rPr>
          <w:lang w:val="en-GB"/>
        </w:rPr>
        <w:sectPr w:rsidR="00D709EE" w:rsidSect="00D709EE">
          <w:type w:val="continuous"/>
          <w:pgSz w:w="12240" w:h="15840" w:code="1"/>
          <w:pgMar w:top="1008" w:right="1440" w:bottom="1008" w:left="1440" w:header="461" w:footer="706" w:gutter="0"/>
          <w:cols w:num="2" w:space="720"/>
          <w:titlePg/>
          <w:rtlGutter/>
          <w:docGrid w:linePitch="360"/>
        </w:sectPr>
      </w:pPr>
    </w:p>
    <w:p w:rsidR="00D709EE" w:rsidRDefault="00D709EE" w:rsidP="00D709EE">
      <w:pPr>
        <w:bidi w:val="0"/>
        <w:spacing w:after="0" w:line="204" w:lineRule="auto"/>
      </w:pPr>
    </w:p>
    <w:p w:rsidR="00545006" w:rsidRDefault="00545006" w:rsidP="00545006">
      <w:pPr>
        <w:bidi w:val="0"/>
        <w:spacing w:after="0" w:line="204" w:lineRule="auto"/>
      </w:pPr>
    </w:p>
    <w:p w:rsidR="00545006" w:rsidRDefault="00545006" w:rsidP="00545006">
      <w:pPr>
        <w:bidi w:val="0"/>
        <w:spacing w:after="0" w:line="204" w:lineRule="auto"/>
      </w:pPr>
    </w:p>
    <w:p w:rsidR="00545006" w:rsidRPr="00545006" w:rsidRDefault="00545006" w:rsidP="00545006">
      <w:pPr>
        <w:bidi w:val="0"/>
        <w:spacing w:after="0" w:line="204" w:lineRule="auto"/>
      </w:pPr>
    </w:p>
    <w:p w:rsidR="00D709EE" w:rsidRPr="00204BF4" w:rsidRDefault="00D709EE" w:rsidP="00545006">
      <w:pPr>
        <w:keepNext/>
        <w:spacing w:line="240" w:lineRule="auto"/>
        <w:jc w:val="center"/>
        <w:rPr>
          <w:b/>
          <w:bCs/>
          <w:i/>
          <w:iCs/>
          <w:rtl/>
        </w:rPr>
      </w:pPr>
      <w:r w:rsidRPr="00204BF4">
        <w:rPr>
          <w:rFonts w:hint="cs"/>
          <w:b/>
          <w:bCs/>
          <w:i/>
          <w:iCs/>
          <w:rtl/>
        </w:rPr>
        <w:lastRenderedPageBreak/>
        <w:t>جيم -</w:t>
      </w:r>
      <w:r w:rsidRPr="00204BF4">
        <w:rPr>
          <w:rFonts w:hint="cs"/>
          <w:b/>
          <w:bCs/>
          <w:i/>
          <w:iCs/>
          <w:rtl/>
        </w:rPr>
        <w:tab/>
        <w:t>مجموعات الشعوب الأصلية</w:t>
      </w:r>
    </w:p>
    <w:p w:rsidR="00D709EE" w:rsidRDefault="00D709EE" w:rsidP="00D709EE">
      <w:pPr>
        <w:bidi w:val="0"/>
        <w:spacing w:line="204" w:lineRule="auto"/>
        <w:rPr>
          <w:lang w:val="en-GB"/>
        </w:rPr>
        <w:sectPr w:rsidR="00D709EE" w:rsidSect="00D709EE">
          <w:type w:val="continuous"/>
          <w:pgSz w:w="12240" w:h="15840" w:code="1"/>
          <w:pgMar w:top="1008" w:right="1440" w:bottom="1008" w:left="1440" w:header="461" w:footer="706" w:gutter="0"/>
          <w:cols w:space="708"/>
          <w:titlePg/>
          <w:bidi/>
          <w:rtlGutter/>
          <w:docGrid w:linePitch="360"/>
        </w:sectPr>
      </w:pPr>
    </w:p>
    <w:p w:rsidR="00DF5921" w:rsidRPr="00DC65D8" w:rsidRDefault="00DF5921" w:rsidP="00DF5921">
      <w:pPr>
        <w:bidi w:val="0"/>
        <w:spacing w:after="0" w:line="204" w:lineRule="auto"/>
        <w:ind w:left="288" w:hanging="288"/>
        <w:jc w:val="left"/>
        <w:rPr>
          <w:kern w:val="22"/>
        </w:rPr>
      </w:pPr>
      <w:r w:rsidRPr="00DC65D8">
        <w:rPr>
          <w:kern w:val="22"/>
        </w:rPr>
        <w:lastRenderedPageBreak/>
        <w:t>African Indigenous Women Organization (Nairobi)</w:t>
      </w:r>
    </w:p>
    <w:p w:rsidR="00DF5921" w:rsidRPr="00DC65D8" w:rsidRDefault="00DF5921" w:rsidP="00DF5921">
      <w:pPr>
        <w:bidi w:val="0"/>
        <w:spacing w:after="0" w:line="204" w:lineRule="auto"/>
        <w:ind w:left="288" w:hanging="288"/>
        <w:jc w:val="left"/>
        <w:rPr>
          <w:kern w:val="22"/>
          <w:lang w:val="fr-FR"/>
        </w:rPr>
      </w:pPr>
      <w:r w:rsidRPr="00DC65D8">
        <w:rPr>
          <w:kern w:val="22"/>
          <w:lang w:val="fr-FR"/>
        </w:rPr>
        <w:t xml:space="preserve">Alliance Nationale d'Appui et de Promotion des Aires du Patrimoine Autochtone et Communautaire en RD Congo </w:t>
      </w:r>
    </w:p>
    <w:p w:rsidR="00DF5921" w:rsidRPr="00DC65D8" w:rsidRDefault="00DF5921" w:rsidP="00DF5921">
      <w:pPr>
        <w:bidi w:val="0"/>
        <w:spacing w:after="0" w:line="204" w:lineRule="auto"/>
        <w:ind w:left="288" w:hanging="288"/>
        <w:jc w:val="left"/>
        <w:rPr>
          <w:kern w:val="22"/>
        </w:rPr>
      </w:pPr>
      <w:r w:rsidRPr="00DC65D8">
        <w:rPr>
          <w:kern w:val="22"/>
        </w:rPr>
        <w:t>Andes Chinchasuyo</w:t>
      </w:r>
    </w:p>
    <w:p w:rsidR="00DF5921" w:rsidRPr="00DC65D8" w:rsidRDefault="00DF5921" w:rsidP="00DF5921">
      <w:pPr>
        <w:bidi w:val="0"/>
        <w:spacing w:after="0" w:line="204" w:lineRule="auto"/>
        <w:ind w:left="288" w:hanging="288"/>
        <w:jc w:val="left"/>
        <w:rPr>
          <w:kern w:val="22"/>
        </w:rPr>
      </w:pPr>
      <w:r w:rsidRPr="00DC65D8">
        <w:rPr>
          <w:kern w:val="22"/>
        </w:rPr>
        <w:t>Asia Indigenous Peoples Pact Foundation</w:t>
      </w:r>
    </w:p>
    <w:p w:rsidR="00DF5921" w:rsidRPr="00DC65D8" w:rsidRDefault="00DF5921" w:rsidP="00DF5921">
      <w:pPr>
        <w:bidi w:val="0"/>
        <w:spacing w:after="0" w:line="204" w:lineRule="auto"/>
        <w:ind w:left="288" w:hanging="288"/>
        <w:jc w:val="left"/>
        <w:rPr>
          <w:kern w:val="22"/>
        </w:rPr>
      </w:pPr>
      <w:r w:rsidRPr="00DC65D8">
        <w:rPr>
          <w:kern w:val="22"/>
        </w:rPr>
        <w:t>Association ANDES</w:t>
      </w:r>
    </w:p>
    <w:p w:rsidR="00DF5921" w:rsidRPr="00DC65D8" w:rsidRDefault="00DF5921" w:rsidP="00DF5921">
      <w:pPr>
        <w:bidi w:val="0"/>
        <w:spacing w:after="0" w:line="204" w:lineRule="auto"/>
        <w:ind w:left="288" w:hanging="288"/>
        <w:jc w:val="left"/>
        <w:rPr>
          <w:kern w:val="22"/>
        </w:rPr>
      </w:pPr>
      <w:r w:rsidRPr="00DC65D8">
        <w:rPr>
          <w:kern w:val="22"/>
        </w:rPr>
        <w:t>Barnes Hill Community Development Organization</w:t>
      </w:r>
    </w:p>
    <w:p w:rsidR="00DF5921" w:rsidRPr="00DC65D8" w:rsidRDefault="00DF5921" w:rsidP="00DF5921">
      <w:pPr>
        <w:bidi w:val="0"/>
        <w:spacing w:after="0" w:line="204" w:lineRule="auto"/>
        <w:ind w:left="288" w:hanging="288"/>
        <w:jc w:val="left"/>
        <w:rPr>
          <w:kern w:val="22"/>
        </w:rPr>
      </w:pPr>
      <w:r w:rsidRPr="00DC65D8">
        <w:rPr>
          <w:kern w:val="22"/>
        </w:rPr>
        <w:t>Bio Community Initiative</w:t>
      </w:r>
    </w:p>
    <w:p w:rsidR="00DF5921" w:rsidRPr="00DC65D8" w:rsidRDefault="00DF5921" w:rsidP="00DF5921">
      <w:pPr>
        <w:bidi w:val="0"/>
        <w:spacing w:after="0" w:line="204" w:lineRule="auto"/>
        <w:ind w:left="288" w:hanging="288"/>
        <w:jc w:val="left"/>
        <w:rPr>
          <w:kern w:val="22"/>
        </w:rPr>
      </w:pPr>
      <w:r w:rsidRPr="00DC65D8">
        <w:rPr>
          <w:kern w:val="22"/>
        </w:rPr>
        <w:t>Center for Support of Indigenous Peoples of the North/Russian Indigenous Training Centre</w:t>
      </w:r>
    </w:p>
    <w:p w:rsidR="00DF5921" w:rsidRPr="00A32F89" w:rsidRDefault="00DF5921" w:rsidP="00DF5921">
      <w:pPr>
        <w:bidi w:val="0"/>
        <w:spacing w:after="0" w:line="204" w:lineRule="auto"/>
        <w:ind w:left="288" w:hanging="288"/>
        <w:jc w:val="left"/>
        <w:rPr>
          <w:kern w:val="22"/>
          <w:lang w:val="fr-FR"/>
        </w:rPr>
      </w:pPr>
      <w:r w:rsidRPr="00155A50">
        <w:rPr>
          <w:kern w:val="22"/>
          <w:lang w:val="fr-FR"/>
        </w:rPr>
        <w:t>Chibememe Earth Healing Association</w:t>
      </w:r>
    </w:p>
    <w:p w:rsidR="00DF5921" w:rsidRPr="00DC65D8" w:rsidRDefault="00DF5921" w:rsidP="00DF5921">
      <w:pPr>
        <w:bidi w:val="0"/>
        <w:spacing w:after="0" w:line="204" w:lineRule="auto"/>
        <w:ind w:left="288" w:hanging="288"/>
        <w:jc w:val="left"/>
        <w:rPr>
          <w:kern w:val="22"/>
          <w:lang w:val="fr-FR"/>
        </w:rPr>
      </w:pPr>
      <w:r w:rsidRPr="00285DD9">
        <w:rPr>
          <w:kern w:val="22"/>
          <w:lang w:val="fr-FR"/>
        </w:rPr>
        <w:t>Communautés Locales, riveraines de la Forêt Marécageuse Hlanzoun de Koussoukpa</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Confederación de Nacionalidades Indígenas de la Amazonia Ecuatoriana</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 xml:space="preserve">Consejo </w:t>
      </w:r>
      <w:r w:rsidRPr="00285DD9">
        <w:rPr>
          <w:kern w:val="22"/>
          <w:lang w:val="es-ES"/>
        </w:rPr>
        <w:t>A</w:t>
      </w:r>
      <w:r w:rsidRPr="00DC65D8">
        <w:rPr>
          <w:kern w:val="22"/>
          <w:lang w:val="es-ES"/>
        </w:rPr>
        <w:t>utónomo</w:t>
      </w:r>
      <w:r w:rsidRPr="008427BB">
        <w:rPr>
          <w:kern w:val="22"/>
          <w:lang w:val="es-ES"/>
        </w:rPr>
        <w:t xml:space="preserve"> Aymara</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Consejo Shipibo Konibo Xetebo Peru</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Coordinadora de las Organizaciones Indígenas de la Cuenca Amaz</w:t>
      </w:r>
      <w:r w:rsidRPr="00285DD9">
        <w:rPr>
          <w:rFonts w:eastAsia="Calibri"/>
          <w:snapToGrid w:val="0"/>
          <w:kern w:val="22"/>
          <w:szCs w:val="22"/>
          <w:lang w:val="es-ES"/>
        </w:rPr>
        <w:t>ó</w:t>
      </w:r>
      <w:r w:rsidRPr="008427BB">
        <w:rPr>
          <w:kern w:val="22"/>
          <w:lang w:val="es-ES"/>
        </w:rPr>
        <w:t>nica</w:t>
      </w:r>
    </w:p>
    <w:p w:rsidR="00DF5921" w:rsidRPr="00DC65D8" w:rsidRDefault="00DF5921" w:rsidP="00DF5921">
      <w:pPr>
        <w:bidi w:val="0"/>
        <w:spacing w:after="0" w:line="204" w:lineRule="auto"/>
        <w:ind w:left="288" w:hanging="288"/>
        <w:jc w:val="left"/>
        <w:rPr>
          <w:kern w:val="22"/>
        </w:rPr>
      </w:pPr>
      <w:r w:rsidRPr="00285DD9">
        <w:rPr>
          <w:kern w:val="22"/>
        </w:rPr>
        <w:t>Il Ngwesi Group Ranch</w:t>
      </w:r>
    </w:p>
    <w:p w:rsidR="00DF5921" w:rsidRPr="00DC65D8" w:rsidRDefault="00DF5921" w:rsidP="00DF5921">
      <w:pPr>
        <w:bidi w:val="0"/>
        <w:spacing w:after="0" w:line="204" w:lineRule="auto"/>
        <w:ind w:left="288" w:hanging="288"/>
        <w:jc w:val="left"/>
        <w:rPr>
          <w:kern w:val="22"/>
        </w:rPr>
      </w:pPr>
      <w:r w:rsidRPr="00DC65D8">
        <w:rPr>
          <w:kern w:val="22"/>
        </w:rPr>
        <w:t>Indigenous Information Network</w:t>
      </w:r>
    </w:p>
    <w:p w:rsidR="00DF5921" w:rsidRPr="00DC65D8" w:rsidRDefault="00DF5921" w:rsidP="00DF5921">
      <w:pPr>
        <w:bidi w:val="0"/>
        <w:spacing w:after="0" w:line="204" w:lineRule="auto"/>
        <w:ind w:left="288" w:hanging="288"/>
        <w:jc w:val="left"/>
        <w:rPr>
          <w:kern w:val="22"/>
        </w:rPr>
      </w:pPr>
      <w:r w:rsidRPr="00DC65D8">
        <w:rPr>
          <w:kern w:val="22"/>
        </w:rPr>
        <w:t>Indigenous Peoples of Africa Co-ordinating Committee</w:t>
      </w:r>
    </w:p>
    <w:p w:rsidR="00DF5921" w:rsidRPr="00DC65D8" w:rsidRDefault="00DF5921" w:rsidP="00DF5921">
      <w:pPr>
        <w:bidi w:val="0"/>
        <w:spacing w:after="0" w:line="204" w:lineRule="auto"/>
        <w:ind w:left="288" w:hanging="288"/>
        <w:jc w:val="left"/>
        <w:rPr>
          <w:kern w:val="22"/>
        </w:rPr>
      </w:pPr>
      <w:r w:rsidRPr="00DC65D8">
        <w:rPr>
          <w:kern w:val="22"/>
        </w:rPr>
        <w:t>Indigenous Reference Group of the Fisheries Research and Development Corporation</w:t>
      </w:r>
    </w:p>
    <w:p w:rsidR="00DF5921" w:rsidRPr="00DC65D8" w:rsidRDefault="00DF5921" w:rsidP="00DF5921">
      <w:pPr>
        <w:bidi w:val="0"/>
        <w:spacing w:after="0" w:line="204" w:lineRule="auto"/>
        <w:ind w:left="288" w:hanging="288"/>
        <w:jc w:val="left"/>
        <w:rPr>
          <w:kern w:val="22"/>
        </w:rPr>
      </w:pPr>
      <w:r w:rsidRPr="00DC65D8">
        <w:rPr>
          <w:kern w:val="22"/>
        </w:rPr>
        <w:lastRenderedPageBreak/>
        <w:t>International Indigenous Forum on Biodiversity</w:t>
      </w:r>
    </w:p>
    <w:p w:rsidR="00DF5921" w:rsidRPr="00DC65D8" w:rsidRDefault="00DF5921" w:rsidP="00DF5921">
      <w:pPr>
        <w:bidi w:val="0"/>
        <w:spacing w:after="0" w:line="204" w:lineRule="auto"/>
        <w:ind w:left="288" w:hanging="288"/>
        <w:jc w:val="left"/>
        <w:rPr>
          <w:kern w:val="22"/>
        </w:rPr>
      </w:pPr>
      <w:r w:rsidRPr="00DC65D8">
        <w:rPr>
          <w:kern w:val="22"/>
        </w:rPr>
        <w:t>Inuit Circumpolar Council (Canada)</w:t>
      </w:r>
    </w:p>
    <w:p w:rsidR="00DF5921" w:rsidRPr="00477B14" w:rsidRDefault="00DF5921" w:rsidP="00DF5921">
      <w:pPr>
        <w:bidi w:val="0"/>
        <w:spacing w:after="0" w:line="204" w:lineRule="auto"/>
        <w:ind w:left="288" w:hanging="288"/>
        <w:jc w:val="left"/>
        <w:rPr>
          <w:kern w:val="22"/>
          <w:lang w:val="es-AR"/>
        </w:rPr>
      </w:pPr>
      <w:r w:rsidRPr="00477B14">
        <w:rPr>
          <w:kern w:val="22"/>
          <w:lang w:val="es-AR"/>
        </w:rPr>
        <w:t>Jabalbina Yalanji Aboriginal Corporation</w:t>
      </w:r>
    </w:p>
    <w:p w:rsidR="00DF5921" w:rsidRPr="00477B14" w:rsidRDefault="00DF5921" w:rsidP="00DF5921">
      <w:pPr>
        <w:bidi w:val="0"/>
        <w:spacing w:after="0" w:line="204" w:lineRule="auto"/>
        <w:ind w:left="288" w:hanging="288"/>
        <w:jc w:val="left"/>
        <w:rPr>
          <w:kern w:val="22"/>
          <w:lang w:val="es-AR"/>
        </w:rPr>
      </w:pPr>
      <w:r w:rsidRPr="00477B14">
        <w:rPr>
          <w:kern w:val="22"/>
          <w:lang w:val="es-AR"/>
        </w:rPr>
        <w:t>Kunene Regional Communal Conservancy Association</w:t>
      </w:r>
    </w:p>
    <w:p w:rsidR="00DF5921" w:rsidRPr="00477B14" w:rsidRDefault="00DF5921" w:rsidP="00DF5921">
      <w:pPr>
        <w:bidi w:val="0"/>
        <w:spacing w:after="0" w:line="204" w:lineRule="auto"/>
        <w:ind w:left="288" w:hanging="288"/>
        <w:jc w:val="left"/>
        <w:rPr>
          <w:kern w:val="22"/>
          <w:lang w:val="es-AR"/>
        </w:rPr>
      </w:pPr>
      <w:r w:rsidRPr="00477B14">
        <w:rPr>
          <w:kern w:val="22"/>
          <w:lang w:val="es-AR"/>
        </w:rPr>
        <w:t>M</w:t>
      </w:r>
      <w:r w:rsidRPr="008427BB">
        <w:rPr>
          <w:kern w:val="22"/>
          <w:lang w:val="es-ES"/>
        </w:rPr>
        <w:t xml:space="preserve">esa Nacional </w:t>
      </w:r>
      <w:r w:rsidRPr="00285DD9">
        <w:rPr>
          <w:kern w:val="22"/>
          <w:lang w:val="es-ES"/>
        </w:rPr>
        <w:t>Indígena</w:t>
      </w:r>
      <w:r w:rsidRPr="008427BB">
        <w:rPr>
          <w:kern w:val="22"/>
          <w:lang w:val="es-ES"/>
        </w:rPr>
        <w:t xml:space="preserve"> de Costa Rica</w:t>
      </w:r>
    </w:p>
    <w:p w:rsidR="00DF5921" w:rsidRPr="00DC65D8" w:rsidRDefault="00DF5921" w:rsidP="00DF5921">
      <w:pPr>
        <w:bidi w:val="0"/>
        <w:spacing w:after="0" w:line="204" w:lineRule="auto"/>
        <w:ind w:left="288" w:hanging="288"/>
        <w:jc w:val="left"/>
        <w:rPr>
          <w:kern w:val="22"/>
        </w:rPr>
      </w:pPr>
      <w:r w:rsidRPr="00DC65D8">
        <w:rPr>
          <w:kern w:val="22"/>
        </w:rPr>
        <w:t>National Indigenous Women Forum</w:t>
      </w:r>
    </w:p>
    <w:p w:rsidR="00DF5921" w:rsidRPr="00DC65D8" w:rsidRDefault="00DF5921" w:rsidP="00DF5921">
      <w:pPr>
        <w:bidi w:val="0"/>
        <w:spacing w:after="0" w:line="204" w:lineRule="auto"/>
        <w:ind w:left="288" w:hanging="288"/>
        <w:jc w:val="left"/>
        <w:rPr>
          <w:kern w:val="22"/>
        </w:rPr>
      </w:pPr>
      <w:r w:rsidRPr="00DC65D8">
        <w:rPr>
          <w:kern w:val="22"/>
        </w:rPr>
        <w:t>Network of Indigenous and Local Populations for the Sustainable Management of Central African Forest Ecosystems</w:t>
      </w:r>
    </w:p>
    <w:p w:rsidR="00DF5921" w:rsidRPr="00DC65D8" w:rsidRDefault="00DF5921" w:rsidP="00DF5921">
      <w:pPr>
        <w:bidi w:val="0"/>
        <w:spacing w:after="0" w:line="204" w:lineRule="auto"/>
        <w:ind w:left="288" w:hanging="288"/>
        <w:jc w:val="left"/>
        <w:rPr>
          <w:kern w:val="22"/>
        </w:rPr>
      </w:pPr>
      <w:r w:rsidRPr="00DC65D8">
        <w:rPr>
          <w:kern w:val="22"/>
        </w:rPr>
        <w:t>Nirmanee Development Foundation</w:t>
      </w:r>
    </w:p>
    <w:p w:rsidR="00DF5921" w:rsidRPr="00DC65D8" w:rsidRDefault="00DF5921" w:rsidP="00DF5921">
      <w:pPr>
        <w:bidi w:val="0"/>
        <w:spacing w:after="0" w:line="204" w:lineRule="auto"/>
        <w:ind w:left="288" w:hanging="288"/>
        <w:jc w:val="left"/>
        <w:rPr>
          <w:kern w:val="22"/>
        </w:rPr>
      </w:pPr>
      <w:r w:rsidRPr="00DC65D8">
        <w:rPr>
          <w:kern w:val="22"/>
        </w:rPr>
        <w:t>OGIEK Peoples Development Program (OPDP)</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 xml:space="preserve">Red de Asesores e Investigación Social </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 xml:space="preserve">Red de Mujeres </w:t>
      </w:r>
      <w:r w:rsidRPr="00285DD9">
        <w:rPr>
          <w:kern w:val="22"/>
          <w:lang w:val="es-ES"/>
        </w:rPr>
        <w:t>Indígenas</w:t>
      </w:r>
      <w:r w:rsidRPr="008427BB">
        <w:rPr>
          <w:kern w:val="22"/>
          <w:lang w:val="es-ES"/>
        </w:rPr>
        <w:t xml:space="preserve"> sobre Biodiversidad de </w:t>
      </w:r>
      <w:r w:rsidRPr="00285DD9">
        <w:rPr>
          <w:kern w:val="22"/>
          <w:lang w:val="es-ES"/>
        </w:rPr>
        <w:t>América</w:t>
      </w:r>
      <w:r w:rsidRPr="008427BB">
        <w:rPr>
          <w:kern w:val="22"/>
          <w:lang w:val="es-ES"/>
        </w:rPr>
        <w:t xml:space="preserve"> Latina y el Caribe</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Red Indígena de Turismo de México (RITA)</w:t>
      </w:r>
    </w:p>
    <w:p w:rsidR="00DF5921" w:rsidRPr="008427BB" w:rsidRDefault="00DF5921" w:rsidP="00DF5921">
      <w:pPr>
        <w:bidi w:val="0"/>
        <w:spacing w:after="0" w:line="204" w:lineRule="auto"/>
        <w:ind w:left="288" w:hanging="288"/>
        <w:jc w:val="left"/>
        <w:rPr>
          <w:kern w:val="22"/>
          <w:lang w:val="es-ES"/>
        </w:rPr>
      </w:pPr>
      <w:r w:rsidRPr="008427BB">
        <w:rPr>
          <w:kern w:val="22"/>
          <w:lang w:val="es-ES"/>
        </w:rPr>
        <w:t>Rueda de Medicina y Asociados, A.C.</w:t>
      </w:r>
    </w:p>
    <w:p w:rsidR="00DF5921" w:rsidRPr="00DC65D8" w:rsidRDefault="00DF5921" w:rsidP="00DF5921">
      <w:pPr>
        <w:bidi w:val="0"/>
        <w:spacing w:after="0" w:line="204" w:lineRule="auto"/>
        <w:ind w:left="288" w:hanging="288"/>
        <w:jc w:val="left"/>
        <w:rPr>
          <w:kern w:val="22"/>
        </w:rPr>
      </w:pPr>
      <w:r w:rsidRPr="00285DD9">
        <w:rPr>
          <w:kern w:val="22"/>
        </w:rPr>
        <w:t>Saami Council</w:t>
      </w:r>
    </w:p>
    <w:p w:rsidR="00DF5921" w:rsidRPr="00DC65D8" w:rsidRDefault="00DF5921" w:rsidP="00DF5921">
      <w:pPr>
        <w:bidi w:val="0"/>
        <w:spacing w:after="0" w:line="204" w:lineRule="auto"/>
        <w:ind w:left="288" w:hanging="288"/>
        <w:jc w:val="left"/>
        <w:rPr>
          <w:kern w:val="22"/>
        </w:rPr>
      </w:pPr>
      <w:r w:rsidRPr="00DC65D8">
        <w:rPr>
          <w:kern w:val="22"/>
        </w:rPr>
        <w:t>Society for Wetland Biodiversity Conservation - Nepal</w:t>
      </w:r>
    </w:p>
    <w:p w:rsidR="00DF5921" w:rsidRPr="00DC65D8" w:rsidRDefault="00DF5921" w:rsidP="00DF5921">
      <w:pPr>
        <w:bidi w:val="0"/>
        <w:spacing w:after="0" w:line="204" w:lineRule="auto"/>
        <w:ind w:left="288" w:hanging="288"/>
        <w:jc w:val="left"/>
        <w:rPr>
          <w:kern w:val="22"/>
          <w:lang w:val="fr-FR"/>
        </w:rPr>
      </w:pPr>
      <w:r w:rsidRPr="00DC65D8">
        <w:rPr>
          <w:kern w:val="22"/>
          <w:lang w:val="fr-FR"/>
        </w:rPr>
        <w:t>TAFO MIHAAVO - Réseau National des Fokonolona Gestionnaires de Ressources Naturelles à Madagascar</w:t>
      </w:r>
    </w:p>
    <w:p w:rsidR="00DF5921" w:rsidRPr="00DC65D8" w:rsidRDefault="00DF5921" w:rsidP="00DF5921">
      <w:pPr>
        <w:bidi w:val="0"/>
        <w:spacing w:after="0" w:line="204" w:lineRule="auto"/>
        <w:ind w:left="288" w:hanging="288"/>
        <w:jc w:val="left"/>
        <w:rPr>
          <w:kern w:val="22"/>
        </w:rPr>
      </w:pPr>
      <w:r w:rsidRPr="00DC65D8">
        <w:rPr>
          <w:kern w:val="22"/>
        </w:rPr>
        <w:t>Tebtebba Foundation</w:t>
      </w:r>
    </w:p>
    <w:p w:rsidR="00DF5921" w:rsidRDefault="00DF5921" w:rsidP="00DF5921">
      <w:pPr>
        <w:bidi w:val="0"/>
        <w:spacing w:after="0" w:line="204" w:lineRule="auto"/>
        <w:ind w:left="288" w:hanging="288"/>
        <w:jc w:val="left"/>
        <w:rPr>
          <w:kern w:val="22"/>
        </w:rPr>
        <w:sectPr w:rsidR="00DF5921" w:rsidSect="00DF5921">
          <w:type w:val="continuous"/>
          <w:pgSz w:w="12240" w:h="15840"/>
          <w:pgMar w:top="567" w:right="1389" w:bottom="1134" w:left="1389" w:header="709" w:footer="709" w:gutter="0"/>
          <w:cols w:num="2" w:space="708"/>
          <w:docGrid w:linePitch="360"/>
        </w:sectPr>
      </w:pPr>
      <w:r w:rsidRPr="00DC65D8">
        <w:rPr>
          <w:kern w:val="22"/>
        </w:rPr>
        <w:t>United Organization of Batwa Development in Uganda</w:t>
      </w:r>
    </w:p>
    <w:p w:rsidR="00D709EE" w:rsidRPr="00DF5921" w:rsidRDefault="00D709EE" w:rsidP="00DF5921">
      <w:pPr>
        <w:bidi w:val="0"/>
        <w:spacing w:after="0" w:line="204" w:lineRule="auto"/>
        <w:rPr>
          <w:rtl/>
        </w:rPr>
      </w:pPr>
    </w:p>
    <w:p w:rsidR="00D709EE" w:rsidRPr="00204BF4" w:rsidRDefault="00D709EE" w:rsidP="00D709EE">
      <w:pPr>
        <w:spacing w:line="204" w:lineRule="auto"/>
        <w:jc w:val="center"/>
        <w:rPr>
          <w:b/>
          <w:bCs/>
          <w:i/>
          <w:iCs/>
          <w:rtl/>
        </w:rPr>
      </w:pPr>
      <w:r w:rsidRPr="00204BF4">
        <w:rPr>
          <w:rFonts w:hint="cs"/>
          <w:b/>
          <w:bCs/>
          <w:i/>
          <w:iCs/>
          <w:rtl/>
        </w:rPr>
        <w:t>دال -</w:t>
      </w:r>
      <w:r w:rsidRPr="00204BF4">
        <w:rPr>
          <w:rFonts w:hint="cs"/>
          <w:b/>
          <w:bCs/>
          <w:i/>
          <w:iCs/>
          <w:rtl/>
        </w:rPr>
        <w:tab/>
        <w:t>المنظمات غير الحكومية</w:t>
      </w:r>
    </w:p>
    <w:p w:rsidR="00D709EE" w:rsidRDefault="00D709EE" w:rsidP="00D709EE">
      <w:pPr>
        <w:bidi w:val="0"/>
        <w:spacing w:line="204" w:lineRule="auto"/>
        <w:rPr>
          <w:lang w:val="en-GB"/>
        </w:rPr>
        <w:sectPr w:rsidR="00D709EE" w:rsidSect="00D709EE">
          <w:type w:val="continuous"/>
          <w:pgSz w:w="12240" w:h="15840" w:code="1"/>
          <w:pgMar w:top="1008" w:right="1440" w:bottom="1008" w:left="1440" w:header="461" w:footer="706" w:gutter="0"/>
          <w:cols w:space="708"/>
          <w:titlePg/>
          <w:bidi/>
          <w:rtlGutter/>
          <w:docGrid w:linePitch="360"/>
        </w:sectPr>
      </w:pP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lastRenderedPageBreak/>
        <w:t>Abu Ghosoun Community Development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AEON Environmental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African Centre for Biodiversity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African Centre for Technology Studies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African Wildlife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Al Bishareya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Alwatad Cultural Society for Human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Amazon Watch</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AMWAJ of the Environment - Beirut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Arab Federation for Wildlife Protection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 xml:space="preserve">Arab Office for Youth and Environment </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285DD9">
        <w:rPr>
          <w:snapToGrid w:val="0"/>
          <w:color w:val="000000"/>
          <w:kern w:val="22"/>
          <w:szCs w:val="22"/>
          <w:lang w:val="es-ES"/>
        </w:rPr>
        <w:t>Asociación</w:t>
      </w:r>
      <w:r w:rsidRPr="008427BB">
        <w:rPr>
          <w:snapToGrid w:val="0"/>
          <w:color w:val="000000"/>
          <w:kern w:val="22"/>
          <w:szCs w:val="22"/>
          <w:lang w:val="es-ES"/>
        </w:rPr>
        <w:t xml:space="preserve"> de Desar</w:t>
      </w:r>
      <w:r w:rsidRPr="00285DD9">
        <w:rPr>
          <w:snapToGrid w:val="0"/>
          <w:color w:val="000000"/>
          <w:kern w:val="22"/>
          <w:szCs w:val="22"/>
          <w:lang w:val="es-ES"/>
        </w:rPr>
        <w:t>r</w:t>
      </w:r>
      <w:r w:rsidRPr="008427BB">
        <w:rPr>
          <w:snapToGrid w:val="0"/>
          <w:color w:val="000000"/>
          <w:kern w:val="22"/>
          <w:szCs w:val="22"/>
          <w:lang w:val="es-ES"/>
        </w:rPr>
        <w:t>ollo Integral Mitij Ixoq (ADIMI)</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Assist Social Capital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Association for the Development and Environmental Protection</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Association Ibn Al Baytar</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Association Marocaine pour la Protection de l</w:t>
      </w:r>
      <w:r w:rsidRPr="00285DD9">
        <w:rPr>
          <w:snapToGrid w:val="0"/>
          <w:color w:val="000000"/>
          <w:kern w:val="22"/>
          <w:szCs w:val="22"/>
          <w:lang w:val="fr-FR"/>
        </w:rPr>
        <w:t>’</w:t>
      </w:r>
      <w:r w:rsidRPr="008427BB">
        <w:rPr>
          <w:snapToGrid w:val="0"/>
          <w:color w:val="000000"/>
          <w:kern w:val="22"/>
          <w:szCs w:val="22"/>
          <w:lang w:val="fr-FR"/>
        </w:rPr>
        <w:t>Environnement et du Climat (ASMAPEC)</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 xml:space="preserve">Association </w:t>
      </w:r>
      <w:r w:rsidRPr="00285DD9">
        <w:rPr>
          <w:snapToGrid w:val="0"/>
          <w:color w:val="000000"/>
          <w:kern w:val="22"/>
          <w:szCs w:val="22"/>
          <w:lang w:val="fr-FR"/>
        </w:rPr>
        <w:t>N</w:t>
      </w:r>
      <w:r w:rsidRPr="008427BB">
        <w:rPr>
          <w:snapToGrid w:val="0"/>
          <w:color w:val="000000"/>
          <w:kern w:val="22"/>
          <w:szCs w:val="22"/>
          <w:lang w:val="fr-FR"/>
        </w:rPr>
        <w:t xml:space="preserve">ationale Biodiversité et </w:t>
      </w:r>
      <w:r w:rsidRPr="00285DD9">
        <w:rPr>
          <w:snapToGrid w:val="0"/>
          <w:color w:val="000000"/>
          <w:kern w:val="22"/>
          <w:szCs w:val="22"/>
          <w:lang w:val="fr-FR"/>
        </w:rPr>
        <w:t>Énergies</w:t>
      </w:r>
      <w:r w:rsidRPr="008427BB">
        <w:rPr>
          <w:snapToGrid w:val="0"/>
          <w:color w:val="000000"/>
          <w:kern w:val="22"/>
          <w:szCs w:val="22"/>
          <w:lang w:val="fr-FR"/>
        </w:rPr>
        <w:t xml:space="preserve"> Renouvelables</w:t>
      </w:r>
    </w:p>
    <w:p w:rsidR="00DF5921" w:rsidRPr="008427BB" w:rsidRDefault="00DF5921" w:rsidP="00DF5921">
      <w:pPr>
        <w:bidi w:val="0"/>
        <w:spacing w:after="0" w:line="204" w:lineRule="auto"/>
        <w:ind w:left="284" w:hanging="284"/>
        <w:jc w:val="left"/>
        <w:rPr>
          <w:snapToGrid w:val="0"/>
          <w:color w:val="000000"/>
          <w:kern w:val="22"/>
          <w:szCs w:val="22"/>
          <w:lang w:val="en-CA"/>
        </w:rPr>
      </w:pPr>
      <w:r w:rsidRPr="008427BB">
        <w:rPr>
          <w:snapToGrid w:val="0"/>
          <w:color w:val="000000"/>
          <w:kern w:val="22"/>
          <w:szCs w:val="22"/>
          <w:lang w:val="en-CA"/>
        </w:rPr>
        <w:t>Association Orée</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 xml:space="preserve">Australian Conservation </w:t>
      </w:r>
      <w:r w:rsidRPr="00DC65D8">
        <w:rPr>
          <w:snapToGrid w:val="0"/>
          <w:color w:val="000000"/>
          <w:kern w:val="22"/>
          <w:szCs w:val="22"/>
        </w:rPr>
        <w:t>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Australian Rainforest Conservation Society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Avaaz</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Beam of the Environment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Biotechnology Coalition of the Philippines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lastRenderedPageBreak/>
        <w:t>BirdLife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BirdLife South Africa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Bombay Natural History Society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Born Free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Botanic Gardens Conservation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Brahma Kumaris World Spiritual University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C40 Cities Climate Leadership Group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Campaign for Nature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Canadian Wildlife Federation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Caribbean Biodiversity Fund</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Catholic Youth Network for Environmental Sustainability in Africa (CYNESA)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CBD Alliance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 xml:space="preserve">Center for Biodiversity Conservation </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Center for Large Landscape Conservation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Central Africa Bushmeat Action Group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Central Research Institute of Electric Power Industry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Centre for Sustainable Development and Environment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Children and Nature Network</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China Biodiversity Conservation and Green Development Foundation</w:t>
      </w:r>
    </w:p>
    <w:p w:rsidR="00DF5921" w:rsidRPr="008427BB" w:rsidRDefault="00DF5921" w:rsidP="00DF5921">
      <w:pPr>
        <w:bidi w:val="0"/>
        <w:spacing w:after="0" w:line="204" w:lineRule="auto"/>
        <w:ind w:left="284" w:hanging="284"/>
        <w:jc w:val="left"/>
        <w:rPr>
          <w:noProof/>
          <w:snapToGrid w:val="0"/>
          <w:color w:val="000000"/>
          <w:kern w:val="22"/>
          <w:szCs w:val="22"/>
          <w:lang w:val="fr-FR"/>
        </w:rPr>
      </w:pPr>
      <w:r w:rsidRPr="008427BB">
        <w:rPr>
          <w:noProof/>
          <w:snapToGrid w:val="0"/>
          <w:color w:val="000000"/>
          <w:kern w:val="22"/>
          <w:szCs w:val="22"/>
          <w:lang w:val="fr-FR"/>
        </w:rPr>
        <w:t>ClientEarth</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noProof/>
          <w:snapToGrid w:val="0"/>
          <w:color w:val="000000"/>
          <w:kern w:val="22"/>
          <w:szCs w:val="22"/>
          <w:lang w:val="fr-FR"/>
        </w:rPr>
        <w:t>Climate</w:t>
      </w:r>
      <w:r w:rsidRPr="008427BB">
        <w:rPr>
          <w:snapToGrid w:val="0"/>
          <w:color w:val="000000"/>
          <w:kern w:val="22"/>
          <w:szCs w:val="22"/>
          <w:lang w:val="fr-FR"/>
        </w:rPr>
        <w:t xml:space="preserve"> Tracker Inc.</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Club Marocain pour l</w:t>
      </w:r>
      <w:r w:rsidRPr="00285DD9">
        <w:rPr>
          <w:snapToGrid w:val="0"/>
          <w:color w:val="000000"/>
          <w:kern w:val="22"/>
          <w:szCs w:val="22"/>
          <w:lang w:val="fr-FR"/>
        </w:rPr>
        <w:t>’</w:t>
      </w:r>
      <w:r w:rsidRPr="008427BB">
        <w:rPr>
          <w:snapToGrid w:val="0"/>
          <w:color w:val="000000"/>
          <w:kern w:val="22"/>
          <w:szCs w:val="22"/>
          <w:lang w:val="fr-FR"/>
        </w:rPr>
        <w:t>Environnement et le Développement (CMED)</w:t>
      </w:r>
    </w:p>
    <w:p w:rsidR="00DF5921" w:rsidRPr="008427BB" w:rsidRDefault="00DF5921" w:rsidP="00DF5921">
      <w:pPr>
        <w:bidi w:val="0"/>
        <w:spacing w:after="0" w:line="204" w:lineRule="auto"/>
        <w:ind w:left="284" w:hanging="284"/>
        <w:jc w:val="left"/>
        <w:rPr>
          <w:snapToGrid w:val="0"/>
          <w:color w:val="000000"/>
          <w:kern w:val="22"/>
          <w:szCs w:val="22"/>
          <w:lang w:val="it-IT"/>
        </w:rPr>
      </w:pPr>
      <w:r w:rsidRPr="008427BB">
        <w:rPr>
          <w:snapToGrid w:val="0"/>
          <w:color w:val="000000"/>
          <w:kern w:val="22"/>
          <w:szCs w:val="22"/>
          <w:lang w:val="it-IT"/>
        </w:rPr>
        <w:t>COBASE Cooperativa Tecnico Scientifica di Base</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lastRenderedPageBreak/>
        <w:t>Community Development and Youth Training</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Community Technology Development Organisation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Compassion in World Farming</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Conservation International</w:t>
      </w:r>
    </w:p>
    <w:p w:rsidR="00DF5921" w:rsidRPr="00477B14" w:rsidRDefault="00DF5921" w:rsidP="00DF5921">
      <w:pPr>
        <w:bidi w:val="0"/>
        <w:spacing w:after="0" w:line="204" w:lineRule="auto"/>
        <w:ind w:left="284" w:hanging="284"/>
        <w:jc w:val="left"/>
        <w:rPr>
          <w:snapToGrid w:val="0"/>
          <w:color w:val="000000"/>
          <w:kern w:val="22"/>
          <w:szCs w:val="22"/>
          <w:lang w:val="es-AR"/>
        </w:rPr>
      </w:pPr>
      <w:r w:rsidRPr="00477B14">
        <w:rPr>
          <w:snapToGrid w:val="0"/>
          <w:color w:val="000000"/>
          <w:kern w:val="22"/>
          <w:szCs w:val="22"/>
          <w:lang w:val="es-AR"/>
        </w:rPr>
        <w:t>Conservation International Africa Field Division</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8427BB">
        <w:rPr>
          <w:snapToGrid w:val="0"/>
          <w:color w:val="000000"/>
          <w:kern w:val="22"/>
          <w:szCs w:val="22"/>
          <w:lang w:val="es-ES"/>
        </w:rPr>
        <w:t>Cooperativa Autogestionaria de Servicios Profesionales para la Solidaridad Social, R.L.</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 xml:space="preserve">Council for </w:t>
      </w:r>
      <w:r w:rsidRPr="00DC65D8">
        <w:rPr>
          <w:snapToGrid w:val="0"/>
          <w:color w:val="000000"/>
          <w:kern w:val="22"/>
          <w:szCs w:val="22"/>
        </w:rPr>
        <w:t>Green Revolution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Cross Cutting Capacity Development</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8427BB">
        <w:rPr>
          <w:snapToGrid w:val="0"/>
          <w:color w:val="000000"/>
          <w:kern w:val="22"/>
          <w:szCs w:val="22"/>
          <w:lang w:val="es-ES"/>
        </w:rPr>
        <w:t>Derecho Ambiente y Recursos Naturales</w:t>
      </w:r>
    </w:p>
    <w:p w:rsidR="00DF5921" w:rsidRPr="00477B14" w:rsidRDefault="00DF5921" w:rsidP="00DF5921">
      <w:pPr>
        <w:bidi w:val="0"/>
        <w:spacing w:after="0" w:line="204" w:lineRule="auto"/>
        <w:ind w:left="284" w:hanging="284"/>
        <w:jc w:val="left"/>
        <w:rPr>
          <w:snapToGrid w:val="0"/>
          <w:color w:val="000000"/>
          <w:kern w:val="22"/>
          <w:szCs w:val="22"/>
          <w:lang w:val="es-AR"/>
        </w:rPr>
      </w:pPr>
      <w:r w:rsidRPr="00477B14">
        <w:rPr>
          <w:snapToGrid w:val="0"/>
          <w:color w:val="000000"/>
          <w:kern w:val="22"/>
          <w:szCs w:val="22"/>
          <w:lang w:val="es-AR"/>
        </w:rPr>
        <w:t>DHI Water &amp; Environment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DRIFT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Earth Island Institute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noProof/>
          <w:snapToGrid w:val="0"/>
          <w:color w:val="000000"/>
          <w:kern w:val="22"/>
          <w:szCs w:val="22"/>
        </w:rPr>
        <w:t>EcoHealth</w:t>
      </w:r>
      <w:r w:rsidRPr="00DC65D8">
        <w:rPr>
          <w:snapToGrid w:val="0"/>
          <w:color w:val="000000"/>
          <w:kern w:val="22"/>
          <w:szCs w:val="22"/>
        </w:rPr>
        <w:t xml:space="preserve"> Alliance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Ecological Movement “BIOM”</w:t>
      </w:r>
    </w:p>
    <w:p w:rsidR="00DF5921" w:rsidRPr="00DC65D8" w:rsidRDefault="00DF5921" w:rsidP="00DF5921">
      <w:pPr>
        <w:bidi w:val="0"/>
        <w:spacing w:after="0" w:line="204" w:lineRule="auto"/>
        <w:ind w:left="284" w:hanging="284"/>
        <w:jc w:val="left"/>
        <w:rPr>
          <w:noProof/>
          <w:snapToGrid w:val="0"/>
          <w:color w:val="000000"/>
          <w:kern w:val="22"/>
          <w:szCs w:val="22"/>
        </w:rPr>
      </w:pPr>
      <w:r w:rsidRPr="00DC65D8">
        <w:rPr>
          <w:noProof/>
          <w:snapToGrid w:val="0"/>
          <w:color w:val="000000"/>
          <w:kern w:val="22"/>
          <w:szCs w:val="22"/>
        </w:rPr>
        <w:t>EcoNexus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ECOROPA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EGYCOM</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 Green Energy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Egyptian Association for Creation and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Egyptian Association for the Preservation of Heritage, Environment &amp; Family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Egyptian Italian Environmental Cooperation Project-Phase III (EIE CPIII)</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Egyptian Nile Basin Discourse Forum</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Egyptian Sustainable Development Forum</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El Nafeza Foundation for Contemporary Art and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El Ramis Society for Local Community Development of Barrany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Endangered Wildlife Trust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Environmental Conservation Trust of Uganda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Environmental Foundation (Guarantee) Limited</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Environmental Protection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Environmental Rights Action / Friends of the Earth Nigeria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ETC Group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European Bureau for Conservation and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European Climate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European Landowners' Organization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Every Woman Hope Centre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Fayrouz Society for Social, Environmental and Economical Services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Federation of German Scientists</w:t>
      </w:r>
    </w:p>
    <w:p w:rsidR="00DF5921" w:rsidRPr="008427BB" w:rsidRDefault="00DF5921" w:rsidP="00DF5921">
      <w:pPr>
        <w:bidi w:val="0"/>
        <w:spacing w:after="0" w:line="204" w:lineRule="auto"/>
        <w:ind w:left="284" w:hanging="284"/>
        <w:jc w:val="left"/>
        <w:rPr>
          <w:snapToGrid w:val="0"/>
          <w:color w:val="000000"/>
          <w:kern w:val="22"/>
          <w:szCs w:val="22"/>
          <w:lang w:val="en-CA"/>
        </w:rPr>
      </w:pPr>
      <w:r w:rsidRPr="008427BB">
        <w:rPr>
          <w:snapToGrid w:val="0"/>
          <w:color w:val="000000"/>
          <w:kern w:val="22"/>
          <w:szCs w:val="22"/>
          <w:lang w:val="en-CA"/>
        </w:rPr>
        <w:t>Fondation Franz Weber</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Fondation Tany Meva</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Fondation Tour du Valat</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8427BB">
        <w:rPr>
          <w:snapToGrid w:val="0"/>
          <w:color w:val="000000"/>
          <w:kern w:val="22"/>
          <w:szCs w:val="22"/>
          <w:lang w:val="es-ES"/>
        </w:rPr>
        <w:t>Fondo Mexicano para la Conservación de la Naturaleza</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Forest Peoples Programme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Forests of the World</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Forum for Law, Environment, Development and Governance (FLEDGE)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Foundation for the National Institutes of Health</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Fragments of Extinction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Friends of the Earth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Friends of the Siberian Forests</w:t>
      </w:r>
    </w:p>
    <w:p w:rsidR="00DF5921" w:rsidRPr="00DC65D8" w:rsidRDefault="00DF5921" w:rsidP="00DF5921">
      <w:pPr>
        <w:bidi w:val="0"/>
        <w:spacing w:after="0" w:line="204" w:lineRule="auto"/>
        <w:ind w:left="284" w:hanging="284"/>
        <w:jc w:val="left"/>
        <w:rPr>
          <w:noProof/>
          <w:snapToGrid w:val="0"/>
          <w:color w:val="000000"/>
          <w:kern w:val="22"/>
          <w:szCs w:val="22"/>
        </w:rPr>
      </w:pPr>
      <w:r w:rsidRPr="00DC65D8">
        <w:rPr>
          <w:noProof/>
          <w:snapToGrid w:val="0"/>
          <w:color w:val="000000"/>
          <w:kern w:val="22"/>
          <w:szCs w:val="22"/>
        </w:rPr>
        <w:t>Frogleaps</w:t>
      </w:r>
    </w:p>
    <w:p w:rsidR="00DF5921" w:rsidRPr="008427BB" w:rsidRDefault="00DF5921" w:rsidP="00DF5921">
      <w:pPr>
        <w:bidi w:val="0"/>
        <w:spacing w:after="0" w:line="204" w:lineRule="auto"/>
        <w:ind w:left="284" w:hanging="284"/>
        <w:jc w:val="left"/>
        <w:rPr>
          <w:snapToGrid w:val="0"/>
          <w:color w:val="000000"/>
          <w:kern w:val="22"/>
          <w:szCs w:val="22"/>
          <w:lang w:val="pt-PT"/>
        </w:rPr>
      </w:pPr>
      <w:r w:rsidRPr="00285DD9">
        <w:rPr>
          <w:snapToGrid w:val="0"/>
          <w:color w:val="000000"/>
          <w:kern w:val="22"/>
          <w:szCs w:val="22"/>
          <w:lang w:val="pt-PT"/>
        </w:rPr>
        <w:t>Fundação</w:t>
      </w:r>
      <w:r w:rsidRPr="008427BB">
        <w:rPr>
          <w:snapToGrid w:val="0"/>
          <w:color w:val="000000"/>
          <w:kern w:val="22"/>
          <w:szCs w:val="22"/>
          <w:lang w:val="pt-PT"/>
        </w:rPr>
        <w:t xml:space="preserve"> O </w:t>
      </w:r>
      <w:r w:rsidRPr="00285DD9">
        <w:rPr>
          <w:snapToGrid w:val="0"/>
          <w:color w:val="000000"/>
          <w:kern w:val="22"/>
          <w:szCs w:val="22"/>
          <w:lang w:val="pt-PT"/>
        </w:rPr>
        <w:t>Boticário</w:t>
      </w:r>
      <w:r w:rsidRPr="008427BB">
        <w:rPr>
          <w:snapToGrid w:val="0"/>
          <w:color w:val="000000"/>
          <w:kern w:val="22"/>
          <w:szCs w:val="22"/>
          <w:lang w:val="pt-PT"/>
        </w:rPr>
        <w:t xml:space="preserve"> de </w:t>
      </w:r>
      <w:r w:rsidRPr="00285DD9">
        <w:rPr>
          <w:snapToGrid w:val="0"/>
          <w:color w:val="000000"/>
          <w:kern w:val="22"/>
          <w:szCs w:val="22"/>
          <w:lang w:val="pt-PT"/>
        </w:rPr>
        <w:t>Proteção</w:t>
      </w:r>
      <w:r w:rsidRPr="008427BB">
        <w:rPr>
          <w:snapToGrid w:val="0"/>
          <w:color w:val="000000"/>
          <w:kern w:val="22"/>
          <w:szCs w:val="22"/>
          <w:lang w:val="pt-PT"/>
        </w:rPr>
        <w:t xml:space="preserve"> a Natureza</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8427BB">
        <w:rPr>
          <w:snapToGrid w:val="0"/>
          <w:color w:val="000000"/>
          <w:kern w:val="22"/>
          <w:szCs w:val="22"/>
          <w:lang w:val="es-ES"/>
        </w:rPr>
        <w:t>Fundación Ambiente y Recursos Naturales</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285DD9">
        <w:rPr>
          <w:snapToGrid w:val="0"/>
          <w:color w:val="000000"/>
          <w:kern w:val="22"/>
          <w:szCs w:val="22"/>
          <w:lang w:val="es-ES"/>
        </w:rPr>
        <w:lastRenderedPageBreak/>
        <w:t>Fundación</w:t>
      </w:r>
      <w:r w:rsidRPr="008427BB">
        <w:rPr>
          <w:snapToGrid w:val="0"/>
          <w:color w:val="000000"/>
          <w:kern w:val="22"/>
          <w:szCs w:val="22"/>
          <w:lang w:val="es-ES"/>
        </w:rPr>
        <w:t xml:space="preserve"> Antonio Núñez Jiménez de la naturaleza y el hombre</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285DD9">
        <w:rPr>
          <w:snapToGrid w:val="0"/>
          <w:color w:val="000000"/>
          <w:kern w:val="22"/>
          <w:szCs w:val="22"/>
          <w:lang w:val="es-ES"/>
        </w:rPr>
        <w:t>Fundación</w:t>
      </w:r>
      <w:r w:rsidRPr="008427BB">
        <w:rPr>
          <w:snapToGrid w:val="0"/>
          <w:color w:val="000000"/>
          <w:kern w:val="22"/>
          <w:szCs w:val="22"/>
          <w:lang w:val="es-ES"/>
        </w:rPr>
        <w:t xml:space="preserve"> Biodiversidad</w:t>
      </w:r>
    </w:p>
    <w:p w:rsidR="00DF5921" w:rsidRPr="00477B14" w:rsidRDefault="00DF5921" w:rsidP="00DF5921">
      <w:pPr>
        <w:bidi w:val="0"/>
        <w:spacing w:after="0" w:line="204" w:lineRule="auto"/>
        <w:ind w:left="284" w:hanging="284"/>
        <w:jc w:val="left"/>
        <w:rPr>
          <w:snapToGrid w:val="0"/>
          <w:color w:val="000000"/>
          <w:kern w:val="22"/>
          <w:szCs w:val="22"/>
          <w:lang w:val="es-AR"/>
        </w:rPr>
      </w:pPr>
      <w:r w:rsidRPr="00477B14">
        <w:rPr>
          <w:snapToGrid w:val="0"/>
          <w:color w:val="000000"/>
          <w:kern w:val="22"/>
          <w:szCs w:val="22"/>
          <w:lang w:val="es-AR"/>
        </w:rPr>
        <w:t>Future Law</w:t>
      </w:r>
    </w:p>
    <w:p w:rsidR="00DF5921" w:rsidRPr="00477B14" w:rsidRDefault="00DF5921" w:rsidP="00DF5921">
      <w:pPr>
        <w:bidi w:val="0"/>
        <w:spacing w:after="0" w:line="204" w:lineRule="auto"/>
        <w:ind w:left="284" w:hanging="284"/>
        <w:jc w:val="left"/>
        <w:rPr>
          <w:snapToGrid w:val="0"/>
          <w:color w:val="000000"/>
          <w:kern w:val="22"/>
          <w:szCs w:val="22"/>
          <w:lang w:val="es-AR"/>
        </w:rPr>
      </w:pPr>
      <w:r w:rsidRPr="00477B14">
        <w:rPr>
          <w:snapToGrid w:val="0"/>
          <w:color w:val="000000"/>
          <w:kern w:val="22"/>
          <w:szCs w:val="22"/>
          <w:lang w:val="es-AR"/>
        </w:rPr>
        <w:t>GHADI (Lebanon NGO)</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Global Forest Coalition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Global Island Partnership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Global Ocean Biodiversity Initiative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Green Connexion, Environmental Group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Greenpeace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Healthy Urban Microbiome Initiative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Human Environment Association for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Hurghada Environmental Protection and Conservation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ICCA Consortium</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Ifakara Health Institute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IFOAM - Organics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iGEM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Infra Eco Network Europe - IENE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Initiative for Responsible Mining Assurance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Institute for Advanced Sustainability Studies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Institute for Biodiversity Network</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Institute for Global Environmental Strategies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Instituto LIFE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Integration of Amazon Protected Areas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Association for Falconry and the Conservation of Birds of Prey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Collective in Support of Fishworkers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Fund for Animal Welfare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Institute for Environment and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Institute for Sustainability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Institute for Sustainable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Planning Committee for Food Sovereignty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Service for the Acquisition of Agri-biotech Applications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Union of Biological Sciences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International Union of Forest Research Organizations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Island Conservation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IUCN Commission on Education and Communication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J. Craig Venter Institute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Japan Civil Network for the United Nations Decade on Biodiversity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Japan Environmental Lawyers for Future (JELF)</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Jordanian Friends of Heritage Society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Leaders Egyptian Association for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League for Pastoral Peoples and Endogenous Livestock Development</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Les Amis de la Terre</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Linking Tourism &amp; Conservation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Little Bees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8427BB">
        <w:rPr>
          <w:noProof/>
          <w:snapToGrid w:val="0"/>
          <w:color w:val="000000"/>
          <w:kern w:val="22"/>
          <w:szCs w:val="22"/>
        </w:rPr>
        <w:t>Makhzoumi</w:t>
      </w:r>
      <w:r w:rsidRPr="00DC65D8">
        <w:rPr>
          <w:snapToGrid w:val="0"/>
          <w:color w:val="000000"/>
          <w:kern w:val="22"/>
          <w:szCs w:val="22"/>
        </w:rPr>
        <w:t xml:space="preserv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MARS Practitioners Network</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noProof/>
          <w:snapToGrid w:val="0"/>
          <w:color w:val="000000"/>
          <w:kern w:val="22"/>
          <w:szCs w:val="22"/>
          <w:lang w:val="fr-FR"/>
        </w:rPr>
        <w:t>Masungi Georeserve</w:t>
      </w:r>
      <w:r w:rsidRPr="008427BB">
        <w:rPr>
          <w:snapToGrid w:val="0"/>
          <w:color w:val="000000"/>
          <w:kern w:val="22"/>
          <w:szCs w:val="22"/>
          <w:lang w:val="fr-FR"/>
        </w:rPr>
        <w:t xml:space="preserve"> Foundation</w:t>
      </w:r>
    </w:p>
    <w:p w:rsidR="00DF5921" w:rsidRPr="008427BB" w:rsidRDefault="00DF5921" w:rsidP="00DF5921">
      <w:pPr>
        <w:bidi w:val="0"/>
        <w:spacing w:after="0" w:line="204" w:lineRule="auto"/>
        <w:ind w:left="284" w:hanging="284"/>
        <w:jc w:val="left"/>
        <w:rPr>
          <w:snapToGrid w:val="0"/>
          <w:color w:val="000000"/>
          <w:kern w:val="22"/>
          <w:szCs w:val="22"/>
          <w:lang w:val="fr-FR"/>
        </w:rPr>
      </w:pPr>
      <w:r w:rsidRPr="008427BB">
        <w:rPr>
          <w:snapToGrid w:val="0"/>
          <w:color w:val="000000"/>
          <w:kern w:val="22"/>
          <w:szCs w:val="22"/>
          <w:lang w:val="fr-FR"/>
        </w:rPr>
        <w:t>MAVA Fondation pour la Nature</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Medicinal Plants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Michael Succow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lastRenderedPageBreak/>
        <w:t>National Association of Professional Environmentalists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National Geographic Society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Natural Capital Coalition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Natural Justice (Lawyers for Communities and the Environment)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Natural Resources Defense Council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Nature and Science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Nature Conservation Egypt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NatureServe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Network for Evaluation of One Health</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Network of Regional Governments for Sustainable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Non-Timber Forest Products - Exchange Programme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Oro Verde - The Tropical Forest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Panthera</w:t>
      </w:r>
    </w:p>
    <w:p w:rsidR="00DF5921" w:rsidRPr="00EE16FE" w:rsidRDefault="00DF5921" w:rsidP="00DF5921">
      <w:pPr>
        <w:bidi w:val="0"/>
        <w:spacing w:after="0" w:line="204" w:lineRule="auto"/>
        <w:ind w:left="284" w:hanging="284"/>
        <w:jc w:val="left"/>
        <w:rPr>
          <w:snapToGrid w:val="0"/>
          <w:color w:val="000000"/>
          <w:kern w:val="22"/>
          <w:szCs w:val="22"/>
        </w:rPr>
      </w:pPr>
      <w:r w:rsidRPr="00155A50">
        <w:rPr>
          <w:snapToGrid w:val="0"/>
          <w:color w:val="000000"/>
          <w:kern w:val="22"/>
          <w:szCs w:val="22"/>
        </w:rPr>
        <w:t>Partenariat Français pour l’Eau</w:t>
      </w:r>
    </w:p>
    <w:p w:rsidR="00DF5921" w:rsidRPr="00DC65D8" w:rsidRDefault="00DF5921" w:rsidP="00DF5921">
      <w:pPr>
        <w:bidi w:val="0"/>
        <w:spacing w:after="0" w:line="204" w:lineRule="auto"/>
        <w:ind w:left="284" w:hanging="284"/>
        <w:jc w:val="left"/>
        <w:rPr>
          <w:snapToGrid w:val="0"/>
          <w:color w:val="000000"/>
          <w:kern w:val="22"/>
          <w:szCs w:val="22"/>
        </w:rPr>
      </w:pPr>
      <w:r w:rsidRPr="00285DD9">
        <w:rPr>
          <w:snapToGrid w:val="0"/>
          <w:color w:val="000000"/>
          <w:kern w:val="22"/>
          <w:szCs w:val="22"/>
        </w:rPr>
        <w:t>Pet Industry Joint Advisory Council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Philippine Association For Intercultural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Prespa Ohrid Nature Trust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PRONATURA MEXICO</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Rainforest Foundation Norway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Rare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Red Sea Association for Diving and Water Sports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Regional Agricultural and Environmental Innovations Network - Africa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Research and Development Centre, Nepal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Sasakawa Peace Foundation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Sawa Association for Development and Care of Special Groups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Secretariat of the Arab Network for Environment and Development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Shakshouk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Sinaweya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Slow Food Movement</w:t>
      </w:r>
    </w:p>
    <w:p w:rsidR="00DF5921" w:rsidRPr="008427BB" w:rsidRDefault="00DF5921" w:rsidP="00DF5921">
      <w:pPr>
        <w:bidi w:val="0"/>
        <w:spacing w:after="0" w:line="204" w:lineRule="auto"/>
        <w:ind w:left="284" w:hanging="284"/>
        <w:jc w:val="left"/>
        <w:rPr>
          <w:snapToGrid w:val="0"/>
          <w:color w:val="000000"/>
          <w:kern w:val="22"/>
          <w:szCs w:val="22"/>
          <w:lang w:val="es-ES"/>
        </w:rPr>
      </w:pPr>
      <w:r w:rsidRPr="008427BB">
        <w:rPr>
          <w:snapToGrid w:val="0"/>
          <w:color w:val="000000"/>
          <w:kern w:val="22"/>
          <w:szCs w:val="22"/>
          <w:lang w:val="es-ES"/>
        </w:rPr>
        <w:lastRenderedPageBreak/>
        <w:t>Sociedad Peruana de Derecho Ambiental</w:t>
      </w:r>
    </w:p>
    <w:p w:rsidR="00DF5921" w:rsidRPr="00477B14" w:rsidRDefault="00DF5921" w:rsidP="00DF5921">
      <w:pPr>
        <w:bidi w:val="0"/>
        <w:spacing w:after="0" w:line="204" w:lineRule="auto"/>
        <w:ind w:left="284" w:hanging="284"/>
        <w:jc w:val="left"/>
        <w:rPr>
          <w:snapToGrid w:val="0"/>
          <w:color w:val="000000"/>
          <w:kern w:val="22"/>
          <w:szCs w:val="22"/>
          <w:lang w:val="es-AR"/>
        </w:rPr>
      </w:pPr>
      <w:r w:rsidRPr="00477B14">
        <w:rPr>
          <w:snapToGrid w:val="0"/>
          <w:color w:val="000000"/>
          <w:kern w:val="22"/>
          <w:szCs w:val="22"/>
          <w:lang w:val="es-AR"/>
        </w:rPr>
        <w:t>Society for Ecological Restoration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Society for the Protection of Nature in Lebanon (SPNL)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Solar Energy Development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Southeast Asia Regional Initiatives for Community Empowerment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Strong Roots Congo</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Sustainable Transport Project for Egypt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SWAN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Coalition of the Willing</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Danish 92-Group</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Development Institute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Nature Conservancy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Nature Conservation Society of Japan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Ocean Agency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The Pew Charitable Trusts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Thinking Animals United</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Third World Network</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Three-River-Source National Park Service</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Tourism and Environment Association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Tourism Development Association in Dahshour</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TRAFFIC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Transparent World</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Vida Silvestre Uruguay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We Mean Business Coalition</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Wellcome Trust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Wetlands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WildArk</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Wildlife Clubs of Kenya</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Wildlife Conservation Society</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Window to Environment</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World Association of Zoos and Aquariums</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WWF - Brazil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WWF Denmark</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WWF International</w:t>
      </w:r>
    </w:p>
    <w:p w:rsidR="00DF5921" w:rsidRPr="00DC65D8" w:rsidRDefault="00DF5921" w:rsidP="00DF5921">
      <w:pPr>
        <w:bidi w:val="0"/>
        <w:spacing w:after="0" w:line="204" w:lineRule="auto"/>
        <w:ind w:left="284" w:hanging="284"/>
        <w:jc w:val="left"/>
        <w:rPr>
          <w:snapToGrid w:val="0"/>
          <w:color w:val="000000"/>
          <w:kern w:val="22"/>
          <w:szCs w:val="22"/>
        </w:rPr>
      </w:pPr>
      <w:r w:rsidRPr="00DC65D8">
        <w:rPr>
          <w:snapToGrid w:val="0"/>
          <w:color w:val="000000"/>
          <w:kern w:val="22"/>
          <w:szCs w:val="22"/>
        </w:rPr>
        <w:t>Youth Love Egypt Foundation</w:t>
      </w:r>
    </w:p>
    <w:p w:rsidR="00DF5921" w:rsidRDefault="00DF5921" w:rsidP="00DF5921">
      <w:pPr>
        <w:bidi w:val="0"/>
        <w:spacing w:after="0" w:line="204" w:lineRule="auto"/>
        <w:ind w:left="274" w:hanging="274"/>
        <w:rPr>
          <w:snapToGrid w:val="0"/>
          <w:color w:val="000000"/>
          <w:kern w:val="22"/>
          <w:szCs w:val="22"/>
        </w:rPr>
      </w:pPr>
      <w:r w:rsidRPr="00DC65D8">
        <w:rPr>
          <w:snapToGrid w:val="0"/>
          <w:color w:val="000000"/>
          <w:kern w:val="22"/>
          <w:szCs w:val="22"/>
        </w:rPr>
        <w:t>Zoological Society of London</w:t>
      </w:r>
    </w:p>
    <w:p w:rsidR="00DF5921" w:rsidRDefault="00DF5921" w:rsidP="00DF5921">
      <w:pPr>
        <w:bidi w:val="0"/>
        <w:spacing w:after="0" w:line="204" w:lineRule="auto"/>
        <w:ind w:left="274" w:hanging="274"/>
        <w:rPr>
          <w:snapToGrid w:val="0"/>
          <w:color w:val="000000"/>
          <w:kern w:val="22"/>
          <w:szCs w:val="22"/>
        </w:rPr>
        <w:sectPr w:rsidR="00DF5921" w:rsidSect="00D709EE">
          <w:type w:val="continuous"/>
          <w:pgSz w:w="12240" w:h="15840" w:code="1"/>
          <w:pgMar w:top="1008" w:right="1440" w:bottom="1008" w:left="1440" w:header="461" w:footer="706" w:gutter="0"/>
          <w:cols w:num="2" w:space="720"/>
          <w:titlePg/>
          <w:rtlGutter/>
          <w:docGrid w:linePitch="360"/>
        </w:sectPr>
      </w:pPr>
    </w:p>
    <w:p w:rsidR="00D709EE" w:rsidRPr="00C14132" w:rsidRDefault="00D709EE" w:rsidP="00D709EE">
      <w:pPr>
        <w:bidi w:val="0"/>
        <w:spacing w:line="204" w:lineRule="auto"/>
        <w:rPr>
          <w:lang w:val="en-GB"/>
        </w:rPr>
      </w:pPr>
    </w:p>
    <w:p w:rsidR="00D709EE" w:rsidRPr="00204BF4" w:rsidRDefault="00D709EE" w:rsidP="00D709EE">
      <w:pPr>
        <w:spacing w:line="204" w:lineRule="auto"/>
        <w:jc w:val="center"/>
        <w:rPr>
          <w:b/>
          <w:bCs/>
          <w:i/>
          <w:iCs/>
          <w:rtl/>
        </w:rPr>
      </w:pPr>
      <w:r w:rsidRPr="00204BF4">
        <w:rPr>
          <w:rFonts w:hint="cs"/>
          <w:b/>
          <w:bCs/>
          <w:i/>
          <w:iCs/>
          <w:rtl/>
        </w:rPr>
        <w:t>واو -</w:t>
      </w:r>
      <w:r w:rsidRPr="00204BF4">
        <w:rPr>
          <w:rFonts w:hint="cs"/>
          <w:b/>
          <w:bCs/>
          <w:i/>
          <w:iCs/>
          <w:rtl/>
        </w:rPr>
        <w:tab/>
        <w:t>الصناعة</w:t>
      </w:r>
    </w:p>
    <w:p w:rsidR="00D709EE" w:rsidRDefault="00D709EE" w:rsidP="00D709EE">
      <w:pPr>
        <w:bidi w:val="0"/>
        <w:spacing w:line="204" w:lineRule="auto"/>
        <w:rPr>
          <w:lang w:val="en-GB"/>
        </w:rPr>
        <w:sectPr w:rsidR="00D709EE" w:rsidSect="00D709EE">
          <w:type w:val="continuous"/>
          <w:pgSz w:w="12240" w:h="15840" w:code="1"/>
          <w:pgMar w:top="1008" w:right="1440" w:bottom="1008" w:left="1440" w:header="461" w:footer="706" w:gutter="0"/>
          <w:cols w:space="708"/>
          <w:titlePg/>
          <w:bidi/>
          <w:rtlGutter/>
          <w:docGrid w:linePitch="360"/>
        </w:sectPr>
      </w:pP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lastRenderedPageBreak/>
        <w:t>ABS-int</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Ajinomoto Co. Inc.</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Al Badr for Investments FROZENA</w:t>
      </w:r>
    </w:p>
    <w:p w:rsidR="006220B2" w:rsidRPr="006220B2" w:rsidRDefault="006220B2" w:rsidP="006220B2">
      <w:pPr>
        <w:bidi w:val="0"/>
        <w:spacing w:after="0" w:line="204" w:lineRule="auto"/>
        <w:ind w:left="284" w:hanging="284"/>
        <w:jc w:val="left"/>
        <w:rPr>
          <w:rFonts w:cs="Times New Roman"/>
          <w:kern w:val="22"/>
          <w:szCs w:val="22"/>
          <w:lang w:val="en-CA"/>
        </w:rPr>
      </w:pPr>
      <w:r w:rsidRPr="006220B2">
        <w:rPr>
          <w:rFonts w:cs="Times New Roman"/>
          <w:kern w:val="22"/>
          <w:szCs w:val="22"/>
          <w:lang w:val="en-CA"/>
        </w:rPr>
        <w:t>ASN Bank</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Association Française des Entreprises pour l’Environnement</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Beijing Minghong Science and Trade Co., Ltd.</w:t>
      </w:r>
    </w:p>
    <w:p w:rsidR="006220B2" w:rsidRPr="006220B2" w:rsidRDefault="006220B2" w:rsidP="006220B2">
      <w:pPr>
        <w:bidi w:val="0"/>
        <w:spacing w:after="0" w:line="204" w:lineRule="auto"/>
        <w:ind w:left="284" w:hanging="284"/>
        <w:jc w:val="left"/>
        <w:rPr>
          <w:rFonts w:cs="Times New Roman"/>
          <w:kern w:val="22"/>
          <w:szCs w:val="22"/>
          <w:lang w:val="pt-PT"/>
        </w:rPr>
      </w:pPr>
      <w:r w:rsidRPr="006220B2">
        <w:rPr>
          <w:rFonts w:cs="Times New Roman"/>
          <w:kern w:val="22"/>
          <w:szCs w:val="22"/>
          <w:lang w:val="pt-PT"/>
        </w:rPr>
        <w:t>Beraca Ingredientes Naturais S.A.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BIOCARE INDIA PVT Ltd.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 xml:space="preserve">Biodiversity Partnership Mesoamerica </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Biotechnology Innovation Organization</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Caisse des Dépôts et Consignations</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CDC Biodiversité</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Commercial International Bank (CIB)</w:t>
      </w:r>
    </w:p>
    <w:p w:rsidR="006220B2" w:rsidRPr="006220B2" w:rsidRDefault="006220B2" w:rsidP="006220B2">
      <w:pPr>
        <w:bidi w:val="0"/>
        <w:spacing w:after="0" w:line="204" w:lineRule="auto"/>
        <w:ind w:left="284" w:hanging="284"/>
        <w:jc w:val="left"/>
        <w:rPr>
          <w:rFonts w:cs="Times New Roman"/>
          <w:kern w:val="22"/>
          <w:szCs w:val="22"/>
          <w:lang w:val="fr-FR"/>
        </w:rPr>
      </w:pPr>
      <w:r w:rsidRPr="006220B2">
        <w:rPr>
          <w:rFonts w:cs="Times New Roman"/>
          <w:kern w:val="22"/>
          <w:szCs w:val="22"/>
          <w:lang w:val="fr-FR"/>
        </w:rPr>
        <w:t>Concepta Ingredients</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Conictus</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CropLife International</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 xml:space="preserve">eFresh Agribusiness Solutions Pvt Ltd </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Enel SpA</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ENI</w:t>
      </w:r>
    </w:p>
    <w:p w:rsidR="006220B2" w:rsidRPr="00477B14" w:rsidRDefault="006220B2" w:rsidP="006220B2">
      <w:pPr>
        <w:bidi w:val="0"/>
        <w:spacing w:after="0" w:line="204" w:lineRule="auto"/>
        <w:ind w:left="284" w:hanging="284"/>
        <w:jc w:val="left"/>
        <w:rPr>
          <w:rFonts w:cs="Times New Roman"/>
          <w:kern w:val="22"/>
          <w:szCs w:val="22"/>
          <w:lang w:val="fr-FR"/>
        </w:rPr>
      </w:pPr>
      <w:r w:rsidRPr="00477B14">
        <w:rPr>
          <w:rFonts w:cs="Times New Roman"/>
          <w:kern w:val="22"/>
          <w:szCs w:val="22"/>
          <w:lang w:val="fr-FR"/>
        </w:rPr>
        <w:t>Expediciones Biosfera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lastRenderedPageBreak/>
        <w:t>Facebook AI Computer Vision Organization</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FIRMENICH</w:t>
      </w:r>
    </w:p>
    <w:p w:rsidR="006220B2" w:rsidRPr="006220B2" w:rsidRDefault="006220B2" w:rsidP="006220B2">
      <w:pPr>
        <w:bidi w:val="0"/>
        <w:spacing w:after="0" w:line="204" w:lineRule="auto"/>
        <w:ind w:left="284" w:hanging="284"/>
        <w:jc w:val="left"/>
        <w:rPr>
          <w:rFonts w:cs="Times New Roman"/>
          <w:kern w:val="22"/>
          <w:szCs w:val="22"/>
          <w:lang w:val="en-CA"/>
        </w:rPr>
      </w:pPr>
      <w:r w:rsidRPr="006220B2">
        <w:rPr>
          <w:rFonts w:cs="Times New Roman"/>
          <w:kern w:val="22"/>
          <w:szCs w:val="22"/>
          <w:lang w:val="en-CA"/>
        </w:rPr>
        <w:t>Fondation Yves Rocher</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Gates Foundation</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Global Compact Network Egypt</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Global Industry Coalition</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GoldenBee Corporate Social Responsibility Consulting</w:t>
      </w:r>
    </w:p>
    <w:p w:rsidR="006220B2" w:rsidRPr="00477B14" w:rsidRDefault="006220B2" w:rsidP="006220B2">
      <w:pPr>
        <w:bidi w:val="0"/>
        <w:spacing w:after="0" w:line="204" w:lineRule="auto"/>
        <w:ind w:left="284" w:hanging="284"/>
        <w:jc w:val="left"/>
        <w:rPr>
          <w:rFonts w:cs="Times New Roman"/>
          <w:kern w:val="22"/>
          <w:szCs w:val="22"/>
        </w:rPr>
      </w:pPr>
      <w:r w:rsidRPr="00477B14">
        <w:rPr>
          <w:rFonts w:cs="Times New Roman"/>
          <w:kern w:val="22"/>
          <w:szCs w:val="22"/>
        </w:rPr>
        <w:t>Habitats ApS</w:t>
      </w:r>
    </w:p>
    <w:p w:rsidR="006220B2" w:rsidRPr="00477B14" w:rsidRDefault="006220B2" w:rsidP="006220B2">
      <w:pPr>
        <w:bidi w:val="0"/>
        <w:spacing w:after="0" w:line="204" w:lineRule="auto"/>
        <w:ind w:left="284" w:hanging="284"/>
        <w:jc w:val="left"/>
        <w:rPr>
          <w:rFonts w:cs="Times New Roman"/>
          <w:kern w:val="22"/>
          <w:szCs w:val="22"/>
        </w:rPr>
      </w:pPr>
      <w:r w:rsidRPr="00477B14">
        <w:rPr>
          <w:rFonts w:cs="Times New Roman"/>
          <w:kern w:val="22"/>
          <w:szCs w:val="22"/>
        </w:rPr>
        <w:t>HeidelbergCement A.G.</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 xml:space="preserve">India Business &amp; Biodiversity Initiative </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Inner Mongolia Yili Industrial Group Co. Ltd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International Chamber of Commerce</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International Federation of Pharmaceutical Manufacturers and Associations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International Seed Federation</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Iora Ecological Solutions (INDIA)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IPIECA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Jain Irrigation systems Ltd (India)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Japan Business Initiative for Biodiversity</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Juhayna Food Industries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lastRenderedPageBreak/>
        <w:t>Keidanren Committee on Nature Conservation</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kering</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 xml:space="preserve">Korea Business Council for Sustainable Development </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Levin Sources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Natura Cosmetics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Nimura Genetic solutions Co., Ltd.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NTPC Limited (Power Generation Company)</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PROTEAK</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PROVITAL Groupe</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RAM Rating Services Berhad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SARAYA Co., LTD.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Savannah Tracking Ltd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Shell Petroleum Development Co. Limited. Nigeria</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Smart Parks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 xml:space="preserve">Sony Computer Science Laboratories Inc. </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lastRenderedPageBreak/>
        <w:t>South Pole</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The 4 Electrical and Electronic Industry Associations</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The Biodiversity Consultancy</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The Greener Ethanol Protocol</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The Union for Ethical BioTrade</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TOTAL</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Unilever UK Limited</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noProof/>
          <w:kern w:val="22"/>
          <w:szCs w:val="22"/>
        </w:rPr>
        <w:t>UPM - Kymmene</w:t>
      </w:r>
      <w:r w:rsidRPr="006220B2">
        <w:rPr>
          <w:rFonts w:cs="Times New Roman"/>
          <w:kern w:val="22"/>
          <w:szCs w:val="22"/>
        </w:rPr>
        <w:t xml:space="preserve"> Corporation</w:t>
      </w:r>
    </w:p>
    <w:p w:rsidR="006220B2" w:rsidRPr="00477B14" w:rsidRDefault="006220B2" w:rsidP="006220B2">
      <w:pPr>
        <w:bidi w:val="0"/>
        <w:spacing w:after="0" w:line="204" w:lineRule="auto"/>
        <w:ind w:left="284" w:hanging="284"/>
        <w:jc w:val="left"/>
        <w:rPr>
          <w:rFonts w:cs="Times New Roman"/>
          <w:kern w:val="22"/>
          <w:szCs w:val="22"/>
          <w:lang w:val="es-AR"/>
        </w:rPr>
      </w:pPr>
      <w:r w:rsidRPr="00477B14">
        <w:rPr>
          <w:rFonts w:cs="Times New Roman"/>
          <w:kern w:val="22"/>
          <w:szCs w:val="22"/>
          <w:lang w:val="es-AR"/>
        </w:rPr>
        <w:t>VALE S.A.</w:t>
      </w:r>
    </w:p>
    <w:p w:rsidR="006220B2" w:rsidRPr="00477B14" w:rsidRDefault="006220B2" w:rsidP="006220B2">
      <w:pPr>
        <w:bidi w:val="0"/>
        <w:spacing w:after="0" w:line="204" w:lineRule="auto"/>
        <w:ind w:left="284" w:hanging="284"/>
        <w:jc w:val="left"/>
        <w:rPr>
          <w:rFonts w:cs="Times New Roman"/>
          <w:kern w:val="22"/>
          <w:szCs w:val="22"/>
          <w:lang w:val="es-AR"/>
        </w:rPr>
      </w:pPr>
      <w:r w:rsidRPr="00477B14">
        <w:rPr>
          <w:rFonts w:cs="Times New Roman"/>
          <w:kern w:val="22"/>
          <w:szCs w:val="22"/>
          <w:lang w:val="es-AR"/>
        </w:rPr>
        <w:t>Vulcan Inc.</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W.S. Badger Company, Inc.</w:t>
      </w:r>
    </w:p>
    <w:p w:rsidR="006220B2" w:rsidRPr="006220B2" w:rsidRDefault="006220B2" w:rsidP="006220B2">
      <w:pPr>
        <w:bidi w:val="0"/>
        <w:spacing w:after="0" w:line="204" w:lineRule="auto"/>
        <w:ind w:left="284" w:hanging="284"/>
        <w:jc w:val="left"/>
        <w:rPr>
          <w:rFonts w:cs="Times New Roman"/>
          <w:kern w:val="22"/>
          <w:szCs w:val="22"/>
        </w:rPr>
      </w:pPr>
      <w:r w:rsidRPr="006220B2">
        <w:rPr>
          <w:rFonts w:cs="Times New Roman"/>
          <w:kern w:val="22"/>
          <w:szCs w:val="22"/>
        </w:rPr>
        <w:t>World Business Council for Sustainable Development</w:t>
      </w:r>
    </w:p>
    <w:p w:rsidR="00D709EE" w:rsidRPr="006220B2" w:rsidRDefault="006220B2" w:rsidP="006220B2">
      <w:pPr>
        <w:bidi w:val="0"/>
        <w:spacing w:after="0" w:line="204" w:lineRule="auto"/>
        <w:ind w:left="360" w:hanging="360"/>
        <w:rPr>
          <w:rFonts w:cs="Times New Roman"/>
          <w:szCs w:val="22"/>
          <w:lang w:val="en-GB"/>
        </w:rPr>
      </w:pPr>
      <w:r w:rsidRPr="006220B2">
        <w:rPr>
          <w:rFonts w:cs="Times New Roman"/>
          <w:kern w:val="22"/>
          <w:szCs w:val="22"/>
        </w:rPr>
        <w:t>ZADNA for Agriculture Investment Co.</w:t>
      </w:r>
      <w:r w:rsidR="00D709EE" w:rsidRPr="006220B2">
        <w:rPr>
          <w:rFonts w:cs="Times New Roman"/>
          <w:szCs w:val="22"/>
          <w:lang w:val="en-GB"/>
        </w:rPr>
        <w:t>Youngone Corporation</w:t>
      </w:r>
    </w:p>
    <w:p w:rsidR="00D709EE" w:rsidRDefault="00D709EE" w:rsidP="00D709EE">
      <w:pPr>
        <w:bidi w:val="0"/>
        <w:spacing w:line="204" w:lineRule="auto"/>
        <w:sectPr w:rsidR="00D709EE" w:rsidSect="00D709EE">
          <w:type w:val="continuous"/>
          <w:pgSz w:w="12240" w:h="15840" w:code="1"/>
          <w:pgMar w:top="1008" w:right="1440" w:bottom="1008" w:left="1440" w:header="461" w:footer="706" w:gutter="0"/>
          <w:cols w:num="2" w:space="720"/>
          <w:titlePg/>
          <w:rtlGutter/>
          <w:docGrid w:linePitch="360"/>
        </w:sectPr>
      </w:pPr>
    </w:p>
    <w:p w:rsidR="00D709EE" w:rsidRPr="00C14132" w:rsidRDefault="00D709EE" w:rsidP="00D709EE">
      <w:pPr>
        <w:bidi w:val="0"/>
        <w:spacing w:line="204" w:lineRule="auto"/>
      </w:pPr>
    </w:p>
    <w:p w:rsidR="006220B2" w:rsidRDefault="00D709EE" w:rsidP="00D709EE">
      <w:pPr>
        <w:spacing w:line="204" w:lineRule="auto"/>
        <w:jc w:val="center"/>
        <w:rPr>
          <w:b/>
          <w:bCs/>
          <w:i/>
          <w:iCs/>
          <w:rtl/>
        </w:rPr>
        <w:sectPr w:rsidR="006220B2" w:rsidSect="00D709EE">
          <w:type w:val="continuous"/>
          <w:pgSz w:w="12240" w:h="15840" w:code="1"/>
          <w:pgMar w:top="1008" w:right="1440" w:bottom="1008" w:left="1440" w:header="461" w:footer="706" w:gutter="0"/>
          <w:cols w:space="708"/>
          <w:titlePg/>
          <w:bidi/>
          <w:rtlGutter/>
          <w:docGrid w:linePitch="360"/>
        </w:sectPr>
      </w:pPr>
      <w:r w:rsidRPr="00204BF4">
        <w:rPr>
          <w:rFonts w:hint="cs"/>
          <w:b/>
          <w:bCs/>
          <w:i/>
          <w:iCs/>
          <w:rtl/>
        </w:rPr>
        <w:t>زاي -</w:t>
      </w:r>
      <w:r w:rsidRPr="00204BF4">
        <w:rPr>
          <w:rFonts w:hint="cs"/>
          <w:b/>
          <w:bCs/>
          <w:i/>
          <w:iCs/>
          <w:rtl/>
        </w:rPr>
        <w:tab/>
      </w:r>
      <w:r w:rsidR="006220B2">
        <w:rPr>
          <w:rFonts w:hint="cs"/>
          <w:b/>
          <w:bCs/>
          <w:i/>
          <w:iCs/>
          <w:rtl/>
        </w:rPr>
        <w:t>السلطات المحلية</w:t>
      </w:r>
    </w:p>
    <w:p w:rsidR="006220B2" w:rsidRPr="00DC65D8" w:rsidRDefault="006220B2" w:rsidP="006220B2">
      <w:pPr>
        <w:bidi w:val="0"/>
        <w:spacing w:after="0" w:line="204" w:lineRule="auto"/>
        <w:ind w:left="360" w:hanging="360"/>
        <w:jc w:val="left"/>
        <w:rPr>
          <w:kern w:val="22"/>
        </w:rPr>
      </w:pPr>
      <w:r w:rsidRPr="00DC65D8">
        <w:rPr>
          <w:kern w:val="22"/>
        </w:rPr>
        <w:lastRenderedPageBreak/>
        <w:t>Aichi Prefecture (Japan)</w:t>
      </w:r>
    </w:p>
    <w:p w:rsidR="006220B2" w:rsidRPr="00DC65D8" w:rsidRDefault="006220B2" w:rsidP="006220B2">
      <w:pPr>
        <w:bidi w:val="0"/>
        <w:spacing w:after="0" w:line="204" w:lineRule="auto"/>
        <w:ind w:left="360" w:hanging="360"/>
        <w:jc w:val="left"/>
        <w:rPr>
          <w:kern w:val="22"/>
        </w:rPr>
      </w:pPr>
      <w:r w:rsidRPr="00DC65D8">
        <w:rPr>
          <w:kern w:val="22"/>
        </w:rPr>
        <w:t>Gangwon Province (Republic of Korea)</w:t>
      </w:r>
    </w:p>
    <w:p w:rsidR="006220B2" w:rsidRDefault="006220B2" w:rsidP="006220B2">
      <w:pPr>
        <w:bidi w:val="0"/>
        <w:spacing w:after="0" w:line="204" w:lineRule="auto"/>
        <w:ind w:left="360" w:hanging="360"/>
        <w:jc w:val="left"/>
        <w:rPr>
          <w:kern w:val="22"/>
        </w:rPr>
        <w:sectPr w:rsidR="006220B2" w:rsidSect="006220B2">
          <w:type w:val="continuous"/>
          <w:pgSz w:w="12240" w:h="15840" w:code="1"/>
          <w:pgMar w:top="1008" w:right="1440" w:bottom="1008" w:left="1440" w:header="461" w:footer="706" w:gutter="0"/>
          <w:cols w:num="2" w:space="706"/>
          <w:titlePg/>
          <w:rtlGutter/>
          <w:docGrid w:linePitch="360"/>
        </w:sectPr>
      </w:pPr>
      <w:r w:rsidRPr="00DC65D8">
        <w:rPr>
          <w:kern w:val="22"/>
        </w:rPr>
        <w:lastRenderedPageBreak/>
        <w:t>Madinah Region Development Authority (Saudi Arabia)</w:t>
      </w:r>
    </w:p>
    <w:p w:rsidR="006220B2" w:rsidRPr="00DC65D8" w:rsidRDefault="006220B2" w:rsidP="006220B2">
      <w:pPr>
        <w:bidi w:val="0"/>
        <w:spacing w:after="0" w:line="204" w:lineRule="auto"/>
        <w:ind w:left="360" w:hanging="360"/>
        <w:rPr>
          <w:kern w:val="22"/>
        </w:rPr>
      </w:pPr>
    </w:p>
    <w:p w:rsidR="00D709EE" w:rsidRPr="00204BF4" w:rsidRDefault="00D709EE" w:rsidP="00D709EE">
      <w:pPr>
        <w:spacing w:line="204" w:lineRule="auto"/>
        <w:jc w:val="center"/>
        <w:rPr>
          <w:b/>
          <w:bCs/>
          <w:i/>
          <w:iCs/>
          <w:rtl/>
        </w:rPr>
      </w:pPr>
      <w:r w:rsidRPr="00204BF4">
        <w:rPr>
          <w:rFonts w:hint="cs"/>
          <w:b/>
          <w:bCs/>
          <w:i/>
          <w:iCs/>
          <w:rtl/>
        </w:rPr>
        <w:t>الشباب</w:t>
      </w:r>
    </w:p>
    <w:p w:rsidR="00D709EE" w:rsidRPr="006220B2" w:rsidRDefault="00D709EE" w:rsidP="00D709EE">
      <w:pPr>
        <w:bidi w:val="0"/>
        <w:spacing w:line="204" w:lineRule="auto"/>
        <w:rPr>
          <w:rtl/>
        </w:rPr>
        <w:sectPr w:rsidR="00D709EE" w:rsidRPr="006220B2" w:rsidSect="00D709EE">
          <w:type w:val="continuous"/>
          <w:pgSz w:w="12240" w:h="15840" w:code="1"/>
          <w:pgMar w:top="1008" w:right="1440" w:bottom="1008" w:left="1440" w:header="461" w:footer="706" w:gutter="0"/>
          <w:cols w:space="708"/>
          <w:titlePg/>
          <w:bidi/>
          <w:rtlGutter/>
          <w:docGrid w:linePitch="360"/>
        </w:sectPr>
      </w:pPr>
    </w:p>
    <w:p w:rsidR="006220B2" w:rsidRDefault="006220B2" w:rsidP="00982D91">
      <w:pPr>
        <w:bidi w:val="0"/>
        <w:spacing w:after="0" w:line="204" w:lineRule="auto"/>
        <w:jc w:val="left"/>
        <w:rPr>
          <w:kern w:val="22"/>
        </w:rPr>
        <w:sectPr w:rsidR="006220B2" w:rsidSect="00D709EE">
          <w:type w:val="continuous"/>
          <w:pgSz w:w="12240" w:h="15840" w:code="1"/>
          <w:pgMar w:top="1008" w:right="1440" w:bottom="1008" w:left="1440" w:header="461" w:footer="706" w:gutter="0"/>
          <w:cols w:num="2" w:space="706"/>
          <w:titlePg/>
          <w:rtlGutter/>
          <w:docGrid w:linePitch="360"/>
        </w:sectPr>
      </w:pPr>
      <w:r w:rsidRPr="00DC65D8">
        <w:rPr>
          <w:kern w:val="22"/>
        </w:rPr>
        <w:lastRenderedPageBreak/>
        <w:t>Global Youth Biodiversity Network</w:t>
      </w:r>
    </w:p>
    <w:p w:rsidR="006220B2" w:rsidRPr="00DC65D8" w:rsidRDefault="006220B2" w:rsidP="006220B2">
      <w:pPr>
        <w:bidi w:val="0"/>
        <w:spacing w:after="0" w:line="204" w:lineRule="auto"/>
        <w:rPr>
          <w:kern w:val="22"/>
        </w:rPr>
      </w:pPr>
      <w:r w:rsidRPr="00DC65D8">
        <w:rPr>
          <w:kern w:val="22"/>
        </w:rPr>
        <w:lastRenderedPageBreak/>
        <w:t>Japan Biodiversity Youth Network</w:t>
      </w:r>
    </w:p>
    <w:p w:rsidR="006220B2" w:rsidRPr="008427BB" w:rsidRDefault="006220B2" w:rsidP="006220B2">
      <w:pPr>
        <w:bidi w:val="0"/>
        <w:spacing w:after="0" w:line="204" w:lineRule="auto"/>
        <w:rPr>
          <w:kern w:val="22"/>
          <w:szCs w:val="22"/>
          <w:lang w:val="de-DE"/>
        </w:rPr>
      </w:pPr>
      <w:r w:rsidRPr="008427BB">
        <w:rPr>
          <w:kern w:val="22"/>
          <w:lang w:val="de-DE"/>
        </w:rPr>
        <w:t>Naturschutzjugend - NAJU</w:t>
      </w:r>
    </w:p>
    <w:p w:rsidR="00D709EE" w:rsidRPr="00C14132" w:rsidRDefault="00D709EE" w:rsidP="00D709EE">
      <w:pPr>
        <w:bidi w:val="0"/>
        <w:spacing w:line="204" w:lineRule="auto"/>
        <w:rPr>
          <w:lang w:val="en-CA"/>
        </w:rPr>
      </w:pPr>
    </w:p>
    <w:p w:rsidR="00D709EE" w:rsidRPr="00204BF4" w:rsidRDefault="00225000" w:rsidP="00D709EE">
      <w:pPr>
        <w:spacing w:line="204" w:lineRule="auto"/>
        <w:jc w:val="center"/>
        <w:rPr>
          <w:b/>
          <w:bCs/>
          <w:i/>
          <w:iCs/>
          <w:rtl/>
        </w:rPr>
      </w:pPr>
      <w:r>
        <w:rPr>
          <w:rFonts w:hint="cs"/>
          <w:b/>
          <w:bCs/>
          <w:i/>
          <w:iCs/>
          <w:rtl/>
        </w:rPr>
        <w:t>المراقبون</w:t>
      </w:r>
    </w:p>
    <w:p w:rsidR="00D709EE" w:rsidRDefault="00D709EE" w:rsidP="00D709EE">
      <w:pPr>
        <w:bidi w:val="0"/>
        <w:spacing w:line="204" w:lineRule="auto"/>
        <w:rPr>
          <w:lang w:val="en-GB"/>
        </w:rPr>
        <w:sectPr w:rsidR="00D709EE" w:rsidSect="00D709EE">
          <w:type w:val="continuous"/>
          <w:pgSz w:w="12240" w:h="15840" w:code="1"/>
          <w:pgMar w:top="1008" w:right="1440" w:bottom="1008" w:left="1440" w:header="461" w:footer="706" w:gutter="0"/>
          <w:cols w:space="708"/>
          <w:titlePg/>
          <w:bidi/>
          <w:rtlGutter/>
          <w:docGrid w:linePitch="360"/>
        </w:sectPr>
      </w:pPr>
    </w:p>
    <w:p w:rsidR="00225000" w:rsidRPr="00285DD9" w:rsidRDefault="00225000" w:rsidP="00225000">
      <w:pPr>
        <w:bidi w:val="0"/>
        <w:spacing w:after="0" w:line="204" w:lineRule="auto"/>
        <w:ind w:left="284" w:hanging="284"/>
        <w:jc w:val="left"/>
        <w:rPr>
          <w:kern w:val="22"/>
        </w:rPr>
      </w:pPr>
      <w:r w:rsidRPr="00285DD9">
        <w:rPr>
          <w:kern w:val="22"/>
        </w:rPr>
        <w:lastRenderedPageBreak/>
        <w:t>ABS Capacity Development Initiative</w:t>
      </w:r>
    </w:p>
    <w:p w:rsidR="00225000" w:rsidRPr="00DC65D8" w:rsidRDefault="00225000" w:rsidP="00225000">
      <w:pPr>
        <w:bidi w:val="0"/>
        <w:spacing w:after="0" w:line="204" w:lineRule="auto"/>
        <w:ind w:left="284" w:hanging="284"/>
        <w:jc w:val="left"/>
        <w:rPr>
          <w:kern w:val="22"/>
        </w:rPr>
      </w:pPr>
      <w:r w:rsidRPr="00DC65D8">
        <w:rPr>
          <w:kern w:val="22"/>
        </w:rPr>
        <w:t>Andhra Pradesh State Biodiversity Board</w:t>
      </w:r>
    </w:p>
    <w:p w:rsidR="00225000" w:rsidRPr="00DC65D8" w:rsidRDefault="00225000" w:rsidP="00225000">
      <w:pPr>
        <w:bidi w:val="0"/>
        <w:spacing w:after="0" w:line="204" w:lineRule="auto"/>
        <w:ind w:left="284" w:hanging="284"/>
        <w:jc w:val="left"/>
        <w:rPr>
          <w:kern w:val="22"/>
        </w:rPr>
      </w:pPr>
      <w:r w:rsidRPr="00DC65D8">
        <w:rPr>
          <w:kern w:val="22"/>
        </w:rPr>
        <w:t>Biotech Consortium India Limited (BCIL)</w:t>
      </w:r>
    </w:p>
    <w:p w:rsidR="00225000" w:rsidRPr="00285DD9" w:rsidRDefault="00225000" w:rsidP="00225000">
      <w:pPr>
        <w:bidi w:val="0"/>
        <w:spacing w:after="0" w:line="204" w:lineRule="auto"/>
        <w:ind w:left="284" w:hanging="284"/>
        <w:jc w:val="left"/>
        <w:rPr>
          <w:kern w:val="22"/>
        </w:rPr>
      </w:pPr>
      <w:r w:rsidRPr="00285DD9">
        <w:rPr>
          <w:kern w:val="22"/>
        </w:rPr>
        <w:t>COP:14: Science for Biodiversity Forum</w:t>
      </w:r>
    </w:p>
    <w:p w:rsidR="00225000" w:rsidRPr="00285DD9" w:rsidRDefault="00225000" w:rsidP="00225000">
      <w:pPr>
        <w:bidi w:val="0"/>
        <w:spacing w:after="0" w:line="204" w:lineRule="auto"/>
        <w:ind w:left="284" w:hanging="284"/>
        <w:jc w:val="left"/>
        <w:rPr>
          <w:kern w:val="22"/>
        </w:rPr>
      </w:pPr>
      <w:r w:rsidRPr="008427BB">
        <w:rPr>
          <w:kern w:val="22"/>
        </w:rPr>
        <w:t>Danish Parliament</w:t>
      </w:r>
    </w:p>
    <w:p w:rsidR="00225000" w:rsidRPr="00285DD9" w:rsidRDefault="00225000" w:rsidP="00225000">
      <w:pPr>
        <w:bidi w:val="0"/>
        <w:spacing w:after="0" w:line="204" w:lineRule="auto"/>
        <w:ind w:left="284" w:hanging="284"/>
        <w:jc w:val="left"/>
        <w:rPr>
          <w:kern w:val="22"/>
        </w:rPr>
      </w:pPr>
      <w:r w:rsidRPr="008427BB">
        <w:rPr>
          <w:kern w:val="22"/>
        </w:rPr>
        <w:t>Department of the Environment and Energy</w:t>
      </w:r>
    </w:p>
    <w:p w:rsidR="00225000" w:rsidRPr="00DC65D8" w:rsidRDefault="00225000" w:rsidP="00225000">
      <w:pPr>
        <w:bidi w:val="0"/>
        <w:spacing w:after="0" w:line="204" w:lineRule="auto"/>
        <w:ind w:left="284" w:hanging="284"/>
        <w:jc w:val="left"/>
        <w:rPr>
          <w:kern w:val="22"/>
        </w:rPr>
      </w:pPr>
      <w:r w:rsidRPr="00DC65D8">
        <w:rPr>
          <w:snapToGrid w:val="0"/>
          <w:color w:val="000000"/>
          <w:kern w:val="22"/>
          <w:szCs w:val="22"/>
          <w:lang w:val="de-DE"/>
        </w:rPr>
        <w:t>Deutsche Gesellschaft für Internationale Zusammenarbeit (</w:t>
      </w:r>
      <w:r w:rsidRPr="00DC65D8">
        <w:rPr>
          <w:kern w:val="22"/>
        </w:rPr>
        <w:t>GIZ)</w:t>
      </w:r>
    </w:p>
    <w:p w:rsidR="00225000" w:rsidRPr="00DC65D8" w:rsidRDefault="00225000" w:rsidP="00225000">
      <w:pPr>
        <w:bidi w:val="0"/>
        <w:spacing w:after="0" w:line="204" w:lineRule="auto"/>
        <w:ind w:left="284" w:hanging="284"/>
        <w:jc w:val="left"/>
        <w:rPr>
          <w:noProof/>
          <w:kern w:val="22"/>
        </w:rPr>
      </w:pPr>
      <w:r w:rsidRPr="00DC65D8">
        <w:rPr>
          <w:noProof/>
          <w:kern w:val="22"/>
        </w:rPr>
        <w:t>EcoShape</w:t>
      </w:r>
    </w:p>
    <w:p w:rsidR="00225000" w:rsidRPr="00DC65D8" w:rsidRDefault="00225000" w:rsidP="00225000">
      <w:pPr>
        <w:bidi w:val="0"/>
        <w:spacing w:after="0" w:line="204" w:lineRule="auto"/>
        <w:ind w:left="284" w:hanging="284"/>
        <w:jc w:val="left"/>
        <w:rPr>
          <w:kern w:val="22"/>
        </w:rPr>
      </w:pPr>
      <w:r w:rsidRPr="00DC65D8">
        <w:rPr>
          <w:kern w:val="22"/>
        </w:rPr>
        <w:t>Finnish Wildlife Agency</w:t>
      </w:r>
    </w:p>
    <w:p w:rsidR="00225000" w:rsidRPr="00DC65D8" w:rsidRDefault="00225000" w:rsidP="00225000">
      <w:pPr>
        <w:bidi w:val="0"/>
        <w:spacing w:after="0" w:line="204" w:lineRule="auto"/>
        <w:ind w:left="284" w:hanging="284"/>
        <w:jc w:val="left"/>
        <w:rPr>
          <w:kern w:val="22"/>
        </w:rPr>
      </w:pPr>
      <w:r w:rsidRPr="00DC65D8">
        <w:rPr>
          <w:kern w:val="22"/>
        </w:rPr>
        <w:t>International Nitrogen Initiative</w:t>
      </w:r>
    </w:p>
    <w:p w:rsidR="00225000" w:rsidRPr="00DC65D8" w:rsidRDefault="00225000" w:rsidP="00225000">
      <w:pPr>
        <w:bidi w:val="0"/>
        <w:spacing w:after="0" w:line="204" w:lineRule="auto"/>
        <w:ind w:left="284" w:hanging="284"/>
        <w:jc w:val="left"/>
        <w:rPr>
          <w:kern w:val="22"/>
        </w:rPr>
      </w:pPr>
      <w:r w:rsidRPr="00DC65D8">
        <w:rPr>
          <w:kern w:val="22"/>
        </w:rPr>
        <w:t>Japan International Cooperation Agency</w:t>
      </w:r>
    </w:p>
    <w:p w:rsidR="00225000" w:rsidRPr="00DC65D8" w:rsidRDefault="00225000" w:rsidP="00225000">
      <w:pPr>
        <w:bidi w:val="0"/>
        <w:spacing w:after="0" w:line="204" w:lineRule="auto"/>
        <w:ind w:left="284" w:hanging="284"/>
        <w:jc w:val="left"/>
        <w:rPr>
          <w:kern w:val="22"/>
        </w:rPr>
      </w:pPr>
      <w:r w:rsidRPr="00DC65D8">
        <w:rPr>
          <w:kern w:val="22"/>
        </w:rPr>
        <w:t>Kenya Medical Research Institute</w:t>
      </w:r>
    </w:p>
    <w:p w:rsidR="00225000" w:rsidRPr="00DC65D8" w:rsidRDefault="00225000" w:rsidP="00225000">
      <w:pPr>
        <w:bidi w:val="0"/>
        <w:spacing w:after="0" w:line="204" w:lineRule="auto"/>
        <w:ind w:left="284" w:hanging="284"/>
        <w:jc w:val="left"/>
        <w:rPr>
          <w:kern w:val="22"/>
        </w:rPr>
      </w:pPr>
      <w:r w:rsidRPr="00DC65D8">
        <w:rPr>
          <w:kern w:val="22"/>
        </w:rPr>
        <w:lastRenderedPageBreak/>
        <w:t>Medical and Electronic Waste Management Project</w:t>
      </w:r>
    </w:p>
    <w:p w:rsidR="00225000" w:rsidRPr="00DC65D8" w:rsidRDefault="00225000" w:rsidP="00225000">
      <w:pPr>
        <w:bidi w:val="0"/>
        <w:spacing w:after="0" w:line="204" w:lineRule="auto"/>
        <w:ind w:left="284" w:hanging="284"/>
        <w:jc w:val="left"/>
        <w:rPr>
          <w:kern w:val="22"/>
        </w:rPr>
      </w:pPr>
      <w:r w:rsidRPr="00DC65D8">
        <w:rPr>
          <w:kern w:val="22"/>
        </w:rPr>
        <w:t>National Commission for Natural Protected Areas</w:t>
      </w:r>
    </w:p>
    <w:p w:rsidR="00225000" w:rsidRPr="00DC65D8" w:rsidRDefault="00225000" w:rsidP="00225000">
      <w:pPr>
        <w:bidi w:val="0"/>
        <w:spacing w:after="0" w:line="204" w:lineRule="auto"/>
        <w:ind w:left="284" w:hanging="284"/>
        <w:jc w:val="left"/>
        <w:rPr>
          <w:kern w:val="22"/>
        </w:rPr>
      </w:pPr>
      <w:r w:rsidRPr="00DC65D8">
        <w:rPr>
          <w:kern w:val="22"/>
        </w:rPr>
        <w:t>National Confederation of Industries</w:t>
      </w:r>
    </w:p>
    <w:p w:rsidR="00225000" w:rsidRPr="00477B14" w:rsidRDefault="00225000" w:rsidP="00225000">
      <w:pPr>
        <w:bidi w:val="0"/>
        <w:spacing w:after="0" w:line="204" w:lineRule="auto"/>
        <w:ind w:left="284" w:hanging="284"/>
        <w:jc w:val="left"/>
        <w:rPr>
          <w:kern w:val="22"/>
        </w:rPr>
      </w:pPr>
      <w:r w:rsidRPr="00477B14">
        <w:rPr>
          <w:kern w:val="22"/>
        </w:rPr>
        <w:t>Parques Nacionales Naturales de Colombia</w:t>
      </w:r>
    </w:p>
    <w:p w:rsidR="00225000" w:rsidRPr="00285DD9" w:rsidRDefault="00225000" w:rsidP="00225000">
      <w:pPr>
        <w:bidi w:val="0"/>
        <w:spacing w:after="0" w:line="204" w:lineRule="auto"/>
        <w:ind w:left="284" w:hanging="284"/>
        <w:jc w:val="left"/>
        <w:rPr>
          <w:kern w:val="22"/>
        </w:rPr>
      </w:pPr>
      <w:r w:rsidRPr="00285DD9">
        <w:rPr>
          <w:noProof/>
          <w:kern w:val="22"/>
        </w:rPr>
        <w:t>PBL</w:t>
      </w:r>
      <w:r w:rsidRPr="00285DD9">
        <w:rPr>
          <w:kern w:val="22"/>
        </w:rPr>
        <w:t xml:space="preserve"> Netherlands Environmental Assessment Agency</w:t>
      </w:r>
    </w:p>
    <w:p w:rsidR="00225000" w:rsidRPr="00285DD9" w:rsidRDefault="00225000" w:rsidP="00225000">
      <w:pPr>
        <w:bidi w:val="0"/>
        <w:spacing w:after="0" w:line="204" w:lineRule="auto"/>
        <w:ind w:left="284" w:hanging="284"/>
        <w:jc w:val="left"/>
        <w:rPr>
          <w:kern w:val="22"/>
        </w:rPr>
      </w:pPr>
      <w:r w:rsidRPr="00285DD9">
        <w:rPr>
          <w:kern w:val="22"/>
        </w:rPr>
        <w:t>Plant for the Planet Foundation</w:t>
      </w:r>
    </w:p>
    <w:p w:rsidR="00225000" w:rsidRPr="008427BB" w:rsidRDefault="00225000" w:rsidP="00225000">
      <w:pPr>
        <w:bidi w:val="0"/>
        <w:spacing w:after="0" w:line="204" w:lineRule="auto"/>
        <w:ind w:left="284" w:hanging="284"/>
        <w:jc w:val="left"/>
        <w:rPr>
          <w:kern w:val="22"/>
          <w:lang w:val="es-ES"/>
        </w:rPr>
      </w:pPr>
      <w:r w:rsidRPr="008427BB">
        <w:rPr>
          <w:kern w:val="22"/>
          <w:lang w:val="es-ES"/>
        </w:rPr>
        <w:t>Procuraduría Federal de Protección al Ambiente</w:t>
      </w:r>
    </w:p>
    <w:p w:rsidR="00225000" w:rsidRPr="00285DD9" w:rsidRDefault="00225000" w:rsidP="00225000">
      <w:pPr>
        <w:bidi w:val="0"/>
        <w:spacing w:after="0" w:line="204" w:lineRule="auto"/>
        <w:ind w:left="284" w:hanging="284"/>
        <w:jc w:val="left"/>
        <w:rPr>
          <w:kern w:val="22"/>
        </w:rPr>
      </w:pPr>
      <w:r w:rsidRPr="00285DD9">
        <w:rPr>
          <w:kern w:val="22"/>
        </w:rPr>
        <w:t>Saudi Wildlife Authority</w:t>
      </w:r>
    </w:p>
    <w:p w:rsidR="00225000" w:rsidRPr="00DC65D8" w:rsidRDefault="00225000" w:rsidP="00225000">
      <w:pPr>
        <w:bidi w:val="0"/>
        <w:spacing w:after="0" w:line="204" w:lineRule="auto"/>
        <w:ind w:left="284" w:hanging="284"/>
        <w:jc w:val="left"/>
        <w:rPr>
          <w:kern w:val="22"/>
        </w:rPr>
      </w:pPr>
      <w:r w:rsidRPr="00DC65D8">
        <w:rPr>
          <w:kern w:val="22"/>
        </w:rPr>
        <w:t>Scottish Natural Heritage</w:t>
      </w:r>
    </w:p>
    <w:p w:rsidR="00D709EE" w:rsidRPr="009D774F" w:rsidRDefault="00225000" w:rsidP="00225000">
      <w:pPr>
        <w:bidi w:val="0"/>
        <w:spacing w:after="0" w:line="204" w:lineRule="auto"/>
        <w:ind w:left="360" w:hanging="360"/>
        <w:rPr>
          <w:lang w:val="en-GB"/>
        </w:rPr>
      </w:pPr>
      <w:r w:rsidRPr="00DC65D8">
        <w:rPr>
          <w:kern w:val="22"/>
        </w:rPr>
        <w:t>USTA</w:t>
      </w:r>
    </w:p>
    <w:p w:rsidR="00D709EE" w:rsidRDefault="00D709EE" w:rsidP="00CC6399">
      <w:pPr>
        <w:bidi w:val="0"/>
        <w:spacing w:after="0" w:line="204" w:lineRule="auto"/>
        <w:ind w:left="360" w:hanging="360"/>
        <w:rPr>
          <w:lang w:val="en-CA"/>
        </w:rPr>
        <w:sectPr w:rsidR="00D709EE" w:rsidSect="00D709EE">
          <w:type w:val="continuous"/>
          <w:pgSz w:w="12240" w:h="15840" w:code="1"/>
          <w:pgMar w:top="1008" w:right="1440" w:bottom="1008" w:left="1440" w:header="461" w:footer="706" w:gutter="0"/>
          <w:cols w:num="2" w:space="720"/>
          <w:titlePg/>
          <w:rtlGutter/>
          <w:docGrid w:linePitch="360"/>
        </w:sectPr>
      </w:pPr>
    </w:p>
    <w:p w:rsidR="00D709EE" w:rsidRPr="00C14132" w:rsidRDefault="00D709EE" w:rsidP="00D709EE">
      <w:pPr>
        <w:bidi w:val="0"/>
        <w:spacing w:line="204" w:lineRule="auto"/>
        <w:rPr>
          <w:lang w:val="en-CA"/>
        </w:rPr>
      </w:pPr>
    </w:p>
    <w:p w:rsidR="0060267F" w:rsidRDefault="0060267F" w:rsidP="00293A41">
      <w:pPr>
        <w:spacing w:after="0" w:line="240" w:lineRule="auto"/>
        <w:jc w:val="left"/>
        <w:rPr>
          <w:rFonts w:ascii="Simplified Arabic" w:eastAsia="Malgun Gothic" w:hAnsi="Simplified Arabic"/>
          <w:snapToGrid w:val="0"/>
          <w:kern w:val="0"/>
          <w:sz w:val="24"/>
          <w:rtl/>
        </w:rPr>
      </w:pPr>
      <w:r>
        <w:rPr>
          <w:rFonts w:ascii="Simplified Arabic" w:hAnsi="Simplified Arabic"/>
          <w:sz w:val="24"/>
          <w:rtl/>
        </w:rPr>
        <w:br w:type="page"/>
      </w:r>
    </w:p>
    <w:p w:rsidR="0060267F" w:rsidRPr="00225000" w:rsidRDefault="0060267F" w:rsidP="00094717">
      <w:pPr>
        <w:pStyle w:val="Heading2"/>
        <w:rPr>
          <w:b w:val="0"/>
          <w:bCs w:val="0"/>
          <w:i/>
          <w:iCs/>
          <w:rtl/>
        </w:rPr>
      </w:pPr>
      <w:bookmarkStart w:id="256" w:name="_Toc6140037"/>
      <w:r w:rsidRPr="00225000">
        <w:rPr>
          <w:rFonts w:hint="cs"/>
          <w:b w:val="0"/>
          <w:bCs w:val="0"/>
          <w:i/>
          <w:iCs/>
          <w:rtl/>
        </w:rPr>
        <w:lastRenderedPageBreak/>
        <w:t>المرفق الثاني</w:t>
      </w:r>
      <w:bookmarkEnd w:id="256"/>
    </w:p>
    <w:p w:rsidR="0060267F" w:rsidRPr="00293A41" w:rsidRDefault="0060267F" w:rsidP="00094717">
      <w:pPr>
        <w:pStyle w:val="Heading2"/>
        <w:rPr>
          <w:b w:val="0"/>
          <w:bCs w:val="0"/>
          <w:sz w:val="24"/>
          <w:rtl/>
        </w:rPr>
      </w:pPr>
      <w:bookmarkStart w:id="257" w:name="_Toc6140038"/>
      <w:r w:rsidRPr="00293A41">
        <w:rPr>
          <w:rFonts w:hint="cs"/>
          <w:sz w:val="24"/>
          <w:rtl/>
        </w:rPr>
        <w:t xml:space="preserve">البيانات المدلى بها خلال </w:t>
      </w:r>
      <w:r w:rsidR="00225000">
        <w:rPr>
          <w:rFonts w:hint="cs"/>
          <w:sz w:val="24"/>
          <w:rtl/>
        </w:rPr>
        <w:t xml:space="preserve">افتتاحية </w:t>
      </w:r>
      <w:r w:rsidRPr="00293A41">
        <w:rPr>
          <w:rFonts w:hint="cs"/>
          <w:sz w:val="24"/>
          <w:rtl/>
        </w:rPr>
        <w:t>الاجتماع الرابع عشر لمؤتمر الأطراف في اتفاقية التنوع البيولوجي</w:t>
      </w:r>
      <w:bookmarkEnd w:id="257"/>
    </w:p>
    <w:p w:rsidR="0060267F" w:rsidRPr="00225000" w:rsidRDefault="0060267F" w:rsidP="00225000">
      <w:pPr>
        <w:pStyle w:val="Para10"/>
        <w:numPr>
          <w:ilvl w:val="0"/>
          <w:numId w:val="0"/>
        </w:numPr>
        <w:bidi/>
        <w:ind w:left="360"/>
        <w:jc w:val="left"/>
        <w:rPr>
          <w:rFonts w:cs="Simplified Arabic"/>
          <w:i/>
          <w:iCs/>
          <w:szCs w:val="24"/>
          <w:rtl/>
          <w:lang w:val="en-US"/>
        </w:rPr>
      </w:pPr>
      <w:r w:rsidRPr="00225000">
        <w:rPr>
          <w:rFonts w:cs="Simplified Arabic" w:hint="cs"/>
          <w:i/>
          <w:iCs/>
          <w:szCs w:val="24"/>
          <w:rtl/>
          <w:lang w:val="en-US"/>
        </w:rPr>
        <w:t xml:space="preserve">الكلمة الافتتاحية للسيد خوزيه </w:t>
      </w:r>
      <w:r w:rsidR="00A910C3" w:rsidRPr="00225000">
        <w:rPr>
          <w:rFonts w:cs="Simplified Arabic" w:hint="cs"/>
          <w:i/>
          <w:iCs/>
          <w:szCs w:val="24"/>
          <w:rtl/>
          <w:lang w:val="en-US"/>
        </w:rPr>
        <w:t xml:space="preserve">أوكتافيو </w:t>
      </w:r>
      <w:r w:rsidRPr="00225000">
        <w:rPr>
          <w:rFonts w:cs="Simplified Arabic" w:hint="cs"/>
          <w:i/>
          <w:iCs/>
          <w:szCs w:val="24"/>
          <w:rtl/>
          <w:lang w:val="en-US"/>
        </w:rPr>
        <w:t>تريب فيلانويفا، سفير المكسيك في مصر، بالنيابة عن السيد رافاييل باكيانو آلمان، وزير البيئة والموارد الطبيعية في المكسيك ورئيس مؤتمر الأطراف المنتهية ولايته</w:t>
      </w:r>
    </w:p>
    <w:p w:rsidR="0060267F" w:rsidRPr="00137D75" w:rsidRDefault="00BA3F75"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 xml:space="preserve">أشار السيد </w:t>
      </w:r>
      <w:r w:rsidR="00FA2F31" w:rsidRPr="00137D75">
        <w:rPr>
          <w:rFonts w:cs="Simplified Arabic" w:hint="cs"/>
          <w:szCs w:val="24"/>
          <w:rtl/>
          <w:lang w:val="en-US"/>
        </w:rPr>
        <w:t>ت</w:t>
      </w:r>
      <w:r w:rsidRPr="00137D75">
        <w:rPr>
          <w:rFonts w:cs="Simplified Arabic" w:hint="cs"/>
          <w:szCs w:val="24"/>
          <w:rtl/>
          <w:lang w:val="en-US"/>
        </w:rPr>
        <w:t>ريب فيلانويفا</w:t>
      </w:r>
      <w:r w:rsidR="00FA2F31" w:rsidRPr="00137D75">
        <w:rPr>
          <w:rFonts w:cs="Simplified Arabic" w:hint="cs"/>
          <w:szCs w:val="24"/>
          <w:rtl/>
          <w:lang w:val="en-US"/>
        </w:rPr>
        <w:t xml:space="preserve"> إلى أن المكسيك، بعد أن تولت رئاسة مؤتمر الأطراف في اجتماعه الثالث عشر، اعتمدت على دعم المجتمع الدولي لفكرة تعميم حفظ التنوع البيولوجي واستخدامه المستدام من أجل رفاه الجميع، على النحو الذي يجس</w:t>
      </w:r>
      <w:r w:rsidR="00A910C3" w:rsidRPr="00137D75">
        <w:rPr>
          <w:rFonts w:cs="Simplified Arabic" w:hint="cs"/>
          <w:szCs w:val="24"/>
          <w:rtl/>
          <w:lang w:val="en-US"/>
        </w:rPr>
        <w:t>د</w:t>
      </w:r>
      <w:r w:rsidR="00FA2F31" w:rsidRPr="00137D75">
        <w:rPr>
          <w:rFonts w:cs="Simplified Arabic" w:hint="cs"/>
          <w:szCs w:val="24"/>
          <w:rtl/>
          <w:lang w:val="en-US"/>
        </w:rPr>
        <w:t>ه إعلان كانكون. وأعرب عن تقديره للإرادة السياسية التي أبدتها الحكومات في الالتزام بهذا المفهو</w:t>
      </w:r>
      <w:r w:rsidR="00A910C3" w:rsidRPr="00137D75">
        <w:rPr>
          <w:rFonts w:cs="Simplified Arabic" w:hint="cs"/>
          <w:szCs w:val="24"/>
          <w:rtl/>
          <w:lang w:val="en-US"/>
        </w:rPr>
        <w:t>م</w:t>
      </w:r>
      <w:r w:rsidR="00FA2F31" w:rsidRPr="00137D75">
        <w:rPr>
          <w:rFonts w:cs="Simplified Arabic" w:hint="cs"/>
          <w:szCs w:val="24"/>
          <w:rtl/>
          <w:lang w:val="en-US"/>
        </w:rPr>
        <w:t>، الذي سيتم مواصلة مناقشته في الاجتماع الحالي، وأشار كذلك إلى أن ال</w:t>
      </w:r>
      <w:r w:rsidR="00A910C3" w:rsidRPr="00137D75">
        <w:rPr>
          <w:rFonts w:cs="Simplified Arabic" w:hint="cs"/>
          <w:szCs w:val="24"/>
          <w:rtl/>
          <w:lang w:val="en-US"/>
        </w:rPr>
        <w:t>مشاركة</w:t>
      </w:r>
      <w:r w:rsidR="00FA2F31" w:rsidRPr="00137D75">
        <w:rPr>
          <w:rFonts w:cs="Simplified Arabic" w:hint="cs"/>
          <w:szCs w:val="24"/>
          <w:rtl/>
          <w:lang w:val="en-US"/>
        </w:rPr>
        <w:t xml:space="preserve"> النشط</w:t>
      </w:r>
      <w:r w:rsidR="00A910C3" w:rsidRPr="00137D75">
        <w:rPr>
          <w:rFonts w:cs="Simplified Arabic" w:hint="cs"/>
          <w:szCs w:val="24"/>
          <w:rtl/>
          <w:lang w:val="en-US"/>
        </w:rPr>
        <w:t>ة</w:t>
      </w:r>
      <w:r w:rsidR="00FA2F31" w:rsidRPr="00137D75">
        <w:rPr>
          <w:rFonts w:cs="Simplified Arabic" w:hint="cs"/>
          <w:szCs w:val="24"/>
          <w:rtl/>
          <w:lang w:val="en-US"/>
        </w:rPr>
        <w:t xml:space="preserve"> للأطراف في الاتفاقية، مع الدول الأعضاء في هي</w:t>
      </w:r>
      <w:r w:rsidR="00A910C3" w:rsidRPr="00137D75">
        <w:rPr>
          <w:rFonts w:cs="Simplified Arabic" w:hint="cs"/>
          <w:szCs w:val="24"/>
          <w:rtl/>
          <w:lang w:val="en-US"/>
        </w:rPr>
        <w:t>ئ</w:t>
      </w:r>
      <w:r w:rsidR="00FA2F31" w:rsidRPr="00137D75">
        <w:rPr>
          <w:rFonts w:cs="Simplified Arabic" w:hint="cs"/>
          <w:szCs w:val="24"/>
          <w:rtl/>
          <w:lang w:val="en-US"/>
        </w:rPr>
        <w:t>ات أخرى في الأمم المتحدة وواضعي السياسات وأصحاب المصلحة، ضمن جملة مشاركين، وقطاعات مصايد الأسماك والزراعة والحراجة والسياحة، قد أدى إلى ظهور خطة شاملة للتأثيرات الإيجابية لتعدد</w:t>
      </w:r>
      <w:r w:rsidR="00A910C3" w:rsidRPr="00137D75">
        <w:rPr>
          <w:rFonts w:cs="Simplified Arabic" w:hint="cs"/>
          <w:szCs w:val="24"/>
          <w:rtl/>
          <w:lang w:val="en-US"/>
        </w:rPr>
        <w:t>ية الأطراف</w:t>
      </w:r>
      <w:r w:rsidR="00FA2F31" w:rsidRPr="00137D75">
        <w:rPr>
          <w:rFonts w:cs="Simplified Arabic" w:hint="cs"/>
          <w:szCs w:val="24"/>
          <w:rtl/>
          <w:lang w:val="en-US"/>
        </w:rPr>
        <w:t xml:space="preserve">. </w:t>
      </w:r>
      <w:r w:rsidR="00A910C3" w:rsidRPr="00137D75">
        <w:rPr>
          <w:rFonts w:cs="Simplified Arabic" w:hint="cs"/>
          <w:szCs w:val="24"/>
          <w:rtl/>
          <w:lang w:val="en-US"/>
        </w:rPr>
        <w:t>و</w:t>
      </w:r>
      <w:r w:rsidR="00FA2F31" w:rsidRPr="00137D75">
        <w:rPr>
          <w:rFonts w:cs="Simplified Arabic" w:hint="cs"/>
          <w:szCs w:val="24"/>
          <w:rtl/>
          <w:lang w:val="en-US"/>
        </w:rPr>
        <w:t>أضاف أن مواصلة العمل سويا، مع مشاركة الشعوب الأصلية، والمجتمعات الشعبية، والنساء والشباب، والأوساط الأكاديمية، والمجتمع المدني والقطاع الخاص من شأنه أن يحرز تقدم إضافي في تحقيق الخطة الاستراتيجية للتنوع البيولوجي 2011-2020 وتنفيذ أهداف ايشي للتنوع البيولوجي، فضلا عن تحقيق خطة التنمية المستدامة لعام 2030.</w:t>
      </w:r>
    </w:p>
    <w:p w:rsidR="0060267F" w:rsidRPr="00137D75" w:rsidRDefault="00FA2F31"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وقال إنه منذ اختتام الاجتماع الثالث عشر، قدمت المكسيك الدعم لتنظيم الاجتماعات فيما بين الدورا</w:t>
      </w:r>
      <w:r w:rsidR="00A910C3" w:rsidRPr="00137D75">
        <w:rPr>
          <w:rFonts w:cs="Simplified Arabic" w:hint="cs"/>
          <w:szCs w:val="24"/>
          <w:rtl/>
          <w:lang w:val="en-US"/>
        </w:rPr>
        <w:t>ت</w:t>
      </w:r>
      <w:r w:rsidRPr="00137D75">
        <w:rPr>
          <w:rFonts w:cs="Simplified Arabic" w:hint="cs"/>
          <w:szCs w:val="24"/>
          <w:rtl/>
          <w:lang w:val="en-US"/>
        </w:rPr>
        <w:t xml:space="preserve"> للهيئة الفرعية للتنفيذ، والفريق المفتوح العضوية العامل بين الدورات ال</w:t>
      </w:r>
      <w:r w:rsidR="00A910C3" w:rsidRPr="00137D75">
        <w:rPr>
          <w:rFonts w:cs="Simplified Arabic" w:hint="cs"/>
          <w:szCs w:val="24"/>
          <w:rtl/>
          <w:lang w:val="en-US"/>
        </w:rPr>
        <w:t>م</w:t>
      </w:r>
      <w:r w:rsidRPr="00137D75">
        <w:rPr>
          <w:rFonts w:cs="Simplified Arabic" w:hint="cs"/>
          <w:szCs w:val="24"/>
          <w:rtl/>
          <w:lang w:val="en-US"/>
        </w:rPr>
        <w:t>خصص للمادة 8(ي) والأحكام المتصلة بها، والهيئة الفرعية للمشورة العلمية والتقنية والتكنولوجية، فضلا عن اعتماد مقررات وقرارات بشأن الاستخدام المستدام للتنوع البيولوجي من جانب منتديات حكومية دولية أخرى، مثل منظمة الأغذية و</w:t>
      </w:r>
      <w:r w:rsidR="00A910C3" w:rsidRPr="00137D75">
        <w:rPr>
          <w:rFonts w:cs="Simplified Arabic" w:hint="cs"/>
          <w:szCs w:val="24"/>
          <w:rtl/>
          <w:lang w:val="en-US"/>
        </w:rPr>
        <w:t>ال</w:t>
      </w:r>
      <w:r w:rsidRPr="00137D75">
        <w:rPr>
          <w:rFonts w:cs="Simplified Arabic" w:hint="cs"/>
          <w:szCs w:val="24"/>
          <w:rtl/>
          <w:lang w:val="en-US"/>
        </w:rPr>
        <w:t>زراعة للأمم المتحدة، وبرنامج الأمم المتحدة للبيئة، و</w:t>
      </w:r>
      <w:r w:rsidR="00870D53" w:rsidRPr="00137D75">
        <w:rPr>
          <w:rFonts w:cs="Simplified Arabic" w:hint="cs"/>
          <w:szCs w:val="24"/>
          <w:rtl/>
          <w:lang w:val="en-US"/>
        </w:rPr>
        <w:t>منظمة الأمم المتحدة للسياحة العالمية، ومنظمة الصحة العالمية، ومنظمة التجارة العالمية والجمعية العامة للأمم المتحدة. وبالرغم من التقدم الهام المحرز، فما زال الطريق أمامنا طويلا ويمثل تحديات، وخاصة فيما يتعلق بإعداد إطار عالمي للتنوع البيولوجي لما بعد عام 2020 لاعتماده من مؤتمر الأطراف في اجتماعه الخامس عشر.</w:t>
      </w:r>
    </w:p>
    <w:p w:rsidR="0060267F" w:rsidRPr="00137D75" w:rsidRDefault="00870D53"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وأضاف أن تعميم التنوع البيولوجي كان ضروري</w:t>
      </w:r>
      <w:r w:rsidR="00445589" w:rsidRPr="00137D75">
        <w:rPr>
          <w:rFonts w:cs="Simplified Arabic" w:hint="cs"/>
          <w:szCs w:val="24"/>
          <w:rtl/>
          <w:lang w:val="en-US"/>
        </w:rPr>
        <w:t>،</w:t>
      </w:r>
      <w:r w:rsidRPr="00137D75">
        <w:rPr>
          <w:rFonts w:cs="Simplified Arabic" w:hint="cs"/>
          <w:szCs w:val="24"/>
          <w:rtl/>
          <w:lang w:val="en-US"/>
        </w:rPr>
        <w:t xml:space="preserve"> ويمكن أن يعتمد على مصر، التي أظهرت قيادة عظيمة في هذا الخصوص، في المضي قدما في هذه الخطة بالتعاون مع القطاعات ذات الصلة، بما في ذلك البنية التحتية، والتعدين، والطاقة، والصناعات التحويلية والصحة. ومع النقل الرسمي لرئاسة مؤتمر الأطراف، سلط الضوء على الخلاصة في تقرير حكومته عن رئاسة المكسيك لمؤتمر الأطراف في اجتماعه الثالث عشر أن هناك حاجة إلى جهد تعاوني لتحقيق التغير التحويلي المطلوب. وذكر أن</w:t>
      </w:r>
      <w:r w:rsidR="00445589" w:rsidRPr="00137D75">
        <w:rPr>
          <w:rFonts w:cs="Simplified Arabic" w:hint="cs"/>
          <w:szCs w:val="24"/>
          <w:rtl/>
          <w:lang w:val="en-US"/>
        </w:rPr>
        <w:t>ه يجب تعميم</w:t>
      </w:r>
      <w:r w:rsidRPr="00137D75">
        <w:rPr>
          <w:rFonts w:cs="Simplified Arabic" w:hint="cs"/>
          <w:szCs w:val="24"/>
          <w:rtl/>
          <w:lang w:val="en-US"/>
        </w:rPr>
        <w:t xml:space="preserve"> حفظ التنوع البيولوجي واستخدامه المستدام في الممارسات اليومية في جميع الأنشطة، داخل إطار الاتفاقية وخارجه على حد سواء، ويجب أن تستثمر جميع الأمم في حماية التنوع البيولوجي من أجل شعوبها وللكوكب ككل. وأعرب عن تمنياته بالنجاح إلى مصر ورحب ترحيبا حارا بالسيدة ياسمين فؤاد، وزيرة البيئة</w:t>
      </w:r>
      <w:r w:rsidR="00445589" w:rsidRPr="00137D75">
        <w:rPr>
          <w:rFonts w:cs="Simplified Arabic" w:hint="cs"/>
          <w:szCs w:val="24"/>
          <w:rtl/>
          <w:lang w:val="en-US"/>
        </w:rPr>
        <w:t xml:space="preserve"> في مصر</w:t>
      </w:r>
      <w:r w:rsidRPr="00137D75">
        <w:rPr>
          <w:rFonts w:cs="Simplified Arabic" w:hint="cs"/>
          <w:szCs w:val="24"/>
          <w:rtl/>
          <w:lang w:val="en-US"/>
        </w:rPr>
        <w:t>، بوصفها الرئيس</w:t>
      </w:r>
      <w:r w:rsidR="00445589" w:rsidRPr="00137D75">
        <w:rPr>
          <w:rFonts w:cs="Simplified Arabic" w:hint="cs"/>
          <w:szCs w:val="24"/>
          <w:rtl/>
          <w:lang w:val="en-US"/>
        </w:rPr>
        <w:t>ة</w:t>
      </w:r>
      <w:r w:rsidRPr="00137D75">
        <w:rPr>
          <w:rFonts w:cs="Simplified Arabic" w:hint="cs"/>
          <w:szCs w:val="24"/>
          <w:rtl/>
          <w:lang w:val="en-US"/>
        </w:rPr>
        <w:t xml:space="preserve"> الحالي</w:t>
      </w:r>
      <w:r w:rsidR="00445589" w:rsidRPr="00137D75">
        <w:rPr>
          <w:rFonts w:cs="Simplified Arabic" w:hint="cs"/>
          <w:szCs w:val="24"/>
          <w:rtl/>
          <w:lang w:val="en-US"/>
        </w:rPr>
        <w:t>ة</w:t>
      </w:r>
      <w:r w:rsidRPr="00137D75">
        <w:rPr>
          <w:rFonts w:cs="Simplified Arabic" w:hint="cs"/>
          <w:szCs w:val="24"/>
          <w:rtl/>
          <w:lang w:val="en-US"/>
        </w:rPr>
        <w:t xml:space="preserve"> لمؤتمر الأطراف.</w:t>
      </w:r>
    </w:p>
    <w:p w:rsidR="0060267F" w:rsidRPr="00225000" w:rsidRDefault="0060267F" w:rsidP="00225000">
      <w:pPr>
        <w:pStyle w:val="Para10"/>
        <w:numPr>
          <w:ilvl w:val="0"/>
          <w:numId w:val="0"/>
        </w:numPr>
        <w:bidi/>
        <w:spacing w:before="0" w:line="216" w:lineRule="auto"/>
        <w:ind w:firstLine="720"/>
        <w:jc w:val="left"/>
        <w:rPr>
          <w:rFonts w:cs="Simplified Arabic"/>
          <w:i/>
          <w:iCs/>
          <w:szCs w:val="24"/>
          <w:lang w:val="en-US"/>
        </w:rPr>
      </w:pPr>
      <w:r w:rsidRPr="00225000">
        <w:rPr>
          <w:rFonts w:cs="Simplified Arabic" w:hint="cs"/>
          <w:i/>
          <w:iCs/>
          <w:szCs w:val="24"/>
          <w:rtl/>
          <w:lang w:val="en-US"/>
        </w:rPr>
        <w:t>الكلمة الافتتاحية للسيدة ياسمين فؤاد، وزيرة البيئة في مصر، ورئيسة مؤتمر الأطراف في اجتماعه الرابع عشر</w:t>
      </w:r>
    </w:p>
    <w:p w:rsidR="0060267F" w:rsidRPr="00137D75" w:rsidRDefault="00870D53" w:rsidP="00FF7FA5">
      <w:pPr>
        <w:pStyle w:val="ListParagraph"/>
        <w:numPr>
          <w:ilvl w:val="0"/>
          <w:numId w:val="9"/>
        </w:numPr>
        <w:bidi/>
        <w:spacing w:line="216" w:lineRule="auto"/>
        <w:ind w:left="0" w:firstLine="0"/>
        <w:rPr>
          <w:rFonts w:eastAsia="Times New Roman" w:cs="Simplified Arabic"/>
          <w:lang w:bidi="ar-SA"/>
        </w:rPr>
      </w:pPr>
      <w:r w:rsidRPr="00137D75">
        <w:rPr>
          <w:rFonts w:eastAsia="Times New Roman" w:cs="Simplified Arabic" w:hint="cs"/>
          <w:rtl/>
          <w:lang w:bidi="ar-SA"/>
        </w:rPr>
        <w:t>أعربت السيدة فؤاد عن تقديرها لحكومة المكسيك على عملها في رئاسة الاتفاقية منذ الاجتماع الثالث عشر لمؤتمر الأطراف؛ وإلى السيد السيسي على مشاركته في تنظيم الاجتماع الرابع عشر للمؤتمر، ول</w:t>
      </w:r>
      <w:r w:rsidR="002B292F" w:rsidRPr="00137D75">
        <w:rPr>
          <w:rFonts w:eastAsia="Times New Roman" w:cs="Simplified Arabic" w:hint="cs"/>
          <w:rtl/>
          <w:lang w:bidi="ar-SA"/>
        </w:rPr>
        <w:t xml:space="preserve">كونه أول </w:t>
      </w:r>
      <w:r w:rsidR="00445589" w:rsidRPr="00137D75">
        <w:rPr>
          <w:rFonts w:eastAsia="Times New Roman" w:cs="Simplified Arabic" w:hint="cs"/>
          <w:rtl/>
          <w:lang w:bidi="ar-SA"/>
        </w:rPr>
        <w:t>رئيس لمصر يحضر اجتماع لاتفاق بيئي</w:t>
      </w:r>
      <w:r w:rsidR="002B292F" w:rsidRPr="00137D75">
        <w:rPr>
          <w:rFonts w:eastAsia="Times New Roman" w:cs="Simplified Arabic" w:hint="cs"/>
          <w:rtl/>
          <w:lang w:bidi="ar-SA"/>
        </w:rPr>
        <w:t xml:space="preserve"> متعدد الأطراف؛ وللبلدان الأفريقية الشقيقة التي دعمت مصر في عرضها لتولي رئاسة مؤتم</w:t>
      </w:r>
      <w:r w:rsidR="00445589" w:rsidRPr="00137D75">
        <w:rPr>
          <w:rFonts w:eastAsia="Times New Roman" w:cs="Simplified Arabic" w:hint="cs"/>
          <w:rtl/>
          <w:lang w:bidi="ar-SA"/>
        </w:rPr>
        <w:t>ر</w:t>
      </w:r>
      <w:r w:rsidR="002B292F" w:rsidRPr="00137D75">
        <w:rPr>
          <w:rFonts w:eastAsia="Times New Roman" w:cs="Simplified Arabic" w:hint="cs"/>
          <w:rtl/>
          <w:lang w:bidi="ar-SA"/>
        </w:rPr>
        <w:t xml:space="preserve"> الأطراف في اجتماعه الرابع عشر. وكانت البلدان الأفريقية، التي عملت على موقف </w:t>
      </w:r>
      <w:r w:rsidR="00445589" w:rsidRPr="00137D75">
        <w:rPr>
          <w:rFonts w:eastAsia="Times New Roman" w:cs="Simplified Arabic" w:hint="cs"/>
          <w:rtl/>
          <w:lang w:bidi="ar-SA"/>
        </w:rPr>
        <w:t>مشترك للتفاوض</w:t>
      </w:r>
      <w:r w:rsidR="002B292F" w:rsidRPr="00137D75">
        <w:rPr>
          <w:rFonts w:eastAsia="Times New Roman" w:cs="Simplified Arabic" w:hint="cs"/>
          <w:rtl/>
          <w:lang w:bidi="ar-SA"/>
        </w:rPr>
        <w:t xml:space="preserve"> لأفريقيا لبعض الوقت، قد أصدرت وثيقة قوية تبرز أول</w:t>
      </w:r>
      <w:r w:rsidR="00445589" w:rsidRPr="00137D75">
        <w:rPr>
          <w:rFonts w:eastAsia="Times New Roman" w:cs="Simplified Arabic" w:hint="cs"/>
          <w:rtl/>
          <w:lang w:bidi="ar-SA"/>
        </w:rPr>
        <w:t xml:space="preserve">ويات القارة فيما يتعلق بحماية تنوع </w:t>
      </w:r>
      <w:r w:rsidR="002B292F" w:rsidRPr="00137D75">
        <w:rPr>
          <w:rFonts w:eastAsia="Times New Roman" w:cs="Simplified Arabic" w:hint="cs"/>
          <w:rtl/>
          <w:lang w:bidi="ar-SA"/>
        </w:rPr>
        <w:t>ثروتها من الموارد الطبيعية من خلال الجهود، ضمن جملة أمور، لمكافحة الصيد غير المشروع والتجارة غير المشروعة في الأحياء البرية. ووضعت الوثيقة تركيزا خاصا على تعمي</w:t>
      </w:r>
      <w:r w:rsidR="00732ACA" w:rsidRPr="00137D75">
        <w:rPr>
          <w:rFonts w:eastAsia="Times New Roman" w:cs="Simplified Arabic" w:hint="cs"/>
          <w:rtl/>
          <w:lang w:bidi="ar-SA"/>
        </w:rPr>
        <w:t xml:space="preserve">م استخدام </w:t>
      </w:r>
      <w:r w:rsidR="00732ACA" w:rsidRPr="00137D75">
        <w:rPr>
          <w:rFonts w:eastAsia="Times New Roman" w:cs="Simplified Arabic" w:hint="cs"/>
          <w:rtl/>
          <w:lang w:bidi="ar-SA"/>
        </w:rPr>
        <w:lastRenderedPageBreak/>
        <w:t>وحفظ التنوع البيولوجي</w:t>
      </w:r>
      <w:r w:rsidR="002B292F" w:rsidRPr="00137D75">
        <w:rPr>
          <w:rFonts w:eastAsia="Times New Roman" w:cs="Simplified Arabic" w:hint="cs"/>
          <w:rtl/>
          <w:lang w:bidi="ar-SA"/>
        </w:rPr>
        <w:t xml:space="preserve"> في كل القطاعات ذات الصلة كأساس لجميع الجهود المبذولة للتنمية على مستوى البلد، </w:t>
      </w:r>
      <w:r w:rsidR="00732ACA" w:rsidRPr="00137D75">
        <w:rPr>
          <w:rFonts w:eastAsia="Times New Roman" w:cs="Simplified Arabic" w:hint="cs"/>
          <w:rtl/>
          <w:lang w:bidi="ar-SA"/>
        </w:rPr>
        <w:t xml:space="preserve">والذي تعتبره مصر كمهد للحضارة الغنية بالتنوع البيولوجي، مهما للغاية، على النحو المشاهد في حضور رئيس الوزراء والكثير من وزراء الحكومة للاجتماع الحالي؛ وفي الموافقة على نموذج </w:t>
      </w:r>
      <w:r w:rsidR="00445589" w:rsidRPr="00137D75">
        <w:rPr>
          <w:rFonts w:eastAsia="Times New Roman" w:cs="Simplified Arabic" w:hint="cs"/>
          <w:rtl/>
          <w:lang w:bidi="ar-SA"/>
        </w:rPr>
        <w:t xml:space="preserve">تنفيذ </w:t>
      </w:r>
      <w:r w:rsidR="00732ACA" w:rsidRPr="00137D75">
        <w:rPr>
          <w:rFonts w:eastAsia="Times New Roman" w:cs="Simplified Arabic" w:hint="cs"/>
          <w:rtl/>
          <w:lang w:bidi="ar-SA"/>
        </w:rPr>
        <w:t>الخطط الوطنية للتنمية؛ وفي صياغة إعلان سياسي طموح لتقديمه إلى مؤتمر الأطراف لكي ينظر فيه في الأيام القادمة.</w:t>
      </w:r>
    </w:p>
    <w:p w:rsidR="00732ACA" w:rsidRPr="00137D75" w:rsidRDefault="00732ACA" w:rsidP="00FF7FA5">
      <w:pPr>
        <w:pStyle w:val="ListParagraph"/>
        <w:numPr>
          <w:ilvl w:val="0"/>
          <w:numId w:val="9"/>
        </w:numPr>
        <w:bidi/>
        <w:spacing w:line="216" w:lineRule="auto"/>
        <w:ind w:left="0" w:firstLine="0"/>
        <w:rPr>
          <w:rFonts w:eastAsia="Times New Roman" w:cs="Simplified Arabic"/>
          <w:lang w:bidi="ar-SA"/>
        </w:rPr>
      </w:pPr>
      <w:r w:rsidRPr="00137D75">
        <w:rPr>
          <w:rFonts w:eastAsia="Times New Roman" w:cs="Simplified Arabic" w:hint="cs"/>
          <w:rtl/>
          <w:lang w:bidi="ar-SA"/>
        </w:rPr>
        <w:t>وقد التزمت مصر بتحضير إطار تشغيلي للتنوع البيولوجي لما بعد عام 2020 يستطيع توفير حماية فعالة للموارد الطبيعية في العالم لمنفعة الأحيال ال</w:t>
      </w:r>
      <w:r w:rsidR="002A19C3" w:rsidRPr="00137D75">
        <w:rPr>
          <w:rFonts w:eastAsia="Times New Roman" w:cs="Simplified Arabic" w:hint="cs"/>
          <w:rtl/>
          <w:lang w:bidi="ar-SA"/>
        </w:rPr>
        <w:t>قادم</w:t>
      </w:r>
      <w:r w:rsidRPr="00137D75">
        <w:rPr>
          <w:rFonts w:eastAsia="Times New Roman" w:cs="Simplified Arabic" w:hint="cs"/>
          <w:rtl/>
          <w:lang w:bidi="ar-SA"/>
        </w:rPr>
        <w:t xml:space="preserve">ة، وهي تعتمد على الإرادة السياسية لجميع الأطراف في الاتفاقية </w:t>
      </w:r>
      <w:r w:rsidR="002A19C3" w:rsidRPr="00137D75">
        <w:rPr>
          <w:rFonts w:eastAsia="Times New Roman" w:cs="Simplified Arabic" w:hint="cs"/>
          <w:rtl/>
          <w:lang w:bidi="ar-SA"/>
        </w:rPr>
        <w:t>ل</w:t>
      </w:r>
      <w:r w:rsidRPr="00137D75">
        <w:rPr>
          <w:rFonts w:eastAsia="Times New Roman" w:cs="Simplified Arabic" w:hint="cs"/>
          <w:rtl/>
          <w:lang w:bidi="ar-SA"/>
        </w:rPr>
        <w:t xml:space="preserve">لعمل معا لضمان أن إطار من هذا النوع </w:t>
      </w:r>
      <w:r w:rsidR="005E38E1" w:rsidRPr="00137D75">
        <w:rPr>
          <w:rFonts w:eastAsia="Times New Roman" w:cs="Simplified Arabic" w:hint="cs"/>
          <w:rtl/>
          <w:lang w:bidi="ar-SA"/>
        </w:rPr>
        <w:t>يكون جاهزا لاعتماده من جانب مؤتمر الأطراف في اجتماعه الخامس عشر. وفي أثناء مداولاته</w:t>
      </w:r>
      <w:r w:rsidR="002A19C3" w:rsidRPr="00137D75">
        <w:rPr>
          <w:rFonts w:eastAsia="Times New Roman" w:cs="Simplified Arabic" w:hint="cs"/>
          <w:rtl/>
          <w:lang w:bidi="ar-SA"/>
        </w:rPr>
        <w:t>ا</w:t>
      </w:r>
      <w:r w:rsidR="005E38E1" w:rsidRPr="00137D75">
        <w:rPr>
          <w:rFonts w:eastAsia="Times New Roman" w:cs="Simplified Arabic" w:hint="cs"/>
          <w:rtl/>
          <w:lang w:bidi="ar-SA"/>
        </w:rPr>
        <w:t xml:space="preserve"> في الاجتماع الحالي، ينبغي أن تسعى الأطراف إلى أن تأخذ في الحسبان </w:t>
      </w:r>
      <w:r w:rsidR="002A19C3" w:rsidRPr="00137D75">
        <w:rPr>
          <w:rFonts w:eastAsia="Times New Roman" w:cs="Simplified Arabic" w:hint="cs"/>
          <w:rtl/>
          <w:lang w:bidi="ar-SA"/>
        </w:rPr>
        <w:t xml:space="preserve">إحدى </w:t>
      </w:r>
      <w:r w:rsidR="005E38E1" w:rsidRPr="00137D75">
        <w:rPr>
          <w:rFonts w:eastAsia="Times New Roman" w:cs="Simplified Arabic" w:hint="cs"/>
          <w:rtl/>
          <w:lang w:bidi="ar-SA"/>
        </w:rPr>
        <w:t xml:space="preserve">الرسائل الرئيسية التي نشأت عن منتدى الشباب العالمي، الذي عقد في شرم الشيخ من 2 إلى 6 نوفمبر/تشرين الثاني 2018، وهي أن التنوع والثقافة يقدمان ركائز الاستقرار والسلام الدائم، وأن التنمية والسلام والبيئة لا يمكن </w:t>
      </w:r>
      <w:r w:rsidR="000D5860" w:rsidRPr="00137D75">
        <w:rPr>
          <w:rFonts w:eastAsia="Times New Roman" w:cs="Simplified Arabic" w:hint="cs"/>
          <w:rtl/>
          <w:lang w:bidi="ar-SA"/>
        </w:rPr>
        <w:t>الفصل بين</w:t>
      </w:r>
      <w:r w:rsidR="005E38E1" w:rsidRPr="00137D75">
        <w:rPr>
          <w:rFonts w:eastAsia="Times New Roman" w:cs="Simplified Arabic" w:hint="cs"/>
          <w:rtl/>
          <w:lang w:bidi="ar-SA"/>
        </w:rPr>
        <w:t>ها.</w:t>
      </w:r>
    </w:p>
    <w:p w:rsidR="005E38E1" w:rsidRPr="00137D75" w:rsidRDefault="005E38E1" w:rsidP="00FF7FA5">
      <w:pPr>
        <w:pStyle w:val="ListParagraph"/>
        <w:numPr>
          <w:ilvl w:val="0"/>
          <w:numId w:val="9"/>
        </w:numPr>
        <w:bidi/>
        <w:spacing w:line="216" w:lineRule="auto"/>
        <w:ind w:left="0" w:firstLine="0"/>
        <w:rPr>
          <w:rFonts w:eastAsia="Times New Roman" w:cs="Simplified Arabic"/>
          <w:lang w:bidi="ar-SA"/>
        </w:rPr>
      </w:pPr>
      <w:r w:rsidRPr="00137D75">
        <w:rPr>
          <w:rFonts w:eastAsia="Times New Roman" w:cs="Simplified Arabic" w:hint="cs"/>
          <w:rtl/>
          <w:lang w:bidi="ar-SA"/>
        </w:rPr>
        <w:t>وعلى المستوى ال</w:t>
      </w:r>
      <w:r w:rsidR="000D5860" w:rsidRPr="00137D75">
        <w:rPr>
          <w:rFonts w:eastAsia="Times New Roman" w:cs="Simplified Arabic" w:hint="cs"/>
          <w:rtl/>
          <w:lang w:bidi="ar-SA"/>
        </w:rPr>
        <w:t>و</w:t>
      </w:r>
      <w:r w:rsidRPr="00137D75">
        <w:rPr>
          <w:rFonts w:eastAsia="Times New Roman" w:cs="Simplified Arabic" w:hint="cs"/>
          <w:rtl/>
          <w:lang w:bidi="ar-SA"/>
        </w:rPr>
        <w:t>طني، استمرت مصر في الاستثمار في حماية تنوعها البيولوجي من خلال مشروعات تهدف إلى أمور من بينها مكافحة تدهور النظم الإيكولوجية والتلوث في مناطق مثل بحيرة المنزلة، وكذلك حوض النيل، بدعم من البلدان المجاورة. وأعطى السيد السيسي اهتمام</w:t>
      </w:r>
      <w:r w:rsidR="000D5860" w:rsidRPr="00137D75">
        <w:rPr>
          <w:rFonts w:eastAsia="Times New Roman" w:cs="Simplified Arabic" w:hint="cs"/>
          <w:rtl/>
          <w:lang w:bidi="ar-SA"/>
        </w:rPr>
        <w:t>ا</w:t>
      </w:r>
      <w:r w:rsidRPr="00137D75">
        <w:rPr>
          <w:rFonts w:eastAsia="Times New Roman" w:cs="Simplified Arabic" w:hint="cs"/>
          <w:rtl/>
          <w:lang w:bidi="ar-SA"/>
        </w:rPr>
        <w:t xml:space="preserve"> شخصيا كبيرا لهذا العمل، كما يظهر من دعمه للمبادرة الرمزية التي زرع بموجبها رؤساء الوفود شجرة</w:t>
      </w:r>
      <w:r w:rsidR="000D5860" w:rsidRPr="00137D75">
        <w:rPr>
          <w:rFonts w:eastAsia="Times New Roman" w:cs="Simplified Arabic" w:hint="cs"/>
          <w:rtl/>
          <w:lang w:bidi="ar-SA"/>
        </w:rPr>
        <w:t xml:space="preserve"> </w:t>
      </w:r>
      <w:r w:rsidRPr="00137D75">
        <w:rPr>
          <w:rFonts w:eastAsia="Times New Roman" w:cs="Simplified Arabic" w:hint="cs"/>
          <w:rtl/>
          <w:lang w:bidi="ar-SA"/>
        </w:rPr>
        <w:t>زيتون في منتزه السلام في شرم الشيخ قبل افتتاح الاجتماع الحالي.</w:t>
      </w:r>
    </w:p>
    <w:p w:rsidR="00213DF0" w:rsidRPr="00137D75" w:rsidRDefault="005E38E1" w:rsidP="00FF7FA5">
      <w:pPr>
        <w:pStyle w:val="ListParagraph"/>
        <w:numPr>
          <w:ilvl w:val="0"/>
          <w:numId w:val="9"/>
        </w:numPr>
        <w:bidi/>
        <w:spacing w:line="216" w:lineRule="auto"/>
        <w:ind w:left="0" w:firstLine="0"/>
        <w:rPr>
          <w:rFonts w:cs="Simplified Arabic"/>
          <w:color w:val="000000" w:themeColor="text1"/>
          <w:u w:val="single"/>
          <w:lang w:val="en-US"/>
        </w:rPr>
      </w:pPr>
      <w:r w:rsidRPr="00137D75">
        <w:rPr>
          <w:rFonts w:eastAsia="Times New Roman" w:cs="Simplified Arabic" w:hint="cs"/>
          <w:rtl/>
          <w:lang w:bidi="ar-SA"/>
        </w:rPr>
        <w:t>و</w:t>
      </w:r>
      <w:r w:rsidR="000D5860" w:rsidRPr="00137D75">
        <w:rPr>
          <w:rFonts w:eastAsia="Times New Roman" w:cs="Simplified Arabic" w:hint="cs"/>
          <w:rtl/>
          <w:lang w:bidi="ar-SA"/>
        </w:rPr>
        <w:t xml:space="preserve">قالت إن مصر </w:t>
      </w:r>
      <w:r w:rsidRPr="00137D75">
        <w:rPr>
          <w:rFonts w:eastAsia="Times New Roman" w:cs="Simplified Arabic" w:hint="cs"/>
          <w:rtl/>
          <w:lang w:bidi="ar-SA"/>
        </w:rPr>
        <w:t>تفتخر بأنها أول دولة عربية، وبالفعل أول دولة أفريقية تتولى رئاسة مؤتمر الأطراف، و</w:t>
      </w:r>
      <w:r w:rsidR="000D5860" w:rsidRPr="00137D75">
        <w:rPr>
          <w:rFonts w:eastAsia="Times New Roman" w:cs="Simplified Arabic" w:hint="cs"/>
          <w:rtl/>
          <w:lang w:bidi="ar-SA"/>
        </w:rPr>
        <w:t>أ</w:t>
      </w:r>
      <w:r w:rsidR="00B35818" w:rsidRPr="00137D75">
        <w:rPr>
          <w:rFonts w:eastAsia="Times New Roman" w:cs="Simplified Arabic" w:hint="cs"/>
          <w:rtl/>
          <w:lang w:bidi="ar-SA"/>
        </w:rPr>
        <w:t>عرب</w:t>
      </w:r>
      <w:r w:rsidR="000D5860" w:rsidRPr="00137D75">
        <w:rPr>
          <w:rFonts w:eastAsia="Times New Roman" w:cs="Simplified Arabic" w:hint="cs"/>
          <w:rtl/>
          <w:lang w:bidi="ar-SA"/>
        </w:rPr>
        <w:t>ت</w:t>
      </w:r>
      <w:r w:rsidR="00B35818" w:rsidRPr="00137D75">
        <w:rPr>
          <w:rFonts w:eastAsia="Times New Roman" w:cs="Simplified Arabic" w:hint="cs"/>
          <w:rtl/>
          <w:lang w:bidi="ar-SA"/>
        </w:rPr>
        <w:t xml:space="preserve"> عن امتنانها للرئيس السيسي على ثقته بها كأمرة، للعمل كوزيرة في حكومته وكرئيسة للمؤتمر. </w:t>
      </w:r>
      <w:r w:rsidR="00B35818" w:rsidRPr="00137D75">
        <w:rPr>
          <w:rFonts w:eastAsia="Times New Roman" w:cs="Simplified Arabic" w:hint="cs"/>
          <w:color w:val="000000" w:themeColor="text1"/>
          <w:rtl/>
          <w:lang w:bidi="ar-SA"/>
        </w:rPr>
        <w:t>و</w:t>
      </w:r>
      <w:r w:rsidR="000D5860" w:rsidRPr="00137D75">
        <w:rPr>
          <w:rFonts w:eastAsia="Times New Roman" w:cs="Simplified Arabic" w:hint="cs"/>
          <w:color w:val="000000" w:themeColor="text1"/>
          <w:rtl/>
          <w:lang w:bidi="ar-SA"/>
        </w:rPr>
        <w:t>هي</w:t>
      </w:r>
      <w:r w:rsidR="00B35818" w:rsidRPr="00137D75">
        <w:rPr>
          <w:rFonts w:eastAsia="Times New Roman" w:cs="Simplified Arabic"/>
          <w:color w:val="000000" w:themeColor="text1"/>
          <w:rtl/>
          <w:lang w:bidi="ar-SA"/>
        </w:rPr>
        <w:t xml:space="preserve"> على ثقة بأن</w:t>
      </w:r>
      <w:r w:rsidR="00B35818" w:rsidRPr="00137D75">
        <w:rPr>
          <w:rFonts w:eastAsia="Times New Roman" w:cs="Simplified Arabic" w:hint="cs"/>
          <w:color w:val="000000" w:themeColor="text1"/>
          <w:rtl/>
          <w:lang w:bidi="ar-SA"/>
        </w:rPr>
        <w:t xml:space="preserve"> الأطراف س</w:t>
      </w:r>
      <w:r w:rsidR="000D5860" w:rsidRPr="00137D75">
        <w:rPr>
          <w:rFonts w:eastAsia="Times New Roman" w:cs="Simplified Arabic" w:hint="cs"/>
          <w:color w:val="000000" w:themeColor="text1"/>
          <w:rtl/>
          <w:lang w:bidi="ar-SA"/>
        </w:rPr>
        <w:t>ت</w:t>
      </w:r>
      <w:r w:rsidR="00B35818" w:rsidRPr="00137D75">
        <w:rPr>
          <w:rFonts w:eastAsia="Times New Roman" w:cs="Simplified Arabic" w:hint="cs"/>
          <w:color w:val="000000" w:themeColor="text1"/>
          <w:rtl/>
          <w:lang w:bidi="ar-SA"/>
        </w:rPr>
        <w:t>عمل معا لدعم الإجراءات ال</w:t>
      </w:r>
      <w:r w:rsidR="000D5860" w:rsidRPr="00137D75">
        <w:rPr>
          <w:rFonts w:eastAsia="Times New Roman" w:cs="Simplified Arabic" w:hint="cs"/>
          <w:color w:val="000000" w:themeColor="text1"/>
          <w:rtl/>
          <w:lang w:bidi="ar-SA"/>
        </w:rPr>
        <w:t>ملح</w:t>
      </w:r>
      <w:r w:rsidR="00B35818" w:rsidRPr="00137D75">
        <w:rPr>
          <w:rFonts w:eastAsia="Times New Roman" w:cs="Simplified Arabic" w:hint="cs"/>
          <w:color w:val="000000" w:themeColor="text1"/>
          <w:rtl/>
          <w:lang w:bidi="ar-SA"/>
        </w:rPr>
        <w:t>ة اللازمة لحماية التنوع البيولوجي لمنفعة الأجيال القادمة، وبالفعل</w:t>
      </w:r>
      <w:r w:rsidR="000D5860" w:rsidRPr="00137D75">
        <w:rPr>
          <w:rFonts w:eastAsia="Times New Roman" w:cs="Simplified Arabic" w:hint="cs"/>
          <w:color w:val="000000" w:themeColor="text1"/>
          <w:rtl/>
          <w:lang w:bidi="ar-SA"/>
        </w:rPr>
        <w:t>،</w:t>
      </w:r>
      <w:r w:rsidR="00B35818" w:rsidRPr="00137D75">
        <w:rPr>
          <w:rFonts w:eastAsia="Times New Roman" w:cs="Simplified Arabic" w:hint="cs"/>
          <w:color w:val="000000" w:themeColor="text1"/>
          <w:rtl/>
          <w:lang w:bidi="ar-SA"/>
        </w:rPr>
        <w:t xml:space="preserve"> بقاء الكوكب الوحيد التي يمكن أن </w:t>
      </w:r>
      <w:r w:rsidR="00213DF0" w:rsidRPr="00137D75">
        <w:rPr>
          <w:rFonts w:eastAsia="Times New Roman" w:cs="Simplified Arabic" w:hint="cs"/>
          <w:color w:val="000000" w:themeColor="text1"/>
          <w:rtl/>
          <w:lang w:bidi="ar-SA"/>
        </w:rPr>
        <w:t>يعيش فيه البشر. وليس هناك بديل آخر لضمان اتخاذ الإجراءات في الاجتماع الحالي وأعربت عن أملها أن ينجح المشاركون في مداولاتهم.</w:t>
      </w:r>
    </w:p>
    <w:p w:rsidR="0060267F" w:rsidRPr="00225000" w:rsidRDefault="002B41C7" w:rsidP="00225000">
      <w:pPr>
        <w:pStyle w:val="ListParagraph"/>
        <w:tabs>
          <w:tab w:val="left" w:pos="720"/>
        </w:tabs>
        <w:bidi/>
        <w:spacing w:line="216" w:lineRule="auto"/>
        <w:ind w:left="0" w:firstLine="720"/>
        <w:jc w:val="left"/>
        <w:rPr>
          <w:rFonts w:cs="Simplified Arabic"/>
          <w:i/>
          <w:iCs/>
          <w:color w:val="000000" w:themeColor="text1"/>
          <w:lang w:val="en-US"/>
        </w:rPr>
      </w:pPr>
      <w:r w:rsidRPr="00225000">
        <w:rPr>
          <w:rFonts w:cs="Simplified Arabic" w:hint="cs"/>
          <w:i/>
          <w:iCs/>
          <w:color w:val="000000" w:themeColor="text1"/>
          <w:rtl/>
          <w:lang w:val="en-US"/>
        </w:rPr>
        <w:t>الكلمة الافتتاحية للسيدة كريستيانا باشكا بالمر، الأمينة التنفيذية لاتفاقية التنوع البيولوجي</w:t>
      </w:r>
    </w:p>
    <w:p w:rsidR="002B41C7" w:rsidRPr="00137D75" w:rsidRDefault="00213DF0" w:rsidP="00FF7FA5">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 xml:space="preserve">رحبت السيدة </w:t>
      </w:r>
      <w:r w:rsidR="000B6BBF">
        <w:rPr>
          <w:rFonts w:eastAsia="Times New Roman" w:cs="Simplified Arabic" w:hint="cs"/>
          <w:color w:val="000000" w:themeColor="text1"/>
          <w:rtl/>
          <w:lang w:bidi="ar-SA"/>
        </w:rPr>
        <w:t xml:space="preserve">باشكا </w:t>
      </w:r>
      <w:r w:rsidRPr="00137D75">
        <w:rPr>
          <w:rFonts w:eastAsia="Times New Roman" w:cs="Simplified Arabic" w:hint="cs"/>
          <w:color w:val="000000" w:themeColor="text1"/>
          <w:rtl/>
          <w:lang w:bidi="ar-SA"/>
        </w:rPr>
        <w:t xml:space="preserve">بالمر بالمشاركين وقالت إنه منذ 25 سنة من بدء نفاذ اتفاقية التنوع البيولوجي في عام 1992، أحرز تقدم مفيد نحو حفظ التنوع البيولوجي واستخدامه المستدام. </w:t>
      </w:r>
      <w:r w:rsidR="001C13AC" w:rsidRPr="00137D75">
        <w:rPr>
          <w:rFonts w:eastAsia="Times New Roman" w:cs="Simplified Arabic" w:hint="cs"/>
          <w:color w:val="000000" w:themeColor="text1"/>
          <w:rtl/>
          <w:lang w:bidi="ar-SA"/>
        </w:rPr>
        <w:t xml:space="preserve">وأضافت أن فقدان التنوع النباتي والحيواني مع ذلك يستمر في التفاقم سنويا، ويؤثر في نفس الوقت في تغير المناخ وهو مدفوع به. ويتمثل الخيار في إما الاستمرار على مسار التدمير، مع عواقبه المتتالية السقيمة للطبيعة والبشرية، أو اتباع مسار الحفظ والاستعادة والتحول قبل الوصول إلى نقطة التحول التي لا يمكن عكسها. وعلى هذا، تمثلت التحديات الرئيسية في الإسراع بتحقيق أهداف أيشي للتنوع البيولوجي واعتماد إطار جديد لما بعد عام 2020؛ </w:t>
      </w:r>
      <w:r w:rsidR="00A962DD">
        <w:rPr>
          <w:rFonts w:eastAsia="Times New Roman" w:cs="Simplified Arabic" w:hint="cs"/>
          <w:color w:val="000000" w:themeColor="text1"/>
          <w:rtl/>
          <w:lang w:bidi="ar-SA"/>
        </w:rPr>
        <w:t>وعكس مسار</w:t>
      </w:r>
      <w:r w:rsidR="001C13AC" w:rsidRPr="00137D75">
        <w:rPr>
          <w:rFonts w:eastAsia="Times New Roman" w:cs="Simplified Arabic" w:hint="cs"/>
          <w:color w:val="000000" w:themeColor="text1"/>
          <w:rtl/>
          <w:lang w:bidi="ar-SA"/>
        </w:rPr>
        <w:t xml:space="preserve"> فقدان التنوع البيولوجي بحلول عام 20</w:t>
      </w:r>
      <w:r w:rsidR="00A962DD">
        <w:rPr>
          <w:rFonts w:eastAsia="Times New Roman" w:cs="Simplified Arabic" w:hint="cs"/>
          <w:color w:val="000000" w:themeColor="text1"/>
          <w:rtl/>
          <w:lang w:bidi="ar-SA"/>
        </w:rPr>
        <w:t>3</w:t>
      </w:r>
      <w:r w:rsidR="001C13AC" w:rsidRPr="00137D75">
        <w:rPr>
          <w:rFonts w:eastAsia="Times New Roman" w:cs="Simplified Arabic" w:hint="cs"/>
          <w:color w:val="000000" w:themeColor="text1"/>
          <w:rtl/>
          <w:lang w:bidi="ar-SA"/>
        </w:rPr>
        <w:t>0؛ وبحلول عام 20</w:t>
      </w:r>
      <w:r w:rsidR="00A962DD">
        <w:rPr>
          <w:rFonts w:eastAsia="Times New Roman" w:cs="Simplified Arabic" w:hint="cs"/>
          <w:color w:val="000000" w:themeColor="text1"/>
          <w:rtl/>
          <w:lang w:bidi="ar-SA"/>
        </w:rPr>
        <w:t>5</w:t>
      </w:r>
      <w:r w:rsidR="001C13AC" w:rsidRPr="00137D75">
        <w:rPr>
          <w:rFonts w:eastAsia="Times New Roman" w:cs="Simplified Arabic" w:hint="cs"/>
          <w:color w:val="000000" w:themeColor="text1"/>
          <w:rtl/>
          <w:lang w:bidi="ar-SA"/>
        </w:rPr>
        <w:t xml:space="preserve">0، تحقيق رؤية الحياة في </w:t>
      </w:r>
      <w:r w:rsidR="00544322">
        <w:rPr>
          <w:rFonts w:eastAsia="Times New Roman" w:cs="Simplified Arabic" w:hint="cs"/>
          <w:color w:val="000000" w:themeColor="text1"/>
          <w:rtl/>
          <w:lang w:bidi="ar-SA"/>
        </w:rPr>
        <w:t>تناغم</w:t>
      </w:r>
      <w:r w:rsidR="001C13AC" w:rsidRPr="00137D75">
        <w:rPr>
          <w:rFonts w:eastAsia="Times New Roman" w:cs="Simplified Arabic" w:hint="cs"/>
          <w:color w:val="000000" w:themeColor="text1"/>
          <w:rtl/>
          <w:lang w:bidi="ar-SA"/>
        </w:rPr>
        <w:t xml:space="preserve"> مع الطبيعة.</w:t>
      </w:r>
    </w:p>
    <w:p w:rsidR="001C13AC" w:rsidRPr="00137D75" w:rsidRDefault="001C13AC" w:rsidP="00FF7FA5">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وأعربت عن تفاؤلها بشأن التغلب على هذه التحديات في ضوء المراحل الرئيسية والإنجازات الجديدة التي تحققت في ثلاثة أيام قبل المؤتمر الحالي، وهي تحديدا: اعتماد الإعلان الوزاري الأفريقي بشأن التنوع البيولوجي وخطة العمل الأفريقية بشأن استعادة النظم الإيكولوجية والقدرة على الصمود؛ وعقد جزء رفيع المستوى بشأن شع</w:t>
      </w:r>
      <w:r w:rsidR="000D5860" w:rsidRPr="00137D75">
        <w:rPr>
          <w:rFonts w:eastAsia="Times New Roman" w:cs="Simplified Arabic" w:hint="cs"/>
          <w:color w:val="000000" w:themeColor="text1"/>
          <w:rtl/>
          <w:lang w:bidi="ar-SA"/>
        </w:rPr>
        <w:t>ا</w:t>
      </w:r>
      <w:r w:rsidRPr="00137D75">
        <w:rPr>
          <w:rFonts w:eastAsia="Times New Roman" w:cs="Simplified Arabic" w:hint="cs"/>
          <w:color w:val="000000" w:themeColor="text1"/>
          <w:rtl/>
          <w:lang w:bidi="ar-SA"/>
        </w:rPr>
        <w:t>ر "الاستثمار في الناس والكوكب" واجتماع منتدى قطاع الأعمال والتنوع البيولوجي؛ والإع</w:t>
      </w:r>
      <w:r w:rsidR="000D5860" w:rsidRPr="00137D75">
        <w:rPr>
          <w:rFonts w:eastAsia="Times New Roman" w:cs="Simplified Arabic" w:hint="cs"/>
          <w:color w:val="000000" w:themeColor="text1"/>
          <w:rtl/>
          <w:lang w:bidi="ar-SA"/>
        </w:rPr>
        <w:t>لا</w:t>
      </w:r>
      <w:r w:rsidRPr="00137D75">
        <w:rPr>
          <w:rFonts w:eastAsia="Times New Roman" w:cs="Simplified Arabic" w:hint="cs"/>
          <w:color w:val="000000" w:themeColor="text1"/>
          <w:rtl/>
          <w:lang w:bidi="ar-SA"/>
        </w:rPr>
        <w:t>ن عن خطة العمل من شرم الشيخ إلى بيجين من أجل الطبيعة والناس، فضلا عن مبادرة جديدة بشأن الطبيعة والثقافة التي أطلقت مع منظمة الأمم المتحدة للتربية والتعليم والثقافة (اليونسكو) والاتحاد الدولي لحفظ الطبيعة</w:t>
      </w:r>
      <w:r w:rsidR="00A962DD">
        <w:rPr>
          <w:rFonts w:eastAsia="Times New Roman" w:cs="Simplified Arabic" w:hint="cs"/>
          <w:color w:val="000000" w:themeColor="text1"/>
          <w:rtl/>
          <w:lang w:bidi="ar-SA"/>
        </w:rPr>
        <w:t xml:space="preserve"> </w:t>
      </w:r>
      <w:r w:rsidR="00A962DD">
        <w:rPr>
          <w:rFonts w:eastAsia="Times New Roman" w:cs="Simplified Arabic"/>
          <w:color w:val="000000" w:themeColor="text1"/>
          <w:lang w:val="en-US" w:bidi="ar-SA"/>
        </w:rPr>
        <w:t>(IUCN)</w:t>
      </w:r>
      <w:r w:rsidRPr="00137D75">
        <w:rPr>
          <w:rFonts w:eastAsia="Times New Roman" w:cs="Simplified Arabic" w:hint="cs"/>
          <w:color w:val="000000" w:themeColor="text1"/>
          <w:rtl/>
          <w:lang w:bidi="ar-SA"/>
        </w:rPr>
        <w:t>.</w:t>
      </w:r>
    </w:p>
    <w:p w:rsidR="001C13AC" w:rsidRPr="00137D75" w:rsidRDefault="001C13AC" w:rsidP="00225000">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وسلطت الضوء على بعض المسائل الاستراتيجية والتقنية الحيوية التي سيقوم المؤتمر بمعالجتها، فضلا عن الأحداث المت</w:t>
      </w:r>
      <w:r w:rsidR="000D5860" w:rsidRPr="00137D75">
        <w:rPr>
          <w:rFonts w:eastAsia="Times New Roman" w:cs="Simplified Arabic" w:hint="cs"/>
          <w:color w:val="000000" w:themeColor="text1"/>
          <w:rtl/>
          <w:lang w:bidi="ar-SA"/>
        </w:rPr>
        <w:t>و</w:t>
      </w:r>
      <w:r w:rsidRPr="00137D75">
        <w:rPr>
          <w:rFonts w:eastAsia="Times New Roman" w:cs="Simplified Arabic" w:hint="cs"/>
          <w:color w:val="000000" w:themeColor="text1"/>
          <w:rtl/>
          <w:lang w:bidi="ar-SA"/>
        </w:rPr>
        <w:t>ا</w:t>
      </w:r>
      <w:r w:rsidR="000D5860" w:rsidRPr="00137D75">
        <w:rPr>
          <w:rFonts w:eastAsia="Times New Roman" w:cs="Simplified Arabic" w:hint="cs"/>
          <w:color w:val="000000" w:themeColor="text1"/>
          <w:rtl/>
          <w:lang w:bidi="ar-SA"/>
        </w:rPr>
        <w:t>ز</w:t>
      </w:r>
      <w:r w:rsidRPr="00137D75">
        <w:rPr>
          <w:rFonts w:eastAsia="Times New Roman" w:cs="Simplified Arabic" w:hint="cs"/>
          <w:color w:val="000000" w:themeColor="text1"/>
          <w:rtl/>
          <w:lang w:bidi="ar-SA"/>
        </w:rPr>
        <w:t xml:space="preserve">ية والجانبية المختلفة التي تم تنظيمها بهدف المساهمة على نحو كبير في نتائجه. وأعربت أيضا عن تقديرها العميق </w:t>
      </w:r>
      <w:r w:rsidRPr="00137D75">
        <w:rPr>
          <w:rFonts w:eastAsia="Times New Roman" w:cs="Simplified Arabic" w:hint="cs"/>
          <w:color w:val="000000" w:themeColor="text1"/>
          <w:rtl/>
          <w:lang w:bidi="ar-SA"/>
        </w:rPr>
        <w:lastRenderedPageBreak/>
        <w:t>لحكوم</w:t>
      </w:r>
      <w:r w:rsidR="000D5860" w:rsidRPr="00137D75">
        <w:rPr>
          <w:rFonts w:eastAsia="Times New Roman" w:cs="Simplified Arabic" w:hint="cs"/>
          <w:color w:val="000000" w:themeColor="text1"/>
          <w:rtl/>
          <w:lang w:bidi="ar-SA"/>
        </w:rPr>
        <w:t>ات</w:t>
      </w:r>
      <w:r w:rsidRPr="00137D75">
        <w:rPr>
          <w:rFonts w:eastAsia="Times New Roman" w:cs="Simplified Arabic" w:hint="cs"/>
          <w:color w:val="000000" w:themeColor="text1"/>
          <w:rtl/>
          <w:lang w:bidi="ar-SA"/>
        </w:rPr>
        <w:t xml:space="preserve"> أستراليا</w:t>
      </w:r>
      <w:r w:rsidR="000D5860"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وكندا</w:t>
      </w:r>
      <w:r w:rsidR="000D5860"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ومصر</w:t>
      </w:r>
      <w:r w:rsidR="000D5860"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وفنلندا</w:t>
      </w:r>
      <w:r w:rsidR="000D5860"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وألمانيا</w:t>
      </w:r>
      <w:r w:rsidR="000D5860"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واليابان</w:t>
      </w:r>
      <w:r w:rsidR="008D3256"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ونيوزيلندا</w:t>
      </w:r>
      <w:r w:rsidR="008D3256"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والنرويج</w:t>
      </w:r>
      <w:r w:rsidR="008D3256"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والسويد وسويسرا على دعمهم المالي الكريم الذي يهدف إلى حضور المشاركين من البلدان النامية وممثلي الشعوب الأصلية والمجتمعات المحلية. و</w:t>
      </w:r>
      <w:r w:rsidR="008D3256" w:rsidRPr="00137D75">
        <w:rPr>
          <w:rFonts w:eastAsia="Times New Roman" w:cs="Simplified Arabic" w:hint="cs"/>
          <w:color w:val="000000" w:themeColor="text1"/>
          <w:rtl/>
          <w:lang w:bidi="ar-SA"/>
        </w:rPr>
        <w:t>في الختام</w:t>
      </w:r>
      <w:r w:rsidRPr="00137D75">
        <w:rPr>
          <w:rFonts w:eastAsia="Times New Roman" w:cs="Simplified Arabic" w:hint="cs"/>
          <w:color w:val="000000" w:themeColor="text1"/>
          <w:rtl/>
          <w:lang w:bidi="ar-SA"/>
        </w:rPr>
        <w:t xml:space="preserve">، شجعت المؤتمر على أن يكون جريئا وحكيما في مقرراته </w:t>
      </w:r>
      <w:r w:rsidR="00CE1DF7" w:rsidRPr="00137D75">
        <w:rPr>
          <w:rFonts w:eastAsia="Times New Roman" w:cs="Simplified Arabic" w:hint="cs"/>
          <w:color w:val="000000" w:themeColor="text1"/>
          <w:rtl/>
          <w:lang w:bidi="ar-SA"/>
        </w:rPr>
        <w:t>في سعيه المشترك لحماية جميع أشكال الحياة على الأرض.</w:t>
      </w:r>
    </w:p>
    <w:p w:rsidR="008B17F0" w:rsidRPr="00225000" w:rsidRDefault="008B17F0" w:rsidP="005C4526">
      <w:pPr>
        <w:pStyle w:val="ListParagraph"/>
        <w:bidi/>
        <w:spacing w:line="216" w:lineRule="auto"/>
        <w:ind w:left="0" w:firstLine="720"/>
        <w:jc w:val="left"/>
        <w:rPr>
          <w:rFonts w:eastAsia="Times New Roman" w:cs="Simplified Arabic"/>
          <w:i/>
          <w:iCs/>
          <w:color w:val="000000" w:themeColor="text1"/>
          <w:lang w:bidi="ar-SA"/>
        </w:rPr>
      </w:pPr>
      <w:r w:rsidRPr="00225000">
        <w:rPr>
          <w:rFonts w:eastAsia="Times New Roman" w:cs="Simplified Arabic" w:hint="cs"/>
          <w:i/>
          <w:iCs/>
          <w:color w:val="000000" w:themeColor="text1"/>
          <w:rtl/>
          <w:lang w:bidi="ar-SA"/>
        </w:rPr>
        <w:t xml:space="preserve">الكلمة الافتتاحية للسيدة </w:t>
      </w:r>
      <w:r w:rsidR="005C4526" w:rsidRPr="005C4526">
        <w:rPr>
          <w:rFonts w:ascii="Simplified Arabic" w:hAnsi="Simplified Arabic" w:cs="Simplified Arabic"/>
          <w:i/>
          <w:iCs/>
          <w:color w:val="000000"/>
          <w:sz w:val="24"/>
          <w:rtl/>
        </w:rPr>
        <w:t>ماريا فرناندا إسبينوسا غارسيس</w:t>
      </w:r>
      <w:r w:rsidRPr="00225000">
        <w:rPr>
          <w:rFonts w:eastAsia="Times New Roman" w:cs="Simplified Arabic" w:hint="cs"/>
          <w:i/>
          <w:iCs/>
          <w:color w:val="000000" w:themeColor="text1"/>
          <w:rtl/>
          <w:lang w:bidi="ar-SA"/>
        </w:rPr>
        <w:t>، رئيسة الجمعية العامة للأمم المتحدة (عبر الفيديو)</w:t>
      </w:r>
    </w:p>
    <w:p w:rsidR="00046226" w:rsidRPr="00137D75" w:rsidRDefault="00046226" w:rsidP="005C4526">
      <w:pPr>
        <w:pStyle w:val="ListParagraph"/>
        <w:numPr>
          <w:ilvl w:val="0"/>
          <w:numId w:val="9"/>
        </w:numPr>
        <w:bidi/>
        <w:spacing w:after="216"/>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 xml:space="preserve">قالت السيدة </w:t>
      </w:r>
      <w:r w:rsidR="005C4526">
        <w:rPr>
          <w:rFonts w:eastAsia="Times New Roman" w:cs="Simplified Arabic" w:hint="cs"/>
          <w:color w:val="000000" w:themeColor="text1"/>
          <w:rtl/>
          <w:lang w:bidi="ar-SA"/>
        </w:rPr>
        <w:t>إ</w:t>
      </w:r>
      <w:r w:rsidRPr="00137D75">
        <w:rPr>
          <w:rFonts w:eastAsia="Times New Roman" w:cs="Simplified Arabic" w:hint="cs"/>
          <w:color w:val="000000" w:themeColor="text1"/>
          <w:rtl/>
          <w:lang w:bidi="ar-SA"/>
        </w:rPr>
        <w:t>سبينو</w:t>
      </w:r>
      <w:r w:rsidR="005C4526">
        <w:rPr>
          <w:rFonts w:eastAsia="Times New Roman" w:cs="Simplified Arabic" w:hint="cs"/>
          <w:color w:val="000000" w:themeColor="text1"/>
          <w:rtl/>
          <w:lang w:bidi="ar-SA"/>
        </w:rPr>
        <w:t>س</w:t>
      </w:r>
      <w:r w:rsidRPr="00137D75">
        <w:rPr>
          <w:rFonts w:eastAsia="Times New Roman" w:cs="Simplified Arabic" w:hint="cs"/>
          <w:color w:val="000000" w:themeColor="text1"/>
          <w:rtl/>
          <w:lang w:bidi="ar-SA"/>
        </w:rPr>
        <w:t>ا، في كلمتها المسجلة بالفيديو مسبقا، إن البشرية ككل شاركت الاهتمام في حماية التنوع البيولوجي وصحة النظم الإيكولوجية لمصلحة بقائها نفسها ولبقاء الكوكب؛ وإن الاستخدام المستدام للموارد الطبيعية في كل بلد ومنطقة يعتبر أساسيا للتنمية المستدامة، والقضاء على الفقر، وحماية حقوق الإنسان والتعايش السلمي للشعوب والأمم</w:t>
      </w:r>
      <w:r w:rsidR="008D3256"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و</w:t>
      </w:r>
      <w:r w:rsidR="001F7AC7" w:rsidRPr="00137D75">
        <w:rPr>
          <w:rFonts w:eastAsia="Times New Roman" w:cs="Simplified Arabic" w:hint="cs"/>
          <w:color w:val="000000" w:themeColor="text1"/>
          <w:rtl/>
          <w:lang w:bidi="ar-SA"/>
        </w:rPr>
        <w:t xml:space="preserve">لذلك، </w:t>
      </w:r>
      <w:r w:rsidRPr="00137D75">
        <w:rPr>
          <w:rFonts w:eastAsia="Times New Roman" w:cs="Simplified Arabic" w:hint="cs"/>
          <w:color w:val="000000" w:themeColor="text1"/>
          <w:rtl/>
          <w:lang w:bidi="ar-SA"/>
        </w:rPr>
        <w:t>من الحيوي عكس الاتجاه الذي شهد الفقدان الهائل لأنواع النباتات والحيوانات التي سببتها الأنشطة البشرية منذ السبعينيات. وتحقيقا لهذا الغرض، يجب أن يوفي المشاركون في الاج</w:t>
      </w:r>
      <w:r w:rsidR="00CE1DF7" w:rsidRPr="00137D75">
        <w:rPr>
          <w:rFonts w:eastAsia="Times New Roman" w:cs="Simplified Arabic" w:hint="cs"/>
          <w:color w:val="000000" w:themeColor="text1"/>
          <w:rtl/>
          <w:lang w:bidi="ar-SA"/>
        </w:rPr>
        <w:t>تماع الحالي للأطراف مسؤوليتهم لض</w:t>
      </w:r>
      <w:r w:rsidRPr="00137D75">
        <w:rPr>
          <w:rFonts w:eastAsia="Times New Roman" w:cs="Simplified Arabic" w:hint="cs"/>
          <w:color w:val="000000" w:themeColor="text1"/>
          <w:rtl/>
          <w:lang w:bidi="ar-SA"/>
        </w:rPr>
        <w:t>مان تنفيذ الاتفاقات البيئية المتعددة الأطراف الثلاثة المستقلة والمتداعمة بشأن التنوع البيولوجي، وتغير المناخ ومكافحة التصحر، فضلا عن تحقيق حوالي ثلثي أهداف خطة التنمية المستدامة لعام 2030.</w:t>
      </w:r>
    </w:p>
    <w:p w:rsidR="00046226" w:rsidRPr="00137D75" w:rsidRDefault="00046226" w:rsidP="00FF7FA5">
      <w:pPr>
        <w:pStyle w:val="ListParagraph"/>
        <w:numPr>
          <w:ilvl w:val="0"/>
          <w:numId w:val="9"/>
        </w:numPr>
        <w:bidi/>
        <w:spacing w:after="216"/>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وبالإضافة إلى ت</w:t>
      </w:r>
      <w:r w:rsidR="00553201" w:rsidRPr="00137D75">
        <w:rPr>
          <w:rFonts w:eastAsia="Times New Roman" w:cs="Simplified Arabic" w:hint="cs"/>
          <w:color w:val="000000" w:themeColor="text1"/>
          <w:rtl/>
          <w:lang w:bidi="ar-SA"/>
        </w:rPr>
        <w:t>زويد</w:t>
      </w:r>
      <w:r w:rsidRPr="00137D75">
        <w:rPr>
          <w:rFonts w:eastAsia="Times New Roman" w:cs="Simplified Arabic" w:hint="cs"/>
          <w:color w:val="000000" w:themeColor="text1"/>
          <w:rtl/>
          <w:lang w:bidi="ar-SA"/>
        </w:rPr>
        <w:t xml:space="preserve"> البشرية بوسائل لل</w:t>
      </w:r>
      <w:r w:rsidR="009367A3" w:rsidRPr="00137D75">
        <w:rPr>
          <w:rFonts w:eastAsia="Times New Roman" w:cs="Simplified Arabic" w:hint="cs"/>
          <w:color w:val="000000" w:themeColor="text1"/>
          <w:rtl/>
          <w:lang w:bidi="ar-SA"/>
        </w:rPr>
        <w:t xml:space="preserve">دفاع ضد الكوارث الطبيعية، وعدم الأمن المائي والغذائي والأمراض، فإن التنوع البيولوجي له أثر أيضا على أمور مثل الهجرة والمساواة بين الجنسين: </w:t>
      </w:r>
      <w:r w:rsidR="00553201" w:rsidRPr="00137D75">
        <w:rPr>
          <w:rFonts w:eastAsia="Times New Roman" w:cs="Simplified Arabic" w:hint="cs"/>
          <w:color w:val="000000" w:themeColor="text1"/>
          <w:rtl/>
          <w:lang w:bidi="ar-SA"/>
        </w:rPr>
        <w:t>فقد أدت زيادة بنسبة 1 في المائة في الفقر على المستوى العالمي إلى زيادة بنسبة 2 في المائة في الهجرة، التي دعت إلى إجراءات تعاونية لضمان أنه</w:t>
      </w:r>
      <w:r w:rsidR="001F7AC7" w:rsidRPr="00137D75">
        <w:rPr>
          <w:rFonts w:eastAsia="Times New Roman" w:cs="Simplified Arabic" w:hint="cs"/>
          <w:color w:val="000000" w:themeColor="text1"/>
          <w:rtl/>
          <w:lang w:bidi="ar-SA"/>
        </w:rPr>
        <w:t>ا</w:t>
      </w:r>
      <w:r w:rsidR="00553201" w:rsidRPr="00137D75">
        <w:rPr>
          <w:rFonts w:eastAsia="Times New Roman" w:cs="Simplified Arabic" w:hint="cs"/>
          <w:color w:val="000000" w:themeColor="text1"/>
          <w:rtl/>
          <w:lang w:bidi="ar-SA"/>
        </w:rPr>
        <w:t xml:space="preserve"> آمنة ومنظمة ومنسقة، ويمكن أن تساعد الجهود للتصدي لفقدان التنوع البيولوجي وتدهور النظم الإيكولوجية في مكافحة عدم المساواة بين ال</w:t>
      </w:r>
      <w:r w:rsidR="001F7AC7" w:rsidRPr="00137D75">
        <w:rPr>
          <w:rFonts w:eastAsia="Times New Roman" w:cs="Simplified Arabic" w:hint="cs"/>
          <w:color w:val="000000" w:themeColor="text1"/>
          <w:rtl/>
          <w:lang w:bidi="ar-SA"/>
        </w:rPr>
        <w:t>ج</w:t>
      </w:r>
      <w:r w:rsidR="00553201" w:rsidRPr="00137D75">
        <w:rPr>
          <w:rFonts w:eastAsia="Times New Roman" w:cs="Simplified Arabic" w:hint="cs"/>
          <w:color w:val="000000" w:themeColor="text1"/>
          <w:rtl/>
          <w:lang w:bidi="ar-SA"/>
        </w:rPr>
        <w:t>نسين عن طريق تزويد النساء والبنات بالحصول على التعليم والأنشطة المنتجة.</w:t>
      </w:r>
    </w:p>
    <w:p w:rsidR="00553201" w:rsidRPr="00137D75" w:rsidRDefault="00553201" w:rsidP="00FF7FA5">
      <w:pPr>
        <w:pStyle w:val="ListParagraph"/>
        <w:numPr>
          <w:ilvl w:val="0"/>
          <w:numId w:val="9"/>
        </w:numPr>
        <w:bidi/>
        <w:spacing w:after="216"/>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ويرتبط بقاء البشرية على نحو أساسي بقدرتها على ال</w:t>
      </w:r>
      <w:r w:rsidR="00544322">
        <w:rPr>
          <w:rFonts w:eastAsia="Times New Roman" w:cs="Simplified Arabic" w:hint="cs"/>
          <w:color w:val="000000" w:themeColor="text1"/>
          <w:rtl/>
          <w:lang w:bidi="ar-SA"/>
        </w:rPr>
        <w:t>حياة</w:t>
      </w:r>
      <w:r w:rsidRPr="00137D75">
        <w:rPr>
          <w:rFonts w:eastAsia="Times New Roman" w:cs="Simplified Arabic" w:hint="cs"/>
          <w:color w:val="000000" w:themeColor="text1"/>
          <w:rtl/>
          <w:lang w:bidi="ar-SA"/>
        </w:rPr>
        <w:t xml:space="preserve"> في </w:t>
      </w:r>
      <w:r w:rsidR="00544322">
        <w:rPr>
          <w:rFonts w:eastAsia="Times New Roman" w:cs="Simplified Arabic" w:hint="cs"/>
          <w:color w:val="000000" w:themeColor="text1"/>
          <w:rtl/>
          <w:lang w:bidi="ar-SA"/>
        </w:rPr>
        <w:t>تناغم</w:t>
      </w:r>
      <w:r w:rsidRPr="00137D75">
        <w:rPr>
          <w:rFonts w:eastAsia="Times New Roman" w:cs="Simplified Arabic" w:hint="cs"/>
          <w:color w:val="000000" w:themeColor="text1"/>
          <w:rtl/>
          <w:lang w:bidi="ar-SA"/>
        </w:rPr>
        <w:t xml:space="preserve"> مع الطبيعة، و</w:t>
      </w:r>
      <w:r w:rsidR="001F7AC7" w:rsidRPr="00137D75">
        <w:rPr>
          <w:rFonts w:eastAsia="Times New Roman" w:cs="Simplified Arabic" w:hint="cs"/>
          <w:color w:val="000000" w:themeColor="text1"/>
          <w:rtl/>
          <w:lang w:bidi="ar-SA"/>
        </w:rPr>
        <w:t xml:space="preserve">من الضروري في الأوقات المتغيرة بسرعة </w:t>
      </w:r>
      <w:r w:rsidRPr="00137D75">
        <w:rPr>
          <w:rFonts w:eastAsia="Times New Roman" w:cs="Simplified Arabic" w:hint="cs"/>
          <w:color w:val="000000" w:themeColor="text1"/>
          <w:rtl/>
          <w:lang w:bidi="ar-SA"/>
        </w:rPr>
        <w:t>ضمان أن تلك القدرة لا تنتقص ل</w:t>
      </w:r>
      <w:r w:rsidR="00CE1DF7" w:rsidRPr="00137D75">
        <w:rPr>
          <w:rFonts w:eastAsia="Times New Roman" w:cs="Simplified Arabic" w:hint="cs"/>
          <w:color w:val="000000" w:themeColor="text1"/>
          <w:rtl/>
          <w:lang w:bidi="ar-SA"/>
        </w:rPr>
        <w:t>لأج</w:t>
      </w:r>
      <w:r w:rsidRPr="00137D75">
        <w:rPr>
          <w:rFonts w:eastAsia="Times New Roman" w:cs="Simplified Arabic" w:hint="cs"/>
          <w:color w:val="000000" w:themeColor="text1"/>
          <w:rtl/>
          <w:lang w:bidi="ar-SA"/>
        </w:rPr>
        <w:t xml:space="preserve">يال القادمة من خلال التنمية غير المستدامة. وقد التزمت الشعوب الأصلية في أمريكا اللاتينية منذ زمن، بمبدأ </w:t>
      </w:r>
      <w:r w:rsidRPr="00137D75">
        <w:rPr>
          <w:rFonts w:eastAsia="Times New Roman" w:cs="Simplified Arabic" w:hint="cs"/>
          <w:i/>
          <w:iCs/>
          <w:color w:val="000000" w:themeColor="text1"/>
          <w:rtl/>
          <w:lang w:bidi="ar-SA"/>
        </w:rPr>
        <w:t>("الحياة الأفضل"</w:t>
      </w:r>
      <w:r w:rsidRPr="00137D75">
        <w:rPr>
          <w:rFonts w:eastAsia="Times New Roman" w:cs="Simplified Arabic" w:hint="cs"/>
          <w:color w:val="000000" w:themeColor="text1"/>
          <w:rtl/>
          <w:lang w:bidi="ar-SA"/>
        </w:rPr>
        <w:t xml:space="preserve">) الذي يدعو إلى التوازن مع الطبيعة، مع توعية </w:t>
      </w:r>
      <w:r w:rsidR="001F7AC7" w:rsidRPr="00137D75">
        <w:rPr>
          <w:rFonts w:eastAsia="Times New Roman" w:cs="Simplified Arabic" w:hint="cs"/>
          <w:color w:val="000000" w:themeColor="text1"/>
          <w:rtl/>
          <w:lang w:bidi="ar-SA"/>
        </w:rPr>
        <w:t>مشترك</w:t>
      </w:r>
      <w:r w:rsidRPr="00137D75">
        <w:rPr>
          <w:rFonts w:eastAsia="Times New Roman" w:cs="Simplified Arabic" w:hint="cs"/>
          <w:color w:val="000000" w:themeColor="text1"/>
          <w:rtl/>
          <w:lang w:bidi="ar-SA"/>
        </w:rPr>
        <w:t xml:space="preserve">ة لأهمية رفاه الفرد، والحرية والكرامة. ومن المأمول فيه أن يرشد هذا المبدأ مؤتمر الأطراف في مداولاته في الاجتماع الحالي وفي جهوده </w:t>
      </w:r>
      <w:r w:rsidR="001F7AC7" w:rsidRPr="00137D75">
        <w:rPr>
          <w:rFonts w:eastAsia="Times New Roman" w:cs="Simplified Arabic" w:hint="cs"/>
          <w:color w:val="000000" w:themeColor="text1"/>
          <w:rtl/>
          <w:lang w:bidi="ar-SA"/>
        </w:rPr>
        <w:t>للتوصل إلى اتفاق بشأن ال</w:t>
      </w:r>
      <w:r w:rsidRPr="00137D75">
        <w:rPr>
          <w:rFonts w:eastAsia="Times New Roman" w:cs="Simplified Arabic" w:hint="cs"/>
          <w:color w:val="000000" w:themeColor="text1"/>
          <w:rtl/>
          <w:lang w:bidi="ar-SA"/>
        </w:rPr>
        <w:t>قر</w:t>
      </w:r>
      <w:r w:rsidR="001F7AC7" w:rsidRPr="00137D75">
        <w:rPr>
          <w:rFonts w:eastAsia="Times New Roman" w:cs="Simplified Arabic" w:hint="cs"/>
          <w:color w:val="000000" w:themeColor="text1"/>
          <w:rtl/>
          <w:lang w:bidi="ar-SA"/>
        </w:rPr>
        <w:t>ا</w:t>
      </w:r>
      <w:r w:rsidRPr="00137D75">
        <w:rPr>
          <w:rFonts w:eastAsia="Times New Roman" w:cs="Simplified Arabic" w:hint="cs"/>
          <w:color w:val="000000" w:themeColor="text1"/>
          <w:rtl/>
          <w:lang w:bidi="ar-SA"/>
        </w:rPr>
        <w:t>رات الشجاعة والضرورية اللازمة لرفاه البشر وحماية الكوكب الذي نعيش فيه</w:t>
      </w:r>
      <w:r w:rsidR="001F7AC7" w:rsidRPr="00137D75">
        <w:rPr>
          <w:rFonts w:eastAsia="Times New Roman" w:cs="Simplified Arabic" w:hint="cs"/>
          <w:color w:val="000000" w:themeColor="text1"/>
          <w:rtl/>
          <w:lang w:bidi="ar-SA"/>
        </w:rPr>
        <w:t>،</w:t>
      </w:r>
      <w:r w:rsidRPr="00137D75">
        <w:rPr>
          <w:rFonts w:eastAsia="Times New Roman" w:cs="Simplified Arabic" w:hint="cs"/>
          <w:color w:val="000000" w:themeColor="text1"/>
          <w:rtl/>
          <w:lang w:bidi="ar-SA"/>
        </w:rPr>
        <w:t xml:space="preserve"> </w:t>
      </w:r>
      <w:r w:rsidR="001F7AC7" w:rsidRPr="00137D75">
        <w:rPr>
          <w:rFonts w:eastAsia="Times New Roman" w:cs="Simplified Arabic" w:hint="cs"/>
          <w:color w:val="000000" w:themeColor="text1"/>
          <w:rtl/>
          <w:lang w:bidi="ar-SA"/>
        </w:rPr>
        <w:t xml:space="preserve">ولاسيما </w:t>
      </w:r>
      <w:r w:rsidRPr="00137D75">
        <w:rPr>
          <w:rFonts w:eastAsia="Times New Roman" w:cs="Simplified Arabic" w:hint="cs"/>
          <w:color w:val="000000" w:themeColor="text1"/>
          <w:rtl/>
          <w:lang w:bidi="ar-SA"/>
        </w:rPr>
        <w:t>فيما يتعلق بإطار جديد للتنوع البيولوجي للفترة بعد عام 2020.</w:t>
      </w:r>
    </w:p>
    <w:p w:rsidR="0060267F" w:rsidRPr="00225000" w:rsidRDefault="009B6671" w:rsidP="00225000">
      <w:pPr>
        <w:pStyle w:val="Para10"/>
        <w:numPr>
          <w:ilvl w:val="0"/>
          <w:numId w:val="0"/>
        </w:numPr>
        <w:bidi/>
        <w:spacing w:before="0" w:line="216" w:lineRule="auto"/>
        <w:ind w:firstLine="720"/>
        <w:jc w:val="left"/>
        <w:rPr>
          <w:rFonts w:cs="Simplified Arabic"/>
          <w:i/>
          <w:iCs/>
          <w:szCs w:val="24"/>
          <w:lang w:val="en-US"/>
        </w:rPr>
      </w:pPr>
      <w:r w:rsidRPr="00225000">
        <w:rPr>
          <w:rFonts w:cs="Simplified Arabic" w:hint="cs"/>
          <w:i/>
          <w:iCs/>
          <w:szCs w:val="24"/>
          <w:rtl/>
          <w:lang w:val="en-US"/>
        </w:rPr>
        <w:t>الكلمة الافتتاحية للسيد عبد الفتاح السيسي، رئيس مصر</w:t>
      </w:r>
    </w:p>
    <w:p w:rsidR="009B6671" w:rsidRPr="00137D75" w:rsidRDefault="00CE1DF7" w:rsidP="00FF7FA5">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lang w:bidi="ar-SA"/>
        </w:rPr>
        <w:t>رحب السيد السيسي ترحيبا حارا بالنيابة عن الشعب المصري بجميع الحاضرين للمؤتمر في شرم الشيخ، مدينة السلام، قائل</w:t>
      </w:r>
      <w:r w:rsidR="001F7AC7" w:rsidRPr="00137D75">
        <w:rPr>
          <w:rFonts w:eastAsia="Times New Roman" w:cs="Simplified Arabic" w:hint="cs"/>
          <w:color w:val="000000" w:themeColor="text1"/>
          <w:rtl/>
          <w:lang w:bidi="ar-SA"/>
        </w:rPr>
        <w:t>ا</w:t>
      </w:r>
      <w:r w:rsidRPr="00137D75">
        <w:rPr>
          <w:rFonts w:eastAsia="Times New Roman" w:cs="Simplified Arabic" w:hint="cs"/>
          <w:color w:val="000000" w:themeColor="text1"/>
          <w:rtl/>
          <w:lang w:bidi="ar-SA"/>
        </w:rPr>
        <w:t xml:space="preserve"> إن الالتزام الأبدي للبشرية بحفظ البيئة يتمثل على أفضل نحو في النصوص المقدسة لمصر القديمة، وهي حضارة ازدهرت </w:t>
      </w:r>
      <w:r w:rsidR="001F7AC7" w:rsidRPr="00137D75">
        <w:rPr>
          <w:rFonts w:eastAsia="Times New Roman" w:cs="Simplified Arabic" w:hint="cs"/>
          <w:color w:val="000000" w:themeColor="text1"/>
          <w:rtl/>
          <w:lang w:bidi="ar-SA"/>
        </w:rPr>
        <w:t>ب</w:t>
      </w:r>
      <w:r w:rsidRPr="00137D75">
        <w:rPr>
          <w:rFonts w:eastAsia="Times New Roman" w:cs="Simplified Arabic" w:hint="cs"/>
          <w:color w:val="000000" w:themeColor="text1"/>
          <w:rtl/>
          <w:lang w:bidi="ar-SA"/>
        </w:rPr>
        <w:t>مواردها الطبيعية.</w:t>
      </w:r>
      <w:r w:rsidRPr="00137D75">
        <w:rPr>
          <w:rFonts w:eastAsia="Times New Roman" w:cs="Simplified Arabic"/>
          <w:color w:val="000000" w:themeColor="text1"/>
          <w:lang w:bidi="ar-SA"/>
        </w:rPr>
        <w:t xml:space="preserve"> </w:t>
      </w:r>
      <w:r w:rsidRPr="00137D75">
        <w:rPr>
          <w:rFonts w:eastAsia="Times New Roman" w:cs="Simplified Arabic" w:hint="cs"/>
          <w:color w:val="000000" w:themeColor="text1"/>
          <w:rtl/>
        </w:rPr>
        <w:t>وفي مصر ا</w:t>
      </w:r>
      <w:r w:rsidR="001F7AC7" w:rsidRPr="00137D75">
        <w:rPr>
          <w:rFonts w:eastAsia="Times New Roman" w:cs="Simplified Arabic" w:hint="cs"/>
          <w:color w:val="000000" w:themeColor="text1"/>
          <w:rtl/>
        </w:rPr>
        <w:t>لح</w:t>
      </w:r>
      <w:r w:rsidRPr="00137D75">
        <w:rPr>
          <w:rFonts w:eastAsia="Times New Roman" w:cs="Simplified Arabic" w:hint="cs"/>
          <w:color w:val="000000" w:themeColor="text1"/>
          <w:rtl/>
        </w:rPr>
        <w:t>ديثة، تم أيضا اتباع مسار للتنمية المستدامة والعدالة الاجتماعية مع الأخذ في الحسبان اعتبارات بيئية واسعة النطاق. وبالفعل</w:t>
      </w:r>
      <w:r w:rsidR="001F7AC7" w:rsidRPr="00137D75">
        <w:rPr>
          <w:rFonts w:eastAsia="Times New Roman" w:cs="Simplified Arabic" w:hint="cs"/>
          <w:color w:val="000000" w:themeColor="text1"/>
          <w:rtl/>
        </w:rPr>
        <w:t>،</w:t>
      </w:r>
      <w:r w:rsidRPr="00137D75">
        <w:rPr>
          <w:rFonts w:eastAsia="Times New Roman" w:cs="Simplified Arabic" w:hint="cs"/>
          <w:color w:val="000000" w:themeColor="text1"/>
          <w:rtl/>
        </w:rPr>
        <w:t xml:space="preserve"> حدد الدستور المصري أساسا صارما لحماية الموارد الطبيعية في البلد واستخدامها الرشيد، بما في ذلك لغرض حماية النباتات والحيوانات البرية من الانقراض.</w:t>
      </w:r>
    </w:p>
    <w:p w:rsidR="00CE1DF7" w:rsidRPr="00137D75" w:rsidRDefault="00CE1DF7" w:rsidP="00FF7FA5">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rPr>
        <w:t xml:space="preserve">وبالرغم من الجهود التي بذلها، فإن المجتمع الدولي لم يتكمن من وقف تدهور التنوع البيولوجي وتحسين الإدارة المستدامة للموارد الطبيعية. ولذلك سعى إلى حشد المزيد لتعزيز تعميم التنوع البيولوجي من خلال إعلان الفترة 2011-2020 كعقد الأمم المتحدة للتنوع البيولوجي بهدف تعزيز تنفيذ الخطة الاستراتيجية للتنوع البيولوجي على مدى نفس الفترة. ومع ذلك يستمر فقدان التنوع البيولوجي والنظم الإيكولوجية نظرا إلى العوامل مثل تغير المناخ، التي تشكل تحديات </w:t>
      </w:r>
      <w:r w:rsidR="00833962" w:rsidRPr="00137D75">
        <w:rPr>
          <w:rFonts w:eastAsia="Times New Roman" w:cs="Simplified Arabic" w:hint="cs"/>
          <w:color w:val="000000" w:themeColor="text1"/>
          <w:rtl/>
        </w:rPr>
        <w:t>هائل</w:t>
      </w:r>
      <w:r w:rsidRPr="00137D75">
        <w:rPr>
          <w:rFonts w:eastAsia="Times New Roman" w:cs="Simplified Arabic" w:hint="cs"/>
          <w:color w:val="000000" w:themeColor="text1"/>
          <w:rtl/>
        </w:rPr>
        <w:t>ة وتهدد البشرية في نهاية الأمر.</w:t>
      </w:r>
    </w:p>
    <w:p w:rsidR="00CE1DF7" w:rsidRPr="00137D75" w:rsidRDefault="003A2B19" w:rsidP="00FF7FA5">
      <w:pPr>
        <w:pStyle w:val="ListParagraph"/>
        <w:numPr>
          <w:ilvl w:val="0"/>
          <w:numId w:val="9"/>
        </w:numPr>
        <w:bidi/>
        <w:spacing w:line="216" w:lineRule="auto"/>
        <w:ind w:left="0" w:firstLine="0"/>
        <w:rPr>
          <w:rFonts w:eastAsia="Times New Roman" w:cs="Simplified Arabic"/>
          <w:color w:val="000000" w:themeColor="text1"/>
          <w:lang w:bidi="ar-SA"/>
        </w:rPr>
      </w:pPr>
      <w:r w:rsidRPr="00137D75">
        <w:rPr>
          <w:rFonts w:eastAsia="Times New Roman" w:cs="Simplified Arabic" w:hint="cs"/>
          <w:color w:val="000000" w:themeColor="text1"/>
          <w:rtl/>
        </w:rPr>
        <w:lastRenderedPageBreak/>
        <w:t>و</w:t>
      </w:r>
      <w:r w:rsidR="00833962" w:rsidRPr="00137D75">
        <w:rPr>
          <w:rFonts w:eastAsia="Times New Roman" w:cs="Simplified Arabic" w:hint="cs"/>
          <w:color w:val="000000" w:themeColor="text1"/>
          <w:rtl/>
        </w:rPr>
        <w:t xml:space="preserve">لذلك، كان </w:t>
      </w:r>
      <w:r w:rsidRPr="00137D75">
        <w:rPr>
          <w:rFonts w:eastAsia="Times New Roman" w:cs="Simplified Arabic" w:hint="cs"/>
          <w:color w:val="000000" w:themeColor="text1"/>
          <w:rtl/>
        </w:rPr>
        <w:t>شعار المؤتمر</w:t>
      </w:r>
      <w:r w:rsidR="00225000">
        <w:rPr>
          <w:rFonts w:eastAsia="Times New Roman" w:cs="Simplified Arabic" w:hint="cs"/>
          <w:color w:val="000000" w:themeColor="text1"/>
          <w:rtl/>
        </w:rPr>
        <w:t xml:space="preserve"> -</w:t>
      </w:r>
      <w:r w:rsidRPr="00137D75">
        <w:rPr>
          <w:rFonts w:eastAsia="Times New Roman" w:cs="Simplified Arabic" w:hint="cs"/>
          <w:color w:val="000000" w:themeColor="text1"/>
          <w:rtl/>
        </w:rPr>
        <w:t xml:space="preserve"> "الاستثمار في التنوع البيولوجي للناس والكوكب" </w:t>
      </w:r>
      <w:r w:rsidR="00225000">
        <w:rPr>
          <w:rFonts w:eastAsia="Times New Roman" w:cs="Simplified Arabic" w:hint="cs"/>
          <w:color w:val="000000" w:themeColor="text1"/>
          <w:rtl/>
        </w:rPr>
        <w:t xml:space="preserve">- </w:t>
      </w:r>
      <w:r w:rsidRPr="00137D75">
        <w:rPr>
          <w:rFonts w:eastAsia="Times New Roman" w:cs="Simplified Arabic" w:hint="cs"/>
          <w:color w:val="000000" w:themeColor="text1"/>
          <w:rtl/>
        </w:rPr>
        <w:t>متعلقا بدرجة عالية ومنعكسا في شواغ</w:t>
      </w:r>
      <w:r w:rsidR="00B51537" w:rsidRPr="00137D75">
        <w:rPr>
          <w:rFonts w:eastAsia="Times New Roman" w:cs="Simplified Arabic" w:hint="cs"/>
          <w:color w:val="000000" w:themeColor="text1"/>
          <w:rtl/>
        </w:rPr>
        <w:t>ل</w:t>
      </w:r>
      <w:r w:rsidRPr="00137D75">
        <w:rPr>
          <w:rFonts w:eastAsia="Times New Roman" w:cs="Simplified Arabic" w:hint="cs"/>
          <w:color w:val="000000" w:themeColor="text1"/>
          <w:rtl/>
        </w:rPr>
        <w:t xml:space="preserve"> تعميم التنوع البيولوجي في جميع جوانب الحياة لضمان حمايته وحفظه وإدارته المستدامة، كهدف يدعو إلى التعاون الدولي والتفاوض المتعدد الأطراف والتسيق بين القطاعات المتعددة. وتعتمد مصر على الدعم</w:t>
      </w:r>
      <w:r w:rsidR="00833962" w:rsidRPr="00137D75">
        <w:rPr>
          <w:rFonts w:eastAsia="Times New Roman" w:cs="Simplified Arabic" w:hint="cs"/>
          <w:color w:val="000000" w:themeColor="text1"/>
          <w:rtl/>
        </w:rPr>
        <w:t xml:space="preserve"> ف</w:t>
      </w:r>
      <w:r w:rsidRPr="00137D75">
        <w:rPr>
          <w:rFonts w:eastAsia="Times New Roman" w:cs="Simplified Arabic" w:hint="cs"/>
          <w:color w:val="000000" w:themeColor="text1"/>
          <w:rtl/>
        </w:rPr>
        <w:t>ي سعيها لاتباع تدابير ومبادرات مصممة لمكافحة تغير المناخ والتصحر و</w:t>
      </w:r>
      <w:r w:rsidR="00833962" w:rsidRPr="00137D75">
        <w:rPr>
          <w:rFonts w:eastAsia="Times New Roman" w:cs="Simplified Arabic" w:hint="cs"/>
          <w:color w:val="000000" w:themeColor="text1"/>
          <w:rtl/>
        </w:rPr>
        <w:t>صون</w:t>
      </w:r>
      <w:r w:rsidRPr="00137D75">
        <w:rPr>
          <w:rFonts w:eastAsia="Times New Roman" w:cs="Simplified Arabic" w:hint="cs"/>
          <w:color w:val="000000" w:themeColor="text1"/>
          <w:rtl/>
        </w:rPr>
        <w:t xml:space="preserve"> التنوع البيولوجي بما يتماشى مع الاتفاقيات ذات الصلة. وتحقيقا لهذه الأغراض، </w:t>
      </w:r>
      <w:r w:rsidR="00B51537" w:rsidRPr="00137D75">
        <w:rPr>
          <w:rFonts w:eastAsia="Times New Roman" w:cs="Simplified Arabic" w:hint="cs"/>
          <w:color w:val="000000" w:themeColor="text1"/>
          <w:rtl/>
          <w:lang w:bidi="ar-SA"/>
        </w:rPr>
        <w:t xml:space="preserve">قام بحشد </w:t>
      </w:r>
      <w:r w:rsidR="00066829" w:rsidRPr="00137D75">
        <w:rPr>
          <w:rFonts w:eastAsia="Times New Roman" w:cs="Simplified Arabic" w:hint="cs"/>
          <w:color w:val="000000" w:themeColor="text1"/>
          <w:rtl/>
          <w:lang w:bidi="ar-SA"/>
        </w:rPr>
        <w:t>الالتزامات المالية والتقنية وشكل شراكات مع أصحاب المصلحة المعنيين، بما في ذلك المجتمع الم</w:t>
      </w:r>
      <w:r w:rsidR="00833962" w:rsidRPr="00137D75">
        <w:rPr>
          <w:rFonts w:eastAsia="Times New Roman" w:cs="Simplified Arabic" w:hint="cs"/>
          <w:color w:val="000000" w:themeColor="text1"/>
          <w:rtl/>
          <w:lang w:bidi="ar-SA"/>
        </w:rPr>
        <w:t>د</w:t>
      </w:r>
      <w:r w:rsidR="00066829" w:rsidRPr="00137D75">
        <w:rPr>
          <w:rFonts w:eastAsia="Times New Roman" w:cs="Simplified Arabic" w:hint="cs"/>
          <w:color w:val="000000" w:themeColor="text1"/>
          <w:rtl/>
          <w:lang w:bidi="ar-SA"/>
        </w:rPr>
        <w:t>ني والقطاع الخاص. ومن ناحية أوسع نطاقا، قال إنه من الحيوي ليس فحسب زيادة التوعية بالتنوع البيولوجي وبالمخاطر التي يفرضها عن طريق التدهور المستمر للموارد الطبيعية، بل أيضا للانتقال من الرؤى إلى العمل. ومع ذلك الهدف، أعرب عن تميناته بأن يحقق المؤتمر كل النجاح في مداولاته.</w:t>
      </w:r>
    </w:p>
    <w:p w:rsidR="00066829" w:rsidRPr="00225000" w:rsidRDefault="00066829" w:rsidP="00066829">
      <w:pPr>
        <w:pStyle w:val="ListParagraph"/>
        <w:bidi/>
        <w:spacing w:line="216" w:lineRule="auto"/>
        <w:ind w:left="0" w:firstLine="720"/>
        <w:rPr>
          <w:rFonts w:eastAsia="Times New Roman" w:cs="Simplified Arabic"/>
          <w:i/>
          <w:iCs/>
          <w:color w:val="000000" w:themeColor="text1"/>
          <w:lang w:bidi="ar-SA"/>
        </w:rPr>
      </w:pPr>
      <w:r w:rsidRPr="00225000">
        <w:rPr>
          <w:rFonts w:eastAsia="Times New Roman" w:cs="Simplified Arabic" w:hint="cs"/>
          <w:i/>
          <w:iCs/>
          <w:color w:val="000000" w:themeColor="text1"/>
          <w:rtl/>
          <w:lang w:bidi="ar-SA"/>
        </w:rPr>
        <w:t>البيانات الإقليمية</w:t>
      </w:r>
    </w:p>
    <w:p w:rsidR="0060267F" w:rsidRPr="00137D75" w:rsidRDefault="00066829" w:rsidP="00BE59F0">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قال ممثل الأرجنتين، متحدثا بالنيابة عن مجموعة أمريكا اللاتينية والبحر ا</w:t>
      </w:r>
      <w:r w:rsidR="00BE59F0">
        <w:rPr>
          <w:rFonts w:cs="Simplified Arabic" w:hint="cs"/>
          <w:szCs w:val="24"/>
          <w:rtl/>
          <w:lang w:val="en-US"/>
        </w:rPr>
        <w:t>لكاريبي</w:t>
      </w:r>
      <w:r w:rsidR="00833962" w:rsidRPr="00137D75">
        <w:rPr>
          <w:rFonts w:cs="Simplified Arabic" w:hint="cs"/>
          <w:szCs w:val="24"/>
          <w:rtl/>
          <w:lang w:val="en-US"/>
        </w:rPr>
        <w:t xml:space="preserve">، إن الوزراء الذين </w:t>
      </w:r>
      <w:r w:rsidRPr="00137D75">
        <w:rPr>
          <w:rFonts w:cs="Simplified Arabic" w:hint="cs"/>
          <w:szCs w:val="24"/>
          <w:rtl/>
          <w:lang w:val="en-US"/>
        </w:rPr>
        <w:t>حضرو</w:t>
      </w:r>
      <w:r w:rsidR="00833962" w:rsidRPr="00137D75">
        <w:rPr>
          <w:rFonts w:cs="Simplified Arabic" w:hint="cs"/>
          <w:szCs w:val="24"/>
          <w:rtl/>
          <w:lang w:val="en-US"/>
        </w:rPr>
        <w:t>ا</w:t>
      </w:r>
      <w:r w:rsidRPr="00137D75">
        <w:rPr>
          <w:rFonts w:cs="Simplified Arabic" w:hint="cs"/>
          <w:szCs w:val="24"/>
          <w:rtl/>
          <w:lang w:val="en-US"/>
        </w:rPr>
        <w:t xml:space="preserve"> الجزء الرفيع المستوى في اليومين السابقين قد شددوا على أهمية مواصلة دم</w:t>
      </w:r>
      <w:r w:rsidR="00833962" w:rsidRPr="00137D75">
        <w:rPr>
          <w:rFonts w:cs="Simplified Arabic" w:hint="cs"/>
          <w:szCs w:val="24"/>
          <w:rtl/>
          <w:lang w:val="en-US"/>
        </w:rPr>
        <w:t>ج</w:t>
      </w:r>
      <w:r w:rsidRPr="00137D75">
        <w:rPr>
          <w:rFonts w:cs="Simplified Arabic" w:hint="cs"/>
          <w:szCs w:val="24"/>
          <w:rtl/>
          <w:lang w:val="en-US"/>
        </w:rPr>
        <w:t xml:space="preserve"> التنوع البيولوجي في القطاع الاقتصادي وتعميم الكوكب السليم. وأضاف أن التقدم المحرز في وقف فقدان التنوع البيولوجي عبر الخمسة وعشرين سنة الماضية لم يكن كافيا؛ وأن العب</w:t>
      </w:r>
      <w:r w:rsidR="00833962" w:rsidRPr="00137D75">
        <w:rPr>
          <w:rFonts w:cs="Simplified Arabic" w:hint="cs"/>
          <w:szCs w:val="24"/>
          <w:rtl/>
          <w:lang w:val="en-US"/>
        </w:rPr>
        <w:t>ء</w:t>
      </w:r>
      <w:r w:rsidRPr="00137D75">
        <w:rPr>
          <w:rFonts w:cs="Simplified Arabic" w:hint="cs"/>
          <w:szCs w:val="24"/>
          <w:rtl/>
          <w:lang w:val="en-US"/>
        </w:rPr>
        <w:t xml:space="preserve"> يقع على الأطراف للتعلم </w:t>
      </w:r>
      <w:r w:rsidR="00833962" w:rsidRPr="00137D75">
        <w:rPr>
          <w:rFonts w:cs="Simplified Arabic" w:hint="cs"/>
          <w:szCs w:val="24"/>
          <w:rtl/>
          <w:lang w:val="en-US"/>
        </w:rPr>
        <w:t xml:space="preserve">من الأخطاء في الماضي. وذكر أن </w:t>
      </w:r>
      <w:r w:rsidRPr="00137D75">
        <w:rPr>
          <w:rFonts w:cs="Simplified Arabic" w:hint="cs"/>
          <w:szCs w:val="24"/>
          <w:rtl/>
          <w:lang w:val="en-US"/>
        </w:rPr>
        <w:t xml:space="preserve">مجموعة </w:t>
      </w:r>
      <w:r w:rsidR="00833962" w:rsidRPr="00137D75">
        <w:rPr>
          <w:rFonts w:cs="Simplified Arabic" w:hint="cs"/>
          <w:szCs w:val="24"/>
          <w:rtl/>
          <w:lang w:val="en-US"/>
        </w:rPr>
        <w:t>أمريكا اللاتينية والبحر الكاريبي تعرب عن امتنانها</w:t>
      </w:r>
      <w:r w:rsidRPr="00137D75">
        <w:rPr>
          <w:rFonts w:cs="Simplified Arabic" w:hint="cs"/>
          <w:szCs w:val="24"/>
          <w:rtl/>
          <w:lang w:val="en-US"/>
        </w:rPr>
        <w:t xml:space="preserve"> للدعم المالي المقدم للسماح للبلدان في هذه المنطقة من المشاركة في الأنشطة في إطار الاتفاقية؛ </w:t>
      </w:r>
      <w:r w:rsidR="00833962" w:rsidRPr="00137D75">
        <w:rPr>
          <w:rFonts w:cs="Simplified Arabic" w:hint="cs"/>
          <w:szCs w:val="24"/>
          <w:rtl/>
          <w:lang w:val="en-US"/>
        </w:rPr>
        <w:t>ومع ذلك،</w:t>
      </w:r>
      <w:r w:rsidRPr="00137D75">
        <w:rPr>
          <w:rFonts w:cs="Simplified Arabic" w:hint="cs"/>
          <w:szCs w:val="24"/>
          <w:rtl/>
          <w:lang w:val="en-US"/>
        </w:rPr>
        <w:t xml:space="preserve"> هناك حاجة إلى المزيد من الدعم، مع نقل التكنولوجيا، نظرا للتحديات التي تواجه البلدان شديدة التنوع. واعترفت مجموعة </w:t>
      </w:r>
      <w:r w:rsidR="00BE59F0" w:rsidRPr="00137D75">
        <w:rPr>
          <w:rFonts w:cs="Simplified Arabic" w:hint="cs"/>
          <w:szCs w:val="24"/>
          <w:rtl/>
          <w:lang w:val="en-US"/>
        </w:rPr>
        <w:t xml:space="preserve">أمريكا اللاتينية والبحر الكاريبي </w:t>
      </w:r>
      <w:r w:rsidRPr="00137D75">
        <w:rPr>
          <w:rFonts w:cs="Simplified Arabic" w:hint="cs"/>
          <w:szCs w:val="24"/>
          <w:rtl/>
          <w:lang w:val="en-US"/>
        </w:rPr>
        <w:t xml:space="preserve">بالتقدم المحرز في تنفيذ المادة 8(ي) من الاتفاقية لحماية وحفظ المعارف التقليدية ولضمان </w:t>
      </w:r>
      <w:r w:rsidR="00833962" w:rsidRPr="00137D75">
        <w:rPr>
          <w:rFonts w:cs="Simplified Arabic" w:hint="cs"/>
          <w:szCs w:val="24"/>
          <w:rtl/>
          <w:lang w:val="en-US"/>
        </w:rPr>
        <w:t>الا</w:t>
      </w:r>
      <w:r w:rsidRPr="00137D75">
        <w:rPr>
          <w:rFonts w:cs="Simplified Arabic" w:hint="cs"/>
          <w:szCs w:val="24"/>
          <w:rtl/>
          <w:lang w:val="en-US"/>
        </w:rPr>
        <w:t>س</w:t>
      </w:r>
      <w:r w:rsidR="00833962" w:rsidRPr="00137D75">
        <w:rPr>
          <w:rFonts w:cs="Simplified Arabic" w:hint="cs"/>
          <w:szCs w:val="24"/>
          <w:rtl/>
          <w:lang w:val="en-US"/>
        </w:rPr>
        <w:t>ت</w:t>
      </w:r>
      <w:r w:rsidRPr="00137D75">
        <w:rPr>
          <w:rFonts w:cs="Simplified Arabic" w:hint="cs"/>
          <w:szCs w:val="24"/>
          <w:rtl/>
          <w:lang w:val="en-US"/>
        </w:rPr>
        <w:t xml:space="preserve">ماع </w:t>
      </w:r>
      <w:r w:rsidR="00833962" w:rsidRPr="00137D75">
        <w:rPr>
          <w:rFonts w:cs="Simplified Arabic" w:hint="cs"/>
          <w:szCs w:val="24"/>
          <w:rtl/>
          <w:lang w:val="en-US"/>
        </w:rPr>
        <w:t xml:space="preserve">إلى </w:t>
      </w:r>
      <w:r w:rsidRPr="00137D75">
        <w:rPr>
          <w:rFonts w:cs="Simplified Arabic" w:hint="cs"/>
          <w:szCs w:val="24"/>
          <w:rtl/>
          <w:lang w:val="en-US"/>
        </w:rPr>
        <w:t>صوت الشعوب الأصلية والمجتمعات المحلية. و</w:t>
      </w:r>
      <w:r w:rsidR="00833962" w:rsidRPr="00137D75">
        <w:rPr>
          <w:rFonts w:cs="Simplified Arabic" w:hint="cs"/>
          <w:szCs w:val="24"/>
          <w:rtl/>
          <w:lang w:val="en-US"/>
        </w:rPr>
        <w:t>عند</w:t>
      </w:r>
      <w:r w:rsidRPr="00137D75">
        <w:rPr>
          <w:rFonts w:cs="Simplified Arabic" w:hint="cs"/>
          <w:szCs w:val="24"/>
          <w:rtl/>
          <w:lang w:val="en-US"/>
        </w:rPr>
        <w:t xml:space="preserve"> إعادة هيكلة أمانة الاتفاقية، ينبغي إيلاء الاهتمام إلى ضمان تمثيل أفضل لبلدان مجموعة أمريكا اللاتينية والبحر الكاريبي. وينبغي أن تعمل هذه البلدان لضمان أن الإطار المقترح لما بعد عام 2020 يكون طموحا و</w:t>
      </w:r>
      <w:r w:rsidR="00833962" w:rsidRPr="00137D75">
        <w:rPr>
          <w:rFonts w:cs="Simplified Arabic" w:hint="cs"/>
          <w:szCs w:val="24"/>
          <w:rtl/>
          <w:lang w:val="en-US"/>
        </w:rPr>
        <w:t>ب</w:t>
      </w:r>
      <w:r w:rsidRPr="00137D75">
        <w:rPr>
          <w:rFonts w:cs="Simplified Arabic" w:hint="cs"/>
          <w:szCs w:val="24"/>
          <w:rtl/>
          <w:lang w:val="en-US"/>
        </w:rPr>
        <w:t>ه تدابير ممكنة ويكون مرنا لمواجهة التحديات المختلفة</w:t>
      </w:r>
      <w:r w:rsidR="00E844F4" w:rsidRPr="00137D75">
        <w:rPr>
          <w:rFonts w:cs="Simplified Arabic" w:hint="cs"/>
          <w:szCs w:val="24"/>
          <w:rtl/>
          <w:lang w:val="en-US"/>
        </w:rPr>
        <w:t>،</w:t>
      </w:r>
      <w:r w:rsidRPr="00137D75">
        <w:rPr>
          <w:rFonts w:cs="Simplified Arabic" w:hint="cs"/>
          <w:szCs w:val="24"/>
          <w:rtl/>
          <w:lang w:val="en-US"/>
        </w:rPr>
        <w:t xml:space="preserve"> وأن يتخذ </w:t>
      </w:r>
      <w:r w:rsidR="00E844F4" w:rsidRPr="00137D75">
        <w:rPr>
          <w:rFonts w:cs="Simplified Arabic" w:hint="cs"/>
          <w:szCs w:val="24"/>
          <w:rtl/>
          <w:lang w:val="en-US"/>
        </w:rPr>
        <w:t xml:space="preserve">جميع </w:t>
      </w:r>
      <w:r w:rsidRPr="00137D75">
        <w:rPr>
          <w:rFonts w:cs="Simplified Arabic" w:hint="cs"/>
          <w:szCs w:val="24"/>
          <w:rtl/>
          <w:lang w:val="en-US"/>
        </w:rPr>
        <w:t xml:space="preserve">أصحاب المصلحة إجراءات فعالة لضمان معالجة التنوع البيولوجي ليس فحسب من جانب منظمات الأمم المتحدة، بل أيضا من جانب جميع الأطراف المهتمة، بما في ذلك عامة الجمهور. </w:t>
      </w:r>
      <w:r w:rsidR="005B4DED" w:rsidRPr="00137D75">
        <w:rPr>
          <w:rFonts w:cs="Simplified Arabic" w:hint="cs"/>
          <w:szCs w:val="24"/>
          <w:rtl/>
          <w:lang w:val="en-US"/>
        </w:rPr>
        <w:t>وهناك حاجة فورية لاست</w:t>
      </w:r>
      <w:r w:rsidR="00E844F4" w:rsidRPr="00137D75">
        <w:rPr>
          <w:rFonts w:cs="Simplified Arabic" w:hint="cs"/>
          <w:szCs w:val="24"/>
          <w:rtl/>
          <w:lang w:val="en-US"/>
        </w:rPr>
        <w:t>ر</w:t>
      </w:r>
      <w:r w:rsidR="005B4DED" w:rsidRPr="00137D75">
        <w:rPr>
          <w:rFonts w:cs="Simplified Arabic" w:hint="cs"/>
          <w:szCs w:val="24"/>
          <w:rtl/>
          <w:lang w:val="en-US"/>
        </w:rPr>
        <w:t xml:space="preserve">اتيجية واسعة </w:t>
      </w:r>
      <w:r w:rsidR="00E844F4" w:rsidRPr="00137D75">
        <w:rPr>
          <w:rFonts w:cs="Simplified Arabic" w:hint="cs"/>
          <w:szCs w:val="24"/>
          <w:rtl/>
          <w:lang w:val="en-US"/>
        </w:rPr>
        <w:t>ال</w:t>
      </w:r>
      <w:r w:rsidR="005B4DED" w:rsidRPr="00137D75">
        <w:rPr>
          <w:rFonts w:cs="Simplified Arabic" w:hint="cs"/>
          <w:szCs w:val="24"/>
          <w:rtl/>
          <w:lang w:val="en-US"/>
        </w:rPr>
        <w:t>نطاق للاتصال. وينبغي السعي إلى إيجاد أوجه التآزر مع اتفاقيات ريو الأخرى ومع المنبر الحكومي الدولي للعلوم و</w:t>
      </w:r>
      <w:r w:rsidR="00E844F4" w:rsidRPr="00137D75">
        <w:rPr>
          <w:rFonts w:cs="Simplified Arabic" w:hint="cs"/>
          <w:szCs w:val="24"/>
          <w:rtl/>
          <w:lang w:val="en-US"/>
        </w:rPr>
        <w:t>ال</w:t>
      </w:r>
      <w:r w:rsidR="005B4DED" w:rsidRPr="00137D75">
        <w:rPr>
          <w:rFonts w:cs="Simplified Arabic" w:hint="cs"/>
          <w:szCs w:val="24"/>
          <w:rtl/>
          <w:lang w:val="en-US"/>
        </w:rPr>
        <w:t xml:space="preserve">سياسات في مجال التنوع البيولوجي وخدمات النظم الإيكولوجية. ومن أجل ضمان إحداث أثر هام في المستقبل القريب، ينبغي أن تركز الأطراف على الأساسيات: النُهج المتكاملة لتحقيق أهداف الاتفاقية وحشد الموارد. وشددت مجموعة أمريكا اللاتينية والبحر الكاريبي على أهمية خطة </w:t>
      </w:r>
      <w:r w:rsidR="00BE59F0">
        <w:rPr>
          <w:rFonts w:cs="Simplified Arabic" w:hint="cs"/>
          <w:szCs w:val="24"/>
          <w:rtl/>
          <w:lang w:val="en-US"/>
        </w:rPr>
        <w:t>التنمية المستدامة ل</w:t>
      </w:r>
      <w:r w:rsidR="005B4DED" w:rsidRPr="00137D75">
        <w:rPr>
          <w:rFonts w:cs="Simplified Arabic" w:hint="cs"/>
          <w:szCs w:val="24"/>
          <w:rtl/>
          <w:lang w:val="en-US"/>
        </w:rPr>
        <w:t>عام 2030 وأهداف التنمية المستدامة كأ</w:t>
      </w:r>
      <w:r w:rsidR="00E844F4" w:rsidRPr="00137D75">
        <w:rPr>
          <w:rFonts w:cs="Simplified Arabic" w:hint="cs"/>
          <w:szCs w:val="24"/>
          <w:rtl/>
          <w:lang w:val="en-US"/>
        </w:rPr>
        <w:t>هداف</w:t>
      </w:r>
      <w:r w:rsidR="005B4DED" w:rsidRPr="00137D75">
        <w:rPr>
          <w:rFonts w:cs="Simplified Arabic" w:hint="cs"/>
          <w:szCs w:val="24"/>
          <w:rtl/>
          <w:lang w:val="en-US"/>
        </w:rPr>
        <w:t xml:space="preserve"> للسياسات العامة.</w:t>
      </w:r>
    </w:p>
    <w:p w:rsidR="005B4DED" w:rsidRPr="00137D75" w:rsidRDefault="005B4DED"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 xml:space="preserve">وقال ممثل الاتحاد الأوروبي ودوله الأعضاء </w:t>
      </w:r>
      <w:r w:rsidR="00BE59F0">
        <w:rPr>
          <w:rFonts w:cs="Simplified Arabic" w:hint="cs"/>
          <w:szCs w:val="24"/>
          <w:rtl/>
          <w:lang w:val="en-US"/>
        </w:rPr>
        <w:t xml:space="preserve">الثماني والعشرين </w:t>
      </w:r>
      <w:r w:rsidRPr="00137D75">
        <w:rPr>
          <w:rFonts w:cs="Simplified Arabic" w:hint="cs"/>
          <w:szCs w:val="24"/>
          <w:rtl/>
          <w:lang w:val="en-US"/>
        </w:rPr>
        <w:t>إنه بالرغم من النجاحات المحققة في إطار الاتفاقية، ينبغي ألا يكون هناك تهاون. فلم يتم الوفاء بمعظم أهداف أيشي بالسرعة الحالية للتقدم. وينبغي أن يضمن إطار بعد عام 2020 أن الأطراف والآخرين يحدثون تقدم في أهدافه. وهناك حاجة إلى التحول الحقيقي في أنماط</w:t>
      </w:r>
      <w:r w:rsidR="00E844F4" w:rsidRPr="00137D75">
        <w:rPr>
          <w:rFonts w:cs="Simplified Arabic" w:hint="cs"/>
          <w:szCs w:val="24"/>
          <w:rtl/>
          <w:lang w:val="en-US"/>
        </w:rPr>
        <w:t xml:space="preserve"> </w:t>
      </w:r>
      <w:r w:rsidRPr="00137D75">
        <w:rPr>
          <w:rFonts w:cs="Simplified Arabic" w:hint="cs"/>
          <w:szCs w:val="24"/>
          <w:rtl/>
          <w:lang w:val="en-US"/>
        </w:rPr>
        <w:t xml:space="preserve">الاستهلاك والإنتاج، مع تعميم فعال للتنوع البيولوجي على جميع المستويات؛ وينبغي إجراء البحوث بشأن الروابط بين كل قطاع والتنوع البيولوجي. وينبغي أن يقدم إطار ما بعد عام 2020 الفرص لشراكات قوية مع قطاع الأعمال. وما زال الاتحاد الأوروبي ملتزما بتنفيذ بروتوكول ناغويا، مع الشركاء، بما في ذلك المناقشات بشأن معلومات التسلسل الرقمي، وأيضا ببروتوكول قرطاجنة من أجل آلية </w:t>
      </w:r>
      <w:r w:rsidR="00E844F4" w:rsidRPr="00137D75">
        <w:rPr>
          <w:rFonts w:cs="Simplified Arabic" w:hint="cs"/>
          <w:szCs w:val="24"/>
          <w:rtl/>
          <w:lang w:val="en-US"/>
        </w:rPr>
        <w:t>فعالة ل</w:t>
      </w:r>
      <w:r w:rsidRPr="00137D75">
        <w:rPr>
          <w:rFonts w:cs="Simplified Arabic" w:hint="cs"/>
          <w:szCs w:val="24"/>
          <w:rtl/>
          <w:lang w:val="en-US"/>
        </w:rPr>
        <w:t>تبادل معلومات التنوع البيولوجي، وتقييم مخاطر الكائنات المحورة.</w:t>
      </w:r>
    </w:p>
    <w:p w:rsidR="005B4DED" w:rsidRPr="00137D75" w:rsidRDefault="005B4DED" w:rsidP="00BE59F0">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ولاحظ ممثل كندا، متحدثا أيضا بالنيابة عن أستراليا، و</w:t>
      </w:r>
      <w:r w:rsidR="00E844F4" w:rsidRPr="00137D75">
        <w:rPr>
          <w:rFonts w:eastAsia="MS Mincho" w:cs="Simplified Arabic"/>
          <w:szCs w:val="24"/>
          <w:rtl/>
          <w:lang w:val="en-CA" w:eastAsia="en-CA"/>
        </w:rPr>
        <w:t>ليختنشتاين</w:t>
      </w:r>
      <w:r w:rsidRPr="00137D75">
        <w:rPr>
          <w:rFonts w:cs="Simplified Arabic" w:hint="cs"/>
          <w:szCs w:val="24"/>
          <w:rtl/>
          <w:lang w:val="en-US"/>
        </w:rPr>
        <w:t xml:space="preserve">، ونيوزيلندا، والنرويج وسويسرا، الحالة المفزعة للتنوع البيولوجي، وحث المندوبين على احترام النص الموافق عليه وتسوية النص الموجود بين قوسين. وأضاف أن الإطار لما بعد عام 2020 ينبغي أن يكون طموحا، ويقدم خارطة طريق ملموسة وشاملة وعملية وفعالة للاجتماع القادم لمؤتمر الأطراف، </w:t>
      </w:r>
      <w:r w:rsidRPr="00137D75">
        <w:rPr>
          <w:rFonts w:cs="Simplified Arabic" w:hint="cs"/>
          <w:szCs w:val="24"/>
          <w:rtl/>
          <w:lang w:val="en-US"/>
        </w:rPr>
        <w:lastRenderedPageBreak/>
        <w:t>وينبغي أن تضمن الأطراف أنه س</w:t>
      </w:r>
      <w:r w:rsidR="005C0689" w:rsidRPr="00137D75">
        <w:rPr>
          <w:rFonts w:cs="Simplified Arabic" w:hint="cs"/>
          <w:szCs w:val="24"/>
          <w:rtl/>
          <w:lang w:val="en-US"/>
        </w:rPr>
        <w:t>ينفذ عند عودتهم إلى بلدانهم، مع إدراج الشعوب الأصلية والمجتمعات المحلية والنساء والمشاركة ال</w:t>
      </w:r>
      <w:r w:rsidR="00452C5F" w:rsidRPr="00137D75">
        <w:rPr>
          <w:rFonts w:cs="Simplified Arabic" w:hint="cs"/>
          <w:szCs w:val="24"/>
          <w:rtl/>
          <w:lang w:val="en-US"/>
        </w:rPr>
        <w:t xml:space="preserve">أوسع نطاقا </w:t>
      </w:r>
      <w:r w:rsidR="005C0689" w:rsidRPr="00137D75">
        <w:rPr>
          <w:rFonts w:cs="Simplified Arabic" w:hint="cs"/>
          <w:szCs w:val="24"/>
          <w:rtl/>
          <w:lang w:val="en-US"/>
        </w:rPr>
        <w:t>ل</w:t>
      </w:r>
      <w:r w:rsidR="00BE59F0">
        <w:rPr>
          <w:rFonts w:cs="Simplified Arabic" w:hint="cs"/>
          <w:szCs w:val="24"/>
          <w:rtl/>
          <w:lang w:val="en-US"/>
        </w:rPr>
        <w:t>هذه ال</w:t>
      </w:r>
      <w:r w:rsidR="005C0689" w:rsidRPr="00137D75">
        <w:rPr>
          <w:rFonts w:cs="Simplified Arabic" w:hint="cs"/>
          <w:szCs w:val="24"/>
          <w:rtl/>
          <w:lang w:val="en-US"/>
        </w:rPr>
        <w:t xml:space="preserve">قطاعات </w:t>
      </w:r>
      <w:r w:rsidR="00BE59F0">
        <w:rPr>
          <w:rFonts w:cs="Simplified Arabic" w:hint="cs"/>
          <w:szCs w:val="24"/>
          <w:rtl/>
          <w:lang w:val="en-US"/>
        </w:rPr>
        <w:t xml:space="preserve">مثل </w:t>
      </w:r>
      <w:r w:rsidR="005C0689" w:rsidRPr="00137D75">
        <w:rPr>
          <w:rFonts w:cs="Simplified Arabic" w:hint="cs"/>
          <w:szCs w:val="24"/>
          <w:rtl/>
          <w:lang w:val="en-US"/>
        </w:rPr>
        <w:t>الصحة والإنتاج وقطاع الأعمال.</w:t>
      </w:r>
    </w:p>
    <w:p w:rsidR="005C0689" w:rsidRPr="00137D75" w:rsidRDefault="005C0689"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ولاحظت ممثلة بيلاروس، متحدثة بالنيابة عن بلدان أوروبا الوسطى والشرقية وآسيا الشرقية، أن الأطراف قد حسنت من القواعد الوطنية لحفظ التنوع البيولوجي واستخدامه المستدام، وإدارة الأراضي ولكنها ينبغي أن تتخذ تدابير إضافية لحفظ التنوع البيولوجي في مناطق التعدين والنشاط الاقتصادي الكثيف وفي تخطيط البنية التحتية. ولاحظت أن الأطراف في بروتوكول ناغويا كانت تنس</w:t>
      </w:r>
      <w:r w:rsidR="00452C5F" w:rsidRPr="00137D75">
        <w:rPr>
          <w:rFonts w:cs="Simplified Arabic" w:hint="cs"/>
          <w:szCs w:val="24"/>
          <w:rtl/>
          <w:lang w:val="en-US"/>
        </w:rPr>
        <w:t>ق تشريعها الوطني مع أحكامه. و</w:t>
      </w:r>
      <w:r w:rsidRPr="00137D75">
        <w:rPr>
          <w:rFonts w:cs="Simplified Arabic" w:hint="cs"/>
          <w:szCs w:val="24"/>
          <w:rtl/>
          <w:lang w:val="en-US"/>
        </w:rPr>
        <w:t xml:space="preserve">الدعم المقدم من خلال المشاريع العالمية التي مولها مرفق البيئة العالمية </w:t>
      </w:r>
      <w:r w:rsidR="00452C5F" w:rsidRPr="00137D75">
        <w:rPr>
          <w:rFonts w:cs="Simplified Arabic" w:hint="cs"/>
          <w:szCs w:val="24"/>
          <w:rtl/>
          <w:lang w:val="en-US"/>
        </w:rPr>
        <w:t xml:space="preserve">سمح </w:t>
      </w:r>
      <w:r w:rsidRPr="00137D75">
        <w:rPr>
          <w:rFonts w:cs="Simplified Arabic" w:hint="cs"/>
          <w:szCs w:val="24"/>
          <w:rtl/>
          <w:lang w:val="en-US"/>
        </w:rPr>
        <w:t>ل</w:t>
      </w:r>
      <w:r w:rsidR="00452C5F" w:rsidRPr="00137D75">
        <w:rPr>
          <w:rFonts w:cs="Simplified Arabic" w:hint="cs"/>
          <w:szCs w:val="24"/>
          <w:rtl/>
          <w:lang w:val="en-US"/>
        </w:rPr>
        <w:t>لبلدان بأن تجري البحوث الضرورية بسرعة وتنف</w:t>
      </w:r>
      <w:r w:rsidRPr="00137D75">
        <w:rPr>
          <w:rFonts w:cs="Simplified Arabic" w:hint="cs"/>
          <w:szCs w:val="24"/>
          <w:rtl/>
          <w:lang w:val="en-US"/>
        </w:rPr>
        <w:t xml:space="preserve">ذ الإصلاحات الضرورية. وذكرت أن حفظ المعارف التقليدية بشأن الموارد الجينية، والحماية القانونية لهذه المعارف والحصول </w:t>
      </w:r>
      <w:r w:rsidR="00452C5F" w:rsidRPr="00137D75">
        <w:rPr>
          <w:rFonts w:cs="Simplified Arabic" w:hint="cs"/>
          <w:szCs w:val="24"/>
          <w:rtl/>
          <w:lang w:val="en-US"/>
        </w:rPr>
        <w:t>العادل و</w:t>
      </w:r>
      <w:r w:rsidRPr="00137D75">
        <w:rPr>
          <w:rFonts w:cs="Simplified Arabic" w:hint="cs"/>
          <w:szCs w:val="24"/>
          <w:rtl/>
          <w:lang w:val="en-US"/>
        </w:rPr>
        <w:t>المنصف كانت صعبة في بع</w:t>
      </w:r>
      <w:r w:rsidR="00452C5F" w:rsidRPr="00137D75">
        <w:rPr>
          <w:rFonts w:cs="Simplified Arabic" w:hint="cs"/>
          <w:szCs w:val="24"/>
          <w:rtl/>
          <w:lang w:val="en-US"/>
        </w:rPr>
        <w:t>ض</w:t>
      </w:r>
      <w:r w:rsidRPr="00137D75">
        <w:rPr>
          <w:rFonts w:cs="Simplified Arabic" w:hint="cs"/>
          <w:szCs w:val="24"/>
          <w:rtl/>
          <w:lang w:val="en-US"/>
        </w:rPr>
        <w:t xml:space="preserve"> النظم السياسية والاقتصادية والاجتماعية بالمقارنة إلى البلدان التي عاشت فيها الشعوب الأصلية والمجتمعات المحلية. وأشارت إلى الحاجة إلى دعم قوي من المجتمع الدولي لضمان حالة المعارف التقليدية المرتبطة بالموارد الجينية وحائزيها في إطار بروتوكول ناغويا.</w:t>
      </w:r>
    </w:p>
    <w:p w:rsidR="009628DE" w:rsidRPr="00137D75" w:rsidRDefault="005C0689"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وأشار ممثل رواندا، متحدثا بالنيابة عن المجموعة الأفريقية، إلى أن القارة كانت مهد البشرية.</w:t>
      </w:r>
      <w:r w:rsidR="00CF1FB6" w:rsidRPr="00137D75">
        <w:rPr>
          <w:rFonts w:cs="Simplified Arabic" w:hint="cs"/>
          <w:szCs w:val="24"/>
          <w:rtl/>
          <w:lang w:val="en-US"/>
        </w:rPr>
        <w:t xml:space="preserve"> غير أنه توجد مقايضات </w:t>
      </w:r>
      <w:r w:rsidR="00452C5F" w:rsidRPr="00137D75">
        <w:rPr>
          <w:rFonts w:cs="Simplified Arabic" w:hint="cs"/>
          <w:szCs w:val="24"/>
          <w:rtl/>
          <w:lang w:val="en-US"/>
        </w:rPr>
        <w:t>بي</w:t>
      </w:r>
      <w:r w:rsidR="00CF1FB6" w:rsidRPr="00137D75">
        <w:rPr>
          <w:rFonts w:cs="Simplified Arabic" w:hint="cs"/>
          <w:szCs w:val="24"/>
          <w:rtl/>
          <w:lang w:val="en-US"/>
        </w:rPr>
        <w:t xml:space="preserve">ن حفظ التنوع البيولوجي والنمو الاقتصادي والتنمية من أجل النمو المتوقع للناس حتى 1,5 </w:t>
      </w:r>
      <w:r w:rsidR="00452C5F" w:rsidRPr="00137D75">
        <w:rPr>
          <w:rFonts w:cs="Simplified Arabic" w:hint="cs"/>
          <w:szCs w:val="24"/>
          <w:rtl/>
          <w:lang w:val="en-US"/>
        </w:rPr>
        <w:t>مليار</w:t>
      </w:r>
      <w:r w:rsidR="00CF1FB6" w:rsidRPr="00137D75">
        <w:rPr>
          <w:rFonts w:cs="Simplified Arabic" w:hint="cs"/>
          <w:szCs w:val="24"/>
          <w:rtl/>
          <w:lang w:val="en-US"/>
        </w:rPr>
        <w:t xml:space="preserve"> نسمة بحلول عام 20</w:t>
      </w:r>
      <w:r w:rsidR="00452C5F" w:rsidRPr="00137D75">
        <w:rPr>
          <w:rFonts w:cs="Simplified Arabic" w:hint="cs"/>
          <w:szCs w:val="24"/>
          <w:rtl/>
          <w:lang w:val="en-US"/>
        </w:rPr>
        <w:t xml:space="preserve">50. وتستمر الابتكارات البشرية في </w:t>
      </w:r>
      <w:r w:rsidR="00CF1FB6" w:rsidRPr="00137D75">
        <w:rPr>
          <w:rFonts w:cs="Simplified Arabic" w:hint="cs"/>
          <w:szCs w:val="24"/>
          <w:rtl/>
          <w:lang w:val="en-US"/>
        </w:rPr>
        <w:t>ت</w:t>
      </w:r>
      <w:r w:rsidR="00452C5F" w:rsidRPr="00137D75">
        <w:rPr>
          <w:rFonts w:cs="Simplified Arabic" w:hint="cs"/>
          <w:szCs w:val="24"/>
          <w:rtl/>
          <w:lang w:val="en-US"/>
        </w:rPr>
        <w:t>وفير التكنولوجيا لمعالجة التحديا</w:t>
      </w:r>
      <w:r w:rsidR="00CF1FB6" w:rsidRPr="00137D75">
        <w:rPr>
          <w:rFonts w:cs="Simplified Arabic" w:hint="cs"/>
          <w:szCs w:val="24"/>
          <w:rtl/>
          <w:lang w:val="en-US"/>
        </w:rPr>
        <w:t xml:space="preserve">ت، ولذلك يعتبر حشد الموارد ضروريا. </w:t>
      </w:r>
      <w:r w:rsidR="006E66D7" w:rsidRPr="00137D75">
        <w:rPr>
          <w:rFonts w:cs="Simplified Arabic" w:hint="cs"/>
          <w:szCs w:val="24"/>
          <w:rtl/>
          <w:lang w:val="en-US"/>
        </w:rPr>
        <w:t xml:space="preserve">وبالرغم من أن أفريقيا تتمتع بتنوع بيولوجي ثري، فالتنوع البيولوجي فيها يفقد بسرعة. والموارد الجينية الأفريقية </w:t>
      </w:r>
      <w:r w:rsidR="00452C5F" w:rsidRPr="00137D75">
        <w:rPr>
          <w:rFonts w:cs="Simplified Arabic" w:hint="cs"/>
          <w:szCs w:val="24"/>
          <w:rtl/>
          <w:lang w:val="en-US"/>
        </w:rPr>
        <w:t xml:space="preserve">كانت </w:t>
      </w:r>
      <w:r w:rsidR="006E66D7" w:rsidRPr="00137D75">
        <w:rPr>
          <w:rFonts w:cs="Simplified Arabic" w:hint="cs"/>
          <w:szCs w:val="24"/>
          <w:rtl/>
          <w:lang w:val="en-US"/>
        </w:rPr>
        <w:t>ترسل إلى أجزاء أخرى من العالم، حيث يتم رقمنتها، وتوثيقها وإضفاء الطابع الرسمي عليها بدون الاعتراف الواجب أو التبادل الواجب للمنافع. وهذه المنطقة ملتزمة برؤية أفريقية لمنطقة يسو</w:t>
      </w:r>
      <w:r w:rsidR="00452C5F" w:rsidRPr="00137D75">
        <w:rPr>
          <w:rFonts w:cs="Simplified Arabic" w:hint="cs"/>
          <w:szCs w:val="24"/>
          <w:rtl/>
          <w:lang w:val="en-US"/>
        </w:rPr>
        <w:t>د</w:t>
      </w:r>
      <w:r w:rsidR="006E66D7" w:rsidRPr="00137D75">
        <w:rPr>
          <w:rFonts w:cs="Simplified Arabic" w:hint="cs"/>
          <w:szCs w:val="24"/>
          <w:rtl/>
          <w:lang w:val="en-US"/>
        </w:rPr>
        <w:t>ها التكامل والرخاء والسلام، بقيادة مواطنيها أنفسهم وهي تمثل قوة دينامية على المستوى العالمي من خلال خطتها لعام 2063. ويتمثل الهدف في بناء اقتصادات بيئية مستدامة وقادرة على الصمود أمام المناخ باستخدام العلم والتكنولوجيا والابتكار.</w:t>
      </w:r>
    </w:p>
    <w:p w:rsidR="00137D75" w:rsidRPr="00137D75" w:rsidRDefault="00137D75"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 xml:space="preserve">وقال ممثل ماليزيا، متحدثا بالنيابة عن مجموعة البلدان ذات التنوع البيولوجي الشديد المتقاربة التفكير </w:t>
      </w:r>
      <w:r w:rsidRPr="00137D75">
        <w:rPr>
          <w:rFonts w:cs="Simplified Arabic"/>
          <w:szCs w:val="24"/>
          <w:lang w:val="en-US"/>
        </w:rPr>
        <w:t>(LMMC)</w:t>
      </w:r>
      <w:r w:rsidRPr="00137D75">
        <w:rPr>
          <w:rFonts w:cs="Simplified Arabic" w:hint="cs"/>
          <w:szCs w:val="24"/>
          <w:rtl/>
          <w:lang w:val="en-US"/>
        </w:rPr>
        <w:t>،</w:t>
      </w:r>
      <w:r>
        <w:rPr>
          <w:rFonts w:cs="Simplified Arabic" w:hint="cs"/>
          <w:szCs w:val="24"/>
          <w:rtl/>
          <w:lang w:val="en-US"/>
        </w:rPr>
        <w:t xml:space="preserve"> إن المجموعة شجعت على حفظ التنوع البيولوجي والاستخدام المستدام لمكوناته والتقاسم العادل والمنصف للمنافع الناشئة عن استخدامها. وفي اجتماعه</w:t>
      </w:r>
      <w:r w:rsidR="00027E9F">
        <w:rPr>
          <w:rFonts w:cs="Simplified Arabic" w:hint="cs"/>
          <w:szCs w:val="24"/>
          <w:rtl/>
          <w:lang w:val="en-US"/>
        </w:rPr>
        <w:t xml:space="preserve"> الوزاري المنعقد في شرم الشيخ، في 15 نوفمبر/تشرين الثاني 2018، اعتمدت إعلانا يركز على جملة أمور من بينها تعميم التنوع البيولوجي، ومعلومات التسلسل الرقمي بشأن الموارد الجينية، والهدف 11 من أهداف أيشي للتنوع البيولوجي، ومبادرة المنع المطلق للإنقراض، والإطار العالمي للتنوع البيولوجي لما بعد عام 2020، وحشد الموارد. وسلط الضوء على التقدم الذي أحرزته مجموعته في تحقيق الهدف 11 من أهداف أيشي للتنوع البيولوجي قائلا إن هذه المجموعة أع</w:t>
      </w:r>
      <w:r w:rsidR="000543C4">
        <w:rPr>
          <w:rFonts w:cs="Simplified Arabic" w:hint="cs"/>
          <w:szCs w:val="24"/>
          <w:rtl/>
          <w:lang w:val="en-US"/>
        </w:rPr>
        <w:t>اد</w:t>
      </w:r>
      <w:r w:rsidR="00027E9F">
        <w:rPr>
          <w:rFonts w:cs="Simplified Arabic" w:hint="cs"/>
          <w:szCs w:val="24"/>
          <w:rtl/>
          <w:lang w:val="en-US"/>
        </w:rPr>
        <w:t>ت التأكيد على دورها كآلية لتعزيز الاهتمامات والأولويات المشتركة ذات الصلة بالأهداف الثلاثة لاتفاقية التنوع البيولوجي، وبروتوكوليها، فضلا عن المنتديات الدولية الأخرى ذات الصلة بالتنوع البيولوجي وخدمات النظم الإيكولوجية.</w:t>
      </w:r>
    </w:p>
    <w:p w:rsidR="009628DE" w:rsidRPr="000A28EA" w:rsidRDefault="009628DE" w:rsidP="009628DE">
      <w:pPr>
        <w:pStyle w:val="Para10"/>
        <w:numPr>
          <w:ilvl w:val="0"/>
          <w:numId w:val="0"/>
        </w:numPr>
        <w:bidi/>
        <w:spacing w:before="0" w:line="216" w:lineRule="auto"/>
        <w:ind w:firstLine="720"/>
        <w:rPr>
          <w:rFonts w:cs="Simplified Arabic"/>
          <w:i/>
          <w:iCs/>
          <w:szCs w:val="24"/>
          <w:lang w:val="en-US"/>
        </w:rPr>
      </w:pPr>
      <w:r w:rsidRPr="000A28EA">
        <w:rPr>
          <w:rFonts w:cs="Simplified Arabic" w:hint="cs"/>
          <w:i/>
          <w:iCs/>
          <w:szCs w:val="24"/>
          <w:rtl/>
          <w:lang w:val="en-US"/>
        </w:rPr>
        <w:t>كلمات افتتاحية إضافية</w:t>
      </w:r>
    </w:p>
    <w:p w:rsidR="009628DE" w:rsidRPr="00137D75" w:rsidRDefault="009628DE" w:rsidP="00FF7FA5">
      <w:pPr>
        <w:pStyle w:val="Para10"/>
        <w:numPr>
          <w:ilvl w:val="0"/>
          <w:numId w:val="9"/>
        </w:numPr>
        <w:bidi/>
        <w:spacing w:before="0" w:line="216" w:lineRule="auto"/>
        <w:ind w:left="0" w:firstLine="0"/>
        <w:rPr>
          <w:rFonts w:cs="Simplified Arabic"/>
          <w:szCs w:val="24"/>
          <w:lang w:val="en-US"/>
        </w:rPr>
      </w:pPr>
      <w:r w:rsidRPr="00137D75">
        <w:rPr>
          <w:rFonts w:cs="Simplified Arabic" w:hint="cs"/>
          <w:szCs w:val="24"/>
          <w:rtl/>
          <w:lang w:val="en-US"/>
        </w:rPr>
        <w:t xml:space="preserve">استرعت ممثلة شبكة نساء الشعوب الأصلية المعنية بالتنوع البيولوجي الانتباه إلى فقدان اللغات الأصلية، التي تتعلق مباشرة بالتنوع البيولوجي من خلال تقديم فهم للنظم الإيكولوجية والثقافية المتنوعة. وأعربت عن قلق الشبكة إزاء التوسع المستمر </w:t>
      </w:r>
      <w:r w:rsidR="00452C5F" w:rsidRPr="00137D75">
        <w:rPr>
          <w:rFonts w:cs="Simplified Arabic" w:hint="cs"/>
          <w:szCs w:val="24"/>
          <w:rtl/>
          <w:lang w:val="en-US"/>
        </w:rPr>
        <w:t>في ا</w:t>
      </w:r>
      <w:r w:rsidRPr="00137D75">
        <w:rPr>
          <w:rFonts w:cs="Simplified Arabic" w:hint="cs"/>
          <w:szCs w:val="24"/>
          <w:rtl/>
          <w:lang w:val="en-US"/>
        </w:rPr>
        <w:t>لتعدين</w:t>
      </w:r>
      <w:r w:rsidR="00452C5F" w:rsidRPr="00137D75">
        <w:rPr>
          <w:rFonts w:cs="Simplified Arabic" w:hint="cs"/>
          <w:szCs w:val="24"/>
          <w:rtl/>
          <w:lang w:val="en-US"/>
        </w:rPr>
        <w:t>،</w:t>
      </w:r>
      <w:r w:rsidRPr="00137D75">
        <w:rPr>
          <w:rFonts w:cs="Simplified Arabic" w:hint="cs"/>
          <w:szCs w:val="24"/>
          <w:rtl/>
          <w:lang w:val="en-US"/>
        </w:rPr>
        <w:t xml:space="preserve"> والسدود الكبرى</w:t>
      </w:r>
      <w:r w:rsidR="00452C5F" w:rsidRPr="00137D75">
        <w:rPr>
          <w:rFonts w:cs="Simplified Arabic" w:hint="cs"/>
          <w:szCs w:val="24"/>
          <w:rtl/>
          <w:lang w:val="en-US"/>
        </w:rPr>
        <w:t>،</w:t>
      </w:r>
      <w:r w:rsidRPr="00137D75">
        <w:rPr>
          <w:rFonts w:cs="Simplified Arabic" w:hint="cs"/>
          <w:szCs w:val="24"/>
          <w:rtl/>
          <w:lang w:val="en-US"/>
        </w:rPr>
        <w:t xml:space="preserve"> وإزالة الأشجار والتنقيب في أراضيها، التي تز</w:t>
      </w:r>
      <w:r w:rsidR="006E66D7" w:rsidRPr="00137D75">
        <w:rPr>
          <w:rFonts w:cs="Simplified Arabic" w:hint="cs"/>
          <w:szCs w:val="24"/>
          <w:rtl/>
          <w:lang w:val="en-US"/>
        </w:rPr>
        <w:t>ودهم بالغذاء والأدوية التقليدية. ومن شأن المعارف التقليدية للنساء في الحرف والسياحة الإثنية والط</w:t>
      </w:r>
      <w:r w:rsidR="00452C5F" w:rsidRPr="00137D75">
        <w:rPr>
          <w:rFonts w:cs="Simplified Arabic" w:hint="cs"/>
          <w:szCs w:val="24"/>
          <w:rtl/>
          <w:lang w:val="en-US"/>
        </w:rPr>
        <w:t>هي</w:t>
      </w:r>
      <w:r w:rsidR="006E66D7" w:rsidRPr="00137D75">
        <w:rPr>
          <w:rFonts w:cs="Simplified Arabic" w:hint="cs"/>
          <w:szCs w:val="24"/>
          <w:rtl/>
          <w:lang w:val="en-US"/>
        </w:rPr>
        <w:t xml:space="preserve"> التي دعمت على نحو فعال التنمية الاجتماعية والاقتصادية في بعض مجتمعات الشعوب الأصلية، وأدت إلى القضاء على الفقر بدون إدخال صناعات أو أنشطة خارجية. وحثت على أن يتم النظر في هذه الأمثلة </w:t>
      </w:r>
      <w:r w:rsidR="004D3A10" w:rsidRPr="00137D75">
        <w:rPr>
          <w:rFonts w:cs="Simplified Arabic" w:hint="cs"/>
          <w:szCs w:val="24"/>
          <w:rtl/>
          <w:lang w:val="en-US"/>
        </w:rPr>
        <w:t>عند</w:t>
      </w:r>
      <w:r w:rsidR="006E66D7" w:rsidRPr="00137D75">
        <w:rPr>
          <w:rFonts w:cs="Simplified Arabic" w:hint="cs"/>
          <w:szCs w:val="24"/>
          <w:rtl/>
          <w:lang w:val="en-US"/>
        </w:rPr>
        <w:t xml:space="preserve"> التخطيط لخطة ما بعد عام 2020. وذكرت أن الشبكة منزعجة ب</w:t>
      </w:r>
      <w:r w:rsidR="004D3A10" w:rsidRPr="00137D75">
        <w:rPr>
          <w:rFonts w:cs="Simplified Arabic" w:hint="cs"/>
          <w:szCs w:val="24"/>
          <w:rtl/>
          <w:lang w:val="en-US"/>
        </w:rPr>
        <w:t>م</w:t>
      </w:r>
      <w:r w:rsidR="006E66D7" w:rsidRPr="00137D75">
        <w:rPr>
          <w:rFonts w:cs="Simplified Arabic" w:hint="cs"/>
          <w:szCs w:val="24"/>
          <w:rtl/>
          <w:lang w:val="en-US"/>
        </w:rPr>
        <w:t xml:space="preserve">عدل انبعاثات الكربون الأسود والتلوث بالزئبق، </w:t>
      </w:r>
      <w:r w:rsidR="004D3A10" w:rsidRPr="00137D75">
        <w:rPr>
          <w:rFonts w:cs="Simplified Arabic" w:hint="cs"/>
          <w:szCs w:val="24"/>
          <w:rtl/>
          <w:lang w:val="en-US"/>
        </w:rPr>
        <w:t>و</w:t>
      </w:r>
      <w:r w:rsidR="006E66D7" w:rsidRPr="00137D75">
        <w:rPr>
          <w:rFonts w:cs="Simplified Arabic" w:hint="cs"/>
          <w:szCs w:val="24"/>
          <w:rtl/>
          <w:lang w:val="en-US"/>
        </w:rPr>
        <w:t>هناك حاجة إلى التعاون القوي بين نساء ا</w:t>
      </w:r>
      <w:r w:rsidR="004D3A10" w:rsidRPr="00137D75">
        <w:rPr>
          <w:rFonts w:cs="Simplified Arabic" w:hint="cs"/>
          <w:szCs w:val="24"/>
          <w:rtl/>
          <w:lang w:val="en-US"/>
        </w:rPr>
        <w:t>ل</w:t>
      </w:r>
      <w:r w:rsidR="006E66D7" w:rsidRPr="00137D75">
        <w:rPr>
          <w:rFonts w:cs="Simplified Arabic" w:hint="cs"/>
          <w:szCs w:val="24"/>
          <w:rtl/>
          <w:lang w:val="en-US"/>
        </w:rPr>
        <w:t>شعوب الأصلية، و</w:t>
      </w:r>
      <w:r w:rsidR="004D3A10" w:rsidRPr="00137D75">
        <w:rPr>
          <w:rFonts w:cs="Simplified Arabic" w:hint="cs"/>
          <w:szCs w:val="24"/>
          <w:rtl/>
          <w:lang w:val="en-US"/>
        </w:rPr>
        <w:t>ال</w:t>
      </w:r>
      <w:r w:rsidR="006E66D7" w:rsidRPr="00137D75">
        <w:rPr>
          <w:rFonts w:cs="Simplified Arabic" w:hint="cs"/>
          <w:szCs w:val="24"/>
          <w:rtl/>
          <w:lang w:val="en-US"/>
        </w:rPr>
        <w:t xml:space="preserve">حكومات والآخرين في هذا السياق. ولسوء الحظ، لم يعترف بالشعوب الأصلية في بعض البلدان، وتعاني النساء من الشعوب الأصلية في مناطق كثيرة من أشكال مختلفة </w:t>
      </w:r>
      <w:r w:rsidR="006E66D7" w:rsidRPr="00137D75">
        <w:rPr>
          <w:rFonts w:cs="Simplified Arabic" w:hint="cs"/>
          <w:szCs w:val="24"/>
          <w:rtl/>
          <w:lang w:val="en-US"/>
        </w:rPr>
        <w:lastRenderedPageBreak/>
        <w:t xml:space="preserve">من العنف. ورحبت بذكر الموافقة الحرة المسبقة عن علم في وثائق الاتفاقية، إذ أن نساء الشعوب الأصلية كانت في الغالب محرومة من </w:t>
      </w:r>
      <w:r w:rsidR="004D3A10" w:rsidRPr="00137D75">
        <w:rPr>
          <w:rFonts w:cs="Simplified Arabic" w:hint="cs"/>
          <w:szCs w:val="24"/>
          <w:rtl/>
          <w:lang w:val="en-US"/>
        </w:rPr>
        <w:t xml:space="preserve">ذلك الحق الإنساني. وقالت إن </w:t>
      </w:r>
      <w:r w:rsidR="006E66D7" w:rsidRPr="00137D75">
        <w:rPr>
          <w:rFonts w:cs="Simplified Arabic" w:hint="cs"/>
          <w:szCs w:val="24"/>
          <w:rtl/>
          <w:lang w:val="en-US"/>
        </w:rPr>
        <w:t>لغات الشعوب الأصلية، ونظم المعارف، ونظرية المعارف، و</w:t>
      </w:r>
      <w:r w:rsidR="007366A1" w:rsidRPr="00137D75">
        <w:rPr>
          <w:rFonts w:cs="Simplified Arabic" w:hint="cs"/>
          <w:szCs w:val="24"/>
          <w:rtl/>
          <w:lang w:val="en-US"/>
        </w:rPr>
        <w:t>علم الكونيات، والأراضي والمياه كانت نظم دعم قوية لبناء علاقة شاملة مع الكوكب.</w:t>
      </w:r>
    </w:p>
    <w:p w:rsidR="005C0689" w:rsidRDefault="00027E9F" w:rsidP="00FF7FA5">
      <w:pPr>
        <w:pStyle w:val="Para10"/>
        <w:numPr>
          <w:ilvl w:val="0"/>
          <w:numId w:val="9"/>
        </w:numPr>
        <w:bidi/>
        <w:spacing w:before="0" w:line="216" w:lineRule="auto"/>
        <w:ind w:left="0" w:firstLine="0"/>
        <w:rPr>
          <w:rFonts w:cs="Simplified Arabic"/>
          <w:szCs w:val="24"/>
          <w:lang w:val="en-US"/>
        </w:rPr>
      </w:pPr>
      <w:r>
        <w:rPr>
          <w:rFonts w:cs="Simplified Arabic" w:hint="cs"/>
          <w:szCs w:val="24"/>
          <w:rtl/>
          <w:lang w:val="en-US"/>
        </w:rPr>
        <w:t xml:space="preserve">وشكرت ممثلة المنتدى الدولي للشعوب الأصلية المعني بالتنوع البيولوجي </w:t>
      </w:r>
      <w:r>
        <w:rPr>
          <w:rFonts w:cs="Simplified Arabic"/>
          <w:szCs w:val="24"/>
          <w:lang w:val="en-US"/>
        </w:rPr>
        <w:t>(IIFB)</w:t>
      </w:r>
      <w:r>
        <w:rPr>
          <w:rFonts w:cs="Simplified Arabic" w:hint="cs"/>
          <w:szCs w:val="24"/>
          <w:rtl/>
          <w:lang w:val="en-US"/>
        </w:rPr>
        <w:t xml:space="preserve"> حكومات </w:t>
      </w:r>
      <w:r w:rsidR="00E953AF">
        <w:rPr>
          <w:rFonts w:cs="Simplified Arabic" w:hint="cs"/>
          <w:szCs w:val="24"/>
          <w:rtl/>
          <w:lang w:val="en-US"/>
        </w:rPr>
        <w:t>مصر، وألمانيا، والمكسيك، ونيوزيلندا والنرويج على مساهماتها في الصندوق الطوعي لدعم مشاركة الشعوب الأصلية والمجتمعات المحلية في الاجتماع الحالي وقمة الطبيعة والثقافة المنعقدة في شرم الشيخ من 22 إلى 24 نوفمبر/تشرين الثاني 2018. وقالت إن الشعوب الأصلية والمجتمعات المحلية أتت بحلول للاستر</w:t>
      </w:r>
      <w:r w:rsidR="000543C4">
        <w:rPr>
          <w:rFonts w:cs="Simplified Arabic" w:hint="cs"/>
          <w:szCs w:val="24"/>
          <w:rtl/>
          <w:lang w:val="en-US"/>
        </w:rPr>
        <w:t>اتي</w:t>
      </w:r>
      <w:r w:rsidR="00E953AF">
        <w:rPr>
          <w:rFonts w:cs="Simplified Arabic" w:hint="cs"/>
          <w:szCs w:val="24"/>
          <w:rtl/>
          <w:lang w:val="en-US"/>
        </w:rPr>
        <w:t xml:space="preserve">جيات العالمية لحماية التنوع البيولوجي وتحقيق أهداف التنمية المستدامة؛ وإن عدم كفاية الآليات المالية المستدامة لمشاركتها تمثل تحديا لها. وأعربت عن قلق الشعوب الأصلية إزاء فقدان التنوع البيولوجي والأخطار التي تواجهها عند حماية الطبيعة، ولكنها مستعدة للعمل لضمان النجاح في صياغة الإطار العالمي للتنوع البيولوجي لما بعد عام 2020 والمشاركة في شراكات جدية لتحقيق رؤية عام 2050 للحياة في </w:t>
      </w:r>
      <w:r w:rsidR="00544322">
        <w:rPr>
          <w:rFonts w:cs="Simplified Arabic" w:hint="cs"/>
          <w:szCs w:val="24"/>
          <w:rtl/>
          <w:lang w:val="en-US"/>
        </w:rPr>
        <w:t>تناغم</w:t>
      </w:r>
      <w:r w:rsidR="00E953AF">
        <w:rPr>
          <w:rFonts w:cs="Simplified Arabic" w:hint="cs"/>
          <w:szCs w:val="24"/>
          <w:rtl/>
          <w:lang w:val="en-US"/>
        </w:rPr>
        <w:t xml:space="preserve"> مع الطبيعة.</w:t>
      </w:r>
    </w:p>
    <w:p w:rsidR="00027E9F" w:rsidRDefault="00E953AF" w:rsidP="00FF7FA5">
      <w:pPr>
        <w:pStyle w:val="Para10"/>
        <w:numPr>
          <w:ilvl w:val="0"/>
          <w:numId w:val="9"/>
        </w:numPr>
        <w:bidi/>
        <w:spacing w:before="0" w:line="216" w:lineRule="auto"/>
        <w:ind w:left="0" w:firstLine="0"/>
        <w:rPr>
          <w:rFonts w:cs="Simplified Arabic"/>
          <w:szCs w:val="24"/>
          <w:lang w:val="en-US"/>
        </w:rPr>
      </w:pPr>
      <w:r>
        <w:rPr>
          <w:rFonts w:cs="Simplified Arabic" w:hint="cs"/>
          <w:szCs w:val="24"/>
          <w:rtl/>
          <w:lang w:val="en-US"/>
        </w:rPr>
        <w:t>وقال ممثل التحالف من أجل اتفاقية التنوع البيولوجي إن هناك ح</w:t>
      </w:r>
      <w:r w:rsidR="000543C4">
        <w:rPr>
          <w:rFonts w:cs="Simplified Arabic" w:hint="cs"/>
          <w:szCs w:val="24"/>
          <w:rtl/>
          <w:lang w:val="en-US"/>
        </w:rPr>
        <w:t>دا</w:t>
      </w:r>
      <w:r w:rsidR="00DD4AF6">
        <w:rPr>
          <w:rFonts w:cs="Simplified Arabic" w:hint="cs"/>
          <w:szCs w:val="24"/>
          <w:rtl/>
          <w:lang w:val="en-US"/>
        </w:rPr>
        <w:t xml:space="preserve"> لقدرة الأرض على التجدي</w:t>
      </w:r>
      <w:r>
        <w:rPr>
          <w:rFonts w:cs="Simplified Arabic" w:hint="cs"/>
          <w:szCs w:val="24"/>
          <w:rtl/>
          <w:lang w:val="en-US"/>
        </w:rPr>
        <w:t xml:space="preserve">د </w:t>
      </w:r>
      <w:r w:rsidR="00DD4AF6">
        <w:rPr>
          <w:rFonts w:cs="Simplified Arabic" w:hint="cs"/>
          <w:szCs w:val="24"/>
          <w:rtl/>
          <w:lang w:val="en-US"/>
        </w:rPr>
        <w:t xml:space="preserve">الطبيعي </w:t>
      </w:r>
      <w:r>
        <w:rPr>
          <w:rFonts w:cs="Simplified Arabic" w:hint="cs"/>
          <w:szCs w:val="24"/>
          <w:rtl/>
          <w:lang w:val="en-US"/>
        </w:rPr>
        <w:t>وينبغي احترام ذلك. وهناك حاجة إلى تغير منظم أساسي مما يعني الاتفاق على حدود ملموسة ومقيدة من حيث الزمن على الأنشطة التي تدمر الطبيعة. ولا ينبغي أن يستخدم التعميم لاخلاء المسؤولية عن الشركات</w:t>
      </w:r>
      <w:r w:rsidR="00DD4AF6">
        <w:rPr>
          <w:rFonts w:cs="Simplified Arabic" w:hint="cs"/>
          <w:szCs w:val="24"/>
          <w:rtl/>
          <w:lang w:val="en-US"/>
        </w:rPr>
        <w:t xml:space="preserve"> الكبرى</w:t>
      </w:r>
      <w:r>
        <w:rPr>
          <w:rFonts w:cs="Simplified Arabic" w:hint="cs"/>
          <w:szCs w:val="24"/>
          <w:rtl/>
          <w:lang w:val="en-US"/>
        </w:rPr>
        <w:t xml:space="preserve">، وينبغي ألا يؤثر الملوثون على نطاق واسع </w:t>
      </w:r>
      <w:r w:rsidR="003C1588">
        <w:rPr>
          <w:rFonts w:cs="Simplified Arabic" w:hint="cs"/>
          <w:szCs w:val="24"/>
          <w:rtl/>
          <w:lang w:val="en-US"/>
        </w:rPr>
        <w:t>على</w:t>
      </w:r>
      <w:r>
        <w:rPr>
          <w:rFonts w:cs="Simplified Arabic" w:hint="cs"/>
          <w:szCs w:val="24"/>
          <w:rtl/>
          <w:lang w:val="en-US"/>
        </w:rPr>
        <w:t xml:space="preserve"> السياسات وينبغي ألا تستخدم البلدان الاجتماع الحالي </w:t>
      </w:r>
      <w:r w:rsidR="001A0EF1">
        <w:rPr>
          <w:rFonts w:cs="Simplified Arabic" w:hint="cs"/>
          <w:szCs w:val="24"/>
          <w:rtl/>
          <w:lang w:val="en-US"/>
        </w:rPr>
        <w:t xml:space="preserve">"التمويه الأخضر" لصورتها. وينبغي </w:t>
      </w:r>
      <w:r w:rsidR="00DD4AF6">
        <w:rPr>
          <w:rFonts w:cs="Simplified Arabic" w:hint="cs"/>
          <w:szCs w:val="24"/>
          <w:rtl/>
          <w:lang w:val="en-US"/>
        </w:rPr>
        <w:t xml:space="preserve">أن يتم </w:t>
      </w:r>
      <w:r w:rsidR="001A0EF1">
        <w:rPr>
          <w:rFonts w:cs="Simplified Arabic" w:hint="cs"/>
          <w:szCs w:val="24"/>
          <w:rtl/>
          <w:lang w:val="en-US"/>
        </w:rPr>
        <w:t>مساءلة الأعمال التجارية، من خلال آليات الامتثال، عن الضرر الذي تحدثه. فالطبيعة ليست سلعة نقدية، والحلول الكاذبة ينبغي أن تتوقف، مثل تعويضات التنوع البيولوجي. وهناك حاجة إلى عدم الاستثمار من جميع القطاعات التي تسببت في تدمير البيئة، وعلى الأطراف أن تعتمد وتطبق إجراء لتجنب وإدارة تضارب المصالح. وعدم المساواة وعدم تماثل القوة نت</w:t>
      </w:r>
      <w:r w:rsidR="00DD4AF6">
        <w:rPr>
          <w:rFonts w:cs="Simplified Arabic" w:hint="cs"/>
          <w:szCs w:val="24"/>
          <w:rtl/>
          <w:lang w:val="en-US"/>
        </w:rPr>
        <w:t>ي</w:t>
      </w:r>
      <w:r w:rsidR="001A0EF1">
        <w:rPr>
          <w:rFonts w:cs="Simplified Arabic" w:hint="cs"/>
          <w:szCs w:val="24"/>
          <w:rtl/>
          <w:lang w:val="en-US"/>
        </w:rPr>
        <w:t>جة لنظام التنمية لا يمكن أن يستمر، وينبغي أن يقود أصحاب المصلحة، الجهود المبذولة فيما بعد عام 2020، مثل النساء، والشعوب الأصلية والمجتمعات المحلية والشباب، وجميعهم يعانون بالفعل من تأثيرات عدم اتخاذ إجراءات في الوقت الحاضر: فهم يستحقون عدالة ت</w:t>
      </w:r>
      <w:r w:rsidR="00DD4AF6">
        <w:rPr>
          <w:rFonts w:cs="Simplified Arabic" w:hint="cs"/>
          <w:szCs w:val="24"/>
          <w:rtl/>
          <w:lang w:val="en-US"/>
        </w:rPr>
        <w:t>صالح</w:t>
      </w:r>
      <w:r w:rsidR="001A0EF1">
        <w:rPr>
          <w:rFonts w:cs="Simplified Arabic" w:hint="cs"/>
          <w:szCs w:val="24"/>
          <w:rtl/>
          <w:lang w:val="en-US"/>
        </w:rPr>
        <w:t>ية. وينبغي تطبيق النهج التحوطي، وتعزيز الموافقة المسبقة عن علم، ووقف أي إطلاق لتكنولوجيا تقييد استخدام الجينات، المسماة بمحركات الجينات</w:t>
      </w:r>
      <w:r w:rsidR="006F3F6D">
        <w:rPr>
          <w:rFonts w:cs="Simplified Arabic" w:hint="cs"/>
          <w:szCs w:val="24"/>
          <w:rtl/>
          <w:lang w:val="en-US"/>
        </w:rPr>
        <w:t>. واستخدام معلومات التسلسل الرقمي بدون تقاسم المنافع كان غير منصفا ويشكل تهديدا على المدى الطويل. و</w:t>
      </w:r>
      <w:r w:rsidR="00DD4AF6">
        <w:rPr>
          <w:rFonts w:cs="Simplified Arabic" w:hint="cs"/>
          <w:szCs w:val="24"/>
          <w:rtl/>
          <w:lang w:val="en-US"/>
        </w:rPr>
        <w:t>ت</w:t>
      </w:r>
      <w:r w:rsidR="006F3F6D">
        <w:rPr>
          <w:rFonts w:cs="Simplified Arabic" w:hint="cs"/>
          <w:szCs w:val="24"/>
          <w:rtl/>
          <w:lang w:val="en-US"/>
        </w:rPr>
        <w:t>حث الأطراف على إعداد نظام أكثر إنصافا وتدع</w:t>
      </w:r>
      <w:r w:rsidR="00DD4AF6">
        <w:rPr>
          <w:rFonts w:cs="Simplified Arabic" w:hint="cs"/>
          <w:szCs w:val="24"/>
          <w:rtl/>
          <w:lang w:val="en-US"/>
        </w:rPr>
        <w:t>ى</w:t>
      </w:r>
      <w:r w:rsidR="006F3F6D">
        <w:rPr>
          <w:rFonts w:cs="Simplified Arabic" w:hint="cs"/>
          <w:szCs w:val="24"/>
          <w:rtl/>
          <w:lang w:val="en-US"/>
        </w:rPr>
        <w:t xml:space="preserve"> إلى إعادة تأسيس فريق من الخبراء التقيين غير مخصص </w:t>
      </w:r>
      <w:r w:rsidR="00DD4AF6">
        <w:rPr>
          <w:rFonts w:cs="Simplified Arabic" w:hint="cs"/>
          <w:szCs w:val="24"/>
          <w:rtl/>
          <w:lang w:val="en-US"/>
        </w:rPr>
        <w:t>معني</w:t>
      </w:r>
      <w:r w:rsidR="006F3F6D">
        <w:rPr>
          <w:rFonts w:cs="Simplified Arabic" w:hint="cs"/>
          <w:szCs w:val="24"/>
          <w:rtl/>
          <w:lang w:val="en-US"/>
        </w:rPr>
        <w:t xml:space="preserve"> </w:t>
      </w:r>
      <w:r w:rsidR="00DD4AF6">
        <w:rPr>
          <w:rFonts w:cs="Simplified Arabic" w:hint="cs"/>
          <w:szCs w:val="24"/>
          <w:rtl/>
          <w:lang w:val="en-US"/>
        </w:rPr>
        <w:t>ب</w:t>
      </w:r>
      <w:r w:rsidR="006F3F6D">
        <w:rPr>
          <w:rFonts w:cs="Simplified Arabic" w:hint="cs"/>
          <w:szCs w:val="24"/>
          <w:rtl/>
          <w:lang w:val="en-US"/>
        </w:rPr>
        <w:t>المخاطر. وتشير التقديرات إلى أن</w:t>
      </w:r>
      <w:r w:rsidR="00DD4AF6">
        <w:rPr>
          <w:rFonts w:cs="Simplified Arabic" w:hint="cs"/>
          <w:szCs w:val="24"/>
          <w:rtl/>
          <w:lang w:val="en-US"/>
        </w:rPr>
        <w:t xml:space="preserve"> ما نسبته</w:t>
      </w:r>
      <w:r w:rsidR="006F3F6D">
        <w:rPr>
          <w:rFonts w:cs="Simplified Arabic" w:hint="cs"/>
          <w:szCs w:val="24"/>
          <w:rtl/>
          <w:lang w:val="en-US"/>
        </w:rPr>
        <w:t xml:space="preserve"> 80 في المائة من التنوع البيولوجي المتبقي في العالم يوجد في أراضي وأقاليم الشعوب الأصلية والمجتمعات المحلية، وينبغي القيام بالمزيد من العمل لدعم تلك المجتمعات في جهودها الجماعية الخاصة بحوكمة أقاليمها وإدارتها وحمايتها وحفظها.</w:t>
      </w:r>
    </w:p>
    <w:p w:rsidR="0043176E" w:rsidRDefault="006F3F6D" w:rsidP="00FF7FA5">
      <w:pPr>
        <w:pStyle w:val="Para10"/>
        <w:numPr>
          <w:ilvl w:val="0"/>
          <w:numId w:val="9"/>
        </w:numPr>
        <w:bidi/>
        <w:spacing w:before="0" w:line="216" w:lineRule="auto"/>
        <w:ind w:left="0" w:firstLine="0"/>
        <w:rPr>
          <w:rFonts w:cs="Simplified Arabic"/>
          <w:szCs w:val="24"/>
          <w:lang w:val="en-US"/>
        </w:rPr>
      </w:pPr>
      <w:r>
        <w:rPr>
          <w:rFonts w:cs="Simplified Arabic" w:hint="cs"/>
          <w:szCs w:val="24"/>
          <w:rtl/>
          <w:lang w:val="en-US"/>
        </w:rPr>
        <w:t>وقال</w:t>
      </w:r>
      <w:r w:rsidR="0043176E">
        <w:rPr>
          <w:rFonts w:cs="Simplified Arabic" w:hint="cs"/>
          <w:szCs w:val="24"/>
          <w:rtl/>
          <w:lang w:val="en-US"/>
        </w:rPr>
        <w:t>ت</w:t>
      </w:r>
      <w:r>
        <w:rPr>
          <w:rFonts w:cs="Simplified Arabic" w:hint="cs"/>
          <w:szCs w:val="24"/>
          <w:rtl/>
          <w:lang w:val="en-US"/>
        </w:rPr>
        <w:t xml:space="preserve"> ممثل</w:t>
      </w:r>
      <w:r w:rsidR="0043176E">
        <w:rPr>
          <w:rFonts w:cs="Simplified Arabic" w:hint="cs"/>
          <w:szCs w:val="24"/>
          <w:rtl/>
          <w:lang w:val="en-US"/>
        </w:rPr>
        <w:t>ة</w:t>
      </w:r>
      <w:r>
        <w:rPr>
          <w:rFonts w:cs="Simplified Arabic" w:hint="cs"/>
          <w:szCs w:val="24"/>
          <w:rtl/>
          <w:lang w:val="en-US"/>
        </w:rPr>
        <w:t xml:space="preserve"> الشبكة العالمية للشباب المعنية بالتنوع البيولوجي</w:t>
      </w:r>
      <w:r w:rsidR="0043176E">
        <w:rPr>
          <w:rFonts w:cs="Simplified Arabic" w:hint="cs"/>
          <w:szCs w:val="24"/>
          <w:rtl/>
          <w:lang w:val="en-US"/>
        </w:rPr>
        <w:t xml:space="preserve"> </w:t>
      </w:r>
      <w:r w:rsidR="0043176E">
        <w:rPr>
          <w:rFonts w:cs="Simplified Arabic"/>
          <w:szCs w:val="24"/>
          <w:lang w:val="en-US"/>
        </w:rPr>
        <w:t>(GBYN)</w:t>
      </w:r>
      <w:r>
        <w:rPr>
          <w:rFonts w:cs="Simplified Arabic" w:hint="cs"/>
          <w:szCs w:val="24"/>
          <w:rtl/>
          <w:lang w:val="en-US"/>
        </w:rPr>
        <w:t xml:space="preserve"> إن عدم ال</w:t>
      </w:r>
      <w:r w:rsidR="00DD4AF6">
        <w:rPr>
          <w:rFonts w:cs="Simplified Arabic" w:hint="cs"/>
          <w:szCs w:val="24"/>
          <w:rtl/>
          <w:lang w:val="en-US"/>
        </w:rPr>
        <w:t>مساواة وعدم تماثل القوة زادا</w:t>
      </w:r>
      <w:r>
        <w:rPr>
          <w:rFonts w:cs="Simplified Arabic" w:hint="cs"/>
          <w:szCs w:val="24"/>
          <w:rtl/>
          <w:lang w:val="en-US"/>
        </w:rPr>
        <w:t xml:space="preserve"> في النظام الاقتصادي السياسي العالمي مع نشر نموذج حوكمة يستند إلى الخوف والقمع. وكان ذلك النظام هو السبب الجذري لفقدان التنوع البيولوجي، الذي كان الأثر المباشر له تهميش المجموعات الضعيفة مثل الشباب والنساء والشعوب الأصلية والمجتمعات المحلية. فقد كان صغار النساء والرجا</w:t>
      </w:r>
      <w:r w:rsidR="009A50B9">
        <w:rPr>
          <w:rFonts w:cs="Simplified Arabic" w:hint="cs"/>
          <w:szCs w:val="24"/>
          <w:rtl/>
          <w:lang w:val="en-US"/>
        </w:rPr>
        <w:t>ل</w:t>
      </w:r>
      <w:r>
        <w:rPr>
          <w:rFonts w:cs="Simplified Arabic" w:hint="cs"/>
          <w:szCs w:val="24"/>
          <w:rtl/>
          <w:lang w:val="en-US"/>
        </w:rPr>
        <w:t xml:space="preserve"> يقاومون التهديدات </w:t>
      </w:r>
      <w:r w:rsidR="009A50B9">
        <w:rPr>
          <w:rFonts w:cs="Simplified Arabic" w:hint="cs"/>
          <w:szCs w:val="24"/>
          <w:rtl/>
          <w:lang w:val="en-US"/>
        </w:rPr>
        <w:t xml:space="preserve">من نظام سياسي غير عادل ويبينون كيفية الازدهار مع التنوع البيولوجي. </w:t>
      </w:r>
      <w:r w:rsidR="0043176E">
        <w:rPr>
          <w:rFonts w:cs="Simplified Arabic" w:hint="cs"/>
          <w:szCs w:val="24"/>
          <w:rtl/>
          <w:lang w:val="en-US"/>
        </w:rPr>
        <w:t>فقد فقدوا الثقة في قادتهم السياسيين ويريدون المشاركة بف</w:t>
      </w:r>
      <w:r w:rsidR="00547621">
        <w:rPr>
          <w:rFonts w:cs="Simplified Arabic" w:hint="cs"/>
          <w:szCs w:val="24"/>
          <w:rtl/>
          <w:lang w:val="en-US"/>
        </w:rPr>
        <w:t>عا</w:t>
      </w:r>
      <w:r w:rsidR="0043176E">
        <w:rPr>
          <w:rFonts w:cs="Simplified Arabic" w:hint="cs"/>
          <w:szCs w:val="24"/>
          <w:rtl/>
          <w:lang w:val="en-US"/>
        </w:rPr>
        <w:t>لية في جميع العمليات التي تشكل خطة التنوع البيولوجي لما بعد عام 2020. وناشدت جميع الحكومات على التفكير في الشباب كشريك استراتيجي لتصميم وتنفيذ المبادرات الوطنية لتنفيذ الاتفاقية</w:t>
      </w:r>
      <w:r w:rsidR="00547621" w:rsidRPr="00547621">
        <w:rPr>
          <w:rFonts w:cs="Simplified Arabic" w:hint="cs"/>
          <w:szCs w:val="24"/>
          <w:rtl/>
          <w:lang w:val="en-US"/>
        </w:rPr>
        <w:t xml:space="preserve"> </w:t>
      </w:r>
      <w:r w:rsidR="00547621">
        <w:rPr>
          <w:rFonts w:cs="Simplified Arabic" w:hint="cs"/>
          <w:szCs w:val="24"/>
          <w:rtl/>
          <w:lang w:val="en-US"/>
        </w:rPr>
        <w:t>والإبلاغ عنها</w:t>
      </w:r>
      <w:r w:rsidR="0043176E">
        <w:rPr>
          <w:rFonts w:cs="Simplified Arabic" w:hint="cs"/>
          <w:szCs w:val="24"/>
          <w:rtl/>
          <w:lang w:val="en-US"/>
        </w:rPr>
        <w:t>. وأضافت أن الشبكة العالمية للشباب المعنية بالتنوع البيولوجي قد عقدت موخرا خمس حلقات عمل إقليمية لبنا</w:t>
      </w:r>
      <w:r w:rsidR="00547621">
        <w:rPr>
          <w:rFonts w:cs="Simplified Arabic" w:hint="cs"/>
          <w:szCs w:val="24"/>
          <w:rtl/>
          <w:lang w:val="en-US"/>
        </w:rPr>
        <w:t>ء</w:t>
      </w:r>
      <w:r w:rsidR="0043176E">
        <w:rPr>
          <w:rFonts w:cs="Simplified Arabic" w:hint="cs"/>
          <w:szCs w:val="24"/>
          <w:rtl/>
          <w:lang w:val="en-US"/>
        </w:rPr>
        <w:t xml:space="preserve"> قدرات الشباب، ولديها خطط لحلقتين خلال عام 2019، وأعربت عن أملها في تنظيم حلقات عمل أخرى في بقية </w:t>
      </w:r>
      <w:r w:rsidR="00547621">
        <w:rPr>
          <w:rFonts w:cs="Simplified Arabic" w:hint="cs"/>
          <w:szCs w:val="24"/>
          <w:rtl/>
          <w:lang w:val="en-US"/>
        </w:rPr>
        <w:t>مناطق</w:t>
      </w:r>
      <w:r w:rsidR="0043176E">
        <w:rPr>
          <w:rFonts w:cs="Simplified Arabic" w:hint="cs"/>
          <w:szCs w:val="24"/>
          <w:rtl/>
          <w:lang w:val="en-US"/>
        </w:rPr>
        <w:t xml:space="preserve"> العالم. وأشارت إلى حث الحكومات على العمل مع الشبكة ومواصلة برنامجها.</w:t>
      </w:r>
    </w:p>
    <w:p w:rsidR="00A13E83" w:rsidRDefault="0043176E" w:rsidP="000A28EA">
      <w:pPr>
        <w:pStyle w:val="Para10"/>
        <w:numPr>
          <w:ilvl w:val="0"/>
          <w:numId w:val="9"/>
        </w:numPr>
        <w:bidi/>
        <w:spacing w:before="0" w:line="216" w:lineRule="auto"/>
        <w:ind w:left="0" w:firstLine="0"/>
        <w:rPr>
          <w:rFonts w:cs="Simplified Arabic"/>
          <w:szCs w:val="24"/>
          <w:lang w:val="en-US"/>
        </w:rPr>
      </w:pPr>
      <w:r>
        <w:rPr>
          <w:rFonts w:cs="Simplified Arabic" w:hint="cs"/>
          <w:szCs w:val="24"/>
          <w:rtl/>
          <w:lang w:val="en-US"/>
        </w:rPr>
        <w:t>وقالت السيدة آن لاريغودري، الأمينة التنفيذية للمنبر الحكومي الدولي للعلوم والسياسات في مجال التنوع البيولوجي وخدمات النظم الإيكولوجية</w:t>
      </w:r>
      <w:r w:rsidR="0018641B">
        <w:rPr>
          <w:rFonts w:cs="Simplified Arabic" w:hint="cs"/>
          <w:szCs w:val="24"/>
          <w:rtl/>
          <w:lang w:val="en-US"/>
        </w:rPr>
        <w:t xml:space="preserve"> </w:t>
      </w:r>
      <w:r w:rsidR="0018641B">
        <w:rPr>
          <w:rFonts w:cs="Simplified Arabic"/>
          <w:szCs w:val="24"/>
          <w:lang w:val="en-US"/>
        </w:rPr>
        <w:t>(IPBES)</w:t>
      </w:r>
      <w:r>
        <w:rPr>
          <w:rFonts w:cs="Simplified Arabic" w:hint="cs"/>
          <w:szCs w:val="24"/>
          <w:rtl/>
          <w:lang w:val="en-US"/>
        </w:rPr>
        <w:t>، إن الاجتماع الحالي يمثل مرحلة أساسية م</w:t>
      </w:r>
      <w:r w:rsidR="0018641B">
        <w:rPr>
          <w:rFonts w:cs="Simplified Arabic" w:hint="cs"/>
          <w:szCs w:val="24"/>
          <w:rtl/>
          <w:lang w:val="en-US"/>
        </w:rPr>
        <w:t>ه</w:t>
      </w:r>
      <w:r>
        <w:rPr>
          <w:rFonts w:cs="Simplified Arabic" w:hint="cs"/>
          <w:szCs w:val="24"/>
          <w:rtl/>
          <w:lang w:val="en-US"/>
        </w:rPr>
        <w:t xml:space="preserve">مة لتقييم التقدم المحرز نحو تنفيذ الخطة </w:t>
      </w:r>
      <w:r>
        <w:rPr>
          <w:rFonts w:cs="Simplified Arabic" w:hint="cs"/>
          <w:szCs w:val="24"/>
          <w:rtl/>
          <w:lang w:val="en-US"/>
        </w:rPr>
        <w:lastRenderedPageBreak/>
        <w:t xml:space="preserve">الاستراتيجية للتنوع البيولوجي وتحقيق أهداف أيشي للتنوع البيولوجي، فضلا عن التخطيط للإطار العالمي للتنوع البيولوجي لما بعد عام 2020. </w:t>
      </w:r>
      <w:r w:rsidR="000A28EA">
        <w:rPr>
          <w:rFonts w:cs="Simplified Arabic" w:hint="cs"/>
          <w:szCs w:val="24"/>
          <w:rtl/>
          <w:lang w:val="en-US"/>
        </w:rPr>
        <w:t>وأبلغت ع</w:t>
      </w:r>
      <w:r>
        <w:rPr>
          <w:rFonts w:cs="Simplified Arabic" w:hint="cs"/>
          <w:szCs w:val="24"/>
          <w:rtl/>
          <w:lang w:val="en-US"/>
        </w:rPr>
        <w:t>ن أنشطة المنبر الحكومي الدولي وبرنامج دورته السابعة، المقرر عقدها في باريس من 29 أبريل/نيسان إلى 4 مايو/</w:t>
      </w:r>
      <w:r w:rsidR="0018641B">
        <w:rPr>
          <w:rFonts w:cs="Simplified Arabic" w:hint="cs"/>
          <w:szCs w:val="24"/>
          <w:rtl/>
          <w:lang w:val="en-US"/>
        </w:rPr>
        <w:t>أ</w:t>
      </w:r>
      <w:r>
        <w:rPr>
          <w:rFonts w:cs="Simplified Arabic" w:hint="cs"/>
          <w:szCs w:val="24"/>
          <w:rtl/>
          <w:lang w:val="en-US"/>
        </w:rPr>
        <w:t xml:space="preserve">يار 2019، </w:t>
      </w:r>
      <w:r w:rsidR="000A28EA">
        <w:rPr>
          <w:rFonts w:cs="Simplified Arabic" w:hint="cs"/>
          <w:szCs w:val="24"/>
          <w:rtl/>
          <w:lang w:val="en-US"/>
        </w:rPr>
        <w:t xml:space="preserve">التي </w:t>
      </w:r>
      <w:r>
        <w:rPr>
          <w:rFonts w:cs="Simplified Arabic" w:hint="cs"/>
          <w:szCs w:val="24"/>
          <w:rtl/>
          <w:lang w:val="en-US"/>
        </w:rPr>
        <w:t>س</w:t>
      </w:r>
      <w:r w:rsidR="000A28EA">
        <w:rPr>
          <w:rFonts w:cs="Simplified Arabic" w:hint="cs"/>
          <w:szCs w:val="24"/>
          <w:rtl/>
          <w:lang w:val="en-US"/>
        </w:rPr>
        <w:t>ي</w:t>
      </w:r>
      <w:r>
        <w:rPr>
          <w:rFonts w:cs="Simplified Arabic" w:hint="cs"/>
          <w:szCs w:val="24"/>
          <w:rtl/>
          <w:lang w:val="en-US"/>
        </w:rPr>
        <w:t xml:space="preserve">عتمد </w:t>
      </w:r>
      <w:r w:rsidR="000A28EA">
        <w:rPr>
          <w:rFonts w:cs="Simplified Arabic" w:hint="cs"/>
          <w:szCs w:val="24"/>
          <w:rtl/>
          <w:lang w:val="en-US"/>
        </w:rPr>
        <w:t xml:space="preserve">الاجتماع العام </w:t>
      </w:r>
      <w:r>
        <w:rPr>
          <w:rFonts w:cs="Simplified Arabic" w:hint="cs"/>
          <w:szCs w:val="24"/>
          <w:rtl/>
          <w:lang w:val="en-US"/>
        </w:rPr>
        <w:t>برنامج العمل ال</w:t>
      </w:r>
      <w:r w:rsidR="0018641B">
        <w:rPr>
          <w:rFonts w:cs="Simplified Arabic" w:hint="cs"/>
          <w:szCs w:val="24"/>
          <w:rtl/>
          <w:lang w:val="en-US"/>
        </w:rPr>
        <w:t>ق</w:t>
      </w:r>
      <w:r>
        <w:rPr>
          <w:rFonts w:cs="Simplified Arabic" w:hint="cs"/>
          <w:szCs w:val="24"/>
          <w:rtl/>
          <w:lang w:val="en-US"/>
        </w:rPr>
        <w:t xml:space="preserve">ادم للمنبر الحكومي الدولي </w:t>
      </w:r>
      <w:r w:rsidR="000A28EA">
        <w:rPr>
          <w:rFonts w:cs="Simplified Arabic" w:hint="cs"/>
          <w:szCs w:val="24"/>
          <w:rtl/>
          <w:lang w:val="en-US"/>
        </w:rPr>
        <w:t xml:space="preserve">يغطي الفارة </w:t>
      </w:r>
      <w:r>
        <w:rPr>
          <w:rFonts w:cs="Simplified Arabic" w:hint="cs"/>
          <w:szCs w:val="24"/>
          <w:rtl/>
          <w:lang w:val="en-US"/>
        </w:rPr>
        <w:t>حتى عام 2030. وأضافت أن العمل بدأ أيضا</w:t>
      </w:r>
      <w:r w:rsidR="00BF78B3">
        <w:rPr>
          <w:rFonts w:cs="Simplified Arabic" w:hint="cs"/>
          <w:szCs w:val="24"/>
          <w:rtl/>
          <w:lang w:val="en-US"/>
        </w:rPr>
        <w:t xml:space="preserve"> على تقييم </w:t>
      </w:r>
      <w:r w:rsidR="0018641B">
        <w:rPr>
          <w:rFonts w:cs="Simplified Arabic" w:hint="cs"/>
          <w:szCs w:val="24"/>
          <w:rtl/>
          <w:lang w:val="en-US"/>
        </w:rPr>
        <w:t xml:space="preserve">الكثير من </w:t>
      </w:r>
      <w:r w:rsidR="00BF78B3">
        <w:rPr>
          <w:rFonts w:cs="Simplified Arabic" w:hint="cs"/>
          <w:szCs w:val="24"/>
          <w:rtl/>
          <w:lang w:val="en-US"/>
        </w:rPr>
        <w:t xml:space="preserve">قيم </w:t>
      </w:r>
      <w:r w:rsidR="0018641B">
        <w:rPr>
          <w:rFonts w:cs="Simplified Arabic" w:hint="cs"/>
          <w:szCs w:val="24"/>
          <w:rtl/>
          <w:lang w:val="en-US"/>
        </w:rPr>
        <w:t>ا</w:t>
      </w:r>
      <w:r w:rsidR="00BF78B3">
        <w:rPr>
          <w:rFonts w:cs="Simplified Arabic" w:hint="cs"/>
          <w:szCs w:val="24"/>
          <w:rtl/>
          <w:lang w:val="en-US"/>
        </w:rPr>
        <w:t>لطبيعة ومنافعها وتقييم الاستخدام المستدام للأنواع البرية. وستتاح أول المسودات لهذه التقييمات خلال عام 2019، وهناك دعوة مفتوحة حاليا لترشي</w:t>
      </w:r>
      <w:r w:rsidR="0018641B">
        <w:rPr>
          <w:rFonts w:cs="Simplified Arabic" w:hint="cs"/>
          <w:szCs w:val="24"/>
          <w:rtl/>
          <w:lang w:val="en-US"/>
        </w:rPr>
        <w:t>ح</w:t>
      </w:r>
      <w:r w:rsidR="00BF78B3">
        <w:rPr>
          <w:rFonts w:cs="Simplified Arabic" w:hint="cs"/>
          <w:szCs w:val="24"/>
          <w:rtl/>
          <w:lang w:val="en-US"/>
        </w:rPr>
        <w:t xml:space="preserve"> الخبراء لتقييم الأنواع الغريبة الغازية.</w:t>
      </w:r>
    </w:p>
    <w:p w:rsidR="00A962DD" w:rsidRDefault="00A962DD" w:rsidP="00BF41F0">
      <w:pPr>
        <w:spacing w:after="0" w:line="240" w:lineRule="auto"/>
        <w:jc w:val="left"/>
        <w:rPr>
          <w:rFonts w:eastAsia="Malgun Gothic"/>
          <w:snapToGrid w:val="0"/>
          <w:kern w:val="0"/>
          <w:rtl/>
        </w:rPr>
      </w:pPr>
      <w:r>
        <w:rPr>
          <w:rtl/>
        </w:rPr>
        <w:br w:type="page"/>
      </w:r>
    </w:p>
    <w:p w:rsidR="009A50B9" w:rsidRPr="00094717" w:rsidRDefault="00A962DD" w:rsidP="00094717">
      <w:pPr>
        <w:pStyle w:val="Heading2"/>
        <w:rPr>
          <w:b w:val="0"/>
          <w:bCs w:val="0"/>
          <w:i/>
          <w:iCs/>
          <w:rtl/>
        </w:rPr>
      </w:pPr>
      <w:bookmarkStart w:id="258" w:name="_Toc6140039"/>
      <w:r w:rsidRPr="00094717">
        <w:rPr>
          <w:rFonts w:hint="cs"/>
          <w:b w:val="0"/>
          <w:bCs w:val="0"/>
          <w:i/>
          <w:iCs/>
          <w:rtl/>
        </w:rPr>
        <w:lastRenderedPageBreak/>
        <w:t>المرفق الثالث</w:t>
      </w:r>
      <w:bookmarkEnd w:id="258"/>
    </w:p>
    <w:p w:rsidR="00A962DD" w:rsidRPr="00544322" w:rsidRDefault="00A962DD" w:rsidP="00094717">
      <w:pPr>
        <w:pStyle w:val="Heading2"/>
        <w:rPr>
          <w:rtl/>
        </w:rPr>
      </w:pPr>
      <w:bookmarkStart w:id="259" w:name="_Toc6140040"/>
      <w:r w:rsidRPr="00544322">
        <w:rPr>
          <w:rFonts w:hint="cs"/>
          <w:rtl/>
        </w:rPr>
        <w:t xml:space="preserve">حوار تفاعلي بشأن "نُهج الحياة في </w:t>
      </w:r>
      <w:r w:rsidR="00544322" w:rsidRPr="00544322">
        <w:rPr>
          <w:rFonts w:hint="cs"/>
          <w:rtl/>
        </w:rPr>
        <w:t>تناغم</w:t>
      </w:r>
      <w:r w:rsidRPr="00544322">
        <w:rPr>
          <w:rFonts w:hint="cs"/>
          <w:rtl/>
        </w:rPr>
        <w:t xml:space="preserve"> مع الطبيعة"</w:t>
      </w:r>
      <w:bookmarkEnd w:id="259"/>
    </w:p>
    <w:p w:rsidR="00A962DD" w:rsidRPr="00544322" w:rsidRDefault="00A962DD"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في الجلسة العامة الثالثة لاجتماع مؤتمر الأطراف، المنعقدة في 20 نوفمبر/تشرين الثاني 2018، أجرى حوار تفاعلي بشأن ال</w:t>
      </w:r>
      <w:r w:rsidR="00CD0350" w:rsidRPr="00544322">
        <w:rPr>
          <w:rFonts w:cs="Simplified Arabic" w:hint="cs"/>
          <w:szCs w:val="24"/>
          <w:rtl/>
          <w:lang w:val="en-US"/>
        </w:rPr>
        <w:t>موضوع "</w:t>
      </w:r>
      <w:r w:rsidRPr="00544322">
        <w:rPr>
          <w:rFonts w:cs="Simplified Arabic" w:hint="cs"/>
          <w:szCs w:val="24"/>
          <w:rtl/>
          <w:lang w:val="en-US"/>
        </w:rPr>
        <w:t>ن</w:t>
      </w:r>
      <w:r w:rsidR="00CD0350" w:rsidRPr="00544322">
        <w:rPr>
          <w:rFonts w:cs="Simplified Arabic" w:hint="cs"/>
          <w:szCs w:val="24"/>
          <w:rtl/>
          <w:lang w:val="en-US"/>
        </w:rPr>
        <w:t>ُ</w:t>
      </w:r>
      <w:r w:rsidRPr="00544322">
        <w:rPr>
          <w:rFonts w:cs="Simplified Arabic" w:hint="cs"/>
          <w:szCs w:val="24"/>
          <w:rtl/>
          <w:lang w:val="en-US"/>
        </w:rPr>
        <w:t xml:space="preserve">هج </w:t>
      </w:r>
      <w:r w:rsidR="00CD0350" w:rsidRPr="00544322">
        <w:rPr>
          <w:rFonts w:cs="Simplified Arabic" w:hint="cs"/>
          <w:szCs w:val="24"/>
          <w:rtl/>
          <w:lang w:val="en-US"/>
        </w:rPr>
        <w:t>ا</w:t>
      </w:r>
      <w:r w:rsidRPr="00544322">
        <w:rPr>
          <w:rFonts w:cs="Simplified Arabic" w:hint="cs"/>
          <w:szCs w:val="24"/>
          <w:rtl/>
          <w:lang w:val="en-US"/>
        </w:rPr>
        <w:t xml:space="preserve">لحياة في </w:t>
      </w:r>
      <w:r w:rsidR="00544322" w:rsidRPr="00544322">
        <w:rPr>
          <w:rFonts w:cs="Simplified Arabic" w:hint="cs"/>
          <w:szCs w:val="24"/>
          <w:rtl/>
          <w:lang w:val="en-US"/>
        </w:rPr>
        <w:t>تناغم</w:t>
      </w:r>
      <w:r w:rsidRPr="00544322">
        <w:rPr>
          <w:rFonts w:cs="Simplified Arabic" w:hint="cs"/>
          <w:szCs w:val="24"/>
          <w:rtl/>
          <w:lang w:val="en-US"/>
        </w:rPr>
        <w:t xml:space="preserve"> مع الطبيعة". وعقب عرض لتقديم هذا الموضوع بعنوان "فتات الانقراض" من </w:t>
      </w:r>
      <w:r w:rsidR="00CD0350" w:rsidRPr="00544322">
        <w:rPr>
          <w:rFonts w:cs="Simplified Arabic" w:hint="cs"/>
          <w:szCs w:val="24"/>
          <w:rtl/>
          <w:lang w:val="en-US"/>
        </w:rPr>
        <w:t>الفنان الإيطالي للصوت والباحث دافيد موناكي، بالاستناد إلى البحوث الميدانية في ’خر المناطق المتبقية في العالم للغابات المدارية الأولية غير المضطربة، تم تحديد الصورة للحوار من جانب فريق من أربعة خبراء من منظومة الأمم المتحدة، ... المجتمع العلمي ... و...، والشعوب الأصلية والمجتمعات المحلية ...، وقدم كل منهم آرائهم بشأن الشعار. وقامت الأمينة التنفيذية بتنسيق الحوار.</w:t>
      </w:r>
    </w:p>
    <w:p w:rsidR="00A962DD" w:rsidRPr="00544322" w:rsidRDefault="00A962DD" w:rsidP="002C6442">
      <w:pPr>
        <w:pStyle w:val="Para10"/>
        <w:numPr>
          <w:ilvl w:val="0"/>
          <w:numId w:val="0"/>
        </w:numPr>
        <w:bidi/>
        <w:spacing w:before="0" w:line="216" w:lineRule="auto"/>
        <w:jc w:val="center"/>
        <w:rPr>
          <w:rFonts w:cs="Simplified Arabic"/>
          <w:b/>
          <w:bCs/>
          <w:szCs w:val="24"/>
          <w:rtl/>
          <w:lang w:val="en-US"/>
        </w:rPr>
      </w:pPr>
      <w:r w:rsidRPr="00544322">
        <w:rPr>
          <w:rFonts w:cs="Simplified Arabic" w:hint="cs"/>
          <w:b/>
          <w:bCs/>
          <w:szCs w:val="24"/>
          <w:rtl/>
          <w:lang w:val="en-US"/>
        </w:rPr>
        <w:t>ألف -</w:t>
      </w:r>
      <w:r w:rsidRPr="00544322">
        <w:rPr>
          <w:rFonts w:cs="Simplified Arabic" w:hint="cs"/>
          <w:b/>
          <w:bCs/>
          <w:szCs w:val="24"/>
          <w:rtl/>
          <w:lang w:val="en-US"/>
        </w:rPr>
        <w:tab/>
        <w:t>عروض الخبراء</w:t>
      </w:r>
    </w:p>
    <w:p w:rsidR="00A962DD" w:rsidRPr="00544322" w:rsidRDefault="00A962DD" w:rsidP="000A28EA">
      <w:pPr>
        <w:pStyle w:val="Para10"/>
        <w:numPr>
          <w:ilvl w:val="0"/>
          <w:numId w:val="0"/>
        </w:numPr>
        <w:bidi/>
        <w:spacing w:before="0" w:line="216" w:lineRule="auto"/>
        <w:rPr>
          <w:rFonts w:cs="Simplified Arabic"/>
          <w:szCs w:val="24"/>
          <w:lang w:val="en-US"/>
        </w:rPr>
      </w:pPr>
      <w:r w:rsidRPr="00544322">
        <w:rPr>
          <w:rFonts w:cs="Simplified Arabic" w:hint="cs"/>
          <w:i/>
          <w:iCs/>
          <w:szCs w:val="24"/>
          <w:rtl/>
          <w:lang w:val="en-US"/>
        </w:rPr>
        <w:t>السيد بول ليدلي، بروفيسور الإيكولوجيا، جامعة جنوب باريس، فرنسا</w:t>
      </w:r>
    </w:p>
    <w:p w:rsidR="00A962DD" w:rsidRPr="00544322" w:rsidRDefault="0028053A"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 xml:space="preserve">قدم السيد ليدلي عرضا عاما للعمل الذي يقوم به </w:t>
      </w:r>
      <w:r w:rsidR="001B31A5" w:rsidRPr="00544322">
        <w:rPr>
          <w:rFonts w:cs="Simplified Arabic" w:hint="cs"/>
          <w:szCs w:val="24"/>
          <w:rtl/>
          <w:lang w:val="en-US"/>
        </w:rPr>
        <w:t>مجتمع العلماء بشأن النماذج والسيناريوهات التي يمكن أن تمهد الطريق لتحقيق رؤية عام 2050 للخطة الاستراتيجية للتنوع البيولوجي 2011-2020. وقد أكدت البحوث الحديثة معظم مؤشرات التنوع البيولوجي القائمة، بما في ذلك تلك المؤشرات التي تأخذ في الحسبان الإجراءات التي نفذت في إطار الاتفاقية، التي أكدت أن حالة التنوع البيولوجي تستمر في التد</w:t>
      </w:r>
      <w:r w:rsidR="00E75EA5" w:rsidRPr="00544322">
        <w:rPr>
          <w:rFonts w:cs="Simplified Arabic" w:hint="cs"/>
          <w:szCs w:val="24"/>
          <w:rtl/>
          <w:lang w:val="en-US"/>
        </w:rPr>
        <w:t>ه</w:t>
      </w:r>
      <w:r w:rsidR="001B31A5" w:rsidRPr="00544322">
        <w:rPr>
          <w:rFonts w:cs="Simplified Arabic" w:hint="cs"/>
          <w:szCs w:val="24"/>
          <w:rtl/>
          <w:lang w:val="en-US"/>
        </w:rPr>
        <w:t>ور وأكدت الحاجة الملحة ل</w:t>
      </w:r>
      <w:r w:rsidR="00EA0366" w:rsidRPr="00544322">
        <w:rPr>
          <w:rFonts w:cs="Simplified Arabic" w:hint="cs"/>
          <w:szCs w:val="24"/>
          <w:rtl/>
          <w:lang w:val="en-US"/>
        </w:rPr>
        <w:t>بذل ال</w:t>
      </w:r>
      <w:r w:rsidR="001B31A5" w:rsidRPr="00544322">
        <w:rPr>
          <w:rFonts w:cs="Simplified Arabic" w:hint="cs"/>
          <w:szCs w:val="24"/>
          <w:rtl/>
          <w:lang w:val="en-US"/>
        </w:rPr>
        <w:t>مزيد من الجهود الطموحة ليس لوقف التدهور</w:t>
      </w:r>
      <w:r w:rsidR="00EA0366" w:rsidRPr="00544322">
        <w:rPr>
          <w:rFonts w:cs="Simplified Arabic" w:hint="cs"/>
          <w:szCs w:val="24"/>
          <w:rtl/>
          <w:lang w:val="en-US"/>
        </w:rPr>
        <w:t>فحسب،</w:t>
      </w:r>
      <w:r w:rsidR="001B31A5" w:rsidRPr="00544322">
        <w:rPr>
          <w:rFonts w:cs="Simplified Arabic" w:hint="cs"/>
          <w:szCs w:val="24"/>
          <w:rtl/>
          <w:lang w:val="en-US"/>
        </w:rPr>
        <w:t xml:space="preserve"> بل أيضا لعكس مساره، أي "</w:t>
      </w:r>
      <w:r w:rsidR="00CD0350" w:rsidRPr="00544322">
        <w:rPr>
          <w:rFonts w:cs="Simplified Arabic" w:hint="cs"/>
          <w:szCs w:val="24"/>
          <w:rtl/>
          <w:lang w:val="en-US"/>
        </w:rPr>
        <w:t>خفض المعدل"</w:t>
      </w:r>
      <w:r w:rsidR="00040496" w:rsidRPr="00544322">
        <w:rPr>
          <w:rFonts w:cs="Simplified Arabic" w:hint="cs"/>
          <w:szCs w:val="24"/>
          <w:rtl/>
          <w:lang w:val="en-US"/>
        </w:rPr>
        <w:t>. وقد اقترحت مؤشرات جديدة، مثل الات</w:t>
      </w:r>
      <w:r w:rsidR="00EA0366" w:rsidRPr="00544322">
        <w:rPr>
          <w:rFonts w:cs="Simplified Arabic" w:hint="cs"/>
          <w:szCs w:val="24"/>
          <w:rtl/>
          <w:lang w:val="en-US"/>
        </w:rPr>
        <w:t>ج</w:t>
      </w:r>
      <w:r w:rsidR="00040496" w:rsidRPr="00544322">
        <w:rPr>
          <w:rFonts w:cs="Simplified Arabic" w:hint="cs"/>
          <w:szCs w:val="24"/>
          <w:rtl/>
          <w:lang w:val="en-US"/>
        </w:rPr>
        <w:t xml:space="preserve">اهات في أعداد الأنواع البرية، وحالة حفظ النظم الإيكولوجية وسلامتها الأحيائية، التي جعلت من الممكن رسم المنحنيات النظرية والتنبؤات في المستقبل، استنادا إلى حالاات الرصد والنماذج والسيناريوهات. وفعلى سبيل المثال، أظهرت الاستقطاعات الإحصائية للمؤشرات عبر أهداف أيشي للتنوع البيولوجي، أن التدهور في حالات التنوع البيولوجي قد استمر عبر الوقت، بالرغم من الجهود المتزايدة لمعابجة هذه المشكلة، نظرا </w:t>
      </w:r>
      <w:r w:rsidR="00EA0366" w:rsidRPr="00544322">
        <w:rPr>
          <w:rFonts w:cs="Simplified Arabic" w:hint="cs"/>
          <w:szCs w:val="24"/>
          <w:rtl/>
          <w:lang w:val="en-US"/>
        </w:rPr>
        <w:t>ل</w:t>
      </w:r>
      <w:r w:rsidR="00040496" w:rsidRPr="00544322">
        <w:rPr>
          <w:rFonts w:cs="Simplified Arabic" w:hint="cs"/>
          <w:szCs w:val="24"/>
          <w:rtl/>
          <w:lang w:val="en-US"/>
        </w:rPr>
        <w:t xml:space="preserve">لضغوط المتزايدة </w:t>
      </w:r>
      <w:r w:rsidR="00EA0366" w:rsidRPr="00544322">
        <w:rPr>
          <w:rFonts w:cs="Simplified Arabic" w:hint="cs"/>
          <w:szCs w:val="24"/>
          <w:rtl/>
          <w:lang w:val="en-US"/>
        </w:rPr>
        <w:t>على التنوع البيولوجي. وفي نفس الوقت، فإن الإصدار الرابع من التوقعات العالمية للتنوع البيولوجي، الذي استخدم سيناريوهات جديدة للاستدامة التي تعرف باسم "سيناريوهات ريو+20" لتسليط الضوء على التواتج المرغوبة للمستقبل، قد أوضح أن القدرة على تقييم الاتجاهاتعلى المستوى العالمي قد ظهرت فقط في الخمس سنوات السابقة.</w:t>
      </w:r>
    </w:p>
    <w:p w:rsidR="00A962DD" w:rsidRPr="00544322" w:rsidRDefault="00EA0366"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 xml:space="preserve">وفيما يتعلق بمسألة ما إذا كان يمكن أن "يخفض المعدل"، فإن عمل البحوث الجارية، بما في ذلك العمل الذي يدعمه المنبر الحكومي الدولي للعلوم والسياسات في مجال التنوع البيولوجي ، قد أظهر أن مسار واحد للعمل لن يكون كافيا وأنه من الحيوي تحديد حافظة للإجراءات، وأن استخدام النماذج والسيناريوهات كان أساسيا. وفي حين أن نهج العمل كالمعتاد يمكن أن يقود إلى استقرار مؤشرات التنوع البيولوجي، مثل من خلال التغير التتكنولوجي والتغيرات في أنماط الاستهلاك، كان الجواب يتمثل في السعي إلى حافظة تتكون من مزيج من الحفظ التقليديي لحماية الأنواع والنظم الإيكولوجية، مما يجب أن يستمر؛ والجهود لتعزيز الإنتاج المستدام للأغذية واستهركها، فضلا عن الاستخدام المستدام للمياه؛ واستعادة النظم الإيكولوجية، التي بدونها </w:t>
      </w:r>
      <w:r w:rsidR="00674597" w:rsidRPr="00544322">
        <w:rPr>
          <w:rFonts w:cs="Simplified Arabic" w:hint="cs"/>
          <w:szCs w:val="24"/>
          <w:rtl/>
          <w:lang w:val="en-US"/>
        </w:rPr>
        <w:t>لا يمكن أبدا خفض المعدلات. وهناك سيناريو فيما يتعلق بالخافظات ينطوي على جميع أهداف أيشي للتنوع البيولوجي أن تجعل الأرض بأكملها أكثر مراعية للتنوع البيولوجي، على عكس نهج "نصف الأرض"، وهو ضمن جملة أمور، يزيد بدرجة أكبر من مخاطر الصراع على إمدادات الأغذية. وأمام البلدان الكثير من الخيارات من حيث تقرير أكثر المسارات الملائمة للعمل ، بما في ذلك ليست فحسب الحلول التكنولوجية، بل أيضا الحلول غير التكنولوجية مثل تخفيض إزالة الغابات وتعزيز إعادة التشجير ، التي تعتمد على السياقات الوطنية والمحلية التي سيتم تنفيذها فيها.</w:t>
      </w:r>
    </w:p>
    <w:p w:rsidR="00A962DD" w:rsidRPr="00544322" w:rsidRDefault="0028053A" w:rsidP="000A28EA">
      <w:pPr>
        <w:pStyle w:val="Para10"/>
        <w:keepNext/>
        <w:numPr>
          <w:ilvl w:val="0"/>
          <w:numId w:val="0"/>
        </w:numPr>
        <w:bidi/>
        <w:spacing w:before="0" w:line="216" w:lineRule="auto"/>
        <w:rPr>
          <w:rFonts w:cs="Simplified Arabic"/>
          <w:i/>
          <w:iCs/>
          <w:szCs w:val="24"/>
          <w:lang w:val="en-US"/>
        </w:rPr>
      </w:pPr>
      <w:r w:rsidRPr="00544322">
        <w:rPr>
          <w:rFonts w:cs="Simplified Arabic" w:hint="cs"/>
          <w:i/>
          <w:iCs/>
          <w:szCs w:val="24"/>
          <w:rtl/>
          <w:lang w:val="en-US"/>
        </w:rPr>
        <w:lastRenderedPageBreak/>
        <w:t>السيدة جوزيفا كارينيو تو</w:t>
      </w:r>
      <w:r w:rsidR="00674597" w:rsidRPr="00544322">
        <w:rPr>
          <w:rFonts w:cs="Simplified Arabic" w:hint="cs"/>
          <w:i/>
          <w:iCs/>
          <w:szCs w:val="24"/>
          <w:rtl/>
          <w:lang w:val="en-US"/>
        </w:rPr>
        <w:t>ل</w:t>
      </w:r>
      <w:r w:rsidRPr="00544322">
        <w:rPr>
          <w:rFonts w:cs="Simplified Arabic" w:hint="cs"/>
          <w:i/>
          <w:iCs/>
          <w:szCs w:val="24"/>
          <w:rtl/>
          <w:lang w:val="en-US"/>
        </w:rPr>
        <w:t>ي، المنسق المشترك لفرع جنوب شرق آسيا في الشبكة العالمية للشباب المعنية بالتنوع البيولوجي، الفلبين</w:t>
      </w:r>
    </w:p>
    <w:p w:rsidR="00A962DD" w:rsidRPr="00544322" w:rsidRDefault="00674597"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لاحظت السيدة كارينيو تاولي، عضوة في مجموعة إيغوروت للشعوب الصلية، عدم إحراز تقدم في تحقيق أهداف عام 2020 في إطار الاتفاقية، وشددت على أنه من المهم مقاومة الإغراء لتأجيل العمل إلى حين الخطة الاستراتيجية للفترة ما بعد عام 2020، وأن الإجراء يجب اتخاذه لمعالجة أزمة التنوع البيولوجي دون أي تأخير.</w:t>
      </w:r>
    </w:p>
    <w:p w:rsidR="00A962DD" w:rsidRPr="00544322" w:rsidRDefault="00674597"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 xml:space="preserve">وقالت إن الشعوب الأصلية، بإرشاد من قيمها وممارساتها التقليدية، كانت تعمل بنشاط في </w:t>
      </w:r>
      <w:r w:rsidR="00BA5022" w:rsidRPr="00544322">
        <w:rPr>
          <w:rFonts w:cs="Simplified Arabic" w:hint="cs"/>
          <w:szCs w:val="24"/>
          <w:rtl/>
          <w:lang w:val="en-US"/>
        </w:rPr>
        <w:t>الاستخدام المستدام و</w:t>
      </w:r>
      <w:r w:rsidRPr="00544322">
        <w:rPr>
          <w:rFonts w:cs="Simplified Arabic" w:hint="cs"/>
          <w:szCs w:val="24"/>
          <w:rtl/>
          <w:lang w:val="en-US"/>
        </w:rPr>
        <w:t xml:space="preserve">إدارة </w:t>
      </w:r>
      <w:r w:rsidR="00BA5022" w:rsidRPr="00544322">
        <w:rPr>
          <w:rFonts w:cs="Simplified Arabic" w:hint="cs"/>
          <w:szCs w:val="24"/>
          <w:rtl/>
          <w:lang w:val="en-US"/>
        </w:rPr>
        <w:t xml:space="preserve">الموارد الطبيعية لبقاء الأجيال الحاضرة والقادمة لآلاف السنين. وبصفتهم حراس للتنوع البيولوجي، تقوم الشعوب الأصلية والمجتمعات المحلية بإحداث تقدم تعاوني في الجهود الرامية إلى تحقيق الأهداف المنصوص عليها في الخطة الاستراتيجية وأهداف أيشي للتنوع البيولوجي، ولأن تقديم الدعم لعملها يعتبر من أكثر الوسائل فعالية لتحقيق هذا الغرض. غير أنها أضافت أن تعميم جهود الحفظ، واستبعادها عن الحلول، الذي كان انتهاكا لحقوقها بالنسبة لحقوق الإنسان في الأراضي والحياة والموافقة الحرة والمسبقة عن علم، والبيئة الآمنة والسليمة. وأشارت إلى أن نهج يستند إلى الحقوق الذي يحترم ويحمي أقاليم الشعوب الأصلية يعتبر أساسيا لهدف رؤية عام 2050 لضمان أن الناس تعيش في </w:t>
      </w:r>
      <w:r w:rsidR="00544322" w:rsidRPr="00544322">
        <w:rPr>
          <w:rFonts w:cs="Simplified Arabic" w:hint="cs"/>
          <w:szCs w:val="24"/>
          <w:rtl/>
          <w:lang w:val="en-US"/>
        </w:rPr>
        <w:t>تناغم</w:t>
      </w:r>
      <w:r w:rsidR="00BA5022" w:rsidRPr="00544322">
        <w:rPr>
          <w:rFonts w:cs="Simplified Arabic" w:hint="cs"/>
          <w:szCs w:val="24"/>
          <w:rtl/>
          <w:lang w:val="en-US"/>
        </w:rPr>
        <w:t xml:space="preserve"> مع الطبيعة. وأضافت أن الدمج الكامل في الاتفاقية لنظم المعارف والممارسات لدى الشعوب الأصلية يمكن أن يجعل من الممكن الاستناد إلى نظم الزراعة الإيكولوجية التقليدية للحصول على حلول بالنسبة لأنماط الانتاج والاستهلاك غير المستدامة</w:t>
      </w:r>
      <w:r w:rsidR="007A56B8">
        <w:rPr>
          <w:rFonts w:cs="Simplified Arabic" w:hint="cs"/>
          <w:szCs w:val="24"/>
          <w:rtl/>
          <w:lang w:val="en-US"/>
        </w:rPr>
        <w:t xml:space="preserve"> في الوقت الراهن</w:t>
      </w:r>
      <w:r w:rsidR="00BA5022" w:rsidRPr="00544322">
        <w:rPr>
          <w:rFonts w:cs="Simplified Arabic" w:hint="cs"/>
          <w:szCs w:val="24"/>
          <w:rtl/>
          <w:lang w:val="en-US"/>
        </w:rPr>
        <w:t>؛ والإدارة الفعالة لشبكة المناطق المحمية الحالية؛ وتعميم التنوع البيولوجي في التنمية الاقتصادية؛ وتعزيز حفظ اللغات المحلية، وبالتالي التنوع الثقافي واللغوي؛ ومعالجة المسألة الحرجة للعدالة الاجتماعية وعدم الإنصاف.</w:t>
      </w:r>
    </w:p>
    <w:p w:rsidR="0028053A" w:rsidRPr="00544322" w:rsidRDefault="006A2CFF"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szCs w:val="24"/>
          <w:rtl/>
          <w:lang w:val="en-US"/>
        </w:rPr>
        <w:t>وقالت إن التعلم والتبادل فيما بين الأجيال كان حيويا لنقل المعارف من ال</w:t>
      </w:r>
      <w:r w:rsidR="00D80A38">
        <w:rPr>
          <w:rFonts w:cs="Simplified Arabic" w:hint="cs"/>
          <w:szCs w:val="24"/>
          <w:rtl/>
          <w:lang w:val="en-US"/>
        </w:rPr>
        <w:t>شيوخ</w:t>
      </w:r>
      <w:r w:rsidRPr="00544322">
        <w:rPr>
          <w:rFonts w:cs="Simplified Arabic" w:hint="cs"/>
          <w:szCs w:val="24"/>
          <w:rtl/>
          <w:lang w:val="en-US"/>
        </w:rPr>
        <w:t xml:space="preserve"> إلى الشباب ولكنه ليس عملية </w:t>
      </w:r>
      <w:r w:rsidR="00D80A38">
        <w:rPr>
          <w:rFonts w:cs="Simplified Arabic" w:hint="cs"/>
          <w:szCs w:val="24"/>
          <w:rtl/>
          <w:lang w:val="en-US"/>
        </w:rPr>
        <w:t>تسير في اتجاه</w:t>
      </w:r>
      <w:r w:rsidRPr="00544322">
        <w:rPr>
          <w:rFonts w:cs="Simplified Arabic" w:hint="cs"/>
          <w:szCs w:val="24"/>
          <w:rtl/>
          <w:lang w:val="en-US"/>
        </w:rPr>
        <w:t xml:space="preserve"> واحد فحسب؛ وينبغي أن يتعلم ال</w:t>
      </w:r>
      <w:r w:rsidR="00D80A38">
        <w:rPr>
          <w:rFonts w:cs="Simplified Arabic" w:hint="cs"/>
          <w:szCs w:val="24"/>
          <w:rtl/>
          <w:lang w:val="en-US"/>
        </w:rPr>
        <w:t>شيوخ</w:t>
      </w:r>
      <w:r w:rsidR="007A56B8">
        <w:rPr>
          <w:rFonts w:cs="Simplified Arabic" w:hint="cs"/>
          <w:szCs w:val="24"/>
          <w:rtl/>
          <w:lang w:val="en-US"/>
        </w:rPr>
        <w:t xml:space="preserve"> أيضا من الشباب. فبصفتهم ك</w:t>
      </w:r>
      <w:r w:rsidRPr="00544322">
        <w:rPr>
          <w:rFonts w:cs="Simplified Arabic" w:hint="cs"/>
          <w:szCs w:val="24"/>
          <w:rtl/>
          <w:lang w:val="en-US"/>
        </w:rPr>
        <w:t>وارث</w:t>
      </w:r>
      <w:r w:rsidR="007A56B8">
        <w:rPr>
          <w:rFonts w:cs="Simplified Arabic" w:hint="cs"/>
          <w:szCs w:val="24"/>
          <w:rtl/>
          <w:lang w:val="en-US"/>
        </w:rPr>
        <w:t>ين ل</w:t>
      </w:r>
      <w:r w:rsidRPr="00544322">
        <w:rPr>
          <w:rFonts w:cs="Simplified Arabic" w:hint="cs"/>
          <w:szCs w:val="24"/>
          <w:rtl/>
          <w:lang w:val="en-US"/>
        </w:rPr>
        <w:t xml:space="preserve">لمعارف، </w:t>
      </w:r>
      <w:r w:rsidR="007A56B8">
        <w:rPr>
          <w:rFonts w:cs="Simplified Arabic" w:hint="cs"/>
          <w:szCs w:val="24"/>
          <w:rtl/>
          <w:lang w:val="en-US"/>
        </w:rPr>
        <w:t>فإ</w:t>
      </w:r>
      <w:r w:rsidRPr="00544322">
        <w:rPr>
          <w:rFonts w:cs="Simplified Arabic" w:hint="cs"/>
          <w:szCs w:val="24"/>
          <w:rtl/>
          <w:lang w:val="en-US"/>
        </w:rPr>
        <w:t>ن الشعوب الأصلية والشباب العالمي لديهم مسؤولية لنقل هذه المعارف إلى الأجيال القادمة، وبالتالي المساهمة في تكيف مجتمعاتهم وقدرتها على الصمود. وحثت ال</w:t>
      </w:r>
      <w:r w:rsidR="007A56B8">
        <w:rPr>
          <w:rFonts w:cs="Simplified Arabic" w:hint="cs"/>
          <w:szCs w:val="24"/>
          <w:rtl/>
          <w:lang w:val="en-US"/>
        </w:rPr>
        <w:t>شيوخ</w:t>
      </w:r>
      <w:r w:rsidRPr="00544322">
        <w:rPr>
          <w:rFonts w:cs="Simplified Arabic" w:hint="cs"/>
          <w:szCs w:val="24"/>
          <w:rtl/>
          <w:lang w:val="en-US"/>
        </w:rPr>
        <w:t xml:space="preserve"> </w:t>
      </w:r>
      <w:r w:rsidR="007A56B8">
        <w:rPr>
          <w:rFonts w:cs="Simplified Arabic" w:hint="cs"/>
          <w:szCs w:val="24"/>
          <w:rtl/>
          <w:lang w:val="en-US"/>
        </w:rPr>
        <w:t>على</w:t>
      </w:r>
      <w:r w:rsidRPr="00544322">
        <w:rPr>
          <w:rFonts w:cs="Simplified Arabic" w:hint="cs"/>
          <w:szCs w:val="24"/>
          <w:rtl/>
          <w:lang w:val="en-US"/>
        </w:rPr>
        <w:t xml:space="preserve"> الاستماع إلى الأفكار الجديدة والثقة بها، والمهارات الجديدة وبالطاقة التي يتمتع بها جيلها. فالشباب والأطفال معرضون للخطر بصفة خاصة من جراء </w:t>
      </w:r>
      <w:r w:rsidR="007A56B8">
        <w:rPr>
          <w:rFonts w:cs="Simplified Arabic" w:hint="cs"/>
          <w:szCs w:val="24"/>
          <w:rtl/>
          <w:lang w:val="en-US"/>
        </w:rPr>
        <w:t>نقص</w:t>
      </w:r>
      <w:r w:rsidRPr="00544322">
        <w:rPr>
          <w:rFonts w:cs="Simplified Arabic" w:hint="cs"/>
          <w:szCs w:val="24"/>
          <w:rtl/>
          <w:lang w:val="en-US"/>
        </w:rPr>
        <w:t xml:space="preserve"> الأغذية والمياه، والحروب، والكوارث البيئية، والبطالة، والجريمة و</w:t>
      </w:r>
      <w:r w:rsidR="007A56B8">
        <w:rPr>
          <w:rFonts w:cs="Simplified Arabic" w:hint="cs"/>
          <w:szCs w:val="24"/>
          <w:rtl/>
          <w:lang w:val="en-US"/>
        </w:rPr>
        <w:t>ال</w:t>
      </w:r>
      <w:r w:rsidRPr="00544322">
        <w:rPr>
          <w:rFonts w:cs="Simplified Arabic" w:hint="cs"/>
          <w:szCs w:val="24"/>
          <w:rtl/>
          <w:lang w:val="en-US"/>
        </w:rPr>
        <w:t xml:space="preserve">فقر وينبغي إعطائهم فرصة للمشاركة في صنع القرار بشأن المشاكل التي تؤثر عليهم والمساهمة في الجهود المبذولة في التعامل مع الأزمة الحالية للبيئة وتمكين الناس من الحياة في </w:t>
      </w:r>
      <w:r w:rsidR="00544322" w:rsidRPr="00544322">
        <w:rPr>
          <w:rFonts w:cs="Simplified Arabic" w:hint="cs"/>
          <w:szCs w:val="24"/>
          <w:rtl/>
          <w:lang w:val="en-US"/>
        </w:rPr>
        <w:t>تناغم</w:t>
      </w:r>
      <w:r w:rsidRPr="00544322">
        <w:rPr>
          <w:rFonts w:cs="Simplified Arabic" w:hint="cs"/>
          <w:szCs w:val="24"/>
          <w:rtl/>
          <w:lang w:val="en-US"/>
        </w:rPr>
        <w:t xml:space="preserve"> مع الطبيعة.</w:t>
      </w:r>
    </w:p>
    <w:p w:rsidR="0028053A" w:rsidRPr="00544322" w:rsidRDefault="007A56B8" w:rsidP="002C6442">
      <w:pPr>
        <w:pStyle w:val="Para10"/>
        <w:numPr>
          <w:ilvl w:val="0"/>
          <w:numId w:val="0"/>
        </w:numPr>
        <w:bidi/>
        <w:spacing w:before="0" w:line="216" w:lineRule="auto"/>
        <w:rPr>
          <w:rFonts w:cs="Simplified Arabic"/>
          <w:i/>
          <w:iCs/>
          <w:szCs w:val="24"/>
          <w:lang w:val="en-US"/>
        </w:rPr>
      </w:pPr>
      <w:r>
        <w:rPr>
          <w:rFonts w:cs="Simplified Arabic" w:hint="cs"/>
          <w:i/>
          <w:iCs/>
          <w:szCs w:val="24"/>
          <w:rtl/>
          <w:lang w:val="en-US"/>
        </w:rPr>
        <w:t>السيد</w:t>
      </w:r>
      <w:r w:rsidR="0028053A" w:rsidRPr="00544322">
        <w:rPr>
          <w:rFonts w:cs="Simplified Arabic" w:hint="cs"/>
          <w:i/>
          <w:iCs/>
          <w:szCs w:val="24"/>
          <w:rtl/>
          <w:lang w:val="en-US"/>
        </w:rPr>
        <w:t xml:space="preserve"> فوان و</w:t>
      </w:r>
      <w:r w:rsidR="00135F22" w:rsidRPr="00544322">
        <w:rPr>
          <w:rFonts w:cs="Simplified Arabic" w:hint="cs"/>
          <w:i/>
          <w:iCs/>
          <w:szCs w:val="24"/>
          <w:rtl/>
          <w:lang w:val="en-US"/>
        </w:rPr>
        <w:t>ا</w:t>
      </w:r>
      <w:r w:rsidR="0028053A" w:rsidRPr="00544322">
        <w:rPr>
          <w:rFonts w:cs="Simplified Arabic" w:hint="cs"/>
          <w:i/>
          <w:iCs/>
          <w:szCs w:val="24"/>
          <w:rtl/>
          <w:lang w:val="en-US"/>
        </w:rPr>
        <w:t>ي، بروفيسور إيكولوجيا الأحياء البرية وبيولوجيا الحفظ، معهد العلوم الحيوانية، أكاديمية العلوم في الصين، الصين</w:t>
      </w:r>
    </w:p>
    <w:p w:rsidR="0028053A" w:rsidRPr="00544322" w:rsidRDefault="002C5477"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color w:val="222222"/>
          <w:szCs w:val="24"/>
          <w:rtl/>
        </w:rPr>
        <w:t xml:space="preserve">استرعى السيد </w:t>
      </w:r>
      <w:r w:rsidR="00135F22" w:rsidRPr="00544322">
        <w:rPr>
          <w:rFonts w:cs="Simplified Arabic" w:hint="cs"/>
          <w:color w:val="222222"/>
          <w:szCs w:val="24"/>
          <w:rtl/>
        </w:rPr>
        <w:t xml:space="preserve">واي، </w:t>
      </w:r>
      <w:r w:rsidRPr="00544322">
        <w:rPr>
          <w:rFonts w:cs="Simplified Arabic"/>
          <w:color w:val="222222"/>
          <w:szCs w:val="24"/>
          <w:rtl/>
        </w:rPr>
        <w:t xml:space="preserve">في عرض بعنوان "كيف نضمن وحدة الطبيعة </w:t>
      </w:r>
      <w:r w:rsidR="00135F22" w:rsidRPr="00544322">
        <w:rPr>
          <w:rFonts w:cs="Simplified Arabic"/>
          <w:color w:val="222222"/>
          <w:szCs w:val="24"/>
          <w:rtl/>
        </w:rPr>
        <w:t>والإنسان - الحضارة الإيكولوجية"</w:t>
      </w:r>
      <w:r w:rsidRPr="00544322">
        <w:rPr>
          <w:rFonts w:cs="Simplified Arabic"/>
          <w:color w:val="222222"/>
          <w:szCs w:val="24"/>
          <w:rtl/>
        </w:rPr>
        <w:t>، الانتب</w:t>
      </w:r>
      <w:r w:rsidR="00135F22" w:rsidRPr="00544322">
        <w:rPr>
          <w:rFonts w:cs="Simplified Arabic"/>
          <w:color w:val="222222"/>
          <w:szCs w:val="24"/>
          <w:rtl/>
        </w:rPr>
        <w:t>اه إلى حقيقة أن الحكومة الصينية</w:t>
      </w:r>
      <w:r w:rsidRPr="00544322">
        <w:rPr>
          <w:rFonts w:cs="Simplified Arabic"/>
          <w:color w:val="222222"/>
          <w:szCs w:val="24"/>
          <w:rtl/>
        </w:rPr>
        <w:t>، استجابة لتحذيرات المجتمع العلمي بشأن الحاجة إلى معالجة أزمة بيئية أدت بالأرض إلى حافة الانقراض الجماع</w:t>
      </w:r>
      <w:r w:rsidR="00135F22" w:rsidRPr="00544322">
        <w:rPr>
          <w:rFonts w:cs="Simplified Arabic"/>
          <w:color w:val="222222"/>
          <w:szCs w:val="24"/>
          <w:rtl/>
        </w:rPr>
        <w:t>ي السادس ل</w:t>
      </w:r>
      <w:r w:rsidRPr="00544322">
        <w:rPr>
          <w:rFonts w:cs="Simplified Arabic"/>
          <w:color w:val="222222"/>
          <w:szCs w:val="24"/>
          <w:rtl/>
        </w:rPr>
        <w:t>حياة النبات</w:t>
      </w:r>
      <w:r w:rsidR="00135F22" w:rsidRPr="00544322">
        <w:rPr>
          <w:rFonts w:cs="Simplified Arabic" w:hint="cs"/>
          <w:color w:val="222222"/>
          <w:szCs w:val="24"/>
          <w:rtl/>
        </w:rPr>
        <w:t>ات</w:t>
      </w:r>
      <w:r w:rsidRPr="00544322">
        <w:rPr>
          <w:rFonts w:cs="Simplified Arabic"/>
          <w:color w:val="222222"/>
          <w:szCs w:val="24"/>
          <w:rtl/>
        </w:rPr>
        <w:t xml:space="preserve"> والحيوان</w:t>
      </w:r>
      <w:r w:rsidR="00135F22" w:rsidRPr="00544322">
        <w:rPr>
          <w:rFonts w:cs="Simplified Arabic" w:hint="cs"/>
          <w:color w:val="222222"/>
          <w:szCs w:val="24"/>
          <w:rtl/>
        </w:rPr>
        <w:t>ات</w:t>
      </w:r>
      <w:r w:rsidRPr="00544322">
        <w:rPr>
          <w:rFonts w:cs="Simplified Arabic"/>
          <w:color w:val="222222"/>
          <w:szCs w:val="24"/>
          <w:rtl/>
        </w:rPr>
        <w:t xml:space="preserve">، </w:t>
      </w:r>
      <w:r w:rsidR="00135F22" w:rsidRPr="00544322">
        <w:rPr>
          <w:rFonts w:cs="Simplified Arabic" w:hint="cs"/>
          <w:color w:val="222222"/>
          <w:szCs w:val="24"/>
          <w:rtl/>
        </w:rPr>
        <w:t>و</w:t>
      </w:r>
      <w:r w:rsidRPr="00544322">
        <w:rPr>
          <w:rFonts w:cs="Simplified Arabic"/>
          <w:color w:val="222222"/>
          <w:szCs w:val="24"/>
          <w:rtl/>
        </w:rPr>
        <w:t>اقترح التمسك بمفهوم الحضارة ال</w:t>
      </w:r>
      <w:r w:rsidR="00135F22" w:rsidRPr="00544322">
        <w:rPr>
          <w:rFonts w:cs="Simplified Arabic" w:hint="cs"/>
          <w:color w:val="222222"/>
          <w:szCs w:val="24"/>
          <w:rtl/>
        </w:rPr>
        <w:t>إيكولوج</w:t>
      </w:r>
      <w:r w:rsidRPr="00544322">
        <w:rPr>
          <w:rFonts w:cs="Simplified Arabic"/>
          <w:color w:val="222222"/>
          <w:szCs w:val="24"/>
          <w:rtl/>
        </w:rPr>
        <w:t xml:space="preserve">ية: </w:t>
      </w:r>
      <w:r w:rsidR="00135F22" w:rsidRPr="00544322">
        <w:rPr>
          <w:rFonts w:cs="Simplified Arabic" w:hint="cs"/>
          <w:color w:val="222222"/>
          <w:szCs w:val="24"/>
          <w:rtl/>
        </w:rPr>
        <w:t xml:space="preserve">وهي </w:t>
      </w:r>
      <w:r w:rsidRPr="00544322">
        <w:rPr>
          <w:rFonts w:cs="Simplified Arabic"/>
          <w:color w:val="222222"/>
          <w:szCs w:val="24"/>
          <w:rtl/>
        </w:rPr>
        <w:t xml:space="preserve">شكل من أشكال الحضارة يشمل اعتماد البشرية على </w:t>
      </w:r>
      <w:r w:rsidR="00135F22" w:rsidRPr="00544322">
        <w:rPr>
          <w:rFonts w:cs="Simplified Arabic"/>
          <w:color w:val="222222"/>
          <w:szCs w:val="24"/>
          <w:rtl/>
        </w:rPr>
        <w:t>عصور ما قبل التاريخ على الطبيعة</w:t>
      </w:r>
      <w:r w:rsidRPr="00544322">
        <w:rPr>
          <w:rFonts w:cs="Simplified Arabic"/>
          <w:color w:val="222222"/>
          <w:szCs w:val="24"/>
          <w:rtl/>
        </w:rPr>
        <w:t xml:space="preserve">، وتحولها وإخضاعها للطبيعة في </w:t>
      </w:r>
      <w:r w:rsidR="00135F22" w:rsidRPr="00544322">
        <w:rPr>
          <w:rFonts w:cs="Simplified Arabic"/>
          <w:color w:val="222222"/>
          <w:szCs w:val="24"/>
          <w:rtl/>
        </w:rPr>
        <w:t>ظل الثورات الزراعية ثم الصناعية</w:t>
      </w:r>
      <w:r w:rsidRPr="00544322">
        <w:rPr>
          <w:rFonts w:cs="Simplified Arabic"/>
          <w:color w:val="222222"/>
          <w:szCs w:val="24"/>
          <w:rtl/>
        </w:rPr>
        <w:t>، و</w:t>
      </w:r>
      <w:r w:rsidR="00135F22" w:rsidRPr="00544322">
        <w:rPr>
          <w:rFonts w:cs="Simplified Arabic" w:hint="cs"/>
          <w:color w:val="222222"/>
          <w:szCs w:val="24"/>
          <w:rtl/>
        </w:rPr>
        <w:t xml:space="preserve">في </w:t>
      </w:r>
      <w:r w:rsidRPr="00544322">
        <w:rPr>
          <w:rFonts w:cs="Simplified Arabic"/>
          <w:color w:val="222222"/>
          <w:szCs w:val="24"/>
          <w:rtl/>
        </w:rPr>
        <w:t>الوقت الحاضر احترام وحماية الطبيعة من خ</w:t>
      </w:r>
      <w:r w:rsidR="00135F22" w:rsidRPr="00544322">
        <w:rPr>
          <w:rFonts w:cs="Simplified Arabic"/>
          <w:color w:val="222222"/>
          <w:szCs w:val="24"/>
          <w:rtl/>
        </w:rPr>
        <w:t xml:space="preserve">لال التنفيذ المنسق </w:t>
      </w:r>
      <w:r w:rsidR="00135F22" w:rsidRPr="00544322">
        <w:rPr>
          <w:rFonts w:cs="Simplified Arabic" w:hint="cs"/>
          <w:color w:val="222222"/>
          <w:szCs w:val="24"/>
          <w:rtl/>
        </w:rPr>
        <w:t xml:space="preserve">لوسائل التنمية المستدامة الابتكارية والخضراء </w:t>
      </w:r>
      <w:r w:rsidRPr="00544322">
        <w:rPr>
          <w:rFonts w:cs="Simplified Arabic"/>
          <w:color w:val="222222"/>
          <w:szCs w:val="24"/>
          <w:rtl/>
        </w:rPr>
        <w:t>سعياً وراء حياة أكثر استقراراً وصحة</w:t>
      </w:r>
      <w:r w:rsidRPr="00544322">
        <w:rPr>
          <w:rFonts w:cs="Simplified Arabic"/>
          <w:color w:val="222222"/>
          <w:szCs w:val="24"/>
        </w:rPr>
        <w:t>.</w:t>
      </w:r>
    </w:p>
    <w:p w:rsidR="0028053A" w:rsidRPr="00544322" w:rsidRDefault="00135F22"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color w:val="222222"/>
          <w:szCs w:val="24"/>
          <w:rtl/>
        </w:rPr>
        <w:t xml:space="preserve">وأشار إلى أنه </w:t>
      </w:r>
      <w:r w:rsidRPr="00544322">
        <w:rPr>
          <w:rFonts w:cs="Simplified Arabic"/>
          <w:color w:val="222222"/>
          <w:szCs w:val="24"/>
          <w:rtl/>
        </w:rPr>
        <w:t xml:space="preserve">من غير المحتمل </w:t>
      </w:r>
      <w:r w:rsidRPr="00544322">
        <w:rPr>
          <w:rFonts w:cs="Simplified Arabic" w:hint="cs"/>
          <w:color w:val="222222"/>
          <w:szCs w:val="24"/>
          <w:rtl/>
        </w:rPr>
        <w:t>الوفاء</w:t>
      </w:r>
      <w:r w:rsidRPr="00544322">
        <w:rPr>
          <w:rFonts w:cs="Simplified Arabic"/>
          <w:color w:val="222222"/>
          <w:szCs w:val="24"/>
          <w:rtl/>
        </w:rPr>
        <w:t xml:space="preserve"> </w:t>
      </w:r>
      <w:r w:rsidRPr="00544322">
        <w:rPr>
          <w:rFonts w:cs="Simplified Arabic" w:hint="cs"/>
          <w:color w:val="222222"/>
          <w:szCs w:val="24"/>
          <w:rtl/>
        </w:rPr>
        <w:t>ب</w:t>
      </w:r>
      <w:r w:rsidRPr="00544322">
        <w:rPr>
          <w:rFonts w:cs="Simplified Arabic"/>
          <w:color w:val="222222"/>
          <w:szCs w:val="24"/>
          <w:rtl/>
        </w:rPr>
        <w:t>معظم أهداف أيشي للتنوع البيولوجي بحلول عام 2020، ربما بسبب المعايير ال</w:t>
      </w:r>
      <w:r w:rsidRPr="00544322">
        <w:rPr>
          <w:rFonts w:cs="Simplified Arabic" w:hint="cs"/>
          <w:color w:val="222222"/>
          <w:szCs w:val="24"/>
          <w:rtl/>
        </w:rPr>
        <w:t>طموح</w:t>
      </w:r>
      <w:r w:rsidRPr="00544322">
        <w:rPr>
          <w:rFonts w:cs="Simplified Arabic"/>
          <w:color w:val="222222"/>
          <w:szCs w:val="24"/>
          <w:rtl/>
        </w:rPr>
        <w:t xml:space="preserve">ة </w:t>
      </w:r>
      <w:r w:rsidRPr="00544322">
        <w:rPr>
          <w:rFonts w:cs="Simplified Arabic" w:hint="cs"/>
          <w:color w:val="222222"/>
          <w:szCs w:val="24"/>
          <w:rtl/>
        </w:rPr>
        <w:t>للغاية</w:t>
      </w:r>
      <w:r w:rsidRPr="00544322">
        <w:rPr>
          <w:rFonts w:cs="Simplified Arabic"/>
          <w:color w:val="222222"/>
          <w:szCs w:val="24"/>
          <w:rtl/>
        </w:rPr>
        <w:t xml:space="preserve"> التي وضعت والتضارب بين </w:t>
      </w:r>
      <w:r w:rsidRPr="00544322">
        <w:rPr>
          <w:rFonts w:cs="Simplified Arabic" w:hint="cs"/>
          <w:color w:val="222222"/>
          <w:szCs w:val="24"/>
          <w:rtl/>
        </w:rPr>
        <w:t>الحفظ و</w:t>
      </w:r>
      <w:r w:rsidRPr="00544322">
        <w:rPr>
          <w:rFonts w:cs="Simplified Arabic"/>
          <w:color w:val="222222"/>
          <w:szCs w:val="24"/>
          <w:rtl/>
        </w:rPr>
        <w:t>الأهداف المتعلقة بالتنمية</w:t>
      </w:r>
      <w:r w:rsidRPr="00544322">
        <w:rPr>
          <w:rFonts w:cs="Simplified Arabic" w:hint="cs"/>
          <w:color w:val="222222"/>
          <w:szCs w:val="24"/>
        </w:rPr>
        <w:t>.</w:t>
      </w:r>
      <w:r w:rsidRPr="00544322">
        <w:rPr>
          <w:rFonts w:cs="Simplified Arabic" w:hint="cs"/>
          <w:color w:val="222222"/>
          <w:szCs w:val="24"/>
          <w:rtl/>
        </w:rPr>
        <w:t xml:space="preserve"> </w:t>
      </w:r>
      <w:r w:rsidRPr="00544322">
        <w:rPr>
          <w:rFonts w:cs="Simplified Arabic"/>
          <w:color w:val="222222"/>
          <w:szCs w:val="24"/>
          <w:rtl/>
        </w:rPr>
        <w:t xml:space="preserve">وقد اقتصر تركيز المناطق المحمية حتى الآن على </w:t>
      </w:r>
      <w:r w:rsidRPr="00544322">
        <w:rPr>
          <w:rFonts w:cs="Simplified Arabic" w:hint="cs"/>
          <w:color w:val="222222"/>
          <w:szCs w:val="24"/>
          <w:rtl/>
        </w:rPr>
        <w:t>حماية</w:t>
      </w:r>
      <w:r w:rsidRPr="00544322">
        <w:rPr>
          <w:rFonts w:cs="Simplified Arabic"/>
          <w:color w:val="222222"/>
          <w:szCs w:val="24"/>
          <w:rtl/>
        </w:rPr>
        <w:t xml:space="preserve"> التنوع البيولوجي والنظم الإيكولوجية المعرضة للخطر دون مراعاة للبشر</w:t>
      </w:r>
      <w:r w:rsidRPr="00544322">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 xml:space="preserve">ولما كان البشر غير قادرين على </w:t>
      </w:r>
      <w:r w:rsidRPr="00544322">
        <w:rPr>
          <w:rFonts w:cs="Simplified Arabic" w:hint="cs"/>
          <w:color w:val="222222"/>
          <w:szCs w:val="24"/>
          <w:rtl/>
        </w:rPr>
        <w:t>الحياة</w:t>
      </w:r>
      <w:r w:rsidRPr="00544322">
        <w:rPr>
          <w:rFonts w:cs="Simplified Arabic"/>
          <w:color w:val="222222"/>
          <w:szCs w:val="24"/>
          <w:rtl/>
        </w:rPr>
        <w:t xml:space="preserve"> بدون الغذاء الآمن</w:t>
      </w:r>
      <w:r w:rsidR="000F769F" w:rsidRPr="00544322">
        <w:rPr>
          <w:rFonts w:cs="Simplified Arabic" w:hint="cs"/>
          <w:color w:val="222222"/>
          <w:szCs w:val="24"/>
          <w:rtl/>
        </w:rPr>
        <w:t>،</w:t>
      </w:r>
      <w:r w:rsidRPr="00544322">
        <w:rPr>
          <w:rFonts w:cs="Simplified Arabic"/>
          <w:color w:val="222222"/>
          <w:szCs w:val="24"/>
          <w:rtl/>
        </w:rPr>
        <w:t xml:space="preserve"> وال</w:t>
      </w:r>
      <w:r w:rsidR="000F769F" w:rsidRPr="00544322">
        <w:rPr>
          <w:rFonts w:cs="Simplified Arabic" w:hint="cs"/>
          <w:color w:val="222222"/>
          <w:szCs w:val="24"/>
          <w:rtl/>
        </w:rPr>
        <w:t>مياه</w:t>
      </w:r>
      <w:r w:rsidRPr="00544322">
        <w:rPr>
          <w:rFonts w:cs="Simplified Arabic"/>
          <w:color w:val="222222"/>
          <w:szCs w:val="24"/>
          <w:rtl/>
        </w:rPr>
        <w:t xml:space="preserve"> النقي</w:t>
      </w:r>
      <w:r w:rsidR="000F769F" w:rsidRPr="00544322">
        <w:rPr>
          <w:rFonts w:cs="Simplified Arabic" w:hint="cs"/>
          <w:color w:val="222222"/>
          <w:szCs w:val="24"/>
          <w:rtl/>
        </w:rPr>
        <w:t>ة</w:t>
      </w:r>
      <w:r w:rsidRPr="00544322">
        <w:rPr>
          <w:rFonts w:cs="Simplified Arabic"/>
          <w:color w:val="222222"/>
          <w:szCs w:val="24"/>
          <w:rtl/>
        </w:rPr>
        <w:t xml:space="preserve"> والهواء النقي الذي توفره خدمات النظم الإيكولوجية، فمن الأهمية بمكان إقامة علاقة بين </w:t>
      </w:r>
      <w:r w:rsidRPr="00544322">
        <w:rPr>
          <w:rFonts w:cs="Simplified Arabic"/>
          <w:color w:val="222222"/>
          <w:szCs w:val="24"/>
          <w:rtl/>
        </w:rPr>
        <w:lastRenderedPageBreak/>
        <w:t>ال</w:t>
      </w:r>
      <w:r w:rsidR="00A254D7">
        <w:rPr>
          <w:rFonts w:cs="Simplified Arabic" w:hint="cs"/>
          <w:color w:val="222222"/>
          <w:szCs w:val="24"/>
          <w:rtl/>
        </w:rPr>
        <w:t>بشر</w:t>
      </w:r>
      <w:r w:rsidRPr="00544322">
        <w:rPr>
          <w:rFonts w:cs="Simplified Arabic"/>
          <w:color w:val="222222"/>
          <w:szCs w:val="24"/>
          <w:rtl/>
        </w:rPr>
        <w:t>ية والطبيعة</w:t>
      </w:r>
      <w:r w:rsidRPr="00544322">
        <w:rPr>
          <w:rFonts w:cs="Simplified Arabic"/>
          <w:color w:val="222222"/>
          <w:szCs w:val="24"/>
        </w:rPr>
        <w:t xml:space="preserve"> </w:t>
      </w:r>
      <w:r w:rsidR="000F769F" w:rsidRPr="00544322">
        <w:rPr>
          <w:rFonts w:cs="Simplified Arabic" w:hint="cs"/>
          <w:color w:val="222222"/>
          <w:szCs w:val="24"/>
        </w:rPr>
        <w:t>.</w:t>
      </w:r>
      <w:r w:rsidRPr="00544322">
        <w:rPr>
          <w:rFonts w:cs="Simplified Arabic"/>
          <w:color w:val="222222"/>
          <w:szCs w:val="24"/>
          <w:rtl/>
        </w:rPr>
        <w:t>و</w:t>
      </w:r>
      <w:r w:rsidR="000F769F" w:rsidRPr="00544322">
        <w:rPr>
          <w:rFonts w:cs="Simplified Arabic" w:hint="cs"/>
          <w:color w:val="222222"/>
          <w:szCs w:val="24"/>
          <w:rtl/>
        </w:rPr>
        <w:t xml:space="preserve">تحقيقا </w:t>
      </w:r>
      <w:r w:rsidRPr="00544322">
        <w:rPr>
          <w:rFonts w:cs="Simplified Arabic"/>
          <w:color w:val="222222"/>
          <w:szCs w:val="24"/>
          <w:rtl/>
        </w:rPr>
        <w:t>لهذ</w:t>
      </w:r>
      <w:r w:rsidR="000F769F" w:rsidRPr="00544322">
        <w:rPr>
          <w:rFonts w:cs="Simplified Arabic" w:hint="cs"/>
          <w:color w:val="222222"/>
          <w:szCs w:val="24"/>
          <w:rtl/>
        </w:rPr>
        <w:t>ا</w:t>
      </w:r>
      <w:r w:rsidRPr="00544322">
        <w:rPr>
          <w:rFonts w:cs="Simplified Arabic"/>
          <w:color w:val="222222"/>
          <w:szCs w:val="24"/>
          <w:rtl/>
        </w:rPr>
        <w:t xml:space="preserve"> ال</w:t>
      </w:r>
      <w:r w:rsidR="000F769F" w:rsidRPr="00544322">
        <w:rPr>
          <w:rFonts w:cs="Simplified Arabic" w:hint="cs"/>
          <w:color w:val="222222"/>
          <w:szCs w:val="24"/>
          <w:rtl/>
        </w:rPr>
        <w:t>غرض،</w:t>
      </w:r>
      <w:r w:rsidRPr="00544322">
        <w:rPr>
          <w:rFonts w:cs="Simplified Arabic"/>
          <w:color w:val="222222"/>
          <w:szCs w:val="24"/>
          <w:rtl/>
        </w:rPr>
        <w:t xml:space="preserve"> يمكن إعادة تعريف المناطق المحمية باعتبارها مناطق إنتاج أساسية لخير بقاء الإنسان والتنمية الاجتماعية</w:t>
      </w:r>
      <w:r w:rsidR="000F769F" w:rsidRPr="00544322">
        <w:rPr>
          <w:rFonts w:cs="Simplified Arabic" w:hint="cs"/>
          <w:color w:val="222222"/>
          <w:szCs w:val="24"/>
          <w:rtl/>
        </w:rPr>
        <w:t>،</w:t>
      </w:r>
      <w:r w:rsidRPr="00544322">
        <w:rPr>
          <w:rFonts w:cs="Simplified Arabic"/>
          <w:color w:val="222222"/>
          <w:szCs w:val="24"/>
          <w:rtl/>
        </w:rPr>
        <w:t xml:space="preserve"> مما يمكن أن يساعد على زيادة الوعي وتعزيز المشاركة النشطة للمجتمع المدني</w:t>
      </w:r>
      <w:r w:rsidRPr="00544322">
        <w:rPr>
          <w:rFonts w:cs="Simplified Arabic"/>
          <w:color w:val="222222"/>
          <w:szCs w:val="24"/>
        </w:rPr>
        <w:t>.</w:t>
      </w:r>
    </w:p>
    <w:p w:rsidR="0028053A" w:rsidRPr="00544322" w:rsidRDefault="000F769F"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 xml:space="preserve">ومع نمو عدد سكان العالم بما يقدر بنحو 10 مليارات نسمة بحلول عام 2050، ومقدار الأراضي المتاحة </w:t>
      </w:r>
      <w:r w:rsidR="00A254D7">
        <w:rPr>
          <w:rFonts w:cs="Simplified Arabic" w:hint="cs"/>
          <w:color w:val="222222"/>
          <w:szCs w:val="24"/>
          <w:rtl/>
        </w:rPr>
        <w:t xml:space="preserve">في </w:t>
      </w:r>
      <w:r w:rsidRPr="00544322">
        <w:rPr>
          <w:rFonts w:cs="Simplified Arabic"/>
          <w:color w:val="222222"/>
          <w:szCs w:val="24"/>
          <w:rtl/>
        </w:rPr>
        <w:t>تناقص، كان السؤال المطروح هو مقدار الاهتمام الذي ينبغي إيلاؤه للحفاظ على الطبيعة</w:t>
      </w:r>
      <w:r w:rsidR="00A254D7">
        <w:rPr>
          <w:rFonts w:cs="Simplified Arabic" w:hint="cs"/>
          <w:color w:val="222222"/>
          <w:szCs w:val="24"/>
          <w:rtl/>
        </w:rPr>
        <w:t xml:space="preserve">. </w:t>
      </w:r>
      <w:r w:rsidRPr="00544322">
        <w:rPr>
          <w:rFonts w:cs="Simplified Arabic"/>
          <w:color w:val="222222"/>
          <w:szCs w:val="24"/>
          <w:rtl/>
        </w:rPr>
        <w:t>وبالطب</w:t>
      </w:r>
      <w:r w:rsidR="008F476E" w:rsidRPr="00544322">
        <w:rPr>
          <w:rFonts w:cs="Simplified Arabic"/>
          <w:color w:val="222222"/>
          <w:szCs w:val="24"/>
          <w:rtl/>
        </w:rPr>
        <w:t>ع، كانت الإجابة، قدر المستطاع، والصين</w:t>
      </w:r>
      <w:r w:rsidRPr="00544322">
        <w:rPr>
          <w:rFonts w:cs="Simplified Arabic"/>
          <w:color w:val="222222"/>
          <w:szCs w:val="24"/>
          <w:rtl/>
        </w:rPr>
        <w:t>، التي نجحت بشكل ملحوظ في إنقاذ الباندا العملاقة من الانقراض القريب الذي واجه</w:t>
      </w:r>
      <w:r w:rsidR="008F476E" w:rsidRPr="00544322">
        <w:rPr>
          <w:rFonts w:cs="Simplified Arabic"/>
          <w:color w:val="222222"/>
          <w:szCs w:val="24"/>
          <w:rtl/>
        </w:rPr>
        <w:t>ته نتيجة لتجزئة الموئل وانكماشه، على سبيل المثال</w:t>
      </w:r>
      <w:r w:rsidRPr="00544322">
        <w:rPr>
          <w:rFonts w:cs="Simplified Arabic"/>
          <w:color w:val="222222"/>
          <w:szCs w:val="24"/>
          <w:rtl/>
        </w:rPr>
        <w:t xml:space="preserve">، كما يتضح من حقيقة أن </w:t>
      </w:r>
      <w:r w:rsidR="00A254D7">
        <w:rPr>
          <w:rFonts w:cs="Simplified Arabic"/>
          <w:color w:val="222222"/>
          <w:szCs w:val="24"/>
          <w:rtl/>
        </w:rPr>
        <w:t>الاتحاد الدولي لحف</w:t>
      </w:r>
      <w:r w:rsidRPr="00544322">
        <w:rPr>
          <w:rFonts w:cs="Simplified Arabic"/>
          <w:color w:val="222222"/>
          <w:szCs w:val="24"/>
          <w:rtl/>
        </w:rPr>
        <w:t>ظ الطبيعة</w:t>
      </w:r>
      <w:r w:rsidRPr="00544322">
        <w:rPr>
          <w:rFonts w:cs="Simplified Arabic"/>
          <w:color w:val="222222"/>
          <w:szCs w:val="24"/>
        </w:rPr>
        <w:t xml:space="preserve"> (IUCN) </w:t>
      </w:r>
      <w:r w:rsidR="00A254D7">
        <w:rPr>
          <w:rFonts w:cs="Simplified Arabic" w:hint="cs"/>
          <w:color w:val="222222"/>
          <w:szCs w:val="24"/>
          <w:rtl/>
        </w:rPr>
        <w:t xml:space="preserve">قام </w:t>
      </w:r>
      <w:r w:rsidRPr="00544322">
        <w:rPr>
          <w:rFonts w:cs="Simplified Arabic"/>
          <w:color w:val="222222"/>
          <w:szCs w:val="24"/>
          <w:rtl/>
        </w:rPr>
        <w:t xml:space="preserve">بتحسين </w:t>
      </w:r>
      <w:r w:rsidR="00A254D7">
        <w:rPr>
          <w:rFonts w:cs="Simplified Arabic" w:hint="cs"/>
          <w:color w:val="222222"/>
          <w:szCs w:val="24"/>
          <w:rtl/>
        </w:rPr>
        <w:t>حالة</w:t>
      </w:r>
      <w:r w:rsidRPr="00544322">
        <w:rPr>
          <w:rFonts w:cs="Simplified Arabic"/>
          <w:color w:val="222222"/>
          <w:szCs w:val="24"/>
          <w:rtl/>
        </w:rPr>
        <w:t xml:space="preserve"> الأنواع من المهد</w:t>
      </w:r>
      <w:r w:rsidR="008F476E" w:rsidRPr="00544322">
        <w:rPr>
          <w:rFonts w:cs="Simplified Arabic"/>
          <w:color w:val="222222"/>
          <w:szCs w:val="24"/>
          <w:rtl/>
        </w:rPr>
        <w:t>دة بالانقراض إلى الفئات الضعيفة</w:t>
      </w:r>
      <w:r w:rsidR="00A254D7">
        <w:rPr>
          <w:rFonts w:cs="Simplified Arabic"/>
          <w:color w:val="222222"/>
          <w:szCs w:val="24"/>
          <w:rtl/>
        </w:rPr>
        <w:t xml:space="preserve">، واقترح </w:t>
      </w:r>
      <w:r w:rsidRPr="00544322">
        <w:rPr>
          <w:rFonts w:cs="Simplified Arabic"/>
          <w:color w:val="222222"/>
          <w:szCs w:val="24"/>
          <w:rtl/>
        </w:rPr>
        <w:t>نهجًا جديدًا لتحديد النقطة التي ي</w:t>
      </w:r>
      <w:r w:rsidR="00A254D7">
        <w:rPr>
          <w:rFonts w:cs="Simplified Arabic"/>
          <w:color w:val="222222"/>
          <w:szCs w:val="24"/>
          <w:rtl/>
        </w:rPr>
        <w:t>جب عندها بلوغ التوازن بين هدف حف</w:t>
      </w:r>
      <w:r w:rsidRPr="00544322">
        <w:rPr>
          <w:rFonts w:cs="Simplified Arabic"/>
          <w:color w:val="222222"/>
          <w:szCs w:val="24"/>
          <w:rtl/>
        </w:rPr>
        <w:t>ظ الطبيعة والأهداف الأخرى</w:t>
      </w:r>
      <w:r w:rsidR="008F476E" w:rsidRPr="00544322">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وقد تم تطوير مفهوم "نسبة الطبيعة" أو "نسبة</w:t>
      </w:r>
      <w:r w:rsidR="00A254D7">
        <w:rPr>
          <w:rFonts w:cs="Simplified Arabic" w:hint="cs"/>
          <w:color w:val="222222"/>
          <w:szCs w:val="24"/>
          <w:rtl/>
        </w:rPr>
        <w:t xml:space="preserve"> </w:t>
      </w:r>
      <w:r w:rsidR="00A254D7">
        <w:rPr>
          <w:rFonts w:cs="Simplified Arabic"/>
          <w:color w:val="222222"/>
          <w:szCs w:val="24"/>
          <w:lang w:val="en-US"/>
        </w:rPr>
        <w:t>N</w:t>
      </w:r>
      <w:r w:rsidRPr="00544322">
        <w:rPr>
          <w:rFonts w:cs="Simplified Arabic"/>
          <w:color w:val="222222"/>
          <w:szCs w:val="24"/>
          <w:rtl/>
        </w:rPr>
        <w:t>" في المائة "كوسيلة قائمة على العلم لإثبات حصة المناطق الطبيعية على المستوى العالمي أو الوطني المطلوب للبقاء على قيد الحياة من ناحية، وتحديد النقاط الساخنة للتنوع البيولوجي من جهة أخرى</w:t>
      </w:r>
      <w:r w:rsidR="00A254D7">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ولذلك كان ضمان بقاء الإنسان هو الهدف الأساسي</w:t>
      </w:r>
      <w:r w:rsidR="00A254D7">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 xml:space="preserve">وتقوم الأكاديمية الصينية للعلوم، التي شرعت بالفعل في مشروع لإنشاء شبكة للبحوث العالمية </w:t>
      </w:r>
      <w:r w:rsidR="00A254D7">
        <w:rPr>
          <w:rFonts w:cs="Simplified Arabic" w:hint="cs"/>
          <w:color w:val="222222"/>
          <w:szCs w:val="24"/>
          <w:rtl/>
        </w:rPr>
        <w:t>متعلقة ب</w:t>
      </w:r>
      <w:r w:rsidRPr="00544322">
        <w:rPr>
          <w:rFonts w:cs="Simplified Arabic"/>
          <w:color w:val="222222"/>
          <w:szCs w:val="24"/>
          <w:rtl/>
        </w:rPr>
        <w:t>نسبة</w:t>
      </w:r>
      <w:r w:rsidRPr="00544322">
        <w:rPr>
          <w:rFonts w:cs="Simplified Arabic"/>
          <w:color w:val="222222"/>
          <w:szCs w:val="24"/>
        </w:rPr>
        <w:t xml:space="preserve"> N </w:t>
      </w:r>
      <w:r w:rsidRPr="00544322">
        <w:rPr>
          <w:rFonts w:cs="Simplified Arabic"/>
          <w:color w:val="222222"/>
          <w:szCs w:val="24"/>
          <w:rtl/>
        </w:rPr>
        <w:t xml:space="preserve">في المائة، بوضع نظام للحساب والمؤشرات </w:t>
      </w:r>
      <w:r w:rsidR="00A254D7">
        <w:rPr>
          <w:rFonts w:cs="Simplified Arabic" w:hint="cs"/>
          <w:color w:val="222222"/>
          <w:szCs w:val="24"/>
          <w:rtl/>
        </w:rPr>
        <w:t>ل</w:t>
      </w:r>
      <w:r w:rsidRPr="00544322">
        <w:rPr>
          <w:rFonts w:cs="Simplified Arabic"/>
          <w:color w:val="222222"/>
          <w:szCs w:val="24"/>
          <w:rtl/>
        </w:rPr>
        <w:t>نسبة</w:t>
      </w:r>
      <w:r w:rsidRPr="00544322">
        <w:rPr>
          <w:rFonts w:cs="Simplified Arabic"/>
          <w:color w:val="222222"/>
          <w:szCs w:val="24"/>
        </w:rPr>
        <w:t xml:space="preserve"> N </w:t>
      </w:r>
      <w:r w:rsidRPr="00544322">
        <w:rPr>
          <w:rFonts w:cs="Simplified Arabic"/>
          <w:color w:val="222222"/>
          <w:szCs w:val="24"/>
          <w:rtl/>
        </w:rPr>
        <w:t xml:space="preserve">في المائة والنظر في </w:t>
      </w:r>
      <w:r w:rsidR="00A254D7">
        <w:rPr>
          <w:rFonts w:cs="Simplified Arabic" w:hint="cs"/>
          <w:color w:val="222222"/>
          <w:szCs w:val="24"/>
          <w:rtl/>
        </w:rPr>
        <w:t>وسائب</w:t>
      </w:r>
      <w:r w:rsidRPr="00544322">
        <w:rPr>
          <w:rFonts w:cs="Simplified Arabic"/>
          <w:color w:val="222222"/>
          <w:szCs w:val="24"/>
          <w:rtl/>
        </w:rPr>
        <w:t xml:space="preserve"> لتعميم المفهوم في صُنع السياسات والتشريعات واللوائح في البلد، </w:t>
      </w:r>
      <w:r w:rsidR="00A254D7">
        <w:rPr>
          <w:rFonts w:cs="Simplified Arabic" w:hint="cs"/>
          <w:color w:val="222222"/>
          <w:szCs w:val="24"/>
          <w:rtl/>
        </w:rPr>
        <w:t xml:space="preserve">الذي سيكون العمل الجماعي في هذا المجال </w:t>
      </w:r>
      <w:r w:rsidRPr="00544322">
        <w:rPr>
          <w:rFonts w:cs="Simplified Arabic"/>
          <w:color w:val="222222"/>
          <w:szCs w:val="24"/>
          <w:rtl/>
        </w:rPr>
        <w:t>ضروريًا</w:t>
      </w:r>
      <w:r w:rsidR="00A254D7">
        <w:rPr>
          <w:rFonts w:cs="Simplified Arabic" w:hint="cs"/>
          <w:szCs w:val="24"/>
          <w:rtl/>
          <w:lang w:val="en-US"/>
        </w:rPr>
        <w:t>.</w:t>
      </w:r>
    </w:p>
    <w:p w:rsidR="0028053A" w:rsidRPr="00544322" w:rsidRDefault="008F476E" w:rsidP="002C6442">
      <w:pPr>
        <w:pStyle w:val="Para10"/>
        <w:numPr>
          <w:ilvl w:val="0"/>
          <w:numId w:val="0"/>
        </w:numPr>
        <w:bidi/>
        <w:spacing w:before="0" w:line="216" w:lineRule="auto"/>
        <w:rPr>
          <w:rFonts w:cs="Simplified Arabic"/>
          <w:i/>
          <w:iCs/>
          <w:szCs w:val="24"/>
          <w:lang w:val="en-US"/>
        </w:rPr>
      </w:pPr>
      <w:r w:rsidRPr="00544322">
        <w:rPr>
          <w:rFonts w:cs="Simplified Arabic" w:hint="cs"/>
          <w:i/>
          <w:iCs/>
          <w:szCs w:val="24"/>
          <w:rtl/>
          <w:lang w:val="en-US"/>
        </w:rPr>
        <w:t>السيد هاليدور ثورغيسن، المدير الأول السابق لاستراتيجية اتفاقية الأمم المتحدة الإطارية بشأن تغير المناخ  وخبير استشاري استراتيجي للأمينة التنفيذية بشأن العملية لما بعد عام 2020</w:t>
      </w:r>
    </w:p>
    <w:p w:rsidR="0028053A" w:rsidRPr="00544322" w:rsidRDefault="002C6442"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أشار السيد ثور</w:t>
      </w:r>
      <w:r w:rsidR="00BF41F0">
        <w:rPr>
          <w:rFonts w:cs="Simplified Arabic" w:hint="cs"/>
          <w:color w:val="222222"/>
          <w:szCs w:val="24"/>
          <w:rtl/>
        </w:rPr>
        <w:t>غ</w:t>
      </w:r>
      <w:r w:rsidRPr="00544322">
        <w:rPr>
          <w:rFonts w:cs="Simplified Arabic"/>
          <w:color w:val="222222"/>
          <w:szCs w:val="24"/>
          <w:rtl/>
        </w:rPr>
        <w:t>يسن، الذي وضع السياق لملاحظاته</w:t>
      </w:r>
      <w:r w:rsidR="008F476E" w:rsidRPr="00544322">
        <w:rPr>
          <w:rFonts w:cs="Simplified Arabic"/>
          <w:color w:val="222222"/>
          <w:szCs w:val="24"/>
          <w:rtl/>
        </w:rPr>
        <w:t>، إلى أن اتفاق باريس حدد الحد الأعلى لارتفاع درجة</w:t>
      </w:r>
      <w:r w:rsidRPr="00544322">
        <w:rPr>
          <w:rFonts w:cs="Simplified Arabic"/>
          <w:color w:val="222222"/>
          <w:szCs w:val="24"/>
          <w:rtl/>
        </w:rPr>
        <w:t xml:space="preserve"> حرارة الأرض عند درجتين مئويتين</w:t>
      </w:r>
      <w:r w:rsidR="008F476E" w:rsidRPr="00544322">
        <w:rPr>
          <w:rFonts w:cs="Simplified Arabic"/>
          <w:color w:val="222222"/>
          <w:szCs w:val="24"/>
          <w:rtl/>
        </w:rPr>
        <w:t>، بحيث يقترب الاستقر</w:t>
      </w:r>
      <w:r w:rsidRPr="00544322">
        <w:rPr>
          <w:rFonts w:cs="Simplified Arabic"/>
          <w:color w:val="222222"/>
          <w:szCs w:val="24"/>
          <w:rtl/>
        </w:rPr>
        <w:t>ار بشكل مثالي من 1</w:t>
      </w:r>
      <w:r w:rsidR="002464CD">
        <w:rPr>
          <w:rFonts w:cs="Simplified Arabic" w:hint="cs"/>
          <w:color w:val="222222"/>
          <w:szCs w:val="24"/>
          <w:rtl/>
        </w:rPr>
        <w:t>,</w:t>
      </w:r>
      <w:r w:rsidRPr="00544322">
        <w:rPr>
          <w:rFonts w:cs="Simplified Arabic"/>
          <w:color w:val="222222"/>
          <w:szCs w:val="24"/>
          <w:rtl/>
        </w:rPr>
        <w:t>5 درجة مئوية</w:t>
      </w:r>
      <w:r w:rsidR="008F476E" w:rsidRPr="00544322">
        <w:rPr>
          <w:rFonts w:cs="Simplified Arabic"/>
          <w:color w:val="222222"/>
          <w:szCs w:val="24"/>
          <w:rtl/>
        </w:rPr>
        <w:t xml:space="preserve">، وأن الأثر الكلي لمساهمات الأطراف في هدف التخفيف الناتج </w:t>
      </w:r>
      <w:r w:rsidR="002464CD">
        <w:rPr>
          <w:rFonts w:cs="Simplified Arabic" w:hint="cs"/>
          <w:color w:val="222222"/>
          <w:szCs w:val="24"/>
          <w:rtl/>
        </w:rPr>
        <w:t xml:space="preserve">كان مرتبطا </w:t>
      </w:r>
      <w:r w:rsidR="008F476E" w:rsidRPr="00544322">
        <w:rPr>
          <w:rFonts w:cs="Simplified Arabic"/>
          <w:color w:val="222222"/>
          <w:szCs w:val="24"/>
          <w:rtl/>
        </w:rPr>
        <w:t>بالهدف على المدى الطويل من خلال عملية خمسية عالمية للت</w:t>
      </w:r>
      <w:r w:rsidR="002464CD">
        <w:rPr>
          <w:rFonts w:cs="Simplified Arabic" w:hint="cs"/>
          <w:color w:val="222222"/>
          <w:szCs w:val="24"/>
          <w:rtl/>
        </w:rPr>
        <w:t>قييم</w:t>
      </w:r>
      <w:r w:rsidR="008F476E" w:rsidRPr="00544322">
        <w:rPr>
          <w:rFonts w:cs="Simplified Arabic"/>
          <w:color w:val="222222"/>
          <w:szCs w:val="24"/>
        </w:rPr>
        <w:t xml:space="preserve"> </w:t>
      </w:r>
      <w:r w:rsidRPr="00544322">
        <w:rPr>
          <w:rFonts w:cs="Simplified Arabic" w:hint="cs"/>
          <w:color w:val="222222"/>
          <w:szCs w:val="24"/>
          <w:lang w:val="en-US"/>
        </w:rPr>
        <w:t>.</w:t>
      </w:r>
      <w:r w:rsidRPr="00544322">
        <w:rPr>
          <w:rFonts w:cs="Simplified Arabic"/>
          <w:color w:val="222222"/>
          <w:szCs w:val="24"/>
          <w:rtl/>
        </w:rPr>
        <w:t>وفيما يتعلق ب</w:t>
      </w:r>
      <w:r w:rsidR="002464CD">
        <w:rPr>
          <w:rFonts w:cs="Simplified Arabic" w:hint="cs"/>
          <w:color w:val="222222"/>
          <w:szCs w:val="24"/>
          <w:rtl/>
        </w:rPr>
        <w:t>ال</w:t>
      </w:r>
      <w:r w:rsidRPr="00544322">
        <w:rPr>
          <w:rFonts w:cs="Simplified Arabic"/>
          <w:color w:val="222222"/>
          <w:szCs w:val="24"/>
          <w:rtl/>
        </w:rPr>
        <w:t>رسالة الرئيس</w:t>
      </w:r>
      <w:r w:rsidR="002464CD">
        <w:rPr>
          <w:rFonts w:cs="Simplified Arabic" w:hint="cs"/>
          <w:color w:val="222222"/>
          <w:szCs w:val="24"/>
          <w:rtl/>
        </w:rPr>
        <w:t>ة</w:t>
      </w:r>
      <w:r w:rsidR="008F476E" w:rsidRPr="00544322">
        <w:rPr>
          <w:rFonts w:cs="Simplified Arabic"/>
          <w:color w:val="222222"/>
          <w:szCs w:val="24"/>
          <w:rtl/>
        </w:rPr>
        <w:t>، قال إن خطة العمل العالمية للمناخ الناشئة لا تزال توفر إمكانات كبيرة لزيادة تعزيز روح التعاون بين جميع أصحاب المصلحة</w:t>
      </w:r>
      <w:r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وبدافع من الطموح السياسي</w:t>
      </w:r>
      <w:r w:rsidR="002464CD">
        <w:rPr>
          <w:rFonts w:cs="Simplified Arabic" w:hint="cs"/>
          <w:color w:val="222222"/>
          <w:szCs w:val="24"/>
          <w:rtl/>
        </w:rPr>
        <w:t>،</w:t>
      </w:r>
      <w:r w:rsidR="008F476E" w:rsidRPr="00544322">
        <w:rPr>
          <w:rFonts w:cs="Simplified Arabic"/>
          <w:color w:val="222222"/>
          <w:szCs w:val="24"/>
          <w:rtl/>
        </w:rPr>
        <w:t xml:space="preserve"> والشعور بالإلحاح والتقدي</w:t>
      </w:r>
      <w:r w:rsidRPr="00544322">
        <w:rPr>
          <w:rFonts w:cs="Simplified Arabic"/>
          <w:color w:val="222222"/>
          <w:szCs w:val="24"/>
          <w:rtl/>
        </w:rPr>
        <w:t>ر للمزايا الملموسة للعمل المبكر</w:t>
      </w:r>
      <w:r w:rsidR="008F476E" w:rsidRPr="00544322">
        <w:rPr>
          <w:rFonts w:cs="Simplified Arabic"/>
          <w:color w:val="222222"/>
          <w:szCs w:val="24"/>
          <w:rtl/>
        </w:rPr>
        <w:t>، فقد ألهمت بالفعل حملة جماعية لتحقيق تقدم سريع وخفضت العتبة السياسية للعمل من خلال السماح للحكومات بالتقدم في الشراكة</w:t>
      </w:r>
      <w:r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كما قدمت نقطة دخول للأعمال التجارية</w:t>
      </w:r>
      <w:r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ويمكن تكييف بعض التدابير الرائدة المنشورة في هذا السياق لأغراض التنوع البيولوجي</w:t>
      </w:r>
      <w:r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 xml:space="preserve">وتضمنت إنشاء منصة على شبكة الإنترنت يمكن للجهات الفاعلة </w:t>
      </w:r>
      <w:r w:rsidRPr="00544322">
        <w:rPr>
          <w:rFonts w:cs="Simplified Arabic"/>
          <w:color w:val="222222"/>
          <w:szCs w:val="24"/>
          <w:rtl/>
        </w:rPr>
        <w:t>من غير الدول الإبلاغ عن نتائجها</w:t>
      </w:r>
      <w:r w:rsidR="008F476E" w:rsidRPr="00544322">
        <w:rPr>
          <w:rFonts w:cs="Simplified Arabic"/>
          <w:color w:val="222222"/>
          <w:szCs w:val="24"/>
          <w:rtl/>
        </w:rPr>
        <w:t xml:space="preserve">؛ </w:t>
      </w:r>
      <w:r w:rsidR="002464CD">
        <w:rPr>
          <w:rFonts w:cs="Simplified Arabic" w:hint="cs"/>
          <w:color w:val="222222"/>
          <w:szCs w:val="24"/>
          <w:rtl/>
        </w:rPr>
        <w:t>و</w:t>
      </w:r>
      <w:r w:rsidR="008F476E" w:rsidRPr="00544322">
        <w:rPr>
          <w:rFonts w:cs="Simplified Arabic"/>
          <w:color w:val="222222"/>
          <w:szCs w:val="24"/>
          <w:rtl/>
        </w:rPr>
        <w:t xml:space="preserve">نشر كتاب سنوي يبرز النجاحات والاتجاهات؛ </w:t>
      </w:r>
      <w:r w:rsidRPr="00544322">
        <w:rPr>
          <w:rFonts w:cs="Simplified Arabic"/>
          <w:color w:val="222222"/>
          <w:szCs w:val="24"/>
          <w:rtl/>
        </w:rPr>
        <w:t>وتنظيم مؤتمرات سنوية للأ</w:t>
      </w:r>
      <w:r w:rsidR="002464CD">
        <w:rPr>
          <w:rFonts w:cs="Simplified Arabic" w:hint="cs"/>
          <w:color w:val="222222"/>
          <w:szCs w:val="24"/>
          <w:rtl/>
        </w:rPr>
        <w:t>طراف</w:t>
      </w:r>
      <w:r w:rsidR="008F476E" w:rsidRPr="00544322">
        <w:rPr>
          <w:rFonts w:cs="Simplified Arabic"/>
          <w:color w:val="222222"/>
          <w:szCs w:val="24"/>
          <w:rtl/>
        </w:rPr>
        <w:t>، التي كانت بمثابة منتدى مفيد لإقامة الشراكات و</w:t>
      </w:r>
      <w:r w:rsidR="008F476E" w:rsidRPr="00544322">
        <w:rPr>
          <w:rFonts w:cs="Simplified Arabic" w:hint="cs"/>
          <w:color w:val="222222"/>
          <w:szCs w:val="24"/>
          <w:rtl/>
        </w:rPr>
        <w:t>تبادل نتائج</w:t>
      </w:r>
      <w:r w:rsidR="008F476E" w:rsidRPr="00544322">
        <w:rPr>
          <w:rFonts w:cs="Simplified Arabic"/>
          <w:color w:val="222222"/>
          <w:szCs w:val="24"/>
          <w:rtl/>
        </w:rPr>
        <w:t>ها</w:t>
      </w:r>
      <w:r w:rsidR="008F476E" w:rsidRPr="00544322">
        <w:rPr>
          <w:rFonts w:cs="Simplified Arabic"/>
          <w:color w:val="222222"/>
          <w:szCs w:val="24"/>
        </w:rPr>
        <w:t>.</w:t>
      </w:r>
    </w:p>
    <w:p w:rsidR="008F476E" w:rsidRDefault="008F476E"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وقد اتخذت خطوات هامة على طو</w:t>
      </w:r>
      <w:r w:rsidR="002C6442" w:rsidRPr="00544322">
        <w:rPr>
          <w:rFonts w:cs="Simplified Arabic"/>
          <w:color w:val="222222"/>
          <w:szCs w:val="24"/>
          <w:rtl/>
        </w:rPr>
        <w:t>ل الطريق المؤدي إلى اتفاق باريس، ومع ذلك</w:t>
      </w:r>
      <w:r w:rsidRPr="00544322">
        <w:rPr>
          <w:rFonts w:cs="Simplified Arabic"/>
          <w:color w:val="222222"/>
          <w:szCs w:val="24"/>
          <w:rtl/>
        </w:rPr>
        <w:t>، قبل كل شيء بهدف تعزيز الإجراءا</w:t>
      </w:r>
      <w:r w:rsidR="002C6442" w:rsidRPr="00544322">
        <w:rPr>
          <w:rFonts w:cs="Simplified Arabic"/>
          <w:color w:val="222222"/>
          <w:szCs w:val="24"/>
          <w:rtl/>
        </w:rPr>
        <w:t>ت المتعلقة بالمناخ قبل عام 2020</w:t>
      </w:r>
      <w:r w:rsidRPr="00544322">
        <w:rPr>
          <w:rFonts w:cs="Simplified Arabic"/>
          <w:color w:val="222222"/>
          <w:szCs w:val="24"/>
          <w:rtl/>
        </w:rPr>
        <w:t>، الأمر الذي أدى إلى بذل جهود منتظمة للبحث عن حلول في القطاعات الرئيسية</w:t>
      </w:r>
      <w:r w:rsidR="002464CD">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وحشد مؤتمر قمة المناخ الذي عقدته الأمم المتحدة في سبتمبر</w:t>
      </w:r>
      <w:r w:rsidR="002C6442" w:rsidRPr="00544322">
        <w:rPr>
          <w:rFonts w:cs="Simplified Arabic" w:hint="cs"/>
          <w:color w:val="222222"/>
          <w:szCs w:val="24"/>
          <w:rtl/>
        </w:rPr>
        <w:t>/أيلول</w:t>
      </w:r>
      <w:r w:rsidRPr="00544322">
        <w:rPr>
          <w:rFonts w:cs="Simplified Arabic"/>
          <w:color w:val="222222"/>
          <w:szCs w:val="24"/>
          <w:rtl/>
        </w:rPr>
        <w:t xml:space="preserve"> 2014 تحالفا</w:t>
      </w:r>
      <w:r w:rsidR="002464CD">
        <w:rPr>
          <w:rFonts w:cs="Simplified Arabic"/>
          <w:color w:val="222222"/>
          <w:szCs w:val="24"/>
          <w:rtl/>
        </w:rPr>
        <w:t>ت العمل و</w:t>
      </w:r>
      <w:r w:rsidR="00912BD4">
        <w:rPr>
          <w:rFonts w:cs="Simplified Arabic" w:hint="cs"/>
          <w:color w:val="222222"/>
          <w:szCs w:val="24"/>
          <w:rtl/>
        </w:rPr>
        <w:t>أ</w:t>
      </w:r>
      <w:r w:rsidR="002464CD">
        <w:rPr>
          <w:rFonts w:cs="Simplified Arabic"/>
          <w:color w:val="222222"/>
          <w:szCs w:val="24"/>
          <w:rtl/>
        </w:rPr>
        <w:t>ش</w:t>
      </w:r>
      <w:r w:rsidR="002C6442" w:rsidRPr="00544322">
        <w:rPr>
          <w:rFonts w:cs="Simplified Arabic"/>
          <w:color w:val="222222"/>
          <w:szCs w:val="24"/>
          <w:rtl/>
        </w:rPr>
        <w:t>رك في قيادة الأعمال</w:t>
      </w:r>
      <w:r w:rsidRPr="00544322">
        <w:rPr>
          <w:rFonts w:cs="Simplified Arabic"/>
          <w:color w:val="222222"/>
          <w:szCs w:val="24"/>
          <w:rtl/>
        </w:rPr>
        <w:t>، مما خلق زخماً تم توجيهه ف</w:t>
      </w:r>
      <w:r w:rsidR="002C6442" w:rsidRPr="00544322">
        <w:rPr>
          <w:rFonts w:cs="Simplified Arabic"/>
          <w:color w:val="222222"/>
          <w:szCs w:val="24"/>
          <w:rtl/>
        </w:rPr>
        <w:t>يما بعد إلى خطة عمل ليما</w:t>
      </w:r>
      <w:r w:rsidR="00912BD4">
        <w:rPr>
          <w:rFonts w:cs="Simplified Arabic" w:hint="cs"/>
          <w:color w:val="222222"/>
          <w:szCs w:val="24"/>
          <w:rtl/>
        </w:rPr>
        <w:t>-</w:t>
      </w:r>
      <w:r w:rsidR="002C6442" w:rsidRPr="00544322">
        <w:rPr>
          <w:rFonts w:cs="Simplified Arabic"/>
          <w:color w:val="222222"/>
          <w:szCs w:val="24"/>
          <w:rtl/>
        </w:rPr>
        <w:t xml:space="preserve"> وباريس</w:t>
      </w:r>
      <w:r w:rsidRPr="00544322">
        <w:rPr>
          <w:rFonts w:cs="Simplified Arabic"/>
          <w:color w:val="222222"/>
          <w:szCs w:val="24"/>
          <w:rtl/>
        </w:rPr>
        <w:t xml:space="preserve">، حيث </w:t>
      </w:r>
      <w:r w:rsidR="00912BD4">
        <w:rPr>
          <w:rFonts w:cs="Simplified Arabic" w:hint="cs"/>
          <w:color w:val="222222"/>
          <w:szCs w:val="24"/>
          <w:rtl/>
        </w:rPr>
        <w:t>ي</w:t>
      </w:r>
      <w:r w:rsidRPr="00544322">
        <w:rPr>
          <w:rFonts w:cs="Simplified Arabic"/>
          <w:color w:val="222222"/>
          <w:szCs w:val="24"/>
          <w:rtl/>
        </w:rPr>
        <w:t>جري العديد من الإجراءات المتع</w:t>
      </w:r>
      <w:r w:rsidR="00912BD4">
        <w:rPr>
          <w:rFonts w:cs="Simplified Arabic"/>
          <w:color w:val="222222"/>
          <w:szCs w:val="24"/>
          <w:rtl/>
        </w:rPr>
        <w:t xml:space="preserve">لقة بالمناخ خلال </w:t>
      </w:r>
      <w:r w:rsidR="00912BD4">
        <w:rPr>
          <w:rFonts w:cs="Simplified Arabic" w:hint="cs"/>
          <w:color w:val="222222"/>
          <w:szCs w:val="24"/>
          <w:rtl/>
        </w:rPr>
        <w:t>ال</w:t>
      </w:r>
      <w:r w:rsidR="00912BD4">
        <w:rPr>
          <w:rFonts w:cs="Simplified Arabic"/>
          <w:color w:val="222222"/>
          <w:szCs w:val="24"/>
          <w:rtl/>
        </w:rPr>
        <w:t xml:space="preserve">مفاوضات </w:t>
      </w:r>
      <w:r w:rsidR="00912BD4">
        <w:rPr>
          <w:rFonts w:cs="Simplified Arabic" w:hint="cs"/>
          <w:color w:val="222222"/>
          <w:szCs w:val="24"/>
          <w:rtl/>
        </w:rPr>
        <w:t xml:space="preserve">النهائية على </w:t>
      </w:r>
      <w:r w:rsidR="00912BD4">
        <w:rPr>
          <w:rFonts w:cs="Simplified Arabic"/>
          <w:color w:val="222222"/>
          <w:szCs w:val="24"/>
          <w:rtl/>
        </w:rPr>
        <w:t>اتفاق</w:t>
      </w:r>
      <w:r w:rsidRPr="00544322">
        <w:rPr>
          <w:rFonts w:cs="Simplified Arabic"/>
          <w:color w:val="222222"/>
          <w:szCs w:val="24"/>
          <w:rtl/>
        </w:rPr>
        <w:t xml:space="preserve"> باريس</w:t>
      </w:r>
      <w:r w:rsidR="00912BD4">
        <w:rPr>
          <w:rFonts w:cs="Simplified Arabic" w:hint="cs"/>
          <w:color w:val="222222"/>
          <w:szCs w:val="24"/>
          <w:rtl/>
        </w:rPr>
        <w:t xml:space="preserve"> التي ترسخت جذورها أساسا</w:t>
      </w:r>
      <w:r w:rsidR="002C6442" w:rsidRPr="00544322">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 xml:space="preserve">ويمكن في واقع الأمر أن يكون هناك موازاة بين </w:t>
      </w:r>
      <w:r w:rsidR="00912BD4">
        <w:rPr>
          <w:rFonts w:cs="Simplified Arabic" w:hint="cs"/>
          <w:color w:val="222222"/>
          <w:szCs w:val="24"/>
          <w:rtl/>
        </w:rPr>
        <w:t xml:space="preserve">خطة عمل </w:t>
      </w:r>
      <w:r w:rsidRPr="00544322">
        <w:rPr>
          <w:rFonts w:cs="Simplified Arabic"/>
          <w:color w:val="222222"/>
          <w:szCs w:val="24"/>
          <w:rtl/>
        </w:rPr>
        <w:t xml:space="preserve">شرم الشيخ </w:t>
      </w:r>
      <w:r w:rsidR="00912BD4">
        <w:rPr>
          <w:rFonts w:cs="Simplified Arabic" w:hint="cs"/>
          <w:color w:val="222222"/>
          <w:szCs w:val="24"/>
          <w:rtl/>
        </w:rPr>
        <w:t>إلى</w:t>
      </w:r>
      <w:r w:rsidR="002C6442" w:rsidRPr="00544322">
        <w:rPr>
          <w:rFonts w:cs="Simplified Arabic"/>
          <w:color w:val="222222"/>
          <w:szCs w:val="24"/>
          <w:rtl/>
        </w:rPr>
        <w:t xml:space="preserve"> ب</w:t>
      </w:r>
      <w:r w:rsidR="00293A41">
        <w:rPr>
          <w:rFonts w:cs="Simplified Arabic" w:hint="cs"/>
          <w:color w:val="222222"/>
          <w:szCs w:val="24"/>
          <w:rtl/>
        </w:rPr>
        <w:t>يج</w:t>
      </w:r>
      <w:r w:rsidR="002C6442" w:rsidRPr="00544322">
        <w:rPr>
          <w:rFonts w:cs="Simplified Arabic"/>
          <w:color w:val="222222"/>
          <w:szCs w:val="24"/>
          <w:rtl/>
        </w:rPr>
        <w:t>ين للطبيعة وال</w:t>
      </w:r>
      <w:r w:rsidR="00293A41">
        <w:rPr>
          <w:rFonts w:cs="Simplified Arabic" w:hint="cs"/>
          <w:color w:val="222222"/>
          <w:szCs w:val="24"/>
          <w:rtl/>
        </w:rPr>
        <w:t>ناس</w:t>
      </w:r>
      <w:r w:rsidR="002C6442" w:rsidRPr="00544322">
        <w:rPr>
          <w:rFonts w:cs="Simplified Arabic"/>
          <w:color w:val="222222"/>
          <w:szCs w:val="24"/>
          <w:rtl/>
        </w:rPr>
        <w:t xml:space="preserve">، </w:t>
      </w:r>
      <w:r w:rsidR="00912BD4">
        <w:rPr>
          <w:rFonts w:cs="Simplified Arabic" w:hint="cs"/>
          <w:color w:val="222222"/>
          <w:szCs w:val="24"/>
          <w:rtl/>
        </w:rPr>
        <w:t xml:space="preserve">التي أعلن عنها مؤخرا، </w:t>
      </w:r>
      <w:r w:rsidR="002C6442" w:rsidRPr="00544322">
        <w:rPr>
          <w:rFonts w:cs="Simplified Arabic"/>
          <w:color w:val="222222"/>
          <w:szCs w:val="24"/>
          <w:rtl/>
        </w:rPr>
        <w:t>وجدول الأعمال</w:t>
      </w:r>
      <w:r w:rsidRPr="00544322">
        <w:rPr>
          <w:rFonts w:cs="Simplified Arabic"/>
          <w:color w:val="222222"/>
          <w:szCs w:val="24"/>
          <w:rtl/>
        </w:rPr>
        <w:t>، ال</w:t>
      </w:r>
      <w:r w:rsidR="00912BD4">
        <w:rPr>
          <w:rFonts w:cs="Simplified Arabic" w:hint="cs"/>
          <w:color w:val="222222"/>
          <w:szCs w:val="24"/>
          <w:rtl/>
        </w:rPr>
        <w:t>ت</w:t>
      </w:r>
      <w:r w:rsidRPr="00544322">
        <w:rPr>
          <w:rFonts w:cs="Simplified Arabic"/>
          <w:color w:val="222222"/>
          <w:szCs w:val="24"/>
          <w:rtl/>
        </w:rPr>
        <w:t>ي عزز</w:t>
      </w:r>
      <w:r w:rsidR="00912BD4">
        <w:rPr>
          <w:rFonts w:cs="Simplified Arabic" w:hint="cs"/>
          <w:color w:val="222222"/>
          <w:szCs w:val="24"/>
          <w:rtl/>
        </w:rPr>
        <w:t>ت</w:t>
      </w:r>
      <w:r w:rsidRPr="00544322">
        <w:rPr>
          <w:rFonts w:cs="Simplified Arabic"/>
          <w:color w:val="222222"/>
          <w:szCs w:val="24"/>
          <w:rtl/>
        </w:rPr>
        <w:t xml:space="preserve"> وحدة الهدف والدعم عبر الطيف من أجل التوصل إلى اتفاق طموح</w:t>
      </w:r>
      <w:r w:rsidRPr="00544322">
        <w:rPr>
          <w:rFonts w:cs="Simplified Arabic"/>
          <w:color w:val="222222"/>
          <w:szCs w:val="24"/>
        </w:rPr>
        <w:t>.</w:t>
      </w:r>
      <w:r w:rsidR="002C6442" w:rsidRPr="00544322">
        <w:rPr>
          <w:rFonts w:cs="Simplified Arabic" w:hint="cs"/>
          <w:color w:val="222222"/>
          <w:szCs w:val="24"/>
          <w:rtl/>
        </w:rPr>
        <w:t xml:space="preserve"> </w:t>
      </w:r>
      <w:r w:rsidR="002C6442" w:rsidRPr="00544322">
        <w:rPr>
          <w:rFonts w:cs="Simplified Arabic"/>
          <w:color w:val="222222"/>
          <w:szCs w:val="24"/>
          <w:rtl/>
        </w:rPr>
        <w:t>وعلاوة على ذلك</w:t>
      </w:r>
      <w:r w:rsidRPr="00544322">
        <w:rPr>
          <w:rFonts w:cs="Simplified Arabic"/>
          <w:color w:val="222222"/>
          <w:szCs w:val="24"/>
          <w:rtl/>
        </w:rPr>
        <w:t>، ازدادت الحاجة إلى مثل هذا الاتفاق من خلال المعرفة الحالية بأن المجموع الكلي للمساهمات المعلنة وطنياً</w:t>
      </w:r>
      <w:r w:rsidRPr="00544322">
        <w:rPr>
          <w:rFonts w:cs="Simplified Arabic"/>
          <w:color w:val="222222"/>
          <w:szCs w:val="24"/>
        </w:rPr>
        <w:t xml:space="preserve"> (NDCs) </w:t>
      </w:r>
      <w:r w:rsidRPr="00544322">
        <w:rPr>
          <w:rFonts w:cs="Simplified Arabic"/>
          <w:color w:val="222222"/>
          <w:szCs w:val="24"/>
          <w:rtl/>
        </w:rPr>
        <w:t>لن يكون كافياً لتحقيق الهدف المقصود</w:t>
      </w:r>
      <w:r w:rsidR="002C6442" w:rsidRPr="00544322">
        <w:rPr>
          <w:rFonts w:cs="Simplified Arabic" w:hint="cs"/>
          <w:color w:val="222222"/>
          <w:szCs w:val="24"/>
          <w:rtl/>
        </w:rPr>
        <w:t>.</w:t>
      </w:r>
      <w:r w:rsidRPr="00544322">
        <w:rPr>
          <w:rFonts w:cs="Simplified Arabic"/>
          <w:color w:val="222222"/>
          <w:szCs w:val="24"/>
        </w:rPr>
        <w:t xml:space="preserve"> </w:t>
      </w:r>
      <w:r w:rsidR="00293A41">
        <w:rPr>
          <w:rFonts w:cs="Simplified Arabic" w:hint="cs"/>
          <w:color w:val="222222"/>
          <w:szCs w:val="24"/>
          <w:rtl/>
        </w:rPr>
        <w:t>وبالإشارة</w:t>
      </w:r>
      <w:r w:rsidRPr="00544322">
        <w:rPr>
          <w:rFonts w:cs="Simplified Arabic"/>
          <w:color w:val="222222"/>
          <w:szCs w:val="24"/>
          <w:rtl/>
        </w:rPr>
        <w:t xml:space="preserve"> إلى أن العديد من الإجراءات المناخية لها نتائج هامة في التنوع البيولوجي وأنها تتسق بشكل وثيق مع خطة التنمية المستدامة لعام 2030، فقد أكد على ضرورة تحويل الكلمات إلى إجراءات لإطلاق الإمكانيات الهائلة غير المستغلة المتاحة لمواجهة تحديات التنوع البيولوجي</w:t>
      </w:r>
      <w:r w:rsidR="002C6442" w:rsidRPr="00544322">
        <w:rPr>
          <w:rFonts w:cs="Simplified Arabic" w:hint="cs"/>
          <w:szCs w:val="24"/>
          <w:rtl/>
          <w:lang w:val="en-US"/>
        </w:rPr>
        <w:t>.</w:t>
      </w:r>
    </w:p>
    <w:p w:rsidR="0028053A" w:rsidRPr="00544322" w:rsidRDefault="0028053A" w:rsidP="000A28EA">
      <w:pPr>
        <w:pStyle w:val="Para10"/>
        <w:keepNext/>
        <w:numPr>
          <w:ilvl w:val="0"/>
          <w:numId w:val="0"/>
        </w:numPr>
        <w:bidi/>
        <w:spacing w:before="0" w:line="216" w:lineRule="auto"/>
        <w:jc w:val="center"/>
        <w:rPr>
          <w:rFonts w:cs="Simplified Arabic"/>
          <w:b/>
          <w:bCs/>
          <w:szCs w:val="24"/>
          <w:lang w:val="en-US"/>
        </w:rPr>
      </w:pPr>
      <w:r w:rsidRPr="00544322">
        <w:rPr>
          <w:rFonts w:cs="Simplified Arabic" w:hint="cs"/>
          <w:b/>
          <w:bCs/>
          <w:szCs w:val="24"/>
          <w:rtl/>
          <w:lang w:val="en-US"/>
        </w:rPr>
        <w:lastRenderedPageBreak/>
        <w:t>باء -</w:t>
      </w:r>
      <w:r w:rsidRPr="00544322">
        <w:rPr>
          <w:rFonts w:cs="Simplified Arabic" w:hint="cs"/>
          <w:b/>
          <w:bCs/>
          <w:szCs w:val="24"/>
          <w:rtl/>
          <w:lang w:val="en-US"/>
        </w:rPr>
        <w:tab/>
        <w:t>الحوار التفاعلي</w:t>
      </w:r>
    </w:p>
    <w:p w:rsidR="0028053A" w:rsidRPr="00544322" w:rsidRDefault="00BF41F0" w:rsidP="00FF7FA5">
      <w:pPr>
        <w:pStyle w:val="Para10"/>
        <w:numPr>
          <w:ilvl w:val="0"/>
          <w:numId w:val="10"/>
        </w:numPr>
        <w:bidi/>
        <w:spacing w:before="0" w:line="216" w:lineRule="auto"/>
        <w:ind w:left="0" w:firstLine="0"/>
        <w:rPr>
          <w:rFonts w:cs="Simplified Arabic"/>
          <w:szCs w:val="24"/>
          <w:lang w:val="en-US"/>
        </w:rPr>
      </w:pPr>
      <w:r>
        <w:rPr>
          <w:rFonts w:cs="Simplified Arabic" w:hint="cs"/>
          <w:szCs w:val="24"/>
          <w:rtl/>
          <w:lang w:val="en-US"/>
        </w:rPr>
        <w:t>ودعت الأمينة التنفيذية إلى طرح اسئلة من القاعة إلى أعضاء الفريق، وذلك بعد أن لخصت الرسائل الرئيسية من العروض.</w:t>
      </w:r>
    </w:p>
    <w:p w:rsidR="0028053A" w:rsidRPr="00544322" w:rsidRDefault="002C6442"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وقال السيد ثور</w:t>
      </w:r>
      <w:r w:rsidR="00BF41F0">
        <w:rPr>
          <w:rFonts w:cs="Simplified Arabic" w:hint="cs"/>
          <w:color w:val="222222"/>
          <w:szCs w:val="24"/>
          <w:rtl/>
        </w:rPr>
        <w:t>غ</w:t>
      </w:r>
      <w:r w:rsidRPr="00544322">
        <w:rPr>
          <w:rFonts w:cs="Simplified Arabic"/>
          <w:color w:val="222222"/>
          <w:szCs w:val="24"/>
          <w:rtl/>
        </w:rPr>
        <w:t>يسن، رداً على تعليق من ممثل مصر</w:t>
      </w:r>
      <w:r w:rsidR="008F476E" w:rsidRPr="00544322">
        <w:rPr>
          <w:rFonts w:cs="Simplified Arabic"/>
          <w:color w:val="222222"/>
          <w:szCs w:val="24"/>
          <w:rtl/>
        </w:rPr>
        <w:t>، إن العلاقة الإنسانية مع الط</w:t>
      </w:r>
      <w:r w:rsidRPr="00544322">
        <w:rPr>
          <w:rFonts w:cs="Simplified Arabic"/>
          <w:color w:val="222222"/>
          <w:szCs w:val="24"/>
          <w:rtl/>
        </w:rPr>
        <w:t>بيعة هي في الواقع بالغة الأهمية</w:t>
      </w:r>
      <w:r w:rsidR="008F476E" w:rsidRPr="00544322">
        <w:rPr>
          <w:rFonts w:cs="Simplified Arabic"/>
          <w:color w:val="222222"/>
          <w:szCs w:val="24"/>
          <w:rtl/>
        </w:rPr>
        <w:t>، ولكن يجب أن تكون بعيدة عن توجهها الحالي نحو اتجاه ذي نتائج أكثر استحساناً</w:t>
      </w:r>
      <w:r w:rsidR="008F476E" w:rsidRPr="00544322">
        <w:rPr>
          <w:rFonts w:cs="Simplified Arabic"/>
          <w:color w:val="222222"/>
          <w:szCs w:val="24"/>
        </w:rPr>
        <w:t>.</w:t>
      </w:r>
      <w:r w:rsidRPr="00544322">
        <w:rPr>
          <w:rFonts w:cs="Simplified Arabic" w:hint="cs"/>
          <w:color w:val="222222"/>
          <w:szCs w:val="24"/>
          <w:rtl/>
        </w:rPr>
        <w:t xml:space="preserve"> </w:t>
      </w:r>
      <w:r w:rsidR="008F476E" w:rsidRPr="00544322">
        <w:rPr>
          <w:rFonts w:cs="Simplified Arabic"/>
          <w:color w:val="222222"/>
          <w:szCs w:val="24"/>
          <w:rtl/>
        </w:rPr>
        <w:t xml:space="preserve">وردا على سؤال من أحد ممثلي سويسرا بشأن شكل </w:t>
      </w:r>
      <w:r w:rsidRPr="00544322">
        <w:rPr>
          <w:rFonts w:cs="Simplified Arabic"/>
          <w:color w:val="222222"/>
          <w:szCs w:val="24"/>
          <w:rtl/>
        </w:rPr>
        <w:t>العملية المؤدية إلى اتفاق باريس</w:t>
      </w:r>
      <w:r w:rsidR="008F476E" w:rsidRPr="00544322">
        <w:rPr>
          <w:rFonts w:cs="Simplified Arabic"/>
          <w:color w:val="222222"/>
          <w:szCs w:val="24"/>
          <w:rtl/>
        </w:rPr>
        <w:t xml:space="preserve">، قال إن الشراكة التي أُنشئت في عام 2014 بين الرئاسات المنصرفة والرئيسية القادمة لمؤتمر الأطراف في اتفاقية الأمم المتحدة الإطارية بشأن المناخ </w:t>
      </w:r>
      <w:r w:rsidRPr="00544322">
        <w:rPr>
          <w:rFonts w:cs="Simplified Arabic"/>
          <w:color w:val="222222"/>
          <w:szCs w:val="24"/>
        </w:rPr>
        <w:t xml:space="preserve">(UNFCCC) </w:t>
      </w:r>
      <w:r w:rsidRPr="00544322">
        <w:rPr>
          <w:rFonts w:cs="Simplified Arabic" w:hint="cs"/>
          <w:color w:val="222222"/>
          <w:szCs w:val="24"/>
          <w:rtl/>
        </w:rPr>
        <w:t>،</w:t>
      </w:r>
      <w:r w:rsidR="008F476E" w:rsidRPr="00544322">
        <w:rPr>
          <w:rFonts w:cs="Simplified Arabic"/>
          <w:color w:val="222222"/>
          <w:szCs w:val="24"/>
          <w:rtl/>
        </w:rPr>
        <w:t xml:space="preserve"> وفريق دعم تغير المناخ ال</w:t>
      </w:r>
      <w:r w:rsidR="00BE1A76" w:rsidRPr="00544322">
        <w:rPr>
          <w:rFonts w:cs="Simplified Arabic"/>
          <w:color w:val="222222"/>
          <w:szCs w:val="24"/>
          <w:rtl/>
        </w:rPr>
        <w:t>تابع للأمين العام للأمم المتحدة</w:t>
      </w:r>
      <w:r w:rsidR="008F476E" w:rsidRPr="00544322">
        <w:rPr>
          <w:rFonts w:cs="Simplified Arabic"/>
          <w:color w:val="222222"/>
          <w:szCs w:val="24"/>
          <w:rtl/>
        </w:rPr>
        <w:t>، وأمانة اتفاقية الأمم ال</w:t>
      </w:r>
      <w:r w:rsidR="00BE1A76" w:rsidRPr="00544322">
        <w:rPr>
          <w:rFonts w:cs="Simplified Arabic"/>
          <w:color w:val="222222"/>
          <w:szCs w:val="24"/>
          <w:rtl/>
        </w:rPr>
        <w:t>متحدة الإطارية بشأن تغير المناخ</w:t>
      </w:r>
      <w:r w:rsidR="008F476E" w:rsidRPr="00544322">
        <w:rPr>
          <w:rFonts w:cs="Simplified Arabic"/>
          <w:color w:val="222222"/>
          <w:szCs w:val="24"/>
          <w:rtl/>
        </w:rPr>
        <w:t>، بهدف ال</w:t>
      </w:r>
      <w:r w:rsidR="00BE1A76" w:rsidRPr="00544322">
        <w:rPr>
          <w:rFonts w:cs="Simplified Arabic"/>
          <w:color w:val="222222"/>
          <w:szCs w:val="24"/>
          <w:rtl/>
        </w:rPr>
        <w:t>مضي قدما في خطة عمل ليما</w:t>
      </w:r>
      <w:r w:rsidR="00B8181E">
        <w:rPr>
          <w:rFonts w:cs="Simplified Arabic" w:hint="cs"/>
          <w:color w:val="222222"/>
          <w:szCs w:val="24"/>
          <w:rtl/>
        </w:rPr>
        <w:t>-</w:t>
      </w:r>
      <w:r w:rsidR="00B8181E">
        <w:rPr>
          <w:rFonts w:cs="Simplified Arabic"/>
          <w:color w:val="222222"/>
          <w:szCs w:val="24"/>
          <w:rtl/>
        </w:rPr>
        <w:t xml:space="preserve"> </w:t>
      </w:r>
      <w:r w:rsidR="00BE1A76" w:rsidRPr="00544322">
        <w:rPr>
          <w:rFonts w:cs="Simplified Arabic"/>
          <w:color w:val="222222"/>
          <w:szCs w:val="24"/>
          <w:rtl/>
        </w:rPr>
        <w:t>باريس</w:t>
      </w:r>
      <w:r w:rsidR="008F476E" w:rsidRPr="00544322">
        <w:rPr>
          <w:rFonts w:cs="Simplified Arabic"/>
          <w:color w:val="222222"/>
          <w:szCs w:val="24"/>
          <w:rtl/>
        </w:rPr>
        <w:t>، غير رسمي بحت</w:t>
      </w:r>
      <w:r w:rsidR="00BE1A76"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وقد تم تنظيم أيام مواضيعية في باريس خلال مؤتم</w:t>
      </w:r>
      <w:r w:rsidR="00BE1A76" w:rsidRPr="00544322">
        <w:rPr>
          <w:rFonts w:cs="Simplified Arabic"/>
          <w:color w:val="222222"/>
          <w:szCs w:val="24"/>
          <w:rtl/>
        </w:rPr>
        <w:t>ر الأطراف في الاتفاقية الإطارية</w:t>
      </w:r>
      <w:r w:rsidR="008F476E" w:rsidRPr="00544322">
        <w:rPr>
          <w:rFonts w:cs="Simplified Arabic"/>
          <w:color w:val="222222"/>
          <w:szCs w:val="24"/>
          <w:rtl/>
        </w:rPr>
        <w:t>، وكان الهدف الرئيسي منها هو إتاحة الفرصة لتقديم تقارير مرحلية أو الإعلان عن مبادرات جديدة</w:t>
      </w:r>
      <w:r w:rsidR="00B8181E">
        <w:rPr>
          <w:rFonts w:cs="Simplified Arabic" w:hint="cs"/>
          <w:color w:val="222222"/>
          <w:szCs w:val="24"/>
          <w:rtl/>
        </w:rPr>
        <w:t xml:space="preserve">. </w:t>
      </w:r>
      <w:r w:rsidR="008F476E" w:rsidRPr="00544322">
        <w:rPr>
          <w:rFonts w:cs="Simplified Arabic"/>
          <w:color w:val="222222"/>
          <w:szCs w:val="24"/>
          <w:rtl/>
        </w:rPr>
        <w:t>وقد رحب</w:t>
      </w:r>
      <w:r w:rsidR="00BE1A76" w:rsidRPr="00544322">
        <w:rPr>
          <w:rFonts w:cs="Simplified Arabic"/>
          <w:color w:val="222222"/>
          <w:szCs w:val="24"/>
          <w:rtl/>
        </w:rPr>
        <w:t>ت الأطراف بهذا النهج غير الرسمي</w:t>
      </w:r>
      <w:r w:rsidR="008F476E" w:rsidRPr="00544322">
        <w:rPr>
          <w:rFonts w:cs="Simplified Arabic"/>
          <w:color w:val="222222"/>
          <w:szCs w:val="24"/>
          <w:rtl/>
        </w:rPr>
        <w:t>، مما أدى إلى أنه تم إنشاؤه كوسيلة لتيسير العمل الدينامي وجهود تعاونية لتحقيق الأهداف المحددة</w:t>
      </w:r>
      <w:r w:rsidR="00BE1A76" w:rsidRPr="00544322">
        <w:rPr>
          <w:rFonts w:cs="Simplified Arabic" w:hint="cs"/>
          <w:color w:val="222222"/>
          <w:szCs w:val="24"/>
          <w:rtl/>
        </w:rPr>
        <w:t xml:space="preserve">. </w:t>
      </w:r>
      <w:r w:rsidR="00BE1A76" w:rsidRPr="00544322">
        <w:rPr>
          <w:rFonts w:cs="Simplified Arabic"/>
          <w:color w:val="222222"/>
          <w:szCs w:val="24"/>
          <w:rtl/>
        </w:rPr>
        <w:t>ومن ناحية أخرى</w:t>
      </w:r>
      <w:r w:rsidR="008F476E" w:rsidRPr="00544322">
        <w:rPr>
          <w:rFonts w:cs="Simplified Arabic"/>
          <w:color w:val="222222"/>
          <w:szCs w:val="24"/>
          <w:rtl/>
        </w:rPr>
        <w:t xml:space="preserve">، </w:t>
      </w:r>
      <w:r w:rsidR="00BE1A76" w:rsidRPr="00544322">
        <w:rPr>
          <w:rFonts w:cs="Simplified Arabic"/>
          <w:color w:val="222222"/>
          <w:szCs w:val="24"/>
          <w:rtl/>
        </w:rPr>
        <w:t>فقد زاد من احتياجات قدرة الموقع</w:t>
      </w:r>
      <w:r w:rsidR="008F476E" w:rsidRPr="00544322">
        <w:rPr>
          <w:rFonts w:cs="Simplified Arabic"/>
          <w:color w:val="222222"/>
          <w:szCs w:val="24"/>
          <w:rtl/>
        </w:rPr>
        <w:t>، الأمر الذي كان له آثاره على الدول التي تستضيف مؤتمرات الأطراف</w:t>
      </w:r>
      <w:r w:rsidR="00BE1A76"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 xml:space="preserve">كما كان من المفيد أيضاً أن الرؤساء المتعاقبة القادمة والمنتهية </w:t>
      </w:r>
      <w:r w:rsidR="009C2877">
        <w:rPr>
          <w:rFonts w:cs="Simplified Arabic" w:hint="cs"/>
          <w:color w:val="222222"/>
          <w:szCs w:val="24"/>
          <w:rtl/>
        </w:rPr>
        <w:t xml:space="preserve">ولايتهم </w:t>
      </w:r>
      <w:r w:rsidR="008F476E" w:rsidRPr="00544322">
        <w:rPr>
          <w:rFonts w:cs="Simplified Arabic"/>
          <w:color w:val="222222"/>
          <w:szCs w:val="24"/>
          <w:rtl/>
        </w:rPr>
        <w:t xml:space="preserve">قد عينت كل واحدة منها بطلاً </w:t>
      </w:r>
      <w:r w:rsidR="009C2877">
        <w:rPr>
          <w:rFonts w:cs="Simplified Arabic" w:hint="cs"/>
          <w:color w:val="222222"/>
          <w:szCs w:val="24"/>
          <w:rtl/>
        </w:rPr>
        <w:t>رفيع المستوى</w:t>
      </w:r>
      <w:r w:rsidR="008F476E" w:rsidRPr="00544322">
        <w:rPr>
          <w:rFonts w:cs="Simplified Arabic"/>
          <w:color w:val="222222"/>
          <w:szCs w:val="24"/>
          <w:rtl/>
        </w:rPr>
        <w:t xml:space="preserve"> </w:t>
      </w:r>
      <w:r w:rsidR="009C2877">
        <w:rPr>
          <w:rFonts w:cs="Simplified Arabic" w:hint="cs"/>
          <w:color w:val="222222"/>
          <w:szCs w:val="24"/>
          <w:rtl/>
        </w:rPr>
        <w:t>ل</w:t>
      </w:r>
      <w:r w:rsidR="008F476E" w:rsidRPr="00544322">
        <w:rPr>
          <w:rFonts w:cs="Simplified Arabic"/>
          <w:color w:val="222222"/>
          <w:szCs w:val="24"/>
          <w:rtl/>
        </w:rPr>
        <w:t>لمناخ للمساعدة في دفع عجلة العمل إلى الأمام</w:t>
      </w:r>
      <w:r w:rsidR="00BE1A76" w:rsidRPr="00544322">
        <w:rPr>
          <w:rFonts w:cs="Simplified Arabic" w:hint="cs"/>
          <w:color w:val="222222"/>
          <w:szCs w:val="24"/>
          <w:rtl/>
        </w:rPr>
        <w:t>.</w:t>
      </w:r>
      <w:r w:rsidR="008F476E" w:rsidRPr="00544322">
        <w:rPr>
          <w:rFonts w:cs="Simplified Arabic"/>
          <w:color w:val="222222"/>
          <w:szCs w:val="24"/>
        </w:rPr>
        <w:t xml:space="preserve"> </w:t>
      </w:r>
      <w:r w:rsidR="008F476E" w:rsidRPr="00544322">
        <w:rPr>
          <w:rFonts w:cs="Simplified Arabic"/>
          <w:color w:val="222222"/>
          <w:szCs w:val="24"/>
          <w:rtl/>
        </w:rPr>
        <w:t xml:space="preserve">وكان هناك تدبير آخر جدير بالاهتمام هو إنشاء </w:t>
      </w:r>
      <w:r w:rsidR="009C2877" w:rsidRPr="00544322">
        <w:rPr>
          <w:rFonts w:cs="Simplified Arabic"/>
          <w:color w:val="222222"/>
          <w:szCs w:val="24"/>
          <w:rtl/>
        </w:rPr>
        <w:t xml:space="preserve">شراكات البيانات </w:t>
      </w:r>
      <w:r w:rsidR="009C2877">
        <w:rPr>
          <w:rFonts w:ascii="Simplified Arabic" w:hAnsi="Simplified Arabic" w:cs="Simplified Arabic" w:hint="cs"/>
          <w:color w:val="333333"/>
          <w:sz w:val="24"/>
          <w:szCs w:val="24"/>
          <w:rtl/>
        </w:rPr>
        <w:t>ل</w:t>
      </w:r>
      <w:r w:rsidR="009C2877" w:rsidRPr="009C2877">
        <w:rPr>
          <w:rFonts w:ascii="Simplified Arabic" w:hAnsi="Simplified Arabic" w:cs="Simplified Arabic"/>
          <w:color w:val="333333"/>
          <w:sz w:val="24"/>
          <w:szCs w:val="24"/>
          <w:rtl/>
        </w:rPr>
        <w:t>بوابة الجهات الفاعلة من غير الدول الخاصة بالعمل المتعلق بالمناخ</w:t>
      </w:r>
      <w:r w:rsidR="009C2877">
        <w:rPr>
          <w:rFonts w:ascii="Helvetica" w:hAnsi="Helvetica"/>
          <w:color w:val="333333"/>
          <w:sz w:val="11"/>
          <w:szCs w:val="11"/>
          <w:rtl/>
        </w:rPr>
        <w:t xml:space="preserve"> </w:t>
      </w:r>
      <w:r w:rsidR="008F476E" w:rsidRPr="00544322">
        <w:rPr>
          <w:rFonts w:cs="Simplified Arabic"/>
          <w:color w:val="222222"/>
          <w:szCs w:val="24"/>
        </w:rPr>
        <w:t xml:space="preserve">(NAZCA) </w:t>
      </w:r>
      <w:r w:rsidR="008F476E" w:rsidRPr="00544322">
        <w:rPr>
          <w:rFonts w:cs="Simplified Arabic"/>
          <w:color w:val="222222"/>
          <w:szCs w:val="24"/>
          <w:rtl/>
        </w:rPr>
        <w:t>، التي تستضيفها أمانة اتفاقية الأمم ال</w:t>
      </w:r>
      <w:r w:rsidR="00BE1A76" w:rsidRPr="00544322">
        <w:rPr>
          <w:rFonts w:cs="Simplified Arabic"/>
          <w:color w:val="222222"/>
          <w:szCs w:val="24"/>
          <w:rtl/>
        </w:rPr>
        <w:t>متحدة الإطارية بشأن تغير المناخ</w:t>
      </w:r>
      <w:r w:rsidR="008F476E" w:rsidRPr="00544322">
        <w:rPr>
          <w:rFonts w:cs="Simplified Arabic"/>
          <w:color w:val="222222"/>
          <w:szCs w:val="24"/>
          <w:rtl/>
        </w:rPr>
        <w:t>، والتي تعرض مجموعة متنوعة من الإجراءات التي يتم اتخاذها على الصعيد العالمي للتصدي لتغير المناخ</w:t>
      </w:r>
      <w:r w:rsidR="009C2877">
        <w:rPr>
          <w:rFonts w:cs="Simplified Arabic" w:hint="cs"/>
          <w:color w:val="222222"/>
          <w:szCs w:val="24"/>
          <w:rtl/>
        </w:rPr>
        <w:t>. و</w:t>
      </w:r>
      <w:r w:rsidR="00BE1A76" w:rsidRPr="00544322">
        <w:rPr>
          <w:rFonts w:cs="Simplified Arabic"/>
          <w:color w:val="222222"/>
          <w:szCs w:val="24"/>
          <w:rtl/>
        </w:rPr>
        <w:t>باختصار</w:t>
      </w:r>
      <w:r w:rsidR="008F476E" w:rsidRPr="00544322">
        <w:rPr>
          <w:rFonts w:cs="Simplified Arabic"/>
          <w:color w:val="222222"/>
          <w:szCs w:val="24"/>
          <w:rtl/>
        </w:rPr>
        <w:t>، لم يتم التفاوض على ا</w:t>
      </w:r>
      <w:r w:rsidR="00BE1A76" w:rsidRPr="00544322">
        <w:rPr>
          <w:rFonts w:cs="Simplified Arabic"/>
          <w:color w:val="222222"/>
          <w:szCs w:val="24"/>
          <w:rtl/>
        </w:rPr>
        <w:t>لمبادرات المذكورة على هذا النحو</w:t>
      </w:r>
      <w:r w:rsidR="008F476E" w:rsidRPr="00544322">
        <w:rPr>
          <w:rFonts w:cs="Simplified Arabic"/>
          <w:color w:val="222222"/>
          <w:szCs w:val="24"/>
          <w:rtl/>
        </w:rPr>
        <w:t>، ولكن كان الدافع وراء ذلك هو إدراك أن الجهود الجم</w:t>
      </w:r>
      <w:r w:rsidR="00B8181E">
        <w:rPr>
          <w:rFonts w:cs="Simplified Arabic"/>
          <w:color w:val="222222"/>
          <w:szCs w:val="24"/>
          <w:rtl/>
        </w:rPr>
        <w:t>اعية ضرورية لتحقيق أهداف اتفاق</w:t>
      </w:r>
      <w:r w:rsidR="008F476E" w:rsidRPr="00544322">
        <w:rPr>
          <w:rFonts w:cs="Simplified Arabic"/>
          <w:color w:val="222222"/>
          <w:szCs w:val="24"/>
          <w:rtl/>
        </w:rPr>
        <w:t xml:space="preserve"> باريس</w:t>
      </w:r>
      <w:r w:rsidR="008F476E" w:rsidRPr="00544322">
        <w:rPr>
          <w:rFonts w:cs="Simplified Arabic"/>
          <w:color w:val="222222"/>
          <w:szCs w:val="24"/>
        </w:rPr>
        <w:t>.</w:t>
      </w:r>
    </w:p>
    <w:p w:rsidR="0028053A" w:rsidRPr="00544322" w:rsidRDefault="008F476E"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وردا على سؤال طرحه ممثل ليب</w:t>
      </w:r>
      <w:r w:rsidR="009C2877">
        <w:rPr>
          <w:rFonts w:cs="Simplified Arabic" w:hint="cs"/>
          <w:color w:val="222222"/>
          <w:szCs w:val="24"/>
          <w:rtl/>
        </w:rPr>
        <w:t>ي</w:t>
      </w:r>
      <w:r w:rsidRPr="00544322">
        <w:rPr>
          <w:rFonts w:cs="Simplified Arabic"/>
          <w:color w:val="222222"/>
          <w:szCs w:val="24"/>
          <w:rtl/>
        </w:rPr>
        <w:t>ريا بشأن تقويض أثر ال</w:t>
      </w:r>
      <w:r w:rsidR="00BE1A76" w:rsidRPr="00544322">
        <w:rPr>
          <w:rFonts w:cs="Simplified Arabic"/>
          <w:color w:val="222222"/>
          <w:szCs w:val="24"/>
          <w:rtl/>
        </w:rPr>
        <w:t>قرارات السياسية على اتفاق باريس</w:t>
      </w:r>
      <w:r w:rsidRPr="00544322">
        <w:rPr>
          <w:rFonts w:cs="Simplified Arabic"/>
          <w:color w:val="222222"/>
          <w:szCs w:val="24"/>
          <w:rtl/>
        </w:rPr>
        <w:t>، قال إن إعلان أحد الأطراف أنه يعتزم الانسحاب من الاتفاق لم يؤثر بأي حال من الأحوا</w:t>
      </w:r>
      <w:r w:rsidR="009C2877">
        <w:rPr>
          <w:rFonts w:cs="Simplified Arabic"/>
          <w:color w:val="222222"/>
          <w:szCs w:val="24"/>
          <w:rtl/>
        </w:rPr>
        <w:t xml:space="preserve">ل على سرعة التصديق على </w:t>
      </w:r>
      <w:r w:rsidRPr="00544322">
        <w:rPr>
          <w:rFonts w:cs="Simplified Arabic"/>
          <w:color w:val="222222"/>
          <w:szCs w:val="24"/>
          <w:rtl/>
        </w:rPr>
        <w:t>أداة دخلت حيز النف</w:t>
      </w:r>
      <w:r w:rsidR="009C2877">
        <w:rPr>
          <w:rFonts w:cs="Simplified Arabic" w:hint="cs"/>
          <w:color w:val="222222"/>
          <w:szCs w:val="24"/>
          <w:rtl/>
        </w:rPr>
        <w:t>ا</w:t>
      </w:r>
      <w:r w:rsidRPr="00544322">
        <w:rPr>
          <w:rFonts w:cs="Simplified Arabic"/>
          <w:color w:val="222222"/>
          <w:szCs w:val="24"/>
          <w:rtl/>
        </w:rPr>
        <w:t>ذ في وقت قياسي</w:t>
      </w:r>
      <w:r w:rsidR="00BE1A76" w:rsidRPr="00544322">
        <w:rPr>
          <w:rFonts w:cs="Simplified Arabic" w:hint="cs"/>
          <w:color w:val="222222"/>
          <w:szCs w:val="24"/>
          <w:rtl/>
        </w:rPr>
        <w:t>.</w:t>
      </w:r>
      <w:r w:rsidRPr="00544322">
        <w:rPr>
          <w:rFonts w:cs="Simplified Arabic"/>
          <w:color w:val="222222"/>
          <w:szCs w:val="24"/>
        </w:rPr>
        <w:t xml:space="preserve"> </w:t>
      </w:r>
      <w:r w:rsidR="00BE1A76" w:rsidRPr="00544322">
        <w:rPr>
          <w:rFonts w:cs="Simplified Arabic"/>
          <w:color w:val="222222"/>
          <w:szCs w:val="24"/>
          <w:rtl/>
        </w:rPr>
        <w:t>وبالفعل</w:t>
      </w:r>
      <w:r w:rsidRPr="00544322">
        <w:rPr>
          <w:rFonts w:cs="Simplified Arabic"/>
          <w:color w:val="222222"/>
          <w:szCs w:val="24"/>
          <w:rtl/>
        </w:rPr>
        <w:t xml:space="preserve">، </w:t>
      </w:r>
      <w:r w:rsidR="009C2877">
        <w:rPr>
          <w:rFonts w:cs="Simplified Arabic" w:hint="cs"/>
          <w:color w:val="222222"/>
          <w:szCs w:val="24"/>
          <w:rtl/>
        </w:rPr>
        <w:t>و</w:t>
      </w:r>
      <w:r w:rsidRPr="00544322">
        <w:rPr>
          <w:rFonts w:cs="Simplified Arabic"/>
          <w:color w:val="222222"/>
          <w:szCs w:val="24"/>
          <w:rtl/>
        </w:rPr>
        <w:t>تماشيا مع الفهم ال</w:t>
      </w:r>
      <w:r w:rsidR="00BE1A76" w:rsidRPr="00544322">
        <w:rPr>
          <w:rFonts w:cs="Simplified Arabic"/>
          <w:color w:val="222222"/>
          <w:szCs w:val="24"/>
          <w:rtl/>
        </w:rPr>
        <w:t>متزايد للحاجة إلى العمل المناخي</w:t>
      </w:r>
      <w:r w:rsidRPr="00544322">
        <w:rPr>
          <w:rFonts w:cs="Simplified Arabic"/>
          <w:color w:val="222222"/>
          <w:szCs w:val="24"/>
          <w:rtl/>
        </w:rPr>
        <w:t>، تكثف الدعم السياسي الدولي للاتفاق ولم يزل بعد غير منقوص</w:t>
      </w:r>
      <w:r w:rsidR="00BE1A76" w:rsidRPr="00544322">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 xml:space="preserve">ومن المرجح أن تكون أي صعوبات سياسية مرتبطة بالاتفاق مرتبطة </w:t>
      </w:r>
      <w:r w:rsidR="009C2877">
        <w:rPr>
          <w:rFonts w:cs="Simplified Arabic" w:hint="cs"/>
          <w:color w:val="222222"/>
          <w:szCs w:val="24"/>
          <w:rtl/>
        </w:rPr>
        <w:t xml:space="preserve">بالتالي </w:t>
      </w:r>
      <w:r w:rsidRPr="00544322">
        <w:rPr>
          <w:rFonts w:cs="Simplified Arabic"/>
          <w:color w:val="222222"/>
          <w:szCs w:val="24"/>
          <w:rtl/>
        </w:rPr>
        <w:t xml:space="preserve">بالخيارات الوطنية التي يتعين اتخاذها فيما </w:t>
      </w:r>
      <w:r w:rsidR="00BE1A76" w:rsidRPr="00544322">
        <w:rPr>
          <w:rFonts w:cs="Simplified Arabic"/>
          <w:color w:val="222222"/>
          <w:szCs w:val="24"/>
          <w:rtl/>
        </w:rPr>
        <w:t>يتعلق بمسائل مثل البنية التحتية، وإزالة الكربون</w:t>
      </w:r>
      <w:r w:rsidRPr="00544322">
        <w:rPr>
          <w:rFonts w:cs="Simplified Arabic"/>
          <w:color w:val="222222"/>
          <w:szCs w:val="24"/>
          <w:rtl/>
        </w:rPr>
        <w:t>، واستخدام الأراضي</w:t>
      </w:r>
      <w:r w:rsidR="009C2877">
        <w:rPr>
          <w:rFonts w:cs="Simplified Arabic" w:hint="cs"/>
          <w:color w:val="222222"/>
          <w:szCs w:val="24"/>
          <w:rtl/>
        </w:rPr>
        <w:t>.</w:t>
      </w:r>
    </w:p>
    <w:p w:rsidR="0028053A" w:rsidRPr="00544322" w:rsidRDefault="002C6442"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 xml:space="preserve">ورداً على سؤال من ممثل كندا بشأن الدروس المستفادة من النتائج المستقاة من تجربة اتفاقية الأمم المتحدة الإطارية بشأن تغير المناخ من أجل إجراء وهيكلة عملية شفافة وشاملة </w:t>
      </w:r>
      <w:r w:rsidR="009C2877">
        <w:rPr>
          <w:rFonts w:cs="Simplified Arabic" w:hint="cs"/>
          <w:color w:val="222222"/>
          <w:szCs w:val="24"/>
          <w:rtl/>
        </w:rPr>
        <w:t>وبقيادة الأطراف</w:t>
      </w:r>
      <w:r w:rsidRPr="00544322">
        <w:rPr>
          <w:rFonts w:cs="Simplified Arabic"/>
          <w:color w:val="222222"/>
          <w:szCs w:val="24"/>
          <w:rtl/>
        </w:rPr>
        <w:t xml:space="preserve"> من أجل وضع إطار عالم</w:t>
      </w:r>
      <w:r w:rsidR="00BE1A76" w:rsidRPr="00544322">
        <w:rPr>
          <w:rFonts w:cs="Simplified Arabic"/>
          <w:color w:val="222222"/>
          <w:szCs w:val="24"/>
          <w:rtl/>
        </w:rPr>
        <w:t xml:space="preserve">ي للتنوع البيولوجي </w:t>
      </w:r>
      <w:r w:rsidR="009C2877">
        <w:rPr>
          <w:rFonts w:cs="Simplified Arabic" w:hint="cs"/>
          <w:color w:val="222222"/>
          <w:szCs w:val="24"/>
          <w:rtl/>
        </w:rPr>
        <w:t xml:space="preserve">لما </w:t>
      </w:r>
      <w:r w:rsidR="00BE1A76" w:rsidRPr="00544322">
        <w:rPr>
          <w:rFonts w:cs="Simplified Arabic"/>
          <w:color w:val="222222"/>
          <w:szCs w:val="24"/>
          <w:rtl/>
        </w:rPr>
        <w:t>بعد عام 2020</w:t>
      </w:r>
      <w:r w:rsidRPr="00544322">
        <w:rPr>
          <w:rFonts w:cs="Simplified Arabic"/>
          <w:color w:val="222222"/>
          <w:szCs w:val="24"/>
          <w:rtl/>
        </w:rPr>
        <w:t>، قال إن مفاوضات اتفاق باريس كانت</w:t>
      </w:r>
      <w:r w:rsidR="00BE1A76" w:rsidRPr="00544322">
        <w:rPr>
          <w:rFonts w:cs="Simplified Arabic"/>
          <w:color w:val="222222"/>
          <w:szCs w:val="24"/>
          <w:rtl/>
        </w:rPr>
        <w:t xml:space="preserve"> مدفوعة بالكامل من جانب الأطراف</w:t>
      </w:r>
      <w:r w:rsidRPr="00544322">
        <w:rPr>
          <w:rFonts w:cs="Simplified Arabic"/>
          <w:color w:val="222222"/>
          <w:szCs w:val="24"/>
          <w:rtl/>
        </w:rPr>
        <w:t>، وفقاً لاتفاق تم التوصل إليه في الدورة السابعة عشرة لمؤتمر الأطراف، وأنها أجريت في هيئة فرعية مخصصة أنشأها المؤتمر برئاسة بلد نام</w:t>
      </w:r>
      <w:r w:rsidR="00C816C4">
        <w:rPr>
          <w:rFonts w:cs="Simplified Arabic" w:hint="cs"/>
          <w:color w:val="222222"/>
          <w:szCs w:val="24"/>
          <w:rtl/>
        </w:rPr>
        <w:t xml:space="preserve"> واحد</w:t>
      </w:r>
      <w:r w:rsidR="00C816C4">
        <w:rPr>
          <w:rFonts w:cs="Simplified Arabic"/>
          <w:color w:val="222222"/>
          <w:szCs w:val="24"/>
          <w:rtl/>
        </w:rPr>
        <w:t xml:space="preserve"> </w:t>
      </w:r>
      <w:r w:rsidR="00C816C4">
        <w:rPr>
          <w:rFonts w:cs="Simplified Arabic" w:hint="cs"/>
          <w:color w:val="222222"/>
          <w:szCs w:val="24"/>
          <w:rtl/>
        </w:rPr>
        <w:t xml:space="preserve">وبلد متقدم </w:t>
      </w:r>
      <w:r w:rsidRPr="00544322">
        <w:rPr>
          <w:rFonts w:cs="Simplified Arabic"/>
          <w:color w:val="222222"/>
          <w:szCs w:val="24"/>
          <w:rtl/>
        </w:rPr>
        <w:t>واحد</w:t>
      </w:r>
      <w:r w:rsidRPr="00544322">
        <w:rPr>
          <w:rFonts w:cs="Simplified Arabic"/>
          <w:color w:val="222222"/>
          <w:szCs w:val="24"/>
        </w:rPr>
        <w:t>.</w:t>
      </w:r>
      <w:r w:rsidR="00BE1A76" w:rsidRPr="00544322">
        <w:rPr>
          <w:rFonts w:cs="Simplified Arabic" w:hint="cs"/>
          <w:color w:val="222222"/>
          <w:szCs w:val="24"/>
          <w:rtl/>
        </w:rPr>
        <w:t xml:space="preserve"> </w:t>
      </w:r>
      <w:r w:rsidR="00C816C4">
        <w:rPr>
          <w:rFonts w:cs="Simplified Arabic" w:hint="cs"/>
          <w:color w:val="222222"/>
          <w:szCs w:val="24"/>
          <w:rtl/>
        </w:rPr>
        <w:t>و</w:t>
      </w:r>
      <w:r w:rsidRPr="00544322">
        <w:rPr>
          <w:rFonts w:cs="Simplified Arabic"/>
          <w:color w:val="222222"/>
          <w:szCs w:val="24"/>
          <w:rtl/>
        </w:rPr>
        <w:t>كان من المهم الإشارة إل</w:t>
      </w:r>
      <w:r w:rsidR="00BE1A76" w:rsidRPr="00544322">
        <w:rPr>
          <w:rFonts w:cs="Simplified Arabic"/>
          <w:color w:val="222222"/>
          <w:szCs w:val="24"/>
          <w:rtl/>
        </w:rPr>
        <w:t>ى أن مؤتمر الأطراف يجتمع سنوياً</w:t>
      </w:r>
      <w:r w:rsidRPr="00544322">
        <w:rPr>
          <w:rFonts w:cs="Simplified Arabic"/>
          <w:color w:val="222222"/>
          <w:szCs w:val="24"/>
          <w:rtl/>
        </w:rPr>
        <w:t>، مع وزراء الحكومة الذين يقدمون التوجيه السياسي ويقومون أحياناً بدور نشط في المفاوضات</w:t>
      </w:r>
      <w:r w:rsidR="00C816C4">
        <w:rPr>
          <w:rFonts w:cs="Simplified Arabic" w:hint="cs"/>
          <w:color w:val="222222"/>
          <w:szCs w:val="24"/>
          <w:rtl/>
        </w:rPr>
        <w:t>.</w:t>
      </w:r>
      <w:r w:rsidRPr="00544322">
        <w:rPr>
          <w:rFonts w:cs="Simplified Arabic"/>
          <w:color w:val="222222"/>
          <w:szCs w:val="24"/>
        </w:rPr>
        <w:t xml:space="preserve"> </w:t>
      </w:r>
      <w:r w:rsidR="00BE1A76" w:rsidRPr="00544322">
        <w:rPr>
          <w:rFonts w:cs="Simplified Arabic"/>
          <w:color w:val="222222"/>
          <w:szCs w:val="24"/>
          <w:rtl/>
        </w:rPr>
        <w:t>وفي الوقت نفسه</w:t>
      </w:r>
      <w:r w:rsidRPr="00544322">
        <w:rPr>
          <w:rFonts w:cs="Simplified Arabic"/>
          <w:color w:val="222222"/>
          <w:szCs w:val="24"/>
          <w:rtl/>
        </w:rPr>
        <w:t>، أتيحت للوزراء أيضا فرص للتحاور فيما بينهم في اجتماعات غير رسمية على مدار العام تستضيفها الرئاسات المتعاقبة والحكومات الداعمة</w:t>
      </w:r>
      <w:r w:rsidR="00C816C4">
        <w:rPr>
          <w:rFonts w:cs="Simplified Arabic" w:hint="cs"/>
          <w:color w:val="222222"/>
          <w:szCs w:val="24"/>
          <w:rtl/>
        </w:rPr>
        <w:t xml:space="preserve">. </w:t>
      </w:r>
      <w:r w:rsidRPr="00544322">
        <w:rPr>
          <w:rFonts w:cs="Simplified Arabic"/>
          <w:color w:val="222222"/>
          <w:szCs w:val="24"/>
          <w:rtl/>
        </w:rPr>
        <w:t>وقد تركزت التبادلات المبكرة</w:t>
      </w:r>
      <w:r w:rsidR="00BE1A76" w:rsidRPr="00544322">
        <w:rPr>
          <w:rFonts w:cs="Simplified Arabic"/>
          <w:color w:val="222222"/>
          <w:szCs w:val="24"/>
          <w:rtl/>
        </w:rPr>
        <w:t xml:space="preserve"> على الطبيعة المفاهيمية للعملية</w:t>
      </w:r>
      <w:r w:rsidRPr="00544322">
        <w:rPr>
          <w:rFonts w:cs="Simplified Arabic"/>
          <w:color w:val="222222"/>
          <w:szCs w:val="24"/>
          <w:rtl/>
        </w:rPr>
        <w:t>، بما في ذلك الحا</w:t>
      </w:r>
      <w:r w:rsidR="00BE1A76" w:rsidRPr="00544322">
        <w:rPr>
          <w:rFonts w:cs="Simplified Arabic"/>
          <w:color w:val="222222"/>
          <w:szCs w:val="24"/>
          <w:rtl/>
        </w:rPr>
        <w:t xml:space="preserve">جة إلى جملة أمور من بينها </w:t>
      </w:r>
      <w:r w:rsidR="00C816C4">
        <w:rPr>
          <w:rFonts w:cs="Simplified Arabic" w:hint="cs"/>
          <w:color w:val="222222"/>
          <w:szCs w:val="24"/>
          <w:rtl/>
        </w:rPr>
        <w:t>التقييم</w:t>
      </w:r>
      <w:r w:rsidR="00C816C4">
        <w:rPr>
          <w:rFonts w:cs="Simplified Arabic"/>
          <w:color w:val="222222"/>
          <w:szCs w:val="24"/>
          <w:rtl/>
        </w:rPr>
        <w:t xml:space="preserve">، ودورة </w:t>
      </w:r>
      <w:r w:rsidR="00BE1A76" w:rsidRPr="00544322">
        <w:rPr>
          <w:rFonts w:cs="Simplified Arabic"/>
          <w:color w:val="222222"/>
          <w:szCs w:val="24"/>
          <w:rtl/>
        </w:rPr>
        <w:t>طموح</w:t>
      </w:r>
      <w:r w:rsidR="00C816C4">
        <w:rPr>
          <w:rFonts w:cs="Simplified Arabic" w:hint="cs"/>
          <w:color w:val="222222"/>
          <w:szCs w:val="24"/>
          <w:rtl/>
        </w:rPr>
        <w:t>ة</w:t>
      </w:r>
      <w:r w:rsidRPr="00544322">
        <w:rPr>
          <w:rFonts w:cs="Simplified Arabic"/>
          <w:color w:val="222222"/>
          <w:szCs w:val="24"/>
          <w:rtl/>
        </w:rPr>
        <w:t>، وإطار شفاف للقياس والتسجيل والتحقق</w:t>
      </w:r>
      <w:r w:rsidR="00BE1A76" w:rsidRPr="00544322">
        <w:rPr>
          <w:rFonts w:cs="Simplified Arabic" w:hint="cs"/>
          <w:color w:val="222222"/>
          <w:szCs w:val="24"/>
          <w:rtl/>
        </w:rPr>
        <w:t xml:space="preserve">. </w:t>
      </w:r>
      <w:r w:rsidRPr="00544322">
        <w:rPr>
          <w:rFonts w:cs="Simplified Arabic"/>
          <w:color w:val="222222"/>
          <w:szCs w:val="24"/>
          <w:rtl/>
        </w:rPr>
        <w:t>وقد تم التوصل</w:t>
      </w:r>
      <w:r w:rsidR="00BE1A76" w:rsidRPr="00544322">
        <w:rPr>
          <w:rFonts w:cs="Simplified Arabic"/>
          <w:color w:val="222222"/>
          <w:szCs w:val="24"/>
          <w:rtl/>
        </w:rPr>
        <w:t xml:space="preserve"> إلى مع</w:t>
      </w:r>
      <w:r w:rsidR="00C816C4">
        <w:rPr>
          <w:rFonts w:cs="Simplified Arabic" w:hint="cs"/>
          <w:color w:val="222222"/>
          <w:szCs w:val="24"/>
          <w:rtl/>
        </w:rPr>
        <w:t>ا</w:t>
      </w:r>
      <w:r w:rsidR="00BE1A76" w:rsidRPr="00544322">
        <w:rPr>
          <w:rFonts w:cs="Simplified Arabic"/>
          <w:color w:val="222222"/>
          <w:szCs w:val="24"/>
          <w:rtl/>
        </w:rPr>
        <w:t>لم رئيسي</w:t>
      </w:r>
      <w:r w:rsidR="00C816C4">
        <w:rPr>
          <w:rFonts w:cs="Simplified Arabic" w:hint="cs"/>
          <w:color w:val="222222"/>
          <w:szCs w:val="24"/>
          <w:rtl/>
        </w:rPr>
        <w:t>ة</w:t>
      </w:r>
      <w:r w:rsidR="00BE1A76" w:rsidRPr="00544322">
        <w:rPr>
          <w:rFonts w:cs="Simplified Arabic"/>
          <w:color w:val="222222"/>
          <w:szCs w:val="24"/>
          <w:rtl/>
        </w:rPr>
        <w:t xml:space="preserve"> في منتصف الطريق</w:t>
      </w:r>
      <w:r w:rsidRPr="00544322">
        <w:rPr>
          <w:rFonts w:cs="Simplified Arabic"/>
          <w:color w:val="222222"/>
          <w:szCs w:val="24"/>
          <w:rtl/>
        </w:rPr>
        <w:t>، في الد</w:t>
      </w:r>
      <w:r w:rsidR="00BE1A76" w:rsidRPr="00544322">
        <w:rPr>
          <w:rFonts w:cs="Simplified Arabic"/>
          <w:color w:val="222222"/>
          <w:szCs w:val="24"/>
          <w:rtl/>
        </w:rPr>
        <w:t>ورة التاسعة عشرة لمؤتمر الأطراف، عندما تم الاتفاق عليه</w:t>
      </w:r>
      <w:r w:rsidRPr="00544322">
        <w:rPr>
          <w:rFonts w:cs="Simplified Arabic"/>
          <w:color w:val="222222"/>
          <w:szCs w:val="24"/>
          <w:rtl/>
        </w:rPr>
        <w:t>، في خروج عن الممارسات العر</w:t>
      </w:r>
      <w:r w:rsidR="00BE1A76" w:rsidRPr="00544322">
        <w:rPr>
          <w:rFonts w:cs="Simplified Arabic"/>
          <w:color w:val="222222"/>
          <w:szCs w:val="24"/>
          <w:rtl/>
        </w:rPr>
        <w:t>فية في مجال الدبلوماسية الدولية</w:t>
      </w:r>
      <w:r w:rsidRPr="00544322">
        <w:rPr>
          <w:rFonts w:cs="Simplified Arabic"/>
          <w:color w:val="222222"/>
          <w:szCs w:val="24"/>
          <w:rtl/>
        </w:rPr>
        <w:t>، التي ستُنقل المساهمات المقصودة المحددة وطنيا قبل الانتهاء من الاتفاق النهائي</w:t>
      </w:r>
      <w:r w:rsidR="00BE1A76" w:rsidRPr="00544322">
        <w:rPr>
          <w:rFonts w:cs="Simplified Arabic" w:hint="cs"/>
          <w:color w:val="222222"/>
          <w:szCs w:val="24"/>
          <w:rtl/>
        </w:rPr>
        <w:t xml:space="preserve">. </w:t>
      </w:r>
      <w:r w:rsidRPr="00544322">
        <w:rPr>
          <w:rFonts w:cs="Simplified Arabic"/>
          <w:color w:val="222222"/>
          <w:szCs w:val="24"/>
          <w:rtl/>
        </w:rPr>
        <w:t>وقد حدثت الخطوة النهائية الحاسمة في الدور</w:t>
      </w:r>
      <w:r w:rsidR="00BE1A76" w:rsidRPr="00544322">
        <w:rPr>
          <w:rFonts w:cs="Simplified Arabic"/>
          <w:color w:val="222222"/>
          <w:szCs w:val="24"/>
          <w:rtl/>
        </w:rPr>
        <w:t>ة الحادية والعشرين لمؤتمر باريس</w:t>
      </w:r>
      <w:r w:rsidRPr="00544322">
        <w:rPr>
          <w:rFonts w:cs="Simplified Arabic"/>
          <w:color w:val="222222"/>
          <w:szCs w:val="24"/>
          <w:rtl/>
        </w:rPr>
        <w:t xml:space="preserve">، عندما أبلغت الهيئة الفرعية المخصصة، بعد الانتهاء من عملها، </w:t>
      </w:r>
      <w:r w:rsidR="00BE1A76" w:rsidRPr="00544322">
        <w:rPr>
          <w:rFonts w:cs="Simplified Arabic"/>
          <w:color w:val="222222"/>
          <w:szCs w:val="24"/>
          <w:rtl/>
        </w:rPr>
        <w:t>حالة المفاوضات إلى رئيس المؤتمر</w:t>
      </w:r>
      <w:r w:rsidRPr="00544322">
        <w:rPr>
          <w:rFonts w:cs="Simplified Arabic"/>
          <w:color w:val="222222"/>
          <w:szCs w:val="24"/>
          <w:rtl/>
        </w:rPr>
        <w:t>، الذي كان قد دعا بعد ذلك اجتماع الوزراء لحل أي قضايا معلقة</w:t>
      </w:r>
      <w:r w:rsidR="00BE1A76" w:rsidRPr="00544322">
        <w:rPr>
          <w:rFonts w:cs="Simplified Arabic" w:hint="cs"/>
          <w:color w:val="222222"/>
          <w:szCs w:val="24"/>
          <w:rtl/>
        </w:rPr>
        <w:t>.</w:t>
      </w:r>
      <w:r w:rsidRPr="00544322">
        <w:rPr>
          <w:rFonts w:cs="Simplified Arabic"/>
          <w:color w:val="222222"/>
          <w:szCs w:val="24"/>
        </w:rPr>
        <w:t xml:space="preserve"> </w:t>
      </w:r>
      <w:r w:rsidR="00BE1A76" w:rsidRPr="00544322">
        <w:rPr>
          <w:rFonts w:cs="Simplified Arabic"/>
          <w:color w:val="222222"/>
          <w:szCs w:val="24"/>
          <w:rtl/>
        </w:rPr>
        <w:t>وبعد ذلك</w:t>
      </w:r>
      <w:r w:rsidRPr="00544322">
        <w:rPr>
          <w:rFonts w:cs="Simplified Arabic"/>
          <w:color w:val="222222"/>
          <w:szCs w:val="24"/>
          <w:rtl/>
        </w:rPr>
        <w:t>، ساعد الر</w:t>
      </w:r>
      <w:r w:rsidR="00C816C4">
        <w:rPr>
          <w:rFonts w:cs="Simplified Arabic" w:hint="cs"/>
          <w:color w:val="222222"/>
          <w:szCs w:val="24"/>
          <w:rtl/>
        </w:rPr>
        <w:t>ئيسين</w:t>
      </w:r>
      <w:r w:rsidRPr="00544322">
        <w:rPr>
          <w:rFonts w:cs="Simplified Arabic"/>
          <w:color w:val="222222"/>
          <w:szCs w:val="24"/>
          <w:rtl/>
        </w:rPr>
        <w:t xml:space="preserve"> المشارك</w:t>
      </w:r>
      <w:r w:rsidR="00C816C4">
        <w:rPr>
          <w:rFonts w:cs="Simplified Arabic" w:hint="cs"/>
          <w:color w:val="222222"/>
          <w:szCs w:val="24"/>
          <w:rtl/>
        </w:rPr>
        <w:t>ي</w:t>
      </w:r>
      <w:r w:rsidRPr="00544322">
        <w:rPr>
          <w:rFonts w:cs="Simplified Arabic"/>
          <w:color w:val="222222"/>
          <w:szCs w:val="24"/>
          <w:rtl/>
        </w:rPr>
        <w:t>ن للهيئة</w:t>
      </w:r>
      <w:r w:rsidR="00BE1A76" w:rsidRPr="00544322">
        <w:rPr>
          <w:rFonts w:cs="Simplified Arabic"/>
          <w:color w:val="222222"/>
          <w:szCs w:val="24"/>
          <w:rtl/>
        </w:rPr>
        <w:t xml:space="preserve"> الفرعية في هيكلة النص التفاوضي، وقدم</w:t>
      </w:r>
      <w:r w:rsidR="00C816C4">
        <w:rPr>
          <w:rFonts w:cs="Simplified Arabic" w:hint="cs"/>
          <w:color w:val="222222"/>
          <w:szCs w:val="24"/>
          <w:rtl/>
        </w:rPr>
        <w:t>ا</w:t>
      </w:r>
      <w:r w:rsidR="00BE1A76" w:rsidRPr="00544322">
        <w:rPr>
          <w:rFonts w:cs="Simplified Arabic"/>
          <w:color w:val="222222"/>
          <w:szCs w:val="24"/>
          <w:rtl/>
        </w:rPr>
        <w:t xml:space="preserve"> تقارير</w:t>
      </w:r>
      <w:r w:rsidRPr="00544322">
        <w:rPr>
          <w:rFonts w:cs="Simplified Arabic"/>
          <w:color w:val="222222"/>
          <w:szCs w:val="24"/>
          <w:rtl/>
        </w:rPr>
        <w:t xml:space="preserve">، </w:t>
      </w:r>
      <w:r w:rsidRPr="00544322">
        <w:rPr>
          <w:rFonts w:cs="Simplified Arabic"/>
          <w:color w:val="222222"/>
          <w:szCs w:val="24"/>
          <w:rtl/>
        </w:rPr>
        <w:lastRenderedPageBreak/>
        <w:t xml:space="preserve">وعقدت عدة حلقات عمل </w:t>
      </w:r>
      <w:r w:rsidR="00C816C4">
        <w:rPr>
          <w:rFonts w:cs="Simplified Arabic" w:hint="cs"/>
          <w:color w:val="222222"/>
          <w:szCs w:val="24"/>
          <w:rtl/>
        </w:rPr>
        <w:t xml:space="preserve">أثناء </w:t>
      </w:r>
      <w:r w:rsidRPr="00544322">
        <w:rPr>
          <w:rFonts w:cs="Simplified Arabic"/>
          <w:color w:val="222222"/>
          <w:szCs w:val="24"/>
          <w:rtl/>
        </w:rPr>
        <w:t>الدور</w:t>
      </w:r>
      <w:r w:rsidR="00C816C4">
        <w:rPr>
          <w:rFonts w:cs="Simplified Arabic" w:hint="cs"/>
          <w:color w:val="222222"/>
          <w:szCs w:val="24"/>
          <w:rtl/>
        </w:rPr>
        <w:t>ة</w:t>
      </w:r>
      <w:r w:rsidRPr="00544322">
        <w:rPr>
          <w:rFonts w:cs="Simplified Arabic"/>
          <w:color w:val="222222"/>
          <w:szCs w:val="24"/>
          <w:rtl/>
        </w:rPr>
        <w:t xml:space="preserve"> لاستكشاف مكونات أساسية محددة</w:t>
      </w:r>
      <w:r w:rsidR="00BE1A76" w:rsidRPr="00544322">
        <w:rPr>
          <w:rFonts w:cs="Simplified Arabic" w:hint="cs"/>
          <w:color w:val="222222"/>
          <w:szCs w:val="24"/>
          <w:rtl/>
        </w:rPr>
        <w:t>.</w:t>
      </w:r>
      <w:r w:rsidRPr="00544322">
        <w:rPr>
          <w:rFonts w:cs="Simplified Arabic"/>
          <w:color w:val="222222"/>
          <w:szCs w:val="24"/>
        </w:rPr>
        <w:t xml:space="preserve"> </w:t>
      </w:r>
      <w:r w:rsidRPr="00544322">
        <w:rPr>
          <w:rFonts w:cs="Simplified Arabic"/>
          <w:color w:val="222222"/>
          <w:szCs w:val="24"/>
          <w:rtl/>
        </w:rPr>
        <w:t>وكانت المساهمات الأخرى ضئيلة للغاية بسبب كثافة التبادلات الحكومية الدولية</w:t>
      </w:r>
      <w:r w:rsidRPr="00544322">
        <w:rPr>
          <w:rFonts w:cs="Simplified Arabic"/>
          <w:color w:val="222222"/>
          <w:szCs w:val="24"/>
        </w:rPr>
        <w:t>.</w:t>
      </w:r>
    </w:p>
    <w:p w:rsidR="0028053A" w:rsidRPr="00544322" w:rsidRDefault="00BE1A76"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color w:val="222222"/>
          <w:szCs w:val="24"/>
          <w:rtl/>
          <w:lang w:val="en-US"/>
        </w:rPr>
        <w:t>و</w:t>
      </w:r>
      <w:r w:rsidR="002C6442" w:rsidRPr="00544322">
        <w:rPr>
          <w:rFonts w:cs="Simplified Arabic"/>
          <w:color w:val="222222"/>
          <w:szCs w:val="24"/>
          <w:rtl/>
        </w:rPr>
        <w:t>قال السيد ليدلي، رداً على سؤال طرحه ممثل سو</w:t>
      </w:r>
      <w:r w:rsidRPr="00544322">
        <w:rPr>
          <w:rFonts w:cs="Simplified Arabic"/>
          <w:color w:val="222222"/>
          <w:szCs w:val="24"/>
          <w:rtl/>
        </w:rPr>
        <w:t>يسرا بشأن وضع مؤشرات مناسبة</w:t>
      </w:r>
      <w:r w:rsidR="002C6442" w:rsidRPr="00544322">
        <w:rPr>
          <w:rFonts w:cs="Simplified Arabic"/>
          <w:color w:val="222222"/>
          <w:szCs w:val="24"/>
          <w:rtl/>
        </w:rPr>
        <w:t xml:space="preserve">، إن مبدأ البداية الجيدة هو ضمان إمكانية </w:t>
      </w:r>
      <w:r w:rsidR="00C816C4">
        <w:rPr>
          <w:rFonts w:cs="Simplified Arabic" w:hint="cs"/>
          <w:color w:val="222222"/>
          <w:szCs w:val="24"/>
          <w:rtl/>
        </w:rPr>
        <w:t>نمذجة</w:t>
      </w:r>
      <w:r w:rsidR="002C6442" w:rsidRPr="00544322">
        <w:rPr>
          <w:rFonts w:cs="Simplified Arabic"/>
          <w:color w:val="222222"/>
          <w:szCs w:val="24"/>
          <w:rtl/>
        </w:rPr>
        <w:t xml:space="preserve"> المؤشرات في المستقبل مع قياس الجوانب الرئيسية للتنوع البيولوجي</w:t>
      </w:r>
      <w:r w:rsidRPr="00544322">
        <w:rPr>
          <w:rFonts w:cs="Simplified Arabic" w:hint="cs"/>
          <w:color w:val="222222"/>
          <w:szCs w:val="24"/>
          <w:rtl/>
        </w:rPr>
        <w:t>.</w:t>
      </w:r>
      <w:r w:rsidR="002C6442" w:rsidRPr="00544322">
        <w:rPr>
          <w:rFonts w:cs="Simplified Arabic"/>
          <w:color w:val="222222"/>
          <w:szCs w:val="24"/>
        </w:rPr>
        <w:t xml:space="preserve"> </w:t>
      </w:r>
      <w:r w:rsidR="002C6442" w:rsidRPr="00544322">
        <w:rPr>
          <w:rFonts w:cs="Simplified Arabic"/>
          <w:color w:val="222222"/>
          <w:szCs w:val="24"/>
          <w:rtl/>
        </w:rPr>
        <w:t>وتشمل الأمثلة التي تستوفي هذه الم</w:t>
      </w:r>
      <w:r w:rsidRPr="00544322">
        <w:rPr>
          <w:rFonts w:cs="Simplified Arabic"/>
          <w:color w:val="222222"/>
          <w:szCs w:val="24"/>
          <w:rtl/>
        </w:rPr>
        <w:t>عايير مؤشرات تتعلق</w:t>
      </w:r>
      <w:r w:rsidR="00C816C4">
        <w:rPr>
          <w:rFonts w:cs="Simplified Arabic" w:hint="cs"/>
          <w:color w:val="222222"/>
          <w:szCs w:val="24"/>
          <w:rtl/>
        </w:rPr>
        <w:t>:</w:t>
      </w:r>
      <w:r w:rsidRPr="00544322">
        <w:rPr>
          <w:rFonts w:cs="Simplified Arabic"/>
          <w:color w:val="222222"/>
          <w:szCs w:val="24"/>
          <w:rtl/>
        </w:rPr>
        <w:t xml:space="preserve"> بتغير السكان</w:t>
      </w:r>
      <w:r w:rsidR="002C6442" w:rsidRPr="00544322">
        <w:rPr>
          <w:rFonts w:cs="Simplified Arabic"/>
          <w:color w:val="222222"/>
          <w:szCs w:val="24"/>
          <w:rtl/>
        </w:rPr>
        <w:t xml:space="preserve">، والتي يمكن </w:t>
      </w:r>
      <w:r w:rsidRPr="00544322">
        <w:rPr>
          <w:rFonts w:cs="Simplified Arabic"/>
          <w:color w:val="222222"/>
          <w:szCs w:val="24"/>
          <w:rtl/>
        </w:rPr>
        <w:t>تتبعها من خلال مؤشر الكوكب الحي</w:t>
      </w:r>
      <w:r w:rsidR="002C6442" w:rsidRPr="00544322">
        <w:rPr>
          <w:rFonts w:cs="Simplified Arabic"/>
          <w:color w:val="222222"/>
          <w:szCs w:val="24"/>
          <w:rtl/>
        </w:rPr>
        <w:t xml:space="preserve">؛ </w:t>
      </w:r>
      <w:r w:rsidR="00032190">
        <w:rPr>
          <w:rFonts w:cs="Simplified Arabic" w:hint="cs"/>
          <w:color w:val="222222"/>
          <w:szCs w:val="24"/>
          <w:rtl/>
        </w:rPr>
        <w:t>و</w:t>
      </w:r>
      <w:r w:rsidR="002C6442" w:rsidRPr="00544322">
        <w:rPr>
          <w:rFonts w:cs="Simplified Arabic"/>
          <w:color w:val="222222"/>
          <w:szCs w:val="24"/>
          <w:rtl/>
        </w:rPr>
        <w:t xml:space="preserve">حالة </w:t>
      </w:r>
      <w:r w:rsidRPr="00544322">
        <w:rPr>
          <w:rFonts w:cs="Simplified Arabic"/>
          <w:color w:val="222222"/>
          <w:szCs w:val="24"/>
          <w:rtl/>
        </w:rPr>
        <w:t>الحفظ</w:t>
      </w:r>
      <w:r w:rsidR="002C6442" w:rsidRPr="00544322">
        <w:rPr>
          <w:rFonts w:cs="Simplified Arabic"/>
          <w:color w:val="222222"/>
          <w:szCs w:val="24"/>
          <w:rtl/>
        </w:rPr>
        <w:t xml:space="preserve">، والتي يمكن تتبعها من خلال القائمة الحمراء للأنواع المهددة بالانقراض </w:t>
      </w:r>
      <w:r w:rsidR="00032190">
        <w:rPr>
          <w:rFonts w:cs="Simplified Arabic" w:hint="cs"/>
          <w:color w:val="222222"/>
          <w:szCs w:val="24"/>
          <w:rtl/>
        </w:rPr>
        <w:t>ل</w:t>
      </w:r>
      <w:r w:rsidR="002C6442" w:rsidRPr="00544322">
        <w:rPr>
          <w:rFonts w:cs="Simplified Arabic"/>
          <w:color w:val="222222"/>
          <w:szCs w:val="24"/>
          <w:rtl/>
        </w:rPr>
        <w:t>ل</w:t>
      </w:r>
      <w:r w:rsidR="00032190">
        <w:rPr>
          <w:rFonts w:cs="Simplified Arabic" w:hint="cs"/>
          <w:color w:val="222222"/>
          <w:szCs w:val="24"/>
          <w:rtl/>
        </w:rPr>
        <w:t>اتحاد الدولي لحفظ الطبيعة</w:t>
      </w:r>
      <w:r w:rsidR="002C6442" w:rsidRPr="00544322">
        <w:rPr>
          <w:rFonts w:cs="Simplified Arabic"/>
          <w:color w:val="222222"/>
          <w:szCs w:val="24"/>
        </w:rPr>
        <w:t xml:space="preserve">IUCN </w:t>
      </w:r>
      <w:r w:rsidR="002C6442" w:rsidRPr="00544322">
        <w:rPr>
          <w:rFonts w:cs="Simplified Arabic"/>
          <w:color w:val="222222"/>
          <w:szCs w:val="24"/>
          <w:rtl/>
        </w:rPr>
        <w:t xml:space="preserve">؛ </w:t>
      </w:r>
      <w:r w:rsidRPr="00544322">
        <w:rPr>
          <w:rFonts w:cs="Simplified Arabic"/>
          <w:color w:val="222222"/>
          <w:szCs w:val="24"/>
          <w:rtl/>
        </w:rPr>
        <w:t>و</w:t>
      </w:r>
      <w:r w:rsidR="00032190">
        <w:rPr>
          <w:rFonts w:cs="Simplified Arabic" w:hint="cs"/>
          <w:color w:val="222222"/>
          <w:szCs w:val="24"/>
          <w:rtl/>
        </w:rPr>
        <w:t xml:space="preserve">سلامة </w:t>
      </w:r>
      <w:r w:rsidRPr="00544322">
        <w:rPr>
          <w:rFonts w:cs="Simplified Arabic"/>
          <w:color w:val="222222"/>
          <w:szCs w:val="24"/>
          <w:rtl/>
        </w:rPr>
        <w:t>التنوع البيولوجي</w:t>
      </w:r>
      <w:r w:rsidR="002C6442" w:rsidRPr="00544322">
        <w:rPr>
          <w:rFonts w:cs="Simplified Arabic"/>
          <w:color w:val="222222"/>
          <w:szCs w:val="24"/>
          <w:rtl/>
        </w:rPr>
        <w:t xml:space="preserve">، والتي أصبحت في الآونة الأخيرة </w:t>
      </w:r>
      <w:r w:rsidR="00032190">
        <w:rPr>
          <w:rFonts w:cs="Simplified Arabic" w:hint="cs"/>
          <w:color w:val="222222"/>
          <w:szCs w:val="24"/>
          <w:rtl/>
        </w:rPr>
        <w:t>قابلة للتبع</w:t>
      </w:r>
      <w:r w:rsidR="002C6442" w:rsidRPr="00544322">
        <w:rPr>
          <w:rFonts w:cs="Simplified Arabic"/>
          <w:color w:val="222222"/>
          <w:szCs w:val="24"/>
        </w:rPr>
        <w:t>.</w:t>
      </w:r>
      <w:r w:rsidRPr="00544322">
        <w:rPr>
          <w:rFonts w:cs="Simplified Arabic" w:hint="cs"/>
          <w:color w:val="222222"/>
          <w:szCs w:val="24"/>
          <w:rtl/>
        </w:rPr>
        <w:t xml:space="preserve"> </w:t>
      </w:r>
      <w:r w:rsidR="002C6442" w:rsidRPr="00544322">
        <w:rPr>
          <w:rFonts w:cs="Simplified Arabic"/>
          <w:color w:val="222222"/>
          <w:szCs w:val="24"/>
          <w:rtl/>
        </w:rPr>
        <w:t>ويمكن أيضا حساب المؤش</w:t>
      </w:r>
      <w:r w:rsidRPr="00544322">
        <w:rPr>
          <w:rFonts w:cs="Simplified Arabic"/>
          <w:color w:val="222222"/>
          <w:szCs w:val="24"/>
          <w:rtl/>
        </w:rPr>
        <w:t>را</w:t>
      </w:r>
      <w:r w:rsidR="00032190">
        <w:rPr>
          <w:rFonts w:cs="Simplified Arabic"/>
          <w:color w:val="222222"/>
          <w:szCs w:val="24"/>
          <w:rtl/>
        </w:rPr>
        <w:t xml:space="preserve">ت بالنسبة إلى الأصناف المحددة، </w:t>
      </w:r>
      <w:r w:rsidRPr="00544322">
        <w:rPr>
          <w:rFonts w:cs="Simplified Arabic"/>
          <w:color w:val="222222"/>
          <w:szCs w:val="24"/>
          <w:rtl/>
        </w:rPr>
        <w:t>بطريقة هرمية</w:t>
      </w:r>
      <w:r w:rsidR="002C6442" w:rsidRPr="00544322">
        <w:rPr>
          <w:rFonts w:cs="Simplified Arabic"/>
          <w:color w:val="222222"/>
          <w:szCs w:val="24"/>
          <w:rtl/>
        </w:rPr>
        <w:t>، على نطاقات مكانية ووطنية وإقليمية وعالمية متعددة</w:t>
      </w:r>
      <w:r w:rsidR="002C6442" w:rsidRPr="00544322">
        <w:rPr>
          <w:rFonts w:cs="Simplified Arabic"/>
          <w:color w:val="222222"/>
          <w:szCs w:val="24"/>
        </w:rPr>
        <w:t>.</w:t>
      </w:r>
    </w:p>
    <w:p w:rsidR="002C6442" w:rsidRPr="00544322" w:rsidRDefault="002C6442" w:rsidP="00FF7FA5">
      <w:pPr>
        <w:pStyle w:val="ListParagraph"/>
        <w:numPr>
          <w:ilvl w:val="0"/>
          <w:numId w:val="10"/>
        </w:numPr>
        <w:bidi/>
        <w:spacing w:line="216" w:lineRule="auto"/>
        <w:ind w:left="0" w:firstLine="0"/>
        <w:rPr>
          <w:rFonts w:eastAsia="Times New Roman" w:cs="Simplified Arabic"/>
          <w:color w:val="777777"/>
          <w:lang w:bidi="ar-SA"/>
        </w:rPr>
      </w:pPr>
      <w:r w:rsidRPr="00544322">
        <w:rPr>
          <w:rFonts w:eastAsia="Times New Roman" w:cs="Simplified Arabic"/>
          <w:color w:val="222222"/>
          <w:rtl/>
        </w:rPr>
        <w:t>وردا على تعليق من ممثل المغرب بشأن الطبيعة الخجولة للإجراء المتخذ للتصدي ل</w:t>
      </w:r>
      <w:r w:rsidR="00032190">
        <w:rPr>
          <w:rFonts w:eastAsia="Times New Roman" w:cs="Simplified Arabic" w:hint="cs"/>
          <w:color w:val="222222"/>
          <w:rtl/>
        </w:rPr>
        <w:t>فقدان</w:t>
      </w:r>
      <w:r w:rsidRPr="00544322">
        <w:rPr>
          <w:rFonts w:eastAsia="Times New Roman" w:cs="Simplified Arabic"/>
          <w:color w:val="222222"/>
          <w:rtl/>
        </w:rPr>
        <w:t xml:space="preserve"> التنوع البيولوجي حتى الآن، و</w:t>
      </w:r>
      <w:r w:rsidR="00032190">
        <w:rPr>
          <w:rFonts w:eastAsia="Times New Roman" w:cs="Simplified Arabic" w:hint="cs"/>
          <w:color w:val="222222"/>
          <w:rtl/>
        </w:rPr>
        <w:t>ع</w:t>
      </w:r>
      <w:r w:rsidRPr="00544322">
        <w:rPr>
          <w:rFonts w:eastAsia="Times New Roman" w:cs="Simplified Arabic"/>
          <w:color w:val="222222"/>
          <w:rtl/>
        </w:rPr>
        <w:t xml:space="preserve">لى تعليق آخر </w:t>
      </w:r>
      <w:r w:rsidR="00BE1A76" w:rsidRPr="00544322">
        <w:rPr>
          <w:rFonts w:eastAsia="Times New Roman" w:cs="Simplified Arabic"/>
          <w:color w:val="222222"/>
          <w:rtl/>
        </w:rPr>
        <w:t>من ممثل التحالف العالمي للغابات</w:t>
      </w:r>
      <w:r w:rsidRPr="00544322">
        <w:rPr>
          <w:rFonts w:eastAsia="Times New Roman" w:cs="Simplified Arabic"/>
          <w:color w:val="222222"/>
          <w:rtl/>
        </w:rPr>
        <w:t xml:space="preserve">، قال إن المناقشات بشأن استخدام السيناريوهات </w:t>
      </w:r>
      <w:r w:rsidR="00032190">
        <w:rPr>
          <w:rFonts w:eastAsia="Times New Roman" w:cs="Simplified Arabic" w:hint="cs"/>
          <w:color w:val="222222"/>
          <w:rtl/>
        </w:rPr>
        <w:t xml:space="preserve">والنماذج </w:t>
      </w:r>
      <w:r w:rsidRPr="00544322">
        <w:rPr>
          <w:rFonts w:eastAsia="Times New Roman" w:cs="Simplified Arabic"/>
          <w:color w:val="222222"/>
          <w:rtl/>
        </w:rPr>
        <w:t xml:space="preserve">وقد أكدت أن الوضع الحالي يتطلب تغييرات لا بد أن تكون تحويلية. لن تكون </w:t>
      </w:r>
      <w:r w:rsidR="00032190">
        <w:rPr>
          <w:rFonts w:eastAsia="Times New Roman" w:cs="Simplified Arabic" w:hint="cs"/>
          <w:color w:val="222222"/>
          <w:rtl/>
        </w:rPr>
        <w:t>نُهج</w:t>
      </w:r>
      <w:r w:rsidRPr="00544322">
        <w:rPr>
          <w:rFonts w:eastAsia="Times New Roman" w:cs="Simplified Arabic"/>
          <w:color w:val="222222"/>
          <w:rtl/>
        </w:rPr>
        <w:t xml:space="preserve"> العمل </w:t>
      </w:r>
      <w:r w:rsidR="00032190">
        <w:rPr>
          <w:rFonts w:eastAsia="Times New Roman" w:cs="Simplified Arabic" w:hint="cs"/>
          <w:color w:val="222222"/>
          <w:rtl/>
        </w:rPr>
        <w:t>ك</w:t>
      </w:r>
      <w:r w:rsidR="00032190">
        <w:rPr>
          <w:rFonts w:eastAsia="Times New Roman" w:cs="Simplified Arabic"/>
          <w:color w:val="222222"/>
          <w:rtl/>
        </w:rPr>
        <w:t>المعتاد</w:t>
      </w:r>
      <w:r w:rsidRPr="00544322">
        <w:rPr>
          <w:rFonts w:eastAsia="Times New Roman" w:cs="Simplified Arabic"/>
          <w:color w:val="222222"/>
          <w:rtl/>
        </w:rPr>
        <w:t xml:space="preserve"> كافية وستكون </w:t>
      </w:r>
      <w:r w:rsidR="00032190">
        <w:rPr>
          <w:rFonts w:eastAsia="Times New Roman" w:cs="Simplified Arabic" w:hint="cs"/>
          <w:color w:val="222222"/>
          <w:rtl/>
        </w:rPr>
        <w:t>حافظ</w:t>
      </w:r>
      <w:r w:rsidRPr="00544322">
        <w:rPr>
          <w:rFonts w:eastAsia="Times New Roman" w:cs="Simplified Arabic"/>
          <w:color w:val="222222"/>
          <w:rtl/>
        </w:rPr>
        <w:t>ة من الإجراءات أساسية لتمهيد الطريق لمستقبل إيجابي وتحقيق رؤية</w:t>
      </w:r>
      <w:r w:rsidR="00032190">
        <w:rPr>
          <w:rFonts w:eastAsia="Times New Roman" w:cs="Simplified Arabic" w:hint="cs"/>
          <w:color w:val="222222"/>
          <w:rtl/>
        </w:rPr>
        <w:t xml:space="preserve"> عام</w:t>
      </w:r>
      <w:r w:rsidRPr="00544322">
        <w:rPr>
          <w:rFonts w:eastAsia="Times New Roman" w:cs="Simplified Arabic"/>
          <w:color w:val="222222"/>
          <w:rtl/>
        </w:rPr>
        <w:t xml:space="preserve"> 2050؛ </w:t>
      </w:r>
      <w:r w:rsidR="00032190">
        <w:rPr>
          <w:rFonts w:eastAsia="Times New Roman" w:cs="Simplified Arabic" w:hint="cs"/>
          <w:color w:val="222222"/>
          <w:rtl/>
        </w:rPr>
        <w:t>و</w:t>
      </w:r>
      <w:r w:rsidR="00032190">
        <w:rPr>
          <w:rFonts w:eastAsia="Times New Roman" w:cs="Simplified Arabic"/>
          <w:color w:val="222222"/>
          <w:rtl/>
        </w:rPr>
        <w:t>كل عمل في ال</w:t>
      </w:r>
      <w:r w:rsidRPr="00544322">
        <w:rPr>
          <w:rFonts w:eastAsia="Times New Roman" w:cs="Simplified Arabic"/>
          <w:color w:val="222222"/>
          <w:rtl/>
        </w:rPr>
        <w:t>ح</w:t>
      </w:r>
      <w:r w:rsidR="00032190">
        <w:rPr>
          <w:rFonts w:eastAsia="Times New Roman" w:cs="Simplified Arabic" w:hint="cs"/>
          <w:color w:val="222222"/>
          <w:rtl/>
        </w:rPr>
        <w:t>ا</w:t>
      </w:r>
      <w:r w:rsidRPr="00544322">
        <w:rPr>
          <w:rFonts w:eastAsia="Times New Roman" w:cs="Simplified Arabic"/>
          <w:color w:val="222222"/>
          <w:rtl/>
        </w:rPr>
        <w:t>فظة سوف يتطلب التغيير التحويلي. وحقيقة أن التركيز سينتقل إلى سيناريوهات ونماذج على نطاق عالمي لا يعني أن نقول أن التغييرات يجب أن تأتي من القمة - في كثير من الحالات يجب أن تكون نتاج عملية من أسفل إلى أعلى.</w:t>
      </w:r>
    </w:p>
    <w:p w:rsidR="0028053A" w:rsidRPr="00544322" w:rsidRDefault="00BE1A76"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وقال السيد و</w:t>
      </w:r>
      <w:r w:rsidR="00032190">
        <w:rPr>
          <w:rFonts w:cs="Simplified Arabic" w:hint="cs"/>
          <w:color w:val="222222"/>
          <w:szCs w:val="24"/>
          <w:rtl/>
        </w:rPr>
        <w:t>ا</w:t>
      </w:r>
      <w:r w:rsidRPr="00544322">
        <w:rPr>
          <w:rFonts w:cs="Simplified Arabic"/>
          <w:color w:val="222222"/>
          <w:szCs w:val="24"/>
          <w:rtl/>
        </w:rPr>
        <w:t>ي</w:t>
      </w:r>
      <w:r w:rsidR="002C6442" w:rsidRPr="00544322">
        <w:rPr>
          <w:rFonts w:cs="Simplified Arabic"/>
          <w:color w:val="222222"/>
          <w:szCs w:val="24"/>
          <w:rtl/>
        </w:rPr>
        <w:t>، فيما يتعلق بال</w:t>
      </w:r>
      <w:r w:rsidR="00032190">
        <w:rPr>
          <w:rFonts w:cs="Simplified Arabic" w:hint="cs"/>
          <w:color w:val="222222"/>
          <w:szCs w:val="24"/>
          <w:rtl/>
        </w:rPr>
        <w:t>سؤال</w:t>
      </w:r>
      <w:r w:rsidR="00032190">
        <w:rPr>
          <w:rFonts w:cs="Simplified Arabic"/>
          <w:color w:val="222222"/>
          <w:szCs w:val="24"/>
          <w:rtl/>
        </w:rPr>
        <w:t xml:space="preserve"> السابق المتعلق</w:t>
      </w:r>
      <w:r w:rsidRPr="00544322">
        <w:rPr>
          <w:rFonts w:cs="Simplified Arabic"/>
          <w:color w:val="222222"/>
          <w:szCs w:val="24"/>
          <w:rtl/>
        </w:rPr>
        <w:t xml:space="preserve"> بالمؤشرات</w:t>
      </w:r>
      <w:r w:rsidR="002C6442" w:rsidRPr="00544322">
        <w:rPr>
          <w:rFonts w:cs="Simplified Arabic"/>
          <w:color w:val="222222"/>
          <w:szCs w:val="24"/>
          <w:rtl/>
        </w:rPr>
        <w:t>، إن النسبة المئوية</w:t>
      </w:r>
      <w:r w:rsidR="002C6442" w:rsidRPr="00544322">
        <w:rPr>
          <w:rFonts w:cs="Simplified Arabic"/>
          <w:color w:val="222222"/>
          <w:szCs w:val="24"/>
        </w:rPr>
        <w:t xml:space="preserve"> N </w:t>
      </w:r>
      <w:r w:rsidR="002C6442" w:rsidRPr="00544322">
        <w:rPr>
          <w:rFonts w:cs="Simplified Arabic"/>
          <w:color w:val="222222"/>
          <w:szCs w:val="24"/>
          <w:rtl/>
        </w:rPr>
        <w:t xml:space="preserve">هي حساب إحصائي جديد تم تصميمه بهدف تحقيق </w:t>
      </w:r>
      <w:r w:rsidR="00032190">
        <w:rPr>
          <w:rFonts w:cs="Simplified Arabic" w:hint="cs"/>
          <w:color w:val="222222"/>
          <w:szCs w:val="24"/>
          <w:rtl/>
        </w:rPr>
        <w:t>منفعة ل</w:t>
      </w:r>
      <w:r w:rsidR="002C6442" w:rsidRPr="00544322">
        <w:rPr>
          <w:rFonts w:cs="Simplified Arabic"/>
          <w:color w:val="222222"/>
          <w:szCs w:val="24"/>
          <w:rtl/>
        </w:rPr>
        <w:t>لأجيال ا</w:t>
      </w:r>
      <w:r w:rsidRPr="00544322">
        <w:rPr>
          <w:rFonts w:cs="Simplified Arabic"/>
          <w:color w:val="222222"/>
          <w:szCs w:val="24"/>
          <w:rtl/>
        </w:rPr>
        <w:t>ل</w:t>
      </w:r>
      <w:r w:rsidR="00032190">
        <w:rPr>
          <w:rFonts w:cs="Simplified Arabic" w:hint="cs"/>
          <w:color w:val="222222"/>
          <w:szCs w:val="24"/>
          <w:rtl/>
        </w:rPr>
        <w:t>قادم</w:t>
      </w:r>
      <w:r w:rsidRPr="00544322">
        <w:rPr>
          <w:rFonts w:cs="Simplified Arabic"/>
          <w:color w:val="222222"/>
          <w:szCs w:val="24"/>
          <w:rtl/>
        </w:rPr>
        <w:t>ة</w:t>
      </w:r>
      <w:r w:rsidR="002C6442" w:rsidRPr="00544322">
        <w:rPr>
          <w:rFonts w:cs="Simplified Arabic"/>
          <w:color w:val="222222"/>
          <w:szCs w:val="24"/>
          <w:rtl/>
        </w:rPr>
        <w:t>، والإشارة إلى الاحتياجات البشرية للغذاء والهواء والماء النظيف، التي تختلف حتما بين البلدان</w:t>
      </w:r>
      <w:r w:rsidRPr="00544322">
        <w:rPr>
          <w:rFonts w:cs="Simplified Arabic" w:hint="cs"/>
          <w:color w:val="222222"/>
          <w:szCs w:val="24"/>
          <w:rtl/>
        </w:rPr>
        <w:t>.</w:t>
      </w:r>
      <w:r w:rsidR="002C6442" w:rsidRPr="00544322">
        <w:rPr>
          <w:rFonts w:cs="Simplified Arabic"/>
          <w:color w:val="222222"/>
          <w:szCs w:val="24"/>
          <w:rtl/>
        </w:rPr>
        <w:t xml:space="preserve"> وينبغي تطوير المقياس ذي الصلة من خلال عملية تصاعدية من أجل جذب أوسع دعم ممكن من جميع أصحاب المصلحة</w:t>
      </w:r>
      <w:r w:rsidR="002C6442" w:rsidRPr="00544322">
        <w:rPr>
          <w:rFonts w:cs="Simplified Arabic"/>
          <w:color w:val="222222"/>
          <w:szCs w:val="24"/>
        </w:rPr>
        <w:t>.</w:t>
      </w:r>
    </w:p>
    <w:p w:rsidR="002C6442" w:rsidRPr="00544322" w:rsidRDefault="002C6442" w:rsidP="00FF7FA5">
      <w:pPr>
        <w:pStyle w:val="Para10"/>
        <w:numPr>
          <w:ilvl w:val="0"/>
          <w:numId w:val="10"/>
        </w:numPr>
        <w:bidi/>
        <w:spacing w:before="0" w:line="216" w:lineRule="auto"/>
        <w:ind w:left="0" w:firstLine="0"/>
        <w:rPr>
          <w:rFonts w:cs="Simplified Arabic"/>
          <w:szCs w:val="24"/>
          <w:lang w:val="en-US"/>
        </w:rPr>
      </w:pPr>
      <w:r w:rsidRPr="00544322">
        <w:rPr>
          <w:rFonts w:cs="Simplified Arabic"/>
          <w:color w:val="222222"/>
          <w:szCs w:val="24"/>
          <w:rtl/>
        </w:rPr>
        <w:t>وردا على سؤال طرحه ممثل عن أوروغواي بشأن ما إذا كان ينبغي لجهود الحفظ أن تركز على</w:t>
      </w:r>
      <w:r w:rsidR="00BE1A76" w:rsidRPr="00544322">
        <w:rPr>
          <w:rFonts w:cs="Simplified Arabic"/>
          <w:color w:val="222222"/>
          <w:szCs w:val="24"/>
          <w:rtl/>
        </w:rPr>
        <w:t xml:space="preserve"> حماية 100 في المائة من الأراضي</w:t>
      </w:r>
      <w:r w:rsidRPr="00544322">
        <w:rPr>
          <w:rFonts w:cs="Simplified Arabic"/>
          <w:color w:val="222222"/>
          <w:szCs w:val="24"/>
          <w:rtl/>
        </w:rPr>
        <w:t>، قال إن العمل لحماية الطبيعة يجب اعتباره نقطة انطلاق لإيجاد التوازن الصحيح بين الحفظ والتنمية</w:t>
      </w:r>
      <w:r w:rsidR="007112C3" w:rsidRPr="00544322">
        <w:rPr>
          <w:rFonts w:cs="Simplified Arabic" w:hint="cs"/>
          <w:color w:val="222222"/>
          <w:szCs w:val="24"/>
          <w:rtl/>
        </w:rPr>
        <w:t>،</w:t>
      </w:r>
      <w:r w:rsidRPr="00544322">
        <w:rPr>
          <w:rFonts w:cs="Simplified Arabic"/>
          <w:color w:val="222222"/>
          <w:szCs w:val="24"/>
        </w:rPr>
        <w:t xml:space="preserve"> </w:t>
      </w:r>
      <w:r w:rsidR="007112C3" w:rsidRPr="00544322">
        <w:rPr>
          <w:rFonts w:cs="Simplified Arabic" w:hint="cs"/>
          <w:color w:val="222222"/>
          <w:szCs w:val="24"/>
          <w:rtl/>
        </w:rPr>
        <w:t>و</w:t>
      </w:r>
      <w:r w:rsidRPr="00544322">
        <w:rPr>
          <w:rFonts w:cs="Simplified Arabic"/>
          <w:color w:val="222222"/>
          <w:szCs w:val="24"/>
          <w:rtl/>
        </w:rPr>
        <w:t>عندئذ فقط يمكن تحويل الانتباه إلى حماية الحضارة الإنسانية</w:t>
      </w:r>
      <w:r w:rsidR="00BE1A76" w:rsidRPr="00544322">
        <w:rPr>
          <w:rFonts w:cs="Simplified Arabic" w:hint="cs"/>
          <w:color w:val="222222"/>
          <w:szCs w:val="24"/>
          <w:rtl/>
        </w:rPr>
        <w:t>.</w:t>
      </w:r>
      <w:r w:rsidRPr="00544322">
        <w:rPr>
          <w:rFonts w:cs="Simplified Arabic"/>
          <w:color w:val="222222"/>
          <w:szCs w:val="24"/>
        </w:rPr>
        <w:t xml:space="preserve"> </w:t>
      </w:r>
      <w:r w:rsidR="007112C3" w:rsidRPr="00544322">
        <w:rPr>
          <w:rFonts w:cs="Simplified Arabic" w:hint="cs"/>
          <w:color w:val="222222"/>
          <w:szCs w:val="24"/>
          <w:rtl/>
        </w:rPr>
        <w:t>ف</w:t>
      </w:r>
      <w:r w:rsidR="00BE1A76" w:rsidRPr="00544322">
        <w:rPr>
          <w:rFonts w:cs="Simplified Arabic"/>
          <w:color w:val="222222"/>
          <w:szCs w:val="24"/>
          <w:rtl/>
        </w:rPr>
        <w:t>وحدة الطبيعة والناس كانت أساسية</w:t>
      </w:r>
      <w:r w:rsidRPr="00544322">
        <w:rPr>
          <w:rFonts w:cs="Simplified Arabic"/>
          <w:color w:val="222222"/>
          <w:szCs w:val="24"/>
          <w:rtl/>
        </w:rPr>
        <w:t>، وكانت البيئة الصحية من الأصول التي لا تقدر بثمن</w:t>
      </w:r>
      <w:r w:rsidR="00BE1A76" w:rsidRPr="00544322">
        <w:rPr>
          <w:rFonts w:cs="Simplified Arabic" w:hint="cs"/>
          <w:color w:val="222222"/>
          <w:szCs w:val="24"/>
          <w:rtl/>
        </w:rPr>
        <w:t>.</w:t>
      </w:r>
      <w:r w:rsidR="007112C3" w:rsidRPr="00544322">
        <w:rPr>
          <w:rFonts w:cs="Simplified Arabic" w:hint="cs"/>
          <w:color w:val="222222"/>
          <w:szCs w:val="24"/>
          <w:rtl/>
        </w:rPr>
        <w:t xml:space="preserve"> و</w:t>
      </w:r>
      <w:r w:rsidRPr="00544322">
        <w:rPr>
          <w:rFonts w:cs="Simplified Arabic"/>
          <w:color w:val="222222"/>
          <w:szCs w:val="24"/>
          <w:rtl/>
        </w:rPr>
        <w:t>يجب أن يكون لدى البلدان أيضاً أطرها</w:t>
      </w:r>
      <w:r w:rsidR="007112C3" w:rsidRPr="00544322">
        <w:rPr>
          <w:rFonts w:cs="Simplified Arabic" w:hint="cs"/>
          <w:color w:val="222222"/>
          <w:szCs w:val="24"/>
          <w:rtl/>
        </w:rPr>
        <w:t xml:space="preserve"> المؤسسية المحددة السياق،</w:t>
      </w:r>
      <w:r w:rsidRPr="00544322">
        <w:rPr>
          <w:rFonts w:cs="Simplified Arabic"/>
          <w:color w:val="222222"/>
          <w:szCs w:val="24"/>
          <w:rtl/>
        </w:rPr>
        <w:t xml:space="preserve"> وقوانينها </w:t>
      </w:r>
      <w:r w:rsidR="007112C3" w:rsidRPr="00544322">
        <w:rPr>
          <w:rFonts w:cs="Simplified Arabic" w:hint="cs"/>
          <w:color w:val="222222"/>
          <w:szCs w:val="24"/>
          <w:rtl/>
        </w:rPr>
        <w:t>وقواعدها</w:t>
      </w:r>
      <w:r w:rsidRPr="00544322">
        <w:rPr>
          <w:rFonts w:cs="Simplified Arabic"/>
          <w:color w:val="222222"/>
          <w:szCs w:val="24"/>
          <w:rtl/>
        </w:rPr>
        <w:t xml:space="preserve"> قبل أن تتمكن من ا</w:t>
      </w:r>
      <w:r w:rsidR="00BE1A76" w:rsidRPr="00544322">
        <w:rPr>
          <w:rFonts w:cs="Simplified Arabic"/>
          <w:color w:val="222222"/>
          <w:szCs w:val="24"/>
          <w:rtl/>
        </w:rPr>
        <w:t>لبناء على مفهوم الحضارة ال</w:t>
      </w:r>
      <w:r w:rsidR="007112C3" w:rsidRPr="00544322">
        <w:rPr>
          <w:rFonts w:cs="Simplified Arabic" w:hint="cs"/>
          <w:color w:val="222222"/>
          <w:szCs w:val="24"/>
          <w:rtl/>
        </w:rPr>
        <w:t>إيكولوج</w:t>
      </w:r>
      <w:r w:rsidR="00BE1A76" w:rsidRPr="00544322">
        <w:rPr>
          <w:rFonts w:cs="Simplified Arabic"/>
          <w:color w:val="222222"/>
          <w:szCs w:val="24"/>
          <w:rtl/>
        </w:rPr>
        <w:t>ية</w:t>
      </w:r>
      <w:r w:rsidRPr="00544322">
        <w:rPr>
          <w:rFonts w:cs="Simplified Arabic"/>
          <w:color w:val="222222"/>
          <w:szCs w:val="24"/>
          <w:rtl/>
        </w:rPr>
        <w:t>، وستجد البلدان النامية على وجه الخصوص صع</w:t>
      </w:r>
      <w:r w:rsidR="00BE1A76" w:rsidRPr="00544322">
        <w:rPr>
          <w:rFonts w:cs="Simplified Arabic"/>
          <w:color w:val="222222"/>
          <w:szCs w:val="24"/>
          <w:rtl/>
        </w:rPr>
        <w:t>وبة في تحديد رقم النسبة المئوية</w:t>
      </w:r>
      <w:r w:rsidR="007112C3" w:rsidRPr="00544322">
        <w:rPr>
          <w:rFonts w:cs="Simplified Arabic" w:hint="cs"/>
          <w:color w:val="222222"/>
          <w:szCs w:val="24"/>
          <w:rtl/>
        </w:rPr>
        <w:t xml:space="preserve"> </w:t>
      </w:r>
      <w:r w:rsidR="007112C3" w:rsidRPr="00544322">
        <w:rPr>
          <w:rFonts w:cs="Simplified Arabic"/>
          <w:color w:val="222222"/>
          <w:szCs w:val="24"/>
          <w:lang w:val="en-US"/>
        </w:rPr>
        <w:t>N</w:t>
      </w:r>
      <w:r w:rsidRPr="00544322">
        <w:rPr>
          <w:rFonts w:cs="Simplified Arabic"/>
          <w:color w:val="222222"/>
          <w:szCs w:val="24"/>
          <w:rtl/>
        </w:rPr>
        <w:t xml:space="preserve">، بناءً على الطلب على </w:t>
      </w:r>
      <w:r w:rsidR="007112C3" w:rsidRPr="00544322">
        <w:rPr>
          <w:rFonts w:cs="Simplified Arabic" w:hint="cs"/>
          <w:color w:val="222222"/>
          <w:szCs w:val="24"/>
          <w:rtl/>
        </w:rPr>
        <w:t xml:space="preserve">حفظ </w:t>
      </w:r>
      <w:r w:rsidRPr="00544322">
        <w:rPr>
          <w:rFonts w:cs="Simplified Arabic"/>
          <w:color w:val="222222"/>
          <w:szCs w:val="24"/>
          <w:rtl/>
        </w:rPr>
        <w:t>البيئة</w:t>
      </w:r>
      <w:r w:rsidRPr="00544322">
        <w:rPr>
          <w:rFonts w:cs="Simplified Arabic"/>
          <w:color w:val="222222"/>
          <w:szCs w:val="24"/>
        </w:rPr>
        <w:t>.</w:t>
      </w:r>
    </w:p>
    <w:p w:rsidR="00A962DD" w:rsidRPr="00544322" w:rsidRDefault="00BE1A76" w:rsidP="00FF7FA5">
      <w:pPr>
        <w:pStyle w:val="Para10"/>
        <w:numPr>
          <w:ilvl w:val="0"/>
          <w:numId w:val="10"/>
        </w:numPr>
        <w:bidi/>
        <w:spacing w:before="0" w:line="216" w:lineRule="auto"/>
        <w:ind w:left="0" w:firstLine="0"/>
        <w:rPr>
          <w:rFonts w:cs="Simplified Arabic"/>
          <w:szCs w:val="24"/>
          <w:lang w:val="en-US"/>
        </w:rPr>
      </w:pPr>
      <w:r w:rsidRPr="00544322">
        <w:rPr>
          <w:rFonts w:cs="Simplified Arabic" w:hint="cs"/>
          <w:color w:val="222222"/>
          <w:szCs w:val="24"/>
          <w:rtl/>
        </w:rPr>
        <w:t>و</w:t>
      </w:r>
      <w:r w:rsidR="002C6442" w:rsidRPr="00544322">
        <w:rPr>
          <w:rFonts w:cs="Simplified Arabic"/>
          <w:color w:val="222222"/>
          <w:szCs w:val="24"/>
          <w:rtl/>
        </w:rPr>
        <w:t xml:space="preserve">بالإضافة إلى تعليق من ممثل الاتحاد الأفريقي بشأن أهمية تحديد أولويات </w:t>
      </w:r>
      <w:r w:rsidRPr="00544322">
        <w:rPr>
          <w:rFonts w:cs="Simplified Arabic" w:hint="cs"/>
          <w:color w:val="222222"/>
          <w:szCs w:val="24"/>
          <w:rtl/>
        </w:rPr>
        <w:t>ال</w:t>
      </w:r>
      <w:r w:rsidR="002C6442" w:rsidRPr="00544322">
        <w:rPr>
          <w:rFonts w:cs="Simplified Arabic"/>
          <w:color w:val="222222"/>
          <w:szCs w:val="24"/>
          <w:rtl/>
        </w:rPr>
        <w:t>تقاسم ا</w:t>
      </w:r>
      <w:r w:rsidRPr="00544322">
        <w:rPr>
          <w:rFonts w:cs="Simplified Arabic" w:hint="cs"/>
          <w:color w:val="222222"/>
          <w:szCs w:val="24"/>
          <w:rtl/>
        </w:rPr>
        <w:t>لعادل والمنصف ل</w:t>
      </w:r>
      <w:r w:rsidR="002C6442" w:rsidRPr="00544322">
        <w:rPr>
          <w:rFonts w:cs="Simplified Arabic"/>
          <w:color w:val="222222"/>
          <w:szCs w:val="24"/>
          <w:rtl/>
        </w:rPr>
        <w:t xml:space="preserve">لمنافع لتشجيع </w:t>
      </w:r>
      <w:r w:rsidRPr="00544322">
        <w:rPr>
          <w:rFonts w:cs="Simplified Arabic" w:hint="cs"/>
          <w:color w:val="222222"/>
          <w:szCs w:val="24"/>
          <w:rtl/>
        </w:rPr>
        <w:t>الشعوب الأصلية</w:t>
      </w:r>
      <w:r w:rsidR="002C6442" w:rsidRPr="00544322">
        <w:rPr>
          <w:rFonts w:cs="Simplified Arabic"/>
          <w:color w:val="222222"/>
          <w:szCs w:val="24"/>
          <w:rtl/>
        </w:rPr>
        <w:t xml:space="preserve"> والمجتمعات المحلية على المشاركة في</w:t>
      </w:r>
      <w:r w:rsidRPr="00544322">
        <w:rPr>
          <w:rFonts w:cs="Simplified Arabic"/>
          <w:color w:val="222222"/>
          <w:szCs w:val="24"/>
          <w:rtl/>
        </w:rPr>
        <w:t xml:space="preserve"> حفظ الطبيعة والتنمية المستدامة</w:t>
      </w:r>
      <w:r w:rsidR="002C6442" w:rsidRPr="00544322">
        <w:rPr>
          <w:rFonts w:cs="Simplified Arabic"/>
          <w:color w:val="222222"/>
          <w:szCs w:val="24"/>
          <w:rtl/>
        </w:rPr>
        <w:t xml:space="preserve">، قال إن الحكومات ينبغي أن تسعى إلى تعزيز التدابير مثل المدفوعات التحويلية </w:t>
      </w:r>
      <w:r w:rsidR="00AB26FA">
        <w:rPr>
          <w:rFonts w:cs="Simplified Arabic" w:hint="cs"/>
          <w:color w:val="222222"/>
          <w:szCs w:val="24"/>
          <w:rtl/>
        </w:rPr>
        <w:t xml:space="preserve">من أجل </w:t>
      </w:r>
      <w:r w:rsidR="002C6442" w:rsidRPr="00544322">
        <w:rPr>
          <w:rFonts w:cs="Simplified Arabic"/>
          <w:color w:val="222222"/>
          <w:szCs w:val="24"/>
          <w:rtl/>
        </w:rPr>
        <w:t xml:space="preserve">ضمان </w:t>
      </w:r>
      <w:r w:rsidR="00AB26FA">
        <w:rPr>
          <w:rFonts w:cs="Simplified Arabic" w:hint="cs"/>
          <w:color w:val="222222"/>
          <w:szCs w:val="24"/>
          <w:rtl/>
        </w:rPr>
        <w:t xml:space="preserve">أن </w:t>
      </w:r>
      <w:r w:rsidR="002C6442" w:rsidRPr="00544322">
        <w:rPr>
          <w:rFonts w:cs="Simplified Arabic"/>
          <w:color w:val="222222"/>
          <w:szCs w:val="24"/>
          <w:rtl/>
        </w:rPr>
        <w:t xml:space="preserve">الشعوب الأصلية في المناطق المحمية </w:t>
      </w:r>
      <w:r w:rsidR="00AB26FA">
        <w:rPr>
          <w:rFonts w:cs="Simplified Arabic" w:hint="cs"/>
          <w:color w:val="222222"/>
          <w:szCs w:val="24"/>
          <w:rtl/>
        </w:rPr>
        <w:t xml:space="preserve">تتمتع </w:t>
      </w:r>
      <w:r w:rsidR="002C6442" w:rsidRPr="00544322">
        <w:rPr>
          <w:rFonts w:cs="Simplified Arabic"/>
          <w:color w:val="222222"/>
          <w:szCs w:val="24"/>
          <w:rtl/>
        </w:rPr>
        <w:t>بفوائد التنمية الخضراء</w:t>
      </w:r>
      <w:r w:rsidR="00A962DD" w:rsidRPr="00544322">
        <w:rPr>
          <w:rFonts w:cs="Simplified Arabic"/>
          <w:szCs w:val="24"/>
          <w:rtl/>
          <w:lang w:val="en-US"/>
        </w:rPr>
        <w:t>.</w:t>
      </w:r>
    </w:p>
    <w:p w:rsidR="007458BB" w:rsidRPr="00BF41F0" w:rsidRDefault="007458BB" w:rsidP="00BF41F0">
      <w:pPr>
        <w:spacing w:after="0" w:line="240" w:lineRule="auto"/>
        <w:jc w:val="left"/>
        <w:rPr>
          <w:rFonts w:ascii="Simplified Arabic" w:eastAsia="Malgun Gothic" w:hAnsi="Simplified Arabic"/>
          <w:snapToGrid w:val="0"/>
          <w:color w:val="222222"/>
          <w:kern w:val="0"/>
          <w:sz w:val="24"/>
          <w:rtl/>
        </w:rPr>
      </w:pPr>
      <w:r>
        <w:rPr>
          <w:rFonts w:ascii="Simplified Arabic" w:hAnsi="Simplified Arabic"/>
          <w:color w:val="222222"/>
          <w:sz w:val="24"/>
          <w:rtl/>
        </w:rPr>
        <w:br w:type="page"/>
      </w:r>
    </w:p>
    <w:p w:rsidR="007458BB" w:rsidRPr="00816871" w:rsidRDefault="007458BB" w:rsidP="00094717">
      <w:pPr>
        <w:pStyle w:val="Para10"/>
        <w:numPr>
          <w:ilvl w:val="0"/>
          <w:numId w:val="0"/>
        </w:numPr>
        <w:bidi/>
        <w:spacing w:before="0" w:after="100" w:line="204" w:lineRule="auto"/>
        <w:jc w:val="center"/>
        <w:outlineLvl w:val="1"/>
        <w:rPr>
          <w:rFonts w:cs="Simplified Arabic"/>
          <w:i/>
          <w:iCs/>
          <w:szCs w:val="24"/>
          <w:rtl/>
          <w:lang w:val="en-US"/>
        </w:rPr>
      </w:pPr>
      <w:bookmarkStart w:id="260" w:name="_Toc6140041"/>
      <w:r w:rsidRPr="00816871">
        <w:rPr>
          <w:rFonts w:cs="Simplified Arabic" w:hint="cs"/>
          <w:i/>
          <w:iCs/>
          <w:szCs w:val="24"/>
          <w:rtl/>
          <w:lang w:val="en-US"/>
        </w:rPr>
        <w:lastRenderedPageBreak/>
        <w:t>المرفق الرابع</w:t>
      </w:r>
      <w:bookmarkEnd w:id="260"/>
    </w:p>
    <w:p w:rsidR="007458BB" w:rsidRPr="00816871" w:rsidRDefault="007458BB" w:rsidP="00094717">
      <w:pPr>
        <w:pStyle w:val="Para10"/>
        <w:numPr>
          <w:ilvl w:val="0"/>
          <w:numId w:val="0"/>
        </w:numPr>
        <w:bidi/>
        <w:spacing w:before="0" w:after="100" w:line="204" w:lineRule="auto"/>
        <w:jc w:val="center"/>
        <w:outlineLvl w:val="1"/>
        <w:rPr>
          <w:rFonts w:cs="Simplified Arabic"/>
          <w:b/>
          <w:bCs/>
          <w:szCs w:val="24"/>
          <w:rtl/>
          <w:lang w:val="en-US"/>
        </w:rPr>
      </w:pPr>
      <w:bookmarkStart w:id="261" w:name="_Toc6140042"/>
      <w:r w:rsidRPr="00816871">
        <w:rPr>
          <w:rFonts w:cs="Simplified Arabic" w:hint="cs"/>
          <w:b/>
          <w:bCs/>
          <w:szCs w:val="24"/>
          <w:rtl/>
          <w:lang w:val="en-US"/>
        </w:rPr>
        <w:t>الأحداث الجانبية والجوائز</w:t>
      </w:r>
      <w:bookmarkEnd w:id="261"/>
    </w:p>
    <w:p w:rsidR="007458BB" w:rsidRPr="00816871" w:rsidRDefault="007458BB" w:rsidP="00BE3594">
      <w:pPr>
        <w:pStyle w:val="Para10"/>
        <w:numPr>
          <w:ilvl w:val="0"/>
          <w:numId w:val="0"/>
        </w:numPr>
        <w:bidi/>
        <w:spacing w:before="0" w:after="100" w:line="204" w:lineRule="auto"/>
        <w:rPr>
          <w:rFonts w:cs="Simplified Arabic"/>
          <w:i/>
          <w:iCs/>
          <w:szCs w:val="24"/>
          <w:rtl/>
          <w:lang w:val="en-US"/>
        </w:rPr>
      </w:pPr>
      <w:r w:rsidRPr="00816871">
        <w:rPr>
          <w:rFonts w:cs="Simplified Arabic" w:hint="cs"/>
          <w:i/>
          <w:iCs/>
          <w:szCs w:val="24"/>
          <w:rtl/>
          <w:lang w:val="en-US"/>
        </w:rPr>
        <w:t>الأحداث الجانبية</w:t>
      </w:r>
    </w:p>
    <w:p w:rsidR="00CE6B35" w:rsidRDefault="005C5F37" w:rsidP="00FF7FA5">
      <w:pPr>
        <w:pStyle w:val="ListParagraph"/>
        <w:numPr>
          <w:ilvl w:val="0"/>
          <w:numId w:val="11"/>
        </w:numPr>
        <w:bidi/>
        <w:spacing w:after="100" w:line="204" w:lineRule="auto"/>
        <w:ind w:left="0" w:firstLine="0"/>
        <w:rPr>
          <w:rFonts w:cs="Simplified Arabic"/>
        </w:rPr>
      </w:pPr>
      <w:r w:rsidRPr="00816871">
        <w:rPr>
          <w:rFonts w:cs="Simplified Arabic" w:hint="cs"/>
          <w:rtl/>
          <w:lang w:val="en-US"/>
        </w:rPr>
        <w:t xml:space="preserve">في الجلسة العامة الثانية للاجتماع، المنعقدة في 17 نوفمبر/تشرين الثاني 2018، </w:t>
      </w:r>
      <w:r w:rsidR="00CE6B35" w:rsidRPr="00816871">
        <w:rPr>
          <w:rFonts w:cs="Simplified Arabic" w:hint="cs"/>
          <w:rtl/>
        </w:rPr>
        <w:t xml:space="preserve">قدم السيد كارلوس مانويل رودريغس، وزير البيئة والطاقة، كوستاريكا، تقريرا عن منتدى قطاع الأعمال والتنوع البيولوجي، الذي عقد مع الاجتماع الحالي مباشرة. وقال إن المشاركون </w:t>
      </w:r>
      <w:r w:rsidR="00CE6B35">
        <w:rPr>
          <w:rFonts w:cs="Simplified Arabic" w:hint="cs"/>
          <w:rtl/>
        </w:rPr>
        <w:t>ق</w:t>
      </w:r>
      <w:r w:rsidR="00CE6B35" w:rsidRPr="00816871">
        <w:rPr>
          <w:rFonts w:cs="Simplified Arabic" w:hint="cs"/>
          <w:rtl/>
        </w:rPr>
        <w:t>د اعترفوا بأن فقدان النظم الإيكولوجية والتنوع البيولوجي يضع رفاه الإنسان في خطر ويقوض تحقيق خطة التنمية المستدام لعام 2030. وأضاف أنهم أدركوا أيضا أن الأعمال التجارية لديها آثار كبيرة على التنوع البيولوجي وخدمات النظم الإيكولوجية، وأن الأعمال التجارية تعتمد أيضا على التنوع البيولوجي وخدمات النظم الإيكولوجية. وأشار إلى وجود الفرص المهمة لإعداد أدوات مالية ابتكارية ولدكج أهداف التنوع البيولوجي في خطط التنمية الاقتصادية الوطنية، مما يمكن أن يولد فرصا مهمة لإعداد نماذج جديدة للأعمال التجارية في القطاعات الاقتصادية الرئيسية. وأضاف أن الحكومات تحتاج أن تعترف بحقائق الأعمال التجارية، وبأهمية السياسات الوطنية والدولية الواضحة والتي يمكن التنبؤ بها لتمكين التخطيط والاستثمار في قطاع الأعمال على المدى الطويل. ومن شأن إيجاد الأطر السياساتية والتنظيمية الضرورية أن يساعد على تعميم التنوع البيولوجي والاستدامة في عمليات الأعمال التجارية، ولكن ذلك يتطلب أيضا تغيير السرد للتشديد على الفرص الاقتصادية واستخدام صياغة ومقاييس يمكن أن تفهمها الأعمال التجارية. وينبغي أن يستند الإطار العالمي الطموح للتنوع البيولوجي لما بعد عام 2020 إلى الممارسات الجيدة الموجودة لإدارة التنوع البيولوجي وجمعية الأمم المتحدة للبيئة الرابعة، التي ستعقد من 11 إلى 15 مارس/آذار 2019، واتخاذ إجراءات لتهيئة بيئة تمكينية لتعميم التنوع البيولوجي والاستدامة في عمليات الأعمال التجارية.</w:t>
      </w:r>
    </w:p>
    <w:p w:rsidR="001B30F6" w:rsidRDefault="005C5F37" w:rsidP="00FF7FA5">
      <w:pPr>
        <w:pStyle w:val="ListParagraph"/>
        <w:numPr>
          <w:ilvl w:val="0"/>
          <w:numId w:val="11"/>
        </w:numPr>
        <w:bidi/>
        <w:spacing w:after="100" w:line="204" w:lineRule="auto"/>
        <w:ind w:left="0" w:firstLine="0"/>
        <w:rPr>
          <w:rFonts w:cs="Simplified Arabic"/>
        </w:rPr>
      </w:pPr>
      <w:r w:rsidRPr="00FD0158">
        <w:rPr>
          <w:rFonts w:cs="Simplified Arabic" w:hint="cs"/>
          <w:rtl/>
          <w:lang w:val="en-US"/>
        </w:rPr>
        <w:t xml:space="preserve">وفي الجلسة العامة الخامسة للاجتماع، المنعقدة في 25 نوفمبر/تشرين الثاني 2018، قدم عدد من الممثلين الآخرين </w:t>
      </w:r>
      <w:r w:rsidR="001B30F6" w:rsidRPr="00FD0158">
        <w:rPr>
          <w:rFonts w:cs="Simplified Arabic" w:hint="cs"/>
          <w:rtl/>
          <w:lang w:val="en-US"/>
        </w:rPr>
        <w:t>ملخصات للأحداث التي اشتركوا فيها.</w:t>
      </w:r>
    </w:p>
    <w:p w:rsidR="007458BB" w:rsidRDefault="00816871" w:rsidP="00FF7FA5">
      <w:pPr>
        <w:pStyle w:val="ListParagraph"/>
        <w:numPr>
          <w:ilvl w:val="0"/>
          <w:numId w:val="11"/>
        </w:numPr>
        <w:bidi/>
        <w:spacing w:after="100" w:line="204" w:lineRule="auto"/>
        <w:ind w:left="0" w:firstLine="0"/>
        <w:rPr>
          <w:rFonts w:cs="Simplified Arabic"/>
        </w:rPr>
      </w:pPr>
      <w:r w:rsidRPr="00FD0158">
        <w:rPr>
          <w:rFonts w:cs="Simplified Arabic" w:hint="cs"/>
          <w:rtl/>
          <w:lang w:val="en-US"/>
        </w:rPr>
        <w:t>و</w:t>
      </w:r>
      <w:r w:rsidR="002018C7">
        <w:rPr>
          <w:rFonts w:cs="Simplified Arabic" w:hint="cs"/>
          <w:rtl/>
          <w:lang w:val="en-US"/>
        </w:rPr>
        <w:t>قدمت</w:t>
      </w:r>
      <w:r w:rsidRPr="00FD0158">
        <w:rPr>
          <w:rFonts w:cs="Simplified Arabic" w:hint="cs"/>
          <w:rtl/>
          <w:lang w:val="en-US"/>
        </w:rPr>
        <w:t xml:space="preserve"> السيدة غنامات اظ</w:t>
      </w:r>
      <w:r w:rsidR="002018C7">
        <w:rPr>
          <w:rFonts w:cs="Simplified Arabic" w:hint="cs"/>
          <w:rtl/>
          <w:lang w:val="en-US"/>
        </w:rPr>
        <w:t>ه</w:t>
      </w:r>
      <w:r w:rsidRPr="00FD0158">
        <w:rPr>
          <w:rFonts w:cs="Simplified Arabic" w:hint="cs"/>
          <w:rtl/>
          <w:lang w:val="en-US"/>
        </w:rPr>
        <w:t>اري</w:t>
      </w:r>
      <w:r w:rsidR="002018C7">
        <w:rPr>
          <w:rFonts w:cs="Simplified Arabic" w:hint="cs"/>
          <w:rtl/>
          <w:lang w:val="en-US"/>
        </w:rPr>
        <w:t>،</w:t>
      </w:r>
      <w:r w:rsidRPr="00FD0158">
        <w:rPr>
          <w:rFonts w:cs="Simplified Arabic" w:hint="cs"/>
          <w:rtl/>
          <w:lang w:val="en-US"/>
        </w:rPr>
        <w:t xml:space="preserve"> من مركز التنمية المستدامة والبيئة </w:t>
      </w:r>
      <w:r w:rsidRPr="00FD0158">
        <w:rPr>
          <w:rFonts w:cs="Simplified Arabic"/>
          <w:lang w:val="en-US"/>
        </w:rPr>
        <w:t>(CENESTA)</w:t>
      </w:r>
      <w:r w:rsidRPr="00FD0158">
        <w:rPr>
          <w:rFonts w:cs="Simplified Arabic" w:hint="cs"/>
          <w:rtl/>
          <w:lang w:val="en-US"/>
        </w:rPr>
        <w:t xml:space="preserve"> في إيران</w:t>
      </w:r>
      <w:r w:rsidR="002018C7">
        <w:rPr>
          <w:rFonts w:cs="Simplified Arabic" w:hint="cs"/>
          <w:rtl/>
          <w:lang w:val="en-US"/>
        </w:rPr>
        <w:t>،</w:t>
      </w:r>
      <w:r w:rsidRPr="00FD0158">
        <w:rPr>
          <w:rFonts w:cs="Simplified Arabic" w:hint="cs"/>
          <w:rtl/>
          <w:lang w:val="en-US"/>
        </w:rPr>
        <w:t xml:space="preserve"> </w:t>
      </w:r>
      <w:r w:rsidR="002018C7">
        <w:rPr>
          <w:rFonts w:cs="Simplified Arabic" w:hint="cs"/>
          <w:rtl/>
          <w:lang w:val="en-US"/>
        </w:rPr>
        <w:t xml:space="preserve">تقريرا عن </w:t>
      </w:r>
      <w:r w:rsidRPr="00FD0158">
        <w:rPr>
          <w:rFonts w:cs="Simplified Arabic" w:hint="cs"/>
          <w:rtl/>
          <w:lang w:val="en-US"/>
        </w:rPr>
        <w:t xml:space="preserve">نتائج قمة الطبيعة والثقافة المنعقدة يومي 23 و24 نوفمبر/تشرين الثاني 2018، وقرأت الإعلان النهائي للقمة </w:t>
      </w:r>
      <w:r w:rsidR="000B6BBF">
        <w:t>(</w:t>
      </w:r>
      <w:r w:rsidR="000B6BBF" w:rsidRPr="00E843B6">
        <w:t>CBD/COP/14/INF/46</w:t>
      </w:r>
      <w:r w:rsidR="000B6BBF">
        <w:t>)</w:t>
      </w:r>
      <w:r w:rsidRPr="00FD0158">
        <w:rPr>
          <w:rFonts w:cs="Simplified Arabic" w:hint="cs"/>
          <w:rtl/>
          <w:lang w:val="en-US"/>
        </w:rPr>
        <w:t>.</w:t>
      </w:r>
    </w:p>
    <w:p w:rsidR="007458BB" w:rsidRDefault="000B6BBF" w:rsidP="00FF7FA5">
      <w:pPr>
        <w:pStyle w:val="ListParagraph"/>
        <w:numPr>
          <w:ilvl w:val="0"/>
          <w:numId w:val="11"/>
        </w:numPr>
        <w:bidi/>
        <w:spacing w:after="100" w:line="204" w:lineRule="auto"/>
        <w:ind w:left="0" w:firstLine="0"/>
        <w:rPr>
          <w:rFonts w:cs="Simplified Arabic"/>
        </w:rPr>
      </w:pPr>
      <w:r w:rsidRPr="00FD0158">
        <w:rPr>
          <w:rFonts w:cs="Simplified Arabic" w:hint="cs"/>
          <w:rtl/>
          <w:lang w:val="en-US"/>
        </w:rPr>
        <w:t>و</w:t>
      </w:r>
      <w:r w:rsidR="002018C7">
        <w:rPr>
          <w:rFonts w:cs="Simplified Arabic" w:hint="cs"/>
          <w:rtl/>
          <w:lang w:val="en-US"/>
        </w:rPr>
        <w:t>قدمت</w:t>
      </w:r>
      <w:r w:rsidRPr="00FD0158">
        <w:rPr>
          <w:rFonts w:cs="Simplified Arabic" w:hint="cs"/>
          <w:rtl/>
          <w:lang w:val="en-US"/>
        </w:rPr>
        <w:t xml:space="preserve"> السيدة كاثي أوكي، نائب رئيس ال</w:t>
      </w:r>
      <w:r w:rsidR="002018C7">
        <w:rPr>
          <w:rFonts w:cs="Simplified Arabic" w:hint="cs"/>
          <w:rtl/>
          <w:lang w:val="en-US"/>
        </w:rPr>
        <w:t>حكومات المحلية من أجل الاستدامة</w:t>
      </w:r>
      <w:r w:rsidRPr="00FD0158">
        <w:rPr>
          <w:rFonts w:cs="Simplified Arabic" w:hint="cs"/>
          <w:rtl/>
          <w:lang w:val="en-US"/>
        </w:rPr>
        <w:t xml:space="preserve">، </w:t>
      </w:r>
      <w:r w:rsidR="002018C7">
        <w:rPr>
          <w:rFonts w:cs="Simplified Arabic" w:hint="cs"/>
          <w:rtl/>
          <w:lang w:val="en-US"/>
        </w:rPr>
        <w:t xml:space="preserve">تقريرا عن </w:t>
      </w:r>
      <w:r w:rsidRPr="00FD0158">
        <w:rPr>
          <w:rFonts w:cs="Simplified Arabic" w:hint="cs"/>
          <w:rtl/>
          <w:lang w:val="en-US"/>
        </w:rPr>
        <w:t xml:space="preserve">نتائج القمة العالمية السادسة للتنوع البيولوجي للحكومات المحلية ودون الوطنية بشأن "تعميم التنوع البيولوجي من أجل التنمية الحضرية والإقليمية"، المنعقدة يومي 23 و24 نوفمبر/تشرين الثاني 2018. وقدمت نقاط بارزة لإعلان شرم الشيخ للعمل المحلي ودون الوطني من أجل الطبيعة والناس 2018 </w:t>
      </w:r>
      <w:r>
        <w:t>(</w:t>
      </w:r>
      <w:r w:rsidRPr="00E843B6">
        <w:t>CBD/COP/14/INF/</w:t>
      </w:r>
      <w:r>
        <w:t>48)</w:t>
      </w:r>
      <w:r w:rsidRPr="00FD0158">
        <w:rPr>
          <w:rFonts w:cs="Simplified Arabic" w:hint="cs"/>
          <w:rtl/>
          <w:lang w:val="en-US"/>
        </w:rPr>
        <w:t xml:space="preserve">، وقالت إنه نظرا لأن المستقبل هو للحضر، فإن جماعتها تدعم تسريع الإجراءات نحو الإطار العالمي للتنوع البيولوجي لما بعد عام 2020. </w:t>
      </w:r>
      <w:r w:rsidRPr="00FD0158">
        <w:rPr>
          <w:rFonts w:ascii="Simplified Arabic" w:hAnsi="Simplified Arabic" w:cs="Simplified Arabic"/>
          <w:color w:val="222222"/>
          <w:sz w:val="24"/>
          <w:rtl/>
        </w:rPr>
        <w:t>وينبغي تذكر الاجتماع في شرم الشيخ كاجتماع رئيسي على ال</w:t>
      </w:r>
      <w:r w:rsidRPr="00FD0158">
        <w:rPr>
          <w:rFonts w:ascii="Simplified Arabic" w:hAnsi="Simplified Arabic" w:cs="Simplified Arabic" w:hint="cs"/>
          <w:color w:val="222222"/>
          <w:sz w:val="24"/>
          <w:rtl/>
        </w:rPr>
        <w:t>مسار</w:t>
      </w:r>
      <w:r w:rsidRPr="00FD0158">
        <w:rPr>
          <w:rFonts w:ascii="Simplified Arabic" w:hAnsi="Simplified Arabic" w:cs="Simplified Arabic"/>
          <w:color w:val="222222"/>
          <w:sz w:val="24"/>
          <w:rtl/>
        </w:rPr>
        <w:t xml:space="preserve"> نحو ضمان حصول التنوع البيولوجي على الاعتراف نفسه الذي حصل عليه تغير المناخ بعد اعتماد اتفاق باريس </w:t>
      </w:r>
      <w:r w:rsidR="000B3F2B" w:rsidRPr="00FD0158">
        <w:rPr>
          <w:rFonts w:ascii="Simplified Arabic" w:hAnsi="Simplified Arabic" w:cs="Simplified Arabic" w:hint="cs"/>
          <w:color w:val="222222"/>
          <w:sz w:val="24"/>
          <w:rtl/>
        </w:rPr>
        <w:t xml:space="preserve">لاتفاقية الأمم المتحدة </w:t>
      </w:r>
      <w:r w:rsidRPr="00FD0158">
        <w:rPr>
          <w:rFonts w:ascii="Simplified Arabic" w:hAnsi="Simplified Arabic" w:cs="Simplified Arabic"/>
          <w:color w:val="222222"/>
          <w:sz w:val="24"/>
          <w:rtl/>
        </w:rPr>
        <w:t>الإطارية بشأن تغير المناخ في 12 ديسمبر</w:t>
      </w:r>
      <w:r w:rsidR="000B3F2B" w:rsidRPr="00FD0158">
        <w:rPr>
          <w:rFonts w:ascii="Simplified Arabic" w:hAnsi="Simplified Arabic" w:cs="Simplified Arabic" w:hint="cs"/>
          <w:color w:val="222222"/>
          <w:sz w:val="24"/>
          <w:rtl/>
        </w:rPr>
        <w:t>/كانون الأول</w:t>
      </w:r>
      <w:r w:rsidRPr="00FD0158">
        <w:rPr>
          <w:rFonts w:ascii="Simplified Arabic" w:hAnsi="Simplified Arabic" w:cs="Simplified Arabic"/>
          <w:color w:val="222222"/>
          <w:sz w:val="24"/>
          <w:rtl/>
        </w:rPr>
        <w:t xml:space="preserve"> 2015</w:t>
      </w:r>
      <w:r w:rsidR="000B3F2B" w:rsidRPr="00FD0158">
        <w:rPr>
          <w:rFonts w:ascii="Simplified Arabic" w:hAnsi="Simplified Arabic" w:cs="Simplified Arabic" w:hint="cs"/>
          <w:color w:val="222222"/>
          <w:sz w:val="24"/>
          <w:rtl/>
        </w:rPr>
        <w:t>.</w:t>
      </w:r>
    </w:p>
    <w:p w:rsidR="007458BB" w:rsidRDefault="000B3F2B" w:rsidP="000A28EA">
      <w:pPr>
        <w:pStyle w:val="ListParagraph"/>
        <w:numPr>
          <w:ilvl w:val="0"/>
          <w:numId w:val="11"/>
        </w:numPr>
        <w:bidi/>
        <w:spacing w:after="100" w:line="204" w:lineRule="auto"/>
        <w:ind w:left="0" w:firstLine="0"/>
        <w:rPr>
          <w:rFonts w:cs="Simplified Arabic"/>
        </w:rPr>
      </w:pPr>
      <w:r w:rsidRPr="00FD0158">
        <w:rPr>
          <w:rFonts w:cs="Simplified Arabic" w:hint="cs"/>
          <w:rtl/>
          <w:lang w:val="en-US"/>
        </w:rPr>
        <w:t>وقدمت السيدة شيلا وارتز- كانونيكوف، أم</w:t>
      </w:r>
      <w:r w:rsidR="000A28EA">
        <w:rPr>
          <w:rFonts w:cs="Simplified Arabic" w:hint="cs"/>
          <w:rtl/>
          <w:lang w:val="en-US"/>
        </w:rPr>
        <w:t>ا</w:t>
      </w:r>
      <w:r w:rsidRPr="00FD0158">
        <w:rPr>
          <w:rFonts w:cs="Simplified Arabic" w:hint="cs"/>
          <w:rtl/>
          <w:lang w:val="en-US"/>
        </w:rPr>
        <w:t xml:space="preserve">نة الشراكة التعاونية بشأن الإدارة المستدامة للأحياء البرية والفاو، </w:t>
      </w:r>
      <w:r w:rsidR="002018C7">
        <w:rPr>
          <w:rFonts w:cs="Simplified Arabic" w:hint="cs"/>
          <w:rtl/>
          <w:lang w:val="en-US"/>
        </w:rPr>
        <w:t xml:space="preserve">تقريرا </w:t>
      </w:r>
      <w:r w:rsidRPr="00FD0158">
        <w:rPr>
          <w:rFonts w:cs="Simplified Arabic" w:hint="cs"/>
          <w:rtl/>
          <w:lang w:val="en-US"/>
        </w:rPr>
        <w:t>عن المنتدى الثاني للأحياء البرية الذي انعقد في 21 نوفمبر/تشرين الثاني 2018 بشأن الشعار "الاستخدام المستدام للحفظ وسبل العيش"، مع مفوضية الاتحاد الأفريقي. وقالت أن المنتدى جمع أصحاب المصلحة عبر العالم لمناقشة الخبرات والسعي إلى إيجاد حلول مبتكرة لصحة الإنسان وأمنه والأحياء البرية، وأزمة اللحوم البرية والاستخدام غير المستدام للأحياء البرية. وقالت إن أكثر من 170 مشاركا في الاجتماع و500 مشاركين إضافيين عبر فيس بوك قد اشتركوا في جلسات بشأن: صحة وأمن الناس والأحياء البرية؛ وتقاسم اللحوم البرية؛ وتسوية النزاعات بين استخدامات الكفاف والاستخدامات التجارية؛ من أماكن في أفريقيا إلى الجروف في آسيا؛ والحلوم للاستخدام غير المستدام للأحياء البرية والتجارة غير المشروعة؛ والأحياء البرية والناس في عام 2050؛ ورؤية للإدارة المستدامة للأحياء البرية</w:t>
      </w:r>
      <w:r w:rsidR="007155F1" w:rsidRPr="00FD0158">
        <w:rPr>
          <w:rFonts w:cs="Simplified Arabic" w:hint="cs"/>
          <w:rtl/>
          <w:lang w:val="en-US"/>
        </w:rPr>
        <w:t>.</w:t>
      </w:r>
      <w:r w:rsidRPr="00FD0158">
        <w:rPr>
          <w:rFonts w:cs="Simplified Arabic" w:hint="cs"/>
          <w:rtl/>
          <w:lang w:val="en-US"/>
        </w:rPr>
        <w:t xml:space="preserve"> وأضافت أن المناقشات ستسهم في تحديد الأولويات بشأن الإدارة المستدامة للأحياء البرية في </w:t>
      </w:r>
      <w:r w:rsidR="007155F1" w:rsidRPr="00FD0158">
        <w:rPr>
          <w:rFonts w:cs="Simplified Arabic" w:hint="cs"/>
          <w:rtl/>
          <w:lang w:val="en-US"/>
        </w:rPr>
        <w:t>إطار التنوع البيولوجي لما بعد عام 2020.</w:t>
      </w:r>
      <w:r w:rsidR="00377270">
        <w:rPr>
          <w:rFonts w:cs="Simplified Arabic" w:hint="cs"/>
          <w:rtl/>
        </w:rPr>
        <w:t xml:space="preserve"> وعرض شريط فيديو بعنوان "معا، نحن أقوياء"، </w:t>
      </w:r>
      <w:r w:rsidR="00377270">
        <w:rPr>
          <w:rFonts w:cs="Simplified Arabic" w:hint="cs"/>
          <w:rtl/>
        </w:rPr>
        <w:lastRenderedPageBreak/>
        <w:t xml:space="preserve">بشأن العمل الذي تقوم به الشراكة، وعرضت السيدة باشكا بالمر جائزة مارهور </w:t>
      </w:r>
      <w:r w:rsidR="00377270">
        <w:rPr>
          <w:rFonts w:cs="Simplified Arabic" w:hint="cs"/>
          <w:rtl/>
          <w:lang w:val="en-US"/>
        </w:rPr>
        <w:t>لفترة السنتين التابعة للمجلس الدولي للصيد وحفظ الأحياء البرية إلى الوكالة الفنلندية للأحياء البرية على مشروعها "الحياة+ العودة إلى الأراضي الرطبة الريفية" لضمان أن تظل الأراضي الرطبة جزء من "المناظر الطبيعية الحية". وأعلنت هنغاريا عن عزمها استضافة منتدى الأحياء البرية في بودابست في عام 2021.</w:t>
      </w:r>
    </w:p>
    <w:p w:rsidR="00FD0158" w:rsidRDefault="00377270" w:rsidP="00FF7FA5">
      <w:pPr>
        <w:pStyle w:val="ListParagraph"/>
        <w:numPr>
          <w:ilvl w:val="0"/>
          <w:numId w:val="11"/>
        </w:numPr>
        <w:bidi/>
        <w:spacing w:after="100" w:line="204" w:lineRule="auto"/>
        <w:ind w:left="0" w:firstLine="0"/>
        <w:rPr>
          <w:rFonts w:cs="Simplified Arabic"/>
        </w:rPr>
      </w:pPr>
      <w:r>
        <w:rPr>
          <w:rFonts w:cs="Simplified Arabic" w:hint="cs"/>
          <w:rtl/>
        </w:rPr>
        <w:t xml:space="preserve">وقدمت السيدة ليلي رودريغس تقريرا عن منتدى العلوم الرابع، الذي نظمه الاتحاد الدولي للعلوم البيولوجية بالاشتراك مع المفوضية الأوروبية، وبدعم من الآلية الأوروبية للمعارف والتعلم من أجل تحسين التفاعل البيني بين السياسات والعلوم والمجتمع بشأن التنوع البيولوجي وخدمات النظم الإيكولوجية </w:t>
      </w:r>
      <w:r w:rsidR="00590A9B">
        <w:rPr>
          <w:rFonts w:cs="Simplified Arabic"/>
          <w:lang w:val="en-US"/>
        </w:rPr>
        <w:t>(EKLIPSE)</w:t>
      </w:r>
      <w:r w:rsidR="00590A9B">
        <w:rPr>
          <w:rFonts w:cs="Simplified Arabic" w:hint="cs"/>
          <w:rtl/>
        </w:rPr>
        <w:t xml:space="preserve">، والمعهد الأمريكي المشترك لبحوث التغير العالمي وأمانة الاتفاقية. وقالت إن المناقشات تناولت بحث التحديات أمام تفعيل التحولات والتغير التحويلي لتحقيق رؤية عام 2050 للتنوع البيولوجي. وأضافت الحاجة إلى بذل جهود قوية على جميع المستويات لتعميم التنوع البيولوجي من أجل ضمان التوازن بين التنمية والحفظ وإيجاد الترابط الإيكولوجي والاجتماعي والسياسي. فمفوم أن المشاكل العالمية ينبغي علحا مع الحلول المحلية سيتطلب اتصالات أكثر فعالية، ونماذج للسياسات والحوكمة. ومثل هذه التغيرات السياسية تقتضي دمج العلوم الطبيعية مع العلوم الاجتماعية لإيجاد أجوبة قاطعة لواضعي السياسات، مع الاعتبار المطلوب للمعارف المحلية والتقليدية. وقالت إن رؤية عام 2050 ينبغي أن تكون متعددة الأبعاد، مع الطبيعة من أجل الطبيعة، والطبيعة من أجل المجتمع والطبيعة كجزء من الثقافات، والسعي إلى إيجاد التوازن لتحقيق الرؤية المشتركة للحياة في تناغم مع الطبيعة. وذكرت أن منع حالات الانقراض، وعكس مسار التدهور، والحفاظ على تكامل النظم الإيكولوجية واستعادتها لن يكون كافيا، وينبغي إعطاء الأولية للدوافع الرئيسية وراء فقدان التنوع البيولوجي، التي كانت في الغال خارجية. وتشكل الحلول المستندة إلى الطبيعة واحدة من أحسن الوسائل للترابط مع الخطط العالمية مثل الأهداف التنمية المستدامة وتغير المناخ. وستكون هنا ك حاجة إلى نوعين من الابتكارات </w:t>
      </w:r>
      <w:r w:rsidR="00590A9B">
        <w:rPr>
          <w:rFonts w:cs="Simplified Arabic"/>
          <w:rtl/>
        </w:rPr>
        <w:t>–</w:t>
      </w:r>
      <w:r w:rsidR="00590A9B">
        <w:rPr>
          <w:rFonts w:cs="Simplified Arabic" w:hint="cs"/>
          <w:rtl/>
        </w:rPr>
        <w:t xml:space="preserve"> الإضافية والراديكالية. ووينبغي أن تقدم العلوم فهما للمبادلات بين التنمية والحفظ وتحديد العتبات ل</w:t>
      </w:r>
      <w:r w:rsidR="00590A9B">
        <w:rPr>
          <w:rFonts w:cs="Simplified Arabic" w:hint="cs"/>
          <w:rtl/>
        </w:rPr>
        <w:tab/>
        <w:t>مان الاستخدام المستدام للتنوع البيولوجي. ويوصي الاتحاد الدولي للعلوم البيولوجية بتهيئة الظروف التمكينية، مثل زيادة التوعية، والمعلومات لقياس التقدم المحرز وتمويل الحلول المجدية من حيث التكلفة لتنفيذ خطة ما بعد عام 2020.</w:t>
      </w:r>
    </w:p>
    <w:p w:rsidR="007458BB" w:rsidRPr="00FD0158" w:rsidRDefault="003C5900" w:rsidP="00FF7FA5">
      <w:pPr>
        <w:pStyle w:val="ListParagraph"/>
        <w:numPr>
          <w:ilvl w:val="0"/>
          <w:numId w:val="11"/>
        </w:numPr>
        <w:bidi/>
        <w:spacing w:after="100" w:line="204" w:lineRule="auto"/>
        <w:ind w:left="0" w:firstLine="0"/>
        <w:rPr>
          <w:rFonts w:cs="Simplified Arabic"/>
        </w:rPr>
      </w:pPr>
      <w:r>
        <w:rPr>
          <w:rFonts w:cs="Simplified Arabic" w:hint="cs"/>
          <w:rtl/>
        </w:rPr>
        <w:t>وأفادت السيدة ماري- كلير كوردوني</w:t>
      </w:r>
      <w:r w:rsidR="000A28EA">
        <w:rPr>
          <w:rFonts w:cs="Simplified Arabic" w:hint="cs"/>
          <w:rtl/>
        </w:rPr>
        <w:t>يه سيغ</w:t>
      </w:r>
      <w:r>
        <w:rPr>
          <w:rFonts w:cs="Simplified Arabic" w:hint="cs"/>
          <w:rtl/>
        </w:rPr>
        <w:t>ر، مركز القانون الدولي للتنمية المستدامة وكلية القانون الدولي للتنمية المستدامة، بأن الأطراف والمراقبين في الاتفاقية والاتفاقات الأخرى المتعلقة بالتنوع البيولوجي يجتمعون قانونا عالميا للتنوع البيولوجي ومجتمع حوكمة الممارسات من أجل دعم تنفيذ الاتفاقية وأهداف التنمية المستدامة. ويمكن أن تزيد الإصلاحات القانونية والمؤسسية النافذة بحرفية والموثوقة الحواجز أمام تحقيق أهداف الاتفاقية. وقد حدد اليوم الثاني لقانون التنوع البيولوجي والحوكمة ابتكارات وتبادل الخبرات ووسيلة للمضي قدما في تعميم التنوع البيولوجي في قطاعات أخرى من خلال القانون، والمشاركة العامة، والحصول على المعلومات والتقييمات البيئية، بما في ذلك التقييم الاستراتيجي. وقد يكون من المفيد توفير أدوات قانونية وأدوات الحوكمة، بما في ذلك النُهج القائمة على الحقوق ومعاهدات الشعوب الأصلية، لتحقيق أهداف الخطة الاستراتيجية 2020. ويمكن أن تقدم التدابير القانونية إطارا للتكنولوجيات الناشئة وتسهم في أهداف بروتوكول ناغويا. واشتركت أكثر من 320 معاهدة ومنظمة دولية في التنوع البيولوجي والنظم الإيكولوجية، وآليات القانو والحوكمة يمكن استخدامها لتحسين التنسيق والتماسك فيما بينها. وتمثلت أهداف الحدث في تبادل التحديات القانونية والمؤسسية الابتكارية، والآليات وأفضل الممارسات؛ وتحفيز تبادل المعارف لإيجاد نُهج جديدة وفهم جديد&lt; ودعم الابتكار القانوني والسياسي، والعمل وتنمية القدرات من أجل تنفيذ الاتفاقية.</w:t>
      </w:r>
    </w:p>
    <w:p w:rsidR="007458BB" w:rsidRPr="00816871" w:rsidRDefault="007458BB" w:rsidP="000A28EA">
      <w:pPr>
        <w:spacing w:after="100" w:line="204" w:lineRule="auto"/>
        <w:jc w:val="center"/>
        <w:rPr>
          <w:i/>
          <w:iCs/>
        </w:rPr>
      </w:pPr>
      <w:r w:rsidRPr="00816871">
        <w:rPr>
          <w:rFonts w:hint="cs"/>
          <w:i/>
          <w:iCs/>
          <w:rtl/>
        </w:rPr>
        <w:t>جائزة ميدوري للتنوع البيولوجي لعام 2018</w:t>
      </w:r>
    </w:p>
    <w:p w:rsidR="007458BB" w:rsidRPr="00816871" w:rsidRDefault="007458BB" w:rsidP="00FF7FA5">
      <w:pPr>
        <w:numPr>
          <w:ilvl w:val="0"/>
          <w:numId w:val="11"/>
        </w:numPr>
        <w:spacing w:after="100" w:line="204" w:lineRule="auto"/>
        <w:ind w:left="0" w:firstLine="0"/>
      </w:pPr>
      <w:r w:rsidRPr="00816871">
        <w:rPr>
          <w:rFonts w:hint="cs"/>
          <w:rtl/>
        </w:rPr>
        <w:t xml:space="preserve">في الجلسة العامة الثانية للاجتماع، المنعقدة في 17 نوفمبر/تشرين الثاني 2018، عقد احتفال بجائزة ميدوري للتنوع البيولوجي لعام 2018. وقدمت السيدة باشكا بالمر الجائزة وفيلم عن أعمال الفائزين بالجائزة في عام 2018، السيدة كاثي ماكينون، رئيسة اللجنة العالمية بشأن المناطق المحمية في الاتحاد الدولي لحفظ الطبيعة </w:t>
      </w:r>
      <w:r w:rsidRPr="00816871">
        <w:t>(IUCN)</w:t>
      </w:r>
      <w:r w:rsidRPr="00816871">
        <w:rPr>
          <w:rFonts w:hint="cs"/>
          <w:rtl/>
        </w:rPr>
        <w:t>؛ والسيد أسعد سرحال، المدير العام لجمعية حماية الطبيعة في لبنان؛ والسيد عبد الحميد زكي، الرئيس المشارك لمجموعة الصناعة والحكومة من أجل التكنولوجيا الفائقة؛ والسيد حمد الله زيدان من حكومة مصر.</w:t>
      </w:r>
    </w:p>
    <w:p w:rsidR="007458BB" w:rsidRPr="00816871" w:rsidRDefault="007458BB" w:rsidP="000A28EA">
      <w:pPr>
        <w:spacing w:after="100" w:line="204" w:lineRule="auto"/>
        <w:jc w:val="center"/>
        <w:rPr>
          <w:i/>
          <w:iCs/>
          <w:rtl/>
        </w:rPr>
      </w:pPr>
      <w:r w:rsidRPr="00816871">
        <w:rPr>
          <w:rFonts w:hint="cs"/>
          <w:i/>
          <w:iCs/>
          <w:rtl/>
        </w:rPr>
        <w:lastRenderedPageBreak/>
        <w:t>جائزة كشف المسار للابتكارات وحفظ الطبيعة</w:t>
      </w:r>
    </w:p>
    <w:p w:rsidR="007458BB" w:rsidRPr="00816871" w:rsidRDefault="007458BB" w:rsidP="00FF7FA5">
      <w:pPr>
        <w:numPr>
          <w:ilvl w:val="0"/>
          <w:numId w:val="11"/>
        </w:numPr>
        <w:spacing w:after="100" w:line="204" w:lineRule="auto"/>
        <w:ind w:left="0" w:firstLine="0"/>
      </w:pPr>
      <w:r w:rsidRPr="00816871">
        <w:rPr>
          <w:rFonts w:hint="cs"/>
          <w:rtl/>
        </w:rPr>
        <w:t>في الجلسة العامة الثانية للاجتماع، المنعقدة في 17 نوفمبر/تشرين الثاني 2018، عقد احتفال لتقديم جائزة عام 2018 لكشف المسار للابتكارات وحفظ الطبيعة، التي أنشئت للاعتراف بالحلول الابتكارية الفائقة لتمويل المناطق المحمية ومناطق الحفظ. وقدمت الجوائز السيد تريفور سانويث، مدير البرنامج العالمي للمناطق المحمية في الاتحاد الدولي لحفظ الطبيعة والسيدة ميدوري باكستون، رئيسة النظم الإيكولوجية والتنوع البيولوجي في برنامج الأمم المتحدة الإنمائي (يوئنديبي). وقدمت بعد ذلك الجوائز التالية:</w:t>
      </w:r>
    </w:p>
    <w:p w:rsidR="007458BB" w:rsidRPr="00816871" w:rsidRDefault="007458BB" w:rsidP="00FF7FA5">
      <w:pPr>
        <w:pStyle w:val="ListParagraph"/>
        <w:numPr>
          <w:ilvl w:val="0"/>
          <w:numId w:val="7"/>
        </w:numPr>
        <w:bidi/>
        <w:spacing w:after="0" w:line="216" w:lineRule="auto"/>
        <w:rPr>
          <w:rFonts w:cs="Simplified Arabic"/>
        </w:rPr>
      </w:pPr>
      <w:r w:rsidRPr="00816871">
        <w:rPr>
          <w:rFonts w:cs="Simplified Arabic" w:hint="cs"/>
          <w:rtl/>
        </w:rPr>
        <w:t xml:space="preserve">الفائزة: صندوق بريسبا أوهريد للطبيعة </w:t>
      </w:r>
      <w:r w:rsidRPr="00816871">
        <w:rPr>
          <w:rFonts w:cs="Simplified Arabic"/>
          <w:lang w:val="en-US"/>
        </w:rPr>
        <w:t>(PONT)</w:t>
      </w:r>
      <w:r w:rsidRPr="00816871">
        <w:rPr>
          <w:rFonts w:cs="Simplified Arabic" w:hint="cs"/>
          <w:rtl/>
        </w:rPr>
        <w:t>، لإنشاء تمويل طويل الأجل والمستعمل أيضا لجذب التمويل المشترك لأنشطة الحفظ المهمة</w:t>
      </w:r>
    </w:p>
    <w:p w:rsidR="007458BB" w:rsidRPr="00816871" w:rsidRDefault="007458BB" w:rsidP="00FF7FA5">
      <w:pPr>
        <w:pStyle w:val="ListParagraph"/>
        <w:numPr>
          <w:ilvl w:val="0"/>
          <w:numId w:val="7"/>
        </w:numPr>
        <w:bidi/>
        <w:spacing w:after="0" w:line="216" w:lineRule="auto"/>
        <w:rPr>
          <w:rFonts w:cs="Simplified Arabic"/>
        </w:rPr>
      </w:pPr>
      <w:r w:rsidRPr="00816871">
        <w:rPr>
          <w:rFonts w:cs="Simplified Arabic" w:hint="cs"/>
          <w:rtl/>
        </w:rPr>
        <w:t xml:space="preserve">الفائز الثاني: مساعدة رأس المال الاجتماعي </w:t>
      </w:r>
      <w:r w:rsidRPr="00816871">
        <w:rPr>
          <w:rFonts w:cs="Simplified Arabic"/>
          <w:lang w:val="en-US"/>
        </w:rPr>
        <w:t>CIC</w:t>
      </w:r>
      <w:r w:rsidRPr="00816871">
        <w:rPr>
          <w:rFonts w:cs="Simplified Arabic" w:hint="cs"/>
          <w:rtl/>
        </w:rPr>
        <w:t xml:space="preserve"> في الواحات: الحصول المفتوح على تدفقات الدخل المستقل المستدام</w:t>
      </w:r>
    </w:p>
    <w:p w:rsidR="007458BB" w:rsidRPr="00816871" w:rsidRDefault="007458BB" w:rsidP="00FF7FA5">
      <w:pPr>
        <w:pStyle w:val="ListParagraph"/>
        <w:numPr>
          <w:ilvl w:val="0"/>
          <w:numId w:val="7"/>
        </w:numPr>
        <w:bidi/>
        <w:spacing w:after="0" w:line="216" w:lineRule="auto"/>
        <w:rPr>
          <w:rFonts w:cs="Simplified Arabic"/>
        </w:rPr>
      </w:pPr>
      <w:r w:rsidRPr="00816871">
        <w:rPr>
          <w:rFonts w:cs="Simplified Arabic" w:hint="cs"/>
          <w:rtl/>
          <w:lang w:val="en-US"/>
        </w:rPr>
        <w:t>إشادة خاصة: السيدة كانديس ستيفنز من منظمة حياة الطيور الدولية في جنوب أفريقيا وحكومة جنوب أفريقيا على الحوافز الضريبية للتنوع البيولوجي لشبكة المناطق المحمية في جنوب أفريقيا</w:t>
      </w:r>
    </w:p>
    <w:p w:rsidR="007458BB" w:rsidRPr="00816871" w:rsidRDefault="007458BB" w:rsidP="00FF7FA5">
      <w:pPr>
        <w:pStyle w:val="ListParagraph"/>
        <w:numPr>
          <w:ilvl w:val="0"/>
          <w:numId w:val="7"/>
        </w:numPr>
        <w:bidi/>
        <w:spacing w:line="216" w:lineRule="auto"/>
        <w:rPr>
          <w:rFonts w:cs="Simplified Arabic"/>
        </w:rPr>
      </w:pPr>
      <w:r w:rsidRPr="00816871">
        <w:rPr>
          <w:rFonts w:cs="Simplified Arabic" w:hint="cs"/>
          <w:rtl/>
        </w:rPr>
        <w:t>إشادة خاصة: مؤسسة المحمية الجغرافية ماسونغي في الفلبين، من أجل نموذج المحمية الجغرافية: الهندسة المراعية كوسيلة لبناء قيمة السياحة المستدامة والدخل في مناطق الحفظ.</w:t>
      </w:r>
    </w:p>
    <w:p w:rsidR="007458BB" w:rsidRPr="00816871" w:rsidRDefault="005C5CBF" w:rsidP="000A28EA">
      <w:pPr>
        <w:spacing w:after="100" w:line="204" w:lineRule="auto"/>
        <w:jc w:val="center"/>
        <w:rPr>
          <w:i/>
          <w:iCs/>
          <w:rtl/>
        </w:rPr>
      </w:pPr>
      <w:r>
        <w:rPr>
          <w:rFonts w:hint="cs"/>
          <w:i/>
          <w:iCs/>
          <w:rtl/>
        </w:rPr>
        <w:t>جوائز آلية غرفة تبادل المعلومات لعام 2018</w:t>
      </w:r>
    </w:p>
    <w:p w:rsidR="00FD0158" w:rsidRDefault="005C5CBF" w:rsidP="00FF7FA5">
      <w:pPr>
        <w:pStyle w:val="Para10"/>
        <w:numPr>
          <w:ilvl w:val="0"/>
          <w:numId w:val="11"/>
        </w:numPr>
        <w:bidi/>
        <w:spacing w:before="0" w:after="100" w:line="204" w:lineRule="auto"/>
        <w:ind w:left="0" w:firstLine="0"/>
        <w:rPr>
          <w:rFonts w:cs="Simplified Arabic"/>
          <w:szCs w:val="24"/>
          <w:lang w:val="en-US"/>
        </w:rPr>
      </w:pPr>
      <w:r>
        <w:rPr>
          <w:rFonts w:cs="Simplified Arabic" w:hint="cs"/>
          <w:szCs w:val="24"/>
          <w:rtl/>
          <w:lang w:val="en-US"/>
        </w:rPr>
        <w:t>في الجلسة العامة الخامسة للاجتماع، المنعقدة في 25 نوفمبر/تشرين الثاني 2018، عقد احتفال لتقديم جوائز  آلية عرفة تبادل المعلومات. وقيب تقديم الجوائز، أشاد الاجتماع إشادة خاصة بالسيد أوليفيه دي مونك، الذي قاد تطوير آلية غرفة تبادل المعلومات ووافته المنية في وقت مبكر من هذا العام. وهناك فئت</w:t>
      </w:r>
      <w:r w:rsidR="00BF41F0">
        <w:rPr>
          <w:rFonts w:cs="Simplified Arabic" w:hint="cs"/>
          <w:szCs w:val="24"/>
          <w:rtl/>
          <w:lang w:val="en-US"/>
        </w:rPr>
        <w:t>ا</w:t>
      </w:r>
      <w:r>
        <w:rPr>
          <w:rFonts w:cs="Simplified Arabic" w:hint="cs"/>
          <w:szCs w:val="24"/>
          <w:rtl/>
          <w:lang w:val="en-US"/>
        </w:rPr>
        <w:t xml:space="preserve">ن للجوائز: الدرجة الأولى للأطراف التي أنشأت آلياتها الوطنية لغرفة تبادل المعلومات قبل الاجتماع الثالث عشر لمؤتمر الأطراف والدرجة الثانية للأطراف التي ستنشئ </w:t>
      </w:r>
      <w:r w:rsidR="00BF41F0">
        <w:rPr>
          <w:rFonts w:cs="Simplified Arabic" w:hint="cs"/>
          <w:szCs w:val="24"/>
          <w:rtl/>
          <w:lang w:val="en-US"/>
        </w:rPr>
        <w:t>آلياتها الوطنية لغرفة تبادل المعلومات بين الاجتماعين الثالث عشر والرابع عشر لمؤتمر الأطراف. ومنحت كل جائزة في ثلاث درجات: الذهبية والفضية والبرونزية. وفيما يلي الجوائز المقدمة:</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الثانية: الذهبية" إندونيسيا</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الثانية: الفضية: سريلانكا</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الثانية: البرونزية: غينيا- بيساو</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الأولى: الذهبية: بوروندي</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الأولى: الفضية: كولومبيا</w:t>
      </w:r>
    </w:p>
    <w:p w:rsidR="00BF41F0" w:rsidRDefault="004D47F5"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الدرجة الأولى: البرونزية: المغ</w:t>
      </w:r>
      <w:r w:rsidR="00BF41F0">
        <w:rPr>
          <w:rFonts w:cs="Simplified Arabic" w:hint="cs"/>
          <w:szCs w:val="24"/>
          <w:rtl/>
          <w:lang w:val="en-US"/>
        </w:rPr>
        <w:t>رب</w:t>
      </w:r>
    </w:p>
    <w:p w:rsidR="00BF41F0" w:rsidRDefault="00BF41F0" w:rsidP="00FF7FA5">
      <w:pPr>
        <w:pStyle w:val="Para10"/>
        <w:numPr>
          <w:ilvl w:val="0"/>
          <w:numId w:val="12"/>
        </w:numPr>
        <w:bidi/>
        <w:spacing w:before="0" w:after="0" w:line="216" w:lineRule="auto"/>
        <w:rPr>
          <w:rFonts w:cs="Simplified Arabic"/>
          <w:szCs w:val="24"/>
          <w:lang w:val="en-US"/>
        </w:rPr>
      </w:pPr>
      <w:r>
        <w:rPr>
          <w:rFonts w:cs="Simplified Arabic" w:hint="cs"/>
          <w:szCs w:val="24"/>
          <w:rtl/>
          <w:lang w:val="en-US"/>
        </w:rPr>
        <w:t>إشادة خاصة مع شهادة إنجاز: كندا، وغواتيمالا، وهندوراس وماليزيا.</w:t>
      </w:r>
    </w:p>
    <w:p w:rsidR="00BE3594" w:rsidRDefault="00BE3594" w:rsidP="00BE3594">
      <w:pPr>
        <w:pStyle w:val="Para10"/>
        <w:numPr>
          <w:ilvl w:val="0"/>
          <w:numId w:val="0"/>
        </w:numPr>
        <w:bidi/>
        <w:spacing w:before="0" w:after="0" w:line="216" w:lineRule="auto"/>
        <w:rPr>
          <w:rFonts w:cs="Simplified Arabic"/>
          <w:szCs w:val="24"/>
          <w:lang w:val="en-US"/>
        </w:rPr>
      </w:pPr>
    </w:p>
    <w:p w:rsidR="004D3A10" w:rsidRPr="0060267F" w:rsidRDefault="004D3A10" w:rsidP="004D3A10">
      <w:pPr>
        <w:pStyle w:val="Para10"/>
        <w:numPr>
          <w:ilvl w:val="0"/>
          <w:numId w:val="0"/>
        </w:numPr>
        <w:bidi/>
        <w:spacing w:before="0" w:line="216" w:lineRule="auto"/>
        <w:jc w:val="center"/>
        <w:rPr>
          <w:rFonts w:ascii="Simplified Arabic" w:hAnsi="Simplified Arabic" w:cs="Simplified Arabic"/>
          <w:sz w:val="24"/>
          <w:szCs w:val="24"/>
          <w:rtl/>
          <w:lang w:val="en-US"/>
        </w:rPr>
      </w:pPr>
      <w:r>
        <w:rPr>
          <w:rFonts w:ascii="Simplified Arabic" w:hAnsi="Simplified Arabic" w:cs="Simplified Arabic" w:hint="cs"/>
          <w:sz w:val="24"/>
          <w:szCs w:val="24"/>
          <w:rtl/>
          <w:lang w:val="en-US"/>
        </w:rPr>
        <w:t>_________</w:t>
      </w:r>
    </w:p>
    <w:sectPr w:rsidR="004D3A10" w:rsidRPr="0060267F" w:rsidSect="002B6FB4">
      <w:headerReference w:type="even" r:id="rId93"/>
      <w:headerReference w:type="default" r:id="rId94"/>
      <w:headerReference w:type="first" r:id="rId95"/>
      <w:type w:val="continuous"/>
      <w:pgSz w:w="12240" w:h="15840" w:code="1"/>
      <w:pgMar w:top="1008" w:right="1440" w:bottom="1008" w:left="1440" w:header="461"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3EE" w:rsidRDefault="002F53EE">
      <w:r>
        <w:separator/>
      </w:r>
    </w:p>
  </w:endnote>
  <w:endnote w:type="continuationSeparator" w:id="0">
    <w:p w:rsidR="002F53EE" w:rsidRDefault="002F5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ourier">
    <w:panose1 w:val="02070409020205020404"/>
    <w:charset w:val="00"/>
    <w:family w:val="modern"/>
    <w:notTrueType/>
    <w:pitch w:val="fixed"/>
    <w:sig w:usb0="00000003" w:usb1="00000000" w:usb2="00000000" w:usb3="00000000" w:csb0="00000001" w:csb1="00000000"/>
  </w:font>
  <w:font w:name="YouYuan">
    <w:altName w:val="Arial Unicode MS"/>
    <w:charset w:val="86"/>
    <w:family w:val="modern"/>
    <w:pitch w:val="fixed"/>
    <w:sig w:usb0="00000000"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Neue">
    <w:altName w:val="Arial"/>
    <w:charset w:val="00"/>
    <w:family w:val="roman"/>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BE" w:rsidRDefault="00CB03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BE" w:rsidRDefault="00CB03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BE" w:rsidRDefault="00CB03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3EE" w:rsidRDefault="002F53EE" w:rsidP="003C7D74">
      <w:pPr>
        <w:spacing w:after="0"/>
      </w:pPr>
      <w:r>
        <w:separator/>
      </w:r>
    </w:p>
  </w:footnote>
  <w:footnote w:type="continuationSeparator" w:id="0">
    <w:p w:rsidR="002F53EE" w:rsidRDefault="002F53EE">
      <w:r>
        <w:continuationSeparator/>
      </w:r>
    </w:p>
  </w:footnote>
  <w:footnote w:id="1">
    <w:p w:rsidR="000C66C6" w:rsidRDefault="000C66C6" w:rsidP="0044570B">
      <w:pPr>
        <w:pStyle w:val="FootnoteText"/>
      </w:pPr>
      <w:r>
        <w:rPr>
          <w:rStyle w:val="FootnoteReference"/>
        </w:rPr>
        <w:footnoteRef/>
      </w:r>
      <w:r>
        <w:rPr>
          <w:rtl/>
        </w:rPr>
        <w:t xml:space="preserve"> </w:t>
      </w:r>
      <w:r w:rsidRPr="00FF662B">
        <w:rPr>
          <w:rFonts w:eastAsia="YouYuan" w:hint="cs"/>
          <w:kern w:val="2"/>
          <w:rtl/>
          <w:lang w:eastAsia="en-US"/>
        </w:rPr>
        <w:t>المقرر</w:t>
      </w:r>
      <w:r w:rsidRPr="00D6357D">
        <w:rPr>
          <w:rFonts w:eastAsia="YouYuan" w:hint="cs"/>
          <w:kern w:val="2"/>
          <w:rtl/>
          <w:lang w:eastAsia="en-US"/>
        </w:rPr>
        <w:t xml:space="preserve"> </w:t>
      </w:r>
      <w:hyperlink r:id="rId1" w:history="1">
        <w:r w:rsidRPr="00D6357D">
          <w:rPr>
            <w:rFonts w:eastAsia="YouYuan" w:hint="cs"/>
            <w:color w:val="0000FF"/>
            <w:kern w:val="2"/>
            <w:u w:val="single"/>
            <w:rtl/>
            <w:lang w:eastAsia="en-US"/>
          </w:rPr>
          <w:t>10/2</w:t>
        </w:r>
      </w:hyperlink>
      <w:r w:rsidRPr="00D6357D">
        <w:rPr>
          <w:rFonts w:eastAsia="YouYuan" w:hint="cs"/>
          <w:kern w:val="2"/>
          <w:rtl/>
          <w:lang w:eastAsia="en-US"/>
        </w:rPr>
        <w:t>، المرفق.</w:t>
      </w:r>
    </w:p>
  </w:footnote>
  <w:footnote w:id="2">
    <w:p w:rsidR="000C66C6" w:rsidRPr="00C75BDA" w:rsidRDefault="000C66C6" w:rsidP="0044570B">
      <w:pPr>
        <w:pStyle w:val="FootnoteText"/>
        <w:rPr>
          <w:lang w:val="en-CA"/>
        </w:rPr>
      </w:pPr>
      <w:r>
        <w:rPr>
          <w:rStyle w:val="FootnoteReference"/>
        </w:rPr>
        <w:footnoteRef/>
      </w:r>
      <w:r>
        <w:rPr>
          <w:rtl/>
        </w:rPr>
        <w:t xml:space="preserve"> </w:t>
      </w:r>
      <w:r w:rsidRPr="00D6357D">
        <w:rPr>
          <w:rFonts w:eastAsia="YouYuan" w:hint="cs"/>
          <w:kern w:val="2"/>
          <w:rtl/>
          <w:lang w:eastAsia="en-US"/>
        </w:rPr>
        <w:t xml:space="preserve">انظر قرار الجمعية العامة </w:t>
      </w:r>
      <w:hyperlink r:id="rId2" w:history="1">
        <w:r w:rsidRPr="00D6357D">
          <w:rPr>
            <w:rFonts w:eastAsia="YouYuan" w:hint="cs"/>
            <w:color w:val="0000FF"/>
            <w:kern w:val="2"/>
            <w:u w:val="single"/>
            <w:rtl/>
            <w:lang w:eastAsia="en-US"/>
          </w:rPr>
          <w:t>70/1</w:t>
        </w:r>
      </w:hyperlink>
      <w:r w:rsidRPr="00D6357D">
        <w:rPr>
          <w:rFonts w:eastAsia="YouYuan" w:hint="cs"/>
          <w:kern w:val="2"/>
          <w:rtl/>
          <w:lang w:eastAsia="en-US"/>
        </w:rPr>
        <w:t xml:space="preserve"> بعنوان "تحويل عالمنا: خطة التنمية المستدامة لعام 2030".</w:t>
      </w:r>
    </w:p>
  </w:footnote>
  <w:footnote w:id="3">
    <w:p w:rsidR="000C66C6" w:rsidRPr="00FF662B" w:rsidRDefault="000C66C6" w:rsidP="0044570B">
      <w:pPr>
        <w:pStyle w:val="FootnoteText"/>
        <w:rPr>
          <w:rtl/>
        </w:rPr>
      </w:pPr>
      <w:r>
        <w:rPr>
          <w:rStyle w:val="FootnoteReference"/>
        </w:rPr>
        <w:footnoteRef/>
      </w:r>
      <w:r>
        <w:rPr>
          <w:rtl/>
        </w:rPr>
        <w:t xml:space="preserve"> </w:t>
      </w:r>
      <w:r w:rsidRPr="008D30BE">
        <w:rPr>
          <w:szCs w:val="18"/>
        </w:rPr>
        <w:t>CBD/COP/14/5</w:t>
      </w:r>
      <w:r w:rsidRPr="00FF662B">
        <w:t xml:space="preserve"> </w:t>
      </w:r>
      <w:r w:rsidRPr="00FF662B">
        <w:rPr>
          <w:rFonts w:hint="cs"/>
          <w:rtl/>
        </w:rPr>
        <w:t xml:space="preserve"> </w:t>
      </w:r>
      <w:r>
        <w:rPr>
          <w:rFonts w:hint="cs"/>
          <w:rtl/>
        </w:rPr>
        <w:t>و</w:t>
      </w:r>
      <w:r w:rsidRPr="008D30BE">
        <w:t>Add.1</w:t>
      </w:r>
      <w:r>
        <w:rPr>
          <w:rFonts w:hint="cs"/>
          <w:rtl/>
        </w:rPr>
        <w:t xml:space="preserve"> </w:t>
      </w:r>
      <w:r w:rsidRPr="00FF662B">
        <w:rPr>
          <w:rFonts w:hint="cs"/>
          <w:rtl/>
        </w:rPr>
        <w:t>و</w:t>
      </w:r>
      <w:hyperlink r:id="rId3" w:history="1">
        <w:r w:rsidRPr="008D30BE">
          <w:rPr>
            <w:color w:val="000000" w:themeColor="text1"/>
          </w:rPr>
          <w:t>Add.2</w:t>
        </w:r>
      </w:hyperlink>
      <w:r w:rsidRPr="00FF662B">
        <w:rPr>
          <w:rFonts w:hint="cs"/>
          <w:rtl/>
        </w:rPr>
        <w:t>.</w:t>
      </w:r>
    </w:p>
  </w:footnote>
  <w:footnote w:id="4">
    <w:p w:rsidR="000C66C6" w:rsidRPr="00D94E81" w:rsidRDefault="000C66C6" w:rsidP="0044570B">
      <w:pPr>
        <w:pStyle w:val="FootnoteText"/>
        <w:rPr>
          <w:rtl/>
        </w:rPr>
      </w:pPr>
      <w:r>
        <w:rPr>
          <w:rStyle w:val="FootnoteReference"/>
        </w:rPr>
        <w:footnoteRef/>
      </w:r>
      <w:r>
        <w:rPr>
          <w:rtl/>
        </w:rPr>
        <w:t xml:space="preserve"> </w:t>
      </w:r>
      <w:r w:rsidRPr="00D6357D">
        <w:rPr>
          <w:rFonts w:hint="cs"/>
          <w:rtl/>
        </w:rPr>
        <w:t>انظر أيضا:</w:t>
      </w:r>
      <w:r w:rsidRPr="00FF662B">
        <w:rPr>
          <w:rFonts w:hint="cs"/>
          <w:iCs/>
          <w:rtl/>
        </w:rPr>
        <w:t xml:space="preserve"> </w:t>
      </w:r>
      <w:r w:rsidRPr="00CE0C25">
        <w:rPr>
          <w:iCs/>
        </w:rPr>
        <w:t>CBD/SBSTTA/22/INF/10</w:t>
      </w:r>
      <w:r w:rsidRPr="00FF662B">
        <w:rPr>
          <w:rFonts w:hint="cs"/>
          <w:rtl/>
        </w:rPr>
        <w:t>، و</w:t>
      </w:r>
      <w:r w:rsidRPr="00CE0C25">
        <w:rPr>
          <w:lang w:val="en-CA"/>
        </w:rPr>
        <w:t>INF/22</w:t>
      </w:r>
      <w:r w:rsidRPr="00FF662B">
        <w:rPr>
          <w:rFonts w:hint="cs"/>
          <w:rtl/>
        </w:rPr>
        <w:t>، و</w:t>
      </w:r>
      <w:r w:rsidRPr="00CE0C25">
        <w:rPr>
          <w:lang w:val="en-CA"/>
        </w:rPr>
        <w:t>INF/23</w:t>
      </w:r>
      <w:r w:rsidRPr="00FF662B">
        <w:rPr>
          <w:rFonts w:hint="cs"/>
          <w:rtl/>
        </w:rPr>
        <w:t>، و</w:t>
      </w:r>
      <w:r w:rsidRPr="00CE0C25">
        <w:rPr>
          <w:lang w:val="en-CA"/>
        </w:rPr>
        <w:t>INF/26</w:t>
      </w:r>
      <w:r w:rsidRPr="00FF662B">
        <w:rPr>
          <w:rFonts w:hint="cs"/>
          <w:rtl/>
        </w:rPr>
        <w:t>، و</w:t>
      </w:r>
      <w:r w:rsidRPr="00FF662B">
        <w:rPr>
          <w:lang w:val="en-CA"/>
        </w:rPr>
        <w:t>INF/30</w:t>
      </w:r>
      <w:r w:rsidRPr="00FF662B">
        <w:rPr>
          <w:rFonts w:hint="cs"/>
          <w:rtl/>
        </w:rPr>
        <w:t>، و</w:t>
      </w:r>
      <w:r w:rsidRPr="00FF662B">
        <w:rPr>
          <w:lang w:val="en-CA"/>
        </w:rPr>
        <w:t>INF/31</w:t>
      </w:r>
      <w:r w:rsidRPr="00FF662B">
        <w:rPr>
          <w:rFonts w:hint="cs"/>
          <w:rtl/>
        </w:rPr>
        <w:t>، و</w:t>
      </w:r>
      <w:r w:rsidRPr="00FF662B">
        <w:rPr>
          <w:lang w:val="en-CA"/>
        </w:rPr>
        <w:t>INF/32</w:t>
      </w:r>
      <w:r w:rsidRPr="00FF662B">
        <w:rPr>
          <w:rFonts w:hint="cs"/>
          <w:rtl/>
        </w:rPr>
        <w:t>، و</w:t>
      </w:r>
      <w:r w:rsidRPr="00FF662B">
        <w:rPr>
          <w:lang w:val="en-CA"/>
        </w:rPr>
        <w:t>INF/34</w:t>
      </w:r>
      <w:r w:rsidRPr="00FF662B">
        <w:rPr>
          <w:rFonts w:hint="cs"/>
          <w:rtl/>
        </w:rPr>
        <w:t>، و</w:t>
      </w:r>
      <w:r w:rsidRPr="00FF662B">
        <w:rPr>
          <w:lang w:val="en-CA"/>
        </w:rPr>
        <w:t>INF/35</w:t>
      </w:r>
      <w:r w:rsidRPr="00FF662B">
        <w:rPr>
          <w:rFonts w:hint="cs"/>
          <w:rtl/>
        </w:rPr>
        <w:t>.</w:t>
      </w:r>
    </w:p>
  </w:footnote>
  <w:footnote w:id="5">
    <w:p w:rsidR="000C66C6" w:rsidRDefault="000C66C6" w:rsidP="0044570B">
      <w:pPr>
        <w:pStyle w:val="FootnoteText"/>
        <w:rPr>
          <w:rtl/>
        </w:rPr>
      </w:pPr>
      <w:r>
        <w:rPr>
          <w:rStyle w:val="FootnoteReference"/>
        </w:rPr>
        <w:footnoteRef/>
      </w:r>
      <w:r>
        <w:rPr>
          <w:rtl/>
        </w:rPr>
        <w:t xml:space="preserve"> </w:t>
      </w:r>
      <w:r w:rsidRPr="00D6357D">
        <w:rPr>
          <w:rFonts w:eastAsia="YouYuan"/>
          <w:kern w:val="2"/>
          <w:lang w:val="fr-FR" w:eastAsia="en-US"/>
        </w:rPr>
        <w:t>CBD/SBSTTA/22</w:t>
      </w:r>
      <w:r w:rsidRPr="00D6357D">
        <w:rPr>
          <w:rFonts w:eastAsia="YouYuan" w:hint="cs"/>
          <w:kern w:val="2"/>
          <w:rtl/>
          <w:lang w:eastAsia="en-US"/>
        </w:rPr>
        <w:t>، المرفق الأول.</w:t>
      </w:r>
    </w:p>
  </w:footnote>
  <w:footnote w:id="6">
    <w:p w:rsidR="000C66C6" w:rsidRPr="00D94E81" w:rsidRDefault="000C66C6" w:rsidP="0044570B">
      <w:pPr>
        <w:pStyle w:val="FootnoteText"/>
        <w:rPr>
          <w:rtl/>
        </w:rPr>
      </w:pPr>
      <w:r>
        <w:rPr>
          <w:rStyle w:val="FootnoteReference"/>
        </w:rPr>
        <w:footnoteRef/>
      </w:r>
      <w:r>
        <w:rPr>
          <w:rtl/>
        </w:rPr>
        <w:t xml:space="preserve"> </w:t>
      </w:r>
      <w:r w:rsidRPr="008D30BE">
        <w:rPr>
          <w:szCs w:val="18"/>
        </w:rPr>
        <w:t>CBD/COP/14/5</w:t>
      </w:r>
      <w:r w:rsidRPr="00FF662B">
        <w:t xml:space="preserve"> </w:t>
      </w:r>
      <w:r w:rsidRPr="00FF662B">
        <w:rPr>
          <w:rFonts w:hint="cs"/>
          <w:rtl/>
        </w:rPr>
        <w:t xml:space="preserve"> </w:t>
      </w:r>
      <w:r>
        <w:rPr>
          <w:rFonts w:hint="cs"/>
          <w:rtl/>
        </w:rPr>
        <w:t>و</w:t>
      </w:r>
      <w:r w:rsidRPr="008D30BE">
        <w:t>Add.1</w:t>
      </w:r>
      <w:r>
        <w:rPr>
          <w:rFonts w:hint="cs"/>
          <w:rtl/>
        </w:rPr>
        <w:t xml:space="preserve"> </w:t>
      </w:r>
      <w:r w:rsidRPr="00FF662B">
        <w:rPr>
          <w:rFonts w:hint="cs"/>
          <w:rtl/>
        </w:rPr>
        <w:t>و</w:t>
      </w:r>
      <w:hyperlink r:id="rId4" w:history="1">
        <w:r w:rsidRPr="008D30BE">
          <w:rPr>
            <w:color w:val="000000" w:themeColor="text1"/>
          </w:rPr>
          <w:t>Add.2</w:t>
        </w:r>
      </w:hyperlink>
      <w:r w:rsidRPr="00FF662B">
        <w:rPr>
          <w:rFonts w:hint="cs"/>
          <w:rtl/>
        </w:rPr>
        <w:t>.</w:t>
      </w:r>
    </w:p>
  </w:footnote>
  <w:footnote w:id="7">
    <w:p w:rsidR="000C66C6" w:rsidRPr="001B161E" w:rsidRDefault="000C66C6" w:rsidP="0044570B">
      <w:pPr>
        <w:pStyle w:val="FootnoteText"/>
        <w:rPr>
          <w:rtl/>
          <w:lang w:val="en-GB"/>
        </w:rPr>
      </w:pPr>
      <w:r>
        <w:rPr>
          <w:rStyle w:val="FootnoteReference"/>
        </w:rPr>
        <w:footnoteRef/>
      </w:r>
      <w:r>
        <w:rPr>
          <w:rtl/>
        </w:rPr>
        <w:t xml:space="preserve"> </w:t>
      </w:r>
      <w:r w:rsidRPr="00D94E81">
        <w:rPr>
          <w:rFonts w:eastAsia="YouYuan"/>
          <w:iCs/>
          <w:kern w:val="2"/>
          <w:szCs w:val="18"/>
          <w:lang w:val="en-GB" w:eastAsia="en-US"/>
        </w:rPr>
        <w:t>CBD/SBSTTA/22/INF/10</w:t>
      </w:r>
      <w:r w:rsidRPr="00D94E81">
        <w:rPr>
          <w:rFonts w:eastAsia="YouYuan" w:hint="cs"/>
          <w:kern w:val="2"/>
          <w:szCs w:val="18"/>
          <w:rtl/>
          <w:lang w:val="en-GB" w:eastAsia="en-US"/>
        </w:rPr>
        <w:t>.</w:t>
      </w:r>
    </w:p>
  </w:footnote>
  <w:footnote w:id="8">
    <w:p w:rsidR="000C66C6" w:rsidRPr="00CF4F4A" w:rsidRDefault="000C66C6" w:rsidP="0044570B">
      <w:pPr>
        <w:pStyle w:val="FootnoteText"/>
        <w:rPr>
          <w:rtl/>
        </w:rPr>
      </w:pPr>
      <w:r>
        <w:rPr>
          <w:rStyle w:val="FootnoteReference"/>
        </w:rPr>
        <w:footnoteRef/>
      </w:r>
      <w:r>
        <w:rPr>
          <w:rtl/>
        </w:rPr>
        <w:t xml:space="preserve"> </w:t>
      </w:r>
      <w:r w:rsidRPr="00D6357D">
        <w:rPr>
          <w:rFonts w:eastAsia="YouYuan"/>
          <w:kern w:val="2"/>
          <w:lang w:val="fr-FR" w:eastAsia="en-US"/>
        </w:rPr>
        <w:t>CBD/SBSTTA/22/INF/10</w:t>
      </w:r>
      <w:r w:rsidRPr="00D6357D">
        <w:rPr>
          <w:rFonts w:eastAsia="YouYuan" w:hint="cs"/>
          <w:kern w:val="2"/>
          <w:rtl/>
          <w:lang w:eastAsia="en-US"/>
        </w:rPr>
        <w:t>، المرفق.</w:t>
      </w:r>
    </w:p>
  </w:footnote>
  <w:footnote w:id="9">
    <w:p w:rsidR="000C66C6" w:rsidRDefault="000C66C6" w:rsidP="0044570B">
      <w:pPr>
        <w:pStyle w:val="FootnoteText"/>
        <w:rPr>
          <w:rFonts w:eastAsia="YouYuan"/>
          <w:kern w:val="2"/>
          <w:rtl/>
          <w:lang w:eastAsia="en-US"/>
        </w:rPr>
      </w:pPr>
      <w:r>
        <w:rPr>
          <w:rStyle w:val="FootnoteReference"/>
        </w:rPr>
        <w:footnoteRef/>
      </w:r>
      <w:r>
        <w:rPr>
          <w:rtl/>
        </w:rPr>
        <w:t xml:space="preserve"> </w:t>
      </w:r>
      <w:r w:rsidRPr="00D6357D">
        <w:rPr>
          <w:rFonts w:ascii="Simplified Arabic" w:eastAsia="YouYuan" w:hAnsi="Simplified Arabic"/>
          <w:kern w:val="2"/>
          <w:rtl/>
          <w:lang w:eastAsia="en-US"/>
        </w:rPr>
        <w:t xml:space="preserve">انظر </w:t>
      </w:r>
      <w:hyperlink r:id="rId5" w:history="1">
        <w:r w:rsidRPr="00D6357D">
          <w:rPr>
            <w:rFonts w:ascii="Simplified Arabic" w:hAnsi="Simplified Arabic"/>
            <w:color w:val="0000FF"/>
            <w:u w:val="single"/>
            <w:rtl/>
            <w:lang w:eastAsia="en-US"/>
          </w:rPr>
          <w:t>تقرير الاجتماع بشأن الفهم العالمي وبناء القدرات لتنمية القدرات على إجراء التقييمات الوطنية للنظم الإيكولوجية في المنبر الحكومي الدولي للعلوم والسياسات في مجال التنوع البيولوجي وخدمات النظم الإيكولوجية (كريبي، الكاميرون، يولي</w:t>
        </w:r>
        <w:r>
          <w:rPr>
            <w:rFonts w:ascii="Simplified Arabic" w:hAnsi="Simplified Arabic" w:hint="cs"/>
            <w:color w:val="0000FF"/>
            <w:u w:val="single"/>
            <w:rtl/>
            <w:lang w:eastAsia="en-US"/>
          </w:rPr>
          <w:t>ه</w:t>
        </w:r>
        <w:r w:rsidRPr="00D6357D">
          <w:rPr>
            <w:rFonts w:ascii="Simplified Arabic" w:hAnsi="Simplified Arabic"/>
            <w:color w:val="0000FF"/>
            <w:u w:val="single"/>
            <w:rtl/>
            <w:lang w:eastAsia="en-US"/>
          </w:rPr>
          <w:t>/تموز 2017)</w:t>
        </w:r>
      </w:hyperlink>
      <w:r w:rsidRPr="00D6357D">
        <w:rPr>
          <w:rFonts w:eastAsia="YouYuan" w:hint="cs"/>
          <w:kern w:val="2"/>
          <w:rtl/>
          <w:lang w:eastAsia="en-US"/>
        </w:rPr>
        <w:t xml:space="preserve"> </w:t>
      </w:r>
      <w:r w:rsidR="007B18D9" w:rsidRPr="00D6357D">
        <w:fldChar w:fldCharType="begin"/>
      </w:r>
      <w:r w:rsidRPr="00D6357D">
        <w:instrText>HYPERLINK "https://www.international-climate-initiative.com/en/nc/details/?projectid=2803&amp;iki_lang=en"</w:instrText>
      </w:r>
      <w:r w:rsidR="007B18D9" w:rsidRPr="00D6357D">
        <w:fldChar w:fldCharType="separate"/>
      </w:r>
      <w:r w:rsidRPr="00D6357D">
        <w:rPr>
          <w:rFonts w:eastAsia="YouYuan" w:hint="cs"/>
          <w:kern w:val="2"/>
          <w:rtl/>
          <w:lang w:eastAsia="en-US"/>
        </w:rPr>
        <w:t>و</w:t>
      </w:r>
      <w:r w:rsidRPr="00D6357D">
        <w:rPr>
          <w:rFonts w:eastAsia="YouYuan" w:hint="cs"/>
          <w:color w:val="0000FF"/>
          <w:kern w:val="2"/>
          <w:u w:val="single"/>
          <w:rtl/>
          <w:lang w:eastAsia="en-US"/>
        </w:rPr>
        <w:t>المشروع بشأن "دعم قدرات البلدان النامية على معالجة مسائل العلوم والسياسات من خلال المنبر الحكومي الدولي من خلال شبكة التنوع البيولوجي وخدمات النظم الإيكولوجية</w:t>
      </w:r>
      <w:r>
        <w:rPr>
          <w:rFonts w:eastAsia="YouYuan" w:hint="cs"/>
          <w:kern w:val="2"/>
          <w:rtl/>
          <w:lang w:eastAsia="en-US"/>
        </w:rPr>
        <w:t xml:space="preserve"> </w:t>
      </w:r>
    </w:p>
    <w:p w:rsidR="000C66C6" w:rsidRPr="00D94E81" w:rsidRDefault="000C66C6" w:rsidP="0044570B">
      <w:pPr>
        <w:pStyle w:val="FootnoteText"/>
        <w:rPr>
          <w:rtl/>
        </w:rPr>
      </w:pPr>
      <w:r w:rsidRPr="00D6357D">
        <w:rPr>
          <w:rFonts w:eastAsia="YouYuan"/>
          <w:color w:val="0000FF"/>
          <w:kern w:val="2"/>
          <w:u w:val="single"/>
          <w:lang w:val="en-CA" w:eastAsia="en-US"/>
        </w:rPr>
        <w:t>(BES-Net)</w:t>
      </w:r>
      <w:r w:rsidRPr="00D6357D">
        <w:rPr>
          <w:rFonts w:eastAsia="YouYuan" w:hint="cs"/>
          <w:color w:val="0000FF"/>
          <w:kern w:val="2"/>
          <w:u w:val="single"/>
          <w:rtl/>
          <w:lang w:eastAsia="en-US"/>
        </w:rPr>
        <w:t xml:space="preserve"> التي يديرها برنامج الأمم المتحدة الإنمائي وشبكة التقييم دون العالمي التي استضافها المركز العالمي لرصد الحفظ التابع لبرنامج الأمم المتحدة للبيئة</w:t>
      </w:r>
      <w:r w:rsidR="007B18D9" w:rsidRPr="00D6357D">
        <w:fldChar w:fldCharType="end"/>
      </w:r>
      <w:r w:rsidRPr="00D6357D">
        <w:rPr>
          <w:rFonts w:eastAsia="YouYuan" w:hint="cs"/>
          <w:kern w:val="2"/>
          <w:rtl/>
          <w:lang w:eastAsia="en-US"/>
        </w:rPr>
        <w:t>".</w:t>
      </w:r>
    </w:p>
  </w:footnote>
  <w:footnote w:id="10">
    <w:p w:rsidR="000C66C6" w:rsidRDefault="000C66C6" w:rsidP="0044570B">
      <w:pPr>
        <w:pStyle w:val="FootnoteText"/>
      </w:pPr>
      <w:r>
        <w:rPr>
          <w:rStyle w:val="FootnoteReference"/>
        </w:rPr>
        <w:footnoteRef/>
      </w:r>
      <w:r>
        <w:rPr>
          <w:rtl/>
        </w:rPr>
        <w:t xml:space="preserve"> </w:t>
      </w:r>
      <w:r w:rsidRPr="00D6357D">
        <w:rPr>
          <w:rFonts w:eastAsia="YouYuan" w:hint="cs"/>
          <w:kern w:val="2"/>
          <w:sz w:val="20"/>
          <w:rtl/>
          <w:lang w:eastAsia="en-US"/>
        </w:rPr>
        <w:t>المقررا</w:t>
      </w:r>
      <w:r>
        <w:rPr>
          <w:rFonts w:eastAsia="YouYuan" w:hint="cs"/>
          <w:kern w:val="2"/>
          <w:sz w:val="20"/>
          <w:rtl/>
          <w:lang w:eastAsia="en-US"/>
        </w:rPr>
        <w:t>ن</w:t>
      </w:r>
      <w:r w:rsidRPr="00D6357D">
        <w:rPr>
          <w:rFonts w:eastAsia="YouYuan" w:hint="cs"/>
          <w:kern w:val="2"/>
          <w:sz w:val="20"/>
          <w:rtl/>
          <w:lang w:eastAsia="en-US"/>
        </w:rPr>
        <w:t xml:space="preserve"> </w:t>
      </w:r>
      <w:r>
        <w:rPr>
          <w:rFonts w:eastAsia="YouYuan" w:hint="cs"/>
          <w:kern w:val="2"/>
          <w:sz w:val="20"/>
          <w:rtl/>
          <w:lang w:eastAsia="en-US"/>
        </w:rPr>
        <w:t>8</w:t>
      </w:r>
      <w:r w:rsidRPr="00D6357D">
        <w:rPr>
          <w:rFonts w:eastAsia="YouYuan" w:hint="cs"/>
          <w:kern w:val="2"/>
          <w:sz w:val="20"/>
          <w:rtl/>
          <w:lang w:eastAsia="en-US"/>
        </w:rPr>
        <w:t>/23</w:t>
      </w:r>
      <w:r>
        <w:rPr>
          <w:rFonts w:eastAsia="YouYuan" w:hint="cs"/>
          <w:kern w:val="2"/>
          <w:sz w:val="20"/>
          <w:rtl/>
          <w:lang w:eastAsia="en-US"/>
        </w:rPr>
        <w:t xml:space="preserve"> و10/34</w:t>
      </w:r>
      <w:r w:rsidRPr="00D6357D">
        <w:rPr>
          <w:rFonts w:eastAsia="YouYuan" w:hint="cs"/>
          <w:kern w:val="2"/>
          <w:sz w:val="20"/>
          <w:rtl/>
          <w:lang w:eastAsia="en-US"/>
        </w:rPr>
        <w:t>.</w:t>
      </w:r>
    </w:p>
  </w:footnote>
  <w:footnote w:id="11">
    <w:p w:rsidR="000C66C6" w:rsidRPr="00667F7E" w:rsidRDefault="000C66C6" w:rsidP="0044570B">
      <w:pPr>
        <w:pStyle w:val="FootnoteText"/>
      </w:pPr>
      <w:r>
        <w:rPr>
          <w:rStyle w:val="FootnoteReference"/>
        </w:rPr>
        <w:footnoteRef/>
      </w:r>
      <w:r>
        <w:rPr>
          <w:rtl/>
        </w:rPr>
        <w:t xml:space="preserve"> </w:t>
      </w:r>
      <w:r w:rsidRPr="00D94E81">
        <w:rPr>
          <w:rFonts w:eastAsia="YouYuan"/>
          <w:kern w:val="2"/>
          <w:szCs w:val="18"/>
          <w:lang w:val="en-GB" w:eastAsia="en-US"/>
        </w:rPr>
        <w:t>CBD/SBSTTA/22/INF/23</w:t>
      </w:r>
      <w:r w:rsidRPr="00D94E81">
        <w:rPr>
          <w:rFonts w:eastAsia="YouYuan" w:hint="cs"/>
          <w:kern w:val="2"/>
          <w:szCs w:val="18"/>
          <w:rtl/>
          <w:lang w:eastAsia="en-US"/>
        </w:rPr>
        <w:t>.</w:t>
      </w:r>
    </w:p>
  </w:footnote>
  <w:footnote w:id="12">
    <w:p w:rsidR="000C66C6" w:rsidRDefault="000C66C6" w:rsidP="0044570B">
      <w:pPr>
        <w:pStyle w:val="FootnoteText"/>
      </w:pPr>
      <w:r>
        <w:rPr>
          <w:rStyle w:val="FootnoteReference"/>
        </w:rPr>
        <w:footnoteRef/>
      </w:r>
      <w:r>
        <w:rPr>
          <w:rtl/>
        </w:rPr>
        <w:t xml:space="preserve"> </w:t>
      </w:r>
      <w:r w:rsidRPr="00D6357D">
        <w:rPr>
          <w:rFonts w:eastAsia="YouYuan" w:hint="cs"/>
          <w:kern w:val="2"/>
          <w:sz w:val="20"/>
          <w:rtl/>
          <w:lang w:eastAsia="en-US"/>
        </w:rPr>
        <w:t>المقرر 13/5، المرفق.</w:t>
      </w:r>
    </w:p>
  </w:footnote>
  <w:footnote w:id="13">
    <w:p w:rsidR="000C66C6" w:rsidRPr="0083326E" w:rsidRDefault="000C66C6" w:rsidP="0044570B">
      <w:pPr>
        <w:pStyle w:val="FootnoteText"/>
        <w:rPr>
          <w:rtl/>
          <w:lang w:val="en-GB"/>
        </w:rPr>
      </w:pPr>
      <w:r>
        <w:rPr>
          <w:rStyle w:val="FootnoteReference"/>
        </w:rPr>
        <w:footnoteRef/>
      </w:r>
      <w:r>
        <w:rPr>
          <w:rtl/>
        </w:rPr>
        <w:t xml:space="preserve"> </w:t>
      </w:r>
      <w:hyperlink r:id="rId6" w:history="1">
        <w:r w:rsidRPr="00947BD8">
          <w:rPr>
            <w:rStyle w:val="Hyperlink"/>
            <w:rFonts w:eastAsia="Times New Roman"/>
            <w:color w:val="000000" w:themeColor="text1"/>
            <w:szCs w:val="18"/>
            <w:lang w:val="en-GB" w:eastAsia="en-US"/>
          </w:rPr>
          <w:t>https://www.cbd.int/doc/c/fd73/df2f/c93bb3a1b299890373043a3e/cop-14-afr-hls-04-final-ar.pdf</w:t>
        </w:r>
      </w:hyperlink>
      <w:r w:rsidRPr="00947BD8">
        <w:rPr>
          <w:rFonts w:hint="cs"/>
          <w:color w:val="000000" w:themeColor="text1"/>
          <w:rtl/>
          <w:lang w:val="en-GB"/>
        </w:rPr>
        <w:t>.</w:t>
      </w:r>
    </w:p>
  </w:footnote>
  <w:footnote w:id="14">
    <w:p w:rsidR="000C66C6" w:rsidRPr="00B575CE" w:rsidRDefault="000C66C6" w:rsidP="0044570B">
      <w:pPr>
        <w:pStyle w:val="FootnoteText"/>
        <w:rPr>
          <w:rFonts w:ascii="Simplified Arabic" w:hAnsi="Simplified Arabic"/>
        </w:rPr>
      </w:pPr>
      <w:r>
        <w:rPr>
          <w:rStyle w:val="FootnoteReference"/>
        </w:rPr>
        <w:footnoteRef/>
      </w:r>
      <w:r>
        <w:rPr>
          <w:rtl/>
        </w:rPr>
        <w:t xml:space="preserve"> </w:t>
      </w:r>
      <w:r w:rsidRPr="00D6357D">
        <w:rPr>
          <w:rFonts w:ascii="Simplified Arabic" w:hAnsi="Simplified Arabic" w:hint="cs"/>
          <w:sz w:val="20"/>
          <w:rtl/>
        </w:rPr>
        <w:t>شرم الشيخ، مصر، 13 نوفمبر/تشرين الثاني 2018، انظر</w:t>
      </w:r>
      <w:r>
        <w:rPr>
          <w:rFonts w:ascii="Simplified Arabic" w:hAnsi="Simplified Arabic" w:hint="cs"/>
          <w:sz w:val="20"/>
          <w:rtl/>
        </w:rPr>
        <w:t xml:space="preserve">: </w:t>
      </w:r>
      <w:hyperlink r:id="rId7" w:history="1">
        <w:r w:rsidRPr="00947BD8">
          <w:rPr>
            <w:rStyle w:val="Hyperlink"/>
            <w:rFonts w:eastAsia="Times New Roman"/>
            <w:color w:val="000000" w:themeColor="text1"/>
            <w:szCs w:val="18"/>
            <w:lang w:val="en-GB" w:eastAsia="en-US"/>
          </w:rPr>
          <w:t>https://www.cbd.int/doc/c/fd73/df2f/c93bb3a1b299890373043a3e/cop-14-afr-hls-04-final-ar.pdf</w:t>
        </w:r>
      </w:hyperlink>
      <w:r w:rsidRPr="00947BD8">
        <w:rPr>
          <w:rFonts w:ascii="Simplified Arabic" w:hAnsi="Simplified Arabic" w:hint="cs"/>
          <w:color w:val="000000" w:themeColor="text1"/>
          <w:rtl/>
        </w:rPr>
        <w:t>.</w:t>
      </w:r>
    </w:p>
  </w:footnote>
  <w:footnote w:id="15">
    <w:p w:rsidR="000C66C6" w:rsidRDefault="000C66C6" w:rsidP="0044570B">
      <w:pPr>
        <w:pStyle w:val="FootnoteText"/>
      </w:pPr>
      <w:r>
        <w:rPr>
          <w:rStyle w:val="FootnoteReference"/>
        </w:rPr>
        <w:footnoteRef/>
      </w:r>
      <w:r>
        <w:rPr>
          <w:rtl/>
        </w:rPr>
        <w:t xml:space="preserve"> </w:t>
      </w:r>
      <w:hyperlink r:id="rId8" w:history="1">
        <w:r w:rsidRPr="00D94E81">
          <w:rPr>
            <w:rFonts w:eastAsia="YouYuan"/>
            <w:color w:val="0000FF"/>
            <w:kern w:val="2"/>
            <w:szCs w:val="18"/>
            <w:u w:val="single"/>
            <w:lang w:val="en-GB" w:eastAsia="en-US"/>
          </w:rPr>
          <w:t>https://www.cbd.int/gbo/gbo4/publication/lbo-en.pdf</w:t>
        </w:r>
      </w:hyperlink>
    </w:p>
  </w:footnote>
  <w:footnote w:id="16">
    <w:p w:rsidR="000C66C6" w:rsidRPr="00B575CE" w:rsidRDefault="000C66C6" w:rsidP="0044570B">
      <w:pPr>
        <w:pStyle w:val="FootnoteText"/>
        <w:rPr>
          <w:rFonts w:ascii="Simplified Arabic" w:hAnsi="Simplified Arabic"/>
        </w:rPr>
      </w:pPr>
      <w:r>
        <w:rPr>
          <w:rStyle w:val="FootnoteReference"/>
        </w:rPr>
        <w:footnoteRef/>
      </w:r>
      <w:r>
        <w:rPr>
          <w:rtl/>
        </w:rPr>
        <w:t xml:space="preserve"> </w:t>
      </w:r>
      <w:r w:rsidRPr="007D122D">
        <w:rPr>
          <w:rFonts w:ascii="Simplified Arabic" w:hAnsi="Simplified Arabic" w:hint="cs"/>
          <w:sz w:val="20"/>
          <w:rtl/>
        </w:rPr>
        <w:t>المقرر 13/31</w:t>
      </w:r>
      <w:r>
        <w:rPr>
          <w:rFonts w:ascii="Simplified Arabic" w:hAnsi="Simplified Arabic" w:hint="cs"/>
          <w:sz w:val="20"/>
          <w:rtl/>
        </w:rPr>
        <w:t>، المرفق</w:t>
      </w:r>
      <w:r w:rsidRPr="007D122D">
        <w:rPr>
          <w:rFonts w:ascii="Simplified Arabic" w:hAnsi="Simplified Arabic" w:hint="cs"/>
          <w:sz w:val="20"/>
          <w:rtl/>
        </w:rPr>
        <w:t>.</w:t>
      </w:r>
    </w:p>
  </w:footnote>
  <w:footnote w:id="17">
    <w:p w:rsidR="000C66C6" w:rsidRPr="00D94E81" w:rsidRDefault="000C66C6" w:rsidP="0044570B">
      <w:pPr>
        <w:pStyle w:val="FootnoteText"/>
        <w:rPr>
          <w:rtl/>
        </w:rPr>
      </w:pPr>
      <w:r>
        <w:rPr>
          <w:rStyle w:val="FootnoteReference"/>
        </w:rPr>
        <w:footnoteRef/>
      </w:r>
      <w:r>
        <w:rPr>
          <w:rtl/>
        </w:rPr>
        <w:t xml:space="preserve"> </w:t>
      </w:r>
      <w:r w:rsidRPr="007D122D">
        <w:rPr>
          <w:rFonts w:eastAsia="YouYuan" w:hint="cs"/>
          <w:kern w:val="2"/>
          <w:sz w:val="20"/>
          <w:rtl/>
          <w:lang w:eastAsia="en-US"/>
        </w:rPr>
        <w:t>المقرر 10/2، القسم سادسا.</w:t>
      </w:r>
    </w:p>
  </w:footnote>
  <w:footnote w:id="18">
    <w:p w:rsidR="000C66C6" w:rsidRDefault="000C66C6" w:rsidP="0044570B">
      <w:pPr>
        <w:pStyle w:val="FootnoteText"/>
        <w:rPr>
          <w:rtl/>
        </w:rPr>
      </w:pPr>
      <w:r>
        <w:rPr>
          <w:rStyle w:val="FootnoteReference"/>
        </w:rPr>
        <w:footnoteRef/>
      </w:r>
      <w:r>
        <w:rPr>
          <w:rtl/>
        </w:rPr>
        <w:t xml:space="preserve"> </w:t>
      </w:r>
      <w:r w:rsidRPr="007D122D">
        <w:rPr>
          <w:rFonts w:ascii="Simplified Arabic" w:hAnsi="Simplified Arabic"/>
          <w:sz w:val="20"/>
          <w:rtl/>
        </w:rPr>
        <w:t>المقرر 12/3.</w:t>
      </w:r>
    </w:p>
  </w:footnote>
  <w:footnote w:id="19">
    <w:p w:rsidR="000C66C6" w:rsidRPr="00D94E81" w:rsidRDefault="000C66C6" w:rsidP="0044570B">
      <w:pPr>
        <w:pStyle w:val="FootnoteText"/>
        <w:rPr>
          <w:lang w:val="it-IT"/>
        </w:rPr>
      </w:pPr>
      <w:r>
        <w:rPr>
          <w:rStyle w:val="FootnoteReference"/>
        </w:rPr>
        <w:footnoteRef/>
      </w:r>
      <w:r>
        <w:rPr>
          <w:rtl/>
        </w:rPr>
        <w:t xml:space="preserve"> </w:t>
      </w:r>
      <w:r w:rsidRPr="00D94E81">
        <w:rPr>
          <w:rFonts w:eastAsia="YouYuan"/>
          <w:kern w:val="2"/>
          <w:rtl/>
          <w:lang w:val="it-IT" w:eastAsia="en-US"/>
        </w:rPr>
        <w:t xml:space="preserve">ينبغي النظر إلى الإجراءات المحددة </w:t>
      </w:r>
      <w:r w:rsidRPr="00D94E81">
        <w:rPr>
          <w:rFonts w:eastAsia="YouYuan" w:hint="cs"/>
          <w:kern w:val="2"/>
          <w:rtl/>
          <w:lang w:val="it-IT" w:eastAsia="en-US"/>
        </w:rPr>
        <w:t>هنا</w:t>
      </w:r>
      <w:r w:rsidRPr="00D94E81">
        <w:rPr>
          <w:rFonts w:eastAsia="YouYuan"/>
          <w:kern w:val="2"/>
          <w:rtl/>
          <w:lang w:val="it-IT" w:eastAsia="en-US"/>
        </w:rPr>
        <w:t xml:space="preserve"> </w:t>
      </w:r>
      <w:r w:rsidRPr="00D94E81">
        <w:rPr>
          <w:rFonts w:eastAsia="YouYuan" w:hint="cs"/>
          <w:kern w:val="2"/>
          <w:rtl/>
          <w:lang w:val="it-IT" w:eastAsia="en-US"/>
        </w:rPr>
        <w:t>بالعلاقة إلى</w:t>
      </w:r>
      <w:r w:rsidRPr="00D94E81">
        <w:rPr>
          <w:rFonts w:eastAsia="YouYuan"/>
          <w:kern w:val="2"/>
          <w:rtl/>
          <w:lang w:val="it-IT" w:eastAsia="en-US"/>
        </w:rPr>
        <w:t xml:space="preserve"> الإرشادات التي وضعها </w:t>
      </w:r>
      <w:r w:rsidRPr="00D94E81">
        <w:rPr>
          <w:rFonts w:eastAsia="YouYuan" w:hint="cs"/>
          <w:kern w:val="2"/>
          <w:rtl/>
          <w:lang w:val="it-IT" w:eastAsia="en-US"/>
        </w:rPr>
        <w:t xml:space="preserve">بالفعل </w:t>
      </w:r>
      <w:r w:rsidRPr="00D94E81">
        <w:rPr>
          <w:rFonts w:eastAsia="YouYuan"/>
          <w:kern w:val="2"/>
          <w:rtl/>
          <w:lang w:val="it-IT" w:eastAsia="en-US"/>
        </w:rPr>
        <w:t xml:space="preserve">مؤتمر الأطراف، بما في ذلك المقرر </w:t>
      </w:r>
      <w:r w:rsidRPr="00FE0526">
        <w:rPr>
          <w:rFonts w:eastAsia="YouYuan"/>
          <w:kern w:val="2"/>
          <w:sz w:val="20"/>
          <w:rtl/>
          <w:lang w:val="it-IT" w:eastAsia="en-US"/>
        </w:rPr>
        <w:t>10/2</w:t>
      </w:r>
      <w:r w:rsidRPr="00D94E81">
        <w:rPr>
          <w:rFonts w:eastAsia="YouYuan"/>
          <w:kern w:val="2"/>
          <w:rtl/>
          <w:lang w:val="it-IT" w:eastAsia="en-US"/>
        </w:rPr>
        <w:t xml:space="preserve"> </w:t>
      </w:r>
      <w:r w:rsidRPr="00D94E81">
        <w:rPr>
          <w:rFonts w:eastAsia="YouYuan" w:hint="cs"/>
          <w:kern w:val="2"/>
          <w:rtl/>
          <w:lang w:val="it-IT" w:eastAsia="en-US"/>
        </w:rPr>
        <w:t>المتعلق</w:t>
      </w:r>
      <w:r w:rsidRPr="00D94E81">
        <w:rPr>
          <w:rFonts w:eastAsia="YouYuan"/>
          <w:kern w:val="2"/>
          <w:rtl/>
          <w:lang w:val="it-IT" w:eastAsia="en-US"/>
        </w:rPr>
        <w:t xml:space="preserve"> </w:t>
      </w:r>
      <w:r w:rsidRPr="00D94E81">
        <w:rPr>
          <w:rFonts w:eastAsia="YouYuan" w:hint="cs"/>
          <w:kern w:val="2"/>
          <w:rtl/>
          <w:lang w:val="it-IT" w:eastAsia="en-US"/>
        </w:rPr>
        <w:t>ب</w:t>
      </w:r>
      <w:r w:rsidRPr="00D94E81">
        <w:rPr>
          <w:rFonts w:eastAsia="YouYuan"/>
          <w:kern w:val="2"/>
          <w:rtl/>
          <w:lang w:val="it-IT" w:eastAsia="en-US"/>
        </w:rPr>
        <w:t xml:space="preserve">الخطة الاستراتيجية للتنوع البيولوجي </w:t>
      </w:r>
      <w:r w:rsidRPr="00FE0526">
        <w:rPr>
          <w:rFonts w:eastAsia="YouYuan"/>
          <w:kern w:val="2"/>
          <w:sz w:val="20"/>
          <w:rtl/>
          <w:lang w:val="it-IT" w:eastAsia="en-US"/>
        </w:rPr>
        <w:t>2011-2020</w:t>
      </w:r>
      <w:r w:rsidRPr="00D94E81">
        <w:rPr>
          <w:rFonts w:eastAsia="YouYuan"/>
          <w:kern w:val="2"/>
          <w:rtl/>
          <w:lang w:val="it-IT" w:eastAsia="en-US"/>
        </w:rPr>
        <w:t xml:space="preserve"> </w:t>
      </w:r>
      <w:r w:rsidRPr="00D94E81">
        <w:rPr>
          <w:rFonts w:eastAsia="YouYuan" w:hint="cs"/>
          <w:kern w:val="2"/>
          <w:rtl/>
          <w:lang w:val="it-IT" w:eastAsia="en-US"/>
        </w:rPr>
        <w:t>ومبررها</w:t>
      </w:r>
      <w:r w:rsidRPr="00D94E81">
        <w:rPr>
          <w:rFonts w:eastAsia="YouYuan"/>
          <w:kern w:val="2"/>
          <w:rtl/>
          <w:lang w:val="it-IT" w:eastAsia="en-US"/>
        </w:rPr>
        <w:t xml:space="preserve"> التقني </w:t>
      </w:r>
      <w:r w:rsidRPr="00D94E81">
        <w:rPr>
          <w:rFonts w:eastAsia="YouYuan"/>
          <w:kern w:val="2"/>
          <w:szCs w:val="18"/>
          <w:rtl/>
          <w:lang w:val="it-IT" w:eastAsia="en-US"/>
        </w:rPr>
        <w:t>(</w:t>
      </w:r>
      <w:r w:rsidRPr="00D94E81">
        <w:rPr>
          <w:rFonts w:eastAsia="YouYuan"/>
          <w:kern w:val="2"/>
          <w:szCs w:val="18"/>
          <w:lang w:val="en-GB" w:eastAsia="en-US"/>
        </w:rPr>
        <w:t>UNEP/CBD/COP/10/27/Add.1</w:t>
      </w:r>
      <w:r w:rsidRPr="00D94E81">
        <w:rPr>
          <w:rFonts w:eastAsia="YouYuan"/>
          <w:kern w:val="2"/>
          <w:szCs w:val="18"/>
          <w:rtl/>
          <w:lang w:val="it-IT" w:eastAsia="en-US"/>
        </w:rPr>
        <w:t>)</w:t>
      </w:r>
      <w:r w:rsidRPr="00D94E81">
        <w:rPr>
          <w:rFonts w:eastAsia="YouYuan"/>
          <w:kern w:val="2"/>
          <w:rtl/>
          <w:lang w:val="it-IT" w:eastAsia="en-US"/>
        </w:rPr>
        <w:t xml:space="preserve">، وكذلك احتياجات التنفيذ التي حددها مؤتمر الأطراف في المقرر </w:t>
      </w:r>
      <w:r w:rsidRPr="00FE0526">
        <w:rPr>
          <w:rFonts w:eastAsia="YouYuan"/>
          <w:kern w:val="2"/>
          <w:sz w:val="20"/>
          <w:rtl/>
          <w:lang w:val="it-IT" w:eastAsia="en-US"/>
        </w:rPr>
        <w:t>12/1</w:t>
      </w:r>
      <w:r w:rsidRPr="00D94E81">
        <w:rPr>
          <w:rFonts w:eastAsia="YouYuan"/>
          <w:kern w:val="2"/>
          <w:rtl/>
          <w:lang w:val="it-IT" w:eastAsia="en-US"/>
        </w:rPr>
        <w:t>.</w:t>
      </w:r>
    </w:p>
  </w:footnote>
  <w:footnote w:id="20">
    <w:p w:rsidR="000C66C6" w:rsidRPr="00477B14" w:rsidRDefault="000C66C6" w:rsidP="0044570B">
      <w:pPr>
        <w:pStyle w:val="FootnoteText"/>
        <w:rPr>
          <w:rFonts w:ascii="Simplified Arabic" w:hAnsi="Simplified Arabic"/>
          <w:kern w:val="18"/>
          <w:sz w:val="20"/>
          <w:lang w:val="it-IT"/>
        </w:rPr>
      </w:pPr>
      <w:r w:rsidRPr="004B2BD5">
        <w:rPr>
          <w:rStyle w:val="FootnoteReference"/>
          <w:rFonts w:ascii="Simplified Arabic" w:hAnsi="Simplified Arabic"/>
          <w:kern w:val="18"/>
          <w:sz w:val="20"/>
          <w:szCs w:val="20"/>
        </w:rPr>
        <w:footnoteRef/>
      </w:r>
      <w:r w:rsidRPr="004B2BD5">
        <w:rPr>
          <w:rFonts w:ascii="Simplified Arabic" w:hAnsi="Simplified Arabic"/>
          <w:kern w:val="18"/>
          <w:sz w:val="20"/>
          <w:rtl/>
        </w:rPr>
        <w:t xml:space="preserve"> </w:t>
      </w:r>
      <w:hyperlink r:id="rId9" w:history="1">
        <w:r w:rsidRPr="00477B14">
          <w:rPr>
            <w:rFonts w:eastAsia="Times New Roman"/>
            <w:color w:val="0000FF"/>
            <w:kern w:val="18"/>
            <w:szCs w:val="18"/>
            <w:u w:val="single"/>
            <w:lang w:val="it-IT" w:eastAsia="en-US"/>
          </w:rPr>
          <w:t>CBD/SBSTTA/21/2</w:t>
        </w:r>
      </w:hyperlink>
      <w:r w:rsidRPr="004B2BD5">
        <w:rPr>
          <w:rFonts w:ascii="Simplified Arabic" w:hAnsi="Simplified Arabic"/>
          <w:kern w:val="18"/>
          <w:sz w:val="20"/>
          <w:rtl/>
        </w:rPr>
        <w:t xml:space="preserve"> و</w:t>
      </w:r>
      <w:hyperlink r:id="rId10" w:history="1">
        <w:r w:rsidRPr="00477B14">
          <w:rPr>
            <w:rFonts w:eastAsia="Times New Roman"/>
            <w:color w:val="0000FF"/>
            <w:kern w:val="18"/>
            <w:szCs w:val="18"/>
            <w:u w:val="single"/>
            <w:lang w:val="it-IT" w:eastAsia="en-US"/>
          </w:rPr>
          <w:t>Add.1</w:t>
        </w:r>
      </w:hyperlink>
      <w:r w:rsidRPr="004B2BD5">
        <w:rPr>
          <w:rFonts w:ascii="Simplified Arabic" w:hAnsi="Simplified Arabic"/>
          <w:kern w:val="18"/>
          <w:sz w:val="20"/>
          <w:rtl/>
        </w:rPr>
        <w:t xml:space="preserve"> و</w:t>
      </w:r>
      <w:hyperlink r:id="rId11" w:history="1">
        <w:r w:rsidRPr="00477B14">
          <w:rPr>
            <w:rFonts w:eastAsia="Times New Roman"/>
            <w:color w:val="0000FF"/>
            <w:kern w:val="18"/>
            <w:szCs w:val="18"/>
            <w:u w:val="single"/>
            <w:lang w:val="it-IT" w:eastAsia="en-US"/>
          </w:rPr>
          <w:t>CBD/SBSTTA/21/INF/2</w:t>
        </w:r>
      </w:hyperlink>
      <w:r w:rsidRPr="00477B14">
        <w:rPr>
          <w:rFonts w:eastAsia="Times New Roman"/>
          <w:color w:val="0000FF"/>
          <w:kern w:val="18"/>
          <w:szCs w:val="18"/>
          <w:u w:val="single"/>
          <w:lang w:val="it-IT" w:eastAsia="en-US"/>
        </w:rPr>
        <w:t>/Rev.1</w:t>
      </w:r>
      <w:r w:rsidRPr="004B2BD5">
        <w:rPr>
          <w:rFonts w:ascii="Simplified Arabic" w:hAnsi="Simplified Arabic"/>
          <w:kern w:val="18"/>
          <w:sz w:val="20"/>
          <w:rtl/>
        </w:rPr>
        <w:t xml:space="preserve"> و</w:t>
      </w:r>
      <w:hyperlink r:id="rId12" w:history="1">
        <w:r w:rsidRPr="00477B14">
          <w:rPr>
            <w:rFonts w:eastAsia="Times New Roman"/>
            <w:color w:val="0000FF"/>
            <w:kern w:val="18"/>
            <w:szCs w:val="18"/>
            <w:u w:val="single"/>
            <w:lang w:val="it-IT" w:eastAsia="en-US"/>
          </w:rPr>
          <w:t>INF/3</w:t>
        </w:r>
      </w:hyperlink>
      <w:r w:rsidRPr="00477B14">
        <w:rPr>
          <w:rFonts w:eastAsia="Times New Roman"/>
          <w:color w:val="0000FF"/>
          <w:kern w:val="18"/>
          <w:szCs w:val="18"/>
          <w:u w:val="single"/>
          <w:lang w:val="it-IT" w:eastAsia="en-US"/>
        </w:rPr>
        <w:t>/Rev.1</w:t>
      </w:r>
      <w:r w:rsidRPr="00477B14">
        <w:rPr>
          <w:rFonts w:eastAsia="Times New Roman"/>
          <w:color w:val="0000FF"/>
          <w:kern w:val="18"/>
          <w:szCs w:val="18"/>
          <w:lang w:val="it-IT" w:eastAsia="en-US"/>
        </w:rPr>
        <w:t xml:space="preserve"> </w:t>
      </w:r>
      <w:r>
        <w:rPr>
          <w:rFonts w:eastAsia="Times New Roman" w:hint="cs"/>
          <w:color w:val="0000FF"/>
          <w:kern w:val="18"/>
          <w:szCs w:val="18"/>
          <w:rtl/>
          <w:lang w:val="en-GB" w:eastAsia="en-US"/>
        </w:rPr>
        <w:t xml:space="preserve"> </w:t>
      </w:r>
      <w:r w:rsidRPr="003B4B40">
        <w:rPr>
          <w:rFonts w:ascii="Simplified Arabic" w:eastAsia="Times New Roman" w:hAnsi="Simplified Arabic"/>
          <w:color w:val="000000" w:themeColor="text1"/>
          <w:kern w:val="18"/>
          <w:sz w:val="20"/>
          <w:rtl/>
          <w:lang w:val="en-GB" w:eastAsia="en-US"/>
        </w:rPr>
        <w:t>و</w:t>
      </w:r>
      <w:r w:rsidRPr="00477B14">
        <w:rPr>
          <w:rFonts w:eastAsia="Times New Roman"/>
          <w:color w:val="0000FF"/>
          <w:kern w:val="18"/>
          <w:szCs w:val="18"/>
          <w:lang w:val="it-IT" w:eastAsia="en-US"/>
        </w:rPr>
        <w:t xml:space="preserve"> </w:t>
      </w:r>
      <w:hyperlink r:id="rId13" w:history="1">
        <w:r w:rsidRPr="00477B14">
          <w:rPr>
            <w:rFonts w:eastAsia="Times New Roman"/>
            <w:color w:val="0000FF"/>
            <w:kern w:val="18"/>
            <w:szCs w:val="18"/>
            <w:u w:val="single"/>
            <w:lang w:val="it-IT" w:eastAsia="en-US"/>
          </w:rPr>
          <w:t>INF/4</w:t>
        </w:r>
      </w:hyperlink>
      <w:r w:rsidRPr="00477B14">
        <w:rPr>
          <w:rFonts w:eastAsia="Times New Roman"/>
          <w:color w:val="0000FF"/>
          <w:kern w:val="18"/>
          <w:szCs w:val="18"/>
          <w:u w:val="single"/>
          <w:lang w:val="it-IT" w:eastAsia="en-US"/>
        </w:rPr>
        <w:t>/Rev.1</w:t>
      </w:r>
      <w:r w:rsidRPr="004B2BD5">
        <w:rPr>
          <w:rFonts w:ascii="Simplified Arabic" w:hAnsi="Simplified Arabic"/>
          <w:kern w:val="18"/>
          <w:sz w:val="20"/>
          <w:rtl/>
        </w:rPr>
        <w:t xml:space="preserve"> و</w:t>
      </w:r>
      <w:hyperlink r:id="rId14" w:history="1">
        <w:r w:rsidRPr="00477B14">
          <w:rPr>
            <w:rFonts w:eastAsia="Times New Roman"/>
            <w:color w:val="0000FF"/>
            <w:kern w:val="18"/>
            <w:szCs w:val="18"/>
            <w:u w:val="single"/>
            <w:lang w:val="it-IT" w:eastAsia="en-US"/>
          </w:rPr>
          <w:t>INF/18</w:t>
        </w:r>
      </w:hyperlink>
      <w:r w:rsidRPr="00477B14">
        <w:rPr>
          <w:rFonts w:eastAsia="Times New Roman"/>
          <w:color w:val="0000FF"/>
          <w:kern w:val="18"/>
          <w:szCs w:val="18"/>
          <w:u w:val="single"/>
          <w:lang w:val="it-IT" w:eastAsia="en-US"/>
        </w:rPr>
        <w:t>/Rev.1</w:t>
      </w:r>
      <w:r w:rsidRPr="004B2BD5">
        <w:rPr>
          <w:rFonts w:ascii="Simplified Arabic" w:hAnsi="Simplified Arabic"/>
          <w:kern w:val="18"/>
          <w:sz w:val="20"/>
          <w:rtl/>
        </w:rPr>
        <w:t xml:space="preserve">. </w:t>
      </w:r>
    </w:p>
  </w:footnote>
  <w:footnote w:id="21">
    <w:p w:rsidR="000C66C6" w:rsidRPr="00477B14" w:rsidRDefault="000C66C6" w:rsidP="0044570B">
      <w:pPr>
        <w:pStyle w:val="FootnoteText"/>
        <w:rPr>
          <w:rFonts w:ascii="Simplified Arabic" w:hAnsi="Simplified Arabic"/>
          <w:sz w:val="20"/>
          <w:lang w:val="it-IT"/>
        </w:rPr>
      </w:pPr>
      <w:r w:rsidRPr="004B2BD5">
        <w:rPr>
          <w:rStyle w:val="FootnoteReference"/>
          <w:rFonts w:ascii="Simplified Arabic" w:hAnsi="Simplified Arabic"/>
          <w:sz w:val="20"/>
          <w:szCs w:val="20"/>
        </w:rPr>
        <w:footnoteRef/>
      </w:r>
      <w:r w:rsidRPr="004B2BD5">
        <w:rPr>
          <w:rFonts w:ascii="Simplified Arabic" w:hAnsi="Simplified Arabic"/>
          <w:sz w:val="20"/>
          <w:rtl/>
        </w:rPr>
        <w:t xml:space="preserve"> </w:t>
      </w:r>
      <w:r w:rsidRPr="004B2BD5">
        <w:rPr>
          <w:rFonts w:ascii="Simplified Arabic" w:eastAsia="Malgun Gothic" w:hAnsi="Simplified Arabic"/>
          <w:sz w:val="20"/>
          <w:rtl/>
          <w:lang w:val="en-GB" w:eastAsia="en-US"/>
        </w:rPr>
        <w:t xml:space="preserve">المنبر الحكومي الدولي للعلوم والسياسات في مجال التنوع البيولوجي وخدمات النظم الإيكولوجية، 2016 (متاح على الإنترنت على الرابط </w:t>
      </w:r>
      <w:hyperlink r:id="rId15" w:history="1">
        <w:r w:rsidRPr="00477B14">
          <w:rPr>
            <w:rStyle w:val="Hyperlink"/>
            <w:kern w:val="18"/>
            <w:szCs w:val="18"/>
            <w:lang w:val="it-IT"/>
          </w:rPr>
          <w:t>https://www.ipbes.net/assessment-reports/scenarios</w:t>
        </w:r>
      </w:hyperlink>
      <w:r w:rsidRPr="004B2BD5">
        <w:rPr>
          <w:rFonts w:ascii="Simplified Arabic" w:eastAsia="Malgun Gothic" w:hAnsi="Simplified Arabic"/>
          <w:sz w:val="20"/>
          <w:rtl/>
          <w:lang w:val="en-GB" w:eastAsia="en-US"/>
        </w:rPr>
        <w:t>).</w:t>
      </w:r>
      <w:r w:rsidRPr="00477B14">
        <w:rPr>
          <w:rFonts w:ascii="Simplified Arabic" w:eastAsia="Malgun Gothic" w:hAnsi="Simplified Arabic"/>
          <w:sz w:val="20"/>
          <w:lang w:val="it-IT" w:eastAsia="en-US"/>
        </w:rPr>
        <w:t xml:space="preserve"> </w:t>
      </w:r>
    </w:p>
  </w:footnote>
  <w:footnote w:id="22">
    <w:p w:rsidR="000C66C6" w:rsidRPr="004B2BD5" w:rsidRDefault="000C66C6" w:rsidP="0044570B">
      <w:pPr>
        <w:pStyle w:val="FootnoteText"/>
        <w:rPr>
          <w:rFonts w:ascii="Simplified Arabic" w:hAnsi="Simplified Arabic"/>
          <w:sz w:val="20"/>
          <w:rtl/>
        </w:rPr>
      </w:pPr>
      <w:r w:rsidRPr="004B2BD5">
        <w:rPr>
          <w:rStyle w:val="FootnoteReference"/>
          <w:rFonts w:ascii="Simplified Arabic" w:hAnsi="Simplified Arabic"/>
          <w:sz w:val="20"/>
          <w:szCs w:val="20"/>
        </w:rPr>
        <w:footnoteRef/>
      </w:r>
      <w:r w:rsidRPr="004B2BD5">
        <w:rPr>
          <w:rFonts w:ascii="Simplified Arabic" w:hAnsi="Simplified Arabic"/>
          <w:sz w:val="20"/>
          <w:rtl/>
        </w:rPr>
        <w:t xml:space="preserve"> انظر أيضا ليدلي وآخرون (2014)، التقدم المحرز نحو تحقيق أهداف أيشي للتنوع البيولوجي: تقييم لاتجاهات التنوع البيولوجي، وسيناريوهات السياسات والإجراءات الرئيسية، أمانة اتفاقية التنوع البيولوجي، </w:t>
      </w:r>
      <w:r>
        <w:rPr>
          <w:rFonts w:ascii="Simplified Arabic" w:hAnsi="Simplified Arabic"/>
          <w:sz w:val="20"/>
          <w:rtl/>
        </w:rPr>
        <w:t>السلسلة التقنية رقم 78</w:t>
      </w:r>
      <w:r>
        <w:rPr>
          <w:rFonts w:ascii="Simplified Arabic" w:hAnsi="Simplified Arabic" w:hint="cs"/>
          <w:sz w:val="20"/>
          <w:rtl/>
        </w:rPr>
        <w:t xml:space="preserve"> </w:t>
      </w:r>
      <w:r w:rsidRPr="00477B14">
        <w:rPr>
          <w:szCs w:val="18"/>
          <w:lang w:val="it-IT"/>
        </w:rPr>
        <w:t>(</w:t>
      </w:r>
      <w:hyperlink r:id="rId16" w:history="1">
        <w:r w:rsidRPr="00477B14">
          <w:rPr>
            <w:rFonts w:eastAsia="Times New Roman"/>
            <w:color w:val="0000FF"/>
            <w:kern w:val="18"/>
            <w:szCs w:val="18"/>
            <w:u w:val="single"/>
            <w:lang w:val="it-IT" w:eastAsia="en-US"/>
          </w:rPr>
          <w:t>https://www.cbd.int/doc/publications/cbd-ts-78-en.pdf</w:t>
        </w:r>
      </w:hyperlink>
      <w:r w:rsidRPr="00477B14">
        <w:rPr>
          <w:szCs w:val="18"/>
          <w:lang w:val="it-IT"/>
        </w:rPr>
        <w:t>), and Kok, &amp; Alkemade (eds) (2014), How sectors can contribute to sustainable use and conservation of biodiversity, Secretariat of the Convention on Biological Diversity, and  PBL. Netherlands Environmental Assessment Agency, Technical Series 79  (https://www.cbd.int/doc/publications/cbd-ts-79-en.pdf)</w:t>
      </w:r>
    </w:p>
  </w:footnote>
  <w:footnote w:id="23">
    <w:p w:rsidR="000C66C6" w:rsidRPr="00477B14" w:rsidRDefault="000C66C6" w:rsidP="0044570B">
      <w:pPr>
        <w:pStyle w:val="FootnoteText"/>
        <w:rPr>
          <w:lang w:val="it-IT"/>
        </w:rPr>
      </w:pPr>
      <w:r w:rsidRPr="00BF5B24">
        <w:rPr>
          <w:rStyle w:val="FootnoteReference"/>
          <w:szCs w:val="20"/>
        </w:rPr>
        <w:footnoteRef/>
      </w:r>
      <w:r w:rsidRPr="00BF5B24">
        <w:rPr>
          <w:rtl/>
        </w:rPr>
        <w:t xml:space="preserve"> </w:t>
      </w:r>
      <w:hyperlink r:id="rId17" w:history="1">
        <w:r w:rsidRPr="00477B14">
          <w:rPr>
            <w:rStyle w:val="Hyperlink"/>
            <w:snapToGrid w:val="0"/>
            <w:kern w:val="18"/>
            <w:lang w:val="it-IT"/>
          </w:rPr>
          <w:t>UNEP/CBD/COP/13/24</w:t>
        </w:r>
      </w:hyperlink>
      <w:r w:rsidRPr="00BF5B24">
        <w:rPr>
          <w:rFonts w:hint="cs"/>
          <w:rtl/>
        </w:rPr>
        <w:t>.</w:t>
      </w:r>
    </w:p>
  </w:footnote>
  <w:footnote w:id="24">
    <w:p w:rsidR="000C66C6" w:rsidRPr="00BF5B24" w:rsidRDefault="000C66C6" w:rsidP="0044570B">
      <w:pPr>
        <w:pStyle w:val="FootnoteText"/>
        <w:rPr>
          <w:rtl/>
        </w:rPr>
      </w:pPr>
      <w:r w:rsidRPr="00BF5B24">
        <w:rPr>
          <w:rStyle w:val="FootnoteReference"/>
          <w:szCs w:val="20"/>
        </w:rPr>
        <w:footnoteRef/>
      </w:r>
      <w:r w:rsidRPr="00BF5B24">
        <w:rPr>
          <w:rtl/>
        </w:rPr>
        <w:t xml:space="preserve"> </w:t>
      </w:r>
      <w:hyperlink r:id="rId18" w:history="1">
        <w:r w:rsidRPr="00477B14">
          <w:rPr>
            <w:rStyle w:val="Hyperlink"/>
            <w:kern w:val="18"/>
            <w:lang w:val="it-IT"/>
          </w:rPr>
          <w:t>CBD/COP/14/12</w:t>
        </w:r>
      </w:hyperlink>
      <w:r w:rsidRPr="00BF5B24">
        <w:rPr>
          <w:rFonts w:hint="cs"/>
          <w:rtl/>
        </w:rPr>
        <w:t>.</w:t>
      </w:r>
    </w:p>
  </w:footnote>
  <w:footnote w:id="25">
    <w:p w:rsidR="000C66C6" w:rsidRPr="00BF5B24" w:rsidRDefault="000C66C6" w:rsidP="0044570B">
      <w:pPr>
        <w:pStyle w:val="FootnoteText"/>
      </w:pPr>
      <w:r w:rsidRPr="00BF5B24">
        <w:rPr>
          <w:rStyle w:val="FootnoteReference"/>
          <w:szCs w:val="20"/>
        </w:rPr>
        <w:footnoteRef/>
      </w:r>
      <w:r w:rsidRPr="00BF5B24">
        <w:rPr>
          <w:rtl/>
        </w:rPr>
        <w:t xml:space="preserve"> </w:t>
      </w:r>
      <w:r w:rsidRPr="00BF5B24">
        <w:rPr>
          <w:rFonts w:hint="cs"/>
          <w:color w:val="0000FF"/>
          <w:u w:val="single"/>
          <w:rtl/>
        </w:rPr>
        <w:t xml:space="preserve">المقرر </w:t>
      </w:r>
      <w:hyperlink r:id="rId19" w:history="1">
        <w:r w:rsidRPr="00BF5B24">
          <w:rPr>
            <w:rStyle w:val="Hyperlink"/>
            <w:rFonts w:hint="cs"/>
            <w:rtl/>
          </w:rPr>
          <w:t>10/2</w:t>
        </w:r>
      </w:hyperlink>
      <w:r w:rsidRPr="00BF5B24">
        <w:rPr>
          <w:rFonts w:hint="cs"/>
          <w:rtl/>
        </w:rPr>
        <w:t>، المرفق.</w:t>
      </w:r>
    </w:p>
  </w:footnote>
  <w:footnote w:id="26">
    <w:p w:rsidR="000C66C6" w:rsidRPr="00BF5B24" w:rsidRDefault="000C66C6" w:rsidP="0044570B">
      <w:pPr>
        <w:pStyle w:val="FootnoteText"/>
      </w:pPr>
      <w:r w:rsidRPr="00BF5B24">
        <w:rPr>
          <w:rStyle w:val="FootnoteReference"/>
          <w:szCs w:val="20"/>
        </w:rPr>
        <w:footnoteRef/>
      </w:r>
      <w:r w:rsidRPr="00BF5B24">
        <w:rPr>
          <w:rtl/>
        </w:rPr>
        <w:t xml:space="preserve"> </w:t>
      </w:r>
      <w:r w:rsidRPr="00BF5B24">
        <w:rPr>
          <w:rFonts w:hint="cs"/>
          <w:rtl/>
        </w:rPr>
        <w:t xml:space="preserve">انظر قرار الجمعية العامة </w:t>
      </w:r>
      <w:hyperlink r:id="rId20" w:history="1">
        <w:r w:rsidRPr="00BF5B24">
          <w:rPr>
            <w:rStyle w:val="Hyperlink"/>
            <w:rFonts w:hint="cs"/>
            <w:rtl/>
          </w:rPr>
          <w:t>70/1</w:t>
        </w:r>
      </w:hyperlink>
      <w:r w:rsidRPr="00BF5B24">
        <w:rPr>
          <w:rFonts w:hint="cs"/>
          <w:rtl/>
        </w:rPr>
        <w:t xml:space="preserve"> المؤرخ 25 سبتمبر/أيلول 2015 بعنوان "تحويل عالمنا: خطة التنمية المستدامة لعام 2030".</w:t>
      </w:r>
    </w:p>
  </w:footnote>
  <w:footnote w:id="27">
    <w:p w:rsidR="000C66C6" w:rsidRPr="00B9561A" w:rsidRDefault="000C66C6" w:rsidP="0044570B">
      <w:pPr>
        <w:pStyle w:val="FootnoteText"/>
      </w:pPr>
      <w:r w:rsidRPr="00BF5B24">
        <w:rPr>
          <w:rStyle w:val="FootnoteReference"/>
          <w:szCs w:val="20"/>
        </w:rPr>
        <w:footnoteRef/>
      </w:r>
      <w:r w:rsidRPr="00BF5B24">
        <w:rPr>
          <w:rtl/>
        </w:rPr>
        <w:t xml:space="preserve"> </w:t>
      </w:r>
      <w:r w:rsidRPr="00BF5B24">
        <w:rPr>
          <w:rFonts w:hint="cs"/>
          <w:rtl/>
        </w:rPr>
        <w:t xml:space="preserve">اتفاقية الأمم المتحدة الإطارية بشأن تغير المناخ، مؤتمر الأطراف، الدورة الحادية والعشرون، المقرر </w:t>
      </w:r>
      <w:r w:rsidRPr="00BF5B24">
        <w:rPr>
          <w:kern w:val="18"/>
        </w:rPr>
        <w:t>1/CP.21</w:t>
      </w:r>
      <w:r w:rsidRPr="00BF5B24">
        <w:rPr>
          <w:rFonts w:hint="cs"/>
          <w:kern w:val="18"/>
          <w:rtl/>
        </w:rPr>
        <w:t xml:space="preserve">، (انظر الوثيقة </w:t>
      </w:r>
      <w:hyperlink r:id="rId21" w:history="1">
        <w:r w:rsidRPr="00BF5B24">
          <w:rPr>
            <w:rStyle w:val="Hyperlink"/>
            <w:kern w:val="18"/>
            <w:lang w:val="en-GB"/>
          </w:rPr>
          <w:t>FCCC/CP/2015/10/Add.1</w:t>
        </w:r>
      </w:hyperlink>
      <w:r w:rsidRPr="00BF5B24">
        <w:rPr>
          <w:rFonts w:hint="cs"/>
          <w:kern w:val="18"/>
          <w:rtl/>
        </w:rPr>
        <w:t>)</w:t>
      </w:r>
    </w:p>
  </w:footnote>
  <w:footnote w:id="28">
    <w:p w:rsidR="000C66C6" w:rsidRPr="00BF5B24" w:rsidRDefault="000C66C6" w:rsidP="0044570B">
      <w:pPr>
        <w:pStyle w:val="FootnoteText"/>
      </w:pPr>
      <w:r w:rsidRPr="00B9561A">
        <w:rPr>
          <w:rStyle w:val="FootnoteReference"/>
        </w:rPr>
        <w:footnoteRef/>
      </w:r>
      <w:r w:rsidRPr="00B9561A">
        <w:rPr>
          <w:rtl/>
        </w:rPr>
        <w:t xml:space="preserve"> </w:t>
      </w:r>
      <w:hyperlink r:id="rId22" w:history="1">
        <w:r w:rsidRPr="00BF5B24">
          <w:rPr>
            <w:rStyle w:val="Hyperlink"/>
            <w:rFonts w:hint="cs"/>
            <w:rtl/>
          </w:rPr>
          <w:t>أمانة اتفاقية التنوع البيولوجي (2012). توقعات المدن والتنوع البيولوجي. مونتريال، كندا</w:t>
        </w:r>
      </w:hyperlink>
      <w:r w:rsidRPr="00BF5B24">
        <w:rPr>
          <w:rFonts w:hint="cs"/>
          <w:rtl/>
        </w:rPr>
        <w:t>.</w:t>
      </w:r>
    </w:p>
  </w:footnote>
  <w:footnote w:id="29">
    <w:p w:rsidR="000C66C6" w:rsidRPr="00BF5B24" w:rsidRDefault="000C66C6" w:rsidP="0044570B">
      <w:pPr>
        <w:pStyle w:val="FootnoteText"/>
      </w:pPr>
      <w:r w:rsidRPr="00BF5B24">
        <w:rPr>
          <w:rStyle w:val="FootnoteReference"/>
          <w:szCs w:val="20"/>
        </w:rPr>
        <w:footnoteRef/>
      </w:r>
      <w:r w:rsidRPr="00BF5B24">
        <w:rPr>
          <w:rtl/>
        </w:rPr>
        <w:t xml:space="preserve"> </w:t>
      </w:r>
      <w:r w:rsidRPr="00BF5B24">
        <w:rPr>
          <w:rFonts w:hint="cs"/>
          <w:rtl/>
        </w:rPr>
        <w:t>قرار الجمعية العامة 71/256، المرفق.</w:t>
      </w:r>
    </w:p>
  </w:footnote>
  <w:footnote w:id="30">
    <w:p w:rsidR="000C66C6" w:rsidRPr="00BF5B24" w:rsidRDefault="000C66C6" w:rsidP="0044570B">
      <w:pPr>
        <w:pStyle w:val="FootnoteText"/>
        <w:rPr>
          <w:rtl/>
        </w:rPr>
      </w:pPr>
      <w:r w:rsidRPr="00BF5B24">
        <w:rPr>
          <w:rStyle w:val="FootnoteReference"/>
          <w:szCs w:val="20"/>
        </w:rPr>
        <w:footnoteRef/>
      </w:r>
      <w:r w:rsidRPr="00BF5B24">
        <w:rPr>
          <w:rtl/>
        </w:rPr>
        <w:t xml:space="preserve"> </w:t>
      </w:r>
      <w:r w:rsidRPr="00BF5B24">
        <w:rPr>
          <w:rFonts w:hint="cs"/>
          <w:rtl/>
        </w:rPr>
        <w:t xml:space="preserve">الفريق الدولي المعني بالموارد، </w:t>
      </w:r>
      <w:hyperlink r:id="rId23" w:history="1">
        <w:r w:rsidRPr="00BF5B24">
          <w:rPr>
            <w:rStyle w:val="Hyperlink"/>
            <w:rFonts w:hint="cs"/>
            <w:rtl/>
          </w:rPr>
          <w:t>تأثير المدن،: الموارد الضرورية للتوسع الحضري في المستقبل</w:t>
        </w:r>
      </w:hyperlink>
      <w:r w:rsidRPr="00BF5B24">
        <w:rPr>
          <w:rFonts w:hint="cs"/>
          <w:rtl/>
        </w:rPr>
        <w:t>.</w:t>
      </w:r>
      <w:r w:rsidRPr="00BF5B24">
        <w:rPr>
          <w:rFonts w:hint="cs"/>
        </w:rPr>
        <w:t xml:space="preserve"> </w:t>
      </w:r>
      <w:r w:rsidRPr="00BF5B24">
        <w:rPr>
          <w:rFonts w:hint="cs"/>
          <w:rtl/>
        </w:rPr>
        <w:t>برنامج الأمم المتحدة للبيئة، نيروبي، كينيا، 2018.</w:t>
      </w:r>
    </w:p>
  </w:footnote>
  <w:footnote w:id="31">
    <w:p w:rsidR="000C66C6" w:rsidRPr="00BF5B24" w:rsidRDefault="000C66C6" w:rsidP="0044570B">
      <w:pPr>
        <w:pStyle w:val="FootnoteText"/>
      </w:pPr>
      <w:r w:rsidRPr="00BF5B24">
        <w:rPr>
          <w:rStyle w:val="FootnoteReference"/>
          <w:szCs w:val="20"/>
        </w:rPr>
        <w:footnoteRef/>
      </w:r>
      <w:r w:rsidRPr="00BF5B24">
        <w:rPr>
          <w:rtl/>
        </w:rPr>
        <w:t xml:space="preserve"> </w:t>
      </w:r>
      <w:r w:rsidRPr="00BF5B24">
        <w:t>CBD/SBI/2/INF/39</w:t>
      </w:r>
      <w:r w:rsidRPr="00BF5B24">
        <w:rPr>
          <w:rFonts w:hint="cs"/>
          <w:rtl/>
        </w:rPr>
        <w:t>.</w:t>
      </w:r>
    </w:p>
  </w:footnote>
  <w:footnote w:id="32">
    <w:p w:rsidR="000C66C6" w:rsidRPr="00BF5B24" w:rsidRDefault="000C66C6" w:rsidP="0044570B">
      <w:pPr>
        <w:pStyle w:val="FootnoteText"/>
      </w:pPr>
      <w:r w:rsidRPr="00BF5B24">
        <w:rPr>
          <w:rStyle w:val="FootnoteReference"/>
          <w:szCs w:val="20"/>
        </w:rPr>
        <w:footnoteRef/>
      </w:r>
      <w:r w:rsidRPr="00BF5B24">
        <w:rPr>
          <w:rFonts w:hint="cs"/>
          <w:rtl/>
        </w:rPr>
        <w:t xml:space="preserve"> </w:t>
      </w:r>
      <w:r w:rsidRPr="00BF5B24">
        <w:t>CBD/SBI/2/INF/37</w:t>
      </w:r>
      <w:r w:rsidRPr="00BF5B24">
        <w:rPr>
          <w:rFonts w:hint="cs"/>
          <w:rtl/>
        </w:rPr>
        <w:t>.</w:t>
      </w:r>
    </w:p>
  </w:footnote>
  <w:footnote w:id="33">
    <w:p w:rsidR="000C66C6" w:rsidRPr="00B9561A" w:rsidRDefault="000C66C6" w:rsidP="0044570B">
      <w:pPr>
        <w:pStyle w:val="FootnoteText"/>
      </w:pPr>
      <w:r w:rsidRPr="00BF5B24">
        <w:rPr>
          <w:rStyle w:val="FootnoteReference"/>
          <w:szCs w:val="20"/>
        </w:rPr>
        <w:footnoteRef/>
      </w:r>
      <w:r w:rsidRPr="00BF5B24">
        <w:rPr>
          <w:rFonts w:hint="cs"/>
          <w:rtl/>
        </w:rPr>
        <w:t xml:space="preserve"> </w:t>
      </w:r>
      <w:r w:rsidRPr="00BF5B24">
        <w:rPr>
          <w:lang w:val="en-CA"/>
        </w:rPr>
        <w:t>CBD/SBI/2/4/Add.2</w:t>
      </w:r>
      <w:r w:rsidRPr="00BF5B24">
        <w:rPr>
          <w:rFonts w:hint="cs"/>
          <w:rtl/>
        </w:rPr>
        <w:t>.</w:t>
      </w:r>
    </w:p>
  </w:footnote>
  <w:footnote w:id="34">
    <w:p w:rsidR="000C66C6" w:rsidRPr="00BF5B24" w:rsidRDefault="000C66C6" w:rsidP="0044570B">
      <w:pPr>
        <w:pStyle w:val="FootnoteText"/>
      </w:pPr>
      <w:r w:rsidRPr="00BF5B24">
        <w:rPr>
          <w:rStyle w:val="FootnoteReference"/>
        </w:rPr>
        <w:footnoteRef/>
      </w:r>
      <w:r w:rsidRPr="00B9561A">
        <w:rPr>
          <w:rFonts w:hint="cs"/>
          <w:rtl/>
        </w:rPr>
        <w:t xml:space="preserve"> </w:t>
      </w:r>
      <w:r w:rsidRPr="00BF5B24">
        <w:t>CBD/SBI/2/INF/29</w:t>
      </w:r>
      <w:r w:rsidRPr="00BF5B24">
        <w:rPr>
          <w:rFonts w:hint="cs"/>
          <w:rtl/>
        </w:rPr>
        <w:t>.</w:t>
      </w:r>
    </w:p>
  </w:footnote>
  <w:footnote w:id="35">
    <w:p w:rsidR="000C66C6" w:rsidRPr="00BF5B24" w:rsidRDefault="000C66C6" w:rsidP="0044570B">
      <w:pPr>
        <w:pStyle w:val="FootnoteText"/>
        <w:rPr>
          <w:rtl/>
        </w:rPr>
      </w:pPr>
      <w:r w:rsidRPr="00BF5B24">
        <w:rPr>
          <w:rStyle w:val="FootnoteReference"/>
          <w:szCs w:val="20"/>
        </w:rPr>
        <w:footnoteRef/>
      </w:r>
      <w:r w:rsidRPr="00BF5B24">
        <w:rPr>
          <w:vertAlign w:val="superscript"/>
          <w:rtl/>
        </w:rPr>
        <w:t xml:space="preserve"> </w:t>
      </w:r>
      <w:r w:rsidRPr="00BF5B24">
        <w:t xml:space="preserve"> UNEP/CMS/Resolution 7.05 (Rev. COP 12) </w:t>
      </w:r>
      <w:r w:rsidRPr="00BF5B24">
        <w:rPr>
          <w:rFonts w:hint="cs"/>
          <w:rtl/>
        </w:rPr>
        <w:t xml:space="preserve">"التوربينات الهوائية والأنواع المهاجرة"، و </w:t>
      </w:r>
      <w:r w:rsidRPr="00BF5B24">
        <w:t>UNEP/CMS/Resolution 7.04</w:t>
      </w:r>
      <w:r w:rsidRPr="00BF5B24">
        <w:rPr>
          <w:rFonts w:hint="cs"/>
          <w:rtl/>
        </w:rPr>
        <w:t xml:space="preserve"> "صعق الأنواع المهاجرة"؛ و </w:t>
      </w:r>
      <w:r w:rsidRPr="00BF5B24">
        <w:t>UNEP/CMS/Resolution 10.11</w:t>
      </w:r>
      <w:r w:rsidRPr="00BF5B24">
        <w:rPr>
          <w:rFonts w:hint="cs"/>
          <w:rtl/>
        </w:rPr>
        <w:t xml:space="preserve"> "خطوط الكهرباء والأنواع المهاجرة"؛ و </w:t>
      </w:r>
      <w:r w:rsidRPr="00BF5B24">
        <w:t>UNEP/CMS 11.27</w:t>
      </w:r>
      <w:r w:rsidRPr="00BF5B24">
        <w:rPr>
          <w:rFonts w:hint="cs"/>
          <w:rtl/>
        </w:rPr>
        <w:t xml:space="preserve"> "الطاقة المتجددة والأنواع المهاجرة".</w:t>
      </w:r>
    </w:p>
  </w:footnote>
  <w:footnote w:id="36">
    <w:p w:rsidR="000C66C6" w:rsidRDefault="000C66C6" w:rsidP="0044570B">
      <w:pPr>
        <w:pStyle w:val="FootnoteText"/>
      </w:pPr>
      <w:r w:rsidRPr="00BF5B24">
        <w:rPr>
          <w:rStyle w:val="FootnoteReference"/>
          <w:szCs w:val="20"/>
        </w:rPr>
        <w:footnoteRef/>
      </w:r>
      <w:r w:rsidRPr="00BF5B24">
        <w:rPr>
          <w:rtl/>
        </w:rPr>
        <w:t xml:space="preserve"> </w:t>
      </w:r>
      <w:r w:rsidRPr="00BF5B24">
        <w:rPr>
          <w:rFonts w:hint="cs"/>
          <w:rtl/>
        </w:rPr>
        <w:t>بما في ذلك المبادئ التوجيهية الطوعية بشأن تقييم الأثر الشامل للتنوع البيولوجي التي اعتمدها مؤتمر الأطراف في مقرره 8/28.</w:t>
      </w:r>
    </w:p>
  </w:footnote>
  <w:footnote w:id="37">
    <w:p w:rsidR="000C66C6" w:rsidRPr="00BF5B24" w:rsidRDefault="000C66C6" w:rsidP="00BF5B24">
      <w:pPr>
        <w:pStyle w:val="FootnoteText"/>
        <w:rPr>
          <w:rtl/>
        </w:rPr>
      </w:pPr>
      <w:r>
        <w:rPr>
          <w:rStyle w:val="FootnoteReference"/>
        </w:rPr>
        <w:footnoteRef/>
      </w:r>
      <w:r>
        <w:rPr>
          <w:rtl/>
        </w:rPr>
        <w:t xml:space="preserve"> </w:t>
      </w:r>
      <w:r w:rsidRPr="00BF5B24">
        <w:rPr>
          <w:rFonts w:hint="cs"/>
          <w:rtl/>
        </w:rPr>
        <w:t>المقرر 10/2، المرفق.</w:t>
      </w:r>
    </w:p>
  </w:footnote>
  <w:footnote w:id="38">
    <w:p w:rsidR="000C66C6" w:rsidRDefault="000C66C6" w:rsidP="00BF5B24">
      <w:pPr>
        <w:pStyle w:val="FootnoteText"/>
        <w:rPr>
          <w:rtl/>
        </w:rPr>
      </w:pPr>
      <w:r w:rsidRPr="00BB5C54">
        <w:rPr>
          <w:rStyle w:val="FootnoteReference"/>
          <w:szCs w:val="20"/>
        </w:rPr>
        <w:footnoteRef/>
      </w:r>
      <w:r w:rsidRPr="00BF5B24">
        <w:rPr>
          <w:rtl/>
        </w:rPr>
        <w:t xml:space="preserve"> </w:t>
      </w:r>
      <w:r w:rsidRPr="00BF5B24">
        <w:rPr>
          <w:rFonts w:hint="cs"/>
          <w:rtl/>
        </w:rPr>
        <w:t>انظر قرار الجمعية العامة 70/1، المؤرخ 25 يناير 2015.</w:t>
      </w:r>
    </w:p>
  </w:footnote>
  <w:footnote w:id="39">
    <w:p w:rsidR="000C66C6" w:rsidRDefault="000C66C6" w:rsidP="00BF5B24">
      <w:pPr>
        <w:pStyle w:val="FootnoteText"/>
        <w:rPr>
          <w:rtl/>
        </w:rPr>
      </w:pPr>
      <w:r>
        <w:rPr>
          <w:rStyle w:val="FootnoteReference"/>
        </w:rPr>
        <w:footnoteRef/>
      </w:r>
      <w:r>
        <w:rPr>
          <w:rtl/>
        </w:rPr>
        <w:t xml:space="preserve"> </w:t>
      </w:r>
      <w:r w:rsidRPr="00BF5B24">
        <w:rPr>
          <w:rFonts w:hint="cs"/>
          <w:rtl/>
        </w:rPr>
        <w:t xml:space="preserve">انظر وثيقة جمعية الصحة العالمية </w:t>
      </w:r>
      <w:hyperlink r:id="rId24" w:history="1">
        <w:r w:rsidRPr="00BF5B24">
          <w:rPr>
            <w:rStyle w:val="Hyperlink"/>
          </w:rPr>
          <w:t>A71/11</w:t>
        </w:r>
      </w:hyperlink>
      <w:r w:rsidRPr="00BF5B24">
        <w:rPr>
          <w:rFonts w:hint="cs"/>
          <w:rtl/>
        </w:rPr>
        <w:t xml:space="preserve"> المؤرخة 29 مارس/آذار 2018.</w:t>
      </w:r>
    </w:p>
  </w:footnote>
  <w:footnote w:id="40">
    <w:p w:rsidR="000C66C6" w:rsidRDefault="000C66C6" w:rsidP="00BF5B24">
      <w:pPr>
        <w:pStyle w:val="FootnoteText"/>
      </w:pPr>
      <w:r>
        <w:rPr>
          <w:rStyle w:val="FootnoteReference"/>
        </w:rPr>
        <w:footnoteRef/>
      </w:r>
      <w:r>
        <w:rPr>
          <w:rtl/>
        </w:rPr>
        <w:t xml:space="preserve"> </w:t>
      </w:r>
      <w:hyperlink r:id="rId25" w:history="1">
        <w:r w:rsidRPr="00BB5C54">
          <w:rPr>
            <w:rStyle w:val="Hyperlink"/>
            <w:kern w:val="18"/>
          </w:rPr>
          <w:t>CBD/SBSTTA/21/4</w:t>
        </w:r>
      </w:hyperlink>
      <w:r w:rsidRPr="00BB5C54">
        <w:rPr>
          <w:rFonts w:hint="cs"/>
          <w:rtl/>
        </w:rPr>
        <w:t>، القسم الثالث.</w:t>
      </w:r>
    </w:p>
  </w:footnote>
  <w:footnote w:id="41">
    <w:p w:rsidR="000C66C6" w:rsidRDefault="000C66C6" w:rsidP="008477DA">
      <w:pPr>
        <w:pStyle w:val="FootnoteText"/>
        <w:rPr>
          <w:rtl/>
        </w:rPr>
      </w:pPr>
      <w:r>
        <w:rPr>
          <w:rStyle w:val="FootnoteReference"/>
        </w:rPr>
        <w:footnoteRef/>
      </w:r>
      <w:r>
        <w:rPr>
          <w:rFonts w:hint="cs"/>
          <w:rtl/>
        </w:rPr>
        <w:t xml:space="preserve"> </w:t>
      </w:r>
      <w:r>
        <w:rPr>
          <w:rFonts w:ascii="Simplified Arabic" w:hAnsi="Simplified Arabic"/>
          <w:color w:val="222222"/>
          <w:sz w:val="20"/>
          <w:rtl/>
        </w:rPr>
        <w:t>الأمم المتحدة</w:t>
      </w:r>
      <w:r w:rsidRPr="00FE2D07">
        <w:rPr>
          <w:rFonts w:ascii="Simplified Arabic" w:hAnsi="Simplified Arabic"/>
          <w:color w:val="222222"/>
          <w:sz w:val="20"/>
          <w:rtl/>
        </w:rPr>
        <w:t xml:space="preserve">، </w:t>
      </w:r>
      <w:r w:rsidRPr="001276D2">
        <w:rPr>
          <w:rFonts w:ascii="Simplified Arabic" w:hAnsi="Simplified Arabic"/>
          <w:i/>
          <w:iCs/>
          <w:color w:val="222222"/>
          <w:sz w:val="20"/>
          <w:rtl/>
        </w:rPr>
        <w:t>مجموعة المعاهدات</w:t>
      </w:r>
      <w:r w:rsidRPr="00FE2D07">
        <w:rPr>
          <w:rFonts w:ascii="Simplified Arabic" w:hAnsi="Simplified Arabic"/>
          <w:color w:val="222222"/>
          <w:sz w:val="20"/>
          <w:rtl/>
        </w:rPr>
        <w:t>، رقم التسجيل</w:t>
      </w:r>
      <w:r>
        <w:rPr>
          <w:rFonts w:ascii="Simplified Arabic" w:hAnsi="Simplified Arabic" w:hint="cs"/>
          <w:color w:val="222222"/>
          <w:sz w:val="20"/>
          <w:rtl/>
        </w:rPr>
        <w:t xml:space="preserve"> </w:t>
      </w:r>
      <w:r w:rsidRPr="00FE2D07">
        <w:rPr>
          <w:rFonts w:cs="Times New Roman"/>
          <w:color w:val="222222"/>
          <w:sz w:val="20"/>
        </w:rPr>
        <w:t>I-54113</w:t>
      </w:r>
      <w:r>
        <w:rPr>
          <w:rFonts w:cs="Times New Roman" w:hint="cs"/>
          <w:color w:val="222222"/>
          <w:sz w:val="20"/>
          <w:rtl/>
        </w:rPr>
        <w:t>.</w:t>
      </w:r>
    </w:p>
  </w:footnote>
  <w:footnote w:id="42">
    <w:p w:rsidR="000C66C6" w:rsidRPr="00EA475C" w:rsidRDefault="000C66C6" w:rsidP="008477DA">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156F8E">
        <w:rPr>
          <w:rFonts w:ascii="Simplified Arabic" w:hAnsi="Simplified Arabic"/>
          <w:sz w:val="20"/>
          <w:rtl/>
        </w:rPr>
        <w:t>المقرر 7/11.</w:t>
      </w:r>
    </w:p>
  </w:footnote>
  <w:footnote w:id="43">
    <w:p w:rsidR="000C66C6" w:rsidRPr="00FE2D07" w:rsidRDefault="000C66C6" w:rsidP="008477DA">
      <w:pPr>
        <w:pStyle w:val="FootnoteText"/>
        <w:rPr>
          <w:rFonts w:ascii="Simplified Arabic" w:hAnsi="Simplified Arabic"/>
          <w:sz w:val="20"/>
          <w:rtl/>
        </w:rPr>
      </w:pPr>
      <w:r>
        <w:rPr>
          <w:rStyle w:val="FootnoteReference"/>
        </w:rPr>
        <w:footnoteRef/>
      </w:r>
      <w:r>
        <w:rPr>
          <w:rFonts w:hint="cs"/>
          <w:rtl/>
        </w:rPr>
        <w:t xml:space="preserve"> </w:t>
      </w:r>
      <w:r>
        <w:rPr>
          <w:rFonts w:ascii="Simplified Arabic" w:hAnsi="Simplified Arabic"/>
          <w:color w:val="222222"/>
          <w:sz w:val="20"/>
          <w:rtl/>
        </w:rPr>
        <w:t>أنشئ</w:t>
      </w:r>
      <w:r w:rsidRPr="00FE2D07">
        <w:rPr>
          <w:rFonts w:ascii="Simplified Arabic" w:hAnsi="Simplified Arabic"/>
          <w:color w:val="222222"/>
          <w:sz w:val="20"/>
          <w:rtl/>
        </w:rPr>
        <w:t xml:space="preserve"> بموجب الفقرة 135 من المقرر </w:t>
      </w:r>
      <w:r w:rsidRPr="00C103B2">
        <w:rPr>
          <w:kern w:val="18"/>
          <w:szCs w:val="18"/>
        </w:rPr>
        <w:t>1/CP.21</w:t>
      </w:r>
      <w:r>
        <w:rPr>
          <w:rFonts w:ascii="Simplified Arabic" w:hAnsi="Simplified Arabic" w:hint="cs"/>
          <w:color w:val="222222"/>
          <w:sz w:val="20"/>
          <w:rtl/>
        </w:rPr>
        <w:t xml:space="preserve"> </w:t>
      </w:r>
      <w:r w:rsidRPr="00FE2D07">
        <w:rPr>
          <w:rFonts w:ascii="Simplified Arabic" w:hAnsi="Simplified Arabic"/>
          <w:color w:val="222222"/>
          <w:sz w:val="20"/>
          <w:rtl/>
        </w:rPr>
        <w:t>لمؤتمر الأطراف في اتفاقية الأمم المتحدة الإطارية بشأن تغير المناخ (انظر</w:t>
      </w:r>
      <w:r w:rsidRPr="00FE2D07">
        <w:rPr>
          <w:rFonts w:ascii="Simplified Arabic" w:hAnsi="Simplified Arabic"/>
          <w:color w:val="222222"/>
          <w:sz w:val="20"/>
        </w:rPr>
        <w:t xml:space="preserve"> </w:t>
      </w:r>
      <w:r w:rsidRPr="00156F8E">
        <w:rPr>
          <w:rFonts w:cs="Times New Roman"/>
          <w:color w:val="222222"/>
        </w:rPr>
        <w:t>FCCC/CP/2015/10/Add.1</w:t>
      </w:r>
      <w:r w:rsidRPr="00EE6999">
        <w:rPr>
          <w:rFonts w:cs="Times New Roman"/>
          <w:color w:val="222222"/>
          <w:sz w:val="20"/>
        </w:rPr>
        <w:t>.</w:t>
      </w:r>
      <w:r>
        <w:rPr>
          <w:rFonts w:ascii="Simplified Arabic" w:hAnsi="Simplified Arabic" w:hint="cs"/>
          <w:color w:val="222222"/>
          <w:sz w:val="20"/>
          <w:rtl/>
        </w:rPr>
        <w:t>).</w:t>
      </w:r>
    </w:p>
  </w:footnote>
  <w:footnote w:id="44">
    <w:p w:rsidR="000C66C6" w:rsidRPr="00EE6999" w:rsidRDefault="000C66C6" w:rsidP="000C66C6">
      <w:pPr>
        <w:pStyle w:val="FootnoteText"/>
        <w:rPr>
          <w:rtl/>
        </w:rPr>
      </w:pPr>
      <w:r>
        <w:rPr>
          <w:rStyle w:val="FootnoteReference"/>
        </w:rPr>
        <w:footnoteRef/>
      </w:r>
      <w:r>
        <w:rPr>
          <w:rFonts w:hint="cs"/>
          <w:rtl/>
        </w:rPr>
        <w:t xml:space="preserve"> </w:t>
      </w:r>
      <w:r w:rsidRPr="00156F8E">
        <w:rPr>
          <w:rFonts w:eastAsia="Times New Roman" w:cs="Times New Roman"/>
          <w:kern w:val="18"/>
          <w:lang w:val="en-GB" w:eastAsia="en-US"/>
        </w:rPr>
        <w:t>CBD/COP/14/INF/22</w:t>
      </w:r>
    </w:p>
  </w:footnote>
  <w:footnote w:id="45">
    <w:p w:rsidR="000C66C6" w:rsidRPr="00B002E8" w:rsidRDefault="000C66C6" w:rsidP="00023979">
      <w:pPr>
        <w:pStyle w:val="FootnoteText"/>
        <w:rPr>
          <w:rFonts w:ascii="Simplified Arabic" w:hAnsi="Simplified Arabic"/>
          <w:sz w:val="20"/>
          <w:rtl/>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Pr>
          <w:rFonts w:ascii="Simplified Arabic" w:hAnsi="Simplified Arabic" w:hint="cs"/>
          <w:sz w:val="20"/>
          <w:rtl/>
        </w:rPr>
        <w:t xml:space="preserve">الأمم المتحدة، </w:t>
      </w:r>
      <w:r w:rsidRPr="00B002E8">
        <w:rPr>
          <w:rFonts w:ascii="Simplified Arabic" w:hAnsi="Simplified Arabic"/>
          <w:i/>
          <w:iCs/>
          <w:sz w:val="20"/>
          <w:rtl/>
        </w:rPr>
        <w:t xml:space="preserve">مجموعة </w:t>
      </w:r>
      <w:r>
        <w:rPr>
          <w:rFonts w:ascii="Simplified Arabic" w:hAnsi="Simplified Arabic" w:hint="cs"/>
          <w:i/>
          <w:iCs/>
          <w:sz w:val="20"/>
          <w:rtl/>
        </w:rPr>
        <w:t>ال</w:t>
      </w:r>
      <w:r w:rsidRPr="00B002E8">
        <w:rPr>
          <w:rFonts w:ascii="Simplified Arabic" w:hAnsi="Simplified Arabic"/>
          <w:i/>
          <w:iCs/>
          <w:sz w:val="20"/>
          <w:rtl/>
        </w:rPr>
        <w:t>معاهدات</w:t>
      </w:r>
      <w:r w:rsidRPr="00B002E8">
        <w:rPr>
          <w:rFonts w:ascii="Simplified Arabic" w:hAnsi="Simplified Arabic"/>
          <w:sz w:val="20"/>
          <w:rtl/>
        </w:rPr>
        <w:t xml:space="preserve">، رقم التسجيل </w:t>
      </w:r>
      <w:r w:rsidRPr="00B002E8">
        <w:rPr>
          <w:rFonts w:ascii="Simplified Arabic" w:hAnsi="Simplified Arabic"/>
          <w:sz w:val="20"/>
          <w:lang w:val="en-GB"/>
        </w:rPr>
        <w:t>I-54113</w:t>
      </w:r>
      <w:r w:rsidRPr="00B002E8">
        <w:rPr>
          <w:rFonts w:ascii="Simplified Arabic" w:hAnsi="Simplified Arabic"/>
          <w:sz w:val="20"/>
          <w:rtl/>
        </w:rPr>
        <w:t>.</w:t>
      </w:r>
    </w:p>
  </w:footnote>
  <w:footnote w:id="46">
    <w:p w:rsidR="000C66C6" w:rsidRPr="00B002E8" w:rsidRDefault="000C66C6" w:rsidP="00023979">
      <w:pPr>
        <w:pStyle w:val="FootnoteText"/>
        <w:rPr>
          <w:rFonts w:ascii="Simplified Arabic" w:hAnsi="Simplified Arabic"/>
          <w:sz w:val="20"/>
          <w:rtl/>
        </w:rPr>
      </w:pPr>
      <w:r w:rsidRPr="00B002E8">
        <w:rPr>
          <w:rStyle w:val="FootnoteReference"/>
          <w:rFonts w:ascii="Simplified Arabic" w:hAnsi="Simplified Arabic"/>
          <w:sz w:val="20"/>
        </w:rPr>
        <w:footnoteRef/>
      </w:r>
      <w:r w:rsidRPr="00B002E8">
        <w:rPr>
          <w:rFonts w:ascii="Simplified Arabic" w:hAnsi="Simplified Arabic"/>
          <w:sz w:val="20"/>
          <w:rtl/>
        </w:rPr>
        <w:t xml:space="preserve"> انظر قرار الجمعية العامة 70/1 المؤرخ 25 سبتمبر/أيلول 2015.</w:t>
      </w:r>
    </w:p>
  </w:footnote>
  <w:footnote w:id="47">
    <w:p w:rsidR="000C66C6" w:rsidRPr="00B002E8" w:rsidRDefault="000C66C6" w:rsidP="00023979">
      <w:pPr>
        <w:pStyle w:val="FootnoteText"/>
        <w:rPr>
          <w:rFonts w:ascii="Simplified Arabic" w:hAnsi="Simplified Arabic"/>
          <w:sz w:val="20"/>
          <w:lang w:val="en-CA"/>
        </w:rPr>
      </w:pPr>
      <w:r w:rsidRPr="00B002E8">
        <w:rPr>
          <w:rStyle w:val="FootnoteReference"/>
          <w:rFonts w:ascii="Simplified Arabic" w:hAnsi="Simplified Arabic"/>
          <w:sz w:val="20"/>
        </w:rPr>
        <w:footnoteRef/>
      </w:r>
      <w:r w:rsidRPr="00B002E8">
        <w:rPr>
          <w:rFonts w:ascii="Simplified Arabic" w:hAnsi="Simplified Arabic"/>
          <w:sz w:val="20"/>
          <w:rtl/>
        </w:rPr>
        <w:t xml:space="preserve"> </w:t>
      </w:r>
      <w:hyperlink r:id="rId26" w:history="1">
        <w:r w:rsidRPr="00E40B92">
          <w:rPr>
            <w:rStyle w:val="Hyperlink"/>
            <w:rFonts w:ascii="Simplified Arabic" w:hAnsi="Simplified Arabic"/>
            <w:sz w:val="20"/>
            <w:rtl/>
            <w:lang w:val="en-CA"/>
          </w:rPr>
          <w:t>المقرر 10/2</w:t>
        </w:r>
      </w:hyperlink>
      <w:r w:rsidRPr="00B002E8">
        <w:rPr>
          <w:rFonts w:ascii="Simplified Arabic" w:hAnsi="Simplified Arabic"/>
          <w:sz w:val="20"/>
          <w:rtl/>
          <w:lang w:val="en-CA"/>
        </w:rPr>
        <w:t>.</w:t>
      </w:r>
    </w:p>
  </w:footnote>
  <w:footnote w:id="48">
    <w:p w:rsidR="000C66C6" w:rsidRPr="00B002E8" w:rsidRDefault="000C66C6" w:rsidP="00023979">
      <w:pPr>
        <w:pStyle w:val="FootnoteText"/>
        <w:rPr>
          <w:rFonts w:ascii="Simplified Arabic" w:hAnsi="Simplified Arabic"/>
          <w:sz w:val="20"/>
          <w:rtl/>
        </w:rPr>
      </w:pPr>
      <w:r w:rsidRPr="00B002E8">
        <w:rPr>
          <w:rStyle w:val="FootnoteReference"/>
          <w:rFonts w:ascii="Simplified Arabic" w:hAnsi="Simplified Arabic"/>
          <w:sz w:val="20"/>
        </w:rPr>
        <w:footnoteRef/>
      </w:r>
      <w:r w:rsidRPr="00B002E8">
        <w:rPr>
          <w:rFonts w:ascii="Simplified Arabic" w:hAnsi="Simplified Arabic"/>
          <w:sz w:val="20"/>
          <w:rtl/>
        </w:rPr>
        <w:t xml:space="preserve"> قرار الجمعية العامة 69/283، المرفق الثاني</w:t>
      </w:r>
      <w:r w:rsidRPr="00B002E8">
        <w:rPr>
          <w:rFonts w:ascii="Simplified Arabic" w:hAnsi="Simplified Arabic"/>
          <w:sz w:val="20"/>
        </w:rPr>
        <w:t>.</w:t>
      </w:r>
    </w:p>
  </w:footnote>
  <w:footnote w:id="49">
    <w:p w:rsidR="000C66C6" w:rsidRPr="00EE6999" w:rsidRDefault="000C66C6" w:rsidP="00023979">
      <w:pPr>
        <w:pStyle w:val="FootnoteText"/>
        <w:rPr>
          <w:rtl/>
        </w:rPr>
      </w:pPr>
      <w:r>
        <w:rPr>
          <w:rStyle w:val="FootnoteReference"/>
        </w:rPr>
        <w:footnoteRef/>
      </w:r>
      <w:r>
        <w:rPr>
          <w:rFonts w:hint="cs"/>
          <w:rtl/>
        </w:rPr>
        <w:t xml:space="preserve"> </w:t>
      </w:r>
      <w:r>
        <w:rPr>
          <w:rFonts w:ascii="Simplified Arabic" w:hAnsi="Simplified Arabic" w:hint="cs"/>
          <w:sz w:val="20"/>
          <w:rtl/>
        </w:rPr>
        <w:t>الهيئة</w:t>
      </w:r>
      <w:r w:rsidRPr="00EE6999">
        <w:rPr>
          <w:rFonts w:ascii="Simplified Arabic" w:hAnsi="Simplified Arabic"/>
          <w:sz w:val="20"/>
          <w:rtl/>
        </w:rPr>
        <w:t xml:space="preserve"> الح</w:t>
      </w:r>
      <w:r>
        <w:rPr>
          <w:rFonts w:ascii="Simplified Arabic" w:hAnsi="Simplified Arabic"/>
          <w:sz w:val="20"/>
          <w:rtl/>
        </w:rPr>
        <w:t>كومي</w:t>
      </w:r>
      <w:r>
        <w:rPr>
          <w:rFonts w:ascii="Simplified Arabic" w:hAnsi="Simplified Arabic" w:hint="cs"/>
          <w:sz w:val="20"/>
          <w:rtl/>
        </w:rPr>
        <w:t>ة</w:t>
      </w:r>
      <w:r>
        <w:rPr>
          <w:rFonts w:ascii="Simplified Arabic" w:hAnsi="Simplified Arabic"/>
          <w:sz w:val="20"/>
          <w:rtl/>
        </w:rPr>
        <w:t xml:space="preserve"> الدولي</w:t>
      </w:r>
      <w:r>
        <w:rPr>
          <w:rFonts w:ascii="Simplified Arabic" w:hAnsi="Simplified Arabic" w:hint="cs"/>
          <w:sz w:val="20"/>
          <w:rtl/>
        </w:rPr>
        <w:t>ة</w:t>
      </w:r>
      <w:r>
        <w:rPr>
          <w:rFonts w:ascii="Simplified Arabic" w:hAnsi="Simplified Arabic"/>
          <w:sz w:val="20"/>
          <w:rtl/>
        </w:rPr>
        <w:t xml:space="preserve"> المعني</w:t>
      </w:r>
      <w:r>
        <w:rPr>
          <w:rFonts w:ascii="Simplified Arabic" w:hAnsi="Simplified Arabic" w:hint="cs"/>
          <w:sz w:val="20"/>
          <w:rtl/>
        </w:rPr>
        <w:t>ة</w:t>
      </w:r>
      <w:r>
        <w:rPr>
          <w:rFonts w:ascii="Simplified Arabic" w:hAnsi="Simplified Arabic"/>
          <w:sz w:val="20"/>
          <w:rtl/>
        </w:rPr>
        <w:t xml:space="preserve"> بتغير المناخ</w:t>
      </w:r>
      <w:r w:rsidRPr="00EE6999">
        <w:rPr>
          <w:rFonts w:ascii="Simplified Arabic" w:hAnsi="Simplified Arabic"/>
          <w:sz w:val="20"/>
          <w:rtl/>
        </w:rPr>
        <w:t>، 2018. متاح على</w:t>
      </w:r>
      <w:r>
        <w:rPr>
          <w:rFonts w:ascii="Simplified Arabic" w:hAnsi="Simplified Arabic" w:hint="cs"/>
          <w:sz w:val="20"/>
          <w:rtl/>
        </w:rPr>
        <w:t xml:space="preserve"> الموقع </w:t>
      </w:r>
      <w:hyperlink r:id="rId27" w:history="1">
        <w:r w:rsidRPr="004C18C5">
          <w:rPr>
            <w:rStyle w:val="Hyperlink"/>
          </w:rPr>
          <w:t>http://www.ipcc.ch/report/sr15/</w:t>
        </w:r>
      </w:hyperlink>
      <w:r>
        <w:rPr>
          <w:rFonts w:hint="cs"/>
          <w:sz w:val="20"/>
          <w:rtl/>
        </w:rPr>
        <w:t>.</w:t>
      </w:r>
    </w:p>
  </w:footnote>
  <w:footnote w:id="50">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C6215F">
        <w:rPr>
          <w:rFonts w:cs="Times New Roman"/>
          <w:lang w:val="en-GB"/>
        </w:rPr>
        <w:t>CBD/SBSTTA/22/INF/1</w:t>
      </w:r>
      <w:r w:rsidRPr="00C6215F">
        <w:rPr>
          <w:rFonts w:ascii="Simplified Arabic" w:hAnsi="Simplified Arabic"/>
          <w:rtl/>
        </w:rPr>
        <w:t>.</w:t>
      </w:r>
    </w:p>
  </w:footnote>
  <w:footnote w:id="51">
    <w:p w:rsidR="000C66C6" w:rsidRPr="00CE00DC" w:rsidRDefault="000C66C6" w:rsidP="00023979">
      <w:pPr>
        <w:pStyle w:val="FootnoteText"/>
      </w:pPr>
      <w:r w:rsidRPr="00CE00DC">
        <w:rPr>
          <w:rStyle w:val="FootnoteReference"/>
        </w:rPr>
        <w:footnoteRef/>
      </w:r>
      <w:r w:rsidRPr="00CE00DC">
        <w:rPr>
          <w:rtl/>
        </w:rPr>
        <w:t xml:space="preserve"> مستمدة من سلسة </w:t>
      </w:r>
      <w:r w:rsidRPr="00CE00DC">
        <w:rPr>
          <w:rFonts w:hint="cs"/>
          <w:rtl/>
        </w:rPr>
        <w:t xml:space="preserve">المنشورات </w:t>
      </w:r>
      <w:r w:rsidRPr="00CE00DC">
        <w:rPr>
          <w:rtl/>
        </w:rPr>
        <w:t xml:space="preserve">التقنية </w:t>
      </w:r>
      <w:r w:rsidRPr="00CE00DC">
        <w:rPr>
          <w:rFonts w:hint="cs"/>
          <w:rtl/>
        </w:rPr>
        <w:t xml:space="preserve">رقم 41 </w:t>
      </w:r>
      <w:r w:rsidRPr="00CE00DC">
        <w:rPr>
          <w:rtl/>
        </w:rPr>
        <w:t>لاتفاقية التنوع البيولوجي</w:t>
      </w:r>
      <w:r w:rsidRPr="00CE00DC">
        <w:rPr>
          <w:snapToGrid w:val="0"/>
          <w:kern w:val="18"/>
        </w:rPr>
        <w:t>2009</w:t>
      </w:r>
      <w:r>
        <w:rPr>
          <w:snapToGrid w:val="0"/>
          <w:kern w:val="18"/>
        </w:rPr>
        <w:t xml:space="preserve"> </w:t>
      </w:r>
      <w:r>
        <w:rPr>
          <w:rFonts w:cs="Times New Roman" w:hint="cs"/>
          <w:snapToGrid w:val="0"/>
          <w:kern w:val="18"/>
          <w:szCs w:val="18"/>
          <w:rtl/>
        </w:rPr>
        <w:t>،</w:t>
      </w:r>
      <w:r w:rsidRPr="00CE00DC">
        <w:rPr>
          <w:rtl/>
        </w:rPr>
        <w:t>. الربط بين التنوع البيولوجي و</w:t>
      </w:r>
      <w:r>
        <w:rPr>
          <w:rFonts w:hint="cs"/>
          <w:rtl/>
        </w:rPr>
        <w:t>ال</w:t>
      </w:r>
      <w:r w:rsidRPr="00CE00DC">
        <w:rPr>
          <w:rtl/>
        </w:rPr>
        <w:t>تخفيف</w:t>
      </w:r>
      <w:r>
        <w:rPr>
          <w:rFonts w:hint="cs"/>
          <w:rtl/>
        </w:rPr>
        <w:t xml:space="preserve"> من</w:t>
      </w:r>
      <w:r w:rsidRPr="00CE00DC">
        <w:rPr>
          <w:rtl/>
        </w:rPr>
        <w:t xml:space="preserve"> </w:t>
      </w:r>
      <w:r w:rsidRPr="00CE00DC">
        <w:rPr>
          <w:rFonts w:hint="cs"/>
          <w:rtl/>
        </w:rPr>
        <w:t>آثار</w:t>
      </w:r>
      <w:r w:rsidRPr="00CE00DC">
        <w:rPr>
          <w:rtl/>
        </w:rPr>
        <w:t xml:space="preserve"> تغير المناخ والتكيف معه: تقرير فريق الخبراء التقني المخصص الثاني بشأن التنوع البيولوجي وتغير المناخ.</w:t>
      </w:r>
    </w:p>
  </w:footnote>
  <w:footnote w:id="52">
    <w:p w:rsidR="000C66C6" w:rsidRPr="00477B14" w:rsidRDefault="000C66C6" w:rsidP="00023979">
      <w:pPr>
        <w:pStyle w:val="FootnoteText"/>
        <w:rPr>
          <w:lang w:val="es-AR"/>
        </w:rPr>
      </w:pPr>
      <w:r w:rsidRPr="00CE00DC">
        <w:rPr>
          <w:rStyle w:val="FootnoteReference"/>
        </w:rPr>
        <w:footnoteRef/>
      </w:r>
      <w:r w:rsidRPr="00CE00DC">
        <w:rPr>
          <w:rtl/>
        </w:rPr>
        <w:t xml:space="preserve"> </w:t>
      </w:r>
      <w:r w:rsidRPr="00477B14">
        <w:rPr>
          <w:snapToGrid w:val="0"/>
          <w:kern w:val="18"/>
          <w:lang w:val="es-AR"/>
        </w:rPr>
        <w:t>Estrella, M. and N. Saalismaa. 2013</w:t>
      </w:r>
      <w:r w:rsidRPr="00CE00DC">
        <w:rPr>
          <w:rtl/>
        </w:rPr>
        <w:t xml:space="preserve">. الحد من مخاطر الكوارث القائم على النظم الإيكولوجية: نظرة عامة، و </w:t>
      </w:r>
      <w:r w:rsidRPr="00477B14">
        <w:rPr>
          <w:snapToGrid w:val="0"/>
          <w:kern w:val="18"/>
          <w:lang w:val="es-AR"/>
        </w:rPr>
        <w:t>In: Renaud, F., Sudmeier-Rieux, K. and M. Estrella (eds.)</w:t>
      </w:r>
      <w:r w:rsidRPr="00CE00DC">
        <w:rPr>
          <w:rtl/>
        </w:rPr>
        <w:t xml:space="preserve">، </w:t>
      </w:r>
      <w:r w:rsidRPr="00CE00DC">
        <w:rPr>
          <w:i/>
          <w:iCs/>
          <w:rtl/>
        </w:rPr>
        <w:t>دور إدارة النظم الإيكولوجية في الحد من مخاطر الكوارث</w:t>
      </w:r>
      <w:r w:rsidRPr="00CE00DC">
        <w:rPr>
          <w:rtl/>
        </w:rPr>
        <w:t>. طوكيو: مطبعة جامعة الأمم المتحدة.</w:t>
      </w:r>
    </w:p>
  </w:footnote>
  <w:footnote w:id="53">
    <w:p w:rsidR="000C66C6" w:rsidRPr="00CE00DC" w:rsidRDefault="000C66C6" w:rsidP="00023979">
      <w:pPr>
        <w:pStyle w:val="FootnoteText"/>
        <w:rPr>
          <w:rtl/>
          <w:lang w:val="en-GB"/>
        </w:rPr>
      </w:pPr>
      <w:r w:rsidRPr="00CE00DC">
        <w:rPr>
          <w:rStyle w:val="FootnoteReference"/>
        </w:rPr>
        <w:footnoteRef/>
      </w:r>
      <w:r w:rsidRPr="00CE00DC">
        <w:rPr>
          <w:rtl/>
        </w:rPr>
        <w:t xml:space="preserve"> </w:t>
      </w:r>
      <w:r w:rsidRPr="00477B14">
        <w:rPr>
          <w:lang w:val="es-AR"/>
        </w:rPr>
        <w:t>CBD/SBSTTA/22/INF/1</w:t>
      </w:r>
      <w:r w:rsidRPr="00CE00DC">
        <w:rPr>
          <w:rFonts w:hint="cs"/>
          <w:rtl/>
          <w:lang w:val="en-GB"/>
        </w:rPr>
        <w:t>.</w:t>
      </w:r>
    </w:p>
  </w:footnote>
  <w:footnote w:id="54">
    <w:p w:rsidR="000C66C6" w:rsidRPr="00477B14" w:rsidRDefault="000C66C6" w:rsidP="00023979">
      <w:pPr>
        <w:pStyle w:val="FootnoteText"/>
        <w:rPr>
          <w:lang w:val="es-AR"/>
        </w:rPr>
      </w:pPr>
      <w:r w:rsidRPr="00CE00DC">
        <w:rPr>
          <w:rStyle w:val="FootnoteReference"/>
        </w:rPr>
        <w:footnoteRef/>
      </w:r>
      <w:r w:rsidRPr="00CE00DC">
        <w:rPr>
          <w:rtl/>
        </w:rPr>
        <w:t xml:space="preserve"> </w:t>
      </w:r>
      <w:r w:rsidRPr="00CE00DC">
        <w:rPr>
          <w:i/>
          <w:iCs/>
          <w:rtl/>
        </w:rPr>
        <w:t>تقرير توليفي عن تجارب النُهج القائمة على النظم الإيكولوجية بشأن التكيف مع تغير المناخ والحد من مخاطر الكوارث</w:t>
      </w:r>
      <w:r w:rsidRPr="00CE00DC">
        <w:rPr>
          <w:rtl/>
        </w:rPr>
        <w:t xml:space="preserve"> (</w:t>
      </w:r>
      <w:hyperlink r:id="rId28" w:history="1">
        <w:r w:rsidRPr="00477B14">
          <w:rPr>
            <w:rStyle w:val="Hyperlink"/>
            <w:snapToGrid w:val="0"/>
            <w:kern w:val="18"/>
            <w:lang w:val="es-AR"/>
          </w:rPr>
          <w:t>https://www.cbd.int/doc/publications/cbd-ts-85-en.pdf</w:t>
        </w:r>
      </w:hyperlink>
      <w:r w:rsidRPr="00CE00DC">
        <w:rPr>
          <w:rtl/>
        </w:rPr>
        <w:t>).</w:t>
      </w:r>
    </w:p>
  </w:footnote>
  <w:footnote w:id="55">
    <w:p w:rsidR="000C66C6" w:rsidRPr="00EA475C" w:rsidRDefault="000C66C6" w:rsidP="00023979">
      <w:pPr>
        <w:pStyle w:val="FootnoteText"/>
        <w:rPr>
          <w:rFonts w:ascii="Simplified Arabic" w:hAnsi="Simplified Arabic"/>
          <w:sz w:val="22"/>
          <w:rtl/>
          <w:lang w:val="en-GB"/>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EA475C">
        <w:rPr>
          <w:rFonts w:ascii="Simplified Arabic" w:hAnsi="Simplified Arabic"/>
          <w:i/>
          <w:iCs/>
          <w:sz w:val="22"/>
          <w:rtl/>
        </w:rPr>
        <w:t>المصدر</w:t>
      </w:r>
      <w:r w:rsidRPr="00EA475C">
        <w:rPr>
          <w:rFonts w:ascii="Simplified Arabic" w:hAnsi="Simplified Arabic"/>
          <w:sz w:val="22"/>
          <w:rtl/>
        </w:rPr>
        <w:t xml:space="preserve">: قاعدة البيانات </w:t>
      </w:r>
      <w:r w:rsidRPr="00477B14">
        <w:rPr>
          <w:rFonts w:cs="Times New Roman"/>
          <w:snapToGrid w:val="0"/>
          <w:kern w:val="18"/>
          <w:lang w:val="es-AR"/>
        </w:rPr>
        <w:t>PANORAMA</w:t>
      </w:r>
      <w:r w:rsidRPr="00EA475C">
        <w:rPr>
          <w:rFonts w:ascii="Simplified Arabic" w:hAnsi="Simplified Arabic"/>
          <w:rtl/>
          <w:lang w:val="en-GB"/>
        </w:rPr>
        <w:t xml:space="preserve"> </w:t>
      </w:r>
      <w:r w:rsidRPr="00EA475C">
        <w:rPr>
          <w:rFonts w:ascii="Simplified Arabic" w:hAnsi="Simplified Arabic"/>
          <w:sz w:val="22"/>
          <w:rtl/>
          <w:lang w:val="en-GB"/>
        </w:rPr>
        <w:t xml:space="preserve">على الرابط: </w:t>
      </w:r>
      <w:hyperlink r:id="rId29" w:history="1">
        <w:r w:rsidRPr="00477B14">
          <w:rPr>
            <w:rStyle w:val="Hyperlink"/>
            <w:rFonts w:cs="Times New Roman"/>
            <w:lang w:val="es-AR"/>
          </w:rPr>
          <w:t>https://panorama.solutions/en/portal/ecosystem-based-adaptation</w:t>
        </w:r>
      </w:hyperlink>
      <w:r w:rsidRPr="00EA475C">
        <w:rPr>
          <w:rFonts w:ascii="Simplified Arabic" w:hAnsi="Simplified Arabic"/>
          <w:sz w:val="22"/>
          <w:rtl/>
          <w:lang w:val="en-GB"/>
        </w:rPr>
        <w:t>.</w:t>
      </w:r>
    </w:p>
  </w:footnote>
  <w:footnote w:id="56">
    <w:p w:rsidR="000C66C6" w:rsidRPr="00CE00DC" w:rsidRDefault="000C66C6" w:rsidP="00023979">
      <w:pPr>
        <w:pStyle w:val="FootnoteText"/>
        <w:rPr>
          <w:rtl/>
        </w:rPr>
      </w:pPr>
      <w:r w:rsidRPr="00CE00DC">
        <w:rPr>
          <w:rStyle w:val="FootnoteReference"/>
        </w:rPr>
        <w:footnoteRef/>
      </w:r>
      <w:r w:rsidRPr="00CE00DC">
        <w:rPr>
          <w:rtl/>
        </w:rPr>
        <w:t xml:space="preserve"> بما في ذلك "إرشادات بشأن تحسين الآثار الإيجابية والحد من الآثار السلبية لأنشطة التكيف مع تغير المناخ على التنوع البيولوجي" (</w:t>
      </w:r>
      <w:r w:rsidRPr="00CE00DC">
        <w:rPr>
          <w:snapToGrid w:val="0"/>
          <w:kern w:val="18"/>
        </w:rPr>
        <w:t>UNEP/CBD/SBSTTA/20/INF/1</w:t>
      </w:r>
      <w:r w:rsidRPr="00CE00DC">
        <w:rPr>
          <w:rtl/>
        </w:rPr>
        <w:t>).</w:t>
      </w:r>
    </w:p>
  </w:footnote>
  <w:footnote w:id="57">
    <w:p w:rsidR="000C66C6" w:rsidRPr="00CE00DC" w:rsidRDefault="000C66C6" w:rsidP="00023979">
      <w:pPr>
        <w:pStyle w:val="FootnoteText"/>
      </w:pPr>
      <w:r w:rsidRPr="00CE00DC">
        <w:rPr>
          <w:rStyle w:val="FootnoteReference"/>
        </w:rPr>
        <w:footnoteRef/>
      </w:r>
      <w:r w:rsidRPr="00CE00DC">
        <w:rPr>
          <w:rtl/>
        </w:rPr>
        <w:t xml:space="preserve"> انظر استعادة النظم الإيكولوجية: خطة عمل قصيرة الأجل (</w:t>
      </w:r>
      <w:hyperlink r:id="rId30" w:history="1">
        <w:r w:rsidRPr="00DD7895">
          <w:rPr>
            <w:rStyle w:val="Hyperlink"/>
            <w:rFonts w:ascii="Simplified Arabic" w:hAnsi="Simplified Arabic"/>
            <w:rtl/>
          </w:rPr>
          <w:t>المقرر 13/5</w:t>
        </w:r>
      </w:hyperlink>
      <w:r w:rsidRPr="00CE00DC">
        <w:rPr>
          <w:rtl/>
        </w:rPr>
        <w:t xml:space="preserve">)؛ </w:t>
      </w:r>
      <w:hyperlink r:id="rId31" w:history="1">
        <w:r w:rsidRPr="00DD7895">
          <w:rPr>
            <w:rStyle w:val="Hyperlink"/>
            <w:rtl/>
          </w:rPr>
          <w:t>وإعلان الأمم المتحدة بشأن حقوق الشعوب الأصلية</w:t>
        </w:r>
      </w:hyperlink>
      <w:r w:rsidRPr="00CE00DC">
        <w:rPr>
          <w:rtl/>
        </w:rPr>
        <w:t xml:space="preserve">؛ والمبادئ والإرشادات والأدوات الأخرى المعدة بموجب الاتفاقية المتاحة على الرابط: </w:t>
      </w:r>
      <w:hyperlink r:id="rId32" w:history="1">
        <w:r w:rsidRPr="00DD7895">
          <w:rPr>
            <w:rStyle w:val="Hyperlink"/>
            <w:snapToGrid w:val="0"/>
            <w:kern w:val="18"/>
          </w:rPr>
          <w:t>https://www.cbd.int/guidelines/</w:t>
        </w:r>
      </w:hyperlink>
      <w:r w:rsidRPr="00CE00DC">
        <w:rPr>
          <w:rtl/>
        </w:rPr>
        <w:t>.</w:t>
      </w:r>
    </w:p>
  </w:footnote>
  <w:footnote w:id="58">
    <w:p w:rsidR="000C66C6" w:rsidRPr="00CE00DC" w:rsidRDefault="000C66C6" w:rsidP="00023979">
      <w:pPr>
        <w:pStyle w:val="FootnoteText"/>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CE00DC">
        <w:rPr>
          <w:rtl/>
        </w:rPr>
        <w:t>استخدام مراحل الإنعاش وإعادة التأهيل والتعمير بعد أي كارثة لتعزيز قدرة الأمم والمجتمعات على الصمود من خلال دمج تدابير الحد من مخاطر الكوارث في عملية استعادة البنية الأساسية المادية والنظم المجتمعية، وفي تنشيط سبل العيش، والاقتصادات والبيئة (</w:t>
      </w:r>
      <w:hyperlink r:id="rId33" w:history="1">
        <w:r w:rsidRPr="00DD7895">
          <w:rPr>
            <w:rStyle w:val="Hyperlink"/>
            <w:rtl/>
          </w:rPr>
          <w:t>تعريف استراتيجية الأمم المتحدة الدولية للحد من مخاطر الكوارث لمصطلح "إعادة البناء بشكل أفضل</w:t>
        </w:r>
      </w:hyperlink>
      <w:r w:rsidRPr="00CE00DC">
        <w:rPr>
          <w:rtl/>
        </w:rPr>
        <w:t>"، 2017، كما يوصي فريق الخبراء العامل الحكومي الدولي المفتوح العضوية المعني بالمؤشرات والمصطلحات المتعلقة بالحد من مخاطر الكوارث (</w:t>
      </w:r>
      <w:hyperlink r:id="rId34" w:history="1">
        <w:r w:rsidRPr="00DD7895">
          <w:rPr>
            <w:rStyle w:val="Hyperlink"/>
            <w:rFonts w:cstheme="majorBidi"/>
            <w:snapToGrid w:val="0"/>
            <w:kern w:val="18"/>
          </w:rPr>
          <w:t>A/71/644</w:t>
        </w:r>
      </w:hyperlink>
      <w:r w:rsidRPr="00CE00DC">
        <w:rPr>
          <w:rFonts w:cs="Times New Roman"/>
          <w:rtl/>
        </w:rPr>
        <w:t xml:space="preserve"> و</w:t>
      </w:r>
      <w:hyperlink r:id="rId35" w:history="1">
        <w:r w:rsidRPr="00DD7895">
          <w:rPr>
            <w:rStyle w:val="Hyperlink"/>
            <w:rFonts w:cstheme="majorBidi"/>
            <w:snapToGrid w:val="0"/>
            <w:kern w:val="18"/>
          </w:rPr>
          <w:t>Corr.1</w:t>
        </w:r>
      </w:hyperlink>
      <w:r w:rsidRPr="00CE00DC">
        <w:rPr>
          <w:rtl/>
        </w:rPr>
        <w:t xml:space="preserve">) والذي اعتمدته الجمعية العامة للأمم المتحدة (انظر </w:t>
      </w:r>
      <w:hyperlink r:id="rId36" w:history="1">
        <w:r w:rsidRPr="00DD7895">
          <w:rPr>
            <w:rStyle w:val="Hyperlink"/>
            <w:rFonts w:ascii="Simplified Arabic" w:hAnsi="Simplified Arabic"/>
            <w:rtl/>
          </w:rPr>
          <w:t>القرار 71/276</w:t>
        </w:r>
      </w:hyperlink>
      <w:r w:rsidRPr="00CE00DC">
        <w:rPr>
          <w:rtl/>
        </w:rPr>
        <w:t>)</w:t>
      </w:r>
      <w:r w:rsidRPr="00CE00DC">
        <w:rPr>
          <w:rFonts w:hint="cs"/>
          <w:rtl/>
        </w:rPr>
        <w:t>)</w:t>
      </w:r>
      <w:r w:rsidRPr="00CE00DC">
        <w:rPr>
          <w:rtl/>
        </w:rPr>
        <w:t>.</w:t>
      </w:r>
    </w:p>
  </w:footnote>
  <w:footnote w:id="59">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يرد النهج التحوطي في ديباجة اتفاقية التنوع البيولوجي: "حيثما يكون ثمة تهديد بحدوث انخفاض أو خسارة شديدة للتنوع البيولوجي، ينبغي ألا يستخدم عدم التيقن العلمي التام، كسبب لتأجيل التدابير الرامية إلى تجنب هذا التهديد أو التقليل منه إلى أدنى حد".</w:t>
      </w:r>
    </w:p>
  </w:footnote>
  <w:footnote w:id="60">
    <w:p w:rsidR="000C66C6" w:rsidRPr="00CE00DC" w:rsidRDefault="000C66C6" w:rsidP="00023979">
      <w:pPr>
        <w:pStyle w:val="FootnoteText"/>
        <w:rPr>
          <w:rFonts w:ascii="Simplified Arabic" w:hAnsi="Simplified Arabic"/>
          <w:szCs w:val="18"/>
        </w:rPr>
      </w:pPr>
      <w:r w:rsidRPr="00CE00DC">
        <w:rPr>
          <w:rStyle w:val="FootnoteReference"/>
          <w:rFonts w:ascii="Simplified Arabic" w:hAnsi="Simplified Arabic"/>
          <w:szCs w:val="18"/>
        </w:rPr>
        <w:footnoteRef/>
      </w:r>
      <w:r w:rsidRPr="00CE00DC">
        <w:rPr>
          <w:rFonts w:ascii="Simplified Arabic" w:hAnsi="Simplified Arabic"/>
          <w:szCs w:val="18"/>
          <w:rtl/>
        </w:rPr>
        <w:t xml:space="preserve"> </w:t>
      </w:r>
      <w:r w:rsidRPr="00BF5A77">
        <w:rPr>
          <w:rFonts w:ascii="Simplified Arabic" w:hAnsi="Simplified Arabic"/>
          <w:sz w:val="20"/>
          <w:rtl/>
        </w:rPr>
        <w:t xml:space="preserve">رؤية عالمية تطورت بمرور الوقت تدمج جوانب مادية وروحية (مقتبسة ومعدلة من </w:t>
      </w:r>
      <w:hyperlink r:id="rId37" w:history="1">
        <w:r w:rsidRPr="00DD7895">
          <w:rPr>
            <w:rStyle w:val="Hyperlink"/>
            <w:rFonts w:ascii="Simplified Arabic" w:hAnsi="Simplified Arabic"/>
            <w:sz w:val="20"/>
            <w:rtl/>
          </w:rPr>
          <w:t>شبكة معارف الشعوب الأصلية</w:t>
        </w:r>
      </w:hyperlink>
      <w:r w:rsidRPr="00DD7895">
        <w:rPr>
          <w:rStyle w:val="Hyperlink"/>
          <w:rFonts w:ascii="Simplified Arabic" w:hAnsi="Simplified Arabic"/>
          <w:sz w:val="20"/>
          <w:rtl/>
        </w:rPr>
        <w:t xml:space="preserve"> في مجال الاستعادة</w:t>
      </w:r>
      <w:r w:rsidRPr="00BF5A77">
        <w:rPr>
          <w:rFonts w:ascii="Simplified Arabic" w:hAnsi="Simplified Arabic"/>
          <w:sz w:val="20"/>
          <w:rtl/>
        </w:rPr>
        <w:t>).</w:t>
      </w:r>
    </w:p>
  </w:footnote>
  <w:footnote w:id="61">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BF5A77">
        <w:rPr>
          <w:rFonts w:cs="Times New Roman"/>
          <w:snapToGrid w:val="0"/>
          <w:kern w:val="18"/>
          <w:szCs w:val="18"/>
        </w:rPr>
        <w:t>CBD/SBSTTA/22/INF/1</w:t>
      </w:r>
      <w:r w:rsidRPr="00BF5A77">
        <w:rPr>
          <w:rFonts w:cs="Times New Roman"/>
          <w:szCs w:val="18"/>
          <w:rtl/>
        </w:rPr>
        <w:t>.</w:t>
      </w:r>
    </w:p>
  </w:footnote>
  <w:footnote w:id="62">
    <w:p w:rsidR="000C66C6" w:rsidRPr="00CE00DC" w:rsidRDefault="000C66C6" w:rsidP="00023979">
      <w:pPr>
        <w:pStyle w:val="FootnoteText"/>
      </w:pPr>
      <w:r w:rsidRPr="00CE00DC">
        <w:rPr>
          <w:rStyle w:val="FootnoteReference"/>
        </w:rPr>
        <w:footnoteRef/>
      </w:r>
      <w:r w:rsidRPr="00CE00DC">
        <w:rPr>
          <w:rtl/>
        </w:rPr>
        <w:t xml:space="preserve"> </w:t>
      </w:r>
      <w:r w:rsidRPr="00CE00DC">
        <w:rPr>
          <w:snapToGrid w:val="0"/>
          <w:kern w:val="18"/>
        </w:rPr>
        <w:t>CBD/SBSTTA/22/INF/1</w:t>
      </w:r>
      <w:r w:rsidRPr="00CE00DC">
        <w:rPr>
          <w:rtl/>
        </w:rPr>
        <w:t>.</w:t>
      </w:r>
    </w:p>
  </w:footnote>
  <w:footnote w:id="63">
    <w:p w:rsidR="000C66C6" w:rsidRPr="00CE00DC" w:rsidRDefault="000C66C6" w:rsidP="00023979">
      <w:pPr>
        <w:pStyle w:val="FootnoteText"/>
      </w:pPr>
      <w:r w:rsidRPr="00CE00DC">
        <w:rPr>
          <w:rStyle w:val="FootnoteReference"/>
        </w:rPr>
        <w:footnoteRef/>
      </w:r>
      <w:r w:rsidRPr="00CE00DC">
        <w:rPr>
          <w:rtl/>
        </w:rPr>
        <w:t xml:space="preserve"> المرجع نفسه.</w:t>
      </w:r>
    </w:p>
  </w:footnote>
  <w:footnote w:id="64">
    <w:p w:rsidR="000C66C6" w:rsidRPr="00CE00DC" w:rsidRDefault="000C66C6" w:rsidP="00023979">
      <w:pPr>
        <w:pStyle w:val="FootnoteText"/>
        <w:rPr>
          <w:rtl/>
          <w:lang w:val="en-GB"/>
        </w:rPr>
      </w:pPr>
      <w:r w:rsidRPr="00CE00DC">
        <w:rPr>
          <w:rStyle w:val="FootnoteReference"/>
        </w:rPr>
        <w:footnoteRef/>
      </w:r>
      <w:r w:rsidRPr="00CE00DC">
        <w:rPr>
          <w:rtl/>
        </w:rPr>
        <w:t xml:space="preserve"> </w:t>
      </w:r>
      <w:r w:rsidRPr="00CE00DC">
        <w:rPr>
          <w:snapToGrid w:val="0"/>
          <w:kern w:val="18"/>
        </w:rPr>
        <w:t>CBD/SBSTTA/22/INF/1</w:t>
      </w:r>
      <w:r w:rsidRPr="00CE00DC">
        <w:rPr>
          <w:rtl/>
        </w:rPr>
        <w:t xml:space="preserve">، المرفق؛ </w:t>
      </w:r>
      <w:hyperlink r:id="rId38" w:history="1">
        <w:r w:rsidRPr="009A0273">
          <w:rPr>
            <w:rStyle w:val="Hyperlink"/>
            <w:rFonts w:ascii="Simplified Arabic" w:hAnsi="Simplified Arabic"/>
            <w:rtl/>
          </w:rPr>
          <w:t>و</w:t>
        </w:r>
        <w:r w:rsidRPr="009A0273">
          <w:rPr>
            <w:rStyle w:val="Hyperlink"/>
            <w:rFonts w:ascii="Simplified Arabic" w:hAnsi="Simplified Arabic"/>
            <w:i/>
            <w:iCs/>
            <w:rtl/>
          </w:rPr>
          <w:t xml:space="preserve">سلسلة المنشورات التقنية رقم </w:t>
        </w:r>
        <w:r w:rsidRPr="009A0273">
          <w:rPr>
            <w:rStyle w:val="Hyperlink"/>
            <w:rFonts w:ascii="Simplified Arabic" w:hAnsi="Simplified Arabic"/>
            <w:i/>
            <w:iCs/>
            <w:rtl/>
            <w:lang w:val="en-GB"/>
          </w:rPr>
          <w:t>85 لاتفاقية التنوع البيولوجي</w:t>
        </w:r>
      </w:hyperlink>
      <w:r w:rsidRPr="00CE00DC">
        <w:rPr>
          <w:rtl/>
          <w:lang w:val="en-GB"/>
        </w:rPr>
        <w:t>، المرفقان الأول والثاني.</w:t>
      </w:r>
    </w:p>
  </w:footnote>
  <w:footnote w:id="65">
    <w:p w:rsidR="000C66C6" w:rsidRPr="00CE00DC" w:rsidRDefault="000C66C6" w:rsidP="00023979">
      <w:pPr>
        <w:pStyle w:val="FootnoteText"/>
      </w:pPr>
      <w:r w:rsidRPr="00CE00DC">
        <w:rPr>
          <w:rStyle w:val="FootnoteReference"/>
        </w:rPr>
        <w:footnoteRef/>
      </w:r>
      <w:r w:rsidRPr="00CE00DC">
        <w:rPr>
          <w:rtl/>
        </w:rPr>
        <w:t xml:space="preserve"> </w:t>
      </w:r>
      <w:r w:rsidRPr="00CE00DC">
        <w:rPr>
          <w:snapToGrid w:val="0"/>
          <w:kern w:val="18"/>
        </w:rPr>
        <w:t>CBD/SBSTTA/22/INF/1</w:t>
      </w:r>
      <w:r>
        <w:rPr>
          <w:rFonts w:hint="cs"/>
          <w:rtl/>
        </w:rPr>
        <w:t>.</w:t>
      </w:r>
    </w:p>
  </w:footnote>
  <w:footnote w:id="66">
    <w:p w:rsidR="000C66C6" w:rsidRPr="00CE00DC" w:rsidRDefault="000C66C6" w:rsidP="00023979">
      <w:pPr>
        <w:pStyle w:val="FootnoteText"/>
      </w:pPr>
      <w:r w:rsidRPr="00CE00DC">
        <w:rPr>
          <w:rStyle w:val="FootnoteReference"/>
        </w:rPr>
        <w:footnoteRef/>
      </w:r>
      <w:r w:rsidRPr="00CE00DC">
        <w:rPr>
          <w:rtl/>
          <w:lang w:val="en-GB"/>
        </w:rPr>
        <w:t xml:space="preserve"> </w:t>
      </w:r>
      <w:r w:rsidRPr="00CE00DC">
        <w:rPr>
          <w:rtl/>
        </w:rPr>
        <w:t>مثل الشراكة من أجل النهوض بالبيئة والحد من مخاطر الكوارث</w:t>
      </w:r>
      <w:r>
        <w:rPr>
          <w:rFonts w:hint="cs"/>
          <w:rtl/>
        </w:rPr>
        <w:t xml:space="preserve"> </w:t>
      </w:r>
      <w:r>
        <w:t>(PEDRR)</w:t>
      </w:r>
      <w:r w:rsidRPr="00CE00DC">
        <w:rPr>
          <w:rtl/>
        </w:rPr>
        <w:t>، وشبكة أصدقاء التكيف القائم على النظم الإيكولوجية</w:t>
      </w:r>
      <w:r>
        <w:rPr>
          <w:rFonts w:hint="cs"/>
          <w:rtl/>
        </w:rPr>
        <w:t xml:space="preserve"> </w:t>
      </w:r>
      <w:r>
        <w:t>(FEBA)</w:t>
      </w:r>
      <w:r w:rsidRPr="00CE00DC">
        <w:rPr>
          <w:rtl/>
        </w:rPr>
        <w:t xml:space="preserve">، وقاعدة البيانات </w:t>
      </w:r>
      <w:r w:rsidRPr="00CE00DC">
        <w:rPr>
          <w:snapToGrid w:val="0"/>
          <w:kern w:val="18"/>
          <w:lang w:val="fr-FR"/>
        </w:rPr>
        <w:t>PANORAMA</w:t>
      </w:r>
      <w:r w:rsidRPr="00CE00DC">
        <w:rPr>
          <w:rtl/>
        </w:rPr>
        <w:t>، وشبكة خدمات التنوع البيولوجي والنظم الإيكولوجية</w:t>
      </w:r>
      <w:r>
        <w:rPr>
          <w:rFonts w:hint="cs"/>
          <w:rtl/>
        </w:rPr>
        <w:t xml:space="preserve"> </w:t>
      </w:r>
      <w:r>
        <w:t>(BES-Net)</w:t>
      </w:r>
      <w:r w:rsidRPr="00CE00DC">
        <w:rPr>
          <w:rtl/>
        </w:rPr>
        <w:t xml:space="preserve">، ومؤسسة </w:t>
      </w:r>
      <w:r w:rsidRPr="00CE00DC">
        <w:rPr>
          <w:snapToGrid w:val="0"/>
          <w:kern w:val="18"/>
        </w:rPr>
        <w:t>Ecoshape</w:t>
      </w:r>
      <w:r w:rsidRPr="00CE00DC">
        <w:rPr>
          <w:rtl/>
        </w:rPr>
        <w:t xml:space="preserve">، وفريق العمل المواضيعي لشراكة خدمات النظم الإيكولوجية المعني بخدمات النظم الإيكولوجية والحد من مخاطر الكوارث، والأفرقة المواضيعية للاتحاد الدولي لحفظ الطبيعة، والشبكة الدولية </w:t>
      </w:r>
      <w:r w:rsidRPr="00CE00DC">
        <w:rPr>
          <w:snapToGrid w:val="0"/>
          <w:kern w:val="18"/>
        </w:rPr>
        <w:t>CAP-Net</w:t>
      </w:r>
      <w:r w:rsidRPr="00CE00DC">
        <w:rPr>
          <w:rtl/>
        </w:rPr>
        <w:t xml:space="preserve"> (برنامج الأمم المتحدة الإنمائي).</w:t>
      </w:r>
    </w:p>
  </w:footnote>
  <w:footnote w:id="67">
    <w:p w:rsidR="000C66C6" w:rsidRPr="00CE00DC" w:rsidRDefault="000C66C6" w:rsidP="00023979">
      <w:pPr>
        <w:pStyle w:val="FootnoteText"/>
      </w:pPr>
      <w:r w:rsidRPr="00CE00DC">
        <w:rPr>
          <w:rStyle w:val="FootnoteReference"/>
        </w:rPr>
        <w:footnoteRef/>
      </w:r>
      <w:r w:rsidRPr="00CE00DC">
        <w:rPr>
          <w:rtl/>
        </w:rPr>
        <w:t xml:space="preserve"> بما في ذلك: خطط التكيف الوطنية (اتفاقية الأمم المتحدة الإطارية بشأن تغير المناخ)، والإطار التشغيلي للتكيف القائم على النظم الإيكولوجية (الصندوق العالمي للحياة البرية)، ودورة تعميم التكيف (الوكالة الألمانية للتعاون الدولي)، ودورة إدارة مخاطر الكوارث (الوكالة البيئية الأوروبية)، ودورة الحد من مخاطر الكوارث القائم على النظم الإيكولوجية (</w:t>
      </w:r>
      <w:r w:rsidRPr="00CE00DC">
        <w:rPr>
          <w:snapToGrid w:val="0"/>
          <w:kern w:val="18"/>
        </w:rPr>
        <w:t>Sudmeier-Rieux 2013</w:t>
      </w:r>
      <w:r w:rsidRPr="00CE00DC">
        <w:rPr>
          <w:rtl/>
        </w:rPr>
        <w:t xml:space="preserve">)، والنظم الإيكولوجية التي تحمي البنية الأساسية والمجتمعات (الاتحاد الدولي لحفظ الطبيعية، </w:t>
      </w:r>
      <w:r w:rsidRPr="00CE00DC">
        <w:rPr>
          <w:snapToGrid w:val="0"/>
          <w:kern w:val="18"/>
        </w:rPr>
        <w:t>Monty et al. 2017</w:t>
      </w:r>
      <w:r w:rsidRPr="00CE00DC">
        <w:rPr>
          <w:rtl/>
        </w:rPr>
        <w:t>)، ونهج المناظر الطبيعية (منظمة كير في هولندا والمنظمة الدولية للأراضي الرطبة).</w:t>
      </w:r>
    </w:p>
  </w:footnote>
  <w:footnote w:id="68">
    <w:p w:rsidR="000C66C6" w:rsidRPr="00CE00DC" w:rsidRDefault="000C66C6" w:rsidP="00023979">
      <w:pPr>
        <w:pStyle w:val="FootnoteText"/>
      </w:pPr>
      <w:r w:rsidRPr="00CE00DC">
        <w:rPr>
          <w:rStyle w:val="FootnoteReference"/>
        </w:rPr>
        <w:footnoteRef/>
      </w:r>
      <w:r w:rsidRPr="00CE00DC">
        <w:rPr>
          <w:rtl/>
        </w:rPr>
        <w:t xml:space="preserve"> ترد تفاصيل إضافية في الوثيقة </w:t>
      </w:r>
      <w:r w:rsidRPr="00CE00DC">
        <w:rPr>
          <w:snapToGrid w:val="0"/>
          <w:kern w:val="18"/>
        </w:rPr>
        <w:t>CBD/SBSTTA/22/INF/1</w:t>
      </w:r>
      <w:r w:rsidRPr="00CE00DC">
        <w:rPr>
          <w:rtl/>
        </w:rPr>
        <w:t>.</w:t>
      </w:r>
    </w:p>
  </w:footnote>
  <w:footnote w:id="69">
    <w:p w:rsidR="000C66C6" w:rsidRPr="00CE00DC" w:rsidRDefault="000C66C6" w:rsidP="00023979">
      <w:pPr>
        <w:pStyle w:val="FootnoteText"/>
      </w:pPr>
      <w:r w:rsidRPr="00CE00DC">
        <w:rPr>
          <w:rStyle w:val="FootnoteReference"/>
        </w:rPr>
        <w:footnoteRef/>
      </w:r>
      <w:r w:rsidRPr="00CE00DC">
        <w:rPr>
          <w:rtl/>
        </w:rPr>
        <w:t xml:space="preserve"> </w:t>
      </w:r>
      <w:r w:rsidRPr="00CE00DC">
        <w:rPr>
          <w:snapToGrid w:val="0"/>
          <w:kern w:val="18"/>
        </w:rPr>
        <w:t>CBD/SBSTTA/22/INF/1</w:t>
      </w:r>
      <w:r w:rsidRPr="00CE00DC">
        <w:rPr>
          <w:rtl/>
        </w:rPr>
        <w:t>.</w:t>
      </w:r>
    </w:p>
  </w:footnote>
  <w:footnote w:id="70">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متاح في </w:t>
      </w:r>
      <w:r w:rsidRPr="004E6237">
        <w:rPr>
          <w:rFonts w:cs="Times New Roman"/>
          <w:snapToGrid w:val="0"/>
          <w:kern w:val="18"/>
        </w:rPr>
        <w:t>CBD/SBSTTA/22/INF/1</w:t>
      </w:r>
      <w:r w:rsidRPr="00EA475C">
        <w:rPr>
          <w:rFonts w:ascii="Simplified Arabic" w:hAnsi="Simplified Arabic"/>
          <w:sz w:val="22"/>
          <w:rtl/>
        </w:rPr>
        <w:t>.</w:t>
      </w:r>
    </w:p>
  </w:footnote>
  <w:footnote w:id="71">
    <w:p w:rsidR="000C66C6" w:rsidRPr="00EA475C" w:rsidRDefault="000C66C6" w:rsidP="00023979">
      <w:pPr>
        <w:pStyle w:val="FootnoteText"/>
        <w:rPr>
          <w:rFonts w:ascii="Simplified Arabic" w:hAnsi="Simplified Arabic"/>
          <w:sz w:val="22"/>
          <w:rtl/>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الهيئة الحكومية الدولية المعنية بتغير المناخ، </w:t>
      </w:r>
      <w:hyperlink r:id="rId39" w:history="1">
        <w:r w:rsidRPr="007D00E0">
          <w:rPr>
            <w:rStyle w:val="Hyperlink"/>
            <w:rFonts w:ascii="Simplified Arabic" w:hAnsi="Simplified Arabic"/>
            <w:i/>
            <w:iCs/>
            <w:sz w:val="22"/>
            <w:rtl/>
          </w:rPr>
          <w:t>تقرير التقييم الخامس</w:t>
        </w:r>
      </w:hyperlink>
      <w:r w:rsidRPr="00EA475C">
        <w:rPr>
          <w:rFonts w:ascii="Simplified Arabic" w:hAnsi="Simplified Arabic"/>
          <w:sz w:val="22"/>
          <w:rtl/>
        </w:rPr>
        <w:t>، 2014.</w:t>
      </w:r>
    </w:p>
  </w:footnote>
  <w:footnote w:id="72">
    <w:p w:rsidR="000C66C6" w:rsidRPr="00EA475C" w:rsidRDefault="000C66C6" w:rsidP="00023979">
      <w:pPr>
        <w:pStyle w:val="FootnoteText"/>
        <w:rPr>
          <w:rFonts w:ascii="Simplified Arabic" w:hAnsi="Simplified Arabic"/>
          <w:sz w:val="22"/>
          <w:rtl/>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انظر </w:t>
      </w:r>
      <w:r w:rsidRPr="004E6237">
        <w:rPr>
          <w:rFonts w:cs="Times New Roman"/>
          <w:snapToGrid w:val="0"/>
          <w:kern w:val="18"/>
        </w:rPr>
        <w:t>CBD/SBSTTA/22/INF/1</w:t>
      </w:r>
      <w:r w:rsidRPr="00EA475C">
        <w:rPr>
          <w:rFonts w:ascii="Simplified Arabic" w:hAnsi="Simplified Arabic"/>
          <w:sz w:val="22"/>
          <w:rtl/>
        </w:rPr>
        <w:t>.</w:t>
      </w:r>
    </w:p>
  </w:footnote>
  <w:footnote w:id="73">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المرجع نفسه.</w:t>
      </w:r>
    </w:p>
  </w:footnote>
  <w:footnote w:id="74">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متاحة في </w:t>
      </w:r>
      <w:r w:rsidRPr="004E6237">
        <w:rPr>
          <w:rFonts w:cs="Times New Roman"/>
          <w:snapToGrid w:val="0"/>
          <w:kern w:val="18"/>
        </w:rPr>
        <w:t>CBD/SBSTTA/22/INF/1</w:t>
      </w:r>
      <w:r w:rsidRPr="00EA475C">
        <w:rPr>
          <w:rFonts w:ascii="Simplified Arabic" w:hAnsi="Simplified Arabic"/>
          <w:sz w:val="22"/>
          <w:rtl/>
        </w:rPr>
        <w:t>.</w:t>
      </w:r>
    </w:p>
  </w:footnote>
  <w:footnote w:id="75">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انظر "</w:t>
      </w:r>
      <w:hyperlink r:id="rId40" w:history="1">
        <w:r w:rsidRPr="007D00E0">
          <w:rPr>
            <w:rStyle w:val="Hyperlink"/>
            <w:rFonts w:ascii="Simplified Arabic" w:hAnsi="Simplified Arabic"/>
            <w:sz w:val="22"/>
            <w:rtl/>
          </w:rPr>
          <w:t>جعل التكيف القائم على النظم الإيكولوجية فعالا – إطار لتحديد معايير التأهيل ومقاييس الجودة</w:t>
        </w:r>
      </w:hyperlink>
      <w:r w:rsidRPr="00EA475C">
        <w:rPr>
          <w:rFonts w:ascii="Simplified Arabic" w:hAnsi="Simplified Arabic"/>
          <w:sz w:val="22"/>
          <w:rtl/>
        </w:rPr>
        <w:t>" (الورقة التقنية الصادرة عن أصدقاء التكيف القائم على النظم الإيكولوجية).</w:t>
      </w:r>
    </w:p>
  </w:footnote>
  <w:footnote w:id="76">
    <w:p w:rsidR="000C66C6" w:rsidRPr="00EA475C" w:rsidRDefault="000C66C6" w:rsidP="00023979">
      <w:pPr>
        <w:pStyle w:val="FootnoteText"/>
        <w:rPr>
          <w:rFonts w:ascii="Simplified Arabic" w:hAnsi="Simplified Arabic"/>
          <w:sz w:val="22"/>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انظر </w:t>
      </w:r>
      <w:r w:rsidRPr="004E6237">
        <w:rPr>
          <w:rFonts w:cs="Times New Roman"/>
          <w:snapToGrid w:val="0"/>
          <w:kern w:val="18"/>
        </w:rPr>
        <w:t>CBD/SBSTTA/22/INF/1</w:t>
      </w:r>
      <w:r w:rsidRPr="00EA475C">
        <w:rPr>
          <w:rFonts w:ascii="Simplified Arabic" w:hAnsi="Simplified Arabic"/>
          <w:sz w:val="22"/>
          <w:rtl/>
        </w:rPr>
        <w:t>.</w:t>
      </w:r>
    </w:p>
  </w:footnote>
  <w:footnote w:id="77">
    <w:p w:rsidR="000C66C6" w:rsidRPr="004E6237" w:rsidRDefault="000C66C6" w:rsidP="00023979">
      <w:pPr>
        <w:pStyle w:val="FootnoteText"/>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w:t>
      </w:r>
      <w:r w:rsidRPr="004E6237">
        <w:rPr>
          <w:rtl/>
        </w:rPr>
        <w:t>المرجع نفسه.</w:t>
      </w:r>
    </w:p>
  </w:footnote>
  <w:footnote w:id="78">
    <w:p w:rsidR="000C66C6" w:rsidRPr="004E6237" w:rsidRDefault="000C66C6" w:rsidP="00023979">
      <w:pPr>
        <w:pStyle w:val="FootnoteText"/>
      </w:pPr>
      <w:r w:rsidRPr="007D00E0">
        <w:rPr>
          <w:rStyle w:val="FootnoteReference"/>
          <w:rFonts w:ascii="Simplified Arabic" w:hAnsi="Simplified Arabic"/>
          <w:sz w:val="22"/>
          <w:szCs w:val="22"/>
        </w:rPr>
        <w:footnoteRef/>
      </w:r>
      <w:r w:rsidRPr="004E6237">
        <w:rPr>
          <w:rtl/>
        </w:rPr>
        <w:t xml:space="preserve"> المرجع نفسه.</w:t>
      </w:r>
    </w:p>
  </w:footnote>
  <w:footnote w:id="79">
    <w:p w:rsidR="000C66C6" w:rsidRPr="004E6237" w:rsidRDefault="000C66C6" w:rsidP="00023979">
      <w:pPr>
        <w:pStyle w:val="FootnoteText"/>
      </w:pPr>
      <w:r w:rsidRPr="007D00E0">
        <w:rPr>
          <w:rStyle w:val="FootnoteReference"/>
          <w:rFonts w:ascii="Simplified Arabic" w:hAnsi="Simplified Arabic"/>
          <w:sz w:val="22"/>
          <w:szCs w:val="22"/>
        </w:rPr>
        <w:footnoteRef/>
      </w:r>
      <w:r w:rsidRPr="004E6237">
        <w:rPr>
          <w:rtl/>
        </w:rPr>
        <w:t xml:space="preserve"> تُتاح في </w:t>
      </w:r>
      <w:r w:rsidRPr="004E6237">
        <w:t>CBD/SBSTTA/22/INF/1</w:t>
      </w:r>
      <w:r w:rsidRPr="004E6237">
        <w:rPr>
          <w:rtl/>
        </w:rPr>
        <w:t xml:space="preserve"> طر</w:t>
      </w:r>
      <w:r w:rsidRPr="004E6237">
        <w:rPr>
          <w:rFonts w:hint="cs"/>
          <w:rtl/>
        </w:rPr>
        <w:t>ائ</w:t>
      </w:r>
      <w:r w:rsidRPr="004E6237">
        <w:rPr>
          <w:rtl/>
        </w:rPr>
        <w:t xml:space="preserve">ق تقدير قيمة أنشطة النُهج القائمة على النظم الإيكولوجية بشأن التكيف مع تغير المناخ والحد من مخاطر الكوارث، المقتطفة من </w:t>
      </w:r>
      <w:hyperlink r:id="rId41" w:history="1">
        <w:r w:rsidRPr="001373CD">
          <w:rPr>
            <w:rStyle w:val="Hyperlink"/>
            <w:rtl/>
          </w:rPr>
          <w:t>اقتصادات الحدود</w:t>
        </w:r>
        <w:r w:rsidRPr="001373CD">
          <w:rPr>
            <w:rStyle w:val="Hyperlink"/>
            <w:rFonts w:ascii="Simplified Arabic" w:hAnsi="Simplified Arabic"/>
            <w:rtl/>
          </w:rPr>
          <w:t xml:space="preserve"> (2013)،</w:t>
        </w:r>
        <w:r w:rsidRPr="001373CD">
          <w:rPr>
            <w:rStyle w:val="Hyperlink"/>
            <w:rtl/>
          </w:rPr>
          <w:t xml:space="preserve"> "اقتصادات الصلابة المناخية: تقييم مبادرات إدارة الفيضانات – دراسة حالة</w:t>
        </w:r>
      </w:hyperlink>
      <w:r w:rsidRPr="004E6237">
        <w:rPr>
          <w:rtl/>
        </w:rPr>
        <w:t>"</w:t>
      </w:r>
      <w:r w:rsidRPr="004E6237">
        <w:rPr>
          <w:rFonts w:hint="cs"/>
          <w:rtl/>
        </w:rPr>
        <w:t>.</w:t>
      </w:r>
    </w:p>
  </w:footnote>
  <w:footnote w:id="80">
    <w:p w:rsidR="000C66C6" w:rsidRPr="00EA475C" w:rsidRDefault="000C66C6" w:rsidP="00023979">
      <w:pPr>
        <w:pStyle w:val="FootnoteText"/>
        <w:rPr>
          <w:rFonts w:ascii="Simplified Arabic" w:hAnsi="Simplified Arabic"/>
          <w:sz w:val="22"/>
          <w:rtl/>
        </w:rPr>
      </w:pPr>
      <w:r w:rsidRPr="00EA475C">
        <w:rPr>
          <w:rStyle w:val="FootnoteReference"/>
          <w:rFonts w:ascii="Simplified Arabic" w:hAnsi="Simplified Arabic"/>
          <w:sz w:val="22"/>
          <w:szCs w:val="22"/>
        </w:rPr>
        <w:footnoteRef/>
      </w:r>
      <w:r w:rsidRPr="00EA475C">
        <w:rPr>
          <w:rFonts w:ascii="Simplified Arabic" w:hAnsi="Simplified Arabic"/>
          <w:sz w:val="22"/>
          <w:rtl/>
        </w:rPr>
        <w:t xml:space="preserve"> متاح</w:t>
      </w:r>
      <w:r w:rsidRPr="004E6237">
        <w:rPr>
          <w:rtl/>
        </w:rPr>
        <w:t xml:space="preserve">ة في </w:t>
      </w:r>
      <w:r w:rsidRPr="004E6237">
        <w:rPr>
          <w:lang w:val="en-CA"/>
        </w:rPr>
        <w:t>CBD/SBSTTA/22/INF/1</w:t>
      </w:r>
      <w:r w:rsidRPr="004E6237">
        <w:rPr>
          <w:rtl/>
        </w:rPr>
        <w:t>.</w:t>
      </w:r>
    </w:p>
  </w:footnote>
  <w:footnote w:id="81">
    <w:p w:rsidR="000C66C6" w:rsidRPr="00EA475C" w:rsidRDefault="000C66C6" w:rsidP="00023979">
      <w:pPr>
        <w:pStyle w:val="FootnoteText"/>
        <w:rPr>
          <w:rFonts w:ascii="Simplified Arabic" w:hAnsi="Simplified Arabic"/>
          <w:sz w:val="22"/>
        </w:rPr>
      </w:pPr>
      <w:r w:rsidRPr="00A56B7F">
        <w:rPr>
          <w:rStyle w:val="FootnoteReference"/>
          <w:rFonts w:ascii="Simplified Arabic" w:hAnsi="Simplified Arabic"/>
          <w:sz w:val="20"/>
          <w:szCs w:val="20"/>
        </w:rPr>
        <w:footnoteRef/>
      </w:r>
      <w:r w:rsidRPr="00EA475C">
        <w:rPr>
          <w:rFonts w:ascii="Simplified Arabic" w:hAnsi="Simplified Arabic"/>
          <w:sz w:val="22"/>
          <w:rtl/>
        </w:rPr>
        <w:t xml:space="preserve"> تعتمد العديد من الإجراءات الرئيسية </w:t>
      </w:r>
      <w:r>
        <w:rPr>
          <w:rFonts w:ascii="Simplified Arabic" w:hAnsi="Simplified Arabic" w:hint="cs"/>
          <w:sz w:val="22"/>
          <w:rtl/>
        </w:rPr>
        <w:t xml:space="preserve">والاعتبارات </w:t>
      </w:r>
      <w:r w:rsidRPr="00EA475C">
        <w:rPr>
          <w:rFonts w:ascii="Simplified Arabic" w:hAnsi="Simplified Arabic"/>
          <w:sz w:val="22"/>
          <w:rtl/>
        </w:rPr>
        <w:t xml:space="preserve">على موجز التعلم بشأن الرصد والتقييم (قيد الإعداد)، </w:t>
      </w:r>
      <w:r w:rsidRPr="00FF1A1B">
        <w:rPr>
          <w:rFonts w:ascii="Simplified Arabic" w:hAnsi="Simplified Arabic"/>
          <w:spacing w:val="-10"/>
          <w:sz w:val="22"/>
          <w:rtl/>
        </w:rPr>
        <w:t>على أن تنشره الوكالة الألمانية للتعاون الدولي في عام 2018.</w:t>
      </w:r>
    </w:p>
  </w:footnote>
  <w:footnote w:id="82">
    <w:p w:rsidR="000C66C6" w:rsidRPr="00EA475C" w:rsidRDefault="000C66C6" w:rsidP="00023979">
      <w:pPr>
        <w:pStyle w:val="FootnoteText"/>
        <w:rPr>
          <w:rFonts w:ascii="Simplified Arabic" w:hAnsi="Simplified Arabic"/>
          <w:sz w:val="22"/>
        </w:rPr>
      </w:pPr>
      <w:r w:rsidRPr="00A56B7F">
        <w:rPr>
          <w:rStyle w:val="FootnoteReference"/>
          <w:rFonts w:ascii="Simplified Arabic" w:hAnsi="Simplified Arabic"/>
          <w:sz w:val="20"/>
          <w:szCs w:val="20"/>
        </w:rPr>
        <w:footnoteRef/>
      </w:r>
      <w:r w:rsidRPr="00EA475C">
        <w:rPr>
          <w:rFonts w:ascii="Simplified Arabic" w:hAnsi="Simplified Arabic"/>
          <w:sz w:val="22"/>
          <w:rtl/>
        </w:rPr>
        <w:t xml:space="preserve"> انظر </w:t>
      </w:r>
      <w:r w:rsidRPr="004E6237">
        <w:rPr>
          <w:rFonts w:cs="Times New Roman"/>
          <w:snapToGrid w:val="0"/>
          <w:kern w:val="18"/>
        </w:rPr>
        <w:t>CBD/SBSTTA/22/INF/1</w:t>
      </w:r>
      <w:r w:rsidRPr="00EA475C">
        <w:rPr>
          <w:rFonts w:ascii="Simplified Arabic" w:hAnsi="Simplified Arabic"/>
          <w:sz w:val="22"/>
          <w:rtl/>
        </w:rPr>
        <w:t>.</w:t>
      </w:r>
    </w:p>
  </w:footnote>
  <w:footnote w:id="83">
    <w:p w:rsidR="000C66C6" w:rsidRPr="00EA475C" w:rsidRDefault="000C66C6" w:rsidP="00023979">
      <w:pPr>
        <w:pStyle w:val="FootnoteText"/>
        <w:rPr>
          <w:rFonts w:ascii="Simplified Arabic" w:hAnsi="Simplified Arabic"/>
          <w:sz w:val="22"/>
        </w:rPr>
      </w:pPr>
      <w:r w:rsidRPr="00A56B7F">
        <w:rPr>
          <w:rStyle w:val="FootnoteReference"/>
          <w:rFonts w:ascii="Simplified Arabic" w:hAnsi="Simplified Arabic"/>
          <w:sz w:val="20"/>
          <w:szCs w:val="20"/>
        </w:rPr>
        <w:footnoteRef/>
      </w:r>
      <w:r w:rsidRPr="00EA475C">
        <w:rPr>
          <w:rFonts w:ascii="Simplified Arabic" w:hAnsi="Simplified Arabic"/>
          <w:sz w:val="22"/>
          <w:rtl/>
        </w:rPr>
        <w:t xml:space="preserve"> </w:t>
      </w:r>
      <w:r w:rsidRPr="00EA475C">
        <w:rPr>
          <w:rFonts w:ascii="Simplified Arabic" w:hAnsi="Simplified Arabic" w:hint="cs"/>
          <w:sz w:val="22"/>
          <w:rtl/>
        </w:rPr>
        <w:t>ي</w:t>
      </w:r>
      <w:r w:rsidRPr="00EA475C">
        <w:rPr>
          <w:rFonts w:ascii="Simplified Arabic" w:hAnsi="Simplified Arabic"/>
          <w:sz w:val="22"/>
          <w:rtl/>
        </w:rPr>
        <w:t xml:space="preserve">ُتاح </w:t>
      </w:r>
      <w:r w:rsidRPr="00EA475C">
        <w:rPr>
          <w:rFonts w:ascii="Simplified Arabic" w:hAnsi="Simplified Arabic" w:hint="cs"/>
          <w:sz w:val="22"/>
          <w:rtl/>
        </w:rPr>
        <w:t>المزيد من ال</w:t>
      </w:r>
      <w:r w:rsidRPr="00EA475C">
        <w:rPr>
          <w:rFonts w:ascii="Simplified Arabic" w:hAnsi="Simplified Arabic"/>
          <w:sz w:val="22"/>
          <w:rtl/>
        </w:rPr>
        <w:t xml:space="preserve">معلومات عن المؤشرات من خلال </w:t>
      </w:r>
      <w:r>
        <w:rPr>
          <w:rFonts w:ascii="Simplified Arabic" w:hAnsi="Simplified Arabic" w:hint="cs"/>
          <w:sz w:val="22"/>
          <w:rtl/>
        </w:rPr>
        <w:t>ال</w:t>
      </w:r>
      <w:r w:rsidRPr="00EA475C">
        <w:rPr>
          <w:rFonts w:ascii="Simplified Arabic" w:hAnsi="Simplified Arabic"/>
          <w:sz w:val="22"/>
          <w:rtl/>
        </w:rPr>
        <w:t xml:space="preserve">موقع </w:t>
      </w:r>
      <w:r>
        <w:rPr>
          <w:rFonts w:ascii="Simplified Arabic" w:hAnsi="Simplified Arabic" w:hint="cs"/>
          <w:sz w:val="22"/>
          <w:rtl/>
        </w:rPr>
        <w:t>الشبكي ل</w:t>
      </w:r>
      <w:r w:rsidRPr="00EA475C">
        <w:rPr>
          <w:rFonts w:ascii="Simplified Arabic" w:hAnsi="Simplified Arabic" w:hint="cs"/>
          <w:sz w:val="22"/>
          <w:rtl/>
        </w:rPr>
        <w:t>ا</w:t>
      </w:r>
      <w:r w:rsidRPr="00EA475C">
        <w:rPr>
          <w:rFonts w:ascii="Simplified Arabic" w:hAnsi="Simplified Arabic"/>
          <w:sz w:val="22"/>
          <w:rtl/>
        </w:rPr>
        <w:t>تفاقية التنوع البيولوجي</w:t>
      </w:r>
      <w:r w:rsidRPr="00EA475C">
        <w:rPr>
          <w:rFonts w:ascii="Simplified Arabic" w:hAnsi="Simplified Arabic" w:hint="cs"/>
          <w:sz w:val="22"/>
          <w:rtl/>
        </w:rPr>
        <w:t xml:space="preserve"> </w:t>
      </w:r>
      <w:r w:rsidRPr="001E7D95">
        <w:rPr>
          <w:rFonts w:cs="Times New Roman"/>
          <w:rtl/>
        </w:rPr>
        <w:t>(</w:t>
      </w:r>
      <w:hyperlink r:id="rId42" w:history="1">
        <w:r w:rsidRPr="00377F98">
          <w:rPr>
            <w:rStyle w:val="Hyperlink"/>
            <w:rFonts w:cs="Times New Roman"/>
            <w:snapToGrid w:val="0"/>
            <w:kern w:val="18"/>
          </w:rPr>
          <w:t>https://www.cbd.int/indicators/default.shtml</w:t>
        </w:r>
      </w:hyperlink>
      <w:r w:rsidRPr="001E7D95">
        <w:rPr>
          <w:rFonts w:cs="Times New Roman"/>
          <w:rtl/>
        </w:rPr>
        <w:t xml:space="preserve">) </w:t>
      </w:r>
      <w:r w:rsidRPr="00EA475C">
        <w:rPr>
          <w:rFonts w:ascii="Simplified Arabic" w:hAnsi="Simplified Arabic"/>
          <w:sz w:val="22"/>
          <w:rtl/>
        </w:rPr>
        <w:t xml:space="preserve">وفي تقرير التقييم الخامس للهيئة الحكومية الدولية المعنية بتغير المناخ (انظر </w:t>
      </w:r>
      <w:hyperlink r:id="rId43" w:history="1">
        <w:r w:rsidRPr="00377F98">
          <w:rPr>
            <w:rStyle w:val="Hyperlink"/>
            <w:rFonts w:cs="Times New Roman"/>
            <w:snapToGrid w:val="0"/>
            <w:kern w:val="18"/>
          </w:rPr>
          <w:t>https://www.ipcc.ch/report/ar5/</w:t>
        </w:r>
      </w:hyperlink>
      <w:r w:rsidRPr="00EA475C">
        <w:rPr>
          <w:rFonts w:ascii="Simplified Arabic" w:hAnsi="Simplified Arabic"/>
          <w:sz w:val="22"/>
          <w:rtl/>
        </w:rPr>
        <w:t>)</w:t>
      </w:r>
      <w:r w:rsidRPr="00EA475C">
        <w:rPr>
          <w:rFonts w:ascii="Simplified Arabic" w:hAnsi="Simplified Arabic" w:hint="cs"/>
          <w:sz w:val="22"/>
          <w:rtl/>
        </w:rPr>
        <w:t>.</w:t>
      </w:r>
    </w:p>
  </w:footnote>
  <w:footnote w:id="84">
    <w:p w:rsidR="000C66C6" w:rsidRPr="00180E0A" w:rsidRDefault="000C66C6" w:rsidP="00023979">
      <w:pPr>
        <w:pStyle w:val="FootnoteText"/>
        <w:rPr>
          <w:rFonts w:ascii="Simplified Arabic" w:hAnsi="Simplified Arabic"/>
          <w:sz w:val="22"/>
        </w:rPr>
      </w:pPr>
      <w:r w:rsidRPr="00A56B7F">
        <w:rPr>
          <w:rStyle w:val="FootnoteReference"/>
          <w:rFonts w:ascii="Simplified Arabic" w:hAnsi="Simplified Arabic"/>
          <w:sz w:val="20"/>
          <w:szCs w:val="20"/>
        </w:rPr>
        <w:footnoteRef/>
      </w:r>
      <w:r w:rsidRPr="00A56B7F">
        <w:rPr>
          <w:rFonts w:ascii="Simplified Arabic" w:hAnsi="Simplified Arabic"/>
          <w:sz w:val="20"/>
          <w:rtl/>
        </w:rPr>
        <w:t xml:space="preserve"> </w:t>
      </w:r>
      <w:r w:rsidRPr="00EA475C">
        <w:rPr>
          <w:rFonts w:ascii="Simplified Arabic" w:hAnsi="Simplified Arabic"/>
          <w:sz w:val="22"/>
          <w:rtl/>
        </w:rPr>
        <w:t xml:space="preserve">انظر </w:t>
      </w:r>
      <w:r w:rsidRPr="004E6237">
        <w:rPr>
          <w:rFonts w:cs="Times New Roman"/>
          <w:snapToGrid w:val="0"/>
          <w:kern w:val="18"/>
        </w:rPr>
        <w:t>CBD/SBSTTA/22/INF</w:t>
      </w:r>
      <w:r w:rsidRPr="00EA475C">
        <w:rPr>
          <w:rFonts w:asciiTheme="majorBidi" w:hAnsiTheme="majorBidi" w:cstheme="majorBidi"/>
          <w:snapToGrid w:val="0"/>
          <w:kern w:val="18"/>
        </w:rPr>
        <w:t>/1</w:t>
      </w:r>
      <w:r w:rsidRPr="00EA475C">
        <w:rPr>
          <w:rFonts w:ascii="Simplified Arabic" w:hAnsi="Simplified Arabic"/>
          <w:sz w:val="22"/>
          <w:rtl/>
        </w:rPr>
        <w:t>، المرفق الثالث.</w:t>
      </w:r>
    </w:p>
  </w:footnote>
  <w:footnote w:id="85">
    <w:p w:rsidR="000C66C6" w:rsidRPr="009B59A4" w:rsidRDefault="000C66C6" w:rsidP="00BB5C54">
      <w:pPr>
        <w:pStyle w:val="FootnoteText"/>
        <w:rPr>
          <w:rFonts w:ascii="Simplified Arabic" w:hAnsi="Simplified Arabic"/>
          <w:rtl/>
        </w:rPr>
      </w:pPr>
      <w:r w:rsidRPr="00A56B7F">
        <w:rPr>
          <w:rStyle w:val="FootnoteReference"/>
          <w:rFonts w:ascii="Simplified Arabic" w:hAnsi="Simplified Arabic"/>
          <w:sz w:val="20"/>
          <w:szCs w:val="20"/>
        </w:rPr>
        <w:footnoteRef/>
      </w:r>
      <w:r w:rsidRPr="00B14F4B">
        <w:rPr>
          <w:rFonts w:ascii="Simplified Arabic" w:hAnsi="Simplified Arabic"/>
          <w:rtl/>
        </w:rPr>
        <w:t xml:space="preserve"> </w:t>
      </w:r>
      <w:r w:rsidRPr="00BB5C54">
        <w:rPr>
          <w:rFonts w:ascii="Simplified Arabic" w:hAnsi="Simplified Arabic"/>
          <w:sz w:val="20"/>
          <w:rtl/>
        </w:rPr>
        <w:t>الفجوات المحددة في العنصر 4 من خطة العمل 2018-2030 الواردة في المرفق الأول</w:t>
      </w:r>
      <w:r w:rsidRPr="00BB5C54">
        <w:rPr>
          <w:rFonts w:ascii="Simplified Arabic" w:hAnsi="Simplified Arabic"/>
          <w:sz w:val="20"/>
        </w:rPr>
        <w:t>.</w:t>
      </w:r>
    </w:p>
  </w:footnote>
  <w:footnote w:id="86">
    <w:p w:rsidR="000C66C6" w:rsidRPr="009B59A4" w:rsidRDefault="000C66C6" w:rsidP="00BB5C54">
      <w:pPr>
        <w:pStyle w:val="FootnoteText"/>
        <w:rPr>
          <w:rFonts w:ascii="Simplified Arabic" w:hAnsi="Simplified Arabic"/>
          <w:rtl/>
        </w:rPr>
      </w:pPr>
      <w:r>
        <w:rPr>
          <w:rStyle w:val="FootnoteReference"/>
        </w:rPr>
        <w:footnoteRef/>
      </w:r>
      <w:r w:rsidRPr="00B14F4B">
        <w:rPr>
          <w:rFonts w:ascii="Simplified Arabic" w:hAnsi="Simplified Arabic"/>
          <w:rtl/>
        </w:rPr>
        <w:t xml:space="preserve"> </w:t>
      </w:r>
      <w:r w:rsidRPr="00BB5C54">
        <w:rPr>
          <w:rtl/>
        </w:rPr>
        <w:t xml:space="preserve">المنبر الحكومي الدولي للعلوم والسياسات في مجال التنوع البيولوجي وخدمات النظم الإيكولوجية (2016)، </w:t>
      </w:r>
      <w:hyperlink r:id="rId44" w:history="1">
        <w:r w:rsidRPr="00BB5C54">
          <w:rPr>
            <w:rStyle w:val="Hyperlink"/>
            <w:i/>
            <w:iCs/>
            <w:rtl/>
          </w:rPr>
          <w:t>تقرير التقييم بشأن الملقحات والتلقيح وإنتاج الأغذية</w:t>
        </w:r>
      </w:hyperlink>
      <w:r w:rsidRPr="00BB5C54">
        <w:rPr>
          <w:rtl/>
        </w:rPr>
        <w:t>.</w:t>
      </w:r>
    </w:p>
  </w:footnote>
  <w:footnote w:id="87">
    <w:p w:rsidR="000C66C6" w:rsidRPr="009B59A4" w:rsidRDefault="000C66C6" w:rsidP="00BB5C54">
      <w:pPr>
        <w:pStyle w:val="FootnoteText"/>
        <w:rPr>
          <w:rFonts w:ascii="Simplified Arabic" w:hAnsi="Simplified Arabic"/>
          <w:rtl/>
        </w:rPr>
      </w:pPr>
      <w:r>
        <w:rPr>
          <w:rStyle w:val="FootnoteReference"/>
        </w:rPr>
        <w:footnoteRef/>
      </w:r>
      <w:r w:rsidRPr="009B59A4">
        <w:rPr>
          <w:rFonts w:ascii="Simplified Arabic" w:hAnsi="Simplified Arabic"/>
          <w:rtl/>
        </w:rPr>
        <w:t xml:space="preserve"> </w:t>
      </w:r>
      <w:r w:rsidRPr="00BB5C54">
        <w:rPr>
          <w:rtl/>
        </w:rPr>
        <w:t>المرجع نفسه.</w:t>
      </w:r>
    </w:p>
  </w:footnote>
  <w:footnote w:id="88">
    <w:p w:rsidR="000C66C6" w:rsidRPr="009B59A4" w:rsidRDefault="000C66C6" w:rsidP="00BB5C54">
      <w:pPr>
        <w:pStyle w:val="FootnoteText"/>
        <w:rPr>
          <w:rFonts w:ascii="Simplified Arabic" w:hAnsi="Simplified Arabic"/>
          <w:rtl/>
        </w:rPr>
      </w:pPr>
      <w:r>
        <w:rPr>
          <w:rStyle w:val="FootnoteReference"/>
        </w:rPr>
        <w:footnoteRef/>
      </w:r>
      <w:r w:rsidRPr="009B59A4">
        <w:rPr>
          <w:rFonts w:ascii="Simplified Arabic" w:hAnsi="Simplified Arabic"/>
          <w:rtl/>
        </w:rPr>
        <w:t xml:space="preserve"> </w:t>
      </w:r>
      <w:r w:rsidRPr="00BB5C54">
        <w:rPr>
          <w:rtl/>
        </w:rPr>
        <w:t>المقرر 6/5 بشأن التنوع البيولوجي الزراعي، المرفق الثاني.</w:t>
      </w:r>
    </w:p>
  </w:footnote>
  <w:footnote w:id="89">
    <w:p w:rsidR="000C66C6" w:rsidRPr="009B59A4" w:rsidRDefault="000C66C6" w:rsidP="00BB5C54">
      <w:pPr>
        <w:pStyle w:val="FootnoteText"/>
        <w:rPr>
          <w:rFonts w:ascii="Simplified Arabic" w:hAnsi="Simplified Arabic"/>
          <w:rtl/>
        </w:rPr>
      </w:pPr>
      <w:r>
        <w:rPr>
          <w:rStyle w:val="FootnoteReference"/>
        </w:rPr>
        <w:footnoteRef/>
      </w:r>
      <w:r w:rsidRPr="00B14F4B">
        <w:rPr>
          <w:rFonts w:ascii="Simplified Arabic" w:hAnsi="Simplified Arabic"/>
          <w:rtl/>
        </w:rPr>
        <w:t xml:space="preserve"> </w:t>
      </w:r>
      <w:r w:rsidRPr="00BB5C54">
        <w:rPr>
          <w:rtl/>
        </w:rPr>
        <w:t>موائل الملقحات: مناطق توفر نباتات رعوية، ومواقع للتعشيش وظروف أخرى لاستكمال دورات حياة أنواع ملقحات مختلفة.</w:t>
      </w:r>
    </w:p>
  </w:footnote>
  <w:footnote w:id="90">
    <w:p w:rsidR="000C66C6" w:rsidRPr="009B59A4" w:rsidRDefault="000C66C6" w:rsidP="00BB5C54">
      <w:pPr>
        <w:pStyle w:val="FootnoteText"/>
        <w:rPr>
          <w:rFonts w:ascii="Simplified Arabic" w:hAnsi="Simplified Arabic"/>
          <w:lang w:val="en-GB"/>
        </w:rPr>
      </w:pPr>
      <w:r>
        <w:rPr>
          <w:rStyle w:val="FootnoteReference"/>
        </w:rPr>
        <w:footnoteRef/>
      </w:r>
      <w:r w:rsidRPr="00B14F4B">
        <w:rPr>
          <w:rFonts w:ascii="Simplified Arabic" w:hAnsi="Simplified Arabic"/>
          <w:rtl/>
        </w:rPr>
        <w:t xml:space="preserve"> </w:t>
      </w:r>
      <w:r w:rsidRPr="00BB5C54">
        <w:rPr>
          <w:rtl/>
        </w:rPr>
        <w:t xml:space="preserve">مع الإحاطة علما بتقرير فرقة العمل المشتركة بين اللجنة المعنية بإدارة النظم الإيكولوجية </w:t>
      </w:r>
      <w:r w:rsidRPr="00BB5C54">
        <w:rPr>
          <w:lang w:val="en-GB"/>
        </w:rPr>
        <w:t>(CEM)</w:t>
      </w:r>
      <w:r w:rsidRPr="00BB5C54">
        <w:rPr>
          <w:rtl/>
        </w:rPr>
        <w:t xml:space="preserve"> واللجنة المعنية ببقاء الأنواع </w:t>
      </w:r>
      <w:r w:rsidRPr="00BB5C54">
        <w:rPr>
          <w:lang w:val="en-GB"/>
        </w:rPr>
        <w:t>(SSC)</w:t>
      </w:r>
      <w:r w:rsidRPr="00BB5C54">
        <w:rPr>
          <w:rtl/>
        </w:rPr>
        <w:t xml:space="preserve"> للاتحاد الدولي لحماية الطبيعة </w:t>
      </w:r>
      <w:r w:rsidRPr="00BB5C54">
        <w:rPr>
          <w:lang w:val="en-GB"/>
        </w:rPr>
        <w:t>(IUCN)</w:t>
      </w:r>
      <w:r w:rsidRPr="00BB5C54">
        <w:rPr>
          <w:rtl/>
        </w:rPr>
        <w:t xml:space="preserve"> والمعنية بالمبيدات الجهازية والمعنون "تحديث للتقييم المتكامل العالمي </w:t>
      </w:r>
      <w:r w:rsidRPr="00BB5C54">
        <w:t>(WIA)</w:t>
      </w:r>
      <w:r w:rsidRPr="00BB5C54">
        <w:rPr>
          <w:rtl/>
        </w:rPr>
        <w:t xml:space="preserve"> بشأن المبيدات الجهازية".</w:t>
      </w:r>
    </w:p>
  </w:footnote>
  <w:footnote w:id="91">
    <w:p w:rsidR="000C66C6" w:rsidRPr="009B59A4" w:rsidRDefault="000C66C6" w:rsidP="00D21AB0">
      <w:pPr>
        <w:pStyle w:val="FootnoteText"/>
        <w:rPr>
          <w:rFonts w:ascii="Simplified Arabic" w:hAnsi="Simplified Arabic"/>
          <w:rtl/>
        </w:rPr>
      </w:pPr>
      <w:r>
        <w:rPr>
          <w:rStyle w:val="FootnoteReference"/>
        </w:rPr>
        <w:footnoteRef/>
      </w:r>
      <w:r w:rsidRPr="00B14F4B">
        <w:rPr>
          <w:rFonts w:ascii="Simplified Arabic" w:hAnsi="Simplified Arabic"/>
          <w:rtl/>
        </w:rPr>
        <w:t xml:space="preserve"> </w:t>
      </w:r>
      <w:r w:rsidRPr="00BB5C54">
        <w:rPr>
          <w:rtl/>
        </w:rPr>
        <w:t xml:space="preserve">انظر </w:t>
      </w:r>
      <w:hyperlink r:id="rId45" w:history="1">
        <w:r w:rsidRPr="00BB5C54">
          <w:rPr>
            <w:rStyle w:val="Hyperlink"/>
            <w:color w:val="auto"/>
            <w:u w:val="none"/>
            <w:rtl/>
          </w:rPr>
          <w:t>قرار الجمعية العامة 72/238</w:t>
        </w:r>
      </w:hyperlink>
      <w:r w:rsidRPr="00BB5C54">
        <w:rPr>
          <w:rtl/>
        </w:rPr>
        <w:t xml:space="preserve"> المؤرخ 20 ديسمبر/كانون الأول 2017 بشأن التنمية الزراعية والأمن الغذائي والتغذية.</w:t>
      </w:r>
    </w:p>
  </w:footnote>
  <w:footnote w:id="92">
    <w:p w:rsidR="000C66C6" w:rsidRPr="00B14F4B" w:rsidRDefault="000C66C6" w:rsidP="00BB5C54">
      <w:pPr>
        <w:pStyle w:val="FootnoteText"/>
        <w:rPr>
          <w:rFonts w:ascii="Simplified Arabic" w:hAnsi="Simplified Arabic"/>
          <w:rtl/>
        </w:rPr>
      </w:pPr>
      <w:r>
        <w:rPr>
          <w:rStyle w:val="FootnoteReference"/>
        </w:rPr>
        <w:footnoteRef/>
      </w:r>
      <w:r w:rsidRPr="00B14F4B">
        <w:rPr>
          <w:rFonts w:ascii="Simplified Arabic" w:hAnsi="Simplified Arabic"/>
          <w:rtl/>
        </w:rPr>
        <w:t xml:space="preserve"> </w:t>
      </w:r>
      <w:r w:rsidRPr="00BB5C54">
        <w:rPr>
          <w:rtl/>
        </w:rPr>
        <w:t xml:space="preserve">مثلا، مؤتمر منتظم للمبادرة (يمكن ربطه بالاتحاد الدولي لرابطات النحالين </w:t>
      </w:r>
      <w:r w:rsidRPr="00BB5C54">
        <w:t>(APIMONDIA)</w:t>
      </w:r>
      <w:r w:rsidRPr="00BB5C54">
        <w:rPr>
          <w:rtl/>
        </w:rPr>
        <w:t xml:space="preserve"> </w:t>
      </w:r>
      <w:hyperlink r:id="rId46" w:history="1">
        <w:r w:rsidRPr="00BB5C54">
          <w:rPr>
            <w:rStyle w:val="Hyperlink"/>
            <w:color w:val="auto"/>
            <w:u w:val="none"/>
          </w:rPr>
          <w:t>http://www.apimondia.com/</w:t>
        </w:r>
      </w:hyperlink>
      <w:r w:rsidRPr="00BB5C54">
        <w:rPr>
          <w:rtl/>
        </w:rPr>
        <w:t>)</w:t>
      </w:r>
    </w:p>
  </w:footnote>
  <w:footnote w:id="93">
    <w:p w:rsidR="000C66C6" w:rsidRPr="008A6124" w:rsidRDefault="000C66C6" w:rsidP="00D21AB0">
      <w:pPr>
        <w:spacing w:after="0"/>
        <w:rPr>
          <w:sz w:val="18"/>
          <w:szCs w:val="20"/>
          <w:rtl/>
        </w:rPr>
      </w:pPr>
      <w:r>
        <w:rPr>
          <w:rStyle w:val="FootnoteReference"/>
          <w:rFonts w:eastAsia="PMingLiU"/>
          <w:kern w:val="0"/>
          <w:lang w:eastAsia="ar-SA"/>
        </w:rPr>
        <w:footnoteRef/>
      </w:r>
      <w:r>
        <w:rPr>
          <w:rtl/>
        </w:rPr>
        <w:t xml:space="preserve"> </w:t>
      </w:r>
      <w:r w:rsidRPr="00D21AB0">
        <w:rPr>
          <w:rFonts w:hint="cs"/>
          <w:kern w:val="0"/>
          <w:sz w:val="18"/>
          <w:szCs w:val="20"/>
          <w:rtl/>
        </w:rPr>
        <w:t>استعراض الملحقات والتقليح</w:t>
      </w:r>
      <w:r w:rsidRPr="00D21AB0">
        <w:rPr>
          <w:kern w:val="0"/>
          <w:sz w:val="18"/>
          <w:szCs w:val="20"/>
          <w:rtl/>
        </w:rPr>
        <w:t xml:space="preserve"> </w:t>
      </w:r>
      <w:r w:rsidRPr="00D21AB0">
        <w:rPr>
          <w:rFonts w:hint="cs"/>
          <w:kern w:val="0"/>
          <w:sz w:val="18"/>
          <w:szCs w:val="20"/>
          <w:rtl/>
        </w:rPr>
        <w:t>المتعلقين ب</w:t>
      </w:r>
      <w:r w:rsidRPr="00D21AB0">
        <w:rPr>
          <w:kern w:val="0"/>
          <w:sz w:val="18"/>
          <w:szCs w:val="20"/>
          <w:rtl/>
        </w:rPr>
        <w:t>حفظ التنوع البيولوجي واستخدامه المستدام في جميع النظم الإيكولوجية</w:t>
      </w:r>
      <w:r w:rsidRPr="00D21AB0">
        <w:rPr>
          <w:rFonts w:hint="cs"/>
          <w:kern w:val="0"/>
          <w:sz w:val="18"/>
          <w:szCs w:val="20"/>
          <w:rtl/>
        </w:rPr>
        <w:t>،</w:t>
      </w:r>
      <w:r w:rsidRPr="00D21AB0">
        <w:rPr>
          <w:kern w:val="0"/>
          <w:sz w:val="18"/>
          <w:szCs w:val="20"/>
          <w:rtl/>
        </w:rPr>
        <w:t xml:space="preserve"> خارج نطاق دورها في الزراعة وإنتاج الأغذية </w:t>
      </w:r>
      <w:r w:rsidRPr="00D21AB0">
        <w:rPr>
          <w:kern w:val="0"/>
          <w:sz w:val="18"/>
          <w:szCs w:val="20"/>
        </w:rPr>
        <w:t>(CBD/COP/14/INF/8)</w:t>
      </w:r>
      <w:r w:rsidRPr="00D21AB0">
        <w:rPr>
          <w:kern w:val="0"/>
          <w:sz w:val="18"/>
          <w:szCs w:val="20"/>
          <w:rtl/>
        </w:rPr>
        <w:t>.</w:t>
      </w:r>
    </w:p>
  </w:footnote>
  <w:footnote w:id="94">
    <w:p w:rsidR="000C66C6" w:rsidRPr="008A6124" w:rsidRDefault="000C66C6" w:rsidP="00D21AB0">
      <w:pPr>
        <w:pStyle w:val="FootnoteText"/>
        <w:rPr>
          <w:rtl/>
        </w:rPr>
      </w:pPr>
      <w:r>
        <w:rPr>
          <w:rStyle w:val="FootnoteReference"/>
        </w:rPr>
        <w:footnoteRef/>
      </w:r>
      <w:r w:rsidRPr="008A6124">
        <w:rPr>
          <w:rtl/>
        </w:rPr>
        <w:t xml:space="preserve"> </w:t>
      </w:r>
      <w:r w:rsidRPr="00D21AB0">
        <w:rPr>
          <w:rtl/>
        </w:rPr>
        <w:t>المؤلفون الرئيسيون للتقرير هم مرس</w:t>
      </w:r>
      <w:r w:rsidRPr="00D21AB0">
        <w:rPr>
          <w:rFonts w:hint="cs"/>
          <w:rtl/>
        </w:rPr>
        <w:t>ل</w:t>
      </w:r>
      <w:r w:rsidRPr="00D21AB0">
        <w:rPr>
          <w:rtl/>
        </w:rPr>
        <w:t>لو أيزن، وباثيبا باسو، ودامايانتي بوتشوري، ولين ديكس، وفيرا لوشيا امبراتريز فونسيكا، وليوناردو غاليتو، ولوكاس غاريبالدي، وبراد هوليت، وستيفن جونسون، ومونيكا كوباياشي، ومايكل لاتورف، وفيل ليفر، وهيان نغو، وسيمون بوتس، وديبا سيناباتي، وكولين سيمور وآدم فانبرغن. وحرر التقرير بربارا جيميل- هيرين ومونيكا كوباياشي. وعقدت حلقة عمل من 27 إلى 29 نوفمبر/تشرين الثاني 2017 بالتعاون مع المنبر الحكومي الدولي للعلوم والسياسات في مجال التنوع البيولوجي وخدمات النظم الإيكولوجية، وجامعة ريدنغ، واتفاقية التنوع البيولوجي، جمعت خبراء إقليميين في مجال الملقحات لمناقشة وتقييم دور الملقحات وخدمات التلقيح في دعم النظم الإيكولوجية خارج نطاق النظم الزراعية وفي دعم خدمات النظم الإيكولوجية خارج نطاق إنتاج الأغذية.</w:t>
      </w:r>
    </w:p>
  </w:footnote>
  <w:footnote w:id="95">
    <w:p w:rsidR="000C66C6" w:rsidRPr="00B14F4B" w:rsidRDefault="000C66C6" w:rsidP="00D21AB0">
      <w:pPr>
        <w:pStyle w:val="FootnoteText"/>
        <w:rPr>
          <w:rFonts w:ascii="Simplified Arabic" w:hAnsi="Simplified Arabic"/>
        </w:rPr>
      </w:pPr>
      <w:r>
        <w:rPr>
          <w:rStyle w:val="FootnoteReference"/>
        </w:rPr>
        <w:footnoteRef/>
      </w:r>
      <w:r w:rsidRPr="00B14F4B">
        <w:rPr>
          <w:rFonts w:ascii="Simplified Arabic" w:hAnsi="Simplified Arabic"/>
          <w:rtl/>
        </w:rPr>
        <w:t xml:space="preserve"> </w:t>
      </w:r>
      <w:r w:rsidRPr="00D21AB0">
        <w:rPr>
          <w:rtl/>
        </w:rPr>
        <w:t xml:space="preserve">البيانات الرسمية: </w:t>
      </w:r>
      <w:hyperlink r:id="rId47" w:history="1">
        <w:r w:rsidRPr="00D21AB0">
          <w:rPr>
            <w:rStyle w:val="Hyperlink"/>
            <w:color w:val="auto"/>
            <w:u w:val="none"/>
          </w:rPr>
          <w:t>http://www.mma.gov.br/biomas/mata-atl%C3%A2ntica_emdesenvolvimento</w:t>
        </w:r>
      </w:hyperlink>
      <w:r w:rsidRPr="00D21AB0">
        <w:rPr>
          <w:rtl/>
        </w:rPr>
        <w:t>.</w:t>
      </w:r>
    </w:p>
  </w:footnote>
  <w:footnote w:id="96">
    <w:p w:rsidR="000C66C6" w:rsidRPr="009B59A4" w:rsidRDefault="000C66C6" w:rsidP="00D21AB0">
      <w:pPr>
        <w:pStyle w:val="FootnoteText"/>
        <w:rPr>
          <w:rFonts w:ascii="Simplified Arabic" w:hAnsi="Simplified Arabic"/>
          <w:rtl/>
        </w:rPr>
      </w:pPr>
      <w:r>
        <w:rPr>
          <w:rStyle w:val="FootnoteReference"/>
        </w:rPr>
        <w:footnoteRef/>
      </w:r>
      <w:r w:rsidRPr="00B14F4B">
        <w:rPr>
          <w:rFonts w:ascii="Simplified Arabic" w:hAnsi="Simplified Arabic"/>
          <w:rtl/>
        </w:rPr>
        <w:t xml:space="preserve"> </w:t>
      </w:r>
      <w:r w:rsidRPr="009B59A4">
        <w:rPr>
          <w:rFonts w:ascii="Simplified Arabic" w:hAnsi="Simplified Arabic"/>
          <w:rtl/>
        </w:rPr>
        <w:t>تشمل هذه المحاصيل ضمن محاصيل أخرى البطاطا، والطماطم، والقرع، واليقطين، والفاصوليا، والفلفل، والكاكاو، والفراولة، والكينوا، والأمارانز، والأفوكادو، والبطاطا الحلوة، والآساي، وقلب النخيل، والبندق البرازيلي، والغارانا، وفاكهة زهرة الآلام، واليوكا.</w:t>
      </w:r>
    </w:p>
  </w:footnote>
  <w:footnote w:id="97">
    <w:p w:rsidR="000C66C6" w:rsidRPr="00027B1E" w:rsidRDefault="000C66C6" w:rsidP="00103F88">
      <w:pPr>
        <w:pStyle w:val="FootnoteText"/>
      </w:pPr>
      <w:r w:rsidRPr="00027B1E">
        <w:rPr>
          <w:rStyle w:val="FootnoteReference"/>
        </w:rPr>
        <w:footnoteRef/>
      </w:r>
      <w:r>
        <w:rPr>
          <w:rFonts w:hint="cs"/>
          <w:rtl/>
        </w:rPr>
        <w:t xml:space="preserve"> </w:t>
      </w:r>
      <w:r w:rsidRPr="00D21AB0">
        <w:rPr>
          <w:rFonts w:hint="cs"/>
          <w:rtl/>
        </w:rPr>
        <w:t>تشير الإدارة المستدامة للأحياء البرية إلى "الإدارة السليمة لأنواع الأحياء البرية من أجل الإبقاء على أعدادها وموائلها عبر الزمن، بالنظر إلى الاحتياجات الاجتماعية الاقتصادية لأعداد السكان. ويمكن للأحياء البرية، إذا تمت إدارتها على نحو مستدام، أن توفر التغذية والدخل المستمر إلى الشعوب الأصلية والمجتمعات المحلية على المدى الطويل، وبذلك تسهم في سبل العيش المحلية على نحو كبير، وكذلك تعمل كضمانات لصحة الإنسان وصحة البيئة (الشراكة التعاونية بشأن الإدارة المستدامة للأحياء البرية، 2015).</w:t>
      </w:r>
    </w:p>
  </w:footnote>
  <w:footnote w:id="98">
    <w:p w:rsidR="000C66C6" w:rsidRPr="00027B1E" w:rsidRDefault="000C66C6" w:rsidP="00103F88">
      <w:pPr>
        <w:pStyle w:val="FootnoteText"/>
      </w:pPr>
      <w:r w:rsidRPr="00027B1E">
        <w:rPr>
          <w:rStyle w:val="FootnoteReference"/>
        </w:rPr>
        <w:footnoteRef/>
      </w:r>
      <w:hyperlink r:id="rId48" w:history="1">
        <w:r w:rsidRPr="00D21AB0">
          <w:rPr>
            <w:rStyle w:val="Hyperlink"/>
            <w:rFonts w:hint="cs"/>
            <w:color w:val="auto"/>
            <w:u w:val="none"/>
            <w:rtl/>
          </w:rPr>
          <w:t xml:space="preserve"> المقرر 12/12 باء</w:t>
        </w:r>
      </w:hyperlink>
      <w:r w:rsidRPr="00D21AB0">
        <w:rPr>
          <w:rFonts w:hint="cs"/>
          <w:rtl/>
        </w:rPr>
        <w:t>، المرفق.</w:t>
      </w:r>
    </w:p>
  </w:footnote>
  <w:footnote w:id="99">
    <w:p w:rsidR="000C66C6" w:rsidRPr="00027B1E" w:rsidRDefault="000C66C6" w:rsidP="00103F88">
      <w:pPr>
        <w:pStyle w:val="FootnoteText"/>
        <w:rPr>
          <w:rFonts w:ascii="Simplified Arabic" w:hAnsi="Simplified Arabic"/>
          <w:lang w:eastAsia="fr-CH"/>
        </w:rPr>
      </w:pPr>
      <w:r w:rsidRPr="00027B1E">
        <w:rPr>
          <w:rStyle w:val="FootnoteReference"/>
        </w:rPr>
        <w:footnoteRef/>
      </w:r>
      <w:r>
        <w:rPr>
          <w:rFonts w:hint="cs"/>
          <w:rtl/>
        </w:rPr>
        <w:t xml:space="preserve"> </w:t>
      </w:r>
      <w:r w:rsidRPr="00D21AB0">
        <w:rPr>
          <w:rFonts w:hint="cs"/>
          <w:rtl/>
        </w:rPr>
        <w:t xml:space="preserve">انظر </w:t>
      </w:r>
      <w:hyperlink r:id="rId49" w:history="1">
        <w:r w:rsidRPr="00D21AB0">
          <w:rPr>
            <w:rStyle w:val="Hyperlink"/>
            <w:rFonts w:hint="cs"/>
            <w:color w:val="auto"/>
            <w:u w:val="none"/>
            <w:rtl/>
          </w:rPr>
          <w:t>قرار الجمعية العامة 70/1</w:t>
        </w:r>
      </w:hyperlink>
      <w:r w:rsidRPr="00D21AB0">
        <w:rPr>
          <w:rFonts w:hint="cs"/>
          <w:rtl/>
        </w:rPr>
        <w:t xml:space="preserve"> المؤرخ 25 سبتمبر/أيلول 2015 </w:t>
      </w:r>
      <w:r w:rsidRPr="00D21AB0">
        <w:rPr>
          <w:rtl/>
        </w:rPr>
        <w:t xml:space="preserve">بعنوان </w:t>
      </w:r>
      <w:r w:rsidRPr="00D21AB0">
        <w:rPr>
          <w:rFonts w:hint="cs"/>
          <w:rtl/>
        </w:rPr>
        <w:t>"</w:t>
      </w:r>
      <w:r w:rsidRPr="00D21AB0">
        <w:rPr>
          <w:rtl/>
          <w:lang w:val="fr-CH" w:eastAsia="fr-CH"/>
        </w:rPr>
        <w:t>تحويل عالمنا: خطة التنمية المستدامة لعام 2030</w:t>
      </w:r>
      <w:r w:rsidRPr="00D21AB0">
        <w:rPr>
          <w:rFonts w:hint="cs"/>
          <w:rtl/>
          <w:lang w:val="fr-CH" w:eastAsia="fr-CH"/>
        </w:rPr>
        <w:t>."</w:t>
      </w:r>
    </w:p>
  </w:footnote>
  <w:footnote w:id="100">
    <w:p w:rsidR="000C66C6" w:rsidRPr="00027B1E" w:rsidRDefault="000C66C6" w:rsidP="00103F88">
      <w:pPr>
        <w:pStyle w:val="FootnoteText"/>
      </w:pPr>
      <w:r w:rsidRPr="00027B1E">
        <w:rPr>
          <w:rStyle w:val="FootnoteReference"/>
        </w:rPr>
        <w:footnoteRef/>
      </w:r>
      <w:r>
        <w:rPr>
          <w:rFonts w:hint="cs"/>
          <w:rtl/>
        </w:rPr>
        <w:t xml:space="preserve"> </w:t>
      </w:r>
      <w:r w:rsidRPr="00D21AB0">
        <w:rPr>
          <w:rFonts w:hint="cs"/>
          <w:rtl/>
        </w:rPr>
        <w:t xml:space="preserve">انظر </w:t>
      </w:r>
      <w:hyperlink r:id="rId50" w:history="1">
        <w:r w:rsidRPr="00D21AB0">
          <w:rPr>
            <w:rStyle w:val="Hyperlink"/>
            <w:color w:val="auto"/>
            <w:u w:val="none"/>
          </w:rPr>
          <w:t>https://www.cbd.int/brc/</w:t>
        </w:r>
      </w:hyperlink>
    </w:p>
  </w:footnote>
  <w:footnote w:id="101">
    <w:p w:rsidR="000C66C6" w:rsidRPr="00027B1E" w:rsidRDefault="000C66C6" w:rsidP="00103F88">
      <w:pPr>
        <w:pStyle w:val="FootnoteText"/>
      </w:pPr>
      <w:r w:rsidRPr="00027B1E">
        <w:rPr>
          <w:rStyle w:val="FootnoteReference"/>
        </w:rPr>
        <w:footnoteRef/>
      </w:r>
      <w:r>
        <w:rPr>
          <w:rFonts w:hint="cs"/>
          <w:rtl/>
        </w:rPr>
        <w:t xml:space="preserve"> </w:t>
      </w:r>
      <w:r w:rsidRPr="00D21AB0">
        <w:rPr>
          <w:rFonts w:hint="cs"/>
          <w:rtl/>
        </w:rPr>
        <w:t>بالنسبة لبعض الأطراف، لا تعتبر الممارسات المستدامة المتصلة باللحوم البرية قطاعا من قطاعات الاقتصاد.</w:t>
      </w:r>
    </w:p>
  </w:footnote>
  <w:footnote w:id="102">
    <w:p w:rsidR="000C66C6" w:rsidRPr="00027B1E" w:rsidRDefault="000C66C6" w:rsidP="00103F88">
      <w:pPr>
        <w:pStyle w:val="FootnoteText"/>
      </w:pPr>
      <w:r>
        <w:t xml:space="preserve"> </w:t>
      </w:r>
      <w:r w:rsidRPr="00027B1E">
        <w:rPr>
          <w:rStyle w:val="FootnoteReference"/>
        </w:rPr>
        <w:footnoteRef/>
      </w:r>
      <w:r w:rsidRPr="00D21AB0">
        <w:rPr>
          <w:rFonts w:hint="cs"/>
          <w:rtl/>
        </w:rPr>
        <w:t xml:space="preserve">وثيقة المعلومات بشأن الإدارة المستدامة للأحياء البرية التي أعدت للاجتماع العشرين للهيئة الفرعية </w:t>
      </w:r>
      <w:r w:rsidRPr="00D21AB0">
        <w:rPr>
          <w:rFonts w:hint="cs"/>
          <w:rtl/>
          <w:lang w:val="fr-CH"/>
        </w:rPr>
        <w:t xml:space="preserve">للمشورة العلمية والتقنية والتكنولوجية </w:t>
      </w:r>
      <w:r w:rsidRPr="00D21AB0">
        <w:t>(</w:t>
      </w:r>
      <w:hyperlink r:id="rId51" w:history="1">
        <w:r w:rsidRPr="00D21AB0">
          <w:rPr>
            <w:rStyle w:val="Hyperlink"/>
            <w:color w:val="auto"/>
            <w:u w:val="none"/>
          </w:rPr>
          <w:t>UNEP/CBD/SBSTTA/20/INF/46</w:t>
        </w:r>
      </w:hyperlink>
      <w:r w:rsidRPr="00D21AB0">
        <w:t>)</w:t>
      </w:r>
      <w:r w:rsidRPr="00D21AB0">
        <w:rPr>
          <w:rFonts w:hint="cs"/>
          <w:rtl/>
        </w:rPr>
        <w:t>، تقدم عرضا عاما لدور صيد الإعاشة في المجتمعات البشرية، وآثار صيد الإعاشة والصيد التجاري (بما في ذلك الآثار المجمعة للصيد والتغير في استخدام الأراضي نتيجة للأنشطة الزراعية والصناعية)، وتحليلا يستند إلى نظريات إدارة الموارد المشتركة على المستوى المحلي. كما أتيحت في وثيقة معلومات أخرى معلومات إضافية تتعلق بالتقارير الوطنية للأطراف والاستراتيجيات وخطط العمل الوطنية للتنوع البيولوجي والاستخدام المستدام للأحياء البرية</w:t>
      </w:r>
      <w:r w:rsidRPr="00D21AB0">
        <w:t>(</w:t>
      </w:r>
      <w:hyperlink r:id="rId52" w:history="1">
        <w:r w:rsidRPr="00D21AB0">
          <w:rPr>
            <w:rStyle w:val="Hyperlink"/>
            <w:color w:val="auto"/>
            <w:u w:val="none"/>
          </w:rPr>
          <w:t>UNEP/CBD/SBSTTA/20/INF/47</w:t>
        </w:r>
      </w:hyperlink>
      <w:r w:rsidRPr="00D21AB0">
        <w:t xml:space="preserve">) </w:t>
      </w:r>
      <w:r w:rsidRPr="00D21AB0">
        <w:rPr>
          <w:rFonts w:hint="cs"/>
          <w:rtl/>
        </w:rPr>
        <w:t>.</w:t>
      </w:r>
    </w:p>
  </w:footnote>
  <w:footnote w:id="103">
    <w:p w:rsidR="000C66C6" w:rsidRPr="00027B1E" w:rsidRDefault="000C66C6" w:rsidP="00103F88">
      <w:pPr>
        <w:pStyle w:val="FootnoteText"/>
      </w:pPr>
      <w:r w:rsidRPr="00027B1E">
        <w:rPr>
          <w:rStyle w:val="FootnoteReference"/>
        </w:rPr>
        <w:footnoteRef/>
      </w:r>
      <w:r>
        <w:rPr>
          <w:rFonts w:hint="cs"/>
          <w:rtl/>
        </w:rPr>
        <w:t xml:space="preserve"> </w:t>
      </w:r>
      <w:r w:rsidRPr="00D21AB0">
        <w:rPr>
          <w:rFonts w:hint="cs"/>
          <w:rtl/>
        </w:rPr>
        <w:t xml:space="preserve">انظر </w:t>
      </w:r>
      <w:hyperlink r:id="rId53" w:history="1">
        <w:r w:rsidRPr="00D21AB0">
          <w:rPr>
            <w:rStyle w:val="Hyperlink"/>
            <w:color w:val="auto"/>
            <w:u w:val="none"/>
          </w:rPr>
          <w:t>UNEP/CBD/SBSTTA/20/11</w:t>
        </w:r>
      </w:hyperlink>
      <w:r w:rsidRPr="00D21AB0">
        <w:rPr>
          <w:rFonts w:hint="cs"/>
          <w:rtl/>
        </w:rPr>
        <w:t>، الفقرة 26.</w:t>
      </w:r>
    </w:p>
  </w:footnote>
  <w:footnote w:id="104">
    <w:p w:rsidR="000C66C6" w:rsidRPr="00027B1E" w:rsidRDefault="000C66C6" w:rsidP="00103F88">
      <w:pPr>
        <w:pStyle w:val="FootnoteText"/>
      </w:pPr>
      <w:r w:rsidRPr="00ED2A60">
        <w:rPr>
          <w:szCs w:val="18"/>
          <w:lang w:val="fr-CH"/>
        </w:rPr>
        <w:t>S.</w:t>
      </w:r>
      <w:r w:rsidRPr="00ED2A60">
        <w:rPr>
          <w:szCs w:val="18"/>
          <w:lang w:val="fr-FR"/>
        </w:rPr>
        <w:t xml:space="preserve"> S.</w:t>
      </w:r>
      <w:r w:rsidRPr="00ED2A60">
        <w:rPr>
          <w:szCs w:val="18"/>
          <w:lang w:val="fr-CH"/>
        </w:rPr>
        <w:t xml:space="preserve"> Myers et al. </w:t>
      </w:r>
      <w:r w:rsidRPr="00ED2A60">
        <w:rPr>
          <w:szCs w:val="18"/>
        </w:rPr>
        <w:t xml:space="preserve">(2013). </w:t>
      </w:r>
      <w:r w:rsidRPr="00ED2A60">
        <w:rPr>
          <w:i/>
          <w:iCs/>
          <w:szCs w:val="18"/>
        </w:rPr>
        <w:t>Proceedings of the National Academy of Sciences</w:t>
      </w:r>
      <w:r w:rsidRPr="00ED2A60">
        <w:rPr>
          <w:szCs w:val="18"/>
        </w:rPr>
        <w:t xml:space="preserve"> 110, 18753-18760  </w:t>
      </w:r>
      <w:r w:rsidRPr="00027B1E">
        <w:rPr>
          <w:rStyle w:val="FootnoteReference"/>
        </w:rPr>
        <w:footnoteRef/>
      </w:r>
      <w:r w:rsidRPr="00027B1E">
        <w:rPr>
          <w:rFonts w:hint="cs"/>
          <w:rtl/>
          <w:lang w:val="fr-CH"/>
        </w:rPr>
        <w:t>.</w:t>
      </w:r>
    </w:p>
  </w:footnote>
  <w:footnote w:id="105">
    <w:p w:rsidR="000C66C6" w:rsidRPr="00ED2A60" w:rsidRDefault="000C66C6" w:rsidP="00103F88">
      <w:pPr>
        <w:pStyle w:val="FootnoteText"/>
        <w:rPr>
          <w:szCs w:val="18"/>
          <w:lang w:val="fr-FR"/>
        </w:rPr>
      </w:pPr>
      <w:r w:rsidRPr="00ED2A60">
        <w:rPr>
          <w:szCs w:val="18"/>
          <w:lang w:val="fr-FR"/>
        </w:rPr>
        <w:t xml:space="preserve">S.H.M. Butchart et al. (2010). </w:t>
      </w:r>
      <w:r w:rsidRPr="00ED2A60">
        <w:rPr>
          <w:i/>
          <w:iCs/>
          <w:szCs w:val="18"/>
          <w:lang w:val="fr-FR"/>
        </w:rPr>
        <w:t xml:space="preserve">Science </w:t>
      </w:r>
      <w:r w:rsidRPr="00ED2A60">
        <w:rPr>
          <w:szCs w:val="18"/>
          <w:lang w:val="fr-FR"/>
        </w:rPr>
        <w:t xml:space="preserve">328, 1164–1168  </w:t>
      </w:r>
      <w:r w:rsidRPr="00ED2A60">
        <w:rPr>
          <w:rStyle w:val="FootnoteReference"/>
          <w:szCs w:val="18"/>
        </w:rPr>
        <w:footnoteRef/>
      </w:r>
      <w:r w:rsidRPr="00ED2A60">
        <w:rPr>
          <w:rFonts w:hint="cs"/>
          <w:szCs w:val="18"/>
          <w:rtl/>
          <w:lang w:val="fr-FR"/>
        </w:rPr>
        <w:t>.</w:t>
      </w:r>
    </w:p>
  </w:footnote>
  <w:footnote w:id="106">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D21AB0">
        <w:rPr>
          <w:rFonts w:hint="cs"/>
          <w:rtl/>
        </w:rPr>
        <w:t>مسببات الأمراض الحيوانية المصدر مثل فيروس إيبولا وفيروس ماربورغ وجدري القردة.</w:t>
      </w:r>
    </w:p>
  </w:footnote>
  <w:footnote w:id="107">
    <w:p w:rsidR="000C66C6" w:rsidRPr="00027B1E" w:rsidRDefault="000C66C6" w:rsidP="00103F88">
      <w:pPr>
        <w:pStyle w:val="FootnoteText"/>
        <w:rPr>
          <w:lang w:val="fr-FR"/>
        </w:rPr>
      </w:pPr>
      <w:r w:rsidRPr="00027B1E">
        <w:rPr>
          <w:rStyle w:val="FootnoteReference"/>
        </w:rPr>
        <w:footnoteRef/>
      </w:r>
      <w:r>
        <w:rPr>
          <w:rFonts w:hint="cs"/>
          <w:rtl/>
        </w:rPr>
        <w:t xml:space="preserve"> </w:t>
      </w:r>
      <w:r w:rsidRPr="00D21AB0">
        <w:rPr>
          <w:rFonts w:hint="cs"/>
          <w:rtl/>
        </w:rPr>
        <w:t xml:space="preserve">استنادا إلى نطاق العمل الذي أجري في مجال لحوم الطرائد (أو "اللحوم البرية") وفقا للمقررات السابقة بخصوص برنامج عمل الاتفاقية بشأن التنوع البيولوجي للغابات، ينصب تركيز هذا التقرير على الحيوانات البرية في الغابات المدارية وشبه المدارية المستخدمة لغرض الغذاء. وتستبعد الإرشادات الحالية التركيز على الأغراض بخلاف الغذاء، بما في ذلك الاستخدامات الطبية. وتقدم وثيقة المعلومات </w:t>
      </w:r>
      <w:hyperlink r:id="rId54" w:history="1">
        <w:r w:rsidRPr="00D21AB0">
          <w:rPr>
            <w:rStyle w:val="Hyperlink"/>
            <w:color w:val="auto"/>
            <w:u w:val="none"/>
            <w:lang w:val="fr-FR"/>
          </w:rPr>
          <w:t>UNEP/CBD/SBSTTA/20/INF/46</w:t>
        </w:r>
      </w:hyperlink>
      <w:r w:rsidRPr="00D21AB0">
        <w:rPr>
          <w:rFonts w:hint="cs"/>
          <w:rtl/>
        </w:rPr>
        <w:t xml:space="preserve"> تحليلا أوسع نطاقا عن الثدييات الأرضية غير المدجنة، والطيور، والزواحف والبرمائيات التي يتم صيدها لغرض الغذاء أو لأغراض أخرى.</w:t>
      </w:r>
    </w:p>
  </w:footnote>
  <w:footnote w:id="108">
    <w:p w:rsidR="000C66C6" w:rsidRPr="00027B1E" w:rsidRDefault="000C66C6" w:rsidP="00103F88">
      <w:pPr>
        <w:pStyle w:val="FootnoteText"/>
        <w:rPr>
          <w:lang w:val="fr-FR"/>
        </w:rPr>
      </w:pPr>
      <w:r w:rsidRPr="00027B1E">
        <w:rPr>
          <w:rStyle w:val="FootnoteReference"/>
        </w:rPr>
        <w:footnoteRef/>
      </w:r>
      <w:r>
        <w:rPr>
          <w:rFonts w:hint="cs"/>
          <w:rtl/>
        </w:rPr>
        <w:t xml:space="preserve"> </w:t>
      </w:r>
      <w:r w:rsidRPr="00D21AB0">
        <w:rPr>
          <w:rFonts w:hint="cs"/>
          <w:rtl/>
        </w:rPr>
        <w:t xml:space="preserve">يرمي الهدف 4 من أهداف أيشي للتنوع البيولوجي إلى اتخاذ خطوات، بحلول عام 2020، لتنفيذ </w:t>
      </w:r>
      <w:r w:rsidRPr="00D21AB0">
        <w:rPr>
          <w:rtl/>
        </w:rPr>
        <w:t xml:space="preserve">خطط </w:t>
      </w:r>
      <w:r w:rsidRPr="00D21AB0">
        <w:rPr>
          <w:rFonts w:hint="cs"/>
          <w:rtl/>
        </w:rPr>
        <w:t xml:space="preserve">أو قد نفذت خططا من أجل تحقيق الإنتاج والاستهلاك المستدامين والسيطرة على تأثيرات استخدام </w:t>
      </w:r>
      <w:r w:rsidRPr="00D21AB0">
        <w:rPr>
          <w:rtl/>
        </w:rPr>
        <w:t xml:space="preserve">الموارد </w:t>
      </w:r>
      <w:r w:rsidRPr="00D21AB0">
        <w:rPr>
          <w:rFonts w:hint="cs"/>
          <w:rtl/>
        </w:rPr>
        <w:t>الطبيعية فينطاق ال</w:t>
      </w:r>
      <w:r w:rsidRPr="00D21AB0">
        <w:rPr>
          <w:rtl/>
        </w:rPr>
        <w:t xml:space="preserve">حدود </w:t>
      </w:r>
      <w:r w:rsidRPr="00D21AB0">
        <w:rPr>
          <w:rFonts w:hint="cs"/>
          <w:rtl/>
        </w:rPr>
        <w:t>الإيكولوجية المأمونة. ويدعو الهدف 7 إلى إدارة</w:t>
      </w:r>
      <w:r w:rsidRPr="00D21AB0">
        <w:rPr>
          <w:rtl/>
        </w:rPr>
        <w:t xml:space="preserve"> مناطق الزراعة وتربية </w:t>
      </w:r>
      <w:r w:rsidRPr="00D21AB0">
        <w:rPr>
          <w:rFonts w:hint="cs"/>
          <w:rtl/>
        </w:rPr>
        <w:t>الأحياء المائية</w:t>
      </w:r>
      <w:r w:rsidRPr="00D21AB0">
        <w:rPr>
          <w:rtl/>
        </w:rPr>
        <w:t xml:space="preserve"> والحراجة </w:t>
      </w:r>
      <w:r w:rsidRPr="00D21AB0">
        <w:rPr>
          <w:rFonts w:hint="cs"/>
          <w:rtl/>
        </w:rPr>
        <w:t xml:space="preserve">على نحو مستدام، لضمان حفظ التنوع البيولوجي، وذلك بحلول عام 2020. وفي النهاية، يرمي الهدف 12 إلى منع </w:t>
      </w:r>
      <w:r w:rsidRPr="00D21AB0">
        <w:rPr>
          <w:rtl/>
        </w:rPr>
        <w:t>انقراض الأنواع المعروفةالم</w:t>
      </w:r>
      <w:r w:rsidRPr="00D21AB0">
        <w:rPr>
          <w:rFonts w:hint="cs"/>
          <w:rtl/>
        </w:rPr>
        <w:t>هددة بالانقراض، بحلول عام 2020، وتحسين وإدامة حالة حفظها، ولا سيما بالنسبة للأنواع الأكثر تدهورا</w:t>
      </w:r>
      <w:r w:rsidRPr="00D21AB0">
        <w:rPr>
          <w:rtl/>
        </w:rPr>
        <w:t>.</w:t>
      </w:r>
    </w:p>
  </w:footnote>
  <w:footnote w:id="109">
    <w:p w:rsidR="000C66C6" w:rsidRPr="00027B1E" w:rsidRDefault="000C66C6" w:rsidP="00103F88">
      <w:pPr>
        <w:pStyle w:val="FootnoteText"/>
        <w:rPr>
          <w:lang w:val="fr-FR"/>
        </w:rPr>
      </w:pPr>
      <w:r>
        <w:rPr>
          <w:lang w:val="fr-FR"/>
        </w:rPr>
        <w:t xml:space="preserve"> </w:t>
      </w:r>
      <w:r w:rsidRPr="00027B1E">
        <w:rPr>
          <w:rStyle w:val="FootnoteReference"/>
        </w:rPr>
        <w:footnoteRef/>
      </w:r>
      <w:r w:rsidRPr="00D21AB0">
        <w:rPr>
          <w:rFonts w:hint="cs"/>
          <w:rtl/>
        </w:rPr>
        <w:t>خصوصا المادة 10 (</w:t>
      </w:r>
      <w:hyperlink r:id="rId55" w:history="1">
        <w:r w:rsidRPr="00D21AB0">
          <w:rPr>
            <w:rStyle w:val="Hyperlink"/>
            <w:rFonts w:hint="cs"/>
            <w:color w:val="auto"/>
            <w:u w:val="none"/>
            <w:rtl/>
          </w:rPr>
          <w:t>الاستخدام القابل للاستمرار لعناصر التنوع البيولوجي</w:t>
        </w:r>
      </w:hyperlink>
      <w:r w:rsidRPr="00D21AB0">
        <w:rPr>
          <w:rFonts w:hint="cs"/>
          <w:rtl/>
        </w:rPr>
        <w:t xml:space="preserve">)، التي تقتضى أن تقوم الأطراف قدر الإمكان وحسب الاقتضاء بما يلي: (أ) </w:t>
      </w:r>
      <w:r w:rsidRPr="00D21AB0">
        <w:rPr>
          <w:rtl/>
        </w:rPr>
        <w:t xml:space="preserve">إدماج النظر </w:t>
      </w:r>
      <w:r w:rsidRPr="00D21AB0">
        <w:rPr>
          <w:rFonts w:hint="cs"/>
          <w:rtl/>
        </w:rPr>
        <w:t>في</w:t>
      </w:r>
      <w:r w:rsidRPr="00D21AB0">
        <w:rPr>
          <w:rtl/>
        </w:rPr>
        <w:t xml:space="preserve"> صيانة التنوع البيولوجي واستخدامه على نحو قابل للاستمرار في عملية صنع القرارات الوطنية</w:t>
      </w:r>
      <w:r w:rsidRPr="00D21AB0">
        <w:rPr>
          <w:rFonts w:hint="cs"/>
          <w:rtl/>
        </w:rPr>
        <w:t>؛ (</w:t>
      </w:r>
      <w:r w:rsidRPr="00D21AB0">
        <w:rPr>
          <w:rtl/>
        </w:rPr>
        <w:t>‌ب</w:t>
      </w:r>
      <w:r w:rsidRPr="00D21AB0">
        <w:rPr>
          <w:rFonts w:hint="cs"/>
          <w:rtl/>
        </w:rPr>
        <w:t>) </w:t>
      </w:r>
      <w:r w:rsidRPr="00D21AB0">
        <w:rPr>
          <w:rtl/>
        </w:rPr>
        <w:t xml:space="preserve">اتخاذ تدابير تتعلق باستخدام الموارد البيولوجية بغية تفادي الآثار المعاكسة </w:t>
      </w:r>
      <w:r w:rsidRPr="00D21AB0">
        <w:rPr>
          <w:rFonts w:hint="cs"/>
          <w:rtl/>
        </w:rPr>
        <w:t>على</w:t>
      </w:r>
      <w:r w:rsidRPr="00D21AB0">
        <w:rPr>
          <w:rtl/>
        </w:rPr>
        <w:t xml:space="preserve"> التنوع البيولوجي أو التقليل منها </w:t>
      </w:r>
      <w:r w:rsidRPr="00D21AB0">
        <w:rPr>
          <w:rFonts w:hint="cs"/>
          <w:rtl/>
        </w:rPr>
        <w:t>إلىأ</w:t>
      </w:r>
      <w:r w:rsidRPr="00D21AB0">
        <w:rPr>
          <w:rtl/>
        </w:rPr>
        <w:t>دنى حد ممكن</w:t>
      </w:r>
      <w:r w:rsidRPr="00D21AB0">
        <w:rPr>
          <w:rFonts w:hint="cs"/>
          <w:rtl/>
        </w:rPr>
        <w:t>؛ (ج) </w:t>
      </w:r>
      <w:r w:rsidRPr="00D21AB0">
        <w:rPr>
          <w:rtl/>
        </w:rPr>
        <w:t>حماية وتشجيع الاستخدام المألوف للموارد البيولوجية طبقا للممارسات الثقافية التقليدية المتوافقة مع متطلبات الصيانة أو الاستخدام القابل للاستمرار</w:t>
      </w:r>
      <w:r w:rsidRPr="00D21AB0">
        <w:rPr>
          <w:rFonts w:hint="cs"/>
          <w:rtl/>
        </w:rPr>
        <w:t>؛ (د)</w:t>
      </w:r>
      <w:r w:rsidRPr="00D21AB0">
        <w:rPr>
          <w:rtl/>
        </w:rPr>
        <w:t xml:space="preserve"> تقديم المساعدة للسكان المحليين من </w:t>
      </w:r>
      <w:r w:rsidRPr="00D21AB0">
        <w:rPr>
          <w:rFonts w:hint="cs"/>
          <w:rtl/>
        </w:rPr>
        <w:t>أ</w:t>
      </w:r>
      <w:r w:rsidRPr="00D21AB0">
        <w:rPr>
          <w:rtl/>
        </w:rPr>
        <w:t>جل و</w:t>
      </w:r>
      <w:r w:rsidRPr="00D21AB0">
        <w:rPr>
          <w:rFonts w:hint="cs"/>
          <w:rtl/>
        </w:rPr>
        <w:t>ضع</w:t>
      </w:r>
      <w:r w:rsidRPr="00D21AB0">
        <w:rPr>
          <w:rtl/>
        </w:rPr>
        <w:t xml:space="preserve"> وتنفيذ </w:t>
      </w:r>
      <w:r w:rsidRPr="00D21AB0">
        <w:rPr>
          <w:rFonts w:hint="cs"/>
          <w:rtl/>
        </w:rPr>
        <w:t>إجراءات</w:t>
      </w:r>
      <w:r w:rsidRPr="00D21AB0">
        <w:rPr>
          <w:rtl/>
        </w:rPr>
        <w:t xml:space="preserve"> علاجية في المناطق المتدهورة التي انخفض فيها التنوع البيولوجي</w:t>
      </w:r>
      <w:r w:rsidRPr="00D21AB0">
        <w:rPr>
          <w:rFonts w:hint="cs"/>
          <w:rtl/>
        </w:rPr>
        <w:t>؛ (ﻫ) و</w:t>
      </w:r>
      <w:r w:rsidRPr="00D21AB0">
        <w:rPr>
          <w:rtl/>
        </w:rPr>
        <w:t>تشجيع التعاون بين سلطاتها الحكومية وقطاعها الخاص لاستحداث طرائق للاستخدام القابل للاستمرار للموارد البيولوجية.</w:t>
      </w:r>
    </w:p>
  </w:footnote>
  <w:footnote w:id="110">
    <w:p w:rsidR="000C66C6" w:rsidRPr="00477B14" w:rsidRDefault="000C66C6" w:rsidP="00103F88">
      <w:pPr>
        <w:pStyle w:val="FootnoteText"/>
        <w:rPr>
          <w:lang w:val="fr-FR"/>
        </w:rPr>
      </w:pPr>
      <w:r>
        <w:rPr>
          <w:lang w:val="fr-FR"/>
        </w:rPr>
        <w:t xml:space="preserve"> </w:t>
      </w:r>
      <w:r w:rsidRPr="00027B1E">
        <w:rPr>
          <w:rStyle w:val="FootnoteReference"/>
        </w:rPr>
        <w:footnoteRef/>
      </w:r>
      <w:hyperlink r:id="rId56" w:history="1">
        <w:r w:rsidRPr="00D21AB0">
          <w:rPr>
            <w:rStyle w:val="Hyperlink"/>
            <w:rFonts w:hint="cs"/>
            <w:color w:val="auto"/>
            <w:u w:val="none"/>
            <w:rtl/>
          </w:rPr>
          <w:t>قرار الجمعية العامة للأمم المتحدة 70/1</w:t>
        </w:r>
      </w:hyperlink>
      <w:r w:rsidRPr="00D21AB0">
        <w:rPr>
          <w:rFonts w:hint="cs"/>
          <w:rtl/>
        </w:rPr>
        <w:t xml:space="preserve"> المؤرخ 25 سبتمبر/أيلول 2015 بعنوان" تحويل عالمنا: خطة التنمية المستدامة لعام 2030".</w:t>
      </w:r>
    </w:p>
  </w:footnote>
  <w:footnote w:id="111">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D21AB0">
        <w:rPr>
          <w:rFonts w:hint="cs"/>
          <w:rtl/>
        </w:rPr>
        <w:t>ينبغي ترسيم مناطق استخدام الأراضي: (أ) المناطق الذي يحرم فيها الصيد للسماح بإنعاش الأعداد وحماية الموائل غير المضطربة للأنواع ذات الحساسية الشديدة للتدخلات البشرية؛ (ب) المناطق التي يسمح فيها ببعض الصيد من خلال تراخيص، وتصاريح وخلافه؛ (ج) المناطق التي يقيد فيها الصيد بدرجة أقل، باستثناء الأنواع المحمية.</w:t>
      </w:r>
    </w:p>
  </w:footnote>
  <w:footnote w:id="112">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103F88">
        <w:rPr>
          <w:rFonts w:hint="cs"/>
          <w:rtl/>
        </w:rPr>
        <w:t xml:space="preserve">قد تكون </w:t>
      </w:r>
      <w:hyperlink r:id="rId57" w:history="1">
        <w:r w:rsidRPr="00103F88">
          <w:rPr>
            <w:rStyle w:val="Hyperlink"/>
            <w:rFonts w:hint="cs"/>
            <w:color w:val="auto"/>
            <w:u w:val="none"/>
            <w:rtl/>
          </w:rPr>
          <w:t>المبادئ التوجيهية رقم 20 لأفضل الممارسات الصادرة عن للاتحاد الدولي لحفظ الطبيعة</w:t>
        </w:r>
      </w:hyperlink>
      <w:r w:rsidRPr="00103F88">
        <w:rPr>
          <w:rFonts w:hint="cs"/>
          <w:rtl/>
        </w:rPr>
        <w:t xml:space="preserve"> مفيدة في هذا الصدد، </w:t>
      </w:r>
      <w:hyperlink r:id="rId58" w:history="1">
        <w:r w:rsidRPr="00477B14">
          <w:rPr>
            <w:rFonts w:eastAsia="Batang"/>
            <w:lang w:val="fr-FR" w:eastAsia="ja-JP" w:bidi="th-TH"/>
          </w:rPr>
          <w:t>https://www.iccaconsortium.org/index.php/2015/08/08/governance-for-the-conservation-of-nature/</w:t>
        </w:r>
      </w:hyperlink>
      <w:r w:rsidRPr="00103F88">
        <w:rPr>
          <w:rFonts w:hint="cs"/>
          <w:rtl/>
        </w:rPr>
        <w:t>.</w:t>
      </w:r>
    </w:p>
  </w:footnote>
  <w:footnote w:id="113">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D21AB0">
        <w:rPr>
          <w:rFonts w:hint="cs"/>
          <w:rtl/>
        </w:rPr>
        <w:t xml:space="preserve">هناك مقررات صادرة عن اتفاقية التنوع البيولوجي بشأن "الأقاليم والمناطق التي تحفظها الشعوب الأصلية والمجتمعات" (تعرف أيضا باسم الأقاليم والمناطق التي تقوم الشعوب الأصلية والمجتمعات المحلية بحفظها). انظر </w:t>
      </w:r>
      <w:hyperlink r:id="rId59" w:history="1">
        <w:r w:rsidRPr="00477B14">
          <w:rPr>
            <w:rStyle w:val="Hyperlink"/>
            <w:color w:val="auto"/>
            <w:u w:val="none"/>
            <w:lang w:val="fr-FR"/>
          </w:rPr>
          <w:t>https://www.iccaconsortium.org/index.php/international-en/conservation-en/</w:t>
        </w:r>
      </w:hyperlink>
    </w:p>
  </w:footnote>
  <w:footnote w:id="114">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103F88">
        <w:rPr>
          <w:rFonts w:hint="cs"/>
          <w:rtl/>
        </w:rPr>
        <w:t>المقرر 7/28، الفقرة 22: "يذكر بالتزامات الأطراف نحو مجتمعات السكان الأصليين والمحليين وفقا للمادة 8(ي) وما يتصل بها من أحكام، ويلاحظ أن إنشاء وإدارة ورصد المناطق المحمية ينبغي أن يتم بمشاركة كاملة وفعالة من تلك المجتمعات وباحترام كامل لحقوقها بما يتمشى والقانون الوطني والالتزامات الدولية الواجبة التطبيق".</w:t>
      </w:r>
    </w:p>
  </w:footnote>
  <w:footnote w:id="115">
    <w:p w:rsidR="000C66C6" w:rsidRPr="00477B14" w:rsidRDefault="000C66C6" w:rsidP="00103F88">
      <w:pPr>
        <w:pStyle w:val="FootnoteText"/>
        <w:rPr>
          <w:lang w:val="fr-FR"/>
        </w:rPr>
      </w:pPr>
      <w:r w:rsidRPr="00027B1E">
        <w:rPr>
          <w:rStyle w:val="FootnoteReference"/>
        </w:rPr>
        <w:footnoteRef/>
      </w:r>
      <w:r w:rsidRPr="008E26A6">
        <w:rPr>
          <w:rFonts w:hint="cs"/>
          <w:rtl/>
        </w:rPr>
        <w:t xml:space="preserve"> </w:t>
      </w:r>
      <w:r w:rsidRPr="00103F88">
        <w:rPr>
          <w:rFonts w:hint="cs"/>
          <w:rtl/>
        </w:rPr>
        <w:t xml:space="preserve">مثل برنامج اعتماد الشهادات الحرجية </w:t>
      </w:r>
      <w:r w:rsidRPr="00477B14">
        <w:rPr>
          <w:lang w:val="fr-FR"/>
        </w:rPr>
        <w:t>(PEFC)</w:t>
      </w:r>
      <w:r w:rsidRPr="00103F88">
        <w:rPr>
          <w:rFonts w:hint="cs"/>
          <w:rtl/>
        </w:rPr>
        <w:t xml:space="preserve"> ومجلس رعاية الغابات </w:t>
      </w:r>
      <w:r w:rsidRPr="00477B14">
        <w:rPr>
          <w:lang w:val="fr-FR"/>
        </w:rPr>
        <w:t>(FSC)</w:t>
      </w:r>
      <w:r w:rsidRPr="00103F88">
        <w:rPr>
          <w:rFonts w:hint="cs"/>
          <w:rtl/>
        </w:rPr>
        <w:t>.</w:t>
      </w:r>
    </w:p>
  </w:footnote>
  <w:footnote w:id="116">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103F88">
        <w:rPr>
          <w:rFonts w:hint="cs"/>
          <w:rtl/>
        </w:rPr>
        <w:t>قد يكون السعر الفعلي أو سعر الظل (أي السعر المقدر لسلعة أو خدمة ما غير متاح بشأنها سعر سوقي).</w:t>
      </w:r>
    </w:p>
  </w:footnote>
  <w:footnote w:id="117">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103F88">
        <w:rPr>
          <w:rFonts w:hint="cs"/>
          <w:rtl/>
        </w:rPr>
        <w:t>سيتطلب ذلك تحسينات كبيرة في رصد المشروع والإبلاغ. وينبغي أن يكون إعداد وتطبيق الأطر المناسبة للرصد والتقييم شرطا من شروط تمويل المشاريع عن طريق الجهات المانحة أو من الحكومة.</w:t>
      </w:r>
    </w:p>
  </w:footnote>
  <w:footnote w:id="118">
    <w:p w:rsidR="000C66C6" w:rsidRPr="00477B14" w:rsidRDefault="000C66C6" w:rsidP="00103F88">
      <w:pPr>
        <w:pStyle w:val="FootnoteText"/>
        <w:rPr>
          <w:lang w:val="fr-FR"/>
        </w:rPr>
      </w:pPr>
      <w:r w:rsidRPr="00027B1E">
        <w:rPr>
          <w:rStyle w:val="FootnoteReference"/>
        </w:rPr>
        <w:footnoteRef/>
      </w:r>
      <w:r>
        <w:rPr>
          <w:rFonts w:hint="cs"/>
          <w:rtl/>
        </w:rPr>
        <w:t xml:space="preserve"> </w:t>
      </w:r>
      <w:r w:rsidRPr="00103F88">
        <w:rPr>
          <w:rFonts w:hint="cs"/>
          <w:rtl/>
        </w:rPr>
        <w:t xml:space="preserve">على سبيل المثال، اتفاقية التنوع البيولوجي، واتفاقية التجارة الدولية بأنواع الحيوانات والنباتات البرية المهددة بالانقراض </w:t>
      </w:r>
      <w:r w:rsidRPr="00477B14">
        <w:rPr>
          <w:lang w:val="fr-FR"/>
        </w:rPr>
        <w:t>(CITES)</w:t>
      </w:r>
      <w:r w:rsidRPr="00103F88">
        <w:rPr>
          <w:rFonts w:hint="cs"/>
          <w:rtl/>
        </w:rPr>
        <w:t xml:space="preserve">، واتفاقية المحافظة على الأنواع المهاجرة من الحيوانات الفطرية </w:t>
      </w:r>
      <w:r w:rsidRPr="00477B14">
        <w:rPr>
          <w:lang w:val="fr-FR"/>
        </w:rPr>
        <w:t>(CMS)</w:t>
      </w:r>
      <w:r w:rsidRPr="00103F88">
        <w:rPr>
          <w:rFonts w:hint="cs"/>
          <w:rtl/>
        </w:rPr>
        <w:t>.</w:t>
      </w:r>
    </w:p>
  </w:footnote>
  <w:footnote w:id="119">
    <w:p w:rsidR="000C66C6" w:rsidRPr="00477B14" w:rsidRDefault="000C66C6" w:rsidP="00103F88">
      <w:pPr>
        <w:pStyle w:val="FootnoteText"/>
        <w:rPr>
          <w:lang w:val="fr-FR"/>
        </w:rPr>
      </w:pPr>
      <w:r w:rsidRPr="00027B1E">
        <w:rPr>
          <w:rStyle w:val="FootnoteReference"/>
        </w:rPr>
        <w:footnoteRef/>
      </w:r>
      <w:hyperlink r:id="rId60" w:history="1">
        <w:r w:rsidRPr="00103F88">
          <w:rPr>
            <w:rStyle w:val="Hyperlink"/>
            <w:rFonts w:hint="cs"/>
            <w:color w:val="auto"/>
            <w:u w:val="none"/>
            <w:rtl/>
          </w:rPr>
          <w:t xml:space="preserve"> مؤتمر الأطراف السابع عشر في اتفاقية </w:t>
        </w:r>
        <w:r w:rsidRPr="00103F88">
          <w:rPr>
            <w:rFonts w:hint="cs"/>
            <w:rtl/>
          </w:rPr>
          <w:t>التجارة الدولية بأنواع الحيوانات والنباتات البرية المهددة بالانقراض ،</w:t>
        </w:r>
        <w:r w:rsidRPr="00103F88">
          <w:rPr>
            <w:rStyle w:val="Hyperlink"/>
            <w:rFonts w:hint="cs"/>
            <w:color w:val="auto"/>
            <w:u w:val="none"/>
            <w:rtl/>
          </w:rPr>
          <w:t xml:space="preserve"> </w:t>
        </w:r>
        <w:r w:rsidRPr="00477B14">
          <w:rPr>
            <w:rStyle w:val="Hyperlink"/>
            <w:color w:val="auto"/>
            <w:u w:val="none"/>
            <w:lang w:val="fr-FR"/>
          </w:rPr>
          <w:t>CITES(Conf. 13.11)</w:t>
        </w:r>
      </w:hyperlink>
      <w:r w:rsidRPr="00103F88">
        <w:rPr>
          <w:rFonts w:hint="cs"/>
          <w:rtl/>
        </w:rPr>
        <w:t>،</w:t>
      </w:r>
      <w:r w:rsidRPr="00477B14">
        <w:rPr>
          <w:lang w:val="fr-FR"/>
        </w:rPr>
        <w:t xml:space="preserve"> </w:t>
      </w:r>
      <w:hyperlink r:id="rId61" w:history="1">
        <w:r w:rsidRPr="00103F88">
          <w:rPr>
            <w:rStyle w:val="Hyperlink"/>
            <w:rFonts w:hint="cs"/>
            <w:color w:val="auto"/>
            <w:u w:val="none"/>
            <w:rtl/>
          </w:rPr>
          <w:t>والمقرر 11/25</w:t>
        </w:r>
      </w:hyperlink>
      <w:r w:rsidRPr="00103F88">
        <w:rPr>
          <w:rFonts w:hint="cs"/>
          <w:rtl/>
        </w:rPr>
        <w:t xml:space="preserve"> الصادر عن مؤتمر الأطراف في اتفاقية التنوع البيولوجي.</w:t>
      </w:r>
    </w:p>
  </w:footnote>
  <w:footnote w:id="120">
    <w:p w:rsidR="000C66C6" w:rsidRDefault="000C66C6" w:rsidP="003607CA">
      <w:pPr>
        <w:pStyle w:val="FootnoteText"/>
        <w:rPr>
          <w:rtl/>
        </w:rPr>
      </w:pPr>
      <w:r>
        <w:rPr>
          <w:rStyle w:val="FootnoteReference"/>
        </w:rPr>
        <w:footnoteRef/>
      </w:r>
      <w:r>
        <w:rPr>
          <w:rtl/>
        </w:rPr>
        <w:t xml:space="preserve"> </w:t>
      </w:r>
      <w:r w:rsidRPr="00B42CBF">
        <w:rPr>
          <w:rFonts w:hint="cs"/>
          <w:rtl/>
        </w:rPr>
        <w:t>حسب التعريف الوارد في المادة 2 من اتفاقية التنوع البيولوجي وبما يتماشى مع أحكام الاتفاقية.</w:t>
      </w:r>
    </w:p>
  </w:footnote>
  <w:footnote w:id="121">
    <w:p w:rsidR="000C66C6" w:rsidRDefault="000C66C6" w:rsidP="003607CA">
      <w:pPr>
        <w:pStyle w:val="FootnoteText"/>
        <w:rPr>
          <w:rtl/>
        </w:rPr>
      </w:pPr>
      <w:r>
        <w:rPr>
          <w:rStyle w:val="FootnoteReference"/>
        </w:rPr>
        <w:footnoteRef/>
      </w:r>
      <w:r>
        <w:rPr>
          <w:rtl/>
        </w:rPr>
        <w:t xml:space="preserve"> </w:t>
      </w:r>
      <w:r w:rsidRPr="00B42CBF">
        <w:rPr>
          <w:rtl/>
        </w:rPr>
        <w:t>تقرير المقررة الخاصة لمجلس حقوق الإنسان المعنية بحقوق الشعوب الأصلية</w:t>
      </w:r>
      <w:r w:rsidRPr="00B42CBF">
        <w:rPr>
          <w:rFonts w:hint="cs"/>
          <w:rtl/>
        </w:rPr>
        <w:t xml:space="preserve">. فيكتوريا تاولي- كوربوز </w:t>
      </w:r>
      <w:r w:rsidRPr="00B42CBF">
        <w:rPr>
          <w:lang w:val="en-GB"/>
        </w:rPr>
        <w:t>(</w:t>
      </w:r>
      <w:hyperlink r:id="rId62" w:history="1">
        <w:r w:rsidRPr="00B42CBF">
          <w:rPr>
            <w:rStyle w:val="Hyperlink"/>
            <w:lang w:val="en-GB"/>
          </w:rPr>
          <w:t>A/71/229</w:t>
        </w:r>
      </w:hyperlink>
      <w:r w:rsidRPr="00B42CBF">
        <w:rPr>
          <w:lang w:val="en-GB"/>
        </w:rPr>
        <w:t>)</w:t>
      </w:r>
      <w:r w:rsidRPr="00B42CBF">
        <w:rPr>
          <w:rFonts w:hint="cs"/>
          <w:rtl/>
        </w:rPr>
        <w:t>.</w:t>
      </w:r>
    </w:p>
  </w:footnote>
  <w:footnote w:id="122">
    <w:p w:rsidR="000C66C6" w:rsidRDefault="000C66C6" w:rsidP="003607CA">
      <w:pPr>
        <w:pStyle w:val="FootnoteText"/>
        <w:rPr>
          <w:rtl/>
        </w:rPr>
      </w:pPr>
      <w:r>
        <w:rPr>
          <w:rStyle w:val="FootnoteReference"/>
        </w:rPr>
        <w:footnoteRef/>
      </w:r>
      <w:r>
        <w:rPr>
          <w:rtl/>
        </w:rPr>
        <w:t xml:space="preserve"> </w:t>
      </w:r>
      <w:r w:rsidRPr="00B42CBF">
        <w:rPr>
          <w:rFonts w:hint="cs"/>
          <w:rtl/>
        </w:rPr>
        <w:t xml:space="preserve">تقرير المقرر الخاص لمجلس حقوق الإنسان المعني بالتزامات حقوق الإنسان المتعلقة بالبيئة، للتمتع ببيئة آمنة ونظيفة وصحية ومستدامة، جون نوكس </w:t>
      </w:r>
      <w:r w:rsidRPr="00B42CBF">
        <w:rPr>
          <w:lang w:val="en-GB"/>
        </w:rPr>
        <w:t>(</w:t>
      </w:r>
      <w:hyperlink r:id="rId63" w:history="1">
        <w:r w:rsidRPr="00B42CBF">
          <w:rPr>
            <w:rStyle w:val="Hyperlink"/>
            <w:lang w:val="en-GB"/>
          </w:rPr>
          <w:t>A/HRC/34/49</w:t>
        </w:r>
      </w:hyperlink>
      <w:r w:rsidRPr="00B42CBF">
        <w:rPr>
          <w:lang w:val="en-GB"/>
        </w:rPr>
        <w:t>)</w:t>
      </w:r>
      <w:r w:rsidRPr="00B42CBF">
        <w:rPr>
          <w:rFonts w:hint="cs"/>
          <w:rtl/>
        </w:rPr>
        <w:t>.</w:t>
      </w:r>
    </w:p>
  </w:footnote>
  <w:footnote w:id="123">
    <w:p w:rsidR="000C66C6" w:rsidRPr="00477B14" w:rsidRDefault="000C66C6" w:rsidP="003607CA">
      <w:pPr>
        <w:pStyle w:val="FootnoteText"/>
        <w:rPr>
          <w:szCs w:val="18"/>
          <w:lang w:val="es-AR"/>
        </w:rPr>
      </w:pPr>
      <w:r>
        <w:rPr>
          <w:rStyle w:val="FootnoteReference"/>
        </w:rPr>
        <w:footnoteRef/>
      </w:r>
      <w:r>
        <w:rPr>
          <w:rtl/>
        </w:rPr>
        <w:t xml:space="preserve"> </w:t>
      </w:r>
      <w:r w:rsidRPr="00EB09EC">
        <w:rPr>
          <w:rFonts w:cs="Times New Roman"/>
          <w:snapToGrid w:val="0"/>
          <w:kern w:val="18"/>
          <w:szCs w:val="18"/>
        </w:rPr>
        <w:t xml:space="preserve">Hadded, N.M. et al. 2015. Habitat fragmentation and its lasting impact on Earth’s ecosystems. </w:t>
      </w:r>
      <w:r w:rsidRPr="00477B14">
        <w:rPr>
          <w:rFonts w:cs="Times New Roman"/>
          <w:snapToGrid w:val="0"/>
          <w:kern w:val="18"/>
          <w:szCs w:val="18"/>
          <w:lang w:val="es-AR"/>
        </w:rPr>
        <w:t>Science Advances: 1(2): e1500052, Mar 2015</w:t>
      </w:r>
      <w:r w:rsidRPr="00EB09EC">
        <w:rPr>
          <w:rFonts w:eastAsia="Times New Roman" w:cs="Times New Roman"/>
          <w:snapToGrid w:val="0"/>
          <w:kern w:val="18"/>
          <w:szCs w:val="18"/>
          <w:rtl/>
          <w:lang w:val="en-GB"/>
        </w:rPr>
        <w:t xml:space="preserve">. </w:t>
      </w:r>
      <w:r w:rsidRPr="00477B14">
        <w:rPr>
          <w:rFonts w:eastAsia="Times New Roman" w:cs="Times New Roman"/>
          <w:snapToGrid w:val="0"/>
          <w:color w:val="0000FF"/>
          <w:kern w:val="18"/>
          <w:szCs w:val="18"/>
          <w:u w:val="single"/>
          <w:lang w:val="es-AR"/>
        </w:rPr>
        <w:t>https://www.ncbi.nlm.nih.gov/pmc/articles/PMC4643828/</w:t>
      </w:r>
      <w:r w:rsidRPr="00EB09EC">
        <w:rPr>
          <w:rFonts w:cs="Times New Roman"/>
          <w:szCs w:val="18"/>
          <w:rtl/>
        </w:rPr>
        <w:t>.</w:t>
      </w:r>
    </w:p>
  </w:footnote>
  <w:footnote w:id="124">
    <w:p w:rsidR="000C66C6" w:rsidRPr="00EB09EC" w:rsidRDefault="000C66C6" w:rsidP="003607CA">
      <w:pPr>
        <w:pStyle w:val="FootnoteText"/>
        <w:rPr>
          <w:szCs w:val="18"/>
        </w:rPr>
      </w:pPr>
      <w:r w:rsidRPr="00F45379">
        <w:rPr>
          <w:rStyle w:val="FootnoteReference"/>
          <w:szCs w:val="18"/>
        </w:rPr>
        <w:footnoteRef/>
      </w:r>
      <w:r w:rsidRPr="00F45379">
        <w:rPr>
          <w:szCs w:val="18"/>
          <w:rtl/>
        </w:rPr>
        <w:t xml:space="preserve"> </w:t>
      </w:r>
      <w:r w:rsidRPr="00EB09EC">
        <w:rPr>
          <w:snapToGrid w:val="0"/>
          <w:kern w:val="18"/>
          <w:szCs w:val="18"/>
        </w:rPr>
        <w:t>Watson, J. et al. 2018. The exceptional value of intact forest ecosystems. Nature Ecology and Evolution 2, 599-610</w:t>
      </w:r>
      <w:r w:rsidRPr="00EB09EC">
        <w:rPr>
          <w:rFonts w:ascii="Simplified Arabic" w:eastAsia="Times New Roman" w:hAnsi="Simplified Arabic"/>
          <w:snapToGrid w:val="0"/>
          <w:kern w:val="18"/>
          <w:szCs w:val="18"/>
          <w:rtl/>
          <w:lang w:val="fr-CA"/>
        </w:rPr>
        <w:t>.</w:t>
      </w:r>
    </w:p>
  </w:footnote>
  <w:footnote w:id="125">
    <w:p w:rsidR="000C66C6" w:rsidRPr="00EB09EC" w:rsidRDefault="000C66C6" w:rsidP="003607CA">
      <w:pPr>
        <w:spacing w:after="0"/>
        <w:rPr>
          <w:snapToGrid w:val="0"/>
          <w:color w:val="272525"/>
          <w:kern w:val="18"/>
          <w:sz w:val="18"/>
          <w:szCs w:val="18"/>
        </w:rPr>
      </w:pPr>
      <w:r>
        <w:rPr>
          <w:rStyle w:val="FootnoteReference"/>
        </w:rPr>
        <w:footnoteRef/>
      </w:r>
      <w:r>
        <w:rPr>
          <w:rtl/>
        </w:rPr>
        <w:t xml:space="preserve"> </w:t>
      </w:r>
      <w:r w:rsidRPr="00EB09EC">
        <w:rPr>
          <w:snapToGrid w:val="0"/>
          <w:kern w:val="18"/>
          <w:sz w:val="18"/>
          <w:szCs w:val="18"/>
        </w:rPr>
        <w:t>Ervin, J., K. J. Mulongoy, K. Lawrence, E. Game, D. Sheppard, P. Bridgewater, G. Bennett, S.B. Gidda and P. Bos. 2010. Making Protected Areas Relevant: A guide to integrating protected areas into wider landscapes, seascapes and sectoral plans and strategies. CBD Technical Series No. 44. Montreal, Canada: Convention on Biological Diversity, 94 pp</w:t>
      </w:r>
      <w:r w:rsidRPr="00EB09EC">
        <w:rPr>
          <w:rFonts w:ascii="Simplified Arabic" w:hAnsi="Simplified Arabic"/>
          <w:snapToGrid w:val="0"/>
          <w:kern w:val="18"/>
          <w:sz w:val="18"/>
          <w:szCs w:val="18"/>
          <w:rtl/>
        </w:rPr>
        <w:t>.</w:t>
      </w:r>
    </w:p>
  </w:footnote>
  <w:footnote w:id="126">
    <w:p w:rsidR="000C66C6" w:rsidRPr="00F45379" w:rsidRDefault="000C66C6" w:rsidP="003607CA">
      <w:pPr>
        <w:pStyle w:val="FootnoteText"/>
        <w:rPr>
          <w:rFonts w:eastAsia="Times New Roman" w:cs="Times New Roman"/>
          <w:snapToGrid w:val="0"/>
          <w:kern w:val="18"/>
          <w:szCs w:val="18"/>
          <w:lang w:val="en-GB"/>
        </w:rPr>
      </w:pPr>
      <w:r>
        <w:rPr>
          <w:rStyle w:val="FootnoteReference"/>
        </w:rPr>
        <w:footnoteRef/>
      </w:r>
      <w:r>
        <w:rPr>
          <w:rtl/>
        </w:rPr>
        <w:t xml:space="preserve"> </w:t>
      </w:r>
      <w:r w:rsidRPr="00B42CBF">
        <w:rPr>
          <w:rFonts w:eastAsia="Times New Roman"/>
          <w:rtl/>
          <w:lang w:val="en-GB"/>
        </w:rPr>
        <w:t>انظر على سبيل المثال اتفاقية التنوع البيولوجي</w:t>
      </w:r>
      <w:r w:rsidRPr="00B42CBF">
        <w:rPr>
          <w:rFonts w:eastAsia="Times New Roman" w:hint="cs"/>
          <w:rtl/>
          <w:lang w:val="en-GB"/>
        </w:rPr>
        <w:t>.</w:t>
      </w:r>
      <w:r w:rsidRPr="00B42CBF">
        <w:rPr>
          <w:rFonts w:eastAsia="Times New Roman"/>
          <w:rtl/>
          <w:lang w:val="en-GB"/>
        </w:rPr>
        <w:t xml:space="preserve"> 2016. التنوع البيولوجي و</w:t>
      </w:r>
      <w:r w:rsidRPr="00B42CBF">
        <w:rPr>
          <w:rFonts w:eastAsia="Times New Roman" w:hint="cs"/>
          <w:rtl/>
          <w:lang w:val="en-GB"/>
        </w:rPr>
        <w:t>خطة</w:t>
      </w:r>
      <w:r w:rsidRPr="00B42CBF">
        <w:rPr>
          <w:rFonts w:eastAsia="Times New Roman"/>
          <w:rtl/>
          <w:lang w:val="en-GB"/>
        </w:rPr>
        <w:t xml:space="preserve"> عام 2030. مونتريال: أمانة اتفاقية التنوع البيولوجي. متاح على</w:t>
      </w:r>
      <w:r w:rsidRPr="00B42CBF">
        <w:rPr>
          <w:rFonts w:eastAsia="Times New Roman" w:hint="cs"/>
          <w:rtl/>
          <w:lang w:val="en-GB"/>
        </w:rPr>
        <w:t xml:space="preserve"> الموقع: </w:t>
      </w:r>
      <w:r w:rsidRPr="00B42CBF">
        <w:rPr>
          <w:rFonts w:eastAsia="Times New Roman"/>
          <w:color w:val="0000FF"/>
          <w:u w:val="single"/>
          <w:lang w:val="en-GB"/>
        </w:rPr>
        <w:t>https://www.cbd.int/development/doc/biodiversity-2030-agenda-policy-brief-en.pdf</w:t>
      </w:r>
      <w:r w:rsidRPr="00B42CBF">
        <w:rPr>
          <w:rFonts w:eastAsia="Times New Roman"/>
          <w:rtl/>
          <w:lang w:val="en-GB"/>
        </w:rPr>
        <w:t>.</w:t>
      </w:r>
      <w:r>
        <w:rPr>
          <w:rFonts w:eastAsia="Times New Roman" w:cs="Times New Roman" w:hint="cs"/>
          <w:snapToGrid w:val="0"/>
          <w:kern w:val="18"/>
          <w:szCs w:val="18"/>
          <w:rtl/>
          <w:lang w:val="en-GB"/>
        </w:rPr>
        <w:t xml:space="preserve"> </w:t>
      </w:r>
    </w:p>
  </w:footnote>
  <w:footnote w:id="127">
    <w:p w:rsidR="000C66C6" w:rsidRPr="00F45379" w:rsidRDefault="000C66C6" w:rsidP="003607CA">
      <w:pPr>
        <w:pStyle w:val="FootnoteText"/>
        <w:rPr>
          <w:szCs w:val="18"/>
        </w:rPr>
      </w:pPr>
      <w:r>
        <w:rPr>
          <w:rStyle w:val="FootnoteReference"/>
        </w:rPr>
        <w:footnoteRef/>
      </w:r>
      <w:r>
        <w:rPr>
          <w:rtl/>
        </w:rPr>
        <w:t xml:space="preserve"> </w:t>
      </w:r>
      <w:r w:rsidRPr="00B42CBF">
        <w:rPr>
          <w:rFonts w:eastAsia="Times New Roman"/>
          <w:rtl/>
          <w:lang w:val="en-GB"/>
        </w:rPr>
        <w:t>انظر على سبيل المثال: برنامج الأمم المتحدة الإنمائي. 2018. الطبيعة للمياه، والطبيعة للحياة: الحلول القائمة على الطبيعة لتحقيق الأهداف العالمية. نيويورك، برنامج الأمم المتحدة الإنمائي؛ متاح على الموقع</w:t>
      </w:r>
      <w:r w:rsidRPr="00B42CBF">
        <w:rPr>
          <w:rFonts w:eastAsia="Times New Roman" w:hint="cs"/>
          <w:rtl/>
          <w:lang w:val="en-GB"/>
        </w:rPr>
        <w:t xml:space="preserve">: </w:t>
      </w:r>
      <w:r w:rsidRPr="00B42CBF">
        <w:rPr>
          <w:rFonts w:eastAsia="Times New Roman"/>
          <w:color w:val="0000FF"/>
          <w:u w:val="single"/>
          <w:lang w:val="en-GB"/>
        </w:rPr>
        <w:t>www.natureforlife.world</w:t>
      </w:r>
      <w:r w:rsidRPr="00B42CBF">
        <w:rPr>
          <w:rFonts w:eastAsia="Times New Roman"/>
          <w:rtl/>
          <w:lang w:val="en-GB"/>
        </w:rPr>
        <w:t>.</w:t>
      </w:r>
    </w:p>
  </w:footnote>
  <w:footnote w:id="128">
    <w:p w:rsidR="000C66C6" w:rsidRPr="006D28C8" w:rsidRDefault="000C66C6" w:rsidP="003607CA">
      <w:pPr>
        <w:pStyle w:val="FootnoteText"/>
        <w:rPr>
          <w:rFonts w:eastAsia="Times New Roman" w:cs="Times New Roman"/>
          <w:snapToGrid w:val="0"/>
          <w:kern w:val="18"/>
          <w:szCs w:val="18"/>
          <w:rtl/>
          <w:lang w:val="fr-FR"/>
        </w:rPr>
      </w:pPr>
      <w:r>
        <w:rPr>
          <w:rStyle w:val="FootnoteReference"/>
        </w:rPr>
        <w:footnoteRef/>
      </w:r>
      <w:r>
        <w:rPr>
          <w:rFonts w:ascii="Simplified Arabic" w:eastAsia="Times New Roman" w:hAnsi="Simplified Arabic" w:hint="cs"/>
          <w:snapToGrid w:val="0"/>
          <w:kern w:val="18"/>
          <w:sz w:val="22"/>
          <w:rtl/>
          <w:lang w:val="en-GB"/>
        </w:rPr>
        <w:t xml:space="preserve"> </w:t>
      </w:r>
      <w:r w:rsidRPr="00B42CBF">
        <w:rPr>
          <w:rFonts w:eastAsia="Times New Roman"/>
          <w:rtl/>
          <w:lang w:val="en-GB"/>
        </w:rPr>
        <w:t>انظر</w:t>
      </w:r>
      <w:r w:rsidRPr="00B42CBF">
        <w:rPr>
          <w:rFonts w:eastAsia="Times New Roman" w:hint="cs"/>
          <w:rtl/>
          <w:lang w:val="en-GB"/>
        </w:rPr>
        <w:t xml:space="preserve"> </w:t>
      </w:r>
      <w:r w:rsidRPr="00B42CBF">
        <w:rPr>
          <w:lang w:val="fr-FR"/>
        </w:rPr>
        <w:t>Bronson et al., 2017. Natural Climate Solutions. PNAS: 114(44): 11645-11650</w:t>
      </w:r>
      <w:r w:rsidRPr="00B42CBF">
        <w:rPr>
          <w:rFonts w:eastAsia="Times New Roman"/>
          <w:rtl/>
          <w:lang w:val="en-GB"/>
        </w:rPr>
        <w:t xml:space="preserve"> متاح على الموقع:</w:t>
      </w:r>
      <w:r w:rsidRPr="00B42CBF">
        <w:rPr>
          <w:rFonts w:eastAsia="Times New Roman"/>
          <w:lang w:val="fr-FR"/>
        </w:rPr>
        <w:t xml:space="preserve"> </w:t>
      </w:r>
      <w:r w:rsidRPr="00B42CBF">
        <w:rPr>
          <w:rFonts w:eastAsia="Times New Roman"/>
          <w:color w:val="0000FF"/>
          <w:u w:val="single"/>
          <w:lang w:val="fr-FR"/>
        </w:rPr>
        <w:t>http://www.pnas.org/content/114/44/11645</w:t>
      </w:r>
      <w:r w:rsidRPr="00B42CBF">
        <w:rPr>
          <w:rFonts w:eastAsia="Times New Roman"/>
          <w:rtl/>
          <w:lang w:val="en-GB"/>
        </w:rPr>
        <w:t>.</w:t>
      </w:r>
    </w:p>
  </w:footnote>
  <w:footnote w:id="129">
    <w:p w:rsidR="000C66C6" w:rsidRPr="00B21D38" w:rsidRDefault="000C66C6" w:rsidP="003607CA">
      <w:pPr>
        <w:pStyle w:val="FootnoteText"/>
        <w:rPr>
          <w:rFonts w:eastAsia="Times New Roman" w:cs="Times New Roman"/>
          <w:snapToGrid w:val="0"/>
          <w:kern w:val="18"/>
          <w:szCs w:val="18"/>
        </w:rPr>
      </w:pPr>
      <w:r>
        <w:rPr>
          <w:rStyle w:val="FootnoteReference"/>
        </w:rPr>
        <w:footnoteRef/>
      </w:r>
      <w:r>
        <w:rPr>
          <w:rtl/>
        </w:rPr>
        <w:t xml:space="preserve"> </w:t>
      </w:r>
      <w:r w:rsidRPr="00066C38">
        <w:rPr>
          <w:rFonts w:cs="Times New Roman"/>
          <w:snapToGrid w:val="0"/>
          <w:kern w:val="18"/>
          <w:szCs w:val="18"/>
          <w:lang w:val="en-CA"/>
        </w:rPr>
        <w:t xml:space="preserve">Dudley, N. et al. 2009. </w:t>
      </w:r>
      <w:r w:rsidRPr="00066C38">
        <w:rPr>
          <w:rFonts w:cs="Times New Roman"/>
          <w:snapToGrid w:val="0"/>
          <w:kern w:val="18"/>
          <w:szCs w:val="18"/>
        </w:rPr>
        <w:t xml:space="preserve">Natural Solutions – Protected Areas: Helping People Cope with Climate Change. Switzerland: IUCN. Available at: </w:t>
      </w:r>
      <w:r w:rsidRPr="00824357">
        <w:rPr>
          <w:rFonts w:cs="Times New Roman"/>
          <w:snapToGrid w:val="0"/>
          <w:color w:val="0000FF"/>
          <w:kern w:val="18"/>
          <w:szCs w:val="18"/>
          <w:u w:val="single"/>
        </w:rPr>
        <w:t>https://www.iucn.org/content/natural-solutions-protected-areas-helping-people-cope-climate-change</w:t>
      </w:r>
      <w:r w:rsidRPr="00066C38">
        <w:rPr>
          <w:rFonts w:eastAsia="Times New Roman" w:cs="Times New Roman"/>
          <w:snapToGrid w:val="0"/>
          <w:kern w:val="18"/>
          <w:szCs w:val="18"/>
          <w:rtl/>
          <w:lang w:val="en-GB"/>
        </w:rPr>
        <w:t>.</w:t>
      </w:r>
    </w:p>
  </w:footnote>
  <w:footnote w:id="130">
    <w:p w:rsidR="000C66C6" w:rsidRPr="00331576" w:rsidRDefault="000C66C6" w:rsidP="003607CA">
      <w:pPr>
        <w:pStyle w:val="FootnoteText"/>
        <w:rPr>
          <w:rFonts w:eastAsia="Times New Roman" w:cs="Times New Roman"/>
          <w:snapToGrid w:val="0"/>
          <w:kern w:val="18"/>
          <w:szCs w:val="18"/>
          <w:rtl/>
          <w:lang w:val="en-GB"/>
        </w:rPr>
      </w:pPr>
      <w:r>
        <w:rPr>
          <w:rStyle w:val="FootnoteReference"/>
        </w:rPr>
        <w:footnoteRef/>
      </w:r>
      <w:r>
        <w:rPr>
          <w:rtl/>
        </w:rPr>
        <w:t xml:space="preserve"> </w:t>
      </w:r>
      <w:r w:rsidRPr="00B42CBF">
        <w:rPr>
          <w:rFonts w:eastAsia="Times New Roman"/>
          <w:rtl/>
          <w:lang w:val="en-GB"/>
        </w:rPr>
        <w:t>انظر</w:t>
      </w:r>
      <w:r w:rsidRPr="00B42CBF">
        <w:rPr>
          <w:rFonts w:eastAsia="Times New Roman"/>
          <w:lang w:val="en-GB"/>
        </w:rPr>
        <w:t xml:space="preserve"> </w:t>
      </w:r>
      <w:r w:rsidRPr="00B42CBF">
        <w:rPr>
          <w:rFonts w:eastAsia="Times New Roman"/>
          <w:rtl/>
          <w:lang w:val="en-GB"/>
        </w:rPr>
        <w:t>برنامج الأمم المتحدة الإنمائ</w:t>
      </w:r>
      <w:r w:rsidRPr="00B42CBF">
        <w:rPr>
          <w:rFonts w:eastAsia="Times New Roman" w:hint="cs"/>
          <w:rtl/>
          <w:lang w:val="en-GB"/>
        </w:rPr>
        <w:t>ي. 2016. ا</w:t>
      </w:r>
      <w:r w:rsidRPr="00B42CBF">
        <w:rPr>
          <w:rFonts w:eastAsia="Times New Roman"/>
          <w:rtl/>
          <w:lang w:val="en-GB"/>
        </w:rPr>
        <w:t>لاستراتيجيات وخطط العمل الوطنية للتنوع البيولوجي: المحفزات الطبيعية لتسريع العمل بشأن أهداف التنمية المستدامة.</w:t>
      </w:r>
      <w:r w:rsidRPr="00B42CBF">
        <w:rPr>
          <w:rFonts w:eastAsia="Times New Roman" w:hint="cs"/>
          <w:rtl/>
          <w:lang w:val="en-GB"/>
        </w:rPr>
        <w:t xml:space="preserve"> </w:t>
      </w:r>
      <w:r w:rsidRPr="00B42CBF">
        <w:rPr>
          <w:rFonts w:eastAsia="Times New Roman"/>
          <w:rtl/>
          <w:lang w:val="en-GB"/>
        </w:rPr>
        <w:t>تقرير مؤقت. برنامج الأمم المتحدة الإنمائي. ديسمبر/كانون الأول 2016. برنامج الأمم المتحدة الإنمائي: نيويورك، الولايات المتحدة الأمريكية. 10</w:t>
      </w:r>
      <w:r w:rsidRPr="00B42CBF">
        <w:rPr>
          <w:rFonts w:eastAsia="Times New Roman" w:hint="cs"/>
          <w:rtl/>
          <w:lang w:val="en-GB"/>
        </w:rPr>
        <w:t>0</w:t>
      </w:r>
      <w:r w:rsidRPr="00B42CBF">
        <w:rPr>
          <w:rFonts w:eastAsia="Times New Roman"/>
          <w:rtl/>
          <w:lang w:val="en-GB"/>
        </w:rPr>
        <w:t>07، متاح على الموقع:</w:t>
      </w:r>
      <w:r w:rsidRPr="00B42CBF">
        <w:rPr>
          <w:rFonts w:eastAsia="Times New Roman" w:hint="cs"/>
          <w:rtl/>
          <w:lang w:val="en-GB"/>
        </w:rPr>
        <w:t xml:space="preserve"> </w:t>
      </w:r>
      <w:hyperlink r:id="rId64" w:history="1">
        <w:r w:rsidRPr="00B42CBF">
          <w:rPr>
            <w:rStyle w:val="Hyperlink"/>
            <w:rFonts w:eastAsia="Times New Roman"/>
            <w:lang w:val="en-GB"/>
          </w:rPr>
          <w:t>https://www.cbd.int/doc/nbsap/NBSAPs-catalysts-SDGs.pdf</w:t>
        </w:r>
      </w:hyperlink>
      <w:r w:rsidRPr="00B42CBF">
        <w:rPr>
          <w:rFonts w:eastAsia="Times New Roman"/>
          <w:rtl/>
          <w:lang w:val="en-GB"/>
        </w:rPr>
        <w:t>.</w:t>
      </w:r>
      <w:r>
        <w:rPr>
          <w:rFonts w:eastAsia="Times New Roman" w:cs="Times New Roman" w:hint="cs"/>
          <w:snapToGrid w:val="0"/>
          <w:kern w:val="18"/>
          <w:szCs w:val="18"/>
          <w:rtl/>
          <w:lang w:val="en-GB"/>
        </w:rPr>
        <w:t xml:space="preserve"> </w:t>
      </w:r>
    </w:p>
  </w:footnote>
  <w:footnote w:id="131">
    <w:p w:rsidR="000C66C6" w:rsidRDefault="000C66C6" w:rsidP="003607CA">
      <w:pPr>
        <w:pStyle w:val="FootnoteText"/>
      </w:pPr>
      <w:r>
        <w:rPr>
          <w:rStyle w:val="FootnoteReference"/>
        </w:rPr>
        <w:footnoteRef/>
      </w:r>
      <w:r>
        <w:rPr>
          <w:rtl/>
        </w:rPr>
        <w:t xml:space="preserve"> </w:t>
      </w:r>
      <w:r w:rsidRPr="00B42CBF">
        <w:rPr>
          <w:rFonts w:eastAsia="Batang"/>
          <w:rtl/>
          <w:lang w:val="en-GB" w:eastAsia="ja-JP"/>
        </w:rPr>
        <w:t xml:space="preserve">خلص العديد من الدراسات، بما في ذلك تحليل حديث </w:t>
      </w:r>
      <w:r w:rsidRPr="00B42CBF">
        <w:rPr>
          <w:rFonts w:eastAsia="Batang" w:hint="cs"/>
          <w:rtl/>
          <w:lang w:val="en-GB" w:eastAsia="ja-JP"/>
        </w:rPr>
        <w:t xml:space="preserve">شمل </w:t>
      </w:r>
      <w:r w:rsidRPr="00B42CBF">
        <w:rPr>
          <w:rFonts w:eastAsia="Batang"/>
          <w:rtl/>
          <w:lang w:val="en-GB" w:eastAsia="ja-JP"/>
        </w:rPr>
        <w:t>165 منطقة محمية حول العالم، أن تلك المواقع التي يشارك فيها السكان المحليون بشكل مباشر ويستفيدون من جهود الحفظ، أكثر فعالية فيما يتعلق بحفظ التنوع البيولوجي والتنمية الاجتماعية الاقتصادية</w:t>
      </w:r>
      <w:r w:rsidRPr="00B42CBF">
        <w:rPr>
          <w:rFonts w:eastAsia="Batang" w:hint="cs"/>
          <w:rtl/>
          <w:lang w:val="en-GB" w:eastAsia="ja-JP"/>
        </w:rPr>
        <w:t>.</w:t>
      </w:r>
      <w:r w:rsidRPr="00B42CBF">
        <w:rPr>
          <w:lang w:val="en-CA"/>
        </w:rPr>
        <w:t xml:space="preserve"> Oldekop, J.A., et al. </w:t>
      </w:r>
      <w:r w:rsidRPr="00B42CBF">
        <w:t>(2015). A global assessment of the social and conservation outcomes of protected areas – Conservation Biology, 30(1): 133-141</w:t>
      </w:r>
      <w:r w:rsidRPr="00B42CBF">
        <w:rPr>
          <w:rFonts w:eastAsia="Times New Roman"/>
          <w:rtl/>
        </w:rPr>
        <w:t>.</w:t>
      </w:r>
    </w:p>
  </w:footnote>
  <w:footnote w:id="132">
    <w:p w:rsidR="000C66C6" w:rsidRDefault="000C66C6" w:rsidP="003607CA">
      <w:pPr>
        <w:pStyle w:val="FootnoteText"/>
      </w:pPr>
      <w:r>
        <w:rPr>
          <w:rStyle w:val="FootnoteReference"/>
        </w:rPr>
        <w:footnoteRef/>
      </w:r>
      <w:r>
        <w:rPr>
          <w:rtl/>
        </w:rPr>
        <w:t xml:space="preserve"> </w:t>
      </w:r>
      <w:r w:rsidRPr="00B42CBF">
        <w:rPr>
          <w:rFonts w:eastAsia="Times New Roman"/>
          <w:rtl/>
          <w:lang w:val="en-GB" w:eastAsia="ja-JP"/>
        </w:rPr>
        <w:t xml:space="preserve">في المقرر نفسه، دعيت الأطراف إلى </w:t>
      </w:r>
      <w:r w:rsidRPr="00B42CBF">
        <w:rPr>
          <w:rFonts w:hint="cs"/>
          <w:rtl/>
        </w:rPr>
        <w:t>وضع آليات وعمليات واضحة لتحقيق التقاسم المنصف للمنافع ولتحقيق المشاركة الكاملة والفعالة للمجتمعات الأصلية والمحلية فيما يتعلق بالمناطق المحمية وفقا للقوانين الوطنية والالتزامات الدولية السارية ذات الصلة؛ وكذلك الاعتراف بدور المناطق المحمية التابعة للمجتمعات الأصلية والمحلية والمناطق المحمية لأصحاب المصلحة الآخرين في حفظ التنوع البيولوجي، والإدارة التعاونية وتنوع أنماط الحوكمة</w:t>
      </w:r>
      <w:r w:rsidRPr="00B42CBF">
        <w:rPr>
          <w:rFonts w:eastAsia="Times New Roman"/>
          <w:rtl/>
          <w:lang w:val="en-GB" w:eastAsia="ja-JP"/>
        </w:rPr>
        <w:t>.</w:t>
      </w:r>
    </w:p>
  </w:footnote>
  <w:footnote w:id="133">
    <w:p w:rsidR="000C66C6" w:rsidRPr="003541E6" w:rsidRDefault="000C66C6" w:rsidP="003607CA">
      <w:pPr>
        <w:pStyle w:val="FootnoteText"/>
        <w:rPr>
          <w:rFonts w:eastAsia="Times New Roman" w:cs="Cordia New"/>
          <w:snapToGrid w:val="0"/>
          <w:kern w:val="18"/>
          <w:szCs w:val="18"/>
          <w:rtl/>
          <w:cs/>
          <w:lang w:val="en-GB"/>
        </w:rPr>
      </w:pPr>
      <w:r>
        <w:rPr>
          <w:rStyle w:val="FootnoteReference"/>
        </w:rPr>
        <w:footnoteRef/>
      </w:r>
      <w:r>
        <w:rPr>
          <w:rtl/>
        </w:rPr>
        <w:t xml:space="preserve"> </w:t>
      </w:r>
      <w:r w:rsidRPr="00066C38">
        <w:rPr>
          <w:rFonts w:eastAsia="Times New Roman" w:cs="Times New Roman"/>
          <w:snapToGrid w:val="0"/>
          <w:kern w:val="18"/>
          <w:szCs w:val="18"/>
          <w:lang w:val="en-GB" w:eastAsia="ja-JP" w:bidi="th-TH"/>
        </w:rPr>
        <w:t>CBD/SBSTTA/22/INF/8</w:t>
      </w:r>
      <w:r w:rsidRPr="00066C38">
        <w:rPr>
          <w:rFonts w:eastAsia="Times New Roman" w:cs="Times New Roman"/>
          <w:snapToGrid w:val="0"/>
          <w:kern w:val="18"/>
          <w:szCs w:val="18"/>
          <w:rtl/>
          <w:lang w:val="en-GB" w:eastAsia="ja-JP"/>
        </w:rPr>
        <w:t>.</w:t>
      </w:r>
    </w:p>
  </w:footnote>
  <w:footnote w:id="134">
    <w:p w:rsidR="000C66C6" w:rsidRPr="00F45379" w:rsidRDefault="000C66C6" w:rsidP="003607CA">
      <w:pPr>
        <w:pStyle w:val="FootnoteText"/>
        <w:rPr>
          <w:szCs w:val="18"/>
        </w:rPr>
      </w:pPr>
      <w:r>
        <w:rPr>
          <w:rStyle w:val="FootnoteReference"/>
        </w:rPr>
        <w:footnoteRef/>
      </w:r>
      <w:r>
        <w:rPr>
          <w:rtl/>
        </w:rPr>
        <w:t xml:space="preserve"> </w:t>
      </w:r>
      <w:r w:rsidRPr="003607CA">
        <w:rPr>
          <w:rFonts w:eastAsia="Times New Roman" w:hint="cs"/>
          <w:rtl/>
        </w:rPr>
        <w:t>مثلا</w:t>
      </w:r>
      <w:r w:rsidRPr="003607CA">
        <w:rPr>
          <w:rFonts w:eastAsia="Times New Roman"/>
          <w:rtl/>
        </w:rPr>
        <w:t xml:space="preserve"> بين الشعوب الأصلية والمجتمعات المحلية</w:t>
      </w:r>
      <w:r w:rsidRPr="003607CA">
        <w:rPr>
          <w:rFonts w:eastAsia="Times New Roman" w:hint="cs"/>
          <w:rtl/>
        </w:rPr>
        <w:t xml:space="preserve"> والحكومات </w:t>
      </w:r>
      <w:r w:rsidRPr="003607CA">
        <w:rPr>
          <w:rFonts w:eastAsia="Times New Roman"/>
          <w:rtl/>
        </w:rPr>
        <w:t>أو بين الأفراد والحكومات.</w:t>
      </w:r>
    </w:p>
  </w:footnote>
  <w:footnote w:id="135">
    <w:p w:rsidR="000C66C6" w:rsidRDefault="000C66C6" w:rsidP="003607CA">
      <w:pPr>
        <w:pStyle w:val="FootnoteText"/>
      </w:pPr>
      <w:r>
        <w:rPr>
          <w:rStyle w:val="FootnoteReference"/>
        </w:rPr>
        <w:footnoteRef/>
      </w:r>
      <w:r>
        <w:rPr>
          <w:rtl/>
        </w:rPr>
        <w:t xml:space="preserve"> </w:t>
      </w:r>
      <w:r w:rsidRPr="003607CA">
        <w:rPr>
          <w:rFonts w:hint="cs"/>
          <w:rtl/>
        </w:rPr>
        <w:t>يرجع ذلك إلى أن نوع الحوكمة يتعلق بالجهات الفاعلة التي تتولى الدور القيادي في إنشاء المناطق المحمية أو المحفوظة والتي تتولى السلطة عليها والمسؤولية عنها، ويختلف باختلاف بالسياقات المتباينة المتعلقة بالحيازة وتطلعات أصحاب المصلحة.</w:t>
      </w:r>
    </w:p>
  </w:footnote>
  <w:footnote w:id="136">
    <w:p w:rsidR="000C66C6" w:rsidRPr="00B31616" w:rsidRDefault="000C66C6" w:rsidP="003607CA">
      <w:pPr>
        <w:pStyle w:val="FootnoteText"/>
        <w:rPr>
          <w:rFonts w:ascii="Simplified Arabic" w:hAnsi="Simplified Arabic"/>
          <w:sz w:val="22"/>
        </w:rPr>
      </w:pPr>
      <w:r>
        <w:rPr>
          <w:rStyle w:val="FootnoteReference"/>
        </w:rPr>
        <w:footnoteRef/>
      </w:r>
      <w:r>
        <w:rPr>
          <w:rtl/>
        </w:rPr>
        <w:t xml:space="preserve"> </w:t>
      </w:r>
      <w:r w:rsidRPr="003607CA">
        <w:rPr>
          <w:rFonts w:hint="cs"/>
          <w:rtl/>
        </w:rPr>
        <w:t xml:space="preserve">تشمل الإرشادات المفيدة: </w:t>
      </w:r>
      <w:hyperlink r:id="rId65" w:history="1">
        <w:r w:rsidRPr="003607CA">
          <w:rPr>
            <w:rStyle w:val="Hyperlink"/>
            <w:rFonts w:hint="cs"/>
            <w:color w:val="auto"/>
            <w:u w:val="none"/>
            <w:rtl/>
          </w:rPr>
          <w:t>سلسلة المنشورات التقنية لاتفاقية التنوع البيولوجي رقم 64</w:t>
        </w:r>
      </w:hyperlink>
      <w:r w:rsidRPr="003607CA">
        <w:rPr>
          <w:rFonts w:hint="cs"/>
          <w:rtl/>
        </w:rPr>
        <w:t xml:space="preserve">، </w:t>
      </w:r>
      <w:hyperlink r:id="rId66" w:history="1">
        <w:r w:rsidRPr="003607CA">
          <w:rPr>
            <w:rStyle w:val="Hyperlink"/>
            <w:rFonts w:hint="cs"/>
            <w:color w:val="auto"/>
            <w:u w:val="none"/>
            <w:rtl/>
          </w:rPr>
          <w:t>وإعلان الأمم المتحدة بشأن حقوق الشعوب الأصلية</w:t>
        </w:r>
      </w:hyperlink>
      <w:r w:rsidRPr="003607CA">
        <w:rPr>
          <w:rFonts w:hint="cs"/>
          <w:rtl/>
        </w:rPr>
        <w:t xml:space="preserve">؛ </w:t>
      </w:r>
      <w:r w:rsidRPr="003607CA">
        <w:t>Sue Stolton, Kent H. Redford and Nigel Dudley (2014). </w:t>
      </w:r>
      <w:hyperlink r:id="rId67" w:history="1">
        <w:r w:rsidRPr="003607CA">
          <w:rPr>
            <w:rStyle w:val="Hyperlink"/>
            <w:color w:val="auto"/>
            <w:u w:val="none"/>
          </w:rPr>
          <w:t>The Futures of Privately Protected Areas</w:t>
        </w:r>
      </w:hyperlink>
      <w:r w:rsidRPr="003607CA">
        <w:t>. Gland, Switzerland, IUCN</w:t>
      </w:r>
      <w:r w:rsidRPr="003607CA">
        <w:rPr>
          <w:rFonts w:eastAsia="Times New Roman"/>
          <w:rtl/>
        </w:rPr>
        <w:t>.</w:t>
      </w:r>
    </w:p>
  </w:footnote>
  <w:footnote w:id="137">
    <w:p w:rsidR="000C66C6" w:rsidRDefault="000C66C6" w:rsidP="003607CA">
      <w:pPr>
        <w:pStyle w:val="FootnoteText"/>
      </w:pPr>
      <w:r>
        <w:rPr>
          <w:rStyle w:val="FootnoteReference"/>
        </w:rPr>
        <w:footnoteRef/>
      </w:r>
      <w:r>
        <w:rPr>
          <w:rtl/>
        </w:rPr>
        <w:t xml:space="preserve"> </w:t>
      </w:r>
      <w:r w:rsidRPr="003607CA">
        <w:rPr>
          <w:rFonts w:hint="cs"/>
          <w:rtl/>
        </w:rPr>
        <w:t>الجهات الفاعلة مثل الحكومات دون الوطنية والحكومات المحلية وملاك الأراضي وصغار المزارعين والمنظمات غير الحكومية والكيانات الخاصة الأخرى والشعوب الأصلية والمجتمعات المحلية.</w:t>
      </w:r>
    </w:p>
  </w:footnote>
  <w:footnote w:id="138">
    <w:p w:rsidR="000C66C6" w:rsidRDefault="000C66C6" w:rsidP="003607CA">
      <w:pPr>
        <w:pStyle w:val="FootnoteText"/>
        <w:rPr>
          <w:rtl/>
        </w:rPr>
      </w:pPr>
      <w:r>
        <w:rPr>
          <w:rStyle w:val="FootnoteReference"/>
        </w:rPr>
        <w:footnoteRef/>
      </w:r>
      <w:r>
        <w:rPr>
          <w:rtl/>
        </w:rPr>
        <w:t xml:space="preserve"> </w:t>
      </w:r>
      <w:r w:rsidRPr="003607CA">
        <w:rPr>
          <w:rFonts w:hint="cs"/>
          <w:rtl/>
        </w:rPr>
        <w:t xml:space="preserve">تشمل الإرشادات المفيدة: </w:t>
      </w:r>
      <w:hyperlink r:id="rId68" w:history="1">
        <w:r w:rsidRPr="003607CA">
          <w:rPr>
            <w:rStyle w:val="Hyperlink"/>
            <w:rFonts w:hint="cs"/>
            <w:color w:val="auto"/>
            <w:u w:val="none"/>
            <w:rtl/>
          </w:rPr>
          <w:t>المبادئ التوجيهية لأفضل الممارسات للاتحاد الدولي لحفظ الطبيعة، رقم 20</w:t>
        </w:r>
      </w:hyperlink>
      <w:r w:rsidRPr="003607CA">
        <w:rPr>
          <w:rFonts w:hint="cs"/>
          <w:rtl/>
        </w:rPr>
        <w:t>: حوكمة المناطق المحمية: من الفهم إلى العمل (2013).</w:t>
      </w:r>
    </w:p>
  </w:footnote>
  <w:footnote w:id="139">
    <w:p w:rsidR="000C66C6" w:rsidRPr="0079293F" w:rsidRDefault="000C66C6" w:rsidP="003607CA">
      <w:pPr>
        <w:pStyle w:val="FootnoteText"/>
      </w:pPr>
      <w:r>
        <w:rPr>
          <w:rStyle w:val="FootnoteReference"/>
        </w:rPr>
        <w:footnoteRef/>
      </w:r>
      <w:r>
        <w:rPr>
          <w:rtl/>
        </w:rPr>
        <w:t xml:space="preserve"> </w:t>
      </w:r>
      <w:r w:rsidRPr="003607CA">
        <w:rPr>
          <w:rFonts w:hint="cs"/>
          <w:rtl/>
        </w:rPr>
        <w:t>يساعد هذا التقييم أيضا في تحديد المناطق ذات الأهمية الخاصة للتنوع البيولوجي، وحالة حفظها وحمايتها، وكيفية حكمها والجهة الحاكمة، مع الإشارة إلى فرص المساهمات المحتملة في الشبكات القائمة. وينبغي مراعاة اعتبارات التكاليف والمنافع الاقتصادية والاجتماعية والثقافية.</w:t>
      </w:r>
    </w:p>
  </w:footnote>
  <w:footnote w:id="140">
    <w:p w:rsidR="000C66C6" w:rsidRDefault="000C66C6" w:rsidP="003607CA">
      <w:pPr>
        <w:pStyle w:val="FootnoteText"/>
        <w:rPr>
          <w:rFonts w:cs="Times New Roman"/>
          <w:snapToGrid w:val="0"/>
          <w:kern w:val="18"/>
          <w:szCs w:val="18"/>
          <w:rtl/>
        </w:rPr>
      </w:pPr>
      <w:r>
        <w:rPr>
          <w:rStyle w:val="FootnoteReference"/>
        </w:rPr>
        <w:footnoteRef/>
      </w:r>
      <w:r>
        <w:rPr>
          <w:rtl/>
        </w:rPr>
        <w:t xml:space="preserve"> </w:t>
      </w:r>
      <w:r w:rsidRPr="003607CA">
        <w:rPr>
          <w:rFonts w:hint="cs"/>
          <w:rtl/>
        </w:rPr>
        <w:t xml:space="preserve">هناك مجموعة كبيرة من الإرشادات والخبرات من عدد من الأطراف متاحة للحكومات المهتمة وأصحاب المصلحة الآخرين. وتشمل الإرشادات المفيدة: </w:t>
      </w:r>
      <w:hyperlink r:id="rId69" w:history="1">
        <w:r w:rsidRPr="003607CA">
          <w:rPr>
            <w:rStyle w:val="Hyperlink"/>
            <w:rFonts w:hint="cs"/>
            <w:color w:val="auto"/>
            <w:u w:val="none"/>
            <w:rtl/>
          </w:rPr>
          <w:t>سلسلة المنشورات التقنية لاتفاقية التنوع البيولوجي رقم 64</w:t>
        </w:r>
      </w:hyperlink>
      <w:r w:rsidRPr="003607CA">
        <w:rPr>
          <w:rFonts w:hint="cs"/>
          <w:rtl/>
        </w:rPr>
        <w:t xml:space="preserve">، </w:t>
      </w:r>
      <w:bookmarkStart w:id="21" w:name="_Hlk512088183"/>
      <w:r w:rsidRPr="003607CA">
        <w:rPr>
          <w:rtl/>
        </w:rPr>
        <w:t>و</w:t>
      </w:r>
      <w:r w:rsidRPr="003607CA">
        <w:t>Sue Stolton, Kent H. Redford and Nigel Dudley (2014)</w:t>
      </w:r>
      <w:r w:rsidRPr="003607CA">
        <w:rPr>
          <w:rtl/>
        </w:rPr>
        <w:t>.</w:t>
      </w:r>
      <w:r w:rsidRPr="00066C38">
        <w:rPr>
          <w:rFonts w:cs="Times New Roman"/>
          <w:snapToGrid w:val="0"/>
          <w:kern w:val="18"/>
          <w:szCs w:val="18"/>
          <w:rtl/>
        </w:rPr>
        <w:t xml:space="preserve"> </w:t>
      </w:r>
    </w:p>
    <w:p w:rsidR="000C66C6" w:rsidRPr="003607CA" w:rsidRDefault="007B18D9" w:rsidP="003607CA">
      <w:pPr>
        <w:pStyle w:val="FootnoteText"/>
      </w:pPr>
      <w:hyperlink r:id="rId70" w:history="1">
        <w:r w:rsidR="000C66C6" w:rsidRPr="003607CA">
          <w:rPr>
            <w:rStyle w:val="Hyperlink"/>
            <w:color w:val="auto"/>
            <w:u w:val="none"/>
          </w:rPr>
          <w:t>The Futures of Privately Protected Areas</w:t>
        </w:r>
      </w:hyperlink>
      <w:r w:rsidR="000C66C6" w:rsidRPr="003607CA">
        <w:rPr>
          <w:rtl/>
        </w:rPr>
        <w:t>.</w:t>
      </w:r>
      <w:r w:rsidR="000C66C6" w:rsidRPr="003607CA">
        <w:rPr>
          <w:rStyle w:val="Hyperlink"/>
          <w:color w:val="auto"/>
          <w:u w:val="none"/>
          <w:rtl/>
        </w:rPr>
        <w:t xml:space="preserve"> </w:t>
      </w:r>
      <w:r w:rsidR="000C66C6" w:rsidRPr="003607CA">
        <w:t>Gland, Switzerland, IUCN</w:t>
      </w:r>
      <w:r w:rsidR="000C66C6" w:rsidRPr="003607CA">
        <w:rPr>
          <w:rtl/>
        </w:rPr>
        <w:t>؛</w:t>
      </w:r>
      <w:r w:rsidR="000C66C6" w:rsidRPr="003607CA">
        <w:rPr>
          <w:rFonts w:hint="cs"/>
          <w:rtl/>
        </w:rPr>
        <w:t xml:space="preserve"> والوثيقة الإعلامية </w:t>
      </w:r>
      <w:r w:rsidR="000C66C6" w:rsidRPr="003607CA">
        <w:rPr>
          <w:rFonts w:eastAsia="Times New Roman"/>
        </w:rPr>
        <w:t>CBD/SBSTTA/22/INF/8</w:t>
      </w:r>
      <w:r w:rsidR="000C66C6" w:rsidRPr="003607CA">
        <w:rPr>
          <w:rFonts w:eastAsia="Times New Roman" w:hint="cs"/>
          <w:rtl/>
        </w:rPr>
        <w:t>.</w:t>
      </w:r>
      <w:bookmarkEnd w:id="21"/>
    </w:p>
  </w:footnote>
  <w:footnote w:id="141">
    <w:p w:rsidR="000C66C6" w:rsidRDefault="000C66C6" w:rsidP="003607CA">
      <w:pPr>
        <w:pStyle w:val="FootnoteText"/>
      </w:pPr>
      <w:r>
        <w:rPr>
          <w:rStyle w:val="FootnoteReference"/>
        </w:rPr>
        <w:footnoteRef/>
      </w:r>
      <w:r>
        <w:rPr>
          <w:rtl/>
        </w:rPr>
        <w:t xml:space="preserve"> </w:t>
      </w:r>
      <w:hyperlink r:id="rId71" w:history="1">
        <w:r w:rsidRPr="003607CA">
          <w:rPr>
            <w:rStyle w:val="Hyperlink"/>
            <w:rFonts w:hint="cs"/>
            <w:color w:val="auto"/>
            <w:u w:val="none"/>
            <w:rtl/>
          </w:rPr>
          <w:t>المبادئ التوجيهية لأفضل الممارسات للاتحاد الدولي لحفظ الطبيعة رقم 20</w:t>
        </w:r>
      </w:hyperlink>
      <w:r w:rsidRPr="003607CA">
        <w:rPr>
          <w:rFonts w:hint="cs"/>
          <w:rtl/>
        </w:rPr>
        <w:t>.</w:t>
      </w:r>
    </w:p>
  </w:footnote>
  <w:footnote w:id="142">
    <w:p w:rsidR="000C66C6" w:rsidRDefault="000C66C6" w:rsidP="003607CA">
      <w:pPr>
        <w:pStyle w:val="FootnoteText"/>
      </w:pPr>
      <w:r>
        <w:rPr>
          <w:rStyle w:val="FootnoteReference"/>
        </w:rPr>
        <w:footnoteRef/>
      </w:r>
      <w:r>
        <w:rPr>
          <w:rtl/>
        </w:rPr>
        <w:t xml:space="preserve"> </w:t>
      </w:r>
      <w:r w:rsidRPr="003607CA">
        <w:rPr>
          <w:rFonts w:hint="cs"/>
          <w:rtl/>
        </w:rPr>
        <w:t>في سياق المناطق المحمية، يعد "أصحاب الحقوق" هم الفاعلون ذوو الحقوق القانونية أو العرفية على الموارد الطبيعية والأراضي، وفقا للتشريعات الوطنية. ويعد "أصحاب المصلحة" هم الفاعلون ذوو الاهتمام والشواغل بشأن الموارد والأراضي.</w:t>
      </w:r>
    </w:p>
  </w:footnote>
  <w:footnote w:id="143">
    <w:p w:rsidR="000C66C6" w:rsidRDefault="000C66C6" w:rsidP="003607CA">
      <w:pPr>
        <w:pStyle w:val="FootnoteText"/>
      </w:pPr>
      <w:r>
        <w:rPr>
          <w:rStyle w:val="FootnoteReference"/>
        </w:rPr>
        <w:footnoteRef/>
      </w:r>
      <w:r>
        <w:rPr>
          <w:rtl/>
        </w:rPr>
        <w:t xml:space="preserve"> </w:t>
      </w:r>
      <w:r w:rsidRPr="003607CA">
        <w:t xml:space="preserve">Schreckenberg, K., et.al. (2016): </w:t>
      </w:r>
      <w:hyperlink r:id="rId72" w:history="1">
        <w:r w:rsidRPr="003607CA">
          <w:rPr>
            <w:rStyle w:val="Hyperlink"/>
            <w:color w:val="auto"/>
            <w:u w:val="none"/>
          </w:rPr>
          <w:t>Unpacking Equity for Protected Area Conservation</w:t>
        </w:r>
      </w:hyperlink>
      <w:r w:rsidRPr="003607CA">
        <w:t>, PARKS Journal</w:t>
      </w:r>
      <w:r w:rsidRPr="003607CA">
        <w:rPr>
          <w:rtl/>
        </w:rPr>
        <w:t>.</w:t>
      </w:r>
    </w:p>
  </w:footnote>
  <w:footnote w:id="144">
    <w:p w:rsidR="000C66C6" w:rsidRDefault="000C66C6" w:rsidP="003607CA">
      <w:pPr>
        <w:pStyle w:val="FootnoteText"/>
        <w:rPr>
          <w:rtl/>
        </w:rPr>
      </w:pPr>
      <w:r>
        <w:rPr>
          <w:rStyle w:val="FootnoteReference"/>
        </w:rPr>
        <w:footnoteRef/>
      </w:r>
      <w:r>
        <w:rPr>
          <w:rtl/>
        </w:rPr>
        <w:t xml:space="preserve"> </w:t>
      </w:r>
      <w:r w:rsidRPr="003607CA">
        <w:rPr>
          <w:rFonts w:hint="cs"/>
          <w:rtl/>
        </w:rPr>
        <w:t xml:space="preserve">"المناطق المحمية: تيسير تحقيق الهدف 11 من أهداف أيشي للتنوع البيولوجي" </w:t>
      </w:r>
      <w:r w:rsidRPr="003607CA">
        <w:rPr>
          <w:rFonts w:eastAsia="Times New Roman"/>
          <w:lang w:val="en-GB"/>
        </w:rPr>
        <w:t>(</w:t>
      </w:r>
      <w:hyperlink r:id="rId73" w:history="1">
        <w:r w:rsidRPr="003607CA">
          <w:rPr>
            <w:rStyle w:val="Hyperlink"/>
            <w:rFonts w:eastAsia="Times New Roman"/>
            <w:color w:val="auto"/>
            <w:u w:val="none"/>
            <w:lang w:val="en-GB"/>
          </w:rPr>
          <w:t>UNEP/CBD/COP/13/INF/17</w:t>
        </w:r>
      </w:hyperlink>
      <w:r w:rsidRPr="003607CA">
        <w:rPr>
          <w:rFonts w:eastAsia="Times New Roman"/>
          <w:lang w:val="en-GB"/>
        </w:rPr>
        <w:t>)</w:t>
      </w:r>
      <w:r w:rsidRPr="003607CA">
        <w:rPr>
          <w:rFonts w:eastAsia="Times New Roman" w:hint="cs"/>
          <w:rtl/>
          <w:lang w:val="en-GB"/>
        </w:rPr>
        <w:t>.</w:t>
      </w:r>
    </w:p>
  </w:footnote>
  <w:footnote w:id="145">
    <w:p w:rsidR="000C66C6" w:rsidRDefault="000C66C6" w:rsidP="003607CA">
      <w:pPr>
        <w:pStyle w:val="FootnoteText"/>
      </w:pPr>
      <w:r>
        <w:rPr>
          <w:rStyle w:val="FootnoteReference"/>
        </w:rPr>
        <w:footnoteRef/>
      </w:r>
      <w:r>
        <w:rPr>
          <w:rtl/>
        </w:rPr>
        <w:t xml:space="preserve"> </w:t>
      </w:r>
      <w:r w:rsidRPr="003607CA">
        <w:rPr>
          <w:rFonts w:hint="cs"/>
          <w:rtl/>
        </w:rPr>
        <w:t>تنطبق المشاركة الفعالة لأصحاب المصلحة الآخرين على الكيانات العامة الحاكمة للمناطق المحمية، بينما ينطبق التنسيق مع أصحاب المصلحة الآخرين على الجهات الفاعلة غير الحكومية التي تحكم المناطق المحمية.</w:t>
      </w:r>
    </w:p>
  </w:footnote>
  <w:footnote w:id="146">
    <w:p w:rsidR="000C66C6" w:rsidRDefault="000C66C6" w:rsidP="003607CA">
      <w:pPr>
        <w:pStyle w:val="FootnoteText"/>
      </w:pPr>
      <w:r>
        <w:rPr>
          <w:rStyle w:val="FootnoteReference"/>
        </w:rPr>
        <w:footnoteRef/>
      </w:r>
      <w:r>
        <w:rPr>
          <w:rtl/>
        </w:rPr>
        <w:t xml:space="preserve"> </w:t>
      </w:r>
      <w:r w:rsidRPr="003607CA">
        <w:rPr>
          <w:rFonts w:ascii="Simplified Arabic" w:hAnsi="Simplified Arabic"/>
          <w:sz w:val="20"/>
          <w:rtl/>
        </w:rPr>
        <w:t xml:space="preserve">انظر أيضا المقرر </w:t>
      </w:r>
      <w:hyperlink r:id="rId74" w:history="1">
        <w:r w:rsidRPr="003607CA">
          <w:rPr>
            <w:rStyle w:val="Hyperlink"/>
            <w:rFonts w:ascii="Simplified Arabic" w:hAnsi="Simplified Arabic"/>
            <w:sz w:val="20"/>
            <w:rtl/>
          </w:rPr>
          <w:t>7/28</w:t>
        </w:r>
      </w:hyperlink>
      <w:r w:rsidRPr="003607CA">
        <w:rPr>
          <w:rFonts w:ascii="Simplified Arabic" w:hAnsi="Simplified Arabic"/>
          <w:sz w:val="20"/>
          <w:rtl/>
        </w:rPr>
        <w:t>: "يحيط علما بأن إنشاء وإدارة ورصد المناطق المحمية ينبغي أن يتم بمشاركة كاملة وفعالة من جانب الشعوب الأصلية المجتمعات المحلية، واحترام كامل لحقوقهم بما يتماشى مع القانون الوطني والالتزامات الدولية السارية".</w:t>
      </w:r>
    </w:p>
  </w:footnote>
  <w:footnote w:id="147">
    <w:p w:rsidR="000C66C6" w:rsidRDefault="000C66C6" w:rsidP="003607CA">
      <w:pPr>
        <w:pStyle w:val="FootnoteText"/>
      </w:pPr>
      <w:r>
        <w:rPr>
          <w:rStyle w:val="FootnoteReference"/>
        </w:rPr>
        <w:footnoteRef/>
      </w:r>
      <w:r>
        <w:rPr>
          <w:rtl/>
        </w:rPr>
        <w:t xml:space="preserve"> </w:t>
      </w:r>
      <w:r w:rsidRPr="003607CA">
        <w:rPr>
          <w:rFonts w:ascii="Simplified Arabic" w:hAnsi="Simplified Arabic"/>
          <w:sz w:val="20"/>
          <w:rtl/>
        </w:rPr>
        <w:t xml:space="preserve">تشمل الإرشادات المفيدة: </w:t>
      </w:r>
      <w:bookmarkStart w:id="22" w:name="_Hlk512092943"/>
      <w:r w:rsidR="007B18D9" w:rsidRPr="003607CA">
        <w:rPr>
          <w:rFonts w:ascii="Simplified Arabic" w:hAnsi="Simplified Arabic"/>
          <w:sz w:val="20"/>
          <w:rtl/>
        </w:rPr>
        <w:fldChar w:fldCharType="begin"/>
      </w:r>
      <w:r w:rsidRPr="003607CA">
        <w:rPr>
          <w:rFonts w:ascii="Simplified Arabic" w:hAnsi="Simplified Arabic"/>
          <w:sz w:val="20"/>
          <w:rtl/>
        </w:rPr>
        <w:instrText xml:space="preserve"> </w:instrText>
      </w:r>
      <w:r w:rsidRPr="003607CA">
        <w:rPr>
          <w:rFonts w:ascii="Simplified Arabic" w:hAnsi="Simplified Arabic"/>
          <w:sz w:val="20"/>
        </w:rPr>
        <w:instrText>HYPERLINK</w:instrText>
      </w:r>
      <w:r w:rsidRPr="003607CA">
        <w:rPr>
          <w:rFonts w:ascii="Simplified Arabic" w:hAnsi="Simplified Arabic"/>
          <w:sz w:val="20"/>
          <w:rtl/>
        </w:rPr>
        <w:instrText xml:space="preserve"> "</w:instrText>
      </w:r>
      <w:r w:rsidRPr="003607CA">
        <w:rPr>
          <w:rFonts w:ascii="Simplified Arabic" w:hAnsi="Simplified Arabic"/>
          <w:sz w:val="20"/>
        </w:rPr>
        <w:instrText>http://www.fao.org/docrep/016/i2801e/i2801e.pdf</w:instrText>
      </w:r>
      <w:r w:rsidRPr="003607CA">
        <w:rPr>
          <w:rFonts w:ascii="Simplified Arabic" w:hAnsi="Simplified Arabic"/>
          <w:sz w:val="20"/>
          <w:rtl/>
        </w:rPr>
        <w:instrText xml:space="preserve">" </w:instrText>
      </w:r>
      <w:r w:rsidR="007B18D9" w:rsidRPr="003607CA">
        <w:rPr>
          <w:rFonts w:ascii="Simplified Arabic" w:hAnsi="Simplified Arabic"/>
          <w:sz w:val="20"/>
          <w:rtl/>
        </w:rPr>
        <w:fldChar w:fldCharType="separate"/>
      </w:r>
      <w:r w:rsidRPr="003607CA">
        <w:rPr>
          <w:rStyle w:val="Hyperlink"/>
          <w:rFonts w:ascii="Simplified Arabic" w:hAnsi="Simplified Arabic"/>
          <w:sz w:val="20"/>
          <w:rtl/>
        </w:rPr>
        <w:t>المبادئ التوجيهية الطوعية لمنظمة الأغذية والزراعة بشأن الحوكمة المسؤولة في مجال الحيازة</w:t>
      </w:r>
      <w:r w:rsidR="007B18D9" w:rsidRPr="003607CA">
        <w:rPr>
          <w:rFonts w:ascii="Simplified Arabic" w:hAnsi="Simplified Arabic"/>
          <w:sz w:val="20"/>
          <w:rtl/>
        </w:rPr>
        <w:fldChar w:fldCharType="end"/>
      </w:r>
      <w:r w:rsidRPr="003607CA">
        <w:rPr>
          <w:rFonts w:ascii="Simplified Arabic" w:hAnsi="Simplified Arabic"/>
          <w:sz w:val="20"/>
          <w:rtl/>
        </w:rPr>
        <w:t xml:space="preserve"> (2012)</w:t>
      </w:r>
      <w:bookmarkEnd w:id="22"/>
      <w:r w:rsidRPr="003607CA">
        <w:rPr>
          <w:rFonts w:ascii="Simplified Arabic" w:hAnsi="Simplified Arabic"/>
          <w:sz w:val="20"/>
          <w:rtl/>
        </w:rPr>
        <w:t xml:space="preserve">؛ </w:t>
      </w:r>
      <w:hyperlink r:id="rId75" w:history="1">
        <w:r w:rsidRPr="003607CA">
          <w:rPr>
            <w:rStyle w:val="Hyperlink"/>
            <w:rFonts w:ascii="Simplified Arabic" w:hAnsi="Simplified Arabic"/>
            <w:sz w:val="20"/>
            <w:rtl/>
          </w:rPr>
          <w:t>وسلسلة المنشورات التقنية لاتفاقية التنوع البيولوجي رقم 64</w:t>
        </w:r>
      </w:hyperlink>
      <w:r w:rsidRPr="003607CA">
        <w:rPr>
          <w:rFonts w:ascii="Simplified Arabic" w:hAnsi="Simplified Arabic"/>
          <w:sz w:val="20"/>
          <w:rtl/>
        </w:rPr>
        <w:t>.</w:t>
      </w:r>
    </w:p>
  </w:footnote>
  <w:footnote w:id="148">
    <w:p w:rsidR="000C66C6" w:rsidRDefault="000C66C6" w:rsidP="00B42CBF">
      <w:pPr>
        <w:pStyle w:val="FootnoteText"/>
      </w:pPr>
      <w:r>
        <w:rPr>
          <w:rStyle w:val="FootnoteReference"/>
        </w:rPr>
        <w:footnoteRef/>
      </w:r>
      <w:r>
        <w:rPr>
          <w:rtl/>
        </w:rPr>
        <w:t xml:space="preserve"> </w:t>
      </w:r>
      <w:r w:rsidRPr="003607CA">
        <w:rPr>
          <w:rFonts w:hint="cs"/>
          <w:rtl/>
        </w:rPr>
        <w:t xml:space="preserve">المقرر </w:t>
      </w:r>
      <w:hyperlink r:id="rId76" w:history="1">
        <w:r w:rsidRPr="003607CA">
          <w:rPr>
            <w:rStyle w:val="Hyperlink"/>
            <w:rFonts w:hint="cs"/>
            <w:color w:val="auto"/>
            <w:u w:val="none"/>
            <w:rtl/>
          </w:rPr>
          <w:t>12/12</w:t>
        </w:r>
      </w:hyperlink>
      <w:r w:rsidRPr="003607CA">
        <w:rPr>
          <w:rFonts w:hint="cs"/>
          <w:rtl/>
        </w:rPr>
        <w:t xml:space="preserve">، </w:t>
      </w:r>
      <w:hyperlink r:id="rId77" w:history="1">
        <w:r w:rsidRPr="003607CA">
          <w:rPr>
            <w:rStyle w:val="Hyperlink"/>
            <w:rFonts w:hint="cs"/>
            <w:color w:val="auto"/>
            <w:u w:val="none"/>
            <w:rtl/>
          </w:rPr>
          <w:t>المرفق</w:t>
        </w:r>
      </w:hyperlink>
      <w:r w:rsidRPr="003607CA">
        <w:rPr>
          <w:rFonts w:hint="cs"/>
          <w:rtl/>
        </w:rPr>
        <w:t>، لا سيما المهمة الثالثة المتعلقة بالمناطق المحمية.</w:t>
      </w:r>
    </w:p>
  </w:footnote>
  <w:footnote w:id="149">
    <w:p w:rsidR="000C66C6" w:rsidRDefault="000C66C6" w:rsidP="003607CA">
      <w:pPr>
        <w:pStyle w:val="FootnoteText"/>
      </w:pPr>
      <w:r>
        <w:rPr>
          <w:rStyle w:val="FootnoteReference"/>
        </w:rPr>
        <w:footnoteRef/>
      </w:r>
      <w:r>
        <w:rPr>
          <w:rtl/>
        </w:rPr>
        <w:t xml:space="preserve"> </w:t>
      </w:r>
      <w:r w:rsidRPr="003607CA">
        <w:rPr>
          <w:rFonts w:hint="cs"/>
          <w:rtl/>
        </w:rPr>
        <w:t xml:space="preserve">تشمل الإرشادات المفيدة: </w:t>
      </w:r>
      <w:bookmarkStart w:id="23" w:name="_Hlk512092871"/>
      <w:r w:rsidRPr="003607CA">
        <w:rPr>
          <w:rFonts w:hint="cs"/>
          <w:rtl/>
        </w:rPr>
        <w:t xml:space="preserve">لجنة الأمم المتحدة الاقتصادية لأوروبا، </w:t>
      </w:r>
      <w:hyperlink r:id="rId78" w:history="1">
        <w:r w:rsidRPr="003607CA">
          <w:rPr>
            <w:rStyle w:val="Hyperlink"/>
            <w:rFonts w:hint="cs"/>
            <w:color w:val="auto"/>
            <w:u w:val="none"/>
            <w:rtl/>
            <w:lang w:val="en-GB"/>
          </w:rPr>
          <w:t>و</w:t>
        </w:r>
        <w:r w:rsidRPr="003607CA">
          <w:rPr>
            <w:rStyle w:val="Hyperlink"/>
            <w:color w:val="auto"/>
            <w:u w:val="none"/>
            <w:rtl/>
          </w:rPr>
          <w:t>الاتفاقية الخاصة بإتاحة فرص الحصول على معلومات البيئة ومشاركة الجمهور في اتخاذ القرارات بشأنها والاحتكام إلى القضاء في المسائل المتعلقة بها</w:t>
        </w:r>
      </w:hyperlink>
      <w:r w:rsidRPr="003607CA">
        <w:rPr>
          <w:rFonts w:hint="cs"/>
          <w:rtl/>
        </w:rPr>
        <w:t xml:space="preserve"> ("اتفاقية آرهوس")</w:t>
      </w:r>
      <w:bookmarkEnd w:id="23"/>
      <w:r w:rsidRPr="003607CA">
        <w:rPr>
          <w:rFonts w:hint="cs"/>
          <w:rtl/>
        </w:rPr>
        <w:t>.</w:t>
      </w:r>
    </w:p>
  </w:footnote>
  <w:footnote w:id="150">
    <w:p w:rsidR="000C66C6" w:rsidRDefault="000C66C6" w:rsidP="003607CA">
      <w:pPr>
        <w:pStyle w:val="FootnoteText"/>
      </w:pPr>
      <w:r>
        <w:rPr>
          <w:rStyle w:val="FootnoteReference"/>
        </w:rPr>
        <w:footnoteRef/>
      </w:r>
      <w:r>
        <w:rPr>
          <w:rFonts w:hint="cs"/>
          <w:rtl/>
        </w:rPr>
        <w:t xml:space="preserve"> </w:t>
      </w:r>
      <w:r w:rsidRPr="003607CA">
        <w:rPr>
          <w:rFonts w:hint="cs"/>
          <w:rtl/>
        </w:rPr>
        <w:t xml:space="preserve">المقرر </w:t>
      </w:r>
      <w:hyperlink r:id="rId79" w:history="1">
        <w:r w:rsidRPr="003607CA">
          <w:rPr>
            <w:rStyle w:val="Hyperlink"/>
            <w:rFonts w:hint="cs"/>
            <w:color w:val="auto"/>
            <w:u w:val="none"/>
            <w:rtl/>
          </w:rPr>
          <w:t>7/28</w:t>
        </w:r>
      </w:hyperlink>
      <w:r w:rsidRPr="003607CA">
        <w:rPr>
          <w:rFonts w:hint="cs"/>
          <w:rtl/>
        </w:rPr>
        <w:t xml:space="preserve">، النشاط المقترح رقم 2-1-1، والمقرر </w:t>
      </w:r>
      <w:hyperlink r:id="rId80" w:history="1">
        <w:r w:rsidRPr="003607CA">
          <w:rPr>
            <w:rStyle w:val="Hyperlink"/>
            <w:rFonts w:hint="cs"/>
            <w:color w:val="auto"/>
            <w:u w:val="none"/>
            <w:rtl/>
          </w:rPr>
          <w:t>9/18</w:t>
        </w:r>
      </w:hyperlink>
      <w:r w:rsidRPr="003607CA">
        <w:rPr>
          <w:rFonts w:hint="cs"/>
          <w:rtl/>
        </w:rPr>
        <w:t xml:space="preserve"> ألف، الفقرة 6(ﻫ)، والمقرر </w:t>
      </w:r>
      <w:hyperlink r:id="rId81" w:history="1">
        <w:r w:rsidRPr="003607CA">
          <w:rPr>
            <w:rStyle w:val="Hyperlink"/>
            <w:rFonts w:hint="cs"/>
            <w:color w:val="auto"/>
            <w:u w:val="none"/>
            <w:rtl/>
          </w:rPr>
          <w:t>10/31</w:t>
        </w:r>
      </w:hyperlink>
      <w:r w:rsidRPr="003607CA">
        <w:rPr>
          <w:rFonts w:hint="cs"/>
          <w:rtl/>
        </w:rPr>
        <w:t>، الفقرتان 31(أ) و32(د).</w:t>
      </w:r>
    </w:p>
  </w:footnote>
  <w:footnote w:id="151">
    <w:p w:rsidR="000C66C6" w:rsidRPr="00066C38" w:rsidRDefault="000C66C6" w:rsidP="003607CA">
      <w:pPr>
        <w:pStyle w:val="FootnoteText"/>
        <w:rPr>
          <w:rFonts w:cs="Times New Roman"/>
          <w:b/>
          <w:szCs w:val="18"/>
          <w:rtl/>
        </w:rPr>
      </w:pPr>
      <w:r>
        <w:rPr>
          <w:rStyle w:val="FootnoteReference"/>
        </w:rPr>
        <w:footnoteRef/>
      </w:r>
      <w:r>
        <w:rPr>
          <w:rtl/>
        </w:rPr>
        <w:t xml:space="preserve"> </w:t>
      </w:r>
      <w:r w:rsidRPr="00066C38">
        <w:rPr>
          <w:rFonts w:eastAsia="MS Mincho" w:cs="Times New Roman"/>
          <w:bCs/>
          <w:snapToGrid w:val="0"/>
          <w:kern w:val="18"/>
          <w:szCs w:val="18"/>
        </w:rPr>
        <w:t>Franks, P et al. (2018) Understanding and assessing equity in protected area conservation: a matter of governance, rights, social impacts and human wellbeing. IIED Issue Paper. IIED, London</w:t>
      </w:r>
      <w:r w:rsidRPr="00066C38">
        <w:rPr>
          <w:rFonts w:eastAsia="MS Mincho" w:cs="Times New Roman"/>
          <w:b/>
          <w:snapToGrid w:val="0"/>
          <w:kern w:val="18"/>
          <w:szCs w:val="18"/>
          <w:rtl/>
          <w:lang w:val="en-GB"/>
        </w:rPr>
        <w:t>.</w:t>
      </w:r>
    </w:p>
  </w:footnote>
  <w:footnote w:id="152">
    <w:p w:rsidR="000C66C6" w:rsidRDefault="000C66C6" w:rsidP="003607CA">
      <w:pPr>
        <w:pStyle w:val="FootnoteText"/>
      </w:pPr>
      <w:r>
        <w:rPr>
          <w:rStyle w:val="FootnoteReference"/>
        </w:rPr>
        <w:footnoteRef/>
      </w:r>
      <w:r>
        <w:rPr>
          <w:rtl/>
        </w:rPr>
        <w:t xml:space="preserve"> </w:t>
      </w:r>
      <w:r w:rsidRPr="003607CA">
        <w:rPr>
          <w:rFonts w:hint="cs"/>
          <w:rtl/>
        </w:rPr>
        <w:t xml:space="preserve">المقرر </w:t>
      </w:r>
      <w:hyperlink r:id="rId82" w:history="1">
        <w:r w:rsidRPr="003607CA">
          <w:rPr>
            <w:rStyle w:val="Hyperlink"/>
            <w:rFonts w:hint="cs"/>
            <w:color w:val="auto"/>
            <w:u w:val="none"/>
            <w:rtl/>
          </w:rPr>
          <w:t>7/28</w:t>
        </w:r>
      </w:hyperlink>
      <w:r w:rsidRPr="003607CA">
        <w:rPr>
          <w:rFonts w:hint="cs"/>
          <w:rtl/>
        </w:rPr>
        <w:t>، النشاط المقترح رقم 1-1-7 من الغاية 1 لبرنامج العمل بشأن المناطق المحمية.</w:t>
      </w:r>
    </w:p>
  </w:footnote>
  <w:footnote w:id="153">
    <w:p w:rsidR="000C66C6" w:rsidRPr="0057412F" w:rsidRDefault="000C66C6" w:rsidP="003607CA">
      <w:pPr>
        <w:pStyle w:val="FootnoteText"/>
        <w:rPr>
          <w:rtl/>
          <w:lang w:val="en-GB"/>
        </w:rPr>
      </w:pPr>
      <w:r>
        <w:rPr>
          <w:rStyle w:val="FootnoteReference"/>
        </w:rPr>
        <w:footnoteRef/>
      </w:r>
      <w:r>
        <w:rPr>
          <w:rtl/>
        </w:rPr>
        <w:t xml:space="preserve"> </w:t>
      </w:r>
      <w:r w:rsidRPr="003607CA">
        <w:rPr>
          <w:rFonts w:hint="cs"/>
          <w:rtl/>
        </w:rPr>
        <w:t xml:space="preserve">تشمل الإرشادات المفيدة: لجنة الأمم المتحدة الاقتصادية لأوروبا </w:t>
      </w:r>
      <w:r w:rsidRPr="003607CA">
        <w:rPr>
          <w:rtl/>
        </w:rPr>
        <w:t>(</w:t>
      </w:r>
      <w:r w:rsidRPr="003607CA">
        <w:rPr>
          <w:lang w:val="en-GB"/>
        </w:rPr>
        <w:t>UNECE</w:t>
      </w:r>
      <w:r w:rsidRPr="003607CA">
        <w:rPr>
          <w:rtl/>
          <w:lang w:val="en-GB"/>
        </w:rPr>
        <w:t>)</w:t>
      </w:r>
      <w:r w:rsidRPr="003607CA">
        <w:rPr>
          <w:rFonts w:hint="cs"/>
          <w:rtl/>
          <w:lang w:val="en-GB"/>
        </w:rPr>
        <w:t>، و</w:t>
      </w:r>
      <w:r w:rsidRPr="003607CA">
        <w:rPr>
          <w:rtl/>
        </w:rPr>
        <w:t xml:space="preserve">الاتفاقية الخاصة بإتاحة فرص الحصول على معلومات عن البيئة ومشاركة الجمهور في اتخاذ القرارات بشأنها والاحتكام إلى القضاء في المسائل المتعلقة بها </w:t>
      </w:r>
      <w:r w:rsidRPr="003607CA">
        <w:rPr>
          <w:rFonts w:hint="cs"/>
          <w:rtl/>
        </w:rPr>
        <w:t xml:space="preserve">("اتفاقية آرهوس")؛ </w:t>
      </w:r>
      <w:hyperlink r:id="rId83" w:history="1">
        <w:r w:rsidRPr="003607CA">
          <w:rPr>
            <w:rStyle w:val="Hyperlink"/>
            <w:rFonts w:hint="cs"/>
            <w:color w:val="auto"/>
            <w:u w:val="none"/>
            <w:rtl/>
          </w:rPr>
          <w:t>والمبادئ التوجيهية الطوعية لمنظمة الأغذية والزراعة بشأن الحوكمة المسؤولة للحيازة</w:t>
        </w:r>
      </w:hyperlink>
      <w:r w:rsidRPr="003607CA">
        <w:rPr>
          <w:rFonts w:hint="cs"/>
          <w:rtl/>
        </w:rPr>
        <w:t xml:space="preserve"> (2012)، وخطة عمل اتفاقية التنوع البيولوجي المتعلقة بالاستخدام المألوف المستدام (المقرر 12/12، </w:t>
      </w:r>
      <w:hyperlink r:id="rId84" w:history="1">
        <w:r w:rsidRPr="003607CA">
          <w:rPr>
            <w:rStyle w:val="Hyperlink"/>
            <w:rFonts w:hint="cs"/>
            <w:color w:val="auto"/>
            <w:u w:val="none"/>
            <w:rtl/>
          </w:rPr>
          <w:t>المرفق</w:t>
        </w:r>
      </w:hyperlink>
      <w:r w:rsidRPr="003607CA">
        <w:rPr>
          <w:rFonts w:hint="cs"/>
          <w:rtl/>
        </w:rPr>
        <w:t xml:space="preserve">)؛ ومبادئ أغواي:غو التوجيهية؛ </w:t>
      </w:r>
      <w:hyperlink r:id="rId85" w:history="1">
        <w:r w:rsidRPr="003607CA">
          <w:rPr>
            <w:rStyle w:val="Hyperlink"/>
            <w:rFonts w:hint="cs"/>
            <w:color w:val="auto"/>
            <w:u w:val="none"/>
            <w:rtl/>
          </w:rPr>
          <w:t>وإعلان الأمم المتحدة بشأن حقوق الشعوب الأصلية</w:t>
        </w:r>
      </w:hyperlink>
      <w:r w:rsidRPr="003607CA">
        <w:rPr>
          <w:rFonts w:hint="cs"/>
          <w:rtl/>
        </w:rPr>
        <w:t>؛ والمبادئ التوجيهية الطوعية لمنظمة الأغذية والزراعة بشأن مصايد الأسماك صغيرة الحجم.</w:t>
      </w:r>
    </w:p>
  </w:footnote>
  <w:footnote w:id="154">
    <w:p w:rsidR="000C66C6" w:rsidRDefault="000C66C6" w:rsidP="003607CA">
      <w:pPr>
        <w:pStyle w:val="FootnoteText"/>
      </w:pPr>
      <w:r>
        <w:rPr>
          <w:rStyle w:val="FootnoteReference"/>
        </w:rPr>
        <w:footnoteRef/>
      </w:r>
      <w:r>
        <w:rPr>
          <w:rFonts w:hint="cs"/>
          <w:rtl/>
        </w:rPr>
        <w:t xml:space="preserve"> </w:t>
      </w:r>
      <w:r w:rsidRPr="003607CA">
        <w:rPr>
          <w:rFonts w:hint="cs"/>
          <w:rtl/>
        </w:rPr>
        <w:t xml:space="preserve">تشمل الإرشادات المفيدة: منهجية تقييم الحوكمة على مستوى الموقع (المعهد الدولي للبيئة والتنمية، قيد الإصدار) </w:t>
      </w:r>
      <w:r w:rsidRPr="003607CA">
        <w:rPr>
          <w:rtl/>
        </w:rPr>
        <w:t>–</w:t>
      </w:r>
      <w:r w:rsidRPr="003607CA">
        <w:rPr>
          <w:rFonts w:hint="cs"/>
          <w:rtl/>
        </w:rPr>
        <w:t xml:space="preserve"> وتساعد التقييمات على مستوى الموقع على فهم الحوكمة الممارسة وتحديد الخيارات لتحسين و/أو تكييف أفضل لأنواع الحوكمة وترتيبات اتخاذ القرار مع السياق المحلي.</w:t>
      </w:r>
    </w:p>
  </w:footnote>
  <w:footnote w:id="155">
    <w:p w:rsidR="000C66C6" w:rsidRPr="00066C38" w:rsidRDefault="000C66C6" w:rsidP="003607CA">
      <w:pPr>
        <w:pStyle w:val="FootnoteText"/>
        <w:rPr>
          <w:rFonts w:cs="Times New Roman"/>
          <w:szCs w:val="18"/>
          <w:rtl/>
          <w:lang w:val="en-GB"/>
        </w:rPr>
      </w:pPr>
      <w:r>
        <w:rPr>
          <w:rStyle w:val="FootnoteReference"/>
        </w:rPr>
        <w:footnoteRef/>
      </w:r>
      <w:r>
        <w:rPr>
          <w:rtl/>
        </w:rPr>
        <w:t xml:space="preserve"> </w:t>
      </w:r>
      <w:r w:rsidRPr="003607CA">
        <w:rPr>
          <w:rFonts w:hint="cs"/>
          <w:rtl/>
        </w:rPr>
        <w:t xml:space="preserve">تشمل الإرشادات المفيدة: </w:t>
      </w:r>
      <w:r w:rsidRPr="003607CA">
        <w:t>Franks, P and Small, R (2016) Social Assessment for Protected Areas (SAPA). Methodology Manual for SAPA Facilitators. IIED, London</w:t>
      </w:r>
      <w:r w:rsidRPr="003607CA">
        <w:rPr>
          <w:rFonts w:eastAsia="Times New Roman"/>
          <w:rtl/>
          <w:lang w:val="en-GB"/>
        </w:rPr>
        <w:t>.</w:t>
      </w:r>
    </w:p>
  </w:footnote>
  <w:footnote w:id="156">
    <w:p w:rsidR="000C66C6" w:rsidRDefault="000C66C6" w:rsidP="003607CA">
      <w:pPr>
        <w:pStyle w:val="FootnoteText"/>
      </w:pPr>
      <w:r>
        <w:rPr>
          <w:rStyle w:val="FootnoteReference"/>
        </w:rPr>
        <w:footnoteRef/>
      </w:r>
      <w:r>
        <w:rPr>
          <w:rtl/>
        </w:rPr>
        <w:t xml:space="preserve"> </w:t>
      </w:r>
      <w:r w:rsidRPr="003607CA">
        <w:rPr>
          <w:rFonts w:hint="cs"/>
          <w:rtl/>
        </w:rPr>
        <w:t>المقرر 7/28، النشاط المقترح 2-1-6.</w:t>
      </w:r>
    </w:p>
  </w:footnote>
  <w:footnote w:id="157">
    <w:p w:rsidR="000C66C6" w:rsidRPr="0057412F" w:rsidRDefault="000C66C6" w:rsidP="003607CA">
      <w:pPr>
        <w:pStyle w:val="FootnoteText"/>
        <w:rPr>
          <w:rtl/>
          <w:lang w:val="en-GB"/>
        </w:rPr>
      </w:pPr>
      <w:r>
        <w:rPr>
          <w:rStyle w:val="FootnoteReference"/>
        </w:rPr>
        <w:footnoteRef/>
      </w:r>
      <w:r>
        <w:rPr>
          <w:rtl/>
        </w:rPr>
        <w:t xml:space="preserve"> </w:t>
      </w:r>
      <w:r w:rsidRPr="003607CA">
        <w:rPr>
          <w:rFonts w:hint="cs"/>
          <w:rtl/>
        </w:rPr>
        <w:t xml:space="preserve">تشمل الإرشادات المفيدة: التقييم الاجتماعي للمناطق المحمية </w:t>
      </w:r>
      <w:r w:rsidRPr="003607CA">
        <w:rPr>
          <w:rtl/>
        </w:rPr>
        <w:t>(</w:t>
      </w:r>
      <w:r w:rsidRPr="003607CA">
        <w:rPr>
          <w:lang w:val="en-GB"/>
        </w:rPr>
        <w:t>SAPA</w:t>
      </w:r>
      <w:r w:rsidRPr="003607CA">
        <w:rPr>
          <w:rtl/>
          <w:lang w:val="en-GB"/>
        </w:rPr>
        <w:t>)</w:t>
      </w:r>
      <w:r w:rsidRPr="003607CA">
        <w:rPr>
          <w:rFonts w:hint="cs"/>
          <w:rtl/>
          <w:lang w:val="en-GB"/>
        </w:rPr>
        <w:t>.</w:t>
      </w:r>
    </w:p>
  </w:footnote>
  <w:footnote w:id="158">
    <w:p w:rsidR="000C66C6" w:rsidRPr="0057412F" w:rsidRDefault="000C66C6" w:rsidP="003607CA">
      <w:pPr>
        <w:pStyle w:val="FootnoteText"/>
        <w:rPr>
          <w:rFonts w:ascii="Simplified Arabic" w:hAnsi="Simplified Arabic"/>
          <w:sz w:val="22"/>
        </w:rPr>
      </w:pPr>
      <w:r>
        <w:rPr>
          <w:rStyle w:val="FootnoteReference"/>
        </w:rPr>
        <w:footnoteRef/>
      </w:r>
      <w:r>
        <w:rPr>
          <w:rtl/>
        </w:rPr>
        <w:t xml:space="preserve"> </w:t>
      </w:r>
      <w:r w:rsidRPr="003607CA">
        <w:rPr>
          <w:rFonts w:hint="cs"/>
          <w:rtl/>
        </w:rPr>
        <w:t xml:space="preserve">تقدم الوثيقة </w:t>
      </w:r>
      <w:r w:rsidRPr="003607CA">
        <w:rPr>
          <w:rFonts w:eastAsia="Times New Roman"/>
          <w:lang w:val="en-GB"/>
        </w:rPr>
        <w:t>CBD/PA/EM/2018/1/INF/4</w:t>
      </w:r>
      <w:r w:rsidRPr="003607CA">
        <w:rPr>
          <w:rFonts w:eastAsia="Times New Roman" w:hint="cs"/>
          <w:rtl/>
          <w:lang w:val="en-GB"/>
        </w:rPr>
        <w:t xml:space="preserve"> أمثلة كثيرة على هذه المساهمات.</w:t>
      </w:r>
    </w:p>
  </w:footnote>
  <w:footnote w:id="159">
    <w:p w:rsidR="000C66C6" w:rsidRPr="00510EED" w:rsidRDefault="000C66C6" w:rsidP="000A5DEA">
      <w:pPr>
        <w:pStyle w:val="FootnoteText"/>
        <w:rPr>
          <w:rFonts w:ascii="Simplified Arabic" w:hAnsi="Simplified Arabic"/>
          <w:sz w:val="20"/>
          <w:rtl/>
        </w:rPr>
      </w:pPr>
      <w:r>
        <w:rPr>
          <w:rStyle w:val="FootnoteReference"/>
        </w:rPr>
        <w:footnoteRef/>
      </w:r>
      <w:r>
        <w:rPr>
          <w:rtl/>
        </w:rPr>
        <w:t xml:space="preserve"> </w:t>
      </w:r>
      <w:r w:rsidRPr="00510EED">
        <w:rPr>
          <w:rFonts w:ascii="Simplified Arabic" w:hAnsi="Simplified Arabic"/>
          <w:sz w:val="20"/>
          <w:rtl/>
        </w:rPr>
        <w:t xml:space="preserve">تنأى تركيا نفسها </w:t>
      </w:r>
      <w:r>
        <w:rPr>
          <w:rFonts w:ascii="Simplified Arabic" w:hAnsi="Simplified Arabic" w:hint="cs"/>
          <w:sz w:val="20"/>
          <w:rtl/>
        </w:rPr>
        <w:t>ع</w:t>
      </w:r>
      <w:r w:rsidRPr="00510EED">
        <w:rPr>
          <w:rFonts w:ascii="Simplified Arabic" w:hAnsi="Simplified Arabic"/>
          <w:sz w:val="20"/>
          <w:rtl/>
        </w:rPr>
        <w:t>ن الإشارة المذكورة في الصك الدولي التي ليست طرفا فيه، اتفاقية الأمم المتحدة لقانون البحار، 1982. ولا تفسر المشاركة في هذا المؤتمر على أنها تغير في الموق</w:t>
      </w:r>
      <w:r>
        <w:rPr>
          <w:rFonts w:ascii="Simplified Arabic" w:hAnsi="Simplified Arabic" w:hint="cs"/>
          <w:sz w:val="20"/>
          <w:rtl/>
        </w:rPr>
        <w:t>ف</w:t>
      </w:r>
      <w:r w:rsidRPr="00510EED">
        <w:rPr>
          <w:rFonts w:ascii="Simplified Arabic" w:hAnsi="Simplified Arabic"/>
          <w:sz w:val="20"/>
          <w:rtl/>
        </w:rPr>
        <w:t xml:space="preserve"> القانوني المعروف لتركيا تجاه الصك المذكور.</w:t>
      </w:r>
    </w:p>
  </w:footnote>
  <w:footnote w:id="160">
    <w:p w:rsidR="000C66C6" w:rsidRDefault="000C66C6" w:rsidP="000A5DEA">
      <w:pPr>
        <w:pStyle w:val="FootnoteText"/>
      </w:pPr>
      <w:r>
        <w:rPr>
          <w:rStyle w:val="FootnoteReference"/>
        </w:rPr>
        <w:footnoteRef/>
      </w:r>
      <w:r>
        <w:rPr>
          <w:rtl/>
        </w:rPr>
        <w:t xml:space="preserve"> </w:t>
      </w:r>
      <w:r>
        <w:rPr>
          <w:rFonts w:hint="cs"/>
          <w:rtl/>
        </w:rPr>
        <w:t>تعتبر جمهورية فنزويلا البوليفارية أن اتفاقية الأمم المتحدة لقانون البحار ليست الإطار القانوني الوحيد الذي ينبغي أن ينظم جميع الأنشطة المتعلقة بالبحار والمحيطات.</w:t>
      </w:r>
    </w:p>
  </w:footnote>
  <w:footnote w:id="161">
    <w:p w:rsidR="000C66C6" w:rsidRDefault="000C66C6" w:rsidP="000A5DEA">
      <w:pPr>
        <w:pStyle w:val="FootnoteText"/>
      </w:pPr>
      <w:r>
        <w:rPr>
          <w:rStyle w:val="FootnoteReference"/>
        </w:rPr>
        <w:footnoteRef/>
      </w:r>
      <w:r>
        <w:rPr>
          <w:rtl/>
        </w:rPr>
        <w:t xml:space="preserve"> </w:t>
      </w:r>
      <w:r>
        <w:rPr>
          <w:rFonts w:hint="cs"/>
          <w:rtl/>
        </w:rPr>
        <w:t>تعيد كولومبيا التأكيد على أن اتفاقية الأمم المتحدة لقانون البحار ليس الصك القانوني الوحيد الذي ينظم جميع الأنشطة القانونية المنفذة في المحيطات والبحار. ولا تؤثر مشاركة كولومبيا في هذا المؤتمر في وضعها أو حقوقها، ولا يمكن تفسيرها على أنها قبول ضمني أو صريح لأحكام اتفاقية الأمم المتحدة لقانون البحار، وهو صك ليست كولومبيا عضو فيه.</w:t>
      </w:r>
    </w:p>
  </w:footnote>
  <w:footnote w:id="162">
    <w:p w:rsidR="000C66C6" w:rsidRPr="0017656E" w:rsidRDefault="000C66C6" w:rsidP="000A5DEA">
      <w:pPr>
        <w:pStyle w:val="FootnoteText"/>
        <w:spacing w:line="204" w:lineRule="auto"/>
        <w:rPr>
          <w:rFonts w:ascii="Simplified Arabic" w:hAnsi="Simplified Arabic"/>
        </w:rPr>
      </w:pPr>
      <w:r w:rsidRPr="0017656E">
        <w:rPr>
          <w:rStyle w:val="FootnoteReference"/>
          <w:rFonts w:ascii="Simplified Arabic" w:hAnsi="Simplified Arabic"/>
        </w:rPr>
        <w:footnoteRef/>
      </w:r>
      <w:r w:rsidRPr="0017656E">
        <w:rPr>
          <w:rFonts w:ascii="Simplified Arabic" w:hAnsi="Simplified Arabic"/>
          <w:rtl/>
        </w:rPr>
        <w:t xml:space="preserve"> </w:t>
      </w:r>
      <w:r w:rsidRPr="00681770">
        <w:rPr>
          <w:rFonts w:asciiTheme="majorBidi" w:hAnsiTheme="majorBidi" w:cstheme="majorBidi"/>
          <w:snapToGrid w:val="0"/>
          <w:kern w:val="18"/>
        </w:rPr>
        <w:t>CBD/EBSA/WS/2017/1/3</w:t>
      </w:r>
      <w:r w:rsidRPr="0017656E">
        <w:rPr>
          <w:rFonts w:ascii="Simplified Arabic" w:hAnsi="Simplified Arabic"/>
          <w:snapToGrid w:val="0"/>
          <w:kern w:val="18"/>
          <w:rtl/>
        </w:rPr>
        <w:t xml:space="preserve"> و</w:t>
      </w:r>
      <w:r w:rsidRPr="00681770">
        <w:rPr>
          <w:rFonts w:asciiTheme="majorBidi" w:hAnsiTheme="majorBidi" w:cstheme="majorBidi"/>
          <w:snapToGrid w:val="0"/>
          <w:kern w:val="18"/>
        </w:rPr>
        <w:t>CBD/EBSA/WS/2018/1/4</w:t>
      </w:r>
      <w:r w:rsidRPr="0017656E">
        <w:rPr>
          <w:rFonts w:ascii="Simplified Arabic" w:eastAsia="YouYuan" w:hAnsi="Simplified Arabic"/>
          <w:kern w:val="2"/>
          <w:rtl/>
          <w:lang w:eastAsia="en-US"/>
        </w:rPr>
        <w:t>.</w:t>
      </w:r>
    </w:p>
  </w:footnote>
  <w:footnote w:id="163">
    <w:p w:rsidR="000C66C6" w:rsidRPr="0017656E" w:rsidRDefault="000C66C6" w:rsidP="000A5DEA">
      <w:pPr>
        <w:pStyle w:val="FootnoteText"/>
        <w:spacing w:line="204" w:lineRule="auto"/>
        <w:rPr>
          <w:rFonts w:ascii="Simplified Arabic" w:hAnsi="Simplified Arabic"/>
        </w:rPr>
      </w:pPr>
      <w:r w:rsidRPr="0017656E">
        <w:rPr>
          <w:rStyle w:val="FootnoteReference"/>
          <w:rFonts w:ascii="Simplified Arabic" w:hAnsi="Simplified Arabic"/>
        </w:rPr>
        <w:footnoteRef/>
      </w:r>
      <w:r w:rsidRPr="0017656E">
        <w:rPr>
          <w:rFonts w:ascii="Simplified Arabic" w:hAnsi="Simplified Arabic"/>
          <w:rtl/>
        </w:rPr>
        <w:t xml:space="preserve"> </w:t>
      </w:r>
      <w:r w:rsidRPr="008927B6">
        <w:rPr>
          <w:rStyle w:val="Strong"/>
          <w:rFonts w:asciiTheme="majorBidi" w:hAnsiTheme="majorBidi" w:cstheme="majorBidi"/>
          <w:b w:val="0"/>
          <w:snapToGrid w:val="0"/>
          <w:kern w:val="18"/>
        </w:rPr>
        <w:t>CBD/EBSA/EM/2017/1/3</w:t>
      </w:r>
      <w:r w:rsidRPr="008927B6">
        <w:rPr>
          <w:rFonts w:ascii="Simplified Arabic" w:eastAsia="YouYuan" w:hAnsi="Simplified Arabic"/>
          <w:b/>
          <w:bCs/>
          <w:kern w:val="2"/>
          <w:rtl/>
          <w:lang w:eastAsia="en-US"/>
        </w:rPr>
        <w:t>.</w:t>
      </w:r>
    </w:p>
  </w:footnote>
  <w:footnote w:id="164">
    <w:p w:rsidR="000C66C6" w:rsidRDefault="000C66C6" w:rsidP="000A5DEA">
      <w:pPr>
        <w:pStyle w:val="FootnoteText"/>
      </w:pPr>
      <w:r>
        <w:rPr>
          <w:rStyle w:val="FootnoteReference"/>
        </w:rPr>
        <w:footnoteRef/>
      </w:r>
      <w:r>
        <w:rPr>
          <w:rtl/>
        </w:rPr>
        <w:t xml:space="preserve"> </w:t>
      </w:r>
      <w:r w:rsidRPr="00E34281">
        <w:rPr>
          <w:rFonts w:ascii="Simplified Arabic" w:hAnsi="Simplified Arabic" w:hint="cs"/>
          <w:rtl/>
        </w:rPr>
        <w:t xml:space="preserve">يرد التقرير في </w:t>
      </w:r>
      <w:r w:rsidRPr="00E34281">
        <w:rPr>
          <w:kern w:val="22"/>
        </w:rPr>
        <w:t>CBD/EBSA/WS/2017/1/3</w:t>
      </w:r>
      <w:r w:rsidRPr="00E34281">
        <w:rPr>
          <w:rFonts w:ascii="Simplified Arabic" w:hAnsi="Simplified Arabic" w:hint="cs"/>
          <w:rtl/>
        </w:rPr>
        <w:t>.</w:t>
      </w:r>
    </w:p>
  </w:footnote>
  <w:footnote w:id="165">
    <w:p w:rsidR="000C66C6" w:rsidRDefault="000C66C6" w:rsidP="000A5DEA">
      <w:pPr>
        <w:pStyle w:val="FootnoteText"/>
        <w:rPr>
          <w:rtl/>
        </w:rPr>
      </w:pPr>
      <w:r>
        <w:rPr>
          <w:rStyle w:val="FootnoteReference"/>
        </w:rPr>
        <w:footnoteRef/>
      </w:r>
      <w:r>
        <w:rPr>
          <w:rtl/>
        </w:rPr>
        <w:t xml:space="preserve"> </w:t>
      </w:r>
      <w:r w:rsidRPr="00E34281">
        <w:rPr>
          <w:rFonts w:ascii="Simplified Arabic" w:hAnsi="Simplified Arabic" w:hint="cs"/>
          <w:rtl/>
        </w:rPr>
        <w:t xml:space="preserve">يرد التقرير في </w:t>
      </w:r>
      <w:r w:rsidRPr="00E34281">
        <w:rPr>
          <w:kern w:val="22"/>
        </w:rPr>
        <w:t>CBD/EBSA/WS/2018/1/4</w:t>
      </w:r>
      <w:r w:rsidRPr="00E34281">
        <w:rPr>
          <w:rFonts w:hint="cs"/>
          <w:rtl/>
        </w:rPr>
        <w:t>.</w:t>
      </w:r>
    </w:p>
  </w:footnote>
  <w:footnote w:id="166">
    <w:p w:rsidR="000C66C6" w:rsidRDefault="000C66C6" w:rsidP="000A5DEA">
      <w:pPr>
        <w:pStyle w:val="FootnoteText"/>
        <w:rPr>
          <w:rtl/>
        </w:rPr>
      </w:pPr>
      <w:r>
        <w:rPr>
          <w:rStyle w:val="FootnoteReference"/>
        </w:rPr>
        <w:footnoteRef/>
      </w:r>
      <w:r>
        <w:rPr>
          <w:rtl/>
        </w:rPr>
        <w:t xml:space="preserve"> </w:t>
      </w:r>
      <w:hyperlink r:id="rId86" w:history="1">
        <w:r w:rsidRPr="00AE5E25">
          <w:rPr>
            <w:rStyle w:val="Hyperlink"/>
            <w:rFonts w:hint="cs"/>
            <w:snapToGrid w:val="0"/>
            <w:kern w:val="18"/>
            <w:szCs w:val="18"/>
            <w:rtl/>
          </w:rPr>
          <w:t xml:space="preserve">الأمم المتحدة، </w:t>
        </w:r>
        <w:r w:rsidRPr="00AE5E25">
          <w:rPr>
            <w:rStyle w:val="Hyperlink"/>
            <w:rFonts w:hint="cs"/>
            <w:i/>
            <w:iCs/>
            <w:snapToGrid w:val="0"/>
            <w:kern w:val="18"/>
            <w:szCs w:val="18"/>
            <w:rtl/>
          </w:rPr>
          <w:t>مجموعة المعاهدات</w:t>
        </w:r>
        <w:r w:rsidRPr="00AE5E25">
          <w:rPr>
            <w:rStyle w:val="Hyperlink"/>
            <w:rFonts w:hint="cs"/>
            <w:snapToGrid w:val="0"/>
            <w:kern w:val="18"/>
            <w:szCs w:val="18"/>
            <w:rtl/>
          </w:rPr>
          <w:t xml:space="preserve">، المجلد </w:t>
        </w:r>
        <w:r w:rsidRPr="00AE5E25">
          <w:rPr>
            <w:rStyle w:val="Hyperlink"/>
            <w:rFonts w:ascii="Simplified Arabic" w:hAnsi="Simplified Arabic"/>
            <w:snapToGrid w:val="0"/>
            <w:kern w:val="18"/>
            <w:szCs w:val="18"/>
            <w:rtl/>
          </w:rPr>
          <w:t>1833</w:t>
        </w:r>
        <w:r w:rsidRPr="00AE5E25">
          <w:rPr>
            <w:rStyle w:val="Hyperlink"/>
            <w:rFonts w:hint="cs"/>
            <w:snapToGrid w:val="0"/>
            <w:kern w:val="18"/>
            <w:szCs w:val="18"/>
            <w:rtl/>
          </w:rPr>
          <w:t xml:space="preserve">، الرقم </w:t>
        </w:r>
        <w:r w:rsidRPr="00AE5E25">
          <w:rPr>
            <w:rStyle w:val="Hyperlink"/>
            <w:rFonts w:ascii="Simplified Arabic" w:hAnsi="Simplified Arabic"/>
            <w:snapToGrid w:val="0"/>
            <w:kern w:val="18"/>
            <w:szCs w:val="18"/>
          </w:rPr>
          <w:t>31363</w:t>
        </w:r>
      </w:hyperlink>
      <w:r w:rsidRPr="00E34281">
        <w:rPr>
          <w:rFonts w:ascii="Simplified Arabic" w:hAnsi="Simplified Arabic" w:hint="cs"/>
          <w:rtl/>
        </w:rPr>
        <w:t>.</w:t>
      </w:r>
    </w:p>
  </w:footnote>
  <w:footnote w:id="167">
    <w:p w:rsidR="000C66C6" w:rsidRDefault="000C66C6" w:rsidP="000A5DEA">
      <w:pPr>
        <w:pStyle w:val="FootnoteText"/>
      </w:pPr>
      <w:r>
        <w:rPr>
          <w:rStyle w:val="FootnoteReference"/>
        </w:rPr>
        <w:footnoteRef/>
      </w:r>
      <w:r>
        <w:rPr>
          <w:rtl/>
        </w:rPr>
        <w:t xml:space="preserve"> </w:t>
      </w:r>
      <w:r>
        <w:rPr>
          <w:rFonts w:hint="cs"/>
          <w:rtl/>
        </w:rPr>
        <w:t>بما في ذلك الخبراء الذين شاركوا في حلقات العمل الإقليمية، بناء على ترشيحهم من نقاط الاتصال الوطنية التابعة لاتفاقية التنوع البيولوجي والمنظمات ذات الصلة، والتي اقترح فيها في الأصل تعديل وصف المناطق البحرية المهمة إيكولوجيا أو بيولوجيا.</w:t>
      </w:r>
    </w:p>
  </w:footnote>
  <w:footnote w:id="168">
    <w:p w:rsidR="000C66C6" w:rsidRDefault="000C66C6" w:rsidP="000A5DEA">
      <w:pPr>
        <w:pStyle w:val="FootnoteText"/>
        <w:rPr>
          <w:rtl/>
        </w:rPr>
      </w:pPr>
      <w:r>
        <w:rPr>
          <w:rStyle w:val="FootnoteReference"/>
        </w:rPr>
        <w:footnoteRef/>
      </w:r>
      <w:r>
        <w:rPr>
          <w:rtl/>
        </w:rPr>
        <w:t xml:space="preserve"> </w:t>
      </w:r>
      <w:r>
        <w:rPr>
          <w:rFonts w:hint="cs"/>
          <w:rtl/>
        </w:rPr>
        <w:t>الإرشادات التوجيهية الطوعية بشأن عمليات استعراض النظراء التي ستقوم بإعدادها الأمينة التنفيذية بمشورة من الفريق الاستشاري غير الرسمي المعني بالمناطق البحرية المهمة إيكولوجيا أو بيولوجيا لكي تنظر فيها الهيئة الفرعية للمشورة العلمية والتقنية والتكنولوجية ومؤتمر الأطراف.</w:t>
      </w:r>
    </w:p>
  </w:footnote>
  <w:footnote w:id="169">
    <w:p w:rsidR="000C66C6" w:rsidRDefault="000C66C6" w:rsidP="000A5DEA">
      <w:pPr>
        <w:pStyle w:val="FootnoteText"/>
        <w:rPr>
          <w:rtl/>
        </w:rPr>
      </w:pPr>
      <w:r>
        <w:rPr>
          <w:rStyle w:val="FootnoteReference"/>
        </w:rPr>
        <w:footnoteRef/>
      </w:r>
      <w:r>
        <w:rPr>
          <w:rtl/>
        </w:rPr>
        <w:t xml:space="preserve"> </w:t>
      </w:r>
      <w:r>
        <w:rPr>
          <w:rFonts w:hint="cs"/>
          <w:rtl/>
        </w:rPr>
        <w:t>الإرشادات التوجيهية الطوعية بشأن عمليات استعراض النظراء التي ستقوم بإعدادها الأمينة التنفيذية بمشورة من الفريق الاستشاري غير الرسمي المعني بالمناطق البحرية المهمة إيكولوجيا أو بيولوجيا لكي تنظر فيها الهيئة الفرعية للمشورة العلمية والتقنية والتكنولوجية ومؤتمر الأطراف.</w:t>
      </w:r>
    </w:p>
  </w:footnote>
  <w:footnote w:id="170">
    <w:p w:rsidR="000C66C6" w:rsidRDefault="000C66C6" w:rsidP="00E36426">
      <w:pPr>
        <w:pStyle w:val="FootnoteText"/>
        <w:rPr>
          <w:rtl/>
        </w:rPr>
      </w:pPr>
      <w:r>
        <w:rPr>
          <w:rStyle w:val="FootnoteReference"/>
        </w:rPr>
        <w:footnoteRef/>
      </w:r>
      <w:r>
        <w:rPr>
          <w:rFonts w:hint="cs"/>
          <w:rtl/>
        </w:rPr>
        <w:t xml:space="preserve"> </w:t>
      </w:r>
      <w:r w:rsidRPr="00E73453">
        <w:rPr>
          <w:rFonts w:ascii="Simplified Arabic" w:hAnsi="Simplified Arabic"/>
          <w:sz w:val="20"/>
          <w:rtl/>
        </w:rPr>
        <w:t xml:space="preserve">انظر قرار الجمعية العامة </w:t>
      </w:r>
      <w:hyperlink r:id="rId87" w:history="1">
        <w:r w:rsidRPr="00E73453">
          <w:rPr>
            <w:rStyle w:val="Hyperlink"/>
            <w:rFonts w:ascii="Simplified Arabic" w:hAnsi="Simplified Arabic"/>
            <w:sz w:val="20"/>
            <w:rtl/>
          </w:rPr>
          <w:t>70/1</w:t>
        </w:r>
      </w:hyperlink>
      <w:r w:rsidRPr="00E73453">
        <w:rPr>
          <w:rFonts w:ascii="Simplified Arabic" w:hAnsi="Simplified Arabic"/>
          <w:sz w:val="20"/>
          <w:rtl/>
        </w:rPr>
        <w:t xml:space="preserve"> المؤرخ 25 سبتمبر/أيلول 2015 بعنوان ”تحويل عالمنا: خطة التنمية المستدامة لعام 2030“.</w:t>
      </w:r>
    </w:p>
  </w:footnote>
  <w:footnote w:id="171">
    <w:p w:rsidR="000C66C6" w:rsidRPr="0017656E" w:rsidRDefault="000C66C6" w:rsidP="00E36426">
      <w:pPr>
        <w:pStyle w:val="FootnoteText"/>
        <w:rPr>
          <w:rFonts w:ascii="Simplified Arabic" w:hAnsi="Simplified Arabic"/>
          <w:rtl/>
        </w:rPr>
      </w:pPr>
      <w:r w:rsidRPr="0017656E">
        <w:rPr>
          <w:rStyle w:val="FootnoteReference"/>
          <w:rFonts w:ascii="Simplified Arabic" w:hAnsi="Simplified Arabic"/>
          <w:szCs w:val="20"/>
        </w:rPr>
        <w:footnoteRef/>
      </w:r>
      <w:r w:rsidRPr="0017656E">
        <w:rPr>
          <w:rFonts w:ascii="Simplified Arabic" w:hAnsi="Simplified Arabic"/>
          <w:rtl/>
        </w:rPr>
        <w:t xml:space="preserve"> </w:t>
      </w:r>
      <w:r w:rsidRPr="00E73453">
        <w:rPr>
          <w:rFonts w:ascii="Simplified Arabic" w:hAnsi="Simplified Arabic"/>
          <w:sz w:val="20"/>
          <w:rtl/>
        </w:rPr>
        <w:t xml:space="preserve">انظر قرار الجمعية العامة </w:t>
      </w:r>
      <w:hyperlink r:id="rId88" w:history="1">
        <w:r w:rsidRPr="00E73453">
          <w:rPr>
            <w:rStyle w:val="Hyperlink"/>
            <w:rFonts w:ascii="Simplified Arabic" w:hAnsi="Simplified Arabic"/>
            <w:sz w:val="20"/>
            <w:rtl/>
          </w:rPr>
          <w:t>71/312</w:t>
        </w:r>
      </w:hyperlink>
      <w:r w:rsidRPr="00E73453">
        <w:rPr>
          <w:rFonts w:ascii="Simplified Arabic" w:hAnsi="Simplified Arabic"/>
          <w:sz w:val="20"/>
          <w:rtl/>
        </w:rPr>
        <w:t xml:space="preserve"> المؤرخ 6 يوليه/تموز 2017.</w:t>
      </w:r>
    </w:p>
  </w:footnote>
  <w:footnote w:id="172">
    <w:p w:rsidR="000C66C6" w:rsidRPr="00A21F1A" w:rsidRDefault="000C66C6" w:rsidP="00E36426">
      <w:pPr>
        <w:pStyle w:val="FootnoteText"/>
        <w:rPr>
          <w:rFonts w:ascii="Simplified Arabic" w:hAnsi="Simplified Arabic"/>
        </w:rPr>
      </w:pPr>
      <w:r w:rsidRPr="00A21F1A">
        <w:rPr>
          <w:rStyle w:val="FootnoteReference"/>
          <w:rFonts w:ascii="Simplified Arabic" w:hAnsi="Simplified Arabic"/>
        </w:rPr>
        <w:footnoteRef/>
      </w:r>
      <w:r w:rsidRPr="00A21F1A">
        <w:rPr>
          <w:rFonts w:ascii="Simplified Arabic" w:hAnsi="Simplified Arabic"/>
          <w:rtl/>
        </w:rPr>
        <w:t xml:space="preserve"> </w:t>
      </w:r>
      <w:r w:rsidRPr="00A21F1A">
        <w:rPr>
          <w:rFonts w:cs="Times New Roman"/>
        </w:rPr>
        <w:t>CBD/SBSTTA/22/INF/13</w:t>
      </w:r>
      <w:r w:rsidRPr="00A21F1A">
        <w:rPr>
          <w:rFonts w:ascii="Simplified Arabic" w:hAnsi="Simplified Arabic"/>
          <w:rtl/>
        </w:rPr>
        <w:t>.</w:t>
      </w:r>
    </w:p>
  </w:footnote>
  <w:footnote w:id="173">
    <w:p w:rsidR="000C66C6" w:rsidRPr="00A21F1A" w:rsidRDefault="000C66C6" w:rsidP="00E36426">
      <w:pPr>
        <w:pStyle w:val="FootnoteText"/>
        <w:rPr>
          <w:rFonts w:ascii="Simplified Arabic" w:hAnsi="Simplified Arabic"/>
        </w:rPr>
      </w:pPr>
      <w:r w:rsidRPr="00A21F1A">
        <w:rPr>
          <w:rStyle w:val="FootnoteReference"/>
          <w:rFonts w:ascii="Simplified Arabic" w:hAnsi="Simplified Arabic"/>
        </w:rPr>
        <w:footnoteRef/>
      </w:r>
      <w:r w:rsidRPr="00A21F1A">
        <w:rPr>
          <w:rFonts w:ascii="Simplified Arabic" w:hAnsi="Simplified Arabic"/>
          <w:rtl/>
        </w:rPr>
        <w:t xml:space="preserve"> </w:t>
      </w:r>
      <w:r w:rsidRPr="00A21F1A">
        <w:rPr>
          <w:rFonts w:cs="Times New Roman"/>
        </w:rPr>
        <w:t>CBD/SBSTTA/22/INF/14</w:t>
      </w:r>
      <w:r w:rsidRPr="00A21F1A">
        <w:rPr>
          <w:rFonts w:ascii="Simplified Arabic" w:hAnsi="Simplified Arabic"/>
          <w:rtl/>
        </w:rPr>
        <w:t>.</w:t>
      </w:r>
    </w:p>
  </w:footnote>
  <w:footnote w:id="174">
    <w:p w:rsidR="000C66C6" w:rsidRPr="00A21F1A" w:rsidRDefault="000C66C6" w:rsidP="00E36426">
      <w:pPr>
        <w:pStyle w:val="FootnoteText"/>
        <w:rPr>
          <w:rFonts w:ascii="Simplified Arabic" w:hAnsi="Simplified Arabic"/>
        </w:rPr>
      </w:pPr>
      <w:r w:rsidRPr="00A21F1A">
        <w:rPr>
          <w:rStyle w:val="FootnoteReference"/>
          <w:rFonts w:ascii="Simplified Arabic" w:hAnsi="Simplified Arabic"/>
          <w:szCs w:val="20"/>
        </w:rPr>
        <w:footnoteRef/>
      </w:r>
      <w:r w:rsidRPr="00A21F1A">
        <w:rPr>
          <w:rFonts w:ascii="Simplified Arabic" w:hAnsi="Simplified Arabic"/>
          <w:rtl/>
        </w:rPr>
        <w:t xml:space="preserve"> </w:t>
      </w:r>
      <w:r w:rsidRPr="00E73453">
        <w:rPr>
          <w:rFonts w:ascii="Simplified Arabic" w:hAnsi="Simplified Arabic"/>
          <w:sz w:val="20"/>
          <w:rtl/>
        </w:rPr>
        <w:t>"تجميع وتوليف الخبرات في مجال تعميم التنوع البيولوجي في مصايد الأسماك"</w:t>
      </w:r>
      <w:r w:rsidRPr="00A21F1A">
        <w:rPr>
          <w:rFonts w:ascii="Simplified Arabic" w:hAnsi="Simplified Arabic"/>
          <w:rtl/>
        </w:rPr>
        <w:t xml:space="preserve"> (</w:t>
      </w:r>
      <w:r w:rsidRPr="00A21F1A">
        <w:rPr>
          <w:rFonts w:cs="Times New Roman"/>
        </w:rPr>
        <w:t>CBD/SBSTTA/22/INF/15</w:t>
      </w:r>
      <w:r w:rsidRPr="00A21F1A">
        <w:rPr>
          <w:rFonts w:ascii="Simplified Arabic" w:hAnsi="Simplified Arabic"/>
          <w:rtl/>
        </w:rPr>
        <w:t>).</w:t>
      </w:r>
    </w:p>
  </w:footnote>
  <w:footnote w:id="175">
    <w:p w:rsidR="000C66C6" w:rsidRPr="00EE0FD7" w:rsidRDefault="000C66C6" w:rsidP="00EE0FD7">
      <w:pPr>
        <w:pStyle w:val="FootnoteText"/>
      </w:pPr>
      <w:r>
        <w:rPr>
          <w:rStyle w:val="FootnoteReference"/>
        </w:rPr>
        <w:footnoteRef/>
      </w:r>
      <w:r>
        <w:rPr>
          <w:rtl/>
        </w:rPr>
        <w:t xml:space="preserve"> </w:t>
      </w:r>
      <w:r w:rsidRPr="00EE0FD7">
        <w:rPr>
          <w:rFonts w:ascii="Simplified Arabic" w:hAnsi="Simplified Arabic" w:hint="cs"/>
          <w:rtl/>
        </w:rPr>
        <w:t xml:space="preserve">انظر </w:t>
      </w:r>
      <w:hyperlink r:id="rId89" w:history="1">
        <w:r w:rsidRPr="00EE0FD7">
          <w:rPr>
            <w:szCs w:val="18"/>
          </w:rPr>
          <w:t>CBD/COP/14/INF/12/Add.1</w:t>
        </w:r>
      </w:hyperlink>
      <w:r w:rsidRPr="00EE0FD7">
        <w:rPr>
          <w:rFonts w:hint="cs"/>
          <w:sz w:val="22"/>
          <w:szCs w:val="18"/>
          <w:rtl/>
        </w:rPr>
        <w:t>.</w:t>
      </w:r>
    </w:p>
  </w:footnote>
  <w:footnote w:id="176">
    <w:p w:rsidR="000C66C6" w:rsidRDefault="000C66C6" w:rsidP="00EE0FD7">
      <w:pPr>
        <w:pStyle w:val="FootnoteText"/>
      </w:pPr>
      <w:r w:rsidRPr="00EE0FD7">
        <w:rPr>
          <w:rStyle w:val="FootnoteReference"/>
        </w:rPr>
        <w:footnoteRef/>
      </w:r>
      <w:r w:rsidRPr="00EE0FD7">
        <w:rPr>
          <w:szCs w:val="18"/>
          <w:rtl/>
        </w:rPr>
        <w:t xml:space="preserve"> </w:t>
      </w:r>
      <w:r w:rsidRPr="00EE0FD7">
        <w:rPr>
          <w:rFonts w:hint="cs"/>
          <w:sz w:val="22"/>
          <w:szCs w:val="18"/>
          <w:rtl/>
        </w:rPr>
        <w:t xml:space="preserve">انظر </w:t>
      </w:r>
      <w:hyperlink r:id="rId90" w:history="1">
        <w:r w:rsidRPr="00EE0FD7">
          <w:rPr>
            <w:rStyle w:val="Hyperlink"/>
            <w:color w:val="auto"/>
            <w:szCs w:val="18"/>
            <w:u w:val="none"/>
          </w:rPr>
          <w:t>CBD/COP/14/INF/9</w:t>
        </w:r>
      </w:hyperlink>
      <w:r w:rsidRPr="00EE0FD7">
        <w:rPr>
          <w:rFonts w:ascii="Simplified Arabic" w:hAnsi="Simplified Arabic" w:hint="cs"/>
          <w:rtl/>
        </w:rPr>
        <w:t>.</w:t>
      </w:r>
    </w:p>
  </w:footnote>
  <w:footnote w:id="177">
    <w:p w:rsidR="000C66C6" w:rsidRDefault="000C66C6" w:rsidP="00EE0FD7">
      <w:pPr>
        <w:pStyle w:val="FootnoteText"/>
      </w:pPr>
      <w:r>
        <w:rPr>
          <w:rStyle w:val="FootnoteReference"/>
        </w:rPr>
        <w:footnoteRef/>
      </w:r>
      <w:r>
        <w:rPr>
          <w:rtl/>
        </w:rPr>
        <w:t xml:space="preserve"> </w:t>
      </w:r>
      <w:r>
        <w:rPr>
          <w:rFonts w:ascii="Simplified Arabic" w:hAnsi="Simplified Arabic" w:hint="cs"/>
          <w:sz w:val="22"/>
          <w:rtl/>
        </w:rPr>
        <w:t xml:space="preserve">تقدم أحد الممثلين باعتراض رسمي أثناء العملية المؤدية إلى اعتماد هذا المقرر وشدد على أنه لا يعتقد أن مؤتمر الأطراف يمكن أن يعتمد، بصورة مشروعة، اقتراحا أو نصا في ظل وجود اعتراض رسمي. وأبدى عدد قليل من الممثلين تحفظات بشأن الإجراء الذي أدى إلى اعتماد هذا المقرر (انظر الوثيقة </w:t>
      </w:r>
      <w:r w:rsidRPr="00EF4364">
        <w:rPr>
          <w:rFonts w:eastAsia="Yu Mincho"/>
          <w:snapToGrid w:val="0"/>
          <w:kern w:val="18"/>
          <w:szCs w:val="18"/>
        </w:rPr>
        <w:t>UNEP/CBD/COP/6/20</w:t>
      </w:r>
      <w:r>
        <w:rPr>
          <w:rFonts w:ascii="Simplified Arabic" w:hAnsi="Simplified Arabic" w:hint="cs"/>
          <w:sz w:val="22"/>
          <w:rtl/>
        </w:rPr>
        <w:t xml:space="preserve">، الفقرات </w:t>
      </w:r>
      <w:r w:rsidRPr="001A54FC">
        <w:rPr>
          <w:rFonts w:ascii="Simplified Arabic" w:hAnsi="Simplified Arabic" w:hint="cs"/>
          <w:szCs w:val="18"/>
          <w:rtl/>
        </w:rPr>
        <w:t>294</w:t>
      </w:r>
      <w:r>
        <w:rPr>
          <w:rFonts w:ascii="Simplified Arabic" w:hAnsi="Simplified Arabic" w:hint="cs"/>
          <w:sz w:val="22"/>
          <w:rtl/>
        </w:rPr>
        <w:t>-</w:t>
      </w:r>
      <w:r w:rsidRPr="001A54FC">
        <w:rPr>
          <w:rFonts w:ascii="Simplified Arabic" w:hAnsi="Simplified Arabic" w:hint="cs"/>
          <w:szCs w:val="18"/>
          <w:rtl/>
        </w:rPr>
        <w:t>324</w:t>
      </w:r>
      <w:r>
        <w:rPr>
          <w:rFonts w:ascii="Simplified Arabic" w:hAnsi="Simplified Arabic" w:hint="cs"/>
          <w:sz w:val="22"/>
          <w:rtl/>
        </w:rPr>
        <w:t>).</w:t>
      </w:r>
    </w:p>
  </w:footnote>
  <w:footnote w:id="178">
    <w:p w:rsidR="000C66C6" w:rsidRPr="00A66772" w:rsidRDefault="000C66C6" w:rsidP="00EE0FD7">
      <w:pPr>
        <w:pStyle w:val="FootnoteText"/>
        <w:rPr>
          <w:rtl/>
        </w:rPr>
      </w:pPr>
      <w:r>
        <w:rPr>
          <w:rStyle w:val="FootnoteReference"/>
        </w:rPr>
        <w:footnoteRef/>
      </w:r>
      <w:r>
        <w:rPr>
          <w:rtl/>
        </w:rPr>
        <w:t xml:space="preserve"> </w:t>
      </w:r>
      <w:hyperlink r:id="rId91" w:history="1">
        <w:r w:rsidRPr="00700B03">
          <w:rPr>
            <w:rStyle w:val="Hyperlink"/>
            <w:snapToGrid w:val="0"/>
            <w:kern w:val="18"/>
            <w:szCs w:val="18"/>
          </w:rPr>
          <w:t>https://www.unece.org/fileadmin/DAM/trans/doc/2014/wp24/CTU_Code_January_2014.pdf</w:t>
        </w:r>
      </w:hyperlink>
      <w:r>
        <w:rPr>
          <w:rFonts w:ascii="Simplified Arabic" w:hAnsi="Simplified Arabic" w:hint="cs"/>
          <w:rtl/>
        </w:rPr>
        <w:t>.</w:t>
      </w:r>
    </w:p>
  </w:footnote>
  <w:footnote w:id="179">
    <w:p w:rsidR="000C66C6" w:rsidRDefault="000C66C6" w:rsidP="00EE0FD7">
      <w:pPr>
        <w:pStyle w:val="FootnoteText"/>
      </w:pPr>
      <w:r>
        <w:rPr>
          <w:rStyle w:val="FootnoteReference"/>
        </w:rPr>
        <w:footnoteRef/>
      </w:r>
      <w:r>
        <w:rPr>
          <w:rtl/>
        </w:rPr>
        <w:t xml:space="preserve"> </w:t>
      </w:r>
      <w:r>
        <w:rPr>
          <w:rFonts w:ascii="Simplified Arabic" w:hAnsi="Simplified Arabic" w:hint="cs"/>
          <w:sz w:val="22"/>
          <w:rtl/>
        </w:rPr>
        <w:t>التطهير يعني تطبيق، بعد تنظيف دقيق، الإجراءات الرامية إلى تدمير العوامل المعدية أو الطفيلية للأمراض الحيوانية، بما في ذلك الأمراض حيوانية المنشأ؛ وينطبق ذلك على المباني، والمركبات والأشياء المختلفة التي قد تكون ملوثة بشكل مباشر أو غير مباشر (</w:t>
      </w:r>
      <w:hyperlink r:id="rId92" w:history="1">
        <w:r w:rsidRPr="00286FBF">
          <w:rPr>
            <w:rStyle w:val="Hyperlink"/>
            <w:rFonts w:ascii="Simplified Arabic" w:hAnsi="Simplified Arabic" w:hint="cs"/>
            <w:sz w:val="22"/>
            <w:rtl/>
          </w:rPr>
          <w:t>مدونة صحة الحيوانات الأرضية للمنظمة العالمية لصحة الحيوان</w:t>
        </w:r>
      </w:hyperlink>
      <w:r>
        <w:rPr>
          <w:rFonts w:ascii="Simplified Arabic" w:hAnsi="Simplified Arabic" w:hint="cs"/>
          <w:sz w:val="22"/>
          <w:rtl/>
        </w:rPr>
        <w:t>).</w:t>
      </w:r>
    </w:p>
  </w:footnote>
  <w:footnote w:id="180">
    <w:p w:rsidR="000C66C6" w:rsidRPr="001148C2" w:rsidRDefault="000C66C6" w:rsidP="00EE0FD7">
      <w:pPr>
        <w:pStyle w:val="FootnoteText"/>
        <w:kinsoku w:val="0"/>
        <w:overflowPunct w:val="0"/>
        <w:autoSpaceDE w:val="0"/>
        <w:autoSpaceDN w:val="0"/>
        <w:jc w:val="left"/>
        <w:rPr>
          <w:rFonts w:eastAsia="Times New Roman"/>
          <w:kern w:val="18"/>
          <w:szCs w:val="18"/>
          <w:lang w:val="en-GB"/>
        </w:rPr>
      </w:pPr>
      <w:r>
        <w:rPr>
          <w:rStyle w:val="FootnoteReference"/>
        </w:rPr>
        <w:footnoteRef/>
      </w:r>
      <w:r>
        <w:rPr>
          <w:rtl/>
        </w:rPr>
        <w:t xml:space="preserve"> </w:t>
      </w:r>
      <w:hyperlink r:id="rId93" w:history="1">
        <w:r w:rsidRPr="006E2F50">
          <w:rPr>
            <w:rStyle w:val="Hyperlink"/>
            <w:rFonts w:ascii="Simplified Arabic" w:hAnsi="Simplified Arabic" w:hint="cs"/>
            <w:sz w:val="22"/>
            <w:rtl/>
          </w:rPr>
          <w:t>المقرر 8/10، المرفق الثالث</w:t>
        </w:r>
      </w:hyperlink>
      <w:r>
        <w:rPr>
          <w:rFonts w:ascii="Simplified Arabic" w:hAnsi="Simplified Arabic" w:hint="cs"/>
          <w:sz w:val="22"/>
          <w:rtl/>
        </w:rPr>
        <w:t>.</w:t>
      </w:r>
    </w:p>
  </w:footnote>
  <w:footnote w:id="181">
    <w:p w:rsidR="000C66C6" w:rsidRPr="005B062C"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B062C">
        <w:rPr>
          <w:rFonts w:ascii="Simplified Arabic" w:hAnsi="Simplified Arabic"/>
          <w:rtl/>
        </w:rPr>
        <w:t xml:space="preserve"> </w:t>
      </w:r>
      <w:r w:rsidRPr="005A0BBE">
        <w:rPr>
          <w:rFonts w:ascii="Simplified Arabic" w:hAnsi="Simplified Arabic"/>
          <w:rtl/>
        </w:rPr>
        <w:t>كلمة "روتسوليهيرساجيك" تعني "العودة إلى مكان المنشأ" باللغة التقليدية المحلية المعروفة باسم مايا كاكشيكل.</w:t>
      </w:r>
    </w:p>
  </w:footnote>
  <w:footnote w:id="182">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A0BBE">
        <w:rPr>
          <w:rFonts w:ascii="Simplified Arabic" w:hAnsi="Simplified Arabic"/>
          <w:rtl/>
        </w:rPr>
        <w:t xml:space="preserve"> بوابة المعارف التقليدية، المتاحة على العنوان </w:t>
      </w:r>
      <w:hyperlink r:id="rId94" w:history="1">
        <w:r w:rsidRPr="005A0BBE">
          <w:rPr>
            <w:rFonts w:eastAsia="Times New Roman" w:cs="Times New Roman"/>
            <w:snapToGrid w:val="0"/>
            <w:color w:val="0000FF"/>
            <w:kern w:val="18"/>
            <w:u w:val="single"/>
            <w:lang w:val="en-GB"/>
          </w:rPr>
          <w:t>https://www.cbd.int/tk/default.shtml</w:t>
        </w:r>
      </w:hyperlink>
      <w:r w:rsidRPr="005A0BBE">
        <w:rPr>
          <w:rFonts w:ascii="Simplified Arabic" w:hAnsi="Simplified Arabic"/>
          <w:rtl/>
        </w:rPr>
        <w:t>، هي جزء من آلية غرفة تبادل المعلومات التابعة لاتفاقية التنوع البيولوجي</w:t>
      </w:r>
      <w:r w:rsidRPr="005A0BBE">
        <w:rPr>
          <w:rFonts w:ascii="Simplified Arabic" w:hAnsi="Simplified Arabic"/>
        </w:rPr>
        <w:t>.</w:t>
      </w:r>
    </w:p>
  </w:footnote>
  <w:footnote w:id="183">
    <w:p w:rsidR="000C66C6" w:rsidRPr="005A0BBE" w:rsidRDefault="000C66C6" w:rsidP="00EE0FD7">
      <w:pPr>
        <w:pStyle w:val="FootnoteText"/>
        <w:rPr>
          <w:rFonts w:ascii="Simplified Arabic" w:hAnsi="Simplified Arabic"/>
          <w:rtl/>
        </w:rPr>
      </w:pPr>
      <w:r w:rsidRPr="00A65131">
        <w:rPr>
          <w:rStyle w:val="FootnoteReference"/>
          <w:rFonts w:ascii="Simplified Arabic" w:hAnsi="Simplified Arabic"/>
          <w:sz w:val="20"/>
        </w:rPr>
        <w:footnoteRef/>
      </w:r>
      <w:r w:rsidRPr="005B062C">
        <w:rPr>
          <w:rFonts w:ascii="Simplified Arabic" w:hAnsi="Simplified Arabic"/>
          <w:rtl/>
        </w:rPr>
        <w:t xml:space="preserve"> </w:t>
      </w:r>
      <w:r w:rsidRPr="005A0BBE">
        <w:rPr>
          <w:rFonts w:ascii="Simplified Arabic" w:hAnsi="Simplified Arabic"/>
          <w:rtl/>
        </w:rPr>
        <w:t xml:space="preserve">انظر </w:t>
      </w:r>
      <w:hyperlink r:id="rId95" w:history="1">
        <w:r w:rsidRPr="005A0BBE">
          <w:rPr>
            <w:rStyle w:val="Hyperlink"/>
            <w:rFonts w:ascii="Simplified Arabic" w:eastAsia="Times New Roman" w:hAnsi="Simplified Arabic"/>
            <w:kern w:val="18"/>
            <w:rtl/>
            <w:lang w:val="en-GB"/>
          </w:rPr>
          <w:t>المقرر 10/43</w:t>
        </w:r>
      </w:hyperlink>
      <w:r w:rsidRPr="005A0BBE">
        <w:rPr>
          <w:rFonts w:ascii="Simplified Arabic" w:hAnsi="Simplified Arabic"/>
          <w:rtl/>
        </w:rPr>
        <w:t>، المرفق، الفقرة 1</w:t>
      </w:r>
      <w:r w:rsidRPr="005A0BBE">
        <w:rPr>
          <w:rFonts w:ascii="Simplified Arabic" w:hAnsi="Simplified Arabic"/>
        </w:rPr>
        <w:t>.</w:t>
      </w:r>
    </w:p>
  </w:footnote>
  <w:footnote w:id="184">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A65131">
        <w:rPr>
          <w:rFonts w:ascii="Simplified Arabic" w:hAnsi="Simplified Arabic"/>
          <w:sz w:val="20"/>
          <w:rtl/>
        </w:rPr>
        <w:t xml:space="preserve"> اعتمد</w:t>
      </w:r>
      <w:r w:rsidRPr="005A0BBE">
        <w:rPr>
          <w:rFonts w:ascii="Simplified Arabic" w:hAnsi="Simplified Arabic"/>
          <w:rtl/>
        </w:rPr>
        <w:t xml:space="preserve"> مؤتمر الأطراف المبادئ التوجيهية الطوعية للمعارف التقليدية موتز كوستال في </w:t>
      </w:r>
      <w:hyperlink r:id="rId96" w:history="1">
        <w:r w:rsidRPr="005A0BBE">
          <w:rPr>
            <w:rStyle w:val="Hyperlink"/>
            <w:rFonts w:ascii="Simplified Arabic" w:eastAsia="Times New Roman" w:hAnsi="Simplified Arabic"/>
            <w:kern w:val="18"/>
            <w:rtl/>
            <w:lang w:val="en-GB"/>
          </w:rPr>
          <w:t>المقرر 13/18</w:t>
        </w:r>
      </w:hyperlink>
      <w:r w:rsidRPr="005A0BBE">
        <w:rPr>
          <w:rFonts w:ascii="Simplified Arabic" w:hAnsi="Simplified Arabic"/>
        </w:rPr>
        <w:t>.</w:t>
      </w:r>
      <w:r w:rsidRPr="005A0BBE">
        <w:rPr>
          <w:rFonts w:ascii="Simplified Arabic" w:hAnsi="Simplified Arabic"/>
          <w:rtl/>
        </w:rPr>
        <w:t xml:space="preserve"> وعبارة "موتز كوستال" تعني "جذور الحياة" بلغة المايا.</w:t>
      </w:r>
    </w:p>
  </w:footnote>
  <w:footnote w:id="185">
    <w:p w:rsidR="000C66C6" w:rsidRPr="005B062C"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A65131">
        <w:rPr>
          <w:rFonts w:cs="Times New Roman"/>
          <w:sz w:val="22"/>
          <w:szCs w:val="22"/>
          <w:rtl/>
        </w:rPr>
        <w:t xml:space="preserve"> </w:t>
      </w:r>
      <w:hyperlink r:id="rId97" w:history="1">
        <w:r w:rsidRPr="005A0BBE">
          <w:rPr>
            <w:rStyle w:val="Hyperlink"/>
            <w:rFonts w:ascii="Simplified Arabic" w:eastAsia="Times New Roman" w:hAnsi="Simplified Arabic"/>
            <w:kern w:val="18"/>
            <w:rtl/>
            <w:lang w:val="en-GB"/>
          </w:rPr>
          <w:t>المقرر 10/42</w:t>
        </w:r>
      </w:hyperlink>
      <w:r w:rsidRPr="005A0BBE">
        <w:rPr>
          <w:rFonts w:ascii="Simplified Arabic" w:hAnsi="Simplified Arabic"/>
          <w:rtl/>
        </w:rPr>
        <w:t>، المرفق، مدونة السلوك الأخلاقي</w:t>
      </w:r>
      <w:r w:rsidRPr="005A0BBE">
        <w:rPr>
          <w:rFonts w:ascii="Simplified Arabic" w:hAnsi="Simplified Arabic"/>
          <w:i/>
          <w:rtl/>
        </w:rPr>
        <w:t xml:space="preserve"> تغاريوايي:ري، </w:t>
      </w:r>
      <w:r w:rsidRPr="005A0BBE">
        <w:rPr>
          <w:rFonts w:ascii="Simplified Arabic" w:hAnsi="Simplified Arabic"/>
          <w:rtl/>
        </w:rPr>
        <w:t>الفقرة 23</w:t>
      </w:r>
      <w:r w:rsidRPr="005A0BBE">
        <w:rPr>
          <w:rFonts w:ascii="Simplified Arabic" w:hAnsi="Simplified Arabic"/>
          <w:i/>
          <w:rtl/>
        </w:rPr>
        <w:t>.</w:t>
      </w:r>
    </w:p>
  </w:footnote>
  <w:footnote w:id="186">
    <w:p w:rsidR="000C66C6" w:rsidRPr="000B1BA2" w:rsidRDefault="000C66C6" w:rsidP="00EE0FD7">
      <w:pPr>
        <w:pStyle w:val="FootnoteText"/>
      </w:pPr>
      <w:r w:rsidRPr="0010246A">
        <w:rPr>
          <w:rStyle w:val="FootnoteReference"/>
          <w:rFonts w:ascii="Simplified Arabic" w:hAnsi="Simplified Arabic"/>
          <w:sz w:val="20"/>
        </w:rPr>
        <w:footnoteRef/>
      </w:r>
      <w:r w:rsidRPr="005B062C">
        <w:rPr>
          <w:rFonts w:ascii="Simplified Arabic" w:hAnsi="Simplified Arabic"/>
          <w:rtl/>
        </w:rPr>
        <w:t xml:space="preserve"> </w:t>
      </w:r>
      <w:hyperlink r:id="rId98" w:history="1">
        <w:r w:rsidRPr="005A0BBE">
          <w:rPr>
            <w:rStyle w:val="Hyperlink"/>
            <w:rFonts w:ascii="Simplified Arabic" w:eastAsia="Times New Roman" w:hAnsi="Simplified Arabic"/>
            <w:kern w:val="18"/>
            <w:rtl/>
            <w:lang w:val="en-GB"/>
          </w:rPr>
          <w:t>قرار الجمعية العامة 61/295</w:t>
        </w:r>
      </w:hyperlink>
      <w:r w:rsidRPr="005A0BBE">
        <w:rPr>
          <w:rFonts w:ascii="Simplified Arabic" w:hAnsi="Simplified Arabic"/>
          <w:rtl/>
        </w:rPr>
        <w:t>، المرفق</w:t>
      </w:r>
      <w:r w:rsidRPr="005A0BBE">
        <w:rPr>
          <w:rFonts w:ascii="Simplified Arabic" w:hAnsi="Simplified Arabic"/>
        </w:rPr>
        <w:t>.</w:t>
      </w:r>
    </w:p>
  </w:footnote>
  <w:footnote w:id="187">
    <w:p w:rsidR="000C66C6" w:rsidRPr="000B1BA2" w:rsidRDefault="000C66C6" w:rsidP="00EE0FD7">
      <w:pPr>
        <w:pStyle w:val="FootnoteText"/>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كلمة "روتسوليهيرساجيك" تعني "العودة إلى مكان المنشأ" باللغة التقليدية المحلية لشعب المايا كاكشيكل.</w:t>
      </w:r>
    </w:p>
  </w:footnote>
  <w:footnote w:id="188">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hyperlink r:id="rId99" w:history="1">
        <w:r w:rsidRPr="005A0BBE">
          <w:rPr>
            <w:rStyle w:val="Hyperlink"/>
            <w:rFonts w:ascii="Simplified Arabic" w:eastAsia="Times New Roman" w:hAnsi="Simplified Arabic"/>
            <w:kern w:val="18"/>
            <w:rtl/>
            <w:lang w:val="en-GB"/>
          </w:rPr>
          <w:t>المقرر 11/14 دال</w:t>
        </w:r>
      </w:hyperlink>
      <w:r w:rsidRPr="005A0BBE">
        <w:rPr>
          <w:rFonts w:ascii="Simplified Arabic" w:hAnsi="Simplified Arabic"/>
          <w:rtl/>
        </w:rPr>
        <w:t>، المرفق، اختصاصات المبادئ التوجيهية لإعادة التوطين</w:t>
      </w:r>
      <w:r w:rsidRPr="005A0BBE">
        <w:rPr>
          <w:rFonts w:ascii="Simplified Arabic" w:hAnsi="Simplified Arabic"/>
        </w:rPr>
        <w:t>.</w:t>
      </w:r>
    </w:p>
  </w:footnote>
  <w:footnote w:id="189">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لا تحول هذه الفقرة دون تطبيق أي حكم من أحكام بروتوكول ناغويا، حسب الاقتضاء.</w:t>
      </w:r>
    </w:p>
  </w:footnote>
  <w:footnote w:id="190">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قد تشتمل المعارف التقليدية المعنية على معلومات ذات صلة أو تكميلية.</w:t>
      </w:r>
    </w:p>
  </w:footnote>
  <w:footnote w:id="191">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5A0BBE">
        <w:rPr>
          <w:rtl/>
        </w:rPr>
        <w:t xml:space="preserve"> </w:t>
      </w:r>
      <w:r w:rsidRPr="005A0BBE">
        <w:rPr>
          <w:rFonts w:ascii="Simplified Arabic" w:hAnsi="Simplified Arabic"/>
          <w:rtl/>
        </w:rPr>
        <w:t>انظر المذكرة التي أعدها الأمين التنفيذي بشأن وضع مبادئ توجيهية لأفضل الممارسات المرتبطة بإعادة توطين المعارف التقليدية ذات الصلة بحفظ التنوع البيولوجي واستخدامه المستدام (</w:t>
      </w:r>
      <w:hyperlink r:id="rId100" w:history="1">
        <w:r w:rsidRPr="005A0BBE">
          <w:rPr>
            <w:rStyle w:val="Hyperlink"/>
            <w:rFonts w:eastAsia="Times New Roman"/>
            <w:bCs/>
            <w:kern w:val="18"/>
            <w:lang w:val="en-GB" w:eastAsia="en-GB"/>
          </w:rPr>
          <w:t>UNEP/CBD/WG8J/8/5</w:t>
        </w:r>
      </w:hyperlink>
      <w:r w:rsidRPr="005A0BBE">
        <w:rPr>
          <w:rFonts w:ascii="Simplified Arabic" w:hAnsi="Simplified Arabic"/>
          <w:rtl/>
        </w:rPr>
        <w:t>، الفقرة 13).</w:t>
      </w:r>
    </w:p>
  </w:footnote>
  <w:footnote w:id="192">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بما في ذلك الحكومات دون الوطنية والإدارات الحكومية التي قد تكون حائزة على المعارف التقليدية للمجتمعات الأصلية و/أو المحلية والمعلومات ذات الصلة أو التكميلية ذات الصلة بحفظ التنوع البيولوجي واستخدامه المستدام</w:t>
      </w:r>
      <w:r w:rsidRPr="005A0BBE">
        <w:rPr>
          <w:rFonts w:ascii="Simplified Arabic" w:hAnsi="Simplified Arabic"/>
        </w:rPr>
        <w:t>.</w:t>
      </w:r>
    </w:p>
  </w:footnote>
  <w:footnote w:id="193">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5B062C">
        <w:rPr>
          <w:rtl/>
        </w:rPr>
        <w:t xml:space="preserve"> </w:t>
      </w:r>
      <w:r w:rsidRPr="005A0BBE">
        <w:rPr>
          <w:rFonts w:ascii="Simplified Arabic" w:hAnsi="Simplified Arabic"/>
          <w:rtl/>
        </w:rPr>
        <w:t>مهني المعلومات هو الشخص الذي يجمع، ويسجل، وينظم، ويخزن، ويحفظ، ويسترجع، وينشر المعلومات المطبوعة أو الرقمية. ويُستخدم المصطلح بشكل تبادلي مع مصطلح "</w:t>
      </w:r>
      <w:hyperlink r:id="rId101" w:history="1">
        <w:r w:rsidRPr="005A0BBE">
          <w:rPr>
            <w:rStyle w:val="Hyperlink"/>
            <w:rFonts w:ascii="Simplified Arabic" w:hAnsi="Simplified Arabic"/>
            <w:rtl/>
          </w:rPr>
          <w:t>أ</w:t>
        </w:r>
        <w:r w:rsidRPr="005A0BBE">
          <w:rPr>
            <w:rFonts w:ascii="Simplified Arabic" w:eastAsia="MS Mincho" w:hAnsi="Simplified Arabic"/>
            <w:color w:val="0000FF"/>
            <w:kern w:val="18"/>
            <w:u w:val="single"/>
            <w:rtl/>
            <w:lang w:val="en-GB" w:eastAsia="en-GB"/>
          </w:rPr>
          <w:t>مين المكتبة</w:t>
        </w:r>
      </w:hyperlink>
      <w:r w:rsidRPr="005A0BBE">
        <w:rPr>
          <w:rFonts w:ascii="Simplified Arabic" w:hAnsi="Simplified Arabic"/>
          <w:rtl/>
        </w:rPr>
        <w:t xml:space="preserve">" (انظر </w:t>
      </w:r>
      <w:r w:rsidRPr="005A0BBE">
        <w:rPr>
          <w:rFonts w:ascii="Simplified Arabic" w:hAnsi="Simplified Arabic"/>
        </w:rPr>
        <w:t>(</w:t>
      </w:r>
      <w:r w:rsidRPr="00C45B36">
        <w:rPr>
          <w:rFonts w:cs="Times New Roman"/>
          <w:i/>
          <w:iCs/>
        </w:rPr>
        <w:t xml:space="preserve">U.S. Occupational Outlook Handbook </w:t>
      </w:r>
      <w:r w:rsidRPr="00C45B36">
        <w:rPr>
          <w:rFonts w:cs="Times New Roman"/>
        </w:rPr>
        <w:t>(2008</w:t>
      </w:r>
      <w:r w:rsidRPr="00C45B36">
        <w:rPr>
          <w:rFonts w:cs="Times New Roman"/>
        </w:rPr>
        <w:noBreakHyphen/>
        <w:t>2009 edition),</w:t>
      </w:r>
      <w:r w:rsidRPr="00C45B36">
        <w:rPr>
          <w:rFonts w:cs="Times New Roman"/>
          <w:i/>
          <w:iCs/>
        </w:rPr>
        <w:t xml:space="preserve"> </w:t>
      </w:r>
      <w:r w:rsidRPr="00C45B36">
        <w:rPr>
          <w:rFonts w:cs="Times New Roman"/>
        </w:rPr>
        <w:t>p. 266</w:t>
      </w:r>
      <w:r w:rsidRPr="005A0BBE">
        <w:rPr>
          <w:rFonts w:ascii="Simplified Arabic" w:hAnsi="Simplified Arabic"/>
          <w:rtl/>
        </w:rPr>
        <w:t xml:space="preserve">) أو كوظيفة متقدمة ذات صلة. ويقوم أمناء المكتبات عادة بإدارة المعلومات الواردة في الكتب أو السجلات الورقية الأخرى. غير أن المكتبات تستخدم الآن وسائل الإعلام والتكنولوجيا الحديثة استخداما واسعا، وبالتالي، تم تعزيز دور أمناء المكتبات. ويُستخدم مصطلح "المعلومات المهنية" المتعدد الاستعمالات أيضا لوصف المهن الأخرى المشابهة، مثل </w:t>
      </w:r>
      <w:hyperlink r:id="rId102" w:history="1">
        <w:r w:rsidRPr="005A0BBE">
          <w:rPr>
            <w:rFonts w:ascii="Simplified Arabic" w:eastAsia="MS Mincho" w:hAnsi="Simplified Arabic"/>
            <w:color w:val="0000FF"/>
            <w:kern w:val="18"/>
            <w:u w:val="single"/>
            <w:rtl/>
            <w:lang w:val="en-GB" w:eastAsia="en-GB"/>
          </w:rPr>
          <w:t>أمناء المحفوظات</w:t>
        </w:r>
      </w:hyperlink>
      <w:r w:rsidRPr="005A0BBE">
        <w:rPr>
          <w:rFonts w:ascii="Simplified Arabic" w:hAnsi="Simplified Arabic"/>
          <w:rtl/>
        </w:rPr>
        <w:t xml:space="preserve"> ومديري المعلومات وأخصائيي نظم المعلومات </w:t>
      </w:r>
      <w:hyperlink r:id="rId103" w:history="1">
        <w:r w:rsidRPr="005A0BBE">
          <w:rPr>
            <w:rFonts w:ascii="Simplified Arabic" w:eastAsia="MS Mincho" w:hAnsi="Simplified Arabic"/>
            <w:color w:val="0000FF"/>
            <w:kern w:val="18"/>
            <w:u w:val="single"/>
            <w:rtl/>
            <w:lang w:val="en-GB" w:eastAsia="en-GB"/>
          </w:rPr>
          <w:t>ومديري السجلات</w:t>
        </w:r>
      </w:hyperlink>
      <w:r w:rsidRPr="005A0BBE">
        <w:rPr>
          <w:rFonts w:ascii="Simplified Arabic" w:hAnsi="Simplified Arabic"/>
          <w:rtl/>
        </w:rPr>
        <w:t xml:space="preserve"> (انظر </w:t>
      </w:r>
      <w:r w:rsidRPr="005A0BBE">
        <w:rPr>
          <w:rFonts w:ascii="Simplified Arabic" w:hAnsi="Simplified Arabic"/>
        </w:rPr>
        <w:t>(</w:t>
      </w:r>
      <w:r w:rsidRPr="00C45B36">
        <w:rPr>
          <w:rFonts w:cs="Times New Roman"/>
          <w:i/>
          <w:iCs/>
        </w:rPr>
        <w:t>Introduction to the Library and Information Professions</w:t>
      </w:r>
      <w:r w:rsidRPr="00C45B36">
        <w:rPr>
          <w:rFonts w:cs="Times New Roman"/>
        </w:rPr>
        <w:t>, by Roger C. Greer, Robert J. Grover, Susan G. Fowler, pp. 12-15</w:t>
      </w:r>
      <w:r w:rsidRPr="005A0BBE">
        <w:rPr>
          <w:rFonts w:ascii="Simplified Arabic" w:hAnsi="Simplified Arabic"/>
        </w:rPr>
        <w:t>)</w:t>
      </w:r>
      <w:r w:rsidRPr="005A0BBE">
        <w:rPr>
          <w:rFonts w:ascii="Simplified Arabic" w:hAnsi="Simplified Arabic"/>
          <w:rtl/>
        </w:rPr>
        <w:t>). ويعمل مهنيو المعلومات في مجموعة متنوعة من المؤسسات الخاصة والعامة والأكاديمية</w:t>
      </w:r>
      <w:r w:rsidRPr="005A0BBE">
        <w:rPr>
          <w:rFonts w:ascii="Simplified Arabic" w:hAnsi="Simplified Arabic"/>
        </w:rPr>
        <w:t>.</w:t>
      </w:r>
    </w:p>
  </w:footnote>
  <w:footnote w:id="194">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تدعو المادة 8(ي) الأطراف، رهنا بتشريعاتها الوطنية، إلى احترام وحفظ وصون معارف وابتكارات وممارسات المجتمعات الأصلية والمحلية التي تجسد أساليب الحياة التقليدية ذات الصلة بحفظ التنوع البيولوجي واستخدامه المستدام وتشجيع تطبيقها على نطاق أوسع بموافقة ومشاركة حائزي هذه المعارف والابتكارات والممارسات، وتشجيع التقاسم المنصف للمنافع الناشئة عن استخدام هذه المعارف والابتكارات والممارسات</w:t>
      </w:r>
      <w:r w:rsidRPr="005A0BBE">
        <w:rPr>
          <w:rFonts w:ascii="Simplified Arabic" w:hAnsi="Simplified Arabic"/>
        </w:rPr>
        <w:t>.</w:t>
      </w:r>
    </w:p>
  </w:footnote>
  <w:footnote w:id="195">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10246A">
        <w:rPr>
          <w:rFonts w:ascii="Simplified Arabic" w:hAnsi="Simplified Arabic"/>
          <w:sz w:val="20"/>
          <w:rtl/>
          <w:lang w:val="fr-CA"/>
        </w:rPr>
        <w:t>انظر</w:t>
      </w:r>
      <w:r w:rsidRPr="005A0BBE">
        <w:rPr>
          <w:rFonts w:ascii="Simplified Arabic" w:hAnsi="Simplified Arabic"/>
          <w:rtl/>
          <w:lang w:val="fr-CA"/>
        </w:rPr>
        <w:t xml:space="preserve"> الفقرة 32 بشأن مبدأ المعاملة بالمثل في مدونة السلوك الأخلاقي </w:t>
      </w:r>
      <w:r w:rsidRPr="005A0BBE">
        <w:rPr>
          <w:rFonts w:ascii="Simplified Arabic" w:hAnsi="Simplified Arabic"/>
          <w:i/>
          <w:rtl/>
          <w:lang w:val="fr-CA"/>
        </w:rPr>
        <w:t>تغاريوايي:ري</w:t>
      </w:r>
      <w:r w:rsidRPr="005A0BBE">
        <w:rPr>
          <w:rFonts w:ascii="Simplified Arabic" w:hAnsi="Simplified Arabic"/>
          <w:rtl/>
          <w:lang w:val="fr-CA"/>
        </w:rPr>
        <w:t xml:space="preserve"> بشأن احترام التراث الثقافي والفكري للمجتمعات الأصلية والمحلية ذات الصلة بحفظ التنوع البيولوجي واستخدامه المستدام، المعتمدة في المقرر 10/42 والمتاحة على العنوان التالي: </w:t>
      </w:r>
      <w:hyperlink r:id="rId104" w:history="1">
        <w:r w:rsidRPr="005A0BBE">
          <w:rPr>
            <w:rFonts w:eastAsia="Times New Roman" w:cs="Times New Roman"/>
            <w:snapToGrid w:val="0"/>
            <w:color w:val="0000FF"/>
            <w:kern w:val="18"/>
            <w:szCs w:val="18"/>
            <w:u w:val="single"/>
            <w:lang w:val="en-GB"/>
          </w:rPr>
          <w:t>https://www.cbd.int/doc/publications/ethicalconduct-brochure-en.pdf</w:t>
        </w:r>
      </w:hyperlink>
      <w:r w:rsidRPr="005A0BBE">
        <w:rPr>
          <w:rFonts w:cs="Times New Roman"/>
          <w:rtl/>
          <w:lang w:val="fr-CA"/>
        </w:rPr>
        <w:t>.</w:t>
      </w:r>
    </w:p>
  </w:footnote>
  <w:footnote w:id="196">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والمعلومات ذات الصلة أو التكميلية</w:t>
      </w:r>
      <w:r w:rsidRPr="005A0BBE">
        <w:rPr>
          <w:rFonts w:ascii="Simplified Arabic" w:hAnsi="Simplified Arabic"/>
        </w:rPr>
        <w:t>.</w:t>
      </w:r>
    </w:p>
  </w:footnote>
  <w:footnote w:id="197">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 xml:space="preserve">انظر </w:t>
      </w:r>
      <w:hyperlink r:id="rId105" w:history="1">
        <w:r w:rsidRPr="005A0BBE">
          <w:rPr>
            <w:rStyle w:val="Hyperlink"/>
            <w:rFonts w:ascii="Simplified Arabic" w:eastAsia="Times New Roman" w:hAnsi="Simplified Arabic"/>
            <w:kern w:val="18"/>
            <w:rtl/>
            <w:lang w:val="en-GB"/>
          </w:rPr>
          <w:t>المقرر 10/42</w:t>
        </w:r>
      </w:hyperlink>
      <w:r w:rsidRPr="005A0BBE">
        <w:rPr>
          <w:rFonts w:ascii="Simplified Arabic" w:hAnsi="Simplified Arabic"/>
        </w:rPr>
        <w:t>.</w:t>
      </w:r>
    </w:p>
  </w:footnote>
  <w:footnote w:id="198">
    <w:p w:rsidR="000C66C6" w:rsidRPr="005A0BBE"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5A0BBE">
        <w:rPr>
          <w:rFonts w:ascii="Simplified Arabic" w:hAnsi="Simplified Arabic"/>
          <w:rtl/>
        </w:rPr>
        <w:t>وهو تكميلي للتدبير الإجرائي 7 بشأن "الاستعداد للاستلام</w:t>
      </w:r>
      <w:r w:rsidRPr="005A0BBE">
        <w:rPr>
          <w:rFonts w:ascii="Simplified Arabic" w:hAnsi="Simplified Arabic"/>
        </w:rPr>
        <w:t>".</w:t>
      </w:r>
    </w:p>
  </w:footnote>
  <w:footnote w:id="199">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A0BBE">
        <w:rPr>
          <w:rFonts w:ascii="Simplified Arabic" w:hAnsi="Simplified Arabic"/>
          <w:rtl/>
        </w:rPr>
        <w:t xml:space="preserve"> تجدر الإشارة إلى أن التراث الثقافي المادي، مثل القطع الأثرية، وكذلك الرفات البشرية، يقعان في نطاق ولاية اليونسكو.</w:t>
      </w:r>
    </w:p>
  </w:footnote>
  <w:footnote w:id="200">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A65131">
        <w:rPr>
          <w:rFonts w:ascii="Simplified Arabic" w:hAnsi="Simplified Arabic"/>
          <w:sz w:val="20"/>
          <w:rtl/>
        </w:rPr>
        <w:t xml:space="preserve"> </w:t>
      </w:r>
      <w:r w:rsidRPr="005A0BBE">
        <w:rPr>
          <w:rFonts w:ascii="Simplified Arabic" w:hAnsi="Simplified Arabic"/>
          <w:rtl/>
        </w:rPr>
        <w:t>المعارف التقليدية والمعلومات ذات الصلة أو التكميلية.</w:t>
      </w:r>
    </w:p>
  </w:footnote>
  <w:footnote w:id="201">
    <w:p w:rsidR="000C66C6" w:rsidRPr="00E82C09"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A65131">
        <w:rPr>
          <w:rFonts w:ascii="Simplified Arabic" w:hAnsi="Simplified Arabic"/>
          <w:sz w:val="20"/>
          <w:rtl/>
        </w:rPr>
        <w:t xml:space="preserve"> </w:t>
      </w:r>
      <w:r w:rsidRPr="00E82C09">
        <w:rPr>
          <w:rFonts w:ascii="Simplified Arabic" w:hAnsi="Simplified Arabic"/>
          <w:rtl/>
        </w:rPr>
        <w:t xml:space="preserve">تنص الاختصاصات المعتمدة في </w:t>
      </w:r>
      <w:hyperlink r:id="rId106" w:history="1">
        <w:r w:rsidRPr="00E82C09">
          <w:rPr>
            <w:rStyle w:val="Hyperlink"/>
            <w:rFonts w:ascii="Simplified Arabic" w:eastAsia="Times New Roman" w:hAnsi="Simplified Arabic"/>
            <w:kern w:val="18"/>
            <w:rtl/>
            <w:lang w:val="en-GB"/>
          </w:rPr>
          <w:t xml:space="preserve">المقرر 11/14 </w:t>
        </w:r>
        <w:r w:rsidRPr="00E82C09">
          <w:rPr>
            <w:rFonts w:ascii="Simplified Arabic" w:hAnsi="Simplified Arabic"/>
            <w:rtl/>
          </w:rPr>
          <w:t>دال</w:t>
        </w:r>
      </w:hyperlink>
      <w:r w:rsidRPr="00A65131">
        <w:rPr>
          <w:rStyle w:val="Hyperlink"/>
          <w:rFonts w:ascii="Simplified Arabic" w:eastAsia="Times New Roman" w:hAnsi="Simplified Arabic"/>
          <w:kern w:val="18"/>
          <w:rtl/>
          <w:lang w:val="en-GB"/>
        </w:rPr>
        <w:t xml:space="preserve"> </w:t>
      </w:r>
      <w:r w:rsidRPr="00E82C09">
        <w:rPr>
          <w:rFonts w:ascii="Simplified Arabic" w:hAnsi="Simplified Arabic"/>
          <w:rtl/>
        </w:rPr>
        <w:t>على ما يلي: الغرض من المهمة 15 وضع مبادئ توجيهية لأفضل الممارسات التي من شأنها تيسير تعزيز الإعادة للمعارف الأصلية والتقليدية ذات الصلة بحفظ التنوع البيولوجي واستخدامه المستدام، بما في ذلك المعارف الأصلية والتقليدية المرتبطة بالممتلكات الثقافية، وفقا للمادة 8(ي) والفقرة 2 من المادة 17 من الاتفاقية، من أجل تيسير استرداد المعارف التقليدية للتنوع البيولوجي.</w:t>
      </w:r>
    </w:p>
  </w:footnote>
  <w:footnote w:id="202">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A0BBE">
        <w:rPr>
          <w:rFonts w:ascii="Simplified Arabic" w:hAnsi="Simplified Arabic"/>
          <w:rtl/>
        </w:rPr>
        <w:t xml:space="preserve"> قد تشمل المعارف التقليدية الموجودة في بلدان أخرى (مثلا الإعارة أو في مجموعات)، أو في الحالات العابرة للحدود.</w:t>
      </w:r>
    </w:p>
  </w:footnote>
  <w:footnote w:id="203">
    <w:p w:rsidR="000C66C6" w:rsidRPr="005B062C"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A65131">
        <w:rPr>
          <w:rFonts w:ascii="Simplified Arabic" w:hAnsi="Simplified Arabic"/>
          <w:sz w:val="20"/>
          <w:rtl/>
        </w:rPr>
        <w:t xml:space="preserve"> </w:t>
      </w:r>
      <w:r w:rsidRPr="005A0BBE">
        <w:rPr>
          <w:rFonts w:ascii="Simplified Arabic" w:hAnsi="Simplified Arabic"/>
          <w:rtl/>
        </w:rPr>
        <w:t>يمكن تحقيق ذلك من خلال الخطوة الأولى "إنشاء فريق يضم ممثلين للشعوب الأصلية والمجتمعات المحلية ذات الصلة".</w:t>
      </w:r>
    </w:p>
  </w:footnote>
  <w:footnote w:id="204">
    <w:p w:rsidR="000C66C6" w:rsidRPr="005A0BBE" w:rsidRDefault="000C66C6" w:rsidP="00EE0FD7">
      <w:pPr>
        <w:pStyle w:val="FootnoteText"/>
        <w:rPr>
          <w:rFonts w:ascii="Simplified Arabic" w:hAnsi="Simplified Arabic"/>
        </w:rPr>
      </w:pPr>
      <w:r w:rsidRPr="00A65131">
        <w:rPr>
          <w:rStyle w:val="FootnoteReference"/>
          <w:sz w:val="20"/>
        </w:rPr>
        <w:footnoteRef/>
      </w:r>
      <w:r w:rsidRPr="00A65131">
        <w:rPr>
          <w:rFonts w:ascii="Simplified Arabic" w:hAnsi="Simplified Arabic"/>
          <w:sz w:val="20"/>
          <w:rtl/>
        </w:rPr>
        <w:t xml:space="preserve"> </w:t>
      </w:r>
      <w:r w:rsidRPr="005A0BBE">
        <w:rPr>
          <w:rFonts w:ascii="Simplified Arabic" w:hAnsi="Simplified Arabic"/>
          <w:rtl/>
        </w:rPr>
        <w:t>المعارف التقليدية التي يجري إعادة توطينها يمكن أن تشمل "معلومات ذات صلة أو تكميلية".</w:t>
      </w:r>
    </w:p>
  </w:footnote>
  <w:footnote w:id="205">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A0BBE">
        <w:rPr>
          <w:rFonts w:ascii="Simplified Arabic" w:hAnsi="Simplified Arabic"/>
          <w:rtl/>
        </w:rPr>
        <w:t xml:space="preserve"> قد تشمل الأطراف والحكومات الأخرى والكيانات الأخرى، بما في ذلك المنظمات الدولية والمتاحف وحدائق الأعشاب والنباتات والحيوانات وقواعد البيانات والسجلات ومصارف الجينات وما إلى ذلك.</w:t>
      </w:r>
    </w:p>
  </w:footnote>
  <w:footnote w:id="206">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A65131">
        <w:rPr>
          <w:rFonts w:ascii="Simplified Arabic" w:hAnsi="Simplified Arabic"/>
          <w:sz w:val="20"/>
          <w:rtl/>
        </w:rPr>
        <w:t xml:space="preserve"> </w:t>
      </w:r>
      <w:r w:rsidRPr="005A0BBE">
        <w:rPr>
          <w:rFonts w:ascii="Simplified Arabic" w:hAnsi="Simplified Arabic"/>
          <w:rtl/>
        </w:rPr>
        <w:t>مثل قواعد البيانات الآمنة.</w:t>
      </w:r>
    </w:p>
  </w:footnote>
  <w:footnote w:id="207">
    <w:p w:rsidR="000C66C6" w:rsidRPr="005A0BBE" w:rsidRDefault="000C66C6" w:rsidP="00EE0FD7">
      <w:pPr>
        <w:pStyle w:val="FootnoteText"/>
        <w:rPr>
          <w:rFonts w:ascii="Simplified Arabic" w:hAnsi="Simplified Arabic"/>
        </w:rPr>
      </w:pPr>
      <w:r w:rsidRPr="00A65131">
        <w:rPr>
          <w:rStyle w:val="FootnoteReference"/>
          <w:rFonts w:ascii="Simplified Arabic" w:hAnsi="Simplified Arabic"/>
          <w:sz w:val="20"/>
        </w:rPr>
        <w:footnoteRef/>
      </w:r>
      <w:r w:rsidRPr="005A0BBE">
        <w:rPr>
          <w:rFonts w:ascii="Simplified Arabic" w:hAnsi="Simplified Arabic"/>
          <w:rtl/>
        </w:rPr>
        <w:t xml:space="preserve"> الرقمنة هي عملية تحويل المعلومات إلى شكل رقمي أو إلكتروني. ويرجى ملاحظة أن التوثيق والرقمنة يمثلان عملين متمايزين. فالتوثيق هو شكل من أشكال التسجيل، وعادة ما يكون كتابة معلومات، في حين أن التحويل إلى شكل رقمي هو تحويل المعلومات الموثقة إلى شكل إلكتروني.</w:t>
      </w:r>
    </w:p>
  </w:footnote>
  <w:footnote w:id="208">
    <w:p w:rsidR="000C66C6" w:rsidRPr="00E82C09" w:rsidRDefault="000C66C6" w:rsidP="00EE0FD7">
      <w:pPr>
        <w:pStyle w:val="FootnoteText"/>
        <w:rPr>
          <w:rFonts w:ascii="Simplified Arabic" w:hAnsi="Simplified Arabic"/>
        </w:rPr>
      </w:pPr>
      <w:r w:rsidRPr="00A65131">
        <w:rPr>
          <w:rStyle w:val="FootnoteReference"/>
          <w:sz w:val="20"/>
        </w:rPr>
        <w:footnoteRef/>
      </w:r>
      <w:r w:rsidRPr="005B062C">
        <w:rPr>
          <w:rFonts w:ascii="Simplified Arabic" w:hAnsi="Simplified Arabic"/>
          <w:rtl/>
        </w:rPr>
        <w:t xml:space="preserve"> </w:t>
      </w:r>
      <w:r w:rsidRPr="00E82C09">
        <w:rPr>
          <w:rFonts w:ascii="Simplified Arabic" w:hAnsi="Simplified Arabic"/>
          <w:rtl/>
        </w:rPr>
        <w:t xml:space="preserve">انظر </w:t>
      </w:r>
      <w:hyperlink r:id="rId107" w:history="1">
        <w:r w:rsidRPr="00E82C09">
          <w:rPr>
            <w:rStyle w:val="Hyperlink"/>
            <w:rFonts w:ascii="Simplified Arabic" w:eastAsia="Times New Roman" w:hAnsi="Simplified Arabic"/>
            <w:i/>
            <w:kern w:val="18"/>
            <w:rtl/>
            <w:lang w:val="en-GB" w:eastAsia="en-GB"/>
          </w:rPr>
          <w:t>المقرر 8/5</w:t>
        </w:r>
      </w:hyperlink>
      <w:r w:rsidRPr="00E82C09">
        <w:rPr>
          <w:rFonts w:ascii="Simplified Arabic" w:hAnsi="Simplified Arabic"/>
          <w:rtl/>
        </w:rPr>
        <w:t xml:space="preserve"> باء، الذي يوصي بأن تضع الأطراف والحكومات في اعتبارها أن السجلات تمثل نهجا واحدا فقط من نهوج حماية المعارف والابتكارات والممارسات التقليدية، وبهذه الصفة، يجب أن يكون إنشاؤها طوعيا، وليس شرطا مسبقا للحماية. ويجب إنشاء السجلات فقط بالموافقة المسبقة عن علم من المجتمعات الأصلية والمحلية. </w:t>
      </w:r>
    </w:p>
  </w:footnote>
  <w:footnote w:id="209">
    <w:p w:rsidR="000C66C6" w:rsidRPr="00A65131" w:rsidRDefault="000C66C6" w:rsidP="00EE0FD7">
      <w:pPr>
        <w:pStyle w:val="FootnoteText"/>
        <w:rPr>
          <w:rtl/>
        </w:rPr>
      </w:pPr>
      <w:r w:rsidRPr="0010246A">
        <w:rPr>
          <w:rStyle w:val="FootnoteReference"/>
          <w:rFonts w:ascii="Simplified Arabic" w:hAnsi="Simplified Arabic"/>
          <w:sz w:val="20"/>
        </w:rPr>
        <w:footnoteRef/>
      </w:r>
      <w:r w:rsidRPr="0010246A">
        <w:rPr>
          <w:rFonts w:ascii="Simplified Arabic" w:hAnsi="Simplified Arabic"/>
          <w:sz w:val="20"/>
          <w:vertAlign w:val="superscript"/>
          <w:rtl/>
        </w:rPr>
        <w:t xml:space="preserve"> </w:t>
      </w:r>
      <w:r w:rsidRPr="00A65131">
        <w:rPr>
          <w:sz w:val="20"/>
          <w:rtl/>
        </w:rPr>
        <w:t xml:space="preserve">على سبيل المثال، انظر: </w:t>
      </w:r>
      <w:hyperlink r:id="rId108" w:history="1">
        <w:r w:rsidRPr="008A1C61">
          <w:rPr>
            <w:color w:val="0000FF"/>
            <w:szCs w:val="18"/>
            <w:u w:val="single"/>
          </w:rPr>
          <w:t>http://aiatsis.gov.au/about-us</w:t>
        </w:r>
      </w:hyperlink>
      <w:r w:rsidRPr="00A65131">
        <w:rPr>
          <w:szCs w:val="18"/>
          <w:rtl/>
        </w:rPr>
        <w:t>.</w:t>
      </w:r>
    </w:p>
  </w:footnote>
  <w:footnote w:id="210">
    <w:p w:rsidR="000C66C6" w:rsidRPr="00A65131" w:rsidRDefault="000C66C6" w:rsidP="00EE0FD7">
      <w:pPr>
        <w:pStyle w:val="FootnoteText"/>
      </w:pPr>
      <w:r w:rsidRPr="0010246A">
        <w:rPr>
          <w:rStyle w:val="FootnoteReference"/>
          <w:rFonts w:ascii="Simplified Arabic" w:hAnsi="Simplified Arabic"/>
          <w:sz w:val="20"/>
        </w:rPr>
        <w:footnoteRef/>
      </w:r>
      <w:r w:rsidRPr="0010246A">
        <w:rPr>
          <w:rFonts w:ascii="Simplified Arabic" w:hAnsi="Simplified Arabic"/>
          <w:sz w:val="20"/>
          <w:vertAlign w:val="superscript"/>
          <w:rtl/>
        </w:rPr>
        <w:t xml:space="preserve"> </w:t>
      </w:r>
      <w:r w:rsidRPr="00A65131">
        <w:rPr>
          <w:szCs w:val="18"/>
          <w:rtl/>
        </w:rPr>
        <w:t xml:space="preserve">متاحة على العنوان التالي: </w:t>
      </w:r>
      <w:hyperlink r:id="rId109" w:history="1">
        <w:r w:rsidRPr="008A1C61">
          <w:rPr>
            <w:color w:val="0000FF"/>
            <w:szCs w:val="18"/>
            <w:u w:val="single"/>
          </w:rPr>
          <w:t>http://www.wipo.int/export/sites/www/tk/en/resources/pdf/tk_toolkit_draft.pdf</w:t>
        </w:r>
      </w:hyperlink>
      <w:r w:rsidRPr="00A65131">
        <w:rPr>
          <w:szCs w:val="18"/>
          <w:rtl/>
        </w:rPr>
        <w:t>.</w:t>
      </w:r>
    </w:p>
  </w:footnote>
  <w:footnote w:id="211">
    <w:p w:rsidR="000C66C6" w:rsidRPr="00A65131" w:rsidRDefault="000C66C6" w:rsidP="00EE0FD7">
      <w:pPr>
        <w:pStyle w:val="FootnoteText"/>
      </w:pPr>
      <w:r w:rsidRPr="0010246A">
        <w:rPr>
          <w:rStyle w:val="FootnoteReference"/>
          <w:rFonts w:ascii="Simplified Arabic" w:hAnsi="Simplified Arabic"/>
          <w:sz w:val="20"/>
        </w:rPr>
        <w:footnoteRef/>
      </w:r>
      <w:r w:rsidRPr="0010246A">
        <w:rPr>
          <w:rFonts w:ascii="Simplified Arabic" w:hAnsi="Simplified Arabic"/>
          <w:sz w:val="20"/>
          <w:vertAlign w:val="superscript"/>
          <w:rtl/>
        </w:rPr>
        <w:t xml:space="preserve"> </w:t>
      </w:r>
      <w:r w:rsidRPr="00A65131">
        <w:rPr>
          <w:sz w:val="20"/>
          <w:rtl/>
        </w:rPr>
        <w:t xml:space="preserve">يتجسد هذا المبدأ أيضا في مبدأ المعاملة بالمثل في مدونة السلوك الأخلاقي تغاريوايي:ري بشأن احترام التراث الثقافي والفكري للمجتمعات الأصلية والمحلية ذي الصلة بحفظ التنوع البيولوجي واستخدامه المستدام، التي اعتمدت في المقرر 10/42 والمتاحة على العنوان التالي: </w:t>
      </w:r>
      <w:hyperlink r:id="rId110" w:history="1">
        <w:r w:rsidRPr="008A1C61">
          <w:rPr>
            <w:color w:val="0000FF"/>
            <w:szCs w:val="18"/>
            <w:u w:val="single"/>
          </w:rPr>
          <w:t>https://www.cbd.int/doc/publications/ethicalconduct-brochure-en.pdf</w:t>
        </w:r>
      </w:hyperlink>
      <w:r w:rsidRPr="00A65131">
        <w:rPr>
          <w:szCs w:val="18"/>
          <w:rtl/>
        </w:rPr>
        <w:t xml:space="preserve">. </w:t>
      </w:r>
    </w:p>
  </w:footnote>
  <w:footnote w:id="212">
    <w:p w:rsidR="000C66C6" w:rsidRPr="00E82C09"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10246A">
        <w:rPr>
          <w:rFonts w:ascii="Simplified Arabic" w:hAnsi="Simplified Arabic"/>
          <w:sz w:val="20"/>
          <w:rtl/>
        </w:rPr>
        <w:t xml:space="preserve"> </w:t>
      </w:r>
      <w:r w:rsidRPr="00E82C09">
        <w:rPr>
          <w:rFonts w:ascii="Simplified Arabic" w:hAnsi="Simplified Arabic"/>
          <w:rtl/>
        </w:rPr>
        <w:t xml:space="preserve">انظر </w:t>
      </w:r>
      <w:hyperlink r:id="rId111" w:history="1">
        <w:r w:rsidRPr="00E82C09">
          <w:rPr>
            <w:rStyle w:val="Hyperlink"/>
            <w:rFonts w:eastAsia="Times New Roman"/>
            <w:kern w:val="18"/>
            <w:lang w:val="en-GB"/>
          </w:rPr>
          <w:t>UNEP/CBD/WG8J/8/5</w:t>
        </w:r>
      </w:hyperlink>
      <w:r w:rsidRPr="00E82C09">
        <w:rPr>
          <w:rFonts w:ascii="Simplified Arabic" w:hAnsi="Simplified Arabic"/>
          <w:rtl/>
        </w:rPr>
        <w:t>، الفقرة 72.</w:t>
      </w:r>
    </w:p>
  </w:footnote>
  <w:footnote w:id="213">
    <w:p w:rsidR="000C66C6" w:rsidRPr="00E82C09"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E82C09">
        <w:rPr>
          <w:rFonts w:ascii="Simplified Arabic" w:hAnsi="Simplified Arabic"/>
          <w:rtl/>
        </w:rPr>
        <w:t xml:space="preserve"> ينبغي عدم الخلط بين المعلومات السرية أو المقدسة أو الحساسة للشعوب الأصلية والمجتمعات المحلية وبين المواد التي يمكن اعتبارها مسيئة للشعوب الأصلية والمجتمعات المحلية.</w:t>
      </w:r>
    </w:p>
  </w:footnote>
  <w:footnote w:id="214">
    <w:p w:rsidR="000C66C6" w:rsidRPr="00E82C09" w:rsidRDefault="000C66C6" w:rsidP="00EE0FD7">
      <w:pPr>
        <w:pStyle w:val="FootnoteText"/>
        <w:rPr>
          <w:rFonts w:ascii="Simplified Arabic" w:hAnsi="Simplified Arabic"/>
        </w:rPr>
      </w:pPr>
      <w:r w:rsidRPr="0010246A">
        <w:rPr>
          <w:rStyle w:val="FootnoteReference"/>
          <w:rFonts w:ascii="Simplified Arabic" w:hAnsi="Simplified Arabic"/>
          <w:sz w:val="20"/>
        </w:rPr>
        <w:footnoteRef/>
      </w:r>
      <w:r w:rsidRPr="00E82C09">
        <w:rPr>
          <w:rFonts w:ascii="Simplified Arabic" w:hAnsi="Simplified Arabic"/>
          <w:rtl/>
        </w:rPr>
        <w:t xml:space="preserve"> على سبيل المثال، قد يعتبر ملائما من الناحية الثقافية ألا يطلع على المعارف المتعلقة بالنساء إلا نساء.</w:t>
      </w:r>
    </w:p>
  </w:footnote>
  <w:footnote w:id="215">
    <w:p w:rsidR="000C66C6" w:rsidRPr="0008233B"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08233B">
        <w:rPr>
          <w:rFonts w:ascii="Simplified Arabic" w:hAnsi="Simplified Arabic"/>
          <w:rtl/>
        </w:rPr>
        <w:t xml:space="preserve"> الأمم المتحدة، </w:t>
      </w:r>
      <w:r>
        <w:rPr>
          <w:rFonts w:ascii="Simplified Arabic" w:hAnsi="Simplified Arabic" w:hint="cs"/>
          <w:i/>
          <w:iCs/>
          <w:rtl/>
        </w:rPr>
        <w:t>مجموع</w:t>
      </w:r>
      <w:r w:rsidRPr="0008233B">
        <w:rPr>
          <w:rFonts w:ascii="Simplified Arabic" w:hAnsi="Simplified Arabic"/>
          <w:i/>
          <w:iCs/>
          <w:rtl/>
        </w:rPr>
        <w:t>ة المعاهدات</w:t>
      </w:r>
      <w:r w:rsidRPr="0008233B">
        <w:rPr>
          <w:rFonts w:ascii="Simplified Arabic" w:hAnsi="Simplified Arabic"/>
          <w:rtl/>
        </w:rPr>
        <w:t>، المجلد 1155، رقم 18232.</w:t>
      </w:r>
    </w:p>
  </w:footnote>
  <w:footnote w:id="216">
    <w:p w:rsidR="000C66C6" w:rsidRPr="0008233B" w:rsidRDefault="000C66C6" w:rsidP="00696773">
      <w:pPr>
        <w:pStyle w:val="FootnoteText"/>
        <w:spacing w:before="60"/>
        <w:rPr>
          <w:rFonts w:ascii="Simplified Arabic" w:hAnsi="Simplified Arabic"/>
        </w:rPr>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08233B">
        <w:rPr>
          <w:rFonts w:ascii="Simplified Arabic" w:hAnsi="Simplified Arabic"/>
          <w:rtl/>
          <w:lang w:val="fr-CA"/>
        </w:rPr>
        <w:t xml:space="preserve">مستمد من المادة </w:t>
      </w:r>
      <w:r>
        <w:rPr>
          <w:rFonts w:ascii="Simplified Arabic" w:hAnsi="Simplified Arabic"/>
          <w:rtl/>
          <w:lang w:val="fr-CA"/>
        </w:rPr>
        <w:t>8(ي)</w:t>
      </w:r>
      <w:r w:rsidRPr="0008233B">
        <w:rPr>
          <w:rFonts w:ascii="Simplified Arabic" w:hAnsi="Simplified Arabic"/>
          <w:rtl/>
          <w:lang w:val="fr-CA"/>
        </w:rPr>
        <w:t xml:space="preserve"> </w:t>
      </w:r>
      <w:r>
        <w:rPr>
          <w:rFonts w:ascii="Simplified Arabic" w:hAnsi="Simplified Arabic" w:hint="cs"/>
          <w:rtl/>
          <w:lang w:val="fr-CA"/>
        </w:rPr>
        <w:t>و</w:t>
      </w:r>
      <w:r w:rsidRPr="0008233B">
        <w:rPr>
          <w:rFonts w:ascii="Simplified Arabic" w:hAnsi="Simplified Arabic"/>
          <w:rtl/>
          <w:lang w:val="fr-CA"/>
        </w:rPr>
        <w:t xml:space="preserve">تم تأييده في الفقرة 6(ح) من المرفق </w:t>
      </w:r>
      <w:hyperlink r:id="rId112" w:history="1">
        <w:r w:rsidRPr="00802A0C">
          <w:rPr>
            <w:rStyle w:val="Hyperlink"/>
            <w:rFonts w:ascii="Simplified Arabic" w:hAnsi="Simplified Arabic"/>
            <w:rtl/>
          </w:rPr>
          <w:t>بالمقرر 7/16</w:t>
        </w:r>
      </w:hyperlink>
      <w:r w:rsidRPr="0008233B">
        <w:rPr>
          <w:rFonts w:ascii="Simplified Arabic" w:hAnsi="Simplified Arabic"/>
          <w:rtl/>
          <w:lang w:val="fr-CA"/>
        </w:rPr>
        <w:t xml:space="preserve"> واو بشأن </w:t>
      </w:r>
      <w:r>
        <w:rPr>
          <w:rFonts w:ascii="Simplified Arabic" w:hAnsi="Simplified Arabic"/>
          <w:rtl/>
          <w:lang w:val="fr-CA"/>
        </w:rPr>
        <w:t>المبادئ التوجيهية أغواي: غو</w:t>
      </w:r>
      <w:r w:rsidRPr="0008233B">
        <w:rPr>
          <w:rFonts w:ascii="Simplified Arabic" w:hAnsi="Simplified Arabic"/>
          <w:rtl/>
          <w:lang w:val="fr-CA"/>
        </w:rPr>
        <w:t>.</w:t>
      </w:r>
    </w:p>
  </w:footnote>
  <w:footnote w:id="217">
    <w:p w:rsidR="000C66C6" w:rsidRPr="00E129AB" w:rsidRDefault="000C66C6" w:rsidP="00696773">
      <w:pPr>
        <w:pStyle w:val="FootnoteText"/>
        <w:rPr>
          <w:rFonts w:ascii="Simplified Arabic" w:hAnsi="Simplified Arabic"/>
        </w:rPr>
      </w:pPr>
      <w:r w:rsidRPr="00696773">
        <w:rPr>
          <w:rStyle w:val="FootnoteReference"/>
          <w:rFonts w:ascii="Simplified Arabic" w:hAnsi="Simplified Arabic"/>
          <w:sz w:val="20"/>
          <w:szCs w:val="20"/>
        </w:rPr>
        <w:footnoteRef/>
      </w:r>
      <w:r w:rsidRPr="0008233B">
        <w:rPr>
          <w:rFonts w:ascii="Simplified Arabic" w:hAnsi="Simplified Arabic"/>
          <w:rtl/>
        </w:rPr>
        <w:t xml:space="preserve"> </w:t>
      </w:r>
      <w:r w:rsidRPr="0008233B">
        <w:rPr>
          <w:rFonts w:ascii="Simplified Arabic" w:hAnsi="Simplified Arabic"/>
          <w:rtl/>
          <w:lang w:val="fr-CA"/>
        </w:rPr>
        <w:t xml:space="preserve">مستمد </w:t>
      </w:r>
      <w:r w:rsidRPr="00E129AB">
        <w:rPr>
          <w:rFonts w:ascii="Simplified Arabic" w:hAnsi="Simplified Arabic"/>
          <w:rtl/>
          <w:lang w:val="fr-CA"/>
        </w:rPr>
        <w:t>من المادة 10(ج).</w:t>
      </w:r>
    </w:p>
  </w:footnote>
  <w:footnote w:id="218">
    <w:p w:rsidR="000C66C6" w:rsidRPr="00E129AB" w:rsidRDefault="000C66C6" w:rsidP="00696773">
      <w:pPr>
        <w:pStyle w:val="recommendationheader"/>
        <w:keepNext w:val="0"/>
        <w:bidi/>
        <w:spacing w:before="0" w:after="0" w:line="216" w:lineRule="auto"/>
        <w:jc w:val="both"/>
        <w:rPr>
          <w:b w:val="0"/>
          <w:sz w:val="18"/>
          <w:szCs w:val="20"/>
          <w:lang w:val="en-US"/>
        </w:rPr>
      </w:pPr>
      <w:r w:rsidRPr="00696773">
        <w:rPr>
          <w:rStyle w:val="FootnoteReference"/>
          <w:rFonts w:ascii="Simplified Arabic" w:eastAsia="PMingLiU" w:hAnsi="Simplified Arabic"/>
          <w:b w:val="0"/>
          <w:bCs w:val="0"/>
          <w:sz w:val="20"/>
          <w:szCs w:val="20"/>
        </w:rPr>
        <w:footnoteRef/>
      </w:r>
      <w:r w:rsidRPr="00E129AB">
        <w:rPr>
          <w:rFonts w:ascii="Simplified Arabic" w:hAnsi="Simplified Arabic"/>
          <w:b w:val="0"/>
          <w:bCs w:val="0"/>
          <w:sz w:val="18"/>
          <w:szCs w:val="20"/>
          <w:rtl/>
        </w:rPr>
        <w:t xml:space="preserve"> </w:t>
      </w:r>
      <w:r w:rsidRPr="00E129AB">
        <w:rPr>
          <w:rFonts w:eastAsia="PMingLiU"/>
          <w:b w:val="0"/>
          <w:bCs w:val="0"/>
          <w:iCs w:val="0"/>
          <w:sz w:val="18"/>
          <w:szCs w:val="20"/>
          <w:rtl/>
          <w:lang w:eastAsia="ar-SA"/>
        </w:rPr>
        <w:t>قرر مؤتمر الأطراف</w:t>
      </w:r>
      <w:r w:rsidRPr="00E129AB">
        <w:rPr>
          <w:rFonts w:eastAsia="PMingLiU" w:hint="cs"/>
          <w:b w:val="0"/>
          <w:bCs w:val="0"/>
          <w:iCs w:val="0"/>
          <w:sz w:val="18"/>
          <w:szCs w:val="20"/>
          <w:rtl/>
          <w:lang w:eastAsia="ar-SA"/>
        </w:rPr>
        <w:t>،</w:t>
      </w:r>
      <w:r w:rsidRPr="00E129AB">
        <w:rPr>
          <w:rFonts w:eastAsia="PMingLiU"/>
          <w:b w:val="0"/>
          <w:bCs w:val="0"/>
          <w:iCs w:val="0"/>
          <w:sz w:val="18"/>
          <w:szCs w:val="20"/>
          <w:rtl/>
          <w:lang w:eastAsia="ar-SA"/>
        </w:rPr>
        <w:t xml:space="preserve"> في المقرر </w:t>
      </w:r>
      <w:hyperlink r:id="rId113" w:history="1">
        <w:r w:rsidRPr="00E129AB">
          <w:rPr>
            <w:rStyle w:val="Hyperlink"/>
            <w:rFonts w:eastAsia="PMingLiU"/>
            <w:b w:val="0"/>
            <w:bCs w:val="0"/>
            <w:iCs w:val="0"/>
            <w:szCs w:val="20"/>
            <w:rtl/>
          </w:rPr>
          <w:t>12/12</w:t>
        </w:r>
      </w:hyperlink>
      <w:r w:rsidRPr="00E129AB">
        <w:rPr>
          <w:rFonts w:eastAsia="PMingLiU"/>
          <w:b w:val="0"/>
          <w:bCs w:val="0"/>
          <w:iCs w:val="0"/>
          <w:sz w:val="18"/>
          <w:szCs w:val="20"/>
          <w:lang w:val="en-US" w:eastAsia="ar-SA"/>
        </w:rPr>
        <w:t xml:space="preserve"> </w:t>
      </w:r>
      <w:r w:rsidRPr="00E129AB">
        <w:rPr>
          <w:rFonts w:eastAsia="PMingLiU"/>
          <w:b w:val="0"/>
          <w:bCs w:val="0"/>
          <w:iCs w:val="0"/>
          <w:sz w:val="18"/>
          <w:szCs w:val="20"/>
          <w:rtl/>
          <w:lang w:eastAsia="ar-SA"/>
        </w:rPr>
        <w:t xml:space="preserve">واو، استخدام مصطلح "الشعوب الأصلية والمجتمعات المحلية" في </w:t>
      </w:r>
      <w:r w:rsidRPr="00E129AB">
        <w:rPr>
          <w:rFonts w:eastAsia="PMingLiU" w:hint="cs"/>
          <w:b w:val="0"/>
          <w:bCs w:val="0"/>
          <w:iCs w:val="0"/>
          <w:sz w:val="18"/>
          <w:szCs w:val="20"/>
          <w:rtl/>
          <w:lang w:eastAsia="ar-SA"/>
        </w:rPr>
        <w:t>المقررات المستقبلية المتخذة</w:t>
      </w:r>
      <w:r w:rsidRPr="00E129AB">
        <w:rPr>
          <w:rFonts w:eastAsia="PMingLiU"/>
          <w:b w:val="0"/>
          <w:bCs w:val="0"/>
          <w:iCs w:val="0"/>
          <w:sz w:val="18"/>
          <w:szCs w:val="20"/>
          <w:rtl/>
          <w:lang w:eastAsia="ar-SA"/>
        </w:rPr>
        <w:t xml:space="preserve"> بموجب الاتفاقية، دون أن يؤثر </w:t>
      </w:r>
      <w:r w:rsidRPr="00E129AB">
        <w:rPr>
          <w:rFonts w:eastAsia="PMingLiU" w:hint="cs"/>
          <w:b w:val="0"/>
          <w:bCs w:val="0"/>
          <w:iCs w:val="0"/>
          <w:sz w:val="18"/>
          <w:szCs w:val="20"/>
          <w:rtl/>
          <w:lang w:eastAsia="ar-SA"/>
        </w:rPr>
        <w:t xml:space="preserve">ذلك </w:t>
      </w:r>
      <w:r w:rsidRPr="00E129AB">
        <w:rPr>
          <w:rFonts w:eastAsia="PMingLiU"/>
          <w:b w:val="0"/>
          <w:bCs w:val="0"/>
          <w:iCs w:val="0"/>
          <w:sz w:val="18"/>
          <w:szCs w:val="20"/>
          <w:rtl/>
          <w:lang w:eastAsia="ar-SA"/>
        </w:rPr>
        <w:t xml:space="preserve">بأي شكل من الأشكال على المعنى القانوني للمادة 8(ي) والأحكام المتصلة بها من الاتفاقية. واتخذت الأطراف في بروتوكول قرطاجنة وبروتوكول ناغويا </w:t>
      </w:r>
      <w:r w:rsidRPr="00E129AB">
        <w:rPr>
          <w:rFonts w:eastAsia="PMingLiU" w:hint="cs"/>
          <w:b w:val="0"/>
          <w:bCs w:val="0"/>
          <w:iCs w:val="0"/>
          <w:sz w:val="18"/>
          <w:szCs w:val="20"/>
          <w:rtl/>
          <w:lang w:eastAsia="ar-SA"/>
        </w:rPr>
        <w:t>قرارات</w:t>
      </w:r>
      <w:r w:rsidRPr="00E129AB">
        <w:rPr>
          <w:rFonts w:eastAsia="PMingLiU"/>
          <w:b w:val="0"/>
          <w:bCs w:val="0"/>
          <w:iCs w:val="0"/>
          <w:sz w:val="18"/>
          <w:szCs w:val="20"/>
          <w:rtl/>
          <w:lang w:eastAsia="ar-SA"/>
        </w:rPr>
        <w:t xml:space="preserve"> مماثلة في وقت لاحق في ديسمبر</w:t>
      </w:r>
      <w:r w:rsidRPr="00E129AB">
        <w:rPr>
          <w:rFonts w:eastAsia="PMingLiU" w:hint="cs"/>
          <w:b w:val="0"/>
          <w:bCs w:val="0"/>
          <w:iCs w:val="0"/>
          <w:sz w:val="18"/>
          <w:szCs w:val="20"/>
          <w:rtl/>
          <w:lang w:eastAsia="ar-SA"/>
        </w:rPr>
        <w:t>/</w:t>
      </w:r>
      <w:r w:rsidRPr="00E129AB">
        <w:rPr>
          <w:rFonts w:eastAsia="PMingLiU"/>
          <w:b w:val="0"/>
          <w:bCs w:val="0"/>
          <w:iCs w:val="0"/>
          <w:sz w:val="18"/>
          <w:szCs w:val="20"/>
          <w:rtl/>
          <w:lang w:eastAsia="ar-SA"/>
        </w:rPr>
        <w:t xml:space="preserve">كانون الأول 2016 </w:t>
      </w:r>
      <w:r w:rsidRPr="00E129AB">
        <w:rPr>
          <w:rFonts w:eastAsia="PMingLiU" w:hint="cs"/>
          <w:b w:val="0"/>
          <w:bCs w:val="0"/>
          <w:iCs w:val="0"/>
          <w:sz w:val="18"/>
          <w:szCs w:val="20"/>
          <w:rtl/>
          <w:lang w:eastAsia="ar-SA"/>
        </w:rPr>
        <w:t xml:space="preserve">في </w:t>
      </w:r>
      <w:r w:rsidRPr="00E129AB">
        <w:rPr>
          <w:rFonts w:eastAsia="PMingLiU"/>
          <w:b w:val="0"/>
          <w:bCs w:val="0"/>
          <w:iCs w:val="0"/>
          <w:sz w:val="18"/>
          <w:szCs w:val="20"/>
          <w:rtl/>
          <w:lang w:eastAsia="ar-SA"/>
        </w:rPr>
        <w:t xml:space="preserve">المقررين </w:t>
      </w:r>
      <w:hyperlink r:id="rId114" w:history="1">
        <w:r w:rsidRPr="00477B14">
          <w:rPr>
            <w:rStyle w:val="Hyperlink"/>
            <w:rFonts w:eastAsia="PMingLiU"/>
            <w:b w:val="0"/>
            <w:kern w:val="18"/>
            <w:sz w:val="18"/>
            <w:szCs w:val="20"/>
            <w:lang w:val="en-US" w:eastAsia="en-GB"/>
          </w:rPr>
          <w:t>BS</w:t>
        </w:r>
        <w:r w:rsidRPr="00477B14">
          <w:rPr>
            <w:rStyle w:val="Hyperlink"/>
            <w:rFonts w:eastAsia="PMingLiU"/>
            <w:b w:val="0"/>
            <w:kern w:val="18"/>
            <w:sz w:val="18"/>
            <w:szCs w:val="20"/>
            <w:lang w:val="en-US" w:eastAsia="en-GB"/>
          </w:rPr>
          <w:noBreakHyphen/>
          <w:t>VIII/19</w:t>
        </w:r>
      </w:hyperlink>
      <w:r w:rsidRPr="00E129AB">
        <w:rPr>
          <w:rFonts w:eastAsia="PMingLiU"/>
          <w:b w:val="0"/>
          <w:bCs w:val="0"/>
          <w:iCs w:val="0"/>
          <w:sz w:val="18"/>
          <w:szCs w:val="20"/>
          <w:rtl/>
          <w:lang w:eastAsia="ar-SA"/>
        </w:rPr>
        <w:t xml:space="preserve"> و</w:t>
      </w:r>
      <w:hyperlink r:id="rId115" w:history="1">
        <w:r w:rsidRPr="00477B14">
          <w:rPr>
            <w:rStyle w:val="Hyperlink"/>
            <w:rFonts w:eastAsia="Calibri"/>
            <w:b w:val="0"/>
            <w:kern w:val="18"/>
            <w:sz w:val="18"/>
            <w:szCs w:val="20"/>
            <w:lang w:val="en-US"/>
          </w:rPr>
          <w:t>NP-2/7</w:t>
        </w:r>
      </w:hyperlink>
      <w:r w:rsidRPr="00E129AB">
        <w:rPr>
          <w:rFonts w:eastAsia="PMingLiU"/>
          <w:b w:val="0"/>
          <w:bCs w:val="0"/>
          <w:iCs w:val="0"/>
          <w:sz w:val="18"/>
          <w:szCs w:val="20"/>
          <w:rtl/>
          <w:lang w:eastAsia="ar-SA"/>
        </w:rPr>
        <w:t xml:space="preserve"> على التوالي</w:t>
      </w:r>
      <w:r w:rsidRPr="00E129AB">
        <w:rPr>
          <w:rFonts w:eastAsia="PMingLiU"/>
          <w:b w:val="0"/>
          <w:bCs w:val="0"/>
          <w:iCs w:val="0"/>
          <w:sz w:val="18"/>
          <w:szCs w:val="20"/>
          <w:lang w:val="en-US" w:eastAsia="ar-SA"/>
        </w:rPr>
        <w:t>.</w:t>
      </w:r>
    </w:p>
  </w:footnote>
  <w:footnote w:id="219">
    <w:p w:rsidR="000C66C6" w:rsidRPr="00E129AB" w:rsidRDefault="000C66C6" w:rsidP="00696773">
      <w:pPr>
        <w:pStyle w:val="FootnoteText"/>
      </w:pPr>
      <w:r w:rsidRPr="00696773">
        <w:rPr>
          <w:rStyle w:val="FootnoteReference"/>
          <w:rFonts w:ascii="Simplified Arabic" w:hAnsi="Simplified Arabic"/>
          <w:sz w:val="20"/>
          <w:szCs w:val="20"/>
        </w:rPr>
        <w:footnoteRef/>
      </w:r>
      <w:r w:rsidRPr="00E129AB">
        <w:rPr>
          <w:rtl/>
        </w:rPr>
        <w:t xml:space="preserve"> ملاحظة: لا يعتمد </w:t>
      </w:r>
      <w:r w:rsidRPr="00E129AB">
        <w:rPr>
          <w:color w:val="0000FF"/>
          <w:u w:val="single"/>
          <w:rtl/>
        </w:rPr>
        <w:t xml:space="preserve">إعلان الأمم </w:t>
      </w:r>
      <w:hyperlink r:id="rId116" w:history="1">
        <w:r w:rsidRPr="00E129AB">
          <w:rPr>
            <w:color w:val="0000FF"/>
            <w:u w:val="single"/>
            <w:rtl/>
          </w:rPr>
          <w:t>المتحدة</w:t>
        </w:r>
      </w:hyperlink>
      <w:r w:rsidRPr="00E129AB">
        <w:rPr>
          <w:color w:val="0000FF"/>
          <w:u w:val="single"/>
          <w:rtl/>
        </w:rPr>
        <w:t xml:space="preserve"> بشأن حقوق الشعوب الأصلية</w:t>
      </w:r>
      <w:r w:rsidRPr="00E129AB">
        <w:rPr>
          <w:rtl/>
        </w:rPr>
        <w:t xml:space="preserve"> تعريفا عالميا </w:t>
      </w:r>
      <w:r w:rsidRPr="00E129AB">
        <w:rPr>
          <w:rFonts w:hint="cs"/>
          <w:rtl/>
        </w:rPr>
        <w:t xml:space="preserve">لمصطلح </w:t>
      </w:r>
      <w:r w:rsidRPr="00E129AB">
        <w:rPr>
          <w:rtl/>
        </w:rPr>
        <w:t>"</w:t>
      </w:r>
      <w:r w:rsidRPr="00E129AB">
        <w:rPr>
          <w:rFonts w:hint="cs"/>
          <w:rtl/>
        </w:rPr>
        <w:t>ا</w:t>
      </w:r>
      <w:r w:rsidRPr="00E129AB">
        <w:rPr>
          <w:rtl/>
        </w:rPr>
        <w:t>لشعوب الأصلية"، ولذلك لا يوصى باستخدام تعريف معين.</w:t>
      </w:r>
      <w:r w:rsidRPr="00E129AB">
        <w:t xml:space="preserve"> </w:t>
      </w:r>
      <w:r w:rsidRPr="00E129AB">
        <w:rPr>
          <w:rtl/>
        </w:rPr>
        <w:t xml:space="preserve">غير أن منتدى الأمم المتحدة الدائم المعني بقضايا الشعوب الأصلية، بوصفه هيئة خبراء، يقدم المشورة بشأن "مفهوم الشعوب الأصلية" </w:t>
      </w:r>
      <w:r w:rsidRPr="00E129AB">
        <w:rPr>
          <w:rFonts w:hint="cs"/>
          <w:rtl/>
        </w:rPr>
        <w:t>بالرجوع</w:t>
      </w:r>
      <w:r w:rsidRPr="00E129AB">
        <w:rPr>
          <w:rtl/>
        </w:rPr>
        <w:t xml:space="preserve"> إلى تقرير المقرر الخاص، السيد خوسيه مارتينيز كوبو، </w:t>
      </w:r>
      <w:r w:rsidRPr="00E129AB">
        <w:rPr>
          <w:rFonts w:hint="cs"/>
          <w:rtl/>
        </w:rPr>
        <w:t>عن</w:t>
      </w:r>
      <w:r w:rsidRPr="00E129AB">
        <w:rPr>
          <w:rtl/>
        </w:rPr>
        <w:t xml:space="preserve"> دراسة مشكلة التمييز ضد السكان الأصليين </w:t>
      </w:r>
      <w:r w:rsidRPr="00E129AB">
        <w:rPr>
          <w:rFonts w:eastAsia="Times New Roman"/>
          <w:bCs/>
          <w:iCs/>
          <w:lang w:eastAsia="en-GB"/>
        </w:rPr>
        <w:t>(E/CN.4/Sub.2/1982/2/Add.6)</w:t>
      </w:r>
      <w:r w:rsidRPr="00E129AB">
        <w:rPr>
          <w:rFonts w:eastAsia="Times New Roman"/>
          <w:bCs/>
          <w:i/>
          <w:rtl/>
          <w:lang w:eastAsia="en-GB"/>
        </w:rPr>
        <w:t>،</w:t>
      </w:r>
      <w:r w:rsidRPr="00E129AB">
        <w:rPr>
          <w:rtl/>
        </w:rPr>
        <w:t xml:space="preserve"> </w:t>
      </w:r>
      <w:r w:rsidRPr="00E129AB">
        <w:rPr>
          <w:rFonts w:hint="cs"/>
          <w:rtl/>
        </w:rPr>
        <w:t>و</w:t>
      </w:r>
      <w:r w:rsidRPr="00E129AB">
        <w:rPr>
          <w:rtl/>
        </w:rPr>
        <w:t>المتاح في الوثيقة التالية:</w:t>
      </w:r>
      <w:r w:rsidRPr="00E129AB">
        <w:rPr>
          <w:rFonts w:hint="cs"/>
          <w:color w:val="0000FF"/>
          <w:rtl/>
        </w:rPr>
        <w:t xml:space="preserve"> </w:t>
      </w:r>
      <w:hyperlink r:id="rId117" w:history="1">
        <w:r w:rsidRPr="00E129AB">
          <w:rPr>
            <w:rStyle w:val="Hyperlink"/>
            <w:snapToGrid w:val="0"/>
            <w:kern w:val="18"/>
          </w:rPr>
          <w:t>http://www.un.org/esa/socdev/unpfii/documents/MCS_v_en.pdf</w:t>
        </w:r>
      </w:hyperlink>
      <w:r w:rsidRPr="00E129AB">
        <w:rPr>
          <w:rFonts w:hint="cs"/>
          <w:snapToGrid w:val="0"/>
          <w:kern w:val="18"/>
          <w:rtl/>
        </w:rPr>
        <w:t>.</w:t>
      </w:r>
    </w:p>
  </w:footnote>
  <w:footnote w:id="220">
    <w:p w:rsidR="000C66C6" w:rsidRPr="00E129AB" w:rsidRDefault="000C66C6" w:rsidP="00696773">
      <w:pPr>
        <w:pStyle w:val="FootnoteText"/>
        <w:tabs>
          <w:tab w:val="left" w:pos="0"/>
        </w:tabs>
        <w:autoSpaceDE w:val="0"/>
        <w:autoSpaceDN w:val="0"/>
        <w:adjustRightInd w:val="0"/>
        <w:snapToGrid w:val="0"/>
        <w:rPr>
          <w:snapToGrid w:val="0"/>
          <w:kern w:val="18"/>
          <w:lang w:val="en-GB"/>
        </w:rPr>
      </w:pPr>
      <w:r w:rsidRPr="00696773">
        <w:rPr>
          <w:rStyle w:val="FootnoteReference"/>
          <w:rFonts w:ascii="Simplified Arabic" w:hAnsi="Simplified Arabic"/>
          <w:snapToGrid w:val="0"/>
          <w:kern w:val="18"/>
          <w:sz w:val="20"/>
          <w:szCs w:val="20"/>
          <w:lang w:val="en-GB"/>
        </w:rPr>
        <w:footnoteRef/>
      </w:r>
      <w:r w:rsidRPr="00E129AB">
        <w:rPr>
          <w:rtl/>
        </w:rPr>
        <w:t xml:space="preserve"> ترد المشورة بشأن المجتمعات المحلية في الفقرات </w:t>
      </w:r>
      <w:r w:rsidRPr="00E129AB">
        <w:rPr>
          <w:rFonts w:hint="cs"/>
          <w:rtl/>
        </w:rPr>
        <w:t>17</w:t>
      </w:r>
      <w:r w:rsidRPr="00E129AB">
        <w:rPr>
          <w:rtl/>
        </w:rPr>
        <w:t>-</w:t>
      </w:r>
      <w:r w:rsidRPr="00E129AB">
        <w:rPr>
          <w:rFonts w:hint="cs"/>
          <w:rtl/>
        </w:rPr>
        <w:t>21</w:t>
      </w:r>
      <w:r w:rsidRPr="00E129AB">
        <w:rPr>
          <w:rtl/>
        </w:rPr>
        <w:t xml:space="preserve"> من المقرر 11/14 بشأن المجتمعات المحلية وتقرير اجتماع فريق الخبراء لممثلي المجتمعات المحلية في سياق المادة 8(ي) والأحكام المتصلة بها من اتفاقية التنوع البيولوجي </w:t>
      </w:r>
      <w:r w:rsidRPr="00E129AB">
        <w:rPr>
          <w:rFonts w:eastAsia="Times New Roman"/>
          <w:bCs/>
          <w:iCs/>
          <w:lang w:eastAsia="en-GB"/>
        </w:rPr>
        <w:t>(</w:t>
      </w:r>
      <w:hyperlink r:id="rId118" w:history="1">
        <w:r w:rsidRPr="00E129AB">
          <w:rPr>
            <w:rStyle w:val="Hyperlink"/>
            <w:rFonts w:eastAsia="Times New Roman"/>
            <w:bCs/>
            <w:iCs/>
            <w:lang w:eastAsia="en-GB"/>
          </w:rPr>
          <w:t>UNEP/CBD/WG8J/7/8/Add.1</w:t>
        </w:r>
      </w:hyperlink>
      <w:r w:rsidRPr="00E129AB">
        <w:rPr>
          <w:rFonts w:eastAsia="Times New Roman"/>
          <w:bCs/>
          <w:iCs/>
          <w:lang w:eastAsia="en-GB"/>
        </w:rPr>
        <w:t>)</w:t>
      </w:r>
    </w:p>
  </w:footnote>
  <w:footnote w:id="221">
    <w:p w:rsidR="000C66C6" w:rsidRPr="00E129AB" w:rsidRDefault="000C66C6" w:rsidP="00E93E73">
      <w:pPr>
        <w:pStyle w:val="FootnoteText"/>
        <w:autoSpaceDE w:val="0"/>
        <w:autoSpaceDN w:val="0"/>
        <w:adjustRightInd w:val="0"/>
        <w:snapToGrid w:val="0"/>
        <w:rPr>
          <w:snapToGrid w:val="0"/>
          <w:kern w:val="18"/>
          <w:lang w:val="en-GB"/>
        </w:rPr>
      </w:pPr>
      <w:r w:rsidRPr="00696773">
        <w:rPr>
          <w:rStyle w:val="FootnoteReference"/>
          <w:rFonts w:ascii="Simplified Arabic" w:hAnsi="Simplified Arabic"/>
          <w:snapToGrid w:val="0"/>
          <w:kern w:val="18"/>
          <w:sz w:val="20"/>
          <w:szCs w:val="20"/>
          <w:lang w:val="en-GB"/>
        </w:rPr>
        <w:footnoteRef/>
      </w:r>
      <w:r w:rsidRPr="00E129AB">
        <w:rPr>
          <w:snapToGrid w:val="0"/>
          <w:kern w:val="18"/>
          <w:rtl/>
          <w:lang w:val="en-GB"/>
        </w:rPr>
        <w:t xml:space="preserve"> </w:t>
      </w:r>
      <w:r w:rsidRPr="00E129AB">
        <w:rPr>
          <w:rtl/>
        </w:rPr>
        <w:t xml:space="preserve">المادة 14 من اتفاقية التنوع البيولوجي ("تقييم الأثر وتقليل الآثار </w:t>
      </w:r>
      <w:r w:rsidRPr="00E129AB">
        <w:rPr>
          <w:rFonts w:hint="cs"/>
          <w:rtl/>
        </w:rPr>
        <w:t>المعاكسة إلى الحد الأدنى</w:t>
      </w:r>
      <w:r w:rsidRPr="00E129AB">
        <w:rPr>
          <w:rtl/>
        </w:rPr>
        <w:t>").</w:t>
      </w:r>
    </w:p>
  </w:footnote>
  <w:footnote w:id="222">
    <w:p w:rsidR="000C66C6" w:rsidRPr="00E129AB" w:rsidRDefault="000C66C6" w:rsidP="00E93E73">
      <w:pPr>
        <w:pStyle w:val="FootnoteText"/>
      </w:pPr>
      <w:r w:rsidRPr="00696773">
        <w:rPr>
          <w:rStyle w:val="FootnoteReference"/>
          <w:rFonts w:ascii="Simplified Arabic" w:hAnsi="Simplified Arabic"/>
          <w:sz w:val="20"/>
          <w:szCs w:val="20"/>
        </w:rPr>
        <w:footnoteRef/>
      </w:r>
      <w:r w:rsidRPr="00E129AB">
        <w:rPr>
          <w:rtl/>
        </w:rPr>
        <w:t xml:space="preserve"> تم تأييده في الفقرة 6(أ) من المرفق </w:t>
      </w:r>
      <w:hyperlink r:id="rId119" w:history="1">
        <w:r w:rsidRPr="00E129AB">
          <w:rPr>
            <w:rStyle w:val="Hyperlink"/>
            <w:rtl/>
          </w:rPr>
          <w:t>بالمقرر 7/16</w:t>
        </w:r>
      </w:hyperlink>
      <w:r w:rsidRPr="00E129AB">
        <w:rPr>
          <w:rtl/>
        </w:rPr>
        <w:t xml:space="preserve"> واو بشأن المبادئ التوجيهية أغواي: غو.</w:t>
      </w:r>
    </w:p>
  </w:footnote>
  <w:footnote w:id="223">
    <w:p w:rsidR="000C66C6" w:rsidRPr="00E129AB" w:rsidRDefault="000C66C6" w:rsidP="00E93E73">
      <w:pPr>
        <w:pStyle w:val="FootnoteText"/>
      </w:pPr>
      <w:r w:rsidRPr="00696773">
        <w:rPr>
          <w:rStyle w:val="FootnoteReference"/>
          <w:rFonts w:ascii="Simplified Arabic" w:hAnsi="Simplified Arabic"/>
          <w:sz w:val="20"/>
          <w:szCs w:val="20"/>
        </w:rPr>
        <w:footnoteRef/>
      </w:r>
      <w:r w:rsidRPr="00E129AB">
        <w:rPr>
          <w:rtl/>
        </w:rPr>
        <w:t xml:space="preserve"> تم تأييده في الفقرة 6(ب) من المرفق </w:t>
      </w:r>
      <w:hyperlink r:id="rId120" w:history="1">
        <w:r w:rsidRPr="00E129AB">
          <w:rPr>
            <w:rStyle w:val="Hyperlink"/>
            <w:rtl/>
          </w:rPr>
          <w:t>بالمقرر 7/16</w:t>
        </w:r>
      </w:hyperlink>
      <w:r w:rsidRPr="00E129AB">
        <w:rPr>
          <w:rtl/>
        </w:rPr>
        <w:t xml:space="preserve"> واو بشأن المبادئ التوجيهية أغواي: غو. وينبغي النظر في تعريف</w:t>
      </w:r>
      <w:r w:rsidRPr="00E129AB">
        <w:rPr>
          <w:rFonts w:hint="cs"/>
          <w:rtl/>
        </w:rPr>
        <w:t>ي</w:t>
      </w:r>
      <w:r w:rsidRPr="00E129AB">
        <w:rPr>
          <w:rtl/>
        </w:rPr>
        <w:t xml:space="preserve"> تقييم </w:t>
      </w:r>
      <w:r w:rsidRPr="00E129AB">
        <w:rPr>
          <w:rFonts w:hint="cs"/>
          <w:rtl/>
        </w:rPr>
        <w:t>ال</w:t>
      </w:r>
      <w:r w:rsidRPr="00E129AB">
        <w:rPr>
          <w:rtl/>
        </w:rPr>
        <w:t xml:space="preserve">أثر </w:t>
      </w:r>
      <w:r w:rsidRPr="00E129AB">
        <w:rPr>
          <w:rFonts w:hint="cs"/>
          <w:rtl/>
        </w:rPr>
        <w:t xml:space="preserve">على </w:t>
      </w:r>
      <w:r w:rsidRPr="00E129AB">
        <w:rPr>
          <w:rtl/>
        </w:rPr>
        <w:t>التراث الثقافي والتراث الثقافي الوارد</w:t>
      </w:r>
      <w:r w:rsidRPr="00E129AB">
        <w:rPr>
          <w:rFonts w:hint="cs"/>
          <w:rtl/>
        </w:rPr>
        <w:t>ين</w:t>
      </w:r>
      <w:r w:rsidRPr="00E129AB">
        <w:rPr>
          <w:rtl/>
        </w:rPr>
        <w:t xml:space="preserve"> في القسم 3 من هذا المسرد بالتزامن.</w:t>
      </w:r>
    </w:p>
  </w:footnote>
  <w:footnote w:id="224">
    <w:p w:rsidR="000C66C6" w:rsidRPr="00617B55" w:rsidRDefault="000C66C6" w:rsidP="00E93E73">
      <w:pPr>
        <w:pStyle w:val="FootnoteText"/>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617B55">
        <w:rPr>
          <w:rtl/>
        </w:rPr>
        <w:t xml:space="preserve">تم تأييده في الفقرة 6(ج) من المرفق </w:t>
      </w:r>
      <w:hyperlink r:id="rId121" w:history="1">
        <w:r w:rsidRPr="00617B55">
          <w:rPr>
            <w:rStyle w:val="Hyperlink"/>
            <w:rtl/>
          </w:rPr>
          <w:t>بالمقرر 7/16</w:t>
        </w:r>
      </w:hyperlink>
      <w:r w:rsidRPr="00617B55">
        <w:rPr>
          <w:rtl/>
        </w:rPr>
        <w:t xml:space="preserve"> واو بشأن المبادئ التوجيهية أغواي: غو.</w:t>
      </w:r>
    </w:p>
  </w:footnote>
  <w:footnote w:id="225">
    <w:p w:rsidR="000C66C6" w:rsidRPr="00617B55"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617B55">
        <w:rPr>
          <w:rFonts w:ascii="Simplified Arabic" w:hAnsi="Simplified Arabic"/>
          <w:rtl/>
        </w:rPr>
        <w:t xml:space="preserve">تم تأييده في الفقرة 6(د) من المرفق </w:t>
      </w:r>
      <w:hyperlink r:id="rId122" w:history="1">
        <w:r w:rsidRPr="00617B55">
          <w:rPr>
            <w:rStyle w:val="Hyperlink"/>
            <w:rFonts w:ascii="Simplified Arabic" w:hAnsi="Simplified Arabic"/>
            <w:rtl/>
          </w:rPr>
          <w:t>بالمقرر 7/16</w:t>
        </w:r>
      </w:hyperlink>
      <w:r w:rsidRPr="00617B55">
        <w:rPr>
          <w:rFonts w:ascii="Simplified Arabic" w:hAnsi="Simplified Arabic"/>
          <w:rtl/>
        </w:rPr>
        <w:t xml:space="preserve"> واو بشأن المبادئ التوجيهية أغواي: غو.</w:t>
      </w:r>
    </w:p>
  </w:footnote>
  <w:footnote w:id="226">
    <w:p w:rsidR="000C66C6" w:rsidRPr="00617B55"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617B55">
        <w:rPr>
          <w:rFonts w:ascii="Simplified Arabic" w:hAnsi="Simplified Arabic"/>
          <w:rtl/>
        </w:rPr>
        <w:t xml:space="preserve"> تم تأييده في الفقرة 6(ه) من المرفق </w:t>
      </w:r>
      <w:hyperlink r:id="rId123" w:history="1">
        <w:r w:rsidRPr="00617B55">
          <w:rPr>
            <w:rStyle w:val="Hyperlink"/>
            <w:rFonts w:ascii="Simplified Arabic" w:hAnsi="Simplified Arabic"/>
            <w:rtl/>
          </w:rPr>
          <w:t>بالمقرر 7/16</w:t>
        </w:r>
      </w:hyperlink>
      <w:r w:rsidRPr="00617B55">
        <w:rPr>
          <w:rFonts w:ascii="Simplified Arabic" w:hAnsi="Simplified Arabic"/>
          <w:rtl/>
        </w:rPr>
        <w:t xml:space="preserve"> واو بشأن المبادئ التوجيهية أغواي: غو.</w:t>
      </w:r>
    </w:p>
  </w:footnote>
  <w:footnote w:id="227">
    <w:p w:rsidR="000C66C6" w:rsidRPr="00617B55"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617B55">
        <w:rPr>
          <w:rFonts w:ascii="Simplified Arabic" w:hAnsi="Simplified Arabic"/>
          <w:rtl/>
        </w:rPr>
        <w:t xml:space="preserve"> تم تأييده في الفقرة 6(و) من المرفق </w:t>
      </w:r>
      <w:hyperlink r:id="rId124" w:history="1">
        <w:r w:rsidRPr="00617B55">
          <w:rPr>
            <w:rStyle w:val="Hyperlink"/>
            <w:rFonts w:ascii="Simplified Arabic" w:hAnsi="Simplified Arabic"/>
            <w:rtl/>
          </w:rPr>
          <w:t>بالمقرر 7/16</w:t>
        </w:r>
      </w:hyperlink>
      <w:r w:rsidRPr="00617B55">
        <w:rPr>
          <w:rFonts w:ascii="Simplified Arabic" w:hAnsi="Simplified Arabic"/>
          <w:rtl/>
        </w:rPr>
        <w:t xml:space="preserve"> واو بشأن المبادئ التوجيهية أغواي: غو.</w:t>
      </w:r>
    </w:p>
  </w:footnote>
  <w:footnote w:id="228">
    <w:p w:rsidR="000C66C6" w:rsidRPr="00617B55"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617B55">
        <w:rPr>
          <w:rFonts w:ascii="Simplified Arabic" w:hAnsi="Simplified Arabic"/>
          <w:rtl/>
        </w:rPr>
        <w:t xml:space="preserve">تم تأييده في الفقرة 6(ز) من المرفق </w:t>
      </w:r>
      <w:hyperlink r:id="rId125" w:history="1">
        <w:r w:rsidRPr="00617B55">
          <w:rPr>
            <w:rStyle w:val="Hyperlink"/>
            <w:rFonts w:ascii="Simplified Arabic" w:hAnsi="Simplified Arabic"/>
            <w:rtl/>
          </w:rPr>
          <w:t>بالمقرر 7/16</w:t>
        </w:r>
      </w:hyperlink>
      <w:r w:rsidRPr="00617B55">
        <w:rPr>
          <w:rFonts w:ascii="Simplified Arabic" w:hAnsi="Simplified Arabic"/>
          <w:rtl/>
        </w:rPr>
        <w:t xml:space="preserve"> واو بشأن المبادئ التوجيهية أغواي: غو.</w:t>
      </w:r>
    </w:p>
  </w:footnote>
  <w:footnote w:id="229">
    <w:p w:rsidR="000C66C6" w:rsidRPr="0008233B"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617B55">
        <w:rPr>
          <w:rFonts w:ascii="Simplified Arabic" w:hAnsi="Simplified Arabic"/>
          <w:rtl/>
        </w:rPr>
        <w:t>المبادئ التوجيهية الطوعية لوضع آليات أو تشريعات أو مبادرات ملائمة أخرى لضمان "الموافقة المسبقة عن علم" أو "الموافقة الحرة والمسبقة عن علم" أو "ال</w:t>
      </w:r>
      <w:r>
        <w:rPr>
          <w:rFonts w:ascii="Simplified Arabic" w:hAnsi="Simplified Arabic" w:hint="cs"/>
          <w:rtl/>
        </w:rPr>
        <w:t>قبول</w:t>
      </w:r>
      <w:r w:rsidRPr="00617B55">
        <w:rPr>
          <w:rFonts w:ascii="Simplified Arabic" w:hAnsi="Simplified Arabic"/>
          <w:rtl/>
        </w:rPr>
        <w:t xml:space="preserve"> والمشاركة"، حسب الظروف الوطنية، للشعوب الأصلية والمجتمعات المحلية للحصول على معارفها وابتكاراتها وممارساتها، من أجل التقاسم العادل والمنصف للمنافع الناشئة عن استخدام معارفها وابتكاراتها وممارساتها ذات الصلة بحفظ التنوع البيولوجي واستخدامه المستدام، وللإبلاغ عن الاستيلاء غير المشروع على المعارف التقليدية ومنعه.</w:t>
      </w:r>
    </w:p>
  </w:footnote>
  <w:footnote w:id="230">
    <w:p w:rsidR="000C66C6" w:rsidRPr="00E129AB" w:rsidRDefault="000C66C6" w:rsidP="00E93E73">
      <w:pPr>
        <w:pStyle w:val="FootnoteText"/>
      </w:pPr>
      <w:r w:rsidRPr="00696773">
        <w:rPr>
          <w:rStyle w:val="FootnoteReference"/>
          <w:rFonts w:ascii="Simplified Arabic" w:hAnsi="Simplified Arabic"/>
          <w:sz w:val="20"/>
          <w:szCs w:val="20"/>
        </w:rPr>
        <w:footnoteRef/>
      </w:r>
      <w:r w:rsidRPr="00696773">
        <w:rPr>
          <w:rFonts w:ascii="Simplified Arabic" w:hAnsi="Simplified Arabic"/>
          <w:sz w:val="20"/>
          <w:rtl/>
        </w:rPr>
        <w:t xml:space="preserve"> </w:t>
      </w:r>
      <w:r w:rsidRPr="00E129AB">
        <w:rPr>
          <w:rtl/>
        </w:rPr>
        <w:t xml:space="preserve">تم تأييده في الفقرتين 7 و8 من المرفق </w:t>
      </w:r>
      <w:hyperlink r:id="rId126" w:history="1">
        <w:r w:rsidRPr="00E129AB">
          <w:rPr>
            <w:rStyle w:val="Hyperlink"/>
            <w:rtl/>
          </w:rPr>
          <w:t>بالمقرر 13/18</w:t>
        </w:r>
      </w:hyperlink>
      <w:r w:rsidRPr="00E129AB">
        <w:rPr>
          <w:rtl/>
        </w:rPr>
        <w:t xml:space="preserve"> بشأن المبادئ التوجيهية الطوعية موتز كوستال.</w:t>
      </w:r>
    </w:p>
  </w:footnote>
  <w:footnote w:id="231">
    <w:p w:rsidR="000C66C6" w:rsidRPr="00E129AB" w:rsidRDefault="000C66C6" w:rsidP="00E93E73">
      <w:pPr>
        <w:pStyle w:val="FootnoteText"/>
      </w:pPr>
      <w:r w:rsidRPr="00696773">
        <w:rPr>
          <w:rStyle w:val="FootnoteReference"/>
          <w:rFonts w:ascii="Simplified Arabic" w:hAnsi="Simplified Arabic"/>
          <w:sz w:val="20"/>
          <w:szCs w:val="20"/>
        </w:rPr>
        <w:footnoteRef/>
      </w:r>
      <w:r w:rsidRPr="00E129AB">
        <w:rPr>
          <w:rtl/>
        </w:rPr>
        <w:t xml:space="preserve"> تم تأييده في الفقر</w:t>
      </w:r>
      <w:r>
        <w:rPr>
          <w:rFonts w:hint="cs"/>
          <w:rtl/>
        </w:rPr>
        <w:t>ة</w:t>
      </w:r>
      <w:r w:rsidRPr="00E129AB">
        <w:rPr>
          <w:rtl/>
        </w:rPr>
        <w:t xml:space="preserve"> </w:t>
      </w:r>
      <w:r>
        <w:rPr>
          <w:rFonts w:hint="cs"/>
          <w:rtl/>
        </w:rPr>
        <w:t>19</w:t>
      </w:r>
      <w:r w:rsidRPr="00E129AB">
        <w:rPr>
          <w:rtl/>
        </w:rPr>
        <w:t xml:space="preserve"> من المرفق </w:t>
      </w:r>
      <w:hyperlink r:id="rId127" w:history="1">
        <w:r w:rsidRPr="00E129AB">
          <w:rPr>
            <w:rStyle w:val="Hyperlink"/>
            <w:rtl/>
          </w:rPr>
          <w:t>بالمقرر 13/18</w:t>
        </w:r>
      </w:hyperlink>
      <w:r w:rsidRPr="00E129AB">
        <w:rPr>
          <w:rtl/>
        </w:rPr>
        <w:t xml:space="preserve"> بشأن المبادئ التوجيهية الطوعية موتز كوستال.</w:t>
      </w:r>
    </w:p>
  </w:footnote>
  <w:footnote w:id="232">
    <w:p w:rsidR="000C66C6" w:rsidRPr="00E129AB" w:rsidRDefault="000C66C6" w:rsidP="00E93E73">
      <w:pPr>
        <w:pStyle w:val="FootnoteText"/>
      </w:pPr>
      <w:r w:rsidRPr="00696773">
        <w:rPr>
          <w:rStyle w:val="FootnoteReference"/>
          <w:rFonts w:ascii="Simplified Arabic" w:hAnsi="Simplified Arabic"/>
          <w:sz w:val="20"/>
          <w:szCs w:val="20"/>
        </w:rPr>
        <w:footnoteRef/>
      </w:r>
      <w:r w:rsidRPr="00E129AB">
        <w:rPr>
          <w:rtl/>
        </w:rPr>
        <w:t xml:space="preserve"> </w:t>
      </w:r>
      <w:r w:rsidRPr="00E129AB">
        <w:rPr>
          <w:rtl/>
          <w:lang w:val="fr-CA"/>
        </w:rPr>
        <w:t xml:space="preserve">هذه المصطلحات والمفاهيم </w:t>
      </w:r>
      <w:r w:rsidRPr="00E129AB">
        <w:rPr>
          <w:rFonts w:hint="cs"/>
          <w:rtl/>
          <w:lang w:val="fr-CA"/>
        </w:rPr>
        <w:t xml:space="preserve">مستمدة </w:t>
      </w:r>
      <w:r w:rsidRPr="00E129AB">
        <w:rPr>
          <w:rtl/>
          <w:lang w:val="fr-CA"/>
        </w:rPr>
        <w:t>من وثيقة عن العناصر الممكنة للنظم الفريدة لحماية المعارف والابتكارات والممارسات التقليدية للمجتمعات الأصلية والمحلية صادرة عن الاجتماع الثامن للفريق العامل</w:t>
      </w:r>
      <w:r w:rsidRPr="00E129AB">
        <w:rPr>
          <w:rtl/>
        </w:rPr>
        <w:t xml:space="preserve"> </w:t>
      </w:r>
      <w:r w:rsidRPr="00E129AB">
        <w:rPr>
          <w:rFonts w:cs="Times New Roman"/>
          <w:rtl/>
        </w:rPr>
        <w:t>(</w:t>
      </w:r>
      <w:hyperlink r:id="rId128" w:history="1">
        <w:r w:rsidRPr="00E129AB">
          <w:rPr>
            <w:rStyle w:val="Hyperlink"/>
            <w:rFonts w:cstheme="majorBidi"/>
            <w:snapToGrid w:val="0"/>
            <w:kern w:val="18"/>
            <w:lang w:val="en-GB"/>
          </w:rPr>
          <w:t>UNEP/CBD/WG8J/8/6/Add.1</w:t>
        </w:r>
      </w:hyperlink>
      <w:r w:rsidRPr="00E129AB">
        <w:rPr>
          <w:rtl/>
        </w:rPr>
        <w:t xml:space="preserve"> المرفق، القسم ثاني</w:t>
      </w:r>
      <w:r w:rsidRPr="00E129AB">
        <w:rPr>
          <w:rFonts w:hint="cs"/>
          <w:rtl/>
        </w:rPr>
        <w:t>ا)</w:t>
      </w:r>
      <w:r w:rsidRPr="00E129AB">
        <w:rPr>
          <w:rtl/>
        </w:rPr>
        <w:t>.</w:t>
      </w:r>
    </w:p>
  </w:footnote>
  <w:footnote w:id="233">
    <w:p w:rsidR="000C66C6" w:rsidRPr="00303946" w:rsidRDefault="000C66C6" w:rsidP="00E93E73">
      <w:pPr>
        <w:pStyle w:val="FootnoteText"/>
        <w:rPr>
          <w:rFonts w:ascii="Simplified Arabic" w:hAnsi="Simplified Arabic"/>
          <w:lang w:val="en-CA"/>
        </w:rPr>
      </w:pPr>
      <w:r w:rsidRPr="00696773">
        <w:rPr>
          <w:rStyle w:val="FootnoteReference"/>
          <w:rFonts w:ascii="Simplified Arabic" w:hAnsi="Simplified Arabic"/>
          <w:sz w:val="20"/>
          <w:szCs w:val="20"/>
        </w:rPr>
        <w:footnoteRef/>
      </w:r>
      <w:r w:rsidRPr="0008233B">
        <w:rPr>
          <w:rFonts w:ascii="Simplified Arabic" w:hAnsi="Simplified Arabic"/>
          <w:rtl/>
        </w:rPr>
        <w:t xml:space="preserve"> </w:t>
      </w:r>
      <w:r w:rsidRPr="00303946">
        <w:rPr>
          <w:rFonts w:ascii="Simplified Arabic" w:hAnsi="Simplified Arabic"/>
          <w:rtl/>
        </w:rPr>
        <w:t xml:space="preserve">يشيع استخدام </w:t>
      </w:r>
      <w:r w:rsidRPr="00303946">
        <w:rPr>
          <w:rFonts w:ascii="Simplified Arabic" w:hAnsi="Simplified Arabic" w:hint="cs"/>
          <w:rtl/>
        </w:rPr>
        <w:t>هذه الصيغة</w:t>
      </w:r>
      <w:r w:rsidRPr="00303946">
        <w:rPr>
          <w:rFonts w:ascii="Simplified Arabic" w:hAnsi="Simplified Arabic"/>
          <w:rtl/>
        </w:rPr>
        <w:t xml:space="preserve"> في مدونة السلوك الأخلاقي تغاريوايي:ري لضمان احترام التراث الثقافي والفكري للمجتمعات الأصلية والمحلية، ال</w:t>
      </w:r>
      <w:r w:rsidRPr="00303946">
        <w:rPr>
          <w:rFonts w:ascii="Simplified Arabic" w:hAnsi="Simplified Arabic" w:hint="cs"/>
          <w:rtl/>
        </w:rPr>
        <w:t>ت</w:t>
      </w:r>
      <w:r w:rsidRPr="00303946">
        <w:rPr>
          <w:rFonts w:ascii="Simplified Arabic" w:hAnsi="Simplified Arabic"/>
          <w:rtl/>
        </w:rPr>
        <w:t>ي اعتمده</w:t>
      </w:r>
      <w:r w:rsidRPr="00303946">
        <w:rPr>
          <w:rFonts w:ascii="Simplified Arabic" w:hAnsi="Simplified Arabic" w:hint="cs"/>
          <w:rtl/>
        </w:rPr>
        <w:t>ا</w:t>
      </w:r>
      <w:r w:rsidRPr="00303946">
        <w:rPr>
          <w:rFonts w:ascii="Simplified Arabic" w:hAnsi="Simplified Arabic"/>
          <w:rtl/>
        </w:rPr>
        <w:t xml:space="preserve"> مؤتمر الأطراف في اتفاقية التنوع البيولوجي في </w:t>
      </w:r>
      <w:hyperlink r:id="rId129" w:history="1">
        <w:r w:rsidRPr="00303946">
          <w:rPr>
            <w:rStyle w:val="Hyperlink"/>
            <w:rFonts w:ascii="Simplified Arabic" w:hAnsi="Simplified Arabic"/>
            <w:rtl/>
          </w:rPr>
          <w:t>المقرر 10/42</w:t>
        </w:r>
      </w:hyperlink>
      <w:r w:rsidRPr="00303946">
        <w:rPr>
          <w:rFonts w:ascii="Simplified Arabic" w:hAnsi="Simplified Arabic"/>
          <w:rtl/>
        </w:rPr>
        <w:t>.</w:t>
      </w:r>
    </w:p>
  </w:footnote>
  <w:footnote w:id="234">
    <w:p w:rsidR="000C66C6" w:rsidRPr="00303946" w:rsidRDefault="000C66C6" w:rsidP="00E93E73">
      <w:pPr>
        <w:pStyle w:val="FootnoteText"/>
        <w:rPr>
          <w:rFonts w:ascii="Simplified Arabic" w:hAnsi="Simplified Arabic"/>
        </w:rPr>
      </w:pPr>
      <w:r w:rsidRPr="00696773">
        <w:rPr>
          <w:rStyle w:val="FootnoteReference"/>
          <w:rFonts w:ascii="Simplified Arabic" w:hAnsi="Simplified Arabic"/>
          <w:sz w:val="20"/>
          <w:szCs w:val="20"/>
        </w:rPr>
        <w:footnoteRef/>
      </w:r>
      <w:r w:rsidRPr="00303946">
        <w:rPr>
          <w:rFonts w:ascii="Simplified Arabic" w:hAnsi="Simplified Arabic"/>
          <w:rtl/>
        </w:rPr>
        <w:t xml:space="preserve"> </w:t>
      </w:r>
      <w:r w:rsidRPr="00303946">
        <w:rPr>
          <w:rFonts w:ascii="Simplified Arabic" w:hAnsi="Simplified Arabic" w:hint="cs"/>
          <w:rtl/>
        </w:rPr>
        <w:t>وفقا ل</w:t>
      </w:r>
      <w:r w:rsidRPr="00303946">
        <w:rPr>
          <w:rFonts w:ascii="Simplified Arabic" w:hAnsi="Simplified Arabic"/>
          <w:rtl/>
        </w:rPr>
        <w:t xml:space="preserve">اتحاد </w:t>
      </w:r>
      <w:r w:rsidRPr="00303946">
        <w:rPr>
          <w:rFonts w:ascii="Simplified Arabic" w:eastAsia="Times New Roman" w:hAnsi="Simplified Arabic"/>
          <w:snapToGrid w:val="0"/>
          <w:kern w:val="22"/>
          <w:rtl/>
        </w:rPr>
        <w:t>المناطق التي تحفظها الشعوب الأصلية والمجتمعات</w:t>
      </w:r>
      <w:r w:rsidRPr="00303946">
        <w:rPr>
          <w:rFonts w:ascii="Simplified Arabic" w:eastAsia="Times New Roman" w:hAnsi="Simplified Arabic" w:hint="cs"/>
          <w:snapToGrid w:val="0"/>
          <w:kern w:val="22"/>
          <w:rtl/>
        </w:rPr>
        <w:t>، على النحو الوارد في</w:t>
      </w:r>
      <w:r w:rsidRPr="00303946">
        <w:rPr>
          <w:rFonts w:ascii="Simplified Arabic" w:eastAsia="Times New Roman" w:hAnsi="Simplified Arabic"/>
          <w:snapToGrid w:val="0"/>
          <w:kern w:val="22"/>
          <w:rtl/>
        </w:rPr>
        <w:t xml:space="preserve"> الموقع التالي:</w:t>
      </w:r>
    </w:p>
    <w:p w:rsidR="000C66C6" w:rsidRPr="00303946" w:rsidRDefault="007B18D9" w:rsidP="00E93E73">
      <w:pPr>
        <w:pStyle w:val="FootnoteText"/>
        <w:rPr>
          <w:rFonts w:asciiTheme="majorBidi" w:hAnsiTheme="majorBidi" w:cstheme="majorBidi"/>
          <w:rtl/>
        </w:rPr>
      </w:pPr>
      <w:hyperlink r:id="rId130" w:history="1">
        <w:r w:rsidR="000C66C6" w:rsidRPr="005241C2">
          <w:rPr>
            <w:rStyle w:val="Hyperlink"/>
            <w:rFonts w:cs="Times New Roman"/>
            <w:snapToGrid w:val="0"/>
            <w:kern w:val="18"/>
            <w:lang w:val="en-GB"/>
          </w:rPr>
          <w:t>https://www.iccaconsortium.org/index.php/discover/</w:t>
        </w:r>
      </w:hyperlink>
      <w:r w:rsidR="000C66C6" w:rsidRPr="00303946">
        <w:rPr>
          <w:rFonts w:ascii="Simplified Arabic" w:hAnsi="Simplified Arabic"/>
          <w:rtl/>
        </w:rPr>
        <w:t>.</w:t>
      </w:r>
    </w:p>
  </w:footnote>
  <w:footnote w:id="235">
    <w:p w:rsidR="000C66C6" w:rsidRPr="008D7AA0" w:rsidRDefault="000C66C6" w:rsidP="00E93E73">
      <w:pPr>
        <w:pStyle w:val="FootnoteText"/>
        <w:rPr>
          <w:rFonts w:ascii="Simplified Arabic" w:hAnsi="Simplified Arabic"/>
          <w:sz w:val="20"/>
        </w:rPr>
      </w:pPr>
      <w:r w:rsidRPr="008D7AA0">
        <w:rPr>
          <w:rStyle w:val="FootnoteReference"/>
          <w:rFonts w:ascii="Simplified Arabic" w:hAnsi="Simplified Arabic"/>
          <w:sz w:val="20"/>
          <w:szCs w:val="20"/>
        </w:rPr>
        <w:footnoteRef/>
      </w:r>
      <w:r w:rsidRPr="008D7AA0">
        <w:rPr>
          <w:rFonts w:ascii="Simplified Arabic" w:hAnsi="Simplified Arabic"/>
          <w:sz w:val="20"/>
          <w:rtl/>
        </w:rPr>
        <w:t xml:space="preserve"> </w:t>
      </w:r>
      <w:hyperlink r:id="rId131" w:history="1">
        <w:r w:rsidRPr="008D7AA0">
          <w:rPr>
            <w:rStyle w:val="Hyperlink"/>
            <w:rFonts w:ascii="Simplified Arabic" w:hAnsi="Simplified Arabic"/>
            <w:sz w:val="20"/>
            <w:rtl/>
          </w:rPr>
          <w:t>قرار الجمعية العامة</w:t>
        </w:r>
        <w:r w:rsidRPr="008D7AA0">
          <w:rPr>
            <w:rStyle w:val="Hyperlink"/>
            <w:rFonts w:eastAsia="Times New Roman" w:cs="Times New Roman"/>
            <w:kern w:val="18"/>
            <w:rtl/>
            <w:lang w:val="en-GB" w:eastAsia="en-US"/>
          </w:rPr>
          <w:t xml:space="preserve"> 70/1</w:t>
        </w:r>
        <w:r w:rsidRPr="006D298F">
          <w:rPr>
            <w:rStyle w:val="Hyperlink"/>
            <w:rFonts w:ascii="Simplified Arabic" w:hAnsi="Simplified Arabic"/>
            <w:sz w:val="20"/>
            <w:u w:val="none"/>
            <w:rtl/>
          </w:rPr>
          <w:t>،</w:t>
        </w:r>
      </w:hyperlink>
      <w:r w:rsidRPr="008D7AA0">
        <w:rPr>
          <w:rFonts w:ascii="Simplified Arabic" w:hAnsi="Simplified Arabic"/>
          <w:sz w:val="20"/>
          <w:rtl/>
          <w:lang w:val="en-GB"/>
        </w:rPr>
        <w:t xml:space="preserve"> المرفق.</w:t>
      </w:r>
    </w:p>
  </w:footnote>
  <w:footnote w:id="236">
    <w:p w:rsidR="000C66C6" w:rsidRPr="008D7AA0" w:rsidRDefault="000C66C6" w:rsidP="00E93E73">
      <w:pPr>
        <w:pStyle w:val="FootnoteText"/>
        <w:rPr>
          <w:rFonts w:ascii="Simplified Arabic" w:hAnsi="Simplified Arabic"/>
          <w:sz w:val="20"/>
          <w:rtl/>
        </w:rPr>
      </w:pPr>
      <w:r w:rsidRPr="00696773">
        <w:rPr>
          <w:rStyle w:val="FootnoteReference"/>
          <w:rFonts w:ascii="Simplified Arabic" w:hAnsi="Simplified Arabic"/>
          <w:sz w:val="20"/>
          <w:szCs w:val="20"/>
        </w:rPr>
        <w:footnoteRef/>
      </w:r>
      <w:r w:rsidRPr="008D7AA0">
        <w:rPr>
          <w:rFonts w:ascii="Simplified Arabic" w:hAnsi="Simplified Arabic"/>
          <w:sz w:val="20"/>
          <w:rtl/>
        </w:rPr>
        <w:t xml:space="preserve"> انظر الوثيقة </w:t>
      </w:r>
      <w:r w:rsidRPr="008D7AA0">
        <w:rPr>
          <w:rFonts w:cs="Times New Roman"/>
          <w:kern w:val="18"/>
        </w:rPr>
        <w:t>CBD/WG8J/10/11</w:t>
      </w:r>
      <w:r w:rsidRPr="008D7AA0">
        <w:rPr>
          <w:rFonts w:ascii="Simplified Arabic" w:hAnsi="Simplified Arabic"/>
          <w:sz w:val="20"/>
          <w:rtl/>
        </w:rPr>
        <w:t>، القسم أولا، التوصية 10/6.</w:t>
      </w:r>
    </w:p>
  </w:footnote>
  <w:footnote w:id="237">
    <w:p w:rsidR="000C66C6" w:rsidRPr="00A710F9" w:rsidRDefault="000C66C6" w:rsidP="00FA2E1F">
      <w:pPr>
        <w:pStyle w:val="FootnoteText"/>
        <w:rPr>
          <w:rFonts w:ascii="Simplified Arabic" w:hAnsi="Simplified Arabic"/>
        </w:rPr>
      </w:pPr>
      <w:r w:rsidRPr="00696773">
        <w:rPr>
          <w:rStyle w:val="FootnoteReference"/>
          <w:rFonts w:ascii="Simplified Arabic" w:hAnsi="Simplified Arabic"/>
          <w:sz w:val="20"/>
          <w:szCs w:val="20"/>
        </w:rPr>
        <w:footnoteRef/>
      </w:r>
      <w:r w:rsidRPr="00A710F9">
        <w:rPr>
          <w:rFonts w:ascii="Simplified Arabic" w:hAnsi="Simplified Arabic"/>
          <w:rtl/>
        </w:rPr>
        <w:t xml:space="preserve"> </w:t>
      </w:r>
      <w:hyperlink r:id="rId132" w:history="1"/>
      <w:r w:rsidRPr="00362082">
        <w:rPr>
          <w:rtl/>
        </w:rPr>
        <w:t xml:space="preserve">قرار الجمعية العامة </w:t>
      </w:r>
      <w:hyperlink r:id="rId133" w:history="1">
        <w:r w:rsidRPr="00362082">
          <w:rPr>
            <w:rStyle w:val="Hyperlink"/>
            <w:rFonts w:eastAsia="Times New Roman"/>
            <w:snapToGrid w:val="0"/>
            <w:kern w:val="18"/>
            <w:rtl/>
            <w:lang w:val="en-GB" w:eastAsia="en-US"/>
          </w:rPr>
          <w:t>61/295</w:t>
        </w:r>
      </w:hyperlink>
      <w:r w:rsidRPr="00362082">
        <w:rPr>
          <w:rtl/>
        </w:rPr>
        <w:t>، المرفق.</w:t>
      </w:r>
    </w:p>
  </w:footnote>
  <w:footnote w:id="238">
    <w:p w:rsidR="000C66C6" w:rsidRPr="00CF4CF9" w:rsidRDefault="000C66C6" w:rsidP="00FA2E1F">
      <w:pPr>
        <w:pStyle w:val="FootnoteText"/>
        <w:ind w:hanging="43"/>
        <w:rPr>
          <w:rFonts w:ascii="Simplified Arabic" w:hAnsi="Simplified Arabic"/>
          <w:sz w:val="20"/>
          <w:rtl/>
        </w:rPr>
      </w:pPr>
      <w:r w:rsidRPr="00CF4CF9">
        <w:rPr>
          <w:rStyle w:val="FootnoteReference"/>
          <w:rFonts w:ascii="Simplified Arabic" w:hAnsi="Simplified Arabic"/>
          <w:sz w:val="20"/>
        </w:rPr>
        <w:footnoteRef/>
      </w:r>
      <w:r>
        <w:rPr>
          <w:rFonts w:ascii="Simplified Arabic" w:hAnsi="Simplified Arabic" w:hint="cs"/>
          <w:sz w:val="20"/>
          <w:rtl/>
        </w:rPr>
        <w:t xml:space="preserve"> </w:t>
      </w:r>
      <w:r w:rsidRPr="00CF4CF9">
        <w:rPr>
          <w:rFonts w:ascii="Simplified Arabic" w:hAnsi="Simplified Arabic"/>
          <w:sz w:val="20"/>
          <w:rtl/>
        </w:rPr>
        <w:t>المقرر 10/2، المرفق.</w:t>
      </w:r>
    </w:p>
  </w:footnote>
  <w:footnote w:id="239">
    <w:p w:rsidR="000C66C6" w:rsidRPr="00CF4CF9" w:rsidRDefault="000C66C6" w:rsidP="00FA2E1F">
      <w:pPr>
        <w:pStyle w:val="FootnoteText"/>
        <w:ind w:hanging="43"/>
        <w:rPr>
          <w:rFonts w:ascii="Simplified Arabic" w:hAnsi="Simplified Arabic"/>
          <w:sz w:val="20"/>
        </w:rPr>
      </w:pPr>
      <w:r w:rsidRPr="00CF4CF9">
        <w:rPr>
          <w:rStyle w:val="FootnoteReference"/>
          <w:rFonts w:ascii="Simplified Arabic" w:hAnsi="Simplified Arabic"/>
          <w:sz w:val="20"/>
        </w:rPr>
        <w:footnoteRef/>
      </w:r>
      <w:r>
        <w:rPr>
          <w:rFonts w:ascii="Simplified Arabic" w:hAnsi="Simplified Arabic" w:hint="cs"/>
          <w:sz w:val="20"/>
          <w:rtl/>
        </w:rPr>
        <w:t xml:space="preserve"> </w:t>
      </w:r>
      <w:r w:rsidRPr="00CF4CF9">
        <w:rPr>
          <w:rFonts w:ascii="Simplified Arabic" w:hAnsi="Simplified Arabic"/>
          <w:sz w:val="20"/>
          <w:rtl/>
        </w:rPr>
        <w:t>اعتمد مؤتمر الأطراف في المقرر 10/43 "اتجاهات التغير في استخدام الأراضي وحيازة الأراضي في الأقاليم التقليدية للمجتمعات الأصلية والمحلية" كأحد المؤشرات العالمية الأربعة للمعارف التقليدية في إطار اتفاقية التنوع البيولوجي. ويمكن أن تشتمل "حيازة" الأراضي التقليدية للشعوب الأصلية والمجتمعات المحلية، الأراضي والمياه.</w:t>
      </w:r>
    </w:p>
  </w:footnote>
  <w:footnote w:id="240">
    <w:p w:rsidR="000C66C6" w:rsidRPr="00CF4CF9" w:rsidRDefault="000C66C6" w:rsidP="00FA2E1F">
      <w:pPr>
        <w:pStyle w:val="FootnoteText"/>
        <w:ind w:hanging="43"/>
        <w:rPr>
          <w:rFonts w:ascii="Simplified Arabic" w:hAnsi="Simplified Arabic"/>
          <w:sz w:val="20"/>
          <w:rtl/>
        </w:rPr>
      </w:pPr>
      <w:r w:rsidRPr="00CF4CF9">
        <w:rPr>
          <w:rStyle w:val="FootnoteReference"/>
          <w:rFonts w:ascii="Simplified Arabic" w:hAnsi="Simplified Arabic"/>
          <w:sz w:val="20"/>
        </w:rPr>
        <w:footnoteRef/>
      </w:r>
      <w:r>
        <w:rPr>
          <w:rFonts w:ascii="Simplified Arabic" w:hAnsi="Simplified Arabic" w:hint="cs"/>
          <w:sz w:val="20"/>
          <w:rtl/>
        </w:rPr>
        <w:t xml:space="preserve"> </w:t>
      </w:r>
      <w:r w:rsidRPr="00CF4CF9">
        <w:rPr>
          <w:rFonts w:ascii="Simplified Arabic" w:hAnsi="Simplified Arabic"/>
          <w:sz w:val="20"/>
          <w:rtl/>
        </w:rPr>
        <w:t>اعتمد مؤتمر الأطراف في المرفق بالمقرر 12/12 باء، خطة عمل عالمية للاستخدام المألوف المستدام للتنوع البيولوجي.</w:t>
      </w:r>
    </w:p>
  </w:footnote>
  <w:footnote w:id="241">
    <w:p w:rsidR="000C66C6" w:rsidRPr="00B352DB" w:rsidRDefault="000C66C6" w:rsidP="00FA2E1F">
      <w:pPr>
        <w:pStyle w:val="FootnoteText"/>
      </w:pPr>
      <w:r>
        <w:rPr>
          <w:rStyle w:val="FootnoteReference"/>
        </w:rPr>
        <w:footnoteRef/>
      </w:r>
      <w:r>
        <w:rPr>
          <w:rFonts w:hint="cs"/>
          <w:rtl/>
        </w:rPr>
        <w:t xml:space="preserve"> </w:t>
      </w:r>
      <w:r w:rsidRPr="00B352DB">
        <w:rPr>
          <w:rtl/>
        </w:rPr>
        <w:t xml:space="preserve">في </w:t>
      </w:r>
      <w:hyperlink r:id="rId134" w:history="1">
        <w:r w:rsidRPr="00B352DB">
          <w:rPr>
            <w:rStyle w:val="Hyperlink"/>
            <w:rtl/>
          </w:rPr>
          <w:t>المقرر 10/43</w:t>
        </w:r>
      </w:hyperlink>
      <w:r w:rsidRPr="00B352DB">
        <w:rPr>
          <w:rtl/>
        </w:rPr>
        <w:t>، اعتمد مؤتمر الأطراف برنامج العمل المتعدد السنوات المنقح بشأن المادة 8(ي)، حيث سحبت المهام المكتملة أو المستبدلة 3 و5 و8 و9 و16.</w:t>
      </w:r>
    </w:p>
  </w:footnote>
  <w:footnote w:id="242">
    <w:p w:rsidR="000C66C6" w:rsidRPr="00B352DB" w:rsidRDefault="000C66C6" w:rsidP="00FA2E1F">
      <w:pPr>
        <w:pStyle w:val="FootnoteText"/>
      </w:pPr>
      <w:r w:rsidRPr="00B352DB">
        <w:rPr>
          <w:rStyle w:val="FootnoteReference"/>
        </w:rPr>
        <w:footnoteRef/>
      </w:r>
      <w:r w:rsidRPr="00B352DB">
        <w:rPr>
          <w:rFonts w:hint="cs"/>
          <w:rtl/>
        </w:rPr>
        <w:t xml:space="preserve"> </w:t>
      </w:r>
      <w:r w:rsidRPr="00B352DB">
        <w:rPr>
          <w:rFonts w:eastAsia="YouYuan"/>
          <w:kern w:val="2"/>
          <w:rtl/>
          <w:lang w:eastAsia="en-US"/>
        </w:rPr>
        <w:t xml:space="preserve">انظر </w:t>
      </w:r>
      <w:hyperlink r:id="rId135" w:history="1">
        <w:r w:rsidRPr="00B352DB">
          <w:rPr>
            <w:rFonts w:eastAsia="YouYuan"/>
            <w:color w:val="0000FF"/>
            <w:kern w:val="2"/>
            <w:u w:val="single"/>
            <w:rtl/>
            <w:lang w:eastAsia="en-US"/>
          </w:rPr>
          <w:t>قرار الجمعية العامة 70/1</w:t>
        </w:r>
      </w:hyperlink>
      <w:r w:rsidRPr="00B352DB">
        <w:rPr>
          <w:rFonts w:eastAsia="YouYuan"/>
          <w:kern w:val="2"/>
          <w:rtl/>
          <w:lang w:eastAsia="en-US"/>
        </w:rPr>
        <w:t>، بعنوان "تحويل عالمنا: خطة التنمية المستدامة لعام 2030".</w:t>
      </w:r>
    </w:p>
  </w:footnote>
  <w:footnote w:id="243">
    <w:p w:rsidR="000C66C6" w:rsidRDefault="000C66C6" w:rsidP="00FA2E1F">
      <w:pPr>
        <w:pStyle w:val="FootnoteText"/>
        <w:rPr>
          <w:lang w:bidi="ar-SA"/>
        </w:rPr>
      </w:pPr>
      <w:r>
        <w:rPr>
          <w:rStyle w:val="FootnoteReference"/>
        </w:rPr>
        <w:footnoteRef/>
      </w:r>
      <w:r>
        <w:rPr>
          <w:rtl/>
        </w:rPr>
        <w:t xml:space="preserve"> </w:t>
      </w:r>
      <w:r>
        <w:rPr>
          <w:rFonts w:eastAsia="YouYuan" w:hint="cs"/>
          <w:kern w:val="2"/>
          <w:rtl/>
          <w:lang w:eastAsia="en-US"/>
        </w:rPr>
        <w:t xml:space="preserve">الأمم المتحدة، </w:t>
      </w:r>
      <w:r w:rsidRPr="003065B3">
        <w:rPr>
          <w:rFonts w:eastAsia="YouYuan" w:hint="cs"/>
          <w:i/>
          <w:iCs/>
          <w:kern w:val="2"/>
          <w:rtl/>
          <w:lang w:eastAsia="en-US"/>
        </w:rPr>
        <w:t>مجموعة المعاهدات</w:t>
      </w:r>
      <w:r w:rsidRPr="00065BF4">
        <w:rPr>
          <w:rFonts w:eastAsia="YouYuan" w:hint="cs"/>
          <w:kern w:val="2"/>
          <w:rtl/>
          <w:lang w:eastAsia="en-US"/>
        </w:rPr>
        <w:t>، رقم التسجيل</w:t>
      </w:r>
      <w:r>
        <w:rPr>
          <w:rFonts w:eastAsia="YouYuan" w:hint="cs"/>
          <w:kern w:val="2"/>
          <w:rtl/>
          <w:lang w:eastAsia="en-US"/>
        </w:rPr>
        <w:t xml:space="preserve"> </w:t>
      </w:r>
      <w:r w:rsidRPr="00575706">
        <w:rPr>
          <w:kern w:val="18"/>
          <w:szCs w:val="18"/>
        </w:rPr>
        <w:t>I-54113</w:t>
      </w:r>
    </w:p>
  </w:footnote>
  <w:footnote w:id="244">
    <w:p w:rsidR="000C66C6" w:rsidRPr="00B352DB" w:rsidRDefault="000C66C6" w:rsidP="00FA2E1F">
      <w:pPr>
        <w:pStyle w:val="FootnoteText"/>
      </w:pPr>
      <w:r w:rsidRPr="00B352DB">
        <w:rPr>
          <w:rStyle w:val="FootnoteReference"/>
        </w:rPr>
        <w:footnoteRef/>
      </w:r>
      <w:r w:rsidRPr="00B352DB">
        <w:rPr>
          <w:rFonts w:hint="cs"/>
          <w:rtl/>
        </w:rPr>
        <w:t xml:space="preserve"> </w:t>
      </w:r>
      <w:r w:rsidRPr="00B352DB">
        <w:rPr>
          <w:rFonts w:eastAsia="YouYuan"/>
          <w:kern w:val="2"/>
          <w:rtl/>
          <w:lang w:eastAsia="en-US"/>
        </w:rPr>
        <w:t xml:space="preserve">عُقد مؤتمر قمة "موشتمبال" بشأن </w:t>
      </w:r>
      <w:r w:rsidRPr="00B352DB">
        <w:rPr>
          <w:rFonts w:eastAsia="YouYuan" w:hint="cs"/>
          <w:kern w:val="2"/>
          <w:rtl/>
          <w:lang w:eastAsia="en-US"/>
        </w:rPr>
        <w:t>تجارب</w:t>
      </w:r>
      <w:r w:rsidRPr="00B352DB">
        <w:rPr>
          <w:rFonts w:eastAsia="YouYuan"/>
          <w:kern w:val="2"/>
          <w:rtl/>
          <w:lang w:eastAsia="en-US"/>
        </w:rPr>
        <w:t xml:space="preserve"> </w:t>
      </w:r>
      <w:r w:rsidRPr="00B352DB">
        <w:rPr>
          <w:rFonts w:eastAsia="YouYuan" w:hint="cs"/>
          <w:kern w:val="2"/>
          <w:rtl/>
          <w:lang w:eastAsia="en-US"/>
        </w:rPr>
        <w:t xml:space="preserve">المجتمعات </w:t>
      </w:r>
      <w:r w:rsidRPr="00B352DB">
        <w:rPr>
          <w:rFonts w:eastAsia="YouYuan"/>
          <w:kern w:val="2"/>
          <w:rtl/>
          <w:lang w:eastAsia="en-US"/>
        </w:rPr>
        <w:t>الأصلية والمحلية على هامش الاجتماع الثالث عشر لمؤتمر الأطراف. و</w:t>
      </w:r>
      <w:r>
        <w:rPr>
          <w:rFonts w:eastAsia="YouYuan" w:hint="cs"/>
          <w:kern w:val="2"/>
          <w:rtl/>
          <w:lang w:eastAsia="en-US"/>
        </w:rPr>
        <w:t>صدر</w:t>
      </w:r>
      <w:r w:rsidRPr="00B352DB">
        <w:rPr>
          <w:rFonts w:eastAsia="YouYuan"/>
          <w:kern w:val="2"/>
          <w:rtl/>
          <w:lang w:eastAsia="en-US"/>
        </w:rPr>
        <w:t xml:space="preserve"> إعلان مؤتمر القمة </w:t>
      </w:r>
      <w:r>
        <w:rPr>
          <w:rFonts w:eastAsia="YouYuan" w:hint="cs"/>
          <w:kern w:val="2"/>
          <w:rtl/>
          <w:lang w:eastAsia="en-US"/>
        </w:rPr>
        <w:t>بوصفه</w:t>
      </w:r>
      <w:r w:rsidRPr="00B352DB">
        <w:rPr>
          <w:rFonts w:eastAsia="YouYuan"/>
          <w:kern w:val="2"/>
          <w:rtl/>
          <w:lang w:eastAsia="en-US"/>
        </w:rPr>
        <w:t>:</w:t>
      </w:r>
      <w:r w:rsidRPr="00B352DB">
        <w:rPr>
          <w:rFonts w:eastAsia="YouYuan"/>
          <w:kern w:val="2"/>
          <w:szCs w:val="24"/>
          <w:rtl/>
          <w:lang w:eastAsia="en-US"/>
        </w:rPr>
        <w:t xml:space="preserve"> </w:t>
      </w:r>
      <w:hyperlink r:id="rId136" w:history="1">
        <w:r w:rsidRPr="00B352DB">
          <w:rPr>
            <w:rFonts w:eastAsia="YouYuan"/>
            <w:color w:val="0000FF"/>
            <w:kern w:val="18"/>
            <w:u w:val="single"/>
            <w:lang w:eastAsia="en-US"/>
          </w:rPr>
          <w:t>UNEP/CBD/COP/13/INF/48</w:t>
        </w:r>
      </w:hyperlink>
      <w:r w:rsidRPr="00B352DB">
        <w:rPr>
          <w:rFonts w:eastAsia="YouYuan"/>
          <w:kern w:val="2"/>
          <w:rtl/>
          <w:lang w:eastAsia="en-US"/>
        </w:rPr>
        <w:t>.</w:t>
      </w:r>
    </w:p>
  </w:footnote>
  <w:footnote w:id="245">
    <w:p w:rsidR="000C66C6" w:rsidRDefault="000C66C6" w:rsidP="00FA2E1F">
      <w:pPr>
        <w:pStyle w:val="FootnoteText"/>
      </w:pPr>
      <w:r>
        <w:rPr>
          <w:rStyle w:val="FootnoteReference"/>
        </w:rPr>
        <w:footnoteRef/>
      </w:r>
      <w:r>
        <w:rPr>
          <w:rFonts w:hint="cs"/>
          <w:rtl/>
        </w:rPr>
        <w:t xml:space="preserve"> </w:t>
      </w:r>
      <w:hyperlink r:id="rId137" w:history="1">
        <w:r w:rsidRPr="00DB5824">
          <w:rPr>
            <w:rFonts w:ascii="Simplified Arabic" w:eastAsia="YouYuan" w:hAnsi="Simplified Arabic"/>
            <w:color w:val="0000FF"/>
            <w:kern w:val="2"/>
            <w:u w:val="single"/>
            <w:rtl/>
            <w:lang w:eastAsia="en-US"/>
          </w:rPr>
          <w:t>المقرر 7/16</w:t>
        </w:r>
      </w:hyperlink>
      <w:r w:rsidRPr="00DB5824">
        <w:rPr>
          <w:rFonts w:ascii="Simplified Arabic" w:hAnsi="Simplified Arabic"/>
          <w:rtl/>
        </w:rPr>
        <w:t>.</w:t>
      </w:r>
    </w:p>
  </w:footnote>
  <w:footnote w:id="246">
    <w:p w:rsidR="000C66C6" w:rsidRDefault="000C66C6" w:rsidP="00FA2E1F">
      <w:pPr>
        <w:pStyle w:val="FootnoteText"/>
      </w:pPr>
      <w:r>
        <w:rPr>
          <w:rStyle w:val="FootnoteReference"/>
        </w:rPr>
        <w:footnoteRef/>
      </w:r>
      <w:r>
        <w:rPr>
          <w:rFonts w:hint="cs"/>
          <w:rtl/>
        </w:rPr>
        <w:t xml:space="preserve"> </w:t>
      </w:r>
      <w:hyperlink r:id="rId138" w:history="1">
        <w:r w:rsidRPr="00DB5824">
          <w:rPr>
            <w:rFonts w:ascii="Simplified Arabic" w:eastAsia="YouYuan" w:hAnsi="Simplified Arabic"/>
            <w:color w:val="0000FF"/>
            <w:kern w:val="2"/>
            <w:u w:val="single"/>
            <w:rtl/>
            <w:lang w:eastAsia="en-US"/>
          </w:rPr>
          <w:t>المقرر 10/42</w:t>
        </w:r>
      </w:hyperlink>
      <w:r w:rsidRPr="00DB5824">
        <w:rPr>
          <w:rFonts w:ascii="Simplified Arabic" w:eastAsia="YouYuan" w:hAnsi="Simplified Arabic"/>
          <w:kern w:val="2"/>
          <w:rtl/>
          <w:lang w:eastAsia="en-US"/>
        </w:rPr>
        <w:t>، المرفق</w:t>
      </w:r>
      <w:r w:rsidRPr="00DB5824">
        <w:rPr>
          <w:rFonts w:ascii="Simplified Arabic" w:eastAsia="YouYuan" w:hAnsi="Simplified Arabic"/>
          <w:kern w:val="2"/>
          <w:szCs w:val="24"/>
          <w:rtl/>
          <w:lang w:eastAsia="en-US"/>
        </w:rPr>
        <w:t>.</w:t>
      </w:r>
    </w:p>
  </w:footnote>
  <w:footnote w:id="247">
    <w:p w:rsidR="000C66C6" w:rsidRDefault="000C66C6" w:rsidP="00FA2E1F">
      <w:pPr>
        <w:pStyle w:val="FootnoteText"/>
      </w:pPr>
      <w:r>
        <w:rPr>
          <w:rStyle w:val="FootnoteReference"/>
        </w:rPr>
        <w:footnoteRef/>
      </w:r>
      <w:r>
        <w:rPr>
          <w:rFonts w:hint="cs"/>
          <w:rtl/>
        </w:rPr>
        <w:t xml:space="preserve"> </w:t>
      </w:r>
      <w:r w:rsidRPr="00DB5824">
        <w:rPr>
          <w:rFonts w:ascii="Simplified Arabic" w:hAnsi="Simplified Arabic"/>
          <w:rtl/>
        </w:rPr>
        <w:t>يعني "جذور الحياة" بلغة المايا.</w:t>
      </w:r>
    </w:p>
  </w:footnote>
  <w:footnote w:id="248">
    <w:p w:rsidR="000C66C6" w:rsidRDefault="000C66C6" w:rsidP="00FA2E1F">
      <w:pPr>
        <w:pStyle w:val="FootnoteText"/>
      </w:pPr>
      <w:r>
        <w:rPr>
          <w:rStyle w:val="FootnoteReference"/>
        </w:rPr>
        <w:footnoteRef/>
      </w:r>
      <w:r>
        <w:rPr>
          <w:rFonts w:hint="cs"/>
          <w:rtl/>
        </w:rPr>
        <w:t xml:space="preserve"> </w:t>
      </w:r>
      <w:r w:rsidRPr="00DB5824">
        <w:rPr>
          <w:rFonts w:ascii="Simplified Arabic" w:eastAsia="YouYuan" w:hAnsi="Simplified Arabic"/>
          <w:kern w:val="2"/>
          <w:rtl/>
          <w:lang w:eastAsia="en-US"/>
        </w:rPr>
        <w:t xml:space="preserve">ينبغي أن </w:t>
      </w:r>
      <w:r>
        <w:rPr>
          <w:rFonts w:ascii="Simplified Arabic" w:eastAsia="YouYuan" w:hAnsi="Simplified Arabic" w:hint="cs"/>
          <w:kern w:val="2"/>
          <w:rtl/>
          <w:lang w:eastAsia="en-US"/>
        </w:rPr>
        <w:t>يشير</w:t>
      </w:r>
      <w:r w:rsidRPr="00DB5824">
        <w:rPr>
          <w:rFonts w:ascii="Simplified Arabic" w:eastAsia="YouYuan" w:hAnsi="Simplified Arabic"/>
          <w:kern w:val="2"/>
          <w:rtl/>
          <w:lang w:eastAsia="en-US"/>
        </w:rPr>
        <w:t xml:space="preserve"> استخدام وتفسير مصطلح "الشعوب الأصلية والمجتمعات المحلية" ضمن هذه المبادئ التوجيهية إلى </w:t>
      </w:r>
      <w:hyperlink r:id="rId139" w:history="1">
        <w:r w:rsidRPr="00DB5824">
          <w:rPr>
            <w:rFonts w:ascii="Simplified Arabic" w:eastAsia="YouYuan" w:hAnsi="Simplified Arabic" w:hint="cs"/>
            <w:color w:val="0000FF"/>
            <w:kern w:val="2"/>
            <w:u w:val="single"/>
            <w:rtl/>
            <w:lang w:eastAsia="en-US"/>
          </w:rPr>
          <w:t>المقرر 12/12</w:t>
        </w:r>
      </w:hyperlink>
      <w:r w:rsidRPr="00DB5824">
        <w:rPr>
          <w:rFonts w:ascii="Simplified Arabic" w:eastAsia="YouYuan" w:hAnsi="Simplified Arabic"/>
          <w:kern w:val="2"/>
          <w:rtl/>
          <w:lang w:eastAsia="en-US"/>
        </w:rPr>
        <w:t> واو،</w:t>
      </w:r>
      <w:r w:rsidRPr="00DB5824">
        <w:rPr>
          <w:rFonts w:ascii="Simplified Arabic" w:eastAsia="YouYuan" w:hAnsi="Simplified Arabic"/>
          <w:color w:val="000000"/>
          <w:kern w:val="18"/>
          <w:rtl/>
          <w:lang w:eastAsia="en-US"/>
        </w:rPr>
        <w:t xml:space="preserve"> الفقرات 2(أ) و(ب) و(ج).</w:t>
      </w:r>
    </w:p>
  </w:footnote>
  <w:footnote w:id="249">
    <w:p w:rsidR="000C66C6" w:rsidRDefault="000C66C6" w:rsidP="00D11ACC">
      <w:pPr>
        <w:pStyle w:val="FootnoteText"/>
      </w:pPr>
      <w:r w:rsidRPr="00E85EEB">
        <w:rPr>
          <w:rStyle w:val="FootnoteReference"/>
          <w:rFonts w:ascii="Simplified Arabic" w:hAnsi="Simplified Arabic"/>
          <w:sz w:val="20"/>
          <w:szCs w:val="20"/>
        </w:rPr>
        <w:footnoteRef/>
      </w:r>
      <w:r>
        <w:rPr>
          <w:rFonts w:hint="cs"/>
          <w:rtl/>
        </w:rPr>
        <w:t xml:space="preserve"> </w:t>
      </w:r>
      <w:hyperlink r:id="rId140" w:history="1">
        <w:r w:rsidRPr="00DB5824">
          <w:rPr>
            <w:rFonts w:ascii="Simplified Arabic" w:eastAsia="YouYuan" w:hAnsi="Simplified Arabic"/>
            <w:color w:val="0000FF"/>
            <w:kern w:val="2"/>
            <w:u w:val="single"/>
            <w:rtl/>
            <w:lang w:eastAsia="en-US"/>
          </w:rPr>
          <w:t>المقرر 13/18</w:t>
        </w:r>
      </w:hyperlink>
      <w:r w:rsidRPr="00DB5824">
        <w:rPr>
          <w:rFonts w:ascii="Simplified Arabic" w:hAnsi="Simplified Arabic"/>
          <w:rtl/>
        </w:rPr>
        <w:t>.</w:t>
      </w:r>
    </w:p>
  </w:footnote>
  <w:footnote w:id="250">
    <w:p w:rsidR="000C66C6" w:rsidRDefault="000C66C6" w:rsidP="00D11ACC">
      <w:pPr>
        <w:pStyle w:val="FootnoteText"/>
      </w:pPr>
      <w:r w:rsidRPr="00E85EEB">
        <w:rPr>
          <w:rStyle w:val="FootnoteReference"/>
          <w:rFonts w:ascii="Simplified Arabic" w:hAnsi="Simplified Arabic"/>
          <w:sz w:val="20"/>
          <w:szCs w:val="20"/>
        </w:rPr>
        <w:footnoteRef/>
      </w:r>
      <w:r>
        <w:rPr>
          <w:rFonts w:hint="cs"/>
          <w:rtl/>
        </w:rPr>
        <w:t xml:space="preserve"> </w:t>
      </w:r>
      <w:r>
        <w:rPr>
          <w:rFonts w:ascii="Simplified Arabic" w:hAnsi="Simplified Arabic"/>
          <w:rtl/>
        </w:rPr>
        <w:t xml:space="preserve">المقرر </w:t>
      </w:r>
      <w:r>
        <w:rPr>
          <w:rFonts w:ascii="Simplified Arabic" w:hAnsi="Simplified Arabic" w:hint="cs"/>
          <w:rtl/>
        </w:rPr>
        <w:t>14/12</w:t>
      </w:r>
      <w:r w:rsidRPr="00DB5824">
        <w:rPr>
          <w:rFonts w:ascii="Simplified Arabic" w:hAnsi="Simplified Arabic"/>
          <w:rtl/>
        </w:rPr>
        <w:t>.</w:t>
      </w:r>
    </w:p>
  </w:footnote>
  <w:footnote w:id="251">
    <w:p w:rsidR="000C66C6" w:rsidRDefault="000C66C6" w:rsidP="00D11ACC">
      <w:pPr>
        <w:pStyle w:val="FootnoteText"/>
      </w:pPr>
      <w:r w:rsidRPr="00E85EEB">
        <w:rPr>
          <w:rStyle w:val="FootnoteReference"/>
          <w:rFonts w:ascii="Simplified Arabic" w:hAnsi="Simplified Arabic"/>
          <w:sz w:val="20"/>
          <w:szCs w:val="20"/>
        </w:rPr>
        <w:footnoteRef/>
      </w:r>
      <w:r>
        <w:rPr>
          <w:rFonts w:hint="cs"/>
          <w:rtl/>
        </w:rPr>
        <w:t xml:space="preserve"> </w:t>
      </w:r>
      <w:hyperlink r:id="rId141" w:history="1">
        <w:r w:rsidRPr="00DB5824">
          <w:rPr>
            <w:rFonts w:ascii="Simplified Arabic" w:eastAsia="YouYuan" w:hAnsi="Simplified Arabic" w:hint="cs"/>
            <w:color w:val="0000FF"/>
            <w:kern w:val="2"/>
            <w:u w:val="single"/>
            <w:rtl/>
            <w:lang w:eastAsia="en-US"/>
          </w:rPr>
          <w:t>المقرر 12/12</w:t>
        </w:r>
      </w:hyperlink>
      <w:r w:rsidRPr="00DB5824">
        <w:rPr>
          <w:rFonts w:ascii="Simplified Arabic" w:eastAsia="YouYuan" w:hAnsi="Simplified Arabic"/>
          <w:kern w:val="2"/>
          <w:rtl/>
          <w:lang w:eastAsia="en-US"/>
        </w:rPr>
        <w:t xml:space="preserve"> باء</w:t>
      </w:r>
      <w:r>
        <w:rPr>
          <w:rFonts w:ascii="Simplified Arabic" w:eastAsia="YouYuan" w:hAnsi="Simplified Arabic" w:hint="cs"/>
          <w:kern w:val="2"/>
          <w:rtl/>
          <w:lang w:eastAsia="en-US"/>
        </w:rPr>
        <w:t>،</w:t>
      </w:r>
      <w:r w:rsidRPr="00DB5824">
        <w:rPr>
          <w:rFonts w:ascii="Simplified Arabic" w:eastAsia="YouYuan" w:hAnsi="Simplified Arabic"/>
          <w:kern w:val="18"/>
          <w:rtl/>
          <w:lang w:eastAsia="en-US"/>
        </w:rPr>
        <w:t xml:space="preserve"> المرفق</w:t>
      </w:r>
      <w:r w:rsidRPr="001F0753">
        <w:rPr>
          <w:rFonts w:ascii="Simplified Arabic" w:hAnsi="Simplified Arabic"/>
          <w:kern w:val="18"/>
          <w:rtl/>
        </w:rPr>
        <w:t>.</w:t>
      </w:r>
    </w:p>
  </w:footnote>
  <w:footnote w:id="252">
    <w:p w:rsidR="000C66C6" w:rsidRDefault="000C66C6" w:rsidP="00D11ACC">
      <w:pPr>
        <w:pStyle w:val="FootnoteText"/>
      </w:pPr>
      <w:r w:rsidRPr="00E85EEB">
        <w:rPr>
          <w:rStyle w:val="FootnoteReference"/>
          <w:rFonts w:ascii="Simplified Arabic" w:hAnsi="Simplified Arabic"/>
          <w:sz w:val="20"/>
          <w:szCs w:val="20"/>
        </w:rPr>
        <w:footnoteRef/>
      </w:r>
      <w:r>
        <w:rPr>
          <w:rFonts w:hint="cs"/>
          <w:rtl/>
        </w:rPr>
        <w:t xml:space="preserve"> </w:t>
      </w:r>
      <w:r w:rsidRPr="00DB5824">
        <w:rPr>
          <w:rFonts w:ascii="Simplified Arabic" w:eastAsia="YouYuan" w:hAnsi="Simplified Arabic"/>
          <w:kern w:val="2"/>
          <w:rtl/>
          <w:lang w:eastAsia="en-US"/>
        </w:rPr>
        <w:t xml:space="preserve">انظر </w:t>
      </w:r>
      <w:hyperlink r:id="rId142" w:history="1">
        <w:r w:rsidRPr="00DB5824">
          <w:rPr>
            <w:rFonts w:ascii="Simplified Arabic" w:eastAsia="YouYuan" w:hAnsi="Simplified Arabic"/>
            <w:color w:val="0000FF"/>
            <w:kern w:val="2"/>
            <w:u w:val="single"/>
            <w:rtl/>
            <w:lang w:eastAsia="en-US"/>
          </w:rPr>
          <w:t>المقرر 10/20</w:t>
        </w:r>
      </w:hyperlink>
      <w:r w:rsidRPr="00DB5824">
        <w:rPr>
          <w:rFonts w:ascii="Simplified Arabic" w:eastAsia="YouYuan" w:hAnsi="Simplified Arabic"/>
          <w:kern w:val="2"/>
          <w:rtl/>
          <w:lang w:eastAsia="en-US"/>
        </w:rPr>
        <w:t xml:space="preserve"> بشأن التعاون مع اتفاقيات ومنظمات دولية ومبادرات أخرى، </w:t>
      </w:r>
      <w:r w:rsidRPr="00DB5824">
        <w:rPr>
          <w:rFonts w:ascii="Simplified Arabic" w:eastAsia="YouYuan" w:hAnsi="Simplified Arabic" w:hint="cs"/>
          <w:kern w:val="2"/>
          <w:rtl/>
          <w:lang w:eastAsia="en-US"/>
        </w:rPr>
        <w:t xml:space="preserve">في </w:t>
      </w:r>
      <w:r w:rsidRPr="00DB5824">
        <w:rPr>
          <w:rFonts w:ascii="Simplified Arabic" w:eastAsia="YouYuan" w:hAnsi="Simplified Arabic"/>
          <w:kern w:val="2"/>
          <w:rtl/>
          <w:lang w:eastAsia="en-US"/>
        </w:rPr>
        <w:t xml:space="preserve">الفقرة 16، التي رحب </w:t>
      </w:r>
      <w:r w:rsidRPr="00DB5824">
        <w:rPr>
          <w:rFonts w:ascii="Simplified Arabic" w:eastAsia="YouYuan" w:hAnsi="Simplified Arabic" w:hint="cs"/>
          <w:kern w:val="2"/>
          <w:rtl/>
          <w:lang w:eastAsia="en-US"/>
        </w:rPr>
        <w:t xml:space="preserve">فيها مؤتمر الأطراف </w:t>
      </w:r>
      <w:r w:rsidRPr="00DB5824">
        <w:rPr>
          <w:rFonts w:ascii="Simplified Arabic" w:eastAsia="YouYuan" w:hAnsi="Simplified Arabic"/>
          <w:kern w:val="2"/>
          <w:rtl/>
          <w:lang w:eastAsia="en-US"/>
        </w:rPr>
        <w:t>ببرنامج العمل المشترك</w:t>
      </w:r>
      <w:r w:rsidRPr="001F0753">
        <w:rPr>
          <w:rFonts w:ascii="Simplified Arabic" w:hAnsi="Simplified Arabic"/>
          <w:rtl/>
        </w:rPr>
        <w:t>.</w:t>
      </w:r>
    </w:p>
  </w:footnote>
  <w:footnote w:id="253">
    <w:p w:rsidR="000C66C6" w:rsidRPr="00DB5824" w:rsidRDefault="000C66C6" w:rsidP="00D11ACC">
      <w:pPr>
        <w:pStyle w:val="FootnoteText"/>
        <w:rPr>
          <w:rFonts w:ascii="Simplified Arabic" w:hAnsi="Simplified Arabic"/>
        </w:rPr>
      </w:pPr>
      <w:r w:rsidRPr="00E85EEB">
        <w:rPr>
          <w:rFonts w:ascii="Simplified Arabic" w:hAnsi="Simplified Arabic"/>
          <w:sz w:val="20"/>
        </w:rPr>
        <w:t xml:space="preserve"> </w:t>
      </w:r>
      <w:r w:rsidRPr="00E85EEB">
        <w:rPr>
          <w:rStyle w:val="FootnoteReference"/>
          <w:rFonts w:ascii="Simplified Arabic" w:hAnsi="Simplified Arabic"/>
          <w:sz w:val="20"/>
          <w:szCs w:val="20"/>
        </w:rPr>
        <w:footnoteRef/>
      </w:r>
      <w:r w:rsidRPr="00E85EEB">
        <w:rPr>
          <w:rFonts w:ascii="Simplified Arabic" w:hAnsi="Simplified Arabic"/>
          <w:sz w:val="20"/>
          <w:rtl/>
        </w:rPr>
        <w:t>ا</w:t>
      </w:r>
      <w:r>
        <w:rPr>
          <w:rFonts w:ascii="Simplified Arabic" w:hAnsi="Simplified Arabic" w:hint="cs"/>
          <w:rtl/>
        </w:rPr>
        <w:t>لمقرر 14/12</w:t>
      </w:r>
      <w:r w:rsidRPr="00DB5824">
        <w:rPr>
          <w:rFonts w:ascii="Simplified Arabic" w:hAnsi="Simplified Arabic"/>
          <w:rtl/>
        </w:rPr>
        <w:t>.</w:t>
      </w:r>
    </w:p>
  </w:footnote>
  <w:footnote w:id="254">
    <w:p w:rsidR="000C66C6" w:rsidRPr="003A5205" w:rsidRDefault="000C66C6" w:rsidP="00D11ACC">
      <w:pPr>
        <w:kinsoku w:val="0"/>
        <w:overflowPunct w:val="0"/>
        <w:autoSpaceDE w:val="0"/>
        <w:autoSpaceDN w:val="0"/>
        <w:adjustRightInd w:val="0"/>
        <w:snapToGrid w:val="0"/>
        <w:spacing w:after="0"/>
        <w:rPr>
          <w:rStyle w:val="Hyperlink"/>
          <w:rFonts w:eastAsia="Times New Roman"/>
          <w:bCs/>
          <w:sz w:val="18"/>
          <w:szCs w:val="18"/>
          <w:rtl/>
          <w:lang w:val="en-GB"/>
        </w:rPr>
      </w:pPr>
      <w:r w:rsidRPr="00E85EEB">
        <w:rPr>
          <w:rStyle w:val="FootnoteReference"/>
          <w:rFonts w:ascii="Simplified Arabic" w:hAnsi="Simplified Arabic"/>
          <w:sz w:val="20"/>
          <w:szCs w:val="20"/>
        </w:rPr>
        <w:footnoteRef/>
      </w:r>
      <w:r w:rsidRPr="003A5205">
        <w:rPr>
          <w:rStyle w:val="Hyperlink"/>
          <w:rFonts w:eastAsia="Times New Roman" w:hint="cs"/>
          <w:bCs/>
          <w:sz w:val="18"/>
          <w:szCs w:val="18"/>
          <w:rtl/>
          <w:lang w:val="en-GB"/>
        </w:rPr>
        <w:t xml:space="preserve"> </w:t>
      </w:r>
      <w:hyperlink r:id="rId143" w:history="1">
        <w:r w:rsidRPr="003A5205">
          <w:rPr>
            <w:rStyle w:val="Hyperlink"/>
            <w:rFonts w:eastAsia="Times New Roman"/>
            <w:bCs/>
            <w:sz w:val="18"/>
            <w:szCs w:val="18"/>
            <w:lang w:val="en-GB"/>
          </w:rPr>
          <w:t>CBD/SBI/2/2/Add.3</w:t>
        </w:r>
      </w:hyperlink>
      <w:r w:rsidRPr="003A5205">
        <w:rPr>
          <w:rStyle w:val="Hyperlink"/>
          <w:rFonts w:eastAsia="Times New Roman" w:hint="cs"/>
          <w:bCs/>
          <w:sz w:val="18"/>
          <w:szCs w:val="18"/>
          <w:rtl/>
          <w:lang w:val="en-GB"/>
        </w:rPr>
        <w:t>.</w:t>
      </w:r>
    </w:p>
  </w:footnote>
  <w:footnote w:id="255">
    <w:p w:rsidR="000C66C6" w:rsidRPr="005E3F8D" w:rsidRDefault="000C66C6" w:rsidP="00D11ACC">
      <w:pPr>
        <w:pStyle w:val="FootnoteText"/>
        <w:rPr>
          <w:rtl/>
        </w:rPr>
      </w:pPr>
      <w:r w:rsidRPr="00E85EEB">
        <w:rPr>
          <w:rStyle w:val="FootnoteReference"/>
          <w:rFonts w:ascii="Simplified Arabic" w:hAnsi="Simplified Arabic"/>
          <w:sz w:val="20"/>
          <w:szCs w:val="20"/>
        </w:rPr>
        <w:footnoteRef/>
      </w:r>
      <w:r w:rsidRPr="00E85EEB">
        <w:rPr>
          <w:rFonts w:ascii="Simplified Arabic" w:hAnsi="Simplified Arabic"/>
          <w:sz w:val="20"/>
          <w:rtl/>
        </w:rPr>
        <w:t xml:space="preserve"> </w:t>
      </w:r>
      <w:r w:rsidRPr="00346B74">
        <w:rPr>
          <w:rFonts w:ascii="Simplified Arabic" w:hAnsi="Simplified Arabic"/>
          <w:sz w:val="20"/>
          <w:rtl/>
        </w:rPr>
        <w:t>انظر قرار الجمعية العامة</w:t>
      </w:r>
      <w:hyperlink r:id="rId144" w:history="1">
        <w:r w:rsidRPr="00346B74">
          <w:rPr>
            <w:rStyle w:val="Hyperlink"/>
            <w:rFonts w:ascii="Simplified Arabic" w:eastAsia="Times New Roman" w:hAnsi="Simplified Arabic"/>
            <w:snapToGrid w:val="0"/>
            <w:kern w:val="18"/>
            <w:sz w:val="20"/>
            <w:rtl/>
            <w:lang w:val="en-GB" w:eastAsia="en-US"/>
          </w:rPr>
          <w:t xml:space="preserve"> 70/1</w:t>
        </w:r>
      </w:hyperlink>
      <w:r w:rsidRPr="00346B74">
        <w:rPr>
          <w:rFonts w:ascii="Simplified Arabic" w:hAnsi="Simplified Arabic"/>
          <w:snapToGrid w:val="0"/>
          <w:kern w:val="18"/>
          <w:sz w:val="20"/>
          <w:rtl/>
        </w:rPr>
        <w:t>، المرفق</w:t>
      </w:r>
      <w:r w:rsidRPr="00346B74">
        <w:rPr>
          <w:rFonts w:ascii="Simplified Arabic" w:hAnsi="Simplified Arabic"/>
          <w:sz w:val="20"/>
          <w:rtl/>
        </w:rPr>
        <w:t>.</w:t>
      </w:r>
    </w:p>
  </w:footnote>
  <w:footnote w:id="256">
    <w:p w:rsidR="000C66C6" w:rsidRPr="00D11ACC" w:rsidRDefault="000C66C6" w:rsidP="00D11ACC">
      <w:pPr>
        <w:pStyle w:val="FootnoteText"/>
      </w:pPr>
      <w:r w:rsidRPr="005F7C38">
        <w:rPr>
          <w:rStyle w:val="FootnoteReference"/>
          <w:rFonts w:ascii="Simplified Arabic" w:hAnsi="Simplified Arabic"/>
          <w:sz w:val="20"/>
          <w:szCs w:val="20"/>
        </w:rPr>
        <w:footnoteRef/>
      </w:r>
      <w:r w:rsidRPr="00F927F9">
        <w:rPr>
          <w:rFonts w:ascii="Simplified Arabic" w:hAnsi="Simplified Arabic"/>
          <w:rtl/>
        </w:rPr>
        <w:t xml:space="preserve"> </w:t>
      </w:r>
      <w:r w:rsidRPr="00F927F9">
        <w:rPr>
          <w:snapToGrid w:val="0"/>
          <w:kern w:val="18"/>
        </w:rPr>
        <w:t>CBD/</w:t>
      </w:r>
      <w:r w:rsidRPr="00D11ACC">
        <w:t>SBSTTA/22/4</w:t>
      </w:r>
      <w:r w:rsidRPr="00D11ACC">
        <w:rPr>
          <w:sz w:val="20"/>
          <w:szCs w:val="18"/>
          <w:rtl/>
        </w:rPr>
        <w:t>، المرفق.</w:t>
      </w:r>
    </w:p>
  </w:footnote>
  <w:footnote w:id="257">
    <w:p w:rsidR="000C66C6" w:rsidRPr="00D11ACC" w:rsidRDefault="000C66C6" w:rsidP="00D11ACC">
      <w:pPr>
        <w:pStyle w:val="FootnoteText"/>
      </w:pPr>
      <w:r w:rsidRPr="005F7C38">
        <w:rPr>
          <w:rStyle w:val="FootnoteReference"/>
          <w:rFonts w:ascii="Simplified Arabic" w:hAnsi="Simplified Arabic"/>
          <w:sz w:val="20"/>
          <w:szCs w:val="20"/>
        </w:rPr>
        <w:footnoteRef/>
      </w:r>
      <w:r w:rsidRPr="00D11ACC">
        <w:rPr>
          <w:szCs w:val="18"/>
          <w:rtl/>
        </w:rPr>
        <w:t xml:space="preserve"> </w:t>
      </w:r>
      <w:r w:rsidRPr="00D11ACC">
        <w:rPr>
          <w:sz w:val="20"/>
          <w:szCs w:val="18"/>
          <w:rtl/>
        </w:rPr>
        <w:t>أوصت الهيئة الفرعية للمشورة العلمية والتقنية والتكنولوجية بأن ينظر مؤتمر الأطراف العامل كاجتماع للأطراف في بروتوكول قرطاجنة للسلامة الأحيائية (التوصية 22/2) في الحاجة إلى إرشادات محددة بشأن تقييم مخاطر الكائنات الحية المحورة التي تحتوي على محركات الجينات المحورة هندسيا خلال اجتماعه العاشر</w:t>
      </w:r>
      <w:r w:rsidRPr="00D11ACC">
        <w:t>.</w:t>
      </w:r>
    </w:p>
  </w:footnote>
  <w:footnote w:id="258">
    <w:p w:rsidR="000C66C6" w:rsidRPr="00F927F9" w:rsidRDefault="000C66C6" w:rsidP="00D11ACC">
      <w:pPr>
        <w:pStyle w:val="FootnoteText"/>
        <w:rPr>
          <w:rFonts w:ascii="Simplified Arabic" w:hAnsi="Simplified Arabic"/>
        </w:rPr>
      </w:pPr>
      <w:r w:rsidRPr="005F7C38">
        <w:rPr>
          <w:rStyle w:val="FootnoteReference"/>
          <w:rFonts w:ascii="Simplified Arabic" w:hAnsi="Simplified Arabic"/>
          <w:sz w:val="20"/>
          <w:szCs w:val="20"/>
        </w:rPr>
        <w:footnoteRef/>
      </w:r>
      <w:r w:rsidRPr="00D11ACC">
        <w:rPr>
          <w:szCs w:val="18"/>
          <w:rtl/>
        </w:rPr>
        <w:t xml:space="preserve"> </w:t>
      </w:r>
      <w:hyperlink r:id="rId145" w:history="1">
        <w:r w:rsidRPr="00D11ACC">
          <w:t>https://www.cbd.int/meetings/SYNBIOAHTEG-2017-01</w:t>
        </w:r>
      </w:hyperlink>
      <w:r w:rsidRPr="00F927F9">
        <w:rPr>
          <w:rFonts w:ascii="Simplified Arabic" w:hAnsi="Simplified Arabic"/>
          <w:rtl/>
        </w:rPr>
        <w:t>.</w:t>
      </w:r>
    </w:p>
  </w:footnote>
  <w:footnote w:id="259">
    <w:p w:rsidR="000C66C6" w:rsidRPr="00F927F9" w:rsidRDefault="000C66C6" w:rsidP="00D11ACC">
      <w:pPr>
        <w:pStyle w:val="FootnoteText"/>
        <w:rPr>
          <w:rFonts w:ascii="Simplified Arabic" w:hAnsi="Simplified Arabic"/>
        </w:rPr>
      </w:pPr>
      <w:r w:rsidRPr="005F7C38">
        <w:rPr>
          <w:rStyle w:val="FootnoteReference"/>
          <w:rFonts w:ascii="Simplified Arabic" w:hAnsi="Simplified Arabic"/>
          <w:sz w:val="20"/>
          <w:szCs w:val="20"/>
        </w:rPr>
        <w:footnoteRef/>
      </w:r>
      <w:r w:rsidRPr="00F927F9">
        <w:rPr>
          <w:rFonts w:ascii="Simplified Arabic" w:hAnsi="Simplified Arabic"/>
          <w:rtl/>
        </w:rPr>
        <w:t xml:space="preserve"> </w:t>
      </w:r>
      <w:r w:rsidRPr="00455BA1">
        <w:rPr>
          <w:rFonts w:ascii="Simplified Arabic" w:hAnsi="Simplified Arabic"/>
          <w:snapToGrid w:val="0"/>
          <w:kern w:val="18"/>
          <w:sz w:val="20"/>
          <w:rtl/>
        </w:rPr>
        <w:t>انظر المقرر 13/17</w:t>
      </w:r>
      <w:r w:rsidRPr="00455BA1">
        <w:rPr>
          <w:rFonts w:ascii="Simplified Arabic" w:hAnsi="Simplified Arabic"/>
          <w:sz w:val="20"/>
          <w:rtl/>
        </w:rPr>
        <w:t>.</w:t>
      </w:r>
    </w:p>
  </w:footnote>
  <w:footnote w:id="260">
    <w:p w:rsidR="000C66C6" w:rsidRDefault="000C66C6" w:rsidP="00D11ACC">
      <w:pPr>
        <w:pStyle w:val="FootnoteText"/>
        <w:rPr>
          <w:rtl/>
        </w:rPr>
      </w:pPr>
      <w:r>
        <w:t xml:space="preserve"> </w:t>
      </w:r>
      <w:r w:rsidRPr="005F7C38">
        <w:rPr>
          <w:rStyle w:val="FootnoteReference"/>
          <w:rFonts w:ascii="Simplified Arabic" w:hAnsi="Simplified Arabic"/>
          <w:sz w:val="20"/>
          <w:szCs w:val="20"/>
        </w:rPr>
        <w:footnoteRef/>
      </w:r>
      <w:r w:rsidRPr="00455BA1">
        <w:rPr>
          <w:rFonts w:ascii="Simplified Arabic" w:hAnsi="Simplified Arabic"/>
          <w:sz w:val="20"/>
          <w:rtl/>
        </w:rPr>
        <w:t>المقرر 13/18.</w:t>
      </w:r>
    </w:p>
  </w:footnote>
  <w:footnote w:id="261">
    <w:p w:rsidR="000C66C6" w:rsidRPr="00F927F9" w:rsidRDefault="000C66C6" w:rsidP="00D11ACC">
      <w:pPr>
        <w:pStyle w:val="FootnoteText"/>
        <w:rPr>
          <w:rFonts w:ascii="Simplified Arabic" w:hAnsi="Simplified Arabic"/>
          <w:rtl/>
        </w:rPr>
      </w:pPr>
      <w:r w:rsidRPr="005F7C38">
        <w:rPr>
          <w:rStyle w:val="FootnoteReference"/>
          <w:rFonts w:ascii="Simplified Arabic" w:hAnsi="Simplified Arabic"/>
          <w:sz w:val="20"/>
          <w:szCs w:val="20"/>
        </w:rPr>
        <w:footnoteRef/>
      </w:r>
      <w:r w:rsidRPr="00F927F9">
        <w:rPr>
          <w:rFonts w:ascii="Simplified Arabic" w:hAnsi="Simplified Arabic"/>
          <w:rtl/>
        </w:rPr>
        <w:t xml:space="preserve"> </w:t>
      </w:r>
      <w:hyperlink r:id="rId146" w:history="1">
        <w:r w:rsidRPr="00C20EDB">
          <w:rPr>
            <w:rFonts w:eastAsia="Times New Roman" w:cs="Times New Roman"/>
            <w:color w:val="0000FF"/>
            <w:kern w:val="18"/>
            <w:u w:val="single"/>
            <w:lang w:val="en-GB" w:eastAsia="en-US"/>
          </w:rPr>
          <w:t>http://bch.cbd.int/onlineconferences/portal_detection/lab_network.shtml</w:t>
        </w:r>
      </w:hyperlink>
      <w:r w:rsidRPr="00F927F9">
        <w:rPr>
          <w:rFonts w:ascii="Simplified Arabic" w:hAnsi="Simplified Arabic"/>
          <w:rtl/>
        </w:rPr>
        <w:t>.</w:t>
      </w:r>
    </w:p>
  </w:footnote>
  <w:footnote w:id="262">
    <w:p w:rsidR="000C66C6" w:rsidRPr="00F927F9" w:rsidRDefault="000C66C6" w:rsidP="00D11ACC">
      <w:pPr>
        <w:pStyle w:val="FootnoteText"/>
        <w:rPr>
          <w:rFonts w:ascii="Simplified Arabic" w:hAnsi="Simplified Arabic"/>
          <w:rtl/>
        </w:rPr>
      </w:pPr>
      <w:r w:rsidRPr="005F7C38">
        <w:rPr>
          <w:rStyle w:val="FootnoteReference"/>
          <w:rFonts w:ascii="Simplified Arabic" w:hAnsi="Simplified Arabic"/>
          <w:sz w:val="20"/>
          <w:szCs w:val="20"/>
        </w:rPr>
        <w:footnoteRef/>
      </w:r>
      <w:r w:rsidRPr="00F927F9">
        <w:rPr>
          <w:rFonts w:ascii="Simplified Arabic" w:hAnsi="Simplified Arabic"/>
          <w:rtl/>
        </w:rPr>
        <w:t xml:space="preserve"> </w:t>
      </w:r>
      <w:r w:rsidRPr="00C20EDB">
        <w:rPr>
          <w:rFonts w:cs="Times New Roman"/>
        </w:rPr>
        <w:t>SBSTTA/22/INF/17</w:t>
      </w:r>
      <w:r w:rsidRPr="00F927F9">
        <w:rPr>
          <w:rFonts w:ascii="Simplified Arabic" w:hAnsi="Simplified Arabic"/>
          <w:rtl/>
        </w:rPr>
        <w:t>.</w:t>
      </w:r>
    </w:p>
  </w:footnote>
  <w:footnote w:id="263">
    <w:p w:rsidR="000C66C6" w:rsidRDefault="000C66C6" w:rsidP="001C1C1D">
      <w:pPr>
        <w:pStyle w:val="FootnoteText"/>
      </w:pPr>
      <w:r w:rsidRPr="005F7C38">
        <w:rPr>
          <w:rStyle w:val="FootnoteReference"/>
          <w:rFonts w:ascii="Simplified Arabic" w:hAnsi="Simplified Arabic"/>
          <w:sz w:val="20"/>
          <w:szCs w:val="20"/>
        </w:rPr>
        <w:footnoteRef/>
      </w:r>
      <w:r>
        <w:rPr>
          <w:rtl/>
        </w:rPr>
        <w:t xml:space="preserve"> </w:t>
      </w:r>
      <w:r>
        <w:rPr>
          <w:rFonts w:ascii="Simplified Arabic" w:hAnsi="Simplified Arabic" w:hint="cs"/>
          <w:sz w:val="20"/>
          <w:rtl/>
        </w:rPr>
        <w:t>سيجتمع فريق الخبراء التقنيين المخصص وفقا لطريقة تشغيل الهيئة الفرعية للمشورة العلمية والتقنية والتكنولوجية، باستثناء أنه سيكون هناك خمسة خبراء يرشحهم كل إقليم من الأقاليم الخمسة.</w:t>
      </w:r>
    </w:p>
  </w:footnote>
  <w:footnote w:id="264">
    <w:p w:rsidR="000C66C6" w:rsidRDefault="000C66C6" w:rsidP="001C1C1D">
      <w:pPr>
        <w:pStyle w:val="FootnoteText"/>
      </w:pPr>
      <w:r w:rsidRPr="005F7C38">
        <w:rPr>
          <w:rStyle w:val="FootnoteReference"/>
          <w:rFonts w:ascii="Simplified Arabic" w:hAnsi="Simplified Arabic"/>
          <w:sz w:val="20"/>
          <w:szCs w:val="20"/>
        </w:rPr>
        <w:footnoteRef/>
      </w:r>
      <w:r>
        <w:rPr>
          <w:rtl/>
        </w:rPr>
        <w:t xml:space="preserve"> </w:t>
      </w:r>
      <w:r>
        <w:rPr>
          <w:rFonts w:ascii="Simplified Arabic" w:hAnsi="Simplified Arabic" w:hint="cs"/>
          <w:sz w:val="20"/>
          <w:rtl/>
        </w:rPr>
        <w:t xml:space="preserve">دراسة تقصي حقائق وتحديد النطاق بشأن معلومات التسلسل الرقمي بشأن الموارد الجينية في سياق اتفاقية التنوع البيولوجي وبروتوكول ناغويا، </w:t>
      </w:r>
      <w:r>
        <w:rPr>
          <w:rFonts w:eastAsia="Times New Roman" w:cs="Times New Roman"/>
          <w:szCs w:val="18"/>
          <w:lang w:eastAsia="en-US"/>
        </w:rPr>
        <w:t>(</w:t>
      </w:r>
      <w:r w:rsidRPr="0025775C">
        <w:rPr>
          <w:rFonts w:eastAsia="Times New Roman" w:cs="Times New Roman"/>
          <w:szCs w:val="18"/>
          <w:lang w:val="en-GB" w:eastAsia="en-US"/>
        </w:rPr>
        <w:t>CBD/DSI/AHTEG/2018/1/3</w:t>
      </w:r>
      <w:r>
        <w:rPr>
          <w:rFonts w:eastAsia="Times New Roman" w:cs="Times New Roman"/>
          <w:szCs w:val="18"/>
          <w:lang w:val="en-GB" w:eastAsia="en-US"/>
        </w:rPr>
        <w:t>)</w:t>
      </w:r>
      <w:r>
        <w:rPr>
          <w:rFonts w:ascii="Simplified Arabic" w:hAnsi="Simplified Arabic" w:hint="cs"/>
          <w:sz w:val="20"/>
          <w:rtl/>
        </w:rPr>
        <w:t>.</w:t>
      </w:r>
    </w:p>
  </w:footnote>
  <w:footnote w:id="265">
    <w:p w:rsidR="000C66C6" w:rsidRDefault="000C66C6" w:rsidP="001C1C1D">
      <w:pPr>
        <w:pStyle w:val="FootnoteText"/>
      </w:pPr>
      <w:r w:rsidRPr="005F7C38">
        <w:rPr>
          <w:rStyle w:val="FootnoteReference"/>
          <w:rFonts w:ascii="Simplified Arabic" w:hAnsi="Simplified Arabic"/>
          <w:sz w:val="20"/>
          <w:szCs w:val="20"/>
        </w:rPr>
        <w:footnoteRef/>
      </w:r>
      <w:r>
        <w:rPr>
          <w:rtl/>
        </w:rPr>
        <w:t xml:space="preserve"> </w:t>
      </w:r>
      <w:r w:rsidRPr="00C002C8">
        <w:rPr>
          <w:rFonts w:ascii="Simplified Arabic" w:hAnsi="Simplified Arabic"/>
          <w:sz w:val="20"/>
          <w:rtl/>
        </w:rPr>
        <w:t>ال</w:t>
      </w:r>
      <w:r>
        <w:rPr>
          <w:rFonts w:ascii="Simplified Arabic" w:hAnsi="Simplified Arabic" w:hint="cs"/>
          <w:sz w:val="20"/>
          <w:rtl/>
        </w:rPr>
        <w:t>مقرر بشأن إعداد الإطار العالمي للتنوع البيولوجي لما بعد عام 2020 (البند 17).</w:t>
      </w:r>
    </w:p>
  </w:footnote>
  <w:footnote w:id="266">
    <w:p w:rsidR="000C66C6" w:rsidRDefault="000C66C6" w:rsidP="001C1C1D">
      <w:pPr>
        <w:pStyle w:val="FootnoteText"/>
        <w:widowControl w:val="0"/>
        <w:outlineLvl w:val="0"/>
        <w:rPr>
          <w:rtl/>
        </w:rPr>
      </w:pPr>
      <w:r w:rsidRPr="005F7C38">
        <w:rPr>
          <w:rStyle w:val="FootnoteReference"/>
          <w:rFonts w:ascii="Simplified Arabic" w:hAnsi="Simplified Arabic"/>
          <w:sz w:val="20"/>
          <w:szCs w:val="20"/>
        </w:rPr>
        <w:footnoteRef/>
      </w:r>
      <w:r>
        <w:rPr>
          <w:rFonts w:hint="cs"/>
          <w:rtl/>
        </w:rPr>
        <w:t xml:space="preserve"> </w:t>
      </w:r>
      <w:smartTag w:uri="urn:schemas-microsoft-com:office:smarttags" w:element="stockticker">
        <w:r w:rsidRPr="00FC49AD">
          <w:rPr>
            <w:rFonts w:eastAsia="Times New Roman" w:cs="Times New Roman"/>
            <w:lang w:eastAsia="en-US"/>
          </w:rPr>
          <w:t>CBD</w:t>
        </w:r>
      </w:smartTag>
      <w:r w:rsidRPr="00FC49AD">
        <w:rPr>
          <w:rFonts w:eastAsia="Times New Roman" w:cs="Times New Roman"/>
          <w:lang w:eastAsia="en-US"/>
        </w:rPr>
        <w:t>/</w:t>
      </w:r>
      <w:smartTag w:uri="urn:schemas-microsoft-com:office:smarttags" w:element="stockticker">
        <w:r w:rsidRPr="00FC49AD">
          <w:rPr>
            <w:rFonts w:eastAsia="Times New Roman" w:cs="Times New Roman"/>
            <w:lang w:eastAsia="en-US"/>
          </w:rPr>
          <w:t>COP</w:t>
        </w:r>
      </w:smartTag>
      <w:r w:rsidRPr="00FC49AD">
        <w:rPr>
          <w:rFonts w:eastAsia="Times New Roman" w:cs="Times New Roman"/>
          <w:lang w:eastAsia="en-US"/>
        </w:rPr>
        <w:t>/14/10</w:t>
      </w:r>
      <w:r>
        <w:rPr>
          <w:rFonts w:eastAsia="Times New Roman" w:cs="Times New Roman" w:hint="cs"/>
          <w:sz w:val="20"/>
          <w:rtl/>
          <w:lang w:eastAsia="en-US"/>
        </w:rPr>
        <w:t>.</w:t>
      </w:r>
    </w:p>
  </w:footnote>
  <w:footnote w:id="267">
    <w:p w:rsidR="000C66C6" w:rsidRPr="00834962" w:rsidRDefault="000C66C6" w:rsidP="001C1C1D">
      <w:pPr>
        <w:pStyle w:val="FootnoteText"/>
        <w:ind w:firstLine="14"/>
        <w:rPr>
          <w:rFonts w:ascii="Simplified Arabic" w:hAnsi="Simplified Arabic"/>
          <w:sz w:val="22"/>
          <w:szCs w:val="22"/>
        </w:rPr>
      </w:pPr>
      <w:r w:rsidRPr="005F7C38">
        <w:rPr>
          <w:rStyle w:val="FootnoteReference"/>
          <w:rFonts w:ascii="Simplified Arabic" w:hAnsi="Simplified Arabic"/>
          <w:sz w:val="20"/>
          <w:szCs w:val="20"/>
        </w:rPr>
        <w:footnoteRef/>
      </w:r>
      <w:r w:rsidRPr="00834962">
        <w:rPr>
          <w:rFonts w:ascii="Simplified Arabic" w:hAnsi="Simplified Arabic"/>
          <w:sz w:val="22"/>
          <w:szCs w:val="22"/>
          <w:rtl/>
        </w:rPr>
        <w:t xml:space="preserve"> </w:t>
      </w:r>
      <w:r w:rsidRPr="00E719E5">
        <w:rPr>
          <w:lang w:val="en-CA"/>
        </w:rPr>
        <w:t>CBD/COP/14/6</w:t>
      </w:r>
      <w:r w:rsidRPr="00E719E5">
        <w:rPr>
          <w:rtl/>
          <w:lang w:val="en-CA"/>
        </w:rPr>
        <w:t>.</w:t>
      </w:r>
    </w:p>
  </w:footnote>
  <w:footnote w:id="268">
    <w:p w:rsidR="000C66C6" w:rsidRPr="00834962" w:rsidRDefault="000C66C6" w:rsidP="001C1C1D">
      <w:pPr>
        <w:pStyle w:val="FootnoteText"/>
        <w:ind w:firstLine="14"/>
        <w:rPr>
          <w:rFonts w:ascii="Simplified Arabic" w:hAnsi="Simplified Arabic"/>
          <w:sz w:val="22"/>
          <w:szCs w:val="22"/>
        </w:rPr>
      </w:pPr>
      <w:r w:rsidRPr="005F7C38">
        <w:rPr>
          <w:rStyle w:val="FootnoteReference"/>
          <w:rFonts w:ascii="Simplified Arabic" w:hAnsi="Simplified Arabic"/>
          <w:sz w:val="20"/>
          <w:szCs w:val="20"/>
        </w:rPr>
        <w:footnoteRef/>
      </w:r>
      <w:r w:rsidRPr="00834962">
        <w:rPr>
          <w:rFonts w:ascii="Simplified Arabic" w:hAnsi="Simplified Arabic"/>
          <w:sz w:val="22"/>
          <w:szCs w:val="22"/>
          <w:rtl/>
        </w:rPr>
        <w:t xml:space="preserve"> </w:t>
      </w:r>
      <w:r w:rsidRPr="00E719E5">
        <w:rPr>
          <w:rtl/>
        </w:rPr>
        <w:t xml:space="preserve">المقرر </w:t>
      </w:r>
      <w:hyperlink r:id="rId147" w:history="1">
        <w:r w:rsidRPr="001A5237">
          <w:rPr>
            <w:rStyle w:val="Hyperlink"/>
            <w:rtl/>
          </w:rPr>
          <w:t>12/3</w:t>
        </w:r>
      </w:hyperlink>
      <w:r w:rsidRPr="00E719E5">
        <w:rPr>
          <w:rtl/>
        </w:rPr>
        <w:t>.</w:t>
      </w:r>
    </w:p>
  </w:footnote>
  <w:footnote w:id="269">
    <w:p w:rsidR="000C66C6" w:rsidRPr="008D15B6" w:rsidRDefault="000C66C6" w:rsidP="001C1C1D">
      <w:pPr>
        <w:pStyle w:val="FootnoteText"/>
        <w:ind w:firstLine="14"/>
        <w:rPr>
          <w:rFonts w:ascii="Simplified Arabic" w:hAnsi="Simplified Arabic"/>
          <w:rtl/>
          <w:lang w:val="en-CA"/>
        </w:rPr>
      </w:pPr>
      <w:r w:rsidRPr="005F7C38">
        <w:rPr>
          <w:rStyle w:val="FootnoteReference"/>
          <w:rFonts w:ascii="Simplified Arabic" w:hAnsi="Simplified Arabic"/>
          <w:sz w:val="20"/>
          <w:szCs w:val="20"/>
        </w:rPr>
        <w:footnoteRef/>
      </w:r>
      <w:r>
        <w:rPr>
          <w:rFonts w:hint="cs"/>
          <w:rtl/>
        </w:rPr>
        <w:t xml:space="preserve"> </w:t>
      </w:r>
      <w:r w:rsidRPr="008D15B6">
        <w:rPr>
          <w:rtl/>
        </w:rPr>
        <w:t>انظر المقرر 14/</w:t>
      </w:r>
      <w:r>
        <w:rPr>
          <w:rFonts w:hint="cs"/>
          <w:rtl/>
        </w:rPr>
        <w:t>2</w:t>
      </w:r>
      <w:r w:rsidRPr="008D15B6">
        <w:rPr>
          <w:rtl/>
        </w:rPr>
        <w:t xml:space="preserve"> بشأن سيناريوهات لرؤية التنوع البيولوجي</w:t>
      </w:r>
      <w:r>
        <w:rPr>
          <w:rtl/>
        </w:rPr>
        <w:t xml:space="preserve"> لعام 2050، الفقرة 2(و)</w:t>
      </w:r>
      <w:r w:rsidRPr="008D15B6">
        <w:rPr>
          <w:rFonts w:hint="cs"/>
          <w:rtl/>
          <w:lang w:val="en-CA"/>
        </w:rPr>
        <w:t>.</w:t>
      </w:r>
    </w:p>
  </w:footnote>
  <w:footnote w:id="270">
    <w:p w:rsidR="000C66C6" w:rsidRPr="00834962" w:rsidRDefault="000C66C6" w:rsidP="001C1C1D">
      <w:pPr>
        <w:pStyle w:val="FootnoteText"/>
        <w:ind w:firstLine="14"/>
        <w:rPr>
          <w:rFonts w:ascii="Simplified Arabic" w:hAnsi="Simplified Arabic"/>
          <w:sz w:val="22"/>
          <w:szCs w:val="22"/>
          <w:rtl/>
        </w:rPr>
      </w:pPr>
      <w:r w:rsidRPr="005F7C38">
        <w:rPr>
          <w:rStyle w:val="FootnoteReference"/>
          <w:rFonts w:ascii="Simplified Arabic" w:hAnsi="Simplified Arabic"/>
          <w:sz w:val="20"/>
          <w:szCs w:val="20"/>
        </w:rPr>
        <w:footnoteRef/>
      </w:r>
      <w:r w:rsidRPr="008D15B6">
        <w:rPr>
          <w:rFonts w:hint="cs"/>
          <w:rtl/>
        </w:rPr>
        <w:t xml:space="preserve"> </w:t>
      </w:r>
      <w:r w:rsidRPr="008D15B6">
        <w:rPr>
          <w:rtl/>
        </w:rPr>
        <w:t xml:space="preserve">انظر التقرير الثاني للفريق الرفيع المستوى المعني بالتقييم العالمي للموارد من أجل تنفيذ الخطة الاستراتيجية للتنوع البيولوجي 2011-2020 </w:t>
      </w:r>
      <w:r w:rsidRPr="00862EE6">
        <w:rPr>
          <w:i/>
          <w:iCs/>
          <w:rtl/>
        </w:rPr>
        <w:t>(</w:t>
      </w:r>
      <w:r w:rsidRPr="00862EE6">
        <w:rPr>
          <w:rFonts w:hint="cs"/>
          <w:i/>
          <w:iCs/>
          <w:rtl/>
        </w:rPr>
        <w:t>تدبير</w:t>
      </w:r>
      <w:r w:rsidRPr="00862EE6">
        <w:rPr>
          <w:i/>
          <w:iCs/>
          <w:rtl/>
        </w:rPr>
        <w:t xml:space="preserve"> الموارد لأهداف أيشي للتنوع البيولوجي، وتقييم المنافع</w:t>
      </w:r>
      <w:r w:rsidRPr="00862EE6">
        <w:rPr>
          <w:rFonts w:hint="cs"/>
          <w:i/>
          <w:iCs/>
          <w:rtl/>
        </w:rPr>
        <w:t>،</w:t>
      </w:r>
      <w:r w:rsidRPr="00862EE6">
        <w:rPr>
          <w:i/>
          <w:iCs/>
          <w:rtl/>
        </w:rPr>
        <w:t xml:space="preserve"> والاستثمارات و</w:t>
      </w:r>
      <w:r w:rsidRPr="00862EE6">
        <w:rPr>
          <w:rFonts w:hint="cs"/>
          <w:i/>
          <w:iCs/>
          <w:rtl/>
        </w:rPr>
        <w:t>ال</w:t>
      </w:r>
      <w:r w:rsidRPr="00862EE6">
        <w:rPr>
          <w:i/>
          <w:iCs/>
          <w:rtl/>
        </w:rPr>
        <w:t xml:space="preserve">احتياجات </w:t>
      </w:r>
      <w:r w:rsidRPr="00862EE6">
        <w:rPr>
          <w:rFonts w:hint="cs"/>
          <w:i/>
          <w:iCs/>
          <w:rtl/>
        </w:rPr>
        <w:t xml:space="preserve">من </w:t>
      </w:r>
      <w:r w:rsidRPr="00862EE6">
        <w:rPr>
          <w:i/>
          <w:iCs/>
          <w:rtl/>
        </w:rPr>
        <w:t>الموارد من أجل تنفيذ الخطة الاستراتيجية للتنوع البيولوجي 2011</w:t>
      </w:r>
      <w:r w:rsidRPr="00862EE6">
        <w:rPr>
          <w:rFonts w:hint="cs"/>
          <w:i/>
          <w:iCs/>
          <w:rtl/>
        </w:rPr>
        <w:t>-</w:t>
      </w:r>
      <w:r w:rsidRPr="00862EE6">
        <w:rPr>
          <w:i/>
          <w:iCs/>
          <w:rtl/>
        </w:rPr>
        <w:t>2020)</w:t>
      </w:r>
      <w:r w:rsidRPr="008D15B6">
        <w:rPr>
          <w:rtl/>
        </w:rPr>
        <w:t xml:space="preserve">؛ </w:t>
      </w:r>
      <w:r w:rsidRPr="008D15B6">
        <w:rPr>
          <w:rFonts w:hint="cs"/>
          <w:rtl/>
        </w:rPr>
        <w:t>و</w:t>
      </w:r>
      <w:r w:rsidRPr="008D15B6">
        <w:rPr>
          <w:rtl/>
        </w:rPr>
        <w:t>تقارير المبادرة العالمية بشأن اقتصاديات النظم الإيكولوجية والتنوع البيولوجي</w:t>
      </w:r>
      <w:r>
        <w:rPr>
          <w:rFonts w:hint="cs"/>
          <w:rtl/>
        </w:rPr>
        <w:t xml:space="preserve"> </w:t>
      </w:r>
      <w:r>
        <w:t>(TEEB)</w:t>
      </w:r>
      <w:r w:rsidRPr="008D15B6">
        <w:rPr>
          <w:rtl/>
        </w:rPr>
        <w:t xml:space="preserve"> والتقييمات ذات الصلة للمنبر الحكومي الدولي للعلوم والسياسات في مجال التنوع البيولوجي وخدمات النظم الإيكولوجية</w:t>
      </w:r>
      <w:r w:rsidRPr="008D15B6">
        <w:rPr>
          <w:rFonts w:hint="cs"/>
          <w:rtl/>
        </w:rPr>
        <w:t>.</w:t>
      </w:r>
    </w:p>
  </w:footnote>
  <w:footnote w:id="271">
    <w:p w:rsidR="000C66C6" w:rsidRPr="001C1C1D" w:rsidRDefault="000C66C6" w:rsidP="001C1C1D">
      <w:pPr>
        <w:pStyle w:val="FootnoteText"/>
      </w:pPr>
      <w:r w:rsidRPr="005F7C38">
        <w:rPr>
          <w:rStyle w:val="FootnoteReference"/>
          <w:rFonts w:ascii="Simplified Arabic" w:hAnsi="Simplified Arabic"/>
          <w:sz w:val="20"/>
          <w:szCs w:val="20"/>
        </w:rPr>
        <w:footnoteRef/>
      </w:r>
      <w:r>
        <w:rPr>
          <w:rtl/>
        </w:rPr>
        <w:t xml:space="preserve"> </w:t>
      </w:r>
      <w:r w:rsidRPr="00AA0E05">
        <w:rPr>
          <w:rFonts w:eastAsia="Times New Roman" w:cs="Times New Roman"/>
          <w:szCs w:val="18"/>
          <w:lang w:val="en-GB" w:eastAsia="en-US"/>
        </w:rPr>
        <w:t>CBD</w:t>
      </w:r>
      <w:r w:rsidRPr="001C1C1D">
        <w:rPr>
          <w:rFonts w:eastAsia="Times New Roman"/>
          <w:lang w:val="en-GB" w:eastAsia="en-US"/>
        </w:rPr>
        <w:t>/COP/14/7</w:t>
      </w:r>
      <w:r w:rsidRPr="001C1C1D">
        <w:rPr>
          <w:rtl/>
        </w:rPr>
        <w:t>.</w:t>
      </w:r>
    </w:p>
  </w:footnote>
  <w:footnote w:id="272">
    <w:p w:rsidR="000C66C6" w:rsidRPr="001C1C1D" w:rsidRDefault="000C66C6" w:rsidP="001C1C1D">
      <w:pPr>
        <w:pStyle w:val="FootnoteText"/>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r w:rsidRPr="001C1C1D">
        <w:rPr>
          <w:rFonts w:eastAsia="Times New Roman"/>
          <w:kern w:val="18"/>
          <w:lang w:val="en-GB" w:eastAsia="en-US"/>
        </w:rPr>
        <w:t>CBD/COP/14/8</w:t>
      </w:r>
      <w:r w:rsidRPr="001C1C1D">
        <w:rPr>
          <w:rtl/>
        </w:rPr>
        <w:t>.</w:t>
      </w:r>
    </w:p>
  </w:footnote>
  <w:footnote w:id="273">
    <w:p w:rsidR="000C66C6" w:rsidRPr="001C1C1D" w:rsidRDefault="000C66C6" w:rsidP="001C1C1D">
      <w:pPr>
        <w:pStyle w:val="FootnoteText"/>
      </w:pPr>
      <w:r w:rsidRPr="005F7C38">
        <w:rPr>
          <w:rStyle w:val="FootnoteReference"/>
          <w:rFonts w:ascii="Simplified Arabic" w:hAnsi="Simplified Arabic"/>
          <w:sz w:val="20"/>
          <w:szCs w:val="20"/>
        </w:rPr>
        <w:footnoteRef/>
      </w:r>
      <w:r w:rsidRPr="001C1C1D">
        <w:rPr>
          <w:rtl/>
        </w:rPr>
        <w:t xml:space="preserve"> انظر المقرر 13/21.</w:t>
      </w:r>
    </w:p>
  </w:footnote>
  <w:footnote w:id="274">
    <w:p w:rsidR="000C66C6" w:rsidRPr="009A4EA5" w:rsidRDefault="000C66C6" w:rsidP="001C1C1D">
      <w:pPr>
        <w:pStyle w:val="FootnoteText"/>
        <w:rPr>
          <w:rFonts w:ascii="Simplified Arabic" w:hAnsi="Simplified Arabic"/>
          <w:rtl/>
          <w:lang w:val="fr-CH"/>
        </w:rPr>
      </w:pPr>
      <w:r w:rsidRPr="005F7C38">
        <w:rPr>
          <w:rStyle w:val="FootnoteReference"/>
          <w:rFonts w:ascii="Simplified Arabic" w:hAnsi="Simplified Arabic"/>
          <w:sz w:val="20"/>
          <w:szCs w:val="20"/>
        </w:rPr>
        <w:footnoteRef/>
      </w:r>
      <w:r w:rsidRPr="009A4EA5">
        <w:rPr>
          <w:rFonts w:ascii="Simplified Arabic" w:hAnsi="Simplified Arabic"/>
          <w:rtl/>
        </w:rPr>
        <w:t xml:space="preserve"> </w:t>
      </w:r>
      <w:r w:rsidRPr="00FD7330">
        <w:rPr>
          <w:rFonts w:eastAsia="Times New Roman" w:cs="Times New Roman"/>
          <w:kern w:val="18"/>
          <w:szCs w:val="18"/>
          <w:lang w:val="en-GB" w:eastAsia="en-US"/>
        </w:rPr>
        <w:t>CBD/COP/14/INF/10</w:t>
      </w:r>
      <w:r w:rsidRPr="00B30C63">
        <w:rPr>
          <w:snapToGrid w:val="0"/>
          <w:kern w:val="18"/>
          <w:rtl/>
        </w:rPr>
        <w:t>.</w:t>
      </w:r>
    </w:p>
  </w:footnote>
  <w:footnote w:id="275">
    <w:p w:rsidR="000C66C6" w:rsidRPr="006E0614" w:rsidRDefault="000C66C6" w:rsidP="001C1C1D">
      <w:pPr>
        <w:pStyle w:val="FootnoteText"/>
        <w:rPr>
          <w:rFonts w:ascii="Simplified Arabic" w:hAnsi="Simplified Arabic"/>
          <w:rtl/>
        </w:rPr>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r w:rsidRPr="002142E6">
        <w:rPr>
          <w:rFonts w:ascii="Simplified Arabic" w:hAnsi="Simplified Arabic"/>
          <w:sz w:val="20"/>
          <w:rtl/>
        </w:rPr>
        <w:t>انظر قرار الجمعية العامة 70/1 المؤرخ 25 سبتمبر/أيلول 2015.</w:t>
      </w:r>
    </w:p>
  </w:footnote>
  <w:footnote w:id="276">
    <w:p w:rsidR="000C66C6" w:rsidRPr="009A4EA5" w:rsidRDefault="000C66C6" w:rsidP="001C1C1D">
      <w:pPr>
        <w:pStyle w:val="FootnoteText"/>
        <w:rPr>
          <w:rFonts w:ascii="Simplified Arabic" w:hAnsi="Simplified Arabic"/>
          <w:rtl/>
        </w:rPr>
      </w:pPr>
      <w:r w:rsidRPr="005F7C38">
        <w:rPr>
          <w:rStyle w:val="FootnoteReference"/>
          <w:rFonts w:ascii="Simplified Arabic" w:hAnsi="Simplified Arabic"/>
          <w:sz w:val="20"/>
          <w:szCs w:val="20"/>
        </w:rPr>
        <w:footnoteRef/>
      </w:r>
      <w:r w:rsidRPr="009A4EA5">
        <w:rPr>
          <w:rFonts w:ascii="Simplified Arabic" w:hAnsi="Simplified Arabic"/>
          <w:rtl/>
        </w:rPr>
        <w:t xml:space="preserve"> </w:t>
      </w:r>
      <w:r w:rsidRPr="00333ADC">
        <w:rPr>
          <w:rFonts w:cs="Times New Roman"/>
          <w:snapToGrid w:val="0"/>
          <w:kern w:val="18"/>
          <w:szCs w:val="18"/>
        </w:rPr>
        <w:t>CBD/</w:t>
      </w:r>
      <w:r>
        <w:rPr>
          <w:rFonts w:cs="Times New Roman"/>
          <w:snapToGrid w:val="0"/>
          <w:kern w:val="18"/>
          <w:szCs w:val="18"/>
        </w:rPr>
        <w:t>COP/14/INF/23</w:t>
      </w:r>
      <w:r w:rsidRPr="001E65DE">
        <w:rPr>
          <w:snapToGrid w:val="0"/>
          <w:kern w:val="18"/>
          <w:rtl/>
        </w:rPr>
        <w:t>.</w:t>
      </w:r>
    </w:p>
  </w:footnote>
  <w:footnote w:id="277">
    <w:p w:rsidR="000C66C6" w:rsidRPr="00333ADC" w:rsidRDefault="000C66C6" w:rsidP="001C1C1D">
      <w:pPr>
        <w:pStyle w:val="FootnoteText"/>
        <w:rPr>
          <w:rFonts w:ascii="Simplified Arabic" w:hAnsi="Simplified Arabic"/>
        </w:rPr>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r w:rsidRPr="00333ADC">
        <w:rPr>
          <w:rFonts w:eastAsia="Times New Roman" w:cs="Times New Roman"/>
          <w:bCs/>
          <w:color w:val="333333"/>
          <w:kern w:val="18"/>
          <w:szCs w:val="18"/>
          <w:lang w:val="en-GB" w:eastAsia="en-US"/>
        </w:rPr>
        <w:t>CBD/COP/14/INF/12/Add.1</w:t>
      </w:r>
      <w:r>
        <w:rPr>
          <w:rFonts w:ascii="Simplified Arabic" w:hAnsi="Simplified Arabic" w:hint="cs"/>
          <w:rtl/>
        </w:rPr>
        <w:t>.</w:t>
      </w:r>
    </w:p>
  </w:footnote>
  <w:footnote w:id="278">
    <w:p w:rsidR="000C66C6" w:rsidRPr="00333ADC" w:rsidRDefault="000C66C6" w:rsidP="001C1C1D">
      <w:pPr>
        <w:pStyle w:val="FootnoteText"/>
        <w:rPr>
          <w:rFonts w:ascii="Simplified Arabic" w:hAnsi="Simplified Arabic"/>
        </w:rPr>
      </w:pPr>
      <w:r w:rsidRPr="005F7C38">
        <w:rPr>
          <w:rStyle w:val="FootnoteReference"/>
          <w:rFonts w:ascii="Simplified Arabic" w:hAnsi="Simplified Arabic"/>
          <w:sz w:val="20"/>
          <w:szCs w:val="20"/>
        </w:rPr>
        <w:footnoteRef/>
      </w:r>
      <w:r>
        <w:rPr>
          <w:rtl/>
        </w:rPr>
        <w:t xml:space="preserve"> </w:t>
      </w:r>
      <w:r w:rsidRPr="00333ADC">
        <w:rPr>
          <w:rFonts w:eastAsia="Times New Roman" w:cs="Times New Roman"/>
          <w:kern w:val="18"/>
          <w:szCs w:val="18"/>
          <w:lang w:val="en-GB" w:eastAsia="en-US"/>
        </w:rPr>
        <w:t>https://www.biodiversityinformatics.org/en/shared-ambitions/</w:t>
      </w:r>
      <w:r w:rsidRPr="00333ADC">
        <w:rPr>
          <w:rFonts w:cs="Times New Roman"/>
          <w:szCs w:val="18"/>
          <w:rtl/>
        </w:rPr>
        <w:t>.</w:t>
      </w:r>
    </w:p>
  </w:footnote>
  <w:footnote w:id="279">
    <w:p w:rsidR="000C66C6" w:rsidRDefault="000C66C6" w:rsidP="001C1C1D">
      <w:pPr>
        <w:pStyle w:val="FootnoteText"/>
      </w:pPr>
      <w:r w:rsidRPr="005F7C38">
        <w:rPr>
          <w:rStyle w:val="FootnoteReference"/>
          <w:rFonts w:ascii="Simplified Arabic" w:hAnsi="Simplified Arabic"/>
          <w:sz w:val="20"/>
          <w:szCs w:val="20"/>
        </w:rPr>
        <w:footnoteRef/>
      </w:r>
      <w:r>
        <w:rPr>
          <w:rtl/>
        </w:rPr>
        <w:t xml:space="preserve"> </w:t>
      </w:r>
      <w:r w:rsidRPr="00EF2517">
        <w:rPr>
          <w:rFonts w:ascii="Simplified Arabic" w:hAnsi="Simplified Arabic"/>
          <w:sz w:val="20"/>
          <w:rtl/>
        </w:rPr>
        <w:t xml:space="preserve">انظر </w:t>
      </w:r>
      <w:r w:rsidRPr="00EF2517">
        <w:rPr>
          <w:rFonts w:cs="Times New Roman"/>
          <w:kern w:val="18"/>
          <w:szCs w:val="18"/>
        </w:rPr>
        <w:t>CBD/COP14/INF/23</w:t>
      </w:r>
      <w:r w:rsidRPr="00EF2517">
        <w:rPr>
          <w:rFonts w:ascii="Simplified Arabic" w:hAnsi="Simplified Arabic"/>
          <w:sz w:val="20"/>
          <w:rtl/>
        </w:rPr>
        <w:t>.</w:t>
      </w:r>
    </w:p>
  </w:footnote>
  <w:footnote w:id="280">
    <w:p w:rsidR="000C66C6" w:rsidRPr="000D7C87" w:rsidRDefault="000C66C6" w:rsidP="001C1C1D">
      <w:pPr>
        <w:pStyle w:val="FootnoteText"/>
        <w:rPr>
          <w:rFonts w:ascii="Simplified Arabic" w:hAnsi="Simplified Arabic"/>
        </w:rPr>
      </w:pPr>
      <w:r w:rsidRPr="005F7C38">
        <w:rPr>
          <w:rStyle w:val="FootnoteReference"/>
          <w:rFonts w:ascii="Simplified Arabic" w:hAnsi="Simplified Arabic"/>
          <w:sz w:val="20"/>
          <w:szCs w:val="20"/>
        </w:rPr>
        <w:footnoteRef/>
      </w:r>
      <w:r w:rsidRPr="00B14A96">
        <w:rPr>
          <w:rtl/>
        </w:rPr>
        <w:t xml:space="preserve"> </w:t>
      </w:r>
      <w:r w:rsidRPr="000D7C87">
        <w:rPr>
          <w:rFonts w:ascii="Simplified Arabic" w:hAnsi="Simplified Arabic"/>
          <w:rtl/>
        </w:rPr>
        <w:t xml:space="preserve">على النحو المشار إليه في الفقرة </w:t>
      </w:r>
      <w:r w:rsidRPr="000D7C87">
        <w:rPr>
          <w:rFonts w:ascii="Simplified Arabic" w:hAnsi="Simplified Arabic"/>
          <w:szCs w:val="18"/>
          <w:rtl/>
        </w:rPr>
        <w:t>12</w:t>
      </w:r>
      <w:r w:rsidRPr="000D7C87">
        <w:rPr>
          <w:rFonts w:ascii="Simplified Arabic" w:hAnsi="Simplified Arabic"/>
          <w:rtl/>
        </w:rPr>
        <w:t xml:space="preserve"> من الوثيقة </w:t>
      </w:r>
      <w:r w:rsidRPr="00A00210">
        <w:rPr>
          <w:rFonts w:cs="Times New Roman"/>
          <w:snapToGrid w:val="0"/>
          <w:kern w:val="18"/>
          <w:szCs w:val="18"/>
        </w:rPr>
        <w:t>CBD/SBI/2/2/Add/1</w:t>
      </w:r>
      <w:r w:rsidRPr="000D7C87">
        <w:rPr>
          <w:rFonts w:ascii="Simplified Arabic" w:hAnsi="Simplified Arabic"/>
          <w:snapToGrid w:val="0"/>
          <w:kern w:val="18"/>
          <w:rtl/>
        </w:rPr>
        <w:t xml:space="preserve">، تتضمن </w:t>
      </w:r>
      <w:r w:rsidRPr="000D7C87">
        <w:rPr>
          <w:rFonts w:ascii="Simplified Arabic" w:hAnsi="Simplified Arabic"/>
          <w:snapToGrid w:val="0"/>
          <w:kern w:val="18"/>
          <w:szCs w:val="18"/>
          <w:rtl/>
        </w:rPr>
        <w:t>18</w:t>
      </w:r>
      <w:r w:rsidRPr="000D7C87">
        <w:rPr>
          <w:rFonts w:ascii="Simplified Arabic" w:hAnsi="Simplified Arabic"/>
          <w:snapToGrid w:val="0"/>
          <w:kern w:val="18"/>
          <w:rtl/>
        </w:rPr>
        <w:t xml:space="preserve"> من بين </w:t>
      </w:r>
      <w:r w:rsidRPr="000D7C87">
        <w:rPr>
          <w:rFonts w:ascii="Simplified Arabic" w:hAnsi="Simplified Arabic"/>
          <w:snapToGrid w:val="0"/>
          <w:kern w:val="18"/>
          <w:szCs w:val="18"/>
          <w:rtl/>
        </w:rPr>
        <w:t>154</w:t>
      </w:r>
      <w:r w:rsidRPr="000D7C87">
        <w:rPr>
          <w:rFonts w:ascii="Simplified Arabic" w:hAnsi="Simplified Arabic"/>
          <w:snapToGrid w:val="0"/>
          <w:kern w:val="18"/>
          <w:rtl/>
        </w:rPr>
        <w:t xml:space="preserve"> من الاستراتيجيات وخطط العمل الوطنية المنقحة للتنوع البيولوجي المقدمة إلى الأمانة خطة وطنية لتنمية القدرات.</w:t>
      </w:r>
    </w:p>
  </w:footnote>
  <w:footnote w:id="281">
    <w:p w:rsidR="000C66C6" w:rsidRPr="000D7C87" w:rsidRDefault="000C66C6" w:rsidP="001C1C1D">
      <w:pPr>
        <w:pStyle w:val="FootnoteText"/>
        <w:rPr>
          <w:rFonts w:ascii="Simplified Arabic" w:hAnsi="Simplified Arabic"/>
        </w:rPr>
      </w:pPr>
      <w:r w:rsidRPr="005F7C38">
        <w:rPr>
          <w:rStyle w:val="FootnoteReference"/>
          <w:rFonts w:ascii="Simplified Arabic" w:hAnsi="Simplified Arabic"/>
          <w:sz w:val="20"/>
          <w:szCs w:val="20"/>
        </w:rPr>
        <w:footnoteRef/>
      </w:r>
      <w:r w:rsidRPr="00B14A96">
        <w:rPr>
          <w:rtl/>
        </w:rPr>
        <w:t xml:space="preserve"> </w:t>
      </w:r>
      <w:r w:rsidRPr="000D7C87">
        <w:rPr>
          <w:rFonts w:ascii="Simplified Arabic" w:hAnsi="Simplified Arabic"/>
          <w:rtl/>
        </w:rPr>
        <w:t xml:space="preserve">بما في ذلك الدراسة الاستقصائية بشأن تنمية القدرات الوطنية ذات الصلة بتنفيذ الاتفاقيات المتعلقة بالتنوع البيولوجي التي قام بها الاتحاد الدولي لحفظ الطبيعة بالنيابة عن </w:t>
      </w:r>
      <w:r w:rsidRPr="000D7C87">
        <w:rPr>
          <w:rFonts w:ascii="Simplified Arabic" w:hAnsi="Simplified Arabic"/>
          <w:rtl/>
          <w:lang w:val="fr-CH"/>
        </w:rPr>
        <w:t xml:space="preserve">برنامج الأمم المتحدة للبيئة وتقرير برنامج الأمم المتحدة الإنمائي القائم على تحليل أكثر من </w:t>
      </w:r>
      <w:r w:rsidRPr="000D7C87">
        <w:rPr>
          <w:rFonts w:cs="Times New Roman"/>
          <w:szCs w:val="18"/>
          <w:rtl/>
          <w:lang w:val="fr-CH"/>
        </w:rPr>
        <w:t>140</w:t>
      </w:r>
      <w:r w:rsidRPr="000D7C87">
        <w:rPr>
          <w:rFonts w:ascii="Simplified Arabic" w:hAnsi="Simplified Arabic"/>
          <w:rtl/>
          <w:lang w:val="fr-CH"/>
        </w:rPr>
        <w:t xml:space="preserve"> استراتيجية وخطة عمل وطنية للتنوع البيولوجي والتقييمات الوطنية التي أجراها المنبر الحكومي الدولي للعلوم والسياسات في مجال التنوع البيولوجي وخدمات النُظم الإيكولوجية.</w:t>
      </w:r>
    </w:p>
  </w:footnote>
  <w:footnote w:id="282">
    <w:p w:rsidR="000C66C6" w:rsidRPr="00ED74F6" w:rsidRDefault="000C66C6" w:rsidP="00E02C84">
      <w:pPr>
        <w:pStyle w:val="FootnoteText"/>
        <w:rPr>
          <w:rtl/>
        </w:rPr>
      </w:pPr>
      <w:r w:rsidRPr="005F7C38">
        <w:rPr>
          <w:rStyle w:val="FootnoteReference"/>
          <w:rFonts w:ascii="Simplified Arabic" w:hAnsi="Simplified Arabic"/>
          <w:sz w:val="20"/>
          <w:szCs w:val="20"/>
        </w:rPr>
        <w:footnoteRef/>
      </w:r>
      <w:r w:rsidRPr="00ED74F6">
        <w:rPr>
          <w:rFonts w:hint="cs"/>
          <w:rtl/>
        </w:rPr>
        <w:t xml:space="preserve"> </w:t>
      </w:r>
      <w:r w:rsidRPr="0035163D">
        <w:rPr>
          <w:rFonts w:hint="cs"/>
          <w:rtl/>
        </w:rPr>
        <w:t>انظر الوثيقتين</w:t>
      </w:r>
      <w:r w:rsidRPr="0035163D">
        <w:rPr>
          <w:kern w:val="18"/>
        </w:rPr>
        <w:t xml:space="preserve">CBD/COP/14/INF/4 </w:t>
      </w:r>
      <w:r w:rsidRPr="0035163D">
        <w:rPr>
          <w:rFonts w:hint="cs"/>
          <w:rtl/>
        </w:rPr>
        <w:t xml:space="preserve"> و </w:t>
      </w:r>
      <w:r w:rsidRPr="0035163D">
        <w:rPr>
          <w:kern w:val="18"/>
        </w:rPr>
        <w:t>CBD/SBI/2/9</w:t>
      </w:r>
      <w:r w:rsidRPr="0035163D">
        <w:rPr>
          <w:rFonts w:hint="cs"/>
          <w:kern w:val="18"/>
          <w:rtl/>
        </w:rPr>
        <w:t>.</w:t>
      </w:r>
    </w:p>
  </w:footnote>
  <w:footnote w:id="283">
    <w:p w:rsidR="000C66C6" w:rsidRPr="00ED74F6" w:rsidRDefault="000C66C6" w:rsidP="00E02C84">
      <w:pPr>
        <w:pStyle w:val="FootnoteText"/>
        <w:rPr>
          <w:rFonts w:ascii="Simplified Arabic" w:hAnsi="Simplified Arabic"/>
          <w:sz w:val="20"/>
        </w:rPr>
      </w:pPr>
      <w:r w:rsidRPr="005F7C38">
        <w:rPr>
          <w:rStyle w:val="FootnoteReference"/>
          <w:rFonts w:ascii="Simplified Arabic" w:hAnsi="Simplified Arabic"/>
          <w:sz w:val="20"/>
          <w:szCs w:val="20"/>
        </w:rPr>
        <w:footnoteRef/>
      </w:r>
      <w:r w:rsidRPr="00ED74F6">
        <w:rPr>
          <w:rFonts w:ascii="Simplified Arabic" w:hAnsi="Simplified Arabic"/>
          <w:sz w:val="20"/>
          <w:rtl/>
        </w:rPr>
        <w:t xml:space="preserve"> المقرر 10/2 المرفق</w:t>
      </w:r>
    </w:p>
  </w:footnote>
  <w:footnote w:id="284">
    <w:p w:rsidR="000C66C6" w:rsidRPr="00ED74F6" w:rsidRDefault="000C66C6" w:rsidP="00E02C84">
      <w:pPr>
        <w:pStyle w:val="FootnoteText"/>
        <w:rPr>
          <w:rFonts w:ascii="Simplified Arabic" w:hAnsi="Simplified Arabic"/>
          <w:sz w:val="20"/>
        </w:rPr>
      </w:pPr>
      <w:r w:rsidRPr="00ED74F6">
        <w:rPr>
          <w:rStyle w:val="FootnoteReference"/>
          <w:rFonts w:ascii="Simplified Arabic" w:hAnsi="Simplified Arabic"/>
          <w:sz w:val="20"/>
          <w:szCs w:val="20"/>
        </w:rPr>
        <w:footnoteRef/>
      </w:r>
      <w:r w:rsidRPr="00ED74F6">
        <w:rPr>
          <w:rFonts w:ascii="Simplified Arabic" w:hAnsi="Simplified Arabic"/>
          <w:sz w:val="20"/>
          <w:rtl/>
        </w:rPr>
        <w:t xml:space="preserve"> انظر قرار الجمعية العامة للأمم المتحدة 70/1 المؤرخ 25 سبتمبر/أيلول 2015</w:t>
      </w:r>
    </w:p>
  </w:footnote>
  <w:footnote w:id="285">
    <w:p w:rsidR="000C66C6" w:rsidRDefault="000C66C6" w:rsidP="00E02C84">
      <w:pPr>
        <w:pStyle w:val="FootnoteText"/>
        <w:rPr>
          <w:rtl/>
        </w:rPr>
      </w:pPr>
      <w:r w:rsidRPr="005F7C38">
        <w:rPr>
          <w:rStyle w:val="FootnoteReference"/>
          <w:rFonts w:ascii="Simplified Arabic" w:hAnsi="Simplified Arabic"/>
          <w:sz w:val="20"/>
          <w:szCs w:val="20"/>
        </w:rPr>
        <w:footnoteRef/>
      </w:r>
      <w:r>
        <w:rPr>
          <w:rFonts w:ascii="Simplified Arabic" w:eastAsia="Times New Roman" w:hAnsi="Simplified Arabic" w:hint="cs"/>
          <w:rtl/>
          <w:lang w:val="en-CA"/>
        </w:rPr>
        <w:t xml:space="preserve"> </w:t>
      </w:r>
      <w:r w:rsidRPr="00BA57DA">
        <w:rPr>
          <w:rFonts w:ascii="Simplified Arabic" w:eastAsia="Times New Roman" w:hAnsi="Simplified Arabic"/>
          <w:sz w:val="20"/>
          <w:rtl/>
          <w:lang w:val="en-CA"/>
        </w:rPr>
        <w:t>قرار الجمعية العامة 70/1 المؤرخ 25 سبتمبر/أيلول 2015.</w:t>
      </w:r>
    </w:p>
  </w:footnote>
  <w:footnote w:id="286">
    <w:p w:rsidR="000C66C6" w:rsidRDefault="000C66C6" w:rsidP="00E02C84">
      <w:pPr>
        <w:pStyle w:val="FootnoteText"/>
        <w:rPr>
          <w:rtl/>
        </w:rPr>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hyperlink r:id="rId148" w:history="1">
        <w:r w:rsidRPr="00431C55">
          <w:rPr>
            <w:rFonts w:eastAsia="YouYuan" w:cs="Times New Roman"/>
            <w:color w:val="0000FF"/>
            <w:kern w:val="2"/>
            <w:u w:val="single"/>
            <w:lang w:eastAsia="en-US"/>
          </w:rPr>
          <w:t>CBD/SBSTTA/21/7</w:t>
        </w:r>
        <w:r w:rsidRPr="000C66C6">
          <w:rPr>
            <w:rFonts w:eastAsia="YouYuan" w:cs="Times New Roman"/>
            <w:color w:val="0000FF"/>
            <w:kern w:val="2"/>
            <w:rtl/>
            <w:lang w:eastAsia="en-US"/>
          </w:rPr>
          <w:t>.</w:t>
        </w:r>
      </w:hyperlink>
    </w:p>
  </w:footnote>
  <w:footnote w:id="287">
    <w:p w:rsidR="000C66C6" w:rsidRDefault="000C66C6" w:rsidP="00E02C84">
      <w:pPr>
        <w:pStyle w:val="FootnoteText"/>
        <w:rPr>
          <w:rtl/>
        </w:rPr>
      </w:pPr>
      <w:r w:rsidRPr="005F7C38">
        <w:rPr>
          <w:rStyle w:val="FootnoteReference"/>
          <w:rFonts w:ascii="Simplified Arabic" w:hAnsi="Simplified Arabic"/>
          <w:sz w:val="20"/>
          <w:szCs w:val="20"/>
        </w:rPr>
        <w:footnoteRef/>
      </w:r>
      <w:r>
        <w:rPr>
          <w:rtl/>
        </w:rPr>
        <w:t xml:space="preserve"> </w:t>
      </w:r>
      <w:r w:rsidRPr="00952310">
        <w:rPr>
          <w:rFonts w:ascii="Simplified Arabic" w:hAnsi="Simplified Arabic"/>
          <w:rtl/>
        </w:rPr>
        <w:t>المقرّر 10/2، المرفق</w:t>
      </w:r>
      <w:r>
        <w:rPr>
          <w:rFonts w:hint="cs"/>
          <w:rtl/>
        </w:rPr>
        <w:t>.</w:t>
      </w:r>
    </w:p>
  </w:footnote>
  <w:footnote w:id="288">
    <w:p w:rsidR="000C66C6" w:rsidRDefault="000C66C6" w:rsidP="00E02C84">
      <w:pPr>
        <w:pStyle w:val="FootnoteText"/>
        <w:rPr>
          <w:rtl/>
        </w:rPr>
      </w:pPr>
      <w:r w:rsidRPr="005F7C38">
        <w:rPr>
          <w:rStyle w:val="FootnoteReference"/>
          <w:rFonts w:ascii="Simplified Arabic" w:hAnsi="Simplified Arabic"/>
          <w:sz w:val="20"/>
          <w:szCs w:val="20"/>
        </w:rPr>
        <w:footnoteRef/>
      </w:r>
      <w:r>
        <w:rPr>
          <w:rtl/>
        </w:rPr>
        <w:t xml:space="preserve"> </w:t>
      </w:r>
      <w:r w:rsidRPr="0024205B">
        <w:rPr>
          <w:rFonts w:hint="cs"/>
          <w:rtl/>
        </w:rPr>
        <w:t>على النحو المبيّن في</w:t>
      </w:r>
      <w:r w:rsidRPr="0024205B">
        <w:rPr>
          <w:rFonts w:hint="cs"/>
          <w:szCs w:val="24"/>
          <w:rtl/>
        </w:rPr>
        <w:t xml:space="preserve"> </w:t>
      </w:r>
      <w:r w:rsidRPr="0024205B">
        <w:rPr>
          <w:szCs w:val="24"/>
        </w:rPr>
        <w:t>UNEP/CBD/SBI/1/10/Add.3</w:t>
      </w:r>
      <w:r w:rsidRPr="0024205B">
        <w:rPr>
          <w:rFonts w:hint="cs"/>
          <w:b/>
          <w:bCs/>
          <w:szCs w:val="24"/>
          <w:rtl/>
        </w:rPr>
        <w:t xml:space="preserve"> </w:t>
      </w:r>
      <w:r w:rsidRPr="0024205B">
        <w:rPr>
          <w:rFonts w:hint="cs"/>
          <w:rtl/>
        </w:rPr>
        <w:t>و</w:t>
      </w:r>
      <w:r w:rsidRPr="0024205B">
        <w:rPr>
          <w:szCs w:val="24"/>
        </w:rPr>
        <w:t>CBD/SBI/2/11</w:t>
      </w:r>
      <w:r w:rsidRPr="0024205B">
        <w:rPr>
          <w:szCs w:val="24"/>
          <w:rtl/>
        </w:rPr>
        <w:t>.</w:t>
      </w:r>
    </w:p>
  </w:footnote>
  <w:footnote w:id="289">
    <w:p w:rsidR="000C66C6" w:rsidRDefault="000C66C6" w:rsidP="00E02C84">
      <w:pPr>
        <w:pStyle w:val="FootnoteText"/>
      </w:pPr>
      <w:r w:rsidRPr="005F7C38">
        <w:rPr>
          <w:rStyle w:val="FootnoteReference"/>
          <w:rFonts w:ascii="Simplified Arabic" w:hAnsi="Simplified Arabic"/>
          <w:sz w:val="20"/>
          <w:szCs w:val="20"/>
        </w:rPr>
        <w:footnoteRef/>
      </w:r>
      <w:r>
        <w:rPr>
          <w:rtl/>
        </w:rPr>
        <w:t xml:space="preserve"> </w:t>
      </w:r>
      <w:r>
        <w:rPr>
          <w:rFonts w:hint="cs"/>
          <w:rtl/>
        </w:rPr>
        <w:t>المقرر 10/2 المرفق</w:t>
      </w:r>
    </w:p>
  </w:footnote>
  <w:footnote w:id="290">
    <w:p w:rsidR="000C66C6" w:rsidRPr="00453689" w:rsidRDefault="000C66C6" w:rsidP="00E02C84">
      <w:pPr>
        <w:pStyle w:val="FootnoteText"/>
        <w:kinsoku w:val="0"/>
        <w:overflowPunct w:val="0"/>
        <w:autoSpaceDE w:val="0"/>
        <w:autoSpaceDN w:val="0"/>
        <w:adjustRightInd w:val="0"/>
        <w:snapToGrid w:val="0"/>
        <w:rPr>
          <w:snapToGrid w:val="0"/>
          <w:kern w:val="18"/>
          <w:szCs w:val="18"/>
          <w:lang w:val="it-IT"/>
        </w:rPr>
      </w:pPr>
      <w:r w:rsidRPr="005F7C38">
        <w:rPr>
          <w:rStyle w:val="FootnoteReference"/>
          <w:rFonts w:ascii="Simplified Arabic" w:hAnsi="Simplified Arabic"/>
          <w:sz w:val="20"/>
          <w:szCs w:val="20"/>
        </w:rPr>
        <w:footnoteRef/>
      </w:r>
      <w:r>
        <w:rPr>
          <w:rtl/>
        </w:rPr>
        <w:t xml:space="preserve"> </w:t>
      </w:r>
      <w:r w:rsidRPr="003C72EE">
        <w:rPr>
          <w:rFonts w:ascii="Simplified Arabic" w:hAnsi="Simplified Arabic"/>
          <w:snapToGrid w:val="0"/>
          <w:kern w:val="18"/>
          <w:rtl/>
          <w:lang w:val="it-IT"/>
        </w:rPr>
        <w:t>ال</w:t>
      </w:r>
      <w:r>
        <w:rPr>
          <w:rFonts w:ascii="Simplified Arabic" w:hAnsi="Simplified Arabic" w:hint="cs"/>
          <w:snapToGrid w:val="0"/>
          <w:kern w:val="18"/>
          <w:rtl/>
          <w:lang w:val="it-IT"/>
        </w:rPr>
        <w:t>قرار</w:t>
      </w:r>
      <w:r w:rsidRPr="003C72EE">
        <w:rPr>
          <w:rFonts w:ascii="Simplified Arabic" w:hAnsi="Simplified Arabic"/>
          <w:snapToGrid w:val="0"/>
          <w:kern w:val="18"/>
          <w:rtl/>
          <w:lang w:val="it-IT"/>
        </w:rPr>
        <w:t xml:space="preserve"> 11-10 </w:t>
      </w:r>
      <w:r w:rsidRPr="00F2381E">
        <w:rPr>
          <w:rFonts w:cs="Times New Roman"/>
          <w:snapToGrid w:val="0"/>
          <w:kern w:val="18"/>
          <w:szCs w:val="18"/>
          <w:rtl/>
          <w:lang w:val="it-IT"/>
        </w:rPr>
        <w:t>(</w:t>
      </w:r>
      <w:r w:rsidRPr="00F2381E">
        <w:rPr>
          <w:rFonts w:cs="Times New Roman"/>
          <w:snapToGrid w:val="0"/>
          <w:kern w:val="18"/>
          <w:szCs w:val="18"/>
          <w:lang w:val="it-IT"/>
        </w:rPr>
        <w:t>Rev.COP12</w:t>
      </w:r>
      <w:r w:rsidRPr="00F2381E">
        <w:rPr>
          <w:rFonts w:cs="Times New Roman"/>
          <w:snapToGrid w:val="0"/>
          <w:kern w:val="18"/>
          <w:szCs w:val="18"/>
          <w:rtl/>
          <w:lang w:val="it-IT"/>
        </w:rPr>
        <w:t>)</w:t>
      </w:r>
      <w:r w:rsidRPr="00F2381E">
        <w:rPr>
          <w:rFonts w:cs="Times New Roman"/>
          <w:snapToGrid w:val="0"/>
          <w:kern w:val="18"/>
          <w:rtl/>
          <w:lang w:val="it-IT"/>
        </w:rPr>
        <w:t xml:space="preserve"> </w:t>
      </w:r>
      <w:r>
        <w:rPr>
          <w:rFonts w:ascii="Simplified Arabic" w:hAnsi="Simplified Arabic" w:hint="cs"/>
          <w:snapToGrid w:val="0"/>
          <w:kern w:val="18"/>
          <w:rtl/>
          <w:lang w:val="it-IT"/>
        </w:rPr>
        <w:t xml:space="preserve">الصادر عن </w:t>
      </w:r>
      <w:bookmarkStart w:id="186" w:name="_Hlk516701068"/>
      <w:r w:rsidRPr="003C72EE">
        <w:rPr>
          <w:rFonts w:ascii="Simplified Arabic" w:hAnsi="Simplified Arabic"/>
          <w:snapToGrid w:val="0"/>
          <w:kern w:val="18"/>
          <w:rtl/>
          <w:lang w:val="it-IT"/>
        </w:rPr>
        <w:t>مؤتمر الأطراف في معاهدة المحافظة على الأنواع المهاجرة من الحيوانات الفطرية</w:t>
      </w:r>
      <w:bookmarkEnd w:id="186"/>
      <w:r w:rsidRPr="003C72EE">
        <w:rPr>
          <w:rFonts w:ascii="Simplified Arabic" w:hAnsi="Simplified Arabic"/>
          <w:snapToGrid w:val="0"/>
          <w:kern w:val="18"/>
          <w:rtl/>
          <w:lang w:val="it-IT"/>
        </w:rPr>
        <w:t xml:space="preserve">، </w:t>
      </w:r>
      <w:r>
        <w:rPr>
          <w:rFonts w:ascii="Simplified Arabic" w:hAnsi="Simplified Arabic" w:hint="cs"/>
          <w:snapToGrid w:val="0"/>
          <w:kern w:val="18"/>
          <w:rtl/>
          <w:lang w:val="it-IT"/>
        </w:rPr>
        <w:t>والمعتمد</w:t>
      </w:r>
      <w:r w:rsidRPr="003C72EE">
        <w:rPr>
          <w:rFonts w:ascii="Simplified Arabic" w:hAnsi="Simplified Arabic"/>
          <w:snapToGrid w:val="0"/>
          <w:kern w:val="18"/>
          <w:rtl/>
          <w:lang w:val="it-IT"/>
        </w:rPr>
        <w:t xml:space="preserve"> في اجتماعه الثاني عشر؛ </w:t>
      </w:r>
      <w:r>
        <w:rPr>
          <w:rFonts w:ascii="Simplified Arabic" w:hAnsi="Simplified Arabic" w:hint="cs"/>
          <w:snapToGrid w:val="0"/>
          <w:kern w:val="18"/>
          <w:rtl/>
          <w:lang w:val="it-IT"/>
        </w:rPr>
        <w:t>والقراران</w:t>
      </w:r>
      <w:r w:rsidRPr="003C72EE">
        <w:rPr>
          <w:rFonts w:ascii="Simplified Arabic" w:hAnsi="Simplified Arabic"/>
          <w:snapToGrid w:val="0"/>
          <w:kern w:val="18"/>
          <w:rtl/>
          <w:lang w:val="it-IT"/>
        </w:rPr>
        <w:t xml:space="preserve"> 9/2017 و12/2017 </w:t>
      </w:r>
      <w:r>
        <w:rPr>
          <w:rFonts w:ascii="Simplified Arabic" w:hAnsi="Simplified Arabic" w:hint="cs"/>
          <w:snapToGrid w:val="0"/>
          <w:kern w:val="18"/>
          <w:rtl/>
          <w:lang w:val="it-IT"/>
        </w:rPr>
        <w:t>الصادرين عن الجهاز الرئاسي</w:t>
      </w:r>
      <w:r w:rsidRPr="003C72EE">
        <w:rPr>
          <w:rFonts w:ascii="Simplified Arabic" w:hAnsi="Simplified Arabic"/>
          <w:snapToGrid w:val="0"/>
          <w:kern w:val="18"/>
          <w:rtl/>
          <w:lang w:val="it-IT"/>
        </w:rPr>
        <w:t xml:space="preserve"> </w:t>
      </w:r>
      <w:r>
        <w:rPr>
          <w:rFonts w:ascii="Simplified Arabic" w:hAnsi="Simplified Arabic" w:hint="cs"/>
          <w:snapToGrid w:val="0"/>
          <w:kern w:val="18"/>
          <w:rtl/>
          <w:lang w:val="it-IT"/>
        </w:rPr>
        <w:t>لل</w:t>
      </w:r>
      <w:r w:rsidRPr="003C72EE">
        <w:rPr>
          <w:rFonts w:ascii="Simplified Arabic" w:hAnsi="Simplified Arabic"/>
          <w:snapToGrid w:val="0"/>
          <w:kern w:val="18"/>
          <w:rtl/>
          <w:lang w:val="it-IT"/>
        </w:rPr>
        <w:t xml:space="preserve">معاهدة الدولية بشأن الموارد الوراثية النباتية للأغذية والزراعة، </w:t>
      </w:r>
      <w:r>
        <w:rPr>
          <w:rFonts w:ascii="Simplified Arabic" w:hAnsi="Simplified Arabic" w:hint="cs"/>
          <w:snapToGrid w:val="0"/>
          <w:kern w:val="18"/>
          <w:rtl/>
          <w:lang w:val="it-IT"/>
        </w:rPr>
        <w:t>والمعتمدين</w:t>
      </w:r>
      <w:r w:rsidRPr="003C72EE">
        <w:rPr>
          <w:rFonts w:ascii="Simplified Arabic" w:hAnsi="Simplified Arabic"/>
          <w:snapToGrid w:val="0"/>
          <w:kern w:val="18"/>
          <w:rtl/>
          <w:lang w:val="it-IT"/>
        </w:rPr>
        <w:t xml:space="preserve"> في دورته السابعة؛ </w:t>
      </w:r>
      <w:r>
        <w:rPr>
          <w:rFonts w:ascii="Simplified Arabic" w:hAnsi="Simplified Arabic" w:hint="cs"/>
          <w:snapToGrid w:val="0"/>
          <w:kern w:val="18"/>
          <w:rtl/>
          <w:lang w:val="it-IT"/>
        </w:rPr>
        <w:t>والقراران 13/7 و13/20</w:t>
      </w:r>
      <w:r w:rsidRPr="003C72EE">
        <w:rPr>
          <w:rFonts w:ascii="Simplified Arabic" w:hAnsi="Simplified Arabic"/>
          <w:snapToGrid w:val="0"/>
          <w:kern w:val="18"/>
          <w:rtl/>
          <w:lang w:val="it-IT"/>
        </w:rPr>
        <w:t xml:space="preserve"> </w:t>
      </w:r>
      <w:r>
        <w:rPr>
          <w:rFonts w:ascii="Simplified Arabic" w:hAnsi="Simplified Arabic" w:hint="cs"/>
          <w:snapToGrid w:val="0"/>
          <w:kern w:val="18"/>
          <w:rtl/>
          <w:lang w:val="it-IT"/>
        </w:rPr>
        <w:t>ل</w:t>
      </w:r>
      <w:r w:rsidRPr="003C72EE">
        <w:rPr>
          <w:rFonts w:ascii="Simplified Arabic" w:hAnsi="Simplified Arabic"/>
          <w:snapToGrid w:val="0"/>
          <w:kern w:val="18"/>
          <w:rtl/>
          <w:lang w:val="it-IT"/>
        </w:rPr>
        <w:t xml:space="preserve">مؤتمر الأطراف </w:t>
      </w:r>
      <w:r>
        <w:rPr>
          <w:rFonts w:ascii="Simplified Arabic" w:hAnsi="Simplified Arabic" w:hint="cs"/>
          <w:snapToGrid w:val="0"/>
          <w:kern w:val="18"/>
          <w:rtl/>
          <w:lang w:val="it-IT"/>
        </w:rPr>
        <w:t xml:space="preserve">المتعاقدة </w:t>
      </w:r>
      <w:r w:rsidRPr="003C72EE">
        <w:rPr>
          <w:rFonts w:ascii="Simplified Arabic" w:hAnsi="Simplified Arabic"/>
          <w:snapToGrid w:val="0"/>
          <w:kern w:val="18"/>
          <w:rtl/>
          <w:lang w:val="it-IT"/>
        </w:rPr>
        <w:t xml:space="preserve">في </w:t>
      </w:r>
      <w:r w:rsidRPr="00BC678F">
        <w:rPr>
          <w:rFonts w:ascii="Simplified Arabic" w:hAnsi="Simplified Arabic"/>
          <w:snapToGrid w:val="0"/>
          <w:kern w:val="18"/>
          <w:rtl/>
          <w:lang w:val="it-IT"/>
        </w:rPr>
        <w:t>اتفاقية الأراضي الرطبة ذات الأهمية الدولية وخاصة بوصفها موئلا</w:t>
      </w:r>
      <w:r>
        <w:rPr>
          <w:rFonts w:ascii="Simplified Arabic" w:hAnsi="Simplified Arabic" w:hint="cs"/>
          <w:snapToGrid w:val="0"/>
          <w:kern w:val="18"/>
          <w:rtl/>
          <w:lang w:val="it-IT"/>
        </w:rPr>
        <w:t>ً</w:t>
      </w:r>
      <w:r w:rsidRPr="00BC678F">
        <w:rPr>
          <w:rFonts w:ascii="Simplified Arabic" w:hAnsi="Simplified Arabic"/>
          <w:snapToGrid w:val="0"/>
          <w:kern w:val="18"/>
          <w:rtl/>
          <w:lang w:val="it-IT"/>
        </w:rPr>
        <w:t xml:space="preserve"> للطيور المائية</w:t>
      </w:r>
      <w:r w:rsidRPr="003C72EE">
        <w:rPr>
          <w:rFonts w:ascii="Simplified Arabic" w:hAnsi="Simplified Arabic"/>
          <w:snapToGrid w:val="0"/>
          <w:kern w:val="18"/>
          <w:rtl/>
          <w:lang w:val="it-IT"/>
        </w:rPr>
        <w:t xml:space="preserve"> (اتفاقية رامسار)، </w:t>
      </w:r>
      <w:r>
        <w:rPr>
          <w:rFonts w:ascii="Simplified Arabic" w:hAnsi="Simplified Arabic" w:hint="cs"/>
          <w:snapToGrid w:val="0"/>
          <w:kern w:val="18"/>
          <w:rtl/>
          <w:lang w:val="it-IT"/>
        </w:rPr>
        <w:t>المعتمدين</w:t>
      </w:r>
      <w:r w:rsidRPr="003C72EE">
        <w:rPr>
          <w:rFonts w:ascii="Simplified Arabic" w:hAnsi="Simplified Arabic"/>
          <w:snapToGrid w:val="0"/>
          <w:kern w:val="18"/>
          <w:rtl/>
          <w:lang w:val="it-IT"/>
        </w:rPr>
        <w:t xml:space="preserve"> في اجتماعه الثالث عشر</w:t>
      </w:r>
      <w:r w:rsidRPr="00141E35">
        <w:rPr>
          <w:rFonts w:ascii="Simplified Arabic" w:hAnsi="Simplified Arabic"/>
          <w:snapToGrid w:val="0"/>
          <w:kern w:val="18"/>
          <w:rtl/>
        </w:rPr>
        <w:t>.</w:t>
      </w:r>
    </w:p>
  </w:footnote>
  <w:footnote w:id="291">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lang w:val="it-IT"/>
        </w:rPr>
      </w:pPr>
      <w:r w:rsidRPr="005F7C38">
        <w:rPr>
          <w:rStyle w:val="FootnoteReference"/>
          <w:rFonts w:ascii="Simplified Arabic" w:hAnsi="Simplified Arabic"/>
          <w:sz w:val="20"/>
          <w:szCs w:val="20"/>
        </w:rPr>
        <w:footnoteRef/>
      </w:r>
      <w:r>
        <w:rPr>
          <w:rtl/>
        </w:rPr>
        <w:t xml:space="preserve"> </w:t>
      </w:r>
      <w:r w:rsidRPr="00BC678F">
        <w:rPr>
          <w:rFonts w:ascii="Simplified Arabic" w:hAnsi="Simplified Arabic"/>
          <w:snapToGrid w:val="0"/>
          <w:kern w:val="18"/>
          <w:rtl/>
          <w:lang w:val="it-IT"/>
        </w:rPr>
        <w:t xml:space="preserve">قرار الجمعية العامة </w:t>
      </w:r>
      <w:hyperlink r:id="rId149" w:history="1">
        <w:r w:rsidRPr="00BC678F">
          <w:rPr>
            <w:rFonts w:ascii="Simplified Arabic" w:eastAsia="MS Mincho" w:hAnsi="Simplified Arabic"/>
            <w:snapToGrid w:val="0"/>
            <w:color w:val="0000FF"/>
            <w:kern w:val="18"/>
            <w:sz w:val="22"/>
            <w:u w:val="single"/>
            <w:rtl/>
            <w:lang w:val="en-GB"/>
          </w:rPr>
          <w:t>70/1</w:t>
        </w:r>
      </w:hyperlink>
      <w:r w:rsidRPr="006D28C8">
        <w:rPr>
          <w:rFonts w:eastAsia="MS Mincho" w:cs="Angsana New"/>
          <w:snapToGrid w:val="0"/>
          <w:kern w:val="18"/>
          <w:sz w:val="22"/>
          <w:szCs w:val="24"/>
          <w:lang w:val="it-IT"/>
        </w:rPr>
        <w:t xml:space="preserve"> </w:t>
      </w:r>
      <w:r w:rsidRPr="00BC678F">
        <w:rPr>
          <w:rFonts w:ascii="Simplified Arabic" w:hAnsi="Simplified Arabic"/>
          <w:snapToGrid w:val="0"/>
          <w:kern w:val="18"/>
          <w:rtl/>
          <w:lang w:val="it-IT"/>
        </w:rPr>
        <w:t>المعنون “تحويل عالمنا: خطة التنمية المستدامة لعام 2030”</w:t>
      </w:r>
      <w:r w:rsidRPr="00141E35">
        <w:rPr>
          <w:rFonts w:ascii="Simplified Arabic" w:hAnsi="Simplified Arabic"/>
          <w:snapToGrid w:val="0"/>
          <w:kern w:val="18"/>
          <w:rtl/>
        </w:rPr>
        <w:t>.</w:t>
      </w:r>
    </w:p>
  </w:footnote>
  <w:footnote w:id="292">
    <w:p w:rsidR="000C66C6" w:rsidRPr="006D28C8" w:rsidRDefault="000C66C6" w:rsidP="00E02C84">
      <w:pPr>
        <w:pStyle w:val="FootnoteText"/>
        <w:rPr>
          <w:lang w:val="it-IT"/>
        </w:rPr>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r w:rsidRPr="009C4644">
        <w:rPr>
          <w:kern w:val="18"/>
          <w:szCs w:val="18"/>
          <w:lang w:val="it-IT"/>
        </w:rPr>
        <w:t>CBD/SBI/2/10/Add.1</w:t>
      </w:r>
      <w:r>
        <w:rPr>
          <w:rFonts w:hint="cs"/>
          <w:rtl/>
        </w:rPr>
        <w:t>.</w:t>
      </w:r>
    </w:p>
  </w:footnote>
  <w:footnote w:id="293">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lang w:val="it-IT"/>
        </w:rPr>
      </w:pPr>
      <w:r w:rsidRPr="005F7C38">
        <w:rPr>
          <w:rStyle w:val="FootnoteReference"/>
          <w:rFonts w:ascii="Simplified Arabic" w:hAnsi="Simplified Arabic"/>
          <w:sz w:val="20"/>
          <w:szCs w:val="20"/>
        </w:rPr>
        <w:footnoteRef/>
      </w:r>
      <w:r>
        <w:rPr>
          <w:rtl/>
        </w:rPr>
        <w:t xml:space="preserve"> </w:t>
      </w:r>
      <w:r w:rsidRPr="006D28C8">
        <w:rPr>
          <w:rFonts w:eastAsia="Times New Roman"/>
          <w:snapToGrid w:val="0"/>
          <w:color w:val="000000"/>
          <w:kern w:val="18"/>
          <w:szCs w:val="18"/>
          <w:lang w:val="it-IT"/>
        </w:rPr>
        <w:t>CBD/SBI/2/INF/20</w:t>
      </w:r>
      <w:r w:rsidRPr="00141E35">
        <w:rPr>
          <w:rFonts w:ascii="Simplified Arabic" w:hAnsi="Simplified Arabic"/>
          <w:snapToGrid w:val="0"/>
          <w:kern w:val="18"/>
          <w:rtl/>
        </w:rPr>
        <w:t>.</w:t>
      </w:r>
    </w:p>
  </w:footnote>
  <w:footnote w:id="294">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lang w:val="it-IT"/>
        </w:rPr>
      </w:pPr>
      <w:r w:rsidRPr="005F7C38">
        <w:rPr>
          <w:rStyle w:val="FootnoteReference"/>
          <w:rFonts w:ascii="Simplified Arabic" w:hAnsi="Simplified Arabic"/>
          <w:sz w:val="20"/>
          <w:szCs w:val="20"/>
        </w:rPr>
        <w:footnoteRef/>
      </w:r>
      <w:r>
        <w:rPr>
          <w:rtl/>
        </w:rPr>
        <w:t xml:space="preserve"> </w:t>
      </w:r>
      <w:hyperlink r:id="rId150" w:history="1">
        <w:r w:rsidRPr="007C2596">
          <w:rPr>
            <w:rStyle w:val="Hyperlink"/>
            <w:rFonts w:ascii="Simplified Arabic" w:hAnsi="Simplified Arabic"/>
            <w:rtl/>
          </w:rPr>
          <w:t>القرار 12-25</w:t>
        </w:r>
        <w:r w:rsidRPr="00A32560">
          <w:rPr>
            <w:rStyle w:val="Hyperlink"/>
            <w:rFonts w:ascii="Simplified Arabic" w:hAnsi="Simplified Arabic"/>
            <w:rtl/>
          </w:rPr>
          <w:t xml:space="preserve"> </w:t>
        </w:r>
      </w:hyperlink>
      <w:r>
        <w:rPr>
          <w:rFonts w:ascii="Simplified Arabic" w:hAnsi="Simplified Arabic" w:hint="cs"/>
          <w:snapToGrid w:val="0"/>
          <w:kern w:val="18"/>
          <w:rtl/>
          <w:lang w:val="it-IT"/>
        </w:rPr>
        <w:t>المتعلق</w:t>
      </w:r>
      <w:r w:rsidRPr="00F451FF">
        <w:rPr>
          <w:rFonts w:ascii="Simplified Arabic" w:hAnsi="Simplified Arabic"/>
          <w:snapToGrid w:val="0"/>
          <w:kern w:val="18"/>
          <w:rtl/>
          <w:lang w:val="it-IT"/>
        </w:rPr>
        <w:t xml:space="preserve"> </w:t>
      </w:r>
      <w:r>
        <w:rPr>
          <w:rFonts w:ascii="Simplified Arabic" w:hAnsi="Simplified Arabic" w:hint="cs"/>
          <w:snapToGrid w:val="0"/>
          <w:kern w:val="18"/>
          <w:rtl/>
          <w:lang w:val="it-IT"/>
        </w:rPr>
        <w:t>ب</w:t>
      </w:r>
      <w:r w:rsidRPr="00F451FF">
        <w:rPr>
          <w:rFonts w:ascii="Simplified Arabic" w:hAnsi="Simplified Arabic"/>
          <w:snapToGrid w:val="0"/>
          <w:kern w:val="18"/>
          <w:rtl/>
          <w:lang w:val="it-IT"/>
        </w:rPr>
        <w:t xml:space="preserve">تعزيز </w:t>
      </w:r>
      <w:r>
        <w:rPr>
          <w:rFonts w:ascii="Simplified Arabic" w:hAnsi="Simplified Arabic" w:hint="cs"/>
          <w:snapToGrid w:val="0"/>
          <w:kern w:val="18"/>
          <w:rtl/>
          <w:lang w:val="it-IT"/>
        </w:rPr>
        <w:t>حفظ المناطق المدّية ذات الوضع الحرج</w:t>
      </w:r>
      <w:r w:rsidRPr="00F451FF">
        <w:rPr>
          <w:rFonts w:ascii="Simplified Arabic" w:hAnsi="Simplified Arabic"/>
          <w:snapToGrid w:val="0"/>
          <w:kern w:val="18"/>
          <w:rtl/>
          <w:lang w:val="it-IT"/>
        </w:rPr>
        <w:t xml:space="preserve"> </w:t>
      </w:r>
      <w:r>
        <w:rPr>
          <w:rFonts w:ascii="Simplified Arabic" w:hAnsi="Simplified Arabic" w:hint="cs"/>
          <w:snapToGrid w:val="0"/>
          <w:kern w:val="18"/>
          <w:rtl/>
          <w:lang w:val="it-IT"/>
        </w:rPr>
        <w:t>و</w:t>
      </w:r>
      <w:r w:rsidRPr="00F451FF">
        <w:rPr>
          <w:rFonts w:ascii="Simplified Arabic" w:hAnsi="Simplified Arabic"/>
          <w:snapToGrid w:val="0"/>
          <w:kern w:val="18"/>
          <w:rtl/>
          <w:lang w:val="it-IT"/>
        </w:rPr>
        <w:t>الموائل الساحلية</w:t>
      </w:r>
      <w:r>
        <w:rPr>
          <w:rFonts w:ascii="Simplified Arabic" w:hAnsi="Simplified Arabic" w:hint="cs"/>
          <w:snapToGrid w:val="0"/>
          <w:kern w:val="18"/>
          <w:rtl/>
          <w:lang w:val="it-IT"/>
        </w:rPr>
        <w:t xml:space="preserve"> الأخرى</w:t>
      </w:r>
      <w:r w:rsidRPr="00F451FF">
        <w:rPr>
          <w:rFonts w:ascii="Simplified Arabic" w:hAnsi="Simplified Arabic"/>
          <w:snapToGrid w:val="0"/>
          <w:kern w:val="18"/>
          <w:rtl/>
          <w:lang w:val="it-IT"/>
        </w:rPr>
        <w:t xml:space="preserve"> للأنواع المهاجرة.</w:t>
      </w:r>
    </w:p>
  </w:footnote>
  <w:footnote w:id="295">
    <w:p w:rsidR="000C66C6" w:rsidRPr="00671235" w:rsidRDefault="000C66C6" w:rsidP="00E02C84">
      <w:pPr>
        <w:pStyle w:val="FootnoteText"/>
        <w:rPr>
          <w:rFonts w:ascii="Simplified Arabic" w:hAnsi="Simplified Arabic"/>
          <w:snapToGrid w:val="0"/>
          <w:kern w:val="18"/>
          <w:lang w:val="it-IT"/>
        </w:rPr>
      </w:pPr>
      <w:r w:rsidRPr="005F7C38">
        <w:rPr>
          <w:rStyle w:val="FootnoteReference"/>
          <w:rFonts w:ascii="Simplified Arabic" w:hAnsi="Simplified Arabic"/>
          <w:sz w:val="20"/>
          <w:szCs w:val="20"/>
        </w:rPr>
        <w:footnoteRef/>
      </w:r>
      <w:r>
        <w:rPr>
          <w:rtl/>
        </w:rPr>
        <w:t xml:space="preserve"> </w:t>
      </w:r>
      <w:r w:rsidRPr="00671235">
        <w:rPr>
          <w:rFonts w:ascii="Simplified Arabic" w:hAnsi="Simplified Arabic" w:hint="cs"/>
          <w:snapToGrid w:val="0"/>
          <w:kern w:val="18"/>
          <w:rtl/>
          <w:lang w:val="it-IT"/>
        </w:rPr>
        <w:t xml:space="preserve">القرار </w:t>
      </w:r>
      <w:r>
        <w:rPr>
          <w:rFonts w:ascii="Simplified Arabic" w:hAnsi="Simplified Arabic" w:hint="cs"/>
          <w:snapToGrid w:val="0"/>
          <w:kern w:val="18"/>
          <w:rtl/>
          <w:lang w:val="it-IT"/>
        </w:rPr>
        <w:t xml:space="preserve">13/20 </w:t>
      </w:r>
      <w:r w:rsidRPr="00671235">
        <w:rPr>
          <w:rFonts w:ascii="Simplified Arabic" w:hAnsi="Simplified Arabic" w:hint="cs"/>
          <w:snapToGrid w:val="0"/>
          <w:kern w:val="18"/>
          <w:rtl/>
          <w:lang w:val="it-IT"/>
        </w:rPr>
        <w:t>بشأن التشجيع على الحفظ و</w:t>
      </w:r>
      <w:r>
        <w:rPr>
          <w:rFonts w:ascii="Simplified Arabic" w:hAnsi="Simplified Arabic" w:hint="cs"/>
          <w:snapToGrid w:val="0"/>
          <w:kern w:val="18"/>
          <w:rtl/>
          <w:lang w:val="it-IT"/>
        </w:rPr>
        <w:t xml:space="preserve">الاستعمال الحكيم للأراضي الرطبة </w:t>
      </w:r>
      <w:r w:rsidRPr="00671235">
        <w:rPr>
          <w:rFonts w:ascii="Simplified Arabic" w:hAnsi="Simplified Arabic" w:hint="cs"/>
          <w:snapToGrid w:val="0"/>
          <w:kern w:val="18"/>
          <w:rtl/>
          <w:lang w:val="it-IT"/>
        </w:rPr>
        <w:t>المدية والموائل المرتبطة إيكولوجياً</w:t>
      </w:r>
      <w:r>
        <w:rPr>
          <w:rFonts w:ascii="Simplified Arabic" w:hAnsi="Simplified Arabic" w:hint="cs"/>
          <w:snapToGrid w:val="0"/>
          <w:kern w:val="18"/>
          <w:rtl/>
          <w:lang w:val="it-IT"/>
        </w:rPr>
        <w:t>.</w:t>
      </w:r>
    </w:p>
  </w:footnote>
  <w:footnote w:id="296">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rtl/>
          <w:lang w:val="it-IT"/>
        </w:rPr>
      </w:pPr>
      <w:r w:rsidRPr="005F7C38">
        <w:rPr>
          <w:rStyle w:val="FootnoteReference"/>
          <w:rFonts w:ascii="Simplified Arabic" w:hAnsi="Simplified Arabic"/>
          <w:sz w:val="20"/>
          <w:szCs w:val="20"/>
        </w:rPr>
        <w:footnoteRef/>
      </w:r>
      <w:r>
        <w:rPr>
          <w:rFonts w:hint="cs"/>
          <w:rtl/>
        </w:rPr>
        <w:t xml:space="preserve"> </w:t>
      </w:r>
      <w:r w:rsidRPr="00127C1A">
        <w:rPr>
          <w:rFonts w:ascii="Simplified Arabic" w:hAnsi="Simplified Arabic"/>
          <w:rtl/>
        </w:rPr>
        <w:t xml:space="preserve">الأمم المتحدة، </w:t>
      </w:r>
      <w:r w:rsidRPr="00127C1A">
        <w:rPr>
          <w:rFonts w:ascii="Simplified Arabic" w:hAnsi="Simplified Arabic"/>
          <w:i/>
          <w:iCs/>
          <w:rtl/>
        </w:rPr>
        <w:t>مجموعة المعاهدات</w:t>
      </w:r>
      <w:r w:rsidRPr="00127C1A">
        <w:rPr>
          <w:rFonts w:ascii="Simplified Arabic" w:hAnsi="Simplified Arabic"/>
          <w:rtl/>
        </w:rPr>
        <w:t>، رقم التسجيل</w:t>
      </w:r>
      <w:r>
        <w:rPr>
          <w:rtl/>
        </w:rPr>
        <w:t xml:space="preserve"> </w:t>
      </w:r>
      <w:r w:rsidRPr="00477B14">
        <w:rPr>
          <w:rFonts w:eastAsia="MS Mincho"/>
          <w:snapToGrid w:val="0"/>
          <w:kern w:val="18"/>
          <w:szCs w:val="18"/>
          <w:lang w:val="it-IT"/>
        </w:rPr>
        <w:t>I-54113</w:t>
      </w:r>
      <w:r w:rsidRPr="00141E35">
        <w:rPr>
          <w:rFonts w:ascii="Simplified Arabic" w:hAnsi="Simplified Arabic"/>
          <w:snapToGrid w:val="0"/>
          <w:kern w:val="18"/>
          <w:rtl/>
        </w:rPr>
        <w:t>.</w:t>
      </w:r>
    </w:p>
  </w:footnote>
  <w:footnote w:id="297">
    <w:p w:rsidR="000C66C6" w:rsidRPr="00C070B0" w:rsidRDefault="000C66C6" w:rsidP="00E02C84">
      <w:pPr>
        <w:pStyle w:val="FootnoteText"/>
        <w:rPr>
          <w:rFonts w:ascii="Simplified Arabic" w:hAnsi="Simplified Arabic"/>
        </w:rPr>
      </w:pPr>
      <w:r w:rsidRPr="005F7C38">
        <w:rPr>
          <w:rStyle w:val="FootnoteReference"/>
          <w:rFonts w:ascii="Simplified Arabic" w:hAnsi="Simplified Arabic"/>
          <w:sz w:val="20"/>
          <w:szCs w:val="20"/>
        </w:rPr>
        <w:footnoteRef/>
      </w:r>
      <w:r>
        <w:rPr>
          <w:rtl/>
        </w:rPr>
        <w:t xml:space="preserve"> </w:t>
      </w:r>
      <w:r w:rsidRPr="00C070B0">
        <w:rPr>
          <w:rFonts w:ascii="Simplified Arabic" w:hAnsi="Simplified Arabic"/>
          <w:rtl/>
        </w:rPr>
        <w:t xml:space="preserve">انظر قرار المجلس الاقتصادي والاجتماعي </w:t>
      </w:r>
      <w:hyperlink r:id="rId151" w:history="1">
        <w:r w:rsidRPr="0015383E">
          <w:rPr>
            <w:rStyle w:val="Hyperlink"/>
            <w:rFonts w:ascii="Simplified Arabic" w:hAnsi="Simplified Arabic"/>
            <w:rtl/>
          </w:rPr>
          <w:t>2017/4</w:t>
        </w:r>
      </w:hyperlink>
      <w:r w:rsidRPr="00C070B0">
        <w:rPr>
          <w:rFonts w:ascii="Simplified Arabic" w:hAnsi="Simplified Arabic"/>
          <w:rtl/>
        </w:rPr>
        <w:t xml:space="preserve"> المؤرخ 20 أبريل/نيسان 2017 (انظر أيضا قرار الجمعية العامة </w:t>
      </w:r>
      <w:hyperlink r:id="rId152" w:history="1">
        <w:r w:rsidRPr="0015383E">
          <w:rPr>
            <w:rStyle w:val="Hyperlink"/>
            <w:rFonts w:ascii="Simplified Arabic" w:hAnsi="Simplified Arabic"/>
            <w:rtl/>
          </w:rPr>
          <w:t>71/285</w:t>
        </w:r>
      </w:hyperlink>
      <w:r w:rsidRPr="00C070B0">
        <w:rPr>
          <w:rFonts w:ascii="Simplified Arabic" w:hAnsi="Simplified Arabic"/>
          <w:rtl/>
        </w:rPr>
        <w:t xml:space="preserve"> المؤرخ 27 أبريل/نيسان 2017).</w:t>
      </w:r>
    </w:p>
  </w:footnote>
  <w:footnote w:id="298">
    <w:p w:rsidR="000C66C6" w:rsidRPr="00C070B0" w:rsidRDefault="000C66C6" w:rsidP="00E02C84">
      <w:pPr>
        <w:pStyle w:val="FootnoteText"/>
        <w:rPr>
          <w:rFonts w:ascii="Simplified Arabic" w:hAnsi="Simplified Arabic"/>
        </w:rPr>
      </w:pPr>
      <w:r w:rsidRPr="005F7C38">
        <w:rPr>
          <w:rStyle w:val="FootnoteReference"/>
          <w:rFonts w:ascii="Simplified Arabic" w:hAnsi="Simplified Arabic"/>
          <w:sz w:val="20"/>
          <w:szCs w:val="20"/>
        </w:rPr>
        <w:footnoteRef/>
      </w:r>
      <w:r>
        <w:rPr>
          <w:rtl/>
        </w:rPr>
        <w:t xml:space="preserve"> </w:t>
      </w:r>
      <w:r w:rsidRPr="00C070B0">
        <w:rPr>
          <w:rFonts w:ascii="Simplified Arabic" w:hAnsi="Simplified Arabic"/>
          <w:rtl/>
        </w:rPr>
        <w:t>قرار الجمعية العامة 69/15 المؤرخ 14 نوفمبر/تشرين الثاني 2014، المرفق.</w:t>
      </w:r>
    </w:p>
  </w:footnote>
  <w:footnote w:id="299">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lang w:val="it-IT"/>
        </w:rPr>
      </w:pPr>
      <w:r w:rsidRPr="005F7C38">
        <w:rPr>
          <w:rStyle w:val="FootnoteReference"/>
          <w:rFonts w:ascii="Simplified Arabic" w:hAnsi="Simplified Arabic"/>
          <w:sz w:val="20"/>
          <w:szCs w:val="20"/>
        </w:rPr>
        <w:footnoteRef/>
      </w:r>
      <w:r>
        <w:rPr>
          <w:rtl/>
        </w:rPr>
        <w:t xml:space="preserve"> </w:t>
      </w:r>
      <w:r>
        <w:rPr>
          <w:rFonts w:ascii="Simplified Arabic" w:eastAsia="MS Mincho" w:hAnsi="Simplified Arabic" w:hint="cs"/>
          <w:snapToGrid w:val="0"/>
          <w:kern w:val="18"/>
          <w:rtl/>
          <w:lang w:val="en-GB"/>
        </w:rPr>
        <w:t>س</w:t>
      </w:r>
      <w:r w:rsidRPr="009B7E70">
        <w:rPr>
          <w:rFonts w:ascii="Simplified Arabic" w:eastAsia="MS Mincho" w:hAnsi="Simplified Arabic"/>
          <w:snapToGrid w:val="0"/>
          <w:kern w:val="18"/>
          <w:rtl/>
          <w:lang w:val="en-GB"/>
        </w:rPr>
        <w:t xml:space="preserve">يعرض القرار/ المقرر ذو الصلة حينما يصبح متاحاً على الموقع التالي: </w:t>
      </w:r>
      <w:hyperlink r:id="rId153" w:history="1">
        <w:r w:rsidRPr="001C3199">
          <w:rPr>
            <w:rFonts w:eastAsia="MS Mincho"/>
            <w:snapToGrid w:val="0"/>
            <w:color w:val="0000FF"/>
            <w:kern w:val="18"/>
            <w:szCs w:val="18"/>
            <w:u w:val="single"/>
            <w:lang w:val="en-GB"/>
          </w:rPr>
          <w:t>http://apps.who.int/gb/e/e_wha71.html</w:t>
        </w:r>
      </w:hyperlink>
      <w:r w:rsidRPr="009B7E70">
        <w:rPr>
          <w:rFonts w:ascii="Simplified Arabic" w:hAnsi="Simplified Arabic"/>
          <w:snapToGrid w:val="0"/>
          <w:kern w:val="18"/>
          <w:rtl/>
        </w:rPr>
        <w:t>.</w:t>
      </w:r>
    </w:p>
  </w:footnote>
  <w:footnote w:id="300">
    <w:p w:rsidR="000C66C6" w:rsidRPr="00453689" w:rsidRDefault="000C66C6" w:rsidP="00E02C84">
      <w:pPr>
        <w:pStyle w:val="FootnoteText"/>
        <w:kinsoku w:val="0"/>
        <w:overflowPunct w:val="0"/>
        <w:autoSpaceDE w:val="0"/>
        <w:autoSpaceDN w:val="0"/>
        <w:adjustRightInd w:val="0"/>
        <w:snapToGrid w:val="0"/>
        <w:jc w:val="left"/>
        <w:rPr>
          <w:snapToGrid w:val="0"/>
          <w:kern w:val="18"/>
          <w:szCs w:val="18"/>
          <w:rtl/>
          <w:lang w:val="it-IT"/>
        </w:rPr>
      </w:pPr>
      <w:r w:rsidRPr="005F7C38">
        <w:rPr>
          <w:rStyle w:val="FootnoteReference"/>
          <w:rFonts w:ascii="Simplified Arabic" w:hAnsi="Simplified Arabic"/>
          <w:sz w:val="20"/>
          <w:szCs w:val="20"/>
        </w:rPr>
        <w:footnoteRef/>
      </w:r>
      <w:r w:rsidRPr="005F7C38">
        <w:rPr>
          <w:rFonts w:ascii="Simplified Arabic" w:hAnsi="Simplified Arabic"/>
          <w:sz w:val="20"/>
          <w:rtl/>
        </w:rPr>
        <w:t xml:space="preserve"> </w:t>
      </w:r>
      <w:r>
        <w:rPr>
          <w:rFonts w:ascii="Simplified Arabic" w:eastAsia="MS Mincho" w:hAnsi="Simplified Arabic" w:hint="cs"/>
          <w:snapToGrid w:val="0"/>
          <w:kern w:val="18"/>
          <w:rtl/>
          <w:lang w:val="en-GB"/>
        </w:rPr>
        <w:t>المقرر 13/5، المرفق.</w:t>
      </w:r>
    </w:p>
  </w:footnote>
  <w:footnote w:id="301">
    <w:p w:rsidR="000C66C6" w:rsidRPr="00D62A00" w:rsidRDefault="000C66C6" w:rsidP="00CC7A77">
      <w:pPr>
        <w:pStyle w:val="FootnoteText"/>
        <w:kinsoku w:val="0"/>
        <w:overflowPunct w:val="0"/>
        <w:autoSpaceDE w:val="0"/>
        <w:autoSpaceDN w:val="0"/>
        <w:jc w:val="left"/>
        <w:rPr>
          <w:rtl/>
        </w:rPr>
      </w:pPr>
      <w:r w:rsidRPr="005F7C38">
        <w:rPr>
          <w:rStyle w:val="FootnoteReference"/>
          <w:rFonts w:ascii="Simplified Arabic" w:hAnsi="Simplified Arabic"/>
          <w:sz w:val="20"/>
          <w:szCs w:val="20"/>
        </w:rPr>
        <w:footnoteRef/>
      </w:r>
      <w:r>
        <w:rPr>
          <w:rFonts w:hint="cs"/>
          <w:rtl/>
        </w:rPr>
        <w:t xml:space="preserve"> </w:t>
      </w:r>
      <w:r w:rsidRPr="00043D8C">
        <w:rPr>
          <w:rFonts w:ascii="Simplified Arabic" w:hAnsi="Simplified Arabic"/>
          <w:sz w:val="20"/>
          <w:rtl/>
        </w:rPr>
        <w:t xml:space="preserve">المقرر </w:t>
      </w:r>
      <w:r>
        <w:rPr>
          <w:rFonts w:hint="cs"/>
          <w:rtl/>
        </w:rPr>
        <w:t xml:space="preserve">12/29، </w:t>
      </w:r>
      <w:r>
        <w:rPr>
          <w:rtl/>
        </w:rPr>
        <w:t>الفقرة 9</w:t>
      </w:r>
      <w:r w:rsidRPr="009748D5">
        <w:rPr>
          <w:rtl/>
        </w:rPr>
        <w:t>، و</w:t>
      </w:r>
      <w:r>
        <w:rPr>
          <w:rFonts w:hint="cs"/>
          <w:rtl/>
        </w:rPr>
        <w:t xml:space="preserve">المقرر </w:t>
      </w:r>
      <w:r w:rsidRPr="00477B14">
        <w:rPr>
          <w:lang w:val="it-IT"/>
        </w:rPr>
        <w:t>BS-VII/5</w:t>
      </w:r>
      <w:r>
        <w:rPr>
          <w:rFonts w:hint="cs"/>
          <w:rtl/>
        </w:rPr>
        <w:t xml:space="preserve">، </w:t>
      </w:r>
      <w:r w:rsidRPr="009748D5">
        <w:rPr>
          <w:rtl/>
        </w:rPr>
        <w:t>الفقرة 10</w:t>
      </w:r>
      <w:r w:rsidRPr="009748D5">
        <w:rPr>
          <w:rFonts w:hint="cs"/>
          <w:rtl/>
        </w:rPr>
        <w:t>.</w:t>
      </w:r>
    </w:p>
  </w:footnote>
  <w:footnote w:id="302">
    <w:p w:rsidR="000C66C6" w:rsidRPr="001C16BB" w:rsidRDefault="000C66C6" w:rsidP="00CC7A77">
      <w:pPr>
        <w:pStyle w:val="FootnoteText"/>
        <w:rPr>
          <w:rFonts w:ascii="Simplified Arabic" w:hAnsi="Simplified Arabic"/>
          <w:sz w:val="20"/>
          <w:rtl/>
        </w:rPr>
      </w:pPr>
      <w:r w:rsidRPr="001C16BB">
        <w:rPr>
          <w:rStyle w:val="FootnoteReference"/>
          <w:rFonts w:ascii="Simplified Arabic" w:hAnsi="Simplified Arabic"/>
          <w:sz w:val="20"/>
        </w:rPr>
        <w:footnoteRef/>
      </w:r>
      <w:r w:rsidRPr="001C16BB">
        <w:rPr>
          <w:rFonts w:ascii="Simplified Arabic" w:hAnsi="Simplified Arabic"/>
          <w:sz w:val="20"/>
          <w:rtl/>
        </w:rPr>
        <w:t xml:space="preserve"> </w:t>
      </w:r>
      <w:r w:rsidRPr="00EA07C3">
        <w:rPr>
          <w:szCs w:val="18"/>
          <w:lang w:val="it-IT"/>
        </w:rPr>
        <w:t>CBD/SBI/2/16</w:t>
      </w:r>
      <w:r w:rsidRPr="001C16BB">
        <w:rPr>
          <w:rFonts w:ascii="Simplified Arabic" w:hAnsi="Simplified Arabic"/>
          <w:sz w:val="20"/>
          <w:rtl/>
        </w:rPr>
        <w:t xml:space="preserve"> و</w:t>
      </w:r>
      <w:r w:rsidRPr="00D36861">
        <w:rPr>
          <w:szCs w:val="18"/>
          <w:lang w:val="it-IT"/>
        </w:rPr>
        <w:t>Add.1</w:t>
      </w:r>
      <w:r w:rsidRPr="001C16BB">
        <w:rPr>
          <w:rFonts w:ascii="Simplified Arabic" w:hAnsi="Simplified Arabic"/>
          <w:sz w:val="20"/>
          <w:rtl/>
        </w:rPr>
        <w:t>.</w:t>
      </w:r>
    </w:p>
  </w:footnote>
  <w:footnote w:id="303">
    <w:p w:rsidR="000C66C6" w:rsidRPr="00BC01C1" w:rsidRDefault="000C66C6" w:rsidP="00CC7A77">
      <w:pPr>
        <w:jc w:val="left"/>
        <w:rPr>
          <w:sz w:val="18"/>
          <w:szCs w:val="20"/>
        </w:rPr>
      </w:pPr>
      <w:r w:rsidRPr="007F295B">
        <w:rPr>
          <w:rStyle w:val="FootnoteReference"/>
          <w:rFonts w:ascii="Simplified Arabic" w:hAnsi="Simplified Arabic"/>
          <w:sz w:val="20"/>
          <w:szCs w:val="20"/>
        </w:rPr>
        <w:footnoteRef/>
      </w:r>
      <w:r>
        <w:rPr>
          <w:rFonts w:hint="cs"/>
          <w:sz w:val="18"/>
          <w:szCs w:val="20"/>
          <w:rtl/>
        </w:rPr>
        <w:t xml:space="preserve"> </w:t>
      </w:r>
      <w:r w:rsidRPr="00B01222">
        <w:rPr>
          <w:rFonts w:ascii="Simplified Arabic" w:hAnsi="Simplified Arabic"/>
          <w:sz w:val="18"/>
          <w:szCs w:val="20"/>
          <w:rtl/>
        </w:rPr>
        <w:t>تستند استمارة الترشيح إلى النموذج المطلوب لقائمة الخبراء بموجب بروتوكول قرطاجنة للسلامة الأحيائية (المقرر</w:t>
      </w:r>
      <w:r>
        <w:rPr>
          <w:rFonts w:ascii="Simplified Arabic" w:hAnsi="Simplified Arabic" w:hint="cs"/>
          <w:sz w:val="18"/>
          <w:szCs w:val="20"/>
          <w:rtl/>
        </w:rPr>
        <w:t xml:space="preserve"> </w:t>
      </w:r>
      <w:hyperlink r:id="rId154" w:history="1">
        <w:r w:rsidRPr="00BC01C1">
          <w:rPr>
            <w:rStyle w:val="Hyperlink"/>
            <w:szCs w:val="20"/>
          </w:rPr>
          <w:t>BS-I/4</w:t>
        </w:r>
      </w:hyperlink>
      <w:r w:rsidRPr="00BC01C1">
        <w:rPr>
          <w:sz w:val="18"/>
          <w:szCs w:val="20"/>
          <w:rtl/>
        </w:rPr>
        <w:t xml:space="preserve">، </w:t>
      </w:r>
      <w:r w:rsidRPr="00B01222">
        <w:rPr>
          <w:rFonts w:ascii="Simplified Arabic" w:hAnsi="Simplified Arabic"/>
          <w:sz w:val="18"/>
          <w:szCs w:val="20"/>
          <w:rtl/>
        </w:rPr>
        <w:t>المرفق الأول، التذييل).</w:t>
      </w:r>
    </w:p>
  </w:footnote>
  <w:footnote w:id="304">
    <w:p w:rsidR="000C66C6" w:rsidRPr="007B667D" w:rsidRDefault="000C66C6" w:rsidP="00CC7A77">
      <w:pPr>
        <w:pStyle w:val="FootnoteText"/>
        <w:rPr>
          <w:rFonts w:ascii="Simplified Arabic" w:hAnsi="Simplified Arabic"/>
        </w:rPr>
      </w:pPr>
      <w:r w:rsidRPr="007B667D">
        <w:rPr>
          <w:rStyle w:val="FootnoteReference"/>
        </w:rPr>
        <w:footnoteRef/>
      </w:r>
      <w:r>
        <w:rPr>
          <w:rFonts w:ascii="Simplified Arabic" w:hAnsi="Simplified Arabic"/>
          <w:rtl/>
        </w:rPr>
        <w:t xml:space="preserve"> </w:t>
      </w:r>
      <w:r w:rsidRPr="00246CBF">
        <w:rPr>
          <w:rStyle w:val="Strong"/>
          <w:rFonts w:cs="Times New Roman"/>
          <w:b w:val="0"/>
          <w:bCs w:val="0"/>
          <w:color w:val="000000" w:themeColor="text1"/>
          <w:szCs w:val="18"/>
        </w:rPr>
        <w:t>CBD/COP/14/9/Add.1</w:t>
      </w:r>
      <w:r w:rsidRPr="0073464F">
        <w:rPr>
          <w:rFonts w:cs="Times New Roman"/>
          <w:color w:val="000000" w:themeColor="text1"/>
          <w:szCs w:val="18"/>
          <w:rtl/>
        </w:rPr>
        <w:t xml:space="preserve"> و</w:t>
      </w:r>
      <w:r w:rsidRPr="0073464F">
        <w:rPr>
          <w:rFonts w:cs="Times New Roman"/>
          <w:color w:val="000000" w:themeColor="text1"/>
          <w:szCs w:val="18"/>
          <w:lang w:val="en-CA"/>
        </w:rPr>
        <w:t xml:space="preserve"> CBD/</w:t>
      </w:r>
      <w:r w:rsidRPr="0073464F">
        <w:rPr>
          <w:rFonts w:cs="Times New Roman"/>
          <w:color w:val="000000" w:themeColor="text1"/>
          <w:szCs w:val="18"/>
        </w:rPr>
        <w:t>COP/14/</w:t>
      </w:r>
      <w:r>
        <w:rPr>
          <w:rFonts w:cs="Times New Roman"/>
          <w:color w:val="000000" w:themeColor="text1"/>
          <w:szCs w:val="18"/>
        </w:rPr>
        <w:t>INF/15</w:t>
      </w:r>
      <w:r w:rsidRPr="0073464F">
        <w:rPr>
          <w:rFonts w:cs="Times New Roman"/>
          <w:color w:val="000000" w:themeColor="text1"/>
          <w:szCs w:val="18"/>
          <w:rtl/>
        </w:rPr>
        <w:t xml:space="preserve"> و</w:t>
      </w:r>
      <w:r w:rsidRPr="0073464F">
        <w:rPr>
          <w:rFonts w:cs="Times New Roman"/>
          <w:color w:val="000000" w:themeColor="text1"/>
          <w:kern w:val="22"/>
          <w:szCs w:val="18"/>
        </w:rPr>
        <w:t>CBD/COP/14/INF/21</w:t>
      </w:r>
      <w:r w:rsidRPr="0073464F">
        <w:rPr>
          <w:rFonts w:cs="Times New Roman"/>
          <w:color w:val="000000" w:themeColor="text1"/>
          <w:szCs w:val="18"/>
          <w:rtl/>
        </w:rPr>
        <w:t>.</w:t>
      </w:r>
    </w:p>
  </w:footnote>
  <w:footnote w:id="305">
    <w:p w:rsidR="000C66C6" w:rsidRPr="005713B0" w:rsidRDefault="000C66C6" w:rsidP="00CC7A77">
      <w:pPr>
        <w:pStyle w:val="FootnoteText"/>
        <w:rPr>
          <w:rFonts w:cs="Times New Roman"/>
          <w:color w:val="0000FF"/>
          <w:szCs w:val="18"/>
          <w:u w:val="single"/>
          <w:rtl/>
        </w:rPr>
      </w:pPr>
      <w:r>
        <w:rPr>
          <w:rStyle w:val="FootnoteReference"/>
        </w:rPr>
        <w:footnoteRef/>
      </w:r>
      <w:r>
        <w:rPr>
          <w:rtl/>
        </w:rPr>
        <w:t xml:space="preserve"> </w:t>
      </w:r>
      <w:hyperlink r:id="rId155" w:history="1">
        <w:r w:rsidRPr="005713B0">
          <w:rPr>
            <w:rStyle w:val="Hyperlink"/>
            <w:szCs w:val="18"/>
          </w:rPr>
          <w:t>https://www.cbd.int/cop/cop-14/annoucement/nature-action-agenda-egypt-to-china-en.pdf</w:t>
        </w:r>
      </w:hyperlink>
    </w:p>
  </w:footnote>
  <w:footnote w:id="306">
    <w:p w:rsidR="000C66C6" w:rsidRPr="007B667D" w:rsidRDefault="000C66C6" w:rsidP="00CC7A77">
      <w:pPr>
        <w:pStyle w:val="FootnoteText"/>
        <w:rPr>
          <w:rFonts w:ascii="Simplified Arabic" w:hAnsi="Simplified Arabic"/>
          <w:rtl/>
        </w:rPr>
      </w:pPr>
      <w:r w:rsidRPr="007B667D">
        <w:rPr>
          <w:rStyle w:val="FootnoteReference"/>
        </w:rPr>
        <w:footnoteRef/>
      </w:r>
      <w:r w:rsidRPr="007B667D">
        <w:rPr>
          <w:rFonts w:ascii="Simplified Arabic" w:hAnsi="Simplified Arabic"/>
          <w:rtl/>
        </w:rPr>
        <w:t xml:space="preserve"> </w:t>
      </w:r>
      <w:r w:rsidRPr="00DB01FB">
        <w:rPr>
          <w:rtl/>
        </w:rPr>
        <w:t xml:space="preserve">قرار الجمعية العامة </w:t>
      </w:r>
      <w:hyperlink r:id="rId156" w:history="1">
        <w:r w:rsidRPr="007E770D">
          <w:rPr>
            <w:rStyle w:val="Hyperlink"/>
            <w:rtl/>
          </w:rPr>
          <w:t>70/1</w:t>
        </w:r>
      </w:hyperlink>
      <w:r w:rsidRPr="00DB01FB">
        <w:rPr>
          <w:rtl/>
        </w:rPr>
        <w:t xml:space="preserve"> المؤرخ 25 سبتمبر/أيلول 2015.</w:t>
      </w:r>
    </w:p>
  </w:footnote>
  <w:footnote w:id="307">
    <w:p w:rsidR="000C66C6" w:rsidRDefault="000C66C6" w:rsidP="00CC7A77">
      <w:pPr>
        <w:pStyle w:val="FootnoteText"/>
        <w:rPr>
          <w:rtl/>
        </w:rPr>
      </w:pPr>
      <w:r>
        <w:rPr>
          <w:rStyle w:val="FootnoteReference"/>
        </w:rPr>
        <w:footnoteRef/>
      </w:r>
      <w:r>
        <w:rPr>
          <w:rFonts w:hint="cs"/>
          <w:rtl/>
        </w:rPr>
        <w:t xml:space="preserve"> </w:t>
      </w:r>
      <w:r w:rsidRPr="00BC7608">
        <w:rPr>
          <w:rFonts w:hint="cs"/>
          <w:rtl/>
        </w:rPr>
        <w:t>يستعمل مصطلح "الإطار" في هذه الوثيقة دون الإخلال بمقرر يصدر عن مؤتمر الأطراف في اتفاقية التنوع البيولوجي، أو مؤتمر الأطراف العامل كاجتماع للأطراف في بروتوكول قرطاجنة للسلامة الأحيائية أو مؤتمر الأطراف العامل كاجتماع للأطراف في بروتوكول ناغويا بشأن الحصول على الموارد الجينية والتقاسم العادل والمنصف للمنافع الناشئة عن استخدامها من حيث الشكل الذي ستتم به متابعة الخطة الاستراتيجية للتنوع البيولوجي 2011-2020.</w:t>
      </w:r>
    </w:p>
  </w:footnote>
  <w:footnote w:id="308">
    <w:p w:rsidR="000C66C6" w:rsidRPr="00667C28" w:rsidRDefault="000C66C6" w:rsidP="00CC7A77">
      <w:pPr>
        <w:pStyle w:val="FootnoteText"/>
        <w:jc w:val="left"/>
        <w:rPr>
          <w:rFonts w:ascii="Simplified Arabic" w:hAnsi="Simplified Arabic"/>
          <w:sz w:val="20"/>
          <w:rtl/>
        </w:rPr>
      </w:pPr>
      <w:r>
        <w:rPr>
          <w:rStyle w:val="FootnoteReference"/>
        </w:rPr>
        <w:footnoteRef/>
      </w:r>
      <w:r>
        <w:rPr>
          <w:rtl/>
        </w:rPr>
        <w:t xml:space="preserve"> </w:t>
      </w:r>
      <w:r>
        <w:rPr>
          <w:rFonts w:ascii="Simplified Arabic" w:hAnsi="Simplified Arabic" w:hint="cs"/>
          <w:sz w:val="20"/>
          <w:rtl/>
        </w:rPr>
        <w:t xml:space="preserve">الأمم المتحدة، </w:t>
      </w:r>
      <w:r w:rsidRPr="003C5C69">
        <w:rPr>
          <w:rFonts w:ascii="Simplified Arabic" w:hAnsi="Simplified Arabic" w:hint="cs"/>
          <w:i/>
          <w:iCs/>
          <w:sz w:val="20"/>
          <w:rtl/>
        </w:rPr>
        <w:t>جدول أعمال القرن 21: قمة الأرض: برنامج عمل الأمم المتحدة من ريو</w:t>
      </w:r>
      <w:r>
        <w:rPr>
          <w:rFonts w:ascii="Simplified Arabic" w:hAnsi="Simplified Arabic" w:hint="cs"/>
          <w:sz w:val="20"/>
          <w:rtl/>
        </w:rPr>
        <w:t xml:space="preserve"> (منشورات الأمم المتحدة، رقم المبيعات: </w:t>
      </w:r>
      <w:r w:rsidRPr="003C5C69">
        <w:rPr>
          <w:rFonts w:cs="Times New Roman"/>
          <w:szCs w:val="18"/>
        </w:rPr>
        <w:t>E.93.I.11</w:t>
      </w:r>
      <w:r>
        <w:rPr>
          <w:rFonts w:ascii="Simplified Arabic" w:hAnsi="Simplified Arabic" w:hint="cs"/>
          <w:sz w:val="20"/>
          <w:rtl/>
        </w:rPr>
        <w:t>).</w:t>
      </w:r>
    </w:p>
  </w:footnote>
  <w:footnote w:id="309">
    <w:p w:rsidR="000C66C6" w:rsidRPr="00BC7608" w:rsidRDefault="000C66C6" w:rsidP="00CC7A77">
      <w:pPr>
        <w:pStyle w:val="FootnoteText"/>
      </w:pPr>
      <w:r>
        <w:rPr>
          <w:rStyle w:val="FootnoteReference"/>
        </w:rPr>
        <w:footnoteRef/>
      </w:r>
      <w:r>
        <w:rPr>
          <w:rtl/>
        </w:rPr>
        <w:t xml:space="preserve"> </w:t>
      </w:r>
      <w:r w:rsidRPr="00D677C2">
        <w:rPr>
          <w:rFonts w:hint="cs"/>
          <w:rtl/>
        </w:rPr>
        <w:t>مشروع المشورة للأطراف والأمانة والمنظمات الأخرى ذات الصلة لتمكين عملية مراعية للاعتبارات الجنسانية لإعداد الإطار العالمي للتنوع البيولوجي</w:t>
      </w:r>
      <w:r>
        <w:rPr>
          <w:rFonts w:hint="cs"/>
          <w:rtl/>
        </w:rPr>
        <w:t xml:space="preserve"> لما بعد عام 2020 قد بدأ إعداده</w:t>
      </w:r>
      <w:r w:rsidRPr="00D677C2">
        <w:rPr>
          <w:rFonts w:hint="cs"/>
          <w:rtl/>
        </w:rPr>
        <w:t xml:space="preserve"> </w:t>
      </w:r>
      <w:r>
        <w:rPr>
          <w:rFonts w:hint="cs"/>
          <w:rtl/>
        </w:rPr>
        <w:t>ويرد</w:t>
      </w:r>
      <w:r w:rsidRPr="00D677C2">
        <w:rPr>
          <w:rFonts w:hint="cs"/>
          <w:rtl/>
        </w:rPr>
        <w:t xml:space="preserve"> في </w:t>
      </w:r>
      <w:r w:rsidRPr="00D677C2">
        <w:rPr>
          <w:kern w:val="22"/>
          <w:lang w:eastAsia="en-CA"/>
        </w:rPr>
        <w:t>CBD/COP/14/9/Add.1</w:t>
      </w:r>
      <w:r w:rsidRPr="00D677C2">
        <w:rPr>
          <w:rFonts w:hint="cs"/>
          <w:rtl/>
        </w:rPr>
        <w:t xml:space="preserve"> و</w:t>
      </w:r>
      <w:r w:rsidRPr="00D677C2">
        <w:rPr>
          <w:kern w:val="22"/>
          <w:lang w:eastAsia="en-CA"/>
        </w:rPr>
        <w:t xml:space="preserve"> CBD/COP/14/INF/15</w:t>
      </w:r>
      <w:r w:rsidRPr="00D677C2">
        <w:rPr>
          <w:rFonts w:hint="cs"/>
          <w:rtl/>
        </w:rPr>
        <w:t xml:space="preserve"> و</w:t>
      </w:r>
      <w:r w:rsidRPr="00D677C2">
        <w:rPr>
          <w:kern w:val="22"/>
          <w:lang w:eastAsia="en-CA"/>
        </w:rPr>
        <w:t>CBD/COP/14/INF/21</w:t>
      </w:r>
      <w:r w:rsidRPr="00D677C2">
        <w:rPr>
          <w:rFonts w:hint="cs"/>
          <w:rtl/>
        </w:rPr>
        <w:t>.</w:t>
      </w:r>
    </w:p>
  </w:footnote>
  <w:footnote w:id="310">
    <w:p w:rsidR="000C66C6" w:rsidRPr="00613963" w:rsidRDefault="000C66C6" w:rsidP="00CC7A77">
      <w:pPr>
        <w:pStyle w:val="FootnoteText"/>
        <w:rPr>
          <w:rtl/>
        </w:rPr>
      </w:pPr>
      <w:r>
        <w:rPr>
          <w:rStyle w:val="FootnoteReference"/>
        </w:rPr>
        <w:footnoteRef/>
      </w:r>
      <w:r>
        <w:rPr>
          <w:rtl/>
        </w:rPr>
        <w:t xml:space="preserve"> </w:t>
      </w:r>
      <w:r w:rsidRPr="00613963">
        <w:rPr>
          <w:rFonts w:ascii="Simplified Arabic" w:hAnsi="Simplified Arabic"/>
          <w:sz w:val="20"/>
          <w:rtl/>
        </w:rPr>
        <w:t xml:space="preserve">المتعمد بموجب اتفاقية الأمم المتحدة الإطارية بشأن تغير المناخ (الأمم المتحدة، </w:t>
      </w:r>
      <w:r w:rsidRPr="00235970">
        <w:rPr>
          <w:rFonts w:ascii="Simplified Arabic" w:hAnsi="Simplified Arabic"/>
          <w:i/>
          <w:iCs/>
          <w:sz w:val="20"/>
          <w:rtl/>
        </w:rPr>
        <w:t>مجموعة المعاهدات</w:t>
      </w:r>
      <w:r w:rsidRPr="00613963">
        <w:rPr>
          <w:rFonts w:ascii="Simplified Arabic" w:hAnsi="Simplified Arabic"/>
          <w:sz w:val="20"/>
          <w:rtl/>
        </w:rPr>
        <w:t>، رقم التسجيل</w:t>
      </w:r>
      <w:r>
        <w:rPr>
          <w:rFonts w:hint="cs"/>
          <w:rtl/>
        </w:rPr>
        <w:t xml:space="preserve"> </w:t>
      </w:r>
      <w:r w:rsidRPr="00613963">
        <w:rPr>
          <w:rFonts w:cs="Times New Roman"/>
          <w:snapToGrid w:val="0"/>
          <w:kern w:val="18"/>
          <w:szCs w:val="18"/>
        </w:rPr>
        <w:t>I-54113</w:t>
      </w:r>
      <w:r>
        <w:rPr>
          <w:rFonts w:hint="cs"/>
          <w:rtl/>
        </w:rPr>
        <w:t>).</w:t>
      </w:r>
    </w:p>
  </w:footnote>
  <w:footnote w:id="311">
    <w:p w:rsidR="000C66C6" w:rsidRPr="005A2872" w:rsidRDefault="000C66C6" w:rsidP="00CC7A77">
      <w:pPr>
        <w:pStyle w:val="FootnoteText"/>
      </w:pPr>
      <w:r w:rsidRPr="00DB01FB">
        <w:rPr>
          <w:rStyle w:val="FootnoteReference"/>
          <w:szCs w:val="20"/>
        </w:rPr>
        <w:footnoteRef/>
      </w:r>
      <w:r w:rsidRPr="00DB01FB">
        <w:rPr>
          <w:rFonts w:hint="cs"/>
          <w:rtl/>
        </w:rPr>
        <w:t xml:space="preserve"> تشمل الأمثلة لهذه الاتفاقات: </w:t>
      </w:r>
      <w:r w:rsidRPr="00DB01FB">
        <w:rPr>
          <w:rFonts w:hint="cs"/>
          <w:snapToGrid w:val="0"/>
          <w:kern w:val="22"/>
          <w:rtl/>
        </w:rPr>
        <w:t>(</w:t>
      </w:r>
      <w:r>
        <w:rPr>
          <w:rFonts w:hint="cs"/>
          <w:snapToGrid w:val="0"/>
          <w:kern w:val="22"/>
          <w:rtl/>
        </w:rPr>
        <w:t>أ</w:t>
      </w:r>
      <w:r w:rsidRPr="00DB01FB">
        <w:rPr>
          <w:rFonts w:hint="cs"/>
          <w:snapToGrid w:val="0"/>
          <w:kern w:val="22"/>
          <w:rtl/>
        </w:rPr>
        <w:t>) إطار سِنداي للحد من مخاطر الكوارث للفترة 2015-2030، المعتمد بموجب مكتب الأمم الم</w:t>
      </w:r>
      <w:r>
        <w:rPr>
          <w:rFonts w:hint="cs"/>
          <w:snapToGrid w:val="0"/>
          <w:kern w:val="22"/>
          <w:rtl/>
        </w:rPr>
        <w:t>تحدة للحد من مخاطر الكوارث، (ب)</w:t>
      </w:r>
      <w:r w:rsidRPr="00DB01FB">
        <w:rPr>
          <w:rFonts w:hint="cs"/>
          <w:snapToGrid w:val="0"/>
          <w:kern w:val="22"/>
          <w:rtl/>
        </w:rPr>
        <w:t xml:space="preserve"> وأهداف تحييد أثر تدهور الأراضي، المعتمدة بموجب اتفاقية الأمم المتحدة لمكافحة التصحر، (</w:t>
      </w:r>
      <w:r>
        <w:rPr>
          <w:rFonts w:hint="cs"/>
          <w:snapToGrid w:val="0"/>
          <w:kern w:val="22"/>
          <w:rtl/>
        </w:rPr>
        <w:t>ج</w:t>
      </w:r>
      <w:r w:rsidRPr="00DB01FB">
        <w:rPr>
          <w:rFonts w:hint="cs"/>
          <w:snapToGrid w:val="0"/>
          <w:kern w:val="22"/>
          <w:rtl/>
        </w:rPr>
        <w:t>) والخطة الحضرية الجديدة، المعتمدة بموجب برنامج الأمم المتحدة للمستوطنات البشرية، (</w:t>
      </w:r>
      <w:r>
        <w:rPr>
          <w:rFonts w:hint="cs"/>
          <w:snapToGrid w:val="0"/>
          <w:kern w:val="22"/>
          <w:rtl/>
        </w:rPr>
        <w:t>د</w:t>
      </w:r>
      <w:r w:rsidRPr="00DB01FB">
        <w:rPr>
          <w:rFonts w:hint="cs"/>
          <w:snapToGrid w:val="0"/>
          <w:kern w:val="22"/>
          <w:rtl/>
        </w:rPr>
        <w:t>) والمعاهدة الدولية بشأن الموارد الوراثية النباتية للأغذية والزراعة، (</w:t>
      </w:r>
      <w:r>
        <w:rPr>
          <w:rFonts w:ascii="Simplified Arabic" w:hAnsi="Simplified Arabic"/>
          <w:snapToGrid w:val="0"/>
          <w:kern w:val="22"/>
          <w:rtl/>
        </w:rPr>
        <w:t>ھ</w:t>
      </w:r>
      <w:r w:rsidRPr="00DB01FB">
        <w:rPr>
          <w:rFonts w:hint="cs"/>
          <w:snapToGrid w:val="0"/>
          <w:kern w:val="22"/>
          <w:rtl/>
        </w:rPr>
        <w:t xml:space="preserve">) </w:t>
      </w:r>
      <w:r>
        <w:rPr>
          <w:rFonts w:hint="cs"/>
          <w:snapToGrid w:val="0"/>
          <w:kern w:val="22"/>
          <w:rtl/>
        </w:rPr>
        <w:t xml:space="preserve">وبرنامج الإنسان والمحيط الحيوي وشبكته لمحميات المحيط الحيوي </w:t>
      </w:r>
      <w:r w:rsidRPr="00DB01FB">
        <w:rPr>
          <w:rFonts w:hint="cs"/>
          <w:snapToGrid w:val="0"/>
          <w:kern w:val="22"/>
          <w:rtl/>
        </w:rPr>
        <w:t>واتفاقية التراث العالمي التابعة لمنظمة الأمم المتحدة للتربية والعلم والثقافة</w:t>
      </w:r>
      <w:r>
        <w:rPr>
          <w:rFonts w:hint="cs"/>
          <w:snapToGrid w:val="0"/>
          <w:kern w:val="22"/>
          <w:rtl/>
        </w:rPr>
        <w:t xml:space="preserve"> (اليونسكو)</w:t>
      </w:r>
      <w:r w:rsidRPr="00DB01FB">
        <w:rPr>
          <w:rFonts w:hint="cs"/>
          <w:snapToGrid w:val="0"/>
          <w:kern w:val="22"/>
          <w:rtl/>
        </w:rPr>
        <w:t>، (</w:t>
      </w:r>
      <w:r>
        <w:rPr>
          <w:rFonts w:hint="cs"/>
          <w:snapToGrid w:val="0"/>
          <w:kern w:val="22"/>
          <w:rtl/>
        </w:rPr>
        <w:t>و</w:t>
      </w:r>
      <w:r w:rsidRPr="00DB01FB">
        <w:rPr>
          <w:rFonts w:hint="cs"/>
          <w:snapToGrid w:val="0"/>
          <w:kern w:val="22"/>
          <w:rtl/>
        </w:rPr>
        <w:t>) واتفاقية الأمم المتحدة لقانون البحار، فضلا عن الاستراتيجيات/الخطط الرئيسية المعتمدة بموجب الاتفاقيات الأخرى المتعلقة بالتنوع البيولوجي من قبيل (</w:t>
      </w:r>
      <w:r>
        <w:rPr>
          <w:rFonts w:hint="cs"/>
          <w:snapToGrid w:val="0"/>
          <w:kern w:val="22"/>
          <w:rtl/>
        </w:rPr>
        <w:t>ز</w:t>
      </w:r>
      <w:r w:rsidRPr="00DB01FB">
        <w:rPr>
          <w:rFonts w:hint="cs"/>
          <w:snapToGrid w:val="0"/>
          <w:kern w:val="22"/>
          <w:rtl/>
        </w:rPr>
        <w:t>) الخطة الاستراتيجية للأنواع المهاجرة للفترة 2015-2023، (</w:t>
      </w:r>
      <w:r>
        <w:rPr>
          <w:rFonts w:hint="cs"/>
          <w:snapToGrid w:val="0"/>
          <w:kern w:val="22"/>
          <w:rtl/>
        </w:rPr>
        <w:t>ح</w:t>
      </w:r>
      <w:r w:rsidRPr="00DB01FB">
        <w:rPr>
          <w:rFonts w:hint="cs"/>
          <w:snapToGrid w:val="0"/>
          <w:kern w:val="22"/>
          <w:rtl/>
        </w:rPr>
        <w:t>)</w:t>
      </w:r>
      <w:r>
        <w:rPr>
          <w:rFonts w:hint="cs"/>
          <w:snapToGrid w:val="0"/>
          <w:kern w:val="22"/>
          <w:rtl/>
        </w:rPr>
        <w:t> </w:t>
      </w:r>
      <w:r w:rsidRPr="00DB01FB">
        <w:rPr>
          <w:rFonts w:hint="cs"/>
          <w:snapToGrid w:val="0"/>
          <w:kern w:val="22"/>
          <w:rtl/>
        </w:rPr>
        <w:t>وخطة الأمم المتحدة الاستراتيجية للغابات للفترة 2017-2030، (</w:t>
      </w:r>
      <w:r>
        <w:rPr>
          <w:rFonts w:hint="cs"/>
          <w:snapToGrid w:val="0"/>
          <w:kern w:val="22"/>
          <w:rtl/>
        </w:rPr>
        <w:t>ط</w:t>
      </w:r>
      <w:r w:rsidRPr="00DB01FB">
        <w:rPr>
          <w:rFonts w:hint="cs"/>
          <w:snapToGrid w:val="0"/>
          <w:kern w:val="22"/>
          <w:rtl/>
        </w:rPr>
        <w:t>) والخطة الاستراتيجية الرابعة لرامسار للفترة 2016-2024، (</w:t>
      </w:r>
      <w:r>
        <w:rPr>
          <w:rFonts w:hint="cs"/>
          <w:snapToGrid w:val="0"/>
          <w:kern w:val="22"/>
          <w:rtl/>
        </w:rPr>
        <w:t>ي</w:t>
      </w:r>
      <w:r w:rsidRPr="00DB01FB">
        <w:rPr>
          <w:rFonts w:hint="cs"/>
          <w:snapToGrid w:val="0"/>
          <w:kern w:val="22"/>
          <w:rtl/>
        </w:rPr>
        <w:t xml:space="preserve">) والرؤية الاستراتيجية </w:t>
      </w:r>
      <w:r>
        <w:rPr>
          <w:rFonts w:hint="cs"/>
          <w:snapToGrid w:val="0"/>
          <w:kern w:val="22"/>
          <w:rtl/>
        </w:rPr>
        <w:t xml:space="preserve">للفترة 2008-2020 المعتمدة بموجب </w:t>
      </w:r>
      <w:r w:rsidRPr="00DB01FB">
        <w:rPr>
          <w:rFonts w:hint="cs"/>
          <w:snapToGrid w:val="0"/>
          <w:kern w:val="22"/>
          <w:rtl/>
        </w:rPr>
        <w:t>اتفاقية الاتّجار الدولي بأنواع الحيوانات والنباتات البرية المعرضة للانقراض</w:t>
      </w:r>
      <w:r>
        <w:rPr>
          <w:rFonts w:hint="cs"/>
          <w:snapToGrid w:val="0"/>
          <w:kern w:val="22"/>
          <w:rtl/>
        </w:rPr>
        <w:t xml:space="preserve"> </w:t>
      </w:r>
      <w:r>
        <w:rPr>
          <w:snapToGrid w:val="0"/>
          <w:kern w:val="22"/>
        </w:rPr>
        <w:t>(CITES)</w:t>
      </w:r>
      <w:r>
        <w:rPr>
          <w:rFonts w:hint="cs"/>
          <w:snapToGrid w:val="0"/>
          <w:kern w:val="22"/>
          <w:rtl/>
        </w:rPr>
        <w:t>،</w:t>
      </w:r>
      <w:r w:rsidRPr="00DB01FB">
        <w:rPr>
          <w:rFonts w:hint="cs"/>
          <w:snapToGrid w:val="0"/>
          <w:kern w:val="22"/>
          <w:rtl/>
        </w:rPr>
        <w:t xml:space="preserve"> (</w:t>
      </w:r>
      <w:r>
        <w:rPr>
          <w:rFonts w:hint="cs"/>
          <w:snapToGrid w:val="0"/>
          <w:kern w:val="22"/>
          <w:rtl/>
        </w:rPr>
        <w:t>ك</w:t>
      </w:r>
      <w:r w:rsidRPr="00DB01FB">
        <w:rPr>
          <w:rFonts w:hint="cs"/>
          <w:snapToGrid w:val="0"/>
          <w:kern w:val="22"/>
          <w:rtl/>
        </w:rPr>
        <w:t>) وخطة عمل أديس أبابا لحشد الموارد المعتمدة بموجب المؤتمر الدولي الثالث المعني بتمويل التنمية</w:t>
      </w:r>
      <w:r>
        <w:rPr>
          <w:rFonts w:hint="cs"/>
          <w:snapToGrid w:val="0"/>
          <w:kern w:val="22"/>
          <w:rtl/>
        </w:rPr>
        <w:t>،</w:t>
      </w:r>
      <w:r w:rsidRPr="00DB01FB">
        <w:rPr>
          <w:rFonts w:hint="cs"/>
          <w:snapToGrid w:val="0"/>
          <w:kern w:val="22"/>
          <w:rtl/>
        </w:rPr>
        <w:t xml:space="preserve"> (</w:t>
      </w:r>
      <w:r>
        <w:rPr>
          <w:rFonts w:hint="cs"/>
          <w:snapToGrid w:val="0"/>
          <w:kern w:val="22"/>
          <w:rtl/>
        </w:rPr>
        <w:t>ل</w:t>
      </w:r>
      <w:r w:rsidRPr="00DB01FB">
        <w:rPr>
          <w:rFonts w:hint="cs"/>
          <w:snapToGrid w:val="0"/>
          <w:kern w:val="22"/>
          <w:rtl/>
        </w:rPr>
        <w:t>)</w:t>
      </w:r>
      <w:r>
        <w:rPr>
          <w:rFonts w:hint="cs"/>
          <w:snapToGrid w:val="0"/>
          <w:kern w:val="22"/>
          <w:rtl/>
        </w:rPr>
        <w:t> </w:t>
      </w:r>
      <w:r w:rsidRPr="00DB01FB">
        <w:rPr>
          <w:rFonts w:hint="cs"/>
          <w:snapToGrid w:val="0"/>
          <w:kern w:val="22"/>
          <w:rtl/>
        </w:rPr>
        <w:t>و</w:t>
      </w:r>
      <w:r>
        <w:rPr>
          <w:rFonts w:hint="cs"/>
          <w:snapToGrid w:val="0"/>
          <w:kern w:val="22"/>
          <w:rtl/>
        </w:rPr>
        <w:t>إجراءات العمل المعجل للدول الجزرية الصغيرة النامية (</w:t>
      </w:r>
      <w:r w:rsidRPr="00DB01FB">
        <w:rPr>
          <w:rFonts w:hint="cs"/>
          <w:snapToGrid w:val="0"/>
          <w:kern w:val="22"/>
          <w:rtl/>
        </w:rPr>
        <w:t>مسار ساموا</w:t>
      </w:r>
      <w:r>
        <w:rPr>
          <w:rFonts w:hint="cs"/>
          <w:snapToGrid w:val="0"/>
          <w:kern w:val="22"/>
          <w:rtl/>
        </w:rPr>
        <w:t>)</w:t>
      </w:r>
      <w:r w:rsidRPr="00DB01FB">
        <w:rPr>
          <w:rFonts w:hint="cs"/>
          <w:snapToGrid w:val="0"/>
          <w:kern w:val="22"/>
          <w:rtl/>
        </w:rPr>
        <w:t>، و(</w:t>
      </w:r>
      <w:r>
        <w:rPr>
          <w:rFonts w:hint="cs"/>
          <w:snapToGrid w:val="0"/>
          <w:kern w:val="22"/>
          <w:rtl/>
        </w:rPr>
        <w:t>م</w:t>
      </w:r>
      <w:r w:rsidRPr="00DB01FB">
        <w:rPr>
          <w:rFonts w:hint="cs"/>
          <w:snapToGrid w:val="0"/>
          <w:kern w:val="22"/>
          <w:rtl/>
        </w:rPr>
        <w:t>) رؤية ومهمة الشراكة الدولية للجبال.</w:t>
      </w:r>
    </w:p>
  </w:footnote>
  <w:footnote w:id="312">
    <w:p w:rsidR="000C66C6" w:rsidRDefault="000C66C6" w:rsidP="00CC7A77">
      <w:pPr>
        <w:pStyle w:val="FootnoteText"/>
        <w:rPr>
          <w:rtl/>
        </w:rPr>
      </w:pPr>
      <w:r>
        <w:rPr>
          <w:rStyle w:val="FootnoteReference"/>
        </w:rPr>
        <w:footnoteRef/>
      </w:r>
      <w:r>
        <w:rPr>
          <w:rtl/>
        </w:rPr>
        <w:t xml:space="preserve"> </w:t>
      </w:r>
      <w:r w:rsidRPr="00613963">
        <w:rPr>
          <w:rFonts w:ascii="Simplified Arabic" w:hAnsi="Simplified Arabic"/>
          <w:sz w:val="20"/>
          <w:rtl/>
        </w:rPr>
        <w:t xml:space="preserve">المتعمد بموجب اتفاقية الأمم المتحدة الإطارية بشأن تغير المناخ (الأمم المتحدة، </w:t>
      </w:r>
      <w:r w:rsidRPr="00235970">
        <w:rPr>
          <w:rFonts w:ascii="Simplified Arabic" w:hAnsi="Simplified Arabic"/>
          <w:i/>
          <w:iCs/>
          <w:sz w:val="20"/>
          <w:rtl/>
        </w:rPr>
        <w:t>مجموعة المعاهدات</w:t>
      </w:r>
      <w:r w:rsidRPr="00613963">
        <w:rPr>
          <w:rFonts w:ascii="Simplified Arabic" w:hAnsi="Simplified Arabic"/>
          <w:sz w:val="20"/>
          <w:rtl/>
        </w:rPr>
        <w:t>، رقم التسجيل</w:t>
      </w:r>
      <w:r>
        <w:rPr>
          <w:rFonts w:hint="cs"/>
          <w:rtl/>
        </w:rPr>
        <w:t xml:space="preserve"> </w:t>
      </w:r>
      <w:r w:rsidRPr="00613963">
        <w:rPr>
          <w:rFonts w:cs="Times New Roman"/>
          <w:snapToGrid w:val="0"/>
          <w:kern w:val="18"/>
          <w:szCs w:val="18"/>
        </w:rPr>
        <w:t>I-54113</w:t>
      </w:r>
      <w:r>
        <w:rPr>
          <w:rFonts w:hint="cs"/>
          <w:rtl/>
        </w:rPr>
        <w:t>).</w:t>
      </w:r>
    </w:p>
  </w:footnote>
  <w:footnote w:id="313">
    <w:p w:rsidR="000C66C6" w:rsidRDefault="000C66C6" w:rsidP="00CC7A77">
      <w:pPr>
        <w:pStyle w:val="FootnoteText"/>
        <w:rPr>
          <w:rtl/>
        </w:rPr>
      </w:pPr>
      <w:r>
        <w:rPr>
          <w:rStyle w:val="FootnoteReference"/>
        </w:rPr>
        <w:footnoteRef/>
      </w:r>
      <w:r>
        <w:rPr>
          <w:rtl/>
        </w:rPr>
        <w:t xml:space="preserve"> </w:t>
      </w:r>
      <w:r w:rsidRPr="00C925ED">
        <w:rPr>
          <w:rFonts w:cs="Times New Roman"/>
          <w:kern w:val="18"/>
          <w:szCs w:val="18"/>
        </w:rPr>
        <w:t>CBD/NP/MOP/DEC/3/1</w:t>
      </w:r>
      <w:r>
        <w:rPr>
          <w:rFonts w:hint="cs"/>
          <w:rtl/>
        </w:rPr>
        <w:t>.</w:t>
      </w:r>
    </w:p>
  </w:footnote>
  <w:footnote w:id="314">
    <w:p w:rsidR="000C66C6" w:rsidRDefault="000C66C6" w:rsidP="00CC7A77">
      <w:pPr>
        <w:pStyle w:val="FootnoteText"/>
        <w:rPr>
          <w:rtl/>
        </w:rPr>
      </w:pPr>
      <w:r>
        <w:rPr>
          <w:rStyle w:val="FootnoteReference"/>
        </w:rPr>
        <w:footnoteRef/>
      </w:r>
      <w:r>
        <w:rPr>
          <w:rtl/>
        </w:rPr>
        <w:t xml:space="preserve"> </w:t>
      </w:r>
      <w:r w:rsidRPr="00C925ED">
        <w:rPr>
          <w:rFonts w:cs="Times New Roman"/>
          <w:kern w:val="18"/>
          <w:szCs w:val="18"/>
        </w:rPr>
        <w:t>CBD/CP/MOP/DEC/9/3</w:t>
      </w:r>
      <w:r>
        <w:rPr>
          <w:rFonts w:hint="cs"/>
          <w:rtl/>
        </w:rPr>
        <w:t>.</w:t>
      </w:r>
    </w:p>
  </w:footnote>
  <w:footnote w:id="315">
    <w:p w:rsidR="000C66C6" w:rsidRPr="00BC7608" w:rsidRDefault="000C66C6" w:rsidP="00CC7A77">
      <w:pPr>
        <w:pStyle w:val="FootnoteText"/>
      </w:pPr>
      <w:r>
        <w:rPr>
          <w:rStyle w:val="FootnoteReference"/>
        </w:rPr>
        <w:footnoteRef/>
      </w:r>
      <w:r>
        <w:rPr>
          <w:rtl/>
        </w:rPr>
        <w:t xml:space="preserve"> </w:t>
      </w:r>
      <w:r w:rsidRPr="00BC7608">
        <w:rPr>
          <w:rtl/>
        </w:rPr>
        <w:t xml:space="preserve">قرار الجمعية العامة </w:t>
      </w:r>
      <w:hyperlink r:id="rId157" w:history="1">
        <w:r w:rsidRPr="007E770D">
          <w:rPr>
            <w:rStyle w:val="Hyperlink"/>
            <w:rtl/>
          </w:rPr>
          <w:t>70/1</w:t>
        </w:r>
      </w:hyperlink>
      <w:r w:rsidRPr="00BC7608">
        <w:rPr>
          <w:rtl/>
        </w:rPr>
        <w:t xml:space="preserve"> المؤرخ 25 سبتمبر/أيلول 2015 المعنون "تحويل عالمنا: خطة التنمية المستدامة لعام 2030"، المرفق، الفقرة 83.</w:t>
      </w:r>
    </w:p>
  </w:footnote>
  <w:footnote w:id="316">
    <w:p w:rsidR="000C66C6" w:rsidRDefault="000C66C6" w:rsidP="00CC7A77">
      <w:pPr>
        <w:pStyle w:val="FootnoteText"/>
        <w:rPr>
          <w:rtl/>
        </w:rPr>
      </w:pPr>
      <w:r>
        <w:rPr>
          <w:rStyle w:val="FootnoteReference"/>
        </w:rPr>
        <w:footnoteRef/>
      </w:r>
      <w:r>
        <w:rPr>
          <w:rFonts w:eastAsia="Times New Roman" w:cs="Times New Roman" w:hint="cs"/>
          <w:szCs w:val="18"/>
          <w:rtl/>
          <w:lang w:eastAsia="en-US"/>
        </w:rPr>
        <w:t xml:space="preserve"> </w:t>
      </w:r>
      <w:r w:rsidRPr="00C925ED">
        <w:rPr>
          <w:rFonts w:cs="Times New Roman"/>
          <w:kern w:val="18"/>
          <w:szCs w:val="18"/>
        </w:rPr>
        <w:t>https://www.cbd.int/conferences/2018/cop-14-afr-hls</w:t>
      </w:r>
      <w:r w:rsidRPr="001964D4">
        <w:rPr>
          <w:rFonts w:eastAsia="Times New Roman" w:cs="Times New Roman" w:hint="cs"/>
          <w:b/>
          <w:bCs/>
          <w:szCs w:val="24"/>
          <w:rtl/>
          <w:lang w:eastAsia="en-US"/>
        </w:rPr>
        <w:t>.</w:t>
      </w:r>
    </w:p>
  </w:footnote>
  <w:footnote w:id="317">
    <w:p w:rsidR="000C66C6" w:rsidRDefault="000C66C6" w:rsidP="00CC7A77">
      <w:pPr>
        <w:pStyle w:val="FootnoteText"/>
        <w:rPr>
          <w:rtl/>
        </w:rPr>
      </w:pPr>
      <w:r>
        <w:rPr>
          <w:rStyle w:val="FootnoteReference"/>
        </w:rPr>
        <w:footnoteRef/>
      </w:r>
      <w:r>
        <w:rPr>
          <w:rtl/>
        </w:rPr>
        <w:t xml:space="preserve"> </w:t>
      </w:r>
      <w:r w:rsidRPr="00C925ED">
        <w:rPr>
          <w:rFonts w:cs="Times New Roman"/>
          <w:kern w:val="18"/>
          <w:szCs w:val="18"/>
        </w:rPr>
        <w:t>https://www.cbd.int/conferences/2018/parallel-meetings/science-forum</w:t>
      </w:r>
      <w:r w:rsidRPr="001964D4">
        <w:rPr>
          <w:rFonts w:eastAsia="Times New Roman" w:cs="Times New Roman" w:hint="cs"/>
          <w:b/>
          <w:bCs/>
          <w:szCs w:val="24"/>
          <w:rtl/>
          <w:lang w:val="en-GB" w:eastAsia="en-US"/>
        </w:rPr>
        <w:t>.</w:t>
      </w:r>
    </w:p>
  </w:footnote>
  <w:footnote w:id="318">
    <w:p w:rsidR="000C66C6" w:rsidRDefault="000C66C6" w:rsidP="00CC7A77">
      <w:pPr>
        <w:pStyle w:val="FootnoteText"/>
        <w:rPr>
          <w:rtl/>
        </w:rPr>
      </w:pPr>
      <w:r>
        <w:rPr>
          <w:rStyle w:val="FootnoteReference"/>
        </w:rPr>
        <w:footnoteRef/>
      </w:r>
      <w:r>
        <w:rPr>
          <w:rtl/>
        </w:rPr>
        <w:t xml:space="preserve"> </w:t>
      </w:r>
      <w:r w:rsidRPr="005E0F01">
        <w:rPr>
          <w:rFonts w:cs="Times New Roman"/>
          <w:kern w:val="18"/>
          <w:szCs w:val="18"/>
        </w:rPr>
        <w:t>https://www.cbd.int/business/meetings-events/2018/default.shtml</w:t>
      </w:r>
      <w:r w:rsidRPr="005E0F01">
        <w:rPr>
          <w:rFonts w:cs="Times New Roman"/>
          <w:szCs w:val="18"/>
          <w:rtl/>
        </w:rPr>
        <w:t>.</w:t>
      </w:r>
    </w:p>
  </w:footnote>
  <w:footnote w:id="319">
    <w:p w:rsidR="000C66C6" w:rsidRDefault="000C66C6" w:rsidP="00CC7A77">
      <w:pPr>
        <w:pStyle w:val="FootnoteText"/>
        <w:rPr>
          <w:rtl/>
        </w:rPr>
      </w:pPr>
      <w:r>
        <w:rPr>
          <w:rStyle w:val="FootnoteReference"/>
        </w:rPr>
        <w:footnoteRef/>
      </w:r>
      <w:r>
        <w:rPr>
          <w:rtl/>
        </w:rPr>
        <w:t xml:space="preserve"> </w:t>
      </w:r>
      <w:r w:rsidRPr="00C925ED">
        <w:rPr>
          <w:rFonts w:eastAsia="Times New Roman" w:cs="Times New Roman"/>
          <w:bCs/>
          <w:szCs w:val="18"/>
          <w:lang w:val="en-GB" w:eastAsia="en-US"/>
        </w:rPr>
        <w:t>CBD/COP/14/INF/46</w:t>
      </w:r>
      <w:r>
        <w:rPr>
          <w:rFonts w:eastAsia="Times New Roman" w:cs="Times New Roman" w:hint="cs"/>
          <w:bCs/>
          <w:szCs w:val="24"/>
          <w:rtl/>
          <w:lang w:val="en-GB" w:eastAsia="en-US"/>
        </w:rPr>
        <w:t>.</w:t>
      </w:r>
    </w:p>
  </w:footnote>
  <w:footnote w:id="320">
    <w:p w:rsidR="000C66C6" w:rsidRDefault="000C66C6" w:rsidP="00CC7A77">
      <w:pPr>
        <w:pStyle w:val="FootnoteText"/>
        <w:rPr>
          <w:rtl/>
        </w:rPr>
      </w:pPr>
      <w:r>
        <w:rPr>
          <w:rStyle w:val="FootnoteReference"/>
        </w:rPr>
        <w:footnoteRef/>
      </w:r>
      <w:r>
        <w:rPr>
          <w:rtl/>
        </w:rPr>
        <w:t xml:space="preserve"> </w:t>
      </w:r>
      <w:r w:rsidRPr="005E0F01">
        <w:rPr>
          <w:rFonts w:cs="Times New Roman"/>
          <w:kern w:val="18"/>
          <w:szCs w:val="18"/>
        </w:rPr>
        <w:t>https://cbc.iclei.org/event/6thbiodiversitysummit/</w:t>
      </w:r>
      <w:r>
        <w:rPr>
          <w:rFonts w:hint="cs"/>
          <w:rtl/>
        </w:rPr>
        <w:t>.</w:t>
      </w:r>
    </w:p>
  </w:footnote>
  <w:footnote w:id="321">
    <w:p w:rsidR="000C66C6" w:rsidRPr="00C213C3" w:rsidRDefault="000C66C6" w:rsidP="00ED48E1">
      <w:pPr>
        <w:pStyle w:val="FootnoteText"/>
        <w:rPr>
          <w:rFonts w:ascii="Simplified Arabic" w:hAnsi="Simplified Arabic"/>
          <w:sz w:val="20"/>
          <w:rtl/>
        </w:rPr>
      </w:pPr>
      <w:r w:rsidRPr="00C213C3">
        <w:rPr>
          <w:rStyle w:val="FootnoteReference"/>
          <w:rFonts w:ascii="Simplified Arabic" w:hAnsi="Simplified Arabic"/>
          <w:sz w:val="20"/>
          <w:szCs w:val="20"/>
        </w:rPr>
        <w:footnoteRef/>
      </w:r>
      <w:r w:rsidRPr="00C213C3">
        <w:rPr>
          <w:rFonts w:ascii="Simplified Arabic" w:hAnsi="Simplified Arabic"/>
          <w:sz w:val="20"/>
          <w:rtl/>
        </w:rPr>
        <w:t xml:space="preserve">  </w:t>
      </w:r>
      <w:hyperlink r:id="rId158" w:history="1">
        <w:r w:rsidRPr="00C213C3">
          <w:rPr>
            <w:rFonts w:ascii="Simplified Arabic" w:eastAsia="YouYuan" w:hAnsi="Simplified Arabic"/>
            <w:color w:val="0000FF"/>
            <w:kern w:val="2"/>
            <w:sz w:val="20"/>
            <w:u w:val="single"/>
            <w:rtl/>
            <w:lang w:eastAsia="en-US"/>
          </w:rPr>
          <w:t>المقرر 10/2</w:t>
        </w:r>
      </w:hyperlink>
      <w:r w:rsidRPr="00C213C3">
        <w:rPr>
          <w:rFonts w:ascii="Simplified Arabic" w:hAnsi="Simplified Arabic"/>
          <w:sz w:val="20"/>
          <w:rtl/>
        </w:rPr>
        <w:t>، المرفق.</w:t>
      </w:r>
    </w:p>
  </w:footnote>
  <w:footnote w:id="322">
    <w:p w:rsidR="000C66C6" w:rsidRPr="00C213C3" w:rsidRDefault="000C66C6" w:rsidP="00ED48E1">
      <w:pPr>
        <w:pStyle w:val="FootnoteText"/>
        <w:rPr>
          <w:rFonts w:ascii="Simplified Arabic" w:hAnsi="Simplified Arabic"/>
          <w:sz w:val="20"/>
          <w:rtl/>
          <w:lang w:val="en-CA"/>
        </w:rPr>
      </w:pPr>
      <w:r w:rsidRPr="00C213C3">
        <w:rPr>
          <w:rStyle w:val="FootnoteReference"/>
          <w:rFonts w:ascii="Simplified Arabic" w:hAnsi="Simplified Arabic"/>
          <w:sz w:val="20"/>
          <w:szCs w:val="20"/>
        </w:rPr>
        <w:footnoteRef/>
      </w:r>
      <w:r w:rsidRPr="00C213C3">
        <w:rPr>
          <w:rFonts w:ascii="Simplified Arabic" w:hAnsi="Simplified Arabic"/>
          <w:sz w:val="20"/>
          <w:rtl/>
        </w:rPr>
        <w:t xml:space="preserve">  انظر مشروع مقرر مؤتمر الأطراف الوارد في </w:t>
      </w:r>
      <w:hyperlink r:id="rId159" w:history="1">
        <w:r w:rsidRPr="0040431E">
          <w:rPr>
            <w:rStyle w:val="Hyperlink"/>
            <w:rFonts w:ascii="Simplified Arabic" w:hAnsi="Simplified Arabic"/>
            <w:sz w:val="20"/>
            <w:rtl/>
          </w:rPr>
          <w:t>التوصية 21/1</w:t>
        </w:r>
      </w:hyperlink>
      <w:r w:rsidRPr="00C213C3">
        <w:rPr>
          <w:rFonts w:ascii="Simplified Arabic" w:hAnsi="Simplified Arabic"/>
          <w:sz w:val="20"/>
          <w:rtl/>
        </w:rPr>
        <w:t xml:space="preserve"> للهيئة الفرعية </w:t>
      </w:r>
      <w:r>
        <w:rPr>
          <w:rFonts w:ascii="Simplified Arabic" w:hAnsi="Simplified Arabic" w:hint="cs"/>
          <w:sz w:val="20"/>
          <w:rtl/>
        </w:rPr>
        <w:t>للمشورة العلمية والتقنية والتكنولوجية</w:t>
      </w:r>
      <w:r w:rsidRPr="00C213C3">
        <w:rPr>
          <w:rFonts w:ascii="Simplified Arabic" w:hAnsi="Simplified Arabic"/>
          <w:sz w:val="20"/>
          <w:rtl/>
        </w:rPr>
        <w:t>.</w:t>
      </w:r>
    </w:p>
  </w:footnote>
  <w:footnote w:id="323">
    <w:p w:rsidR="000C66C6" w:rsidRPr="003D53D1" w:rsidRDefault="000C66C6" w:rsidP="00ED48E1">
      <w:pPr>
        <w:pStyle w:val="FootnoteText"/>
        <w:rPr>
          <w:rtl/>
        </w:rPr>
      </w:pPr>
      <w:r>
        <w:t xml:space="preserve"> </w:t>
      </w:r>
      <w:r w:rsidRPr="003D53D1">
        <w:rPr>
          <w:rStyle w:val="FootnoteReference"/>
        </w:rPr>
        <w:footnoteRef/>
      </w:r>
      <w:r w:rsidRPr="003D53D1">
        <w:rPr>
          <w:rFonts w:hint="cs"/>
          <w:rtl/>
        </w:rPr>
        <w:t xml:space="preserve">انظر قرار الجمعية العامة </w:t>
      </w:r>
      <w:hyperlink r:id="rId160" w:history="1">
        <w:r w:rsidRPr="00B56B3D">
          <w:rPr>
            <w:rStyle w:val="Hyperlink"/>
            <w:rFonts w:hint="cs"/>
            <w:rtl/>
          </w:rPr>
          <w:t>70/1</w:t>
        </w:r>
      </w:hyperlink>
      <w:r w:rsidRPr="003D53D1">
        <w:rPr>
          <w:rFonts w:hint="cs"/>
          <w:rtl/>
        </w:rPr>
        <w:t xml:space="preserve"> المؤرخ 25 سبتمبر/أيلول 2015.</w:t>
      </w:r>
    </w:p>
  </w:footnote>
  <w:footnote w:id="324">
    <w:p w:rsidR="000C66C6" w:rsidRDefault="000C66C6" w:rsidP="00ED48E1">
      <w:pPr>
        <w:pStyle w:val="FootnoteText"/>
        <w:rPr>
          <w:rtl/>
        </w:rPr>
      </w:pPr>
      <w:r w:rsidRPr="003D53D1">
        <w:rPr>
          <w:rStyle w:val="FootnoteReference"/>
        </w:rPr>
        <w:footnoteRef/>
      </w:r>
      <w:r w:rsidRPr="003D53D1">
        <w:rPr>
          <w:rFonts w:hint="cs"/>
          <w:rtl/>
        </w:rPr>
        <w:t xml:space="preserve"> الأمم المتحدة، </w:t>
      </w:r>
      <w:r w:rsidRPr="003D53D1">
        <w:rPr>
          <w:rFonts w:hint="cs"/>
          <w:i/>
          <w:iCs/>
          <w:rtl/>
        </w:rPr>
        <w:t>مجموعة المعاهدات</w:t>
      </w:r>
      <w:r w:rsidRPr="003D53D1">
        <w:rPr>
          <w:rFonts w:hint="cs"/>
          <w:rtl/>
        </w:rPr>
        <w:t>، الرقم 54113.</w:t>
      </w:r>
    </w:p>
  </w:footnote>
  <w:footnote w:id="325">
    <w:p w:rsidR="000C66C6" w:rsidRDefault="000C66C6" w:rsidP="00ED48E1">
      <w:pPr>
        <w:pStyle w:val="FootnoteText"/>
      </w:pPr>
      <w:r>
        <w:rPr>
          <w:rStyle w:val="FootnoteReference"/>
        </w:rPr>
        <w:footnoteRef/>
      </w:r>
      <w:r>
        <w:rPr>
          <w:rtl/>
        </w:rPr>
        <w:t xml:space="preserve"> </w:t>
      </w:r>
      <w:r w:rsidRPr="00CA6FC5">
        <w:rPr>
          <w:rFonts w:hint="cs"/>
          <w:rtl/>
        </w:rPr>
        <w:t xml:space="preserve">المقرر </w:t>
      </w:r>
      <w:r w:rsidRPr="00C34CEB">
        <w:rPr>
          <w:kern w:val="18"/>
          <w:szCs w:val="18"/>
        </w:rPr>
        <w:t>IPBES-6/1</w:t>
      </w:r>
      <w:r w:rsidRPr="00CA6FC5">
        <w:rPr>
          <w:rFonts w:hint="cs"/>
          <w:kern w:val="18"/>
          <w:rtl/>
        </w:rPr>
        <w:t xml:space="preserve"> بشأن تنفيذ برنامج العمل الأول للمنبر</w:t>
      </w:r>
      <w:r>
        <w:rPr>
          <w:rFonts w:hint="cs"/>
          <w:rtl/>
        </w:rPr>
        <w:t>.</w:t>
      </w:r>
    </w:p>
  </w:footnote>
  <w:footnote w:id="326">
    <w:p w:rsidR="000C66C6" w:rsidRDefault="000C66C6" w:rsidP="00ED48E1">
      <w:pPr>
        <w:pStyle w:val="FootnoteText"/>
      </w:pPr>
      <w:r>
        <w:rPr>
          <w:rStyle w:val="FootnoteReference"/>
        </w:rPr>
        <w:footnoteRef/>
      </w:r>
      <w:r>
        <w:rPr>
          <w:rtl/>
        </w:rPr>
        <w:t xml:space="preserve"> </w:t>
      </w:r>
      <w:r>
        <w:rPr>
          <w:rFonts w:hint="cs"/>
          <w:rtl/>
        </w:rPr>
        <w:t>يرجى الإشارة إلى الحاشية بالجدول 6: حسب قرار الجمعية العامة للأمم المتحدة 70/245.</w:t>
      </w:r>
    </w:p>
  </w:footnote>
  <w:footnote w:id="327">
    <w:p w:rsidR="000C66C6" w:rsidRDefault="000C66C6" w:rsidP="00ED48E1">
      <w:pPr>
        <w:pStyle w:val="FootnoteText"/>
        <w:rPr>
          <w:rtl/>
        </w:rPr>
      </w:pPr>
      <w:r>
        <w:rPr>
          <w:rStyle w:val="FootnoteReference"/>
        </w:rPr>
        <w:footnoteRef/>
      </w:r>
      <w:r>
        <w:rPr>
          <w:rFonts w:hint="cs"/>
          <w:rtl/>
        </w:rPr>
        <w:t xml:space="preserve"> </w:t>
      </w:r>
      <w:hyperlink r:id="rId161" w:history="1">
        <w:r w:rsidRPr="00451F9C">
          <w:rPr>
            <w:rStyle w:val="Hyperlink"/>
            <w:rFonts w:eastAsia="Malgun Gothic"/>
            <w:kern w:val="18"/>
            <w:szCs w:val="18"/>
          </w:rPr>
          <w:t>CBD/COP</w:t>
        </w:r>
        <w:r w:rsidRPr="00000BF5">
          <w:rPr>
            <w:rStyle w:val="Hyperlink"/>
            <w:rFonts w:eastAsia="Malgun Gothic"/>
            <w:iCs/>
            <w:kern w:val="18"/>
            <w:szCs w:val="18"/>
            <w:lang w:val="en-GB" w:eastAsia="ko-KR"/>
          </w:rPr>
          <w:t>/</w:t>
        </w:r>
        <w:r w:rsidRPr="00451F9C">
          <w:rPr>
            <w:rStyle w:val="Hyperlink"/>
            <w:rFonts w:eastAsia="Malgun Gothic"/>
            <w:kern w:val="18"/>
            <w:szCs w:val="18"/>
          </w:rPr>
          <w:t>14/4</w:t>
        </w:r>
      </w:hyperlink>
      <w:r>
        <w:rPr>
          <w:rFonts w:hint="cs"/>
          <w:rtl/>
        </w:rPr>
        <w:t>.</w:t>
      </w:r>
    </w:p>
  </w:footnote>
  <w:footnote w:id="328">
    <w:p w:rsidR="000C66C6" w:rsidRDefault="000C66C6" w:rsidP="00ED48E1">
      <w:pPr>
        <w:pStyle w:val="FootnoteText"/>
        <w:rPr>
          <w:rtl/>
        </w:rPr>
      </w:pPr>
      <w:r>
        <w:rPr>
          <w:rStyle w:val="FootnoteReference"/>
        </w:rPr>
        <w:footnoteRef/>
      </w:r>
      <w:r>
        <w:rPr>
          <w:rtl/>
        </w:rPr>
        <w:t xml:space="preserve"> </w:t>
      </w:r>
      <w:r w:rsidRPr="00582EAC">
        <w:rPr>
          <w:rtl/>
        </w:rPr>
        <w:t xml:space="preserve">انظر قرار الجمعية العامة للأمم المتحدة </w:t>
      </w:r>
      <w:hyperlink r:id="rId162" w:history="1">
        <w:r w:rsidRPr="00246CBF">
          <w:rPr>
            <w:rStyle w:val="Hyperlink"/>
            <w:rFonts w:ascii="Simplified Arabic" w:hAnsi="Simplified Arabic"/>
            <w:sz w:val="20"/>
            <w:rtl/>
          </w:rPr>
          <w:t>60/283</w:t>
        </w:r>
      </w:hyperlink>
      <w:r w:rsidRPr="00246CBF">
        <w:rPr>
          <w:rFonts w:ascii="Simplified Arabic" w:hAnsi="Simplified Arabic"/>
          <w:sz w:val="20"/>
          <w:rtl/>
        </w:rPr>
        <w:t>،</w:t>
      </w:r>
      <w:r w:rsidRPr="00582EAC">
        <w:t xml:space="preserve"> </w:t>
      </w:r>
      <w:r w:rsidRPr="00582EAC">
        <w:rPr>
          <w:rtl/>
        </w:rPr>
        <w:t>القسم الرابع</w:t>
      </w:r>
      <w:r w:rsidRPr="00582EAC">
        <w:rPr>
          <w:rFonts w:hint="cs"/>
          <w:rtl/>
        </w:rPr>
        <w:t>.</w:t>
      </w:r>
    </w:p>
  </w:footnote>
  <w:footnote w:id="329">
    <w:p w:rsidR="000C66C6" w:rsidRDefault="000C66C6" w:rsidP="00ED48E1">
      <w:pPr>
        <w:pStyle w:val="FootnoteText"/>
        <w:rPr>
          <w:rtl/>
        </w:rPr>
      </w:pPr>
      <w:r>
        <w:rPr>
          <w:rStyle w:val="FootnoteReference"/>
        </w:rPr>
        <w:footnoteRef/>
      </w:r>
      <w:r>
        <w:rPr>
          <w:rtl/>
        </w:rPr>
        <w:t xml:space="preserve"> </w:t>
      </w:r>
      <w:r>
        <w:rPr>
          <w:rFonts w:hint="cs"/>
          <w:rtl/>
        </w:rPr>
        <w:t xml:space="preserve">انظر </w:t>
      </w:r>
      <w:hyperlink r:id="rId163" w:history="1">
        <w:r w:rsidRPr="00451F9C">
          <w:rPr>
            <w:rStyle w:val="Hyperlink"/>
            <w:kern w:val="18"/>
            <w:szCs w:val="18"/>
            <w:lang w:val="en-GB"/>
          </w:rPr>
          <w:t>CBD/SBI/2/22</w:t>
        </w:r>
      </w:hyperlink>
      <w:r>
        <w:rPr>
          <w:rFonts w:hint="cs"/>
          <w:rtl/>
        </w:rPr>
        <w:t>، القسم الأول.</w:t>
      </w:r>
    </w:p>
  </w:footnote>
  <w:footnote w:id="330">
    <w:p w:rsidR="000C66C6" w:rsidRDefault="000C66C6" w:rsidP="00ED48E1">
      <w:pPr>
        <w:pStyle w:val="FootnoteText"/>
      </w:pPr>
      <w:r>
        <w:rPr>
          <w:rStyle w:val="FootnoteReference"/>
        </w:rPr>
        <w:footnoteRef/>
      </w:r>
      <w:r>
        <w:rPr>
          <w:rtl/>
        </w:rPr>
        <w:t xml:space="preserve"> </w:t>
      </w:r>
      <w:r>
        <w:rPr>
          <w:rFonts w:hint="cs"/>
          <w:rtl/>
        </w:rPr>
        <w:t xml:space="preserve">انظر المقرر </w:t>
      </w:r>
      <w:hyperlink r:id="rId164" w:history="1">
        <w:r w:rsidRPr="007602DC">
          <w:rPr>
            <w:rStyle w:val="Hyperlink"/>
            <w:rFonts w:hint="cs"/>
            <w:rtl/>
          </w:rPr>
          <w:t>9/</w:t>
        </w:r>
        <w:r>
          <w:rPr>
            <w:rStyle w:val="Hyperlink"/>
            <w:rFonts w:hint="cs"/>
            <w:rtl/>
          </w:rPr>
          <w:t>3</w:t>
        </w:r>
        <w:r w:rsidRPr="007602DC">
          <w:rPr>
            <w:rStyle w:val="Hyperlink"/>
            <w:rFonts w:hint="cs"/>
            <w:rtl/>
          </w:rPr>
          <w:t>4</w:t>
        </w:r>
      </w:hyperlink>
      <w:r>
        <w:rPr>
          <w:rFonts w:hint="cs"/>
          <w:rtl/>
        </w:rPr>
        <w:t>، المرفق.</w:t>
      </w:r>
    </w:p>
  </w:footnote>
  <w:footnote w:id="331">
    <w:p w:rsidR="000C66C6" w:rsidRDefault="000C66C6" w:rsidP="00ED48E1">
      <w:pPr>
        <w:pStyle w:val="FootnoteText"/>
        <w:rPr>
          <w:rtl/>
        </w:rPr>
      </w:pPr>
      <w:r>
        <w:rPr>
          <w:rStyle w:val="FootnoteReference"/>
        </w:rPr>
        <w:footnoteRef/>
      </w:r>
      <w:r>
        <w:rPr>
          <w:rtl/>
        </w:rPr>
        <w:t xml:space="preserve"> </w:t>
      </w:r>
      <w:r>
        <w:rPr>
          <w:rFonts w:hint="cs"/>
          <w:rtl/>
        </w:rPr>
        <w:t>تاريخ الانتهاء المتوقع لصندوق التنوع البيولوجي في اليابان هو عام 2020، مما ينتج عنه الموعد النهائي للمستحقات بحلول نهاية عام 2020.</w:t>
      </w:r>
    </w:p>
  </w:footnote>
  <w:footnote w:id="332">
    <w:p w:rsidR="000C66C6" w:rsidRDefault="000C66C6" w:rsidP="00ED48E1">
      <w:pPr>
        <w:pStyle w:val="FootnoteText"/>
        <w:rPr>
          <w:rtl/>
        </w:rPr>
      </w:pPr>
      <w:r>
        <w:rPr>
          <w:rStyle w:val="FootnoteReference"/>
        </w:rPr>
        <w:footnoteRef/>
      </w:r>
      <w:r>
        <w:rPr>
          <w:rtl/>
        </w:rPr>
        <w:t xml:space="preserve"> </w:t>
      </w:r>
      <w:r>
        <w:rPr>
          <w:rFonts w:hint="cs"/>
          <w:rtl/>
        </w:rPr>
        <w:t xml:space="preserve">يمكن أن تشمل الظروف الاستثنائية الحالات التي يرى المدير التنفيذي، قبل ثلاثة أشهر من الاجتماع، أن مستوى المشاركة في الاجتماع يمكن أن يتعرض للخطر نتيجة لعدم كفاية الموارد في الصندوق الاستئماني </w:t>
      </w:r>
      <w:r w:rsidRPr="00351EDD">
        <w:t>BZ</w:t>
      </w:r>
      <w:r>
        <w:rPr>
          <w:rFonts w:hint="cs"/>
          <w:rtl/>
        </w:rPr>
        <w:t>.</w:t>
      </w:r>
    </w:p>
  </w:footnote>
  <w:footnote w:id="333">
    <w:p w:rsidR="000C66C6" w:rsidRDefault="000C66C6" w:rsidP="00ED48E1">
      <w:pPr>
        <w:pStyle w:val="FootnoteText"/>
      </w:pPr>
      <w:r>
        <w:rPr>
          <w:rStyle w:val="FootnoteReference"/>
        </w:rPr>
        <w:footnoteRef/>
      </w:r>
      <w:r>
        <w:rPr>
          <w:rtl/>
        </w:rPr>
        <w:t xml:space="preserve"> </w:t>
      </w:r>
      <w:r>
        <w:rPr>
          <w:rFonts w:hint="cs"/>
          <w:rtl/>
        </w:rPr>
        <w:t>الاجتماعات ذات الأولوية هي مؤتمر الأطراف، ومؤتمري الأطراف العاملان كاجتماعي الأطراف في بروتوكول قرطاجنة وبروتوكول ناغويا، والهيئة الفرعية للمشورة العلمية والتقنية والتكنولوجية، والهيئة الفرعية للتنفيذ، والفريق العامل المفتوح العضوية المخصص للمادة 8(ي) والأحكام المتصلة بها، والاجتماعات الاستثنائية بشأن الإطار العالمي للتنوع البيولوجي لما بعد عام 2020.</w:t>
      </w:r>
    </w:p>
  </w:footnote>
  <w:footnote w:id="334">
    <w:p w:rsidR="000C66C6" w:rsidRDefault="000C66C6" w:rsidP="00ED48E1">
      <w:pPr>
        <w:pStyle w:val="FootnoteText"/>
        <w:rPr>
          <w:rtl/>
        </w:rPr>
      </w:pPr>
      <w:r>
        <w:rPr>
          <w:rStyle w:val="FootnoteReference"/>
        </w:rPr>
        <w:footnoteRef/>
      </w:r>
      <w:r>
        <w:rPr>
          <w:rtl/>
        </w:rPr>
        <w:t xml:space="preserve"> </w:t>
      </w:r>
      <w:r>
        <w:rPr>
          <w:rFonts w:hint="cs"/>
          <w:rtl/>
        </w:rPr>
        <w:t xml:space="preserve"> حسب قرار الجمعية العامة للأمم المتحدة 70/245. جدول الأنصبة المنقح لفترة الثلاث سنوات سيتم تطبيقه، عند نشره، لحساب الأنصبة المقررة لفترة السنتين 2019-2020. (انظر: </w:t>
      </w:r>
      <w:hyperlink r:id="rId165" w:history="1">
        <w:r w:rsidRPr="00926E34">
          <w:rPr>
            <w:rStyle w:val="Hyperlink"/>
            <w:kern w:val="18"/>
            <w:szCs w:val="18"/>
            <w:lang w:val="en-GB"/>
          </w:rPr>
          <w:t>https://www.cbd.int/doc/notifications/2019/ntf-2019-015-budget-cbd-en.pdf</w:t>
        </w:r>
      </w:hyperlink>
      <w:r>
        <w:rPr>
          <w:rFonts w:hint="cs"/>
          <w:rtl/>
        </w:rPr>
        <w:t>).</w:t>
      </w:r>
    </w:p>
  </w:footnote>
  <w:footnote w:id="335">
    <w:p w:rsidR="000C66C6" w:rsidRDefault="000C66C6" w:rsidP="0004425E">
      <w:pPr>
        <w:pStyle w:val="FootnoteText"/>
      </w:pPr>
      <w:r>
        <w:rPr>
          <w:rStyle w:val="FootnoteReference"/>
        </w:rPr>
        <w:footnoteRef/>
      </w:r>
      <w:r>
        <w:rPr>
          <w:rtl/>
        </w:rPr>
        <w:t xml:space="preserve"> </w:t>
      </w:r>
      <w:r>
        <w:rPr>
          <w:rFonts w:hint="cs"/>
          <w:rtl/>
        </w:rPr>
        <w:t>قدمت الفلبين البيان المكتوب التالي: "تصر الفلبين على أن العبارة "الساحلية بما فيها الدولة الأرخبيلية" ينبغي أن تُقرأ " الساحلية و/أو الدولة الأرخبيلية" في الفقرة 5(ب) المقترحة من المرفق الثاني وجميع الأجزاء في الوثائق التي تشير إلى دولة ساحلية. وكبديل لذلك، فإن الفلبين مستعدة إلى الإشارة إلى الدول، بدون إشارة أخرى إلى طبيعتها، سواء كانت ساحلية أو أرخبيلية. وستقدم كتابة مظاهر أخرى، عند المزيد من المشاورات مع عاصمة دولتنا."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463121" w:rsidRDefault="000C66C6" w:rsidP="00E04F06">
    <w:pPr>
      <w:pStyle w:val="Header"/>
      <w:bidi w:val="0"/>
      <w:spacing w:after="0"/>
      <w:jc w:val="right"/>
      <w:rPr>
        <w:szCs w:val="22"/>
      </w:rPr>
    </w:pPr>
    <w:r w:rsidRPr="00EA73EB">
      <w:rPr>
        <w:szCs w:val="22"/>
      </w:rPr>
      <w:t>CBD/COP/14/</w:t>
    </w:r>
    <w:r>
      <w:rPr>
        <w:szCs w:val="22"/>
      </w:rPr>
      <w:t>14</w:t>
    </w:r>
  </w:p>
  <w:p w:rsidR="000C66C6" w:rsidRPr="00463121" w:rsidRDefault="000C66C6" w:rsidP="00E04F06">
    <w:pPr>
      <w:pStyle w:val="Header"/>
      <w:bidi w:val="0"/>
      <w:spacing w:after="0"/>
      <w:jc w:val="right"/>
      <w:rPr>
        <w:noProof/>
        <w:szCs w:val="22"/>
      </w:rPr>
    </w:pPr>
    <w:r w:rsidRPr="00463121">
      <w:rPr>
        <w:szCs w:val="22"/>
      </w:rPr>
      <w:t xml:space="preserve">Page </w:t>
    </w:r>
    <w:r w:rsidR="007B18D9" w:rsidRPr="00463121">
      <w:rPr>
        <w:szCs w:val="22"/>
      </w:rPr>
      <w:fldChar w:fldCharType="begin"/>
    </w:r>
    <w:r w:rsidRPr="00463121">
      <w:rPr>
        <w:szCs w:val="22"/>
      </w:rPr>
      <w:instrText xml:space="preserve"> PAGE   \* MERGEFORMAT </w:instrText>
    </w:r>
    <w:r w:rsidR="007B18D9" w:rsidRPr="00463121">
      <w:rPr>
        <w:szCs w:val="22"/>
      </w:rPr>
      <w:fldChar w:fldCharType="separate"/>
    </w:r>
    <w:r w:rsidR="00CB03BE">
      <w:rPr>
        <w:noProof/>
        <w:szCs w:val="22"/>
      </w:rPr>
      <w:t>130</w:t>
    </w:r>
    <w:r w:rsidR="007B18D9" w:rsidRPr="00463121">
      <w:rPr>
        <w:noProof/>
        <w:szCs w:val="22"/>
      </w:rPr>
      <w:fldChar w:fldCharType="end"/>
    </w:r>
  </w:p>
  <w:p w:rsidR="000C66C6" w:rsidRPr="00463121" w:rsidRDefault="000C66C6" w:rsidP="00E04F06">
    <w:pPr>
      <w:pStyle w:val="Header"/>
      <w:bidi w:val="0"/>
      <w:spacing w:after="0"/>
      <w:jc w:val="right"/>
      <w:rPr>
        <w:szCs w:val="2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5130B6" w:rsidRDefault="000C66C6" w:rsidP="005F403B">
    <w:pPr>
      <w:pStyle w:val="Header"/>
      <w:tabs>
        <w:tab w:val="clear" w:pos="8640"/>
        <w:tab w:val="right" w:pos="9360"/>
      </w:tabs>
      <w:bidi w:val="0"/>
      <w:spacing w:after="0"/>
      <w:rPr>
        <w:rFonts w:cs="Times New Roman"/>
        <w:szCs w:val="22"/>
        <w:lang w:val="en-CA"/>
      </w:rPr>
    </w:pPr>
    <w:r w:rsidRPr="005130B6">
      <w:rPr>
        <w:szCs w:val="22"/>
      </w:rPr>
      <w:t>CBD/COP/14/</w:t>
    </w:r>
    <w:r>
      <w:rPr>
        <w:szCs w:val="22"/>
      </w:rPr>
      <w:t>14</w:t>
    </w:r>
  </w:p>
  <w:p w:rsidR="000C66C6" w:rsidRPr="005130B6" w:rsidRDefault="000C66C6" w:rsidP="005F403B">
    <w:pPr>
      <w:pStyle w:val="Header"/>
      <w:bidi w:val="0"/>
      <w:spacing w:after="0"/>
      <w:rPr>
        <w:rFonts w:cs="Times New Roman"/>
        <w:szCs w:val="22"/>
        <w:lang w:val="fr-FR"/>
      </w:rPr>
    </w:pPr>
    <w:r w:rsidRPr="005130B6">
      <w:rPr>
        <w:rFonts w:cs="Times New Roman"/>
        <w:szCs w:val="22"/>
        <w:lang w:val="fr-FR"/>
      </w:rPr>
      <w:t xml:space="preserve">Page </w:t>
    </w:r>
    <w:r w:rsidR="007B18D9" w:rsidRPr="007B18D9">
      <w:rPr>
        <w:rFonts w:cs="Times New Roman"/>
        <w:szCs w:val="22"/>
        <w:lang w:val="en-GB"/>
      </w:rPr>
      <w:fldChar w:fldCharType="begin"/>
    </w:r>
    <w:r w:rsidRPr="005130B6">
      <w:rPr>
        <w:rFonts w:cs="Times New Roman"/>
        <w:szCs w:val="22"/>
        <w:lang w:val="fr-FR"/>
      </w:rPr>
      <w:instrText xml:space="preserve"> PAGE   \* MERGEFORMAT </w:instrText>
    </w:r>
    <w:r w:rsidR="007B18D9" w:rsidRPr="007B18D9">
      <w:rPr>
        <w:rFonts w:cs="Times New Roman"/>
        <w:szCs w:val="22"/>
        <w:lang w:val="en-GB"/>
      </w:rPr>
      <w:fldChar w:fldCharType="separate"/>
    </w:r>
    <w:r w:rsidR="00CB03BE">
      <w:rPr>
        <w:rFonts w:cs="Times New Roman"/>
        <w:noProof/>
        <w:szCs w:val="22"/>
        <w:lang w:val="fr-FR"/>
      </w:rPr>
      <w:t>323</w:t>
    </w:r>
    <w:r w:rsidR="007B18D9" w:rsidRPr="005130B6">
      <w:rPr>
        <w:rFonts w:cs="Times New Roman"/>
        <w:szCs w:val="22"/>
      </w:rPr>
      <w:fldChar w:fldCharType="end"/>
    </w:r>
  </w:p>
  <w:p w:rsidR="000C66C6" w:rsidRPr="005130B6" w:rsidRDefault="000C66C6" w:rsidP="005F403B">
    <w:pPr>
      <w:pStyle w:val="Header"/>
      <w:bidi w:val="0"/>
      <w:spacing w:after="0"/>
      <w:rPr>
        <w:szCs w:val="22"/>
        <w:rtl/>
        <w:lang w:val="fr-F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A44856" w:rsidRDefault="000C66C6" w:rsidP="00B1246D">
    <w:pPr>
      <w:pStyle w:val="Header"/>
      <w:bidi w:val="0"/>
      <w:jc w:val="left"/>
      <w:rPr>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49635C" w:rsidRDefault="000C66C6" w:rsidP="00E04F06">
    <w:pPr>
      <w:pStyle w:val="Header"/>
      <w:bidi w:val="0"/>
      <w:spacing w:after="0"/>
      <w:rPr>
        <w:szCs w:val="22"/>
        <w:lang w:val="en-GB"/>
      </w:rPr>
    </w:pPr>
    <w:r>
      <w:rPr>
        <w:szCs w:val="22"/>
      </w:rPr>
      <w:t>CBD/COP/</w:t>
    </w:r>
    <w:r w:rsidRPr="00EA73EB">
      <w:rPr>
        <w:szCs w:val="22"/>
      </w:rPr>
      <w:t>14/</w:t>
    </w:r>
    <w:r>
      <w:rPr>
        <w:szCs w:val="22"/>
      </w:rPr>
      <w:t>14</w:t>
    </w:r>
  </w:p>
  <w:p w:rsidR="000C66C6" w:rsidRPr="00645DF0" w:rsidRDefault="000C66C6" w:rsidP="00E04F06">
    <w:pPr>
      <w:pStyle w:val="Header"/>
      <w:bidi w:val="0"/>
      <w:spacing w:after="0"/>
      <w:rPr>
        <w:noProof/>
        <w:szCs w:val="22"/>
        <w:lang w:val="en-CA"/>
      </w:rPr>
    </w:pPr>
    <w:r w:rsidRPr="0049635C">
      <w:rPr>
        <w:szCs w:val="22"/>
        <w:lang w:val="en-GB"/>
      </w:rPr>
      <w:t xml:space="preserve">Page </w:t>
    </w:r>
    <w:r w:rsidR="007B18D9" w:rsidRPr="00463121">
      <w:rPr>
        <w:szCs w:val="22"/>
      </w:rPr>
      <w:fldChar w:fldCharType="begin"/>
    </w:r>
    <w:r w:rsidRPr="0049635C">
      <w:rPr>
        <w:szCs w:val="22"/>
        <w:lang w:val="en-GB"/>
      </w:rPr>
      <w:instrText xml:space="preserve"> PAGE   \* MERGEFORMAT </w:instrText>
    </w:r>
    <w:r w:rsidR="007B18D9" w:rsidRPr="00463121">
      <w:rPr>
        <w:szCs w:val="22"/>
      </w:rPr>
      <w:fldChar w:fldCharType="separate"/>
    </w:r>
    <w:r w:rsidR="00CB03BE">
      <w:rPr>
        <w:noProof/>
        <w:szCs w:val="22"/>
        <w:lang w:val="en-GB"/>
      </w:rPr>
      <w:t>129</w:t>
    </w:r>
    <w:r w:rsidR="007B18D9" w:rsidRPr="00463121">
      <w:rPr>
        <w:noProof/>
        <w:szCs w:val="22"/>
      </w:rPr>
      <w:fldChar w:fldCharType="end"/>
    </w:r>
  </w:p>
  <w:p w:rsidR="000C66C6" w:rsidRPr="0049635C" w:rsidRDefault="000C66C6" w:rsidP="00E04F06">
    <w:pPr>
      <w:pStyle w:val="Header"/>
      <w:bidi w:val="0"/>
      <w:spacing w:after="0"/>
      <w:rPr>
        <w:szCs w:val="22"/>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BE" w:rsidRDefault="00CB03B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49635C" w:rsidRDefault="000C66C6" w:rsidP="000A5DEA">
    <w:pPr>
      <w:pStyle w:val="Header"/>
      <w:bidi w:val="0"/>
      <w:jc w:val="right"/>
      <w:rPr>
        <w:szCs w:val="22"/>
        <w:lang w:val="en-GB"/>
      </w:rPr>
    </w:pPr>
    <w:r w:rsidRPr="00EA73EB">
      <w:rPr>
        <w:szCs w:val="22"/>
      </w:rPr>
      <w:t>CBD/COP/</w:t>
    </w:r>
    <w:r w:rsidR="00CB03BE">
      <w:rPr>
        <w:szCs w:val="22"/>
      </w:rPr>
      <w:t>14/14</w:t>
    </w:r>
  </w:p>
  <w:p w:rsidR="000C66C6" w:rsidRPr="00645DF0" w:rsidRDefault="000C66C6" w:rsidP="000A5DEA">
    <w:pPr>
      <w:pStyle w:val="Header"/>
      <w:bidi w:val="0"/>
      <w:jc w:val="right"/>
      <w:rPr>
        <w:noProof/>
        <w:szCs w:val="22"/>
        <w:lang w:val="en-CA"/>
      </w:rPr>
    </w:pPr>
    <w:r w:rsidRPr="0049635C">
      <w:rPr>
        <w:szCs w:val="22"/>
        <w:lang w:val="en-GB"/>
      </w:rPr>
      <w:t xml:space="preserve">Page </w:t>
    </w:r>
    <w:r w:rsidR="007B18D9" w:rsidRPr="00463121">
      <w:rPr>
        <w:szCs w:val="22"/>
      </w:rPr>
      <w:fldChar w:fldCharType="begin"/>
    </w:r>
    <w:r w:rsidRPr="0049635C">
      <w:rPr>
        <w:szCs w:val="22"/>
        <w:lang w:val="en-GB"/>
      </w:rPr>
      <w:instrText xml:space="preserve"> PAGE   \* MERGEFORMAT </w:instrText>
    </w:r>
    <w:r w:rsidR="007B18D9" w:rsidRPr="00463121">
      <w:rPr>
        <w:szCs w:val="22"/>
      </w:rPr>
      <w:fldChar w:fldCharType="separate"/>
    </w:r>
    <w:r w:rsidR="00CB03BE">
      <w:rPr>
        <w:noProof/>
        <w:szCs w:val="22"/>
        <w:lang w:val="en-GB"/>
      </w:rPr>
      <w:t>112</w:t>
    </w:r>
    <w:r w:rsidR="007B18D9" w:rsidRPr="00463121">
      <w:rPr>
        <w:noProof/>
        <w:szCs w:val="22"/>
      </w:rPr>
      <w:fldChar w:fldCharType="end"/>
    </w:r>
  </w:p>
  <w:p w:rsidR="000C66C6" w:rsidRPr="00DC00B8" w:rsidRDefault="000C66C6" w:rsidP="000A5DEA">
    <w:pPr>
      <w:pStyle w:val="Header"/>
      <w:rPr>
        <w:rFonts w:cstheme="minorBidi"/>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451F9C" w:rsidRDefault="000C66C6" w:rsidP="00ED48E1">
    <w:pPr>
      <w:pStyle w:val="Header"/>
      <w:bidi w:val="0"/>
      <w:spacing w:after="0"/>
      <w:jc w:val="right"/>
      <w:rPr>
        <w:noProof/>
        <w:kern w:val="22"/>
        <w:rtl/>
        <w:lang w:val="en-GB"/>
      </w:rPr>
    </w:pPr>
    <w:r>
      <w:rPr>
        <w:noProof/>
        <w:kern w:val="22"/>
        <w:lang w:val="en-GB"/>
      </w:rPr>
      <w:t>CBD/COP/</w:t>
    </w:r>
    <w:r w:rsidRPr="00451F9C">
      <w:rPr>
        <w:noProof/>
        <w:kern w:val="22"/>
        <w:lang w:val="en-GB"/>
      </w:rPr>
      <w:t>14/</w:t>
    </w:r>
    <w:r>
      <w:rPr>
        <w:noProof/>
        <w:kern w:val="22"/>
        <w:lang w:val="en-GB"/>
      </w:rPr>
      <w:t>14</w:t>
    </w:r>
  </w:p>
  <w:p w:rsidR="000C66C6" w:rsidRDefault="000C66C6" w:rsidP="00ED48E1">
    <w:pPr>
      <w:pStyle w:val="Header"/>
      <w:bidi w:val="0"/>
      <w:jc w:val="right"/>
      <w:rPr>
        <w:noProof/>
        <w:kern w:val="22"/>
        <w:lang w:val="en-GB"/>
      </w:rPr>
    </w:pPr>
    <w:r w:rsidRPr="00451F9C">
      <w:rPr>
        <w:noProof/>
        <w:kern w:val="22"/>
        <w:lang w:val="en-GB"/>
      </w:rPr>
      <w:t xml:space="preserve">Page </w:t>
    </w:r>
    <w:r w:rsidR="007B18D9" w:rsidRPr="00451F9C">
      <w:rPr>
        <w:noProof/>
        <w:kern w:val="22"/>
        <w:lang w:val="en-GB"/>
      </w:rPr>
      <w:fldChar w:fldCharType="begin"/>
    </w:r>
    <w:r w:rsidRPr="00451F9C">
      <w:rPr>
        <w:noProof/>
        <w:kern w:val="22"/>
        <w:lang w:val="en-GB"/>
      </w:rPr>
      <w:instrText xml:space="preserve"> PAGE   \* MERGEFORMAT </w:instrText>
    </w:r>
    <w:r w:rsidR="007B18D9" w:rsidRPr="00451F9C">
      <w:rPr>
        <w:noProof/>
        <w:kern w:val="22"/>
        <w:lang w:val="en-GB"/>
      </w:rPr>
      <w:fldChar w:fldCharType="separate"/>
    </w:r>
    <w:r w:rsidR="00CB03BE">
      <w:rPr>
        <w:noProof/>
        <w:kern w:val="22"/>
        <w:lang w:val="en-GB"/>
      </w:rPr>
      <w:t>252</w:t>
    </w:r>
    <w:r w:rsidR="007B18D9" w:rsidRPr="00451F9C">
      <w:rPr>
        <w:noProof/>
        <w:kern w:val="22"/>
        <w:lang w:val="en-GB"/>
      </w:rPr>
      <w:fldChar w:fldCharType="end"/>
    </w:r>
  </w:p>
  <w:p w:rsidR="000C66C6" w:rsidRDefault="000C66C6" w:rsidP="00ED48E1">
    <w:pPr>
      <w:pStyle w:val="Header"/>
      <w:bidi w:val="0"/>
      <w:spacing w:after="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451F9C" w:rsidRDefault="000C66C6" w:rsidP="00ED48E1">
    <w:pPr>
      <w:pStyle w:val="Header"/>
      <w:bidi w:val="0"/>
      <w:spacing w:after="0"/>
      <w:rPr>
        <w:noProof/>
        <w:kern w:val="22"/>
        <w:lang w:val="en-GB"/>
      </w:rPr>
    </w:pPr>
    <w:r w:rsidRPr="00451F9C">
      <w:rPr>
        <w:noProof/>
        <w:kern w:val="22"/>
        <w:lang w:val="en-GB"/>
      </w:rPr>
      <w:t>CBD/COP/14/</w:t>
    </w:r>
    <w:r>
      <w:rPr>
        <w:noProof/>
        <w:kern w:val="22"/>
        <w:lang w:val="en-GB"/>
      </w:rPr>
      <w:t>14</w:t>
    </w:r>
  </w:p>
  <w:p w:rsidR="000C66C6" w:rsidRDefault="000C66C6" w:rsidP="00ED48E1">
    <w:pPr>
      <w:pStyle w:val="Header"/>
      <w:bidi w:val="0"/>
      <w:spacing w:after="0"/>
      <w:rPr>
        <w:noProof/>
        <w:kern w:val="22"/>
        <w:lang w:val="en-GB"/>
      </w:rPr>
    </w:pPr>
    <w:r w:rsidRPr="00451F9C">
      <w:rPr>
        <w:noProof/>
        <w:kern w:val="22"/>
        <w:lang w:val="en-GB"/>
      </w:rPr>
      <w:t xml:space="preserve">Page </w:t>
    </w:r>
    <w:r w:rsidR="007B18D9" w:rsidRPr="00451F9C">
      <w:rPr>
        <w:noProof/>
        <w:kern w:val="22"/>
        <w:lang w:val="en-GB"/>
      </w:rPr>
      <w:fldChar w:fldCharType="begin"/>
    </w:r>
    <w:r w:rsidRPr="00451F9C">
      <w:rPr>
        <w:noProof/>
        <w:kern w:val="22"/>
        <w:lang w:val="en-GB"/>
      </w:rPr>
      <w:instrText xml:space="preserve"> PAGE   \* MERGEFORMAT </w:instrText>
    </w:r>
    <w:r w:rsidR="007B18D9" w:rsidRPr="00451F9C">
      <w:rPr>
        <w:noProof/>
        <w:kern w:val="22"/>
        <w:lang w:val="en-GB"/>
      </w:rPr>
      <w:fldChar w:fldCharType="separate"/>
    </w:r>
    <w:r w:rsidR="00CB03BE">
      <w:rPr>
        <w:noProof/>
        <w:kern w:val="22"/>
        <w:lang w:val="en-GB"/>
      </w:rPr>
      <w:t>251</w:t>
    </w:r>
    <w:r w:rsidR="007B18D9" w:rsidRPr="00451F9C">
      <w:rPr>
        <w:noProof/>
        <w:kern w:val="22"/>
        <w:lang w:val="en-GB"/>
      </w:rPr>
      <w:fldChar w:fldCharType="end"/>
    </w:r>
  </w:p>
  <w:p w:rsidR="000C66C6" w:rsidRPr="00ED48E1" w:rsidRDefault="000C66C6" w:rsidP="00ED48E1">
    <w:pPr>
      <w:pStyle w:val="Header"/>
      <w:bidi w:val="0"/>
      <w:rPr>
        <w:szCs w:val="2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25923"/>
      <w:docPartObj>
        <w:docPartGallery w:val="Page Numbers (Top of Page)"/>
        <w:docPartUnique/>
      </w:docPartObj>
    </w:sdtPr>
    <w:sdtContent>
      <w:p w:rsidR="000C66C6" w:rsidRPr="00A41E49" w:rsidRDefault="000C66C6" w:rsidP="00702979">
        <w:pPr>
          <w:pStyle w:val="Header"/>
          <w:tabs>
            <w:tab w:val="clear" w:pos="4320"/>
            <w:tab w:val="clear" w:pos="8640"/>
          </w:tabs>
          <w:bidi w:val="0"/>
          <w:spacing w:after="0"/>
          <w:jc w:val="right"/>
          <w:rPr>
            <w:lang w:val="en-GB"/>
          </w:rPr>
        </w:pPr>
        <w:r w:rsidRPr="00A41E49">
          <w:rPr>
            <w:lang w:val="en-GB"/>
          </w:rPr>
          <w:t>CBD/COP/1</w:t>
        </w:r>
        <w:r>
          <w:rPr>
            <w:lang w:val="en-GB"/>
          </w:rPr>
          <w:t>4</w:t>
        </w:r>
        <w:r w:rsidRPr="00A41E49">
          <w:rPr>
            <w:lang w:val="en-GB"/>
          </w:rPr>
          <w:t>/</w:t>
        </w:r>
        <w:r>
          <w:rPr>
            <w:lang w:val="en-GB"/>
          </w:rPr>
          <w:t>14</w:t>
        </w:r>
      </w:p>
      <w:p w:rsidR="000C66C6" w:rsidRDefault="000C66C6" w:rsidP="00702979">
        <w:pPr>
          <w:pStyle w:val="Header"/>
          <w:tabs>
            <w:tab w:val="clear" w:pos="4320"/>
            <w:tab w:val="clear" w:pos="8640"/>
          </w:tabs>
          <w:bidi w:val="0"/>
          <w:spacing w:after="0"/>
          <w:jc w:val="right"/>
        </w:pPr>
        <w:r w:rsidRPr="00A41E49">
          <w:rPr>
            <w:lang w:val="en-GB"/>
          </w:rPr>
          <w:t>Page</w:t>
        </w:r>
        <w:r>
          <w:t xml:space="preserve"> </w:t>
        </w:r>
        <w:fldSimple w:instr=" PAGE   \* MERGEFORMAT ">
          <w:r w:rsidR="00CB03BE">
            <w:rPr>
              <w:noProof/>
            </w:rPr>
            <w:t>308</w:t>
          </w:r>
        </w:fldSimple>
      </w:p>
      <w:p w:rsidR="000C66C6" w:rsidRPr="00702979" w:rsidRDefault="007B18D9" w:rsidP="00702979">
        <w:pPr>
          <w:pStyle w:val="Header"/>
          <w:tabs>
            <w:tab w:val="clear" w:pos="4320"/>
            <w:tab w:val="clear" w:pos="8640"/>
          </w:tabs>
          <w:bidi w:val="0"/>
          <w:spacing w:after="0"/>
          <w:jc w:val="right"/>
        </w:pP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58289B" w:rsidRDefault="000C66C6" w:rsidP="001E3CF2">
    <w:pPr>
      <w:pStyle w:val="Header"/>
      <w:bidi w:val="0"/>
      <w:spacing w:after="0"/>
      <w:jc w:val="left"/>
      <w:rPr>
        <w:lang w:val="en-GB"/>
      </w:rPr>
    </w:pPr>
    <w:r w:rsidRPr="0058289B">
      <w:rPr>
        <w:lang w:val="en-GB"/>
      </w:rPr>
      <w:t>CBD/COP/1</w:t>
    </w:r>
    <w:r>
      <w:rPr>
        <w:lang w:val="en-GB"/>
      </w:rPr>
      <w:t>4</w:t>
    </w:r>
    <w:r w:rsidRPr="0058289B">
      <w:rPr>
        <w:lang w:val="en-GB"/>
      </w:rPr>
      <w:t>/</w:t>
    </w:r>
    <w:r>
      <w:rPr>
        <w:lang w:val="en-GB"/>
      </w:rPr>
      <w:t>14</w:t>
    </w:r>
  </w:p>
  <w:p w:rsidR="000C66C6" w:rsidRPr="0058289B" w:rsidRDefault="000C66C6" w:rsidP="001E3CF2">
    <w:pPr>
      <w:pStyle w:val="Header"/>
      <w:bidi w:val="0"/>
      <w:spacing w:after="0"/>
      <w:jc w:val="left"/>
      <w:rPr>
        <w:lang w:val="en-GB"/>
      </w:rPr>
    </w:pPr>
    <w:r w:rsidRPr="0058289B">
      <w:rPr>
        <w:lang w:val="en-GB"/>
      </w:rPr>
      <w:t xml:space="preserve">Page </w:t>
    </w:r>
    <w:r w:rsidR="007B18D9" w:rsidRPr="007B18D9">
      <w:rPr>
        <w:lang w:val="en-GB"/>
      </w:rPr>
      <w:fldChar w:fldCharType="begin"/>
    </w:r>
    <w:r w:rsidRPr="0058289B">
      <w:rPr>
        <w:lang w:val="en-GB"/>
      </w:rPr>
      <w:instrText xml:space="preserve"> PAGE   \* MERGEFORMAT </w:instrText>
    </w:r>
    <w:r w:rsidR="007B18D9" w:rsidRPr="007B18D9">
      <w:rPr>
        <w:lang w:val="en-GB"/>
      </w:rPr>
      <w:fldChar w:fldCharType="separate"/>
    </w:r>
    <w:r w:rsidR="00CB03BE">
      <w:rPr>
        <w:noProof/>
        <w:lang w:val="en-GB"/>
      </w:rPr>
      <w:t>309</w:t>
    </w:r>
    <w:r w:rsidR="007B18D9" w:rsidRPr="0058289B">
      <w:rPr>
        <w:lang w:val="en-CA"/>
      </w:rPr>
      <w:fldChar w:fldCharType="end"/>
    </w:r>
  </w:p>
  <w:p w:rsidR="000C66C6" w:rsidRPr="0058289B" w:rsidRDefault="000C66C6" w:rsidP="001E3CF2">
    <w:pPr>
      <w:pStyle w:val="Header"/>
      <w:bidi w:val="0"/>
      <w:spacing w:after="0"/>
      <w:jc w:val="left"/>
      <w:rPr>
        <w:lang w:val="en-CA"/>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6" w:rsidRPr="005130B6" w:rsidRDefault="000C66C6" w:rsidP="005F403B">
    <w:pPr>
      <w:pStyle w:val="Header"/>
      <w:tabs>
        <w:tab w:val="clear" w:pos="4320"/>
        <w:tab w:val="clear" w:pos="8640"/>
      </w:tabs>
      <w:bidi w:val="0"/>
      <w:spacing w:after="0"/>
      <w:jc w:val="right"/>
      <w:rPr>
        <w:szCs w:val="22"/>
        <w:lang w:val="en-CA"/>
      </w:rPr>
    </w:pPr>
    <w:r w:rsidRPr="005130B6">
      <w:rPr>
        <w:szCs w:val="22"/>
      </w:rPr>
      <w:t>CBD/COP/14/</w:t>
    </w:r>
    <w:r>
      <w:rPr>
        <w:szCs w:val="22"/>
      </w:rPr>
      <w:t>14</w:t>
    </w:r>
  </w:p>
  <w:p w:rsidR="000C66C6" w:rsidRPr="005130B6" w:rsidRDefault="000C66C6" w:rsidP="005F403B">
    <w:pPr>
      <w:pStyle w:val="Header"/>
      <w:tabs>
        <w:tab w:val="clear" w:pos="4320"/>
        <w:tab w:val="clear" w:pos="8640"/>
      </w:tabs>
      <w:bidi w:val="0"/>
      <w:spacing w:after="0"/>
      <w:jc w:val="right"/>
      <w:rPr>
        <w:szCs w:val="22"/>
        <w:lang w:val="en-CA"/>
      </w:rPr>
    </w:pPr>
    <w:r w:rsidRPr="005130B6">
      <w:rPr>
        <w:szCs w:val="22"/>
        <w:lang w:val="fr-FR"/>
      </w:rPr>
      <w:t xml:space="preserve">Page </w:t>
    </w:r>
    <w:r w:rsidR="007B18D9" w:rsidRPr="007B18D9">
      <w:rPr>
        <w:szCs w:val="22"/>
        <w:lang w:val="en-GB"/>
      </w:rPr>
      <w:fldChar w:fldCharType="begin"/>
    </w:r>
    <w:r w:rsidRPr="005130B6">
      <w:rPr>
        <w:szCs w:val="22"/>
        <w:lang w:val="fr-FR"/>
      </w:rPr>
      <w:instrText xml:space="preserve"> PAGE   \* MERGEFORMAT </w:instrText>
    </w:r>
    <w:r w:rsidR="007B18D9" w:rsidRPr="007B18D9">
      <w:rPr>
        <w:szCs w:val="22"/>
        <w:lang w:val="en-GB"/>
      </w:rPr>
      <w:fldChar w:fldCharType="separate"/>
    </w:r>
    <w:r w:rsidR="00CB03BE">
      <w:rPr>
        <w:noProof/>
        <w:szCs w:val="22"/>
        <w:lang w:val="fr-FR"/>
      </w:rPr>
      <w:t>324</w:t>
    </w:r>
    <w:r w:rsidR="007B18D9" w:rsidRPr="005130B6">
      <w:rPr>
        <w:szCs w:val="22"/>
      </w:rPr>
      <w:fldChar w:fldCharType="end"/>
    </w:r>
  </w:p>
  <w:p w:rsidR="000C66C6" w:rsidRPr="005130B6" w:rsidRDefault="000C66C6" w:rsidP="0044570B">
    <w:pPr>
      <w:pStyle w:val="Header"/>
      <w:tabs>
        <w:tab w:val="clear" w:pos="4320"/>
        <w:tab w:val="clear" w:pos="8640"/>
      </w:tabs>
      <w:bidi w:val="0"/>
      <w:spacing w:after="0"/>
      <w:jc w:val="right"/>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C1CC0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02F08"/>
    <w:multiLevelType w:val="hybridMultilevel"/>
    <w:tmpl w:val="1E0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E2D14"/>
    <w:multiLevelType w:val="hybridMultilevel"/>
    <w:tmpl w:val="DD443888"/>
    <w:lvl w:ilvl="0" w:tplc="3B38574C">
      <w:start w:val="1"/>
      <w:numFmt w:val="decimal"/>
      <w:lvlText w:val="%1-"/>
      <w:lvlJc w:val="left"/>
      <w:pPr>
        <w:ind w:left="1440" w:hanging="720"/>
      </w:pPr>
      <w:rPr>
        <w:rFonts w:hint="default"/>
      </w:rPr>
    </w:lvl>
    <w:lvl w:ilvl="1" w:tplc="6C3E1852" w:tentative="1">
      <w:start w:val="1"/>
      <w:numFmt w:val="lowerLetter"/>
      <w:lvlText w:val="%2."/>
      <w:lvlJc w:val="left"/>
      <w:pPr>
        <w:ind w:left="1800" w:hanging="360"/>
      </w:pPr>
    </w:lvl>
    <w:lvl w:ilvl="2" w:tplc="6BB439DA" w:tentative="1">
      <w:start w:val="1"/>
      <w:numFmt w:val="lowerRoman"/>
      <w:lvlText w:val="%3."/>
      <w:lvlJc w:val="right"/>
      <w:pPr>
        <w:ind w:left="2520" w:hanging="180"/>
      </w:pPr>
    </w:lvl>
    <w:lvl w:ilvl="3" w:tplc="E9A4D564" w:tentative="1">
      <w:start w:val="1"/>
      <w:numFmt w:val="decimal"/>
      <w:lvlText w:val="%4."/>
      <w:lvlJc w:val="left"/>
      <w:pPr>
        <w:ind w:left="3240" w:hanging="360"/>
      </w:pPr>
    </w:lvl>
    <w:lvl w:ilvl="4" w:tplc="FD9E27BC" w:tentative="1">
      <w:start w:val="1"/>
      <w:numFmt w:val="lowerLetter"/>
      <w:lvlText w:val="%5."/>
      <w:lvlJc w:val="left"/>
      <w:pPr>
        <w:ind w:left="3960" w:hanging="360"/>
      </w:pPr>
    </w:lvl>
    <w:lvl w:ilvl="5" w:tplc="A6E06194" w:tentative="1">
      <w:start w:val="1"/>
      <w:numFmt w:val="lowerRoman"/>
      <w:lvlText w:val="%6."/>
      <w:lvlJc w:val="right"/>
      <w:pPr>
        <w:ind w:left="4680" w:hanging="180"/>
      </w:pPr>
    </w:lvl>
    <w:lvl w:ilvl="6" w:tplc="C1DCC3DE" w:tentative="1">
      <w:start w:val="1"/>
      <w:numFmt w:val="decimal"/>
      <w:lvlText w:val="%7."/>
      <w:lvlJc w:val="left"/>
      <w:pPr>
        <w:ind w:left="5400" w:hanging="360"/>
      </w:pPr>
    </w:lvl>
    <w:lvl w:ilvl="7" w:tplc="8C867134" w:tentative="1">
      <w:start w:val="1"/>
      <w:numFmt w:val="lowerLetter"/>
      <w:lvlText w:val="%8."/>
      <w:lvlJc w:val="left"/>
      <w:pPr>
        <w:ind w:left="6120" w:hanging="360"/>
      </w:pPr>
    </w:lvl>
    <w:lvl w:ilvl="8" w:tplc="4984AE94" w:tentative="1">
      <w:start w:val="1"/>
      <w:numFmt w:val="lowerRoman"/>
      <w:lvlText w:val="%9."/>
      <w:lvlJc w:val="right"/>
      <w:pPr>
        <w:ind w:left="6840" w:hanging="180"/>
      </w:pPr>
    </w:lvl>
  </w:abstractNum>
  <w:abstractNum w:abstractNumId="3">
    <w:nsid w:val="02786357"/>
    <w:multiLevelType w:val="hybridMultilevel"/>
    <w:tmpl w:val="7D14E118"/>
    <w:lvl w:ilvl="0" w:tplc="D4AC8ADE">
      <w:start w:val="1"/>
      <w:numFmt w:val="arabicAbjad"/>
      <w:lvlText w:val="(%1)"/>
      <w:lvlJc w:val="left"/>
      <w:pPr>
        <w:ind w:left="920" w:hanging="360"/>
      </w:pPr>
      <w:rPr>
        <w:rFonts w:hint="default"/>
        <w:i w:val="0"/>
        <w:sz w:val="24"/>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nsid w:val="02C32A6A"/>
    <w:multiLevelType w:val="hybridMultilevel"/>
    <w:tmpl w:val="63288016"/>
    <w:lvl w:ilvl="0" w:tplc="A0F8F6D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F527CA"/>
    <w:multiLevelType w:val="hybridMultilevel"/>
    <w:tmpl w:val="8DA21302"/>
    <w:lvl w:ilvl="0" w:tplc="E6062B26">
      <w:start w:val="7"/>
      <w:numFmt w:val="decimal"/>
      <w:lvlText w:val="%1-"/>
      <w:lvlJc w:val="left"/>
      <w:pPr>
        <w:ind w:left="2880" w:hanging="1440"/>
      </w:pPr>
      <w:rPr>
        <w:rFonts w:ascii="Simplified Arabic" w:eastAsia="Times New Roman" w:hAnsi="Simplified Arabic" w:cs="Simplified Arabic" w:hint="default"/>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03DE7E2A"/>
    <w:multiLevelType w:val="hybridMultilevel"/>
    <w:tmpl w:val="08A27BE6"/>
    <w:lvl w:ilvl="0" w:tplc="9A14832A">
      <w:start w:val="1"/>
      <w:numFmt w:val="decimal"/>
      <w:lvlText w:val="%1."/>
      <w:lvlJc w:val="left"/>
      <w:pPr>
        <w:ind w:left="2160" w:hanging="144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49463B6"/>
    <w:multiLevelType w:val="hybridMultilevel"/>
    <w:tmpl w:val="FE5CB72E"/>
    <w:lvl w:ilvl="0" w:tplc="1009000F">
      <w:start w:val="1"/>
      <w:numFmt w:val="arabicAbjad"/>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4EB4DB5"/>
    <w:multiLevelType w:val="hybridMultilevel"/>
    <w:tmpl w:val="DAD4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775B39"/>
    <w:multiLevelType w:val="hybridMultilevel"/>
    <w:tmpl w:val="C8D2CAE6"/>
    <w:lvl w:ilvl="0" w:tplc="E6062B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6B6154E"/>
    <w:multiLevelType w:val="hybridMultilevel"/>
    <w:tmpl w:val="EFC4F6A2"/>
    <w:lvl w:ilvl="0" w:tplc="3D427834">
      <w:start w:val="1"/>
      <w:numFmt w:val="decimal"/>
      <w:lvlText w:val="%1-"/>
      <w:lvlJc w:val="left"/>
      <w:pPr>
        <w:ind w:left="360" w:hanging="360"/>
      </w:pPr>
      <w:rPr>
        <w:rFonts w:ascii="Simplified Arabic" w:hAnsi="Simplified Arabic" w:cs="Simplified Arabic" w:hint="default"/>
        <w:b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3078B"/>
    <w:multiLevelType w:val="hybridMultilevel"/>
    <w:tmpl w:val="1E249F2A"/>
    <w:lvl w:ilvl="0" w:tplc="43A47EA6">
      <w:start w:val="1"/>
      <w:numFmt w:val="arabicAbjad"/>
      <w:lvlText w:val="(%1)"/>
      <w:lvlJc w:val="left"/>
      <w:pPr>
        <w:ind w:left="1740" w:hanging="1020"/>
      </w:pPr>
      <w:rPr>
        <w:rFonts w:hint="default"/>
        <w:b w:val="0"/>
        <w:bCs w:val="0"/>
        <w:i/>
        <w:iCs w:val="0"/>
        <w:vanish w:val="0"/>
        <w:color w:val="auto"/>
        <w:sz w:val="24"/>
        <w:szCs w:val="26"/>
        <w:u w:val="none"/>
      </w:rPr>
    </w:lvl>
    <w:lvl w:ilvl="1" w:tplc="04090019">
      <w:start w:val="1"/>
      <w:numFmt w:val="decimal"/>
      <w:lvlText w:val="%2-"/>
      <w:lvlJc w:val="left"/>
      <w:pPr>
        <w:ind w:left="2160" w:hanging="720"/>
      </w:pPr>
      <w:rPr>
        <w:rFonts w:cs="Simplified Arabic" w:hint="default"/>
        <w:i/>
      </w:rPr>
    </w:lvl>
    <w:lvl w:ilvl="2" w:tplc="0409001B">
      <w:start w:val="1"/>
      <w:numFmt w:val="arabicAlpha"/>
      <w:lvlText w:val="(%3)"/>
      <w:lvlJc w:val="left"/>
      <w:pPr>
        <w:ind w:left="2700" w:hanging="360"/>
      </w:pPr>
      <w:rPr>
        <w:rFonts w:hint="default"/>
        <w:i/>
        <w:sz w:val="24"/>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841603B"/>
    <w:multiLevelType w:val="hybridMultilevel"/>
    <w:tmpl w:val="FB50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17918"/>
    <w:multiLevelType w:val="hybridMultilevel"/>
    <w:tmpl w:val="265A9CEA"/>
    <w:lvl w:ilvl="0" w:tplc="147C4B56">
      <w:start w:val="1"/>
      <w:numFmt w:val="arabicAlpha"/>
      <w:lvlText w:val="(%1)"/>
      <w:lvlJc w:val="left"/>
      <w:pPr>
        <w:ind w:left="1080" w:hanging="360"/>
      </w:pPr>
      <w:rPr>
        <w:rFonts w:hint="default"/>
      </w:rPr>
    </w:lvl>
    <w:lvl w:ilvl="1" w:tplc="966C1738" w:tentative="1">
      <w:start w:val="1"/>
      <w:numFmt w:val="lowerLetter"/>
      <w:lvlText w:val="%2."/>
      <w:lvlJc w:val="left"/>
      <w:pPr>
        <w:ind w:left="1800" w:hanging="360"/>
      </w:pPr>
    </w:lvl>
    <w:lvl w:ilvl="2" w:tplc="7CD8E18E"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8E8523C"/>
    <w:multiLevelType w:val="hybridMultilevel"/>
    <w:tmpl w:val="1AE2BBEC"/>
    <w:lvl w:ilvl="0" w:tplc="5290D13A">
      <w:start w:val="1"/>
      <w:numFmt w:val="decimal"/>
      <w:lvlText w:val="%1-"/>
      <w:lvlJc w:val="left"/>
      <w:pPr>
        <w:ind w:left="720" w:hanging="360"/>
      </w:pPr>
      <w:rPr>
        <w:rFonts w:ascii="Simplified Arabic" w:hAnsi="Simplified Arabic" w:cs="Simplified Arabic"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9CE44C3"/>
    <w:multiLevelType w:val="hybridMultilevel"/>
    <w:tmpl w:val="C4E08260"/>
    <w:lvl w:ilvl="0" w:tplc="FB0ED1C6">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A4642BD"/>
    <w:multiLevelType w:val="hybridMultilevel"/>
    <w:tmpl w:val="AD4CCF2A"/>
    <w:lvl w:ilvl="0" w:tplc="301E4F5C">
      <w:start w:val="1"/>
      <w:numFmt w:val="arabicAbjad"/>
      <w:lvlText w:val="(%1)"/>
      <w:lvlJc w:val="left"/>
      <w:pPr>
        <w:ind w:left="2160" w:hanging="720"/>
      </w:pPr>
      <w:rPr>
        <w:rFonts w:hint="default"/>
      </w:rPr>
    </w:lvl>
    <w:lvl w:ilvl="1" w:tplc="10090019" w:tentative="1">
      <w:start w:val="1"/>
      <w:numFmt w:val="lowerLetter"/>
      <w:lvlText w:val="%2."/>
      <w:lvlJc w:val="left"/>
      <w:pPr>
        <w:ind w:left="2531" w:hanging="360"/>
      </w:pPr>
    </w:lvl>
    <w:lvl w:ilvl="2" w:tplc="1009001B" w:tentative="1">
      <w:start w:val="1"/>
      <w:numFmt w:val="lowerRoman"/>
      <w:lvlText w:val="%3."/>
      <w:lvlJc w:val="right"/>
      <w:pPr>
        <w:ind w:left="3251" w:hanging="180"/>
      </w:pPr>
    </w:lvl>
    <w:lvl w:ilvl="3" w:tplc="1009000F" w:tentative="1">
      <w:start w:val="1"/>
      <w:numFmt w:val="decimal"/>
      <w:lvlText w:val="%4."/>
      <w:lvlJc w:val="left"/>
      <w:pPr>
        <w:ind w:left="3971" w:hanging="360"/>
      </w:pPr>
    </w:lvl>
    <w:lvl w:ilvl="4" w:tplc="10090019" w:tentative="1">
      <w:start w:val="1"/>
      <w:numFmt w:val="lowerLetter"/>
      <w:lvlText w:val="%5."/>
      <w:lvlJc w:val="left"/>
      <w:pPr>
        <w:ind w:left="4691" w:hanging="360"/>
      </w:pPr>
    </w:lvl>
    <w:lvl w:ilvl="5" w:tplc="1009001B" w:tentative="1">
      <w:start w:val="1"/>
      <w:numFmt w:val="lowerRoman"/>
      <w:lvlText w:val="%6."/>
      <w:lvlJc w:val="right"/>
      <w:pPr>
        <w:ind w:left="5411" w:hanging="180"/>
      </w:pPr>
    </w:lvl>
    <w:lvl w:ilvl="6" w:tplc="1009000F" w:tentative="1">
      <w:start w:val="1"/>
      <w:numFmt w:val="decimal"/>
      <w:lvlText w:val="%7."/>
      <w:lvlJc w:val="left"/>
      <w:pPr>
        <w:ind w:left="6131" w:hanging="360"/>
      </w:pPr>
    </w:lvl>
    <w:lvl w:ilvl="7" w:tplc="10090019" w:tentative="1">
      <w:start w:val="1"/>
      <w:numFmt w:val="lowerLetter"/>
      <w:lvlText w:val="%8."/>
      <w:lvlJc w:val="left"/>
      <w:pPr>
        <w:ind w:left="6851" w:hanging="360"/>
      </w:pPr>
    </w:lvl>
    <w:lvl w:ilvl="8" w:tplc="1009001B" w:tentative="1">
      <w:start w:val="1"/>
      <w:numFmt w:val="lowerRoman"/>
      <w:lvlText w:val="%9."/>
      <w:lvlJc w:val="right"/>
      <w:pPr>
        <w:ind w:left="7571" w:hanging="180"/>
      </w:pPr>
    </w:lvl>
  </w:abstractNum>
  <w:abstractNum w:abstractNumId="17">
    <w:nsid w:val="0E14381A"/>
    <w:multiLevelType w:val="hybridMultilevel"/>
    <w:tmpl w:val="D318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921258"/>
    <w:multiLevelType w:val="hybridMultilevel"/>
    <w:tmpl w:val="D6CAB5A4"/>
    <w:lvl w:ilvl="0" w:tplc="261AF550">
      <w:start w:val="1"/>
      <w:numFmt w:val="decimal"/>
      <w:lvlText w:val="%1-"/>
      <w:lvlJc w:val="left"/>
      <w:pPr>
        <w:ind w:left="2468" w:hanging="720"/>
      </w:pPr>
      <w:rPr>
        <w:rFonts w:hint="default"/>
        <w:b w:val="0"/>
        <w:i w:val="0"/>
        <w:iCs w:val="0"/>
        <w:color w:val="000000"/>
        <w:sz w:val="22"/>
        <w:szCs w:val="22"/>
        <w:lang w:bidi="ar-EG"/>
      </w:rPr>
    </w:lvl>
    <w:lvl w:ilvl="1" w:tplc="10090019">
      <w:start w:val="1"/>
      <w:numFmt w:val="lowerLetter"/>
      <w:lvlText w:val="%2."/>
      <w:lvlJc w:val="left"/>
      <w:pPr>
        <w:ind w:left="2828" w:hanging="360"/>
      </w:pPr>
    </w:lvl>
    <w:lvl w:ilvl="2" w:tplc="1009001B" w:tentative="1">
      <w:start w:val="1"/>
      <w:numFmt w:val="lowerRoman"/>
      <w:lvlText w:val="%3."/>
      <w:lvlJc w:val="right"/>
      <w:pPr>
        <w:ind w:left="3548" w:hanging="180"/>
      </w:pPr>
    </w:lvl>
    <w:lvl w:ilvl="3" w:tplc="1009000F" w:tentative="1">
      <w:start w:val="1"/>
      <w:numFmt w:val="decimal"/>
      <w:lvlText w:val="%4."/>
      <w:lvlJc w:val="left"/>
      <w:pPr>
        <w:ind w:left="4268" w:hanging="360"/>
      </w:pPr>
    </w:lvl>
    <w:lvl w:ilvl="4" w:tplc="10090019" w:tentative="1">
      <w:start w:val="1"/>
      <w:numFmt w:val="lowerLetter"/>
      <w:lvlText w:val="%5."/>
      <w:lvlJc w:val="left"/>
      <w:pPr>
        <w:ind w:left="4988" w:hanging="360"/>
      </w:pPr>
    </w:lvl>
    <w:lvl w:ilvl="5" w:tplc="1009001B" w:tentative="1">
      <w:start w:val="1"/>
      <w:numFmt w:val="lowerRoman"/>
      <w:lvlText w:val="%6."/>
      <w:lvlJc w:val="right"/>
      <w:pPr>
        <w:ind w:left="5708" w:hanging="180"/>
      </w:pPr>
    </w:lvl>
    <w:lvl w:ilvl="6" w:tplc="1009000F" w:tentative="1">
      <w:start w:val="1"/>
      <w:numFmt w:val="decimal"/>
      <w:lvlText w:val="%7."/>
      <w:lvlJc w:val="left"/>
      <w:pPr>
        <w:ind w:left="6428" w:hanging="360"/>
      </w:pPr>
    </w:lvl>
    <w:lvl w:ilvl="7" w:tplc="10090019" w:tentative="1">
      <w:start w:val="1"/>
      <w:numFmt w:val="lowerLetter"/>
      <w:lvlText w:val="%8."/>
      <w:lvlJc w:val="left"/>
      <w:pPr>
        <w:ind w:left="7148" w:hanging="360"/>
      </w:pPr>
    </w:lvl>
    <w:lvl w:ilvl="8" w:tplc="1009001B" w:tentative="1">
      <w:start w:val="1"/>
      <w:numFmt w:val="lowerRoman"/>
      <w:lvlText w:val="%9."/>
      <w:lvlJc w:val="right"/>
      <w:pPr>
        <w:ind w:left="7868" w:hanging="180"/>
      </w:pPr>
    </w:lvl>
  </w:abstractNum>
  <w:abstractNum w:abstractNumId="19">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1209075C"/>
    <w:multiLevelType w:val="hybridMultilevel"/>
    <w:tmpl w:val="026E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4A35E5"/>
    <w:multiLevelType w:val="hybridMultilevel"/>
    <w:tmpl w:val="6996F69C"/>
    <w:lvl w:ilvl="0" w:tplc="ED32601C">
      <w:start w:val="1"/>
      <w:numFmt w:val="arabicAlpha"/>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3FC598D"/>
    <w:multiLevelType w:val="hybridMultilevel"/>
    <w:tmpl w:val="A170E2E0"/>
    <w:lvl w:ilvl="0" w:tplc="79CAA806">
      <w:start w:val="1"/>
      <w:numFmt w:val="arabicAbjad"/>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4E1294D"/>
    <w:multiLevelType w:val="hybridMultilevel"/>
    <w:tmpl w:val="186E922A"/>
    <w:lvl w:ilvl="0" w:tplc="E6062B26">
      <w:start w:val="1"/>
      <w:numFmt w:val="arabicAbjad"/>
      <w:lvlText w:val="(%1)"/>
      <w:lvlJc w:val="left"/>
      <w:pPr>
        <w:ind w:left="720" w:hanging="360"/>
      </w:pPr>
      <w:rPr>
        <w:rFonts w:hint="default"/>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5EC3F0C"/>
    <w:multiLevelType w:val="hybridMultilevel"/>
    <w:tmpl w:val="D50E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76D7572"/>
    <w:multiLevelType w:val="hybridMultilevel"/>
    <w:tmpl w:val="3EE0AA72"/>
    <w:lvl w:ilvl="0" w:tplc="E6062B26">
      <w:start w:val="1"/>
      <w:numFmt w:val="decimal"/>
      <w:lvlText w:val="%1-"/>
      <w:lvlJc w:val="left"/>
      <w:pPr>
        <w:ind w:left="720" w:hanging="360"/>
      </w:pPr>
      <w:rPr>
        <w:rFonts w:hint="default"/>
        <w:i w:val="0"/>
        <w:iCs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859376B"/>
    <w:multiLevelType w:val="singleLevel"/>
    <w:tmpl w:val="35D0F268"/>
    <w:lvl w:ilvl="0">
      <w:start w:val="1"/>
      <w:numFmt w:val="decimal"/>
      <w:pStyle w:val="Paraa"/>
      <w:lvlText w:val="%1."/>
      <w:lvlJc w:val="left"/>
      <w:pPr>
        <w:tabs>
          <w:tab w:val="num" w:pos="4860"/>
        </w:tabs>
        <w:ind w:left="4500" w:firstLine="0"/>
      </w:pPr>
    </w:lvl>
  </w:abstractNum>
  <w:abstractNum w:abstractNumId="27">
    <w:nsid w:val="18D7211C"/>
    <w:multiLevelType w:val="hybridMultilevel"/>
    <w:tmpl w:val="E2A0A154"/>
    <w:lvl w:ilvl="0" w:tplc="F9E0BCF0">
      <w:start w:val="4"/>
      <w:numFmt w:val="decimal"/>
      <w:lvlText w:val="%1-"/>
      <w:lvlJc w:val="left"/>
      <w:pPr>
        <w:ind w:left="1080" w:hanging="360"/>
      </w:pPr>
      <w:rPr>
        <w:rFonts w:hint="default"/>
        <w:sz w:val="24"/>
      </w:rPr>
    </w:lvl>
    <w:lvl w:ilvl="1" w:tplc="D8082930" w:tentative="1">
      <w:start w:val="1"/>
      <w:numFmt w:val="lowerLetter"/>
      <w:lvlText w:val="%2."/>
      <w:lvlJc w:val="left"/>
      <w:pPr>
        <w:ind w:left="1440" w:hanging="360"/>
      </w:pPr>
    </w:lvl>
    <w:lvl w:ilvl="2" w:tplc="66ECD58C" w:tentative="1">
      <w:start w:val="1"/>
      <w:numFmt w:val="lowerRoman"/>
      <w:lvlText w:val="%3."/>
      <w:lvlJc w:val="right"/>
      <w:pPr>
        <w:ind w:left="2160" w:hanging="180"/>
      </w:pPr>
    </w:lvl>
    <w:lvl w:ilvl="3" w:tplc="193C88B4" w:tentative="1">
      <w:start w:val="1"/>
      <w:numFmt w:val="decimal"/>
      <w:lvlText w:val="%4."/>
      <w:lvlJc w:val="left"/>
      <w:pPr>
        <w:ind w:left="2880" w:hanging="360"/>
      </w:pPr>
    </w:lvl>
    <w:lvl w:ilvl="4" w:tplc="FCAAA5F6" w:tentative="1">
      <w:start w:val="1"/>
      <w:numFmt w:val="lowerLetter"/>
      <w:lvlText w:val="%5."/>
      <w:lvlJc w:val="left"/>
      <w:pPr>
        <w:ind w:left="3600" w:hanging="360"/>
      </w:pPr>
    </w:lvl>
    <w:lvl w:ilvl="5" w:tplc="749888C2" w:tentative="1">
      <w:start w:val="1"/>
      <w:numFmt w:val="lowerRoman"/>
      <w:lvlText w:val="%6."/>
      <w:lvlJc w:val="right"/>
      <w:pPr>
        <w:ind w:left="4320" w:hanging="180"/>
      </w:pPr>
    </w:lvl>
    <w:lvl w:ilvl="6" w:tplc="1466DB44" w:tentative="1">
      <w:start w:val="1"/>
      <w:numFmt w:val="decimal"/>
      <w:lvlText w:val="%7."/>
      <w:lvlJc w:val="left"/>
      <w:pPr>
        <w:ind w:left="5040" w:hanging="360"/>
      </w:pPr>
    </w:lvl>
    <w:lvl w:ilvl="7" w:tplc="57DE57C0" w:tentative="1">
      <w:start w:val="1"/>
      <w:numFmt w:val="lowerLetter"/>
      <w:lvlText w:val="%8."/>
      <w:lvlJc w:val="left"/>
      <w:pPr>
        <w:ind w:left="5760" w:hanging="360"/>
      </w:pPr>
    </w:lvl>
    <w:lvl w:ilvl="8" w:tplc="B83C6462" w:tentative="1">
      <w:start w:val="1"/>
      <w:numFmt w:val="lowerRoman"/>
      <w:lvlText w:val="%9."/>
      <w:lvlJc w:val="right"/>
      <w:pPr>
        <w:ind w:left="6480" w:hanging="180"/>
      </w:pPr>
    </w:lvl>
  </w:abstractNum>
  <w:abstractNum w:abstractNumId="28">
    <w:nsid w:val="19F800EA"/>
    <w:multiLevelType w:val="hybridMultilevel"/>
    <w:tmpl w:val="86AA88B4"/>
    <w:lvl w:ilvl="0" w:tplc="1DDE2C48">
      <w:start w:val="1"/>
      <w:numFmt w:val="decimal"/>
      <w:lvlText w:val="%1-"/>
      <w:lvlJc w:val="left"/>
      <w:pPr>
        <w:ind w:left="2716" w:hanging="144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9">
    <w:nsid w:val="1BF65CCD"/>
    <w:multiLevelType w:val="hybridMultilevel"/>
    <w:tmpl w:val="0130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0D47E0"/>
    <w:multiLevelType w:val="multilevel"/>
    <w:tmpl w:val="4C96AF4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nsid w:val="1CB161FA"/>
    <w:multiLevelType w:val="hybridMultilevel"/>
    <w:tmpl w:val="02D6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160CF8"/>
    <w:multiLevelType w:val="singleLevel"/>
    <w:tmpl w:val="2B6AEDDA"/>
    <w:lvl w:ilvl="0">
      <w:start w:val="3"/>
      <w:numFmt w:val="decimal"/>
      <w:pStyle w:val="Heading-plain"/>
      <w:lvlText w:val="3.%1 "/>
      <w:legacy w:legacy="1" w:legacySpace="0" w:legacyIndent="283"/>
      <w:lvlJc w:val="left"/>
      <w:pPr>
        <w:ind w:left="283" w:hanging="283"/>
      </w:pPr>
      <w:rPr>
        <w:rFonts w:ascii="Courier" w:hAnsi="Courier" w:hint="default"/>
        <w:b w:val="0"/>
        <w:i w:val="0"/>
        <w:sz w:val="20"/>
        <w:u w:val="none"/>
      </w:rPr>
    </w:lvl>
  </w:abstractNum>
  <w:abstractNum w:abstractNumId="33">
    <w:nsid w:val="1D503171"/>
    <w:multiLevelType w:val="hybridMultilevel"/>
    <w:tmpl w:val="D9DA3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E4458A7"/>
    <w:multiLevelType w:val="hybridMultilevel"/>
    <w:tmpl w:val="78B2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2D3DE6"/>
    <w:multiLevelType w:val="hybridMultilevel"/>
    <w:tmpl w:val="9F785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00474EC"/>
    <w:multiLevelType w:val="hybridMultilevel"/>
    <w:tmpl w:val="B442FE2C"/>
    <w:lvl w:ilvl="0" w:tplc="D02239AA">
      <w:start w:val="1"/>
      <w:numFmt w:val="decimal"/>
      <w:lvlText w:val="%1-"/>
      <w:lvlJc w:val="left"/>
      <w:pPr>
        <w:ind w:left="720" w:hanging="360"/>
      </w:pPr>
      <w:rPr>
        <w:rFonts w:hint="default"/>
      </w:rPr>
    </w:lvl>
    <w:lvl w:ilvl="1" w:tplc="9F0283EC" w:tentative="1">
      <w:start w:val="1"/>
      <w:numFmt w:val="lowerLetter"/>
      <w:lvlText w:val="%2."/>
      <w:lvlJc w:val="left"/>
      <w:pPr>
        <w:ind w:left="1440" w:hanging="360"/>
      </w:pPr>
    </w:lvl>
    <w:lvl w:ilvl="2" w:tplc="64F81B52" w:tentative="1">
      <w:start w:val="1"/>
      <w:numFmt w:val="lowerRoman"/>
      <w:lvlText w:val="%3."/>
      <w:lvlJc w:val="right"/>
      <w:pPr>
        <w:ind w:left="2160" w:hanging="180"/>
      </w:pPr>
    </w:lvl>
    <w:lvl w:ilvl="3" w:tplc="9E6E4CA4" w:tentative="1">
      <w:start w:val="1"/>
      <w:numFmt w:val="decimal"/>
      <w:lvlText w:val="%4."/>
      <w:lvlJc w:val="left"/>
      <w:pPr>
        <w:ind w:left="2880" w:hanging="360"/>
      </w:pPr>
    </w:lvl>
    <w:lvl w:ilvl="4" w:tplc="9B20ADB4" w:tentative="1">
      <w:start w:val="1"/>
      <w:numFmt w:val="lowerLetter"/>
      <w:lvlText w:val="%5."/>
      <w:lvlJc w:val="left"/>
      <w:pPr>
        <w:ind w:left="3600" w:hanging="360"/>
      </w:pPr>
    </w:lvl>
    <w:lvl w:ilvl="5" w:tplc="71007828" w:tentative="1">
      <w:start w:val="1"/>
      <w:numFmt w:val="lowerRoman"/>
      <w:lvlText w:val="%6."/>
      <w:lvlJc w:val="right"/>
      <w:pPr>
        <w:ind w:left="4320" w:hanging="180"/>
      </w:pPr>
    </w:lvl>
    <w:lvl w:ilvl="6" w:tplc="120E2B0A" w:tentative="1">
      <w:start w:val="1"/>
      <w:numFmt w:val="decimal"/>
      <w:lvlText w:val="%7."/>
      <w:lvlJc w:val="left"/>
      <w:pPr>
        <w:ind w:left="5040" w:hanging="360"/>
      </w:pPr>
    </w:lvl>
    <w:lvl w:ilvl="7" w:tplc="776CCCCC" w:tentative="1">
      <w:start w:val="1"/>
      <w:numFmt w:val="lowerLetter"/>
      <w:lvlText w:val="%8."/>
      <w:lvlJc w:val="left"/>
      <w:pPr>
        <w:ind w:left="5760" w:hanging="360"/>
      </w:pPr>
    </w:lvl>
    <w:lvl w:ilvl="8" w:tplc="230004F6" w:tentative="1">
      <w:start w:val="1"/>
      <w:numFmt w:val="lowerRoman"/>
      <w:lvlText w:val="%9."/>
      <w:lvlJc w:val="right"/>
      <w:pPr>
        <w:ind w:left="6480" w:hanging="180"/>
      </w:pPr>
    </w:lvl>
  </w:abstractNum>
  <w:abstractNum w:abstractNumId="37">
    <w:nsid w:val="201613A6"/>
    <w:multiLevelType w:val="hybridMultilevel"/>
    <w:tmpl w:val="644C4D3C"/>
    <w:lvl w:ilvl="0" w:tplc="63CE4614">
      <w:start w:val="1"/>
      <w:numFmt w:val="decimal"/>
      <w:lvlText w:val="(%1)"/>
      <w:lvlJc w:val="left"/>
      <w:pPr>
        <w:ind w:left="2160" w:hanging="360"/>
      </w:pPr>
      <w:rPr>
        <w:rFonts w:ascii="Times New Roman" w:eastAsia="YouYuan" w:hAnsi="Times New Roman" w:cs="Simplified Arabic"/>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nsid w:val="204B1429"/>
    <w:multiLevelType w:val="hybridMultilevel"/>
    <w:tmpl w:val="AD66C684"/>
    <w:lvl w:ilvl="0" w:tplc="BEE84536">
      <w:start w:val="1"/>
      <w:numFmt w:val="arabicAbjad"/>
      <w:lvlText w:val="(%1)"/>
      <w:lvlJc w:val="left"/>
      <w:pPr>
        <w:ind w:left="1800" w:hanging="360"/>
      </w:pPr>
      <w:rPr>
        <w:rFonts w:hint="default"/>
        <w:i/>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9">
    <w:nsid w:val="205512FE"/>
    <w:multiLevelType w:val="hybridMultilevel"/>
    <w:tmpl w:val="7BDAEC4A"/>
    <w:lvl w:ilvl="0" w:tplc="B1360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221E7E50"/>
    <w:multiLevelType w:val="hybridMultilevel"/>
    <w:tmpl w:val="667C3302"/>
    <w:lvl w:ilvl="0" w:tplc="50BA7B9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2210F3E"/>
    <w:multiLevelType w:val="hybridMultilevel"/>
    <w:tmpl w:val="AA16BDB4"/>
    <w:lvl w:ilvl="0" w:tplc="A3BE478E">
      <w:start w:val="1"/>
      <w:numFmt w:val="decimal"/>
      <w:lvlText w:val="(%1)"/>
      <w:lvlJc w:val="left"/>
      <w:pPr>
        <w:ind w:left="1800" w:hanging="360"/>
      </w:pPr>
      <w:rPr>
        <w:rFonts w:hint="default"/>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3">
    <w:nsid w:val="223B74B2"/>
    <w:multiLevelType w:val="hybridMultilevel"/>
    <w:tmpl w:val="6BD4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4CE2919"/>
    <w:multiLevelType w:val="multilevel"/>
    <w:tmpl w:val="B6BA981C"/>
    <w:lvl w:ilvl="0">
      <w:start w:val="3"/>
      <w:numFmt w:val="decimal"/>
      <w:lvlText w:val="%1"/>
      <w:lvlJc w:val="left"/>
      <w:pPr>
        <w:ind w:left="360" w:hanging="360"/>
      </w:pPr>
      <w:rPr>
        <w:rFonts w:hint="default"/>
      </w:rPr>
    </w:lvl>
    <w:lvl w:ilvl="1">
      <w:start w:val="1"/>
      <w:numFmt w:val="decimal"/>
      <w:lvlText w:val="%1-%2"/>
      <w:lvlJc w:val="left"/>
      <w:pPr>
        <w:ind w:left="816" w:hanging="720"/>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368" w:hanging="108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920" w:hanging="144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472" w:hanging="1800"/>
      </w:pPr>
      <w:rPr>
        <w:rFonts w:hint="default"/>
      </w:rPr>
    </w:lvl>
    <w:lvl w:ilvl="8">
      <w:start w:val="1"/>
      <w:numFmt w:val="decimal"/>
      <w:lvlText w:val="%1-%2.%3.%4.%5.%6.%7.%8.%9"/>
      <w:lvlJc w:val="left"/>
      <w:pPr>
        <w:ind w:left="2568" w:hanging="1800"/>
      </w:pPr>
      <w:rPr>
        <w:rFonts w:hint="default"/>
      </w:rPr>
    </w:lvl>
  </w:abstractNum>
  <w:abstractNum w:abstractNumId="45">
    <w:nsid w:val="26AC5E12"/>
    <w:multiLevelType w:val="hybridMultilevel"/>
    <w:tmpl w:val="198A36C0"/>
    <w:lvl w:ilvl="0" w:tplc="AAE803B2">
      <w:start w:val="1"/>
      <w:numFmt w:val="decimal"/>
      <w:lvlText w:val="%1-"/>
      <w:lvlJc w:val="left"/>
      <w:pPr>
        <w:ind w:left="720" w:hanging="360"/>
      </w:pPr>
      <w:rPr>
        <w:rFonts w:ascii="Simplified Arabic" w:hAnsi="Simplified Arabic" w:cs="Simplified Arabic" w:hint="default"/>
        <w:sz w:val="24"/>
        <w:szCs w:val="24"/>
      </w:rPr>
    </w:lvl>
    <w:lvl w:ilvl="1" w:tplc="32F41296">
      <w:start w:val="1"/>
      <w:numFmt w:val="lowerLetter"/>
      <w:lvlText w:val="%2."/>
      <w:lvlJc w:val="left"/>
      <w:pPr>
        <w:ind w:left="1440" w:hanging="360"/>
      </w:pPr>
    </w:lvl>
    <w:lvl w:ilvl="2" w:tplc="493AC176" w:tentative="1">
      <w:start w:val="1"/>
      <w:numFmt w:val="lowerRoman"/>
      <w:lvlText w:val="%3."/>
      <w:lvlJc w:val="right"/>
      <w:pPr>
        <w:ind w:left="2160" w:hanging="180"/>
      </w:pPr>
    </w:lvl>
    <w:lvl w:ilvl="3" w:tplc="47644904" w:tentative="1">
      <w:start w:val="1"/>
      <w:numFmt w:val="decimal"/>
      <w:lvlText w:val="%4."/>
      <w:lvlJc w:val="left"/>
      <w:pPr>
        <w:ind w:left="2880" w:hanging="360"/>
      </w:pPr>
    </w:lvl>
    <w:lvl w:ilvl="4" w:tplc="7876D722" w:tentative="1">
      <w:start w:val="1"/>
      <w:numFmt w:val="lowerLetter"/>
      <w:lvlText w:val="%5."/>
      <w:lvlJc w:val="left"/>
      <w:pPr>
        <w:ind w:left="3600" w:hanging="360"/>
      </w:pPr>
    </w:lvl>
    <w:lvl w:ilvl="5" w:tplc="D59EBEAC" w:tentative="1">
      <w:start w:val="1"/>
      <w:numFmt w:val="lowerRoman"/>
      <w:lvlText w:val="%6."/>
      <w:lvlJc w:val="right"/>
      <w:pPr>
        <w:ind w:left="4320" w:hanging="180"/>
      </w:pPr>
    </w:lvl>
    <w:lvl w:ilvl="6" w:tplc="85BC16FC" w:tentative="1">
      <w:start w:val="1"/>
      <w:numFmt w:val="decimal"/>
      <w:lvlText w:val="%7."/>
      <w:lvlJc w:val="left"/>
      <w:pPr>
        <w:ind w:left="5040" w:hanging="360"/>
      </w:pPr>
    </w:lvl>
    <w:lvl w:ilvl="7" w:tplc="11AC5AB0" w:tentative="1">
      <w:start w:val="1"/>
      <w:numFmt w:val="lowerLetter"/>
      <w:lvlText w:val="%8."/>
      <w:lvlJc w:val="left"/>
      <w:pPr>
        <w:ind w:left="5760" w:hanging="360"/>
      </w:pPr>
    </w:lvl>
    <w:lvl w:ilvl="8" w:tplc="A576364C" w:tentative="1">
      <w:start w:val="1"/>
      <w:numFmt w:val="lowerRoman"/>
      <w:lvlText w:val="%9."/>
      <w:lvlJc w:val="right"/>
      <w:pPr>
        <w:ind w:left="6480" w:hanging="180"/>
      </w:pPr>
    </w:lvl>
  </w:abstractNum>
  <w:abstractNum w:abstractNumId="46">
    <w:nsid w:val="292B0F76"/>
    <w:multiLevelType w:val="multilevel"/>
    <w:tmpl w:val="8D1AC6C8"/>
    <w:lvl w:ilvl="0">
      <w:start w:val="1"/>
      <w:numFmt w:val="decimal"/>
      <w:lvlText w:val="%1"/>
      <w:lvlJc w:val="left"/>
      <w:pPr>
        <w:ind w:left="360" w:hanging="360"/>
      </w:pPr>
      <w:rPr>
        <w:rFonts w:hint="default"/>
      </w:rPr>
    </w:lvl>
    <w:lvl w:ilvl="1">
      <w:start w:val="1"/>
      <w:numFmt w:val="decimal"/>
      <w:lvlText w:val="%1-%2"/>
      <w:lvlJc w:val="left"/>
      <w:pPr>
        <w:ind w:left="816" w:hanging="720"/>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368" w:hanging="108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920" w:hanging="144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472" w:hanging="1800"/>
      </w:pPr>
      <w:rPr>
        <w:rFonts w:hint="default"/>
      </w:rPr>
    </w:lvl>
    <w:lvl w:ilvl="8">
      <w:start w:val="1"/>
      <w:numFmt w:val="decimal"/>
      <w:lvlText w:val="%1-%2.%3.%4.%5.%6.%7.%8.%9"/>
      <w:lvlJc w:val="left"/>
      <w:pPr>
        <w:ind w:left="2568" w:hanging="1800"/>
      </w:pPr>
      <w:rPr>
        <w:rFonts w:hint="default"/>
      </w:rPr>
    </w:lvl>
  </w:abstractNum>
  <w:abstractNum w:abstractNumId="47">
    <w:nsid w:val="29374E08"/>
    <w:multiLevelType w:val="hybridMultilevel"/>
    <w:tmpl w:val="3168EAAA"/>
    <w:lvl w:ilvl="0" w:tplc="FFB0AA0A">
      <w:start w:val="1"/>
      <w:numFmt w:val="decimal"/>
      <w:lvlText w:val="%1-"/>
      <w:lvlJc w:val="left"/>
      <w:pPr>
        <w:ind w:left="2149" w:hanging="1440"/>
      </w:pPr>
      <w:rPr>
        <w:rFonts w:hint="default"/>
        <w:sz w:val="24"/>
      </w:rPr>
    </w:lvl>
    <w:lvl w:ilvl="1" w:tplc="C81A374E" w:tentative="1">
      <w:start w:val="1"/>
      <w:numFmt w:val="lowerLetter"/>
      <w:lvlText w:val="%2."/>
      <w:lvlJc w:val="left"/>
      <w:pPr>
        <w:ind w:left="1789" w:hanging="360"/>
      </w:pPr>
    </w:lvl>
    <w:lvl w:ilvl="2" w:tplc="16C043F4" w:tentative="1">
      <w:start w:val="1"/>
      <w:numFmt w:val="lowerRoman"/>
      <w:lvlText w:val="%3."/>
      <w:lvlJc w:val="right"/>
      <w:pPr>
        <w:ind w:left="2509" w:hanging="180"/>
      </w:pPr>
    </w:lvl>
    <w:lvl w:ilvl="3" w:tplc="44643732" w:tentative="1">
      <w:start w:val="1"/>
      <w:numFmt w:val="decimal"/>
      <w:lvlText w:val="%4."/>
      <w:lvlJc w:val="left"/>
      <w:pPr>
        <w:ind w:left="3229" w:hanging="360"/>
      </w:pPr>
    </w:lvl>
    <w:lvl w:ilvl="4" w:tplc="EC6A2310" w:tentative="1">
      <w:start w:val="1"/>
      <w:numFmt w:val="lowerLetter"/>
      <w:lvlText w:val="%5."/>
      <w:lvlJc w:val="left"/>
      <w:pPr>
        <w:ind w:left="3949" w:hanging="360"/>
      </w:pPr>
    </w:lvl>
    <w:lvl w:ilvl="5" w:tplc="8B1E6FBA" w:tentative="1">
      <w:start w:val="1"/>
      <w:numFmt w:val="lowerRoman"/>
      <w:lvlText w:val="%6."/>
      <w:lvlJc w:val="right"/>
      <w:pPr>
        <w:ind w:left="4669" w:hanging="180"/>
      </w:pPr>
    </w:lvl>
    <w:lvl w:ilvl="6" w:tplc="8BE0A36E" w:tentative="1">
      <w:start w:val="1"/>
      <w:numFmt w:val="decimal"/>
      <w:lvlText w:val="%7."/>
      <w:lvlJc w:val="left"/>
      <w:pPr>
        <w:ind w:left="5389" w:hanging="360"/>
      </w:pPr>
    </w:lvl>
    <w:lvl w:ilvl="7" w:tplc="30F0C202" w:tentative="1">
      <w:start w:val="1"/>
      <w:numFmt w:val="lowerLetter"/>
      <w:lvlText w:val="%8."/>
      <w:lvlJc w:val="left"/>
      <w:pPr>
        <w:ind w:left="6109" w:hanging="360"/>
      </w:pPr>
    </w:lvl>
    <w:lvl w:ilvl="8" w:tplc="5382071E" w:tentative="1">
      <w:start w:val="1"/>
      <w:numFmt w:val="lowerRoman"/>
      <w:lvlText w:val="%9."/>
      <w:lvlJc w:val="right"/>
      <w:pPr>
        <w:ind w:left="6829" w:hanging="180"/>
      </w:pPr>
    </w:lvl>
  </w:abstractNum>
  <w:abstractNum w:abstractNumId="48">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D2355C8"/>
    <w:multiLevelType w:val="hybridMultilevel"/>
    <w:tmpl w:val="0512E5EA"/>
    <w:lvl w:ilvl="0" w:tplc="7448485A">
      <w:start w:val="7"/>
      <w:numFmt w:val="decimal"/>
      <w:lvlText w:val="%1-"/>
      <w:lvlJc w:val="left"/>
      <w:pPr>
        <w:ind w:left="2160" w:hanging="720"/>
      </w:pPr>
      <w:rPr>
        <w:rFonts w:cs="Simplified Arab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DB318A"/>
    <w:multiLevelType w:val="hybridMultilevel"/>
    <w:tmpl w:val="0A28F526"/>
    <w:lvl w:ilvl="0" w:tplc="DE7CFB02">
      <w:start w:val="1"/>
      <w:numFmt w:val="lowerLetter"/>
      <w:pStyle w:val="headingdecisionsectionmultiline"/>
      <w:lvlText w:val="(%1)"/>
      <w:lvlJc w:val="left"/>
      <w:pPr>
        <w:tabs>
          <w:tab w:val="num" w:pos="720"/>
        </w:tabs>
        <w:ind w:left="720" w:hanging="720"/>
      </w:pPr>
      <w:rPr>
        <w:rFonts w:ascii="Times New Roman" w:hAnsi="Times New Roman" w:hint="default"/>
        <w:b w:val="0"/>
        <w:i/>
        <w:sz w:val="22"/>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1">
    <w:nsid w:val="2F0B696B"/>
    <w:multiLevelType w:val="hybridMultilevel"/>
    <w:tmpl w:val="51DE2686"/>
    <w:lvl w:ilvl="0" w:tplc="FFFFFFFF">
      <w:start w:val="1"/>
      <w:numFmt w:val="decimal"/>
      <w:lvlText w:val="%1-"/>
      <w:lvlJc w:val="left"/>
      <w:pPr>
        <w:ind w:left="1487" w:hanging="360"/>
      </w:pPr>
      <w:rPr>
        <w:rFonts w:hint="default"/>
        <w:i w:val="0"/>
        <w:iCs w:val="0"/>
        <w:sz w:val="24"/>
      </w:rPr>
    </w:lvl>
    <w:lvl w:ilvl="1" w:tplc="FFFFFFFF" w:tentative="1">
      <w:start w:val="1"/>
      <w:numFmt w:val="lowerLetter"/>
      <w:lvlText w:val="%2."/>
      <w:lvlJc w:val="left"/>
      <w:pPr>
        <w:ind w:left="2207" w:hanging="360"/>
      </w:pPr>
    </w:lvl>
    <w:lvl w:ilvl="2" w:tplc="FFFFFFFF" w:tentative="1">
      <w:start w:val="1"/>
      <w:numFmt w:val="lowerRoman"/>
      <w:lvlText w:val="%3."/>
      <w:lvlJc w:val="right"/>
      <w:pPr>
        <w:ind w:left="2927" w:hanging="180"/>
      </w:pPr>
    </w:lvl>
    <w:lvl w:ilvl="3" w:tplc="FFFFFFFF" w:tentative="1">
      <w:start w:val="1"/>
      <w:numFmt w:val="decimal"/>
      <w:lvlText w:val="%4."/>
      <w:lvlJc w:val="left"/>
      <w:pPr>
        <w:ind w:left="3647" w:hanging="360"/>
      </w:pPr>
    </w:lvl>
    <w:lvl w:ilvl="4" w:tplc="FFFFFFFF" w:tentative="1">
      <w:start w:val="1"/>
      <w:numFmt w:val="lowerLetter"/>
      <w:lvlText w:val="%5."/>
      <w:lvlJc w:val="left"/>
      <w:pPr>
        <w:ind w:left="4367" w:hanging="360"/>
      </w:pPr>
    </w:lvl>
    <w:lvl w:ilvl="5" w:tplc="FFFFFFFF" w:tentative="1">
      <w:start w:val="1"/>
      <w:numFmt w:val="lowerRoman"/>
      <w:lvlText w:val="%6."/>
      <w:lvlJc w:val="right"/>
      <w:pPr>
        <w:ind w:left="5087" w:hanging="180"/>
      </w:pPr>
    </w:lvl>
    <w:lvl w:ilvl="6" w:tplc="FFFFFFFF" w:tentative="1">
      <w:start w:val="1"/>
      <w:numFmt w:val="decimal"/>
      <w:lvlText w:val="%7."/>
      <w:lvlJc w:val="left"/>
      <w:pPr>
        <w:ind w:left="5807" w:hanging="360"/>
      </w:pPr>
    </w:lvl>
    <w:lvl w:ilvl="7" w:tplc="FFFFFFFF" w:tentative="1">
      <w:start w:val="1"/>
      <w:numFmt w:val="lowerLetter"/>
      <w:lvlText w:val="%8."/>
      <w:lvlJc w:val="left"/>
      <w:pPr>
        <w:ind w:left="6527" w:hanging="360"/>
      </w:pPr>
    </w:lvl>
    <w:lvl w:ilvl="8" w:tplc="FFFFFFFF" w:tentative="1">
      <w:start w:val="1"/>
      <w:numFmt w:val="lowerRoman"/>
      <w:lvlText w:val="%9."/>
      <w:lvlJc w:val="right"/>
      <w:pPr>
        <w:ind w:left="7247" w:hanging="180"/>
      </w:pPr>
    </w:lvl>
  </w:abstractNum>
  <w:abstractNum w:abstractNumId="52">
    <w:nsid w:val="2FD23579"/>
    <w:multiLevelType w:val="hybridMultilevel"/>
    <w:tmpl w:val="5C545A66"/>
    <w:lvl w:ilvl="0" w:tplc="A0F8F6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30532C25"/>
    <w:multiLevelType w:val="hybridMultilevel"/>
    <w:tmpl w:val="602C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F562ED"/>
    <w:multiLevelType w:val="hybridMultilevel"/>
    <w:tmpl w:val="76F4F79E"/>
    <w:lvl w:ilvl="0" w:tplc="CEE82364">
      <w:start w:val="1"/>
      <w:numFmt w:val="decimal"/>
      <w:lvlText w:val="%1-"/>
      <w:lvlJc w:val="left"/>
      <w:pPr>
        <w:ind w:left="1185" w:hanging="360"/>
      </w:pPr>
      <w:rPr>
        <w:rFonts w:hint="default"/>
        <w:sz w:val="22"/>
        <w:szCs w:val="22"/>
        <w:lang w:bidi="ar-EG"/>
      </w:rPr>
    </w:lvl>
    <w:lvl w:ilvl="1" w:tplc="10090019" w:tentative="1">
      <w:start w:val="1"/>
      <w:numFmt w:val="lowerLetter"/>
      <w:lvlText w:val="%2."/>
      <w:lvlJc w:val="left"/>
      <w:pPr>
        <w:ind w:left="1905" w:hanging="360"/>
      </w:pPr>
    </w:lvl>
    <w:lvl w:ilvl="2" w:tplc="1009001B" w:tentative="1">
      <w:start w:val="1"/>
      <w:numFmt w:val="lowerRoman"/>
      <w:lvlText w:val="%3."/>
      <w:lvlJc w:val="right"/>
      <w:pPr>
        <w:ind w:left="2625" w:hanging="180"/>
      </w:pPr>
    </w:lvl>
    <w:lvl w:ilvl="3" w:tplc="1009000F" w:tentative="1">
      <w:start w:val="1"/>
      <w:numFmt w:val="decimal"/>
      <w:lvlText w:val="%4."/>
      <w:lvlJc w:val="left"/>
      <w:pPr>
        <w:ind w:left="3345" w:hanging="360"/>
      </w:pPr>
    </w:lvl>
    <w:lvl w:ilvl="4" w:tplc="10090019" w:tentative="1">
      <w:start w:val="1"/>
      <w:numFmt w:val="lowerLetter"/>
      <w:lvlText w:val="%5."/>
      <w:lvlJc w:val="left"/>
      <w:pPr>
        <w:ind w:left="4065" w:hanging="360"/>
      </w:pPr>
    </w:lvl>
    <w:lvl w:ilvl="5" w:tplc="1009001B" w:tentative="1">
      <w:start w:val="1"/>
      <w:numFmt w:val="lowerRoman"/>
      <w:lvlText w:val="%6."/>
      <w:lvlJc w:val="right"/>
      <w:pPr>
        <w:ind w:left="4785" w:hanging="180"/>
      </w:pPr>
    </w:lvl>
    <w:lvl w:ilvl="6" w:tplc="1009000F" w:tentative="1">
      <w:start w:val="1"/>
      <w:numFmt w:val="decimal"/>
      <w:lvlText w:val="%7."/>
      <w:lvlJc w:val="left"/>
      <w:pPr>
        <w:ind w:left="5505" w:hanging="360"/>
      </w:pPr>
    </w:lvl>
    <w:lvl w:ilvl="7" w:tplc="10090019" w:tentative="1">
      <w:start w:val="1"/>
      <w:numFmt w:val="lowerLetter"/>
      <w:lvlText w:val="%8."/>
      <w:lvlJc w:val="left"/>
      <w:pPr>
        <w:ind w:left="6225" w:hanging="360"/>
      </w:pPr>
    </w:lvl>
    <w:lvl w:ilvl="8" w:tplc="1009001B" w:tentative="1">
      <w:start w:val="1"/>
      <w:numFmt w:val="lowerRoman"/>
      <w:lvlText w:val="%9."/>
      <w:lvlJc w:val="right"/>
      <w:pPr>
        <w:ind w:left="6945" w:hanging="180"/>
      </w:pPr>
    </w:lvl>
  </w:abstractNum>
  <w:abstractNum w:abstractNumId="55">
    <w:nsid w:val="31036F16"/>
    <w:multiLevelType w:val="hybridMultilevel"/>
    <w:tmpl w:val="6276CE98"/>
    <w:lvl w:ilvl="0" w:tplc="27EE5094">
      <w:start w:val="1"/>
      <w:numFmt w:val="arabicAlpha"/>
      <w:lvlText w:val="(%1)"/>
      <w:lvlJc w:val="left"/>
      <w:pPr>
        <w:ind w:left="1080" w:hanging="360"/>
      </w:pPr>
      <w:rPr>
        <w:rFonts w:hint="default"/>
        <w:i/>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31AA7587"/>
    <w:multiLevelType w:val="hybridMultilevel"/>
    <w:tmpl w:val="3CFC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C45E8A"/>
    <w:multiLevelType w:val="hybridMultilevel"/>
    <w:tmpl w:val="A768E2B6"/>
    <w:lvl w:ilvl="0" w:tplc="23A861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34514EDA"/>
    <w:multiLevelType w:val="hybridMultilevel"/>
    <w:tmpl w:val="BCA49346"/>
    <w:lvl w:ilvl="0" w:tplc="9FE207E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CF7359"/>
    <w:multiLevelType w:val="hybridMultilevel"/>
    <w:tmpl w:val="EF38B8C4"/>
    <w:lvl w:ilvl="0" w:tplc="906C034C">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nsid w:val="3778387E"/>
    <w:multiLevelType w:val="hybridMultilevel"/>
    <w:tmpl w:val="5D26EEEE"/>
    <w:lvl w:ilvl="0" w:tplc="9FE207E8">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61">
    <w:nsid w:val="37D05C78"/>
    <w:multiLevelType w:val="hybridMultilevel"/>
    <w:tmpl w:val="93083D3A"/>
    <w:lvl w:ilvl="0" w:tplc="1A20A162">
      <w:start w:val="1"/>
      <w:numFmt w:val="bullet"/>
      <w:lvlText w:val=""/>
      <w:lvlJc w:val="left"/>
      <w:pPr>
        <w:ind w:left="360" w:hanging="360"/>
      </w:pPr>
      <w:rPr>
        <w:rFonts w:ascii="Symbol" w:hAnsi="Symbol" w:hint="default"/>
      </w:rPr>
    </w:lvl>
    <w:lvl w:ilvl="1" w:tplc="A47A6254" w:tentative="1">
      <w:start w:val="1"/>
      <w:numFmt w:val="bullet"/>
      <w:lvlText w:val="o"/>
      <w:lvlJc w:val="left"/>
      <w:pPr>
        <w:ind w:left="1080" w:hanging="360"/>
      </w:pPr>
      <w:rPr>
        <w:rFonts w:ascii="Courier New" w:hAnsi="Courier New" w:cs="Courier New" w:hint="default"/>
      </w:rPr>
    </w:lvl>
    <w:lvl w:ilvl="2" w:tplc="8620ED02" w:tentative="1">
      <w:start w:val="1"/>
      <w:numFmt w:val="bullet"/>
      <w:lvlText w:val=""/>
      <w:lvlJc w:val="left"/>
      <w:pPr>
        <w:ind w:left="1800" w:hanging="360"/>
      </w:pPr>
      <w:rPr>
        <w:rFonts w:ascii="Wingdings" w:hAnsi="Wingdings" w:hint="default"/>
      </w:rPr>
    </w:lvl>
    <w:lvl w:ilvl="3" w:tplc="258A9CC8" w:tentative="1">
      <w:start w:val="1"/>
      <w:numFmt w:val="bullet"/>
      <w:lvlText w:val=""/>
      <w:lvlJc w:val="left"/>
      <w:pPr>
        <w:ind w:left="2520" w:hanging="360"/>
      </w:pPr>
      <w:rPr>
        <w:rFonts w:ascii="Symbol" w:hAnsi="Symbol" w:hint="default"/>
      </w:rPr>
    </w:lvl>
    <w:lvl w:ilvl="4" w:tplc="31C49B1A" w:tentative="1">
      <w:start w:val="1"/>
      <w:numFmt w:val="bullet"/>
      <w:lvlText w:val="o"/>
      <w:lvlJc w:val="left"/>
      <w:pPr>
        <w:ind w:left="3240" w:hanging="360"/>
      </w:pPr>
      <w:rPr>
        <w:rFonts w:ascii="Courier New" w:hAnsi="Courier New" w:cs="Courier New" w:hint="default"/>
      </w:rPr>
    </w:lvl>
    <w:lvl w:ilvl="5" w:tplc="CE4CB372" w:tentative="1">
      <w:start w:val="1"/>
      <w:numFmt w:val="bullet"/>
      <w:lvlText w:val=""/>
      <w:lvlJc w:val="left"/>
      <w:pPr>
        <w:ind w:left="3960" w:hanging="360"/>
      </w:pPr>
      <w:rPr>
        <w:rFonts w:ascii="Wingdings" w:hAnsi="Wingdings" w:hint="default"/>
      </w:rPr>
    </w:lvl>
    <w:lvl w:ilvl="6" w:tplc="88AA78EC" w:tentative="1">
      <w:start w:val="1"/>
      <w:numFmt w:val="bullet"/>
      <w:lvlText w:val=""/>
      <w:lvlJc w:val="left"/>
      <w:pPr>
        <w:ind w:left="4680" w:hanging="360"/>
      </w:pPr>
      <w:rPr>
        <w:rFonts w:ascii="Symbol" w:hAnsi="Symbol" w:hint="default"/>
      </w:rPr>
    </w:lvl>
    <w:lvl w:ilvl="7" w:tplc="9998FC06" w:tentative="1">
      <w:start w:val="1"/>
      <w:numFmt w:val="bullet"/>
      <w:lvlText w:val="o"/>
      <w:lvlJc w:val="left"/>
      <w:pPr>
        <w:ind w:left="5400" w:hanging="360"/>
      </w:pPr>
      <w:rPr>
        <w:rFonts w:ascii="Courier New" w:hAnsi="Courier New" w:cs="Courier New" w:hint="default"/>
      </w:rPr>
    </w:lvl>
    <w:lvl w:ilvl="8" w:tplc="0FFC84B0" w:tentative="1">
      <w:start w:val="1"/>
      <w:numFmt w:val="bullet"/>
      <w:lvlText w:val=""/>
      <w:lvlJc w:val="left"/>
      <w:pPr>
        <w:ind w:left="6120" w:hanging="360"/>
      </w:pPr>
      <w:rPr>
        <w:rFonts w:ascii="Wingdings" w:hAnsi="Wingdings" w:hint="default"/>
      </w:rPr>
    </w:lvl>
  </w:abstractNum>
  <w:abstractNum w:abstractNumId="62">
    <w:nsid w:val="37E51A4E"/>
    <w:multiLevelType w:val="hybridMultilevel"/>
    <w:tmpl w:val="C1CE6C84"/>
    <w:lvl w:ilvl="0" w:tplc="502C3EF2">
      <w:start w:val="1"/>
      <w:numFmt w:val="arabicAbjad"/>
      <w:lvlText w:val="(%1)"/>
      <w:lvlJc w:val="left"/>
      <w:pPr>
        <w:ind w:left="720" w:hanging="360"/>
      </w:pPr>
      <w:rPr>
        <w:rFonts w:hint="default"/>
        <w:i w:val="0"/>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3">
    <w:nsid w:val="38E60685"/>
    <w:multiLevelType w:val="hybridMultilevel"/>
    <w:tmpl w:val="74BA85FC"/>
    <w:lvl w:ilvl="0" w:tplc="E6062B26">
      <w:start w:val="1"/>
      <w:numFmt w:val="decimal"/>
      <w:lvlText w:val="%1-"/>
      <w:lvlJc w:val="left"/>
      <w:pPr>
        <w:ind w:left="1080" w:hanging="360"/>
      </w:pPr>
      <w:rPr>
        <w:rFonts w:hint="default"/>
        <w:i w:val="0"/>
        <w:iCs w:val="0"/>
      </w:rPr>
    </w:lvl>
    <w:lvl w:ilvl="1" w:tplc="08090019">
      <w:start w:val="1"/>
      <w:numFmt w:val="arabicAbjad"/>
      <w:lvlText w:val="(%2)"/>
      <w:lvlJc w:val="left"/>
      <w:pPr>
        <w:ind w:left="1800" w:hanging="360"/>
      </w:pPr>
      <w:rPr>
        <w:rFonts w:hint="default"/>
        <w:i w:val="0"/>
        <w:iCs w:val="0"/>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39507AF0"/>
    <w:multiLevelType w:val="hybridMultilevel"/>
    <w:tmpl w:val="5A9E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8E067B"/>
    <w:multiLevelType w:val="hybridMultilevel"/>
    <w:tmpl w:val="E5DCD69A"/>
    <w:lvl w:ilvl="0" w:tplc="C8AE4CC0">
      <w:start w:val="1"/>
      <w:numFmt w:val="arabicAbjad"/>
      <w:lvlText w:val="(%1)"/>
      <w:lvlJc w:val="left"/>
      <w:pPr>
        <w:ind w:left="2160" w:hanging="144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3B3D5FA7"/>
    <w:multiLevelType w:val="hybridMultilevel"/>
    <w:tmpl w:val="4D589420"/>
    <w:lvl w:ilvl="0" w:tplc="7D022622">
      <w:start w:val="1"/>
      <w:numFmt w:val="decimal"/>
      <w:lvlText w:val="%1-"/>
      <w:lvlJc w:val="left"/>
      <w:pPr>
        <w:ind w:left="2596" w:hanging="360"/>
      </w:pPr>
      <w:rPr>
        <w:rFonts w:hint="default"/>
        <w:i/>
        <w:iCs w:val="0"/>
      </w:rPr>
    </w:lvl>
    <w:lvl w:ilvl="1" w:tplc="875AF396">
      <w:start w:val="1"/>
      <w:numFmt w:val="lowerLetter"/>
      <w:lvlText w:val="%2."/>
      <w:lvlJc w:val="left"/>
      <w:pPr>
        <w:ind w:left="3316" w:hanging="360"/>
      </w:pPr>
    </w:lvl>
    <w:lvl w:ilvl="2" w:tplc="0809001B">
      <w:start w:val="1"/>
      <w:numFmt w:val="lowerRoman"/>
      <w:lvlText w:val="%3."/>
      <w:lvlJc w:val="right"/>
      <w:pPr>
        <w:ind w:left="4036" w:hanging="180"/>
      </w:pPr>
    </w:lvl>
    <w:lvl w:ilvl="3" w:tplc="0809000F">
      <w:start w:val="1"/>
      <w:numFmt w:val="decimal"/>
      <w:lvlText w:val="%4."/>
      <w:lvlJc w:val="left"/>
      <w:pPr>
        <w:ind w:left="4756" w:hanging="360"/>
      </w:pPr>
    </w:lvl>
    <w:lvl w:ilvl="4" w:tplc="08090019">
      <w:start w:val="1"/>
      <w:numFmt w:val="lowerLetter"/>
      <w:lvlText w:val="%5."/>
      <w:lvlJc w:val="left"/>
      <w:pPr>
        <w:ind w:left="5476" w:hanging="360"/>
      </w:pPr>
    </w:lvl>
    <w:lvl w:ilvl="5" w:tplc="0809001B">
      <w:start w:val="1"/>
      <w:numFmt w:val="lowerRoman"/>
      <w:lvlText w:val="%6."/>
      <w:lvlJc w:val="right"/>
      <w:pPr>
        <w:ind w:left="6196" w:hanging="180"/>
      </w:pPr>
    </w:lvl>
    <w:lvl w:ilvl="6" w:tplc="0809000F">
      <w:start w:val="1"/>
      <w:numFmt w:val="decimal"/>
      <w:lvlText w:val="%7."/>
      <w:lvlJc w:val="left"/>
      <w:pPr>
        <w:ind w:left="6916" w:hanging="360"/>
      </w:pPr>
    </w:lvl>
    <w:lvl w:ilvl="7" w:tplc="08090019">
      <w:start w:val="1"/>
      <w:numFmt w:val="lowerLetter"/>
      <w:lvlText w:val="%8."/>
      <w:lvlJc w:val="left"/>
      <w:pPr>
        <w:ind w:left="7636" w:hanging="360"/>
      </w:pPr>
    </w:lvl>
    <w:lvl w:ilvl="8" w:tplc="0809001B">
      <w:start w:val="1"/>
      <w:numFmt w:val="lowerRoman"/>
      <w:lvlText w:val="%9."/>
      <w:lvlJc w:val="right"/>
      <w:pPr>
        <w:ind w:left="8356" w:hanging="180"/>
      </w:pPr>
    </w:lvl>
  </w:abstractNum>
  <w:abstractNum w:abstractNumId="67">
    <w:nsid w:val="3BA84B4E"/>
    <w:multiLevelType w:val="hybridMultilevel"/>
    <w:tmpl w:val="06506344"/>
    <w:lvl w:ilvl="0" w:tplc="F50C7B72">
      <w:start w:val="1"/>
      <w:numFmt w:val="decimal"/>
      <w:lvlText w:val="%1-"/>
      <w:lvlJc w:val="left"/>
      <w:pPr>
        <w:ind w:left="108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CD86DA6"/>
    <w:multiLevelType w:val="hybridMultilevel"/>
    <w:tmpl w:val="1350688C"/>
    <w:lvl w:ilvl="0" w:tplc="94EE0A98">
      <w:start w:val="1"/>
      <w:numFmt w:val="decimal"/>
      <w:lvlText w:val="%1-"/>
      <w:lvlJc w:val="left"/>
      <w:pPr>
        <w:ind w:left="1080" w:hanging="720"/>
      </w:pPr>
      <w:rPr>
        <w:rFonts w:hint="default"/>
        <w:b w:val="0"/>
        <w:bCs w:val="0"/>
        <w:i w:val="0"/>
        <w:iCs w:val="0"/>
      </w:rPr>
    </w:lvl>
    <w:lvl w:ilvl="1" w:tplc="10090019">
      <w:start w:val="1"/>
      <w:numFmt w:val="arabicAbjad"/>
      <w:lvlText w:val="(%2)"/>
      <w:lvlJc w:val="left"/>
      <w:pPr>
        <w:ind w:left="1440" w:hanging="360"/>
      </w:pPr>
      <w:rPr>
        <w:rFonts w:hint="default"/>
        <w:sz w:val="24"/>
      </w:rPr>
    </w:lvl>
    <w:lvl w:ilvl="2" w:tplc="1009001B">
      <w:start w:val="1"/>
      <w:numFmt w:val="decimal"/>
      <w:lvlText w:val="(%3)"/>
      <w:lvlJc w:val="left"/>
      <w:pPr>
        <w:ind w:left="2160" w:hanging="180"/>
      </w:pPr>
      <w:rPr>
        <w:rFonts w:ascii="Times New Roman" w:eastAsia="YouYuan" w:hAnsi="Times New Roman" w:cs="Simplified Arabic"/>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3D122A7E"/>
    <w:multiLevelType w:val="hybridMultilevel"/>
    <w:tmpl w:val="AEC66184"/>
    <w:lvl w:ilvl="0" w:tplc="A3E2928A">
      <w:start w:val="1"/>
      <w:numFmt w:val="bullet"/>
      <w:lvlText w:val=""/>
      <w:lvlJc w:val="left"/>
      <w:pPr>
        <w:ind w:left="720" w:hanging="360"/>
      </w:pPr>
      <w:rPr>
        <w:rFonts w:ascii="Wingdings" w:eastAsia="YouYuan" w:hAnsi="Wingdings" w:cs="Simplified Arabic" w:hint="default"/>
      </w:rPr>
    </w:lvl>
    <w:lvl w:ilvl="1" w:tplc="FC82B464" w:tentative="1">
      <w:start w:val="1"/>
      <w:numFmt w:val="bullet"/>
      <w:lvlText w:val="o"/>
      <w:lvlJc w:val="left"/>
      <w:pPr>
        <w:ind w:left="1440" w:hanging="360"/>
      </w:pPr>
      <w:rPr>
        <w:rFonts w:ascii="Courier New" w:hAnsi="Courier New" w:cs="Courier New" w:hint="default"/>
      </w:rPr>
    </w:lvl>
    <w:lvl w:ilvl="2" w:tplc="1B3071BC"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70">
    <w:nsid w:val="3D907BBD"/>
    <w:multiLevelType w:val="hybridMultilevel"/>
    <w:tmpl w:val="C08A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C63F7E"/>
    <w:multiLevelType w:val="hybridMultilevel"/>
    <w:tmpl w:val="FBACBB96"/>
    <w:lvl w:ilvl="0" w:tplc="70E435B8">
      <w:start w:val="1"/>
      <w:numFmt w:val="decimal"/>
      <w:lvlText w:val="%1-"/>
      <w:lvlJc w:val="left"/>
      <w:pPr>
        <w:ind w:left="720" w:hanging="720"/>
      </w:pPr>
      <w:rPr>
        <w:rFonts w:hint="default"/>
      </w:rPr>
    </w:lvl>
    <w:lvl w:ilvl="1" w:tplc="2D4E511E" w:tentative="1">
      <w:start w:val="1"/>
      <w:numFmt w:val="lowerLetter"/>
      <w:lvlText w:val="%2."/>
      <w:lvlJc w:val="left"/>
      <w:pPr>
        <w:ind w:left="1080" w:hanging="360"/>
      </w:pPr>
    </w:lvl>
    <w:lvl w:ilvl="2" w:tplc="50D2E54A" w:tentative="1">
      <w:start w:val="1"/>
      <w:numFmt w:val="lowerRoman"/>
      <w:lvlText w:val="%3."/>
      <w:lvlJc w:val="right"/>
      <w:pPr>
        <w:ind w:left="1800" w:hanging="180"/>
      </w:pPr>
    </w:lvl>
    <w:lvl w:ilvl="3" w:tplc="0BBEC688" w:tentative="1">
      <w:start w:val="1"/>
      <w:numFmt w:val="decimal"/>
      <w:lvlText w:val="%4."/>
      <w:lvlJc w:val="left"/>
      <w:pPr>
        <w:ind w:left="2520" w:hanging="360"/>
      </w:pPr>
    </w:lvl>
    <w:lvl w:ilvl="4" w:tplc="027C8860" w:tentative="1">
      <w:start w:val="1"/>
      <w:numFmt w:val="lowerLetter"/>
      <w:lvlText w:val="%5."/>
      <w:lvlJc w:val="left"/>
      <w:pPr>
        <w:ind w:left="3240" w:hanging="360"/>
      </w:pPr>
    </w:lvl>
    <w:lvl w:ilvl="5" w:tplc="343C47BE" w:tentative="1">
      <w:start w:val="1"/>
      <w:numFmt w:val="lowerRoman"/>
      <w:lvlText w:val="%6."/>
      <w:lvlJc w:val="right"/>
      <w:pPr>
        <w:ind w:left="3960" w:hanging="180"/>
      </w:pPr>
    </w:lvl>
    <w:lvl w:ilvl="6" w:tplc="C3148736" w:tentative="1">
      <w:start w:val="1"/>
      <w:numFmt w:val="decimal"/>
      <w:lvlText w:val="%7."/>
      <w:lvlJc w:val="left"/>
      <w:pPr>
        <w:ind w:left="4680" w:hanging="360"/>
      </w:pPr>
    </w:lvl>
    <w:lvl w:ilvl="7" w:tplc="B900CCA4" w:tentative="1">
      <w:start w:val="1"/>
      <w:numFmt w:val="lowerLetter"/>
      <w:lvlText w:val="%8."/>
      <w:lvlJc w:val="left"/>
      <w:pPr>
        <w:ind w:left="5400" w:hanging="360"/>
      </w:pPr>
    </w:lvl>
    <w:lvl w:ilvl="8" w:tplc="6C1CD712" w:tentative="1">
      <w:start w:val="1"/>
      <w:numFmt w:val="lowerRoman"/>
      <w:lvlText w:val="%9."/>
      <w:lvlJc w:val="right"/>
      <w:pPr>
        <w:ind w:left="6120" w:hanging="180"/>
      </w:pPr>
    </w:lvl>
  </w:abstractNum>
  <w:abstractNum w:abstractNumId="72">
    <w:nsid w:val="40165948"/>
    <w:multiLevelType w:val="hybridMultilevel"/>
    <w:tmpl w:val="2EE8BF76"/>
    <w:lvl w:ilvl="0" w:tplc="7BE45030">
      <w:start w:val="1"/>
      <w:numFmt w:val="decimal"/>
      <w:pStyle w:val="Para1"/>
      <w:lvlText w:val="%1."/>
      <w:lvlJc w:val="left"/>
      <w:pPr>
        <w:ind w:left="720" w:hanging="360"/>
      </w:pPr>
      <w:rPr>
        <w:b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415F2C73"/>
    <w:multiLevelType w:val="hybridMultilevel"/>
    <w:tmpl w:val="D56C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B779C1"/>
    <w:multiLevelType w:val="hybridMultilevel"/>
    <w:tmpl w:val="76F4F79E"/>
    <w:lvl w:ilvl="0" w:tplc="CEE82364">
      <w:start w:val="1"/>
      <w:numFmt w:val="decimal"/>
      <w:lvlText w:val="%1-"/>
      <w:lvlJc w:val="left"/>
      <w:pPr>
        <w:ind w:left="1185" w:hanging="360"/>
      </w:pPr>
      <w:rPr>
        <w:rFonts w:hint="default"/>
        <w:sz w:val="22"/>
        <w:szCs w:val="22"/>
        <w:lang w:bidi="ar-EG"/>
      </w:rPr>
    </w:lvl>
    <w:lvl w:ilvl="1" w:tplc="10090019" w:tentative="1">
      <w:start w:val="1"/>
      <w:numFmt w:val="lowerLetter"/>
      <w:lvlText w:val="%2."/>
      <w:lvlJc w:val="left"/>
      <w:pPr>
        <w:ind w:left="1905" w:hanging="360"/>
      </w:pPr>
    </w:lvl>
    <w:lvl w:ilvl="2" w:tplc="1009001B" w:tentative="1">
      <w:start w:val="1"/>
      <w:numFmt w:val="lowerRoman"/>
      <w:lvlText w:val="%3."/>
      <w:lvlJc w:val="right"/>
      <w:pPr>
        <w:ind w:left="2625" w:hanging="180"/>
      </w:pPr>
    </w:lvl>
    <w:lvl w:ilvl="3" w:tplc="1009000F" w:tentative="1">
      <w:start w:val="1"/>
      <w:numFmt w:val="decimal"/>
      <w:lvlText w:val="%4."/>
      <w:lvlJc w:val="left"/>
      <w:pPr>
        <w:ind w:left="3345" w:hanging="360"/>
      </w:pPr>
    </w:lvl>
    <w:lvl w:ilvl="4" w:tplc="10090019" w:tentative="1">
      <w:start w:val="1"/>
      <w:numFmt w:val="lowerLetter"/>
      <w:lvlText w:val="%5."/>
      <w:lvlJc w:val="left"/>
      <w:pPr>
        <w:ind w:left="4065" w:hanging="360"/>
      </w:pPr>
    </w:lvl>
    <w:lvl w:ilvl="5" w:tplc="1009001B" w:tentative="1">
      <w:start w:val="1"/>
      <w:numFmt w:val="lowerRoman"/>
      <w:lvlText w:val="%6."/>
      <w:lvlJc w:val="right"/>
      <w:pPr>
        <w:ind w:left="4785" w:hanging="180"/>
      </w:pPr>
    </w:lvl>
    <w:lvl w:ilvl="6" w:tplc="1009000F" w:tentative="1">
      <w:start w:val="1"/>
      <w:numFmt w:val="decimal"/>
      <w:lvlText w:val="%7."/>
      <w:lvlJc w:val="left"/>
      <w:pPr>
        <w:ind w:left="5505" w:hanging="360"/>
      </w:pPr>
    </w:lvl>
    <w:lvl w:ilvl="7" w:tplc="10090019" w:tentative="1">
      <w:start w:val="1"/>
      <w:numFmt w:val="lowerLetter"/>
      <w:lvlText w:val="%8."/>
      <w:lvlJc w:val="left"/>
      <w:pPr>
        <w:ind w:left="6225" w:hanging="360"/>
      </w:pPr>
    </w:lvl>
    <w:lvl w:ilvl="8" w:tplc="1009001B" w:tentative="1">
      <w:start w:val="1"/>
      <w:numFmt w:val="lowerRoman"/>
      <w:lvlText w:val="%9."/>
      <w:lvlJc w:val="right"/>
      <w:pPr>
        <w:ind w:left="6945" w:hanging="180"/>
      </w:pPr>
    </w:lvl>
  </w:abstractNum>
  <w:abstractNum w:abstractNumId="75">
    <w:nsid w:val="44524DC5"/>
    <w:multiLevelType w:val="hybridMultilevel"/>
    <w:tmpl w:val="B262E8CA"/>
    <w:lvl w:ilvl="0" w:tplc="2F02A7C4">
      <w:start w:val="1"/>
      <w:numFmt w:val="arabicAlpha"/>
      <w:lvlText w:val="(%1)"/>
      <w:lvlJc w:val="left"/>
      <w:pPr>
        <w:ind w:left="927" w:hanging="360"/>
      </w:pPr>
      <w:rPr>
        <w:rFonts w:hint="default"/>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6">
    <w:nsid w:val="448D200B"/>
    <w:multiLevelType w:val="hybridMultilevel"/>
    <w:tmpl w:val="09B4B242"/>
    <w:lvl w:ilvl="0" w:tplc="9D1253A4">
      <w:start w:val="1"/>
      <w:numFmt w:val="decimal"/>
      <w:lvlText w:val="%1-"/>
      <w:lvlJc w:val="left"/>
      <w:pPr>
        <w:ind w:left="2880" w:hanging="144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44CC7FBB"/>
    <w:multiLevelType w:val="hybridMultilevel"/>
    <w:tmpl w:val="45E4BE68"/>
    <w:lvl w:ilvl="0" w:tplc="58F047F4">
      <w:start w:val="1"/>
      <w:numFmt w:val="lowerLetter"/>
      <w:pStyle w:val="Para2"/>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nsid w:val="44E83C91"/>
    <w:multiLevelType w:val="hybridMultilevel"/>
    <w:tmpl w:val="8F8A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1A3F7A"/>
    <w:multiLevelType w:val="hybridMultilevel"/>
    <w:tmpl w:val="8C4C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5E2265B"/>
    <w:multiLevelType w:val="hybridMultilevel"/>
    <w:tmpl w:val="700E42B6"/>
    <w:lvl w:ilvl="0" w:tplc="4594BC4C">
      <w:start w:val="1"/>
      <w:numFmt w:val="decimal"/>
      <w:lvlText w:val="%1-"/>
      <w:lvlJc w:val="left"/>
      <w:pPr>
        <w:ind w:left="1440" w:hanging="54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81">
    <w:nsid w:val="468F23AC"/>
    <w:multiLevelType w:val="hybridMultilevel"/>
    <w:tmpl w:val="AF3E88BA"/>
    <w:lvl w:ilvl="0" w:tplc="9FE207E8">
      <w:start w:val="1"/>
      <w:numFmt w:val="decimal"/>
      <w:lvlText w:val="%1-"/>
      <w:lvlJc w:val="left"/>
      <w:pPr>
        <w:ind w:left="1080" w:hanging="720"/>
      </w:pPr>
      <w:rPr>
        <w:rFonts w:ascii="Simplified Arabic" w:hAnsi="Simplified Arabic" w:cs="Simplified Arabic" w:hint="default"/>
        <w:b/>
        <w:bCs w:val="0"/>
        <w:i/>
        <w:iCs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4"/>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49051AB9"/>
    <w:multiLevelType w:val="hybridMultilevel"/>
    <w:tmpl w:val="61FEBA60"/>
    <w:lvl w:ilvl="0" w:tplc="CF6864F0">
      <w:start w:val="1"/>
      <w:numFmt w:val="arabicAbjad"/>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A392E24"/>
    <w:multiLevelType w:val="hybridMultilevel"/>
    <w:tmpl w:val="97AACE00"/>
    <w:lvl w:ilvl="0" w:tplc="FFA62468">
      <w:start w:val="1"/>
      <w:numFmt w:val="decimal"/>
      <w:lvlText w:val="%1-"/>
      <w:lvlJc w:val="left"/>
      <w:pPr>
        <w:ind w:left="2160" w:hanging="1440"/>
      </w:pPr>
      <w:rPr>
        <w:rFonts w:hint="default"/>
      </w:rPr>
    </w:lvl>
    <w:lvl w:ilvl="1" w:tplc="2C947572">
      <w:start w:val="1"/>
      <w:numFmt w:val="decimal"/>
      <w:lvlText w:val="%2-"/>
      <w:lvlJc w:val="left"/>
      <w:pPr>
        <w:ind w:left="2880" w:hanging="1440"/>
      </w:pPr>
      <w:rPr>
        <w:rFonts w:hint="default"/>
      </w:rPr>
    </w:lvl>
    <w:lvl w:ilvl="2" w:tplc="F54630F4" w:tentative="1">
      <w:start w:val="1"/>
      <w:numFmt w:val="lowerRoman"/>
      <w:lvlText w:val="%3."/>
      <w:lvlJc w:val="right"/>
      <w:pPr>
        <w:ind w:left="2520" w:hanging="180"/>
      </w:pPr>
    </w:lvl>
    <w:lvl w:ilvl="3" w:tplc="60A65D7C" w:tentative="1">
      <w:start w:val="1"/>
      <w:numFmt w:val="decimal"/>
      <w:lvlText w:val="%4."/>
      <w:lvlJc w:val="left"/>
      <w:pPr>
        <w:ind w:left="3240" w:hanging="360"/>
      </w:pPr>
    </w:lvl>
    <w:lvl w:ilvl="4" w:tplc="E5163084" w:tentative="1">
      <w:start w:val="1"/>
      <w:numFmt w:val="lowerLetter"/>
      <w:lvlText w:val="%5."/>
      <w:lvlJc w:val="left"/>
      <w:pPr>
        <w:ind w:left="3960" w:hanging="360"/>
      </w:pPr>
    </w:lvl>
    <w:lvl w:ilvl="5" w:tplc="7FB02938" w:tentative="1">
      <w:start w:val="1"/>
      <w:numFmt w:val="lowerRoman"/>
      <w:lvlText w:val="%6."/>
      <w:lvlJc w:val="right"/>
      <w:pPr>
        <w:ind w:left="4680" w:hanging="180"/>
      </w:pPr>
    </w:lvl>
    <w:lvl w:ilvl="6" w:tplc="CD86304E" w:tentative="1">
      <w:start w:val="1"/>
      <w:numFmt w:val="decimal"/>
      <w:lvlText w:val="%7."/>
      <w:lvlJc w:val="left"/>
      <w:pPr>
        <w:ind w:left="5400" w:hanging="360"/>
      </w:pPr>
    </w:lvl>
    <w:lvl w:ilvl="7" w:tplc="95AC7E94" w:tentative="1">
      <w:start w:val="1"/>
      <w:numFmt w:val="lowerLetter"/>
      <w:lvlText w:val="%8."/>
      <w:lvlJc w:val="left"/>
      <w:pPr>
        <w:ind w:left="6120" w:hanging="360"/>
      </w:pPr>
    </w:lvl>
    <w:lvl w:ilvl="8" w:tplc="87D44A90" w:tentative="1">
      <w:start w:val="1"/>
      <w:numFmt w:val="lowerRoman"/>
      <w:lvlText w:val="%9."/>
      <w:lvlJc w:val="right"/>
      <w:pPr>
        <w:ind w:left="6840" w:hanging="180"/>
      </w:pPr>
    </w:lvl>
  </w:abstractNum>
  <w:abstractNum w:abstractNumId="85">
    <w:nsid w:val="4B942450"/>
    <w:multiLevelType w:val="hybridMultilevel"/>
    <w:tmpl w:val="9A261B08"/>
    <w:lvl w:ilvl="0" w:tplc="E6062B26">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nsid w:val="4BD4578A"/>
    <w:multiLevelType w:val="hybridMultilevel"/>
    <w:tmpl w:val="1350688C"/>
    <w:lvl w:ilvl="0" w:tplc="44060032">
      <w:start w:val="1"/>
      <w:numFmt w:val="decimal"/>
      <w:lvlText w:val="%1-"/>
      <w:lvlJc w:val="left"/>
      <w:pPr>
        <w:ind w:left="1080" w:hanging="720"/>
      </w:pPr>
      <w:rPr>
        <w:rFonts w:hint="default"/>
        <w:b w:val="0"/>
        <w:bCs w:val="0"/>
        <w:i w:val="0"/>
        <w:iCs w:val="0"/>
      </w:rPr>
    </w:lvl>
    <w:lvl w:ilvl="1" w:tplc="70D2A2EC">
      <w:start w:val="1"/>
      <w:numFmt w:val="arabicAbjad"/>
      <w:lvlText w:val="(%2)"/>
      <w:lvlJc w:val="left"/>
      <w:pPr>
        <w:ind w:left="1440" w:hanging="360"/>
      </w:pPr>
      <w:rPr>
        <w:rFonts w:hint="default"/>
        <w:sz w:val="24"/>
      </w:rPr>
    </w:lvl>
    <w:lvl w:ilvl="2" w:tplc="0409001B">
      <w:start w:val="1"/>
      <w:numFmt w:val="decimal"/>
      <w:lvlText w:val="(%3)"/>
      <w:lvlJc w:val="left"/>
      <w:pPr>
        <w:ind w:left="2160" w:hanging="180"/>
      </w:pPr>
      <w:rPr>
        <w:rFonts w:ascii="Times New Roman" w:eastAsia="YouYuan" w:hAnsi="Times New Roman" w:cs="Simplified Arabic"/>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BF37F68"/>
    <w:multiLevelType w:val="hybridMultilevel"/>
    <w:tmpl w:val="59687ACA"/>
    <w:lvl w:ilvl="0" w:tplc="9768EF44">
      <w:start w:val="1"/>
      <w:numFmt w:val="decimal"/>
      <w:lvlText w:val="%1-"/>
      <w:lvlJc w:val="left"/>
      <w:pPr>
        <w:tabs>
          <w:tab w:val="num" w:pos="720"/>
        </w:tabs>
        <w:ind w:left="0" w:firstLine="0"/>
      </w:pPr>
      <w:rPr>
        <w:rFonts w:hint="default"/>
        <w:i w:val="0"/>
        <w:iCs w:val="0"/>
      </w:rPr>
    </w:lvl>
    <w:lvl w:ilvl="1" w:tplc="08090019">
      <w:start w:val="1"/>
      <w:numFmt w:val="arabicAbjad"/>
      <w:lvlText w:val="%2."/>
      <w:lvlJc w:val="left"/>
      <w:pPr>
        <w:tabs>
          <w:tab w:val="num" w:pos="1440"/>
        </w:tabs>
        <w:ind w:left="1440" w:hanging="360"/>
      </w:pPr>
      <w:rPr>
        <w:rFonts w:hint="default"/>
      </w:rPr>
    </w:lvl>
    <w:lvl w:ilvl="2" w:tplc="0809001B">
      <w:start w:val="22"/>
      <w:numFmt w:val="bullet"/>
      <w:lvlText w:val="-"/>
      <w:lvlJc w:val="left"/>
      <w:pPr>
        <w:tabs>
          <w:tab w:val="num" w:pos="2700"/>
        </w:tabs>
        <w:ind w:left="2700" w:hanging="720"/>
      </w:pPr>
      <w:rPr>
        <w:rFonts w:ascii="Times New Roman" w:eastAsia="YouYuan" w:hAnsi="Times New Roman" w:cs="Simplified Arabic"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nsid w:val="4C260A29"/>
    <w:multiLevelType w:val="hybridMultilevel"/>
    <w:tmpl w:val="FAFE7B1E"/>
    <w:lvl w:ilvl="0" w:tplc="4BEAE4C2">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nsid w:val="4E0442B4"/>
    <w:multiLevelType w:val="multilevel"/>
    <w:tmpl w:val="A5FA0138"/>
    <w:lvl w:ilvl="0">
      <w:start w:val="1"/>
      <w:numFmt w:val="decimal"/>
      <w:pStyle w:val="Para10"/>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4F7C089F"/>
    <w:multiLevelType w:val="hybridMultilevel"/>
    <w:tmpl w:val="03CCE134"/>
    <w:lvl w:ilvl="0" w:tplc="F8D0E3D6">
      <w:start w:val="1"/>
      <w:numFmt w:val="decimal"/>
      <w:pStyle w:val="ListParagraph1"/>
      <w:lvlText w:val="%1."/>
      <w:lvlJc w:val="left"/>
      <w:pPr>
        <w:ind w:left="720" w:hanging="360"/>
      </w:pPr>
    </w:lvl>
    <w:lvl w:ilvl="1" w:tplc="F39E8796" w:tentative="1">
      <w:start w:val="1"/>
      <w:numFmt w:val="lowerLetter"/>
      <w:lvlText w:val="%2."/>
      <w:lvlJc w:val="left"/>
      <w:pPr>
        <w:ind w:left="1440" w:hanging="360"/>
      </w:pPr>
    </w:lvl>
    <w:lvl w:ilvl="2" w:tplc="A5AC5660"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nsid w:val="508135A1"/>
    <w:multiLevelType w:val="hybridMultilevel"/>
    <w:tmpl w:val="7E5CE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0A503B0"/>
    <w:multiLevelType w:val="hybridMultilevel"/>
    <w:tmpl w:val="5B7E6A36"/>
    <w:lvl w:ilvl="0" w:tplc="DD84B98C">
      <w:start w:val="1"/>
      <w:numFmt w:val="arabicAbjad"/>
      <w:lvlText w:val="(%1)"/>
      <w:lvlJc w:val="left"/>
      <w:pPr>
        <w:ind w:left="1080" w:hanging="360"/>
      </w:pPr>
      <w:rPr>
        <w:rFonts w:hint="default"/>
        <w:i w:val="0"/>
        <w:sz w:val="24"/>
      </w:rPr>
    </w:lvl>
    <w:lvl w:ilvl="1" w:tplc="B840E2C4" w:tentative="1">
      <w:start w:val="1"/>
      <w:numFmt w:val="lowerLetter"/>
      <w:lvlText w:val="%2."/>
      <w:lvlJc w:val="left"/>
      <w:pPr>
        <w:ind w:left="1800" w:hanging="360"/>
      </w:pPr>
    </w:lvl>
    <w:lvl w:ilvl="2" w:tplc="14C41ED4" w:tentative="1">
      <w:start w:val="1"/>
      <w:numFmt w:val="lowerRoman"/>
      <w:lvlText w:val="%3."/>
      <w:lvlJc w:val="right"/>
      <w:pPr>
        <w:ind w:left="2520" w:hanging="180"/>
      </w:pPr>
    </w:lvl>
    <w:lvl w:ilvl="3" w:tplc="F7F89EDE" w:tentative="1">
      <w:start w:val="1"/>
      <w:numFmt w:val="decimal"/>
      <w:lvlText w:val="%4."/>
      <w:lvlJc w:val="left"/>
      <w:pPr>
        <w:ind w:left="3240" w:hanging="360"/>
      </w:pPr>
    </w:lvl>
    <w:lvl w:ilvl="4" w:tplc="2CA8AA58" w:tentative="1">
      <w:start w:val="1"/>
      <w:numFmt w:val="lowerLetter"/>
      <w:lvlText w:val="%5."/>
      <w:lvlJc w:val="left"/>
      <w:pPr>
        <w:ind w:left="3960" w:hanging="360"/>
      </w:pPr>
    </w:lvl>
    <w:lvl w:ilvl="5" w:tplc="A6AECF86" w:tentative="1">
      <w:start w:val="1"/>
      <w:numFmt w:val="lowerRoman"/>
      <w:lvlText w:val="%6."/>
      <w:lvlJc w:val="right"/>
      <w:pPr>
        <w:ind w:left="4680" w:hanging="180"/>
      </w:pPr>
    </w:lvl>
    <w:lvl w:ilvl="6" w:tplc="D390BFCC" w:tentative="1">
      <w:start w:val="1"/>
      <w:numFmt w:val="decimal"/>
      <w:lvlText w:val="%7."/>
      <w:lvlJc w:val="left"/>
      <w:pPr>
        <w:ind w:left="5400" w:hanging="360"/>
      </w:pPr>
    </w:lvl>
    <w:lvl w:ilvl="7" w:tplc="9838158A" w:tentative="1">
      <w:start w:val="1"/>
      <w:numFmt w:val="lowerLetter"/>
      <w:lvlText w:val="%8."/>
      <w:lvlJc w:val="left"/>
      <w:pPr>
        <w:ind w:left="6120" w:hanging="360"/>
      </w:pPr>
    </w:lvl>
    <w:lvl w:ilvl="8" w:tplc="D514FD76" w:tentative="1">
      <w:start w:val="1"/>
      <w:numFmt w:val="lowerRoman"/>
      <w:lvlText w:val="%9."/>
      <w:lvlJc w:val="right"/>
      <w:pPr>
        <w:ind w:left="6840" w:hanging="180"/>
      </w:pPr>
    </w:lvl>
  </w:abstractNum>
  <w:abstractNum w:abstractNumId="93">
    <w:nsid w:val="50AA3E2D"/>
    <w:multiLevelType w:val="hybridMultilevel"/>
    <w:tmpl w:val="193A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0B57F34"/>
    <w:multiLevelType w:val="hybridMultilevel"/>
    <w:tmpl w:val="92D0B15A"/>
    <w:lvl w:ilvl="0" w:tplc="04090001">
      <w:start w:val="1"/>
      <w:numFmt w:val="bullet"/>
      <w:lvlText w:val=""/>
      <w:lvlJc w:val="left"/>
      <w:pPr>
        <w:ind w:left="1232" w:hanging="360"/>
      </w:pPr>
      <w:rPr>
        <w:rFonts w:ascii="Symbol" w:hAnsi="Symbol" w:hint="default"/>
      </w:rPr>
    </w:lvl>
    <w:lvl w:ilvl="1" w:tplc="04090003" w:tentative="1">
      <w:start w:val="1"/>
      <w:numFmt w:val="bullet"/>
      <w:lvlText w:val="o"/>
      <w:lvlJc w:val="left"/>
      <w:pPr>
        <w:ind w:left="1952" w:hanging="360"/>
      </w:pPr>
      <w:rPr>
        <w:rFonts w:ascii="Courier New" w:hAnsi="Courier New" w:cs="Courier New" w:hint="default"/>
      </w:rPr>
    </w:lvl>
    <w:lvl w:ilvl="2" w:tplc="04090005" w:tentative="1">
      <w:start w:val="1"/>
      <w:numFmt w:val="bullet"/>
      <w:lvlText w:val=""/>
      <w:lvlJc w:val="left"/>
      <w:pPr>
        <w:ind w:left="2672" w:hanging="360"/>
      </w:pPr>
      <w:rPr>
        <w:rFonts w:ascii="Wingdings" w:hAnsi="Wingdings" w:hint="default"/>
      </w:rPr>
    </w:lvl>
    <w:lvl w:ilvl="3" w:tplc="04090001" w:tentative="1">
      <w:start w:val="1"/>
      <w:numFmt w:val="bullet"/>
      <w:lvlText w:val=""/>
      <w:lvlJc w:val="left"/>
      <w:pPr>
        <w:ind w:left="3392" w:hanging="360"/>
      </w:pPr>
      <w:rPr>
        <w:rFonts w:ascii="Symbol" w:hAnsi="Symbol" w:hint="default"/>
      </w:rPr>
    </w:lvl>
    <w:lvl w:ilvl="4" w:tplc="04090003" w:tentative="1">
      <w:start w:val="1"/>
      <w:numFmt w:val="bullet"/>
      <w:lvlText w:val="o"/>
      <w:lvlJc w:val="left"/>
      <w:pPr>
        <w:ind w:left="4112" w:hanging="360"/>
      </w:pPr>
      <w:rPr>
        <w:rFonts w:ascii="Courier New" w:hAnsi="Courier New" w:cs="Courier New" w:hint="default"/>
      </w:rPr>
    </w:lvl>
    <w:lvl w:ilvl="5" w:tplc="04090005" w:tentative="1">
      <w:start w:val="1"/>
      <w:numFmt w:val="bullet"/>
      <w:lvlText w:val=""/>
      <w:lvlJc w:val="left"/>
      <w:pPr>
        <w:ind w:left="4832" w:hanging="360"/>
      </w:pPr>
      <w:rPr>
        <w:rFonts w:ascii="Wingdings" w:hAnsi="Wingdings" w:hint="default"/>
      </w:rPr>
    </w:lvl>
    <w:lvl w:ilvl="6" w:tplc="04090001" w:tentative="1">
      <w:start w:val="1"/>
      <w:numFmt w:val="bullet"/>
      <w:lvlText w:val=""/>
      <w:lvlJc w:val="left"/>
      <w:pPr>
        <w:ind w:left="5552" w:hanging="360"/>
      </w:pPr>
      <w:rPr>
        <w:rFonts w:ascii="Symbol" w:hAnsi="Symbol" w:hint="default"/>
      </w:rPr>
    </w:lvl>
    <w:lvl w:ilvl="7" w:tplc="04090003" w:tentative="1">
      <w:start w:val="1"/>
      <w:numFmt w:val="bullet"/>
      <w:lvlText w:val="o"/>
      <w:lvlJc w:val="left"/>
      <w:pPr>
        <w:ind w:left="6272" w:hanging="360"/>
      </w:pPr>
      <w:rPr>
        <w:rFonts w:ascii="Courier New" w:hAnsi="Courier New" w:cs="Courier New" w:hint="default"/>
      </w:rPr>
    </w:lvl>
    <w:lvl w:ilvl="8" w:tplc="04090005" w:tentative="1">
      <w:start w:val="1"/>
      <w:numFmt w:val="bullet"/>
      <w:lvlText w:val=""/>
      <w:lvlJc w:val="left"/>
      <w:pPr>
        <w:ind w:left="6992" w:hanging="360"/>
      </w:pPr>
      <w:rPr>
        <w:rFonts w:ascii="Wingdings" w:hAnsi="Wingdings" w:hint="default"/>
      </w:rPr>
    </w:lvl>
  </w:abstractNum>
  <w:abstractNum w:abstractNumId="95">
    <w:nsid w:val="51975573"/>
    <w:multiLevelType w:val="hybridMultilevel"/>
    <w:tmpl w:val="E7FEAC52"/>
    <w:lvl w:ilvl="0" w:tplc="049C0C58">
      <w:start w:val="1"/>
      <w:numFmt w:val="arabicAbjad"/>
      <w:lvlText w:val="(%1)"/>
      <w:lvlJc w:val="left"/>
      <w:pPr>
        <w:ind w:left="1080" w:hanging="360"/>
      </w:pPr>
      <w:rPr>
        <w:rFonts w:hint="default"/>
        <w:b w:val="0"/>
        <w:i w:val="0"/>
        <w:sz w:val="22"/>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1F74449"/>
    <w:multiLevelType w:val="hybridMultilevel"/>
    <w:tmpl w:val="23FE3796"/>
    <w:lvl w:ilvl="0" w:tplc="E6062B2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26B17AA"/>
    <w:multiLevelType w:val="multilevel"/>
    <w:tmpl w:val="F588EB6E"/>
    <w:lvl w:ilvl="0">
      <w:start w:val="4"/>
      <w:numFmt w:val="decimal"/>
      <w:lvlText w:val="%1"/>
      <w:lvlJc w:val="left"/>
      <w:pPr>
        <w:ind w:left="360" w:hanging="360"/>
      </w:pPr>
      <w:rPr>
        <w:rFonts w:hint="default"/>
      </w:rPr>
    </w:lvl>
    <w:lvl w:ilvl="1">
      <w:start w:val="5"/>
      <w:numFmt w:val="decimal"/>
      <w:lvlText w:val="%1-%2"/>
      <w:lvlJc w:val="left"/>
      <w:pPr>
        <w:ind w:left="816" w:hanging="720"/>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368" w:hanging="108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920" w:hanging="144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472" w:hanging="1800"/>
      </w:pPr>
      <w:rPr>
        <w:rFonts w:hint="default"/>
      </w:rPr>
    </w:lvl>
    <w:lvl w:ilvl="8">
      <w:start w:val="1"/>
      <w:numFmt w:val="decimal"/>
      <w:lvlText w:val="%1-%2.%3.%4.%5.%6.%7.%8.%9"/>
      <w:lvlJc w:val="left"/>
      <w:pPr>
        <w:ind w:left="2568" w:hanging="1800"/>
      </w:pPr>
      <w:rPr>
        <w:rFonts w:hint="default"/>
      </w:rPr>
    </w:lvl>
  </w:abstractNum>
  <w:abstractNum w:abstractNumId="98">
    <w:nsid w:val="526B281A"/>
    <w:multiLevelType w:val="hybridMultilevel"/>
    <w:tmpl w:val="3BAEEC58"/>
    <w:lvl w:ilvl="0" w:tplc="F7CAC776">
      <w:start w:val="1"/>
      <w:numFmt w:val="decimal"/>
      <w:lvlText w:val="%1-"/>
      <w:lvlJc w:val="left"/>
      <w:pPr>
        <w:ind w:left="7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9">
    <w:nsid w:val="52D04600"/>
    <w:multiLevelType w:val="hybridMultilevel"/>
    <w:tmpl w:val="FD229C62"/>
    <w:lvl w:ilvl="0" w:tplc="73B43E30">
      <w:start w:val="1"/>
      <w:numFmt w:val="arabicAbjad"/>
      <w:lvlText w:val="(%1)"/>
      <w:lvlJc w:val="left"/>
      <w:pPr>
        <w:ind w:left="1080" w:hanging="360"/>
      </w:pPr>
      <w:rPr>
        <w:rFonts w:hint="default"/>
        <w:i/>
        <w:iCs w:val="0"/>
        <w:sz w:val="24"/>
      </w:rPr>
    </w:lvl>
    <w:lvl w:ilvl="1" w:tplc="06788398" w:tentative="1">
      <w:start w:val="1"/>
      <w:numFmt w:val="lowerLetter"/>
      <w:lvlText w:val="%2."/>
      <w:lvlJc w:val="left"/>
      <w:pPr>
        <w:ind w:left="1800" w:hanging="360"/>
      </w:pPr>
    </w:lvl>
    <w:lvl w:ilvl="2" w:tplc="ECDC4D92" w:tentative="1">
      <w:start w:val="1"/>
      <w:numFmt w:val="lowerRoman"/>
      <w:lvlText w:val="%3."/>
      <w:lvlJc w:val="right"/>
      <w:pPr>
        <w:ind w:left="2520" w:hanging="180"/>
      </w:pPr>
    </w:lvl>
    <w:lvl w:ilvl="3" w:tplc="3724EAD4" w:tentative="1">
      <w:start w:val="1"/>
      <w:numFmt w:val="decimal"/>
      <w:lvlText w:val="%4."/>
      <w:lvlJc w:val="left"/>
      <w:pPr>
        <w:ind w:left="3240" w:hanging="360"/>
      </w:pPr>
    </w:lvl>
    <w:lvl w:ilvl="4" w:tplc="4CE685CA" w:tentative="1">
      <w:start w:val="1"/>
      <w:numFmt w:val="lowerLetter"/>
      <w:lvlText w:val="%5."/>
      <w:lvlJc w:val="left"/>
      <w:pPr>
        <w:ind w:left="3960" w:hanging="360"/>
      </w:pPr>
    </w:lvl>
    <w:lvl w:ilvl="5" w:tplc="FE0EF5FA" w:tentative="1">
      <w:start w:val="1"/>
      <w:numFmt w:val="lowerRoman"/>
      <w:lvlText w:val="%6."/>
      <w:lvlJc w:val="right"/>
      <w:pPr>
        <w:ind w:left="4680" w:hanging="180"/>
      </w:pPr>
    </w:lvl>
    <w:lvl w:ilvl="6" w:tplc="170A2ED8" w:tentative="1">
      <w:start w:val="1"/>
      <w:numFmt w:val="decimal"/>
      <w:lvlText w:val="%7."/>
      <w:lvlJc w:val="left"/>
      <w:pPr>
        <w:ind w:left="5400" w:hanging="360"/>
      </w:pPr>
    </w:lvl>
    <w:lvl w:ilvl="7" w:tplc="7DE07B18" w:tentative="1">
      <w:start w:val="1"/>
      <w:numFmt w:val="lowerLetter"/>
      <w:lvlText w:val="%8."/>
      <w:lvlJc w:val="left"/>
      <w:pPr>
        <w:ind w:left="6120" w:hanging="360"/>
      </w:pPr>
    </w:lvl>
    <w:lvl w:ilvl="8" w:tplc="ECE6D3BC" w:tentative="1">
      <w:start w:val="1"/>
      <w:numFmt w:val="lowerRoman"/>
      <w:lvlText w:val="%9."/>
      <w:lvlJc w:val="right"/>
      <w:pPr>
        <w:ind w:left="6840" w:hanging="180"/>
      </w:pPr>
    </w:lvl>
  </w:abstractNum>
  <w:abstractNum w:abstractNumId="100">
    <w:nsid w:val="52ED1A01"/>
    <w:multiLevelType w:val="hybridMultilevel"/>
    <w:tmpl w:val="6A90AAC0"/>
    <w:lvl w:ilvl="0" w:tplc="8B502212">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53291214"/>
    <w:multiLevelType w:val="hybridMultilevel"/>
    <w:tmpl w:val="75048DDC"/>
    <w:lvl w:ilvl="0" w:tplc="FF70EF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382598E"/>
    <w:multiLevelType w:val="hybridMultilevel"/>
    <w:tmpl w:val="3A7C3352"/>
    <w:lvl w:ilvl="0" w:tplc="B4768F12">
      <w:start w:val="1"/>
      <w:numFmt w:val="arabicAlpha"/>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nsid w:val="54FE4EAD"/>
    <w:multiLevelType w:val="hybridMultilevel"/>
    <w:tmpl w:val="1874985A"/>
    <w:lvl w:ilvl="0" w:tplc="88FE19DC">
      <w:start w:val="1"/>
      <w:numFmt w:val="bullet"/>
      <w:lvlText w:val=""/>
      <w:lvlJc w:val="left"/>
      <w:pPr>
        <w:ind w:left="925" w:hanging="360"/>
      </w:pPr>
      <w:rPr>
        <w:rFonts w:ascii="Symbol" w:hAnsi="Symbol" w:hint="default"/>
      </w:rPr>
    </w:lvl>
    <w:lvl w:ilvl="1" w:tplc="08090019" w:tentative="1">
      <w:start w:val="1"/>
      <w:numFmt w:val="bullet"/>
      <w:lvlText w:val="o"/>
      <w:lvlJc w:val="left"/>
      <w:pPr>
        <w:ind w:left="1645" w:hanging="360"/>
      </w:pPr>
      <w:rPr>
        <w:rFonts w:ascii="Courier New" w:hAnsi="Courier New" w:cs="Courier New" w:hint="default"/>
      </w:rPr>
    </w:lvl>
    <w:lvl w:ilvl="2" w:tplc="0809001B" w:tentative="1">
      <w:start w:val="1"/>
      <w:numFmt w:val="bullet"/>
      <w:lvlText w:val=""/>
      <w:lvlJc w:val="left"/>
      <w:pPr>
        <w:ind w:left="2365" w:hanging="360"/>
      </w:pPr>
      <w:rPr>
        <w:rFonts w:ascii="Wingdings" w:hAnsi="Wingdings" w:hint="default"/>
      </w:rPr>
    </w:lvl>
    <w:lvl w:ilvl="3" w:tplc="0809000F" w:tentative="1">
      <w:start w:val="1"/>
      <w:numFmt w:val="bullet"/>
      <w:lvlText w:val=""/>
      <w:lvlJc w:val="left"/>
      <w:pPr>
        <w:ind w:left="3085" w:hanging="360"/>
      </w:pPr>
      <w:rPr>
        <w:rFonts w:ascii="Symbol" w:hAnsi="Symbol" w:hint="default"/>
      </w:rPr>
    </w:lvl>
    <w:lvl w:ilvl="4" w:tplc="08090019" w:tentative="1">
      <w:start w:val="1"/>
      <w:numFmt w:val="bullet"/>
      <w:lvlText w:val="o"/>
      <w:lvlJc w:val="left"/>
      <w:pPr>
        <w:ind w:left="3805" w:hanging="360"/>
      </w:pPr>
      <w:rPr>
        <w:rFonts w:ascii="Courier New" w:hAnsi="Courier New" w:cs="Courier New" w:hint="default"/>
      </w:rPr>
    </w:lvl>
    <w:lvl w:ilvl="5" w:tplc="0809001B" w:tentative="1">
      <w:start w:val="1"/>
      <w:numFmt w:val="bullet"/>
      <w:lvlText w:val=""/>
      <w:lvlJc w:val="left"/>
      <w:pPr>
        <w:ind w:left="4525" w:hanging="360"/>
      </w:pPr>
      <w:rPr>
        <w:rFonts w:ascii="Wingdings" w:hAnsi="Wingdings" w:hint="default"/>
      </w:rPr>
    </w:lvl>
    <w:lvl w:ilvl="6" w:tplc="0809000F" w:tentative="1">
      <w:start w:val="1"/>
      <w:numFmt w:val="bullet"/>
      <w:lvlText w:val=""/>
      <w:lvlJc w:val="left"/>
      <w:pPr>
        <w:ind w:left="5245" w:hanging="360"/>
      </w:pPr>
      <w:rPr>
        <w:rFonts w:ascii="Symbol" w:hAnsi="Symbol" w:hint="default"/>
      </w:rPr>
    </w:lvl>
    <w:lvl w:ilvl="7" w:tplc="08090019" w:tentative="1">
      <w:start w:val="1"/>
      <w:numFmt w:val="bullet"/>
      <w:lvlText w:val="o"/>
      <w:lvlJc w:val="left"/>
      <w:pPr>
        <w:ind w:left="5965" w:hanging="360"/>
      </w:pPr>
      <w:rPr>
        <w:rFonts w:ascii="Courier New" w:hAnsi="Courier New" w:cs="Courier New" w:hint="default"/>
      </w:rPr>
    </w:lvl>
    <w:lvl w:ilvl="8" w:tplc="0809001B" w:tentative="1">
      <w:start w:val="1"/>
      <w:numFmt w:val="bullet"/>
      <w:lvlText w:val=""/>
      <w:lvlJc w:val="left"/>
      <w:pPr>
        <w:ind w:left="6685" w:hanging="360"/>
      </w:pPr>
      <w:rPr>
        <w:rFonts w:ascii="Wingdings" w:hAnsi="Wingdings" w:hint="default"/>
      </w:rPr>
    </w:lvl>
  </w:abstractNum>
  <w:abstractNum w:abstractNumId="104">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7E64D11"/>
    <w:multiLevelType w:val="hybridMultilevel"/>
    <w:tmpl w:val="C278F9AE"/>
    <w:lvl w:ilvl="0" w:tplc="F9806AAA">
      <w:start w:val="1"/>
      <w:numFmt w:val="decimal"/>
      <w:lvlText w:val="%1-"/>
      <w:lvlJc w:val="left"/>
      <w:pPr>
        <w:ind w:left="1778" w:hanging="360"/>
      </w:pPr>
      <w:rPr>
        <w:rFonts w:hint="default"/>
        <w:sz w:val="24"/>
      </w:rPr>
    </w:lvl>
    <w:lvl w:ilvl="1" w:tplc="10090019">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07">
    <w:nsid w:val="5AC16194"/>
    <w:multiLevelType w:val="hybridMultilevel"/>
    <w:tmpl w:val="4C7EDE02"/>
    <w:lvl w:ilvl="0" w:tplc="463A86D2">
      <w:start w:val="1"/>
      <w:numFmt w:val="arabicAbjad"/>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BF1787D"/>
    <w:multiLevelType w:val="hybridMultilevel"/>
    <w:tmpl w:val="4A3EA042"/>
    <w:lvl w:ilvl="0" w:tplc="502C3EF2">
      <w:start w:val="1"/>
      <w:numFmt w:val="arabicAbjad"/>
      <w:lvlText w:val="(%1)"/>
      <w:lvlJc w:val="left"/>
      <w:pPr>
        <w:ind w:left="1080" w:hanging="360"/>
      </w:pPr>
      <w:rPr>
        <w:rFonts w:hint="default"/>
        <w:i w:val="0"/>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9">
    <w:nsid w:val="5C491B2E"/>
    <w:multiLevelType w:val="hybridMultilevel"/>
    <w:tmpl w:val="97D0B64A"/>
    <w:lvl w:ilvl="0" w:tplc="E6062B26">
      <w:start w:val="1"/>
      <w:numFmt w:val="decimal"/>
      <w:lvlText w:val="%1-"/>
      <w:lvlJc w:val="left"/>
      <w:pPr>
        <w:ind w:left="1512" w:hanging="360"/>
      </w:pPr>
      <w:rPr>
        <w:rFonts w:ascii="Times New Roman" w:eastAsia="PMingLiU" w:hAnsi="Times New Roman" w:cs="Simplified Arabic" w:hint="default"/>
        <w:sz w:val="24"/>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110">
    <w:nsid w:val="5C752BBA"/>
    <w:multiLevelType w:val="hybridMultilevel"/>
    <w:tmpl w:val="0214F1F6"/>
    <w:lvl w:ilvl="0" w:tplc="E6062B26">
      <w:start w:val="1"/>
      <w:numFmt w:val="arabicAlpha"/>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5CB852B4"/>
    <w:multiLevelType w:val="hybridMultilevel"/>
    <w:tmpl w:val="0B6E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D402775"/>
    <w:multiLevelType w:val="hybridMultilevel"/>
    <w:tmpl w:val="CBBA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DB95CC4"/>
    <w:multiLevelType w:val="hybridMultilevel"/>
    <w:tmpl w:val="4DCAC8B0"/>
    <w:styleLink w:val="ImportedStyle3"/>
    <w:lvl w:ilvl="0" w:tplc="D95C2560">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19">
      <w:start w:val="1"/>
      <w:numFmt w:val="lowerLetter"/>
      <w:lvlText w:val="(%2)"/>
      <w:lvlJc w:val="left"/>
      <w:pPr>
        <w:ind w:left="810" w:hanging="8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09001B">
      <w:start w:val="1"/>
      <w:numFmt w:val="lowerRoman"/>
      <w:lvlText w:val="(%3)"/>
      <w:lvlJc w:val="left"/>
      <w:pPr>
        <w:ind w:left="1350" w:hanging="4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409000F">
      <w:start w:val="1"/>
      <w:numFmt w:val="lowerRoman"/>
      <w:lvlText w:val="(%4)"/>
      <w:lvlJc w:val="left"/>
      <w:pPr>
        <w:ind w:left="1530" w:hanging="41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4090019">
      <w:start w:val="1"/>
      <w:numFmt w:val="lowerLetter"/>
      <w:lvlText w:val="(%5)"/>
      <w:lvlJc w:val="left"/>
      <w:pPr>
        <w:ind w:left="171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409001B">
      <w:start w:val="1"/>
      <w:numFmt w:val="lowerRoman"/>
      <w:lvlText w:val="(%6)"/>
      <w:lvlJc w:val="left"/>
      <w:pPr>
        <w:ind w:left="207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409000F">
      <w:start w:val="1"/>
      <w:numFmt w:val="decimal"/>
      <w:lvlText w:val="%7."/>
      <w:lvlJc w:val="left"/>
      <w:pPr>
        <w:ind w:left="243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4090019">
      <w:start w:val="1"/>
      <w:numFmt w:val="lowerLetter"/>
      <w:lvlText w:val="%8."/>
      <w:lvlJc w:val="left"/>
      <w:pPr>
        <w:ind w:left="279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409001B">
      <w:start w:val="1"/>
      <w:numFmt w:val="lowerRoman"/>
      <w:lvlText w:val="%9."/>
      <w:lvlJc w:val="left"/>
      <w:pPr>
        <w:ind w:left="315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F156F8C"/>
    <w:multiLevelType w:val="hybridMultilevel"/>
    <w:tmpl w:val="83ACFB4A"/>
    <w:lvl w:ilvl="0" w:tplc="A7A276DA">
      <w:start w:val="1"/>
      <w:numFmt w:val="arabicAbjad"/>
      <w:lvlText w:val="(%1)"/>
      <w:lvlJc w:val="left"/>
      <w:pPr>
        <w:ind w:left="1073" w:hanging="360"/>
      </w:pPr>
      <w:rPr>
        <w:rFonts w:hint="default"/>
        <w:i w:val="0"/>
        <w:iCs w:val="0"/>
        <w:sz w:val="24"/>
      </w:rPr>
    </w:lvl>
    <w:lvl w:ilvl="1" w:tplc="08090019" w:tentative="1">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115">
    <w:nsid w:val="5F5D2AF9"/>
    <w:multiLevelType w:val="hybridMultilevel"/>
    <w:tmpl w:val="0656821E"/>
    <w:lvl w:ilvl="0" w:tplc="C04E08A0">
      <w:start w:val="1"/>
      <w:numFmt w:val="decimal"/>
      <w:lvlText w:val="%1-"/>
      <w:lvlJc w:val="left"/>
      <w:pPr>
        <w:ind w:left="720" w:hanging="360"/>
      </w:pPr>
      <w:rPr>
        <w:rFonts w:ascii="Simplified Arabic" w:hAnsi="Simplified Arabic" w:cs="Simplified Arabic" w:hint="default"/>
        <w:b/>
        <w:bCs w:val="0"/>
        <w:sz w:val="24"/>
        <w:szCs w:val="24"/>
      </w:rPr>
    </w:lvl>
    <w:lvl w:ilvl="1" w:tplc="4AB8C168" w:tentative="1">
      <w:start w:val="1"/>
      <w:numFmt w:val="lowerLetter"/>
      <w:lvlText w:val="%2."/>
      <w:lvlJc w:val="left"/>
      <w:pPr>
        <w:ind w:left="1440" w:hanging="360"/>
      </w:pPr>
    </w:lvl>
    <w:lvl w:ilvl="2" w:tplc="48C2C48A" w:tentative="1">
      <w:start w:val="1"/>
      <w:numFmt w:val="lowerRoman"/>
      <w:lvlText w:val="%3."/>
      <w:lvlJc w:val="right"/>
      <w:pPr>
        <w:ind w:left="2160" w:hanging="180"/>
      </w:pPr>
    </w:lvl>
    <w:lvl w:ilvl="3" w:tplc="7CB224F2" w:tentative="1">
      <w:start w:val="1"/>
      <w:numFmt w:val="decimal"/>
      <w:lvlText w:val="%4."/>
      <w:lvlJc w:val="left"/>
      <w:pPr>
        <w:ind w:left="2880" w:hanging="360"/>
      </w:pPr>
    </w:lvl>
    <w:lvl w:ilvl="4" w:tplc="B9C2DBA6" w:tentative="1">
      <w:start w:val="1"/>
      <w:numFmt w:val="lowerLetter"/>
      <w:lvlText w:val="%5."/>
      <w:lvlJc w:val="left"/>
      <w:pPr>
        <w:ind w:left="3600" w:hanging="360"/>
      </w:pPr>
    </w:lvl>
    <w:lvl w:ilvl="5" w:tplc="FD8A1D72" w:tentative="1">
      <w:start w:val="1"/>
      <w:numFmt w:val="lowerRoman"/>
      <w:lvlText w:val="%6."/>
      <w:lvlJc w:val="right"/>
      <w:pPr>
        <w:ind w:left="4320" w:hanging="180"/>
      </w:pPr>
    </w:lvl>
    <w:lvl w:ilvl="6" w:tplc="2954E458" w:tentative="1">
      <w:start w:val="1"/>
      <w:numFmt w:val="decimal"/>
      <w:lvlText w:val="%7."/>
      <w:lvlJc w:val="left"/>
      <w:pPr>
        <w:ind w:left="5040" w:hanging="360"/>
      </w:pPr>
    </w:lvl>
    <w:lvl w:ilvl="7" w:tplc="9F10C4D0" w:tentative="1">
      <w:start w:val="1"/>
      <w:numFmt w:val="lowerLetter"/>
      <w:lvlText w:val="%8."/>
      <w:lvlJc w:val="left"/>
      <w:pPr>
        <w:ind w:left="5760" w:hanging="360"/>
      </w:pPr>
    </w:lvl>
    <w:lvl w:ilvl="8" w:tplc="FF7A9A4A" w:tentative="1">
      <w:start w:val="1"/>
      <w:numFmt w:val="lowerRoman"/>
      <w:lvlText w:val="%9."/>
      <w:lvlJc w:val="right"/>
      <w:pPr>
        <w:ind w:left="6480" w:hanging="180"/>
      </w:pPr>
    </w:lvl>
  </w:abstractNum>
  <w:abstractNum w:abstractNumId="116">
    <w:nsid w:val="600F784F"/>
    <w:multiLevelType w:val="multilevel"/>
    <w:tmpl w:val="70E6B11C"/>
    <w:lvl w:ilvl="0">
      <w:start w:val="4"/>
      <w:numFmt w:val="decimal"/>
      <w:lvlText w:val="%1"/>
      <w:lvlJc w:val="left"/>
      <w:pPr>
        <w:ind w:left="360" w:hanging="360"/>
      </w:pPr>
      <w:rPr>
        <w:rFonts w:hint="default"/>
      </w:rPr>
    </w:lvl>
    <w:lvl w:ilvl="1">
      <w:start w:val="1"/>
      <w:numFmt w:val="decimal"/>
      <w:lvlText w:val="%1-%2"/>
      <w:lvlJc w:val="left"/>
      <w:pPr>
        <w:ind w:left="816" w:hanging="720"/>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368" w:hanging="108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920" w:hanging="144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472" w:hanging="1800"/>
      </w:pPr>
      <w:rPr>
        <w:rFonts w:hint="default"/>
      </w:rPr>
    </w:lvl>
    <w:lvl w:ilvl="8">
      <w:start w:val="1"/>
      <w:numFmt w:val="decimal"/>
      <w:lvlText w:val="%1-%2.%3.%4.%5.%6.%7.%8.%9"/>
      <w:lvlJc w:val="left"/>
      <w:pPr>
        <w:ind w:left="2568" w:hanging="1800"/>
      </w:pPr>
      <w:rPr>
        <w:rFonts w:hint="default"/>
      </w:rPr>
    </w:lvl>
  </w:abstractNum>
  <w:abstractNum w:abstractNumId="117">
    <w:nsid w:val="60514078"/>
    <w:multiLevelType w:val="hybridMultilevel"/>
    <w:tmpl w:val="BB7E52A6"/>
    <w:lvl w:ilvl="0" w:tplc="171CED4A">
      <w:start w:val="1"/>
      <w:numFmt w:val="arabicAbjad"/>
      <w:lvlText w:val="(%1)"/>
      <w:lvlJc w:val="left"/>
      <w:pPr>
        <w:ind w:left="1080" w:hanging="360"/>
      </w:pPr>
      <w:rPr>
        <w:rFonts w:hint="default"/>
        <w:i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8">
    <w:nsid w:val="60B019F8"/>
    <w:multiLevelType w:val="hybridMultilevel"/>
    <w:tmpl w:val="F956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12E73DD"/>
    <w:multiLevelType w:val="multilevel"/>
    <w:tmpl w:val="06F4105A"/>
    <w:lvl w:ilvl="0">
      <w:start w:val="2"/>
      <w:numFmt w:val="decimal"/>
      <w:lvlText w:val="%1"/>
      <w:lvlJc w:val="left"/>
      <w:pPr>
        <w:ind w:left="360" w:hanging="360"/>
      </w:pPr>
      <w:rPr>
        <w:rFonts w:hint="default"/>
      </w:rPr>
    </w:lvl>
    <w:lvl w:ilvl="1">
      <w:start w:val="1"/>
      <w:numFmt w:val="decimal"/>
      <w:lvlText w:val="%1-%2"/>
      <w:lvlJc w:val="left"/>
      <w:pPr>
        <w:ind w:left="816" w:hanging="720"/>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368" w:hanging="108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920" w:hanging="144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472" w:hanging="1800"/>
      </w:pPr>
      <w:rPr>
        <w:rFonts w:hint="default"/>
      </w:rPr>
    </w:lvl>
    <w:lvl w:ilvl="8">
      <w:start w:val="1"/>
      <w:numFmt w:val="decimal"/>
      <w:lvlText w:val="%1-%2.%3.%4.%5.%6.%7.%8.%9"/>
      <w:lvlJc w:val="left"/>
      <w:pPr>
        <w:ind w:left="2568" w:hanging="1800"/>
      </w:pPr>
      <w:rPr>
        <w:rFonts w:hint="default"/>
      </w:rPr>
    </w:lvl>
  </w:abstractNum>
  <w:abstractNum w:abstractNumId="120">
    <w:nsid w:val="616819F9"/>
    <w:multiLevelType w:val="hybridMultilevel"/>
    <w:tmpl w:val="5CCED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2615E65"/>
    <w:multiLevelType w:val="hybridMultilevel"/>
    <w:tmpl w:val="2F9498AC"/>
    <w:lvl w:ilvl="0" w:tplc="E6062B26">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2">
    <w:nsid w:val="63546AAF"/>
    <w:multiLevelType w:val="hybridMultilevel"/>
    <w:tmpl w:val="4B9C01E6"/>
    <w:lvl w:ilvl="0" w:tplc="1D8E1B82">
      <w:start w:val="1"/>
      <w:numFmt w:val="arabicAbjad"/>
      <w:lvlText w:val="(%1)"/>
      <w:lvlJc w:val="left"/>
      <w:pPr>
        <w:ind w:left="720" w:hanging="360"/>
      </w:pPr>
      <w:rPr>
        <w:rFonts w:hint="default"/>
        <w:i w:val="0"/>
        <w:sz w:val="24"/>
      </w:rPr>
    </w:lvl>
    <w:lvl w:ilvl="1" w:tplc="A8D4406E" w:tentative="1">
      <w:start w:val="1"/>
      <w:numFmt w:val="lowerLetter"/>
      <w:lvlText w:val="%2."/>
      <w:lvlJc w:val="left"/>
      <w:pPr>
        <w:ind w:left="1440" w:hanging="360"/>
      </w:pPr>
    </w:lvl>
    <w:lvl w:ilvl="2" w:tplc="25C2DD24" w:tentative="1">
      <w:start w:val="1"/>
      <w:numFmt w:val="lowerRoman"/>
      <w:lvlText w:val="%3."/>
      <w:lvlJc w:val="right"/>
      <w:pPr>
        <w:ind w:left="2160" w:hanging="180"/>
      </w:pPr>
    </w:lvl>
    <w:lvl w:ilvl="3" w:tplc="62E666D8" w:tentative="1">
      <w:start w:val="1"/>
      <w:numFmt w:val="decimal"/>
      <w:lvlText w:val="%4."/>
      <w:lvlJc w:val="left"/>
      <w:pPr>
        <w:ind w:left="2880" w:hanging="360"/>
      </w:pPr>
    </w:lvl>
    <w:lvl w:ilvl="4" w:tplc="DD72EA0E" w:tentative="1">
      <w:start w:val="1"/>
      <w:numFmt w:val="lowerLetter"/>
      <w:lvlText w:val="%5."/>
      <w:lvlJc w:val="left"/>
      <w:pPr>
        <w:ind w:left="3600" w:hanging="360"/>
      </w:pPr>
    </w:lvl>
    <w:lvl w:ilvl="5" w:tplc="AE3A848A" w:tentative="1">
      <w:start w:val="1"/>
      <w:numFmt w:val="lowerRoman"/>
      <w:lvlText w:val="%6."/>
      <w:lvlJc w:val="right"/>
      <w:pPr>
        <w:ind w:left="4320" w:hanging="180"/>
      </w:pPr>
    </w:lvl>
    <w:lvl w:ilvl="6" w:tplc="0AD61660" w:tentative="1">
      <w:start w:val="1"/>
      <w:numFmt w:val="decimal"/>
      <w:lvlText w:val="%7."/>
      <w:lvlJc w:val="left"/>
      <w:pPr>
        <w:ind w:left="5040" w:hanging="360"/>
      </w:pPr>
    </w:lvl>
    <w:lvl w:ilvl="7" w:tplc="CDC6DDF6" w:tentative="1">
      <w:start w:val="1"/>
      <w:numFmt w:val="lowerLetter"/>
      <w:lvlText w:val="%8."/>
      <w:lvlJc w:val="left"/>
      <w:pPr>
        <w:ind w:left="5760" w:hanging="360"/>
      </w:pPr>
    </w:lvl>
    <w:lvl w:ilvl="8" w:tplc="DBEA25EC" w:tentative="1">
      <w:start w:val="1"/>
      <w:numFmt w:val="lowerRoman"/>
      <w:lvlText w:val="%9."/>
      <w:lvlJc w:val="right"/>
      <w:pPr>
        <w:ind w:left="6480" w:hanging="180"/>
      </w:pPr>
    </w:lvl>
  </w:abstractNum>
  <w:abstractNum w:abstractNumId="123">
    <w:nsid w:val="63627FE1"/>
    <w:multiLevelType w:val="hybridMultilevel"/>
    <w:tmpl w:val="5018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3D53B55"/>
    <w:multiLevelType w:val="hybridMultilevel"/>
    <w:tmpl w:val="B9DE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6214D47"/>
    <w:multiLevelType w:val="hybridMultilevel"/>
    <w:tmpl w:val="8A58EA28"/>
    <w:lvl w:ilvl="0" w:tplc="187CB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66F7B39"/>
    <w:multiLevelType w:val="hybridMultilevel"/>
    <w:tmpl w:val="BE7E9C3A"/>
    <w:lvl w:ilvl="0" w:tplc="502C3EF2">
      <w:start w:val="7"/>
      <w:numFmt w:val="decimal"/>
      <w:lvlText w:val="%1-"/>
      <w:lvlJc w:val="left"/>
      <w:pPr>
        <w:ind w:left="540" w:hanging="360"/>
      </w:pPr>
      <w:rPr>
        <w:rFonts w:hint="default"/>
        <w:b/>
        <w:bCs w:val="0"/>
      </w:rPr>
    </w:lvl>
    <w:lvl w:ilvl="1" w:tplc="08090003" w:tentative="1">
      <w:start w:val="1"/>
      <w:numFmt w:val="lowerLetter"/>
      <w:lvlText w:val="%2."/>
      <w:lvlJc w:val="left"/>
      <w:pPr>
        <w:ind w:left="1260" w:hanging="360"/>
      </w:pPr>
    </w:lvl>
    <w:lvl w:ilvl="2" w:tplc="08090005" w:tentative="1">
      <w:start w:val="1"/>
      <w:numFmt w:val="lowerRoman"/>
      <w:lvlText w:val="%3."/>
      <w:lvlJc w:val="right"/>
      <w:pPr>
        <w:ind w:left="1980" w:hanging="180"/>
      </w:pPr>
    </w:lvl>
    <w:lvl w:ilvl="3" w:tplc="08090001" w:tentative="1">
      <w:start w:val="1"/>
      <w:numFmt w:val="decimal"/>
      <w:lvlText w:val="%4."/>
      <w:lvlJc w:val="left"/>
      <w:pPr>
        <w:ind w:left="2700" w:hanging="360"/>
      </w:pPr>
    </w:lvl>
    <w:lvl w:ilvl="4" w:tplc="08090003" w:tentative="1">
      <w:start w:val="1"/>
      <w:numFmt w:val="lowerLetter"/>
      <w:lvlText w:val="%5."/>
      <w:lvlJc w:val="left"/>
      <w:pPr>
        <w:ind w:left="3420" w:hanging="360"/>
      </w:pPr>
    </w:lvl>
    <w:lvl w:ilvl="5" w:tplc="08090005" w:tentative="1">
      <w:start w:val="1"/>
      <w:numFmt w:val="lowerRoman"/>
      <w:lvlText w:val="%6."/>
      <w:lvlJc w:val="right"/>
      <w:pPr>
        <w:ind w:left="4140" w:hanging="180"/>
      </w:pPr>
    </w:lvl>
    <w:lvl w:ilvl="6" w:tplc="08090001" w:tentative="1">
      <w:start w:val="1"/>
      <w:numFmt w:val="decimal"/>
      <w:lvlText w:val="%7."/>
      <w:lvlJc w:val="left"/>
      <w:pPr>
        <w:ind w:left="4860" w:hanging="360"/>
      </w:pPr>
    </w:lvl>
    <w:lvl w:ilvl="7" w:tplc="08090003" w:tentative="1">
      <w:start w:val="1"/>
      <w:numFmt w:val="lowerLetter"/>
      <w:lvlText w:val="%8."/>
      <w:lvlJc w:val="left"/>
      <w:pPr>
        <w:ind w:left="5580" w:hanging="360"/>
      </w:pPr>
    </w:lvl>
    <w:lvl w:ilvl="8" w:tplc="08090005" w:tentative="1">
      <w:start w:val="1"/>
      <w:numFmt w:val="lowerRoman"/>
      <w:lvlText w:val="%9."/>
      <w:lvlJc w:val="right"/>
      <w:pPr>
        <w:ind w:left="6300" w:hanging="180"/>
      </w:pPr>
    </w:lvl>
  </w:abstractNum>
  <w:abstractNum w:abstractNumId="127">
    <w:nsid w:val="66DB3E5F"/>
    <w:multiLevelType w:val="hybridMultilevel"/>
    <w:tmpl w:val="CAE8C8BC"/>
    <w:lvl w:ilvl="0" w:tplc="E6062B26">
      <w:start w:val="1"/>
      <w:numFmt w:val="arabicAbjad"/>
      <w:lvlText w:val="(%1)"/>
      <w:lvlJc w:val="left"/>
      <w:pPr>
        <w:ind w:left="1073" w:hanging="360"/>
      </w:pPr>
      <w:rPr>
        <w:rFonts w:hint="default"/>
        <w:i w:val="0"/>
        <w:iCs w:val="0"/>
        <w:sz w:val="24"/>
      </w:rPr>
    </w:lvl>
    <w:lvl w:ilvl="1" w:tplc="08090019" w:tentative="1">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128">
    <w:nsid w:val="677011EC"/>
    <w:multiLevelType w:val="hybridMultilevel"/>
    <w:tmpl w:val="B0ECCC40"/>
    <w:lvl w:ilvl="0" w:tplc="CA4C767E">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6B5A2C37"/>
    <w:multiLevelType w:val="hybridMultilevel"/>
    <w:tmpl w:val="A4B6560A"/>
    <w:lvl w:ilvl="0" w:tplc="82D6DDDA">
      <w:start w:val="1"/>
      <w:numFmt w:val="bullet"/>
      <w:lvlText w:val=""/>
      <w:lvlJc w:val="left"/>
      <w:pPr>
        <w:ind w:left="720" w:hanging="360"/>
      </w:pPr>
      <w:rPr>
        <w:rFonts w:ascii="Wingdings" w:eastAsia="YouYuan" w:hAnsi="Wingdings" w:cs="Simplified Arabic"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0">
    <w:nsid w:val="6EA57772"/>
    <w:multiLevelType w:val="hybridMultilevel"/>
    <w:tmpl w:val="2746F330"/>
    <w:lvl w:ilvl="0" w:tplc="EF16D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ED951F6"/>
    <w:multiLevelType w:val="hybridMultilevel"/>
    <w:tmpl w:val="27B6FEB0"/>
    <w:lvl w:ilvl="0" w:tplc="B76C3440">
      <w:start w:val="1"/>
      <w:numFmt w:val="arabicAbjad"/>
      <w:lvlText w:val="(%1)"/>
      <w:lvlJc w:val="left"/>
      <w:pPr>
        <w:ind w:left="1080" w:hanging="360"/>
      </w:pPr>
      <w:rPr>
        <w:rFonts w:hint="default"/>
        <w:i w:val="0"/>
        <w:sz w:val="24"/>
      </w:rPr>
    </w:lvl>
    <w:lvl w:ilvl="1" w:tplc="D71A812E" w:tentative="1">
      <w:start w:val="1"/>
      <w:numFmt w:val="lowerLetter"/>
      <w:lvlText w:val="%2."/>
      <w:lvlJc w:val="left"/>
      <w:pPr>
        <w:ind w:left="1800" w:hanging="360"/>
      </w:pPr>
    </w:lvl>
    <w:lvl w:ilvl="2" w:tplc="51EA02F2" w:tentative="1">
      <w:start w:val="1"/>
      <w:numFmt w:val="lowerRoman"/>
      <w:lvlText w:val="%3."/>
      <w:lvlJc w:val="right"/>
      <w:pPr>
        <w:ind w:left="2520" w:hanging="180"/>
      </w:pPr>
    </w:lvl>
    <w:lvl w:ilvl="3" w:tplc="7BC6BF6E" w:tentative="1">
      <w:start w:val="1"/>
      <w:numFmt w:val="decimal"/>
      <w:lvlText w:val="%4."/>
      <w:lvlJc w:val="left"/>
      <w:pPr>
        <w:ind w:left="3240" w:hanging="360"/>
      </w:pPr>
    </w:lvl>
    <w:lvl w:ilvl="4" w:tplc="65C6BBC0" w:tentative="1">
      <w:start w:val="1"/>
      <w:numFmt w:val="lowerLetter"/>
      <w:lvlText w:val="%5."/>
      <w:lvlJc w:val="left"/>
      <w:pPr>
        <w:ind w:left="3960" w:hanging="360"/>
      </w:pPr>
    </w:lvl>
    <w:lvl w:ilvl="5" w:tplc="29505714" w:tentative="1">
      <w:start w:val="1"/>
      <w:numFmt w:val="lowerRoman"/>
      <w:lvlText w:val="%6."/>
      <w:lvlJc w:val="right"/>
      <w:pPr>
        <w:ind w:left="4680" w:hanging="180"/>
      </w:pPr>
    </w:lvl>
    <w:lvl w:ilvl="6" w:tplc="1C5095F2" w:tentative="1">
      <w:start w:val="1"/>
      <w:numFmt w:val="decimal"/>
      <w:lvlText w:val="%7."/>
      <w:lvlJc w:val="left"/>
      <w:pPr>
        <w:ind w:left="5400" w:hanging="360"/>
      </w:pPr>
    </w:lvl>
    <w:lvl w:ilvl="7" w:tplc="DC9AA5EA" w:tentative="1">
      <w:start w:val="1"/>
      <w:numFmt w:val="lowerLetter"/>
      <w:lvlText w:val="%8."/>
      <w:lvlJc w:val="left"/>
      <w:pPr>
        <w:ind w:left="6120" w:hanging="360"/>
      </w:pPr>
    </w:lvl>
    <w:lvl w:ilvl="8" w:tplc="841A65FA" w:tentative="1">
      <w:start w:val="1"/>
      <w:numFmt w:val="lowerRoman"/>
      <w:lvlText w:val="%9."/>
      <w:lvlJc w:val="right"/>
      <w:pPr>
        <w:ind w:left="6840" w:hanging="180"/>
      </w:pPr>
    </w:lvl>
  </w:abstractNum>
  <w:abstractNum w:abstractNumId="132">
    <w:nsid w:val="6EE23244"/>
    <w:multiLevelType w:val="multilevel"/>
    <w:tmpl w:val="E580EE0A"/>
    <w:lvl w:ilvl="0">
      <w:start w:val="24"/>
      <w:numFmt w:val="decimal"/>
      <w:lvlText w:val="%1."/>
      <w:lvlJc w:val="left"/>
      <w:pPr>
        <w:tabs>
          <w:tab w:val="num" w:pos="360"/>
        </w:tabs>
        <w:ind w:left="0" w:firstLine="0"/>
      </w:pPr>
      <w:rPr>
        <w:rFonts w:ascii="Times New Roman" w:hAnsi="Times New Roman" w:hint="default"/>
        <w:b w:val="0"/>
        <w:i w:val="0"/>
        <w:sz w:val="22"/>
      </w:rPr>
    </w:lvl>
    <w:lvl w:ilvl="1">
      <w:start w:val="1"/>
      <w:numFmt w:val="lowerLetter"/>
      <w:pStyle w:val="Activity"/>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6FD34581"/>
    <w:multiLevelType w:val="hybridMultilevel"/>
    <w:tmpl w:val="A8925588"/>
    <w:lvl w:ilvl="0" w:tplc="E6062B26">
      <w:start w:val="1"/>
      <w:numFmt w:val="arabicAbjad"/>
      <w:lvlText w:val="(%1)"/>
      <w:lvlJc w:val="left"/>
      <w:pPr>
        <w:ind w:left="353" w:hanging="360"/>
      </w:pPr>
      <w:rPr>
        <w:rFonts w:hint="default"/>
        <w:i w:val="0"/>
        <w:sz w:val="24"/>
      </w:rPr>
    </w:lvl>
    <w:lvl w:ilvl="1" w:tplc="08090019" w:tentative="1">
      <w:start w:val="1"/>
      <w:numFmt w:val="lowerLetter"/>
      <w:lvlText w:val="%2."/>
      <w:lvlJc w:val="left"/>
      <w:pPr>
        <w:ind w:left="1073" w:hanging="360"/>
      </w:pPr>
    </w:lvl>
    <w:lvl w:ilvl="2" w:tplc="0809001B" w:tentative="1">
      <w:start w:val="1"/>
      <w:numFmt w:val="lowerRoman"/>
      <w:lvlText w:val="%3."/>
      <w:lvlJc w:val="right"/>
      <w:pPr>
        <w:ind w:left="1793" w:hanging="180"/>
      </w:pPr>
    </w:lvl>
    <w:lvl w:ilvl="3" w:tplc="0809000F" w:tentative="1">
      <w:start w:val="1"/>
      <w:numFmt w:val="decimal"/>
      <w:lvlText w:val="%4."/>
      <w:lvlJc w:val="left"/>
      <w:pPr>
        <w:ind w:left="2513" w:hanging="360"/>
      </w:pPr>
    </w:lvl>
    <w:lvl w:ilvl="4" w:tplc="08090019" w:tentative="1">
      <w:start w:val="1"/>
      <w:numFmt w:val="lowerLetter"/>
      <w:lvlText w:val="%5."/>
      <w:lvlJc w:val="left"/>
      <w:pPr>
        <w:ind w:left="3233" w:hanging="360"/>
      </w:pPr>
    </w:lvl>
    <w:lvl w:ilvl="5" w:tplc="0809001B" w:tentative="1">
      <w:start w:val="1"/>
      <w:numFmt w:val="lowerRoman"/>
      <w:lvlText w:val="%6."/>
      <w:lvlJc w:val="right"/>
      <w:pPr>
        <w:ind w:left="3953" w:hanging="180"/>
      </w:pPr>
    </w:lvl>
    <w:lvl w:ilvl="6" w:tplc="0809000F" w:tentative="1">
      <w:start w:val="1"/>
      <w:numFmt w:val="decimal"/>
      <w:lvlText w:val="%7."/>
      <w:lvlJc w:val="left"/>
      <w:pPr>
        <w:ind w:left="4673" w:hanging="360"/>
      </w:pPr>
    </w:lvl>
    <w:lvl w:ilvl="7" w:tplc="08090019" w:tentative="1">
      <w:start w:val="1"/>
      <w:numFmt w:val="lowerLetter"/>
      <w:lvlText w:val="%8."/>
      <w:lvlJc w:val="left"/>
      <w:pPr>
        <w:ind w:left="5393" w:hanging="360"/>
      </w:pPr>
    </w:lvl>
    <w:lvl w:ilvl="8" w:tplc="0809001B" w:tentative="1">
      <w:start w:val="1"/>
      <w:numFmt w:val="lowerRoman"/>
      <w:lvlText w:val="%9."/>
      <w:lvlJc w:val="right"/>
      <w:pPr>
        <w:ind w:left="6113" w:hanging="180"/>
      </w:pPr>
    </w:lvl>
  </w:abstractNum>
  <w:abstractNum w:abstractNumId="134">
    <w:nsid w:val="70391686"/>
    <w:multiLevelType w:val="hybridMultilevel"/>
    <w:tmpl w:val="78D89BCA"/>
    <w:lvl w:ilvl="0" w:tplc="0A14E79E">
      <w:start w:val="1"/>
      <w:numFmt w:val="bullet"/>
      <w:lvlText w:val=""/>
      <w:lvlJc w:val="left"/>
      <w:pPr>
        <w:ind w:left="720" w:hanging="360"/>
      </w:pPr>
      <w:rPr>
        <w:rFonts w:ascii="Symbol" w:hAnsi="Symbol" w:hint="default"/>
      </w:rPr>
    </w:lvl>
    <w:lvl w:ilvl="1" w:tplc="34B8D2C4" w:tentative="1">
      <w:start w:val="1"/>
      <w:numFmt w:val="bullet"/>
      <w:lvlText w:val="o"/>
      <w:lvlJc w:val="left"/>
      <w:pPr>
        <w:ind w:left="1440" w:hanging="360"/>
      </w:pPr>
      <w:rPr>
        <w:rFonts w:ascii="Courier New" w:hAnsi="Courier New" w:cs="Courier New" w:hint="default"/>
      </w:rPr>
    </w:lvl>
    <w:lvl w:ilvl="2" w:tplc="62D050E8" w:tentative="1">
      <w:start w:val="1"/>
      <w:numFmt w:val="bullet"/>
      <w:lvlText w:val=""/>
      <w:lvlJc w:val="left"/>
      <w:pPr>
        <w:ind w:left="2160" w:hanging="360"/>
      </w:pPr>
      <w:rPr>
        <w:rFonts w:ascii="Wingdings" w:hAnsi="Wingdings" w:hint="default"/>
      </w:rPr>
    </w:lvl>
    <w:lvl w:ilvl="3" w:tplc="3B90801C" w:tentative="1">
      <w:start w:val="1"/>
      <w:numFmt w:val="bullet"/>
      <w:lvlText w:val=""/>
      <w:lvlJc w:val="left"/>
      <w:pPr>
        <w:ind w:left="2880" w:hanging="360"/>
      </w:pPr>
      <w:rPr>
        <w:rFonts w:ascii="Symbol" w:hAnsi="Symbol" w:hint="default"/>
      </w:rPr>
    </w:lvl>
    <w:lvl w:ilvl="4" w:tplc="48B47718" w:tentative="1">
      <w:start w:val="1"/>
      <w:numFmt w:val="bullet"/>
      <w:lvlText w:val="o"/>
      <w:lvlJc w:val="left"/>
      <w:pPr>
        <w:ind w:left="3600" w:hanging="360"/>
      </w:pPr>
      <w:rPr>
        <w:rFonts w:ascii="Courier New" w:hAnsi="Courier New" w:cs="Courier New" w:hint="default"/>
      </w:rPr>
    </w:lvl>
    <w:lvl w:ilvl="5" w:tplc="5BA88E94" w:tentative="1">
      <w:start w:val="1"/>
      <w:numFmt w:val="bullet"/>
      <w:lvlText w:val=""/>
      <w:lvlJc w:val="left"/>
      <w:pPr>
        <w:ind w:left="4320" w:hanging="360"/>
      </w:pPr>
      <w:rPr>
        <w:rFonts w:ascii="Wingdings" w:hAnsi="Wingdings" w:hint="default"/>
      </w:rPr>
    </w:lvl>
    <w:lvl w:ilvl="6" w:tplc="4A306C9A" w:tentative="1">
      <w:start w:val="1"/>
      <w:numFmt w:val="bullet"/>
      <w:lvlText w:val=""/>
      <w:lvlJc w:val="left"/>
      <w:pPr>
        <w:ind w:left="5040" w:hanging="360"/>
      </w:pPr>
      <w:rPr>
        <w:rFonts w:ascii="Symbol" w:hAnsi="Symbol" w:hint="default"/>
      </w:rPr>
    </w:lvl>
    <w:lvl w:ilvl="7" w:tplc="ABBA946C" w:tentative="1">
      <w:start w:val="1"/>
      <w:numFmt w:val="bullet"/>
      <w:lvlText w:val="o"/>
      <w:lvlJc w:val="left"/>
      <w:pPr>
        <w:ind w:left="5760" w:hanging="360"/>
      </w:pPr>
      <w:rPr>
        <w:rFonts w:ascii="Courier New" w:hAnsi="Courier New" w:cs="Courier New" w:hint="default"/>
      </w:rPr>
    </w:lvl>
    <w:lvl w:ilvl="8" w:tplc="918C285E" w:tentative="1">
      <w:start w:val="1"/>
      <w:numFmt w:val="bullet"/>
      <w:lvlText w:val=""/>
      <w:lvlJc w:val="left"/>
      <w:pPr>
        <w:ind w:left="6480" w:hanging="360"/>
      </w:pPr>
      <w:rPr>
        <w:rFonts w:ascii="Wingdings" w:hAnsi="Wingdings" w:hint="default"/>
      </w:rPr>
    </w:lvl>
  </w:abstractNum>
  <w:abstractNum w:abstractNumId="135">
    <w:nsid w:val="71627E39"/>
    <w:multiLevelType w:val="hybridMultilevel"/>
    <w:tmpl w:val="4D24E4D0"/>
    <w:lvl w:ilvl="0" w:tplc="E6062B26">
      <w:start w:val="1"/>
      <w:numFmt w:val="decimal"/>
      <w:lvlText w:val="%1-"/>
      <w:lvlJc w:val="left"/>
      <w:pPr>
        <w:ind w:left="720" w:hanging="360"/>
      </w:pPr>
      <w:rPr>
        <w:rFonts w:ascii="Times New Roman" w:eastAsia="PMingLiU" w:hAnsi="Times New Roman" w:cs="Simplified Arabic"/>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2405CCC"/>
    <w:multiLevelType w:val="hybridMultilevel"/>
    <w:tmpl w:val="9406567A"/>
    <w:lvl w:ilvl="0" w:tplc="502C3EF2">
      <w:start w:val="1"/>
      <w:numFmt w:val="arabicAbjad"/>
      <w:lvlText w:val="(%1)"/>
      <w:lvlJc w:val="left"/>
      <w:pPr>
        <w:ind w:left="1080" w:hanging="360"/>
      </w:pPr>
      <w:rPr>
        <w:rFonts w:hint="default"/>
        <w:i w:val="0"/>
        <w:sz w:val="24"/>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37">
    <w:nsid w:val="727244EC"/>
    <w:multiLevelType w:val="hybridMultilevel"/>
    <w:tmpl w:val="9EC4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3612D21"/>
    <w:multiLevelType w:val="hybridMultilevel"/>
    <w:tmpl w:val="2C4CC948"/>
    <w:lvl w:ilvl="0" w:tplc="09B841C6">
      <w:start w:val="1"/>
      <w:numFmt w:val="bullet"/>
      <w:lvlText w:val=""/>
      <w:lvlJc w:val="left"/>
      <w:pPr>
        <w:ind w:left="360" w:hanging="360"/>
      </w:pPr>
      <w:rPr>
        <w:rFonts w:ascii="Symbol" w:hAnsi="Symbol" w:hint="default"/>
      </w:rPr>
    </w:lvl>
    <w:lvl w:ilvl="1" w:tplc="ADC63294" w:tentative="1">
      <w:start w:val="1"/>
      <w:numFmt w:val="bullet"/>
      <w:lvlText w:val="o"/>
      <w:lvlJc w:val="left"/>
      <w:pPr>
        <w:ind w:left="1080" w:hanging="360"/>
      </w:pPr>
      <w:rPr>
        <w:rFonts w:ascii="Courier New" w:hAnsi="Courier New" w:cs="Courier New" w:hint="default"/>
      </w:rPr>
    </w:lvl>
    <w:lvl w:ilvl="2" w:tplc="E78208F4" w:tentative="1">
      <w:start w:val="1"/>
      <w:numFmt w:val="bullet"/>
      <w:lvlText w:val=""/>
      <w:lvlJc w:val="left"/>
      <w:pPr>
        <w:ind w:left="1800" w:hanging="360"/>
      </w:pPr>
      <w:rPr>
        <w:rFonts w:ascii="Wingdings" w:hAnsi="Wingdings" w:hint="default"/>
      </w:rPr>
    </w:lvl>
    <w:lvl w:ilvl="3" w:tplc="E646D15E" w:tentative="1">
      <w:start w:val="1"/>
      <w:numFmt w:val="bullet"/>
      <w:lvlText w:val=""/>
      <w:lvlJc w:val="left"/>
      <w:pPr>
        <w:ind w:left="2520" w:hanging="360"/>
      </w:pPr>
      <w:rPr>
        <w:rFonts w:ascii="Symbol" w:hAnsi="Symbol" w:hint="default"/>
      </w:rPr>
    </w:lvl>
    <w:lvl w:ilvl="4" w:tplc="9954B060" w:tentative="1">
      <w:start w:val="1"/>
      <w:numFmt w:val="bullet"/>
      <w:lvlText w:val="o"/>
      <w:lvlJc w:val="left"/>
      <w:pPr>
        <w:ind w:left="3240" w:hanging="360"/>
      </w:pPr>
      <w:rPr>
        <w:rFonts w:ascii="Courier New" w:hAnsi="Courier New" w:cs="Courier New" w:hint="default"/>
      </w:rPr>
    </w:lvl>
    <w:lvl w:ilvl="5" w:tplc="FFEE0DE4" w:tentative="1">
      <w:start w:val="1"/>
      <w:numFmt w:val="bullet"/>
      <w:lvlText w:val=""/>
      <w:lvlJc w:val="left"/>
      <w:pPr>
        <w:ind w:left="3960" w:hanging="360"/>
      </w:pPr>
      <w:rPr>
        <w:rFonts w:ascii="Wingdings" w:hAnsi="Wingdings" w:hint="default"/>
      </w:rPr>
    </w:lvl>
    <w:lvl w:ilvl="6" w:tplc="2CD44AB4" w:tentative="1">
      <w:start w:val="1"/>
      <w:numFmt w:val="bullet"/>
      <w:lvlText w:val=""/>
      <w:lvlJc w:val="left"/>
      <w:pPr>
        <w:ind w:left="4680" w:hanging="360"/>
      </w:pPr>
      <w:rPr>
        <w:rFonts w:ascii="Symbol" w:hAnsi="Symbol" w:hint="default"/>
      </w:rPr>
    </w:lvl>
    <w:lvl w:ilvl="7" w:tplc="62082988" w:tentative="1">
      <w:start w:val="1"/>
      <w:numFmt w:val="bullet"/>
      <w:lvlText w:val="o"/>
      <w:lvlJc w:val="left"/>
      <w:pPr>
        <w:ind w:left="5400" w:hanging="360"/>
      </w:pPr>
      <w:rPr>
        <w:rFonts w:ascii="Courier New" w:hAnsi="Courier New" w:cs="Courier New" w:hint="default"/>
      </w:rPr>
    </w:lvl>
    <w:lvl w:ilvl="8" w:tplc="B302F39A" w:tentative="1">
      <w:start w:val="1"/>
      <w:numFmt w:val="bullet"/>
      <w:lvlText w:val=""/>
      <w:lvlJc w:val="left"/>
      <w:pPr>
        <w:ind w:left="6120" w:hanging="360"/>
      </w:pPr>
      <w:rPr>
        <w:rFonts w:ascii="Wingdings" w:hAnsi="Wingdings" w:hint="default"/>
      </w:rPr>
    </w:lvl>
  </w:abstractNum>
  <w:abstractNum w:abstractNumId="139">
    <w:nsid w:val="74605824"/>
    <w:multiLevelType w:val="hybridMultilevel"/>
    <w:tmpl w:val="554CAABA"/>
    <w:lvl w:ilvl="0" w:tplc="E6062B26">
      <w:start w:val="1"/>
      <w:numFmt w:val="lowerLetter"/>
      <w:pStyle w:val="multi-level-num"/>
      <w:lvlText w:val="(%1)"/>
      <w:lvlJc w:val="left"/>
      <w:pPr>
        <w:tabs>
          <w:tab w:val="num" w:pos="1440"/>
        </w:tabs>
        <w:ind w:left="1440" w:hanging="360"/>
      </w:pPr>
      <w:rPr>
        <w:rFonts w:cs="Times New Roman" w:hint="default"/>
      </w:rPr>
    </w:lvl>
    <w:lvl w:ilvl="1" w:tplc="08090019">
      <w:start w:val="2"/>
      <w:numFmt w:val="decimal"/>
      <w:lvlText w:val="%2"/>
      <w:lvlJc w:val="left"/>
      <w:pPr>
        <w:ind w:left="1440" w:hanging="360"/>
      </w:pPr>
      <w:rPr>
        <w:rFonts w:hint="default"/>
        <w:b/>
      </w:rPr>
    </w:lvl>
    <w:lvl w:ilvl="2" w:tplc="0809001B">
      <w:start w:val="1"/>
      <w:numFmt w:val="arabicAlpha"/>
      <w:lvlText w:val="(%3)"/>
      <w:lvlJc w:val="left"/>
      <w:pPr>
        <w:ind w:left="2340" w:hanging="360"/>
      </w:pPr>
      <w:rPr>
        <w:rFonts w:hint="default"/>
      </w:rPr>
    </w:lvl>
    <w:lvl w:ilvl="3" w:tplc="0809000F">
      <w:start w:val="1"/>
      <w:numFmt w:val="decimal"/>
      <w:lvlText w:val="%4-"/>
      <w:lvlJc w:val="left"/>
      <w:pPr>
        <w:tabs>
          <w:tab w:val="num" w:pos="720"/>
        </w:tabs>
        <w:ind w:left="720" w:hanging="360"/>
      </w:pPr>
      <w:rPr>
        <w:rFonts w:ascii="Times New Roman" w:hAnsi="Times New Roman" w:cs="Simplified Arabic" w:hint="default"/>
        <w:i/>
        <w:iCs w:val="0"/>
        <w:sz w:val="22"/>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0">
    <w:nsid w:val="74E36B39"/>
    <w:multiLevelType w:val="hybridMultilevel"/>
    <w:tmpl w:val="640E0986"/>
    <w:lvl w:ilvl="0" w:tplc="8D962DE6">
      <w:start w:val="1"/>
      <w:numFmt w:val="bullet"/>
      <w:lvlText w:val=""/>
      <w:lvlJc w:val="left"/>
      <w:pPr>
        <w:ind w:left="360" w:hanging="360"/>
      </w:pPr>
      <w:rPr>
        <w:rFonts w:ascii="Symbol" w:hAnsi="Symbol" w:hint="default"/>
      </w:rPr>
    </w:lvl>
    <w:lvl w:ilvl="1" w:tplc="3E6E7026" w:tentative="1">
      <w:start w:val="1"/>
      <w:numFmt w:val="bullet"/>
      <w:lvlText w:val="o"/>
      <w:lvlJc w:val="left"/>
      <w:pPr>
        <w:ind w:left="1080" w:hanging="360"/>
      </w:pPr>
      <w:rPr>
        <w:rFonts w:ascii="Courier New" w:hAnsi="Courier New" w:cs="Courier New" w:hint="default"/>
      </w:rPr>
    </w:lvl>
    <w:lvl w:ilvl="2" w:tplc="D8C49246" w:tentative="1">
      <w:start w:val="1"/>
      <w:numFmt w:val="bullet"/>
      <w:lvlText w:val=""/>
      <w:lvlJc w:val="left"/>
      <w:pPr>
        <w:ind w:left="1800" w:hanging="360"/>
      </w:pPr>
      <w:rPr>
        <w:rFonts w:ascii="Wingdings" w:hAnsi="Wingdings" w:hint="default"/>
      </w:rPr>
    </w:lvl>
    <w:lvl w:ilvl="3" w:tplc="332C90A6" w:tentative="1">
      <w:start w:val="1"/>
      <w:numFmt w:val="bullet"/>
      <w:lvlText w:val=""/>
      <w:lvlJc w:val="left"/>
      <w:pPr>
        <w:ind w:left="2520" w:hanging="360"/>
      </w:pPr>
      <w:rPr>
        <w:rFonts w:ascii="Symbol" w:hAnsi="Symbol" w:hint="default"/>
      </w:rPr>
    </w:lvl>
    <w:lvl w:ilvl="4" w:tplc="B20043C0" w:tentative="1">
      <w:start w:val="1"/>
      <w:numFmt w:val="bullet"/>
      <w:lvlText w:val="o"/>
      <w:lvlJc w:val="left"/>
      <w:pPr>
        <w:ind w:left="3240" w:hanging="360"/>
      </w:pPr>
      <w:rPr>
        <w:rFonts w:ascii="Courier New" w:hAnsi="Courier New" w:cs="Courier New" w:hint="default"/>
      </w:rPr>
    </w:lvl>
    <w:lvl w:ilvl="5" w:tplc="AA585DB8" w:tentative="1">
      <w:start w:val="1"/>
      <w:numFmt w:val="bullet"/>
      <w:lvlText w:val=""/>
      <w:lvlJc w:val="left"/>
      <w:pPr>
        <w:ind w:left="3960" w:hanging="360"/>
      </w:pPr>
      <w:rPr>
        <w:rFonts w:ascii="Wingdings" w:hAnsi="Wingdings" w:hint="default"/>
      </w:rPr>
    </w:lvl>
    <w:lvl w:ilvl="6" w:tplc="F0A44262" w:tentative="1">
      <w:start w:val="1"/>
      <w:numFmt w:val="bullet"/>
      <w:lvlText w:val=""/>
      <w:lvlJc w:val="left"/>
      <w:pPr>
        <w:ind w:left="4680" w:hanging="360"/>
      </w:pPr>
      <w:rPr>
        <w:rFonts w:ascii="Symbol" w:hAnsi="Symbol" w:hint="default"/>
      </w:rPr>
    </w:lvl>
    <w:lvl w:ilvl="7" w:tplc="3AD8F916" w:tentative="1">
      <w:start w:val="1"/>
      <w:numFmt w:val="bullet"/>
      <w:lvlText w:val="o"/>
      <w:lvlJc w:val="left"/>
      <w:pPr>
        <w:ind w:left="5400" w:hanging="360"/>
      </w:pPr>
      <w:rPr>
        <w:rFonts w:ascii="Courier New" w:hAnsi="Courier New" w:cs="Courier New" w:hint="default"/>
      </w:rPr>
    </w:lvl>
    <w:lvl w:ilvl="8" w:tplc="80D0159E" w:tentative="1">
      <w:start w:val="1"/>
      <w:numFmt w:val="bullet"/>
      <w:lvlText w:val=""/>
      <w:lvlJc w:val="left"/>
      <w:pPr>
        <w:ind w:left="6120" w:hanging="360"/>
      </w:pPr>
      <w:rPr>
        <w:rFonts w:ascii="Wingdings" w:hAnsi="Wingdings" w:hint="default"/>
      </w:rPr>
    </w:lvl>
  </w:abstractNum>
  <w:abstractNum w:abstractNumId="141">
    <w:nsid w:val="75F93583"/>
    <w:multiLevelType w:val="hybridMultilevel"/>
    <w:tmpl w:val="439AF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67419AD"/>
    <w:multiLevelType w:val="hybridMultilevel"/>
    <w:tmpl w:val="BC64EF1C"/>
    <w:lvl w:ilvl="0" w:tplc="0EBA393E">
      <w:start w:val="27"/>
      <w:numFmt w:val="arabicAlpha"/>
      <w:lvlText w:val="(%1)"/>
      <w:lvlJc w:val="left"/>
      <w:pPr>
        <w:ind w:left="720" w:hanging="360"/>
      </w:pPr>
      <w:rPr>
        <w:rFonts w:hint="default"/>
        <w:sz w:val="24"/>
      </w:rPr>
    </w:lvl>
    <w:lvl w:ilvl="1" w:tplc="08090019">
      <w:start w:val="1"/>
      <w:numFmt w:val="lowerLetter"/>
      <w:lvlText w:val="%2."/>
      <w:lvlJc w:val="left"/>
      <w:pPr>
        <w:ind w:left="1440" w:hanging="360"/>
      </w:pPr>
    </w:lvl>
    <w:lvl w:ilvl="2" w:tplc="0809001B">
      <w:start w:val="1"/>
      <w:numFmt w:val="decimal"/>
      <w:lvlText w:val="%3-"/>
      <w:lvlJc w:val="left"/>
      <w:pPr>
        <w:ind w:left="3435" w:hanging="1455"/>
      </w:pPr>
      <w:rPr>
        <w:rFonts w:hint="default"/>
        <w:sz w:val="2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69C0A2F"/>
    <w:multiLevelType w:val="hybridMultilevel"/>
    <w:tmpl w:val="1350688C"/>
    <w:lvl w:ilvl="0" w:tplc="04090001">
      <w:start w:val="1"/>
      <w:numFmt w:val="decimal"/>
      <w:lvlText w:val="%1-"/>
      <w:lvlJc w:val="left"/>
      <w:pPr>
        <w:ind w:left="1080" w:hanging="720"/>
      </w:pPr>
      <w:rPr>
        <w:rFonts w:hint="default"/>
        <w:b w:val="0"/>
        <w:bCs w:val="0"/>
        <w:i w:val="0"/>
        <w:iCs w:val="0"/>
      </w:rPr>
    </w:lvl>
    <w:lvl w:ilvl="1" w:tplc="04090003">
      <w:start w:val="1"/>
      <w:numFmt w:val="arabicAbjad"/>
      <w:lvlText w:val="(%2)"/>
      <w:lvlJc w:val="left"/>
      <w:pPr>
        <w:ind w:left="1440" w:hanging="360"/>
      </w:pPr>
      <w:rPr>
        <w:rFonts w:hint="default"/>
        <w:sz w:val="24"/>
      </w:rPr>
    </w:lvl>
    <w:lvl w:ilvl="2" w:tplc="04090005">
      <w:start w:val="1"/>
      <w:numFmt w:val="decimal"/>
      <w:lvlText w:val="(%3)"/>
      <w:lvlJc w:val="left"/>
      <w:pPr>
        <w:ind w:left="2160" w:hanging="180"/>
      </w:pPr>
      <w:rPr>
        <w:rFonts w:ascii="Times New Roman" w:eastAsia="YouYuan" w:hAnsi="Times New Roman" w:cs="Simplified Arabic"/>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nsid w:val="77304B28"/>
    <w:multiLevelType w:val="hybridMultilevel"/>
    <w:tmpl w:val="72129A72"/>
    <w:lvl w:ilvl="0" w:tplc="9A868C5A">
      <w:start w:val="15"/>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833C3196"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797147F4"/>
    <w:multiLevelType w:val="hybridMultilevel"/>
    <w:tmpl w:val="34B6727E"/>
    <w:lvl w:ilvl="0" w:tplc="A3E2928A">
      <w:start w:val="1"/>
      <w:numFmt w:val="decimal"/>
      <w:lvlText w:val="%1-"/>
      <w:lvlJc w:val="left"/>
      <w:pPr>
        <w:ind w:left="1436" w:hanging="585"/>
      </w:pPr>
      <w:rPr>
        <w:rFonts w:hint="default"/>
      </w:rPr>
    </w:lvl>
    <w:lvl w:ilvl="1" w:tplc="FC82B464" w:tentative="1">
      <w:start w:val="1"/>
      <w:numFmt w:val="lowerLetter"/>
      <w:lvlText w:val="%2."/>
      <w:lvlJc w:val="left"/>
      <w:pPr>
        <w:ind w:left="1931" w:hanging="360"/>
      </w:pPr>
    </w:lvl>
    <w:lvl w:ilvl="2" w:tplc="1B3071BC"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46">
    <w:nsid w:val="79F45326"/>
    <w:multiLevelType w:val="hybridMultilevel"/>
    <w:tmpl w:val="2412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A612BCC"/>
    <w:multiLevelType w:val="hybridMultilevel"/>
    <w:tmpl w:val="E1C01744"/>
    <w:lvl w:ilvl="0" w:tplc="3C3C5A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AD4640"/>
    <w:multiLevelType w:val="hybridMultilevel"/>
    <w:tmpl w:val="2F4CC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nsid w:val="7DFC10AF"/>
    <w:multiLevelType w:val="hybridMultilevel"/>
    <w:tmpl w:val="86B43DAE"/>
    <w:lvl w:ilvl="0" w:tplc="88E09AF2">
      <w:start w:val="1"/>
      <w:numFmt w:val="decimal"/>
      <w:lvlText w:val="%1-"/>
      <w:lvlJc w:val="left"/>
      <w:pPr>
        <w:ind w:left="1080" w:hanging="360"/>
      </w:pPr>
      <w:rPr>
        <w:rFonts w:ascii="Simplified Arabic" w:hAnsi="Simplified Arabic" w:cs="Simplified Arabic"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F907D83"/>
    <w:multiLevelType w:val="hybridMultilevel"/>
    <w:tmpl w:val="754A0F22"/>
    <w:lvl w:ilvl="0" w:tplc="7B446BCA">
      <w:start w:val="1"/>
      <w:numFmt w:val="arabicAbjad"/>
      <w:lvlText w:val="(%1)"/>
      <w:lvlJc w:val="left"/>
      <w:pPr>
        <w:ind w:left="720" w:hanging="360"/>
      </w:pPr>
      <w:rPr>
        <w:rFonts w:hint="default"/>
        <w:b w:val="0"/>
        <w:bCs w:val="0"/>
        <w:i/>
        <w:iCs w:val="0"/>
        <w:vanish w:val="0"/>
        <w:color w:val="auto"/>
        <w:sz w:val="24"/>
        <w:szCs w:val="26"/>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2"/>
  </w:num>
  <w:num w:numId="2">
    <w:abstractNumId w:val="89"/>
  </w:num>
  <w:num w:numId="3">
    <w:abstractNumId w:val="71"/>
  </w:num>
  <w:num w:numId="4">
    <w:abstractNumId w:val="18"/>
  </w:num>
  <w:num w:numId="5">
    <w:abstractNumId w:val="95"/>
  </w:num>
  <w:num w:numId="6">
    <w:abstractNumId w:val="115"/>
  </w:num>
  <w:num w:numId="7">
    <w:abstractNumId w:val="129"/>
  </w:num>
  <w:num w:numId="8">
    <w:abstractNumId w:val="9"/>
  </w:num>
  <w:num w:numId="9">
    <w:abstractNumId w:val="14"/>
  </w:num>
  <w:num w:numId="10">
    <w:abstractNumId w:val="147"/>
  </w:num>
  <w:num w:numId="11">
    <w:abstractNumId w:val="101"/>
  </w:num>
  <w:num w:numId="12">
    <w:abstractNumId w:val="69"/>
  </w:num>
  <w:num w:numId="13">
    <w:abstractNumId w:val="90"/>
  </w:num>
  <w:num w:numId="14">
    <w:abstractNumId w:val="15"/>
  </w:num>
  <w:num w:numId="15">
    <w:abstractNumId w:val="143"/>
  </w:num>
  <w:num w:numId="16">
    <w:abstractNumId w:val="86"/>
  </w:num>
  <w:num w:numId="17">
    <w:abstractNumId w:val="68"/>
  </w:num>
  <w:num w:numId="18">
    <w:abstractNumId w:val="36"/>
  </w:num>
  <w:num w:numId="19">
    <w:abstractNumId w:val="2"/>
  </w:num>
  <w:num w:numId="20">
    <w:abstractNumId w:val="38"/>
  </w:num>
  <w:num w:numId="21">
    <w:abstractNumId w:val="98"/>
  </w:num>
  <w:num w:numId="22">
    <w:abstractNumId w:val="72"/>
  </w:num>
  <w:num w:numId="23">
    <w:abstractNumId w:val="81"/>
  </w:num>
  <w:num w:numId="24">
    <w:abstractNumId w:val="51"/>
  </w:num>
  <w:num w:numId="25">
    <w:abstractNumId w:val="130"/>
  </w:num>
  <w:num w:numId="26">
    <w:abstractNumId w:val="114"/>
  </w:num>
  <w:num w:numId="27">
    <w:abstractNumId w:val="127"/>
  </w:num>
  <w:num w:numId="28">
    <w:abstractNumId w:val="58"/>
  </w:num>
  <w:num w:numId="29">
    <w:abstractNumId w:val="133"/>
  </w:num>
  <w:num w:numId="30">
    <w:abstractNumId w:val="108"/>
  </w:num>
  <w:num w:numId="31">
    <w:abstractNumId w:val="136"/>
  </w:num>
  <w:num w:numId="32">
    <w:abstractNumId w:val="131"/>
  </w:num>
  <w:num w:numId="33">
    <w:abstractNumId w:val="107"/>
  </w:num>
  <w:num w:numId="34">
    <w:abstractNumId w:val="60"/>
  </w:num>
  <w:num w:numId="35">
    <w:abstractNumId w:val="13"/>
  </w:num>
  <w:num w:numId="36">
    <w:abstractNumId w:val="96"/>
  </w:num>
  <w:num w:numId="37">
    <w:abstractNumId w:val="22"/>
  </w:num>
  <w:num w:numId="38">
    <w:abstractNumId w:val="7"/>
  </w:num>
  <w:num w:numId="39">
    <w:abstractNumId w:val="92"/>
  </w:num>
  <w:num w:numId="40">
    <w:abstractNumId w:val="99"/>
  </w:num>
  <w:num w:numId="41">
    <w:abstractNumId w:val="83"/>
  </w:num>
  <w:num w:numId="42">
    <w:abstractNumId w:val="117"/>
  </w:num>
  <w:num w:numId="43">
    <w:abstractNumId w:val="3"/>
  </w:num>
  <w:num w:numId="44">
    <w:abstractNumId w:val="27"/>
  </w:num>
  <w:num w:numId="45">
    <w:abstractNumId w:val="62"/>
  </w:num>
  <w:num w:numId="46">
    <w:abstractNumId w:val="122"/>
  </w:num>
  <w:num w:numId="47">
    <w:abstractNumId w:val="23"/>
  </w:num>
  <w:num w:numId="48">
    <w:abstractNumId w:val="100"/>
  </w:num>
  <w:num w:numId="49">
    <w:abstractNumId w:val="142"/>
  </w:num>
  <w:num w:numId="50">
    <w:abstractNumId w:val="42"/>
  </w:num>
  <w:num w:numId="51">
    <w:abstractNumId w:val="134"/>
  </w:num>
  <w:num w:numId="52">
    <w:abstractNumId w:val="103"/>
  </w:num>
  <w:num w:numId="53">
    <w:abstractNumId w:val="121"/>
  </w:num>
  <w:num w:numId="54">
    <w:abstractNumId w:val="113"/>
  </w:num>
  <w:num w:numId="55">
    <w:abstractNumId w:val="11"/>
  </w:num>
  <w:num w:numId="56">
    <w:abstractNumId w:val="49"/>
  </w:num>
  <w:num w:numId="57">
    <w:abstractNumId w:val="85"/>
  </w:num>
  <w:num w:numId="58">
    <w:abstractNumId w:val="45"/>
  </w:num>
  <w:num w:numId="59">
    <w:abstractNumId w:val="0"/>
  </w:num>
  <w:num w:numId="60">
    <w:abstractNumId w:val="139"/>
  </w:num>
  <w:num w:numId="61">
    <w:abstractNumId w:val="77"/>
  </w:num>
  <w:num w:numId="62">
    <w:abstractNumId w:val="82"/>
  </w:num>
  <w:num w:numId="63">
    <w:abstractNumId w:val="66"/>
  </w:num>
  <w:num w:numId="64">
    <w:abstractNumId w:val="28"/>
  </w:num>
  <w:num w:numId="65">
    <w:abstractNumId w:val="74"/>
  </w:num>
  <w:num w:numId="66">
    <w:abstractNumId w:val="59"/>
  </w:num>
  <w:num w:numId="67">
    <w:abstractNumId w:val="67"/>
  </w:num>
  <w:num w:numId="68">
    <w:abstractNumId w:val="55"/>
  </w:num>
  <w:num w:numId="69">
    <w:abstractNumId w:val="145"/>
  </w:num>
  <w:num w:numId="70">
    <w:abstractNumId w:val="63"/>
  </w:num>
  <w:num w:numId="71">
    <w:abstractNumId w:val="80"/>
  </w:num>
  <w:num w:numId="72">
    <w:abstractNumId w:val="57"/>
  </w:num>
  <w:num w:numId="73">
    <w:abstractNumId w:val="126"/>
  </w:num>
  <w:num w:numId="74">
    <w:abstractNumId w:val="128"/>
  </w:num>
  <w:num w:numId="75">
    <w:abstractNumId w:val="6"/>
  </w:num>
  <w:num w:numId="76">
    <w:abstractNumId w:val="149"/>
  </w:num>
  <w:num w:numId="77">
    <w:abstractNumId w:val="150"/>
  </w:num>
  <w:num w:numId="78">
    <w:abstractNumId w:val="5"/>
  </w:num>
  <w:num w:numId="79">
    <w:abstractNumId w:val="135"/>
  </w:num>
  <w:num w:numId="80">
    <w:abstractNumId w:val="109"/>
  </w:num>
  <w:num w:numId="81">
    <w:abstractNumId w:val="46"/>
  </w:num>
  <w:num w:numId="82">
    <w:abstractNumId w:val="119"/>
  </w:num>
  <w:num w:numId="83">
    <w:abstractNumId w:val="44"/>
  </w:num>
  <w:num w:numId="84">
    <w:abstractNumId w:val="116"/>
  </w:num>
  <w:num w:numId="85">
    <w:abstractNumId w:val="97"/>
  </w:num>
  <w:num w:numId="86">
    <w:abstractNumId w:val="39"/>
  </w:num>
  <w:num w:numId="87">
    <w:abstractNumId w:val="84"/>
  </w:num>
  <w:num w:numId="88">
    <w:abstractNumId w:val="10"/>
  </w:num>
  <w:num w:numId="89">
    <w:abstractNumId w:val="144"/>
  </w:num>
  <w:num w:numId="90">
    <w:abstractNumId w:val="47"/>
  </w:num>
  <w:num w:numId="91">
    <w:abstractNumId w:val="76"/>
  </w:num>
  <w:num w:numId="92">
    <w:abstractNumId w:val="25"/>
  </w:num>
  <w:num w:numId="93">
    <w:abstractNumId w:val="110"/>
  </w:num>
  <w:num w:numId="94">
    <w:abstractNumId w:val="87"/>
  </w:num>
  <w:num w:numId="95">
    <w:abstractNumId w:val="26"/>
  </w:num>
  <w:num w:numId="96">
    <w:abstractNumId w:val="32"/>
  </w:num>
  <w:num w:numId="97">
    <w:abstractNumId w:val="50"/>
  </w:num>
  <w:num w:numId="98">
    <w:abstractNumId w:val="21"/>
  </w:num>
  <w:num w:numId="99">
    <w:abstractNumId w:val="88"/>
  </w:num>
  <w:num w:numId="100">
    <w:abstractNumId w:val="106"/>
  </w:num>
  <w:num w:numId="101">
    <w:abstractNumId w:val="4"/>
  </w:num>
  <w:num w:numId="102">
    <w:abstractNumId w:val="40"/>
  </w:num>
  <w:num w:numId="103">
    <w:abstractNumId w:val="148"/>
  </w:num>
  <w:num w:numId="104">
    <w:abstractNumId w:val="30"/>
  </w:num>
  <w:num w:numId="105">
    <w:abstractNumId w:val="16"/>
  </w:num>
  <w:num w:numId="106">
    <w:abstractNumId w:val="52"/>
  </w:num>
  <w:num w:numId="107">
    <w:abstractNumId w:val="102"/>
  </w:num>
  <w:num w:numId="108">
    <w:abstractNumId w:val="65"/>
  </w:num>
  <w:num w:numId="109">
    <w:abstractNumId w:val="37"/>
  </w:num>
  <w:num w:numId="110">
    <w:abstractNumId w:val="75"/>
  </w:num>
  <w:num w:numId="111">
    <w:abstractNumId w:val="41"/>
  </w:num>
  <w:num w:numId="112">
    <w:abstractNumId w:val="61"/>
  </w:num>
  <w:num w:numId="113">
    <w:abstractNumId w:val="43"/>
  </w:num>
  <w:num w:numId="114">
    <w:abstractNumId w:val="140"/>
  </w:num>
  <w:num w:numId="115">
    <w:abstractNumId w:val="105"/>
  </w:num>
  <w:num w:numId="116">
    <w:abstractNumId w:val="48"/>
  </w:num>
  <w:num w:numId="117">
    <w:abstractNumId w:val="120"/>
  </w:num>
  <w:num w:numId="118">
    <w:abstractNumId w:val="24"/>
  </w:num>
  <w:num w:numId="119">
    <w:abstractNumId w:val="138"/>
  </w:num>
  <w:num w:numId="120">
    <w:abstractNumId w:val="79"/>
  </w:num>
  <w:num w:numId="121">
    <w:abstractNumId w:val="91"/>
  </w:num>
  <w:num w:numId="122">
    <w:abstractNumId w:val="35"/>
  </w:num>
  <w:num w:numId="123">
    <w:abstractNumId w:val="123"/>
  </w:num>
  <w:num w:numId="124">
    <w:abstractNumId w:val="33"/>
  </w:num>
  <w:num w:numId="125">
    <w:abstractNumId w:val="141"/>
  </w:num>
  <w:num w:numId="126">
    <w:abstractNumId w:val="104"/>
  </w:num>
  <w:num w:numId="127">
    <w:abstractNumId w:val="19"/>
  </w:num>
  <w:num w:numId="128">
    <w:abstractNumId w:val="125"/>
  </w:num>
  <w:num w:numId="129">
    <w:abstractNumId w:val="94"/>
  </w:num>
  <w:num w:numId="130">
    <w:abstractNumId w:val="64"/>
  </w:num>
  <w:num w:numId="131">
    <w:abstractNumId w:val="146"/>
  </w:num>
  <w:num w:numId="132">
    <w:abstractNumId w:val="8"/>
  </w:num>
  <w:num w:numId="133">
    <w:abstractNumId w:val="70"/>
  </w:num>
  <w:num w:numId="134">
    <w:abstractNumId w:val="34"/>
  </w:num>
  <w:num w:numId="135">
    <w:abstractNumId w:val="137"/>
  </w:num>
  <w:num w:numId="136">
    <w:abstractNumId w:val="73"/>
  </w:num>
  <w:num w:numId="137">
    <w:abstractNumId w:val="111"/>
  </w:num>
  <w:num w:numId="138">
    <w:abstractNumId w:val="53"/>
  </w:num>
  <w:num w:numId="139">
    <w:abstractNumId w:val="1"/>
  </w:num>
  <w:num w:numId="140">
    <w:abstractNumId w:val="29"/>
  </w:num>
  <w:num w:numId="141">
    <w:abstractNumId w:val="124"/>
  </w:num>
  <w:num w:numId="142">
    <w:abstractNumId w:val="20"/>
  </w:num>
  <w:num w:numId="143">
    <w:abstractNumId w:val="118"/>
  </w:num>
  <w:num w:numId="144">
    <w:abstractNumId w:val="12"/>
  </w:num>
  <w:num w:numId="145">
    <w:abstractNumId w:val="56"/>
  </w:num>
  <w:num w:numId="146">
    <w:abstractNumId w:val="17"/>
  </w:num>
  <w:num w:numId="147">
    <w:abstractNumId w:val="78"/>
  </w:num>
  <w:num w:numId="148">
    <w:abstractNumId w:val="93"/>
  </w:num>
  <w:num w:numId="149">
    <w:abstractNumId w:val="31"/>
  </w:num>
  <w:num w:numId="150">
    <w:abstractNumId w:val="112"/>
  </w:num>
  <w:num w:numId="151">
    <w:abstractNumId w:val="54"/>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hideGrammaticalErrors/>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fr-CA" w:vendorID="64" w:dllVersion="131078" w:nlCheck="1" w:checkStyle="1"/>
  <w:activeWritingStyle w:appName="MSWord" w:lang="ar-LY"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stylePaneFormatFilter w:val="3F01"/>
  <w:defaultTabStop w:val="720"/>
  <w:evenAndOddHeaders/>
  <w:noPunctuationKerning/>
  <w:characterSpacingControl w:val="doNotCompress"/>
  <w:hdrShapeDefaults>
    <o:shapedefaults v:ext="edit" spidmax="56321"/>
  </w:hdrShapeDefaults>
  <w:footnotePr>
    <w:footnote w:id="-1"/>
    <w:footnote w:id="0"/>
  </w:footnotePr>
  <w:endnotePr>
    <w:endnote w:id="-1"/>
    <w:endnote w:id="0"/>
  </w:endnotePr>
  <w:compat>
    <w:applyBreakingRules/>
  </w:compat>
  <w:rsids>
    <w:rsidRoot w:val="00C43324"/>
    <w:rsid w:val="00000127"/>
    <w:rsid w:val="00000928"/>
    <w:rsid w:val="00001033"/>
    <w:rsid w:val="00001335"/>
    <w:rsid w:val="00001FD1"/>
    <w:rsid w:val="000039B6"/>
    <w:rsid w:val="000047DC"/>
    <w:rsid w:val="00004E02"/>
    <w:rsid w:val="00004F1B"/>
    <w:rsid w:val="000056A7"/>
    <w:rsid w:val="00005C6B"/>
    <w:rsid w:val="00006287"/>
    <w:rsid w:val="0000629F"/>
    <w:rsid w:val="00006B3C"/>
    <w:rsid w:val="00007338"/>
    <w:rsid w:val="0000770F"/>
    <w:rsid w:val="00007E58"/>
    <w:rsid w:val="00010174"/>
    <w:rsid w:val="00010F2A"/>
    <w:rsid w:val="000144D3"/>
    <w:rsid w:val="00014C62"/>
    <w:rsid w:val="00014DC6"/>
    <w:rsid w:val="00015DC4"/>
    <w:rsid w:val="00016B4E"/>
    <w:rsid w:val="00017621"/>
    <w:rsid w:val="00017D1A"/>
    <w:rsid w:val="000213DE"/>
    <w:rsid w:val="000217A3"/>
    <w:rsid w:val="00022D4B"/>
    <w:rsid w:val="00022FBA"/>
    <w:rsid w:val="00023967"/>
    <w:rsid w:val="00023979"/>
    <w:rsid w:val="00024250"/>
    <w:rsid w:val="0002474B"/>
    <w:rsid w:val="0002523A"/>
    <w:rsid w:val="00025E2A"/>
    <w:rsid w:val="00027140"/>
    <w:rsid w:val="000272C6"/>
    <w:rsid w:val="00027E9F"/>
    <w:rsid w:val="00027F72"/>
    <w:rsid w:val="000300D1"/>
    <w:rsid w:val="00030485"/>
    <w:rsid w:val="00030C8C"/>
    <w:rsid w:val="0003135B"/>
    <w:rsid w:val="00031468"/>
    <w:rsid w:val="00031FBE"/>
    <w:rsid w:val="00032190"/>
    <w:rsid w:val="000326E4"/>
    <w:rsid w:val="00033F9A"/>
    <w:rsid w:val="00034043"/>
    <w:rsid w:val="00034910"/>
    <w:rsid w:val="000368A3"/>
    <w:rsid w:val="00036F64"/>
    <w:rsid w:val="00040496"/>
    <w:rsid w:val="000408ED"/>
    <w:rsid w:val="00040FA5"/>
    <w:rsid w:val="00041299"/>
    <w:rsid w:val="00041FD9"/>
    <w:rsid w:val="00043C85"/>
    <w:rsid w:val="00043D1B"/>
    <w:rsid w:val="0004425E"/>
    <w:rsid w:val="0004487E"/>
    <w:rsid w:val="00044AAF"/>
    <w:rsid w:val="00044D69"/>
    <w:rsid w:val="00044EB4"/>
    <w:rsid w:val="0004504F"/>
    <w:rsid w:val="00045E3C"/>
    <w:rsid w:val="00046170"/>
    <w:rsid w:val="00046226"/>
    <w:rsid w:val="00047450"/>
    <w:rsid w:val="000518A5"/>
    <w:rsid w:val="000518AA"/>
    <w:rsid w:val="00051A6E"/>
    <w:rsid w:val="00052817"/>
    <w:rsid w:val="00053725"/>
    <w:rsid w:val="0005429D"/>
    <w:rsid w:val="000543C4"/>
    <w:rsid w:val="0005468E"/>
    <w:rsid w:val="000555C6"/>
    <w:rsid w:val="00056818"/>
    <w:rsid w:val="000569D7"/>
    <w:rsid w:val="00056B97"/>
    <w:rsid w:val="00056D15"/>
    <w:rsid w:val="000579C2"/>
    <w:rsid w:val="00057C94"/>
    <w:rsid w:val="00060817"/>
    <w:rsid w:val="00060B86"/>
    <w:rsid w:val="00060E6E"/>
    <w:rsid w:val="0006113B"/>
    <w:rsid w:val="00061240"/>
    <w:rsid w:val="00061387"/>
    <w:rsid w:val="0006166E"/>
    <w:rsid w:val="0006179B"/>
    <w:rsid w:val="000617F5"/>
    <w:rsid w:val="00061A70"/>
    <w:rsid w:val="00061F32"/>
    <w:rsid w:val="00062717"/>
    <w:rsid w:val="00062CBF"/>
    <w:rsid w:val="0006356C"/>
    <w:rsid w:val="00063D8B"/>
    <w:rsid w:val="00064142"/>
    <w:rsid w:val="00064701"/>
    <w:rsid w:val="000647C5"/>
    <w:rsid w:val="00065187"/>
    <w:rsid w:val="000659D4"/>
    <w:rsid w:val="00065D74"/>
    <w:rsid w:val="00065EAD"/>
    <w:rsid w:val="00066168"/>
    <w:rsid w:val="00066829"/>
    <w:rsid w:val="000673FE"/>
    <w:rsid w:val="00070EF1"/>
    <w:rsid w:val="00071AA3"/>
    <w:rsid w:val="00072556"/>
    <w:rsid w:val="000730AE"/>
    <w:rsid w:val="00073E55"/>
    <w:rsid w:val="00074243"/>
    <w:rsid w:val="0007477C"/>
    <w:rsid w:val="000748F0"/>
    <w:rsid w:val="00074A52"/>
    <w:rsid w:val="00075A8A"/>
    <w:rsid w:val="000770F3"/>
    <w:rsid w:val="000777DF"/>
    <w:rsid w:val="00077DAB"/>
    <w:rsid w:val="0008009F"/>
    <w:rsid w:val="00080B30"/>
    <w:rsid w:val="00081999"/>
    <w:rsid w:val="000823B9"/>
    <w:rsid w:val="000834BC"/>
    <w:rsid w:val="000839A2"/>
    <w:rsid w:val="00084BB4"/>
    <w:rsid w:val="00084BC8"/>
    <w:rsid w:val="00085341"/>
    <w:rsid w:val="000867EE"/>
    <w:rsid w:val="00086ADE"/>
    <w:rsid w:val="0008758D"/>
    <w:rsid w:val="00087C19"/>
    <w:rsid w:val="000904A8"/>
    <w:rsid w:val="000916BE"/>
    <w:rsid w:val="00091948"/>
    <w:rsid w:val="00092667"/>
    <w:rsid w:val="0009290C"/>
    <w:rsid w:val="000932E9"/>
    <w:rsid w:val="00093760"/>
    <w:rsid w:val="00093B35"/>
    <w:rsid w:val="00093F2D"/>
    <w:rsid w:val="00094391"/>
    <w:rsid w:val="00094717"/>
    <w:rsid w:val="00094D7F"/>
    <w:rsid w:val="00095854"/>
    <w:rsid w:val="00096F83"/>
    <w:rsid w:val="00097021"/>
    <w:rsid w:val="00097777"/>
    <w:rsid w:val="000A043F"/>
    <w:rsid w:val="000A05B7"/>
    <w:rsid w:val="000A0836"/>
    <w:rsid w:val="000A0B70"/>
    <w:rsid w:val="000A10E4"/>
    <w:rsid w:val="000A1281"/>
    <w:rsid w:val="000A151F"/>
    <w:rsid w:val="000A1661"/>
    <w:rsid w:val="000A1E30"/>
    <w:rsid w:val="000A2405"/>
    <w:rsid w:val="000A28EA"/>
    <w:rsid w:val="000A52DA"/>
    <w:rsid w:val="000A5398"/>
    <w:rsid w:val="000A5B08"/>
    <w:rsid w:val="000A5D2C"/>
    <w:rsid w:val="000A5DEA"/>
    <w:rsid w:val="000A69D9"/>
    <w:rsid w:val="000A776F"/>
    <w:rsid w:val="000A792D"/>
    <w:rsid w:val="000B013A"/>
    <w:rsid w:val="000B0213"/>
    <w:rsid w:val="000B100E"/>
    <w:rsid w:val="000B136F"/>
    <w:rsid w:val="000B1E61"/>
    <w:rsid w:val="000B1E95"/>
    <w:rsid w:val="000B2606"/>
    <w:rsid w:val="000B3249"/>
    <w:rsid w:val="000B3997"/>
    <w:rsid w:val="000B3F2B"/>
    <w:rsid w:val="000B408C"/>
    <w:rsid w:val="000B4102"/>
    <w:rsid w:val="000B4A2B"/>
    <w:rsid w:val="000B4E04"/>
    <w:rsid w:val="000B5A15"/>
    <w:rsid w:val="000B5A66"/>
    <w:rsid w:val="000B5A77"/>
    <w:rsid w:val="000B61A8"/>
    <w:rsid w:val="000B6BBF"/>
    <w:rsid w:val="000B731D"/>
    <w:rsid w:val="000B737A"/>
    <w:rsid w:val="000B7D90"/>
    <w:rsid w:val="000C1221"/>
    <w:rsid w:val="000C1320"/>
    <w:rsid w:val="000C14D0"/>
    <w:rsid w:val="000C1FF3"/>
    <w:rsid w:val="000C2493"/>
    <w:rsid w:val="000C24A5"/>
    <w:rsid w:val="000C2729"/>
    <w:rsid w:val="000C2D35"/>
    <w:rsid w:val="000C2D6E"/>
    <w:rsid w:val="000C381A"/>
    <w:rsid w:val="000C3D18"/>
    <w:rsid w:val="000C4896"/>
    <w:rsid w:val="000C48B3"/>
    <w:rsid w:val="000C49C5"/>
    <w:rsid w:val="000C5662"/>
    <w:rsid w:val="000C613F"/>
    <w:rsid w:val="000C66C6"/>
    <w:rsid w:val="000C697A"/>
    <w:rsid w:val="000C6F97"/>
    <w:rsid w:val="000D09E6"/>
    <w:rsid w:val="000D0AAE"/>
    <w:rsid w:val="000D0AC3"/>
    <w:rsid w:val="000D0E3C"/>
    <w:rsid w:val="000D18D7"/>
    <w:rsid w:val="000D19AB"/>
    <w:rsid w:val="000D1FD4"/>
    <w:rsid w:val="000D2896"/>
    <w:rsid w:val="000D481D"/>
    <w:rsid w:val="000D48C6"/>
    <w:rsid w:val="000D4B21"/>
    <w:rsid w:val="000D5860"/>
    <w:rsid w:val="000D6011"/>
    <w:rsid w:val="000D707B"/>
    <w:rsid w:val="000D7524"/>
    <w:rsid w:val="000E0176"/>
    <w:rsid w:val="000E01B6"/>
    <w:rsid w:val="000E01D6"/>
    <w:rsid w:val="000E1692"/>
    <w:rsid w:val="000E1BBD"/>
    <w:rsid w:val="000E1BD9"/>
    <w:rsid w:val="000E272A"/>
    <w:rsid w:val="000E2BE2"/>
    <w:rsid w:val="000E33F7"/>
    <w:rsid w:val="000E3556"/>
    <w:rsid w:val="000E3599"/>
    <w:rsid w:val="000E35EF"/>
    <w:rsid w:val="000E409E"/>
    <w:rsid w:val="000E49AD"/>
    <w:rsid w:val="000E4F3B"/>
    <w:rsid w:val="000E4FE4"/>
    <w:rsid w:val="000E4FE5"/>
    <w:rsid w:val="000E5105"/>
    <w:rsid w:val="000E5220"/>
    <w:rsid w:val="000E52C8"/>
    <w:rsid w:val="000E556E"/>
    <w:rsid w:val="000E581E"/>
    <w:rsid w:val="000E5C64"/>
    <w:rsid w:val="000E6574"/>
    <w:rsid w:val="000F0C9E"/>
    <w:rsid w:val="000F18DF"/>
    <w:rsid w:val="000F22B2"/>
    <w:rsid w:val="000F235F"/>
    <w:rsid w:val="000F29B8"/>
    <w:rsid w:val="000F3E31"/>
    <w:rsid w:val="000F4052"/>
    <w:rsid w:val="000F5748"/>
    <w:rsid w:val="000F58C1"/>
    <w:rsid w:val="000F5B3D"/>
    <w:rsid w:val="000F769F"/>
    <w:rsid w:val="000F7928"/>
    <w:rsid w:val="000F7C9C"/>
    <w:rsid w:val="001000A9"/>
    <w:rsid w:val="00101DD4"/>
    <w:rsid w:val="00102599"/>
    <w:rsid w:val="00103222"/>
    <w:rsid w:val="00103AE0"/>
    <w:rsid w:val="00103F88"/>
    <w:rsid w:val="0010432E"/>
    <w:rsid w:val="001044C2"/>
    <w:rsid w:val="00104B3B"/>
    <w:rsid w:val="001060E0"/>
    <w:rsid w:val="001061E2"/>
    <w:rsid w:val="00106FA6"/>
    <w:rsid w:val="0010717E"/>
    <w:rsid w:val="0010734B"/>
    <w:rsid w:val="00107AB9"/>
    <w:rsid w:val="00107C58"/>
    <w:rsid w:val="00107E92"/>
    <w:rsid w:val="00110E2E"/>
    <w:rsid w:val="0011130E"/>
    <w:rsid w:val="00111693"/>
    <w:rsid w:val="00111839"/>
    <w:rsid w:val="00111A86"/>
    <w:rsid w:val="0011229F"/>
    <w:rsid w:val="00112A0C"/>
    <w:rsid w:val="00112AC9"/>
    <w:rsid w:val="00112BBB"/>
    <w:rsid w:val="00113131"/>
    <w:rsid w:val="00113889"/>
    <w:rsid w:val="00113C4A"/>
    <w:rsid w:val="00114272"/>
    <w:rsid w:val="0011477C"/>
    <w:rsid w:val="00115994"/>
    <w:rsid w:val="00117321"/>
    <w:rsid w:val="0011791F"/>
    <w:rsid w:val="00117A4B"/>
    <w:rsid w:val="00117DE2"/>
    <w:rsid w:val="0012044D"/>
    <w:rsid w:val="001207B2"/>
    <w:rsid w:val="0012117C"/>
    <w:rsid w:val="00121E3A"/>
    <w:rsid w:val="00122BDE"/>
    <w:rsid w:val="001238C7"/>
    <w:rsid w:val="001243B6"/>
    <w:rsid w:val="00126DCB"/>
    <w:rsid w:val="001278CF"/>
    <w:rsid w:val="001306C4"/>
    <w:rsid w:val="00130D85"/>
    <w:rsid w:val="00131C2E"/>
    <w:rsid w:val="00132236"/>
    <w:rsid w:val="001333F6"/>
    <w:rsid w:val="0013397B"/>
    <w:rsid w:val="00133CE0"/>
    <w:rsid w:val="001344FD"/>
    <w:rsid w:val="0013470C"/>
    <w:rsid w:val="001359E9"/>
    <w:rsid w:val="00135B5E"/>
    <w:rsid w:val="00135F22"/>
    <w:rsid w:val="00136622"/>
    <w:rsid w:val="00136BDC"/>
    <w:rsid w:val="001376BF"/>
    <w:rsid w:val="00137D75"/>
    <w:rsid w:val="0014028D"/>
    <w:rsid w:val="00140467"/>
    <w:rsid w:val="00141238"/>
    <w:rsid w:val="0014128C"/>
    <w:rsid w:val="00141B5B"/>
    <w:rsid w:val="00141DCF"/>
    <w:rsid w:val="00142099"/>
    <w:rsid w:val="0014267A"/>
    <w:rsid w:val="00142CE1"/>
    <w:rsid w:val="00143020"/>
    <w:rsid w:val="00143185"/>
    <w:rsid w:val="001433E8"/>
    <w:rsid w:val="001438E4"/>
    <w:rsid w:val="00144281"/>
    <w:rsid w:val="00144511"/>
    <w:rsid w:val="001445C7"/>
    <w:rsid w:val="00144673"/>
    <w:rsid w:val="0014606A"/>
    <w:rsid w:val="00146A70"/>
    <w:rsid w:val="00146C0B"/>
    <w:rsid w:val="0014701D"/>
    <w:rsid w:val="00147CF9"/>
    <w:rsid w:val="0015389D"/>
    <w:rsid w:val="00153A4B"/>
    <w:rsid w:val="00153D62"/>
    <w:rsid w:val="00153EB0"/>
    <w:rsid w:val="001545AB"/>
    <w:rsid w:val="0015460F"/>
    <w:rsid w:val="00154685"/>
    <w:rsid w:val="00155463"/>
    <w:rsid w:val="00160B87"/>
    <w:rsid w:val="00161C76"/>
    <w:rsid w:val="00162099"/>
    <w:rsid w:val="001628BD"/>
    <w:rsid w:val="001635E6"/>
    <w:rsid w:val="00163E06"/>
    <w:rsid w:val="00163EB7"/>
    <w:rsid w:val="0016566C"/>
    <w:rsid w:val="00165F9D"/>
    <w:rsid w:val="0016621D"/>
    <w:rsid w:val="001676FE"/>
    <w:rsid w:val="0017009A"/>
    <w:rsid w:val="00171A91"/>
    <w:rsid w:val="00171CC9"/>
    <w:rsid w:val="00171FB1"/>
    <w:rsid w:val="001728CF"/>
    <w:rsid w:val="00172EF1"/>
    <w:rsid w:val="00173FC2"/>
    <w:rsid w:val="00176BCC"/>
    <w:rsid w:val="0017757C"/>
    <w:rsid w:val="00177826"/>
    <w:rsid w:val="0018031C"/>
    <w:rsid w:val="00181A29"/>
    <w:rsid w:val="00181C37"/>
    <w:rsid w:val="00182117"/>
    <w:rsid w:val="00182F6B"/>
    <w:rsid w:val="00183A60"/>
    <w:rsid w:val="00183B25"/>
    <w:rsid w:val="00184104"/>
    <w:rsid w:val="001842C5"/>
    <w:rsid w:val="0018508B"/>
    <w:rsid w:val="00185827"/>
    <w:rsid w:val="00185DC3"/>
    <w:rsid w:val="0018641B"/>
    <w:rsid w:val="00186890"/>
    <w:rsid w:val="00187013"/>
    <w:rsid w:val="001904F0"/>
    <w:rsid w:val="001905D4"/>
    <w:rsid w:val="001910DD"/>
    <w:rsid w:val="001910F3"/>
    <w:rsid w:val="0019279D"/>
    <w:rsid w:val="00192C17"/>
    <w:rsid w:val="00192D8E"/>
    <w:rsid w:val="0019349C"/>
    <w:rsid w:val="00194303"/>
    <w:rsid w:val="001948CB"/>
    <w:rsid w:val="00194B47"/>
    <w:rsid w:val="00195913"/>
    <w:rsid w:val="001964E7"/>
    <w:rsid w:val="00197CD2"/>
    <w:rsid w:val="001A0740"/>
    <w:rsid w:val="001A0BB5"/>
    <w:rsid w:val="001A0EF1"/>
    <w:rsid w:val="001A1396"/>
    <w:rsid w:val="001A2111"/>
    <w:rsid w:val="001A3186"/>
    <w:rsid w:val="001A3254"/>
    <w:rsid w:val="001A46DB"/>
    <w:rsid w:val="001A4A2D"/>
    <w:rsid w:val="001A54D5"/>
    <w:rsid w:val="001A5503"/>
    <w:rsid w:val="001A7344"/>
    <w:rsid w:val="001A787A"/>
    <w:rsid w:val="001A79A3"/>
    <w:rsid w:val="001B036B"/>
    <w:rsid w:val="001B1D38"/>
    <w:rsid w:val="001B2191"/>
    <w:rsid w:val="001B2595"/>
    <w:rsid w:val="001B30F6"/>
    <w:rsid w:val="001B31A5"/>
    <w:rsid w:val="001B3654"/>
    <w:rsid w:val="001B3784"/>
    <w:rsid w:val="001B404D"/>
    <w:rsid w:val="001B4262"/>
    <w:rsid w:val="001B4E40"/>
    <w:rsid w:val="001B6250"/>
    <w:rsid w:val="001B6F23"/>
    <w:rsid w:val="001B7F92"/>
    <w:rsid w:val="001C08DD"/>
    <w:rsid w:val="001C0AA6"/>
    <w:rsid w:val="001C13AC"/>
    <w:rsid w:val="001C17FA"/>
    <w:rsid w:val="001C1C1D"/>
    <w:rsid w:val="001C200E"/>
    <w:rsid w:val="001C2717"/>
    <w:rsid w:val="001C44E3"/>
    <w:rsid w:val="001C52BF"/>
    <w:rsid w:val="001C5805"/>
    <w:rsid w:val="001C597D"/>
    <w:rsid w:val="001C5AEE"/>
    <w:rsid w:val="001C6CFD"/>
    <w:rsid w:val="001C7861"/>
    <w:rsid w:val="001C7BD2"/>
    <w:rsid w:val="001C7F36"/>
    <w:rsid w:val="001D0DF6"/>
    <w:rsid w:val="001D3924"/>
    <w:rsid w:val="001D45C6"/>
    <w:rsid w:val="001D5549"/>
    <w:rsid w:val="001D6114"/>
    <w:rsid w:val="001D61EA"/>
    <w:rsid w:val="001D6EAC"/>
    <w:rsid w:val="001D7ADB"/>
    <w:rsid w:val="001E1B00"/>
    <w:rsid w:val="001E3A23"/>
    <w:rsid w:val="001E3CF2"/>
    <w:rsid w:val="001E3DC9"/>
    <w:rsid w:val="001E4163"/>
    <w:rsid w:val="001E6145"/>
    <w:rsid w:val="001E6645"/>
    <w:rsid w:val="001E6E2F"/>
    <w:rsid w:val="001E720C"/>
    <w:rsid w:val="001E755B"/>
    <w:rsid w:val="001E75AC"/>
    <w:rsid w:val="001F05BB"/>
    <w:rsid w:val="001F116D"/>
    <w:rsid w:val="001F3024"/>
    <w:rsid w:val="001F3917"/>
    <w:rsid w:val="001F3B35"/>
    <w:rsid w:val="001F550E"/>
    <w:rsid w:val="001F6492"/>
    <w:rsid w:val="001F655A"/>
    <w:rsid w:val="001F7070"/>
    <w:rsid w:val="001F70BC"/>
    <w:rsid w:val="001F7699"/>
    <w:rsid w:val="001F7AC7"/>
    <w:rsid w:val="001F7C5B"/>
    <w:rsid w:val="001F7E62"/>
    <w:rsid w:val="00200285"/>
    <w:rsid w:val="002008DD"/>
    <w:rsid w:val="00200B4B"/>
    <w:rsid w:val="002018C7"/>
    <w:rsid w:val="00202230"/>
    <w:rsid w:val="0020291E"/>
    <w:rsid w:val="00202A7D"/>
    <w:rsid w:val="0020597A"/>
    <w:rsid w:val="0020663F"/>
    <w:rsid w:val="0020679B"/>
    <w:rsid w:val="00206C65"/>
    <w:rsid w:val="002073C7"/>
    <w:rsid w:val="0020757C"/>
    <w:rsid w:val="00207B78"/>
    <w:rsid w:val="00212288"/>
    <w:rsid w:val="00213677"/>
    <w:rsid w:val="00213DF0"/>
    <w:rsid w:val="00214074"/>
    <w:rsid w:val="00215B52"/>
    <w:rsid w:val="00215CDC"/>
    <w:rsid w:val="00216892"/>
    <w:rsid w:val="00216CC5"/>
    <w:rsid w:val="00216D4D"/>
    <w:rsid w:val="00217152"/>
    <w:rsid w:val="0021743C"/>
    <w:rsid w:val="0022077F"/>
    <w:rsid w:val="002207FF"/>
    <w:rsid w:val="0022129C"/>
    <w:rsid w:val="002214C4"/>
    <w:rsid w:val="00221F29"/>
    <w:rsid w:val="002224DB"/>
    <w:rsid w:val="00222D10"/>
    <w:rsid w:val="002237BC"/>
    <w:rsid w:val="00224D4B"/>
    <w:rsid w:val="00224E4C"/>
    <w:rsid w:val="00225000"/>
    <w:rsid w:val="0022666F"/>
    <w:rsid w:val="002273B3"/>
    <w:rsid w:val="00227E29"/>
    <w:rsid w:val="00230B45"/>
    <w:rsid w:val="002328A5"/>
    <w:rsid w:val="00232DEC"/>
    <w:rsid w:val="002366DF"/>
    <w:rsid w:val="0024021E"/>
    <w:rsid w:val="0024076D"/>
    <w:rsid w:val="00240788"/>
    <w:rsid w:val="00241753"/>
    <w:rsid w:val="00241D35"/>
    <w:rsid w:val="002425E8"/>
    <w:rsid w:val="002445A8"/>
    <w:rsid w:val="00244971"/>
    <w:rsid w:val="0024513B"/>
    <w:rsid w:val="0024571A"/>
    <w:rsid w:val="002462D4"/>
    <w:rsid w:val="002464CD"/>
    <w:rsid w:val="00246CBF"/>
    <w:rsid w:val="002475E9"/>
    <w:rsid w:val="002511E1"/>
    <w:rsid w:val="002512B0"/>
    <w:rsid w:val="0025133F"/>
    <w:rsid w:val="00251584"/>
    <w:rsid w:val="00251EC6"/>
    <w:rsid w:val="00252697"/>
    <w:rsid w:val="00252BBD"/>
    <w:rsid w:val="0025370D"/>
    <w:rsid w:val="00253F95"/>
    <w:rsid w:val="0025456E"/>
    <w:rsid w:val="00255450"/>
    <w:rsid w:val="00255635"/>
    <w:rsid w:val="00255A49"/>
    <w:rsid w:val="002568AD"/>
    <w:rsid w:val="002576AB"/>
    <w:rsid w:val="00260DBB"/>
    <w:rsid w:val="00260E72"/>
    <w:rsid w:val="00261832"/>
    <w:rsid w:val="002622E7"/>
    <w:rsid w:val="00262590"/>
    <w:rsid w:val="00262988"/>
    <w:rsid w:val="00262C67"/>
    <w:rsid w:val="002632E2"/>
    <w:rsid w:val="00264564"/>
    <w:rsid w:val="002649BF"/>
    <w:rsid w:val="002658A1"/>
    <w:rsid w:val="00265A5D"/>
    <w:rsid w:val="00265BBA"/>
    <w:rsid w:val="00266161"/>
    <w:rsid w:val="00267D60"/>
    <w:rsid w:val="00267DD1"/>
    <w:rsid w:val="00270F95"/>
    <w:rsid w:val="00271024"/>
    <w:rsid w:val="002722A7"/>
    <w:rsid w:val="00272866"/>
    <w:rsid w:val="00272959"/>
    <w:rsid w:val="00272DEB"/>
    <w:rsid w:val="0027387D"/>
    <w:rsid w:val="00273A8B"/>
    <w:rsid w:val="00273E98"/>
    <w:rsid w:val="00275585"/>
    <w:rsid w:val="00275B93"/>
    <w:rsid w:val="002767A3"/>
    <w:rsid w:val="00276E61"/>
    <w:rsid w:val="002770CA"/>
    <w:rsid w:val="0027728D"/>
    <w:rsid w:val="0028053A"/>
    <w:rsid w:val="002805CE"/>
    <w:rsid w:val="002807C8"/>
    <w:rsid w:val="00280984"/>
    <w:rsid w:val="002813E7"/>
    <w:rsid w:val="0028187C"/>
    <w:rsid w:val="00281C09"/>
    <w:rsid w:val="00282461"/>
    <w:rsid w:val="00282D8E"/>
    <w:rsid w:val="00282EC5"/>
    <w:rsid w:val="00283D43"/>
    <w:rsid w:val="00285E6A"/>
    <w:rsid w:val="00286812"/>
    <w:rsid w:val="00286C73"/>
    <w:rsid w:val="00286ED1"/>
    <w:rsid w:val="00287EAE"/>
    <w:rsid w:val="00287F71"/>
    <w:rsid w:val="00290527"/>
    <w:rsid w:val="00290B5C"/>
    <w:rsid w:val="0029356F"/>
    <w:rsid w:val="00293A41"/>
    <w:rsid w:val="00293A63"/>
    <w:rsid w:val="00294864"/>
    <w:rsid w:val="00296069"/>
    <w:rsid w:val="002963EB"/>
    <w:rsid w:val="002A009A"/>
    <w:rsid w:val="002A04CE"/>
    <w:rsid w:val="002A19C3"/>
    <w:rsid w:val="002A202D"/>
    <w:rsid w:val="002A265B"/>
    <w:rsid w:val="002A27D4"/>
    <w:rsid w:val="002A28DA"/>
    <w:rsid w:val="002A2E4B"/>
    <w:rsid w:val="002A397D"/>
    <w:rsid w:val="002A434B"/>
    <w:rsid w:val="002A4553"/>
    <w:rsid w:val="002A4572"/>
    <w:rsid w:val="002A4D72"/>
    <w:rsid w:val="002A6240"/>
    <w:rsid w:val="002A646F"/>
    <w:rsid w:val="002A6E58"/>
    <w:rsid w:val="002A7996"/>
    <w:rsid w:val="002B1D05"/>
    <w:rsid w:val="002B1DAE"/>
    <w:rsid w:val="002B2013"/>
    <w:rsid w:val="002B292F"/>
    <w:rsid w:val="002B2CD5"/>
    <w:rsid w:val="002B2EB6"/>
    <w:rsid w:val="002B3414"/>
    <w:rsid w:val="002B415A"/>
    <w:rsid w:val="002B41C7"/>
    <w:rsid w:val="002B4F51"/>
    <w:rsid w:val="002B52B4"/>
    <w:rsid w:val="002B6431"/>
    <w:rsid w:val="002B6A2F"/>
    <w:rsid w:val="002B6AE5"/>
    <w:rsid w:val="002B6FB4"/>
    <w:rsid w:val="002C0932"/>
    <w:rsid w:val="002C0EA1"/>
    <w:rsid w:val="002C12CA"/>
    <w:rsid w:val="002C34CE"/>
    <w:rsid w:val="002C3CE2"/>
    <w:rsid w:val="002C4F7A"/>
    <w:rsid w:val="002C5477"/>
    <w:rsid w:val="002C5A7E"/>
    <w:rsid w:val="002C62C6"/>
    <w:rsid w:val="002C6442"/>
    <w:rsid w:val="002C7634"/>
    <w:rsid w:val="002C7811"/>
    <w:rsid w:val="002C78D9"/>
    <w:rsid w:val="002D04AA"/>
    <w:rsid w:val="002D0B34"/>
    <w:rsid w:val="002D0C4E"/>
    <w:rsid w:val="002D1ADE"/>
    <w:rsid w:val="002D1D6B"/>
    <w:rsid w:val="002D2302"/>
    <w:rsid w:val="002D24DC"/>
    <w:rsid w:val="002D25F5"/>
    <w:rsid w:val="002D2633"/>
    <w:rsid w:val="002D2F37"/>
    <w:rsid w:val="002D3EE9"/>
    <w:rsid w:val="002D4279"/>
    <w:rsid w:val="002D448F"/>
    <w:rsid w:val="002D4A9A"/>
    <w:rsid w:val="002D5141"/>
    <w:rsid w:val="002D56EB"/>
    <w:rsid w:val="002D5C13"/>
    <w:rsid w:val="002D5C2C"/>
    <w:rsid w:val="002D6006"/>
    <w:rsid w:val="002D6647"/>
    <w:rsid w:val="002D677E"/>
    <w:rsid w:val="002D7DA9"/>
    <w:rsid w:val="002E05B5"/>
    <w:rsid w:val="002E0C4A"/>
    <w:rsid w:val="002E0D57"/>
    <w:rsid w:val="002E16DE"/>
    <w:rsid w:val="002E2443"/>
    <w:rsid w:val="002E2B45"/>
    <w:rsid w:val="002E32D6"/>
    <w:rsid w:val="002E4241"/>
    <w:rsid w:val="002E513E"/>
    <w:rsid w:val="002E5922"/>
    <w:rsid w:val="002E5BAA"/>
    <w:rsid w:val="002E6312"/>
    <w:rsid w:val="002E78F5"/>
    <w:rsid w:val="002E7ED3"/>
    <w:rsid w:val="002F05DD"/>
    <w:rsid w:val="002F159D"/>
    <w:rsid w:val="002F159E"/>
    <w:rsid w:val="002F1744"/>
    <w:rsid w:val="002F2FBF"/>
    <w:rsid w:val="002F437F"/>
    <w:rsid w:val="002F4DB8"/>
    <w:rsid w:val="002F51C1"/>
    <w:rsid w:val="002F53EE"/>
    <w:rsid w:val="002F5DFE"/>
    <w:rsid w:val="002F6084"/>
    <w:rsid w:val="002F7451"/>
    <w:rsid w:val="0030012E"/>
    <w:rsid w:val="00300A5B"/>
    <w:rsid w:val="00300E35"/>
    <w:rsid w:val="003020FD"/>
    <w:rsid w:val="003025BD"/>
    <w:rsid w:val="00303176"/>
    <w:rsid w:val="00303967"/>
    <w:rsid w:val="003047D0"/>
    <w:rsid w:val="003051C4"/>
    <w:rsid w:val="00306C34"/>
    <w:rsid w:val="003071F4"/>
    <w:rsid w:val="00310720"/>
    <w:rsid w:val="003111B5"/>
    <w:rsid w:val="0031220C"/>
    <w:rsid w:val="0031246C"/>
    <w:rsid w:val="00313083"/>
    <w:rsid w:val="00313667"/>
    <w:rsid w:val="00314132"/>
    <w:rsid w:val="00315923"/>
    <w:rsid w:val="00315BDA"/>
    <w:rsid w:val="00315EBE"/>
    <w:rsid w:val="00316F74"/>
    <w:rsid w:val="003171A8"/>
    <w:rsid w:val="003178D1"/>
    <w:rsid w:val="00317E03"/>
    <w:rsid w:val="003212F2"/>
    <w:rsid w:val="00321CA7"/>
    <w:rsid w:val="00321CE0"/>
    <w:rsid w:val="00322217"/>
    <w:rsid w:val="003223AF"/>
    <w:rsid w:val="00322E12"/>
    <w:rsid w:val="0032335B"/>
    <w:rsid w:val="003248EA"/>
    <w:rsid w:val="003251A2"/>
    <w:rsid w:val="0032547E"/>
    <w:rsid w:val="00325CF6"/>
    <w:rsid w:val="003275D9"/>
    <w:rsid w:val="00330071"/>
    <w:rsid w:val="003301CD"/>
    <w:rsid w:val="00330382"/>
    <w:rsid w:val="003303D8"/>
    <w:rsid w:val="00330B53"/>
    <w:rsid w:val="00331001"/>
    <w:rsid w:val="00331677"/>
    <w:rsid w:val="00334735"/>
    <w:rsid w:val="00334FC4"/>
    <w:rsid w:val="00335CA2"/>
    <w:rsid w:val="00336150"/>
    <w:rsid w:val="00336B26"/>
    <w:rsid w:val="00336BDF"/>
    <w:rsid w:val="00336E1A"/>
    <w:rsid w:val="0033739A"/>
    <w:rsid w:val="00337739"/>
    <w:rsid w:val="00337F61"/>
    <w:rsid w:val="00340341"/>
    <w:rsid w:val="003417CB"/>
    <w:rsid w:val="00341981"/>
    <w:rsid w:val="00341F3B"/>
    <w:rsid w:val="00342299"/>
    <w:rsid w:val="00342BEA"/>
    <w:rsid w:val="00342E1F"/>
    <w:rsid w:val="00343736"/>
    <w:rsid w:val="00343AED"/>
    <w:rsid w:val="00343F2A"/>
    <w:rsid w:val="00344090"/>
    <w:rsid w:val="00345C3F"/>
    <w:rsid w:val="00346218"/>
    <w:rsid w:val="00346B08"/>
    <w:rsid w:val="0034745D"/>
    <w:rsid w:val="00347C75"/>
    <w:rsid w:val="00347D0B"/>
    <w:rsid w:val="00350FAA"/>
    <w:rsid w:val="00351A32"/>
    <w:rsid w:val="00351B41"/>
    <w:rsid w:val="00351E54"/>
    <w:rsid w:val="003520FE"/>
    <w:rsid w:val="003522D7"/>
    <w:rsid w:val="00352FE0"/>
    <w:rsid w:val="00353BAB"/>
    <w:rsid w:val="0035440C"/>
    <w:rsid w:val="00354666"/>
    <w:rsid w:val="00354669"/>
    <w:rsid w:val="00354700"/>
    <w:rsid w:val="003548FB"/>
    <w:rsid w:val="00356878"/>
    <w:rsid w:val="00356B18"/>
    <w:rsid w:val="00356BE7"/>
    <w:rsid w:val="00357070"/>
    <w:rsid w:val="00360037"/>
    <w:rsid w:val="003603BF"/>
    <w:rsid w:val="00360460"/>
    <w:rsid w:val="003607CA"/>
    <w:rsid w:val="00361098"/>
    <w:rsid w:val="00361B24"/>
    <w:rsid w:val="00361ED7"/>
    <w:rsid w:val="003624B5"/>
    <w:rsid w:val="00363E47"/>
    <w:rsid w:val="003640F5"/>
    <w:rsid w:val="003651A1"/>
    <w:rsid w:val="00365BCC"/>
    <w:rsid w:val="00366E36"/>
    <w:rsid w:val="00367700"/>
    <w:rsid w:val="00367DD4"/>
    <w:rsid w:val="00370973"/>
    <w:rsid w:val="0037101B"/>
    <w:rsid w:val="003714DD"/>
    <w:rsid w:val="00371CCD"/>
    <w:rsid w:val="00372ACA"/>
    <w:rsid w:val="00373250"/>
    <w:rsid w:val="0037331F"/>
    <w:rsid w:val="00373912"/>
    <w:rsid w:val="003746B2"/>
    <w:rsid w:val="00374733"/>
    <w:rsid w:val="00375E6A"/>
    <w:rsid w:val="00376303"/>
    <w:rsid w:val="00376D5B"/>
    <w:rsid w:val="00377270"/>
    <w:rsid w:val="0037789A"/>
    <w:rsid w:val="003801E4"/>
    <w:rsid w:val="003806BF"/>
    <w:rsid w:val="003806D2"/>
    <w:rsid w:val="00380E2B"/>
    <w:rsid w:val="0038201D"/>
    <w:rsid w:val="0038206B"/>
    <w:rsid w:val="00382C4D"/>
    <w:rsid w:val="003831FF"/>
    <w:rsid w:val="0038449B"/>
    <w:rsid w:val="003848BF"/>
    <w:rsid w:val="00384CAD"/>
    <w:rsid w:val="00385FF5"/>
    <w:rsid w:val="00386A9E"/>
    <w:rsid w:val="00387245"/>
    <w:rsid w:val="003872C8"/>
    <w:rsid w:val="00387932"/>
    <w:rsid w:val="00387C63"/>
    <w:rsid w:val="00390045"/>
    <w:rsid w:val="0039018D"/>
    <w:rsid w:val="00390F4A"/>
    <w:rsid w:val="003922FA"/>
    <w:rsid w:val="0039297B"/>
    <w:rsid w:val="0039386A"/>
    <w:rsid w:val="0039388E"/>
    <w:rsid w:val="00393B97"/>
    <w:rsid w:val="00394948"/>
    <w:rsid w:val="003949D7"/>
    <w:rsid w:val="00395560"/>
    <w:rsid w:val="00396FD1"/>
    <w:rsid w:val="003971F2"/>
    <w:rsid w:val="003A00EB"/>
    <w:rsid w:val="003A04DE"/>
    <w:rsid w:val="003A11EE"/>
    <w:rsid w:val="003A1E82"/>
    <w:rsid w:val="003A20AF"/>
    <w:rsid w:val="003A2B19"/>
    <w:rsid w:val="003A2B97"/>
    <w:rsid w:val="003A4CFA"/>
    <w:rsid w:val="003A4DF0"/>
    <w:rsid w:val="003A76B3"/>
    <w:rsid w:val="003A7759"/>
    <w:rsid w:val="003A7A87"/>
    <w:rsid w:val="003A7B25"/>
    <w:rsid w:val="003A7D34"/>
    <w:rsid w:val="003B1225"/>
    <w:rsid w:val="003B2F19"/>
    <w:rsid w:val="003B3906"/>
    <w:rsid w:val="003B3CB4"/>
    <w:rsid w:val="003B478A"/>
    <w:rsid w:val="003B4A5E"/>
    <w:rsid w:val="003B5981"/>
    <w:rsid w:val="003B6F3C"/>
    <w:rsid w:val="003B70E0"/>
    <w:rsid w:val="003B7B9D"/>
    <w:rsid w:val="003C134B"/>
    <w:rsid w:val="003C13F1"/>
    <w:rsid w:val="003C1588"/>
    <w:rsid w:val="003C3739"/>
    <w:rsid w:val="003C3963"/>
    <w:rsid w:val="003C457F"/>
    <w:rsid w:val="003C45A3"/>
    <w:rsid w:val="003C4A7A"/>
    <w:rsid w:val="003C5470"/>
    <w:rsid w:val="003C5900"/>
    <w:rsid w:val="003C6972"/>
    <w:rsid w:val="003C7075"/>
    <w:rsid w:val="003C7BFB"/>
    <w:rsid w:val="003C7D74"/>
    <w:rsid w:val="003D04D7"/>
    <w:rsid w:val="003D04FD"/>
    <w:rsid w:val="003D10E6"/>
    <w:rsid w:val="003D147F"/>
    <w:rsid w:val="003D2EBE"/>
    <w:rsid w:val="003D3614"/>
    <w:rsid w:val="003D3F82"/>
    <w:rsid w:val="003D441B"/>
    <w:rsid w:val="003D5D71"/>
    <w:rsid w:val="003D68C1"/>
    <w:rsid w:val="003D761D"/>
    <w:rsid w:val="003D7818"/>
    <w:rsid w:val="003D7970"/>
    <w:rsid w:val="003E045F"/>
    <w:rsid w:val="003E094E"/>
    <w:rsid w:val="003E0966"/>
    <w:rsid w:val="003E0D3E"/>
    <w:rsid w:val="003E0EE3"/>
    <w:rsid w:val="003E1D48"/>
    <w:rsid w:val="003E34A3"/>
    <w:rsid w:val="003E3DC2"/>
    <w:rsid w:val="003E3FA9"/>
    <w:rsid w:val="003E6B08"/>
    <w:rsid w:val="003F07D6"/>
    <w:rsid w:val="003F2531"/>
    <w:rsid w:val="003F31CF"/>
    <w:rsid w:val="003F3EE1"/>
    <w:rsid w:val="003F4577"/>
    <w:rsid w:val="003F49B2"/>
    <w:rsid w:val="003F507A"/>
    <w:rsid w:val="003F50A1"/>
    <w:rsid w:val="003F6816"/>
    <w:rsid w:val="003F7000"/>
    <w:rsid w:val="003F756C"/>
    <w:rsid w:val="00401510"/>
    <w:rsid w:val="0040199D"/>
    <w:rsid w:val="00401FD8"/>
    <w:rsid w:val="004020F7"/>
    <w:rsid w:val="004028EE"/>
    <w:rsid w:val="00402FAA"/>
    <w:rsid w:val="00403853"/>
    <w:rsid w:val="004045A7"/>
    <w:rsid w:val="004052E2"/>
    <w:rsid w:val="00406AB0"/>
    <w:rsid w:val="00407375"/>
    <w:rsid w:val="004077DC"/>
    <w:rsid w:val="004110AD"/>
    <w:rsid w:val="0041136A"/>
    <w:rsid w:val="0041177C"/>
    <w:rsid w:val="004121B1"/>
    <w:rsid w:val="004133F6"/>
    <w:rsid w:val="004145EB"/>
    <w:rsid w:val="004154A6"/>
    <w:rsid w:val="00415BCE"/>
    <w:rsid w:val="00416071"/>
    <w:rsid w:val="0041654F"/>
    <w:rsid w:val="00416A13"/>
    <w:rsid w:val="00416BB7"/>
    <w:rsid w:val="00417A26"/>
    <w:rsid w:val="00417A9D"/>
    <w:rsid w:val="00417EC1"/>
    <w:rsid w:val="00417ED8"/>
    <w:rsid w:val="00417FA5"/>
    <w:rsid w:val="00420252"/>
    <w:rsid w:val="004204F8"/>
    <w:rsid w:val="00420C8B"/>
    <w:rsid w:val="0042152D"/>
    <w:rsid w:val="00421748"/>
    <w:rsid w:val="00422D6F"/>
    <w:rsid w:val="00422F22"/>
    <w:rsid w:val="0042356D"/>
    <w:rsid w:val="004245C1"/>
    <w:rsid w:val="00424615"/>
    <w:rsid w:val="004270E9"/>
    <w:rsid w:val="004277F4"/>
    <w:rsid w:val="00427BA5"/>
    <w:rsid w:val="0043176E"/>
    <w:rsid w:val="00431C8C"/>
    <w:rsid w:val="00432F9B"/>
    <w:rsid w:val="0043311F"/>
    <w:rsid w:val="00433B07"/>
    <w:rsid w:val="00434855"/>
    <w:rsid w:val="00435749"/>
    <w:rsid w:val="00435795"/>
    <w:rsid w:val="00436043"/>
    <w:rsid w:val="00436FFE"/>
    <w:rsid w:val="0043785F"/>
    <w:rsid w:val="00437B06"/>
    <w:rsid w:val="00437E3E"/>
    <w:rsid w:val="004419D8"/>
    <w:rsid w:val="00441DFC"/>
    <w:rsid w:val="00441ECA"/>
    <w:rsid w:val="00442BF4"/>
    <w:rsid w:val="00443524"/>
    <w:rsid w:val="00444EE2"/>
    <w:rsid w:val="00445589"/>
    <w:rsid w:val="0044570B"/>
    <w:rsid w:val="00447582"/>
    <w:rsid w:val="00450394"/>
    <w:rsid w:val="00450820"/>
    <w:rsid w:val="00450E94"/>
    <w:rsid w:val="00451562"/>
    <w:rsid w:val="00451C96"/>
    <w:rsid w:val="0045279C"/>
    <w:rsid w:val="00452C5F"/>
    <w:rsid w:val="00453D3B"/>
    <w:rsid w:val="004551A3"/>
    <w:rsid w:val="00455334"/>
    <w:rsid w:val="0045566E"/>
    <w:rsid w:val="004558A4"/>
    <w:rsid w:val="0045611A"/>
    <w:rsid w:val="0045712F"/>
    <w:rsid w:val="004600CC"/>
    <w:rsid w:val="00461566"/>
    <w:rsid w:val="00461F46"/>
    <w:rsid w:val="004628F6"/>
    <w:rsid w:val="0046512E"/>
    <w:rsid w:val="00465AB5"/>
    <w:rsid w:val="00465D31"/>
    <w:rsid w:val="00466704"/>
    <w:rsid w:val="0046688C"/>
    <w:rsid w:val="00471A29"/>
    <w:rsid w:val="004721F1"/>
    <w:rsid w:val="004726CA"/>
    <w:rsid w:val="00473190"/>
    <w:rsid w:val="00473301"/>
    <w:rsid w:val="004735A1"/>
    <w:rsid w:val="0047425F"/>
    <w:rsid w:val="0047672D"/>
    <w:rsid w:val="00476CE3"/>
    <w:rsid w:val="00477286"/>
    <w:rsid w:val="004778A2"/>
    <w:rsid w:val="00477B14"/>
    <w:rsid w:val="00477C79"/>
    <w:rsid w:val="0048049E"/>
    <w:rsid w:val="00480D07"/>
    <w:rsid w:val="00480E64"/>
    <w:rsid w:val="00481CD4"/>
    <w:rsid w:val="00482021"/>
    <w:rsid w:val="00482299"/>
    <w:rsid w:val="004824EA"/>
    <w:rsid w:val="00482520"/>
    <w:rsid w:val="0048267C"/>
    <w:rsid w:val="0048277D"/>
    <w:rsid w:val="004841A0"/>
    <w:rsid w:val="004841BC"/>
    <w:rsid w:val="00484CC5"/>
    <w:rsid w:val="004855E6"/>
    <w:rsid w:val="00486A22"/>
    <w:rsid w:val="0049054D"/>
    <w:rsid w:val="004922D5"/>
    <w:rsid w:val="0049363B"/>
    <w:rsid w:val="00493925"/>
    <w:rsid w:val="00493DE0"/>
    <w:rsid w:val="00494130"/>
    <w:rsid w:val="0049415A"/>
    <w:rsid w:val="004944FB"/>
    <w:rsid w:val="00494A4B"/>
    <w:rsid w:val="00495C40"/>
    <w:rsid w:val="0049644D"/>
    <w:rsid w:val="004969DC"/>
    <w:rsid w:val="00497003"/>
    <w:rsid w:val="004A1056"/>
    <w:rsid w:val="004A1BB2"/>
    <w:rsid w:val="004A1BBF"/>
    <w:rsid w:val="004A208D"/>
    <w:rsid w:val="004A2776"/>
    <w:rsid w:val="004A3612"/>
    <w:rsid w:val="004A37BE"/>
    <w:rsid w:val="004A38B2"/>
    <w:rsid w:val="004A42BB"/>
    <w:rsid w:val="004A5072"/>
    <w:rsid w:val="004A5926"/>
    <w:rsid w:val="004A5D09"/>
    <w:rsid w:val="004A6386"/>
    <w:rsid w:val="004A65FD"/>
    <w:rsid w:val="004A6F65"/>
    <w:rsid w:val="004B1245"/>
    <w:rsid w:val="004B128E"/>
    <w:rsid w:val="004B1ACB"/>
    <w:rsid w:val="004B3F19"/>
    <w:rsid w:val="004B4C87"/>
    <w:rsid w:val="004B5873"/>
    <w:rsid w:val="004B5C58"/>
    <w:rsid w:val="004B743E"/>
    <w:rsid w:val="004C0749"/>
    <w:rsid w:val="004C0B31"/>
    <w:rsid w:val="004C127E"/>
    <w:rsid w:val="004C1D41"/>
    <w:rsid w:val="004C24EA"/>
    <w:rsid w:val="004C3A7B"/>
    <w:rsid w:val="004C3AFD"/>
    <w:rsid w:val="004C40F7"/>
    <w:rsid w:val="004C45FE"/>
    <w:rsid w:val="004C56FF"/>
    <w:rsid w:val="004C59E0"/>
    <w:rsid w:val="004C6651"/>
    <w:rsid w:val="004C6D68"/>
    <w:rsid w:val="004C77CA"/>
    <w:rsid w:val="004D0C18"/>
    <w:rsid w:val="004D1F2D"/>
    <w:rsid w:val="004D277D"/>
    <w:rsid w:val="004D2A41"/>
    <w:rsid w:val="004D2E99"/>
    <w:rsid w:val="004D3A10"/>
    <w:rsid w:val="004D3A13"/>
    <w:rsid w:val="004D47F5"/>
    <w:rsid w:val="004D56ED"/>
    <w:rsid w:val="004D5802"/>
    <w:rsid w:val="004E0161"/>
    <w:rsid w:val="004E01DB"/>
    <w:rsid w:val="004E04BB"/>
    <w:rsid w:val="004E11A7"/>
    <w:rsid w:val="004E20B4"/>
    <w:rsid w:val="004E2D13"/>
    <w:rsid w:val="004E348C"/>
    <w:rsid w:val="004E3E1F"/>
    <w:rsid w:val="004E4086"/>
    <w:rsid w:val="004E4D36"/>
    <w:rsid w:val="004E6BDC"/>
    <w:rsid w:val="004E70BC"/>
    <w:rsid w:val="004E735F"/>
    <w:rsid w:val="004E7518"/>
    <w:rsid w:val="004F0DD1"/>
    <w:rsid w:val="004F163F"/>
    <w:rsid w:val="004F1B86"/>
    <w:rsid w:val="004F1F24"/>
    <w:rsid w:val="004F203A"/>
    <w:rsid w:val="004F25C6"/>
    <w:rsid w:val="004F2DA8"/>
    <w:rsid w:val="004F2F7E"/>
    <w:rsid w:val="004F2FDC"/>
    <w:rsid w:val="004F38C4"/>
    <w:rsid w:val="004F3E33"/>
    <w:rsid w:val="004F43F5"/>
    <w:rsid w:val="004F4E26"/>
    <w:rsid w:val="004F6CAD"/>
    <w:rsid w:val="004F6EEC"/>
    <w:rsid w:val="004F7065"/>
    <w:rsid w:val="004F7666"/>
    <w:rsid w:val="00500A15"/>
    <w:rsid w:val="00500D9D"/>
    <w:rsid w:val="005010E6"/>
    <w:rsid w:val="00503554"/>
    <w:rsid w:val="005038A9"/>
    <w:rsid w:val="00504179"/>
    <w:rsid w:val="00505533"/>
    <w:rsid w:val="00505A4A"/>
    <w:rsid w:val="00506AF8"/>
    <w:rsid w:val="00506CE5"/>
    <w:rsid w:val="00506FFB"/>
    <w:rsid w:val="0050720B"/>
    <w:rsid w:val="00511F69"/>
    <w:rsid w:val="005130B6"/>
    <w:rsid w:val="00513171"/>
    <w:rsid w:val="00514D49"/>
    <w:rsid w:val="00515742"/>
    <w:rsid w:val="00516FD0"/>
    <w:rsid w:val="00520153"/>
    <w:rsid w:val="0052075C"/>
    <w:rsid w:val="00520DF4"/>
    <w:rsid w:val="005216E4"/>
    <w:rsid w:val="00521EBE"/>
    <w:rsid w:val="00522231"/>
    <w:rsid w:val="005225B9"/>
    <w:rsid w:val="00523006"/>
    <w:rsid w:val="00523170"/>
    <w:rsid w:val="00525218"/>
    <w:rsid w:val="00525BCC"/>
    <w:rsid w:val="00525C68"/>
    <w:rsid w:val="005261FF"/>
    <w:rsid w:val="00527119"/>
    <w:rsid w:val="005271EA"/>
    <w:rsid w:val="00527267"/>
    <w:rsid w:val="005274FE"/>
    <w:rsid w:val="00527AB0"/>
    <w:rsid w:val="00527BCB"/>
    <w:rsid w:val="0053036B"/>
    <w:rsid w:val="0053062B"/>
    <w:rsid w:val="005306E4"/>
    <w:rsid w:val="0053157E"/>
    <w:rsid w:val="00531B33"/>
    <w:rsid w:val="00531E0F"/>
    <w:rsid w:val="005320B7"/>
    <w:rsid w:val="005320DC"/>
    <w:rsid w:val="00532BEB"/>
    <w:rsid w:val="00532ECD"/>
    <w:rsid w:val="005331D8"/>
    <w:rsid w:val="005332A0"/>
    <w:rsid w:val="005337A9"/>
    <w:rsid w:val="005337BD"/>
    <w:rsid w:val="00533F87"/>
    <w:rsid w:val="00534418"/>
    <w:rsid w:val="0053449E"/>
    <w:rsid w:val="00534D8C"/>
    <w:rsid w:val="005351D7"/>
    <w:rsid w:val="00535A29"/>
    <w:rsid w:val="00535D28"/>
    <w:rsid w:val="005367FF"/>
    <w:rsid w:val="00540A17"/>
    <w:rsid w:val="00541374"/>
    <w:rsid w:val="0054142A"/>
    <w:rsid w:val="00541B98"/>
    <w:rsid w:val="00542381"/>
    <w:rsid w:val="00542DC7"/>
    <w:rsid w:val="00542E76"/>
    <w:rsid w:val="00543517"/>
    <w:rsid w:val="00544322"/>
    <w:rsid w:val="00545006"/>
    <w:rsid w:val="00545633"/>
    <w:rsid w:val="0054581E"/>
    <w:rsid w:val="00545F1B"/>
    <w:rsid w:val="00546407"/>
    <w:rsid w:val="00546C2A"/>
    <w:rsid w:val="0054725C"/>
    <w:rsid w:val="00547621"/>
    <w:rsid w:val="00547D38"/>
    <w:rsid w:val="00547F2E"/>
    <w:rsid w:val="005509F2"/>
    <w:rsid w:val="0055147D"/>
    <w:rsid w:val="00551490"/>
    <w:rsid w:val="00551C85"/>
    <w:rsid w:val="00551E22"/>
    <w:rsid w:val="00552447"/>
    <w:rsid w:val="00553201"/>
    <w:rsid w:val="00553725"/>
    <w:rsid w:val="00553751"/>
    <w:rsid w:val="0055396D"/>
    <w:rsid w:val="00553B6A"/>
    <w:rsid w:val="00553F72"/>
    <w:rsid w:val="005545B9"/>
    <w:rsid w:val="00555095"/>
    <w:rsid w:val="00555503"/>
    <w:rsid w:val="005557D3"/>
    <w:rsid w:val="00555890"/>
    <w:rsid w:val="00555AFE"/>
    <w:rsid w:val="00556B7E"/>
    <w:rsid w:val="00557177"/>
    <w:rsid w:val="00557B75"/>
    <w:rsid w:val="00560613"/>
    <w:rsid w:val="00560C14"/>
    <w:rsid w:val="00560F23"/>
    <w:rsid w:val="00561CA6"/>
    <w:rsid w:val="0056262A"/>
    <w:rsid w:val="005628AE"/>
    <w:rsid w:val="00562B54"/>
    <w:rsid w:val="00562D09"/>
    <w:rsid w:val="00563266"/>
    <w:rsid w:val="00563578"/>
    <w:rsid w:val="005635A5"/>
    <w:rsid w:val="005636DA"/>
    <w:rsid w:val="00563808"/>
    <w:rsid w:val="00564206"/>
    <w:rsid w:val="00566E46"/>
    <w:rsid w:val="00570B3F"/>
    <w:rsid w:val="00570FBD"/>
    <w:rsid w:val="00571734"/>
    <w:rsid w:val="00572023"/>
    <w:rsid w:val="00572E1B"/>
    <w:rsid w:val="00573EC7"/>
    <w:rsid w:val="0057497F"/>
    <w:rsid w:val="00574D73"/>
    <w:rsid w:val="0057591D"/>
    <w:rsid w:val="00575C3C"/>
    <w:rsid w:val="00575D10"/>
    <w:rsid w:val="005760E3"/>
    <w:rsid w:val="0057655E"/>
    <w:rsid w:val="005770DB"/>
    <w:rsid w:val="0057768F"/>
    <w:rsid w:val="00580193"/>
    <w:rsid w:val="005807D5"/>
    <w:rsid w:val="005808B2"/>
    <w:rsid w:val="0058126D"/>
    <w:rsid w:val="0058132E"/>
    <w:rsid w:val="00581C93"/>
    <w:rsid w:val="00581E53"/>
    <w:rsid w:val="005823AC"/>
    <w:rsid w:val="00582916"/>
    <w:rsid w:val="0058362F"/>
    <w:rsid w:val="0058522E"/>
    <w:rsid w:val="005858D4"/>
    <w:rsid w:val="00585F6F"/>
    <w:rsid w:val="005861A7"/>
    <w:rsid w:val="005861D1"/>
    <w:rsid w:val="00586FD3"/>
    <w:rsid w:val="005909C3"/>
    <w:rsid w:val="00590A9B"/>
    <w:rsid w:val="005915B8"/>
    <w:rsid w:val="005917A8"/>
    <w:rsid w:val="00591CEE"/>
    <w:rsid w:val="00591E00"/>
    <w:rsid w:val="00592408"/>
    <w:rsid w:val="005924C0"/>
    <w:rsid w:val="005925CF"/>
    <w:rsid w:val="00593F52"/>
    <w:rsid w:val="00594444"/>
    <w:rsid w:val="00594B5F"/>
    <w:rsid w:val="005954CB"/>
    <w:rsid w:val="00595C2F"/>
    <w:rsid w:val="00596432"/>
    <w:rsid w:val="005A1163"/>
    <w:rsid w:val="005A21F7"/>
    <w:rsid w:val="005A2AC9"/>
    <w:rsid w:val="005A55BF"/>
    <w:rsid w:val="005A5EE4"/>
    <w:rsid w:val="005A6062"/>
    <w:rsid w:val="005A6EB5"/>
    <w:rsid w:val="005A7089"/>
    <w:rsid w:val="005A71AC"/>
    <w:rsid w:val="005B0779"/>
    <w:rsid w:val="005B1600"/>
    <w:rsid w:val="005B227B"/>
    <w:rsid w:val="005B2354"/>
    <w:rsid w:val="005B3133"/>
    <w:rsid w:val="005B3181"/>
    <w:rsid w:val="005B3696"/>
    <w:rsid w:val="005B4DED"/>
    <w:rsid w:val="005B4FA8"/>
    <w:rsid w:val="005B5E97"/>
    <w:rsid w:val="005B61E9"/>
    <w:rsid w:val="005B6241"/>
    <w:rsid w:val="005B6918"/>
    <w:rsid w:val="005B6990"/>
    <w:rsid w:val="005B6D78"/>
    <w:rsid w:val="005B6FC4"/>
    <w:rsid w:val="005B76E4"/>
    <w:rsid w:val="005C02D6"/>
    <w:rsid w:val="005C034F"/>
    <w:rsid w:val="005C0689"/>
    <w:rsid w:val="005C0971"/>
    <w:rsid w:val="005C0EE0"/>
    <w:rsid w:val="005C103A"/>
    <w:rsid w:val="005C1EE2"/>
    <w:rsid w:val="005C4526"/>
    <w:rsid w:val="005C478D"/>
    <w:rsid w:val="005C4E86"/>
    <w:rsid w:val="005C5746"/>
    <w:rsid w:val="005C5788"/>
    <w:rsid w:val="005C5820"/>
    <w:rsid w:val="005C5CBF"/>
    <w:rsid w:val="005C5F37"/>
    <w:rsid w:val="005C7011"/>
    <w:rsid w:val="005D190B"/>
    <w:rsid w:val="005D1DED"/>
    <w:rsid w:val="005D279B"/>
    <w:rsid w:val="005D2D20"/>
    <w:rsid w:val="005D306F"/>
    <w:rsid w:val="005D390E"/>
    <w:rsid w:val="005D3EE5"/>
    <w:rsid w:val="005D4A0F"/>
    <w:rsid w:val="005D5664"/>
    <w:rsid w:val="005D5986"/>
    <w:rsid w:val="005D6865"/>
    <w:rsid w:val="005D69C3"/>
    <w:rsid w:val="005D6BF8"/>
    <w:rsid w:val="005D7453"/>
    <w:rsid w:val="005D763F"/>
    <w:rsid w:val="005D781D"/>
    <w:rsid w:val="005D785F"/>
    <w:rsid w:val="005E0DF3"/>
    <w:rsid w:val="005E134F"/>
    <w:rsid w:val="005E151F"/>
    <w:rsid w:val="005E1986"/>
    <w:rsid w:val="005E2FBF"/>
    <w:rsid w:val="005E38E1"/>
    <w:rsid w:val="005E425C"/>
    <w:rsid w:val="005E46F0"/>
    <w:rsid w:val="005E4C7A"/>
    <w:rsid w:val="005E4F2C"/>
    <w:rsid w:val="005E542B"/>
    <w:rsid w:val="005E6BCA"/>
    <w:rsid w:val="005E6E1D"/>
    <w:rsid w:val="005E71E0"/>
    <w:rsid w:val="005E7A40"/>
    <w:rsid w:val="005F003B"/>
    <w:rsid w:val="005F055E"/>
    <w:rsid w:val="005F0560"/>
    <w:rsid w:val="005F085F"/>
    <w:rsid w:val="005F0A23"/>
    <w:rsid w:val="005F0FBD"/>
    <w:rsid w:val="005F16BB"/>
    <w:rsid w:val="005F1B9B"/>
    <w:rsid w:val="005F21DD"/>
    <w:rsid w:val="005F2B3F"/>
    <w:rsid w:val="005F2BBC"/>
    <w:rsid w:val="005F3277"/>
    <w:rsid w:val="005F3620"/>
    <w:rsid w:val="005F398A"/>
    <w:rsid w:val="005F39CD"/>
    <w:rsid w:val="005F403B"/>
    <w:rsid w:val="005F4087"/>
    <w:rsid w:val="005F41B8"/>
    <w:rsid w:val="005F4335"/>
    <w:rsid w:val="005F46F7"/>
    <w:rsid w:val="005F6E9F"/>
    <w:rsid w:val="005F7C38"/>
    <w:rsid w:val="00600A04"/>
    <w:rsid w:val="00600F43"/>
    <w:rsid w:val="00601E8C"/>
    <w:rsid w:val="006023CC"/>
    <w:rsid w:val="0060267F"/>
    <w:rsid w:val="006057FC"/>
    <w:rsid w:val="00605AE5"/>
    <w:rsid w:val="00605CFA"/>
    <w:rsid w:val="00606E77"/>
    <w:rsid w:val="006070FC"/>
    <w:rsid w:val="00607997"/>
    <w:rsid w:val="006101C7"/>
    <w:rsid w:val="00610E00"/>
    <w:rsid w:val="006112FB"/>
    <w:rsid w:val="00611359"/>
    <w:rsid w:val="00611426"/>
    <w:rsid w:val="006116CB"/>
    <w:rsid w:val="006118CF"/>
    <w:rsid w:val="00611B0E"/>
    <w:rsid w:val="00612086"/>
    <w:rsid w:val="0061299D"/>
    <w:rsid w:val="006136BD"/>
    <w:rsid w:val="00613908"/>
    <w:rsid w:val="00613CA1"/>
    <w:rsid w:val="00613F1D"/>
    <w:rsid w:val="006144E5"/>
    <w:rsid w:val="006153C5"/>
    <w:rsid w:val="00615F18"/>
    <w:rsid w:val="00616D3E"/>
    <w:rsid w:val="0061761A"/>
    <w:rsid w:val="006176A9"/>
    <w:rsid w:val="00617826"/>
    <w:rsid w:val="00617AD9"/>
    <w:rsid w:val="00617C91"/>
    <w:rsid w:val="00617D21"/>
    <w:rsid w:val="00617D2B"/>
    <w:rsid w:val="0062046E"/>
    <w:rsid w:val="00620E8E"/>
    <w:rsid w:val="00621034"/>
    <w:rsid w:val="006220B2"/>
    <w:rsid w:val="0062227D"/>
    <w:rsid w:val="006223E5"/>
    <w:rsid w:val="00622BE7"/>
    <w:rsid w:val="006230F9"/>
    <w:rsid w:val="006239B3"/>
    <w:rsid w:val="006250E3"/>
    <w:rsid w:val="00626010"/>
    <w:rsid w:val="00626A9A"/>
    <w:rsid w:val="00627F09"/>
    <w:rsid w:val="0063044E"/>
    <w:rsid w:val="00630760"/>
    <w:rsid w:val="0063116C"/>
    <w:rsid w:val="0063222E"/>
    <w:rsid w:val="00632835"/>
    <w:rsid w:val="00633E08"/>
    <w:rsid w:val="00633F21"/>
    <w:rsid w:val="0063476C"/>
    <w:rsid w:val="00634FD7"/>
    <w:rsid w:val="006358CC"/>
    <w:rsid w:val="00635A2F"/>
    <w:rsid w:val="006361B8"/>
    <w:rsid w:val="0063638D"/>
    <w:rsid w:val="00636454"/>
    <w:rsid w:val="00636513"/>
    <w:rsid w:val="006365D6"/>
    <w:rsid w:val="00636790"/>
    <w:rsid w:val="00636850"/>
    <w:rsid w:val="00637679"/>
    <w:rsid w:val="00637F18"/>
    <w:rsid w:val="00640A6B"/>
    <w:rsid w:val="00640A74"/>
    <w:rsid w:val="0064126B"/>
    <w:rsid w:val="006416C9"/>
    <w:rsid w:val="0064255F"/>
    <w:rsid w:val="00642C40"/>
    <w:rsid w:val="006449B4"/>
    <w:rsid w:val="00644D62"/>
    <w:rsid w:val="00644E6D"/>
    <w:rsid w:val="006454C3"/>
    <w:rsid w:val="00646ED2"/>
    <w:rsid w:val="006479D6"/>
    <w:rsid w:val="00647BF8"/>
    <w:rsid w:val="0065031D"/>
    <w:rsid w:val="00650EFC"/>
    <w:rsid w:val="00650F1E"/>
    <w:rsid w:val="00651417"/>
    <w:rsid w:val="00651850"/>
    <w:rsid w:val="00652C74"/>
    <w:rsid w:val="006544E4"/>
    <w:rsid w:val="00654CD5"/>
    <w:rsid w:val="00654E4E"/>
    <w:rsid w:val="00655149"/>
    <w:rsid w:val="00655156"/>
    <w:rsid w:val="00655D9A"/>
    <w:rsid w:val="00656AD7"/>
    <w:rsid w:val="00656CEA"/>
    <w:rsid w:val="006574CC"/>
    <w:rsid w:val="00657838"/>
    <w:rsid w:val="00657B18"/>
    <w:rsid w:val="00660C7F"/>
    <w:rsid w:val="0066189D"/>
    <w:rsid w:val="00661C36"/>
    <w:rsid w:val="00661F3C"/>
    <w:rsid w:val="006623EF"/>
    <w:rsid w:val="00662C90"/>
    <w:rsid w:val="0066409F"/>
    <w:rsid w:val="0066467C"/>
    <w:rsid w:val="00664B08"/>
    <w:rsid w:val="00664E83"/>
    <w:rsid w:val="00664F99"/>
    <w:rsid w:val="0066582C"/>
    <w:rsid w:val="00666C8B"/>
    <w:rsid w:val="00667B2A"/>
    <w:rsid w:val="00670D20"/>
    <w:rsid w:val="006717CD"/>
    <w:rsid w:val="0067257C"/>
    <w:rsid w:val="00674597"/>
    <w:rsid w:val="006756DB"/>
    <w:rsid w:val="006759DC"/>
    <w:rsid w:val="00675BEB"/>
    <w:rsid w:val="00675C96"/>
    <w:rsid w:val="00675CAA"/>
    <w:rsid w:val="00675D31"/>
    <w:rsid w:val="00676BB1"/>
    <w:rsid w:val="00677004"/>
    <w:rsid w:val="006804BA"/>
    <w:rsid w:val="006804FA"/>
    <w:rsid w:val="006809FF"/>
    <w:rsid w:val="00680B31"/>
    <w:rsid w:val="00681A64"/>
    <w:rsid w:val="006822FE"/>
    <w:rsid w:val="006824ED"/>
    <w:rsid w:val="00682527"/>
    <w:rsid w:val="00682817"/>
    <w:rsid w:val="006828ED"/>
    <w:rsid w:val="00682DE7"/>
    <w:rsid w:val="0068346D"/>
    <w:rsid w:val="00683754"/>
    <w:rsid w:val="00683FD0"/>
    <w:rsid w:val="00684BA2"/>
    <w:rsid w:val="00685EAF"/>
    <w:rsid w:val="0068618B"/>
    <w:rsid w:val="00690A0B"/>
    <w:rsid w:val="00690E8E"/>
    <w:rsid w:val="006910A3"/>
    <w:rsid w:val="006910D5"/>
    <w:rsid w:val="0069125C"/>
    <w:rsid w:val="0069133E"/>
    <w:rsid w:val="006914D2"/>
    <w:rsid w:val="006920C8"/>
    <w:rsid w:val="0069215E"/>
    <w:rsid w:val="00692D62"/>
    <w:rsid w:val="00693478"/>
    <w:rsid w:val="006937F8"/>
    <w:rsid w:val="006939FA"/>
    <w:rsid w:val="00693AD2"/>
    <w:rsid w:val="00695215"/>
    <w:rsid w:val="006956CA"/>
    <w:rsid w:val="00695A16"/>
    <w:rsid w:val="00695B12"/>
    <w:rsid w:val="00696773"/>
    <w:rsid w:val="00696AEE"/>
    <w:rsid w:val="00696F25"/>
    <w:rsid w:val="006973A6"/>
    <w:rsid w:val="00697664"/>
    <w:rsid w:val="00697943"/>
    <w:rsid w:val="00697D68"/>
    <w:rsid w:val="006A11EE"/>
    <w:rsid w:val="006A1648"/>
    <w:rsid w:val="006A17B3"/>
    <w:rsid w:val="006A1CC5"/>
    <w:rsid w:val="006A2A03"/>
    <w:rsid w:val="006A2CFF"/>
    <w:rsid w:val="006A3052"/>
    <w:rsid w:val="006A361E"/>
    <w:rsid w:val="006A378F"/>
    <w:rsid w:val="006A3BB2"/>
    <w:rsid w:val="006A3C6A"/>
    <w:rsid w:val="006A4423"/>
    <w:rsid w:val="006A46BB"/>
    <w:rsid w:val="006A4DF4"/>
    <w:rsid w:val="006A51EB"/>
    <w:rsid w:val="006A5520"/>
    <w:rsid w:val="006A567A"/>
    <w:rsid w:val="006A5804"/>
    <w:rsid w:val="006A60E9"/>
    <w:rsid w:val="006A66B9"/>
    <w:rsid w:val="006A6D3B"/>
    <w:rsid w:val="006A7CAB"/>
    <w:rsid w:val="006A7D68"/>
    <w:rsid w:val="006B05F4"/>
    <w:rsid w:val="006B06D2"/>
    <w:rsid w:val="006B103D"/>
    <w:rsid w:val="006B10AB"/>
    <w:rsid w:val="006B1A90"/>
    <w:rsid w:val="006B1E79"/>
    <w:rsid w:val="006B2AB0"/>
    <w:rsid w:val="006B2DA8"/>
    <w:rsid w:val="006B4434"/>
    <w:rsid w:val="006B46CD"/>
    <w:rsid w:val="006B511B"/>
    <w:rsid w:val="006B58B9"/>
    <w:rsid w:val="006B606D"/>
    <w:rsid w:val="006B6CAE"/>
    <w:rsid w:val="006B6F47"/>
    <w:rsid w:val="006B738D"/>
    <w:rsid w:val="006B74B2"/>
    <w:rsid w:val="006B75D1"/>
    <w:rsid w:val="006B7628"/>
    <w:rsid w:val="006B7A70"/>
    <w:rsid w:val="006B7C72"/>
    <w:rsid w:val="006C0B9E"/>
    <w:rsid w:val="006C0E3D"/>
    <w:rsid w:val="006C16B4"/>
    <w:rsid w:val="006C20A5"/>
    <w:rsid w:val="006C2D57"/>
    <w:rsid w:val="006C3788"/>
    <w:rsid w:val="006C3806"/>
    <w:rsid w:val="006C3D8A"/>
    <w:rsid w:val="006C41C2"/>
    <w:rsid w:val="006C43A3"/>
    <w:rsid w:val="006C46D8"/>
    <w:rsid w:val="006C5519"/>
    <w:rsid w:val="006C75ED"/>
    <w:rsid w:val="006C7608"/>
    <w:rsid w:val="006C7B57"/>
    <w:rsid w:val="006C7DC4"/>
    <w:rsid w:val="006C7F65"/>
    <w:rsid w:val="006D0288"/>
    <w:rsid w:val="006D0340"/>
    <w:rsid w:val="006D04ED"/>
    <w:rsid w:val="006D08CD"/>
    <w:rsid w:val="006D101B"/>
    <w:rsid w:val="006D1288"/>
    <w:rsid w:val="006D298F"/>
    <w:rsid w:val="006D29B4"/>
    <w:rsid w:val="006D2EEA"/>
    <w:rsid w:val="006D39AF"/>
    <w:rsid w:val="006D5A94"/>
    <w:rsid w:val="006D76B6"/>
    <w:rsid w:val="006D788D"/>
    <w:rsid w:val="006E046A"/>
    <w:rsid w:val="006E099B"/>
    <w:rsid w:val="006E0DAE"/>
    <w:rsid w:val="006E2B7F"/>
    <w:rsid w:val="006E2D0A"/>
    <w:rsid w:val="006E3861"/>
    <w:rsid w:val="006E3F37"/>
    <w:rsid w:val="006E4105"/>
    <w:rsid w:val="006E594A"/>
    <w:rsid w:val="006E66D7"/>
    <w:rsid w:val="006E6E41"/>
    <w:rsid w:val="006E724A"/>
    <w:rsid w:val="006F00F4"/>
    <w:rsid w:val="006F15FF"/>
    <w:rsid w:val="006F355B"/>
    <w:rsid w:val="006F3ADE"/>
    <w:rsid w:val="006F3F38"/>
    <w:rsid w:val="006F3F6D"/>
    <w:rsid w:val="006F41FB"/>
    <w:rsid w:val="006F4E14"/>
    <w:rsid w:val="006F53AD"/>
    <w:rsid w:val="006F581D"/>
    <w:rsid w:val="006F6AC1"/>
    <w:rsid w:val="006F765C"/>
    <w:rsid w:val="006F7839"/>
    <w:rsid w:val="00700E94"/>
    <w:rsid w:val="007011BE"/>
    <w:rsid w:val="007015CC"/>
    <w:rsid w:val="00701747"/>
    <w:rsid w:val="007018C2"/>
    <w:rsid w:val="00701DB0"/>
    <w:rsid w:val="00701F58"/>
    <w:rsid w:val="00702460"/>
    <w:rsid w:val="00702979"/>
    <w:rsid w:val="00703042"/>
    <w:rsid w:val="007037C0"/>
    <w:rsid w:val="007041C0"/>
    <w:rsid w:val="00705275"/>
    <w:rsid w:val="007068A4"/>
    <w:rsid w:val="00706BB7"/>
    <w:rsid w:val="00706E41"/>
    <w:rsid w:val="00707A3A"/>
    <w:rsid w:val="00710309"/>
    <w:rsid w:val="007104E5"/>
    <w:rsid w:val="007106BB"/>
    <w:rsid w:val="00710ECE"/>
    <w:rsid w:val="007112C3"/>
    <w:rsid w:val="007120D7"/>
    <w:rsid w:val="00712265"/>
    <w:rsid w:val="00713991"/>
    <w:rsid w:val="00713C9E"/>
    <w:rsid w:val="007155F1"/>
    <w:rsid w:val="00716C5A"/>
    <w:rsid w:val="0071705C"/>
    <w:rsid w:val="00717A79"/>
    <w:rsid w:val="00720455"/>
    <w:rsid w:val="00720BEC"/>
    <w:rsid w:val="00721943"/>
    <w:rsid w:val="00721C44"/>
    <w:rsid w:val="00721FD9"/>
    <w:rsid w:val="00722755"/>
    <w:rsid w:val="00723282"/>
    <w:rsid w:val="007233C7"/>
    <w:rsid w:val="007238CF"/>
    <w:rsid w:val="00725407"/>
    <w:rsid w:val="00725D13"/>
    <w:rsid w:val="00726C25"/>
    <w:rsid w:val="00727B22"/>
    <w:rsid w:val="0073049F"/>
    <w:rsid w:val="0073052F"/>
    <w:rsid w:val="00731E0E"/>
    <w:rsid w:val="00732ACA"/>
    <w:rsid w:val="007330F9"/>
    <w:rsid w:val="0073343B"/>
    <w:rsid w:val="00733EA0"/>
    <w:rsid w:val="00734817"/>
    <w:rsid w:val="00734B43"/>
    <w:rsid w:val="00735007"/>
    <w:rsid w:val="00735F61"/>
    <w:rsid w:val="007366A1"/>
    <w:rsid w:val="007378D5"/>
    <w:rsid w:val="00740FE2"/>
    <w:rsid w:val="0074129A"/>
    <w:rsid w:val="007414C9"/>
    <w:rsid w:val="00741922"/>
    <w:rsid w:val="007419D5"/>
    <w:rsid w:val="0074225A"/>
    <w:rsid w:val="00742493"/>
    <w:rsid w:val="0074311E"/>
    <w:rsid w:val="0074349F"/>
    <w:rsid w:val="00744B30"/>
    <w:rsid w:val="007455B0"/>
    <w:rsid w:val="007458BB"/>
    <w:rsid w:val="00745A26"/>
    <w:rsid w:val="00747C1B"/>
    <w:rsid w:val="007511D1"/>
    <w:rsid w:val="007512F6"/>
    <w:rsid w:val="007519F2"/>
    <w:rsid w:val="00751E35"/>
    <w:rsid w:val="0075239D"/>
    <w:rsid w:val="00753383"/>
    <w:rsid w:val="00753787"/>
    <w:rsid w:val="00753DFA"/>
    <w:rsid w:val="00754A65"/>
    <w:rsid w:val="0075531F"/>
    <w:rsid w:val="007573CA"/>
    <w:rsid w:val="00757A12"/>
    <w:rsid w:val="00760415"/>
    <w:rsid w:val="0076054F"/>
    <w:rsid w:val="0076055F"/>
    <w:rsid w:val="00760BF7"/>
    <w:rsid w:val="007615AC"/>
    <w:rsid w:val="007625B1"/>
    <w:rsid w:val="007648E7"/>
    <w:rsid w:val="00764FA1"/>
    <w:rsid w:val="0076521E"/>
    <w:rsid w:val="00765445"/>
    <w:rsid w:val="00765497"/>
    <w:rsid w:val="00766380"/>
    <w:rsid w:val="0076647E"/>
    <w:rsid w:val="00766BBE"/>
    <w:rsid w:val="00767306"/>
    <w:rsid w:val="0076779A"/>
    <w:rsid w:val="00767945"/>
    <w:rsid w:val="00767F91"/>
    <w:rsid w:val="00770FD7"/>
    <w:rsid w:val="00772229"/>
    <w:rsid w:val="00772494"/>
    <w:rsid w:val="00774383"/>
    <w:rsid w:val="00774798"/>
    <w:rsid w:val="007751F1"/>
    <w:rsid w:val="007766E0"/>
    <w:rsid w:val="00776C84"/>
    <w:rsid w:val="0078083B"/>
    <w:rsid w:val="0078175C"/>
    <w:rsid w:val="00781924"/>
    <w:rsid w:val="00781BA5"/>
    <w:rsid w:val="007825AD"/>
    <w:rsid w:val="00782CD8"/>
    <w:rsid w:val="00782D30"/>
    <w:rsid w:val="00783446"/>
    <w:rsid w:val="007834E0"/>
    <w:rsid w:val="007838AE"/>
    <w:rsid w:val="007839AA"/>
    <w:rsid w:val="00783DF1"/>
    <w:rsid w:val="00786374"/>
    <w:rsid w:val="007868C9"/>
    <w:rsid w:val="007873F4"/>
    <w:rsid w:val="00790103"/>
    <w:rsid w:val="00791161"/>
    <w:rsid w:val="007918DB"/>
    <w:rsid w:val="00791929"/>
    <w:rsid w:val="00791BC9"/>
    <w:rsid w:val="00791C8B"/>
    <w:rsid w:val="007920F1"/>
    <w:rsid w:val="007923D0"/>
    <w:rsid w:val="007925AA"/>
    <w:rsid w:val="00792EE7"/>
    <w:rsid w:val="00793634"/>
    <w:rsid w:val="007938C7"/>
    <w:rsid w:val="00793992"/>
    <w:rsid w:val="00793A5D"/>
    <w:rsid w:val="00793E64"/>
    <w:rsid w:val="00794CD2"/>
    <w:rsid w:val="00795A3F"/>
    <w:rsid w:val="0079627E"/>
    <w:rsid w:val="0079691F"/>
    <w:rsid w:val="00797592"/>
    <w:rsid w:val="00797E10"/>
    <w:rsid w:val="007A022B"/>
    <w:rsid w:val="007A0E6A"/>
    <w:rsid w:val="007A17A7"/>
    <w:rsid w:val="007A1DB7"/>
    <w:rsid w:val="007A29BC"/>
    <w:rsid w:val="007A309A"/>
    <w:rsid w:val="007A3752"/>
    <w:rsid w:val="007A3DB0"/>
    <w:rsid w:val="007A4569"/>
    <w:rsid w:val="007A51D3"/>
    <w:rsid w:val="007A56B8"/>
    <w:rsid w:val="007A65A5"/>
    <w:rsid w:val="007A7736"/>
    <w:rsid w:val="007B0324"/>
    <w:rsid w:val="007B0C3C"/>
    <w:rsid w:val="007B1468"/>
    <w:rsid w:val="007B18D9"/>
    <w:rsid w:val="007B1B01"/>
    <w:rsid w:val="007B1C85"/>
    <w:rsid w:val="007B2532"/>
    <w:rsid w:val="007B28E1"/>
    <w:rsid w:val="007B2F0F"/>
    <w:rsid w:val="007B3D09"/>
    <w:rsid w:val="007B459A"/>
    <w:rsid w:val="007B52A3"/>
    <w:rsid w:val="007B5BDD"/>
    <w:rsid w:val="007B5F17"/>
    <w:rsid w:val="007B5FB0"/>
    <w:rsid w:val="007B6033"/>
    <w:rsid w:val="007B626B"/>
    <w:rsid w:val="007B636E"/>
    <w:rsid w:val="007B6F0C"/>
    <w:rsid w:val="007C0025"/>
    <w:rsid w:val="007C0774"/>
    <w:rsid w:val="007C118D"/>
    <w:rsid w:val="007C1448"/>
    <w:rsid w:val="007C146E"/>
    <w:rsid w:val="007C1A3B"/>
    <w:rsid w:val="007C1E2F"/>
    <w:rsid w:val="007C235C"/>
    <w:rsid w:val="007C2A6D"/>
    <w:rsid w:val="007C2F1F"/>
    <w:rsid w:val="007C4936"/>
    <w:rsid w:val="007C5506"/>
    <w:rsid w:val="007C5A0C"/>
    <w:rsid w:val="007C5A7E"/>
    <w:rsid w:val="007C5DC9"/>
    <w:rsid w:val="007C606C"/>
    <w:rsid w:val="007C6226"/>
    <w:rsid w:val="007C6A48"/>
    <w:rsid w:val="007C6F88"/>
    <w:rsid w:val="007C709C"/>
    <w:rsid w:val="007D0265"/>
    <w:rsid w:val="007D0DC2"/>
    <w:rsid w:val="007D11B4"/>
    <w:rsid w:val="007D1727"/>
    <w:rsid w:val="007D1A23"/>
    <w:rsid w:val="007D216E"/>
    <w:rsid w:val="007D286D"/>
    <w:rsid w:val="007D2A7C"/>
    <w:rsid w:val="007D2F4F"/>
    <w:rsid w:val="007D34DE"/>
    <w:rsid w:val="007D3882"/>
    <w:rsid w:val="007D431E"/>
    <w:rsid w:val="007D51AF"/>
    <w:rsid w:val="007D557B"/>
    <w:rsid w:val="007D5D32"/>
    <w:rsid w:val="007D68CD"/>
    <w:rsid w:val="007D7559"/>
    <w:rsid w:val="007D7670"/>
    <w:rsid w:val="007E038D"/>
    <w:rsid w:val="007E05D3"/>
    <w:rsid w:val="007E144C"/>
    <w:rsid w:val="007E1B25"/>
    <w:rsid w:val="007E2521"/>
    <w:rsid w:val="007E2F69"/>
    <w:rsid w:val="007E343D"/>
    <w:rsid w:val="007E38BF"/>
    <w:rsid w:val="007E3EA3"/>
    <w:rsid w:val="007E4A33"/>
    <w:rsid w:val="007E4AF6"/>
    <w:rsid w:val="007E5B09"/>
    <w:rsid w:val="007E6D33"/>
    <w:rsid w:val="007E6FF5"/>
    <w:rsid w:val="007E79E2"/>
    <w:rsid w:val="007E7C24"/>
    <w:rsid w:val="007F0C58"/>
    <w:rsid w:val="007F16FC"/>
    <w:rsid w:val="007F1C7A"/>
    <w:rsid w:val="007F295B"/>
    <w:rsid w:val="007F32EE"/>
    <w:rsid w:val="007F33E9"/>
    <w:rsid w:val="007F41DC"/>
    <w:rsid w:val="007F463E"/>
    <w:rsid w:val="007F6AD1"/>
    <w:rsid w:val="00800631"/>
    <w:rsid w:val="00800855"/>
    <w:rsid w:val="008018A6"/>
    <w:rsid w:val="0080194B"/>
    <w:rsid w:val="00801EA4"/>
    <w:rsid w:val="008022A3"/>
    <w:rsid w:val="008029CF"/>
    <w:rsid w:val="00803A5C"/>
    <w:rsid w:val="00803C3F"/>
    <w:rsid w:val="00804099"/>
    <w:rsid w:val="0080444D"/>
    <w:rsid w:val="00804683"/>
    <w:rsid w:val="008049E8"/>
    <w:rsid w:val="00804D3F"/>
    <w:rsid w:val="00806392"/>
    <w:rsid w:val="0080705F"/>
    <w:rsid w:val="00807316"/>
    <w:rsid w:val="00807E98"/>
    <w:rsid w:val="0081046F"/>
    <w:rsid w:val="00810796"/>
    <w:rsid w:val="00810D20"/>
    <w:rsid w:val="00810D74"/>
    <w:rsid w:val="00812A12"/>
    <w:rsid w:val="00813830"/>
    <w:rsid w:val="00813F7D"/>
    <w:rsid w:val="00815B06"/>
    <w:rsid w:val="00816871"/>
    <w:rsid w:val="00816915"/>
    <w:rsid w:val="00816DC2"/>
    <w:rsid w:val="00820074"/>
    <w:rsid w:val="008200DF"/>
    <w:rsid w:val="00820932"/>
    <w:rsid w:val="00821023"/>
    <w:rsid w:val="00821416"/>
    <w:rsid w:val="008218B5"/>
    <w:rsid w:val="00822C5E"/>
    <w:rsid w:val="0082465E"/>
    <w:rsid w:val="00824D40"/>
    <w:rsid w:val="00826BE8"/>
    <w:rsid w:val="00827C2E"/>
    <w:rsid w:val="00827D97"/>
    <w:rsid w:val="00830816"/>
    <w:rsid w:val="0083090A"/>
    <w:rsid w:val="00830FD3"/>
    <w:rsid w:val="00831048"/>
    <w:rsid w:val="00831BEA"/>
    <w:rsid w:val="008320A8"/>
    <w:rsid w:val="00832633"/>
    <w:rsid w:val="00832642"/>
    <w:rsid w:val="0083266C"/>
    <w:rsid w:val="00832D55"/>
    <w:rsid w:val="00833243"/>
    <w:rsid w:val="008333C6"/>
    <w:rsid w:val="00833962"/>
    <w:rsid w:val="008339F2"/>
    <w:rsid w:val="00833F4A"/>
    <w:rsid w:val="008345AA"/>
    <w:rsid w:val="0083477C"/>
    <w:rsid w:val="0083520B"/>
    <w:rsid w:val="00835689"/>
    <w:rsid w:val="008357D3"/>
    <w:rsid w:val="00836253"/>
    <w:rsid w:val="0083630F"/>
    <w:rsid w:val="00836E03"/>
    <w:rsid w:val="008374D3"/>
    <w:rsid w:val="0084008D"/>
    <w:rsid w:val="00840EF7"/>
    <w:rsid w:val="008413D2"/>
    <w:rsid w:val="00841BE1"/>
    <w:rsid w:val="0084429A"/>
    <w:rsid w:val="00844844"/>
    <w:rsid w:val="00844A7E"/>
    <w:rsid w:val="00844B7C"/>
    <w:rsid w:val="00844B91"/>
    <w:rsid w:val="00845373"/>
    <w:rsid w:val="008455D3"/>
    <w:rsid w:val="008457DB"/>
    <w:rsid w:val="00845A54"/>
    <w:rsid w:val="00846227"/>
    <w:rsid w:val="008462E7"/>
    <w:rsid w:val="00846604"/>
    <w:rsid w:val="00846A1F"/>
    <w:rsid w:val="00847640"/>
    <w:rsid w:val="008477DA"/>
    <w:rsid w:val="008509B5"/>
    <w:rsid w:val="008512EC"/>
    <w:rsid w:val="00851C45"/>
    <w:rsid w:val="0085230C"/>
    <w:rsid w:val="00852A87"/>
    <w:rsid w:val="00852B33"/>
    <w:rsid w:val="00852E08"/>
    <w:rsid w:val="00853681"/>
    <w:rsid w:val="00853E85"/>
    <w:rsid w:val="008553E8"/>
    <w:rsid w:val="008565ED"/>
    <w:rsid w:val="00856699"/>
    <w:rsid w:val="00857785"/>
    <w:rsid w:val="00860725"/>
    <w:rsid w:val="008607E2"/>
    <w:rsid w:val="00860B13"/>
    <w:rsid w:val="00861ABC"/>
    <w:rsid w:val="00863DCB"/>
    <w:rsid w:val="00864A73"/>
    <w:rsid w:val="008650A9"/>
    <w:rsid w:val="00865A3E"/>
    <w:rsid w:val="00865CF9"/>
    <w:rsid w:val="0086622F"/>
    <w:rsid w:val="008666BC"/>
    <w:rsid w:val="00867103"/>
    <w:rsid w:val="00867FB8"/>
    <w:rsid w:val="00870D53"/>
    <w:rsid w:val="008715BA"/>
    <w:rsid w:val="008716AE"/>
    <w:rsid w:val="0087196F"/>
    <w:rsid w:val="00872311"/>
    <w:rsid w:val="0087255E"/>
    <w:rsid w:val="008727C1"/>
    <w:rsid w:val="008729D7"/>
    <w:rsid w:val="008729ED"/>
    <w:rsid w:val="00872B30"/>
    <w:rsid w:val="008737CA"/>
    <w:rsid w:val="00873ABD"/>
    <w:rsid w:val="0087589E"/>
    <w:rsid w:val="008759A8"/>
    <w:rsid w:val="00875A6B"/>
    <w:rsid w:val="008773E0"/>
    <w:rsid w:val="00877CE2"/>
    <w:rsid w:val="008806FA"/>
    <w:rsid w:val="0088181E"/>
    <w:rsid w:val="00882035"/>
    <w:rsid w:val="0088267B"/>
    <w:rsid w:val="00882DF9"/>
    <w:rsid w:val="0088306A"/>
    <w:rsid w:val="00884741"/>
    <w:rsid w:val="008848E0"/>
    <w:rsid w:val="00884A8B"/>
    <w:rsid w:val="00885E02"/>
    <w:rsid w:val="00885E43"/>
    <w:rsid w:val="008876CF"/>
    <w:rsid w:val="008877D4"/>
    <w:rsid w:val="00887A7A"/>
    <w:rsid w:val="00887CE0"/>
    <w:rsid w:val="00887F66"/>
    <w:rsid w:val="00890358"/>
    <w:rsid w:val="00890D58"/>
    <w:rsid w:val="00892319"/>
    <w:rsid w:val="00893570"/>
    <w:rsid w:val="008957C5"/>
    <w:rsid w:val="0089619F"/>
    <w:rsid w:val="00896904"/>
    <w:rsid w:val="008969B5"/>
    <w:rsid w:val="00896FF3"/>
    <w:rsid w:val="00897427"/>
    <w:rsid w:val="0089745F"/>
    <w:rsid w:val="0089756E"/>
    <w:rsid w:val="00897C87"/>
    <w:rsid w:val="008A2282"/>
    <w:rsid w:val="008A2844"/>
    <w:rsid w:val="008A317D"/>
    <w:rsid w:val="008A35AF"/>
    <w:rsid w:val="008A3D47"/>
    <w:rsid w:val="008A42A3"/>
    <w:rsid w:val="008A43A4"/>
    <w:rsid w:val="008A444B"/>
    <w:rsid w:val="008A60E0"/>
    <w:rsid w:val="008A6268"/>
    <w:rsid w:val="008A6B5A"/>
    <w:rsid w:val="008A6B88"/>
    <w:rsid w:val="008A7FBF"/>
    <w:rsid w:val="008B12F7"/>
    <w:rsid w:val="008B17F0"/>
    <w:rsid w:val="008B1D90"/>
    <w:rsid w:val="008B1E37"/>
    <w:rsid w:val="008B2182"/>
    <w:rsid w:val="008B2437"/>
    <w:rsid w:val="008B2478"/>
    <w:rsid w:val="008B2B0B"/>
    <w:rsid w:val="008B4849"/>
    <w:rsid w:val="008B595C"/>
    <w:rsid w:val="008B797F"/>
    <w:rsid w:val="008C02A1"/>
    <w:rsid w:val="008C0B3B"/>
    <w:rsid w:val="008C0C2A"/>
    <w:rsid w:val="008C0DAB"/>
    <w:rsid w:val="008C1330"/>
    <w:rsid w:val="008C18ED"/>
    <w:rsid w:val="008C27D2"/>
    <w:rsid w:val="008C30B7"/>
    <w:rsid w:val="008C3F6D"/>
    <w:rsid w:val="008C4263"/>
    <w:rsid w:val="008C4651"/>
    <w:rsid w:val="008C4E37"/>
    <w:rsid w:val="008C556F"/>
    <w:rsid w:val="008C5901"/>
    <w:rsid w:val="008C5DF1"/>
    <w:rsid w:val="008C60BF"/>
    <w:rsid w:val="008C6E84"/>
    <w:rsid w:val="008C70C3"/>
    <w:rsid w:val="008D05A4"/>
    <w:rsid w:val="008D20D2"/>
    <w:rsid w:val="008D2129"/>
    <w:rsid w:val="008D2324"/>
    <w:rsid w:val="008D24E1"/>
    <w:rsid w:val="008D2728"/>
    <w:rsid w:val="008D2A25"/>
    <w:rsid w:val="008D2C1A"/>
    <w:rsid w:val="008D3256"/>
    <w:rsid w:val="008D358C"/>
    <w:rsid w:val="008D3677"/>
    <w:rsid w:val="008D4179"/>
    <w:rsid w:val="008D47CA"/>
    <w:rsid w:val="008D4EFD"/>
    <w:rsid w:val="008D6135"/>
    <w:rsid w:val="008D65A3"/>
    <w:rsid w:val="008D6ABB"/>
    <w:rsid w:val="008D70DF"/>
    <w:rsid w:val="008D7C15"/>
    <w:rsid w:val="008E0168"/>
    <w:rsid w:val="008E02E0"/>
    <w:rsid w:val="008E0654"/>
    <w:rsid w:val="008E0E15"/>
    <w:rsid w:val="008E124F"/>
    <w:rsid w:val="008E16B1"/>
    <w:rsid w:val="008E1845"/>
    <w:rsid w:val="008E1877"/>
    <w:rsid w:val="008E2ABE"/>
    <w:rsid w:val="008E2BC9"/>
    <w:rsid w:val="008E4BC9"/>
    <w:rsid w:val="008E5A97"/>
    <w:rsid w:val="008E62BE"/>
    <w:rsid w:val="008E68C0"/>
    <w:rsid w:val="008E7181"/>
    <w:rsid w:val="008F19C9"/>
    <w:rsid w:val="008F1A01"/>
    <w:rsid w:val="008F1D4D"/>
    <w:rsid w:val="008F24FD"/>
    <w:rsid w:val="008F2729"/>
    <w:rsid w:val="008F2893"/>
    <w:rsid w:val="008F3083"/>
    <w:rsid w:val="008F356C"/>
    <w:rsid w:val="008F392C"/>
    <w:rsid w:val="008F3A5A"/>
    <w:rsid w:val="008F4111"/>
    <w:rsid w:val="008F444A"/>
    <w:rsid w:val="008F476E"/>
    <w:rsid w:val="008F4BE5"/>
    <w:rsid w:val="008F50CA"/>
    <w:rsid w:val="008F6F33"/>
    <w:rsid w:val="008F70E3"/>
    <w:rsid w:val="008F77CB"/>
    <w:rsid w:val="00900AB9"/>
    <w:rsid w:val="00901150"/>
    <w:rsid w:val="009015E3"/>
    <w:rsid w:val="00901B99"/>
    <w:rsid w:val="00902036"/>
    <w:rsid w:val="0090330C"/>
    <w:rsid w:val="00903D27"/>
    <w:rsid w:val="00905558"/>
    <w:rsid w:val="00905EC8"/>
    <w:rsid w:val="00907897"/>
    <w:rsid w:val="0090797C"/>
    <w:rsid w:val="00907CAD"/>
    <w:rsid w:val="00910864"/>
    <w:rsid w:val="00910D80"/>
    <w:rsid w:val="0091120C"/>
    <w:rsid w:val="00912BD4"/>
    <w:rsid w:val="00912FC1"/>
    <w:rsid w:val="0091308E"/>
    <w:rsid w:val="009130C4"/>
    <w:rsid w:val="00913C99"/>
    <w:rsid w:val="00914011"/>
    <w:rsid w:val="00914511"/>
    <w:rsid w:val="00914A68"/>
    <w:rsid w:val="00914D37"/>
    <w:rsid w:val="009154B0"/>
    <w:rsid w:val="0091569E"/>
    <w:rsid w:val="00915906"/>
    <w:rsid w:val="00915A1C"/>
    <w:rsid w:val="00915D93"/>
    <w:rsid w:val="00915E67"/>
    <w:rsid w:val="00917792"/>
    <w:rsid w:val="0092009D"/>
    <w:rsid w:val="00920EBB"/>
    <w:rsid w:val="00921B02"/>
    <w:rsid w:val="00922486"/>
    <w:rsid w:val="009226FE"/>
    <w:rsid w:val="009227DF"/>
    <w:rsid w:val="009228EE"/>
    <w:rsid w:val="0092291B"/>
    <w:rsid w:val="00922A11"/>
    <w:rsid w:val="009231C7"/>
    <w:rsid w:val="00923A23"/>
    <w:rsid w:val="0092478F"/>
    <w:rsid w:val="0092495C"/>
    <w:rsid w:val="009259D8"/>
    <w:rsid w:val="00925A12"/>
    <w:rsid w:val="009262D9"/>
    <w:rsid w:val="009271F6"/>
    <w:rsid w:val="00927ABC"/>
    <w:rsid w:val="0093026E"/>
    <w:rsid w:val="009306EC"/>
    <w:rsid w:val="009316F2"/>
    <w:rsid w:val="00931C32"/>
    <w:rsid w:val="009326F9"/>
    <w:rsid w:val="00932A6B"/>
    <w:rsid w:val="00932C34"/>
    <w:rsid w:val="00932E96"/>
    <w:rsid w:val="00932F6D"/>
    <w:rsid w:val="00933333"/>
    <w:rsid w:val="00934EEE"/>
    <w:rsid w:val="0093601D"/>
    <w:rsid w:val="0093674B"/>
    <w:rsid w:val="009367A3"/>
    <w:rsid w:val="00936F68"/>
    <w:rsid w:val="00937A7E"/>
    <w:rsid w:val="00940E96"/>
    <w:rsid w:val="00940FB9"/>
    <w:rsid w:val="009427D4"/>
    <w:rsid w:val="00942D4B"/>
    <w:rsid w:val="00943872"/>
    <w:rsid w:val="00943FF9"/>
    <w:rsid w:val="00944341"/>
    <w:rsid w:val="00946EE9"/>
    <w:rsid w:val="0094702A"/>
    <w:rsid w:val="009477B5"/>
    <w:rsid w:val="00947C8C"/>
    <w:rsid w:val="00947EEB"/>
    <w:rsid w:val="009500CA"/>
    <w:rsid w:val="0095098F"/>
    <w:rsid w:val="00950A1B"/>
    <w:rsid w:val="00950BFB"/>
    <w:rsid w:val="00951A1A"/>
    <w:rsid w:val="00951AE4"/>
    <w:rsid w:val="00951C12"/>
    <w:rsid w:val="00952267"/>
    <w:rsid w:val="009531A7"/>
    <w:rsid w:val="00953627"/>
    <w:rsid w:val="00954348"/>
    <w:rsid w:val="00956487"/>
    <w:rsid w:val="0095798B"/>
    <w:rsid w:val="009604FC"/>
    <w:rsid w:val="009612EA"/>
    <w:rsid w:val="009616DC"/>
    <w:rsid w:val="0096205E"/>
    <w:rsid w:val="009626A7"/>
    <w:rsid w:val="009628B7"/>
    <w:rsid w:val="009628DE"/>
    <w:rsid w:val="009634D7"/>
    <w:rsid w:val="0096393E"/>
    <w:rsid w:val="00964CEF"/>
    <w:rsid w:val="00964DA0"/>
    <w:rsid w:val="00964F77"/>
    <w:rsid w:val="009655F8"/>
    <w:rsid w:val="00966199"/>
    <w:rsid w:val="009677DF"/>
    <w:rsid w:val="00967804"/>
    <w:rsid w:val="00967F7F"/>
    <w:rsid w:val="00971F53"/>
    <w:rsid w:val="0097264D"/>
    <w:rsid w:val="00972869"/>
    <w:rsid w:val="0097291C"/>
    <w:rsid w:val="00973A5B"/>
    <w:rsid w:val="00973C36"/>
    <w:rsid w:val="0097453F"/>
    <w:rsid w:val="00974E56"/>
    <w:rsid w:val="00975064"/>
    <w:rsid w:val="009752C7"/>
    <w:rsid w:val="0097564A"/>
    <w:rsid w:val="0097577F"/>
    <w:rsid w:val="00976098"/>
    <w:rsid w:val="009773A6"/>
    <w:rsid w:val="009774F7"/>
    <w:rsid w:val="0097779F"/>
    <w:rsid w:val="00982420"/>
    <w:rsid w:val="00982D91"/>
    <w:rsid w:val="00983CC9"/>
    <w:rsid w:val="00984258"/>
    <w:rsid w:val="00984468"/>
    <w:rsid w:val="0098475C"/>
    <w:rsid w:val="009847DD"/>
    <w:rsid w:val="00984F88"/>
    <w:rsid w:val="0098506E"/>
    <w:rsid w:val="009853C6"/>
    <w:rsid w:val="00985602"/>
    <w:rsid w:val="00985F79"/>
    <w:rsid w:val="00986FE3"/>
    <w:rsid w:val="0098756C"/>
    <w:rsid w:val="009875C2"/>
    <w:rsid w:val="00987BDE"/>
    <w:rsid w:val="00990C8A"/>
    <w:rsid w:val="00991243"/>
    <w:rsid w:val="009912AC"/>
    <w:rsid w:val="00993786"/>
    <w:rsid w:val="00993B35"/>
    <w:rsid w:val="0099422B"/>
    <w:rsid w:val="00994D8D"/>
    <w:rsid w:val="009953B6"/>
    <w:rsid w:val="00995682"/>
    <w:rsid w:val="009957E4"/>
    <w:rsid w:val="0099663F"/>
    <w:rsid w:val="00996AD0"/>
    <w:rsid w:val="00996FB2"/>
    <w:rsid w:val="009979C7"/>
    <w:rsid w:val="00997A3B"/>
    <w:rsid w:val="00997B50"/>
    <w:rsid w:val="00997CAE"/>
    <w:rsid w:val="009A0FFA"/>
    <w:rsid w:val="009A1183"/>
    <w:rsid w:val="009A1786"/>
    <w:rsid w:val="009A2A7E"/>
    <w:rsid w:val="009A2C4F"/>
    <w:rsid w:val="009A4925"/>
    <w:rsid w:val="009A50B9"/>
    <w:rsid w:val="009A6315"/>
    <w:rsid w:val="009A7F11"/>
    <w:rsid w:val="009B0312"/>
    <w:rsid w:val="009B0344"/>
    <w:rsid w:val="009B1316"/>
    <w:rsid w:val="009B1CC5"/>
    <w:rsid w:val="009B226F"/>
    <w:rsid w:val="009B2288"/>
    <w:rsid w:val="009B22DE"/>
    <w:rsid w:val="009B286C"/>
    <w:rsid w:val="009B4263"/>
    <w:rsid w:val="009B468C"/>
    <w:rsid w:val="009B484C"/>
    <w:rsid w:val="009B49DE"/>
    <w:rsid w:val="009B4DBE"/>
    <w:rsid w:val="009B4F4B"/>
    <w:rsid w:val="009B6671"/>
    <w:rsid w:val="009B6BD8"/>
    <w:rsid w:val="009B7154"/>
    <w:rsid w:val="009B7897"/>
    <w:rsid w:val="009B7B21"/>
    <w:rsid w:val="009C1331"/>
    <w:rsid w:val="009C136A"/>
    <w:rsid w:val="009C1741"/>
    <w:rsid w:val="009C2877"/>
    <w:rsid w:val="009C4E65"/>
    <w:rsid w:val="009C64B5"/>
    <w:rsid w:val="009C68CD"/>
    <w:rsid w:val="009C696D"/>
    <w:rsid w:val="009C6CEB"/>
    <w:rsid w:val="009D0094"/>
    <w:rsid w:val="009D0FF6"/>
    <w:rsid w:val="009D160B"/>
    <w:rsid w:val="009D23B4"/>
    <w:rsid w:val="009D2410"/>
    <w:rsid w:val="009D2479"/>
    <w:rsid w:val="009D47F8"/>
    <w:rsid w:val="009D493B"/>
    <w:rsid w:val="009D5BF2"/>
    <w:rsid w:val="009D7290"/>
    <w:rsid w:val="009D760C"/>
    <w:rsid w:val="009D7ECD"/>
    <w:rsid w:val="009E01BD"/>
    <w:rsid w:val="009E0921"/>
    <w:rsid w:val="009E0EBA"/>
    <w:rsid w:val="009E1B43"/>
    <w:rsid w:val="009E2B97"/>
    <w:rsid w:val="009E597C"/>
    <w:rsid w:val="009E6426"/>
    <w:rsid w:val="009E6849"/>
    <w:rsid w:val="009E71B5"/>
    <w:rsid w:val="009E79C0"/>
    <w:rsid w:val="009E7A57"/>
    <w:rsid w:val="009F0CC4"/>
    <w:rsid w:val="009F1C99"/>
    <w:rsid w:val="009F22FF"/>
    <w:rsid w:val="009F25A5"/>
    <w:rsid w:val="009F2807"/>
    <w:rsid w:val="009F3836"/>
    <w:rsid w:val="009F3A0F"/>
    <w:rsid w:val="009F431A"/>
    <w:rsid w:val="009F4373"/>
    <w:rsid w:val="009F5034"/>
    <w:rsid w:val="009F5AB6"/>
    <w:rsid w:val="009F6C51"/>
    <w:rsid w:val="009F719C"/>
    <w:rsid w:val="00A00050"/>
    <w:rsid w:val="00A01961"/>
    <w:rsid w:val="00A02017"/>
    <w:rsid w:val="00A0229F"/>
    <w:rsid w:val="00A02FDD"/>
    <w:rsid w:val="00A036A4"/>
    <w:rsid w:val="00A03C66"/>
    <w:rsid w:val="00A04266"/>
    <w:rsid w:val="00A0436C"/>
    <w:rsid w:val="00A04618"/>
    <w:rsid w:val="00A04C64"/>
    <w:rsid w:val="00A04DF3"/>
    <w:rsid w:val="00A056B1"/>
    <w:rsid w:val="00A05BC4"/>
    <w:rsid w:val="00A06340"/>
    <w:rsid w:val="00A064E4"/>
    <w:rsid w:val="00A0695F"/>
    <w:rsid w:val="00A06E86"/>
    <w:rsid w:val="00A07A38"/>
    <w:rsid w:val="00A10222"/>
    <w:rsid w:val="00A10639"/>
    <w:rsid w:val="00A1071F"/>
    <w:rsid w:val="00A10C68"/>
    <w:rsid w:val="00A10DFD"/>
    <w:rsid w:val="00A11410"/>
    <w:rsid w:val="00A11D6C"/>
    <w:rsid w:val="00A12E0A"/>
    <w:rsid w:val="00A13695"/>
    <w:rsid w:val="00A139E1"/>
    <w:rsid w:val="00A13DCC"/>
    <w:rsid w:val="00A13E83"/>
    <w:rsid w:val="00A14390"/>
    <w:rsid w:val="00A1474B"/>
    <w:rsid w:val="00A15FCB"/>
    <w:rsid w:val="00A16901"/>
    <w:rsid w:val="00A17A06"/>
    <w:rsid w:val="00A17D2C"/>
    <w:rsid w:val="00A217FB"/>
    <w:rsid w:val="00A2362F"/>
    <w:rsid w:val="00A23828"/>
    <w:rsid w:val="00A23ADB"/>
    <w:rsid w:val="00A23DA3"/>
    <w:rsid w:val="00A242C1"/>
    <w:rsid w:val="00A2497A"/>
    <w:rsid w:val="00A24C37"/>
    <w:rsid w:val="00A254D7"/>
    <w:rsid w:val="00A25ED4"/>
    <w:rsid w:val="00A2778B"/>
    <w:rsid w:val="00A30AAA"/>
    <w:rsid w:val="00A30C45"/>
    <w:rsid w:val="00A314BE"/>
    <w:rsid w:val="00A31F81"/>
    <w:rsid w:val="00A32704"/>
    <w:rsid w:val="00A337A2"/>
    <w:rsid w:val="00A339D1"/>
    <w:rsid w:val="00A34D97"/>
    <w:rsid w:val="00A35AF8"/>
    <w:rsid w:val="00A3794D"/>
    <w:rsid w:val="00A40AAB"/>
    <w:rsid w:val="00A424F9"/>
    <w:rsid w:val="00A4274F"/>
    <w:rsid w:val="00A42F45"/>
    <w:rsid w:val="00A43A8C"/>
    <w:rsid w:val="00A44856"/>
    <w:rsid w:val="00A45390"/>
    <w:rsid w:val="00A45629"/>
    <w:rsid w:val="00A45DF2"/>
    <w:rsid w:val="00A4604D"/>
    <w:rsid w:val="00A5088C"/>
    <w:rsid w:val="00A508D2"/>
    <w:rsid w:val="00A550AF"/>
    <w:rsid w:val="00A56B7F"/>
    <w:rsid w:val="00A57A44"/>
    <w:rsid w:val="00A6049D"/>
    <w:rsid w:val="00A60545"/>
    <w:rsid w:val="00A6088C"/>
    <w:rsid w:val="00A610F6"/>
    <w:rsid w:val="00A61349"/>
    <w:rsid w:val="00A616C8"/>
    <w:rsid w:val="00A62236"/>
    <w:rsid w:val="00A62240"/>
    <w:rsid w:val="00A62321"/>
    <w:rsid w:val="00A62402"/>
    <w:rsid w:val="00A635FE"/>
    <w:rsid w:val="00A63EB9"/>
    <w:rsid w:val="00A643C1"/>
    <w:rsid w:val="00A65085"/>
    <w:rsid w:val="00A65A02"/>
    <w:rsid w:val="00A65A44"/>
    <w:rsid w:val="00A668C5"/>
    <w:rsid w:val="00A668DA"/>
    <w:rsid w:val="00A6690D"/>
    <w:rsid w:val="00A66C37"/>
    <w:rsid w:val="00A66FCE"/>
    <w:rsid w:val="00A67F5F"/>
    <w:rsid w:val="00A70350"/>
    <w:rsid w:val="00A73B61"/>
    <w:rsid w:val="00A74D8D"/>
    <w:rsid w:val="00A74FF9"/>
    <w:rsid w:val="00A764D3"/>
    <w:rsid w:val="00A76AAE"/>
    <w:rsid w:val="00A76C7F"/>
    <w:rsid w:val="00A77B69"/>
    <w:rsid w:val="00A77FC1"/>
    <w:rsid w:val="00A820B4"/>
    <w:rsid w:val="00A821A0"/>
    <w:rsid w:val="00A82E77"/>
    <w:rsid w:val="00A835C5"/>
    <w:rsid w:val="00A83A71"/>
    <w:rsid w:val="00A848D6"/>
    <w:rsid w:val="00A84A4D"/>
    <w:rsid w:val="00A852C6"/>
    <w:rsid w:val="00A85E84"/>
    <w:rsid w:val="00A861B7"/>
    <w:rsid w:val="00A86A2D"/>
    <w:rsid w:val="00A86EF6"/>
    <w:rsid w:val="00A87A7E"/>
    <w:rsid w:val="00A87B7D"/>
    <w:rsid w:val="00A87D35"/>
    <w:rsid w:val="00A87E6D"/>
    <w:rsid w:val="00A908CB"/>
    <w:rsid w:val="00A910C3"/>
    <w:rsid w:val="00A9271E"/>
    <w:rsid w:val="00A92843"/>
    <w:rsid w:val="00A937CD"/>
    <w:rsid w:val="00A95F9C"/>
    <w:rsid w:val="00A962DD"/>
    <w:rsid w:val="00A9673A"/>
    <w:rsid w:val="00A96BFE"/>
    <w:rsid w:val="00A96F8D"/>
    <w:rsid w:val="00A97B76"/>
    <w:rsid w:val="00AA0030"/>
    <w:rsid w:val="00AA084E"/>
    <w:rsid w:val="00AA1252"/>
    <w:rsid w:val="00AA285E"/>
    <w:rsid w:val="00AA2BBA"/>
    <w:rsid w:val="00AA2DDC"/>
    <w:rsid w:val="00AA33E5"/>
    <w:rsid w:val="00AA34FC"/>
    <w:rsid w:val="00AA3B69"/>
    <w:rsid w:val="00AA3CD6"/>
    <w:rsid w:val="00AA3CF9"/>
    <w:rsid w:val="00AA3DBD"/>
    <w:rsid w:val="00AA3F45"/>
    <w:rsid w:val="00AA42EA"/>
    <w:rsid w:val="00AA6AE4"/>
    <w:rsid w:val="00AA6BCD"/>
    <w:rsid w:val="00AA7AE3"/>
    <w:rsid w:val="00AB0556"/>
    <w:rsid w:val="00AB0C15"/>
    <w:rsid w:val="00AB0F3E"/>
    <w:rsid w:val="00AB1088"/>
    <w:rsid w:val="00AB26FA"/>
    <w:rsid w:val="00AB2D57"/>
    <w:rsid w:val="00AB3041"/>
    <w:rsid w:val="00AB3072"/>
    <w:rsid w:val="00AB3BA4"/>
    <w:rsid w:val="00AB50C1"/>
    <w:rsid w:val="00AB5BB1"/>
    <w:rsid w:val="00AB6165"/>
    <w:rsid w:val="00AB6591"/>
    <w:rsid w:val="00AB6F43"/>
    <w:rsid w:val="00AB779D"/>
    <w:rsid w:val="00AB79DE"/>
    <w:rsid w:val="00AB7DCF"/>
    <w:rsid w:val="00AC01DD"/>
    <w:rsid w:val="00AC057B"/>
    <w:rsid w:val="00AC0800"/>
    <w:rsid w:val="00AC0F5A"/>
    <w:rsid w:val="00AC13BB"/>
    <w:rsid w:val="00AC146B"/>
    <w:rsid w:val="00AC24B8"/>
    <w:rsid w:val="00AC2C4D"/>
    <w:rsid w:val="00AC3058"/>
    <w:rsid w:val="00AC31D2"/>
    <w:rsid w:val="00AC32BE"/>
    <w:rsid w:val="00AC3C13"/>
    <w:rsid w:val="00AC3C6E"/>
    <w:rsid w:val="00AC4F67"/>
    <w:rsid w:val="00AC6E2F"/>
    <w:rsid w:val="00AC6E71"/>
    <w:rsid w:val="00AC6F91"/>
    <w:rsid w:val="00AC788F"/>
    <w:rsid w:val="00AC7E94"/>
    <w:rsid w:val="00AD07B4"/>
    <w:rsid w:val="00AD08A7"/>
    <w:rsid w:val="00AD0B82"/>
    <w:rsid w:val="00AD0F0F"/>
    <w:rsid w:val="00AD1C61"/>
    <w:rsid w:val="00AD2C94"/>
    <w:rsid w:val="00AD3125"/>
    <w:rsid w:val="00AD3523"/>
    <w:rsid w:val="00AD387D"/>
    <w:rsid w:val="00AD4CA8"/>
    <w:rsid w:val="00AD5181"/>
    <w:rsid w:val="00AD575E"/>
    <w:rsid w:val="00AD5950"/>
    <w:rsid w:val="00AD6038"/>
    <w:rsid w:val="00AD64EA"/>
    <w:rsid w:val="00AD6BFB"/>
    <w:rsid w:val="00AD71BF"/>
    <w:rsid w:val="00AE027F"/>
    <w:rsid w:val="00AE0763"/>
    <w:rsid w:val="00AE0F43"/>
    <w:rsid w:val="00AE19CA"/>
    <w:rsid w:val="00AE22E7"/>
    <w:rsid w:val="00AE2B65"/>
    <w:rsid w:val="00AE3024"/>
    <w:rsid w:val="00AE358E"/>
    <w:rsid w:val="00AE3668"/>
    <w:rsid w:val="00AE3BFC"/>
    <w:rsid w:val="00AE4283"/>
    <w:rsid w:val="00AE46E6"/>
    <w:rsid w:val="00AE4A63"/>
    <w:rsid w:val="00AE4C73"/>
    <w:rsid w:val="00AE53EB"/>
    <w:rsid w:val="00AE6A20"/>
    <w:rsid w:val="00AE7C65"/>
    <w:rsid w:val="00AF06E3"/>
    <w:rsid w:val="00AF418B"/>
    <w:rsid w:val="00AF5021"/>
    <w:rsid w:val="00AF561A"/>
    <w:rsid w:val="00AF5F36"/>
    <w:rsid w:val="00AF64C7"/>
    <w:rsid w:val="00AF7172"/>
    <w:rsid w:val="00AF7B86"/>
    <w:rsid w:val="00B01CC0"/>
    <w:rsid w:val="00B023B6"/>
    <w:rsid w:val="00B02441"/>
    <w:rsid w:val="00B027A0"/>
    <w:rsid w:val="00B02F5D"/>
    <w:rsid w:val="00B04A9B"/>
    <w:rsid w:val="00B04DB2"/>
    <w:rsid w:val="00B0541C"/>
    <w:rsid w:val="00B11996"/>
    <w:rsid w:val="00B1227E"/>
    <w:rsid w:val="00B122E6"/>
    <w:rsid w:val="00B1246D"/>
    <w:rsid w:val="00B12475"/>
    <w:rsid w:val="00B148D3"/>
    <w:rsid w:val="00B14CC6"/>
    <w:rsid w:val="00B15012"/>
    <w:rsid w:val="00B150E8"/>
    <w:rsid w:val="00B15240"/>
    <w:rsid w:val="00B154A1"/>
    <w:rsid w:val="00B16BDB"/>
    <w:rsid w:val="00B17855"/>
    <w:rsid w:val="00B17CD4"/>
    <w:rsid w:val="00B209F5"/>
    <w:rsid w:val="00B20FF1"/>
    <w:rsid w:val="00B2138F"/>
    <w:rsid w:val="00B22459"/>
    <w:rsid w:val="00B236D6"/>
    <w:rsid w:val="00B239FA"/>
    <w:rsid w:val="00B23AA0"/>
    <w:rsid w:val="00B23E0B"/>
    <w:rsid w:val="00B245FB"/>
    <w:rsid w:val="00B25D06"/>
    <w:rsid w:val="00B260DA"/>
    <w:rsid w:val="00B2684A"/>
    <w:rsid w:val="00B272A6"/>
    <w:rsid w:val="00B30A63"/>
    <w:rsid w:val="00B30E50"/>
    <w:rsid w:val="00B31ED0"/>
    <w:rsid w:val="00B32453"/>
    <w:rsid w:val="00B32D36"/>
    <w:rsid w:val="00B337E0"/>
    <w:rsid w:val="00B344FC"/>
    <w:rsid w:val="00B3462B"/>
    <w:rsid w:val="00B35174"/>
    <w:rsid w:val="00B3576F"/>
    <w:rsid w:val="00B35816"/>
    <w:rsid w:val="00B35818"/>
    <w:rsid w:val="00B36CE3"/>
    <w:rsid w:val="00B37593"/>
    <w:rsid w:val="00B37E0D"/>
    <w:rsid w:val="00B40928"/>
    <w:rsid w:val="00B40EDC"/>
    <w:rsid w:val="00B413C8"/>
    <w:rsid w:val="00B42362"/>
    <w:rsid w:val="00B42CBF"/>
    <w:rsid w:val="00B4416B"/>
    <w:rsid w:val="00B467EE"/>
    <w:rsid w:val="00B50667"/>
    <w:rsid w:val="00B508BF"/>
    <w:rsid w:val="00B51252"/>
    <w:rsid w:val="00B51537"/>
    <w:rsid w:val="00B51ACF"/>
    <w:rsid w:val="00B53BFE"/>
    <w:rsid w:val="00B547C7"/>
    <w:rsid w:val="00B54CF7"/>
    <w:rsid w:val="00B54DE2"/>
    <w:rsid w:val="00B55747"/>
    <w:rsid w:val="00B55BBE"/>
    <w:rsid w:val="00B55DB0"/>
    <w:rsid w:val="00B603E8"/>
    <w:rsid w:val="00B6070D"/>
    <w:rsid w:val="00B60D9D"/>
    <w:rsid w:val="00B616BB"/>
    <w:rsid w:val="00B6273C"/>
    <w:rsid w:val="00B627AB"/>
    <w:rsid w:val="00B62DE3"/>
    <w:rsid w:val="00B634A0"/>
    <w:rsid w:val="00B63C39"/>
    <w:rsid w:val="00B66615"/>
    <w:rsid w:val="00B66AC7"/>
    <w:rsid w:val="00B674F4"/>
    <w:rsid w:val="00B675E0"/>
    <w:rsid w:val="00B67707"/>
    <w:rsid w:val="00B70157"/>
    <w:rsid w:val="00B7030D"/>
    <w:rsid w:val="00B706E4"/>
    <w:rsid w:val="00B70C21"/>
    <w:rsid w:val="00B71B4A"/>
    <w:rsid w:val="00B752A4"/>
    <w:rsid w:val="00B75D9E"/>
    <w:rsid w:val="00B76090"/>
    <w:rsid w:val="00B76685"/>
    <w:rsid w:val="00B76F01"/>
    <w:rsid w:val="00B80183"/>
    <w:rsid w:val="00B804C3"/>
    <w:rsid w:val="00B80784"/>
    <w:rsid w:val="00B80FDC"/>
    <w:rsid w:val="00B8105C"/>
    <w:rsid w:val="00B8181E"/>
    <w:rsid w:val="00B82192"/>
    <w:rsid w:val="00B8392C"/>
    <w:rsid w:val="00B83BE8"/>
    <w:rsid w:val="00B83F3D"/>
    <w:rsid w:val="00B84774"/>
    <w:rsid w:val="00B84776"/>
    <w:rsid w:val="00B84CAC"/>
    <w:rsid w:val="00B85B87"/>
    <w:rsid w:val="00B90759"/>
    <w:rsid w:val="00B9127F"/>
    <w:rsid w:val="00B913FD"/>
    <w:rsid w:val="00B91A1F"/>
    <w:rsid w:val="00B924E9"/>
    <w:rsid w:val="00B93301"/>
    <w:rsid w:val="00B9459B"/>
    <w:rsid w:val="00B949EA"/>
    <w:rsid w:val="00B95563"/>
    <w:rsid w:val="00B9587A"/>
    <w:rsid w:val="00B95A93"/>
    <w:rsid w:val="00B962F7"/>
    <w:rsid w:val="00B96A95"/>
    <w:rsid w:val="00B96F81"/>
    <w:rsid w:val="00B9751B"/>
    <w:rsid w:val="00BA07F2"/>
    <w:rsid w:val="00BA1CF3"/>
    <w:rsid w:val="00BA223C"/>
    <w:rsid w:val="00BA2582"/>
    <w:rsid w:val="00BA3B9F"/>
    <w:rsid w:val="00BA3F75"/>
    <w:rsid w:val="00BA4843"/>
    <w:rsid w:val="00BA4D13"/>
    <w:rsid w:val="00BA5022"/>
    <w:rsid w:val="00BA5CC7"/>
    <w:rsid w:val="00BA677B"/>
    <w:rsid w:val="00BA6B9E"/>
    <w:rsid w:val="00BA789C"/>
    <w:rsid w:val="00BA7A0D"/>
    <w:rsid w:val="00BB007B"/>
    <w:rsid w:val="00BB0D19"/>
    <w:rsid w:val="00BB22A1"/>
    <w:rsid w:val="00BB2488"/>
    <w:rsid w:val="00BB27DD"/>
    <w:rsid w:val="00BB2A84"/>
    <w:rsid w:val="00BB2BF2"/>
    <w:rsid w:val="00BB2CD2"/>
    <w:rsid w:val="00BB39B4"/>
    <w:rsid w:val="00BB45FC"/>
    <w:rsid w:val="00BB56B1"/>
    <w:rsid w:val="00BB5C54"/>
    <w:rsid w:val="00BB6738"/>
    <w:rsid w:val="00BB74DA"/>
    <w:rsid w:val="00BB7581"/>
    <w:rsid w:val="00BC0948"/>
    <w:rsid w:val="00BC0A0B"/>
    <w:rsid w:val="00BC184F"/>
    <w:rsid w:val="00BC1AAA"/>
    <w:rsid w:val="00BC1FA2"/>
    <w:rsid w:val="00BC3ABB"/>
    <w:rsid w:val="00BC41E9"/>
    <w:rsid w:val="00BC43F3"/>
    <w:rsid w:val="00BC48B3"/>
    <w:rsid w:val="00BC49E9"/>
    <w:rsid w:val="00BC5D3A"/>
    <w:rsid w:val="00BC6927"/>
    <w:rsid w:val="00BC781B"/>
    <w:rsid w:val="00BD08FF"/>
    <w:rsid w:val="00BD090C"/>
    <w:rsid w:val="00BD0C55"/>
    <w:rsid w:val="00BD0DAD"/>
    <w:rsid w:val="00BD22D1"/>
    <w:rsid w:val="00BD237A"/>
    <w:rsid w:val="00BD24EF"/>
    <w:rsid w:val="00BD281F"/>
    <w:rsid w:val="00BD28FB"/>
    <w:rsid w:val="00BD3320"/>
    <w:rsid w:val="00BD4A43"/>
    <w:rsid w:val="00BD4F73"/>
    <w:rsid w:val="00BD4F7F"/>
    <w:rsid w:val="00BD51A8"/>
    <w:rsid w:val="00BD57E9"/>
    <w:rsid w:val="00BD5A54"/>
    <w:rsid w:val="00BD5B57"/>
    <w:rsid w:val="00BD5D75"/>
    <w:rsid w:val="00BD631D"/>
    <w:rsid w:val="00BD70AC"/>
    <w:rsid w:val="00BD7138"/>
    <w:rsid w:val="00BE1A76"/>
    <w:rsid w:val="00BE2F1E"/>
    <w:rsid w:val="00BE345F"/>
    <w:rsid w:val="00BE3594"/>
    <w:rsid w:val="00BE3BC9"/>
    <w:rsid w:val="00BE3DAA"/>
    <w:rsid w:val="00BE3FA1"/>
    <w:rsid w:val="00BE422C"/>
    <w:rsid w:val="00BE5947"/>
    <w:rsid w:val="00BE59F0"/>
    <w:rsid w:val="00BE5A9E"/>
    <w:rsid w:val="00BE6259"/>
    <w:rsid w:val="00BE7BA7"/>
    <w:rsid w:val="00BF0580"/>
    <w:rsid w:val="00BF20B6"/>
    <w:rsid w:val="00BF343A"/>
    <w:rsid w:val="00BF355A"/>
    <w:rsid w:val="00BF3F4E"/>
    <w:rsid w:val="00BF41F0"/>
    <w:rsid w:val="00BF4255"/>
    <w:rsid w:val="00BF5B24"/>
    <w:rsid w:val="00BF7661"/>
    <w:rsid w:val="00BF78B3"/>
    <w:rsid w:val="00BF7A96"/>
    <w:rsid w:val="00C0001D"/>
    <w:rsid w:val="00C004CE"/>
    <w:rsid w:val="00C00FB8"/>
    <w:rsid w:val="00C01CDB"/>
    <w:rsid w:val="00C0338B"/>
    <w:rsid w:val="00C040C7"/>
    <w:rsid w:val="00C042CD"/>
    <w:rsid w:val="00C06970"/>
    <w:rsid w:val="00C06A4F"/>
    <w:rsid w:val="00C07061"/>
    <w:rsid w:val="00C07AFF"/>
    <w:rsid w:val="00C07B77"/>
    <w:rsid w:val="00C10131"/>
    <w:rsid w:val="00C11A05"/>
    <w:rsid w:val="00C11F46"/>
    <w:rsid w:val="00C1301E"/>
    <w:rsid w:val="00C1323A"/>
    <w:rsid w:val="00C14A84"/>
    <w:rsid w:val="00C152E3"/>
    <w:rsid w:val="00C1562B"/>
    <w:rsid w:val="00C15F5D"/>
    <w:rsid w:val="00C16B90"/>
    <w:rsid w:val="00C20312"/>
    <w:rsid w:val="00C21001"/>
    <w:rsid w:val="00C218CA"/>
    <w:rsid w:val="00C21BCA"/>
    <w:rsid w:val="00C2223C"/>
    <w:rsid w:val="00C222A6"/>
    <w:rsid w:val="00C229B5"/>
    <w:rsid w:val="00C235C4"/>
    <w:rsid w:val="00C23884"/>
    <w:rsid w:val="00C240EE"/>
    <w:rsid w:val="00C24AE8"/>
    <w:rsid w:val="00C258EB"/>
    <w:rsid w:val="00C2658C"/>
    <w:rsid w:val="00C30037"/>
    <w:rsid w:val="00C300BE"/>
    <w:rsid w:val="00C30427"/>
    <w:rsid w:val="00C305E8"/>
    <w:rsid w:val="00C307F3"/>
    <w:rsid w:val="00C31D4A"/>
    <w:rsid w:val="00C32D20"/>
    <w:rsid w:val="00C338A3"/>
    <w:rsid w:val="00C33F19"/>
    <w:rsid w:val="00C3402E"/>
    <w:rsid w:val="00C346AF"/>
    <w:rsid w:val="00C349CC"/>
    <w:rsid w:val="00C35975"/>
    <w:rsid w:val="00C3690E"/>
    <w:rsid w:val="00C36EDE"/>
    <w:rsid w:val="00C400AF"/>
    <w:rsid w:val="00C4011A"/>
    <w:rsid w:val="00C403B6"/>
    <w:rsid w:val="00C41A74"/>
    <w:rsid w:val="00C42173"/>
    <w:rsid w:val="00C42230"/>
    <w:rsid w:val="00C431B3"/>
    <w:rsid w:val="00C43324"/>
    <w:rsid w:val="00C4344F"/>
    <w:rsid w:val="00C45499"/>
    <w:rsid w:val="00C458C4"/>
    <w:rsid w:val="00C45A66"/>
    <w:rsid w:val="00C4637A"/>
    <w:rsid w:val="00C469BA"/>
    <w:rsid w:val="00C4794B"/>
    <w:rsid w:val="00C47ED4"/>
    <w:rsid w:val="00C47F38"/>
    <w:rsid w:val="00C5001B"/>
    <w:rsid w:val="00C50416"/>
    <w:rsid w:val="00C50ADE"/>
    <w:rsid w:val="00C5111A"/>
    <w:rsid w:val="00C525BD"/>
    <w:rsid w:val="00C535DD"/>
    <w:rsid w:val="00C56739"/>
    <w:rsid w:val="00C57060"/>
    <w:rsid w:val="00C57E2E"/>
    <w:rsid w:val="00C6075D"/>
    <w:rsid w:val="00C616A7"/>
    <w:rsid w:val="00C61A32"/>
    <w:rsid w:val="00C61A4C"/>
    <w:rsid w:val="00C62A2F"/>
    <w:rsid w:val="00C632C5"/>
    <w:rsid w:val="00C63508"/>
    <w:rsid w:val="00C63CB1"/>
    <w:rsid w:val="00C6434C"/>
    <w:rsid w:val="00C64ACB"/>
    <w:rsid w:val="00C6599E"/>
    <w:rsid w:val="00C663C3"/>
    <w:rsid w:val="00C66406"/>
    <w:rsid w:val="00C71C0A"/>
    <w:rsid w:val="00C725AE"/>
    <w:rsid w:val="00C72A0C"/>
    <w:rsid w:val="00C736C4"/>
    <w:rsid w:val="00C752F8"/>
    <w:rsid w:val="00C765FC"/>
    <w:rsid w:val="00C76AA4"/>
    <w:rsid w:val="00C76E3C"/>
    <w:rsid w:val="00C77F35"/>
    <w:rsid w:val="00C8006D"/>
    <w:rsid w:val="00C80204"/>
    <w:rsid w:val="00C80331"/>
    <w:rsid w:val="00C80840"/>
    <w:rsid w:val="00C81541"/>
    <w:rsid w:val="00C816C4"/>
    <w:rsid w:val="00C83309"/>
    <w:rsid w:val="00C83498"/>
    <w:rsid w:val="00C83AC9"/>
    <w:rsid w:val="00C85144"/>
    <w:rsid w:val="00C858FF"/>
    <w:rsid w:val="00C859E9"/>
    <w:rsid w:val="00C8657B"/>
    <w:rsid w:val="00C870BA"/>
    <w:rsid w:val="00C8758A"/>
    <w:rsid w:val="00C8772F"/>
    <w:rsid w:val="00C90B5F"/>
    <w:rsid w:val="00C923BA"/>
    <w:rsid w:val="00C92693"/>
    <w:rsid w:val="00C92705"/>
    <w:rsid w:val="00C93126"/>
    <w:rsid w:val="00C938FB"/>
    <w:rsid w:val="00C93F66"/>
    <w:rsid w:val="00C93FC0"/>
    <w:rsid w:val="00C944C5"/>
    <w:rsid w:val="00C9485C"/>
    <w:rsid w:val="00C94D87"/>
    <w:rsid w:val="00C95AEC"/>
    <w:rsid w:val="00C95BAC"/>
    <w:rsid w:val="00C95EAD"/>
    <w:rsid w:val="00C96BBF"/>
    <w:rsid w:val="00C978B3"/>
    <w:rsid w:val="00C97DC7"/>
    <w:rsid w:val="00CA07AC"/>
    <w:rsid w:val="00CA1233"/>
    <w:rsid w:val="00CA1381"/>
    <w:rsid w:val="00CA138E"/>
    <w:rsid w:val="00CA1D6F"/>
    <w:rsid w:val="00CA31F3"/>
    <w:rsid w:val="00CA4B8A"/>
    <w:rsid w:val="00CA4EA0"/>
    <w:rsid w:val="00CA53E4"/>
    <w:rsid w:val="00CA5424"/>
    <w:rsid w:val="00CA5A16"/>
    <w:rsid w:val="00CA6283"/>
    <w:rsid w:val="00CA6686"/>
    <w:rsid w:val="00CA7160"/>
    <w:rsid w:val="00CB03BE"/>
    <w:rsid w:val="00CB0ADE"/>
    <w:rsid w:val="00CB1E6A"/>
    <w:rsid w:val="00CB2B3F"/>
    <w:rsid w:val="00CB2BB2"/>
    <w:rsid w:val="00CB2D77"/>
    <w:rsid w:val="00CB46D9"/>
    <w:rsid w:val="00CB4B32"/>
    <w:rsid w:val="00CB5ED1"/>
    <w:rsid w:val="00CB7607"/>
    <w:rsid w:val="00CB799F"/>
    <w:rsid w:val="00CC0742"/>
    <w:rsid w:val="00CC0882"/>
    <w:rsid w:val="00CC0E5E"/>
    <w:rsid w:val="00CC0F76"/>
    <w:rsid w:val="00CC1A81"/>
    <w:rsid w:val="00CC2F0C"/>
    <w:rsid w:val="00CC3748"/>
    <w:rsid w:val="00CC3987"/>
    <w:rsid w:val="00CC4C1A"/>
    <w:rsid w:val="00CC593E"/>
    <w:rsid w:val="00CC5DE6"/>
    <w:rsid w:val="00CC60B5"/>
    <w:rsid w:val="00CC6399"/>
    <w:rsid w:val="00CC7356"/>
    <w:rsid w:val="00CC7630"/>
    <w:rsid w:val="00CC7A77"/>
    <w:rsid w:val="00CD0350"/>
    <w:rsid w:val="00CD0506"/>
    <w:rsid w:val="00CD087F"/>
    <w:rsid w:val="00CD0FAA"/>
    <w:rsid w:val="00CD1250"/>
    <w:rsid w:val="00CD1594"/>
    <w:rsid w:val="00CD202C"/>
    <w:rsid w:val="00CD22E5"/>
    <w:rsid w:val="00CD26C5"/>
    <w:rsid w:val="00CD3F51"/>
    <w:rsid w:val="00CD492B"/>
    <w:rsid w:val="00CD4AF8"/>
    <w:rsid w:val="00CD4F64"/>
    <w:rsid w:val="00CD53AC"/>
    <w:rsid w:val="00CD5620"/>
    <w:rsid w:val="00CD5E44"/>
    <w:rsid w:val="00CD6083"/>
    <w:rsid w:val="00CD6526"/>
    <w:rsid w:val="00CD66D2"/>
    <w:rsid w:val="00CD6AC4"/>
    <w:rsid w:val="00CD714B"/>
    <w:rsid w:val="00CD7986"/>
    <w:rsid w:val="00CE092E"/>
    <w:rsid w:val="00CE0A5E"/>
    <w:rsid w:val="00CE10B9"/>
    <w:rsid w:val="00CE1DF7"/>
    <w:rsid w:val="00CE2182"/>
    <w:rsid w:val="00CE30CA"/>
    <w:rsid w:val="00CE4BF1"/>
    <w:rsid w:val="00CE4DB9"/>
    <w:rsid w:val="00CE516A"/>
    <w:rsid w:val="00CE5AAD"/>
    <w:rsid w:val="00CE6104"/>
    <w:rsid w:val="00CE6B35"/>
    <w:rsid w:val="00CE79C8"/>
    <w:rsid w:val="00CF0019"/>
    <w:rsid w:val="00CF005D"/>
    <w:rsid w:val="00CF0B26"/>
    <w:rsid w:val="00CF14D1"/>
    <w:rsid w:val="00CF1AF0"/>
    <w:rsid w:val="00CF1FB6"/>
    <w:rsid w:val="00CF2306"/>
    <w:rsid w:val="00CF3534"/>
    <w:rsid w:val="00CF3DF8"/>
    <w:rsid w:val="00CF42FF"/>
    <w:rsid w:val="00CF4D76"/>
    <w:rsid w:val="00CF5B20"/>
    <w:rsid w:val="00CF7A59"/>
    <w:rsid w:val="00CF7B99"/>
    <w:rsid w:val="00D00E19"/>
    <w:rsid w:val="00D03B79"/>
    <w:rsid w:val="00D04620"/>
    <w:rsid w:val="00D048E3"/>
    <w:rsid w:val="00D058D9"/>
    <w:rsid w:val="00D06109"/>
    <w:rsid w:val="00D068FF"/>
    <w:rsid w:val="00D07A2D"/>
    <w:rsid w:val="00D07E10"/>
    <w:rsid w:val="00D07EF3"/>
    <w:rsid w:val="00D110E3"/>
    <w:rsid w:val="00D11ACC"/>
    <w:rsid w:val="00D11B6D"/>
    <w:rsid w:val="00D12061"/>
    <w:rsid w:val="00D12524"/>
    <w:rsid w:val="00D12EB0"/>
    <w:rsid w:val="00D13665"/>
    <w:rsid w:val="00D1385F"/>
    <w:rsid w:val="00D13C3A"/>
    <w:rsid w:val="00D14742"/>
    <w:rsid w:val="00D14EEF"/>
    <w:rsid w:val="00D152C6"/>
    <w:rsid w:val="00D15490"/>
    <w:rsid w:val="00D1737F"/>
    <w:rsid w:val="00D17B39"/>
    <w:rsid w:val="00D20D6F"/>
    <w:rsid w:val="00D21157"/>
    <w:rsid w:val="00D2118D"/>
    <w:rsid w:val="00D212E7"/>
    <w:rsid w:val="00D2132A"/>
    <w:rsid w:val="00D21AB0"/>
    <w:rsid w:val="00D21BE9"/>
    <w:rsid w:val="00D21C2A"/>
    <w:rsid w:val="00D23B8F"/>
    <w:rsid w:val="00D250BB"/>
    <w:rsid w:val="00D25907"/>
    <w:rsid w:val="00D261DF"/>
    <w:rsid w:val="00D26A76"/>
    <w:rsid w:val="00D27330"/>
    <w:rsid w:val="00D277D6"/>
    <w:rsid w:val="00D277E6"/>
    <w:rsid w:val="00D309CB"/>
    <w:rsid w:val="00D32117"/>
    <w:rsid w:val="00D32164"/>
    <w:rsid w:val="00D32AB4"/>
    <w:rsid w:val="00D33167"/>
    <w:rsid w:val="00D331A7"/>
    <w:rsid w:val="00D336BF"/>
    <w:rsid w:val="00D33899"/>
    <w:rsid w:val="00D36F40"/>
    <w:rsid w:val="00D37816"/>
    <w:rsid w:val="00D37D64"/>
    <w:rsid w:val="00D40476"/>
    <w:rsid w:val="00D41350"/>
    <w:rsid w:val="00D41938"/>
    <w:rsid w:val="00D41CD4"/>
    <w:rsid w:val="00D428A8"/>
    <w:rsid w:val="00D430D9"/>
    <w:rsid w:val="00D43268"/>
    <w:rsid w:val="00D43347"/>
    <w:rsid w:val="00D43569"/>
    <w:rsid w:val="00D450DE"/>
    <w:rsid w:val="00D452C9"/>
    <w:rsid w:val="00D45890"/>
    <w:rsid w:val="00D458F7"/>
    <w:rsid w:val="00D45B34"/>
    <w:rsid w:val="00D45E68"/>
    <w:rsid w:val="00D45EB9"/>
    <w:rsid w:val="00D46880"/>
    <w:rsid w:val="00D46988"/>
    <w:rsid w:val="00D473B6"/>
    <w:rsid w:val="00D479F2"/>
    <w:rsid w:val="00D47B07"/>
    <w:rsid w:val="00D50A9A"/>
    <w:rsid w:val="00D50BC6"/>
    <w:rsid w:val="00D51E9A"/>
    <w:rsid w:val="00D521AE"/>
    <w:rsid w:val="00D5262F"/>
    <w:rsid w:val="00D5391C"/>
    <w:rsid w:val="00D54649"/>
    <w:rsid w:val="00D56DC0"/>
    <w:rsid w:val="00D571AA"/>
    <w:rsid w:val="00D57723"/>
    <w:rsid w:val="00D57D25"/>
    <w:rsid w:val="00D60BC7"/>
    <w:rsid w:val="00D60C27"/>
    <w:rsid w:val="00D6165D"/>
    <w:rsid w:val="00D61A30"/>
    <w:rsid w:val="00D62817"/>
    <w:rsid w:val="00D638F3"/>
    <w:rsid w:val="00D63DBF"/>
    <w:rsid w:val="00D64A08"/>
    <w:rsid w:val="00D6515F"/>
    <w:rsid w:val="00D6656B"/>
    <w:rsid w:val="00D66CAF"/>
    <w:rsid w:val="00D6718C"/>
    <w:rsid w:val="00D67361"/>
    <w:rsid w:val="00D700A7"/>
    <w:rsid w:val="00D704C1"/>
    <w:rsid w:val="00D70520"/>
    <w:rsid w:val="00D709EE"/>
    <w:rsid w:val="00D70AF7"/>
    <w:rsid w:val="00D728EC"/>
    <w:rsid w:val="00D72C3D"/>
    <w:rsid w:val="00D73C91"/>
    <w:rsid w:val="00D748B2"/>
    <w:rsid w:val="00D74AC8"/>
    <w:rsid w:val="00D74E57"/>
    <w:rsid w:val="00D75E9D"/>
    <w:rsid w:val="00D76711"/>
    <w:rsid w:val="00D770B5"/>
    <w:rsid w:val="00D77278"/>
    <w:rsid w:val="00D80565"/>
    <w:rsid w:val="00D80A38"/>
    <w:rsid w:val="00D80BBA"/>
    <w:rsid w:val="00D80C0C"/>
    <w:rsid w:val="00D80C53"/>
    <w:rsid w:val="00D81E1B"/>
    <w:rsid w:val="00D82C6A"/>
    <w:rsid w:val="00D82F1A"/>
    <w:rsid w:val="00D83203"/>
    <w:rsid w:val="00D836CA"/>
    <w:rsid w:val="00D8474F"/>
    <w:rsid w:val="00D84CEB"/>
    <w:rsid w:val="00D8558E"/>
    <w:rsid w:val="00D85B5C"/>
    <w:rsid w:val="00D862C6"/>
    <w:rsid w:val="00D8723F"/>
    <w:rsid w:val="00D8775D"/>
    <w:rsid w:val="00D9034F"/>
    <w:rsid w:val="00D90703"/>
    <w:rsid w:val="00D91228"/>
    <w:rsid w:val="00D912A8"/>
    <w:rsid w:val="00D91A81"/>
    <w:rsid w:val="00D925AF"/>
    <w:rsid w:val="00D93C78"/>
    <w:rsid w:val="00D93DC1"/>
    <w:rsid w:val="00D947D5"/>
    <w:rsid w:val="00D94842"/>
    <w:rsid w:val="00D95605"/>
    <w:rsid w:val="00D95C71"/>
    <w:rsid w:val="00D95EBD"/>
    <w:rsid w:val="00D96128"/>
    <w:rsid w:val="00D96306"/>
    <w:rsid w:val="00D96C17"/>
    <w:rsid w:val="00D97A5E"/>
    <w:rsid w:val="00D97B37"/>
    <w:rsid w:val="00DA0ADB"/>
    <w:rsid w:val="00DA113D"/>
    <w:rsid w:val="00DA15A0"/>
    <w:rsid w:val="00DA1BBB"/>
    <w:rsid w:val="00DA2643"/>
    <w:rsid w:val="00DA27B5"/>
    <w:rsid w:val="00DA3094"/>
    <w:rsid w:val="00DA3B9C"/>
    <w:rsid w:val="00DA5CC9"/>
    <w:rsid w:val="00DA7130"/>
    <w:rsid w:val="00DA7C01"/>
    <w:rsid w:val="00DB002A"/>
    <w:rsid w:val="00DB01C0"/>
    <w:rsid w:val="00DB0634"/>
    <w:rsid w:val="00DB07A6"/>
    <w:rsid w:val="00DB0811"/>
    <w:rsid w:val="00DB2EB8"/>
    <w:rsid w:val="00DB4CA1"/>
    <w:rsid w:val="00DB4F4C"/>
    <w:rsid w:val="00DB5003"/>
    <w:rsid w:val="00DB6254"/>
    <w:rsid w:val="00DB64C6"/>
    <w:rsid w:val="00DC09C1"/>
    <w:rsid w:val="00DC2200"/>
    <w:rsid w:val="00DC2864"/>
    <w:rsid w:val="00DC2C97"/>
    <w:rsid w:val="00DC3292"/>
    <w:rsid w:val="00DC4A1B"/>
    <w:rsid w:val="00DC4F36"/>
    <w:rsid w:val="00DC5194"/>
    <w:rsid w:val="00DD0000"/>
    <w:rsid w:val="00DD0DCD"/>
    <w:rsid w:val="00DD0F7D"/>
    <w:rsid w:val="00DD1751"/>
    <w:rsid w:val="00DD1E41"/>
    <w:rsid w:val="00DD22A8"/>
    <w:rsid w:val="00DD23FD"/>
    <w:rsid w:val="00DD2E07"/>
    <w:rsid w:val="00DD48D2"/>
    <w:rsid w:val="00DD4AF6"/>
    <w:rsid w:val="00DD5487"/>
    <w:rsid w:val="00DD59F1"/>
    <w:rsid w:val="00DD5AF0"/>
    <w:rsid w:val="00DD5E9D"/>
    <w:rsid w:val="00DD690C"/>
    <w:rsid w:val="00DD6E2A"/>
    <w:rsid w:val="00DD7001"/>
    <w:rsid w:val="00DD7BEF"/>
    <w:rsid w:val="00DE0712"/>
    <w:rsid w:val="00DE0DEF"/>
    <w:rsid w:val="00DE18D1"/>
    <w:rsid w:val="00DE21CA"/>
    <w:rsid w:val="00DE3C86"/>
    <w:rsid w:val="00DE3F68"/>
    <w:rsid w:val="00DE501C"/>
    <w:rsid w:val="00DE6907"/>
    <w:rsid w:val="00DE6B42"/>
    <w:rsid w:val="00DE70CB"/>
    <w:rsid w:val="00DE7BA4"/>
    <w:rsid w:val="00DE7E6C"/>
    <w:rsid w:val="00DF1D98"/>
    <w:rsid w:val="00DF28E6"/>
    <w:rsid w:val="00DF29E7"/>
    <w:rsid w:val="00DF36E6"/>
    <w:rsid w:val="00DF4FEC"/>
    <w:rsid w:val="00DF5921"/>
    <w:rsid w:val="00DF5FA4"/>
    <w:rsid w:val="00DF6625"/>
    <w:rsid w:val="00DF7A16"/>
    <w:rsid w:val="00DF7F9B"/>
    <w:rsid w:val="00E002DA"/>
    <w:rsid w:val="00E00740"/>
    <w:rsid w:val="00E00A4F"/>
    <w:rsid w:val="00E00EB1"/>
    <w:rsid w:val="00E02C84"/>
    <w:rsid w:val="00E03226"/>
    <w:rsid w:val="00E0375D"/>
    <w:rsid w:val="00E03D56"/>
    <w:rsid w:val="00E04D09"/>
    <w:rsid w:val="00E04F06"/>
    <w:rsid w:val="00E052C5"/>
    <w:rsid w:val="00E0539D"/>
    <w:rsid w:val="00E06C04"/>
    <w:rsid w:val="00E071EE"/>
    <w:rsid w:val="00E111F4"/>
    <w:rsid w:val="00E12AC1"/>
    <w:rsid w:val="00E13A01"/>
    <w:rsid w:val="00E14C74"/>
    <w:rsid w:val="00E15079"/>
    <w:rsid w:val="00E1562C"/>
    <w:rsid w:val="00E15AD0"/>
    <w:rsid w:val="00E15F71"/>
    <w:rsid w:val="00E161BA"/>
    <w:rsid w:val="00E179D9"/>
    <w:rsid w:val="00E20A33"/>
    <w:rsid w:val="00E20C1B"/>
    <w:rsid w:val="00E21B0E"/>
    <w:rsid w:val="00E222A9"/>
    <w:rsid w:val="00E22B81"/>
    <w:rsid w:val="00E2379A"/>
    <w:rsid w:val="00E23B6B"/>
    <w:rsid w:val="00E23DF7"/>
    <w:rsid w:val="00E2446F"/>
    <w:rsid w:val="00E24BBB"/>
    <w:rsid w:val="00E25FCC"/>
    <w:rsid w:val="00E266E3"/>
    <w:rsid w:val="00E26789"/>
    <w:rsid w:val="00E276AD"/>
    <w:rsid w:val="00E305CC"/>
    <w:rsid w:val="00E305DA"/>
    <w:rsid w:val="00E3074C"/>
    <w:rsid w:val="00E34C11"/>
    <w:rsid w:val="00E34FF5"/>
    <w:rsid w:val="00E36426"/>
    <w:rsid w:val="00E3646F"/>
    <w:rsid w:val="00E3666B"/>
    <w:rsid w:val="00E37BCF"/>
    <w:rsid w:val="00E407F6"/>
    <w:rsid w:val="00E40B02"/>
    <w:rsid w:val="00E41135"/>
    <w:rsid w:val="00E41374"/>
    <w:rsid w:val="00E4210F"/>
    <w:rsid w:val="00E42808"/>
    <w:rsid w:val="00E432F6"/>
    <w:rsid w:val="00E43580"/>
    <w:rsid w:val="00E435BC"/>
    <w:rsid w:val="00E438ED"/>
    <w:rsid w:val="00E440E5"/>
    <w:rsid w:val="00E4439E"/>
    <w:rsid w:val="00E447C0"/>
    <w:rsid w:val="00E4505D"/>
    <w:rsid w:val="00E45BC4"/>
    <w:rsid w:val="00E4668C"/>
    <w:rsid w:val="00E46709"/>
    <w:rsid w:val="00E46DDA"/>
    <w:rsid w:val="00E47953"/>
    <w:rsid w:val="00E47CD4"/>
    <w:rsid w:val="00E5069F"/>
    <w:rsid w:val="00E51233"/>
    <w:rsid w:val="00E5248D"/>
    <w:rsid w:val="00E538F3"/>
    <w:rsid w:val="00E5425A"/>
    <w:rsid w:val="00E554ED"/>
    <w:rsid w:val="00E559E0"/>
    <w:rsid w:val="00E55B10"/>
    <w:rsid w:val="00E55E3B"/>
    <w:rsid w:val="00E55FBD"/>
    <w:rsid w:val="00E563E5"/>
    <w:rsid w:val="00E56F8D"/>
    <w:rsid w:val="00E57627"/>
    <w:rsid w:val="00E57929"/>
    <w:rsid w:val="00E6034A"/>
    <w:rsid w:val="00E60AC0"/>
    <w:rsid w:val="00E61B89"/>
    <w:rsid w:val="00E61BBA"/>
    <w:rsid w:val="00E61D89"/>
    <w:rsid w:val="00E62014"/>
    <w:rsid w:val="00E63196"/>
    <w:rsid w:val="00E63321"/>
    <w:rsid w:val="00E63D54"/>
    <w:rsid w:val="00E65301"/>
    <w:rsid w:val="00E65307"/>
    <w:rsid w:val="00E655EB"/>
    <w:rsid w:val="00E658AF"/>
    <w:rsid w:val="00E659A2"/>
    <w:rsid w:val="00E65E44"/>
    <w:rsid w:val="00E667E7"/>
    <w:rsid w:val="00E66B9E"/>
    <w:rsid w:val="00E67E00"/>
    <w:rsid w:val="00E70EE2"/>
    <w:rsid w:val="00E712B2"/>
    <w:rsid w:val="00E721F0"/>
    <w:rsid w:val="00E7298D"/>
    <w:rsid w:val="00E73932"/>
    <w:rsid w:val="00E73E7E"/>
    <w:rsid w:val="00E74513"/>
    <w:rsid w:val="00E7549A"/>
    <w:rsid w:val="00E75D14"/>
    <w:rsid w:val="00E75EA5"/>
    <w:rsid w:val="00E75FF8"/>
    <w:rsid w:val="00E760C0"/>
    <w:rsid w:val="00E766E4"/>
    <w:rsid w:val="00E76A20"/>
    <w:rsid w:val="00E77F64"/>
    <w:rsid w:val="00E80B06"/>
    <w:rsid w:val="00E81434"/>
    <w:rsid w:val="00E81473"/>
    <w:rsid w:val="00E81F5F"/>
    <w:rsid w:val="00E8269F"/>
    <w:rsid w:val="00E838CA"/>
    <w:rsid w:val="00E83B8F"/>
    <w:rsid w:val="00E844F4"/>
    <w:rsid w:val="00E84D8E"/>
    <w:rsid w:val="00E85644"/>
    <w:rsid w:val="00E85EEB"/>
    <w:rsid w:val="00E86489"/>
    <w:rsid w:val="00E86576"/>
    <w:rsid w:val="00E87524"/>
    <w:rsid w:val="00E901AC"/>
    <w:rsid w:val="00E905D9"/>
    <w:rsid w:val="00E90F0B"/>
    <w:rsid w:val="00E925E5"/>
    <w:rsid w:val="00E93E73"/>
    <w:rsid w:val="00E94DC1"/>
    <w:rsid w:val="00E953AF"/>
    <w:rsid w:val="00E9563B"/>
    <w:rsid w:val="00E9568B"/>
    <w:rsid w:val="00E9569F"/>
    <w:rsid w:val="00E95D16"/>
    <w:rsid w:val="00E9683E"/>
    <w:rsid w:val="00E96CC2"/>
    <w:rsid w:val="00E97362"/>
    <w:rsid w:val="00E97C80"/>
    <w:rsid w:val="00E97CA0"/>
    <w:rsid w:val="00EA0348"/>
    <w:rsid w:val="00EA0366"/>
    <w:rsid w:val="00EA15A2"/>
    <w:rsid w:val="00EA1813"/>
    <w:rsid w:val="00EA19B2"/>
    <w:rsid w:val="00EA1ACE"/>
    <w:rsid w:val="00EA2B2A"/>
    <w:rsid w:val="00EA3062"/>
    <w:rsid w:val="00EA3BFC"/>
    <w:rsid w:val="00EA3D30"/>
    <w:rsid w:val="00EA3E64"/>
    <w:rsid w:val="00EA4537"/>
    <w:rsid w:val="00EA51CE"/>
    <w:rsid w:val="00EA5BA9"/>
    <w:rsid w:val="00EA60A0"/>
    <w:rsid w:val="00EA64B0"/>
    <w:rsid w:val="00EA64BD"/>
    <w:rsid w:val="00EA685E"/>
    <w:rsid w:val="00EA6D45"/>
    <w:rsid w:val="00EB0639"/>
    <w:rsid w:val="00EB06EA"/>
    <w:rsid w:val="00EB0B22"/>
    <w:rsid w:val="00EB202A"/>
    <w:rsid w:val="00EB2256"/>
    <w:rsid w:val="00EB2911"/>
    <w:rsid w:val="00EB402D"/>
    <w:rsid w:val="00EB57A1"/>
    <w:rsid w:val="00EB5B50"/>
    <w:rsid w:val="00EB5FB2"/>
    <w:rsid w:val="00EB61BD"/>
    <w:rsid w:val="00EB7F58"/>
    <w:rsid w:val="00EC05F1"/>
    <w:rsid w:val="00EC0B61"/>
    <w:rsid w:val="00EC0BDB"/>
    <w:rsid w:val="00EC1FC4"/>
    <w:rsid w:val="00EC4258"/>
    <w:rsid w:val="00EC4475"/>
    <w:rsid w:val="00EC5C39"/>
    <w:rsid w:val="00EC5F8F"/>
    <w:rsid w:val="00EC62BC"/>
    <w:rsid w:val="00EC63CC"/>
    <w:rsid w:val="00EC64AF"/>
    <w:rsid w:val="00EC657C"/>
    <w:rsid w:val="00EC757F"/>
    <w:rsid w:val="00EC76F9"/>
    <w:rsid w:val="00EC7DEE"/>
    <w:rsid w:val="00ED02C1"/>
    <w:rsid w:val="00ED0CFA"/>
    <w:rsid w:val="00ED2210"/>
    <w:rsid w:val="00ED2871"/>
    <w:rsid w:val="00ED36AB"/>
    <w:rsid w:val="00ED3901"/>
    <w:rsid w:val="00ED3C72"/>
    <w:rsid w:val="00ED3D67"/>
    <w:rsid w:val="00ED48E1"/>
    <w:rsid w:val="00ED4C91"/>
    <w:rsid w:val="00ED50FA"/>
    <w:rsid w:val="00ED5BD0"/>
    <w:rsid w:val="00ED64A4"/>
    <w:rsid w:val="00ED6BC8"/>
    <w:rsid w:val="00ED7E6E"/>
    <w:rsid w:val="00EE0CA4"/>
    <w:rsid w:val="00EE0D66"/>
    <w:rsid w:val="00EE0FD7"/>
    <w:rsid w:val="00EE13C2"/>
    <w:rsid w:val="00EE1A6B"/>
    <w:rsid w:val="00EE394C"/>
    <w:rsid w:val="00EE3AF8"/>
    <w:rsid w:val="00EE4F67"/>
    <w:rsid w:val="00EE5359"/>
    <w:rsid w:val="00EE554D"/>
    <w:rsid w:val="00EE5790"/>
    <w:rsid w:val="00EE5A1F"/>
    <w:rsid w:val="00EE5AA8"/>
    <w:rsid w:val="00EE5B28"/>
    <w:rsid w:val="00EE656D"/>
    <w:rsid w:val="00EE65F8"/>
    <w:rsid w:val="00EE7000"/>
    <w:rsid w:val="00EE747A"/>
    <w:rsid w:val="00EE7650"/>
    <w:rsid w:val="00EE7B95"/>
    <w:rsid w:val="00EE7C02"/>
    <w:rsid w:val="00EF0BBB"/>
    <w:rsid w:val="00EF17AD"/>
    <w:rsid w:val="00EF1A85"/>
    <w:rsid w:val="00EF1B96"/>
    <w:rsid w:val="00EF1F36"/>
    <w:rsid w:val="00EF2416"/>
    <w:rsid w:val="00EF395D"/>
    <w:rsid w:val="00EF39E8"/>
    <w:rsid w:val="00EF3FC7"/>
    <w:rsid w:val="00EF4AD0"/>
    <w:rsid w:val="00EF5D60"/>
    <w:rsid w:val="00EF6009"/>
    <w:rsid w:val="00EF6B50"/>
    <w:rsid w:val="00EF76D8"/>
    <w:rsid w:val="00F00331"/>
    <w:rsid w:val="00F00607"/>
    <w:rsid w:val="00F00994"/>
    <w:rsid w:val="00F00A5E"/>
    <w:rsid w:val="00F00F55"/>
    <w:rsid w:val="00F02B00"/>
    <w:rsid w:val="00F02B5E"/>
    <w:rsid w:val="00F03584"/>
    <w:rsid w:val="00F03A3E"/>
    <w:rsid w:val="00F0427D"/>
    <w:rsid w:val="00F04396"/>
    <w:rsid w:val="00F048C3"/>
    <w:rsid w:val="00F04A1B"/>
    <w:rsid w:val="00F04E10"/>
    <w:rsid w:val="00F0555F"/>
    <w:rsid w:val="00F05950"/>
    <w:rsid w:val="00F05BA0"/>
    <w:rsid w:val="00F05EA1"/>
    <w:rsid w:val="00F05FBF"/>
    <w:rsid w:val="00F0607F"/>
    <w:rsid w:val="00F073B0"/>
    <w:rsid w:val="00F073B1"/>
    <w:rsid w:val="00F07442"/>
    <w:rsid w:val="00F108F8"/>
    <w:rsid w:val="00F10AEB"/>
    <w:rsid w:val="00F11125"/>
    <w:rsid w:val="00F11934"/>
    <w:rsid w:val="00F11CAB"/>
    <w:rsid w:val="00F1244E"/>
    <w:rsid w:val="00F12796"/>
    <w:rsid w:val="00F13D3D"/>
    <w:rsid w:val="00F14DA8"/>
    <w:rsid w:val="00F15003"/>
    <w:rsid w:val="00F152FD"/>
    <w:rsid w:val="00F16D1C"/>
    <w:rsid w:val="00F174FA"/>
    <w:rsid w:val="00F1781C"/>
    <w:rsid w:val="00F17821"/>
    <w:rsid w:val="00F17FAD"/>
    <w:rsid w:val="00F2019D"/>
    <w:rsid w:val="00F203BD"/>
    <w:rsid w:val="00F204A5"/>
    <w:rsid w:val="00F20BB5"/>
    <w:rsid w:val="00F223B6"/>
    <w:rsid w:val="00F22787"/>
    <w:rsid w:val="00F22FE6"/>
    <w:rsid w:val="00F234DD"/>
    <w:rsid w:val="00F23A73"/>
    <w:rsid w:val="00F24B7F"/>
    <w:rsid w:val="00F2576F"/>
    <w:rsid w:val="00F25D61"/>
    <w:rsid w:val="00F26AAD"/>
    <w:rsid w:val="00F26C47"/>
    <w:rsid w:val="00F2709D"/>
    <w:rsid w:val="00F27754"/>
    <w:rsid w:val="00F27E53"/>
    <w:rsid w:val="00F32102"/>
    <w:rsid w:val="00F32130"/>
    <w:rsid w:val="00F3298B"/>
    <w:rsid w:val="00F32AEB"/>
    <w:rsid w:val="00F34131"/>
    <w:rsid w:val="00F3428D"/>
    <w:rsid w:val="00F34628"/>
    <w:rsid w:val="00F34ED7"/>
    <w:rsid w:val="00F3601B"/>
    <w:rsid w:val="00F36DF1"/>
    <w:rsid w:val="00F37A3D"/>
    <w:rsid w:val="00F4130E"/>
    <w:rsid w:val="00F42B03"/>
    <w:rsid w:val="00F43A12"/>
    <w:rsid w:val="00F43D6E"/>
    <w:rsid w:val="00F4501D"/>
    <w:rsid w:val="00F45087"/>
    <w:rsid w:val="00F459CC"/>
    <w:rsid w:val="00F47F88"/>
    <w:rsid w:val="00F50978"/>
    <w:rsid w:val="00F52307"/>
    <w:rsid w:val="00F53CBD"/>
    <w:rsid w:val="00F553BE"/>
    <w:rsid w:val="00F5696B"/>
    <w:rsid w:val="00F56A94"/>
    <w:rsid w:val="00F61BCC"/>
    <w:rsid w:val="00F6227C"/>
    <w:rsid w:val="00F62E8A"/>
    <w:rsid w:val="00F65B19"/>
    <w:rsid w:val="00F661CD"/>
    <w:rsid w:val="00F6636A"/>
    <w:rsid w:val="00F66AB7"/>
    <w:rsid w:val="00F67A34"/>
    <w:rsid w:val="00F707A5"/>
    <w:rsid w:val="00F70A87"/>
    <w:rsid w:val="00F71A16"/>
    <w:rsid w:val="00F71DF2"/>
    <w:rsid w:val="00F725CA"/>
    <w:rsid w:val="00F73988"/>
    <w:rsid w:val="00F740DE"/>
    <w:rsid w:val="00F74D3B"/>
    <w:rsid w:val="00F74DB7"/>
    <w:rsid w:val="00F755EA"/>
    <w:rsid w:val="00F7561F"/>
    <w:rsid w:val="00F757CE"/>
    <w:rsid w:val="00F75E50"/>
    <w:rsid w:val="00F761DE"/>
    <w:rsid w:val="00F76878"/>
    <w:rsid w:val="00F76E7C"/>
    <w:rsid w:val="00F77231"/>
    <w:rsid w:val="00F81530"/>
    <w:rsid w:val="00F8186B"/>
    <w:rsid w:val="00F81D6B"/>
    <w:rsid w:val="00F8288C"/>
    <w:rsid w:val="00F82B31"/>
    <w:rsid w:val="00F82FEF"/>
    <w:rsid w:val="00F84313"/>
    <w:rsid w:val="00F8561D"/>
    <w:rsid w:val="00F86D94"/>
    <w:rsid w:val="00F87548"/>
    <w:rsid w:val="00F903A2"/>
    <w:rsid w:val="00F904EB"/>
    <w:rsid w:val="00F90BB7"/>
    <w:rsid w:val="00F90DDE"/>
    <w:rsid w:val="00F934CC"/>
    <w:rsid w:val="00F937BC"/>
    <w:rsid w:val="00F944ED"/>
    <w:rsid w:val="00F9451E"/>
    <w:rsid w:val="00F946A2"/>
    <w:rsid w:val="00F94812"/>
    <w:rsid w:val="00F95620"/>
    <w:rsid w:val="00F95A94"/>
    <w:rsid w:val="00F95B41"/>
    <w:rsid w:val="00F96117"/>
    <w:rsid w:val="00F9642A"/>
    <w:rsid w:val="00F96CAC"/>
    <w:rsid w:val="00F97E0B"/>
    <w:rsid w:val="00F97FB4"/>
    <w:rsid w:val="00FA1761"/>
    <w:rsid w:val="00FA1FD6"/>
    <w:rsid w:val="00FA2247"/>
    <w:rsid w:val="00FA2E1F"/>
    <w:rsid w:val="00FA2F31"/>
    <w:rsid w:val="00FA315A"/>
    <w:rsid w:val="00FA3F63"/>
    <w:rsid w:val="00FA4709"/>
    <w:rsid w:val="00FA4BC0"/>
    <w:rsid w:val="00FA5C19"/>
    <w:rsid w:val="00FA76FA"/>
    <w:rsid w:val="00FA7A59"/>
    <w:rsid w:val="00FA7EC9"/>
    <w:rsid w:val="00FB01FA"/>
    <w:rsid w:val="00FB028F"/>
    <w:rsid w:val="00FB2FD0"/>
    <w:rsid w:val="00FB31B9"/>
    <w:rsid w:val="00FB49D1"/>
    <w:rsid w:val="00FB4EC7"/>
    <w:rsid w:val="00FB5FFC"/>
    <w:rsid w:val="00FB67F6"/>
    <w:rsid w:val="00FB6857"/>
    <w:rsid w:val="00FB7627"/>
    <w:rsid w:val="00FB7840"/>
    <w:rsid w:val="00FC00BA"/>
    <w:rsid w:val="00FC079A"/>
    <w:rsid w:val="00FC16DC"/>
    <w:rsid w:val="00FC19E4"/>
    <w:rsid w:val="00FC2F30"/>
    <w:rsid w:val="00FC32BA"/>
    <w:rsid w:val="00FC3B65"/>
    <w:rsid w:val="00FC41AE"/>
    <w:rsid w:val="00FC5B5D"/>
    <w:rsid w:val="00FC6316"/>
    <w:rsid w:val="00FC66A3"/>
    <w:rsid w:val="00FC7662"/>
    <w:rsid w:val="00FC784A"/>
    <w:rsid w:val="00FD008D"/>
    <w:rsid w:val="00FD0158"/>
    <w:rsid w:val="00FD04D0"/>
    <w:rsid w:val="00FD0D26"/>
    <w:rsid w:val="00FD151B"/>
    <w:rsid w:val="00FD1FCA"/>
    <w:rsid w:val="00FD28E9"/>
    <w:rsid w:val="00FD2D54"/>
    <w:rsid w:val="00FD32C5"/>
    <w:rsid w:val="00FD5A62"/>
    <w:rsid w:val="00FD5FE1"/>
    <w:rsid w:val="00FE0200"/>
    <w:rsid w:val="00FE0E5B"/>
    <w:rsid w:val="00FE12B5"/>
    <w:rsid w:val="00FE17D2"/>
    <w:rsid w:val="00FE1F1A"/>
    <w:rsid w:val="00FE22AF"/>
    <w:rsid w:val="00FE2D8D"/>
    <w:rsid w:val="00FE2E99"/>
    <w:rsid w:val="00FE2F1F"/>
    <w:rsid w:val="00FE43E8"/>
    <w:rsid w:val="00FE5279"/>
    <w:rsid w:val="00FE5788"/>
    <w:rsid w:val="00FE60B0"/>
    <w:rsid w:val="00FE7A3D"/>
    <w:rsid w:val="00FE7F07"/>
    <w:rsid w:val="00FF09ED"/>
    <w:rsid w:val="00FF1655"/>
    <w:rsid w:val="00FF1D5F"/>
    <w:rsid w:val="00FF1E64"/>
    <w:rsid w:val="00FF2557"/>
    <w:rsid w:val="00FF33EB"/>
    <w:rsid w:val="00FF4E89"/>
    <w:rsid w:val="00FF4FC6"/>
    <w:rsid w:val="00FF65D5"/>
    <w:rsid w:val="00FF67E8"/>
    <w:rsid w:val="00FF6C8C"/>
    <w:rsid w:val="00FF6EAA"/>
    <w:rsid w:val="00FF72BB"/>
    <w:rsid w:val="00FF7439"/>
    <w:rsid w:val="00FF76CF"/>
    <w:rsid w:val="00FF794F"/>
    <w:rsid w:val="00FF7FA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caption" w:qFormat="1"/>
    <w:lsdException w:name="footnote reference"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EB5"/>
    <w:pPr>
      <w:bidi/>
      <w:spacing w:after="120" w:line="216" w:lineRule="auto"/>
      <w:jc w:val="both"/>
    </w:pPr>
    <w:rPr>
      <w:rFonts w:eastAsia="YouYuan" w:cs="Simplified Arabic"/>
      <w:kern w:val="2"/>
      <w:sz w:val="22"/>
      <w:szCs w:val="24"/>
      <w:lang w:val="en-US" w:eastAsia="en-US" w:bidi="ar-EG"/>
    </w:rPr>
  </w:style>
  <w:style w:type="paragraph" w:styleId="Heading1">
    <w:name w:val="heading 1"/>
    <w:basedOn w:val="Normal"/>
    <w:next w:val="Normal"/>
    <w:link w:val="Heading1Char"/>
    <w:qFormat/>
    <w:rsid w:val="007E4A33"/>
    <w:pPr>
      <w:keepNext/>
      <w:jc w:val="center"/>
      <w:outlineLvl w:val="0"/>
    </w:pPr>
    <w:rPr>
      <w:rFonts w:ascii="Times New Roman Bold" w:eastAsia="Times New Roman" w:hAnsi="Times New Roman Bold"/>
      <w:b/>
      <w:bCs/>
      <w:kern w:val="32"/>
      <w:sz w:val="24"/>
      <w:szCs w:val="28"/>
    </w:rPr>
  </w:style>
  <w:style w:type="paragraph" w:styleId="Heading2">
    <w:name w:val="heading 2"/>
    <w:basedOn w:val="Normal"/>
    <w:next w:val="Normal"/>
    <w:link w:val="Heading2Char"/>
    <w:qFormat/>
    <w:rsid w:val="007E4A33"/>
    <w:pPr>
      <w:keepNext/>
      <w:jc w:val="center"/>
      <w:outlineLvl w:val="1"/>
    </w:pPr>
    <w:rPr>
      <w:rFonts w:ascii="Times New Roman Bold" w:eastAsia="Times New Roman" w:hAnsi="Times New Roman Bold"/>
      <w:b/>
      <w:bCs/>
      <w:lang w:val="fr-CA"/>
    </w:rPr>
  </w:style>
  <w:style w:type="paragraph" w:styleId="Heading3">
    <w:name w:val="heading 3"/>
    <w:basedOn w:val="Normal"/>
    <w:next w:val="Normal"/>
    <w:link w:val="Heading3Char"/>
    <w:qFormat/>
    <w:rsid w:val="0008758D"/>
    <w:pPr>
      <w:keepNext/>
      <w:spacing w:before="240" w:line="211" w:lineRule="auto"/>
      <w:jc w:val="center"/>
      <w:outlineLvl w:val="2"/>
    </w:pPr>
    <w:rPr>
      <w:rFonts w:eastAsia="Times New Roman" w:cs="Times New Roman"/>
      <w:sz w:val="24"/>
      <w:lang w:val="fr-CA"/>
    </w:rPr>
  </w:style>
  <w:style w:type="paragraph" w:styleId="Heading4">
    <w:name w:val="heading 4"/>
    <w:basedOn w:val="Normal"/>
    <w:next w:val="Normal"/>
    <w:link w:val="Heading4Char"/>
    <w:unhideWhenUsed/>
    <w:qFormat/>
    <w:rsid w:val="005C034F"/>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08758D"/>
    <w:pPr>
      <w:keepNext/>
      <w:spacing w:before="120" w:line="240" w:lineRule="auto"/>
      <w:jc w:val="left"/>
      <w:outlineLvl w:val="4"/>
    </w:pPr>
    <w:rPr>
      <w:rFonts w:ascii="Times New Roman Bold" w:eastAsia="PMingLiU" w:hAnsi="Times New Roman Bold"/>
      <w:b/>
      <w:bCs/>
      <w:spacing w:val="-2"/>
      <w:kern w:val="0"/>
      <w:lang w:eastAsia="ar-SA"/>
    </w:rPr>
  </w:style>
  <w:style w:type="paragraph" w:styleId="Heading6">
    <w:name w:val="heading 6"/>
    <w:basedOn w:val="Normal"/>
    <w:next w:val="Normal"/>
    <w:link w:val="Heading6Char"/>
    <w:qFormat/>
    <w:rsid w:val="00B42CBF"/>
    <w:pPr>
      <w:keepNext/>
      <w:bidi w:val="0"/>
      <w:spacing w:after="240" w:line="240" w:lineRule="exact"/>
      <w:ind w:left="720"/>
      <w:outlineLvl w:val="5"/>
    </w:pPr>
    <w:rPr>
      <w:rFonts w:ascii="Calibri" w:eastAsia="Times New Roman" w:hAnsi="Calibri" w:cs="Times New Roman"/>
      <w:b/>
      <w:bCs/>
      <w:kern w:val="0"/>
      <w:sz w:val="20"/>
      <w:szCs w:val="20"/>
      <w:lang w:val="en-GB" w:bidi="ar-SA"/>
    </w:rPr>
  </w:style>
  <w:style w:type="paragraph" w:styleId="Heading7">
    <w:name w:val="heading 7"/>
    <w:basedOn w:val="Normal"/>
    <w:next w:val="Normal"/>
    <w:link w:val="Heading7Char"/>
    <w:qFormat/>
    <w:rsid w:val="00B42CBF"/>
    <w:pPr>
      <w:spacing w:before="240" w:after="60"/>
      <w:jc w:val="lowKashida"/>
      <w:outlineLvl w:val="6"/>
    </w:pPr>
    <w:rPr>
      <w:rFonts w:cs="Times New Roman"/>
      <w:sz w:val="24"/>
      <w:lang w:bidi="ar-SA"/>
    </w:rPr>
  </w:style>
  <w:style w:type="paragraph" w:styleId="Heading8">
    <w:name w:val="heading 8"/>
    <w:basedOn w:val="Normal"/>
    <w:next w:val="Normal"/>
    <w:link w:val="Heading8Char"/>
    <w:qFormat/>
    <w:rsid w:val="00EE0FD7"/>
    <w:pPr>
      <w:keepNext/>
      <w:bidi w:val="0"/>
      <w:spacing w:after="0" w:line="240" w:lineRule="auto"/>
      <w:jc w:val="right"/>
      <w:outlineLvl w:val="7"/>
    </w:pPr>
    <w:rPr>
      <w:rFonts w:ascii="Univers" w:eastAsia="Times New Roman" w:hAnsi="Univers" w:cs="Times New Roman"/>
      <w:b/>
      <w:kern w:val="0"/>
      <w:sz w:val="32"/>
      <w:lang w:val="en-GB" w:bidi="ar-SA"/>
    </w:rPr>
  </w:style>
  <w:style w:type="paragraph" w:styleId="Heading9">
    <w:name w:val="heading 9"/>
    <w:basedOn w:val="Normal"/>
    <w:next w:val="Normal"/>
    <w:link w:val="Heading9Char"/>
    <w:qFormat/>
    <w:rsid w:val="00EE0FD7"/>
    <w:pPr>
      <w:keepNext/>
      <w:bidi w:val="0"/>
      <w:spacing w:before="100" w:beforeAutospacing="1" w:line="240" w:lineRule="auto"/>
      <w:outlineLvl w:val="8"/>
    </w:pPr>
    <w:rPr>
      <w:rFonts w:eastAsia="Times New Roman" w:cs="Times New Roman"/>
      <w:i/>
      <w:iCs/>
      <w:kern w:val="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D22A8"/>
    <w:pPr>
      <w:tabs>
        <w:tab w:val="center" w:pos="4320"/>
        <w:tab w:val="right" w:pos="8640"/>
      </w:tabs>
    </w:pPr>
  </w:style>
  <w:style w:type="paragraph" w:styleId="Footer">
    <w:name w:val="footer"/>
    <w:basedOn w:val="Normal"/>
    <w:link w:val="FooterChar"/>
    <w:rsid w:val="00DD22A8"/>
    <w:pPr>
      <w:tabs>
        <w:tab w:val="center" w:pos="4320"/>
        <w:tab w:val="right" w:pos="8640"/>
      </w:tabs>
    </w:p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footnote text3"/>
    <w:basedOn w:val="Normal"/>
    <w:link w:val="FootnoteTextChar"/>
    <w:qFormat/>
    <w:rsid w:val="00D11ACC"/>
    <w:pPr>
      <w:spacing w:after="0"/>
    </w:pPr>
    <w:rPr>
      <w:rFonts w:eastAsia="PMingLiU"/>
      <w:kern w:val="0"/>
      <w:sz w:val="18"/>
      <w:szCs w:val="20"/>
      <w:lang w:eastAsia="ar-SA"/>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16 Point"/>
    <w:link w:val="BVIfnrChar"/>
    <w:qFormat/>
    <w:rsid w:val="0008758D"/>
    <w:rPr>
      <w:rFonts w:cs="Simplified Arabic"/>
      <w:szCs w:val="24"/>
      <w:vertAlign w:val="superscript"/>
      <w:lang w:bidi="ar-EG"/>
    </w:rPr>
  </w:style>
  <w:style w:type="paragraph" w:styleId="BalloonText">
    <w:name w:val="Balloon Text"/>
    <w:basedOn w:val="Normal"/>
    <w:link w:val="BalloonTextChar"/>
    <w:uiPriority w:val="99"/>
    <w:semiHidden/>
    <w:rsid w:val="008022A3"/>
    <w:rPr>
      <w:rFonts w:ascii="Tahoma" w:hAnsi="Tahoma" w:cs="Tahoma"/>
      <w:sz w:val="16"/>
      <w:szCs w:val="16"/>
    </w:rPr>
  </w:style>
  <w:style w:type="paragraph" w:customStyle="1" w:styleId="Activity">
    <w:name w:val="Activity"/>
    <w:basedOn w:val="Normal"/>
    <w:rsid w:val="0025133F"/>
    <w:pPr>
      <w:keepNext/>
      <w:numPr>
        <w:ilvl w:val="1"/>
        <w:numId w:val="1"/>
      </w:numPr>
      <w:tabs>
        <w:tab w:val="clear" w:pos="1440"/>
        <w:tab w:val="left" w:pos="720"/>
      </w:tabs>
      <w:autoSpaceDE w:val="0"/>
      <w:autoSpaceDN w:val="0"/>
      <w:bidi w:val="0"/>
      <w:spacing w:before="120"/>
    </w:pPr>
    <w:rPr>
      <w:rFonts w:eastAsia="Times New Roman" w:cs="Times New Roman"/>
      <w:b/>
      <w:bCs/>
      <w:kern w:val="0"/>
      <w:szCs w:val="18"/>
      <w:lang w:val="en-GB"/>
    </w:rPr>
  </w:style>
  <w:style w:type="character" w:styleId="Hyperlink">
    <w:name w:val="Hyperlink"/>
    <w:uiPriority w:val="99"/>
    <w:rsid w:val="00CD4AF8"/>
    <w:rPr>
      <w:color w:val="0000FF"/>
      <w:u w:val="single"/>
    </w:rPr>
  </w:style>
  <w:style w:type="character" w:styleId="PageNumber">
    <w:name w:val="page number"/>
    <w:rsid w:val="00531E0F"/>
    <w:rPr>
      <w:rFonts w:ascii="Times New Roman" w:hAnsi="Times New Roman"/>
      <w:sz w:val="22"/>
    </w:rPr>
  </w:style>
  <w:style w:type="character" w:customStyle="1" w:styleId="Heading1Char">
    <w:name w:val="Heading 1 Char"/>
    <w:link w:val="Heading1"/>
    <w:rsid w:val="007E4A33"/>
    <w:rPr>
      <w:rFonts w:ascii="Times New Roman Bold" w:hAnsi="Times New Roman Bold" w:cs="Simplified Arabic"/>
      <w:b/>
      <w:bCs/>
      <w:kern w:val="32"/>
      <w:sz w:val="24"/>
      <w:szCs w:val="28"/>
      <w:lang w:val="en-US" w:eastAsia="en-US" w:bidi="ar-EG"/>
    </w:rPr>
  </w:style>
  <w:style w:type="character" w:customStyle="1" w:styleId="Heading4Char">
    <w:name w:val="Heading 4 Char"/>
    <w:link w:val="Heading4"/>
    <w:rsid w:val="005C034F"/>
    <w:rPr>
      <w:rFonts w:ascii="Calibri" w:eastAsia="Times New Roman" w:hAnsi="Calibri" w:cs="Arial"/>
      <w:b/>
      <w:bCs/>
      <w:kern w:val="2"/>
      <w:sz w:val="28"/>
      <w:szCs w:val="28"/>
      <w:lang w:val="en-US" w:eastAsia="en-US"/>
    </w:rPr>
  </w:style>
  <w:style w:type="paragraph" w:customStyle="1" w:styleId="Para10">
    <w:name w:val="Para1"/>
    <w:basedOn w:val="Normal"/>
    <w:link w:val="Para1Char"/>
    <w:rsid w:val="005C034F"/>
    <w:pPr>
      <w:numPr>
        <w:numId w:val="2"/>
      </w:numPr>
      <w:bidi w:val="0"/>
      <w:spacing w:before="120" w:line="240" w:lineRule="auto"/>
    </w:pPr>
    <w:rPr>
      <w:rFonts w:eastAsia="Malgun Gothic" w:cs="Times New Roman"/>
      <w:snapToGrid w:val="0"/>
      <w:kern w:val="0"/>
      <w:szCs w:val="18"/>
      <w:lang w:val="en-GB"/>
    </w:rPr>
  </w:style>
  <w:style w:type="paragraph" w:styleId="ListParagraph">
    <w:name w:val="List Paragraph"/>
    <w:basedOn w:val="Normal"/>
    <w:link w:val="ListParagraphChar"/>
    <w:uiPriority w:val="34"/>
    <w:qFormat/>
    <w:rsid w:val="005C034F"/>
    <w:pPr>
      <w:bidi w:val="0"/>
      <w:spacing w:line="240" w:lineRule="auto"/>
      <w:ind w:left="720"/>
    </w:pPr>
    <w:rPr>
      <w:rFonts w:eastAsia="Malgun Gothic" w:cs="Times New Roman"/>
      <w:kern w:val="0"/>
      <w:lang w:val="en-GB"/>
    </w:rPr>
  </w:style>
  <w:style w:type="paragraph" w:styleId="BodyText2">
    <w:name w:val="Body Text 2"/>
    <w:basedOn w:val="Normal"/>
    <w:link w:val="BodyText2Char"/>
    <w:uiPriority w:val="99"/>
    <w:rsid w:val="007B636E"/>
    <w:pPr>
      <w:tabs>
        <w:tab w:val="left" w:pos="-1440"/>
        <w:tab w:val="left" w:pos="-720"/>
        <w:tab w:val="left" w:pos="0"/>
        <w:tab w:val="left" w:pos="720"/>
        <w:tab w:val="right" w:pos="1080"/>
        <w:tab w:val="left" w:pos="1440"/>
      </w:tabs>
      <w:suppressAutoHyphens/>
      <w:bidi w:val="0"/>
      <w:spacing w:line="288" w:lineRule="auto"/>
      <w:ind w:left="2160" w:hanging="2160"/>
    </w:pPr>
    <w:rPr>
      <w:rFonts w:eastAsia="Malgun Gothic" w:cs="Times New Roman"/>
      <w:kern w:val="0"/>
      <w:lang w:val="en-GB"/>
    </w:rPr>
  </w:style>
  <w:style w:type="character" w:customStyle="1" w:styleId="BodyText2Char">
    <w:name w:val="Body Text 2 Char"/>
    <w:link w:val="BodyText2"/>
    <w:uiPriority w:val="99"/>
    <w:rsid w:val="007B636E"/>
    <w:rPr>
      <w:rFonts w:eastAsia="Malgun Gothic"/>
      <w:sz w:val="22"/>
      <w:szCs w:val="24"/>
      <w:lang w:val="en-GB" w:eastAsia="en-US"/>
    </w:rPr>
  </w:style>
  <w:style w:type="character" w:customStyle="1" w:styleId="Para1Char">
    <w:name w:val="Para1 Char"/>
    <w:link w:val="Para10"/>
    <w:locked/>
    <w:rsid w:val="007B636E"/>
    <w:rPr>
      <w:rFonts w:eastAsia="Malgun Gothic"/>
      <w:snapToGrid w:val="0"/>
      <w:sz w:val="22"/>
      <w:szCs w:val="18"/>
      <w:lang w:val="en-GB" w:eastAsia="en-US" w:bidi="ar-EG"/>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rsid w:val="00D11ACC"/>
    <w:rPr>
      <w:rFonts w:eastAsia="PMingLiU" w:cs="Simplified Arabic"/>
      <w:sz w:val="18"/>
      <w:lang w:val="en-US" w:eastAsia="ar-SA" w:bidi="ar-EG"/>
    </w:rPr>
  </w:style>
  <w:style w:type="paragraph" w:styleId="BodyText">
    <w:name w:val="Body Text"/>
    <w:basedOn w:val="Normal"/>
    <w:link w:val="BodyTextChar"/>
    <w:rsid w:val="00112BBB"/>
  </w:style>
  <w:style w:type="character" w:customStyle="1" w:styleId="BodyTextChar">
    <w:name w:val="Body Text Char"/>
    <w:basedOn w:val="DefaultParagraphFont"/>
    <w:link w:val="BodyText"/>
    <w:rsid w:val="00112BBB"/>
    <w:rPr>
      <w:rFonts w:eastAsia="YouYuan" w:cs="Simplified Arabic"/>
      <w:kern w:val="2"/>
      <w:szCs w:val="24"/>
      <w:lang w:val="en-US" w:eastAsia="en-US"/>
    </w:rPr>
  </w:style>
  <w:style w:type="paragraph" w:customStyle="1" w:styleId="Para3">
    <w:name w:val="Para3"/>
    <w:basedOn w:val="Normal"/>
    <w:rsid w:val="00147CF9"/>
    <w:pPr>
      <w:tabs>
        <w:tab w:val="num" w:pos="1440"/>
        <w:tab w:val="left" w:pos="1980"/>
      </w:tabs>
      <w:bidi w:val="0"/>
      <w:spacing w:before="80" w:after="80" w:line="240" w:lineRule="auto"/>
      <w:ind w:left="1440" w:hanging="360"/>
    </w:pPr>
    <w:rPr>
      <w:rFonts w:eastAsia="Times New Roman" w:cs="Times New Roman"/>
      <w:kern w:val="0"/>
      <w:szCs w:val="20"/>
      <w:lang w:val="en-GB" w:bidi="ar-SA"/>
    </w:rPr>
  </w:style>
  <w:style w:type="character" w:styleId="FollowedHyperlink">
    <w:name w:val="FollowedHyperlink"/>
    <w:rsid w:val="00CC593E"/>
    <w:rPr>
      <w:color w:val="800080"/>
      <w:u w:val="single"/>
    </w:rPr>
  </w:style>
  <w:style w:type="paragraph" w:styleId="NormalWeb">
    <w:name w:val="Normal (Web)"/>
    <w:basedOn w:val="Normal"/>
    <w:rsid w:val="00CC593E"/>
    <w:rPr>
      <w:rFonts w:cs="Times New Roman"/>
      <w:sz w:val="24"/>
      <w:lang w:bidi="ar-SA"/>
    </w:rPr>
  </w:style>
  <w:style w:type="character" w:customStyle="1" w:styleId="HeaderChar">
    <w:name w:val="Header Char"/>
    <w:link w:val="Header"/>
    <w:uiPriority w:val="99"/>
    <w:rsid w:val="00CC593E"/>
    <w:rPr>
      <w:rFonts w:eastAsia="YouYuan" w:cs="Simplified Arabic"/>
      <w:kern w:val="2"/>
      <w:szCs w:val="24"/>
      <w:lang w:val="en-US" w:eastAsia="en-US" w:bidi="ar-EG"/>
    </w:rPr>
  </w:style>
  <w:style w:type="character" w:customStyle="1" w:styleId="preferred">
    <w:name w:val="preferred"/>
    <w:rsid w:val="00CC593E"/>
  </w:style>
  <w:style w:type="character" w:styleId="Emphasis">
    <w:name w:val="Emphasis"/>
    <w:uiPriority w:val="20"/>
    <w:qFormat/>
    <w:rsid w:val="00CC593E"/>
    <w:rPr>
      <w:i/>
      <w:iCs/>
    </w:rPr>
  </w:style>
  <w:style w:type="character" w:customStyle="1" w:styleId="shorttext">
    <w:name w:val="short_text"/>
    <w:rsid w:val="00CC593E"/>
  </w:style>
  <w:style w:type="paragraph" w:styleId="TOCHeading">
    <w:name w:val="TOC Heading"/>
    <w:basedOn w:val="Heading1"/>
    <w:next w:val="Normal"/>
    <w:uiPriority w:val="39"/>
    <w:semiHidden/>
    <w:unhideWhenUsed/>
    <w:qFormat/>
    <w:rsid w:val="000F7928"/>
    <w:pPr>
      <w:keepLines/>
      <w:bidi w:val="0"/>
      <w:spacing w:before="480" w:after="0" w:line="276" w:lineRule="auto"/>
      <w:jc w:val="left"/>
      <w:outlineLvl w:val="9"/>
    </w:pPr>
    <w:rPr>
      <w:rFonts w:asciiTheme="majorHAnsi" w:eastAsiaTheme="majorEastAsia" w:hAnsiTheme="majorHAnsi" w:cstheme="majorBidi"/>
      <w:color w:val="365F91" w:themeColor="accent1" w:themeShade="BF"/>
      <w:kern w:val="0"/>
      <w:sz w:val="28"/>
      <w:lang w:bidi="ar-SA"/>
    </w:rPr>
  </w:style>
  <w:style w:type="paragraph" w:styleId="TOC2">
    <w:name w:val="toc 2"/>
    <w:basedOn w:val="Normal"/>
    <w:next w:val="Normal"/>
    <w:autoRedefine/>
    <w:uiPriority w:val="39"/>
    <w:qFormat/>
    <w:rsid w:val="00E04F06"/>
    <w:pPr>
      <w:tabs>
        <w:tab w:val="left" w:pos="1080"/>
        <w:tab w:val="left" w:leader="dot" w:pos="9000"/>
      </w:tabs>
      <w:spacing w:after="100"/>
      <w:ind w:left="1080" w:right="450" w:hanging="1080"/>
      <w:jc w:val="left"/>
    </w:pPr>
  </w:style>
  <w:style w:type="paragraph" w:styleId="TOC1">
    <w:name w:val="toc 1"/>
    <w:basedOn w:val="Normal"/>
    <w:next w:val="Normal"/>
    <w:autoRedefine/>
    <w:uiPriority w:val="39"/>
    <w:unhideWhenUsed/>
    <w:qFormat/>
    <w:rsid w:val="00E04F06"/>
    <w:pPr>
      <w:tabs>
        <w:tab w:val="left" w:pos="1080"/>
        <w:tab w:val="left" w:leader="dot" w:pos="9000"/>
      </w:tabs>
      <w:spacing w:after="100"/>
      <w:ind w:left="540" w:right="1080" w:hanging="540"/>
      <w:jc w:val="left"/>
    </w:pPr>
    <w:rPr>
      <w:rFonts w:ascii="Simplified Arabic" w:eastAsiaTheme="minorEastAsia" w:hAnsi="Simplified Arabic"/>
      <w:noProof/>
      <w:kern w:val="0"/>
      <w:sz w:val="24"/>
    </w:rPr>
  </w:style>
  <w:style w:type="paragraph" w:styleId="TOC3">
    <w:name w:val="toc 3"/>
    <w:basedOn w:val="Normal"/>
    <w:next w:val="Normal"/>
    <w:autoRedefine/>
    <w:uiPriority w:val="39"/>
    <w:unhideWhenUsed/>
    <w:qFormat/>
    <w:rsid w:val="00E04F06"/>
    <w:pPr>
      <w:tabs>
        <w:tab w:val="left" w:pos="1080"/>
        <w:tab w:val="left" w:leader="dot" w:pos="9000"/>
        <w:tab w:val="left" w:pos="9090"/>
      </w:tabs>
      <w:spacing w:after="100" w:line="276" w:lineRule="auto"/>
      <w:ind w:right="990"/>
      <w:jc w:val="left"/>
    </w:pPr>
    <w:rPr>
      <w:rFonts w:ascii="Simplified Arabic" w:eastAsiaTheme="minorEastAsia" w:hAnsi="Simplified Arabic"/>
      <w:b/>
      <w:bCs/>
      <w:noProof/>
      <w:kern w:val="0"/>
      <w:szCs w:val="22"/>
    </w:rPr>
  </w:style>
  <w:style w:type="paragraph" w:customStyle="1" w:styleId="ListParagraph1">
    <w:name w:val="List Paragraph1"/>
    <w:basedOn w:val="Normal"/>
    <w:qFormat/>
    <w:rsid w:val="00861ABC"/>
    <w:pPr>
      <w:numPr>
        <w:numId w:val="13"/>
      </w:numPr>
      <w:tabs>
        <w:tab w:val="left" w:pos="720"/>
      </w:tabs>
      <w:bidi w:val="0"/>
      <w:spacing w:before="120" w:line="240" w:lineRule="auto"/>
      <w:ind w:left="0" w:firstLine="0"/>
    </w:pPr>
    <w:rPr>
      <w:rFonts w:eastAsia="Times New Roman" w:cs="Times New Roman"/>
      <w:kern w:val="0"/>
      <w:szCs w:val="22"/>
      <w:lang w:eastAsia="en-CA" w:bidi="ar-SA"/>
    </w:rPr>
  </w:style>
  <w:style w:type="paragraph" w:styleId="Subtitle">
    <w:name w:val="Subtitle"/>
    <w:basedOn w:val="Normal"/>
    <w:next w:val="Normal"/>
    <w:link w:val="SubtitleChar"/>
    <w:qFormat/>
    <w:rsid w:val="00A63EB9"/>
    <w:pPr>
      <w:numPr>
        <w:ilvl w:val="1"/>
      </w:numPr>
      <w:bidi w:val="0"/>
      <w:spacing w:after="0" w:line="240" w:lineRule="auto"/>
      <w:jc w:val="left"/>
    </w:pPr>
    <w:rPr>
      <w:rFonts w:asciiTheme="majorHAnsi" w:eastAsiaTheme="majorEastAsia" w:hAnsiTheme="majorHAnsi" w:cstheme="majorBidi"/>
      <w:i/>
      <w:iCs/>
      <w:color w:val="4F81BD" w:themeColor="accent1"/>
      <w:spacing w:val="15"/>
      <w:kern w:val="0"/>
      <w:sz w:val="24"/>
      <w:lang w:val="en-CA" w:eastAsia="en-CA" w:bidi="ar-SA"/>
    </w:rPr>
  </w:style>
  <w:style w:type="character" w:customStyle="1" w:styleId="SubtitleChar">
    <w:name w:val="Subtitle Char"/>
    <w:basedOn w:val="DefaultParagraphFont"/>
    <w:link w:val="Subtitle"/>
    <w:rsid w:val="00A63EB9"/>
    <w:rPr>
      <w:rFonts w:asciiTheme="majorHAnsi" w:eastAsiaTheme="majorEastAsia" w:hAnsiTheme="majorHAnsi" w:cstheme="majorBidi"/>
      <w:i/>
      <w:iCs/>
      <w:color w:val="4F81BD" w:themeColor="accent1"/>
      <w:spacing w:val="15"/>
      <w:sz w:val="24"/>
      <w:szCs w:val="24"/>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rsid w:val="0044570B"/>
    <w:pPr>
      <w:bidi w:val="0"/>
      <w:spacing w:after="0" w:line="240" w:lineRule="exact"/>
    </w:pPr>
    <w:rPr>
      <w:rFonts w:eastAsia="Times New Roman"/>
      <w:kern w:val="0"/>
      <w:sz w:val="20"/>
      <w:vertAlign w:val="superscript"/>
      <w:lang w:val="en-CA" w:eastAsia="en-CA"/>
    </w:rPr>
  </w:style>
  <w:style w:type="character" w:customStyle="1" w:styleId="ListParagraphChar">
    <w:name w:val="List Paragraph Char"/>
    <w:link w:val="ListParagraph"/>
    <w:uiPriority w:val="34"/>
    <w:qFormat/>
    <w:rsid w:val="0044570B"/>
    <w:rPr>
      <w:rFonts w:eastAsia="Malgun Gothic"/>
      <w:sz w:val="22"/>
      <w:szCs w:val="24"/>
      <w:lang w:val="en-GB" w:eastAsia="en-US" w:bidi="ar-EG"/>
    </w:rPr>
  </w:style>
  <w:style w:type="paragraph" w:customStyle="1" w:styleId="HEADINGNOTFORTOC">
    <w:name w:val="HEADING (NOT FOR TOC)"/>
    <w:basedOn w:val="Heading1"/>
    <w:next w:val="Heading2"/>
    <w:rsid w:val="00D21AB0"/>
    <w:pPr>
      <w:tabs>
        <w:tab w:val="left" w:pos="720"/>
      </w:tabs>
      <w:bidi w:val="0"/>
      <w:spacing w:before="240" w:line="240" w:lineRule="auto"/>
    </w:pPr>
    <w:rPr>
      <w:rFonts w:ascii="Times New Roman" w:hAnsi="Times New Roman" w:cs="Times New Roman"/>
      <w:bCs w:val="0"/>
      <w:caps/>
      <w:kern w:val="0"/>
      <w:lang w:val="en-GB" w:bidi="ar-SA"/>
    </w:rPr>
  </w:style>
  <w:style w:type="paragraph" w:customStyle="1" w:styleId="Para1">
    <w:name w:val="Para 1"/>
    <w:basedOn w:val="BodyText"/>
    <w:rsid w:val="00D21AB0"/>
    <w:pPr>
      <w:numPr>
        <w:numId w:val="22"/>
      </w:numPr>
      <w:tabs>
        <w:tab w:val="num" w:pos="360"/>
      </w:tabs>
      <w:bidi w:val="0"/>
      <w:spacing w:before="120" w:line="240" w:lineRule="auto"/>
      <w:ind w:left="0" w:firstLine="0"/>
    </w:pPr>
    <w:rPr>
      <w:rFonts w:eastAsia="MS Mincho" w:cs="Angsana New"/>
      <w:bCs/>
      <w:kern w:val="0"/>
      <w:szCs w:val="22"/>
      <w:lang w:val="en-GB" w:bidi="ar-SA"/>
    </w:rPr>
  </w:style>
  <w:style w:type="character" w:customStyle="1" w:styleId="Heading6Char">
    <w:name w:val="Heading 6 Char"/>
    <w:basedOn w:val="DefaultParagraphFont"/>
    <w:link w:val="Heading6"/>
    <w:rsid w:val="00B42CBF"/>
    <w:rPr>
      <w:rFonts w:ascii="Calibri" w:hAnsi="Calibri"/>
      <w:b/>
      <w:bCs/>
      <w:lang w:val="en-GB" w:eastAsia="en-US"/>
    </w:rPr>
  </w:style>
  <w:style w:type="character" w:customStyle="1" w:styleId="Heading7Char">
    <w:name w:val="Heading 7 Char"/>
    <w:basedOn w:val="DefaultParagraphFont"/>
    <w:link w:val="Heading7"/>
    <w:rsid w:val="00B42CBF"/>
    <w:rPr>
      <w:rFonts w:eastAsia="YouYuan"/>
      <w:kern w:val="2"/>
      <w:sz w:val="24"/>
      <w:szCs w:val="24"/>
      <w:lang w:val="en-US" w:eastAsia="en-US"/>
    </w:rPr>
  </w:style>
  <w:style w:type="character" w:styleId="PlaceholderText">
    <w:name w:val="Placeholder Text"/>
    <w:uiPriority w:val="99"/>
    <w:rsid w:val="00B42CBF"/>
    <w:rPr>
      <w:color w:val="808080"/>
    </w:rPr>
  </w:style>
  <w:style w:type="character" w:customStyle="1" w:styleId="FooterChar">
    <w:name w:val="Footer Char"/>
    <w:basedOn w:val="DefaultParagraphFont"/>
    <w:link w:val="Footer"/>
    <w:rsid w:val="00B42CBF"/>
    <w:rPr>
      <w:rFonts w:eastAsia="YouYuan" w:cs="Simplified Arabic"/>
      <w:kern w:val="2"/>
      <w:sz w:val="22"/>
      <w:szCs w:val="24"/>
      <w:lang w:val="en-US" w:eastAsia="en-US" w:bidi="ar-EG"/>
    </w:rPr>
  </w:style>
  <w:style w:type="character" w:customStyle="1" w:styleId="BalloonTextChar">
    <w:name w:val="Balloon Text Char"/>
    <w:basedOn w:val="DefaultParagraphFont"/>
    <w:link w:val="BalloonText"/>
    <w:uiPriority w:val="99"/>
    <w:semiHidden/>
    <w:rsid w:val="00B42CBF"/>
    <w:rPr>
      <w:rFonts w:ascii="Tahoma" w:eastAsia="YouYuan" w:hAnsi="Tahoma" w:cs="Tahoma"/>
      <w:kern w:val="2"/>
      <w:sz w:val="16"/>
      <w:szCs w:val="16"/>
      <w:lang w:val="en-US" w:eastAsia="en-US" w:bidi="ar-EG"/>
    </w:rPr>
  </w:style>
  <w:style w:type="numbering" w:customStyle="1" w:styleId="ImportedStyle3">
    <w:name w:val="Imported Style 3"/>
    <w:rsid w:val="00EE0FD7"/>
    <w:pPr>
      <w:numPr>
        <w:numId w:val="54"/>
      </w:numPr>
    </w:pPr>
  </w:style>
  <w:style w:type="character" w:customStyle="1" w:styleId="Heading8Char">
    <w:name w:val="Heading 8 Char"/>
    <w:basedOn w:val="DefaultParagraphFont"/>
    <w:link w:val="Heading8"/>
    <w:rsid w:val="00EE0FD7"/>
    <w:rPr>
      <w:rFonts w:ascii="Univers" w:hAnsi="Univers"/>
      <w:b/>
      <w:sz w:val="32"/>
      <w:szCs w:val="24"/>
      <w:lang w:val="en-GB" w:eastAsia="en-US"/>
    </w:rPr>
  </w:style>
  <w:style w:type="character" w:customStyle="1" w:styleId="Heading9Char">
    <w:name w:val="Heading 9 Char"/>
    <w:basedOn w:val="DefaultParagraphFont"/>
    <w:link w:val="Heading9"/>
    <w:rsid w:val="00EE0FD7"/>
    <w:rPr>
      <w:i/>
      <w:iCs/>
      <w:sz w:val="22"/>
      <w:szCs w:val="24"/>
      <w:lang w:val="en-GB" w:eastAsia="en-US"/>
    </w:rPr>
  </w:style>
  <w:style w:type="character" w:customStyle="1" w:styleId="Heading2Char">
    <w:name w:val="Heading 2 Char"/>
    <w:basedOn w:val="DefaultParagraphFont"/>
    <w:link w:val="Heading2"/>
    <w:rsid w:val="007E4A33"/>
    <w:rPr>
      <w:rFonts w:ascii="Times New Roman Bold" w:hAnsi="Times New Roman Bold" w:cs="Simplified Arabic"/>
      <w:b/>
      <w:bCs/>
      <w:kern w:val="2"/>
      <w:sz w:val="22"/>
      <w:szCs w:val="24"/>
      <w:lang w:val="fr-CA" w:eastAsia="en-US" w:bidi="ar-EG"/>
    </w:rPr>
  </w:style>
  <w:style w:type="character" w:customStyle="1" w:styleId="Heading3Char">
    <w:name w:val="Heading 3 Char"/>
    <w:basedOn w:val="DefaultParagraphFont"/>
    <w:link w:val="Heading3"/>
    <w:rsid w:val="00EE0FD7"/>
    <w:rPr>
      <w:kern w:val="2"/>
      <w:sz w:val="24"/>
      <w:szCs w:val="24"/>
      <w:lang w:val="fr-CA" w:eastAsia="en-US" w:bidi="ar-EG"/>
    </w:rPr>
  </w:style>
  <w:style w:type="character" w:customStyle="1" w:styleId="Heading5Char">
    <w:name w:val="Heading 5 Char"/>
    <w:basedOn w:val="DefaultParagraphFont"/>
    <w:link w:val="Heading5"/>
    <w:uiPriority w:val="9"/>
    <w:rsid w:val="00EE0FD7"/>
    <w:rPr>
      <w:rFonts w:ascii="Times New Roman Bold" w:eastAsia="PMingLiU" w:hAnsi="Times New Roman Bold" w:cs="Simplified Arabic"/>
      <w:b/>
      <w:bCs/>
      <w:spacing w:val="-2"/>
      <w:sz w:val="22"/>
      <w:szCs w:val="24"/>
      <w:lang w:val="en-US" w:eastAsia="ar-SA" w:bidi="ar-EG"/>
    </w:rPr>
  </w:style>
  <w:style w:type="paragraph" w:styleId="NoSpacing">
    <w:name w:val="No Spacing"/>
    <w:link w:val="NoSpacingChar"/>
    <w:uiPriority w:val="1"/>
    <w:qFormat/>
    <w:rsid w:val="00EE0FD7"/>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rsid w:val="00EE0FD7"/>
    <w:rPr>
      <w:rFonts w:ascii="Calibri" w:eastAsia="Calibri" w:hAnsi="Calibri"/>
      <w:sz w:val="22"/>
      <w:szCs w:val="22"/>
      <w:lang w:val="en-US" w:eastAsia="en-US"/>
    </w:rPr>
  </w:style>
  <w:style w:type="character" w:customStyle="1" w:styleId="FootnoteTextChar1">
    <w:name w:val="Footnote Text Char1"/>
    <w:uiPriority w:val="99"/>
    <w:semiHidden/>
    <w:rsid w:val="00EE0FD7"/>
    <w:rPr>
      <w:rFonts w:ascii="Times New Roman" w:eastAsia="PMingLiU" w:hAnsi="Times New Roman" w:cs="PMingLiU"/>
      <w:sz w:val="20"/>
      <w:szCs w:val="20"/>
      <w:lang w:val="fr-CA" w:eastAsia="ar-SA"/>
    </w:rPr>
  </w:style>
  <w:style w:type="table" w:styleId="TableGrid">
    <w:name w:val="Table Grid"/>
    <w:basedOn w:val="TableNormal"/>
    <w:uiPriority w:val="59"/>
    <w:rsid w:val="00EE0FD7"/>
    <w:rPr>
      <w:rFonts w:ascii="Calibri" w:eastAsia="Calibri" w:hAnsi="Calibri" w:cs="Arial"/>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9">
    <w:name w:val="toc 9"/>
    <w:basedOn w:val="Normal"/>
    <w:next w:val="Normal"/>
    <w:autoRedefine/>
    <w:uiPriority w:val="39"/>
    <w:rsid w:val="00EE0FD7"/>
    <w:pPr>
      <w:tabs>
        <w:tab w:val="num" w:pos="1440"/>
      </w:tabs>
      <w:bidi w:val="0"/>
      <w:spacing w:before="120" w:line="240" w:lineRule="auto"/>
      <w:ind w:left="1440" w:hanging="360"/>
      <w:jc w:val="left"/>
    </w:pPr>
    <w:rPr>
      <w:rFonts w:eastAsia="Times New Roman" w:cs="Times New Roman"/>
      <w:kern w:val="0"/>
      <w:lang w:val="en-GB" w:bidi="ar-SA"/>
    </w:rPr>
  </w:style>
  <w:style w:type="numbering" w:customStyle="1" w:styleId="NoList1">
    <w:name w:val="No List1"/>
    <w:next w:val="NoList"/>
    <w:uiPriority w:val="99"/>
    <w:semiHidden/>
    <w:unhideWhenUsed/>
    <w:rsid w:val="00EE0FD7"/>
  </w:style>
  <w:style w:type="paragraph" w:customStyle="1" w:styleId="TOCHeading1">
    <w:name w:val="TOC Heading1"/>
    <w:basedOn w:val="Heading1"/>
    <w:next w:val="Normal"/>
    <w:uiPriority w:val="39"/>
    <w:semiHidden/>
    <w:unhideWhenUsed/>
    <w:qFormat/>
    <w:rsid w:val="00EE0FD7"/>
    <w:pPr>
      <w:keepLines/>
      <w:bidi w:val="0"/>
      <w:spacing w:before="480" w:after="0" w:line="276" w:lineRule="auto"/>
      <w:jc w:val="left"/>
      <w:outlineLvl w:val="9"/>
    </w:pPr>
    <w:rPr>
      <w:rFonts w:ascii="Cambria" w:hAnsi="Cambria" w:cs="Times New Roman"/>
      <w:color w:val="365F91"/>
      <w:kern w:val="0"/>
      <w:sz w:val="28"/>
      <w:lang w:bidi="ar-SA"/>
    </w:rPr>
  </w:style>
  <w:style w:type="paragraph" w:customStyle="1" w:styleId="TOC11">
    <w:name w:val="TOC 11"/>
    <w:basedOn w:val="Normal"/>
    <w:next w:val="Normal"/>
    <w:autoRedefine/>
    <w:uiPriority w:val="39"/>
    <w:unhideWhenUsed/>
    <w:qFormat/>
    <w:rsid w:val="00EE0FD7"/>
    <w:pPr>
      <w:tabs>
        <w:tab w:val="left" w:pos="1080"/>
        <w:tab w:val="left" w:leader="dot" w:pos="9000"/>
      </w:tabs>
      <w:spacing w:after="100"/>
      <w:ind w:left="1080" w:right="810" w:hanging="1080"/>
      <w:jc w:val="left"/>
    </w:pPr>
    <w:rPr>
      <w:rFonts w:ascii="Simplified Arabic" w:eastAsia="Times New Roman" w:hAnsi="Simplified Arabic" w:cs="Arial"/>
      <w:kern w:val="0"/>
      <w:sz w:val="24"/>
      <w:szCs w:val="22"/>
      <w:lang w:bidi="ar-SA"/>
    </w:rPr>
  </w:style>
  <w:style w:type="paragraph" w:customStyle="1" w:styleId="TOC31">
    <w:name w:val="TOC 31"/>
    <w:basedOn w:val="Normal"/>
    <w:next w:val="Normal"/>
    <w:autoRedefine/>
    <w:uiPriority w:val="39"/>
    <w:unhideWhenUsed/>
    <w:qFormat/>
    <w:rsid w:val="00EE0FD7"/>
    <w:pPr>
      <w:bidi w:val="0"/>
      <w:spacing w:after="100" w:line="276" w:lineRule="auto"/>
      <w:ind w:left="440"/>
      <w:jc w:val="left"/>
    </w:pPr>
    <w:rPr>
      <w:rFonts w:ascii="Calibri" w:eastAsia="Times New Roman" w:hAnsi="Calibri" w:cs="Arial"/>
      <w:kern w:val="0"/>
      <w:szCs w:val="22"/>
      <w:lang w:bidi="ar-SA"/>
    </w:rPr>
  </w:style>
  <w:style w:type="table" w:customStyle="1" w:styleId="TableGrid1">
    <w:name w:val="Table Grid1"/>
    <w:basedOn w:val="TableNormal"/>
    <w:next w:val="TableGrid"/>
    <w:uiPriority w:val="59"/>
    <w:rsid w:val="00EE0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EE0FD7"/>
    <w:rPr>
      <w:b/>
      <w:bCs/>
    </w:rPr>
  </w:style>
  <w:style w:type="paragraph" w:customStyle="1" w:styleId="recommendationheader">
    <w:name w:val="recommendation header"/>
    <w:basedOn w:val="Heading2"/>
    <w:qFormat/>
    <w:rsid w:val="00EE0FD7"/>
    <w:pPr>
      <w:tabs>
        <w:tab w:val="left" w:pos="720"/>
      </w:tabs>
      <w:bidi w:val="0"/>
      <w:spacing w:before="120" w:line="240" w:lineRule="auto"/>
    </w:pPr>
    <w:rPr>
      <w:rFonts w:ascii="Times New Roman" w:hAnsi="Times New Roman"/>
      <w:iCs/>
      <w:kern w:val="0"/>
      <w:lang w:bidi="ar-SA"/>
    </w:rPr>
  </w:style>
  <w:style w:type="character" w:customStyle="1" w:styleId="hps">
    <w:name w:val="hps"/>
    <w:rsid w:val="00EE0FD7"/>
  </w:style>
  <w:style w:type="character" w:customStyle="1" w:styleId="UnresolvedMention1">
    <w:name w:val="Unresolved Mention1"/>
    <w:uiPriority w:val="99"/>
    <w:semiHidden/>
    <w:unhideWhenUsed/>
    <w:rsid w:val="00EE0FD7"/>
    <w:rPr>
      <w:color w:val="605E5C"/>
      <w:shd w:val="clear" w:color="auto" w:fill="E1DFDD"/>
    </w:rPr>
  </w:style>
  <w:style w:type="paragraph" w:styleId="EndnoteText">
    <w:name w:val="endnote text"/>
    <w:basedOn w:val="Normal"/>
    <w:link w:val="EndnoteTextChar"/>
    <w:rsid w:val="00EE0FD7"/>
    <w:pPr>
      <w:spacing w:after="0"/>
      <w:jc w:val="lowKashida"/>
    </w:pPr>
    <w:rPr>
      <w:rFonts w:cs="Times New Roman"/>
      <w:sz w:val="20"/>
      <w:szCs w:val="20"/>
      <w:lang w:bidi="ar-SA"/>
    </w:rPr>
  </w:style>
  <w:style w:type="character" w:customStyle="1" w:styleId="EndnoteTextChar">
    <w:name w:val="Endnote Text Char"/>
    <w:basedOn w:val="DefaultParagraphFont"/>
    <w:link w:val="EndnoteText"/>
    <w:rsid w:val="00EE0FD7"/>
    <w:rPr>
      <w:rFonts w:eastAsia="YouYuan"/>
      <w:kern w:val="2"/>
      <w:lang w:val="en-US" w:eastAsia="en-US"/>
    </w:rPr>
  </w:style>
  <w:style w:type="character" w:styleId="EndnoteReference">
    <w:name w:val="endnote reference"/>
    <w:rsid w:val="00EE0FD7"/>
    <w:rPr>
      <w:vertAlign w:val="superscript"/>
    </w:rPr>
  </w:style>
  <w:style w:type="paragraph" w:styleId="ListBullet">
    <w:name w:val="List Bullet"/>
    <w:basedOn w:val="Normal"/>
    <w:uiPriority w:val="99"/>
    <w:unhideWhenUsed/>
    <w:rsid w:val="00EE0FD7"/>
    <w:pPr>
      <w:numPr>
        <w:numId w:val="59"/>
      </w:numPr>
      <w:suppressAutoHyphens/>
      <w:bidi w:val="0"/>
      <w:spacing w:after="0" w:line="240" w:lineRule="auto"/>
      <w:contextualSpacing/>
      <w:jc w:val="left"/>
    </w:pPr>
    <w:rPr>
      <w:rFonts w:eastAsia="Malgun Gothic" w:cs="Times New Roman"/>
      <w:kern w:val="0"/>
      <w:sz w:val="24"/>
      <w:lang w:val="en-GB" w:eastAsia="ar-SA" w:bidi="ar-SA"/>
    </w:rPr>
  </w:style>
  <w:style w:type="character" w:customStyle="1" w:styleId="Italic">
    <w:name w:val="Italic"/>
    <w:rsid w:val="00EE0FD7"/>
    <w:rPr>
      <w:rFonts w:eastAsia="MS Mincho"/>
      <w:i/>
      <w:szCs w:val="22"/>
      <w:lang w:val="en-US" w:eastAsia="en-US"/>
    </w:rPr>
  </w:style>
  <w:style w:type="character" w:customStyle="1" w:styleId="TextBoldCar">
    <w:name w:val="TextBoldCar"/>
    <w:rsid w:val="00EE0FD7"/>
    <w:rPr>
      <w:rFonts w:cs="Times New Roman"/>
      <w:b/>
      <w:bCs/>
      <w:sz w:val="22"/>
    </w:rPr>
  </w:style>
  <w:style w:type="paragraph" w:customStyle="1" w:styleId="multi-level-num">
    <w:name w:val="multi-level-num"/>
    <w:basedOn w:val="Normal"/>
    <w:rsid w:val="00EE0FD7"/>
    <w:pPr>
      <w:numPr>
        <w:numId w:val="60"/>
      </w:numPr>
      <w:tabs>
        <w:tab w:val="left" w:pos="720"/>
        <w:tab w:val="left" w:pos="1008"/>
        <w:tab w:val="left" w:pos="1440"/>
      </w:tabs>
      <w:spacing w:before="120"/>
      <w:ind w:left="216" w:right="72" w:hanging="216"/>
      <w:jc w:val="lowKashida"/>
    </w:pPr>
    <w:rPr>
      <w:sz w:val="20"/>
      <w:lang w:bidi="ar-SA"/>
    </w:rPr>
  </w:style>
  <w:style w:type="character" w:customStyle="1" w:styleId="atn">
    <w:name w:val="atn"/>
    <w:rsid w:val="00EE0FD7"/>
  </w:style>
  <w:style w:type="character" w:customStyle="1" w:styleId="genus-species">
    <w:name w:val="genus-species"/>
    <w:rsid w:val="00EE0FD7"/>
    <w:rPr>
      <w:i/>
    </w:rPr>
  </w:style>
  <w:style w:type="character" w:customStyle="1" w:styleId="longtext">
    <w:name w:val="long_text"/>
    <w:rsid w:val="00EE0FD7"/>
    <w:rPr>
      <w:rFonts w:cs="Times New Roman"/>
    </w:rPr>
  </w:style>
  <w:style w:type="character" w:customStyle="1" w:styleId="st">
    <w:name w:val="st"/>
    <w:rsid w:val="00EE0FD7"/>
  </w:style>
  <w:style w:type="character" w:customStyle="1" w:styleId="geo-dms">
    <w:name w:val="geo-dms"/>
    <w:rsid w:val="00EE0FD7"/>
  </w:style>
  <w:style w:type="character" w:customStyle="1" w:styleId="geo-lat">
    <w:name w:val="geo-lat"/>
    <w:rsid w:val="00EE0FD7"/>
  </w:style>
  <w:style w:type="character" w:customStyle="1" w:styleId="geo-lon">
    <w:name w:val="geo-lon"/>
    <w:rsid w:val="00EE0FD7"/>
  </w:style>
  <w:style w:type="character" w:customStyle="1" w:styleId="StyleFootnoteReferenceNounderline">
    <w:name w:val="Style Footnote Reference + No underline"/>
    <w:rsid w:val="00EE0FD7"/>
    <w:rPr>
      <w:sz w:val="18"/>
      <w:u w:val="none"/>
      <w:vertAlign w:val="baseline"/>
    </w:rPr>
  </w:style>
  <w:style w:type="paragraph" w:customStyle="1" w:styleId="Quotationtextindented">
    <w:name w:val="Quotation text (indented)"/>
    <w:basedOn w:val="Normal"/>
    <w:qFormat/>
    <w:rsid w:val="00EE0FD7"/>
    <w:pPr>
      <w:bidi w:val="0"/>
      <w:spacing w:before="120" w:line="240" w:lineRule="auto"/>
      <w:ind w:left="720" w:right="720"/>
    </w:pPr>
    <w:rPr>
      <w:rFonts w:eastAsia="Times New Roman" w:cs="Times New Roman"/>
      <w:bCs/>
      <w:kern w:val="0"/>
      <w:lang w:val="en-GB" w:bidi="ar-SA"/>
    </w:rPr>
  </w:style>
  <w:style w:type="character" w:styleId="CommentReference">
    <w:name w:val="annotation reference"/>
    <w:rsid w:val="00EE0FD7"/>
    <w:rPr>
      <w:sz w:val="16"/>
    </w:rPr>
  </w:style>
  <w:style w:type="paragraph" w:styleId="CommentText">
    <w:name w:val="annotation text"/>
    <w:basedOn w:val="Normal"/>
    <w:link w:val="CommentTextChar"/>
    <w:rsid w:val="00EE0FD7"/>
    <w:pPr>
      <w:bidi w:val="0"/>
      <w:spacing w:line="240" w:lineRule="exact"/>
    </w:pPr>
    <w:rPr>
      <w:rFonts w:eastAsia="Times New Roman" w:cs="Times New Roman"/>
      <w:kern w:val="0"/>
      <w:lang w:val="en-GB" w:bidi="ar-SA"/>
    </w:rPr>
  </w:style>
  <w:style w:type="character" w:customStyle="1" w:styleId="CommentTextChar">
    <w:name w:val="Comment Text Char"/>
    <w:basedOn w:val="DefaultParagraphFont"/>
    <w:link w:val="CommentText"/>
    <w:rsid w:val="00EE0FD7"/>
    <w:rPr>
      <w:sz w:val="22"/>
      <w:szCs w:val="24"/>
      <w:lang w:val="en-GB" w:eastAsia="en-US"/>
    </w:rPr>
  </w:style>
  <w:style w:type="paragraph" w:styleId="BodyTextIndent">
    <w:name w:val="Body Text Indent"/>
    <w:basedOn w:val="Normal"/>
    <w:link w:val="BodyTextIndentChar"/>
    <w:rsid w:val="00EE0FD7"/>
    <w:pPr>
      <w:bidi w:val="0"/>
      <w:spacing w:before="120" w:line="240" w:lineRule="auto"/>
      <w:ind w:left="1440" w:hanging="720"/>
      <w:jc w:val="left"/>
    </w:pPr>
    <w:rPr>
      <w:rFonts w:eastAsia="Times New Roman" w:cs="Times New Roman"/>
      <w:kern w:val="0"/>
      <w:lang w:val="en-GB" w:bidi="ar-SA"/>
    </w:rPr>
  </w:style>
  <w:style w:type="character" w:customStyle="1" w:styleId="BodyTextIndentChar">
    <w:name w:val="Body Text Indent Char"/>
    <w:basedOn w:val="DefaultParagraphFont"/>
    <w:link w:val="BodyTextIndent"/>
    <w:rsid w:val="00EE0FD7"/>
    <w:rPr>
      <w:sz w:val="22"/>
      <w:szCs w:val="24"/>
      <w:lang w:val="en-GB" w:eastAsia="en-US"/>
    </w:rPr>
  </w:style>
  <w:style w:type="paragraph" w:customStyle="1" w:styleId="HEADING">
    <w:name w:val="HEADING"/>
    <w:basedOn w:val="Normal"/>
    <w:rsid w:val="00EE0FD7"/>
    <w:pPr>
      <w:keepNext/>
      <w:bidi w:val="0"/>
      <w:spacing w:before="240" w:line="240" w:lineRule="auto"/>
      <w:jc w:val="center"/>
    </w:pPr>
    <w:rPr>
      <w:rFonts w:eastAsia="Times New Roman" w:cs="Times New Roman"/>
      <w:b/>
      <w:bCs/>
      <w:caps/>
      <w:kern w:val="0"/>
      <w:lang w:val="en-GB" w:bidi="ar-SA"/>
    </w:rPr>
  </w:style>
  <w:style w:type="paragraph" w:customStyle="1" w:styleId="para4">
    <w:name w:val="para4"/>
    <w:basedOn w:val="Normal"/>
    <w:rsid w:val="00EE0FD7"/>
    <w:pPr>
      <w:numPr>
        <w:ilvl w:val="3"/>
        <w:numId w:val="62"/>
      </w:numPr>
      <w:overflowPunct w:val="0"/>
      <w:autoSpaceDE w:val="0"/>
      <w:autoSpaceDN w:val="0"/>
      <w:bidi w:val="0"/>
      <w:adjustRightInd w:val="0"/>
      <w:spacing w:line="240" w:lineRule="atLeast"/>
      <w:textAlignment w:val="baseline"/>
    </w:pPr>
    <w:rPr>
      <w:rFonts w:ascii="Courier" w:eastAsia="Times New Roman" w:hAnsi="Courier" w:cs="Times New Roman"/>
      <w:color w:val="000000"/>
      <w:kern w:val="0"/>
      <w:sz w:val="20"/>
      <w:szCs w:val="20"/>
      <w:lang w:val="en-GB" w:bidi="ar-SA"/>
    </w:rPr>
  </w:style>
  <w:style w:type="paragraph" w:customStyle="1" w:styleId="Heading4indent">
    <w:name w:val="Heading 4 indent"/>
    <w:basedOn w:val="Heading4"/>
    <w:rsid w:val="00EE0FD7"/>
    <w:pPr>
      <w:bidi w:val="0"/>
      <w:spacing w:before="120" w:after="120" w:line="240" w:lineRule="auto"/>
      <w:ind w:left="720"/>
      <w:outlineLvl w:val="9"/>
    </w:pPr>
    <w:rPr>
      <w:rFonts w:ascii="Times New Roman" w:eastAsia="Arial Unicode MS" w:hAnsi="Times New Roman" w:cs="Arial"/>
      <w:i/>
      <w:kern w:val="0"/>
      <w:sz w:val="22"/>
      <w:szCs w:val="24"/>
      <w:lang w:val="en-GB" w:bidi="ar-SA"/>
    </w:rPr>
  </w:style>
  <w:style w:type="paragraph" w:customStyle="1" w:styleId="Cornernotation">
    <w:name w:val="Corner notation"/>
    <w:basedOn w:val="Normal"/>
    <w:rsid w:val="00EE0FD7"/>
    <w:pPr>
      <w:bidi w:val="0"/>
      <w:spacing w:after="0" w:line="240" w:lineRule="auto"/>
      <w:ind w:left="170" w:right="4540" w:hanging="170"/>
      <w:jc w:val="left"/>
    </w:pPr>
    <w:rPr>
      <w:rFonts w:eastAsia="Times New Roman" w:cs="Times New Roman"/>
      <w:kern w:val="0"/>
      <w:lang w:val="en-GB" w:bidi="ar-SA"/>
    </w:rPr>
  </w:style>
  <w:style w:type="paragraph" w:customStyle="1" w:styleId="recommendationheaderlong">
    <w:name w:val="recommendation header long"/>
    <w:basedOn w:val="Heading2longmultiline"/>
    <w:qFormat/>
    <w:rsid w:val="00EE0FD7"/>
  </w:style>
  <w:style w:type="paragraph" w:customStyle="1" w:styleId="Heading2longmultiline">
    <w:name w:val="Heading 2 (long multiline)"/>
    <w:basedOn w:val="Heading2multiline"/>
    <w:rsid w:val="00EE0FD7"/>
    <w:pPr>
      <w:ind w:left="2127" w:hanging="1276"/>
    </w:pPr>
  </w:style>
  <w:style w:type="paragraph" w:customStyle="1" w:styleId="Heading2multiline">
    <w:name w:val="Heading 2 (multiline)"/>
    <w:basedOn w:val="Heading1"/>
    <w:next w:val="Para10"/>
    <w:rsid w:val="00EE0FD7"/>
    <w:pPr>
      <w:tabs>
        <w:tab w:val="left" w:pos="720"/>
      </w:tabs>
      <w:bidi w:val="0"/>
      <w:spacing w:before="120" w:line="240" w:lineRule="auto"/>
      <w:ind w:left="1843" w:right="998" w:hanging="567"/>
      <w:jc w:val="left"/>
    </w:pPr>
    <w:rPr>
      <w:rFonts w:ascii="Times New Roman" w:hAnsi="Times New Roman" w:cs="Times New Roman"/>
      <w:bCs w:val="0"/>
      <w:i/>
      <w:iCs/>
      <w:kern w:val="0"/>
      <w:lang w:val="en-GB" w:bidi="ar-SA"/>
    </w:rPr>
  </w:style>
  <w:style w:type="paragraph" w:customStyle="1" w:styleId="tabletitle">
    <w:name w:val="table title"/>
    <w:basedOn w:val="Heading2"/>
    <w:qFormat/>
    <w:rsid w:val="00EE0FD7"/>
    <w:pPr>
      <w:tabs>
        <w:tab w:val="left" w:pos="720"/>
      </w:tabs>
      <w:bidi w:val="0"/>
      <w:spacing w:before="120" w:line="240" w:lineRule="auto"/>
      <w:jc w:val="left"/>
      <w:outlineLvl w:val="9"/>
    </w:pPr>
    <w:rPr>
      <w:rFonts w:ascii="Times New Roman" w:hAnsi="Times New Roman"/>
      <w:i/>
      <w:iCs/>
      <w:kern w:val="0"/>
      <w:lang w:val="en-GB" w:bidi="ar-SA"/>
    </w:rPr>
  </w:style>
  <w:style w:type="paragraph" w:styleId="TOAHeading">
    <w:name w:val="toa heading"/>
    <w:basedOn w:val="Normal"/>
    <w:next w:val="Normal"/>
    <w:rsid w:val="00EE0FD7"/>
    <w:pPr>
      <w:bidi w:val="0"/>
      <w:spacing w:before="120" w:after="0" w:line="240" w:lineRule="auto"/>
    </w:pPr>
    <w:rPr>
      <w:rFonts w:eastAsia="Times New Roman" w:cs="Arial"/>
      <w:b/>
      <w:bCs/>
      <w:kern w:val="0"/>
      <w:sz w:val="24"/>
      <w:lang w:val="en-GB" w:bidi="ar-SA"/>
    </w:rPr>
  </w:style>
  <w:style w:type="paragraph" w:styleId="TOC4">
    <w:name w:val="toc 4"/>
    <w:basedOn w:val="Normal"/>
    <w:next w:val="Normal"/>
    <w:autoRedefine/>
    <w:uiPriority w:val="39"/>
    <w:rsid w:val="00EE0FD7"/>
    <w:pPr>
      <w:bidi w:val="0"/>
      <w:spacing w:before="120" w:line="240" w:lineRule="auto"/>
      <w:ind w:left="660"/>
      <w:jc w:val="left"/>
    </w:pPr>
    <w:rPr>
      <w:rFonts w:eastAsia="Times New Roman" w:cs="Times New Roman"/>
      <w:kern w:val="0"/>
      <w:lang w:val="en-GB" w:bidi="ar-SA"/>
    </w:rPr>
  </w:style>
  <w:style w:type="paragraph" w:styleId="TOC5">
    <w:name w:val="toc 5"/>
    <w:basedOn w:val="Normal"/>
    <w:next w:val="Normal"/>
    <w:autoRedefine/>
    <w:uiPriority w:val="39"/>
    <w:rsid w:val="00EE0FD7"/>
    <w:pPr>
      <w:bidi w:val="0"/>
      <w:spacing w:before="120" w:line="240" w:lineRule="auto"/>
      <w:ind w:left="880"/>
      <w:jc w:val="left"/>
    </w:pPr>
    <w:rPr>
      <w:rFonts w:eastAsia="Times New Roman" w:cs="Times New Roman"/>
      <w:kern w:val="0"/>
      <w:lang w:val="en-GB" w:bidi="ar-SA"/>
    </w:rPr>
  </w:style>
  <w:style w:type="paragraph" w:styleId="TOC6">
    <w:name w:val="toc 6"/>
    <w:basedOn w:val="Normal"/>
    <w:next w:val="Normal"/>
    <w:autoRedefine/>
    <w:uiPriority w:val="39"/>
    <w:rsid w:val="00EE0FD7"/>
    <w:pPr>
      <w:bidi w:val="0"/>
      <w:spacing w:before="120" w:line="240" w:lineRule="auto"/>
      <w:ind w:left="1100"/>
      <w:jc w:val="left"/>
    </w:pPr>
    <w:rPr>
      <w:rFonts w:eastAsia="Times New Roman" w:cs="Times New Roman"/>
      <w:kern w:val="0"/>
      <w:lang w:val="en-GB" w:bidi="ar-SA"/>
    </w:rPr>
  </w:style>
  <w:style w:type="paragraph" w:styleId="TOC7">
    <w:name w:val="toc 7"/>
    <w:basedOn w:val="Normal"/>
    <w:next w:val="Normal"/>
    <w:autoRedefine/>
    <w:uiPriority w:val="39"/>
    <w:rsid w:val="00EE0FD7"/>
    <w:pPr>
      <w:bidi w:val="0"/>
      <w:spacing w:before="120" w:line="240" w:lineRule="auto"/>
      <w:ind w:left="1320"/>
      <w:jc w:val="left"/>
    </w:pPr>
    <w:rPr>
      <w:rFonts w:eastAsia="Times New Roman" w:cs="Times New Roman"/>
      <w:kern w:val="0"/>
      <w:lang w:val="en-GB" w:bidi="ar-SA"/>
    </w:rPr>
  </w:style>
  <w:style w:type="paragraph" w:styleId="TOC8">
    <w:name w:val="toc 8"/>
    <w:basedOn w:val="Normal"/>
    <w:next w:val="Normal"/>
    <w:autoRedefine/>
    <w:uiPriority w:val="39"/>
    <w:rsid w:val="00EE0FD7"/>
    <w:pPr>
      <w:bidi w:val="0"/>
      <w:spacing w:before="120" w:line="240" w:lineRule="auto"/>
      <w:ind w:left="1540"/>
      <w:jc w:val="left"/>
    </w:pPr>
    <w:rPr>
      <w:rFonts w:eastAsia="Times New Roman" w:cs="Times New Roman"/>
      <w:kern w:val="0"/>
      <w:lang w:val="en-GB" w:bidi="ar-SA"/>
    </w:rPr>
  </w:style>
  <w:style w:type="paragraph" w:customStyle="1" w:styleId="reference">
    <w:name w:val="reference"/>
    <w:basedOn w:val="Heading9"/>
    <w:qFormat/>
    <w:rsid w:val="00EE0FD7"/>
    <w:rPr>
      <w:i w:val="0"/>
      <w:sz w:val="18"/>
    </w:rPr>
  </w:style>
  <w:style w:type="paragraph" w:customStyle="1" w:styleId="Para2">
    <w:name w:val="Para2"/>
    <w:basedOn w:val="Para10"/>
    <w:rsid w:val="00EE0FD7"/>
    <w:pPr>
      <w:numPr>
        <w:numId w:val="61"/>
      </w:numPr>
      <w:tabs>
        <w:tab w:val="clear" w:pos="1080"/>
      </w:tabs>
      <w:autoSpaceDE w:val="0"/>
      <w:autoSpaceDN w:val="0"/>
      <w:ind w:left="0" w:firstLine="720"/>
    </w:pPr>
    <w:rPr>
      <w:rFonts w:eastAsia="Times New Roman"/>
      <w:lang w:bidi="ar-SA"/>
    </w:rPr>
  </w:style>
  <w:style w:type="paragraph" w:customStyle="1" w:styleId="Para-decision">
    <w:name w:val="Para-decision"/>
    <w:basedOn w:val="Normal"/>
    <w:rsid w:val="00EE0FD7"/>
    <w:pPr>
      <w:tabs>
        <w:tab w:val="left" w:pos="-1440"/>
        <w:tab w:val="left" w:pos="-720"/>
        <w:tab w:val="left" w:pos="0"/>
        <w:tab w:val="left" w:pos="720"/>
        <w:tab w:val="left" w:pos="1440"/>
      </w:tabs>
      <w:suppressAutoHyphens/>
      <w:overflowPunct w:val="0"/>
      <w:autoSpaceDE w:val="0"/>
      <w:autoSpaceDN w:val="0"/>
      <w:bidi w:val="0"/>
      <w:adjustRightInd w:val="0"/>
      <w:spacing w:before="120" w:line="240" w:lineRule="auto"/>
      <w:jc w:val="left"/>
      <w:textAlignment w:val="baseline"/>
    </w:pPr>
    <w:rPr>
      <w:rFonts w:eastAsia="Times New Roman" w:cs="Times New Roman"/>
      <w:color w:val="000000"/>
      <w:kern w:val="0"/>
      <w:lang w:val="en-GB" w:bidi="ar-SA"/>
    </w:rPr>
  </w:style>
  <w:style w:type="paragraph" w:customStyle="1" w:styleId="Heading1longmultiline">
    <w:name w:val="Heading 1 (long multiline)"/>
    <w:basedOn w:val="Heading1"/>
    <w:rsid w:val="00EE0FD7"/>
    <w:pPr>
      <w:tabs>
        <w:tab w:val="left" w:pos="720"/>
      </w:tabs>
      <w:bidi w:val="0"/>
      <w:spacing w:before="240" w:line="240" w:lineRule="auto"/>
      <w:ind w:left="1843" w:hanging="1134"/>
      <w:jc w:val="left"/>
    </w:pPr>
    <w:rPr>
      <w:rFonts w:ascii="Times New Roman" w:hAnsi="Times New Roman" w:cs="Times New Roman"/>
      <w:bCs w:val="0"/>
      <w:caps/>
      <w:kern w:val="0"/>
      <w:lang w:val="en-GB" w:bidi="ar-SA"/>
    </w:rPr>
  </w:style>
  <w:style w:type="paragraph" w:customStyle="1" w:styleId="Heading1multiline">
    <w:name w:val="Heading 1 (multiline)"/>
    <w:basedOn w:val="Heading1"/>
    <w:rsid w:val="00EE0FD7"/>
    <w:pPr>
      <w:tabs>
        <w:tab w:val="left" w:pos="720"/>
      </w:tabs>
      <w:bidi w:val="0"/>
      <w:spacing w:before="240" w:line="240" w:lineRule="auto"/>
      <w:ind w:left="1843" w:right="996" w:hanging="567"/>
      <w:jc w:val="left"/>
    </w:pPr>
    <w:rPr>
      <w:rFonts w:ascii="Times New Roman" w:hAnsi="Times New Roman" w:cs="Times New Roman"/>
      <w:bCs w:val="0"/>
      <w:caps/>
      <w:kern w:val="0"/>
      <w:lang w:val="en-GB" w:bidi="ar-SA"/>
    </w:rPr>
  </w:style>
  <w:style w:type="paragraph" w:customStyle="1" w:styleId="Heading3multiline">
    <w:name w:val="Heading 3 (multiline)"/>
    <w:basedOn w:val="Heading3"/>
    <w:next w:val="Para10"/>
    <w:rsid w:val="00EE0FD7"/>
    <w:pPr>
      <w:tabs>
        <w:tab w:val="left" w:pos="567"/>
      </w:tabs>
      <w:bidi w:val="0"/>
      <w:spacing w:before="120" w:line="240" w:lineRule="auto"/>
      <w:ind w:left="1418" w:hanging="425"/>
      <w:jc w:val="left"/>
    </w:pPr>
    <w:rPr>
      <w:i/>
      <w:iCs/>
      <w:kern w:val="0"/>
      <w:sz w:val="22"/>
      <w:lang w:val="en-GB" w:bidi="ar-SA"/>
    </w:rPr>
  </w:style>
  <w:style w:type="paragraph" w:customStyle="1" w:styleId="heading2notforTOC">
    <w:name w:val="heading 2 not for TOC"/>
    <w:basedOn w:val="Heading3"/>
    <w:rsid w:val="00EE0FD7"/>
    <w:pPr>
      <w:tabs>
        <w:tab w:val="left" w:pos="567"/>
      </w:tabs>
      <w:bidi w:val="0"/>
      <w:spacing w:before="120" w:line="240" w:lineRule="auto"/>
    </w:pPr>
    <w:rPr>
      <w:i/>
      <w:iCs/>
      <w:kern w:val="0"/>
      <w:sz w:val="22"/>
      <w:lang w:val="en-GB" w:bidi="ar-SA"/>
    </w:rPr>
  </w:style>
  <w:style w:type="character" w:customStyle="1" w:styleId="apple-converted-space">
    <w:name w:val="apple-converted-space"/>
    <w:rsid w:val="00EE0FD7"/>
  </w:style>
  <w:style w:type="paragraph" w:customStyle="1" w:styleId="imported-Normal">
    <w:name w:val="imported-Normal"/>
    <w:uiPriority w:val="99"/>
    <w:rsid w:val="00EE0FD7"/>
    <w:rPr>
      <w:rFonts w:eastAsia="Arial Unicode MS"/>
      <w:color w:val="000000"/>
      <w:sz w:val="24"/>
      <w:lang w:val="en-US" w:eastAsia="en-US"/>
    </w:rPr>
  </w:style>
  <w:style w:type="paragraph" w:customStyle="1" w:styleId="MediumGrid1-Accent21">
    <w:name w:val="Medium Grid 1 - Accent 21"/>
    <w:basedOn w:val="Normal"/>
    <w:uiPriority w:val="34"/>
    <w:qFormat/>
    <w:rsid w:val="00EE0FD7"/>
    <w:pPr>
      <w:bidi w:val="0"/>
      <w:spacing w:after="0" w:line="240" w:lineRule="auto"/>
      <w:ind w:left="720"/>
    </w:pPr>
    <w:rPr>
      <w:rFonts w:eastAsia="Times New Roman" w:cs="Times New Roman"/>
      <w:kern w:val="0"/>
      <w:lang w:val="en-GB" w:bidi="ar-SA"/>
    </w:rPr>
  </w:style>
  <w:style w:type="paragraph" w:customStyle="1" w:styleId="Default">
    <w:name w:val="Default"/>
    <w:rsid w:val="00EE0FD7"/>
    <w:pPr>
      <w:widowControl w:val="0"/>
      <w:autoSpaceDE w:val="0"/>
      <w:autoSpaceDN w:val="0"/>
      <w:adjustRightInd w:val="0"/>
    </w:pPr>
    <w:rPr>
      <w:color w:val="000000"/>
      <w:sz w:val="24"/>
      <w:szCs w:val="24"/>
      <w:lang w:val="en-US" w:eastAsia="en-US"/>
    </w:rPr>
  </w:style>
  <w:style w:type="paragraph" w:styleId="CommentSubject">
    <w:name w:val="annotation subject"/>
    <w:basedOn w:val="CommentText"/>
    <w:next w:val="CommentText"/>
    <w:link w:val="CommentSubjectChar"/>
    <w:uiPriority w:val="99"/>
    <w:unhideWhenUsed/>
    <w:rsid w:val="00EE0FD7"/>
    <w:pPr>
      <w:spacing w:after="0" w:line="240" w:lineRule="auto"/>
    </w:pPr>
    <w:rPr>
      <w:b/>
      <w:bCs/>
    </w:rPr>
  </w:style>
  <w:style w:type="character" w:customStyle="1" w:styleId="CommentSubjectChar">
    <w:name w:val="Comment Subject Char"/>
    <w:basedOn w:val="CommentTextChar"/>
    <w:link w:val="CommentSubject"/>
    <w:uiPriority w:val="99"/>
    <w:rsid w:val="00EE0FD7"/>
    <w:rPr>
      <w:b/>
      <w:bCs/>
    </w:rPr>
  </w:style>
  <w:style w:type="paragraph" w:customStyle="1" w:styleId="BasicParagraph">
    <w:name w:val="[Basic Paragraph]"/>
    <w:basedOn w:val="Normal"/>
    <w:uiPriority w:val="99"/>
    <w:rsid w:val="00EE0FD7"/>
    <w:pPr>
      <w:autoSpaceDE w:val="0"/>
      <w:autoSpaceDN w:val="0"/>
      <w:bidi w:val="0"/>
      <w:adjustRightInd w:val="0"/>
      <w:spacing w:after="0" w:line="288" w:lineRule="auto"/>
      <w:jc w:val="left"/>
    </w:pPr>
    <w:rPr>
      <w:rFonts w:ascii="Times Regular" w:eastAsia="Malgun Gothic" w:hAnsi="Times Regular" w:cs="Times Regular"/>
      <w:color w:val="000000"/>
      <w:kern w:val="0"/>
      <w:sz w:val="24"/>
      <w:lang w:bidi="ar-SA"/>
    </w:rPr>
  </w:style>
  <w:style w:type="paragraph" w:customStyle="1" w:styleId="Pa3">
    <w:name w:val="Pa3"/>
    <w:basedOn w:val="Default"/>
    <w:next w:val="Default"/>
    <w:uiPriority w:val="99"/>
    <w:rsid w:val="00EE0FD7"/>
    <w:pPr>
      <w:widowControl/>
      <w:spacing w:line="241" w:lineRule="atLeast"/>
    </w:pPr>
    <w:rPr>
      <w:rFonts w:ascii="Myriad Pro" w:hAnsi="Myriad Pro"/>
      <w:color w:val="auto"/>
      <w:lang w:val="fr-FR" w:eastAsia="fr-FR"/>
    </w:rPr>
  </w:style>
  <w:style w:type="paragraph" w:styleId="PlainText">
    <w:name w:val="Plain Text"/>
    <w:basedOn w:val="Normal"/>
    <w:link w:val="PlainTextChar"/>
    <w:unhideWhenUsed/>
    <w:rsid w:val="00EE0FD7"/>
    <w:pPr>
      <w:bidi w:val="0"/>
      <w:spacing w:after="0" w:line="240" w:lineRule="auto"/>
      <w:jc w:val="left"/>
    </w:pPr>
    <w:rPr>
      <w:rFonts w:ascii="Calibri" w:eastAsia="Calibri" w:hAnsi="Calibri" w:cs="Times New Roman"/>
      <w:kern w:val="0"/>
      <w:szCs w:val="21"/>
      <w:lang w:val="en-CA" w:bidi="ar-SA"/>
    </w:rPr>
  </w:style>
  <w:style w:type="character" w:customStyle="1" w:styleId="PlainTextChar">
    <w:name w:val="Plain Text Char"/>
    <w:basedOn w:val="DefaultParagraphFont"/>
    <w:link w:val="PlainText"/>
    <w:rsid w:val="00EE0FD7"/>
    <w:rPr>
      <w:rFonts w:ascii="Calibri" w:eastAsia="Calibri" w:hAnsi="Calibri"/>
      <w:sz w:val="22"/>
      <w:szCs w:val="21"/>
      <w:lang w:eastAsia="en-US"/>
    </w:rPr>
  </w:style>
  <w:style w:type="paragraph" w:customStyle="1" w:styleId="krasnorm">
    <w:name w:val="kras_norm"/>
    <w:basedOn w:val="Normal"/>
    <w:rsid w:val="00EE0FD7"/>
    <w:pPr>
      <w:widowControl w:val="0"/>
      <w:tabs>
        <w:tab w:val="num" w:pos="1080"/>
      </w:tabs>
      <w:suppressAutoHyphens/>
      <w:bidi w:val="0"/>
      <w:spacing w:after="0" w:line="360" w:lineRule="auto"/>
      <w:ind w:left="1080" w:firstLine="709"/>
    </w:pPr>
    <w:rPr>
      <w:rFonts w:ascii="Liberation Serif" w:eastAsia="Times New Roman" w:hAnsi="Liberation Serif" w:cs="Lohit Hindi"/>
      <w:kern w:val="1"/>
      <w:sz w:val="24"/>
      <w:szCs w:val="20"/>
      <w:lang w:eastAsia="zh-CN" w:bidi="hi-IN"/>
    </w:rPr>
  </w:style>
  <w:style w:type="character" w:customStyle="1" w:styleId="xbe">
    <w:name w:val="_xbe"/>
    <w:rsid w:val="00EE0FD7"/>
  </w:style>
  <w:style w:type="character" w:customStyle="1" w:styleId="ItalicBlue">
    <w:name w:val="Italic Blue"/>
    <w:rsid w:val="00EE0FD7"/>
    <w:rPr>
      <w:rFonts w:ascii="Times New Roman" w:eastAsia="Arial Unicode MS" w:hAnsi="Arial Unicode MS" w:cs="Arial Unicode MS"/>
      <w:b w:val="0"/>
      <w:bCs w:val="0"/>
      <w:i/>
      <w:iCs/>
      <w:color w:val="357CA2"/>
      <w:sz w:val="22"/>
      <w:szCs w:val="22"/>
      <w:u w:color="000000"/>
      <w:lang w:val="en-US"/>
    </w:rPr>
  </w:style>
  <w:style w:type="paragraph" w:customStyle="1" w:styleId="Body">
    <w:name w:val="Body"/>
    <w:rsid w:val="001C1C1D"/>
    <w:pPr>
      <w:pBdr>
        <w:top w:val="nil"/>
        <w:left w:val="nil"/>
        <w:bottom w:val="nil"/>
        <w:right w:val="nil"/>
        <w:between w:val="nil"/>
        <w:bar w:val="nil"/>
      </w:pBdr>
      <w:jc w:val="both"/>
    </w:pPr>
    <w:rPr>
      <w:color w:val="000000"/>
      <w:sz w:val="22"/>
      <w:szCs w:val="22"/>
      <w:u w:color="000000"/>
      <w:bdr w:val="nil"/>
    </w:rPr>
  </w:style>
  <w:style w:type="paragraph" w:customStyle="1" w:styleId="Style1">
    <w:name w:val="Style1"/>
    <w:basedOn w:val="Heading2"/>
    <w:qFormat/>
    <w:rsid w:val="00CC7A77"/>
    <w:pPr>
      <w:tabs>
        <w:tab w:val="left" w:pos="720"/>
      </w:tabs>
      <w:bidi w:val="0"/>
      <w:spacing w:before="120" w:line="240" w:lineRule="auto"/>
    </w:pPr>
    <w:rPr>
      <w:rFonts w:ascii="Times New Roman" w:hAnsi="Times New Roman"/>
      <w:i/>
      <w:iCs/>
      <w:kern w:val="0"/>
      <w:lang w:val="en-GB" w:bidi="ar-SA"/>
    </w:rPr>
  </w:style>
  <w:style w:type="paragraph" w:customStyle="1" w:styleId="CharCharCharCharCharCharCharCharChar">
    <w:name w:val="Char Char Char Char Char Char Char Char Char"/>
    <w:basedOn w:val="Normal"/>
    <w:rsid w:val="00ED48E1"/>
    <w:pPr>
      <w:widowControl w:val="0"/>
      <w:bidi w:val="0"/>
      <w:adjustRightInd w:val="0"/>
      <w:spacing w:before="120" w:line="360" w:lineRule="atLeast"/>
      <w:textAlignment w:val="baseline"/>
    </w:pPr>
    <w:rPr>
      <w:rFonts w:ascii="Arial" w:eastAsia="Batang" w:hAnsi="Arial" w:cs="Arial"/>
      <w:kern w:val="0"/>
      <w:szCs w:val="20"/>
      <w:lang w:val="pl-PL" w:eastAsia="pl-PL" w:bidi="ar-SA"/>
    </w:rPr>
  </w:style>
  <w:style w:type="paragraph" w:customStyle="1" w:styleId="Paraa">
    <w:name w:val="Para (a)"/>
    <w:basedOn w:val="Normal"/>
    <w:rsid w:val="00ED48E1"/>
    <w:pPr>
      <w:numPr>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bidi w:val="0"/>
      <w:spacing w:before="120" w:line="240" w:lineRule="auto"/>
      <w:outlineLvl w:val="1"/>
    </w:pPr>
    <w:rPr>
      <w:rFonts w:eastAsia="Times New Roman" w:cs="Times New Roman"/>
      <w:kern w:val="0"/>
      <w:lang w:val="en-GB" w:bidi="ar-SA"/>
    </w:rPr>
  </w:style>
  <w:style w:type="paragraph" w:styleId="Title">
    <w:name w:val="Title"/>
    <w:basedOn w:val="Normal"/>
    <w:link w:val="TitleChar"/>
    <w:qFormat/>
    <w:rsid w:val="00ED48E1"/>
    <w:pPr>
      <w:keepNext/>
      <w:bidi w:val="0"/>
      <w:spacing w:before="240" w:line="240" w:lineRule="auto"/>
      <w:jc w:val="center"/>
      <w:outlineLvl w:val="0"/>
    </w:pPr>
    <w:rPr>
      <w:rFonts w:eastAsia="Times New Roman" w:cs="Arial"/>
      <w:b/>
      <w:bCs/>
      <w:caps/>
      <w:kern w:val="28"/>
      <w:szCs w:val="32"/>
      <w:lang w:val="en-GB" w:bidi="ar-SA"/>
    </w:rPr>
  </w:style>
  <w:style w:type="character" w:customStyle="1" w:styleId="TitleChar">
    <w:name w:val="Title Char"/>
    <w:basedOn w:val="DefaultParagraphFont"/>
    <w:link w:val="Title"/>
    <w:rsid w:val="00ED48E1"/>
    <w:rPr>
      <w:rFonts w:cs="Arial"/>
      <w:b/>
      <w:bCs/>
      <w:caps/>
      <w:kern w:val="28"/>
      <w:sz w:val="22"/>
      <w:szCs w:val="32"/>
      <w:lang w:val="en-GB" w:eastAsia="en-US"/>
    </w:rPr>
  </w:style>
  <w:style w:type="paragraph" w:styleId="BodyTextIndent2">
    <w:name w:val="Body Text Indent 2"/>
    <w:basedOn w:val="Normal"/>
    <w:link w:val="BodyTextIndent2Char"/>
    <w:rsid w:val="00ED48E1"/>
    <w:pPr>
      <w:bidi w:val="0"/>
      <w:spacing w:before="120" w:line="240" w:lineRule="auto"/>
      <w:ind w:left="720"/>
    </w:pPr>
    <w:rPr>
      <w:rFonts w:eastAsia="Times New Roman" w:cs="Times New Roman"/>
      <w:kern w:val="0"/>
      <w:lang w:val="en-GB" w:bidi="ar-SA"/>
    </w:rPr>
  </w:style>
  <w:style w:type="character" w:customStyle="1" w:styleId="BodyTextIndent2Char">
    <w:name w:val="Body Text Indent 2 Char"/>
    <w:basedOn w:val="DefaultParagraphFont"/>
    <w:link w:val="BodyTextIndent2"/>
    <w:rsid w:val="00ED48E1"/>
    <w:rPr>
      <w:sz w:val="22"/>
      <w:szCs w:val="24"/>
      <w:lang w:val="en-GB" w:eastAsia="en-US"/>
    </w:rPr>
  </w:style>
  <w:style w:type="paragraph" w:customStyle="1" w:styleId="Document1">
    <w:name w:val="Document 1"/>
    <w:basedOn w:val="Normal"/>
    <w:next w:val="Normal"/>
    <w:rsid w:val="00ED48E1"/>
    <w:pPr>
      <w:suppressAutoHyphens/>
      <w:bidi w:val="0"/>
      <w:spacing w:before="120" w:line="240" w:lineRule="exact"/>
    </w:pPr>
    <w:rPr>
      <w:rFonts w:ascii="Courier" w:eastAsia="Times New Roman" w:hAnsi="Courier" w:cs="Times New Roman"/>
      <w:kern w:val="0"/>
      <w:sz w:val="20"/>
      <w:szCs w:val="20"/>
      <w:lang w:val="en-GB" w:bidi="ar-SA"/>
    </w:rPr>
  </w:style>
  <w:style w:type="paragraph" w:customStyle="1" w:styleId="Head2">
    <w:name w:val="Head2"/>
    <w:basedOn w:val="Normal"/>
    <w:rsid w:val="00ED48E1"/>
    <w:pPr>
      <w:keepNext/>
      <w:bidi w:val="0"/>
      <w:spacing w:before="120" w:line="240" w:lineRule="atLeast"/>
      <w:jc w:val="center"/>
    </w:pPr>
    <w:rPr>
      <w:rFonts w:ascii="Courier" w:eastAsia="Times New Roman" w:hAnsi="Courier" w:cs="Times New Roman"/>
      <w:kern w:val="0"/>
      <w:sz w:val="20"/>
      <w:szCs w:val="20"/>
      <w:lang w:val="en-GB" w:bidi="ar-SA"/>
    </w:rPr>
  </w:style>
  <w:style w:type="paragraph" w:customStyle="1" w:styleId="HEAD-2lines">
    <w:name w:val="HEAD-2lines"/>
    <w:basedOn w:val="Heading2"/>
    <w:rsid w:val="00ED48E1"/>
    <w:pPr>
      <w:tabs>
        <w:tab w:val="left" w:pos="475"/>
      </w:tabs>
      <w:bidi w:val="0"/>
      <w:spacing w:before="120" w:line="240" w:lineRule="exact"/>
      <w:ind w:left="1944" w:right="864" w:hanging="1080"/>
    </w:pPr>
    <w:rPr>
      <w:rFonts w:ascii="Courier" w:hAnsi="Courier"/>
      <w:iCs/>
      <w:kern w:val="0"/>
      <w:sz w:val="20"/>
      <w:szCs w:val="20"/>
      <w:u w:color="000000"/>
      <w:lang w:val="en-GB" w:bidi="ar-SA"/>
    </w:rPr>
  </w:style>
  <w:style w:type="paragraph" w:customStyle="1" w:styleId="Heading2-center">
    <w:name w:val="Heading 2-center"/>
    <w:basedOn w:val="Heading2"/>
    <w:rsid w:val="00ED48E1"/>
    <w:pPr>
      <w:tabs>
        <w:tab w:val="left" w:pos="475"/>
        <w:tab w:val="left" w:pos="720"/>
        <w:tab w:val="num" w:pos="1004"/>
      </w:tabs>
      <w:bidi w:val="0"/>
      <w:spacing w:after="240" w:line="240" w:lineRule="exact"/>
      <w:ind w:left="1004" w:hanging="360"/>
    </w:pPr>
    <w:rPr>
      <w:rFonts w:ascii="Times New Roman" w:hAnsi="Times New Roman"/>
      <w:b w:val="0"/>
      <w:bCs w:val="0"/>
      <w:i/>
      <w:kern w:val="0"/>
      <w:u w:val="single" w:color="000000"/>
      <w:lang w:val="en-GB" w:bidi="ar-SA"/>
    </w:rPr>
  </w:style>
  <w:style w:type="paragraph" w:customStyle="1" w:styleId="para20">
    <w:name w:val="para2"/>
    <w:basedOn w:val="Normal"/>
    <w:rsid w:val="00ED48E1"/>
    <w:pPr>
      <w:bidi w:val="0"/>
      <w:spacing w:before="120" w:line="240" w:lineRule="auto"/>
    </w:pPr>
    <w:rPr>
      <w:rFonts w:eastAsia="Times New Roman" w:cs="Times New Roman"/>
      <w:kern w:val="0"/>
      <w:szCs w:val="20"/>
      <w:lang w:val="en-GB" w:bidi="ar-SA"/>
    </w:rPr>
  </w:style>
  <w:style w:type="paragraph" w:customStyle="1" w:styleId="Paranum">
    <w:name w:val="Paranum"/>
    <w:basedOn w:val="Para10"/>
    <w:rsid w:val="00ED48E1"/>
  </w:style>
  <w:style w:type="paragraph" w:styleId="BodyText3">
    <w:name w:val="Body Text 3"/>
    <w:basedOn w:val="Normal"/>
    <w:link w:val="BodyText3Char"/>
    <w:rsid w:val="00ED48E1"/>
    <w:pPr>
      <w:bidi w:val="0"/>
      <w:spacing w:before="120" w:line="240" w:lineRule="auto"/>
    </w:pPr>
    <w:rPr>
      <w:rFonts w:eastAsia="Times New Roman" w:cs="Times New Roman"/>
      <w:iCs/>
      <w:kern w:val="0"/>
      <w:lang w:val="en-GB" w:bidi="ar-SA"/>
    </w:rPr>
  </w:style>
  <w:style w:type="character" w:customStyle="1" w:styleId="BodyText3Char">
    <w:name w:val="Body Text 3 Char"/>
    <w:basedOn w:val="DefaultParagraphFont"/>
    <w:link w:val="BodyText3"/>
    <w:rsid w:val="00ED48E1"/>
    <w:rPr>
      <w:iCs/>
      <w:sz w:val="22"/>
      <w:szCs w:val="24"/>
      <w:lang w:val="en-GB" w:eastAsia="en-US"/>
    </w:rPr>
  </w:style>
  <w:style w:type="paragraph" w:customStyle="1" w:styleId="BodyText21">
    <w:name w:val="Body Text 21"/>
    <w:basedOn w:val="Normal"/>
    <w:rsid w:val="00ED48E1"/>
    <w:pPr>
      <w:bidi w:val="0"/>
      <w:spacing w:before="120" w:line="240" w:lineRule="auto"/>
    </w:pPr>
    <w:rPr>
      <w:rFonts w:eastAsia="Times New Roman" w:cs="Times New Roman"/>
      <w:kern w:val="0"/>
      <w:szCs w:val="20"/>
      <w:lang w:val="en-GB" w:bidi="ar-SA"/>
    </w:rPr>
  </w:style>
  <w:style w:type="paragraph" w:customStyle="1" w:styleId="Heading-plainbold">
    <w:name w:val="Heading-plain bold"/>
    <w:basedOn w:val="BodyText"/>
    <w:rsid w:val="00ED48E1"/>
    <w:pPr>
      <w:tabs>
        <w:tab w:val="left" w:pos="720"/>
      </w:tabs>
      <w:bidi w:val="0"/>
      <w:spacing w:before="120" w:line="240" w:lineRule="auto"/>
      <w:jc w:val="center"/>
    </w:pPr>
    <w:rPr>
      <w:rFonts w:eastAsia="Times New Roman" w:cs="Times New Roman"/>
      <w:b/>
      <w:bCs/>
      <w:i/>
      <w:kern w:val="0"/>
      <w:lang w:val="en-GB" w:bidi="ar-SA"/>
    </w:rPr>
  </w:style>
  <w:style w:type="paragraph" w:customStyle="1" w:styleId="Heading-plainitalic">
    <w:name w:val="Heading-plain italic"/>
    <w:basedOn w:val="Heading-plainbold"/>
    <w:rsid w:val="00ED48E1"/>
    <w:rPr>
      <w:b w:val="0"/>
      <w:bCs w:val="0"/>
    </w:rPr>
  </w:style>
  <w:style w:type="paragraph" w:styleId="BodyTextIndent3">
    <w:name w:val="Body Text Indent 3"/>
    <w:basedOn w:val="Normal"/>
    <w:link w:val="BodyTextIndent3Char"/>
    <w:rsid w:val="00ED48E1"/>
    <w:pPr>
      <w:bidi w:val="0"/>
      <w:spacing w:before="120" w:line="240" w:lineRule="auto"/>
      <w:ind w:left="720" w:right="720"/>
    </w:pPr>
    <w:rPr>
      <w:rFonts w:eastAsia="Times New Roman" w:cs="Times New Roman"/>
      <w:bCs/>
      <w:kern w:val="0"/>
      <w:lang w:val="en-GB" w:bidi="ar-SA"/>
    </w:rPr>
  </w:style>
  <w:style w:type="character" w:customStyle="1" w:styleId="BodyTextIndent3Char">
    <w:name w:val="Body Text Indent 3 Char"/>
    <w:basedOn w:val="DefaultParagraphFont"/>
    <w:link w:val="BodyTextIndent3"/>
    <w:rsid w:val="00ED48E1"/>
    <w:rPr>
      <w:bCs/>
      <w:sz w:val="22"/>
      <w:szCs w:val="24"/>
      <w:lang w:val="en-GB" w:eastAsia="en-US"/>
    </w:rPr>
  </w:style>
  <w:style w:type="paragraph" w:customStyle="1" w:styleId="bodytextnoindent">
    <w:name w:val="body text (no indent)"/>
    <w:basedOn w:val="Normal"/>
    <w:rsid w:val="00ED48E1"/>
    <w:pPr>
      <w:bidi w:val="0"/>
      <w:spacing w:before="120" w:line="240" w:lineRule="auto"/>
    </w:pPr>
    <w:rPr>
      <w:rFonts w:eastAsia="Times New Roman" w:cs="Times New Roman"/>
      <w:kern w:val="0"/>
      <w:lang w:val="en-GB" w:bidi="ar-SA"/>
    </w:rPr>
  </w:style>
  <w:style w:type="paragraph" w:customStyle="1" w:styleId="Bodytextitalic">
    <w:name w:val="Body text italic"/>
    <w:basedOn w:val="BodyText"/>
    <w:rsid w:val="00ED48E1"/>
    <w:pPr>
      <w:tabs>
        <w:tab w:val="left" w:pos="720"/>
      </w:tabs>
      <w:bidi w:val="0"/>
      <w:spacing w:before="120" w:line="240" w:lineRule="auto"/>
      <w:ind w:firstLine="720"/>
    </w:pPr>
    <w:rPr>
      <w:rFonts w:eastAsia="Times New Roman" w:cs="Times New Roman"/>
      <w:i/>
      <w:kern w:val="0"/>
      <w:lang w:val="en-GB" w:bidi="ar-SA"/>
    </w:rPr>
  </w:style>
  <w:style w:type="character" w:customStyle="1" w:styleId="BulletList">
    <w:name w:val="Bullet List"/>
    <w:rsid w:val="00ED48E1"/>
  </w:style>
  <w:style w:type="paragraph" w:customStyle="1" w:styleId="Diagram">
    <w:name w:val="Diagram"/>
    <w:basedOn w:val="Normal"/>
    <w:rsid w:val="00ED48E1"/>
    <w:pPr>
      <w:bidi w:val="0"/>
      <w:spacing w:before="120" w:line="240" w:lineRule="auto"/>
    </w:pPr>
    <w:rPr>
      <w:rFonts w:eastAsia="Times New Roman" w:cs="Times New Roman"/>
      <w:b/>
      <w:i/>
      <w:kern w:val="0"/>
      <w:lang w:val="en-CA" w:bidi="ar-SA"/>
    </w:rPr>
  </w:style>
  <w:style w:type="character" w:customStyle="1" w:styleId="endnoterefe">
    <w:name w:val="endnote refe"/>
    <w:rsid w:val="00ED48E1"/>
    <w:rPr>
      <w:rFonts w:ascii="Courier New" w:hAnsi="Courier New"/>
      <w:noProof w:val="0"/>
      <w:sz w:val="20"/>
      <w:vertAlign w:val="superscript"/>
      <w:lang w:val="en-US"/>
    </w:rPr>
  </w:style>
  <w:style w:type="paragraph" w:customStyle="1" w:styleId="FOOTNOTETEX">
    <w:name w:val="FOOTNOTE TEX"/>
    <w:rsid w:val="00ED48E1"/>
    <w:pPr>
      <w:widowControl w:val="0"/>
      <w:tabs>
        <w:tab w:val="left" w:pos="-720"/>
      </w:tabs>
      <w:suppressAutoHyphens/>
    </w:pPr>
    <w:rPr>
      <w:lang w:val="en-US" w:eastAsia="en-US"/>
    </w:rPr>
  </w:style>
  <w:style w:type="paragraph" w:customStyle="1" w:styleId="Heading0">
    <w:name w:val="Heading"/>
    <w:basedOn w:val="Heading1"/>
    <w:next w:val="Normal"/>
    <w:rsid w:val="00ED48E1"/>
    <w:pPr>
      <w:tabs>
        <w:tab w:val="left" w:pos="720"/>
      </w:tabs>
      <w:bidi w:val="0"/>
      <w:spacing w:before="240" w:line="240" w:lineRule="auto"/>
    </w:pPr>
    <w:rPr>
      <w:rFonts w:ascii="Times New Roman" w:hAnsi="Times New Roman" w:cs="Times New Roman"/>
      <w:bCs w:val="0"/>
      <w:caps/>
      <w:kern w:val="0"/>
      <w:lang w:val="en-GB" w:bidi="ar-SA"/>
    </w:rPr>
  </w:style>
  <w:style w:type="paragraph" w:customStyle="1" w:styleId="Heading-plain">
    <w:name w:val="Heading - plain"/>
    <w:basedOn w:val="Heading2"/>
    <w:next w:val="BodyText"/>
    <w:rsid w:val="00ED48E1"/>
    <w:pPr>
      <w:numPr>
        <w:numId w:val="96"/>
      </w:numPr>
      <w:tabs>
        <w:tab w:val="left" w:pos="720"/>
      </w:tabs>
      <w:bidi w:val="0"/>
      <w:spacing w:before="120" w:line="240" w:lineRule="auto"/>
      <w:ind w:left="0" w:firstLine="0"/>
    </w:pPr>
    <w:rPr>
      <w:rFonts w:ascii="Times New Roman" w:hAnsi="Times New Roman"/>
      <w:b w:val="0"/>
      <w:bCs w:val="0"/>
      <w:i/>
      <w:kern w:val="0"/>
      <w:u w:color="000000"/>
      <w:lang w:val="en-GB" w:bidi="ar-SA"/>
    </w:rPr>
  </w:style>
  <w:style w:type="paragraph" w:customStyle="1" w:styleId="Heading1centred">
    <w:name w:val="Heading 1 (centred)"/>
    <w:basedOn w:val="Heading1"/>
    <w:next w:val="Para10"/>
    <w:rsid w:val="00ED48E1"/>
    <w:pPr>
      <w:tabs>
        <w:tab w:val="left" w:pos="720"/>
      </w:tabs>
      <w:bidi w:val="0"/>
      <w:spacing w:before="240" w:line="240" w:lineRule="auto"/>
      <w:ind w:right="403"/>
    </w:pPr>
    <w:rPr>
      <w:rFonts w:ascii="Times New Roman" w:hAnsi="Times New Roman" w:cs="Times New Roman"/>
      <w:bCs w:val="0"/>
      <w:caps/>
      <w:kern w:val="0"/>
      <w:lang w:val="en-GB" w:bidi="ar-SA"/>
    </w:rPr>
  </w:style>
  <w:style w:type="paragraph" w:customStyle="1" w:styleId="Heading2-lines">
    <w:name w:val="Heading 2 - lines"/>
    <w:basedOn w:val="Normal"/>
    <w:next w:val="Para10"/>
    <w:rsid w:val="00ED48E1"/>
    <w:pPr>
      <w:keepNext/>
      <w:bidi w:val="0"/>
      <w:spacing w:before="240" w:after="60" w:line="240" w:lineRule="auto"/>
      <w:ind w:left="1418" w:right="713" w:hanging="709"/>
      <w:jc w:val="center"/>
    </w:pPr>
    <w:rPr>
      <w:rFonts w:eastAsia="Times New Roman" w:cs="Times New Roman"/>
      <w:b/>
      <w:bCs/>
      <w:kern w:val="0"/>
      <w:szCs w:val="28"/>
      <w:lang w:val="en-GB" w:bidi="ar-SA"/>
    </w:rPr>
  </w:style>
  <w:style w:type="paragraph" w:customStyle="1" w:styleId="Heading2-oneline">
    <w:name w:val="Heading 2 - one line"/>
    <w:basedOn w:val="Normal"/>
    <w:rsid w:val="00ED48E1"/>
    <w:pPr>
      <w:keepNext/>
      <w:keepLines/>
      <w:bidi w:val="0"/>
      <w:spacing w:before="120" w:line="240" w:lineRule="auto"/>
      <w:ind w:right="6"/>
      <w:jc w:val="center"/>
    </w:pPr>
    <w:rPr>
      <w:rFonts w:eastAsia="Times New Roman" w:cs="Times New Roman"/>
      <w:i/>
      <w:kern w:val="0"/>
      <w:lang w:val="en-GB" w:bidi="ar-SA"/>
    </w:rPr>
  </w:style>
  <w:style w:type="paragraph" w:customStyle="1" w:styleId="Heading2GTI">
    <w:name w:val="Heading 2 (GTI)"/>
    <w:basedOn w:val="Heading5"/>
    <w:rsid w:val="00ED48E1"/>
    <w:pPr>
      <w:numPr>
        <w:ilvl w:val="4"/>
      </w:numPr>
      <w:tabs>
        <w:tab w:val="num" w:pos="720"/>
      </w:tabs>
      <w:bidi w:val="0"/>
      <w:ind w:left="720" w:hanging="720"/>
      <w:jc w:val="both"/>
    </w:pPr>
    <w:rPr>
      <w:rFonts w:ascii="Times New Roman" w:eastAsia="Times New Roman" w:hAnsi="Times New Roman" w:cs="Times New Roman"/>
      <w:b w:val="0"/>
      <w:i/>
      <w:spacing w:val="0"/>
      <w:szCs w:val="26"/>
      <w:lang w:val="en-CA" w:eastAsia="en-US" w:bidi="ar-SA"/>
    </w:rPr>
  </w:style>
  <w:style w:type="paragraph" w:customStyle="1" w:styleId="headingdecisionsectionmultiline">
    <w:name w:val="heading decision section multiline"/>
    <w:basedOn w:val="Heading-plain"/>
    <w:rsid w:val="00ED48E1"/>
    <w:pPr>
      <w:numPr>
        <w:numId w:val="97"/>
      </w:numPr>
      <w:tabs>
        <w:tab w:val="left" w:pos="720"/>
      </w:tabs>
      <w:ind w:left="1724" w:right="720" w:hanging="284"/>
      <w:jc w:val="left"/>
    </w:pPr>
  </w:style>
  <w:style w:type="paragraph" w:customStyle="1" w:styleId="headingdecisionsectiononeline">
    <w:name w:val="heading decision section one line"/>
    <w:basedOn w:val="Heading-plain"/>
    <w:rsid w:val="00ED48E1"/>
  </w:style>
  <w:style w:type="paragraph" w:customStyle="1" w:styleId="Heading40">
    <w:name w:val="Heading4"/>
    <w:basedOn w:val="Normal"/>
    <w:rsid w:val="00ED48E1"/>
    <w:pPr>
      <w:tabs>
        <w:tab w:val="num" w:pos="720"/>
      </w:tabs>
      <w:bidi w:val="0"/>
      <w:spacing w:before="120" w:line="240" w:lineRule="auto"/>
      <w:ind w:left="720" w:hanging="720"/>
    </w:pPr>
    <w:rPr>
      <w:rFonts w:eastAsia="Times New Roman" w:cs="Times New Roman"/>
      <w:b/>
      <w:i/>
      <w:iCs/>
      <w:kern w:val="0"/>
      <w:lang w:val="en-GB" w:bidi="ar-SA"/>
    </w:rPr>
  </w:style>
  <w:style w:type="paragraph" w:customStyle="1" w:styleId="Heading-plain0">
    <w:name w:val="Heading-plain"/>
    <w:basedOn w:val="Normal"/>
    <w:rsid w:val="00ED48E1"/>
    <w:pPr>
      <w:bidi w:val="0"/>
      <w:spacing w:before="120" w:line="240" w:lineRule="auto"/>
      <w:jc w:val="center"/>
      <w:outlineLvl w:val="0"/>
    </w:pPr>
    <w:rPr>
      <w:rFonts w:eastAsia="Times New Roman" w:cs="Times New Roman"/>
      <w:i/>
      <w:iCs/>
      <w:kern w:val="0"/>
      <w:lang w:val="en-GB" w:bidi="ar-SA"/>
    </w:rPr>
  </w:style>
  <w:style w:type="character" w:customStyle="1" w:styleId="Hyperlink1">
    <w:name w:val="Hyperlink1"/>
    <w:rsid w:val="00ED48E1"/>
  </w:style>
  <w:style w:type="paragraph" w:styleId="List2">
    <w:name w:val="List 2"/>
    <w:basedOn w:val="Normal"/>
    <w:rsid w:val="00ED48E1"/>
    <w:pPr>
      <w:bidi w:val="0"/>
      <w:spacing w:before="60" w:after="60" w:line="240" w:lineRule="auto"/>
      <w:ind w:left="714" w:hanging="357"/>
    </w:pPr>
    <w:rPr>
      <w:rFonts w:eastAsia="Times New Roman" w:cs="Times New Roman"/>
      <w:kern w:val="0"/>
      <w:lang w:val="en-GB" w:bidi="ar-SA"/>
    </w:rPr>
  </w:style>
  <w:style w:type="paragraph" w:styleId="List3">
    <w:name w:val="List 3"/>
    <w:basedOn w:val="Normal"/>
    <w:rsid w:val="00ED48E1"/>
    <w:pPr>
      <w:bidi w:val="0"/>
      <w:spacing w:before="60" w:after="60" w:line="240" w:lineRule="auto"/>
      <w:ind w:left="1077" w:hanging="357"/>
    </w:pPr>
    <w:rPr>
      <w:rFonts w:ascii="Courier" w:eastAsia="Times New Roman" w:hAnsi="Courier" w:cs="Times New Roman"/>
      <w:kern w:val="0"/>
      <w:sz w:val="20"/>
      <w:lang w:val="en-GB" w:bidi="ar-SA"/>
    </w:rPr>
  </w:style>
  <w:style w:type="paragraph" w:customStyle="1" w:styleId="Para1alternative">
    <w:name w:val="Para1 (alternative)"/>
    <w:basedOn w:val="Normal"/>
    <w:rsid w:val="00ED48E1"/>
    <w:pPr>
      <w:bidi w:val="0"/>
      <w:spacing w:before="240" w:line="240" w:lineRule="auto"/>
    </w:pPr>
    <w:rPr>
      <w:rFonts w:eastAsia="MS Mincho" w:cs="Times New Roman"/>
      <w:snapToGrid w:val="0"/>
      <w:kern w:val="0"/>
      <w:szCs w:val="18"/>
      <w:lang w:val="en-GB" w:bidi="ar-SA"/>
    </w:rPr>
  </w:style>
  <w:style w:type="character" w:customStyle="1" w:styleId="PersonalComposeStyle">
    <w:name w:val="Personal Compose Style"/>
    <w:rsid w:val="00ED48E1"/>
    <w:rPr>
      <w:rFonts w:ascii="Arial" w:hAnsi="Arial" w:cs="Arial"/>
      <w:color w:val="auto"/>
      <w:sz w:val="20"/>
    </w:rPr>
  </w:style>
  <w:style w:type="character" w:customStyle="1" w:styleId="PersonalReplyStyle">
    <w:name w:val="Personal Reply Style"/>
    <w:rsid w:val="00ED48E1"/>
    <w:rPr>
      <w:rFonts w:ascii="Arial" w:hAnsi="Arial" w:cs="Arial"/>
      <w:color w:val="auto"/>
      <w:sz w:val="20"/>
    </w:rPr>
  </w:style>
  <w:style w:type="paragraph" w:customStyle="1" w:styleId="subhead">
    <w:name w:val="subhead"/>
    <w:basedOn w:val="Normal"/>
    <w:next w:val="Para10"/>
    <w:rsid w:val="00ED48E1"/>
    <w:pPr>
      <w:bidi w:val="0"/>
      <w:spacing w:before="120" w:line="240" w:lineRule="auto"/>
      <w:jc w:val="center"/>
    </w:pPr>
    <w:rPr>
      <w:rFonts w:eastAsia="Times New Roman" w:cs="Times New Roman"/>
      <w:i/>
      <w:kern w:val="0"/>
      <w:szCs w:val="20"/>
      <w:lang w:val="en-GB" w:bidi="ar-SA"/>
    </w:rPr>
  </w:style>
  <w:style w:type="paragraph" w:customStyle="1" w:styleId="Subhead1">
    <w:name w:val="Subhead1"/>
    <w:basedOn w:val="Normal"/>
    <w:rsid w:val="00ED48E1"/>
    <w:pPr>
      <w:tabs>
        <w:tab w:val="left" w:pos="-1440"/>
        <w:tab w:val="left" w:pos="-720"/>
        <w:tab w:val="left" w:pos="0"/>
        <w:tab w:val="left" w:pos="1440"/>
        <w:tab w:val="right" w:leader="dot" w:pos="6293"/>
        <w:tab w:val="left" w:pos="6480"/>
        <w:tab w:val="left" w:pos="6703"/>
        <w:tab w:val="left" w:pos="8640"/>
      </w:tabs>
      <w:suppressAutoHyphens/>
      <w:overflowPunct w:val="0"/>
      <w:autoSpaceDE w:val="0"/>
      <w:autoSpaceDN w:val="0"/>
      <w:bidi w:val="0"/>
      <w:adjustRightInd w:val="0"/>
      <w:spacing w:before="120" w:after="240" w:line="240" w:lineRule="exact"/>
      <w:ind w:left="1355" w:right="607" w:hanging="720"/>
      <w:jc w:val="left"/>
      <w:textAlignment w:val="baseline"/>
    </w:pPr>
    <w:rPr>
      <w:rFonts w:ascii="Courier" w:eastAsia="Times New Roman" w:hAnsi="Courier" w:cs="Times New Roman"/>
      <w:kern w:val="0"/>
      <w:sz w:val="20"/>
      <w:szCs w:val="20"/>
      <w:lang w:val="en-GB" w:bidi="ar-SA"/>
    </w:rPr>
  </w:style>
  <w:style w:type="paragraph" w:customStyle="1" w:styleId="Title-secondary">
    <w:name w:val="Title - secondary"/>
    <w:basedOn w:val="Title"/>
    <w:next w:val="Heading2"/>
    <w:rsid w:val="00ED48E1"/>
    <w:pPr>
      <w:spacing w:before="120"/>
    </w:pPr>
    <w:rPr>
      <w:caps w:val="0"/>
    </w:rPr>
  </w:style>
  <w:style w:type="paragraph" w:customStyle="1" w:styleId="Title-body">
    <w:name w:val="Title-body"/>
    <w:basedOn w:val="Normal"/>
    <w:rsid w:val="00ED48E1"/>
    <w:pPr>
      <w:tabs>
        <w:tab w:val="right" w:pos="6095"/>
      </w:tabs>
      <w:bidi w:val="0"/>
      <w:spacing w:before="120" w:line="240" w:lineRule="auto"/>
      <w:jc w:val="center"/>
    </w:pPr>
    <w:rPr>
      <w:rFonts w:eastAsia="Times New Roman" w:cs="Times New Roman"/>
      <w:smallCaps/>
      <w:kern w:val="0"/>
      <w:lang w:val="en-GB" w:bidi="ar-SA"/>
    </w:rPr>
  </w:style>
  <w:style w:type="character" w:customStyle="1" w:styleId="underline">
    <w:name w:val="underline"/>
    <w:rsid w:val="00ED48E1"/>
    <w:rPr>
      <w:rFonts w:ascii="Courier" w:hAnsi="Courier"/>
      <w:sz w:val="20"/>
      <w:u w:val="single"/>
    </w:rPr>
  </w:style>
  <w:style w:type="paragraph" w:customStyle="1" w:styleId="xl27">
    <w:name w:val="xl27"/>
    <w:basedOn w:val="Normal"/>
    <w:rsid w:val="00ED48E1"/>
    <w:pPr>
      <w:pBdr>
        <w:left w:val="single" w:sz="8" w:space="0" w:color="auto"/>
      </w:pBdr>
      <w:bidi w:val="0"/>
      <w:spacing w:before="100" w:beforeAutospacing="1" w:after="100" w:afterAutospacing="1" w:line="240" w:lineRule="auto"/>
      <w:jc w:val="left"/>
    </w:pPr>
    <w:rPr>
      <w:rFonts w:eastAsia="Arial Unicode MS" w:cs="Times New Roman"/>
      <w:b/>
      <w:bCs/>
      <w:kern w:val="0"/>
      <w:szCs w:val="22"/>
      <w:lang w:bidi="ar-SA"/>
    </w:rPr>
  </w:style>
  <w:style w:type="paragraph" w:customStyle="1" w:styleId="recordinput">
    <w:name w:val="recordinput"/>
    <w:basedOn w:val="Normal"/>
    <w:rsid w:val="00ED48E1"/>
    <w:pPr>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label">
    <w:name w:val="recordlabel"/>
    <w:basedOn w:val="Normal"/>
    <w:rsid w:val="00ED48E1"/>
    <w:pPr>
      <w:pBdr>
        <w:bottom w:val="single" w:sz="6" w:space="0" w:color="FFFFFF"/>
      </w:pBdr>
      <w:bidi w:val="0"/>
      <w:spacing w:before="100" w:beforeAutospacing="1" w:after="100" w:afterAutospacing="1" w:line="240" w:lineRule="auto"/>
      <w:jc w:val="left"/>
      <w:textAlignment w:val="top"/>
    </w:pPr>
    <w:rPr>
      <w:rFonts w:ascii="Verdana" w:eastAsia="Arial Unicode MS" w:hAnsi="Verdana" w:cs="Arial Unicode MS"/>
      <w:b/>
      <w:bCs/>
      <w:color w:val="000000"/>
      <w:kern w:val="0"/>
      <w:sz w:val="16"/>
      <w:szCs w:val="16"/>
      <w:lang w:bidi="ar-SA"/>
    </w:rPr>
  </w:style>
  <w:style w:type="paragraph" w:customStyle="1" w:styleId="recorddata">
    <w:name w:val="recorddata"/>
    <w:basedOn w:val="Normal"/>
    <w:rsid w:val="00ED48E1"/>
    <w:pPr>
      <w:pBdr>
        <w:bottom w:val="single" w:sz="6" w:space="0" w:color="FFFFFF"/>
      </w:pBdr>
      <w:bidi w:val="0"/>
      <w:spacing w:before="100" w:beforeAutospacing="1" w:after="100" w:afterAutospacing="1" w:line="240" w:lineRule="auto"/>
      <w:jc w:val="left"/>
      <w:textAlignment w:val="top"/>
    </w:pPr>
    <w:rPr>
      <w:rFonts w:ascii="Verdana" w:eastAsia="Arial Unicode MS" w:hAnsi="Verdana" w:cs="Arial Unicode MS"/>
      <w:kern w:val="0"/>
      <w:sz w:val="16"/>
      <w:szCs w:val="16"/>
      <w:lang w:bidi="ar-SA"/>
    </w:rPr>
  </w:style>
  <w:style w:type="paragraph" w:customStyle="1" w:styleId="recordinfo">
    <w:name w:val="recordinfo"/>
    <w:basedOn w:val="Normal"/>
    <w:rsid w:val="00ED48E1"/>
    <w:pPr>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hilite">
    <w:name w:val="recordhilite"/>
    <w:basedOn w:val="Normal"/>
    <w:rsid w:val="00ED48E1"/>
    <w:pPr>
      <w:shd w:val="clear" w:color="auto" w:fill="DDDDDD"/>
      <w:bidi w:val="0"/>
      <w:spacing w:before="100" w:beforeAutospacing="1" w:after="100" w:afterAutospacing="1" w:line="240" w:lineRule="auto"/>
      <w:jc w:val="left"/>
    </w:pPr>
    <w:rPr>
      <w:rFonts w:ascii="Verdana" w:eastAsia="Arial Unicode MS" w:hAnsi="Verdana" w:cs="Arial Unicode MS"/>
      <w:b/>
      <w:bCs/>
      <w:kern w:val="0"/>
      <w:sz w:val="16"/>
      <w:szCs w:val="16"/>
      <w:lang w:bidi="ar-SA"/>
    </w:rPr>
  </w:style>
  <w:style w:type="paragraph" w:customStyle="1" w:styleId="recordlabel2">
    <w:name w:val="recordlabel2"/>
    <w:basedOn w:val="Normal"/>
    <w:rsid w:val="00ED48E1"/>
    <w:pPr>
      <w:pBdr>
        <w:bottom w:val="single" w:sz="6" w:space="0" w:color="FFFFFF"/>
      </w:pBdr>
      <w:shd w:val="clear" w:color="auto" w:fill="CECF9C"/>
      <w:bidi w:val="0"/>
      <w:spacing w:before="100" w:beforeAutospacing="1" w:after="100" w:afterAutospacing="1" w:line="240" w:lineRule="auto"/>
      <w:jc w:val="left"/>
    </w:pPr>
    <w:rPr>
      <w:rFonts w:ascii="Verdana" w:eastAsia="Arial Unicode MS" w:hAnsi="Verdana" w:cs="Arial Unicode MS"/>
      <w:b/>
      <w:bCs/>
      <w:color w:val="000000"/>
      <w:kern w:val="0"/>
      <w:sz w:val="16"/>
      <w:szCs w:val="16"/>
      <w:lang w:bidi="ar-SA"/>
    </w:rPr>
  </w:style>
  <w:style w:type="paragraph" w:customStyle="1" w:styleId="recorddata2">
    <w:name w:val="recorddata2"/>
    <w:basedOn w:val="Normal"/>
    <w:rsid w:val="00ED48E1"/>
    <w:pPr>
      <w:pBdr>
        <w:bottom w:val="single" w:sz="6" w:space="0" w:color="FFFFFF"/>
      </w:pBdr>
      <w:shd w:val="clear" w:color="auto" w:fill="F0F0F0"/>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sectionbox">
    <w:name w:val="recordsectionbox"/>
    <w:basedOn w:val="Normal"/>
    <w:rsid w:val="00ED48E1"/>
    <w:pPr>
      <w:shd w:val="clear" w:color="auto" w:fill="EFEFDF"/>
      <w:bidi w:val="0"/>
      <w:spacing w:before="100" w:beforeAutospacing="1" w:after="100" w:afterAutospacing="1" w:line="240" w:lineRule="auto"/>
      <w:jc w:val="left"/>
    </w:pPr>
    <w:rPr>
      <w:rFonts w:ascii="Verdana" w:eastAsia="Arial Unicode MS" w:hAnsi="Verdana" w:cs="Arial Unicode MS"/>
      <w:b/>
      <w:bCs/>
      <w:color w:val="000000"/>
      <w:kern w:val="0"/>
      <w:sz w:val="18"/>
      <w:szCs w:val="18"/>
      <w:lang w:bidi="ar-SA"/>
    </w:rPr>
  </w:style>
  <w:style w:type="paragraph" w:customStyle="1" w:styleId="recordsectionsepbox">
    <w:name w:val="recordsectionsepbox"/>
    <w:basedOn w:val="Normal"/>
    <w:rsid w:val="00ED48E1"/>
    <w:pPr>
      <w:shd w:val="clear" w:color="auto" w:fill="EFEFDF"/>
      <w:bidi w:val="0"/>
      <w:spacing w:before="100" w:beforeAutospacing="1" w:after="100" w:afterAutospacing="1" w:line="240" w:lineRule="auto"/>
      <w:jc w:val="left"/>
    </w:pPr>
    <w:rPr>
      <w:rFonts w:ascii="Arial Unicode MS" w:eastAsia="Arial Unicode MS" w:hAnsi="Arial Unicode MS" w:cs="Arial Unicode MS"/>
      <w:kern w:val="0"/>
      <w:sz w:val="24"/>
      <w:lang w:bidi="ar-SA"/>
    </w:rPr>
  </w:style>
  <w:style w:type="paragraph" w:customStyle="1" w:styleId="recordinputbox">
    <w:name w:val="recordinputbox"/>
    <w:basedOn w:val="Normal"/>
    <w:rsid w:val="00ED48E1"/>
    <w:pPr>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labelbox">
    <w:name w:val="recordlabelbox"/>
    <w:basedOn w:val="Normal"/>
    <w:rsid w:val="00ED48E1"/>
    <w:pPr>
      <w:shd w:val="clear" w:color="auto" w:fill="EFEFDF"/>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databox">
    <w:name w:val="recorddatabox"/>
    <w:basedOn w:val="Normal"/>
    <w:rsid w:val="00ED48E1"/>
    <w:pPr>
      <w:shd w:val="clear" w:color="auto" w:fill="EFEFDF"/>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recordinfobox">
    <w:name w:val="recordinfobox"/>
    <w:basedOn w:val="Normal"/>
    <w:rsid w:val="00ED48E1"/>
    <w:pPr>
      <w:shd w:val="clear" w:color="auto" w:fill="EFEFDF"/>
      <w:bidi w:val="0"/>
      <w:spacing w:before="100" w:beforeAutospacing="1" w:after="100" w:afterAutospacing="1" w:line="240" w:lineRule="auto"/>
      <w:jc w:val="left"/>
    </w:pPr>
    <w:rPr>
      <w:rFonts w:ascii="Verdana" w:eastAsia="Arial Unicode MS" w:hAnsi="Verdana" w:cs="Arial Unicode MS"/>
      <w:i/>
      <w:iCs/>
      <w:kern w:val="0"/>
      <w:sz w:val="16"/>
      <w:szCs w:val="16"/>
      <w:lang w:bidi="ar-SA"/>
    </w:rPr>
  </w:style>
  <w:style w:type="paragraph" w:customStyle="1" w:styleId="resultdata">
    <w:name w:val="resultdata"/>
    <w:basedOn w:val="Normal"/>
    <w:rsid w:val="00ED48E1"/>
    <w:pPr>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small">
    <w:name w:val="small"/>
    <w:basedOn w:val="Normal"/>
    <w:rsid w:val="00ED48E1"/>
    <w:pPr>
      <w:bidi w:val="0"/>
      <w:spacing w:before="100" w:beforeAutospacing="1" w:after="100" w:afterAutospacing="1" w:line="240" w:lineRule="auto"/>
      <w:jc w:val="left"/>
    </w:pPr>
    <w:rPr>
      <w:rFonts w:ascii="Verdana" w:eastAsia="Arial Unicode MS" w:hAnsi="Verdana" w:cs="Arial Unicode MS"/>
      <w:kern w:val="0"/>
      <w:sz w:val="14"/>
      <w:szCs w:val="14"/>
      <w:lang w:bidi="ar-SA"/>
    </w:rPr>
  </w:style>
  <w:style w:type="paragraph" w:customStyle="1" w:styleId="smalltext">
    <w:name w:val="smalltext"/>
    <w:basedOn w:val="Normal"/>
    <w:rsid w:val="00ED48E1"/>
    <w:pPr>
      <w:bidi w:val="0"/>
      <w:spacing w:before="100" w:beforeAutospacing="1" w:after="100" w:afterAutospacing="1" w:line="240" w:lineRule="auto"/>
      <w:jc w:val="left"/>
    </w:pPr>
    <w:rPr>
      <w:rFonts w:ascii="Verdana" w:eastAsia="Arial Unicode MS" w:hAnsi="Verdana" w:cs="Arial Unicode MS"/>
      <w:kern w:val="0"/>
      <w:sz w:val="14"/>
      <w:szCs w:val="14"/>
      <w:lang w:bidi="ar-SA"/>
    </w:rPr>
  </w:style>
  <w:style w:type="paragraph" w:customStyle="1" w:styleId="largetext">
    <w:name w:val="largetext"/>
    <w:basedOn w:val="Normal"/>
    <w:rsid w:val="00ED48E1"/>
    <w:pPr>
      <w:bidi w:val="0"/>
      <w:spacing w:before="100" w:beforeAutospacing="1" w:after="100" w:afterAutospacing="1" w:line="240" w:lineRule="auto"/>
      <w:jc w:val="left"/>
    </w:pPr>
    <w:rPr>
      <w:rFonts w:ascii="Verdana" w:eastAsia="Arial Unicode MS" w:hAnsi="Verdana" w:cs="Arial Unicode MS"/>
      <w:kern w:val="0"/>
      <w:sz w:val="18"/>
      <w:szCs w:val="18"/>
      <w:lang w:bidi="ar-SA"/>
    </w:rPr>
  </w:style>
  <w:style w:type="paragraph" w:customStyle="1" w:styleId="section">
    <w:name w:val="section"/>
    <w:basedOn w:val="Normal"/>
    <w:rsid w:val="00ED48E1"/>
    <w:pPr>
      <w:bidi w:val="0"/>
      <w:spacing w:before="100" w:beforeAutospacing="1" w:after="100" w:afterAutospacing="1" w:line="240" w:lineRule="auto"/>
      <w:jc w:val="left"/>
    </w:pPr>
    <w:rPr>
      <w:rFonts w:ascii="Verdana" w:eastAsia="Arial Unicode MS" w:hAnsi="Verdana" w:cs="Arial Unicode MS"/>
      <w:color w:val="000000"/>
      <w:kern w:val="0"/>
      <w:sz w:val="20"/>
      <w:szCs w:val="20"/>
      <w:lang w:bidi="ar-SA"/>
    </w:rPr>
  </w:style>
  <w:style w:type="paragraph" w:customStyle="1" w:styleId="subsection">
    <w:name w:val="subsection"/>
    <w:basedOn w:val="Normal"/>
    <w:rsid w:val="00ED48E1"/>
    <w:pPr>
      <w:bidi w:val="0"/>
      <w:spacing w:before="100" w:beforeAutospacing="1" w:after="100" w:afterAutospacing="1" w:line="240" w:lineRule="auto"/>
      <w:jc w:val="left"/>
    </w:pPr>
    <w:rPr>
      <w:rFonts w:ascii="Verdana" w:eastAsia="Arial Unicode MS" w:hAnsi="Verdana" w:cs="Arial Unicode MS"/>
      <w:color w:val="000000"/>
      <w:kern w:val="0"/>
      <w:sz w:val="18"/>
      <w:szCs w:val="18"/>
      <w:lang w:bidi="ar-SA"/>
    </w:rPr>
  </w:style>
  <w:style w:type="paragraph" w:customStyle="1" w:styleId="itemtitle">
    <w:name w:val="itemtitle"/>
    <w:basedOn w:val="Normal"/>
    <w:rsid w:val="00ED48E1"/>
    <w:pPr>
      <w:bidi w:val="0"/>
      <w:spacing w:before="100" w:beforeAutospacing="1" w:after="100" w:afterAutospacing="1" w:line="240" w:lineRule="auto"/>
      <w:jc w:val="left"/>
    </w:pPr>
    <w:rPr>
      <w:rFonts w:ascii="Verdana" w:eastAsia="Arial Unicode MS" w:hAnsi="Verdana" w:cs="Arial Unicode MS"/>
      <w:b/>
      <w:bCs/>
      <w:kern w:val="0"/>
      <w:sz w:val="16"/>
      <w:szCs w:val="16"/>
      <w:lang w:bidi="ar-SA"/>
    </w:rPr>
  </w:style>
  <w:style w:type="paragraph" w:customStyle="1" w:styleId="box">
    <w:name w:val="box"/>
    <w:basedOn w:val="Normal"/>
    <w:rsid w:val="00ED48E1"/>
    <w:pPr>
      <w:shd w:val="clear" w:color="auto" w:fill="EFEFDF"/>
      <w:bidi w:val="0"/>
      <w:spacing w:before="100" w:beforeAutospacing="1" w:after="100" w:afterAutospacing="1" w:line="240" w:lineRule="auto"/>
      <w:jc w:val="left"/>
    </w:pPr>
    <w:rPr>
      <w:rFonts w:ascii="Arial Unicode MS" w:eastAsia="Arial Unicode MS" w:hAnsi="Arial Unicode MS" w:cs="Arial Unicode MS"/>
      <w:kern w:val="0"/>
      <w:sz w:val="15"/>
      <w:szCs w:val="15"/>
      <w:lang w:bidi="ar-SA"/>
    </w:rPr>
  </w:style>
  <w:style w:type="paragraph" w:customStyle="1" w:styleId="rightboxtitle">
    <w:name w:val="rightboxtitle"/>
    <w:basedOn w:val="Normal"/>
    <w:rsid w:val="00ED48E1"/>
    <w:pPr>
      <w:bidi w:val="0"/>
      <w:spacing w:before="100" w:beforeAutospacing="1" w:after="100" w:afterAutospacing="1" w:line="240" w:lineRule="auto"/>
      <w:jc w:val="left"/>
    </w:pPr>
    <w:rPr>
      <w:rFonts w:ascii="Arial Unicode MS" w:eastAsia="Arial Unicode MS" w:hAnsi="Arial Unicode MS" w:cs="Arial Unicode MS"/>
      <w:b/>
      <w:bCs/>
      <w:kern w:val="0"/>
      <w:sz w:val="16"/>
      <w:szCs w:val="16"/>
      <w:lang w:bidi="ar-SA"/>
    </w:rPr>
  </w:style>
  <w:style w:type="paragraph" w:customStyle="1" w:styleId="rightboxsection">
    <w:name w:val="rightboxsection"/>
    <w:basedOn w:val="Normal"/>
    <w:rsid w:val="00ED48E1"/>
    <w:pPr>
      <w:bidi w:val="0"/>
      <w:spacing w:before="100" w:beforeAutospacing="1" w:after="100" w:afterAutospacing="1" w:line="240" w:lineRule="auto"/>
      <w:jc w:val="center"/>
    </w:pPr>
    <w:rPr>
      <w:rFonts w:ascii="Arial Unicode MS" w:eastAsia="Arial Unicode MS" w:hAnsi="Arial Unicode MS" w:cs="Arial Unicode MS"/>
      <w:i/>
      <w:iCs/>
      <w:kern w:val="0"/>
      <w:sz w:val="16"/>
      <w:szCs w:val="16"/>
      <w:lang w:bidi="ar-SA"/>
    </w:rPr>
  </w:style>
  <w:style w:type="paragraph" w:customStyle="1" w:styleId="rightbox">
    <w:name w:val="rightbox"/>
    <w:basedOn w:val="Normal"/>
    <w:rsid w:val="00ED48E1"/>
    <w:pPr>
      <w:bidi w:val="0"/>
      <w:spacing w:before="100" w:beforeAutospacing="1" w:after="100" w:afterAutospacing="1" w:line="240" w:lineRule="auto"/>
      <w:jc w:val="left"/>
    </w:pPr>
    <w:rPr>
      <w:rFonts w:ascii="Arial Unicode MS" w:eastAsia="Arial Unicode MS" w:hAnsi="Arial Unicode MS" w:cs="Arial Unicode MS"/>
      <w:kern w:val="0"/>
      <w:sz w:val="14"/>
      <w:szCs w:val="14"/>
      <w:lang w:bidi="ar-SA"/>
    </w:rPr>
  </w:style>
  <w:style w:type="paragraph" w:customStyle="1" w:styleId="homesectionbody">
    <w:name w:val="homesectionbody"/>
    <w:basedOn w:val="Normal"/>
    <w:rsid w:val="00ED48E1"/>
    <w:pPr>
      <w:pBdr>
        <w:left w:val="single" w:sz="6" w:space="3" w:color="CCCCCC"/>
        <w:bottom w:val="single" w:sz="6" w:space="2" w:color="CCCCCC"/>
        <w:right w:val="single" w:sz="6" w:space="3" w:color="CCCCCC"/>
      </w:pBdr>
      <w:bidi w:val="0"/>
      <w:spacing w:before="100" w:beforeAutospacing="1" w:after="100" w:afterAutospacing="1" w:line="240" w:lineRule="auto"/>
      <w:jc w:val="left"/>
      <w:textAlignment w:val="top"/>
    </w:pPr>
    <w:rPr>
      <w:rFonts w:ascii="Verdana" w:eastAsia="Arial Unicode MS" w:hAnsi="Verdana" w:cs="Arial Unicode MS"/>
      <w:color w:val="000000"/>
      <w:kern w:val="0"/>
      <w:sz w:val="14"/>
      <w:szCs w:val="14"/>
      <w:lang w:bidi="ar-SA"/>
    </w:rPr>
  </w:style>
  <w:style w:type="paragraph" w:customStyle="1" w:styleId="cmsboxdashed">
    <w:name w:val="cms_box_dashed"/>
    <w:basedOn w:val="Normal"/>
    <w:rsid w:val="00ED48E1"/>
    <w:pPr>
      <w:pBdr>
        <w:top w:val="dashed" w:sz="6" w:space="6" w:color="C0C0C0"/>
        <w:left w:val="dashed" w:sz="6" w:space="6" w:color="C0C0C0"/>
        <w:bottom w:val="dashed" w:sz="6" w:space="6" w:color="C0C0C0"/>
        <w:right w:val="dashed" w:sz="6" w:space="6" w:color="C0C0C0"/>
      </w:pBdr>
      <w:shd w:val="clear" w:color="auto" w:fill="F8F8F8"/>
      <w:bidi w:val="0"/>
      <w:spacing w:before="100" w:beforeAutospacing="1" w:after="100" w:afterAutospacing="1" w:line="240" w:lineRule="auto"/>
      <w:jc w:val="left"/>
    </w:pPr>
    <w:rPr>
      <w:rFonts w:ascii="Arial Unicode MS" w:eastAsia="Arial Unicode MS" w:hAnsi="Arial Unicode MS" w:cs="Arial Unicode MS"/>
      <w:kern w:val="0"/>
      <w:sz w:val="24"/>
      <w:lang w:bidi="ar-SA"/>
    </w:rPr>
  </w:style>
  <w:style w:type="paragraph" w:customStyle="1" w:styleId="cmsmenufont">
    <w:name w:val="cms_menu_font"/>
    <w:basedOn w:val="Normal"/>
    <w:rsid w:val="00ED48E1"/>
    <w:pPr>
      <w:bidi w:val="0"/>
      <w:spacing w:before="100" w:beforeAutospacing="1" w:after="100" w:afterAutospacing="1" w:line="240" w:lineRule="auto"/>
      <w:jc w:val="left"/>
    </w:pPr>
    <w:rPr>
      <w:rFonts w:ascii="Verdana" w:eastAsia="Arial Unicode MS" w:hAnsi="Verdana" w:cs="Arial Unicode MS"/>
      <w:kern w:val="0"/>
      <w:sz w:val="16"/>
      <w:szCs w:val="16"/>
      <w:lang w:bidi="ar-SA"/>
    </w:rPr>
  </w:style>
  <w:style w:type="paragraph" w:customStyle="1" w:styleId="cmsmenuitem">
    <w:name w:val="cms_menu_item"/>
    <w:basedOn w:val="Normal"/>
    <w:rsid w:val="00ED48E1"/>
    <w:pPr>
      <w:pBdr>
        <w:bottom w:val="single" w:sz="6" w:space="0" w:color="FFFFFF"/>
      </w:pBdr>
      <w:shd w:val="clear" w:color="auto" w:fill="BDC7C7"/>
      <w:bidi w:val="0"/>
      <w:spacing w:before="100" w:beforeAutospacing="1" w:after="100" w:afterAutospacing="1" w:line="240" w:lineRule="auto"/>
      <w:jc w:val="left"/>
    </w:pPr>
    <w:rPr>
      <w:rFonts w:ascii="Verdana" w:eastAsia="Arial Unicode MS" w:hAnsi="Verdana" w:cs="Arial Unicode MS"/>
      <w:b/>
      <w:bCs/>
      <w:color w:val="FFFFFF"/>
      <w:kern w:val="0"/>
      <w:sz w:val="15"/>
      <w:szCs w:val="15"/>
      <w:lang w:bidi="ar-SA"/>
    </w:rPr>
  </w:style>
  <w:style w:type="paragraph" w:customStyle="1" w:styleId="cmsmenusubitem">
    <w:name w:val="cms_menu_subitem"/>
    <w:basedOn w:val="Normal"/>
    <w:rsid w:val="00ED48E1"/>
    <w:pPr>
      <w:pBdr>
        <w:bottom w:val="single" w:sz="6" w:space="3" w:color="FFFFFF"/>
      </w:pBdr>
      <w:shd w:val="clear" w:color="auto" w:fill="EEEBE2"/>
      <w:bidi w:val="0"/>
      <w:spacing w:before="100" w:beforeAutospacing="1" w:after="100" w:afterAutospacing="1" w:line="240" w:lineRule="auto"/>
      <w:jc w:val="left"/>
    </w:pPr>
    <w:rPr>
      <w:rFonts w:ascii="Verdana" w:eastAsia="Arial Unicode MS" w:hAnsi="Verdana" w:cs="Arial Unicode MS"/>
      <w:color w:val="303030"/>
      <w:kern w:val="0"/>
      <w:sz w:val="15"/>
      <w:szCs w:val="15"/>
      <w:lang w:bidi="ar-SA"/>
    </w:rPr>
  </w:style>
  <w:style w:type="paragraph" w:customStyle="1" w:styleId="cmsbuttonsmall">
    <w:name w:val="cms_button_small"/>
    <w:basedOn w:val="Normal"/>
    <w:rsid w:val="00ED48E1"/>
    <w:pPr>
      <w:bidi w:val="0"/>
      <w:spacing w:before="100" w:beforeAutospacing="1" w:after="100" w:afterAutospacing="1" w:line="240" w:lineRule="auto"/>
      <w:jc w:val="left"/>
    </w:pPr>
    <w:rPr>
      <w:rFonts w:ascii="Tahoma" w:eastAsia="Arial Unicode MS" w:hAnsi="Tahoma" w:cs="Tahoma"/>
      <w:kern w:val="0"/>
      <w:sz w:val="14"/>
      <w:szCs w:val="14"/>
      <w:lang w:bidi="ar-SA"/>
    </w:rPr>
  </w:style>
  <w:style w:type="paragraph" w:customStyle="1" w:styleId="cmsformsection">
    <w:name w:val="cms_form_section"/>
    <w:basedOn w:val="Normal"/>
    <w:rsid w:val="00ED48E1"/>
    <w:pPr>
      <w:shd w:val="clear" w:color="auto" w:fill="DCDCDC"/>
      <w:bidi w:val="0"/>
      <w:spacing w:before="100" w:beforeAutospacing="1" w:after="60" w:line="240" w:lineRule="auto"/>
      <w:jc w:val="left"/>
    </w:pPr>
    <w:rPr>
      <w:rFonts w:ascii="Arial Unicode MS" w:eastAsia="Arial Unicode MS" w:hAnsi="Arial Unicode MS" w:cs="Arial Unicode MS"/>
      <w:b/>
      <w:bCs/>
      <w:kern w:val="0"/>
      <w:sz w:val="24"/>
      <w:lang w:bidi="ar-SA"/>
    </w:rPr>
  </w:style>
  <w:style w:type="paragraph" w:customStyle="1" w:styleId="skin-titledbox-title">
    <w:name w:val="skin-titledbox-title"/>
    <w:basedOn w:val="Normal"/>
    <w:rsid w:val="00ED48E1"/>
    <w:pPr>
      <w:pBdr>
        <w:top w:val="single" w:sz="6" w:space="3" w:color="C0C0C0"/>
        <w:left w:val="single" w:sz="6" w:space="6" w:color="C0C0C0"/>
        <w:bottom w:val="single" w:sz="6" w:space="3" w:color="C0C0C0"/>
        <w:right w:val="single" w:sz="6" w:space="6" w:color="C0C0C0"/>
      </w:pBdr>
      <w:shd w:val="clear" w:color="auto" w:fill="DCDCDD"/>
      <w:bidi w:val="0"/>
      <w:spacing w:before="100" w:beforeAutospacing="1" w:after="30" w:line="240" w:lineRule="auto"/>
      <w:jc w:val="left"/>
    </w:pPr>
    <w:rPr>
      <w:rFonts w:ascii="Verdana" w:eastAsia="Arial Unicode MS" w:hAnsi="Verdana" w:cs="Arial Unicode MS"/>
      <w:b/>
      <w:bCs/>
      <w:caps/>
      <w:color w:val="333333"/>
      <w:kern w:val="0"/>
      <w:sz w:val="15"/>
      <w:szCs w:val="15"/>
      <w:lang w:bidi="ar-SA"/>
    </w:rPr>
  </w:style>
  <w:style w:type="paragraph" w:customStyle="1" w:styleId="skin-titledbox-content">
    <w:name w:val="skin-titledbox-content"/>
    <w:basedOn w:val="Normal"/>
    <w:rsid w:val="00ED48E1"/>
    <w:pPr>
      <w:pBdr>
        <w:top w:val="single" w:sz="6" w:space="6" w:color="C0C0C0"/>
        <w:left w:val="single" w:sz="6" w:space="6" w:color="C0C0C0"/>
        <w:bottom w:val="single" w:sz="6" w:space="6" w:color="C0C0C0"/>
        <w:right w:val="single" w:sz="6" w:space="6" w:color="C0C0C0"/>
      </w:pBdr>
      <w:shd w:val="clear" w:color="auto" w:fill="F6F4E6"/>
      <w:bidi w:val="0"/>
      <w:spacing w:before="100" w:beforeAutospacing="1" w:after="240" w:line="240" w:lineRule="auto"/>
      <w:jc w:val="left"/>
    </w:pPr>
    <w:rPr>
      <w:rFonts w:ascii="Arial Unicode MS" w:eastAsia="Arial Unicode MS" w:hAnsi="Arial Unicode MS" w:cs="Arial Unicode MS"/>
      <w:kern w:val="0"/>
      <w:sz w:val="24"/>
      <w:lang w:bidi="ar-SA"/>
    </w:rPr>
  </w:style>
  <w:style w:type="paragraph" w:customStyle="1" w:styleId="hcell">
    <w:name w:val="hcell"/>
    <w:basedOn w:val="Normal"/>
    <w:rsid w:val="00ED48E1"/>
    <w:pPr>
      <w:bidi w:val="0"/>
      <w:spacing w:before="100" w:beforeAutospacing="1" w:after="100" w:afterAutospacing="1" w:line="240" w:lineRule="atLeast"/>
      <w:jc w:val="left"/>
    </w:pPr>
    <w:rPr>
      <w:rFonts w:ascii="Verdana" w:eastAsia="Arial Unicode MS" w:hAnsi="Verdana" w:cs="Arial Unicode MS"/>
      <w:color w:val="333333"/>
      <w:kern w:val="0"/>
      <w:sz w:val="17"/>
      <w:szCs w:val="17"/>
      <w:lang w:bidi="ar-SA"/>
    </w:rPr>
  </w:style>
  <w:style w:type="paragraph" w:customStyle="1" w:styleId="fheader">
    <w:name w:val="fheader"/>
    <w:basedOn w:val="Normal"/>
    <w:rsid w:val="00ED48E1"/>
    <w:pPr>
      <w:shd w:val="clear" w:color="auto" w:fill="C0C0C4"/>
      <w:bidi w:val="0"/>
      <w:spacing w:before="100" w:beforeAutospacing="1" w:after="100" w:afterAutospacing="1" w:line="240" w:lineRule="auto"/>
      <w:jc w:val="left"/>
    </w:pPr>
    <w:rPr>
      <w:rFonts w:ascii="Arial Unicode MS" w:eastAsia="Arial Unicode MS" w:hAnsi="Arial Unicode MS" w:cs="Arial Unicode MS"/>
      <w:kern w:val="0"/>
      <w:sz w:val="24"/>
      <w:lang w:bidi="ar-SA"/>
    </w:rPr>
  </w:style>
  <w:style w:type="paragraph" w:customStyle="1" w:styleId="fcell">
    <w:name w:val="fcell"/>
    <w:basedOn w:val="Normal"/>
    <w:rsid w:val="00ED48E1"/>
    <w:pPr>
      <w:shd w:val="clear" w:color="auto" w:fill="F0F0F0"/>
      <w:bidi w:val="0"/>
      <w:spacing w:before="100" w:beforeAutospacing="1" w:after="100" w:afterAutospacing="1" w:line="240" w:lineRule="auto"/>
      <w:jc w:val="left"/>
    </w:pPr>
    <w:rPr>
      <w:rFonts w:ascii="Arial Unicode MS" w:eastAsia="Arial Unicode MS" w:hAnsi="Arial Unicode MS" w:cs="Arial Unicode MS"/>
      <w:kern w:val="0"/>
      <w:sz w:val="24"/>
      <w:lang w:bidi="ar-SA"/>
    </w:rPr>
  </w:style>
  <w:style w:type="paragraph" w:customStyle="1" w:styleId="fcell2">
    <w:name w:val="fcell2"/>
    <w:basedOn w:val="Normal"/>
    <w:rsid w:val="00ED48E1"/>
    <w:pPr>
      <w:shd w:val="clear" w:color="auto" w:fill="E0E0E0"/>
      <w:bidi w:val="0"/>
      <w:spacing w:before="100" w:beforeAutospacing="1" w:after="100" w:afterAutospacing="1" w:line="240" w:lineRule="auto"/>
      <w:jc w:val="left"/>
    </w:pPr>
    <w:rPr>
      <w:rFonts w:ascii="Arial Unicode MS" w:eastAsia="Arial Unicode MS" w:hAnsi="Arial Unicode MS" w:cs="Arial Unicode MS"/>
      <w:kern w:val="0"/>
      <w:sz w:val="24"/>
      <w:lang w:bidi="ar-SA"/>
    </w:rPr>
  </w:style>
  <w:style w:type="paragraph" w:customStyle="1" w:styleId="cmsdesignbox">
    <w:name w:val="cms_designbox"/>
    <w:basedOn w:val="Normal"/>
    <w:rsid w:val="00ED48E1"/>
    <w:pPr>
      <w:pBdr>
        <w:top w:val="dotted" w:sz="6" w:space="2" w:color="669CC6"/>
        <w:left w:val="dotted" w:sz="6" w:space="2" w:color="669CC6"/>
        <w:bottom w:val="dotted" w:sz="6" w:space="2" w:color="669CC6"/>
        <w:right w:val="dotted" w:sz="6" w:space="2" w:color="669CC6"/>
      </w:pBdr>
      <w:bidi w:val="0"/>
      <w:spacing w:before="100" w:beforeAutospacing="1" w:after="100" w:afterAutospacing="1" w:line="240" w:lineRule="auto"/>
      <w:ind w:left="30" w:right="30"/>
      <w:jc w:val="left"/>
    </w:pPr>
    <w:rPr>
      <w:rFonts w:ascii="Arial Unicode MS" w:eastAsia="Arial Unicode MS" w:hAnsi="Arial Unicode MS" w:cs="Arial Unicode MS"/>
      <w:kern w:val="0"/>
      <w:sz w:val="24"/>
      <w:lang w:bidi="ar-SA"/>
    </w:rPr>
  </w:style>
  <w:style w:type="paragraph" w:customStyle="1" w:styleId="cmsdrop">
    <w:name w:val="cmsdrop"/>
    <w:basedOn w:val="Normal"/>
    <w:rsid w:val="00ED48E1"/>
    <w:pPr>
      <w:pBdr>
        <w:top w:val="single" w:sz="24" w:space="0" w:color="FFFFFF"/>
        <w:bottom w:val="single" w:sz="24" w:space="0" w:color="FFFFFF"/>
      </w:pBdr>
      <w:shd w:val="clear" w:color="auto" w:fill="E0E0E0"/>
      <w:bidi w:val="0"/>
      <w:spacing w:before="100" w:beforeAutospacing="1" w:after="100" w:afterAutospacing="1" w:line="15" w:lineRule="atLeast"/>
      <w:jc w:val="left"/>
    </w:pPr>
    <w:rPr>
      <w:rFonts w:ascii="Arial Unicode MS" w:eastAsia="Arial Unicode MS" w:hAnsi="Arial Unicode MS" w:cs="Arial Unicode MS"/>
      <w:kern w:val="0"/>
      <w:sz w:val="2"/>
      <w:szCs w:val="2"/>
      <w:lang w:bidi="ar-SA"/>
    </w:rPr>
  </w:style>
  <w:style w:type="paragraph" w:customStyle="1" w:styleId="herror">
    <w:name w:val="herror"/>
    <w:basedOn w:val="Normal"/>
    <w:rsid w:val="00ED48E1"/>
    <w:pPr>
      <w:bidi w:val="0"/>
      <w:spacing w:before="100" w:beforeAutospacing="1" w:after="100" w:afterAutospacing="1" w:line="260" w:lineRule="atLeast"/>
      <w:jc w:val="left"/>
    </w:pPr>
    <w:rPr>
      <w:rFonts w:ascii="Verdana" w:eastAsia="Arial Unicode MS" w:hAnsi="Verdana" w:cs="Arial Unicode MS"/>
      <w:b/>
      <w:bCs/>
      <w:color w:val="C00000"/>
      <w:kern w:val="0"/>
      <w:sz w:val="17"/>
      <w:szCs w:val="17"/>
      <w:lang w:bidi="ar-SA"/>
    </w:rPr>
  </w:style>
  <w:style w:type="paragraph" w:customStyle="1" w:styleId="xbutton">
    <w:name w:val="xbutton"/>
    <w:basedOn w:val="Normal"/>
    <w:rsid w:val="00ED48E1"/>
    <w:pPr>
      <w:bidi w:val="0"/>
      <w:spacing w:before="45" w:after="100" w:afterAutospacing="1" w:line="240" w:lineRule="auto"/>
      <w:jc w:val="left"/>
    </w:pPr>
    <w:rPr>
      <w:rFonts w:ascii="Arial" w:eastAsia="Arial Unicode MS" w:hAnsi="Arial" w:cs="Arial"/>
      <w:b/>
      <w:bCs/>
      <w:color w:val="005197"/>
      <w:kern w:val="0"/>
      <w:sz w:val="17"/>
      <w:szCs w:val="17"/>
      <w:lang w:bidi="ar-SA"/>
    </w:rPr>
  </w:style>
  <w:style w:type="character" w:customStyle="1" w:styleId="CharChar3">
    <w:name w:val="Char Char3"/>
    <w:rsid w:val="00ED48E1"/>
    <w:rPr>
      <w:rFonts w:ascii="Courier" w:hAnsi="Courier"/>
      <w:lang w:val="en-GB" w:eastAsia="en-US" w:bidi="ar-SA"/>
    </w:rPr>
  </w:style>
  <w:style w:type="paragraph" w:customStyle="1" w:styleId="para11">
    <w:name w:val="para1"/>
    <w:basedOn w:val="Normal"/>
    <w:rsid w:val="00ED48E1"/>
    <w:pPr>
      <w:bidi w:val="0"/>
      <w:spacing w:before="100" w:beforeAutospacing="1" w:after="100" w:afterAutospacing="1" w:line="240" w:lineRule="auto"/>
      <w:jc w:val="left"/>
    </w:pPr>
    <w:rPr>
      <w:rFonts w:eastAsia="Times New Roman" w:cs="Times New Roman"/>
      <w:kern w:val="0"/>
      <w:sz w:val="24"/>
      <w:lang w:bidi="ar-SA"/>
    </w:rPr>
  </w:style>
  <w:style w:type="paragraph" w:customStyle="1" w:styleId="StyleBodyTextItalicBlack">
    <w:name w:val="Style Body Text + Italic Black"/>
    <w:basedOn w:val="BodyText"/>
    <w:rsid w:val="00ED48E1"/>
    <w:pPr>
      <w:tabs>
        <w:tab w:val="left" w:pos="720"/>
      </w:tabs>
      <w:bidi w:val="0"/>
      <w:spacing w:before="120" w:line="240" w:lineRule="auto"/>
      <w:ind w:firstLine="720"/>
    </w:pPr>
    <w:rPr>
      <w:rFonts w:eastAsia="Times New Roman" w:cs="Times New Roman"/>
      <w:i/>
      <w:iCs/>
      <w:color w:val="000000"/>
      <w:kern w:val="0"/>
      <w:lang w:val="en-GB" w:bidi="ar-SA"/>
    </w:rPr>
  </w:style>
  <w:style w:type="paragraph" w:customStyle="1" w:styleId="ColorfulList-Accent11">
    <w:name w:val="Colorful List - Accent 11"/>
    <w:basedOn w:val="Normal"/>
    <w:uiPriority w:val="34"/>
    <w:qFormat/>
    <w:rsid w:val="00ED48E1"/>
    <w:pPr>
      <w:bidi w:val="0"/>
      <w:spacing w:before="120" w:line="240" w:lineRule="auto"/>
      <w:ind w:left="720"/>
      <w:contextualSpacing/>
      <w:jc w:val="left"/>
    </w:pPr>
    <w:rPr>
      <w:rFonts w:eastAsia="Times New Roman" w:cs="Times New Roman"/>
      <w:kern w:val="0"/>
      <w:sz w:val="24"/>
      <w:lang w:val="en-CA" w:eastAsia="en-CA" w:bidi="ar-SA"/>
    </w:rPr>
  </w:style>
  <w:style w:type="paragraph" w:customStyle="1" w:styleId="xl69">
    <w:name w:val="xl69"/>
    <w:basedOn w:val="Normal"/>
    <w:rsid w:val="00ED48E1"/>
    <w:pPr>
      <w:pBdr>
        <w:top w:val="single" w:sz="4" w:space="0" w:color="auto"/>
        <w:left w:val="single" w:sz="4" w:space="0" w:color="auto"/>
        <w:right w:val="single" w:sz="4" w:space="0" w:color="auto"/>
      </w:pBdr>
      <w:bidi w:val="0"/>
      <w:spacing w:before="100" w:beforeAutospacing="1" w:after="100" w:afterAutospacing="1" w:line="240" w:lineRule="auto"/>
      <w:jc w:val="right"/>
      <w:textAlignment w:val="top"/>
    </w:pPr>
    <w:rPr>
      <w:rFonts w:eastAsia="Times New Roman" w:cs="Times New Roman"/>
      <w:b/>
      <w:bCs/>
      <w:kern w:val="0"/>
      <w:sz w:val="16"/>
      <w:szCs w:val="16"/>
      <w:lang w:val="en-CA" w:eastAsia="en-CA" w:bidi="ar-SA"/>
    </w:rPr>
  </w:style>
  <w:style w:type="paragraph" w:customStyle="1" w:styleId="xl70">
    <w:name w:val="xl70"/>
    <w:basedOn w:val="Normal"/>
    <w:rsid w:val="00ED48E1"/>
    <w:pPr>
      <w:pBdr>
        <w:top w:val="single" w:sz="4" w:space="0" w:color="auto"/>
        <w:lef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71">
    <w:name w:val="xl71"/>
    <w:basedOn w:val="Normal"/>
    <w:rsid w:val="00ED48E1"/>
    <w:pPr>
      <w:pBdr>
        <w:top w:val="single" w:sz="4" w:space="0" w:color="auto"/>
        <w:left w:val="single" w:sz="4" w:space="0" w:color="auto"/>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72">
    <w:name w:val="xl72"/>
    <w:basedOn w:val="Normal"/>
    <w:rsid w:val="00ED48E1"/>
    <w:pPr>
      <w:pBdr>
        <w:top w:val="single" w:sz="4" w:space="0" w:color="auto"/>
        <w:righ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73">
    <w:name w:val="xl73"/>
    <w:basedOn w:val="Normal"/>
    <w:rsid w:val="00ED48E1"/>
    <w:pPr>
      <w:pBdr>
        <w:top w:val="single" w:sz="4" w:space="0" w:color="auto"/>
        <w:lef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74">
    <w:name w:val="xl74"/>
    <w:basedOn w:val="Normal"/>
    <w:rsid w:val="00ED48E1"/>
    <w:pPr>
      <w:pBdr>
        <w:lef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75">
    <w:name w:val="xl75"/>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76">
    <w:name w:val="xl76"/>
    <w:basedOn w:val="Normal"/>
    <w:rsid w:val="00ED48E1"/>
    <w:pPr>
      <w:pBdr>
        <w:left w:val="single" w:sz="4" w:space="0" w:color="auto"/>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77">
    <w:name w:val="xl77"/>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78">
    <w:name w:val="xl78"/>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79">
    <w:name w:val="xl79"/>
    <w:basedOn w:val="Normal"/>
    <w:rsid w:val="00ED48E1"/>
    <w:pPr>
      <w:pBdr>
        <w:left w:val="single" w:sz="4" w:space="0" w:color="auto"/>
        <w:righ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80">
    <w:name w:val="xl80"/>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1">
    <w:name w:val="xl81"/>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2">
    <w:name w:val="xl82"/>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3">
    <w:name w:val="xl83"/>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left"/>
    </w:pPr>
    <w:rPr>
      <w:rFonts w:eastAsia="Times New Roman" w:cs="Times New Roman"/>
      <w:b/>
      <w:bCs/>
      <w:kern w:val="0"/>
      <w:sz w:val="16"/>
      <w:szCs w:val="16"/>
      <w:lang w:val="en-CA" w:eastAsia="en-CA" w:bidi="ar-SA"/>
    </w:rPr>
  </w:style>
  <w:style w:type="paragraph" w:customStyle="1" w:styleId="xl84">
    <w:name w:val="xl84"/>
    <w:basedOn w:val="Normal"/>
    <w:rsid w:val="00ED48E1"/>
    <w:pPr>
      <w:pBdr>
        <w:left w:val="single" w:sz="4" w:space="0" w:color="auto"/>
        <w:bottom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5">
    <w:name w:val="xl85"/>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6">
    <w:name w:val="xl86"/>
    <w:basedOn w:val="Normal"/>
    <w:rsid w:val="00ED48E1"/>
    <w:pPr>
      <w:pBdr>
        <w:bottom w:val="single" w:sz="4" w:space="0" w:color="auto"/>
        <w:right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7">
    <w:name w:val="xl87"/>
    <w:basedOn w:val="Normal"/>
    <w:rsid w:val="00ED48E1"/>
    <w:pPr>
      <w:pBdr>
        <w:left w:val="single" w:sz="4" w:space="0" w:color="auto"/>
        <w:bottom w:val="single" w:sz="4" w:space="0" w:color="auto"/>
      </w:pBdr>
      <w:bidi w:val="0"/>
      <w:spacing w:before="100" w:beforeAutospacing="1" w:after="100" w:afterAutospacing="1" w:line="240" w:lineRule="auto"/>
      <w:jc w:val="center"/>
    </w:pPr>
    <w:rPr>
      <w:rFonts w:eastAsia="Times New Roman" w:cs="Times New Roman"/>
      <w:b/>
      <w:bCs/>
      <w:kern w:val="0"/>
      <w:sz w:val="16"/>
      <w:szCs w:val="16"/>
      <w:lang w:val="en-CA" w:eastAsia="en-CA" w:bidi="ar-SA"/>
    </w:rPr>
  </w:style>
  <w:style w:type="paragraph" w:customStyle="1" w:styleId="xl88">
    <w:name w:val="xl88"/>
    <w:basedOn w:val="Normal"/>
    <w:rsid w:val="00ED48E1"/>
    <w:pPr>
      <w:bidi w:val="0"/>
      <w:spacing w:before="100" w:beforeAutospacing="1" w:after="100" w:afterAutospacing="1" w:line="240" w:lineRule="auto"/>
      <w:jc w:val="left"/>
    </w:pPr>
    <w:rPr>
      <w:rFonts w:ascii="Arial" w:eastAsia="Times New Roman" w:hAnsi="Arial" w:cs="Arial"/>
      <w:color w:val="FF0000"/>
      <w:kern w:val="0"/>
      <w:sz w:val="24"/>
      <w:lang w:val="en-CA" w:eastAsia="en-CA" w:bidi="ar-SA"/>
    </w:rPr>
  </w:style>
  <w:style w:type="paragraph" w:customStyle="1" w:styleId="xl89">
    <w:name w:val="xl89"/>
    <w:basedOn w:val="Normal"/>
    <w:rsid w:val="00ED48E1"/>
    <w:pPr>
      <w:bidi w:val="0"/>
      <w:spacing w:before="100" w:beforeAutospacing="1" w:after="100" w:afterAutospacing="1" w:line="240" w:lineRule="auto"/>
      <w:jc w:val="left"/>
    </w:pPr>
    <w:rPr>
      <w:rFonts w:ascii="Arial" w:eastAsia="Times New Roman" w:hAnsi="Arial" w:cs="Arial"/>
      <w:b/>
      <w:bCs/>
      <w:kern w:val="0"/>
      <w:sz w:val="24"/>
      <w:lang w:val="en-CA" w:eastAsia="en-CA" w:bidi="ar-SA"/>
    </w:rPr>
  </w:style>
  <w:style w:type="paragraph" w:customStyle="1" w:styleId="xl90">
    <w:name w:val="xl90"/>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1">
    <w:name w:val="xl91"/>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2">
    <w:name w:val="xl92"/>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3">
    <w:name w:val="xl93"/>
    <w:basedOn w:val="Normal"/>
    <w:rsid w:val="00ED48E1"/>
    <w:pP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4">
    <w:name w:val="xl94"/>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5">
    <w:name w:val="xl95"/>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b/>
      <w:bCs/>
      <w:kern w:val="0"/>
      <w:sz w:val="16"/>
      <w:szCs w:val="16"/>
      <w:lang w:val="en-CA" w:eastAsia="en-CA" w:bidi="ar-SA"/>
    </w:rPr>
  </w:style>
  <w:style w:type="paragraph" w:customStyle="1" w:styleId="xl96">
    <w:name w:val="xl96"/>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7">
    <w:name w:val="xl97"/>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8">
    <w:name w:val="xl98"/>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99">
    <w:name w:val="xl99"/>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kern w:val="0"/>
      <w:sz w:val="16"/>
      <w:szCs w:val="16"/>
      <w:lang w:val="en-CA" w:eastAsia="en-CA" w:bidi="ar-SA"/>
    </w:rPr>
  </w:style>
  <w:style w:type="paragraph" w:customStyle="1" w:styleId="xl100">
    <w:name w:val="xl100"/>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kern w:val="0"/>
      <w:sz w:val="16"/>
      <w:szCs w:val="16"/>
      <w:lang w:val="en-CA" w:eastAsia="en-CA" w:bidi="ar-SA"/>
    </w:rPr>
  </w:style>
  <w:style w:type="paragraph" w:customStyle="1" w:styleId="xl101">
    <w:name w:val="xl101"/>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kern w:val="0"/>
      <w:sz w:val="16"/>
      <w:szCs w:val="16"/>
      <w:lang w:val="en-CA" w:eastAsia="en-CA" w:bidi="ar-SA"/>
    </w:rPr>
  </w:style>
  <w:style w:type="paragraph" w:customStyle="1" w:styleId="xl102">
    <w:name w:val="xl102"/>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numbering" w:customStyle="1" w:styleId="NoList2">
    <w:name w:val="No List2"/>
    <w:next w:val="NoList"/>
    <w:uiPriority w:val="99"/>
    <w:semiHidden/>
    <w:unhideWhenUsed/>
    <w:rsid w:val="00ED48E1"/>
  </w:style>
  <w:style w:type="numbering" w:customStyle="1" w:styleId="NoList3">
    <w:name w:val="No List3"/>
    <w:next w:val="NoList"/>
    <w:uiPriority w:val="99"/>
    <w:semiHidden/>
    <w:unhideWhenUsed/>
    <w:rsid w:val="00ED48E1"/>
  </w:style>
  <w:style w:type="paragraph" w:customStyle="1" w:styleId="ColorfulShading-Accent11">
    <w:name w:val="Colorful Shading - Accent 11"/>
    <w:hidden/>
    <w:uiPriority w:val="99"/>
    <w:semiHidden/>
    <w:rsid w:val="00ED48E1"/>
    <w:rPr>
      <w:sz w:val="22"/>
      <w:szCs w:val="24"/>
      <w:lang w:val="en-GB" w:eastAsia="en-US"/>
    </w:rPr>
  </w:style>
  <w:style w:type="paragraph" w:customStyle="1" w:styleId="xl135">
    <w:name w:val="xl135"/>
    <w:basedOn w:val="Normal"/>
    <w:rsid w:val="00ED48E1"/>
    <w:pPr>
      <w:bidi w:val="0"/>
      <w:spacing w:before="100" w:beforeAutospacing="1" w:after="100" w:afterAutospacing="1" w:line="240" w:lineRule="auto"/>
      <w:jc w:val="left"/>
    </w:pPr>
    <w:rPr>
      <w:rFonts w:ascii="Arial" w:eastAsia="Times New Roman" w:hAnsi="Arial" w:cs="Arial"/>
      <w:kern w:val="0"/>
      <w:sz w:val="24"/>
      <w:lang w:val="en-CA" w:eastAsia="en-CA" w:bidi="ar-SA"/>
    </w:rPr>
  </w:style>
  <w:style w:type="paragraph" w:customStyle="1" w:styleId="xl136">
    <w:name w:val="xl136"/>
    <w:basedOn w:val="Normal"/>
    <w:rsid w:val="00ED48E1"/>
    <w:pPr>
      <w:bidi w:val="0"/>
      <w:spacing w:before="100" w:beforeAutospacing="1" w:after="100" w:afterAutospacing="1" w:line="240" w:lineRule="auto"/>
      <w:jc w:val="left"/>
    </w:pPr>
    <w:rPr>
      <w:rFonts w:ascii="Arial" w:eastAsia="Times New Roman" w:hAnsi="Arial" w:cs="Arial"/>
      <w:kern w:val="0"/>
      <w:sz w:val="24"/>
      <w:lang w:val="en-CA" w:eastAsia="en-CA" w:bidi="ar-SA"/>
    </w:rPr>
  </w:style>
  <w:style w:type="paragraph" w:customStyle="1" w:styleId="xl137">
    <w:name w:val="xl137"/>
    <w:basedOn w:val="Normal"/>
    <w:rsid w:val="00ED48E1"/>
    <w:pPr>
      <w:bidi w:val="0"/>
      <w:spacing w:before="100" w:beforeAutospacing="1" w:after="100" w:afterAutospacing="1" w:line="240" w:lineRule="auto"/>
      <w:jc w:val="left"/>
    </w:pPr>
    <w:rPr>
      <w:rFonts w:ascii="Arial" w:eastAsia="Times New Roman" w:hAnsi="Arial" w:cs="Arial"/>
      <w:b/>
      <w:bCs/>
      <w:kern w:val="0"/>
      <w:sz w:val="24"/>
      <w:lang w:val="en-CA" w:eastAsia="en-CA" w:bidi="ar-SA"/>
    </w:rPr>
  </w:style>
  <w:style w:type="paragraph" w:customStyle="1" w:styleId="xl138">
    <w:name w:val="xl138"/>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39">
    <w:name w:val="xl139"/>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0">
    <w:name w:val="xl140"/>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1">
    <w:name w:val="xl141"/>
    <w:basedOn w:val="Normal"/>
    <w:rsid w:val="00ED48E1"/>
    <w:pPr>
      <w:bidi w:val="0"/>
      <w:spacing w:before="100" w:beforeAutospacing="1" w:after="100" w:afterAutospacing="1" w:line="240" w:lineRule="auto"/>
      <w:jc w:val="left"/>
    </w:pPr>
    <w:rPr>
      <w:rFonts w:ascii="Arial" w:eastAsia="Times New Roman" w:hAnsi="Arial" w:cs="Arial"/>
      <w:b/>
      <w:bCs/>
      <w:color w:val="FF0000"/>
      <w:kern w:val="0"/>
      <w:sz w:val="24"/>
      <w:lang w:val="en-CA" w:eastAsia="en-CA" w:bidi="ar-SA"/>
    </w:rPr>
  </w:style>
  <w:style w:type="paragraph" w:customStyle="1" w:styleId="xl142">
    <w:name w:val="xl142"/>
    <w:basedOn w:val="Normal"/>
    <w:rsid w:val="00ED48E1"/>
    <w:pPr>
      <w:bidi w:val="0"/>
      <w:spacing w:before="100" w:beforeAutospacing="1" w:after="100" w:afterAutospacing="1" w:line="240" w:lineRule="auto"/>
      <w:jc w:val="left"/>
    </w:pPr>
    <w:rPr>
      <w:rFonts w:ascii="Arial" w:eastAsia="Times New Roman" w:hAnsi="Arial" w:cs="Arial"/>
      <w:color w:val="FF0000"/>
      <w:kern w:val="0"/>
      <w:sz w:val="24"/>
      <w:lang w:val="en-CA" w:eastAsia="en-CA" w:bidi="ar-SA"/>
    </w:rPr>
  </w:style>
  <w:style w:type="paragraph" w:customStyle="1" w:styleId="xl143">
    <w:name w:val="xl143"/>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44">
    <w:name w:val="xl144"/>
    <w:basedOn w:val="Normal"/>
    <w:rsid w:val="00ED48E1"/>
    <w:pP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5">
    <w:name w:val="xl145"/>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6">
    <w:name w:val="xl146"/>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7">
    <w:name w:val="xl147"/>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8">
    <w:name w:val="xl148"/>
    <w:basedOn w:val="Normal"/>
    <w:rsid w:val="00ED48E1"/>
    <w:pPr>
      <w:pBdr>
        <w:top w:val="single" w:sz="4" w:space="0" w:color="auto"/>
        <w:bottom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49">
    <w:name w:val="xl149"/>
    <w:basedOn w:val="Normal"/>
    <w:rsid w:val="00ED48E1"/>
    <w:pPr>
      <w:pBdr>
        <w:top w:val="single" w:sz="4" w:space="0" w:color="auto"/>
        <w:left w:val="single" w:sz="4" w:space="0" w:color="auto"/>
        <w:right w:val="single" w:sz="4" w:space="0" w:color="auto"/>
      </w:pBdr>
      <w:bidi w:val="0"/>
      <w:spacing w:before="100" w:beforeAutospacing="1" w:after="100" w:afterAutospacing="1" w:line="240" w:lineRule="auto"/>
      <w:jc w:val="right"/>
      <w:textAlignment w:val="top"/>
    </w:pPr>
    <w:rPr>
      <w:rFonts w:eastAsia="Times New Roman" w:cs="Times New Roman"/>
      <w:kern w:val="0"/>
      <w:sz w:val="16"/>
      <w:szCs w:val="16"/>
      <w:lang w:val="en-CA" w:eastAsia="en-CA" w:bidi="ar-SA"/>
    </w:rPr>
  </w:style>
  <w:style w:type="paragraph" w:customStyle="1" w:styleId="xl150">
    <w:name w:val="xl150"/>
    <w:basedOn w:val="Normal"/>
    <w:rsid w:val="00ED48E1"/>
    <w:pPr>
      <w:pBdr>
        <w:top w:val="single" w:sz="4" w:space="0" w:color="auto"/>
        <w:lef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51">
    <w:name w:val="xl151"/>
    <w:basedOn w:val="Normal"/>
    <w:rsid w:val="00ED48E1"/>
    <w:pPr>
      <w:pBdr>
        <w:top w:val="single" w:sz="4" w:space="0" w:color="auto"/>
        <w:left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52">
    <w:name w:val="xl152"/>
    <w:basedOn w:val="Normal"/>
    <w:rsid w:val="00ED48E1"/>
    <w:pPr>
      <w:pBdr>
        <w:top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53">
    <w:name w:val="xl153"/>
    <w:basedOn w:val="Normal"/>
    <w:rsid w:val="00ED48E1"/>
    <w:pPr>
      <w:pBdr>
        <w:lef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54">
    <w:name w:val="xl154"/>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55">
    <w:name w:val="xl155"/>
    <w:basedOn w:val="Normal"/>
    <w:rsid w:val="00ED48E1"/>
    <w:pPr>
      <w:pBdr>
        <w:left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56">
    <w:name w:val="xl156"/>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57">
    <w:name w:val="xl157"/>
    <w:basedOn w:val="Normal"/>
    <w:rsid w:val="00ED48E1"/>
    <w:pPr>
      <w:pBdr>
        <w:left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58">
    <w:name w:val="xl158"/>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59">
    <w:name w:val="xl159"/>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60">
    <w:name w:val="xl160"/>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61">
    <w:name w:val="xl161"/>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val="en-CA" w:eastAsia="en-CA" w:bidi="ar-SA"/>
    </w:rPr>
  </w:style>
  <w:style w:type="paragraph" w:customStyle="1" w:styleId="xl162">
    <w:name w:val="xl162"/>
    <w:basedOn w:val="Normal"/>
    <w:rsid w:val="00ED48E1"/>
    <w:pPr>
      <w:pBdr>
        <w:left w:val="single" w:sz="4" w:space="0" w:color="auto"/>
        <w:bottom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63">
    <w:name w:val="xl163"/>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64">
    <w:name w:val="xl164"/>
    <w:basedOn w:val="Normal"/>
    <w:rsid w:val="00ED48E1"/>
    <w:pPr>
      <w:pBdr>
        <w:bottom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val="en-CA" w:eastAsia="en-CA" w:bidi="ar-SA"/>
    </w:rPr>
  </w:style>
  <w:style w:type="paragraph" w:customStyle="1" w:styleId="xl165">
    <w:name w:val="xl165"/>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val="en-CA" w:eastAsia="en-CA" w:bidi="ar-SA"/>
    </w:rPr>
  </w:style>
  <w:style w:type="paragraph" w:customStyle="1" w:styleId="xl166">
    <w:name w:val="xl166"/>
    <w:basedOn w:val="Normal"/>
    <w:rsid w:val="00ED48E1"/>
    <w:pPr>
      <w:pBdr>
        <w:lef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67">
    <w:name w:val="xl167"/>
    <w:basedOn w:val="Normal"/>
    <w:rsid w:val="00ED48E1"/>
    <w:pPr>
      <w:pBdr>
        <w:left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68">
    <w:name w:val="xl168"/>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69">
    <w:name w:val="xl169"/>
    <w:basedOn w:val="Normal"/>
    <w:rsid w:val="00ED48E1"/>
    <w:pPr>
      <w:pBdr>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0">
    <w:name w:val="xl170"/>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left"/>
    </w:pPr>
    <w:rPr>
      <w:rFonts w:eastAsia="Times New Roman" w:cs="Times New Roman"/>
      <w:kern w:val="0"/>
      <w:sz w:val="16"/>
      <w:szCs w:val="16"/>
      <w:lang w:bidi="ar-SA"/>
    </w:rPr>
  </w:style>
  <w:style w:type="paragraph" w:customStyle="1" w:styleId="xl171">
    <w:name w:val="xl171"/>
    <w:basedOn w:val="Normal"/>
    <w:rsid w:val="00ED48E1"/>
    <w:pPr>
      <w:pBdr>
        <w:left w:val="single" w:sz="4" w:space="0" w:color="auto"/>
        <w:bottom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2">
    <w:name w:val="xl172"/>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3">
    <w:name w:val="xl173"/>
    <w:basedOn w:val="Normal"/>
    <w:rsid w:val="00ED48E1"/>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4">
    <w:name w:val="xl174"/>
    <w:basedOn w:val="Normal"/>
    <w:rsid w:val="00ED48E1"/>
    <w:pPr>
      <w:pBdr>
        <w:left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5">
    <w:name w:val="xl175"/>
    <w:basedOn w:val="Normal"/>
    <w:rsid w:val="00ED48E1"/>
    <w:pPr>
      <w:pBdr>
        <w:bottom w:val="single" w:sz="4" w:space="0" w:color="auto"/>
        <w:right w:val="single" w:sz="4" w:space="0" w:color="auto"/>
      </w:pBdr>
      <w:bidi w:val="0"/>
      <w:spacing w:before="100" w:beforeAutospacing="1" w:after="100" w:afterAutospacing="1" w:line="240" w:lineRule="auto"/>
      <w:jc w:val="center"/>
    </w:pPr>
    <w:rPr>
      <w:rFonts w:eastAsia="Times New Roman" w:cs="Times New Roman"/>
      <w:kern w:val="0"/>
      <w:sz w:val="16"/>
      <w:szCs w:val="16"/>
      <w:lang w:bidi="ar-SA"/>
    </w:rPr>
  </w:style>
  <w:style w:type="paragraph" w:customStyle="1" w:styleId="xl176">
    <w:name w:val="xl176"/>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bidi="ar-SA"/>
    </w:rPr>
  </w:style>
  <w:style w:type="paragraph" w:customStyle="1" w:styleId="xl177">
    <w:name w:val="xl177"/>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bidi="ar-SA"/>
    </w:rPr>
  </w:style>
  <w:style w:type="paragraph" w:customStyle="1" w:styleId="xl178">
    <w:name w:val="xl178"/>
    <w:basedOn w:val="Normal"/>
    <w:rsid w:val="00ED48E1"/>
    <w:pPr>
      <w:bidi w:val="0"/>
      <w:spacing w:before="100" w:beforeAutospacing="1" w:after="100" w:afterAutospacing="1" w:line="240" w:lineRule="auto"/>
      <w:jc w:val="left"/>
      <w:textAlignment w:val="top"/>
    </w:pPr>
    <w:rPr>
      <w:rFonts w:ascii="Arial" w:eastAsia="Times New Roman" w:hAnsi="Arial" w:cs="Arial"/>
      <w:kern w:val="0"/>
      <w:sz w:val="24"/>
      <w:lang w:bidi="ar-SA"/>
    </w:rPr>
  </w:style>
  <w:style w:type="paragraph" w:customStyle="1" w:styleId="xl179">
    <w:name w:val="xl179"/>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Arial" w:eastAsia="Times New Roman" w:hAnsi="Arial" w:cs="Arial"/>
      <w:kern w:val="0"/>
      <w:sz w:val="24"/>
      <w:lang w:bidi="ar-SA"/>
    </w:rPr>
  </w:style>
  <w:style w:type="paragraph" w:customStyle="1" w:styleId="xl180">
    <w:name w:val="xl180"/>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color w:val="00B050"/>
      <w:kern w:val="0"/>
      <w:sz w:val="16"/>
      <w:szCs w:val="16"/>
      <w:lang w:bidi="ar-SA"/>
    </w:rPr>
  </w:style>
  <w:style w:type="paragraph" w:customStyle="1" w:styleId="xl181">
    <w:name w:val="xl181"/>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kern w:val="0"/>
      <w:sz w:val="16"/>
      <w:szCs w:val="16"/>
      <w:lang w:bidi="ar-SA"/>
    </w:rPr>
  </w:style>
  <w:style w:type="paragraph" w:customStyle="1" w:styleId="xl182">
    <w:name w:val="xl182"/>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color w:val="FF0000"/>
      <w:kern w:val="0"/>
      <w:sz w:val="16"/>
      <w:szCs w:val="16"/>
      <w:lang w:bidi="ar-SA"/>
    </w:rPr>
  </w:style>
  <w:style w:type="paragraph" w:customStyle="1" w:styleId="xl183">
    <w:name w:val="xl183"/>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color w:val="0070C0"/>
      <w:kern w:val="0"/>
      <w:sz w:val="16"/>
      <w:szCs w:val="16"/>
      <w:lang w:bidi="ar-SA"/>
    </w:rPr>
  </w:style>
  <w:style w:type="paragraph" w:customStyle="1" w:styleId="xl184">
    <w:name w:val="xl184"/>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eastAsia="Times New Roman" w:cs="Times New Roman"/>
      <w:b/>
      <w:bCs/>
      <w:color w:val="00B050"/>
      <w:kern w:val="0"/>
      <w:sz w:val="16"/>
      <w:szCs w:val="16"/>
      <w:lang w:bidi="ar-SA"/>
    </w:rPr>
  </w:style>
  <w:style w:type="paragraph" w:customStyle="1" w:styleId="xl185">
    <w:name w:val="xl185"/>
    <w:basedOn w:val="Normal"/>
    <w:rsid w:val="00ED48E1"/>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left"/>
      <w:textAlignment w:val="top"/>
    </w:pPr>
    <w:rPr>
      <w:rFonts w:eastAsia="Times New Roman" w:cs="Times New Roman"/>
      <w:kern w:val="0"/>
      <w:sz w:val="16"/>
      <w:szCs w:val="16"/>
      <w:lang w:bidi="ar-SA"/>
    </w:rPr>
  </w:style>
  <w:style w:type="paragraph" w:customStyle="1" w:styleId="ColorfulShading-Accent12">
    <w:name w:val="Colorful Shading - Accent 12"/>
    <w:hidden/>
    <w:uiPriority w:val="99"/>
    <w:semiHidden/>
    <w:rsid w:val="00ED48E1"/>
    <w:rPr>
      <w:sz w:val="22"/>
      <w:szCs w:val="24"/>
      <w:lang w:val="en-GB" w:eastAsia="en-US"/>
    </w:rPr>
  </w:style>
  <w:style w:type="paragraph" w:customStyle="1" w:styleId="H1">
    <w:name w:val="_ H_1"/>
    <w:basedOn w:val="Normal"/>
    <w:next w:val="SingleTxt"/>
    <w:rsid w:val="00ED48E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before="120" w:line="270" w:lineRule="exact"/>
      <w:ind w:left="1267" w:right="1267" w:hanging="1267"/>
      <w:jc w:val="left"/>
      <w:outlineLvl w:val="0"/>
    </w:pPr>
    <w:rPr>
      <w:rFonts w:eastAsia="Calibri" w:cs="Times New Roman"/>
      <w:b/>
      <w:spacing w:val="4"/>
      <w:w w:val="103"/>
      <w:kern w:val="14"/>
      <w:sz w:val="24"/>
      <w:szCs w:val="20"/>
      <w:lang w:val="en-GB" w:bidi="ar-SA"/>
    </w:rPr>
  </w:style>
  <w:style w:type="paragraph" w:customStyle="1" w:styleId="HCh">
    <w:name w:val="_ H _Ch"/>
    <w:basedOn w:val="H1"/>
    <w:next w:val="SingleTxt"/>
    <w:rsid w:val="00ED48E1"/>
    <w:pPr>
      <w:spacing w:line="300" w:lineRule="exact"/>
      <w:ind w:left="0" w:right="0" w:firstLine="0"/>
    </w:pPr>
    <w:rPr>
      <w:spacing w:val="-2"/>
      <w:sz w:val="28"/>
    </w:rPr>
  </w:style>
  <w:style w:type="paragraph" w:customStyle="1" w:styleId="H23">
    <w:name w:val="_ H_2/3"/>
    <w:basedOn w:val="Normal"/>
    <w:next w:val="SingleTxt"/>
    <w:rsid w:val="00ED48E1"/>
    <w:pPr>
      <w:suppressAutoHyphens/>
      <w:bidi w:val="0"/>
      <w:spacing w:before="120" w:line="240" w:lineRule="exact"/>
      <w:jc w:val="left"/>
      <w:outlineLvl w:val="1"/>
    </w:pPr>
    <w:rPr>
      <w:rFonts w:eastAsia="Calibri" w:cs="Times New Roman"/>
      <w:b/>
      <w:spacing w:val="4"/>
      <w:w w:val="103"/>
      <w:kern w:val="14"/>
      <w:sz w:val="20"/>
      <w:szCs w:val="20"/>
      <w:lang w:bidi="ar-SA"/>
    </w:rPr>
  </w:style>
  <w:style w:type="paragraph" w:customStyle="1" w:styleId="SingleTxt">
    <w:name w:val="__Single Txt"/>
    <w:basedOn w:val="Normal"/>
    <w:rsid w:val="00ED48E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before="120" w:line="240" w:lineRule="atLeast"/>
      <w:ind w:left="1267" w:right="1267"/>
    </w:pPr>
    <w:rPr>
      <w:rFonts w:eastAsia="Calibri" w:cs="Times New Roman"/>
      <w:spacing w:val="4"/>
      <w:w w:val="103"/>
      <w:kern w:val="14"/>
      <w:sz w:val="20"/>
      <w:szCs w:val="20"/>
      <w:lang w:val="en-GB" w:bidi="ar-SA"/>
    </w:rPr>
  </w:style>
  <w:style w:type="paragraph" w:customStyle="1" w:styleId="H56">
    <w:name w:val="_ H_5/6"/>
    <w:basedOn w:val="Normal"/>
    <w:next w:val="Normal"/>
    <w:rsid w:val="00ED48E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before="120" w:line="240" w:lineRule="exact"/>
      <w:ind w:left="1267" w:right="1267" w:hanging="1267"/>
      <w:jc w:val="left"/>
      <w:outlineLvl w:val="4"/>
    </w:pPr>
    <w:rPr>
      <w:rFonts w:eastAsia="Calibri" w:cs="Times New Roman"/>
      <w:spacing w:val="4"/>
      <w:w w:val="103"/>
      <w:kern w:val="14"/>
      <w:sz w:val="20"/>
      <w:szCs w:val="20"/>
      <w:lang w:val="en-GB" w:bidi="ar-SA"/>
    </w:rPr>
  </w:style>
  <w:style w:type="paragraph" w:customStyle="1" w:styleId="H4">
    <w:name w:val="_ H_4"/>
    <w:basedOn w:val="Normal"/>
    <w:next w:val="Normal"/>
    <w:rsid w:val="00ED48E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before="120" w:line="240" w:lineRule="exact"/>
      <w:ind w:left="1267" w:right="1267" w:hanging="1267"/>
      <w:jc w:val="left"/>
      <w:outlineLvl w:val="3"/>
    </w:pPr>
    <w:rPr>
      <w:rFonts w:eastAsia="Calibri" w:cs="Times New Roman"/>
      <w:i/>
      <w:spacing w:val="3"/>
      <w:w w:val="103"/>
      <w:kern w:val="14"/>
      <w:sz w:val="20"/>
      <w:szCs w:val="20"/>
      <w:lang w:val="en-GB" w:bidi="ar-SA"/>
    </w:rPr>
  </w:style>
  <w:style w:type="paragraph" w:customStyle="1" w:styleId="ColorfulList-Accent12">
    <w:name w:val="Colorful List - Accent 12"/>
    <w:basedOn w:val="Normal"/>
    <w:uiPriority w:val="34"/>
    <w:qFormat/>
    <w:rsid w:val="00ED48E1"/>
    <w:pPr>
      <w:bidi w:val="0"/>
      <w:spacing w:before="120" w:line="240" w:lineRule="auto"/>
      <w:ind w:left="720"/>
    </w:pPr>
    <w:rPr>
      <w:rFonts w:eastAsia="Times New Roman" w:cs="Times New Roman"/>
      <w:kern w:val="0"/>
      <w:lang w:val="en-GB" w:bidi="ar-SA"/>
    </w:rPr>
  </w:style>
  <w:style w:type="paragraph" w:customStyle="1" w:styleId="CM1">
    <w:name w:val="CM1"/>
    <w:basedOn w:val="Default"/>
    <w:next w:val="Default"/>
    <w:uiPriority w:val="99"/>
    <w:rsid w:val="00ED48E1"/>
    <w:rPr>
      <w:rFonts w:eastAsia="MS Mincho"/>
      <w:color w:val="auto"/>
      <w:lang w:val="en-GB" w:eastAsia="zh-CN"/>
    </w:rPr>
  </w:style>
  <w:style w:type="paragraph" w:styleId="Revision">
    <w:name w:val="Revision"/>
    <w:hidden/>
    <w:uiPriority w:val="99"/>
    <w:semiHidden/>
    <w:rsid w:val="00ED48E1"/>
    <w:rPr>
      <w:sz w:val="22"/>
      <w:szCs w:val="24"/>
      <w:lang w:val="en-GB" w:eastAsia="en-US"/>
    </w:rPr>
  </w:style>
  <w:style w:type="paragraph" w:customStyle="1" w:styleId="xl65">
    <w:name w:val="xl65"/>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b/>
      <w:bCs/>
      <w:kern w:val="0"/>
      <w:sz w:val="18"/>
      <w:szCs w:val="18"/>
      <w:lang w:val="en-CA" w:eastAsia="en-CA" w:bidi="ar-SA"/>
    </w:rPr>
  </w:style>
  <w:style w:type="paragraph" w:customStyle="1" w:styleId="xl66">
    <w:name w:val="xl66"/>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b/>
      <w:bCs/>
      <w:kern w:val="0"/>
      <w:sz w:val="18"/>
      <w:szCs w:val="18"/>
      <w:lang w:val="en-CA" w:eastAsia="en-CA" w:bidi="ar-SA"/>
    </w:rPr>
  </w:style>
  <w:style w:type="paragraph" w:customStyle="1" w:styleId="xl67">
    <w:name w:val="xl67"/>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b/>
      <w:bCs/>
      <w:kern w:val="0"/>
      <w:sz w:val="18"/>
      <w:szCs w:val="18"/>
      <w:lang w:val="en-CA" w:eastAsia="en-CA" w:bidi="ar-SA"/>
    </w:rPr>
  </w:style>
  <w:style w:type="paragraph" w:customStyle="1" w:styleId="xl68">
    <w:name w:val="xl68"/>
    <w:basedOn w:val="Normal"/>
    <w:rsid w:val="00ED48E1"/>
    <w:pPr>
      <w:bidi w:val="0"/>
      <w:spacing w:before="100" w:beforeAutospacing="1" w:after="100" w:afterAutospacing="1" w:line="240" w:lineRule="auto"/>
      <w:jc w:val="left"/>
      <w:textAlignment w:val="center"/>
    </w:pPr>
    <w:rPr>
      <w:rFonts w:eastAsia="Times New Roman" w:cs="Times New Roman"/>
      <w:kern w:val="0"/>
      <w:sz w:val="18"/>
      <w:szCs w:val="18"/>
      <w:lang w:val="en-CA" w:eastAsia="en-CA" w:bidi="ar-SA"/>
    </w:rPr>
  </w:style>
  <w:style w:type="paragraph" w:customStyle="1" w:styleId="xl63">
    <w:name w:val="xl63"/>
    <w:basedOn w:val="Normal"/>
    <w:rsid w:val="00ED48E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eastAsia="Times New Roman" w:cs="Times New Roman"/>
      <w:b/>
      <w:bCs/>
      <w:kern w:val="0"/>
      <w:sz w:val="24"/>
      <w:lang w:val="en-CA" w:eastAsia="en-CA" w:bidi="ar-SA"/>
    </w:rPr>
  </w:style>
  <w:style w:type="paragraph" w:customStyle="1" w:styleId="xl64">
    <w:name w:val="xl64"/>
    <w:basedOn w:val="Normal"/>
    <w:rsid w:val="00ED48E1"/>
    <w:pPr>
      <w:bidi w:val="0"/>
      <w:spacing w:before="100" w:beforeAutospacing="1" w:after="100" w:afterAutospacing="1" w:line="240" w:lineRule="auto"/>
      <w:jc w:val="left"/>
      <w:textAlignment w:val="center"/>
    </w:pPr>
    <w:rPr>
      <w:rFonts w:eastAsia="Times New Roman" w:cs="Times New Roman"/>
      <w:kern w:val="0"/>
      <w:sz w:val="24"/>
      <w:lang w:val="en-CA" w:eastAsia="en-CA" w:bidi="ar-SA"/>
    </w:rPr>
  </w:style>
  <w:style w:type="paragraph" w:customStyle="1" w:styleId="HeaderFooter">
    <w:name w:val="Header &amp; Footer"/>
    <w:rsid w:val="00023979"/>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rPr>
  </w:style>
  <w:style w:type="character" w:customStyle="1" w:styleId="Hyperlink0">
    <w:name w:val="Hyperlink.0"/>
    <w:basedOn w:val="Hyperlink"/>
    <w:rsid w:val="00023979"/>
    <w:rPr>
      <w:sz w:val="18"/>
      <w:szCs w:val="18"/>
      <w:u w:color="0000FF"/>
    </w:rPr>
  </w:style>
  <w:style w:type="character" w:customStyle="1" w:styleId="Hyperlink10">
    <w:name w:val="Hyperlink.1"/>
    <w:basedOn w:val="Hyperlink0"/>
    <w:rsid w:val="00023979"/>
    <w:rPr>
      <w:lang w:val="en-US"/>
    </w:rPr>
  </w:style>
  <w:style w:type="character" w:customStyle="1" w:styleId="Hyperlink2">
    <w:name w:val="Hyperlink.2"/>
    <w:basedOn w:val="Hyperlink0"/>
    <w:rsid w:val="00023979"/>
    <w:rPr>
      <w:lang w:val="en-US"/>
    </w:rPr>
  </w:style>
  <w:style w:type="character" w:customStyle="1" w:styleId="tm-p-">
    <w:name w:val="tm-p-"/>
    <w:basedOn w:val="DefaultParagraphFont"/>
    <w:rsid w:val="00023979"/>
  </w:style>
  <w:style w:type="character" w:customStyle="1" w:styleId="tm-p-hide1">
    <w:name w:val="tm-p-hide1"/>
    <w:basedOn w:val="DefaultParagraphFont"/>
    <w:rsid w:val="00023979"/>
  </w:style>
  <w:style w:type="character" w:customStyle="1" w:styleId="tm-p-hide0">
    <w:name w:val="tm-p-hide0"/>
    <w:basedOn w:val="DefaultParagraphFont"/>
    <w:rsid w:val="00023979"/>
  </w:style>
  <w:style w:type="character" w:customStyle="1" w:styleId="tm-p-em">
    <w:name w:val="tm-p-em"/>
    <w:basedOn w:val="DefaultParagraphFont"/>
    <w:rsid w:val="00023979"/>
  </w:style>
</w:styles>
</file>

<file path=word/webSettings.xml><?xml version="1.0" encoding="utf-8"?>
<w:webSettings xmlns:r="http://schemas.openxmlformats.org/officeDocument/2006/relationships" xmlns:w="http://schemas.openxmlformats.org/wordprocessingml/2006/main">
  <w:divs>
    <w:div w:id="326597323">
      <w:bodyDiv w:val="1"/>
      <w:marLeft w:val="0"/>
      <w:marRight w:val="0"/>
      <w:marTop w:val="0"/>
      <w:marBottom w:val="0"/>
      <w:divBdr>
        <w:top w:val="none" w:sz="0" w:space="0" w:color="auto"/>
        <w:left w:val="none" w:sz="0" w:space="0" w:color="auto"/>
        <w:bottom w:val="none" w:sz="0" w:space="0" w:color="auto"/>
        <w:right w:val="none" w:sz="0" w:space="0" w:color="auto"/>
      </w:divBdr>
    </w:div>
    <w:div w:id="412748725">
      <w:bodyDiv w:val="1"/>
      <w:marLeft w:val="0"/>
      <w:marRight w:val="0"/>
      <w:marTop w:val="0"/>
      <w:marBottom w:val="0"/>
      <w:divBdr>
        <w:top w:val="none" w:sz="0" w:space="0" w:color="auto"/>
        <w:left w:val="none" w:sz="0" w:space="0" w:color="auto"/>
        <w:bottom w:val="none" w:sz="0" w:space="0" w:color="auto"/>
        <w:right w:val="none" w:sz="0" w:space="0" w:color="auto"/>
      </w:divBdr>
    </w:div>
    <w:div w:id="493109529">
      <w:bodyDiv w:val="1"/>
      <w:marLeft w:val="0"/>
      <w:marRight w:val="0"/>
      <w:marTop w:val="0"/>
      <w:marBottom w:val="0"/>
      <w:divBdr>
        <w:top w:val="none" w:sz="0" w:space="0" w:color="auto"/>
        <w:left w:val="none" w:sz="0" w:space="0" w:color="auto"/>
        <w:bottom w:val="none" w:sz="0" w:space="0" w:color="auto"/>
        <w:right w:val="none" w:sz="0" w:space="0" w:color="auto"/>
      </w:divBdr>
    </w:div>
    <w:div w:id="513306707">
      <w:bodyDiv w:val="1"/>
      <w:marLeft w:val="0"/>
      <w:marRight w:val="0"/>
      <w:marTop w:val="0"/>
      <w:marBottom w:val="0"/>
      <w:divBdr>
        <w:top w:val="none" w:sz="0" w:space="0" w:color="auto"/>
        <w:left w:val="none" w:sz="0" w:space="0" w:color="auto"/>
        <w:bottom w:val="none" w:sz="0" w:space="0" w:color="auto"/>
        <w:right w:val="none" w:sz="0" w:space="0" w:color="auto"/>
      </w:divBdr>
    </w:div>
    <w:div w:id="1216089526">
      <w:bodyDiv w:val="1"/>
      <w:marLeft w:val="0"/>
      <w:marRight w:val="0"/>
      <w:marTop w:val="0"/>
      <w:marBottom w:val="0"/>
      <w:divBdr>
        <w:top w:val="none" w:sz="0" w:space="0" w:color="auto"/>
        <w:left w:val="none" w:sz="0" w:space="0" w:color="auto"/>
        <w:bottom w:val="none" w:sz="0" w:space="0" w:color="auto"/>
        <w:right w:val="none" w:sz="0" w:space="0" w:color="auto"/>
      </w:divBdr>
    </w:div>
    <w:div w:id="1487359015">
      <w:bodyDiv w:val="1"/>
      <w:marLeft w:val="0"/>
      <w:marRight w:val="0"/>
      <w:marTop w:val="0"/>
      <w:marBottom w:val="0"/>
      <w:divBdr>
        <w:top w:val="none" w:sz="0" w:space="0" w:color="auto"/>
        <w:left w:val="none" w:sz="0" w:space="0" w:color="auto"/>
        <w:bottom w:val="none" w:sz="0" w:space="0" w:color="auto"/>
        <w:right w:val="none" w:sz="0" w:space="0" w:color="auto"/>
      </w:divBdr>
      <w:divsChild>
        <w:div w:id="1887373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cbd.int/doc/decisions/cop-13/cop-13-dec-04-ar.pdf" TargetMode="External"/><Relationship Id="rId34" Type="http://schemas.openxmlformats.org/officeDocument/2006/relationships/hyperlink" Target="https://www.naturalcapitalproject.org/invest" TargetMode="External"/><Relationship Id="rId42" Type="http://schemas.openxmlformats.org/officeDocument/2006/relationships/hyperlink" Target="https://www.cbd.int/doc/decisions/cop-10/cop-10-dec-06-ar.pdf" TargetMode="External"/><Relationship Id="rId47" Type="http://schemas.openxmlformats.org/officeDocument/2006/relationships/hyperlink" Target="https://www.cbd.int/doc/decisions/cop-10/cop-10-dec-31-ar.pdf" TargetMode="External"/><Relationship Id="rId50" Type="http://schemas.openxmlformats.org/officeDocument/2006/relationships/hyperlink" Target="https://www.cbd.int/doc/decisions/cop-11/cop-11-dec-17-ar.pdf" TargetMode="External"/><Relationship Id="rId55" Type="http://schemas.openxmlformats.org/officeDocument/2006/relationships/hyperlink" Target="https://www.cbd.int/doc/decisions/cop-12/cop-12-dec-22-ar.pdf" TargetMode="External"/><Relationship Id="rId63" Type="http://schemas.openxmlformats.org/officeDocument/2006/relationships/header" Target="header4.xml"/><Relationship Id="rId68" Type="http://schemas.openxmlformats.org/officeDocument/2006/relationships/hyperlink" Target="https://www.cbd.int/doc/decisions/cop-10/cop-10-dec-43-ar.pdf" TargetMode="External"/><Relationship Id="rId76" Type="http://schemas.openxmlformats.org/officeDocument/2006/relationships/hyperlink" Target="https://www.cbd.int/doc/decisions/cop-13/cop-13-dec-23-ar.pdf" TargetMode="External"/><Relationship Id="rId84" Type="http://schemas.openxmlformats.org/officeDocument/2006/relationships/hyperlink" Target="https://www.cbd.int/doc/decisions/cop-13/cop-13-dec-29-ar.pdf" TargetMode="External"/><Relationship Id="rId89" Type="http://schemas.openxmlformats.org/officeDocument/2006/relationships/header" Target="header6.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bd.int/doc/decisions/cop-13/cop-13-dec-01-ar.pdf" TargetMode="External"/><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cbd.int/doc/decisions/cop-09/cop-09-dec-16-ar.pdf" TargetMode="External"/><Relationship Id="rId29" Type="http://schemas.openxmlformats.org/officeDocument/2006/relationships/hyperlink" Target="http://www.undp.org/content/undp/en/home/librarypage/environment-energy/climate_change/adaptation/mainstreaming_climatechangeadaptationintodevelopmentplanningagui.html" TargetMode="External"/><Relationship Id="rId11" Type="http://schemas.openxmlformats.org/officeDocument/2006/relationships/hyperlink" Target="https://www.cbd.int/doc/decisions/cop-13/cop-13-dec-23-ar.pdf" TargetMode="External"/><Relationship Id="rId24" Type="http://schemas.openxmlformats.org/officeDocument/2006/relationships/diagramLayout" Target="diagrams/layout1.xml"/><Relationship Id="rId32" Type="http://schemas.openxmlformats.org/officeDocument/2006/relationships/image" Target="media/image5.emf"/><Relationship Id="rId37" Type="http://schemas.openxmlformats.org/officeDocument/2006/relationships/hyperlink" Target="https://www.cbd.int/decision/cop/default.shtml?id=7179" TargetMode="External"/><Relationship Id="rId40" Type="http://schemas.openxmlformats.org/officeDocument/2006/relationships/hyperlink" Target="https://www.cbd.int/doc/decisions/cop-13/cop-13-dec-15-ar.pdf" TargetMode="External"/><Relationship Id="rId45" Type="http://schemas.openxmlformats.org/officeDocument/2006/relationships/hyperlink" Target="https://www.cbd.int/doc/decisions/cop-10/cop-10-dec-31-ar.pdf" TargetMode="External"/><Relationship Id="rId53" Type="http://schemas.openxmlformats.org/officeDocument/2006/relationships/hyperlink" Target="https://www.cbd.int/doc/decisions/cop-10/cop-10-dec-29-ar.pdf" TargetMode="External"/><Relationship Id="rId58" Type="http://schemas.openxmlformats.org/officeDocument/2006/relationships/header" Target="header2.xml"/><Relationship Id="rId66" Type="http://schemas.openxmlformats.org/officeDocument/2006/relationships/hyperlink" Target="https://www.cbd.int/doc/decisions/cop-13/cop-13-dec-19-ar.doc" TargetMode="External"/><Relationship Id="rId74" Type="http://schemas.openxmlformats.org/officeDocument/2006/relationships/hyperlink" Target="https://www.cbd.int/doc/decisions/cop-13/cop-13-dec-05-ar.pdf" TargetMode="External"/><Relationship Id="rId79" Type="http://schemas.openxmlformats.org/officeDocument/2006/relationships/hyperlink" Target="https://www.cbd.int/doc/decisions/cop-13/cop-13-dec-28-ar.pdf" TargetMode="External"/><Relationship Id="rId87" Type="http://schemas.openxmlformats.org/officeDocument/2006/relationships/hyperlink" Target="https://www.cbd.int/doc/decisions/cop-09/cop-09-dec-34-ar.pdf" TargetMode="Externa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hyperlink" Target="https://www.cbd.int/doc/decisions/cop-13/cop-13-dec-33-ar.pdf" TargetMode="External"/><Relationship Id="rId90" Type="http://schemas.openxmlformats.org/officeDocument/2006/relationships/hyperlink" Target="https://www.cbd.int/doc/decisions/cop-13/cop-13-dec-33-ar.pdf" TargetMode="External"/><Relationship Id="rId95" Type="http://schemas.openxmlformats.org/officeDocument/2006/relationships/header" Target="header11.xml"/><Relationship Id="rId19" Type="http://schemas.openxmlformats.org/officeDocument/2006/relationships/hyperlink" Target="https://www.cbd.int/doc/decisions/cop-13/cop-13-dec-04-ar.pdf" TargetMode="External"/><Relationship Id="rId14" Type="http://schemas.openxmlformats.org/officeDocument/2006/relationships/hyperlink" Target="https://papersmart.unon.org/resolution/uploads/k1800178.arabic.pdf" TargetMode="External"/><Relationship Id="rId22" Type="http://schemas.openxmlformats.org/officeDocument/2006/relationships/hyperlink" Target="https://www.cbd.int/sp/" TargetMode="External"/><Relationship Id="rId27" Type="http://schemas.microsoft.com/office/2007/relationships/diagramDrawing" Target="diagrams/drawing1.xml"/><Relationship Id="rId30" Type="http://schemas.openxmlformats.org/officeDocument/2006/relationships/image" Target="media/image4.png"/><Relationship Id="rId35" Type="http://schemas.openxmlformats.org/officeDocument/2006/relationships/hyperlink" Target="https://www.cbd.int/decision/cop/default.shtml?id=7107" TargetMode="External"/><Relationship Id="rId43" Type="http://schemas.openxmlformats.org/officeDocument/2006/relationships/hyperlink" Target="https://www.cbd.int/doc/decisions/cop-13/cop-13-dec-03-ar.pdf" TargetMode="External"/><Relationship Id="rId48" Type="http://schemas.openxmlformats.org/officeDocument/2006/relationships/image" Target="media/image6.png"/><Relationship Id="rId56" Type="http://schemas.openxmlformats.org/officeDocument/2006/relationships/hyperlink" Target="https://www.cbd.int/doc/decisions/cop-13/cop-13-dec-12-ar.pdf" TargetMode="External"/><Relationship Id="rId64" Type="http://schemas.openxmlformats.org/officeDocument/2006/relationships/hyperlink" Target="https://www.cbd.int/doc/decisions/cop-12/cop-12-dec-16-ar.pdf" TargetMode="External"/><Relationship Id="rId69" Type="http://schemas.openxmlformats.org/officeDocument/2006/relationships/hyperlink" Target="https://www.cbd.int/doc/decisions/cop-13/cop-13-dec-01-ar.pdf" TargetMode="External"/><Relationship Id="rId77" Type="http://schemas.openxmlformats.org/officeDocument/2006/relationships/hyperlink" Target="https://www.cbd.int/doc/decisions/cop-13/cop-13-dec-24-ar.pdf" TargetMode="External"/><Relationship Id="rId8" Type="http://schemas.openxmlformats.org/officeDocument/2006/relationships/image" Target="media/image1.emf"/><Relationship Id="rId51" Type="http://schemas.openxmlformats.org/officeDocument/2006/relationships/hyperlink" Target="https://www.cbd.int/doc/decisions/cop-12/cop-12-dec-22-ar.pdf" TargetMode="External"/><Relationship Id="rId72" Type="http://schemas.openxmlformats.org/officeDocument/2006/relationships/hyperlink" Target="https://www.cbd.int/doc/decisions/cop-13/cop-13-dec-03-ar.pdf" TargetMode="External"/><Relationship Id="rId80" Type="http://schemas.openxmlformats.org/officeDocument/2006/relationships/hyperlink" Target="https://www.cbd.int/doc/decisions/cop-12/cop-12-dec-27-ar.pdf" TargetMode="External"/><Relationship Id="rId85" Type="http://schemas.openxmlformats.org/officeDocument/2006/relationships/hyperlink" Target="https://www.cbd.int/doc/decisions/cop-13/cop-13-dec-27-ar.pdf" TargetMode="Externa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www.cbd.int/doc/decisions/cop-12/cop-12-dec-22-ar.doc" TargetMode="External"/><Relationship Id="rId17" Type="http://schemas.openxmlformats.org/officeDocument/2006/relationships/hyperlink" Target="https://www.cbd.int/doc/decisions/cop-10/cop-10-dec-33-ar.pdf" TargetMode="External"/><Relationship Id="rId25" Type="http://schemas.openxmlformats.org/officeDocument/2006/relationships/diagramQuickStyle" Target="diagrams/quickStyle1.xml"/><Relationship Id="rId33" Type="http://schemas.openxmlformats.org/officeDocument/2006/relationships/hyperlink" Target="https://www.ipcc.ch/report/ar5/wg2/" TargetMode="External"/><Relationship Id="rId38" Type="http://schemas.openxmlformats.org/officeDocument/2006/relationships/hyperlink" Target="https://www.cbd.int/doc/decisions/cop-13/cop-13-dec-15-ar.pdf" TargetMode="External"/><Relationship Id="rId46" Type="http://schemas.openxmlformats.org/officeDocument/2006/relationships/hyperlink" Target="https://www.cbd.int/doc/meetings/cop/cop-07/official/cop-07-21-part2-ar.pdf" TargetMode="External"/><Relationship Id="rId59" Type="http://schemas.openxmlformats.org/officeDocument/2006/relationships/footer" Target="footer1.xml"/><Relationship Id="rId67" Type="http://schemas.openxmlformats.org/officeDocument/2006/relationships/hyperlink" Target="https://www.cbd.int/decision/cop/default.shtml?id=7158" TargetMode="External"/><Relationship Id="rId20" Type="http://schemas.openxmlformats.org/officeDocument/2006/relationships/hyperlink" Target="https://www.cbd.int/doc/decisions/cop-13/cop-13-dec-05-ar.pdf" TargetMode="External"/><Relationship Id="rId41" Type="http://schemas.openxmlformats.org/officeDocument/2006/relationships/hyperlink" Target="https://www.cbd.int/doc/decisions/cop-13/cop-13-dec-15-ar.pdf" TargetMode="External"/><Relationship Id="rId54" Type="http://schemas.openxmlformats.org/officeDocument/2006/relationships/hyperlink" Target="https://www.cbd.int/doc/decisions/cop-11/cop-11-dec-17-ar.pdf" TargetMode="External"/><Relationship Id="rId62" Type="http://schemas.openxmlformats.org/officeDocument/2006/relationships/footer" Target="footer3.xml"/><Relationship Id="rId70" Type="http://schemas.openxmlformats.org/officeDocument/2006/relationships/hyperlink" Target="https://www.cbd.int/doc/decisions/cop-10/cop-10-dec-02-ar.pdf" TargetMode="External"/><Relationship Id="rId75" Type="http://schemas.openxmlformats.org/officeDocument/2006/relationships/hyperlink" Target="https://www.cbd.int/doc/decisions/cop-13/cop-13-dec-07-ar.pdf" TargetMode="External"/><Relationship Id="rId83" Type="http://schemas.openxmlformats.org/officeDocument/2006/relationships/hyperlink" Target="https://www.cbd.int/doc/decisions/cop-13/cop-13-dec-33-ar.pdf" TargetMode="External"/><Relationship Id="rId88" Type="http://schemas.openxmlformats.org/officeDocument/2006/relationships/header" Target="header5.xml"/><Relationship Id="rId91" Type="http://schemas.openxmlformats.org/officeDocument/2006/relationships/header" Target="header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d.int/doc/decisions/cop-12/cop-12-dec-02-ar.pdf" TargetMode="External"/><Relationship Id="rId23" Type="http://schemas.openxmlformats.org/officeDocument/2006/relationships/diagramData" Target="diagrams/data1.xml"/><Relationship Id="rId28" Type="http://schemas.openxmlformats.org/officeDocument/2006/relationships/hyperlink" Target="http://awsassets.panda.org/downloads/wwf_wb_eba_project_2014_gms_ecosystem_based_adaptation_general_framework.pdf" TargetMode="External"/><Relationship Id="rId36" Type="http://schemas.openxmlformats.org/officeDocument/2006/relationships/hyperlink" Target="https://www.cbd.int/decision/cop/default.shtml?id=7147" TargetMode="External"/><Relationship Id="rId49" Type="http://schemas.openxmlformats.org/officeDocument/2006/relationships/hyperlink" Target="https://www.cbd.int/doc/decisions/cop-10/cop-10-dec-29-ar.pdf"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cbd.int/traditional/guidelines.shtml" TargetMode="External"/><Relationship Id="rId44" Type="http://schemas.openxmlformats.org/officeDocument/2006/relationships/hyperlink" Target="https://www.cbd.int/doc/decisions/cop-10/cop-10-dec-31-ar.pdf" TargetMode="External"/><Relationship Id="rId52" Type="http://schemas.openxmlformats.org/officeDocument/2006/relationships/hyperlink" Target="https://www.cbd.int/doc/decisions/cop-13/cop-13-dec-12-ar.pdf" TargetMode="External"/><Relationship Id="rId60" Type="http://schemas.openxmlformats.org/officeDocument/2006/relationships/footer" Target="footer2.xml"/><Relationship Id="rId65" Type="http://schemas.openxmlformats.org/officeDocument/2006/relationships/hyperlink" Target="https://www.cbd.int/doc/decisions/cop-12/cop-12-dec-16-ar.pdf" TargetMode="External"/><Relationship Id="rId73" Type="http://schemas.openxmlformats.org/officeDocument/2006/relationships/hyperlink" Target="https://www.cbd.int/doc/decisions/cop-13/cop-13-dec-04-ar.pdf" TargetMode="External"/><Relationship Id="rId78" Type="http://schemas.openxmlformats.org/officeDocument/2006/relationships/hyperlink" Target="https://www.cbd.int/doc/decisions/cop-13/cop-13-dec-27-ar.pdf" TargetMode="External"/><Relationship Id="rId81" Type="http://schemas.openxmlformats.org/officeDocument/2006/relationships/hyperlink" Target="https://www.cbd.int/doc/decisions/cop-13/cop-13-dec-26-ar.pdf" TargetMode="External"/><Relationship Id="rId86" Type="http://schemas.openxmlformats.org/officeDocument/2006/relationships/hyperlink" Target="https://www.cbd.int/doc/decisions/cop-11/cop-11-dec-02-ar.pdf" TargetMode="External"/><Relationship Id="rId9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undocs.org/ar/UNEP/EA.3/Res.2" TargetMode="External"/><Relationship Id="rId18" Type="http://schemas.openxmlformats.org/officeDocument/2006/relationships/hyperlink" Target="https://www.cbd.int/doc/decisions/cop-12/cop-12-dec-20-ar.pdf" TargetMode="External"/><Relationship Id="rId39" Type="http://schemas.openxmlformats.org/officeDocument/2006/relationships/hyperlink" Target="https://www.cbd.int/decision/cop/default.shtml?id=7107"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https://www.cbd.int/doc/decisions/cop-10/cop-10-dec-02-ar.pdf" TargetMode="External"/><Relationship Id="rId117" Type="http://schemas.openxmlformats.org/officeDocument/2006/relationships/hyperlink" Target="http://www.un.org/esa/socdev/unpfii/documents/MCS_v_en.pdf" TargetMode="External"/><Relationship Id="rId21" Type="http://schemas.openxmlformats.org/officeDocument/2006/relationships/hyperlink" Target="https://unfccc.int/resource/docs/2015/cop21/ara/10a01a.pdf" TargetMode="External"/><Relationship Id="rId42" Type="http://schemas.openxmlformats.org/officeDocument/2006/relationships/hyperlink" Target="https://www.cbd.int/indicators/default.shtml" TargetMode="External"/><Relationship Id="rId47" Type="http://schemas.openxmlformats.org/officeDocument/2006/relationships/hyperlink" Target="http://www.mma.gov.br/biomas/mata-atl%C3%A2ntica_emdesenvolvimento" TargetMode="External"/><Relationship Id="rId63" Type="http://schemas.openxmlformats.org/officeDocument/2006/relationships/hyperlink" Target="https://undocs.org/A/HRC/34/49" TargetMode="External"/><Relationship Id="rId68" Type="http://schemas.openxmlformats.org/officeDocument/2006/relationships/hyperlink" Target="https://portals.iucn.org/library/node/29138" TargetMode="External"/><Relationship Id="rId84" Type="http://schemas.openxmlformats.org/officeDocument/2006/relationships/hyperlink" Target="https://www.cbd.int/doc/decisions/cop-12/cop-12-dec-12-ar.pdf" TargetMode="External"/><Relationship Id="rId89" Type="http://schemas.openxmlformats.org/officeDocument/2006/relationships/hyperlink" Target="https://www.cbd.int/doc/c/66fd/6114/e8fd9956cdfd40377f3dd3cb/cop-14-inf-12-add1-en.pdf" TargetMode="External"/><Relationship Id="rId112" Type="http://schemas.openxmlformats.org/officeDocument/2006/relationships/hyperlink" Target="https://www.cbd.int/doc/decisions/cop-07/cop-07-dec-16-en.pdf" TargetMode="External"/><Relationship Id="rId133" Type="http://schemas.openxmlformats.org/officeDocument/2006/relationships/hyperlink" Target="http://www.un.org/esa/socdev/unpfii/documents/DRIPS_ar.pdf" TargetMode="External"/><Relationship Id="rId138" Type="http://schemas.openxmlformats.org/officeDocument/2006/relationships/hyperlink" Target="https://www.cbd.int/doc/decisions/cop-10/cop-10-dec-42-ar.pdf" TargetMode="External"/><Relationship Id="rId154" Type="http://schemas.openxmlformats.org/officeDocument/2006/relationships/hyperlink" Target="http://bch.cbd.int/protocol/decisions/?decisionID=8286" TargetMode="External"/><Relationship Id="rId159" Type="http://schemas.openxmlformats.org/officeDocument/2006/relationships/hyperlink" Target="https://www.cbd.int/doc/recommendations/sbstta-21/sbstta-21-rec-01-ar.pdf" TargetMode="External"/><Relationship Id="rId16" Type="http://schemas.openxmlformats.org/officeDocument/2006/relationships/hyperlink" Target="https://www.cbd.int/doc/publications/cbd-ts-78-en.pdf" TargetMode="External"/><Relationship Id="rId107" Type="http://schemas.openxmlformats.org/officeDocument/2006/relationships/hyperlink" Target="https://www.cbd.int/doc/decisions/cop-08/cop-08-dec-05-en.pdf" TargetMode="External"/><Relationship Id="rId11" Type="http://schemas.openxmlformats.org/officeDocument/2006/relationships/hyperlink" Target="https://www.cbd.int/doc/c/e14b/0ad0/52a612635e7d6b8bac0b6b38/sbstta-21-inf-02-en.pdf" TargetMode="External"/><Relationship Id="rId32" Type="http://schemas.openxmlformats.org/officeDocument/2006/relationships/hyperlink" Target="https://www.cbd.int/guidelines/" TargetMode="External"/><Relationship Id="rId37" Type="http://schemas.openxmlformats.org/officeDocument/2006/relationships/hyperlink" Target="http://www.ser.org/iprn/traditional-ecological-knowledge" TargetMode="External"/><Relationship Id="rId53" Type="http://schemas.openxmlformats.org/officeDocument/2006/relationships/hyperlink" Target="https://www.cbd.int/doc/meetings/sbstta/sbstta-20/official/sbstta-20-11-ar.pdf" TargetMode="External"/><Relationship Id="rId58" Type="http://schemas.openxmlformats.org/officeDocument/2006/relationships/hyperlink" Target="https://www.iccaconsortium.org/index.php/2015/08/08/governance-for-the-conservation-of-nature/" TargetMode="External"/><Relationship Id="rId74" Type="http://schemas.openxmlformats.org/officeDocument/2006/relationships/hyperlink" Target="https://www.cbd.int/doc/meetings/cop/cop-07/official/cop-07-21-part2-ar.pdf" TargetMode="External"/><Relationship Id="rId79" Type="http://schemas.openxmlformats.org/officeDocument/2006/relationships/hyperlink" Target="https://www.cbd.int/doc/meetings/cop/cop-07/official/cop-07-21-part2-ar.pdf" TargetMode="External"/><Relationship Id="rId102" Type="http://schemas.openxmlformats.org/officeDocument/2006/relationships/hyperlink" Target="https://en.wikipedia.org/wiki/Archivist" TargetMode="External"/><Relationship Id="rId123" Type="http://schemas.openxmlformats.org/officeDocument/2006/relationships/hyperlink" Target="https://www.cbd.int/doc/decisions/cop-07/cop-07-dec-16-en.pdf" TargetMode="External"/><Relationship Id="rId128" Type="http://schemas.openxmlformats.org/officeDocument/2006/relationships/hyperlink" Target="https://www.cbd.int/doc/meetings/tk/wg8j-08/official/wg8j-08-06-add1-ar.doc" TargetMode="External"/><Relationship Id="rId144" Type="http://schemas.openxmlformats.org/officeDocument/2006/relationships/hyperlink" Target="http://www.un.org/en/ga/search/view_doc.asp?symbol=A/RES/70/1&amp;referer=/english/&amp;Lang=A" TargetMode="External"/><Relationship Id="rId149" Type="http://schemas.openxmlformats.org/officeDocument/2006/relationships/hyperlink" Target="http://www.un.org/ga/search/view_doc.asp?symbol=A/RES/70/1&amp;Lang=A" TargetMode="External"/><Relationship Id="rId5" Type="http://schemas.openxmlformats.org/officeDocument/2006/relationships/hyperlink" Target="https://www.besnet.world/sites/default/files/WorkshopReport_July2017.pdf" TargetMode="External"/><Relationship Id="rId90" Type="http://schemas.openxmlformats.org/officeDocument/2006/relationships/hyperlink" Target="https://www.cbd.int/doc/c/0c6f/7a35/eb8815eff54c3bc4a02139fd/cop-14-inf-09-en.pdf" TargetMode="External"/><Relationship Id="rId95" Type="http://schemas.openxmlformats.org/officeDocument/2006/relationships/hyperlink" Target="https://www.cbd.int/doc/decisions/cop-10/cop-10-dec-43-ar.doc" TargetMode="External"/><Relationship Id="rId160" Type="http://schemas.openxmlformats.org/officeDocument/2006/relationships/hyperlink" Target="http://undocs.org/A/RES/70/1" TargetMode="External"/><Relationship Id="rId165" Type="http://schemas.openxmlformats.org/officeDocument/2006/relationships/hyperlink" Target="https://www.cbd.int/doc/notifications/2019/ntf-2019-015-budget-cbd-en.pdf" TargetMode="External"/><Relationship Id="rId22" Type="http://schemas.openxmlformats.org/officeDocument/2006/relationships/hyperlink" Target="https://www.cbd.int/doc/health/cbo-action-policy-en.pdf" TargetMode="External"/><Relationship Id="rId27" Type="http://schemas.openxmlformats.org/officeDocument/2006/relationships/hyperlink" Target="http://www.ipcc.ch/report/sr15/" TargetMode="External"/><Relationship Id="rId43" Type="http://schemas.openxmlformats.org/officeDocument/2006/relationships/hyperlink" Target="https://www.ipcc.ch/report/ar5/" TargetMode="External"/><Relationship Id="rId48" Type="http://schemas.openxmlformats.org/officeDocument/2006/relationships/hyperlink" Target="https://www.cbd.int/doc/decisions/cop-12/cop-12-dec-12-ar.pdf" TargetMode="External"/><Relationship Id="rId64" Type="http://schemas.openxmlformats.org/officeDocument/2006/relationships/hyperlink" Target="https://www.cbd.int/doc/nbsap/NBSAPs-catalysts-SDGs.pdf" TargetMode="External"/><Relationship Id="rId69" Type="http://schemas.openxmlformats.org/officeDocument/2006/relationships/hyperlink" Target="https://www.cbd.int/doc/publications/cbd-ts-64-en.pdf" TargetMode="External"/><Relationship Id="rId113" Type="http://schemas.openxmlformats.org/officeDocument/2006/relationships/hyperlink" Target="https://www.cbd.int/doc/decisions/cop-12/cop-12-dec-12-ar.doc" TargetMode="External"/><Relationship Id="rId118" Type="http://schemas.openxmlformats.org/officeDocument/2006/relationships/hyperlink" Target="https://www.cbd.int/doc/meetings/tk/wg8j-07/official/wg8j-07-08-add1-ar.pdf" TargetMode="External"/><Relationship Id="rId134" Type="http://schemas.openxmlformats.org/officeDocument/2006/relationships/hyperlink" Target="https://www.cbd.int/doc/decisions/cop-10/cop-10-dec-43-ar.pdf" TargetMode="External"/><Relationship Id="rId139" Type="http://schemas.openxmlformats.org/officeDocument/2006/relationships/hyperlink" Target="https://www.cbd.int/doc/decisions/cop-12/cop-12-dec-12-ar.pdf" TargetMode="External"/><Relationship Id="rId80" Type="http://schemas.openxmlformats.org/officeDocument/2006/relationships/hyperlink" Target="https://www.cbd.int/doc/decisions/cop-09/cop-09-dec-18-ar.pdf" TargetMode="External"/><Relationship Id="rId85" Type="http://schemas.openxmlformats.org/officeDocument/2006/relationships/hyperlink" Target="http://www.un.org/esa/socdev/unpfii/documents/DRIPS_ar.pdf" TargetMode="External"/><Relationship Id="rId150" Type="http://schemas.openxmlformats.org/officeDocument/2006/relationships/hyperlink" Target="https://www.cms.int/sites/default/files/document/cms_cop12_res.12.25_conservation-intertidal-coastal-habitats_e.pdf" TargetMode="External"/><Relationship Id="rId155" Type="http://schemas.openxmlformats.org/officeDocument/2006/relationships/hyperlink" Target="https://www.cbd.int/cop/cop-14/annoucement/nature-action-agenda-egypt-to-china-en.pdf" TargetMode="External"/><Relationship Id="rId12" Type="http://schemas.openxmlformats.org/officeDocument/2006/relationships/hyperlink" Target="https://www.cbd.int/doc/c/d623/0105/bc697cf1556d8892498c3866/sbstta-21-inf-03-en.pdf" TargetMode="External"/><Relationship Id="rId17" Type="http://schemas.openxmlformats.org/officeDocument/2006/relationships/hyperlink" Target="https://www.cbd.int/doc/c/ae13/cbd5/5c1d504ea7215ffd2a8e425a/cop-13-24-ar.pdf" TargetMode="External"/><Relationship Id="rId33" Type="http://schemas.openxmlformats.org/officeDocument/2006/relationships/hyperlink" Target="https://www.unisdr.org/we/inform/terminology" TargetMode="External"/><Relationship Id="rId38" Type="http://schemas.openxmlformats.org/officeDocument/2006/relationships/hyperlink" Target="https://www.cbd.int/doc/publications/cbd-ts-85-en.pdf" TargetMode="External"/><Relationship Id="rId59" Type="http://schemas.openxmlformats.org/officeDocument/2006/relationships/hyperlink" Target="https://www.iccaconsortium.org/index.php/international-en/conservation-en/" TargetMode="External"/><Relationship Id="rId103" Type="http://schemas.openxmlformats.org/officeDocument/2006/relationships/hyperlink" Target="https://en.wikipedia.org/wiki/Records_manager" TargetMode="External"/><Relationship Id="rId108" Type="http://schemas.openxmlformats.org/officeDocument/2006/relationships/hyperlink" Target="http://aiatsis.gov.au/about-us" TargetMode="External"/><Relationship Id="rId124" Type="http://schemas.openxmlformats.org/officeDocument/2006/relationships/hyperlink" Target="https://www.cbd.int/doc/decisions/cop-07/cop-07-dec-16-en.pdf" TargetMode="External"/><Relationship Id="rId129" Type="http://schemas.openxmlformats.org/officeDocument/2006/relationships/hyperlink" Target="https://www.cbd.int/doc/decisions/cop-10/cop-10-dec-42-ar.pdf" TargetMode="External"/><Relationship Id="rId54" Type="http://schemas.openxmlformats.org/officeDocument/2006/relationships/hyperlink" Target="https://www.cbd.int/doc/meetings/sbstta/sbstta-20/information/sbstta-20-inf-46-en.pdf" TargetMode="External"/><Relationship Id="rId70" Type="http://schemas.openxmlformats.org/officeDocument/2006/relationships/hyperlink" Target="https://www.cbd.int/doc/publications/cbd-ts-64-en.pdf" TargetMode="External"/><Relationship Id="rId75" Type="http://schemas.openxmlformats.org/officeDocument/2006/relationships/hyperlink" Target="https://www.cbd.int/doc/publications/cbd-ts-64-en.pdf" TargetMode="External"/><Relationship Id="rId91" Type="http://schemas.openxmlformats.org/officeDocument/2006/relationships/hyperlink" Target="https://www.unece.org/fileadmin/DAM/trans/doc/2014/wp24/CTU_Code_January_2014.pdf" TargetMode="External"/><Relationship Id="rId96" Type="http://schemas.openxmlformats.org/officeDocument/2006/relationships/hyperlink" Target="https://www.cbd.int/doc/decisions/cop-13/cop-13-dec-18-ar.doc" TargetMode="External"/><Relationship Id="rId140" Type="http://schemas.openxmlformats.org/officeDocument/2006/relationships/hyperlink" Target="https://www.cbd.int/doc/decisions/cop-13/cop-13-dec-18-ar.pdf" TargetMode="External"/><Relationship Id="rId145" Type="http://schemas.openxmlformats.org/officeDocument/2006/relationships/hyperlink" Target="https://www.cbd.int/meetings/SYNBIOAHTEG-2017-01" TargetMode="External"/><Relationship Id="rId161" Type="http://schemas.openxmlformats.org/officeDocument/2006/relationships/hyperlink" Target="https://www.cbd.int/doc/c/34c6/ea0f/a3eb4ff2f3bb719edfdb2eff/cop-14-04-ar.pdf" TargetMode="External"/><Relationship Id="rId1" Type="http://schemas.openxmlformats.org/officeDocument/2006/relationships/hyperlink" Target="https://www.cbd.int/doc/decisions/cop-10/cop-10-dec-02-ar.pdf" TargetMode="External"/><Relationship Id="rId6" Type="http://schemas.openxmlformats.org/officeDocument/2006/relationships/hyperlink" Target="https://www.cbd.int/doc/c/fd73/df2f/c93bb3a1b299890373043a3e/cop-14-afr-hls-04-final-ar.pdf" TargetMode="External"/><Relationship Id="rId15" Type="http://schemas.openxmlformats.org/officeDocument/2006/relationships/hyperlink" Target="https://www.ipbes.net/assessment-reports/scenarios" TargetMode="External"/><Relationship Id="rId23" Type="http://schemas.openxmlformats.org/officeDocument/2006/relationships/hyperlink" Target="http://www.resourcepanel.org/reports/weight-cities" TargetMode="External"/><Relationship Id="rId28" Type="http://schemas.openxmlformats.org/officeDocument/2006/relationships/hyperlink" Target="https://www.cbd.int/doc/publications/cbd-ts-85-en.pdf" TargetMode="External"/><Relationship Id="rId36" Type="http://schemas.openxmlformats.org/officeDocument/2006/relationships/hyperlink" Target="https://www.un.org/en/ga/search/view_doc.asp?symbol=A/RES/71/276&amp;referer=/english/&amp;Lang=A" TargetMode="External"/><Relationship Id="rId49" Type="http://schemas.openxmlformats.org/officeDocument/2006/relationships/hyperlink" Target="http://www.un.org/en/ga/search/view_doc.asp?symbol=A/RES/70/1&amp;referer=/english/&amp;Lang=A" TargetMode="External"/><Relationship Id="rId57" Type="http://schemas.openxmlformats.org/officeDocument/2006/relationships/hyperlink" Target="https://www.iccaconsortium.org/index.php/2013/12/31/iucn-best-practice-protected-area-guidelines-no-20/" TargetMode="External"/><Relationship Id="rId106" Type="http://schemas.openxmlformats.org/officeDocument/2006/relationships/hyperlink" Target="https://www.cbd.int/doc/decisions/cop-11/cop-11-dec-14-ar.doc" TargetMode="External"/><Relationship Id="rId114" Type="http://schemas.openxmlformats.org/officeDocument/2006/relationships/hyperlink" Target="https://www.cbd.int/doc/decisions/mop-08/mop-08-dec-19-ar.pdf" TargetMode="External"/><Relationship Id="rId119" Type="http://schemas.openxmlformats.org/officeDocument/2006/relationships/hyperlink" Target="https://www.cbd.int/doc/decisions/cop-07/cop-07-dec-16-en.pdf" TargetMode="External"/><Relationship Id="rId127" Type="http://schemas.openxmlformats.org/officeDocument/2006/relationships/hyperlink" Target="https://www.cbd.int/doc/decisions/cop-13/cop-13-dec-18-ar.doc" TargetMode="External"/><Relationship Id="rId10" Type="http://schemas.openxmlformats.org/officeDocument/2006/relationships/hyperlink" Target="https://www.cbd.int/doc/meetings/sbstta/sbstta-21/official/sbstta-21-02-add1-ar.pdf" TargetMode="External"/><Relationship Id="rId31" Type="http://schemas.openxmlformats.org/officeDocument/2006/relationships/hyperlink" Target="https://www.un.org/development/desa/indigenouspeoples/declaration-on-the-rights-of-indigenous-peoples.html" TargetMode="External"/><Relationship Id="rId44" Type="http://schemas.openxmlformats.org/officeDocument/2006/relationships/hyperlink" Target="https://www.ipbes.net/sites/default/files/downloads/pdf/individual_chapters_pollination_20170305.pdf" TargetMode="External"/><Relationship Id="rId52" Type="http://schemas.openxmlformats.org/officeDocument/2006/relationships/hyperlink" Target="https://www.cbd.int/doc/meetings/sbstta/sbstta-20/information/sbstta-20-inf-47-en.pdf" TargetMode="External"/><Relationship Id="rId60" Type="http://schemas.openxmlformats.org/officeDocument/2006/relationships/hyperlink" Target="https://cites.org/sites/default/files/document/E-Res-13-11-R17.pdf" TargetMode="External"/><Relationship Id="rId65" Type="http://schemas.openxmlformats.org/officeDocument/2006/relationships/hyperlink" Target="https://www.cbd.int/doc/publications/cbd-ts-64-en.pdf" TargetMode="External"/><Relationship Id="rId73" Type="http://schemas.openxmlformats.org/officeDocument/2006/relationships/hyperlink" Target="https://www.cbd.int/doc/meetings/cop/cop-13/information/cop-13-inf-17-en.pdf" TargetMode="External"/><Relationship Id="rId78" Type="http://schemas.openxmlformats.org/officeDocument/2006/relationships/hyperlink" Target="http://live.unece.org/fileadmin/DAM/env/pp/documents/cep43e.pdf" TargetMode="External"/><Relationship Id="rId81" Type="http://schemas.openxmlformats.org/officeDocument/2006/relationships/hyperlink" Target="https://www.cbd.int/doc/decisions/cop-10/cop-10-dec-31-ar.pdf" TargetMode="External"/><Relationship Id="rId86" Type="http://schemas.openxmlformats.org/officeDocument/2006/relationships/hyperlink" Target="http://www.un.org/depts/los/convention_agreements/texts/unclos/unclos_a.pdf" TargetMode="External"/><Relationship Id="rId94" Type="http://schemas.openxmlformats.org/officeDocument/2006/relationships/hyperlink" Target="https://www.cbd.int/tk/default.shtml" TargetMode="External"/><Relationship Id="rId99" Type="http://schemas.openxmlformats.org/officeDocument/2006/relationships/hyperlink" Target="https://www.cbd.int/doc/decisions/cop-11/cop-11-dec-14-ar.doc" TargetMode="External"/><Relationship Id="rId101" Type="http://schemas.openxmlformats.org/officeDocument/2006/relationships/hyperlink" Target="https://ar.wikipedia.org/wiki/%D8%A3%D9%85%D9%8A%D9%86_%D9%85%D9%83%D8%AA%D8%A8%D8%A9" TargetMode="External"/><Relationship Id="rId122" Type="http://schemas.openxmlformats.org/officeDocument/2006/relationships/hyperlink" Target="https://www.cbd.int/doc/decisions/cop-07/cop-07-dec-16-en.pdf" TargetMode="External"/><Relationship Id="rId130" Type="http://schemas.openxmlformats.org/officeDocument/2006/relationships/hyperlink" Target="https://www.iccaconsortium.org/index.php/discover/" TargetMode="External"/><Relationship Id="rId135" Type="http://schemas.openxmlformats.org/officeDocument/2006/relationships/hyperlink" Target="http://www.un.org/en/ga/search/view_doc.asp?symbol=A/RES/70/1&amp;referer=/english/&amp;Lang=A" TargetMode="External"/><Relationship Id="rId143" Type="http://schemas.openxmlformats.org/officeDocument/2006/relationships/hyperlink" Target="https://www.cbd.int/doc/c/fcc3/ac3d/eba5d8364fbe8d5950fef9bf/sbi-02-02-add3-ar.pdf" TargetMode="External"/><Relationship Id="rId148" Type="http://schemas.openxmlformats.org/officeDocument/2006/relationships/hyperlink" Target="https://www.cbd.int/doc/meetings/sbstta/sbstta-21/official/sbstta-21-07-ar.pdf" TargetMode="External"/><Relationship Id="rId151" Type="http://schemas.openxmlformats.org/officeDocument/2006/relationships/hyperlink" Target="http://undocs.org/ar/E/RES/2017/4" TargetMode="External"/><Relationship Id="rId156" Type="http://schemas.openxmlformats.org/officeDocument/2006/relationships/hyperlink" Target="http://www.un.org/en/ga/search/view_doc.asp?symbol=A/RES/70/1&amp;referer=/english/&amp;Lang=A" TargetMode="External"/><Relationship Id="rId164" Type="http://schemas.openxmlformats.org/officeDocument/2006/relationships/hyperlink" Target="https://www.cbd.int/doc/decisions/cop-09/cop-09-dec-34-ar.pdf" TargetMode="External"/><Relationship Id="rId4" Type="http://schemas.openxmlformats.org/officeDocument/2006/relationships/hyperlink" Target="https://www.cbd.int/doc/c/e24a/347c/a8b84521f326b90a198b1601/sbi-02-02-add2-ar.pdf" TargetMode="External"/><Relationship Id="rId9" Type="http://schemas.openxmlformats.org/officeDocument/2006/relationships/hyperlink" Target="https://www.cbd.int/doc/meetings/sbstta/sbstta-21/official/sbstta-21-02-ar.pdf" TargetMode="External"/><Relationship Id="rId13" Type="http://schemas.openxmlformats.org/officeDocument/2006/relationships/hyperlink" Target="https://www.cbd.int/doc/c/75db/a1d2/64d21404dca630a93407078b/sbstta-21-inf-04-en.pdf" TargetMode="External"/><Relationship Id="rId18" Type="http://schemas.openxmlformats.org/officeDocument/2006/relationships/hyperlink" Target="https://www.cbd.int/doc/c/9918/def4/1227a83179044e25cafee1de/cop-14-12-ar.pdf" TargetMode="External"/><Relationship Id="rId39" Type="http://schemas.openxmlformats.org/officeDocument/2006/relationships/hyperlink" Target="http://www.ipcc.ch/report/ar4/" TargetMode="External"/><Relationship Id="rId109" Type="http://schemas.openxmlformats.org/officeDocument/2006/relationships/hyperlink" Target="http://www.wipo.int/export/sites/www/tk/en/resources/pdf/tk_toolkit_draft.pdf" TargetMode="External"/><Relationship Id="rId34" Type="http://schemas.openxmlformats.org/officeDocument/2006/relationships/hyperlink" Target="https://undocs.org/ar/A/71/644" TargetMode="External"/><Relationship Id="rId50" Type="http://schemas.openxmlformats.org/officeDocument/2006/relationships/hyperlink" Target="https://www.cbd.int/brc/" TargetMode="External"/><Relationship Id="rId55" Type="http://schemas.openxmlformats.org/officeDocument/2006/relationships/hyperlink" Target="https://www.cbd.int/convention/articles/default.shtml?a=cbd-10" TargetMode="External"/><Relationship Id="rId76" Type="http://schemas.openxmlformats.org/officeDocument/2006/relationships/hyperlink" Target="https://www.cbd.int/doc/decisions/cop-12/cop-12-dec-12-ar.pdf" TargetMode="External"/><Relationship Id="rId97" Type="http://schemas.openxmlformats.org/officeDocument/2006/relationships/hyperlink" Target="https://www.cbd.int/doc/decisions/cop-10/cop-10-dec-42-ar.doc" TargetMode="External"/><Relationship Id="rId104" Type="http://schemas.openxmlformats.org/officeDocument/2006/relationships/hyperlink" Target="https://www.cbd.int/doc/publications/ethicalconduct-brochure-en.pdf" TargetMode="External"/><Relationship Id="rId120" Type="http://schemas.openxmlformats.org/officeDocument/2006/relationships/hyperlink" Target="https://www.cbd.int/doc/decisions/cop-07/cop-07-dec-16-en.pdf" TargetMode="External"/><Relationship Id="rId125" Type="http://schemas.openxmlformats.org/officeDocument/2006/relationships/hyperlink" Target="https://www.cbd.int/doc/decisions/cop-07/cop-07-dec-16-en.pdf" TargetMode="External"/><Relationship Id="rId141" Type="http://schemas.openxmlformats.org/officeDocument/2006/relationships/hyperlink" Target="https://www.cbd.int/doc/decisions/cop-12/cop-12-dec-12-ar.pdf" TargetMode="External"/><Relationship Id="rId146" Type="http://schemas.openxmlformats.org/officeDocument/2006/relationships/hyperlink" Target="http://bch.cbd.int/onlineconferences/portal_detection/lab_network.shtml" TargetMode="External"/><Relationship Id="rId7" Type="http://schemas.openxmlformats.org/officeDocument/2006/relationships/hyperlink" Target="https://www.cbd.int/doc/c/fd73/df2f/c93bb3a1b299890373043a3e/cop-14-afr-hls-04-final-ar.pdf" TargetMode="External"/><Relationship Id="rId71" Type="http://schemas.openxmlformats.org/officeDocument/2006/relationships/hyperlink" Target="https://portals.iucn.org/library/node/29138" TargetMode="External"/><Relationship Id="rId92" Type="http://schemas.openxmlformats.org/officeDocument/2006/relationships/hyperlink" Target="http://www.oie.int/standard-setting/terrestrial-code/" TargetMode="External"/><Relationship Id="rId162" Type="http://schemas.openxmlformats.org/officeDocument/2006/relationships/hyperlink" Target="https://documents-dds-ny.un.org/doc/UNDOC/GEN/N05/504/56/PDF/N0550456.pdf?OpenElement" TargetMode="External"/><Relationship Id="rId2" Type="http://schemas.openxmlformats.org/officeDocument/2006/relationships/hyperlink" Target="https://undocs.org/A/RES/70/1" TargetMode="External"/><Relationship Id="rId29" Type="http://schemas.openxmlformats.org/officeDocument/2006/relationships/hyperlink" Target="https://panorama.solutions/en/portal/ecosystem-based-adaptation" TargetMode="External"/><Relationship Id="rId24" Type="http://schemas.openxmlformats.org/officeDocument/2006/relationships/hyperlink" Target="http://apps.who.int/gb/ebwha/pdf_files/WHA71/A71_11-en.pdf" TargetMode="External"/><Relationship Id="rId40" Type="http://schemas.openxmlformats.org/officeDocument/2006/relationships/hyperlink" Target="https://www.iucn.org/theme/ecosystem-management/our-work/ecosystem-based-adaptation-and-climate-change/friends-eba-feba/knowledge-products" TargetMode="External"/><Relationship Id="rId45" Type="http://schemas.openxmlformats.org/officeDocument/2006/relationships/hyperlink" Target="https://documents-dds-ny.un.org/doc/UNDOC/GEN/N17/467/97/pdf/N1746797.pdf?OpenElement" TargetMode="External"/><Relationship Id="rId66" Type="http://schemas.openxmlformats.org/officeDocument/2006/relationships/hyperlink" Target="http://www.un.org/esa/socdev/unpfii/documents/DRIPS_ar.pdf" TargetMode="External"/><Relationship Id="rId87" Type="http://schemas.openxmlformats.org/officeDocument/2006/relationships/hyperlink" Target="http://undocs.org/A/RES/70/1" TargetMode="External"/><Relationship Id="rId110" Type="http://schemas.openxmlformats.org/officeDocument/2006/relationships/hyperlink" Target="https://www.cbd.int/doc/publications/ethicalconduct-brochure-en.pdf" TargetMode="External"/><Relationship Id="rId115" Type="http://schemas.openxmlformats.org/officeDocument/2006/relationships/hyperlink" Target="https://www.cbd.int/doc/decisions/np-mop-02/np-mop-02-dec-07-ar.pdf" TargetMode="External"/><Relationship Id="rId131" Type="http://schemas.openxmlformats.org/officeDocument/2006/relationships/hyperlink" Target="http://www.un.org/ga/search/view_doc.asp?symbol=A/RES/70/1&amp;Lang=A" TargetMode="External"/><Relationship Id="rId136" Type="http://schemas.openxmlformats.org/officeDocument/2006/relationships/hyperlink" Target="https://www.cbd.int/doc/c/0a31/4e45/72608f072f6d79700c846948/cop-13-inf-48-en.pdf" TargetMode="External"/><Relationship Id="rId157" Type="http://schemas.openxmlformats.org/officeDocument/2006/relationships/hyperlink" Target="http://www.un.org/en/ga/search/view_doc.asp?symbol=A/RES/70/1&amp;referer=/english/&amp;Lang=A" TargetMode="External"/><Relationship Id="rId61" Type="http://schemas.openxmlformats.org/officeDocument/2006/relationships/hyperlink" Target="https://www.cbd.int/doc/decisions/cop-11/cop-11-dec-25-ar.pdf" TargetMode="External"/><Relationship Id="rId82" Type="http://schemas.openxmlformats.org/officeDocument/2006/relationships/hyperlink" Target="https://www.cbd.int/doc/meetings/cop/cop-07/official/cop-07-21-part2-ar.pdf" TargetMode="External"/><Relationship Id="rId152" Type="http://schemas.openxmlformats.org/officeDocument/2006/relationships/hyperlink" Target="http://undocs.org/ar/A/RES/71/285" TargetMode="External"/><Relationship Id="rId19" Type="http://schemas.openxmlformats.org/officeDocument/2006/relationships/hyperlink" Target="https://www.cbd.int/doc/decisions/cop-10/cop-10-dec-02-ar.pdf" TargetMode="External"/><Relationship Id="rId14" Type="http://schemas.openxmlformats.org/officeDocument/2006/relationships/hyperlink" Target="https://www.cbd.int/doc/c/e36c/2553/863a73bd3015677df8f30506/sbstta-21-inf-18-en.pdf" TargetMode="External"/><Relationship Id="rId30" Type="http://schemas.openxmlformats.org/officeDocument/2006/relationships/hyperlink" Target="https://www.cbd.int/decisions/cop/?m=cop-13" TargetMode="External"/><Relationship Id="rId35" Type="http://schemas.openxmlformats.org/officeDocument/2006/relationships/hyperlink" Target="https://undocs.org/ar/A/71/644/Corr.1" TargetMode="External"/><Relationship Id="rId56" Type="http://schemas.openxmlformats.org/officeDocument/2006/relationships/hyperlink" Target="http://www.un.org/en/ga/search/view_doc.asp?symbol=A/RES/70/1&amp;referer=/english/&amp;Lang=A" TargetMode="External"/><Relationship Id="rId77" Type="http://schemas.openxmlformats.org/officeDocument/2006/relationships/hyperlink" Target="https://www.cbd.int/doc/decisions/cop-12/cop-12-dec-12-ar.pdf" TargetMode="External"/><Relationship Id="rId100" Type="http://schemas.openxmlformats.org/officeDocument/2006/relationships/hyperlink" Target="https://www.cbd.int/doc/meetings/tk/wg8j-08/official/wg8j-08-05-ar.pdf" TargetMode="External"/><Relationship Id="rId105" Type="http://schemas.openxmlformats.org/officeDocument/2006/relationships/hyperlink" Target="https://www.cbd.int/decision/cop/default.shtml?id=12308" TargetMode="External"/><Relationship Id="rId126" Type="http://schemas.openxmlformats.org/officeDocument/2006/relationships/hyperlink" Target="https://www.cbd.int/doc/decisions/cop-13/cop-13-dec-18-ar.doc" TargetMode="External"/><Relationship Id="rId147" Type="http://schemas.openxmlformats.org/officeDocument/2006/relationships/hyperlink" Target="https://www.cbd.int/doc/decisions/cop-12/cop-12-dec-03-ar.pdf" TargetMode="External"/><Relationship Id="rId8" Type="http://schemas.openxmlformats.org/officeDocument/2006/relationships/hyperlink" Target="https://www.cbd.int/gbo/gbo4/publication/lbo-en.pdf" TargetMode="External"/><Relationship Id="rId51" Type="http://schemas.openxmlformats.org/officeDocument/2006/relationships/hyperlink" Target="https://www.cbd.int/doc/meetings/sbstta/sbstta-20/information/sbstta-20-inf-46-en.pdf" TargetMode="External"/><Relationship Id="rId72" Type="http://schemas.openxmlformats.org/officeDocument/2006/relationships/hyperlink" Target="http://parksjournal.com/wp-content/uploads/2016/11/PARKS-22.2-Schreckenberg-et-al-10.2305IUCN.CH_.2016.PARKS-22-2KS.en_.pdf" TargetMode="External"/><Relationship Id="rId93" Type="http://schemas.openxmlformats.org/officeDocument/2006/relationships/hyperlink" Target="https://www.cbd.int/doc/meetings/cop/cop-08/official/cop-08-31-ar.pdf" TargetMode="External"/><Relationship Id="rId98" Type="http://schemas.openxmlformats.org/officeDocument/2006/relationships/hyperlink" Target="http://www.un.org/esa/socdev/unpfii/documents/DRIPS_ar.pdf" TargetMode="External"/><Relationship Id="rId121" Type="http://schemas.openxmlformats.org/officeDocument/2006/relationships/hyperlink" Target="https://www.cbd.int/doc/decisions/cop-07/cop-07-dec-16-en.pdf" TargetMode="External"/><Relationship Id="rId142" Type="http://schemas.openxmlformats.org/officeDocument/2006/relationships/hyperlink" Target="https://www.cbd.int/doc/decisions/cop-10/cop-10-dec-20-ar.pdf" TargetMode="External"/><Relationship Id="rId163" Type="http://schemas.openxmlformats.org/officeDocument/2006/relationships/hyperlink" Target="https://www.cbd.int/doc/c/05b3/3c25/2cc04a53ad3360ce1a1b940e/sbi-02-22-ar.pdf" TargetMode="External"/><Relationship Id="rId3" Type="http://schemas.openxmlformats.org/officeDocument/2006/relationships/hyperlink" Target="https://www.cbd.int/doc/c/e24a/347c/a8b84521f326b90a198b1601/sbi-02-02-add2-ar.pdf" TargetMode="External"/><Relationship Id="rId25" Type="http://schemas.openxmlformats.org/officeDocument/2006/relationships/hyperlink" Target="https://www.cbd.int/doc/c/72d6/b5bb/9244e977048688ec45735d2c/sbstta-21-04-ar.pdf" TargetMode="External"/><Relationship Id="rId46" Type="http://schemas.openxmlformats.org/officeDocument/2006/relationships/hyperlink" Target="http://www.apimondia.com/" TargetMode="External"/><Relationship Id="rId67" Type="http://schemas.openxmlformats.org/officeDocument/2006/relationships/hyperlink" Target="https://portals.iucn.org/library/sites/library/files/documents/PATRS-001.pdf" TargetMode="External"/><Relationship Id="rId116" Type="http://schemas.openxmlformats.org/officeDocument/2006/relationships/hyperlink" Target="http://www.un.org/esa/socdev/unpfii/documents/DRIPS_ar.pdf" TargetMode="External"/><Relationship Id="rId137" Type="http://schemas.openxmlformats.org/officeDocument/2006/relationships/hyperlink" Target="https://www.cbd.int/doc/decisions/cop-07/cop-07-dec-16-ar.pdf" TargetMode="External"/><Relationship Id="rId158" Type="http://schemas.openxmlformats.org/officeDocument/2006/relationships/hyperlink" Target="https://www.cbd.int/doc/decisions/cop-10/cop-10-dec-02-ar.pdf" TargetMode="External"/><Relationship Id="rId20" Type="http://schemas.openxmlformats.org/officeDocument/2006/relationships/hyperlink" Target="https://undocs.org/ar/A/RES/70/1" TargetMode="External"/><Relationship Id="rId41" Type="http://schemas.openxmlformats.org/officeDocument/2006/relationships/hyperlink" Target="http://randd.defra.gov.uk/Default.aspx?Module=More&amp;Location=None&amp;ProjectID=18016" TargetMode="External"/><Relationship Id="rId62" Type="http://schemas.openxmlformats.org/officeDocument/2006/relationships/hyperlink" Target="https://undocs.org/A/71/229" TargetMode="External"/><Relationship Id="rId83" Type="http://schemas.openxmlformats.org/officeDocument/2006/relationships/hyperlink" Target="http://www.fao.org/docrep/016/i2801e/i2801e.pdf" TargetMode="External"/><Relationship Id="rId88" Type="http://schemas.openxmlformats.org/officeDocument/2006/relationships/hyperlink" Target="http://undocs.org/A/RES/71/312" TargetMode="External"/><Relationship Id="rId111" Type="http://schemas.openxmlformats.org/officeDocument/2006/relationships/hyperlink" Target="https://www.cbd.int/doc/meetings/tk/wg8j-08/official/wg8j-08-05-ar.pdf" TargetMode="External"/><Relationship Id="rId132" Type="http://schemas.openxmlformats.org/officeDocument/2006/relationships/hyperlink" Target="http://www.un.org/esa/socdev/unpfii/documents/DRIPS_ar.pdf" TargetMode="External"/><Relationship Id="rId153" Type="http://schemas.openxmlformats.org/officeDocument/2006/relationships/hyperlink" Target="http://apps.who.int/gb/e/e_wha71.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2"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custT="1"/>
      <dgm:spPr>
        <a:xfrm>
          <a:off x="1243" y="0"/>
          <a:ext cx="1935314" cy="35147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spcAft>
              <a:spcPct val="35000"/>
            </a:spcAft>
          </a:pPr>
          <a:endParaRPr lang="en-CA" sz="10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en-CA" sz="10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10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14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ts val="588"/>
            </a:spcAft>
          </a:pPr>
          <a:r>
            <a:rPr lang="ar-EG" sz="1400">
              <a:solidFill>
                <a:sysClr val="window" lastClr="FFFFFF"/>
              </a:solidFill>
              <a:latin typeface="Simplified Arabic" panose="02020603050405020304" pitchFamily="18" charset="-78"/>
              <a:ea typeface="+mn-ea"/>
              <a:cs typeface="Simplified Arabic" panose="02020603050405020304" pitchFamily="18" charset="-78"/>
            </a:rPr>
            <a:t>تعزيز تنفيذ النُهج القائمة على النظم الإيكولوجية</a:t>
          </a:r>
          <a:endParaRPr lang="en-CA" sz="1400">
            <a:solidFill>
              <a:sysClr val="window" lastClr="FFFFFF"/>
            </a:solidFill>
            <a:latin typeface="Simplified Arabic" panose="02020603050405020304" pitchFamily="18" charset="-78"/>
            <a:ea typeface="+mn-ea"/>
            <a:cs typeface="Simplified Arabic" panose="02020603050405020304" pitchFamily="18" charset="-78"/>
          </a:endParaRP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27C935EF-1D93-4E70-907F-7A74D345A045}">
      <dgm:prSet phldrT="[Text]" custT="1"/>
      <dgm:spPr>
        <a:xfrm>
          <a:off x="1994617" y="0"/>
          <a:ext cx="1935314" cy="35147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spcAft>
              <a:spcPct val="35000"/>
            </a:spcAft>
          </a:pPr>
          <a:endParaRPr lang="en-CA"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en-CA"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ct val="35000"/>
            </a:spcAft>
          </a:pPr>
          <a:endParaRPr lang="ar-EG" sz="6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ts val="588"/>
            </a:spcAft>
          </a:pPr>
          <a:endParaRPr lang="ar-EG" sz="8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ts val="588"/>
            </a:spcAft>
          </a:pPr>
          <a:endParaRPr lang="ar-EG" sz="900">
            <a:solidFill>
              <a:sysClr val="window" lastClr="FFFFFF"/>
            </a:solidFill>
            <a:latin typeface="Simplified Arabic" panose="02020603050405020304" pitchFamily="18" charset="-78"/>
            <a:ea typeface="+mn-ea"/>
            <a:cs typeface="Simplified Arabic" panose="02020603050405020304" pitchFamily="18" charset="-78"/>
          </a:endParaRPr>
        </a:p>
        <a:p>
          <a:pPr rtl="1">
            <a:spcAft>
              <a:spcPts val="588"/>
            </a:spcAft>
          </a:pPr>
          <a:r>
            <a:rPr lang="ar-EG" sz="900">
              <a:solidFill>
                <a:sysClr val="window" lastClr="FFFFFF"/>
              </a:solidFill>
              <a:latin typeface="Simplified Arabic" panose="02020603050405020304" pitchFamily="18" charset="-78"/>
              <a:ea typeface="+mn-ea"/>
              <a:cs typeface="Simplified Arabic" panose="02020603050405020304" pitchFamily="18" charset="-78"/>
            </a:rPr>
            <a:t>تعميم النُهج القائمة على النظم الإيكولوجية بشأن التكيف مع تغير المناخ والحد من مخاطر الكوارث في العمليات المتعلقة بالسياسات والتخطيط</a:t>
          </a:r>
          <a:endParaRPr lang="en-CA" sz="900">
            <a:solidFill>
              <a:sysClr val="window" lastClr="FFFFFF"/>
            </a:solidFill>
            <a:latin typeface="Simplified Arabic" panose="02020603050405020304" pitchFamily="18" charset="-78"/>
            <a:ea typeface="+mn-ea"/>
            <a:cs typeface="Simplified Arabic" panose="02020603050405020304" pitchFamily="18" charset="-78"/>
          </a:endParaRPr>
        </a:p>
      </dgm:t>
    </dgm:pt>
    <dgm:pt modelId="{67A47467-1FE5-4B47-B9BF-9DD8E70BF506}" type="parTrans" cxnId="{DF395850-51FB-4B95-A079-9B05C109F215}">
      <dgm:prSet/>
      <dgm:spPr/>
      <dgm:t>
        <a:bodyPr/>
        <a:lstStyle/>
        <a:p>
          <a:endParaRPr lang="en-CA"/>
        </a:p>
      </dgm:t>
    </dgm:pt>
    <dgm:pt modelId="{805CBCC6-4DA2-478A-BE55-2B6EA5A3BD8E}" type="sibTrans" cxnId="{DF395850-51FB-4B95-A079-9B05C109F215}">
      <dgm:prSet/>
      <dgm:spPr/>
      <dgm:t>
        <a:bodyPr/>
        <a:lstStyle/>
        <a:p>
          <a:endParaRPr lang="en-CA"/>
        </a:p>
      </dgm:t>
    </dgm:pt>
    <dgm:pt modelId="{ADE5642F-8019-4453-AA0F-F1D5B2F3FCE2}">
      <dgm:prSet phldrT="[Text]" custT="1"/>
      <dgm:spPr>
        <a:xfrm>
          <a:off x="3987991" y="0"/>
          <a:ext cx="1935314" cy="35147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endParaRPr lang="en-CA" sz="1100">
            <a:solidFill>
              <a:sysClr val="window" lastClr="FFFFFF"/>
            </a:solidFill>
            <a:latin typeface="Simplified Arabic" panose="02020603050405020304" pitchFamily="18" charset="-78"/>
            <a:ea typeface="+mn-ea"/>
            <a:cs typeface="Simplified Arabic" panose="02020603050405020304" pitchFamily="18" charset="-78"/>
          </a:endParaRPr>
        </a:p>
        <a:p>
          <a:pPr rtl="1"/>
          <a:endParaRPr lang="en-CA" sz="1100">
            <a:solidFill>
              <a:sysClr val="window" lastClr="FFFFFF"/>
            </a:solidFill>
            <a:latin typeface="Simplified Arabic" panose="02020603050405020304" pitchFamily="18" charset="-78"/>
            <a:ea typeface="+mn-ea"/>
            <a:cs typeface="Simplified Arabic" panose="02020603050405020304" pitchFamily="18" charset="-78"/>
          </a:endParaRPr>
        </a:p>
        <a:p>
          <a:pPr rtl="1"/>
          <a:endParaRPr lang="ar-EG" sz="1400">
            <a:solidFill>
              <a:sysClr val="window" lastClr="FFFFFF"/>
            </a:solidFill>
            <a:latin typeface="Simplified Arabic" panose="02020603050405020304" pitchFamily="18" charset="-78"/>
            <a:ea typeface="+mn-ea"/>
            <a:cs typeface="Simplified Arabic" panose="02020603050405020304" pitchFamily="18" charset="-78"/>
          </a:endParaRPr>
        </a:p>
        <a:p>
          <a:pPr rtl="1"/>
          <a:endParaRPr lang="ar-EG" sz="1400">
            <a:solidFill>
              <a:sysClr val="window" lastClr="FFFFFF"/>
            </a:solidFill>
            <a:latin typeface="Simplified Arabic" panose="02020603050405020304" pitchFamily="18" charset="-78"/>
            <a:ea typeface="+mn-ea"/>
            <a:cs typeface="Simplified Arabic" panose="02020603050405020304" pitchFamily="18" charset="-78"/>
          </a:endParaRPr>
        </a:p>
        <a:p>
          <a:pPr rtl="1"/>
          <a:r>
            <a:rPr lang="ar-EG" sz="1400">
              <a:solidFill>
                <a:sysClr val="window" lastClr="FFFFFF"/>
              </a:solidFill>
              <a:latin typeface="Simplified Arabic" panose="02020603050405020304" pitchFamily="18" charset="-78"/>
              <a:ea typeface="+mn-ea"/>
              <a:cs typeface="Simplified Arabic" panose="02020603050405020304" pitchFamily="18" charset="-78"/>
            </a:rPr>
            <a:t>إيجاد نقاط الانطلاق وإثبات الحالة</a:t>
          </a:r>
          <a:endParaRPr lang="en-CA" sz="1400">
            <a:solidFill>
              <a:sysClr val="window" lastClr="FFFFFF"/>
            </a:solidFill>
            <a:latin typeface="Simplified Arabic" panose="02020603050405020304" pitchFamily="18" charset="-78"/>
            <a:ea typeface="+mn-ea"/>
            <a:cs typeface="Simplified Arabic" panose="02020603050405020304" pitchFamily="18" charset="-78"/>
          </a:endParaRP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t>
        <a:bodyPr/>
        <a:lstStyle/>
        <a:p>
          <a:endParaRPr lang="en-US"/>
        </a:p>
      </dgm:t>
    </dgm:pt>
    <dgm:pt modelId="{68B45C9E-BD37-484B-83EC-DCAB0A68FBDA}" type="pres">
      <dgm:prSet presAssocID="{BE80E99A-06BF-4B08-BE1C-B8D50BA3BFE9}" presName="fgShape" presStyleLbl="fgShp" presStyleIdx="0" presStyleCnt="1" custLinFactNeighborX="-140" custLinFactNeighborY="26106"/>
      <dgm:spPr>
        <a:xfrm>
          <a:off x="229351" y="2949413"/>
          <a:ext cx="5450586" cy="527208"/>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dgm:spPr>
        <a:prstGeom prst="roundRect">
          <a:avLst>
            <a:gd name="adj" fmla="val 10000"/>
          </a:avLst>
        </a:prstGeom>
      </dgm:spPr>
      <dgm:t>
        <a:bodyPr/>
        <a:lstStyle/>
        <a:p>
          <a:endParaRPr lang="en-US"/>
        </a:p>
      </dgm:t>
    </dgm:pt>
    <dgm:pt modelId="{2BEED4DF-C0C8-4A3F-9C2E-05AA2513F8B4}" type="pres">
      <dgm:prSet presAssocID="{68460846-3425-4814-AC22-29512B352963}" presName="nodeTx" presStyleLbl="node1" presStyleIdx="0" presStyleCnt="3">
        <dgm:presLayoutVars>
          <dgm:bulletEnabled val="1"/>
        </dgm:presLayoutVars>
      </dgm:prSet>
      <dgm:spPr/>
      <dgm:t>
        <a:bodyPr/>
        <a:lstStyle/>
        <a:p>
          <a:endParaRPr lang="en-US"/>
        </a:p>
      </dgm:t>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a:xfrm>
          <a:off x="383699" y="210883"/>
          <a:ext cx="1170403" cy="117040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E578E4-7A65-48CC-A5FD-FBCFB453D1A7}" type="pres">
      <dgm:prSet presAssocID="{334DCF7E-4529-45CD-AB1A-B7C2324E3062}" presName="sibTrans" presStyleLbl="sibTrans2D1" presStyleIdx="0" presStyleCnt="0"/>
      <dgm:spPr/>
      <dgm:t>
        <a:bodyPr/>
        <a:lstStyle/>
        <a:p>
          <a:endParaRPr lang="en-US"/>
        </a:p>
      </dgm:t>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dgm:spPr>
        <a:prstGeom prst="roundRect">
          <a:avLst>
            <a:gd name="adj" fmla="val 10000"/>
          </a:avLst>
        </a:prstGeom>
      </dgm:spPr>
      <dgm:t>
        <a:bodyPr/>
        <a:lstStyle/>
        <a:p>
          <a:endParaRPr lang="en-US"/>
        </a:p>
      </dgm:t>
    </dgm:pt>
    <dgm:pt modelId="{4B1D61F5-6DB4-4FD7-934D-B1F8EE3A842B}" type="pres">
      <dgm:prSet presAssocID="{27C935EF-1D93-4E70-907F-7A74D345A045}" presName="nodeTx" presStyleLbl="node1" presStyleIdx="1" presStyleCnt="3">
        <dgm:presLayoutVars>
          <dgm:bulletEnabled val="1"/>
        </dgm:presLayoutVars>
      </dgm:prSet>
      <dgm:spPr/>
      <dgm:t>
        <a:bodyPr/>
        <a:lstStyle/>
        <a:p>
          <a:endParaRPr lang="en-US"/>
        </a:p>
      </dgm:t>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a:xfrm>
          <a:off x="2377073" y="210883"/>
          <a:ext cx="1170403" cy="117040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D904210-8F9A-45B0-92B7-28AE67ABBC55}" type="pres">
      <dgm:prSet presAssocID="{805CBCC6-4DA2-478A-BE55-2B6EA5A3BD8E}" presName="sibTrans" presStyleLbl="sibTrans2D1" presStyleIdx="0" presStyleCnt="0"/>
      <dgm:spPr/>
      <dgm:t>
        <a:bodyPr/>
        <a:lstStyle/>
        <a:p>
          <a:endParaRPr lang="en-US"/>
        </a:p>
      </dgm:t>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custLinFactNeighborX="64"/>
      <dgm:spPr>
        <a:prstGeom prst="roundRect">
          <a:avLst>
            <a:gd name="adj" fmla="val 10000"/>
          </a:avLst>
        </a:prstGeom>
      </dgm:spPr>
      <dgm:t>
        <a:bodyPr/>
        <a:lstStyle/>
        <a:p>
          <a:endParaRPr lang="en-US"/>
        </a:p>
      </dgm:t>
    </dgm:pt>
    <dgm:pt modelId="{7CF0F336-7ABC-49F3-8EB5-F3A6D3D057D9}" type="pres">
      <dgm:prSet presAssocID="{ADE5642F-8019-4453-AA0F-F1D5B2F3FCE2}" presName="nodeTx" presStyleLbl="node1" presStyleIdx="2" presStyleCnt="3">
        <dgm:presLayoutVars>
          <dgm:bulletEnabled val="1"/>
        </dgm:presLayoutVars>
      </dgm:prSet>
      <dgm:spPr/>
      <dgm:t>
        <a:bodyPr/>
        <a:lstStyle/>
        <a:p>
          <a:endParaRPr lang="en-US"/>
        </a:p>
      </dgm:t>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a:xfrm>
          <a:off x="4370447" y="210883"/>
          <a:ext cx="1170403" cy="117040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14FA6337-7ACB-46F5-A0F4-845433008CDA}" type="presOf" srcId="{805CBCC6-4DA2-478A-BE55-2B6EA5A3BD8E}" destId="{5D904210-8F9A-45B0-92B7-28AE67ABBC55}" srcOrd="0" destOrd="0" presId="urn:microsoft.com/office/officeart/2005/8/layout/hList7#2"/>
    <dgm:cxn modelId="{69ABDFE7-63B1-440F-B075-4E769A8D50D4}" type="presOf" srcId="{68460846-3425-4814-AC22-29512B352963}" destId="{E2BC27F1-29D4-48B6-A737-AAA806A314C7}" srcOrd="0" destOrd="0" presId="urn:microsoft.com/office/officeart/2005/8/layout/hList7#2"/>
    <dgm:cxn modelId="{6AE1774F-CA49-477E-9425-07F9860DC86C}" type="presOf" srcId="{ADE5642F-8019-4453-AA0F-F1D5B2F3FCE2}" destId="{48754E01-CB17-4C4D-A139-D82CADDFE0C9}" srcOrd="0" destOrd="0" presId="urn:microsoft.com/office/officeart/2005/8/layout/hList7#2"/>
    <dgm:cxn modelId="{626795B6-6F85-43F3-B5DE-72C8767E06DA}" type="presOf" srcId="{BE80E99A-06BF-4B08-BE1C-B8D50BA3BFE9}" destId="{F0802D41-6CD7-4879-B45B-2A626EC3907D}" srcOrd="0" destOrd="0" presId="urn:microsoft.com/office/officeart/2005/8/layout/hList7#2"/>
    <dgm:cxn modelId="{A2B819AD-F3F2-4AC2-A03B-45CB9D512445}" srcId="{BE80E99A-06BF-4B08-BE1C-B8D50BA3BFE9}" destId="{ADE5642F-8019-4453-AA0F-F1D5B2F3FCE2}" srcOrd="2" destOrd="0" parTransId="{CC618C16-EACC-4F10-A91D-BCE2EB4C0E93}" sibTransId="{32EAFCC9-4A27-4829-B7EB-E1C743D6F4B5}"/>
    <dgm:cxn modelId="{6082128D-4894-41B4-B145-5682C7855C5E}" type="presOf" srcId="{68460846-3425-4814-AC22-29512B352963}" destId="{2BEED4DF-C0C8-4A3F-9C2E-05AA2513F8B4}" srcOrd="1" destOrd="0" presId="urn:microsoft.com/office/officeart/2005/8/layout/hList7#2"/>
    <dgm:cxn modelId="{F2FF956E-9087-418D-8A01-F4B938E5C24C}" type="presOf" srcId="{27C935EF-1D93-4E70-907F-7A74D345A045}" destId="{4B1D61F5-6DB4-4FD7-934D-B1F8EE3A842B}" srcOrd="1" destOrd="0" presId="urn:microsoft.com/office/officeart/2005/8/layout/hList7#2"/>
    <dgm:cxn modelId="{94C84E74-5D37-45ED-A411-683C46A3880F}" type="presOf" srcId="{334DCF7E-4529-45CD-AB1A-B7C2324E3062}" destId="{BCE578E4-7A65-48CC-A5FD-FBCFB453D1A7}" srcOrd="0" destOrd="0" presId="urn:microsoft.com/office/officeart/2005/8/layout/hList7#2"/>
    <dgm:cxn modelId="{DF395850-51FB-4B95-A079-9B05C109F215}" srcId="{BE80E99A-06BF-4B08-BE1C-B8D50BA3BFE9}" destId="{27C935EF-1D93-4E70-907F-7A74D345A045}" srcOrd="1" destOrd="0" parTransId="{67A47467-1FE5-4B47-B9BF-9DD8E70BF506}" sibTransId="{805CBCC6-4DA2-478A-BE55-2B6EA5A3BD8E}"/>
    <dgm:cxn modelId="{E9487113-532D-4E1F-AB1F-568B5F2D7074}" type="presOf" srcId="{ADE5642F-8019-4453-AA0F-F1D5B2F3FCE2}" destId="{7CF0F336-7ABC-49F3-8EB5-F3A6D3D057D9}" srcOrd="1" destOrd="0" presId="urn:microsoft.com/office/officeart/2005/8/layout/hList7#2"/>
    <dgm:cxn modelId="{0D31AA72-DC81-4CC6-B1AF-DBEC01383DCD}" type="presOf" srcId="{27C935EF-1D93-4E70-907F-7A74D345A045}" destId="{A3132895-84B2-44CB-9AC8-67F734E85834}" srcOrd="0" destOrd="0" presId="urn:microsoft.com/office/officeart/2005/8/layout/hList7#2"/>
    <dgm:cxn modelId="{64DAC741-2457-4960-AE60-8809EE13A5DC}" srcId="{BE80E99A-06BF-4B08-BE1C-B8D50BA3BFE9}" destId="{68460846-3425-4814-AC22-29512B352963}" srcOrd="0" destOrd="0" parTransId="{6E8F72D7-783D-49A7-AB1F-8B8CDCB239B8}" sibTransId="{334DCF7E-4529-45CD-AB1A-B7C2324E3062}"/>
    <dgm:cxn modelId="{BFDC9A35-A0AD-4957-A33F-7A681D484370}" type="presParOf" srcId="{F0802D41-6CD7-4879-B45B-2A626EC3907D}" destId="{68B45C9E-BD37-484B-83EC-DCAB0A68FBDA}" srcOrd="0" destOrd="0" presId="urn:microsoft.com/office/officeart/2005/8/layout/hList7#2"/>
    <dgm:cxn modelId="{E93C3512-8499-49C7-89A1-0970F9A6F02C}" type="presParOf" srcId="{F0802D41-6CD7-4879-B45B-2A626EC3907D}" destId="{10E13CA2-BBDD-4541-ABBB-8DB6D56BAAE6}" srcOrd="1" destOrd="0" presId="urn:microsoft.com/office/officeart/2005/8/layout/hList7#2"/>
    <dgm:cxn modelId="{F96E00D6-FA8F-4A44-BE4A-B843B9454C26}" type="presParOf" srcId="{10E13CA2-BBDD-4541-ABBB-8DB6D56BAAE6}" destId="{FAF6EF2C-50B7-444A-B14B-8514D1AA7CF0}" srcOrd="0" destOrd="0" presId="urn:microsoft.com/office/officeart/2005/8/layout/hList7#2"/>
    <dgm:cxn modelId="{49B2FAC6-FD8D-45D3-B996-A03893E5F06F}" type="presParOf" srcId="{FAF6EF2C-50B7-444A-B14B-8514D1AA7CF0}" destId="{E2BC27F1-29D4-48B6-A737-AAA806A314C7}" srcOrd="0" destOrd="0" presId="urn:microsoft.com/office/officeart/2005/8/layout/hList7#2"/>
    <dgm:cxn modelId="{22FFB973-1D18-4336-9CA4-2A3A222065AF}" type="presParOf" srcId="{FAF6EF2C-50B7-444A-B14B-8514D1AA7CF0}" destId="{2BEED4DF-C0C8-4A3F-9C2E-05AA2513F8B4}" srcOrd="1" destOrd="0" presId="urn:microsoft.com/office/officeart/2005/8/layout/hList7#2"/>
    <dgm:cxn modelId="{1DCBF98B-2516-432E-8F20-38B49B8E1CD1}" type="presParOf" srcId="{FAF6EF2C-50B7-444A-B14B-8514D1AA7CF0}" destId="{DE761EC6-67C6-4699-8858-5208BE2FF19F}" srcOrd="2" destOrd="0" presId="urn:microsoft.com/office/officeart/2005/8/layout/hList7#2"/>
    <dgm:cxn modelId="{89EE4D52-4B3C-49B9-901B-F83B341B1C5B}" type="presParOf" srcId="{FAF6EF2C-50B7-444A-B14B-8514D1AA7CF0}" destId="{74F23E52-E5F7-4FAE-834A-549E0BD08423}" srcOrd="3" destOrd="0" presId="urn:microsoft.com/office/officeart/2005/8/layout/hList7#2"/>
    <dgm:cxn modelId="{DA895316-EEB1-4D48-B210-F66F888CF4C3}" type="presParOf" srcId="{10E13CA2-BBDD-4541-ABBB-8DB6D56BAAE6}" destId="{BCE578E4-7A65-48CC-A5FD-FBCFB453D1A7}" srcOrd="1" destOrd="0" presId="urn:microsoft.com/office/officeart/2005/8/layout/hList7#2"/>
    <dgm:cxn modelId="{2D6F9535-A52E-4C6C-AEB7-5927DC3B2D6E}" type="presParOf" srcId="{10E13CA2-BBDD-4541-ABBB-8DB6D56BAAE6}" destId="{435A4640-EC76-443F-A20F-72EDE613F9B1}" srcOrd="2" destOrd="0" presId="urn:microsoft.com/office/officeart/2005/8/layout/hList7#2"/>
    <dgm:cxn modelId="{CAA10EEC-8A2C-4B1F-B616-AFC190BD5EEA}" type="presParOf" srcId="{435A4640-EC76-443F-A20F-72EDE613F9B1}" destId="{A3132895-84B2-44CB-9AC8-67F734E85834}" srcOrd="0" destOrd="0" presId="urn:microsoft.com/office/officeart/2005/8/layout/hList7#2"/>
    <dgm:cxn modelId="{8EBAF0BA-016C-4A53-9784-7435C0C7F16D}" type="presParOf" srcId="{435A4640-EC76-443F-A20F-72EDE613F9B1}" destId="{4B1D61F5-6DB4-4FD7-934D-B1F8EE3A842B}" srcOrd="1" destOrd="0" presId="urn:microsoft.com/office/officeart/2005/8/layout/hList7#2"/>
    <dgm:cxn modelId="{F12A1184-6D39-4A6E-B9F6-04F64D55CFC5}" type="presParOf" srcId="{435A4640-EC76-443F-A20F-72EDE613F9B1}" destId="{AB84A371-13EE-4546-8121-F5C6BBF94FFB}" srcOrd="2" destOrd="0" presId="urn:microsoft.com/office/officeart/2005/8/layout/hList7#2"/>
    <dgm:cxn modelId="{7A97436A-313A-4C53-A9CC-1DFD2A35836F}" type="presParOf" srcId="{435A4640-EC76-443F-A20F-72EDE613F9B1}" destId="{1F467492-0576-42B7-B70A-F6A6F76DAA16}" srcOrd="3" destOrd="0" presId="urn:microsoft.com/office/officeart/2005/8/layout/hList7#2"/>
    <dgm:cxn modelId="{514521FE-FEA2-42A6-BA8A-91527304A9F1}" type="presParOf" srcId="{10E13CA2-BBDD-4541-ABBB-8DB6D56BAAE6}" destId="{5D904210-8F9A-45B0-92B7-28AE67ABBC55}" srcOrd="3" destOrd="0" presId="urn:microsoft.com/office/officeart/2005/8/layout/hList7#2"/>
    <dgm:cxn modelId="{A5BD6C50-3E69-42A5-8EEC-2A58F4487522}" type="presParOf" srcId="{10E13CA2-BBDD-4541-ABBB-8DB6D56BAAE6}" destId="{93C67694-CA72-47D2-8262-1E1894C66384}" srcOrd="4" destOrd="0" presId="urn:microsoft.com/office/officeart/2005/8/layout/hList7#2"/>
    <dgm:cxn modelId="{4ACC1264-4717-47A4-AF9F-B2BF83783E8C}" type="presParOf" srcId="{93C67694-CA72-47D2-8262-1E1894C66384}" destId="{48754E01-CB17-4C4D-A139-D82CADDFE0C9}" srcOrd="0" destOrd="0" presId="urn:microsoft.com/office/officeart/2005/8/layout/hList7#2"/>
    <dgm:cxn modelId="{CB07598D-1B32-4E51-A195-1BA2C33E91A2}" type="presParOf" srcId="{93C67694-CA72-47D2-8262-1E1894C66384}" destId="{7CF0F336-7ABC-49F3-8EB5-F3A6D3D057D9}" srcOrd="1" destOrd="0" presId="urn:microsoft.com/office/officeart/2005/8/layout/hList7#2"/>
    <dgm:cxn modelId="{6712545E-37EA-4403-9B4E-B8A5CF20C783}" type="presParOf" srcId="{93C67694-CA72-47D2-8262-1E1894C66384}" destId="{38E1716B-7F13-46F1-9DB0-AD0CC96EC8B8}" srcOrd="2" destOrd="0" presId="urn:microsoft.com/office/officeart/2005/8/layout/hList7#2"/>
    <dgm:cxn modelId="{1803E6D5-B062-4C3D-8382-805567E88C9F}" type="presParOf" srcId="{93C67694-CA72-47D2-8262-1E1894C66384}" destId="{988788B5-B98B-415A-9FDA-788C3B1582B9}" srcOrd="3" destOrd="0" presId="urn:microsoft.com/office/officeart/2005/8/layout/hList7#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BC27F1-29D4-48B6-A737-AAA806A314C7}">
      <dsp:nvSpPr>
        <dsp:cNvPr id="0" name=""/>
        <dsp:cNvSpPr/>
      </dsp:nvSpPr>
      <dsp:spPr>
        <a:xfrm>
          <a:off x="1244" y="0"/>
          <a:ext cx="1935729" cy="35128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rtl="1">
            <a:lnSpc>
              <a:spcPct val="90000"/>
            </a:lnSpc>
            <a:spcBef>
              <a:spcPct val="0"/>
            </a:spcBef>
            <a:spcAft>
              <a:spcPct val="35000"/>
            </a:spcAft>
          </a:pPr>
          <a:endParaRPr lang="en-CA" sz="10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44500" rtl="1">
            <a:lnSpc>
              <a:spcPct val="90000"/>
            </a:lnSpc>
            <a:spcBef>
              <a:spcPct val="0"/>
            </a:spcBef>
            <a:spcAft>
              <a:spcPct val="35000"/>
            </a:spcAft>
          </a:pPr>
          <a:endParaRPr lang="en-CA" sz="10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44500" rtl="1">
            <a:lnSpc>
              <a:spcPct val="90000"/>
            </a:lnSpc>
            <a:spcBef>
              <a:spcPct val="0"/>
            </a:spcBef>
            <a:spcAft>
              <a:spcPct val="35000"/>
            </a:spcAft>
          </a:pPr>
          <a:endParaRPr lang="ar-EG" sz="10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44500" rtl="1">
            <a:lnSpc>
              <a:spcPct val="90000"/>
            </a:lnSpc>
            <a:spcBef>
              <a:spcPct val="0"/>
            </a:spcBef>
            <a:spcAft>
              <a:spcPct val="35000"/>
            </a:spcAft>
          </a:pPr>
          <a:endParaRPr lang="ar-EG" sz="14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44500" rtl="1">
            <a:lnSpc>
              <a:spcPct val="90000"/>
            </a:lnSpc>
            <a:spcBef>
              <a:spcPct val="0"/>
            </a:spcBef>
            <a:spcAft>
              <a:spcPts val="588"/>
            </a:spcAft>
          </a:pPr>
          <a:r>
            <a:rPr lang="ar-EG" sz="1400" kern="1200">
              <a:solidFill>
                <a:sysClr val="window" lastClr="FFFFFF"/>
              </a:solidFill>
              <a:latin typeface="Simplified Arabic" panose="02020603050405020304" pitchFamily="18" charset="-78"/>
              <a:ea typeface="+mn-ea"/>
              <a:cs typeface="Simplified Arabic" panose="02020603050405020304" pitchFamily="18" charset="-78"/>
            </a:rPr>
            <a:t>تعزيز تنفيذ النُهج القائمة على النظم الإيكولوجية</a:t>
          </a:r>
          <a:endParaRPr lang="en-CA" sz="1400" kern="1200">
            <a:solidFill>
              <a:sysClr val="window" lastClr="FFFFFF"/>
            </a:solidFill>
            <a:latin typeface="Simplified Arabic" panose="02020603050405020304" pitchFamily="18" charset="-78"/>
            <a:ea typeface="+mn-ea"/>
            <a:cs typeface="Simplified Arabic" panose="02020603050405020304" pitchFamily="18" charset="-78"/>
          </a:endParaRPr>
        </a:p>
      </dsp:txBody>
      <dsp:txXfrm>
        <a:off x="1244" y="1405128"/>
        <a:ext cx="1935729" cy="1405128"/>
      </dsp:txXfrm>
    </dsp:sp>
    <dsp:sp modelId="{74F23E52-E5F7-4FAE-834A-549E0BD08423}">
      <dsp:nvSpPr>
        <dsp:cNvPr id="0" name=""/>
        <dsp:cNvSpPr/>
      </dsp:nvSpPr>
      <dsp:spPr>
        <a:xfrm>
          <a:off x="384224" y="210769"/>
          <a:ext cx="1169769" cy="1169769"/>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1995045" y="0"/>
          <a:ext cx="1935729" cy="35128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rtl="1">
            <a:lnSpc>
              <a:spcPct val="90000"/>
            </a:lnSpc>
            <a:spcBef>
              <a:spcPct val="0"/>
            </a:spcBef>
            <a:spcAft>
              <a:spcPct val="35000"/>
            </a:spcAft>
          </a:pPr>
          <a:endParaRPr lang="en-CA"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ct val="35000"/>
            </a:spcAft>
          </a:pPr>
          <a:endParaRPr lang="en-CA"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ct val="35000"/>
            </a:spcAft>
          </a:pPr>
          <a:endParaRPr lang="ar-EG"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ct val="35000"/>
            </a:spcAft>
          </a:pPr>
          <a:endParaRPr lang="ar-EG"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ct val="35000"/>
            </a:spcAft>
          </a:pPr>
          <a:endParaRPr lang="ar-EG"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ct val="35000"/>
            </a:spcAft>
          </a:pPr>
          <a:endParaRPr lang="ar-EG" sz="6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ts val="588"/>
            </a:spcAft>
          </a:pPr>
          <a:endParaRPr lang="ar-EG" sz="8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ts val="588"/>
            </a:spcAft>
          </a:pPr>
          <a:endParaRPr lang="ar-EG" sz="9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266700" rtl="1">
            <a:lnSpc>
              <a:spcPct val="90000"/>
            </a:lnSpc>
            <a:spcBef>
              <a:spcPct val="0"/>
            </a:spcBef>
            <a:spcAft>
              <a:spcPts val="588"/>
            </a:spcAft>
          </a:pPr>
          <a:r>
            <a:rPr lang="ar-EG" sz="900" kern="1200">
              <a:solidFill>
                <a:sysClr val="window" lastClr="FFFFFF"/>
              </a:solidFill>
              <a:latin typeface="Simplified Arabic" panose="02020603050405020304" pitchFamily="18" charset="-78"/>
              <a:ea typeface="+mn-ea"/>
              <a:cs typeface="Simplified Arabic" panose="02020603050405020304" pitchFamily="18" charset="-78"/>
            </a:rPr>
            <a:t>تعميم النُهج القائمة على النظم الإيكولوجية بشأن التكيف مع تغير المناخ والحد من مخاطر الكوارث في العمليات المتعلقة بالسياسات والتخطيط</a:t>
          </a:r>
          <a:endParaRPr lang="en-CA" sz="900" kern="1200">
            <a:solidFill>
              <a:sysClr val="window" lastClr="FFFFFF"/>
            </a:solidFill>
            <a:latin typeface="Simplified Arabic" panose="02020603050405020304" pitchFamily="18" charset="-78"/>
            <a:ea typeface="+mn-ea"/>
            <a:cs typeface="Simplified Arabic" panose="02020603050405020304" pitchFamily="18" charset="-78"/>
          </a:endParaRPr>
        </a:p>
      </dsp:txBody>
      <dsp:txXfrm>
        <a:off x="1995045" y="1405128"/>
        <a:ext cx="1935729" cy="1405128"/>
      </dsp:txXfrm>
    </dsp:sp>
    <dsp:sp modelId="{1F467492-0576-42B7-B70A-F6A6F76DAA16}">
      <dsp:nvSpPr>
        <dsp:cNvPr id="0" name=""/>
        <dsp:cNvSpPr/>
      </dsp:nvSpPr>
      <dsp:spPr>
        <a:xfrm>
          <a:off x="2378025" y="210769"/>
          <a:ext cx="1169769" cy="1169769"/>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90085" y="0"/>
          <a:ext cx="1935729" cy="35128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endParaRPr lang="en-CA" sz="11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88950" rtl="1">
            <a:lnSpc>
              <a:spcPct val="90000"/>
            </a:lnSpc>
            <a:spcBef>
              <a:spcPct val="0"/>
            </a:spcBef>
            <a:spcAft>
              <a:spcPct val="35000"/>
            </a:spcAft>
          </a:pPr>
          <a:endParaRPr lang="en-CA" sz="11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88950" rtl="1">
            <a:lnSpc>
              <a:spcPct val="90000"/>
            </a:lnSpc>
            <a:spcBef>
              <a:spcPct val="0"/>
            </a:spcBef>
            <a:spcAft>
              <a:spcPct val="35000"/>
            </a:spcAft>
          </a:pPr>
          <a:endParaRPr lang="ar-EG" sz="14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88950" rtl="1">
            <a:lnSpc>
              <a:spcPct val="90000"/>
            </a:lnSpc>
            <a:spcBef>
              <a:spcPct val="0"/>
            </a:spcBef>
            <a:spcAft>
              <a:spcPct val="35000"/>
            </a:spcAft>
          </a:pPr>
          <a:endParaRPr lang="ar-EG" sz="1400" kern="1200">
            <a:solidFill>
              <a:sysClr val="window" lastClr="FFFFFF"/>
            </a:solidFill>
            <a:latin typeface="Simplified Arabic" panose="02020603050405020304" pitchFamily="18" charset="-78"/>
            <a:ea typeface="+mn-ea"/>
            <a:cs typeface="Simplified Arabic" panose="02020603050405020304" pitchFamily="18" charset="-78"/>
          </a:endParaRPr>
        </a:p>
        <a:p>
          <a:pPr lvl="0" algn="ctr" defTabSz="488950" rtl="1">
            <a:lnSpc>
              <a:spcPct val="90000"/>
            </a:lnSpc>
            <a:spcBef>
              <a:spcPct val="0"/>
            </a:spcBef>
            <a:spcAft>
              <a:spcPct val="35000"/>
            </a:spcAft>
          </a:pPr>
          <a:r>
            <a:rPr lang="ar-EG" sz="1400" kern="1200">
              <a:solidFill>
                <a:sysClr val="window" lastClr="FFFFFF"/>
              </a:solidFill>
              <a:latin typeface="Simplified Arabic" panose="02020603050405020304" pitchFamily="18" charset="-78"/>
              <a:ea typeface="+mn-ea"/>
              <a:cs typeface="Simplified Arabic" panose="02020603050405020304" pitchFamily="18" charset="-78"/>
            </a:rPr>
            <a:t>إيجاد نقاط الانطلاق وإثبات الحالة</a:t>
          </a:r>
          <a:endParaRPr lang="en-CA" sz="1400" kern="1200">
            <a:solidFill>
              <a:sysClr val="window" lastClr="FFFFFF"/>
            </a:solidFill>
            <a:latin typeface="Simplified Arabic" panose="02020603050405020304" pitchFamily="18" charset="-78"/>
            <a:ea typeface="+mn-ea"/>
            <a:cs typeface="Simplified Arabic" panose="02020603050405020304" pitchFamily="18" charset="-78"/>
          </a:endParaRPr>
        </a:p>
      </dsp:txBody>
      <dsp:txXfrm>
        <a:off x="3990085" y="1405128"/>
        <a:ext cx="1935729" cy="1405128"/>
      </dsp:txXfrm>
    </dsp:sp>
    <dsp:sp modelId="{988788B5-B98B-415A-9FDA-788C3B1582B9}">
      <dsp:nvSpPr>
        <dsp:cNvPr id="0" name=""/>
        <dsp:cNvSpPr/>
      </dsp:nvSpPr>
      <dsp:spPr>
        <a:xfrm>
          <a:off x="4371826" y="210769"/>
          <a:ext cx="1169769" cy="1169769"/>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29400" y="2947814"/>
          <a:ext cx="5451754" cy="526923"/>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1153-B39D-4D08-ADCB-00427E4F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324</Pages>
  <Words>119482</Words>
  <Characters>681049</Characters>
  <Application>Microsoft Office Word</Application>
  <DocSecurity>0</DocSecurity>
  <Lines>5675</Lines>
  <Paragraphs>1597</Paragraphs>
  <ScaleCrop>false</ScaleCrop>
  <HeadingPairs>
    <vt:vector size="2" baseType="variant">
      <vt:variant>
        <vt:lpstr>Title</vt:lpstr>
      </vt:variant>
      <vt:variant>
        <vt:i4>1</vt:i4>
      </vt:variant>
    </vt:vector>
  </HeadingPairs>
  <TitlesOfParts>
    <vt:vector size="1" baseType="lpstr">
      <vt:lpstr>cop-14-14--ar</vt:lpstr>
    </vt:vector>
  </TitlesOfParts>
  <Company/>
  <LinksUpToDate>false</LinksUpToDate>
  <CharactersWithSpaces>798934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cop-14-14--ar</dc:title>
  <dc:creator>SCBD</dc:creator>
  <cp:lastModifiedBy>nicolas.diallo</cp:lastModifiedBy>
  <cp:revision>31</cp:revision>
  <cp:lastPrinted>2019-05-25T14:16:00Z</cp:lastPrinted>
  <dcterms:created xsi:type="dcterms:W3CDTF">2019-04-23T08:22:00Z</dcterms:created>
  <dcterms:modified xsi:type="dcterms:W3CDTF">2019-05-27T20:28:00Z</dcterms:modified>
</cp:coreProperties>
</file>